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3.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4.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5.xml" ContentType="application/vnd.openxmlformats-officedocument.themeOverride+xml"/>
  <Override PartName="/word/charts/chart24.xml" ContentType="application/vnd.openxmlformats-officedocument.drawingml.chart+xml"/>
  <Override PartName="/word/theme/themeOverride6.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7.xml" ContentType="application/vnd.openxmlformats-officedocument.drawingml.chart+xml"/>
  <Override PartName="/word/charts/chart28.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C6EFC1" w14:textId="77777777" w:rsidR="0040200F" w:rsidRPr="00666914" w:rsidRDefault="0040200F" w:rsidP="0040200F">
      <w:pPr>
        <w:jc w:val="center"/>
        <w:rPr>
          <w:b/>
        </w:rPr>
      </w:pPr>
      <w:bookmarkStart w:id="0" w:name="_Hlk524015425"/>
    </w:p>
    <w:p w14:paraId="7EE875A8" w14:textId="77777777" w:rsidR="00A32D9D" w:rsidRPr="00666914" w:rsidRDefault="00A32D9D" w:rsidP="0040200F">
      <w:pPr>
        <w:jc w:val="center"/>
        <w:rPr>
          <w:b/>
        </w:rPr>
      </w:pPr>
    </w:p>
    <w:p w14:paraId="36F6B73A" w14:textId="77777777" w:rsidR="0040200F" w:rsidRPr="00666914" w:rsidRDefault="0040200F" w:rsidP="0040200F">
      <w:pPr>
        <w:jc w:val="center"/>
        <w:rPr>
          <w:b/>
        </w:rPr>
      </w:pPr>
    </w:p>
    <w:p w14:paraId="31DFF607" w14:textId="77777777" w:rsidR="0040200F" w:rsidRPr="00666914" w:rsidRDefault="0040200F" w:rsidP="0040200F">
      <w:pPr>
        <w:jc w:val="center"/>
        <w:rPr>
          <w:b/>
        </w:rPr>
      </w:pPr>
    </w:p>
    <w:p w14:paraId="77EE28BB" w14:textId="73C9565C" w:rsidR="002C64D4" w:rsidRPr="00666914" w:rsidRDefault="00E562CA" w:rsidP="00A32D9D">
      <w:pPr>
        <w:spacing w:line="276" w:lineRule="auto"/>
        <w:jc w:val="center"/>
        <w:rPr>
          <w:rFonts w:ascii="Times New Roman" w:hAnsi="Times New Roman"/>
          <w:color w:val="0070C0"/>
          <w:sz w:val="40"/>
          <w:szCs w:val="40"/>
        </w:rPr>
      </w:pPr>
      <w:r w:rsidRPr="00666914">
        <w:rPr>
          <w:rFonts w:ascii="Times New Roman" w:hAnsi="Times New Roman"/>
          <w:color w:val="0070C0"/>
          <w:sz w:val="40"/>
          <w:szCs w:val="40"/>
        </w:rPr>
        <w:t>Externá p</w:t>
      </w:r>
      <w:r w:rsidR="00A32D9D" w:rsidRPr="00666914">
        <w:rPr>
          <w:rFonts w:ascii="Times New Roman" w:hAnsi="Times New Roman"/>
          <w:color w:val="0070C0"/>
          <w:sz w:val="40"/>
          <w:szCs w:val="40"/>
        </w:rPr>
        <w:t xml:space="preserve">ríloha č. </w:t>
      </w:r>
      <w:r w:rsidR="00C45DA3">
        <w:rPr>
          <w:rFonts w:ascii="Times New Roman" w:hAnsi="Times New Roman"/>
          <w:color w:val="0070C0"/>
          <w:sz w:val="40"/>
          <w:szCs w:val="40"/>
        </w:rPr>
        <w:t>4</w:t>
      </w:r>
      <w:bookmarkStart w:id="1" w:name="_GoBack"/>
      <w:bookmarkEnd w:id="1"/>
    </w:p>
    <w:p w14:paraId="069D8500" w14:textId="77777777" w:rsidR="002C64D4" w:rsidRPr="00666914" w:rsidRDefault="002C64D4" w:rsidP="0040200F">
      <w:pPr>
        <w:jc w:val="center"/>
        <w:rPr>
          <w:b/>
        </w:rPr>
      </w:pPr>
    </w:p>
    <w:p w14:paraId="6403F63D" w14:textId="77777777" w:rsidR="004D6FEF" w:rsidRPr="00666914" w:rsidRDefault="004D6FEF" w:rsidP="0040200F">
      <w:pPr>
        <w:jc w:val="center"/>
        <w:rPr>
          <w:b/>
        </w:rPr>
      </w:pPr>
    </w:p>
    <w:p w14:paraId="070A6691" w14:textId="77777777" w:rsidR="0040200F" w:rsidRPr="00666914" w:rsidRDefault="0040200F" w:rsidP="0040200F">
      <w:pPr>
        <w:jc w:val="center"/>
        <w:rPr>
          <w:b/>
        </w:rPr>
      </w:pPr>
    </w:p>
    <w:p w14:paraId="350D8B70" w14:textId="77777777" w:rsidR="0040200F" w:rsidRPr="00666914" w:rsidRDefault="00C1145C" w:rsidP="00A32D9D">
      <w:pPr>
        <w:spacing w:after="0" w:line="276" w:lineRule="auto"/>
        <w:jc w:val="center"/>
        <w:rPr>
          <w:rFonts w:ascii="Times New Roman" w:hAnsi="Times New Roman"/>
          <w:color w:val="2E74B5"/>
          <w:sz w:val="52"/>
          <w:szCs w:val="56"/>
        </w:rPr>
      </w:pPr>
      <w:r w:rsidRPr="00666914">
        <w:rPr>
          <w:rFonts w:ascii="Times New Roman" w:hAnsi="Times New Roman"/>
          <w:color w:val="2E74B5"/>
          <w:sz w:val="52"/>
          <w:szCs w:val="56"/>
        </w:rPr>
        <w:t>Súhrn</w:t>
      </w:r>
      <w:r w:rsidR="00A32D9D" w:rsidRPr="00666914">
        <w:rPr>
          <w:rFonts w:ascii="Times New Roman" w:hAnsi="Times New Roman"/>
          <w:color w:val="2E74B5"/>
          <w:sz w:val="52"/>
          <w:szCs w:val="56"/>
        </w:rPr>
        <w:t xml:space="preserve">ná implementačná správa za rok </w:t>
      </w:r>
      <w:r w:rsidR="00487C7A" w:rsidRPr="00666914">
        <w:rPr>
          <w:rFonts w:ascii="Times New Roman" w:hAnsi="Times New Roman"/>
          <w:color w:val="2E74B5"/>
          <w:sz w:val="52"/>
          <w:szCs w:val="56"/>
        </w:rPr>
        <w:t>201</w:t>
      </w:r>
      <w:r w:rsidR="00B147B0" w:rsidRPr="00666914">
        <w:rPr>
          <w:rFonts w:ascii="Times New Roman" w:hAnsi="Times New Roman"/>
          <w:color w:val="2E74B5"/>
          <w:sz w:val="52"/>
          <w:szCs w:val="56"/>
        </w:rPr>
        <w:t>9</w:t>
      </w:r>
    </w:p>
    <w:p w14:paraId="63AB1B75" w14:textId="77777777" w:rsidR="0079641D" w:rsidRPr="00666914" w:rsidRDefault="0079641D" w:rsidP="00A32D9D">
      <w:pPr>
        <w:spacing w:after="0" w:line="276" w:lineRule="auto"/>
        <w:jc w:val="center"/>
        <w:rPr>
          <w:rFonts w:ascii="Times New Roman" w:hAnsi="Times New Roman"/>
          <w:color w:val="2E74B5"/>
          <w:sz w:val="52"/>
          <w:szCs w:val="56"/>
        </w:rPr>
      </w:pPr>
    </w:p>
    <w:p w14:paraId="36493431" w14:textId="77777777" w:rsidR="00DD451E" w:rsidRPr="00666914" w:rsidRDefault="00391B99" w:rsidP="00A32D9D">
      <w:pPr>
        <w:spacing w:after="0" w:line="276" w:lineRule="auto"/>
        <w:jc w:val="center"/>
        <w:rPr>
          <w:rFonts w:ascii="Times New Roman" w:hAnsi="Times New Roman"/>
          <w:color w:val="2E74B5"/>
          <w:sz w:val="40"/>
          <w:szCs w:val="56"/>
          <w:lang w:eastAsia="sk-SK"/>
        </w:rPr>
      </w:pPr>
      <w:r w:rsidRPr="00666914">
        <w:rPr>
          <w:rFonts w:ascii="Times New Roman" w:hAnsi="Times New Roman"/>
          <w:color w:val="2E74B5"/>
          <w:sz w:val="40"/>
          <w:szCs w:val="56"/>
          <w:lang w:eastAsia="sk-SK"/>
        </w:rPr>
        <w:t>(</w:t>
      </w:r>
      <w:r w:rsidR="00DD451E" w:rsidRPr="00666914">
        <w:rPr>
          <w:rFonts w:ascii="Times New Roman" w:hAnsi="Times New Roman"/>
          <w:color w:val="2E74B5"/>
          <w:sz w:val="40"/>
          <w:szCs w:val="56"/>
          <w:lang w:eastAsia="sk-SK"/>
        </w:rPr>
        <w:t>Zdravotníctvo, doprava, informatizácia, vzdelávanie, životné prostredie, trh práce a sociálne politiky</w:t>
      </w:r>
      <w:r w:rsidR="00FC7AD8" w:rsidRPr="00666914">
        <w:rPr>
          <w:rFonts w:ascii="Times New Roman" w:hAnsi="Times New Roman"/>
          <w:color w:val="2E74B5"/>
          <w:sz w:val="40"/>
          <w:szCs w:val="56"/>
          <w:lang w:eastAsia="sk-SK"/>
        </w:rPr>
        <w:t xml:space="preserve">, </w:t>
      </w:r>
      <w:r w:rsidR="00DD451E" w:rsidRPr="00666914">
        <w:rPr>
          <w:rFonts w:ascii="Times New Roman" w:hAnsi="Times New Roman"/>
          <w:color w:val="2E74B5"/>
          <w:sz w:val="40"/>
          <w:szCs w:val="56"/>
          <w:lang w:eastAsia="sk-SK"/>
        </w:rPr>
        <w:t>pôdohospodárstvo</w:t>
      </w:r>
      <w:r w:rsidR="00FC7AD8" w:rsidRPr="00666914">
        <w:rPr>
          <w:rFonts w:ascii="Times New Roman" w:hAnsi="Times New Roman"/>
          <w:color w:val="2E74B5"/>
          <w:sz w:val="40"/>
          <w:szCs w:val="56"/>
          <w:lang w:eastAsia="sk-SK"/>
        </w:rPr>
        <w:t xml:space="preserve"> a rozvoj vidieka</w:t>
      </w:r>
      <w:r w:rsidR="00DD451E" w:rsidRPr="00666914">
        <w:rPr>
          <w:rFonts w:ascii="Times New Roman" w:hAnsi="Times New Roman"/>
          <w:color w:val="2E74B5"/>
          <w:sz w:val="40"/>
          <w:szCs w:val="56"/>
          <w:lang w:eastAsia="sk-SK"/>
        </w:rPr>
        <w:t>)</w:t>
      </w:r>
    </w:p>
    <w:p w14:paraId="316409BA" w14:textId="77777777" w:rsidR="0079641D" w:rsidRPr="00666914" w:rsidRDefault="0079641D" w:rsidP="00A32D9D">
      <w:pPr>
        <w:spacing w:after="0" w:line="276" w:lineRule="auto"/>
        <w:jc w:val="center"/>
        <w:rPr>
          <w:rFonts w:ascii="Times New Roman" w:hAnsi="Times New Roman"/>
          <w:color w:val="2E74B5"/>
          <w:sz w:val="40"/>
          <w:szCs w:val="56"/>
          <w:lang w:eastAsia="sk-SK"/>
        </w:rPr>
      </w:pPr>
    </w:p>
    <w:p w14:paraId="65D5FAD0" w14:textId="77777777" w:rsidR="0040200F" w:rsidRPr="00666914" w:rsidRDefault="0040200F" w:rsidP="0040200F">
      <w:pPr>
        <w:jc w:val="center"/>
      </w:pPr>
    </w:p>
    <w:p w14:paraId="5D03DA06" w14:textId="620CCF80" w:rsidR="00A32D9D" w:rsidRPr="00666914" w:rsidRDefault="00032A13" w:rsidP="00A32D9D">
      <w:pPr>
        <w:spacing w:after="0"/>
        <w:jc w:val="center"/>
        <w:rPr>
          <w:rFonts w:ascii="Times New Roman" w:hAnsi="Times New Roman"/>
          <w:color w:val="2E74B5"/>
          <w:sz w:val="44"/>
          <w:szCs w:val="56"/>
        </w:rPr>
      </w:pPr>
      <w:r>
        <w:rPr>
          <w:rFonts w:ascii="Times New Roman" w:hAnsi="Times New Roman"/>
          <w:color w:val="2E74B5"/>
          <w:sz w:val="44"/>
          <w:szCs w:val="56"/>
        </w:rPr>
        <w:t>Máj</w:t>
      </w:r>
      <w:r w:rsidR="00074AF8" w:rsidRPr="00666914">
        <w:rPr>
          <w:rFonts w:ascii="Times New Roman" w:hAnsi="Times New Roman"/>
          <w:color w:val="2E74B5"/>
          <w:sz w:val="44"/>
          <w:szCs w:val="56"/>
        </w:rPr>
        <w:t xml:space="preserve"> </w:t>
      </w:r>
      <w:r w:rsidR="00A32D9D" w:rsidRPr="00666914">
        <w:rPr>
          <w:rFonts w:ascii="Times New Roman" w:hAnsi="Times New Roman"/>
          <w:color w:val="2E74B5"/>
          <w:sz w:val="44"/>
          <w:szCs w:val="56"/>
        </w:rPr>
        <w:t>20</w:t>
      </w:r>
      <w:r w:rsidR="00074AF8" w:rsidRPr="00666914">
        <w:rPr>
          <w:rFonts w:ascii="Times New Roman" w:hAnsi="Times New Roman"/>
          <w:color w:val="2E74B5"/>
          <w:sz w:val="44"/>
          <w:szCs w:val="56"/>
        </w:rPr>
        <w:t>20</w:t>
      </w:r>
    </w:p>
    <w:p w14:paraId="77CFF78F" w14:textId="77777777" w:rsidR="002E102B" w:rsidRPr="00666914" w:rsidRDefault="002E102B" w:rsidP="0040200F">
      <w:pPr>
        <w:jc w:val="center"/>
      </w:pPr>
    </w:p>
    <w:p w14:paraId="005931EC" w14:textId="77777777" w:rsidR="00A32D9D" w:rsidRPr="00666914" w:rsidRDefault="00A32D9D" w:rsidP="0040200F">
      <w:pPr>
        <w:jc w:val="center"/>
      </w:pPr>
    </w:p>
    <w:p w14:paraId="78DCDFB5" w14:textId="77777777" w:rsidR="00CB7CDE" w:rsidRPr="00666914" w:rsidRDefault="00CB7CDE" w:rsidP="0040200F">
      <w:pPr>
        <w:jc w:val="center"/>
      </w:pPr>
    </w:p>
    <w:p w14:paraId="4C7F0CB4" w14:textId="77777777" w:rsidR="00CB7CDE" w:rsidRPr="00666914" w:rsidRDefault="00CB7CDE" w:rsidP="0040200F">
      <w:pPr>
        <w:jc w:val="center"/>
      </w:pPr>
    </w:p>
    <w:p w14:paraId="41173779" w14:textId="77777777" w:rsidR="00CB7CDE" w:rsidRPr="00666914" w:rsidRDefault="00CB7CDE" w:rsidP="0040200F">
      <w:pPr>
        <w:jc w:val="center"/>
      </w:pPr>
    </w:p>
    <w:p w14:paraId="32B7EDE1" w14:textId="77777777" w:rsidR="00A32D9D" w:rsidRPr="00666914" w:rsidRDefault="00A32D9D" w:rsidP="0040200F">
      <w:pPr>
        <w:jc w:val="center"/>
      </w:pPr>
    </w:p>
    <w:p w14:paraId="552DB12C" w14:textId="77777777" w:rsidR="002E102B" w:rsidRPr="00666914" w:rsidRDefault="002E102B" w:rsidP="002E102B"/>
    <w:p w14:paraId="54F2B60E" w14:textId="77777777" w:rsidR="002E102B" w:rsidRPr="00666914" w:rsidRDefault="002E102B" w:rsidP="002E102B">
      <w:pPr>
        <w:jc w:val="center"/>
        <w:rPr>
          <w:color w:val="0070C0"/>
        </w:rPr>
      </w:pPr>
      <w:r w:rsidRPr="00666914">
        <w:rPr>
          <w:color w:val="0070C0"/>
        </w:rPr>
        <w:t>Tento projekt je podporený z Európskeho sociálneho fondu</w:t>
      </w:r>
    </w:p>
    <w:p w14:paraId="7E3F2574" w14:textId="77777777" w:rsidR="002E102B" w:rsidRPr="00666914" w:rsidRDefault="002E102B" w:rsidP="002E102B">
      <w:pPr>
        <w:jc w:val="center"/>
        <w:rPr>
          <w:color w:val="0070C0"/>
        </w:rPr>
      </w:pPr>
    </w:p>
    <w:p w14:paraId="578CC255" w14:textId="77777777" w:rsidR="00713395" w:rsidRPr="00666914" w:rsidRDefault="00377F99" w:rsidP="0040200F">
      <w:pPr>
        <w:pStyle w:val="Hlavikaobsahu"/>
      </w:pPr>
      <w:r w:rsidRPr="00666914">
        <w:rPr>
          <w:noProof/>
        </w:rPr>
        <w:drawing>
          <wp:inline distT="0" distB="0" distL="0" distR="0" wp14:anchorId="517EF9BC" wp14:editId="0F3F943D">
            <wp:extent cx="2774950" cy="692150"/>
            <wp:effectExtent l="0" t="0" r="0" b="0"/>
            <wp:docPr id="14" name="Obrázok 13" descr="U:\IFP_NEW\4_STRUKTURAL\4_4_Agenda\18_Spending reviews\Informatizacia\01_Final_report\logos\logo-OP-EVS-farba-sv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descr="U:\IFP_NEW\4_STRUKTURAL\4_4_Agenda\18_Spending reviews\Informatizacia\01_Final_report\logos\logo-OP-EVS-farba-sv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4950" cy="692150"/>
                    </a:xfrm>
                    <a:prstGeom prst="rect">
                      <a:avLst/>
                    </a:prstGeom>
                    <a:noFill/>
                    <a:ln>
                      <a:noFill/>
                    </a:ln>
                  </pic:spPr>
                </pic:pic>
              </a:graphicData>
            </a:graphic>
          </wp:inline>
        </w:drawing>
      </w:r>
      <w:r w:rsidRPr="00666914">
        <w:rPr>
          <w:noProof/>
        </w:rPr>
        <w:drawing>
          <wp:inline distT="0" distB="0" distL="0" distR="0" wp14:anchorId="1526B411" wp14:editId="08D6A3BB">
            <wp:extent cx="2781300" cy="692150"/>
            <wp:effectExtent l="0" t="0" r="0" b="0"/>
            <wp:docPr id="2" name="Obrázok 14" descr="U:\IFP_NEW\4_STRUKTURAL\4_4_Agenda\18_Spending reviews\Informatizacia\01_Final_report\logos\logo-EU-ESF-farba-sv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 descr="U:\IFP_NEW\4_STRUKTURAL\4_4_Agenda\18_Spending reviews\Informatizacia\01_Final_report\logos\logo-EU-ESF-farba-svk.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1300" cy="692150"/>
                    </a:xfrm>
                    <a:prstGeom prst="rect">
                      <a:avLst/>
                    </a:prstGeom>
                    <a:noFill/>
                    <a:ln>
                      <a:noFill/>
                    </a:ln>
                  </pic:spPr>
                </pic:pic>
              </a:graphicData>
            </a:graphic>
          </wp:inline>
        </w:drawing>
      </w:r>
      <w:bookmarkEnd w:id="0"/>
    </w:p>
    <w:p w14:paraId="4E0825FF" w14:textId="77777777" w:rsidR="00CD4715" w:rsidRPr="00666914" w:rsidRDefault="00CD4715">
      <w:pPr>
        <w:jc w:val="left"/>
        <w:rPr>
          <w:rFonts w:ascii="Calibri Light" w:eastAsia="Times New Roman" w:hAnsi="Calibri Light"/>
          <w:color w:val="2E74B5"/>
          <w:sz w:val="32"/>
          <w:szCs w:val="32"/>
          <w:lang w:eastAsia="sk-SK"/>
        </w:rPr>
        <w:sectPr w:rsidR="00CD4715" w:rsidRPr="00666914" w:rsidSect="00635433">
          <w:headerReference w:type="default" r:id="rId13"/>
          <w:pgSz w:w="11906" w:h="16838"/>
          <w:pgMar w:top="1417" w:right="1417" w:bottom="1417" w:left="1417" w:header="708" w:footer="708" w:gutter="0"/>
          <w:cols w:space="708"/>
          <w:docGrid w:linePitch="360"/>
        </w:sectPr>
      </w:pPr>
    </w:p>
    <w:p w14:paraId="75E6FE4A" w14:textId="77777777" w:rsidR="00A17BC2" w:rsidRPr="00666914" w:rsidRDefault="00A17BC2" w:rsidP="00A17BC2"/>
    <w:p w14:paraId="2112E9B7" w14:textId="77777777" w:rsidR="00BD643E" w:rsidRPr="00666914" w:rsidRDefault="00377F99" w:rsidP="00A034AE">
      <w:pPr>
        <w:pStyle w:val="Hlavikaobsahu"/>
        <w:tabs>
          <w:tab w:val="left" w:pos="3213"/>
        </w:tabs>
        <w:jc w:val="center"/>
        <w:rPr>
          <w:rFonts w:ascii="Arial Narrow" w:eastAsia="Calibri" w:hAnsi="Arial Narrow"/>
          <w:color w:val="000000"/>
          <w:sz w:val="28"/>
          <w:szCs w:val="24"/>
          <w:lang w:eastAsia="en-US"/>
        </w:rPr>
      </w:pPr>
      <w:r w:rsidRPr="00666914">
        <w:rPr>
          <w:noProof/>
        </w:rPr>
        <w:lastRenderedPageBreak/>
        <mc:AlternateContent>
          <mc:Choice Requires="wps">
            <w:drawing>
              <wp:anchor distT="0" distB="0" distL="114300" distR="114300" simplePos="0" relativeHeight="251657216" behindDoc="1" locked="0" layoutInCell="1" allowOverlap="1" wp14:anchorId="2D53EF36" wp14:editId="080CBFE4">
                <wp:simplePos x="0" y="0"/>
                <wp:positionH relativeFrom="margin">
                  <wp:posOffset>3810</wp:posOffset>
                </wp:positionH>
                <wp:positionV relativeFrom="paragraph">
                  <wp:posOffset>583565</wp:posOffset>
                </wp:positionV>
                <wp:extent cx="5752465" cy="5677535"/>
                <wp:effectExtent l="0" t="0" r="0" b="0"/>
                <wp:wrapNone/>
                <wp:docPr id="4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2465" cy="5677535"/>
                        </a:xfrm>
                        <a:prstGeom prst="rect">
                          <a:avLst/>
                        </a:prstGeom>
                        <a:solidFill>
                          <a:sysClr val="window" lastClr="FFFFFF">
                            <a:lumMod val="95000"/>
                          </a:sysClr>
                        </a:solidFill>
                        <a:ln w="12700" cap="flat" cmpd="sng" algn="ctr">
                          <a:noFill/>
                          <a:prstDash val="solid"/>
                          <a:miter lim="800000"/>
                        </a:ln>
                        <a:effectLst/>
                      </wps:spPr>
                      <wps:txbx>
                        <w:txbxContent>
                          <w:p w14:paraId="71FC70BF" w14:textId="77777777" w:rsidR="006C0687" w:rsidRPr="002D0DA7" w:rsidRDefault="006C0687" w:rsidP="0032257D">
                            <w:pPr>
                              <w:rPr>
                                <w:color w:val="000000"/>
                                <w:sz w:val="24"/>
                                <w:szCs w:val="24"/>
                              </w:rPr>
                            </w:pPr>
                            <w:r w:rsidRPr="002D0DA7">
                              <w:rPr>
                                <w:color w:val="000000"/>
                                <w:sz w:val="24"/>
                                <w:szCs w:val="24"/>
                              </w:rPr>
                              <w:t xml:space="preserve">Vláda SR spustila projekt Hodnota za peniaze, v rámci ktorého plánuje zreformovať pravidlá, nastaviť procesy a posilniť inštitúcie, ktoré podporia prijímanie dobrých rozhodnutí vo verejnom záujme a významne zvýšia hodnotu za peniaze v slovenskom verejnom sektore. </w:t>
                            </w:r>
                          </w:p>
                          <w:p w14:paraId="7C7E3B6E" w14:textId="77777777" w:rsidR="006C0687" w:rsidRPr="002D0DA7" w:rsidRDefault="006C0687" w:rsidP="0032257D">
                            <w:pPr>
                              <w:rPr>
                                <w:color w:val="000000"/>
                                <w:sz w:val="24"/>
                                <w:szCs w:val="24"/>
                              </w:rPr>
                            </w:pPr>
                            <w:r w:rsidRPr="002D0DA7">
                              <w:rPr>
                                <w:color w:val="000000"/>
                                <w:sz w:val="24"/>
                                <w:szCs w:val="24"/>
                              </w:rPr>
                              <w:t>Jedným z nástrojov Hodnoty za peniaze je revízia väčšiny verejných výdavkov. Revízie výdavkov hodnotia účinnosť a efektívnosť výdavkov a identifikujú opatrenia, ktoré zvýšia hodnotu za peniaze verejných financií, čím umožnia fiškálnu úsporu, lepšie verejné služby pre občanov (výsledky) a/alebo presun financií na priority vlády. Navrhujú opatrenia udržateľným spôsobom.</w:t>
                            </w:r>
                          </w:p>
                          <w:p w14:paraId="11BAE878" w14:textId="77777777" w:rsidR="006C0687" w:rsidRPr="002D0DA7" w:rsidRDefault="006C0687" w:rsidP="0032257D">
                            <w:pPr>
                              <w:rPr>
                                <w:color w:val="000000"/>
                                <w:sz w:val="24"/>
                                <w:szCs w:val="24"/>
                              </w:rPr>
                            </w:pPr>
                            <w:r w:rsidRPr="002D0DA7">
                              <w:rPr>
                                <w:color w:val="000000"/>
                                <w:sz w:val="24"/>
                                <w:szCs w:val="24"/>
                              </w:rPr>
                              <w:t xml:space="preserve">V roku 2016 prebehla revízia zameraná na zdravotníctvo, dopravu a informatizáciu verejnej správy. V roku 2017 sa zamerala na vzdelávanie, politiky trhu práce a sociálne politiky a životné prostredie. Počas rokov 2018-2019 sa vypracovávali prierezové revízie výdavkov na odmeňovanie a zamestnanosť vo verejnej správe, na skupiny ohrozené chudobou alebo sociálnym vylúčením a revízia výdavkov na informatizáciu II. Koncom roka 2019 boli zverejnené revízie výdavkov na zdravotníctvo II a na pôdohospodárstvo a rozvoj vidieka. </w:t>
                            </w:r>
                          </w:p>
                          <w:p w14:paraId="4A7500A9" w14:textId="77777777" w:rsidR="006C0687" w:rsidRPr="002D0DA7" w:rsidRDefault="006C0687" w:rsidP="0032257D">
                            <w:pPr>
                              <w:rPr>
                                <w:color w:val="000000"/>
                                <w:sz w:val="24"/>
                                <w:szCs w:val="24"/>
                              </w:rPr>
                            </w:pPr>
                            <w:r w:rsidRPr="002D0DA7">
                              <w:rPr>
                                <w:color w:val="000000"/>
                                <w:sz w:val="24"/>
                                <w:szCs w:val="24"/>
                              </w:rPr>
                              <w:t xml:space="preserve">Opatrenia identifikované revíziou sú následne rozpracované </w:t>
                            </w:r>
                            <w:r w:rsidRPr="002D0DA7">
                              <w:rPr>
                                <w:i/>
                                <w:color w:val="000000"/>
                                <w:sz w:val="24"/>
                                <w:szCs w:val="24"/>
                              </w:rPr>
                              <w:t>v ročných implementačných plánoch.</w:t>
                            </w:r>
                            <w:r w:rsidRPr="002D0DA7">
                              <w:rPr>
                                <w:color w:val="000000"/>
                                <w:sz w:val="24"/>
                                <w:szCs w:val="24"/>
                              </w:rPr>
                              <w:t xml:space="preserve"> Ich úlohou je nastaviť proces implementácie definovaných opatrení predvídateľne a transparentne, definovaním východiskovej a cieľovej hodnoty pre daný rok. Zároveň stanovujú spôsob vykazovania a zodpovednosť za opatrenia revízie výdavkov pre implementujúce inštitúcie. Vytvárajú základný predpoklad pre </w:t>
                            </w:r>
                            <w:r w:rsidRPr="002D0DA7">
                              <w:rPr>
                                <w:i/>
                                <w:color w:val="000000"/>
                                <w:sz w:val="24"/>
                                <w:szCs w:val="24"/>
                              </w:rPr>
                              <w:t>kvartálne odpočty plnenia</w:t>
                            </w:r>
                            <w:r w:rsidRPr="002D0DA7">
                              <w:rPr>
                                <w:color w:val="000000"/>
                                <w:sz w:val="24"/>
                                <w:szCs w:val="24"/>
                              </w:rPr>
                              <w:t xml:space="preserve"> opatrení realizované Implementačnou jednotkou, ktoré sumarizujú ich pokrok oproti predchádzajúcemu obdobiu (kvartálu).</w:t>
                            </w:r>
                          </w:p>
                          <w:p w14:paraId="05A72EA9" w14:textId="77777777" w:rsidR="006C0687" w:rsidRPr="002D0DA7" w:rsidRDefault="006C0687" w:rsidP="0032257D">
                            <w:pPr>
                              <w:rPr>
                                <w:color w:val="000000"/>
                                <w:sz w:val="24"/>
                                <w:szCs w:val="24"/>
                              </w:rPr>
                            </w:pPr>
                            <w:r w:rsidRPr="002D0DA7">
                              <w:rPr>
                                <w:i/>
                                <w:color w:val="000000"/>
                                <w:sz w:val="24"/>
                                <w:szCs w:val="24"/>
                              </w:rPr>
                              <w:t>Priebežná implementačná správa</w:t>
                            </w:r>
                            <w:r w:rsidRPr="002D0DA7">
                              <w:rPr>
                                <w:color w:val="000000"/>
                                <w:sz w:val="24"/>
                                <w:szCs w:val="24"/>
                              </w:rPr>
                              <w:t xml:space="preserve"> hodnotí implementáciu opatrení po šiestich mesiacoch realizácie opatrení od jej schválenia vládou SR. Je prvým celistvým hodnotením plnenia revízie výdavkov, kalkuláciou fiškálnej úspory a realizovanej hodnoty. Implementačná jednotka na jej základe formuluje odporúčania pre akceleráciu úloh na ďalších šesť mesiacov, aby boli splnené termíny plnenia opatrení vychádzajúce z implementačného plánu. Je povinnou súčasťou návrhu rozpočtu verejnej správy. </w:t>
                            </w:r>
                          </w:p>
                          <w:p w14:paraId="79B5C602" w14:textId="77777777" w:rsidR="006C0687" w:rsidRPr="002D0DA7" w:rsidRDefault="006C0687" w:rsidP="00B147B0">
                            <w:pPr>
                              <w:rPr>
                                <w:color w:val="000000"/>
                                <w:szCs w:val="24"/>
                              </w:rPr>
                            </w:pPr>
                            <w:r w:rsidRPr="002D0DA7">
                              <w:rPr>
                                <w:i/>
                                <w:color w:val="000000"/>
                                <w:sz w:val="24"/>
                                <w:szCs w:val="24"/>
                              </w:rPr>
                              <w:t>Súhrnná implementačná správa</w:t>
                            </w:r>
                            <w:r w:rsidRPr="002D0DA7">
                              <w:rPr>
                                <w:color w:val="000000"/>
                                <w:sz w:val="24"/>
                                <w:szCs w:val="24"/>
                              </w:rPr>
                              <w:t xml:space="preserve"> poskytuje ročný odpočet plnenia opatrení od jej schválenia vládou SR. Vyhodnocuje finálnu výšku fiškálnej úspory za daný rok, dosiahnutú hodnotu, ale aj pokrok v riadení, či dátach a procesoch. Predkladá sa vláde SR na schválenie.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2D53EF36" id="Rectangle 1" o:spid="_x0000_s1026" style="position:absolute;left:0;text-align:left;margin-left:.3pt;margin-top:45.95pt;width:452.95pt;height:44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" fillcolor="#f2f2f2" stroked="f" strokeweight="1pt">
                <v:path arrowok="t"/>
                <v:textbox>
                  <w:txbxContent>
                    <w:p w14:paraId="71FC70BF" w14:textId="77777777" w:rsidR="006C0687" w:rsidRPr="002D0DA7" w:rsidRDefault="006C0687" w:rsidP="0032257D">
                      <w:pPr>
                        <w:rPr>
                          <w:color w:val="000000"/>
                          <w:sz w:val="24"/>
                          <w:szCs w:val="24"/>
                        </w:rPr>
                      </w:pPr>
                      <w:r w:rsidRPr="002D0DA7">
                        <w:rPr>
                          <w:color w:val="000000"/>
                          <w:sz w:val="24"/>
                          <w:szCs w:val="24"/>
                        </w:rPr>
                        <w:t xml:space="preserve">Vláda SR spustila projekt Hodnota za peniaze, v rámci ktorého plánuje zreformovať pravidlá, nastaviť procesy a posilniť inštitúcie, ktoré podporia prijímanie dobrých rozhodnutí vo verejnom záujme a významne zvýšia hodnotu za peniaze v slovenskom verejnom sektore. </w:t>
                      </w:r>
                    </w:p>
                    <w:p w14:paraId="7C7E3B6E" w14:textId="77777777" w:rsidR="006C0687" w:rsidRPr="002D0DA7" w:rsidRDefault="006C0687" w:rsidP="0032257D">
                      <w:pPr>
                        <w:rPr>
                          <w:color w:val="000000"/>
                          <w:sz w:val="24"/>
                          <w:szCs w:val="24"/>
                        </w:rPr>
                      </w:pPr>
                      <w:r w:rsidRPr="002D0DA7">
                        <w:rPr>
                          <w:color w:val="000000"/>
                          <w:sz w:val="24"/>
                          <w:szCs w:val="24"/>
                        </w:rPr>
                        <w:t>Jedným z nástrojov Hodnoty za peniaze je revízia väčšiny verejných výdavkov. Revízie výdavkov hodnotia účinnosť a efektívnosť výdavkov a identifikujú opatrenia, ktoré zvýšia hodnotu za peniaze verejných financií, čím umožnia fiškálnu úsporu, lepšie verejné služby pre občanov (výsledky) a/alebo presun financií na priority vlády. Navrhujú opatrenia udržateľným spôsobom.</w:t>
                      </w:r>
                    </w:p>
                    <w:p w14:paraId="11BAE878" w14:textId="77777777" w:rsidR="006C0687" w:rsidRPr="002D0DA7" w:rsidRDefault="006C0687" w:rsidP="0032257D">
                      <w:pPr>
                        <w:rPr>
                          <w:color w:val="000000"/>
                          <w:sz w:val="24"/>
                          <w:szCs w:val="24"/>
                        </w:rPr>
                      </w:pPr>
                      <w:r w:rsidRPr="002D0DA7">
                        <w:rPr>
                          <w:color w:val="000000"/>
                          <w:sz w:val="24"/>
                          <w:szCs w:val="24"/>
                        </w:rPr>
                        <w:t xml:space="preserve">V roku 2016 prebehla revízia zameraná na zdravotníctvo, dopravu a informatizáciu verejnej správy. V roku 2017 sa zamerala na vzdelávanie, politiky trhu práce a sociálne politiky a životné prostredie. Počas rokov 2018-2019 sa vypracovávali prierezové revízie výdavkov na odmeňovanie a zamestnanosť vo verejnej správe, na skupiny ohrozené chudobou alebo sociálnym vylúčením a revízia výdavkov na informatizáciu II. Koncom roka 2019 boli zverejnené revízie výdavkov na zdravotníctvo II a na pôdohospodárstvo a rozvoj vidieka. </w:t>
                      </w:r>
                    </w:p>
                    <w:p w14:paraId="4A7500A9" w14:textId="77777777" w:rsidR="006C0687" w:rsidRPr="002D0DA7" w:rsidRDefault="006C0687" w:rsidP="0032257D">
                      <w:pPr>
                        <w:rPr>
                          <w:color w:val="000000"/>
                          <w:sz w:val="24"/>
                          <w:szCs w:val="24"/>
                        </w:rPr>
                      </w:pPr>
                      <w:r w:rsidRPr="002D0DA7">
                        <w:rPr>
                          <w:color w:val="000000"/>
                          <w:sz w:val="24"/>
                          <w:szCs w:val="24"/>
                        </w:rPr>
                        <w:t xml:space="preserve">Opatrenia identifikované revíziou sú následne rozpracované </w:t>
                      </w:r>
                      <w:r w:rsidRPr="002D0DA7">
                        <w:rPr>
                          <w:i/>
                          <w:color w:val="000000"/>
                          <w:sz w:val="24"/>
                          <w:szCs w:val="24"/>
                        </w:rPr>
                        <w:t>v ročných implementačných plánoch.</w:t>
                      </w:r>
                      <w:r w:rsidRPr="002D0DA7">
                        <w:rPr>
                          <w:color w:val="000000"/>
                          <w:sz w:val="24"/>
                          <w:szCs w:val="24"/>
                        </w:rPr>
                        <w:t xml:space="preserve"> Ich úlohou je nastaviť proces implementácie definovaných opatrení predvídateľne a transparentne, definovaním východiskovej a cieľovej hodnoty pre daný rok. Zároveň stanovujú spôsob vykazovania a zodpovednosť za opatrenia revízie výdavkov pre implementujúce inštitúcie. Vytvárajú základný predpoklad pre </w:t>
                      </w:r>
                      <w:r w:rsidRPr="002D0DA7">
                        <w:rPr>
                          <w:i/>
                          <w:color w:val="000000"/>
                          <w:sz w:val="24"/>
                          <w:szCs w:val="24"/>
                        </w:rPr>
                        <w:t>kvartálne odpočty plnenia</w:t>
                      </w:r>
                      <w:r w:rsidRPr="002D0DA7">
                        <w:rPr>
                          <w:color w:val="000000"/>
                          <w:sz w:val="24"/>
                          <w:szCs w:val="24"/>
                        </w:rPr>
                        <w:t xml:space="preserve"> opatrení realizované Implementačnou jednotkou, ktoré sumarizujú ich pokrok oproti predchádzajúcemu obdobiu (kvartálu).</w:t>
                      </w:r>
                    </w:p>
                    <w:p w14:paraId="05A72EA9" w14:textId="77777777" w:rsidR="006C0687" w:rsidRPr="002D0DA7" w:rsidRDefault="006C0687" w:rsidP="0032257D">
                      <w:pPr>
                        <w:rPr>
                          <w:color w:val="000000"/>
                          <w:sz w:val="24"/>
                          <w:szCs w:val="24"/>
                        </w:rPr>
                      </w:pPr>
                      <w:r w:rsidRPr="002D0DA7">
                        <w:rPr>
                          <w:i/>
                          <w:color w:val="000000"/>
                          <w:sz w:val="24"/>
                          <w:szCs w:val="24"/>
                        </w:rPr>
                        <w:t>Priebežná implementačná správa</w:t>
                      </w:r>
                      <w:r w:rsidRPr="002D0DA7">
                        <w:rPr>
                          <w:color w:val="000000"/>
                          <w:sz w:val="24"/>
                          <w:szCs w:val="24"/>
                        </w:rPr>
                        <w:t xml:space="preserve"> hodnotí implementáciu opatrení po šiestich mesiacoch realizácie opatrení od jej schválenia vládou SR. Je prvým celistvým hodnotením plnenia revízie výdavkov, kalkuláciou fiškálnej úspory a realizovanej hodnoty. Implementačná jednotka na jej základe formuluje odporúčania pre akceleráciu úloh na ďalších šesť mesiacov, aby boli splnené termíny plnenia opatrení vychádzajúce z implementačného plánu. Je povinnou súčasťou návrhu rozpočtu verejnej správy. </w:t>
                      </w:r>
                    </w:p>
                    <w:p w14:paraId="79B5C602" w14:textId="77777777" w:rsidR="006C0687" w:rsidRPr="002D0DA7" w:rsidRDefault="006C0687" w:rsidP="00B147B0">
                      <w:pPr>
                        <w:rPr>
                          <w:color w:val="000000"/>
                          <w:szCs w:val="24"/>
                        </w:rPr>
                      </w:pPr>
                      <w:r w:rsidRPr="002D0DA7">
                        <w:rPr>
                          <w:i/>
                          <w:color w:val="000000"/>
                          <w:sz w:val="24"/>
                          <w:szCs w:val="24"/>
                        </w:rPr>
                        <w:t>Súhrnná implementačná správa</w:t>
                      </w:r>
                      <w:r w:rsidRPr="002D0DA7">
                        <w:rPr>
                          <w:color w:val="000000"/>
                          <w:sz w:val="24"/>
                          <w:szCs w:val="24"/>
                        </w:rPr>
                        <w:t xml:space="preserve"> poskytuje ročný odpočet plnenia opatrení od jej schválenia vládou SR. Vyhodnocuje finálnu výšku fiškálnej úspory za daný rok, dosiahnutú hodnotu, ale aj pokrok v riadení, či dátach a procesoch. Predkladá sa vláde SR na schválenie. </w:t>
                      </w:r>
                    </w:p>
                  </w:txbxContent>
                </v:textbox>
                <w10:wrap anchorx="margin"/>
              </v:rect>
            </w:pict>
          </mc:Fallback>
        </mc:AlternateContent>
      </w:r>
      <w:bookmarkStart w:id="2" w:name="_Hlk524015466"/>
      <w:r w:rsidR="00802DF2" w:rsidRPr="00666914">
        <w:rPr>
          <w:rFonts w:ascii="Arial Narrow" w:eastAsia="Calibri" w:hAnsi="Arial Narrow"/>
          <w:b/>
          <w:color w:val="000000"/>
          <w:sz w:val="28"/>
          <w:szCs w:val="24"/>
          <w:lang w:eastAsia="en-US"/>
        </w:rPr>
        <w:t>Implementácia</w:t>
      </w:r>
      <w:r w:rsidR="008F6E95" w:rsidRPr="00666914">
        <w:rPr>
          <w:rFonts w:ascii="Arial Narrow" w:eastAsia="Calibri" w:hAnsi="Arial Narrow"/>
          <w:b/>
          <w:color w:val="000000"/>
          <w:sz w:val="28"/>
          <w:szCs w:val="24"/>
          <w:lang w:eastAsia="en-US"/>
        </w:rPr>
        <w:t xml:space="preserve"> opatrení</w:t>
      </w:r>
      <w:r w:rsidR="00802DF2" w:rsidRPr="00666914">
        <w:rPr>
          <w:rFonts w:ascii="Arial Narrow" w:eastAsia="Calibri" w:hAnsi="Arial Narrow"/>
          <w:b/>
          <w:color w:val="000000"/>
          <w:sz w:val="28"/>
          <w:szCs w:val="24"/>
          <w:lang w:eastAsia="en-US"/>
        </w:rPr>
        <w:t xml:space="preserve"> </w:t>
      </w:r>
      <w:r w:rsidR="007D2B99" w:rsidRPr="00666914">
        <w:rPr>
          <w:rFonts w:ascii="Arial Narrow" w:eastAsia="Calibri" w:hAnsi="Arial Narrow"/>
          <w:b/>
          <w:color w:val="000000"/>
          <w:sz w:val="28"/>
          <w:szCs w:val="24"/>
          <w:lang w:eastAsia="en-US"/>
        </w:rPr>
        <w:t>r</w:t>
      </w:r>
      <w:r w:rsidR="00802DF2" w:rsidRPr="00666914">
        <w:rPr>
          <w:rFonts w:ascii="Arial Narrow" w:eastAsia="Calibri" w:hAnsi="Arial Narrow"/>
          <w:b/>
          <w:color w:val="000000"/>
          <w:sz w:val="28"/>
          <w:szCs w:val="24"/>
          <w:lang w:eastAsia="en-US"/>
        </w:rPr>
        <w:t>evízií výdavkov projektu Hodnota za peniaze</w:t>
      </w:r>
      <w:r w:rsidR="00802DF2" w:rsidRPr="00666914" w:rsidDel="009919F4">
        <w:rPr>
          <w:b/>
          <w:sz w:val="36"/>
        </w:rPr>
        <w:t xml:space="preserve"> </w:t>
      </w:r>
      <w:bookmarkEnd w:id="2"/>
      <w:r w:rsidR="0040200F" w:rsidRPr="00666914">
        <w:rPr>
          <w:b/>
        </w:rPr>
        <w:br w:type="column"/>
      </w:r>
      <w:bookmarkStart w:id="3" w:name="_Hlk524015533"/>
      <w:r w:rsidR="00BD643E" w:rsidRPr="00666914">
        <w:rPr>
          <w:rFonts w:ascii="Arial Narrow" w:hAnsi="Arial Narrow"/>
          <w:lang w:eastAsia="en-US"/>
        </w:rPr>
        <w:lastRenderedPageBreak/>
        <w:t>Obsah</w:t>
      </w:r>
    </w:p>
    <w:p w14:paraId="17DEC2E8" w14:textId="0CDF5643" w:rsidR="001607F9" w:rsidRDefault="00432701">
      <w:pPr>
        <w:pStyle w:val="Obsah1"/>
        <w:rPr>
          <w:rFonts w:asciiTheme="minorHAnsi" w:eastAsiaTheme="minorEastAsia" w:hAnsiTheme="minorHAnsi" w:cstheme="minorBidi"/>
          <w:noProof/>
          <w:lang w:eastAsia="sk-SK"/>
        </w:rPr>
      </w:pPr>
      <w:r w:rsidRPr="00666914">
        <w:rPr>
          <w:color w:val="2E74B5"/>
        </w:rPr>
        <w:fldChar w:fldCharType="begin"/>
      </w:r>
      <w:r w:rsidRPr="00666914">
        <w:rPr>
          <w:color w:val="2E74B5"/>
        </w:rPr>
        <w:instrText xml:space="preserve"> TOC \o "1-3" \h \z \u </w:instrText>
      </w:r>
      <w:r w:rsidRPr="00666914">
        <w:rPr>
          <w:color w:val="2E74B5"/>
        </w:rPr>
        <w:fldChar w:fldCharType="separate"/>
      </w:r>
      <w:hyperlink w:anchor="_Toc38447577" w:history="1">
        <w:r w:rsidR="001607F9" w:rsidRPr="0075468F">
          <w:rPr>
            <w:rStyle w:val="Hypertextovprepojenie"/>
            <w:noProof/>
          </w:rPr>
          <w:t>1</w:t>
        </w:r>
        <w:r w:rsidR="001607F9">
          <w:rPr>
            <w:rFonts w:asciiTheme="minorHAnsi" w:eastAsiaTheme="minorEastAsia" w:hAnsiTheme="minorHAnsi" w:cstheme="minorBidi"/>
            <w:noProof/>
            <w:lang w:eastAsia="sk-SK"/>
          </w:rPr>
          <w:tab/>
        </w:r>
        <w:r w:rsidR="001607F9" w:rsidRPr="0075468F">
          <w:rPr>
            <w:rStyle w:val="Hypertextovprepojenie"/>
            <w:noProof/>
          </w:rPr>
          <w:t>Úvod</w:t>
        </w:r>
        <w:r w:rsidR="001607F9">
          <w:rPr>
            <w:noProof/>
            <w:webHidden/>
          </w:rPr>
          <w:tab/>
        </w:r>
        <w:r w:rsidR="001607F9">
          <w:rPr>
            <w:noProof/>
            <w:webHidden/>
          </w:rPr>
          <w:fldChar w:fldCharType="begin"/>
        </w:r>
        <w:r w:rsidR="001607F9">
          <w:rPr>
            <w:noProof/>
            <w:webHidden/>
          </w:rPr>
          <w:instrText xml:space="preserve"> PAGEREF _Toc38447577 \h </w:instrText>
        </w:r>
        <w:r w:rsidR="001607F9">
          <w:rPr>
            <w:noProof/>
            <w:webHidden/>
          </w:rPr>
        </w:r>
        <w:r w:rsidR="001607F9">
          <w:rPr>
            <w:noProof/>
            <w:webHidden/>
          </w:rPr>
          <w:fldChar w:fldCharType="separate"/>
        </w:r>
        <w:r w:rsidR="001607F9">
          <w:rPr>
            <w:noProof/>
            <w:webHidden/>
          </w:rPr>
          <w:t>5</w:t>
        </w:r>
        <w:r w:rsidR="001607F9">
          <w:rPr>
            <w:noProof/>
            <w:webHidden/>
          </w:rPr>
          <w:fldChar w:fldCharType="end"/>
        </w:r>
      </w:hyperlink>
    </w:p>
    <w:p w14:paraId="57E7ECD0" w14:textId="0ACA0FC1" w:rsidR="001607F9" w:rsidRDefault="00C45DA3">
      <w:pPr>
        <w:pStyle w:val="Obsah1"/>
        <w:rPr>
          <w:rFonts w:asciiTheme="minorHAnsi" w:eastAsiaTheme="minorEastAsia" w:hAnsiTheme="minorHAnsi" w:cstheme="minorBidi"/>
          <w:noProof/>
          <w:lang w:eastAsia="sk-SK"/>
        </w:rPr>
      </w:pPr>
      <w:hyperlink w:anchor="_Toc38447578" w:history="1">
        <w:r w:rsidR="001607F9" w:rsidRPr="0075468F">
          <w:rPr>
            <w:rStyle w:val="Hypertextovprepojenie"/>
            <w:noProof/>
          </w:rPr>
          <w:t>2</w:t>
        </w:r>
        <w:r w:rsidR="001607F9">
          <w:rPr>
            <w:rFonts w:asciiTheme="minorHAnsi" w:eastAsiaTheme="minorEastAsia" w:hAnsiTheme="minorHAnsi" w:cstheme="minorBidi"/>
            <w:noProof/>
            <w:lang w:eastAsia="sk-SK"/>
          </w:rPr>
          <w:tab/>
        </w:r>
        <w:r w:rsidR="001607F9" w:rsidRPr="0075468F">
          <w:rPr>
            <w:rStyle w:val="Hypertextovprepojenie"/>
            <w:noProof/>
          </w:rPr>
          <w:t>Metodika odpočtu</w:t>
        </w:r>
        <w:r w:rsidR="001607F9">
          <w:rPr>
            <w:noProof/>
            <w:webHidden/>
          </w:rPr>
          <w:tab/>
        </w:r>
        <w:r w:rsidR="001607F9">
          <w:rPr>
            <w:noProof/>
            <w:webHidden/>
          </w:rPr>
          <w:fldChar w:fldCharType="begin"/>
        </w:r>
        <w:r w:rsidR="001607F9">
          <w:rPr>
            <w:noProof/>
            <w:webHidden/>
          </w:rPr>
          <w:instrText xml:space="preserve"> PAGEREF _Toc38447578 \h </w:instrText>
        </w:r>
        <w:r w:rsidR="001607F9">
          <w:rPr>
            <w:noProof/>
            <w:webHidden/>
          </w:rPr>
        </w:r>
        <w:r w:rsidR="001607F9">
          <w:rPr>
            <w:noProof/>
            <w:webHidden/>
          </w:rPr>
          <w:fldChar w:fldCharType="separate"/>
        </w:r>
        <w:r w:rsidR="001607F9">
          <w:rPr>
            <w:noProof/>
            <w:webHidden/>
          </w:rPr>
          <w:t>9</w:t>
        </w:r>
        <w:r w:rsidR="001607F9">
          <w:rPr>
            <w:noProof/>
            <w:webHidden/>
          </w:rPr>
          <w:fldChar w:fldCharType="end"/>
        </w:r>
      </w:hyperlink>
    </w:p>
    <w:p w14:paraId="7774B9AE" w14:textId="39920C66" w:rsidR="001607F9" w:rsidRDefault="00C45DA3">
      <w:pPr>
        <w:pStyle w:val="Obsah1"/>
        <w:rPr>
          <w:rFonts w:asciiTheme="minorHAnsi" w:eastAsiaTheme="minorEastAsia" w:hAnsiTheme="minorHAnsi" w:cstheme="minorBidi"/>
          <w:noProof/>
          <w:lang w:eastAsia="sk-SK"/>
        </w:rPr>
      </w:pPr>
      <w:hyperlink w:anchor="_Toc38447579" w:history="1">
        <w:r w:rsidR="001607F9" w:rsidRPr="0075468F">
          <w:rPr>
            <w:rStyle w:val="Hypertextovprepojenie"/>
            <w:noProof/>
          </w:rPr>
          <w:t>3</w:t>
        </w:r>
        <w:r w:rsidR="001607F9">
          <w:rPr>
            <w:rFonts w:asciiTheme="minorHAnsi" w:eastAsiaTheme="minorEastAsia" w:hAnsiTheme="minorHAnsi" w:cstheme="minorBidi"/>
            <w:noProof/>
            <w:lang w:eastAsia="sk-SK"/>
          </w:rPr>
          <w:tab/>
        </w:r>
        <w:r w:rsidR="001607F9" w:rsidRPr="0075468F">
          <w:rPr>
            <w:rStyle w:val="Hypertextovprepojenie"/>
            <w:noProof/>
          </w:rPr>
          <w:t>Zdravotníctvo</w:t>
        </w:r>
        <w:r w:rsidR="001607F9">
          <w:rPr>
            <w:noProof/>
            <w:webHidden/>
          </w:rPr>
          <w:tab/>
        </w:r>
        <w:r w:rsidR="001607F9">
          <w:rPr>
            <w:noProof/>
            <w:webHidden/>
          </w:rPr>
          <w:fldChar w:fldCharType="begin"/>
        </w:r>
        <w:r w:rsidR="001607F9">
          <w:rPr>
            <w:noProof/>
            <w:webHidden/>
          </w:rPr>
          <w:instrText xml:space="preserve"> PAGEREF _Toc38447579 \h </w:instrText>
        </w:r>
        <w:r w:rsidR="001607F9">
          <w:rPr>
            <w:noProof/>
            <w:webHidden/>
          </w:rPr>
        </w:r>
        <w:r w:rsidR="001607F9">
          <w:rPr>
            <w:noProof/>
            <w:webHidden/>
          </w:rPr>
          <w:fldChar w:fldCharType="separate"/>
        </w:r>
        <w:r w:rsidR="001607F9">
          <w:rPr>
            <w:noProof/>
            <w:webHidden/>
          </w:rPr>
          <w:t>10</w:t>
        </w:r>
        <w:r w:rsidR="001607F9">
          <w:rPr>
            <w:noProof/>
            <w:webHidden/>
          </w:rPr>
          <w:fldChar w:fldCharType="end"/>
        </w:r>
      </w:hyperlink>
    </w:p>
    <w:p w14:paraId="54044B69" w14:textId="6F33E0CA" w:rsidR="001607F9" w:rsidRDefault="00C45DA3">
      <w:pPr>
        <w:pStyle w:val="Obsah2"/>
        <w:rPr>
          <w:rFonts w:asciiTheme="minorHAnsi" w:eastAsiaTheme="minorEastAsia" w:hAnsiTheme="minorHAnsi" w:cstheme="minorBidi"/>
          <w:noProof/>
          <w:lang w:eastAsia="sk-SK"/>
        </w:rPr>
      </w:pPr>
      <w:hyperlink w:anchor="_Toc38447580" w:history="1">
        <w:r w:rsidR="001607F9" w:rsidRPr="0075468F">
          <w:rPr>
            <w:rStyle w:val="Hypertextovprepojenie"/>
            <w:noProof/>
          </w:rPr>
          <w:t>3.1</w:t>
        </w:r>
        <w:r w:rsidR="001607F9">
          <w:rPr>
            <w:rFonts w:asciiTheme="minorHAnsi" w:eastAsiaTheme="minorEastAsia" w:hAnsiTheme="minorHAnsi" w:cstheme="minorBidi"/>
            <w:noProof/>
            <w:lang w:eastAsia="sk-SK"/>
          </w:rPr>
          <w:tab/>
        </w:r>
        <w:r w:rsidR="001607F9" w:rsidRPr="0075468F">
          <w:rPr>
            <w:rStyle w:val="Hypertextovprepojenie"/>
            <w:noProof/>
          </w:rPr>
          <w:t>Zhrnutie</w:t>
        </w:r>
        <w:r w:rsidR="001607F9">
          <w:rPr>
            <w:noProof/>
            <w:webHidden/>
          </w:rPr>
          <w:tab/>
        </w:r>
        <w:r w:rsidR="001607F9">
          <w:rPr>
            <w:noProof/>
            <w:webHidden/>
          </w:rPr>
          <w:fldChar w:fldCharType="begin"/>
        </w:r>
        <w:r w:rsidR="001607F9">
          <w:rPr>
            <w:noProof/>
            <w:webHidden/>
          </w:rPr>
          <w:instrText xml:space="preserve"> PAGEREF _Toc38447580 \h </w:instrText>
        </w:r>
        <w:r w:rsidR="001607F9">
          <w:rPr>
            <w:noProof/>
            <w:webHidden/>
          </w:rPr>
        </w:r>
        <w:r w:rsidR="001607F9">
          <w:rPr>
            <w:noProof/>
            <w:webHidden/>
          </w:rPr>
          <w:fldChar w:fldCharType="separate"/>
        </w:r>
        <w:r w:rsidR="001607F9">
          <w:rPr>
            <w:noProof/>
            <w:webHidden/>
          </w:rPr>
          <w:t>10</w:t>
        </w:r>
        <w:r w:rsidR="001607F9">
          <w:rPr>
            <w:noProof/>
            <w:webHidden/>
          </w:rPr>
          <w:fldChar w:fldCharType="end"/>
        </w:r>
      </w:hyperlink>
    </w:p>
    <w:p w14:paraId="43CDD715" w14:textId="2ADC754A" w:rsidR="001607F9" w:rsidRDefault="00C45DA3">
      <w:pPr>
        <w:pStyle w:val="Obsah2"/>
        <w:rPr>
          <w:rFonts w:asciiTheme="minorHAnsi" w:eastAsiaTheme="minorEastAsia" w:hAnsiTheme="minorHAnsi" w:cstheme="minorBidi"/>
          <w:noProof/>
          <w:lang w:eastAsia="sk-SK"/>
        </w:rPr>
      </w:pPr>
      <w:hyperlink w:anchor="_Toc38447581" w:history="1">
        <w:r w:rsidR="001607F9" w:rsidRPr="0075468F">
          <w:rPr>
            <w:rStyle w:val="Hypertextovprepojenie"/>
            <w:noProof/>
          </w:rPr>
          <w:t>3.2</w:t>
        </w:r>
        <w:r w:rsidR="001607F9">
          <w:rPr>
            <w:rFonts w:asciiTheme="minorHAnsi" w:eastAsiaTheme="minorEastAsia" w:hAnsiTheme="minorHAnsi" w:cstheme="minorBidi"/>
            <w:noProof/>
            <w:lang w:eastAsia="sk-SK"/>
          </w:rPr>
          <w:tab/>
        </w:r>
        <w:r w:rsidR="001607F9" w:rsidRPr="0075468F">
          <w:rPr>
            <w:rStyle w:val="Hypertextovprepojenie"/>
            <w:noProof/>
          </w:rPr>
          <w:t>Lieky a lieková politika</w:t>
        </w:r>
        <w:r w:rsidR="001607F9">
          <w:rPr>
            <w:noProof/>
            <w:webHidden/>
          </w:rPr>
          <w:tab/>
        </w:r>
        <w:r w:rsidR="001607F9">
          <w:rPr>
            <w:noProof/>
            <w:webHidden/>
          </w:rPr>
          <w:fldChar w:fldCharType="begin"/>
        </w:r>
        <w:r w:rsidR="001607F9">
          <w:rPr>
            <w:noProof/>
            <w:webHidden/>
          </w:rPr>
          <w:instrText xml:space="preserve"> PAGEREF _Toc38447581 \h </w:instrText>
        </w:r>
        <w:r w:rsidR="001607F9">
          <w:rPr>
            <w:noProof/>
            <w:webHidden/>
          </w:rPr>
        </w:r>
        <w:r w:rsidR="001607F9">
          <w:rPr>
            <w:noProof/>
            <w:webHidden/>
          </w:rPr>
          <w:fldChar w:fldCharType="separate"/>
        </w:r>
        <w:r w:rsidR="001607F9">
          <w:rPr>
            <w:noProof/>
            <w:webHidden/>
          </w:rPr>
          <w:t>15</w:t>
        </w:r>
        <w:r w:rsidR="001607F9">
          <w:rPr>
            <w:noProof/>
            <w:webHidden/>
          </w:rPr>
          <w:fldChar w:fldCharType="end"/>
        </w:r>
      </w:hyperlink>
    </w:p>
    <w:p w14:paraId="4AC11599" w14:textId="01249141" w:rsidR="001607F9" w:rsidRDefault="00C45DA3">
      <w:pPr>
        <w:pStyle w:val="Obsah2"/>
        <w:rPr>
          <w:rFonts w:asciiTheme="minorHAnsi" w:eastAsiaTheme="minorEastAsia" w:hAnsiTheme="minorHAnsi" w:cstheme="minorBidi"/>
          <w:noProof/>
          <w:lang w:eastAsia="sk-SK"/>
        </w:rPr>
      </w:pPr>
      <w:hyperlink w:anchor="_Toc38447582" w:history="1">
        <w:r w:rsidR="001607F9" w:rsidRPr="0075468F">
          <w:rPr>
            <w:rStyle w:val="Hypertextovprepojenie"/>
            <w:noProof/>
          </w:rPr>
          <w:t>3.3</w:t>
        </w:r>
        <w:r w:rsidR="001607F9">
          <w:rPr>
            <w:rFonts w:asciiTheme="minorHAnsi" w:eastAsiaTheme="minorEastAsia" w:hAnsiTheme="minorHAnsi" w:cstheme="minorBidi"/>
            <w:noProof/>
            <w:lang w:eastAsia="sk-SK"/>
          </w:rPr>
          <w:tab/>
        </w:r>
        <w:r w:rsidR="001607F9" w:rsidRPr="0075468F">
          <w:rPr>
            <w:rStyle w:val="Hypertextovprepojenie"/>
            <w:noProof/>
          </w:rPr>
          <w:t>Zdravotnícke pomôcky a revízne činnosti</w:t>
        </w:r>
        <w:r w:rsidR="001607F9">
          <w:rPr>
            <w:noProof/>
            <w:webHidden/>
          </w:rPr>
          <w:tab/>
        </w:r>
        <w:r w:rsidR="001607F9">
          <w:rPr>
            <w:noProof/>
            <w:webHidden/>
          </w:rPr>
          <w:fldChar w:fldCharType="begin"/>
        </w:r>
        <w:r w:rsidR="001607F9">
          <w:rPr>
            <w:noProof/>
            <w:webHidden/>
          </w:rPr>
          <w:instrText xml:space="preserve"> PAGEREF _Toc38447582 \h </w:instrText>
        </w:r>
        <w:r w:rsidR="001607F9">
          <w:rPr>
            <w:noProof/>
            <w:webHidden/>
          </w:rPr>
        </w:r>
        <w:r w:rsidR="001607F9">
          <w:rPr>
            <w:noProof/>
            <w:webHidden/>
          </w:rPr>
          <w:fldChar w:fldCharType="separate"/>
        </w:r>
        <w:r w:rsidR="001607F9">
          <w:rPr>
            <w:noProof/>
            <w:webHidden/>
          </w:rPr>
          <w:t>20</w:t>
        </w:r>
        <w:r w:rsidR="001607F9">
          <w:rPr>
            <w:noProof/>
            <w:webHidden/>
          </w:rPr>
          <w:fldChar w:fldCharType="end"/>
        </w:r>
      </w:hyperlink>
    </w:p>
    <w:p w14:paraId="6C6667AB" w14:textId="5C67F04D" w:rsidR="001607F9" w:rsidRDefault="00C45DA3">
      <w:pPr>
        <w:pStyle w:val="Obsah2"/>
        <w:rPr>
          <w:rFonts w:asciiTheme="minorHAnsi" w:eastAsiaTheme="minorEastAsia" w:hAnsiTheme="minorHAnsi" w:cstheme="minorBidi"/>
          <w:noProof/>
          <w:lang w:eastAsia="sk-SK"/>
        </w:rPr>
      </w:pPr>
      <w:hyperlink w:anchor="_Toc38447583" w:history="1">
        <w:r w:rsidR="001607F9" w:rsidRPr="0075468F">
          <w:rPr>
            <w:rStyle w:val="Hypertextovprepojenie"/>
            <w:noProof/>
          </w:rPr>
          <w:t>3.4</w:t>
        </w:r>
        <w:r w:rsidR="001607F9">
          <w:rPr>
            <w:rFonts w:asciiTheme="minorHAnsi" w:eastAsiaTheme="minorEastAsia" w:hAnsiTheme="minorHAnsi" w:cstheme="minorBidi"/>
            <w:noProof/>
            <w:lang w:eastAsia="sk-SK"/>
          </w:rPr>
          <w:tab/>
        </w:r>
        <w:r w:rsidR="001607F9" w:rsidRPr="0075468F">
          <w:rPr>
            <w:rStyle w:val="Hypertextovprepojenie"/>
            <w:noProof/>
          </w:rPr>
          <w:t>Diagnostika</w:t>
        </w:r>
        <w:r w:rsidR="001607F9">
          <w:rPr>
            <w:noProof/>
            <w:webHidden/>
          </w:rPr>
          <w:tab/>
        </w:r>
        <w:r w:rsidR="001607F9">
          <w:rPr>
            <w:noProof/>
            <w:webHidden/>
          </w:rPr>
          <w:fldChar w:fldCharType="begin"/>
        </w:r>
        <w:r w:rsidR="001607F9">
          <w:rPr>
            <w:noProof/>
            <w:webHidden/>
          </w:rPr>
          <w:instrText xml:space="preserve"> PAGEREF _Toc38447583 \h </w:instrText>
        </w:r>
        <w:r w:rsidR="001607F9">
          <w:rPr>
            <w:noProof/>
            <w:webHidden/>
          </w:rPr>
        </w:r>
        <w:r w:rsidR="001607F9">
          <w:rPr>
            <w:noProof/>
            <w:webHidden/>
          </w:rPr>
          <w:fldChar w:fldCharType="separate"/>
        </w:r>
        <w:r w:rsidR="001607F9">
          <w:rPr>
            <w:noProof/>
            <w:webHidden/>
          </w:rPr>
          <w:t>21</w:t>
        </w:r>
        <w:r w:rsidR="001607F9">
          <w:rPr>
            <w:noProof/>
            <w:webHidden/>
          </w:rPr>
          <w:fldChar w:fldCharType="end"/>
        </w:r>
      </w:hyperlink>
    </w:p>
    <w:p w14:paraId="2FA40A33" w14:textId="4CA12E6E" w:rsidR="001607F9" w:rsidRDefault="00C45DA3">
      <w:pPr>
        <w:pStyle w:val="Obsah2"/>
        <w:rPr>
          <w:rFonts w:asciiTheme="minorHAnsi" w:eastAsiaTheme="minorEastAsia" w:hAnsiTheme="minorHAnsi" w:cstheme="minorBidi"/>
          <w:noProof/>
          <w:lang w:eastAsia="sk-SK"/>
        </w:rPr>
      </w:pPr>
      <w:hyperlink w:anchor="_Toc38447584" w:history="1">
        <w:r w:rsidR="001607F9" w:rsidRPr="0075468F">
          <w:rPr>
            <w:rStyle w:val="Hypertextovprepojenie"/>
            <w:noProof/>
          </w:rPr>
          <w:t>3.5</w:t>
        </w:r>
        <w:r w:rsidR="001607F9">
          <w:rPr>
            <w:rFonts w:asciiTheme="minorHAnsi" w:eastAsiaTheme="minorEastAsia" w:hAnsiTheme="minorHAnsi" w:cstheme="minorBidi"/>
            <w:noProof/>
            <w:lang w:eastAsia="sk-SK"/>
          </w:rPr>
          <w:tab/>
        </w:r>
        <w:r w:rsidR="001607F9" w:rsidRPr="0075468F">
          <w:rPr>
            <w:rStyle w:val="Hypertextovprepojenie"/>
            <w:noProof/>
          </w:rPr>
          <w:t>Nemocnice</w:t>
        </w:r>
        <w:r w:rsidR="001607F9">
          <w:rPr>
            <w:noProof/>
            <w:webHidden/>
          </w:rPr>
          <w:tab/>
        </w:r>
        <w:r w:rsidR="001607F9">
          <w:rPr>
            <w:noProof/>
            <w:webHidden/>
          </w:rPr>
          <w:fldChar w:fldCharType="begin"/>
        </w:r>
        <w:r w:rsidR="001607F9">
          <w:rPr>
            <w:noProof/>
            <w:webHidden/>
          </w:rPr>
          <w:instrText xml:space="preserve"> PAGEREF _Toc38447584 \h </w:instrText>
        </w:r>
        <w:r w:rsidR="001607F9">
          <w:rPr>
            <w:noProof/>
            <w:webHidden/>
          </w:rPr>
        </w:r>
        <w:r w:rsidR="001607F9">
          <w:rPr>
            <w:noProof/>
            <w:webHidden/>
          </w:rPr>
          <w:fldChar w:fldCharType="separate"/>
        </w:r>
        <w:r w:rsidR="001607F9">
          <w:rPr>
            <w:noProof/>
            <w:webHidden/>
          </w:rPr>
          <w:t>24</w:t>
        </w:r>
        <w:r w:rsidR="001607F9">
          <w:rPr>
            <w:noProof/>
            <w:webHidden/>
          </w:rPr>
          <w:fldChar w:fldCharType="end"/>
        </w:r>
      </w:hyperlink>
    </w:p>
    <w:p w14:paraId="432822C4" w14:textId="7F2ADD3B" w:rsidR="001607F9" w:rsidRDefault="00C45DA3">
      <w:pPr>
        <w:pStyle w:val="Obsah2"/>
        <w:rPr>
          <w:rFonts w:asciiTheme="minorHAnsi" w:eastAsiaTheme="minorEastAsia" w:hAnsiTheme="minorHAnsi" w:cstheme="minorBidi"/>
          <w:noProof/>
          <w:lang w:eastAsia="sk-SK"/>
        </w:rPr>
      </w:pPr>
      <w:hyperlink w:anchor="_Toc38447585" w:history="1">
        <w:r w:rsidR="001607F9" w:rsidRPr="0075468F">
          <w:rPr>
            <w:rStyle w:val="Hypertextovprepojenie"/>
            <w:noProof/>
          </w:rPr>
          <w:t>3.6</w:t>
        </w:r>
        <w:r w:rsidR="001607F9">
          <w:rPr>
            <w:rFonts w:asciiTheme="minorHAnsi" w:eastAsiaTheme="minorEastAsia" w:hAnsiTheme="minorHAnsi" w:cstheme="minorBidi"/>
            <w:noProof/>
            <w:lang w:eastAsia="sk-SK"/>
          </w:rPr>
          <w:tab/>
        </w:r>
        <w:r w:rsidR="001607F9" w:rsidRPr="0075468F">
          <w:rPr>
            <w:rStyle w:val="Hypertextovprepojenie"/>
            <w:noProof/>
          </w:rPr>
          <w:t>Dáta a procesy</w:t>
        </w:r>
        <w:r w:rsidR="001607F9">
          <w:rPr>
            <w:noProof/>
            <w:webHidden/>
          </w:rPr>
          <w:tab/>
        </w:r>
        <w:r w:rsidR="001607F9">
          <w:rPr>
            <w:noProof/>
            <w:webHidden/>
          </w:rPr>
          <w:fldChar w:fldCharType="begin"/>
        </w:r>
        <w:r w:rsidR="001607F9">
          <w:rPr>
            <w:noProof/>
            <w:webHidden/>
          </w:rPr>
          <w:instrText xml:space="preserve"> PAGEREF _Toc38447585 \h </w:instrText>
        </w:r>
        <w:r w:rsidR="001607F9">
          <w:rPr>
            <w:noProof/>
            <w:webHidden/>
          </w:rPr>
        </w:r>
        <w:r w:rsidR="001607F9">
          <w:rPr>
            <w:noProof/>
            <w:webHidden/>
          </w:rPr>
          <w:fldChar w:fldCharType="separate"/>
        </w:r>
        <w:r w:rsidR="001607F9">
          <w:rPr>
            <w:noProof/>
            <w:webHidden/>
          </w:rPr>
          <w:t>32</w:t>
        </w:r>
        <w:r w:rsidR="001607F9">
          <w:rPr>
            <w:noProof/>
            <w:webHidden/>
          </w:rPr>
          <w:fldChar w:fldCharType="end"/>
        </w:r>
      </w:hyperlink>
    </w:p>
    <w:p w14:paraId="75CA83AE" w14:textId="2F7ECE90" w:rsidR="001607F9" w:rsidRDefault="00C45DA3">
      <w:pPr>
        <w:pStyle w:val="Obsah2"/>
        <w:rPr>
          <w:rFonts w:asciiTheme="minorHAnsi" w:eastAsiaTheme="minorEastAsia" w:hAnsiTheme="minorHAnsi" w:cstheme="minorBidi"/>
          <w:noProof/>
          <w:lang w:eastAsia="sk-SK"/>
        </w:rPr>
      </w:pPr>
      <w:hyperlink w:anchor="_Toc38447586" w:history="1">
        <w:r w:rsidR="001607F9" w:rsidRPr="0075468F">
          <w:rPr>
            <w:rStyle w:val="Hypertextovprepojenie"/>
            <w:noProof/>
          </w:rPr>
          <w:t>3.7</w:t>
        </w:r>
        <w:r w:rsidR="001607F9">
          <w:rPr>
            <w:rFonts w:asciiTheme="minorHAnsi" w:eastAsiaTheme="minorEastAsia" w:hAnsiTheme="minorHAnsi" w:cstheme="minorBidi"/>
            <w:noProof/>
            <w:lang w:eastAsia="sk-SK"/>
          </w:rPr>
          <w:tab/>
        </w:r>
        <w:r w:rsidR="001607F9" w:rsidRPr="0075468F">
          <w:rPr>
            <w:rStyle w:val="Hypertextovprepojenie"/>
            <w:noProof/>
          </w:rPr>
          <w:t>Analytické úlohy</w:t>
        </w:r>
        <w:r w:rsidR="001607F9">
          <w:rPr>
            <w:noProof/>
            <w:webHidden/>
          </w:rPr>
          <w:tab/>
        </w:r>
        <w:r w:rsidR="001607F9">
          <w:rPr>
            <w:noProof/>
            <w:webHidden/>
          </w:rPr>
          <w:fldChar w:fldCharType="begin"/>
        </w:r>
        <w:r w:rsidR="001607F9">
          <w:rPr>
            <w:noProof/>
            <w:webHidden/>
          </w:rPr>
          <w:instrText xml:space="preserve"> PAGEREF _Toc38447586 \h </w:instrText>
        </w:r>
        <w:r w:rsidR="001607F9">
          <w:rPr>
            <w:noProof/>
            <w:webHidden/>
          </w:rPr>
        </w:r>
        <w:r w:rsidR="001607F9">
          <w:rPr>
            <w:noProof/>
            <w:webHidden/>
          </w:rPr>
          <w:fldChar w:fldCharType="separate"/>
        </w:r>
        <w:r w:rsidR="001607F9">
          <w:rPr>
            <w:noProof/>
            <w:webHidden/>
          </w:rPr>
          <w:t>34</w:t>
        </w:r>
        <w:r w:rsidR="001607F9">
          <w:rPr>
            <w:noProof/>
            <w:webHidden/>
          </w:rPr>
          <w:fldChar w:fldCharType="end"/>
        </w:r>
      </w:hyperlink>
    </w:p>
    <w:p w14:paraId="752A992D" w14:textId="13D59E51" w:rsidR="001607F9" w:rsidRDefault="00C45DA3">
      <w:pPr>
        <w:pStyle w:val="Obsah2"/>
        <w:rPr>
          <w:rFonts w:asciiTheme="minorHAnsi" w:eastAsiaTheme="minorEastAsia" w:hAnsiTheme="minorHAnsi" w:cstheme="minorBidi"/>
          <w:noProof/>
          <w:lang w:eastAsia="sk-SK"/>
        </w:rPr>
      </w:pPr>
      <w:hyperlink w:anchor="_Toc38447587" w:history="1">
        <w:r w:rsidR="001607F9" w:rsidRPr="0075468F">
          <w:rPr>
            <w:rStyle w:val="Hypertextovprepojenie"/>
            <w:noProof/>
          </w:rPr>
          <w:t>Príloha č. 1 Zdravotnícke zariadenia pripojené do systému DRG k 1.1.2020</w:t>
        </w:r>
        <w:r w:rsidR="001607F9">
          <w:rPr>
            <w:noProof/>
            <w:webHidden/>
          </w:rPr>
          <w:tab/>
        </w:r>
        <w:r w:rsidR="001607F9">
          <w:rPr>
            <w:noProof/>
            <w:webHidden/>
          </w:rPr>
          <w:fldChar w:fldCharType="begin"/>
        </w:r>
        <w:r w:rsidR="001607F9">
          <w:rPr>
            <w:noProof/>
            <w:webHidden/>
          </w:rPr>
          <w:instrText xml:space="preserve"> PAGEREF _Toc38447587 \h </w:instrText>
        </w:r>
        <w:r w:rsidR="001607F9">
          <w:rPr>
            <w:noProof/>
            <w:webHidden/>
          </w:rPr>
        </w:r>
        <w:r w:rsidR="001607F9">
          <w:rPr>
            <w:noProof/>
            <w:webHidden/>
          </w:rPr>
          <w:fldChar w:fldCharType="separate"/>
        </w:r>
        <w:r w:rsidR="001607F9">
          <w:rPr>
            <w:noProof/>
            <w:webHidden/>
          </w:rPr>
          <w:t>35</w:t>
        </w:r>
        <w:r w:rsidR="001607F9">
          <w:rPr>
            <w:noProof/>
            <w:webHidden/>
          </w:rPr>
          <w:fldChar w:fldCharType="end"/>
        </w:r>
      </w:hyperlink>
    </w:p>
    <w:p w14:paraId="7E4353FF" w14:textId="19AA5700" w:rsidR="001607F9" w:rsidRDefault="00C45DA3">
      <w:pPr>
        <w:pStyle w:val="Obsah1"/>
        <w:rPr>
          <w:rFonts w:asciiTheme="minorHAnsi" w:eastAsiaTheme="minorEastAsia" w:hAnsiTheme="minorHAnsi" w:cstheme="minorBidi"/>
          <w:noProof/>
          <w:lang w:eastAsia="sk-SK"/>
        </w:rPr>
      </w:pPr>
      <w:hyperlink w:anchor="_Toc38447588" w:history="1">
        <w:r w:rsidR="001607F9" w:rsidRPr="0075468F">
          <w:rPr>
            <w:rStyle w:val="Hypertextovprepojenie"/>
            <w:noProof/>
          </w:rPr>
          <w:t>4</w:t>
        </w:r>
        <w:r w:rsidR="001607F9">
          <w:rPr>
            <w:rFonts w:asciiTheme="minorHAnsi" w:eastAsiaTheme="minorEastAsia" w:hAnsiTheme="minorHAnsi" w:cstheme="minorBidi"/>
            <w:noProof/>
            <w:lang w:eastAsia="sk-SK"/>
          </w:rPr>
          <w:tab/>
        </w:r>
        <w:r w:rsidR="001607F9" w:rsidRPr="0075468F">
          <w:rPr>
            <w:rStyle w:val="Hypertextovprepojenie"/>
            <w:noProof/>
          </w:rPr>
          <w:t>Doprava</w:t>
        </w:r>
        <w:r w:rsidR="001607F9">
          <w:rPr>
            <w:noProof/>
            <w:webHidden/>
          </w:rPr>
          <w:tab/>
        </w:r>
        <w:r w:rsidR="001607F9">
          <w:rPr>
            <w:noProof/>
            <w:webHidden/>
          </w:rPr>
          <w:fldChar w:fldCharType="begin"/>
        </w:r>
        <w:r w:rsidR="001607F9">
          <w:rPr>
            <w:noProof/>
            <w:webHidden/>
          </w:rPr>
          <w:instrText xml:space="preserve"> PAGEREF _Toc38447588 \h </w:instrText>
        </w:r>
        <w:r w:rsidR="001607F9">
          <w:rPr>
            <w:noProof/>
            <w:webHidden/>
          </w:rPr>
        </w:r>
        <w:r w:rsidR="001607F9">
          <w:rPr>
            <w:noProof/>
            <w:webHidden/>
          </w:rPr>
          <w:fldChar w:fldCharType="separate"/>
        </w:r>
        <w:r w:rsidR="001607F9">
          <w:rPr>
            <w:noProof/>
            <w:webHidden/>
          </w:rPr>
          <w:t>37</w:t>
        </w:r>
        <w:r w:rsidR="001607F9">
          <w:rPr>
            <w:noProof/>
            <w:webHidden/>
          </w:rPr>
          <w:fldChar w:fldCharType="end"/>
        </w:r>
      </w:hyperlink>
    </w:p>
    <w:p w14:paraId="77FA5931" w14:textId="6781051F" w:rsidR="001607F9" w:rsidRDefault="00C45DA3">
      <w:pPr>
        <w:pStyle w:val="Obsah2"/>
        <w:rPr>
          <w:rFonts w:asciiTheme="minorHAnsi" w:eastAsiaTheme="minorEastAsia" w:hAnsiTheme="minorHAnsi" w:cstheme="minorBidi"/>
          <w:noProof/>
          <w:lang w:eastAsia="sk-SK"/>
        </w:rPr>
      </w:pPr>
      <w:hyperlink w:anchor="_Toc38447589" w:history="1">
        <w:r w:rsidR="001607F9" w:rsidRPr="0075468F">
          <w:rPr>
            <w:rStyle w:val="Hypertextovprepojenie"/>
            <w:noProof/>
          </w:rPr>
          <w:t>4.1</w:t>
        </w:r>
        <w:r w:rsidR="001607F9">
          <w:rPr>
            <w:rFonts w:asciiTheme="minorHAnsi" w:eastAsiaTheme="minorEastAsia" w:hAnsiTheme="minorHAnsi" w:cstheme="minorBidi"/>
            <w:noProof/>
            <w:lang w:eastAsia="sk-SK"/>
          </w:rPr>
          <w:tab/>
        </w:r>
        <w:r w:rsidR="001607F9" w:rsidRPr="0075468F">
          <w:rPr>
            <w:rStyle w:val="Hypertextovprepojenie"/>
            <w:noProof/>
          </w:rPr>
          <w:t>Zhrnutie</w:t>
        </w:r>
        <w:r w:rsidR="001607F9">
          <w:rPr>
            <w:noProof/>
            <w:webHidden/>
          </w:rPr>
          <w:tab/>
        </w:r>
        <w:r w:rsidR="001607F9">
          <w:rPr>
            <w:noProof/>
            <w:webHidden/>
          </w:rPr>
          <w:fldChar w:fldCharType="begin"/>
        </w:r>
        <w:r w:rsidR="001607F9">
          <w:rPr>
            <w:noProof/>
            <w:webHidden/>
          </w:rPr>
          <w:instrText xml:space="preserve"> PAGEREF _Toc38447589 \h </w:instrText>
        </w:r>
        <w:r w:rsidR="001607F9">
          <w:rPr>
            <w:noProof/>
            <w:webHidden/>
          </w:rPr>
        </w:r>
        <w:r w:rsidR="001607F9">
          <w:rPr>
            <w:noProof/>
            <w:webHidden/>
          </w:rPr>
          <w:fldChar w:fldCharType="separate"/>
        </w:r>
        <w:r w:rsidR="001607F9">
          <w:rPr>
            <w:noProof/>
            <w:webHidden/>
          </w:rPr>
          <w:t>37</w:t>
        </w:r>
        <w:r w:rsidR="001607F9">
          <w:rPr>
            <w:noProof/>
            <w:webHidden/>
          </w:rPr>
          <w:fldChar w:fldCharType="end"/>
        </w:r>
      </w:hyperlink>
    </w:p>
    <w:p w14:paraId="5A3C9ADF" w14:textId="5B4C1775" w:rsidR="001607F9" w:rsidRDefault="00C45DA3">
      <w:pPr>
        <w:pStyle w:val="Obsah2"/>
        <w:rPr>
          <w:rFonts w:asciiTheme="minorHAnsi" w:eastAsiaTheme="minorEastAsia" w:hAnsiTheme="minorHAnsi" w:cstheme="minorBidi"/>
          <w:noProof/>
          <w:lang w:eastAsia="sk-SK"/>
        </w:rPr>
      </w:pPr>
      <w:hyperlink w:anchor="_Toc38447590" w:history="1">
        <w:r w:rsidR="001607F9" w:rsidRPr="0075468F">
          <w:rPr>
            <w:rStyle w:val="Hypertextovprepojenie"/>
            <w:noProof/>
          </w:rPr>
          <w:t>4.2</w:t>
        </w:r>
        <w:r w:rsidR="001607F9">
          <w:rPr>
            <w:rFonts w:asciiTheme="minorHAnsi" w:eastAsiaTheme="minorEastAsia" w:hAnsiTheme="minorHAnsi" w:cstheme="minorBidi"/>
            <w:noProof/>
            <w:lang w:eastAsia="sk-SK"/>
          </w:rPr>
          <w:tab/>
        </w:r>
        <w:r w:rsidR="001607F9" w:rsidRPr="0075468F">
          <w:rPr>
            <w:rStyle w:val="Hypertextovprepojenie"/>
            <w:noProof/>
          </w:rPr>
          <w:t>Plánovanie a príprava investičných projektov v doprave</w:t>
        </w:r>
        <w:r w:rsidR="001607F9">
          <w:rPr>
            <w:noProof/>
            <w:webHidden/>
          </w:rPr>
          <w:tab/>
        </w:r>
        <w:r w:rsidR="001607F9">
          <w:rPr>
            <w:noProof/>
            <w:webHidden/>
          </w:rPr>
          <w:fldChar w:fldCharType="begin"/>
        </w:r>
        <w:r w:rsidR="001607F9">
          <w:rPr>
            <w:noProof/>
            <w:webHidden/>
          </w:rPr>
          <w:instrText xml:space="preserve"> PAGEREF _Toc38447590 \h </w:instrText>
        </w:r>
        <w:r w:rsidR="001607F9">
          <w:rPr>
            <w:noProof/>
            <w:webHidden/>
          </w:rPr>
        </w:r>
        <w:r w:rsidR="001607F9">
          <w:rPr>
            <w:noProof/>
            <w:webHidden/>
          </w:rPr>
          <w:fldChar w:fldCharType="separate"/>
        </w:r>
        <w:r w:rsidR="001607F9">
          <w:rPr>
            <w:noProof/>
            <w:webHidden/>
          </w:rPr>
          <w:t>44</w:t>
        </w:r>
        <w:r w:rsidR="001607F9">
          <w:rPr>
            <w:noProof/>
            <w:webHidden/>
          </w:rPr>
          <w:fldChar w:fldCharType="end"/>
        </w:r>
      </w:hyperlink>
    </w:p>
    <w:p w14:paraId="620E3068" w14:textId="01888E1D" w:rsidR="001607F9" w:rsidRDefault="00C45DA3">
      <w:pPr>
        <w:pStyle w:val="Obsah2"/>
        <w:rPr>
          <w:rFonts w:asciiTheme="minorHAnsi" w:eastAsiaTheme="minorEastAsia" w:hAnsiTheme="minorHAnsi" w:cstheme="minorBidi"/>
          <w:noProof/>
          <w:lang w:eastAsia="sk-SK"/>
        </w:rPr>
      </w:pPr>
      <w:hyperlink w:anchor="_Toc38447591" w:history="1">
        <w:r w:rsidR="001607F9" w:rsidRPr="0075468F">
          <w:rPr>
            <w:rStyle w:val="Hypertextovprepojenie"/>
            <w:noProof/>
          </w:rPr>
          <w:t>4.3</w:t>
        </w:r>
        <w:r w:rsidR="001607F9">
          <w:rPr>
            <w:rFonts w:asciiTheme="minorHAnsi" w:eastAsiaTheme="minorEastAsia" w:hAnsiTheme="minorHAnsi" w:cstheme="minorBidi"/>
            <w:noProof/>
            <w:lang w:eastAsia="sk-SK"/>
          </w:rPr>
          <w:tab/>
        </w:r>
        <w:r w:rsidR="001607F9" w:rsidRPr="0075468F">
          <w:rPr>
            <w:rStyle w:val="Hypertextovprepojenie"/>
            <w:noProof/>
          </w:rPr>
          <w:t>Diaľnice, rýchlostné cesty a cesty I. triedy</w:t>
        </w:r>
        <w:r w:rsidR="001607F9">
          <w:rPr>
            <w:noProof/>
            <w:webHidden/>
          </w:rPr>
          <w:tab/>
        </w:r>
        <w:r w:rsidR="001607F9">
          <w:rPr>
            <w:noProof/>
            <w:webHidden/>
          </w:rPr>
          <w:fldChar w:fldCharType="begin"/>
        </w:r>
        <w:r w:rsidR="001607F9">
          <w:rPr>
            <w:noProof/>
            <w:webHidden/>
          </w:rPr>
          <w:instrText xml:space="preserve"> PAGEREF _Toc38447591 \h </w:instrText>
        </w:r>
        <w:r w:rsidR="001607F9">
          <w:rPr>
            <w:noProof/>
            <w:webHidden/>
          </w:rPr>
        </w:r>
        <w:r w:rsidR="001607F9">
          <w:rPr>
            <w:noProof/>
            <w:webHidden/>
          </w:rPr>
          <w:fldChar w:fldCharType="separate"/>
        </w:r>
        <w:r w:rsidR="001607F9">
          <w:rPr>
            <w:noProof/>
            <w:webHidden/>
          </w:rPr>
          <w:t>50</w:t>
        </w:r>
        <w:r w:rsidR="001607F9">
          <w:rPr>
            <w:noProof/>
            <w:webHidden/>
          </w:rPr>
          <w:fldChar w:fldCharType="end"/>
        </w:r>
      </w:hyperlink>
    </w:p>
    <w:p w14:paraId="5563E5FD" w14:textId="3531FA75" w:rsidR="001607F9" w:rsidRDefault="00C45DA3">
      <w:pPr>
        <w:pStyle w:val="Obsah2"/>
        <w:rPr>
          <w:rFonts w:asciiTheme="minorHAnsi" w:eastAsiaTheme="minorEastAsia" w:hAnsiTheme="minorHAnsi" w:cstheme="minorBidi"/>
          <w:noProof/>
          <w:lang w:eastAsia="sk-SK"/>
        </w:rPr>
      </w:pPr>
      <w:hyperlink w:anchor="_Toc38447592" w:history="1">
        <w:r w:rsidR="001607F9" w:rsidRPr="0075468F">
          <w:rPr>
            <w:rStyle w:val="Hypertextovprepojenie"/>
            <w:noProof/>
          </w:rPr>
          <w:t>4.4</w:t>
        </w:r>
        <w:r w:rsidR="001607F9">
          <w:rPr>
            <w:rFonts w:asciiTheme="minorHAnsi" w:eastAsiaTheme="minorEastAsia" w:hAnsiTheme="minorHAnsi" w:cstheme="minorBidi"/>
            <w:noProof/>
            <w:lang w:eastAsia="sk-SK"/>
          </w:rPr>
          <w:tab/>
        </w:r>
        <w:r w:rsidR="001607F9" w:rsidRPr="0075468F">
          <w:rPr>
            <w:rStyle w:val="Hypertextovprepojenie"/>
            <w:noProof/>
          </w:rPr>
          <w:t>Železničná infraštruktúra a osobná doprava</w:t>
        </w:r>
        <w:r w:rsidR="001607F9">
          <w:rPr>
            <w:noProof/>
            <w:webHidden/>
          </w:rPr>
          <w:tab/>
        </w:r>
        <w:r w:rsidR="001607F9">
          <w:rPr>
            <w:noProof/>
            <w:webHidden/>
          </w:rPr>
          <w:fldChar w:fldCharType="begin"/>
        </w:r>
        <w:r w:rsidR="001607F9">
          <w:rPr>
            <w:noProof/>
            <w:webHidden/>
          </w:rPr>
          <w:instrText xml:space="preserve"> PAGEREF _Toc38447592 \h </w:instrText>
        </w:r>
        <w:r w:rsidR="001607F9">
          <w:rPr>
            <w:noProof/>
            <w:webHidden/>
          </w:rPr>
        </w:r>
        <w:r w:rsidR="001607F9">
          <w:rPr>
            <w:noProof/>
            <w:webHidden/>
          </w:rPr>
          <w:fldChar w:fldCharType="separate"/>
        </w:r>
        <w:r w:rsidR="001607F9">
          <w:rPr>
            <w:noProof/>
            <w:webHidden/>
          </w:rPr>
          <w:t>57</w:t>
        </w:r>
        <w:r w:rsidR="001607F9">
          <w:rPr>
            <w:noProof/>
            <w:webHidden/>
          </w:rPr>
          <w:fldChar w:fldCharType="end"/>
        </w:r>
      </w:hyperlink>
    </w:p>
    <w:p w14:paraId="747AFD70" w14:textId="7B69EF6F" w:rsidR="001607F9" w:rsidRDefault="00C45DA3">
      <w:pPr>
        <w:pStyle w:val="Obsah2"/>
        <w:rPr>
          <w:rFonts w:asciiTheme="minorHAnsi" w:eastAsiaTheme="minorEastAsia" w:hAnsiTheme="minorHAnsi" w:cstheme="minorBidi"/>
          <w:noProof/>
          <w:lang w:eastAsia="sk-SK"/>
        </w:rPr>
      </w:pPr>
      <w:hyperlink w:anchor="_Toc38447593" w:history="1">
        <w:r w:rsidR="001607F9" w:rsidRPr="0075468F">
          <w:rPr>
            <w:rStyle w:val="Hypertextovprepojenie"/>
            <w:noProof/>
          </w:rPr>
          <w:t>4.5</w:t>
        </w:r>
        <w:r w:rsidR="001607F9">
          <w:rPr>
            <w:rFonts w:asciiTheme="minorHAnsi" w:eastAsiaTheme="minorEastAsia" w:hAnsiTheme="minorHAnsi" w:cstheme="minorBidi"/>
            <w:noProof/>
            <w:lang w:eastAsia="sk-SK"/>
          </w:rPr>
          <w:tab/>
        </w:r>
        <w:r w:rsidR="001607F9" w:rsidRPr="0075468F">
          <w:rPr>
            <w:rStyle w:val="Hypertextovprepojenie"/>
            <w:noProof/>
          </w:rPr>
          <w:t>Dopravné dáta, modely a metodika pre CBA</w:t>
        </w:r>
        <w:r w:rsidR="001607F9">
          <w:rPr>
            <w:noProof/>
            <w:webHidden/>
          </w:rPr>
          <w:tab/>
        </w:r>
        <w:r w:rsidR="001607F9">
          <w:rPr>
            <w:noProof/>
            <w:webHidden/>
          </w:rPr>
          <w:fldChar w:fldCharType="begin"/>
        </w:r>
        <w:r w:rsidR="001607F9">
          <w:rPr>
            <w:noProof/>
            <w:webHidden/>
          </w:rPr>
          <w:instrText xml:space="preserve"> PAGEREF _Toc38447593 \h </w:instrText>
        </w:r>
        <w:r w:rsidR="001607F9">
          <w:rPr>
            <w:noProof/>
            <w:webHidden/>
          </w:rPr>
        </w:r>
        <w:r w:rsidR="001607F9">
          <w:rPr>
            <w:noProof/>
            <w:webHidden/>
          </w:rPr>
          <w:fldChar w:fldCharType="separate"/>
        </w:r>
        <w:r w:rsidR="001607F9">
          <w:rPr>
            <w:noProof/>
            <w:webHidden/>
          </w:rPr>
          <w:t>66</w:t>
        </w:r>
        <w:r w:rsidR="001607F9">
          <w:rPr>
            <w:noProof/>
            <w:webHidden/>
          </w:rPr>
          <w:fldChar w:fldCharType="end"/>
        </w:r>
      </w:hyperlink>
    </w:p>
    <w:p w14:paraId="2D59AC6C" w14:textId="5AAD4961" w:rsidR="001607F9" w:rsidRDefault="00C45DA3">
      <w:pPr>
        <w:pStyle w:val="Obsah2"/>
        <w:rPr>
          <w:rFonts w:asciiTheme="minorHAnsi" w:eastAsiaTheme="minorEastAsia" w:hAnsiTheme="minorHAnsi" w:cstheme="minorBidi"/>
          <w:noProof/>
          <w:lang w:eastAsia="sk-SK"/>
        </w:rPr>
      </w:pPr>
      <w:hyperlink w:anchor="_Toc38447594" w:history="1">
        <w:r w:rsidR="001607F9" w:rsidRPr="0075468F">
          <w:rPr>
            <w:rStyle w:val="Hypertextovprepojenie"/>
            <w:noProof/>
          </w:rPr>
          <w:t>Príloha č. 1 Zoznam projektov predložených ÚHP MF SR (stav k 31.12.2019)</w:t>
        </w:r>
        <w:r w:rsidR="001607F9">
          <w:rPr>
            <w:noProof/>
            <w:webHidden/>
          </w:rPr>
          <w:tab/>
        </w:r>
        <w:r w:rsidR="001607F9">
          <w:rPr>
            <w:noProof/>
            <w:webHidden/>
          </w:rPr>
          <w:fldChar w:fldCharType="begin"/>
        </w:r>
        <w:r w:rsidR="001607F9">
          <w:rPr>
            <w:noProof/>
            <w:webHidden/>
          </w:rPr>
          <w:instrText xml:space="preserve"> PAGEREF _Toc38447594 \h </w:instrText>
        </w:r>
        <w:r w:rsidR="001607F9">
          <w:rPr>
            <w:noProof/>
            <w:webHidden/>
          </w:rPr>
        </w:r>
        <w:r w:rsidR="001607F9">
          <w:rPr>
            <w:noProof/>
            <w:webHidden/>
          </w:rPr>
          <w:fldChar w:fldCharType="separate"/>
        </w:r>
        <w:r w:rsidR="001607F9">
          <w:rPr>
            <w:noProof/>
            <w:webHidden/>
          </w:rPr>
          <w:t>69</w:t>
        </w:r>
        <w:r w:rsidR="001607F9">
          <w:rPr>
            <w:noProof/>
            <w:webHidden/>
          </w:rPr>
          <w:fldChar w:fldCharType="end"/>
        </w:r>
      </w:hyperlink>
    </w:p>
    <w:p w14:paraId="64387317" w14:textId="2A73CC88" w:rsidR="001607F9" w:rsidRDefault="00C45DA3">
      <w:pPr>
        <w:pStyle w:val="Obsah1"/>
        <w:rPr>
          <w:rFonts w:asciiTheme="minorHAnsi" w:eastAsiaTheme="minorEastAsia" w:hAnsiTheme="minorHAnsi" w:cstheme="minorBidi"/>
          <w:noProof/>
          <w:lang w:eastAsia="sk-SK"/>
        </w:rPr>
      </w:pPr>
      <w:hyperlink w:anchor="_Toc38447595" w:history="1">
        <w:r w:rsidR="001607F9" w:rsidRPr="0075468F">
          <w:rPr>
            <w:rStyle w:val="Hypertextovprepojenie"/>
            <w:noProof/>
          </w:rPr>
          <w:t>5</w:t>
        </w:r>
        <w:r w:rsidR="001607F9">
          <w:rPr>
            <w:rFonts w:asciiTheme="minorHAnsi" w:eastAsiaTheme="minorEastAsia" w:hAnsiTheme="minorHAnsi" w:cstheme="minorBidi"/>
            <w:noProof/>
            <w:lang w:eastAsia="sk-SK"/>
          </w:rPr>
          <w:tab/>
        </w:r>
        <w:r w:rsidR="001607F9" w:rsidRPr="0075468F">
          <w:rPr>
            <w:rStyle w:val="Hypertextovprepojenie"/>
            <w:noProof/>
          </w:rPr>
          <w:t>Informatizácia</w:t>
        </w:r>
        <w:r w:rsidR="001607F9">
          <w:rPr>
            <w:noProof/>
            <w:webHidden/>
          </w:rPr>
          <w:tab/>
        </w:r>
        <w:r w:rsidR="001607F9">
          <w:rPr>
            <w:noProof/>
            <w:webHidden/>
          </w:rPr>
          <w:fldChar w:fldCharType="begin"/>
        </w:r>
        <w:r w:rsidR="001607F9">
          <w:rPr>
            <w:noProof/>
            <w:webHidden/>
          </w:rPr>
          <w:instrText xml:space="preserve"> PAGEREF _Toc38447595 \h </w:instrText>
        </w:r>
        <w:r w:rsidR="001607F9">
          <w:rPr>
            <w:noProof/>
            <w:webHidden/>
          </w:rPr>
        </w:r>
        <w:r w:rsidR="001607F9">
          <w:rPr>
            <w:noProof/>
            <w:webHidden/>
          </w:rPr>
          <w:fldChar w:fldCharType="separate"/>
        </w:r>
        <w:r w:rsidR="001607F9">
          <w:rPr>
            <w:noProof/>
            <w:webHidden/>
          </w:rPr>
          <w:t>74</w:t>
        </w:r>
        <w:r w:rsidR="001607F9">
          <w:rPr>
            <w:noProof/>
            <w:webHidden/>
          </w:rPr>
          <w:fldChar w:fldCharType="end"/>
        </w:r>
      </w:hyperlink>
    </w:p>
    <w:p w14:paraId="64A41A9C" w14:textId="7CB7CC35" w:rsidR="001607F9" w:rsidRDefault="00C45DA3">
      <w:pPr>
        <w:pStyle w:val="Obsah2"/>
        <w:rPr>
          <w:rFonts w:asciiTheme="minorHAnsi" w:eastAsiaTheme="minorEastAsia" w:hAnsiTheme="minorHAnsi" w:cstheme="minorBidi"/>
          <w:noProof/>
          <w:lang w:eastAsia="sk-SK"/>
        </w:rPr>
      </w:pPr>
      <w:hyperlink w:anchor="_Toc38447596" w:history="1">
        <w:r w:rsidR="001607F9" w:rsidRPr="0075468F">
          <w:rPr>
            <w:rStyle w:val="Hypertextovprepojenie"/>
            <w:noProof/>
          </w:rPr>
          <w:t>5.1</w:t>
        </w:r>
        <w:r w:rsidR="001607F9">
          <w:rPr>
            <w:rFonts w:asciiTheme="minorHAnsi" w:eastAsiaTheme="minorEastAsia" w:hAnsiTheme="minorHAnsi" w:cstheme="minorBidi"/>
            <w:noProof/>
            <w:lang w:eastAsia="sk-SK"/>
          </w:rPr>
          <w:tab/>
        </w:r>
        <w:r w:rsidR="001607F9" w:rsidRPr="0075468F">
          <w:rPr>
            <w:rStyle w:val="Hypertextovprepojenie"/>
            <w:noProof/>
          </w:rPr>
          <w:t>Zhrnutie</w:t>
        </w:r>
        <w:r w:rsidR="001607F9">
          <w:rPr>
            <w:noProof/>
            <w:webHidden/>
          </w:rPr>
          <w:tab/>
        </w:r>
        <w:r w:rsidR="001607F9">
          <w:rPr>
            <w:noProof/>
            <w:webHidden/>
          </w:rPr>
          <w:fldChar w:fldCharType="begin"/>
        </w:r>
        <w:r w:rsidR="001607F9">
          <w:rPr>
            <w:noProof/>
            <w:webHidden/>
          </w:rPr>
          <w:instrText xml:space="preserve"> PAGEREF _Toc38447596 \h </w:instrText>
        </w:r>
        <w:r w:rsidR="001607F9">
          <w:rPr>
            <w:noProof/>
            <w:webHidden/>
          </w:rPr>
        </w:r>
        <w:r w:rsidR="001607F9">
          <w:rPr>
            <w:noProof/>
            <w:webHidden/>
          </w:rPr>
          <w:fldChar w:fldCharType="separate"/>
        </w:r>
        <w:r w:rsidR="001607F9">
          <w:rPr>
            <w:noProof/>
            <w:webHidden/>
          </w:rPr>
          <w:t>74</w:t>
        </w:r>
        <w:r w:rsidR="001607F9">
          <w:rPr>
            <w:noProof/>
            <w:webHidden/>
          </w:rPr>
          <w:fldChar w:fldCharType="end"/>
        </w:r>
      </w:hyperlink>
    </w:p>
    <w:p w14:paraId="069DCA09" w14:textId="57BFF845" w:rsidR="001607F9" w:rsidRDefault="00C45DA3">
      <w:pPr>
        <w:pStyle w:val="Obsah2"/>
        <w:rPr>
          <w:rFonts w:asciiTheme="minorHAnsi" w:eastAsiaTheme="minorEastAsia" w:hAnsiTheme="minorHAnsi" w:cstheme="minorBidi"/>
          <w:noProof/>
          <w:lang w:eastAsia="sk-SK"/>
        </w:rPr>
      </w:pPr>
      <w:hyperlink w:anchor="_Toc38447597" w:history="1">
        <w:r w:rsidR="001607F9" w:rsidRPr="0075468F">
          <w:rPr>
            <w:rStyle w:val="Hypertextovprepojenie"/>
            <w:noProof/>
          </w:rPr>
          <w:t>5.2</w:t>
        </w:r>
        <w:r w:rsidR="001607F9">
          <w:rPr>
            <w:rFonts w:asciiTheme="minorHAnsi" w:eastAsiaTheme="minorEastAsia" w:hAnsiTheme="minorHAnsi" w:cstheme="minorBidi"/>
            <w:noProof/>
            <w:lang w:eastAsia="sk-SK"/>
          </w:rPr>
          <w:tab/>
        </w:r>
        <w:r w:rsidR="001607F9" w:rsidRPr="0075468F">
          <w:rPr>
            <w:rStyle w:val="Hypertextovprepojenie"/>
            <w:noProof/>
          </w:rPr>
          <w:t>Úspora</w:t>
        </w:r>
        <w:r w:rsidR="001607F9">
          <w:rPr>
            <w:noProof/>
            <w:webHidden/>
          </w:rPr>
          <w:tab/>
        </w:r>
        <w:r w:rsidR="001607F9">
          <w:rPr>
            <w:noProof/>
            <w:webHidden/>
          </w:rPr>
          <w:fldChar w:fldCharType="begin"/>
        </w:r>
        <w:r w:rsidR="001607F9">
          <w:rPr>
            <w:noProof/>
            <w:webHidden/>
          </w:rPr>
          <w:instrText xml:space="preserve"> PAGEREF _Toc38447597 \h </w:instrText>
        </w:r>
        <w:r w:rsidR="001607F9">
          <w:rPr>
            <w:noProof/>
            <w:webHidden/>
          </w:rPr>
        </w:r>
        <w:r w:rsidR="001607F9">
          <w:rPr>
            <w:noProof/>
            <w:webHidden/>
          </w:rPr>
          <w:fldChar w:fldCharType="separate"/>
        </w:r>
        <w:r w:rsidR="001607F9">
          <w:rPr>
            <w:noProof/>
            <w:webHidden/>
          </w:rPr>
          <w:t>79</w:t>
        </w:r>
        <w:r w:rsidR="001607F9">
          <w:rPr>
            <w:noProof/>
            <w:webHidden/>
          </w:rPr>
          <w:fldChar w:fldCharType="end"/>
        </w:r>
      </w:hyperlink>
    </w:p>
    <w:p w14:paraId="6E5C7C4E" w14:textId="19A4566B" w:rsidR="001607F9" w:rsidRDefault="00C45DA3">
      <w:pPr>
        <w:pStyle w:val="Obsah2"/>
        <w:rPr>
          <w:rFonts w:asciiTheme="minorHAnsi" w:eastAsiaTheme="minorEastAsia" w:hAnsiTheme="minorHAnsi" w:cstheme="minorBidi"/>
          <w:noProof/>
          <w:lang w:eastAsia="sk-SK"/>
        </w:rPr>
      </w:pPr>
      <w:hyperlink w:anchor="_Toc38447598" w:history="1">
        <w:r w:rsidR="001607F9" w:rsidRPr="0075468F">
          <w:rPr>
            <w:rStyle w:val="Hypertextovprepojenie"/>
            <w:noProof/>
          </w:rPr>
          <w:t>5.3</w:t>
        </w:r>
        <w:r w:rsidR="001607F9">
          <w:rPr>
            <w:rFonts w:asciiTheme="minorHAnsi" w:eastAsiaTheme="minorEastAsia" w:hAnsiTheme="minorHAnsi" w:cstheme="minorBidi"/>
            <w:noProof/>
            <w:lang w:eastAsia="sk-SK"/>
          </w:rPr>
          <w:tab/>
        </w:r>
        <w:r w:rsidR="001607F9" w:rsidRPr="0075468F">
          <w:rPr>
            <w:rStyle w:val="Hypertextovprepojenie"/>
            <w:noProof/>
          </w:rPr>
          <w:t>Hodnota</w:t>
        </w:r>
        <w:r w:rsidR="001607F9">
          <w:rPr>
            <w:noProof/>
            <w:webHidden/>
          </w:rPr>
          <w:tab/>
        </w:r>
        <w:r w:rsidR="001607F9">
          <w:rPr>
            <w:noProof/>
            <w:webHidden/>
          </w:rPr>
          <w:fldChar w:fldCharType="begin"/>
        </w:r>
        <w:r w:rsidR="001607F9">
          <w:rPr>
            <w:noProof/>
            <w:webHidden/>
          </w:rPr>
          <w:instrText xml:space="preserve"> PAGEREF _Toc38447598 \h </w:instrText>
        </w:r>
        <w:r w:rsidR="001607F9">
          <w:rPr>
            <w:noProof/>
            <w:webHidden/>
          </w:rPr>
        </w:r>
        <w:r w:rsidR="001607F9">
          <w:rPr>
            <w:noProof/>
            <w:webHidden/>
          </w:rPr>
          <w:fldChar w:fldCharType="separate"/>
        </w:r>
        <w:r w:rsidR="001607F9">
          <w:rPr>
            <w:noProof/>
            <w:webHidden/>
          </w:rPr>
          <w:t>81</w:t>
        </w:r>
        <w:r w:rsidR="001607F9">
          <w:rPr>
            <w:noProof/>
            <w:webHidden/>
          </w:rPr>
          <w:fldChar w:fldCharType="end"/>
        </w:r>
      </w:hyperlink>
    </w:p>
    <w:p w14:paraId="6D19AFA6" w14:textId="46C17D5B" w:rsidR="001607F9" w:rsidRDefault="00C45DA3">
      <w:pPr>
        <w:pStyle w:val="Obsah2"/>
        <w:rPr>
          <w:rFonts w:asciiTheme="minorHAnsi" w:eastAsiaTheme="minorEastAsia" w:hAnsiTheme="minorHAnsi" w:cstheme="minorBidi"/>
          <w:noProof/>
          <w:lang w:eastAsia="sk-SK"/>
        </w:rPr>
      </w:pPr>
      <w:hyperlink w:anchor="_Toc38447599" w:history="1">
        <w:r w:rsidR="001607F9" w:rsidRPr="0075468F">
          <w:rPr>
            <w:rStyle w:val="Hypertextovprepojenie"/>
            <w:noProof/>
          </w:rPr>
          <w:t>5.4</w:t>
        </w:r>
        <w:r w:rsidR="001607F9">
          <w:rPr>
            <w:rFonts w:asciiTheme="minorHAnsi" w:eastAsiaTheme="minorEastAsia" w:hAnsiTheme="minorHAnsi" w:cstheme="minorBidi"/>
            <w:noProof/>
            <w:lang w:eastAsia="sk-SK"/>
          </w:rPr>
          <w:tab/>
        </w:r>
        <w:r w:rsidR="001607F9" w:rsidRPr="0075468F">
          <w:rPr>
            <w:rStyle w:val="Hypertextovprepojenie"/>
            <w:noProof/>
          </w:rPr>
          <w:t>Riadenie</w:t>
        </w:r>
        <w:r w:rsidR="001607F9">
          <w:rPr>
            <w:noProof/>
            <w:webHidden/>
          </w:rPr>
          <w:tab/>
        </w:r>
        <w:r w:rsidR="001607F9">
          <w:rPr>
            <w:noProof/>
            <w:webHidden/>
          </w:rPr>
          <w:fldChar w:fldCharType="begin"/>
        </w:r>
        <w:r w:rsidR="001607F9">
          <w:rPr>
            <w:noProof/>
            <w:webHidden/>
          </w:rPr>
          <w:instrText xml:space="preserve"> PAGEREF _Toc38447599 \h </w:instrText>
        </w:r>
        <w:r w:rsidR="001607F9">
          <w:rPr>
            <w:noProof/>
            <w:webHidden/>
          </w:rPr>
        </w:r>
        <w:r w:rsidR="001607F9">
          <w:rPr>
            <w:noProof/>
            <w:webHidden/>
          </w:rPr>
          <w:fldChar w:fldCharType="separate"/>
        </w:r>
        <w:r w:rsidR="001607F9">
          <w:rPr>
            <w:noProof/>
            <w:webHidden/>
          </w:rPr>
          <w:t>84</w:t>
        </w:r>
        <w:r w:rsidR="001607F9">
          <w:rPr>
            <w:noProof/>
            <w:webHidden/>
          </w:rPr>
          <w:fldChar w:fldCharType="end"/>
        </w:r>
      </w:hyperlink>
    </w:p>
    <w:p w14:paraId="0D746221" w14:textId="2E44DEF8" w:rsidR="001607F9" w:rsidRDefault="00C45DA3">
      <w:pPr>
        <w:pStyle w:val="Obsah2"/>
        <w:rPr>
          <w:rFonts w:asciiTheme="minorHAnsi" w:eastAsiaTheme="minorEastAsia" w:hAnsiTheme="minorHAnsi" w:cstheme="minorBidi"/>
          <w:noProof/>
          <w:lang w:eastAsia="sk-SK"/>
        </w:rPr>
      </w:pPr>
      <w:hyperlink w:anchor="_Toc38447600" w:history="1">
        <w:r w:rsidR="001607F9" w:rsidRPr="0075468F">
          <w:rPr>
            <w:rStyle w:val="Hypertextovprepojenie"/>
            <w:noProof/>
          </w:rPr>
          <w:t>5.5</w:t>
        </w:r>
        <w:r w:rsidR="001607F9">
          <w:rPr>
            <w:rFonts w:asciiTheme="minorHAnsi" w:eastAsiaTheme="minorEastAsia" w:hAnsiTheme="minorHAnsi" w:cstheme="minorBidi"/>
            <w:noProof/>
            <w:lang w:eastAsia="sk-SK"/>
          </w:rPr>
          <w:tab/>
        </w:r>
        <w:r w:rsidR="001607F9" w:rsidRPr="0075468F">
          <w:rPr>
            <w:rStyle w:val="Hypertextovprepojenie"/>
            <w:noProof/>
          </w:rPr>
          <w:t>Dáta a metodika</w:t>
        </w:r>
        <w:r w:rsidR="001607F9">
          <w:rPr>
            <w:noProof/>
            <w:webHidden/>
          </w:rPr>
          <w:tab/>
        </w:r>
        <w:r w:rsidR="001607F9">
          <w:rPr>
            <w:noProof/>
            <w:webHidden/>
          </w:rPr>
          <w:fldChar w:fldCharType="begin"/>
        </w:r>
        <w:r w:rsidR="001607F9">
          <w:rPr>
            <w:noProof/>
            <w:webHidden/>
          </w:rPr>
          <w:instrText xml:space="preserve"> PAGEREF _Toc38447600 \h </w:instrText>
        </w:r>
        <w:r w:rsidR="001607F9">
          <w:rPr>
            <w:noProof/>
            <w:webHidden/>
          </w:rPr>
        </w:r>
        <w:r w:rsidR="001607F9">
          <w:rPr>
            <w:noProof/>
            <w:webHidden/>
          </w:rPr>
          <w:fldChar w:fldCharType="separate"/>
        </w:r>
        <w:r w:rsidR="001607F9">
          <w:rPr>
            <w:noProof/>
            <w:webHidden/>
          </w:rPr>
          <w:t>86</w:t>
        </w:r>
        <w:r w:rsidR="001607F9">
          <w:rPr>
            <w:noProof/>
            <w:webHidden/>
          </w:rPr>
          <w:fldChar w:fldCharType="end"/>
        </w:r>
      </w:hyperlink>
    </w:p>
    <w:p w14:paraId="44E531FA" w14:textId="2DAAB1F3" w:rsidR="001607F9" w:rsidRDefault="00C45DA3">
      <w:pPr>
        <w:pStyle w:val="Obsah2"/>
        <w:rPr>
          <w:rFonts w:asciiTheme="minorHAnsi" w:eastAsiaTheme="minorEastAsia" w:hAnsiTheme="minorHAnsi" w:cstheme="minorBidi"/>
          <w:noProof/>
          <w:lang w:eastAsia="sk-SK"/>
        </w:rPr>
      </w:pPr>
      <w:hyperlink w:anchor="_Toc38447601" w:history="1">
        <w:r w:rsidR="001607F9" w:rsidRPr="0075468F">
          <w:rPr>
            <w:rStyle w:val="Hypertextovprepojenie"/>
            <w:noProof/>
          </w:rPr>
          <w:t>5.6</w:t>
        </w:r>
        <w:r w:rsidR="001607F9">
          <w:rPr>
            <w:rFonts w:asciiTheme="minorHAnsi" w:eastAsiaTheme="minorEastAsia" w:hAnsiTheme="minorHAnsi" w:cstheme="minorBidi"/>
            <w:noProof/>
            <w:lang w:eastAsia="sk-SK"/>
          </w:rPr>
          <w:tab/>
        </w:r>
        <w:r w:rsidR="001607F9" w:rsidRPr="0075468F">
          <w:rPr>
            <w:rStyle w:val="Hypertextovprepojenie"/>
            <w:noProof/>
          </w:rPr>
          <w:t>Analytické úlohy</w:t>
        </w:r>
        <w:r w:rsidR="001607F9">
          <w:rPr>
            <w:noProof/>
            <w:webHidden/>
          </w:rPr>
          <w:tab/>
        </w:r>
        <w:r w:rsidR="001607F9">
          <w:rPr>
            <w:noProof/>
            <w:webHidden/>
          </w:rPr>
          <w:fldChar w:fldCharType="begin"/>
        </w:r>
        <w:r w:rsidR="001607F9">
          <w:rPr>
            <w:noProof/>
            <w:webHidden/>
          </w:rPr>
          <w:instrText xml:space="preserve"> PAGEREF _Toc38447601 \h </w:instrText>
        </w:r>
        <w:r w:rsidR="001607F9">
          <w:rPr>
            <w:noProof/>
            <w:webHidden/>
          </w:rPr>
        </w:r>
        <w:r w:rsidR="001607F9">
          <w:rPr>
            <w:noProof/>
            <w:webHidden/>
          </w:rPr>
          <w:fldChar w:fldCharType="separate"/>
        </w:r>
        <w:r w:rsidR="001607F9">
          <w:rPr>
            <w:noProof/>
            <w:webHidden/>
          </w:rPr>
          <w:t>88</w:t>
        </w:r>
        <w:r w:rsidR="001607F9">
          <w:rPr>
            <w:noProof/>
            <w:webHidden/>
          </w:rPr>
          <w:fldChar w:fldCharType="end"/>
        </w:r>
      </w:hyperlink>
    </w:p>
    <w:p w14:paraId="27BB212F" w14:textId="6491F5DD" w:rsidR="001607F9" w:rsidRDefault="00C45DA3">
      <w:pPr>
        <w:pStyle w:val="Obsah1"/>
        <w:rPr>
          <w:rFonts w:asciiTheme="minorHAnsi" w:eastAsiaTheme="minorEastAsia" w:hAnsiTheme="minorHAnsi" w:cstheme="minorBidi"/>
          <w:noProof/>
          <w:lang w:eastAsia="sk-SK"/>
        </w:rPr>
      </w:pPr>
      <w:hyperlink w:anchor="_Toc38447602" w:history="1">
        <w:r w:rsidR="001607F9" w:rsidRPr="0075468F">
          <w:rPr>
            <w:rStyle w:val="Hypertextovprepojenie"/>
            <w:noProof/>
          </w:rPr>
          <w:t>6</w:t>
        </w:r>
        <w:r w:rsidR="001607F9">
          <w:rPr>
            <w:rFonts w:asciiTheme="minorHAnsi" w:eastAsiaTheme="minorEastAsia" w:hAnsiTheme="minorHAnsi" w:cstheme="minorBidi"/>
            <w:noProof/>
            <w:lang w:eastAsia="sk-SK"/>
          </w:rPr>
          <w:tab/>
        </w:r>
        <w:r w:rsidR="001607F9" w:rsidRPr="0075468F">
          <w:rPr>
            <w:rStyle w:val="Hypertextovprepojenie"/>
            <w:noProof/>
          </w:rPr>
          <w:t>Vzdelávanie</w:t>
        </w:r>
        <w:r w:rsidR="001607F9">
          <w:rPr>
            <w:noProof/>
            <w:webHidden/>
          </w:rPr>
          <w:tab/>
        </w:r>
        <w:r w:rsidR="001607F9">
          <w:rPr>
            <w:noProof/>
            <w:webHidden/>
          </w:rPr>
          <w:fldChar w:fldCharType="begin"/>
        </w:r>
        <w:r w:rsidR="001607F9">
          <w:rPr>
            <w:noProof/>
            <w:webHidden/>
          </w:rPr>
          <w:instrText xml:space="preserve"> PAGEREF _Toc38447602 \h </w:instrText>
        </w:r>
        <w:r w:rsidR="001607F9">
          <w:rPr>
            <w:noProof/>
            <w:webHidden/>
          </w:rPr>
        </w:r>
        <w:r w:rsidR="001607F9">
          <w:rPr>
            <w:noProof/>
            <w:webHidden/>
          </w:rPr>
          <w:fldChar w:fldCharType="separate"/>
        </w:r>
        <w:r w:rsidR="001607F9">
          <w:rPr>
            <w:noProof/>
            <w:webHidden/>
          </w:rPr>
          <w:t>90</w:t>
        </w:r>
        <w:r w:rsidR="001607F9">
          <w:rPr>
            <w:noProof/>
            <w:webHidden/>
          </w:rPr>
          <w:fldChar w:fldCharType="end"/>
        </w:r>
      </w:hyperlink>
    </w:p>
    <w:p w14:paraId="50F4C7FD" w14:textId="52C64A83" w:rsidR="001607F9" w:rsidRDefault="00C45DA3">
      <w:pPr>
        <w:pStyle w:val="Obsah2"/>
        <w:rPr>
          <w:rFonts w:asciiTheme="minorHAnsi" w:eastAsiaTheme="minorEastAsia" w:hAnsiTheme="minorHAnsi" w:cstheme="minorBidi"/>
          <w:noProof/>
          <w:lang w:eastAsia="sk-SK"/>
        </w:rPr>
      </w:pPr>
      <w:hyperlink w:anchor="_Toc38447603" w:history="1">
        <w:r w:rsidR="001607F9" w:rsidRPr="0075468F">
          <w:rPr>
            <w:rStyle w:val="Hypertextovprepojenie"/>
            <w:noProof/>
          </w:rPr>
          <w:t>6.1</w:t>
        </w:r>
        <w:r w:rsidR="001607F9">
          <w:rPr>
            <w:rFonts w:asciiTheme="minorHAnsi" w:eastAsiaTheme="minorEastAsia" w:hAnsiTheme="minorHAnsi" w:cstheme="minorBidi"/>
            <w:noProof/>
            <w:lang w:eastAsia="sk-SK"/>
          </w:rPr>
          <w:tab/>
        </w:r>
        <w:r w:rsidR="001607F9" w:rsidRPr="0075468F">
          <w:rPr>
            <w:rStyle w:val="Hypertextovprepojenie"/>
            <w:noProof/>
          </w:rPr>
          <w:t>Zhrnutie</w:t>
        </w:r>
        <w:r w:rsidR="001607F9">
          <w:rPr>
            <w:noProof/>
            <w:webHidden/>
          </w:rPr>
          <w:tab/>
        </w:r>
        <w:r w:rsidR="001607F9">
          <w:rPr>
            <w:noProof/>
            <w:webHidden/>
          </w:rPr>
          <w:fldChar w:fldCharType="begin"/>
        </w:r>
        <w:r w:rsidR="001607F9">
          <w:rPr>
            <w:noProof/>
            <w:webHidden/>
          </w:rPr>
          <w:instrText xml:space="preserve"> PAGEREF _Toc38447603 \h </w:instrText>
        </w:r>
        <w:r w:rsidR="001607F9">
          <w:rPr>
            <w:noProof/>
            <w:webHidden/>
          </w:rPr>
        </w:r>
        <w:r w:rsidR="001607F9">
          <w:rPr>
            <w:noProof/>
            <w:webHidden/>
          </w:rPr>
          <w:fldChar w:fldCharType="separate"/>
        </w:r>
        <w:r w:rsidR="001607F9">
          <w:rPr>
            <w:noProof/>
            <w:webHidden/>
          </w:rPr>
          <w:t>90</w:t>
        </w:r>
        <w:r w:rsidR="001607F9">
          <w:rPr>
            <w:noProof/>
            <w:webHidden/>
          </w:rPr>
          <w:fldChar w:fldCharType="end"/>
        </w:r>
      </w:hyperlink>
    </w:p>
    <w:p w14:paraId="59A90C6D" w14:textId="7181C7CA" w:rsidR="001607F9" w:rsidRDefault="00C45DA3">
      <w:pPr>
        <w:pStyle w:val="Obsah2"/>
        <w:rPr>
          <w:rFonts w:asciiTheme="minorHAnsi" w:eastAsiaTheme="minorEastAsia" w:hAnsiTheme="minorHAnsi" w:cstheme="minorBidi"/>
          <w:noProof/>
          <w:lang w:eastAsia="sk-SK"/>
        </w:rPr>
      </w:pPr>
      <w:hyperlink w:anchor="_Toc38447604" w:history="1">
        <w:r w:rsidR="001607F9" w:rsidRPr="0075468F">
          <w:rPr>
            <w:rStyle w:val="Hypertextovprepojenie"/>
            <w:noProof/>
          </w:rPr>
          <w:t>6.2</w:t>
        </w:r>
        <w:r w:rsidR="001607F9">
          <w:rPr>
            <w:rFonts w:asciiTheme="minorHAnsi" w:eastAsiaTheme="minorEastAsia" w:hAnsiTheme="minorHAnsi" w:cstheme="minorBidi"/>
            <w:noProof/>
            <w:lang w:eastAsia="sk-SK"/>
          </w:rPr>
          <w:tab/>
        </w:r>
        <w:r w:rsidR="001607F9" w:rsidRPr="0075468F">
          <w:rPr>
            <w:rStyle w:val="Hypertextovprepojenie"/>
            <w:noProof/>
          </w:rPr>
          <w:t>Regionálne školstvo</w:t>
        </w:r>
        <w:r w:rsidR="001607F9">
          <w:rPr>
            <w:noProof/>
            <w:webHidden/>
          </w:rPr>
          <w:tab/>
        </w:r>
        <w:r w:rsidR="001607F9">
          <w:rPr>
            <w:noProof/>
            <w:webHidden/>
          </w:rPr>
          <w:fldChar w:fldCharType="begin"/>
        </w:r>
        <w:r w:rsidR="001607F9">
          <w:rPr>
            <w:noProof/>
            <w:webHidden/>
          </w:rPr>
          <w:instrText xml:space="preserve"> PAGEREF _Toc38447604 \h </w:instrText>
        </w:r>
        <w:r w:rsidR="001607F9">
          <w:rPr>
            <w:noProof/>
            <w:webHidden/>
          </w:rPr>
        </w:r>
        <w:r w:rsidR="001607F9">
          <w:rPr>
            <w:noProof/>
            <w:webHidden/>
          </w:rPr>
          <w:fldChar w:fldCharType="separate"/>
        </w:r>
        <w:r w:rsidR="001607F9">
          <w:rPr>
            <w:noProof/>
            <w:webHidden/>
          </w:rPr>
          <w:t>95</w:t>
        </w:r>
        <w:r w:rsidR="001607F9">
          <w:rPr>
            <w:noProof/>
            <w:webHidden/>
          </w:rPr>
          <w:fldChar w:fldCharType="end"/>
        </w:r>
      </w:hyperlink>
    </w:p>
    <w:p w14:paraId="454E916E" w14:textId="2BB499AC" w:rsidR="001607F9" w:rsidRDefault="00C45DA3">
      <w:pPr>
        <w:pStyle w:val="Obsah2"/>
        <w:rPr>
          <w:rFonts w:asciiTheme="minorHAnsi" w:eastAsiaTheme="minorEastAsia" w:hAnsiTheme="minorHAnsi" w:cstheme="minorBidi"/>
          <w:noProof/>
          <w:lang w:eastAsia="sk-SK"/>
        </w:rPr>
      </w:pPr>
      <w:hyperlink w:anchor="_Toc38447605" w:history="1">
        <w:r w:rsidR="001607F9" w:rsidRPr="0075468F">
          <w:rPr>
            <w:rStyle w:val="Hypertextovprepojenie"/>
            <w:noProof/>
          </w:rPr>
          <w:t>6.3</w:t>
        </w:r>
        <w:r w:rsidR="001607F9">
          <w:rPr>
            <w:rFonts w:asciiTheme="minorHAnsi" w:eastAsiaTheme="minorEastAsia" w:hAnsiTheme="minorHAnsi" w:cstheme="minorBidi"/>
            <w:noProof/>
            <w:lang w:eastAsia="sk-SK"/>
          </w:rPr>
          <w:tab/>
        </w:r>
        <w:r w:rsidR="001607F9" w:rsidRPr="0075468F">
          <w:rPr>
            <w:rStyle w:val="Hypertextovprepojenie"/>
            <w:noProof/>
          </w:rPr>
          <w:t>Vysoké školy a veda</w:t>
        </w:r>
        <w:r w:rsidR="001607F9">
          <w:rPr>
            <w:noProof/>
            <w:webHidden/>
          </w:rPr>
          <w:tab/>
        </w:r>
        <w:r w:rsidR="001607F9">
          <w:rPr>
            <w:noProof/>
            <w:webHidden/>
          </w:rPr>
          <w:fldChar w:fldCharType="begin"/>
        </w:r>
        <w:r w:rsidR="001607F9">
          <w:rPr>
            <w:noProof/>
            <w:webHidden/>
          </w:rPr>
          <w:instrText xml:space="preserve"> PAGEREF _Toc38447605 \h </w:instrText>
        </w:r>
        <w:r w:rsidR="001607F9">
          <w:rPr>
            <w:noProof/>
            <w:webHidden/>
          </w:rPr>
        </w:r>
        <w:r w:rsidR="001607F9">
          <w:rPr>
            <w:noProof/>
            <w:webHidden/>
          </w:rPr>
          <w:fldChar w:fldCharType="separate"/>
        </w:r>
        <w:r w:rsidR="001607F9">
          <w:rPr>
            <w:noProof/>
            <w:webHidden/>
          </w:rPr>
          <w:t>104</w:t>
        </w:r>
        <w:r w:rsidR="001607F9">
          <w:rPr>
            <w:noProof/>
            <w:webHidden/>
          </w:rPr>
          <w:fldChar w:fldCharType="end"/>
        </w:r>
      </w:hyperlink>
    </w:p>
    <w:p w14:paraId="722E0F03" w14:textId="4F68F559" w:rsidR="001607F9" w:rsidRDefault="00C45DA3">
      <w:pPr>
        <w:pStyle w:val="Obsah2"/>
        <w:rPr>
          <w:rFonts w:asciiTheme="minorHAnsi" w:eastAsiaTheme="minorEastAsia" w:hAnsiTheme="minorHAnsi" w:cstheme="minorBidi"/>
          <w:noProof/>
          <w:lang w:eastAsia="sk-SK"/>
        </w:rPr>
      </w:pPr>
      <w:hyperlink w:anchor="_Toc38447606" w:history="1">
        <w:r w:rsidR="001607F9" w:rsidRPr="0075468F">
          <w:rPr>
            <w:rStyle w:val="Hypertextovprepojenie"/>
            <w:noProof/>
          </w:rPr>
          <w:t>6.4</w:t>
        </w:r>
        <w:r w:rsidR="001607F9">
          <w:rPr>
            <w:rFonts w:asciiTheme="minorHAnsi" w:eastAsiaTheme="minorEastAsia" w:hAnsiTheme="minorHAnsi" w:cstheme="minorBidi"/>
            <w:noProof/>
            <w:lang w:eastAsia="sk-SK"/>
          </w:rPr>
          <w:tab/>
        </w:r>
        <w:r w:rsidR="001607F9" w:rsidRPr="0075468F">
          <w:rPr>
            <w:rStyle w:val="Hypertextovprepojenie"/>
            <w:noProof/>
          </w:rPr>
          <w:t>Investície a výdavky</w:t>
        </w:r>
        <w:r w:rsidR="001607F9">
          <w:rPr>
            <w:noProof/>
            <w:webHidden/>
          </w:rPr>
          <w:tab/>
        </w:r>
        <w:r w:rsidR="001607F9">
          <w:rPr>
            <w:noProof/>
            <w:webHidden/>
          </w:rPr>
          <w:fldChar w:fldCharType="begin"/>
        </w:r>
        <w:r w:rsidR="001607F9">
          <w:rPr>
            <w:noProof/>
            <w:webHidden/>
          </w:rPr>
          <w:instrText xml:space="preserve"> PAGEREF _Toc38447606 \h </w:instrText>
        </w:r>
        <w:r w:rsidR="001607F9">
          <w:rPr>
            <w:noProof/>
            <w:webHidden/>
          </w:rPr>
        </w:r>
        <w:r w:rsidR="001607F9">
          <w:rPr>
            <w:noProof/>
            <w:webHidden/>
          </w:rPr>
          <w:fldChar w:fldCharType="separate"/>
        </w:r>
        <w:r w:rsidR="001607F9">
          <w:rPr>
            <w:noProof/>
            <w:webHidden/>
          </w:rPr>
          <w:t>107</w:t>
        </w:r>
        <w:r w:rsidR="001607F9">
          <w:rPr>
            <w:noProof/>
            <w:webHidden/>
          </w:rPr>
          <w:fldChar w:fldCharType="end"/>
        </w:r>
      </w:hyperlink>
    </w:p>
    <w:p w14:paraId="6C02CF10" w14:textId="118C172B" w:rsidR="001607F9" w:rsidRDefault="00C45DA3">
      <w:pPr>
        <w:pStyle w:val="Obsah2"/>
        <w:rPr>
          <w:rFonts w:asciiTheme="minorHAnsi" w:eastAsiaTheme="minorEastAsia" w:hAnsiTheme="minorHAnsi" w:cstheme="minorBidi"/>
          <w:noProof/>
          <w:lang w:eastAsia="sk-SK"/>
        </w:rPr>
      </w:pPr>
      <w:hyperlink w:anchor="_Toc38447607" w:history="1">
        <w:r w:rsidR="001607F9" w:rsidRPr="0075468F">
          <w:rPr>
            <w:rStyle w:val="Hypertextovprepojenie"/>
            <w:noProof/>
          </w:rPr>
          <w:t>6.5</w:t>
        </w:r>
        <w:r w:rsidR="001607F9">
          <w:rPr>
            <w:rFonts w:asciiTheme="minorHAnsi" w:eastAsiaTheme="minorEastAsia" w:hAnsiTheme="minorHAnsi" w:cstheme="minorBidi"/>
            <w:noProof/>
            <w:lang w:eastAsia="sk-SK"/>
          </w:rPr>
          <w:tab/>
        </w:r>
        <w:r w:rsidR="001607F9" w:rsidRPr="0075468F">
          <w:rPr>
            <w:rStyle w:val="Hypertextovprepojenie"/>
            <w:noProof/>
          </w:rPr>
          <w:t>Dáta a analýza</w:t>
        </w:r>
        <w:r w:rsidR="001607F9">
          <w:rPr>
            <w:noProof/>
            <w:webHidden/>
          </w:rPr>
          <w:tab/>
        </w:r>
        <w:r w:rsidR="001607F9">
          <w:rPr>
            <w:noProof/>
            <w:webHidden/>
          </w:rPr>
          <w:fldChar w:fldCharType="begin"/>
        </w:r>
        <w:r w:rsidR="001607F9">
          <w:rPr>
            <w:noProof/>
            <w:webHidden/>
          </w:rPr>
          <w:instrText xml:space="preserve"> PAGEREF _Toc38447607 \h </w:instrText>
        </w:r>
        <w:r w:rsidR="001607F9">
          <w:rPr>
            <w:noProof/>
            <w:webHidden/>
          </w:rPr>
        </w:r>
        <w:r w:rsidR="001607F9">
          <w:rPr>
            <w:noProof/>
            <w:webHidden/>
          </w:rPr>
          <w:fldChar w:fldCharType="separate"/>
        </w:r>
        <w:r w:rsidR="001607F9">
          <w:rPr>
            <w:noProof/>
            <w:webHidden/>
          </w:rPr>
          <w:t>111</w:t>
        </w:r>
        <w:r w:rsidR="001607F9">
          <w:rPr>
            <w:noProof/>
            <w:webHidden/>
          </w:rPr>
          <w:fldChar w:fldCharType="end"/>
        </w:r>
      </w:hyperlink>
    </w:p>
    <w:p w14:paraId="42CE8516" w14:textId="59601BF9" w:rsidR="001607F9" w:rsidRDefault="00C45DA3">
      <w:pPr>
        <w:pStyle w:val="Obsah1"/>
        <w:rPr>
          <w:rFonts w:asciiTheme="minorHAnsi" w:eastAsiaTheme="minorEastAsia" w:hAnsiTheme="minorHAnsi" w:cstheme="minorBidi"/>
          <w:noProof/>
          <w:lang w:eastAsia="sk-SK"/>
        </w:rPr>
      </w:pPr>
      <w:hyperlink w:anchor="_Toc38447608" w:history="1">
        <w:r w:rsidR="001607F9" w:rsidRPr="0075468F">
          <w:rPr>
            <w:rStyle w:val="Hypertextovprepojenie"/>
            <w:rFonts w:eastAsia="Arial Narrow"/>
            <w:noProof/>
          </w:rPr>
          <w:t>7</w:t>
        </w:r>
        <w:r w:rsidR="001607F9">
          <w:rPr>
            <w:rFonts w:asciiTheme="minorHAnsi" w:eastAsiaTheme="minorEastAsia" w:hAnsiTheme="minorHAnsi" w:cstheme="minorBidi"/>
            <w:noProof/>
            <w:lang w:eastAsia="sk-SK"/>
          </w:rPr>
          <w:tab/>
        </w:r>
        <w:r w:rsidR="001607F9" w:rsidRPr="0075468F">
          <w:rPr>
            <w:rStyle w:val="Hypertextovprepojenie"/>
            <w:rFonts w:eastAsia="Arial Narrow"/>
            <w:noProof/>
          </w:rPr>
          <w:t>Životné prostredie</w:t>
        </w:r>
        <w:r w:rsidR="001607F9">
          <w:rPr>
            <w:noProof/>
            <w:webHidden/>
          </w:rPr>
          <w:tab/>
        </w:r>
        <w:r w:rsidR="001607F9">
          <w:rPr>
            <w:noProof/>
            <w:webHidden/>
          </w:rPr>
          <w:fldChar w:fldCharType="begin"/>
        </w:r>
        <w:r w:rsidR="001607F9">
          <w:rPr>
            <w:noProof/>
            <w:webHidden/>
          </w:rPr>
          <w:instrText xml:space="preserve"> PAGEREF _Toc38447608 \h </w:instrText>
        </w:r>
        <w:r w:rsidR="001607F9">
          <w:rPr>
            <w:noProof/>
            <w:webHidden/>
          </w:rPr>
        </w:r>
        <w:r w:rsidR="001607F9">
          <w:rPr>
            <w:noProof/>
            <w:webHidden/>
          </w:rPr>
          <w:fldChar w:fldCharType="separate"/>
        </w:r>
        <w:r w:rsidR="001607F9">
          <w:rPr>
            <w:noProof/>
            <w:webHidden/>
          </w:rPr>
          <w:t>113</w:t>
        </w:r>
        <w:r w:rsidR="001607F9">
          <w:rPr>
            <w:noProof/>
            <w:webHidden/>
          </w:rPr>
          <w:fldChar w:fldCharType="end"/>
        </w:r>
      </w:hyperlink>
    </w:p>
    <w:p w14:paraId="07D4629B" w14:textId="1034862A" w:rsidR="001607F9" w:rsidRDefault="00C45DA3">
      <w:pPr>
        <w:pStyle w:val="Obsah2"/>
        <w:rPr>
          <w:rFonts w:asciiTheme="minorHAnsi" w:eastAsiaTheme="minorEastAsia" w:hAnsiTheme="minorHAnsi" w:cstheme="minorBidi"/>
          <w:noProof/>
          <w:lang w:eastAsia="sk-SK"/>
        </w:rPr>
      </w:pPr>
      <w:hyperlink w:anchor="_Toc38447609" w:history="1">
        <w:r w:rsidR="001607F9" w:rsidRPr="0075468F">
          <w:rPr>
            <w:rStyle w:val="Hypertextovprepojenie"/>
            <w:rFonts w:eastAsia="Arial Narrow"/>
            <w:noProof/>
          </w:rPr>
          <w:t>7.1</w:t>
        </w:r>
        <w:r w:rsidR="001607F9">
          <w:rPr>
            <w:rFonts w:asciiTheme="minorHAnsi" w:eastAsiaTheme="minorEastAsia" w:hAnsiTheme="minorHAnsi" w:cstheme="minorBidi"/>
            <w:noProof/>
            <w:lang w:eastAsia="sk-SK"/>
          </w:rPr>
          <w:tab/>
        </w:r>
        <w:r w:rsidR="001607F9" w:rsidRPr="0075468F">
          <w:rPr>
            <w:rStyle w:val="Hypertextovprepojenie"/>
            <w:rFonts w:eastAsia="Arial Narrow"/>
            <w:noProof/>
          </w:rPr>
          <w:t>Zhrnutie</w:t>
        </w:r>
        <w:r w:rsidR="001607F9">
          <w:rPr>
            <w:noProof/>
            <w:webHidden/>
          </w:rPr>
          <w:tab/>
        </w:r>
        <w:r w:rsidR="001607F9">
          <w:rPr>
            <w:noProof/>
            <w:webHidden/>
          </w:rPr>
          <w:fldChar w:fldCharType="begin"/>
        </w:r>
        <w:r w:rsidR="001607F9">
          <w:rPr>
            <w:noProof/>
            <w:webHidden/>
          </w:rPr>
          <w:instrText xml:space="preserve"> PAGEREF _Toc38447609 \h </w:instrText>
        </w:r>
        <w:r w:rsidR="001607F9">
          <w:rPr>
            <w:noProof/>
            <w:webHidden/>
          </w:rPr>
        </w:r>
        <w:r w:rsidR="001607F9">
          <w:rPr>
            <w:noProof/>
            <w:webHidden/>
          </w:rPr>
          <w:fldChar w:fldCharType="separate"/>
        </w:r>
        <w:r w:rsidR="001607F9">
          <w:rPr>
            <w:noProof/>
            <w:webHidden/>
          </w:rPr>
          <w:t>113</w:t>
        </w:r>
        <w:r w:rsidR="001607F9">
          <w:rPr>
            <w:noProof/>
            <w:webHidden/>
          </w:rPr>
          <w:fldChar w:fldCharType="end"/>
        </w:r>
      </w:hyperlink>
    </w:p>
    <w:p w14:paraId="79D77DF7" w14:textId="24079776" w:rsidR="001607F9" w:rsidRDefault="00C45DA3">
      <w:pPr>
        <w:pStyle w:val="Obsah2"/>
        <w:rPr>
          <w:rFonts w:asciiTheme="minorHAnsi" w:eastAsiaTheme="minorEastAsia" w:hAnsiTheme="minorHAnsi" w:cstheme="minorBidi"/>
          <w:noProof/>
          <w:lang w:eastAsia="sk-SK"/>
        </w:rPr>
      </w:pPr>
      <w:hyperlink w:anchor="_Toc38447610" w:history="1">
        <w:r w:rsidR="001607F9" w:rsidRPr="0075468F">
          <w:rPr>
            <w:rStyle w:val="Hypertextovprepojenie"/>
            <w:rFonts w:eastAsia="Arial Narrow"/>
            <w:noProof/>
          </w:rPr>
          <w:t>7.2</w:t>
        </w:r>
        <w:r w:rsidR="001607F9">
          <w:rPr>
            <w:rFonts w:asciiTheme="minorHAnsi" w:eastAsiaTheme="minorEastAsia" w:hAnsiTheme="minorHAnsi" w:cstheme="minorBidi"/>
            <w:noProof/>
            <w:lang w:eastAsia="sk-SK"/>
          </w:rPr>
          <w:tab/>
        </w:r>
        <w:r w:rsidR="001607F9" w:rsidRPr="0075468F">
          <w:rPr>
            <w:rStyle w:val="Hypertextovprepojenie"/>
            <w:rFonts w:eastAsia="Arial Narrow"/>
            <w:noProof/>
          </w:rPr>
          <w:t>Úspora</w:t>
        </w:r>
        <w:r w:rsidR="001607F9">
          <w:rPr>
            <w:noProof/>
            <w:webHidden/>
          </w:rPr>
          <w:tab/>
        </w:r>
        <w:r w:rsidR="001607F9">
          <w:rPr>
            <w:noProof/>
            <w:webHidden/>
          </w:rPr>
          <w:fldChar w:fldCharType="begin"/>
        </w:r>
        <w:r w:rsidR="001607F9">
          <w:rPr>
            <w:noProof/>
            <w:webHidden/>
          </w:rPr>
          <w:instrText xml:space="preserve"> PAGEREF _Toc38447610 \h </w:instrText>
        </w:r>
        <w:r w:rsidR="001607F9">
          <w:rPr>
            <w:noProof/>
            <w:webHidden/>
          </w:rPr>
        </w:r>
        <w:r w:rsidR="001607F9">
          <w:rPr>
            <w:noProof/>
            <w:webHidden/>
          </w:rPr>
          <w:fldChar w:fldCharType="separate"/>
        </w:r>
        <w:r w:rsidR="001607F9">
          <w:rPr>
            <w:noProof/>
            <w:webHidden/>
          </w:rPr>
          <w:t>119</w:t>
        </w:r>
        <w:r w:rsidR="001607F9">
          <w:rPr>
            <w:noProof/>
            <w:webHidden/>
          </w:rPr>
          <w:fldChar w:fldCharType="end"/>
        </w:r>
      </w:hyperlink>
    </w:p>
    <w:p w14:paraId="5B086CA2" w14:textId="2C9C3D75" w:rsidR="001607F9" w:rsidRDefault="00C45DA3">
      <w:pPr>
        <w:pStyle w:val="Obsah2"/>
        <w:rPr>
          <w:rFonts w:asciiTheme="minorHAnsi" w:eastAsiaTheme="minorEastAsia" w:hAnsiTheme="minorHAnsi" w:cstheme="minorBidi"/>
          <w:noProof/>
          <w:lang w:eastAsia="sk-SK"/>
        </w:rPr>
      </w:pPr>
      <w:hyperlink w:anchor="_Toc38447611" w:history="1">
        <w:r w:rsidR="001607F9" w:rsidRPr="0075468F">
          <w:rPr>
            <w:rStyle w:val="Hypertextovprepojenie"/>
            <w:rFonts w:eastAsia="Arial Narrow"/>
            <w:noProof/>
          </w:rPr>
          <w:t>7.3</w:t>
        </w:r>
        <w:r w:rsidR="001607F9">
          <w:rPr>
            <w:rFonts w:asciiTheme="minorHAnsi" w:eastAsiaTheme="minorEastAsia" w:hAnsiTheme="minorHAnsi" w:cstheme="minorBidi"/>
            <w:noProof/>
            <w:lang w:eastAsia="sk-SK"/>
          </w:rPr>
          <w:tab/>
        </w:r>
        <w:r w:rsidR="001607F9" w:rsidRPr="0075468F">
          <w:rPr>
            <w:rStyle w:val="Hypertextovprepojenie"/>
            <w:rFonts w:eastAsia="Arial Narrow"/>
            <w:noProof/>
          </w:rPr>
          <w:t>Hodnota</w:t>
        </w:r>
        <w:r w:rsidR="001607F9">
          <w:rPr>
            <w:noProof/>
            <w:webHidden/>
          </w:rPr>
          <w:tab/>
        </w:r>
        <w:r w:rsidR="001607F9">
          <w:rPr>
            <w:noProof/>
            <w:webHidden/>
          </w:rPr>
          <w:fldChar w:fldCharType="begin"/>
        </w:r>
        <w:r w:rsidR="001607F9">
          <w:rPr>
            <w:noProof/>
            <w:webHidden/>
          </w:rPr>
          <w:instrText xml:space="preserve"> PAGEREF _Toc38447611 \h </w:instrText>
        </w:r>
        <w:r w:rsidR="001607F9">
          <w:rPr>
            <w:noProof/>
            <w:webHidden/>
          </w:rPr>
        </w:r>
        <w:r w:rsidR="001607F9">
          <w:rPr>
            <w:noProof/>
            <w:webHidden/>
          </w:rPr>
          <w:fldChar w:fldCharType="separate"/>
        </w:r>
        <w:r w:rsidR="001607F9">
          <w:rPr>
            <w:noProof/>
            <w:webHidden/>
          </w:rPr>
          <w:t>123</w:t>
        </w:r>
        <w:r w:rsidR="001607F9">
          <w:rPr>
            <w:noProof/>
            <w:webHidden/>
          </w:rPr>
          <w:fldChar w:fldCharType="end"/>
        </w:r>
      </w:hyperlink>
    </w:p>
    <w:p w14:paraId="6D3C5F16" w14:textId="16574980" w:rsidR="001607F9" w:rsidRDefault="00C45DA3">
      <w:pPr>
        <w:pStyle w:val="Obsah2"/>
        <w:rPr>
          <w:rFonts w:asciiTheme="minorHAnsi" w:eastAsiaTheme="minorEastAsia" w:hAnsiTheme="minorHAnsi" w:cstheme="minorBidi"/>
          <w:noProof/>
          <w:lang w:eastAsia="sk-SK"/>
        </w:rPr>
      </w:pPr>
      <w:hyperlink w:anchor="_Toc38447612" w:history="1">
        <w:r w:rsidR="001607F9" w:rsidRPr="0075468F">
          <w:rPr>
            <w:rStyle w:val="Hypertextovprepojenie"/>
            <w:rFonts w:eastAsia="Arial Narrow"/>
            <w:noProof/>
          </w:rPr>
          <w:t>7.4</w:t>
        </w:r>
        <w:r w:rsidR="001607F9">
          <w:rPr>
            <w:rFonts w:asciiTheme="minorHAnsi" w:eastAsiaTheme="minorEastAsia" w:hAnsiTheme="minorHAnsi" w:cstheme="minorBidi"/>
            <w:noProof/>
            <w:lang w:eastAsia="sk-SK"/>
          </w:rPr>
          <w:tab/>
        </w:r>
        <w:r w:rsidR="001607F9" w:rsidRPr="0075468F">
          <w:rPr>
            <w:rStyle w:val="Hypertextovprepojenie"/>
            <w:rFonts w:eastAsia="Arial Narrow"/>
            <w:noProof/>
          </w:rPr>
          <w:t>Riadenie</w:t>
        </w:r>
        <w:r w:rsidR="001607F9">
          <w:rPr>
            <w:noProof/>
            <w:webHidden/>
          </w:rPr>
          <w:tab/>
        </w:r>
        <w:r w:rsidR="001607F9">
          <w:rPr>
            <w:noProof/>
            <w:webHidden/>
          </w:rPr>
          <w:fldChar w:fldCharType="begin"/>
        </w:r>
        <w:r w:rsidR="001607F9">
          <w:rPr>
            <w:noProof/>
            <w:webHidden/>
          </w:rPr>
          <w:instrText xml:space="preserve"> PAGEREF _Toc38447612 \h </w:instrText>
        </w:r>
        <w:r w:rsidR="001607F9">
          <w:rPr>
            <w:noProof/>
            <w:webHidden/>
          </w:rPr>
        </w:r>
        <w:r w:rsidR="001607F9">
          <w:rPr>
            <w:noProof/>
            <w:webHidden/>
          </w:rPr>
          <w:fldChar w:fldCharType="separate"/>
        </w:r>
        <w:r w:rsidR="001607F9">
          <w:rPr>
            <w:noProof/>
            <w:webHidden/>
          </w:rPr>
          <w:t>130</w:t>
        </w:r>
        <w:r w:rsidR="001607F9">
          <w:rPr>
            <w:noProof/>
            <w:webHidden/>
          </w:rPr>
          <w:fldChar w:fldCharType="end"/>
        </w:r>
      </w:hyperlink>
    </w:p>
    <w:p w14:paraId="4018BFD6" w14:textId="6F1BF74A" w:rsidR="001607F9" w:rsidRDefault="00C45DA3">
      <w:pPr>
        <w:pStyle w:val="Obsah2"/>
        <w:rPr>
          <w:rFonts w:asciiTheme="minorHAnsi" w:eastAsiaTheme="minorEastAsia" w:hAnsiTheme="minorHAnsi" w:cstheme="minorBidi"/>
          <w:noProof/>
          <w:lang w:eastAsia="sk-SK"/>
        </w:rPr>
      </w:pPr>
      <w:hyperlink w:anchor="_Toc38447613" w:history="1">
        <w:r w:rsidR="001607F9" w:rsidRPr="0075468F">
          <w:rPr>
            <w:rStyle w:val="Hypertextovprepojenie"/>
            <w:rFonts w:eastAsia="Arial Narrow"/>
            <w:noProof/>
          </w:rPr>
          <w:t>7.5</w:t>
        </w:r>
        <w:r w:rsidR="001607F9">
          <w:rPr>
            <w:rFonts w:asciiTheme="minorHAnsi" w:eastAsiaTheme="minorEastAsia" w:hAnsiTheme="minorHAnsi" w:cstheme="minorBidi"/>
            <w:noProof/>
            <w:lang w:eastAsia="sk-SK"/>
          </w:rPr>
          <w:tab/>
        </w:r>
        <w:r w:rsidR="001607F9" w:rsidRPr="0075468F">
          <w:rPr>
            <w:rStyle w:val="Hypertextovprepojenie"/>
            <w:rFonts w:eastAsia="Arial Narrow"/>
            <w:noProof/>
          </w:rPr>
          <w:t>Dáta a metodika</w:t>
        </w:r>
        <w:r w:rsidR="001607F9">
          <w:rPr>
            <w:noProof/>
            <w:webHidden/>
          </w:rPr>
          <w:tab/>
        </w:r>
        <w:r w:rsidR="001607F9">
          <w:rPr>
            <w:noProof/>
            <w:webHidden/>
          </w:rPr>
          <w:fldChar w:fldCharType="begin"/>
        </w:r>
        <w:r w:rsidR="001607F9">
          <w:rPr>
            <w:noProof/>
            <w:webHidden/>
          </w:rPr>
          <w:instrText xml:space="preserve"> PAGEREF _Toc38447613 \h </w:instrText>
        </w:r>
        <w:r w:rsidR="001607F9">
          <w:rPr>
            <w:noProof/>
            <w:webHidden/>
          </w:rPr>
        </w:r>
        <w:r w:rsidR="001607F9">
          <w:rPr>
            <w:noProof/>
            <w:webHidden/>
          </w:rPr>
          <w:fldChar w:fldCharType="separate"/>
        </w:r>
        <w:r w:rsidR="001607F9">
          <w:rPr>
            <w:noProof/>
            <w:webHidden/>
          </w:rPr>
          <w:t>136</w:t>
        </w:r>
        <w:r w:rsidR="001607F9">
          <w:rPr>
            <w:noProof/>
            <w:webHidden/>
          </w:rPr>
          <w:fldChar w:fldCharType="end"/>
        </w:r>
      </w:hyperlink>
    </w:p>
    <w:p w14:paraId="10843D80" w14:textId="3860B0B9" w:rsidR="001607F9" w:rsidRDefault="00C45DA3">
      <w:pPr>
        <w:pStyle w:val="Obsah2"/>
        <w:rPr>
          <w:rFonts w:asciiTheme="minorHAnsi" w:eastAsiaTheme="minorEastAsia" w:hAnsiTheme="minorHAnsi" w:cstheme="minorBidi"/>
          <w:noProof/>
          <w:lang w:eastAsia="sk-SK"/>
        </w:rPr>
      </w:pPr>
      <w:hyperlink w:anchor="_Toc38447614" w:history="1">
        <w:r w:rsidR="001607F9" w:rsidRPr="0075468F">
          <w:rPr>
            <w:rStyle w:val="Hypertextovprepojenie"/>
            <w:rFonts w:eastAsia="Arial Narrow"/>
            <w:noProof/>
          </w:rPr>
          <w:t>7.6</w:t>
        </w:r>
        <w:r w:rsidR="001607F9">
          <w:rPr>
            <w:rFonts w:asciiTheme="minorHAnsi" w:eastAsiaTheme="minorEastAsia" w:hAnsiTheme="minorHAnsi" w:cstheme="minorBidi"/>
            <w:noProof/>
            <w:lang w:eastAsia="sk-SK"/>
          </w:rPr>
          <w:tab/>
        </w:r>
        <w:r w:rsidR="001607F9" w:rsidRPr="0075468F">
          <w:rPr>
            <w:rStyle w:val="Hypertextovprepojenie"/>
            <w:rFonts w:eastAsia="Arial Narrow"/>
            <w:noProof/>
          </w:rPr>
          <w:t>Analytické úlohy</w:t>
        </w:r>
        <w:r w:rsidR="001607F9">
          <w:rPr>
            <w:noProof/>
            <w:webHidden/>
          </w:rPr>
          <w:tab/>
        </w:r>
        <w:r w:rsidR="001607F9">
          <w:rPr>
            <w:noProof/>
            <w:webHidden/>
          </w:rPr>
          <w:fldChar w:fldCharType="begin"/>
        </w:r>
        <w:r w:rsidR="001607F9">
          <w:rPr>
            <w:noProof/>
            <w:webHidden/>
          </w:rPr>
          <w:instrText xml:space="preserve"> PAGEREF _Toc38447614 \h </w:instrText>
        </w:r>
        <w:r w:rsidR="001607F9">
          <w:rPr>
            <w:noProof/>
            <w:webHidden/>
          </w:rPr>
        </w:r>
        <w:r w:rsidR="001607F9">
          <w:rPr>
            <w:noProof/>
            <w:webHidden/>
          </w:rPr>
          <w:fldChar w:fldCharType="separate"/>
        </w:r>
        <w:r w:rsidR="001607F9">
          <w:rPr>
            <w:noProof/>
            <w:webHidden/>
          </w:rPr>
          <w:t>138</w:t>
        </w:r>
        <w:r w:rsidR="001607F9">
          <w:rPr>
            <w:noProof/>
            <w:webHidden/>
          </w:rPr>
          <w:fldChar w:fldCharType="end"/>
        </w:r>
      </w:hyperlink>
    </w:p>
    <w:p w14:paraId="3C38194A" w14:textId="3E55590E" w:rsidR="001607F9" w:rsidRDefault="00C45DA3">
      <w:pPr>
        <w:pStyle w:val="Obsah1"/>
        <w:rPr>
          <w:rFonts w:asciiTheme="minorHAnsi" w:eastAsiaTheme="minorEastAsia" w:hAnsiTheme="minorHAnsi" w:cstheme="minorBidi"/>
          <w:noProof/>
          <w:lang w:eastAsia="sk-SK"/>
        </w:rPr>
      </w:pPr>
      <w:hyperlink w:anchor="_Toc38447615" w:history="1">
        <w:r w:rsidR="001607F9" w:rsidRPr="0075468F">
          <w:rPr>
            <w:rStyle w:val="Hypertextovprepojenie"/>
            <w:noProof/>
          </w:rPr>
          <w:t>8</w:t>
        </w:r>
        <w:r w:rsidR="001607F9">
          <w:rPr>
            <w:rFonts w:asciiTheme="minorHAnsi" w:eastAsiaTheme="minorEastAsia" w:hAnsiTheme="minorHAnsi" w:cstheme="minorBidi"/>
            <w:noProof/>
            <w:lang w:eastAsia="sk-SK"/>
          </w:rPr>
          <w:tab/>
        </w:r>
        <w:r w:rsidR="001607F9" w:rsidRPr="0075468F">
          <w:rPr>
            <w:rStyle w:val="Hypertextovprepojenie"/>
            <w:noProof/>
          </w:rPr>
          <w:t>Trh práce a sociálne politiky</w:t>
        </w:r>
        <w:r w:rsidR="001607F9">
          <w:rPr>
            <w:noProof/>
            <w:webHidden/>
          </w:rPr>
          <w:tab/>
        </w:r>
        <w:r w:rsidR="001607F9">
          <w:rPr>
            <w:noProof/>
            <w:webHidden/>
          </w:rPr>
          <w:fldChar w:fldCharType="begin"/>
        </w:r>
        <w:r w:rsidR="001607F9">
          <w:rPr>
            <w:noProof/>
            <w:webHidden/>
          </w:rPr>
          <w:instrText xml:space="preserve"> PAGEREF _Toc38447615 \h </w:instrText>
        </w:r>
        <w:r w:rsidR="001607F9">
          <w:rPr>
            <w:noProof/>
            <w:webHidden/>
          </w:rPr>
        </w:r>
        <w:r w:rsidR="001607F9">
          <w:rPr>
            <w:noProof/>
            <w:webHidden/>
          </w:rPr>
          <w:fldChar w:fldCharType="separate"/>
        </w:r>
        <w:r w:rsidR="001607F9">
          <w:rPr>
            <w:noProof/>
            <w:webHidden/>
          </w:rPr>
          <w:t>141</w:t>
        </w:r>
        <w:r w:rsidR="001607F9">
          <w:rPr>
            <w:noProof/>
            <w:webHidden/>
          </w:rPr>
          <w:fldChar w:fldCharType="end"/>
        </w:r>
      </w:hyperlink>
    </w:p>
    <w:p w14:paraId="4F2EF1CA" w14:textId="3798A32F" w:rsidR="001607F9" w:rsidRDefault="00C45DA3">
      <w:pPr>
        <w:pStyle w:val="Obsah2"/>
        <w:rPr>
          <w:rFonts w:asciiTheme="minorHAnsi" w:eastAsiaTheme="minorEastAsia" w:hAnsiTheme="minorHAnsi" w:cstheme="minorBidi"/>
          <w:noProof/>
          <w:lang w:eastAsia="sk-SK"/>
        </w:rPr>
      </w:pPr>
      <w:hyperlink w:anchor="_Toc38447616" w:history="1">
        <w:r w:rsidR="001607F9" w:rsidRPr="0075468F">
          <w:rPr>
            <w:rStyle w:val="Hypertextovprepojenie"/>
            <w:noProof/>
          </w:rPr>
          <w:t>8.1</w:t>
        </w:r>
        <w:r w:rsidR="001607F9">
          <w:rPr>
            <w:rFonts w:asciiTheme="minorHAnsi" w:eastAsiaTheme="minorEastAsia" w:hAnsiTheme="minorHAnsi" w:cstheme="minorBidi"/>
            <w:noProof/>
            <w:lang w:eastAsia="sk-SK"/>
          </w:rPr>
          <w:tab/>
        </w:r>
        <w:r w:rsidR="001607F9" w:rsidRPr="0075468F">
          <w:rPr>
            <w:rStyle w:val="Hypertextovprepojenie"/>
            <w:noProof/>
          </w:rPr>
          <w:t>Zhrnutie</w:t>
        </w:r>
        <w:r w:rsidR="001607F9">
          <w:rPr>
            <w:noProof/>
            <w:webHidden/>
          </w:rPr>
          <w:tab/>
        </w:r>
        <w:r w:rsidR="001607F9">
          <w:rPr>
            <w:noProof/>
            <w:webHidden/>
          </w:rPr>
          <w:fldChar w:fldCharType="begin"/>
        </w:r>
        <w:r w:rsidR="001607F9">
          <w:rPr>
            <w:noProof/>
            <w:webHidden/>
          </w:rPr>
          <w:instrText xml:space="preserve"> PAGEREF _Toc38447616 \h </w:instrText>
        </w:r>
        <w:r w:rsidR="001607F9">
          <w:rPr>
            <w:noProof/>
            <w:webHidden/>
          </w:rPr>
        </w:r>
        <w:r w:rsidR="001607F9">
          <w:rPr>
            <w:noProof/>
            <w:webHidden/>
          </w:rPr>
          <w:fldChar w:fldCharType="separate"/>
        </w:r>
        <w:r w:rsidR="001607F9">
          <w:rPr>
            <w:noProof/>
            <w:webHidden/>
          </w:rPr>
          <w:t>141</w:t>
        </w:r>
        <w:r w:rsidR="001607F9">
          <w:rPr>
            <w:noProof/>
            <w:webHidden/>
          </w:rPr>
          <w:fldChar w:fldCharType="end"/>
        </w:r>
      </w:hyperlink>
    </w:p>
    <w:p w14:paraId="56FEBE47" w14:textId="48F45AE8" w:rsidR="001607F9" w:rsidRDefault="00C45DA3">
      <w:pPr>
        <w:pStyle w:val="Obsah2"/>
        <w:rPr>
          <w:rFonts w:asciiTheme="minorHAnsi" w:eastAsiaTheme="minorEastAsia" w:hAnsiTheme="minorHAnsi" w:cstheme="minorBidi"/>
          <w:noProof/>
          <w:lang w:eastAsia="sk-SK"/>
        </w:rPr>
      </w:pPr>
      <w:hyperlink w:anchor="_Toc38447617" w:history="1">
        <w:r w:rsidR="001607F9" w:rsidRPr="0075468F">
          <w:rPr>
            <w:rStyle w:val="Hypertextovprepojenie"/>
            <w:noProof/>
          </w:rPr>
          <w:t>8.2</w:t>
        </w:r>
        <w:r w:rsidR="001607F9">
          <w:rPr>
            <w:rFonts w:asciiTheme="minorHAnsi" w:eastAsiaTheme="minorEastAsia" w:hAnsiTheme="minorHAnsi" w:cstheme="minorBidi"/>
            <w:noProof/>
            <w:lang w:eastAsia="sk-SK"/>
          </w:rPr>
          <w:tab/>
        </w:r>
        <w:r w:rsidR="001607F9" w:rsidRPr="0075468F">
          <w:rPr>
            <w:rStyle w:val="Hypertextovprepojenie"/>
            <w:noProof/>
          </w:rPr>
          <w:t>Rodinná politika</w:t>
        </w:r>
        <w:r w:rsidR="001607F9">
          <w:rPr>
            <w:noProof/>
            <w:webHidden/>
          </w:rPr>
          <w:tab/>
        </w:r>
        <w:r w:rsidR="001607F9">
          <w:rPr>
            <w:noProof/>
            <w:webHidden/>
          </w:rPr>
          <w:fldChar w:fldCharType="begin"/>
        </w:r>
        <w:r w:rsidR="001607F9">
          <w:rPr>
            <w:noProof/>
            <w:webHidden/>
          </w:rPr>
          <w:instrText xml:space="preserve"> PAGEREF _Toc38447617 \h </w:instrText>
        </w:r>
        <w:r w:rsidR="001607F9">
          <w:rPr>
            <w:noProof/>
            <w:webHidden/>
          </w:rPr>
        </w:r>
        <w:r w:rsidR="001607F9">
          <w:rPr>
            <w:noProof/>
            <w:webHidden/>
          </w:rPr>
          <w:fldChar w:fldCharType="separate"/>
        </w:r>
        <w:r w:rsidR="001607F9">
          <w:rPr>
            <w:noProof/>
            <w:webHidden/>
          </w:rPr>
          <w:t>146</w:t>
        </w:r>
        <w:r w:rsidR="001607F9">
          <w:rPr>
            <w:noProof/>
            <w:webHidden/>
          </w:rPr>
          <w:fldChar w:fldCharType="end"/>
        </w:r>
      </w:hyperlink>
    </w:p>
    <w:p w14:paraId="05D69937" w14:textId="0087FCA9" w:rsidR="001607F9" w:rsidRDefault="00C45DA3">
      <w:pPr>
        <w:pStyle w:val="Obsah2"/>
        <w:rPr>
          <w:rFonts w:asciiTheme="minorHAnsi" w:eastAsiaTheme="minorEastAsia" w:hAnsiTheme="minorHAnsi" w:cstheme="minorBidi"/>
          <w:noProof/>
          <w:lang w:eastAsia="sk-SK"/>
        </w:rPr>
      </w:pPr>
      <w:hyperlink w:anchor="_Toc38447618" w:history="1">
        <w:r w:rsidR="001607F9" w:rsidRPr="0075468F">
          <w:rPr>
            <w:rStyle w:val="Hypertextovprepojenie"/>
            <w:noProof/>
          </w:rPr>
          <w:t>8.3</w:t>
        </w:r>
        <w:r w:rsidR="001607F9">
          <w:rPr>
            <w:rFonts w:asciiTheme="minorHAnsi" w:eastAsiaTheme="minorEastAsia" w:hAnsiTheme="minorHAnsi" w:cstheme="minorBidi"/>
            <w:noProof/>
            <w:lang w:eastAsia="sk-SK"/>
          </w:rPr>
          <w:tab/>
        </w:r>
        <w:r w:rsidR="001607F9" w:rsidRPr="0075468F">
          <w:rPr>
            <w:rStyle w:val="Hypertextovprepojenie"/>
            <w:noProof/>
          </w:rPr>
          <w:t>Politika zamestnanosti</w:t>
        </w:r>
        <w:r w:rsidR="001607F9">
          <w:rPr>
            <w:noProof/>
            <w:webHidden/>
          </w:rPr>
          <w:tab/>
        </w:r>
        <w:r w:rsidR="001607F9">
          <w:rPr>
            <w:noProof/>
            <w:webHidden/>
          </w:rPr>
          <w:fldChar w:fldCharType="begin"/>
        </w:r>
        <w:r w:rsidR="001607F9">
          <w:rPr>
            <w:noProof/>
            <w:webHidden/>
          </w:rPr>
          <w:instrText xml:space="preserve"> PAGEREF _Toc38447618 \h </w:instrText>
        </w:r>
        <w:r w:rsidR="001607F9">
          <w:rPr>
            <w:noProof/>
            <w:webHidden/>
          </w:rPr>
        </w:r>
        <w:r w:rsidR="001607F9">
          <w:rPr>
            <w:noProof/>
            <w:webHidden/>
          </w:rPr>
          <w:fldChar w:fldCharType="separate"/>
        </w:r>
        <w:r w:rsidR="001607F9">
          <w:rPr>
            <w:noProof/>
            <w:webHidden/>
          </w:rPr>
          <w:t>150</w:t>
        </w:r>
        <w:r w:rsidR="001607F9">
          <w:rPr>
            <w:noProof/>
            <w:webHidden/>
          </w:rPr>
          <w:fldChar w:fldCharType="end"/>
        </w:r>
      </w:hyperlink>
    </w:p>
    <w:p w14:paraId="14C08A48" w14:textId="1ABF145F" w:rsidR="001607F9" w:rsidRDefault="00C45DA3">
      <w:pPr>
        <w:pStyle w:val="Obsah2"/>
        <w:rPr>
          <w:rFonts w:asciiTheme="minorHAnsi" w:eastAsiaTheme="minorEastAsia" w:hAnsiTheme="minorHAnsi" w:cstheme="minorBidi"/>
          <w:noProof/>
          <w:lang w:eastAsia="sk-SK"/>
        </w:rPr>
      </w:pPr>
      <w:hyperlink w:anchor="_Toc38447619" w:history="1">
        <w:r w:rsidR="001607F9" w:rsidRPr="0075468F">
          <w:rPr>
            <w:rStyle w:val="Hypertextovprepojenie"/>
            <w:noProof/>
          </w:rPr>
          <w:t>8.4</w:t>
        </w:r>
        <w:r w:rsidR="001607F9">
          <w:rPr>
            <w:rFonts w:asciiTheme="minorHAnsi" w:eastAsiaTheme="minorEastAsia" w:hAnsiTheme="minorHAnsi" w:cstheme="minorBidi"/>
            <w:noProof/>
            <w:lang w:eastAsia="sk-SK"/>
          </w:rPr>
          <w:tab/>
        </w:r>
        <w:r w:rsidR="001607F9" w:rsidRPr="0075468F">
          <w:rPr>
            <w:rStyle w:val="Hypertextovprepojenie"/>
            <w:noProof/>
          </w:rPr>
          <w:t>Sociálne poistenie a dôchodky</w:t>
        </w:r>
        <w:r w:rsidR="001607F9">
          <w:rPr>
            <w:noProof/>
            <w:webHidden/>
          </w:rPr>
          <w:tab/>
        </w:r>
        <w:r w:rsidR="001607F9">
          <w:rPr>
            <w:noProof/>
            <w:webHidden/>
          </w:rPr>
          <w:fldChar w:fldCharType="begin"/>
        </w:r>
        <w:r w:rsidR="001607F9">
          <w:rPr>
            <w:noProof/>
            <w:webHidden/>
          </w:rPr>
          <w:instrText xml:space="preserve"> PAGEREF _Toc38447619 \h </w:instrText>
        </w:r>
        <w:r w:rsidR="001607F9">
          <w:rPr>
            <w:noProof/>
            <w:webHidden/>
          </w:rPr>
        </w:r>
        <w:r w:rsidR="001607F9">
          <w:rPr>
            <w:noProof/>
            <w:webHidden/>
          </w:rPr>
          <w:fldChar w:fldCharType="separate"/>
        </w:r>
        <w:r w:rsidR="001607F9">
          <w:rPr>
            <w:noProof/>
            <w:webHidden/>
          </w:rPr>
          <w:t>155</w:t>
        </w:r>
        <w:r w:rsidR="001607F9">
          <w:rPr>
            <w:noProof/>
            <w:webHidden/>
          </w:rPr>
          <w:fldChar w:fldCharType="end"/>
        </w:r>
      </w:hyperlink>
    </w:p>
    <w:p w14:paraId="3985A195" w14:textId="758D543E" w:rsidR="001607F9" w:rsidRDefault="00C45DA3">
      <w:pPr>
        <w:pStyle w:val="Obsah2"/>
        <w:rPr>
          <w:rFonts w:asciiTheme="minorHAnsi" w:eastAsiaTheme="minorEastAsia" w:hAnsiTheme="minorHAnsi" w:cstheme="minorBidi"/>
          <w:noProof/>
          <w:lang w:eastAsia="sk-SK"/>
        </w:rPr>
      </w:pPr>
      <w:hyperlink w:anchor="_Toc38447620" w:history="1">
        <w:r w:rsidR="001607F9" w:rsidRPr="0075468F">
          <w:rPr>
            <w:rStyle w:val="Hypertextovprepojenie"/>
            <w:noProof/>
          </w:rPr>
          <w:t>8.5</w:t>
        </w:r>
        <w:r w:rsidR="001607F9">
          <w:rPr>
            <w:rFonts w:asciiTheme="minorHAnsi" w:eastAsiaTheme="minorEastAsia" w:hAnsiTheme="minorHAnsi" w:cstheme="minorBidi"/>
            <w:noProof/>
            <w:lang w:eastAsia="sk-SK"/>
          </w:rPr>
          <w:tab/>
        </w:r>
        <w:r w:rsidR="001607F9" w:rsidRPr="0075468F">
          <w:rPr>
            <w:rStyle w:val="Hypertextovprepojenie"/>
            <w:noProof/>
          </w:rPr>
          <w:t>Sociálne služby</w:t>
        </w:r>
        <w:r w:rsidR="001607F9">
          <w:rPr>
            <w:noProof/>
            <w:webHidden/>
          </w:rPr>
          <w:tab/>
        </w:r>
        <w:r w:rsidR="001607F9">
          <w:rPr>
            <w:noProof/>
            <w:webHidden/>
          </w:rPr>
          <w:fldChar w:fldCharType="begin"/>
        </w:r>
        <w:r w:rsidR="001607F9">
          <w:rPr>
            <w:noProof/>
            <w:webHidden/>
          </w:rPr>
          <w:instrText xml:space="preserve"> PAGEREF _Toc38447620 \h </w:instrText>
        </w:r>
        <w:r w:rsidR="001607F9">
          <w:rPr>
            <w:noProof/>
            <w:webHidden/>
          </w:rPr>
        </w:r>
        <w:r w:rsidR="001607F9">
          <w:rPr>
            <w:noProof/>
            <w:webHidden/>
          </w:rPr>
          <w:fldChar w:fldCharType="separate"/>
        </w:r>
        <w:r w:rsidR="001607F9">
          <w:rPr>
            <w:noProof/>
            <w:webHidden/>
          </w:rPr>
          <w:t>162</w:t>
        </w:r>
        <w:r w:rsidR="001607F9">
          <w:rPr>
            <w:noProof/>
            <w:webHidden/>
          </w:rPr>
          <w:fldChar w:fldCharType="end"/>
        </w:r>
      </w:hyperlink>
    </w:p>
    <w:p w14:paraId="56949829" w14:textId="475F877F" w:rsidR="001607F9" w:rsidRDefault="00C45DA3">
      <w:pPr>
        <w:pStyle w:val="Obsah2"/>
        <w:rPr>
          <w:rFonts w:asciiTheme="minorHAnsi" w:eastAsiaTheme="minorEastAsia" w:hAnsiTheme="minorHAnsi" w:cstheme="minorBidi"/>
          <w:noProof/>
          <w:lang w:eastAsia="sk-SK"/>
        </w:rPr>
      </w:pPr>
      <w:hyperlink w:anchor="_Toc38447621" w:history="1">
        <w:r w:rsidR="001607F9" w:rsidRPr="0075468F">
          <w:rPr>
            <w:rStyle w:val="Hypertextovprepojenie"/>
            <w:noProof/>
          </w:rPr>
          <w:t>8.6</w:t>
        </w:r>
        <w:r w:rsidR="001607F9">
          <w:rPr>
            <w:rFonts w:asciiTheme="minorHAnsi" w:eastAsiaTheme="minorEastAsia" w:hAnsiTheme="minorHAnsi" w:cstheme="minorBidi"/>
            <w:noProof/>
            <w:lang w:eastAsia="sk-SK"/>
          </w:rPr>
          <w:tab/>
        </w:r>
        <w:r w:rsidR="001607F9" w:rsidRPr="0075468F">
          <w:rPr>
            <w:rStyle w:val="Hypertextovprepojenie"/>
            <w:noProof/>
          </w:rPr>
          <w:t>Investície a výdavky v oblasti sociálneho zabezpečenia</w:t>
        </w:r>
        <w:r w:rsidR="001607F9">
          <w:rPr>
            <w:noProof/>
            <w:webHidden/>
          </w:rPr>
          <w:tab/>
        </w:r>
        <w:r w:rsidR="001607F9">
          <w:rPr>
            <w:noProof/>
            <w:webHidden/>
          </w:rPr>
          <w:fldChar w:fldCharType="begin"/>
        </w:r>
        <w:r w:rsidR="001607F9">
          <w:rPr>
            <w:noProof/>
            <w:webHidden/>
          </w:rPr>
          <w:instrText xml:space="preserve"> PAGEREF _Toc38447621 \h </w:instrText>
        </w:r>
        <w:r w:rsidR="001607F9">
          <w:rPr>
            <w:noProof/>
            <w:webHidden/>
          </w:rPr>
        </w:r>
        <w:r w:rsidR="001607F9">
          <w:rPr>
            <w:noProof/>
            <w:webHidden/>
          </w:rPr>
          <w:fldChar w:fldCharType="separate"/>
        </w:r>
        <w:r w:rsidR="001607F9">
          <w:rPr>
            <w:noProof/>
            <w:webHidden/>
          </w:rPr>
          <w:t>163</w:t>
        </w:r>
        <w:r w:rsidR="001607F9">
          <w:rPr>
            <w:noProof/>
            <w:webHidden/>
          </w:rPr>
          <w:fldChar w:fldCharType="end"/>
        </w:r>
      </w:hyperlink>
    </w:p>
    <w:p w14:paraId="1D9E3E3B" w14:textId="17FC5616" w:rsidR="001607F9" w:rsidRDefault="00C45DA3">
      <w:pPr>
        <w:pStyle w:val="Obsah1"/>
        <w:rPr>
          <w:rFonts w:asciiTheme="minorHAnsi" w:eastAsiaTheme="minorEastAsia" w:hAnsiTheme="minorHAnsi" w:cstheme="minorBidi"/>
          <w:noProof/>
          <w:lang w:eastAsia="sk-SK"/>
        </w:rPr>
      </w:pPr>
      <w:hyperlink w:anchor="_Toc38447622" w:history="1">
        <w:r w:rsidR="001607F9" w:rsidRPr="0075468F">
          <w:rPr>
            <w:rStyle w:val="Hypertextovprepojenie"/>
            <w:noProof/>
          </w:rPr>
          <w:t>9</w:t>
        </w:r>
        <w:r w:rsidR="001607F9">
          <w:rPr>
            <w:rFonts w:asciiTheme="minorHAnsi" w:eastAsiaTheme="minorEastAsia" w:hAnsiTheme="minorHAnsi" w:cstheme="minorBidi"/>
            <w:noProof/>
            <w:lang w:eastAsia="sk-SK"/>
          </w:rPr>
          <w:tab/>
        </w:r>
        <w:r w:rsidR="001607F9" w:rsidRPr="0075468F">
          <w:rPr>
            <w:rStyle w:val="Hypertextovprepojenie"/>
            <w:noProof/>
          </w:rPr>
          <w:t>Pôdohospodárstvo a rozvoj vidieka</w:t>
        </w:r>
        <w:r w:rsidR="001607F9">
          <w:rPr>
            <w:noProof/>
            <w:webHidden/>
          </w:rPr>
          <w:tab/>
        </w:r>
        <w:r w:rsidR="001607F9">
          <w:rPr>
            <w:noProof/>
            <w:webHidden/>
          </w:rPr>
          <w:fldChar w:fldCharType="begin"/>
        </w:r>
        <w:r w:rsidR="001607F9">
          <w:rPr>
            <w:noProof/>
            <w:webHidden/>
          </w:rPr>
          <w:instrText xml:space="preserve"> PAGEREF _Toc38447622 \h </w:instrText>
        </w:r>
        <w:r w:rsidR="001607F9">
          <w:rPr>
            <w:noProof/>
            <w:webHidden/>
          </w:rPr>
        </w:r>
        <w:r w:rsidR="001607F9">
          <w:rPr>
            <w:noProof/>
            <w:webHidden/>
          </w:rPr>
          <w:fldChar w:fldCharType="separate"/>
        </w:r>
        <w:r w:rsidR="001607F9">
          <w:rPr>
            <w:noProof/>
            <w:webHidden/>
          </w:rPr>
          <w:t>169</w:t>
        </w:r>
        <w:r w:rsidR="001607F9">
          <w:rPr>
            <w:noProof/>
            <w:webHidden/>
          </w:rPr>
          <w:fldChar w:fldCharType="end"/>
        </w:r>
      </w:hyperlink>
    </w:p>
    <w:p w14:paraId="5AC60F09" w14:textId="472D1869" w:rsidR="001607F9" w:rsidRDefault="00C45DA3">
      <w:pPr>
        <w:pStyle w:val="Obsah2"/>
        <w:rPr>
          <w:rFonts w:asciiTheme="minorHAnsi" w:eastAsiaTheme="minorEastAsia" w:hAnsiTheme="minorHAnsi" w:cstheme="minorBidi"/>
          <w:noProof/>
          <w:lang w:eastAsia="sk-SK"/>
        </w:rPr>
      </w:pPr>
      <w:hyperlink w:anchor="_Toc38447623" w:history="1">
        <w:r w:rsidR="001607F9" w:rsidRPr="0075468F">
          <w:rPr>
            <w:rStyle w:val="Hypertextovprepojenie"/>
            <w:noProof/>
          </w:rPr>
          <w:t>9.1</w:t>
        </w:r>
        <w:r w:rsidR="001607F9">
          <w:rPr>
            <w:rFonts w:asciiTheme="minorHAnsi" w:eastAsiaTheme="minorEastAsia" w:hAnsiTheme="minorHAnsi" w:cstheme="minorBidi"/>
            <w:noProof/>
            <w:lang w:eastAsia="sk-SK"/>
          </w:rPr>
          <w:tab/>
        </w:r>
        <w:r w:rsidR="001607F9" w:rsidRPr="0075468F">
          <w:rPr>
            <w:rStyle w:val="Hypertextovprepojenie"/>
            <w:noProof/>
          </w:rPr>
          <w:t>Zhrnutie</w:t>
        </w:r>
        <w:r w:rsidR="001607F9">
          <w:rPr>
            <w:noProof/>
            <w:webHidden/>
          </w:rPr>
          <w:tab/>
        </w:r>
        <w:r w:rsidR="001607F9">
          <w:rPr>
            <w:noProof/>
            <w:webHidden/>
          </w:rPr>
          <w:fldChar w:fldCharType="begin"/>
        </w:r>
        <w:r w:rsidR="001607F9">
          <w:rPr>
            <w:noProof/>
            <w:webHidden/>
          </w:rPr>
          <w:instrText xml:space="preserve"> PAGEREF _Toc38447623 \h </w:instrText>
        </w:r>
        <w:r w:rsidR="001607F9">
          <w:rPr>
            <w:noProof/>
            <w:webHidden/>
          </w:rPr>
        </w:r>
        <w:r w:rsidR="001607F9">
          <w:rPr>
            <w:noProof/>
            <w:webHidden/>
          </w:rPr>
          <w:fldChar w:fldCharType="separate"/>
        </w:r>
        <w:r w:rsidR="001607F9">
          <w:rPr>
            <w:noProof/>
            <w:webHidden/>
          </w:rPr>
          <w:t>169</w:t>
        </w:r>
        <w:r w:rsidR="001607F9">
          <w:rPr>
            <w:noProof/>
            <w:webHidden/>
          </w:rPr>
          <w:fldChar w:fldCharType="end"/>
        </w:r>
      </w:hyperlink>
    </w:p>
    <w:p w14:paraId="7B3BAF8C" w14:textId="47BAEB06" w:rsidR="001607F9" w:rsidRDefault="00C45DA3">
      <w:pPr>
        <w:pStyle w:val="Obsah2"/>
        <w:rPr>
          <w:rFonts w:asciiTheme="minorHAnsi" w:eastAsiaTheme="minorEastAsia" w:hAnsiTheme="minorHAnsi" w:cstheme="minorBidi"/>
          <w:noProof/>
          <w:lang w:eastAsia="sk-SK"/>
        </w:rPr>
      </w:pPr>
      <w:hyperlink w:anchor="_Toc38447624" w:history="1">
        <w:r w:rsidR="001607F9" w:rsidRPr="0075468F">
          <w:rPr>
            <w:rStyle w:val="Hypertextovprepojenie"/>
            <w:noProof/>
          </w:rPr>
          <w:t>9.2</w:t>
        </w:r>
        <w:r w:rsidR="001607F9">
          <w:rPr>
            <w:rFonts w:asciiTheme="minorHAnsi" w:eastAsiaTheme="minorEastAsia" w:hAnsiTheme="minorHAnsi" w:cstheme="minorBidi"/>
            <w:noProof/>
            <w:lang w:eastAsia="sk-SK"/>
          </w:rPr>
          <w:tab/>
        </w:r>
        <w:r w:rsidR="001607F9" w:rsidRPr="0075468F">
          <w:rPr>
            <w:rStyle w:val="Hypertextovprepojenie"/>
            <w:noProof/>
          </w:rPr>
          <w:t>Podpora efektívneho a transparentného trhu s pôdou</w:t>
        </w:r>
        <w:r w:rsidR="001607F9">
          <w:rPr>
            <w:noProof/>
            <w:webHidden/>
          </w:rPr>
          <w:tab/>
        </w:r>
        <w:r w:rsidR="001607F9">
          <w:rPr>
            <w:noProof/>
            <w:webHidden/>
          </w:rPr>
          <w:fldChar w:fldCharType="begin"/>
        </w:r>
        <w:r w:rsidR="001607F9">
          <w:rPr>
            <w:noProof/>
            <w:webHidden/>
          </w:rPr>
          <w:instrText xml:space="preserve"> PAGEREF _Toc38447624 \h </w:instrText>
        </w:r>
        <w:r w:rsidR="001607F9">
          <w:rPr>
            <w:noProof/>
            <w:webHidden/>
          </w:rPr>
        </w:r>
        <w:r w:rsidR="001607F9">
          <w:rPr>
            <w:noProof/>
            <w:webHidden/>
          </w:rPr>
          <w:fldChar w:fldCharType="separate"/>
        </w:r>
        <w:r w:rsidR="001607F9">
          <w:rPr>
            <w:noProof/>
            <w:webHidden/>
          </w:rPr>
          <w:t>177</w:t>
        </w:r>
        <w:r w:rsidR="001607F9">
          <w:rPr>
            <w:noProof/>
            <w:webHidden/>
          </w:rPr>
          <w:fldChar w:fldCharType="end"/>
        </w:r>
      </w:hyperlink>
    </w:p>
    <w:p w14:paraId="3BCA818D" w14:textId="2100702F" w:rsidR="001607F9" w:rsidRDefault="00C45DA3">
      <w:pPr>
        <w:pStyle w:val="Obsah2"/>
        <w:rPr>
          <w:rFonts w:asciiTheme="minorHAnsi" w:eastAsiaTheme="minorEastAsia" w:hAnsiTheme="minorHAnsi" w:cstheme="minorBidi"/>
          <w:noProof/>
          <w:lang w:eastAsia="sk-SK"/>
        </w:rPr>
      </w:pPr>
      <w:hyperlink w:anchor="_Toc38447625" w:history="1">
        <w:r w:rsidR="001607F9" w:rsidRPr="0075468F">
          <w:rPr>
            <w:rStyle w:val="Hypertextovprepojenie"/>
            <w:noProof/>
          </w:rPr>
          <w:t>9.3</w:t>
        </w:r>
        <w:r w:rsidR="001607F9">
          <w:rPr>
            <w:rFonts w:asciiTheme="minorHAnsi" w:eastAsiaTheme="minorEastAsia" w:hAnsiTheme="minorHAnsi" w:cstheme="minorBidi"/>
            <w:noProof/>
            <w:lang w:eastAsia="sk-SK"/>
          </w:rPr>
          <w:tab/>
        </w:r>
        <w:r w:rsidR="001607F9" w:rsidRPr="0075468F">
          <w:rPr>
            <w:rStyle w:val="Hypertextovprepojenie"/>
            <w:noProof/>
          </w:rPr>
          <w:t>Riadenie rizika v poľnohospodárstve</w:t>
        </w:r>
        <w:r w:rsidR="001607F9">
          <w:rPr>
            <w:noProof/>
            <w:webHidden/>
          </w:rPr>
          <w:tab/>
        </w:r>
        <w:r w:rsidR="001607F9">
          <w:rPr>
            <w:noProof/>
            <w:webHidden/>
          </w:rPr>
          <w:fldChar w:fldCharType="begin"/>
        </w:r>
        <w:r w:rsidR="001607F9">
          <w:rPr>
            <w:noProof/>
            <w:webHidden/>
          </w:rPr>
          <w:instrText xml:space="preserve"> PAGEREF _Toc38447625 \h </w:instrText>
        </w:r>
        <w:r w:rsidR="001607F9">
          <w:rPr>
            <w:noProof/>
            <w:webHidden/>
          </w:rPr>
        </w:r>
        <w:r w:rsidR="001607F9">
          <w:rPr>
            <w:noProof/>
            <w:webHidden/>
          </w:rPr>
          <w:fldChar w:fldCharType="separate"/>
        </w:r>
        <w:r w:rsidR="001607F9">
          <w:rPr>
            <w:noProof/>
            <w:webHidden/>
          </w:rPr>
          <w:t>180</w:t>
        </w:r>
        <w:r w:rsidR="001607F9">
          <w:rPr>
            <w:noProof/>
            <w:webHidden/>
          </w:rPr>
          <w:fldChar w:fldCharType="end"/>
        </w:r>
      </w:hyperlink>
    </w:p>
    <w:p w14:paraId="62D8C314" w14:textId="75F79D0F" w:rsidR="001607F9" w:rsidRDefault="00C45DA3">
      <w:pPr>
        <w:pStyle w:val="Obsah2"/>
        <w:rPr>
          <w:rFonts w:asciiTheme="minorHAnsi" w:eastAsiaTheme="minorEastAsia" w:hAnsiTheme="minorHAnsi" w:cstheme="minorBidi"/>
          <w:noProof/>
          <w:lang w:eastAsia="sk-SK"/>
        </w:rPr>
      </w:pPr>
      <w:hyperlink w:anchor="_Toc38447626" w:history="1">
        <w:r w:rsidR="001607F9" w:rsidRPr="0075468F">
          <w:rPr>
            <w:rStyle w:val="Hypertextovprepojenie"/>
            <w:noProof/>
          </w:rPr>
          <w:t>9.4</w:t>
        </w:r>
        <w:r w:rsidR="001607F9">
          <w:rPr>
            <w:rFonts w:asciiTheme="minorHAnsi" w:eastAsiaTheme="minorEastAsia" w:hAnsiTheme="minorHAnsi" w:cstheme="minorBidi"/>
            <w:noProof/>
            <w:lang w:eastAsia="sk-SK"/>
          </w:rPr>
          <w:tab/>
        </w:r>
        <w:r w:rsidR="001607F9" w:rsidRPr="0075468F">
          <w:rPr>
            <w:rStyle w:val="Hypertextovprepojenie"/>
            <w:noProof/>
          </w:rPr>
          <w:t>Podpora investícií v pôdohospodárstve a na vidieku s použitím finančných nástrojov</w:t>
        </w:r>
        <w:r w:rsidR="001607F9">
          <w:rPr>
            <w:noProof/>
            <w:webHidden/>
          </w:rPr>
          <w:tab/>
        </w:r>
        <w:r w:rsidR="001607F9">
          <w:rPr>
            <w:noProof/>
            <w:webHidden/>
          </w:rPr>
          <w:fldChar w:fldCharType="begin"/>
        </w:r>
        <w:r w:rsidR="001607F9">
          <w:rPr>
            <w:noProof/>
            <w:webHidden/>
          </w:rPr>
          <w:instrText xml:space="preserve"> PAGEREF _Toc38447626 \h </w:instrText>
        </w:r>
        <w:r w:rsidR="001607F9">
          <w:rPr>
            <w:noProof/>
            <w:webHidden/>
          </w:rPr>
        </w:r>
        <w:r w:rsidR="001607F9">
          <w:rPr>
            <w:noProof/>
            <w:webHidden/>
          </w:rPr>
          <w:fldChar w:fldCharType="separate"/>
        </w:r>
        <w:r w:rsidR="001607F9">
          <w:rPr>
            <w:noProof/>
            <w:webHidden/>
          </w:rPr>
          <w:t>181</w:t>
        </w:r>
        <w:r w:rsidR="001607F9">
          <w:rPr>
            <w:noProof/>
            <w:webHidden/>
          </w:rPr>
          <w:fldChar w:fldCharType="end"/>
        </w:r>
      </w:hyperlink>
    </w:p>
    <w:p w14:paraId="30C0D3B2" w14:textId="16D8B661" w:rsidR="001607F9" w:rsidRDefault="00C45DA3">
      <w:pPr>
        <w:pStyle w:val="Obsah2"/>
        <w:rPr>
          <w:rFonts w:asciiTheme="minorHAnsi" w:eastAsiaTheme="minorEastAsia" w:hAnsiTheme="minorHAnsi" w:cstheme="minorBidi"/>
          <w:noProof/>
          <w:lang w:eastAsia="sk-SK"/>
        </w:rPr>
      </w:pPr>
      <w:hyperlink w:anchor="_Toc38447627" w:history="1">
        <w:r w:rsidR="001607F9" w:rsidRPr="0075468F">
          <w:rPr>
            <w:rStyle w:val="Hypertextovprepojenie"/>
            <w:noProof/>
          </w:rPr>
          <w:t>9.5</w:t>
        </w:r>
        <w:r w:rsidR="001607F9">
          <w:rPr>
            <w:rFonts w:asciiTheme="minorHAnsi" w:eastAsiaTheme="minorEastAsia" w:hAnsiTheme="minorHAnsi" w:cstheme="minorBidi"/>
            <w:noProof/>
            <w:lang w:eastAsia="sk-SK"/>
          </w:rPr>
          <w:tab/>
        </w:r>
        <w:r w:rsidR="001607F9" w:rsidRPr="0075468F">
          <w:rPr>
            <w:rStyle w:val="Hypertextovprepojenie"/>
            <w:noProof/>
          </w:rPr>
          <w:t>Lesy</w:t>
        </w:r>
        <w:r w:rsidR="001607F9">
          <w:rPr>
            <w:noProof/>
            <w:webHidden/>
          </w:rPr>
          <w:tab/>
        </w:r>
        <w:r w:rsidR="001607F9">
          <w:rPr>
            <w:noProof/>
            <w:webHidden/>
          </w:rPr>
          <w:fldChar w:fldCharType="begin"/>
        </w:r>
        <w:r w:rsidR="001607F9">
          <w:rPr>
            <w:noProof/>
            <w:webHidden/>
          </w:rPr>
          <w:instrText xml:space="preserve"> PAGEREF _Toc38447627 \h </w:instrText>
        </w:r>
        <w:r w:rsidR="001607F9">
          <w:rPr>
            <w:noProof/>
            <w:webHidden/>
          </w:rPr>
        </w:r>
        <w:r w:rsidR="001607F9">
          <w:rPr>
            <w:noProof/>
            <w:webHidden/>
          </w:rPr>
          <w:fldChar w:fldCharType="separate"/>
        </w:r>
        <w:r w:rsidR="001607F9">
          <w:rPr>
            <w:noProof/>
            <w:webHidden/>
          </w:rPr>
          <w:t>182</w:t>
        </w:r>
        <w:r w:rsidR="001607F9">
          <w:rPr>
            <w:noProof/>
            <w:webHidden/>
          </w:rPr>
          <w:fldChar w:fldCharType="end"/>
        </w:r>
      </w:hyperlink>
    </w:p>
    <w:p w14:paraId="7086300C" w14:textId="719CC6C2" w:rsidR="001607F9" w:rsidRDefault="00C45DA3">
      <w:pPr>
        <w:pStyle w:val="Obsah2"/>
        <w:rPr>
          <w:rFonts w:asciiTheme="minorHAnsi" w:eastAsiaTheme="minorEastAsia" w:hAnsiTheme="minorHAnsi" w:cstheme="minorBidi"/>
          <w:noProof/>
          <w:lang w:eastAsia="sk-SK"/>
        </w:rPr>
      </w:pPr>
      <w:hyperlink w:anchor="_Toc38447628" w:history="1">
        <w:r w:rsidR="001607F9" w:rsidRPr="0075468F">
          <w:rPr>
            <w:rStyle w:val="Hypertextovprepojenie"/>
            <w:noProof/>
          </w:rPr>
          <w:t>9.6</w:t>
        </w:r>
        <w:r w:rsidR="001607F9">
          <w:rPr>
            <w:rFonts w:asciiTheme="minorHAnsi" w:eastAsiaTheme="minorEastAsia" w:hAnsiTheme="minorHAnsi" w:cstheme="minorBidi"/>
            <w:noProof/>
            <w:lang w:eastAsia="sk-SK"/>
          </w:rPr>
          <w:tab/>
        </w:r>
        <w:r w:rsidR="001607F9" w:rsidRPr="0075468F">
          <w:rPr>
            <w:rStyle w:val="Hypertextovprepojenie"/>
            <w:noProof/>
          </w:rPr>
          <w:t>Zefektívnenie prevádzky úradu a podriadených organizácií MPRV SR vrátane štátnych podnikov</w:t>
        </w:r>
        <w:r w:rsidR="001607F9">
          <w:rPr>
            <w:noProof/>
            <w:webHidden/>
          </w:rPr>
          <w:tab/>
        </w:r>
        <w:r w:rsidR="001607F9">
          <w:rPr>
            <w:noProof/>
            <w:webHidden/>
          </w:rPr>
          <w:fldChar w:fldCharType="begin"/>
        </w:r>
        <w:r w:rsidR="001607F9">
          <w:rPr>
            <w:noProof/>
            <w:webHidden/>
          </w:rPr>
          <w:instrText xml:space="preserve"> PAGEREF _Toc38447628 \h </w:instrText>
        </w:r>
        <w:r w:rsidR="001607F9">
          <w:rPr>
            <w:noProof/>
            <w:webHidden/>
          </w:rPr>
        </w:r>
        <w:r w:rsidR="001607F9">
          <w:rPr>
            <w:noProof/>
            <w:webHidden/>
          </w:rPr>
          <w:fldChar w:fldCharType="separate"/>
        </w:r>
        <w:r w:rsidR="001607F9">
          <w:rPr>
            <w:noProof/>
            <w:webHidden/>
          </w:rPr>
          <w:t>183</w:t>
        </w:r>
        <w:r w:rsidR="001607F9">
          <w:rPr>
            <w:noProof/>
            <w:webHidden/>
          </w:rPr>
          <w:fldChar w:fldCharType="end"/>
        </w:r>
      </w:hyperlink>
    </w:p>
    <w:p w14:paraId="66EE3B23" w14:textId="4105BAFF" w:rsidR="001607F9" w:rsidRDefault="00C45DA3">
      <w:pPr>
        <w:pStyle w:val="Obsah2"/>
        <w:rPr>
          <w:rFonts w:asciiTheme="minorHAnsi" w:eastAsiaTheme="minorEastAsia" w:hAnsiTheme="minorHAnsi" w:cstheme="minorBidi"/>
          <w:noProof/>
          <w:lang w:eastAsia="sk-SK"/>
        </w:rPr>
      </w:pPr>
      <w:hyperlink w:anchor="_Toc38447629" w:history="1">
        <w:r w:rsidR="001607F9" w:rsidRPr="0075468F">
          <w:rPr>
            <w:rStyle w:val="Hypertextovprepojenie"/>
            <w:noProof/>
          </w:rPr>
          <w:t>9.7</w:t>
        </w:r>
        <w:r w:rsidR="001607F9">
          <w:rPr>
            <w:rFonts w:asciiTheme="minorHAnsi" w:eastAsiaTheme="minorEastAsia" w:hAnsiTheme="minorHAnsi" w:cstheme="minorBidi"/>
            <w:noProof/>
            <w:lang w:eastAsia="sk-SK"/>
          </w:rPr>
          <w:tab/>
        </w:r>
        <w:r w:rsidR="001607F9" w:rsidRPr="0075468F">
          <w:rPr>
            <w:rStyle w:val="Hypertextovprepojenie"/>
            <w:noProof/>
          </w:rPr>
          <w:t>Zefektívnenie prevádzky úradu a podriadených organizácií MPRV SR - zvýšenie efektivity a transparentnosti podniku Lesy SR</w:t>
        </w:r>
        <w:r w:rsidR="001607F9">
          <w:rPr>
            <w:noProof/>
            <w:webHidden/>
          </w:rPr>
          <w:tab/>
        </w:r>
        <w:r w:rsidR="001607F9">
          <w:rPr>
            <w:noProof/>
            <w:webHidden/>
          </w:rPr>
          <w:fldChar w:fldCharType="begin"/>
        </w:r>
        <w:r w:rsidR="001607F9">
          <w:rPr>
            <w:noProof/>
            <w:webHidden/>
          </w:rPr>
          <w:instrText xml:space="preserve"> PAGEREF _Toc38447629 \h </w:instrText>
        </w:r>
        <w:r w:rsidR="001607F9">
          <w:rPr>
            <w:noProof/>
            <w:webHidden/>
          </w:rPr>
        </w:r>
        <w:r w:rsidR="001607F9">
          <w:rPr>
            <w:noProof/>
            <w:webHidden/>
          </w:rPr>
          <w:fldChar w:fldCharType="separate"/>
        </w:r>
        <w:r w:rsidR="001607F9">
          <w:rPr>
            <w:noProof/>
            <w:webHidden/>
          </w:rPr>
          <w:t>187</w:t>
        </w:r>
        <w:r w:rsidR="001607F9">
          <w:rPr>
            <w:noProof/>
            <w:webHidden/>
          </w:rPr>
          <w:fldChar w:fldCharType="end"/>
        </w:r>
      </w:hyperlink>
    </w:p>
    <w:p w14:paraId="5C5F9471" w14:textId="390121BE" w:rsidR="001607F9" w:rsidRDefault="00C45DA3">
      <w:pPr>
        <w:pStyle w:val="Obsah2"/>
        <w:rPr>
          <w:rFonts w:asciiTheme="minorHAnsi" w:eastAsiaTheme="minorEastAsia" w:hAnsiTheme="minorHAnsi" w:cstheme="minorBidi"/>
          <w:noProof/>
          <w:lang w:eastAsia="sk-SK"/>
        </w:rPr>
      </w:pPr>
      <w:hyperlink w:anchor="_Toc38447630" w:history="1">
        <w:r w:rsidR="001607F9" w:rsidRPr="0075468F">
          <w:rPr>
            <w:rStyle w:val="Hypertextovprepojenie"/>
            <w:noProof/>
          </w:rPr>
          <w:t>9.8</w:t>
        </w:r>
        <w:r w:rsidR="001607F9">
          <w:rPr>
            <w:rFonts w:asciiTheme="minorHAnsi" w:eastAsiaTheme="minorEastAsia" w:hAnsiTheme="minorHAnsi" w:cstheme="minorBidi"/>
            <w:noProof/>
            <w:lang w:eastAsia="sk-SK"/>
          </w:rPr>
          <w:tab/>
        </w:r>
        <w:r w:rsidR="001607F9" w:rsidRPr="0075468F">
          <w:rPr>
            <w:rStyle w:val="Hypertextovprepojenie"/>
            <w:noProof/>
          </w:rPr>
          <w:t>Zlepšenie kvality a dostupnosti dát</w:t>
        </w:r>
        <w:r w:rsidR="001607F9">
          <w:rPr>
            <w:noProof/>
            <w:webHidden/>
          </w:rPr>
          <w:tab/>
        </w:r>
        <w:r w:rsidR="001607F9">
          <w:rPr>
            <w:noProof/>
            <w:webHidden/>
          </w:rPr>
          <w:fldChar w:fldCharType="begin"/>
        </w:r>
        <w:r w:rsidR="001607F9">
          <w:rPr>
            <w:noProof/>
            <w:webHidden/>
          </w:rPr>
          <w:instrText xml:space="preserve"> PAGEREF _Toc38447630 \h </w:instrText>
        </w:r>
        <w:r w:rsidR="001607F9">
          <w:rPr>
            <w:noProof/>
            <w:webHidden/>
          </w:rPr>
        </w:r>
        <w:r w:rsidR="001607F9">
          <w:rPr>
            <w:noProof/>
            <w:webHidden/>
          </w:rPr>
          <w:fldChar w:fldCharType="separate"/>
        </w:r>
        <w:r w:rsidR="001607F9">
          <w:rPr>
            <w:noProof/>
            <w:webHidden/>
          </w:rPr>
          <w:t>188</w:t>
        </w:r>
        <w:r w:rsidR="001607F9">
          <w:rPr>
            <w:noProof/>
            <w:webHidden/>
          </w:rPr>
          <w:fldChar w:fldCharType="end"/>
        </w:r>
      </w:hyperlink>
    </w:p>
    <w:p w14:paraId="59CE8E03" w14:textId="5DB1D209" w:rsidR="001607F9" w:rsidRDefault="00C45DA3">
      <w:pPr>
        <w:pStyle w:val="Obsah1"/>
        <w:rPr>
          <w:rFonts w:asciiTheme="minorHAnsi" w:eastAsiaTheme="minorEastAsia" w:hAnsiTheme="minorHAnsi" w:cstheme="minorBidi"/>
          <w:noProof/>
          <w:lang w:eastAsia="sk-SK"/>
        </w:rPr>
      </w:pPr>
      <w:hyperlink w:anchor="_Toc38447631" w:history="1">
        <w:r w:rsidR="001607F9" w:rsidRPr="0075468F">
          <w:rPr>
            <w:rStyle w:val="Hypertextovprepojenie"/>
            <w:noProof/>
          </w:rPr>
          <w:t>Zoznam skratiek</w:t>
        </w:r>
        <w:r w:rsidR="001607F9">
          <w:rPr>
            <w:noProof/>
            <w:webHidden/>
          </w:rPr>
          <w:tab/>
        </w:r>
        <w:r w:rsidR="001607F9">
          <w:rPr>
            <w:noProof/>
            <w:webHidden/>
          </w:rPr>
          <w:fldChar w:fldCharType="begin"/>
        </w:r>
        <w:r w:rsidR="001607F9">
          <w:rPr>
            <w:noProof/>
            <w:webHidden/>
          </w:rPr>
          <w:instrText xml:space="preserve"> PAGEREF _Toc38447631 \h </w:instrText>
        </w:r>
        <w:r w:rsidR="001607F9">
          <w:rPr>
            <w:noProof/>
            <w:webHidden/>
          </w:rPr>
        </w:r>
        <w:r w:rsidR="001607F9">
          <w:rPr>
            <w:noProof/>
            <w:webHidden/>
          </w:rPr>
          <w:fldChar w:fldCharType="separate"/>
        </w:r>
        <w:r w:rsidR="001607F9">
          <w:rPr>
            <w:noProof/>
            <w:webHidden/>
          </w:rPr>
          <w:t>192</w:t>
        </w:r>
        <w:r w:rsidR="001607F9">
          <w:rPr>
            <w:noProof/>
            <w:webHidden/>
          </w:rPr>
          <w:fldChar w:fldCharType="end"/>
        </w:r>
      </w:hyperlink>
    </w:p>
    <w:p w14:paraId="642AF68F" w14:textId="1F2AF51C" w:rsidR="001607F9" w:rsidRDefault="00C45DA3">
      <w:pPr>
        <w:pStyle w:val="Obsah1"/>
        <w:rPr>
          <w:rFonts w:asciiTheme="minorHAnsi" w:eastAsiaTheme="minorEastAsia" w:hAnsiTheme="minorHAnsi" w:cstheme="minorBidi"/>
          <w:noProof/>
          <w:lang w:eastAsia="sk-SK"/>
        </w:rPr>
      </w:pPr>
      <w:hyperlink w:anchor="_Toc38447632" w:history="1">
        <w:r w:rsidR="001607F9" w:rsidRPr="0075468F">
          <w:rPr>
            <w:rStyle w:val="Hypertextovprepojenie"/>
            <w:noProof/>
          </w:rPr>
          <w:t>Zoznam tabuliek</w:t>
        </w:r>
        <w:r w:rsidR="001607F9">
          <w:rPr>
            <w:noProof/>
            <w:webHidden/>
          </w:rPr>
          <w:tab/>
        </w:r>
        <w:r w:rsidR="001607F9">
          <w:rPr>
            <w:noProof/>
            <w:webHidden/>
          </w:rPr>
          <w:fldChar w:fldCharType="begin"/>
        </w:r>
        <w:r w:rsidR="001607F9">
          <w:rPr>
            <w:noProof/>
            <w:webHidden/>
          </w:rPr>
          <w:instrText xml:space="preserve"> PAGEREF _Toc38447632 \h </w:instrText>
        </w:r>
        <w:r w:rsidR="001607F9">
          <w:rPr>
            <w:noProof/>
            <w:webHidden/>
          </w:rPr>
        </w:r>
        <w:r w:rsidR="001607F9">
          <w:rPr>
            <w:noProof/>
            <w:webHidden/>
          </w:rPr>
          <w:fldChar w:fldCharType="separate"/>
        </w:r>
        <w:r w:rsidR="001607F9">
          <w:rPr>
            <w:noProof/>
            <w:webHidden/>
          </w:rPr>
          <w:t>199</w:t>
        </w:r>
        <w:r w:rsidR="001607F9">
          <w:rPr>
            <w:noProof/>
            <w:webHidden/>
          </w:rPr>
          <w:fldChar w:fldCharType="end"/>
        </w:r>
      </w:hyperlink>
    </w:p>
    <w:p w14:paraId="5F41B43F" w14:textId="2AD0A48E" w:rsidR="001607F9" w:rsidRDefault="00C45DA3">
      <w:pPr>
        <w:pStyle w:val="Obsah1"/>
        <w:rPr>
          <w:rFonts w:asciiTheme="minorHAnsi" w:eastAsiaTheme="minorEastAsia" w:hAnsiTheme="minorHAnsi" w:cstheme="minorBidi"/>
          <w:noProof/>
          <w:lang w:eastAsia="sk-SK"/>
        </w:rPr>
      </w:pPr>
      <w:hyperlink w:anchor="_Toc38447633" w:history="1">
        <w:r w:rsidR="001607F9" w:rsidRPr="0075468F">
          <w:rPr>
            <w:rStyle w:val="Hypertextovprepojenie"/>
            <w:noProof/>
          </w:rPr>
          <w:t>Zoznam grafov</w:t>
        </w:r>
        <w:r w:rsidR="001607F9">
          <w:rPr>
            <w:noProof/>
            <w:webHidden/>
          </w:rPr>
          <w:tab/>
        </w:r>
        <w:r w:rsidR="001607F9">
          <w:rPr>
            <w:noProof/>
            <w:webHidden/>
          </w:rPr>
          <w:fldChar w:fldCharType="begin"/>
        </w:r>
        <w:r w:rsidR="001607F9">
          <w:rPr>
            <w:noProof/>
            <w:webHidden/>
          </w:rPr>
          <w:instrText xml:space="preserve"> PAGEREF _Toc38447633 \h </w:instrText>
        </w:r>
        <w:r w:rsidR="001607F9">
          <w:rPr>
            <w:noProof/>
            <w:webHidden/>
          </w:rPr>
        </w:r>
        <w:r w:rsidR="001607F9">
          <w:rPr>
            <w:noProof/>
            <w:webHidden/>
          </w:rPr>
          <w:fldChar w:fldCharType="separate"/>
        </w:r>
        <w:r w:rsidR="001607F9">
          <w:rPr>
            <w:noProof/>
            <w:webHidden/>
          </w:rPr>
          <w:t>201</w:t>
        </w:r>
        <w:r w:rsidR="001607F9">
          <w:rPr>
            <w:noProof/>
            <w:webHidden/>
          </w:rPr>
          <w:fldChar w:fldCharType="end"/>
        </w:r>
      </w:hyperlink>
    </w:p>
    <w:p w14:paraId="76ACCF17" w14:textId="5C69BD97" w:rsidR="001607F9" w:rsidRDefault="00C45DA3">
      <w:pPr>
        <w:pStyle w:val="Obsah1"/>
        <w:rPr>
          <w:rFonts w:asciiTheme="minorHAnsi" w:eastAsiaTheme="minorEastAsia" w:hAnsiTheme="minorHAnsi" w:cstheme="minorBidi"/>
          <w:noProof/>
          <w:lang w:eastAsia="sk-SK"/>
        </w:rPr>
      </w:pPr>
      <w:hyperlink w:anchor="_Toc38447634" w:history="1">
        <w:r w:rsidR="001607F9" w:rsidRPr="0075468F">
          <w:rPr>
            <w:rStyle w:val="Hypertextovprepojenie"/>
            <w:noProof/>
          </w:rPr>
          <w:t>Zoznam obrázkov</w:t>
        </w:r>
        <w:r w:rsidR="001607F9">
          <w:rPr>
            <w:noProof/>
            <w:webHidden/>
          </w:rPr>
          <w:tab/>
        </w:r>
        <w:r w:rsidR="001607F9">
          <w:rPr>
            <w:noProof/>
            <w:webHidden/>
          </w:rPr>
          <w:fldChar w:fldCharType="begin"/>
        </w:r>
        <w:r w:rsidR="001607F9">
          <w:rPr>
            <w:noProof/>
            <w:webHidden/>
          </w:rPr>
          <w:instrText xml:space="preserve"> PAGEREF _Toc38447634 \h </w:instrText>
        </w:r>
        <w:r w:rsidR="001607F9">
          <w:rPr>
            <w:noProof/>
            <w:webHidden/>
          </w:rPr>
        </w:r>
        <w:r w:rsidR="001607F9">
          <w:rPr>
            <w:noProof/>
            <w:webHidden/>
          </w:rPr>
          <w:fldChar w:fldCharType="separate"/>
        </w:r>
        <w:r w:rsidR="001607F9">
          <w:rPr>
            <w:noProof/>
            <w:webHidden/>
          </w:rPr>
          <w:t>201</w:t>
        </w:r>
        <w:r w:rsidR="001607F9">
          <w:rPr>
            <w:noProof/>
            <w:webHidden/>
          </w:rPr>
          <w:fldChar w:fldCharType="end"/>
        </w:r>
      </w:hyperlink>
    </w:p>
    <w:p w14:paraId="5E91AF5F" w14:textId="310C6A95" w:rsidR="001607F9" w:rsidRDefault="00C45DA3">
      <w:pPr>
        <w:pStyle w:val="Obsah1"/>
        <w:rPr>
          <w:rFonts w:asciiTheme="minorHAnsi" w:eastAsiaTheme="minorEastAsia" w:hAnsiTheme="minorHAnsi" w:cstheme="minorBidi"/>
          <w:noProof/>
          <w:lang w:eastAsia="sk-SK"/>
        </w:rPr>
      </w:pPr>
      <w:hyperlink w:anchor="_Toc38447635" w:history="1">
        <w:r w:rsidR="001607F9" w:rsidRPr="0075468F">
          <w:rPr>
            <w:rStyle w:val="Hypertextovprepojenie"/>
            <w:noProof/>
          </w:rPr>
          <w:t>Zoznam boxov</w:t>
        </w:r>
        <w:r w:rsidR="001607F9">
          <w:rPr>
            <w:noProof/>
            <w:webHidden/>
          </w:rPr>
          <w:tab/>
        </w:r>
        <w:r w:rsidR="001607F9">
          <w:rPr>
            <w:noProof/>
            <w:webHidden/>
          </w:rPr>
          <w:fldChar w:fldCharType="begin"/>
        </w:r>
        <w:r w:rsidR="001607F9">
          <w:rPr>
            <w:noProof/>
            <w:webHidden/>
          </w:rPr>
          <w:instrText xml:space="preserve"> PAGEREF _Toc38447635 \h </w:instrText>
        </w:r>
        <w:r w:rsidR="001607F9">
          <w:rPr>
            <w:noProof/>
            <w:webHidden/>
          </w:rPr>
        </w:r>
        <w:r w:rsidR="001607F9">
          <w:rPr>
            <w:noProof/>
            <w:webHidden/>
          </w:rPr>
          <w:fldChar w:fldCharType="separate"/>
        </w:r>
        <w:r w:rsidR="001607F9">
          <w:rPr>
            <w:noProof/>
            <w:webHidden/>
          </w:rPr>
          <w:t>201</w:t>
        </w:r>
        <w:r w:rsidR="001607F9">
          <w:rPr>
            <w:noProof/>
            <w:webHidden/>
          </w:rPr>
          <w:fldChar w:fldCharType="end"/>
        </w:r>
      </w:hyperlink>
    </w:p>
    <w:p w14:paraId="72A820E8" w14:textId="1A325475" w:rsidR="003D29A7" w:rsidRPr="00666914" w:rsidRDefault="00432701" w:rsidP="00432701">
      <w:pPr>
        <w:rPr>
          <w:color w:val="2E74B5"/>
        </w:rPr>
      </w:pPr>
      <w:r w:rsidRPr="00666914">
        <w:rPr>
          <w:color w:val="2E74B5"/>
        </w:rPr>
        <w:fldChar w:fldCharType="end"/>
      </w:r>
    </w:p>
    <w:p w14:paraId="370369E1" w14:textId="77777777" w:rsidR="00432701" w:rsidRPr="00666914" w:rsidRDefault="003D29A7" w:rsidP="00B43A7D">
      <w:pPr>
        <w:spacing w:line="259" w:lineRule="auto"/>
        <w:jc w:val="left"/>
        <w:rPr>
          <w:color w:val="2E74B5"/>
        </w:rPr>
      </w:pPr>
      <w:r w:rsidRPr="00666914">
        <w:rPr>
          <w:color w:val="2E74B5"/>
        </w:rPr>
        <w:br w:type="page"/>
      </w:r>
    </w:p>
    <w:p w14:paraId="1901B17C" w14:textId="77777777" w:rsidR="00147102" w:rsidRPr="00666914" w:rsidRDefault="00147102" w:rsidP="001A04E2">
      <w:pPr>
        <w:pStyle w:val="Nadpis1"/>
        <w:spacing w:before="0" w:after="0"/>
        <w:ind w:left="284"/>
        <w:jc w:val="left"/>
      </w:pPr>
      <w:bookmarkStart w:id="4" w:name="_Toc525719302"/>
      <w:bookmarkStart w:id="5" w:name="_Toc38447577"/>
      <w:r w:rsidRPr="00666914">
        <w:lastRenderedPageBreak/>
        <w:t>Úvod</w:t>
      </w:r>
      <w:bookmarkEnd w:id="4"/>
      <w:bookmarkEnd w:id="5"/>
    </w:p>
    <w:p w14:paraId="7102A63B" w14:textId="6FD36C5D" w:rsidR="00786DA6" w:rsidRPr="00666914" w:rsidRDefault="00786DA6" w:rsidP="00B636FD">
      <w:pPr>
        <w:spacing w:after="0"/>
        <w:rPr>
          <w:b/>
        </w:rPr>
      </w:pPr>
    </w:p>
    <w:p w14:paraId="08D1ED7B" w14:textId="4DE551A0" w:rsidR="00B636FD" w:rsidRDefault="00B636FD" w:rsidP="00047411">
      <w:pPr>
        <w:spacing w:after="0"/>
        <w:rPr>
          <w:bCs/>
        </w:rPr>
      </w:pPr>
      <w:r w:rsidRPr="00666914">
        <w:rPr>
          <w:b/>
          <w:bCs/>
        </w:rPr>
        <w:t>Súhrnná implementačná správa za rok 2019 hodnotí pokrok v plnení 187 opatrení v 7 revíziách</w:t>
      </w:r>
      <w:r w:rsidRPr="00666914">
        <w:rPr>
          <w:rStyle w:val="Odkaznapoznmkupodiarou"/>
          <w:b/>
          <w:bCs/>
        </w:rPr>
        <w:footnoteReference w:id="1"/>
      </w:r>
      <w:r w:rsidRPr="00666914">
        <w:rPr>
          <w:b/>
          <w:bCs/>
        </w:rPr>
        <w:t xml:space="preserve">. Revízie identifikovali opatrenia s potenciálom úspor 679 mil. eur ročne (tabuľka 1), v roku 2019 sa plánovalo usporiť 400 mil. eur. Skutočne dosiahnutá úspora bola 111 mil. eur,  z rozhodujúcej časti vďaka plneniu úloh v zdravotníctve, marginálne v životnom prostredí a doprave. </w:t>
      </w:r>
      <w:r w:rsidRPr="00666914">
        <w:rPr>
          <w:bCs/>
        </w:rPr>
        <w:t xml:space="preserve">Opatreniami vo verejnom zdravotnom poistení bolo dosiahnutých 106 mil. eur, napr. zlepšením revíznej činnosti na zdravotníckych pomôckach, hospodárnym obstarávaním zdravotníckej technicky, či pri úhradách liekov na recept. Naopak, v univerzitných a fakultných nemocniciach sa plánovaná úspora nedosiahla a dokonca došlo k zvýšeným nákladom (225 mil. eur). V životnom prostredí priniesli zvýšené poplatky za skládkovanie Environmentálnemu fondu dodatočný výnos 4 mil. eur. V doprave sa efektívnejším obstarávaním elektrickej energie ŽSR usporilo 0,6 mil. eur. </w:t>
      </w:r>
    </w:p>
    <w:p w14:paraId="17B4808B" w14:textId="77777777" w:rsidR="00047411" w:rsidRPr="00666914" w:rsidRDefault="00047411" w:rsidP="00047411">
      <w:pPr>
        <w:spacing w:after="0"/>
        <w:rPr>
          <w:bCs/>
        </w:rPr>
      </w:pPr>
    </w:p>
    <w:p w14:paraId="78904BDD" w14:textId="0F6EA099" w:rsidR="00B636FD" w:rsidRPr="00666914" w:rsidRDefault="00B636FD" w:rsidP="00B636FD">
      <w:pPr>
        <w:spacing w:after="0"/>
        <w:jc w:val="left"/>
        <w:rPr>
          <w:rFonts w:eastAsia="Arial Narrow" w:cs="Calibri"/>
          <w:b/>
          <w:color w:val="000000"/>
          <w:lang w:eastAsia="sk-SK"/>
          <w14:textOutline w14:w="9525" w14:cap="rnd" w14:cmpd="sng" w14:algn="ctr">
            <w14:noFill/>
            <w14:prstDash w14:val="solid"/>
            <w14:bevel/>
          </w14:textOutline>
        </w:rPr>
      </w:pPr>
      <w:bookmarkStart w:id="6" w:name="_Toc38447662"/>
      <w:r w:rsidRPr="00666914">
        <w:rPr>
          <w:rFonts w:eastAsia="Arial Narrow" w:cs="Calibri"/>
          <w:b/>
          <w:color w:val="000000"/>
          <w:sz w:val="20"/>
          <w:lang w:eastAsia="sk-SK"/>
          <w14:textOutline w14:w="9525" w14:cap="rnd" w14:cmpd="sng" w14:algn="ctr">
            <w14:noFill/>
            <w14:prstDash w14:val="solid"/>
            <w14:bevel/>
          </w14:textOutline>
        </w:rPr>
        <w:t xml:space="preserve">Tabuľka </w:t>
      </w:r>
      <w:r w:rsidRPr="00666914">
        <w:rPr>
          <w:rFonts w:eastAsia="Arial Narrow" w:cs="Calibri"/>
          <w:b/>
          <w:noProof/>
          <w:color w:val="000000"/>
          <w:sz w:val="20"/>
          <w:lang w:eastAsia="sk-SK"/>
          <w14:textOutline w14:w="9525" w14:cap="rnd" w14:cmpd="sng" w14:algn="ctr">
            <w14:noFill/>
            <w14:prstDash w14:val="solid"/>
            <w14:bevel/>
          </w14:textOutline>
        </w:rPr>
        <w:fldChar w:fldCharType="begin"/>
      </w:r>
      <w:r w:rsidRPr="00666914">
        <w:rPr>
          <w:rFonts w:eastAsia="Arial Narrow" w:cs="Calibri"/>
          <w:b/>
          <w:noProof/>
          <w:color w:val="000000"/>
          <w:sz w:val="20"/>
          <w:lang w:eastAsia="sk-SK"/>
          <w14:textOutline w14:w="9525" w14:cap="rnd" w14:cmpd="sng" w14:algn="ctr">
            <w14:noFill/>
            <w14:prstDash w14:val="solid"/>
            <w14:bevel/>
          </w14:textOutline>
        </w:rPr>
        <w:instrText xml:space="preserve"> SEQ Tabuľka \* ARABIC \* MERGEFORMAT </w:instrText>
      </w:r>
      <w:r w:rsidRPr="00666914">
        <w:rPr>
          <w:rFonts w:eastAsia="Arial Narrow" w:cs="Calibri"/>
          <w:b/>
          <w:noProof/>
          <w:color w:val="000000"/>
          <w:sz w:val="20"/>
          <w:lang w:eastAsia="sk-SK"/>
          <w14:textOutline w14:w="9525" w14:cap="rnd" w14:cmpd="sng" w14:algn="ctr">
            <w14:noFill/>
            <w14:prstDash w14:val="solid"/>
            <w14:bevel/>
          </w14:textOutline>
        </w:rPr>
        <w:fldChar w:fldCharType="separate"/>
      </w:r>
      <w:r w:rsidR="005A7304">
        <w:rPr>
          <w:rFonts w:eastAsia="Arial Narrow" w:cs="Calibri"/>
          <w:b/>
          <w:noProof/>
          <w:color w:val="000000"/>
          <w:sz w:val="20"/>
          <w:lang w:eastAsia="sk-SK"/>
          <w14:textOutline w14:w="9525" w14:cap="rnd" w14:cmpd="sng" w14:algn="ctr">
            <w14:noFill/>
            <w14:prstDash w14:val="solid"/>
            <w14:bevel/>
          </w14:textOutline>
        </w:rPr>
        <w:t>1</w:t>
      </w:r>
      <w:r w:rsidRPr="00666914">
        <w:rPr>
          <w:rFonts w:eastAsia="Arial Narrow" w:cs="Calibri"/>
          <w:b/>
          <w:noProof/>
          <w:color w:val="000000"/>
          <w:sz w:val="20"/>
          <w:lang w:eastAsia="sk-SK"/>
          <w14:textOutline w14:w="9525" w14:cap="rnd" w14:cmpd="sng" w14:algn="ctr">
            <w14:noFill/>
            <w14:prstDash w14:val="solid"/>
            <w14:bevel/>
          </w14:textOutline>
        </w:rPr>
        <w:fldChar w:fldCharType="end"/>
      </w:r>
      <w:r w:rsidRPr="00666914">
        <w:rPr>
          <w:rFonts w:eastAsia="Arial Narrow" w:cs="Calibri"/>
          <w:b/>
          <w:color w:val="000000"/>
          <w:sz w:val="20"/>
          <w:lang w:eastAsia="sk-SK"/>
          <w14:textOutline w14:w="9525" w14:cap="rnd" w14:cmpd="sng" w14:algn="ctr">
            <w14:noFill/>
            <w14:prstDash w14:val="solid"/>
            <w14:bevel/>
          </w14:textOutline>
        </w:rPr>
        <w:t>: Prehľad plánovaných a dosiahnutých úspor v roku 2019 (v mil. eur)</w:t>
      </w:r>
      <w:bookmarkEnd w:id="6"/>
      <w:r w:rsidRPr="00666914">
        <w:rPr>
          <w:rFonts w:eastAsia="Arial Narrow" w:cs="Calibri"/>
          <w:b/>
          <w:color w:val="000000"/>
          <w:sz w:val="20"/>
          <w:lang w:eastAsia="sk-SK"/>
          <w14:textOutline w14:w="9525" w14:cap="rnd" w14:cmpd="sng" w14:algn="ctr">
            <w14:noFill/>
            <w14:prstDash w14:val="solid"/>
            <w14:bevel/>
          </w14:textOutline>
        </w:rPr>
        <w:t xml:space="preserve"> </w:t>
      </w:r>
    </w:p>
    <w:tbl>
      <w:tblPr>
        <w:tblW w:w="0" w:type="auto"/>
        <w:tblLayout w:type="fixed"/>
        <w:tblCellMar>
          <w:left w:w="70" w:type="dxa"/>
          <w:right w:w="70" w:type="dxa"/>
        </w:tblCellMar>
        <w:tblLook w:val="04A0" w:firstRow="1" w:lastRow="0" w:firstColumn="1" w:lastColumn="0" w:noHBand="0" w:noVBand="1"/>
      </w:tblPr>
      <w:tblGrid>
        <w:gridCol w:w="1418"/>
        <w:gridCol w:w="4394"/>
        <w:gridCol w:w="992"/>
        <w:gridCol w:w="923"/>
        <w:gridCol w:w="1345"/>
      </w:tblGrid>
      <w:tr w:rsidR="00B636FD" w:rsidRPr="00666914" w14:paraId="47FE38EF" w14:textId="77777777" w:rsidTr="00B636FD">
        <w:trPr>
          <w:trHeight w:val="450"/>
          <w:tblHeader/>
        </w:trPr>
        <w:tc>
          <w:tcPr>
            <w:tcW w:w="1418" w:type="dxa"/>
            <w:tcBorders>
              <w:top w:val="single" w:sz="4" w:space="0" w:color="auto"/>
              <w:left w:val="nil"/>
              <w:bottom w:val="single" w:sz="4" w:space="0" w:color="auto"/>
              <w:right w:val="nil"/>
            </w:tcBorders>
            <w:shd w:val="clear" w:color="auto" w:fill="auto"/>
            <w:noWrap/>
            <w:vAlign w:val="center"/>
            <w:hideMark/>
          </w:tcPr>
          <w:p w14:paraId="52BB68BA" w14:textId="77777777" w:rsidR="00B636FD" w:rsidRPr="00666914" w:rsidRDefault="00B636FD" w:rsidP="00B636FD">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Sektor</w:t>
            </w:r>
          </w:p>
        </w:tc>
        <w:tc>
          <w:tcPr>
            <w:tcW w:w="4394" w:type="dxa"/>
            <w:tcBorders>
              <w:top w:val="single" w:sz="4" w:space="0" w:color="auto"/>
              <w:left w:val="nil"/>
              <w:bottom w:val="single" w:sz="4" w:space="0" w:color="auto"/>
              <w:right w:val="nil"/>
            </w:tcBorders>
            <w:shd w:val="clear" w:color="auto" w:fill="auto"/>
            <w:noWrap/>
            <w:vAlign w:val="center"/>
            <w:hideMark/>
          </w:tcPr>
          <w:p w14:paraId="7AAD82C1" w14:textId="77777777" w:rsidR="00B636FD" w:rsidRPr="00666914" w:rsidRDefault="00B636FD" w:rsidP="00B636FD">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 xml:space="preserve">Opatrenie </w:t>
            </w:r>
          </w:p>
        </w:tc>
        <w:tc>
          <w:tcPr>
            <w:tcW w:w="992" w:type="dxa"/>
            <w:tcBorders>
              <w:top w:val="single" w:sz="4" w:space="0" w:color="auto"/>
              <w:left w:val="nil"/>
              <w:bottom w:val="single" w:sz="4" w:space="0" w:color="auto"/>
              <w:right w:val="nil"/>
            </w:tcBorders>
            <w:shd w:val="clear" w:color="auto" w:fill="auto"/>
            <w:noWrap/>
            <w:vAlign w:val="center"/>
            <w:hideMark/>
          </w:tcPr>
          <w:p w14:paraId="6D7E287C" w14:textId="77777777" w:rsidR="00B636FD" w:rsidRPr="00666914" w:rsidRDefault="00B636FD" w:rsidP="00B636FD">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potenciál</w:t>
            </w:r>
          </w:p>
        </w:tc>
        <w:tc>
          <w:tcPr>
            <w:tcW w:w="923" w:type="dxa"/>
            <w:tcBorders>
              <w:top w:val="single" w:sz="4" w:space="0" w:color="auto"/>
              <w:left w:val="nil"/>
              <w:bottom w:val="single" w:sz="4" w:space="0" w:color="auto"/>
              <w:right w:val="nil"/>
            </w:tcBorders>
            <w:shd w:val="clear" w:color="auto" w:fill="auto"/>
            <w:noWrap/>
            <w:vAlign w:val="center"/>
            <w:hideMark/>
          </w:tcPr>
          <w:p w14:paraId="1BE41F5A" w14:textId="77777777" w:rsidR="00B636FD" w:rsidRPr="00666914" w:rsidRDefault="00B636FD" w:rsidP="00B636FD">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 xml:space="preserve">plán </w:t>
            </w:r>
          </w:p>
        </w:tc>
        <w:tc>
          <w:tcPr>
            <w:tcW w:w="1345" w:type="dxa"/>
            <w:tcBorders>
              <w:top w:val="single" w:sz="4" w:space="0" w:color="auto"/>
              <w:left w:val="nil"/>
              <w:bottom w:val="single" w:sz="4" w:space="0" w:color="auto"/>
              <w:right w:val="nil"/>
            </w:tcBorders>
            <w:shd w:val="clear" w:color="auto" w:fill="auto"/>
            <w:noWrap/>
            <w:vAlign w:val="center"/>
            <w:hideMark/>
          </w:tcPr>
          <w:p w14:paraId="19936E61" w14:textId="77777777" w:rsidR="00B636FD" w:rsidRPr="00666914" w:rsidRDefault="00B636FD" w:rsidP="00B636FD">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dosiahnutá úspora</w:t>
            </w:r>
          </w:p>
        </w:tc>
      </w:tr>
      <w:tr w:rsidR="00B636FD" w:rsidRPr="00666914" w14:paraId="51A7F8F0" w14:textId="77777777" w:rsidTr="00B636FD">
        <w:trPr>
          <w:trHeight w:val="560"/>
        </w:trPr>
        <w:tc>
          <w:tcPr>
            <w:tcW w:w="1418" w:type="dxa"/>
            <w:vMerge w:val="restart"/>
            <w:tcBorders>
              <w:top w:val="nil"/>
              <w:left w:val="nil"/>
              <w:bottom w:val="single" w:sz="4" w:space="0" w:color="000000"/>
              <w:right w:val="nil"/>
            </w:tcBorders>
            <w:shd w:val="clear" w:color="auto" w:fill="auto"/>
            <w:noWrap/>
            <w:vAlign w:val="center"/>
            <w:hideMark/>
          </w:tcPr>
          <w:p w14:paraId="7EDAFD6A" w14:textId="77777777" w:rsidR="00B636FD" w:rsidRPr="00666914" w:rsidRDefault="00B636FD" w:rsidP="00B636FD">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Opatrenia znižujúce výdavky VZP</w:t>
            </w:r>
          </w:p>
        </w:tc>
        <w:tc>
          <w:tcPr>
            <w:tcW w:w="4394" w:type="dxa"/>
            <w:tcBorders>
              <w:top w:val="nil"/>
              <w:left w:val="nil"/>
              <w:bottom w:val="nil"/>
              <w:right w:val="nil"/>
            </w:tcBorders>
            <w:shd w:val="clear" w:color="auto" w:fill="auto"/>
            <w:noWrap/>
            <w:vAlign w:val="center"/>
            <w:hideMark/>
          </w:tcPr>
          <w:p w14:paraId="3238CE7C" w14:textId="77777777" w:rsidR="00B636FD" w:rsidRPr="00666914" w:rsidRDefault="00B636FD" w:rsidP="00B636FD">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Nadspotreba liekov - zavedenie predpisových limitov pre ambulantných poskytovateľov</w:t>
            </w:r>
          </w:p>
        </w:tc>
        <w:tc>
          <w:tcPr>
            <w:tcW w:w="992" w:type="dxa"/>
            <w:tcBorders>
              <w:top w:val="nil"/>
              <w:left w:val="nil"/>
              <w:bottom w:val="nil"/>
              <w:right w:val="nil"/>
            </w:tcBorders>
            <w:shd w:val="clear" w:color="auto" w:fill="auto"/>
            <w:noWrap/>
            <w:vAlign w:val="center"/>
            <w:hideMark/>
          </w:tcPr>
          <w:p w14:paraId="48563201"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59</w:t>
            </w:r>
          </w:p>
        </w:tc>
        <w:tc>
          <w:tcPr>
            <w:tcW w:w="923" w:type="dxa"/>
            <w:tcBorders>
              <w:top w:val="nil"/>
              <w:left w:val="nil"/>
              <w:bottom w:val="nil"/>
              <w:right w:val="nil"/>
            </w:tcBorders>
            <w:shd w:val="clear" w:color="auto" w:fill="auto"/>
            <w:noWrap/>
            <w:vAlign w:val="center"/>
            <w:hideMark/>
          </w:tcPr>
          <w:p w14:paraId="2DC92ABA"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20</w:t>
            </w:r>
          </w:p>
        </w:tc>
        <w:tc>
          <w:tcPr>
            <w:tcW w:w="1345" w:type="dxa"/>
            <w:tcBorders>
              <w:top w:val="nil"/>
              <w:left w:val="nil"/>
              <w:bottom w:val="nil"/>
              <w:right w:val="nil"/>
            </w:tcBorders>
            <w:shd w:val="clear" w:color="auto" w:fill="auto"/>
            <w:noWrap/>
            <w:vAlign w:val="center"/>
            <w:hideMark/>
          </w:tcPr>
          <w:p w14:paraId="1978FDA9"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20</w:t>
            </w:r>
          </w:p>
        </w:tc>
      </w:tr>
      <w:tr w:rsidR="00B636FD" w:rsidRPr="00666914" w14:paraId="17C877B7" w14:textId="77777777" w:rsidTr="00B636FD">
        <w:trPr>
          <w:trHeight w:val="560"/>
        </w:trPr>
        <w:tc>
          <w:tcPr>
            <w:tcW w:w="1418" w:type="dxa"/>
            <w:vMerge/>
            <w:tcBorders>
              <w:top w:val="nil"/>
              <w:left w:val="nil"/>
              <w:bottom w:val="single" w:sz="4" w:space="0" w:color="000000"/>
              <w:right w:val="nil"/>
            </w:tcBorders>
            <w:vAlign w:val="center"/>
            <w:hideMark/>
          </w:tcPr>
          <w:p w14:paraId="3405E009" w14:textId="77777777" w:rsidR="00B636FD" w:rsidRPr="00666914" w:rsidRDefault="00B636FD" w:rsidP="00B636FD">
            <w:pPr>
              <w:spacing w:after="0"/>
              <w:jc w:val="left"/>
              <w:rPr>
                <w:rFonts w:eastAsia="Times New Roman" w:cs="Calibri"/>
                <w:color w:val="000000"/>
                <w:sz w:val="20"/>
                <w:szCs w:val="20"/>
                <w:lang w:eastAsia="sk-SK"/>
              </w:rPr>
            </w:pPr>
          </w:p>
        </w:tc>
        <w:tc>
          <w:tcPr>
            <w:tcW w:w="4394" w:type="dxa"/>
            <w:tcBorders>
              <w:top w:val="nil"/>
              <w:left w:val="nil"/>
              <w:bottom w:val="nil"/>
              <w:right w:val="nil"/>
            </w:tcBorders>
            <w:shd w:val="clear" w:color="auto" w:fill="auto"/>
            <w:noWrap/>
            <w:vAlign w:val="center"/>
            <w:hideMark/>
          </w:tcPr>
          <w:p w14:paraId="607092BB" w14:textId="77777777" w:rsidR="00B636FD" w:rsidRPr="00666914" w:rsidRDefault="00B636FD" w:rsidP="00B636FD">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Výnimky na lieky - zavedenie pravidiel pre preplácanie výnimiek</w:t>
            </w:r>
          </w:p>
        </w:tc>
        <w:tc>
          <w:tcPr>
            <w:tcW w:w="992" w:type="dxa"/>
            <w:tcBorders>
              <w:top w:val="nil"/>
              <w:left w:val="nil"/>
              <w:bottom w:val="nil"/>
              <w:right w:val="nil"/>
            </w:tcBorders>
            <w:shd w:val="clear" w:color="auto" w:fill="auto"/>
            <w:noWrap/>
            <w:vAlign w:val="center"/>
            <w:hideMark/>
          </w:tcPr>
          <w:p w14:paraId="59BA0B7D"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10</w:t>
            </w:r>
          </w:p>
        </w:tc>
        <w:tc>
          <w:tcPr>
            <w:tcW w:w="923" w:type="dxa"/>
            <w:tcBorders>
              <w:top w:val="nil"/>
              <w:left w:val="nil"/>
              <w:bottom w:val="nil"/>
              <w:right w:val="nil"/>
            </w:tcBorders>
            <w:shd w:val="clear" w:color="auto" w:fill="auto"/>
            <w:noWrap/>
            <w:vAlign w:val="center"/>
            <w:hideMark/>
          </w:tcPr>
          <w:p w14:paraId="5157A867"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10</w:t>
            </w:r>
          </w:p>
        </w:tc>
        <w:tc>
          <w:tcPr>
            <w:tcW w:w="1345" w:type="dxa"/>
            <w:tcBorders>
              <w:top w:val="nil"/>
              <w:left w:val="nil"/>
              <w:bottom w:val="nil"/>
              <w:right w:val="nil"/>
            </w:tcBorders>
            <w:shd w:val="clear" w:color="auto" w:fill="auto"/>
            <w:noWrap/>
            <w:vAlign w:val="center"/>
            <w:hideMark/>
          </w:tcPr>
          <w:p w14:paraId="2AE46A23"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w:t>
            </w:r>
          </w:p>
        </w:tc>
      </w:tr>
      <w:tr w:rsidR="00B636FD" w:rsidRPr="00666914" w14:paraId="4727C190" w14:textId="77777777" w:rsidTr="00B636FD">
        <w:trPr>
          <w:trHeight w:val="560"/>
        </w:trPr>
        <w:tc>
          <w:tcPr>
            <w:tcW w:w="1418" w:type="dxa"/>
            <w:vMerge/>
            <w:tcBorders>
              <w:top w:val="nil"/>
              <w:left w:val="nil"/>
              <w:bottom w:val="single" w:sz="4" w:space="0" w:color="000000"/>
              <w:right w:val="nil"/>
            </w:tcBorders>
            <w:vAlign w:val="center"/>
            <w:hideMark/>
          </w:tcPr>
          <w:p w14:paraId="00A56766" w14:textId="77777777" w:rsidR="00B636FD" w:rsidRPr="00666914" w:rsidRDefault="00B636FD" w:rsidP="00B636FD">
            <w:pPr>
              <w:spacing w:after="0"/>
              <w:jc w:val="left"/>
              <w:rPr>
                <w:rFonts w:eastAsia="Times New Roman" w:cs="Calibri"/>
                <w:color w:val="000000"/>
                <w:sz w:val="20"/>
                <w:szCs w:val="20"/>
                <w:lang w:eastAsia="sk-SK"/>
              </w:rPr>
            </w:pPr>
          </w:p>
        </w:tc>
        <w:tc>
          <w:tcPr>
            <w:tcW w:w="4394" w:type="dxa"/>
            <w:tcBorders>
              <w:top w:val="nil"/>
              <w:left w:val="nil"/>
              <w:bottom w:val="nil"/>
              <w:right w:val="nil"/>
            </w:tcBorders>
            <w:shd w:val="clear" w:color="auto" w:fill="auto"/>
            <w:noWrap/>
            <w:vAlign w:val="center"/>
            <w:hideMark/>
          </w:tcPr>
          <w:p w14:paraId="647C6535" w14:textId="77777777" w:rsidR="00B636FD" w:rsidRPr="00666914" w:rsidRDefault="00B636FD" w:rsidP="00B636FD">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Potenciálne nákladovo neefektívne lieky - centrálny nákup liekov ZP</w:t>
            </w:r>
          </w:p>
        </w:tc>
        <w:tc>
          <w:tcPr>
            <w:tcW w:w="992" w:type="dxa"/>
            <w:tcBorders>
              <w:top w:val="nil"/>
              <w:left w:val="nil"/>
              <w:bottom w:val="nil"/>
              <w:right w:val="nil"/>
            </w:tcBorders>
            <w:shd w:val="clear" w:color="auto" w:fill="auto"/>
            <w:noWrap/>
            <w:vAlign w:val="center"/>
            <w:hideMark/>
          </w:tcPr>
          <w:p w14:paraId="13438217"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42</w:t>
            </w:r>
          </w:p>
        </w:tc>
        <w:tc>
          <w:tcPr>
            <w:tcW w:w="923" w:type="dxa"/>
            <w:tcBorders>
              <w:top w:val="nil"/>
              <w:left w:val="nil"/>
              <w:bottom w:val="nil"/>
              <w:right w:val="nil"/>
            </w:tcBorders>
            <w:shd w:val="clear" w:color="auto" w:fill="auto"/>
            <w:noWrap/>
            <w:vAlign w:val="center"/>
            <w:hideMark/>
          </w:tcPr>
          <w:p w14:paraId="1FE27783"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25</w:t>
            </w:r>
          </w:p>
        </w:tc>
        <w:tc>
          <w:tcPr>
            <w:tcW w:w="1345" w:type="dxa"/>
            <w:tcBorders>
              <w:top w:val="nil"/>
              <w:left w:val="nil"/>
              <w:bottom w:val="nil"/>
              <w:right w:val="nil"/>
            </w:tcBorders>
            <w:shd w:val="clear" w:color="auto" w:fill="auto"/>
            <w:noWrap/>
            <w:vAlign w:val="center"/>
            <w:hideMark/>
          </w:tcPr>
          <w:p w14:paraId="4E0F972F"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5</w:t>
            </w:r>
          </w:p>
        </w:tc>
      </w:tr>
      <w:tr w:rsidR="00B636FD" w:rsidRPr="00666914" w14:paraId="2AFD697F" w14:textId="77777777" w:rsidTr="00B636FD">
        <w:trPr>
          <w:trHeight w:val="560"/>
        </w:trPr>
        <w:tc>
          <w:tcPr>
            <w:tcW w:w="1418" w:type="dxa"/>
            <w:vMerge/>
            <w:tcBorders>
              <w:top w:val="nil"/>
              <w:left w:val="nil"/>
              <w:bottom w:val="single" w:sz="4" w:space="0" w:color="000000"/>
              <w:right w:val="nil"/>
            </w:tcBorders>
            <w:vAlign w:val="center"/>
            <w:hideMark/>
          </w:tcPr>
          <w:p w14:paraId="5B3982D5" w14:textId="77777777" w:rsidR="00B636FD" w:rsidRPr="00666914" w:rsidRDefault="00B636FD" w:rsidP="00B636FD">
            <w:pPr>
              <w:spacing w:after="0"/>
              <w:jc w:val="left"/>
              <w:rPr>
                <w:rFonts w:eastAsia="Times New Roman" w:cs="Calibri"/>
                <w:color w:val="000000"/>
                <w:sz w:val="20"/>
                <w:szCs w:val="20"/>
                <w:lang w:eastAsia="sk-SK"/>
              </w:rPr>
            </w:pPr>
          </w:p>
        </w:tc>
        <w:tc>
          <w:tcPr>
            <w:tcW w:w="4394" w:type="dxa"/>
            <w:tcBorders>
              <w:top w:val="nil"/>
              <w:left w:val="nil"/>
              <w:bottom w:val="nil"/>
              <w:right w:val="nil"/>
            </w:tcBorders>
            <w:shd w:val="clear" w:color="auto" w:fill="auto"/>
            <w:noWrap/>
            <w:vAlign w:val="center"/>
            <w:hideMark/>
          </w:tcPr>
          <w:p w14:paraId="485D1732" w14:textId="77777777" w:rsidR="00B636FD" w:rsidRPr="00666914" w:rsidRDefault="00B636FD" w:rsidP="00B636FD">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Špeciálny zdravotnícky materiál - zníženie cien (referencovanie)</w:t>
            </w:r>
          </w:p>
        </w:tc>
        <w:tc>
          <w:tcPr>
            <w:tcW w:w="992" w:type="dxa"/>
            <w:tcBorders>
              <w:top w:val="nil"/>
              <w:left w:val="nil"/>
              <w:bottom w:val="nil"/>
              <w:right w:val="nil"/>
            </w:tcBorders>
            <w:shd w:val="clear" w:color="auto" w:fill="auto"/>
            <w:noWrap/>
            <w:vAlign w:val="center"/>
            <w:hideMark/>
          </w:tcPr>
          <w:p w14:paraId="364FAFA2"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55</w:t>
            </w:r>
          </w:p>
        </w:tc>
        <w:tc>
          <w:tcPr>
            <w:tcW w:w="923" w:type="dxa"/>
            <w:tcBorders>
              <w:top w:val="nil"/>
              <w:left w:val="nil"/>
              <w:bottom w:val="nil"/>
              <w:right w:val="nil"/>
            </w:tcBorders>
            <w:shd w:val="clear" w:color="auto" w:fill="auto"/>
            <w:noWrap/>
            <w:vAlign w:val="center"/>
            <w:hideMark/>
          </w:tcPr>
          <w:p w14:paraId="2A11A4DB"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45</w:t>
            </w:r>
          </w:p>
        </w:tc>
        <w:tc>
          <w:tcPr>
            <w:tcW w:w="1345" w:type="dxa"/>
            <w:tcBorders>
              <w:top w:val="nil"/>
              <w:left w:val="nil"/>
              <w:bottom w:val="nil"/>
              <w:right w:val="nil"/>
            </w:tcBorders>
            <w:shd w:val="clear" w:color="auto" w:fill="auto"/>
            <w:noWrap/>
            <w:vAlign w:val="center"/>
            <w:hideMark/>
          </w:tcPr>
          <w:p w14:paraId="01EE3895"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33</w:t>
            </w:r>
          </w:p>
        </w:tc>
      </w:tr>
      <w:tr w:rsidR="00B636FD" w:rsidRPr="00666914" w14:paraId="555BA90D" w14:textId="77777777" w:rsidTr="00B636FD">
        <w:trPr>
          <w:trHeight w:val="280"/>
        </w:trPr>
        <w:tc>
          <w:tcPr>
            <w:tcW w:w="1418" w:type="dxa"/>
            <w:vMerge/>
            <w:tcBorders>
              <w:top w:val="nil"/>
              <w:left w:val="nil"/>
              <w:bottom w:val="single" w:sz="4" w:space="0" w:color="000000"/>
              <w:right w:val="nil"/>
            </w:tcBorders>
            <w:vAlign w:val="center"/>
            <w:hideMark/>
          </w:tcPr>
          <w:p w14:paraId="56C4FDE9" w14:textId="77777777" w:rsidR="00B636FD" w:rsidRPr="00666914" w:rsidRDefault="00B636FD" w:rsidP="00B636FD">
            <w:pPr>
              <w:spacing w:after="0"/>
              <w:jc w:val="left"/>
              <w:rPr>
                <w:rFonts w:eastAsia="Times New Roman" w:cs="Calibri"/>
                <w:color w:val="000000"/>
                <w:sz w:val="20"/>
                <w:szCs w:val="20"/>
                <w:lang w:eastAsia="sk-SK"/>
              </w:rPr>
            </w:pPr>
          </w:p>
        </w:tc>
        <w:tc>
          <w:tcPr>
            <w:tcW w:w="4394" w:type="dxa"/>
            <w:tcBorders>
              <w:top w:val="nil"/>
              <w:left w:val="nil"/>
              <w:bottom w:val="nil"/>
              <w:right w:val="nil"/>
            </w:tcBorders>
            <w:shd w:val="clear" w:color="auto" w:fill="auto"/>
            <w:noWrap/>
            <w:vAlign w:val="center"/>
            <w:hideMark/>
          </w:tcPr>
          <w:p w14:paraId="5E4DBD24" w14:textId="77777777" w:rsidR="00B636FD" w:rsidRPr="00666914" w:rsidRDefault="00B636FD" w:rsidP="00B636FD">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Zdravotnícke pomôcky - referencovanie a revízne činnosti</w:t>
            </w:r>
          </w:p>
        </w:tc>
        <w:tc>
          <w:tcPr>
            <w:tcW w:w="992" w:type="dxa"/>
            <w:tcBorders>
              <w:top w:val="nil"/>
              <w:left w:val="nil"/>
              <w:bottom w:val="nil"/>
              <w:right w:val="nil"/>
            </w:tcBorders>
            <w:shd w:val="clear" w:color="auto" w:fill="auto"/>
            <w:noWrap/>
            <w:vAlign w:val="center"/>
            <w:hideMark/>
          </w:tcPr>
          <w:p w14:paraId="675E04B0"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15</w:t>
            </w:r>
          </w:p>
        </w:tc>
        <w:tc>
          <w:tcPr>
            <w:tcW w:w="923" w:type="dxa"/>
            <w:tcBorders>
              <w:top w:val="nil"/>
              <w:left w:val="nil"/>
              <w:bottom w:val="nil"/>
              <w:right w:val="nil"/>
            </w:tcBorders>
            <w:shd w:val="clear" w:color="auto" w:fill="auto"/>
            <w:noWrap/>
            <w:vAlign w:val="center"/>
            <w:hideMark/>
          </w:tcPr>
          <w:p w14:paraId="1CE6C262"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15</w:t>
            </w:r>
          </w:p>
        </w:tc>
        <w:tc>
          <w:tcPr>
            <w:tcW w:w="1345" w:type="dxa"/>
            <w:tcBorders>
              <w:top w:val="nil"/>
              <w:left w:val="nil"/>
              <w:bottom w:val="nil"/>
              <w:right w:val="nil"/>
            </w:tcBorders>
            <w:shd w:val="clear" w:color="auto" w:fill="auto"/>
            <w:noWrap/>
            <w:vAlign w:val="center"/>
            <w:hideMark/>
          </w:tcPr>
          <w:p w14:paraId="5BBBF966"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15</w:t>
            </w:r>
          </w:p>
        </w:tc>
      </w:tr>
      <w:tr w:rsidR="00B636FD" w:rsidRPr="00666914" w14:paraId="5B011AD1" w14:textId="77777777" w:rsidTr="00B636FD">
        <w:trPr>
          <w:trHeight w:val="560"/>
        </w:trPr>
        <w:tc>
          <w:tcPr>
            <w:tcW w:w="1418" w:type="dxa"/>
            <w:vMerge/>
            <w:tcBorders>
              <w:top w:val="nil"/>
              <w:left w:val="nil"/>
              <w:bottom w:val="single" w:sz="4" w:space="0" w:color="000000"/>
              <w:right w:val="nil"/>
            </w:tcBorders>
            <w:vAlign w:val="center"/>
            <w:hideMark/>
          </w:tcPr>
          <w:p w14:paraId="38714040" w14:textId="77777777" w:rsidR="00B636FD" w:rsidRPr="00666914" w:rsidRDefault="00B636FD" w:rsidP="00B636FD">
            <w:pPr>
              <w:spacing w:after="0"/>
              <w:jc w:val="left"/>
              <w:rPr>
                <w:rFonts w:eastAsia="Times New Roman" w:cs="Calibri"/>
                <w:color w:val="000000"/>
                <w:sz w:val="20"/>
                <w:szCs w:val="20"/>
                <w:lang w:eastAsia="sk-SK"/>
              </w:rPr>
            </w:pPr>
          </w:p>
        </w:tc>
        <w:tc>
          <w:tcPr>
            <w:tcW w:w="4394" w:type="dxa"/>
            <w:tcBorders>
              <w:top w:val="nil"/>
              <w:left w:val="nil"/>
              <w:bottom w:val="nil"/>
              <w:right w:val="nil"/>
            </w:tcBorders>
            <w:shd w:val="clear" w:color="auto" w:fill="auto"/>
            <w:noWrap/>
            <w:vAlign w:val="center"/>
            <w:hideMark/>
          </w:tcPr>
          <w:p w14:paraId="6BBA99A2" w14:textId="77777777" w:rsidR="00B636FD" w:rsidRPr="00666914" w:rsidRDefault="00B636FD" w:rsidP="00B636FD">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SVLZ - zníženie jednotkových cien a limitov CT a MR vyšetrení</w:t>
            </w:r>
          </w:p>
        </w:tc>
        <w:tc>
          <w:tcPr>
            <w:tcW w:w="992" w:type="dxa"/>
            <w:tcBorders>
              <w:top w:val="nil"/>
              <w:left w:val="nil"/>
              <w:bottom w:val="nil"/>
              <w:right w:val="nil"/>
            </w:tcBorders>
            <w:shd w:val="clear" w:color="auto" w:fill="auto"/>
            <w:noWrap/>
            <w:vAlign w:val="center"/>
            <w:hideMark/>
          </w:tcPr>
          <w:p w14:paraId="70A4D981"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25</w:t>
            </w:r>
          </w:p>
        </w:tc>
        <w:tc>
          <w:tcPr>
            <w:tcW w:w="923" w:type="dxa"/>
            <w:tcBorders>
              <w:top w:val="nil"/>
              <w:left w:val="nil"/>
              <w:bottom w:val="nil"/>
              <w:right w:val="nil"/>
            </w:tcBorders>
            <w:shd w:val="clear" w:color="auto" w:fill="auto"/>
            <w:noWrap/>
            <w:vAlign w:val="center"/>
            <w:hideMark/>
          </w:tcPr>
          <w:p w14:paraId="7F391B3A"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22</w:t>
            </w:r>
          </w:p>
        </w:tc>
        <w:tc>
          <w:tcPr>
            <w:tcW w:w="1345" w:type="dxa"/>
            <w:tcBorders>
              <w:top w:val="nil"/>
              <w:left w:val="nil"/>
              <w:bottom w:val="nil"/>
              <w:right w:val="nil"/>
            </w:tcBorders>
            <w:shd w:val="clear" w:color="auto" w:fill="auto"/>
            <w:noWrap/>
            <w:vAlign w:val="center"/>
            <w:hideMark/>
          </w:tcPr>
          <w:p w14:paraId="4CD67987"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6</w:t>
            </w:r>
          </w:p>
        </w:tc>
      </w:tr>
      <w:tr w:rsidR="00B636FD" w:rsidRPr="00666914" w14:paraId="49B04239" w14:textId="77777777" w:rsidTr="00B636FD">
        <w:trPr>
          <w:trHeight w:val="280"/>
        </w:trPr>
        <w:tc>
          <w:tcPr>
            <w:tcW w:w="1418" w:type="dxa"/>
            <w:vMerge/>
            <w:tcBorders>
              <w:top w:val="nil"/>
              <w:left w:val="nil"/>
              <w:bottom w:val="single" w:sz="4" w:space="0" w:color="000000"/>
              <w:right w:val="nil"/>
            </w:tcBorders>
            <w:vAlign w:val="center"/>
            <w:hideMark/>
          </w:tcPr>
          <w:p w14:paraId="546E978B" w14:textId="77777777" w:rsidR="00B636FD" w:rsidRPr="00666914" w:rsidRDefault="00B636FD" w:rsidP="00B636FD">
            <w:pPr>
              <w:spacing w:after="0"/>
              <w:jc w:val="left"/>
              <w:rPr>
                <w:rFonts w:eastAsia="Times New Roman" w:cs="Calibri"/>
                <w:color w:val="000000"/>
                <w:sz w:val="20"/>
                <w:szCs w:val="20"/>
                <w:lang w:eastAsia="sk-SK"/>
              </w:rPr>
            </w:pPr>
          </w:p>
        </w:tc>
        <w:tc>
          <w:tcPr>
            <w:tcW w:w="4394" w:type="dxa"/>
            <w:tcBorders>
              <w:top w:val="nil"/>
              <w:left w:val="nil"/>
              <w:bottom w:val="nil"/>
              <w:right w:val="nil"/>
            </w:tcBorders>
            <w:shd w:val="clear" w:color="auto" w:fill="auto"/>
            <w:noWrap/>
            <w:vAlign w:val="center"/>
            <w:hideMark/>
          </w:tcPr>
          <w:p w14:paraId="31B8A49C" w14:textId="77777777" w:rsidR="00B636FD" w:rsidRPr="00666914" w:rsidRDefault="00B636FD" w:rsidP="00B636FD">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SVLZ - zavedenie limitov pre ambulantných poskytovateľov</w:t>
            </w:r>
          </w:p>
        </w:tc>
        <w:tc>
          <w:tcPr>
            <w:tcW w:w="992" w:type="dxa"/>
            <w:tcBorders>
              <w:top w:val="nil"/>
              <w:left w:val="nil"/>
              <w:bottom w:val="nil"/>
              <w:right w:val="nil"/>
            </w:tcBorders>
            <w:shd w:val="clear" w:color="auto" w:fill="auto"/>
            <w:noWrap/>
            <w:vAlign w:val="center"/>
            <w:hideMark/>
          </w:tcPr>
          <w:p w14:paraId="138FCAD8"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37</w:t>
            </w:r>
          </w:p>
        </w:tc>
        <w:tc>
          <w:tcPr>
            <w:tcW w:w="923" w:type="dxa"/>
            <w:tcBorders>
              <w:top w:val="nil"/>
              <w:left w:val="nil"/>
              <w:bottom w:val="nil"/>
              <w:right w:val="nil"/>
            </w:tcBorders>
            <w:shd w:val="clear" w:color="auto" w:fill="auto"/>
            <w:noWrap/>
            <w:vAlign w:val="center"/>
            <w:hideMark/>
          </w:tcPr>
          <w:p w14:paraId="0E656F9A"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3</w:t>
            </w:r>
          </w:p>
        </w:tc>
        <w:tc>
          <w:tcPr>
            <w:tcW w:w="1345" w:type="dxa"/>
            <w:tcBorders>
              <w:top w:val="nil"/>
              <w:left w:val="nil"/>
              <w:bottom w:val="nil"/>
              <w:right w:val="nil"/>
            </w:tcBorders>
            <w:shd w:val="clear" w:color="auto" w:fill="auto"/>
            <w:noWrap/>
            <w:vAlign w:val="center"/>
            <w:hideMark/>
          </w:tcPr>
          <w:p w14:paraId="64772416"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-15</w:t>
            </w:r>
          </w:p>
        </w:tc>
      </w:tr>
      <w:tr w:rsidR="00B636FD" w:rsidRPr="00666914" w14:paraId="2DC2CF59" w14:textId="77777777" w:rsidTr="00B636FD">
        <w:trPr>
          <w:trHeight w:val="280"/>
        </w:trPr>
        <w:tc>
          <w:tcPr>
            <w:tcW w:w="1418" w:type="dxa"/>
            <w:vMerge/>
            <w:tcBorders>
              <w:top w:val="nil"/>
              <w:left w:val="nil"/>
              <w:bottom w:val="single" w:sz="4" w:space="0" w:color="000000"/>
              <w:right w:val="nil"/>
            </w:tcBorders>
            <w:vAlign w:val="center"/>
            <w:hideMark/>
          </w:tcPr>
          <w:p w14:paraId="09E96392" w14:textId="77777777" w:rsidR="00B636FD" w:rsidRPr="00666914" w:rsidRDefault="00B636FD" w:rsidP="00B636FD">
            <w:pPr>
              <w:spacing w:after="0"/>
              <w:jc w:val="left"/>
              <w:rPr>
                <w:rFonts w:eastAsia="Times New Roman" w:cs="Calibri"/>
                <w:color w:val="000000"/>
                <w:sz w:val="20"/>
                <w:szCs w:val="20"/>
                <w:lang w:eastAsia="sk-SK"/>
              </w:rPr>
            </w:pPr>
          </w:p>
        </w:tc>
        <w:tc>
          <w:tcPr>
            <w:tcW w:w="4394" w:type="dxa"/>
            <w:tcBorders>
              <w:top w:val="nil"/>
              <w:left w:val="nil"/>
              <w:bottom w:val="single" w:sz="4" w:space="0" w:color="auto"/>
              <w:right w:val="nil"/>
            </w:tcBorders>
            <w:shd w:val="clear" w:color="auto" w:fill="auto"/>
            <w:noWrap/>
            <w:vAlign w:val="center"/>
            <w:hideMark/>
          </w:tcPr>
          <w:p w14:paraId="599D89DD" w14:textId="77777777" w:rsidR="00B636FD" w:rsidRPr="00666914" w:rsidRDefault="00B636FD" w:rsidP="00B636FD">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Zlepšenie revíznych činností VšZP</w:t>
            </w:r>
          </w:p>
        </w:tc>
        <w:tc>
          <w:tcPr>
            <w:tcW w:w="992" w:type="dxa"/>
            <w:tcBorders>
              <w:top w:val="nil"/>
              <w:left w:val="nil"/>
              <w:bottom w:val="single" w:sz="4" w:space="0" w:color="auto"/>
              <w:right w:val="nil"/>
            </w:tcBorders>
            <w:shd w:val="clear" w:color="auto" w:fill="auto"/>
            <w:noWrap/>
            <w:vAlign w:val="center"/>
            <w:hideMark/>
          </w:tcPr>
          <w:p w14:paraId="0BBEDB79"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25</w:t>
            </w:r>
          </w:p>
        </w:tc>
        <w:tc>
          <w:tcPr>
            <w:tcW w:w="923" w:type="dxa"/>
            <w:tcBorders>
              <w:top w:val="nil"/>
              <w:left w:val="nil"/>
              <w:bottom w:val="single" w:sz="4" w:space="0" w:color="auto"/>
              <w:right w:val="nil"/>
            </w:tcBorders>
            <w:shd w:val="clear" w:color="auto" w:fill="auto"/>
            <w:noWrap/>
            <w:vAlign w:val="center"/>
            <w:hideMark/>
          </w:tcPr>
          <w:p w14:paraId="33F671EC"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25</w:t>
            </w:r>
          </w:p>
        </w:tc>
        <w:tc>
          <w:tcPr>
            <w:tcW w:w="1345" w:type="dxa"/>
            <w:tcBorders>
              <w:top w:val="nil"/>
              <w:left w:val="nil"/>
              <w:bottom w:val="single" w:sz="4" w:space="0" w:color="auto"/>
              <w:right w:val="nil"/>
            </w:tcBorders>
            <w:shd w:val="clear" w:color="auto" w:fill="auto"/>
            <w:noWrap/>
            <w:vAlign w:val="center"/>
            <w:hideMark/>
          </w:tcPr>
          <w:p w14:paraId="107D30B8"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42</w:t>
            </w:r>
          </w:p>
        </w:tc>
      </w:tr>
      <w:tr w:rsidR="00B636FD" w:rsidRPr="00666914" w14:paraId="6BAA41AB" w14:textId="77777777" w:rsidTr="00B636FD">
        <w:trPr>
          <w:trHeight w:val="280"/>
        </w:trPr>
        <w:tc>
          <w:tcPr>
            <w:tcW w:w="5812" w:type="dxa"/>
            <w:gridSpan w:val="2"/>
            <w:tcBorders>
              <w:top w:val="single" w:sz="4" w:space="0" w:color="auto"/>
              <w:left w:val="nil"/>
              <w:bottom w:val="single" w:sz="4" w:space="0" w:color="auto"/>
              <w:right w:val="nil"/>
            </w:tcBorders>
            <w:shd w:val="clear" w:color="auto" w:fill="auto"/>
            <w:noWrap/>
            <w:vAlign w:val="center"/>
            <w:hideMark/>
          </w:tcPr>
          <w:p w14:paraId="25994E45" w14:textId="77777777" w:rsidR="00B636FD" w:rsidRPr="00666914" w:rsidRDefault="00B636FD" w:rsidP="00B636FD">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992" w:type="dxa"/>
            <w:tcBorders>
              <w:top w:val="nil"/>
              <w:left w:val="nil"/>
              <w:bottom w:val="single" w:sz="4" w:space="0" w:color="auto"/>
              <w:right w:val="nil"/>
            </w:tcBorders>
            <w:shd w:val="clear" w:color="auto" w:fill="auto"/>
            <w:noWrap/>
            <w:vAlign w:val="center"/>
            <w:hideMark/>
          </w:tcPr>
          <w:p w14:paraId="055C64BE" w14:textId="77777777" w:rsidR="00B636FD" w:rsidRPr="00666914" w:rsidRDefault="00B636FD" w:rsidP="00B636FD">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268</w:t>
            </w:r>
          </w:p>
        </w:tc>
        <w:tc>
          <w:tcPr>
            <w:tcW w:w="923" w:type="dxa"/>
            <w:tcBorders>
              <w:top w:val="nil"/>
              <w:left w:val="nil"/>
              <w:bottom w:val="single" w:sz="4" w:space="0" w:color="auto"/>
              <w:right w:val="nil"/>
            </w:tcBorders>
            <w:shd w:val="clear" w:color="auto" w:fill="auto"/>
            <w:noWrap/>
            <w:vAlign w:val="center"/>
            <w:hideMark/>
          </w:tcPr>
          <w:p w14:paraId="44917EED" w14:textId="77777777" w:rsidR="00B636FD" w:rsidRPr="00666914" w:rsidRDefault="00B636FD" w:rsidP="00B636FD">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165</w:t>
            </w:r>
          </w:p>
        </w:tc>
        <w:tc>
          <w:tcPr>
            <w:tcW w:w="1345" w:type="dxa"/>
            <w:tcBorders>
              <w:top w:val="nil"/>
              <w:left w:val="nil"/>
              <w:bottom w:val="single" w:sz="4" w:space="0" w:color="auto"/>
              <w:right w:val="nil"/>
            </w:tcBorders>
            <w:shd w:val="clear" w:color="auto" w:fill="auto"/>
            <w:noWrap/>
            <w:vAlign w:val="center"/>
            <w:hideMark/>
          </w:tcPr>
          <w:p w14:paraId="1CBF22E4" w14:textId="77777777" w:rsidR="00B636FD" w:rsidRPr="00666914" w:rsidRDefault="00B636FD" w:rsidP="00B636FD">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106</w:t>
            </w:r>
          </w:p>
        </w:tc>
      </w:tr>
      <w:tr w:rsidR="00B636FD" w:rsidRPr="00666914" w14:paraId="08C6E2BF" w14:textId="77777777" w:rsidTr="00B636FD">
        <w:trPr>
          <w:trHeight w:val="280"/>
        </w:trPr>
        <w:tc>
          <w:tcPr>
            <w:tcW w:w="1418" w:type="dxa"/>
            <w:vMerge w:val="restart"/>
            <w:tcBorders>
              <w:top w:val="nil"/>
              <w:left w:val="nil"/>
              <w:bottom w:val="single" w:sz="4" w:space="0" w:color="000000"/>
              <w:right w:val="nil"/>
            </w:tcBorders>
            <w:shd w:val="clear" w:color="auto" w:fill="auto"/>
            <w:noWrap/>
            <w:vAlign w:val="center"/>
            <w:hideMark/>
          </w:tcPr>
          <w:p w14:paraId="7DA629D7" w14:textId="77777777" w:rsidR="00B636FD" w:rsidRPr="00666914" w:rsidRDefault="00B636FD" w:rsidP="00B636FD">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xml:space="preserve">Opatrenia znižujúce výdavky nemocníc </w:t>
            </w:r>
          </w:p>
        </w:tc>
        <w:tc>
          <w:tcPr>
            <w:tcW w:w="4394" w:type="dxa"/>
            <w:tcBorders>
              <w:top w:val="nil"/>
              <w:left w:val="nil"/>
              <w:bottom w:val="nil"/>
              <w:right w:val="nil"/>
            </w:tcBorders>
            <w:shd w:val="clear" w:color="auto" w:fill="auto"/>
            <w:noWrap/>
            <w:vAlign w:val="center"/>
            <w:hideMark/>
          </w:tcPr>
          <w:p w14:paraId="6AA00C86" w14:textId="77777777" w:rsidR="00B636FD" w:rsidRPr="00666914" w:rsidRDefault="00B636FD" w:rsidP="00B636FD">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Optimalizácia prevádzkových nákladov</w:t>
            </w:r>
          </w:p>
        </w:tc>
        <w:tc>
          <w:tcPr>
            <w:tcW w:w="992" w:type="dxa"/>
            <w:tcBorders>
              <w:top w:val="nil"/>
              <w:left w:val="nil"/>
              <w:bottom w:val="nil"/>
              <w:right w:val="nil"/>
            </w:tcBorders>
            <w:shd w:val="clear" w:color="auto" w:fill="auto"/>
            <w:noWrap/>
            <w:vAlign w:val="center"/>
            <w:hideMark/>
          </w:tcPr>
          <w:p w14:paraId="190D4E6B"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10</w:t>
            </w:r>
          </w:p>
        </w:tc>
        <w:tc>
          <w:tcPr>
            <w:tcW w:w="923" w:type="dxa"/>
            <w:tcBorders>
              <w:top w:val="nil"/>
              <w:left w:val="nil"/>
              <w:bottom w:val="nil"/>
              <w:right w:val="nil"/>
            </w:tcBorders>
            <w:shd w:val="clear" w:color="auto" w:fill="auto"/>
            <w:noWrap/>
            <w:vAlign w:val="center"/>
            <w:hideMark/>
          </w:tcPr>
          <w:p w14:paraId="2E861B44"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5</w:t>
            </w:r>
          </w:p>
        </w:tc>
        <w:tc>
          <w:tcPr>
            <w:tcW w:w="1345" w:type="dxa"/>
            <w:tcBorders>
              <w:top w:val="nil"/>
              <w:left w:val="nil"/>
              <w:bottom w:val="nil"/>
              <w:right w:val="nil"/>
            </w:tcBorders>
            <w:shd w:val="clear" w:color="auto" w:fill="auto"/>
            <w:noWrap/>
            <w:vAlign w:val="center"/>
            <w:hideMark/>
          </w:tcPr>
          <w:p w14:paraId="69D0C29D"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-54</w:t>
            </w:r>
          </w:p>
        </w:tc>
      </w:tr>
      <w:tr w:rsidR="00B636FD" w:rsidRPr="00666914" w14:paraId="393DA23B" w14:textId="77777777" w:rsidTr="00B636FD">
        <w:trPr>
          <w:trHeight w:val="280"/>
        </w:trPr>
        <w:tc>
          <w:tcPr>
            <w:tcW w:w="1418" w:type="dxa"/>
            <w:vMerge/>
            <w:tcBorders>
              <w:top w:val="nil"/>
              <w:left w:val="nil"/>
              <w:bottom w:val="single" w:sz="4" w:space="0" w:color="000000"/>
              <w:right w:val="nil"/>
            </w:tcBorders>
            <w:vAlign w:val="center"/>
            <w:hideMark/>
          </w:tcPr>
          <w:p w14:paraId="50F56778" w14:textId="77777777" w:rsidR="00B636FD" w:rsidRPr="00666914" w:rsidRDefault="00B636FD" w:rsidP="00B636FD">
            <w:pPr>
              <w:spacing w:after="0"/>
              <w:jc w:val="left"/>
              <w:rPr>
                <w:rFonts w:eastAsia="Times New Roman" w:cs="Calibri"/>
                <w:color w:val="000000"/>
                <w:sz w:val="20"/>
                <w:szCs w:val="20"/>
                <w:lang w:eastAsia="sk-SK"/>
              </w:rPr>
            </w:pPr>
          </w:p>
        </w:tc>
        <w:tc>
          <w:tcPr>
            <w:tcW w:w="4394" w:type="dxa"/>
            <w:tcBorders>
              <w:top w:val="nil"/>
              <w:left w:val="nil"/>
              <w:bottom w:val="nil"/>
              <w:right w:val="nil"/>
            </w:tcBorders>
            <w:shd w:val="clear" w:color="auto" w:fill="auto"/>
            <w:noWrap/>
            <w:vAlign w:val="center"/>
            <w:hideMark/>
          </w:tcPr>
          <w:p w14:paraId="718F3544" w14:textId="77777777" w:rsidR="00B636FD" w:rsidRPr="00666914" w:rsidRDefault="00B636FD" w:rsidP="00B636FD">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Optimalizácia medicínskych procesov</w:t>
            </w:r>
          </w:p>
        </w:tc>
        <w:tc>
          <w:tcPr>
            <w:tcW w:w="992" w:type="dxa"/>
            <w:tcBorders>
              <w:top w:val="nil"/>
              <w:left w:val="nil"/>
              <w:bottom w:val="nil"/>
              <w:right w:val="nil"/>
            </w:tcBorders>
            <w:shd w:val="clear" w:color="auto" w:fill="auto"/>
            <w:noWrap/>
            <w:vAlign w:val="center"/>
            <w:hideMark/>
          </w:tcPr>
          <w:p w14:paraId="1DFB6745"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74</w:t>
            </w:r>
          </w:p>
        </w:tc>
        <w:tc>
          <w:tcPr>
            <w:tcW w:w="923" w:type="dxa"/>
            <w:tcBorders>
              <w:top w:val="nil"/>
              <w:left w:val="nil"/>
              <w:bottom w:val="nil"/>
              <w:right w:val="nil"/>
            </w:tcBorders>
            <w:shd w:val="clear" w:color="auto" w:fill="auto"/>
            <w:noWrap/>
            <w:vAlign w:val="center"/>
            <w:hideMark/>
          </w:tcPr>
          <w:p w14:paraId="50B57564"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15</w:t>
            </w:r>
          </w:p>
        </w:tc>
        <w:tc>
          <w:tcPr>
            <w:tcW w:w="1345" w:type="dxa"/>
            <w:tcBorders>
              <w:top w:val="nil"/>
              <w:left w:val="nil"/>
              <w:bottom w:val="nil"/>
              <w:right w:val="nil"/>
            </w:tcBorders>
            <w:shd w:val="clear" w:color="auto" w:fill="auto"/>
            <w:noWrap/>
            <w:vAlign w:val="center"/>
            <w:hideMark/>
          </w:tcPr>
          <w:p w14:paraId="5C65676D"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-135</w:t>
            </w:r>
          </w:p>
        </w:tc>
      </w:tr>
      <w:tr w:rsidR="00B636FD" w:rsidRPr="00666914" w14:paraId="4CF30D1E" w14:textId="77777777" w:rsidTr="00B636FD">
        <w:trPr>
          <w:trHeight w:val="280"/>
        </w:trPr>
        <w:tc>
          <w:tcPr>
            <w:tcW w:w="1418" w:type="dxa"/>
            <w:vMerge/>
            <w:tcBorders>
              <w:top w:val="nil"/>
              <w:left w:val="nil"/>
              <w:bottom w:val="single" w:sz="4" w:space="0" w:color="000000"/>
              <w:right w:val="nil"/>
            </w:tcBorders>
            <w:vAlign w:val="center"/>
            <w:hideMark/>
          </w:tcPr>
          <w:p w14:paraId="0C857EEA" w14:textId="77777777" w:rsidR="00B636FD" w:rsidRPr="00666914" w:rsidRDefault="00B636FD" w:rsidP="00B636FD">
            <w:pPr>
              <w:spacing w:after="0"/>
              <w:jc w:val="left"/>
              <w:rPr>
                <w:rFonts w:eastAsia="Times New Roman" w:cs="Calibri"/>
                <w:color w:val="000000"/>
                <w:sz w:val="20"/>
                <w:szCs w:val="20"/>
                <w:lang w:eastAsia="sk-SK"/>
              </w:rPr>
            </w:pPr>
          </w:p>
        </w:tc>
        <w:tc>
          <w:tcPr>
            <w:tcW w:w="4394" w:type="dxa"/>
            <w:tcBorders>
              <w:top w:val="nil"/>
              <w:left w:val="nil"/>
              <w:bottom w:val="nil"/>
              <w:right w:val="nil"/>
            </w:tcBorders>
            <w:shd w:val="clear" w:color="auto" w:fill="auto"/>
            <w:noWrap/>
            <w:vAlign w:val="center"/>
            <w:hideMark/>
          </w:tcPr>
          <w:p w14:paraId="78628370" w14:textId="77777777" w:rsidR="00B636FD" w:rsidRPr="00666914" w:rsidRDefault="00B636FD" w:rsidP="00B636FD">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Optimalizácia nákupu liekov a ŠZM</w:t>
            </w:r>
          </w:p>
        </w:tc>
        <w:tc>
          <w:tcPr>
            <w:tcW w:w="992" w:type="dxa"/>
            <w:tcBorders>
              <w:top w:val="nil"/>
              <w:left w:val="nil"/>
              <w:bottom w:val="nil"/>
              <w:right w:val="nil"/>
            </w:tcBorders>
            <w:shd w:val="clear" w:color="auto" w:fill="auto"/>
            <w:noWrap/>
            <w:vAlign w:val="center"/>
            <w:hideMark/>
          </w:tcPr>
          <w:p w14:paraId="765954DF"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8</w:t>
            </w:r>
          </w:p>
        </w:tc>
        <w:tc>
          <w:tcPr>
            <w:tcW w:w="923" w:type="dxa"/>
            <w:tcBorders>
              <w:top w:val="nil"/>
              <w:left w:val="nil"/>
              <w:bottom w:val="nil"/>
              <w:right w:val="nil"/>
            </w:tcBorders>
            <w:shd w:val="clear" w:color="auto" w:fill="auto"/>
            <w:noWrap/>
            <w:vAlign w:val="center"/>
            <w:hideMark/>
          </w:tcPr>
          <w:p w14:paraId="5C19F282"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8</w:t>
            </w:r>
          </w:p>
        </w:tc>
        <w:tc>
          <w:tcPr>
            <w:tcW w:w="1345" w:type="dxa"/>
            <w:tcBorders>
              <w:top w:val="nil"/>
              <w:left w:val="nil"/>
              <w:bottom w:val="nil"/>
              <w:right w:val="nil"/>
            </w:tcBorders>
            <w:shd w:val="clear" w:color="auto" w:fill="auto"/>
            <w:noWrap/>
            <w:vAlign w:val="center"/>
            <w:hideMark/>
          </w:tcPr>
          <w:p w14:paraId="6A795D09"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-52</w:t>
            </w:r>
          </w:p>
        </w:tc>
      </w:tr>
      <w:tr w:rsidR="00B636FD" w:rsidRPr="00666914" w14:paraId="0A56CA0C" w14:textId="77777777" w:rsidTr="00B636FD">
        <w:trPr>
          <w:trHeight w:val="280"/>
        </w:trPr>
        <w:tc>
          <w:tcPr>
            <w:tcW w:w="1418" w:type="dxa"/>
            <w:vMerge/>
            <w:tcBorders>
              <w:top w:val="nil"/>
              <w:left w:val="nil"/>
              <w:bottom w:val="single" w:sz="4" w:space="0" w:color="000000"/>
              <w:right w:val="nil"/>
            </w:tcBorders>
            <w:vAlign w:val="center"/>
            <w:hideMark/>
          </w:tcPr>
          <w:p w14:paraId="234B127D" w14:textId="77777777" w:rsidR="00B636FD" w:rsidRPr="00666914" w:rsidRDefault="00B636FD" w:rsidP="00B636FD">
            <w:pPr>
              <w:spacing w:after="0"/>
              <w:jc w:val="left"/>
              <w:rPr>
                <w:rFonts w:eastAsia="Times New Roman" w:cs="Calibri"/>
                <w:color w:val="000000"/>
                <w:sz w:val="20"/>
                <w:szCs w:val="20"/>
                <w:lang w:eastAsia="sk-SK"/>
              </w:rPr>
            </w:pPr>
          </w:p>
        </w:tc>
        <w:tc>
          <w:tcPr>
            <w:tcW w:w="4394" w:type="dxa"/>
            <w:tcBorders>
              <w:top w:val="nil"/>
              <w:left w:val="nil"/>
              <w:bottom w:val="single" w:sz="4" w:space="0" w:color="auto"/>
              <w:right w:val="nil"/>
            </w:tcBorders>
            <w:shd w:val="clear" w:color="auto" w:fill="auto"/>
            <w:noWrap/>
            <w:vAlign w:val="center"/>
            <w:hideMark/>
          </w:tcPr>
          <w:p w14:paraId="1211100B" w14:textId="77777777" w:rsidR="00B636FD" w:rsidRPr="00666914" w:rsidRDefault="00B636FD" w:rsidP="00B636FD">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Hospodárne obstarávanie zdravotníckej techniky</w:t>
            </w:r>
          </w:p>
        </w:tc>
        <w:tc>
          <w:tcPr>
            <w:tcW w:w="992" w:type="dxa"/>
            <w:tcBorders>
              <w:top w:val="nil"/>
              <w:left w:val="nil"/>
              <w:bottom w:val="single" w:sz="4" w:space="0" w:color="auto"/>
              <w:right w:val="nil"/>
            </w:tcBorders>
            <w:shd w:val="clear" w:color="auto" w:fill="auto"/>
            <w:noWrap/>
            <w:vAlign w:val="center"/>
            <w:hideMark/>
          </w:tcPr>
          <w:p w14:paraId="33A1262D"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3</w:t>
            </w:r>
          </w:p>
        </w:tc>
        <w:tc>
          <w:tcPr>
            <w:tcW w:w="923" w:type="dxa"/>
            <w:tcBorders>
              <w:top w:val="nil"/>
              <w:left w:val="nil"/>
              <w:bottom w:val="single" w:sz="4" w:space="0" w:color="auto"/>
              <w:right w:val="nil"/>
            </w:tcBorders>
            <w:shd w:val="clear" w:color="auto" w:fill="auto"/>
            <w:noWrap/>
            <w:vAlign w:val="center"/>
            <w:hideMark/>
          </w:tcPr>
          <w:p w14:paraId="48425E52"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3</w:t>
            </w:r>
          </w:p>
        </w:tc>
        <w:tc>
          <w:tcPr>
            <w:tcW w:w="1345" w:type="dxa"/>
            <w:tcBorders>
              <w:top w:val="nil"/>
              <w:left w:val="nil"/>
              <w:bottom w:val="single" w:sz="4" w:space="0" w:color="auto"/>
              <w:right w:val="nil"/>
            </w:tcBorders>
            <w:shd w:val="clear" w:color="auto" w:fill="auto"/>
            <w:noWrap/>
            <w:vAlign w:val="center"/>
            <w:hideMark/>
          </w:tcPr>
          <w:p w14:paraId="35293EB1"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16</w:t>
            </w:r>
          </w:p>
        </w:tc>
      </w:tr>
      <w:tr w:rsidR="00B636FD" w:rsidRPr="00666914" w14:paraId="4380525D" w14:textId="77777777" w:rsidTr="00B636FD">
        <w:trPr>
          <w:trHeight w:val="280"/>
        </w:trPr>
        <w:tc>
          <w:tcPr>
            <w:tcW w:w="5812" w:type="dxa"/>
            <w:gridSpan w:val="2"/>
            <w:tcBorders>
              <w:top w:val="single" w:sz="4" w:space="0" w:color="auto"/>
              <w:left w:val="nil"/>
              <w:bottom w:val="single" w:sz="4" w:space="0" w:color="auto"/>
              <w:right w:val="nil"/>
            </w:tcBorders>
            <w:shd w:val="clear" w:color="auto" w:fill="auto"/>
            <w:noWrap/>
            <w:vAlign w:val="center"/>
            <w:hideMark/>
          </w:tcPr>
          <w:p w14:paraId="3E91D53F" w14:textId="77777777" w:rsidR="00B636FD" w:rsidRPr="00666914" w:rsidRDefault="00B636FD" w:rsidP="00B636FD">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992" w:type="dxa"/>
            <w:tcBorders>
              <w:top w:val="nil"/>
              <w:left w:val="nil"/>
              <w:bottom w:val="single" w:sz="4" w:space="0" w:color="auto"/>
              <w:right w:val="nil"/>
            </w:tcBorders>
            <w:shd w:val="clear" w:color="auto" w:fill="auto"/>
            <w:noWrap/>
            <w:vAlign w:val="center"/>
            <w:hideMark/>
          </w:tcPr>
          <w:p w14:paraId="7BAEB623" w14:textId="77777777" w:rsidR="00B636FD" w:rsidRPr="00666914" w:rsidRDefault="00B636FD" w:rsidP="00B636FD">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95</w:t>
            </w:r>
          </w:p>
        </w:tc>
        <w:tc>
          <w:tcPr>
            <w:tcW w:w="923" w:type="dxa"/>
            <w:tcBorders>
              <w:top w:val="nil"/>
              <w:left w:val="nil"/>
              <w:bottom w:val="single" w:sz="4" w:space="0" w:color="auto"/>
              <w:right w:val="nil"/>
            </w:tcBorders>
            <w:shd w:val="clear" w:color="auto" w:fill="auto"/>
            <w:noWrap/>
            <w:vAlign w:val="center"/>
            <w:hideMark/>
          </w:tcPr>
          <w:p w14:paraId="788E5E43" w14:textId="77777777" w:rsidR="00B636FD" w:rsidRPr="00666914" w:rsidRDefault="00B636FD" w:rsidP="00B636FD">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31</w:t>
            </w:r>
          </w:p>
        </w:tc>
        <w:tc>
          <w:tcPr>
            <w:tcW w:w="1345" w:type="dxa"/>
            <w:tcBorders>
              <w:top w:val="nil"/>
              <w:left w:val="nil"/>
              <w:bottom w:val="single" w:sz="4" w:space="0" w:color="auto"/>
              <w:right w:val="nil"/>
            </w:tcBorders>
            <w:shd w:val="clear" w:color="auto" w:fill="auto"/>
            <w:noWrap/>
            <w:vAlign w:val="center"/>
            <w:hideMark/>
          </w:tcPr>
          <w:p w14:paraId="08C332CB" w14:textId="77777777" w:rsidR="00B636FD" w:rsidRPr="00666914" w:rsidRDefault="00B636FD" w:rsidP="00B636FD">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-225</w:t>
            </w:r>
          </w:p>
        </w:tc>
      </w:tr>
      <w:tr w:rsidR="00B636FD" w:rsidRPr="00666914" w14:paraId="4F5F7D6F" w14:textId="77777777" w:rsidTr="00B636FD">
        <w:trPr>
          <w:trHeight w:val="280"/>
        </w:trPr>
        <w:tc>
          <w:tcPr>
            <w:tcW w:w="5812" w:type="dxa"/>
            <w:gridSpan w:val="2"/>
            <w:tcBorders>
              <w:top w:val="single" w:sz="4" w:space="0" w:color="auto"/>
              <w:left w:val="nil"/>
              <w:bottom w:val="single" w:sz="4" w:space="0" w:color="auto"/>
              <w:right w:val="nil"/>
            </w:tcBorders>
            <w:shd w:val="clear" w:color="auto" w:fill="auto"/>
            <w:noWrap/>
            <w:vAlign w:val="center"/>
            <w:hideMark/>
          </w:tcPr>
          <w:p w14:paraId="2CE4919A" w14:textId="77777777" w:rsidR="00B636FD" w:rsidRPr="00666914" w:rsidRDefault="00B636FD" w:rsidP="00B636FD">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Zdravotníctvo spolu</w:t>
            </w:r>
          </w:p>
        </w:tc>
        <w:tc>
          <w:tcPr>
            <w:tcW w:w="992" w:type="dxa"/>
            <w:tcBorders>
              <w:top w:val="nil"/>
              <w:left w:val="nil"/>
              <w:bottom w:val="single" w:sz="4" w:space="0" w:color="auto"/>
              <w:right w:val="nil"/>
            </w:tcBorders>
            <w:shd w:val="clear" w:color="auto" w:fill="auto"/>
            <w:noWrap/>
            <w:vAlign w:val="center"/>
            <w:hideMark/>
          </w:tcPr>
          <w:p w14:paraId="57B2964A" w14:textId="77777777" w:rsidR="00B636FD" w:rsidRPr="00666914" w:rsidRDefault="00B636FD" w:rsidP="00B636FD">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363</w:t>
            </w:r>
          </w:p>
        </w:tc>
        <w:tc>
          <w:tcPr>
            <w:tcW w:w="923" w:type="dxa"/>
            <w:tcBorders>
              <w:top w:val="nil"/>
              <w:left w:val="nil"/>
              <w:bottom w:val="single" w:sz="4" w:space="0" w:color="auto"/>
              <w:right w:val="nil"/>
            </w:tcBorders>
            <w:shd w:val="clear" w:color="auto" w:fill="auto"/>
            <w:noWrap/>
            <w:vAlign w:val="center"/>
            <w:hideMark/>
          </w:tcPr>
          <w:p w14:paraId="793C6A73" w14:textId="77777777" w:rsidR="00B636FD" w:rsidRPr="00666914" w:rsidRDefault="00B636FD" w:rsidP="00B636FD">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196</w:t>
            </w:r>
          </w:p>
        </w:tc>
        <w:tc>
          <w:tcPr>
            <w:tcW w:w="1345" w:type="dxa"/>
            <w:tcBorders>
              <w:top w:val="nil"/>
              <w:left w:val="nil"/>
              <w:bottom w:val="single" w:sz="4" w:space="0" w:color="auto"/>
              <w:right w:val="nil"/>
            </w:tcBorders>
            <w:shd w:val="clear" w:color="auto" w:fill="auto"/>
            <w:noWrap/>
            <w:vAlign w:val="center"/>
            <w:hideMark/>
          </w:tcPr>
          <w:p w14:paraId="1DCCA841" w14:textId="77777777" w:rsidR="00B636FD" w:rsidRPr="00666914" w:rsidRDefault="00B636FD" w:rsidP="00B636FD">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-119</w:t>
            </w:r>
          </w:p>
        </w:tc>
      </w:tr>
      <w:tr w:rsidR="00B636FD" w:rsidRPr="00666914" w14:paraId="7ABBE83A" w14:textId="77777777" w:rsidTr="00B636FD">
        <w:trPr>
          <w:trHeight w:val="560"/>
        </w:trPr>
        <w:tc>
          <w:tcPr>
            <w:tcW w:w="1418" w:type="dxa"/>
            <w:vMerge w:val="restart"/>
            <w:tcBorders>
              <w:top w:val="nil"/>
              <w:left w:val="nil"/>
              <w:bottom w:val="single" w:sz="4" w:space="0" w:color="000000"/>
              <w:right w:val="nil"/>
            </w:tcBorders>
            <w:shd w:val="clear" w:color="auto" w:fill="auto"/>
            <w:noWrap/>
            <w:vAlign w:val="center"/>
            <w:hideMark/>
          </w:tcPr>
          <w:p w14:paraId="1D5BF187" w14:textId="77777777" w:rsidR="00B636FD" w:rsidRPr="00666914" w:rsidRDefault="00B636FD" w:rsidP="00B636FD">
            <w:pPr>
              <w:spacing w:after="0"/>
              <w:jc w:val="right"/>
              <w:rPr>
                <w:rFonts w:eastAsia="Times New Roman" w:cs="Calibri"/>
                <w:b/>
                <w:bCs/>
                <w:color w:val="000000"/>
                <w:sz w:val="20"/>
                <w:szCs w:val="20"/>
                <w:lang w:eastAsia="sk-SK"/>
              </w:rPr>
            </w:pPr>
          </w:p>
        </w:tc>
        <w:tc>
          <w:tcPr>
            <w:tcW w:w="4394" w:type="dxa"/>
            <w:tcBorders>
              <w:top w:val="nil"/>
              <w:left w:val="nil"/>
              <w:bottom w:val="nil"/>
              <w:right w:val="nil"/>
            </w:tcBorders>
            <w:shd w:val="clear" w:color="auto" w:fill="auto"/>
            <w:noWrap/>
            <w:vAlign w:val="center"/>
            <w:hideMark/>
          </w:tcPr>
          <w:p w14:paraId="6B4D9897" w14:textId="77777777" w:rsidR="00B636FD" w:rsidRPr="00666914" w:rsidRDefault="00B636FD" w:rsidP="00B636FD">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Vypracovať záväzný plán migrácie do cloudu a naviazanie na IT rozpočty</w:t>
            </w:r>
          </w:p>
        </w:tc>
        <w:tc>
          <w:tcPr>
            <w:tcW w:w="992" w:type="dxa"/>
            <w:tcBorders>
              <w:top w:val="nil"/>
              <w:left w:val="nil"/>
              <w:bottom w:val="nil"/>
              <w:right w:val="nil"/>
            </w:tcBorders>
            <w:shd w:val="clear" w:color="auto" w:fill="auto"/>
            <w:noWrap/>
            <w:vAlign w:val="center"/>
            <w:hideMark/>
          </w:tcPr>
          <w:p w14:paraId="1AE3BCD0"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15</w:t>
            </w:r>
          </w:p>
        </w:tc>
        <w:tc>
          <w:tcPr>
            <w:tcW w:w="923" w:type="dxa"/>
            <w:tcBorders>
              <w:top w:val="nil"/>
              <w:left w:val="nil"/>
              <w:bottom w:val="nil"/>
              <w:right w:val="nil"/>
            </w:tcBorders>
            <w:shd w:val="clear" w:color="auto" w:fill="auto"/>
            <w:noWrap/>
            <w:vAlign w:val="center"/>
            <w:hideMark/>
          </w:tcPr>
          <w:p w14:paraId="2DCF3707"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15</w:t>
            </w:r>
          </w:p>
        </w:tc>
        <w:tc>
          <w:tcPr>
            <w:tcW w:w="1345" w:type="dxa"/>
            <w:tcBorders>
              <w:top w:val="nil"/>
              <w:left w:val="nil"/>
              <w:bottom w:val="nil"/>
              <w:right w:val="nil"/>
            </w:tcBorders>
            <w:shd w:val="clear" w:color="auto" w:fill="auto"/>
            <w:noWrap/>
            <w:vAlign w:val="center"/>
            <w:hideMark/>
          </w:tcPr>
          <w:p w14:paraId="017EDB9E"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0</w:t>
            </w:r>
          </w:p>
        </w:tc>
      </w:tr>
      <w:tr w:rsidR="00B636FD" w:rsidRPr="00666914" w14:paraId="6CF3540F" w14:textId="77777777" w:rsidTr="00B636FD">
        <w:trPr>
          <w:trHeight w:val="560"/>
        </w:trPr>
        <w:tc>
          <w:tcPr>
            <w:tcW w:w="1418" w:type="dxa"/>
            <w:vMerge/>
            <w:tcBorders>
              <w:top w:val="nil"/>
              <w:left w:val="nil"/>
              <w:bottom w:val="single" w:sz="4" w:space="0" w:color="000000"/>
              <w:right w:val="nil"/>
            </w:tcBorders>
            <w:shd w:val="clear" w:color="auto" w:fill="auto"/>
            <w:vAlign w:val="center"/>
            <w:hideMark/>
          </w:tcPr>
          <w:p w14:paraId="15C9033E" w14:textId="77777777" w:rsidR="00B636FD" w:rsidRPr="00666914" w:rsidRDefault="00B636FD" w:rsidP="00B636FD">
            <w:pPr>
              <w:spacing w:after="0"/>
              <w:jc w:val="left"/>
              <w:rPr>
                <w:rFonts w:eastAsia="Times New Roman" w:cs="Calibri"/>
                <w:b/>
                <w:bCs/>
                <w:color w:val="000000"/>
                <w:sz w:val="20"/>
                <w:szCs w:val="20"/>
                <w:lang w:eastAsia="sk-SK"/>
              </w:rPr>
            </w:pPr>
          </w:p>
        </w:tc>
        <w:tc>
          <w:tcPr>
            <w:tcW w:w="4394" w:type="dxa"/>
            <w:tcBorders>
              <w:top w:val="nil"/>
              <w:left w:val="nil"/>
              <w:bottom w:val="nil"/>
              <w:right w:val="nil"/>
            </w:tcBorders>
            <w:shd w:val="clear" w:color="auto" w:fill="auto"/>
            <w:noWrap/>
            <w:vAlign w:val="center"/>
            <w:hideMark/>
          </w:tcPr>
          <w:p w14:paraId="5B8E1E70" w14:textId="77777777" w:rsidR="00B636FD" w:rsidRPr="00666914" w:rsidRDefault="00B636FD" w:rsidP="00B636FD">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Centralizovať zabezpečenie podporných IT služieb ako sú telekomunikácie a konektivita</w:t>
            </w:r>
          </w:p>
        </w:tc>
        <w:tc>
          <w:tcPr>
            <w:tcW w:w="992" w:type="dxa"/>
            <w:tcBorders>
              <w:top w:val="nil"/>
              <w:left w:val="nil"/>
              <w:bottom w:val="nil"/>
              <w:right w:val="nil"/>
            </w:tcBorders>
            <w:shd w:val="clear" w:color="auto" w:fill="auto"/>
            <w:noWrap/>
            <w:vAlign w:val="center"/>
            <w:hideMark/>
          </w:tcPr>
          <w:p w14:paraId="7632A260"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27</w:t>
            </w:r>
          </w:p>
        </w:tc>
        <w:tc>
          <w:tcPr>
            <w:tcW w:w="923" w:type="dxa"/>
            <w:tcBorders>
              <w:top w:val="nil"/>
              <w:left w:val="nil"/>
              <w:bottom w:val="nil"/>
              <w:right w:val="nil"/>
            </w:tcBorders>
            <w:shd w:val="clear" w:color="auto" w:fill="auto"/>
            <w:noWrap/>
            <w:vAlign w:val="center"/>
            <w:hideMark/>
          </w:tcPr>
          <w:p w14:paraId="0F8C281A"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27</w:t>
            </w:r>
          </w:p>
        </w:tc>
        <w:tc>
          <w:tcPr>
            <w:tcW w:w="1345" w:type="dxa"/>
            <w:tcBorders>
              <w:top w:val="nil"/>
              <w:left w:val="nil"/>
              <w:bottom w:val="nil"/>
              <w:right w:val="nil"/>
            </w:tcBorders>
            <w:shd w:val="clear" w:color="auto" w:fill="auto"/>
            <w:noWrap/>
            <w:vAlign w:val="center"/>
            <w:hideMark/>
          </w:tcPr>
          <w:p w14:paraId="0EEB1E3A"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0</w:t>
            </w:r>
          </w:p>
        </w:tc>
      </w:tr>
      <w:tr w:rsidR="00B636FD" w:rsidRPr="00666914" w14:paraId="5CCF3AE7" w14:textId="77777777" w:rsidTr="00B636FD">
        <w:trPr>
          <w:trHeight w:val="560"/>
        </w:trPr>
        <w:tc>
          <w:tcPr>
            <w:tcW w:w="1418" w:type="dxa"/>
            <w:vMerge/>
            <w:tcBorders>
              <w:top w:val="nil"/>
              <w:left w:val="nil"/>
              <w:bottom w:val="single" w:sz="4" w:space="0" w:color="000000"/>
              <w:right w:val="nil"/>
            </w:tcBorders>
            <w:shd w:val="clear" w:color="auto" w:fill="auto"/>
            <w:vAlign w:val="center"/>
            <w:hideMark/>
          </w:tcPr>
          <w:p w14:paraId="4DECBE1B" w14:textId="77777777" w:rsidR="00B636FD" w:rsidRPr="00666914" w:rsidRDefault="00B636FD" w:rsidP="00B636FD">
            <w:pPr>
              <w:spacing w:after="0"/>
              <w:jc w:val="left"/>
              <w:rPr>
                <w:rFonts w:eastAsia="Times New Roman" w:cs="Calibri"/>
                <w:b/>
                <w:bCs/>
                <w:color w:val="000000"/>
                <w:sz w:val="20"/>
                <w:szCs w:val="20"/>
                <w:lang w:eastAsia="sk-SK"/>
              </w:rPr>
            </w:pPr>
          </w:p>
        </w:tc>
        <w:tc>
          <w:tcPr>
            <w:tcW w:w="4394" w:type="dxa"/>
            <w:tcBorders>
              <w:top w:val="nil"/>
              <w:left w:val="nil"/>
              <w:bottom w:val="single" w:sz="4" w:space="0" w:color="auto"/>
              <w:right w:val="nil"/>
            </w:tcBorders>
            <w:shd w:val="clear" w:color="auto" w:fill="auto"/>
            <w:noWrap/>
            <w:vAlign w:val="center"/>
            <w:hideMark/>
          </w:tcPr>
          <w:p w14:paraId="0E45F8FD" w14:textId="77777777" w:rsidR="00B636FD" w:rsidRPr="00666914" w:rsidRDefault="00B636FD" w:rsidP="00B636FD">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Zefektívniť podmienky zabezpečenia licencií produktov Microsoft</w:t>
            </w:r>
          </w:p>
        </w:tc>
        <w:tc>
          <w:tcPr>
            <w:tcW w:w="992" w:type="dxa"/>
            <w:tcBorders>
              <w:top w:val="nil"/>
              <w:left w:val="nil"/>
              <w:bottom w:val="nil"/>
              <w:right w:val="nil"/>
            </w:tcBorders>
            <w:shd w:val="clear" w:color="auto" w:fill="auto"/>
            <w:noWrap/>
            <w:vAlign w:val="center"/>
            <w:hideMark/>
          </w:tcPr>
          <w:p w14:paraId="2D6DB9F5"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7</w:t>
            </w:r>
          </w:p>
        </w:tc>
        <w:tc>
          <w:tcPr>
            <w:tcW w:w="923" w:type="dxa"/>
            <w:tcBorders>
              <w:top w:val="nil"/>
              <w:left w:val="nil"/>
              <w:bottom w:val="single" w:sz="4" w:space="0" w:color="auto"/>
              <w:right w:val="nil"/>
            </w:tcBorders>
            <w:shd w:val="clear" w:color="auto" w:fill="auto"/>
            <w:noWrap/>
            <w:vAlign w:val="center"/>
            <w:hideMark/>
          </w:tcPr>
          <w:p w14:paraId="6583C0BF"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7</w:t>
            </w:r>
          </w:p>
        </w:tc>
        <w:tc>
          <w:tcPr>
            <w:tcW w:w="1345" w:type="dxa"/>
            <w:tcBorders>
              <w:top w:val="nil"/>
              <w:left w:val="nil"/>
              <w:bottom w:val="single" w:sz="4" w:space="0" w:color="auto"/>
              <w:right w:val="nil"/>
            </w:tcBorders>
            <w:shd w:val="clear" w:color="auto" w:fill="auto"/>
            <w:noWrap/>
            <w:vAlign w:val="center"/>
            <w:hideMark/>
          </w:tcPr>
          <w:p w14:paraId="0A8649F0"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0</w:t>
            </w:r>
          </w:p>
        </w:tc>
      </w:tr>
      <w:tr w:rsidR="00B636FD" w:rsidRPr="00666914" w14:paraId="6BA3215A" w14:textId="77777777" w:rsidTr="00B636FD">
        <w:trPr>
          <w:trHeight w:val="315"/>
        </w:trPr>
        <w:tc>
          <w:tcPr>
            <w:tcW w:w="5812" w:type="dxa"/>
            <w:gridSpan w:val="2"/>
            <w:tcBorders>
              <w:top w:val="single" w:sz="4" w:space="0" w:color="auto"/>
              <w:left w:val="nil"/>
              <w:bottom w:val="single" w:sz="4" w:space="0" w:color="auto"/>
              <w:right w:val="nil"/>
            </w:tcBorders>
            <w:shd w:val="clear" w:color="auto" w:fill="auto"/>
            <w:noWrap/>
            <w:vAlign w:val="center"/>
            <w:hideMark/>
          </w:tcPr>
          <w:p w14:paraId="15138B09" w14:textId="77777777" w:rsidR="00B636FD" w:rsidRPr="00666914" w:rsidRDefault="00B636FD" w:rsidP="00B636FD">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Informatizácia spolu</w:t>
            </w:r>
          </w:p>
        </w:tc>
        <w:tc>
          <w:tcPr>
            <w:tcW w:w="992" w:type="dxa"/>
            <w:tcBorders>
              <w:top w:val="single" w:sz="4" w:space="0" w:color="auto"/>
              <w:left w:val="nil"/>
              <w:bottom w:val="single" w:sz="4" w:space="0" w:color="auto"/>
              <w:right w:val="nil"/>
            </w:tcBorders>
            <w:shd w:val="clear" w:color="auto" w:fill="auto"/>
            <w:noWrap/>
            <w:vAlign w:val="center"/>
            <w:hideMark/>
          </w:tcPr>
          <w:p w14:paraId="29C986F4" w14:textId="77777777" w:rsidR="00B636FD" w:rsidRPr="00666914" w:rsidRDefault="00B636FD" w:rsidP="00B636FD">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49</w:t>
            </w:r>
          </w:p>
        </w:tc>
        <w:tc>
          <w:tcPr>
            <w:tcW w:w="923" w:type="dxa"/>
            <w:tcBorders>
              <w:top w:val="nil"/>
              <w:left w:val="nil"/>
              <w:bottom w:val="single" w:sz="4" w:space="0" w:color="auto"/>
              <w:right w:val="nil"/>
            </w:tcBorders>
            <w:shd w:val="clear" w:color="auto" w:fill="auto"/>
            <w:noWrap/>
            <w:vAlign w:val="center"/>
            <w:hideMark/>
          </w:tcPr>
          <w:p w14:paraId="334AF856" w14:textId="77777777" w:rsidR="00B636FD" w:rsidRPr="00666914" w:rsidRDefault="00B636FD" w:rsidP="00B636FD">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49</w:t>
            </w:r>
          </w:p>
        </w:tc>
        <w:tc>
          <w:tcPr>
            <w:tcW w:w="1345" w:type="dxa"/>
            <w:tcBorders>
              <w:top w:val="nil"/>
              <w:left w:val="nil"/>
              <w:bottom w:val="single" w:sz="4" w:space="0" w:color="auto"/>
              <w:right w:val="nil"/>
            </w:tcBorders>
            <w:shd w:val="clear" w:color="auto" w:fill="auto"/>
            <w:noWrap/>
            <w:vAlign w:val="center"/>
            <w:hideMark/>
          </w:tcPr>
          <w:p w14:paraId="5E25CFD6" w14:textId="77777777" w:rsidR="00B636FD" w:rsidRPr="00666914" w:rsidRDefault="00B636FD" w:rsidP="00B636FD">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0</w:t>
            </w:r>
          </w:p>
        </w:tc>
      </w:tr>
      <w:tr w:rsidR="00B636FD" w:rsidRPr="00666914" w14:paraId="19366BFA" w14:textId="77777777" w:rsidTr="00B636FD">
        <w:trPr>
          <w:trHeight w:val="280"/>
        </w:trPr>
        <w:tc>
          <w:tcPr>
            <w:tcW w:w="1418" w:type="dxa"/>
            <w:tcBorders>
              <w:top w:val="nil"/>
              <w:left w:val="nil"/>
              <w:bottom w:val="single" w:sz="4" w:space="0" w:color="auto"/>
              <w:right w:val="nil"/>
            </w:tcBorders>
            <w:shd w:val="clear" w:color="auto" w:fill="auto"/>
            <w:noWrap/>
            <w:vAlign w:val="center"/>
            <w:hideMark/>
          </w:tcPr>
          <w:p w14:paraId="6C436703" w14:textId="77777777" w:rsidR="00B636FD" w:rsidRPr="00666914" w:rsidRDefault="00B636FD" w:rsidP="00B636FD">
            <w:pPr>
              <w:spacing w:after="0"/>
              <w:jc w:val="right"/>
              <w:rPr>
                <w:rFonts w:eastAsia="Times New Roman" w:cs="Calibri"/>
                <w:b/>
                <w:bCs/>
                <w:color w:val="000000"/>
                <w:sz w:val="20"/>
                <w:szCs w:val="20"/>
                <w:lang w:eastAsia="sk-SK"/>
              </w:rPr>
            </w:pPr>
          </w:p>
        </w:tc>
        <w:tc>
          <w:tcPr>
            <w:tcW w:w="4394" w:type="dxa"/>
            <w:tcBorders>
              <w:top w:val="nil"/>
              <w:left w:val="nil"/>
              <w:bottom w:val="single" w:sz="4" w:space="0" w:color="auto"/>
              <w:right w:val="nil"/>
            </w:tcBorders>
            <w:shd w:val="clear" w:color="auto" w:fill="auto"/>
            <w:noWrap/>
            <w:vAlign w:val="center"/>
            <w:hideMark/>
          </w:tcPr>
          <w:p w14:paraId="70D3DEE4" w14:textId="77777777" w:rsidR="00B636FD" w:rsidRPr="00666914" w:rsidRDefault="00B636FD" w:rsidP="00B636FD">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xml:space="preserve">Nižšie ročné náklady na nákup elektrickej energie </w:t>
            </w:r>
          </w:p>
        </w:tc>
        <w:tc>
          <w:tcPr>
            <w:tcW w:w="992" w:type="dxa"/>
            <w:tcBorders>
              <w:top w:val="nil"/>
              <w:left w:val="nil"/>
              <w:bottom w:val="single" w:sz="4" w:space="0" w:color="auto"/>
              <w:right w:val="nil"/>
            </w:tcBorders>
            <w:shd w:val="clear" w:color="auto" w:fill="auto"/>
            <w:noWrap/>
            <w:vAlign w:val="center"/>
            <w:hideMark/>
          </w:tcPr>
          <w:p w14:paraId="0B1AB3F6"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w:t>
            </w:r>
          </w:p>
        </w:tc>
        <w:tc>
          <w:tcPr>
            <w:tcW w:w="923" w:type="dxa"/>
            <w:tcBorders>
              <w:top w:val="nil"/>
              <w:left w:val="nil"/>
              <w:bottom w:val="single" w:sz="4" w:space="0" w:color="auto"/>
              <w:right w:val="nil"/>
            </w:tcBorders>
            <w:shd w:val="clear" w:color="auto" w:fill="auto"/>
            <w:noWrap/>
            <w:vAlign w:val="center"/>
            <w:hideMark/>
          </w:tcPr>
          <w:p w14:paraId="1A76A3D6"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w:t>
            </w:r>
          </w:p>
        </w:tc>
        <w:tc>
          <w:tcPr>
            <w:tcW w:w="1345" w:type="dxa"/>
            <w:tcBorders>
              <w:top w:val="nil"/>
              <w:left w:val="nil"/>
              <w:bottom w:val="single" w:sz="4" w:space="0" w:color="auto"/>
              <w:right w:val="nil"/>
            </w:tcBorders>
            <w:shd w:val="clear" w:color="auto" w:fill="auto"/>
            <w:noWrap/>
            <w:vAlign w:val="center"/>
            <w:hideMark/>
          </w:tcPr>
          <w:p w14:paraId="5477F673"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w:t>
            </w:r>
          </w:p>
        </w:tc>
      </w:tr>
      <w:tr w:rsidR="00B636FD" w:rsidRPr="00666914" w14:paraId="4EE622EC" w14:textId="77777777" w:rsidTr="00B636FD">
        <w:trPr>
          <w:trHeight w:val="280"/>
        </w:trPr>
        <w:tc>
          <w:tcPr>
            <w:tcW w:w="1418" w:type="dxa"/>
            <w:tcBorders>
              <w:top w:val="single" w:sz="4" w:space="0" w:color="auto"/>
              <w:left w:val="nil"/>
              <w:bottom w:val="single" w:sz="4" w:space="0" w:color="auto"/>
              <w:right w:val="nil"/>
            </w:tcBorders>
            <w:shd w:val="clear" w:color="auto" w:fill="auto"/>
            <w:noWrap/>
            <w:vAlign w:val="center"/>
            <w:hideMark/>
          </w:tcPr>
          <w:p w14:paraId="57D91343" w14:textId="77777777" w:rsidR="00B636FD" w:rsidRPr="00666914" w:rsidRDefault="00B636FD" w:rsidP="00B636FD">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Doprava spolu</w:t>
            </w:r>
          </w:p>
        </w:tc>
        <w:tc>
          <w:tcPr>
            <w:tcW w:w="4394" w:type="dxa"/>
            <w:tcBorders>
              <w:top w:val="single" w:sz="4" w:space="0" w:color="auto"/>
              <w:left w:val="nil"/>
              <w:bottom w:val="single" w:sz="4" w:space="0" w:color="auto"/>
              <w:right w:val="nil"/>
            </w:tcBorders>
            <w:shd w:val="clear" w:color="auto" w:fill="auto"/>
            <w:noWrap/>
            <w:vAlign w:val="center"/>
            <w:hideMark/>
          </w:tcPr>
          <w:p w14:paraId="3DC4C915" w14:textId="77777777" w:rsidR="00B636FD" w:rsidRPr="00666914" w:rsidRDefault="00B636FD" w:rsidP="00B636FD">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c>
          <w:tcPr>
            <w:tcW w:w="992" w:type="dxa"/>
            <w:tcBorders>
              <w:top w:val="single" w:sz="4" w:space="0" w:color="auto"/>
              <w:left w:val="nil"/>
              <w:bottom w:val="single" w:sz="4" w:space="0" w:color="auto"/>
              <w:right w:val="nil"/>
            </w:tcBorders>
            <w:shd w:val="clear" w:color="auto" w:fill="auto"/>
            <w:noWrap/>
            <w:vAlign w:val="center"/>
            <w:hideMark/>
          </w:tcPr>
          <w:p w14:paraId="4162F901" w14:textId="77777777" w:rsidR="00B636FD" w:rsidRPr="00666914" w:rsidRDefault="00B636FD" w:rsidP="00B636FD">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1</w:t>
            </w:r>
          </w:p>
        </w:tc>
        <w:tc>
          <w:tcPr>
            <w:tcW w:w="923" w:type="dxa"/>
            <w:tcBorders>
              <w:top w:val="single" w:sz="4" w:space="0" w:color="auto"/>
              <w:left w:val="nil"/>
              <w:bottom w:val="single" w:sz="4" w:space="0" w:color="auto"/>
              <w:right w:val="nil"/>
            </w:tcBorders>
            <w:shd w:val="clear" w:color="auto" w:fill="auto"/>
            <w:noWrap/>
            <w:vAlign w:val="center"/>
            <w:hideMark/>
          </w:tcPr>
          <w:p w14:paraId="0CF7750E" w14:textId="77777777" w:rsidR="00B636FD" w:rsidRPr="00666914" w:rsidRDefault="00B636FD" w:rsidP="00B636FD">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1</w:t>
            </w:r>
          </w:p>
        </w:tc>
        <w:tc>
          <w:tcPr>
            <w:tcW w:w="1345" w:type="dxa"/>
            <w:tcBorders>
              <w:top w:val="single" w:sz="4" w:space="0" w:color="auto"/>
              <w:left w:val="nil"/>
              <w:bottom w:val="single" w:sz="4" w:space="0" w:color="auto"/>
              <w:right w:val="nil"/>
            </w:tcBorders>
            <w:shd w:val="clear" w:color="auto" w:fill="auto"/>
            <w:noWrap/>
            <w:vAlign w:val="center"/>
            <w:hideMark/>
          </w:tcPr>
          <w:p w14:paraId="0C525DD3" w14:textId="77777777" w:rsidR="00B636FD" w:rsidRPr="00666914" w:rsidRDefault="00B636FD" w:rsidP="00B636FD">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1</w:t>
            </w:r>
          </w:p>
        </w:tc>
      </w:tr>
      <w:tr w:rsidR="00B636FD" w:rsidRPr="00666914" w14:paraId="3E35DEBC" w14:textId="77777777" w:rsidTr="00B636FD">
        <w:trPr>
          <w:trHeight w:val="560"/>
        </w:trPr>
        <w:tc>
          <w:tcPr>
            <w:tcW w:w="1418" w:type="dxa"/>
            <w:vMerge w:val="restart"/>
            <w:tcBorders>
              <w:top w:val="single" w:sz="4" w:space="0" w:color="auto"/>
              <w:left w:val="nil"/>
              <w:right w:val="nil"/>
            </w:tcBorders>
            <w:shd w:val="clear" w:color="auto" w:fill="auto"/>
            <w:noWrap/>
            <w:vAlign w:val="center"/>
            <w:hideMark/>
          </w:tcPr>
          <w:p w14:paraId="6DD68535" w14:textId="77777777" w:rsidR="00B636FD" w:rsidRPr="00666914" w:rsidRDefault="00B636FD" w:rsidP="00B636FD">
            <w:pPr>
              <w:spacing w:after="0"/>
              <w:jc w:val="right"/>
              <w:rPr>
                <w:rFonts w:eastAsia="Times New Roman" w:cs="Calibri"/>
                <w:b/>
                <w:bCs/>
                <w:color w:val="000000"/>
                <w:sz w:val="20"/>
                <w:szCs w:val="20"/>
                <w:lang w:eastAsia="sk-SK"/>
              </w:rPr>
            </w:pPr>
          </w:p>
        </w:tc>
        <w:tc>
          <w:tcPr>
            <w:tcW w:w="4394" w:type="dxa"/>
            <w:tcBorders>
              <w:top w:val="single" w:sz="4" w:space="0" w:color="auto"/>
              <w:left w:val="nil"/>
              <w:right w:val="nil"/>
            </w:tcBorders>
            <w:shd w:val="clear" w:color="auto" w:fill="auto"/>
            <w:noWrap/>
            <w:vAlign w:val="center"/>
            <w:hideMark/>
          </w:tcPr>
          <w:p w14:paraId="59C13B69" w14:textId="77777777" w:rsidR="00B636FD" w:rsidRPr="00666914" w:rsidRDefault="00B636FD" w:rsidP="00B636FD">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Postupne implementovať opatrenia na zefektívnenie prevádzky SVP podľa auditu BCG</w:t>
            </w:r>
          </w:p>
        </w:tc>
        <w:tc>
          <w:tcPr>
            <w:tcW w:w="992" w:type="dxa"/>
            <w:tcBorders>
              <w:top w:val="single" w:sz="4" w:space="0" w:color="auto"/>
              <w:left w:val="nil"/>
              <w:bottom w:val="nil"/>
              <w:right w:val="nil"/>
            </w:tcBorders>
            <w:shd w:val="clear" w:color="auto" w:fill="auto"/>
            <w:noWrap/>
            <w:vAlign w:val="center"/>
            <w:hideMark/>
          </w:tcPr>
          <w:p w14:paraId="65112068"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20</w:t>
            </w:r>
          </w:p>
        </w:tc>
        <w:tc>
          <w:tcPr>
            <w:tcW w:w="923" w:type="dxa"/>
            <w:tcBorders>
              <w:top w:val="single" w:sz="4" w:space="0" w:color="auto"/>
              <w:left w:val="nil"/>
              <w:bottom w:val="nil"/>
              <w:right w:val="nil"/>
            </w:tcBorders>
            <w:shd w:val="clear" w:color="auto" w:fill="auto"/>
            <w:noWrap/>
            <w:vAlign w:val="center"/>
            <w:hideMark/>
          </w:tcPr>
          <w:p w14:paraId="5D1519E2"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14</w:t>
            </w:r>
          </w:p>
        </w:tc>
        <w:tc>
          <w:tcPr>
            <w:tcW w:w="1345" w:type="dxa"/>
            <w:tcBorders>
              <w:top w:val="single" w:sz="4" w:space="0" w:color="auto"/>
              <w:left w:val="nil"/>
              <w:bottom w:val="nil"/>
              <w:right w:val="nil"/>
            </w:tcBorders>
            <w:shd w:val="clear" w:color="auto" w:fill="auto"/>
            <w:noWrap/>
            <w:vAlign w:val="center"/>
            <w:hideMark/>
          </w:tcPr>
          <w:p w14:paraId="0D8EE6B8"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0</w:t>
            </w:r>
          </w:p>
        </w:tc>
      </w:tr>
      <w:tr w:rsidR="00B636FD" w:rsidRPr="00666914" w14:paraId="7675B9B8" w14:textId="77777777" w:rsidTr="00B636FD">
        <w:trPr>
          <w:trHeight w:val="560"/>
        </w:trPr>
        <w:tc>
          <w:tcPr>
            <w:tcW w:w="1418" w:type="dxa"/>
            <w:vMerge/>
            <w:tcBorders>
              <w:top w:val="nil"/>
              <w:left w:val="nil"/>
              <w:right w:val="nil"/>
            </w:tcBorders>
            <w:shd w:val="clear" w:color="auto" w:fill="auto"/>
            <w:vAlign w:val="center"/>
            <w:hideMark/>
          </w:tcPr>
          <w:p w14:paraId="33AEAD7C" w14:textId="77777777" w:rsidR="00B636FD" w:rsidRPr="00666914" w:rsidRDefault="00B636FD" w:rsidP="00B636FD">
            <w:pPr>
              <w:spacing w:after="0"/>
              <w:jc w:val="left"/>
              <w:rPr>
                <w:rFonts w:eastAsia="Times New Roman" w:cs="Calibri"/>
                <w:b/>
                <w:bCs/>
                <w:color w:val="000000"/>
                <w:sz w:val="20"/>
                <w:szCs w:val="20"/>
                <w:lang w:eastAsia="sk-SK"/>
              </w:rPr>
            </w:pPr>
          </w:p>
        </w:tc>
        <w:tc>
          <w:tcPr>
            <w:tcW w:w="4394" w:type="dxa"/>
            <w:tcBorders>
              <w:top w:val="nil"/>
              <w:left w:val="nil"/>
              <w:right w:val="nil"/>
            </w:tcBorders>
            <w:shd w:val="clear" w:color="auto" w:fill="auto"/>
            <w:noWrap/>
            <w:vAlign w:val="center"/>
            <w:hideMark/>
          </w:tcPr>
          <w:p w14:paraId="4F424A0F" w14:textId="77777777" w:rsidR="00B636FD" w:rsidRPr="00666914" w:rsidRDefault="00B636FD" w:rsidP="00B636FD">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Postupne zvýšiť poplatky za skládkovanie a zaviesť povinný množstvový zber</w:t>
            </w:r>
          </w:p>
        </w:tc>
        <w:tc>
          <w:tcPr>
            <w:tcW w:w="992" w:type="dxa"/>
            <w:tcBorders>
              <w:top w:val="nil"/>
              <w:left w:val="nil"/>
              <w:bottom w:val="nil"/>
              <w:right w:val="nil"/>
            </w:tcBorders>
            <w:shd w:val="clear" w:color="auto" w:fill="auto"/>
            <w:noWrap/>
            <w:vAlign w:val="center"/>
            <w:hideMark/>
          </w:tcPr>
          <w:p w14:paraId="3D1FFD63"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24</w:t>
            </w:r>
          </w:p>
        </w:tc>
        <w:tc>
          <w:tcPr>
            <w:tcW w:w="923" w:type="dxa"/>
            <w:tcBorders>
              <w:top w:val="nil"/>
              <w:left w:val="nil"/>
              <w:bottom w:val="nil"/>
              <w:right w:val="nil"/>
            </w:tcBorders>
            <w:shd w:val="clear" w:color="auto" w:fill="auto"/>
            <w:noWrap/>
            <w:vAlign w:val="center"/>
            <w:hideMark/>
          </w:tcPr>
          <w:p w14:paraId="0F4893F0"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6</w:t>
            </w:r>
          </w:p>
        </w:tc>
        <w:tc>
          <w:tcPr>
            <w:tcW w:w="1345" w:type="dxa"/>
            <w:tcBorders>
              <w:top w:val="nil"/>
              <w:left w:val="nil"/>
              <w:bottom w:val="nil"/>
              <w:right w:val="nil"/>
            </w:tcBorders>
            <w:shd w:val="clear" w:color="auto" w:fill="auto"/>
            <w:noWrap/>
            <w:vAlign w:val="center"/>
            <w:hideMark/>
          </w:tcPr>
          <w:p w14:paraId="6E6010E9"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4</w:t>
            </w:r>
          </w:p>
        </w:tc>
      </w:tr>
      <w:tr w:rsidR="00B636FD" w:rsidRPr="00666914" w14:paraId="10D60046" w14:textId="77777777" w:rsidTr="00B636FD">
        <w:trPr>
          <w:trHeight w:val="560"/>
        </w:trPr>
        <w:tc>
          <w:tcPr>
            <w:tcW w:w="1418" w:type="dxa"/>
            <w:vMerge/>
            <w:tcBorders>
              <w:left w:val="nil"/>
              <w:bottom w:val="single" w:sz="4" w:space="0" w:color="000000"/>
              <w:right w:val="nil"/>
            </w:tcBorders>
            <w:vAlign w:val="center"/>
            <w:hideMark/>
          </w:tcPr>
          <w:p w14:paraId="1D62CA72" w14:textId="77777777" w:rsidR="00B636FD" w:rsidRPr="00666914" w:rsidRDefault="00B636FD" w:rsidP="00B636FD">
            <w:pPr>
              <w:spacing w:after="0"/>
              <w:jc w:val="left"/>
              <w:rPr>
                <w:rFonts w:eastAsia="Times New Roman" w:cs="Calibri"/>
                <w:b/>
                <w:bCs/>
                <w:color w:val="000000"/>
                <w:sz w:val="20"/>
                <w:szCs w:val="20"/>
                <w:lang w:eastAsia="sk-SK"/>
              </w:rPr>
            </w:pPr>
          </w:p>
        </w:tc>
        <w:tc>
          <w:tcPr>
            <w:tcW w:w="4394" w:type="dxa"/>
            <w:tcBorders>
              <w:left w:val="nil"/>
              <w:bottom w:val="nil"/>
              <w:right w:val="nil"/>
            </w:tcBorders>
            <w:shd w:val="clear" w:color="auto" w:fill="auto"/>
            <w:noWrap/>
            <w:vAlign w:val="center"/>
            <w:hideMark/>
          </w:tcPr>
          <w:p w14:paraId="71FD41F7" w14:textId="77777777" w:rsidR="00B636FD" w:rsidRPr="00666914" w:rsidRDefault="00B636FD" w:rsidP="00B636FD">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Zrušiť fakultatívne oslobodenia v spotrebných daniach (uhlie, elektrina, plyn)</w:t>
            </w:r>
          </w:p>
        </w:tc>
        <w:tc>
          <w:tcPr>
            <w:tcW w:w="992" w:type="dxa"/>
            <w:tcBorders>
              <w:top w:val="nil"/>
              <w:left w:val="nil"/>
              <w:bottom w:val="nil"/>
              <w:right w:val="nil"/>
            </w:tcBorders>
            <w:shd w:val="clear" w:color="auto" w:fill="auto"/>
            <w:noWrap/>
            <w:vAlign w:val="center"/>
            <w:hideMark/>
          </w:tcPr>
          <w:p w14:paraId="1BD896AC"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65</w:t>
            </w:r>
          </w:p>
        </w:tc>
        <w:tc>
          <w:tcPr>
            <w:tcW w:w="923" w:type="dxa"/>
            <w:tcBorders>
              <w:top w:val="nil"/>
              <w:left w:val="nil"/>
              <w:bottom w:val="nil"/>
              <w:right w:val="nil"/>
            </w:tcBorders>
            <w:shd w:val="clear" w:color="auto" w:fill="auto"/>
            <w:noWrap/>
            <w:vAlign w:val="center"/>
            <w:hideMark/>
          </w:tcPr>
          <w:p w14:paraId="5F18F45D"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65</w:t>
            </w:r>
          </w:p>
        </w:tc>
        <w:tc>
          <w:tcPr>
            <w:tcW w:w="1345" w:type="dxa"/>
            <w:tcBorders>
              <w:top w:val="nil"/>
              <w:left w:val="nil"/>
              <w:bottom w:val="nil"/>
              <w:right w:val="nil"/>
            </w:tcBorders>
            <w:shd w:val="clear" w:color="auto" w:fill="auto"/>
            <w:noWrap/>
            <w:vAlign w:val="center"/>
            <w:hideMark/>
          </w:tcPr>
          <w:p w14:paraId="5B63703F"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0</w:t>
            </w:r>
          </w:p>
        </w:tc>
      </w:tr>
      <w:tr w:rsidR="00B636FD" w:rsidRPr="00666914" w14:paraId="3E5D800B" w14:textId="77777777" w:rsidTr="00B636FD">
        <w:trPr>
          <w:trHeight w:val="280"/>
        </w:trPr>
        <w:tc>
          <w:tcPr>
            <w:tcW w:w="1418" w:type="dxa"/>
            <w:vMerge/>
            <w:tcBorders>
              <w:top w:val="nil"/>
              <w:left w:val="nil"/>
              <w:bottom w:val="single" w:sz="4" w:space="0" w:color="000000"/>
              <w:right w:val="nil"/>
            </w:tcBorders>
            <w:vAlign w:val="center"/>
            <w:hideMark/>
          </w:tcPr>
          <w:p w14:paraId="7CD539AB" w14:textId="77777777" w:rsidR="00B636FD" w:rsidRPr="00666914" w:rsidRDefault="00B636FD" w:rsidP="00B636FD">
            <w:pPr>
              <w:spacing w:after="0"/>
              <w:jc w:val="left"/>
              <w:rPr>
                <w:rFonts w:eastAsia="Times New Roman" w:cs="Calibri"/>
                <w:b/>
                <w:bCs/>
                <w:color w:val="000000"/>
                <w:sz w:val="20"/>
                <w:szCs w:val="20"/>
                <w:lang w:eastAsia="sk-SK"/>
              </w:rPr>
            </w:pPr>
          </w:p>
        </w:tc>
        <w:tc>
          <w:tcPr>
            <w:tcW w:w="4394" w:type="dxa"/>
            <w:tcBorders>
              <w:top w:val="nil"/>
              <w:left w:val="nil"/>
              <w:bottom w:val="single" w:sz="4" w:space="0" w:color="auto"/>
              <w:right w:val="nil"/>
            </w:tcBorders>
            <w:shd w:val="clear" w:color="auto" w:fill="auto"/>
            <w:noWrap/>
            <w:vAlign w:val="center"/>
            <w:hideMark/>
          </w:tcPr>
          <w:p w14:paraId="1B1256D3" w14:textId="77777777" w:rsidR="00B636FD" w:rsidRPr="00666914" w:rsidRDefault="00B636FD" w:rsidP="00B636FD">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Zaviesť inovatívne formy financovania ochrany prírody</w:t>
            </w:r>
          </w:p>
        </w:tc>
        <w:tc>
          <w:tcPr>
            <w:tcW w:w="992" w:type="dxa"/>
            <w:tcBorders>
              <w:top w:val="nil"/>
              <w:left w:val="nil"/>
              <w:bottom w:val="single" w:sz="4" w:space="0" w:color="auto"/>
              <w:right w:val="nil"/>
            </w:tcBorders>
            <w:shd w:val="clear" w:color="auto" w:fill="auto"/>
            <w:noWrap/>
            <w:vAlign w:val="center"/>
            <w:hideMark/>
          </w:tcPr>
          <w:p w14:paraId="2999A050"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6</w:t>
            </w:r>
          </w:p>
        </w:tc>
        <w:tc>
          <w:tcPr>
            <w:tcW w:w="923" w:type="dxa"/>
            <w:tcBorders>
              <w:top w:val="nil"/>
              <w:left w:val="nil"/>
              <w:bottom w:val="single" w:sz="4" w:space="0" w:color="auto"/>
              <w:right w:val="nil"/>
            </w:tcBorders>
            <w:shd w:val="clear" w:color="auto" w:fill="auto"/>
            <w:noWrap/>
            <w:vAlign w:val="center"/>
            <w:hideMark/>
          </w:tcPr>
          <w:p w14:paraId="05A7F7BB"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6</w:t>
            </w:r>
          </w:p>
        </w:tc>
        <w:tc>
          <w:tcPr>
            <w:tcW w:w="1345" w:type="dxa"/>
            <w:tcBorders>
              <w:top w:val="nil"/>
              <w:left w:val="nil"/>
              <w:bottom w:val="single" w:sz="4" w:space="0" w:color="auto"/>
              <w:right w:val="nil"/>
            </w:tcBorders>
            <w:shd w:val="clear" w:color="auto" w:fill="auto"/>
            <w:noWrap/>
            <w:vAlign w:val="center"/>
            <w:hideMark/>
          </w:tcPr>
          <w:p w14:paraId="17D76C2C"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0</w:t>
            </w:r>
          </w:p>
        </w:tc>
      </w:tr>
      <w:tr w:rsidR="00B636FD" w:rsidRPr="00666914" w14:paraId="52152582" w14:textId="77777777" w:rsidTr="00B636FD">
        <w:trPr>
          <w:trHeight w:val="280"/>
        </w:trPr>
        <w:tc>
          <w:tcPr>
            <w:tcW w:w="5812" w:type="dxa"/>
            <w:gridSpan w:val="2"/>
            <w:tcBorders>
              <w:top w:val="single" w:sz="4" w:space="0" w:color="auto"/>
              <w:left w:val="nil"/>
              <w:bottom w:val="single" w:sz="4" w:space="0" w:color="auto"/>
              <w:right w:val="nil"/>
            </w:tcBorders>
            <w:shd w:val="clear" w:color="auto" w:fill="auto"/>
            <w:noWrap/>
            <w:vAlign w:val="center"/>
            <w:hideMark/>
          </w:tcPr>
          <w:p w14:paraId="2405F858" w14:textId="77777777" w:rsidR="00B636FD" w:rsidRPr="00666914" w:rsidRDefault="00B636FD" w:rsidP="00B636FD">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Životné prostredie spolu</w:t>
            </w:r>
          </w:p>
        </w:tc>
        <w:tc>
          <w:tcPr>
            <w:tcW w:w="992" w:type="dxa"/>
            <w:tcBorders>
              <w:top w:val="nil"/>
              <w:left w:val="nil"/>
              <w:bottom w:val="single" w:sz="4" w:space="0" w:color="auto"/>
              <w:right w:val="nil"/>
            </w:tcBorders>
            <w:shd w:val="clear" w:color="auto" w:fill="auto"/>
            <w:noWrap/>
            <w:vAlign w:val="center"/>
            <w:hideMark/>
          </w:tcPr>
          <w:p w14:paraId="1415135A" w14:textId="77777777" w:rsidR="00B636FD" w:rsidRPr="00666914" w:rsidRDefault="00B636FD" w:rsidP="00B636FD">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115</w:t>
            </w:r>
          </w:p>
        </w:tc>
        <w:tc>
          <w:tcPr>
            <w:tcW w:w="923" w:type="dxa"/>
            <w:tcBorders>
              <w:top w:val="nil"/>
              <w:left w:val="nil"/>
              <w:bottom w:val="single" w:sz="4" w:space="0" w:color="auto"/>
              <w:right w:val="nil"/>
            </w:tcBorders>
            <w:shd w:val="clear" w:color="auto" w:fill="auto"/>
            <w:noWrap/>
            <w:vAlign w:val="center"/>
            <w:hideMark/>
          </w:tcPr>
          <w:p w14:paraId="07940CD6" w14:textId="77777777" w:rsidR="00B636FD" w:rsidRPr="00666914" w:rsidRDefault="00B636FD" w:rsidP="00B636FD">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91</w:t>
            </w:r>
          </w:p>
        </w:tc>
        <w:tc>
          <w:tcPr>
            <w:tcW w:w="1345" w:type="dxa"/>
            <w:tcBorders>
              <w:top w:val="nil"/>
              <w:left w:val="nil"/>
              <w:bottom w:val="single" w:sz="4" w:space="0" w:color="auto"/>
              <w:right w:val="nil"/>
            </w:tcBorders>
            <w:shd w:val="clear" w:color="auto" w:fill="auto"/>
            <w:noWrap/>
            <w:vAlign w:val="center"/>
            <w:hideMark/>
          </w:tcPr>
          <w:p w14:paraId="55BD1681" w14:textId="77777777" w:rsidR="00B636FD" w:rsidRPr="00666914" w:rsidRDefault="00B636FD" w:rsidP="00B636FD">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4</w:t>
            </w:r>
          </w:p>
        </w:tc>
      </w:tr>
      <w:tr w:rsidR="00B636FD" w:rsidRPr="00666914" w14:paraId="65F29725" w14:textId="77777777" w:rsidTr="00B636FD">
        <w:trPr>
          <w:trHeight w:val="560"/>
        </w:trPr>
        <w:tc>
          <w:tcPr>
            <w:tcW w:w="1418" w:type="dxa"/>
            <w:vMerge w:val="restart"/>
            <w:tcBorders>
              <w:top w:val="nil"/>
              <w:left w:val="nil"/>
              <w:bottom w:val="single" w:sz="4" w:space="0" w:color="000000"/>
              <w:right w:val="nil"/>
            </w:tcBorders>
            <w:shd w:val="clear" w:color="auto" w:fill="auto"/>
            <w:noWrap/>
            <w:vAlign w:val="center"/>
            <w:hideMark/>
          </w:tcPr>
          <w:p w14:paraId="104CD37B" w14:textId="77777777" w:rsidR="00B636FD" w:rsidRPr="00666914" w:rsidRDefault="00B636FD" w:rsidP="00B636FD">
            <w:pPr>
              <w:spacing w:after="0"/>
              <w:jc w:val="right"/>
              <w:rPr>
                <w:rFonts w:eastAsia="Times New Roman" w:cs="Calibri"/>
                <w:b/>
                <w:bCs/>
                <w:color w:val="000000"/>
                <w:sz w:val="20"/>
                <w:szCs w:val="20"/>
                <w:lang w:eastAsia="sk-SK"/>
              </w:rPr>
            </w:pPr>
          </w:p>
        </w:tc>
        <w:tc>
          <w:tcPr>
            <w:tcW w:w="4394" w:type="dxa"/>
            <w:tcBorders>
              <w:top w:val="nil"/>
              <w:left w:val="nil"/>
              <w:bottom w:val="nil"/>
              <w:right w:val="nil"/>
            </w:tcBorders>
            <w:shd w:val="clear" w:color="auto" w:fill="auto"/>
            <w:noWrap/>
            <w:vAlign w:val="center"/>
            <w:hideMark/>
          </w:tcPr>
          <w:p w14:paraId="6E59D4B2" w14:textId="77777777" w:rsidR="00B636FD" w:rsidRPr="00666914" w:rsidRDefault="00B636FD" w:rsidP="00B636FD">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Prijať opatrenia na podporu racionalizácie siete základných škôl</w:t>
            </w:r>
          </w:p>
        </w:tc>
        <w:tc>
          <w:tcPr>
            <w:tcW w:w="992" w:type="dxa"/>
            <w:tcBorders>
              <w:top w:val="nil"/>
              <w:left w:val="nil"/>
              <w:bottom w:val="nil"/>
              <w:right w:val="nil"/>
            </w:tcBorders>
            <w:shd w:val="clear" w:color="auto" w:fill="auto"/>
            <w:noWrap/>
            <w:vAlign w:val="center"/>
            <w:hideMark/>
          </w:tcPr>
          <w:p w14:paraId="0741A7A7"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14</w:t>
            </w:r>
          </w:p>
        </w:tc>
        <w:tc>
          <w:tcPr>
            <w:tcW w:w="923" w:type="dxa"/>
            <w:tcBorders>
              <w:top w:val="nil"/>
              <w:left w:val="nil"/>
              <w:bottom w:val="nil"/>
              <w:right w:val="nil"/>
            </w:tcBorders>
            <w:shd w:val="clear" w:color="auto" w:fill="auto"/>
            <w:noWrap/>
            <w:vAlign w:val="center"/>
            <w:hideMark/>
          </w:tcPr>
          <w:p w14:paraId="7CC97639"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3</w:t>
            </w:r>
          </w:p>
        </w:tc>
        <w:tc>
          <w:tcPr>
            <w:tcW w:w="1345" w:type="dxa"/>
            <w:tcBorders>
              <w:top w:val="nil"/>
              <w:left w:val="nil"/>
              <w:bottom w:val="nil"/>
              <w:right w:val="nil"/>
            </w:tcBorders>
            <w:shd w:val="clear" w:color="auto" w:fill="auto"/>
            <w:noWrap/>
            <w:vAlign w:val="center"/>
            <w:hideMark/>
          </w:tcPr>
          <w:p w14:paraId="57C970A0"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0</w:t>
            </w:r>
          </w:p>
        </w:tc>
      </w:tr>
      <w:tr w:rsidR="00B636FD" w:rsidRPr="00666914" w14:paraId="23D0A2C8" w14:textId="77777777" w:rsidTr="00B636FD">
        <w:trPr>
          <w:trHeight w:val="280"/>
        </w:trPr>
        <w:tc>
          <w:tcPr>
            <w:tcW w:w="1418" w:type="dxa"/>
            <w:vMerge/>
            <w:tcBorders>
              <w:top w:val="nil"/>
              <w:left w:val="nil"/>
              <w:bottom w:val="single" w:sz="4" w:space="0" w:color="000000"/>
              <w:right w:val="nil"/>
            </w:tcBorders>
            <w:vAlign w:val="center"/>
            <w:hideMark/>
          </w:tcPr>
          <w:p w14:paraId="269D4B4C" w14:textId="77777777" w:rsidR="00B636FD" w:rsidRPr="00666914" w:rsidRDefault="00B636FD" w:rsidP="00B636FD">
            <w:pPr>
              <w:spacing w:after="0"/>
              <w:jc w:val="left"/>
              <w:rPr>
                <w:rFonts w:eastAsia="Times New Roman" w:cs="Calibri"/>
                <w:b/>
                <w:bCs/>
                <w:color w:val="000000"/>
                <w:sz w:val="20"/>
                <w:szCs w:val="20"/>
                <w:lang w:eastAsia="sk-SK"/>
              </w:rPr>
            </w:pPr>
          </w:p>
        </w:tc>
        <w:tc>
          <w:tcPr>
            <w:tcW w:w="4394" w:type="dxa"/>
            <w:tcBorders>
              <w:top w:val="nil"/>
              <w:left w:val="nil"/>
              <w:bottom w:val="nil"/>
              <w:right w:val="nil"/>
            </w:tcBorders>
            <w:shd w:val="clear" w:color="auto" w:fill="auto"/>
            <w:noWrap/>
            <w:vAlign w:val="center"/>
            <w:hideMark/>
          </w:tcPr>
          <w:p w14:paraId="7B5E68D0" w14:textId="77777777" w:rsidR="00B636FD" w:rsidRPr="00666914" w:rsidRDefault="00B636FD" w:rsidP="00B636FD">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Zrušiť možnosť získať kredity na kreditový príplatok</w:t>
            </w:r>
          </w:p>
        </w:tc>
        <w:tc>
          <w:tcPr>
            <w:tcW w:w="992" w:type="dxa"/>
            <w:tcBorders>
              <w:top w:val="nil"/>
              <w:left w:val="nil"/>
              <w:bottom w:val="nil"/>
              <w:right w:val="nil"/>
            </w:tcBorders>
            <w:shd w:val="clear" w:color="auto" w:fill="auto"/>
            <w:noWrap/>
            <w:vAlign w:val="center"/>
            <w:hideMark/>
          </w:tcPr>
          <w:p w14:paraId="6FE7FB54"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46</w:t>
            </w:r>
          </w:p>
        </w:tc>
        <w:tc>
          <w:tcPr>
            <w:tcW w:w="923" w:type="dxa"/>
            <w:tcBorders>
              <w:top w:val="nil"/>
              <w:left w:val="nil"/>
              <w:bottom w:val="nil"/>
              <w:right w:val="nil"/>
            </w:tcBorders>
            <w:shd w:val="clear" w:color="auto" w:fill="auto"/>
            <w:noWrap/>
            <w:vAlign w:val="center"/>
            <w:hideMark/>
          </w:tcPr>
          <w:p w14:paraId="31A1CAD0"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5</w:t>
            </w:r>
          </w:p>
        </w:tc>
        <w:tc>
          <w:tcPr>
            <w:tcW w:w="1345" w:type="dxa"/>
            <w:tcBorders>
              <w:top w:val="nil"/>
              <w:left w:val="nil"/>
              <w:bottom w:val="nil"/>
              <w:right w:val="nil"/>
            </w:tcBorders>
            <w:shd w:val="clear" w:color="auto" w:fill="auto"/>
            <w:noWrap/>
            <w:vAlign w:val="center"/>
            <w:hideMark/>
          </w:tcPr>
          <w:p w14:paraId="26EE6CCC"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0</w:t>
            </w:r>
          </w:p>
        </w:tc>
      </w:tr>
      <w:tr w:rsidR="00B636FD" w:rsidRPr="00666914" w14:paraId="6C55D40F" w14:textId="77777777" w:rsidTr="00B636FD">
        <w:trPr>
          <w:trHeight w:val="560"/>
        </w:trPr>
        <w:tc>
          <w:tcPr>
            <w:tcW w:w="1418" w:type="dxa"/>
            <w:vMerge/>
            <w:tcBorders>
              <w:top w:val="nil"/>
              <w:left w:val="nil"/>
              <w:bottom w:val="single" w:sz="4" w:space="0" w:color="000000"/>
              <w:right w:val="nil"/>
            </w:tcBorders>
            <w:vAlign w:val="center"/>
            <w:hideMark/>
          </w:tcPr>
          <w:p w14:paraId="16018FE0" w14:textId="77777777" w:rsidR="00B636FD" w:rsidRPr="00666914" w:rsidRDefault="00B636FD" w:rsidP="00B636FD">
            <w:pPr>
              <w:spacing w:after="0"/>
              <w:jc w:val="left"/>
              <w:rPr>
                <w:rFonts w:eastAsia="Times New Roman" w:cs="Calibri"/>
                <w:b/>
                <w:bCs/>
                <w:color w:val="000000"/>
                <w:sz w:val="20"/>
                <w:szCs w:val="20"/>
                <w:lang w:eastAsia="sk-SK"/>
              </w:rPr>
            </w:pPr>
          </w:p>
        </w:tc>
        <w:tc>
          <w:tcPr>
            <w:tcW w:w="4394" w:type="dxa"/>
            <w:tcBorders>
              <w:top w:val="nil"/>
              <w:left w:val="nil"/>
              <w:bottom w:val="single" w:sz="4" w:space="0" w:color="auto"/>
              <w:right w:val="nil"/>
            </w:tcBorders>
            <w:shd w:val="clear" w:color="auto" w:fill="auto"/>
            <w:noWrap/>
            <w:vAlign w:val="center"/>
            <w:hideMark/>
          </w:tcPr>
          <w:p w14:paraId="54F94736" w14:textId="77777777" w:rsidR="00B636FD" w:rsidRPr="00666914" w:rsidRDefault="00B636FD" w:rsidP="00B636FD">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Prijať opatrenia na zvýšenie podielu bakalárskych študentov, ktorí nepokračujú v magisterskom štúdiu</w:t>
            </w:r>
          </w:p>
        </w:tc>
        <w:tc>
          <w:tcPr>
            <w:tcW w:w="992" w:type="dxa"/>
            <w:tcBorders>
              <w:top w:val="nil"/>
              <w:left w:val="nil"/>
              <w:bottom w:val="single" w:sz="4" w:space="0" w:color="auto"/>
              <w:right w:val="nil"/>
            </w:tcBorders>
            <w:shd w:val="clear" w:color="auto" w:fill="auto"/>
            <w:noWrap/>
            <w:vAlign w:val="center"/>
            <w:hideMark/>
          </w:tcPr>
          <w:p w14:paraId="7A2DBD5A"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28</w:t>
            </w:r>
          </w:p>
        </w:tc>
        <w:tc>
          <w:tcPr>
            <w:tcW w:w="923" w:type="dxa"/>
            <w:tcBorders>
              <w:top w:val="nil"/>
              <w:left w:val="nil"/>
              <w:bottom w:val="single" w:sz="4" w:space="0" w:color="auto"/>
              <w:right w:val="nil"/>
            </w:tcBorders>
            <w:shd w:val="clear" w:color="auto" w:fill="auto"/>
            <w:noWrap/>
            <w:vAlign w:val="center"/>
            <w:hideMark/>
          </w:tcPr>
          <w:p w14:paraId="47C624A0"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7</w:t>
            </w:r>
          </w:p>
        </w:tc>
        <w:tc>
          <w:tcPr>
            <w:tcW w:w="1345" w:type="dxa"/>
            <w:tcBorders>
              <w:top w:val="nil"/>
              <w:left w:val="nil"/>
              <w:bottom w:val="single" w:sz="4" w:space="0" w:color="auto"/>
              <w:right w:val="nil"/>
            </w:tcBorders>
            <w:shd w:val="clear" w:color="auto" w:fill="auto"/>
            <w:noWrap/>
            <w:vAlign w:val="center"/>
            <w:hideMark/>
          </w:tcPr>
          <w:p w14:paraId="1777DC94"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0</w:t>
            </w:r>
          </w:p>
        </w:tc>
      </w:tr>
      <w:tr w:rsidR="00B636FD" w:rsidRPr="00666914" w14:paraId="294E9818" w14:textId="77777777" w:rsidTr="00B636FD">
        <w:trPr>
          <w:trHeight w:val="263"/>
        </w:trPr>
        <w:tc>
          <w:tcPr>
            <w:tcW w:w="5812" w:type="dxa"/>
            <w:gridSpan w:val="2"/>
            <w:tcBorders>
              <w:top w:val="nil"/>
              <w:left w:val="nil"/>
              <w:bottom w:val="single" w:sz="4" w:space="0" w:color="auto"/>
              <w:right w:val="nil"/>
            </w:tcBorders>
            <w:shd w:val="clear" w:color="auto" w:fill="auto"/>
            <w:noWrap/>
            <w:vAlign w:val="center"/>
            <w:hideMark/>
          </w:tcPr>
          <w:p w14:paraId="33B5296D" w14:textId="77777777" w:rsidR="00B636FD" w:rsidRPr="00666914" w:rsidRDefault="00B636FD" w:rsidP="00B636FD">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Vzdelávanie spolu </w:t>
            </w:r>
          </w:p>
        </w:tc>
        <w:tc>
          <w:tcPr>
            <w:tcW w:w="992" w:type="dxa"/>
            <w:tcBorders>
              <w:top w:val="nil"/>
              <w:left w:val="nil"/>
              <w:bottom w:val="single" w:sz="4" w:space="0" w:color="auto"/>
              <w:right w:val="nil"/>
            </w:tcBorders>
            <w:shd w:val="clear" w:color="auto" w:fill="auto"/>
            <w:noWrap/>
            <w:vAlign w:val="center"/>
            <w:hideMark/>
          </w:tcPr>
          <w:p w14:paraId="48031CAE" w14:textId="77777777" w:rsidR="00B636FD" w:rsidRPr="00666914" w:rsidRDefault="00B636FD" w:rsidP="00B636FD">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88</w:t>
            </w:r>
          </w:p>
        </w:tc>
        <w:tc>
          <w:tcPr>
            <w:tcW w:w="923" w:type="dxa"/>
            <w:tcBorders>
              <w:top w:val="nil"/>
              <w:left w:val="nil"/>
              <w:bottom w:val="single" w:sz="4" w:space="0" w:color="auto"/>
              <w:right w:val="nil"/>
            </w:tcBorders>
            <w:shd w:val="clear" w:color="auto" w:fill="auto"/>
            <w:noWrap/>
            <w:vAlign w:val="center"/>
            <w:hideMark/>
          </w:tcPr>
          <w:p w14:paraId="3A701022" w14:textId="77777777" w:rsidR="00B636FD" w:rsidRPr="00666914" w:rsidRDefault="00B636FD" w:rsidP="00B636FD">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15</w:t>
            </w:r>
          </w:p>
        </w:tc>
        <w:tc>
          <w:tcPr>
            <w:tcW w:w="1345" w:type="dxa"/>
            <w:tcBorders>
              <w:top w:val="nil"/>
              <w:left w:val="nil"/>
              <w:bottom w:val="single" w:sz="4" w:space="0" w:color="auto"/>
              <w:right w:val="nil"/>
            </w:tcBorders>
            <w:shd w:val="clear" w:color="auto" w:fill="auto"/>
            <w:noWrap/>
            <w:vAlign w:val="center"/>
            <w:hideMark/>
          </w:tcPr>
          <w:p w14:paraId="7827C8C8" w14:textId="77777777" w:rsidR="00B636FD" w:rsidRPr="00666914" w:rsidRDefault="00B636FD" w:rsidP="00B636FD">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0</w:t>
            </w:r>
          </w:p>
        </w:tc>
      </w:tr>
      <w:tr w:rsidR="00B636FD" w:rsidRPr="00666914" w14:paraId="49D03179" w14:textId="77777777" w:rsidTr="00B636FD">
        <w:trPr>
          <w:trHeight w:val="280"/>
        </w:trPr>
        <w:tc>
          <w:tcPr>
            <w:tcW w:w="1418" w:type="dxa"/>
            <w:vMerge w:val="restart"/>
            <w:tcBorders>
              <w:top w:val="nil"/>
              <w:left w:val="nil"/>
              <w:bottom w:val="single" w:sz="4" w:space="0" w:color="000000"/>
              <w:right w:val="nil"/>
            </w:tcBorders>
            <w:shd w:val="clear" w:color="auto" w:fill="auto"/>
            <w:noWrap/>
            <w:vAlign w:val="center"/>
            <w:hideMark/>
          </w:tcPr>
          <w:p w14:paraId="472D98E0" w14:textId="77777777" w:rsidR="00B636FD" w:rsidRPr="00666914" w:rsidRDefault="00B636FD" w:rsidP="00B636FD">
            <w:pPr>
              <w:spacing w:after="0"/>
              <w:jc w:val="right"/>
              <w:rPr>
                <w:rFonts w:eastAsia="Times New Roman" w:cs="Calibri"/>
                <w:b/>
                <w:bCs/>
                <w:color w:val="000000"/>
                <w:sz w:val="20"/>
                <w:szCs w:val="20"/>
                <w:lang w:eastAsia="sk-SK"/>
              </w:rPr>
            </w:pPr>
          </w:p>
        </w:tc>
        <w:tc>
          <w:tcPr>
            <w:tcW w:w="4394" w:type="dxa"/>
            <w:tcBorders>
              <w:top w:val="nil"/>
              <w:left w:val="nil"/>
              <w:bottom w:val="nil"/>
              <w:right w:val="nil"/>
            </w:tcBorders>
            <w:shd w:val="clear" w:color="auto" w:fill="auto"/>
            <w:noWrap/>
            <w:vAlign w:val="center"/>
            <w:hideMark/>
          </w:tcPr>
          <w:p w14:paraId="3B4EA024" w14:textId="77777777" w:rsidR="00B636FD" w:rsidRPr="00666914" w:rsidRDefault="00B636FD" w:rsidP="00B636FD">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Zavedenie ročného zúčtovania sociálneho poistenia</w:t>
            </w:r>
          </w:p>
        </w:tc>
        <w:tc>
          <w:tcPr>
            <w:tcW w:w="992" w:type="dxa"/>
            <w:tcBorders>
              <w:top w:val="nil"/>
              <w:left w:val="nil"/>
              <w:bottom w:val="nil"/>
              <w:right w:val="nil"/>
            </w:tcBorders>
            <w:shd w:val="clear" w:color="auto" w:fill="auto"/>
            <w:noWrap/>
            <w:vAlign w:val="center"/>
            <w:hideMark/>
          </w:tcPr>
          <w:p w14:paraId="52626BF4"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49</w:t>
            </w:r>
          </w:p>
        </w:tc>
        <w:tc>
          <w:tcPr>
            <w:tcW w:w="923" w:type="dxa"/>
            <w:tcBorders>
              <w:top w:val="nil"/>
              <w:left w:val="nil"/>
              <w:bottom w:val="nil"/>
              <w:right w:val="nil"/>
            </w:tcBorders>
            <w:shd w:val="clear" w:color="auto" w:fill="auto"/>
            <w:noWrap/>
            <w:vAlign w:val="center"/>
            <w:hideMark/>
          </w:tcPr>
          <w:p w14:paraId="24D4588B"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49</w:t>
            </w:r>
          </w:p>
        </w:tc>
        <w:tc>
          <w:tcPr>
            <w:tcW w:w="1345" w:type="dxa"/>
            <w:tcBorders>
              <w:top w:val="nil"/>
              <w:left w:val="nil"/>
              <w:bottom w:val="nil"/>
              <w:right w:val="nil"/>
            </w:tcBorders>
            <w:shd w:val="clear" w:color="auto" w:fill="auto"/>
            <w:noWrap/>
            <w:vAlign w:val="center"/>
            <w:hideMark/>
          </w:tcPr>
          <w:p w14:paraId="01558B5D"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0</w:t>
            </w:r>
          </w:p>
        </w:tc>
      </w:tr>
      <w:tr w:rsidR="00B636FD" w:rsidRPr="00666914" w14:paraId="3D60E7C0" w14:textId="77777777" w:rsidTr="00B636FD">
        <w:trPr>
          <w:trHeight w:val="280"/>
        </w:trPr>
        <w:tc>
          <w:tcPr>
            <w:tcW w:w="1418" w:type="dxa"/>
            <w:vMerge/>
            <w:tcBorders>
              <w:top w:val="nil"/>
              <w:left w:val="nil"/>
              <w:bottom w:val="single" w:sz="4" w:space="0" w:color="000000"/>
              <w:right w:val="nil"/>
            </w:tcBorders>
            <w:vAlign w:val="center"/>
            <w:hideMark/>
          </w:tcPr>
          <w:p w14:paraId="5306BBC2" w14:textId="77777777" w:rsidR="00B636FD" w:rsidRPr="00666914" w:rsidRDefault="00B636FD" w:rsidP="00B636FD">
            <w:pPr>
              <w:spacing w:after="0"/>
              <w:jc w:val="left"/>
              <w:rPr>
                <w:rFonts w:eastAsia="Times New Roman" w:cs="Calibri"/>
                <w:b/>
                <w:bCs/>
                <w:color w:val="000000"/>
                <w:sz w:val="20"/>
                <w:szCs w:val="20"/>
                <w:lang w:eastAsia="sk-SK"/>
              </w:rPr>
            </w:pPr>
          </w:p>
        </w:tc>
        <w:tc>
          <w:tcPr>
            <w:tcW w:w="4394" w:type="dxa"/>
            <w:tcBorders>
              <w:top w:val="nil"/>
              <w:left w:val="nil"/>
              <w:bottom w:val="single" w:sz="4" w:space="0" w:color="auto"/>
              <w:right w:val="nil"/>
            </w:tcBorders>
            <w:shd w:val="clear" w:color="auto" w:fill="auto"/>
            <w:noWrap/>
            <w:vAlign w:val="center"/>
            <w:hideMark/>
          </w:tcPr>
          <w:p w14:paraId="445DEDBF" w14:textId="77777777" w:rsidR="00B636FD" w:rsidRPr="00666914" w:rsidRDefault="00B636FD" w:rsidP="00B636FD">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Zvýšenie efektívnosti pobočiek Sociálnej poisťovne</w:t>
            </w:r>
          </w:p>
        </w:tc>
        <w:tc>
          <w:tcPr>
            <w:tcW w:w="992" w:type="dxa"/>
            <w:tcBorders>
              <w:top w:val="nil"/>
              <w:left w:val="nil"/>
              <w:bottom w:val="single" w:sz="4" w:space="0" w:color="auto"/>
              <w:right w:val="nil"/>
            </w:tcBorders>
            <w:shd w:val="clear" w:color="auto" w:fill="auto"/>
            <w:noWrap/>
            <w:vAlign w:val="center"/>
            <w:hideMark/>
          </w:tcPr>
          <w:p w14:paraId="6276A448"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10</w:t>
            </w:r>
          </w:p>
        </w:tc>
        <w:tc>
          <w:tcPr>
            <w:tcW w:w="923" w:type="dxa"/>
            <w:tcBorders>
              <w:top w:val="nil"/>
              <w:left w:val="nil"/>
              <w:bottom w:val="single" w:sz="4" w:space="0" w:color="auto"/>
              <w:right w:val="nil"/>
            </w:tcBorders>
            <w:shd w:val="clear" w:color="auto" w:fill="auto"/>
            <w:noWrap/>
            <w:vAlign w:val="center"/>
            <w:hideMark/>
          </w:tcPr>
          <w:p w14:paraId="7C894D92"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0</w:t>
            </w:r>
          </w:p>
        </w:tc>
        <w:tc>
          <w:tcPr>
            <w:tcW w:w="1345" w:type="dxa"/>
            <w:tcBorders>
              <w:top w:val="nil"/>
              <w:left w:val="nil"/>
              <w:bottom w:val="single" w:sz="4" w:space="0" w:color="auto"/>
              <w:right w:val="nil"/>
            </w:tcBorders>
            <w:shd w:val="clear" w:color="auto" w:fill="auto"/>
            <w:noWrap/>
            <w:vAlign w:val="center"/>
            <w:hideMark/>
          </w:tcPr>
          <w:p w14:paraId="3A71DE10"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0</w:t>
            </w:r>
          </w:p>
        </w:tc>
      </w:tr>
      <w:tr w:rsidR="00B636FD" w:rsidRPr="00666914" w14:paraId="426885FE" w14:textId="77777777" w:rsidTr="00B636FD">
        <w:trPr>
          <w:trHeight w:val="280"/>
        </w:trPr>
        <w:tc>
          <w:tcPr>
            <w:tcW w:w="5812" w:type="dxa"/>
            <w:gridSpan w:val="2"/>
            <w:tcBorders>
              <w:top w:val="single" w:sz="4" w:space="0" w:color="auto"/>
              <w:left w:val="nil"/>
              <w:bottom w:val="single" w:sz="4" w:space="0" w:color="auto"/>
              <w:right w:val="nil"/>
            </w:tcBorders>
            <w:shd w:val="clear" w:color="auto" w:fill="auto"/>
            <w:noWrap/>
            <w:vAlign w:val="center"/>
            <w:hideMark/>
          </w:tcPr>
          <w:p w14:paraId="49A785B8" w14:textId="77777777" w:rsidR="00B636FD" w:rsidRPr="00666914" w:rsidRDefault="00B636FD" w:rsidP="00B636FD">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Sociálne veci spolu</w:t>
            </w:r>
          </w:p>
        </w:tc>
        <w:tc>
          <w:tcPr>
            <w:tcW w:w="992" w:type="dxa"/>
            <w:tcBorders>
              <w:top w:val="nil"/>
              <w:left w:val="nil"/>
              <w:bottom w:val="single" w:sz="4" w:space="0" w:color="auto"/>
              <w:right w:val="nil"/>
            </w:tcBorders>
            <w:shd w:val="clear" w:color="auto" w:fill="auto"/>
            <w:noWrap/>
            <w:vAlign w:val="center"/>
            <w:hideMark/>
          </w:tcPr>
          <w:p w14:paraId="3AC1BCEF" w14:textId="77777777" w:rsidR="00B636FD" w:rsidRPr="00666914" w:rsidRDefault="00B636FD" w:rsidP="00B636FD">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59</w:t>
            </w:r>
          </w:p>
        </w:tc>
        <w:tc>
          <w:tcPr>
            <w:tcW w:w="923" w:type="dxa"/>
            <w:tcBorders>
              <w:top w:val="nil"/>
              <w:left w:val="nil"/>
              <w:bottom w:val="single" w:sz="4" w:space="0" w:color="auto"/>
              <w:right w:val="nil"/>
            </w:tcBorders>
            <w:shd w:val="clear" w:color="auto" w:fill="auto"/>
            <w:noWrap/>
            <w:vAlign w:val="center"/>
            <w:hideMark/>
          </w:tcPr>
          <w:p w14:paraId="3579F58A" w14:textId="77777777" w:rsidR="00B636FD" w:rsidRPr="00666914" w:rsidRDefault="00B636FD" w:rsidP="00B636FD">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49</w:t>
            </w:r>
          </w:p>
        </w:tc>
        <w:tc>
          <w:tcPr>
            <w:tcW w:w="1345" w:type="dxa"/>
            <w:tcBorders>
              <w:top w:val="nil"/>
              <w:left w:val="nil"/>
              <w:bottom w:val="single" w:sz="4" w:space="0" w:color="auto"/>
              <w:right w:val="nil"/>
            </w:tcBorders>
            <w:shd w:val="clear" w:color="auto" w:fill="auto"/>
            <w:noWrap/>
            <w:vAlign w:val="center"/>
            <w:hideMark/>
          </w:tcPr>
          <w:p w14:paraId="22CD8B5F" w14:textId="77777777" w:rsidR="00B636FD" w:rsidRPr="00666914" w:rsidRDefault="00B636FD" w:rsidP="00B636FD">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0</w:t>
            </w:r>
          </w:p>
        </w:tc>
      </w:tr>
      <w:tr w:rsidR="00B636FD" w:rsidRPr="00666914" w14:paraId="6186DE5F" w14:textId="77777777" w:rsidTr="00B636FD">
        <w:trPr>
          <w:trHeight w:val="280"/>
        </w:trPr>
        <w:tc>
          <w:tcPr>
            <w:tcW w:w="1418" w:type="dxa"/>
            <w:tcBorders>
              <w:top w:val="nil"/>
              <w:left w:val="nil"/>
              <w:bottom w:val="nil"/>
              <w:right w:val="nil"/>
            </w:tcBorders>
            <w:shd w:val="clear" w:color="auto" w:fill="auto"/>
            <w:noWrap/>
            <w:vAlign w:val="center"/>
            <w:hideMark/>
          </w:tcPr>
          <w:p w14:paraId="3EE929E1" w14:textId="77777777" w:rsidR="00B636FD" w:rsidRPr="00666914" w:rsidRDefault="00B636FD" w:rsidP="00B636FD">
            <w:pPr>
              <w:spacing w:after="0"/>
              <w:jc w:val="right"/>
              <w:rPr>
                <w:rFonts w:eastAsia="Times New Roman" w:cs="Calibri"/>
                <w:b/>
                <w:bCs/>
                <w:color w:val="000000"/>
                <w:sz w:val="20"/>
                <w:szCs w:val="20"/>
                <w:lang w:eastAsia="sk-SK"/>
              </w:rPr>
            </w:pPr>
          </w:p>
        </w:tc>
        <w:tc>
          <w:tcPr>
            <w:tcW w:w="4394" w:type="dxa"/>
            <w:tcBorders>
              <w:top w:val="nil"/>
              <w:left w:val="nil"/>
              <w:bottom w:val="nil"/>
              <w:right w:val="nil"/>
            </w:tcBorders>
            <w:shd w:val="clear" w:color="auto" w:fill="auto"/>
            <w:noWrap/>
            <w:vAlign w:val="center"/>
            <w:hideMark/>
          </w:tcPr>
          <w:p w14:paraId="11F876F5" w14:textId="77777777" w:rsidR="00B636FD" w:rsidRPr="00666914" w:rsidRDefault="00B636FD" w:rsidP="00B636FD">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xml:space="preserve">Podporné a prierezové činnosti </w:t>
            </w:r>
          </w:p>
        </w:tc>
        <w:tc>
          <w:tcPr>
            <w:tcW w:w="992" w:type="dxa"/>
            <w:tcBorders>
              <w:top w:val="nil"/>
              <w:left w:val="nil"/>
              <w:bottom w:val="nil"/>
              <w:right w:val="nil"/>
            </w:tcBorders>
            <w:shd w:val="clear" w:color="auto" w:fill="auto"/>
            <w:noWrap/>
            <w:vAlign w:val="center"/>
            <w:hideMark/>
          </w:tcPr>
          <w:p w14:paraId="03F83CCB" w14:textId="77777777" w:rsidR="00B636FD" w:rsidRPr="00666914" w:rsidRDefault="00B636FD" w:rsidP="00B636FD">
            <w:pPr>
              <w:spacing w:after="0"/>
              <w:jc w:val="right"/>
              <w:rPr>
                <w:rFonts w:eastAsia="Times New Roman" w:cs="Calibri"/>
                <w:bCs/>
                <w:color w:val="000000"/>
                <w:sz w:val="20"/>
                <w:szCs w:val="20"/>
                <w:lang w:eastAsia="sk-SK"/>
              </w:rPr>
            </w:pPr>
            <w:r w:rsidRPr="00666914">
              <w:rPr>
                <w:rFonts w:eastAsia="Times New Roman" w:cs="Calibri"/>
                <w:bCs/>
                <w:color w:val="000000"/>
                <w:sz w:val="20"/>
                <w:szCs w:val="20"/>
                <w:lang w:eastAsia="sk-SK"/>
              </w:rPr>
              <w:t>2</w:t>
            </w:r>
          </w:p>
        </w:tc>
        <w:tc>
          <w:tcPr>
            <w:tcW w:w="923" w:type="dxa"/>
            <w:tcBorders>
              <w:top w:val="nil"/>
              <w:left w:val="nil"/>
              <w:bottom w:val="nil"/>
              <w:right w:val="nil"/>
            </w:tcBorders>
            <w:shd w:val="clear" w:color="auto" w:fill="auto"/>
            <w:noWrap/>
            <w:vAlign w:val="center"/>
            <w:hideMark/>
          </w:tcPr>
          <w:p w14:paraId="6540FC87"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0</w:t>
            </w:r>
          </w:p>
        </w:tc>
        <w:tc>
          <w:tcPr>
            <w:tcW w:w="1345" w:type="dxa"/>
            <w:tcBorders>
              <w:top w:val="nil"/>
              <w:left w:val="nil"/>
              <w:bottom w:val="nil"/>
              <w:right w:val="nil"/>
            </w:tcBorders>
            <w:shd w:val="clear" w:color="auto" w:fill="auto"/>
            <w:noWrap/>
            <w:vAlign w:val="center"/>
            <w:hideMark/>
          </w:tcPr>
          <w:p w14:paraId="0924BD82"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0</w:t>
            </w:r>
          </w:p>
        </w:tc>
      </w:tr>
      <w:tr w:rsidR="00B636FD" w:rsidRPr="00666914" w14:paraId="0BFB26A6" w14:textId="77777777" w:rsidTr="00B636FD">
        <w:trPr>
          <w:trHeight w:val="280"/>
        </w:trPr>
        <w:tc>
          <w:tcPr>
            <w:tcW w:w="1418" w:type="dxa"/>
            <w:tcBorders>
              <w:top w:val="nil"/>
              <w:left w:val="nil"/>
              <w:bottom w:val="single" w:sz="4" w:space="0" w:color="auto"/>
              <w:right w:val="nil"/>
            </w:tcBorders>
            <w:shd w:val="clear" w:color="auto" w:fill="auto"/>
            <w:noWrap/>
            <w:vAlign w:val="center"/>
            <w:hideMark/>
          </w:tcPr>
          <w:p w14:paraId="0E0DBA8E" w14:textId="77777777" w:rsidR="00B636FD" w:rsidRPr="00666914" w:rsidRDefault="00B636FD" w:rsidP="00B636FD">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4394" w:type="dxa"/>
            <w:tcBorders>
              <w:top w:val="nil"/>
              <w:left w:val="nil"/>
              <w:bottom w:val="single" w:sz="4" w:space="0" w:color="auto"/>
              <w:right w:val="nil"/>
            </w:tcBorders>
            <w:shd w:val="clear" w:color="auto" w:fill="auto"/>
            <w:noWrap/>
            <w:vAlign w:val="center"/>
            <w:hideMark/>
          </w:tcPr>
          <w:p w14:paraId="3FBA9D79" w14:textId="77777777" w:rsidR="00B636FD" w:rsidRPr="00666914" w:rsidRDefault="00B636FD" w:rsidP="00B636FD">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xml:space="preserve">Optimalizácia výdavkov na služby </w:t>
            </w:r>
          </w:p>
        </w:tc>
        <w:tc>
          <w:tcPr>
            <w:tcW w:w="992" w:type="dxa"/>
            <w:tcBorders>
              <w:top w:val="nil"/>
              <w:left w:val="nil"/>
              <w:bottom w:val="single" w:sz="4" w:space="0" w:color="auto"/>
              <w:right w:val="nil"/>
            </w:tcBorders>
            <w:shd w:val="clear" w:color="auto" w:fill="auto"/>
            <w:noWrap/>
            <w:vAlign w:val="center"/>
            <w:hideMark/>
          </w:tcPr>
          <w:p w14:paraId="7537F429" w14:textId="77777777" w:rsidR="00B636FD" w:rsidRPr="00666914" w:rsidRDefault="00B636FD" w:rsidP="00B636FD">
            <w:pPr>
              <w:spacing w:after="0"/>
              <w:jc w:val="right"/>
              <w:rPr>
                <w:rFonts w:eastAsia="Times New Roman" w:cs="Calibri"/>
                <w:bCs/>
                <w:color w:val="000000"/>
                <w:sz w:val="20"/>
                <w:szCs w:val="20"/>
                <w:lang w:eastAsia="sk-SK"/>
              </w:rPr>
            </w:pPr>
            <w:r w:rsidRPr="00666914">
              <w:rPr>
                <w:rFonts w:eastAsia="Times New Roman" w:cs="Calibri"/>
                <w:bCs/>
                <w:color w:val="000000"/>
                <w:sz w:val="20"/>
                <w:szCs w:val="20"/>
                <w:lang w:eastAsia="sk-SK"/>
              </w:rPr>
              <w:t>3</w:t>
            </w:r>
          </w:p>
        </w:tc>
        <w:tc>
          <w:tcPr>
            <w:tcW w:w="923" w:type="dxa"/>
            <w:tcBorders>
              <w:top w:val="nil"/>
              <w:left w:val="nil"/>
              <w:bottom w:val="single" w:sz="4" w:space="0" w:color="auto"/>
              <w:right w:val="nil"/>
            </w:tcBorders>
            <w:shd w:val="clear" w:color="auto" w:fill="auto"/>
            <w:noWrap/>
            <w:vAlign w:val="center"/>
            <w:hideMark/>
          </w:tcPr>
          <w:p w14:paraId="7E9EB47D"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0</w:t>
            </w:r>
          </w:p>
        </w:tc>
        <w:tc>
          <w:tcPr>
            <w:tcW w:w="1345" w:type="dxa"/>
            <w:tcBorders>
              <w:top w:val="nil"/>
              <w:left w:val="nil"/>
              <w:bottom w:val="single" w:sz="4" w:space="0" w:color="auto"/>
              <w:right w:val="nil"/>
            </w:tcBorders>
            <w:shd w:val="clear" w:color="auto" w:fill="auto"/>
            <w:noWrap/>
            <w:vAlign w:val="center"/>
            <w:hideMark/>
          </w:tcPr>
          <w:p w14:paraId="297F1952" w14:textId="77777777" w:rsidR="00B636FD" w:rsidRPr="00666914" w:rsidRDefault="00B636FD" w:rsidP="00B636FD">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0</w:t>
            </w:r>
          </w:p>
        </w:tc>
      </w:tr>
      <w:tr w:rsidR="00B636FD" w:rsidRPr="00666914" w14:paraId="7114E495" w14:textId="77777777" w:rsidTr="00B636FD">
        <w:trPr>
          <w:trHeight w:val="290"/>
        </w:trPr>
        <w:tc>
          <w:tcPr>
            <w:tcW w:w="5812" w:type="dxa"/>
            <w:gridSpan w:val="2"/>
            <w:tcBorders>
              <w:top w:val="nil"/>
              <w:left w:val="nil"/>
              <w:bottom w:val="single" w:sz="8" w:space="0" w:color="auto"/>
              <w:right w:val="nil"/>
            </w:tcBorders>
            <w:shd w:val="clear" w:color="auto" w:fill="auto"/>
            <w:noWrap/>
            <w:vAlign w:val="center"/>
            <w:hideMark/>
          </w:tcPr>
          <w:p w14:paraId="3D066933" w14:textId="77777777" w:rsidR="00B636FD" w:rsidRPr="00666914" w:rsidRDefault="00B636FD" w:rsidP="00B636FD">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Pôdohospodárstvo spolu</w:t>
            </w:r>
          </w:p>
        </w:tc>
        <w:tc>
          <w:tcPr>
            <w:tcW w:w="992" w:type="dxa"/>
            <w:tcBorders>
              <w:top w:val="nil"/>
              <w:left w:val="nil"/>
              <w:bottom w:val="nil"/>
              <w:right w:val="nil"/>
            </w:tcBorders>
            <w:shd w:val="clear" w:color="auto" w:fill="auto"/>
            <w:noWrap/>
            <w:vAlign w:val="center"/>
            <w:hideMark/>
          </w:tcPr>
          <w:p w14:paraId="39FE9A87" w14:textId="77777777" w:rsidR="00B636FD" w:rsidRPr="00666914" w:rsidRDefault="00B636FD" w:rsidP="00B636FD">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5</w:t>
            </w:r>
          </w:p>
        </w:tc>
        <w:tc>
          <w:tcPr>
            <w:tcW w:w="923" w:type="dxa"/>
            <w:tcBorders>
              <w:top w:val="nil"/>
              <w:left w:val="nil"/>
              <w:bottom w:val="nil"/>
              <w:right w:val="nil"/>
            </w:tcBorders>
            <w:shd w:val="clear" w:color="auto" w:fill="auto"/>
            <w:noWrap/>
            <w:vAlign w:val="center"/>
            <w:hideMark/>
          </w:tcPr>
          <w:p w14:paraId="777AEE14" w14:textId="77777777" w:rsidR="00B636FD" w:rsidRPr="00666914" w:rsidRDefault="00B636FD" w:rsidP="00B636FD">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0</w:t>
            </w:r>
          </w:p>
        </w:tc>
        <w:tc>
          <w:tcPr>
            <w:tcW w:w="1345" w:type="dxa"/>
            <w:tcBorders>
              <w:top w:val="nil"/>
              <w:left w:val="nil"/>
              <w:bottom w:val="nil"/>
              <w:right w:val="nil"/>
            </w:tcBorders>
            <w:shd w:val="clear" w:color="auto" w:fill="auto"/>
            <w:noWrap/>
            <w:vAlign w:val="center"/>
            <w:hideMark/>
          </w:tcPr>
          <w:p w14:paraId="420C6895" w14:textId="77777777" w:rsidR="00B636FD" w:rsidRPr="00666914" w:rsidRDefault="00B636FD" w:rsidP="00B636FD">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0</w:t>
            </w:r>
          </w:p>
        </w:tc>
      </w:tr>
      <w:tr w:rsidR="00B636FD" w:rsidRPr="00666914" w14:paraId="2B04185F" w14:textId="77777777" w:rsidTr="00B636FD">
        <w:trPr>
          <w:trHeight w:val="290"/>
        </w:trPr>
        <w:tc>
          <w:tcPr>
            <w:tcW w:w="1418" w:type="dxa"/>
            <w:tcBorders>
              <w:top w:val="nil"/>
              <w:left w:val="nil"/>
              <w:bottom w:val="single" w:sz="8" w:space="0" w:color="auto"/>
              <w:right w:val="nil"/>
            </w:tcBorders>
            <w:shd w:val="clear" w:color="auto" w:fill="auto"/>
            <w:noWrap/>
            <w:vAlign w:val="bottom"/>
            <w:hideMark/>
          </w:tcPr>
          <w:p w14:paraId="49921AC5" w14:textId="77777777" w:rsidR="00B636FD" w:rsidRPr="00666914" w:rsidRDefault="00B636FD" w:rsidP="00B636FD">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 xml:space="preserve">CELKOM </w:t>
            </w:r>
          </w:p>
        </w:tc>
        <w:tc>
          <w:tcPr>
            <w:tcW w:w="4394" w:type="dxa"/>
            <w:tcBorders>
              <w:top w:val="nil"/>
              <w:left w:val="nil"/>
              <w:bottom w:val="single" w:sz="8" w:space="0" w:color="auto"/>
              <w:right w:val="nil"/>
            </w:tcBorders>
            <w:shd w:val="clear" w:color="auto" w:fill="auto"/>
            <w:noWrap/>
            <w:vAlign w:val="bottom"/>
            <w:hideMark/>
          </w:tcPr>
          <w:p w14:paraId="0519CE1D" w14:textId="77777777" w:rsidR="00B636FD" w:rsidRPr="00666914" w:rsidRDefault="00B636FD" w:rsidP="00B636FD">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c>
          <w:tcPr>
            <w:tcW w:w="992" w:type="dxa"/>
            <w:tcBorders>
              <w:top w:val="single" w:sz="8" w:space="0" w:color="auto"/>
              <w:left w:val="nil"/>
              <w:bottom w:val="single" w:sz="8" w:space="0" w:color="auto"/>
              <w:right w:val="nil"/>
            </w:tcBorders>
            <w:shd w:val="clear" w:color="auto" w:fill="auto"/>
            <w:noWrap/>
            <w:vAlign w:val="bottom"/>
            <w:hideMark/>
          </w:tcPr>
          <w:p w14:paraId="4A04DA25" w14:textId="77777777" w:rsidR="00B636FD" w:rsidRPr="00666914" w:rsidRDefault="00B636FD" w:rsidP="00B636FD">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679</w:t>
            </w:r>
          </w:p>
        </w:tc>
        <w:tc>
          <w:tcPr>
            <w:tcW w:w="923" w:type="dxa"/>
            <w:tcBorders>
              <w:top w:val="single" w:sz="8" w:space="0" w:color="auto"/>
              <w:left w:val="nil"/>
              <w:bottom w:val="single" w:sz="8" w:space="0" w:color="auto"/>
              <w:right w:val="nil"/>
            </w:tcBorders>
            <w:shd w:val="clear" w:color="auto" w:fill="auto"/>
            <w:noWrap/>
            <w:vAlign w:val="bottom"/>
            <w:hideMark/>
          </w:tcPr>
          <w:p w14:paraId="37318C57" w14:textId="77777777" w:rsidR="00B636FD" w:rsidRPr="00666914" w:rsidRDefault="00B636FD" w:rsidP="00B636FD">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400</w:t>
            </w:r>
          </w:p>
        </w:tc>
        <w:tc>
          <w:tcPr>
            <w:tcW w:w="1345" w:type="dxa"/>
            <w:tcBorders>
              <w:top w:val="single" w:sz="8" w:space="0" w:color="auto"/>
              <w:left w:val="nil"/>
              <w:bottom w:val="single" w:sz="8" w:space="0" w:color="auto"/>
              <w:right w:val="nil"/>
            </w:tcBorders>
            <w:shd w:val="clear" w:color="auto" w:fill="auto"/>
            <w:noWrap/>
            <w:vAlign w:val="bottom"/>
            <w:hideMark/>
          </w:tcPr>
          <w:p w14:paraId="02E1C9B7" w14:textId="77777777" w:rsidR="00B636FD" w:rsidRPr="00666914" w:rsidRDefault="00B636FD" w:rsidP="00B636FD">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-114</w:t>
            </w:r>
          </w:p>
        </w:tc>
      </w:tr>
    </w:tbl>
    <w:p w14:paraId="5727B267" w14:textId="77777777" w:rsidR="00B636FD" w:rsidRPr="00666914" w:rsidRDefault="00B636FD" w:rsidP="00B636FD">
      <w:pPr>
        <w:spacing w:after="0"/>
        <w:jc w:val="right"/>
        <w:rPr>
          <w:rFonts w:eastAsia="Arial Narrow" w:cs="Arial Narrow"/>
          <w:i/>
          <w:sz w:val="18"/>
          <w:szCs w:val="20"/>
          <w:lang w:eastAsia="sk-SK"/>
        </w:rPr>
      </w:pPr>
      <w:r w:rsidRPr="00666914">
        <w:rPr>
          <w:rFonts w:eastAsia="Arial Narrow" w:cs="Arial Narrow"/>
          <w:i/>
          <w:noProof/>
          <w:sz w:val="18"/>
          <w:szCs w:val="20"/>
          <w:lang w:eastAsia="sk-SK"/>
        </w:rPr>
        <w:t>Zdroj: revízie výdavkov, implementačné plány, spracovanie IJ</w:t>
      </w:r>
    </w:p>
    <w:p w14:paraId="28F40B9C" w14:textId="77777777" w:rsidR="00B636FD" w:rsidRPr="00666914" w:rsidRDefault="00B636FD" w:rsidP="00B636FD">
      <w:pPr>
        <w:rPr>
          <w:b/>
        </w:rPr>
      </w:pPr>
    </w:p>
    <w:p w14:paraId="356E329E" w14:textId="4054B97D" w:rsidR="00B636FD" w:rsidRPr="00666914" w:rsidRDefault="00B636FD" w:rsidP="00B636FD">
      <w:pPr>
        <w:rPr>
          <w:bCs/>
        </w:rPr>
      </w:pPr>
      <w:r w:rsidRPr="00666914">
        <w:rPr>
          <w:b/>
        </w:rPr>
        <w:t xml:space="preserve">Revízie navrhli aj nefiškálne opatrenia, ktorých plnením má dôjsť k lepším výsledkom. Medzi najdôležitejšie patrí analyticky podložená prioritizácia investičných projektov v doprave a informatizácii, </w:t>
      </w:r>
      <w:r w:rsidRPr="00666914">
        <w:t>ktorú sa od roku 2016 nepodarilo zab</w:t>
      </w:r>
      <w:r w:rsidR="0090024E">
        <w:t xml:space="preserve">ezpečiť. </w:t>
      </w:r>
      <w:r w:rsidRPr="00666914">
        <w:rPr>
          <w:bCs/>
        </w:rPr>
        <w:t xml:space="preserve">MDV SR investičný plán ani do konca roka 2019 nezverejnilo. V decembri 2019 zverejnil ÚHP MF SR metodiku prioritizácie projektov v cestnej infraštruktúre, k železničným projektom zatiaľ chýba. V oblasti informatizácie je zásobník projektov čiastočne vypracovaný, chýbajú však projekty financované zo štátneho rozpočtu a prioritizácia projektov. </w:t>
      </w:r>
    </w:p>
    <w:p w14:paraId="5F98B428" w14:textId="77777777" w:rsidR="00B636FD" w:rsidRPr="00666914" w:rsidRDefault="00B636FD" w:rsidP="00B636FD">
      <w:r w:rsidRPr="00666914">
        <w:t xml:space="preserve">Vyššiu hodnotu a lepšie riadenie v zdravotníctve môže zabezpečiť stratifikácia nemocníc, plná implementácia mechanizmu DRG a širšie využívanie elektronického zdravotníctva. Napriek pripravenej legislatíve k zahájeniu stratifikácie nemocníc v roku 2019 nedošlo, čo odďaľuje riešenie problému dostupnosti a kvality ústavnej zdravotnej starostlivosti. Proces zavedenia systému DRG sa spomalil, v oblasti využívania elektronického zdravotníctva nie sú k dispozícii všetky funkcionality (napr. eLab). </w:t>
      </w:r>
    </w:p>
    <w:p w14:paraId="00445DCB" w14:textId="77777777" w:rsidR="00B636FD" w:rsidRPr="00666914" w:rsidRDefault="00B636FD" w:rsidP="00B636FD">
      <w:r w:rsidRPr="00666914">
        <w:t xml:space="preserve">Revízia na informatizáciu ako úzke hrdlo využívania e-služieb identifikovala problémy s eID a podpisovaním. Opatrenia sa neplnia, projekt mobilného prihlasovania je nedokončený a rozšírenie elektronických podpisov nízke. Elektronický podpis má nahratý len 10 % platných občianskych preukazov. </w:t>
      </w:r>
    </w:p>
    <w:p w14:paraId="59CEE081" w14:textId="77777777" w:rsidR="00B636FD" w:rsidRPr="00666914" w:rsidRDefault="00B636FD" w:rsidP="00B636FD">
      <w:pPr>
        <w:rPr>
          <w:bCs/>
        </w:rPr>
      </w:pPr>
      <w:r w:rsidRPr="00666914">
        <w:t>V školstve sa z opatrení prinášajúcich hodnotu podarilo zvyšovať platy učiteľov, vrátane adresnej úpravy u začínajúcich pedagógov. Koncom roka 2019 bol zavedený nový model atestácie, vyhodnotenie prínosu tejto zmeny k zvýšeniu kvality práce pedagógov  si však vyžaduje dlhšie časové obdobie. Transformácia kreditových príplatkov na príplatky za profesijný rozvoj v rozpore s odporúčaniami revízie nemusí viesť k požadovanému zvýšeniu kvality vzdelávania a zásluhovosti.</w:t>
      </w:r>
    </w:p>
    <w:p w14:paraId="708791B3" w14:textId="1E767E5E" w:rsidR="00B636FD" w:rsidRPr="00666914" w:rsidRDefault="00B636FD" w:rsidP="00B636FD">
      <w:r w:rsidRPr="00666914">
        <w:rPr>
          <w:bCs/>
        </w:rPr>
        <w:t xml:space="preserve">Prioritou v životnom prostredí je zlepšovanie kvality ovzdušia a podzemných vôd. Zatiaľ bola schválená len podpora kotlíkových dotácií. Doba dotovania výroby elektriny v Novákoch sa síce skrátila, k utlmeniu výroby z uhlia by ale </w:t>
      </w:r>
      <w:r w:rsidRPr="00666914">
        <w:rPr>
          <w:bCs/>
        </w:rPr>
        <w:lastRenderedPageBreak/>
        <w:t xml:space="preserve">malo dôjsť až po roku 2023. Pripojenosť obyvateľstva na verejnú kanalizáciu si vyžaduje veľké investície, postupné financovanie má zabezpečiť aj schválený Národný plán kanalizácií. </w:t>
      </w:r>
    </w:p>
    <w:p w14:paraId="1BED6A47" w14:textId="77777777" w:rsidR="00B636FD" w:rsidRPr="00666914" w:rsidRDefault="00B636FD" w:rsidP="00B636FD">
      <w:pPr>
        <w:rPr>
          <w:b/>
          <w:bCs/>
        </w:rPr>
      </w:pPr>
      <w:r w:rsidRPr="00666914">
        <w:t xml:space="preserve">V oblasti sociálnych politík sa aj napriek vypracovanej analýze implementácia opatrení na zvýšenie efektívnosti dôchodkového sporenia realizuje pomaly. Opatrenia ministerstva boli doteraz cielené prevažne na zvýšenie informovanosti sporiteľov. Zavedenie predvolenej sporiacej stratégie mešká a plánuje sa uskutočniť do konca roka 2020. </w:t>
      </w:r>
    </w:p>
    <w:p w14:paraId="7E12EF25" w14:textId="77777777" w:rsidR="00B636FD" w:rsidRPr="00666914" w:rsidRDefault="00B636FD" w:rsidP="00B636FD">
      <w:pPr>
        <w:rPr>
          <w:bCs/>
        </w:rPr>
      </w:pPr>
      <w:r w:rsidRPr="00666914">
        <w:rPr>
          <w:b/>
        </w:rPr>
        <w:t>K zvýšeniu efektívnosti vynakladaných prostriedkov na verejné investície má prispieť aj hodnotenie projektov a jasná prioritizácia investícií.</w:t>
      </w:r>
      <w:r w:rsidRPr="00666914">
        <w:t xml:space="preserve"> </w:t>
      </w:r>
      <w:r w:rsidRPr="00666914">
        <w:rPr>
          <w:bCs/>
        </w:rPr>
        <w:t>Od roku 2017 sú rezorty povinné predkladať investičné projekty s celkovými výdavkami nad 40 mil. eur a v prípade IT nad 10 mil. eur na nezávislé posúdenie ÚHP MF SR.  Do konca roka 2019 bolo posúdených 70 projektov (14 v doprave a 56 v oblasti informatizácie) s celkovými nákladmi vo výške 3,8 mld. eur</w:t>
      </w:r>
      <w:r w:rsidRPr="00666914">
        <w:rPr>
          <w:rStyle w:val="Odkaznapoznmkupodiarou"/>
          <w:bCs/>
        </w:rPr>
        <w:footnoteReference w:id="2"/>
      </w:r>
      <w:r w:rsidRPr="00666914">
        <w:rPr>
          <w:bCs/>
        </w:rPr>
        <w:t xml:space="preserve">. V oblasti dopravy  bolo výsledkom zníženie rozpočtu projektov pred začatím verejného obstarávania o 104 mil. eur (bez zníženia rozsahu investícií). V prípade 11 projektov v oblasti dopravy a informatizácie v celkovej výške 1,2 mld. eur bolo vyhlásené verejné obstarávanie bez posúdenia ÚHP MF SR. </w:t>
      </w:r>
    </w:p>
    <w:p w14:paraId="376D57FA" w14:textId="77777777" w:rsidR="00B636FD" w:rsidRPr="00666914" w:rsidRDefault="00B636FD" w:rsidP="00B636FD">
      <w:pPr>
        <w:rPr>
          <w:bCs/>
        </w:rPr>
      </w:pPr>
      <w:r w:rsidRPr="00666914">
        <w:rPr>
          <w:b/>
          <w:bCs/>
        </w:rPr>
        <w:t>K efektívnejšiemu hodnoteniu a výberu budúcich investícií malo prispieť aj vypracovanie rezortných metodík posudzovania sektorových prínosov, ktoré mali zohľadňovať špecifiká jednotlivých rezortov</w:t>
      </w:r>
      <w:r w:rsidRPr="00666914">
        <w:rPr>
          <w:bCs/>
        </w:rPr>
        <w:t xml:space="preserve">. Do konca roka 2019 ich vypracovalo MDV SR, ÚPVII a MŽP SR, v rezorte školstva a zdravotníctva sa to zatiaľ nepodarilo. Metodika vypracovaná ÚPVII zjednotila posudzovanie projektov bez ohľadu na zdroj ich financovania, rozpočty projektov sú dostupné v detailnom členení podľa modulov a prínosy projektov sa určujú meraním, nie expertným odhadom. </w:t>
      </w:r>
    </w:p>
    <w:p w14:paraId="78D4DD45" w14:textId="77777777" w:rsidR="00B636FD" w:rsidRPr="00666914" w:rsidRDefault="00B636FD" w:rsidP="00B636FD">
      <w:pPr>
        <w:rPr>
          <w:b/>
          <w:bCs/>
        </w:rPr>
      </w:pPr>
      <w:r w:rsidRPr="00666914">
        <w:rPr>
          <w:b/>
          <w:bCs/>
        </w:rPr>
        <w:t>Implementačné správy pravidelne odporúčali zvýšiť kvalitu dát a prístup k informáciám. Kvalita dát, ako aj zdieľanie informácií verejne alebo medzi rezortmi sa postupne zlepšuje</w:t>
      </w:r>
      <w:r w:rsidRPr="00666914">
        <w:rPr>
          <w:bCs/>
        </w:rPr>
        <w:t xml:space="preserve">. V roku 2019 sa podarilo prepojiť databázy absolventov stredných a vysokých škôl. V prípade investičných dopravných projektov za už zazmluvnené eurofondové projekty sú zverejňované podrobné štruktúrované údaje. U štátnych podnikov je však ochota zdieľať informácie odlišná. Všeobecná zdravotná poisťovňa a Slovenský vodohospodársky podnik poskytli údaje na dopracovanie analýz a implementačných plánov v rokoch 2018 a 2019. Opačný trend pretrváva v doprave. </w:t>
      </w:r>
      <w:r w:rsidRPr="00666914">
        <w:t>ZSSK neposkytla počas štyroch rokov údaje na dopracovanie revízie výdavkov aj napriek možnosti podpísania zmluvy o mlčanlivosti. P</w:t>
      </w:r>
      <w:r w:rsidRPr="00666914">
        <w:rPr>
          <w:bCs/>
        </w:rPr>
        <w:t xml:space="preserve">roblémom ostáva aj zverejňovanie vypracovaných analytických materiálov (napr. analýzy rezortu dopravy alebo Inštitútu sociálnej politiky). </w:t>
      </w:r>
    </w:p>
    <w:p w14:paraId="19399CE6" w14:textId="77777777" w:rsidR="00B636FD" w:rsidRPr="00666914" w:rsidRDefault="00B636FD" w:rsidP="00B636FD">
      <w:pPr>
        <w:rPr>
          <w:bCs/>
        </w:rPr>
      </w:pPr>
      <w:r w:rsidRPr="00666914">
        <w:rPr>
          <w:b/>
          <w:bCs/>
        </w:rPr>
        <w:t xml:space="preserve">Implementačná jednotka počas obdobia 2017-2019 identifikovala opakujúce sa problémy úspešnej implementácie. </w:t>
      </w:r>
      <w:r w:rsidRPr="00666914">
        <w:rPr>
          <w:bCs/>
        </w:rPr>
        <w:t xml:space="preserve">Medzi nedostatky patrí najmä: </w:t>
      </w:r>
    </w:p>
    <w:p w14:paraId="5244EEB5" w14:textId="77777777" w:rsidR="00B636FD" w:rsidRPr="00666914" w:rsidRDefault="00B636FD" w:rsidP="00B636FD">
      <w:pPr>
        <w:pStyle w:val="Odsekzoznamu"/>
        <w:numPr>
          <w:ilvl w:val="0"/>
          <w:numId w:val="42"/>
        </w:numPr>
        <w:rPr>
          <w:bCs/>
        </w:rPr>
      </w:pPr>
      <w:r w:rsidRPr="00666914">
        <w:rPr>
          <w:bCs/>
        </w:rPr>
        <w:t>Chýbajúca prioritizácia implementácie opatrení hodnoty za peniaze v agende ministerstiev</w:t>
      </w:r>
    </w:p>
    <w:p w14:paraId="398676B6" w14:textId="77777777" w:rsidR="00B636FD" w:rsidRPr="00666914" w:rsidRDefault="00B636FD" w:rsidP="00B636FD">
      <w:pPr>
        <w:pStyle w:val="Odsekzoznamu"/>
        <w:numPr>
          <w:ilvl w:val="0"/>
          <w:numId w:val="42"/>
        </w:numPr>
        <w:rPr>
          <w:bCs/>
        </w:rPr>
      </w:pPr>
      <w:r w:rsidRPr="00666914">
        <w:rPr>
          <w:bCs/>
        </w:rPr>
        <w:t xml:space="preserve">Chýbajúci konsenzus a kompromis pred začatím implementácie (racionalizácia siete škôl, téma kreditov, databázy absolventov) </w:t>
      </w:r>
    </w:p>
    <w:p w14:paraId="7684FF9A" w14:textId="77777777" w:rsidR="00B636FD" w:rsidRPr="00666914" w:rsidRDefault="00B636FD" w:rsidP="00B636FD">
      <w:pPr>
        <w:pStyle w:val="Odsekzoznamu"/>
        <w:numPr>
          <w:ilvl w:val="0"/>
          <w:numId w:val="42"/>
        </w:numPr>
        <w:rPr>
          <w:bCs/>
        </w:rPr>
      </w:pPr>
      <w:r w:rsidRPr="00666914">
        <w:rPr>
          <w:bCs/>
        </w:rPr>
        <w:t>Prierezovosť opatrení a s tým spojený rezortizmus (MPSVR SR a MZ SR v oblasti dlhodobej starostlivosti, MDV SR a MŽP SR pri príprave zákona o EIA, MŽP SR a MPRV SR pri správe národných parkov v najvyššom stupni ochrany)</w:t>
      </w:r>
    </w:p>
    <w:p w14:paraId="674EAED4" w14:textId="77777777" w:rsidR="00B636FD" w:rsidRPr="00666914" w:rsidRDefault="00B636FD" w:rsidP="00B636FD">
      <w:pPr>
        <w:pStyle w:val="Odsekzoznamu"/>
        <w:numPr>
          <w:ilvl w:val="0"/>
          <w:numId w:val="42"/>
        </w:numPr>
        <w:rPr>
          <w:bCs/>
        </w:rPr>
      </w:pPr>
      <w:r w:rsidRPr="00666914">
        <w:rPr>
          <w:bCs/>
        </w:rPr>
        <w:t>Chýbajúce finančné zdroje na implementáciu (zreálnenie nákladov na fungovanie škôl, dlhodobá starostlivosť)</w:t>
      </w:r>
    </w:p>
    <w:p w14:paraId="5095ECD5" w14:textId="77777777" w:rsidR="00B636FD" w:rsidRPr="00666914" w:rsidRDefault="00B636FD" w:rsidP="00B636FD">
      <w:pPr>
        <w:pStyle w:val="Odsekzoznamu"/>
        <w:numPr>
          <w:ilvl w:val="0"/>
          <w:numId w:val="42"/>
        </w:numPr>
        <w:rPr>
          <w:bCs/>
        </w:rPr>
      </w:pPr>
      <w:r w:rsidRPr="00666914">
        <w:rPr>
          <w:bCs/>
        </w:rPr>
        <w:t>Slabá predvídateľnosť legislatívneho prostredia spôsobená aj nesystémovým predkladaním poslaneckých návrhov bez vyčíslených dopadov (posun účinnosti ročného zúčtovania sociálneho poistenia), a to najmä v predvolebnom období</w:t>
      </w:r>
    </w:p>
    <w:p w14:paraId="22AB7DD9" w14:textId="77777777" w:rsidR="00B636FD" w:rsidRPr="00666914" w:rsidRDefault="00B636FD" w:rsidP="00B636FD">
      <w:pPr>
        <w:rPr>
          <w:bCs/>
        </w:rPr>
      </w:pPr>
      <w:r w:rsidRPr="00666914">
        <w:rPr>
          <w:b/>
          <w:bCs/>
        </w:rPr>
        <w:t>Kľúčovými podmienkami úspešného dosahovania výsledkov je transparentná nadrezortná kontrola a zodpovednosť rezortov za dosahované výsledky</w:t>
      </w:r>
      <w:r w:rsidRPr="00666914">
        <w:rPr>
          <w:bCs/>
        </w:rPr>
        <w:t>. Implementačná jednotka bude na základe jednotnej metodiky naďalej vyhodnocovať pokrok v plnení opatrení. Implementačné správy budú schvaľované vládou SR a budú pravidelne zverejňované. Transparentné musia byť aj zmeny v prijatých opatreniach, ku ktorým, samozrejme, môže dochádzať.</w:t>
      </w:r>
    </w:p>
    <w:p w14:paraId="2807B8D6" w14:textId="77777777" w:rsidR="00B636FD" w:rsidRPr="00666914" w:rsidRDefault="00B636FD" w:rsidP="00B636FD">
      <w:pPr>
        <w:rPr>
          <w:bCs/>
        </w:rPr>
      </w:pPr>
      <w:r w:rsidRPr="00666914">
        <w:rPr>
          <w:b/>
          <w:bCs/>
        </w:rPr>
        <w:lastRenderedPageBreak/>
        <w:t>Mechanizmus vynucovania plnenia opatrení je dnes z pohľadu rozpočtu nepriamy, je potrebné zvýšiť prepojenie s rozpočtovými procesmi.</w:t>
      </w:r>
      <w:r w:rsidRPr="00666914">
        <w:rPr>
          <w:bCs/>
        </w:rPr>
        <w:t xml:space="preserve"> Zodpovednosť za plnenie jednotlivých úloh detailne približuje Implementačná jednotka v  implementačných plánoch, opatrenia revízii však nemali priame prepojenie s tvorbou rozpočtu. Je potrebné hľadať spôsob prepojenia revízií výdavkov s tvorbou rozpočtu, aj v kontexte výdavkových stropov. </w:t>
      </w:r>
    </w:p>
    <w:p w14:paraId="4B4ABCC3" w14:textId="77777777" w:rsidR="00B636FD" w:rsidRPr="00666914" w:rsidRDefault="00B636FD" w:rsidP="00B636FD">
      <w:pPr>
        <w:spacing w:after="0"/>
        <w:rPr>
          <w:bCs/>
        </w:rPr>
      </w:pPr>
      <w:r w:rsidRPr="00666914">
        <w:rPr>
          <w:bCs/>
        </w:rPr>
        <w:t>Prebiehajúca pandémia</w:t>
      </w:r>
      <w:r w:rsidRPr="00666914">
        <w:rPr>
          <w:b/>
          <w:bCs/>
        </w:rPr>
        <w:t xml:space="preserve"> </w:t>
      </w:r>
      <w:r w:rsidRPr="00666914">
        <w:rPr>
          <w:bCs/>
        </w:rPr>
        <w:t xml:space="preserve">COVID – 19 môže viesť samozrejme k prehodnoteniu priorít jednotlivých rezortov a úpravám výdavkov v rámci rozpočtov jednotlivých kapitol. Hodnotenie ďalších oblastí bude pravdepodobne ovplyvnené aj prioritami politických strán v Koaličnej zmluve a v schválenom Programovom vyhlásení vlády SR 2020 – 2024. </w:t>
      </w:r>
    </w:p>
    <w:p w14:paraId="0D386893" w14:textId="77777777" w:rsidR="00B636FD" w:rsidRPr="00666914" w:rsidRDefault="00B636FD" w:rsidP="00B636FD">
      <w:pPr>
        <w:spacing w:after="0"/>
        <w:rPr>
          <w:b/>
          <w:bCs/>
        </w:rPr>
      </w:pPr>
    </w:p>
    <w:p w14:paraId="481079D0" w14:textId="77777777" w:rsidR="00B636FD" w:rsidRPr="00666914" w:rsidRDefault="00B636FD" w:rsidP="00B636FD">
      <w:pPr>
        <w:spacing w:after="0"/>
        <w:rPr>
          <w:b/>
          <w:bCs/>
        </w:rPr>
      </w:pPr>
    </w:p>
    <w:p w14:paraId="192BF6CF" w14:textId="77777777" w:rsidR="007F7D52" w:rsidRPr="00666914" w:rsidRDefault="007F7D52" w:rsidP="00786DA6">
      <w:pPr>
        <w:rPr>
          <w:b/>
        </w:rPr>
      </w:pPr>
    </w:p>
    <w:p w14:paraId="0DB00A84" w14:textId="77777777" w:rsidR="00786DA6" w:rsidRPr="00666914" w:rsidRDefault="00786DA6" w:rsidP="00786DA6">
      <w:pPr>
        <w:spacing w:after="0"/>
      </w:pPr>
    </w:p>
    <w:p w14:paraId="35901EC7" w14:textId="77777777" w:rsidR="00786DA6" w:rsidRPr="00666914" w:rsidRDefault="00786DA6" w:rsidP="00A0273F">
      <w:pPr>
        <w:rPr>
          <w:b/>
          <w:bCs/>
        </w:rPr>
      </w:pPr>
    </w:p>
    <w:p w14:paraId="74F9944D" w14:textId="77777777" w:rsidR="00786DA6" w:rsidRPr="00666914" w:rsidRDefault="00786DA6">
      <w:pPr>
        <w:spacing w:line="259" w:lineRule="auto"/>
        <w:jc w:val="left"/>
        <w:rPr>
          <w:b/>
          <w:bCs/>
        </w:rPr>
      </w:pPr>
      <w:r w:rsidRPr="00666914">
        <w:rPr>
          <w:b/>
          <w:bCs/>
        </w:rPr>
        <w:br w:type="page"/>
      </w:r>
    </w:p>
    <w:p w14:paraId="25BB5046" w14:textId="77777777" w:rsidR="00AB3B93" w:rsidRPr="00666914" w:rsidRDefault="00AB3B93" w:rsidP="00D13BE4">
      <w:pPr>
        <w:pStyle w:val="Nadpis1"/>
        <w:spacing w:before="0" w:after="0"/>
        <w:ind w:left="284"/>
        <w:jc w:val="left"/>
      </w:pPr>
      <w:bookmarkStart w:id="7" w:name="_Toc6321878"/>
      <w:bookmarkStart w:id="8" w:name="_Toc38447578"/>
      <w:bookmarkStart w:id="9" w:name="_Hlk524015159"/>
      <w:bookmarkEnd w:id="3"/>
      <w:r w:rsidRPr="00666914">
        <w:lastRenderedPageBreak/>
        <w:t>Metodika odpočtu</w:t>
      </w:r>
      <w:bookmarkEnd w:id="7"/>
      <w:bookmarkEnd w:id="8"/>
    </w:p>
    <w:p w14:paraId="1E03627A" w14:textId="77777777" w:rsidR="00A1554F" w:rsidRPr="00666914" w:rsidRDefault="00A1554F" w:rsidP="00A1554F">
      <w:pPr>
        <w:spacing w:after="0"/>
      </w:pPr>
    </w:p>
    <w:p w14:paraId="02E59C05" w14:textId="77777777" w:rsidR="00A1554F" w:rsidRPr="00666914" w:rsidRDefault="00A1554F" w:rsidP="00A1554F">
      <w:pPr>
        <w:spacing w:after="0"/>
      </w:pPr>
      <w:r w:rsidRPr="00666914">
        <w:t>V implementačných správach na základe revízie výdavkov sleduje Implementačná jednotka nasledujúce opatrenia:</w:t>
      </w:r>
    </w:p>
    <w:p w14:paraId="3D9F1A0C" w14:textId="77777777" w:rsidR="00A1554F" w:rsidRPr="00666914" w:rsidRDefault="00A1554F" w:rsidP="00131B23">
      <w:pPr>
        <w:pStyle w:val="Odsekzoznamu"/>
        <w:numPr>
          <w:ilvl w:val="0"/>
          <w:numId w:val="8"/>
        </w:numPr>
        <w:spacing w:after="0"/>
      </w:pPr>
      <w:r w:rsidRPr="00666914">
        <w:t>fiškálne opatrenia,</w:t>
      </w:r>
    </w:p>
    <w:p w14:paraId="1BB71AFA" w14:textId="77777777" w:rsidR="00A1554F" w:rsidRPr="00666914" w:rsidRDefault="00A1554F" w:rsidP="00131B23">
      <w:pPr>
        <w:pStyle w:val="Odsekzoznamu"/>
        <w:numPr>
          <w:ilvl w:val="0"/>
          <w:numId w:val="8"/>
        </w:numPr>
        <w:spacing w:after="0"/>
      </w:pPr>
      <w:r w:rsidRPr="00666914">
        <w:t>opatrenia zlepšujúce hodnotu za peniaze (kvalitatívne),</w:t>
      </w:r>
    </w:p>
    <w:p w14:paraId="5A92A06A" w14:textId="77777777" w:rsidR="00A1554F" w:rsidRPr="00666914" w:rsidRDefault="00A1554F" w:rsidP="00131B23">
      <w:pPr>
        <w:pStyle w:val="Odsekzoznamu"/>
        <w:numPr>
          <w:ilvl w:val="0"/>
          <w:numId w:val="8"/>
        </w:numPr>
      </w:pPr>
      <w:r w:rsidRPr="00666914">
        <w:t>procesné opatrenia (riadenie, dáta, metodiky).</w:t>
      </w:r>
    </w:p>
    <w:p w14:paraId="4620FA2B" w14:textId="77777777" w:rsidR="00A1554F" w:rsidRPr="00666914" w:rsidRDefault="00A1554F" w:rsidP="00A1554F">
      <w:pPr>
        <w:rPr>
          <w:i/>
        </w:rPr>
      </w:pPr>
      <w:r w:rsidRPr="00666914">
        <w:rPr>
          <w:i/>
        </w:rPr>
        <w:t>Fiškálne opatrenia</w:t>
      </w:r>
    </w:p>
    <w:p w14:paraId="7A2A2087" w14:textId="77777777" w:rsidR="00A1554F" w:rsidRPr="00666914" w:rsidRDefault="00A1554F" w:rsidP="00A1554F">
      <w:r w:rsidRPr="00666914">
        <w:t xml:space="preserve">Hodnotenie odzrkadľuje </w:t>
      </w:r>
      <w:r w:rsidRPr="00666914">
        <w:rPr>
          <w:b/>
        </w:rPr>
        <w:t>percentuálne plnenie úspory</w:t>
      </w:r>
      <w:r w:rsidRPr="00666914">
        <w:t xml:space="preserve"> </w:t>
      </w:r>
      <w:r w:rsidRPr="00666914">
        <w:rPr>
          <w:b/>
        </w:rPr>
        <w:t xml:space="preserve">oproti očakávanej hodnote k danému termínu. </w:t>
      </w:r>
      <w:r w:rsidR="00003903" w:rsidRPr="00666914">
        <w:rPr>
          <w:b/>
        </w:rPr>
        <w:br/>
      </w:r>
      <w:r w:rsidRPr="00666914">
        <w:t>IJ stanovuje na štvrťročnej báze hodnoty trajektórie na dosiahnutie výslednej ročnej úspory do konca roka.</w:t>
      </w:r>
    </w:p>
    <w:p w14:paraId="3D2EE43D" w14:textId="77777777" w:rsidR="00A1554F" w:rsidRPr="00666914" w:rsidRDefault="00A1554F" w:rsidP="00A1554F">
      <w:pPr>
        <w:rPr>
          <w:i/>
        </w:rPr>
      </w:pPr>
      <w:r w:rsidRPr="00666914">
        <w:rPr>
          <w:i/>
        </w:rPr>
        <w:t>Opatrenia zlepšujúce hodnotu za peniaze a procesné opatrenia</w:t>
      </w:r>
    </w:p>
    <w:p w14:paraId="4AF6C21D" w14:textId="77777777" w:rsidR="00A1554F" w:rsidRPr="00666914" w:rsidRDefault="00A1554F" w:rsidP="00AB3B93">
      <w:r w:rsidRPr="00666914">
        <w:t xml:space="preserve">Hodnotenie odzrkadľuje plnenie kvantitatívnych ukazovateľov alebo existenciu požadovaných výstupov k termínu plnenia. </w:t>
      </w:r>
      <w:r w:rsidRPr="00666914">
        <w:rPr>
          <w:b/>
        </w:rPr>
        <w:t xml:space="preserve">Pre účely tohto odpočtu sa za mieru plnenia opatrení berie podiel opatrení, ktoré rezort plní alebo čiastočne plní. </w:t>
      </w:r>
    </w:p>
    <w:tbl>
      <w:tblPr>
        <w:tblW w:w="9209" w:type="dxa"/>
        <w:tblLayout w:type="fixed"/>
        <w:tblLook w:val="04A0" w:firstRow="1" w:lastRow="0" w:firstColumn="1" w:lastColumn="0" w:noHBand="0" w:noVBand="1"/>
      </w:tblPr>
      <w:tblGrid>
        <w:gridCol w:w="1696"/>
        <w:gridCol w:w="993"/>
        <w:gridCol w:w="1275"/>
        <w:gridCol w:w="2085"/>
        <w:gridCol w:w="3160"/>
      </w:tblGrid>
      <w:tr w:rsidR="00A1554F" w:rsidRPr="00666914" w14:paraId="38AAB9B4" w14:textId="77777777" w:rsidTr="002D0DA7">
        <w:trPr>
          <w:trHeight w:val="19"/>
        </w:trPr>
        <w:tc>
          <w:tcPr>
            <w:tcW w:w="1696"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7781B716" w14:textId="77777777" w:rsidR="00A1554F" w:rsidRPr="00666914" w:rsidRDefault="00A1554F" w:rsidP="00661EFE">
            <w:pPr>
              <w:spacing w:after="0"/>
              <w:jc w:val="center"/>
              <w:rPr>
                <w:rFonts w:eastAsia="Times New Roman"/>
                <w:b/>
                <w:color w:val="FFFFFF"/>
                <w:sz w:val="20"/>
                <w:szCs w:val="16"/>
              </w:rPr>
            </w:pPr>
            <w:r w:rsidRPr="00666914">
              <w:rPr>
                <w:rFonts w:eastAsia="Times New Roman"/>
                <w:b/>
                <w:color w:val="FFFFFF"/>
                <w:sz w:val="20"/>
                <w:szCs w:val="16"/>
              </w:rPr>
              <w:t>Hodnotenie</w:t>
            </w:r>
          </w:p>
        </w:tc>
        <w:tc>
          <w:tcPr>
            <w:tcW w:w="993" w:type="dxa"/>
            <w:tcBorders>
              <w:top w:val="single" w:sz="4" w:space="0" w:color="auto"/>
              <w:left w:val="nil"/>
              <w:bottom w:val="single" w:sz="4" w:space="0" w:color="auto"/>
              <w:right w:val="single" w:sz="4" w:space="0" w:color="auto"/>
            </w:tcBorders>
            <w:shd w:val="clear" w:color="auto" w:fill="808080"/>
            <w:noWrap/>
            <w:vAlign w:val="center"/>
            <w:hideMark/>
          </w:tcPr>
          <w:p w14:paraId="4659BE0E" w14:textId="77777777" w:rsidR="00A1554F" w:rsidRPr="00666914" w:rsidRDefault="00A1554F" w:rsidP="00661EFE">
            <w:pPr>
              <w:spacing w:after="0"/>
              <w:jc w:val="center"/>
              <w:rPr>
                <w:rFonts w:eastAsia="Times New Roman"/>
                <w:b/>
                <w:color w:val="FFFFFF"/>
                <w:sz w:val="20"/>
                <w:szCs w:val="16"/>
              </w:rPr>
            </w:pPr>
            <w:r w:rsidRPr="00666914">
              <w:rPr>
                <w:rFonts w:eastAsia="Times New Roman"/>
                <w:b/>
                <w:color w:val="FFFFFF"/>
                <w:sz w:val="20"/>
                <w:szCs w:val="16"/>
              </w:rPr>
              <w:t>Farebný kód</w:t>
            </w:r>
          </w:p>
        </w:tc>
        <w:tc>
          <w:tcPr>
            <w:tcW w:w="1275" w:type="dxa"/>
            <w:tcBorders>
              <w:top w:val="single" w:sz="4" w:space="0" w:color="auto"/>
              <w:left w:val="nil"/>
              <w:bottom w:val="single" w:sz="4" w:space="0" w:color="auto"/>
              <w:right w:val="single" w:sz="4" w:space="0" w:color="auto"/>
            </w:tcBorders>
            <w:shd w:val="clear" w:color="auto" w:fill="808080"/>
            <w:vAlign w:val="center"/>
            <w:hideMark/>
          </w:tcPr>
          <w:p w14:paraId="7BDCEAAF" w14:textId="77777777" w:rsidR="00A1554F" w:rsidRPr="00666914" w:rsidRDefault="00A1554F" w:rsidP="00661EFE">
            <w:pPr>
              <w:spacing w:after="0"/>
              <w:jc w:val="center"/>
              <w:rPr>
                <w:rFonts w:eastAsia="Times New Roman"/>
                <w:b/>
                <w:color w:val="FFFFFF"/>
                <w:sz w:val="20"/>
                <w:szCs w:val="16"/>
              </w:rPr>
            </w:pPr>
            <w:r w:rsidRPr="00666914">
              <w:rPr>
                <w:rFonts w:eastAsia="Times New Roman"/>
                <w:b/>
                <w:color w:val="FFFFFF"/>
                <w:sz w:val="20"/>
                <w:szCs w:val="16"/>
              </w:rPr>
              <w:t>Fiškálne opatrenia</w:t>
            </w:r>
          </w:p>
        </w:tc>
        <w:tc>
          <w:tcPr>
            <w:tcW w:w="2085" w:type="dxa"/>
            <w:tcBorders>
              <w:top w:val="single" w:sz="4" w:space="0" w:color="auto"/>
              <w:left w:val="nil"/>
              <w:bottom w:val="single" w:sz="4" w:space="0" w:color="auto"/>
              <w:right w:val="single" w:sz="4" w:space="0" w:color="auto"/>
            </w:tcBorders>
            <w:shd w:val="clear" w:color="auto" w:fill="808080"/>
            <w:vAlign w:val="center"/>
            <w:hideMark/>
          </w:tcPr>
          <w:p w14:paraId="65244657" w14:textId="77777777" w:rsidR="00A1554F" w:rsidRPr="00666914" w:rsidRDefault="00A1554F" w:rsidP="00661EFE">
            <w:pPr>
              <w:spacing w:after="0"/>
              <w:jc w:val="center"/>
              <w:rPr>
                <w:rFonts w:eastAsia="Times New Roman"/>
                <w:b/>
                <w:color w:val="FFFFFF"/>
                <w:sz w:val="20"/>
                <w:szCs w:val="16"/>
              </w:rPr>
            </w:pPr>
            <w:r w:rsidRPr="00666914">
              <w:rPr>
                <w:rFonts w:eastAsia="Times New Roman"/>
                <w:b/>
                <w:color w:val="FFFFFF"/>
                <w:sz w:val="20"/>
                <w:szCs w:val="16"/>
              </w:rPr>
              <w:t>Opatrenia zlepšujúce hodnotu za peniaze</w:t>
            </w:r>
          </w:p>
        </w:tc>
        <w:tc>
          <w:tcPr>
            <w:tcW w:w="3160" w:type="dxa"/>
            <w:tcBorders>
              <w:top w:val="single" w:sz="4" w:space="0" w:color="auto"/>
              <w:left w:val="nil"/>
              <w:bottom w:val="single" w:sz="4" w:space="0" w:color="auto"/>
              <w:right w:val="single" w:sz="4" w:space="0" w:color="auto"/>
            </w:tcBorders>
            <w:shd w:val="clear" w:color="auto" w:fill="808080"/>
            <w:vAlign w:val="center"/>
          </w:tcPr>
          <w:p w14:paraId="3BAB60BB" w14:textId="77777777" w:rsidR="00A1554F" w:rsidRPr="00666914" w:rsidRDefault="00A1554F" w:rsidP="00661EFE">
            <w:pPr>
              <w:spacing w:after="0"/>
              <w:jc w:val="center"/>
              <w:rPr>
                <w:rFonts w:eastAsia="Times New Roman"/>
                <w:b/>
                <w:color w:val="FFFFFF"/>
                <w:sz w:val="20"/>
                <w:szCs w:val="16"/>
              </w:rPr>
            </w:pPr>
            <w:r w:rsidRPr="00666914">
              <w:rPr>
                <w:rFonts w:eastAsia="Times New Roman"/>
                <w:b/>
                <w:color w:val="FFFFFF"/>
                <w:sz w:val="20"/>
                <w:szCs w:val="16"/>
              </w:rPr>
              <w:t>Aktivita IJ</w:t>
            </w:r>
          </w:p>
        </w:tc>
      </w:tr>
      <w:tr w:rsidR="00A1554F" w:rsidRPr="00666914" w14:paraId="417E82A5" w14:textId="77777777" w:rsidTr="00661EFE">
        <w:trPr>
          <w:trHeight w:val="1558"/>
        </w:trPr>
        <w:tc>
          <w:tcPr>
            <w:tcW w:w="1696" w:type="dxa"/>
            <w:tcBorders>
              <w:top w:val="nil"/>
              <w:left w:val="single" w:sz="4" w:space="0" w:color="auto"/>
              <w:bottom w:val="single" w:sz="4" w:space="0" w:color="auto"/>
              <w:right w:val="single" w:sz="4" w:space="0" w:color="auto"/>
            </w:tcBorders>
            <w:shd w:val="clear" w:color="auto" w:fill="auto"/>
            <w:vAlign w:val="center"/>
          </w:tcPr>
          <w:p w14:paraId="08A30B15" w14:textId="77777777" w:rsidR="00A1554F" w:rsidRPr="00666914" w:rsidRDefault="00A1554F" w:rsidP="00661EFE">
            <w:pPr>
              <w:spacing w:after="0"/>
              <w:jc w:val="center"/>
              <w:rPr>
                <w:rFonts w:eastAsia="Times New Roman"/>
                <w:b/>
                <w:bCs/>
                <w:sz w:val="16"/>
                <w:szCs w:val="16"/>
              </w:rPr>
            </w:pPr>
            <w:r w:rsidRPr="00666914">
              <w:rPr>
                <w:rFonts w:eastAsia="Times New Roman"/>
                <w:b/>
                <w:bCs/>
                <w:sz w:val="16"/>
                <w:szCs w:val="16"/>
              </w:rPr>
              <w:t>Plní na viac ako 100 %</w:t>
            </w:r>
          </w:p>
        </w:tc>
        <w:tc>
          <w:tcPr>
            <w:tcW w:w="993" w:type="dxa"/>
            <w:tcBorders>
              <w:top w:val="nil"/>
              <w:left w:val="nil"/>
              <w:bottom w:val="single" w:sz="4" w:space="0" w:color="auto"/>
              <w:right w:val="single" w:sz="4" w:space="0" w:color="auto"/>
            </w:tcBorders>
            <w:shd w:val="clear" w:color="auto" w:fill="00B050"/>
            <w:noWrap/>
            <w:vAlign w:val="center"/>
          </w:tcPr>
          <w:p w14:paraId="71ECCC30" w14:textId="77777777" w:rsidR="00A1554F" w:rsidRPr="00666914" w:rsidRDefault="00A1554F" w:rsidP="00661EFE">
            <w:pPr>
              <w:spacing w:after="0"/>
              <w:jc w:val="center"/>
              <w:rPr>
                <w:rFonts w:eastAsia="Times New Roman"/>
                <w:sz w:val="16"/>
                <w:szCs w:val="16"/>
              </w:rPr>
            </w:pPr>
          </w:p>
        </w:tc>
        <w:tc>
          <w:tcPr>
            <w:tcW w:w="1275" w:type="dxa"/>
            <w:tcBorders>
              <w:top w:val="nil"/>
              <w:left w:val="nil"/>
              <w:bottom w:val="single" w:sz="4" w:space="0" w:color="auto"/>
              <w:right w:val="single" w:sz="4" w:space="0" w:color="auto"/>
            </w:tcBorders>
            <w:shd w:val="clear" w:color="000000" w:fill="FFFFFF"/>
            <w:noWrap/>
            <w:vAlign w:val="center"/>
          </w:tcPr>
          <w:p w14:paraId="24624A0C" w14:textId="77777777" w:rsidR="00A1554F" w:rsidRPr="00666914" w:rsidRDefault="00A1554F" w:rsidP="00661EFE">
            <w:pPr>
              <w:spacing w:after="0"/>
              <w:jc w:val="center"/>
              <w:rPr>
                <w:rFonts w:eastAsia="Times New Roman"/>
                <w:sz w:val="16"/>
                <w:szCs w:val="16"/>
              </w:rPr>
            </w:pPr>
            <w:r w:rsidRPr="00666914">
              <w:rPr>
                <w:rFonts w:eastAsia="Times New Roman"/>
                <w:sz w:val="16"/>
                <w:szCs w:val="16"/>
              </w:rPr>
              <w:t>100 % a viac cieľovej hodnoty</w:t>
            </w:r>
          </w:p>
        </w:tc>
        <w:tc>
          <w:tcPr>
            <w:tcW w:w="2085" w:type="dxa"/>
            <w:tcBorders>
              <w:top w:val="nil"/>
              <w:left w:val="nil"/>
              <w:bottom w:val="single" w:sz="4" w:space="0" w:color="auto"/>
              <w:right w:val="single" w:sz="4" w:space="0" w:color="auto"/>
            </w:tcBorders>
            <w:shd w:val="clear" w:color="000000" w:fill="FFFFFF"/>
            <w:noWrap/>
            <w:vAlign w:val="center"/>
          </w:tcPr>
          <w:p w14:paraId="69BF6488" w14:textId="77777777" w:rsidR="00A1554F" w:rsidRPr="00666914" w:rsidRDefault="00A1554F" w:rsidP="00661EFE">
            <w:pPr>
              <w:spacing w:after="0"/>
              <w:jc w:val="center"/>
              <w:rPr>
                <w:rFonts w:eastAsia="Times New Roman"/>
                <w:sz w:val="16"/>
                <w:szCs w:val="16"/>
              </w:rPr>
            </w:pPr>
            <w:r w:rsidRPr="00666914">
              <w:rPr>
                <w:rFonts w:eastAsia="Times New Roman"/>
                <w:sz w:val="16"/>
                <w:szCs w:val="16"/>
              </w:rPr>
              <w:t>Rezort predložil splnené úlohy v súlade s implementačným plánom rýchlejšie a v požadovanej kvalite.</w:t>
            </w:r>
          </w:p>
          <w:p w14:paraId="6E809BC1" w14:textId="77777777" w:rsidR="00A1554F" w:rsidRPr="00666914" w:rsidRDefault="00A1554F" w:rsidP="00661EFE">
            <w:pPr>
              <w:spacing w:after="0"/>
              <w:jc w:val="center"/>
              <w:rPr>
                <w:rFonts w:eastAsia="Times New Roman"/>
                <w:sz w:val="16"/>
                <w:szCs w:val="16"/>
              </w:rPr>
            </w:pPr>
            <w:r w:rsidRPr="00666914">
              <w:rPr>
                <w:rFonts w:eastAsia="Times New Roman"/>
                <w:sz w:val="16"/>
                <w:szCs w:val="16"/>
              </w:rPr>
              <w:t>Rezort predložil plnenie ďalších úloh nad rámec požiadaviek implementačného plánu.</w:t>
            </w:r>
          </w:p>
        </w:tc>
        <w:tc>
          <w:tcPr>
            <w:tcW w:w="3160" w:type="dxa"/>
            <w:tcBorders>
              <w:top w:val="nil"/>
              <w:left w:val="nil"/>
              <w:bottom w:val="single" w:sz="4" w:space="0" w:color="auto"/>
              <w:right w:val="single" w:sz="4" w:space="0" w:color="auto"/>
            </w:tcBorders>
            <w:shd w:val="clear" w:color="000000" w:fill="FFFFFF"/>
            <w:vAlign w:val="center"/>
          </w:tcPr>
          <w:p w14:paraId="56E43FF6" w14:textId="77777777" w:rsidR="00A1554F" w:rsidRPr="00666914" w:rsidRDefault="00A1554F" w:rsidP="00661EFE">
            <w:pPr>
              <w:spacing w:after="0"/>
              <w:jc w:val="center"/>
              <w:rPr>
                <w:rFonts w:eastAsia="Times New Roman"/>
                <w:sz w:val="16"/>
                <w:szCs w:val="16"/>
              </w:rPr>
            </w:pPr>
            <w:r w:rsidRPr="00666914">
              <w:rPr>
                <w:rFonts w:eastAsia="Times New Roman"/>
                <w:sz w:val="16"/>
                <w:szCs w:val="16"/>
              </w:rPr>
              <w:t>IJ preverí dôvody. Keď je zlepšenie v dôsledku rýchlejšej a kvalitnejšej implementácie na strane rezortu IJ ocení dosiahnutý výsledok.</w:t>
            </w:r>
          </w:p>
          <w:p w14:paraId="0D769C28" w14:textId="77777777" w:rsidR="00A1554F" w:rsidRPr="00666914" w:rsidRDefault="00A1554F" w:rsidP="00661EFE">
            <w:pPr>
              <w:spacing w:after="0"/>
              <w:jc w:val="center"/>
              <w:rPr>
                <w:rFonts w:eastAsia="Times New Roman"/>
                <w:sz w:val="16"/>
                <w:szCs w:val="16"/>
              </w:rPr>
            </w:pPr>
            <w:r w:rsidRPr="00666914">
              <w:rPr>
                <w:rFonts w:eastAsia="Times New Roman"/>
                <w:sz w:val="16"/>
                <w:szCs w:val="16"/>
              </w:rPr>
              <w:t>IJ v spolupráci s rezortom identifikuje dobrú prax, ktorá podporila akcelerovanú implementáciu opatrenia a zabezpečí jej zdieľanie s ostatnými rezortmi.</w:t>
            </w:r>
          </w:p>
          <w:p w14:paraId="1A517191" w14:textId="77777777" w:rsidR="00A1554F" w:rsidRPr="00666914" w:rsidRDefault="00A1554F" w:rsidP="00CA6146">
            <w:pPr>
              <w:spacing w:after="0"/>
              <w:jc w:val="center"/>
              <w:rPr>
                <w:rFonts w:eastAsia="Times New Roman"/>
                <w:sz w:val="16"/>
                <w:szCs w:val="16"/>
              </w:rPr>
            </w:pPr>
            <w:r w:rsidRPr="00666914">
              <w:rPr>
                <w:rFonts w:eastAsia="Times New Roman"/>
                <w:sz w:val="16"/>
                <w:szCs w:val="16"/>
              </w:rPr>
              <w:t>Ak je viac ako 100 % úspora v dôsledku zle nastavenej cieľovej hodnoty, IJ reviduje hodnotu v novom implementačnom pláne.</w:t>
            </w:r>
          </w:p>
        </w:tc>
      </w:tr>
      <w:tr w:rsidR="00A1554F" w:rsidRPr="00666914" w14:paraId="772CB852" w14:textId="77777777" w:rsidTr="00661EFE">
        <w:trPr>
          <w:trHeight w:val="19"/>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D66CBE9" w14:textId="77777777" w:rsidR="00A1554F" w:rsidRPr="00666914" w:rsidRDefault="00A1554F" w:rsidP="00661EFE">
            <w:pPr>
              <w:spacing w:after="0"/>
              <w:jc w:val="center"/>
              <w:rPr>
                <w:rFonts w:eastAsia="Times New Roman"/>
                <w:b/>
                <w:bCs/>
                <w:sz w:val="16"/>
                <w:szCs w:val="16"/>
              </w:rPr>
            </w:pPr>
          </w:p>
          <w:p w14:paraId="5BA9668F" w14:textId="77777777" w:rsidR="00A1554F" w:rsidRPr="00666914" w:rsidRDefault="00A1554F" w:rsidP="00661EFE">
            <w:pPr>
              <w:spacing w:after="0"/>
              <w:jc w:val="center"/>
              <w:rPr>
                <w:rFonts w:eastAsia="Times New Roman"/>
                <w:b/>
                <w:bCs/>
                <w:sz w:val="16"/>
                <w:szCs w:val="16"/>
              </w:rPr>
            </w:pPr>
            <w:r w:rsidRPr="00666914">
              <w:rPr>
                <w:rFonts w:eastAsia="Times New Roman"/>
                <w:b/>
                <w:bCs/>
                <w:sz w:val="16"/>
                <w:szCs w:val="16"/>
              </w:rPr>
              <w:t>Plní</w:t>
            </w:r>
          </w:p>
          <w:p w14:paraId="0CD06FA4" w14:textId="77777777" w:rsidR="00A1554F" w:rsidRPr="00666914" w:rsidRDefault="00A1554F" w:rsidP="00661EFE">
            <w:pPr>
              <w:spacing w:after="0"/>
              <w:jc w:val="center"/>
              <w:rPr>
                <w:rFonts w:eastAsia="Times New Roman"/>
                <w:b/>
                <w:bCs/>
                <w:sz w:val="16"/>
                <w:szCs w:val="16"/>
              </w:rPr>
            </w:pPr>
          </w:p>
          <w:p w14:paraId="3357AB70" w14:textId="77777777" w:rsidR="00A1554F" w:rsidRPr="00666914" w:rsidRDefault="00A1554F" w:rsidP="00661EFE">
            <w:pPr>
              <w:spacing w:after="0"/>
              <w:jc w:val="center"/>
              <w:rPr>
                <w:rFonts w:eastAsia="Times New Roman"/>
                <w:b/>
                <w:bCs/>
                <w:sz w:val="16"/>
                <w:szCs w:val="16"/>
              </w:rPr>
            </w:pPr>
          </w:p>
        </w:tc>
        <w:tc>
          <w:tcPr>
            <w:tcW w:w="993" w:type="dxa"/>
            <w:tcBorders>
              <w:top w:val="nil"/>
              <w:left w:val="nil"/>
              <w:bottom w:val="single" w:sz="4" w:space="0" w:color="auto"/>
              <w:right w:val="single" w:sz="4" w:space="0" w:color="auto"/>
            </w:tcBorders>
            <w:shd w:val="clear" w:color="auto" w:fill="92D050"/>
            <w:noWrap/>
            <w:vAlign w:val="center"/>
            <w:hideMark/>
          </w:tcPr>
          <w:p w14:paraId="4558BEC1" w14:textId="77777777" w:rsidR="00A1554F" w:rsidRPr="00666914" w:rsidRDefault="00A1554F" w:rsidP="00661EFE">
            <w:pPr>
              <w:spacing w:after="0"/>
              <w:jc w:val="center"/>
              <w:rPr>
                <w:rFonts w:eastAsia="Times New Roman"/>
                <w:sz w:val="16"/>
                <w:szCs w:val="16"/>
              </w:rPr>
            </w:pPr>
          </w:p>
        </w:tc>
        <w:tc>
          <w:tcPr>
            <w:tcW w:w="1275" w:type="dxa"/>
            <w:tcBorders>
              <w:top w:val="nil"/>
              <w:left w:val="nil"/>
              <w:bottom w:val="single" w:sz="4" w:space="0" w:color="auto"/>
              <w:right w:val="single" w:sz="4" w:space="0" w:color="auto"/>
            </w:tcBorders>
            <w:shd w:val="clear" w:color="000000" w:fill="FFFFFF"/>
            <w:noWrap/>
            <w:vAlign w:val="center"/>
            <w:hideMark/>
          </w:tcPr>
          <w:p w14:paraId="789ACE7F" w14:textId="5A093519" w:rsidR="00A1554F" w:rsidRPr="00666914" w:rsidRDefault="00A1554F" w:rsidP="00661EFE">
            <w:pPr>
              <w:spacing w:after="0"/>
              <w:jc w:val="center"/>
              <w:rPr>
                <w:rFonts w:eastAsia="Times New Roman"/>
                <w:sz w:val="16"/>
                <w:szCs w:val="16"/>
              </w:rPr>
            </w:pPr>
            <w:r w:rsidRPr="00666914">
              <w:rPr>
                <w:rFonts w:eastAsia="Times New Roman"/>
                <w:sz w:val="16"/>
                <w:szCs w:val="16"/>
              </w:rPr>
              <w:t>100 % -</w:t>
            </w:r>
            <w:r w:rsidR="00BF6085" w:rsidRPr="00666914">
              <w:rPr>
                <w:rFonts w:eastAsia="Times New Roman"/>
                <w:sz w:val="16"/>
                <w:szCs w:val="16"/>
              </w:rPr>
              <w:t xml:space="preserve"> </w:t>
            </w:r>
            <w:r w:rsidRPr="00666914">
              <w:rPr>
                <w:rFonts w:eastAsia="Times New Roman"/>
                <w:sz w:val="16"/>
                <w:szCs w:val="16"/>
              </w:rPr>
              <w:t>80,1 % cieľovej hodnoty</w:t>
            </w:r>
          </w:p>
        </w:tc>
        <w:tc>
          <w:tcPr>
            <w:tcW w:w="2085" w:type="dxa"/>
            <w:tcBorders>
              <w:top w:val="nil"/>
              <w:left w:val="nil"/>
              <w:bottom w:val="single" w:sz="4" w:space="0" w:color="auto"/>
              <w:right w:val="single" w:sz="4" w:space="0" w:color="auto"/>
            </w:tcBorders>
            <w:shd w:val="clear" w:color="000000" w:fill="FFFFFF"/>
            <w:noWrap/>
            <w:vAlign w:val="center"/>
            <w:hideMark/>
          </w:tcPr>
          <w:p w14:paraId="6457E3BC" w14:textId="77777777" w:rsidR="00A1554F" w:rsidRPr="00666914" w:rsidRDefault="00A1554F" w:rsidP="00CA6146">
            <w:pPr>
              <w:spacing w:after="0"/>
              <w:jc w:val="center"/>
              <w:rPr>
                <w:rFonts w:eastAsia="Times New Roman"/>
                <w:sz w:val="16"/>
                <w:szCs w:val="16"/>
              </w:rPr>
            </w:pPr>
            <w:r w:rsidRPr="00666914">
              <w:rPr>
                <w:rFonts w:eastAsia="Times New Roman"/>
                <w:sz w:val="16"/>
                <w:szCs w:val="16"/>
              </w:rPr>
              <w:t>Rezort predložil splnené úlohy v súlade s implementačným plánom (štúdia, metodológia je hotová, schválená, zákon vstúpil do platnosti), alebo poskytnuté dáta potvrdzujú plnenie.</w:t>
            </w:r>
          </w:p>
        </w:tc>
        <w:tc>
          <w:tcPr>
            <w:tcW w:w="3160" w:type="dxa"/>
            <w:tcBorders>
              <w:top w:val="nil"/>
              <w:left w:val="nil"/>
              <w:bottom w:val="single" w:sz="4" w:space="0" w:color="auto"/>
              <w:right w:val="single" w:sz="4" w:space="0" w:color="auto"/>
            </w:tcBorders>
            <w:shd w:val="clear" w:color="000000" w:fill="FFFFFF"/>
            <w:vAlign w:val="center"/>
          </w:tcPr>
          <w:p w14:paraId="1AC87E43" w14:textId="77777777" w:rsidR="00A1554F" w:rsidRPr="00666914" w:rsidRDefault="00A1554F" w:rsidP="00661EFE">
            <w:pPr>
              <w:spacing w:after="0"/>
              <w:jc w:val="center"/>
              <w:rPr>
                <w:rFonts w:eastAsia="Times New Roman"/>
                <w:sz w:val="16"/>
                <w:szCs w:val="16"/>
              </w:rPr>
            </w:pPr>
            <w:r w:rsidRPr="00666914">
              <w:rPr>
                <w:rFonts w:eastAsia="Times New Roman"/>
                <w:sz w:val="16"/>
                <w:szCs w:val="16"/>
              </w:rPr>
              <w:t>IJ ocení dosiahnuté výsledky rezortov.</w:t>
            </w:r>
          </w:p>
          <w:p w14:paraId="18A09773" w14:textId="77777777" w:rsidR="00A1554F" w:rsidRPr="00666914" w:rsidRDefault="00A1554F" w:rsidP="00661EFE">
            <w:pPr>
              <w:spacing w:after="0"/>
              <w:jc w:val="center"/>
              <w:rPr>
                <w:rFonts w:eastAsia="Times New Roman"/>
                <w:sz w:val="16"/>
                <w:szCs w:val="16"/>
              </w:rPr>
            </w:pPr>
            <w:r w:rsidRPr="00666914">
              <w:rPr>
                <w:rFonts w:eastAsia="Times New Roman"/>
                <w:sz w:val="16"/>
                <w:szCs w:val="16"/>
              </w:rPr>
              <w:t>IJ v spolupráci s rezortom identifikuje dobrú prax, ktorá podporila akcelerovanú implementáciu opatrenia a zabezpečí jej zdieľanie s ostatnými rezortmi.</w:t>
            </w:r>
          </w:p>
          <w:p w14:paraId="63DED8B6" w14:textId="77777777" w:rsidR="00A1554F" w:rsidRPr="00666914" w:rsidRDefault="00A1554F" w:rsidP="00661EFE">
            <w:pPr>
              <w:spacing w:after="0"/>
              <w:jc w:val="center"/>
              <w:rPr>
                <w:rFonts w:eastAsia="Times New Roman"/>
                <w:sz w:val="16"/>
                <w:szCs w:val="16"/>
              </w:rPr>
            </w:pPr>
          </w:p>
        </w:tc>
      </w:tr>
      <w:tr w:rsidR="00A1554F" w:rsidRPr="00666914" w14:paraId="7E732644" w14:textId="77777777" w:rsidTr="00661EFE">
        <w:trPr>
          <w:trHeight w:val="1554"/>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9A82BD0" w14:textId="77777777" w:rsidR="00A1554F" w:rsidRPr="00666914" w:rsidRDefault="00A1554F" w:rsidP="00661EFE">
            <w:pPr>
              <w:spacing w:after="0"/>
              <w:jc w:val="center"/>
              <w:rPr>
                <w:rFonts w:eastAsia="Times New Roman"/>
                <w:b/>
                <w:bCs/>
                <w:sz w:val="16"/>
                <w:szCs w:val="16"/>
              </w:rPr>
            </w:pPr>
            <w:r w:rsidRPr="00666914">
              <w:rPr>
                <w:rFonts w:eastAsia="Times New Roman"/>
                <w:b/>
                <w:bCs/>
                <w:sz w:val="16"/>
                <w:szCs w:val="16"/>
              </w:rPr>
              <w:t>Čiastočne plní</w:t>
            </w:r>
          </w:p>
        </w:tc>
        <w:tc>
          <w:tcPr>
            <w:tcW w:w="993" w:type="dxa"/>
            <w:tcBorders>
              <w:top w:val="nil"/>
              <w:left w:val="nil"/>
              <w:bottom w:val="single" w:sz="4" w:space="0" w:color="auto"/>
              <w:right w:val="single" w:sz="4" w:space="0" w:color="auto"/>
            </w:tcBorders>
            <w:shd w:val="clear" w:color="auto" w:fill="FFC000"/>
            <w:noWrap/>
            <w:vAlign w:val="center"/>
            <w:hideMark/>
          </w:tcPr>
          <w:p w14:paraId="13A56E28" w14:textId="77777777" w:rsidR="00A1554F" w:rsidRPr="00666914" w:rsidRDefault="00A1554F" w:rsidP="00661EFE">
            <w:pPr>
              <w:spacing w:after="0"/>
              <w:jc w:val="center"/>
              <w:rPr>
                <w:rFonts w:eastAsia="Times New Roman"/>
                <w:sz w:val="16"/>
                <w:szCs w:val="16"/>
              </w:rPr>
            </w:pPr>
          </w:p>
        </w:tc>
        <w:tc>
          <w:tcPr>
            <w:tcW w:w="1275" w:type="dxa"/>
            <w:tcBorders>
              <w:top w:val="nil"/>
              <w:left w:val="nil"/>
              <w:bottom w:val="single" w:sz="4" w:space="0" w:color="auto"/>
              <w:right w:val="single" w:sz="4" w:space="0" w:color="auto"/>
            </w:tcBorders>
            <w:shd w:val="clear" w:color="000000" w:fill="FFFFFF"/>
            <w:noWrap/>
            <w:vAlign w:val="center"/>
            <w:hideMark/>
          </w:tcPr>
          <w:p w14:paraId="4C7FB2B9" w14:textId="77777777" w:rsidR="00A1554F" w:rsidRPr="00666914" w:rsidRDefault="00A1554F" w:rsidP="00661EFE">
            <w:pPr>
              <w:spacing w:after="0"/>
              <w:jc w:val="center"/>
              <w:rPr>
                <w:rFonts w:eastAsia="Times New Roman"/>
                <w:sz w:val="16"/>
                <w:szCs w:val="16"/>
              </w:rPr>
            </w:pPr>
            <w:r w:rsidRPr="00666914">
              <w:rPr>
                <w:rFonts w:eastAsia="Times New Roman"/>
                <w:sz w:val="16"/>
                <w:szCs w:val="16"/>
              </w:rPr>
              <w:t>80 % - 40,1 % cieľovej hodnoty</w:t>
            </w:r>
          </w:p>
        </w:tc>
        <w:tc>
          <w:tcPr>
            <w:tcW w:w="2085" w:type="dxa"/>
            <w:tcBorders>
              <w:top w:val="nil"/>
              <w:left w:val="nil"/>
              <w:bottom w:val="single" w:sz="4" w:space="0" w:color="auto"/>
              <w:right w:val="single" w:sz="4" w:space="0" w:color="auto"/>
            </w:tcBorders>
            <w:shd w:val="clear" w:color="000000" w:fill="FFFFFF"/>
            <w:noWrap/>
            <w:vAlign w:val="center"/>
            <w:hideMark/>
          </w:tcPr>
          <w:p w14:paraId="59F833E7" w14:textId="77777777" w:rsidR="00A1554F" w:rsidRPr="00666914" w:rsidRDefault="00A1554F" w:rsidP="00661EFE">
            <w:pPr>
              <w:spacing w:after="0"/>
              <w:jc w:val="center"/>
              <w:rPr>
                <w:rFonts w:eastAsia="Times New Roman"/>
                <w:sz w:val="16"/>
                <w:szCs w:val="16"/>
              </w:rPr>
            </w:pPr>
            <w:r w:rsidRPr="00666914">
              <w:rPr>
                <w:rFonts w:eastAsia="Times New Roman"/>
                <w:sz w:val="16"/>
                <w:szCs w:val="16"/>
              </w:rPr>
              <w:t>Rezort úlohu plní, ale má len pracovné verzie a s finalizáciou úlohy mešká.</w:t>
            </w:r>
          </w:p>
          <w:p w14:paraId="21EC16D0" w14:textId="77777777" w:rsidR="00A1554F" w:rsidRPr="00666914" w:rsidRDefault="00A1554F" w:rsidP="00661EFE">
            <w:pPr>
              <w:spacing w:after="0"/>
              <w:jc w:val="center"/>
              <w:rPr>
                <w:rFonts w:eastAsia="Times New Roman"/>
                <w:sz w:val="16"/>
                <w:szCs w:val="16"/>
              </w:rPr>
            </w:pPr>
          </w:p>
        </w:tc>
        <w:tc>
          <w:tcPr>
            <w:tcW w:w="3160" w:type="dxa"/>
            <w:tcBorders>
              <w:top w:val="nil"/>
              <w:left w:val="nil"/>
              <w:bottom w:val="single" w:sz="4" w:space="0" w:color="auto"/>
              <w:right w:val="single" w:sz="4" w:space="0" w:color="auto"/>
            </w:tcBorders>
            <w:shd w:val="clear" w:color="000000" w:fill="FFFFFF"/>
            <w:vAlign w:val="center"/>
          </w:tcPr>
          <w:p w14:paraId="7933E0A2" w14:textId="77777777" w:rsidR="00A1554F" w:rsidRPr="00666914" w:rsidRDefault="00A1554F" w:rsidP="00661EFE">
            <w:pPr>
              <w:spacing w:after="0"/>
              <w:jc w:val="center"/>
              <w:rPr>
                <w:rFonts w:eastAsia="Times New Roman"/>
                <w:sz w:val="16"/>
                <w:szCs w:val="16"/>
              </w:rPr>
            </w:pPr>
            <w:r w:rsidRPr="00666914">
              <w:rPr>
                <w:rFonts w:eastAsia="Times New Roman"/>
                <w:sz w:val="16"/>
                <w:szCs w:val="16"/>
              </w:rPr>
              <w:t>IJ zisťuje, prečo dochádza k oneskoreniu a žiada návrh aktivít zo strany rezortu, ktorými plánuje implementáciu akcelerovať.</w:t>
            </w:r>
          </w:p>
          <w:p w14:paraId="563D9419" w14:textId="77777777" w:rsidR="00A1554F" w:rsidRPr="00666914" w:rsidRDefault="00A1554F" w:rsidP="00661EFE">
            <w:pPr>
              <w:spacing w:after="0"/>
              <w:jc w:val="center"/>
              <w:rPr>
                <w:rFonts w:eastAsia="Times New Roman"/>
                <w:sz w:val="16"/>
                <w:szCs w:val="16"/>
              </w:rPr>
            </w:pPr>
            <w:r w:rsidRPr="00666914">
              <w:rPr>
                <w:rFonts w:eastAsia="Times New Roman"/>
                <w:sz w:val="16"/>
                <w:szCs w:val="16"/>
              </w:rPr>
              <w:t>Implementácia týchto aktivít sa potom skontroluje pri najbližšom štvrťročnom vyhodnocovaní.</w:t>
            </w:r>
          </w:p>
          <w:p w14:paraId="136756A1" w14:textId="77777777" w:rsidR="00A1554F" w:rsidRPr="00666914" w:rsidRDefault="00A1554F" w:rsidP="00CA6146">
            <w:pPr>
              <w:spacing w:after="0"/>
              <w:jc w:val="center"/>
              <w:rPr>
                <w:rFonts w:eastAsia="Times New Roman"/>
                <w:sz w:val="16"/>
                <w:szCs w:val="16"/>
              </w:rPr>
            </w:pPr>
            <w:r w:rsidRPr="00666914">
              <w:rPr>
                <w:rFonts w:eastAsia="Times New Roman"/>
                <w:sz w:val="16"/>
                <w:szCs w:val="16"/>
              </w:rPr>
              <w:t>IJ podporí zdieľanie identifikovanej dobrej praxe z</w:t>
            </w:r>
            <w:r w:rsidR="00003903" w:rsidRPr="00666914">
              <w:rPr>
                <w:rFonts w:eastAsia="Times New Roman"/>
                <w:sz w:val="16"/>
                <w:szCs w:val="16"/>
              </w:rPr>
              <w:t> </w:t>
            </w:r>
            <w:r w:rsidRPr="00666914">
              <w:rPr>
                <w:rFonts w:eastAsia="Times New Roman"/>
                <w:sz w:val="16"/>
                <w:szCs w:val="16"/>
              </w:rPr>
              <w:t>ostatných rezortov.</w:t>
            </w:r>
          </w:p>
        </w:tc>
      </w:tr>
      <w:tr w:rsidR="00A1554F" w:rsidRPr="00666914" w14:paraId="10DE18BA" w14:textId="77777777" w:rsidTr="00661EFE">
        <w:trPr>
          <w:trHeight w:val="19"/>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FFF5B" w14:textId="77777777" w:rsidR="00A1554F" w:rsidRPr="00666914" w:rsidRDefault="00A1554F" w:rsidP="00661EFE">
            <w:pPr>
              <w:spacing w:after="0"/>
              <w:jc w:val="center"/>
              <w:rPr>
                <w:rFonts w:eastAsia="Times New Roman"/>
                <w:b/>
                <w:bCs/>
                <w:sz w:val="16"/>
                <w:szCs w:val="16"/>
              </w:rPr>
            </w:pPr>
          </w:p>
          <w:p w14:paraId="09441B41" w14:textId="77777777" w:rsidR="00A1554F" w:rsidRPr="00666914" w:rsidRDefault="00A1554F" w:rsidP="00661EFE">
            <w:pPr>
              <w:spacing w:after="0"/>
              <w:jc w:val="center"/>
              <w:rPr>
                <w:rFonts w:eastAsia="Times New Roman"/>
                <w:b/>
                <w:bCs/>
                <w:sz w:val="16"/>
                <w:szCs w:val="16"/>
              </w:rPr>
            </w:pPr>
            <w:r w:rsidRPr="00666914">
              <w:rPr>
                <w:rFonts w:eastAsia="Times New Roman"/>
                <w:b/>
                <w:bCs/>
                <w:sz w:val="16"/>
                <w:szCs w:val="16"/>
              </w:rPr>
              <w:t>Neplní</w:t>
            </w:r>
          </w:p>
          <w:p w14:paraId="14D6543F" w14:textId="77777777" w:rsidR="00A1554F" w:rsidRPr="00666914" w:rsidRDefault="00A1554F" w:rsidP="00661EFE">
            <w:pPr>
              <w:spacing w:after="0"/>
              <w:jc w:val="center"/>
              <w:rPr>
                <w:rFonts w:eastAsia="Times New Roman"/>
                <w:b/>
                <w:bCs/>
                <w:sz w:val="16"/>
                <w:szCs w:val="16"/>
              </w:rPr>
            </w:pPr>
          </w:p>
          <w:p w14:paraId="7D6AC13C" w14:textId="77777777" w:rsidR="00A1554F" w:rsidRPr="00666914" w:rsidRDefault="00A1554F" w:rsidP="00661EFE">
            <w:pPr>
              <w:spacing w:after="0"/>
              <w:jc w:val="center"/>
              <w:rPr>
                <w:rFonts w:eastAsia="Times New Roman"/>
                <w:b/>
                <w:bCs/>
                <w:sz w:val="16"/>
                <w:szCs w:val="16"/>
              </w:rPr>
            </w:pPr>
          </w:p>
        </w:tc>
        <w:tc>
          <w:tcPr>
            <w:tcW w:w="993" w:type="dxa"/>
            <w:tcBorders>
              <w:top w:val="single" w:sz="4" w:space="0" w:color="auto"/>
              <w:left w:val="nil"/>
              <w:bottom w:val="single" w:sz="4" w:space="0" w:color="auto"/>
              <w:right w:val="single" w:sz="4" w:space="0" w:color="auto"/>
            </w:tcBorders>
            <w:shd w:val="clear" w:color="auto" w:fill="FF0000"/>
            <w:noWrap/>
            <w:vAlign w:val="center"/>
            <w:hideMark/>
          </w:tcPr>
          <w:p w14:paraId="03841E86" w14:textId="77777777" w:rsidR="00A1554F" w:rsidRPr="00666914" w:rsidRDefault="00A1554F" w:rsidP="00661EFE">
            <w:pPr>
              <w:spacing w:after="0"/>
              <w:jc w:val="center"/>
              <w:rPr>
                <w:rFonts w:eastAsia="Times New Roman"/>
                <w:sz w:val="16"/>
                <w:szCs w:val="16"/>
              </w:rPr>
            </w:pP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14:paraId="7E93BABD" w14:textId="77777777" w:rsidR="00A1554F" w:rsidRPr="00666914" w:rsidRDefault="00A1554F" w:rsidP="00661EFE">
            <w:pPr>
              <w:spacing w:after="0"/>
              <w:jc w:val="center"/>
              <w:rPr>
                <w:rFonts w:eastAsia="Times New Roman"/>
                <w:sz w:val="16"/>
                <w:szCs w:val="16"/>
              </w:rPr>
            </w:pPr>
            <w:r w:rsidRPr="00666914">
              <w:rPr>
                <w:rFonts w:eastAsia="Times New Roman"/>
                <w:sz w:val="16"/>
                <w:szCs w:val="16"/>
              </w:rPr>
              <w:t xml:space="preserve">40 % - 0,1 % </w:t>
            </w:r>
            <w:r w:rsidRPr="00666914">
              <w:rPr>
                <w:rFonts w:eastAsia="Times New Roman"/>
                <w:sz w:val="16"/>
                <w:szCs w:val="16"/>
              </w:rPr>
              <w:br/>
              <w:t>cieľovej hodnoty</w:t>
            </w:r>
          </w:p>
        </w:tc>
        <w:tc>
          <w:tcPr>
            <w:tcW w:w="2085" w:type="dxa"/>
            <w:tcBorders>
              <w:top w:val="single" w:sz="4" w:space="0" w:color="auto"/>
              <w:left w:val="nil"/>
              <w:bottom w:val="single" w:sz="4" w:space="0" w:color="auto"/>
              <w:right w:val="single" w:sz="4" w:space="0" w:color="auto"/>
            </w:tcBorders>
            <w:shd w:val="clear" w:color="000000" w:fill="FFFFFF"/>
            <w:noWrap/>
            <w:vAlign w:val="center"/>
            <w:hideMark/>
          </w:tcPr>
          <w:p w14:paraId="046FF07B" w14:textId="77777777" w:rsidR="00A1554F" w:rsidRPr="00666914" w:rsidRDefault="00A1554F" w:rsidP="00661EFE">
            <w:pPr>
              <w:spacing w:after="0"/>
              <w:jc w:val="center"/>
              <w:rPr>
                <w:rFonts w:eastAsia="Times New Roman"/>
                <w:sz w:val="16"/>
                <w:szCs w:val="16"/>
              </w:rPr>
            </w:pPr>
            <w:r w:rsidRPr="00666914">
              <w:rPr>
                <w:rFonts w:eastAsia="Times New Roman"/>
                <w:sz w:val="16"/>
                <w:szCs w:val="16"/>
              </w:rPr>
              <w:t>Rezort opatrenie začal, ale pokrok je nedostatočný, neplní termíny, resp. výstupy sú kvalitatívne nedostatočné.</w:t>
            </w:r>
          </w:p>
          <w:p w14:paraId="5569500F" w14:textId="77777777" w:rsidR="00A1554F" w:rsidRPr="00666914" w:rsidRDefault="00A1554F" w:rsidP="00661EFE">
            <w:pPr>
              <w:spacing w:after="0"/>
              <w:jc w:val="center"/>
              <w:rPr>
                <w:rFonts w:eastAsia="Times New Roman"/>
                <w:sz w:val="16"/>
                <w:szCs w:val="16"/>
              </w:rPr>
            </w:pPr>
          </w:p>
        </w:tc>
        <w:tc>
          <w:tcPr>
            <w:tcW w:w="3160" w:type="dxa"/>
            <w:tcBorders>
              <w:top w:val="single" w:sz="4" w:space="0" w:color="auto"/>
              <w:left w:val="nil"/>
              <w:bottom w:val="single" w:sz="4" w:space="0" w:color="auto"/>
              <w:right w:val="single" w:sz="4" w:space="0" w:color="auto"/>
            </w:tcBorders>
            <w:shd w:val="clear" w:color="000000" w:fill="FFFFFF"/>
            <w:vAlign w:val="center"/>
          </w:tcPr>
          <w:p w14:paraId="44314430" w14:textId="77777777" w:rsidR="00A1554F" w:rsidRPr="00666914" w:rsidRDefault="00A1554F" w:rsidP="00661EFE">
            <w:pPr>
              <w:spacing w:after="0"/>
              <w:jc w:val="center"/>
              <w:rPr>
                <w:rFonts w:eastAsia="Times New Roman"/>
                <w:sz w:val="16"/>
                <w:szCs w:val="16"/>
              </w:rPr>
            </w:pPr>
            <w:r w:rsidRPr="00666914">
              <w:rPr>
                <w:rFonts w:eastAsia="Times New Roman"/>
                <w:sz w:val="16"/>
                <w:szCs w:val="16"/>
              </w:rPr>
              <w:t>Toto signalizuje, že sa implementácia zablokovala v začiatku, nezačala sa, alebo sa implementujú opatrenia s opačným efektom. IJ analyzuje dôvody slabých výsledkov, formuluje odporúčania a poskytne aktívnu pomoc pri analýze, odblokovaní, akcelerácii alebo expertnej podpore.</w:t>
            </w:r>
          </w:p>
          <w:p w14:paraId="3111BF21" w14:textId="77777777" w:rsidR="00A1554F" w:rsidRPr="00666914" w:rsidRDefault="00A1554F" w:rsidP="00CA6146">
            <w:pPr>
              <w:spacing w:after="0"/>
              <w:jc w:val="center"/>
              <w:rPr>
                <w:rFonts w:eastAsia="Times New Roman"/>
                <w:sz w:val="16"/>
                <w:szCs w:val="16"/>
              </w:rPr>
            </w:pPr>
            <w:r w:rsidRPr="00666914">
              <w:rPr>
                <w:rFonts w:eastAsia="Times New Roman"/>
                <w:sz w:val="16"/>
                <w:szCs w:val="16"/>
              </w:rPr>
              <w:t>Implementácia týchto aktivít sa skontroluje pri najbližšom štvrťročnom vyhodnotení.</w:t>
            </w:r>
          </w:p>
        </w:tc>
      </w:tr>
      <w:tr w:rsidR="00A1554F" w:rsidRPr="00666914" w14:paraId="5A3C71F2" w14:textId="77777777" w:rsidTr="00661EFE">
        <w:trPr>
          <w:trHeight w:val="19"/>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336752D7" w14:textId="77777777" w:rsidR="00A1554F" w:rsidRPr="00666914" w:rsidRDefault="00A1554F" w:rsidP="00661EFE">
            <w:pPr>
              <w:spacing w:after="0"/>
              <w:jc w:val="center"/>
              <w:rPr>
                <w:rFonts w:eastAsia="Times New Roman"/>
                <w:b/>
                <w:bCs/>
                <w:sz w:val="16"/>
                <w:szCs w:val="16"/>
              </w:rPr>
            </w:pPr>
            <w:r w:rsidRPr="00666914">
              <w:rPr>
                <w:rFonts w:eastAsia="Times New Roman"/>
                <w:b/>
                <w:bCs/>
                <w:sz w:val="16"/>
                <w:szCs w:val="16"/>
              </w:rPr>
              <w:t>Nadmerné výdavky alebo nedodané dáta</w:t>
            </w:r>
          </w:p>
        </w:tc>
        <w:tc>
          <w:tcPr>
            <w:tcW w:w="993" w:type="dxa"/>
            <w:tcBorders>
              <w:top w:val="nil"/>
              <w:left w:val="nil"/>
              <w:bottom w:val="single" w:sz="4" w:space="0" w:color="auto"/>
              <w:right w:val="single" w:sz="4" w:space="0" w:color="auto"/>
            </w:tcBorders>
            <w:shd w:val="clear" w:color="auto" w:fill="C00000"/>
            <w:noWrap/>
            <w:vAlign w:val="center"/>
            <w:hideMark/>
          </w:tcPr>
          <w:p w14:paraId="1DE1CF95" w14:textId="77777777" w:rsidR="00A1554F" w:rsidRPr="00666914" w:rsidRDefault="00A1554F" w:rsidP="00661EFE">
            <w:pPr>
              <w:spacing w:after="0"/>
              <w:jc w:val="center"/>
              <w:rPr>
                <w:rFonts w:eastAsia="Times New Roman"/>
                <w:sz w:val="16"/>
                <w:szCs w:val="16"/>
              </w:rPr>
            </w:pPr>
          </w:p>
        </w:tc>
        <w:tc>
          <w:tcPr>
            <w:tcW w:w="1275" w:type="dxa"/>
            <w:tcBorders>
              <w:top w:val="nil"/>
              <w:left w:val="nil"/>
              <w:bottom w:val="single" w:sz="4" w:space="0" w:color="auto"/>
              <w:right w:val="single" w:sz="4" w:space="0" w:color="auto"/>
            </w:tcBorders>
            <w:shd w:val="clear" w:color="000000" w:fill="FFFFFF"/>
            <w:noWrap/>
            <w:vAlign w:val="center"/>
            <w:hideMark/>
          </w:tcPr>
          <w:p w14:paraId="7AE559EC" w14:textId="77777777" w:rsidR="00A1554F" w:rsidRPr="00666914" w:rsidRDefault="00A1554F" w:rsidP="00661EFE">
            <w:pPr>
              <w:spacing w:after="0"/>
              <w:jc w:val="center"/>
              <w:rPr>
                <w:rFonts w:eastAsia="Times New Roman"/>
                <w:sz w:val="16"/>
                <w:szCs w:val="16"/>
              </w:rPr>
            </w:pPr>
            <w:r w:rsidRPr="00666914">
              <w:rPr>
                <w:rFonts w:eastAsia="Times New Roman"/>
                <w:sz w:val="16"/>
                <w:szCs w:val="16"/>
              </w:rPr>
              <w:t xml:space="preserve">0 % </w:t>
            </w:r>
            <w:r w:rsidRPr="00666914">
              <w:rPr>
                <w:rFonts w:eastAsia="Times New Roman"/>
                <w:sz w:val="16"/>
                <w:szCs w:val="16"/>
              </w:rPr>
              <w:br/>
              <w:t>a menej cieľovej hodnoty</w:t>
            </w:r>
          </w:p>
        </w:tc>
        <w:tc>
          <w:tcPr>
            <w:tcW w:w="2085" w:type="dxa"/>
            <w:tcBorders>
              <w:top w:val="nil"/>
              <w:left w:val="nil"/>
              <w:bottom w:val="single" w:sz="4" w:space="0" w:color="auto"/>
              <w:right w:val="single" w:sz="4" w:space="0" w:color="auto"/>
            </w:tcBorders>
            <w:shd w:val="clear" w:color="000000" w:fill="FFFFFF"/>
            <w:noWrap/>
            <w:vAlign w:val="center"/>
            <w:hideMark/>
          </w:tcPr>
          <w:p w14:paraId="4BB7A7EC" w14:textId="77777777" w:rsidR="00A1554F" w:rsidRPr="00666914" w:rsidRDefault="00A1554F" w:rsidP="00661EFE">
            <w:pPr>
              <w:spacing w:after="0"/>
              <w:jc w:val="center"/>
              <w:rPr>
                <w:rFonts w:eastAsia="Times New Roman"/>
                <w:sz w:val="16"/>
                <w:szCs w:val="16"/>
              </w:rPr>
            </w:pPr>
          </w:p>
          <w:p w14:paraId="5FB1E5DE" w14:textId="77777777" w:rsidR="00A1554F" w:rsidRPr="00666914" w:rsidRDefault="00A1554F" w:rsidP="00661EFE">
            <w:pPr>
              <w:spacing w:after="0"/>
              <w:jc w:val="center"/>
              <w:rPr>
                <w:rFonts w:eastAsia="Times New Roman"/>
                <w:sz w:val="16"/>
                <w:szCs w:val="16"/>
              </w:rPr>
            </w:pPr>
            <w:r w:rsidRPr="00666914">
              <w:rPr>
                <w:rFonts w:eastAsia="Times New Roman"/>
                <w:sz w:val="16"/>
                <w:szCs w:val="16"/>
              </w:rPr>
              <w:t>Rezort nedodal informácie alebo dáta.</w:t>
            </w:r>
          </w:p>
          <w:p w14:paraId="46CC6D62" w14:textId="77777777" w:rsidR="00003903" w:rsidRPr="00666914" w:rsidRDefault="00003903" w:rsidP="00661EFE">
            <w:pPr>
              <w:spacing w:after="0"/>
              <w:jc w:val="center"/>
              <w:rPr>
                <w:rFonts w:eastAsia="Times New Roman"/>
                <w:sz w:val="16"/>
                <w:szCs w:val="16"/>
              </w:rPr>
            </w:pPr>
          </w:p>
          <w:p w14:paraId="2B8D2C7C" w14:textId="77777777" w:rsidR="00A1554F" w:rsidRPr="00666914" w:rsidRDefault="00A1554F" w:rsidP="00661EFE">
            <w:pPr>
              <w:spacing w:after="0"/>
              <w:jc w:val="center"/>
              <w:rPr>
                <w:rFonts w:eastAsia="Times New Roman"/>
                <w:sz w:val="16"/>
                <w:szCs w:val="16"/>
              </w:rPr>
            </w:pPr>
          </w:p>
        </w:tc>
        <w:tc>
          <w:tcPr>
            <w:tcW w:w="3160" w:type="dxa"/>
            <w:tcBorders>
              <w:top w:val="single" w:sz="4" w:space="0" w:color="auto"/>
              <w:left w:val="nil"/>
              <w:bottom w:val="single" w:sz="4" w:space="0" w:color="auto"/>
              <w:right w:val="single" w:sz="4" w:space="0" w:color="auto"/>
            </w:tcBorders>
            <w:shd w:val="clear" w:color="000000" w:fill="FFFFFF"/>
            <w:vAlign w:val="center"/>
          </w:tcPr>
          <w:p w14:paraId="61F04964" w14:textId="77777777" w:rsidR="00A1554F" w:rsidRPr="00666914" w:rsidRDefault="00A1554F" w:rsidP="00661EFE">
            <w:pPr>
              <w:spacing w:after="0"/>
              <w:jc w:val="center"/>
              <w:rPr>
                <w:rFonts w:eastAsia="Times New Roman"/>
                <w:sz w:val="16"/>
                <w:szCs w:val="16"/>
              </w:rPr>
            </w:pPr>
          </w:p>
        </w:tc>
      </w:tr>
      <w:tr w:rsidR="00A1554F" w:rsidRPr="00666914" w14:paraId="7C29054B" w14:textId="77777777" w:rsidTr="002D0DA7">
        <w:trPr>
          <w:trHeight w:val="19"/>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5BEC2AFA" w14:textId="77777777" w:rsidR="00A1554F" w:rsidRPr="00666914" w:rsidRDefault="00A1554F" w:rsidP="00003903">
            <w:pPr>
              <w:spacing w:after="0"/>
              <w:jc w:val="center"/>
              <w:rPr>
                <w:rFonts w:eastAsia="Times New Roman"/>
                <w:sz w:val="16"/>
                <w:szCs w:val="16"/>
              </w:rPr>
            </w:pPr>
            <w:r w:rsidRPr="00666914">
              <w:rPr>
                <w:rFonts w:eastAsia="Times New Roman"/>
                <w:b/>
                <w:bCs/>
                <w:sz w:val="16"/>
                <w:szCs w:val="16"/>
              </w:rPr>
              <w:t>Opatrenie sa v sledovanom období nevyhodnocuje</w:t>
            </w:r>
          </w:p>
        </w:tc>
        <w:tc>
          <w:tcPr>
            <w:tcW w:w="993" w:type="dxa"/>
            <w:tcBorders>
              <w:top w:val="single" w:sz="4" w:space="0" w:color="auto"/>
              <w:left w:val="nil"/>
              <w:bottom w:val="single" w:sz="4" w:space="0" w:color="auto"/>
              <w:right w:val="single" w:sz="4" w:space="0" w:color="auto"/>
            </w:tcBorders>
            <w:shd w:val="clear" w:color="auto" w:fill="A6A6A6"/>
            <w:noWrap/>
            <w:vAlign w:val="center"/>
          </w:tcPr>
          <w:p w14:paraId="0E399F67" w14:textId="77777777" w:rsidR="00A1554F" w:rsidRPr="00666914" w:rsidRDefault="00A1554F" w:rsidP="00661EFE">
            <w:pPr>
              <w:spacing w:after="0"/>
              <w:jc w:val="center"/>
              <w:rPr>
                <w:rFonts w:eastAsia="Times New Roman"/>
                <w:sz w:val="16"/>
                <w:szCs w:val="16"/>
              </w:rPr>
            </w:pPr>
          </w:p>
        </w:tc>
        <w:tc>
          <w:tcPr>
            <w:tcW w:w="1275" w:type="dxa"/>
            <w:tcBorders>
              <w:top w:val="single" w:sz="4" w:space="0" w:color="auto"/>
              <w:left w:val="nil"/>
              <w:bottom w:val="single" w:sz="4" w:space="0" w:color="auto"/>
              <w:right w:val="single" w:sz="4" w:space="0" w:color="auto"/>
            </w:tcBorders>
            <w:shd w:val="clear" w:color="000000" w:fill="FFFFFF"/>
            <w:noWrap/>
            <w:vAlign w:val="center"/>
          </w:tcPr>
          <w:p w14:paraId="53A4D915" w14:textId="77777777" w:rsidR="00A1554F" w:rsidRPr="00666914" w:rsidRDefault="00A1554F" w:rsidP="00661EFE">
            <w:pPr>
              <w:spacing w:after="0"/>
              <w:jc w:val="center"/>
              <w:rPr>
                <w:rFonts w:eastAsia="Times New Roman"/>
                <w:sz w:val="16"/>
                <w:szCs w:val="16"/>
              </w:rPr>
            </w:pPr>
          </w:p>
        </w:tc>
        <w:tc>
          <w:tcPr>
            <w:tcW w:w="2085" w:type="dxa"/>
            <w:tcBorders>
              <w:top w:val="single" w:sz="4" w:space="0" w:color="auto"/>
              <w:left w:val="nil"/>
              <w:bottom w:val="single" w:sz="4" w:space="0" w:color="auto"/>
              <w:right w:val="single" w:sz="4" w:space="0" w:color="auto"/>
            </w:tcBorders>
            <w:shd w:val="clear" w:color="000000" w:fill="FFFFFF"/>
            <w:noWrap/>
            <w:vAlign w:val="center"/>
          </w:tcPr>
          <w:p w14:paraId="7628C9FA" w14:textId="77777777" w:rsidR="00A1554F" w:rsidRPr="00666914" w:rsidRDefault="00A1554F" w:rsidP="00661EFE">
            <w:pPr>
              <w:spacing w:after="0"/>
              <w:jc w:val="center"/>
              <w:rPr>
                <w:rFonts w:eastAsia="Times New Roman"/>
                <w:sz w:val="16"/>
                <w:szCs w:val="16"/>
              </w:rPr>
            </w:pPr>
            <w:r w:rsidRPr="00666914">
              <w:rPr>
                <w:rFonts w:eastAsia="Times New Roman"/>
                <w:sz w:val="16"/>
                <w:szCs w:val="16"/>
              </w:rPr>
              <w:t>Rezort nezačal opatrenie plniť, má ho naplánované na ďalší rok oproti plánovanému implementačnému plánu, dáta na jeho odpočet nie sú dostupné.</w:t>
            </w:r>
          </w:p>
        </w:tc>
        <w:tc>
          <w:tcPr>
            <w:tcW w:w="3160" w:type="dxa"/>
            <w:tcBorders>
              <w:top w:val="single" w:sz="4" w:space="0" w:color="auto"/>
              <w:left w:val="nil"/>
              <w:bottom w:val="single" w:sz="4" w:space="0" w:color="auto"/>
              <w:right w:val="single" w:sz="4" w:space="0" w:color="auto"/>
            </w:tcBorders>
            <w:shd w:val="clear" w:color="000000" w:fill="FFFFFF"/>
            <w:vAlign w:val="center"/>
          </w:tcPr>
          <w:p w14:paraId="15D96360" w14:textId="77777777" w:rsidR="00A1554F" w:rsidRPr="00666914" w:rsidRDefault="00A1554F" w:rsidP="00661EFE">
            <w:pPr>
              <w:spacing w:after="0"/>
              <w:jc w:val="center"/>
              <w:rPr>
                <w:rFonts w:eastAsia="Times New Roman"/>
                <w:sz w:val="16"/>
                <w:szCs w:val="16"/>
              </w:rPr>
            </w:pPr>
            <w:r w:rsidRPr="00666914">
              <w:rPr>
                <w:rFonts w:eastAsia="Times New Roman"/>
                <w:sz w:val="16"/>
                <w:szCs w:val="16"/>
              </w:rPr>
              <w:t>Opatrenie bude zaradené do implementačného plánu príslušného roka, v ktorom sa bude hodnotiť.</w:t>
            </w:r>
          </w:p>
          <w:p w14:paraId="4FC60E8D" w14:textId="77777777" w:rsidR="00A1554F" w:rsidRPr="00666914" w:rsidRDefault="00A1554F" w:rsidP="00661EFE">
            <w:pPr>
              <w:spacing w:after="0"/>
              <w:jc w:val="center"/>
              <w:rPr>
                <w:rFonts w:eastAsia="Times New Roman"/>
                <w:sz w:val="16"/>
                <w:szCs w:val="16"/>
              </w:rPr>
            </w:pPr>
          </w:p>
        </w:tc>
      </w:tr>
    </w:tbl>
    <w:p w14:paraId="4CBD18CA" w14:textId="77777777" w:rsidR="00A1554F" w:rsidRPr="00666914" w:rsidRDefault="00A1554F" w:rsidP="00AB3B93"/>
    <w:p w14:paraId="6DE321FF" w14:textId="77777777" w:rsidR="008A4FED" w:rsidRPr="00666914" w:rsidRDefault="008A4FED" w:rsidP="00F64B85">
      <w:pPr>
        <w:pStyle w:val="Nadpis1"/>
        <w:spacing w:after="0"/>
      </w:pPr>
      <w:bookmarkStart w:id="10" w:name="_Zdravotníctvo_–_odpočet"/>
      <w:bookmarkStart w:id="11" w:name="_Vzdelávanie_–_odpočet_1"/>
      <w:bookmarkStart w:id="12" w:name="_Vzdelávanie_–_odpočet"/>
      <w:bookmarkStart w:id="13" w:name="_Toc36547008"/>
      <w:bookmarkStart w:id="14" w:name="_Toc38447579"/>
      <w:bookmarkStart w:id="15" w:name="_Toc508800941"/>
      <w:bookmarkStart w:id="16" w:name="_Toc6321903"/>
      <w:bookmarkStart w:id="17" w:name="_Toc523732840"/>
      <w:bookmarkEnd w:id="9"/>
      <w:bookmarkEnd w:id="10"/>
      <w:bookmarkEnd w:id="11"/>
      <w:bookmarkEnd w:id="12"/>
      <w:r w:rsidRPr="00666914">
        <w:lastRenderedPageBreak/>
        <w:t>Zdravotníctvo</w:t>
      </w:r>
      <w:bookmarkEnd w:id="13"/>
      <w:bookmarkEnd w:id="14"/>
    </w:p>
    <w:p w14:paraId="3D9C2D65" w14:textId="77777777" w:rsidR="008A4FED" w:rsidRPr="00666914" w:rsidRDefault="008A4FED" w:rsidP="00F64B85">
      <w:pPr>
        <w:pStyle w:val="Nadpis2"/>
      </w:pPr>
      <w:bookmarkStart w:id="18" w:name="_Toc36547009"/>
      <w:bookmarkStart w:id="19" w:name="_Toc38447580"/>
      <w:r w:rsidRPr="00666914">
        <w:t>Zhrnutie</w:t>
      </w:r>
      <w:bookmarkEnd w:id="18"/>
      <w:bookmarkEnd w:id="19"/>
    </w:p>
    <w:p w14:paraId="2B865BFA" w14:textId="77777777" w:rsidR="008A4FED" w:rsidRPr="00666914" w:rsidRDefault="008A4FED" w:rsidP="00F64B85">
      <w:bookmarkStart w:id="20" w:name="_Toc5636401"/>
      <w:r w:rsidRPr="00666914">
        <w:t>I</w:t>
      </w:r>
      <w:r w:rsidRPr="00666914">
        <w:rPr>
          <w:b/>
        </w:rPr>
        <w:t>mplementáciou úsporných opatrení Revízie výdavkov na zdravotníctvo I. z roku 2016 sa k 31.12.2019 ušetrilo 106 mil. eur ročne na výdavkoch verejného zdravotného poistenia.</w:t>
      </w:r>
      <w:r w:rsidRPr="00666914">
        <w:t xml:space="preserve"> V opatreniach liekovej politiky – oblasti s najväčším úsporným potenciálom, sa dosiahla úspora predovšetkým v úhradách za lieky na recept vo verejných lekárňach, a to v prvých rokoch implementácie revízie. Širšie využívanie elektronickej preskripcie v roku 2019 sa však nepremietlo do očakávaných nižších výdavkov za lieky na recept. Pozitívny efekt na liekovú politiku predpokladajú novelizácie liekových zákonov</w:t>
      </w:r>
      <w:r w:rsidRPr="00666914">
        <w:rPr>
          <w:rStyle w:val="Odkaznapoznmkupodiarou"/>
        </w:rPr>
        <w:footnoteReference w:id="3"/>
      </w:r>
      <w:r w:rsidRPr="00666914">
        <w:t xml:space="preserve"> v roku 2019, ktorými je v legislatívne zavedené externé referencovanie cien liekov aj na rôzne veľkosti balenia, úprava podmienok uplatnenia výnimky z tzv. fixného doplatku a opatrenia pre zamedzenie reexportu liekov. Problémom naďalej ostávajú rastúce úhrady za lieky na výnimky. </w:t>
      </w:r>
    </w:p>
    <w:p w14:paraId="5C8348F4" w14:textId="7B2CBCC2" w:rsidR="008A4FED" w:rsidRPr="00666914" w:rsidRDefault="008A4FED" w:rsidP="00F64B85">
      <w:r w:rsidRPr="00666914">
        <w:rPr>
          <w:b/>
        </w:rPr>
        <w:t>Úsporné opatrenia v univerzitných a fakultných nemocniciach neboli ku koncu roka 2019 splnené</w:t>
      </w:r>
      <w:r w:rsidR="00D53B0A" w:rsidRPr="00666914">
        <w:rPr>
          <w:b/>
        </w:rPr>
        <w:t>,</w:t>
      </w:r>
      <w:r w:rsidRPr="00666914">
        <w:rPr>
          <w:b/>
        </w:rPr>
        <w:t xml:space="preserve"> a to z dôvodu zlého nastavenia cieľových hodnôt, ako aj nedostatočného tlaku na dosahovanie úspor.</w:t>
      </w:r>
      <w:r w:rsidRPr="00666914">
        <w:t xml:space="preserve"> Namiesto úspor sa náklady štátnych nemocníc na lieky, špeciálny zdravotnícky materiál a prevádzku medzi rokmi 2016 a 2019 zvýšili o  106,2 mil. eur. Osobné náklady na nemocničný personál vzrástli v rovnakom období o 134,8 mil. eur – cieľová hodnota opatrenia však nebola nastavená správne a prehliadala existenciu platového automatu. Hospodársky výsledok nemocníc sa však zlepšil predovšetkým vďaka oddlžovaniu zdravotníckych zariadení</w:t>
      </w:r>
      <w:r w:rsidRPr="00666914">
        <w:rPr>
          <w:rStyle w:val="Odkaznapoznmkupodiarou"/>
        </w:rPr>
        <w:footnoteReference w:id="4"/>
      </w:r>
      <w:r w:rsidRPr="00666914">
        <w:t>. Oddlžovanie v rokoch 2018–2019 pozitívne ovplyvnilo hospodárenie 13 nemocníc v pôsobnosti MZ SR celkovo o 386 mil. eur. Po očistení o efekt oddlženia však väčšina nemocníc zostáva stratová. Plnenie ozdravných plánov nemocníc, ktoré je podmienkou zapojenia do procesu oddlžovania MZ SR naďalej nezverejňuje. Platby zo zdravotných poisťovní sa od roku 2016 zvýšili o 21 %. Problémom naďalej zostáva skutočnosť, že nepokrývajú priame medicínske náklady za lieky, krv, špeciálny zdravotnícky materiál a osobné náklady, ktoré spolu rastú rýchlejším tempom než celkové úhrady poisťovní.</w:t>
      </w:r>
    </w:p>
    <w:p w14:paraId="3392AF41" w14:textId="77777777" w:rsidR="008A4FED" w:rsidRPr="00666914" w:rsidRDefault="008A4FED" w:rsidP="00F64B85">
      <w:r w:rsidRPr="00666914">
        <w:rPr>
          <w:b/>
          <w:bCs/>
        </w:rPr>
        <w:t>Legislatívny proces k návrhu stratifikácie začatý v roku 2019 bol zdĺhavý a z hľadiska prijatia zmien neúspešný.</w:t>
      </w:r>
      <w:r w:rsidRPr="00666914" w:rsidDel="00C61980">
        <w:rPr>
          <w:rStyle w:val="Odkaznakomentr"/>
        </w:rPr>
        <w:t xml:space="preserve"> </w:t>
      </w:r>
      <w:r w:rsidRPr="00666914">
        <w:t xml:space="preserve">Návrh bol prijatý vládou SR v septembri 2019, avšak z rokovania v NR SR bol následne stiahnutý.  Nerealizovanie stratifikácie odďaľuje riešenie problému demografického vývoja v SR vo väzbe na kvalitu, efektívnosť a dostupnosť ústavnej zdravotnej starostlivosti. Na druhej strane je pre spustenie stratifikácie už teraz možné pristúpiť k zverejneniu indikátorov kvality a minimálneho počtu zdravotných výkonov a ich plnenia jednotlivými poskytovateľmi zdravotnej starostlivosti. Obdobne sa pristúpilo k implementácii mechanizmu DRG zverejnením tzv. case mix indexov. </w:t>
      </w:r>
    </w:p>
    <w:p w14:paraId="1D5A18B2" w14:textId="77777777" w:rsidR="008A4FED" w:rsidRPr="00666914" w:rsidRDefault="008A4FED" w:rsidP="00F64B85">
      <w:r w:rsidRPr="00666914">
        <w:rPr>
          <w:b/>
        </w:rPr>
        <w:t xml:space="preserve">Proces zavedenia DRG systému ako úhradového mechanizmu v nemocniciach sa v roku 2019 spomalil. </w:t>
      </w:r>
      <w:r w:rsidRPr="00666914">
        <w:t xml:space="preserve">Nedostatok vykazovaných dát z nemocníc neumožňuje správne nastavenie relatívnych váh prípadových paušálov. Termín zjednotenia základnej sadzby na celom území SR sa posunul o 2 roky na rok 2024. </w:t>
      </w:r>
      <w:r w:rsidRPr="00666914">
        <w:rPr>
          <w:b/>
        </w:rPr>
        <w:t>Pripojenosť poskytovateľov ZS a využívanie elektronického zdravotníctva sa v roku 2019 zlepšili.</w:t>
      </w:r>
      <w:r w:rsidRPr="00666914">
        <w:t xml:space="preserve"> Využívanie funkcie eRecept pre účely elektronického predpisovania a elektronického vydávania liekov sa zvyšuje, chýbajúca lieková a znalostná databáza však neumožňuje v plnej miere kontrolovať kontraindikácie a interakcie s inými liekmi pacienta. Ďalšia funkcia eLab – modul pre zobrazovanie výsledkov laboratórnych vyšetrení a elektronické žiadanky, nebola ani v roku 2019 zavedená. IJ považuje za kľúčové spustenie tohto modulu najmä z pohľadu odstránenia duplicitných výkonov, ale aj precizovania výpočtov z pohľadu finančných požiadaviek jednotlivých poskytovateľov, napr. pri dofinancovaní sektora.</w:t>
      </w:r>
    </w:p>
    <w:p w14:paraId="24723477" w14:textId="77777777" w:rsidR="008A4FED" w:rsidRPr="00666914" w:rsidRDefault="008A4FED" w:rsidP="00F64B85">
      <w:pPr>
        <w:autoSpaceDE w:val="0"/>
        <w:autoSpaceDN w:val="0"/>
        <w:adjustRightInd w:val="0"/>
      </w:pPr>
      <w:r w:rsidRPr="00666914">
        <w:rPr>
          <w:b/>
        </w:rPr>
        <w:t xml:space="preserve">Od roku 2020 sa zmenil systém rozpočtovania výdavkov na zdravotníctvo. </w:t>
      </w:r>
      <w:r w:rsidRPr="00666914">
        <w:t>Stabilita vo financovaní sa zabezpečí určovaním celkových verejných výdavkov na zdravotníctvo. Ročná suma poistného plateného štátom je od 1.1.2020 stanovená zákonom o štátnom rozpočte a poistné platené štátom viac nie je naviazané na priemernú mzdu. Zmena spôsobu financovania umožní lepšie určovať potrebné výdavky na zdravotníctvo, pretože namiesto arbitrárneho percenta za poistencov štátu spôsobujúceho volatilitu celkových výdavkov začína diskusiu od reálnych potrieb rezortu a znižuje prepojenie na ekonomický cyklus</w:t>
      </w:r>
      <w:r w:rsidRPr="00666914">
        <w:rPr>
          <w:rStyle w:val="Odkaznapoznmkupodiarou"/>
        </w:rPr>
        <w:footnoteReference w:id="5"/>
      </w:r>
      <w:r w:rsidRPr="00666914">
        <w:t xml:space="preserve">. Dôraz na výsledky v zdravotníctve by podporilo zavedenie </w:t>
      </w:r>
      <w:r w:rsidRPr="00666914">
        <w:lastRenderedPageBreak/>
        <w:t>programového rozpočtovania vo verejnom zdravotnom poistení. Pre jeho implementáciu je však nevyhnutná relevantná a dôveryhodná dátová báza a spolupráca MF SR, MZ SR a zdravotných poisťovní.</w:t>
      </w:r>
    </w:p>
    <w:p w14:paraId="4C537DDD" w14:textId="3EF8F9D6" w:rsidR="008A4FED" w:rsidRPr="00666914" w:rsidRDefault="008A4FED" w:rsidP="008A4FED">
      <w:pPr>
        <w:spacing w:after="0"/>
      </w:pPr>
      <w:r w:rsidRPr="00666914">
        <w:rPr>
          <w:b/>
        </w:rPr>
        <w:t>Na základe odporúčania IJ ÚV SR a s cieľom zvýšenia alokačnej efektívnosti bola v októbri 2019 vládou SR schválená Revízia výdavkov na zdravotníctvo II.</w:t>
      </w:r>
      <w:r w:rsidRPr="00666914">
        <w:t xml:space="preserve"> Revízia identifikovala úsporné opatrenia s potenciálom 542 mil. eur a hodnotové opatrenia v sume 792 mil. eur ročne v horizonte 10 rokov. Usporené zdroje majú smerovať primárne do všeobecnej ambulantnej starostlivosti, navýšenia počtu sestier, dlhodobej starostlivosti, prevencie a duševného zdravia.</w:t>
      </w:r>
      <w:bookmarkStart w:id="21" w:name="_Toc20209177"/>
    </w:p>
    <w:p w14:paraId="3A106FD0" w14:textId="77777777" w:rsidR="008A4FED" w:rsidRPr="00666914" w:rsidRDefault="008A4FED" w:rsidP="008A4FED">
      <w:pPr>
        <w:spacing w:after="0"/>
        <w:rPr>
          <w:color w:val="808080" w:themeColor="background1" w:themeShade="80"/>
        </w:rPr>
      </w:pPr>
    </w:p>
    <w:p w14:paraId="239E40F3" w14:textId="1213766D" w:rsidR="008A4FED" w:rsidRPr="00666914" w:rsidRDefault="008A4FED" w:rsidP="008A4FED">
      <w:pPr>
        <w:spacing w:after="0"/>
        <w:rPr>
          <w:b/>
          <w:sz w:val="20"/>
        </w:rPr>
      </w:pPr>
      <w:bookmarkStart w:id="22" w:name="_Toc36547022"/>
      <w:bookmarkStart w:id="23" w:name="_Toc38447663"/>
      <w:r w:rsidRPr="00666914">
        <w:rPr>
          <w:b/>
          <w:sz w:val="20"/>
          <w:szCs w:val="20"/>
        </w:rPr>
        <w:t xml:space="preserve">Tabuľka </w:t>
      </w:r>
      <w:r w:rsidRPr="00666914">
        <w:rPr>
          <w:rStyle w:val="tabulkaChar"/>
          <w:sz w:val="20"/>
          <w:szCs w:val="20"/>
        </w:rPr>
        <w:fldChar w:fldCharType="begin"/>
      </w:r>
      <w:r w:rsidRPr="00666914">
        <w:rPr>
          <w:rStyle w:val="tabulkaChar"/>
          <w:sz w:val="20"/>
          <w:szCs w:val="20"/>
        </w:rPr>
        <w:instrText xml:space="preserve"> SEQ Tabuľka \* ARABIC </w:instrText>
      </w:r>
      <w:r w:rsidRPr="00666914">
        <w:rPr>
          <w:rStyle w:val="tabulkaChar"/>
          <w:sz w:val="20"/>
          <w:szCs w:val="20"/>
        </w:rPr>
        <w:fldChar w:fldCharType="separate"/>
      </w:r>
      <w:r w:rsidR="005A7304">
        <w:rPr>
          <w:rStyle w:val="tabulkaChar"/>
          <w:noProof/>
          <w:sz w:val="20"/>
          <w:szCs w:val="20"/>
        </w:rPr>
        <w:t>2</w:t>
      </w:r>
      <w:r w:rsidRPr="00666914">
        <w:rPr>
          <w:rStyle w:val="tabulkaChar"/>
          <w:sz w:val="20"/>
          <w:szCs w:val="20"/>
        </w:rPr>
        <w:fldChar w:fldCharType="end"/>
      </w:r>
      <w:r w:rsidRPr="00666914">
        <w:rPr>
          <w:b/>
          <w:sz w:val="20"/>
          <w:szCs w:val="20"/>
        </w:rPr>
        <w:t>: Úsporné</w:t>
      </w:r>
      <w:r w:rsidRPr="00666914">
        <w:rPr>
          <w:b/>
          <w:sz w:val="20"/>
        </w:rPr>
        <w:t xml:space="preserve"> opatrenia MZ SR z revízie výdavkov I. (mil. eur)</w:t>
      </w:r>
      <w:bookmarkEnd w:id="20"/>
      <w:bookmarkEnd w:id="21"/>
      <w:bookmarkEnd w:id="22"/>
      <w:bookmarkEnd w:id="23"/>
    </w:p>
    <w:tbl>
      <w:tblPr>
        <w:tblW w:w="5158" w:type="pct"/>
        <w:tblLayout w:type="fixed"/>
        <w:tblCellMar>
          <w:left w:w="70" w:type="dxa"/>
          <w:right w:w="70" w:type="dxa"/>
        </w:tblCellMar>
        <w:tblLook w:val="04A0" w:firstRow="1" w:lastRow="0" w:firstColumn="1" w:lastColumn="0" w:noHBand="0" w:noVBand="1"/>
      </w:tblPr>
      <w:tblGrid>
        <w:gridCol w:w="3276"/>
        <w:gridCol w:w="1104"/>
        <w:gridCol w:w="597"/>
        <w:gridCol w:w="1123"/>
        <w:gridCol w:w="568"/>
        <w:gridCol w:w="1127"/>
        <w:gridCol w:w="572"/>
        <w:gridCol w:w="1127"/>
        <w:gridCol w:w="11"/>
      </w:tblGrid>
      <w:tr w:rsidR="008A4FED" w:rsidRPr="00666914" w14:paraId="571253AE" w14:textId="77777777" w:rsidTr="00F64B85">
        <w:trPr>
          <w:gridAfter w:val="1"/>
          <w:wAfter w:w="7" w:type="pct"/>
          <w:trHeight w:val="466"/>
        </w:trPr>
        <w:tc>
          <w:tcPr>
            <w:tcW w:w="1723" w:type="pct"/>
            <w:tcBorders>
              <w:top w:val="single" w:sz="4" w:space="0" w:color="auto"/>
              <w:left w:val="nil"/>
              <w:bottom w:val="single" w:sz="4" w:space="0" w:color="auto"/>
              <w:right w:val="nil"/>
            </w:tcBorders>
            <w:shd w:val="clear" w:color="auto" w:fill="auto"/>
            <w:noWrap/>
            <w:vAlign w:val="center"/>
            <w:hideMark/>
          </w:tcPr>
          <w:p w14:paraId="092E8193" w14:textId="77777777" w:rsidR="008A4FED" w:rsidRPr="00666914" w:rsidRDefault="008A4FED" w:rsidP="0037429A">
            <w:pPr>
              <w:spacing w:after="0"/>
              <w:rPr>
                <w:sz w:val="20"/>
                <w:szCs w:val="20"/>
              </w:rPr>
            </w:pPr>
          </w:p>
        </w:tc>
        <w:tc>
          <w:tcPr>
            <w:tcW w:w="580" w:type="pct"/>
            <w:tcBorders>
              <w:top w:val="single" w:sz="4" w:space="0" w:color="auto"/>
              <w:left w:val="nil"/>
              <w:bottom w:val="single" w:sz="4" w:space="0" w:color="auto"/>
              <w:right w:val="nil"/>
            </w:tcBorders>
            <w:vAlign w:val="center"/>
          </w:tcPr>
          <w:p w14:paraId="582D88F7" w14:textId="77777777" w:rsidR="008A4FED" w:rsidRPr="00666914" w:rsidRDefault="008A4FED" w:rsidP="0037429A">
            <w:pPr>
              <w:spacing w:after="0"/>
              <w:jc w:val="center"/>
              <w:rPr>
                <w:b/>
                <w:sz w:val="20"/>
                <w:szCs w:val="20"/>
              </w:rPr>
            </w:pPr>
            <w:r w:rsidRPr="00666914">
              <w:rPr>
                <w:b/>
                <w:sz w:val="20"/>
                <w:szCs w:val="20"/>
              </w:rPr>
              <w:t>Potenciálna úspora</w:t>
            </w:r>
          </w:p>
        </w:tc>
        <w:tc>
          <w:tcPr>
            <w:tcW w:w="314" w:type="pct"/>
            <w:tcBorders>
              <w:top w:val="single" w:sz="4" w:space="0" w:color="auto"/>
              <w:left w:val="nil"/>
              <w:bottom w:val="single" w:sz="4" w:space="0" w:color="auto"/>
              <w:right w:val="nil"/>
            </w:tcBorders>
            <w:shd w:val="clear" w:color="auto" w:fill="auto"/>
            <w:vAlign w:val="center"/>
            <w:hideMark/>
          </w:tcPr>
          <w:p w14:paraId="65EC5E25" w14:textId="77777777" w:rsidR="008A4FED" w:rsidRPr="00666914" w:rsidRDefault="008A4FED" w:rsidP="0037429A">
            <w:pPr>
              <w:spacing w:after="0"/>
              <w:jc w:val="center"/>
              <w:rPr>
                <w:b/>
                <w:sz w:val="20"/>
                <w:szCs w:val="20"/>
              </w:rPr>
            </w:pPr>
            <w:r w:rsidRPr="00666914">
              <w:rPr>
                <w:b/>
                <w:sz w:val="20"/>
                <w:szCs w:val="20"/>
              </w:rPr>
              <w:t>Plán</w:t>
            </w:r>
          </w:p>
          <w:p w14:paraId="37E4994B" w14:textId="77777777" w:rsidR="008A4FED" w:rsidRPr="00666914" w:rsidRDefault="008A4FED" w:rsidP="0037429A">
            <w:pPr>
              <w:spacing w:after="0"/>
              <w:jc w:val="center"/>
              <w:rPr>
                <w:b/>
                <w:sz w:val="20"/>
                <w:szCs w:val="20"/>
              </w:rPr>
            </w:pPr>
            <w:r w:rsidRPr="00666914">
              <w:rPr>
                <w:b/>
                <w:sz w:val="20"/>
                <w:szCs w:val="20"/>
              </w:rPr>
              <w:t>2017</w:t>
            </w:r>
          </w:p>
        </w:tc>
        <w:tc>
          <w:tcPr>
            <w:tcW w:w="591" w:type="pct"/>
            <w:tcBorders>
              <w:top w:val="single" w:sz="4" w:space="0" w:color="auto"/>
              <w:left w:val="nil"/>
              <w:bottom w:val="single" w:sz="4" w:space="0" w:color="auto"/>
              <w:right w:val="nil"/>
            </w:tcBorders>
            <w:vAlign w:val="center"/>
          </w:tcPr>
          <w:p w14:paraId="57D9A2A5" w14:textId="77777777" w:rsidR="008A4FED" w:rsidRPr="00666914" w:rsidRDefault="008A4FED" w:rsidP="0037429A">
            <w:pPr>
              <w:spacing w:after="0"/>
              <w:jc w:val="center"/>
              <w:rPr>
                <w:b/>
                <w:sz w:val="20"/>
                <w:szCs w:val="20"/>
              </w:rPr>
            </w:pPr>
            <w:r w:rsidRPr="00666914">
              <w:rPr>
                <w:b/>
                <w:sz w:val="20"/>
                <w:szCs w:val="20"/>
              </w:rPr>
              <w:t>Plnenie</w:t>
            </w:r>
            <w:r w:rsidRPr="00666914">
              <w:rPr>
                <w:rStyle w:val="Odkaznapoznmkupodiarou"/>
                <w:b/>
                <w:sz w:val="20"/>
                <w:szCs w:val="20"/>
              </w:rPr>
              <w:footnoteReference w:id="6"/>
            </w:r>
            <w:r w:rsidRPr="00666914">
              <w:rPr>
                <w:b/>
                <w:sz w:val="20"/>
                <w:szCs w:val="20"/>
              </w:rPr>
              <w:t xml:space="preserve"> k </w:t>
            </w:r>
          </w:p>
          <w:p w14:paraId="534169F5" w14:textId="77777777" w:rsidR="008A4FED" w:rsidRPr="00666914" w:rsidRDefault="008A4FED" w:rsidP="0037429A">
            <w:pPr>
              <w:spacing w:after="0"/>
              <w:jc w:val="center"/>
              <w:rPr>
                <w:b/>
                <w:sz w:val="20"/>
                <w:szCs w:val="20"/>
              </w:rPr>
            </w:pPr>
            <w:r w:rsidRPr="00666914">
              <w:rPr>
                <w:b/>
                <w:sz w:val="20"/>
                <w:szCs w:val="20"/>
              </w:rPr>
              <w:t>31.12.2017</w:t>
            </w:r>
          </w:p>
        </w:tc>
        <w:tc>
          <w:tcPr>
            <w:tcW w:w="299" w:type="pct"/>
            <w:tcBorders>
              <w:top w:val="single" w:sz="4" w:space="0" w:color="auto"/>
              <w:left w:val="nil"/>
              <w:bottom w:val="single" w:sz="4" w:space="0" w:color="auto"/>
              <w:right w:val="nil"/>
            </w:tcBorders>
            <w:shd w:val="clear" w:color="auto" w:fill="auto"/>
            <w:vAlign w:val="center"/>
            <w:hideMark/>
          </w:tcPr>
          <w:p w14:paraId="0F8AC9ED" w14:textId="77777777" w:rsidR="008A4FED" w:rsidRPr="00666914" w:rsidRDefault="008A4FED" w:rsidP="0037429A">
            <w:pPr>
              <w:spacing w:after="0"/>
              <w:jc w:val="center"/>
              <w:rPr>
                <w:b/>
                <w:sz w:val="20"/>
                <w:szCs w:val="20"/>
              </w:rPr>
            </w:pPr>
            <w:r w:rsidRPr="00666914">
              <w:rPr>
                <w:b/>
                <w:sz w:val="20"/>
                <w:szCs w:val="20"/>
              </w:rPr>
              <w:t>Plán</w:t>
            </w:r>
          </w:p>
          <w:p w14:paraId="5A714E7B" w14:textId="77777777" w:rsidR="008A4FED" w:rsidRPr="00666914" w:rsidRDefault="008A4FED" w:rsidP="0037429A">
            <w:pPr>
              <w:spacing w:after="0"/>
              <w:jc w:val="center"/>
              <w:rPr>
                <w:b/>
                <w:sz w:val="20"/>
                <w:szCs w:val="20"/>
              </w:rPr>
            </w:pPr>
            <w:r w:rsidRPr="00666914">
              <w:rPr>
                <w:b/>
                <w:sz w:val="20"/>
                <w:szCs w:val="20"/>
              </w:rPr>
              <w:t xml:space="preserve">2018 </w:t>
            </w:r>
          </w:p>
        </w:tc>
        <w:tc>
          <w:tcPr>
            <w:tcW w:w="593" w:type="pct"/>
            <w:tcBorders>
              <w:top w:val="single" w:sz="4" w:space="0" w:color="auto"/>
              <w:left w:val="nil"/>
              <w:bottom w:val="single" w:sz="4" w:space="0" w:color="auto"/>
              <w:right w:val="nil"/>
            </w:tcBorders>
            <w:shd w:val="clear" w:color="auto" w:fill="auto"/>
            <w:vAlign w:val="center"/>
            <w:hideMark/>
          </w:tcPr>
          <w:p w14:paraId="47DCA62A" w14:textId="77777777" w:rsidR="008A4FED" w:rsidRPr="00666914" w:rsidRDefault="008A4FED" w:rsidP="0037429A">
            <w:pPr>
              <w:spacing w:after="0"/>
              <w:jc w:val="center"/>
              <w:rPr>
                <w:b/>
                <w:sz w:val="20"/>
                <w:szCs w:val="20"/>
              </w:rPr>
            </w:pPr>
            <w:r w:rsidRPr="00666914">
              <w:rPr>
                <w:b/>
                <w:sz w:val="20"/>
                <w:szCs w:val="20"/>
              </w:rPr>
              <w:t>Plnenie</w:t>
            </w:r>
            <w:r w:rsidRPr="00666914">
              <w:rPr>
                <w:rStyle w:val="Odkaznapoznmkupodiarou"/>
                <w:b/>
                <w:sz w:val="20"/>
                <w:szCs w:val="20"/>
              </w:rPr>
              <w:footnoteReference w:id="7"/>
            </w:r>
            <w:r w:rsidRPr="00666914">
              <w:rPr>
                <w:b/>
                <w:sz w:val="20"/>
                <w:szCs w:val="20"/>
              </w:rPr>
              <w:t xml:space="preserve"> k 31.12.2018</w:t>
            </w:r>
          </w:p>
        </w:tc>
        <w:tc>
          <w:tcPr>
            <w:tcW w:w="301" w:type="pct"/>
            <w:tcBorders>
              <w:top w:val="single" w:sz="4" w:space="0" w:color="auto"/>
              <w:left w:val="nil"/>
              <w:bottom w:val="single" w:sz="4" w:space="0" w:color="auto"/>
              <w:right w:val="nil"/>
            </w:tcBorders>
            <w:vAlign w:val="center"/>
          </w:tcPr>
          <w:p w14:paraId="76DF7F28" w14:textId="77777777" w:rsidR="008A4FED" w:rsidRPr="00666914" w:rsidRDefault="008A4FED" w:rsidP="0037429A">
            <w:pPr>
              <w:spacing w:after="0"/>
              <w:jc w:val="center"/>
              <w:rPr>
                <w:b/>
                <w:sz w:val="20"/>
                <w:szCs w:val="20"/>
              </w:rPr>
            </w:pPr>
            <w:r w:rsidRPr="00666914">
              <w:rPr>
                <w:b/>
                <w:sz w:val="20"/>
                <w:szCs w:val="20"/>
              </w:rPr>
              <w:t>Plán</w:t>
            </w:r>
          </w:p>
          <w:p w14:paraId="771E22EE" w14:textId="77777777" w:rsidR="008A4FED" w:rsidRPr="00666914" w:rsidRDefault="008A4FED" w:rsidP="0037429A">
            <w:pPr>
              <w:spacing w:after="0"/>
              <w:jc w:val="center"/>
              <w:rPr>
                <w:b/>
                <w:sz w:val="20"/>
                <w:szCs w:val="20"/>
              </w:rPr>
            </w:pPr>
            <w:r w:rsidRPr="00666914">
              <w:rPr>
                <w:b/>
                <w:sz w:val="20"/>
                <w:szCs w:val="20"/>
              </w:rPr>
              <w:t xml:space="preserve">2019 </w:t>
            </w:r>
          </w:p>
        </w:tc>
        <w:tc>
          <w:tcPr>
            <w:tcW w:w="593" w:type="pct"/>
            <w:tcBorders>
              <w:top w:val="single" w:sz="4" w:space="0" w:color="auto"/>
              <w:left w:val="nil"/>
              <w:bottom w:val="single" w:sz="4" w:space="0" w:color="auto"/>
              <w:right w:val="nil"/>
            </w:tcBorders>
            <w:vAlign w:val="center"/>
          </w:tcPr>
          <w:p w14:paraId="5A2EF8F9" w14:textId="77777777" w:rsidR="008A4FED" w:rsidRPr="00666914" w:rsidRDefault="008A4FED" w:rsidP="00F64B85">
            <w:pPr>
              <w:spacing w:after="0"/>
              <w:jc w:val="center"/>
              <w:rPr>
                <w:b/>
                <w:sz w:val="20"/>
                <w:szCs w:val="20"/>
              </w:rPr>
            </w:pPr>
            <w:r w:rsidRPr="00666914">
              <w:rPr>
                <w:b/>
                <w:sz w:val="20"/>
                <w:szCs w:val="20"/>
              </w:rPr>
              <w:t>Plnenie</w:t>
            </w:r>
            <w:r w:rsidRPr="00666914">
              <w:rPr>
                <w:rStyle w:val="Odkaznapoznmkupodiarou"/>
                <w:b/>
                <w:sz w:val="20"/>
                <w:szCs w:val="20"/>
              </w:rPr>
              <w:footnoteReference w:id="8"/>
            </w:r>
            <w:r w:rsidRPr="00666914">
              <w:rPr>
                <w:b/>
                <w:sz w:val="20"/>
                <w:szCs w:val="20"/>
              </w:rPr>
              <w:t xml:space="preserve"> k 31.12.2019</w:t>
            </w:r>
          </w:p>
        </w:tc>
      </w:tr>
      <w:tr w:rsidR="008A4FED" w:rsidRPr="00666914" w14:paraId="01EFE23D" w14:textId="77777777" w:rsidTr="00F64B85">
        <w:trPr>
          <w:gridAfter w:val="1"/>
          <w:wAfter w:w="7" w:type="pct"/>
          <w:trHeight w:val="312"/>
        </w:trPr>
        <w:tc>
          <w:tcPr>
            <w:tcW w:w="1723" w:type="pct"/>
            <w:tcBorders>
              <w:top w:val="single" w:sz="4" w:space="0" w:color="auto"/>
              <w:left w:val="nil"/>
              <w:bottom w:val="single" w:sz="4" w:space="0" w:color="auto"/>
              <w:right w:val="nil"/>
            </w:tcBorders>
            <w:shd w:val="clear" w:color="auto" w:fill="auto"/>
            <w:noWrap/>
            <w:vAlign w:val="center"/>
          </w:tcPr>
          <w:p w14:paraId="75211146" w14:textId="77777777" w:rsidR="008A4FED" w:rsidRPr="00666914" w:rsidRDefault="008A4FED" w:rsidP="0037429A">
            <w:pPr>
              <w:spacing w:after="0"/>
              <w:rPr>
                <w:b/>
                <w:sz w:val="20"/>
                <w:szCs w:val="20"/>
              </w:rPr>
            </w:pPr>
            <w:r w:rsidRPr="00666914">
              <w:rPr>
                <w:b/>
                <w:sz w:val="20"/>
                <w:szCs w:val="20"/>
              </w:rPr>
              <w:t>Úsporné opatrenia SPOLU</w:t>
            </w:r>
          </w:p>
        </w:tc>
        <w:tc>
          <w:tcPr>
            <w:tcW w:w="580" w:type="pct"/>
            <w:tcBorders>
              <w:top w:val="single" w:sz="4" w:space="0" w:color="auto"/>
              <w:left w:val="nil"/>
              <w:bottom w:val="single" w:sz="4" w:space="0" w:color="auto"/>
              <w:right w:val="nil"/>
            </w:tcBorders>
            <w:vAlign w:val="center"/>
          </w:tcPr>
          <w:p w14:paraId="10A0AD2F" w14:textId="77777777" w:rsidR="008A4FED" w:rsidRPr="00666914" w:rsidRDefault="008A4FED" w:rsidP="0037429A">
            <w:pPr>
              <w:spacing w:after="0"/>
              <w:jc w:val="center"/>
              <w:rPr>
                <w:b/>
                <w:sz w:val="20"/>
                <w:szCs w:val="20"/>
              </w:rPr>
            </w:pPr>
            <w:r w:rsidRPr="00666914">
              <w:rPr>
                <w:b/>
                <w:sz w:val="20"/>
                <w:szCs w:val="20"/>
              </w:rPr>
              <w:t>363</w:t>
            </w:r>
          </w:p>
        </w:tc>
        <w:tc>
          <w:tcPr>
            <w:tcW w:w="314" w:type="pct"/>
            <w:tcBorders>
              <w:top w:val="single" w:sz="4" w:space="0" w:color="auto"/>
              <w:left w:val="nil"/>
              <w:bottom w:val="single" w:sz="4" w:space="0" w:color="auto"/>
              <w:right w:val="nil"/>
            </w:tcBorders>
            <w:shd w:val="clear" w:color="auto" w:fill="auto"/>
            <w:vAlign w:val="center"/>
          </w:tcPr>
          <w:p w14:paraId="7F209633" w14:textId="77777777" w:rsidR="008A4FED" w:rsidRPr="00666914" w:rsidRDefault="008A4FED" w:rsidP="0037429A">
            <w:pPr>
              <w:spacing w:after="0"/>
              <w:jc w:val="center"/>
              <w:rPr>
                <w:b/>
                <w:sz w:val="20"/>
                <w:szCs w:val="20"/>
              </w:rPr>
            </w:pPr>
            <w:r w:rsidRPr="00666914">
              <w:rPr>
                <w:b/>
                <w:sz w:val="20"/>
                <w:szCs w:val="20"/>
              </w:rPr>
              <w:t>174</w:t>
            </w:r>
          </w:p>
        </w:tc>
        <w:tc>
          <w:tcPr>
            <w:tcW w:w="591" w:type="pct"/>
            <w:tcBorders>
              <w:top w:val="single" w:sz="4" w:space="0" w:color="auto"/>
              <w:left w:val="nil"/>
              <w:bottom w:val="single" w:sz="4" w:space="0" w:color="auto"/>
              <w:right w:val="nil"/>
            </w:tcBorders>
            <w:vAlign w:val="center"/>
          </w:tcPr>
          <w:p w14:paraId="202F103A" w14:textId="77777777" w:rsidR="008A4FED" w:rsidRPr="00666914" w:rsidRDefault="008A4FED" w:rsidP="00F64B85">
            <w:pPr>
              <w:spacing w:after="0"/>
              <w:jc w:val="center"/>
              <w:rPr>
                <w:b/>
                <w:sz w:val="20"/>
                <w:szCs w:val="20"/>
              </w:rPr>
            </w:pPr>
            <w:r w:rsidRPr="00666914">
              <w:rPr>
                <w:b/>
                <w:sz w:val="20"/>
                <w:szCs w:val="20"/>
              </w:rPr>
              <w:t>99</w:t>
            </w:r>
          </w:p>
        </w:tc>
        <w:tc>
          <w:tcPr>
            <w:tcW w:w="299" w:type="pct"/>
            <w:tcBorders>
              <w:top w:val="single" w:sz="4" w:space="0" w:color="auto"/>
              <w:left w:val="nil"/>
              <w:bottom w:val="single" w:sz="4" w:space="0" w:color="auto"/>
              <w:right w:val="nil"/>
            </w:tcBorders>
            <w:shd w:val="clear" w:color="auto" w:fill="auto"/>
            <w:vAlign w:val="center"/>
          </w:tcPr>
          <w:p w14:paraId="488E318C" w14:textId="77777777" w:rsidR="008A4FED" w:rsidRPr="00666914" w:rsidRDefault="008A4FED" w:rsidP="0037429A">
            <w:pPr>
              <w:spacing w:after="0"/>
              <w:jc w:val="center"/>
              <w:rPr>
                <w:b/>
                <w:sz w:val="20"/>
                <w:szCs w:val="20"/>
              </w:rPr>
            </w:pPr>
            <w:r w:rsidRPr="00666914">
              <w:rPr>
                <w:b/>
                <w:sz w:val="20"/>
                <w:szCs w:val="20"/>
              </w:rPr>
              <w:t>190</w:t>
            </w:r>
          </w:p>
        </w:tc>
        <w:tc>
          <w:tcPr>
            <w:tcW w:w="593" w:type="pct"/>
            <w:tcBorders>
              <w:top w:val="single" w:sz="4" w:space="0" w:color="auto"/>
              <w:left w:val="nil"/>
              <w:bottom w:val="single" w:sz="4" w:space="0" w:color="auto"/>
              <w:right w:val="nil"/>
            </w:tcBorders>
            <w:shd w:val="clear" w:color="auto" w:fill="auto"/>
            <w:vAlign w:val="center"/>
          </w:tcPr>
          <w:p w14:paraId="120FB5B5" w14:textId="77777777" w:rsidR="008A4FED" w:rsidRPr="00666914" w:rsidRDefault="008A4FED" w:rsidP="00F64B85">
            <w:pPr>
              <w:spacing w:after="0"/>
              <w:jc w:val="center"/>
              <w:rPr>
                <w:b/>
                <w:sz w:val="20"/>
                <w:szCs w:val="20"/>
              </w:rPr>
            </w:pPr>
            <w:r w:rsidRPr="00666914">
              <w:rPr>
                <w:b/>
                <w:sz w:val="20"/>
                <w:szCs w:val="20"/>
              </w:rPr>
              <w:t>40</w:t>
            </w:r>
          </w:p>
        </w:tc>
        <w:tc>
          <w:tcPr>
            <w:tcW w:w="301" w:type="pct"/>
            <w:tcBorders>
              <w:top w:val="single" w:sz="4" w:space="0" w:color="auto"/>
              <w:left w:val="nil"/>
              <w:bottom w:val="single" w:sz="4" w:space="0" w:color="auto"/>
              <w:right w:val="nil"/>
            </w:tcBorders>
            <w:vAlign w:val="center"/>
          </w:tcPr>
          <w:p w14:paraId="7FBA9F2A" w14:textId="77777777" w:rsidR="008A4FED" w:rsidRPr="00666914" w:rsidRDefault="008A4FED" w:rsidP="0037429A">
            <w:pPr>
              <w:spacing w:after="0"/>
              <w:jc w:val="center"/>
              <w:rPr>
                <w:b/>
                <w:sz w:val="20"/>
                <w:szCs w:val="20"/>
              </w:rPr>
            </w:pPr>
            <w:r w:rsidRPr="00666914">
              <w:rPr>
                <w:b/>
                <w:bCs/>
                <w:sz w:val="20"/>
                <w:szCs w:val="20"/>
              </w:rPr>
              <w:t>196</w:t>
            </w:r>
          </w:p>
        </w:tc>
        <w:tc>
          <w:tcPr>
            <w:tcW w:w="593" w:type="pct"/>
            <w:tcBorders>
              <w:top w:val="single" w:sz="4" w:space="0" w:color="auto"/>
              <w:left w:val="nil"/>
              <w:bottom w:val="single" w:sz="4" w:space="0" w:color="auto"/>
              <w:right w:val="nil"/>
            </w:tcBorders>
            <w:vAlign w:val="center"/>
          </w:tcPr>
          <w:p w14:paraId="35791A3A" w14:textId="77777777" w:rsidR="008A4FED" w:rsidRPr="00666914" w:rsidRDefault="008A4FED" w:rsidP="0037429A">
            <w:pPr>
              <w:spacing w:after="0"/>
              <w:jc w:val="center"/>
              <w:rPr>
                <w:b/>
                <w:sz w:val="20"/>
                <w:szCs w:val="20"/>
              </w:rPr>
            </w:pPr>
            <w:r w:rsidRPr="00666914">
              <w:rPr>
                <w:b/>
                <w:sz w:val="20"/>
                <w:szCs w:val="20"/>
              </w:rPr>
              <w:t>-119</w:t>
            </w:r>
          </w:p>
        </w:tc>
      </w:tr>
      <w:tr w:rsidR="008A4FED" w:rsidRPr="00666914" w14:paraId="17732402" w14:textId="77777777" w:rsidTr="00F64B85">
        <w:trPr>
          <w:gridAfter w:val="1"/>
          <w:wAfter w:w="7" w:type="pct"/>
          <w:trHeight w:val="202"/>
        </w:trPr>
        <w:tc>
          <w:tcPr>
            <w:tcW w:w="1723" w:type="pct"/>
            <w:tcBorders>
              <w:top w:val="single" w:sz="4" w:space="0" w:color="auto"/>
              <w:left w:val="nil"/>
              <w:bottom w:val="nil"/>
              <w:right w:val="nil"/>
            </w:tcBorders>
            <w:shd w:val="clear" w:color="auto" w:fill="auto"/>
            <w:noWrap/>
            <w:vAlign w:val="center"/>
            <w:hideMark/>
          </w:tcPr>
          <w:p w14:paraId="6AC6F65B" w14:textId="77777777" w:rsidR="008A4FED" w:rsidRPr="00666914" w:rsidRDefault="008A4FED" w:rsidP="00F64B85">
            <w:pPr>
              <w:spacing w:after="0"/>
              <w:rPr>
                <w:b/>
                <w:sz w:val="20"/>
                <w:szCs w:val="20"/>
              </w:rPr>
            </w:pPr>
            <w:r w:rsidRPr="00666914">
              <w:rPr>
                <w:b/>
                <w:sz w:val="20"/>
                <w:szCs w:val="20"/>
              </w:rPr>
              <w:t>Opatrenia znižujúce výdavky VZP</w:t>
            </w:r>
          </w:p>
        </w:tc>
        <w:tc>
          <w:tcPr>
            <w:tcW w:w="580" w:type="pct"/>
            <w:tcBorders>
              <w:top w:val="single" w:sz="4" w:space="0" w:color="auto"/>
              <w:left w:val="nil"/>
              <w:bottom w:val="nil"/>
              <w:right w:val="nil"/>
            </w:tcBorders>
            <w:vAlign w:val="center"/>
          </w:tcPr>
          <w:p w14:paraId="6DE5E3BD" w14:textId="77777777" w:rsidR="008A4FED" w:rsidRPr="00666914" w:rsidRDefault="008A4FED" w:rsidP="00F64B85">
            <w:pPr>
              <w:spacing w:after="0"/>
              <w:jc w:val="center"/>
              <w:rPr>
                <w:b/>
                <w:sz w:val="20"/>
                <w:szCs w:val="20"/>
              </w:rPr>
            </w:pPr>
            <w:r w:rsidRPr="00666914">
              <w:rPr>
                <w:b/>
                <w:sz w:val="20"/>
                <w:szCs w:val="20"/>
              </w:rPr>
              <w:t>268</w:t>
            </w:r>
          </w:p>
        </w:tc>
        <w:tc>
          <w:tcPr>
            <w:tcW w:w="314" w:type="pct"/>
            <w:tcBorders>
              <w:top w:val="single" w:sz="4" w:space="0" w:color="auto"/>
              <w:left w:val="nil"/>
              <w:bottom w:val="nil"/>
              <w:right w:val="nil"/>
            </w:tcBorders>
            <w:shd w:val="clear" w:color="auto" w:fill="auto"/>
            <w:noWrap/>
            <w:vAlign w:val="center"/>
            <w:hideMark/>
          </w:tcPr>
          <w:p w14:paraId="275EC2F9" w14:textId="77777777" w:rsidR="008A4FED" w:rsidRPr="00666914" w:rsidRDefault="008A4FED" w:rsidP="00F64B85">
            <w:pPr>
              <w:spacing w:after="0"/>
              <w:jc w:val="center"/>
              <w:rPr>
                <w:b/>
                <w:sz w:val="20"/>
                <w:szCs w:val="20"/>
              </w:rPr>
            </w:pPr>
            <w:r w:rsidRPr="00666914">
              <w:rPr>
                <w:b/>
                <w:sz w:val="20"/>
                <w:szCs w:val="20"/>
              </w:rPr>
              <w:t>143</w:t>
            </w:r>
          </w:p>
        </w:tc>
        <w:tc>
          <w:tcPr>
            <w:tcW w:w="591" w:type="pct"/>
            <w:tcBorders>
              <w:top w:val="single" w:sz="4" w:space="0" w:color="auto"/>
              <w:left w:val="nil"/>
              <w:bottom w:val="nil"/>
              <w:right w:val="nil"/>
            </w:tcBorders>
            <w:vAlign w:val="center"/>
          </w:tcPr>
          <w:p w14:paraId="796A80ED" w14:textId="77777777" w:rsidR="008A4FED" w:rsidRPr="00666914" w:rsidRDefault="008A4FED" w:rsidP="00F64B85">
            <w:pPr>
              <w:spacing w:after="0"/>
              <w:jc w:val="center"/>
              <w:rPr>
                <w:b/>
                <w:sz w:val="20"/>
                <w:szCs w:val="20"/>
              </w:rPr>
            </w:pPr>
            <w:r w:rsidRPr="00666914">
              <w:rPr>
                <w:rFonts w:eastAsia="Times New Roman" w:cs="Arial"/>
                <w:b/>
                <w:bCs/>
                <w:sz w:val="20"/>
                <w:szCs w:val="20"/>
                <w:lang w:eastAsia="zh-TW"/>
              </w:rPr>
              <w:t>103</w:t>
            </w:r>
          </w:p>
        </w:tc>
        <w:tc>
          <w:tcPr>
            <w:tcW w:w="299" w:type="pct"/>
            <w:tcBorders>
              <w:top w:val="single" w:sz="4" w:space="0" w:color="auto"/>
              <w:left w:val="nil"/>
              <w:bottom w:val="nil"/>
              <w:right w:val="nil"/>
            </w:tcBorders>
            <w:shd w:val="clear" w:color="auto" w:fill="auto"/>
            <w:noWrap/>
            <w:vAlign w:val="center"/>
            <w:hideMark/>
          </w:tcPr>
          <w:p w14:paraId="05E10654" w14:textId="77777777" w:rsidR="008A4FED" w:rsidRPr="00666914" w:rsidRDefault="008A4FED" w:rsidP="00F64B85">
            <w:pPr>
              <w:spacing w:after="0"/>
              <w:jc w:val="center"/>
              <w:rPr>
                <w:b/>
                <w:sz w:val="20"/>
                <w:szCs w:val="20"/>
              </w:rPr>
            </w:pPr>
            <w:r w:rsidRPr="00666914">
              <w:rPr>
                <w:b/>
                <w:sz w:val="20"/>
                <w:szCs w:val="20"/>
              </w:rPr>
              <w:t>159</w:t>
            </w:r>
          </w:p>
        </w:tc>
        <w:tc>
          <w:tcPr>
            <w:tcW w:w="593" w:type="pct"/>
            <w:tcBorders>
              <w:top w:val="single" w:sz="4" w:space="0" w:color="auto"/>
              <w:left w:val="nil"/>
              <w:bottom w:val="nil"/>
              <w:right w:val="nil"/>
            </w:tcBorders>
            <w:shd w:val="clear" w:color="auto" w:fill="auto"/>
            <w:noWrap/>
            <w:vAlign w:val="center"/>
          </w:tcPr>
          <w:p w14:paraId="24BC6C4E" w14:textId="77777777" w:rsidR="008A4FED" w:rsidRPr="00666914" w:rsidRDefault="008A4FED" w:rsidP="00F64B85">
            <w:pPr>
              <w:spacing w:after="0"/>
              <w:jc w:val="center"/>
              <w:rPr>
                <w:b/>
                <w:sz w:val="20"/>
                <w:szCs w:val="20"/>
              </w:rPr>
            </w:pPr>
            <w:r w:rsidRPr="00666914">
              <w:rPr>
                <w:b/>
                <w:sz w:val="20"/>
                <w:szCs w:val="20"/>
              </w:rPr>
              <w:t>121</w:t>
            </w:r>
          </w:p>
        </w:tc>
        <w:tc>
          <w:tcPr>
            <w:tcW w:w="301" w:type="pct"/>
            <w:tcBorders>
              <w:top w:val="single" w:sz="4" w:space="0" w:color="auto"/>
              <w:left w:val="nil"/>
              <w:bottom w:val="nil"/>
              <w:right w:val="nil"/>
            </w:tcBorders>
          </w:tcPr>
          <w:p w14:paraId="6B93B11E" w14:textId="77777777" w:rsidR="008A4FED" w:rsidRPr="00666914" w:rsidRDefault="008A4FED" w:rsidP="00F64B85">
            <w:pPr>
              <w:spacing w:after="0"/>
              <w:jc w:val="center"/>
              <w:rPr>
                <w:b/>
                <w:sz w:val="20"/>
                <w:szCs w:val="20"/>
              </w:rPr>
            </w:pPr>
            <w:r w:rsidRPr="00666914">
              <w:rPr>
                <w:b/>
                <w:bCs/>
                <w:sz w:val="20"/>
                <w:szCs w:val="20"/>
              </w:rPr>
              <w:t>165</w:t>
            </w:r>
          </w:p>
        </w:tc>
        <w:tc>
          <w:tcPr>
            <w:tcW w:w="593" w:type="pct"/>
            <w:tcBorders>
              <w:top w:val="single" w:sz="4" w:space="0" w:color="auto"/>
              <w:left w:val="nil"/>
              <w:bottom w:val="nil"/>
              <w:right w:val="nil"/>
            </w:tcBorders>
          </w:tcPr>
          <w:p w14:paraId="1BFEC25D" w14:textId="77777777" w:rsidR="008A4FED" w:rsidRPr="00666914" w:rsidRDefault="008A4FED" w:rsidP="00F64B85">
            <w:pPr>
              <w:spacing w:after="0"/>
              <w:jc w:val="center"/>
              <w:rPr>
                <w:b/>
                <w:bCs/>
                <w:sz w:val="20"/>
                <w:szCs w:val="20"/>
              </w:rPr>
            </w:pPr>
            <w:r w:rsidRPr="00666914">
              <w:rPr>
                <w:b/>
                <w:bCs/>
                <w:sz w:val="20"/>
                <w:szCs w:val="20"/>
              </w:rPr>
              <w:t>106</w:t>
            </w:r>
          </w:p>
        </w:tc>
      </w:tr>
      <w:tr w:rsidR="008A4FED" w:rsidRPr="00666914" w14:paraId="2360B312" w14:textId="77777777" w:rsidTr="00F64B85">
        <w:trPr>
          <w:gridAfter w:val="1"/>
          <w:wAfter w:w="7" w:type="pct"/>
          <w:trHeight w:val="202"/>
        </w:trPr>
        <w:tc>
          <w:tcPr>
            <w:tcW w:w="1723" w:type="pct"/>
            <w:tcBorders>
              <w:top w:val="nil"/>
              <w:left w:val="nil"/>
              <w:bottom w:val="nil"/>
              <w:right w:val="nil"/>
            </w:tcBorders>
            <w:shd w:val="clear" w:color="auto" w:fill="auto"/>
            <w:vAlign w:val="center"/>
            <w:hideMark/>
          </w:tcPr>
          <w:p w14:paraId="37391960" w14:textId="77777777" w:rsidR="008A4FED" w:rsidRPr="00666914" w:rsidRDefault="008A4FED" w:rsidP="00F64B85">
            <w:pPr>
              <w:spacing w:after="0"/>
              <w:rPr>
                <w:sz w:val="20"/>
                <w:szCs w:val="20"/>
              </w:rPr>
            </w:pPr>
            <w:r w:rsidRPr="00666914">
              <w:rPr>
                <w:sz w:val="20"/>
                <w:szCs w:val="20"/>
              </w:rPr>
              <w:t>Nadspotreba liekov - zavedenie predpisových limitov pre ambulantných poskytovateľov</w:t>
            </w:r>
          </w:p>
        </w:tc>
        <w:tc>
          <w:tcPr>
            <w:tcW w:w="580" w:type="pct"/>
            <w:tcBorders>
              <w:top w:val="nil"/>
              <w:left w:val="nil"/>
              <w:bottom w:val="nil"/>
              <w:right w:val="nil"/>
            </w:tcBorders>
            <w:vAlign w:val="center"/>
          </w:tcPr>
          <w:p w14:paraId="248F37A4" w14:textId="77777777" w:rsidR="008A4FED" w:rsidRPr="00666914" w:rsidRDefault="008A4FED" w:rsidP="00F64B85">
            <w:pPr>
              <w:spacing w:after="0"/>
              <w:ind w:left="20" w:hanging="34"/>
              <w:jc w:val="center"/>
              <w:rPr>
                <w:sz w:val="20"/>
                <w:szCs w:val="20"/>
              </w:rPr>
            </w:pPr>
            <w:r w:rsidRPr="00666914">
              <w:rPr>
                <w:sz w:val="20"/>
                <w:szCs w:val="20"/>
              </w:rPr>
              <w:t>59</w:t>
            </w:r>
          </w:p>
        </w:tc>
        <w:tc>
          <w:tcPr>
            <w:tcW w:w="314" w:type="pct"/>
            <w:tcBorders>
              <w:top w:val="nil"/>
              <w:left w:val="nil"/>
              <w:bottom w:val="nil"/>
              <w:right w:val="nil"/>
            </w:tcBorders>
            <w:shd w:val="clear" w:color="auto" w:fill="auto"/>
            <w:noWrap/>
            <w:vAlign w:val="center"/>
            <w:hideMark/>
          </w:tcPr>
          <w:p w14:paraId="25565829" w14:textId="77777777" w:rsidR="008A4FED" w:rsidRPr="00666914" w:rsidRDefault="008A4FED" w:rsidP="00F64B85">
            <w:pPr>
              <w:spacing w:after="0"/>
              <w:ind w:left="20" w:hanging="34"/>
              <w:jc w:val="center"/>
              <w:rPr>
                <w:sz w:val="20"/>
                <w:szCs w:val="20"/>
              </w:rPr>
            </w:pPr>
            <w:r w:rsidRPr="00666914">
              <w:rPr>
                <w:sz w:val="20"/>
                <w:szCs w:val="20"/>
              </w:rPr>
              <w:t>20</w:t>
            </w:r>
          </w:p>
        </w:tc>
        <w:tc>
          <w:tcPr>
            <w:tcW w:w="591" w:type="pct"/>
            <w:tcBorders>
              <w:top w:val="nil"/>
              <w:left w:val="nil"/>
              <w:bottom w:val="nil"/>
              <w:right w:val="nil"/>
            </w:tcBorders>
            <w:vAlign w:val="center"/>
          </w:tcPr>
          <w:p w14:paraId="7C80DE9A" w14:textId="77777777" w:rsidR="008A4FED" w:rsidRPr="00666914" w:rsidRDefault="008A4FED" w:rsidP="00F64B85">
            <w:pPr>
              <w:spacing w:after="0"/>
              <w:jc w:val="center"/>
              <w:rPr>
                <w:sz w:val="20"/>
                <w:szCs w:val="20"/>
              </w:rPr>
            </w:pPr>
            <w:r w:rsidRPr="00666914">
              <w:rPr>
                <w:rFonts w:eastAsia="Times New Roman" w:cs="Arial"/>
                <w:sz w:val="20"/>
                <w:szCs w:val="20"/>
                <w:lang w:eastAsia="zh-TW"/>
              </w:rPr>
              <w:t>22</w:t>
            </w:r>
          </w:p>
        </w:tc>
        <w:tc>
          <w:tcPr>
            <w:tcW w:w="299" w:type="pct"/>
            <w:tcBorders>
              <w:top w:val="nil"/>
              <w:left w:val="nil"/>
              <w:bottom w:val="nil"/>
              <w:right w:val="nil"/>
            </w:tcBorders>
            <w:shd w:val="clear" w:color="auto" w:fill="auto"/>
            <w:noWrap/>
            <w:vAlign w:val="center"/>
            <w:hideMark/>
          </w:tcPr>
          <w:p w14:paraId="76E8C59C" w14:textId="77777777" w:rsidR="008A4FED" w:rsidRPr="00666914" w:rsidRDefault="008A4FED" w:rsidP="00F64B85">
            <w:pPr>
              <w:spacing w:after="0"/>
              <w:jc w:val="center"/>
              <w:rPr>
                <w:sz w:val="20"/>
                <w:szCs w:val="20"/>
              </w:rPr>
            </w:pPr>
            <w:r w:rsidRPr="00666914">
              <w:rPr>
                <w:sz w:val="20"/>
                <w:szCs w:val="20"/>
              </w:rPr>
              <w:t>20</w:t>
            </w:r>
          </w:p>
        </w:tc>
        <w:tc>
          <w:tcPr>
            <w:tcW w:w="593" w:type="pct"/>
            <w:tcBorders>
              <w:top w:val="nil"/>
              <w:left w:val="nil"/>
              <w:bottom w:val="nil"/>
              <w:right w:val="nil"/>
            </w:tcBorders>
            <w:shd w:val="clear" w:color="auto" w:fill="auto"/>
            <w:noWrap/>
            <w:vAlign w:val="center"/>
          </w:tcPr>
          <w:p w14:paraId="5AF1E1B0" w14:textId="77777777" w:rsidR="008A4FED" w:rsidRPr="00666914" w:rsidRDefault="008A4FED" w:rsidP="00F64B85">
            <w:pPr>
              <w:spacing w:after="0"/>
              <w:jc w:val="center"/>
              <w:rPr>
                <w:sz w:val="20"/>
                <w:szCs w:val="20"/>
              </w:rPr>
            </w:pPr>
            <w:r w:rsidRPr="00666914">
              <w:rPr>
                <w:sz w:val="20"/>
                <w:szCs w:val="20"/>
              </w:rPr>
              <w:t>29,6</w:t>
            </w:r>
          </w:p>
        </w:tc>
        <w:tc>
          <w:tcPr>
            <w:tcW w:w="301" w:type="pct"/>
            <w:tcBorders>
              <w:top w:val="nil"/>
              <w:left w:val="nil"/>
              <w:bottom w:val="nil"/>
              <w:right w:val="nil"/>
            </w:tcBorders>
            <w:vAlign w:val="center"/>
          </w:tcPr>
          <w:p w14:paraId="0C6C0C0F" w14:textId="77777777" w:rsidR="008A4FED" w:rsidRPr="00666914" w:rsidRDefault="008A4FED" w:rsidP="00F64B85">
            <w:pPr>
              <w:spacing w:after="0"/>
              <w:jc w:val="center"/>
              <w:rPr>
                <w:sz w:val="20"/>
                <w:szCs w:val="20"/>
              </w:rPr>
            </w:pPr>
            <w:r w:rsidRPr="00666914">
              <w:rPr>
                <w:sz w:val="20"/>
                <w:szCs w:val="20"/>
              </w:rPr>
              <w:t>20</w:t>
            </w:r>
          </w:p>
        </w:tc>
        <w:tc>
          <w:tcPr>
            <w:tcW w:w="593" w:type="pct"/>
            <w:tcBorders>
              <w:top w:val="nil"/>
              <w:left w:val="nil"/>
              <w:bottom w:val="nil"/>
              <w:right w:val="nil"/>
            </w:tcBorders>
            <w:vAlign w:val="center"/>
          </w:tcPr>
          <w:p w14:paraId="28175D3D" w14:textId="77777777" w:rsidR="008A4FED" w:rsidRPr="00666914" w:rsidRDefault="008A4FED" w:rsidP="00F64B85">
            <w:pPr>
              <w:spacing w:after="0"/>
              <w:jc w:val="center"/>
              <w:rPr>
                <w:sz w:val="20"/>
                <w:szCs w:val="20"/>
              </w:rPr>
            </w:pPr>
            <w:r w:rsidRPr="00666914">
              <w:rPr>
                <w:sz w:val="20"/>
                <w:szCs w:val="20"/>
              </w:rPr>
              <w:t>20,2</w:t>
            </w:r>
          </w:p>
        </w:tc>
      </w:tr>
      <w:tr w:rsidR="008A4FED" w:rsidRPr="00666914" w14:paraId="0C8A2F70" w14:textId="77777777" w:rsidTr="00F64B85">
        <w:trPr>
          <w:gridAfter w:val="1"/>
          <w:wAfter w:w="7" w:type="pct"/>
          <w:trHeight w:val="202"/>
        </w:trPr>
        <w:tc>
          <w:tcPr>
            <w:tcW w:w="1723" w:type="pct"/>
            <w:tcBorders>
              <w:top w:val="nil"/>
              <w:left w:val="nil"/>
              <w:bottom w:val="nil"/>
              <w:right w:val="nil"/>
            </w:tcBorders>
            <w:shd w:val="clear" w:color="auto" w:fill="auto"/>
            <w:vAlign w:val="center"/>
            <w:hideMark/>
          </w:tcPr>
          <w:p w14:paraId="4FC27F12" w14:textId="77777777" w:rsidR="008A4FED" w:rsidRPr="00666914" w:rsidRDefault="008A4FED" w:rsidP="00F64B85">
            <w:pPr>
              <w:spacing w:after="0"/>
              <w:rPr>
                <w:sz w:val="20"/>
                <w:szCs w:val="20"/>
              </w:rPr>
            </w:pPr>
            <w:r w:rsidRPr="00666914">
              <w:rPr>
                <w:sz w:val="20"/>
                <w:szCs w:val="20"/>
              </w:rPr>
              <w:t>Výnimky na lieky - zavedenie pravidiel pre preplácanie výnimiek</w:t>
            </w:r>
          </w:p>
        </w:tc>
        <w:tc>
          <w:tcPr>
            <w:tcW w:w="580" w:type="pct"/>
            <w:tcBorders>
              <w:top w:val="nil"/>
              <w:left w:val="nil"/>
              <w:bottom w:val="nil"/>
              <w:right w:val="nil"/>
            </w:tcBorders>
            <w:vAlign w:val="center"/>
          </w:tcPr>
          <w:p w14:paraId="7391C4F4" w14:textId="77777777" w:rsidR="008A4FED" w:rsidRPr="00666914" w:rsidRDefault="008A4FED" w:rsidP="00F64B85">
            <w:pPr>
              <w:spacing w:after="0"/>
              <w:ind w:left="20" w:hanging="34"/>
              <w:jc w:val="center"/>
              <w:rPr>
                <w:sz w:val="20"/>
                <w:szCs w:val="20"/>
              </w:rPr>
            </w:pPr>
            <w:r w:rsidRPr="00666914">
              <w:rPr>
                <w:sz w:val="20"/>
                <w:szCs w:val="20"/>
              </w:rPr>
              <w:t>10</w:t>
            </w:r>
          </w:p>
        </w:tc>
        <w:tc>
          <w:tcPr>
            <w:tcW w:w="314" w:type="pct"/>
            <w:tcBorders>
              <w:top w:val="nil"/>
              <w:left w:val="nil"/>
              <w:bottom w:val="nil"/>
              <w:right w:val="nil"/>
            </w:tcBorders>
            <w:shd w:val="clear" w:color="auto" w:fill="auto"/>
            <w:noWrap/>
            <w:vAlign w:val="center"/>
            <w:hideMark/>
          </w:tcPr>
          <w:p w14:paraId="3A3DC8AA" w14:textId="77777777" w:rsidR="008A4FED" w:rsidRPr="00666914" w:rsidRDefault="008A4FED" w:rsidP="00F64B85">
            <w:pPr>
              <w:spacing w:after="0"/>
              <w:ind w:left="20" w:hanging="34"/>
              <w:jc w:val="center"/>
              <w:rPr>
                <w:sz w:val="20"/>
                <w:szCs w:val="20"/>
              </w:rPr>
            </w:pPr>
            <w:r w:rsidRPr="00666914">
              <w:rPr>
                <w:sz w:val="20"/>
                <w:szCs w:val="20"/>
              </w:rPr>
              <w:t>10</w:t>
            </w:r>
          </w:p>
        </w:tc>
        <w:tc>
          <w:tcPr>
            <w:tcW w:w="591" w:type="pct"/>
            <w:tcBorders>
              <w:top w:val="nil"/>
              <w:left w:val="nil"/>
              <w:bottom w:val="nil"/>
              <w:right w:val="nil"/>
            </w:tcBorders>
            <w:vAlign w:val="center"/>
          </w:tcPr>
          <w:p w14:paraId="6F47FDB1" w14:textId="77777777" w:rsidR="008A4FED" w:rsidRPr="00666914" w:rsidRDefault="008A4FED" w:rsidP="00F64B85">
            <w:pPr>
              <w:spacing w:after="0"/>
              <w:jc w:val="center"/>
              <w:rPr>
                <w:sz w:val="20"/>
                <w:szCs w:val="20"/>
              </w:rPr>
            </w:pPr>
            <w:r w:rsidRPr="00666914">
              <w:rPr>
                <w:rFonts w:eastAsia="Times New Roman" w:cs="Arial"/>
                <w:sz w:val="20"/>
                <w:szCs w:val="20"/>
                <w:lang w:eastAsia="zh-TW"/>
              </w:rPr>
              <w:t>1,8</w:t>
            </w:r>
          </w:p>
        </w:tc>
        <w:tc>
          <w:tcPr>
            <w:tcW w:w="299" w:type="pct"/>
            <w:tcBorders>
              <w:top w:val="nil"/>
              <w:left w:val="nil"/>
              <w:bottom w:val="nil"/>
              <w:right w:val="nil"/>
            </w:tcBorders>
            <w:shd w:val="clear" w:color="auto" w:fill="auto"/>
            <w:noWrap/>
            <w:vAlign w:val="center"/>
            <w:hideMark/>
          </w:tcPr>
          <w:p w14:paraId="37DC6AA2" w14:textId="77777777" w:rsidR="008A4FED" w:rsidRPr="00666914" w:rsidRDefault="008A4FED" w:rsidP="00F64B85">
            <w:pPr>
              <w:spacing w:after="0"/>
              <w:jc w:val="center"/>
              <w:rPr>
                <w:sz w:val="20"/>
                <w:szCs w:val="20"/>
              </w:rPr>
            </w:pPr>
            <w:r w:rsidRPr="00666914">
              <w:rPr>
                <w:sz w:val="20"/>
                <w:szCs w:val="20"/>
              </w:rPr>
              <w:t>10</w:t>
            </w:r>
          </w:p>
        </w:tc>
        <w:tc>
          <w:tcPr>
            <w:tcW w:w="593" w:type="pct"/>
            <w:tcBorders>
              <w:top w:val="nil"/>
              <w:left w:val="nil"/>
              <w:bottom w:val="nil"/>
              <w:right w:val="nil"/>
            </w:tcBorders>
            <w:shd w:val="clear" w:color="auto" w:fill="auto"/>
            <w:noWrap/>
            <w:vAlign w:val="center"/>
          </w:tcPr>
          <w:p w14:paraId="1DF3A218" w14:textId="77777777" w:rsidR="008A4FED" w:rsidRPr="00666914" w:rsidRDefault="008A4FED" w:rsidP="00F64B85">
            <w:pPr>
              <w:spacing w:after="0"/>
              <w:jc w:val="center"/>
              <w:rPr>
                <w:sz w:val="20"/>
                <w:szCs w:val="20"/>
              </w:rPr>
            </w:pPr>
            <w:r w:rsidRPr="00666914">
              <w:rPr>
                <w:sz w:val="20"/>
                <w:szCs w:val="20"/>
              </w:rPr>
              <w:t>-0,2</w:t>
            </w:r>
          </w:p>
        </w:tc>
        <w:tc>
          <w:tcPr>
            <w:tcW w:w="301" w:type="pct"/>
            <w:tcBorders>
              <w:top w:val="nil"/>
              <w:left w:val="nil"/>
              <w:bottom w:val="nil"/>
              <w:right w:val="nil"/>
            </w:tcBorders>
            <w:shd w:val="clear" w:color="auto" w:fill="auto"/>
            <w:vAlign w:val="center"/>
          </w:tcPr>
          <w:p w14:paraId="269E3302" w14:textId="77777777" w:rsidR="008A4FED" w:rsidRPr="00666914" w:rsidRDefault="008A4FED" w:rsidP="00F64B85">
            <w:pPr>
              <w:spacing w:after="0"/>
              <w:jc w:val="center"/>
              <w:rPr>
                <w:sz w:val="20"/>
                <w:szCs w:val="20"/>
              </w:rPr>
            </w:pPr>
            <w:r w:rsidRPr="00666914">
              <w:rPr>
                <w:sz w:val="20"/>
                <w:szCs w:val="20"/>
              </w:rPr>
              <w:t>10</w:t>
            </w:r>
          </w:p>
        </w:tc>
        <w:tc>
          <w:tcPr>
            <w:tcW w:w="593" w:type="pct"/>
            <w:tcBorders>
              <w:top w:val="nil"/>
              <w:left w:val="nil"/>
              <w:bottom w:val="nil"/>
              <w:right w:val="nil"/>
            </w:tcBorders>
            <w:vAlign w:val="center"/>
          </w:tcPr>
          <w:p w14:paraId="1E17A7B9" w14:textId="77777777" w:rsidR="008A4FED" w:rsidRPr="00666914" w:rsidRDefault="008A4FED" w:rsidP="00F64B85">
            <w:pPr>
              <w:spacing w:after="0"/>
              <w:jc w:val="center"/>
              <w:rPr>
                <w:sz w:val="20"/>
                <w:szCs w:val="20"/>
              </w:rPr>
            </w:pPr>
            <w:r w:rsidRPr="00666914">
              <w:rPr>
                <w:sz w:val="20"/>
                <w:szCs w:val="20"/>
              </w:rPr>
              <w:t>-0,6</w:t>
            </w:r>
          </w:p>
        </w:tc>
      </w:tr>
      <w:tr w:rsidR="008A4FED" w:rsidRPr="00666914" w14:paraId="718CFFD4" w14:textId="77777777" w:rsidTr="00F64B85">
        <w:trPr>
          <w:gridAfter w:val="1"/>
          <w:wAfter w:w="7" w:type="pct"/>
          <w:trHeight w:val="202"/>
        </w:trPr>
        <w:tc>
          <w:tcPr>
            <w:tcW w:w="1723" w:type="pct"/>
            <w:tcBorders>
              <w:top w:val="nil"/>
              <w:left w:val="nil"/>
              <w:bottom w:val="nil"/>
              <w:right w:val="nil"/>
            </w:tcBorders>
            <w:shd w:val="clear" w:color="auto" w:fill="auto"/>
            <w:vAlign w:val="center"/>
            <w:hideMark/>
          </w:tcPr>
          <w:p w14:paraId="2C4A9D40" w14:textId="77777777" w:rsidR="008A4FED" w:rsidRPr="00666914" w:rsidRDefault="008A4FED" w:rsidP="00F64B85">
            <w:pPr>
              <w:spacing w:after="0"/>
              <w:rPr>
                <w:sz w:val="20"/>
                <w:szCs w:val="20"/>
              </w:rPr>
            </w:pPr>
            <w:r w:rsidRPr="00666914">
              <w:rPr>
                <w:sz w:val="20"/>
                <w:szCs w:val="20"/>
              </w:rPr>
              <w:t xml:space="preserve">Potenciálne nákladovo neefektívne lieky - centrálny nákup liekov ZP </w:t>
            </w:r>
          </w:p>
        </w:tc>
        <w:tc>
          <w:tcPr>
            <w:tcW w:w="580" w:type="pct"/>
            <w:tcBorders>
              <w:top w:val="nil"/>
              <w:left w:val="nil"/>
              <w:bottom w:val="nil"/>
              <w:right w:val="nil"/>
            </w:tcBorders>
            <w:vAlign w:val="center"/>
          </w:tcPr>
          <w:p w14:paraId="457F779E" w14:textId="77777777" w:rsidR="008A4FED" w:rsidRPr="00666914" w:rsidRDefault="008A4FED" w:rsidP="00F64B85">
            <w:pPr>
              <w:spacing w:after="0"/>
              <w:ind w:left="20" w:hanging="34"/>
              <w:jc w:val="center"/>
              <w:rPr>
                <w:sz w:val="20"/>
                <w:szCs w:val="20"/>
              </w:rPr>
            </w:pPr>
            <w:r w:rsidRPr="00666914">
              <w:rPr>
                <w:sz w:val="20"/>
                <w:szCs w:val="20"/>
              </w:rPr>
              <w:t>42</w:t>
            </w:r>
          </w:p>
        </w:tc>
        <w:tc>
          <w:tcPr>
            <w:tcW w:w="314" w:type="pct"/>
            <w:tcBorders>
              <w:top w:val="nil"/>
              <w:left w:val="nil"/>
              <w:bottom w:val="nil"/>
              <w:right w:val="nil"/>
            </w:tcBorders>
            <w:shd w:val="clear" w:color="auto" w:fill="auto"/>
            <w:noWrap/>
            <w:vAlign w:val="center"/>
            <w:hideMark/>
          </w:tcPr>
          <w:p w14:paraId="461CBA4C" w14:textId="77777777" w:rsidR="008A4FED" w:rsidRPr="00666914" w:rsidRDefault="008A4FED" w:rsidP="00F64B85">
            <w:pPr>
              <w:spacing w:after="0"/>
              <w:ind w:left="20" w:hanging="34"/>
              <w:jc w:val="center"/>
              <w:rPr>
                <w:sz w:val="20"/>
                <w:szCs w:val="20"/>
              </w:rPr>
            </w:pPr>
            <w:r w:rsidRPr="00666914">
              <w:rPr>
                <w:sz w:val="20"/>
                <w:szCs w:val="20"/>
              </w:rPr>
              <w:t>25</w:t>
            </w:r>
          </w:p>
        </w:tc>
        <w:tc>
          <w:tcPr>
            <w:tcW w:w="591" w:type="pct"/>
            <w:tcBorders>
              <w:top w:val="nil"/>
              <w:left w:val="nil"/>
              <w:bottom w:val="nil"/>
              <w:right w:val="nil"/>
            </w:tcBorders>
            <w:vAlign w:val="center"/>
          </w:tcPr>
          <w:p w14:paraId="5723BD8A" w14:textId="77777777" w:rsidR="008A4FED" w:rsidRPr="00666914" w:rsidRDefault="008A4FED" w:rsidP="00F64B85">
            <w:pPr>
              <w:spacing w:after="0"/>
              <w:jc w:val="center"/>
              <w:rPr>
                <w:sz w:val="20"/>
                <w:szCs w:val="20"/>
              </w:rPr>
            </w:pPr>
            <w:r w:rsidRPr="00666914">
              <w:rPr>
                <w:rFonts w:eastAsia="Times New Roman" w:cs="Arial"/>
                <w:sz w:val="20"/>
                <w:szCs w:val="20"/>
                <w:lang w:eastAsia="zh-TW"/>
              </w:rPr>
              <w:t>-4,7</w:t>
            </w:r>
          </w:p>
        </w:tc>
        <w:tc>
          <w:tcPr>
            <w:tcW w:w="299" w:type="pct"/>
            <w:tcBorders>
              <w:top w:val="nil"/>
              <w:left w:val="nil"/>
              <w:bottom w:val="nil"/>
              <w:right w:val="nil"/>
            </w:tcBorders>
            <w:shd w:val="clear" w:color="auto" w:fill="auto"/>
            <w:noWrap/>
            <w:vAlign w:val="center"/>
            <w:hideMark/>
          </w:tcPr>
          <w:p w14:paraId="112B3F5C" w14:textId="77777777" w:rsidR="008A4FED" w:rsidRPr="00666914" w:rsidRDefault="008A4FED" w:rsidP="00F64B85">
            <w:pPr>
              <w:spacing w:after="0"/>
              <w:jc w:val="center"/>
              <w:rPr>
                <w:sz w:val="20"/>
                <w:szCs w:val="20"/>
              </w:rPr>
            </w:pPr>
            <w:r w:rsidRPr="00666914">
              <w:rPr>
                <w:sz w:val="20"/>
                <w:szCs w:val="20"/>
              </w:rPr>
              <w:t>25</w:t>
            </w:r>
          </w:p>
        </w:tc>
        <w:tc>
          <w:tcPr>
            <w:tcW w:w="593" w:type="pct"/>
            <w:tcBorders>
              <w:top w:val="nil"/>
              <w:left w:val="nil"/>
              <w:bottom w:val="nil"/>
              <w:right w:val="nil"/>
            </w:tcBorders>
            <w:shd w:val="clear" w:color="auto" w:fill="auto"/>
            <w:noWrap/>
            <w:vAlign w:val="center"/>
          </w:tcPr>
          <w:p w14:paraId="432A794C" w14:textId="77777777" w:rsidR="008A4FED" w:rsidRPr="00666914" w:rsidRDefault="008A4FED" w:rsidP="00F64B85">
            <w:pPr>
              <w:spacing w:after="0"/>
              <w:jc w:val="center"/>
              <w:rPr>
                <w:sz w:val="20"/>
                <w:szCs w:val="20"/>
              </w:rPr>
            </w:pPr>
            <w:r w:rsidRPr="00666914">
              <w:rPr>
                <w:sz w:val="20"/>
                <w:szCs w:val="20"/>
              </w:rPr>
              <w:t>4,5</w:t>
            </w:r>
          </w:p>
        </w:tc>
        <w:tc>
          <w:tcPr>
            <w:tcW w:w="301" w:type="pct"/>
            <w:tcBorders>
              <w:top w:val="nil"/>
              <w:left w:val="nil"/>
              <w:bottom w:val="nil"/>
              <w:right w:val="nil"/>
            </w:tcBorders>
            <w:shd w:val="clear" w:color="auto" w:fill="auto"/>
            <w:vAlign w:val="center"/>
          </w:tcPr>
          <w:p w14:paraId="4F7C4062" w14:textId="77777777" w:rsidR="008A4FED" w:rsidRPr="00666914" w:rsidRDefault="008A4FED" w:rsidP="00F64B85">
            <w:pPr>
              <w:spacing w:after="0"/>
              <w:jc w:val="center"/>
              <w:rPr>
                <w:sz w:val="20"/>
                <w:szCs w:val="20"/>
              </w:rPr>
            </w:pPr>
            <w:r w:rsidRPr="00666914">
              <w:rPr>
                <w:sz w:val="20"/>
                <w:szCs w:val="20"/>
              </w:rPr>
              <w:t>25</w:t>
            </w:r>
          </w:p>
        </w:tc>
        <w:tc>
          <w:tcPr>
            <w:tcW w:w="593" w:type="pct"/>
            <w:tcBorders>
              <w:top w:val="nil"/>
              <w:left w:val="nil"/>
              <w:bottom w:val="nil"/>
              <w:right w:val="nil"/>
            </w:tcBorders>
            <w:shd w:val="clear" w:color="auto" w:fill="auto"/>
            <w:vAlign w:val="center"/>
          </w:tcPr>
          <w:p w14:paraId="6CBEDF64" w14:textId="77777777" w:rsidR="008A4FED" w:rsidRPr="00666914" w:rsidRDefault="008A4FED" w:rsidP="00F64B85">
            <w:pPr>
              <w:spacing w:after="0"/>
              <w:jc w:val="center"/>
              <w:rPr>
                <w:sz w:val="20"/>
                <w:szCs w:val="20"/>
              </w:rPr>
            </w:pPr>
            <w:r w:rsidRPr="00666914">
              <w:rPr>
                <w:sz w:val="20"/>
                <w:szCs w:val="20"/>
              </w:rPr>
              <w:t>4,5</w:t>
            </w:r>
          </w:p>
        </w:tc>
      </w:tr>
      <w:tr w:rsidR="008A4FED" w:rsidRPr="00666914" w14:paraId="33639EB5" w14:textId="77777777" w:rsidTr="00F64B85">
        <w:trPr>
          <w:gridAfter w:val="1"/>
          <w:wAfter w:w="7" w:type="pct"/>
          <w:trHeight w:val="202"/>
        </w:trPr>
        <w:tc>
          <w:tcPr>
            <w:tcW w:w="1723" w:type="pct"/>
            <w:tcBorders>
              <w:top w:val="nil"/>
              <w:left w:val="nil"/>
              <w:bottom w:val="nil"/>
              <w:right w:val="nil"/>
            </w:tcBorders>
            <w:shd w:val="clear" w:color="auto" w:fill="auto"/>
            <w:vAlign w:val="center"/>
            <w:hideMark/>
          </w:tcPr>
          <w:p w14:paraId="493F55A3" w14:textId="77777777" w:rsidR="008A4FED" w:rsidRPr="00666914" w:rsidRDefault="008A4FED" w:rsidP="00F64B85">
            <w:pPr>
              <w:spacing w:after="0"/>
              <w:rPr>
                <w:sz w:val="20"/>
                <w:szCs w:val="20"/>
              </w:rPr>
            </w:pPr>
            <w:r w:rsidRPr="00666914">
              <w:rPr>
                <w:sz w:val="20"/>
                <w:szCs w:val="20"/>
              </w:rPr>
              <w:t>Špeciálny zdravotnícky materiál - zníženie cien (referencovanie)</w:t>
            </w:r>
          </w:p>
        </w:tc>
        <w:tc>
          <w:tcPr>
            <w:tcW w:w="580" w:type="pct"/>
            <w:tcBorders>
              <w:top w:val="nil"/>
              <w:left w:val="nil"/>
              <w:bottom w:val="nil"/>
              <w:right w:val="nil"/>
            </w:tcBorders>
            <w:vAlign w:val="center"/>
          </w:tcPr>
          <w:p w14:paraId="1DC51E2A" w14:textId="77777777" w:rsidR="008A4FED" w:rsidRPr="00666914" w:rsidRDefault="008A4FED" w:rsidP="00F64B85">
            <w:pPr>
              <w:spacing w:after="0"/>
              <w:ind w:left="20" w:hanging="34"/>
              <w:jc w:val="center"/>
              <w:rPr>
                <w:sz w:val="20"/>
                <w:szCs w:val="20"/>
              </w:rPr>
            </w:pPr>
            <w:r w:rsidRPr="00666914">
              <w:rPr>
                <w:sz w:val="20"/>
                <w:szCs w:val="20"/>
              </w:rPr>
              <w:t>55</w:t>
            </w:r>
          </w:p>
        </w:tc>
        <w:tc>
          <w:tcPr>
            <w:tcW w:w="314" w:type="pct"/>
            <w:tcBorders>
              <w:top w:val="nil"/>
              <w:left w:val="nil"/>
              <w:bottom w:val="nil"/>
              <w:right w:val="nil"/>
            </w:tcBorders>
            <w:shd w:val="clear" w:color="auto" w:fill="auto"/>
            <w:noWrap/>
            <w:vAlign w:val="center"/>
            <w:hideMark/>
          </w:tcPr>
          <w:p w14:paraId="2E2303D5" w14:textId="77777777" w:rsidR="008A4FED" w:rsidRPr="00666914" w:rsidRDefault="008A4FED" w:rsidP="00F64B85">
            <w:pPr>
              <w:spacing w:after="0"/>
              <w:ind w:left="20" w:hanging="34"/>
              <w:jc w:val="center"/>
              <w:rPr>
                <w:sz w:val="20"/>
                <w:szCs w:val="20"/>
              </w:rPr>
            </w:pPr>
            <w:r w:rsidRPr="00666914">
              <w:rPr>
                <w:sz w:val="20"/>
                <w:szCs w:val="20"/>
              </w:rPr>
              <w:t>35</w:t>
            </w:r>
          </w:p>
        </w:tc>
        <w:tc>
          <w:tcPr>
            <w:tcW w:w="591" w:type="pct"/>
            <w:tcBorders>
              <w:top w:val="nil"/>
              <w:left w:val="nil"/>
              <w:bottom w:val="nil"/>
              <w:right w:val="nil"/>
            </w:tcBorders>
            <w:vAlign w:val="center"/>
          </w:tcPr>
          <w:p w14:paraId="1056BC4D" w14:textId="77777777" w:rsidR="008A4FED" w:rsidRPr="00666914" w:rsidRDefault="008A4FED" w:rsidP="00F64B85">
            <w:pPr>
              <w:spacing w:after="0"/>
              <w:jc w:val="center"/>
              <w:rPr>
                <w:sz w:val="20"/>
                <w:szCs w:val="20"/>
              </w:rPr>
            </w:pPr>
            <w:r w:rsidRPr="00666914">
              <w:rPr>
                <w:rFonts w:eastAsia="Times New Roman" w:cs="Arial"/>
                <w:sz w:val="20"/>
                <w:szCs w:val="20"/>
                <w:lang w:eastAsia="zh-TW"/>
              </w:rPr>
              <w:t>33</w:t>
            </w:r>
          </w:p>
        </w:tc>
        <w:tc>
          <w:tcPr>
            <w:tcW w:w="299" w:type="pct"/>
            <w:tcBorders>
              <w:top w:val="nil"/>
              <w:left w:val="nil"/>
              <w:bottom w:val="nil"/>
              <w:right w:val="nil"/>
            </w:tcBorders>
            <w:shd w:val="clear" w:color="auto" w:fill="auto"/>
            <w:noWrap/>
            <w:vAlign w:val="center"/>
            <w:hideMark/>
          </w:tcPr>
          <w:p w14:paraId="6A82991B" w14:textId="77777777" w:rsidR="008A4FED" w:rsidRPr="00666914" w:rsidRDefault="008A4FED" w:rsidP="00F64B85">
            <w:pPr>
              <w:spacing w:after="0"/>
              <w:jc w:val="center"/>
              <w:rPr>
                <w:sz w:val="20"/>
                <w:szCs w:val="20"/>
              </w:rPr>
            </w:pPr>
            <w:r w:rsidRPr="00666914">
              <w:rPr>
                <w:sz w:val="20"/>
                <w:szCs w:val="20"/>
              </w:rPr>
              <w:t>45</w:t>
            </w:r>
          </w:p>
        </w:tc>
        <w:tc>
          <w:tcPr>
            <w:tcW w:w="593" w:type="pct"/>
            <w:tcBorders>
              <w:top w:val="nil"/>
              <w:left w:val="nil"/>
              <w:bottom w:val="nil"/>
              <w:right w:val="nil"/>
            </w:tcBorders>
            <w:shd w:val="clear" w:color="auto" w:fill="auto"/>
            <w:noWrap/>
            <w:vAlign w:val="center"/>
          </w:tcPr>
          <w:p w14:paraId="2F38976C" w14:textId="77777777" w:rsidR="008A4FED" w:rsidRPr="00666914" w:rsidRDefault="008A4FED" w:rsidP="00F64B85">
            <w:pPr>
              <w:spacing w:after="0"/>
              <w:jc w:val="center"/>
              <w:rPr>
                <w:sz w:val="20"/>
                <w:szCs w:val="20"/>
              </w:rPr>
            </w:pPr>
            <w:r w:rsidRPr="00666914">
              <w:rPr>
                <w:sz w:val="20"/>
                <w:szCs w:val="20"/>
              </w:rPr>
              <w:t>33</w:t>
            </w:r>
          </w:p>
        </w:tc>
        <w:tc>
          <w:tcPr>
            <w:tcW w:w="301" w:type="pct"/>
            <w:tcBorders>
              <w:top w:val="nil"/>
              <w:left w:val="nil"/>
              <w:bottom w:val="nil"/>
              <w:right w:val="nil"/>
            </w:tcBorders>
            <w:shd w:val="clear" w:color="auto" w:fill="auto"/>
            <w:vAlign w:val="center"/>
          </w:tcPr>
          <w:p w14:paraId="2915D251" w14:textId="77777777" w:rsidR="008A4FED" w:rsidRPr="00666914" w:rsidRDefault="008A4FED" w:rsidP="00F64B85">
            <w:pPr>
              <w:spacing w:after="0"/>
              <w:jc w:val="center"/>
              <w:rPr>
                <w:sz w:val="20"/>
                <w:szCs w:val="20"/>
              </w:rPr>
            </w:pPr>
            <w:r w:rsidRPr="00666914">
              <w:rPr>
                <w:sz w:val="20"/>
                <w:szCs w:val="20"/>
              </w:rPr>
              <w:t>45</w:t>
            </w:r>
          </w:p>
        </w:tc>
        <w:tc>
          <w:tcPr>
            <w:tcW w:w="593" w:type="pct"/>
            <w:tcBorders>
              <w:top w:val="nil"/>
              <w:left w:val="nil"/>
              <w:bottom w:val="nil"/>
              <w:right w:val="nil"/>
            </w:tcBorders>
            <w:shd w:val="clear" w:color="auto" w:fill="auto"/>
            <w:vAlign w:val="center"/>
          </w:tcPr>
          <w:p w14:paraId="45323D39" w14:textId="77777777" w:rsidR="008A4FED" w:rsidRPr="00666914" w:rsidRDefault="008A4FED" w:rsidP="00F64B85">
            <w:pPr>
              <w:spacing w:after="0"/>
              <w:jc w:val="center"/>
              <w:rPr>
                <w:sz w:val="20"/>
                <w:szCs w:val="20"/>
              </w:rPr>
            </w:pPr>
            <w:r w:rsidRPr="00666914">
              <w:rPr>
                <w:sz w:val="20"/>
                <w:szCs w:val="20"/>
              </w:rPr>
              <w:t>33</w:t>
            </w:r>
          </w:p>
        </w:tc>
      </w:tr>
      <w:tr w:rsidR="008A4FED" w:rsidRPr="00666914" w14:paraId="5F677AE7" w14:textId="77777777" w:rsidTr="00F64B85">
        <w:trPr>
          <w:gridAfter w:val="1"/>
          <w:wAfter w:w="7" w:type="pct"/>
          <w:trHeight w:val="202"/>
        </w:trPr>
        <w:tc>
          <w:tcPr>
            <w:tcW w:w="1723" w:type="pct"/>
            <w:tcBorders>
              <w:top w:val="nil"/>
              <w:left w:val="nil"/>
              <w:bottom w:val="nil"/>
              <w:right w:val="nil"/>
            </w:tcBorders>
            <w:shd w:val="clear" w:color="auto" w:fill="auto"/>
            <w:vAlign w:val="center"/>
            <w:hideMark/>
          </w:tcPr>
          <w:p w14:paraId="0FCC47EB" w14:textId="77777777" w:rsidR="008A4FED" w:rsidRPr="00666914" w:rsidRDefault="008A4FED" w:rsidP="00F64B85">
            <w:pPr>
              <w:spacing w:after="0"/>
              <w:rPr>
                <w:sz w:val="20"/>
                <w:szCs w:val="20"/>
              </w:rPr>
            </w:pPr>
            <w:r w:rsidRPr="00666914">
              <w:rPr>
                <w:sz w:val="20"/>
                <w:szCs w:val="20"/>
              </w:rPr>
              <w:t>Zdravotnícke pomôcky - referencovanie a revízne činnosti</w:t>
            </w:r>
          </w:p>
        </w:tc>
        <w:tc>
          <w:tcPr>
            <w:tcW w:w="580" w:type="pct"/>
            <w:tcBorders>
              <w:top w:val="nil"/>
              <w:left w:val="nil"/>
              <w:bottom w:val="nil"/>
              <w:right w:val="nil"/>
            </w:tcBorders>
            <w:vAlign w:val="center"/>
          </w:tcPr>
          <w:p w14:paraId="2AEFC4C2" w14:textId="77777777" w:rsidR="008A4FED" w:rsidRPr="00666914" w:rsidRDefault="008A4FED" w:rsidP="00F64B85">
            <w:pPr>
              <w:spacing w:after="0"/>
              <w:ind w:left="20" w:hanging="34"/>
              <w:jc w:val="center"/>
              <w:rPr>
                <w:sz w:val="20"/>
                <w:szCs w:val="20"/>
              </w:rPr>
            </w:pPr>
            <w:r w:rsidRPr="00666914">
              <w:rPr>
                <w:sz w:val="20"/>
                <w:szCs w:val="20"/>
              </w:rPr>
              <w:t>15</w:t>
            </w:r>
          </w:p>
        </w:tc>
        <w:tc>
          <w:tcPr>
            <w:tcW w:w="314" w:type="pct"/>
            <w:tcBorders>
              <w:top w:val="nil"/>
              <w:left w:val="nil"/>
              <w:bottom w:val="nil"/>
              <w:right w:val="nil"/>
            </w:tcBorders>
            <w:shd w:val="clear" w:color="auto" w:fill="auto"/>
            <w:noWrap/>
            <w:vAlign w:val="center"/>
            <w:hideMark/>
          </w:tcPr>
          <w:p w14:paraId="4B5C1DC5" w14:textId="77777777" w:rsidR="008A4FED" w:rsidRPr="00666914" w:rsidRDefault="008A4FED" w:rsidP="00F64B85">
            <w:pPr>
              <w:spacing w:after="0"/>
              <w:ind w:left="20" w:hanging="34"/>
              <w:jc w:val="center"/>
              <w:rPr>
                <w:sz w:val="20"/>
                <w:szCs w:val="20"/>
              </w:rPr>
            </w:pPr>
            <w:r w:rsidRPr="00666914">
              <w:rPr>
                <w:sz w:val="20"/>
                <w:szCs w:val="20"/>
              </w:rPr>
              <w:t>15</w:t>
            </w:r>
          </w:p>
        </w:tc>
        <w:tc>
          <w:tcPr>
            <w:tcW w:w="591" w:type="pct"/>
            <w:tcBorders>
              <w:top w:val="nil"/>
              <w:left w:val="nil"/>
              <w:bottom w:val="nil"/>
              <w:right w:val="nil"/>
            </w:tcBorders>
            <w:vAlign w:val="center"/>
          </w:tcPr>
          <w:p w14:paraId="27EED97F" w14:textId="77777777" w:rsidR="008A4FED" w:rsidRPr="00666914" w:rsidRDefault="008A4FED" w:rsidP="00F64B85">
            <w:pPr>
              <w:spacing w:after="0"/>
              <w:jc w:val="center"/>
              <w:rPr>
                <w:sz w:val="20"/>
                <w:szCs w:val="20"/>
              </w:rPr>
            </w:pPr>
            <w:r w:rsidRPr="00666914">
              <w:rPr>
                <w:rFonts w:eastAsia="Times New Roman" w:cs="Arial"/>
                <w:sz w:val="20"/>
                <w:szCs w:val="20"/>
                <w:lang w:eastAsia="zh-TW"/>
              </w:rPr>
              <w:t>10,4</w:t>
            </w:r>
          </w:p>
        </w:tc>
        <w:tc>
          <w:tcPr>
            <w:tcW w:w="299" w:type="pct"/>
            <w:tcBorders>
              <w:top w:val="nil"/>
              <w:left w:val="nil"/>
              <w:bottom w:val="nil"/>
              <w:right w:val="nil"/>
            </w:tcBorders>
            <w:shd w:val="clear" w:color="auto" w:fill="auto"/>
            <w:noWrap/>
            <w:vAlign w:val="center"/>
            <w:hideMark/>
          </w:tcPr>
          <w:p w14:paraId="111AA931" w14:textId="77777777" w:rsidR="008A4FED" w:rsidRPr="00666914" w:rsidRDefault="008A4FED" w:rsidP="00F64B85">
            <w:pPr>
              <w:spacing w:after="0"/>
              <w:jc w:val="center"/>
              <w:rPr>
                <w:sz w:val="20"/>
                <w:szCs w:val="20"/>
              </w:rPr>
            </w:pPr>
            <w:r w:rsidRPr="00666914">
              <w:rPr>
                <w:sz w:val="20"/>
                <w:szCs w:val="20"/>
              </w:rPr>
              <w:t>15</w:t>
            </w:r>
          </w:p>
        </w:tc>
        <w:tc>
          <w:tcPr>
            <w:tcW w:w="593" w:type="pct"/>
            <w:tcBorders>
              <w:top w:val="nil"/>
              <w:left w:val="nil"/>
              <w:bottom w:val="nil"/>
              <w:right w:val="nil"/>
            </w:tcBorders>
            <w:shd w:val="clear" w:color="auto" w:fill="auto"/>
            <w:noWrap/>
            <w:vAlign w:val="center"/>
          </w:tcPr>
          <w:p w14:paraId="46D97E4A" w14:textId="77777777" w:rsidR="008A4FED" w:rsidRPr="00666914" w:rsidRDefault="008A4FED" w:rsidP="00F64B85">
            <w:pPr>
              <w:spacing w:after="0"/>
              <w:jc w:val="center"/>
              <w:rPr>
                <w:sz w:val="20"/>
                <w:szCs w:val="20"/>
              </w:rPr>
            </w:pPr>
            <w:r w:rsidRPr="00666914">
              <w:rPr>
                <w:sz w:val="20"/>
                <w:szCs w:val="20"/>
              </w:rPr>
              <w:t>22,4</w:t>
            </w:r>
          </w:p>
        </w:tc>
        <w:tc>
          <w:tcPr>
            <w:tcW w:w="301" w:type="pct"/>
            <w:tcBorders>
              <w:top w:val="nil"/>
              <w:left w:val="nil"/>
              <w:bottom w:val="nil"/>
              <w:right w:val="nil"/>
            </w:tcBorders>
            <w:vAlign w:val="center"/>
          </w:tcPr>
          <w:p w14:paraId="20CEAD48" w14:textId="77777777" w:rsidR="008A4FED" w:rsidRPr="00666914" w:rsidRDefault="008A4FED" w:rsidP="00F64B85">
            <w:pPr>
              <w:spacing w:after="0"/>
              <w:jc w:val="center"/>
              <w:rPr>
                <w:sz w:val="20"/>
                <w:szCs w:val="20"/>
              </w:rPr>
            </w:pPr>
            <w:r w:rsidRPr="00666914">
              <w:rPr>
                <w:sz w:val="20"/>
                <w:szCs w:val="20"/>
              </w:rPr>
              <w:t>15</w:t>
            </w:r>
          </w:p>
        </w:tc>
        <w:tc>
          <w:tcPr>
            <w:tcW w:w="593" w:type="pct"/>
            <w:tcBorders>
              <w:top w:val="nil"/>
              <w:left w:val="nil"/>
              <w:bottom w:val="nil"/>
              <w:right w:val="nil"/>
            </w:tcBorders>
            <w:vAlign w:val="center"/>
          </w:tcPr>
          <w:p w14:paraId="33DA792D" w14:textId="77777777" w:rsidR="008A4FED" w:rsidRPr="00666914" w:rsidRDefault="008A4FED" w:rsidP="00F64B85">
            <w:pPr>
              <w:spacing w:after="0"/>
              <w:jc w:val="center"/>
              <w:rPr>
                <w:sz w:val="20"/>
                <w:szCs w:val="20"/>
              </w:rPr>
            </w:pPr>
            <w:r w:rsidRPr="00666914">
              <w:rPr>
                <w:sz w:val="20"/>
                <w:szCs w:val="20"/>
              </w:rPr>
              <w:t>15,4</w:t>
            </w:r>
          </w:p>
        </w:tc>
      </w:tr>
      <w:tr w:rsidR="008A4FED" w:rsidRPr="00666914" w14:paraId="3713E11D" w14:textId="77777777" w:rsidTr="00F64B85">
        <w:trPr>
          <w:gridAfter w:val="1"/>
          <w:wAfter w:w="7" w:type="pct"/>
          <w:trHeight w:val="214"/>
        </w:trPr>
        <w:tc>
          <w:tcPr>
            <w:tcW w:w="1723" w:type="pct"/>
            <w:tcBorders>
              <w:top w:val="nil"/>
              <w:left w:val="nil"/>
              <w:bottom w:val="nil"/>
              <w:right w:val="nil"/>
            </w:tcBorders>
            <w:shd w:val="clear" w:color="auto" w:fill="auto"/>
            <w:vAlign w:val="center"/>
            <w:hideMark/>
          </w:tcPr>
          <w:p w14:paraId="1FE2DBAB" w14:textId="77777777" w:rsidR="008A4FED" w:rsidRPr="00666914" w:rsidRDefault="008A4FED" w:rsidP="00F64B85">
            <w:pPr>
              <w:spacing w:after="0"/>
              <w:rPr>
                <w:sz w:val="20"/>
                <w:szCs w:val="20"/>
              </w:rPr>
            </w:pPr>
            <w:r w:rsidRPr="00666914">
              <w:rPr>
                <w:sz w:val="20"/>
                <w:szCs w:val="20"/>
              </w:rPr>
              <w:t>SVLZ - zníženie jednotkových cien a limitov CT a MR vyšetrení</w:t>
            </w:r>
          </w:p>
        </w:tc>
        <w:tc>
          <w:tcPr>
            <w:tcW w:w="580" w:type="pct"/>
            <w:tcBorders>
              <w:top w:val="nil"/>
              <w:left w:val="nil"/>
              <w:bottom w:val="nil"/>
              <w:right w:val="nil"/>
            </w:tcBorders>
            <w:vAlign w:val="center"/>
          </w:tcPr>
          <w:p w14:paraId="5D11EA3D" w14:textId="77777777" w:rsidR="008A4FED" w:rsidRPr="00666914" w:rsidRDefault="008A4FED" w:rsidP="00F64B85">
            <w:pPr>
              <w:spacing w:after="0"/>
              <w:ind w:left="20" w:hanging="34"/>
              <w:jc w:val="center"/>
              <w:rPr>
                <w:sz w:val="20"/>
                <w:szCs w:val="20"/>
              </w:rPr>
            </w:pPr>
            <w:r w:rsidRPr="00666914">
              <w:rPr>
                <w:sz w:val="20"/>
                <w:szCs w:val="20"/>
              </w:rPr>
              <w:t>25</w:t>
            </w:r>
          </w:p>
        </w:tc>
        <w:tc>
          <w:tcPr>
            <w:tcW w:w="314" w:type="pct"/>
            <w:tcBorders>
              <w:top w:val="nil"/>
              <w:left w:val="nil"/>
              <w:bottom w:val="nil"/>
              <w:right w:val="nil"/>
            </w:tcBorders>
            <w:shd w:val="clear" w:color="auto" w:fill="auto"/>
            <w:noWrap/>
            <w:vAlign w:val="center"/>
            <w:hideMark/>
          </w:tcPr>
          <w:p w14:paraId="13540C11" w14:textId="77777777" w:rsidR="008A4FED" w:rsidRPr="00666914" w:rsidRDefault="008A4FED" w:rsidP="00F64B85">
            <w:pPr>
              <w:spacing w:after="0"/>
              <w:ind w:left="20" w:hanging="34"/>
              <w:jc w:val="center"/>
              <w:rPr>
                <w:sz w:val="20"/>
                <w:szCs w:val="20"/>
              </w:rPr>
            </w:pPr>
            <w:r w:rsidRPr="00666914">
              <w:rPr>
                <w:sz w:val="20"/>
                <w:szCs w:val="20"/>
              </w:rPr>
              <w:t>10</w:t>
            </w:r>
          </w:p>
        </w:tc>
        <w:tc>
          <w:tcPr>
            <w:tcW w:w="591" w:type="pct"/>
            <w:tcBorders>
              <w:top w:val="nil"/>
              <w:left w:val="nil"/>
              <w:bottom w:val="nil"/>
              <w:right w:val="nil"/>
            </w:tcBorders>
            <w:vAlign w:val="center"/>
          </w:tcPr>
          <w:p w14:paraId="1A5F9CDA" w14:textId="77777777" w:rsidR="008A4FED" w:rsidRPr="00666914" w:rsidRDefault="008A4FED" w:rsidP="00F64B85">
            <w:pPr>
              <w:spacing w:after="0"/>
              <w:jc w:val="center"/>
              <w:rPr>
                <w:sz w:val="20"/>
                <w:szCs w:val="20"/>
              </w:rPr>
            </w:pPr>
            <w:r w:rsidRPr="00666914">
              <w:rPr>
                <w:rFonts w:eastAsia="Times New Roman" w:cs="Arial"/>
                <w:sz w:val="20"/>
                <w:szCs w:val="20"/>
                <w:lang w:eastAsia="zh-TW"/>
              </w:rPr>
              <w:t>10,9</w:t>
            </w:r>
          </w:p>
        </w:tc>
        <w:tc>
          <w:tcPr>
            <w:tcW w:w="299" w:type="pct"/>
            <w:tcBorders>
              <w:top w:val="nil"/>
              <w:left w:val="nil"/>
              <w:bottom w:val="nil"/>
              <w:right w:val="nil"/>
            </w:tcBorders>
            <w:shd w:val="clear" w:color="auto" w:fill="auto"/>
            <w:noWrap/>
            <w:vAlign w:val="center"/>
            <w:hideMark/>
          </w:tcPr>
          <w:p w14:paraId="61112545" w14:textId="77777777" w:rsidR="008A4FED" w:rsidRPr="00666914" w:rsidRDefault="008A4FED" w:rsidP="00F64B85">
            <w:pPr>
              <w:spacing w:after="0"/>
              <w:jc w:val="center"/>
              <w:rPr>
                <w:sz w:val="20"/>
                <w:szCs w:val="20"/>
              </w:rPr>
            </w:pPr>
            <w:r w:rsidRPr="00666914">
              <w:rPr>
                <w:sz w:val="20"/>
                <w:szCs w:val="20"/>
              </w:rPr>
              <w:t>16</w:t>
            </w:r>
          </w:p>
        </w:tc>
        <w:tc>
          <w:tcPr>
            <w:tcW w:w="593" w:type="pct"/>
            <w:tcBorders>
              <w:top w:val="nil"/>
              <w:left w:val="nil"/>
              <w:bottom w:val="nil"/>
              <w:right w:val="nil"/>
            </w:tcBorders>
            <w:shd w:val="clear" w:color="auto" w:fill="auto"/>
            <w:noWrap/>
            <w:vAlign w:val="center"/>
          </w:tcPr>
          <w:p w14:paraId="69CFAC3E" w14:textId="77777777" w:rsidR="008A4FED" w:rsidRPr="00666914" w:rsidRDefault="008A4FED" w:rsidP="00F64B85">
            <w:pPr>
              <w:spacing w:after="0"/>
              <w:jc w:val="center"/>
              <w:rPr>
                <w:sz w:val="20"/>
                <w:szCs w:val="20"/>
              </w:rPr>
            </w:pPr>
            <w:r w:rsidRPr="00666914">
              <w:rPr>
                <w:sz w:val="20"/>
                <w:szCs w:val="20"/>
              </w:rPr>
              <w:t>5,9</w:t>
            </w:r>
          </w:p>
        </w:tc>
        <w:tc>
          <w:tcPr>
            <w:tcW w:w="301" w:type="pct"/>
            <w:tcBorders>
              <w:top w:val="nil"/>
              <w:left w:val="nil"/>
              <w:bottom w:val="nil"/>
              <w:right w:val="nil"/>
            </w:tcBorders>
            <w:vAlign w:val="center"/>
          </w:tcPr>
          <w:p w14:paraId="5F0FC11B" w14:textId="77777777" w:rsidR="008A4FED" w:rsidRPr="00666914" w:rsidRDefault="008A4FED" w:rsidP="00F64B85">
            <w:pPr>
              <w:spacing w:after="0"/>
              <w:jc w:val="center"/>
              <w:rPr>
                <w:sz w:val="20"/>
                <w:szCs w:val="20"/>
              </w:rPr>
            </w:pPr>
            <w:r w:rsidRPr="00666914">
              <w:rPr>
                <w:sz w:val="20"/>
                <w:szCs w:val="20"/>
              </w:rPr>
              <w:t>22</w:t>
            </w:r>
          </w:p>
        </w:tc>
        <w:tc>
          <w:tcPr>
            <w:tcW w:w="593" w:type="pct"/>
            <w:tcBorders>
              <w:top w:val="nil"/>
              <w:left w:val="nil"/>
              <w:bottom w:val="nil"/>
              <w:right w:val="nil"/>
            </w:tcBorders>
            <w:vAlign w:val="center"/>
          </w:tcPr>
          <w:p w14:paraId="7A7008F0" w14:textId="77777777" w:rsidR="008A4FED" w:rsidRPr="00666914" w:rsidRDefault="008A4FED" w:rsidP="00F64B85">
            <w:pPr>
              <w:spacing w:after="0"/>
              <w:jc w:val="center"/>
              <w:rPr>
                <w:sz w:val="20"/>
                <w:szCs w:val="20"/>
              </w:rPr>
            </w:pPr>
            <w:r w:rsidRPr="00666914">
              <w:rPr>
                <w:sz w:val="20"/>
                <w:szCs w:val="20"/>
              </w:rPr>
              <w:t>6,1</w:t>
            </w:r>
          </w:p>
        </w:tc>
      </w:tr>
      <w:tr w:rsidR="008A4FED" w:rsidRPr="00666914" w14:paraId="313AF309" w14:textId="77777777" w:rsidTr="00F64B85">
        <w:trPr>
          <w:gridAfter w:val="1"/>
          <w:wAfter w:w="7" w:type="pct"/>
          <w:trHeight w:val="202"/>
        </w:trPr>
        <w:tc>
          <w:tcPr>
            <w:tcW w:w="1723" w:type="pct"/>
            <w:tcBorders>
              <w:top w:val="nil"/>
              <w:left w:val="nil"/>
              <w:right w:val="nil"/>
            </w:tcBorders>
            <w:shd w:val="clear" w:color="auto" w:fill="auto"/>
            <w:vAlign w:val="center"/>
            <w:hideMark/>
          </w:tcPr>
          <w:p w14:paraId="10AFEE2E" w14:textId="77777777" w:rsidR="008A4FED" w:rsidRPr="00666914" w:rsidRDefault="008A4FED" w:rsidP="00F64B85">
            <w:pPr>
              <w:spacing w:after="0"/>
              <w:rPr>
                <w:sz w:val="20"/>
                <w:szCs w:val="20"/>
              </w:rPr>
            </w:pPr>
            <w:r w:rsidRPr="00666914">
              <w:rPr>
                <w:sz w:val="20"/>
                <w:szCs w:val="20"/>
              </w:rPr>
              <w:t>SVLZ - zavedenie limitov pre ambulantných poskytovateľov</w:t>
            </w:r>
          </w:p>
        </w:tc>
        <w:tc>
          <w:tcPr>
            <w:tcW w:w="580" w:type="pct"/>
            <w:tcBorders>
              <w:top w:val="nil"/>
              <w:left w:val="nil"/>
              <w:right w:val="nil"/>
            </w:tcBorders>
            <w:vAlign w:val="center"/>
          </w:tcPr>
          <w:p w14:paraId="4851099E" w14:textId="77777777" w:rsidR="008A4FED" w:rsidRPr="00666914" w:rsidRDefault="008A4FED" w:rsidP="00F64B85">
            <w:pPr>
              <w:spacing w:after="0"/>
              <w:ind w:left="20" w:hanging="34"/>
              <w:jc w:val="center"/>
              <w:rPr>
                <w:sz w:val="20"/>
                <w:szCs w:val="20"/>
              </w:rPr>
            </w:pPr>
            <w:r w:rsidRPr="00666914">
              <w:rPr>
                <w:sz w:val="20"/>
                <w:szCs w:val="20"/>
              </w:rPr>
              <w:t>37</w:t>
            </w:r>
          </w:p>
        </w:tc>
        <w:tc>
          <w:tcPr>
            <w:tcW w:w="314" w:type="pct"/>
            <w:tcBorders>
              <w:top w:val="nil"/>
              <w:left w:val="nil"/>
              <w:right w:val="nil"/>
            </w:tcBorders>
            <w:shd w:val="clear" w:color="auto" w:fill="auto"/>
            <w:noWrap/>
            <w:vAlign w:val="center"/>
            <w:hideMark/>
          </w:tcPr>
          <w:p w14:paraId="67EAC0FF" w14:textId="77777777" w:rsidR="008A4FED" w:rsidRPr="00666914" w:rsidRDefault="008A4FED" w:rsidP="00F64B85">
            <w:pPr>
              <w:spacing w:after="0"/>
              <w:ind w:left="20" w:hanging="34"/>
              <w:jc w:val="center"/>
              <w:rPr>
                <w:sz w:val="20"/>
                <w:szCs w:val="20"/>
              </w:rPr>
            </w:pPr>
            <w:r w:rsidRPr="00666914">
              <w:rPr>
                <w:sz w:val="20"/>
                <w:szCs w:val="20"/>
              </w:rPr>
              <w:t>3</w:t>
            </w:r>
          </w:p>
        </w:tc>
        <w:tc>
          <w:tcPr>
            <w:tcW w:w="591" w:type="pct"/>
            <w:tcBorders>
              <w:top w:val="nil"/>
              <w:left w:val="nil"/>
              <w:right w:val="nil"/>
            </w:tcBorders>
            <w:vAlign w:val="center"/>
          </w:tcPr>
          <w:p w14:paraId="33FAE53B" w14:textId="77777777" w:rsidR="008A4FED" w:rsidRPr="00666914" w:rsidRDefault="008A4FED" w:rsidP="00F64B85">
            <w:pPr>
              <w:spacing w:after="0"/>
              <w:jc w:val="center"/>
              <w:rPr>
                <w:sz w:val="20"/>
                <w:szCs w:val="20"/>
              </w:rPr>
            </w:pPr>
            <w:r w:rsidRPr="00666914">
              <w:rPr>
                <w:rFonts w:eastAsia="Times New Roman" w:cs="Arial"/>
                <w:sz w:val="20"/>
                <w:szCs w:val="20"/>
                <w:lang w:eastAsia="zh-TW"/>
              </w:rPr>
              <w:t>2</w:t>
            </w:r>
          </w:p>
        </w:tc>
        <w:tc>
          <w:tcPr>
            <w:tcW w:w="299" w:type="pct"/>
            <w:tcBorders>
              <w:top w:val="nil"/>
              <w:left w:val="nil"/>
              <w:right w:val="nil"/>
            </w:tcBorders>
            <w:shd w:val="clear" w:color="auto" w:fill="auto"/>
            <w:noWrap/>
            <w:vAlign w:val="center"/>
            <w:hideMark/>
          </w:tcPr>
          <w:p w14:paraId="3B38E62B" w14:textId="77777777" w:rsidR="008A4FED" w:rsidRPr="00666914" w:rsidRDefault="008A4FED" w:rsidP="00F64B85">
            <w:pPr>
              <w:spacing w:after="0"/>
              <w:jc w:val="center"/>
              <w:rPr>
                <w:sz w:val="20"/>
                <w:szCs w:val="20"/>
              </w:rPr>
            </w:pPr>
            <w:r w:rsidRPr="00666914">
              <w:rPr>
                <w:sz w:val="20"/>
                <w:szCs w:val="20"/>
              </w:rPr>
              <w:t>3</w:t>
            </w:r>
          </w:p>
        </w:tc>
        <w:tc>
          <w:tcPr>
            <w:tcW w:w="593" w:type="pct"/>
            <w:tcBorders>
              <w:top w:val="nil"/>
              <w:left w:val="nil"/>
              <w:right w:val="nil"/>
            </w:tcBorders>
            <w:shd w:val="clear" w:color="auto" w:fill="auto"/>
            <w:noWrap/>
            <w:vAlign w:val="center"/>
          </w:tcPr>
          <w:p w14:paraId="10E2E261" w14:textId="77777777" w:rsidR="008A4FED" w:rsidRPr="00666914" w:rsidRDefault="008A4FED" w:rsidP="00F64B85">
            <w:pPr>
              <w:spacing w:after="0"/>
              <w:jc w:val="center"/>
              <w:rPr>
                <w:sz w:val="20"/>
                <w:szCs w:val="20"/>
              </w:rPr>
            </w:pPr>
            <w:r w:rsidRPr="00666914">
              <w:rPr>
                <w:sz w:val="20"/>
                <w:szCs w:val="20"/>
              </w:rPr>
              <w:t>-6,5</w:t>
            </w:r>
          </w:p>
        </w:tc>
        <w:tc>
          <w:tcPr>
            <w:tcW w:w="301" w:type="pct"/>
            <w:tcBorders>
              <w:top w:val="nil"/>
              <w:left w:val="nil"/>
              <w:right w:val="nil"/>
            </w:tcBorders>
            <w:vAlign w:val="center"/>
          </w:tcPr>
          <w:p w14:paraId="6B136626" w14:textId="77777777" w:rsidR="008A4FED" w:rsidRPr="00666914" w:rsidRDefault="008A4FED" w:rsidP="00F64B85">
            <w:pPr>
              <w:spacing w:after="0"/>
              <w:jc w:val="center"/>
              <w:rPr>
                <w:sz w:val="20"/>
                <w:szCs w:val="20"/>
              </w:rPr>
            </w:pPr>
            <w:r w:rsidRPr="00666914">
              <w:rPr>
                <w:sz w:val="20"/>
                <w:szCs w:val="20"/>
              </w:rPr>
              <w:t>3</w:t>
            </w:r>
          </w:p>
        </w:tc>
        <w:tc>
          <w:tcPr>
            <w:tcW w:w="593" w:type="pct"/>
            <w:tcBorders>
              <w:top w:val="nil"/>
              <w:left w:val="nil"/>
              <w:right w:val="nil"/>
            </w:tcBorders>
            <w:vAlign w:val="center"/>
          </w:tcPr>
          <w:p w14:paraId="6242A182" w14:textId="77777777" w:rsidR="008A4FED" w:rsidRPr="00666914" w:rsidRDefault="008A4FED" w:rsidP="00F64B85">
            <w:pPr>
              <w:spacing w:after="0"/>
              <w:jc w:val="center"/>
              <w:rPr>
                <w:sz w:val="20"/>
                <w:szCs w:val="20"/>
              </w:rPr>
            </w:pPr>
            <w:r w:rsidRPr="00666914">
              <w:rPr>
                <w:sz w:val="20"/>
                <w:szCs w:val="20"/>
              </w:rPr>
              <w:t>-15</w:t>
            </w:r>
          </w:p>
        </w:tc>
      </w:tr>
      <w:tr w:rsidR="008A4FED" w:rsidRPr="00666914" w14:paraId="15B5CD72" w14:textId="77777777" w:rsidTr="00F64B85">
        <w:trPr>
          <w:gridAfter w:val="1"/>
          <w:wAfter w:w="7" w:type="pct"/>
          <w:trHeight w:val="372"/>
        </w:trPr>
        <w:tc>
          <w:tcPr>
            <w:tcW w:w="1723" w:type="pct"/>
            <w:tcBorders>
              <w:top w:val="nil"/>
              <w:left w:val="nil"/>
              <w:bottom w:val="single" w:sz="4" w:space="0" w:color="auto"/>
              <w:right w:val="nil"/>
            </w:tcBorders>
            <w:shd w:val="clear" w:color="auto" w:fill="auto"/>
            <w:vAlign w:val="center"/>
            <w:hideMark/>
          </w:tcPr>
          <w:p w14:paraId="3D8A6EF2" w14:textId="77777777" w:rsidR="008A4FED" w:rsidRPr="00666914" w:rsidRDefault="008A4FED" w:rsidP="00F64B85">
            <w:pPr>
              <w:spacing w:after="0"/>
              <w:rPr>
                <w:sz w:val="20"/>
                <w:szCs w:val="20"/>
              </w:rPr>
            </w:pPr>
            <w:r w:rsidRPr="00666914">
              <w:rPr>
                <w:sz w:val="20"/>
                <w:szCs w:val="20"/>
              </w:rPr>
              <w:t>Zlepšenie revíznych činností VšZP</w:t>
            </w:r>
          </w:p>
        </w:tc>
        <w:tc>
          <w:tcPr>
            <w:tcW w:w="580" w:type="pct"/>
            <w:tcBorders>
              <w:top w:val="nil"/>
              <w:left w:val="nil"/>
              <w:bottom w:val="single" w:sz="4" w:space="0" w:color="auto"/>
              <w:right w:val="nil"/>
            </w:tcBorders>
            <w:vAlign w:val="center"/>
          </w:tcPr>
          <w:p w14:paraId="02CF091E" w14:textId="77777777" w:rsidR="008A4FED" w:rsidRPr="00666914" w:rsidRDefault="008A4FED" w:rsidP="00F64B85">
            <w:pPr>
              <w:spacing w:after="0"/>
              <w:ind w:left="20" w:hanging="34"/>
              <w:jc w:val="center"/>
              <w:rPr>
                <w:sz w:val="20"/>
                <w:szCs w:val="20"/>
              </w:rPr>
            </w:pPr>
            <w:r w:rsidRPr="00666914">
              <w:rPr>
                <w:sz w:val="20"/>
                <w:szCs w:val="20"/>
              </w:rPr>
              <w:t>25</w:t>
            </w:r>
          </w:p>
        </w:tc>
        <w:tc>
          <w:tcPr>
            <w:tcW w:w="314" w:type="pct"/>
            <w:tcBorders>
              <w:top w:val="nil"/>
              <w:left w:val="nil"/>
              <w:bottom w:val="single" w:sz="4" w:space="0" w:color="auto"/>
              <w:right w:val="nil"/>
            </w:tcBorders>
            <w:shd w:val="clear" w:color="auto" w:fill="auto"/>
            <w:noWrap/>
            <w:vAlign w:val="center"/>
            <w:hideMark/>
          </w:tcPr>
          <w:p w14:paraId="5B9D7726" w14:textId="77777777" w:rsidR="008A4FED" w:rsidRPr="00666914" w:rsidRDefault="008A4FED" w:rsidP="00F64B85">
            <w:pPr>
              <w:spacing w:after="0"/>
              <w:ind w:left="20" w:hanging="34"/>
              <w:jc w:val="center"/>
              <w:rPr>
                <w:sz w:val="20"/>
                <w:szCs w:val="20"/>
              </w:rPr>
            </w:pPr>
            <w:r w:rsidRPr="00666914">
              <w:rPr>
                <w:sz w:val="20"/>
                <w:szCs w:val="20"/>
              </w:rPr>
              <w:t>25</w:t>
            </w:r>
          </w:p>
        </w:tc>
        <w:tc>
          <w:tcPr>
            <w:tcW w:w="591" w:type="pct"/>
            <w:tcBorders>
              <w:top w:val="nil"/>
              <w:left w:val="nil"/>
              <w:bottom w:val="single" w:sz="4" w:space="0" w:color="auto"/>
              <w:right w:val="nil"/>
            </w:tcBorders>
            <w:vAlign w:val="center"/>
          </w:tcPr>
          <w:p w14:paraId="42F0CFF0" w14:textId="77777777" w:rsidR="008A4FED" w:rsidRPr="00666914" w:rsidRDefault="008A4FED" w:rsidP="00F64B85">
            <w:pPr>
              <w:spacing w:after="0"/>
              <w:jc w:val="center"/>
              <w:rPr>
                <w:sz w:val="20"/>
                <w:szCs w:val="20"/>
              </w:rPr>
            </w:pPr>
            <w:r w:rsidRPr="00666914">
              <w:rPr>
                <w:rFonts w:eastAsia="Times New Roman" w:cs="Arial"/>
                <w:sz w:val="20"/>
                <w:szCs w:val="20"/>
                <w:lang w:eastAsia="zh-TW"/>
              </w:rPr>
              <w:t>27,2</w:t>
            </w:r>
          </w:p>
        </w:tc>
        <w:tc>
          <w:tcPr>
            <w:tcW w:w="299" w:type="pct"/>
            <w:tcBorders>
              <w:top w:val="nil"/>
              <w:left w:val="nil"/>
              <w:bottom w:val="single" w:sz="4" w:space="0" w:color="auto"/>
              <w:right w:val="nil"/>
            </w:tcBorders>
            <w:shd w:val="clear" w:color="auto" w:fill="auto"/>
            <w:noWrap/>
            <w:vAlign w:val="center"/>
            <w:hideMark/>
          </w:tcPr>
          <w:p w14:paraId="2B660095" w14:textId="77777777" w:rsidR="008A4FED" w:rsidRPr="00666914" w:rsidRDefault="008A4FED" w:rsidP="00F64B85">
            <w:pPr>
              <w:spacing w:after="0"/>
              <w:jc w:val="center"/>
              <w:rPr>
                <w:sz w:val="20"/>
                <w:szCs w:val="20"/>
              </w:rPr>
            </w:pPr>
            <w:r w:rsidRPr="00666914">
              <w:rPr>
                <w:sz w:val="20"/>
                <w:szCs w:val="20"/>
              </w:rPr>
              <w:t>25</w:t>
            </w:r>
          </w:p>
        </w:tc>
        <w:tc>
          <w:tcPr>
            <w:tcW w:w="593" w:type="pct"/>
            <w:tcBorders>
              <w:top w:val="nil"/>
              <w:left w:val="nil"/>
              <w:bottom w:val="single" w:sz="4" w:space="0" w:color="auto"/>
              <w:right w:val="nil"/>
            </w:tcBorders>
            <w:shd w:val="clear" w:color="auto" w:fill="auto"/>
            <w:noWrap/>
            <w:vAlign w:val="center"/>
          </w:tcPr>
          <w:p w14:paraId="0331182B" w14:textId="77777777" w:rsidR="008A4FED" w:rsidRPr="00666914" w:rsidRDefault="008A4FED" w:rsidP="00F64B85">
            <w:pPr>
              <w:spacing w:after="0"/>
              <w:jc w:val="center"/>
              <w:rPr>
                <w:sz w:val="20"/>
                <w:szCs w:val="20"/>
              </w:rPr>
            </w:pPr>
            <w:r w:rsidRPr="00666914">
              <w:rPr>
                <w:sz w:val="20"/>
                <w:szCs w:val="20"/>
              </w:rPr>
              <w:t>32,5</w:t>
            </w:r>
          </w:p>
        </w:tc>
        <w:tc>
          <w:tcPr>
            <w:tcW w:w="301" w:type="pct"/>
            <w:tcBorders>
              <w:top w:val="nil"/>
              <w:left w:val="nil"/>
              <w:bottom w:val="single" w:sz="4" w:space="0" w:color="auto"/>
              <w:right w:val="nil"/>
            </w:tcBorders>
            <w:vAlign w:val="center"/>
          </w:tcPr>
          <w:p w14:paraId="0D78DA67" w14:textId="77777777" w:rsidR="008A4FED" w:rsidRPr="00666914" w:rsidRDefault="008A4FED" w:rsidP="00F64B85">
            <w:pPr>
              <w:spacing w:after="0"/>
              <w:jc w:val="center"/>
              <w:rPr>
                <w:sz w:val="20"/>
                <w:szCs w:val="20"/>
              </w:rPr>
            </w:pPr>
            <w:r w:rsidRPr="00666914">
              <w:rPr>
                <w:sz w:val="20"/>
                <w:szCs w:val="20"/>
              </w:rPr>
              <w:t>25</w:t>
            </w:r>
          </w:p>
        </w:tc>
        <w:tc>
          <w:tcPr>
            <w:tcW w:w="593" w:type="pct"/>
            <w:tcBorders>
              <w:top w:val="nil"/>
              <w:left w:val="nil"/>
              <w:bottom w:val="single" w:sz="4" w:space="0" w:color="auto"/>
              <w:right w:val="nil"/>
            </w:tcBorders>
            <w:shd w:val="clear" w:color="auto" w:fill="auto"/>
            <w:vAlign w:val="center"/>
          </w:tcPr>
          <w:p w14:paraId="705F5E69" w14:textId="77777777" w:rsidR="008A4FED" w:rsidRPr="00666914" w:rsidRDefault="008A4FED" w:rsidP="00F64B85">
            <w:pPr>
              <w:spacing w:after="0"/>
              <w:jc w:val="center"/>
              <w:rPr>
                <w:sz w:val="20"/>
                <w:szCs w:val="20"/>
              </w:rPr>
            </w:pPr>
            <w:r w:rsidRPr="00666914">
              <w:rPr>
                <w:sz w:val="20"/>
                <w:szCs w:val="20"/>
              </w:rPr>
              <w:t>42,1</w:t>
            </w:r>
          </w:p>
        </w:tc>
      </w:tr>
      <w:tr w:rsidR="008A4FED" w:rsidRPr="00666914" w14:paraId="5F54BC31" w14:textId="77777777" w:rsidTr="00F64B85">
        <w:trPr>
          <w:gridAfter w:val="1"/>
          <w:wAfter w:w="7" w:type="pct"/>
          <w:trHeight w:val="202"/>
        </w:trPr>
        <w:tc>
          <w:tcPr>
            <w:tcW w:w="1723" w:type="pct"/>
            <w:tcBorders>
              <w:top w:val="single" w:sz="4" w:space="0" w:color="auto"/>
              <w:left w:val="nil"/>
              <w:bottom w:val="nil"/>
              <w:right w:val="nil"/>
            </w:tcBorders>
            <w:shd w:val="clear" w:color="auto" w:fill="auto"/>
            <w:vAlign w:val="center"/>
            <w:hideMark/>
          </w:tcPr>
          <w:p w14:paraId="7A974615" w14:textId="77777777" w:rsidR="008A4FED" w:rsidRPr="00666914" w:rsidRDefault="008A4FED" w:rsidP="0037429A">
            <w:pPr>
              <w:spacing w:after="0"/>
              <w:rPr>
                <w:b/>
                <w:sz w:val="20"/>
                <w:szCs w:val="20"/>
              </w:rPr>
            </w:pPr>
            <w:r w:rsidRPr="00666914">
              <w:rPr>
                <w:b/>
                <w:sz w:val="20"/>
                <w:szCs w:val="20"/>
              </w:rPr>
              <w:t>Opatrenia znižujúce výdavky nemocníc (podriadených organizácií MZ SR)</w:t>
            </w:r>
          </w:p>
        </w:tc>
        <w:tc>
          <w:tcPr>
            <w:tcW w:w="580" w:type="pct"/>
            <w:tcBorders>
              <w:top w:val="single" w:sz="4" w:space="0" w:color="auto"/>
              <w:left w:val="nil"/>
              <w:bottom w:val="nil"/>
              <w:right w:val="nil"/>
            </w:tcBorders>
            <w:vAlign w:val="center"/>
          </w:tcPr>
          <w:p w14:paraId="18689243" w14:textId="77777777" w:rsidR="008A4FED" w:rsidRPr="00666914" w:rsidRDefault="008A4FED" w:rsidP="0037429A">
            <w:pPr>
              <w:spacing w:after="0"/>
              <w:jc w:val="center"/>
              <w:rPr>
                <w:b/>
                <w:sz w:val="20"/>
                <w:szCs w:val="20"/>
              </w:rPr>
            </w:pPr>
            <w:r w:rsidRPr="00666914">
              <w:rPr>
                <w:b/>
                <w:sz w:val="20"/>
                <w:szCs w:val="20"/>
              </w:rPr>
              <w:t>95</w:t>
            </w:r>
          </w:p>
        </w:tc>
        <w:tc>
          <w:tcPr>
            <w:tcW w:w="314" w:type="pct"/>
            <w:tcBorders>
              <w:top w:val="single" w:sz="4" w:space="0" w:color="auto"/>
              <w:left w:val="nil"/>
              <w:bottom w:val="nil"/>
              <w:right w:val="nil"/>
            </w:tcBorders>
            <w:shd w:val="clear" w:color="auto" w:fill="auto"/>
            <w:noWrap/>
            <w:vAlign w:val="center"/>
            <w:hideMark/>
          </w:tcPr>
          <w:p w14:paraId="7EBFC6EA" w14:textId="77777777" w:rsidR="008A4FED" w:rsidRPr="00666914" w:rsidRDefault="008A4FED" w:rsidP="0037429A">
            <w:pPr>
              <w:spacing w:after="0"/>
              <w:jc w:val="center"/>
              <w:rPr>
                <w:b/>
                <w:sz w:val="20"/>
                <w:szCs w:val="20"/>
              </w:rPr>
            </w:pPr>
            <w:r w:rsidRPr="00666914">
              <w:rPr>
                <w:b/>
                <w:sz w:val="20"/>
                <w:szCs w:val="20"/>
              </w:rPr>
              <w:t>31</w:t>
            </w:r>
          </w:p>
        </w:tc>
        <w:tc>
          <w:tcPr>
            <w:tcW w:w="591" w:type="pct"/>
            <w:tcBorders>
              <w:top w:val="single" w:sz="4" w:space="0" w:color="auto"/>
              <w:left w:val="nil"/>
              <w:bottom w:val="nil"/>
              <w:right w:val="nil"/>
            </w:tcBorders>
            <w:vAlign w:val="center"/>
          </w:tcPr>
          <w:p w14:paraId="1E3EF027" w14:textId="77777777" w:rsidR="008A4FED" w:rsidRPr="00666914" w:rsidRDefault="008A4FED" w:rsidP="00F64B85">
            <w:pPr>
              <w:spacing w:after="0"/>
              <w:jc w:val="center"/>
              <w:rPr>
                <w:b/>
                <w:sz w:val="20"/>
                <w:szCs w:val="20"/>
              </w:rPr>
            </w:pPr>
            <w:r w:rsidRPr="00666914">
              <w:rPr>
                <w:rFonts w:eastAsia="Times New Roman" w:cs="Arial"/>
                <w:b/>
                <w:bCs/>
                <w:sz w:val="20"/>
                <w:szCs w:val="20"/>
                <w:lang w:eastAsia="zh-TW"/>
              </w:rPr>
              <w:t>-4</w:t>
            </w:r>
          </w:p>
        </w:tc>
        <w:tc>
          <w:tcPr>
            <w:tcW w:w="299" w:type="pct"/>
            <w:tcBorders>
              <w:top w:val="single" w:sz="4" w:space="0" w:color="auto"/>
              <w:left w:val="nil"/>
              <w:bottom w:val="nil"/>
              <w:right w:val="nil"/>
            </w:tcBorders>
            <w:shd w:val="clear" w:color="auto" w:fill="auto"/>
            <w:noWrap/>
            <w:vAlign w:val="center"/>
            <w:hideMark/>
          </w:tcPr>
          <w:p w14:paraId="6F8FC66E" w14:textId="77777777" w:rsidR="008A4FED" w:rsidRPr="00666914" w:rsidRDefault="008A4FED" w:rsidP="0037429A">
            <w:pPr>
              <w:spacing w:after="0"/>
              <w:jc w:val="center"/>
              <w:rPr>
                <w:b/>
                <w:sz w:val="20"/>
                <w:szCs w:val="20"/>
              </w:rPr>
            </w:pPr>
            <w:r w:rsidRPr="00666914">
              <w:rPr>
                <w:b/>
                <w:sz w:val="20"/>
                <w:szCs w:val="20"/>
              </w:rPr>
              <w:t>31</w:t>
            </w:r>
          </w:p>
        </w:tc>
        <w:tc>
          <w:tcPr>
            <w:tcW w:w="593" w:type="pct"/>
            <w:tcBorders>
              <w:top w:val="single" w:sz="4" w:space="0" w:color="auto"/>
              <w:left w:val="nil"/>
              <w:bottom w:val="nil"/>
              <w:right w:val="nil"/>
            </w:tcBorders>
            <w:shd w:val="clear" w:color="auto" w:fill="auto"/>
            <w:noWrap/>
            <w:vAlign w:val="center"/>
          </w:tcPr>
          <w:p w14:paraId="79BC67FD" w14:textId="77777777" w:rsidR="008A4FED" w:rsidRPr="00666914" w:rsidRDefault="008A4FED" w:rsidP="00F64B85">
            <w:pPr>
              <w:spacing w:after="0"/>
              <w:jc w:val="center"/>
              <w:rPr>
                <w:b/>
                <w:sz w:val="20"/>
                <w:szCs w:val="20"/>
              </w:rPr>
            </w:pPr>
            <w:r w:rsidRPr="00666914">
              <w:rPr>
                <w:b/>
                <w:sz w:val="20"/>
                <w:szCs w:val="20"/>
              </w:rPr>
              <w:t>-81</w:t>
            </w:r>
          </w:p>
        </w:tc>
        <w:tc>
          <w:tcPr>
            <w:tcW w:w="301" w:type="pct"/>
            <w:tcBorders>
              <w:top w:val="single" w:sz="4" w:space="0" w:color="auto"/>
              <w:left w:val="nil"/>
              <w:bottom w:val="nil"/>
              <w:right w:val="nil"/>
            </w:tcBorders>
            <w:vAlign w:val="center"/>
          </w:tcPr>
          <w:p w14:paraId="4BEE42D4" w14:textId="77777777" w:rsidR="008A4FED" w:rsidRPr="00666914" w:rsidRDefault="008A4FED" w:rsidP="0037429A">
            <w:pPr>
              <w:spacing w:after="0"/>
              <w:jc w:val="center"/>
              <w:rPr>
                <w:b/>
                <w:sz w:val="20"/>
                <w:szCs w:val="20"/>
              </w:rPr>
            </w:pPr>
            <w:r w:rsidRPr="00666914">
              <w:rPr>
                <w:b/>
                <w:bCs/>
                <w:sz w:val="20"/>
                <w:szCs w:val="20"/>
              </w:rPr>
              <w:t>31</w:t>
            </w:r>
          </w:p>
        </w:tc>
        <w:tc>
          <w:tcPr>
            <w:tcW w:w="593" w:type="pct"/>
            <w:tcBorders>
              <w:top w:val="single" w:sz="4" w:space="0" w:color="auto"/>
              <w:left w:val="nil"/>
              <w:bottom w:val="nil"/>
              <w:right w:val="nil"/>
            </w:tcBorders>
            <w:vAlign w:val="center"/>
          </w:tcPr>
          <w:p w14:paraId="0E86AAD7" w14:textId="77777777" w:rsidR="008A4FED" w:rsidRPr="00666914" w:rsidRDefault="008A4FED" w:rsidP="0037429A">
            <w:pPr>
              <w:spacing w:after="0"/>
              <w:jc w:val="center"/>
              <w:rPr>
                <w:b/>
                <w:sz w:val="20"/>
                <w:szCs w:val="20"/>
              </w:rPr>
            </w:pPr>
            <w:r w:rsidRPr="00666914">
              <w:rPr>
                <w:b/>
                <w:sz w:val="20"/>
                <w:szCs w:val="20"/>
              </w:rPr>
              <w:t>-225</w:t>
            </w:r>
          </w:p>
        </w:tc>
      </w:tr>
      <w:tr w:rsidR="008A4FED" w:rsidRPr="00666914" w14:paraId="315FDDD2" w14:textId="77777777" w:rsidTr="00F64B85">
        <w:trPr>
          <w:gridAfter w:val="1"/>
          <w:wAfter w:w="7" w:type="pct"/>
          <w:trHeight w:val="214"/>
        </w:trPr>
        <w:tc>
          <w:tcPr>
            <w:tcW w:w="1723" w:type="pct"/>
            <w:tcBorders>
              <w:top w:val="nil"/>
              <w:left w:val="nil"/>
              <w:bottom w:val="nil"/>
              <w:right w:val="nil"/>
            </w:tcBorders>
            <w:shd w:val="clear" w:color="auto" w:fill="auto"/>
            <w:vAlign w:val="center"/>
            <w:hideMark/>
          </w:tcPr>
          <w:p w14:paraId="50C48595" w14:textId="77777777" w:rsidR="008A4FED" w:rsidRPr="00666914" w:rsidRDefault="008A4FED" w:rsidP="0037429A">
            <w:pPr>
              <w:spacing w:after="0"/>
              <w:rPr>
                <w:sz w:val="20"/>
                <w:szCs w:val="20"/>
              </w:rPr>
            </w:pPr>
            <w:r w:rsidRPr="00666914">
              <w:rPr>
                <w:sz w:val="20"/>
                <w:szCs w:val="20"/>
              </w:rPr>
              <w:t>Optimalizácia prevádzkových nákladov</w:t>
            </w:r>
          </w:p>
        </w:tc>
        <w:tc>
          <w:tcPr>
            <w:tcW w:w="580" w:type="pct"/>
            <w:tcBorders>
              <w:top w:val="nil"/>
              <w:left w:val="nil"/>
              <w:bottom w:val="nil"/>
              <w:right w:val="nil"/>
            </w:tcBorders>
            <w:vAlign w:val="center"/>
          </w:tcPr>
          <w:p w14:paraId="1E45808B" w14:textId="77777777" w:rsidR="008A4FED" w:rsidRPr="00666914" w:rsidRDefault="008A4FED" w:rsidP="0037429A">
            <w:pPr>
              <w:spacing w:after="0"/>
              <w:jc w:val="center"/>
              <w:rPr>
                <w:sz w:val="20"/>
                <w:szCs w:val="20"/>
              </w:rPr>
            </w:pPr>
            <w:r w:rsidRPr="00666914">
              <w:rPr>
                <w:sz w:val="20"/>
                <w:szCs w:val="20"/>
              </w:rPr>
              <w:t>10</w:t>
            </w:r>
          </w:p>
        </w:tc>
        <w:tc>
          <w:tcPr>
            <w:tcW w:w="314" w:type="pct"/>
            <w:tcBorders>
              <w:top w:val="nil"/>
              <w:left w:val="nil"/>
              <w:bottom w:val="nil"/>
              <w:right w:val="nil"/>
            </w:tcBorders>
            <w:shd w:val="clear" w:color="auto" w:fill="auto"/>
            <w:noWrap/>
            <w:vAlign w:val="center"/>
            <w:hideMark/>
          </w:tcPr>
          <w:p w14:paraId="6B611F0C" w14:textId="77777777" w:rsidR="008A4FED" w:rsidRPr="00666914" w:rsidRDefault="008A4FED" w:rsidP="0037429A">
            <w:pPr>
              <w:spacing w:after="0"/>
              <w:jc w:val="center"/>
              <w:rPr>
                <w:sz w:val="20"/>
                <w:szCs w:val="20"/>
              </w:rPr>
            </w:pPr>
            <w:r w:rsidRPr="00666914">
              <w:rPr>
                <w:sz w:val="20"/>
                <w:szCs w:val="20"/>
              </w:rPr>
              <w:t>5</w:t>
            </w:r>
          </w:p>
        </w:tc>
        <w:tc>
          <w:tcPr>
            <w:tcW w:w="591" w:type="pct"/>
            <w:tcBorders>
              <w:top w:val="nil"/>
              <w:left w:val="nil"/>
              <w:bottom w:val="nil"/>
              <w:right w:val="nil"/>
            </w:tcBorders>
            <w:vAlign w:val="center"/>
          </w:tcPr>
          <w:p w14:paraId="07F1054D" w14:textId="77777777" w:rsidR="008A4FED" w:rsidRPr="00666914" w:rsidRDefault="008A4FED" w:rsidP="0037429A">
            <w:pPr>
              <w:spacing w:after="0"/>
              <w:jc w:val="center"/>
              <w:rPr>
                <w:sz w:val="20"/>
                <w:szCs w:val="20"/>
              </w:rPr>
            </w:pPr>
            <w:r w:rsidRPr="00666914">
              <w:rPr>
                <w:rFonts w:eastAsia="Times New Roman" w:cs="Arial"/>
                <w:sz w:val="20"/>
                <w:szCs w:val="20"/>
                <w:lang w:eastAsia="zh-TW"/>
              </w:rPr>
              <w:t>-3,1</w:t>
            </w:r>
          </w:p>
        </w:tc>
        <w:tc>
          <w:tcPr>
            <w:tcW w:w="299" w:type="pct"/>
            <w:tcBorders>
              <w:top w:val="nil"/>
              <w:left w:val="nil"/>
              <w:bottom w:val="nil"/>
              <w:right w:val="nil"/>
            </w:tcBorders>
            <w:shd w:val="clear" w:color="auto" w:fill="auto"/>
            <w:noWrap/>
            <w:vAlign w:val="center"/>
            <w:hideMark/>
          </w:tcPr>
          <w:p w14:paraId="44650ADA" w14:textId="77777777" w:rsidR="008A4FED" w:rsidRPr="00666914" w:rsidRDefault="008A4FED" w:rsidP="0037429A">
            <w:pPr>
              <w:spacing w:after="0"/>
              <w:jc w:val="center"/>
              <w:rPr>
                <w:sz w:val="20"/>
                <w:szCs w:val="20"/>
              </w:rPr>
            </w:pPr>
            <w:r w:rsidRPr="00666914">
              <w:rPr>
                <w:sz w:val="20"/>
                <w:szCs w:val="20"/>
              </w:rPr>
              <w:t>5</w:t>
            </w:r>
          </w:p>
        </w:tc>
        <w:tc>
          <w:tcPr>
            <w:tcW w:w="593" w:type="pct"/>
            <w:tcBorders>
              <w:top w:val="nil"/>
              <w:left w:val="nil"/>
              <w:bottom w:val="nil"/>
              <w:right w:val="nil"/>
            </w:tcBorders>
            <w:shd w:val="clear" w:color="auto" w:fill="auto"/>
            <w:noWrap/>
          </w:tcPr>
          <w:p w14:paraId="735E29A7" w14:textId="77777777" w:rsidR="008A4FED" w:rsidRPr="00666914" w:rsidRDefault="008A4FED" w:rsidP="0037429A">
            <w:pPr>
              <w:spacing w:after="0"/>
              <w:jc w:val="center"/>
              <w:rPr>
                <w:sz w:val="20"/>
                <w:szCs w:val="20"/>
              </w:rPr>
            </w:pPr>
            <w:r w:rsidRPr="00666914">
              <w:rPr>
                <w:sz w:val="20"/>
                <w:szCs w:val="20"/>
              </w:rPr>
              <w:t>-20,9</w:t>
            </w:r>
          </w:p>
        </w:tc>
        <w:tc>
          <w:tcPr>
            <w:tcW w:w="301" w:type="pct"/>
            <w:tcBorders>
              <w:top w:val="nil"/>
              <w:left w:val="nil"/>
              <w:bottom w:val="nil"/>
              <w:right w:val="nil"/>
            </w:tcBorders>
            <w:vAlign w:val="center"/>
          </w:tcPr>
          <w:p w14:paraId="7E70F169" w14:textId="77777777" w:rsidR="008A4FED" w:rsidRPr="00666914" w:rsidRDefault="008A4FED" w:rsidP="0037429A">
            <w:pPr>
              <w:spacing w:after="0"/>
              <w:jc w:val="center"/>
              <w:rPr>
                <w:sz w:val="20"/>
                <w:szCs w:val="20"/>
              </w:rPr>
            </w:pPr>
            <w:r w:rsidRPr="00666914">
              <w:rPr>
                <w:sz w:val="20"/>
                <w:szCs w:val="20"/>
              </w:rPr>
              <w:t>5</w:t>
            </w:r>
          </w:p>
        </w:tc>
        <w:tc>
          <w:tcPr>
            <w:tcW w:w="593" w:type="pct"/>
            <w:tcBorders>
              <w:top w:val="nil"/>
              <w:left w:val="nil"/>
              <w:bottom w:val="nil"/>
              <w:right w:val="nil"/>
            </w:tcBorders>
            <w:vAlign w:val="center"/>
          </w:tcPr>
          <w:p w14:paraId="4DEA5230" w14:textId="77777777" w:rsidR="008A4FED" w:rsidRPr="00666914" w:rsidRDefault="008A4FED" w:rsidP="0037429A">
            <w:pPr>
              <w:spacing w:after="0"/>
              <w:jc w:val="center"/>
              <w:rPr>
                <w:sz w:val="20"/>
                <w:szCs w:val="20"/>
              </w:rPr>
            </w:pPr>
            <w:r w:rsidRPr="00666914">
              <w:rPr>
                <w:sz w:val="20"/>
                <w:szCs w:val="20"/>
              </w:rPr>
              <w:t>-54,4</w:t>
            </w:r>
          </w:p>
        </w:tc>
      </w:tr>
      <w:tr w:rsidR="008A4FED" w:rsidRPr="00666914" w14:paraId="2786346E" w14:textId="77777777" w:rsidTr="00F64B85">
        <w:trPr>
          <w:gridAfter w:val="1"/>
          <w:wAfter w:w="7" w:type="pct"/>
          <w:trHeight w:val="214"/>
        </w:trPr>
        <w:tc>
          <w:tcPr>
            <w:tcW w:w="1723" w:type="pct"/>
            <w:tcBorders>
              <w:top w:val="nil"/>
              <w:left w:val="nil"/>
              <w:bottom w:val="nil"/>
              <w:right w:val="nil"/>
            </w:tcBorders>
            <w:shd w:val="clear" w:color="auto" w:fill="auto"/>
            <w:vAlign w:val="center"/>
            <w:hideMark/>
          </w:tcPr>
          <w:p w14:paraId="45CD87B9" w14:textId="77777777" w:rsidR="008A4FED" w:rsidRPr="00666914" w:rsidRDefault="008A4FED" w:rsidP="0037429A">
            <w:pPr>
              <w:spacing w:after="0"/>
              <w:rPr>
                <w:sz w:val="20"/>
                <w:szCs w:val="20"/>
              </w:rPr>
            </w:pPr>
            <w:r w:rsidRPr="00666914">
              <w:rPr>
                <w:sz w:val="20"/>
                <w:szCs w:val="20"/>
              </w:rPr>
              <w:t>Optimalizácia medicínskych procesov</w:t>
            </w:r>
          </w:p>
        </w:tc>
        <w:tc>
          <w:tcPr>
            <w:tcW w:w="580" w:type="pct"/>
            <w:tcBorders>
              <w:top w:val="nil"/>
              <w:left w:val="nil"/>
              <w:bottom w:val="nil"/>
              <w:right w:val="nil"/>
            </w:tcBorders>
            <w:vAlign w:val="center"/>
          </w:tcPr>
          <w:p w14:paraId="78DC9427" w14:textId="77777777" w:rsidR="008A4FED" w:rsidRPr="00666914" w:rsidRDefault="008A4FED" w:rsidP="0037429A">
            <w:pPr>
              <w:spacing w:after="0"/>
              <w:jc w:val="center"/>
              <w:rPr>
                <w:sz w:val="20"/>
                <w:szCs w:val="20"/>
              </w:rPr>
            </w:pPr>
            <w:r w:rsidRPr="00666914">
              <w:rPr>
                <w:sz w:val="20"/>
                <w:szCs w:val="20"/>
              </w:rPr>
              <w:t>74</w:t>
            </w:r>
          </w:p>
        </w:tc>
        <w:tc>
          <w:tcPr>
            <w:tcW w:w="314" w:type="pct"/>
            <w:tcBorders>
              <w:top w:val="nil"/>
              <w:left w:val="nil"/>
              <w:bottom w:val="nil"/>
              <w:right w:val="nil"/>
            </w:tcBorders>
            <w:shd w:val="clear" w:color="auto" w:fill="auto"/>
            <w:noWrap/>
            <w:vAlign w:val="center"/>
            <w:hideMark/>
          </w:tcPr>
          <w:p w14:paraId="412C951A" w14:textId="77777777" w:rsidR="008A4FED" w:rsidRPr="00666914" w:rsidRDefault="008A4FED" w:rsidP="0037429A">
            <w:pPr>
              <w:spacing w:after="0"/>
              <w:jc w:val="center"/>
              <w:rPr>
                <w:sz w:val="20"/>
                <w:szCs w:val="20"/>
              </w:rPr>
            </w:pPr>
            <w:r w:rsidRPr="00666914">
              <w:rPr>
                <w:sz w:val="20"/>
                <w:szCs w:val="20"/>
              </w:rPr>
              <w:t>15</w:t>
            </w:r>
          </w:p>
        </w:tc>
        <w:tc>
          <w:tcPr>
            <w:tcW w:w="591" w:type="pct"/>
            <w:tcBorders>
              <w:top w:val="nil"/>
              <w:left w:val="nil"/>
              <w:bottom w:val="nil"/>
              <w:right w:val="nil"/>
            </w:tcBorders>
            <w:vAlign w:val="center"/>
          </w:tcPr>
          <w:p w14:paraId="6660E6E0" w14:textId="77777777" w:rsidR="008A4FED" w:rsidRPr="00666914" w:rsidRDefault="008A4FED" w:rsidP="0037429A">
            <w:pPr>
              <w:spacing w:after="0"/>
              <w:jc w:val="center"/>
              <w:rPr>
                <w:sz w:val="20"/>
                <w:szCs w:val="20"/>
              </w:rPr>
            </w:pPr>
            <w:r w:rsidRPr="00666914">
              <w:rPr>
                <w:rFonts w:eastAsia="Times New Roman" w:cs="Arial"/>
                <w:sz w:val="20"/>
                <w:szCs w:val="20"/>
                <w:lang w:eastAsia="zh-TW"/>
              </w:rPr>
              <w:t>-23,4</w:t>
            </w:r>
          </w:p>
        </w:tc>
        <w:tc>
          <w:tcPr>
            <w:tcW w:w="299" w:type="pct"/>
            <w:tcBorders>
              <w:top w:val="nil"/>
              <w:left w:val="nil"/>
              <w:bottom w:val="nil"/>
              <w:right w:val="nil"/>
            </w:tcBorders>
            <w:shd w:val="clear" w:color="auto" w:fill="auto"/>
            <w:noWrap/>
            <w:vAlign w:val="center"/>
            <w:hideMark/>
          </w:tcPr>
          <w:p w14:paraId="2E8616D0" w14:textId="77777777" w:rsidR="008A4FED" w:rsidRPr="00666914" w:rsidRDefault="008A4FED" w:rsidP="0037429A">
            <w:pPr>
              <w:spacing w:after="0"/>
              <w:jc w:val="center"/>
              <w:rPr>
                <w:sz w:val="20"/>
                <w:szCs w:val="20"/>
              </w:rPr>
            </w:pPr>
            <w:r w:rsidRPr="00666914">
              <w:rPr>
                <w:sz w:val="20"/>
                <w:szCs w:val="20"/>
              </w:rPr>
              <w:t>15</w:t>
            </w:r>
          </w:p>
        </w:tc>
        <w:tc>
          <w:tcPr>
            <w:tcW w:w="593" w:type="pct"/>
            <w:tcBorders>
              <w:top w:val="nil"/>
              <w:left w:val="nil"/>
              <w:bottom w:val="nil"/>
              <w:right w:val="nil"/>
            </w:tcBorders>
            <w:shd w:val="clear" w:color="auto" w:fill="auto"/>
            <w:noWrap/>
          </w:tcPr>
          <w:p w14:paraId="6925F191" w14:textId="77777777" w:rsidR="008A4FED" w:rsidRPr="00666914" w:rsidRDefault="008A4FED" w:rsidP="0037429A">
            <w:pPr>
              <w:spacing w:after="0"/>
              <w:jc w:val="center"/>
              <w:rPr>
                <w:sz w:val="20"/>
                <w:szCs w:val="20"/>
              </w:rPr>
            </w:pPr>
            <w:r w:rsidRPr="00666914">
              <w:rPr>
                <w:sz w:val="20"/>
                <w:szCs w:val="20"/>
              </w:rPr>
              <w:t>-59,4</w:t>
            </w:r>
          </w:p>
        </w:tc>
        <w:tc>
          <w:tcPr>
            <w:tcW w:w="301" w:type="pct"/>
            <w:tcBorders>
              <w:top w:val="nil"/>
              <w:left w:val="nil"/>
              <w:bottom w:val="nil"/>
              <w:right w:val="nil"/>
            </w:tcBorders>
            <w:vAlign w:val="center"/>
          </w:tcPr>
          <w:p w14:paraId="6FB136DE" w14:textId="77777777" w:rsidR="008A4FED" w:rsidRPr="00666914" w:rsidRDefault="008A4FED" w:rsidP="0037429A">
            <w:pPr>
              <w:spacing w:after="0"/>
              <w:jc w:val="center"/>
              <w:rPr>
                <w:sz w:val="20"/>
                <w:szCs w:val="20"/>
              </w:rPr>
            </w:pPr>
            <w:r w:rsidRPr="00666914">
              <w:rPr>
                <w:sz w:val="20"/>
                <w:szCs w:val="20"/>
              </w:rPr>
              <w:t>15</w:t>
            </w:r>
          </w:p>
        </w:tc>
        <w:tc>
          <w:tcPr>
            <w:tcW w:w="593" w:type="pct"/>
            <w:tcBorders>
              <w:top w:val="nil"/>
              <w:left w:val="nil"/>
              <w:bottom w:val="nil"/>
              <w:right w:val="nil"/>
            </w:tcBorders>
            <w:vAlign w:val="center"/>
          </w:tcPr>
          <w:p w14:paraId="7C92D1C4" w14:textId="77777777" w:rsidR="008A4FED" w:rsidRPr="00666914" w:rsidRDefault="008A4FED" w:rsidP="0037429A">
            <w:pPr>
              <w:spacing w:after="0"/>
              <w:jc w:val="center"/>
              <w:rPr>
                <w:sz w:val="20"/>
                <w:szCs w:val="20"/>
              </w:rPr>
            </w:pPr>
            <w:r w:rsidRPr="00666914">
              <w:rPr>
                <w:sz w:val="20"/>
                <w:szCs w:val="20"/>
              </w:rPr>
              <w:t>-134,8</w:t>
            </w:r>
          </w:p>
        </w:tc>
      </w:tr>
      <w:tr w:rsidR="008A4FED" w:rsidRPr="00666914" w14:paraId="18B184E8" w14:textId="77777777" w:rsidTr="00F64B85">
        <w:trPr>
          <w:gridAfter w:val="1"/>
          <w:wAfter w:w="7" w:type="pct"/>
          <w:trHeight w:val="202"/>
        </w:trPr>
        <w:tc>
          <w:tcPr>
            <w:tcW w:w="1723" w:type="pct"/>
            <w:tcBorders>
              <w:top w:val="nil"/>
              <w:left w:val="nil"/>
              <w:bottom w:val="nil"/>
              <w:right w:val="nil"/>
            </w:tcBorders>
            <w:shd w:val="clear" w:color="auto" w:fill="auto"/>
            <w:vAlign w:val="center"/>
            <w:hideMark/>
          </w:tcPr>
          <w:p w14:paraId="62962CE9" w14:textId="77777777" w:rsidR="008A4FED" w:rsidRPr="00666914" w:rsidRDefault="008A4FED" w:rsidP="0037429A">
            <w:pPr>
              <w:spacing w:after="0"/>
              <w:rPr>
                <w:sz w:val="20"/>
                <w:szCs w:val="20"/>
              </w:rPr>
            </w:pPr>
            <w:r w:rsidRPr="00666914">
              <w:rPr>
                <w:sz w:val="20"/>
                <w:szCs w:val="20"/>
              </w:rPr>
              <w:t>Optimalizácia nákupu liekov a ŠZM</w:t>
            </w:r>
          </w:p>
        </w:tc>
        <w:tc>
          <w:tcPr>
            <w:tcW w:w="580" w:type="pct"/>
            <w:tcBorders>
              <w:top w:val="nil"/>
              <w:left w:val="nil"/>
              <w:bottom w:val="nil"/>
              <w:right w:val="nil"/>
            </w:tcBorders>
            <w:vAlign w:val="center"/>
          </w:tcPr>
          <w:p w14:paraId="3645D564" w14:textId="77777777" w:rsidR="008A4FED" w:rsidRPr="00666914" w:rsidRDefault="008A4FED" w:rsidP="0037429A">
            <w:pPr>
              <w:spacing w:after="0"/>
              <w:jc w:val="center"/>
              <w:rPr>
                <w:sz w:val="20"/>
                <w:szCs w:val="20"/>
              </w:rPr>
            </w:pPr>
            <w:r w:rsidRPr="00666914">
              <w:rPr>
                <w:sz w:val="20"/>
                <w:szCs w:val="20"/>
              </w:rPr>
              <w:t>8</w:t>
            </w:r>
          </w:p>
        </w:tc>
        <w:tc>
          <w:tcPr>
            <w:tcW w:w="314" w:type="pct"/>
            <w:tcBorders>
              <w:top w:val="nil"/>
              <w:left w:val="nil"/>
              <w:bottom w:val="nil"/>
              <w:right w:val="nil"/>
            </w:tcBorders>
            <w:shd w:val="clear" w:color="auto" w:fill="auto"/>
            <w:noWrap/>
            <w:vAlign w:val="center"/>
            <w:hideMark/>
          </w:tcPr>
          <w:p w14:paraId="301822A3" w14:textId="77777777" w:rsidR="008A4FED" w:rsidRPr="00666914" w:rsidRDefault="008A4FED" w:rsidP="0037429A">
            <w:pPr>
              <w:spacing w:after="0"/>
              <w:jc w:val="center"/>
              <w:rPr>
                <w:sz w:val="20"/>
                <w:szCs w:val="20"/>
              </w:rPr>
            </w:pPr>
            <w:r w:rsidRPr="00666914">
              <w:rPr>
                <w:sz w:val="20"/>
                <w:szCs w:val="20"/>
              </w:rPr>
              <w:t>8</w:t>
            </w:r>
          </w:p>
        </w:tc>
        <w:tc>
          <w:tcPr>
            <w:tcW w:w="591" w:type="pct"/>
            <w:tcBorders>
              <w:top w:val="nil"/>
              <w:left w:val="nil"/>
              <w:bottom w:val="nil"/>
              <w:right w:val="nil"/>
            </w:tcBorders>
            <w:vAlign w:val="center"/>
          </w:tcPr>
          <w:p w14:paraId="28F5A1BB" w14:textId="77777777" w:rsidR="008A4FED" w:rsidRPr="00666914" w:rsidRDefault="008A4FED" w:rsidP="0037429A">
            <w:pPr>
              <w:spacing w:after="0"/>
              <w:jc w:val="center"/>
              <w:rPr>
                <w:sz w:val="20"/>
                <w:szCs w:val="20"/>
              </w:rPr>
            </w:pPr>
            <w:r w:rsidRPr="00666914">
              <w:rPr>
                <w:rFonts w:eastAsia="Times New Roman" w:cs="Arial"/>
                <w:sz w:val="20"/>
                <w:szCs w:val="20"/>
                <w:lang w:eastAsia="zh-TW"/>
              </w:rPr>
              <w:t>6,8</w:t>
            </w:r>
          </w:p>
        </w:tc>
        <w:tc>
          <w:tcPr>
            <w:tcW w:w="299" w:type="pct"/>
            <w:tcBorders>
              <w:top w:val="nil"/>
              <w:left w:val="nil"/>
              <w:bottom w:val="nil"/>
              <w:right w:val="nil"/>
            </w:tcBorders>
            <w:shd w:val="clear" w:color="auto" w:fill="auto"/>
            <w:noWrap/>
            <w:vAlign w:val="center"/>
            <w:hideMark/>
          </w:tcPr>
          <w:p w14:paraId="724A4697" w14:textId="77777777" w:rsidR="008A4FED" w:rsidRPr="00666914" w:rsidRDefault="008A4FED" w:rsidP="0037429A">
            <w:pPr>
              <w:spacing w:after="0"/>
              <w:jc w:val="center"/>
              <w:rPr>
                <w:sz w:val="20"/>
                <w:szCs w:val="20"/>
              </w:rPr>
            </w:pPr>
            <w:r w:rsidRPr="00666914">
              <w:rPr>
                <w:sz w:val="20"/>
                <w:szCs w:val="20"/>
              </w:rPr>
              <w:t>8</w:t>
            </w:r>
          </w:p>
        </w:tc>
        <w:tc>
          <w:tcPr>
            <w:tcW w:w="593" w:type="pct"/>
            <w:tcBorders>
              <w:top w:val="nil"/>
              <w:left w:val="nil"/>
              <w:bottom w:val="nil"/>
              <w:right w:val="nil"/>
            </w:tcBorders>
            <w:shd w:val="clear" w:color="auto" w:fill="auto"/>
            <w:noWrap/>
          </w:tcPr>
          <w:p w14:paraId="26830FE2" w14:textId="77777777" w:rsidR="008A4FED" w:rsidRPr="00666914" w:rsidRDefault="008A4FED" w:rsidP="00F64B85">
            <w:pPr>
              <w:spacing w:after="0"/>
              <w:jc w:val="center"/>
              <w:rPr>
                <w:sz w:val="20"/>
                <w:szCs w:val="20"/>
              </w:rPr>
            </w:pPr>
            <w:r w:rsidRPr="00666914">
              <w:rPr>
                <w:sz w:val="20"/>
                <w:szCs w:val="20"/>
              </w:rPr>
              <w:t>-17,3</w:t>
            </w:r>
          </w:p>
        </w:tc>
        <w:tc>
          <w:tcPr>
            <w:tcW w:w="301" w:type="pct"/>
            <w:tcBorders>
              <w:top w:val="nil"/>
              <w:left w:val="nil"/>
              <w:bottom w:val="nil"/>
              <w:right w:val="nil"/>
            </w:tcBorders>
            <w:vAlign w:val="center"/>
          </w:tcPr>
          <w:p w14:paraId="0D0522DA" w14:textId="77777777" w:rsidR="008A4FED" w:rsidRPr="00666914" w:rsidRDefault="008A4FED" w:rsidP="0037429A">
            <w:pPr>
              <w:spacing w:after="0"/>
              <w:jc w:val="center"/>
              <w:rPr>
                <w:sz w:val="20"/>
                <w:szCs w:val="20"/>
              </w:rPr>
            </w:pPr>
            <w:r w:rsidRPr="00666914">
              <w:rPr>
                <w:sz w:val="20"/>
                <w:szCs w:val="20"/>
              </w:rPr>
              <w:t>8</w:t>
            </w:r>
          </w:p>
        </w:tc>
        <w:tc>
          <w:tcPr>
            <w:tcW w:w="593" w:type="pct"/>
            <w:tcBorders>
              <w:top w:val="nil"/>
              <w:left w:val="nil"/>
              <w:bottom w:val="nil"/>
              <w:right w:val="nil"/>
            </w:tcBorders>
            <w:vAlign w:val="center"/>
          </w:tcPr>
          <w:p w14:paraId="1916BF31" w14:textId="77777777" w:rsidR="008A4FED" w:rsidRPr="00666914" w:rsidRDefault="008A4FED" w:rsidP="0037429A">
            <w:pPr>
              <w:spacing w:after="0"/>
              <w:jc w:val="center"/>
              <w:rPr>
                <w:sz w:val="20"/>
                <w:szCs w:val="20"/>
              </w:rPr>
            </w:pPr>
            <w:r w:rsidRPr="00666914">
              <w:rPr>
                <w:sz w:val="20"/>
                <w:szCs w:val="20"/>
              </w:rPr>
              <w:t>-51,8</w:t>
            </w:r>
          </w:p>
        </w:tc>
      </w:tr>
      <w:tr w:rsidR="008A4FED" w:rsidRPr="00666914" w14:paraId="684E8FFA" w14:textId="77777777" w:rsidTr="00F64B85">
        <w:trPr>
          <w:gridAfter w:val="1"/>
          <w:wAfter w:w="7" w:type="pct"/>
          <w:trHeight w:val="202"/>
        </w:trPr>
        <w:tc>
          <w:tcPr>
            <w:tcW w:w="1723" w:type="pct"/>
            <w:tcBorders>
              <w:top w:val="nil"/>
              <w:left w:val="nil"/>
              <w:bottom w:val="dotted" w:sz="4" w:space="0" w:color="auto"/>
              <w:right w:val="nil"/>
            </w:tcBorders>
            <w:shd w:val="clear" w:color="auto" w:fill="auto"/>
            <w:vAlign w:val="center"/>
            <w:hideMark/>
          </w:tcPr>
          <w:p w14:paraId="6D448468" w14:textId="77777777" w:rsidR="008A4FED" w:rsidRPr="00666914" w:rsidRDefault="008A4FED" w:rsidP="0037429A">
            <w:pPr>
              <w:spacing w:after="0"/>
              <w:rPr>
                <w:sz w:val="20"/>
                <w:szCs w:val="20"/>
              </w:rPr>
            </w:pPr>
            <w:r w:rsidRPr="00666914">
              <w:rPr>
                <w:sz w:val="20"/>
                <w:szCs w:val="20"/>
              </w:rPr>
              <w:t>Hospodárne obstarávanie zdravotníckej techniky</w:t>
            </w:r>
          </w:p>
        </w:tc>
        <w:tc>
          <w:tcPr>
            <w:tcW w:w="580" w:type="pct"/>
            <w:tcBorders>
              <w:top w:val="nil"/>
              <w:left w:val="nil"/>
              <w:bottom w:val="dotted" w:sz="4" w:space="0" w:color="auto"/>
              <w:right w:val="nil"/>
            </w:tcBorders>
            <w:vAlign w:val="center"/>
          </w:tcPr>
          <w:p w14:paraId="78987899" w14:textId="77777777" w:rsidR="008A4FED" w:rsidRPr="00666914" w:rsidRDefault="008A4FED" w:rsidP="0037429A">
            <w:pPr>
              <w:spacing w:after="0"/>
              <w:jc w:val="center"/>
              <w:rPr>
                <w:sz w:val="20"/>
                <w:szCs w:val="20"/>
              </w:rPr>
            </w:pPr>
            <w:r w:rsidRPr="00666914">
              <w:rPr>
                <w:sz w:val="20"/>
                <w:szCs w:val="20"/>
              </w:rPr>
              <w:t>3</w:t>
            </w:r>
          </w:p>
        </w:tc>
        <w:tc>
          <w:tcPr>
            <w:tcW w:w="314" w:type="pct"/>
            <w:tcBorders>
              <w:top w:val="nil"/>
              <w:left w:val="nil"/>
              <w:bottom w:val="dotted" w:sz="4" w:space="0" w:color="auto"/>
              <w:right w:val="nil"/>
            </w:tcBorders>
            <w:shd w:val="clear" w:color="auto" w:fill="auto"/>
            <w:noWrap/>
            <w:vAlign w:val="center"/>
            <w:hideMark/>
          </w:tcPr>
          <w:p w14:paraId="0C57784D" w14:textId="77777777" w:rsidR="008A4FED" w:rsidRPr="00666914" w:rsidRDefault="008A4FED" w:rsidP="0037429A">
            <w:pPr>
              <w:spacing w:after="0"/>
              <w:jc w:val="center"/>
              <w:rPr>
                <w:sz w:val="20"/>
                <w:szCs w:val="20"/>
              </w:rPr>
            </w:pPr>
            <w:r w:rsidRPr="00666914">
              <w:rPr>
                <w:sz w:val="20"/>
                <w:szCs w:val="20"/>
              </w:rPr>
              <w:t>3</w:t>
            </w:r>
          </w:p>
        </w:tc>
        <w:tc>
          <w:tcPr>
            <w:tcW w:w="591" w:type="pct"/>
            <w:tcBorders>
              <w:top w:val="nil"/>
              <w:left w:val="nil"/>
              <w:bottom w:val="dotted" w:sz="4" w:space="0" w:color="auto"/>
              <w:right w:val="nil"/>
            </w:tcBorders>
            <w:vAlign w:val="center"/>
          </w:tcPr>
          <w:p w14:paraId="12AED90C" w14:textId="77777777" w:rsidR="008A4FED" w:rsidRPr="00666914" w:rsidRDefault="008A4FED" w:rsidP="0037429A">
            <w:pPr>
              <w:spacing w:after="0"/>
              <w:jc w:val="center"/>
              <w:rPr>
                <w:sz w:val="20"/>
                <w:szCs w:val="20"/>
              </w:rPr>
            </w:pPr>
            <w:r w:rsidRPr="00666914">
              <w:rPr>
                <w:rFonts w:eastAsia="Times New Roman" w:cs="Arial"/>
                <w:sz w:val="20"/>
                <w:szCs w:val="20"/>
                <w:lang w:eastAsia="zh-TW"/>
              </w:rPr>
              <w:t>15,6</w:t>
            </w:r>
          </w:p>
        </w:tc>
        <w:tc>
          <w:tcPr>
            <w:tcW w:w="299" w:type="pct"/>
            <w:tcBorders>
              <w:top w:val="nil"/>
              <w:left w:val="nil"/>
              <w:bottom w:val="dotted" w:sz="4" w:space="0" w:color="auto"/>
              <w:right w:val="nil"/>
            </w:tcBorders>
            <w:shd w:val="clear" w:color="auto" w:fill="auto"/>
            <w:noWrap/>
            <w:vAlign w:val="center"/>
            <w:hideMark/>
          </w:tcPr>
          <w:p w14:paraId="58C9683E" w14:textId="77777777" w:rsidR="008A4FED" w:rsidRPr="00666914" w:rsidRDefault="008A4FED" w:rsidP="0037429A">
            <w:pPr>
              <w:spacing w:after="0"/>
              <w:jc w:val="center"/>
              <w:rPr>
                <w:sz w:val="20"/>
                <w:szCs w:val="20"/>
              </w:rPr>
            </w:pPr>
            <w:r w:rsidRPr="00666914">
              <w:rPr>
                <w:sz w:val="20"/>
                <w:szCs w:val="20"/>
              </w:rPr>
              <w:t>3</w:t>
            </w:r>
          </w:p>
        </w:tc>
        <w:tc>
          <w:tcPr>
            <w:tcW w:w="593" w:type="pct"/>
            <w:tcBorders>
              <w:top w:val="nil"/>
              <w:left w:val="nil"/>
              <w:bottom w:val="dotted" w:sz="4" w:space="0" w:color="auto"/>
              <w:right w:val="nil"/>
            </w:tcBorders>
            <w:shd w:val="clear" w:color="auto" w:fill="auto"/>
            <w:noWrap/>
            <w:vAlign w:val="center"/>
          </w:tcPr>
          <w:p w14:paraId="41B0E5EB" w14:textId="77777777" w:rsidR="008A4FED" w:rsidRPr="00666914" w:rsidRDefault="008A4FED" w:rsidP="0037429A">
            <w:pPr>
              <w:spacing w:after="0"/>
              <w:jc w:val="center"/>
              <w:rPr>
                <w:sz w:val="20"/>
                <w:szCs w:val="20"/>
              </w:rPr>
            </w:pPr>
            <w:r w:rsidRPr="00666914">
              <w:rPr>
                <w:sz w:val="20"/>
                <w:szCs w:val="20"/>
              </w:rPr>
              <w:t>16,4</w:t>
            </w:r>
          </w:p>
        </w:tc>
        <w:tc>
          <w:tcPr>
            <w:tcW w:w="301" w:type="pct"/>
            <w:tcBorders>
              <w:top w:val="nil"/>
              <w:left w:val="nil"/>
              <w:bottom w:val="dotted" w:sz="4" w:space="0" w:color="auto"/>
              <w:right w:val="nil"/>
            </w:tcBorders>
            <w:shd w:val="clear" w:color="auto" w:fill="auto"/>
            <w:vAlign w:val="center"/>
          </w:tcPr>
          <w:p w14:paraId="3A714894" w14:textId="77777777" w:rsidR="008A4FED" w:rsidRPr="00666914" w:rsidRDefault="008A4FED" w:rsidP="0037429A">
            <w:pPr>
              <w:spacing w:after="0"/>
              <w:jc w:val="center"/>
              <w:rPr>
                <w:sz w:val="20"/>
                <w:szCs w:val="20"/>
              </w:rPr>
            </w:pPr>
            <w:r w:rsidRPr="00666914">
              <w:rPr>
                <w:sz w:val="20"/>
                <w:szCs w:val="20"/>
              </w:rPr>
              <w:t>3</w:t>
            </w:r>
          </w:p>
        </w:tc>
        <w:tc>
          <w:tcPr>
            <w:tcW w:w="593" w:type="pct"/>
            <w:tcBorders>
              <w:top w:val="nil"/>
              <w:left w:val="nil"/>
              <w:bottom w:val="dotted" w:sz="4" w:space="0" w:color="auto"/>
              <w:right w:val="nil"/>
            </w:tcBorders>
            <w:shd w:val="clear" w:color="auto" w:fill="auto"/>
            <w:vAlign w:val="center"/>
          </w:tcPr>
          <w:p w14:paraId="26FA384C" w14:textId="77777777" w:rsidR="008A4FED" w:rsidRPr="00666914" w:rsidRDefault="008A4FED" w:rsidP="0037429A">
            <w:pPr>
              <w:spacing w:after="0"/>
              <w:jc w:val="center"/>
              <w:rPr>
                <w:sz w:val="20"/>
                <w:szCs w:val="20"/>
              </w:rPr>
            </w:pPr>
            <w:r w:rsidRPr="00666914">
              <w:rPr>
                <w:sz w:val="20"/>
                <w:szCs w:val="20"/>
              </w:rPr>
              <w:t>16,4</w:t>
            </w:r>
          </w:p>
        </w:tc>
      </w:tr>
      <w:tr w:rsidR="008A4FED" w:rsidRPr="00666914" w14:paraId="28BD4720" w14:textId="77777777" w:rsidTr="00F64B85">
        <w:trPr>
          <w:gridAfter w:val="1"/>
          <w:wAfter w:w="7" w:type="pct"/>
          <w:trHeight w:val="202"/>
        </w:trPr>
        <w:tc>
          <w:tcPr>
            <w:tcW w:w="1723" w:type="pct"/>
            <w:tcBorders>
              <w:top w:val="dotted" w:sz="4" w:space="0" w:color="auto"/>
              <w:left w:val="nil"/>
              <w:bottom w:val="single" w:sz="4" w:space="0" w:color="auto"/>
              <w:right w:val="nil"/>
            </w:tcBorders>
            <w:shd w:val="clear" w:color="auto" w:fill="auto"/>
            <w:vAlign w:val="center"/>
          </w:tcPr>
          <w:p w14:paraId="28F657E4" w14:textId="77777777" w:rsidR="008A4FED" w:rsidRPr="00666914" w:rsidRDefault="008A4FED" w:rsidP="0037429A">
            <w:pPr>
              <w:spacing w:after="0"/>
              <w:rPr>
                <w:sz w:val="20"/>
                <w:szCs w:val="20"/>
              </w:rPr>
            </w:pPr>
            <w:r w:rsidRPr="00666914">
              <w:rPr>
                <w:sz w:val="20"/>
                <w:szCs w:val="20"/>
              </w:rPr>
              <w:t>Jednorazové nákladové operácie</w:t>
            </w:r>
            <w:r w:rsidRPr="00666914">
              <w:rPr>
                <w:rStyle w:val="Odkaznapoznmkupodiarou"/>
                <w:sz w:val="20"/>
                <w:szCs w:val="20"/>
              </w:rPr>
              <w:footnoteReference w:id="9"/>
            </w:r>
          </w:p>
        </w:tc>
        <w:tc>
          <w:tcPr>
            <w:tcW w:w="580" w:type="pct"/>
            <w:tcBorders>
              <w:top w:val="dotted" w:sz="4" w:space="0" w:color="auto"/>
              <w:left w:val="nil"/>
              <w:bottom w:val="single" w:sz="4" w:space="0" w:color="auto"/>
              <w:right w:val="nil"/>
            </w:tcBorders>
            <w:vAlign w:val="center"/>
          </w:tcPr>
          <w:p w14:paraId="0D969927" w14:textId="77777777" w:rsidR="008A4FED" w:rsidRPr="00666914" w:rsidRDefault="008A4FED" w:rsidP="0037429A">
            <w:pPr>
              <w:spacing w:after="0"/>
              <w:jc w:val="center"/>
              <w:rPr>
                <w:sz w:val="20"/>
                <w:szCs w:val="20"/>
              </w:rPr>
            </w:pPr>
            <w:r w:rsidRPr="00666914">
              <w:rPr>
                <w:sz w:val="20"/>
                <w:szCs w:val="20"/>
              </w:rPr>
              <w:t>-</w:t>
            </w:r>
          </w:p>
        </w:tc>
        <w:tc>
          <w:tcPr>
            <w:tcW w:w="314" w:type="pct"/>
            <w:tcBorders>
              <w:top w:val="dotted" w:sz="4" w:space="0" w:color="auto"/>
              <w:left w:val="nil"/>
              <w:bottom w:val="single" w:sz="4" w:space="0" w:color="auto"/>
              <w:right w:val="nil"/>
            </w:tcBorders>
            <w:shd w:val="clear" w:color="auto" w:fill="auto"/>
            <w:noWrap/>
            <w:vAlign w:val="center"/>
          </w:tcPr>
          <w:p w14:paraId="657E200B" w14:textId="77777777" w:rsidR="008A4FED" w:rsidRPr="00666914" w:rsidRDefault="008A4FED" w:rsidP="0037429A">
            <w:pPr>
              <w:spacing w:after="0"/>
              <w:jc w:val="center"/>
              <w:rPr>
                <w:sz w:val="20"/>
                <w:szCs w:val="20"/>
              </w:rPr>
            </w:pPr>
            <w:r w:rsidRPr="00666914">
              <w:rPr>
                <w:sz w:val="20"/>
                <w:szCs w:val="20"/>
              </w:rPr>
              <w:t>-</w:t>
            </w:r>
          </w:p>
        </w:tc>
        <w:tc>
          <w:tcPr>
            <w:tcW w:w="591" w:type="pct"/>
            <w:tcBorders>
              <w:top w:val="dotted" w:sz="4" w:space="0" w:color="auto"/>
              <w:left w:val="nil"/>
              <w:bottom w:val="single" w:sz="4" w:space="0" w:color="auto"/>
              <w:right w:val="nil"/>
            </w:tcBorders>
            <w:vAlign w:val="center"/>
          </w:tcPr>
          <w:p w14:paraId="32A02CA6" w14:textId="77777777" w:rsidR="008A4FED" w:rsidRPr="00666914" w:rsidRDefault="008A4FED" w:rsidP="0037429A">
            <w:pPr>
              <w:spacing w:after="0"/>
              <w:jc w:val="center"/>
              <w:rPr>
                <w:rFonts w:eastAsia="Times New Roman" w:cs="Arial"/>
                <w:sz w:val="20"/>
                <w:szCs w:val="20"/>
                <w:lang w:eastAsia="zh-TW"/>
              </w:rPr>
            </w:pPr>
            <w:r w:rsidRPr="00666914">
              <w:rPr>
                <w:rFonts w:eastAsia="Times New Roman" w:cs="Arial"/>
                <w:sz w:val="20"/>
                <w:szCs w:val="20"/>
                <w:lang w:eastAsia="zh-TW"/>
              </w:rPr>
              <w:t>-</w:t>
            </w:r>
          </w:p>
        </w:tc>
        <w:tc>
          <w:tcPr>
            <w:tcW w:w="299" w:type="pct"/>
            <w:tcBorders>
              <w:top w:val="dotted" w:sz="4" w:space="0" w:color="auto"/>
              <w:left w:val="nil"/>
              <w:bottom w:val="single" w:sz="4" w:space="0" w:color="auto"/>
              <w:right w:val="nil"/>
            </w:tcBorders>
            <w:shd w:val="clear" w:color="auto" w:fill="auto"/>
            <w:noWrap/>
            <w:vAlign w:val="center"/>
          </w:tcPr>
          <w:p w14:paraId="45DDB04D" w14:textId="77777777" w:rsidR="008A4FED" w:rsidRPr="00666914" w:rsidRDefault="008A4FED" w:rsidP="0037429A">
            <w:pPr>
              <w:spacing w:after="0"/>
              <w:jc w:val="center"/>
              <w:rPr>
                <w:sz w:val="20"/>
                <w:szCs w:val="20"/>
              </w:rPr>
            </w:pPr>
            <w:r w:rsidRPr="00666914">
              <w:rPr>
                <w:sz w:val="20"/>
                <w:szCs w:val="20"/>
              </w:rPr>
              <w:t>-</w:t>
            </w:r>
          </w:p>
        </w:tc>
        <w:tc>
          <w:tcPr>
            <w:tcW w:w="593" w:type="pct"/>
            <w:tcBorders>
              <w:top w:val="dotted" w:sz="4" w:space="0" w:color="auto"/>
              <w:left w:val="nil"/>
              <w:bottom w:val="single" w:sz="4" w:space="0" w:color="auto"/>
              <w:right w:val="nil"/>
            </w:tcBorders>
            <w:shd w:val="clear" w:color="auto" w:fill="auto"/>
            <w:noWrap/>
            <w:vAlign w:val="center"/>
          </w:tcPr>
          <w:p w14:paraId="64C14533" w14:textId="77777777" w:rsidR="008A4FED" w:rsidRPr="00666914" w:rsidRDefault="008A4FED" w:rsidP="0037429A">
            <w:pPr>
              <w:spacing w:after="0"/>
              <w:jc w:val="center"/>
              <w:rPr>
                <w:sz w:val="20"/>
                <w:szCs w:val="20"/>
              </w:rPr>
            </w:pPr>
            <w:r w:rsidRPr="00666914">
              <w:rPr>
                <w:sz w:val="20"/>
                <w:szCs w:val="20"/>
              </w:rPr>
              <w:t>-100,3</w:t>
            </w:r>
          </w:p>
        </w:tc>
        <w:tc>
          <w:tcPr>
            <w:tcW w:w="301" w:type="pct"/>
            <w:tcBorders>
              <w:top w:val="dotted" w:sz="4" w:space="0" w:color="auto"/>
              <w:left w:val="nil"/>
              <w:bottom w:val="single" w:sz="4" w:space="0" w:color="auto"/>
              <w:right w:val="nil"/>
            </w:tcBorders>
            <w:vAlign w:val="center"/>
          </w:tcPr>
          <w:p w14:paraId="65889D73" w14:textId="77777777" w:rsidR="008A4FED" w:rsidRPr="00666914" w:rsidRDefault="008A4FED" w:rsidP="0037429A">
            <w:pPr>
              <w:spacing w:after="0"/>
              <w:jc w:val="center"/>
              <w:rPr>
                <w:sz w:val="20"/>
                <w:szCs w:val="20"/>
              </w:rPr>
            </w:pPr>
            <w:r w:rsidRPr="00666914">
              <w:rPr>
                <w:sz w:val="20"/>
                <w:szCs w:val="20"/>
              </w:rPr>
              <w:t>-</w:t>
            </w:r>
          </w:p>
        </w:tc>
        <w:tc>
          <w:tcPr>
            <w:tcW w:w="593" w:type="pct"/>
            <w:tcBorders>
              <w:top w:val="dotted" w:sz="4" w:space="0" w:color="auto"/>
              <w:left w:val="nil"/>
              <w:bottom w:val="single" w:sz="4" w:space="0" w:color="auto"/>
              <w:right w:val="nil"/>
            </w:tcBorders>
            <w:vAlign w:val="center"/>
          </w:tcPr>
          <w:p w14:paraId="450D4282" w14:textId="77777777" w:rsidR="008A4FED" w:rsidRPr="00666914" w:rsidRDefault="008A4FED" w:rsidP="0037429A">
            <w:pPr>
              <w:spacing w:after="0"/>
              <w:jc w:val="center"/>
              <w:rPr>
                <w:sz w:val="20"/>
                <w:szCs w:val="20"/>
              </w:rPr>
            </w:pPr>
            <w:r w:rsidRPr="00666914">
              <w:rPr>
                <w:sz w:val="20"/>
                <w:szCs w:val="20"/>
              </w:rPr>
              <w:t>-</w:t>
            </w:r>
          </w:p>
        </w:tc>
      </w:tr>
      <w:tr w:rsidR="008A4FED" w:rsidRPr="00666914" w14:paraId="3F5E55D0" w14:textId="77777777" w:rsidTr="009C6166">
        <w:trPr>
          <w:trHeight w:val="202"/>
        </w:trPr>
        <w:tc>
          <w:tcPr>
            <w:tcW w:w="5000" w:type="pct"/>
            <w:gridSpan w:val="9"/>
            <w:tcBorders>
              <w:top w:val="single" w:sz="4" w:space="0" w:color="auto"/>
              <w:left w:val="nil"/>
              <w:right w:val="nil"/>
            </w:tcBorders>
            <w:shd w:val="clear" w:color="auto" w:fill="auto"/>
            <w:vAlign w:val="center"/>
          </w:tcPr>
          <w:p w14:paraId="005E5E8F" w14:textId="77777777" w:rsidR="008A4FED" w:rsidRPr="00666914" w:rsidRDefault="008A4FED" w:rsidP="0037429A">
            <w:pPr>
              <w:spacing w:after="0"/>
              <w:jc w:val="right"/>
              <w:rPr>
                <w:i/>
                <w:sz w:val="18"/>
                <w:szCs w:val="18"/>
              </w:rPr>
            </w:pPr>
            <w:r w:rsidRPr="00666914">
              <w:rPr>
                <w:i/>
                <w:sz w:val="18"/>
                <w:szCs w:val="18"/>
              </w:rPr>
              <w:t>Zdroj: ZP, MZ SR, spracovanie IJ</w:t>
            </w:r>
          </w:p>
        </w:tc>
      </w:tr>
    </w:tbl>
    <w:p w14:paraId="210ED971" w14:textId="77777777" w:rsidR="008A4FED" w:rsidRPr="00666914" w:rsidRDefault="008A4FED" w:rsidP="00F64B85">
      <w:pPr>
        <w:spacing w:after="0"/>
        <w:rPr>
          <w:b/>
          <w:color w:val="808080" w:themeColor="background1" w:themeShade="80"/>
          <w:szCs w:val="24"/>
        </w:rPr>
      </w:pPr>
    </w:p>
    <w:p w14:paraId="66417D09" w14:textId="77777777" w:rsidR="008A4FED" w:rsidRPr="00666914" w:rsidRDefault="008A4FED">
      <w:pPr>
        <w:spacing w:after="0"/>
        <w:jc w:val="left"/>
        <w:rPr>
          <w:b/>
          <w:sz w:val="20"/>
          <w:szCs w:val="20"/>
        </w:rPr>
      </w:pPr>
      <w:bookmarkStart w:id="24" w:name="_Toc517699193"/>
      <w:bookmarkStart w:id="25" w:name="_Toc5636404"/>
      <w:bookmarkStart w:id="26" w:name="_Toc20209179"/>
      <w:bookmarkStart w:id="27" w:name="_Toc36547023"/>
      <w:r w:rsidRPr="00666914">
        <w:rPr>
          <w:b/>
          <w:sz w:val="20"/>
          <w:szCs w:val="20"/>
        </w:rPr>
        <w:br w:type="page"/>
      </w:r>
    </w:p>
    <w:p w14:paraId="3299F96A" w14:textId="5439CFB5" w:rsidR="008A4FED" w:rsidRPr="00666914" w:rsidRDefault="008A4FED" w:rsidP="004D30E9">
      <w:pPr>
        <w:spacing w:after="0"/>
        <w:rPr>
          <w:b/>
          <w:sz w:val="20"/>
          <w:szCs w:val="20"/>
        </w:rPr>
      </w:pPr>
      <w:bookmarkStart w:id="28" w:name="_Toc38447664"/>
      <w:r w:rsidRPr="00666914">
        <w:rPr>
          <w:b/>
          <w:sz w:val="20"/>
          <w:szCs w:val="20"/>
        </w:rPr>
        <w:lastRenderedPageBreak/>
        <w:t xml:space="preserve">Tabuľka </w:t>
      </w:r>
      <w:r w:rsidRPr="00666914">
        <w:rPr>
          <w:b/>
          <w:noProof/>
          <w:sz w:val="20"/>
          <w:szCs w:val="20"/>
        </w:rPr>
        <w:fldChar w:fldCharType="begin"/>
      </w:r>
      <w:r w:rsidRPr="00666914">
        <w:rPr>
          <w:b/>
          <w:noProof/>
          <w:sz w:val="20"/>
          <w:szCs w:val="20"/>
        </w:rPr>
        <w:instrText xml:space="preserve"> SEQ Tabuľka \* ARABIC </w:instrText>
      </w:r>
      <w:r w:rsidRPr="00666914">
        <w:rPr>
          <w:b/>
          <w:noProof/>
          <w:sz w:val="20"/>
          <w:szCs w:val="20"/>
        </w:rPr>
        <w:fldChar w:fldCharType="separate"/>
      </w:r>
      <w:r w:rsidR="005A7304">
        <w:rPr>
          <w:b/>
          <w:noProof/>
          <w:sz w:val="20"/>
          <w:szCs w:val="20"/>
        </w:rPr>
        <w:t>3</w:t>
      </w:r>
      <w:r w:rsidRPr="00666914">
        <w:rPr>
          <w:b/>
          <w:noProof/>
          <w:sz w:val="20"/>
          <w:szCs w:val="20"/>
        </w:rPr>
        <w:fldChar w:fldCharType="end"/>
      </w:r>
      <w:r w:rsidRPr="00666914">
        <w:rPr>
          <w:b/>
          <w:sz w:val="20"/>
          <w:szCs w:val="20"/>
        </w:rPr>
        <w:t xml:space="preserve">: Plnenie hlavných odporúčaní IJ ÚV SR pre MZ SR v </w:t>
      </w:r>
      <w:bookmarkEnd w:id="24"/>
      <w:r w:rsidRPr="00666914">
        <w:rPr>
          <w:b/>
          <w:sz w:val="20"/>
          <w:szCs w:val="20"/>
        </w:rPr>
        <w:t>Priebežnej implementačnej správe 201</w:t>
      </w:r>
      <w:bookmarkEnd w:id="25"/>
      <w:bookmarkEnd w:id="26"/>
      <w:r w:rsidRPr="00666914">
        <w:rPr>
          <w:b/>
          <w:sz w:val="20"/>
          <w:szCs w:val="20"/>
        </w:rPr>
        <w:t>9</w:t>
      </w:r>
      <w:bookmarkEnd w:id="27"/>
      <w:bookmarkEnd w:id="28"/>
    </w:p>
    <w:tbl>
      <w:tblPr>
        <w:tblW w:w="5000" w:type="pct"/>
        <w:tblLayout w:type="fixed"/>
        <w:tblCellMar>
          <w:left w:w="70" w:type="dxa"/>
          <w:right w:w="70" w:type="dxa"/>
        </w:tblCellMar>
        <w:tblLook w:val="04A0" w:firstRow="1" w:lastRow="0" w:firstColumn="1" w:lastColumn="0" w:noHBand="0" w:noVBand="1"/>
      </w:tblPr>
      <w:tblGrid>
        <w:gridCol w:w="7487"/>
        <w:gridCol w:w="1727"/>
      </w:tblGrid>
      <w:tr w:rsidR="008A4FED" w:rsidRPr="00666914" w14:paraId="3247B650" w14:textId="77777777" w:rsidTr="00CD3917">
        <w:trPr>
          <w:trHeight w:val="624"/>
        </w:trPr>
        <w:tc>
          <w:tcPr>
            <w:tcW w:w="4063" w:type="pct"/>
            <w:tcBorders>
              <w:top w:val="single" w:sz="4" w:space="0" w:color="auto"/>
              <w:left w:val="nil"/>
              <w:bottom w:val="nil"/>
              <w:right w:val="nil"/>
            </w:tcBorders>
            <w:shd w:val="clear" w:color="auto" w:fill="auto"/>
            <w:noWrap/>
            <w:vAlign w:val="center"/>
          </w:tcPr>
          <w:p w14:paraId="5802280E" w14:textId="77777777" w:rsidR="008A4FED" w:rsidRPr="00666914" w:rsidRDefault="008A4FED" w:rsidP="004D30E9">
            <w:pPr>
              <w:spacing w:after="0"/>
              <w:jc w:val="left"/>
              <w:rPr>
                <w:sz w:val="20"/>
                <w:szCs w:val="20"/>
              </w:rPr>
            </w:pPr>
            <w:r w:rsidRPr="00666914">
              <w:rPr>
                <w:sz w:val="20"/>
                <w:szCs w:val="20"/>
              </w:rPr>
              <w:t>Prijať legislatívu nevyhnutnú pre projekt stratifikácie</w:t>
            </w:r>
          </w:p>
        </w:tc>
        <w:tc>
          <w:tcPr>
            <w:tcW w:w="937" w:type="pct"/>
            <w:tcBorders>
              <w:top w:val="single" w:sz="4" w:space="0" w:color="auto"/>
              <w:left w:val="nil"/>
              <w:bottom w:val="nil"/>
              <w:right w:val="nil"/>
            </w:tcBorders>
            <w:shd w:val="clear" w:color="auto" w:fill="auto"/>
            <w:noWrap/>
            <w:vAlign w:val="center"/>
          </w:tcPr>
          <w:p w14:paraId="65C7850A" w14:textId="77777777" w:rsidR="008A4FED" w:rsidRPr="00666914" w:rsidRDefault="008A4FED" w:rsidP="004D30E9">
            <w:pPr>
              <w:spacing w:after="0"/>
              <w:rPr>
                <w:sz w:val="20"/>
                <w:szCs w:val="20"/>
              </w:rPr>
            </w:pPr>
            <w:r w:rsidRPr="00666914">
              <w:rPr>
                <w:noProof/>
                <w:lang w:eastAsia="sk-SK"/>
              </w:rPr>
              <w:drawing>
                <wp:anchor distT="0" distB="0" distL="114300" distR="114300" simplePos="0" relativeHeight="251702272" behindDoc="0" locked="0" layoutInCell="1" allowOverlap="1" wp14:anchorId="0E55C42E" wp14:editId="0B53CA64">
                  <wp:simplePos x="0" y="0"/>
                  <wp:positionH relativeFrom="margin">
                    <wp:posOffset>358775</wp:posOffset>
                  </wp:positionH>
                  <wp:positionV relativeFrom="margin">
                    <wp:posOffset>38100</wp:posOffset>
                  </wp:positionV>
                  <wp:extent cx="215900" cy="215900"/>
                  <wp:effectExtent l="0" t="0" r="0" b="0"/>
                  <wp:wrapThrough wrapText="bothSides">
                    <wp:wrapPolygon edited="0">
                      <wp:start x="0" y="0"/>
                      <wp:lineTo x="0" y="19059"/>
                      <wp:lineTo x="19059" y="19059"/>
                      <wp:lineTo x="19059" y="0"/>
                      <wp:lineTo x="0" y="0"/>
                    </wp:wrapPolygon>
                  </wp:wrapThrough>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r>
      <w:tr w:rsidR="008A4FED" w:rsidRPr="00666914" w14:paraId="05969801" w14:textId="77777777" w:rsidTr="00CD3917">
        <w:trPr>
          <w:trHeight w:val="624"/>
        </w:trPr>
        <w:tc>
          <w:tcPr>
            <w:tcW w:w="4063" w:type="pct"/>
            <w:tcBorders>
              <w:top w:val="nil"/>
              <w:left w:val="nil"/>
              <w:bottom w:val="nil"/>
              <w:right w:val="nil"/>
            </w:tcBorders>
            <w:shd w:val="clear" w:color="auto" w:fill="auto"/>
            <w:vAlign w:val="center"/>
          </w:tcPr>
          <w:p w14:paraId="0429E133" w14:textId="77777777" w:rsidR="008A4FED" w:rsidRPr="00666914" w:rsidRDefault="008A4FED" w:rsidP="004D30E9">
            <w:pPr>
              <w:spacing w:after="0"/>
              <w:jc w:val="left"/>
              <w:rPr>
                <w:sz w:val="20"/>
                <w:szCs w:val="20"/>
              </w:rPr>
            </w:pPr>
            <w:r w:rsidRPr="00666914">
              <w:rPr>
                <w:sz w:val="20"/>
                <w:szCs w:val="20"/>
              </w:rPr>
              <w:t>Pripraviť programový rozpočet na celé verejné zdravotné poistenie v spolupráci s MF SR</w:t>
            </w:r>
          </w:p>
        </w:tc>
        <w:tc>
          <w:tcPr>
            <w:tcW w:w="937" w:type="pct"/>
            <w:tcBorders>
              <w:top w:val="nil"/>
              <w:left w:val="nil"/>
              <w:bottom w:val="nil"/>
              <w:right w:val="nil"/>
            </w:tcBorders>
            <w:shd w:val="clear" w:color="auto" w:fill="auto"/>
            <w:noWrap/>
            <w:vAlign w:val="center"/>
          </w:tcPr>
          <w:p w14:paraId="55B1159A" w14:textId="77777777" w:rsidR="008A4FED" w:rsidRPr="00666914" w:rsidRDefault="008A4FED" w:rsidP="004D30E9">
            <w:pPr>
              <w:spacing w:after="0"/>
              <w:ind w:left="20" w:hanging="34"/>
              <w:jc w:val="right"/>
              <w:rPr>
                <w:sz w:val="20"/>
                <w:szCs w:val="20"/>
              </w:rPr>
            </w:pPr>
            <w:r w:rsidRPr="00666914">
              <w:rPr>
                <w:noProof/>
                <w:lang w:eastAsia="sk-SK"/>
              </w:rPr>
              <w:drawing>
                <wp:anchor distT="0" distB="0" distL="114300" distR="114300" simplePos="0" relativeHeight="251703296" behindDoc="0" locked="0" layoutInCell="1" allowOverlap="1" wp14:anchorId="28882237" wp14:editId="09956130">
                  <wp:simplePos x="0" y="0"/>
                  <wp:positionH relativeFrom="margin">
                    <wp:posOffset>366395</wp:posOffset>
                  </wp:positionH>
                  <wp:positionV relativeFrom="margin">
                    <wp:posOffset>-52070</wp:posOffset>
                  </wp:positionV>
                  <wp:extent cx="215900" cy="215900"/>
                  <wp:effectExtent l="0" t="0" r="0" b="0"/>
                  <wp:wrapThrough wrapText="bothSides">
                    <wp:wrapPolygon edited="0">
                      <wp:start x="0" y="0"/>
                      <wp:lineTo x="0" y="19059"/>
                      <wp:lineTo x="19059" y="19059"/>
                      <wp:lineTo x="19059" y="0"/>
                      <wp:lineTo x="0" y="0"/>
                    </wp:wrapPolygon>
                  </wp:wrapThrough>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r>
      <w:tr w:rsidR="008A4FED" w:rsidRPr="00666914" w14:paraId="43009677" w14:textId="77777777" w:rsidTr="00CD3917">
        <w:trPr>
          <w:trHeight w:val="624"/>
        </w:trPr>
        <w:tc>
          <w:tcPr>
            <w:tcW w:w="4063" w:type="pct"/>
            <w:tcBorders>
              <w:top w:val="nil"/>
              <w:left w:val="nil"/>
              <w:right w:val="nil"/>
            </w:tcBorders>
            <w:shd w:val="clear" w:color="auto" w:fill="auto"/>
            <w:vAlign w:val="center"/>
          </w:tcPr>
          <w:p w14:paraId="7D5216C8" w14:textId="77777777" w:rsidR="008A4FED" w:rsidRPr="00666914" w:rsidRDefault="008A4FED" w:rsidP="004D30E9">
            <w:pPr>
              <w:spacing w:after="0"/>
              <w:jc w:val="left"/>
              <w:rPr>
                <w:sz w:val="20"/>
                <w:szCs w:val="20"/>
              </w:rPr>
            </w:pPr>
            <w:r w:rsidRPr="00666914">
              <w:rPr>
                <w:sz w:val="20"/>
                <w:szCs w:val="20"/>
              </w:rPr>
              <w:t>Sledovať dodržiavanie Implementačného plánu VšZP</w:t>
            </w:r>
          </w:p>
        </w:tc>
        <w:tc>
          <w:tcPr>
            <w:tcW w:w="937" w:type="pct"/>
            <w:tcBorders>
              <w:top w:val="nil"/>
              <w:left w:val="nil"/>
              <w:right w:val="nil"/>
            </w:tcBorders>
            <w:shd w:val="clear" w:color="auto" w:fill="auto"/>
            <w:noWrap/>
            <w:vAlign w:val="center"/>
          </w:tcPr>
          <w:p w14:paraId="5140EE3E" w14:textId="77777777" w:rsidR="008A4FED" w:rsidRPr="00666914" w:rsidRDefault="008A4FED" w:rsidP="004D30E9">
            <w:pPr>
              <w:spacing w:after="0"/>
              <w:ind w:left="20" w:hanging="34"/>
              <w:jc w:val="right"/>
              <w:rPr>
                <w:sz w:val="20"/>
                <w:szCs w:val="20"/>
              </w:rPr>
            </w:pPr>
            <w:r w:rsidRPr="00666914">
              <w:rPr>
                <w:noProof/>
                <w:lang w:eastAsia="sk-SK"/>
              </w:rPr>
              <w:drawing>
                <wp:anchor distT="0" distB="0" distL="114300" distR="114300" simplePos="0" relativeHeight="251697152" behindDoc="0" locked="0" layoutInCell="1" allowOverlap="1" wp14:anchorId="42BE33AC" wp14:editId="15D12108">
                  <wp:simplePos x="0" y="0"/>
                  <wp:positionH relativeFrom="margin">
                    <wp:posOffset>360680</wp:posOffset>
                  </wp:positionH>
                  <wp:positionV relativeFrom="paragraph">
                    <wp:posOffset>-97155</wp:posOffset>
                  </wp:positionV>
                  <wp:extent cx="215900" cy="215900"/>
                  <wp:effectExtent l="0" t="0" r="0" b="0"/>
                  <wp:wrapThrough wrapText="bothSides">
                    <wp:wrapPolygon edited="0">
                      <wp:start x="0" y="0"/>
                      <wp:lineTo x="0" y="19059"/>
                      <wp:lineTo x="19059" y="19059"/>
                      <wp:lineTo x="19059" y="0"/>
                      <wp:lineTo x="0" y="0"/>
                    </wp:wrapPolygon>
                  </wp:wrapThrough>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15900" cy="215900"/>
                          </a:xfrm>
                          <a:prstGeom prst="rect">
                            <a:avLst/>
                          </a:prstGeom>
                        </pic:spPr>
                      </pic:pic>
                    </a:graphicData>
                  </a:graphic>
                  <wp14:sizeRelH relativeFrom="page">
                    <wp14:pctWidth>0</wp14:pctWidth>
                  </wp14:sizeRelH>
                  <wp14:sizeRelV relativeFrom="page">
                    <wp14:pctHeight>0</wp14:pctHeight>
                  </wp14:sizeRelV>
                </wp:anchor>
              </w:drawing>
            </w:r>
          </w:p>
        </w:tc>
      </w:tr>
      <w:tr w:rsidR="008A4FED" w:rsidRPr="00666914" w14:paraId="08EF9CE0" w14:textId="77777777" w:rsidTr="00CD3917">
        <w:trPr>
          <w:trHeight w:val="624"/>
        </w:trPr>
        <w:tc>
          <w:tcPr>
            <w:tcW w:w="4063" w:type="pct"/>
            <w:tcBorders>
              <w:top w:val="nil"/>
              <w:left w:val="nil"/>
              <w:right w:val="nil"/>
            </w:tcBorders>
            <w:shd w:val="clear" w:color="auto" w:fill="auto"/>
            <w:vAlign w:val="center"/>
          </w:tcPr>
          <w:p w14:paraId="08993A30" w14:textId="77777777" w:rsidR="008A4FED" w:rsidRPr="00666914" w:rsidRDefault="008A4FED" w:rsidP="004D30E9">
            <w:pPr>
              <w:spacing w:after="0"/>
              <w:jc w:val="left"/>
              <w:rPr>
                <w:sz w:val="20"/>
                <w:szCs w:val="20"/>
              </w:rPr>
            </w:pPr>
            <w:r w:rsidRPr="00666914">
              <w:rPr>
                <w:sz w:val="20"/>
                <w:szCs w:val="20"/>
              </w:rPr>
              <w:t>Realizovať výkonnostné analýzy nemocníc v zriaďovateľskej pôsobnosti MZ SR s ohľadom na prebiehajúci proces stratifikácie</w:t>
            </w:r>
          </w:p>
        </w:tc>
        <w:tc>
          <w:tcPr>
            <w:tcW w:w="937" w:type="pct"/>
            <w:tcBorders>
              <w:top w:val="nil"/>
              <w:left w:val="nil"/>
              <w:right w:val="nil"/>
            </w:tcBorders>
            <w:shd w:val="clear" w:color="auto" w:fill="auto"/>
            <w:noWrap/>
            <w:vAlign w:val="center"/>
          </w:tcPr>
          <w:p w14:paraId="7959E693" w14:textId="77777777" w:rsidR="008A4FED" w:rsidRPr="00666914" w:rsidRDefault="008A4FED" w:rsidP="004D30E9">
            <w:pPr>
              <w:spacing w:after="0"/>
              <w:ind w:left="20" w:hanging="34"/>
              <w:jc w:val="right"/>
              <w:rPr>
                <w:noProof/>
                <w:lang w:eastAsia="sk-SK"/>
              </w:rPr>
            </w:pPr>
            <w:r w:rsidRPr="00666914">
              <w:rPr>
                <w:noProof/>
                <w:lang w:eastAsia="sk-SK"/>
              </w:rPr>
              <w:drawing>
                <wp:anchor distT="0" distB="0" distL="114300" distR="114300" simplePos="0" relativeHeight="251701248" behindDoc="0" locked="0" layoutInCell="1" allowOverlap="1" wp14:anchorId="12ECF7B1" wp14:editId="27E6F53A">
                  <wp:simplePos x="0" y="0"/>
                  <wp:positionH relativeFrom="margin">
                    <wp:posOffset>360680</wp:posOffset>
                  </wp:positionH>
                  <wp:positionV relativeFrom="margin">
                    <wp:posOffset>26035</wp:posOffset>
                  </wp:positionV>
                  <wp:extent cx="215900" cy="215900"/>
                  <wp:effectExtent l="0" t="0" r="0" b="0"/>
                  <wp:wrapThrough wrapText="bothSides">
                    <wp:wrapPolygon edited="0">
                      <wp:start x="0" y="0"/>
                      <wp:lineTo x="0" y="19059"/>
                      <wp:lineTo x="19059" y="19059"/>
                      <wp:lineTo x="19059" y="0"/>
                      <wp:lineTo x="0" y="0"/>
                    </wp:wrapPolygon>
                  </wp:wrapThrough>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r>
      <w:tr w:rsidR="008A4FED" w:rsidRPr="00666914" w14:paraId="0267A373" w14:textId="77777777" w:rsidTr="00CD3917">
        <w:trPr>
          <w:trHeight w:val="624"/>
        </w:trPr>
        <w:tc>
          <w:tcPr>
            <w:tcW w:w="4063" w:type="pct"/>
            <w:tcBorders>
              <w:top w:val="nil"/>
              <w:left w:val="nil"/>
              <w:right w:val="nil"/>
            </w:tcBorders>
            <w:shd w:val="clear" w:color="auto" w:fill="auto"/>
            <w:vAlign w:val="center"/>
          </w:tcPr>
          <w:p w14:paraId="6B62006F" w14:textId="77777777" w:rsidR="008A4FED" w:rsidRPr="00666914" w:rsidRDefault="008A4FED" w:rsidP="004D30E9">
            <w:pPr>
              <w:spacing w:after="0"/>
              <w:jc w:val="left"/>
              <w:rPr>
                <w:sz w:val="20"/>
                <w:szCs w:val="20"/>
              </w:rPr>
            </w:pPr>
            <w:r w:rsidRPr="00666914">
              <w:rPr>
                <w:sz w:val="20"/>
                <w:szCs w:val="20"/>
              </w:rPr>
              <w:t>Benchmarkovať ceny nemedicínskych služieb (upratovanie, pranie, stravovanie, poradenské služby, energetika)</w:t>
            </w:r>
          </w:p>
        </w:tc>
        <w:tc>
          <w:tcPr>
            <w:tcW w:w="937" w:type="pct"/>
            <w:tcBorders>
              <w:top w:val="nil"/>
              <w:left w:val="nil"/>
              <w:right w:val="nil"/>
            </w:tcBorders>
            <w:shd w:val="clear" w:color="auto" w:fill="auto"/>
            <w:noWrap/>
            <w:vAlign w:val="center"/>
          </w:tcPr>
          <w:p w14:paraId="29B791F8" w14:textId="77777777" w:rsidR="008A4FED" w:rsidRPr="00666914" w:rsidRDefault="008A4FED" w:rsidP="004D30E9">
            <w:pPr>
              <w:spacing w:after="0"/>
              <w:ind w:left="20" w:hanging="34"/>
              <w:jc w:val="right"/>
              <w:rPr>
                <w:noProof/>
                <w:lang w:eastAsia="sk-SK"/>
              </w:rPr>
            </w:pPr>
            <w:r w:rsidRPr="00666914">
              <w:rPr>
                <w:noProof/>
                <w:lang w:eastAsia="sk-SK"/>
              </w:rPr>
              <w:drawing>
                <wp:anchor distT="0" distB="0" distL="114300" distR="114300" simplePos="0" relativeHeight="251700224" behindDoc="0" locked="0" layoutInCell="1" allowOverlap="1" wp14:anchorId="625A8730" wp14:editId="46012377">
                  <wp:simplePos x="0" y="0"/>
                  <wp:positionH relativeFrom="margin">
                    <wp:posOffset>358775</wp:posOffset>
                  </wp:positionH>
                  <wp:positionV relativeFrom="margin">
                    <wp:posOffset>-17145</wp:posOffset>
                  </wp:positionV>
                  <wp:extent cx="215900" cy="215900"/>
                  <wp:effectExtent l="0" t="0" r="0" b="0"/>
                  <wp:wrapThrough wrapText="bothSides">
                    <wp:wrapPolygon edited="0">
                      <wp:start x="0" y="0"/>
                      <wp:lineTo x="0" y="19059"/>
                      <wp:lineTo x="19059" y="19059"/>
                      <wp:lineTo x="19059" y="0"/>
                      <wp:lineTo x="0" y="0"/>
                    </wp:wrapPolygon>
                  </wp:wrapThrough>
                  <wp:docPr id="77" name="Obrázo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r>
      <w:tr w:rsidR="008A4FED" w:rsidRPr="00666914" w14:paraId="1BC31AC7" w14:textId="77777777" w:rsidTr="00CD3917">
        <w:trPr>
          <w:trHeight w:val="624"/>
        </w:trPr>
        <w:tc>
          <w:tcPr>
            <w:tcW w:w="4063" w:type="pct"/>
            <w:tcBorders>
              <w:top w:val="nil"/>
              <w:left w:val="nil"/>
              <w:right w:val="nil"/>
            </w:tcBorders>
            <w:shd w:val="clear" w:color="auto" w:fill="auto"/>
            <w:vAlign w:val="center"/>
          </w:tcPr>
          <w:p w14:paraId="5CF629C6" w14:textId="77777777" w:rsidR="008A4FED" w:rsidRPr="00666914" w:rsidRDefault="008A4FED" w:rsidP="004D30E9">
            <w:pPr>
              <w:spacing w:after="0"/>
              <w:jc w:val="left"/>
              <w:rPr>
                <w:sz w:val="20"/>
                <w:szCs w:val="20"/>
              </w:rPr>
            </w:pPr>
            <w:r w:rsidRPr="00666914">
              <w:rPr>
                <w:sz w:val="20"/>
                <w:szCs w:val="20"/>
              </w:rPr>
              <w:t>Analyzovať príčiny nárastu úhrad v segmente SVLZ</w:t>
            </w:r>
          </w:p>
        </w:tc>
        <w:tc>
          <w:tcPr>
            <w:tcW w:w="937" w:type="pct"/>
            <w:tcBorders>
              <w:top w:val="nil"/>
              <w:left w:val="nil"/>
              <w:right w:val="nil"/>
            </w:tcBorders>
            <w:shd w:val="clear" w:color="auto" w:fill="auto"/>
            <w:noWrap/>
            <w:vAlign w:val="center"/>
          </w:tcPr>
          <w:p w14:paraId="6AAD7735" w14:textId="77777777" w:rsidR="008A4FED" w:rsidRPr="00666914" w:rsidRDefault="008A4FED" w:rsidP="004D30E9">
            <w:pPr>
              <w:spacing w:after="0"/>
              <w:ind w:left="20" w:hanging="34"/>
              <w:jc w:val="right"/>
              <w:rPr>
                <w:noProof/>
                <w:lang w:eastAsia="sk-SK"/>
              </w:rPr>
            </w:pPr>
            <w:r w:rsidRPr="00666914">
              <w:rPr>
                <w:noProof/>
                <w:lang w:eastAsia="sk-SK"/>
              </w:rPr>
              <w:drawing>
                <wp:anchor distT="0" distB="0" distL="114300" distR="114300" simplePos="0" relativeHeight="251699200" behindDoc="0" locked="0" layoutInCell="1" allowOverlap="1" wp14:anchorId="34BA5CB4" wp14:editId="6C834260">
                  <wp:simplePos x="0" y="0"/>
                  <wp:positionH relativeFrom="margin">
                    <wp:posOffset>358775</wp:posOffset>
                  </wp:positionH>
                  <wp:positionV relativeFrom="margin">
                    <wp:posOffset>-17145</wp:posOffset>
                  </wp:positionV>
                  <wp:extent cx="215900" cy="215900"/>
                  <wp:effectExtent l="0" t="0" r="0" b="0"/>
                  <wp:wrapThrough wrapText="bothSides">
                    <wp:wrapPolygon edited="0">
                      <wp:start x="0" y="0"/>
                      <wp:lineTo x="0" y="19059"/>
                      <wp:lineTo x="19059" y="19059"/>
                      <wp:lineTo x="19059" y="0"/>
                      <wp:lineTo x="0" y="0"/>
                    </wp:wrapPolygon>
                  </wp:wrapThrough>
                  <wp:docPr id="79" name="Obrázo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r>
      <w:tr w:rsidR="008A4FED" w:rsidRPr="00666914" w14:paraId="71CD9208" w14:textId="77777777" w:rsidTr="00CD3917">
        <w:trPr>
          <w:trHeight w:val="624"/>
        </w:trPr>
        <w:tc>
          <w:tcPr>
            <w:tcW w:w="4063" w:type="pct"/>
            <w:tcBorders>
              <w:top w:val="nil"/>
              <w:left w:val="nil"/>
              <w:bottom w:val="single" w:sz="4" w:space="0" w:color="auto"/>
              <w:right w:val="nil"/>
            </w:tcBorders>
            <w:shd w:val="clear" w:color="auto" w:fill="auto"/>
            <w:vAlign w:val="center"/>
          </w:tcPr>
          <w:p w14:paraId="26E6F4B3" w14:textId="77777777" w:rsidR="008A4FED" w:rsidRPr="00666914" w:rsidRDefault="008A4FED" w:rsidP="004D30E9">
            <w:pPr>
              <w:spacing w:after="0"/>
              <w:jc w:val="left"/>
              <w:rPr>
                <w:sz w:val="20"/>
                <w:szCs w:val="20"/>
              </w:rPr>
            </w:pPr>
            <w:r w:rsidRPr="00666914">
              <w:rPr>
                <w:sz w:val="20"/>
                <w:szCs w:val="20"/>
              </w:rPr>
              <w:t>Zrušiť platový automat a prehodnotiť súčasné nastavenie odmeňovania zdravotníckeho personálu</w:t>
            </w:r>
          </w:p>
        </w:tc>
        <w:tc>
          <w:tcPr>
            <w:tcW w:w="937" w:type="pct"/>
            <w:tcBorders>
              <w:top w:val="nil"/>
              <w:left w:val="nil"/>
              <w:bottom w:val="single" w:sz="4" w:space="0" w:color="auto"/>
              <w:right w:val="nil"/>
            </w:tcBorders>
            <w:shd w:val="clear" w:color="auto" w:fill="auto"/>
            <w:noWrap/>
            <w:vAlign w:val="center"/>
          </w:tcPr>
          <w:p w14:paraId="0546378B" w14:textId="77777777" w:rsidR="008A4FED" w:rsidRPr="00666914" w:rsidRDefault="008A4FED" w:rsidP="004D30E9">
            <w:pPr>
              <w:spacing w:after="0"/>
              <w:ind w:left="20" w:hanging="34"/>
              <w:jc w:val="right"/>
              <w:rPr>
                <w:sz w:val="20"/>
                <w:szCs w:val="20"/>
              </w:rPr>
            </w:pPr>
            <w:r w:rsidRPr="00666914">
              <w:rPr>
                <w:noProof/>
                <w:lang w:eastAsia="sk-SK"/>
              </w:rPr>
              <w:drawing>
                <wp:anchor distT="0" distB="0" distL="114300" distR="114300" simplePos="0" relativeHeight="251698176" behindDoc="0" locked="0" layoutInCell="1" allowOverlap="1" wp14:anchorId="029646AE" wp14:editId="5A22209B">
                  <wp:simplePos x="0" y="0"/>
                  <wp:positionH relativeFrom="margin">
                    <wp:posOffset>358775</wp:posOffset>
                  </wp:positionH>
                  <wp:positionV relativeFrom="margin">
                    <wp:posOffset>-47625</wp:posOffset>
                  </wp:positionV>
                  <wp:extent cx="215900" cy="215900"/>
                  <wp:effectExtent l="0" t="0" r="0" b="0"/>
                  <wp:wrapThrough wrapText="bothSides">
                    <wp:wrapPolygon edited="0">
                      <wp:start x="0" y="0"/>
                      <wp:lineTo x="0" y="19059"/>
                      <wp:lineTo x="19059" y="19059"/>
                      <wp:lineTo x="19059" y="0"/>
                      <wp:lineTo x="0" y="0"/>
                    </wp:wrapPolygon>
                  </wp:wrapThrough>
                  <wp:docPr id="80" name="Obrázo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r>
      <w:tr w:rsidR="008A4FED" w:rsidRPr="00666914" w14:paraId="53AC2B2A" w14:textId="77777777" w:rsidTr="00CD3917">
        <w:trPr>
          <w:trHeight w:val="202"/>
        </w:trPr>
        <w:tc>
          <w:tcPr>
            <w:tcW w:w="4063" w:type="pct"/>
            <w:tcBorders>
              <w:top w:val="single" w:sz="4" w:space="0" w:color="auto"/>
              <w:left w:val="nil"/>
              <w:bottom w:val="nil"/>
              <w:right w:val="nil"/>
            </w:tcBorders>
            <w:shd w:val="clear" w:color="auto" w:fill="auto"/>
            <w:vAlign w:val="center"/>
          </w:tcPr>
          <w:p w14:paraId="76682222" w14:textId="77777777" w:rsidR="008A4FED" w:rsidRPr="00666914" w:rsidRDefault="008A4FED" w:rsidP="004D30E9">
            <w:pPr>
              <w:spacing w:after="0"/>
              <w:rPr>
                <w:sz w:val="20"/>
                <w:szCs w:val="20"/>
              </w:rPr>
            </w:pPr>
          </w:p>
        </w:tc>
        <w:tc>
          <w:tcPr>
            <w:tcW w:w="937" w:type="pct"/>
            <w:tcBorders>
              <w:top w:val="single" w:sz="4" w:space="0" w:color="auto"/>
              <w:left w:val="nil"/>
              <w:bottom w:val="nil"/>
              <w:right w:val="nil"/>
            </w:tcBorders>
            <w:shd w:val="clear" w:color="auto" w:fill="auto"/>
            <w:noWrap/>
            <w:vAlign w:val="center"/>
          </w:tcPr>
          <w:p w14:paraId="13F25B7B" w14:textId="18690485" w:rsidR="008A4FED" w:rsidRPr="00666914" w:rsidRDefault="008A4FED" w:rsidP="004D30E9">
            <w:pPr>
              <w:spacing w:after="0"/>
              <w:ind w:left="20" w:hanging="34"/>
              <w:jc w:val="right"/>
              <w:rPr>
                <w:i/>
                <w:sz w:val="18"/>
                <w:szCs w:val="18"/>
              </w:rPr>
            </w:pPr>
            <w:r w:rsidRPr="00666914">
              <w:rPr>
                <w:i/>
                <w:sz w:val="18"/>
                <w:szCs w:val="18"/>
              </w:rPr>
              <w:t>Zdroj: IJ</w:t>
            </w:r>
            <w:r w:rsidR="00D02233">
              <w:rPr>
                <w:i/>
                <w:sz w:val="18"/>
                <w:szCs w:val="18"/>
              </w:rPr>
              <w:t xml:space="preserve"> ÚV SR</w:t>
            </w:r>
          </w:p>
        </w:tc>
      </w:tr>
    </w:tbl>
    <w:p w14:paraId="0F00CDEA" w14:textId="77777777" w:rsidR="008A4FED" w:rsidRPr="00666914" w:rsidRDefault="008A4FED" w:rsidP="004D30E9">
      <w:pPr>
        <w:spacing w:after="0"/>
        <w:rPr>
          <w:color w:val="808080" w:themeColor="background1" w:themeShade="80"/>
        </w:rPr>
      </w:pPr>
      <w:bookmarkStart w:id="29" w:name="_Toc20209180"/>
    </w:p>
    <w:p w14:paraId="2CE853D0" w14:textId="77777777" w:rsidR="008A4FED" w:rsidRPr="00666914" w:rsidRDefault="008A4FED" w:rsidP="004D30E9">
      <w:pPr>
        <w:spacing w:after="0"/>
        <w:rPr>
          <w:color w:val="808080" w:themeColor="background1" w:themeShade="80"/>
        </w:rPr>
      </w:pPr>
      <w:r w:rsidRPr="00666914">
        <w:rPr>
          <w:color w:val="808080" w:themeColor="background1" w:themeShade="80"/>
        </w:rPr>
        <w:t xml:space="preserve"> </w:t>
      </w:r>
    </w:p>
    <w:bookmarkStart w:id="30" w:name="_Toc36547024"/>
    <w:bookmarkStart w:id="31" w:name="_Toc38447665"/>
    <w:p w14:paraId="67E4292D" w14:textId="32E46796" w:rsidR="008A4FED" w:rsidRPr="00666914" w:rsidRDefault="008A4FED" w:rsidP="004D30E9">
      <w:pPr>
        <w:spacing w:after="0"/>
        <w:rPr>
          <w:b/>
          <w:sz w:val="20"/>
          <w:szCs w:val="20"/>
        </w:rPr>
      </w:pPr>
      <w:r w:rsidRPr="00666914">
        <w:rPr>
          <w:b/>
          <w:noProof/>
          <w:color w:val="808080" w:themeColor="background1" w:themeShade="80"/>
          <w:lang w:eastAsia="sk-SK"/>
        </w:rPr>
        <mc:AlternateContent>
          <mc:Choice Requires="wps">
            <w:drawing>
              <wp:anchor distT="0" distB="0" distL="114300" distR="114300" simplePos="0" relativeHeight="251696128" behindDoc="0" locked="0" layoutInCell="1" allowOverlap="1" wp14:anchorId="6A49B845" wp14:editId="292F175E">
                <wp:simplePos x="0" y="0"/>
                <wp:positionH relativeFrom="margin">
                  <wp:posOffset>34290</wp:posOffset>
                </wp:positionH>
                <wp:positionV relativeFrom="paragraph">
                  <wp:posOffset>98425</wp:posOffset>
                </wp:positionV>
                <wp:extent cx="5737860" cy="1745615"/>
                <wp:effectExtent l="0" t="0" r="15240" b="26035"/>
                <wp:wrapThrough wrapText="bothSides">
                  <wp:wrapPolygon edited="0">
                    <wp:start x="0" y="0"/>
                    <wp:lineTo x="0" y="21686"/>
                    <wp:lineTo x="21586" y="21686"/>
                    <wp:lineTo x="21586" y="0"/>
                    <wp:lineTo x="0" y="0"/>
                  </wp:wrapPolygon>
                </wp:wrapThrough>
                <wp:docPr id="7" name="Textové pole 7"/>
                <wp:cNvGraphicFramePr/>
                <a:graphic xmlns:a="http://schemas.openxmlformats.org/drawingml/2006/main">
                  <a:graphicData uri="http://schemas.microsoft.com/office/word/2010/wordprocessingShape">
                    <wps:wsp>
                      <wps:cNvSpPr txBox="1"/>
                      <wps:spPr>
                        <a:xfrm>
                          <a:off x="0" y="0"/>
                          <a:ext cx="5737860" cy="1745615"/>
                        </a:xfrm>
                        <a:prstGeom prst="rect">
                          <a:avLst/>
                        </a:prstGeom>
                        <a:solidFill>
                          <a:srgbClr val="0070C0"/>
                        </a:solidFill>
                        <a:ln w="12700" cap="flat" cmpd="sng" algn="ctr">
                          <a:solidFill>
                            <a:srgbClr val="4472C4"/>
                          </a:solidFill>
                          <a:prstDash val="solid"/>
                          <a:miter lim="800000"/>
                        </a:ln>
                        <a:effectLst/>
                      </wps:spPr>
                      <wps:txbx>
                        <w:txbxContent>
                          <w:p w14:paraId="1303A52B" w14:textId="77777777" w:rsidR="006C0687" w:rsidRDefault="006C0687" w:rsidP="004D30E9">
                            <w:pPr>
                              <w:jc w:val="left"/>
                              <w:rPr>
                                <w:b/>
                                <w:color w:val="FFFFFF" w:themeColor="background1"/>
                                <w:u w:val="single"/>
                              </w:rPr>
                            </w:pPr>
                            <w:r w:rsidRPr="00F8144C">
                              <w:rPr>
                                <w:b/>
                                <w:color w:val="FFFFFF" w:themeColor="background1"/>
                                <w:u w:val="single"/>
                              </w:rPr>
                              <w:t xml:space="preserve">Hlavné odporúčania IJ </w:t>
                            </w:r>
                            <w:r>
                              <w:rPr>
                                <w:b/>
                                <w:color w:val="FFFFFF" w:themeColor="background1"/>
                                <w:u w:val="single"/>
                              </w:rPr>
                              <w:t xml:space="preserve">ÚV SR </w:t>
                            </w:r>
                            <w:r w:rsidRPr="00F8144C">
                              <w:rPr>
                                <w:b/>
                                <w:color w:val="FFFFFF" w:themeColor="background1"/>
                                <w:u w:val="single"/>
                              </w:rPr>
                              <w:t xml:space="preserve">pre MZ SR </w:t>
                            </w:r>
                            <w:r w:rsidRPr="008E014A">
                              <w:rPr>
                                <w:b/>
                                <w:color w:val="FFFFFF" w:themeColor="background1"/>
                                <w:u w:val="single"/>
                              </w:rPr>
                              <w:t xml:space="preserve">do </w:t>
                            </w:r>
                            <w:r>
                              <w:rPr>
                                <w:b/>
                                <w:color w:val="FFFFFF" w:themeColor="background1"/>
                                <w:u w:val="single"/>
                              </w:rPr>
                              <w:t>31.12.2020</w:t>
                            </w:r>
                            <w:r w:rsidRPr="00F8144C">
                              <w:rPr>
                                <w:b/>
                                <w:color w:val="FFFFFF" w:themeColor="background1"/>
                                <w:u w:val="single"/>
                              </w:rPr>
                              <w:t>:</w:t>
                            </w:r>
                          </w:p>
                          <w:p w14:paraId="0DE4223D" w14:textId="77777777" w:rsidR="006C0687" w:rsidRDefault="006C0687" w:rsidP="008A4FED">
                            <w:pPr>
                              <w:pStyle w:val="Odsekzoznamu"/>
                              <w:numPr>
                                <w:ilvl w:val="0"/>
                                <w:numId w:val="29"/>
                              </w:numPr>
                              <w:jc w:val="left"/>
                              <w:rPr>
                                <w:color w:val="FFFFFF" w:themeColor="background1"/>
                              </w:rPr>
                            </w:pPr>
                            <w:r>
                              <w:rPr>
                                <w:color w:val="FFFFFF" w:themeColor="background1"/>
                              </w:rPr>
                              <w:t>Prijať legislatívu nevyhnutnú pre projekt stratifikácie</w:t>
                            </w:r>
                          </w:p>
                          <w:p w14:paraId="040239CF" w14:textId="77777777" w:rsidR="006C0687" w:rsidRPr="00720250" w:rsidRDefault="006C0687" w:rsidP="008A4FED">
                            <w:pPr>
                              <w:pStyle w:val="Odsekzoznamu"/>
                              <w:numPr>
                                <w:ilvl w:val="0"/>
                                <w:numId w:val="29"/>
                              </w:numPr>
                              <w:jc w:val="left"/>
                              <w:rPr>
                                <w:color w:val="FFFFFF" w:themeColor="background1"/>
                              </w:rPr>
                            </w:pPr>
                            <w:r w:rsidRPr="006D4C52">
                              <w:rPr>
                                <w:color w:val="FFFFFF" w:themeColor="background1"/>
                              </w:rPr>
                              <w:t>Realizovať výkonnostné analýzy nemocníc v zriaďovateľskej pôsobnosti MZ SR s ohľadom na proces stratifikácie</w:t>
                            </w:r>
                          </w:p>
                          <w:p w14:paraId="64705DCA" w14:textId="77777777" w:rsidR="006C0687" w:rsidRPr="00720250" w:rsidRDefault="006C0687" w:rsidP="008A4FED">
                            <w:pPr>
                              <w:pStyle w:val="Odsekzoznamu"/>
                              <w:numPr>
                                <w:ilvl w:val="0"/>
                                <w:numId w:val="29"/>
                              </w:numPr>
                              <w:jc w:val="left"/>
                              <w:rPr>
                                <w:color w:val="FFFFFF" w:themeColor="background1"/>
                              </w:rPr>
                            </w:pPr>
                            <w:r w:rsidRPr="00674C42">
                              <w:rPr>
                                <w:color w:val="FFFFFF" w:themeColor="background1"/>
                              </w:rPr>
                              <w:t>Napĺňať opatrenia Revízie výdavkov na zdravotníctvo II</w:t>
                            </w:r>
                            <w:r>
                              <w:rPr>
                                <w:color w:val="FFFFFF" w:themeColor="background1"/>
                              </w:rPr>
                              <w:t>.</w:t>
                            </w:r>
                          </w:p>
                          <w:p w14:paraId="45CAF2F0" w14:textId="77777777" w:rsidR="006C0687" w:rsidRDefault="006C0687" w:rsidP="008A4FED">
                            <w:pPr>
                              <w:pStyle w:val="Odsekzoznamu"/>
                              <w:numPr>
                                <w:ilvl w:val="0"/>
                                <w:numId w:val="29"/>
                              </w:numPr>
                              <w:jc w:val="left"/>
                              <w:rPr>
                                <w:color w:val="FFFFFF" w:themeColor="background1"/>
                              </w:rPr>
                            </w:pPr>
                            <w:r w:rsidRPr="00674C42">
                              <w:rPr>
                                <w:color w:val="FFFFFF" w:themeColor="background1"/>
                              </w:rPr>
                              <w:t>Sledovať dodržiavanie Implementačného plánu VšZP</w:t>
                            </w:r>
                          </w:p>
                          <w:p w14:paraId="15D6B1E3" w14:textId="77777777" w:rsidR="006C0687" w:rsidRDefault="006C0687" w:rsidP="008A4FED">
                            <w:pPr>
                              <w:pStyle w:val="Odsekzoznamu"/>
                              <w:numPr>
                                <w:ilvl w:val="0"/>
                                <w:numId w:val="29"/>
                              </w:numPr>
                              <w:jc w:val="left"/>
                              <w:rPr>
                                <w:color w:val="FFFFFF" w:themeColor="background1"/>
                              </w:rPr>
                            </w:pPr>
                            <w:r w:rsidRPr="00BA1150">
                              <w:rPr>
                                <w:color w:val="FFFFFF" w:themeColor="background1"/>
                              </w:rPr>
                              <w:t>Benchmarkovať ceny nemedicínskych služieb v nemocniciach v zriaďovateľskej pôsobnosti MZ SR</w:t>
                            </w:r>
                          </w:p>
                          <w:p w14:paraId="68731CFE" w14:textId="77777777" w:rsidR="006C0687" w:rsidRPr="006D4C52" w:rsidRDefault="006C0687" w:rsidP="008A4FED">
                            <w:pPr>
                              <w:pStyle w:val="Odsekzoznamu"/>
                              <w:numPr>
                                <w:ilvl w:val="0"/>
                                <w:numId w:val="29"/>
                              </w:numPr>
                              <w:jc w:val="left"/>
                              <w:rPr>
                                <w:color w:val="FFFFFF" w:themeColor="background1"/>
                              </w:rPr>
                            </w:pPr>
                            <w:r>
                              <w:rPr>
                                <w:color w:val="FFFFFF" w:themeColor="background1"/>
                              </w:rPr>
                              <w:t xml:space="preserve">Kontrolovať dodržanie záväzku ZP </w:t>
                            </w:r>
                            <w:r w:rsidRPr="00B90A25">
                              <w:rPr>
                                <w:color w:val="FFFFFF" w:themeColor="background1"/>
                              </w:rPr>
                              <w:t>znížiť prostriedky na lieky uhrádzané na výnimky o 16 mil. eur</w:t>
                            </w:r>
                            <w:r>
                              <w:rPr>
                                <w:color w:val="FFFFFF" w:themeColor="background1"/>
                              </w:rPr>
                              <w:t xml:space="preserve"> </w:t>
                            </w:r>
                            <w:r w:rsidRPr="00B90A25">
                              <w:rPr>
                                <w:color w:val="FFFFFF" w:themeColor="background1"/>
                              </w:rPr>
                              <w:t>ročne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6A49B845" id="_x0000_t202" coordsize="21600,21600" o:spt="202" path="m,l,21600r21600,l21600,xe">
                <v:stroke joinstyle="miter"/>
                <v:path gradientshapeok="t" o:connecttype="rect"/>
              </v:shapetype>
              <v:shape id="Textové pole 7" o:spid="_x0000_s1027" type="#_x0000_t202" style="position:absolute;left:0;text-align:left;margin-left:2.7pt;margin-top:7.75pt;width:451.8pt;height:137.4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" fillcolor="#0070c0" strokecolor="#4472c4" strokeweight="1pt">
                <v:textbox>
                  <w:txbxContent>
                    <w:p w14:paraId="1303A52B" w14:textId="77777777" w:rsidR="006C0687" w:rsidRDefault="006C0687" w:rsidP="004D30E9">
                      <w:pPr>
                        <w:jc w:val="left"/>
                        <w:rPr>
                          <w:b/>
                          <w:color w:val="FFFFFF" w:themeColor="background1"/>
                          <w:u w:val="single"/>
                        </w:rPr>
                      </w:pPr>
                      <w:r w:rsidRPr="00F8144C">
                        <w:rPr>
                          <w:b/>
                          <w:color w:val="FFFFFF" w:themeColor="background1"/>
                          <w:u w:val="single"/>
                        </w:rPr>
                        <w:t xml:space="preserve">Hlavné odporúčania IJ </w:t>
                      </w:r>
                      <w:r>
                        <w:rPr>
                          <w:b/>
                          <w:color w:val="FFFFFF" w:themeColor="background1"/>
                          <w:u w:val="single"/>
                        </w:rPr>
                        <w:t xml:space="preserve">ÚV SR </w:t>
                      </w:r>
                      <w:r w:rsidRPr="00F8144C">
                        <w:rPr>
                          <w:b/>
                          <w:color w:val="FFFFFF" w:themeColor="background1"/>
                          <w:u w:val="single"/>
                        </w:rPr>
                        <w:t xml:space="preserve">pre MZ SR </w:t>
                      </w:r>
                      <w:r w:rsidRPr="008E014A">
                        <w:rPr>
                          <w:b/>
                          <w:color w:val="FFFFFF" w:themeColor="background1"/>
                          <w:u w:val="single"/>
                        </w:rPr>
                        <w:t xml:space="preserve">do </w:t>
                      </w:r>
                      <w:r>
                        <w:rPr>
                          <w:b/>
                          <w:color w:val="FFFFFF" w:themeColor="background1"/>
                          <w:u w:val="single"/>
                        </w:rPr>
                        <w:t>31.12.2020</w:t>
                      </w:r>
                      <w:r w:rsidRPr="00F8144C">
                        <w:rPr>
                          <w:b/>
                          <w:color w:val="FFFFFF" w:themeColor="background1"/>
                          <w:u w:val="single"/>
                        </w:rPr>
                        <w:t>:</w:t>
                      </w:r>
                    </w:p>
                    <w:p w14:paraId="0DE4223D" w14:textId="77777777" w:rsidR="006C0687" w:rsidRDefault="006C0687" w:rsidP="008A4FED">
                      <w:pPr>
                        <w:pStyle w:val="Odsekzoznamu"/>
                        <w:numPr>
                          <w:ilvl w:val="0"/>
                          <w:numId w:val="29"/>
                        </w:numPr>
                        <w:jc w:val="left"/>
                        <w:rPr>
                          <w:color w:val="FFFFFF" w:themeColor="background1"/>
                        </w:rPr>
                      </w:pPr>
                      <w:r>
                        <w:rPr>
                          <w:color w:val="FFFFFF" w:themeColor="background1"/>
                        </w:rPr>
                        <w:t>Prijať legislatívu nevyhnutnú pre projekt stratifikácie</w:t>
                      </w:r>
                    </w:p>
                    <w:p w14:paraId="040239CF" w14:textId="77777777" w:rsidR="006C0687" w:rsidRPr="00720250" w:rsidRDefault="006C0687" w:rsidP="008A4FED">
                      <w:pPr>
                        <w:pStyle w:val="Odsekzoznamu"/>
                        <w:numPr>
                          <w:ilvl w:val="0"/>
                          <w:numId w:val="29"/>
                        </w:numPr>
                        <w:jc w:val="left"/>
                        <w:rPr>
                          <w:color w:val="FFFFFF" w:themeColor="background1"/>
                        </w:rPr>
                      </w:pPr>
                      <w:r w:rsidRPr="006D4C52">
                        <w:rPr>
                          <w:color w:val="FFFFFF" w:themeColor="background1"/>
                        </w:rPr>
                        <w:t>Realizovať výkonnostné analýzy nemocníc v zriaďovateľskej pôsobnosti MZ SR s ohľadom na proces stratifikácie</w:t>
                      </w:r>
                    </w:p>
                    <w:p w14:paraId="64705DCA" w14:textId="77777777" w:rsidR="006C0687" w:rsidRPr="00720250" w:rsidRDefault="006C0687" w:rsidP="008A4FED">
                      <w:pPr>
                        <w:pStyle w:val="Odsekzoznamu"/>
                        <w:numPr>
                          <w:ilvl w:val="0"/>
                          <w:numId w:val="29"/>
                        </w:numPr>
                        <w:jc w:val="left"/>
                        <w:rPr>
                          <w:color w:val="FFFFFF" w:themeColor="background1"/>
                        </w:rPr>
                      </w:pPr>
                      <w:r w:rsidRPr="00674C42">
                        <w:rPr>
                          <w:color w:val="FFFFFF" w:themeColor="background1"/>
                        </w:rPr>
                        <w:t>Napĺňať opatrenia Revízie výdavkov na zdravotníctvo II</w:t>
                      </w:r>
                      <w:r>
                        <w:rPr>
                          <w:color w:val="FFFFFF" w:themeColor="background1"/>
                        </w:rPr>
                        <w:t>.</w:t>
                      </w:r>
                    </w:p>
                    <w:p w14:paraId="45CAF2F0" w14:textId="77777777" w:rsidR="006C0687" w:rsidRDefault="006C0687" w:rsidP="008A4FED">
                      <w:pPr>
                        <w:pStyle w:val="Odsekzoznamu"/>
                        <w:numPr>
                          <w:ilvl w:val="0"/>
                          <w:numId w:val="29"/>
                        </w:numPr>
                        <w:jc w:val="left"/>
                        <w:rPr>
                          <w:color w:val="FFFFFF" w:themeColor="background1"/>
                        </w:rPr>
                      </w:pPr>
                      <w:r w:rsidRPr="00674C42">
                        <w:rPr>
                          <w:color w:val="FFFFFF" w:themeColor="background1"/>
                        </w:rPr>
                        <w:t>Sledovať dodržiavanie Implementačného plánu VšZP</w:t>
                      </w:r>
                    </w:p>
                    <w:p w14:paraId="15D6B1E3" w14:textId="77777777" w:rsidR="006C0687" w:rsidRDefault="006C0687" w:rsidP="008A4FED">
                      <w:pPr>
                        <w:pStyle w:val="Odsekzoznamu"/>
                        <w:numPr>
                          <w:ilvl w:val="0"/>
                          <w:numId w:val="29"/>
                        </w:numPr>
                        <w:jc w:val="left"/>
                        <w:rPr>
                          <w:color w:val="FFFFFF" w:themeColor="background1"/>
                        </w:rPr>
                      </w:pPr>
                      <w:r w:rsidRPr="00BA1150">
                        <w:rPr>
                          <w:color w:val="FFFFFF" w:themeColor="background1"/>
                        </w:rPr>
                        <w:t>Benchmarkovať ceny nemedicínskych služieb v nemocniciach v zriaďovateľskej pôsobnosti MZ SR</w:t>
                      </w:r>
                    </w:p>
                    <w:p w14:paraId="68731CFE" w14:textId="77777777" w:rsidR="006C0687" w:rsidRPr="006D4C52" w:rsidRDefault="006C0687" w:rsidP="008A4FED">
                      <w:pPr>
                        <w:pStyle w:val="Odsekzoznamu"/>
                        <w:numPr>
                          <w:ilvl w:val="0"/>
                          <w:numId w:val="29"/>
                        </w:numPr>
                        <w:jc w:val="left"/>
                        <w:rPr>
                          <w:color w:val="FFFFFF" w:themeColor="background1"/>
                        </w:rPr>
                      </w:pPr>
                      <w:r>
                        <w:rPr>
                          <w:color w:val="FFFFFF" w:themeColor="background1"/>
                        </w:rPr>
                        <w:t xml:space="preserve">Kontrolovať dodržanie záväzku ZP </w:t>
                      </w:r>
                      <w:r w:rsidRPr="00B90A25">
                        <w:rPr>
                          <w:color w:val="FFFFFF" w:themeColor="background1"/>
                        </w:rPr>
                        <w:t>znížiť prostriedky na lieky uhrádzané na výnimky o 16 mil. eur</w:t>
                      </w:r>
                      <w:r>
                        <w:rPr>
                          <w:color w:val="FFFFFF" w:themeColor="background1"/>
                        </w:rPr>
                        <w:t xml:space="preserve"> </w:t>
                      </w:r>
                      <w:r w:rsidRPr="00B90A25">
                        <w:rPr>
                          <w:color w:val="FFFFFF" w:themeColor="background1"/>
                        </w:rPr>
                        <w:t>ročne</w:t>
                      </w:r>
                    </w:p>
                  </w:txbxContent>
                </v:textbox>
                <w10:wrap type="through" anchorx="margin"/>
              </v:shape>
            </w:pict>
          </mc:Fallback>
        </mc:AlternateContent>
      </w:r>
      <w:r w:rsidRPr="00666914">
        <w:rPr>
          <w:color w:val="808080" w:themeColor="background1" w:themeShade="80"/>
        </w:rPr>
        <w:br w:type="page"/>
      </w:r>
      <w:bookmarkStart w:id="32" w:name="_Toc517699194"/>
      <w:bookmarkStart w:id="33" w:name="_Toc5636405"/>
      <w:r w:rsidRPr="00666914">
        <w:rPr>
          <w:rStyle w:val="tabulkaChar"/>
          <w:sz w:val="20"/>
        </w:rPr>
        <w:lastRenderedPageBreak/>
        <w:t xml:space="preserve">Tabuľka </w:t>
      </w:r>
      <w:r w:rsidRPr="00666914">
        <w:rPr>
          <w:rStyle w:val="tabulkaChar"/>
          <w:sz w:val="20"/>
        </w:rPr>
        <w:fldChar w:fldCharType="begin"/>
      </w:r>
      <w:r w:rsidRPr="00666914">
        <w:rPr>
          <w:rStyle w:val="tabulkaChar"/>
          <w:sz w:val="20"/>
        </w:rPr>
        <w:instrText xml:space="preserve"> SEQ Tabuľka \* ARABIC </w:instrText>
      </w:r>
      <w:r w:rsidRPr="00666914">
        <w:rPr>
          <w:rStyle w:val="tabulkaChar"/>
          <w:sz w:val="20"/>
        </w:rPr>
        <w:fldChar w:fldCharType="separate"/>
      </w:r>
      <w:r w:rsidR="005A7304">
        <w:rPr>
          <w:rStyle w:val="tabulkaChar"/>
          <w:noProof/>
          <w:sz w:val="20"/>
        </w:rPr>
        <w:t>4</w:t>
      </w:r>
      <w:r w:rsidRPr="00666914">
        <w:rPr>
          <w:rStyle w:val="tabulkaChar"/>
          <w:sz w:val="20"/>
        </w:rPr>
        <w:fldChar w:fldCharType="end"/>
      </w:r>
      <w:r w:rsidRPr="00666914">
        <w:rPr>
          <w:rStyle w:val="tabulkaChar"/>
          <w:sz w:val="20"/>
        </w:rPr>
        <w:t>: Plnenie</w:t>
      </w:r>
      <w:r w:rsidRPr="00666914">
        <w:rPr>
          <w:b/>
          <w:sz w:val="18"/>
          <w:szCs w:val="20"/>
        </w:rPr>
        <w:t xml:space="preserve"> </w:t>
      </w:r>
      <w:r w:rsidRPr="00666914">
        <w:rPr>
          <w:b/>
          <w:sz w:val="20"/>
          <w:szCs w:val="20"/>
        </w:rPr>
        <w:t>opatrení Revízie výdavkov na zdravotníctvo v roku 201</w:t>
      </w:r>
      <w:bookmarkEnd w:id="32"/>
      <w:bookmarkEnd w:id="33"/>
      <w:r w:rsidRPr="00666914">
        <w:rPr>
          <w:b/>
          <w:sz w:val="20"/>
          <w:szCs w:val="20"/>
        </w:rPr>
        <w:t>9</w:t>
      </w:r>
      <w:bookmarkEnd w:id="29"/>
      <w:bookmarkEnd w:id="30"/>
      <w:bookmarkEnd w:id="31"/>
    </w:p>
    <w:tbl>
      <w:tblPr>
        <w:tblW w:w="5344" w:type="pct"/>
        <w:tblInd w:w="-152" w:type="dxa"/>
        <w:tblLayout w:type="fixed"/>
        <w:tblCellMar>
          <w:left w:w="70" w:type="dxa"/>
          <w:right w:w="70" w:type="dxa"/>
        </w:tblCellMar>
        <w:tblLook w:val="04A0" w:firstRow="1" w:lastRow="0" w:firstColumn="1" w:lastColumn="0" w:noHBand="0" w:noVBand="1"/>
      </w:tblPr>
      <w:tblGrid>
        <w:gridCol w:w="410"/>
        <w:gridCol w:w="748"/>
        <w:gridCol w:w="3077"/>
        <w:gridCol w:w="1446"/>
        <w:gridCol w:w="1011"/>
        <w:gridCol w:w="1017"/>
        <w:gridCol w:w="541"/>
        <w:gridCol w:w="535"/>
        <w:gridCol w:w="535"/>
        <w:gridCol w:w="517"/>
      </w:tblGrid>
      <w:tr w:rsidR="008A4FED" w:rsidRPr="00666914" w14:paraId="468577AC" w14:textId="77777777" w:rsidTr="002E71E9">
        <w:trPr>
          <w:trHeight w:val="316"/>
          <w:tblHeader/>
        </w:trPr>
        <w:tc>
          <w:tcPr>
            <w:tcW w:w="208"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370CA2A7" w14:textId="77777777" w:rsidR="008A4FED" w:rsidRPr="00666914" w:rsidRDefault="008A4FED" w:rsidP="004D30E9">
            <w:pPr>
              <w:spacing w:after="0"/>
              <w:jc w:val="center"/>
              <w:rPr>
                <w:rFonts w:eastAsia="Times New Roman"/>
                <w:b/>
                <w:bCs/>
                <w:color w:val="000000"/>
                <w:sz w:val="20"/>
                <w:szCs w:val="20"/>
                <w:lang w:eastAsia="sk-SK"/>
              </w:rPr>
            </w:pPr>
            <w:bookmarkStart w:id="34" w:name="_Hlk524350026"/>
          </w:p>
        </w:tc>
        <w:tc>
          <w:tcPr>
            <w:tcW w:w="380" w:type="pct"/>
            <w:tcBorders>
              <w:top w:val="single" w:sz="4" w:space="0" w:color="auto"/>
              <w:left w:val="nil"/>
              <w:bottom w:val="single" w:sz="8" w:space="0" w:color="auto"/>
              <w:right w:val="single" w:sz="4" w:space="0" w:color="auto"/>
            </w:tcBorders>
            <w:vAlign w:val="center"/>
          </w:tcPr>
          <w:p w14:paraId="7AC8AB71"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Revízia</w:t>
            </w:r>
          </w:p>
        </w:tc>
        <w:tc>
          <w:tcPr>
            <w:tcW w:w="1564"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7F6618E4"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ZDRAVOTNÍCTVO</w:t>
            </w:r>
          </w:p>
        </w:tc>
        <w:tc>
          <w:tcPr>
            <w:tcW w:w="735" w:type="pct"/>
            <w:tcBorders>
              <w:top w:val="single" w:sz="4" w:space="0" w:color="auto"/>
              <w:left w:val="nil"/>
              <w:bottom w:val="single" w:sz="8" w:space="0" w:color="auto"/>
              <w:right w:val="single" w:sz="4" w:space="0" w:color="auto"/>
            </w:tcBorders>
            <w:shd w:val="clear" w:color="auto" w:fill="auto"/>
            <w:noWrap/>
            <w:vAlign w:val="center"/>
            <w:hideMark/>
          </w:tcPr>
          <w:p w14:paraId="0AD5D300"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Zodpovednosť</w:t>
            </w:r>
          </w:p>
        </w:tc>
        <w:tc>
          <w:tcPr>
            <w:tcW w:w="514" w:type="pct"/>
            <w:tcBorders>
              <w:top w:val="single" w:sz="4" w:space="0" w:color="auto"/>
              <w:left w:val="nil"/>
              <w:bottom w:val="single" w:sz="8" w:space="0" w:color="auto"/>
              <w:right w:val="single" w:sz="4" w:space="0" w:color="auto"/>
            </w:tcBorders>
            <w:shd w:val="clear" w:color="auto" w:fill="auto"/>
            <w:noWrap/>
            <w:vAlign w:val="center"/>
            <w:hideMark/>
          </w:tcPr>
          <w:p w14:paraId="480C5754"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Pôvodný termín</w:t>
            </w:r>
          </w:p>
        </w:tc>
        <w:tc>
          <w:tcPr>
            <w:tcW w:w="517" w:type="pct"/>
            <w:tcBorders>
              <w:top w:val="single" w:sz="4" w:space="0" w:color="auto"/>
              <w:left w:val="nil"/>
              <w:bottom w:val="single" w:sz="8" w:space="0" w:color="auto"/>
              <w:right w:val="single" w:sz="4" w:space="0" w:color="auto"/>
            </w:tcBorders>
            <w:shd w:val="clear" w:color="auto" w:fill="auto"/>
            <w:noWrap/>
            <w:vAlign w:val="center"/>
            <w:hideMark/>
          </w:tcPr>
          <w:p w14:paraId="1C7F116D" w14:textId="77777777" w:rsidR="008A4FED" w:rsidRPr="00666914" w:rsidRDefault="008A4FED" w:rsidP="004D30E9">
            <w:pPr>
              <w:spacing w:after="0"/>
              <w:jc w:val="center"/>
              <w:rPr>
                <w:rFonts w:eastAsia="Times New Roman"/>
                <w:b/>
                <w:bCs/>
                <w:color w:val="000000"/>
                <w:sz w:val="20"/>
                <w:szCs w:val="20"/>
                <w:highlight w:val="yellow"/>
                <w:lang w:eastAsia="sk-SK"/>
              </w:rPr>
            </w:pPr>
            <w:r w:rsidRPr="00666914">
              <w:rPr>
                <w:rFonts w:eastAsia="Times New Roman"/>
                <w:b/>
                <w:bCs/>
                <w:color w:val="000000"/>
                <w:sz w:val="20"/>
                <w:szCs w:val="20"/>
                <w:lang w:eastAsia="sk-SK"/>
              </w:rPr>
              <w:t>Nový termín</w:t>
            </w:r>
            <w:r w:rsidRPr="00666914">
              <w:rPr>
                <w:rFonts w:eastAsia="Times New Roman"/>
                <w:b/>
                <w:bCs/>
                <w:color w:val="000000"/>
                <w:sz w:val="20"/>
                <w:szCs w:val="20"/>
                <w:vertAlign w:val="superscript"/>
                <w:lang w:eastAsia="sk-SK"/>
              </w:rPr>
              <w:footnoteReference w:id="10"/>
            </w:r>
          </w:p>
        </w:tc>
        <w:tc>
          <w:tcPr>
            <w:tcW w:w="275" w:type="pct"/>
            <w:tcBorders>
              <w:top w:val="single" w:sz="4" w:space="0" w:color="auto"/>
              <w:left w:val="nil"/>
              <w:bottom w:val="single" w:sz="8" w:space="0" w:color="auto"/>
              <w:right w:val="single" w:sz="4" w:space="0" w:color="auto"/>
            </w:tcBorders>
            <w:shd w:val="clear" w:color="auto" w:fill="auto"/>
            <w:noWrap/>
            <w:vAlign w:val="center"/>
            <w:hideMark/>
          </w:tcPr>
          <w:p w14:paraId="51CC4941"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1Q 2019</w:t>
            </w:r>
          </w:p>
        </w:tc>
        <w:tc>
          <w:tcPr>
            <w:tcW w:w="272" w:type="pct"/>
            <w:tcBorders>
              <w:top w:val="single" w:sz="4" w:space="0" w:color="auto"/>
              <w:left w:val="nil"/>
              <w:bottom w:val="single" w:sz="8" w:space="0" w:color="auto"/>
              <w:right w:val="single" w:sz="4" w:space="0" w:color="auto"/>
            </w:tcBorders>
            <w:shd w:val="clear" w:color="auto" w:fill="auto"/>
            <w:noWrap/>
            <w:vAlign w:val="center"/>
            <w:hideMark/>
          </w:tcPr>
          <w:p w14:paraId="25232778"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2Q 2019</w:t>
            </w:r>
          </w:p>
        </w:tc>
        <w:tc>
          <w:tcPr>
            <w:tcW w:w="272" w:type="pct"/>
            <w:tcBorders>
              <w:top w:val="single" w:sz="4" w:space="0" w:color="auto"/>
              <w:left w:val="nil"/>
              <w:bottom w:val="single" w:sz="8" w:space="0" w:color="auto"/>
              <w:right w:val="single" w:sz="4" w:space="0" w:color="auto"/>
            </w:tcBorders>
            <w:shd w:val="clear" w:color="auto" w:fill="auto"/>
            <w:noWrap/>
            <w:vAlign w:val="center"/>
            <w:hideMark/>
          </w:tcPr>
          <w:p w14:paraId="50ADECCD"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3Q 2019</w:t>
            </w:r>
          </w:p>
        </w:tc>
        <w:tc>
          <w:tcPr>
            <w:tcW w:w="263" w:type="pct"/>
            <w:tcBorders>
              <w:top w:val="single" w:sz="4" w:space="0" w:color="auto"/>
              <w:left w:val="nil"/>
              <w:bottom w:val="single" w:sz="8" w:space="0" w:color="auto"/>
              <w:right w:val="single" w:sz="4" w:space="0" w:color="auto"/>
            </w:tcBorders>
            <w:shd w:val="clear" w:color="auto" w:fill="auto"/>
            <w:noWrap/>
            <w:vAlign w:val="center"/>
            <w:hideMark/>
          </w:tcPr>
          <w:p w14:paraId="3B6255E1"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4Q 2019</w:t>
            </w:r>
          </w:p>
        </w:tc>
      </w:tr>
      <w:tr w:rsidR="008A4FED" w:rsidRPr="00666914" w14:paraId="6552E7A4" w14:textId="77777777" w:rsidTr="002E71E9">
        <w:trPr>
          <w:trHeight w:val="302"/>
        </w:trPr>
        <w:tc>
          <w:tcPr>
            <w:tcW w:w="5000" w:type="pct"/>
            <w:gridSpan w:val="10"/>
            <w:tcBorders>
              <w:top w:val="nil"/>
              <w:left w:val="single" w:sz="4" w:space="0" w:color="auto"/>
              <w:bottom w:val="single" w:sz="8" w:space="0" w:color="auto"/>
              <w:right w:val="single" w:sz="4" w:space="0" w:color="auto"/>
            </w:tcBorders>
            <w:shd w:val="clear" w:color="auto" w:fill="auto"/>
            <w:vAlign w:val="center"/>
          </w:tcPr>
          <w:p w14:paraId="094CE0A6" w14:textId="77777777" w:rsidR="008A4FED" w:rsidRPr="00666914" w:rsidRDefault="008A4FED" w:rsidP="004D30E9">
            <w:pPr>
              <w:spacing w:after="0"/>
              <w:jc w:val="center"/>
              <w:rPr>
                <w:rFonts w:eastAsia="Times New Roman"/>
                <w:b/>
                <w:bCs/>
                <w:color w:val="000000"/>
                <w:sz w:val="20"/>
                <w:szCs w:val="20"/>
                <w:highlight w:val="yellow"/>
                <w:lang w:eastAsia="sk-SK"/>
              </w:rPr>
            </w:pPr>
            <w:r w:rsidRPr="00666914">
              <w:rPr>
                <w:rFonts w:eastAsia="Times New Roman"/>
                <w:b/>
                <w:bCs/>
                <w:color w:val="000000"/>
                <w:sz w:val="20"/>
                <w:szCs w:val="20"/>
                <w:lang w:eastAsia="sk-SK"/>
              </w:rPr>
              <w:t>LIEKY A LIEKOVÁ POLITIKA</w:t>
            </w:r>
          </w:p>
        </w:tc>
      </w:tr>
      <w:tr w:rsidR="008A4FED" w:rsidRPr="00666914" w14:paraId="0A2D71DD" w14:textId="77777777" w:rsidTr="002E71E9">
        <w:trPr>
          <w:trHeight w:val="302"/>
        </w:trPr>
        <w:tc>
          <w:tcPr>
            <w:tcW w:w="208" w:type="pct"/>
            <w:tcBorders>
              <w:top w:val="nil"/>
              <w:left w:val="single" w:sz="4" w:space="0" w:color="auto"/>
              <w:bottom w:val="single" w:sz="4" w:space="0" w:color="auto"/>
              <w:right w:val="single" w:sz="4" w:space="0" w:color="auto"/>
            </w:tcBorders>
            <w:shd w:val="clear" w:color="auto" w:fill="auto"/>
            <w:vAlign w:val="center"/>
            <w:hideMark/>
          </w:tcPr>
          <w:p w14:paraId="388D6648" w14:textId="77777777" w:rsidR="008A4FED" w:rsidRPr="00666914" w:rsidRDefault="008A4FED" w:rsidP="004D30E9">
            <w:pPr>
              <w:spacing w:after="0"/>
              <w:jc w:val="center"/>
              <w:rPr>
                <w:rFonts w:eastAsia="Times New Roman"/>
                <w:bCs/>
                <w:color w:val="000000"/>
                <w:sz w:val="20"/>
                <w:szCs w:val="20"/>
                <w:lang w:eastAsia="sk-SK"/>
              </w:rPr>
            </w:pPr>
            <w:r w:rsidRPr="00666914">
              <w:rPr>
                <w:rFonts w:eastAsia="Times New Roman"/>
                <w:bCs/>
                <w:color w:val="000000"/>
                <w:sz w:val="20"/>
                <w:szCs w:val="20"/>
                <w:lang w:eastAsia="sk-SK"/>
              </w:rPr>
              <w:t>1</w:t>
            </w:r>
          </w:p>
        </w:tc>
        <w:tc>
          <w:tcPr>
            <w:tcW w:w="380" w:type="pct"/>
            <w:tcBorders>
              <w:top w:val="nil"/>
              <w:left w:val="single" w:sz="4" w:space="0" w:color="auto"/>
              <w:bottom w:val="single" w:sz="4" w:space="0" w:color="auto"/>
              <w:right w:val="single" w:sz="4" w:space="0" w:color="auto"/>
            </w:tcBorders>
            <w:vAlign w:val="center"/>
          </w:tcPr>
          <w:p w14:paraId="23999A9F"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II</w:t>
            </w:r>
            <w:r w:rsidRPr="00666914">
              <w:rPr>
                <w:rStyle w:val="Odkaznapoznmkupodiarou"/>
                <w:rFonts w:eastAsia="Times New Roman"/>
                <w:color w:val="000000"/>
                <w:sz w:val="20"/>
                <w:szCs w:val="20"/>
                <w:lang w:eastAsia="sk-SK"/>
              </w:rPr>
              <w:footnoteReference w:id="11"/>
            </w:r>
            <w:r w:rsidRPr="00666914">
              <w:rPr>
                <w:rFonts w:eastAsia="Times New Roman"/>
                <w:color w:val="000000"/>
                <w:sz w:val="20"/>
                <w:szCs w:val="20"/>
                <w:lang w:eastAsia="sk-SK"/>
              </w:rPr>
              <w:t>.</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56CD7DA8"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Lieky - variabilita v predpisovaní, vplyv e-preskripcie (nadspotreba)</w:t>
            </w:r>
          </w:p>
        </w:tc>
        <w:tc>
          <w:tcPr>
            <w:tcW w:w="735" w:type="pct"/>
            <w:tcBorders>
              <w:top w:val="nil"/>
              <w:left w:val="nil"/>
              <w:bottom w:val="single" w:sz="4" w:space="0" w:color="auto"/>
              <w:right w:val="single" w:sz="4" w:space="0" w:color="auto"/>
            </w:tcBorders>
            <w:shd w:val="clear" w:color="auto" w:fill="auto"/>
            <w:vAlign w:val="center"/>
            <w:hideMark/>
          </w:tcPr>
          <w:p w14:paraId="245A8334"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ZP</w:t>
            </w:r>
          </w:p>
        </w:tc>
        <w:tc>
          <w:tcPr>
            <w:tcW w:w="514" w:type="pct"/>
            <w:tcBorders>
              <w:top w:val="nil"/>
              <w:left w:val="nil"/>
              <w:bottom w:val="single" w:sz="4" w:space="0" w:color="auto"/>
              <w:right w:val="single" w:sz="4" w:space="0" w:color="auto"/>
            </w:tcBorders>
            <w:shd w:val="clear" w:color="auto" w:fill="auto"/>
            <w:vAlign w:val="center"/>
            <w:hideMark/>
          </w:tcPr>
          <w:p w14:paraId="3F682E51"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1AC5BDC2"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00B050"/>
            <w:noWrap/>
            <w:vAlign w:val="bottom"/>
            <w:hideMark/>
          </w:tcPr>
          <w:p w14:paraId="2F0D7745" w14:textId="77777777" w:rsidR="008A4FED" w:rsidRPr="00666914" w:rsidRDefault="008A4FED" w:rsidP="004D30E9">
            <w:pPr>
              <w:spacing w:after="0"/>
              <w:rPr>
                <w:rFonts w:eastAsia="Times New Roman"/>
                <w:color w:val="C00000"/>
                <w:sz w:val="20"/>
                <w:szCs w:val="20"/>
                <w:lang w:eastAsia="sk-SK"/>
              </w:rPr>
            </w:pPr>
            <w:r w:rsidRPr="00666914">
              <w:rPr>
                <w:rFonts w:eastAsia="Times New Roman"/>
                <w:color w:val="C00000"/>
                <w:sz w:val="20"/>
                <w:szCs w:val="20"/>
                <w:lang w:eastAsia="sk-SK"/>
              </w:rPr>
              <w:t> </w:t>
            </w:r>
          </w:p>
        </w:tc>
        <w:tc>
          <w:tcPr>
            <w:tcW w:w="272" w:type="pct"/>
            <w:tcBorders>
              <w:top w:val="nil"/>
              <w:left w:val="nil"/>
              <w:bottom w:val="single" w:sz="4" w:space="0" w:color="auto"/>
              <w:right w:val="single" w:sz="4" w:space="0" w:color="auto"/>
            </w:tcBorders>
            <w:shd w:val="clear" w:color="auto" w:fill="00B050"/>
            <w:noWrap/>
            <w:vAlign w:val="bottom"/>
            <w:hideMark/>
          </w:tcPr>
          <w:p w14:paraId="32A569F5" w14:textId="77777777" w:rsidR="008A4FED" w:rsidRPr="00666914" w:rsidRDefault="008A4FED" w:rsidP="004D30E9">
            <w:pPr>
              <w:spacing w:after="0"/>
              <w:rPr>
                <w:rFonts w:eastAsia="Times New Roman"/>
                <w:color w:val="FFFFFF" w:themeColor="background1"/>
                <w:sz w:val="20"/>
                <w:szCs w:val="20"/>
                <w:lang w:eastAsia="sk-SK"/>
              </w:rPr>
            </w:pPr>
            <w:r w:rsidRPr="00666914">
              <w:rPr>
                <w:rFonts w:eastAsia="Times New Roman"/>
                <w:color w:val="FFFFFF" w:themeColor="background1"/>
                <w:sz w:val="20"/>
                <w:szCs w:val="20"/>
                <w:lang w:eastAsia="sk-SK"/>
              </w:rPr>
              <w:t> </w:t>
            </w:r>
          </w:p>
        </w:tc>
        <w:tc>
          <w:tcPr>
            <w:tcW w:w="272" w:type="pct"/>
            <w:tcBorders>
              <w:top w:val="nil"/>
              <w:left w:val="nil"/>
              <w:bottom w:val="single" w:sz="4" w:space="0" w:color="auto"/>
              <w:right w:val="single" w:sz="4" w:space="0" w:color="auto"/>
            </w:tcBorders>
            <w:shd w:val="clear" w:color="auto" w:fill="00B050"/>
            <w:noWrap/>
            <w:vAlign w:val="bottom"/>
            <w:hideMark/>
          </w:tcPr>
          <w:p w14:paraId="0EDEB852" w14:textId="77777777" w:rsidR="008A4FED" w:rsidRPr="00666914" w:rsidRDefault="008A4FED" w:rsidP="004D30E9">
            <w:pPr>
              <w:spacing w:after="0"/>
              <w:rPr>
                <w:rFonts w:eastAsia="Times New Roman"/>
                <w:color w:val="C00000"/>
                <w:sz w:val="20"/>
                <w:szCs w:val="20"/>
                <w:lang w:eastAsia="sk-SK"/>
              </w:rPr>
            </w:pPr>
            <w:r w:rsidRPr="00666914">
              <w:rPr>
                <w:rFonts w:eastAsia="Times New Roman"/>
                <w:color w:val="C00000"/>
                <w:sz w:val="20"/>
                <w:szCs w:val="20"/>
                <w:lang w:eastAsia="sk-SK"/>
              </w:rPr>
              <w:t> </w:t>
            </w:r>
          </w:p>
        </w:tc>
        <w:tc>
          <w:tcPr>
            <w:tcW w:w="263" w:type="pct"/>
            <w:tcBorders>
              <w:top w:val="nil"/>
              <w:left w:val="single" w:sz="4" w:space="0" w:color="auto"/>
              <w:bottom w:val="single" w:sz="4" w:space="0" w:color="auto"/>
              <w:right w:val="single" w:sz="4" w:space="0" w:color="auto"/>
            </w:tcBorders>
            <w:shd w:val="clear" w:color="auto" w:fill="00B050"/>
            <w:noWrap/>
            <w:vAlign w:val="bottom"/>
            <w:hideMark/>
          </w:tcPr>
          <w:p w14:paraId="1151CCE0" w14:textId="77777777" w:rsidR="008A4FED" w:rsidRPr="00666914" w:rsidRDefault="008A4FED" w:rsidP="004D30E9">
            <w:pPr>
              <w:spacing w:after="0"/>
              <w:rPr>
                <w:rFonts w:eastAsia="Times New Roman"/>
                <w:color w:val="C00000"/>
                <w:sz w:val="20"/>
                <w:szCs w:val="20"/>
                <w:lang w:eastAsia="sk-SK"/>
              </w:rPr>
            </w:pPr>
            <w:r w:rsidRPr="00666914">
              <w:rPr>
                <w:rFonts w:eastAsia="Times New Roman"/>
                <w:color w:val="C00000"/>
                <w:sz w:val="20"/>
                <w:szCs w:val="20"/>
                <w:lang w:eastAsia="sk-SK"/>
              </w:rPr>
              <w:t> </w:t>
            </w:r>
          </w:p>
        </w:tc>
      </w:tr>
      <w:tr w:rsidR="008A4FED" w:rsidRPr="00666914" w14:paraId="6C303EB4" w14:textId="77777777" w:rsidTr="002E71E9">
        <w:trPr>
          <w:trHeight w:val="302"/>
        </w:trPr>
        <w:tc>
          <w:tcPr>
            <w:tcW w:w="208" w:type="pct"/>
            <w:tcBorders>
              <w:top w:val="nil"/>
              <w:left w:val="single" w:sz="4" w:space="0" w:color="auto"/>
              <w:bottom w:val="single" w:sz="4" w:space="0" w:color="auto"/>
              <w:right w:val="single" w:sz="4" w:space="0" w:color="auto"/>
            </w:tcBorders>
            <w:shd w:val="clear" w:color="auto" w:fill="auto"/>
            <w:vAlign w:val="center"/>
            <w:hideMark/>
          </w:tcPr>
          <w:p w14:paraId="0C75DF83" w14:textId="77777777" w:rsidR="008A4FED" w:rsidRPr="00666914" w:rsidRDefault="008A4FED" w:rsidP="004D30E9">
            <w:pPr>
              <w:spacing w:after="0"/>
              <w:jc w:val="center"/>
              <w:rPr>
                <w:rFonts w:eastAsia="Times New Roman"/>
                <w:bCs/>
                <w:color w:val="000000"/>
                <w:sz w:val="20"/>
                <w:szCs w:val="20"/>
                <w:lang w:eastAsia="sk-SK"/>
              </w:rPr>
            </w:pPr>
            <w:r w:rsidRPr="00666914">
              <w:rPr>
                <w:rFonts w:eastAsia="Times New Roman"/>
                <w:bCs/>
                <w:color w:val="000000"/>
                <w:sz w:val="20"/>
                <w:szCs w:val="20"/>
                <w:lang w:eastAsia="sk-SK"/>
              </w:rPr>
              <w:t>2</w:t>
            </w:r>
          </w:p>
        </w:tc>
        <w:tc>
          <w:tcPr>
            <w:tcW w:w="380" w:type="pct"/>
            <w:tcBorders>
              <w:top w:val="nil"/>
              <w:left w:val="single" w:sz="4" w:space="0" w:color="auto"/>
              <w:bottom w:val="single" w:sz="4" w:space="0" w:color="auto"/>
              <w:right w:val="single" w:sz="4" w:space="0" w:color="auto"/>
            </w:tcBorders>
            <w:vAlign w:val="center"/>
          </w:tcPr>
          <w:p w14:paraId="210C6F38"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75138DE2"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Zverejňovanie rebríčkov predpisovania lekárov v rámci odbornosti</w:t>
            </w:r>
          </w:p>
        </w:tc>
        <w:tc>
          <w:tcPr>
            <w:tcW w:w="735" w:type="pct"/>
            <w:tcBorders>
              <w:top w:val="nil"/>
              <w:left w:val="nil"/>
              <w:bottom w:val="single" w:sz="4" w:space="0" w:color="auto"/>
              <w:right w:val="single" w:sz="4" w:space="0" w:color="auto"/>
            </w:tcBorders>
            <w:shd w:val="clear" w:color="auto" w:fill="auto"/>
            <w:vAlign w:val="center"/>
            <w:hideMark/>
          </w:tcPr>
          <w:p w14:paraId="0A370F71"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 ZP</w:t>
            </w:r>
          </w:p>
        </w:tc>
        <w:tc>
          <w:tcPr>
            <w:tcW w:w="514" w:type="pct"/>
            <w:tcBorders>
              <w:top w:val="nil"/>
              <w:left w:val="nil"/>
              <w:bottom w:val="single" w:sz="4" w:space="0" w:color="auto"/>
              <w:right w:val="single" w:sz="4" w:space="0" w:color="auto"/>
            </w:tcBorders>
            <w:shd w:val="clear" w:color="auto" w:fill="auto"/>
            <w:vAlign w:val="center"/>
            <w:hideMark/>
          </w:tcPr>
          <w:p w14:paraId="7D580ABC"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35A0C057"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FF0000"/>
            <w:noWrap/>
            <w:vAlign w:val="bottom"/>
            <w:hideMark/>
          </w:tcPr>
          <w:p w14:paraId="72FF8EC3"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0000"/>
            <w:noWrap/>
            <w:vAlign w:val="bottom"/>
            <w:hideMark/>
          </w:tcPr>
          <w:p w14:paraId="5114C1C7"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0000"/>
            <w:noWrap/>
            <w:vAlign w:val="bottom"/>
            <w:hideMark/>
          </w:tcPr>
          <w:p w14:paraId="245AE1B6"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3" w:type="pct"/>
            <w:tcBorders>
              <w:top w:val="nil"/>
              <w:left w:val="single" w:sz="4" w:space="0" w:color="auto"/>
              <w:bottom w:val="single" w:sz="4" w:space="0" w:color="auto"/>
              <w:right w:val="single" w:sz="4" w:space="0" w:color="auto"/>
            </w:tcBorders>
            <w:shd w:val="clear" w:color="auto" w:fill="FF0000"/>
            <w:noWrap/>
            <w:vAlign w:val="bottom"/>
            <w:hideMark/>
          </w:tcPr>
          <w:p w14:paraId="4D91C49B"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4CAC2CDE" w14:textId="77777777" w:rsidTr="002E71E9">
        <w:trPr>
          <w:trHeight w:val="302"/>
        </w:trPr>
        <w:tc>
          <w:tcPr>
            <w:tcW w:w="208" w:type="pct"/>
            <w:tcBorders>
              <w:top w:val="nil"/>
              <w:left w:val="single" w:sz="4" w:space="0" w:color="auto"/>
              <w:bottom w:val="single" w:sz="4" w:space="0" w:color="auto"/>
              <w:right w:val="single" w:sz="4" w:space="0" w:color="auto"/>
            </w:tcBorders>
            <w:shd w:val="clear" w:color="auto" w:fill="auto"/>
            <w:vAlign w:val="center"/>
            <w:hideMark/>
          </w:tcPr>
          <w:p w14:paraId="11E27BC6" w14:textId="77777777" w:rsidR="008A4FED" w:rsidRPr="00666914" w:rsidRDefault="008A4FED" w:rsidP="004D30E9">
            <w:pPr>
              <w:spacing w:after="0"/>
              <w:jc w:val="center"/>
              <w:rPr>
                <w:rFonts w:eastAsia="Times New Roman"/>
                <w:bCs/>
                <w:color w:val="000000"/>
                <w:sz w:val="20"/>
                <w:szCs w:val="20"/>
                <w:lang w:eastAsia="sk-SK"/>
              </w:rPr>
            </w:pPr>
            <w:r w:rsidRPr="00666914">
              <w:rPr>
                <w:rFonts w:eastAsia="Times New Roman"/>
                <w:bCs/>
                <w:color w:val="000000"/>
                <w:sz w:val="20"/>
                <w:szCs w:val="20"/>
                <w:lang w:eastAsia="sk-SK"/>
              </w:rPr>
              <w:t>3</w:t>
            </w:r>
          </w:p>
        </w:tc>
        <w:tc>
          <w:tcPr>
            <w:tcW w:w="380" w:type="pct"/>
            <w:tcBorders>
              <w:top w:val="nil"/>
              <w:left w:val="single" w:sz="4" w:space="0" w:color="auto"/>
              <w:bottom w:val="single" w:sz="4" w:space="0" w:color="auto"/>
              <w:right w:val="single" w:sz="4" w:space="0" w:color="auto"/>
            </w:tcBorders>
            <w:vAlign w:val="center"/>
          </w:tcPr>
          <w:p w14:paraId="38B3227D"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 a II.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4B3EDACB"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Výnimky na lieky - zavedenie pravidiel pre preplácanie výnimiek</w:t>
            </w:r>
          </w:p>
        </w:tc>
        <w:tc>
          <w:tcPr>
            <w:tcW w:w="735" w:type="pct"/>
            <w:tcBorders>
              <w:top w:val="nil"/>
              <w:left w:val="nil"/>
              <w:bottom w:val="single" w:sz="4" w:space="0" w:color="auto"/>
              <w:right w:val="single" w:sz="4" w:space="0" w:color="auto"/>
            </w:tcBorders>
            <w:shd w:val="clear" w:color="auto" w:fill="auto"/>
            <w:vAlign w:val="center"/>
            <w:hideMark/>
          </w:tcPr>
          <w:p w14:paraId="455C7F3A"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w:t>
            </w:r>
          </w:p>
        </w:tc>
        <w:tc>
          <w:tcPr>
            <w:tcW w:w="514" w:type="pct"/>
            <w:tcBorders>
              <w:top w:val="nil"/>
              <w:left w:val="nil"/>
              <w:bottom w:val="single" w:sz="4" w:space="0" w:color="auto"/>
              <w:right w:val="single" w:sz="4" w:space="0" w:color="auto"/>
            </w:tcBorders>
            <w:shd w:val="clear" w:color="auto" w:fill="auto"/>
            <w:vAlign w:val="center"/>
            <w:hideMark/>
          </w:tcPr>
          <w:p w14:paraId="0889B9FA"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26B0607F"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C00000"/>
            <w:noWrap/>
            <w:vAlign w:val="bottom"/>
            <w:hideMark/>
          </w:tcPr>
          <w:p w14:paraId="5772B636"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C00000"/>
            <w:noWrap/>
            <w:vAlign w:val="bottom"/>
            <w:hideMark/>
          </w:tcPr>
          <w:p w14:paraId="66C519CB"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C00000"/>
            <w:noWrap/>
            <w:vAlign w:val="bottom"/>
            <w:hideMark/>
          </w:tcPr>
          <w:p w14:paraId="327B7B54"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3" w:type="pct"/>
            <w:tcBorders>
              <w:top w:val="nil"/>
              <w:left w:val="single" w:sz="4" w:space="0" w:color="auto"/>
              <w:bottom w:val="single" w:sz="4" w:space="0" w:color="auto"/>
              <w:right w:val="single" w:sz="4" w:space="0" w:color="auto"/>
            </w:tcBorders>
            <w:shd w:val="clear" w:color="auto" w:fill="C00000"/>
            <w:noWrap/>
            <w:vAlign w:val="bottom"/>
            <w:hideMark/>
          </w:tcPr>
          <w:p w14:paraId="463725A6"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576F9236" w14:textId="77777777" w:rsidTr="002E71E9">
        <w:trPr>
          <w:trHeight w:val="302"/>
        </w:trPr>
        <w:tc>
          <w:tcPr>
            <w:tcW w:w="208" w:type="pct"/>
            <w:tcBorders>
              <w:top w:val="nil"/>
              <w:left w:val="single" w:sz="4" w:space="0" w:color="auto"/>
              <w:bottom w:val="single" w:sz="4" w:space="0" w:color="auto"/>
              <w:right w:val="single" w:sz="4" w:space="0" w:color="auto"/>
            </w:tcBorders>
            <w:shd w:val="clear" w:color="auto" w:fill="auto"/>
            <w:vAlign w:val="center"/>
            <w:hideMark/>
          </w:tcPr>
          <w:p w14:paraId="04421925" w14:textId="77777777" w:rsidR="008A4FED" w:rsidRPr="00666914" w:rsidRDefault="008A4FED" w:rsidP="004D30E9">
            <w:pPr>
              <w:spacing w:after="0"/>
              <w:jc w:val="center"/>
              <w:rPr>
                <w:rFonts w:eastAsia="Times New Roman"/>
                <w:bCs/>
                <w:color w:val="000000"/>
                <w:sz w:val="20"/>
                <w:szCs w:val="20"/>
                <w:lang w:eastAsia="sk-SK"/>
              </w:rPr>
            </w:pPr>
            <w:r w:rsidRPr="00666914">
              <w:rPr>
                <w:rFonts w:eastAsia="Times New Roman"/>
                <w:bCs/>
                <w:color w:val="000000"/>
                <w:sz w:val="20"/>
                <w:szCs w:val="20"/>
                <w:lang w:eastAsia="sk-SK"/>
              </w:rPr>
              <w:t>4</w:t>
            </w:r>
          </w:p>
        </w:tc>
        <w:tc>
          <w:tcPr>
            <w:tcW w:w="380" w:type="pct"/>
            <w:tcBorders>
              <w:top w:val="nil"/>
              <w:left w:val="single" w:sz="4" w:space="0" w:color="auto"/>
              <w:bottom w:val="single" w:sz="4" w:space="0" w:color="auto"/>
              <w:right w:val="single" w:sz="4" w:space="0" w:color="auto"/>
            </w:tcBorders>
            <w:vAlign w:val="center"/>
          </w:tcPr>
          <w:p w14:paraId="76CB4168"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6E992FFC"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Zavedenie záväzných pravidiel pre úhradu liekov na výnimky</w:t>
            </w:r>
          </w:p>
        </w:tc>
        <w:tc>
          <w:tcPr>
            <w:tcW w:w="735" w:type="pct"/>
            <w:tcBorders>
              <w:top w:val="nil"/>
              <w:left w:val="nil"/>
              <w:bottom w:val="single" w:sz="4" w:space="0" w:color="auto"/>
              <w:right w:val="single" w:sz="4" w:space="0" w:color="auto"/>
            </w:tcBorders>
            <w:shd w:val="clear" w:color="auto" w:fill="auto"/>
            <w:vAlign w:val="center"/>
            <w:hideMark/>
          </w:tcPr>
          <w:p w14:paraId="05D2C478"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w:t>
            </w:r>
          </w:p>
        </w:tc>
        <w:tc>
          <w:tcPr>
            <w:tcW w:w="514" w:type="pct"/>
            <w:tcBorders>
              <w:top w:val="nil"/>
              <w:left w:val="nil"/>
              <w:bottom w:val="single" w:sz="4" w:space="0" w:color="auto"/>
              <w:right w:val="single" w:sz="4" w:space="0" w:color="auto"/>
            </w:tcBorders>
            <w:shd w:val="clear" w:color="auto" w:fill="auto"/>
            <w:vAlign w:val="center"/>
            <w:hideMark/>
          </w:tcPr>
          <w:p w14:paraId="01C7F50E"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6F10DC2C"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30.06.2019</w:t>
            </w:r>
          </w:p>
        </w:tc>
        <w:tc>
          <w:tcPr>
            <w:tcW w:w="275" w:type="pct"/>
            <w:tcBorders>
              <w:top w:val="nil"/>
              <w:left w:val="nil"/>
              <w:bottom w:val="single" w:sz="4" w:space="0" w:color="auto"/>
              <w:right w:val="single" w:sz="4" w:space="0" w:color="auto"/>
            </w:tcBorders>
            <w:shd w:val="clear" w:color="auto" w:fill="FF0000"/>
            <w:noWrap/>
            <w:vAlign w:val="bottom"/>
            <w:hideMark/>
          </w:tcPr>
          <w:p w14:paraId="74DB65C4"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0000"/>
            <w:noWrap/>
            <w:vAlign w:val="bottom"/>
            <w:hideMark/>
          </w:tcPr>
          <w:p w14:paraId="1FDC029F"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0000"/>
            <w:noWrap/>
            <w:vAlign w:val="bottom"/>
            <w:hideMark/>
          </w:tcPr>
          <w:p w14:paraId="565D4F53"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3" w:type="pct"/>
            <w:tcBorders>
              <w:top w:val="nil"/>
              <w:left w:val="single" w:sz="4" w:space="0" w:color="auto"/>
              <w:bottom w:val="single" w:sz="4" w:space="0" w:color="auto"/>
              <w:right w:val="single" w:sz="4" w:space="0" w:color="auto"/>
            </w:tcBorders>
            <w:shd w:val="clear" w:color="auto" w:fill="FF0000"/>
            <w:noWrap/>
            <w:vAlign w:val="bottom"/>
            <w:hideMark/>
          </w:tcPr>
          <w:p w14:paraId="54B8FA85"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r>
      <w:bookmarkEnd w:id="34"/>
      <w:tr w:rsidR="008A4FED" w:rsidRPr="00666914" w14:paraId="35D94D4D" w14:textId="77777777" w:rsidTr="002E71E9">
        <w:trPr>
          <w:trHeight w:val="302"/>
        </w:trPr>
        <w:tc>
          <w:tcPr>
            <w:tcW w:w="208" w:type="pct"/>
            <w:tcBorders>
              <w:top w:val="nil"/>
              <w:left w:val="single" w:sz="4" w:space="0" w:color="auto"/>
              <w:bottom w:val="single" w:sz="4" w:space="0" w:color="auto"/>
              <w:right w:val="single" w:sz="4" w:space="0" w:color="auto"/>
            </w:tcBorders>
            <w:shd w:val="clear" w:color="auto" w:fill="auto"/>
            <w:vAlign w:val="center"/>
            <w:hideMark/>
          </w:tcPr>
          <w:p w14:paraId="6E490FE9" w14:textId="77777777" w:rsidR="008A4FED" w:rsidRPr="00666914" w:rsidRDefault="008A4FED" w:rsidP="004D30E9">
            <w:pPr>
              <w:spacing w:after="0"/>
              <w:jc w:val="center"/>
              <w:rPr>
                <w:rFonts w:eastAsia="Times New Roman"/>
                <w:bCs/>
                <w:color w:val="000000"/>
                <w:sz w:val="20"/>
                <w:szCs w:val="20"/>
                <w:lang w:eastAsia="sk-SK"/>
              </w:rPr>
            </w:pPr>
            <w:r w:rsidRPr="00666914">
              <w:rPr>
                <w:rFonts w:eastAsia="Times New Roman"/>
                <w:bCs/>
                <w:color w:val="000000"/>
                <w:sz w:val="20"/>
                <w:szCs w:val="20"/>
                <w:lang w:eastAsia="sk-SK"/>
              </w:rPr>
              <w:t>5</w:t>
            </w:r>
          </w:p>
        </w:tc>
        <w:tc>
          <w:tcPr>
            <w:tcW w:w="380" w:type="pct"/>
            <w:tcBorders>
              <w:top w:val="nil"/>
              <w:left w:val="single" w:sz="4" w:space="0" w:color="auto"/>
              <w:bottom w:val="single" w:sz="4" w:space="0" w:color="auto"/>
              <w:right w:val="single" w:sz="4" w:space="0" w:color="auto"/>
            </w:tcBorders>
            <w:vAlign w:val="center"/>
          </w:tcPr>
          <w:p w14:paraId="03F445E0"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 a II.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4D2948F6"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Preskripcia generík - Vydávanie receptu na účinnú látku namiesto konkrétneho lieku</w:t>
            </w:r>
          </w:p>
        </w:tc>
        <w:tc>
          <w:tcPr>
            <w:tcW w:w="735" w:type="pct"/>
            <w:tcBorders>
              <w:top w:val="nil"/>
              <w:left w:val="nil"/>
              <w:bottom w:val="single" w:sz="4" w:space="0" w:color="auto"/>
              <w:right w:val="single" w:sz="4" w:space="0" w:color="auto"/>
            </w:tcBorders>
            <w:shd w:val="clear" w:color="auto" w:fill="auto"/>
            <w:vAlign w:val="center"/>
            <w:hideMark/>
          </w:tcPr>
          <w:p w14:paraId="43E0F41C"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w:t>
            </w:r>
          </w:p>
        </w:tc>
        <w:tc>
          <w:tcPr>
            <w:tcW w:w="514" w:type="pct"/>
            <w:tcBorders>
              <w:top w:val="nil"/>
              <w:left w:val="nil"/>
              <w:bottom w:val="single" w:sz="4" w:space="0" w:color="auto"/>
              <w:right w:val="single" w:sz="4" w:space="0" w:color="auto"/>
            </w:tcBorders>
            <w:shd w:val="clear" w:color="auto" w:fill="auto"/>
            <w:vAlign w:val="center"/>
            <w:hideMark/>
          </w:tcPr>
          <w:p w14:paraId="2801C1D8"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667655FB"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30.06.2019</w:t>
            </w:r>
          </w:p>
        </w:tc>
        <w:tc>
          <w:tcPr>
            <w:tcW w:w="275" w:type="pct"/>
            <w:tcBorders>
              <w:top w:val="nil"/>
              <w:left w:val="nil"/>
              <w:bottom w:val="single" w:sz="4" w:space="0" w:color="auto"/>
              <w:right w:val="single" w:sz="4" w:space="0" w:color="auto"/>
            </w:tcBorders>
            <w:shd w:val="clear" w:color="auto" w:fill="FF0000"/>
            <w:noWrap/>
            <w:vAlign w:val="bottom"/>
            <w:hideMark/>
          </w:tcPr>
          <w:p w14:paraId="64CD6835" w14:textId="77777777" w:rsidR="008A4FED" w:rsidRPr="00666914" w:rsidRDefault="008A4FED" w:rsidP="004D30E9">
            <w:pPr>
              <w:spacing w:after="0"/>
              <w:rPr>
                <w:rFonts w:eastAsia="Times New Roman"/>
                <w:color w:val="C00000"/>
                <w:sz w:val="20"/>
                <w:szCs w:val="20"/>
                <w:lang w:eastAsia="sk-SK"/>
              </w:rPr>
            </w:pPr>
            <w:r w:rsidRPr="00666914">
              <w:rPr>
                <w:rFonts w:eastAsia="Times New Roman"/>
                <w:color w:val="C00000"/>
                <w:sz w:val="20"/>
                <w:szCs w:val="20"/>
                <w:lang w:eastAsia="sk-SK"/>
              </w:rPr>
              <w:t> </w:t>
            </w:r>
          </w:p>
        </w:tc>
        <w:tc>
          <w:tcPr>
            <w:tcW w:w="272" w:type="pct"/>
            <w:tcBorders>
              <w:top w:val="nil"/>
              <w:left w:val="nil"/>
              <w:bottom w:val="single" w:sz="4" w:space="0" w:color="auto"/>
              <w:right w:val="single" w:sz="4" w:space="0" w:color="auto"/>
            </w:tcBorders>
            <w:shd w:val="clear" w:color="auto" w:fill="FF0000"/>
            <w:noWrap/>
            <w:vAlign w:val="bottom"/>
            <w:hideMark/>
          </w:tcPr>
          <w:p w14:paraId="372393EB" w14:textId="77777777" w:rsidR="008A4FED" w:rsidRPr="00666914" w:rsidRDefault="008A4FED" w:rsidP="004D30E9">
            <w:pPr>
              <w:spacing w:after="0"/>
              <w:rPr>
                <w:rFonts w:eastAsia="Times New Roman"/>
                <w:color w:val="FF0000"/>
                <w:sz w:val="20"/>
                <w:szCs w:val="20"/>
                <w:lang w:eastAsia="sk-SK"/>
              </w:rPr>
            </w:pPr>
            <w:r w:rsidRPr="00666914">
              <w:rPr>
                <w:rFonts w:eastAsia="Times New Roman"/>
                <w:color w:val="FF0000"/>
                <w:sz w:val="20"/>
                <w:szCs w:val="20"/>
                <w:lang w:eastAsia="sk-SK"/>
              </w:rPr>
              <w:t> </w:t>
            </w:r>
          </w:p>
        </w:tc>
        <w:tc>
          <w:tcPr>
            <w:tcW w:w="272" w:type="pct"/>
            <w:tcBorders>
              <w:top w:val="nil"/>
              <w:left w:val="nil"/>
              <w:bottom w:val="single" w:sz="4" w:space="0" w:color="auto"/>
              <w:right w:val="single" w:sz="4" w:space="0" w:color="auto"/>
            </w:tcBorders>
            <w:shd w:val="clear" w:color="auto" w:fill="FF0000"/>
            <w:noWrap/>
            <w:vAlign w:val="bottom"/>
            <w:hideMark/>
          </w:tcPr>
          <w:p w14:paraId="6AEE6FF7"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3" w:type="pct"/>
            <w:tcBorders>
              <w:top w:val="nil"/>
              <w:left w:val="single" w:sz="4" w:space="0" w:color="auto"/>
              <w:bottom w:val="single" w:sz="4" w:space="0" w:color="auto"/>
              <w:right w:val="single" w:sz="4" w:space="0" w:color="auto"/>
            </w:tcBorders>
            <w:shd w:val="clear" w:color="auto" w:fill="FF0000"/>
            <w:noWrap/>
            <w:vAlign w:val="bottom"/>
            <w:hideMark/>
          </w:tcPr>
          <w:p w14:paraId="584A4F84" w14:textId="77777777" w:rsidR="008A4FED" w:rsidRPr="00666914" w:rsidRDefault="008A4FED" w:rsidP="004D30E9">
            <w:pPr>
              <w:spacing w:after="0"/>
              <w:rPr>
                <w:rFonts w:eastAsia="Times New Roman"/>
                <w:color w:val="C00000"/>
                <w:sz w:val="20"/>
                <w:szCs w:val="20"/>
                <w:lang w:eastAsia="sk-SK"/>
              </w:rPr>
            </w:pPr>
            <w:r w:rsidRPr="00666914">
              <w:rPr>
                <w:rFonts w:eastAsia="Times New Roman"/>
                <w:color w:val="C00000"/>
                <w:sz w:val="20"/>
                <w:szCs w:val="20"/>
                <w:lang w:eastAsia="sk-SK"/>
              </w:rPr>
              <w:t> </w:t>
            </w:r>
          </w:p>
        </w:tc>
      </w:tr>
      <w:tr w:rsidR="008A4FED" w:rsidRPr="00666914" w14:paraId="33882481" w14:textId="77777777" w:rsidTr="002E71E9">
        <w:trPr>
          <w:trHeight w:val="302"/>
        </w:trPr>
        <w:tc>
          <w:tcPr>
            <w:tcW w:w="208" w:type="pct"/>
            <w:tcBorders>
              <w:top w:val="nil"/>
              <w:left w:val="single" w:sz="4" w:space="0" w:color="auto"/>
              <w:bottom w:val="single" w:sz="4" w:space="0" w:color="auto"/>
              <w:right w:val="single" w:sz="4" w:space="0" w:color="auto"/>
            </w:tcBorders>
            <w:shd w:val="clear" w:color="auto" w:fill="auto"/>
            <w:vAlign w:val="center"/>
            <w:hideMark/>
          </w:tcPr>
          <w:p w14:paraId="6C774E59" w14:textId="77777777" w:rsidR="008A4FED" w:rsidRPr="00666914" w:rsidRDefault="008A4FED" w:rsidP="004D30E9">
            <w:pPr>
              <w:spacing w:after="0"/>
              <w:jc w:val="center"/>
              <w:rPr>
                <w:rFonts w:eastAsia="Times New Roman"/>
                <w:bCs/>
                <w:color w:val="000000"/>
                <w:sz w:val="20"/>
                <w:szCs w:val="20"/>
                <w:lang w:eastAsia="sk-SK"/>
              </w:rPr>
            </w:pPr>
            <w:r w:rsidRPr="00666914">
              <w:rPr>
                <w:rFonts w:eastAsia="Times New Roman"/>
                <w:bCs/>
                <w:color w:val="000000"/>
                <w:sz w:val="20"/>
                <w:szCs w:val="20"/>
                <w:lang w:eastAsia="sk-SK"/>
              </w:rPr>
              <w:t>6</w:t>
            </w:r>
          </w:p>
        </w:tc>
        <w:tc>
          <w:tcPr>
            <w:tcW w:w="380" w:type="pct"/>
            <w:tcBorders>
              <w:top w:val="nil"/>
              <w:left w:val="single" w:sz="4" w:space="0" w:color="auto"/>
              <w:bottom w:val="single" w:sz="4" w:space="0" w:color="auto"/>
              <w:right w:val="single" w:sz="4" w:space="0" w:color="auto"/>
            </w:tcBorders>
            <w:vAlign w:val="center"/>
          </w:tcPr>
          <w:p w14:paraId="3805A232"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4B2C275D"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Výmena informácií o exporte liekov medzi ŠÚKL a FS SR/ŠÚ SR</w:t>
            </w:r>
          </w:p>
        </w:tc>
        <w:tc>
          <w:tcPr>
            <w:tcW w:w="735" w:type="pct"/>
            <w:tcBorders>
              <w:top w:val="nil"/>
              <w:left w:val="nil"/>
              <w:bottom w:val="single" w:sz="4" w:space="0" w:color="auto"/>
              <w:right w:val="single" w:sz="4" w:space="0" w:color="auto"/>
            </w:tcBorders>
            <w:shd w:val="clear" w:color="auto" w:fill="auto"/>
            <w:vAlign w:val="center"/>
            <w:hideMark/>
          </w:tcPr>
          <w:p w14:paraId="77EEF465"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 MF SR, FS SR, ŠÚKL</w:t>
            </w:r>
          </w:p>
        </w:tc>
        <w:tc>
          <w:tcPr>
            <w:tcW w:w="514" w:type="pct"/>
            <w:tcBorders>
              <w:top w:val="nil"/>
              <w:left w:val="nil"/>
              <w:bottom w:val="single" w:sz="4" w:space="0" w:color="auto"/>
              <w:right w:val="single" w:sz="4" w:space="0" w:color="auto"/>
            </w:tcBorders>
            <w:shd w:val="clear" w:color="auto" w:fill="auto"/>
            <w:vAlign w:val="center"/>
            <w:hideMark/>
          </w:tcPr>
          <w:p w14:paraId="2522D030"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439980E7"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FFC000"/>
            <w:noWrap/>
            <w:vAlign w:val="bottom"/>
            <w:hideMark/>
          </w:tcPr>
          <w:p w14:paraId="72F2F1FC"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6D3A491B"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701374AF"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3" w:type="pct"/>
            <w:tcBorders>
              <w:top w:val="nil"/>
              <w:left w:val="single" w:sz="4" w:space="0" w:color="auto"/>
              <w:bottom w:val="single" w:sz="4" w:space="0" w:color="auto"/>
              <w:right w:val="single" w:sz="4" w:space="0" w:color="auto"/>
            </w:tcBorders>
            <w:shd w:val="clear" w:color="auto" w:fill="FFC000"/>
            <w:noWrap/>
            <w:vAlign w:val="bottom"/>
            <w:hideMark/>
          </w:tcPr>
          <w:p w14:paraId="357062B9"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1E647391" w14:textId="77777777" w:rsidTr="002E71E9">
        <w:trPr>
          <w:trHeight w:val="287"/>
        </w:trPr>
        <w:tc>
          <w:tcPr>
            <w:tcW w:w="208" w:type="pct"/>
            <w:tcBorders>
              <w:top w:val="nil"/>
              <w:left w:val="single" w:sz="4" w:space="0" w:color="auto"/>
              <w:bottom w:val="single" w:sz="4" w:space="0" w:color="auto"/>
              <w:right w:val="single" w:sz="4" w:space="0" w:color="auto"/>
            </w:tcBorders>
            <w:shd w:val="clear" w:color="auto" w:fill="auto"/>
            <w:vAlign w:val="center"/>
            <w:hideMark/>
          </w:tcPr>
          <w:p w14:paraId="08ED45C7" w14:textId="77777777" w:rsidR="008A4FED" w:rsidRPr="00666914" w:rsidRDefault="008A4FED" w:rsidP="004D30E9">
            <w:pPr>
              <w:spacing w:after="0"/>
              <w:jc w:val="center"/>
              <w:rPr>
                <w:rFonts w:eastAsia="Times New Roman"/>
                <w:bCs/>
                <w:color w:val="000000"/>
                <w:sz w:val="20"/>
                <w:szCs w:val="20"/>
                <w:lang w:eastAsia="sk-SK"/>
              </w:rPr>
            </w:pPr>
            <w:r w:rsidRPr="00666914">
              <w:rPr>
                <w:rFonts w:eastAsia="Times New Roman"/>
                <w:bCs/>
                <w:color w:val="000000"/>
                <w:sz w:val="20"/>
                <w:szCs w:val="20"/>
                <w:lang w:eastAsia="sk-SK"/>
              </w:rPr>
              <w:t>7</w:t>
            </w:r>
          </w:p>
        </w:tc>
        <w:tc>
          <w:tcPr>
            <w:tcW w:w="380" w:type="pct"/>
            <w:tcBorders>
              <w:top w:val="nil"/>
              <w:left w:val="single" w:sz="4" w:space="0" w:color="auto"/>
              <w:bottom w:val="single" w:sz="4" w:space="0" w:color="auto"/>
              <w:right w:val="single" w:sz="4" w:space="0" w:color="auto"/>
            </w:tcBorders>
            <w:vAlign w:val="center"/>
          </w:tcPr>
          <w:p w14:paraId="119A9FC3"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73EFC5B7"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Povinné zbieranie dát o užívaní podmienene kategorizovaných liekov</w:t>
            </w:r>
          </w:p>
        </w:tc>
        <w:tc>
          <w:tcPr>
            <w:tcW w:w="735" w:type="pct"/>
            <w:tcBorders>
              <w:top w:val="nil"/>
              <w:left w:val="nil"/>
              <w:bottom w:val="single" w:sz="4" w:space="0" w:color="auto"/>
              <w:right w:val="single" w:sz="4" w:space="0" w:color="auto"/>
            </w:tcBorders>
            <w:shd w:val="clear" w:color="auto" w:fill="auto"/>
            <w:vAlign w:val="center"/>
            <w:hideMark/>
          </w:tcPr>
          <w:p w14:paraId="5081016E"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 ŠÚKL</w:t>
            </w:r>
          </w:p>
        </w:tc>
        <w:tc>
          <w:tcPr>
            <w:tcW w:w="514" w:type="pct"/>
            <w:tcBorders>
              <w:top w:val="nil"/>
              <w:left w:val="nil"/>
              <w:bottom w:val="single" w:sz="4" w:space="0" w:color="auto"/>
              <w:right w:val="single" w:sz="4" w:space="0" w:color="auto"/>
            </w:tcBorders>
            <w:shd w:val="clear" w:color="auto" w:fill="auto"/>
            <w:vAlign w:val="center"/>
            <w:hideMark/>
          </w:tcPr>
          <w:p w14:paraId="0020ADDC"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00BA7CAF"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FFC000"/>
            <w:noWrap/>
            <w:vAlign w:val="bottom"/>
            <w:hideMark/>
          </w:tcPr>
          <w:p w14:paraId="0D4DFC0D"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03CB4299"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27C6A566"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3" w:type="pct"/>
            <w:tcBorders>
              <w:top w:val="nil"/>
              <w:left w:val="single" w:sz="4" w:space="0" w:color="auto"/>
              <w:bottom w:val="single" w:sz="4" w:space="0" w:color="auto"/>
              <w:right w:val="single" w:sz="4" w:space="0" w:color="auto"/>
            </w:tcBorders>
            <w:shd w:val="clear" w:color="auto" w:fill="92D050"/>
            <w:noWrap/>
            <w:vAlign w:val="bottom"/>
            <w:hideMark/>
          </w:tcPr>
          <w:p w14:paraId="0AC40E47"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01F41C0E" w14:textId="77777777" w:rsidTr="002E71E9">
        <w:trPr>
          <w:trHeight w:val="302"/>
        </w:trPr>
        <w:tc>
          <w:tcPr>
            <w:tcW w:w="208" w:type="pct"/>
            <w:tcBorders>
              <w:top w:val="nil"/>
              <w:left w:val="single" w:sz="4" w:space="0" w:color="auto"/>
              <w:bottom w:val="nil"/>
              <w:right w:val="single" w:sz="4" w:space="0" w:color="auto"/>
            </w:tcBorders>
            <w:shd w:val="clear" w:color="auto" w:fill="auto"/>
            <w:vAlign w:val="center"/>
            <w:hideMark/>
          </w:tcPr>
          <w:p w14:paraId="0EB236E1" w14:textId="77777777" w:rsidR="008A4FED" w:rsidRPr="00666914" w:rsidRDefault="008A4FED" w:rsidP="004D30E9">
            <w:pPr>
              <w:spacing w:after="0"/>
              <w:jc w:val="center"/>
              <w:rPr>
                <w:rFonts w:eastAsia="Times New Roman"/>
                <w:bCs/>
                <w:color w:val="000000"/>
                <w:sz w:val="20"/>
                <w:szCs w:val="20"/>
                <w:lang w:eastAsia="sk-SK"/>
              </w:rPr>
            </w:pPr>
            <w:r w:rsidRPr="00666914">
              <w:rPr>
                <w:rFonts w:eastAsia="Times New Roman"/>
                <w:bCs/>
                <w:color w:val="000000"/>
                <w:sz w:val="20"/>
                <w:szCs w:val="20"/>
                <w:lang w:eastAsia="sk-SK"/>
              </w:rPr>
              <w:t>8</w:t>
            </w:r>
          </w:p>
        </w:tc>
        <w:tc>
          <w:tcPr>
            <w:tcW w:w="380" w:type="pct"/>
            <w:tcBorders>
              <w:top w:val="nil"/>
              <w:left w:val="single" w:sz="4" w:space="0" w:color="auto"/>
              <w:bottom w:val="nil"/>
              <w:right w:val="single" w:sz="4" w:space="0" w:color="auto"/>
            </w:tcBorders>
            <w:vAlign w:val="center"/>
          </w:tcPr>
          <w:p w14:paraId="65F007DD"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II.</w:t>
            </w:r>
          </w:p>
        </w:tc>
        <w:tc>
          <w:tcPr>
            <w:tcW w:w="1564" w:type="pct"/>
            <w:tcBorders>
              <w:top w:val="nil"/>
              <w:left w:val="single" w:sz="4" w:space="0" w:color="auto"/>
              <w:bottom w:val="nil"/>
              <w:right w:val="single" w:sz="4" w:space="0" w:color="auto"/>
            </w:tcBorders>
            <w:shd w:val="clear" w:color="auto" w:fill="auto"/>
            <w:vAlign w:val="center"/>
            <w:hideMark/>
          </w:tcPr>
          <w:p w14:paraId="446A96FB"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Revízia úhrad kategorizovaných liekov</w:t>
            </w:r>
          </w:p>
        </w:tc>
        <w:tc>
          <w:tcPr>
            <w:tcW w:w="735" w:type="pct"/>
            <w:tcBorders>
              <w:top w:val="nil"/>
              <w:left w:val="nil"/>
              <w:bottom w:val="nil"/>
              <w:right w:val="single" w:sz="4" w:space="0" w:color="auto"/>
            </w:tcBorders>
            <w:shd w:val="clear" w:color="auto" w:fill="auto"/>
            <w:vAlign w:val="center"/>
            <w:hideMark/>
          </w:tcPr>
          <w:p w14:paraId="482EF206"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w:t>
            </w:r>
          </w:p>
        </w:tc>
        <w:tc>
          <w:tcPr>
            <w:tcW w:w="514" w:type="pct"/>
            <w:tcBorders>
              <w:top w:val="nil"/>
              <w:left w:val="nil"/>
              <w:bottom w:val="nil"/>
              <w:right w:val="single" w:sz="4" w:space="0" w:color="auto"/>
            </w:tcBorders>
            <w:shd w:val="clear" w:color="auto" w:fill="auto"/>
            <w:vAlign w:val="center"/>
            <w:hideMark/>
          </w:tcPr>
          <w:p w14:paraId="4C07BE06"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517" w:type="pct"/>
            <w:tcBorders>
              <w:top w:val="nil"/>
              <w:left w:val="nil"/>
              <w:bottom w:val="nil"/>
              <w:right w:val="single" w:sz="4" w:space="0" w:color="auto"/>
            </w:tcBorders>
            <w:shd w:val="clear" w:color="auto" w:fill="auto"/>
            <w:vAlign w:val="center"/>
            <w:hideMark/>
          </w:tcPr>
          <w:p w14:paraId="6011D0F5"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31.12.2019</w:t>
            </w:r>
          </w:p>
        </w:tc>
        <w:tc>
          <w:tcPr>
            <w:tcW w:w="275" w:type="pct"/>
            <w:tcBorders>
              <w:top w:val="nil"/>
              <w:left w:val="nil"/>
              <w:bottom w:val="nil"/>
              <w:right w:val="single" w:sz="4" w:space="0" w:color="auto"/>
            </w:tcBorders>
            <w:shd w:val="clear" w:color="auto" w:fill="FF0000"/>
            <w:noWrap/>
            <w:vAlign w:val="bottom"/>
            <w:hideMark/>
          </w:tcPr>
          <w:p w14:paraId="268A2C9C"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nil"/>
              <w:left w:val="nil"/>
              <w:bottom w:val="nil"/>
              <w:right w:val="single" w:sz="4" w:space="0" w:color="auto"/>
            </w:tcBorders>
            <w:shd w:val="clear" w:color="auto" w:fill="FF0000"/>
            <w:noWrap/>
            <w:vAlign w:val="bottom"/>
            <w:hideMark/>
          </w:tcPr>
          <w:p w14:paraId="1DDE1BD7"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nil"/>
              <w:left w:val="nil"/>
              <w:bottom w:val="nil"/>
              <w:right w:val="single" w:sz="4" w:space="0" w:color="auto"/>
            </w:tcBorders>
            <w:shd w:val="clear" w:color="auto" w:fill="BFBFBF" w:themeFill="background1" w:themeFillShade="BF"/>
            <w:noWrap/>
            <w:vAlign w:val="bottom"/>
            <w:hideMark/>
          </w:tcPr>
          <w:p w14:paraId="6CDEBF4D"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3" w:type="pct"/>
            <w:tcBorders>
              <w:top w:val="nil"/>
              <w:left w:val="single" w:sz="4" w:space="0" w:color="auto"/>
              <w:bottom w:val="nil"/>
              <w:right w:val="single" w:sz="4" w:space="0" w:color="auto"/>
            </w:tcBorders>
            <w:shd w:val="clear" w:color="auto" w:fill="BFBFBF" w:themeFill="background1" w:themeFillShade="BF"/>
            <w:noWrap/>
            <w:vAlign w:val="bottom"/>
            <w:hideMark/>
          </w:tcPr>
          <w:p w14:paraId="385DCFA7"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4437FF7B" w14:textId="77777777" w:rsidTr="002E71E9">
        <w:trPr>
          <w:trHeight w:val="330"/>
        </w:trPr>
        <w:tc>
          <w:tcPr>
            <w:tcW w:w="5000" w:type="pct"/>
            <w:gridSpan w:val="10"/>
            <w:tcBorders>
              <w:top w:val="single" w:sz="8" w:space="0" w:color="auto"/>
              <w:left w:val="single" w:sz="4" w:space="0" w:color="auto"/>
              <w:bottom w:val="single" w:sz="8" w:space="0" w:color="auto"/>
              <w:right w:val="single" w:sz="4" w:space="0" w:color="auto"/>
            </w:tcBorders>
            <w:shd w:val="clear" w:color="auto" w:fill="auto"/>
            <w:vAlign w:val="center"/>
          </w:tcPr>
          <w:p w14:paraId="0CE4E529"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ZDRAVOTNÍCKE POMÔCKY A REVÍZNA ČINNOSŤ</w:t>
            </w:r>
          </w:p>
        </w:tc>
      </w:tr>
      <w:tr w:rsidR="008A4FED" w:rsidRPr="00666914" w14:paraId="030C523C" w14:textId="77777777" w:rsidTr="002E71E9">
        <w:trPr>
          <w:trHeight w:val="287"/>
        </w:trPr>
        <w:tc>
          <w:tcPr>
            <w:tcW w:w="208" w:type="pct"/>
            <w:tcBorders>
              <w:top w:val="nil"/>
              <w:left w:val="single" w:sz="4" w:space="0" w:color="auto"/>
              <w:bottom w:val="single" w:sz="4" w:space="0" w:color="auto"/>
              <w:right w:val="single" w:sz="4" w:space="0" w:color="auto"/>
            </w:tcBorders>
            <w:shd w:val="clear" w:color="auto" w:fill="auto"/>
            <w:vAlign w:val="center"/>
            <w:hideMark/>
          </w:tcPr>
          <w:p w14:paraId="3350FB40"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9</w:t>
            </w:r>
          </w:p>
        </w:tc>
        <w:tc>
          <w:tcPr>
            <w:tcW w:w="380" w:type="pct"/>
            <w:tcBorders>
              <w:top w:val="nil"/>
              <w:left w:val="single" w:sz="4" w:space="0" w:color="auto"/>
              <w:bottom w:val="single" w:sz="4" w:space="0" w:color="auto"/>
              <w:right w:val="single" w:sz="4" w:space="0" w:color="auto"/>
            </w:tcBorders>
            <w:vAlign w:val="center"/>
          </w:tcPr>
          <w:p w14:paraId="44C38E2E"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 a II.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1D3262F0"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Zdravotnícke pomôcky - externé referencovanie a revízne činnosti</w:t>
            </w:r>
          </w:p>
        </w:tc>
        <w:tc>
          <w:tcPr>
            <w:tcW w:w="735" w:type="pct"/>
            <w:tcBorders>
              <w:top w:val="nil"/>
              <w:left w:val="nil"/>
              <w:bottom w:val="single" w:sz="4" w:space="0" w:color="auto"/>
              <w:right w:val="single" w:sz="4" w:space="0" w:color="auto"/>
            </w:tcBorders>
            <w:shd w:val="clear" w:color="auto" w:fill="auto"/>
            <w:vAlign w:val="center"/>
            <w:hideMark/>
          </w:tcPr>
          <w:p w14:paraId="310A5E11"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 ZP</w:t>
            </w:r>
          </w:p>
        </w:tc>
        <w:tc>
          <w:tcPr>
            <w:tcW w:w="514" w:type="pct"/>
            <w:tcBorders>
              <w:top w:val="nil"/>
              <w:left w:val="nil"/>
              <w:bottom w:val="single" w:sz="4" w:space="0" w:color="auto"/>
              <w:right w:val="single" w:sz="4" w:space="0" w:color="auto"/>
            </w:tcBorders>
            <w:shd w:val="clear" w:color="auto" w:fill="auto"/>
            <w:vAlign w:val="center"/>
            <w:hideMark/>
          </w:tcPr>
          <w:p w14:paraId="75C77396"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7FAA3148"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00B050"/>
            <w:noWrap/>
            <w:vAlign w:val="bottom"/>
            <w:hideMark/>
          </w:tcPr>
          <w:p w14:paraId="3F3197A9"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 </w:t>
            </w:r>
          </w:p>
        </w:tc>
        <w:tc>
          <w:tcPr>
            <w:tcW w:w="272" w:type="pct"/>
            <w:tcBorders>
              <w:top w:val="nil"/>
              <w:left w:val="nil"/>
              <w:bottom w:val="single" w:sz="4" w:space="0" w:color="auto"/>
              <w:right w:val="single" w:sz="4" w:space="0" w:color="auto"/>
            </w:tcBorders>
            <w:shd w:val="clear" w:color="auto" w:fill="00B050"/>
            <w:noWrap/>
            <w:vAlign w:val="bottom"/>
            <w:hideMark/>
          </w:tcPr>
          <w:p w14:paraId="6C93F5A6"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 </w:t>
            </w:r>
          </w:p>
        </w:tc>
        <w:tc>
          <w:tcPr>
            <w:tcW w:w="272" w:type="pct"/>
            <w:tcBorders>
              <w:top w:val="nil"/>
              <w:left w:val="nil"/>
              <w:bottom w:val="single" w:sz="4" w:space="0" w:color="auto"/>
              <w:right w:val="single" w:sz="4" w:space="0" w:color="auto"/>
            </w:tcBorders>
            <w:shd w:val="clear" w:color="auto" w:fill="00B050"/>
            <w:noWrap/>
            <w:vAlign w:val="bottom"/>
            <w:hideMark/>
          </w:tcPr>
          <w:p w14:paraId="0343D78C"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 </w:t>
            </w:r>
          </w:p>
        </w:tc>
        <w:tc>
          <w:tcPr>
            <w:tcW w:w="263" w:type="pct"/>
            <w:tcBorders>
              <w:top w:val="nil"/>
              <w:left w:val="single" w:sz="4" w:space="0" w:color="auto"/>
              <w:bottom w:val="single" w:sz="4" w:space="0" w:color="auto"/>
              <w:right w:val="single" w:sz="4" w:space="0" w:color="auto"/>
            </w:tcBorders>
            <w:shd w:val="clear" w:color="auto" w:fill="00B050"/>
            <w:noWrap/>
            <w:vAlign w:val="bottom"/>
            <w:hideMark/>
          </w:tcPr>
          <w:p w14:paraId="5CB0BB3F"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66750E35" w14:textId="77777777" w:rsidTr="002E71E9">
        <w:trPr>
          <w:trHeight w:val="287"/>
        </w:trPr>
        <w:tc>
          <w:tcPr>
            <w:tcW w:w="208" w:type="pct"/>
            <w:tcBorders>
              <w:top w:val="nil"/>
              <w:left w:val="single" w:sz="4" w:space="0" w:color="auto"/>
              <w:bottom w:val="single" w:sz="4" w:space="0" w:color="auto"/>
              <w:right w:val="single" w:sz="4" w:space="0" w:color="auto"/>
            </w:tcBorders>
            <w:shd w:val="clear" w:color="auto" w:fill="auto"/>
            <w:vAlign w:val="center"/>
            <w:hideMark/>
          </w:tcPr>
          <w:p w14:paraId="0ABB72F6"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10</w:t>
            </w:r>
          </w:p>
        </w:tc>
        <w:tc>
          <w:tcPr>
            <w:tcW w:w="380" w:type="pct"/>
            <w:tcBorders>
              <w:top w:val="nil"/>
              <w:left w:val="single" w:sz="4" w:space="0" w:color="auto"/>
              <w:bottom w:val="single" w:sz="4" w:space="0" w:color="auto"/>
              <w:right w:val="single" w:sz="4" w:space="0" w:color="auto"/>
            </w:tcBorders>
            <w:vAlign w:val="center"/>
          </w:tcPr>
          <w:p w14:paraId="5435EC75"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 a II.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33BD31F7"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Zlepšenie revíznych činností VšZP</w:t>
            </w:r>
          </w:p>
        </w:tc>
        <w:tc>
          <w:tcPr>
            <w:tcW w:w="735" w:type="pct"/>
            <w:tcBorders>
              <w:top w:val="nil"/>
              <w:left w:val="nil"/>
              <w:bottom w:val="single" w:sz="4" w:space="0" w:color="auto"/>
              <w:right w:val="single" w:sz="4" w:space="0" w:color="auto"/>
            </w:tcBorders>
            <w:shd w:val="clear" w:color="auto" w:fill="auto"/>
            <w:vAlign w:val="center"/>
            <w:hideMark/>
          </w:tcPr>
          <w:p w14:paraId="7C32A9BE"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 VšZP</w:t>
            </w:r>
          </w:p>
        </w:tc>
        <w:tc>
          <w:tcPr>
            <w:tcW w:w="514" w:type="pct"/>
            <w:tcBorders>
              <w:top w:val="nil"/>
              <w:left w:val="nil"/>
              <w:bottom w:val="single" w:sz="4" w:space="0" w:color="auto"/>
              <w:right w:val="single" w:sz="4" w:space="0" w:color="auto"/>
            </w:tcBorders>
            <w:shd w:val="clear" w:color="auto" w:fill="auto"/>
            <w:vAlign w:val="center"/>
            <w:hideMark/>
          </w:tcPr>
          <w:p w14:paraId="3EA6D622"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2171B6C9"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00B050"/>
            <w:noWrap/>
            <w:vAlign w:val="bottom"/>
            <w:hideMark/>
          </w:tcPr>
          <w:p w14:paraId="227E0E18"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00B050"/>
            <w:noWrap/>
            <w:vAlign w:val="bottom"/>
            <w:hideMark/>
          </w:tcPr>
          <w:p w14:paraId="58EF76B9"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00B050"/>
            <w:noWrap/>
            <w:vAlign w:val="bottom"/>
            <w:hideMark/>
          </w:tcPr>
          <w:p w14:paraId="75AA8666"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3" w:type="pct"/>
            <w:tcBorders>
              <w:top w:val="nil"/>
              <w:left w:val="single" w:sz="4" w:space="0" w:color="auto"/>
              <w:bottom w:val="single" w:sz="4" w:space="0" w:color="auto"/>
              <w:right w:val="single" w:sz="4" w:space="0" w:color="auto"/>
            </w:tcBorders>
            <w:shd w:val="clear" w:color="auto" w:fill="00B050"/>
            <w:noWrap/>
            <w:vAlign w:val="bottom"/>
            <w:hideMark/>
          </w:tcPr>
          <w:p w14:paraId="29F2E62D"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5ACC9B8C" w14:textId="77777777" w:rsidTr="002E71E9">
        <w:trPr>
          <w:trHeight w:val="302"/>
        </w:trPr>
        <w:tc>
          <w:tcPr>
            <w:tcW w:w="5000" w:type="pct"/>
            <w:gridSpan w:val="10"/>
            <w:tcBorders>
              <w:top w:val="single" w:sz="8" w:space="0" w:color="auto"/>
              <w:left w:val="single" w:sz="4" w:space="0" w:color="auto"/>
              <w:bottom w:val="single" w:sz="8" w:space="0" w:color="auto"/>
              <w:right w:val="single" w:sz="4" w:space="0" w:color="auto"/>
            </w:tcBorders>
            <w:shd w:val="clear" w:color="auto" w:fill="auto"/>
            <w:vAlign w:val="center"/>
          </w:tcPr>
          <w:p w14:paraId="33AEFA7F"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DIAGNOSTIKA</w:t>
            </w:r>
          </w:p>
        </w:tc>
      </w:tr>
      <w:tr w:rsidR="008A4FED" w:rsidRPr="00666914" w14:paraId="548CB3AA" w14:textId="77777777" w:rsidTr="002E71E9">
        <w:trPr>
          <w:trHeight w:val="287"/>
        </w:trPr>
        <w:tc>
          <w:tcPr>
            <w:tcW w:w="208" w:type="pct"/>
            <w:tcBorders>
              <w:top w:val="nil"/>
              <w:left w:val="single" w:sz="4" w:space="0" w:color="auto"/>
              <w:bottom w:val="single" w:sz="4" w:space="0" w:color="auto"/>
              <w:right w:val="single" w:sz="4" w:space="0" w:color="auto"/>
            </w:tcBorders>
            <w:shd w:val="clear" w:color="auto" w:fill="auto"/>
            <w:vAlign w:val="center"/>
            <w:hideMark/>
          </w:tcPr>
          <w:p w14:paraId="767839A6"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11</w:t>
            </w:r>
          </w:p>
        </w:tc>
        <w:tc>
          <w:tcPr>
            <w:tcW w:w="380" w:type="pct"/>
            <w:tcBorders>
              <w:top w:val="nil"/>
              <w:left w:val="single" w:sz="4" w:space="0" w:color="auto"/>
              <w:bottom w:val="single" w:sz="4" w:space="0" w:color="auto"/>
              <w:right w:val="single" w:sz="4" w:space="0" w:color="auto"/>
            </w:tcBorders>
            <w:vAlign w:val="center"/>
          </w:tcPr>
          <w:p w14:paraId="7D4895CE"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64A7ED74" w14:textId="77777777" w:rsidR="008A4FED" w:rsidRPr="00666914" w:rsidRDefault="008A4FED">
            <w:pPr>
              <w:spacing w:after="0"/>
              <w:jc w:val="left"/>
              <w:rPr>
                <w:rFonts w:eastAsia="Times New Roman"/>
                <w:color w:val="000000"/>
                <w:sz w:val="20"/>
                <w:szCs w:val="20"/>
                <w:lang w:eastAsia="sk-SK"/>
              </w:rPr>
            </w:pPr>
            <w:r w:rsidRPr="00666914">
              <w:rPr>
                <w:rFonts w:eastAsia="Times New Roman"/>
                <w:color w:val="000000"/>
                <w:sz w:val="20"/>
                <w:szCs w:val="20"/>
                <w:lang w:eastAsia="sk-SK"/>
              </w:rPr>
              <w:t>SVLZ - zníženie jednotkových cien a limitov CT a MR vyšetrení</w:t>
            </w:r>
          </w:p>
        </w:tc>
        <w:tc>
          <w:tcPr>
            <w:tcW w:w="735" w:type="pct"/>
            <w:tcBorders>
              <w:top w:val="nil"/>
              <w:left w:val="nil"/>
              <w:bottom w:val="single" w:sz="4" w:space="0" w:color="auto"/>
              <w:right w:val="single" w:sz="4" w:space="0" w:color="auto"/>
            </w:tcBorders>
            <w:shd w:val="clear" w:color="auto" w:fill="auto"/>
            <w:vAlign w:val="center"/>
            <w:hideMark/>
          </w:tcPr>
          <w:p w14:paraId="194D7175"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 ZP</w:t>
            </w:r>
          </w:p>
        </w:tc>
        <w:tc>
          <w:tcPr>
            <w:tcW w:w="514" w:type="pct"/>
            <w:tcBorders>
              <w:top w:val="nil"/>
              <w:left w:val="nil"/>
              <w:bottom w:val="single" w:sz="4" w:space="0" w:color="auto"/>
              <w:right w:val="single" w:sz="4" w:space="0" w:color="auto"/>
            </w:tcBorders>
            <w:shd w:val="clear" w:color="auto" w:fill="auto"/>
            <w:vAlign w:val="center"/>
            <w:hideMark/>
          </w:tcPr>
          <w:p w14:paraId="4B0641B6"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4A13C366"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FF0000"/>
            <w:noWrap/>
            <w:vAlign w:val="bottom"/>
            <w:hideMark/>
          </w:tcPr>
          <w:p w14:paraId="733C098D"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0000"/>
            <w:noWrap/>
            <w:vAlign w:val="bottom"/>
            <w:hideMark/>
          </w:tcPr>
          <w:p w14:paraId="61475CD5"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0000"/>
            <w:noWrap/>
            <w:vAlign w:val="bottom"/>
            <w:hideMark/>
          </w:tcPr>
          <w:p w14:paraId="09C145E7"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 </w:t>
            </w:r>
          </w:p>
        </w:tc>
        <w:tc>
          <w:tcPr>
            <w:tcW w:w="263" w:type="pct"/>
            <w:tcBorders>
              <w:top w:val="nil"/>
              <w:left w:val="single" w:sz="4" w:space="0" w:color="auto"/>
              <w:bottom w:val="single" w:sz="4" w:space="0" w:color="auto"/>
              <w:right w:val="single" w:sz="4" w:space="0" w:color="auto"/>
            </w:tcBorders>
            <w:shd w:val="clear" w:color="auto" w:fill="FF0000"/>
            <w:noWrap/>
            <w:vAlign w:val="bottom"/>
            <w:hideMark/>
          </w:tcPr>
          <w:p w14:paraId="56A35F52"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57E7EDCE" w14:textId="77777777" w:rsidTr="002E71E9">
        <w:trPr>
          <w:trHeight w:val="302"/>
        </w:trPr>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D569A9"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12</w:t>
            </w:r>
          </w:p>
        </w:tc>
        <w:tc>
          <w:tcPr>
            <w:tcW w:w="380" w:type="pct"/>
            <w:tcBorders>
              <w:top w:val="single" w:sz="4" w:space="0" w:color="auto"/>
              <w:left w:val="single" w:sz="4" w:space="0" w:color="auto"/>
              <w:bottom w:val="single" w:sz="4" w:space="0" w:color="auto"/>
              <w:right w:val="single" w:sz="4" w:space="0" w:color="auto"/>
            </w:tcBorders>
            <w:vAlign w:val="center"/>
          </w:tcPr>
          <w:p w14:paraId="7A433742"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ABC806"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SVLZ - zavedenie limitov pre ambulantných poskytovateľov</w:t>
            </w:r>
          </w:p>
        </w:tc>
        <w:tc>
          <w:tcPr>
            <w:tcW w:w="735" w:type="pct"/>
            <w:tcBorders>
              <w:top w:val="single" w:sz="4" w:space="0" w:color="auto"/>
              <w:left w:val="nil"/>
              <w:bottom w:val="single" w:sz="4" w:space="0" w:color="auto"/>
              <w:right w:val="single" w:sz="4" w:space="0" w:color="auto"/>
            </w:tcBorders>
            <w:shd w:val="clear" w:color="auto" w:fill="auto"/>
            <w:vAlign w:val="center"/>
            <w:hideMark/>
          </w:tcPr>
          <w:p w14:paraId="7C25817E"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 ZP</w:t>
            </w:r>
          </w:p>
        </w:tc>
        <w:tc>
          <w:tcPr>
            <w:tcW w:w="514" w:type="pct"/>
            <w:tcBorders>
              <w:top w:val="single" w:sz="4" w:space="0" w:color="auto"/>
              <w:left w:val="nil"/>
              <w:bottom w:val="single" w:sz="4" w:space="0" w:color="auto"/>
              <w:right w:val="single" w:sz="4" w:space="0" w:color="auto"/>
            </w:tcBorders>
            <w:shd w:val="clear" w:color="auto" w:fill="auto"/>
            <w:vAlign w:val="center"/>
            <w:hideMark/>
          </w:tcPr>
          <w:p w14:paraId="45E5AD98"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17416C93"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31.12.2019</w:t>
            </w:r>
          </w:p>
        </w:tc>
        <w:tc>
          <w:tcPr>
            <w:tcW w:w="275" w:type="pct"/>
            <w:tcBorders>
              <w:top w:val="single" w:sz="4" w:space="0" w:color="auto"/>
              <w:left w:val="nil"/>
              <w:bottom w:val="single" w:sz="4" w:space="0" w:color="auto"/>
              <w:right w:val="single" w:sz="4" w:space="0" w:color="auto"/>
            </w:tcBorders>
            <w:shd w:val="clear" w:color="auto" w:fill="C00000"/>
            <w:noWrap/>
            <w:vAlign w:val="bottom"/>
            <w:hideMark/>
          </w:tcPr>
          <w:p w14:paraId="43EEFA66"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 </w:t>
            </w:r>
          </w:p>
        </w:tc>
        <w:tc>
          <w:tcPr>
            <w:tcW w:w="272" w:type="pct"/>
            <w:tcBorders>
              <w:top w:val="single" w:sz="4" w:space="0" w:color="auto"/>
              <w:left w:val="nil"/>
              <w:bottom w:val="single" w:sz="4" w:space="0" w:color="auto"/>
              <w:right w:val="single" w:sz="4" w:space="0" w:color="auto"/>
            </w:tcBorders>
            <w:shd w:val="clear" w:color="auto" w:fill="C00000"/>
            <w:noWrap/>
            <w:vAlign w:val="bottom"/>
            <w:hideMark/>
          </w:tcPr>
          <w:p w14:paraId="42090155"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 </w:t>
            </w:r>
          </w:p>
        </w:tc>
        <w:tc>
          <w:tcPr>
            <w:tcW w:w="272" w:type="pct"/>
            <w:tcBorders>
              <w:top w:val="single" w:sz="4" w:space="0" w:color="auto"/>
              <w:left w:val="nil"/>
              <w:bottom w:val="single" w:sz="4" w:space="0" w:color="auto"/>
              <w:right w:val="single" w:sz="4" w:space="0" w:color="auto"/>
            </w:tcBorders>
            <w:shd w:val="clear" w:color="auto" w:fill="C00000"/>
            <w:noWrap/>
            <w:vAlign w:val="bottom"/>
            <w:hideMark/>
          </w:tcPr>
          <w:p w14:paraId="6E84F165"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 </w:t>
            </w:r>
          </w:p>
        </w:tc>
        <w:tc>
          <w:tcPr>
            <w:tcW w:w="263" w:type="pct"/>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7D2D8F85"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1147876A" w14:textId="77777777" w:rsidTr="002E71E9">
        <w:trPr>
          <w:trHeight w:val="302"/>
        </w:trPr>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779AE7DA"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13</w:t>
            </w:r>
          </w:p>
        </w:tc>
        <w:tc>
          <w:tcPr>
            <w:tcW w:w="380" w:type="pct"/>
            <w:tcBorders>
              <w:top w:val="single" w:sz="4" w:space="0" w:color="auto"/>
              <w:left w:val="single" w:sz="4" w:space="0" w:color="auto"/>
              <w:bottom w:val="single" w:sz="4" w:space="0" w:color="auto"/>
              <w:right w:val="single" w:sz="4" w:space="0" w:color="auto"/>
            </w:tcBorders>
            <w:vAlign w:val="center"/>
          </w:tcPr>
          <w:p w14:paraId="0CBD853E"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II.</w:t>
            </w:r>
          </w:p>
        </w:tc>
        <w:tc>
          <w:tcPr>
            <w:tcW w:w="1564" w:type="pct"/>
            <w:tcBorders>
              <w:top w:val="single" w:sz="4" w:space="0" w:color="auto"/>
              <w:left w:val="single" w:sz="4" w:space="0" w:color="auto"/>
              <w:bottom w:val="single" w:sz="4" w:space="0" w:color="auto"/>
              <w:right w:val="single" w:sz="4" w:space="0" w:color="auto"/>
            </w:tcBorders>
            <w:shd w:val="clear" w:color="auto" w:fill="auto"/>
            <w:vAlign w:val="center"/>
          </w:tcPr>
          <w:p w14:paraId="5DAD567E"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Zazmluvnenie nových SVLZ poskytovateľov</w:t>
            </w:r>
          </w:p>
        </w:tc>
        <w:tc>
          <w:tcPr>
            <w:tcW w:w="735" w:type="pct"/>
            <w:tcBorders>
              <w:top w:val="single" w:sz="4" w:space="0" w:color="auto"/>
              <w:left w:val="nil"/>
              <w:bottom w:val="single" w:sz="4" w:space="0" w:color="auto"/>
              <w:right w:val="single" w:sz="4" w:space="0" w:color="auto"/>
            </w:tcBorders>
            <w:shd w:val="clear" w:color="auto" w:fill="auto"/>
            <w:vAlign w:val="center"/>
          </w:tcPr>
          <w:p w14:paraId="5DDBF7BD"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 ZP</w:t>
            </w:r>
          </w:p>
        </w:tc>
        <w:tc>
          <w:tcPr>
            <w:tcW w:w="514" w:type="pct"/>
            <w:tcBorders>
              <w:top w:val="single" w:sz="4" w:space="0" w:color="auto"/>
              <w:left w:val="nil"/>
              <w:bottom w:val="single" w:sz="4" w:space="0" w:color="auto"/>
              <w:right w:val="single" w:sz="4" w:space="0" w:color="auto"/>
            </w:tcBorders>
            <w:shd w:val="clear" w:color="auto" w:fill="auto"/>
            <w:vAlign w:val="center"/>
          </w:tcPr>
          <w:p w14:paraId="5ABBF0F0"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31.12.2019</w:t>
            </w:r>
          </w:p>
        </w:tc>
        <w:tc>
          <w:tcPr>
            <w:tcW w:w="517" w:type="pct"/>
            <w:tcBorders>
              <w:top w:val="single" w:sz="4" w:space="0" w:color="auto"/>
              <w:left w:val="nil"/>
              <w:bottom w:val="single" w:sz="4" w:space="0" w:color="auto"/>
              <w:right w:val="single" w:sz="4" w:space="0" w:color="auto"/>
            </w:tcBorders>
            <w:shd w:val="clear" w:color="auto" w:fill="auto"/>
            <w:vAlign w:val="center"/>
          </w:tcPr>
          <w:p w14:paraId="77171AE0"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w:t>
            </w:r>
          </w:p>
        </w:tc>
        <w:tc>
          <w:tcPr>
            <w:tcW w:w="275" w:type="pct"/>
            <w:tcBorders>
              <w:top w:val="single" w:sz="4" w:space="0" w:color="auto"/>
              <w:left w:val="nil"/>
              <w:bottom w:val="single" w:sz="4" w:space="0" w:color="auto"/>
              <w:right w:val="single" w:sz="4" w:space="0" w:color="auto"/>
            </w:tcBorders>
            <w:shd w:val="clear" w:color="auto" w:fill="FF0000"/>
            <w:noWrap/>
            <w:vAlign w:val="bottom"/>
          </w:tcPr>
          <w:p w14:paraId="4C6EEE99" w14:textId="77777777" w:rsidR="008A4FED" w:rsidRPr="00666914" w:rsidRDefault="008A4FED" w:rsidP="004D30E9">
            <w:pPr>
              <w:spacing w:after="0"/>
              <w:jc w:val="left"/>
              <w:rPr>
                <w:rFonts w:eastAsia="Times New Roman"/>
                <w:color w:val="000000"/>
                <w:sz w:val="20"/>
                <w:szCs w:val="20"/>
                <w:lang w:eastAsia="sk-SK"/>
              </w:rPr>
            </w:pPr>
          </w:p>
        </w:tc>
        <w:tc>
          <w:tcPr>
            <w:tcW w:w="272" w:type="pct"/>
            <w:tcBorders>
              <w:top w:val="single" w:sz="4" w:space="0" w:color="auto"/>
              <w:left w:val="nil"/>
              <w:bottom w:val="single" w:sz="4" w:space="0" w:color="auto"/>
              <w:right w:val="single" w:sz="4" w:space="0" w:color="auto"/>
            </w:tcBorders>
            <w:shd w:val="clear" w:color="auto" w:fill="FF0000"/>
            <w:noWrap/>
            <w:vAlign w:val="bottom"/>
          </w:tcPr>
          <w:p w14:paraId="56C43AB9" w14:textId="77777777" w:rsidR="008A4FED" w:rsidRPr="00666914" w:rsidRDefault="008A4FED" w:rsidP="004D30E9">
            <w:pPr>
              <w:spacing w:after="0"/>
              <w:jc w:val="left"/>
              <w:rPr>
                <w:rFonts w:eastAsia="Times New Roman"/>
                <w:color w:val="000000"/>
                <w:sz w:val="20"/>
                <w:szCs w:val="20"/>
                <w:lang w:eastAsia="sk-SK"/>
              </w:rPr>
            </w:pPr>
          </w:p>
        </w:tc>
        <w:tc>
          <w:tcPr>
            <w:tcW w:w="272" w:type="pct"/>
            <w:tcBorders>
              <w:top w:val="single" w:sz="4" w:space="0" w:color="auto"/>
              <w:left w:val="nil"/>
              <w:bottom w:val="single" w:sz="4" w:space="0" w:color="auto"/>
              <w:right w:val="single" w:sz="4" w:space="0" w:color="auto"/>
            </w:tcBorders>
            <w:shd w:val="clear" w:color="auto" w:fill="FF0000"/>
            <w:noWrap/>
            <w:vAlign w:val="bottom"/>
          </w:tcPr>
          <w:p w14:paraId="410DAE90" w14:textId="77777777" w:rsidR="008A4FED" w:rsidRPr="00666914" w:rsidRDefault="008A4FED" w:rsidP="004D30E9">
            <w:pPr>
              <w:spacing w:after="0"/>
              <w:jc w:val="left"/>
              <w:rPr>
                <w:rFonts w:eastAsia="Times New Roman"/>
                <w:color w:val="000000"/>
                <w:sz w:val="20"/>
                <w:szCs w:val="20"/>
                <w:lang w:eastAsia="sk-SK"/>
              </w:rPr>
            </w:pPr>
          </w:p>
        </w:tc>
        <w:tc>
          <w:tcPr>
            <w:tcW w:w="263"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44EE9E9B" w14:textId="77777777" w:rsidR="008A4FED" w:rsidRPr="00666914" w:rsidRDefault="008A4FED" w:rsidP="004D30E9">
            <w:pPr>
              <w:spacing w:after="0"/>
              <w:jc w:val="left"/>
              <w:rPr>
                <w:rFonts w:eastAsia="Times New Roman"/>
                <w:color w:val="000000"/>
                <w:sz w:val="20"/>
                <w:szCs w:val="20"/>
                <w:lang w:eastAsia="sk-SK"/>
              </w:rPr>
            </w:pPr>
          </w:p>
        </w:tc>
      </w:tr>
      <w:tr w:rsidR="008A4FED" w:rsidRPr="00666914" w14:paraId="37A1BA5D" w14:textId="77777777" w:rsidTr="002E71E9">
        <w:trPr>
          <w:trHeight w:val="302"/>
        </w:trPr>
        <w:tc>
          <w:tcPr>
            <w:tcW w:w="208" w:type="pct"/>
            <w:tcBorders>
              <w:top w:val="single" w:sz="4" w:space="0" w:color="auto"/>
              <w:left w:val="single" w:sz="4" w:space="0" w:color="auto"/>
              <w:bottom w:val="nil"/>
              <w:right w:val="single" w:sz="4" w:space="0" w:color="auto"/>
            </w:tcBorders>
            <w:shd w:val="clear" w:color="auto" w:fill="auto"/>
            <w:vAlign w:val="center"/>
          </w:tcPr>
          <w:p w14:paraId="00229E97"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14</w:t>
            </w:r>
          </w:p>
        </w:tc>
        <w:tc>
          <w:tcPr>
            <w:tcW w:w="380" w:type="pct"/>
            <w:tcBorders>
              <w:top w:val="single" w:sz="4" w:space="0" w:color="auto"/>
              <w:left w:val="single" w:sz="4" w:space="0" w:color="auto"/>
              <w:bottom w:val="nil"/>
              <w:right w:val="single" w:sz="4" w:space="0" w:color="auto"/>
            </w:tcBorders>
            <w:vAlign w:val="center"/>
          </w:tcPr>
          <w:p w14:paraId="4B2AB95B"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II.</w:t>
            </w:r>
          </w:p>
        </w:tc>
        <w:tc>
          <w:tcPr>
            <w:tcW w:w="1564" w:type="pct"/>
            <w:tcBorders>
              <w:top w:val="single" w:sz="4" w:space="0" w:color="auto"/>
              <w:left w:val="single" w:sz="4" w:space="0" w:color="auto"/>
              <w:bottom w:val="nil"/>
              <w:right w:val="single" w:sz="4" w:space="0" w:color="auto"/>
            </w:tcBorders>
            <w:shd w:val="clear" w:color="auto" w:fill="auto"/>
            <w:vAlign w:val="center"/>
          </w:tcPr>
          <w:p w14:paraId="4115C23C"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Zmena financovania RTG</w:t>
            </w:r>
          </w:p>
        </w:tc>
        <w:tc>
          <w:tcPr>
            <w:tcW w:w="735" w:type="pct"/>
            <w:tcBorders>
              <w:top w:val="single" w:sz="4" w:space="0" w:color="auto"/>
              <w:left w:val="nil"/>
              <w:bottom w:val="nil"/>
              <w:right w:val="single" w:sz="4" w:space="0" w:color="auto"/>
            </w:tcBorders>
            <w:shd w:val="clear" w:color="auto" w:fill="auto"/>
            <w:vAlign w:val="center"/>
          </w:tcPr>
          <w:p w14:paraId="7AC9486B"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 ZP</w:t>
            </w:r>
          </w:p>
        </w:tc>
        <w:tc>
          <w:tcPr>
            <w:tcW w:w="514" w:type="pct"/>
            <w:tcBorders>
              <w:top w:val="single" w:sz="4" w:space="0" w:color="auto"/>
              <w:left w:val="nil"/>
              <w:bottom w:val="nil"/>
              <w:right w:val="single" w:sz="4" w:space="0" w:color="auto"/>
            </w:tcBorders>
            <w:shd w:val="clear" w:color="auto" w:fill="auto"/>
            <w:vAlign w:val="center"/>
          </w:tcPr>
          <w:p w14:paraId="16EC1BCC"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31.12.2019</w:t>
            </w:r>
          </w:p>
        </w:tc>
        <w:tc>
          <w:tcPr>
            <w:tcW w:w="517" w:type="pct"/>
            <w:tcBorders>
              <w:top w:val="single" w:sz="4" w:space="0" w:color="auto"/>
              <w:left w:val="nil"/>
              <w:bottom w:val="nil"/>
              <w:right w:val="single" w:sz="4" w:space="0" w:color="auto"/>
            </w:tcBorders>
            <w:shd w:val="clear" w:color="auto" w:fill="auto"/>
            <w:vAlign w:val="center"/>
          </w:tcPr>
          <w:p w14:paraId="7AF31C60"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w:t>
            </w:r>
          </w:p>
        </w:tc>
        <w:tc>
          <w:tcPr>
            <w:tcW w:w="275" w:type="pct"/>
            <w:tcBorders>
              <w:top w:val="single" w:sz="4" w:space="0" w:color="auto"/>
              <w:left w:val="nil"/>
              <w:bottom w:val="nil"/>
              <w:right w:val="single" w:sz="4" w:space="0" w:color="auto"/>
            </w:tcBorders>
            <w:shd w:val="clear" w:color="auto" w:fill="FF0000"/>
            <w:noWrap/>
            <w:vAlign w:val="bottom"/>
          </w:tcPr>
          <w:p w14:paraId="5B9482B6"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color w:val="000000"/>
                <w:sz w:val="20"/>
                <w:szCs w:val="20"/>
                <w:lang w:eastAsia="sk-SK"/>
              </w:rPr>
              <w:t> </w:t>
            </w:r>
          </w:p>
        </w:tc>
        <w:tc>
          <w:tcPr>
            <w:tcW w:w="272" w:type="pct"/>
            <w:tcBorders>
              <w:top w:val="single" w:sz="4" w:space="0" w:color="auto"/>
              <w:left w:val="nil"/>
              <w:bottom w:val="nil"/>
              <w:right w:val="single" w:sz="4" w:space="0" w:color="auto"/>
            </w:tcBorders>
            <w:shd w:val="clear" w:color="auto" w:fill="FF0000"/>
            <w:noWrap/>
            <w:vAlign w:val="bottom"/>
          </w:tcPr>
          <w:p w14:paraId="6B67796C"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color w:val="000000"/>
                <w:sz w:val="20"/>
                <w:szCs w:val="20"/>
                <w:lang w:eastAsia="sk-SK"/>
              </w:rPr>
              <w:t> </w:t>
            </w:r>
          </w:p>
        </w:tc>
        <w:tc>
          <w:tcPr>
            <w:tcW w:w="272" w:type="pct"/>
            <w:tcBorders>
              <w:top w:val="single" w:sz="4" w:space="0" w:color="auto"/>
              <w:left w:val="nil"/>
              <w:bottom w:val="nil"/>
              <w:right w:val="single" w:sz="4" w:space="0" w:color="auto"/>
            </w:tcBorders>
            <w:shd w:val="clear" w:color="auto" w:fill="FF0000"/>
            <w:noWrap/>
            <w:vAlign w:val="bottom"/>
          </w:tcPr>
          <w:p w14:paraId="7BAA275B" w14:textId="77777777" w:rsidR="008A4FED" w:rsidRPr="00666914" w:rsidRDefault="008A4FED" w:rsidP="004D30E9">
            <w:pPr>
              <w:spacing w:after="0"/>
              <w:jc w:val="center"/>
              <w:rPr>
                <w:rFonts w:eastAsia="Times New Roman"/>
                <w:b/>
                <w:bCs/>
                <w:color w:val="000000"/>
                <w:sz w:val="20"/>
                <w:szCs w:val="20"/>
                <w:lang w:eastAsia="sk-SK"/>
              </w:rPr>
            </w:pPr>
          </w:p>
        </w:tc>
        <w:tc>
          <w:tcPr>
            <w:tcW w:w="263" w:type="pct"/>
            <w:tcBorders>
              <w:top w:val="single" w:sz="4" w:space="0" w:color="auto"/>
              <w:left w:val="single" w:sz="4" w:space="0" w:color="auto"/>
              <w:bottom w:val="nil"/>
              <w:right w:val="single" w:sz="4" w:space="0" w:color="auto"/>
            </w:tcBorders>
            <w:shd w:val="clear" w:color="auto" w:fill="FFC000"/>
            <w:noWrap/>
            <w:vAlign w:val="bottom"/>
          </w:tcPr>
          <w:p w14:paraId="49B4C977" w14:textId="77777777" w:rsidR="008A4FED" w:rsidRPr="00666914" w:rsidRDefault="008A4FED" w:rsidP="004D30E9">
            <w:pPr>
              <w:spacing w:after="0"/>
              <w:rPr>
                <w:rFonts w:eastAsia="Times New Roman"/>
                <w:color w:val="000000"/>
                <w:sz w:val="20"/>
                <w:szCs w:val="20"/>
                <w:lang w:eastAsia="sk-SK"/>
              </w:rPr>
            </w:pPr>
          </w:p>
        </w:tc>
      </w:tr>
      <w:tr w:rsidR="008A4FED" w:rsidRPr="00666914" w14:paraId="4844F7D2" w14:textId="77777777" w:rsidTr="002E71E9">
        <w:trPr>
          <w:trHeight w:val="302"/>
        </w:trPr>
        <w:tc>
          <w:tcPr>
            <w:tcW w:w="5000" w:type="pct"/>
            <w:gridSpan w:val="10"/>
            <w:tcBorders>
              <w:top w:val="single" w:sz="8" w:space="0" w:color="auto"/>
              <w:left w:val="single" w:sz="4" w:space="0" w:color="auto"/>
              <w:bottom w:val="single" w:sz="8" w:space="0" w:color="auto"/>
              <w:right w:val="single" w:sz="4" w:space="0" w:color="auto"/>
            </w:tcBorders>
            <w:shd w:val="clear" w:color="auto" w:fill="auto"/>
            <w:vAlign w:val="center"/>
          </w:tcPr>
          <w:p w14:paraId="52775D59"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NEMOCNICE</w:t>
            </w:r>
          </w:p>
        </w:tc>
      </w:tr>
      <w:tr w:rsidR="008A4FED" w:rsidRPr="00666914" w14:paraId="1B44926C" w14:textId="77777777" w:rsidTr="002E71E9">
        <w:trPr>
          <w:trHeight w:val="310"/>
        </w:trPr>
        <w:tc>
          <w:tcPr>
            <w:tcW w:w="208" w:type="pct"/>
            <w:tcBorders>
              <w:top w:val="nil"/>
              <w:left w:val="single" w:sz="4" w:space="0" w:color="auto"/>
              <w:bottom w:val="single" w:sz="4" w:space="0" w:color="auto"/>
              <w:right w:val="single" w:sz="4" w:space="0" w:color="auto"/>
            </w:tcBorders>
            <w:shd w:val="clear" w:color="auto" w:fill="auto"/>
            <w:vAlign w:val="center"/>
            <w:hideMark/>
          </w:tcPr>
          <w:p w14:paraId="18E420FD"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15</w:t>
            </w:r>
          </w:p>
        </w:tc>
        <w:tc>
          <w:tcPr>
            <w:tcW w:w="380" w:type="pct"/>
            <w:tcBorders>
              <w:top w:val="nil"/>
              <w:left w:val="single" w:sz="4" w:space="0" w:color="auto"/>
              <w:bottom w:val="single" w:sz="4" w:space="0" w:color="auto"/>
              <w:right w:val="single" w:sz="4" w:space="0" w:color="auto"/>
            </w:tcBorders>
            <w:vAlign w:val="center"/>
          </w:tcPr>
          <w:p w14:paraId="02D23A65"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5616D5CF"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Optimalizácia prevádzkových nákladov </w:t>
            </w:r>
          </w:p>
        </w:tc>
        <w:tc>
          <w:tcPr>
            <w:tcW w:w="735" w:type="pct"/>
            <w:tcBorders>
              <w:top w:val="nil"/>
              <w:left w:val="nil"/>
              <w:bottom w:val="single" w:sz="4" w:space="0" w:color="auto"/>
              <w:right w:val="single" w:sz="4" w:space="0" w:color="auto"/>
            </w:tcBorders>
            <w:shd w:val="clear" w:color="auto" w:fill="auto"/>
            <w:vAlign w:val="center"/>
            <w:hideMark/>
          </w:tcPr>
          <w:p w14:paraId="45154AFB"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 nemocnice</w:t>
            </w:r>
          </w:p>
        </w:tc>
        <w:tc>
          <w:tcPr>
            <w:tcW w:w="514" w:type="pct"/>
            <w:tcBorders>
              <w:top w:val="nil"/>
              <w:left w:val="nil"/>
              <w:bottom w:val="single" w:sz="4" w:space="0" w:color="auto"/>
              <w:right w:val="single" w:sz="4" w:space="0" w:color="auto"/>
            </w:tcBorders>
            <w:shd w:val="clear" w:color="auto" w:fill="auto"/>
            <w:vAlign w:val="center"/>
            <w:hideMark/>
          </w:tcPr>
          <w:p w14:paraId="5CEA556D"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24DC1310" w14:textId="77777777" w:rsidR="008A4FED" w:rsidRPr="00666914" w:rsidRDefault="008A4FED" w:rsidP="004D30E9">
            <w:pPr>
              <w:spacing w:after="0"/>
              <w:jc w:val="center"/>
              <w:rPr>
                <w:rFonts w:eastAsia="Times New Roman"/>
                <w:color w:val="000000"/>
                <w:sz w:val="20"/>
                <w:szCs w:val="20"/>
                <w:highlight w:val="yellow"/>
                <w:lang w:eastAsia="sk-SK"/>
              </w:rPr>
            </w:pPr>
            <w:r w:rsidRPr="00666914">
              <w:rPr>
                <w:rFonts w:eastAsia="Times New Roman"/>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C00000"/>
            <w:noWrap/>
            <w:vAlign w:val="bottom"/>
            <w:hideMark/>
          </w:tcPr>
          <w:p w14:paraId="29D405D6"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 </w:t>
            </w:r>
          </w:p>
        </w:tc>
        <w:tc>
          <w:tcPr>
            <w:tcW w:w="272" w:type="pct"/>
            <w:tcBorders>
              <w:top w:val="nil"/>
              <w:left w:val="nil"/>
              <w:bottom w:val="single" w:sz="4" w:space="0" w:color="auto"/>
              <w:right w:val="single" w:sz="4" w:space="0" w:color="auto"/>
            </w:tcBorders>
            <w:shd w:val="clear" w:color="auto" w:fill="C00000"/>
            <w:noWrap/>
            <w:vAlign w:val="bottom"/>
            <w:hideMark/>
          </w:tcPr>
          <w:p w14:paraId="45F09EFC"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 </w:t>
            </w:r>
          </w:p>
        </w:tc>
        <w:tc>
          <w:tcPr>
            <w:tcW w:w="272" w:type="pct"/>
            <w:tcBorders>
              <w:top w:val="nil"/>
              <w:left w:val="nil"/>
              <w:bottom w:val="single" w:sz="4" w:space="0" w:color="auto"/>
              <w:right w:val="single" w:sz="4" w:space="0" w:color="auto"/>
            </w:tcBorders>
            <w:shd w:val="clear" w:color="auto" w:fill="C00000"/>
            <w:noWrap/>
            <w:vAlign w:val="bottom"/>
            <w:hideMark/>
          </w:tcPr>
          <w:p w14:paraId="3B1004E3"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 </w:t>
            </w:r>
          </w:p>
        </w:tc>
        <w:tc>
          <w:tcPr>
            <w:tcW w:w="263" w:type="pct"/>
            <w:tcBorders>
              <w:top w:val="nil"/>
              <w:left w:val="single" w:sz="4" w:space="0" w:color="auto"/>
              <w:bottom w:val="single" w:sz="4" w:space="0" w:color="auto"/>
              <w:right w:val="single" w:sz="4" w:space="0" w:color="auto"/>
            </w:tcBorders>
            <w:shd w:val="clear" w:color="auto" w:fill="C00000"/>
            <w:noWrap/>
            <w:vAlign w:val="bottom"/>
            <w:hideMark/>
          </w:tcPr>
          <w:p w14:paraId="70983C0C"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 </w:t>
            </w:r>
          </w:p>
        </w:tc>
      </w:tr>
      <w:tr w:rsidR="008A4FED" w:rsidRPr="00666914" w14:paraId="1DDB6D1A" w14:textId="77777777" w:rsidTr="002E71E9">
        <w:trPr>
          <w:trHeight w:val="287"/>
        </w:trPr>
        <w:tc>
          <w:tcPr>
            <w:tcW w:w="208" w:type="pct"/>
            <w:tcBorders>
              <w:top w:val="nil"/>
              <w:left w:val="single" w:sz="4" w:space="0" w:color="auto"/>
              <w:bottom w:val="single" w:sz="4" w:space="0" w:color="auto"/>
              <w:right w:val="single" w:sz="4" w:space="0" w:color="auto"/>
            </w:tcBorders>
            <w:shd w:val="clear" w:color="auto" w:fill="auto"/>
            <w:vAlign w:val="center"/>
            <w:hideMark/>
          </w:tcPr>
          <w:p w14:paraId="30B1E8AA"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16</w:t>
            </w:r>
          </w:p>
        </w:tc>
        <w:tc>
          <w:tcPr>
            <w:tcW w:w="380" w:type="pct"/>
            <w:tcBorders>
              <w:top w:val="nil"/>
              <w:left w:val="single" w:sz="4" w:space="0" w:color="auto"/>
              <w:bottom w:val="single" w:sz="4" w:space="0" w:color="auto"/>
              <w:right w:val="single" w:sz="4" w:space="0" w:color="auto"/>
            </w:tcBorders>
            <w:vAlign w:val="center"/>
          </w:tcPr>
          <w:p w14:paraId="34379AC6"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54396FAD"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Optimalizácia procesov ÚZS</w:t>
            </w:r>
          </w:p>
        </w:tc>
        <w:tc>
          <w:tcPr>
            <w:tcW w:w="735" w:type="pct"/>
            <w:tcBorders>
              <w:top w:val="nil"/>
              <w:left w:val="nil"/>
              <w:bottom w:val="single" w:sz="4" w:space="0" w:color="auto"/>
              <w:right w:val="single" w:sz="4" w:space="0" w:color="auto"/>
            </w:tcBorders>
            <w:shd w:val="clear" w:color="auto" w:fill="auto"/>
            <w:vAlign w:val="center"/>
            <w:hideMark/>
          </w:tcPr>
          <w:p w14:paraId="3A7E2035"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 nemocnice</w:t>
            </w:r>
          </w:p>
        </w:tc>
        <w:tc>
          <w:tcPr>
            <w:tcW w:w="514" w:type="pct"/>
            <w:tcBorders>
              <w:top w:val="nil"/>
              <w:left w:val="nil"/>
              <w:bottom w:val="single" w:sz="4" w:space="0" w:color="auto"/>
              <w:right w:val="single" w:sz="4" w:space="0" w:color="auto"/>
            </w:tcBorders>
            <w:shd w:val="clear" w:color="auto" w:fill="auto"/>
            <w:vAlign w:val="center"/>
            <w:hideMark/>
          </w:tcPr>
          <w:p w14:paraId="13A65B5C"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700BA48C"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C00000"/>
            <w:noWrap/>
            <w:vAlign w:val="bottom"/>
            <w:hideMark/>
          </w:tcPr>
          <w:p w14:paraId="09B47DAF"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C00000"/>
            <w:noWrap/>
            <w:vAlign w:val="bottom"/>
            <w:hideMark/>
          </w:tcPr>
          <w:p w14:paraId="6C46488F"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C00000"/>
            <w:noWrap/>
            <w:vAlign w:val="bottom"/>
            <w:hideMark/>
          </w:tcPr>
          <w:p w14:paraId="5F5A99AC"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3" w:type="pct"/>
            <w:tcBorders>
              <w:top w:val="nil"/>
              <w:left w:val="single" w:sz="4" w:space="0" w:color="auto"/>
              <w:bottom w:val="single" w:sz="4" w:space="0" w:color="auto"/>
              <w:right w:val="single" w:sz="4" w:space="0" w:color="auto"/>
            </w:tcBorders>
            <w:shd w:val="clear" w:color="auto" w:fill="C00000"/>
            <w:noWrap/>
            <w:vAlign w:val="bottom"/>
            <w:hideMark/>
          </w:tcPr>
          <w:p w14:paraId="31C641EA"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42DFBAA1" w14:textId="77777777" w:rsidTr="002E71E9">
        <w:trPr>
          <w:trHeight w:val="287"/>
        </w:trPr>
        <w:tc>
          <w:tcPr>
            <w:tcW w:w="208" w:type="pct"/>
            <w:tcBorders>
              <w:top w:val="nil"/>
              <w:left w:val="single" w:sz="4" w:space="0" w:color="auto"/>
              <w:bottom w:val="single" w:sz="4" w:space="0" w:color="auto"/>
              <w:right w:val="single" w:sz="4" w:space="0" w:color="auto"/>
            </w:tcBorders>
            <w:shd w:val="clear" w:color="auto" w:fill="auto"/>
            <w:vAlign w:val="center"/>
            <w:hideMark/>
          </w:tcPr>
          <w:p w14:paraId="05F52FAD"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17</w:t>
            </w:r>
          </w:p>
        </w:tc>
        <w:tc>
          <w:tcPr>
            <w:tcW w:w="380" w:type="pct"/>
            <w:tcBorders>
              <w:top w:val="nil"/>
              <w:left w:val="single" w:sz="4" w:space="0" w:color="auto"/>
              <w:bottom w:val="single" w:sz="4" w:space="0" w:color="auto"/>
              <w:right w:val="single" w:sz="4" w:space="0" w:color="auto"/>
            </w:tcBorders>
            <w:vAlign w:val="center"/>
          </w:tcPr>
          <w:p w14:paraId="2A32C04A"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78079273"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Optimalizácia nákupu liekov a ŠZM</w:t>
            </w:r>
          </w:p>
        </w:tc>
        <w:tc>
          <w:tcPr>
            <w:tcW w:w="735" w:type="pct"/>
            <w:tcBorders>
              <w:top w:val="nil"/>
              <w:left w:val="nil"/>
              <w:bottom w:val="single" w:sz="4" w:space="0" w:color="auto"/>
              <w:right w:val="single" w:sz="4" w:space="0" w:color="auto"/>
            </w:tcBorders>
            <w:shd w:val="clear" w:color="auto" w:fill="auto"/>
            <w:vAlign w:val="center"/>
            <w:hideMark/>
          </w:tcPr>
          <w:p w14:paraId="558A2F20"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 nemocnice</w:t>
            </w:r>
          </w:p>
        </w:tc>
        <w:tc>
          <w:tcPr>
            <w:tcW w:w="514" w:type="pct"/>
            <w:tcBorders>
              <w:top w:val="nil"/>
              <w:left w:val="nil"/>
              <w:bottom w:val="single" w:sz="4" w:space="0" w:color="auto"/>
              <w:right w:val="single" w:sz="4" w:space="0" w:color="auto"/>
            </w:tcBorders>
            <w:shd w:val="clear" w:color="auto" w:fill="auto"/>
            <w:vAlign w:val="center"/>
            <w:hideMark/>
          </w:tcPr>
          <w:p w14:paraId="313EC773"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31.12.2019</w:t>
            </w:r>
          </w:p>
        </w:tc>
        <w:tc>
          <w:tcPr>
            <w:tcW w:w="517" w:type="pct"/>
            <w:tcBorders>
              <w:top w:val="nil"/>
              <w:left w:val="nil"/>
              <w:bottom w:val="single" w:sz="4" w:space="0" w:color="auto"/>
              <w:right w:val="single" w:sz="4" w:space="0" w:color="auto"/>
            </w:tcBorders>
            <w:shd w:val="clear" w:color="auto" w:fill="auto"/>
            <w:vAlign w:val="center"/>
            <w:hideMark/>
          </w:tcPr>
          <w:p w14:paraId="50766509"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w:t>
            </w:r>
          </w:p>
        </w:tc>
        <w:tc>
          <w:tcPr>
            <w:tcW w:w="275" w:type="pct"/>
            <w:tcBorders>
              <w:top w:val="nil"/>
              <w:left w:val="nil"/>
              <w:bottom w:val="single" w:sz="4" w:space="0" w:color="auto"/>
              <w:right w:val="single" w:sz="4" w:space="0" w:color="auto"/>
            </w:tcBorders>
            <w:shd w:val="clear" w:color="auto" w:fill="C00000"/>
            <w:noWrap/>
            <w:vAlign w:val="bottom"/>
            <w:hideMark/>
          </w:tcPr>
          <w:p w14:paraId="690EF770"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C00000"/>
            <w:noWrap/>
            <w:vAlign w:val="bottom"/>
            <w:hideMark/>
          </w:tcPr>
          <w:p w14:paraId="7E377679"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C00000"/>
            <w:noWrap/>
            <w:vAlign w:val="bottom"/>
            <w:hideMark/>
          </w:tcPr>
          <w:p w14:paraId="30C90AA7"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3" w:type="pct"/>
            <w:tcBorders>
              <w:top w:val="nil"/>
              <w:left w:val="single" w:sz="4" w:space="0" w:color="auto"/>
              <w:bottom w:val="single" w:sz="4" w:space="0" w:color="auto"/>
              <w:right w:val="single" w:sz="4" w:space="0" w:color="auto"/>
            </w:tcBorders>
            <w:shd w:val="clear" w:color="auto" w:fill="C00000"/>
            <w:noWrap/>
            <w:vAlign w:val="bottom"/>
            <w:hideMark/>
          </w:tcPr>
          <w:p w14:paraId="2BAA648A"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0565EF29" w14:textId="77777777" w:rsidTr="002E71E9">
        <w:trPr>
          <w:trHeight w:val="287"/>
        </w:trPr>
        <w:tc>
          <w:tcPr>
            <w:tcW w:w="208" w:type="pct"/>
            <w:tcBorders>
              <w:top w:val="nil"/>
              <w:left w:val="single" w:sz="4" w:space="0" w:color="auto"/>
              <w:bottom w:val="single" w:sz="4" w:space="0" w:color="auto"/>
              <w:right w:val="single" w:sz="4" w:space="0" w:color="auto"/>
            </w:tcBorders>
            <w:shd w:val="clear" w:color="auto" w:fill="auto"/>
            <w:vAlign w:val="center"/>
            <w:hideMark/>
          </w:tcPr>
          <w:p w14:paraId="1C078AAE"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18</w:t>
            </w:r>
          </w:p>
        </w:tc>
        <w:tc>
          <w:tcPr>
            <w:tcW w:w="380" w:type="pct"/>
            <w:tcBorders>
              <w:top w:val="nil"/>
              <w:left w:val="single" w:sz="4" w:space="0" w:color="auto"/>
              <w:bottom w:val="single" w:sz="4" w:space="0" w:color="auto"/>
              <w:right w:val="single" w:sz="4" w:space="0" w:color="auto"/>
            </w:tcBorders>
            <w:vAlign w:val="center"/>
          </w:tcPr>
          <w:p w14:paraId="68600708"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46FAA53B"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ŠZM - referencovanie kategorizovaného ŠZM</w:t>
            </w:r>
          </w:p>
        </w:tc>
        <w:tc>
          <w:tcPr>
            <w:tcW w:w="735" w:type="pct"/>
            <w:tcBorders>
              <w:top w:val="nil"/>
              <w:left w:val="nil"/>
              <w:bottom w:val="single" w:sz="4" w:space="0" w:color="auto"/>
              <w:right w:val="single" w:sz="4" w:space="0" w:color="auto"/>
            </w:tcBorders>
            <w:shd w:val="clear" w:color="auto" w:fill="auto"/>
            <w:vAlign w:val="center"/>
            <w:hideMark/>
          </w:tcPr>
          <w:p w14:paraId="18A1B4C8"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w:t>
            </w:r>
          </w:p>
        </w:tc>
        <w:tc>
          <w:tcPr>
            <w:tcW w:w="514" w:type="pct"/>
            <w:tcBorders>
              <w:top w:val="nil"/>
              <w:left w:val="nil"/>
              <w:bottom w:val="single" w:sz="4" w:space="0" w:color="auto"/>
              <w:right w:val="single" w:sz="4" w:space="0" w:color="auto"/>
            </w:tcBorders>
            <w:shd w:val="clear" w:color="auto" w:fill="auto"/>
            <w:vAlign w:val="center"/>
            <w:hideMark/>
          </w:tcPr>
          <w:p w14:paraId="0EA12929"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31.12.2019</w:t>
            </w:r>
          </w:p>
        </w:tc>
        <w:tc>
          <w:tcPr>
            <w:tcW w:w="517" w:type="pct"/>
            <w:tcBorders>
              <w:top w:val="nil"/>
              <w:left w:val="nil"/>
              <w:bottom w:val="single" w:sz="4" w:space="0" w:color="auto"/>
              <w:right w:val="single" w:sz="4" w:space="0" w:color="auto"/>
            </w:tcBorders>
            <w:shd w:val="clear" w:color="auto" w:fill="auto"/>
            <w:vAlign w:val="center"/>
            <w:hideMark/>
          </w:tcPr>
          <w:p w14:paraId="57B4CED4" w14:textId="77777777" w:rsidR="008A4FED" w:rsidRPr="00666914" w:rsidRDefault="008A4FED" w:rsidP="004D30E9">
            <w:pPr>
              <w:spacing w:after="0"/>
              <w:jc w:val="center"/>
              <w:rPr>
                <w:rFonts w:eastAsia="Times New Roman"/>
                <w:color w:val="000000"/>
                <w:sz w:val="20"/>
                <w:szCs w:val="20"/>
                <w:highlight w:val="yellow"/>
                <w:lang w:eastAsia="sk-SK"/>
              </w:rPr>
            </w:pPr>
            <w:r w:rsidRPr="00666914">
              <w:rPr>
                <w:rFonts w:eastAsia="Times New Roman"/>
                <w:color w:val="000000"/>
                <w:sz w:val="20"/>
                <w:szCs w:val="20"/>
                <w:lang w:eastAsia="sk-SK"/>
              </w:rPr>
              <w:t>-</w:t>
            </w:r>
          </w:p>
        </w:tc>
        <w:tc>
          <w:tcPr>
            <w:tcW w:w="275" w:type="pct"/>
            <w:tcBorders>
              <w:top w:val="nil"/>
              <w:left w:val="nil"/>
              <w:bottom w:val="single" w:sz="4" w:space="0" w:color="auto"/>
              <w:right w:val="single" w:sz="4" w:space="0" w:color="auto"/>
            </w:tcBorders>
            <w:shd w:val="clear" w:color="auto" w:fill="FF0000"/>
            <w:noWrap/>
            <w:vAlign w:val="bottom"/>
            <w:hideMark/>
          </w:tcPr>
          <w:p w14:paraId="4E6F790D"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0000"/>
            <w:noWrap/>
            <w:vAlign w:val="bottom"/>
            <w:hideMark/>
          </w:tcPr>
          <w:p w14:paraId="2583BFFD"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0000"/>
            <w:noWrap/>
            <w:vAlign w:val="bottom"/>
            <w:hideMark/>
          </w:tcPr>
          <w:p w14:paraId="4A6925B3"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3" w:type="pct"/>
            <w:tcBorders>
              <w:top w:val="nil"/>
              <w:left w:val="single" w:sz="4" w:space="0" w:color="auto"/>
              <w:bottom w:val="single" w:sz="4" w:space="0" w:color="auto"/>
              <w:right w:val="single" w:sz="4" w:space="0" w:color="auto"/>
            </w:tcBorders>
            <w:shd w:val="clear" w:color="auto" w:fill="FF0000"/>
            <w:noWrap/>
            <w:vAlign w:val="bottom"/>
            <w:hideMark/>
          </w:tcPr>
          <w:p w14:paraId="3ED8273C"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38B13F9A" w14:textId="77777777" w:rsidTr="002E71E9">
        <w:trPr>
          <w:trHeight w:val="287"/>
        </w:trPr>
        <w:tc>
          <w:tcPr>
            <w:tcW w:w="208" w:type="pct"/>
            <w:tcBorders>
              <w:top w:val="nil"/>
              <w:left w:val="single" w:sz="4" w:space="0" w:color="auto"/>
              <w:bottom w:val="single" w:sz="4" w:space="0" w:color="auto"/>
              <w:right w:val="single" w:sz="4" w:space="0" w:color="auto"/>
            </w:tcBorders>
            <w:shd w:val="clear" w:color="auto" w:fill="auto"/>
            <w:vAlign w:val="center"/>
            <w:hideMark/>
          </w:tcPr>
          <w:p w14:paraId="32949A83"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19</w:t>
            </w:r>
          </w:p>
        </w:tc>
        <w:tc>
          <w:tcPr>
            <w:tcW w:w="380" w:type="pct"/>
            <w:tcBorders>
              <w:top w:val="nil"/>
              <w:left w:val="single" w:sz="4" w:space="0" w:color="auto"/>
              <w:bottom w:val="single" w:sz="4" w:space="0" w:color="auto"/>
              <w:right w:val="single" w:sz="4" w:space="0" w:color="auto"/>
            </w:tcBorders>
            <w:vAlign w:val="center"/>
          </w:tcPr>
          <w:p w14:paraId="09F86A49"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 a II.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1A122C11"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Úprava siete akútnych nemocníc a reprofilizácia nemocníc</w:t>
            </w:r>
          </w:p>
          <w:p w14:paraId="46314ED5"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(stratifikácia siete nemocníc)</w:t>
            </w:r>
          </w:p>
        </w:tc>
        <w:tc>
          <w:tcPr>
            <w:tcW w:w="735" w:type="pct"/>
            <w:tcBorders>
              <w:top w:val="nil"/>
              <w:left w:val="nil"/>
              <w:bottom w:val="single" w:sz="4" w:space="0" w:color="auto"/>
              <w:right w:val="single" w:sz="4" w:space="0" w:color="auto"/>
            </w:tcBorders>
            <w:shd w:val="clear" w:color="auto" w:fill="auto"/>
            <w:vAlign w:val="center"/>
            <w:hideMark/>
          </w:tcPr>
          <w:p w14:paraId="6CAA263B"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w:t>
            </w:r>
          </w:p>
        </w:tc>
        <w:tc>
          <w:tcPr>
            <w:tcW w:w="514" w:type="pct"/>
            <w:tcBorders>
              <w:top w:val="nil"/>
              <w:left w:val="nil"/>
              <w:bottom w:val="single" w:sz="4" w:space="0" w:color="auto"/>
              <w:right w:val="single" w:sz="4" w:space="0" w:color="auto"/>
            </w:tcBorders>
            <w:shd w:val="clear" w:color="auto" w:fill="auto"/>
            <w:vAlign w:val="center"/>
            <w:hideMark/>
          </w:tcPr>
          <w:p w14:paraId="56899201"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w:t>
            </w:r>
          </w:p>
        </w:tc>
        <w:tc>
          <w:tcPr>
            <w:tcW w:w="517" w:type="pct"/>
            <w:tcBorders>
              <w:top w:val="nil"/>
              <w:left w:val="nil"/>
              <w:bottom w:val="single" w:sz="4" w:space="0" w:color="auto"/>
              <w:right w:val="single" w:sz="4" w:space="0" w:color="auto"/>
            </w:tcBorders>
            <w:shd w:val="clear" w:color="auto" w:fill="auto"/>
            <w:vAlign w:val="center"/>
            <w:hideMark/>
          </w:tcPr>
          <w:p w14:paraId="76B311D8" w14:textId="77777777" w:rsidR="008A4FED" w:rsidRPr="00666914" w:rsidRDefault="008A4FED" w:rsidP="004D30E9">
            <w:pPr>
              <w:spacing w:after="0"/>
              <w:jc w:val="center"/>
              <w:rPr>
                <w:rFonts w:eastAsia="Times New Roman"/>
                <w:color w:val="000000"/>
                <w:sz w:val="20"/>
                <w:szCs w:val="20"/>
                <w:highlight w:val="yellow"/>
                <w:lang w:eastAsia="sk-SK"/>
              </w:rPr>
            </w:pPr>
            <w:r w:rsidRPr="00666914">
              <w:rPr>
                <w:rFonts w:eastAsia="Times New Roman"/>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FF0000"/>
            <w:noWrap/>
            <w:vAlign w:val="bottom"/>
            <w:hideMark/>
          </w:tcPr>
          <w:p w14:paraId="4EC0715F"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0000"/>
            <w:noWrap/>
            <w:vAlign w:val="bottom"/>
            <w:hideMark/>
          </w:tcPr>
          <w:p w14:paraId="47CA248D"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30E9034D"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3" w:type="pct"/>
            <w:tcBorders>
              <w:top w:val="nil"/>
              <w:left w:val="single" w:sz="4" w:space="0" w:color="auto"/>
              <w:bottom w:val="single" w:sz="4" w:space="0" w:color="auto"/>
              <w:right w:val="single" w:sz="4" w:space="0" w:color="auto"/>
            </w:tcBorders>
            <w:shd w:val="clear" w:color="auto" w:fill="FF0000"/>
            <w:noWrap/>
            <w:vAlign w:val="bottom"/>
            <w:hideMark/>
          </w:tcPr>
          <w:p w14:paraId="76305EC9"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6B740BED" w14:textId="77777777" w:rsidTr="002E71E9">
        <w:trPr>
          <w:trHeight w:val="287"/>
        </w:trPr>
        <w:tc>
          <w:tcPr>
            <w:tcW w:w="208" w:type="pct"/>
            <w:tcBorders>
              <w:top w:val="nil"/>
              <w:left w:val="single" w:sz="4" w:space="0" w:color="auto"/>
              <w:bottom w:val="single" w:sz="4" w:space="0" w:color="auto"/>
              <w:right w:val="single" w:sz="4" w:space="0" w:color="auto"/>
            </w:tcBorders>
            <w:shd w:val="clear" w:color="auto" w:fill="auto"/>
            <w:vAlign w:val="center"/>
            <w:hideMark/>
          </w:tcPr>
          <w:p w14:paraId="02E1D715"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20</w:t>
            </w:r>
          </w:p>
        </w:tc>
        <w:tc>
          <w:tcPr>
            <w:tcW w:w="380" w:type="pct"/>
            <w:tcBorders>
              <w:top w:val="nil"/>
              <w:left w:val="single" w:sz="4" w:space="0" w:color="auto"/>
              <w:bottom w:val="single" w:sz="4" w:space="0" w:color="auto"/>
              <w:right w:val="single" w:sz="4" w:space="0" w:color="auto"/>
            </w:tcBorders>
            <w:vAlign w:val="center"/>
          </w:tcPr>
          <w:p w14:paraId="2D04F5D4"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32579E82"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Zavedenie štandardných diagnostických a terapeutických postupov</w:t>
            </w:r>
          </w:p>
        </w:tc>
        <w:tc>
          <w:tcPr>
            <w:tcW w:w="735" w:type="pct"/>
            <w:tcBorders>
              <w:top w:val="nil"/>
              <w:left w:val="nil"/>
              <w:bottom w:val="single" w:sz="4" w:space="0" w:color="auto"/>
              <w:right w:val="single" w:sz="4" w:space="0" w:color="auto"/>
            </w:tcBorders>
            <w:shd w:val="clear" w:color="auto" w:fill="auto"/>
            <w:vAlign w:val="center"/>
            <w:hideMark/>
          </w:tcPr>
          <w:p w14:paraId="6668BF8F"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w:t>
            </w:r>
          </w:p>
        </w:tc>
        <w:tc>
          <w:tcPr>
            <w:tcW w:w="514" w:type="pct"/>
            <w:tcBorders>
              <w:top w:val="nil"/>
              <w:left w:val="nil"/>
              <w:bottom w:val="single" w:sz="4" w:space="0" w:color="auto"/>
              <w:right w:val="single" w:sz="4" w:space="0" w:color="auto"/>
            </w:tcBorders>
            <w:shd w:val="clear" w:color="auto" w:fill="auto"/>
            <w:vAlign w:val="center"/>
            <w:hideMark/>
          </w:tcPr>
          <w:p w14:paraId="5B89C516"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01.07.2018</w:t>
            </w:r>
          </w:p>
        </w:tc>
        <w:tc>
          <w:tcPr>
            <w:tcW w:w="517" w:type="pct"/>
            <w:tcBorders>
              <w:top w:val="nil"/>
              <w:left w:val="nil"/>
              <w:bottom w:val="single" w:sz="4" w:space="0" w:color="auto"/>
              <w:right w:val="single" w:sz="4" w:space="0" w:color="auto"/>
            </w:tcBorders>
            <w:shd w:val="clear" w:color="auto" w:fill="auto"/>
            <w:vAlign w:val="center"/>
            <w:hideMark/>
          </w:tcPr>
          <w:p w14:paraId="4F5ACBA9" w14:textId="77777777" w:rsidR="008A4FED" w:rsidRPr="00666914" w:rsidRDefault="008A4FED" w:rsidP="004D30E9">
            <w:pPr>
              <w:spacing w:after="0"/>
              <w:jc w:val="center"/>
              <w:rPr>
                <w:rFonts w:eastAsia="Times New Roman"/>
                <w:color w:val="000000"/>
                <w:sz w:val="20"/>
                <w:szCs w:val="20"/>
                <w:highlight w:val="yellow"/>
                <w:lang w:eastAsia="sk-SK"/>
              </w:rPr>
            </w:pPr>
            <w:r w:rsidRPr="00666914">
              <w:rPr>
                <w:rFonts w:eastAsia="Times New Roman"/>
                <w:color w:val="000000"/>
                <w:sz w:val="20"/>
                <w:szCs w:val="20"/>
                <w:lang w:eastAsia="sk-SK"/>
              </w:rPr>
              <w:t>30.06.2019</w:t>
            </w:r>
          </w:p>
        </w:tc>
        <w:tc>
          <w:tcPr>
            <w:tcW w:w="275" w:type="pct"/>
            <w:tcBorders>
              <w:top w:val="nil"/>
              <w:left w:val="nil"/>
              <w:bottom w:val="single" w:sz="4" w:space="0" w:color="auto"/>
              <w:right w:val="single" w:sz="4" w:space="0" w:color="auto"/>
            </w:tcBorders>
            <w:shd w:val="clear" w:color="auto" w:fill="FFC000"/>
            <w:noWrap/>
            <w:vAlign w:val="bottom"/>
            <w:hideMark/>
          </w:tcPr>
          <w:p w14:paraId="6943F719"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6F6B58B7"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04374E22"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3" w:type="pct"/>
            <w:tcBorders>
              <w:top w:val="nil"/>
              <w:left w:val="single" w:sz="4" w:space="0" w:color="auto"/>
              <w:bottom w:val="single" w:sz="4" w:space="0" w:color="auto"/>
              <w:right w:val="single" w:sz="4" w:space="0" w:color="auto"/>
            </w:tcBorders>
            <w:shd w:val="clear" w:color="auto" w:fill="FFC000"/>
            <w:noWrap/>
            <w:vAlign w:val="bottom"/>
            <w:hideMark/>
          </w:tcPr>
          <w:p w14:paraId="58BD2652"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02A9AD76" w14:textId="77777777" w:rsidTr="002E71E9">
        <w:trPr>
          <w:trHeight w:val="287"/>
        </w:trPr>
        <w:tc>
          <w:tcPr>
            <w:tcW w:w="208" w:type="pct"/>
            <w:tcBorders>
              <w:top w:val="nil"/>
              <w:left w:val="single" w:sz="4" w:space="0" w:color="auto"/>
              <w:bottom w:val="single" w:sz="4" w:space="0" w:color="auto"/>
              <w:right w:val="single" w:sz="4" w:space="0" w:color="auto"/>
            </w:tcBorders>
            <w:shd w:val="clear" w:color="auto" w:fill="auto"/>
            <w:vAlign w:val="center"/>
            <w:hideMark/>
          </w:tcPr>
          <w:p w14:paraId="5DFA71C4"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21</w:t>
            </w:r>
          </w:p>
        </w:tc>
        <w:tc>
          <w:tcPr>
            <w:tcW w:w="380" w:type="pct"/>
            <w:tcBorders>
              <w:top w:val="nil"/>
              <w:left w:val="single" w:sz="4" w:space="0" w:color="auto"/>
              <w:bottom w:val="single" w:sz="4" w:space="0" w:color="auto"/>
              <w:right w:val="single" w:sz="4" w:space="0" w:color="auto"/>
            </w:tcBorders>
            <w:vAlign w:val="center"/>
          </w:tcPr>
          <w:p w14:paraId="6BEB50FB"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3D8E92C9"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Elektronizácia zdravotnej dokumentácie a elektronická dokumentácia preskripcie - zapojenie všetkých poskytovateľov ZS do e-Health</w:t>
            </w:r>
          </w:p>
        </w:tc>
        <w:tc>
          <w:tcPr>
            <w:tcW w:w="735" w:type="pct"/>
            <w:tcBorders>
              <w:top w:val="nil"/>
              <w:left w:val="nil"/>
              <w:bottom w:val="single" w:sz="4" w:space="0" w:color="auto"/>
              <w:right w:val="single" w:sz="4" w:space="0" w:color="auto"/>
            </w:tcBorders>
            <w:shd w:val="clear" w:color="auto" w:fill="auto"/>
            <w:vAlign w:val="center"/>
            <w:hideMark/>
          </w:tcPr>
          <w:p w14:paraId="21A20E8D"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NCZI</w:t>
            </w:r>
          </w:p>
        </w:tc>
        <w:tc>
          <w:tcPr>
            <w:tcW w:w="514" w:type="pct"/>
            <w:tcBorders>
              <w:top w:val="nil"/>
              <w:left w:val="nil"/>
              <w:bottom w:val="single" w:sz="4" w:space="0" w:color="auto"/>
              <w:right w:val="single" w:sz="4" w:space="0" w:color="auto"/>
            </w:tcBorders>
            <w:shd w:val="clear" w:color="auto" w:fill="auto"/>
            <w:vAlign w:val="center"/>
            <w:hideMark/>
          </w:tcPr>
          <w:p w14:paraId="6114EF6B"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7B31BE8C" w14:textId="77777777" w:rsidR="008A4FED" w:rsidRPr="00666914" w:rsidRDefault="008A4FED" w:rsidP="004D30E9">
            <w:pPr>
              <w:spacing w:after="0"/>
              <w:jc w:val="center"/>
              <w:rPr>
                <w:rFonts w:eastAsia="Times New Roman"/>
                <w:color w:val="000000"/>
                <w:sz w:val="20"/>
                <w:szCs w:val="20"/>
                <w:highlight w:val="yellow"/>
                <w:lang w:eastAsia="sk-SK"/>
              </w:rPr>
            </w:pPr>
            <w:r w:rsidRPr="00666914">
              <w:rPr>
                <w:rFonts w:eastAsia="Times New Roman"/>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FFC000"/>
            <w:noWrap/>
            <w:vAlign w:val="bottom"/>
            <w:hideMark/>
          </w:tcPr>
          <w:p w14:paraId="3E680987"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384265DF"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664AF014"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3" w:type="pct"/>
            <w:tcBorders>
              <w:top w:val="nil"/>
              <w:left w:val="single" w:sz="4" w:space="0" w:color="auto"/>
              <w:bottom w:val="single" w:sz="4" w:space="0" w:color="auto"/>
              <w:right w:val="single" w:sz="4" w:space="0" w:color="auto"/>
            </w:tcBorders>
            <w:shd w:val="clear" w:color="auto" w:fill="FFC000"/>
            <w:noWrap/>
            <w:vAlign w:val="bottom"/>
            <w:hideMark/>
          </w:tcPr>
          <w:p w14:paraId="63E927D3"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6B9BB594" w14:textId="77777777" w:rsidTr="002E71E9">
        <w:trPr>
          <w:trHeight w:val="534"/>
        </w:trPr>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70393F"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lastRenderedPageBreak/>
              <w:t>22</w:t>
            </w:r>
          </w:p>
        </w:tc>
        <w:tc>
          <w:tcPr>
            <w:tcW w:w="380" w:type="pct"/>
            <w:tcBorders>
              <w:top w:val="single" w:sz="4" w:space="0" w:color="auto"/>
              <w:left w:val="single" w:sz="4" w:space="0" w:color="auto"/>
              <w:bottom w:val="single" w:sz="4" w:space="0" w:color="auto"/>
              <w:right w:val="single" w:sz="4" w:space="0" w:color="auto"/>
            </w:tcBorders>
            <w:vAlign w:val="center"/>
          </w:tcPr>
          <w:p w14:paraId="6650F443"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II.</w:t>
            </w:r>
          </w:p>
        </w:tc>
        <w:tc>
          <w:tcPr>
            <w:tcW w:w="1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B79F08"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Zavedenie prehľadných pravidiel pri platbách pacientov</w:t>
            </w:r>
          </w:p>
        </w:tc>
        <w:tc>
          <w:tcPr>
            <w:tcW w:w="735" w:type="pct"/>
            <w:tcBorders>
              <w:top w:val="single" w:sz="4" w:space="0" w:color="auto"/>
              <w:left w:val="nil"/>
              <w:bottom w:val="single" w:sz="4" w:space="0" w:color="auto"/>
              <w:right w:val="single" w:sz="4" w:space="0" w:color="auto"/>
            </w:tcBorders>
            <w:shd w:val="clear" w:color="auto" w:fill="auto"/>
            <w:vAlign w:val="center"/>
            <w:hideMark/>
          </w:tcPr>
          <w:p w14:paraId="015CD6F1"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w:t>
            </w:r>
          </w:p>
        </w:tc>
        <w:tc>
          <w:tcPr>
            <w:tcW w:w="514" w:type="pct"/>
            <w:tcBorders>
              <w:top w:val="single" w:sz="4" w:space="0" w:color="auto"/>
              <w:left w:val="nil"/>
              <w:bottom w:val="single" w:sz="4" w:space="0" w:color="auto"/>
              <w:right w:val="single" w:sz="4" w:space="0" w:color="auto"/>
            </w:tcBorders>
            <w:shd w:val="clear" w:color="auto" w:fill="auto"/>
            <w:vAlign w:val="center"/>
            <w:hideMark/>
          </w:tcPr>
          <w:p w14:paraId="61AE97A4"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01FC6259" w14:textId="77777777" w:rsidR="008A4FED" w:rsidRPr="00666914" w:rsidRDefault="008A4FED" w:rsidP="004D30E9">
            <w:pPr>
              <w:spacing w:after="0"/>
              <w:jc w:val="center"/>
              <w:rPr>
                <w:rFonts w:eastAsia="Times New Roman"/>
                <w:color w:val="000000"/>
                <w:sz w:val="20"/>
                <w:szCs w:val="20"/>
                <w:highlight w:val="yellow"/>
                <w:lang w:eastAsia="sk-SK"/>
              </w:rPr>
            </w:pPr>
            <w:r w:rsidRPr="00666914">
              <w:rPr>
                <w:rFonts w:eastAsia="Times New Roman"/>
                <w:color w:val="000000"/>
                <w:sz w:val="20"/>
                <w:szCs w:val="20"/>
                <w:lang w:eastAsia="sk-SK"/>
              </w:rPr>
              <w:t>30.06.2019</w:t>
            </w:r>
          </w:p>
        </w:tc>
        <w:tc>
          <w:tcPr>
            <w:tcW w:w="275" w:type="pct"/>
            <w:tcBorders>
              <w:top w:val="single" w:sz="4" w:space="0" w:color="auto"/>
              <w:left w:val="nil"/>
              <w:bottom w:val="single" w:sz="4" w:space="0" w:color="auto"/>
              <w:right w:val="single" w:sz="4" w:space="0" w:color="auto"/>
            </w:tcBorders>
            <w:shd w:val="clear" w:color="auto" w:fill="FF0000"/>
            <w:noWrap/>
            <w:vAlign w:val="bottom"/>
            <w:hideMark/>
          </w:tcPr>
          <w:p w14:paraId="4A55A143"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single" w:sz="4" w:space="0" w:color="auto"/>
              <w:left w:val="nil"/>
              <w:bottom w:val="single" w:sz="4" w:space="0" w:color="auto"/>
              <w:right w:val="single" w:sz="4" w:space="0" w:color="auto"/>
            </w:tcBorders>
            <w:shd w:val="clear" w:color="auto" w:fill="FF0000"/>
            <w:noWrap/>
            <w:vAlign w:val="bottom"/>
            <w:hideMark/>
          </w:tcPr>
          <w:p w14:paraId="52185245"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single" w:sz="4" w:space="0" w:color="auto"/>
              <w:left w:val="nil"/>
              <w:bottom w:val="single" w:sz="4" w:space="0" w:color="auto"/>
              <w:right w:val="single" w:sz="4" w:space="0" w:color="auto"/>
            </w:tcBorders>
            <w:shd w:val="clear" w:color="auto" w:fill="FF0000"/>
            <w:noWrap/>
            <w:vAlign w:val="bottom"/>
            <w:hideMark/>
          </w:tcPr>
          <w:p w14:paraId="0A190420"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3"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7CBFF80B"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5E016EB6" w14:textId="77777777" w:rsidTr="002E71E9">
        <w:trPr>
          <w:trHeight w:val="748"/>
        </w:trPr>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4F91EB12"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23</w:t>
            </w:r>
          </w:p>
        </w:tc>
        <w:tc>
          <w:tcPr>
            <w:tcW w:w="380" w:type="pct"/>
            <w:tcBorders>
              <w:top w:val="single" w:sz="4" w:space="0" w:color="auto"/>
              <w:left w:val="single" w:sz="4" w:space="0" w:color="auto"/>
              <w:bottom w:val="single" w:sz="4" w:space="0" w:color="auto"/>
              <w:right w:val="single" w:sz="4" w:space="0" w:color="auto"/>
            </w:tcBorders>
            <w:vAlign w:val="center"/>
          </w:tcPr>
          <w:p w14:paraId="2BF3F891"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564" w:type="pct"/>
            <w:tcBorders>
              <w:top w:val="single" w:sz="4" w:space="0" w:color="auto"/>
              <w:left w:val="single" w:sz="4" w:space="0" w:color="auto"/>
              <w:bottom w:val="single" w:sz="4" w:space="0" w:color="auto"/>
              <w:right w:val="single" w:sz="4" w:space="0" w:color="auto"/>
            </w:tcBorders>
            <w:shd w:val="clear" w:color="auto" w:fill="auto"/>
            <w:vAlign w:val="center"/>
          </w:tcPr>
          <w:p w14:paraId="4993A326"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Zavedenie a sfunkčnenie systému DRG</w:t>
            </w:r>
          </w:p>
        </w:tc>
        <w:tc>
          <w:tcPr>
            <w:tcW w:w="735" w:type="pct"/>
            <w:tcBorders>
              <w:top w:val="single" w:sz="4" w:space="0" w:color="auto"/>
              <w:left w:val="nil"/>
              <w:bottom w:val="single" w:sz="4" w:space="0" w:color="auto"/>
              <w:right w:val="single" w:sz="4" w:space="0" w:color="auto"/>
            </w:tcBorders>
            <w:shd w:val="clear" w:color="auto" w:fill="auto"/>
            <w:vAlign w:val="center"/>
          </w:tcPr>
          <w:p w14:paraId="3FE6C5CB"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w:t>
            </w:r>
          </w:p>
        </w:tc>
        <w:tc>
          <w:tcPr>
            <w:tcW w:w="514" w:type="pct"/>
            <w:tcBorders>
              <w:top w:val="single" w:sz="4" w:space="0" w:color="auto"/>
              <w:left w:val="nil"/>
              <w:bottom w:val="single" w:sz="4" w:space="0" w:color="auto"/>
              <w:right w:val="single" w:sz="4" w:space="0" w:color="auto"/>
            </w:tcBorders>
            <w:shd w:val="clear" w:color="auto" w:fill="auto"/>
            <w:vAlign w:val="center"/>
          </w:tcPr>
          <w:p w14:paraId="133EC02F"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 konvergen-cia do 31.12.2022</w:t>
            </w:r>
          </w:p>
        </w:tc>
        <w:tc>
          <w:tcPr>
            <w:tcW w:w="517" w:type="pct"/>
            <w:tcBorders>
              <w:top w:val="single" w:sz="4" w:space="0" w:color="auto"/>
              <w:left w:val="nil"/>
              <w:bottom w:val="single" w:sz="4" w:space="0" w:color="auto"/>
              <w:right w:val="single" w:sz="4" w:space="0" w:color="auto"/>
            </w:tcBorders>
            <w:shd w:val="clear" w:color="auto" w:fill="auto"/>
            <w:vAlign w:val="center"/>
          </w:tcPr>
          <w:p w14:paraId="695F90D5"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w:t>
            </w:r>
          </w:p>
        </w:tc>
        <w:tc>
          <w:tcPr>
            <w:tcW w:w="275" w:type="pct"/>
            <w:tcBorders>
              <w:top w:val="single" w:sz="4" w:space="0" w:color="auto"/>
              <w:left w:val="nil"/>
              <w:bottom w:val="single" w:sz="4" w:space="0" w:color="auto"/>
              <w:right w:val="single" w:sz="4" w:space="0" w:color="auto"/>
            </w:tcBorders>
            <w:shd w:val="clear" w:color="auto" w:fill="FFC000"/>
            <w:noWrap/>
            <w:vAlign w:val="bottom"/>
          </w:tcPr>
          <w:p w14:paraId="12441958" w14:textId="77777777" w:rsidR="008A4FED" w:rsidRPr="00666914" w:rsidRDefault="008A4FED" w:rsidP="004D30E9">
            <w:pPr>
              <w:spacing w:after="0"/>
              <w:rPr>
                <w:rFonts w:eastAsia="Times New Roman"/>
                <w:color w:val="000000"/>
                <w:sz w:val="20"/>
                <w:szCs w:val="20"/>
                <w:lang w:eastAsia="sk-SK"/>
              </w:rPr>
            </w:pPr>
          </w:p>
        </w:tc>
        <w:tc>
          <w:tcPr>
            <w:tcW w:w="272" w:type="pct"/>
            <w:tcBorders>
              <w:top w:val="single" w:sz="4" w:space="0" w:color="auto"/>
              <w:left w:val="nil"/>
              <w:bottom w:val="single" w:sz="4" w:space="0" w:color="auto"/>
              <w:right w:val="single" w:sz="4" w:space="0" w:color="auto"/>
            </w:tcBorders>
            <w:shd w:val="clear" w:color="auto" w:fill="FFC000"/>
            <w:noWrap/>
            <w:vAlign w:val="bottom"/>
          </w:tcPr>
          <w:p w14:paraId="598CEFE7" w14:textId="77777777" w:rsidR="008A4FED" w:rsidRPr="00666914" w:rsidRDefault="008A4FED" w:rsidP="004D30E9">
            <w:pPr>
              <w:spacing w:after="0"/>
              <w:rPr>
                <w:rFonts w:eastAsia="Times New Roman"/>
                <w:color w:val="000000"/>
                <w:sz w:val="20"/>
                <w:szCs w:val="20"/>
                <w:lang w:eastAsia="sk-SK"/>
              </w:rPr>
            </w:pPr>
          </w:p>
        </w:tc>
        <w:tc>
          <w:tcPr>
            <w:tcW w:w="272" w:type="pct"/>
            <w:tcBorders>
              <w:top w:val="single" w:sz="4" w:space="0" w:color="auto"/>
              <w:left w:val="nil"/>
              <w:bottom w:val="single" w:sz="4" w:space="0" w:color="auto"/>
              <w:right w:val="single" w:sz="4" w:space="0" w:color="auto"/>
            </w:tcBorders>
            <w:shd w:val="clear" w:color="auto" w:fill="FFC000"/>
            <w:noWrap/>
            <w:vAlign w:val="bottom"/>
          </w:tcPr>
          <w:p w14:paraId="0EDC4DD5" w14:textId="77777777" w:rsidR="008A4FED" w:rsidRPr="00666914" w:rsidRDefault="008A4FED" w:rsidP="004D30E9">
            <w:pPr>
              <w:spacing w:after="0"/>
              <w:rPr>
                <w:rFonts w:eastAsia="Times New Roman"/>
                <w:color w:val="000000"/>
                <w:sz w:val="20"/>
                <w:szCs w:val="20"/>
                <w:lang w:eastAsia="sk-SK"/>
              </w:rPr>
            </w:pPr>
          </w:p>
        </w:tc>
        <w:tc>
          <w:tcPr>
            <w:tcW w:w="263" w:type="pct"/>
            <w:tcBorders>
              <w:top w:val="single" w:sz="4" w:space="0" w:color="auto"/>
              <w:left w:val="single" w:sz="4" w:space="0" w:color="auto"/>
              <w:bottom w:val="single" w:sz="4" w:space="0" w:color="auto"/>
              <w:right w:val="single" w:sz="4" w:space="0" w:color="auto"/>
            </w:tcBorders>
            <w:shd w:val="clear" w:color="auto" w:fill="FFC000"/>
            <w:noWrap/>
            <w:vAlign w:val="bottom"/>
          </w:tcPr>
          <w:p w14:paraId="34A2A0D9" w14:textId="77777777" w:rsidR="008A4FED" w:rsidRPr="00666914" w:rsidRDefault="008A4FED" w:rsidP="004D30E9">
            <w:pPr>
              <w:spacing w:after="0"/>
              <w:rPr>
                <w:rFonts w:eastAsia="Times New Roman"/>
                <w:color w:val="000000"/>
                <w:sz w:val="20"/>
                <w:szCs w:val="20"/>
                <w:lang w:eastAsia="sk-SK"/>
              </w:rPr>
            </w:pPr>
          </w:p>
        </w:tc>
      </w:tr>
      <w:tr w:rsidR="008A4FED" w:rsidRPr="00666914" w14:paraId="5D43E335" w14:textId="77777777" w:rsidTr="002E71E9">
        <w:trPr>
          <w:cantSplit/>
          <w:trHeight w:val="302"/>
        </w:trPr>
        <w:tc>
          <w:tcPr>
            <w:tcW w:w="5000" w:type="pct"/>
            <w:gridSpan w:val="10"/>
            <w:tcBorders>
              <w:top w:val="single" w:sz="8" w:space="0" w:color="auto"/>
              <w:left w:val="single" w:sz="4" w:space="0" w:color="auto"/>
              <w:bottom w:val="single" w:sz="8" w:space="0" w:color="auto"/>
              <w:right w:val="single" w:sz="4" w:space="0" w:color="auto"/>
            </w:tcBorders>
            <w:vAlign w:val="center"/>
          </w:tcPr>
          <w:p w14:paraId="780119B3"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DÁTA A PROCESY</w:t>
            </w:r>
          </w:p>
        </w:tc>
      </w:tr>
      <w:tr w:rsidR="008A4FED" w:rsidRPr="00666914" w14:paraId="004EBB5D" w14:textId="77777777" w:rsidTr="002E71E9">
        <w:trPr>
          <w:trHeight w:val="575"/>
        </w:trPr>
        <w:tc>
          <w:tcPr>
            <w:tcW w:w="208" w:type="pct"/>
            <w:tcBorders>
              <w:top w:val="nil"/>
              <w:left w:val="single" w:sz="4" w:space="0" w:color="auto"/>
              <w:bottom w:val="single" w:sz="4" w:space="0" w:color="auto"/>
              <w:right w:val="single" w:sz="4" w:space="0" w:color="auto"/>
            </w:tcBorders>
            <w:shd w:val="clear" w:color="auto" w:fill="auto"/>
            <w:vAlign w:val="center"/>
            <w:hideMark/>
          </w:tcPr>
          <w:p w14:paraId="107059C6"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24</w:t>
            </w:r>
          </w:p>
        </w:tc>
        <w:tc>
          <w:tcPr>
            <w:tcW w:w="380" w:type="pct"/>
            <w:tcBorders>
              <w:top w:val="nil"/>
              <w:left w:val="single" w:sz="4" w:space="0" w:color="auto"/>
              <w:bottom w:val="single" w:sz="4" w:space="0" w:color="auto"/>
              <w:right w:val="single" w:sz="4" w:space="0" w:color="auto"/>
            </w:tcBorders>
            <w:vAlign w:val="center"/>
          </w:tcPr>
          <w:p w14:paraId="4130BB86"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0596DF2C"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Úprava vykazovania dát pre medzinárodné inštitúcie</w:t>
            </w:r>
          </w:p>
        </w:tc>
        <w:tc>
          <w:tcPr>
            <w:tcW w:w="735" w:type="pct"/>
            <w:tcBorders>
              <w:top w:val="nil"/>
              <w:left w:val="nil"/>
              <w:bottom w:val="single" w:sz="4" w:space="0" w:color="auto"/>
              <w:right w:val="single" w:sz="4" w:space="0" w:color="auto"/>
            </w:tcBorders>
            <w:shd w:val="clear" w:color="auto" w:fill="auto"/>
            <w:vAlign w:val="center"/>
            <w:hideMark/>
          </w:tcPr>
          <w:p w14:paraId="07FC4626"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w:t>
            </w:r>
          </w:p>
        </w:tc>
        <w:tc>
          <w:tcPr>
            <w:tcW w:w="514" w:type="pct"/>
            <w:tcBorders>
              <w:top w:val="nil"/>
              <w:left w:val="nil"/>
              <w:bottom w:val="single" w:sz="4" w:space="0" w:color="auto"/>
              <w:right w:val="single" w:sz="4" w:space="0" w:color="auto"/>
            </w:tcBorders>
            <w:shd w:val="clear" w:color="auto" w:fill="auto"/>
            <w:vAlign w:val="center"/>
            <w:hideMark/>
          </w:tcPr>
          <w:p w14:paraId="741BC4E4"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685D5BA8" w14:textId="77777777" w:rsidR="008A4FED" w:rsidRPr="00666914" w:rsidRDefault="008A4FED" w:rsidP="004D30E9">
            <w:pPr>
              <w:spacing w:after="0"/>
              <w:jc w:val="center"/>
              <w:rPr>
                <w:rFonts w:eastAsia="Times New Roman"/>
                <w:color w:val="000000"/>
                <w:sz w:val="20"/>
                <w:szCs w:val="20"/>
                <w:highlight w:val="yellow"/>
                <w:lang w:eastAsia="sk-SK"/>
              </w:rPr>
            </w:pPr>
            <w:r w:rsidRPr="00666914">
              <w:rPr>
                <w:rFonts w:eastAsia="Times New Roman"/>
                <w:color w:val="000000"/>
                <w:sz w:val="20"/>
                <w:szCs w:val="20"/>
                <w:lang w:eastAsia="sk-SK"/>
              </w:rPr>
              <w:t>priebežne</w:t>
            </w:r>
          </w:p>
        </w:tc>
        <w:tc>
          <w:tcPr>
            <w:tcW w:w="275" w:type="pct"/>
            <w:tcBorders>
              <w:top w:val="nil"/>
              <w:left w:val="nil"/>
              <w:bottom w:val="single" w:sz="4" w:space="0" w:color="auto"/>
              <w:right w:val="single" w:sz="4" w:space="0" w:color="auto"/>
            </w:tcBorders>
            <w:shd w:val="clear" w:color="auto" w:fill="FFC000"/>
            <w:noWrap/>
            <w:vAlign w:val="bottom"/>
            <w:hideMark/>
          </w:tcPr>
          <w:p w14:paraId="60922D8C" w14:textId="77777777" w:rsidR="008A4FED" w:rsidRPr="00666914" w:rsidRDefault="008A4FED" w:rsidP="004D30E9">
            <w:pPr>
              <w:spacing w:after="0"/>
              <w:rPr>
                <w:rFonts w:eastAsia="Times New Roman"/>
                <w:color w:val="C00000"/>
                <w:sz w:val="20"/>
                <w:szCs w:val="20"/>
                <w:lang w:eastAsia="sk-SK"/>
              </w:rPr>
            </w:pPr>
            <w:r w:rsidRPr="00666914">
              <w:rPr>
                <w:rFonts w:eastAsia="Times New Roman"/>
                <w:color w:val="C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62EA34D1" w14:textId="77777777" w:rsidR="008A4FED" w:rsidRPr="00666914" w:rsidRDefault="008A4FED" w:rsidP="004D30E9">
            <w:pPr>
              <w:spacing w:after="0"/>
              <w:rPr>
                <w:rFonts w:eastAsia="Times New Roman"/>
                <w:color w:val="C00000"/>
                <w:sz w:val="20"/>
                <w:szCs w:val="20"/>
                <w:lang w:eastAsia="sk-SK"/>
              </w:rPr>
            </w:pPr>
            <w:r w:rsidRPr="00666914">
              <w:rPr>
                <w:rFonts w:eastAsia="Times New Roman"/>
                <w:color w:val="C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4DF9116A"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3" w:type="pct"/>
            <w:tcBorders>
              <w:top w:val="nil"/>
              <w:left w:val="single" w:sz="4" w:space="0" w:color="auto"/>
              <w:bottom w:val="single" w:sz="4" w:space="0" w:color="auto"/>
              <w:right w:val="single" w:sz="4" w:space="0" w:color="auto"/>
            </w:tcBorders>
            <w:shd w:val="clear" w:color="auto" w:fill="FFC000"/>
            <w:noWrap/>
            <w:vAlign w:val="bottom"/>
            <w:hideMark/>
          </w:tcPr>
          <w:p w14:paraId="671DE107"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77889538" w14:textId="77777777" w:rsidTr="002E71E9">
        <w:trPr>
          <w:trHeight w:val="503"/>
        </w:trPr>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768EE3"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25</w:t>
            </w:r>
          </w:p>
        </w:tc>
        <w:tc>
          <w:tcPr>
            <w:tcW w:w="380" w:type="pct"/>
            <w:tcBorders>
              <w:top w:val="single" w:sz="4" w:space="0" w:color="auto"/>
              <w:left w:val="single" w:sz="4" w:space="0" w:color="auto"/>
              <w:bottom w:val="single" w:sz="4" w:space="0" w:color="auto"/>
              <w:right w:val="single" w:sz="4" w:space="0" w:color="auto"/>
            </w:tcBorders>
            <w:vAlign w:val="center"/>
          </w:tcPr>
          <w:p w14:paraId="4A548BD5"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854BCA"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Prehodnotenie štruktúry a kvality dát vykazovaných od poskytovateľov ZS</w:t>
            </w:r>
          </w:p>
        </w:tc>
        <w:tc>
          <w:tcPr>
            <w:tcW w:w="735" w:type="pct"/>
            <w:tcBorders>
              <w:top w:val="single" w:sz="4" w:space="0" w:color="auto"/>
              <w:left w:val="nil"/>
              <w:bottom w:val="single" w:sz="4" w:space="0" w:color="auto"/>
              <w:right w:val="single" w:sz="4" w:space="0" w:color="auto"/>
            </w:tcBorders>
            <w:shd w:val="clear" w:color="auto" w:fill="auto"/>
            <w:vAlign w:val="center"/>
            <w:hideMark/>
          </w:tcPr>
          <w:p w14:paraId="1CB93CF5"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 NCZI</w:t>
            </w:r>
          </w:p>
        </w:tc>
        <w:tc>
          <w:tcPr>
            <w:tcW w:w="514" w:type="pct"/>
            <w:tcBorders>
              <w:top w:val="single" w:sz="4" w:space="0" w:color="auto"/>
              <w:left w:val="nil"/>
              <w:bottom w:val="single" w:sz="4" w:space="0" w:color="auto"/>
              <w:right w:val="single" w:sz="4" w:space="0" w:color="auto"/>
            </w:tcBorders>
            <w:shd w:val="clear" w:color="auto" w:fill="auto"/>
            <w:vAlign w:val="center"/>
            <w:hideMark/>
          </w:tcPr>
          <w:p w14:paraId="09643BCE"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01.07.2018</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6556F52C" w14:textId="77777777" w:rsidR="008A4FED" w:rsidRPr="00666914" w:rsidRDefault="008A4FED" w:rsidP="004D30E9">
            <w:pPr>
              <w:spacing w:after="0"/>
              <w:jc w:val="center"/>
              <w:rPr>
                <w:rFonts w:eastAsia="Times New Roman"/>
                <w:color w:val="000000"/>
                <w:sz w:val="20"/>
                <w:szCs w:val="20"/>
                <w:highlight w:val="yellow"/>
                <w:lang w:eastAsia="sk-SK"/>
              </w:rPr>
            </w:pPr>
            <w:r w:rsidRPr="00666914">
              <w:rPr>
                <w:rFonts w:eastAsia="Times New Roman"/>
                <w:color w:val="000000"/>
                <w:sz w:val="20"/>
                <w:szCs w:val="20"/>
                <w:lang w:eastAsia="sk-SK"/>
              </w:rPr>
              <w:t>31.12.2019</w:t>
            </w:r>
          </w:p>
        </w:tc>
        <w:tc>
          <w:tcPr>
            <w:tcW w:w="275" w:type="pct"/>
            <w:tcBorders>
              <w:top w:val="single" w:sz="4" w:space="0" w:color="auto"/>
              <w:left w:val="nil"/>
              <w:bottom w:val="single" w:sz="4" w:space="0" w:color="auto"/>
              <w:right w:val="single" w:sz="4" w:space="0" w:color="auto"/>
            </w:tcBorders>
            <w:shd w:val="clear" w:color="auto" w:fill="FFC000"/>
            <w:noWrap/>
            <w:vAlign w:val="bottom"/>
            <w:hideMark/>
          </w:tcPr>
          <w:p w14:paraId="540880AF" w14:textId="77777777" w:rsidR="008A4FED" w:rsidRPr="00666914" w:rsidRDefault="008A4FED" w:rsidP="004D30E9">
            <w:pPr>
              <w:spacing w:after="0"/>
              <w:rPr>
                <w:rFonts w:eastAsia="Times New Roman"/>
                <w:color w:val="C00000"/>
                <w:sz w:val="20"/>
                <w:szCs w:val="20"/>
                <w:lang w:eastAsia="sk-SK"/>
              </w:rPr>
            </w:pPr>
            <w:r w:rsidRPr="00666914">
              <w:rPr>
                <w:rFonts w:eastAsia="Times New Roman"/>
                <w:color w:val="C00000"/>
                <w:sz w:val="20"/>
                <w:szCs w:val="20"/>
                <w:lang w:eastAsia="sk-SK"/>
              </w:rPr>
              <w:t> </w:t>
            </w:r>
          </w:p>
        </w:tc>
        <w:tc>
          <w:tcPr>
            <w:tcW w:w="272" w:type="pct"/>
            <w:tcBorders>
              <w:top w:val="single" w:sz="4" w:space="0" w:color="auto"/>
              <w:left w:val="nil"/>
              <w:bottom w:val="single" w:sz="4" w:space="0" w:color="auto"/>
              <w:right w:val="single" w:sz="4" w:space="0" w:color="auto"/>
            </w:tcBorders>
            <w:shd w:val="clear" w:color="auto" w:fill="FFC000"/>
            <w:noWrap/>
            <w:vAlign w:val="bottom"/>
            <w:hideMark/>
          </w:tcPr>
          <w:p w14:paraId="653DA266" w14:textId="77777777" w:rsidR="008A4FED" w:rsidRPr="00666914" w:rsidRDefault="008A4FED" w:rsidP="004D30E9">
            <w:pPr>
              <w:spacing w:after="0"/>
              <w:rPr>
                <w:rFonts w:eastAsia="Times New Roman"/>
                <w:color w:val="C00000"/>
                <w:sz w:val="20"/>
                <w:szCs w:val="20"/>
                <w:lang w:eastAsia="sk-SK"/>
              </w:rPr>
            </w:pPr>
            <w:r w:rsidRPr="00666914">
              <w:rPr>
                <w:rFonts w:eastAsia="Times New Roman"/>
                <w:color w:val="C00000"/>
                <w:sz w:val="20"/>
                <w:szCs w:val="20"/>
                <w:lang w:eastAsia="sk-SK"/>
              </w:rPr>
              <w:t> </w:t>
            </w:r>
          </w:p>
        </w:tc>
        <w:tc>
          <w:tcPr>
            <w:tcW w:w="272" w:type="pct"/>
            <w:tcBorders>
              <w:top w:val="single" w:sz="4" w:space="0" w:color="auto"/>
              <w:left w:val="nil"/>
              <w:bottom w:val="single" w:sz="4" w:space="0" w:color="auto"/>
              <w:right w:val="single" w:sz="4" w:space="0" w:color="auto"/>
            </w:tcBorders>
            <w:shd w:val="clear" w:color="auto" w:fill="FFC000"/>
            <w:noWrap/>
            <w:vAlign w:val="bottom"/>
            <w:hideMark/>
          </w:tcPr>
          <w:p w14:paraId="088C0151"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3"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7E1B473B"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3286C871" w14:textId="77777777" w:rsidTr="002E71E9">
        <w:trPr>
          <w:trHeight w:val="709"/>
        </w:trPr>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D19009"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26</w:t>
            </w:r>
          </w:p>
        </w:tc>
        <w:tc>
          <w:tcPr>
            <w:tcW w:w="380" w:type="pct"/>
            <w:tcBorders>
              <w:top w:val="single" w:sz="4" w:space="0" w:color="auto"/>
              <w:left w:val="single" w:sz="4" w:space="0" w:color="auto"/>
              <w:bottom w:val="single" w:sz="4" w:space="0" w:color="auto"/>
              <w:right w:val="single" w:sz="4" w:space="0" w:color="auto"/>
            </w:tcBorders>
            <w:vAlign w:val="center"/>
          </w:tcPr>
          <w:p w14:paraId="7B8F8B7F"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E78C5C"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Rozšírenie štruktúry monitoringu poisťovní o výdavky na oblasti zdravotnej starostlivosti</w:t>
            </w:r>
          </w:p>
        </w:tc>
        <w:tc>
          <w:tcPr>
            <w:tcW w:w="735" w:type="pct"/>
            <w:tcBorders>
              <w:top w:val="single" w:sz="4" w:space="0" w:color="auto"/>
              <w:left w:val="nil"/>
              <w:bottom w:val="single" w:sz="4" w:space="0" w:color="auto"/>
              <w:right w:val="single" w:sz="4" w:space="0" w:color="auto"/>
            </w:tcBorders>
            <w:shd w:val="clear" w:color="auto" w:fill="auto"/>
            <w:vAlign w:val="center"/>
            <w:hideMark/>
          </w:tcPr>
          <w:p w14:paraId="6A007DC3"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MF SR</w:t>
            </w:r>
          </w:p>
        </w:tc>
        <w:tc>
          <w:tcPr>
            <w:tcW w:w="514" w:type="pct"/>
            <w:tcBorders>
              <w:top w:val="single" w:sz="4" w:space="0" w:color="auto"/>
              <w:left w:val="nil"/>
              <w:bottom w:val="single" w:sz="4" w:space="0" w:color="auto"/>
              <w:right w:val="single" w:sz="4" w:space="0" w:color="auto"/>
            </w:tcBorders>
            <w:shd w:val="clear" w:color="auto" w:fill="auto"/>
            <w:vAlign w:val="center"/>
            <w:hideMark/>
          </w:tcPr>
          <w:p w14:paraId="2FE58199"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12A9A9AB" w14:textId="77777777" w:rsidR="008A4FED" w:rsidRPr="00666914" w:rsidRDefault="008A4FED" w:rsidP="004D30E9">
            <w:pPr>
              <w:spacing w:after="0"/>
              <w:jc w:val="center"/>
              <w:rPr>
                <w:rFonts w:eastAsia="Times New Roman"/>
                <w:sz w:val="20"/>
                <w:szCs w:val="20"/>
                <w:highlight w:val="yellow"/>
                <w:lang w:eastAsia="sk-SK"/>
              </w:rPr>
            </w:pPr>
            <w:r w:rsidRPr="00666914">
              <w:rPr>
                <w:rFonts w:eastAsia="Times New Roman"/>
                <w:color w:val="000000"/>
                <w:sz w:val="20"/>
                <w:szCs w:val="20"/>
                <w:lang w:eastAsia="sk-SK"/>
              </w:rPr>
              <w:t>31.12.2019</w:t>
            </w:r>
          </w:p>
        </w:tc>
        <w:tc>
          <w:tcPr>
            <w:tcW w:w="275" w:type="pct"/>
            <w:tcBorders>
              <w:top w:val="single" w:sz="4" w:space="0" w:color="auto"/>
              <w:left w:val="nil"/>
              <w:bottom w:val="single" w:sz="4" w:space="0" w:color="auto"/>
              <w:right w:val="single" w:sz="4" w:space="0" w:color="auto"/>
            </w:tcBorders>
            <w:shd w:val="clear" w:color="auto" w:fill="92D050"/>
            <w:noWrap/>
            <w:vAlign w:val="bottom"/>
            <w:hideMark/>
          </w:tcPr>
          <w:p w14:paraId="11DECBDB" w14:textId="77777777" w:rsidR="008A4FED" w:rsidRPr="00666914" w:rsidRDefault="008A4FED" w:rsidP="004D30E9">
            <w:pPr>
              <w:spacing w:after="0"/>
              <w:rPr>
                <w:rFonts w:eastAsia="Times New Roman"/>
                <w:color w:val="C00000"/>
                <w:sz w:val="20"/>
                <w:szCs w:val="20"/>
                <w:lang w:eastAsia="sk-SK"/>
              </w:rPr>
            </w:pPr>
          </w:p>
        </w:tc>
        <w:tc>
          <w:tcPr>
            <w:tcW w:w="272" w:type="pct"/>
            <w:tcBorders>
              <w:top w:val="single" w:sz="4" w:space="0" w:color="auto"/>
              <w:left w:val="nil"/>
              <w:bottom w:val="single" w:sz="4" w:space="0" w:color="auto"/>
              <w:right w:val="single" w:sz="4" w:space="0" w:color="auto"/>
            </w:tcBorders>
            <w:shd w:val="clear" w:color="auto" w:fill="92D050"/>
            <w:noWrap/>
            <w:vAlign w:val="bottom"/>
            <w:hideMark/>
          </w:tcPr>
          <w:p w14:paraId="2B3F5605" w14:textId="77777777" w:rsidR="008A4FED" w:rsidRPr="00666914" w:rsidRDefault="008A4FED" w:rsidP="004D30E9">
            <w:pPr>
              <w:spacing w:after="0"/>
              <w:rPr>
                <w:rFonts w:eastAsia="Times New Roman"/>
                <w:color w:val="C00000"/>
                <w:sz w:val="20"/>
                <w:szCs w:val="20"/>
                <w:lang w:eastAsia="sk-SK"/>
              </w:rPr>
            </w:pPr>
          </w:p>
        </w:tc>
        <w:tc>
          <w:tcPr>
            <w:tcW w:w="272" w:type="pct"/>
            <w:tcBorders>
              <w:top w:val="single" w:sz="4" w:space="0" w:color="auto"/>
              <w:left w:val="nil"/>
              <w:bottom w:val="single" w:sz="4" w:space="0" w:color="auto"/>
              <w:right w:val="single" w:sz="4" w:space="0" w:color="auto"/>
            </w:tcBorders>
            <w:shd w:val="clear" w:color="auto" w:fill="92D050"/>
            <w:noWrap/>
            <w:vAlign w:val="bottom"/>
            <w:hideMark/>
          </w:tcPr>
          <w:p w14:paraId="37D3BFE7"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3"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5175E2B3"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6DD949E6" w14:textId="77777777" w:rsidTr="002E71E9">
        <w:trPr>
          <w:trHeight w:val="568"/>
        </w:trPr>
        <w:tc>
          <w:tcPr>
            <w:tcW w:w="208" w:type="pct"/>
            <w:tcBorders>
              <w:top w:val="nil"/>
              <w:left w:val="single" w:sz="4" w:space="0" w:color="auto"/>
              <w:bottom w:val="single" w:sz="4" w:space="0" w:color="auto"/>
              <w:right w:val="single" w:sz="4" w:space="0" w:color="auto"/>
            </w:tcBorders>
            <w:shd w:val="clear" w:color="auto" w:fill="auto"/>
            <w:vAlign w:val="center"/>
            <w:hideMark/>
          </w:tcPr>
          <w:p w14:paraId="77C4619A"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27</w:t>
            </w:r>
          </w:p>
        </w:tc>
        <w:tc>
          <w:tcPr>
            <w:tcW w:w="380" w:type="pct"/>
            <w:tcBorders>
              <w:top w:val="nil"/>
              <w:left w:val="single" w:sz="4" w:space="0" w:color="auto"/>
              <w:bottom w:val="single" w:sz="4" w:space="0" w:color="auto"/>
              <w:right w:val="single" w:sz="4" w:space="0" w:color="auto"/>
            </w:tcBorders>
            <w:vAlign w:val="center"/>
          </w:tcPr>
          <w:p w14:paraId="43E146E2"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 a II.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34692258"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Zvýšenie nezávislosti a profesionality kategorizačných orgánov</w:t>
            </w:r>
          </w:p>
        </w:tc>
        <w:tc>
          <w:tcPr>
            <w:tcW w:w="735" w:type="pct"/>
            <w:tcBorders>
              <w:top w:val="nil"/>
              <w:left w:val="nil"/>
              <w:bottom w:val="single" w:sz="4" w:space="0" w:color="auto"/>
              <w:right w:val="single" w:sz="4" w:space="0" w:color="auto"/>
            </w:tcBorders>
            <w:shd w:val="clear" w:color="auto" w:fill="auto"/>
            <w:vAlign w:val="center"/>
            <w:hideMark/>
          </w:tcPr>
          <w:p w14:paraId="4057666E"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w:t>
            </w:r>
          </w:p>
        </w:tc>
        <w:tc>
          <w:tcPr>
            <w:tcW w:w="514" w:type="pct"/>
            <w:tcBorders>
              <w:top w:val="nil"/>
              <w:left w:val="nil"/>
              <w:bottom w:val="single" w:sz="4" w:space="0" w:color="auto"/>
              <w:right w:val="single" w:sz="4" w:space="0" w:color="auto"/>
            </w:tcBorders>
            <w:shd w:val="clear" w:color="auto" w:fill="auto"/>
            <w:vAlign w:val="center"/>
            <w:hideMark/>
          </w:tcPr>
          <w:p w14:paraId="74016958"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01.07.2018</w:t>
            </w:r>
          </w:p>
        </w:tc>
        <w:tc>
          <w:tcPr>
            <w:tcW w:w="517" w:type="pct"/>
            <w:tcBorders>
              <w:top w:val="nil"/>
              <w:left w:val="nil"/>
              <w:bottom w:val="single" w:sz="4" w:space="0" w:color="auto"/>
              <w:right w:val="single" w:sz="4" w:space="0" w:color="auto"/>
            </w:tcBorders>
            <w:shd w:val="clear" w:color="auto" w:fill="auto"/>
            <w:vAlign w:val="center"/>
            <w:hideMark/>
          </w:tcPr>
          <w:p w14:paraId="75333792"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FFC000"/>
            <w:noWrap/>
            <w:vAlign w:val="bottom"/>
            <w:hideMark/>
          </w:tcPr>
          <w:p w14:paraId="48E7DDBD" w14:textId="77777777" w:rsidR="008A4FED" w:rsidRPr="00666914" w:rsidRDefault="008A4FED" w:rsidP="004D30E9">
            <w:pPr>
              <w:spacing w:after="0"/>
              <w:rPr>
                <w:rFonts w:eastAsia="Times New Roman"/>
                <w:color w:val="C00000"/>
                <w:sz w:val="20"/>
                <w:szCs w:val="20"/>
                <w:lang w:eastAsia="sk-SK"/>
              </w:rPr>
            </w:pPr>
            <w:r w:rsidRPr="00666914">
              <w:rPr>
                <w:rFonts w:eastAsia="Times New Roman"/>
                <w:color w:val="C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023285B0" w14:textId="77777777" w:rsidR="008A4FED" w:rsidRPr="00666914" w:rsidRDefault="008A4FED" w:rsidP="004D30E9">
            <w:pPr>
              <w:spacing w:after="0"/>
              <w:rPr>
                <w:rFonts w:eastAsia="Times New Roman"/>
                <w:color w:val="C00000"/>
                <w:sz w:val="20"/>
                <w:szCs w:val="20"/>
                <w:lang w:eastAsia="sk-SK"/>
              </w:rPr>
            </w:pPr>
            <w:r w:rsidRPr="00666914">
              <w:rPr>
                <w:rFonts w:eastAsia="Times New Roman"/>
                <w:color w:val="C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673F653C"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3" w:type="pct"/>
            <w:tcBorders>
              <w:top w:val="nil"/>
              <w:left w:val="single" w:sz="4" w:space="0" w:color="auto"/>
              <w:bottom w:val="single" w:sz="4" w:space="0" w:color="auto"/>
              <w:right w:val="single" w:sz="4" w:space="0" w:color="auto"/>
            </w:tcBorders>
            <w:shd w:val="clear" w:color="auto" w:fill="FFC000"/>
            <w:noWrap/>
            <w:vAlign w:val="bottom"/>
            <w:hideMark/>
          </w:tcPr>
          <w:p w14:paraId="061BA6C3"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799EDEFF" w14:textId="77777777" w:rsidTr="002E71E9">
        <w:trPr>
          <w:trHeight w:val="548"/>
        </w:trPr>
        <w:tc>
          <w:tcPr>
            <w:tcW w:w="208" w:type="pct"/>
            <w:tcBorders>
              <w:top w:val="nil"/>
              <w:left w:val="single" w:sz="4" w:space="0" w:color="auto"/>
              <w:bottom w:val="single" w:sz="4" w:space="0" w:color="auto"/>
              <w:right w:val="single" w:sz="4" w:space="0" w:color="auto"/>
            </w:tcBorders>
            <w:shd w:val="clear" w:color="auto" w:fill="auto"/>
            <w:vAlign w:val="center"/>
            <w:hideMark/>
          </w:tcPr>
          <w:p w14:paraId="43F4EC33" w14:textId="77777777" w:rsidR="008A4FED" w:rsidRPr="00666914" w:rsidRDefault="008A4FED" w:rsidP="004D30E9">
            <w:pPr>
              <w:spacing w:after="0"/>
              <w:jc w:val="center"/>
              <w:rPr>
                <w:rFonts w:eastAsia="Times New Roman"/>
                <w:color w:val="000000"/>
                <w:sz w:val="20"/>
                <w:szCs w:val="20"/>
                <w:lang w:eastAsia="sk-SK"/>
              </w:rPr>
            </w:pPr>
            <w:bookmarkStart w:id="35" w:name="_Hlk524350089"/>
            <w:r w:rsidRPr="00666914">
              <w:rPr>
                <w:rFonts w:eastAsia="Times New Roman"/>
                <w:color w:val="000000"/>
                <w:sz w:val="20"/>
                <w:szCs w:val="20"/>
                <w:lang w:eastAsia="sk-SK"/>
              </w:rPr>
              <w:t>28</w:t>
            </w:r>
          </w:p>
        </w:tc>
        <w:tc>
          <w:tcPr>
            <w:tcW w:w="380" w:type="pct"/>
            <w:tcBorders>
              <w:top w:val="nil"/>
              <w:left w:val="single" w:sz="4" w:space="0" w:color="auto"/>
              <w:bottom w:val="single" w:sz="4" w:space="0" w:color="auto"/>
              <w:right w:val="single" w:sz="4" w:space="0" w:color="auto"/>
            </w:tcBorders>
            <w:vAlign w:val="center"/>
          </w:tcPr>
          <w:p w14:paraId="26162CE2"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3BC49119"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Zvýšenie transparentnosti kategorizačných orgánov</w:t>
            </w:r>
          </w:p>
        </w:tc>
        <w:tc>
          <w:tcPr>
            <w:tcW w:w="735" w:type="pct"/>
            <w:tcBorders>
              <w:top w:val="nil"/>
              <w:left w:val="nil"/>
              <w:bottom w:val="single" w:sz="4" w:space="0" w:color="auto"/>
              <w:right w:val="single" w:sz="4" w:space="0" w:color="auto"/>
            </w:tcBorders>
            <w:shd w:val="clear" w:color="auto" w:fill="auto"/>
            <w:vAlign w:val="center"/>
            <w:hideMark/>
          </w:tcPr>
          <w:p w14:paraId="7EFF525B"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MF SR</w:t>
            </w:r>
          </w:p>
        </w:tc>
        <w:tc>
          <w:tcPr>
            <w:tcW w:w="514" w:type="pct"/>
            <w:tcBorders>
              <w:top w:val="nil"/>
              <w:left w:val="nil"/>
              <w:bottom w:val="single" w:sz="4" w:space="0" w:color="auto"/>
              <w:right w:val="single" w:sz="4" w:space="0" w:color="auto"/>
            </w:tcBorders>
            <w:shd w:val="clear" w:color="auto" w:fill="auto"/>
            <w:vAlign w:val="center"/>
            <w:hideMark/>
          </w:tcPr>
          <w:p w14:paraId="24076AF1"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4B9E5905"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FFC000"/>
            <w:noWrap/>
            <w:vAlign w:val="bottom"/>
            <w:hideMark/>
          </w:tcPr>
          <w:p w14:paraId="14C9FADF" w14:textId="77777777" w:rsidR="008A4FED" w:rsidRPr="00666914" w:rsidRDefault="008A4FED" w:rsidP="004D30E9">
            <w:pPr>
              <w:spacing w:after="0"/>
              <w:rPr>
                <w:rFonts w:eastAsia="Times New Roman"/>
                <w:color w:val="C00000"/>
                <w:sz w:val="20"/>
                <w:szCs w:val="20"/>
                <w:lang w:eastAsia="sk-SK"/>
              </w:rPr>
            </w:pPr>
            <w:r w:rsidRPr="00666914">
              <w:rPr>
                <w:rFonts w:eastAsia="Times New Roman"/>
                <w:color w:val="C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23A9FFA0" w14:textId="77777777" w:rsidR="008A4FED" w:rsidRPr="00666914" w:rsidRDefault="008A4FED" w:rsidP="004D30E9">
            <w:pPr>
              <w:spacing w:after="0"/>
              <w:rPr>
                <w:rFonts w:eastAsia="Times New Roman"/>
                <w:color w:val="C00000"/>
                <w:sz w:val="20"/>
                <w:szCs w:val="20"/>
                <w:lang w:eastAsia="sk-SK"/>
              </w:rPr>
            </w:pPr>
            <w:r w:rsidRPr="00666914">
              <w:rPr>
                <w:rFonts w:eastAsia="Times New Roman"/>
                <w:color w:val="C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4BC062F5"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3" w:type="pct"/>
            <w:tcBorders>
              <w:top w:val="nil"/>
              <w:left w:val="single" w:sz="4" w:space="0" w:color="auto"/>
              <w:bottom w:val="single" w:sz="4" w:space="0" w:color="auto"/>
              <w:right w:val="single" w:sz="4" w:space="0" w:color="auto"/>
            </w:tcBorders>
            <w:shd w:val="clear" w:color="auto" w:fill="FFC000"/>
            <w:noWrap/>
            <w:vAlign w:val="bottom"/>
            <w:hideMark/>
          </w:tcPr>
          <w:p w14:paraId="2EA135EF"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6D679668" w14:textId="77777777" w:rsidTr="002E71E9">
        <w:trPr>
          <w:trHeight w:val="575"/>
        </w:trPr>
        <w:tc>
          <w:tcPr>
            <w:tcW w:w="208" w:type="pct"/>
            <w:tcBorders>
              <w:top w:val="nil"/>
              <w:left w:val="single" w:sz="4" w:space="0" w:color="auto"/>
              <w:bottom w:val="single" w:sz="4" w:space="0" w:color="auto"/>
              <w:right w:val="single" w:sz="4" w:space="0" w:color="auto"/>
            </w:tcBorders>
            <w:shd w:val="clear" w:color="auto" w:fill="auto"/>
            <w:vAlign w:val="center"/>
            <w:hideMark/>
          </w:tcPr>
          <w:p w14:paraId="5EDDE049"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29</w:t>
            </w:r>
          </w:p>
        </w:tc>
        <w:tc>
          <w:tcPr>
            <w:tcW w:w="380" w:type="pct"/>
            <w:tcBorders>
              <w:top w:val="nil"/>
              <w:left w:val="single" w:sz="4" w:space="0" w:color="auto"/>
              <w:bottom w:val="single" w:sz="4" w:space="0" w:color="auto"/>
              <w:right w:val="single" w:sz="4" w:space="0" w:color="auto"/>
            </w:tcBorders>
            <w:vAlign w:val="center"/>
          </w:tcPr>
          <w:p w14:paraId="00F22FE8"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66249386"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Posilnenie kompetencií všeobecných lekárov</w:t>
            </w:r>
          </w:p>
        </w:tc>
        <w:tc>
          <w:tcPr>
            <w:tcW w:w="735" w:type="pct"/>
            <w:tcBorders>
              <w:top w:val="nil"/>
              <w:left w:val="nil"/>
              <w:bottom w:val="single" w:sz="4" w:space="0" w:color="auto"/>
              <w:right w:val="single" w:sz="4" w:space="0" w:color="auto"/>
            </w:tcBorders>
            <w:shd w:val="clear" w:color="auto" w:fill="auto"/>
            <w:vAlign w:val="center"/>
            <w:hideMark/>
          </w:tcPr>
          <w:p w14:paraId="243C5705"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MF SR</w:t>
            </w:r>
          </w:p>
        </w:tc>
        <w:tc>
          <w:tcPr>
            <w:tcW w:w="514" w:type="pct"/>
            <w:tcBorders>
              <w:top w:val="nil"/>
              <w:left w:val="nil"/>
              <w:bottom w:val="single" w:sz="4" w:space="0" w:color="auto"/>
              <w:right w:val="single" w:sz="4" w:space="0" w:color="auto"/>
            </w:tcBorders>
            <w:shd w:val="clear" w:color="auto" w:fill="auto"/>
            <w:vAlign w:val="center"/>
            <w:hideMark/>
          </w:tcPr>
          <w:p w14:paraId="39E329DE"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5AC9F553"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FFC000"/>
            <w:noWrap/>
            <w:vAlign w:val="bottom"/>
            <w:hideMark/>
          </w:tcPr>
          <w:p w14:paraId="10D55C87" w14:textId="77777777" w:rsidR="008A4FED" w:rsidRPr="00666914" w:rsidRDefault="008A4FED" w:rsidP="004D30E9">
            <w:pPr>
              <w:spacing w:after="0"/>
              <w:rPr>
                <w:rFonts w:eastAsia="Times New Roman"/>
                <w:color w:val="C00000"/>
                <w:sz w:val="20"/>
                <w:szCs w:val="20"/>
                <w:lang w:eastAsia="sk-SK"/>
              </w:rPr>
            </w:pPr>
            <w:r w:rsidRPr="00666914">
              <w:rPr>
                <w:rFonts w:eastAsia="Times New Roman"/>
                <w:color w:val="C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644B65AE" w14:textId="77777777" w:rsidR="008A4FED" w:rsidRPr="00666914" w:rsidRDefault="008A4FED" w:rsidP="004D30E9">
            <w:pPr>
              <w:spacing w:after="0"/>
              <w:rPr>
                <w:rFonts w:eastAsia="Times New Roman"/>
                <w:color w:val="C00000"/>
                <w:sz w:val="20"/>
                <w:szCs w:val="20"/>
                <w:lang w:eastAsia="sk-SK"/>
              </w:rPr>
            </w:pPr>
            <w:r w:rsidRPr="00666914">
              <w:rPr>
                <w:rFonts w:eastAsia="Times New Roman"/>
                <w:color w:val="C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3B88BEB8"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3" w:type="pct"/>
            <w:tcBorders>
              <w:top w:val="nil"/>
              <w:left w:val="single" w:sz="4" w:space="0" w:color="auto"/>
              <w:bottom w:val="single" w:sz="4" w:space="0" w:color="auto"/>
              <w:right w:val="single" w:sz="4" w:space="0" w:color="auto"/>
            </w:tcBorders>
            <w:shd w:val="clear" w:color="auto" w:fill="FFC000"/>
            <w:noWrap/>
            <w:vAlign w:val="bottom"/>
            <w:hideMark/>
          </w:tcPr>
          <w:p w14:paraId="08097203"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r>
      <w:bookmarkEnd w:id="35"/>
      <w:tr w:rsidR="008A4FED" w:rsidRPr="00666914" w14:paraId="32980BE7" w14:textId="77777777" w:rsidTr="002E71E9">
        <w:trPr>
          <w:trHeight w:val="287"/>
        </w:trPr>
        <w:tc>
          <w:tcPr>
            <w:tcW w:w="208" w:type="pct"/>
            <w:tcBorders>
              <w:top w:val="nil"/>
              <w:left w:val="single" w:sz="4" w:space="0" w:color="auto"/>
              <w:bottom w:val="single" w:sz="4" w:space="0" w:color="auto"/>
              <w:right w:val="single" w:sz="4" w:space="0" w:color="auto"/>
            </w:tcBorders>
            <w:shd w:val="clear" w:color="auto" w:fill="auto"/>
            <w:vAlign w:val="center"/>
            <w:hideMark/>
          </w:tcPr>
          <w:p w14:paraId="3A021243"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30</w:t>
            </w:r>
          </w:p>
        </w:tc>
        <w:tc>
          <w:tcPr>
            <w:tcW w:w="380" w:type="pct"/>
            <w:tcBorders>
              <w:top w:val="nil"/>
              <w:left w:val="single" w:sz="4" w:space="0" w:color="auto"/>
              <w:bottom w:val="single" w:sz="4" w:space="0" w:color="auto"/>
              <w:right w:val="single" w:sz="4" w:space="0" w:color="auto"/>
            </w:tcBorders>
            <w:vAlign w:val="center"/>
          </w:tcPr>
          <w:p w14:paraId="7C835F31"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56E7C63F"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Posilnenie kompetencií zdrav. sestier a asistentov </w:t>
            </w:r>
          </w:p>
        </w:tc>
        <w:tc>
          <w:tcPr>
            <w:tcW w:w="735" w:type="pct"/>
            <w:tcBorders>
              <w:top w:val="nil"/>
              <w:left w:val="nil"/>
              <w:bottom w:val="single" w:sz="4" w:space="0" w:color="auto"/>
              <w:right w:val="single" w:sz="4" w:space="0" w:color="auto"/>
            </w:tcBorders>
            <w:shd w:val="clear" w:color="auto" w:fill="auto"/>
            <w:vAlign w:val="center"/>
            <w:hideMark/>
          </w:tcPr>
          <w:p w14:paraId="14AD4B03"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w:t>
            </w:r>
          </w:p>
        </w:tc>
        <w:tc>
          <w:tcPr>
            <w:tcW w:w="514" w:type="pct"/>
            <w:tcBorders>
              <w:top w:val="nil"/>
              <w:left w:val="nil"/>
              <w:bottom w:val="single" w:sz="4" w:space="0" w:color="auto"/>
              <w:right w:val="single" w:sz="4" w:space="0" w:color="auto"/>
            </w:tcBorders>
            <w:shd w:val="clear" w:color="auto" w:fill="auto"/>
            <w:vAlign w:val="center"/>
            <w:hideMark/>
          </w:tcPr>
          <w:p w14:paraId="572369B0"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049A563D"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FFC000"/>
            <w:noWrap/>
            <w:vAlign w:val="bottom"/>
            <w:hideMark/>
          </w:tcPr>
          <w:p w14:paraId="2FEB18B6" w14:textId="77777777" w:rsidR="008A4FED" w:rsidRPr="00666914" w:rsidRDefault="008A4FED" w:rsidP="004D30E9">
            <w:pPr>
              <w:spacing w:after="0"/>
              <w:rPr>
                <w:rFonts w:eastAsia="Times New Roman"/>
                <w:color w:val="C00000"/>
                <w:sz w:val="20"/>
                <w:szCs w:val="20"/>
                <w:lang w:eastAsia="sk-SK"/>
              </w:rPr>
            </w:pPr>
            <w:r w:rsidRPr="00666914">
              <w:rPr>
                <w:rFonts w:eastAsia="Times New Roman"/>
                <w:color w:val="C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691FBA95" w14:textId="77777777" w:rsidR="008A4FED" w:rsidRPr="00666914" w:rsidRDefault="008A4FED" w:rsidP="004D30E9">
            <w:pPr>
              <w:spacing w:after="0"/>
              <w:rPr>
                <w:rFonts w:eastAsia="Times New Roman"/>
                <w:color w:val="C00000"/>
                <w:sz w:val="20"/>
                <w:szCs w:val="20"/>
                <w:lang w:eastAsia="sk-SK"/>
              </w:rPr>
            </w:pPr>
            <w:r w:rsidRPr="00666914">
              <w:rPr>
                <w:rFonts w:eastAsia="Times New Roman"/>
                <w:color w:val="C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0145D660"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3" w:type="pct"/>
            <w:tcBorders>
              <w:top w:val="nil"/>
              <w:left w:val="single" w:sz="4" w:space="0" w:color="auto"/>
              <w:bottom w:val="single" w:sz="4" w:space="0" w:color="auto"/>
              <w:right w:val="single" w:sz="4" w:space="0" w:color="auto"/>
            </w:tcBorders>
            <w:shd w:val="clear" w:color="auto" w:fill="FFC000"/>
            <w:noWrap/>
            <w:vAlign w:val="bottom"/>
            <w:hideMark/>
          </w:tcPr>
          <w:p w14:paraId="6F3DD818"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2AA68C27" w14:textId="77777777" w:rsidTr="002E71E9">
        <w:trPr>
          <w:trHeight w:val="287"/>
        </w:trPr>
        <w:tc>
          <w:tcPr>
            <w:tcW w:w="208" w:type="pct"/>
            <w:tcBorders>
              <w:top w:val="nil"/>
              <w:left w:val="single" w:sz="4" w:space="0" w:color="auto"/>
              <w:bottom w:val="single" w:sz="4" w:space="0" w:color="auto"/>
              <w:right w:val="single" w:sz="4" w:space="0" w:color="auto"/>
            </w:tcBorders>
            <w:shd w:val="clear" w:color="auto" w:fill="auto"/>
            <w:vAlign w:val="center"/>
            <w:hideMark/>
          </w:tcPr>
          <w:p w14:paraId="0E0D739D"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w:t>
            </w:r>
          </w:p>
        </w:tc>
        <w:tc>
          <w:tcPr>
            <w:tcW w:w="380" w:type="pct"/>
            <w:tcBorders>
              <w:top w:val="nil"/>
              <w:left w:val="single" w:sz="4" w:space="0" w:color="auto"/>
              <w:bottom w:val="single" w:sz="4" w:space="0" w:color="auto"/>
              <w:right w:val="single" w:sz="4" w:space="0" w:color="auto"/>
            </w:tcBorders>
            <w:vAlign w:val="center"/>
          </w:tcPr>
          <w:p w14:paraId="35190795"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1C44A5CA"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Rast miezd nelekárskeho personálu ÚZS</w:t>
            </w:r>
          </w:p>
        </w:tc>
        <w:tc>
          <w:tcPr>
            <w:tcW w:w="735" w:type="pct"/>
            <w:tcBorders>
              <w:top w:val="nil"/>
              <w:left w:val="nil"/>
              <w:bottom w:val="single" w:sz="4" w:space="0" w:color="auto"/>
              <w:right w:val="single" w:sz="4" w:space="0" w:color="auto"/>
            </w:tcBorders>
            <w:shd w:val="clear" w:color="auto" w:fill="auto"/>
            <w:vAlign w:val="center"/>
            <w:hideMark/>
          </w:tcPr>
          <w:p w14:paraId="1098F4E0"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w:t>
            </w:r>
          </w:p>
        </w:tc>
        <w:tc>
          <w:tcPr>
            <w:tcW w:w="514" w:type="pct"/>
            <w:tcBorders>
              <w:top w:val="nil"/>
              <w:left w:val="nil"/>
              <w:bottom w:val="single" w:sz="4" w:space="0" w:color="auto"/>
              <w:right w:val="single" w:sz="4" w:space="0" w:color="auto"/>
            </w:tcBorders>
            <w:shd w:val="clear" w:color="auto" w:fill="auto"/>
            <w:vAlign w:val="center"/>
            <w:hideMark/>
          </w:tcPr>
          <w:p w14:paraId="56F6FB95"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31.12.2018</w:t>
            </w:r>
          </w:p>
        </w:tc>
        <w:tc>
          <w:tcPr>
            <w:tcW w:w="517" w:type="pct"/>
            <w:tcBorders>
              <w:top w:val="nil"/>
              <w:left w:val="nil"/>
              <w:bottom w:val="single" w:sz="4" w:space="0" w:color="auto"/>
              <w:right w:val="single" w:sz="4" w:space="0" w:color="auto"/>
            </w:tcBorders>
            <w:shd w:val="clear" w:color="auto" w:fill="auto"/>
            <w:vAlign w:val="center"/>
            <w:hideMark/>
          </w:tcPr>
          <w:p w14:paraId="5C1E6489"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BFBFBF" w:themeFill="background1" w:themeFillShade="BF"/>
            <w:noWrap/>
            <w:vAlign w:val="bottom"/>
            <w:hideMark/>
          </w:tcPr>
          <w:p w14:paraId="1503BAB5" w14:textId="77777777" w:rsidR="008A4FED" w:rsidRPr="00666914" w:rsidRDefault="008A4FED" w:rsidP="004D30E9">
            <w:pPr>
              <w:spacing w:after="0"/>
              <w:rPr>
                <w:rFonts w:eastAsia="Times New Roman"/>
                <w:color w:val="C00000"/>
                <w:sz w:val="20"/>
                <w:szCs w:val="20"/>
                <w:lang w:eastAsia="sk-SK"/>
              </w:rPr>
            </w:pPr>
          </w:p>
        </w:tc>
        <w:tc>
          <w:tcPr>
            <w:tcW w:w="272" w:type="pct"/>
            <w:tcBorders>
              <w:top w:val="nil"/>
              <w:left w:val="nil"/>
              <w:bottom w:val="single" w:sz="4" w:space="0" w:color="auto"/>
              <w:right w:val="single" w:sz="4" w:space="0" w:color="auto"/>
            </w:tcBorders>
            <w:shd w:val="clear" w:color="auto" w:fill="BFBFBF" w:themeFill="background1" w:themeFillShade="BF"/>
            <w:noWrap/>
            <w:vAlign w:val="bottom"/>
            <w:hideMark/>
          </w:tcPr>
          <w:p w14:paraId="4B1E6A8D" w14:textId="77777777" w:rsidR="008A4FED" w:rsidRPr="00666914" w:rsidRDefault="008A4FED" w:rsidP="004D30E9">
            <w:pPr>
              <w:spacing w:after="0"/>
              <w:rPr>
                <w:rFonts w:eastAsia="Times New Roman"/>
                <w:color w:val="C00000"/>
                <w:sz w:val="20"/>
                <w:szCs w:val="20"/>
                <w:lang w:eastAsia="sk-SK"/>
              </w:rPr>
            </w:pPr>
          </w:p>
        </w:tc>
        <w:tc>
          <w:tcPr>
            <w:tcW w:w="272" w:type="pct"/>
            <w:tcBorders>
              <w:top w:val="nil"/>
              <w:left w:val="nil"/>
              <w:bottom w:val="single" w:sz="4" w:space="0" w:color="auto"/>
              <w:right w:val="single" w:sz="4" w:space="0" w:color="auto"/>
            </w:tcBorders>
            <w:shd w:val="clear" w:color="auto" w:fill="BFBFBF" w:themeFill="background1" w:themeFillShade="BF"/>
            <w:noWrap/>
            <w:vAlign w:val="bottom"/>
            <w:hideMark/>
          </w:tcPr>
          <w:p w14:paraId="68EA70EC"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3" w:type="pct"/>
            <w:tcBorders>
              <w:top w:val="nil"/>
              <w:left w:val="single" w:sz="4" w:space="0" w:color="auto"/>
              <w:bottom w:val="single" w:sz="4" w:space="0" w:color="auto"/>
              <w:right w:val="single" w:sz="4" w:space="0" w:color="auto"/>
            </w:tcBorders>
            <w:shd w:val="clear" w:color="auto" w:fill="FFC000"/>
            <w:noWrap/>
            <w:vAlign w:val="bottom"/>
            <w:hideMark/>
          </w:tcPr>
          <w:p w14:paraId="04FAF570"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6864B007" w14:textId="77777777" w:rsidTr="002E71E9">
        <w:trPr>
          <w:trHeight w:val="287"/>
        </w:trPr>
        <w:tc>
          <w:tcPr>
            <w:tcW w:w="208" w:type="pct"/>
            <w:tcBorders>
              <w:top w:val="nil"/>
              <w:left w:val="single" w:sz="4" w:space="0" w:color="auto"/>
              <w:bottom w:val="single" w:sz="4" w:space="0" w:color="auto"/>
              <w:right w:val="single" w:sz="4" w:space="0" w:color="auto"/>
            </w:tcBorders>
            <w:shd w:val="clear" w:color="auto" w:fill="auto"/>
            <w:vAlign w:val="center"/>
            <w:hideMark/>
          </w:tcPr>
          <w:p w14:paraId="525B6C10"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32</w:t>
            </w:r>
          </w:p>
        </w:tc>
        <w:tc>
          <w:tcPr>
            <w:tcW w:w="380" w:type="pct"/>
            <w:tcBorders>
              <w:top w:val="nil"/>
              <w:left w:val="single" w:sz="4" w:space="0" w:color="auto"/>
              <w:bottom w:val="single" w:sz="4" w:space="0" w:color="auto"/>
              <w:right w:val="single" w:sz="4" w:space="0" w:color="auto"/>
            </w:tcBorders>
            <w:vAlign w:val="center"/>
          </w:tcPr>
          <w:p w14:paraId="184D8EFC"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727325F9"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Rast miezd nelekárskeho personálu AZS</w:t>
            </w:r>
          </w:p>
        </w:tc>
        <w:tc>
          <w:tcPr>
            <w:tcW w:w="735" w:type="pct"/>
            <w:tcBorders>
              <w:top w:val="nil"/>
              <w:left w:val="nil"/>
              <w:bottom w:val="single" w:sz="4" w:space="0" w:color="auto"/>
              <w:right w:val="single" w:sz="4" w:space="0" w:color="auto"/>
            </w:tcBorders>
            <w:shd w:val="clear" w:color="auto" w:fill="auto"/>
            <w:vAlign w:val="center"/>
            <w:hideMark/>
          </w:tcPr>
          <w:p w14:paraId="4684A5C9"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w:t>
            </w:r>
          </w:p>
        </w:tc>
        <w:tc>
          <w:tcPr>
            <w:tcW w:w="514" w:type="pct"/>
            <w:tcBorders>
              <w:top w:val="nil"/>
              <w:left w:val="nil"/>
              <w:bottom w:val="single" w:sz="4" w:space="0" w:color="auto"/>
              <w:right w:val="single" w:sz="4" w:space="0" w:color="auto"/>
            </w:tcBorders>
            <w:shd w:val="clear" w:color="auto" w:fill="auto"/>
            <w:vAlign w:val="center"/>
            <w:hideMark/>
          </w:tcPr>
          <w:p w14:paraId="69D8F240"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31.12.2018</w:t>
            </w:r>
          </w:p>
        </w:tc>
        <w:tc>
          <w:tcPr>
            <w:tcW w:w="517" w:type="pct"/>
            <w:tcBorders>
              <w:top w:val="nil"/>
              <w:left w:val="nil"/>
              <w:bottom w:val="single" w:sz="4" w:space="0" w:color="auto"/>
              <w:right w:val="single" w:sz="4" w:space="0" w:color="auto"/>
            </w:tcBorders>
            <w:shd w:val="clear" w:color="auto" w:fill="auto"/>
            <w:vAlign w:val="center"/>
            <w:hideMark/>
          </w:tcPr>
          <w:p w14:paraId="42D2601C" w14:textId="77777777" w:rsidR="008A4FED" w:rsidRPr="00666914" w:rsidRDefault="008A4FED" w:rsidP="004D30E9">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BFBFBF" w:themeFill="background1" w:themeFillShade="BF"/>
            <w:noWrap/>
            <w:vAlign w:val="bottom"/>
            <w:hideMark/>
          </w:tcPr>
          <w:p w14:paraId="1BBDEA5D" w14:textId="77777777" w:rsidR="008A4FED" w:rsidRPr="00666914" w:rsidRDefault="008A4FED" w:rsidP="004D30E9">
            <w:pPr>
              <w:spacing w:after="0"/>
              <w:rPr>
                <w:rFonts w:eastAsia="Times New Roman"/>
                <w:color w:val="C00000"/>
                <w:sz w:val="20"/>
                <w:szCs w:val="20"/>
                <w:lang w:eastAsia="sk-SK"/>
              </w:rPr>
            </w:pPr>
          </w:p>
        </w:tc>
        <w:tc>
          <w:tcPr>
            <w:tcW w:w="272" w:type="pct"/>
            <w:tcBorders>
              <w:top w:val="nil"/>
              <w:left w:val="nil"/>
              <w:bottom w:val="single" w:sz="4" w:space="0" w:color="auto"/>
              <w:right w:val="single" w:sz="4" w:space="0" w:color="auto"/>
            </w:tcBorders>
            <w:shd w:val="clear" w:color="auto" w:fill="BFBFBF" w:themeFill="background1" w:themeFillShade="BF"/>
            <w:noWrap/>
            <w:vAlign w:val="bottom"/>
            <w:hideMark/>
          </w:tcPr>
          <w:p w14:paraId="5FD4C39B" w14:textId="77777777" w:rsidR="008A4FED" w:rsidRPr="00666914" w:rsidRDefault="008A4FED" w:rsidP="004D30E9">
            <w:pPr>
              <w:spacing w:after="0"/>
              <w:rPr>
                <w:rFonts w:eastAsia="Times New Roman"/>
                <w:color w:val="C00000"/>
                <w:sz w:val="20"/>
                <w:szCs w:val="20"/>
                <w:lang w:eastAsia="sk-SK"/>
              </w:rPr>
            </w:pPr>
          </w:p>
        </w:tc>
        <w:tc>
          <w:tcPr>
            <w:tcW w:w="272" w:type="pct"/>
            <w:tcBorders>
              <w:top w:val="nil"/>
              <w:left w:val="nil"/>
              <w:bottom w:val="single" w:sz="4" w:space="0" w:color="auto"/>
              <w:right w:val="single" w:sz="4" w:space="0" w:color="auto"/>
            </w:tcBorders>
            <w:shd w:val="clear" w:color="auto" w:fill="BFBFBF" w:themeFill="background1" w:themeFillShade="BF"/>
            <w:noWrap/>
            <w:vAlign w:val="bottom"/>
            <w:hideMark/>
          </w:tcPr>
          <w:p w14:paraId="0060F8A4"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3" w:type="pct"/>
            <w:tcBorders>
              <w:top w:val="nil"/>
              <w:left w:val="single" w:sz="4" w:space="0" w:color="auto"/>
              <w:bottom w:val="single" w:sz="4" w:space="0" w:color="auto"/>
              <w:right w:val="single" w:sz="4" w:space="0" w:color="auto"/>
            </w:tcBorders>
            <w:shd w:val="clear" w:color="auto" w:fill="FFC000"/>
            <w:noWrap/>
            <w:vAlign w:val="bottom"/>
            <w:hideMark/>
          </w:tcPr>
          <w:p w14:paraId="232F4B33"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0EFEABBC" w14:textId="77777777" w:rsidTr="002E71E9">
        <w:trPr>
          <w:trHeight w:val="302"/>
        </w:trPr>
        <w:tc>
          <w:tcPr>
            <w:tcW w:w="208" w:type="pct"/>
            <w:tcBorders>
              <w:top w:val="nil"/>
              <w:left w:val="single" w:sz="4" w:space="0" w:color="auto"/>
              <w:bottom w:val="nil"/>
              <w:right w:val="single" w:sz="4" w:space="0" w:color="auto"/>
            </w:tcBorders>
            <w:shd w:val="clear" w:color="auto" w:fill="auto"/>
            <w:vAlign w:val="center"/>
            <w:hideMark/>
          </w:tcPr>
          <w:p w14:paraId="79C1F639"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33</w:t>
            </w:r>
          </w:p>
        </w:tc>
        <w:tc>
          <w:tcPr>
            <w:tcW w:w="380" w:type="pct"/>
            <w:tcBorders>
              <w:top w:val="nil"/>
              <w:left w:val="single" w:sz="4" w:space="0" w:color="auto"/>
              <w:bottom w:val="nil"/>
              <w:right w:val="single" w:sz="4" w:space="0" w:color="auto"/>
            </w:tcBorders>
            <w:vAlign w:val="center"/>
          </w:tcPr>
          <w:p w14:paraId="210FE850"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II.</w:t>
            </w:r>
          </w:p>
        </w:tc>
        <w:tc>
          <w:tcPr>
            <w:tcW w:w="1564" w:type="pct"/>
            <w:tcBorders>
              <w:top w:val="nil"/>
              <w:left w:val="single" w:sz="4" w:space="0" w:color="auto"/>
              <w:bottom w:val="nil"/>
              <w:right w:val="single" w:sz="4" w:space="0" w:color="auto"/>
            </w:tcBorders>
            <w:shd w:val="clear" w:color="auto" w:fill="auto"/>
            <w:vAlign w:val="center"/>
            <w:hideMark/>
          </w:tcPr>
          <w:p w14:paraId="7A50056C"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Prevencia - skríningy rakoviny</w:t>
            </w:r>
          </w:p>
        </w:tc>
        <w:tc>
          <w:tcPr>
            <w:tcW w:w="735" w:type="pct"/>
            <w:tcBorders>
              <w:top w:val="nil"/>
              <w:left w:val="nil"/>
              <w:bottom w:val="nil"/>
              <w:right w:val="single" w:sz="4" w:space="0" w:color="auto"/>
            </w:tcBorders>
            <w:shd w:val="clear" w:color="auto" w:fill="auto"/>
            <w:vAlign w:val="center"/>
            <w:hideMark/>
          </w:tcPr>
          <w:p w14:paraId="6AED018F"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 ZP</w:t>
            </w:r>
          </w:p>
        </w:tc>
        <w:tc>
          <w:tcPr>
            <w:tcW w:w="514" w:type="pct"/>
            <w:tcBorders>
              <w:top w:val="nil"/>
              <w:left w:val="nil"/>
              <w:bottom w:val="nil"/>
              <w:right w:val="single" w:sz="4" w:space="0" w:color="auto"/>
            </w:tcBorders>
            <w:shd w:val="clear" w:color="auto" w:fill="auto"/>
            <w:vAlign w:val="center"/>
            <w:hideMark/>
          </w:tcPr>
          <w:p w14:paraId="2161B892"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31.12.2019</w:t>
            </w:r>
          </w:p>
        </w:tc>
        <w:tc>
          <w:tcPr>
            <w:tcW w:w="517" w:type="pct"/>
            <w:tcBorders>
              <w:top w:val="nil"/>
              <w:left w:val="nil"/>
              <w:bottom w:val="nil"/>
              <w:right w:val="single" w:sz="4" w:space="0" w:color="auto"/>
            </w:tcBorders>
            <w:shd w:val="clear" w:color="auto" w:fill="auto"/>
            <w:vAlign w:val="center"/>
          </w:tcPr>
          <w:p w14:paraId="3CF288FD" w14:textId="77777777" w:rsidR="008A4FED" w:rsidRPr="00666914" w:rsidRDefault="008A4FED" w:rsidP="004D30E9">
            <w:pPr>
              <w:spacing w:after="0"/>
              <w:jc w:val="center"/>
              <w:rPr>
                <w:rFonts w:eastAsia="Times New Roman"/>
                <w:color w:val="000000"/>
                <w:sz w:val="20"/>
                <w:szCs w:val="20"/>
                <w:highlight w:val="yellow"/>
                <w:lang w:eastAsia="sk-SK"/>
              </w:rPr>
            </w:pPr>
            <w:r w:rsidRPr="00666914">
              <w:rPr>
                <w:rFonts w:eastAsia="Times New Roman"/>
                <w:color w:val="000000"/>
                <w:sz w:val="20"/>
                <w:szCs w:val="20"/>
                <w:lang w:eastAsia="sk-SK"/>
              </w:rPr>
              <w:t>-</w:t>
            </w:r>
          </w:p>
        </w:tc>
        <w:tc>
          <w:tcPr>
            <w:tcW w:w="275" w:type="pct"/>
            <w:tcBorders>
              <w:top w:val="nil"/>
              <w:left w:val="nil"/>
              <w:bottom w:val="nil"/>
              <w:right w:val="single" w:sz="4" w:space="0" w:color="auto"/>
            </w:tcBorders>
            <w:shd w:val="clear" w:color="auto" w:fill="FFC000"/>
            <w:noWrap/>
            <w:vAlign w:val="bottom"/>
            <w:hideMark/>
          </w:tcPr>
          <w:p w14:paraId="3F7E247B" w14:textId="77777777" w:rsidR="008A4FED" w:rsidRPr="00666914" w:rsidRDefault="008A4FED" w:rsidP="004D30E9">
            <w:pPr>
              <w:spacing w:after="0"/>
              <w:rPr>
                <w:rFonts w:eastAsia="Times New Roman"/>
                <w:color w:val="C00000"/>
                <w:sz w:val="20"/>
                <w:szCs w:val="20"/>
                <w:lang w:eastAsia="sk-SK"/>
              </w:rPr>
            </w:pPr>
          </w:p>
        </w:tc>
        <w:tc>
          <w:tcPr>
            <w:tcW w:w="272" w:type="pct"/>
            <w:tcBorders>
              <w:top w:val="nil"/>
              <w:left w:val="nil"/>
              <w:bottom w:val="nil"/>
              <w:right w:val="single" w:sz="4" w:space="0" w:color="auto"/>
            </w:tcBorders>
            <w:shd w:val="clear" w:color="auto" w:fill="FFC000"/>
            <w:noWrap/>
            <w:vAlign w:val="bottom"/>
            <w:hideMark/>
          </w:tcPr>
          <w:p w14:paraId="654A62F7" w14:textId="77777777" w:rsidR="008A4FED" w:rsidRPr="00666914" w:rsidRDefault="008A4FED" w:rsidP="004D30E9">
            <w:pPr>
              <w:spacing w:after="0"/>
              <w:rPr>
                <w:rFonts w:eastAsia="Times New Roman"/>
                <w:color w:val="C00000"/>
                <w:sz w:val="20"/>
                <w:szCs w:val="20"/>
                <w:lang w:eastAsia="sk-SK"/>
              </w:rPr>
            </w:pPr>
          </w:p>
        </w:tc>
        <w:tc>
          <w:tcPr>
            <w:tcW w:w="272" w:type="pct"/>
            <w:tcBorders>
              <w:top w:val="nil"/>
              <w:left w:val="nil"/>
              <w:bottom w:val="nil"/>
              <w:right w:val="single" w:sz="4" w:space="0" w:color="auto"/>
            </w:tcBorders>
            <w:shd w:val="clear" w:color="auto" w:fill="FFC000"/>
            <w:noWrap/>
            <w:vAlign w:val="bottom"/>
            <w:hideMark/>
          </w:tcPr>
          <w:p w14:paraId="71C3873A"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3" w:type="pct"/>
            <w:tcBorders>
              <w:top w:val="nil"/>
              <w:left w:val="single" w:sz="4" w:space="0" w:color="auto"/>
              <w:bottom w:val="nil"/>
              <w:right w:val="single" w:sz="4" w:space="0" w:color="auto"/>
            </w:tcBorders>
            <w:shd w:val="clear" w:color="auto" w:fill="FF0000"/>
            <w:noWrap/>
            <w:vAlign w:val="bottom"/>
            <w:hideMark/>
          </w:tcPr>
          <w:p w14:paraId="7527B2AE"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68DDC8C6" w14:textId="77777777" w:rsidTr="002E71E9">
        <w:trPr>
          <w:trHeight w:val="302"/>
        </w:trPr>
        <w:tc>
          <w:tcPr>
            <w:tcW w:w="5000" w:type="pct"/>
            <w:gridSpan w:val="10"/>
            <w:tcBorders>
              <w:top w:val="single" w:sz="8" w:space="0" w:color="auto"/>
              <w:left w:val="single" w:sz="4" w:space="0" w:color="auto"/>
              <w:bottom w:val="single" w:sz="8" w:space="0" w:color="auto"/>
              <w:right w:val="single" w:sz="4" w:space="0" w:color="auto"/>
            </w:tcBorders>
            <w:vAlign w:val="center"/>
          </w:tcPr>
          <w:p w14:paraId="5B0EFBC6" w14:textId="77777777" w:rsidR="008A4FED" w:rsidRPr="00666914" w:rsidRDefault="008A4FED" w:rsidP="004D30E9">
            <w:pPr>
              <w:spacing w:after="0"/>
              <w:jc w:val="center"/>
              <w:rPr>
                <w:rFonts w:eastAsia="Times New Roman"/>
                <w:b/>
                <w:bCs/>
                <w:color w:val="000000"/>
                <w:sz w:val="20"/>
                <w:szCs w:val="20"/>
                <w:highlight w:val="yellow"/>
                <w:lang w:eastAsia="sk-SK"/>
              </w:rPr>
            </w:pPr>
            <w:r w:rsidRPr="00666914">
              <w:rPr>
                <w:rFonts w:eastAsia="Times New Roman"/>
                <w:b/>
                <w:bCs/>
                <w:color w:val="000000"/>
                <w:sz w:val="20"/>
                <w:szCs w:val="20"/>
                <w:lang w:eastAsia="sk-SK"/>
              </w:rPr>
              <w:t>ANALYTICKÉ ÚLOHY</w:t>
            </w:r>
          </w:p>
        </w:tc>
      </w:tr>
      <w:tr w:rsidR="008A4FED" w:rsidRPr="00666914" w14:paraId="4AB4D289" w14:textId="77777777" w:rsidTr="002E71E9">
        <w:trPr>
          <w:trHeight w:val="1003"/>
        </w:trPr>
        <w:tc>
          <w:tcPr>
            <w:tcW w:w="208" w:type="pct"/>
            <w:tcBorders>
              <w:top w:val="nil"/>
              <w:left w:val="single" w:sz="4" w:space="0" w:color="auto"/>
              <w:bottom w:val="single" w:sz="4" w:space="0" w:color="auto"/>
              <w:right w:val="single" w:sz="4" w:space="0" w:color="auto"/>
            </w:tcBorders>
            <w:shd w:val="clear" w:color="auto" w:fill="auto"/>
            <w:vAlign w:val="center"/>
            <w:hideMark/>
          </w:tcPr>
          <w:p w14:paraId="1F6C38B6" w14:textId="77777777" w:rsidR="008A4FED" w:rsidRPr="00666914" w:rsidRDefault="008A4FED" w:rsidP="004D30E9">
            <w:pPr>
              <w:spacing w:after="0"/>
              <w:jc w:val="center"/>
              <w:rPr>
                <w:rFonts w:eastAsia="Times New Roman"/>
                <w:color w:val="000000"/>
                <w:sz w:val="20"/>
                <w:szCs w:val="20"/>
                <w:lang w:eastAsia="sk-SK"/>
              </w:rPr>
            </w:pPr>
            <w:bookmarkStart w:id="36" w:name="_Hlk524350145"/>
            <w:r w:rsidRPr="00666914">
              <w:rPr>
                <w:rFonts w:eastAsia="Times New Roman"/>
                <w:color w:val="000000"/>
                <w:sz w:val="20"/>
                <w:szCs w:val="20"/>
                <w:lang w:eastAsia="sk-SK"/>
              </w:rPr>
              <w:t>34</w:t>
            </w:r>
          </w:p>
        </w:tc>
        <w:tc>
          <w:tcPr>
            <w:tcW w:w="380" w:type="pct"/>
            <w:tcBorders>
              <w:top w:val="nil"/>
              <w:left w:val="single" w:sz="4" w:space="0" w:color="auto"/>
              <w:bottom w:val="single" w:sz="4" w:space="0" w:color="auto"/>
              <w:right w:val="single" w:sz="4" w:space="0" w:color="auto"/>
            </w:tcBorders>
            <w:vAlign w:val="center"/>
          </w:tcPr>
          <w:p w14:paraId="15C85D5C"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42B25196"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Vyvinúť nástroj na presnejšie stanovenie potreby výdavkov na zdravotnú starostlivosť s ohľadom na udržateľnosť verejných financií</w:t>
            </w:r>
          </w:p>
        </w:tc>
        <w:tc>
          <w:tcPr>
            <w:tcW w:w="735" w:type="pct"/>
            <w:tcBorders>
              <w:top w:val="nil"/>
              <w:left w:val="nil"/>
              <w:bottom w:val="single" w:sz="4" w:space="0" w:color="auto"/>
              <w:right w:val="single" w:sz="4" w:space="0" w:color="auto"/>
            </w:tcBorders>
            <w:shd w:val="clear" w:color="auto" w:fill="auto"/>
            <w:vAlign w:val="center"/>
            <w:hideMark/>
          </w:tcPr>
          <w:p w14:paraId="4DF0C60D"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 MF SR</w:t>
            </w:r>
          </w:p>
        </w:tc>
        <w:tc>
          <w:tcPr>
            <w:tcW w:w="514" w:type="pct"/>
            <w:tcBorders>
              <w:top w:val="nil"/>
              <w:left w:val="nil"/>
              <w:bottom w:val="single" w:sz="4" w:space="0" w:color="auto"/>
              <w:right w:val="single" w:sz="4" w:space="0" w:color="auto"/>
            </w:tcBorders>
            <w:shd w:val="clear" w:color="auto" w:fill="auto"/>
            <w:vAlign w:val="center"/>
            <w:hideMark/>
          </w:tcPr>
          <w:p w14:paraId="28EAC368"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31.12.2019</w:t>
            </w:r>
          </w:p>
        </w:tc>
        <w:tc>
          <w:tcPr>
            <w:tcW w:w="517" w:type="pct"/>
            <w:tcBorders>
              <w:top w:val="nil"/>
              <w:left w:val="nil"/>
              <w:bottom w:val="single" w:sz="4" w:space="0" w:color="auto"/>
              <w:right w:val="single" w:sz="4" w:space="0" w:color="auto"/>
            </w:tcBorders>
            <w:shd w:val="clear" w:color="auto" w:fill="auto"/>
            <w:vAlign w:val="center"/>
            <w:hideMark/>
          </w:tcPr>
          <w:p w14:paraId="515728B9" w14:textId="77777777" w:rsidR="008A4FED" w:rsidRPr="00666914" w:rsidRDefault="008A4FED" w:rsidP="004D30E9">
            <w:pPr>
              <w:spacing w:after="0"/>
              <w:jc w:val="center"/>
              <w:rPr>
                <w:rFonts w:eastAsia="Times New Roman"/>
                <w:color w:val="000000"/>
                <w:sz w:val="20"/>
                <w:szCs w:val="20"/>
                <w:highlight w:val="yellow"/>
                <w:lang w:eastAsia="sk-SK"/>
              </w:rPr>
            </w:pPr>
            <w:r w:rsidRPr="00666914">
              <w:rPr>
                <w:rFonts w:eastAsia="Times New Roman"/>
                <w:color w:val="000000"/>
                <w:sz w:val="20"/>
                <w:szCs w:val="20"/>
                <w:lang w:eastAsia="sk-SK"/>
              </w:rPr>
              <w:t>-</w:t>
            </w:r>
          </w:p>
        </w:tc>
        <w:tc>
          <w:tcPr>
            <w:tcW w:w="275" w:type="pct"/>
            <w:tcBorders>
              <w:top w:val="nil"/>
              <w:left w:val="nil"/>
              <w:bottom w:val="single" w:sz="4" w:space="0" w:color="auto"/>
              <w:right w:val="single" w:sz="4" w:space="0" w:color="auto"/>
            </w:tcBorders>
            <w:shd w:val="clear" w:color="auto" w:fill="FFC000"/>
            <w:noWrap/>
            <w:vAlign w:val="bottom"/>
            <w:hideMark/>
          </w:tcPr>
          <w:p w14:paraId="17C2270A"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0E605858"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2129D3CE"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 </w:t>
            </w:r>
          </w:p>
        </w:tc>
        <w:tc>
          <w:tcPr>
            <w:tcW w:w="263" w:type="pct"/>
            <w:tcBorders>
              <w:top w:val="nil"/>
              <w:left w:val="single" w:sz="4" w:space="0" w:color="auto"/>
              <w:bottom w:val="single" w:sz="4" w:space="0" w:color="auto"/>
              <w:right w:val="single" w:sz="4" w:space="0" w:color="auto"/>
            </w:tcBorders>
            <w:shd w:val="clear" w:color="auto" w:fill="FFC000"/>
            <w:noWrap/>
            <w:vAlign w:val="bottom"/>
            <w:hideMark/>
          </w:tcPr>
          <w:p w14:paraId="5CAF4347"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26838FE2" w14:textId="77777777" w:rsidTr="002E71E9">
        <w:trPr>
          <w:trHeight w:val="287"/>
        </w:trPr>
        <w:tc>
          <w:tcPr>
            <w:tcW w:w="208" w:type="pct"/>
            <w:tcBorders>
              <w:top w:val="nil"/>
              <w:left w:val="single" w:sz="4" w:space="0" w:color="auto"/>
              <w:bottom w:val="single" w:sz="4" w:space="0" w:color="auto"/>
              <w:right w:val="single" w:sz="4" w:space="0" w:color="auto"/>
            </w:tcBorders>
            <w:shd w:val="clear" w:color="auto" w:fill="auto"/>
            <w:vAlign w:val="center"/>
            <w:hideMark/>
          </w:tcPr>
          <w:p w14:paraId="15FDA026"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35</w:t>
            </w:r>
          </w:p>
        </w:tc>
        <w:tc>
          <w:tcPr>
            <w:tcW w:w="380" w:type="pct"/>
            <w:tcBorders>
              <w:top w:val="nil"/>
              <w:left w:val="single" w:sz="4" w:space="0" w:color="auto"/>
              <w:bottom w:val="single" w:sz="4" w:space="0" w:color="auto"/>
              <w:right w:val="single" w:sz="4" w:space="0" w:color="auto"/>
            </w:tcBorders>
            <w:vAlign w:val="center"/>
          </w:tcPr>
          <w:p w14:paraId="3DF58522"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0F012D17"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Analýza spotreby voľnopredajných liekov</w:t>
            </w:r>
          </w:p>
        </w:tc>
        <w:tc>
          <w:tcPr>
            <w:tcW w:w="735" w:type="pct"/>
            <w:tcBorders>
              <w:top w:val="nil"/>
              <w:left w:val="nil"/>
              <w:bottom w:val="single" w:sz="4" w:space="0" w:color="auto"/>
              <w:right w:val="single" w:sz="4" w:space="0" w:color="auto"/>
            </w:tcBorders>
            <w:shd w:val="clear" w:color="auto" w:fill="auto"/>
            <w:vAlign w:val="center"/>
            <w:hideMark/>
          </w:tcPr>
          <w:p w14:paraId="3B2B86A0"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 MF SR</w:t>
            </w:r>
          </w:p>
        </w:tc>
        <w:tc>
          <w:tcPr>
            <w:tcW w:w="514" w:type="pct"/>
            <w:tcBorders>
              <w:top w:val="nil"/>
              <w:left w:val="nil"/>
              <w:bottom w:val="single" w:sz="4" w:space="0" w:color="auto"/>
              <w:right w:val="single" w:sz="4" w:space="0" w:color="auto"/>
            </w:tcBorders>
            <w:shd w:val="clear" w:color="auto" w:fill="auto"/>
            <w:vAlign w:val="center"/>
            <w:hideMark/>
          </w:tcPr>
          <w:p w14:paraId="0FD8759B"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31.12.2018</w:t>
            </w:r>
          </w:p>
        </w:tc>
        <w:tc>
          <w:tcPr>
            <w:tcW w:w="517" w:type="pct"/>
            <w:tcBorders>
              <w:top w:val="nil"/>
              <w:left w:val="nil"/>
              <w:bottom w:val="single" w:sz="4" w:space="0" w:color="auto"/>
              <w:right w:val="single" w:sz="4" w:space="0" w:color="auto"/>
            </w:tcBorders>
            <w:shd w:val="clear" w:color="auto" w:fill="auto"/>
            <w:vAlign w:val="center"/>
            <w:hideMark/>
          </w:tcPr>
          <w:p w14:paraId="7E2467BD"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30.06.2019</w:t>
            </w:r>
          </w:p>
        </w:tc>
        <w:tc>
          <w:tcPr>
            <w:tcW w:w="275" w:type="pct"/>
            <w:tcBorders>
              <w:top w:val="nil"/>
              <w:left w:val="nil"/>
              <w:bottom w:val="single" w:sz="4" w:space="0" w:color="auto"/>
              <w:right w:val="single" w:sz="4" w:space="0" w:color="auto"/>
            </w:tcBorders>
            <w:shd w:val="clear" w:color="auto" w:fill="FF0000"/>
            <w:noWrap/>
            <w:vAlign w:val="bottom"/>
            <w:hideMark/>
          </w:tcPr>
          <w:p w14:paraId="55ACB2D9"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0000"/>
            <w:noWrap/>
            <w:vAlign w:val="bottom"/>
            <w:hideMark/>
          </w:tcPr>
          <w:p w14:paraId="5D560BF7"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0000"/>
            <w:noWrap/>
            <w:vAlign w:val="bottom"/>
            <w:hideMark/>
          </w:tcPr>
          <w:p w14:paraId="4915FA77"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3" w:type="pct"/>
            <w:tcBorders>
              <w:top w:val="nil"/>
              <w:left w:val="single" w:sz="4" w:space="0" w:color="auto"/>
              <w:bottom w:val="single" w:sz="4" w:space="0" w:color="auto"/>
              <w:right w:val="single" w:sz="4" w:space="0" w:color="auto"/>
            </w:tcBorders>
            <w:shd w:val="clear" w:color="auto" w:fill="FF0000"/>
            <w:noWrap/>
            <w:vAlign w:val="bottom"/>
            <w:hideMark/>
          </w:tcPr>
          <w:p w14:paraId="6B368B1C"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54868654" w14:textId="77777777" w:rsidTr="002E71E9">
        <w:trPr>
          <w:trHeight w:val="857"/>
        </w:trPr>
        <w:tc>
          <w:tcPr>
            <w:tcW w:w="208" w:type="pct"/>
            <w:tcBorders>
              <w:top w:val="nil"/>
              <w:left w:val="single" w:sz="4" w:space="0" w:color="auto"/>
              <w:bottom w:val="single" w:sz="4" w:space="0" w:color="auto"/>
              <w:right w:val="single" w:sz="4" w:space="0" w:color="auto"/>
            </w:tcBorders>
            <w:shd w:val="clear" w:color="auto" w:fill="auto"/>
            <w:vAlign w:val="center"/>
            <w:hideMark/>
          </w:tcPr>
          <w:p w14:paraId="20339B5C"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36</w:t>
            </w:r>
          </w:p>
        </w:tc>
        <w:tc>
          <w:tcPr>
            <w:tcW w:w="380" w:type="pct"/>
            <w:tcBorders>
              <w:top w:val="nil"/>
              <w:left w:val="single" w:sz="4" w:space="0" w:color="auto"/>
              <w:bottom w:val="single" w:sz="4" w:space="0" w:color="auto"/>
              <w:right w:val="single" w:sz="4" w:space="0" w:color="auto"/>
            </w:tcBorders>
            <w:vAlign w:val="center"/>
          </w:tcPr>
          <w:p w14:paraId="76DBCC1F"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6932A7D6"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Prehodnotenie kompetencií lekárov, sestier a zdravotníckych asistentov v ústavnej starostlivosti</w:t>
            </w:r>
          </w:p>
        </w:tc>
        <w:tc>
          <w:tcPr>
            <w:tcW w:w="735" w:type="pct"/>
            <w:tcBorders>
              <w:top w:val="nil"/>
              <w:left w:val="nil"/>
              <w:bottom w:val="single" w:sz="4" w:space="0" w:color="auto"/>
              <w:right w:val="single" w:sz="4" w:space="0" w:color="auto"/>
            </w:tcBorders>
            <w:shd w:val="clear" w:color="auto" w:fill="auto"/>
            <w:vAlign w:val="center"/>
            <w:hideMark/>
          </w:tcPr>
          <w:p w14:paraId="575DB035"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w:t>
            </w:r>
          </w:p>
        </w:tc>
        <w:tc>
          <w:tcPr>
            <w:tcW w:w="514" w:type="pct"/>
            <w:tcBorders>
              <w:top w:val="nil"/>
              <w:left w:val="nil"/>
              <w:bottom w:val="single" w:sz="4" w:space="0" w:color="auto"/>
              <w:right w:val="single" w:sz="4" w:space="0" w:color="auto"/>
            </w:tcBorders>
            <w:shd w:val="clear" w:color="auto" w:fill="auto"/>
            <w:vAlign w:val="center"/>
            <w:hideMark/>
          </w:tcPr>
          <w:p w14:paraId="403DB792"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1AB83F79"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31.12.2020</w:t>
            </w:r>
          </w:p>
        </w:tc>
        <w:tc>
          <w:tcPr>
            <w:tcW w:w="275" w:type="pct"/>
            <w:tcBorders>
              <w:top w:val="nil"/>
              <w:left w:val="nil"/>
              <w:bottom w:val="single" w:sz="4" w:space="0" w:color="auto"/>
              <w:right w:val="single" w:sz="4" w:space="0" w:color="auto"/>
            </w:tcBorders>
            <w:shd w:val="clear" w:color="auto" w:fill="FFC000"/>
            <w:noWrap/>
            <w:vAlign w:val="bottom"/>
            <w:hideMark/>
          </w:tcPr>
          <w:p w14:paraId="2967B9DC"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0B51E98B"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60792AF2"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3" w:type="pct"/>
            <w:tcBorders>
              <w:top w:val="nil"/>
              <w:left w:val="single" w:sz="4" w:space="0" w:color="auto"/>
              <w:bottom w:val="single" w:sz="4" w:space="0" w:color="auto"/>
              <w:right w:val="single" w:sz="4" w:space="0" w:color="auto"/>
            </w:tcBorders>
            <w:shd w:val="clear" w:color="auto" w:fill="FFC000"/>
            <w:noWrap/>
            <w:vAlign w:val="bottom"/>
            <w:hideMark/>
          </w:tcPr>
          <w:p w14:paraId="2371819F"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584B4E86" w14:textId="77777777" w:rsidTr="002E71E9">
        <w:trPr>
          <w:trHeight w:val="251"/>
        </w:trPr>
        <w:tc>
          <w:tcPr>
            <w:tcW w:w="208" w:type="pct"/>
            <w:tcBorders>
              <w:top w:val="nil"/>
              <w:left w:val="single" w:sz="4" w:space="0" w:color="auto"/>
              <w:bottom w:val="single" w:sz="4" w:space="0" w:color="auto"/>
              <w:right w:val="single" w:sz="4" w:space="0" w:color="auto"/>
            </w:tcBorders>
            <w:shd w:val="clear" w:color="auto" w:fill="auto"/>
            <w:vAlign w:val="center"/>
            <w:hideMark/>
          </w:tcPr>
          <w:p w14:paraId="47DC2EFD"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37</w:t>
            </w:r>
          </w:p>
        </w:tc>
        <w:tc>
          <w:tcPr>
            <w:tcW w:w="380" w:type="pct"/>
            <w:tcBorders>
              <w:top w:val="nil"/>
              <w:left w:val="single" w:sz="4" w:space="0" w:color="auto"/>
              <w:bottom w:val="single" w:sz="4" w:space="0" w:color="auto"/>
              <w:right w:val="single" w:sz="4" w:space="0" w:color="auto"/>
            </w:tcBorders>
            <w:vAlign w:val="center"/>
          </w:tcPr>
          <w:p w14:paraId="65037E05"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5206650D" w14:textId="77777777" w:rsidR="008A4FED" w:rsidRPr="00666914" w:rsidRDefault="008A4FED">
            <w:pPr>
              <w:spacing w:after="0"/>
              <w:jc w:val="left"/>
              <w:rPr>
                <w:rFonts w:eastAsia="Times New Roman"/>
                <w:color w:val="000000"/>
                <w:sz w:val="20"/>
                <w:szCs w:val="20"/>
                <w:lang w:eastAsia="sk-SK"/>
              </w:rPr>
            </w:pPr>
            <w:r w:rsidRPr="00666914">
              <w:rPr>
                <w:rFonts w:eastAsia="Times New Roman"/>
                <w:color w:val="000000"/>
                <w:sz w:val="20"/>
                <w:szCs w:val="20"/>
                <w:lang w:eastAsia="sk-SK"/>
              </w:rPr>
              <w:t>Preskúmanie súčasného stavu odmeňovania zdravotníckych zamestnancov (najmä lekárov a sestier) navrhne spôsob zohľadnenia výkonnosti a kvality v systéme odmeňovania</w:t>
            </w:r>
          </w:p>
        </w:tc>
        <w:tc>
          <w:tcPr>
            <w:tcW w:w="735" w:type="pct"/>
            <w:tcBorders>
              <w:top w:val="nil"/>
              <w:left w:val="nil"/>
              <w:bottom w:val="single" w:sz="4" w:space="0" w:color="auto"/>
              <w:right w:val="single" w:sz="4" w:space="0" w:color="auto"/>
            </w:tcBorders>
            <w:shd w:val="clear" w:color="auto" w:fill="auto"/>
            <w:vAlign w:val="center"/>
            <w:hideMark/>
          </w:tcPr>
          <w:p w14:paraId="5A5F7864"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w:t>
            </w:r>
          </w:p>
        </w:tc>
        <w:tc>
          <w:tcPr>
            <w:tcW w:w="514" w:type="pct"/>
            <w:tcBorders>
              <w:top w:val="nil"/>
              <w:left w:val="nil"/>
              <w:bottom w:val="single" w:sz="4" w:space="0" w:color="auto"/>
              <w:right w:val="single" w:sz="4" w:space="0" w:color="auto"/>
            </w:tcBorders>
            <w:shd w:val="clear" w:color="auto" w:fill="auto"/>
            <w:vAlign w:val="center"/>
            <w:hideMark/>
          </w:tcPr>
          <w:p w14:paraId="1B9A77E9"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31.12.2018</w:t>
            </w:r>
          </w:p>
        </w:tc>
        <w:tc>
          <w:tcPr>
            <w:tcW w:w="517" w:type="pct"/>
            <w:tcBorders>
              <w:top w:val="nil"/>
              <w:left w:val="nil"/>
              <w:bottom w:val="single" w:sz="4" w:space="0" w:color="auto"/>
              <w:right w:val="single" w:sz="4" w:space="0" w:color="auto"/>
            </w:tcBorders>
            <w:shd w:val="clear" w:color="auto" w:fill="auto"/>
            <w:vAlign w:val="center"/>
            <w:hideMark/>
          </w:tcPr>
          <w:p w14:paraId="0FF6E87C"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FFC000"/>
            <w:noWrap/>
            <w:vAlign w:val="bottom"/>
            <w:hideMark/>
          </w:tcPr>
          <w:p w14:paraId="0E41916D"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0474B4CE"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0C48EAC7"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3" w:type="pct"/>
            <w:tcBorders>
              <w:top w:val="nil"/>
              <w:left w:val="single" w:sz="4" w:space="0" w:color="auto"/>
              <w:bottom w:val="single" w:sz="4" w:space="0" w:color="auto"/>
              <w:right w:val="single" w:sz="4" w:space="0" w:color="auto"/>
            </w:tcBorders>
            <w:shd w:val="clear" w:color="auto" w:fill="FFC000"/>
            <w:noWrap/>
            <w:vAlign w:val="bottom"/>
            <w:hideMark/>
          </w:tcPr>
          <w:p w14:paraId="646380A6"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bl>
    <w:p w14:paraId="5C104BEF" w14:textId="77777777" w:rsidR="008A4FED" w:rsidRPr="00666914" w:rsidRDefault="008A4FED" w:rsidP="008B70B3">
      <w:pPr>
        <w:jc w:val="left"/>
      </w:pPr>
      <w:bookmarkStart w:id="37" w:name="_Toc509875026"/>
      <w:bookmarkStart w:id="38" w:name="_Toc517698233"/>
      <w:bookmarkStart w:id="39" w:name="_Toc5865308"/>
      <w:bookmarkEnd w:id="36"/>
    </w:p>
    <w:p w14:paraId="783E072F" w14:textId="77777777" w:rsidR="008A4FED" w:rsidRPr="00666914" w:rsidRDefault="008A4FED">
      <w:pPr>
        <w:spacing w:line="259" w:lineRule="auto"/>
        <w:jc w:val="left"/>
      </w:pPr>
      <w:r w:rsidRPr="00666914">
        <w:br w:type="page"/>
      </w:r>
    </w:p>
    <w:p w14:paraId="7EA67D79" w14:textId="5BD8B2CD" w:rsidR="008A4FED" w:rsidRPr="00666914" w:rsidRDefault="008A4FED" w:rsidP="00F64B85">
      <w:pPr>
        <w:pStyle w:val="tabulka"/>
        <w:pBdr>
          <w:bottom w:val="none" w:sz="0" w:space="0" w:color="auto"/>
        </w:pBdr>
      </w:pPr>
      <w:bookmarkStart w:id="40" w:name="_Toc36547025"/>
      <w:bookmarkStart w:id="41" w:name="_Toc38447666"/>
      <w:r w:rsidRPr="00666914">
        <w:lastRenderedPageBreak/>
        <w:t xml:space="preserve">Tabuľka </w:t>
      </w:r>
      <w:r w:rsidRPr="00666914">
        <w:rPr>
          <w:noProof/>
        </w:rPr>
        <w:fldChar w:fldCharType="begin"/>
      </w:r>
      <w:r w:rsidRPr="00666914">
        <w:rPr>
          <w:noProof/>
        </w:rPr>
        <w:instrText xml:space="preserve"> SEQ Tabuľka \* ARABIC \* MERGEFORMAT </w:instrText>
      </w:r>
      <w:r w:rsidRPr="00666914">
        <w:rPr>
          <w:noProof/>
        </w:rPr>
        <w:fldChar w:fldCharType="separate"/>
      </w:r>
      <w:r w:rsidR="005A7304">
        <w:rPr>
          <w:noProof/>
        </w:rPr>
        <w:t>5</w:t>
      </w:r>
      <w:r w:rsidRPr="00666914">
        <w:rPr>
          <w:noProof/>
        </w:rPr>
        <w:fldChar w:fldCharType="end"/>
      </w:r>
      <w:r w:rsidRPr="00666914">
        <w:t>: Opatrenia Revízie výdavkov na zdravotníctvo splnené v roku 2018</w:t>
      </w:r>
      <w:bookmarkEnd w:id="40"/>
      <w:bookmarkEnd w:id="41"/>
    </w:p>
    <w:tbl>
      <w:tblPr>
        <w:tblW w:w="50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45"/>
        <w:gridCol w:w="1304"/>
        <w:gridCol w:w="1021"/>
        <w:gridCol w:w="989"/>
        <w:gridCol w:w="546"/>
        <w:gridCol w:w="546"/>
        <w:gridCol w:w="546"/>
        <w:gridCol w:w="533"/>
      </w:tblGrid>
      <w:tr w:rsidR="006D2DC2" w:rsidRPr="00666914" w14:paraId="679EA43B" w14:textId="77777777" w:rsidTr="003B4B2F">
        <w:trPr>
          <w:trHeight w:val="424"/>
          <w:jc w:val="center"/>
        </w:trPr>
        <w:tc>
          <w:tcPr>
            <w:tcW w:w="2028" w:type="pct"/>
            <w:noWrap/>
            <w:vAlign w:val="center"/>
            <w:hideMark/>
          </w:tcPr>
          <w:p w14:paraId="54287E45" w14:textId="77777777" w:rsidR="008A4FED" w:rsidRPr="00666914" w:rsidRDefault="008A4FED" w:rsidP="008B70B3">
            <w:pPr>
              <w:spacing w:after="0"/>
              <w:ind w:left="-396" w:firstLine="396"/>
              <w:jc w:val="center"/>
              <w:rPr>
                <w:rFonts w:cs="Calibri"/>
                <w:b/>
                <w:bCs/>
                <w:color w:val="000000"/>
                <w:sz w:val="20"/>
                <w:szCs w:val="20"/>
                <w:lang w:eastAsia="sk-SK"/>
              </w:rPr>
            </w:pPr>
          </w:p>
        </w:tc>
        <w:tc>
          <w:tcPr>
            <w:tcW w:w="706" w:type="pct"/>
            <w:noWrap/>
            <w:vAlign w:val="center"/>
            <w:hideMark/>
          </w:tcPr>
          <w:p w14:paraId="30810BE3" w14:textId="77777777" w:rsidR="008A4FED" w:rsidRPr="00666914" w:rsidRDefault="008A4FED" w:rsidP="008B70B3">
            <w:pPr>
              <w:spacing w:after="0"/>
              <w:jc w:val="center"/>
              <w:rPr>
                <w:rFonts w:cs="Calibri"/>
                <w:b/>
                <w:bCs/>
                <w:color w:val="000000"/>
                <w:sz w:val="20"/>
                <w:szCs w:val="20"/>
                <w:lang w:eastAsia="sk-SK"/>
              </w:rPr>
            </w:pPr>
            <w:r w:rsidRPr="00666914">
              <w:rPr>
                <w:rFonts w:cs="Calibri"/>
                <w:b/>
                <w:bCs/>
                <w:color w:val="000000"/>
                <w:sz w:val="20"/>
                <w:szCs w:val="20"/>
                <w:lang w:eastAsia="sk-SK"/>
              </w:rPr>
              <w:t>Zodpovednosť</w:t>
            </w:r>
          </w:p>
        </w:tc>
        <w:tc>
          <w:tcPr>
            <w:tcW w:w="553" w:type="pct"/>
            <w:noWrap/>
            <w:vAlign w:val="center"/>
            <w:hideMark/>
          </w:tcPr>
          <w:p w14:paraId="61B1CFBD" w14:textId="77777777" w:rsidR="008A4FED" w:rsidRPr="00666914" w:rsidRDefault="008A4FED" w:rsidP="008B70B3">
            <w:pPr>
              <w:spacing w:after="0"/>
              <w:jc w:val="center"/>
              <w:rPr>
                <w:rFonts w:cs="Calibri"/>
                <w:b/>
                <w:bCs/>
                <w:color w:val="000000"/>
                <w:sz w:val="20"/>
                <w:szCs w:val="20"/>
                <w:lang w:eastAsia="sk-SK"/>
              </w:rPr>
            </w:pPr>
            <w:r w:rsidRPr="00666914">
              <w:rPr>
                <w:rFonts w:cs="Calibri"/>
                <w:b/>
                <w:bCs/>
                <w:color w:val="000000"/>
                <w:sz w:val="20"/>
                <w:szCs w:val="20"/>
                <w:lang w:eastAsia="sk-SK"/>
              </w:rPr>
              <w:t>Termín</w:t>
            </w:r>
          </w:p>
        </w:tc>
        <w:tc>
          <w:tcPr>
            <w:tcW w:w="536" w:type="pct"/>
            <w:noWrap/>
            <w:vAlign w:val="center"/>
            <w:hideMark/>
          </w:tcPr>
          <w:p w14:paraId="7D7B826A" w14:textId="77777777" w:rsidR="008A4FED" w:rsidRPr="00666914" w:rsidRDefault="008A4FED" w:rsidP="008B70B3">
            <w:pPr>
              <w:spacing w:after="0"/>
              <w:jc w:val="center"/>
              <w:rPr>
                <w:rFonts w:cs="Calibri"/>
                <w:b/>
                <w:bCs/>
                <w:color w:val="000000"/>
                <w:sz w:val="20"/>
                <w:szCs w:val="20"/>
                <w:lang w:eastAsia="sk-SK"/>
              </w:rPr>
            </w:pPr>
            <w:r w:rsidRPr="00666914">
              <w:rPr>
                <w:rFonts w:cs="Calibri"/>
                <w:b/>
                <w:bCs/>
                <w:color w:val="000000"/>
                <w:sz w:val="20"/>
                <w:szCs w:val="20"/>
                <w:lang w:eastAsia="sk-SK"/>
              </w:rPr>
              <w:t>Nový termín</w:t>
            </w:r>
          </w:p>
        </w:tc>
        <w:tc>
          <w:tcPr>
            <w:tcW w:w="296" w:type="pct"/>
            <w:noWrap/>
            <w:vAlign w:val="center"/>
            <w:hideMark/>
          </w:tcPr>
          <w:p w14:paraId="064706E9" w14:textId="77777777" w:rsidR="008A4FED" w:rsidRPr="00666914" w:rsidRDefault="008A4FED" w:rsidP="008B70B3">
            <w:pPr>
              <w:spacing w:after="0"/>
              <w:jc w:val="center"/>
              <w:rPr>
                <w:rFonts w:cs="Calibri"/>
                <w:b/>
                <w:bCs/>
                <w:color w:val="000000"/>
                <w:sz w:val="20"/>
                <w:szCs w:val="20"/>
                <w:lang w:eastAsia="sk-SK"/>
              </w:rPr>
            </w:pPr>
            <w:r w:rsidRPr="00666914">
              <w:rPr>
                <w:rFonts w:cs="Calibri"/>
                <w:b/>
                <w:bCs/>
                <w:color w:val="000000"/>
                <w:sz w:val="20"/>
                <w:szCs w:val="20"/>
                <w:lang w:eastAsia="sk-SK"/>
              </w:rPr>
              <w:t xml:space="preserve">1Q </w:t>
            </w:r>
          </w:p>
          <w:p w14:paraId="6DE0C96C" w14:textId="77777777" w:rsidR="008A4FED" w:rsidRPr="00666914" w:rsidRDefault="008A4FED" w:rsidP="008B70B3">
            <w:pPr>
              <w:spacing w:after="0"/>
              <w:jc w:val="center"/>
              <w:rPr>
                <w:rFonts w:cs="Calibri"/>
                <w:b/>
                <w:bCs/>
                <w:color w:val="000000"/>
                <w:sz w:val="20"/>
                <w:szCs w:val="20"/>
                <w:lang w:eastAsia="sk-SK"/>
              </w:rPr>
            </w:pPr>
            <w:r w:rsidRPr="00666914">
              <w:rPr>
                <w:rFonts w:cs="Calibri"/>
                <w:b/>
                <w:bCs/>
                <w:color w:val="000000"/>
                <w:sz w:val="20"/>
                <w:szCs w:val="20"/>
                <w:lang w:eastAsia="sk-SK"/>
              </w:rPr>
              <w:t>2018</w:t>
            </w:r>
          </w:p>
        </w:tc>
        <w:tc>
          <w:tcPr>
            <w:tcW w:w="296" w:type="pct"/>
            <w:noWrap/>
            <w:vAlign w:val="center"/>
            <w:hideMark/>
          </w:tcPr>
          <w:p w14:paraId="639C1796" w14:textId="77777777" w:rsidR="008A4FED" w:rsidRPr="00666914" w:rsidRDefault="008A4FED" w:rsidP="008B70B3">
            <w:pPr>
              <w:spacing w:after="0"/>
              <w:jc w:val="center"/>
              <w:rPr>
                <w:rFonts w:cs="Calibri"/>
                <w:b/>
                <w:bCs/>
                <w:color w:val="000000"/>
                <w:sz w:val="20"/>
                <w:szCs w:val="20"/>
                <w:lang w:eastAsia="sk-SK"/>
              </w:rPr>
            </w:pPr>
            <w:r w:rsidRPr="00666914">
              <w:rPr>
                <w:rFonts w:cs="Calibri"/>
                <w:b/>
                <w:bCs/>
                <w:color w:val="000000"/>
                <w:sz w:val="20"/>
                <w:szCs w:val="20"/>
                <w:lang w:eastAsia="sk-SK"/>
              </w:rPr>
              <w:t xml:space="preserve">2Q </w:t>
            </w:r>
          </w:p>
          <w:p w14:paraId="7641D04C" w14:textId="77777777" w:rsidR="008A4FED" w:rsidRPr="00666914" w:rsidRDefault="008A4FED" w:rsidP="008B70B3">
            <w:pPr>
              <w:spacing w:after="0"/>
              <w:jc w:val="center"/>
              <w:rPr>
                <w:rFonts w:cs="Calibri"/>
                <w:b/>
                <w:bCs/>
                <w:color w:val="000000"/>
                <w:sz w:val="20"/>
                <w:szCs w:val="20"/>
                <w:lang w:eastAsia="sk-SK"/>
              </w:rPr>
            </w:pPr>
            <w:r w:rsidRPr="00666914">
              <w:rPr>
                <w:rFonts w:cs="Calibri"/>
                <w:b/>
                <w:bCs/>
                <w:color w:val="000000"/>
                <w:sz w:val="20"/>
                <w:szCs w:val="20"/>
                <w:lang w:eastAsia="sk-SK"/>
              </w:rPr>
              <w:t>2018</w:t>
            </w:r>
          </w:p>
        </w:tc>
        <w:tc>
          <w:tcPr>
            <w:tcW w:w="296" w:type="pct"/>
            <w:noWrap/>
            <w:vAlign w:val="center"/>
            <w:hideMark/>
          </w:tcPr>
          <w:p w14:paraId="55E0E8A5" w14:textId="77777777" w:rsidR="008A4FED" w:rsidRPr="00666914" w:rsidRDefault="008A4FED" w:rsidP="008B70B3">
            <w:pPr>
              <w:spacing w:after="0"/>
              <w:jc w:val="center"/>
              <w:rPr>
                <w:rFonts w:cs="Calibri"/>
                <w:b/>
                <w:bCs/>
                <w:color w:val="000000"/>
                <w:sz w:val="20"/>
                <w:szCs w:val="20"/>
                <w:lang w:eastAsia="sk-SK"/>
              </w:rPr>
            </w:pPr>
            <w:r w:rsidRPr="00666914">
              <w:rPr>
                <w:rFonts w:cs="Calibri"/>
                <w:b/>
                <w:bCs/>
                <w:color w:val="000000"/>
                <w:sz w:val="20"/>
                <w:szCs w:val="20"/>
                <w:lang w:eastAsia="sk-SK"/>
              </w:rPr>
              <w:t xml:space="preserve">3Q </w:t>
            </w:r>
          </w:p>
          <w:p w14:paraId="3049F7A8" w14:textId="77777777" w:rsidR="008A4FED" w:rsidRPr="00666914" w:rsidRDefault="008A4FED" w:rsidP="008B70B3">
            <w:pPr>
              <w:spacing w:after="0"/>
              <w:jc w:val="center"/>
              <w:rPr>
                <w:rFonts w:cs="Calibri"/>
                <w:b/>
                <w:bCs/>
                <w:color w:val="000000"/>
                <w:sz w:val="20"/>
                <w:szCs w:val="20"/>
                <w:lang w:eastAsia="sk-SK"/>
              </w:rPr>
            </w:pPr>
            <w:r w:rsidRPr="00666914">
              <w:rPr>
                <w:rFonts w:cs="Calibri"/>
                <w:b/>
                <w:bCs/>
                <w:color w:val="000000"/>
                <w:sz w:val="20"/>
                <w:szCs w:val="20"/>
                <w:lang w:eastAsia="sk-SK"/>
              </w:rPr>
              <w:t>2018</w:t>
            </w:r>
          </w:p>
        </w:tc>
        <w:tc>
          <w:tcPr>
            <w:tcW w:w="290" w:type="pct"/>
            <w:noWrap/>
            <w:vAlign w:val="center"/>
            <w:hideMark/>
          </w:tcPr>
          <w:p w14:paraId="20AEA939" w14:textId="77777777" w:rsidR="008A4FED" w:rsidRPr="00666914" w:rsidRDefault="008A4FED" w:rsidP="008B70B3">
            <w:pPr>
              <w:spacing w:after="0"/>
              <w:jc w:val="center"/>
              <w:rPr>
                <w:rFonts w:cs="Calibri"/>
                <w:b/>
                <w:bCs/>
                <w:color w:val="000000"/>
                <w:sz w:val="20"/>
                <w:szCs w:val="20"/>
                <w:lang w:eastAsia="sk-SK"/>
              </w:rPr>
            </w:pPr>
            <w:r w:rsidRPr="00666914">
              <w:rPr>
                <w:rFonts w:cs="Calibri"/>
                <w:b/>
                <w:bCs/>
                <w:color w:val="000000"/>
                <w:sz w:val="20"/>
                <w:szCs w:val="20"/>
                <w:lang w:eastAsia="sk-SK"/>
              </w:rPr>
              <w:t>4Q 2018</w:t>
            </w:r>
          </w:p>
        </w:tc>
      </w:tr>
      <w:tr w:rsidR="006D2DC2" w:rsidRPr="00666914" w14:paraId="3DA45F90" w14:textId="77777777" w:rsidTr="003B4B2F">
        <w:trPr>
          <w:trHeight w:val="424"/>
          <w:jc w:val="center"/>
        </w:trPr>
        <w:tc>
          <w:tcPr>
            <w:tcW w:w="2028" w:type="pct"/>
            <w:noWrap/>
            <w:hideMark/>
          </w:tcPr>
          <w:p w14:paraId="4C0F51EF" w14:textId="77777777" w:rsidR="008A4FED" w:rsidRPr="00666914" w:rsidRDefault="008A4FED" w:rsidP="008B70B3">
            <w:pPr>
              <w:spacing w:after="0"/>
              <w:jc w:val="left"/>
              <w:rPr>
                <w:rFonts w:cs="Calibri"/>
                <w:bCs/>
                <w:color w:val="000000"/>
                <w:sz w:val="20"/>
                <w:szCs w:val="20"/>
                <w:lang w:eastAsia="sk-SK"/>
              </w:rPr>
            </w:pPr>
            <w:r w:rsidRPr="00666914">
              <w:rPr>
                <w:rFonts w:eastAsia="Times New Roman"/>
                <w:color w:val="000000"/>
                <w:sz w:val="20"/>
                <w:szCs w:val="20"/>
                <w:lang w:eastAsia="sk-SK"/>
              </w:rPr>
              <w:t>Zverejnenie dát NCZI v štandardizovanej forme</w:t>
            </w:r>
          </w:p>
        </w:tc>
        <w:tc>
          <w:tcPr>
            <w:tcW w:w="706" w:type="pct"/>
            <w:noWrap/>
            <w:vAlign w:val="center"/>
            <w:hideMark/>
          </w:tcPr>
          <w:p w14:paraId="02C72A40" w14:textId="77777777" w:rsidR="008A4FED" w:rsidRPr="00666914" w:rsidRDefault="008A4FED" w:rsidP="008B70B3">
            <w:pPr>
              <w:spacing w:after="0"/>
              <w:jc w:val="center"/>
              <w:rPr>
                <w:rFonts w:cs="Calibri"/>
                <w:bCs/>
                <w:color w:val="000000"/>
                <w:sz w:val="20"/>
                <w:szCs w:val="20"/>
                <w:lang w:eastAsia="sk-SK"/>
              </w:rPr>
            </w:pPr>
            <w:r w:rsidRPr="00666914">
              <w:rPr>
                <w:rFonts w:eastAsia="Times New Roman"/>
                <w:color w:val="000000"/>
                <w:sz w:val="20"/>
                <w:szCs w:val="20"/>
                <w:lang w:eastAsia="sk-SK"/>
              </w:rPr>
              <w:t>NCZI</w:t>
            </w:r>
          </w:p>
        </w:tc>
        <w:tc>
          <w:tcPr>
            <w:tcW w:w="553" w:type="pct"/>
            <w:noWrap/>
            <w:vAlign w:val="center"/>
            <w:hideMark/>
          </w:tcPr>
          <w:p w14:paraId="2DAC865C" w14:textId="77777777" w:rsidR="008A4FED" w:rsidRPr="00666914" w:rsidRDefault="008A4FED" w:rsidP="008B70B3">
            <w:pPr>
              <w:spacing w:after="0"/>
              <w:ind w:right="51"/>
              <w:jc w:val="center"/>
              <w:rPr>
                <w:rFonts w:cs="Calibri"/>
                <w:bCs/>
                <w:color w:val="000000"/>
                <w:sz w:val="20"/>
                <w:szCs w:val="20"/>
                <w:lang w:eastAsia="sk-SK"/>
              </w:rPr>
            </w:pPr>
            <w:r w:rsidRPr="00666914">
              <w:rPr>
                <w:rFonts w:eastAsia="Times New Roman"/>
                <w:color w:val="000000"/>
                <w:sz w:val="20"/>
                <w:szCs w:val="20"/>
                <w:lang w:eastAsia="sk-SK"/>
              </w:rPr>
              <w:t>31.12.2017</w:t>
            </w:r>
          </w:p>
        </w:tc>
        <w:tc>
          <w:tcPr>
            <w:tcW w:w="536" w:type="pct"/>
            <w:noWrap/>
            <w:vAlign w:val="center"/>
            <w:hideMark/>
          </w:tcPr>
          <w:p w14:paraId="4EAB383D" w14:textId="77777777" w:rsidR="008A4FED" w:rsidRPr="00666914" w:rsidRDefault="008A4FED" w:rsidP="008B70B3">
            <w:pPr>
              <w:spacing w:after="0"/>
              <w:jc w:val="center"/>
              <w:rPr>
                <w:rFonts w:cs="Calibri"/>
                <w:bCs/>
                <w:color w:val="000000"/>
                <w:sz w:val="20"/>
                <w:szCs w:val="20"/>
                <w:lang w:eastAsia="sk-SK"/>
              </w:rPr>
            </w:pPr>
            <w:r w:rsidRPr="00666914">
              <w:rPr>
                <w:rFonts w:eastAsia="Times New Roman"/>
                <w:color w:val="000000"/>
                <w:sz w:val="20"/>
                <w:szCs w:val="20"/>
                <w:lang w:eastAsia="sk-SK"/>
              </w:rPr>
              <w:t>-</w:t>
            </w:r>
          </w:p>
        </w:tc>
        <w:tc>
          <w:tcPr>
            <w:tcW w:w="296" w:type="pct"/>
            <w:shd w:val="clear" w:color="auto" w:fill="FFC000"/>
            <w:noWrap/>
            <w:vAlign w:val="bottom"/>
            <w:hideMark/>
          </w:tcPr>
          <w:p w14:paraId="19994B36" w14:textId="77777777" w:rsidR="008A4FED" w:rsidRPr="00666914" w:rsidRDefault="008A4FED" w:rsidP="008B70B3">
            <w:pPr>
              <w:spacing w:after="0"/>
              <w:jc w:val="center"/>
              <w:rPr>
                <w:rFonts w:cs="Calibri"/>
                <w:b/>
                <w:bCs/>
                <w:color w:val="000000"/>
                <w:sz w:val="20"/>
                <w:szCs w:val="20"/>
                <w:lang w:eastAsia="sk-SK"/>
              </w:rPr>
            </w:pPr>
          </w:p>
        </w:tc>
        <w:tc>
          <w:tcPr>
            <w:tcW w:w="296" w:type="pct"/>
            <w:shd w:val="clear" w:color="auto" w:fill="FFC000"/>
            <w:noWrap/>
            <w:vAlign w:val="bottom"/>
            <w:hideMark/>
          </w:tcPr>
          <w:p w14:paraId="28E7224C" w14:textId="77777777" w:rsidR="008A4FED" w:rsidRPr="00666914" w:rsidRDefault="008A4FED" w:rsidP="008B70B3">
            <w:pPr>
              <w:spacing w:after="0"/>
              <w:jc w:val="center"/>
              <w:rPr>
                <w:rFonts w:cs="Calibri"/>
                <w:b/>
                <w:bCs/>
                <w:color w:val="000000"/>
                <w:sz w:val="20"/>
                <w:szCs w:val="20"/>
                <w:lang w:eastAsia="sk-SK"/>
              </w:rPr>
            </w:pPr>
          </w:p>
        </w:tc>
        <w:tc>
          <w:tcPr>
            <w:tcW w:w="296" w:type="pct"/>
            <w:shd w:val="clear" w:color="auto" w:fill="FFC000"/>
            <w:noWrap/>
            <w:vAlign w:val="bottom"/>
            <w:hideMark/>
          </w:tcPr>
          <w:p w14:paraId="461B829E" w14:textId="77777777" w:rsidR="008A4FED" w:rsidRPr="00666914" w:rsidRDefault="008A4FED" w:rsidP="008B70B3">
            <w:pPr>
              <w:spacing w:after="0"/>
              <w:jc w:val="center"/>
              <w:rPr>
                <w:rFonts w:cs="Calibri"/>
                <w:b/>
                <w:bCs/>
                <w:color w:val="000000"/>
                <w:sz w:val="20"/>
                <w:szCs w:val="20"/>
                <w:lang w:eastAsia="sk-SK"/>
              </w:rPr>
            </w:pPr>
          </w:p>
        </w:tc>
        <w:tc>
          <w:tcPr>
            <w:tcW w:w="290" w:type="pct"/>
            <w:shd w:val="clear" w:color="auto" w:fill="92D050"/>
            <w:noWrap/>
            <w:vAlign w:val="bottom"/>
            <w:hideMark/>
          </w:tcPr>
          <w:p w14:paraId="286ECC67" w14:textId="77777777" w:rsidR="008A4FED" w:rsidRPr="00666914" w:rsidRDefault="008A4FED" w:rsidP="008B70B3">
            <w:pPr>
              <w:spacing w:after="0"/>
              <w:jc w:val="center"/>
              <w:rPr>
                <w:rFonts w:cs="Calibri"/>
                <w:b/>
                <w:bCs/>
                <w:color w:val="000000"/>
                <w:sz w:val="20"/>
                <w:szCs w:val="20"/>
                <w:lang w:eastAsia="sk-SK"/>
              </w:rPr>
            </w:pPr>
          </w:p>
        </w:tc>
      </w:tr>
      <w:tr w:rsidR="006D2DC2" w:rsidRPr="00666914" w14:paraId="3B9841C6" w14:textId="77777777" w:rsidTr="003B4B2F">
        <w:trPr>
          <w:trHeight w:val="424"/>
          <w:jc w:val="center"/>
        </w:trPr>
        <w:tc>
          <w:tcPr>
            <w:tcW w:w="2028" w:type="pct"/>
            <w:noWrap/>
            <w:vAlign w:val="center"/>
          </w:tcPr>
          <w:p w14:paraId="65F2F07A" w14:textId="77777777" w:rsidR="008A4FED" w:rsidRPr="00666914" w:rsidRDefault="008A4FED" w:rsidP="008B70B3">
            <w:pPr>
              <w:spacing w:after="0"/>
              <w:jc w:val="left"/>
              <w:rPr>
                <w:rFonts w:cs="Calibri"/>
                <w:bCs/>
                <w:color w:val="000000"/>
                <w:sz w:val="20"/>
                <w:szCs w:val="20"/>
                <w:lang w:eastAsia="sk-SK"/>
              </w:rPr>
            </w:pPr>
            <w:r w:rsidRPr="00666914">
              <w:rPr>
                <w:rFonts w:eastAsia="Times New Roman"/>
                <w:color w:val="000000"/>
                <w:sz w:val="20"/>
                <w:szCs w:val="20"/>
                <w:lang w:eastAsia="sk-SK"/>
              </w:rPr>
              <w:t>Zavedenie rozpočtových rokovaní o celkových potrebných zdrojoch v zdravotníctve a ich použití na nákup zdravotnej starostlivosti na úrovni jednotlivých oblastí ZS</w:t>
            </w:r>
          </w:p>
        </w:tc>
        <w:tc>
          <w:tcPr>
            <w:tcW w:w="706" w:type="pct"/>
            <w:noWrap/>
            <w:vAlign w:val="center"/>
          </w:tcPr>
          <w:p w14:paraId="34005801" w14:textId="77777777" w:rsidR="008A4FED" w:rsidRPr="00666914" w:rsidRDefault="008A4FED" w:rsidP="008B70B3">
            <w:pPr>
              <w:spacing w:after="0"/>
              <w:jc w:val="center"/>
              <w:rPr>
                <w:rFonts w:cs="Calibri"/>
                <w:bCs/>
                <w:color w:val="000000"/>
                <w:sz w:val="20"/>
                <w:szCs w:val="20"/>
                <w:lang w:eastAsia="sk-SK"/>
              </w:rPr>
            </w:pPr>
            <w:r w:rsidRPr="00666914">
              <w:rPr>
                <w:rFonts w:eastAsia="Times New Roman"/>
                <w:color w:val="000000"/>
                <w:sz w:val="20"/>
                <w:szCs w:val="20"/>
                <w:lang w:eastAsia="sk-SK"/>
              </w:rPr>
              <w:t>MZ SR, MF SR, ZP, ÚV SR (IJ)</w:t>
            </w:r>
          </w:p>
        </w:tc>
        <w:tc>
          <w:tcPr>
            <w:tcW w:w="553" w:type="pct"/>
            <w:noWrap/>
            <w:vAlign w:val="center"/>
          </w:tcPr>
          <w:p w14:paraId="0C3CF67C" w14:textId="77777777" w:rsidR="008A4FED" w:rsidRPr="00666914" w:rsidRDefault="008A4FED" w:rsidP="008B70B3">
            <w:pPr>
              <w:spacing w:after="0"/>
              <w:ind w:right="51"/>
              <w:jc w:val="center"/>
              <w:rPr>
                <w:rFonts w:cs="Calibri"/>
                <w:bCs/>
                <w:color w:val="000000"/>
                <w:sz w:val="20"/>
                <w:szCs w:val="20"/>
                <w:lang w:eastAsia="sk-SK"/>
              </w:rPr>
            </w:pPr>
            <w:r w:rsidRPr="00666914">
              <w:rPr>
                <w:rFonts w:eastAsia="Times New Roman"/>
                <w:color w:val="000000"/>
                <w:sz w:val="20"/>
                <w:szCs w:val="20"/>
                <w:lang w:eastAsia="sk-SK"/>
              </w:rPr>
              <w:t>31.12.2017</w:t>
            </w:r>
          </w:p>
        </w:tc>
        <w:tc>
          <w:tcPr>
            <w:tcW w:w="536" w:type="pct"/>
            <w:noWrap/>
            <w:vAlign w:val="center"/>
          </w:tcPr>
          <w:p w14:paraId="19C8978A" w14:textId="77777777" w:rsidR="008A4FED" w:rsidRPr="00666914" w:rsidRDefault="008A4FED" w:rsidP="008B70B3">
            <w:pPr>
              <w:spacing w:after="0"/>
              <w:jc w:val="center"/>
              <w:rPr>
                <w:rFonts w:cs="Calibri"/>
                <w:bCs/>
                <w:color w:val="000000"/>
                <w:sz w:val="20"/>
                <w:szCs w:val="20"/>
                <w:lang w:eastAsia="sk-SK"/>
              </w:rPr>
            </w:pPr>
            <w:r w:rsidRPr="00666914">
              <w:rPr>
                <w:rFonts w:eastAsia="Times New Roman" w:cs="Calibri"/>
                <w:color w:val="000000"/>
                <w:sz w:val="20"/>
                <w:szCs w:val="20"/>
                <w:lang w:eastAsia="sk-SK"/>
              </w:rPr>
              <w:t>31.12.2019</w:t>
            </w:r>
          </w:p>
        </w:tc>
        <w:tc>
          <w:tcPr>
            <w:tcW w:w="296" w:type="pct"/>
            <w:shd w:val="clear" w:color="auto" w:fill="FF0000"/>
            <w:noWrap/>
            <w:vAlign w:val="bottom"/>
          </w:tcPr>
          <w:p w14:paraId="3F6A4E38" w14:textId="77777777" w:rsidR="008A4FED" w:rsidRPr="00666914" w:rsidRDefault="008A4FED" w:rsidP="008B70B3">
            <w:pPr>
              <w:spacing w:after="0"/>
              <w:jc w:val="center"/>
              <w:rPr>
                <w:rFonts w:cs="Calibri"/>
                <w:b/>
                <w:bCs/>
                <w:color w:val="000000"/>
                <w:sz w:val="20"/>
                <w:szCs w:val="20"/>
                <w:lang w:eastAsia="sk-SK"/>
              </w:rPr>
            </w:pPr>
          </w:p>
        </w:tc>
        <w:tc>
          <w:tcPr>
            <w:tcW w:w="296" w:type="pct"/>
            <w:shd w:val="clear" w:color="auto" w:fill="FFC000"/>
            <w:noWrap/>
            <w:vAlign w:val="bottom"/>
          </w:tcPr>
          <w:p w14:paraId="6C477FF3" w14:textId="77777777" w:rsidR="008A4FED" w:rsidRPr="00666914" w:rsidRDefault="008A4FED" w:rsidP="008B70B3">
            <w:pPr>
              <w:spacing w:after="0"/>
              <w:jc w:val="center"/>
              <w:rPr>
                <w:rFonts w:cs="Calibri"/>
                <w:b/>
                <w:bCs/>
                <w:color w:val="000000"/>
                <w:sz w:val="20"/>
                <w:szCs w:val="20"/>
                <w:lang w:eastAsia="sk-SK"/>
              </w:rPr>
            </w:pPr>
          </w:p>
        </w:tc>
        <w:tc>
          <w:tcPr>
            <w:tcW w:w="296" w:type="pct"/>
            <w:shd w:val="clear" w:color="auto" w:fill="92D050"/>
            <w:noWrap/>
            <w:vAlign w:val="bottom"/>
          </w:tcPr>
          <w:p w14:paraId="0E0483AB" w14:textId="77777777" w:rsidR="008A4FED" w:rsidRPr="00666914" w:rsidRDefault="008A4FED" w:rsidP="008B70B3">
            <w:pPr>
              <w:spacing w:after="0"/>
              <w:jc w:val="center"/>
              <w:rPr>
                <w:rFonts w:cs="Calibri"/>
                <w:b/>
                <w:bCs/>
                <w:color w:val="000000"/>
                <w:sz w:val="20"/>
                <w:szCs w:val="20"/>
                <w:lang w:eastAsia="sk-SK"/>
              </w:rPr>
            </w:pPr>
          </w:p>
        </w:tc>
        <w:tc>
          <w:tcPr>
            <w:tcW w:w="290" w:type="pct"/>
            <w:shd w:val="clear" w:color="auto" w:fill="92D050"/>
            <w:noWrap/>
            <w:vAlign w:val="bottom"/>
          </w:tcPr>
          <w:p w14:paraId="5E3BEA4C" w14:textId="77777777" w:rsidR="008A4FED" w:rsidRPr="00666914" w:rsidRDefault="008A4FED" w:rsidP="008B70B3">
            <w:pPr>
              <w:spacing w:after="0"/>
              <w:jc w:val="center"/>
              <w:rPr>
                <w:rFonts w:cs="Calibri"/>
                <w:b/>
                <w:bCs/>
                <w:color w:val="000000"/>
                <w:sz w:val="20"/>
                <w:szCs w:val="20"/>
                <w:lang w:eastAsia="sk-SK"/>
              </w:rPr>
            </w:pPr>
          </w:p>
        </w:tc>
      </w:tr>
      <w:tr w:rsidR="006D2DC2" w:rsidRPr="00666914" w14:paraId="269D075D" w14:textId="77777777" w:rsidTr="003B4B2F">
        <w:trPr>
          <w:trHeight w:val="424"/>
          <w:jc w:val="center"/>
        </w:trPr>
        <w:tc>
          <w:tcPr>
            <w:tcW w:w="2028" w:type="pct"/>
            <w:noWrap/>
            <w:vAlign w:val="center"/>
          </w:tcPr>
          <w:p w14:paraId="5B200C70" w14:textId="77777777" w:rsidR="008A4FED" w:rsidRPr="00666914" w:rsidRDefault="008A4FED" w:rsidP="008B70B3">
            <w:pPr>
              <w:spacing w:after="0"/>
              <w:jc w:val="left"/>
              <w:rPr>
                <w:rFonts w:cs="Calibri"/>
                <w:bCs/>
                <w:color w:val="000000"/>
                <w:sz w:val="20"/>
                <w:szCs w:val="20"/>
                <w:lang w:eastAsia="sk-SK"/>
              </w:rPr>
            </w:pPr>
            <w:r w:rsidRPr="00666914">
              <w:rPr>
                <w:rFonts w:eastAsia="Times New Roman"/>
                <w:color w:val="000000"/>
                <w:sz w:val="20"/>
                <w:szCs w:val="20"/>
                <w:lang w:eastAsia="sk-SK"/>
              </w:rPr>
              <w:t>Analýza manažmentu pacienta všeobecným lekárom (tzv. gatekeeping) z pohľadu právomocí všeobecných lekárov, platobného mechanizmu ako aj motivácií (kapitácia)</w:t>
            </w:r>
          </w:p>
        </w:tc>
        <w:tc>
          <w:tcPr>
            <w:tcW w:w="706" w:type="pct"/>
            <w:noWrap/>
            <w:vAlign w:val="center"/>
          </w:tcPr>
          <w:p w14:paraId="778A17C6" w14:textId="77777777" w:rsidR="008A4FED" w:rsidRPr="00666914" w:rsidRDefault="008A4FED" w:rsidP="008B70B3">
            <w:pPr>
              <w:spacing w:after="0"/>
              <w:jc w:val="center"/>
              <w:rPr>
                <w:rFonts w:cs="Calibri"/>
                <w:bCs/>
                <w:color w:val="000000"/>
                <w:sz w:val="20"/>
                <w:szCs w:val="20"/>
                <w:lang w:eastAsia="sk-SK"/>
              </w:rPr>
            </w:pPr>
            <w:r w:rsidRPr="00666914">
              <w:rPr>
                <w:rFonts w:eastAsia="Times New Roman"/>
                <w:color w:val="000000"/>
                <w:sz w:val="20"/>
                <w:szCs w:val="20"/>
                <w:lang w:eastAsia="sk-SK"/>
              </w:rPr>
              <w:t>MZ SR, MF SR</w:t>
            </w:r>
          </w:p>
        </w:tc>
        <w:tc>
          <w:tcPr>
            <w:tcW w:w="553" w:type="pct"/>
            <w:noWrap/>
            <w:vAlign w:val="center"/>
          </w:tcPr>
          <w:p w14:paraId="07BF0723" w14:textId="77777777" w:rsidR="008A4FED" w:rsidRPr="00666914" w:rsidRDefault="008A4FED" w:rsidP="008B70B3">
            <w:pPr>
              <w:spacing w:after="0"/>
              <w:ind w:right="51"/>
              <w:jc w:val="center"/>
              <w:rPr>
                <w:rFonts w:cs="Calibri"/>
                <w:bCs/>
                <w:color w:val="000000"/>
                <w:sz w:val="20"/>
                <w:szCs w:val="20"/>
                <w:lang w:eastAsia="sk-SK"/>
              </w:rPr>
            </w:pPr>
            <w:r w:rsidRPr="00666914">
              <w:rPr>
                <w:rFonts w:eastAsia="Times New Roman"/>
                <w:color w:val="000000"/>
                <w:sz w:val="20"/>
                <w:szCs w:val="20"/>
                <w:lang w:eastAsia="sk-SK"/>
              </w:rPr>
              <w:t>31.12.2018</w:t>
            </w:r>
          </w:p>
        </w:tc>
        <w:tc>
          <w:tcPr>
            <w:tcW w:w="536" w:type="pct"/>
            <w:noWrap/>
            <w:vAlign w:val="center"/>
          </w:tcPr>
          <w:p w14:paraId="46817519" w14:textId="77777777" w:rsidR="008A4FED" w:rsidRPr="00666914" w:rsidRDefault="008A4FED" w:rsidP="008B70B3">
            <w:pPr>
              <w:spacing w:after="0"/>
              <w:jc w:val="center"/>
              <w:rPr>
                <w:rFonts w:cs="Calibri"/>
                <w:bCs/>
                <w:color w:val="000000"/>
                <w:sz w:val="20"/>
                <w:szCs w:val="20"/>
                <w:lang w:eastAsia="sk-SK"/>
              </w:rPr>
            </w:pPr>
            <w:r w:rsidRPr="00666914">
              <w:rPr>
                <w:rFonts w:eastAsia="Times New Roman"/>
                <w:color w:val="000000"/>
                <w:sz w:val="20"/>
                <w:szCs w:val="20"/>
                <w:lang w:eastAsia="sk-SK"/>
              </w:rPr>
              <w:t>31.12.2019</w:t>
            </w:r>
          </w:p>
        </w:tc>
        <w:tc>
          <w:tcPr>
            <w:tcW w:w="296" w:type="pct"/>
            <w:shd w:val="clear" w:color="auto" w:fill="FF0000"/>
            <w:noWrap/>
            <w:vAlign w:val="bottom"/>
          </w:tcPr>
          <w:p w14:paraId="6F762070" w14:textId="77777777" w:rsidR="008A4FED" w:rsidRPr="00666914" w:rsidRDefault="008A4FED" w:rsidP="008B70B3">
            <w:pPr>
              <w:spacing w:after="0"/>
              <w:jc w:val="center"/>
              <w:rPr>
                <w:rFonts w:cs="Calibri"/>
                <w:b/>
                <w:bCs/>
                <w:color w:val="000000"/>
                <w:sz w:val="20"/>
                <w:szCs w:val="20"/>
                <w:lang w:eastAsia="sk-SK"/>
              </w:rPr>
            </w:pPr>
          </w:p>
        </w:tc>
        <w:tc>
          <w:tcPr>
            <w:tcW w:w="296" w:type="pct"/>
            <w:shd w:val="clear" w:color="auto" w:fill="92D050"/>
            <w:noWrap/>
            <w:vAlign w:val="bottom"/>
          </w:tcPr>
          <w:p w14:paraId="21C75928" w14:textId="77777777" w:rsidR="008A4FED" w:rsidRPr="00666914" w:rsidRDefault="008A4FED" w:rsidP="008B70B3">
            <w:pPr>
              <w:spacing w:after="0"/>
              <w:jc w:val="center"/>
              <w:rPr>
                <w:rFonts w:cs="Calibri"/>
                <w:b/>
                <w:bCs/>
                <w:color w:val="000000"/>
                <w:sz w:val="20"/>
                <w:szCs w:val="20"/>
                <w:lang w:eastAsia="sk-SK"/>
              </w:rPr>
            </w:pPr>
          </w:p>
        </w:tc>
        <w:tc>
          <w:tcPr>
            <w:tcW w:w="296" w:type="pct"/>
            <w:shd w:val="clear" w:color="auto" w:fill="92D050"/>
            <w:noWrap/>
            <w:vAlign w:val="bottom"/>
          </w:tcPr>
          <w:p w14:paraId="77B41FBB" w14:textId="77777777" w:rsidR="008A4FED" w:rsidRPr="00666914" w:rsidRDefault="008A4FED" w:rsidP="008B70B3">
            <w:pPr>
              <w:spacing w:after="0"/>
              <w:jc w:val="center"/>
              <w:rPr>
                <w:rFonts w:cs="Calibri"/>
                <w:b/>
                <w:bCs/>
                <w:color w:val="000000"/>
                <w:sz w:val="20"/>
                <w:szCs w:val="20"/>
                <w:lang w:eastAsia="sk-SK"/>
              </w:rPr>
            </w:pPr>
          </w:p>
        </w:tc>
        <w:tc>
          <w:tcPr>
            <w:tcW w:w="290" w:type="pct"/>
            <w:shd w:val="clear" w:color="auto" w:fill="92D050"/>
            <w:noWrap/>
            <w:vAlign w:val="bottom"/>
          </w:tcPr>
          <w:p w14:paraId="54323EB8" w14:textId="77777777" w:rsidR="008A4FED" w:rsidRPr="00666914" w:rsidRDefault="008A4FED" w:rsidP="008B70B3">
            <w:pPr>
              <w:spacing w:after="0"/>
              <w:jc w:val="center"/>
              <w:rPr>
                <w:rFonts w:cs="Calibri"/>
                <w:b/>
                <w:bCs/>
                <w:color w:val="000000"/>
                <w:sz w:val="20"/>
                <w:szCs w:val="20"/>
                <w:lang w:eastAsia="sk-SK"/>
              </w:rPr>
            </w:pPr>
          </w:p>
        </w:tc>
      </w:tr>
      <w:tr w:rsidR="006D2DC2" w:rsidRPr="00666914" w14:paraId="44AAEF7E" w14:textId="77777777" w:rsidTr="003B4B2F">
        <w:trPr>
          <w:trHeight w:val="424"/>
          <w:jc w:val="center"/>
        </w:trPr>
        <w:tc>
          <w:tcPr>
            <w:tcW w:w="2028" w:type="pct"/>
            <w:noWrap/>
            <w:vAlign w:val="center"/>
          </w:tcPr>
          <w:p w14:paraId="7130518D" w14:textId="77777777" w:rsidR="008A4FED" w:rsidRPr="00666914" w:rsidRDefault="008A4FED" w:rsidP="008B70B3">
            <w:pPr>
              <w:spacing w:after="0"/>
              <w:jc w:val="left"/>
              <w:rPr>
                <w:rFonts w:cs="Calibri"/>
                <w:bCs/>
                <w:color w:val="000000"/>
                <w:sz w:val="20"/>
                <w:szCs w:val="20"/>
                <w:lang w:eastAsia="sk-SK"/>
              </w:rPr>
            </w:pPr>
            <w:r w:rsidRPr="00666914">
              <w:rPr>
                <w:rFonts w:eastAsia="Times New Roman"/>
                <w:color w:val="000000"/>
                <w:sz w:val="20"/>
                <w:szCs w:val="20"/>
                <w:lang w:eastAsia="sk-SK"/>
              </w:rPr>
              <w:t>Nastaviť kritériá a indikátory pre hodnotenie kvality poskytovanej starostlivosti</w:t>
            </w:r>
          </w:p>
        </w:tc>
        <w:tc>
          <w:tcPr>
            <w:tcW w:w="706" w:type="pct"/>
            <w:noWrap/>
            <w:vAlign w:val="center"/>
          </w:tcPr>
          <w:p w14:paraId="65B57519" w14:textId="77777777" w:rsidR="008A4FED" w:rsidRPr="00666914" w:rsidRDefault="008A4FED" w:rsidP="008B70B3">
            <w:pPr>
              <w:spacing w:after="0"/>
              <w:jc w:val="center"/>
              <w:rPr>
                <w:rFonts w:cs="Calibri"/>
                <w:bCs/>
                <w:color w:val="000000"/>
                <w:sz w:val="20"/>
                <w:szCs w:val="20"/>
                <w:lang w:eastAsia="sk-SK"/>
              </w:rPr>
            </w:pPr>
            <w:r w:rsidRPr="00666914">
              <w:rPr>
                <w:rFonts w:eastAsia="Times New Roman"/>
                <w:color w:val="000000"/>
                <w:sz w:val="20"/>
                <w:szCs w:val="20"/>
                <w:lang w:eastAsia="sk-SK"/>
              </w:rPr>
              <w:t>MZ SR, MF SR</w:t>
            </w:r>
          </w:p>
        </w:tc>
        <w:tc>
          <w:tcPr>
            <w:tcW w:w="553" w:type="pct"/>
            <w:noWrap/>
            <w:vAlign w:val="center"/>
          </w:tcPr>
          <w:p w14:paraId="7D5A290E" w14:textId="77777777" w:rsidR="008A4FED" w:rsidRPr="00666914" w:rsidRDefault="008A4FED" w:rsidP="008B70B3">
            <w:pPr>
              <w:spacing w:after="0"/>
              <w:ind w:right="51"/>
              <w:jc w:val="center"/>
              <w:rPr>
                <w:rFonts w:cs="Calibri"/>
                <w:bCs/>
                <w:color w:val="000000"/>
                <w:sz w:val="20"/>
                <w:szCs w:val="20"/>
                <w:lang w:eastAsia="sk-SK"/>
              </w:rPr>
            </w:pPr>
            <w:r w:rsidRPr="00666914">
              <w:rPr>
                <w:rFonts w:eastAsia="Times New Roman"/>
                <w:color w:val="000000"/>
                <w:sz w:val="20"/>
                <w:szCs w:val="20"/>
                <w:lang w:eastAsia="sk-SK"/>
              </w:rPr>
              <w:t>31.12.2018</w:t>
            </w:r>
          </w:p>
        </w:tc>
        <w:tc>
          <w:tcPr>
            <w:tcW w:w="536" w:type="pct"/>
            <w:noWrap/>
            <w:vAlign w:val="center"/>
          </w:tcPr>
          <w:p w14:paraId="06E5EA49" w14:textId="77777777" w:rsidR="008A4FED" w:rsidRPr="00666914" w:rsidRDefault="008A4FED" w:rsidP="008B70B3">
            <w:pPr>
              <w:spacing w:after="0"/>
              <w:jc w:val="center"/>
              <w:rPr>
                <w:rFonts w:cs="Calibri"/>
                <w:bCs/>
                <w:color w:val="000000"/>
                <w:sz w:val="20"/>
                <w:szCs w:val="20"/>
                <w:lang w:eastAsia="sk-SK"/>
              </w:rPr>
            </w:pPr>
            <w:r w:rsidRPr="00666914">
              <w:rPr>
                <w:rFonts w:eastAsia="Times New Roman"/>
                <w:color w:val="000000"/>
                <w:sz w:val="20"/>
                <w:szCs w:val="20"/>
                <w:lang w:eastAsia="sk-SK"/>
              </w:rPr>
              <w:t>31.12.2019</w:t>
            </w:r>
          </w:p>
        </w:tc>
        <w:tc>
          <w:tcPr>
            <w:tcW w:w="296" w:type="pct"/>
            <w:shd w:val="clear" w:color="auto" w:fill="FFC000"/>
            <w:noWrap/>
            <w:vAlign w:val="bottom"/>
          </w:tcPr>
          <w:p w14:paraId="3D59B116" w14:textId="77777777" w:rsidR="008A4FED" w:rsidRPr="00666914" w:rsidRDefault="008A4FED" w:rsidP="008B70B3">
            <w:pPr>
              <w:spacing w:after="0"/>
              <w:jc w:val="center"/>
              <w:rPr>
                <w:rFonts w:cs="Calibri"/>
                <w:b/>
                <w:bCs/>
                <w:color w:val="000000"/>
                <w:sz w:val="20"/>
                <w:szCs w:val="20"/>
                <w:lang w:eastAsia="sk-SK"/>
              </w:rPr>
            </w:pPr>
          </w:p>
        </w:tc>
        <w:tc>
          <w:tcPr>
            <w:tcW w:w="296" w:type="pct"/>
            <w:shd w:val="clear" w:color="auto" w:fill="92D050"/>
            <w:noWrap/>
            <w:vAlign w:val="bottom"/>
          </w:tcPr>
          <w:p w14:paraId="34EB662B" w14:textId="77777777" w:rsidR="008A4FED" w:rsidRPr="00666914" w:rsidRDefault="008A4FED" w:rsidP="008B70B3">
            <w:pPr>
              <w:spacing w:after="0"/>
              <w:jc w:val="center"/>
              <w:rPr>
                <w:rFonts w:cs="Calibri"/>
                <w:b/>
                <w:bCs/>
                <w:color w:val="000000"/>
                <w:sz w:val="20"/>
                <w:szCs w:val="20"/>
                <w:lang w:eastAsia="sk-SK"/>
              </w:rPr>
            </w:pPr>
          </w:p>
        </w:tc>
        <w:tc>
          <w:tcPr>
            <w:tcW w:w="296" w:type="pct"/>
            <w:shd w:val="clear" w:color="auto" w:fill="92D050"/>
            <w:noWrap/>
            <w:vAlign w:val="bottom"/>
          </w:tcPr>
          <w:p w14:paraId="45BB5CE8" w14:textId="77777777" w:rsidR="008A4FED" w:rsidRPr="00666914" w:rsidRDefault="008A4FED" w:rsidP="008B70B3">
            <w:pPr>
              <w:spacing w:after="0"/>
              <w:jc w:val="center"/>
              <w:rPr>
                <w:rFonts w:cs="Calibri"/>
                <w:b/>
                <w:bCs/>
                <w:color w:val="000000"/>
                <w:sz w:val="20"/>
                <w:szCs w:val="20"/>
                <w:lang w:eastAsia="sk-SK"/>
              </w:rPr>
            </w:pPr>
          </w:p>
        </w:tc>
        <w:tc>
          <w:tcPr>
            <w:tcW w:w="290" w:type="pct"/>
            <w:shd w:val="clear" w:color="auto" w:fill="92D050"/>
            <w:noWrap/>
            <w:vAlign w:val="bottom"/>
          </w:tcPr>
          <w:p w14:paraId="3FE80F97" w14:textId="77777777" w:rsidR="008A4FED" w:rsidRPr="00666914" w:rsidRDefault="008A4FED" w:rsidP="008B70B3">
            <w:pPr>
              <w:spacing w:after="0"/>
              <w:jc w:val="center"/>
              <w:rPr>
                <w:rFonts w:cs="Calibri"/>
                <w:b/>
                <w:bCs/>
                <w:color w:val="000000"/>
                <w:sz w:val="20"/>
                <w:szCs w:val="20"/>
                <w:lang w:eastAsia="sk-SK"/>
              </w:rPr>
            </w:pPr>
          </w:p>
        </w:tc>
      </w:tr>
    </w:tbl>
    <w:p w14:paraId="6CB2943B" w14:textId="77777777" w:rsidR="008A4FED" w:rsidRPr="00666914" w:rsidRDefault="008A4FED" w:rsidP="00C57B30"/>
    <w:p w14:paraId="19ED8503" w14:textId="77777777" w:rsidR="008A4FED" w:rsidRPr="00666914" w:rsidRDefault="008A4FED" w:rsidP="00746B8C">
      <w:pPr>
        <w:pStyle w:val="Nadpis2"/>
      </w:pPr>
      <w:bookmarkStart w:id="42" w:name="_Toc20104671"/>
      <w:bookmarkStart w:id="43" w:name="_Toc20209242"/>
      <w:bookmarkStart w:id="44" w:name="_Toc36547010"/>
      <w:bookmarkStart w:id="45" w:name="_Toc38447581"/>
      <w:r w:rsidRPr="00666914">
        <w:t>Lieky a lieková politika</w:t>
      </w:r>
      <w:bookmarkEnd w:id="37"/>
      <w:bookmarkEnd w:id="38"/>
      <w:bookmarkEnd w:id="39"/>
      <w:bookmarkEnd w:id="42"/>
      <w:bookmarkEnd w:id="43"/>
      <w:bookmarkEnd w:id="44"/>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
        <w:gridCol w:w="706"/>
        <w:gridCol w:w="2524"/>
        <w:gridCol w:w="1294"/>
        <w:gridCol w:w="961"/>
        <w:gridCol w:w="1349"/>
        <w:gridCol w:w="505"/>
        <w:gridCol w:w="505"/>
        <w:gridCol w:w="505"/>
        <w:gridCol w:w="505"/>
      </w:tblGrid>
      <w:tr w:rsidR="008A4FED" w:rsidRPr="00666914" w14:paraId="57EF882E" w14:textId="77777777" w:rsidTr="00463302">
        <w:trPr>
          <w:trHeight w:val="495"/>
        </w:trPr>
        <w:tc>
          <w:tcPr>
            <w:tcW w:w="224" w:type="pct"/>
            <w:shd w:val="clear" w:color="auto" w:fill="auto"/>
            <w:noWrap/>
            <w:vAlign w:val="center"/>
            <w:hideMark/>
          </w:tcPr>
          <w:p w14:paraId="48147505" w14:textId="77777777" w:rsidR="008A4FED" w:rsidRPr="00666914" w:rsidRDefault="008A4FED" w:rsidP="004D30E9">
            <w:pPr>
              <w:spacing w:after="0"/>
              <w:jc w:val="left"/>
              <w:rPr>
                <w:rFonts w:eastAsia="Times New Roman"/>
                <w:b/>
                <w:bCs/>
                <w:color w:val="000000"/>
                <w:sz w:val="24"/>
                <w:szCs w:val="24"/>
                <w:lang w:eastAsia="sk-SK"/>
              </w:rPr>
            </w:pPr>
            <w:r w:rsidRPr="00666914">
              <w:rPr>
                <w:rFonts w:eastAsia="Times New Roman"/>
                <w:b/>
                <w:bCs/>
                <w:color w:val="000000"/>
                <w:sz w:val="24"/>
                <w:szCs w:val="24"/>
                <w:lang w:eastAsia="sk-SK"/>
              </w:rPr>
              <w:t> </w:t>
            </w:r>
          </w:p>
        </w:tc>
        <w:tc>
          <w:tcPr>
            <w:tcW w:w="371" w:type="pct"/>
            <w:vAlign w:val="center"/>
          </w:tcPr>
          <w:p w14:paraId="53DA0BBE" w14:textId="77777777" w:rsidR="008A4FED" w:rsidRPr="00666914" w:rsidRDefault="008A4FED" w:rsidP="004D30E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Revízia</w:t>
            </w:r>
          </w:p>
        </w:tc>
        <w:tc>
          <w:tcPr>
            <w:tcW w:w="1405" w:type="pct"/>
            <w:shd w:val="clear" w:color="auto" w:fill="auto"/>
            <w:noWrap/>
            <w:vAlign w:val="center"/>
            <w:hideMark/>
          </w:tcPr>
          <w:p w14:paraId="6F016A70" w14:textId="77777777" w:rsidR="008A4FED" w:rsidRPr="00666914" w:rsidRDefault="008A4FED" w:rsidP="004D30E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Opatrenie</w:t>
            </w:r>
          </w:p>
        </w:tc>
        <w:tc>
          <w:tcPr>
            <w:tcW w:w="677" w:type="pct"/>
            <w:shd w:val="clear" w:color="auto" w:fill="auto"/>
            <w:noWrap/>
            <w:vAlign w:val="center"/>
            <w:hideMark/>
          </w:tcPr>
          <w:p w14:paraId="245D328A"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Zodpovednosť</w:t>
            </w:r>
          </w:p>
        </w:tc>
        <w:tc>
          <w:tcPr>
            <w:tcW w:w="503" w:type="pct"/>
            <w:shd w:val="clear" w:color="auto" w:fill="auto"/>
            <w:noWrap/>
            <w:vAlign w:val="center"/>
            <w:hideMark/>
          </w:tcPr>
          <w:p w14:paraId="2668A8AF"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Pôvodný</w:t>
            </w:r>
          </w:p>
          <w:p w14:paraId="181BFF2B"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termín</w:t>
            </w:r>
          </w:p>
        </w:tc>
        <w:tc>
          <w:tcPr>
            <w:tcW w:w="766" w:type="pct"/>
            <w:vAlign w:val="center"/>
          </w:tcPr>
          <w:p w14:paraId="0518D3F0" w14:textId="77777777" w:rsidR="008A4FED" w:rsidRPr="00666914" w:rsidRDefault="008A4FED" w:rsidP="004D30E9">
            <w:pPr>
              <w:spacing w:after="0"/>
              <w:jc w:val="center"/>
              <w:rPr>
                <w:rFonts w:eastAsia="Times New Roman"/>
                <w:b/>
                <w:bCs/>
                <w:color w:val="000000"/>
                <w:sz w:val="20"/>
                <w:szCs w:val="20"/>
                <w:highlight w:val="yellow"/>
                <w:lang w:eastAsia="sk-SK"/>
              </w:rPr>
            </w:pPr>
            <w:r w:rsidRPr="00666914">
              <w:rPr>
                <w:rFonts w:eastAsia="Times New Roman"/>
                <w:b/>
                <w:bCs/>
                <w:color w:val="000000"/>
                <w:sz w:val="20"/>
                <w:szCs w:val="20"/>
                <w:lang w:eastAsia="sk-SK"/>
              </w:rPr>
              <w:t>Nový termín</w:t>
            </w:r>
          </w:p>
        </w:tc>
        <w:tc>
          <w:tcPr>
            <w:tcW w:w="264" w:type="pct"/>
            <w:shd w:val="clear" w:color="auto" w:fill="auto"/>
            <w:noWrap/>
            <w:vAlign w:val="center"/>
            <w:hideMark/>
          </w:tcPr>
          <w:p w14:paraId="24876453"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1Q</w:t>
            </w:r>
          </w:p>
          <w:p w14:paraId="79207839"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2019</w:t>
            </w:r>
          </w:p>
        </w:tc>
        <w:tc>
          <w:tcPr>
            <w:tcW w:w="264" w:type="pct"/>
            <w:shd w:val="clear" w:color="auto" w:fill="auto"/>
            <w:noWrap/>
            <w:vAlign w:val="center"/>
            <w:hideMark/>
          </w:tcPr>
          <w:p w14:paraId="6DB12C20"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2Q</w:t>
            </w:r>
          </w:p>
          <w:p w14:paraId="40F6A68F"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2019</w:t>
            </w:r>
          </w:p>
        </w:tc>
        <w:tc>
          <w:tcPr>
            <w:tcW w:w="264" w:type="pct"/>
            <w:shd w:val="clear" w:color="auto" w:fill="auto"/>
            <w:noWrap/>
            <w:vAlign w:val="center"/>
            <w:hideMark/>
          </w:tcPr>
          <w:p w14:paraId="51609B2F"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3Q</w:t>
            </w:r>
          </w:p>
          <w:p w14:paraId="022E2EBF"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2019</w:t>
            </w:r>
          </w:p>
        </w:tc>
        <w:tc>
          <w:tcPr>
            <w:tcW w:w="264" w:type="pct"/>
            <w:shd w:val="clear" w:color="auto" w:fill="auto"/>
            <w:noWrap/>
            <w:vAlign w:val="center"/>
            <w:hideMark/>
          </w:tcPr>
          <w:p w14:paraId="40C4129A"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4Q</w:t>
            </w:r>
          </w:p>
          <w:p w14:paraId="3D0A8726" w14:textId="77777777" w:rsidR="008A4FED" w:rsidRPr="00666914" w:rsidRDefault="008A4FED" w:rsidP="004D30E9">
            <w:pPr>
              <w:spacing w:after="0"/>
              <w:ind w:left="-254" w:firstLine="254"/>
              <w:jc w:val="center"/>
              <w:rPr>
                <w:rFonts w:eastAsia="Times New Roman"/>
                <w:b/>
                <w:bCs/>
                <w:color w:val="000000"/>
                <w:sz w:val="20"/>
                <w:szCs w:val="20"/>
                <w:lang w:eastAsia="sk-SK"/>
              </w:rPr>
            </w:pPr>
            <w:r w:rsidRPr="00666914">
              <w:rPr>
                <w:rFonts w:eastAsia="Times New Roman"/>
                <w:b/>
                <w:bCs/>
                <w:color w:val="000000"/>
                <w:sz w:val="20"/>
                <w:szCs w:val="20"/>
                <w:lang w:eastAsia="sk-SK"/>
              </w:rPr>
              <w:t>2019</w:t>
            </w:r>
          </w:p>
        </w:tc>
      </w:tr>
      <w:tr w:rsidR="008A4FED" w:rsidRPr="00666914" w14:paraId="4C961464" w14:textId="77777777" w:rsidTr="00F64B85">
        <w:trPr>
          <w:trHeight w:val="615"/>
        </w:trPr>
        <w:tc>
          <w:tcPr>
            <w:tcW w:w="224" w:type="pct"/>
            <w:shd w:val="clear" w:color="auto" w:fill="auto"/>
            <w:vAlign w:val="center"/>
            <w:hideMark/>
          </w:tcPr>
          <w:p w14:paraId="1B484293" w14:textId="77777777" w:rsidR="008A4FED" w:rsidRPr="00666914" w:rsidRDefault="008A4FED" w:rsidP="004D30E9">
            <w:pPr>
              <w:spacing w:after="0"/>
              <w:jc w:val="center"/>
              <w:rPr>
                <w:rFonts w:eastAsia="Times New Roman"/>
                <w:bCs/>
                <w:color w:val="000000"/>
                <w:sz w:val="20"/>
                <w:szCs w:val="20"/>
                <w:lang w:eastAsia="sk-SK"/>
              </w:rPr>
            </w:pPr>
            <w:r w:rsidRPr="00666914">
              <w:rPr>
                <w:rFonts w:eastAsia="Times New Roman"/>
                <w:bCs/>
                <w:color w:val="000000"/>
                <w:sz w:val="20"/>
                <w:szCs w:val="20"/>
                <w:lang w:eastAsia="sk-SK"/>
              </w:rPr>
              <w:t>1</w:t>
            </w:r>
          </w:p>
        </w:tc>
        <w:tc>
          <w:tcPr>
            <w:tcW w:w="371" w:type="pct"/>
            <w:vAlign w:val="center"/>
          </w:tcPr>
          <w:p w14:paraId="3E2ED087"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II.</w:t>
            </w:r>
          </w:p>
        </w:tc>
        <w:tc>
          <w:tcPr>
            <w:tcW w:w="1405" w:type="pct"/>
            <w:shd w:val="clear" w:color="auto" w:fill="auto"/>
            <w:vAlign w:val="center"/>
            <w:hideMark/>
          </w:tcPr>
          <w:p w14:paraId="25029DB1"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Lieky - variabilita v predpisovaní, vplyv e-preskripcie (nadspotreba)</w:t>
            </w:r>
          </w:p>
        </w:tc>
        <w:tc>
          <w:tcPr>
            <w:tcW w:w="677" w:type="pct"/>
            <w:shd w:val="clear" w:color="auto" w:fill="auto"/>
            <w:vAlign w:val="center"/>
            <w:hideMark/>
          </w:tcPr>
          <w:p w14:paraId="70685030"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ZP</w:t>
            </w:r>
          </w:p>
        </w:tc>
        <w:tc>
          <w:tcPr>
            <w:tcW w:w="503" w:type="pct"/>
            <w:shd w:val="clear" w:color="auto" w:fill="auto"/>
            <w:vAlign w:val="center"/>
            <w:hideMark/>
          </w:tcPr>
          <w:p w14:paraId="6CD926D0"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766" w:type="pct"/>
            <w:vAlign w:val="center"/>
          </w:tcPr>
          <w:p w14:paraId="61B2F09F" w14:textId="77777777" w:rsidR="008A4FED" w:rsidRPr="00666914" w:rsidRDefault="008A4FED" w:rsidP="004D30E9">
            <w:pPr>
              <w:spacing w:after="0"/>
              <w:jc w:val="center"/>
              <w:rPr>
                <w:rFonts w:eastAsia="Times New Roman"/>
                <w:color w:val="000000"/>
                <w:sz w:val="20"/>
                <w:szCs w:val="20"/>
                <w:highlight w:val="yellow"/>
                <w:lang w:eastAsia="sk-SK"/>
              </w:rPr>
            </w:pPr>
            <w:r w:rsidRPr="00666914">
              <w:rPr>
                <w:rFonts w:eastAsia="Times New Roman"/>
                <w:color w:val="000000"/>
                <w:sz w:val="20"/>
                <w:szCs w:val="20"/>
                <w:lang w:eastAsia="sk-SK"/>
              </w:rPr>
              <w:t>31.12.2019</w:t>
            </w:r>
          </w:p>
        </w:tc>
        <w:tc>
          <w:tcPr>
            <w:tcW w:w="264" w:type="pct"/>
            <w:tcBorders>
              <w:top w:val="nil"/>
              <w:left w:val="nil"/>
              <w:bottom w:val="single" w:sz="4" w:space="0" w:color="auto"/>
              <w:right w:val="single" w:sz="4" w:space="0" w:color="auto"/>
            </w:tcBorders>
            <w:shd w:val="clear" w:color="auto" w:fill="00B050"/>
            <w:noWrap/>
            <w:vAlign w:val="bottom"/>
            <w:hideMark/>
          </w:tcPr>
          <w:p w14:paraId="28C5F5BB" w14:textId="77777777" w:rsidR="008A4FED" w:rsidRPr="00666914" w:rsidRDefault="008A4FED" w:rsidP="004D30E9">
            <w:pPr>
              <w:spacing w:after="0"/>
              <w:rPr>
                <w:rFonts w:eastAsia="Times New Roman"/>
                <w:color w:val="C00000"/>
                <w:sz w:val="20"/>
                <w:szCs w:val="20"/>
                <w:lang w:eastAsia="sk-SK"/>
              </w:rPr>
            </w:pPr>
            <w:r w:rsidRPr="00666914">
              <w:rPr>
                <w:rFonts w:eastAsia="Times New Roman"/>
                <w:color w:val="C00000"/>
                <w:sz w:val="20"/>
                <w:szCs w:val="20"/>
                <w:lang w:eastAsia="sk-SK"/>
              </w:rPr>
              <w:t> </w:t>
            </w:r>
          </w:p>
        </w:tc>
        <w:tc>
          <w:tcPr>
            <w:tcW w:w="264" w:type="pct"/>
            <w:tcBorders>
              <w:top w:val="nil"/>
              <w:left w:val="nil"/>
              <w:bottom w:val="single" w:sz="4" w:space="0" w:color="auto"/>
              <w:right w:val="single" w:sz="4" w:space="0" w:color="auto"/>
            </w:tcBorders>
            <w:shd w:val="clear" w:color="auto" w:fill="00B050"/>
            <w:noWrap/>
            <w:vAlign w:val="bottom"/>
            <w:hideMark/>
          </w:tcPr>
          <w:p w14:paraId="4D70C4F9" w14:textId="77777777" w:rsidR="008A4FED" w:rsidRPr="00666914" w:rsidRDefault="008A4FED" w:rsidP="004D30E9">
            <w:pPr>
              <w:spacing w:after="0"/>
              <w:rPr>
                <w:rFonts w:eastAsia="Times New Roman"/>
                <w:color w:val="FFFFFF" w:themeColor="background1"/>
                <w:sz w:val="20"/>
                <w:szCs w:val="20"/>
                <w:lang w:eastAsia="sk-SK"/>
              </w:rPr>
            </w:pPr>
            <w:r w:rsidRPr="00666914">
              <w:rPr>
                <w:rFonts w:eastAsia="Times New Roman"/>
                <w:color w:val="FFFFFF" w:themeColor="background1"/>
                <w:sz w:val="20"/>
                <w:szCs w:val="20"/>
                <w:lang w:eastAsia="sk-SK"/>
              </w:rPr>
              <w:t> </w:t>
            </w:r>
          </w:p>
        </w:tc>
        <w:tc>
          <w:tcPr>
            <w:tcW w:w="264" w:type="pct"/>
            <w:shd w:val="clear" w:color="auto" w:fill="00B050"/>
            <w:noWrap/>
            <w:vAlign w:val="bottom"/>
            <w:hideMark/>
          </w:tcPr>
          <w:p w14:paraId="7A416D94" w14:textId="77777777" w:rsidR="008A4FED" w:rsidRPr="00666914" w:rsidRDefault="008A4FED" w:rsidP="004D30E9">
            <w:pPr>
              <w:spacing w:after="0"/>
              <w:jc w:val="center"/>
              <w:rPr>
                <w:rFonts w:eastAsia="Times New Roman"/>
                <w:color w:val="C00000"/>
                <w:sz w:val="20"/>
                <w:szCs w:val="20"/>
                <w:lang w:eastAsia="sk-SK"/>
              </w:rPr>
            </w:pPr>
            <w:r w:rsidRPr="00666914">
              <w:rPr>
                <w:rFonts w:eastAsia="Times New Roman"/>
                <w:color w:val="C00000"/>
                <w:sz w:val="20"/>
                <w:szCs w:val="20"/>
                <w:lang w:eastAsia="sk-SK"/>
              </w:rPr>
              <w:t> </w:t>
            </w:r>
          </w:p>
        </w:tc>
        <w:tc>
          <w:tcPr>
            <w:tcW w:w="264" w:type="pct"/>
            <w:shd w:val="clear" w:color="auto" w:fill="00B050"/>
            <w:noWrap/>
            <w:vAlign w:val="bottom"/>
            <w:hideMark/>
          </w:tcPr>
          <w:p w14:paraId="3B15C0E6"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C00000"/>
                <w:sz w:val="20"/>
                <w:szCs w:val="20"/>
                <w:lang w:eastAsia="sk-SK"/>
              </w:rPr>
              <w:t> </w:t>
            </w:r>
          </w:p>
        </w:tc>
      </w:tr>
      <w:tr w:rsidR="008A4FED" w:rsidRPr="00666914" w14:paraId="2C383AA4" w14:textId="77777777" w:rsidTr="00F64B85">
        <w:trPr>
          <w:trHeight w:val="315"/>
        </w:trPr>
        <w:tc>
          <w:tcPr>
            <w:tcW w:w="224" w:type="pct"/>
            <w:shd w:val="clear" w:color="auto" w:fill="auto"/>
            <w:vAlign w:val="center"/>
            <w:hideMark/>
          </w:tcPr>
          <w:p w14:paraId="34991C31" w14:textId="77777777" w:rsidR="008A4FED" w:rsidRPr="00666914" w:rsidRDefault="008A4FED" w:rsidP="004D30E9">
            <w:pPr>
              <w:spacing w:after="0"/>
              <w:jc w:val="center"/>
              <w:rPr>
                <w:rFonts w:eastAsia="Times New Roman"/>
                <w:bCs/>
                <w:color w:val="000000"/>
                <w:sz w:val="20"/>
                <w:szCs w:val="20"/>
                <w:lang w:eastAsia="sk-SK"/>
              </w:rPr>
            </w:pPr>
            <w:r w:rsidRPr="00666914">
              <w:rPr>
                <w:rFonts w:eastAsia="Times New Roman"/>
                <w:bCs/>
                <w:color w:val="000000"/>
                <w:sz w:val="20"/>
                <w:szCs w:val="20"/>
                <w:lang w:eastAsia="sk-SK"/>
              </w:rPr>
              <w:t>2</w:t>
            </w:r>
          </w:p>
        </w:tc>
        <w:tc>
          <w:tcPr>
            <w:tcW w:w="371" w:type="pct"/>
            <w:vAlign w:val="center"/>
          </w:tcPr>
          <w:p w14:paraId="70DB51CC"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405" w:type="pct"/>
            <w:shd w:val="clear" w:color="auto" w:fill="auto"/>
            <w:vAlign w:val="center"/>
            <w:hideMark/>
          </w:tcPr>
          <w:p w14:paraId="28DE02AF"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Zverejňovanie rebríčkov predpisovania lekárov v rámci odbornosti</w:t>
            </w:r>
          </w:p>
        </w:tc>
        <w:tc>
          <w:tcPr>
            <w:tcW w:w="677" w:type="pct"/>
            <w:shd w:val="clear" w:color="auto" w:fill="auto"/>
            <w:vAlign w:val="center"/>
            <w:hideMark/>
          </w:tcPr>
          <w:p w14:paraId="6819CBEA"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 ZP</w:t>
            </w:r>
          </w:p>
        </w:tc>
        <w:tc>
          <w:tcPr>
            <w:tcW w:w="503" w:type="pct"/>
            <w:shd w:val="clear" w:color="auto" w:fill="auto"/>
            <w:vAlign w:val="center"/>
            <w:hideMark/>
          </w:tcPr>
          <w:p w14:paraId="40B0AFC4"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766" w:type="pct"/>
            <w:vAlign w:val="center"/>
          </w:tcPr>
          <w:p w14:paraId="5553D149" w14:textId="77777777" w:rsidR="008A4FED" w:rsidRPr="00666914" w:rsidRDefault="008A4FED" w:rsidP="004D30E9">
            <w:pPr>
              <w:spacing w:after="0"/>
              <w:jc w:val="center"/>
              <w:rPr>
                <w:rFonts w:eastAsia="Times New Roman"/>
                <w:color w:val="000000"/>
                <w:sz w:val="20"/>
                <w:szCs w:val="20"/>
                <w:highlight w:val="yellow"/>
                <w:lang w:eastAsia="sk-SK"/>
              </w:rPr>
            </w:pPr>
            <w:r w:rsidRPr="00666914">
              <w:rPr>
                <w:rFonts w:eastAsia="Times New Roman"/>
                <w:color w:val="000000"/>
                <w:sz w:val="20"/>
                <w:szCs w:val="20"/>
                <w:lang w:eastAsia="sk-SK"/>
              </w:rPr>
              <w:t>31.12.2019</w:t>
            </w:r>
          </w:p>
        </w:tc>
        <w:tc>
          <w:tcPr>
            <w:tcW w:w="264" w:type="pct"/>
            <w:tcBorders>
              <w:top w:val="nil"/>
              <w:left w:val="nil"/>
              <w:bottom w:val="single" w:sz="4" w:space="0" w:color="auto"/>
              <w:right w:val="single" w:sz="4" w:space="0" w:color="auto"/>
            </w:tcBorders>
            <w:shd w:val="clear" w:color="auto" w:fill="FF0000"/>
            <w:noWrap/>
            <w:vAlign w:val="bottom"/>
            <w:hideMark/>
          </w:tcPr>
          <w:p w14:paraId="0B90CA9E"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4" w:type="pct"/>
            <w:tcBorders>
              <w:top w:val="nil"/>
              <w:left w:val="nil"/>
              <w:bottom w:val="single" w:sz="4" w:space="0" w:color="auto"/>
              <w:right w:val="single" w:sz="4" w:space="0" w:color="auto"/>
            </w:tcBorders>
            <w:shd w:val="clear" w:color="auto" w:fill="FF0000"/>
            <w:noWrap/>
            <w:vAlign w:val="bottom"/>
            <w:hideMark/>
          </w:tcPr>
          <w:p w14:paraId="4CB9D4DB"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4" w:type="pct"/>
            <w:shd w:val="clear" w:color="auto" w:fill="FF0000"/>
            <w:noWrap/>
            <w:vAlign w:val="bottom"/>
            <w:hideMark/>
          </w:tcPr>
          <w:p w14:paraId="1027BE03"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 </w:t>
            </w:r>
          </w:p>
        </w:tc>
        <w:tc>
          <w:tcPr>
            <w:tcW w:w="264" w:type="pct"/>
            <w:shd w:val="clear" w:color="auto" w:fill="FF0000"/>
            <w:noWrap/>
            <w:vAlign w:val="bottom"/>
            <w:hideMark/>
          </w:tcPr>
          <w:p w14:paraId="5FB13482"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219181AD" w14:textId="77777777" w:rsidTr="00F64B85">
        <w:trPr>
          <w:trHeight w:val="315"/>
        </w:trPr>
        <w:tc>
          <w:tcPr>
            <w:tcW w:w="224" w:type="pct"/>
            <w:shd w:val="clear" w:color="auto" w:fill="auto"/>
            <w:vAlign w:val="center"/>
            <w:hideMark/>
          </w:tcPr>
          <w:p w14:paraId="042E7023" w14:textId="77777777" w:rsidR="008A4FED" w:rsidRPr="00666914" w:rsidRDefault="008A4FED" w:rsidP="004D30E9">
            <w:pPr>
              <w:spacing w:after="0"/>
              <w:jc w:val="center"/>
              <w:rPr>
                <w:rFonts w:eastAsia="Times New Roman"/>
                <w:bCs/>
                <w:color w:val="000000"/>
                <w:sz w:val="20"/>
                <w:szCs w:val="20"/>
                <w:lang w:eastAsia="sk-SK"/>
              </w:rPr>
            </w:pPr>
            <w:r w:rsidRPr="00666914">
              <w:rPr>
                <w:rFonts w:eastAsia="Times New Roman"/>
                <w:bCs/>
                <w:color w:val="000000"/>
                <w:sz w:val="20"/>
                <w:szCs w:val="20"/>
                <w:lang w:eastAsia="sk-SK"/>
              </w:rPr>
              <w:t>3</w:t>
            </w:r>
          </w:p>
        </w:tc>
        <w:tc>
          <w:tcPr>
            <w:tcW w:w="371" w:type="pct"/>
            <w:vAlign w:val="center"/>
          </w:tcPr>
          <w:p w14:paraId="049097EE"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 a II.</w:t>
            </w:r>
          </w:p>
        </w:tc>
        <w:tc>
          <w:tcPr>
            <w:tcW w:w="1405" w:type="pct"/>
            <w:shd w:val="clear" w:color="auto" w:fill="auto"/>
            <w:vAlign w:val="center"/>
            <w:hideMark/>
          </w:tcPr>
          <w:p w14:paraId="3A213531"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Výnimky na lieky - zavedenie pravidiel pre preplácanie výnimiek</w:t>
            </w:r>
          </w:p>
        </w:tc>
        <w:tc>
          <w:tcPr>
            <w:tcW w:w="677" w:type="pct"/>
            <w:shd w:val="clear" w:color="auto" w:fill="auto"/>
            <w:vAlign w:val="center"/>
            <w:hideMark/>
          </w:tcPr>
          <w:p w14:paraId="27026754"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w:t>
            </w:r>
          </w:p>
        </w:tc>
        <w:tc>
          <w:tcPr>
            <w:tcW w:w="503" w:type="pct"/>
            <w:shd w:val="clear" w:color="auto" w:fill="auto"/>
            <w:vAlign w:val="center"/>
            <w:hideMark/>
          </w:tcPr>
          <w:p w14:paraId="2242C2C8"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766" w:type="pct"/>
            <w:vAlign w:val="center"/>
          </w:tcPr>
          <w:p w14:paraId="76372E25" w14:textId="77777777" w:rsidR="008A4FED" w:rsidRPr="00666914" w:rsidRDefault="008A4FED" w:rsidP="004D30E9">
            <w:pPr>
              <w:spacing w:after="0"/>
              <w:jc w:val="center"/>
              <w:rPr>
                <w:rFonts w:eastAsia="Times New Roman"/>
                <w:color w:val="000000"/>
                <w:sz w:val="20"/>
                <w:szCs w:val="20"/>
                <w:highlight w:val="yellow"/>
                <w:lang w:eastAsia="sk-SK"/>
              </w:rPr>
            </w:pPr>
            <w:r w:rsidRPr="00666914">
              <w:rPr>
                <w:rFonts w:eastAsia="Times New Roman"/>
                <w:color w:val="000000"/>
                <w:sz w:val="20"/>
                <w:szCs w:val="20"/>
                <w:lang w:eastAsia="sk-SK"/>
              </w:rPr>
              <w:t>31.12.2019</w:t>
            </w:r>
          </w:p>
        </w:tc>
        <w:tc>
          <w:tcPr>
            <w:tcW w:w="264" w:type="pct"/>
            <w:tcBorders>
              <w:top w:val="nil"/>
              <w:left w:val="nil"/>
              <w:bottom w:val="single" w:sz="4" w:space="0" w:color="auto"/>
              <w:right w:val="single" w:sz="4" w:space="0" w:color="auto"/>
            </w:tcBorders>
            <w:shd w:val="clear" w:color="auto" w:fill="C00000"/>
            <w:noWrap/>
            <w:vAlign w:val="bottom"/>
            <w:hideMark/>
          </w:tcPr>
          <w:p w14:paraId="3DF24A30"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4" w:type="pct"/>
            <w:tcBorders>
              <w:top w:val="nil"/>
              <w:left w:val="nil"/>
              <w:bottom w:val="single" w:sz="4" w:space="0" w:color="auto"/>
              <w:right w:val="single" w:sz="4" w:space="0" w:color="auto"/>
            </w:tcBorders>
            <w:shd w:val="clear" w:color="auto" w:fill="C00000"/>
            <w:noWrap/>
            <w:vAlign w:val="bottom"/>
            <w:hideMark/>
          </w:tcPr>
          <w:p w14:paraId="1314D9F3"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4" w:type="pct"/>
            <w:shd w:val="clear" w:color="auto" w:fill="C00000"/>
            <w:noWrap/>
            <w:vAlign w:val="bottom"/>
            <w:hideMark/>
          </w:tcPr>
          <w:p w14:paraId="21F9EFD5"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 </w:t>
            </w:r>
          </w:p>
        </w:tc>
        <w:tc>
          <w:tcPr>
            <w:tcW w:w="264" w:type="pct"/>
            <w:shd w:val="clear" w:color="auto" w:fill="C00000"/>
            <w:noWrap/>
            <w:vAlign w:val="bottom"/>
            <w:hideMark/>
          </w:tcPr>
          <w:p w14:paraId="0C728CD5"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3EFACDE0" w14:textId="77777777" w:rsidTr="00F64B85">
        <w:trPr>
          <w:trHeight w:val="315"/>
        </w:trPr>
        <w:tc>
          <w:tcPr>
            <w:tcW w:w="224" w:type="pct"/>
            <w:shd w:val="clear" w:color="auto" w:fill="auto"/>
            <w:vAlign w:val="center"/>
            <w:hideMark/>
          </w:tcPr>
          <w:p w14:paraId="66288976" w14:textId="77777777" w:rsidR="008A4FED" w:rsidRPr="00666914" w:rsidRDefault="008A4FED" w:rsidP="004D30E9">
            <w:pPr>
              <w:spacing w:after="0"/>
              <w:jc w:val="center"/>
              <w:rPr>
                <w:rFonts w:eastAsia="Times New Roman"/>
                <w:bCs/>
                <w:color w:val="000000"/>
                <w:sz w:val="20"/>
                <w:szCs w:val="20"/>
                <w:lang w:eastAsia="sk-SK"/>
              </w:rPr>
            </w:pPr>
            <w:r w:rsidRPr="00666914">
              <w:rPr>
                <w:rFonts w:eastAsia="Times New Roman"/>
                <w:bCs/>
                <w:color w:val="000000"/>
                <w:sz w:val="20"/>
                <w:szCs w:val="20"/>
                <w:lang w:eastAsia="sk-SK"/>
              </w:rPr>
              <w:t>4</w:t>
            </w:r>
          </w:p>
        </w:tc>
        <w:tc>
          <w:tcPr>
            <w:tcW w:w="371" w:type="pct"/>
            <w:vAlign w:val="center"/>
          </w:tcPr>
          <w:p w14:paraId="3C2E55E0"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405" w:type="pct"/>
            <w:shd w:val="clear" w:color="auto" w:fill="auto"/>
            <w:vAlign w:val="center"/>
            <w:hideMark/>
          </w:tcPr>
          <w:p w14:paraId="58A13C54"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Zavedenie záväzných pravidiel pre úhradu liekov na výnimky</w:t>
            </w:r>
          </w:p>
        </w:tc>
        <w:tc>
          <w:tcPr>
            <w:tcW w:w="677" w:type="pct"/>
            <w:shd w:val="clear" w:color="auto" w:fill="auto"/>
            <w:vAlign w:val="center"/>
            <w:hideMark/>
          </w:tcPr>
          <w:p w14:paraId="3C944712"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w:t>
            </w:r>
          </w:p>
        </w:tc>
        <w:tc>
          <w:tcPr>
            <w:tcW w:w="503" w:type="pct"/>
            <w:shd w:val="clear" w:color="auto" w:fill="auto"/>
            <w:vAlign w:val="center"/>
            <w:hideMark/>
          </w:tcPr>
          <w:p w14:paraId="1F774E3D"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766" w:type="pct"/>
            <w:vAlign w:val="center"/>
          </w:tcPr>
          <w:p w14:paraId="3F0145B0" w14:textId="77777777" w:rsidR="008A4FED" w:rsidRPr="00666914" w:rsidRDefault="008A4FED" w:rsidP="004D30E9">
            <w:pPr>
              <w:spacing w:after="0"/>
              <w:jc w:val="center"/>
              <w:rPr>
                <w:rFonts w:eastAsia="Times New Roman"/>
                <w:color w:val="000000"/>
                <w:sz w:val="20"/>
                <w:szCs w:val="20"/>
                <w:highlight w:val="yellow"/>
                <w:lang w:eastAsia="sk-SK"/>
              </w:rPr>
            </w:pPr>
            <w:r w:rsidRPr="00666914">
              <w:rPr>
                <w:rFonts w:eastAsia="Times New Roman"/>
                <w:color w:val="000000"/>
                <w:sz w:val="20"/>
                <w:szCs w:val="20"/>
                <w:lang w:eastAsia="sk-SK"/>
              </w:rPr>
              <w:t>30.06.2019</w:t>
            </w:r>
          </w:p>
        </w:tc>
        <w:tc>
          <w:tcPr>
            <w:tcW w:w="264" w:type="pct"/>
            <w:tcBorders>
              <w:top w:val="nil"/>
              <w:left w:val="nil"/>
              <w:bottom w:val="single" w:sz="4" w:space="0" w:color="auto"/>
              <w:right w:val="single" w:sz="4" w:space="0" w:color="auto"/>
            </w:tcBorders>
            <w:shd w:val="clear" w:color="auto" w:fill="FF0000"/>
            <w:noWrap/>
            <w:vAlign w:val="bottom"/>
            <w:hideMark/>
          </w:tcPr>
          <w:p w14:paraId="2EDB4E60"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4" w:type="pct"/>
            <w:tcBorders>
              <w:top w:val="nil"/>
              <w:left w:val="nil"/>
              <w:bottom w:val="single" w:sz="4" w:space="0" w:color="auto"/>
              <w:right w:val="single" w:sz="4" w:space="0" w:color="auto"/>
            </w:tcBorders>
            <w:shd w:val="clear" w:color="auto" w:fill="FF0000"/>
            <w:noWrap/>
            <w:vAlign w:val="bottom"/>
            <w:hideMark/>
          </w:tcPr>
          <w:p w14:paraId="2E5A7FC2"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4" w:type="pct"/>
            <w:shd w:val="clear" w:color="auto" w:fill="FF0000"/>
            <w:noWrap/>
            <w:vAlign w:val="bottom"/>
            <w:hideMark/>
          </w:tcPr>
          <w:p w14:paraId="60E408DF"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 </w:t>
            </w:r>
          </w:p>
        </w:tc>
        <w:tc>
          <w:tcPr>
            <w:tcW w:w="264" w:type="pct"/>
            <w:shd w:val="clear" w:color="auto" w:fill="FF0000"/>
            <w:noWrap/>
            <w:vAlign w:val="bottom"/>
            <w:hideMark/>
          </w:tcPr>
          <w:p w14:paraId="27353339"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731CB8F2" w14:textId="77777777" w:rsidTr="00F64B85">
        <w:trPr>
          <w:trHeight w:val="315"/>
        </w:trPr>
        <w:tc>
          <w:tcPr>
            <w:tcW w:w="224" w:type="pct"/>
            <w:shd w:val="clear" w:color="auto" w:fill="auto"/>
            <w:vAlign w:val="center"/>
            <w:hideMark/>
          </w:tcPr>
          <w:p w14:paraId="36B8DEBF" w14:textId="77777777" w:rsidR="008A4FED" w:rsidRPr="00666914" w:rsidRDefault="008A4FED" w:rsidP="004D30E9">
            <w:pPr>
              <w:spacing w:after="0"/>
              <w:jc w:val="center"/>
              <w:rPr>
                <w:rFonts w:eastAsia="Times New Roman"/>
                <w:bCs/>
                <w:color w:val="000000"/>
                <w:sz w:val="20"/>
                <w:szCs w:val="20"/>
                <w:lang w:eastAsia="sk-SK"/>
              </w:rPr>
            </w:pPr>
            <w:r w:rsidRPr="00666914">
              <w:rPr>
                <w:rFonts w:eastAsia="Times New Roman"/>
                <w:bCs/>
                <w:color w:val="000000"/>
                <w:sz w:val="20"/>
                <w:szCs w:val="20"/>
                <w:lang w:eastAsia="sk-SK"/>
              </w:rPr>
              <w:t>5</w:t>
            </w:r>
          </w:p>
        </w:tc>
        <w:tc>
          <w:tcPr>
            <w:tcW w:w="371" w:type="pct"/>
            <w:vAlign w:val="center"/>
          </w:tcPr>
          <w:p w14:paraId="6D460D17"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 a II.</w:t>
            </w:r>
          </w:p>
        </w:tc>
        <w:tc>
          <w:tcPr>
            <w:tcW w:w="1405" w:type="pct"/>
            <w:shd w:val="clear" w:color="auto" w:fill="auto"/>
            <w:vAlign w:val="center"/>
            <w:hideMark/>
          </w:tcPr>
          <w:p w14:paraId="3371250A"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Preskripcia generík - Vydávanie receptu na účinnú látku namiesto konkrétneho lieku</w:t>
            </w:r>
          </w:p>
        </w:tc>
        <w:tc>
          <w:tcPr>
            <w:tcW w:w="677" w:type="pct"/>
            <w:shd w:val="clear" w:color="auto" w:fill="auto"/>
            <w:vAlign w:val="center"/>
            <w:hideMark/>
          </w:tcPr>
          <w:p w14:paraId="16A6C9E0"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w:t>
            </w:r>
          </w:p>
        </w:tc>
        <w:tc>
          <w:tcPr>
            <w:tcW w:w="503" w:type="pct"/>
            <w:shd w:val="clear" w:color="auto" w:fill="auto"/>
            <w:vAlign w:val="center"/>
            <w:hideMark/>
          </w:tcPr>
          <w:p w14:paraId="179B56AB"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766" w:type="pct"/>
            <w:vAlign w:val="center"/>
          </w:tcPr>
          <w:p w14:paraId="3D588BC1" w14:textId="77777777" w:rsidR="008A4FED" w:rsidRPr="00666914" w:rsidRDefault="008A4FED" w:rsidP="004D30E9">
            <w:pPr>
              <w:spacing w:after="0"/>
              <w:jc w:val="center"/>
              <w:rPr>
                <w:rFonts w:eastAsia="Times New Roman"/>
                <w:color w:val="000000"/>
                <w:sz w:val="20"/>
                <w:szCs w:val="20"/>
                <w:highlight w:val="yellow"/>
                <w:lang w:eastAsia="sk-SK"/>
              </w:rPr>
            </w:pPr>
            <w:r w:rsidRPr="00666914">
              <w:rPr>
                <w:rFonts w:eastAsia="Times New Roman"/>
                <w:color w:val="000000"/>
                <w:sz w:val="20"/>
                <w:szCs w:val="20"/>
                <w:lang w:eastAsia="sk-SK"/>
              </w:rPr>
              <w:t>30.06.2019</w:t>
            </w:r>
          </w:p>
        </w:tc>
        <w:tc>
          <w:tcPr>
            <w:tcW w:w="264" w:type="pct"/>
            <w:tcBorders>
              <w:top w:val="nil"/>
              <w:left w:val="nil"/>
              <w:bottom w:val="single" w:sz="4" w:space="0" w:color="auto"/>
              <w:right w:val="single" w:sz="4" w:space="0" w:color="auto"/>
            </w:tcBorders>
            <w:shd w:val="clear" w:color="auto" w:fill="FF0000"/>
            <w:noWrap/>
            <w:vAlign w:val="bottom"/>
            <w:hideMark/>
          </w:tcPr>
          <w:p w14:paraId="08F63658" w14:textId="77777777" w:rsidR="008A4FED" w:rsidRPr="00666914" w:rsidRDefault="008A4FED" w:rsidP="004D30E9">
            <w:pPr>
              <w:spacing w:after="0"/>
              <w:rPr>
                <w:rFonts w:eastAsia="Times New Roman"/>
                <w:color w:val="C00000"/>
                <w:sz w:val="20"/>
                <w:szCs w:val="20"/>
                <w:lang w:eastAsia="sk-SK"/>
              </w:rPr>
            </w:pPr>
            <w:r w:rsidRPr="00666914">
              <w:rPr>
                <w:rFonts w:eastAsia="Times New Roman"/>
                <w:color w:val="C00000"/>
                <w:sz w:val="20"/>
                <w:szCs w:val="20"/>
                <w:lang w:eastAsia="sk-SK"/>
              </w:rPr>
              <w:t> </w:t>
            </w:r>
          </w:p>
        </w:tc>
        <w:tc>
          <w:tcPr>
            <w:tcW w:w="264" w:type="pct"/>
            <w:tcBorders>
              <w:top w:val="nil"/>
              <w:left w:val="nil"/>
              <w:bottom w:val="single" w:sz="4" w:space="0" w:color="auto"/>
              <w:right w:val="single" w:sz="4" w:space="0" w:color="auto"/>
            </w:tcBorders>
            <w:shd w:val="clear" w:color="auto" w:fill="FF0000"/>
            <w:noWrap/>
            <w:vAlign w:val="bottom"/>
            <w:hideMark/>
          </w:tcPr>
          <w:p w14:paraId="688F8F87" w14:textId="77777777" w:rsidR="008A4FED" w:rsidRPr="00666914" w:rsidRDefault="008A4FED" w:rsidP="004D30E9">
            <w:pPr>
              <w:spacing w:after="0"/>
              <w:rPr>
                <w:rFonts w:eastAsia="Times New Roman"/>
                <w:color w:val="FF0000"/>
                <w:sz w:val="20"/>
                <w:szCs w:val="20"/>
                <w:lang w:eastAsia="sk-SK"/>
              </w:rPr>
            </w:pPr>
            <w:r w:rsidRPr="00666914">
              <w:rPr>
                <w:rFonts w:eastAsia="Times New Roman"/>
                <w:color w:val="FF0000"/>
                <w:sz w:val="20"/>
                <w:szCs w:val="20"/>
                <w:lang w:eastAsia="sk-SK"/>
              </w:rPr>
              <w:t> </w:t>
            </w:r>
          </w:p>
        </w:tc>
        <w:tc>
          <w:tcPr>
            <w:tcW w:w="264" w:type="pct"/>
            <w:shd w:val="clear" w:color="auto" w:fill="FF0000"/>
            <w:noWrap/>
            <w:vAlign w:val="bottom"/>
            <w:hideMark/>
          </w:tcPr>
          <w:p w14:paraId="66822BC5"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 </w:t>
            </w:r>
          </w:p>
        </w:tc>
        <w:tc>
          <w:tcPr>
            <w:tcW w:w="264" w:type="pct"/>
            <w:shd w:val="clear" w:color="auto" w:fill="FF0000"/>
            <w:noWrap/>
            <w:vAlign w:val="bottom"/>
            <w:hideMark/>
          </w:tcPr>
          <w:p w14:paraId="2AD61CD4"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C00000"/>
                <w:sz w:val="20"/>
                <w:szCs w:val="20"/>
                <w:lang w:eastAsia="sk-SK"/>
              </w:rPr>
              <w:t> </w:t>
            </w:r>
          </w:p>
        </w:tc>
      </w:tr>
      <w:tr w:rsidR="008A4FED" w:rsidRPr="00666914" w14:paraId="336097CF" w14:textId="77777777" w:rsidTr="00F64B85">
        <w:trPr>
          <w:trHeight w:val="315"/>
        </w:trPr>
        <w:tc>
          <w:tcPr>
            <w:tcW w:w="224" w:type="pct"/>
            <w:shd w:val="clear" w:color="auto" w:fill="auto"/>
            <w:vAlign w:val="center"/>
            <w:hideMark/>
          </w:tcPr>
          <w:p w14:paraId="2FF00424" w14:textId="77777777" w:rsidR="008A4FED" w:rsidRPr="00666914" w:rsidRDefault="008A4FED" w:rsidP="004D30E9">
            <w:pPr>
              <w:spacing w:after="0"/>
              <w:jc w:val="center"/>
              <w:rPr>
                <w:rFonts w:eastAsia="Times New Roman"/>
                <w:bCs/>
                <w:color w:val="000000"/>
                <w:sz w:val="20"/>
                <w:szCs w:val="20"/>
                <w:lang w:eastAsia="sk-SK"/>
              </w:rPr>
            </w:pPr>
            <w:r w:rsidRPr="00666914">
              <w:rPr>
                <w:rFonts w:eastAsia="Times New Roman"/>
                <w:bCs/>
                <w:color w:val="000000"/>
                <w:sz w:val="20"/>
                <w:szCs w:val="20"/>
                <w:lang w:eastAsia="sk-SK"/>
              </w:rPr>
              <w:t>6</w:t>
            </w:r>
          </w:p>
        </w:tc>
        <w:tc>
          <w:tcPr>
            <w:tcW w:w="371" w:type="pct"/>
            <w:vAlign w:val="center"/>
          </w:tcPr>
          <w:p w14:paraId="25DBA608"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405" w:type="pct"/>
            <w:shd w:val="clear" w:color="auto" w:fill="auto"/>
            <w:vAlign w:val="center"/>
            <w:hideMark/>
          </w:tcPr>
          <w:p w14:paraId="767D4949"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Výmena informácií o exporte liekov medzi ŠÚKL a FS SR/ŠÚ SR</w:t>
            </w:r>
          </w:p>
        </w:tc>
        <w:tc>
          <w:tcPr>
            <w:tcW w:w="677" w:type="pct"/>
            <w:shd w:val="clear" w:color="auto" w:fill="auto"/>
            <w:vAlign w:val="center"/>
            <w:hideMark/>
          </w:tcPr>
          <w:p w14:paraId="3F716131"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 MF SR, FS SR, ŠÚKL</w:t>
            </w:r>
          </w:p>
        </w:tc>
        <w:tc>
          <w:tcPr>
            <w:tcW w:w="503" w:type="pct"/>
            <w:shd w:val="clear" w:color="auto" w:fill="auto"/>
            <w:vAlign w:val="center"/>
            <w:hideMark/>
          </w:tcPr>
          <w:p w14:paraId="7BAA6F63"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766" w:type="pct"/>
            <w:vAlign w:val="center"/>
          </w:tcPr>
          <w:p w14:paraId="548019F5"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31.12.2019</w:t>
            </w:r>
          </w:p>
        </w:tc>
        <w:tc>
          <w:tcPr>
            <w:tcW w:w="264" w:type="pct"/>
            <w:tcBorders>
              <w:top w:val="nil"/>
              <w:left w:val="nil"/>
              <w:bottom w:val="single" w:sz="4" w:space="0" w:color="auto"/>
              <w:right w:val="single" w:sz="4" w:space="0" w:color="auto"/>
            </w:tcBorders>
            <w:shd w:val="clear" w:color="auto" w:fill="FFC000"/>
            <w:noWrap/>
            <w:vAlign w:val="bottom"/>
            <w:hideMark/>
          </w:tcPr>
          <w:p w14:paraId="5170A28C"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4" w:type="pct"/>
            <w:tcBorders>
              <w:top w:val="nil"/>
              <w:left w:val="nil"/>
              <w:bottom w:val="single" w:sz="4" w:space="0" w:color="auto"/>
              <w:right w:val="single" w:sz="4" w:space="0" w:color="auto"/>
            </w:tcBorders>
            <w:shd w:val="clear" w:color="auto" w:fill="FFC000"/>
            <w:noWrap/>
            <w:vAlign w:val="bottom"/>
            <w:hideMark/>
          </w:tcPr>
          <w:p w14:paraId="6918A6D4"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4" w:type="pct"/>
            <w:shd w:val="clear" w:color="auto" w:fill="FFC000"/>
            <w:noWrap/>
            <w:vAlign w:val="bottom"/>
            <w:hideMark/>
          </w:tcPr>
          <w:p w14:paraId="71C50847"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 </w:t>
            </w:r>
          </w:p>
        </w:tc>
        <w:tc>
          <w:tcPr>
            <w:tcW w:w="264" w:type="pct"/>
            <w:shd w:val="clear" w:color="auto" w:fill="FFC000"/>
            <w:noWrap/>
            <w:vAlign w:val="bottom"/>
            <w:hideMark/>
          </w:tcPr>
          <w:p w14:paraId="2EDB6FE6"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2AEBA3E9" w14:textId="77777777" w:rsidTr="00F64B85">
        <w:trPr>
          <w:trHeight w:val="315"/>
        </w:trPr>
        <w:tc>
          <w:tcPr>
            <w:tcW w:w="224" w:type="pct"/>
            <w:shd w:val="clear" w:color="auto" w:fill="auto"/>
            <w:vAlign w:val="center"/>
            <w:hideMark/>
          </w:tcPr>
          <w:p w14:paraId="1BAC9E18" w14:textId="77777777" w:rsidR="008A4FED" w:rsidRPr="00666914" w:rsidRDefault="008A4FED" w:rsidP="004D30E9">
            <w:pPr>
              <w:spacing w:after="0"/>
              <w:jc w:val="center"/>
              <w:rPr>
                <w:rFonts w:eastAsia="Times New Roman"/>
                <w:bCs/>
                <w:color w:val="000000"/>
                <w:sz w:val="20"/>
                <w:szCs w:val="20"/>
                <w:lang w:eastAsia="sk-SK"/>
              </w:rPr>
            </w:pPr>
            <w:r w:rsidRPr="00666914">
              <w:rPr>
                <w:rFonts w:eastAsia="Times New Roman"/>
                <w:bCs/>
                <w:color w:val="000000"/>
                <w:sz w:val="20"/>
                <w:szCs w:val="20"/>
                <w:lang w:eastAsia="sk-SK"/>
              </w:rPr>
              <w:t>7</w:t>
            </w:r>
          </w:p>
        </w:tc>
        <w:tc>
          <w:tcPr>
            <w:tcW w:w="371" w:type="pct"/>
            <w:vAlign w:val="center"/>
          </w:tcPr>
          <w:p w14:paraId="4839B38B"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405" w:type="pct"/>
            <w:shd w:val="clear" w:color="auto" w:fill="auto"/>
            <w:vAlign w:val="center"/>
            <w:hideMark/>
          </w:tcPr>
          <w:p w14:paraId="68A9B782"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Povinné zbieranie dát o užívaní podmienene kategorizovaných liekov</w:t>
            </w:r>
          </w:p>
        </w:tc>
        <w:tc>
          <w:tcPr>
            <w:tcW w:w="677" w:type="pct"/>
            <w:shd w:val="clear" w:color="auto" w:fill="auto"/>
            <w:vAlign w:val="center"/>
            <w:hideMark/>
          </w:tcPr>
          <w:p w14:paraId="51F1D22A"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 ŠÚKL</w:t>
            </w:r>
          </w:p>
        </w:tc>
        <w:tc>
          <w:tcPr>
            <w:tcW w:w="503" w:type="pct"/>
            <w:shd w:val="clear" w:color="auto" w:fill="auto"/>
            <w:vAlign w:val="center"/>
            <w:hideMark/>
          </w:tcPr>
          <w:p w14:paraId="45186A3A"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766" w:type="pct"/>
            <w:vAlign w:val="center"/>
          </w:tcPr>
          <w:p w14:paraId="54B00C29" w14:textId="77777777" w:rsidR="008A4FED" w:rsidRPr="00666914" w:rsidRDefault="008A4FED" w:rsidP="004D30E9">
            <w:pPr>
              <w:spacing w:after="0"/>
              <w:jc w:val="center"/>
              <w:rPr>
                <w:rFonts w:eastAsia="Times New Roman"/>
                <w:color w:val="000000"/>
                <w:sz w:val="20"/>
                <w:szCs w:val="20"/>
                <w:highlight w:val="yellow"/>
                <w:lang w:eastAsia="sk-SK"/>
              </w:rPr>
            </w:pPr>
            <w:r w:rsidRPr="00666914">
              <w:rPr>
                <w:rFonts w:eastAsia="Times New Roman"/>
                <w:color w:val="000000"/>
                <w:sz w:val="20"/>
                <w:szCs w:val="20"/>
                <w:lang w:eastAsia="sk-SK"/>
              </w:rPr>
              <w:t>31.12.2019</w:t>
            </w:r>
          </w:p>
        </w:tc>
        <w:tc>
          <w:tcPr>
            <w:tcW w:w="264" w:type="pct"/>
            <w:tcBorders>
              <w:top w:val="nil"/>
              <w:left w:val="nil"/>
              <w:bottom w:val="single" w:sz="4" w:space="0" w:color="auto"/>
              <w:right w:val="single" w:sz="4" w:space="0" w:color="auto"/>
            </w:tcBorders>
            <w:shd w:val="clear" w:color="auto" w:fill="FFC000"/>
            <w:noWrap/>
            <w:vAlign w:val="bottom"/>
            <w:hideMark/>
          </w:tcPr>
          <w:p w14:paraId="00CF599D"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4" w:type="pct"/>
            <w:tcBorders>
              <w:top w:val="nil"/>
              <w:left w:val="nil"/>
              <w:bottom w:val="single" w:sz="4" w:space="0" w:color="auto"/>
              <w:right w:val="single" w:sz="4" w:space="0" w:color="auto"/>
            </w:tcBorders>
            <w:shd w:val="clear" w:color="auto" w:fill="FFC000"/>
            <w:noWrap/>
            <w:vAlign w:val="bottom"/>
            <w:hideMark/>
          </w:tcPr>
          <w:p w14:paraId="2DAD91E9"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4" w:type="pct"/>
            <w:shd w:val="clear" w:color="auto" w:fill="FFC000"/>
            <w:noWrap/>
            <w:vAlign w:val="bottom"/>
            <w:hideMark/>
          </w:tcPr>
          <w:p w14:paraId="76C3621F"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 </w:t>
            </w:r>
          </w:p>
        </w:tc>
        <w:tc>
          <w:tcPr>
            <w:tcW w:w="264" w:type="pct"/>
            <w:shd w:val="clear" w:color="auto" w:fill="92D050"/>
            <w:noWrap/>
            <w:vAlign w:val="bottom"/>
            <w:hideMark/>
          </w:tcPr>
          <w:p w14:paraId="409839BB"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195EF077" w14:textId="77777777" w:rsidTr="00F64B85">
        <w:trPr>
          <w:trHeight w:val="615"/>
        </w:trPr>
        <w:tc>
          <w:tcPr>
            <w:tcW w:w="224" w:type="pct"/>
            <w:shd w:val="clear" w:color="auto" w:fill="auto"/>
            <w:vAlign w:val="center"/>
            <w:hideMark/>
          </w:tcPr>
          <w:p w14:paraId="2CFBE77B" w14:textId="77777777" w:rsidR="008A4FED" w:rsidRPr="00666914" w:rsidRDefault="008A4FED" w:rsidP="004D30E9">
            <w:pPr>
              <w:spacing w:after="0"/>
              <w:jc w:val="center"/>
              <w:rPr>
                <w:rFonts w:eastAsia="Times New Roman"/>
                <w:bCs/>
                <w:color w:val="000000"/>
                <w:sz w:val="20"/>
                <w:szCs w:val="20"/>
                <w:lang w:eastAsia="sk-SK"/>
              </w:rPr>
            </w:pPr>
            <w:r w:rsidRPr="00666914">
              <w:rPr>
                <w:rFonts w:eastAsia="Times New Roman"/>
                <w:bCs/>
                <w:color w:val="000000"/>
                <w:sz w:val="20"/>
                <w:szCs w:val="20"/>
                <w:lang w:eastAsia="sk-SK"/>
              </w:rPr>
              <w:t>8</w:t>
            </w:r>
          </w:p>
        </w:tc>
        <w:tc>
          <w:tcPr>
            <w:tcW w:w="371" w:type="pct"/>
            <w:vAlign w:val="center"/>
          </w:tcPr>
          <w:p w14:paraId="56EC183F"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II.</w:t>
            </w:r>
          </w:p>
        </w:tc>
        <w:tc>
          <w:tcPr>
            <w:tcW w:w="1405" w:type="pct"/>
            <w:shd w:val="clear" w:color="auto" w:fill="auto"/>
            <w:vAlign w:val="center"/>
            <w:hideMark/>
          </w:tcPr>
          <w:p w14:paraId="3A6B1C6D"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Revízia úhrad kategorizovaných liekov</w:t>
            </w:r>
          </w:p>
        </w:tc>
        <w:tc>
          <w:tcPr>
            <w:tcW w:w="677" w:type="pct"/>
            <w:shd w:val="clear" w:color="auto" w:fill="auto"/>
            <w:vAlign w:val="center"/>
            <w:hideMark/>
          </w:tcPr>
          <w:p w14:paraId="3A2E5EE2"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w:t>
            </w:r>
          </w:p>
        </w:tc>
        <w:tc>
          <w:tcPr>
            <w:tcW w:w="503" w:type="pct"/>
            <w:shd w:val="clear" w:color="auto" w:fill="auto"/>
            <w:vAlign w:val="center"/>
            <w:hideMark/>
          </w:tcPr>
          <w:p w14:paraId="1FFAE36A"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766" w:type="pct"/>
            <w:vAlign w:val="center"/>
          </w:tcPr>
          <w:p w14:paraId="76F30EC7" w14:textId="77777777" w:rsidR="008A4FED" w:rsidRPr="00666914" w:rsidRDefault="008A4FED" w:rsidP="004D30E9">
            <w:pPr>
              <w:spacing w:after="0"/>
              <w:jc w:val="center"/>
              <w:rPr>
                <w:rFonts w:eastAsia="Times New Roman"/>
                <w:color w:val="000000"/>
                <w:sz w:val="20"/>
                <w:szCs w:val="20"/>
                <w:highlight w:val="yellow"/>
                <w:lang w:eastAsia="sk-SK"/>
              </w:rPr>
            </w:pPr>
            <w:r w:rsidRPr="00666914">
              <w:rPr>
                <w:rFonts w:eastAsia="Times New Roman"/>
                <w:color w:val="000000"/>
                <w:sz w:val="20"/>
                <w:szCs w:val="20"/>
                <w:lang w:eastAsia="sk-SK"/>
              </w:rPr>
              <w:t>31.12.2019</w:t>
            </w:r>
          </w:p>
        </w:tc>
        <w:tc>
          <w:tcPr>
            <w:tcW w:w="264" w:type="pct"/>
            <w:tcBorders>
              <w:top w:val="single" w:sz="4" w:space="0" w:color="auto"/>
              <w:left w:val="nil"/>
              <w:bottom w:val="single" w:sz="4" w:space="0" w:color="auto"/>
              <w:right w:val="single" w:sz="4" w:space="0" w:color="auto"/>
            </w:tcBorders>
            <w:shd w:val="clear" w:color="auto" w:fill="FF0000"/>
            <w:noWrap/>
            <w:vAlign w:val="bottom"/>
            <w:hideMark/>
          </w:tcPr>
          <w:p w14:paraId="658AEE1D"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4" w:type="pct"/>
            <w:tcBorders>
              <w:top w:val="single" w:sz="4" w:space="0" w:color="auto"/>
              <w:left w:val="nil"/>
              <w:bottom w:val="single" w:sz="4" w:space="0" w:color="auto"/>
              <w:right w:val="single" w:sz="4" w:space="0" w:color="auto"/>
            </w:tcBorders>
            <w:shd w:val="clear" w:color="auto" w:fill="FF0000"/>
            <w:noWrap/>
            <w:vAlign w:val="bottom"/>
            <w:hideMark/>
          </w:tcPr>
          <w:p w14:paraId="1DDDB843"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4" w:type="pct"/>
            <w:shd w:val="clear" w:color="auto" w:fill="BFBFBF" w:themeFill="background1" w:themeFillShade="BF"/>
            <w:noWrap/>
            <w:vAlign w:val="bottom"/>
            <w:hideMark/>
          </w:tcPr>
          <w:p w14:paraId="5DF2A121"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 </w:t>
            </w:r>
          </w:p>
        </w:tc>
        <w:tc>
          <w:tcPr>
            <w:tcW w:w="264" w:type="pct"/>
            <w:shd w:val="clear" w:color="auto" w:fill="BFBFBF" w:themeFill="background1" w:themeFillShade="BF"/>
            <w:noWrap/>
            <w:vAlign w:val="bottom"/>
            <w:hideMark/>
          </w:tcPr>
          <w:p w14:paraId="401C5112"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 </w:t>
            </w:r>
          </w:p>
        </w:tc>
      </w:tr>
    </w:tbl>
    <w:p w14:paraId="6A3BBF4C" w14:textId="77777777" w:rsidR="008A4FED" w:rsidRPr="00666914" w:rsidRDefault="008A4FED" w:rsidP="004D30E9"/>
    <w:p w14:paraId="1126BE0C" w14:textId="77777777" w:rsidR="008A4FED" w:rsidRPr="00666914" w:rsidRDefault="008A4FED" w:rsidP="008A4FED">
      <w:pPr>
        <w:numPr>
          <w:ilvl w:val="0"/>
          <w:numId w:val="28"/>
        </w:numPr>
        <w:spacing w:after="0"/>
        <w:contextualSpacing/>
        <w:jc w:val="left"/>
        <w:rPr>
          <w:b/>
          <w:u w:val="single"/>
        </w:rPr>
      </w:pPr>
      <w:r w:rsidRPr="00666914">
        <w:rPr>
          <w:b/>
          <w:u w:val="single"/>
        </w:rPr>
        <w:t>Lieky - variabilita v predpisovaní, vplyv e-preskripcie (nadspotreba)</w:t>
      </w:r>
    </w:p>
    <w:p w14:paraId="16559A5E" w14:textId="77777777" w:rsidR="008A4FED" w:rsidRPr="00666914" w:rsidRDefault="008A4FED" w:rsidP="005C6D12">
      <w:pPr>
        <w:spacing w:before="240"/>
      </w:pPr>
      <w:r w:rsidRPr="00666914">
        <w:rPr>
          <w:b/>
        </w:rPr>
        <w:t>Výdavky za lieky na recept vo verejných lekárňach klesli medzi rokmi 2016 a 2019 o 20,2 mil. eur, opatrenie tak bolo k 31.12.2019 splnené.</w:t>
      </w:r>
      <w:r w:rsidRPr="00666914">
        <w:t xml:space="preserve"> K úspore došlo už v prvých 2 rokoch napĺňania Revízie výdavkov I., v roku 2019 sa naopak vývoj zhoršil. Napriek tomu bola cieľová úspora 20 mil. eur dosiahnutá. Širšie využívanie elektronickej preskripcie v roku 2019 sa však nepremietlo do očakávaných nižších výdavkov na lieky na recept. Ďalším nástrojom pre dosiahnutie úspory je zníženie rozdielnej miery preskripcie medzi lekármi (variabilita v predpisovaní). Spôsob, </w:t>
      </w:r>
      <w:r w:rsidRPr="00666914">
        <w:lastRenderedPageBreak/>
        <w:t>akým je možné odhaliť neštandardné predpisovanie, ukázal napr. IZP v analýze spotreby dvoch oftalmologických liekov</w:t>
      </w:r>
      <w:r w:rsidRPr="00666914">
        <w:rPr>
          <w:rStyle w:val="Odkaznapoznmkupodiarou"/>
        </w:rPr>
        <w:footnoteReference w:id="12"/>
      </w:r>
      <w:r w:rsidRPr="00666914">
        <w:t>. Téma zníženia variability a kontrola predpisovania je však primárne v gescii ZP a ich revíznych tímov.</w:t>
      </w:r>
    </w:p>
    <w:p w14:paraId="6D0FD0FA" w14:textId="01B179D3" w:rsidR="008A4FED" w:rsidRPr="00666914" w:rsidRDefault="008A4FED" w:rsidP="00F64B85">
      <w:r w:rsidRPr="00666914">
        <w:rPr>
          <w:b/>
        </w:rPr>
        <w:t>Okrem výdavkov na lieky na recept v roku 2019 rástli aj celkové výdavky na lieky.</w:t>
      </w:r>
      <w:r w:rsidRPr="00666914">
        <w:t xml:space="preserve"> Revízia výdavkov II. identifikovala úsporný potenciál pre oblasť liekov až na </w:t>
      </w:r>
      <w:r w:rsidR="001A0EB7" w:rsidRPr="00666914">
        <w:t xml:space="preserve">216 </w:t>
      </w:r>
      <w:r w:rsidRPr="00666914">
        <w:t xml:space="preserve">mil. eur ročne v horizonte </w:t>
      </w:r>
      <w:r w:rsidR="001A0EB7" w:rsidRPr="00666914">
        <w:t>5</w:t>
      </w:r>
      <w:r w:rsidRPr="00666914">
        <w:t xml:space="preserve"> rokov. Súčasťou nových navrhovaných opatrení je aj rozšírenie centrálneho nákupu liekov. Ten je žiaduci v dôvodu nižších jednotkových cien, ktoré ZP dokážu vyjednať s výrobcami liekov. V roku 2019 sa objem úhrad za centrálne nakupované lieky výrazne znížil (tabuľka </w:t>
      </w:r>
      <w:r w:rsidR="009F7D9A" w:rsidRPr="00666914">
        <w:t>6</w:t>
      </w:r>
      <w:r w:rsidRPr="00666914">
        <w:t>).</w:t>
      </w:r>
    </w:p>
    <w:p w14:paraId="12D0F5F1" w14:textId="488511C1" w:rsidR="008A4FED" w:rsidRPr="00666914" w:rsidRDefault="008A4FED" w:rsidP="008B70B3">
      <w:pPr>
        <w:pBdr>
          <w:bottom w:val="single" w:sz="4" w:space="1" w:color="auto"/>
        </w:pBdr>
        <w:spacing w:after="0"/>
        <w:rPr>
          <w:b/>
          <w:sz w:val="20"/>
        </w:rPr>
      </w:pPr>
      <w:bookmarkStart w:id="46" w:name="_Toc36547026"/>
      <w:bookmarkStart w:id="47" w:name="_Toc38447667"/>
      <w:bookmarkStart w:id="48" w:name="_Toc5636406"/>
      <w:bookmarkStart w:id="49" w:name="_Toc20209181"/>
      <w:r w:rsidRPr="00666914">
        <w:rPr>
          <w:b/>
          <w:sz w:val="20"/>
        </w:rPr>
        <w:t xml:space="preserve">Tabuľka </w:t>
      </w:r>
      <w:r w:rsidRPr="00666914">
        <w:rPr>
          <w:b/>
          <w:noProof/>
          <w:sz w:val="20"/>
        </w:rPr>
        <w:fldChar w:fldCharType="begin"/>
      </w:r>
      <w:r w:rsidRPr="00666914">
        <w:rPr>
          <w:b/>
          <w:noProof/>
          <w:sz w:val="20"/>
        </w:rPr>
        <w:instrText xml:space="preserve"> SEQ Tabuľka \* ARABIC </w:instrText>
      </w:r>
      <w:r w:rsidRPr="00666914">
        <w:rPr>
          <w:b/>
          <w:noProof/>
          <w:sz w:val="20"/>
        </w:rPr>
        <w:fldChar w:fldCharType="separate"/>
      </w:r>
      <w:r w:rsidR="005A7304">
        <w:rPr>
          <w:b/>
          <w:noProof/>
          <w:sz w:val="20"/>
        </w:rPr>
        <w:t>6</w:t>
      </w:r>
      <w:r w:rsidRPr="00666914">
        <w:rPr>
          <w:b/>
          <w:noProof/>
          <w:sz w:val="20"/>
        </w:rPr>
        <w:fldChar w:fldCharType="end"/>
      </w:r>
      <w:r w:rsidRPr="00666914">
        <w:rPr>
          <w:b/>
          <w:sz w:val="20"/>
        </w:rPr>
        <w:t>: Úhrady ZP za lieky (mil. eur)</w:t>
      </w:r>
      <w:bookmarkEnd w:id="46"/>
      <w:bookmarkEnd w:id="47"/>
    </w:p>
    <w:tbl>
      <w:tblPr>
        <w:tblW w:w="9221" w:type="dxa"/>
        <w:tblInd w:w="22" w:type="dxa"/>
        <w:tblLayout w:type="fixed"/>
        <w:tblCellMar>
          <w:left w:w="70" w:type="dxa"/>
          <w:right w:w="70" w:type="dxa"/>
        </w:tblCellMar>
        <w:tblLook w:val="04A0" w:firstRow="1" w:lastRow="0" w:firstColumn="1" w:lastColumn="0" w:noHBand="0" w:noVBand="1"/>
      </w:tblPr>
      <w:tblGrid>
        <w:gridCol w:w="3061"/>
        <w:gridCol w:w="1540"/>
        <w:gridCol w:w="1540"/>
        <w:gridCol w:w="1540"/>
        <w:gridCol w:w="1540"/>
      </w:tblGrid>
      <w:tr w:rsidR="008A4FED" w:rsidRPr="00666914" w14:paraId="769357ED" w14:textId="77777777" w:rsidTr="00F64B85">
        <w:trPr>
          <w:trHeight w:val="334"/>
        </w:trPr>
        <w:tc>
          <w:tcPr>
            <w:tcW w:w="3061" w:type="dxa"/>
            <w:tcBorders>
              <w:left w:val="nil"/>
              <w:bottom w:val="single" w:sz="4" w:space="0" w:color="auto"/>
              <w:right w:val="single" w:sz="4" w:space="0" w:color="auto"/>
            </w:tcBorders>
            <w:shd w:val="clear" w:color="auto" w:fill="auto"/>
            <w:noWrap/>
            <w:vAlign w:val="bottom"/>
            <w:hideMark/>
          </w:tcPr>
          <w:bookmarkEnd w:id="48"/>
          <w:bookmarkEnd w:id="49"/>
          <w:p w14:paraId="7577E069" w14:textId="77777777" w:rsidR="008A4FED" w:rsidRPr="00666914" w:rsidRDefault="008A4FED" w:rsidP="00F64B85">
            <w:pPr>
              <w:spacing w:after="0"/>
              <w:jc w:val="left"/>
              <w:rPr>
                <w:rFonts w:eastAsia="Times New Roman" w:cs="Calibri"/>
                <w:b/>
                <w:bCs/>
                <w:sz w:val="20"/>
                <w:szCs w:val="20"/>
                <w:lang w:eastAsia="sk-SK"/>
              </w:rPr>
            </w:pPr>
            <w:r w:rsidRPr="00666914">
              <w:rPr>
                <w:rFonts w:eastAsia="Times New Roman" w:cs="Calibri"/>
                <w:b/>
                <w:bCs/>
                <w:sz w:val="20"/>
                <w:szCs w:val="20"/>
                <w:lang w:eastAsia="sk-SK"/>
              </w:rPr>
              <w:t> </w:t>
            </w:r>
          </w:p>
        </w:tc>
        <w:tc>
          <w:tcPr>
            <w:tcW w:w="1540" w:type="dxa"/>
            <w:tcBorders>
              <w:left w:val="single" w:sz="4" w:space="0" w:color="auto"/>
              <w:bottom w:val="single" w:sz="4" w:space="0" w:color="auto"/>
            </w:tcBorders>
            <w:vAlign w:val="bottom"/>
          </w:tcPr>
          <w:p w14:paraId="12E90F63" w14:textId="77777777" w:rsidR="008A4FED" w:rsidRPr="00666914" w:rsidRDefault="008A4FED" w:rsidP="00F64B85">
            <w:pPr>
              <w:spacing w:after="0"/>
              <w:jc w:val="center"/>
              <w:rPr>
                <w:rFonts w:cs="Calibri"/>
                <w:b/>
                <w:bCs/>
                <w:sz w:val="20"/>
                <w:szCs w:val="20"/>
              </w:rPr>
            </w:pPr>
            <w:r w:rsidRPr="00666914">
              <w:rPr>
                <w:rFonts w:cs="Calibri"/>
                <w:b/>
                <w:bCs/>
                <w:sz w:val="20"/>
                <w:szCs w:val="20"/>
              </w:rPr>
              <w:t>2016</w:t>
            </w:r>
          </w:p>
        </w:tc>
        <w:tc>
          <w:tcPr>
            <w:tcW w:w="1540" w:type="dxa"/>
            <w:tcBorders>
              <w:top w:val="nil"/>
              <w:left w:val="nil"/>
              <w:bottom w:val="single" w:sz="4" w:space="0" w:color="auto"/>
              <w:right w:val="nil"/>
            </w:tcBorders>
            <w:shd w:val="clear" w:color="auto" w:fill="auto"/>
            <w:noWrap/>
            <w:vAlign w:val="bottom"/>
            <w:hideMark/>
          </w:tcPr>
          <w:p w14:paraId="12000A88" w14:textId="77777777" w:rsidR="008A4FED" w:rsidRPr="00666914" w:rsidRDefault="008A4FED" w:rsidP="00F64B85">
            <w:pPr>
              <w:spacing w:after="0"/>
              <w:jc w:val="center"/>
              <w:rPr>
                <w:rFonts w:eastAsia="Times New Roman" w:cs="Calibri"/>
                <w:b/>
                <w:bCs/>
                <w:sz w:val="20"/>
                <w:szCs w:val="20"/>
                <w:highlight w:val="yellow"/>
                <w:lang w:eastAsia="sk-SK"/>
              </w:rPr>
            </w:pPr>
            <w:r w:rsidRPr="00666914">
              <w:rPr>
                <w:rFonts w:cs="Calibri"/>
                <w:b/>
                <w:bCs/>
                <w:sz w:val="20"/>
                <w:szCs w:val="20"/>
              </w:rPr>
              <w:t>2017</w:t>
            </w:r>
          </w:p>
        </w:tc>
        <w:tc>
          <w:tcPr>
            <w:tcW w:w="1540" w:type="dxa"/>
            <w:tcBorders>
              <w:top w:val="nil"/>
              <w:left w:val="nil"/>
              <w:bottom w:val="single" w:sz="4" w:space="0" w:color="auto"/>
              <w:right w:val="nil"/>
            </w:tcBorders>
            <w:shd w:val="clear" w:color="auto" w:fill="auto"/>
            <w:noWrap/>
            <w:vAlign w:val="bottom"/>
            <w:hideMark/>
          </w:tcPr>
          <w:p w14:paraId="26A0B469" w14:textId="77777777" w:rsidR="008A4FED" w:rsidRPr="00666914" w:rsidRDefault="008A4FED" w:rsidP="00F64B85">
            <w:pPr>
              <w:spacing w:after="0"/>
              <w:jc w:val="center"/>
              <w:rPr>
                <w:rFonts w:eastAsia="Times New Roman" w:cs="Calibri"/>
                <w:b/>
                <w:bCs/>
                <w:sz w:val="20"/>
                <w:szCs w:val="20"/>
                <w:highlight w:val="yellow"/>
                <w:lang w:eastAsia="sk-SK"/>
              </w:rPr>
            </w:pPr>
            <w:r w:rsidRPr="00666914">
              <w:rPr>
                <w:rFonts w:cs="Calibri"/>
                <w:b/>
                <w:bCs/>
                <w:sz w:val="20"/>
                <w:szCs w:val="20"/>
              </w:rPr>
              <w:t>2018</w:t>
            </w:r>
          </w:p>
        </w:tc>
        <w:tc>
          <w:tcPr>
            <w:tcW w:w="1540" w:type="dxa"/>
            <w:tcBorders>
              <w:top w:val="nil"/>
              <w:left w:val="nil"/>
              <w:bottom w:val="single" w:sz="4" w:space="0" w:color="auto"/>
              <w:right w:val="nil"/>
            </w:tcBorders>
            <w:shd w:val="clear" w:color="auto" w:fill="auto"/>
            <w:noWrap/>
            <w:vAlign w:val="bottom"/>
            <w:hideMark/>
          </w:tcPr>
          <w:p w14:paraId="7E35F20A" w14:textId="77777777" w:rsidR="008A4FED" w:rsidRPr="00666914" w:rsidRDefault="008A4FED" w:rsidP="00F64B85">
            <w:pPr>
              <w:spacing w:after="0"/>
              <w:jc w:val="center"/>
              <w:rPr>
                <w:rFonts w:eastAsia="Times New Roman" w:cs="Calibri"/>
                <w:b/>
                <w:bCs/>
                <w:sz w:val="20"/>
                <w:szCs w:val="20"/>
                <w:highlight w:val="yellow"/>
                <w:lang w:eastAsia="sk-SK"/>
              </w:rPr>
            </w:pPr>
            <w:r w:rsidRPr="00666914">
              <w:rPr>
                <w:rFonts w:cs="Calibri"/>
                <w:b/>
                <w:bCs/>
                <w:sz w:val="20"/>
                <w:szCs w:val="20"/>
              </w:rPr>
              <w:t>2019</w:t>
            </w:r>
          </w:p>
        </w:tc>
      </w:tr>
      <w:tr w:rsidR="008A4FED" w:rsidRPr="00666914" w14:paraId="05328FE2" w14:textId="77777777" w:rsidTr="00F64B85">
        <w:trPr>
          <w:trHeight w:val="334"/>
        </w:trPr>
        <w:tc>
          <w:tcPr>
            <w:tcW w:w="3061" w:type="dxa"/>
            <w:tcBorders>
              <w:top w:val="single" w:sz="4" w:space="0" w:color="auto"/>
              <w:left w:val="nil"/>
              <w:right w:val="single" w:sz="4" w:space="0" w:color="auto"/>
            </w:tcBorders>
            <w:shd w:val="clear" w:color="auto" w:fill="auto"/>
            <w:noWrap/>
            <w:vAlign w:val="bottom"/>
          </w:tcPr>
          <w:p w14:paraId="0DA10754" w14:textId="77777777" w:rsidR="008A4FED" w:rsidRPr="00666914" w:rsidRDefault="008A4FED" w:rsidP="00F64B85">
            <w:pPr>
              <w:spacing w:after="0"/>
              <w:jc w:val="left"/>
              <w:rPr>
                <w:rFonts w:eastAsia="Times New Roman" w:cs="Calibri"/>
                <w:b/>
                <w:bCs/>
                <w:sz w:val="20"/>
                <w:szCs w:val="20"/>
                <w:lang w:eastAsia="sk-SK"/>
              </w:rPr>
            </w:pPr>
            <w:r w:rsidRPr="00666914">
              <w:rPr>
                <w:rFonts w:eastAsia="Times New Roman" w:cs="Calibri"/>
                <w:b/>
                <w:bCs/>
                <w:sz w:val="20"/>
                <w:szCs w:val="20"/>
                <w:lang w:eastAsia="sk-SK"/>
              </w:rPr>
              <w:t>Celková úhrada poisťovní za lieky</w:t>
            </w:r>
          </w:p>
        </w:tc>
        <w:tc>
          <w:tcPr>
            <w:tcW w:w="1540" w:type="dxa"/>
            <w:tcBorders>
              <w:top w:val="single" w:sz="4" w:space="0" w:color="auto"/>
              <w:left w:val="nil"/>
              <w:right w:val="nil"/>
            </w:tcBorders>
            <w:vAlign w:val="bottom"/>
          </w:tcPr>
          <w:p w14:paraId="75A2C81A" w14:textId="77777777" w:rsidR="008A4FED" w:rsidRPr="00666914" w:rsidRDefault="008A4FED" w:rsidP="00F64B85">
            <w:pPr>
              <w:spacing w:after="0"/>
              <w:jc w:val="center"/>
              <w:rPr>
                <w:rFonts w:cs="Calibri"/>
                <w:color w:val="000000"/>
                <w:sz w:val="20"/>
                <w:szCs w:val="20"/>
              </w:rPr>
            </w:pPr>
            <w:r w:rsidRPr="00666914">
              <w:rPr>
                <w:rFonts w:cs="Calibri"/>
                <w:color w:val="000000"/>
                <w:sz w:val="20"/>
                <w:szCs w:val="20"/>
              </w:rPr>
              <w:t>1 121,9</w:t>
            </w:r>
          </w:p>
        </w:tc>
        <w:tc>
          <w:tcPr>
            <w:tcW w:w="1540" w:type="dxa"/>
            <w:tcBorders>
              <w:top w:val="single" w:sz="4" w:space="0" w:color="auto"/>
              <w:left w:val="nil"/>
              <w:right w:val="nil"/>
            </w:tcBorders>
            <w:shd w:val="clear" w:color="auto" w:fill="auto"/>
            <w:noWrap/>
            <w:vAlign w:val="bottom"/>
          </w:tcPr>
          <w:p w14:paraId="00E37C32" w14:textId="77777777" w:rsidR="008A4FED" w:rsidRPr="00666914" w:rsidRDefault="008A4FED" w:rsidP="00F64B85">
            <w:pPr>
              <w:spacing w:after="0"/>
              <w:jc w:val="center"/>
              <w:rPr>
                <w:rFonts w:eastAsia="Times New Roman" w:cs="Calibri"/>
                <w:bCs/>
                <w:sz w:val="20"/>
                <w:szCs w:val="20"/>
                <w:highlight w:val="yellow"/>
                <w:lang w:eastAsia="sk-SK"/>
              </w:rPr>
            </w:pPr>
            <w:r w:rsidRPr="00666914">
              <w:rPr>
                <w:rFonts w:cs="Calibri"/>
                <w:color w:val="000000"/>
                <w:sz w:val="20"/>
                <w:szCs w:val="20"/>
              </w:rPr>
              <w:t>1 114,6</w:t>
            </w:r>
          </w:p>
        </w:tc>
        <w:tc>
          <w:tcPr>
            <w:tcW w:w="1540" w:type="dxa"/>
            <w:tcBorders>
              <w:top w:val="single" w:sz="4" w:space="0" w:color="auto"/>
              <w:left w:val="nil"/>
              <w:right w:val="nil"/>
            </w:tcBorders>
            <w:shd w:val="clear" w:color="auto" w:fill="auto"/>
            <w:noWrap/>
            <w:vAlign w:val="bottom"/>
          </w:tcPr>
          <w:p w14:paraId="32202943" w14:textId="77777777" w:rsidR="008A4FED" w:rsidRPr="00666914" w:rsidRDefault="008A4FED" w:rsidP="00F64B85">
            <w:pPr>
              <w:spacing w:after="0"/>
              <w:jc w:val="center"/>
              <w:rPr>
                <w:rFonts w:eastAsia="Times New Roman" w:cs="Calibri"/>
                <w:bCs/>
                <w:sz w:val="20"/>
                <w:szCs w:val="20"/>
                <w:highlight w:val="yellow"/>
                <w:lang w:eastAsia="sk-SK"/>
              </w:rPr>
            </w:pPr>
            <w:r w:rsidRPr="00666914">
              <w:rPr>
                <w:rFonts w:cs="Calibri"/>
                <w:color w:val="000000"/>
                <w:sz w:val="20"/>
                <w:szCs w:val="20"/>
              </w:rPr>
              <w:t>1 139,0</w:t>
            </w:r>
          </w:p>
        </w:tc>
        <w:tc>
          <w:tcPr>
            <w:tcW w:w="1540" w:type="dxa"/>
            <w:tcBorders>
              <w:top w:val="single" w:sz="4" w:space="0" w:color="auto"/>
              <w:left w:val="nil"/>
              <w:right w:val="nil"/>
            </w:tcBorders>
            <w:shd w:val="clear" w:color="auto" w:fill="auto"/>
            <w:noWrap/>
            <w:vAlign w:val="bottom"/>
          </w:tcPr>
          <w:p w14:paraId="16DBB16E" w14:textId="77777777" w:rsidR="008A4FED" w:rsidRPr="00666914" w:rsidRDefault="008A4FED" w:rsidP="00F64B85">
            <w:pPr>
              <w:spacing w:after="0"/>
              <w:jc w:val="center"/>
              <w:rPr>
                <w:rFonts w:eastAsia="Times New Roman" w:cs="Calibri"/>
                <w:bCs/>
                <w:sz w:val="20"/>
                <w:szCs w:val="20"/>
                <w:highlight w:val="yellow"/>
                <w:lang w:eastAsia="sk-SK"/>
              </w:rPr>
            </w:pPr>
            <w:r w:rsidRPr="00666914">
              <w:rPr>
                <w:rFonts w:cs="Calibri"/>
                <w:color w:val="000000"/>
                <w:sz w:val="20"/>
                <w:szCs w:val="20"/>
              </w:rPr>
              <w:t>1 178,3</w:t>
            </w:r>
          </w:p>
        </w:tc>
      </w:tr>
      <w:tr w:rsidR="008A4FED" w:rsidRPr="00666914" w14:paraId="23AF56BE" w14:textId="77777777" w:rsidTr="00F64B85">
        <w:trPr>
          <w:trHeight w:val="334"/>
        </w:trPr>
        <w:tc>
          <w:tcPr>
            <w:tcW w:w="3061" w:type="dxa"/>
            <w:tcBorders>
              <w:left w:val="nil"/>
              <w:bottom w:val="single" w:sz="4" w:space="0" w:color="auto"/>
              <w:right w:val="single" w:sz="4" w:space="0" w:color="auto"/>
            </w:tcBorders>
            <w:shd w:val="clear" w:color="auto" w:fill="auto"/>
            <w:noWrap/>
            <w:vAlign w:val="bottom"/>
          </w:tcPr>
          <w:p w14:paraId="7FC694CC" w14:textId="77777777" w:rsidR="008A4FED" w:rsidRPr="00666914" w:rsidRDefault="008A4FED" w:rsidP="00F64B85">
            <w:pPr>
              <w:spacing w:after="0"/>
              <w:jc w:val="left"/>
              <w:rPr>
                <w:rFonts w:eastAsia="Times New Roman" w:cs="Calibri"/>
                <w:b/>
                <w:bCs/>
                <w:sz w:val="20"/>
                <w:szCs w:val="20"/>
                <w:lang w:eastAsia="sk-SK"/>
              </w:rPr>
            </w:pPr>
            <w:r w:rsidRPr="00666914">
              <w:rPr>
                <w:rFonts w:eastAsia="Times New Roman" w:cs="Calibri"/>
                <w:b/>
                <w:bCs/>
                <w:sz w:val="20"/>
                <w:szCs w:val="20"/>
                <w:lang w:eastAsia="sk-SK"/>
              </w:rPr>
              <w:t>Medziročná zmena</w:t>
            </w:r>
          </w:p>
        </w:tc>
        <w:tc>
          <w:tcPr>
            <w:tcW w:w="1540" w:type="dxa"/>
            <w:tcBorders>
              <w:left w:val="nil"/>
              <w:bottom w:val="single" w:sz="4" w:space="0" w:color="auto"/>
              <w:right w:val="nil"/>
            </w:tcBorders>
            <w:vAlign w:val="bottom"/>
          </w:tcPr>
          <w:p w14:paraId="00474771" w14:textId="77777777" w:rsidR="008A4FED" w:rsidRPr="00666914" w:rsidRDefault="008A4FED" w:rsidP="00F64B85">
            <w:pPr>
              <w:spacing w:after="0"/>
              <w:jc w:val="center"/>
              <w:rPr>
                <w:rFonts w:cs="Calibri"/>
                <w:sz w:val="20"/>
                <w:szCs w:val="20"/>
              </w:rPr>
            </w:pPr>
            <w:r w:rsidRPr="00666914">
              <w:rPr>
                <w:rFonts w:cs="Calibri"/>
                <w:sz w:val="20"/>
                <w:szCs w:val="20"/>
              </w:rPr>
              <w:t>-</w:t>
            </w:r>
          </w:p>
        </w:tc>
        <w:tc>
          <w:tcPr>
            <w:tcW w:w="1540" w:type="dxa"/>
            <w:tcBorders>
              <w:left w:val="nil"/>
              <w:bottom w:val="single" w:sz="4" w:space="0" w:color="auto"/>
              <w:right w:val="nil"/>
            </w:tcBorders>
            <w:shd w:val="clear" w:color="auto" w:fill="auto"/>
            <w:noWrap/>
            <w:vAlign w:val="bottom"/>
          </w:tcPr>
          <w:p w14:paraId="498C7685" w14:textId="77777777" w:rsidR="008A4FED" w:rsidRPr="00666914" w:rsidRDefault="008A4FED" w:rsidP="00F64B85">
            <w:pPr>
              <w:spacing w:after="0"/>
              <w:jc w:val="center"/>
              <w:rPr>
                <w:rFonts w:eastAsia="Times New Roman" w:cs="Calibri"/>
                <w:b/>
                <w:bCs/>
                <w:sz w:val="20"/>
                <w:szCs w:val="20"/>
                <w:highlight w:val="yellow"/>
                <w:lang w:eastAsia="sk-SK"/>
              </w:rPr>
            </w:pPr>
            <w:r w:rsidRPr="00666914">
              <w:rPr>
                <w:rFonts w:cs="Calibri"/>
                <w:sz w:val="20"/>
                <w:szCs w:val="20"/>
              </w:rPr>
              <w:t>-1%</w:t>
            </w:r>
          </w:p>
        </w:tc>
        <w:tc>
          <w:tcPr>
            <w:tcW w:w="1540" w:type="dxa"/>
            <w:tcBorders>
              <w:left w:val="nil"/>
              <w:bottom w:val="single" w:sz="4" w:space="0" w:color="auto"/>
              <w:right w:val="nil"/>
            </w:tcBorders>
            <w:shd w:val="clear" w:color="auto" w:fill="auto"/>
            <w:noWrap/>
            <w:vAlign w:val="bottom"/>
          </w:tcPr>
          <w:p w14:paraId="2CAB9633" w14:textId="77777777" w:rsidR="008A4FED" w:rsidRPr="00666914" w:rsidRDefault="008A4FED" w:rsidP="00F64B85">
            <w:pPr>
              <w:spacing w:after="0"/>
              <w:jc w:val="center"/>
              <w:rPr>
                <w:rFonts w:eastAsia="Times New Roman" w:cs="Calibri"/>
                <w:b/>
                <w:bCs/>
                <w:sz w:val="20"/>
                <w:szCs w:val="20"/>
                <w:highlight w:val="yellow"/>
                <w:lang w:eastAsia="sk-SK"/>
              </w:rPr>
            </w:pPr>
            <w:r w:rsidRPr="00666914">
              <w:rPr>
                <w:rFonts w:cs="Calibri"/>
                <w:sz w:val="20"/>
                <w:szCs w:val="20"/>
              </w:rPr>
              <w:t>2%</w:t>
            </w:r>
          </w:p>
        </w:tc>
        <w:tc>
          <w:tcPr>
            <w:tcW w:w="1540" w:type="dxa"/>
            <w:tcBorders>
              <w:left w:val="nil"/>
              <w:bottom w:val="single" w:sz="4" w:space="0" w:color="auto"/>
              <w:right w:val="nil"/>
            </w:tcBorders>
            <w:shd w:val="clear" w:color="auto" w:fill="auto"/>
            <w:noWrap/>
            <w:vAlign w:val="bottom"/>
          </w:tcPr>
          <w:p w14:paraId="4DADE823" w14:textId="77777777" w:rsidR="008A4FED" w:rsidRPr="00666914" w:rsidRDefault="008A4FED" w:rsidP="00F64B85">
            <w:pPr>
              <w:spacing w:after="0"/>
              <w:jc w:val="center"/>
              <w:rPr>
                <w:rFonts w:eastAsia="Times New Roman" w:cs="Calibri"/>
                <w:b/>
                <w:bCs/>
                <w:sz w:val="20"/>
                <w:szCs w:val="20"/>
                <w:highlight w:val="yellow"/>
                <w:lang w:eastAsia="sk-SK"/>
              </w:rPr>
            </w:pPr>
            <w:r w:rsidRPr="00666914">
              <w:rPr>
                <w:rFonts w:cs="Calibri"/>
                <w:sz w:val="20"/>
                <w:szCs w:val="20"/>
              </w:rPr>
              <w:t>3%</w:t>
            </w:r>
          </w:p>
        </w:tc>
      </w:tr>
      <w:tr w:rsidR="008A4FED" w:rsidRPr="00666914" w14:paraId="7C8E81E0" w14:textId="77777777" w:rsidTr="00F64B85">
        <w:trPr>
          <w:trHeight w:val="334"/>
        </w:trPr>
        <w:tc>
          <w:tcPr>
            <w:tcW w:w="3061" w:type="dxa"/>
            <w:tcBorders>
              <w:top w:val="nil"/>
              <w:left w:val="nil"/>
              <w:right w:val="single" w:sz="4" w:space="0" w:color="auto"/>
            </w:tcBorders>
            <w:shd w:val="clear" w:color="auto" w:fill="auto"/>
            <w:noWrap/>
            <w:vAlign w:val="bottom"/>
            <w:hideMark/>
          </w:tcPr>
          <w:p w14:paraId="189F6A34" w14:textId="77777777" w:rsidR="008A4FED" w:rsidRPr="00666914" w:rsidRDefault="008A4FED" w:rsidP="00F64B85">
            <w:pPr>
              <w:spacing w:after="0"/>
              <w:jc w:val="left"/>
              <w:rPr>
                <w:rFonts w:eastAsia="Times New Roman" w:cs="Calibri"/>
                <w:b/>
                <w:bCs/>
                <w:sz w:val="20"/>
                <w:szCs w:val="20"/>
                <w:lang w:eastAsia="sk-SK"/>
              </w:rPr>
            </w:pPr>
            <w:r w:rsidRPr="00666914">
              <w:rPr>
                <w:rFonts w:eastAsia="Times New Roman" w:cs="Calibri"/>
                <w:b/>
                <w:bCs/>
                <w:sz w:val="20"/>
                <w:szCs w:val="20"/>
                <w:lang w:eastAsia="sk-SK"/>
              </w:rPr>
              <w:t>Úhrady poisťovní za lieky na recept</w:t>
            </w:r>
          </w:p>
        </w:tc>
        <w:tc>
          <w:tcPr>
            <w:tcW w:w="1540" w:type="dxa"/>
            <w:tcBorders>
              <w:top w:val="nil"/>
              <w:left w:val="nil"/>
              <w:right w:val="nil"/>
            </w:tcBorders>
            <w:vAlign w:val="bottom"/>
          </w:tcPr>
          <w:p w14:paraId="36BA02B1" w14:textId="77777777" w:rsidR="008A4FED" w:rsidRPr="00666914" w:rsidRDefault="008A4FED" w:rsidP="00F64B85">
            <w:pPr>
              <w:spacing w:after="0"/>
              <w:jc w:val="center"/>
              <w:rPr>
                <w:rFonts w:cs="Calibri"/>
                <w:sz w:val="20"/>
                <w:szCs w:val="20"/>
              </w:rPr>
            </w:pPr>
            <w:r w:rsidRPr="00666914">
              <w:rPr>
                <w:rFonts w:cs="Calibri"/>
                <w:color w:val="000000"/>
                <w:sz w:val="20"/>
                <w:szCs w:val="20"/>
              </w:rPr>
              <w:t>913,5</w:t>
            </w:r>
          </w:p>
        </w:tc>
        <w:tc>
          <w:tcPr>
            <w:tcW w:w="1540" w:type="dxa"/>
            <w:tcBorders>
              <w:top w:val="nil"/>
              <w:left w:val="nil"/>
              <w:right w:val="nil"/>
            </w:tcBorders>
            <w:shd w:val="clear" w:color="auto" w:fill="auto"/>
            <w:noWrap/>
            <w:vAlign w:val="bottom"/>
          </w:tcPr>
          <w:p w14:paraId="190603D0"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color w:val="000000"/>
                <w:sz w:val="20"/>
                <w:szCs w:val="20"/>
              </w:rPr>
              <w:t>891,5</w:t>
            </w:r>
          </w:p>
        </w:tc>
        <w:tc>
          <w:tcPr>
            <w:tcW w:w="1540" w:type="dxa"/>
            <w:tcBorders>
              <w:top w:val="nil"/>
              <w:left w:val="nil"/>
              <w:right w:val="nil"/>
            </w:tcBorders>
            <w:shd w:val="clear" w:color="auto" w:fill="auto"/>
            <w:noWrap/>
            <w:vAlign w:val="bottom"/>
          </w:tcPr>
          <w:p w14:paraId="16CD0F4B"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color w:val="000000"/>
                <w:sz w:val="20"/>
                <w:szCs w:val="20"/>
              </w:rPr>
              <w:t>883,9</w:t>
            </w:r>
          </w:p>
        </w:tc>
        <w:tc>
          <w:tcPr>
            <w:tcW w:w="1540" w:type="dxa"/>
            <w:tcBorders>
              <w:top w:val="nil"/>
              <w:left w:val="nil"/>
              <w:right w:val="nil"/>
            </w:tcBorders>
            <w:shd w:val="clear" w:color="auto" w:fill="auto"/>
            <w:noWrap/>
            <w:vAlign w:val="bottom"/>
          </w:tcPr>
          <w:p w14:paraId="53D063B9"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color w:val="000000"/>
                <w:sz w:val="20"/>
                <w:szCs w:val="20"/>
              </w:rPr>
              <w:t>893,3</w:t>
            </w:r>
          </w:p>
        </w:tc>
      </w:tr>
      <w:tr w:rsidR="008A4FED" w:rsidRPr="00666914" w14:paraId="4B604662" w14:textId="77777777" w:rsidTr="00F64B85">
        <w:trPr>
          <w:trHeight w:val="334"/>
        </w:trPr>
        <w:tc>
          <w:tcPr>
            <w:tcW w:w="3061" w:type="dxa"/>
            <w:tcBorders>
              <w:top w:val="nil"/>
              <w:left w:val="nil"/>
              <w:bottom w:val="single" w:sz="4" w:space="0" w:color="auto"/>
              <w:right w:val="single" w:sz="4" w:space="0" w:color="auto"/>
            </w:tcBorders>
            <w:shd w:val="clear" w:color="auto" w:fill="auto"/>
            <w:noWrap/>
            <w:vAlign w:val="bottom"/>
            <w:hideMark/>
          </w:tcPr>
          <w:p w14:paraId="02196E22" w14:textId="77777777" w:rsidR="008A4FED" w:rsidRPr="00666914" w:rsidRDefault="008A4FED" w:rsidP="00F64B85">
            <w:pPr>
              <w:spacing w:after="0"/>
              <w:jc w:val="left"/>
              <w:rPr>
                <w:rFonts w:eastAsia="Times New Roman" w:cs="Calibri"/>
                <w:b/>
                <w:bCs/>
                <w:sz w:val="20"/>
                <w:szCs w:val="20"/>
                <w:lang w:eastAsia="sk-SK"/>
              </w:rPr>
            </w:pPr>
            <w:r w:rsidRPr="00666914">
              <w:rPr>
                <w:rFonts w:eastAsia="Times New Roman" w:cs="Calibri"/>
                <w:b/>
                <w:bCs/>
                <w:sz w:val="20"/>
                <w:szCs w:val="20"/>
                <w:lang w:eastAsia="sk-SK"/>
              </w:rPr>
              <w:t>Medziročná zmena</w:t>
            </w:r>
          </w:p>
        </w:tc>
        <w:tc>
          <w:tcPr>
            <w:tcW w:w="1540" w:type="dxa"/>
            <w:tcBorders>
              <w:top w:val="nil"/>
              <w:left w:val="nil"/>
              <w:bottom w:val="single" w:sz="4" w:space="0" w:color="auto"/>
              <w:right w:val="nil"/>
            </w:tcBorders>
            <w:vAlign w:val="bottom"/>
          </w:tcPr>
          <w:p w14:paraId="24A2B64A" w14:textId="77777777" w:rsidR="008A4FED" w:rsidRPr="00666914" w:rsidRDefault="008A4FED" w:rsidP="00F64B85">
            <w:pPr>
              <w:spacing w:after="0"/>
              <w:jc w:val="center"/>
              <w:rPr>
                <w:rFonts w:cs="Calibri"/>
                <w:sz w:val="20"/>
                <w:szCs w:val="20"/>
              </w:rPr>
            </w:pPr>
            <w:r w:rsidRPr="00666914">
              <w:rPr>
                <w:rFonts w:cs="Calibri"/>
                <w:sz w:val="20"/>
                <w:szCs w:val="20"/>
              </w:rPr>
              <w:t>-</w:t>
            </w:r>
          </w:p>
        </w:tc>
        <w:tc>
          <w:tcPr>
            <w:tcW w:w="1540" w:type="dxa"/>
            <w:tcBorders>
              <w:top w:val="nil"/>
              <w:left w:val="nil"/>
              <w:bottom w:val="single" w:sz="4" w:space="0" w:color="auto"/>
              <w:right w:val="nil"/>
            </w:tcBorders>
            <w:shd w:val="clear" w:color="auto" w:fill="auto"/>
            <w:noWrap/>
            <w:vAlign w:val="bottom"/>
          </w:tcPr>
          <w:p w14:paraId="1138079C"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sz w:val="20"/>
                <w:szCs w:val="20"/>
              </w:rPr>
              <w:t>-2%</w:t>
            </w:r>
          </w:p>
        </w:tc>
        <w:tc>
          <w:tcPr>
            <w:tcW w:w="1540" w:type="dxa"/>
            <w:tcBorders>
              <w:top w:val="nil"/>
              <w:left w:val="nil"/>
              <w:bottom w:val="single" w:sz="4" w:space="0" w:color="auto"/>
              <w:right w:val="nil"/>
            </w:tcBorders>
            <w:shd w:val="clear" w:color="auto" w:fill="auto"/>
            <w:noWrap/>
            <w:vAlign w:val="bottom"/>
          </w:tcPr>
          <w:p w14:paraId="2D88A42B"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sz w:val="20"/>
                <w:szCs w:val="20"/>
              </w:rPr>
              <w:t>-1%</w:t>
            </w:r>
          </w:p>
        </w:tc>
        <w:tc>
          <w:tcPr>
            <w:tcW w:w="1540" w:type="dxa"/>
            <w:tcBorders>
              <w:top w:val="nil"/>
              <w:left w:val="nil"/>
              <w:bottom w:val="single" w:sz="4" w:space="0" w:color="auto"/>
              <w:right w:val="nil"/>
            </w:tcBorders>
            <w:shd w:val="clear" w:color="auto" w:fill="auto"/>
            <w:noWrap/>
            <w:vAlign w:val="bottom"/>
          </w:tcPr>
          <w:p w14:paraId="6E0EDDCF"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sz w:val="20"/>
                <w:szCs w:val="20"/>
              </w:rPr>
              <w:t>1%</w:t>
            </w:r>
          </w:p>
        </w:tc>
      </w:tr>
      <w:tr w:rsidR="008A4FED" w:rsidRPr="00666914" w14:paraId="25C50FC7" w14:textId="77777777" w:rsidTr="00F64B85">
        <w:trPr>
          <w:trHeight w:val="334"/>
        </w:trPr>
        <w:tc>
          <w:tcPr>
            <w:tcW w:w="3061" w:type="dxa"/>
            <w:tcBorders>
              <w:top w:val="single" w:sz="4" w:space="0" w:color="auto"/>
              <w:left w:val="nil"/>
              <w:bottom w:val="nil"/>
              <w:right w:val="single" w:sz="4" w:space="0" w:color="auto"/>
            </w:tcBorders>
            <w:shd w:val="clear" w:color="auto" w:fill="auto"/>
            <w:noWrap/>
            <w:vAlign w:val="bottom"/>
          </w:tcPr>
          <w:p w14:paraId="477904ED" w14:textId="77777777" w:rsidR="008A4FED" w:rsidRPr="00666914" w:rsidRDefault="008A4FED" w:rsidP="00F64B85">
            <w:pPr>
              <w:spacing w:after="0"/>
              <w:jc w:val="left"/>
              <w:rPr>
                <w:rFonts w:eastAsia="Times New Roman" w:cs="Calibri"/>
                <w:b/>
                <w:bCs/>
                <w:sz w:val="20"/>
                <w:szCs w:val="20"/>
                <w:lang w:eastAsia="sk-SK"/>
              </w:rPr>
            </w:pPr>
            <w:r w:rsidRPr="00666914">
              <w:rPr>
                <w:rFonts w:eastAsia="Times New Roman" w:cs="Calibri"/>
                <w:b/>
                <w:bCs/>
                <w:sz w:val="20"/>
                <w:szCs w:val="20"/>
                <w:lang w:eastAsia="sk-SK"/>
              </w:rPr>
              <w:t>Úhrady poisťovní za CN lieky</w:t>
            </w:r>
          </w:p>
        </w:tc>
        <w:tc>
          <w:tcPr>
            <w:tcW w:w="1540" w:type="dxa"/>
            <w:tcBorders>
              <w:top w:val="single" w:sz="4" w:space="0" w:color="auto"/>
              <w:left w:val="nil"/>
              <w:bottom w:val="nil"/>
              <w:right w:val="nil"/>
            </w:tcBorders>
            <w:vAlign w:val="bottom"/>
          </w:tcPr>
          <w:p w14:paraId="08BEE473" w14:textId="77777777" w:rsidR="008A4FED" w:rsidRPr="00666914" w:rsidRDefault="008A4FED" w:rsidP="00F64B85">
            <w:pPr>
              <w:spacing w:after="0"/>
              <w:jc w:val="center"/>
              <w:rPr>
                <w:rFonts w:cs="Calibri"/>
                <w:color w:val="000000"/>
                <w:sz w:val="20"/>
                <w:szCs w:val="20"/>
              </w:rPr>
            </w:pPr>
            <w:r w:rsidRPr="00666914">
              <w:rPr>
                <w:rFonts w:cs="Calibri"/>
                <w:color w:val="000000"/>
                <w:sz w:val="20"/>
                <w:szCs w:val="20"/>
              </w:rPr>
              <w:t>124,4</w:t>
            </w:r>
          </w:p>
        </w:tc>
        <w:tc>
          <w:tcPr>
            <w:tcW w:w="1540" w:type="dxa"/>
            <w:tcBorders>
              <w:top w:val="single" w:sz="4" w:space="0" w:color="auto"/>
              <w:left w:val="nil"/>
              <w:bottom w:val="nil"/>
              <w:right w:val="nil"/>
            </w:tcBorders>
            <w:shd w:val="clear" w:color="auto" w:fill="auto"/>
            <w:noWrap/>
            <w:vAlign w:val="bottom"/>
          </w:tcPr>
          <w:p w14:paraId="1E4EB5EB"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color w:val="000000"/>
                <w:sz w:val="20"/>
                <w:szCs w:val="20"/>
              </w:rPr>
              <w:t>144,3</w:t>
            </w:r>
          </w:p>
        </w:tc>
        <w:tc>
          <w:tcPr>
            <w:tcW w:w="1540" w:type="dxa"/>
            <w:tcBorders>
              <w:top w:val="single" w:sz="4" w:space="0" w:color="auto"/>
              <w:left w:val="nil"/>
              <w:bottom w:val="nil"/>
              <w:right w:val="nil"/>
            </w:tcBorders>
            <w:shd w:val="clear" w:color="auto" w:fill="auto"/>
            <w:noWrap/>
            <w:vAlign w:val="bottom"/>
          </w:tcPr>
          <w:p w14:paraId="4CA5BD4E"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color w:val="000000"/>
                <w:sz w:val="20"/>
                <w:szCs w:val="20"/>
              </w:rPr>
              <w:t>156,0</w:t>
            </w:r>
          </w:p>
        </w:tc>
        <w:tc>
          <w:tcPr>
            <w:tcW w:w="1540" w:type="dxa"/>
            <w:tcBorders>
              <w:top w:val="single" w:sz="4" w:space="0" w:color="auto"/>
              <w:left w:val="nil"/>
              <w:bottom w:val="nil"/>
              <w:right w:val="nil"/>
            </w:tcBorders>
            <w:shd w:val="clear" w:color="auto" w:fill="auto"/>
            <w:noWrap/>
            <w:vAlign w:val="bottom"/>
          </w:tcPr>
          <w:p w14:paraId="0D5C3760"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color w:val="000000"/>
                <w:sz w:val="20"/>
                <w:szCs w:val="20"/>
              </w:rPr>
              <w:t>134,2</w:t>
            </w:r>
          </w:p>
        </w:tc>
      </w:tr>
      <w:tr w:rsidR="008A4FED" w:rsidRPr="00666914" w14:paraId="1D3916DE" w14:textId="77777777" w:rsidTr="00F64B85">
        <w:trPr>
          <w:trHeight w:val="334"/>
        </w:trPr>
        <w:tc>
          <w:tcPr>
            <w:tcW w:w="3061" w:type="dxa"/>
            <w:tcBorders>
              <w:top w:val="nil"/>
              <w:left w:val="nil"/>
              <w:bottom w:val="single" w:sz="4" w:space="0" w:color="auto"/>
              <w:right w:val="single" w:sz="4" w:space="0" w:color="auto"/>
            </w:tcBorders>
            <w:shd w:val="clear" w:color="auto" w:fill="auto"/>
            <w:noWrap/>
            <w:vAlign w:val="bottom"/>
          </w:tcPr>
          <w:p w14:paraId="13FB1E16" w14:textId="77777777" w:rsidR="008A4FED" w:rsidRPr="00666914" w:rsidRDefault="008A4FED" w:rsidP="00F64B85">
            <w:pPr>
              <w:spacing w:after="0"/>
              <w:jc w:val="left"/>
              <w:rPr>
                <w:rFonts w:eastAsia="Times New Roman" w:cs="Calibri"/>
                <w:b/>
                <w:bCs/>
                <w:sz w:val="20"/>
                <w:szCs w:val="20"/>
                <w:lang w:eastAsia="sk-SK"/>
              </w:rPr>
            </w:pPr>
            <w:r w:rsidRPr="00666914">
              <w:rPr>
                <w:rFonts w:eastAsia="Times New Roman" w:cs="Calibri"/>
                <w:b/>
                <w:bCs/>
                <w:sz w:val="20"/>
                <w:szCs w:val="20"/>
                <w:lang w:eastAsia="sk-SK"/>
              </w:rPr>
              <w:t>Medziročná zmena</w:t>
            </w:r>
          </w:p>
        </w:tc>
        <w:tc>
          <w:tcPr>
            <w:tcW w:w="1540" w:type="dxa"/>
            <w:tcBorders>
              <w:top w:val="nil"/>
              <w:left w:val="nil"/>
              <w:bottom w:val="single" w:sz="4" w:space="0" w:color="auto"/>
              <w:right w:val="nil"/>
            </w:tcBorders>
            <w:vAlign w:val="bottom"/>
          </w:tcPr>
          <w:p w14:paraId="23BDEED6" w14:textId="77777777" w:rsidR="008A4FED" w:rsidRPr="00666914" w:rsidRDefault="008A4FED" w:rsidP="00F64B85">
            <w:pPr>
              <w:spacing w:after="0"/>
              <w:jc w:val="center"/>
              <w:rPr>
                <w:rFonts w:cs="Calibri"/>
                <w:color w:val="000000"/>
                <w:sz w:val="20"/>
                <w:szCs w:val="20"/>
              </w:rPr>
            </w:pPr>
            <w:r w:rsidRPr="00666914">
              <w:rPr>
                <w:rFonts w:cs="Calibri"/>
                <w:color w:val="000000"/>
                <w:sz w:val="20"/>
                <w:szCs w:val="20"/>
              </w:rPr>
              <w:t>-</w:t>
            </w:r>
          </w:p>
        </w:tc>
        <w:tc>
          <w:tcPr>
            <w:tcW w:w="1540" w:type="dxa"/>
            <w:tcBorders>
              <w:top w:val="nil"/>
              <w:left w:val="nil"/>
              <w:bottom w:val="single" w:sz="4" w:space="0" w:color="auto"/>
              <w:right w:val="nil"/>
            </w:tcBorders>
            <w:shd w:val="clear" w:color="auto" w:fill="auto"/>
            <w:noWrap/>
            <w:vAlign w:val="bottom"/>
          </w:tcPr>
          <w:p w14:paraId="48804E1A"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color w:val="000000"/>
                <w:sz w:val="20"/>
                <w:szCs w:val="20"/>
              </w:rPr>
              <w:t>16%</w:t>
            </w:r>
          </w:p>
        </w:tc>
        <w:tc>
          <w:tcPr>
            <w:tcW w:w="1540" w:type="dxa"/>
            <w:tcBorders>
              <w:top w:val="nil"/>
              <w:left w:val="nil"/>
              <w:bottom w:val="single" w:sz="4" w:space="0" w:color="auto"/>
              <w:right w:val="nil"/>
            </w:tcBorders>
            <w:shd w:val="clear" w:color="auto" w:fill="auto"/>
            <w:noWrap/>
            <w:vAlign w:val="bottom"/>
          </w:tcPr>
          <w:p w14:paraId="7D41046C"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color w:val="000000"/>
                <w:sz w:val="20"/>
                <w:szCs w:val="20"/>
              </w:rPr>
              <w:t>8%</w:t>
            </w:r>
          </w:p>
        </w:tc>
        <w:tc>
          <w:tcPr>
            <w:tcW w:w="1540" w:type="dxa"/>
            <w:tcBorders>
              <w:top w:val="nil"/>
              <w:left w:val="nil"/>
              <w:bottom w:val="single" w:sz="4" w:space="0" w:color="auto"/>
              <w:right w:val="nil"/>
            </w:tcBorders>
            <w:shd w:val="clear" w:color="auto" w:fill="auto"/>
            <w:noWrap/>
            <w:vAlign w:val="bottom"/>
          </w:tcPr>
          <w:p w14:paraId="4253A04A"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color w:val="000000"/>
                <w:sz w:val="20"/>
                <w:szCs w:val="20"/>
              </w:rPr>
              <w:t>-14%</w:t>
            </w:r>
          </w:p>
        </w:tc>
      </w:tr>
    </w:tbl>
    <w:p w14:paraId="322F1046" w14:textId="77777777" w:rsidR="008A4FED" w:rsidRPr="00666914" w:rsidRDefault="008A4FED" w:rsidP="004D30E9">
      <w:pPr>
        <w:ind w:firstLine="5387"/>
        <w:jc w:val="right"/>
        <w:rPr>
          <w:i/>
        </w:rPr>
      </w:pPr>
      <w:r w:rsidRPr="00666914">
        <w:rPr>
          <w:i/>
          <w:sz w:val="18"/>
        </w:rPr>
        <w:t>Zdroj: ZP, MZ SR, spracovanie IJ</w:t>
      </w:r>
    </w:p>
    <w:p w14:paraId="52902E29" w14:textId="77777777" w:rsidR="008A4FED" w:rsidRPr="00666914" w:rsidRDefault="008A4FED" w:rsidP="008A4FED">
      <w:pPr>
        <w:numPr>
          <w:ilvl w:val="0"/>
          <w:numId w:val="28"/>
        </w:numPr>
        <w:contextualSpacing/>
        <w:rPr>
          <w:szCs w:val="24"/>
          <w:u w:val="single"/>
        </w:rPr>
      </w:pPr>
      <w:r w:rsidRPr="00666914">
        <w:rPr>
          <w:b/>
          <w:szCs w:val="24"/>
          <w:u w:val="single"/>
        </w:rPr>
        <w:t>Zverejňovanie rebríčkov predpisovania lekárov v rámci odbornosti</w:t>
      </w:r>
    </w:p>
    <w:p w14:paraId="0047C7D8" w14:textId="77777777" w:rsidR="008A4FED" w:rsidRPr="00666914" w:rsidRDefault="008A4FED" w:rsidP="004D30E9">
      <w:pPr>
        <w:spacing w:after="0"/>
        <w:ind w:left="720"/>
        <w:contextualSpacing/>
        <w:rPr>
          <w:szCs w:val="24"/>
          <w:u w:val="single"/>
        </w:rPr>
      </w:pPr>
    </w:p>
    <w:p w14:paraId="5CCA60FD" w14:textId="77777777" w:rsidR="008A4FED" w:rsidRPr="00666914" w:rsidRDefault="008A4FED" w:rsidP="004D30E9">
      <w:r w:rsidRPr="00666914">
        <w:rPr>
          <w:b/>
        </w:rPr>
        <w:t>K 31.12.2019 MZ SR nesplnilo zámer zverejniť rebríček lekárov podľa miery preskripcie, opatrenie nebolo splnené.</w:t>
      </w:r>
      <w:r w:rsidRPr="00666914">
        <w:t xml:space="preserve"> Revízia výdavkov I. identifikovala rozdielnu mieru predpisovania u lekárov rovnakej špecializácie na základe priemerného počtu receptov na 1 pacienta. Analýza nezohľadňovala rozdielnu chorobnosť pacientov, preto sa zamerala iba na najčastejšie špecializácie, pri ktorých sa neočakáva výskyt závažných prípadov. V prípade ďalšej analýzy je pre porovnanie lekárov vhodné zohľadniť nielen špecializácie lekárov, ale aj diagnózy pacientov.</w:t>
      </w:r>
    </w:p>
    <w:p w14:paraId="5AF7BA9A" w14:textId="77777777" w:rsidR="008A4FED" w:rsidRPr="00666914" w:rsidRDefault="008A4FED" w:rsidP="004D30E9">
      <w:r w:rsidRPr="00666914">
        <w:t>Zverejnenie rebríčkov malo prispieť k väčšej informovanosti lekárov aj pacientov a eventuálne k zníženiu rozdielov medzi lekármi. Od vydania revízie výdavkov I. napokon nedošlo k posunu aj z dôvodu nevyriešených problémov ohľadom ochrany osobných údajov. Spätnú väzbu o praxi lekárom naďalej ponúkajú zdravotné poisťovne v rôznej podobe a rozsahu. Na základe informácií o liečbe svojich pacientov môžu mať lekári záujem upraviť nastavenie liečby v prospech väčšej bezpečnosti, kvality a efektívnosti. Z behaviorálneho hľadiska je účinná najmä spätná väzba o preskripčných návykoch lekára v porovnaní s ostatnými lekármi rovnakej špecializácie. Vychádza z prirodzenej tendencie ľudí prispôsobiť svoje rozhodnutia správaniu skupiny s podobnými charakteristikami. Zahraničné štúdie zamerané na zníženie miery predpisovania antibiotík ukazujú, že správne formulovaná spätná väzba adresovaná nadmerne predpisujúcim lekárom vedie k racionalizovaniu liečby</w:t>
      </w:r>
      <w:r w:rsidRPr="00666914">
        <w:rPr>
          <w:rStyle w:val="Odkaznapoznmkupodiarou"/>
        </w:rPr>
        <w:footnoteReference w:id="13"/>
      </w:r>
      <w:r w:rsidRPr="00666914">
        <w:t>.</w:t>
      </w:r>
    </w:p>
    <w:p w14:paraId="6CBE955C" w14:textId="77777777" w:rsidR="008A4FED" w:rsidRPr="00666914" w:rsidRDefault="008A4FED" w:rsidP="008A4FED">
      <w:pPr>
        <w:numPr>
          <w:ilvl w:val="0"/>
          <w:numId w:val="28"/>
        </w:numPr>
        <w:spacing w:after="0"/>
        <w:contextualSpacing/>
        <w:jc w:val="left"/>
        <w:rPr>
          <w:b/>
          <w:szCs w:val="24"/>
          <w:u w:val="single"/>
        </w:rPr>
      </w:pPr>
      <w:r w:rsidRPr="00666914">
        <w:rPr>
          <w:b/>
          <w:szCs w:val="24"/>
          <w:u w:val="single"/>
        </w:rPr>
        <w:t>Výnimky na lieky - zavedenie pravidiel pre preplácanie výnimiek</w:t>
      </w:r>
      <w:r w:rsidRPr="00666914" w:rsidDel="005E5254">
        <w:rPr>
          <w:b/>
          <w:szCs w:val="24"/>
          <w:u w:val="single"/>
        </w:rPr>
        <w:t xml:space="preserve"> </w:t>
      </w:r>
    </w:p>
    <w:p w14:paraId="6674EE72" w14:textId="4BB97A94" w:rsidR="008A4FED" w:rsidRPr="00666914" w:rsidRDefault="008A4FED" w:rsidP="008B70B3">
      <w:pPr>
        <w:spacing w:before="240"/>
      </w:pPr>
      <w:r w:rsidRPr="00666914">
        <w:rPr>
          <w:b/>
        </w:rPr>
        <w:t>V roku 2019 vzrástli úhrady za lieky na výnimky v porovnaní s rokom 2016 o 0,6 mil. eur, medziročne o 400 tis. eur.</w:t>
      </w:r>
      <w:r w:rsidRPr="00666914">
        <w:t xml:space="preserve"> </w:t>
      </w:r>
      <w:r w:rsidRPr="00666914">
        <w:rPr>
          <w:b/>
        </w:rPr>
        <w:t>Opatrenie sa tak k 31.12.2109 neplnilo.</w:t>
      </w:r>
      <w:r w:rsidRPr="00666914">
        <w:t xml:space="preserve"> V porovnaní so stavom popísaným v revízii výdavkov I. sa však podarilo prudký rast týchto výdavkov významne spomaliť. Pri dofinancovaní zdravotníctva v 10/2019 bolo uzavreté memorandum medzi ZP, MZ SR a PZS, v ktorom sa zdravotné poisťovne zaviazali znížiť prostriedky na lieky uhrádzané na výnimky ročne o 16 mil. eur. V mesiacoch november a december 2019 k zníženiu úhrad nedošlo. </w:t>
      </w:r>
    </w:p>
    <w:p w14:paraId="25A0654C" w14:textId="77777777" w:rsidR="008A4FED" w:rsidRPr="00666914" w:rsidRDefault="008A4FED">
      <w:pPr>
        <w:spacing w:after="0"/>
        <w:jc w:val="left"/>
      </w:pPr>
      <w:r w:rsidRPr="00666914">
        <w:br w:type="page"/>
      </w:r>
    </w:p>
    <w:p w14:paraId="2EEC675A" w14:textId="720DA270" w:rsidR="008A4FED" w:rsidRPr="00666914" w:rsidRDefault="008A4FED" w:rsidP="004D30E9">
      <w:pPr>
        <w:pBdr>
          <w:bottom w:val="single" w:sz="4" w:space="1" w:color="auto"/>
        </w:pBdr>
        <w:spacing w:after="0"/>
        <w:rPr>
          <w:b/>
          <w:sz w:val="20"/>
        </w:rPr>
      </w:pPr>
      <w:bookmarkStart w:id="50" w:name="_Toc5636407"/>
      <w:bookmarkStart w:id="51" w:name="_Toc20209182"/>
      <w:bookmarkStart w:id="52" w:name="_Toc36547027"/>
      <w:bookmarkStart w:id="53" w:name="_Toc38447668"/>
      <w:r w:rsidRPr="00666914">
        <w:rPr>
          <w:b/>
          <w:sz w:val="20"/>
        </w:rPr>
        <w:lastRenderedPageBreak/>
        <w:t xml:space="preserve">Tabuľka </w:t>
      </w:r>
      <w:r w:rsidRPr="00666914">
        <w:rPr>
          <w:b/>
          <w:noProof/>
          <w:sz w:val="20"/>
        </w:rPr>
        <w:fldChar w:fldCharType="begin"/>
      </w:r>
      <w:r w:rsidRPr="00666914">
        <w:rPr>
          <w:b/>
          <w:noProof/>
          <w:sz w:val="20"/>
        </w:rPr>
        <w:instrText xml:space="preserve"> SEQ Tabuľka \* ARABIC </w:instrText>
      </w:r>
      <w:r w:rsidRPr="00666914">
        <w:rPr>
          <w:b/>
          <w:noProof/>
          <w:sz w:val="20"/>
        </w:rPr>
        <w:fldChar w:fldCharType="separate"/>
      </w:r>
      <w:r w:rsidR="005A7304">
        <w:rPr>
          <w:b/>
          <w:noProof/>
          <w:sz w:val="20"/>
        </w:rPr>
        <w:t>7</w:t>
      </w:r>
      <w:r w:rsidRPr="00666914">
        <w:rPr>
          <w:b/>
          <w:noProof/>
          <w:sz w:val="20"/>
        </w:rPr>
        <w:fldChar w:fldCharType="end"/>
      </w:r>
      <w:r w:rsidRPr="00666914">
        <w:rPr>
          <w:b/>
          <w:sz w:val="20"/>
        </w:rPr>
        <w:t>: Úhrady ZP za lieky na výnimky (mil. eur)</w:t>
      </w:r>
      <w:bookmarkEnd w:id="50"/>
      <w:bookmarkEnd w:id="51"/>
      <w:bookmarkEnd w:id="52"/>
      <w:bookmarkEnd w:id="53"/>
      <w:r w:rsidRPr="00666914">
        <w:rPr>
          <w:b/>
          <w:sz w:val="20"/>
        </w:rPr>
        <w:t xml:space="preserve"> </w:t>
      </w:r>
    </w:p>
    <w:tbl>
      <w:tblPr>
        <w:tblW w:w="9217" w:type="dxa"/>
        <w:tblLayout w:type="fixed"/>
        <w:tblCellMar>
          <w:left w:w="70" w:type="dxa"/>
          <w:right w:w="70" w:type="dxa"/>
        </w:tblCellMar>
        <w:tblLook w:val="04A0" w:firstRow="1" w:lastRow="0" w:firstColumn="1" w:lastColumn="0" w:noHBand="0" w:noVBand="1"/>
      </w:tblPr>
      <w:tblGrid>
        <w:gridCol w:w="4252"/>
        <w:gridCol w:w="1241"/>
        <w:gridCol w:w="1241"/>
        <w:gridCol w:w="1241"/>
        <w:gridCol w:w="1242"/>
      </w:tblGrid>
      <w:tr w:rsidR="008A4FED" w:rsidRPr="00666914" w14:paraId="3037BFEB" w14:textId="77777777" w:rsidTr="00F64B85">
        <w:trPr>
          <w:trHeight w:val="158"/>
        </w:trPr>
        <w:tc>
          <w:tcPr>
            <w:tcW w:w="4252" w:type="dxa"/>
            <w:tcBorders>
              <w:left w:val="nil"/>
              <w:bottom w:val="single" w:sz="4" w:space="0" w:color="auto"/>
              <w:right w:val="single" w:sz="4" w:space="0" w:color="auto"/>
            </w:tcBorders>
            <w:shd w:val="clear" w:color="auto" w:fill="auto"/>
            <w:noWrap/>
            <w:vAlign w:val="bottom"/>
            <w:hideMark/>
          </w:tcPr>
          <w:p w14:paraId="3E45BCAA" w14:textId="77777777" w:rsidR="008A4FED" w:rsidRPr="00666914" w:rsidRDefault="008A4FED" w:rsidP="00F64B85">
            <w:pPr>
              <w:spacing w:after="0"/>
              <w:jc w:val="left"/>
              <w:rPr>
                <w:rFonts w:eastAsia="Times New Roman" w:cs="Calibri"/>
                <w:b/>
                <w:bCs/>
                <w:sz w:val="20"/>
                <w:szCs w:val="20"/>
                <w:lang w:eastAsia="sk-SK"/>
              </w:rPr>
            </w:pPr>
            <w:r w:rsidRPr="00666914">
              <w:rPr>
                <w:rFonts w:eastAsia="Times New Roman" w:cs="Calibri"/>
                <w:b/>
                <w:bCs/>
                <w:sz w:val="20"/>
                <w:szCs w:val="20"/>
                <w:lang w:eastAsia="sk-SK"/>
              </w:rPr>
              <w:t> </w:t>
            </w:r>
          </w:p>
        </w:tc>
        <w:tc>
          <w:tcPr>
            <w:tcW w:w="1241" w:type="dxa"/>
            <w:tcBorders>
              <w:left w:val="single" w:sz="4" w:space="0" w:color="auto"/>
              <w:bottom w:val="single" w:sz="4" w:space="0" w:color="auto"/>
            </w:tcBorders>
            <w:vAlign w:val="bottom"/>
          </w:tcPr>
          <w:p w14:paraId="14639EDA" w14:textId="77777777" w:rsidR="008A4FED" w:rsidRPr="00666914" w:rsidRDefault="008A4FED" w:rsidP="00F64B85">
            <w:pPr>
              <w:spacing w:after="0"/>
              <w:jc w:val="center"/>
              <w:rPr>
                <w:rFonts w:cs="Calibri"/>
                <w:b/>
                <w:bCs/>
                <w:sz w:val="20"/>
                <w:szCs w:val="20"/>
              </w:rPr>
            </w:pPr>
            <w:r w:rsidRPr="00666914">
              <w:rPr>
                <w:rFonts w:cs="Calibri"/>
                <w:b/>
                <w:bCs/>
                <w:color w:val="000000"/>
                <w:sz w:val="20"/>
                <w:szCs w:val="20"/>
              </w:rPr>
              <w:t>2016</w:t>
            </w:r>
          </w:p>
        </w:tc>
        <w:tc>
          <w:tcPr>
            <w:tcW w:w="1241" w:type="dxa"/>
            <w:tcBorders>
              <w:top w:val="nil"/>
              <w:left w:val="nil"/>
              <w:bottom w:val="single" w:sz="4" w:space="0" w:color="auto"/>
              <w:right w:val="nil"/>
            </w:tcBorders>
            <w:shd w:val="clear" w:color="auto" w:fill="auto"/>
            <w:noWrap/>
            <w:vAlign w:val="bottom"/>
            <w:hideMark/>
          </w:tcPr>
          <w:p w14:paraId="4CD1C38C" w14:textId="77777777" w:rsidR="008A4FED" w:rsidRPr="00666914" w:rsidRDefault="008A4FED" w:rsidP="00F64B85">
            <w:pPr>
              <w:spacing w:after="0"/>
              <w:jc w:val="center"/>
              <w:rPr>
                <w:rFonts w:eastAsia="Times New Roman" w:cs="Calibri"/>
                <w:b/>
                <w:bCs/>
                <w:sz w:val="20"/>
                <w:szCs w:val="20"/>
                <w:highlight w:val="yellow"/>
                <w:lang w:eastAsia="sk-SK"/>
              </w:rPr>
            </w:pPr>
            <w:r w:rsidRPr="00666914">
              <w:rPr>
                <w:rFonts w:cs="Calibri"/>
                <w:b/>
                <w:bCs/>
                <w:color w:val="000000"/>
                <w:sz w:val="20"/>
                <w:szCs w:val="20"/>
              </w:rPr>
              <w:t>2017</w:t>
            </w:r>
          </w:p>
        </w:tc>
        <w:tc>
          <w:tcPr>
            <w:tcW w:w="1241" w:type="dxa"/>
            <w:tcBorders>
              <w:top w:val="nil"/>
              <w:left w:val="nil"/>
              <w:bottom w:val="single" w:sz="4" w:space="0" w:color="auto"/>
              <w:right w:val="nil"/>
            </w:tcBorders>
            <w:shd w:val="clear" w:color="auto" w:fill="auto"/>
            <w:noWrap/>
            <w:vAlign w:val="bottom"/>
            <w:hideMark/>
          </w:tcPr>
          <w:p w14:paraId="2647AE19" w14:textId="77777777" w:rsidR="008A4FED" w:rsidRPr="00666914" w:rsidRDefault="008A4FED" w:rsidP="00F64B85">
            <w:pPr>
              <w:spacing w:after="0"/>
              <w:jc w:val="center"/>
              <w:rPr>
                <w:rFonts w:eastAsia="Times New Roman" w:cs="Calibri"/>
                <w:b/>
                <w:bCs/>
                <w:sz w:val="20"/>
                <w:szCs w:val="20"/>
                <w:highlight w:val="yellow"/>
                <w:lang w:eastAsia="sk-SK"/>
              </w:rPr>
            </w:pPr>
            <w:r w:rsidRPr="00666914">
              <w:rPr>
                <w:rFonts w:cs="Calibri"/>
                <w:b/>
                <w:bCs/>
                <w:color w:val="000000"/>
                <w:sz w:val="20"/>
                <w:szCs w:val="20"/>
              </w:rPr>
              <w:t>2018</w:t>
            </w:r>
          </w:p>
        </w:tc>
        <w:tc>
          <w:tcPr>
            <w:tcW w:w="1242" w:type="dxa"/>
            <w:tcBorders>
              <w:top w:val="nil"/>
              <w:left w:val="nil"/>
              <w:bottom w:val="single" w:sz="4" w:space="0" w:color="auto"/>
              <w:right w:val="nil"/>
            </w:tcBorders>
            <w:shd w:val="clear" w:color="auto" w:fill="auto"/>
            <w:noWrap/>
            <w:vAlign w:val="bottom"/>
            <w:hideMark/>
          </w:tcPr>
          <w:p w14:paraId="26EEBF90" w14:textId="77777777" w:rsidR="008A4FED" w:rsidRPr="00666914" w:rsidRDefault="008A4FED" w:rsidP="00F64B85">
            <w:pPr>
              <w:spacing w:after="0"/>
              <w:jc w:val="center"/>
              <w:rPr>
                <w:rFonts w:eastAsia="Times New Roman" w:cs="Calibri"/>
                <w:b/>
                <w:bCs/>
                <w:sz w:val="20"/>
                <w:szCs w:val="20"/>
                <w:highlight w:val="yellow"/>
                <w:lang w:eastAsia="sk-SK"/>
              </w:rPr>
            </w:pPr>
            <w:r w:rsidRPr="00666914">
              <w:rPr>
                <w:rFonts w:cs="Calibri"/>
                <w:b/>
                <w:bCs/>
                <w:color w:val="000000"/>
                <w:sz w:val="20"/>
                <w:szCs w:val="20"/>
              </w:rPr>
              <w:t>2019</w:t>
            </w:r>
          </w:p>
        </w:tc>
      </w:tr>
      <w:tr w:rsidR="008A4FED" w:rsidRPr="00666914" w14:paraId="63D48187" w14:textId="77777777" w:rsidTr="00F64B85">
        <w:trPr>
          <w:trHeight w:val="323"/>
        </w:trPr>
        <w:tc>
          <w:tcPr>
            <w:tcW w:w="4252" w:type="dxa"/>
            <w:tcBorders>
              <w:top w:val="single" w:sz="4" w:space="0" w:color="auto"/>
              <w:left w:val="nil"/>
              <w:bottom w:val="nil"/>
              <w:right w:val="single" w:sz="4" w:space="0" w:color="auto"/>
            </w:tcBorders>
            <w:shd w:val="clear" w:color="auto" w:fill="auto"/>
            <w:noWrap/>
            <w:vAlign w:val="center"/>
            <w:hideMark/>
          </w:tcPr>
          <w:p w14:paraId="65CA7495" w14:textId="77777777" w:rsidR="008A4FED" w:rsidRPr="00666914" w:rsidRDefault="008A4FED" w:rsidP="00F64B85">
            <w:pPr>
              <w:spacing w:after="0"/>
              <w:jc w:val="left"/>
              <w:rPr>
                <w:rFonts w:eastAsia="Times New Roman" w:cs="Calibri"/>
                <w:b/>
                <w:bCs/>
                <w:sz w:val="20"/>
                <w:szCs w:val="20"/>
                <w:lang w:eastAsia="sk-SK"/>
              </w:rPr>
            </w:pPr>
            <w:r w:rsidRPr="00666914">
              <w:rPr>
                <w:rFonts w:eastAsia="Times New Roman" w:cs="Calibri"/>
                <w:b/>
                <w:bCs/>
                <w:sz w:val="20"/>
                <w:szCs w:val="20"/>
                <w:lang w:eastAsia="sk-SK"/>
              </w:rPr>
              <w:t>Úhrady poisťovní za lieky na výnimky</w:t>
            </w:r>
          </w:p>
        </w:tc>
        <w:tc>
          <w:tcPr>
            <w:tcW w:w="1241" w:type="dxa"/>
            <w:tcBorders>
              <w:top w:val="nil"/>
              <w:left w:val="single" w:sz="4" w:space="0" w:color="auto"/>
              <w:bottom w:val="nil"/>
            </w:tcBorders>
            <w:vAlign w:val="bottom"/>
          </w:tcPr>
          <w:p w14:paraId="22E76CA5" w14:textId="77777777" w:rsidR="008A4FED" w:rsidRPr="00666914" w:rsidRDefault="008A4FED" w:rsidP="00F64B85">
            <w:pPr>
              <w:spacing w:after="0"/>
              <w:jc w:val="center"/>
              <w:rPr>
                <w:rFonts w:cs="Calibri"/>
                <w:sz w:val="20"/>
                <w:szCs w:val="20"/>
              </w:rPr>
            </w:pPr>
            <w:r w:rsidRPr="00666914">
              <w:rPr>
                <w:rFonts w:cs="Calibri"/>
                <w:color w:val="000000"/>
                <w:sz w:val="20"/>
                <w:szCs w:val="20"/>
              </w:rPr>
              <w:t>41,2</w:t>
            </w:r>
          </w:p>
        </w:tc>
        <w:tc>
          <w:tcPr>
            <w:tcW w:w="1241" w:type="dxa"/>
            <w:tcBorders>
              <w:top w:val="nil"/>
              <w:left w:val="nil"/>
              <w:bottom w:val="nil"/>
              <w:right w:val="nil"/>
            </w:tcBorders>
            <w:shd w:val="clear" w:color="auto" w:fill="auto"/>
            <w:noWrap/>
            <w:vAlign w:val="bottom"/>
          </w:tcPr>
          <w:p w14:paraId="233FBABA"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color w:val="000000"/>
                <w:sz w:val="20"/>
                <w:szCs w:val="20"/>
              </w:rPr>
              <w:t>39,4</w:t>
            </w:r>
          </w:p>
        </w:tc>
        <w:tc>
          <w:tcPr>
            <w:tcW w:w="1241" w:type="dxa"/>
            <w:tcBorders>
              <w:top w:val="nil"/>
              <w:left w:val="nil"/>
              <w:bottom w:val="nil"/>
              <w:right w:val="nil"/>
            </w:tcBorders>
            <w:shd w:val="clear" w:color="auto" w:fill="auto"/>
            <w:noWrap/>
            <w:vAlign w:val="bottom"/>
          </w:tcPr>
          <w:p w14:paraId="5EEB41AB"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color w:val="000000"/>
                <w:sz w:val="20"/>
                <w:szCs w:val="20"/>
              </w:rPr>
              <w:t>41,4</w:t>
            </w:r>
          </w:p>
        </w:tc>
        <w:tc>
          <w:tcPr>
            <w:tcW w:w="1242" w:type="dxa"/>
            <w:tcBorders>
              <w:top w:val="nil"/>
              <w:left w:val="nil"/>
              <w:bottom w:val="nil"/>
              <w:right w:val="nil"/>
            </w:tcBorders>
            <w:shd w:val="clear" w:color="auto" w:fill="auto"/>
            <w:noWrap/>
            <w:vAlign w:val="bottom"/>
          </w:tcPr>
          <w:p w14:paraId="02431DA2"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color w:val="000000"/>
                <w:sz w:val="20"/>
                <w:szCs w:val="20"/>
              </w:rPr>
              <w:t>41,8</w:t>
            </w:r>
          </w:p>
        </w:tc>
      </w:tr>
      <w:tr w:rsidR="008A4FED" w:rsidRPr="00666914" w14:paraId="29DC5E06" w14:textId="77777777" w:rsidTr="00F64B85">
        <w:trPr>
          <w:trHeight w:val="323"/>
        </w:trPr>
        <w:tc>
          <w:tcPr>
            <w:tcW w:w="4252" w:type="dxa"/>
            <w:tcBorders>
              <w:top w:val="nil"/>
              <w:left w:val="nil"/>
              <w:bottom w:val="nil"/>
              <w:right w:val="single" w:sz="4" w:space="0" w:color="auto"/>
            </w:tcBorders>
            <w:shd w:val="clear" w:color="auto" w:fill="auto"/>
            <w:noWrap/>
            <w:vAlign w:val="center"/>
            <w:hideMark/>
          </w:tcPr>
          <w:p w14:paraId="6A7A024B" w14:textId="77777777" w:rsidR="008A4FED" w:rsidRPr="00666914" w:rsidRDefault="008A4FED" w:rsidP="00F64B85">
            <w:pPr>
              <w:spacing w:after="0"/>
              <w:jc w:val="left"/>
              <w:rPr>
                <w:rFonts w:eastAsia="Times New Roman" w:cs="Calibri"/>
                <w:b/>
                <w:bCs/>
                <w:sz w:val="20"/>
                <w:szCs w:val="20"/>
                <w:lang w:eastAsia="sk-SK"/>
              </w:rPr>
            </w:pPr>
            <w:r w:rsidRPr="00666914">
              <w:rPr>
                <w:rFonts w:eastAsia="Times New Roman" w:cs="Calibri"/>
                <w:b/>
                <w:bCs/>
                <w:sz w:val="20"/>
                <w:szCs w:val="20"/>
                <w:lang w:eastAsia="sk-SK"/>
              </w:rPr>
              <w:t>Medziročná zmena v mil. eur</w:t>
            </w:r>
          </w:p>
        </w:tc>
        <w:tc>
          <w:tcPr>
            <w:tcW w:w="1241" w:type="dxa"/>
            <w:tcBorders>
              <w:top w:val="nil"/>
              <w:left w:val="single" w:sz="4" w:space="0" w:color="auto"/>
              <w:bottom w:val="nil"/>
            </w:tcBorders>
            <w:vAlign w:val="bottom"/>
          </w:tcPr>
          <w:p w14:paraId="65B6D774" w14:textId="77777777" w:rsidR="008A4FED" w:rsidRPr="00666914" w:rsidRDefault="008A4FED" w:rsidP="00F64B85">
            <w:pPr>
              <w:spacing w:after="0"/>
              <w:jc w:val="center"/>
              <w:rPr>
                <w:rFonts w:cs="Calibri"/>
                <w:sz w:val="20"/>
                <w:szCs w:val="20"/>
              </w:rPr>
            </w:pPr>
          </w:p>
        </w:tc>
        <w:tc>
          <w:tcPr>
            <w:tcW w:w="1241" w:type="dxa"/>
            <w:tcBorders>
              <w:top w:val="nil"/>
              <w:left w:val="nil"/>
              <w:bottom w:val="nil"/>
              <w:right w:val="nil"/>
            </w:tcBorders>
            <w:shd w:val="clear" w:color="auto" w:fill="auto"/>
            <w:noWrap/>
            <w:vAlign w:val="bottom"/>
          </w:tcPr>
          <w:p w14:paraId="32745FAC" w14:textId="77777777" w:rsidR="008A4FED" w:rsidRPr="00666914" w:rsidRDefault="008A4FED" w:rsidP="00F64B85">
            <w:pPr>
              <w:spacing w:after="0"/>
              <w:jc w:val="center"/>
              <w:rPr>
                <w:rFonts w:eastAsia="Times New Roman" w:cs="Calibri"/>
                <w:b/>
                <w:bCs/>
                <w:sz w:val="20"/>
                <w:szCs w:val="20"/>
                <w:highlight w:val="yellow"/>
                <w:lang w:eastAsia="sk-SK"/>
              </w:rPr>
            </w:pPr>
            <w:r w:rsidRPr="00666914">
              <w:rPr>
                <w:rFonts w:cs="Calibri"/>
                <w:color w:val="000000"/>
                <w:sz w:val="20"/>
                <w:szCs w:val="20"/>
              </w:rPr>
              <w:t>-1,8</w:t>
            </w:r>
          </w:p>
        </w:tc>
        <w:tc>
          <w:tcPr>
            <w:tcW w:w="1241" w:type="dxa"/>
            <w:tcBorders>
              <w:top w:val="nil"/>
              <w:left w:val="nil"/>
              <w:bottom w:val="nil"/>
              <w:right w:val="nil"/>
            </w:tcBorders>
            <w:shd w:val="clear" w:color="auto" w:fill="auto"/>
            <w:noWrap/>
            <w:vAlign w:val="bottom"/>
          </w:tcPr>
          <w:p w14:paraId="35871DDB"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color w:val="000000"/>
                <w:sz w:val="20"/>
                <w:szCs w:val="20"/>
              </w:rPr>
              <w:t>2,0</w:t>
            </w:r>
          </w:p>
        </w:tc>
        <w:tc>
          <w:tcPr>
            <w:tcW w:w="1242" w:type="dxa"/>
            <w:tcBorders>
              <w:top w:val="nil"/>
              <w:left w:val="nil"/>
              <w:bottom w:val="nil"/>
              <w:right w:val="nil"/>
            </w:tcBorders>
            <w:shd w:val="clear" w:color="auto" w:fill="auto"/>
            <w:noWrap/>
            <w:vAlign w:val="bottom"/>
          </w:tcPr>
          <w:p w14:paraId="1B912244"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color w:val="000000"/>
                <w:sz w:val="20"/>
                <w:szCs w:val="20"/>
              </w:rPr>
              <w:t>0,4</w:t>
            </w:r>
          </w:p>
        </w:tc>
      </w:tr>
      <w:tr w:rsidR="008A4FED" w:rsidRPr="00666914" w14:paraId="00337C63" w14:textId="77777777" w:rsidTr="00F64B85">
        <w:trPr>
          <w:trHeight w:val="323"/>
        </w:trPr>
        <w:tc>
          <w:tcPr>
            <w:tcW w:w="4252" w:type="dxa"/>
            <w:tcBorders>
              <w:top w:val="nil"/>
              <w:left w:val="nil"/>
              <w:bottom w:val="single" w:sz="4" w:space="0" w:color="auto"/>
              <w:right w:val="single" w:sz="4" w:space="0" w:color="auto"/>
            </w:tcBorders>
            <w:shd w:val="clear" w:color="auto" w:fill="auto"/>
            <w:noWrap/>
            <w:vAlign w:val="center"/>
            <w:hideMark/>
          </w:tcPr>
          <w:p w14:paraId="060FE56C" w14:textId="77777777" w:rsidR="008A4FED" w:rsidRPr="00666914" w:rsidRDefault="008A4FED" w:rsidP="00F64B85">
            <w:pPr>
              <w:spacing w:after="0"/>
              <w:jc w:val="left"/>
              <w:rPr>
                <w:rFonts w:eastAsia="Times New Roman" w:cs="Calibri"/>
                <w:b/>
                <w:bCs/>
                <w:sz w:val="20"/>
                <w:szCs w:val="20"/>
                <w:lang w:eastAsia="sk-SK"/>
              </w:rPr>
            </w:pPr>
            <w:r w:rsidRPr="00666914">
              <w:rPr>
                <w:rFonts w:eastAsia="Times New Roman" w:cs="Calibri"/>
                <w:b/>
                <w:bCs/>
                <w:sz w:val="20"/>
                <w:szCs w:val="20"/>
                <w:lang w:eastAsia="sk-SK"/>
              </w:rPr>
              <w:t>Medziročná zmena v %</w:t>
            </w:r>
          </w:p>
        </w:tc>
        <w:tc>
          <w:tcPr>
            <w:tcW w:w="1241" w:type="dxa"/>
            <w:tcBorders>
              <w:top w:val="nil"/>
              <w:left w:val="single" w:sz="4" w:space="0" w:color="auto"/>
              <w:bottom w:val="single" w:sz="4" w:space="0" w:color="auto"/>
            </w:tcBorders>
            <w:vAlign w:val="center"/>
          </w:tcPr>
          <w:p w14:paraId="2AE12086" w14:textId="77777777" w:rsidR="008A4FED" w:rsidRPr="00666914" w:rsidRDefault="008A4FED" w:rsidP="00F64B85">
            <w:pPr>
              <w:spacing w:after="0"/>
              <w:jc w:val="center"/>
              <w:rPr>
                <w:rFonts w:cs="Calibri"/>
                <w:sz w:val="20"/>
                <w:szCs w:val="20"/>
              </w:rPr>
            </w:pPr>
          </w:p>
        </w:tc>
        <w:tc>
          <w:tcPr>
            <w:tcW w:w="1241" w:type="dxa"/>
            <w:tcBorders>
              <w:top w:val="nil"/>
              <w:left w:val="nil"/>
              <w:bottom w:val="single" w:sz="4" w:space="0" w:color="auto"/>
              <w:right w:val="nil"/>
            </w:tcBorders>
            <w:shd w:val="clear" w:color="auto" w:fill="auto"/>
            <w:noWrap/>
            <w:vAlign w:val="center"/>
          </w:tcPr>
          <w:p w14:paraId="19A988AD"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color w:val="000000"/>
                <w:sz w:val="20"/>
                <w:szCs w:val="20"/>
              </w:rPr>
              <w:t>-4%</w:t>
            </w:r>
          </w:p>
        </w:tc>
        <w:tc>
          <w:tcPr>
            <w:tcW w:w="1241" w:type="dxa"/>
            <w:tcBorders>
              <w:top w:val="nil"/>
              <w:left w:val="nil"/>
              <w:bottom w:val="single" w:sz="4" w:space="0" w:color="auto"/>
              <w:right w:val="nil"/>
            </w:tcBorders>
            <w:shd w:val="clear" w:color="auto" w:fill="auto"/>
            <w:noWrap/>
            <w:vAlign w:val="center"/>
          </w:tcPr>
          <w:p w14:paraId="17ED2014"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color w:val="000000"/>
                <w:sz w:val="20"/>
                <w:szCs w:val="20"/>
              </w:rPr>
              <w:t>5%</w:t>
            </w:r>
          </w:p>
        </w:tc>
        <w:tc>
          <w:tcPr>
            <w:tcW w:w="1242" w:type="dxa"/>
            <w:tcBorders>
              <w:top w:val="nil"/>
              <w:left w:val="nil"/>
              <w:bottom w:val="single" w:sz="4" w:space="0" w:color="auto"/>
              <w:right w:val="nil"/>
            </w:tcBorders>
            <w:shd w:val="clear" w:color="auto" w:fill="auto"/>
            <w:noWrap/>
            <w:vAlign w:val="center"/>
          </w:tcPr>
          <w:p w14:paraId="7EF460D3"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color w:val="000000"/>
                <w:sz w:val="20"/>
                <w:szCs w:val="20"/>
              </w:rPr>
              <w:t>1%</w:t>
            </w:r>
          </w:p>
        </w:tc>
      </w:tr>
    </w:tbl>
    <w:p w14:paraId="52378DA6" w14:textId="77777777" w:rsidR="008A4FED" w:rsidRPr="00666914" w:rsidRDefault="008A4FED" w:rsidP="004D30E9">
      <w:pPr>
        <w:ind w:firstLine="5103"/>
        <w:jc w:val="right"/>
        <w:rPr>
          <w:i/>
        </w:rPr>
      </w:pPr>
      <w:r w:rsidRPr="00666914">
        <w:rPr>
          <w:i/>
          <w:sz w:val="18"/>
        </w:rPr>
        <w:t>Zdroj: ZP, MZ SR, spracovanie IJ</w:t>
      </w:r>
    </w:p>
    <w:p w14:paraId="3841EF2D" w14:textId="77777777" w:rsidR="008A4FED" w:rsidRPr="00666914" w:rsidRDefault="008A4FED" w:rsidP="00F64B85">
      <w:r w:rsidRPr="00666914">
        <w:t>V prepočte na 1 000 poistencov uhradila VšZP v roku 2015 za lieky na výnimky 6 642 eur, Dôvera 3 693 eur a Union 1 133 eur</w:t>
      </w:r>
      <w:r w:rsidRPr="00666914">
        <w:rPr>
          <w:rStyle w:val="Odkaznapoznmkupodiarou"/>
        </w:rPr>
        <w:footnoteReference w:id="14"/>
      </w:r>
      <w:r w:rsidRPr="00666914">
        <w:t xml:space="preserve">. </w:t>
      </w:r>
      <w:bookmarkStart w:id="54" w:name="_Toc5636430"/>
      <w:bookmarkStart w:id="55" w:name="_Toc20209168"/>
      <w:r w:rsidRPr="00666914">
        <w:t xml:space="preserve">V roku 2019 boli úhrady ZP 1,4- resp. 1,6-násobne vyššie v prepočte na počet poistencov (graf 1). Toto porovnanie nezohľadňuje štruktúru poistného kmeňa podľa diagnóz poistencov. </w:t>
      </w:r>
    </w:p>
    <w:p w14:paraId="5481595A" w14:textId="26881C63" w:rsidR="008A4FED" w:rsidRPr="00666914" w:rsidRDefault="008A4FED" w:rsidP="00F64B85">
      <w:pPr>
        <w:pBdr>
          <w:bottom w:val="single" w:sz="4" w:space="1" w:color="auto"/>
        </w:pBdr>
        <w:rPr>
          <w:b/>
          <w:color w:val="A6A6A6" w:themeColor="background1" w:themeShade="A6"/>
        </w:rPr>
      </w:pPr>
      <w:bookmarkStart w:id="56" w:name="_Toc36547040"/>
      <w:bookmarkStart w:id="57" w:name="_Toc38390045"/>
      <w:r w:rsidRPr="00666914">
        <w:rPr>
          <w:b/>
          <w:sz w:val="20"/>
        </w:rPr>
        <w:t xml:space="preserve">Graf </w:t>
      </w:r>
      <w:r w:rsidRPr="00666914">
        <w:rPr>
          <w:b/>
          <w:sz w:val="20"/>
        </w:rPr>
        <w:fldChar w:fldCharType="begin"/>
      </w:r>
      <w:r w:rsidRPr="00666914">
        <w:rPr>
          <w:b/>
          <w:sz w:val="20"/>
        </w:rPr>
        <w:instrText xml:space="preserve"> SEQ Graf \* ARABIC \* MERGEFORMAT </w:instrText>
      </w:r>
      <w:r w:rsidRPr="00666914">
        <w:rPr>
          <w:b/>
          <w:sz w:val="20"/>
        </w:rPr>
        <w:fldChar w:fldCharType="separate"/>
      </w:r>
      <w:r w:rsidR="005A7304">
        <w:rPr>
          <w:b/>
          <w:noProof/>
          <w:sz w:val="20"/>
        </w:rPr>
        <w:t>1</w:t>
      </w:r>
      <w:r w:rsidRPr="00666914">
        <w:rPr>
          <w:b/>
          <w:sz w:val="20"/>
        </w:rPr>
        <w:fldChar w:fldCharType="end"/>
      </w:r>
      <w:r w:rsidRPr="00666914">
        <w:rPr>
          <w:b/>
          <w:sz w:val="20"/>
        </w:rPr>
        <w:t>: Úhrady ZP za lieky na výnimky v prepočte na 1 000 poistencov (eur)</w:t>
      </w:r>
      <w:bookmarkEnd w:id="54"/>
      <w:bookmarkEnd w:id="55"/>
      <w:bookmarkEnd w:id="56"/>
      <w:bookmarkEnd w:id="57"/>
    </w:p>
    <w:p w14:paraId="014DC0E5" w14:textId="77777777" w:rsidR="008A4FED" w:rsidRPr="00666914" w:rsidRDefault="008A4FED" w:rsidP="00F64B85">
      <w:pPr>
        <w:jc w:val="center"/>
        <w:rPr>
          <w:color w:val="A6A6A6" w:themeColor="background1" w:themeShade="A6"/>
        </w:rPr>
      </w:pPr>
      <w:r w:rsidRPr="00666914">
        <w:rPr>
          <w:noProof/>
          <w:lang w:eastAsia="sk-SK"/>
        </w:rPr>
        <w:drawing>
          <wp:inline distT="0" distB="0" distL="0" distR="0" wp14:anchorId="0EA044FF" wp14:editId="01D48A16">
            <wp:extent cx="4686300" cy="2466975"/>
            <wp:effectExtent l="0" t="0" r="0" b="0"/>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EEDB396" w14:textId="77777777" w:rsidR="008A4FED" w:rsidRPr="00666914" w:rsidRDefault="008A4FED" w:rsidP="004D30E9">
      <w:pPr>
        <w:pBdr>
          <w:top w:val="single" w:sz="4" w:space="1" w:color="auto"/>
        </w:pBdr>
        <w:ind w:firstLine="4395"/>
        <w:jc w:val="right"/>
        <w:rPr>
          <w:i/>
          <w:sz w:val="18"/>
        </w:rPr>
      </w:pPr>
      <w:r w:rsidRPr="00666914">
        <w:rPr>
          <w:i/>
          <w:sz w:val="18"/>
        </w:rPr>
        <w:t>Zdroj: ZP, MZ SR, spracovanie IJ</w:t>
      </w:r>
    </w:p>
    <w:p w14:paraId="200F4348" w14:textId="77777777" w:rsidR="008A4FED" w:rsidRPr="00666914" w:rsidRDefault="008A4FED" w:rsidP="004D30E9">
      <w:pPr>
        <w:pBdr>
          <w:top w:val="single" w:sz="4" w:space="1" w:color="auto"/>
        </w:pBdr>
        <w:spacing w:after="0"/>
        <w:jc w:val="right"/>
      </w:pPr>
    </w:p>
    <w:p w14:paraId="0494F292" w14:textId="77777777" w:rsidR="008A4FED" w:rsidRPr="00666914" w:rsidRDefault="008A4FED" w:rsidP="008A4FED">
      <w:pPr>
        <w:numPr>
          <w:ilvl w:val="0"/>
          <w:numId w:val="28"/>
        </w:numPr>
        <w:ind w:left="714" w:hanging="357"/>
        <w:jc w:val="left"/>
        <w:rPr>
          <w:b/>
          <w:szCs w:val="24"/>
          <w:u w:val="single"/>
        </w:rPr>
      </w:pPr>
      <w:r w:rsidRPr="00666914">
        <w:rPr>
          <w:b/>
          <w:szCs w:val="24"/>
          <w:u w:val="single"/>
        </w:rPr>
        <w:t>Zavedenie záväzných pravidiel pre úhradu liekov na výnimky</w:t>
      </w:r>
    </w:p>
    <w:p w14:paraId="612A78DB" w14:textId="77777777" w:rsidR="008A4FED" w:rsidRPr="00666914" w:rsidRDefault="008A4FED" w:rsidP="004D30E9">
      <w:pPr>
        <w:spacing w:before="240"/>
        <w:rPr>
          <w:b/>
        </w:rPr>
      </w:pPr>
      <w:r w:rsidRPr="00666914">
        <w:rPr>
          <w:b/>
        </w:rPr>
        <w:t xml:space="preserve">K 31.12.2019 MZ SR nezaviedlo legislatívne zmeny pre zjednotenie pravidiel uhrádzania liekov mimo kategorizačného zoznamu, opatrenie sa tak nesplnilo. </w:t>
      </w:r>
      <w:r w:rsidRPr="00666914">
        <w:t>Schvaľovanie liečby zostáva v kompetencií ZP. Z pohľadu pacientov sa tak prístup k liečbe môže líšiť v závislosti od rozhodnutia ZP. Podiel schválených žiadostí sa medziročne znížil v ZP Dôvera, opačný trend zaznamenala ZP Union a VšZP. Vo VšZP zároveň pripadá najviac schválených žiadostí v prepočte na počet žiadateľov (graf 2).</w:t>
      </w:r>
    </w:p>
    <w:p w14:paraId="356B5964" w14:textId="6BF09155" w:rsidR="008A4FED" w:rsidRPr="00666914" w:rsidRDefault="008A4FED" w:rsidP="004D30E9">
      <w:pPr>
        <w:spacing w:after="0"/>
        <w:rPr>
          <w:b/>
          <w:sz w:val="20"/>
        </w:rPr>
      </w:pPr>
      <w:bookmarkStart w:id="58" w:name="_Toc20209183"/>
      <w:bookmarkStart w:id="59" w:name="_Toc36547028"/>
      <w:bookmarkStart w:id="60" w:name="_Toc38447669"/>
      <w:r w:rsidRPr="00666914">
        <w:rPr>
          <w:b/>
          <w:sz w:val="20"/>
        </w:rPr>
        <w:t xml:space="preserve">Tabuľka </w:t>
      </w:r>
      <w:r w:rsidRPr="00666914">
        <w:rPr>
          <w:b/>
          <w:noProof/>
          <w:sz w:val="20"/>
        </w:rPr>
        <w:fldChar w:fldCharType="begin"/>
      </w:r>
      <w:r w:rsidRPr="00666914">
        <w:rPr>
          <w:b/>
          <w:noProof/>
          <w:sz w:val="20"/>
        </w:rPr>
        <w:instrText xml:space="preserve"> SEQ Tabuľka \* ARABIC </w:instrText>
      </w:r>
      <w:r w:rsidRPr="00666914">
        <w:rPr>
          <w:b/>
          <w:noProof/>
          <w:sz w:val="20"/>
        </w:rPr>
        <w:fldChar w:fldCharType="separate"/>
      </w:r>
      <w:r w:rsidR="005A7304">
        <w:rPr>
          <w:b/>
          <w:noProof/>
          <w:sz w:val="20"/>
        </w:rPr>
        <w:t>8</w:t>
      </w:r>
      <w:r w:rsidRPr="00666914">
        <w:rPr>
          <w:b/>
          <w:noProof/>
          <w:sz w:val="20"/>
        </w:rPr>
        <w:fldChar w:fldCharType="end"/>
      </w:r>
      <w:r w:rsidRPr="00666914">
        <w:rPr>
          <w:b/>
          <w:sz w:val="20"/>
        </w:rPr>
        <w:t>: Podiel schválených žiadostí o lieky na výnimky</w:t>
      </w:r>
      <w:r w:rsidRPr="00666914">
        <w:rPr>
          <w:b/>
          <w:sz w:val="20"/>
          <w:vertAlign w:val="superscript"/>
        </w:rPr>
        <w:footnoteReference w:id="15"/>
      </w:r>
      <w:bookmarkEnd w:id="58"/>
      <w:bookmarkEnd w:id="59"/>
      <w:bookmarkEnd w:id="60"/>
    </w:p>
    <w:tbl>
      <w:tblPr>
        <w:tblW w:w="9072" w:type="dxa"/>
        <w:tblLayout w:type="fixed"/>
        <w:tblCellMar>
          <w:left w:w="70" w:type="dxa"/>
          <w:right w:w="70" w:type="dxa"/>
        </w:tblCellMar>
        <w:tblLook w:val="04A0" w:firstRow="1" w:lastRow="0" w:firstColumn="1" w:lastColumn="0" w:noHBand="0" w:noVBand="1"/>
      </w:tblPr>
      <w:tblGrid>
        <w:gridCol w:w="2268"/>
        <w:gridCol w:w="1134"/>
        <w:gridCol w:w="1134"/>
        <w:gridCol w:w="1134"/>
        <w:gridCol w:w="1134"/>
        <w:gridCol w:w="1134"/>
        <w:gridCol w:w="1134"/>
      </w:tblGrid>
      <w:tr w:rsidR="008A4FED" w:rsidRPr="00666914" w14:paraId="5A8A307E" w14:textId="77777777" w:rsidTr="00CD3917">
        <w:trPr>
          <w:trHeight w:val="316"/>
        </w:trPr>
        <w:tc>
          <w:tcPr>
            <w:tcW w:w="2268" w:type="dxa"/>
            <w:tcBorders>
              <w:top w:val="single" w:sz="4" w:space="0" w:color="auto"/>
              <w:left w:val="nil"/>
              <w:bottom w:val="single" w:sz="4" w:space="0" w:color="auto"/>
              <w:right w:val="nil"/>
            </w:tcBorders>
            <w:shd w:val="clear" w:color="auto" w:fill="auto"/>
            <w:noWrap/>
            <w:vAlign w:val="center"/>
            <w:hideMark/>
          </w:tcPr>
          <w:p w14:paraId="72511BCE" w14:textId="77777777" w:rsidR="008A4FED" w:rsidRPr="00666914" w:rsidRDefault="008A4FED" w:rsidP="00F64B85">
            <w:pPr>
              <w:spacing w:after="0"/>
              <w:rPr>
                <w:rFonts w:eastAsia="Times New Roman"/>
                <w:b/>
                <w:sz w:val="20"/>
                <w:szCs w:val="20"/>
                <w:lang w:eastAsia="sk-SK"/>
              </w:rPr>
            </w:pPr>
            <w:r w:rsidRPr="00666914">
              <w:rPr>
                <w:rFonts w:eastAsia="Times New Roman"/>
                <w:b/>
                <w:sz w:val="20"/>
                <w:szCs w:val="20"/>
                <w:lang w:eastAsia="sk-SK"/>
              </w:rPr>
              <w:t>Poisťovňa</w:t>
            </w:r>
          </w:p>
        </w:tc>
        <w:tc>
          <w:tcPr>
            <w:tcW w:w="1134" w:type="dxa"/>
            <w:tcBorders>
              <w:top w:val="single" w:sz="4" w:space="0" w:color="auto"/>
              <w:left w:val="nil"/>
              <w:bottom w:val="single" w:sz="4" w:space="0" w:color="auto"/>
              <w:right w:val="nil"/>
            </w:tcBorders>
            <w:shd w:val="clear" w:color="auto" w:fill="auto"/>
            <w:noWrap/>
            <w:vAlign w:val="center"/>
            <w:hideMark/>
          </w:tcPr>
          <w:p w14:paraId="2CA49CCE" w14:textId="77777777" w:rsidR="008A4FED" w:rsidRPr="00666914" w:rsidRDefault="008A4FED" w:rsidP="00F64B85">
            <w:pPr>
              <w:spacing w:after="0"/>
              <w:jc w:val="center"/>
              <w:rPr>
                <w:rFonts w:eastAsia="Times New Roman"/>
                <w:b/>
                <w:bCs/>
                <w:color w:val="A6A6A6" w:themeColor="background1" w:themeShade="A6"/>
                <w:sz w:val="20"/>
                <w:szCs w:val="20"/>
                <w:highlight w:val="yellow"/>
                <w:lang w:eastAsia="sk-SK"/>
              </w:rPr>
            </w:pPr>
            <w:r w:rsidRPr="00666914">
              <w:rPr>
                <w:rFonts w:cs="Calibri"/>
                <w:b/>
                <w:bCs/>
                <w:color w:val="000000"/>
                <w:sz w:val="20"/>
                <w:szCs w:val="20"/>
              </w:rPr>
              <w:t>2014</w:t>
            </w:r>
          </w:p>
        </w:tc>
        <w:tc>
          <w:tcPr>
            <w:tcW w:w="1134" w:type="dxa"/>
            <w:tcBorders>
              <w:top w:val="single" w:sz="4" w:space="0" w:color="auto"/>
              <w:left w:val="nil"/>
              <w:bottom w:val="single" w:sz="4" w:space="0" w:color="auto"/>
              <w:right w:val="nil"/>
            </w:tcBorders>
            <w:shd w:val="clear" w:color="auto" w:fill="auto"/>
            <w:noWrap/>
            <w:vAlign w:val="center"/>
            <w:hideMark/>
          </w:tcPr>
          <w:p w14:paraId="42206520" w14:textId="77777777" w:rsidR="008A4FED" w:rsidRPr="00666914" w:rsidRDefault="008A4FED" w:rsidP="00F64B85">
            <w:pPr>
              <w:spacing w:after="0"/>
              <w:jc w:val="center"/>
              <w:rPr>
                <w:rFonts w:eastAsia="Times New Roman"/>
                <w:b/>
                <w:bCs/>
                <w:color w:val="A6A6A6" w:themeColor="background1" w:themeShade="A6"/>
                <w:sz w:val="20"/>
                <w:szCs w:val="20"/>
                <w:highlight w:val="yellow"/>
                <w:lang w:eastAsia="sk-SK"/>
              </w:rPr>
            </w:pPr>
            <w:r w:rsidRPr="00666914">
              <w:rPr>
                <w:rFonts w:cs="Calibri"/>
                <w:b/>
                <w:bCs/>
                <w:color w:val="000000"/>
                <w:sz w:val="20"/>
                <w:szCs w:val="20"/>
              </w:rPr>
              <w:t>2015</w:t>
            </w:r>
          </w:p>
        </w:tc>
        <w:tc>
          <w:tcPr>
            <w:tcW w:w="1134" w:type="dxa"/>
            <w:tcBorders>
              <w:top w:val="single" w:sz="4" w:space="0" w:color="auto"/>
              <w:left w:val="nil"/>
              <w:bottom w:val="single" w:sz="4" w:space="0" w:color="auto"/>
              <w:right w:val="nil"/>
            </w:tcBorders>
            <w:shd w:val="clear" w:color="auto" w:fill="auto"/>
            <w:noWrap/>
            <w:vAlign w:val="center"/>
            <w:hideMark/>
          </w:tcPr>
          <w:p w14:paraId="6FD451BE" w14:textId="77777777" w:rsidR="008A4FED" w:rsidRPr="00666914" w:rsidRDefault="008A4FED" w:rsidP="00F64B85">
            <w:pPr>
              <w:spacing w:after="0"/>
              <w:jc w:val="center"/>
              <w:rPr>
                <w:rFonts w:eastAsia="Times New Roman"/>
                <w:b/>
                <w:bCs/>
                <w:color w:val="A6A6A6" w:themeColor="background1" w:themeShade="A6"/>
                <w:sz w:val="20"/>
                <w:szCs w:val="20"/>
                <w:highlight w:val="yellow"/>
                <w:lang w:eastAsia="sk-SK"/>
              </w:rPr>
            </w:pPr>
            <w:r w:rsidRPr="00666914">
              <w:rPr>
                <w:rFonts w:cs="Calibri"/>
                <w:b/>
                <w:bCs/>
                <w:color w:val="000000"/>
                <w:sz w:val="20"/>
                <w:szCs w:val="20"/>
              </w:rPr>
              <w:t>2016</w:t>
            </w:r>
          </w:p>
        </w:tc>
        <w:tc>
          <w:tcPr>
            <w:tcW w:w="1134" w:type="dxa"/>
            <w:tcBorders>
              <w:top w:val="single" w:sz="4" w:space="0" w:color="auto"/>
              <w:left w:val="nil"/>
              <w:bottom w:val="single" w:sz="4" w:space="0" w:color="auto"/>
              <w:right w:val="nil"/>
            </w:tcBorders>
            <w:shd w:val="clear" w:color="auto" w:fill="auto"/>
            <w:noWrap/>
            <w:vAlign w:val="center"/>
            <w:hideMark/>
          </w:tcPr>
          <w:p w14:paraId="3F50CD0D" w14:textId="77777777" w:rsidR="008A4FED" w:rsidRPr="00666914" w:rsidRDefault="008A4FED" w:rsidP="00F64B85">
            <w:pPr>
              <w:spacing w:after="0"/>
              <w:jc w:val="center"/>
              <w:rPr>
                <w:rFonts w:eastAsia="Times New Roman"/>
                <w:b/>
                <w:bCs/>
                <w:color w:val="A6A6A6" w:themeColor="background1" w:themeShade="A6"/>
                <w:sz w:val="20"/>
                <w:szCs w:val="20"/>
                <w:highlight w:val="yellow"/>
                <w:lang w:eastAsia="sk-SK"/>
              </w:rPr>
            </w:pPr>
            <w:r w:rsidRPr="00666914">
              <w:rPr>
                <w:rFonts w:cs="Calibri"/>
                <w:b/>
                <w:bCs/>
                <w:color w:val="000000"/>
                <w:sz w:val="20"/>
                <w:szCs w:val="20"/>
              </w:rPr>
              <w:t>2017</w:t>
            </w:r>
          </w:p>
        </w:tc>
        <w:tc>
          <w:tcPr>
            <w:tcW w:w="1134" w:type="dxa"/>
            <w:tcBorders>
              <w:top w:val="single" w:sz="4" w:space="0" w:color="auto"/>
              <w:left w:val="nil"/>
              <w:bottom w:val="single" w:sz="4" w:space="0" w:color="auto"/>
              <w:right w:val="nil"/>
            </w:tcBorders>
            <w:vAlign w:val="center"/>
          </w:tcPr>
          <w:p w14:paraId="19D73C46" w14:textId="77777777" w:rsidR="008A4FED" w:rsidRPr="00666914" w:rsidRDefault="008A4FED" w:rsidP="00F64B85">
            <w:pPr>
              <w:spacing w:after="0"/>
              <w:jc w:val="center"/>
              <w:rPr>
                <w:rFonts w:eastAsia="Times New Roman"/>
                <w:b/>
                <w:bCs/>
                <w:color w:val="A6A6A6" w:themeColor="background1" w:themeShade="A6"/>
                <w:sz w:val="20"/>
                <w:szCs w:val="20"/>
                <w:highlight w:val="yellow"/>
                <w:lang w:eastAsia="sk-SK"/>
              </w:rPr>
            </w:pPr>
            <w:r w:rsidRPr="00666914">
              <w:rPr>
                <w:rFonts w:cs="Calibri"/>
                <w:b/>
                <w:bCs/>
                <w:color w:val="000000"/>
                <w:sz w:val="20"/>
                <w:szCs w:val="20"/>
              </w:rPr>
              <w:t>2018</w:t>
            </w:r>
          </w:p>
        </w:tc>
        <w:tc>
          <w:tcPr>
            <w:tcW w:w="1134" w:type="dxa"/>
            <w:tcBorders>
              <w:top w:val="single" w:sz="4" w:space="0" w:color="auto"/>
              <w:left w:val="nil"/>
              <w:bottom w:val="single" w:sz="4" w:space="0" w:color="auto"/>
              <w:right w:val="nil"/>
            </w:tcBorders>
            <w:vAlign w:val="center"/>
          </w:tcPr>
          <w:p w14:paraId="71300705" w14:textId="77777777" w:rsidR="008A4FED" w:rsidRPr="00666914" w:rsidRDefault="008A4FED" w:rsidP="00F64B85">
            <w:pPr>
              <w:spacing w:after="0"/>
              <w:jc w:val="center"/>
              <w:rPr>
                <w:rFonts w:eastAsia="Times New Roman"/>
                <w:b/>
                <w:bCs/>
                <w:color w:val="A6A6A6" w:themeColor="background1" w:themeShade="A6"/>
                <w:sz w:val="20"/>
                <w:szCs w:val="20"/>
                <w:highlight w:val="yellow"/>
                <w:lang w:eastAsia="sk-SK"/>
              </w:rPr>
            </w:pPr>
            <w:r w:rsidRPr="00666914">
              <w:rPr>
                <w:rFonts w:cs="Calibri"/>
                <w:b/>
                <w:bCs/>
                <w:color w:val="000000"/>
                <w:sz w:val="20"/>
                <w:szCs w:val="20"/>
              </w:rPr>
              <w:t>2019</w:t>
            </w:r>
          </w:p>
        </w:tc>
      </w:tr>
      <w:tr w:rsidR="008A4FED" w:rsidRPr="00666914" w14:paraId="4B8C3936" w14:textId="77777777" w:rsidTr="00CD3917">
        <w:trPr>
          <w:trHeight w:val="316"/>
        </w:trPr>
        <w:tc>
          <w:tcPr>
            <w:tcW w:w="2268" w:type="dxa"/>
            <w:tcBorders>
              <w:top w:val="single" w:sz="4" w:space="0" w:color="auto"/>
              <w:left w:val="nil"/>
              <w:bottom w:val="nil"/>
              <w:right w:val="nil"/>
            </w:tcBorders>
            <w:shd w:val="clear" w:color="auto" w:fill="auto"/>
            <w:noWrap/>
            <w:vAlign w:val="center"/>
            <w:hideMark/>
          </w:tcPr>
          <w:p w14:paraId="02733E59" w14:textId="77777777" w:rsidR="008A4FED" w:rsidRPr="00666914" w:rsidRDefault="008A4FED" w:rsidP="00F64B85">
            <w:pPr>
              <w:spacing w:after="0"/>
              <w:jc w:val="left"/>
              <w:rPr>
                <w:rFonts w:eastAsia="Times New Roman"/>
                <w:i/>
                <w:iCs/>
                <w:sz w:val="20"/>
                <w:szCs w:val="20"/>
                <w:lang w:eastAsia="sk-SK"/>
              </w:rPr>
            </w:pPr>
            <w:r w:rsidRPr="00666914">
              <w:rPr>
                <w:rFonts w:eastAsia="Times New Roman"/>
                <w:i/>
                <w:iCs/>
                <w:sz w:val="20"/>
                <w:szCs w:val="20"/>
                <w:lang w:eastAsia="sk-SK"/>
              </w:rPr>
              <w:t>Dôvera</w:t>
            </w:r>
          </w:p>
        </w:tc>
        <w:tc>
          <w:tcPr>
            <w:tcW w:w="1134" w:type="dxa"/>
            <w:tcBorders>
              <w:top w:val="single" w:sz="4" w:space="0" w:color="auto"/>
              <w:left w:val="nil"/>
              <w:bottom w:val="nil"/>
              <w:right w:val="nil"/>
            </w:tcBorders>
            <w:shd w:val="clear" w:color="auto" w:fill="auto"/>
            <w:noWrap/>
            <w:vAlign w:val="center"/>
            <w:hideMark/>
          </w:tcPr>
          <w:p w14:paraId="1A2B9761" w14:textId="77777777" w:rsidR="008A4FED" w:rsidRPr="00666914" w:rsidRDefault="008A4FED" w:rsidP="00F64B85">
            <w:pPr>
              <w:spacing w:after="0"/>
              <w:jc w:val="center"/>
              <w:rPr>
                <w:rFonts w:eastAsia="Times New Roman"/>
                <w:color w:val="A6A6A6" w:themeColor="background1" w:themeShade="A6"/>
                <w:sz w:val="20"/>
                <w:szCs w:val="20"/>
                <w:highlight w:val="yellow"/>
                <w:lang w:eastAsia="sk-SK"/>
              </w:rPr>
            </w:pPr>
            <w:r w:rsidRPr="00666914">
              <w:rPr>
                <w:rFonts w:cs="Calibri"/>
                <w:color w:val="000000"/>
                <w:sz w:val="20"/>
                <w:szCs w:val="20"/>
              </w:rPr>
              <w:t>88%</w:t>
            </w:r>
          </w:p>
        </w:tc>
        <w:tc>
          <w:tcPr>
            <w:tcW w:w="1134" w:type="dxa"/>
            <w:tcBorders>
              <w:top w:val="single" w:sz="4" w:space="0" w:color="auto"/>
              <w:left w:val="nil"/>
              <w:bottom w:val="nil"/>
              <w:right w:val="nil"/>
            </w:tcBorders>
            <w:shd w:val="clear" w:color="auto" w:fill="auto"/>
            <w:noWrap/>
            <w:vAlign w:val="center"/>
            <w:hideMark/>
          </w:tcPr>
          <w:p w14:paraId="155B1CD0" w14:textId="77777777" w:rsidR="008A4FED" w:rsidRPr="00666914" w:rsidRDefault="008A4FED" w:rsidP="00F64B85">
            <w:pPr>
              <w:spacing w:after="0"/>
              <w:jc w:val="center"/>
              <w:rPr>
                <w:rFonts w:eastAsia="Times New Roman"/>
                <w:color w:val="A6A6A6" w:themeColor="background1" w:themeShade="A6"/>
                <w:sz w:val="20"/>
                <w:szCs w:val="20"/>
                <w:highlight w:val="yellow"/>
                <w:lang w:eastAsia="sk-SK"/>
              </w:rPr>
            </w:pPr>
            <w:r w:rsidRPr="00666914">
              <w:rPr>
                <w:rFonts w:cs="Calibri"/>
                <w:color w:val="000000"/>
                <w:sz w:val="20"/>
                <w:szCs w:val="20"/>
              </w:rPr>
              <w:t>81%</w:t>
            </w:r>
          </w:p>
        </w:tc>
        <w:tc>
          <w:tcPr>
            <w:tcW w:w="1134" w:type="dxa"/>
            <w:tcBorders>
              <w:top w:val="single" w:sz="4" w:space="0" w:color="auto"/>
              <w:left w:val="nil"/>
              <w:bottom w:val="nil"/>
              <w:right w:val="nil"/>
            </w:tcBorders>
            <w:shd w:val="clear" w:color="auto" w:fill="auto"/>
            <w:noWrap/>
            <w:vAlign w:val="center"/>
            <w:hideMark/>
          </w:tcPr>
          <w:p w14:paraId="636D275C" w14:textId="77777777" w:rsidR="008A4FED" w:rsidRPr="00666914" w:rsidRDefault="008A4FED" w:rsidP="00F64B85">
            <w:pPr>
              <w:spacing w:after="0"/>
              <w:jc w:val="center"/>
              <w:rPr>
                <w:rFonts w:eastAsia="Times New Roman"/>
                <w:color w:val="A6A6A6" w:themeColor="background1" w:themeShade="A6"/>
                <w:sz w:val="20"/>
                <w:szCs w:val="20"/>
                <w:highlight w:val="yellow"/>
                <w:lang w:eastAsia="sk-SK"/>
              </w:rPr>
            </w:pPr>
            <w:r w:rsidRPr="00666914">
              <w:rPr>
                <w:rFonts w:cs="Calibri"/>
                <w:color w:val="000000"/>
                <w:sz w:val="20"/>
                <w:szCs w:val="20"/>
              </w:rPr>
              <w:t>88%</w:t>
            </w:r>
          </w:p>
        </w:tc>
        <w:tc>
          <w:tcPr>
            <w:tcW w:w="1134" w:type="dxa"/>
            <w:tcBorders>
              <w:top w:val="single" w:sz="4" w:space="0" w:color="auto"/>
              <w:left w:val="nil"/>
              <w:bottom w:val="nil"/>
              <w:right w:val="nil"/>
            </w:tcBorders>
            <w:shd w:val="clear" w:color="auto" w:fill="auto"/>
            <w:noWrap/>
            <w:vAlign w:val="center"/>
            <w:hideMark/>
          </w:tcPr>
          <w:p w14:paraId="6D8BDF6B" w14:textId="77777777" w:rsidR="008A4FED" w:rsidRPr="00666914" w:rsidRDefault="008A4FED" w:rsidP="00F64B85">
            <w:pPr>
              <w:spacing w:after="0"/>
              <w:jc w:val="center"/>
              <w:rPr>
                <w:rFonts w:eastAsia="Times New Roman"/>
                <w:color w:val="A6A6A6" w:themeColor="background1" w:themeShade="A6"/>
                <w:sz w:val="20"/>
                <w:szCs w:val="20"/>
                <w:highlight w:val="yellow"/>
                <w:lang w:eastAsia="sk-SK"/>
              </w:rPr>
            </w:pPr>
            <w:r w:rsidRPr="00666914">
              <w:rPr>
                <w:rFonts w:cs="Calibri"/>
                <w:color w:val="000000"/>
                <w:sz w:val="20"/>
                <w:szCs w:val="20"/>
              </w:rPr>
              <w:t>88%</w:t>
            </w:r>
          </w:p>
        </w:tc>
        <w:tc>
          <w:tcPr>
            <w:tcW w:w="1134" w:type="dxa"/>
            <w:tcBorders>
              <w:top w:val="single" w:sz="4" w:space="0" w:color="auto"/>
              <w:left w:val="nil"/>
              <w:bottom w:val="nil"/>
              <w:right w:val="nil"/>
            </w:tcBorders>
            <w:vAlign w:val="center"/>
          </w:tcPr>
          <w:p w14:paraId="2A06F466" w14:textId="77777777" w:rsidR="008A4FED" w:rsidRPr="00666914" w:rsidRDefault="008A4FED" w:rsidP="00F64B85">
            <w:pPr>
              <w:spacing w:after="0"/>
              <w:jc w:val="center"/>
              <w:rPr>
                <w:rFonts w:eastAsia="Times New Roman"/>
                <w:color w:val="A6A6A6" w:themeColor="background1" w:themeShade="A6"/>
                <w:sz w:val="20"/>
                <w:szCs w:val="20"/>
                <w:highlight w:val="yellow"/>
                <w:lang w:eastAsia="sk-SK"/>
              </w:rPr>
            </w:pPr>
            <w:r w:rsidRPr="00666914">
              <w:rPr>
                <w:rFonts w:cs="Calibri"/>
                <w:color w:val="000000"/>
                <w:sz w:val="20"/>
                <w:szCs w:val="20"/>
              </w:rPr>
              <w:t>87%</w:t>
            </w:r>
          </w:p>
        </w:tc>
        <w:tc>
          <w:tcPr>
            <w:tcW w:w="1134" w:type="dxa"/>
            <w:tcBorders>
              <w:top w:val="single" w:sz="4" w:space="0" w:color="auto"/>
              <w:left w:val="nil"/>
              <w:bottom w:val="nil"/>
              <w:right w:val="nil"/>
            </w:tcBorders>
            <w:vAlign w:val="center"/>
          </w:tcPr>
          <w:p w14:paraId="67DAAF84" w14:textId="77777777" w:rsidR="008A4FED" w:rsidRPr="00666914" w:rsidRDefault="008A4FED" w:rsidP="00F64B85">
            <w:pPr>
              <w:spacing w:after="0"/>
              <w:jc w:val="center"/>
              <w:rPr>
                <w:rFonts w:cs="Calibri"/>
                <w:color w:val="A6A6A6" w:themeColor="background1" w:themeShade="A6"/>
                <w:sz w:val="20"/>
                <w:szCs w:val="20"/>
                <w:highlight w:val="yellow"/>
              </w:rPr>
            </w:pPr>
            <w:r w:rsidRPr="00666914">
              <w:rPr>
                <w:rFonts w:cs="Calibri"/>
                <w:color w:val="000000"/>
                <w:sz w:val="20"/>
                <w:szCs w:val="20"/>
              </w:rPr>
              <w:t>83%</w:t>
            </w:r>
          </w:p>
        </w:tc>
      </w:tr>
      <w:tr w:rsidR="008A4FED" w:rsidRPr="00666914" w14:paraId="51600D88" w14:textId="77777777" w:rsidTr="00CD3917">
        <w:trPr>
          <w:trHeight w:val="316"/>
        </w:trPr>
        <w:tc>
          <w:tcPr>
            <w:tcW w:w="2268" w:type="dxa"/>
            <w:tcBorders>
              <w:top w:val="nil"/>
              <w:left w:val="nil"/>
              <w:bottom w:val="nil"/>
              <w:right w:val="nil"/>
            </w:tcBorders>
            <w:shd w:val="clear" w:color="auto" w:fill="auto"/>
            <w:noWrap/>
            <w:vAlign w:val="center"/>
            <w:hideMark/>
          </w:tcPr>
          <w:p w14:paraId="5D7BB9C9" w14:textId="77777777" w:rsidR="008A4FED" w:rsidRPr="00666914" w:rsidRDefault="008A4FED" w:rsidP="00F64B85">
            <w:pPr>
              <w:spacing w:after="0"/>
              <w:jc w:val="left"/>
              <w:rPr>
                <w:rFonts w:eastAsia="Times New Roman"/>
                <w:i/>
                <w:iCs/>
                <w:sz w:val="20"/>
                <w:szCs w:val="20"/>
                <w:lang w:eastAsia="sk-SK"/>
              </w:rPr>
            </w:pPr>
            <w:r w:rsidRPr="00666914">
              <w:rPr>
                <w:rFonts w:eastAsia="Times New Roman"/>
                <w:i/>
                <w:iCs/>
                <w:sz w:val="20"/>
                <w:szCs w:val="20"/>
                <w:lang w:eastAsia="sk-SK"/>
              </w:rPr>
              <w:t>Union</w:t>
            </w:r>
          </w:p>
        </w:tc>
        <w:tc>
          <w:tcPr>
            <w:tcW w:w="1134" w:type="dxa"/>
            <w:tcBorders>
              <w:top w:val="nil"/>
              <w:left w:val="nil"/>
              <w:bottom w:val="nil"/>
              <w:right w:val="nil"/>
            </w:tcBorders>
            <w:shd w:val="clear" w:color="auto" w:fill="auto"/>
            <w:noWrap/>
            <w:vAlign w:val="center"/>
            <w:hideMark/>
          </w:tcPr>
          <w:p w14:paraId="6E9346CF" w14:textId="77777777" w:rsidR="008A4FED" w:rsidRPr="00666914" w:rsidRDefault="008A4FED" w:rsidP="00F64B85">
            <w:pPr>
              <w:spacing w:after="0"/>
              <w:jc w:val="center"/>
              <w:rPr>
                <w:rFonts w:eastAsia="Times New Roman"/>
                <w:color w:val="A6A6A6" w:themeColor="background1" w:themeShade="A6"/>
                <w:sz w:val="20"/>
                <w:szCs w:val="20"/>
                <w:highlight w:val="yellow"/>
                <w:lang w:eastAsia="sk-SK"/>
              </w:rPr>
            </w:pPr>
            <w:r w:rsidRPr="00666914">
              <w:rPr>
                <w:rFonts w:cs="Calibri"/>
                <w:color w:val="000000"/>
                <w:sz w:val="20"/>
                <w:szCs w:val="20"/>
              </w:rPr>
              <w:t>90%</w:t>
            </w:r>
          </w:p>
        </w:tc>
        <w:tc>
          <w:tcPr>
            <w:tcW w:w="1134" w:type="dxa"/>
            <w:tcBorders>
              <w:top w:val="nil"/>
              <w:left w:val="nil"/>
              <w:bottom w:val="nil"/>
              <w:right w:val="nil"/>
            </w:tcBorders>
            <w:shd w:val="clear" w:color="auto" w:fill="auto"/>
            <w:noWrap/>
            <w:vAlign w:val="center"/>
            <w:hideMark/>
          </w:tcPr>
          <w:p w14:paraId="23105788" w14:textId="77777777" w:rsidR="008A4FED" w:rsidRPr="00666914" w:rsidRDefault="008A4FED" w:rsidP="00F64B85">
            <w:pPr>
              <w:spacing w:after="0"/>
              <w:jc w:val="center"/>
              <w:rPr>
                <w:rFonts w:eastAsia="Times New Roman"/>
                <w:color w:val="A6A6A6" w:themeColor="background1" w:themeShade="A6"/>
                <w:sz w:val="20"/>
                <w:szCs w:val="20"/>
                <w:highlight w:val="yellow"/>
                <w:lang w:eastAsia="sk-SK"/>
              </w:rPr>
            </w:pPr>
            <w:r w:rsidRPr="00666914">
              <w:rPr>
                <w:rFonts w:cs="Calibri"/>
                <w:color w:val="000000"/>
                <w:sz w:val="20"/>
                <w:szCs w:val="20"/>
              </w:rPr>
              <w:t>91%</w:t>
            </w:r>
          </w:p>
        </w:tc>
        <w:tc>
          <w:tcPr>
            <w:tcW w:w="1134" w:type="dxa"/>
            <w:tcBorders>
              <w:top w:val="nil"/>
              <w:left w:val="nil"/>
              <w:bottom w:val="nil"/>
              <w:right w:val="nil"/>
            </w:tcBorders>
            <w:shd w:val="clear" w:color="auto" w:fill="auto"/>
            <w:noWrap/>
            <w:vAlign w:val="center"/>
            <w:hideMark/>
          </w:tcPr>
          <w:p w14:paraId="44FAB846" w14:textId="77777777" w:rsidR="008A4FED" w:rsidRPr="00666914" w:rsidRDefault="008A4FED" w:rsidP="00F64B85">
            <w:pPr>
              <w:spacing w:after="0"/>
              <w:jc w:val="center"/>
              <w:rPr>
                <w:rFonts w:eastAsia="Times New Roman"/>
                <w:color w:val="A6A6A6" w:themeColor="background1" w:themeShade="A6"/>
                <w:sz w:val="20"/>
                <w:szCs w:val="20"/>
                <w:highlight w:val="yellow"/>
                <w:lang w:eastAsia="sk-SK"/>
              </w:rPr>
            </w:pPr>
            <w:r w:rsidRPr="00666914">
              <w:rPr>
                <w:rFonts w:cs="Calibri"/>
                <w:color w:val="000000"/>
                <w:sz w:val="20"/>
                <w:szCs w:val="20"/>
              </w:rPr>
              <w:t>87%</w:t>
            </w:r>
          </w:p>
        </w:tc>
        <w:tc>
          <w:tcPr>
            <w:tcW w:w="1134" w:type="dxa"/>
            <w:tcBorders>
              <w:top w:val="nil"/>
              <w:left w:val="nil"/>
              <w:bottom w:val="nil"/>
              <w:right w:val="nil"/>
            </w:tcBorders>
            <w:shd w:val="clear" w:color="auto" w:fill="auto"/>
            <w:noWrap/>
            <w:vAlign w:val="center"/>
            <w:hideMark/>
          </w:tcPr>
          <w:p w14:paraId="617C344A" w14:textId="77777777" w:rsidR="008A4FED" w:rsidRPr="00666914" w:rsidRDefault="008A4FED" w:rsidP="00F64B85">
            <w:pPr>
              <w:spacing w:after="0"/>
              <w:jc w:val="center"/>
              <w:rPr>
                <w:rFonts w:eastAsia="Times New Roman"/>
                <w:color w:val="A6A6A6" w:themeColor="background1" w:themeShade="A6"/>
                <w:sz w:val="20"/>
                <w:szCs w:val="20"/>
                <w:highlight w:val="yellow"/>
                <w:lang w:eastAsia="sk-SK"/>
              </w:rPr>
            </w:pPr>
            <w:r w:rsidRPr="00666914">
              <w:rPr>
                <w:rFonts w:cs="Calibri"/>
                <w:color w:val="000000"/>
                <w:sz w:val="20"/>
                <w:szCs w:val="20"/>
              </w:rPr>
              <w:t>84%</w:t>
            </w:r>
          </w:p>
        </w:tc>
        <w:tc>
          <w:tcPr>
            <w:tcW w:w="1134" w:type="dxa"/>
            <w:tcBorders>
              <w:top w:val="nil"/>
              <w:left w:val="nil"/>
              <w:bottom w:val="nil"/>
              <w:right w:val="nil"/>
            </w:tcBorders>
            <w:vAlign w:val="center"/>
          </w:tcPr>
          <w:p w14:paraId="74EED312" w14:textId="77777777" w:rsidR="008A4FED" w:rsidRPr="00666914" w:rsidRDefault="008A4FED" w:rsidP="00F64B85">
            <w:pPr>
              <w:spacing w:after="0"/>
              <w:jc w:val="center"/>
              <w:rPr>
                <w:rFonts w:eastAsia="Times New Roman"/>
                <w:color w:val="A6A6A6" w:themeColor="background1" w:themeShade="A6"/>
                <w:sz w:val="20"/>
                <w:szCs w:val="20"/>
                <w:highlight w:val="yellow"/>
                <w:lang w:eastAsia="sk-SK"/>
              </w:rPr>
            </w:pPr>
            <w:r w:rsidRPr="00666914">
              <w:rPr>
                <w:rFonts w:cs="Calibri"/>
                <w:color w:val="000000"/>
                <w:sz w:val="20"/>
                <w:szCs w:val="20"/>
              </w:rPr>
              <w:t>85%</w:t>
            </w:r>
          </w:p>
        </w:tc>
        <w:tc>
          <w:tcPr>
            <w:tcW w:w="1134" w:type="dxa"/>
            <w:tcBorders>
              <w:top w:val="nil"/>
              <w:left w:val="nil"/>
              <w:bottom w:val="nil"/>
              <w:right w:val="nil"/>
            </w:tcBorders>
            <w:vAlign w:val="center"/>
          </w:tcPr>
          <w:p w14:paraId="092451BA" w14:textId="77777777" w:rsidR="008A4FED" w:rsidRPr="00666914" w:rsidRDefault="008A4FED" w:rsidP="00F64B85">
            <w:pPr>
              <w:spacing w:after="0"/>
              <w:jc w:val="center"/>
              <w:rPr>
                <w:rFonts w:cs="Calibri"/>
                <w:color w:val="A6A6A6" w:themeColor="background1" w:themeShade="A6"/>
                <w:sz w:val="20"/>
                <w:szCs w:val="20"/>
                <w:highlight w:val="yellow"/>
              </w:rPr>
            </w:pPr>
            <w:r w:rsidRPr="00666914">
              <w:rPr>
                <w:rFonts w:cs="Calibri"/>
                <w:color w:val="000000"/>
                <w:sz w:val="20"/>
                <w:szCs w:val="20"/>
              </w:rPr>
              <w:t>90%</w:t>
            </w:r>
          </w:p>
        </w:tc>
      </w:tr>
      <w:tr w:rsidR="008A4FED" w:rsidRPr="00666914" w14:paraId="7F80A9A7" w14:textId="77777777" w:rsidTr="00CD3917">
        <w:trPr>
          <w:trHeight w:val="326"/>
        </w:trPr>
        <w:tc>
          <w:tcPr>
            <w:tcW w:w="2268" w:type="dxa"/>
            <w:tcBorders>
              <w:top w:val="nil"/>
              <w:left w:val="nil"/>
              <w:bottom w:val="single" w:sz="4" w:space="0" w:color="auto"/>
              <w:right w:val="nil"/>
            </w:tcBorders>
            <w:shd w:val="clear" w:color="auto" w:fill="auto"/>
            <w:noWrap/>
            <w:vAlign w:val="center"/>
            <w:hideMark/>
          </w:tcPr>
          <w:p w14:paraId="6CF406C0" w14:textId="77777777" w:rsidR="008A4FED" w:rsidRPr="00666914" w:rsidRDefault="008A4FED" w:rsidP="00F64B85">
            <w:pPr>
              <w:spacing w:after="0"/>
              <w:jc w:val="left"/>
              <w:rPr>
                <w:rFonts w:eastAsia="Times New Roman"/>
                <w:i/>
                <w:iCs/>
                <w:sz w:val="20"/>
                <w:szCs w:val="20"/>
                <w:lang w:eastAsia="sk-SK"/>
              </w:rPr>
            </w:pPr>
            <w:r w:rsidRPr="00666914">
              <w:rPr>
                <w:rFonts w:eastAsia="Times New Roman"/>
                <w:i/>
                <w:iCs/>
                <w:sz w:val="20"/>
                <w:szCs w:val="20"/>
                <w:lang w:eastAsia="sk-SK"/>
              </w:rPr>
              <w:t>VšZP</w:t>
            </w:r>
          </w:p>
        </w:tc>
        <w:tc>
          <w:tcPr>
            <w:tcW w:w="1134" w:type="dxa"/>
            <w:tcBorders>
              <w:top w:val="nil"/>
              <w:left w:val="nil"/>
              <w:bottom w:val="single" w:sz="4" w:space="0" w:color="auto"/>
              <w:right w:val="nil"/>
            </w:tcBorders>
            <w:shd w:val="clear" w:color="auto" w:fill="auto"/>
            <w:noWrap/>
            <w:vAlign w:val="center"/>
          </w:tcPr>
          <w:p w14:paraId="68B3E69D" w14:textId="77777777" w:rsidR="008A4FED" w:rsidRPr="00666914" w:rsidRDefault="008A4FED" w:rsidP="00F64B85">
            <w:pPr>
              <w:spacing w:after="0"/>
              <w:jc w:val="center"/>
              <w:rPr>
                <w:rFonts w:eastAsia="Times New Roman"/>
                <w:color w:val="A6A6A6" w:themeColor="background1" w:themeShade="A6"/>
                <w:sz w:val="20"/>
                <w:szCs w:val="20"/>
                <w:highlight w:val="yellow"/>
                <w:lang w:eastAsia="sk-SK"/>
              </w:rPr>
            </w:pPr>
            <w:r w:rsidRPr="00666914">
              <w:rPr>
                <w:rFonts w:cs="Calibri"/>
                <w:color w:val="000000"/>
                <w:sz w:val="20"/>
                <w:szCs w:val="20"/>
              </w:rPr>
              <w:t>89%</w:t>
            </w:r>
          </w:p>
        </w:tc>
        <w:tc>
          <w:tcPr>
            <w:tcW w:w="1134" w:type="dxa"/>
            <w:tcBorders>
              <w:top w:val="nil"/>
              <w:left w:val="nil"/>
              <w:bottom w:val="single" w:sz="4" w:space="0" w:color="auto"/>
              <w:right w:val="nil"/>
            </w:tcBorders>
            <w:shd w:val="clear" w:color="auto" w:fill="auto"/>
            <w:noWrap/>
            <w:vAlign w:val="center"/>
          </w:tcPr>
          <w:p w14:paraId="58A30068" w14:textId="77777777" w:rsidR="008A4FED" w:rsidRPr="00666914" w:rsidRDefault="008A4FED" w:rsidP="00F64B85">
            <w:pPr>
              <w:spacing w:after="0"/>
              <w:jc w:val="center"/>
              <w:rPr>
                <w:rFonts w:eastAsia="Times New Roman"/>
                <w:color w:val="A6A6A6" w:themeColor="background1" w:themeShade="A6"/>
                <w:sz w:val="20"/>
                <w:szCs w:val="20"/>
                <w:highlight w:val="yellow"/>
                <w:lang w:eastAsia="sk-SK"/>
              </w:rPr>
            </w:pPr>
            <w:r w:rsidRPr="00666914">
              <w:rPr>
                <w:rFonts w:cs="Calibri"/>
                <w:color w:val="000000"/>
                <w:sz w:val="20"/>
                <w:szCs w:val="20"/>
              </w:rPr>
              <w:t>90%</w:t>
            </w:r>
          </w:p>
        </w:tc>
        <w:tc>
          <w:tcPr>
            <w:tcW w:w="1134" w:type="dxa"/>
            <w:tcBorders>
              <w:top w:val="nil"/>
              <w:left w:val="nil"/>
              <w:bottom w:val="single" w:sz="4" w:space="0" w:color="auto"/>
              <w:right w:val="nil"/>
            </w:tcBorders>
            <w:shd w:val="clear" w:color="auto" w:fill="auto"/>
            <w:noWrap/>
            <w:vAlign w:val="center"/>
          </w:tcPr>
          <w:p w14:paraId="00537ACA" w14:textId="77777777" w:rsidR="008A4FED" w:rsidRPr="00666914" w:rsidRDefault="008A4FED" w:rsidP="00F64B85">
            <w:pPr>
              <w:spacing w:after="0"/>
              <w:jc w:val="center"/>
              <w:rPr>
                <w:rFonts w:eastAsia="Times New Roman"/>
                <w:color w:val="A6A6A6" w:themeColor="background1" w:themeShade="A6"/>
                <w:sz w:val="20"/>
                <w:szCs w:val="20"/>
                <w:highlight w:val="yellow"/>
                <w:lang w:eastAsia="sk-SK"/>
              </w:rPr>
            </w:pPr>
            <w:r w:rsidRPr="00666914">
              <w:rPr>
                <w:rFonts w:cs="Calibri"/>
                <w:color w:val="000000"/>
                <w:sz w:val="20"/>
                <w:szCs w:val="20"/>
              </w:rPr>
              <w:t>89%</w:t>
            </w:r>
          </w:p>
        </w:tc>
        <w:tc>
          <w:tcPr>
            <w:tcW w:w="1134" w:type="dxa"/>
            <w:tcBorders>
              <w:top w:val="nil"/>
              <w:left w:val="nil"/>
              <w:bottom w:val="single" w:sz="4" w:space="0" w:color="auto"/>
              <w:right w:val="nil"/>
            </w:tcBorders>
            <w:shd w:val="clear" w:color="auto" w:fill="auto"/>
            <w:noWrap/>
            <w:vAlign w:val="center"/>
          </w:tcPr>
          <w:p w14:paraId="1D9A452B" w14:textId="77777777" w:rsidR="008A4FED" w:rsidRPr="00666914" w:rsidRDefault="008A4FED" w:rsidP="00F64B85">
            <w:pPr>
              <w:spacing w:after="0"/>
              <w:jc w:val="center"/>
              <w:rPr>
                <w:rFonts w:eastAsia="Times New Roman"/>
                <w:color w:val="A6A6A6" w:themeColor="background1" w:themeShade="A6"/>
                <w:sz w:val="20"/>
                <w:szCs w:val="20"/>
                <w:highlight w:val="yellow"/>
                <w:lang w:eastAsia="sk-SK"/>
              </w:rPr>
            </w:pPr>
            <w:r w:rsidRPr="00666914">
              <w:rPr>
                <w:rFonts w:cs="Calibri"/>
                <w:color w:val="000000"/>
                <w:sz w:val="20"/>
                <w:szCs w:val="20"/>
              </w:rPr>
              <w:t>86%</w:t>
            </w:r>
          </w:p>
        </w:tc>
        <w:tc>
          <w:tcPr>
            <w:tcW w:w="1134" w:type="dxa"/>
            <w:tcBorders>
              <w:top w:val="nil"/>
              <w:left w:val="nil"/>
              <w:bottom w:val="single" w:sz="4" w:space="0" w:color="auto"/>
              <w:right w:val="nil"/>
            </w:tcBorders>
            <w:vAlign w:val="center"/>
          </w:tcPr>
          <w:p w14:paraId="425C356D" w14:textId="77777777" w:rsidR="008A4FED" w:rsidRPr="00666914" w:rsidRDefault="008A4FED" w:rsidP="00F64B85">
            <w:pPr>
              <w:spacing w:after="0"/>
              <w:jc w:val="center"/>
              <w:rPr>
                <w:rFonts w:eastAsia="Times New Roman"/>
                <w:color w:val="A6A6A6" w:themeColor="background1" w:themeShade="A6"/>
                <w:sz w:val="20"/>
                <w:szCs w:val="20"/>
                <w:highlight w:val="yellow"/>
                <w:lang w:eastAsia="sk-SK"/>
              </w:rPr>
            </w:pPr>
            <w:r w:rsidRPr="00666914">
              <w:rPr>
                <w:rFonts w:cs="Calibri"/>
                <w:color w:val="000000"/>
                <w:sz w:val="20"/>
                <w:szCs w:val="20"/>
              </w:rPr>
              <w:t>88%</w:t>
            </w:r>
          </w:p>
        </w:tc>
        <w:tc>
          <w:tcPr>
            <w:tcW w:w="1134" w:type="dxa"/>
            <w:tcBorders>
              <w:top w:val="nil"/>
              <w:left w:val="nil"/>
              <w:bottom w:val="single" w:sz="4" w:space="0" w:color="auto"/>
              <w:right w:val="nil"/>
            </w:tcBorders>
            <w:vAlign w:val="center"/>
          </w:tcPr>
          <w:p w14:paraId="667A5E4D" w14:textId="77777777" w:rsidR="008A4FED" w:rsidRPr="00666914" w:rsidRDefault="008A4FED" w:rsidP="00F64B85">
            <w:pPr>
              <w:spacing w:after="0"/>
              <w:jc w:val="center"/>
              <w:rPr>
                <w:rFonts w:cs="Calibri"/>
                <w:color w:val="A6A6A6" w:themeColor="background1" w:themeShade="A6"/>
                <w:sz w:val="20"/>
                <w:szCs w:val="20"/>
              </w:rPr>
            </w:pPr>
            <w:r w:rsidRPr="00666914">
              <w:rPr>
                <w:rFonts w:cs="Calibri"/>
                <w:color w:val="000000"/>
                <w:sz w:val="20"/>
                <w:szCs w:val="20"/>
              </w:rPr>
              <w:t>91%</w:t>
            </w:r>
          </w:p>
        </w:tc>
      </w:tr>
      <w:tr w:rsidR="008A4FED" w:rsidRPr="00666914" w14:paraId="1A84BC6D" w14:textId="77777777" w:rsidTr="00CD3917">
        <w:trPr>
          <w:trHeight w:val="326"/>
        </w:trPr>
        <w:tc>
          <w:tcPr>
            <w:tcW w:w="2268" w:type="dxa"/>
            <w:tcBorders>
              <w:top w:val="single" w:sz="4" w:space="0" w:color="auto"/>
              <w:left w:val="nil"/>
              <w:bottom w:val="single" w:sz="4" w:space="0" w:color="auto"/>
              <w:right w:val="nil"/>
            </w:tcBorders>
            <w:shd w:val="clear" w:color="auto" w:fill="auto"/>
            <w:noWrap/>
            <w:vAlign w:val="center"/>
            <w:hideMark/>
          </w:tcPr>
          <w:p w14:paraId="05F96B46" w14:textId="77777777" w:rsidR="008A4FED" w:rsidRPr="00666914" w:rsidRDefault="008A4FED" w:rsidP="00F64B85">
            <w:pPr>
              <w:spacing w:after="0"/>
              <w:jc w:val="left"/>
              <w:rPr>
                <w:rFonts w:eastAsia="Times New Roman"/>
                <w:b/>
                <w:bCs/>
                <w:sz w:val="20"/>
                <w:szCs w:val="20"/>
                <w:lang w:eastAsia="sk-SK"/>
              </w:rPr>
            </w:pPr>
            <w:r w:rsidRPr="00666914">
              <w:rPr>
                <w:rFonts w:cs="Calibri"/>
                <w:b/>
                <w:bCs/>
                <w:sz w:val="20"/>
                <w:szCs w:val="20"/>
              </w:rPr>
              <w:t>Priemer</w:t>
            </w:r>
          </w:p>
        </w:tc>
        <w:tc>
          <w:tcPr>
            <w:tcW w:w="1134" w:type="dxa"/>
            <w:tcBorders>
              <w:top w:val="single" w:sz="4" w:space="0" w:color="auto"/>
              <w:left w:val="nil"/>
              <w:bottom w:val="single" w:sz="4" w:space="0" w:color="auto"/>
              <w:right w:val="nil"/>
            </w:tcBorders>
            <w:shd w:val="clear" w:color="auto" w:fill="auto"/>
            <w:noWrap/>
            <w:vAlign w:val="center"/>
          </w:tcPr>
          <w:p w14:paraId="4C951CCB" w14:textId="77777777" w:rsidR="008A4FED" w:rsidRPr="00666914" w:rsidRDefault="008A4FED" w:rsidP="00F64B85">
            <w:pPr>
              <w:spacing w:after="0"/>
              <w:jc w:val="center"/>
              <w:rPr>
                <w:rFonts w:eastAsia="Times New Roman"/>
                <w:b/>
                <w:bCs/>
                <w:color w:val="A6A6A6" w:themeColor="background1" w:themeShade="A6"/>
                <w:sz w:val="20"/>
                <w:szCs w:val="20"/>
                <w:highlight w:val="yellow"/>
                <w:lang w:eastAsia="sk-SK"/>
              </w:rPr>
            </w:pPr>
            <w:r w:rsidRPr="00666914">
              <w:rPr>
                <w:rFonts w:cs="Calibri"/>
                <w:b/>
                <w:bCs/>
                <w:color w:val="000000"/>
                <w:sz w:val="20"/>
                <w:szCs w:val="20"/>
              </w:rPr>
              <w:t>89%</w:t>
            </w:r>
          </w:p>
        </w:tc>
        <w:tc>
          <w:tcPr>
            <w:tcW w:w="1134" w:type="dxa"/>
            <w:tcBorders>
              <w:top w:val="single" w:sz="4" w:space="0" w:color="auto"/>
              <w:left w:val="nil"/>
              <w:bottom w:val="single" w:sz="4" w:space="0" w:color="auto"/>
              <w:right w:val="nil"/>
            </w:tcBorders>
            <w:shd w:val="clear" w:color="auto" w:fill="auto"/>
            <w:noWrap/>
            <w:vAlign w:val="center"/>
          </w:tcPr>
          <w:p w14:paraId="0F7E72B6" w14:textId="77777777" w:rsidR="008A4FED" w:rsidRPr="00666914" w:rsidRDefault="008A4FED" w:rsidP="00F64B85">
            <w:pPr>
              <w:spacing w:after="0"/>
              <w:jc w:val="center"/>
              <w:rPr>
                <w:rFonts w:eastAsia="Times New Roman"/>
                <w:b/>
                <w:bCs/>
                <w:color w:val="A6A6A6" w:themeColor="background1" w:themeShade="A6"/>
                <w:sz w:val="20"/>
                <w:szCs w:val="20"/>
                <w:highlight w:val="yellow"/>
                <w:lang w:eastAsia="sk-SK"/>
              </w:rPr>
            </w:pPr>
            <w:r w:rsidRPr="00666914">
              <w:rPr>
                <w:rFonts w:cs="Calibri"/>
                <w:b/>
                <w:bCs/>
                <w:color w:val="000000"/>
                <w:sz w:val="20"/>
                <w:szCs w:val="20"/>
              </w:rPr>
              <w:t>87%</w:t>
            </w:r>
          </w:p>
        </w:tc>
        <w:tc>
          <w:tcPr>
            <w:tcW w:w="1134" w:type="dxa"/>
            <w:tcBorders>
              <w:top w:val="single" w:sz="4" w:space="0" w:color="auto"/>
              <w:left w:val="nil"/>
              <w:bottom w:val="single" w:sz="4" w:space="0" w:color="auto"/>
              <w:right w:val="nil"/>
            </w:tcBorders>
            <w:shd w:val="clear" w:color="auto" w:fill="auto"/>
            <w:noWrap/>
            <w:vAlign w:val="center"/>
          </w:tcPr>
          <w:p w14:paraId="0103773A" w14:textId="77777777" w:rsidR="008A4FED" w:rsidRPr="00666914" w:rsidRDefault="008A4FED" w:rsidP="00F64B85">
            <w:pPr>
              <w:spacing w:after="0"/>
              <w:jc w:val="center"/>
              <w:rPr>
                <w:rFonts w:eastAsia="Times New Roman"/>
                <w:b/>
                <w:bCs/>
                <w:color w:val="A6A6A6" w:themeColor="background1" w:themeShade="A6"/>
                <w:sz w:val="20"/>
                <w:szCs w:val="20"/>
                <w:highlight w:val="yellow"/>
                <w:lang w:eastAsia="sk-SK"/>
              </w:rPr>
            </w:pPr>
            <w:r w:rsidRPr="00666914">
              <w:rPr>
                <w:rFonts w:cs="Calibri"/>
                <w:b/>
                <w:bCs/>
                <w:color w:val="000000"/>
                <w:sz w:val="20"/>
                <w:szCs w:val="20"/>
              </w:rPr>
              <w:t>88%</w:t>
            </w:r>
          </w:p>
        </w:tc>
        <w:tc>
          <w:tcPr>
            <w:tcW w:w="1134" w:type="dxa"/>
            <w:tcBorders>
              <w:top w:val="single" w:sz="4" w:space="0" w:color="auto"/>
              <w:left w:val="nil"/>
              <w:bottom w:val="single" w:sz="4" w:space="0" w:color="auto"/>
              <w:right w:val="nil"/>
            </w:tcBorders>
            <w:shd w:val="clear" w:color="auto" w:fill="auto"/>
            <w:noWrap/>
            <w:vAlign w:val="center"/>
          </w:tcPr>
          <w:p w14:paraId="7D01AE01" w14:textId="77777777" w:rsidR="008A4FED" w:rsidRPr="00666914" w:rsidRDefault="008A4FED" w:rsidP="00F64B85">
            <w:pPr>
              <w:spacing w:after="0"/>
              <w:jc w:val="center"/>
              <w:rPr>
                <w:rFonts w:eastAsia="Times New Roman"/>
                <w:b/>
                <w:bCs/>
                <w:color w:val="A6A6A6" w:themeColor="background1" w:themeShade="A6"/>
                <w:sz w:val="20"/>
                <w:szCs w:val="20"/>
                <w:highlight w:val="yellow"/>
                <w:lang w:eastAsia="sk-SK"/>
              </w:rPr>
            </w:pPr>
            <w:r w:rsidRPr="00666914">
              <w:rPr>
                <w:rFonts w:cs="Calibri"/>
                <w:b/>
                <w:bCs/>
                <w:color w:val="000000"/>
                <w:sz w:val="20"/>
                <w:szCs w:val="20"/>
              </w:rPr>
              <w:t>86%</w:t>
            </w:r>
          </w:p>
        </w:tc>
        <w:tc>
          <w:tcPr>
            <w:tcW w:w="1134" w:type="dxa"/>
            <w:tcBorders>
              <w:top w:val="single" w:sz="4" w:space="0" w:color="auto"/>
              <w:left w:val="nil"/>
              <w:bottom w:val="single" w:sz="4" w:space="0" w:color="auto"/>
              <w:right w:val="nil"/>
            </w:tcBorders>
            <w:vAlign w:val="center"/>
          </w:tcPr>
          <w:p w14:paraId="447D5693" w14:textId="77777777" w:rsidR="008A4FED" w:rsidRPr="00666914" w:rsidRDefault="008A4FED" w:rsidP="00F64B85">
            <w:pPr>
              <w:spacing w:after="0"/>
              <w:jc w:val="center"/>
              <w:rPr>
                <w:rFonts w:eastAsia="Times New Roman"/>
                <w:b/>
                <w:bCs/>
                <w:color w:val="A6A6A6" w:themeColor="background1" w:themeShade="A6"/>
                <w:sz w:val="20"/>
                <w:szCs w:val="20"/>
                <w:highlight w:val="yellow"/>
                <w:lang w:eastAsia="sk-SK"/>
              </w:rPr>
            </w:pPr>
            <w:r w:rsidRPr="00666914">
              <w:rPr>
                <w:rFonts w:cs="Calibri"/>
                <w:b/>
                <w:bCs/>
                <w:color w:val="000000"/>
                <w:sz w:val="20"/>
                <w:szCs w:val="20"/>
              </w:rPr>
              <w:t>87%</w:t>
            </w:r>
          </w:p>
        </w:tc>
        <w:tc>
          <w:tcPr>
            <w:tcW w:w="1134" w:type="dxa"/>
            <w:tcBorders>
              <w:top w:val="single" w:sz="4" w:space="0" w:color="auto"/>
              <w:left w:val="nil"/>
              <w:bottom w:val="single" w:sz="4" w:space="0" w:color="auto"/>
              <w:right w:val="nil"/>
            </w:tcBorders>
            <w:vAlign w:val="center"/>
          </w:tcPr>
          <w:p w14:paraId="176F0E4F" w14:textId="77777777" w:rsidR="008A4FED" w:rsidRPr="00666914" w:rsidRDefault="008A4FED" w:rsidP="00F64B85">
            <w:pPr>
              <w:spacing w:after="0"/>
              <w:jc w:val="center"/>
              <w:rPr>
                <w:rFonts w:cs="Calibri"/>
                <w:b/>
                <w:bCs/>
                <w:color w:val="A6A6A6" w:themeColor="background1" w:themeShade="A6"/>
                <w:sz w:val="20"/>
                <w:szCs w:val="20"/>
              </w:rPr>
            </w:pPr>
            <w:r w:rsidRPr="00666914">
              <w:rPr>
                <w:rFonts w:cs="Calibri"/>
                <w:b/>
                <w:bCs/>
                <w:color w:val="000000"/>
                <w:sz w:val="20"/>
                <w:szCs w:val="20"/>
              </w:rPr>
              <w:t>88%</w:t>
            </w:r>
          </w:p>
        </w:tc>
      </w:tr>
    </w:tbl>
    <w:p w14:paraId="713D5F43" w14:textId="77777777" w:rsidR="008A4FED" w:rsidRPr="00666914" w:rsidRDefault="008A4FED" w:rsidP="00F64B85">
      <w:pPr>
        <w:jc w:val="right"/>
        <w:rPr>
          <w:b/>
        </w:rPr>
      </w:pPr>
      <w:r w:rsidRPr="00666914">
        <w:rPr>
          <w:i/>
          <w:sz w:val="18"/>
        </w:rPr>
        <w:t>Zdroj: ZP, MZ SR, spracovanie IJ</w:t>
      </w:r>
      <w:r w:rsidRPr="00666914">
        <w:br w:type="page"/>
      </w:r>
    </w:p>
    <w:p w14:paraId="5A7C79FC" w14:textId="65CEAE28" w:rsidR="008A4FED" w:rsidRPr="00666914" w:rsidRDefault="008A4FED" w:rsidP="00F64B85">
      <w:pPr>
        <w:pBdr>
          <w:bottom w:val="single" w:sz="4" w:space="1" w:color="auto"/>
        </w:pBdr>
        <w:spacing w:before="240" w:after="0"/>
        <w:rPr>
          <w:b/>
          <w:sz w:val="20"/>
        </w:rPr>
      </w:pPr>
      <w:bookmarkStart w:id="61" w:name="_Toc20209169"/>
      <w:bookmarkStart w:id="62" w:name="_Toc36547041"/>
      <w:bookmarkStart w:id="63" w:name="_Toc38390046"/>
      <w:r w:rsidRPr="00666914">
        <w:rPr>
          <w:b/>
          <w:sz w:val="20"/>
        </w:rPr>
        <w:lastRenderedPageBreak/>
        <w:t xml:space="preserve">Graf </w:t>
      </w:r>
      <w:r w:rsidRPr="00666914">
        <w:rPr>
          <w:b/>
          <w:sz w:val="20"/>
        </w:rPr>
        <w:fldChar w:fldCharType="begin"/>
      </w:r>
      <w:r w:rsidRPr="00666914">
        <w:rPr>
          <w:b/>
          <w:sz w:val="20"/>
        </w:rPr>
        <w:instrText xml:space="preserve"> SEQ Graf \* ARABIC \* MERGEFORMAT </w:instrText>
      </w:r>
      <w:r w:rsidRPr="00666914">
        <w:rPr>
          <w:b/>
          <w:sz w:val="20"/>
        </w:rPr>
        <w:fldChar w:fldCharType="separate"/>
      </w:r>
      <w:r w:rsidR="005A7304">
        <w:rPr>
          <w:b/>
          <w:noProof/>
          <w:sz w:val="20"/>
        </w:rPr>
        <w:t>2</w:t>
      </w:r>
      <w:r w:rsidRPr="00666914">
        <w:rPr>
          <w:b/>
          <w:sz w:val="20"/>
        </w:rPr>
        <w:fldChar w:fldCharType="end"/>
      </w:r>
      <w:r w:rsidRPr="00666914">
        <w:rPr>
          <w:b/>
          <w:sz w:val="20"/>
        </w:rPr>
        <w:t>: Počet schválených žiadostí na 100 pacientov-žiadateľov</w:t>
      </w:r>
      <w:bookmarkEnd w:id="61"/>
      <w:bookmarkEnd w:id="62"/>
      <w:bookmarkEnd w:id="63"/>
    </w:p>
    <w:p w14:paraId="7460A112" w14:textId="77777777" w:rsidR="008A4FED" w:rsidRPr="00666914" w:rsidRDefault="008A4FED" w:rsidP="00F64B85">
      <w:pPr>
        <w:spacing w:after="0"/>
        <w:jc w:val="center"/>
      </w:pPr>
      <w:r w:rsidRPr="00666914">
        <w:rPr>
          <w:noProof/>
          <w:lang w:eastAsia="sk-SK"/>
        </w:rPr>
        <w:drawing>
          <wp:inline distT="0" distB="0" distL="0" distR="0" wp14:anchorId="16CE1F45" wp14:editId="51C23240">
            <wp:extent cx="5055870" cy="2315210"/>
            <wp:effectExtent l="0" t="0" r="0" b="8890"/>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A10184A" w14:textId="77777777" w:rsidR="008A4FED" w:rsidRPr="00666914" w:rsidRDefault="008A4FED" w:rsidP="00D17E14">
      <w:pPr>
        <w:pBdr>
          <w:top w:val="single" w:sz="4" w:space="1" w:color="auto"/>
        </w:pBdr>
        <w:jc w:val="right"/>
        <w:rPr>
          <w:b/>
        </w:rPr>
      </w:pPr>
      <w:r w:rsidRPr="00666914">
        <w:rPr>
          <w:i/>
          <w:sz w:val="18"/>
        </w:rPr>
        <w:t>Zdroj: ZP, MZ SR, spracovanie IJ</w:t>
      </w:r>
    </w:p>
    <w:p w14:paraId="1680A654" w14:textId="77777777" w:rsidR="008A4FED" w:rsidRPr="00666914" w:rsidRDefault="008A4FED" w:rsidP="004D30E9">
      <w:pPr>
        <w:spacing w:after="0"/>
      </w:pPr>
    </w:p>
    <w:p w14:paraId="60799704" w14:textId="77777777" w:rsidR="008A4FED" w:rsidRPr="00666914" w:rsidRDefault="008A4FED" w:rsidP="008A4FED">
      <w:pPr>
        <w:numPr>
          <w:ilvl w:val="0"/>
          <w:numId w:val="28"/>
        </w:numPr>
        <w:spacing w:after="0"/>
        <w:contextualSpacing/>
        <w:jc w:val="left"/>
        <w:rPr>
          <w:b/>
          <w:u w:val="single"/>
        </w:rPr>
      </w:pPr>
      <w:r w:rsidRPr="00666914">
        <w:rPr>
          <w:b/>
          <w:u w:val="single"/>
        </w:rPr>
        <w:t>Preskripcia generík - Vydávanie receptu na účinnú látku namiesto konkrétneho lieku</w:t>
      </w:r>
    </w:p>
    <w:p w14:paraId="33A35EA1" w14:textId="1A7F0969" w:rsidR="008A4FED" w:rsidRPr="00666914" w:rsidRDefault="008A4FED" w:rsidP="00F64B85">
      <w:pPr>
        <w:spacing w:before="240"/>
      </w:pPr>
      <w:r w:rsidRPr="00666914">
        <w:rPr>
          <w:b/>
        </w:rPr>
        <w:t>Opatrenie sa k 31.12.2019 neplnilo.</w:t>
      </w:r>
      <w:r w:rsidRPr="00666914">
        <w:t xml:space="preserve"> </w:t>
      </w:r>
      <w:r w:rsidR="00635422" w:rsidRPr="00666914">
        <w:t>Existujúca l</w:t>
      </w:r>
      <w:r w:rsidRPr="00666914">
        <w:t>egislatívna úprava ukladá predpisujúcemu lekárovi povinnosť predpísať liek na účinnú látku a zároveň naďalej dovoľuje uvádzať aj názov konkrétneho lieku</w:t>
      </w:r>
      <w:r w:rsidRPr="00666914">
        <w:rPr>
          <w:rStyle w:val="Odkaznapoznmkupodiarou"/>
        </w:rPr>
        <w:footnoteReference w:id="16"/>
      </w:r>
      <w:r w:rsidRPr="00666914">
        <w:t xml:space="preserve">. V priebehu roka 2019 nedošlo v legislatíve k žiadnym zmenám. Z dát ZP vyplýva, že výška úhrad za generické a biosimilárne lieky medziročne mierne rástla, no ich podiel na celkových úhradách za lieky na recept sa nemenil (tabuľka </w:t>
      </w:r>
      <w:r w:rsidR="009F7D9A" w:rsidRPr="00666914">
        <w:t>9</w:t>
      </w:r>
      <w:r w:rsidRPr="00666914">
        <w:t xml:space="preserve">). </w:t>
      </w:r>
    </w:p>
    <w:p w14:paraId="1D7208BA" w14:textId="77777777" w:rsidR="008A4FED" w:rsidRPr="00666914" w:rsidRDefault="008A4FED" w:rsidP="00F64B85">
      <w:pPr>
        <w:spacing w:before="240"/>
      </w:pPr>
      <w:r w:rsidRPr="00666914">
        <w:t>K úsporám zdrojov VZP nedochádza priamo vyššou spotrebou generických a biosimilárnych liekov, ale už ich vstupom na slovenský trh. Legislatíva</w:t>
      </w:r>
      <w:r w:rsidRPr="00666914">
        <w:rPr>
          <w:rStyle w:val="Odkaznapoznmkupodiarou"/>
        </w:rPr>
        <w:footnoteReference w:id="17"/>
      </w:r>
      <w:r w:rsidRPr="00666914">
        <w:t xml:space="preserve"> totiž požaduje, aby každé generikum a biosimilár </w:t>
      </w:r>
      <w:r w:rsidRPr="00666914">
        <w:rPr>
          <w:bCs/>
        </w:rPr>
        <w:t>vstupujúci do kategorizácie mal nižšiu cenu ako aktuálne najlacnejší originálny porovnateľný liek. Počet žiadostí o kategorizáciu generík v posledných rokoch klesá</w:t>
      </w:r>
      <w:r w:rsidRPr="00666914">
        <w:rPr>
          <w:rStyle w:val="Odkaznapoznmkupodiarou"/>
          <w:bCs/>
        </w:rPr>
        <w:footnoteReference w:id="18"/>
      </w:r>
      <w:r w:rsidRPr="00666914">
        <w:rPr>
          <w:bCs/>
        </w:rPr>
        <w:t xml:space="preserve">. Jedným z dôvodov môže byť obmedzenie cenovej súťaže v dôsledku výnimky z tzv. fixného doplatku, kedy </w:t>
      </w:r>
      <w:r w:rsidRPr="00666914">
        <w:t>výrobca drahšieho lieku pri vstupe lacnejšej alternatívy zníži predajnú cenu svojho lieku a tiež doplatku pacienta tak, že pomer úhrady ZP a doplatku poistenca za liek sa zmení.</w:t>
      </w:r>
      <w:r w:rsidRPr="00666914">
        <w:rPr>
          <w:bCs/>
        </w:rPr>
        <w:t xml:space="preserve"> Cena a výška doplatku je pritom hlavná konkurenčná výhoda generických liekov voči originálnym. Nedodržiavanie pravidla o fixnom doplatku môže odrádzať výrobcov generík od vstupu na trh, na ktorom by nemohli nižšou cenou súťažiť o svoj podiel. V 10/2019 MZ SR novelou zákona č. 363/2011 Z. z. sprísnilo podmienky, za akých výrobca lieku môže uplatniť výnimku z fixného doplatku. Zmena nadobudne účinnosť 1.7.2020.</w:t>
      </w:r>
    </w:p>
    <w:p w14:paraId="3AC590ED" w14:textId="4D283852" w:rsidR="008A4FED" w:rsidRPr="00666914" w:rsidRDefault="008A4FED" w:rsidP="004D30E9">
      <w:pPr>
        <w:pBdr>
          <w:bottom w:val="single" w:sz="4" w:space="1" w:color="auto"/>
        </w:pBdr>
        <w:spacing w:after="0"/>
        <w:rPr>
          <w:b/>
          <w:sz w:val="20"/>
        </w:rPr>
      </w:pPr>
      <w:bookmarkStart w:id="64" w:name="_Toc5636410"/>
      <w:bookmarkStart w:id="65" w:name="_Toc20209185"/>
      <w:bookmarkStart w:id="66" w:name="_Toc36547029"/>
      <w:bookmarkStart w:id="67" w:name="_Toc38447670"/>
      <w:r w:rsidRPr="00666914">
        <w:rPr>
          <w:b/>
          <w:sz w:val="20"/>
        </w:rPr>
        <w:t xml:space="preserve">Tabuľka </w:t>
      </w:r>
      <w:r w:rsidRPr="00666914">
        <w:rPr>
          <w:b/>
          <w:sz w:val="20"/>
        </w:rPr>
        <w:fldChar w:fldCharType="begin"/>
      </w:r>
      <w:r w:rsidRPr="00666914">
        <w:rPr>
          <w:b/>
          <w:sz w:val="20"/>
        </w:rPr>
        <w:instrText xml:space="preserve"> SEQ Tabuľka \* ARABIC </w:instrText>
      </w:r>
      <w:r w:rsidRPr="00666914">
        <w:rPr>
          <w:b/>
          <w:sz w:val="20"/>
        </w:rPr>
        <w:fldChar w:fldCharType="separate"/>
      </w:r>
      <w:r w:rsidR="005A7304">
        <w:rPr>
          <w:b/>
          <w:noProof/>
          <w:sz w:val="20"/>
        </w:rPr>
        <w:t>9</w:t>
      </w:r>
      <w:r w:rsidRPr="00666914">
        <w:rPr>
          <w:b/>
          <w:sz w:val="20"/>
        </w:rPr>
        <w:fldChar w:fldCharType="end"/>
      </w:r>
      <w:r w:rsidRPr="00666914">
        <w:rPr>
          <w:b/>
          <w:sz w:val="20"/>
        </w:rPr>
        <w:t>: Úhrady za generické a biosimilárne lieky (mil. eur)</w:t>
      </w:r>
      <w:bookmarkEnd w:id="64"/>
      <w:bookmarkEnd w:id="65"/>
      <w:bookmarkEnd w:id="66"/>
      <w:bookmarkEnd w:id="67"/>
    </w:p>
    <w:tbl>
      <w:tblPr>
        <w:tblW w:w="9157" w:type="dxa"/>
        <w:tblCellMar>
          <w:left w:w="70" w:type="dxa"/>
          <w:right w:w="70" w:type="dxa"/>
        </w:tblCellMar>
        <w:tblLook w:val="04A0" w:firstRow="1" w:lastRow="0" w:firstColumn="1" w:lastColumn="0" w:noHBand="0" w:noVBand="1"/>
      </w:tblPr>
      <w:tblGrid>
        <w:gridCol w:w="6379"/>
        <w:gridCol w:w="1358"/>
        <w:gridCol w:w="1420"/>
      </w:tblGrid>
      <w:tr w:rsidR="008A4FED" w:rsidRPr="00666914" w14:paraId="27053F3E" w14:textId="77777777" w:rsidTr="00F64B85">
        <w:trPr>
          <w:trHeight w:val="296"/>
        </w:trPr>
        <w:tc>
          <w:tcPr>
            <w:tcW w:w="6379" w:type="dxa"/>
            <w:tcBorders>
              <w:left w:val="nil"/>
              <w:bottom w:val="single" w:sz="4" w:space="0" w:color="auto"/>
              <w:right w:val="single" w:sz="4" w:space="0" w:color="auto"/>
            </w:tcBorders>
            <w:shd w:val="clear" w:color="auto" w:fill="auto"/>
            <w:noWrap/>
            <w:vAlign w:val="bottom"/>
            <w:hideMark/>
          </w:tcPr>
          <w:p w14:paraId="4855A745" w14:textId="77777777" w:rsidR="008A4FED" w:rsidRPr="00666914" w:rsidRDefault="008A4FED" w:rsidP="00F64B85">
            <w:pPr>
              <w:spacing w:after="0"/>
              <w:jc w:val="left"/>
              <w:rPr>
                <w:rFonts w:eastAsia="Times New Roman" w:cs="Calibri"/>
                <w:b/>
                <w:bCs/>
                <w:sz w:val="20"/>
                <w:szCs w:val="20"/>
                <w:lang w:eastAsia="sk-SK"/>
              </w:rPr>
            </w:pPr>
            <w:r w:rsidRPr="00666914">
              <w:rPr>
                <w:rFonts w:cs="Calibri"/>
                <w:b/>
                <w:bCs/>
                <w:sz w:val="20"/>
                <w:szCs w:val="20"/>
              </w:rPr>
              <w:t> </w:t>
            </w:r>
          </w:p>
        </w:tc>
        <w:tc>
          <w:tcPr>
            <w:tcW w:w="1358" w:type="dxa"/>
            <w:tcBorders>
              <w:top w:val="nil"/>
              <w:left w:val="single" w:sz="4" w:space="0" w:color="auto"/>
              <w:bottom w:val="single" w:sz="4" w:space="0" w:color="auto"/>
              <w:right w:val="nil"/>
            </w:tcBorders>
            <w:shd w:val="clear" w:color="auto" w:fill="auto"/>
            <w:noWrap/>
            <w:vAlign w:val="bottom"/>
            <w:hideMark/>
          </w:tcPr>
          <w:p w14:paraId="18FECD5F" w14:textId="77777777" w:rsidR="008A4FED" w:rsidRPr="00666914" w:rsidRDefault="008A4FED" w:rsidP="00F64B85">
            <w:pPr>
              <w:spacing w:after="0"/>
              <w:jc w:val="center"/>
              <w:rPr>
                <w:rFonts w:eastAsia="Times New Roman" w:cs="Calibri"/>
                <w:b/>
                <w:bCs/>
                <w:sz w:val="20"/>
                <w:szCs w:val="20"/>
                <w:highlight w:val="yellow"/>
                <w:lang w:eastAsia="sk-SK"/>
              </w:rPr>
            </w:pPr>
            <w:r w:rsidRPr="00666914">
              <w:rPr>
                <w:rFonts w:cs="Calibri"/>
                <w:b/>
                <w:bCs/>
                <w:sz w:val="20"/>
                <w:szCs w:val="20"/>
              </w:rPr>
              <w:t>2018</w:t>
            </w:r>
          </w:p>
        </w:tc>
        <w:tc>
          <w:tcPr>
            <w:tcW w:w="1420" w:type="dxa"/>
            <w:tcBorders>
              <w:top w:val="nil"/>
              <w:left w:val="nil"/>
              <w:bottom w:val="single" w:sz="4" w:space="0" w:color="auto"/>
              <w:right w:val="nil"/>
            </w:tcBorders>
            <w:shd w:val="clear" w:color="auto" w:fill="auto"/>
            <w:noWrap/>
            <w:vAlign w:val="bottom"/>
            <w:hideMark/>
          </w:tcPr>
          <w:p w14:paraId="02197E0C" w14:textId="77777777" w:rsidR="008A4FED" w:rsidRPr="00666914" w:rsidRDefault="008A4FED" w:rsidP="00F64B85">
            <w:pPr>
              <w:spacing w:after="0"/>
              <w:jc w:val="center"/>
              <w:rPr>
                <w:rFonts w:eastAsia="Times New Roman" w:cs="Calibri"/>
                <w:b/>
                <w:bCs/>
                <w:sz w:val="20"/>
                <w:szCs w:val="20"/>
                <w:highlight w:val="yellow"/>
                <w:lang w:eastAsia="sk-SK"/>
              </w:rPr>
            </w:pPr>
            <w:r w:rsidRPr="00666914">
              <w:rPr>
                <w:rFonts w:cs="Calibri"/>
                <w:b/>
                <w:bCs/>
                <w:sz w:val="20"/>
                <w:szCs w:val="20"/>
              </w:rPr>
              <w:t>2019</w:t>
            </w:r>
          </w:p>
        </w:tc>
      </w:tr>
      <w:tr w:rsidR="008A4FED" w:rsidRPr="00666914" w14:paraId="47A2605F" w14:textId="77777777" w:rsidTr="00F64B85">
        <w:trPr>
          <w:trHeight w:val="368"/>
        </w:trPr>
        <w:tc>
          <w:tcPr>
            <w:tcW w:w="6379" w:type="dxa"/>
            <w:tcBorders>
              <w:top w:val="single" w:sz="4" w:space="0" w:color="auto"/>
              <w:left w:val="nil"/>
              <w:right w:val="single" w:sz="4" w:space="0" w:color="auto"/>
            </w:tcBorders>
            <w:shd w:val="clear" w:color="auto" w:fill="auto"/>
            <w:noWrap/>
            <w:vAlign w:val="bottom"/>
            <w:hideMark/>
          </w:tcPr>
          <w:p w14:paraId="0F57FFCD" w14:textId="77777777" w:rsidR="008A4FED" w:rsidRPr="00666914" w:rsidRDefault="008A4FED" w:rsidP="00F64B85">
            <w:pPr>
              <w:spacing w:after="0"/>
              <w:jc w:val="left"/>
              <w:rPr>
                <w:rFonts w:eastAsia="Times New Roman" w:cs="Calibri"/>
                <w:b/>
                <w:bCs/>
                <w:sz w:val="20"/>
                <w:szCs w:val="20"/>
                <w:lang w:eastAsia="sk-SK"/>
              </w:rPr>
            </w:pPr>
            <w:r w:rsidRPr="00666914">
              <w:rPr>
                <w:rFonts w:cs="Calibri"/>
                <w:b/>
                <w:bCs/>
                <w:sz w:val="20"/>
                <w:szCs w:val="20"/>
              </w:rPr>
              <w:t>Úhrady za generické a biosimilárne lieky</w:t>
            </w:r>
          </w:p>
        </w:tc>
        <w:tc>
          <w:tcPr>
            <w:tcW w:w="1358" w:type="dxa"/>
            <w:tcBorders>
              <w:top w:val="nil"/>
              <w:left w:val="single" w:sz="4" w:space="0" w:color="auto"/>
              <w:right w:val="nil"/>
            </w:tcBorders>
            <w:shd w:val="clear" w:color="auto" w:fill="auto"/>
            <w:noWrap/>
            <w:vAlign w:val="bottom"/>
          </w:tcPr>
          <w:p w14:paraId="3DFD1086"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color w:val="000000"/>
                <w:sz w:val="20"/>
                <w:szCs w:val="20"/>
              </w:rPr>
              <w:t>243,1</w:t>
            </w:r>
          </w:p>
        </w:tc>
        <w:tc>
          <w:tcPr>
            <w:tcW w:w="1420" w:type="dxa"/>
            <w:tcBorders>
              <w:top w:val="nil"/>
              <w:left w:val="nil"/>
              <w:right w:val="nil"/>
            </w:tcBorders>
            <w:shd w:val="clear" w:color="auto" w:fill="auto"/>
            <w:noWrap/>
            <w:vAlign w:val="bottom"/>
          </w:tcPr>
          <w:p w14:paraId="306FAF3C"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color w:val="000000"/>
                <w:sz w:val="20"/>
                <w:szCs w:val="20"/>
              </w:rPr>
              <w:t>252,3</w:t>
            </w:r>
          </w:p>
        </w:tc>
      </w:tr>
      <w:tr w:rsidR="008A4FED" w:rsidRPr="00666914" w14:paraId="56A1B138" w14:textId="77777777" w:rsidTr="00F64B85">
        <w:trPr>
          <w:trHeight w:val="368"/>
        </w:trPr>
        <w:tc>
          <w:tcPr>
            <w:tcW w:w="6379" w:type="dxa"/>
            <w:tcBorders>
              <w:top w:val="nil"/>
              <w:left w:val="nil"/>
              <w:right w:val="single" w:sz="4" w:space="0" w:color="auto"/>
            </w:tcBorders>
            <w:shd w:val="clear" w:color="auto" w:fill="auto"/>
            <w:noWrap/>
            <w:vAlign w:val="bottom"/>
          </w:tcPr>
          <w:p w14:paraId="3B57F29B" w14:textId="77777777" w:rsidR="008A4FED" w:rsidRPr="00666914" w:rsidRDefault="008A4FED" w:rsidP="00F64B85">
            <w:pPr>
              <w:spacing w:after="0"/>
              <w:jc w:val="left"/>
              <w:rPr>
                <w:rFonts w:cs="Calibri"/>
                <w:b/>
                <w:bCs/>
                <w:sz w:val="20"/>
                <w:szCs w:val="20"/>
              </w:rPr>
            </w:pPr>
            <w:r w:rsidRPr="00666914">
              <w:rPr>
                <w:rFonts w:cs="Calibri"/>
                <w:b/>
                <w:bCs/>
                <w:sz w:val="20"/>
                <w:szCs w:val="20"/>
              </w:rPr>
              <w:t>Medziročná zmena v %</w:t>
            </w:r>
          </w:p>
        </w:tc>
        <w:tc>
          <w:tcPr>
            <w:tcW w:w="1358" w:type="dxa"/>
            <w:tcBorders>
              <w:top w:val="nil"/>
              <w:left w:val="single" w:sz="4" w:space="0" w:color="auto"/>
              <w:right w:val="nil"/>
            </w:tcBorders>
            <w:shd w:val="clear" w:color="auto" w:fill="auto"/>
            <w:noWrap/>
            <w:vAlign w:val="bottom"/>
          </w:tcPr>
          <w:p w14:paraId="3802F2D6" w14:textId="77777777" w:rsidR="008A4FED" w:rsidRPr="00666914" w:rsidRDefault="008A4FED" w:rsidP="00F64B85">
            <w:pPr>
              <w:spacing w:after="0"/>
              <w:jc w:val="center"/>
              <w:rPr>
                <w:rFonts w:cs="Calibri"/>
                <w:bCs/>
                <w:sz w:val="20"/>
                <w:szCs w:val="20"/>
              </w:rPr>
            </w:pPr>
          </w:p>
        </w:tc>
        <w:tc>
          <w:tcPr>
            <w:tcW w:w="1420" w:type="dxa"/>
            <w:tcBorders>
              <w:top w:val="nil"/>
              <w:left w:val="nil"/>
              <w:right w:val="nil"/>
            </w:tcBorders>
            <w:shd w:val="clear" w:color="auto" w:fill="auto"/>
            <w:noWrap/>
            <w:vAlign w:val="bottom"/>
          </w:tcPr>
          <w:p w14:paraId="642ABD01" w14:textId="77777777" w:rsidR="008A4FED" w:rsidRPr="00666914" w:rsidRDefault="008A4FED" w:rsidP="00F64B85">
            <w:pPr>
              <w:spacing w:after="0"/>
              <w:jc w:val="center"/>
              <w:rPr>
                <w:rFonts w:cs="Calibri"/>
                <w:bCs/>
                <w:sz w:val="20"/>
                <w:szCs w:val="20"/>
              </w:rPr>
            </w:pPr>
            <w:r w:rsidRPr="00666914">
              <w:rPr>
                <w:rFonts w:cs="Calibri"/>
                <w:sz w:val="20"/>
              </w:rPr>
              <w:t>4%</w:t>
            </w:r>
          </w:p>
        </w:tc>
      </w:tr>
      <w:tr w:rsidR="008A4FED" w:rsidRPr="00666914" w14:paraId="4B1D62A2" w14:textId="77777777" w:rsidTr="00F64B85">
        <w:trPr>
          <w:trHeight w:val="368"/>
        </w:trPr>
        <w:tc>
          <w:tcPr>
            <w:tcW w:w="6379" w:type="dxa"/>
            <w:tcBorders>
              <w:left w:val="nil"/>
              <w:bottom w:val="single" w:sz="4" w:space="0" w:color="auto"/>
              <w:right w:val="single" w:sz="4" w:space="0" w:color="auto"/>
            </w:tcBorders>
            <w:shd w:val="clear" w:color="auto" w:fill="auto"/>
            <w:noWrap/>
            <w:vAlign w:val="bottom"/>
          </w:tcPr>
          <w:p w14:paraId="141893BA" w14:textId="77777777" w:rsidR="008A4FED" w:rsidRPr="00666914" w:rsidRDefault="008A4FED" w:rsidP="00F64B85">
            <w:pPr>
              <w:spacing w:after="0"/>
              <w:jc w:val="left"/>
              <w:rPr>
                <w:rFonts w:eastAsia="Times New Roman" w:cs="Calibri"/>
                <w:b/>
                <w:bCs/>
                <w:sz w:val="20"/>
                <w:szCs w:val="20"/>
                <w:lang w:eastAsia="sk-SK"/>
              </w:rPr>
            </w:pPr>
            <w:r w:rsidRPr="00666914">
              <w:rPr>
                <w:rFonts w:cs="Calibri"/>
                <w:b/>
                <w:bCs/>
                <w:sz w:val="20"/>
                <w:szCs w:val="20"/>
              </w:rPr>
              <w:t>Podiel generík a biosimilárov na celkových úhradách za lieky na recept</w:t>
            </w:r>
          </w:p>
        </w:tc>
        <w:tc>
          <w:tcPr>
            <w:tcW w:w="1358" w:type="dxa"/>
            <w:tcBorders>
              <w:left w:val="single" w:sz="4" w:space="0" w:color="auto"/>
              <w:bottom w:val="single" w:sz="4" w:space="0" w:color="auto"/>
              <w:right w:val="nil"/>
            </w:tcBorders>
            <w:shd w:val="clear" w:color="auto" w:fill="auto"/>
            <w:noWrap/>
            <w:vAlign w:val="bottom"/>
          </w:tcPr>
          <w:p w14:paraId="0DE80D02"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sz w:val="20"/>
              </w:rPr>
              <w:t>28%</w:t>
            </w:r>
          </w:p>
        </w:tc>
        <w:tc>
          <w:tcPr>
            <w:tcW w:w="1420" w:type="dxa"/>
            <w:tcBorders>
              <w:left w:val="nil"/>
              <w:bottom w:val="single" w:sz="4" w:space="0" w:color="auto"/>
              <w:right w:val="nil"/>
            </w:tcBorders>
            <w:shd w:val="clear" w:color="auto" w:fill="auto"/>
            <w:noWrap/>
            <w:vAlign w:val="bottom"/>
          </w:tcPr>
          <w:p w14:paraId="1A47AF50"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sz w:val="20"/>
              </w:rPr>
              <w:t>28%</w:t>
            </w:r>
          </w:p>
        </w:tc>
      </w:tr>
    </w:tbl>
    <w:p w14:paraId="415DC122" w14:textId="77777777" w:rsidR="008A4FED" w:rsidRPr="00666914" w:rsidRDefault="008A4FED" w:rsidP="004D30E9">
      <w:pPr>
        <w:ind w:firstLine="4820"/>
        <w:jc w:val="right"/>
        <w:rPr>
          <w:i/>
        </w:rPr>
      </w:pPr>
      <w:r w:rsidRPr="00666914">
        <w:rPr>
          <w:i/>
          <w:sz w:val="18"/>
        </w:rPr>
        <w:t>Zdroj: ZP, MZ SR, spracovanie IJ</w:t>
      </w:r>
      <w:bookmarkStart w:id="68" w:name="_Toc517698234"/>
      <w:bookmarkStart w:id="69" w:name="_Toc523924382"/>
      <w:bookmarkStart w:id="70" w:name="_Toc5865309"/>
      <w:bookmarkStart w:id="71" w:name="_Toc509875027"/>
    </w:p>
    <w:p w14:paraId="44C71EDA" w14:textId="77777777" w:rsidR="008A4FED" w:rsidRPr="00666914" w:rsidRDefault="008A4FED" w:rsidP="008A4FED">
      <w:pPr>
        <w:numPr>
          <w:ilvl w:val="0"/>
          <w:numId w:val="28"/>
        </w:numPr>
        <w:spacing w:before="240"/>
        <w:ind w:left="714" w:hanging="357"/>
      </w:pPr>
      <w:r w:rsidRPr="00666914">
        <w:rPr>
          <w:b/>
          <w:u w:val="single"/>
        </w:rPr>
        <w:t>Výmena informácií o exporte liekov medzi ŠÚKL a FS SR/ŠÚ SR</w:t>
      </w:r>
    </w:p>
    <w:p w14:paraId="25F76172" w14:textId="77777777" w:rsidR="008A4FED" w:rsidRPr="00666914" w:rsidRDefault="008A4FED" w:rsidP="00F64B85">
      <w:pPr>
        <w:spacing w:before="240"/>
      </w:pPr>
      <w:r w:rsidRPr="00666914">
        <w:rPr>
          <w:b/>
        </w:rPr>
        <w:t>Opatrenie sa k 31.12.2019 plnilo čiastočne. Od 1.1.2020 došlo k sprísneniu legislatívnych podmienok pre reexport liekov.</w:t>
      </w:r>
      <w:r w:rsidRPr="00666914">
        <w:t xml:space="preserve"> S cieľom obmedziť špekulatívny reexport liekov bol v 4Q2019 novelizovaný zákon 362/2011 Z. z. </w:t>
      </w:r>
      <w:r w:rsidRPr="00666914">
        <w:lastRenderedPageBreak/>
        <w:t>o liekoch a zdravotníckych pomôckach. S účinnosťou od 1.1.2020 novela</w:t>
      </w:r>
      <w:r w:rsidRPr="00666914">
        <w:rPr>
          <w:rStyle w:val="Odkaznapoznmkupodiarou"/>
        </w:rPr>
        <w:footnoteReference w:id="19"/>
      </w:r>
      <w:r w:rsidRPr="00666914">
        <w:t xml:space="preserve"> sprísnila definíciu držiteľa povolenia na výrobu liekov, ktorý je oprávnený na vývoz humánneho lieku. Po novom môžu vyvážať kategorizované lieky iba výrobcovia s povolením na úplnú výrobu – </w:t>
      </w:r>
      <w:r w:rsidRPr="00666914">
        <w:rPr>
          <w:rStyle w:val="awspan"/>
        </w:rPr>
        <w:t>držitelia</w:t>
      </w:r>
      <w:r w:rsidRPr="00666914">
        <w:rPr>
          <w:rStyle w:val="awspan"/>
          <w:spacing w:val="-8"/>
        </w:rPr>
        <w:t xml:space="preserve"> </w:t>
      </w:r>
      <w:r w:rsidRPr="00666914">
        <w:rPr>
          <w:rStyle w:val="awspan"/>
        </w:rPr>
        <w:t>povolenia</w:t>
      </w:r>
      <w:r w:rsidRPr="00666914">
        <w:rPr>
          <w:rStyle w:val="awspan"/>
          <w:spacing w:val="-8"/>
        </w:rPr>
        <w:t xml:space="preserve"> </w:t>
      </w:r>
      <w:r w:rsidRPr="00666914">
        <w:rPr>
          <w:rStyle w:val="awspan"/>
        </w:rPr>
        <w:t>na</w:t>
      </w:r>
      <w:r w:rsidRPr="00666914">
        <w:rPr>
          <w:rStyle w:val="awspan"/>
          <w:spacing w:val="-8"/>
        </w:rPr>
        <w:t xml:space="preserve"> </w:t>
      </w:r>
      <w:r w:rsidRPr="00666914">
        <w:rPr>
          <w:rStyle w:val="awspan"/>
        </w:rPr>
        <w:t>čiastkovú</w:t>
      </w:r>
      <w:r w:rsidRPr="00666914">
        <w:rPr>
          <w:rStyle w:val="awspan"/>
          <w:spacing w:val="-8"/>
        </w:rPr>
        <w:t xml:space="preserve"> </w:t>
      </w:r>
      <w:r w:rsidRPr="00666914">
        <w:rPr>
          <w:rStyle w:val="awspan"/>
        </w:rPr>
        <w:t>výrobu</w:t>
      </w:r>
      <w:r w:rsidRPr="00666914">
        <w:t xml:space="preserve"> (napr. súvisiacu s balením lieku) nebudú mať oprávnenie na vývoz. Rovnako sa zakazuje verejným lekárňam dodávanie liekov držiteľovi povolenia na veľkodistribúciu liekov (okrem spätného predaja), lekárni na území iného členského štátu a inej verejnej lekárni v počte väčšom ako 5 balení humánneho lieku s rovnakým ŠÚKL kódom za kalendárny mesiac. </w:t>
      </w:r>
    </w:p>
    <w:p w14:paraId="1E621A7F" w14:textId="77777777" w:rsidR="008A4FED" w:rsidRPr="00666914" w:rsidRDefault="008A4FED" w:rsidP="008A4FED">
      <w:pPr>
        <w:numPr>
          <w:ilvl w:val="0"/>
          <w:numId w:val="28"/>
        </w:numPr>
        <w:spacing w:before="240"/>
        <w:ind w:left="714" w:hanging="357"/>
      </w:pPr>
      <w:r w:rsidRPr="00666914">
        <w:rPr>
          <w:b/>
          <w:u w:val="single"/>
        </w:rPr>
        <w:t>Povinné zbieranie dát o užívaní podmienene kategorizovaných liekov</w:t>
      </w:r>
    </w:p>
    <w:p w14:paraId="349F49F0" w14:textId="3DAE3969" w:rsidR="008A4FED" w:rsidRPr="00666914" w:rsidRDefault="008A4FED" w:rsidP="00F64B85">
      <w:pPr>
        <w:spacing w:before="120"/>
      </w:pPr>
      <w:r w:rsidRPr="00666914">
        <w:rPr>
          <w:b/>
        </w:rPr>
        <w:t>Zákon 363/2011 Z. z. používa 2 podobné pojmy – dočasne kategorizované lieky a podmienene kategorizované lieky.</w:t>
      </w:r>
      <w:r w:rsidRPr="00666914">
        <w:t xml:space="preserve"> Dočasnou kategorizáciou</w:t>
      </w:r>
      <w:r w:rsidRPr="00666914">
        <w:rPr>
          <w:rStyle w:val="Odkaznapoznmkupodiarou"/>
        </w:rPr>
        <w:footnoteReference w:id="20"/>
      </w:r>
      <w:r w:rsidRPr="00666914">
        <w:t xml:space="preserve"> sa označuje prípad, keď MZ SR zaradí do zoznamu kategorizovaných liekov (ZKL) nový originálny liek na max. 24 mesiacov a pre ktorý platí, že v inom členskom štáte nie je registrovaný podobný liek s rovnakou kombináciou liečiva, liekovej formy a množstva liečiva v jednej dávke lieku. Aby bol liek aj po 2 rokoch naďalej kategorizovaný, držiteľ registrácie musí predložiť farmako-ekonomický rozbor a potvrdiť účinnosť lieku v reálnej terapeutickej praxi. Cieľom je vyhodnotiť efektivitu a opodstatnenosť nového lieku na základe dát o skutočnej spotrebe.</w:t>
      </w:r>
    </w:p>
    <w:p w14:paraId="5DE440D2" w14:textId="77777777" w:rsidR="008A4FED" w:rsidRPr="00666914" w:rsidRDefault="008A4FED" w:rsidP="004D30E9">
      <w:pPr>
        <w:spacing w:before="240"/>
      </w:pPr>
      <w:r w:rsidRPr="00666914">
        <w:t>Podmienená kategorizácia znamená zaradenie lieku do ZKL na základe splnenia vopred definovaných kritérií. Týka sa liekov, ktoré majú významný vplyv na prostriedky verejného zdravotného poistenia – keď suma úhrad zdravotných poisťovní za posudzovaný liek počas 12 po sebe nasledujúcich kalendárnych mesiacov prevyšuje 1,5 mil. eur</w:t>
      </w:r>
      <w:r w:rsidRPr="00666914">
        <w:rPr>
          <w:rStyle w:val="Odkaznapoznmkupodiarou"/>
        </w:rPr>
        <w:footnoteReference w:id="21"/>
      </w:r>
      <w:r w:rsidRPr="00666914">
        <w:t>. Žiadateľ o podmienené zaradenie lieku do ZKL nemusí predkladať farmako-ekonomický rozbor, avšak podmienkou kategorizácie je určenie maximálnej výšky úhrad ZP na 12 po sebe nasledujúcich mesiacov. Ak skutočná úhrada prevýši maximálnu podmienenú úhradu, držiteľ registrácie lieku je povinný tento rozdiel uhradiť ZP.</w:t>
      </w:r>
    </w:p>
    <w:p w14:paraId="1897A0D1" w14:textId="77777777" w:rsidR="008A4FED" w:rsidRPr="00666914" w:rsidRDefault="008A4FED" w:rsidP="004D30E9">
      <w:pPr>
        <w:spacing w:before="240"/>
      </w:pPr>
      <w:r w:rsidRPr="00666914">
        <w:t>V obidvoch vyššie popísaných prípadoch MZ SR sleduje reálnu spotrebu liekov, avšak z rozličných dôvodov. Pri dočasne kategorizovaných liekoch MZ SR na základe dát o skutočnej spotrebe rozhoduje o (ne)pokračovaní kategorizácie, pri podmienene kategorizovaných liekoch je skutočná spotreba rozhodujúca pre výšku vyrovnacieho rozdielu a určenie maximálnej úhrady ZP na ďalšie obdobie. Revízia výdavkov na zdravotníctvo I. pôvodne hovorila o zbieraní dát o dočasne kategorizovaných liekoch. Pri tvorbe implementačného plánu došlo k zmene opatrenia tak, ako je definované aj v tejto správe – zbieranie dát o užívaní podmienene kategorizovaných liekov.</w:t>
      </w:r>
    </w:p>
    <w:p w14:paraId="0C013451" w14:textId="77777777" w:rsidR="008A4FED" w:rsidRPr="00666914" w:rsidRDefault="008A4FED" w:rsidP="004D30E9">
      <w:pPr>
        <w:spacing w:before="240"/>
      </w:pPr>
      <w:r w:rsidRPr="00666914">
        <w:t xml:space="preserve">Na základe zverejnených zoznamov kategorizovaných liekov na mesiace január – december 2019 neboli v priebehu roka 2019 žiadne dočasne kategorizované lieky. 54 kódov liekov bolo podmienene kategorizovaných, pričom 34 z nich bolo do zoznamu podmienene zaradených v priebehu roka 2019. Do času prípravy tejto Súhrnnej implementačnej správy MZ SR rozhodlo o vyrovnacom rozdiele v prípade jedného lieku v celkovej výške 2,5 mil. eur. </w:t>
      </w:r>
      <w:r w:rsidRPr="00666914">
        <w:rPr>
          <w:b/>
        </w:rPr>
        <w:t>Opatrenie sa k 31.12.2019 plní.</w:t>
      </w:r>
    </w:p>
    <w:p w14:paraId="2540B85B" w14:textId="77777777" w:rsidR="008A4FED" w:rsidRPr="00666914" w:rsidRDefault="008A4FED" w:rsidP="008A4FED">
      <w:pPr>
        <w:numPr>
          <w:ilvl w:val="0"/>
          <w:numId w:val="28"/>
        </w:numPr>
        <w:contextualSpacing/>
        <w:rPr>
          <w:b/>
          <w:u w:val="single"/>
        </w:rPr>
      </w:pPr>
      <w:r w:rsidRPr="00666914">
        <w:rPr>
          <w:b/>
          <w:u w:val="single"/>
        </w:rPr>
        <w:t>Revízia úhrad kategorizovaných liekov</w:t>
      </w:r>
    </w:p>
    <w:p w14:paraId="3EED45FD" w14:textId="5A2D7C29" w:rsidR="008A4FED" w:rsidRPr="00666914" w:rsidRDefault="008A4FED" w:rsidP="008B70B3">
      <w:pPr>
        <w:spacing w:before="240"/>
      </w:pPr>
      <w:r w:rsidRPr="00666914">
        <w:t>Cieľom revízie úhrad liekov je zabezpečiť, aby medicínsky porovnateľné a zameniteľné lieky boli z VZP uhrádzané iba do výšky najlacnejšieho lieku. Z dôvodu zmeny cien kategorizovaných liekov alebo vstupu nových liekov do kategorizácie by malo každý štvrťrok dochádzať k prehodnoteniu úhrad. Zámerom tohto opatrenia  bolo vykonať revíziu úhrad nad rámec pravidelnej štvrťročnej revízie</w:t>
      </w:r>
      <w:r w:rsidR="00D53B0A" w:rsidRPr="00666914">
        <w:t>,</w:t>
      </w:r>
      <w:r w:rsidRPr="00666914">
        <w:t xml:space="preserve"> a to rozšírením skupín liekov, ktoré sú navzájom porovnávané. Opatrenie malo priniesť úsporu 50 mil. eur. V roku 2019 MZ SR pristúpilo k revízii úhradových skupín. Zmeny sa prejavili v ZKL k 1.7.2019, 1.10.2019 a 1.1.2020. Jej vyhodnotenie však poukázalo na nedostatky v metodike. Podľa revízie výdavkov II. sa v nových úhradových skupinách porovnávajú aj lieky v rôznych silách, ktoré nie sú vždy medicínsky zameniteľné a pacientovi tak vzniká doplatok, ktorému sa nemôže vyhnúť výberom lacnejšieho lieku s rovnakým účinkom. Opatrenie preto bolo prehodnotené a v záverečnej správe revízie výdavkov II. sa navrhuje opätovne prehodnotiť a upraviť úhradové skupiny. </w:t>
      </w:r>
      <w:r w:rsidRPr="00666914">
        <w:rPr>
          <w:b/>
        </w:rPr>
        <w:t>Opatrenie sa k 31.12.2019 nevyhodnocuje.</w:t>
      </w:r>
    </w:p>
    <w:p w14:paraId="2FA2C6F7" w14:textId="77777777" w:rsidR="008A4FED" w:rsidRPr="00666914" w:rsidRDefault="008A4FED" w:rsidP="009F4910">
      <w:pPr>
        <w:pStyle w:val="Nadpis2"/>
      </w:pPr>
      <w:bookmarkStart w:id="72" w:name="_Toc20104672"/>
      <w:bookmarkStart w:id="73" w:name="_Toc20209243"/>
      <w:bookmarkStart w:id="74" w:name="_Toc36547011"/>
      <w:bookmarkStart w:id="75" w:name="_Toc38447582"/>
      <w:r w:rsidRPr="00666914">
        <w:lastRenderedPageBreak/>
        <w:t>Zdravotnícke pomôcky</w:t>
      </w:r>
      <w:bookmarkEnd w:id="68"/>
      <w:bookmarkEnd w:id="69"/>
      <w:bookmarkEnd w:id="70"/>
      <w:r w:rsidRPr="00666914">
        <w:t xml:space="preserve"> </w:t>
      </w:r>
      <w:bookmarkEnd w:id="71"/>
      <w:r w:rsidRPr="00666914">
        <w:t>a revízne činnosti</w:t>
      </w:r>
      <w:bookmarkEnd w:id="72"/>
      <w:bookmarkEnd w:id="73"/>
      <w:bookmarkEnd w:id="74"/>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6"/>
        <w:gridCol w:w="706"/>
        <w:gridCol w:w="2524"/>
        <w:gridCol w:w="1294"/>
        <w:gridCol w:w="961"/>
        <w:gridCol w:w="1353"/>
        <w:gridCol w:w="505"/>
        <w:gridCol w:w="505"/>
        <w:gridCol w:w="505"/>
        <w:gridCol w:w="505"/>
      </w:tblGrid>
      <w:tr w:rsidR="008A4FED" w:rsidRPr="00666914" w14:paraId="3CA95C3E" w14:textId="77777777" w:rsidTr="00B43A7D">
        <w:trPr>
          <w:trHeight w:val="495"/>
        </w:trPr>
        <w:tc>
          <w:tcPr>
            <w:tcW w:w="220" w:type="pct"/>
            <w:shd w:val="clear" w:color="auto" w:fill="auto"/>
            <w:noWrap/>
            <w:vAlign w:val="center"/>
            <w:hideMark/>
          </w:tcPr>
          <w:p w14:paraId="12B7B339" w14:textId="77777777" w:rsidR="008A4FED" w:rsidRPr="00666914" w:rsidRDefault="008A4FED" w:rsidP="004D30E9">
            <w:pPr>
              <w:spacing w:after="0"/>
              <w:jc w:val="left"/>
              <w:rPr>
                <w:rFonts w:eastAsia="Times New Roman"/>
                <w:b/>
                <w:bCs/>
                <w:color w:val="000000"/>
                <w:sz w:val="24"/>
                <w:szCs w:val="24"/>
                <w:lang w:eastAsia="sk-SK"/>
              </w:rPr>
            </w:pPr>
            <w:r w:rsidRPr="00666914">
              <w:rPr>
                <w:rFonts w:eastAsia="Times New Roman"/>
                <w:b/>
                <w:bCs/>
                <w:color w:val="000000"/>
                <w:sz w:val="24"/>
                <w:szCs w:val="24"/>
                <w:lang w:eastAsia="sk-SK"/>
              </w:rPr>
              <w:t> </w:t>
            </w:r>
          </w:p>
        </w:tc>
        <w:tc>
          <w:tcPr>
            <w:tcW w:w="370" w:type="pct"/>
            <w:vAlign w:val="center"/>
          </w:tcPr>
          <w:p w14:paraId="2C633BBE" w14:textId="77777777" w:rsidR="008A4FED" w:rsidRPr="00666914" w:rsidRDefault="008A4FED" w:rsidP="004D30E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Revízia</w:t>
            </w:r>
          </w:p>
        </w:tc>
        <w:tc>
          <w:tcPr>
            <w:tcW w:w="1403" w:type="pct"/>
            <w:shd w:val="clear" w:color="auto" w:fill="auto"/>
            <w:noWrap/>
            <w:vAlign w:val="center"/>
            <w:hideMark/>
          </w:tcPr>
          <w:p w14:paraId="75F7BE0A" w14:textId="77777777" w:rsidR="008A4FED" w:rsidRPr="00666914" w:rsidRDefault="008A4FED" w:rsidP="004D30E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Opatrenie</w:t>
            </w:r>
          </w:p>
        </w:tc>
        <w:tc>
          <w:tcPr>
            <w:tcW w:w="678" w:type="pct"/>
            <w:shd w:val="clear" w:color="auto" w:fill="auto"/>
            <w:noWrap/>
            <w:vAlign w:val="center"/>
            <w:hideMark/>
          </w:tcPr>
          <w:p w14:paraId="3C42738E"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Zodpovednosť</w:t>
            </w:r>
          </w:p>
        </w:tc>
        <w:tc>
          <w:tcPr>
            <w:tcW w:w="504" w:type="pct"/>
            <w:shd w:val="clear" w:color="auto" w:fill="auto"/>
            <w:noWrap/>
            <w:vAlign w:val="center"/>
            <w:hideMark/>
          </w:tcPr>
          <w:p w14:paraId="5C57D40B"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Pôvodný</w:t>
            </w:r>
          </w:p>
          <w:p w14:paraId="306E9273"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termín</w:t>
            </w:r>
          </w:p>
        </w:tc>
        <w:tc>
          <w:tcPr>
            <w:tcW w:w="767" w:type="pct"/>
            <w:vAlign w:val="center"/>
          </w:tcPr>
          <w:p w14:paraId="1CF50133" w14:textId="77777777" w:rsidR="008A4FED" w:rsidRPr="00666914" w:rsidRDefault="008A4FED" w:rsidP="004D30E9">
            <w:pPr>
              <w:spacing w:after="0"/>
              <w:jc w:val="center"/>
              <w:rPr>
                <w:rFonts w:eastAsia="Times New Roman"/>
                <w:b/>
                <w:bCs/>
                <w:color w:val="000000"/>
                <w:sz w:val="20"/>
                <w:szCs w:val="20"/>
                <w:highlight w:val="yellow"/>
                <w:lang w:eastAsia="sk-SK"/>
              </w:rPr>
            </w:pPr>
            <w:r w:rsidRPr="00666914">
              <w:rPr>
                <w:rFonts w:eastAsia="Times New Roman"/>
                <w:b/>
                <w:bCs/>
                <w:color w:val="000000"/>
                <w:sz w:val="20"/>
                <w:szCs w:val="20"/>
                <w:lang w:eastAsia="sk-SK"/>
              </w:rPr>
              <w:t>Nový termín</w:t>
            </w:r>
          </w:p>
        </w:tc>
        <w:tc>
          <w:tcPr>
            <w:tcW w:w="264" w:type="pct"/>
            <w:shd w:val="clear" w:color="auto" w:fill="auto"/>
            <w:noWrap/>
            <w:vAlign w:val="center"/>
            <w:hideMark/>
          </w:tcPr>
          <w:p w14:paraId="7E3BB693"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1Q</w:t>
            </w:r>
          </w:p>
          <w:p w14:paraId="53D81652"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2019</w:t>
            </w:r>
          </w:p>
        </w:tc>
        <w:tc>
          <w:tcPr>
            <w:tcW w:w="264" w:type="pct"/>
            <w:shd w:val="clear" w:color="auto" w:fill="auto"/>
            <w:noWrap/>
            <w:vAlign w:val="center"/>
            <w:hideMark/>
          </w:tcPr>
          <w:p w14:paraId="23DD1771"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2Q</w:t>
            </w:r>
          </w:p>
          <w:p w14:paraId="73D900BF"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2019</w:t>
            </w:r>
          </w:p>
        </w:tc>
        <w:tc>
          <w:tcPr>
            <w:tcW w:w="264" w:type="pct"/>
            <w:shd w:val="clear" w:color="auto" w:fill="auto"/>
            <w:noWrap/>
            <w:vAlign w:val="center"/>
            <w:hideMark/>
          </w:tcPr>
          <w:p w14:paraId="66FE9027"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3Q</w:t>
            </w:r>
          </w:p>
          <w:p w14:paraId="4EED103E"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2019</w:t>
            </w:r>
          </w:p>
        </w:tc>
        <w:tc>
          <w:tcPr>
            <w:tcW w:w="265" w:type="pct"/>
            <w:shd w:val="clear" w:color="auto" w:fill="auto"/>
            <w:noWrap/>
            <w:vAlign w:val="center"/>
            <w:hideMark/>
          </w:tcPr>
          <w:p w14:paraId="7794FFD3"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4Q</w:t>
            </w:r>
          </w:p>
          <w:p w14:paraId="2A2731AC" w14:textId="77777777" w:rsidR="008A4FED" w:rsidRPr="00666914" w:rsidRDefault="008A4FED" w:rsidP="004D30E9">
            <w:pPr>
              <w:spacing w:after="0"/>
              <w:ind w:left="-254" w:firstLine="254"/>
              <w:jc w:val="center"/>
              <w:rPr>
                <w:rFonts w:eastAsia="Times New Roman"/>
                <w:b/>
                <w:bCs/>
                <w:color w:val="000000"/>
                <w:sz w:val="20"/>
                <w:szCs w:val="20"/>
                <w:lang w:eastAsia="sk-SK"/>
              </w:rPr>
            </w:pPr>
            <w:r w:rsidRPr="00666914">
              <w:rPr>
                <w:rFonts w:eastAsia="Times New Roman"/>
                <w:b/>
                <w:bCs/>
                <w:color w:val="000000"/>
                <w:sz w:val="20"/>
                <w:szCs w:val="20"/>
                <w:lang w:eastAsia="sk-SK"/>
              </w:rPr>
              <w:t>2019</w:t>
            </w:r>
          </w:p>
        </w:tc>
      </w:tr>
      <w:tr w:rsidR="008A4FED" w:rsidRPr="00666914" w14:paraId="1BB4ED2B" w14:textId="77777777" w:rsidTr="00F64B85">
        <w:trPr>
          <w:trHeight w:val="615"/>
        </w:trPr>
        <w:tc>
          <w:tcPr>
            <w:tcW w:w="220" w:type="pct"/>
            <w:shd w:val="clear" w:color="auto" w:fill="auto"/>
            <w:vAlign w:val="center"/>
            <w:hideMark/>
          </w:tcPr>
          <w:p w14:paraId="4844784F" w14:textId="77777777" w:rsidR="008A4FED" w:rsidRPr="00666914" w:rsidRDefault="008A4FED" w:rsidP="004D30E9">
            <w:pPr>
              <w:spacing w:after="0"/>
              <w:jc w:val="center"/>
              <w:rPr>
                <w:rFonts w:eastAsia="Times New Roman"/>
                <w:bCs/>
                <w:color w:val="000000"/>
                <w:sz w:val="20"/>
                <w:szCs w:val="20"/>
                <w:lang w:eastAsia="sk-SK"/>
              </w:rPr>
            </w:pPr>
            <w:r w:rsidRPr="00666914">
              <w:rPr>
                <w:rFonts w:eastAsia="Times New Roman"/>
                <w:color w:val="000000"/>
                <w:sz w:val="20"/>
                <w:szCs w:val="20"/>
                <w:lang w:eastAsia="sk-SK"/>
              </w:rPr>
              <w:t>9</w:t>
            </w:r>
          </w:p>
        </w:tc>
        <w:tc>
          <w:tcPr>
            <w:tcW w:w="370" w:type="pct"/>
            <w:vAlign w:val="center"/>
          </w:tcPr>
          <w:p w14:paraId="05C85AF9"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 a II.</w:t>
            </w:r>
          </w:p>
        </w:tc>
        <w:tc>
          <w:tcPr>
            <w:tcW w:w="1403" w:type="pct"/>
            <w:shd w:val="clear" w:color="auto" w:fill="auto"/>
            <w:vAlign w:val="center"/>
            <w:hideMark/>
          </w:tcPr>
          <w:p w14:paraId="7256C7FD" w14:textId="77777777" w:rsidR="008A4FED" w:rsidRPr="00666914" w:rsidRDefault="008A4FED">
            <w:pPr>
              <w:spacing w:after="0"/>
              <w:jc w:val="left"/>
              <w:rPr>
                <w:rFonts w:eastAsia="Times New Roman"/>
                <w:color w:val="000000"/>
                <w:sz w:val="20"/>
                <w:szCs w:val="20"/>
                <w:lang w:eastAsia="sk-SK"/>
              </w:rPr>
            </w:pPr>
            <w:r w:rsidRPr="00666914">
              <w:rPr>
                <w:rFonts w:eastAsia="Times New Roman"/>
                <w:color w:val="000000"/>
                <w:sz w:val="20"/>
                <w:szCs w:val="20"/>
                <w:lang w:eastAsia="sk-SK"/>
              </w:rPr>
              <w:t>Zdravotnícke pomôcky - externé referencovanie a revízne činnosti</w:t>
            </w:r>
          </w:p>
        </w:tc>
        <w:tc>
          <w:tcPr>
            <w:tcW w:w="678" w:type="pct"/>
            <w:shd w:val="clear" w:color="auto" w:fill="auto"/>
            <w:vAlign w:val="center"/>
            <w:hideMark/>
          </w:tcPr>
          <w:p w14:paraId="06432455"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 ZP</w:t>
            </w:r>
          </w:p>
        </w:tc>
        <w:tc>
          <w:tcPr>
            <w:tcW w:w="504" w:type="pct"/>
            <w:shd w:val="clear" w:color="auto" w:fill="auto"/>
            <w:vAlign w:val="center"/>
            <w:hideMark/>
          </w:tcPr>
          <w:p w14:paraId="58D58840"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767" w:type="pct"/>
            <w:vAlign w:val="center"/>
          </w:tcPr>
          <w:p w14:paraId="12D8E202" w14:textId="77777777" w:rsidR="008A4FED" w:rsidRPr="00666914" w:rsidRDefault="008A4FED" w:rsidP="004D30E9">
            <w:pPr>
              <w:spacing w:after="0"/>
              <w:jc w:val="center"/>
              <w:rPr>
                <w:rFonts w:eastAsia="Times New Roman"/>
                <w:color w:val="000000"/>
                <w:sz w:val="20"/>
                <w:szCs w:val="20"/>
                <w:highlight w:val="yellow"/>
                <w:lang w:eastAsia="sk-SK"/>
              </w:rPr>
            </w:pPr>
            <w:r w:rsidRPr="00666914">
              <w:rPr>
                <w:rFonts w:eastAsia="Times New Roman"/>
                <w:color w:val="000000"/>
                <w:sz w:val="20"/>
                <w:szCs w:val="20"/>
                <w:lang w:eastAsia="sk-SK"/>
              </w:rPr>
              <w:t>31.12.2019</w:t>
            </w:r>
          </w:p>
        </w:tc>
        <w:tc>
          <w:tcPr>
            <w:tcW w:w="264" w:type="pct"/>
            <w:tcBorders>
              <w:top w:val="nil"/>
              <w:left w:val="nil"/>
              <w:bottom w:val="single" w:sz="4" w:space="0" w:color="auto"/>
              <w:right w:val="single" w:sz="4" w:space="0" w:color="auto"/>
            </w:tcBorders>
            <w:shd w:val="clear" w:color="auto" w:fill="00B050"/>
            <w:noWrap/>
            <w:vAlign w:val="bottom"/>
            <w:hideMark/>
          </w:tcPr>
          <w:p w14:paraId="256329A4" w14:textId="77777777" w:rsidR="008A4FED" w:rsidRPr="00666914" w:rsidRDefault="008A4FED" w:rsidP="004D30E9">
            <w:pPr>
              <w:spacing w:after="0"/>
              <w:rPr>
                <w:rFonts w:eastAsia="Times New Roman"/>
                <w:color w:val="C00000"/>
                <w:sz w:val="20"/>
                <w:szCs w:val="20"/>
                <w:lang w:eastAsia="sk-SK"/>
              </w:rPr>
            </w:pPr>
            <w:r w:rsidRPr="00666914">
              <w:rPr>
                <w:rFonts w:eastAsia="Times New Roman"/>
                <w:color w:val="C00000"/>
                <w:sz w:val="20"/>
                <w:szCs w:val="20"/>
                <w:lang w:eastAsia="sk-SK"/>
              </w:rPr>
              <w:t> </w:t>
            </w:r>
          </w:p>
        </w:tc>
        <w:tc>
          <w:tcPr>
            <w:tcW w:w="264" w:type="pct"/>
            <w:tcBorders>
              <w:top w:val="nil"/>
              <w:left w:val="nil"/>
              <w:bottom w:val="single" w:sz="4" w:space="0" w:color="auto"/>
              <w:right w:val="single" w:sz="4" w:space="0" w:color="auto"/>
            </w:tcBorders>
            <w:shd w:val="clear" w:color="auto" w:fill="00B050"/>
            <w:noWrap/>
            <w:vAlign w:val="bottom"/>
            <w:hideMark/>
          </w:tcPr>
          <w:p w14:paraId="684133EB" w14:textId="77777777" w:rsidR="008A4FED" w:rsidRPr="00666914" w:rsidRDefault="008A4FED" w:rsidP="004D30E9">
            <w:pPr>
              <w:spacing w:after="0"/>
              <w:rPr>
                <w:rFonts w:eastAsia="Times New Roman"/>
                <w:color w:val="FFFFFF" w:themeColor="background1"/>
                <w:sz w:val="20"/>
                <w:szCs w:val="20"/>
                <w:lang w:eastAsia="sk-SK"/>
              </w:rPr>
            </w:pPr>
            <w:r w:rsidRPr="00666914">
              <w:rPr>
                <w:rFonts w:eastAsia="Times New Roman"/>
                <w:color w:val="FFFFFF" w:themeColor="background1"/>
                <w:sz w:val="20"/>
                <w:szCs w:val="20"/>
                <w:lang w:eastAsia="sk-SK"/>
              </w:rPr>
              <w:t> </w:t>
            </w:r>
          </w:p>
        </w:tc>
        <w:tc>
          <w:tcPr>
            <w:tcW w:w="264" w:type="pct"/>
            <w:shd w:val="clear" w:color="auto" w:fill="00B050"/>
            <w:noWrap/>
            <w:vAlign w:val="bottom"/>
            <w:hideMark/>
          </w:tcPr>
          <w:p w14:paraId="2871B92E" w14:textId="77777777" w:rsidR="008A4FED" w:rsidRPr="00666914" w:rsidRDefault="008A4FED" w:rsidP="004D30E9">
            <w:pPr>
              <w:spacing w:after="0"/>
              <w:jc w:val="center"/>
              <w:rPr>
                <w:rFonts w:eastAsia="Times New Roman"/>
                <w:color w:val="C00000"/>
                <w:sz w:val="20"/>
                <w:szCs w:val="20"/>
                <w:lang w:eastAsia="sk-SK"/>
              </w:rPr>
            </w:pPr>
            <w:r w:rsidRPr="00666914">
              <w:rPr>
                <w:rFonts w:eastAsia="Times New Roman"/>
                <w:color w:val="C00000"/>
                <w:sz w:val="20"/>
                <w:szCs w:val="20"/>
                <w:lang w:eastAsia="sk-SK"/>
              </w:rPr>
              <w:t> </w:t>
            </w:r>
          </w:p>
        </w:tc>
        <w:tc>
          <w:tcPr>
            <w:tcW w:w="265" w:type="pct"/>
            <w:shd w:val="clear" w:color="auto" w:fill="00B050"/>
            <w:noWrap/>
            <w:vAlign w:val="bottom"/>
            <w:hideMark/>
          </w:tcPr>
          <w:p w14:paraId="2DD9E863"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C00000"/>
                <w:sz w:val="20"/>
                <w:szCs w:val="20"/>
                <w:lang w:eastAsia="sk-SK"/>
              </w:rPr>
              <w:t> </w:t>
            </w:r>
          </w:p>
        </w:tc>
      </w:tr>
      <w:tr w:rsidR="008A4FED" w:rsidRPr="00666914" w14:paraId="1A9FA44A" w14:textId="77777777" w:rsidTr="00F64B85">
        <w:trPr>
          <w:trHeight w:val="315"/>
        </w:trPr>
        <w:tc>
          <w:tcPr>
            <w:tcW w:w="220" w:type="pct"/>
            <w:shd w:val="clear" w:color="auto" w:fill="auto"/>
            <w:vAlign w:val="center"/>
            <w:hideMark/>
          </w:tcPr>
          <w:p w14:paraId="06FB3DE0" w14:textId="77777777" w:rsidR="008A4FED" w:rsidRPr="00666914" w:rsidRDefault="008A4FED" w:rsidP="004D30E9">
            <w:pPr>
              <w:spacing w:after="0"/>
              <w:jc w:val="center"/>
              <w:rPr>
                <w:rFonts w:eastAsia="Times New Roman"/>
                <w:bCs/>
                <w:color w:val="000000"/>
                <w:sz w:val="20"/>
                <w:szCs w:val="20"/>
                <w:lang w:eastAsia="sk-SK"/>
              </w:rPr>
            </w:pPr>
            <w:r w:rsidRPr="00666914">
              <w:rPr>
                <w:rFonts w:eastAsia="Times New Roman"/>
                <w:color w:val="000000"/>
                <w:sz w:val="20"/>
                <w:szCs w:val="20"/>
                <w:lang w:eastAsia="sk-SK"/>
              </w:rPr>
              <w:t>10</w:t>
            </w:r>
          </w:p>
        </w:tc>
        <w:tc>
          <w:tcPr>
            <w:tcW w:w="370" w:type="pct"/>
            <w:vAlign w:val="center"/>
          </w:tcPr>
          <w:p w14:paraId="6F817724"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 a II.</w:t>
            </w:r>
          </w:p>
        </w:tc>
        <w:tc>
          <w:tcPr>
            <w:tcW w:w="1403" w:type="pct"/>
            <w:shd w:val="clear" w:color="auto" w:fill="auto"/>
            <w:vAlign w:val="center"/>
            <w:hideMark/>
          </w:tcPr>
          <w:p w14:paraId="54C485D4"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Zlepšenie revíznych činností VšZP</w:t>
            </w:r>
          </w:p>
        </w:tc>
        <w:tc>
          <w:tcPr>
            <w:tcW w:w="678" w:type="pct"/>
            <w:shd w:val="clear" w:color="auto" w:fill="auto"/>
            <w:vAlign w:val="center"/>
            <w:hideMark/>
          </w:tcPr>
          <w:p w14:paraId="124F09A2"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 VšZP</w:t>
            </w:r>
          </w:p>
        </w:tc>
        <w:tc>
          <w:tcPr>
            <w:tcW w:w="504" w:type="pct"/>
            <w:shd w:val="clear" w:color="auto" w:fill="auto"/>
            <w:vAlign w:val="center"/>
            <w:hideMark/>
          </w:tcPr>
          <w:p w14:paraId="7D3149BD"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767" w:type="pct"/>
            <w:vAlign w:val="center"/>
          </w:tcPr>
          <w:p w14:paraId="66E6D936" w14:textId="77777777" w:rsidR="008A4FED" w:rsidRPr="00666914" w:rsidRDefault="008A4FED" w:rsidP="004D30E9">
            <w:pPr>
              <w:spacing w:after="0"/>
              <w:jc w:val="center"/>
              <w:rPr>
                <w:rFonts w:eastAsia="Times New Roman"/>
                <w:color w:val="000000"/>
                <w:sz w:val="20"/>
                <w:szCs w:val="20"/>
                <w:highlight w:val="yellow"/>
                <w:lang w:eastAsia="sk-SK"/>
              </w:rPr>
            </w:pPr>
            <w:r w:rsidRPr="00666914">
              <w:rPr>
                <w:rFonts w:eastAsia="Times New Roman"/>
                <w:color w:val="000000"/>
                <w:sz w:val="20"/>
                <w:szCs w:val="20"/>
                <w:lang w:eastAsia="sk-SK"/>
              </w:rPr>
              <w:t>31.12.2019</w:t>
            </w:r>
          </w:p>
        </w:tc>
        <w:tc>
          <w:tcPr>
            <w:tcW w:w="264" w:type="pct"/>
            <w:tcBorders>
              <w:top w:val="nil"/>
              <w:left w:val="nil"/>
              <w:bottom w:val="single" w:sz="4" w:space="0" w:color="auto"/>
              <w:right w:val="single" w:sz="4" w:space="0" w:color="auto"/>
            </w:tcBorders>
            <w:shd w:val="clear" w:color="auto" w:fill="00B050"/>
            <w:noWrap/>
            <w:vAlign w:val="bottom"/>
            <w:hideMark/>
          </w:tcPr>
          <w:p w14:paraId="4127C8B4"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4" w:type="pct"/>
            <w:tcBorders>
              <w:top w:val="nil"/>
              <w:left w:val="nil"/>
              <w:bottom w:val="single" w:sz="4" w:space="0" w:color="auto"/>
              <w:right w:val="single" w:sz="4" w:space="0" w:color="auto"/>
            </w:tcBorders>
            <w:shd w:val="clear" w:color="auto" w:fill="00B050"/>
            <w:noWrap/>
            <w:vAlign w:val="bottom"/>
            <w:hideMark/>
          </w:tcPr>
          <w:p w14:paraId="2E4B844C"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4" w:type="pct"/>
            <w:shd w:val="clear" w:color="auto" w:fill="00B050"/>
            <w:noWrap/>
            <w:vAlign w:val="bottom"/>
            <w:hideMark/>
          </w:tcPr>
          <w:p w14:paraId="221F2876"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 </w:t>
            </w:r>
          </w:p>
        </w:tc>
        <w:tc>
          <w:tcPr>
            <w:tcW w:w="265" w:type="pct"/>
            <w:shd w:val="clear" w:color="auto" w:fill="00B050"/>
            <w:noWrap/>
            <w:vAlign w:val="bottom"/>
            <w:hideMark/>
          </w:tcPr>
          <w:p w14:paraId="205FE9F8"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 </w:t>
            </w:r>
          </w:p>
        </w:tc>
      </w:tr>
    </w:tbl>
    <w:p w14:paraId="796E7283" w14:textId="77777777" w:rsidR="008A4FED" w:rsidRPr="00666914" w:rsidRDefault="008A4FED" w:rsidP="004D30E9">
      <w:pPr>
        <w:spacing w:after="0"/>
      </w:pPr>
    </w:p>
    <w:p w14:paraId="1D2BFE4F" w14:textId="77777777" w:rsidR="008A4FED" w:rsidRPr="00666914" w:rsidRDefault="008A4FED" w:rsidP="008A4FED">
      <w:pPr>
        <w:numPr>
          <w:ilvl w:val="0"/>
          <w:numId w:val="28"/>
        </w:numPr>
        <w:spacing w:before="240"/>
        <w:contextualSpacing/>
        <w:rPr>
          <w:b/>
          <w:u w:val="single"/>
        </w:rPr>
      </w:pPr>
      <w:r w:rsidRPr="00666914">
        <w:rPr>
          <w:b/>
          <w:u w:val="single"/>
        </w:rPr>
        <w:t>Zdravotnícke pomôcky – externé referencovanie a revízne činnosti</w:t>
      </w:r>
    </w:p>
    <w:p w14:paraId="3BC7D3C6" w14:textId="77777777" w:rsidR="008A4FED" w:rsidRPr="00666914" w:rsidRDefault="008A4FED" w:rsidP="008B70B3">
      <w:pPr>
        <w:spacing w:before="240"/>
      </w:pPr>
      <w:r w:rsidRPr="00666914">
        <w:rPr>
          <w:b/>
        </w:rPr>
        <w:t xml:space="preserve">Opatrenie sa k 31.12.2019 plnilo. </w:t>
      </w:r>
      <w:r w:rsidRPr="00666914">
        <w:t>Úhrady ZP za zdravotnícke pomôcky sa medzi rokmi 2016 a 2018 znížili o 22,4 mil. eur. Úspora v rokoch 2017-2018 bola dosiahnutá prevažne revíznymi činnosťami ZP. V roku 2019 došlo k opätovnému rastu výdavkov o 7 mil. eur, avšak v porovnaní so základným rokom 2016 boli o 15,4 mil. eur  nižšie. Cieľová úspora 15 mil. eur tak bola dosiahnutá.</w:t>
      </w:r>
      <w:r w:rsidRPr="00666914">
        <w:rPr>
          <w:b/>
        </w:rPr>
        <w:t xml:space="preserve"> </w:t>
      </w:r>
    </w:p>
    <w:p w14:paraId="7C1419CF" w14:textId="0230AB64" w:rsidR="008A4FED" w:rsidRPr="00666914" w:rsidRDefault="008A4FED" w:rsidP="004D30E9">
      <w:pPr>
        <w:pBdr>
          <w:bottom w:val="single" w:sz="4" w:space="1" w:color="auto"/>
        </w:pBdr>
        <w:spacing w:after="0"/>
        <w:rPr>
          <w:b/>
          <w:sz w:val="20"/>
        </w:rPr>
      </w:pPr>
      <w:bookmarkStart w:id="76" w:name="_Toc5636411"/>
      <w:bookmarkStart w:id="77" w:name="_Toc20209186"/>
      <w:bookmarkStart w:id="78" w:name="_Toc36547030"/>
      <w:bookmarkStart w:id="79" w:name="_Toc38447671"/>
      <w:r w:rsidRPr="00666914">
        <w:rPr>
          <w:b/>
          <w:sz w:val="20"/>
        </w:rPr>
        <w:t xml:space="preserve">Tabuľka </w:t>
      </w:r>
      <w:r w:rsidRPr="00666914">
        <w:rPr>
          <w:b/>
          <w:sz w:val="20"/>
        </w:rPr>
        <w:fldChar w:fldCharType="begin"/>
      </w:r>
      <w:r w:rsidRPr="00666914">
        <w:rPr>
          <w:b/>
          <w:sz w:val="20"/>
        </w:rPr>
        <w:instrText xml:space="preserve"> SEQ Tabuľka \* ARABIC </w:instrText>
      </w:r>
      <w:r w:rsidRPr="00666914">
        <w:rPr>
          <w:b/>
          <w:sz w:val="20"/>
        </w:rPr>
        <w:fldChar w:fldCharType="separate"/>
      </w:r>
      <w:r w:rsidR="005A7304">
        <w:rPr>
          <w:b/>
          <w:noProof/>
          <w:sz w:val="20"/>
        </w:rPr>
        <w:t>10</w:t>
      </w:r>
      <w:r w:rsidRPr="00666914">
        <w:rPr>
          <w:b/>
          <w:sz w:val="20"/>
        </w:rPr>
        <w:fldChar w:fldCharType="end"/>
      </w:r>
      <w:r w:rsidRPr="00666914">
        <w:rPr>
          <w:b/>
          <w:sz w:val="20"/>
        </w:rPr>
        <w:t>: Úhrady za zdravotnícke pomôcky (mil. eur)</w:t>
      </w:r>
      <w:bookmarkEnd w:id="76"/>
      <w:bookmarkEnd w:id="77"/>
      <w:bookmarkEnd w:id="78"/>
      <w:bookmarkEnd w:id="79"/>
    </w:p>
    <w:tbl>
      <w:tblPr>
        <w:tblW w:w="9229" w:type="dxa"/>
        <w:tblLayout w:type="fixed"/>
        <w:tblCellMar>
          <w:left w:w="70" w:type="dxa"/>
          <w:right w:w="70" w:type="dxa"/>
        </w:tblCellMar>
        <w:tblLook w:val="04A0" w:firstRow="1" w:lastRow="0" w:firstColumn="1" w:lastColumn="0" w:noHBand="0" w:noVBand="1"/>
      </w:tblPr>
      <w:tblGrid>
        <w:gridCol w:w="4592"/>
        <w:gridCol w:w="1159"/>
        <w:gridCol w:w="1159"/>
        <w:gridCol w:w="1159"/>
        <w:gridCol w:w="1160"/>
      </w:tblGrid>
      <w:tr w:rsidR="008A4FED" w:rsidRPr="00666914" w14:paraId="4FA367C6" w14:textId="77777777" w:rsidTr="00F64B85">
        <w:trPr>
          <w:trHeight w:val="389"/>
        </w:trPr>
        <w:tc>
          <w:tcPr>
            <w:tcW w:w="4592" w:type="dxa"/>
            <w:tcBorders>
              <w:left w:val="nil"/>
              <w:bottom w:val="single" w:sz="4" w:space="0" w:color="auto"/>
              <w:right w:val="single" w:sz="4" w:space="0" w:color="auto"/>
            </w:tcBorders>
            <w:shd w:val="clear" w:color="auto" w:fill="auto"/>
            <w:noWrap/>
            <w:vAlign w:val="bottom"/>
            <w:hideMark/>
          </w:tcPr>
          <w:p w14:paraId="2A2F13F6" w14:textId="77777777" w:rsidR="008A4FED" w:rsidRPr="00666914" w:rsidRDefault="008A4FED" w:rsidP="00F64B85">
            <w:pPr>
              <w:spacing w:after="0"/>
              <w:jc w:val="left"/>
              <w:rPr>
                <w:rFonts w:eastAsia="Times New Roman" w:cs="Calibri"/>
                <w:b/>
                <w:bCs/>
                <w:sz w:val="20"/>
                <w:szCs w:val="20"/>
                <w:lang w:eastAsia="sk-SK"/>
              </w:rPr>
            </w:pPr>
            <w:r w:rsidRPr="00666914">
              <w:rPr>
                <w:rFonts w:cs="Calibri"/>
                <w:b/>
                <w:bCs/>
                <w:sz w:val="20"/>
                <w:szCs w:val="20"/>
              </w:rPr>
              <w:t> </w:t>
            </w:r>
          </w:p>
        </w:tc>
        <w:tc>
          <w:tcPr>
            <w:tcW w:w="1159" w:type="dxa"/>
            <w:tcBorders>
              <w:left w:val="single" w:sz="4" w:space="0" w:color="auto"/>
              <w:bottom w:val="single" w:sz="4" w:space="0" w:color="auto"/>
            </w:tcBorders>
            <w:vAlign w:val="bottom"/>
          </w:tcPr>
          <w:p w14:paraId="6B1D7E49" w14:textId="77777777" w:rsidR="008A4FED" w:rsidRPr="00666914" w:rsidRDefault="008A4FED" w:rsidP="00F64B85">
            <w:pPr>
              <w:spacing w:after="0"/>
              <w:jc w:val="center"/>
              <w:rPr>
                <w:rFonts w:cs="Calibri"/>
                <w:b/>
                <w:bCs/>
                <w:color w:val="000000"/>
                <w:sz w:val="20"/>
                <w:szCs w:val="20"/>
              </w:rPr>
            </w:pPr>
            <w:r w:rsidRPr="00666914">
              <w:rPr>
                <w:rFonts w:cs="Calibri"/>
                <w:b/>
                <w:bCs/>
                <w:color w:val="000000"/>
                <w:sz w:val="20"/>
                <w:szCs w:val="20"/>
              </w:rPr>
              <w:t>2016</w:t>
            </w:r>
          </w:p>
        </w:tc>
        <w:tc>
          <w:tcPr>
            <w:tcW w:w="1159" w:type="dxa"/>
            <w:tcBorders>
              <w:top w:val="nil"/>
              <w:left w:val="nil"/>
              <w:bottom w:val="single" w:sz="4" w:space="0" w:color="auto"/>
              <w:right w:val="nil"/>
            </w:tcBorders>
            <w:shd w:val="clear" w:color="auto" w:fill="auto"/>
            <w:noWrap/>
            <w:vAlign w:val="bottom"/>
          </w:tcPr>
          <w:p w14:paraId="6582A004" w14:textId="77777777" w:rsidR="008A4FED" w:rsidRPr="00666914" w:rsidRDefault="008A4FED" w:rsidP="00F64B85">
            <w:pPr>
              <w:spacing w:after="0"/>
              <w:jc w:val="center"/>
              <w:rPr>
                <w:rFonts w:eastAsia="Times New Roman" w:cs="Calibri"/>
                <w:b/>
                <w:bCs/>
                <w:color w:val="A6A6A6" w:themeColor="background1" w:themeShade="A6"/>
                <w:sz w:val="20"/>
                <w:szCs w:val="20"/>
                <w:highlight w:val="yellow"/>
                <w:lang w:eastAsia="sk-SK"/>
              </w:rPr>
            </w:pPr>
            <w:r w:rsidRPr="00666914">
              <w:rPr>
                <w:rFonts w:cs="Calibri"/>
                <w:b/>
                <w:bCs/>
                <w:color w:val="000000"/>
                <w:sz w:val="20"/>
                <w:szCs w:val="20"/>
              </w:rPr>
              <w:t>2017</w:t>
            </w:r>
          </w:p>
        </w:tc>
        <w:tc>
          <w:tcPr>
            <w:tcW w:w="1159" w:type="dxa"/>
            <w:tcBorders>
              <w:top w:val="nil"/>
              <w:left w:val="nil"/>
              <w:bottom w:val="single" w:sz="4" w:space="0" w:color="auto"/>
              <w:right w:val="nil"/>
            </w:tcBorders>
            <w:shd w:val="clear" w:color="auto" w:fill="auto"/>
            <w:noWrap/>
            <w:vAlign w:val="bottom"/>
          </w:tcPr>
          <w:p w14:paraId="5F41B010" w14:textId="77777777" w:rsidR="008A4FED" w:rsidRPr="00666914" w:rsidRDefault="008A4FED" w:rsidP="00F64B85">
            <w:pPr>
              <w:spacing w:after="0"/>
              <w:jc w:val="center"/>
              <w:rPr>
                <w:rFonts w:eastAsia="Times New Roman" w:cs="Calibri"/>
                <w:b/>
                <w:bCs/>
                <w:color w:val="A6A6A6" w:themeColor="background1" w:themeShade="A6"/>
                <w:sz w:val="20"/>
                <w:szCs w:val="20"/>
                <w:highlight w:val="yellow"/>
                <w:lang w:eastAsia="sk-SK"/>
              </w:rPr>
            </w:pPr>
            <w:r w:rsidRPr="00666914">
              <w:rPr>
                <w:rFonts w:cs="Calibri"/>
                <w:b/>
                <w:bCs/>
                <w:color w:val="000000"/>
                <w:sz w:val="20"/>
                <w:szCs w:val="20"/>
              </w:rPr>
              <w:t>2018</w:t>
            </w:r>
          </w:p>
        </w:tc>
        <w:tc>
          <w:tcPr>
            <w:tcW w:w="1160" w:type="dxa"/>
            <w:tcBorders>
              <w:top w:val="nil"/>
              <w:left w:val="nil"/>
              <w:bottom w:val="single" w:sz="4" w:space="0" w:color="auto"/>
              <w:right w:val="nil"/>
            </w:tcBorders>
            <w:shd w:val="clear" w:color="auto" w:fill="auto"/>
            <w:noWrap/>
            <w:vAlign w:val="bottom"/>
          </w:tcPr>
          <w:p w14:paraId="760C4441" w14:textId="77777777" w:rsidR="008A4FED" w:rsidRPr="00666914" w:rsidRDefault="008A4FED" w:rsidP="00F64B85">
            <w:pPr>
              <w:spacing w:after="0"/>
              <w:jc w:val="center"/>
              <w:rPr>
                <w:rFonts w:eastAsia="Times New Roman" w:cs="Calibri"/>
                <w:b/>
                <w:bCs/>
                <w:color w:val="A6A6A6" w:themeColor="background1" w:themeShade="A6"/>
                <w:sz w:val="20"/>
                <w:szCs w:val="20"/>
                <w:highlight w:val="yellow"/>
                <w:lang w:eastAsia="sk-SK"/>
              </w:rPr>
            </w:pPr>
            <w:r w:rsidRPr="00666914">
              <w:rPr>
                <w:rFonts w:cs="Calibri"/>
                <w:b/>
                <w:bCs/>
                <w:color w:val="000000"/>
                <w:sz w:val="20"/>
                <w:szCs w:val="20"/>
              </w:rPr>
              <w:t>2019</w:t>
            </w:r>
          </w:p>
        </w:tc>
      </w:tr>
      <w:tr w:rsidR="008A4FED" w:rsidRPr="00666914" w14:paraId="4861A3DD" w14:textId="77777777" w:rsidTr="00F64B85">
        <w:trPr>
          <w:trHeight w:val="389"/>
        </w:trPr>
        <w:tc>
          <w:tcPr>
            <w:tcW w:w="4592" w:type="dxa"/>
            <w:tcBorders>
              <w:top w:val="single" w:sz="4" w:space="0" w:color="auto"/>
              <w:left w:val="nil"/>
              <w:bottom w:val="dotted" w:sz="4" w:space="0" w:color="auto"/>
              <w:right w:val="single" w:sz="4" w:space="0" w:color="auto"/>
            </w:tcBorders>
            <w:shd w:val="clear" w:color="auto" w:fill="auto"/>
            <w:noWrap/>
            <w:vAlign w:val="bottom"/>
            <w:hideMark/>
          </w:tcPr>
          <w:p w14:paraId="4AD10200" w14:textId="77777777" w:rsidR="008A4FED" w:rsidRPr="00666914" w:rsidRDefault="008A4FED" w:rsidP="00F64B85">
            <w:pPr>
              <w:spacing w:after="0"/>
              <w:jc w:val="left"/>
              <w:rPr>
                <w:rFonts w:eastAsia="Times New Roman" w:cs="Calibri"/>
                <w:b/>
                <w:bCs/>
                <w:sz w:val="20"/>
                <w:szCs w:val="20"/>
                <w:lang w:eastAsia="sk-SK"/>
              </w:rPr>
            </w:pPr>
            <w:r w:rsidRPr="00666914">
              <w:rPr>
                <w:rFonts w:cs="Calibri"/>
                <w:b/>
                <w:bCs/>
                <w:sz w:val="20"/>
                <w:szCs w:val="20"/>
              </w:rPr>
              <w:t>Celk. úhrada poisťovní za pomôcky vydané na poukaz</w:t>
            </w:r>
          </w:p>
        </w:tc>
        <w:tc>
          <w:tcPr>
            <w:tcW w:w="1159" w:type="dxa"/>
            <w:tcBorders>
              <w:top w:val="nil"/>
              <w:left w:val="single" w:sz="4" w:space="0" w:color="auto"/>
              <w:bottom w:val="dotted" w:sz="4" w:space="0" w:color="auto"/>
            </w:tcBorders>
            <w:vAlign w:val="bottom"/>
          </w:tcPr>
          <w:p w14:paraId="4F46A97E" w14:textId="77777777" w:rsidR="008A4FED" w:rsidRPr="00666914" w:rsidRDefault="008A4FED" w:rsidP="00F64B85">
            <w:pPr>
              <w:spacing w:after="0"/>
              <w:jc w:val="center"/>
              <w:rPr>
                <w:rFonts w:cs="Calibri"/>
                <w:color w:val="000000"/>
                <w:sz w:val="20"/>
                <w:szCs w:val="20"/>
              </w:rPr>
            </w:pPr>
            <w:r w:rsidRPr="00666914">
              <w:rPr>
                <w:rFonts w:cs="Calibri"/>
                <w:color w:val="000000"/>
                <w:sz w:val="20"/>
                <w:szCs w:val="20"/>
              </w:rPr>
              <w:t>208,9</w:t>
            </w:r>
          </w:p>
        </w:tc>
        <w:tc>
          <w:tcPr>
            <w:tcW w:w="1159" w:type="dxa"/>
            <w:tcBorders>
              <w:top w:val="nil"/>
              <w:left w:val="nil"/>
              <w:bottom w:val="dotted" w:sz="4" w:space="0" w:color="auto"/>
              <w:right w:val="nil"/>
            </w:tcBorders>
            <w:shd w:val="clear" w:color="auto" w:fill="auto"/>
            <w:noWrap/>
            <w:vAlign w:val="bottom"/>
          </w:tcPr>
          <w:p w14:paraId="64E12B66" w14:textId="77777777" w:rsidR="008A4FED" w:rsidRPr="00666914" w:rsidRDefault="008A4FED" w:rsidP="00F64B85">
            <w:pPr>
              <w:spacing w:after="0"/>
              <w:jc w:val="center"/>
              <w:rPr>
                <w:rFonts w:eastAsia="Times New Roman" w:cs="Calibri"/>
                <w:color w:val="A6A6A6" w:themeColor="background1" w:themeShade="A6"/>
                <w:sz w:val="20"/>
                <w:szCs w:val="20"/>
                <w:highlight w:val="yellow"/>
                <w:lang w:eastAsia="sk-SK"/>
              </w:rPr>
            </w:pPr>
            <w:r w:rsidRPr="00666914">
              <w:rPr>
                <w:rFonts w:cs="Calibri"/>
                <w:color w:val="000000"/>
                <w:sz w:val="20"/>
                <w:szCs w:val="20"/>
              </w:rPr>
              <w:t>198,6</w:t>
            </w:r>
          </w:p>
        </w:tc>
        <w:tc>
          <w:tcPr>
            <w:tcW w:w="1159" w:type="dxa"/>
            <w:tcBorders>
              <w:top w:val="nil"/>
              <w:left w:val="nil"/>
              <w:bottom w:val="dotted" w:sz="4" w:space="0" w:color="auto"/>
              <w:right w:val="nil"/>
            </w:tcBorders>
            <w:shd w:val="clear" w:color="auto" w:fill="auto"/>
            <w:noWrap/>
            <w:vAlign w:val="bottom"/>
          </w:tcPr>
          <w:p w14:paraId="2D4AE616" w14:textId="77777777" w:rsidR="008A4FED" w:rsidRPr="00666914" w:rsidRDefault="008A4FED" w:rsidP="00F64B85">
            <w:pPr>
              <w:spacing w:after="0"/>
              <w:jc w:val="center"/>
              <w:rPr>
                <w:rFonts w:eastAsia="Times New Roman" w:cs="Calibri"/>
                <w:color w:val="A6A6A6" w:themeColor="background1" w:themeShade="A6"/>
                <w:sz w:val="20"/>
                <w:szCs w:val="20"/>
                <w:highlight w:val="yellow"/>
                <w:lang w:eastAsia="sk-SK"/>
              </w:rPr>
            </w:pPr>
            <w:r w:rsidRPr="00666914">
              <w:rPr>
                <w:rFonts w:cs="Calibri"/>
                <w:color w:val="000000"/>
                <w:sz w:val="20"/>
                <w:szCs w:val="20"/>
              </w:rPr>
              <w:t>186,5</w:t>
            </w:r>
          </w:p>
        </w:tc>
        <w:tc>
          <w:tcPr>
            <w:tcW w:w="1160" w:type="dxa"/>
            <w:tcBorders>
              <w:top w:val="nil"/>
              <w:left w:val="nil"/>
              <w:bottom w:val="dotted" w:sz="4" w:space="0" w:color="auto"/>
              <w:right w:val="nil"/>
            </w:tcBorders>
            <w:shd w:val="clear" w:color="auto" w:fill="auto"/>
            <w:noWrap/>
            <w:vAlign w:val="bottom"/>
          </w:tcPr>
          <w:p w14:paraId="2D69A166" w14:textId="77777777" w:rsidR="008A4FED" w:rsidRPr="00666914" w:rsidRDefault="008A4FED" w:rsidP="00F64B85">
            <w:pPr>
              <w:spacing w:after="0"/>
              <w:jc w:val="center"/>
              <w:rPr>
                <w:rFonts w:eastAsia="Times New Roman" w:cs="Calibri"/>
                <w:color w:val="A6A6A6" w:themeColor="background1" w:themeShade="A6"/>
                <w:sz w:val="20"/>
                <w:szCs w:val="20"/>
                <w:highlight w:val="yellow"/>
                <w:lang w:eastAsia="sk-SK"/>
              </w:rPr>
            </w:pPr>
            <w:r w:rsidRPr="00666914">
              <w:rPr>
                <w:rFonts w:cs="Calibri"/>
                <w:color w:val="000000"/>
                <w:sz w:val="20"/>
                <w:szCs w:val="20"/>
              </w:rPr>
              <w:t>193,5</w:t>
            </w:r>
          </w:p>
        </w:tc>
      </w:tr>
      <w:tr w:rsidR="008A4FED" w:rsidRPr="00666914" w14:paraId="188A7DCC" w14:textId="77777777" w:rsidTr="00F64B85">
        <w:trPr>
          <w:trHeight w:val="284"/>
        </w:trPr>
        <w:tc>
          <w:tcPr>
            <w:tcW w:w="4592" w:type="dxa"/>
            <w:tcBorders>
              <w:top w:val="dotted" w:sz="4" w:space="0" w:color="auto"/>
              <w:left w:val="nil"/>
              <w:right w:val="single" w:sz="4" w:space="0" w:color="auto"/>
            </w:tcBorders>
            <w:shd w:val="clear" w:color="auto" w:fill="auto"/>
            <w:noWrap/>
            <w:vAlign w:val="bottom"/>
          </w:tcPr>
          <w:p w14:paraId="64D83F02" w14:textId="77777777" w:rsidR="008A4FED" w:rsidRPr="00666914" w:rsidRDefault="008A4FED" w:rsidP="00F64B85">
            <w:pPr>
              <w:spacing w:after="0"/>
              <w:jc w:val="left"/>
              <w:rPr>
                <w:rFonts w:eastAsia="Times New Roman" w:cs="Calibri"/>
                <w:b/>
                <w:bCs/>
                <w:sz w:val="16"/>
                <w:szCs w:val="20"/>
                <w:lang w:eastAsia="sk-SK"/>
              </w:rPr>
            </w:pPr>
            <w:r w:rsidRPr="00666914">
              <w:rPr>
                <w:rFonts w:eastAsia="Times New Roman" w:cs="Calibri"/>
                <w:sz w:val="16"/>
                <w:szCs w:val="20"/>
                <w:lang w:eastAsia="sk-SK"/>
              </w:rPr>
              <w:t xml:space="preserve">z toho </w:t>
            </w:r>
          </w:p>
        </w:tc>
        <w:tc>
          <w:tcPr>
            <w:tcW w:w="1159" w:type="dxa"/>
            <w:tcBorders>
              <w:top w:val="dotted" w:sz="4" w:space="0" w:color="auto"/>
              <w:left w:val="single" w:sz="4" w:space="0" w:color="auto"/>
            </w:tcBorders>
            <w:vAlign w:val="bottom"/>
          </w:tcPr>
          <w:p w14:paraId="56F614E1" w14:textId="77777777" w:rsidR="008A4FED" w:rsidRPr="00666914" w:rsidRDefault="008A4FED" w:rsidP="00F64B85">
            <w:pPr>
              <w:spacing w:after="0"/>
              <w:jc w:val="center"/>
              <w:rPr>
                <w:rFonts w:cs="Calibri"/>
                <w:color w:val="000000"/>
                <w:sz w:val="20"/>
                <w:szCs w:val="20"/>
              </w:rPr>
            </w:pPr>
          </w:p>
        </w:tc>
        <w:tc>
          <w:tcPr>
            <w:tcW w:w="1159" w:type="dxa"/>
            <w:tcBorders>
              <w:top w:val="dotted" w:sz="4" w:space="0" w:color="auto"/>
              <w:left w:val="nil"/>
              <w:right w:val="nil"/>
            </w:tcBorders>
            <w:shd w:val="clear" w:color="auto" w:fill="auto"/>
            <w:noWrap/>
            <w:vAlign w:val="bottom"/>
          </w:tcPr>
          <w:p w14:paraId="398BDDD2" w14:textId="77777777" w:rsidR="008A4FED" w:rsidRPr="00666914" w:rsidRDefault="008A4FED" w:rsidP="00F64B85">
            <w:pPr>
              <w:spacing w:after="0"/>
              <w:jc w:val="center"/>
              <w:rPr>
                <w:rFonts w:cs="Calibri"/>
                <w:color w:val="A6A6A6" w:themeColor="background1" w:themeShade="A6"/>
                <w:sz w:val="16"/>
                <w:szCs w:val="20"/>
                <w:highlight w:val="yellow"/>
              </w:rPr>
            </w:pPr>
          </w:p>
        </w:tc>
        <w:tc>
          <w:tcPr>
            <w:tcW w:w="1159" w:type="dxa"/>
            <w:tcBorders>
              <w:top w:val="dotted" w:sz="4" w:space="0" w:color="auto"/>
              <w:left w:val="nil"/>
              <w:right w:val="nil"/>
            </w:tcBorders>
            <w:shd w:val="clear" w:color="auto" w:fill="auto"/>
            <w:noWrap/>
            <w:vAlign w:val="bottom"/>
          </w:tcPr>
          <w:p w14:paraId="45C99236" w14:textId="77777777" w:rsidR="008A4FED" w:rsidRPr="00666914" w:rsidRDefault="008A4FED" w:rsidP="00F64B85">
            <w:pPr>
              <w:spacing w:after="0"/>
              <w:jc w:val="center"/>
              <w:rPr>
                <w:rFonts w:cs="Calibri"/>
                <w:color w:val="A6A6A6" w:themeColor="background1" w:themeShade="A6"/>
                <w:sz w:val="16"/>
                <w:szCs w:val="20"/>
                <w:highlight w:val="yellow"/>
              </w:rPr>
            </w:pPr>
          </w:p>
        </w:tc>
        <w:tc>
          <w:tcPr>
            <w:tcW w:w="1160" w:type="dxa"/>
            <w:tcBorders>
              <w:top w:val="dotted" w:sz="4" w:space="0" w:color="auto"/>
              <w:left w:val="nil"/>
              <w:right w:val="nil"/>
            </w:tcBorders>
            <w:shd w:val="clear" w:color="auto" w:fill="auto"/>
            <w:noWrap/>
            <w:vAlign w:val="bottom"/>
          </w:tcPr>
          <w:p w14:paraId="60FB020C" w14:textId="77777777" w:rsidR="008A4FED" w:rsidRPr="00666914" w:rsidRDefault="008A4FED" w:rsidP="00F64B85">
            <w:pPr>
              <w:spacing w:after="0"/>
              <w:jc w:val="center"/>
              <w:rPr>
                <w:rFonts w:cs="Calibri"/>
                <w:color w:val="A6A6A6" w:themeColor="background1" w:themeShade="A6"/>
                <w:sz w:val="16"/>
                <w:szCs w:val="20"/>
                <w:highlight w:val="yellow"/>
              </w:rPr>
            </w:pPr>
          </w:p>
        </w:tc>
      </w:tr>
      <w:tr w:rsidR="008A4FED" w:rsidRPr="00666914" w14:paraId="07035A51" w14:textId="77777777" w:rsidTr="00F64B85">
        <w:trPr>
          <w:trHeight w:val="389"/>
        </w:trPr>
        <w:tc>
          <w:tcPr>
            <w:tcW w:w="4592" w:type="dxa"/>
            <w:tcBorders>
              <w:left w:val="nil"/>
              <w:right w:val="single" w:sz="4" w:space="0" w:color="auto"/>
            </w:tcBorders>
            <w:shd w:val="clear" w:color="auto" w:fill="auto"/>
            <w:noWrap/>
            <w:vAlign w:val="bottom"/>
          </w:tcPr>
          <w:p w14:paraId="1408C31E" w14:textId="77777777" w:rsidR="008A4FED" w:rsidRPr="00666914" w:rsidRDefault="008A4FED" w:rsidP="00F64B85">
            <w:pPr>
              <w:spacing w:after="0"/>
              <w:jc w:val="left"/>
              <w:rPr>
                <w:rFonts w:eastAsia="Times New Roman" w:cs="Calibri"/>
                <w:bCs/>
                <w:sz w:val="18"/>
                <w:szCs w:val="20"/>
                <w:lang w:eastAsia="sk-SK"/>
              </w:rPr>
            </w:pPr>
            <w:r w:rsidRPr="00666914">
              <w:rPr>
                <w:rFonts w:eastAsia="Times New Roman" w:cs="Calibri"/>
                <w:bCs/>
                <w:sz w:val="18"/>
                <w:szCs w:val="20"/>
                <w:lang w:eastAsia="sk-SK"/>
              </w:rPr>
              <w:t xml:space="preserve">   Štandardné pomôcky</w:t>
            </w:r>
          </w:p>
        </w:tc>
        <w:tc>
          <w:tcPr>
            <w:tcW w:w="1159" w:type="dxa"/>
            <w:tcBorders>
              <w:left w:val="single" w:sz="4" w:space="0" w:color="auto"/>
            </w:tcBorders>
            <w:vAlign w:val="bottom"/>
          </w:tcPr>
          <w:p w14:paraId="2F321EBB" w14:textId="77777777" w:rsidR="008A4FED" w:rsidRPr="00666914" w:rsidRDefault="008A4FED" w:rsidP="00F64B85">
            <w:pPr>
              <w:spacing w:after="0"/>
              <w:jc w:val="center"/>
              <w:rPr>
                <w:rFonts w:cs="Calibri"/>
                <w:color w:val="000000"/>
                <w:sz w:val="18"/>
                <w:szCs w:val="18"/>
              </w:rPr>
            </w:pPr>
            <w:r w:rsidRPr="00666914">
              <w:rPr>
                <w:rFonts w:cs="Calibri"/>
                <w:color w:val="000000"/>
                <w:sz w:val="18"/>
                <w:szCs w:val="18"/>
              </w:rPr>
              <w:t>158,7</w:t>
            </w:r>
          </w:p>
        </w:tc>
        <w:tc>
          <w:tcPr>
            <w:tcW w:w="1159" w:type="dxa"/>
            <w:tcBorders>
              <w:left w:val="nil"/>
              <w:right w:val="nil"/>
            </w:tcBorders>
            <w:shd w:val="clear" w:color="auto" w:fill="auto"/>
            <w:noWrap/>
            <w:vAlign w:val="bottom"/>
          </w:tcPr>
          <w:p w14:paraId="30D1B4B1" w14:textId="77777777" w:rsidR="008A4FED" w:rsidRPr="00666914" w:rsidRDefault="008A4FED" w:rsidP="00F64B85">
            <w:pPr>
              <w:spacing w:after="0"/>
              <w:jc w:val="center"/>
              <w:rPr>
                <w:rFonts w:cs="Calibri"/>
                <w:color w:val="A6A6A6" w:themeColor="background1" w:themeShade="A6"/>
                <w:sz w:val="18"/>
                <w:szCs w:val="18"/>
                <w:highlight w:val="yellow"/>
              </w:rPr>
            </w:pPr>
            <w:r w:rsidRPr="00666914">
              <w:rPr>
                <w:rFonts w:cs="Calibri"/>
                <w:color w:val="000000"/>
                <w:sz w:val="18"/>
                <w:szCs w:val="18"/>
              </w:rPr>
              <w:t>153,7</w:t>
            </w:r>
          </w:p>
        </w:tc>
        <w:tc>
          <w:tcPr>
            <w:tcW w:w="1159" w:type="dxa"/>
            <w:tcBorders>
              <w:left w:val="nil"/>
              <w:right w:val="nil"/>
            </w:tcBorders>
            <w:shd w:val="clear" w:color="auto" w:fill="auto"/>
            <w:noWrap/>
            <w:vAlign w:val="bottom"/>
          </w:tcPr>
          <w:p w14:paraId="780DAC16" w14:textId="77777777" w:rsidR="008A4FED" w:rsidRPr="00666914" w:rsidRDefault="008A4FED" w:rsidP="00F64B85">
            <w:pPr>
              <w:spacing w:after="0"/>
              <w:jc w:val="center"/>
              <w:rPr>
                <w:rFonts w:cs="Calibri"/>
                <w:color w:val="A6A6A6" w:themeColor="background1" w:themeShade="A6"/>
                <w:sz w:val="18"/>
                <w:szCs w:val="18"/>
                <w:highlight w:val="yellow"/>
              </w:rPr>
            </w:pPr>
            <w:r w:rsidRPr="00666914">
              <w:rPr>
                <w:rFonts w:cs="Calibri"/>
                <w:color w:val="000000"/>
                <w:sz w:val="18"/>
                <w:szCs w:val="18"/>
              </w:rPr>
              <w:t>150,0</w:t>
            </w:r>
          </w:p>
        </w:tc>
        <w:tc>
          <w:tcPr>
            <w:tcW w:w="1160" w:type="dxa"/>
            <w:tcBorders>
              <w:left w:val="nil"/>
              <w:right w:val="nil"/>
            </w:tcBorders>
            <w:shd w:val="clear" w:color="auto" w:fill="auto"/>
            <w:noWrap/>
            <w:vAlign w:val="bottom"/>
          </w:tcPr>
          <w:p w14:paraId="3F8FB444" w14:textId="77777777" w:rsidR="008A4FED" w:rsidRPr="00666914" w:rsidRDefault="008A4FED" w:rsidP="00F64B85">
            <w:pPr>
              <w:spacing w:after="0"/>
              <w:jc w:val="center"/>
              <w:rPr>
                <w:rFonts w:cs="Calibri"/>
                <w:color w:val="A6A6A6" w:themeColor="background1" w:themeShade="A6"/>
                <w:sz w:val="18"/>
                <w:szCs w:val="18"/>
                <w:highlight w:val="yellow"/>
              </w:rPr>
            </w:pPr>
            <w:r w:rsidRPr="00666914">
              <w:rPr>
                <w:rFonts w:cs="Calibri"/>
                <w:color w:val="000000"/>
                <w:sz w:val="18"/>
                <w:szCs w:val="18"/>
              </w:rPr>
              <w:t>155,3</w:t>
            </w:r>
          </w:p>
        </w:tc>
      </w:tr>
      <w:tr w:rsidR="008A4FED" w:rsidRPr="00666914" w14:paraId="074E1A1F" w14:textId="77777777" w:rsidTr="00F64B85">
        <w:trPr>
          <w:trHeight w:val="389"/>
        </w:trPr>
        <w:tc>
          <w:tcPr>
            <w:tcW w:w="4592" w:type="dxa"/>
            <w:tcBorders>
              <w:top w:val="nil"/>
              <w:left w:val="nil"/>
              <w:bottom w:val="single" w:sz="4" w:space="0" w:color="auto"/>
              <w:right w:val="single" w:sz="4" w:space="0" w:color="auto"/>
            </w:tcBorders>
            <w:shd w:val="clear" w:color="auto" w:fill="auto"/>
            <w:noWrap/>
            <w:vAlign w:val="bottom"/>
            <w:hideMark/>
          </w:tcPr>
          <w:p w14:paraId="26AC7F16" w14:textId="77777777" w:rsidR="008A4FED" w:rsidRPr="00666914" w:rsidRDefault="008A4FED" w:rsidP="00F64B85">
            <w:pPr>
              <w:spacing w:after="0"/>
              <w:jc w:val="left"/>
              <w:rPr>
                <w:rFonts w:eastAsia="Times New Roman" w:cs="Calibri"/>
                <w:bCs/>
                <w:sz w:val="18"/>
                <w:szCs w:val="20"/>
                <w:lang w:eastAsia="sk-SK"/>
              </w:rPr>
            </w:pPr>
            <w:r w:rsidRPr="00666914">
              <w:rPr>
                <w:rFonts w:eastAsia="Times New Roman" w:cs="Calibri"/>
                <w:bCs/>
                <w:sz w:val="18"/>
                <w:szCs w:val="20"/>
                <w:lang w:eastAsia="sk-SK"/>
              </w:rPr>
              <w:t xml:space="preserve">   Individuálne pomôcky</w:t>
            </w:r>
          </w:p>
        </w:tc>
        <w:tc>
          <w:tcPr>
            <w:tcW w:w="1159" w:type="dxa"/>
            <w:tcBorders>
              <w:top w:val="nil"/>
              <w:left w:val="single" w:sz="4" w:space="0" w:color="auto"/>
              <w:bottom w:val="single" w:sz="4" w:space="0" w:color="auto"/>
            </w:tcBorders>
            <w:vAlign w:val="bottom"/>
          </w:tcPr>
          <w:p w14:paraId="42944888" w14:textId="77777777" w:rsidR="008A4FED" w:rsidRPr="00666914" w:rsidRDefault="008A4FED" w:rsidP="00F64B85">
            <w:pPr>
              <w:spacing w:after="0"/>
              <w:jc w:val="center"/>
              <w:rPr>
                <w:rFonts w:eastAsia="Times New Roman" w:cs="Calibri"/>
                <w:b/>
                <w:bCs/>
                <w:color w:val="A6A6A6" w:themeColor="background1" w:themeShade="A6"/>
                <w:sz w:val="18"/>
                <w:szCs w:val="18"/>
                <w:highlight w:val="yellow"/>
                <w:lang w:eastAsia="sk-SK"/>
              </w:rPr>
            </w:pPr>
            <w:r w:rsidRPr="00666914">
              <w:rPr>
                <w:rFonts w:cs="Calibri"/>
                <w:color w:val="000000"/>
                <w:sz w:val="18"/>
                <w:szCs w:val="18"/>
              </w:rPr>
              <w:t>50,2</w:t>
            </w:r>
          </w:p>
        </w:tc>
        <w:tc>
          <w:tcPr>
            <w:tcW w:w="1159" w:type="dxa"/>
            <w:tcBorders>
              <w:top w:val="nil"/>
              <w:left w:val="nil"/>
              <w:bottom w:val="single" w:sz="4" w:space="0" w:color="auto"/>
              <w:right w:val="nil"/>
            </w:tcBorders>
            <w:shd w:val="clear" w:color="auto" w:fill="auto"/>
            <w:noWrap/>
            <w:vAlign w:val="bottom"/>
          </w:tcPr>
          <w:p w14:paraId="4DAF6591" w14:textId="77777777" w:rsidR="008A4FED" w:rsidRPr="00666914" w:rsidRDefault="008A4FED" w:rsidP="00F64B85">
            <w:pPr>
              <w:spacing w:after="0"/>
              <w:jc w:val="center"/>
              <w:rPr>
                <w:rFonts w:eastAsia="Times New Roman" w:cs="Calibri"/>
                <w:b/>
                <w:bCs/>
                <w:color w:val="A6A6A6" w:themeColor="background1" w:themeShade="A6"/>
                <w:sz w:val="18"/>
                <w:szCs w:val="18"/>
                <w:highlight w:val="yellow"/>
                <w:lang w:eastAsia="sk-SK"/>
              </w:rPr>
            </w:pPr>
            <w:r w:rsidRPr="00666914">
              <w:rPr>
                <w:rFonts w:cs="Calibri"/>
                <w:color w:val="000000"/>
                <w:sz w:val="18"/>
                <w:szCs w:val="18"/>
              </w:rPr>
              <w:t>44,9</w:t>
            </w:r>
          </w:p>
        </w:tc>
        <w:tc>
          <w:tcPr>
            <w:tcW w:w="1159" w:type="dxa"/>
            <w:tcBorders>
              <w:top w:val="nil"/>
              <w:left w:val="nil"/>
              <w:bottom w:val="single" w:sz="4" w:space="0" w:color="auto"/>
              <w:right w:val="nil"/>
            </w:tcBorders>
            <w:shd w:val="clear" w:color="auto" w:fill="auto"/>
            <w:noWrap/>
            <w:vAlign w:val="bottom"/>
          </w:tcPr>
          <w:p w14:paraId="5CD8558C" w14:textId="77777777" w:rsidR="008A4FED" w:rsidRPr="00666914" w:rsidRDefault="008A4FED" w:rsidP="00F64B85">
            <w:pPr>
              <w:spacing w:after="0"/>
              <w:jc w:val="center"/>
              <w:rPr>
                <w:rFonts w:eastAsia="Times New Roman" w:cs="Calibri"/>
                <w:color w:val="A6A6A6" w:themeColor="background1" w:themeShade="A6"/>
                <w:sz w:val="18"/>
                <w:szCs w:val="18"/>
                <w:highlight w:val="yellow"/>
                <w:lang w:eastAsia="sk-SK"/>
              </w:rPr>
            </w:pPr>
            <w:r w:rsidRPr="00666914">
              <w:rPr>
                <w:rFonts w:cs="Calibri"/>
                <w:color w:val="000000"/>
                <w:sz w:val="18"/>
                <w:szCs w:val="18"/>
              </w:rPr>
              <w:t>36,5</w:t>
            </w:r>
          </w:p>
        </w:tc>
        <w:tc>
          <w:tcPr>
            <w:tcW w:w="1160" w:type="dxa"/>
            <w:tcBorders>
              <w:top w:val="nil"/>
              <w:left w:val="nil"/>
              <w:bottom w:val="single" w:sz="4" w:space="0" w:color="auto"/>
              <w:right w:val="nil"/>
            </w:tcBorders>
            <w:shd w:val="clear" w:color="auto" w:fill="auto"/>
            <w:noWrap/>
            <w:vAlign w:val="bottom"/>
          </w:tcPr>
          <w:p w14:paraId="7256CEF2" w14:textId="77777777" w:rsidR="008A4FED" w:rsidRPr="00666914" w:rsidRDefault="008A4FED" w:rsidP="00F64B85">
            <w:pPr>
              <w:spacing w:after="0"/>
              <w:jc w:val="center"/>
              <w:rPr>
                <w:rFonts w:eastAsia="Times New Roman" w:cs="Calibri"/>
                <w:color w:val="A6A6A6" w:themeColor="background1" w:themeShade="A6"/>
                <w:sz w:val="18"/>
                <w:szCs w:val="18"/>
                <w:highlight w:val="yellow"/>
                <w:lang w:eastAsia="sk-SK"/>
              </w:rPr>
            </w:pPr>
            <w:r w:rsidRPr="00666914">
              <w:rPr>
                <w:rFonts w:cs="Calibri"/>
                <w:color w:val="000000"/>
                <w:sz w:val="18"/>
                <w:szCs w:val="18"/>
              </w:rPr>
              <w:t>38,3</w:t>
            </w:r>
          </w:p>
        </w:tc>
      </w:tr>
      <w:tr w:rsidR="008A4FED" w:rsidRPr="00666914" w14:paraId="19A83816" w14:textId="77777777" w:rsidTr="00F64B85">
        <w:trPr>
          <w:trHeight w:val="368"/>
        </w:trPr>
        <w:tc>
          <w:tcPr>
            <w:tcW w:w="4592" w:type="dxa"/>
            <w:tcBorders>
              <w:top w:val="single" w:sz="4" w:space="0" w:color="auto"/>
              <w:left w:val="nil"/>
              <w:bottom w:val="single" w:sz="4" w:space="0" w:color="auto"/>
              <w:right w:val="single" w:sz="4" w:space="0" w:color="auto"/>
            </w:tcBorders>
            <w:shd w:val="clear" w:color="auto" w:fill="auto"/>
            <w:noWrap/>
            <w:vAlign w:val="bottom"/>
          </w:tcPr>
          <w:p w14:paraId="5A4CC2A5" w14:textId="77777777" w:rsidR="008A4FED" w:rsidRPr="00666914" w:rsidRDefault="008A4FED" w:rsidP="00F64B85">
            <w:pPr>
              <w:spacing w:after="0"/>
              <w:jc w:val="left"/>
              <w:rPr>
                <w:rFonts w:eastAsia="Times New Roman" w:cs="Calibri"/>
                <w:sz w:val="20"/>
                <w:szCs w:val="20"/>
                <w:lang w:eastAsia="sk-SK"/>
              </w:rPr>
            </w:pPr>
            <w:r w:rsidRPr="00666914">
              <w:rPr>
                <w:rFonts w:eastAsia="Times New Roman" w:cs="Calibri"/>
                <w:b/>
                <w:bCs/>
                <w:sz w:val="20"/>
                <w:szCs w:val="20"/>
                <w:lang w:eastAsia="sk-SK"/>
              </w:rPr>
              <w:t>Medziročná zmena v %</w:t>
            </w:r>
          </w:p>
        </w:tc>
        <w:tc>
          <w:tcPr>
            <w:tcW w:w="1159" w:type="dxa"/>
            <w:tcBorders>
              <w:top w:val="single" w:sz="4" w:space="0" w:color="auto"/>
              <w:left w:val="single" w:sz="4" w:space="0" w:color="auto"/>
              <w:bottom w:val="single" w:sz="4" w:space="0" w:color="auto"/>
            </w:tcBorders>
            <w:vAlign w:val="bottom"/>
          </w:tcPr>
          <w:p w14:paraId="4DD4144C" w14:textId="77777777" w:rsidR="008A4FED" w:rsidRPr="00666914" w:rsidRDefault="008A4FED" w:rsidP="00F64B85">
            <w:pPr>
              <w:spacing w:after="0"/>
              <w:jc w:val="center"/>
              <w:rPr>
                <w:rFonts w:cs="Calibri"/>
                <w:b/>
                <w:bCs/>
                <w:color w:val="000000"/>
                <w:sz w:val="20"/>
                <w:szCs w:val="20"/>
              </w:rPr>
            </w:pPr>
            <w:r w:rsidRPr="00666914">
              <w:rPr>
                <w:rFonts w:cs="Calibri"/>
                <w:color w:val="000000"/>
                <w:sz w:val="20"/>
                <w:szCs w:val="20"/>
              </w:rPr>
              <w:t> </w:t>
            </w:r>
          </w:p>
        </w:tc>
        <w:tc>
          <w:tcPr>
            <w:tcW w:w="1159" w:type="dxa"/>
            <w:tcBorders>
              <w:top w:val="single" w:sz="4" w:space="0" w:color="auto"/>
              <w:left w:val="nil"/>
              <w:bottom w:val="single" w:sz="4" w:space="0" w:color="auto"/>
              <w:right w:val="nil"/>
            </w:tcBorders>
            <w:shd w:val="clear" w:color="auto" w:fill="auto"/>
            <w:noWrap/>
            <w:vAlign w:val="bottom"/>
          </w:tcPr>
          <w:p w14:paraId="5C1B9813" w14:textId="77777777" w:rsidR="008A4FED" w:rsidRPr="00666914" w:rsidRDefault="008A4FED" w:rsidP="00F64B85">
            <w:pPr>
              <w:spacing w:after="0"/>
              <w:jc w:val="center"/>
              <w:rPr>
                <w:rFonts w:eastAsia="Times New Roman" w:cs="Calibri"/>
                <w:color w:val="A6A6A6" w:themeColor="background1" w:themeShade="A6"/>
                <w:sz w:val="20"/>
                <w:szCs w:val="20"/>
                <w:highlight w:val="yellow"/>
                <w:lang w:eastAsia="sk-SK"/>
              </w:rPr>
            </w:pPr>
            <w:r w:rsidRPr="00666914">
              <w:rPr>
                <w:rFonts w:cs="Calibri"/>
                <w:color w:val="000000"/>
                <w:sz w:val="20"/>
                <w:szCs w:val="20"/>
              </w:rPr>
              <w:t>-5%</w:t>
            </w:r>
          </w:p>
        </w:tc>
        <w:tc>
          <w:tcPr>
            <w:tcW w:w="1159" w:type="dxa"/>
            <w:tcBorders>
              <w:top w:val="single" w:sz="4" w:space="0" w:color="auto"/>
              <w:left w:val="nil"/>
              <w:bottom w:val="single" w:sz="4" w:space="0" w:color="auto"/>
              <w:right w:val="nil"/>
            </w:tcBorders>
            <w:shd w:val="clear" w:color="auto" w:fill="auto"/>
            <w:noWrap/>
            <w:vAlign w:val="bottom"/>
          </w:tcPr>
          <w:p w14:paraId="29A60365" w14:textId="77777777" w:rsidR="008A4FED" w:rsidRPr="00666914" w:rsidRDefault="008A4FED" w:rsidP="00F64B85">
            <w:pPr>
              <w:spacing w:after="0"/>
              <w:jc w:val="center"/>
              <w:rPr>
                <w:rFonts w:ascii="Times New Roman" w:eastAsia="Times New Roman" w:hAnsi="Times New Roman"/>
                <w:color w:val="A6A6A6" w:themeColor="background1" w:themeShade="A6"/>
                <w:sz w:val="20"/>
                <w:szCs w:val="20"/>
                <w:highlight w:val="yellow"/>
                <w:lang w:eastAsia="sk-SK"/>
              </w:rPr>
            </w:pPr>
            <w:r w:rsidRPr="00666914">
              <w:rPr>
                <w:rFonts w:cs="Calibri"/>
                <w:color w:val="000000"/>
                <w:sz w:val="20"/>
                <w:szCs w:val="20"/>
              </w:rPr>
              <w:t>-6%</w:t>
            </w:r>
          </w:p>
        </w:tc>
        <w:tc>
          <w:tcPr>
            <w:tcW w:w="1160" w:type="dxa"/>
            <w:tcBorders>
              <w:top w:val="single" w:sz="4" w:space="0" w:color="auto"/>
              <w:left w:val="nil"/>
              <w:bottom w:val="single" w:sz="4" w:space="0" w:color="auto"/>
              <w:right w:val="nil"/>
            </w:tcBorders>
            <w:shd w:val="clear" w:color="auto" w:fill="auto"/>
            <w:noWrap/>
            <w:vAlign w:val="bottom"/>
          </w:tcPr>
          <w:p w14:paraId="60DD0225" w14:textId="77777777" w:rsidR="008A4FED" w:rsidRPr="00666914" w:rsidRDefault="008A4FED" w:rsidP="00F64B85">
            <w:pPr>
              <w:spacing w:after="0"/>
              <w:jc w:val="center"/>
              <w:rPr>
                <w:rFonts w:ascii="Times New Roman" w:eastAsia="Times New Roman" w:hAnsi="Times New Roman"/>
                <w:color w:val="A6A6A6" w:themeColor="background1" w:themeShade="A6"/>
                <w:sz w:val="20"/>
                <w:szCs w:val="20"/>
                <w:highlight w:val="yellow"/>
                <w:lang w:eastAsia="sk-SK"/>
              </w:rPr>
            </w:pPr>
            <w:r w:rsidRPr="00666914">
              <w:rPr>
                <w:rFonts w:cs="Calibri"/>
                <w:color w:val="000000"/>
                <w:sz w:val="20"/>
                <w:szCs w:val="20"/>
              </w:rPr>
              <w:t>4%</w:t>
            </w:r>
          </w:p>
        </w:tc>
      </w:tr>
    </w:tbl>
    <w:p w14:paraId="657C5405" w14:textId="77777777" w:rsidR="008A4FED" w:rsidRPr="00666914" w:rsidRDefault="008A4FED" w:rsidP="004D30E9">
      <w:pPr>
        <w:ind w:firstLine="5954"/>
        <w:jc w:val="right"/>
        <w:rPr>
          <w:i/>
          <w:sz w:val="18"/>
        </w:rPr>
      </w:pPr>
      <w:r w:rsidRPr="00666914">
        <w:rPr>
          <w:i/>
          <w:sz w:val="18"/>
        </w:rPr>
        <w:t>Zdroj: ZP, MZ SR, spracovanie IJ</w:t>
      </w:r>
    </w:p>
    <w:p w14:paraId="6DB02E36" w14:textId="77777777" w:rsidR="008A4FED" w:rsidRPr="00666914" w:rsidRDefault="008A4FED" w:rsidP="008A4FED">
      <w:pPr>
        <w:numPr>
          <w:ilvl w:val="0"/>
          <w:numId w:val="28"/>
        </w:numPr>
        <w:spacing w:before="240"/>
        <w:ind w:left="714" w:hanging="357"/>
        <w:rPr>
          <w:b/>
          <w:u w:val="single"/>
        </w:rPr>
      </w:pPr>
      <w:r w:rsidRPr="00666914">
        <w:rPr>
          <w:b/>
          <w:u w:val="single"/>
        </w:rPr>
        <w:t>Zlepšenie revíznych činností VšZP</w:t>
      </w:r>
    </w:p>
    <w:p w14:paraId="1AE9CB20" w14:textId="77777777" w:rsidR="008A4FED" w:rsidRPr="00666914" w:rsidRDefault="008A4FED" w:rsidP="00F64B85">
      <w:pPr>
        <w:spacing w:before="240"/>
      </w:pPr>
      <w:r w:rsidRPr="00666914">
        <w:rPr>
          <w:b/>
        </w:rPr>
        <w:t>Opatrenie bolo splnené už v roku 2017 v dôsledku činností, ktoré VšZP podnikla v Ozdravnom pláne</w:t>
      </w:r>
      <w:r w:rsidRPr="00666914">
        <w:rPr>
          <w:rStyle w:val="Odkaznapoznmkupodiarou"/>
        </w:rPr>
        <w:footnoteReference w:id="22"/>
      </w:r>
      <w:r w:rsidRPr="00666914">
        <w:t>. ZP sú podľa zákona</w:t>
      </w:r>
      <w:r w:rsidRPr="00666914">
        <w:rPr>
          <w:rStyle w:val="Odkaznapoznmkupodiarou"/>
        </w:rPr>
        <w:footnoteReference w:id="23"/>
      </w:r>
      <w:r w:rsidRPr="00666914">
        <w:t xml:space="preserve"> povinné vykonávať kontrolnú činnosť u PZS a v zariadeniach sociálnej pomoci, ktorým uhrádza poskytnutú starostlivosť. Revízia výdavkov I. definovala opatrenie na základe finančného efektu </w:t>
      </w:r>
      <w:r w:rsidRPr="00666914">
        <w:rPr>
          <w:u w:val="single"/>
        </w:rPr>
        <w:t>priamych revíznych kontrol</w:t>
      </w:r>
      <w:r w:rsidRPr="00666914">
        <w:t xml:space="preserve"> VšZP u poskytovateľov. V roku 2019 VšZP priamymi kontrolami odhalila neúčelné, nehospodárne alebo neefektívne využívanie prostriedkov VZP vo výške 9,6 mil. eur. </w:t>
      </w:r>
    </w:p>
    <w:p w14:paraId="162247B2" w14:textId="0219D18A" w:rsidR="008A4FED" w:rsidRPr="00666914" w:rsidRDefault="008A4FED" w:rsidP="004D30E9">
      <w:pPr>
        <w:pBdr>
          <w:bottom w:val="single" w:sz="4" w:space="1" w:color="auto"/>
        </w:pBdr>
        <w:spacing w:before="240" w:after="0" w:line="259" w:lineRule="auto"/>
      </w:pPr>
      <w:bookmarkStart w:id="80" w:name="_Toc5636412"/>
      <w:bookmarkStart w:id="81" w:name="_Toc20209187"/>
      <w:bookmarkStart w:id="82" w:name="_Toc36547031"/>
      <w:bookmarkStart w:id="83" w:name="_Toc38447672"/>
      <w:r w:rsidRPr="00666914">
        <w:rPr>
          <w:b/>
          <w:sz w:val="20"/>
        </w:rPr>
        <w:t xml:space="preserve">Tabuľka </w:t>
      </w:r>
      <w:r w:rsidRPr="00666914">
        <w:rPr>
          <w:b/>
          <w:sz w:val="20"/>
        </w:rPr>
        <w:fldChar w:fldCharType="begin"/>
      </w:r>
      <w:r w:rsidRPr="00666914">
        <w:rPr>
          <w:b/>
          <w:sz w:val="20"/>
        </w:rPr>
        <w:instrText xml:space="preserve"> SEQ Tabuľka \* ARABIC </w:instrText>
      </w:r>
      <w:r w:rsidRPr="00666914">
        <w:rPr>
          <w:b/>
          <w:sz w:val="20"/>
        </w:rPr>
        <w:fldChar w:fldCharType="separate"/>
      </w:r>
      <w:r w:rsidR="005A7304">
        <w:rPr>
          <w:b/>
          <w:noProof/>
          <w:sz w:val="20"/>
        </w:rPr>
        <w:t>11</w:t>
      </w:r>
      <w:r w:rsidRPr="00666914">
        <w:rPr>
          <w:b/>
          <w:sz w:val="20"/>
        </w:rPr>
        <w:fldChar w:fldCharType="end"/>
      </w:r>
      <w:r w:rsidRPr="00666914">
        <w:rPr>
          <w:b/>
          <w:sz w:val="20"/>
        </w:rPr>
        <w:t>: Výsledky revízií VšZP</w:t>
      </w:r>
      <w:bookmarkEnd w:id="80"/>
      <w:bookmarkEnd w:id="81"/>
      <w:bookmarkEnd w:id="82"/>
      <w:bookmarkEnd w:id="83"/>
    </w:p>
    <w:tbl>
      <w:tblPr>
        <w:tblW w:w="9093" w:type="dxa"/>
        <w:tblLayout w:type="fixed"/>
        <w:tblCellMar>
          <w:left w:w="70" w:type="dxa"/>
          <w:right w:w="70" w:type="dxa"/>
        </w:tblCellMar>
        <w:tblLook w:val="04A0" w:firstRow="1" w:lastRow="0" w:firstColumn="1" w:lastColumn="0" w:noHBand="0" w:noVBand="1"/>
      </w:tblPr>
      <w:tblGrid>
        <w:gridCol w:w="4678"/>
        <w:gridCol w:w="1103"/>
        <w:gridCol w:w="1104"/>
        <w:gridCol w:w="1104"/>
        <w:gridCol w:w="1104"/>
      </w:tblGrid>
      <w:tr w:rsidR="008A4FED" w:rsidRPr="00666914" w14:paraId="2D824C8E" w14:textId="77777777" w:rsidTr="00F64B85">
        <w:trPr>
          <w:trHeight w:val="283"/>
        </w:trPr>
        <w:tc>
          <w:tcPr>
            <w:tcW w:w="4678" w:type="dxa"/>
            <w:tcBorders>
              <w:left w:val="nil"/>
              <w:bottom w:val="single" w:sz="4" w:space="0" w:color="auto"/>
              <w:right w:val="single" w:sz="4" w:space="0" w:color="auto"/>
            </w:tcBorders>
            <w:shd w:val="clear" w:color="auto" w:fill="auto"/>
            <w:noWrap/>
            <w:vAlign w:val="bottom"/>
            <w:hideMark/>
          </w:tcPr>
          <w:p w14:paraId="3C252C90" w14:textId="77777777" w:rsidR="008A4FED" w:rsidRPr="00666914" w:rsidRDefault="008A4FED" w:rsidP="004D30E9">
            <w:pPr>
              <w:spacing w:after="0"/>
              <w:jc w:val="left"/>
              <w:rPr>
                <w:rFonts w:eastAsia="Times New Roman" w:cs="Calibri"/>
                <w:b/>
                <w:bCs/>
                <w:sz w:val="20"/>
                <w:szCs w:val="20"/>
                <w:lang w:eastAsia="sk-SK"/>
              </w:rPr>
            </w:pPr>
            <w:r w:rsidRPr="00666914">
              <w:rPr>
                <w:rFonts w:eastAsia="Times New Roman" w:cs="Calibri"/>
                <w:b/>
                <w:bCs/>
                <w:sz w:val="20"/>
                <w:szCs w:val="20"/>
                <w:lang w:eastAsia="sk-SK"/>
              </w:rPr>
              <w:t> </w:t>
            </w:r>
          </w:p>
        </w:tc>
        <w:tc>
          <w:tcPr>
            <w:tcW w:w="1103" w:type="dxa"/>
            <w:tcBorders>
              <w:left w:val="single" w:sz="4" w:space="0" w:color="auto"/>
              <w:bottom w:val="single" w:sz="4" w:space="0" w:color="auto"/>
            </w:tcBorders>
            <w:vAlign w:val="center"/>
          </w:tcPr>
          <w:p w14:paraId="792B734A" w14:textId="77777777" w:rsidR="008A4FED" w:rsidRPr="00666914" w:rsidRDefault="008A4FED" w:rsidP="004D30E9">
            <w:pPr>
              <w:spacing w:after="0"/>
              <w:jc w:val="center"/>
              <w:rPr>
                <w:rFonts w:eastAsia="Times New Roman" w:cs="Calibri"/>
                <w:b/>
                <w:bCs/>
                <w:sz w:val="20"/>
                <w:szCs w:val="20"/>
                <w:lang w:eastAsia="sk-SK"/>
              </w:rPr>
            </w:pPr>
            <w:r w:rsidRPr="00666914">
              <w:rPr>
                <w:rFonts w:eastAsia="Times New Roman" w:cs="Calibri"/>
                <w:b/>
                <w:bCs/>
                <w:sz w:val="20"/>
                <w:szCs w:val="20"/>
                <w:lang w:eastAsia="sk-SK"/>
              </w:rPr>
              <w:t>2016</w:t>
            </w:r>
          </w:p>
        </w:tc>
        <w:tc>
          <w:tcPr>
            <w:tcW w:w="1104" w:type="dxa"/>
            <w:tcBorders>
              <w:top w:val="nil"/>
              <w:left w:val="nil"/>
              <w:bottom w:val="single" w:sz="4" w:space="0" w:color="auto"/>
              <w:right w:val="nil"/>
            </w:tcBorders>
            <w:shd w:val="clear" w:color="auto" w:fill="auto"/>
            <w:noWrap/>
            <w:vAlign w:val="center"/>
            <w:hideMark/>
          </w:tcPr>
          <w:p w14:paraId="12F2DC11" w14:textId="77777777" w:rsidR="008A4FED" w:rsidRPr="00666914" w:rsidRDefault="008A4FED" w:rsidP="004D30E9">
            <w:pPr>
              <w:spacing w:after="0"/>
              <w:jc w:val="center"/>
              <w:rPr>
                <w:rFonts w:eastAsia="Times New Roman" w:cs="Calibri"/>
                <w:b/>
                <w:bCs/>
                <w:sz w:val="20"/>
                <w:szCs w:val="20"/>
                <w:lang w:eastAsia="sk-SK"/>
              </w:rPr>
            </w:pPr>
            <w:r w:rsidRPr="00666914">
              <w:rPr>
                <w:rFonts w:eastAsia="Times New Roman" w:cs="Calibri"/>
                <w:b/>
                <w:bCs/>
                <w:sz w:val="20"/>
                <w:szCs w:val="20"/>
                <w:lang w:eastAsia="sk-SK"/>
              </w:rPr>
              <w:t>2017</w:t>
            </w:r>
          </w:p>
        </w:tc>
        <w:tc>
          <w:tcPr>
            <w:tcW w:w="1104" w:type="dxa"/>
            <w:tcBorders>
              <w:top w:val="nil"/>
              <w:left w:val="nil"/>
              <w:bottom w:val="single" w:sz="4" w:space="0" w:color="auto"/>
              <w:right w:val="nil"/>
            </w:tcBorders>
            <w:shd w:val="clear" w:color="auto" w:fill="auto"/>
            <w:noWrap/>
            <w:vAlign w:val="center"/>
            <w:hideMark/>
          </w:tcPr>
          <w:p w14:paraId="09F12729" w14:textId="77777777" w:rsidR="008A4FED" w:rsidRPr="00666914" w:rsidRDefault="008A4FED" w:rsidP="004D30E9">
            <w:pPr>
              <w:spacing w:after="0"/>
              <w:jc w:val="center"/>
              <w:rPr>
                <w:rFonts w:eastAsia="Times New Roman" w:cs="Calibri"/>
                <w:b/>
                <w:bCs/>
                <w:sz w:val="20"/>
                <w:szCs w:val="20"/>
                <w:lang w:eastAsia="sk-SK"/>
              </w:rPr>
            </w:pPr>
            <w:r w:rsidRPr="00666914">
              <w:rPr>
                <w:rFonts w:eastAsia="Times New Roman" w:cs="Calibri"/>
                <w:b/>
                <w:bCs/>
                <w:sz w:val="20"/>
                <w:szCs w:val="20"/>
                <w:lang w:eastAsia="sk-SK"/>
              </w:rPr>
              <w:t>2018</w:t>
            </w:r>
          </w:p>
        </w:tc>
        <w:tc>
          <w:tcPr>
            <w:tcW w:w="1104" w:type="dxa"/>
            <w:tcBorders>
              <w:top w:val="nil"/>
              <w:left w:val="nil"/>
              <w:bottom w:val="single" w:sz="4" w:space="0" w:color="auto"/>
              <w:right w:val="nil"/>
            </w:tcBorders>
            <w:shd w:val="clear" w:color="auto" w:fill="auto"/>
            <w:noWrap/>
            <w:vAlign w:val="center"/>
            <w:hideMark/>
          </w:tcPr>
          <w:p w14:paraId="0377FF1A" w14:textId="77777777" w:rsidR="008A4FED" w:rsidRPr="00666914" w:rsidRDefault="008A4FED" w:rsidP="00F64B85">
            <w:pPr>
              <w:spacing w:after="0"/>
              <w:jc w:val="center"/>
              <w:rPr>
                <w:rFonts w:eastAsia="Times New Roman" w:cs="Calibri"/>
                <w:b/>
                <w:bCs/>
                <w:sz w:val="20"/>
                <w:szCs w:val="20"/>
                <w:lang w:eastAsia="sk-SK"/>
              </w:rPr>
            </w:pPr>
            <w:r w:rsidRPr="00666914">
              <w:rPr>
                <w:rFonts w:eastAsia="Times New Roman" w:cs="Calibri"/>
                <w:b/>
                <w:bCs/>
                <w:sz w:val="20"/>
                <w:szCs w:val="20"/>
                <w:lang w:eastAsia="sk-SK"/>
              </w:rPr>
              <w:t>2019</w:t>
            </w:r>
          </w:p>
        </w:tc>
      </w:tr>
      <w:tr w:rsidR="008A4FED" w:rsidRPr="00666914" w14:paraId="5F2194C9" w14:textId="77777777" w:rsidTr="00F64B85">
        <w:trPr>
          <w:trHeight w:val="283"/>
        </w:trPr>
        <w:tc>
          <w:tcPr>
            <w:tcW w:w="4678" w:type="dxa"/>
            <w:tcBorders>
              <w:top w:val="single" w:sz="4" w:space="0" w:color="auto"/>
              <w:left w:val="nil"/>
              <w:bottom w:val="nil"/>
              <w:right w:val="single" w:sz="4" w:space="0" w:color="auto"/>
            </w:tcBorders>
            <w:shd w:val="clear" w:color="auto" w:fill="auto"/>
            <w:noWrap/>
            <w:vAlign w:val="center"/>
            <w:hideMark/>
          </w:tcPr>
          <w:p w14:paraId="7ABFC1B1" w14:textId="77777777" w:rsidR="008A4FED" w:rsidRPr="00666914" w:rsidRDefault="008A4FED" w:rsidP="004D30E9">
            <w:pPr>
              <w:spacing w:after="0"/>
              <w:jc w:val="left"/>
              <w:rPr>
                <w:rFonts w:eastAsia="Times New Roman" w:cs="Calibri"/>
                <w:b/>
                <w:bCs/>
                <w:sz w:val="20"/>
                <w:szCs w:val="20"/>
                <w:lang w:eastAsia="sk-SK"/>
              </w:rPr>
            </w:pPr>
            <w:r w:rsidRPr="00666914">
              <w:rPr>
                <w:rFonts w:eastAsia="Times New Roman" w:cs="Calibri"/>
                <w:b/>
                <w:bCs/>
                <w:sz w:val="20"/>
                <w:szCs w:val="20"/>
                <w:lang w:eastAsia="sk-SK"/>
              </w:rPr>
              <w:t>Počet priamych kontrol</w:t>
            </w:r>
          </w:p>
        </w:tc>
        <w:tc>
          <w:tcPr>
            <w:tcW w:w="1103" w:type="dxa"/>
            <w:tcBorders>
              <w:top w:val="nil"/>
              <w:left w:val="single" w:sz="4" w:space="0" w:color="auto"/>
              <w:bottom w:val="nil"/>
              <w:right w:val="nil"/>
            </w:tcBorders>
            <w:vAlign w:val="center"/>
          </w:tcPr>
          <w:p w14:paraId="2976A8E6" w14:textId="77777777" w:rsidR="008A4FED" w:rsidRPr="00666914" w:rsidRDefault="008A4FED" w:rsidP="004D30E9">
            <w:pPr>
              <w:spacing w:after="0"/>
              <w:jc w:val="center"/>
              <w:rPr>
                <w:sz w:val="20"/>
              </w:rPr>
            </w:pPr>
            <w:r w:rsidRPr="00666914">
              <w:rPr>
                <w:sz w:val="20"/>
              </w:rPr>
              <w:t>9 387</w:t>
            </w:r>
          </w:p>
        </w:tc>
        <w:tc>
          <w:tcPr>
            <w:tcW w:w="1104" w:type="dxa"/>
            <w:tcBorders>
              <w:top w:val="nil"/>
              <w:left w:val="nil"/>
              <w:bottom w:val="nil"/>
              <w:right w:val="nil"/>
            </w:tcBorders>
            <w:shd w:val="clear" w:color="auto" w:fill="auto"/>
            <w:noWrap/>
            <w:vAlign w:val="center"/>
          </w:tcPr>
          <w:p w14:paraId="483A544C" w14:textId="77777777" w:rsidR="008A4FED" w:rsidRPr="00666914" w:rsidRDefault="008A4FED" w:rsidP="004D30E9">
            <w:pPr>
              <w:spacing w:after="0"/>
              <w:jc w:val="center"/>
              <w:rPr>
                <w:rFonts w:eastAsia="Times New Roman" w:cs="Calibri"/>
                <w:sz w:val="20"/>
                <w:szCs w:val="20"/>
                <w:lang w:eastAsia="sk-SK"/>
              </w:rPr>
            </w:pPr>
            <w:r w:rsidRPr="00666914">
              <w:rPr>
                <w:sz w:val="20"/>
              </w:rPr>
              <w:t>7 646</w:t>
            </w:r>
          </w:p>
        </w:tc>
        <w:tc>
          <w:tcPr>
            <w:tcW w:w="1104" w:type="dxa"/>
            <w:tcBorders>
              <w:top w:val="nil"/>
              <w:left w:val="nil"/>
              <w:bottom w:val="nil"/>
              <w:right w:val="nil"/>
            </w:tcBorders>
            <w:shd w:val="clear" w:color="auto" w:fill="auto"/>
            <w:noWrap/>
            <w:vAlign w:val="center"/>
          </w:tcPr>
          <w:p w14:paraId="00C0D229" w14:textId="77777777" w:rsidR="008A4FED" w:rsidRPr="00666914" w:rsidRDefault="008A4FED" w:rsidP="004D30E9">
            <w:pPr>
              <w:spacing w:after="0"/>
              <w:jc w:val="center"/>
              <w:rPr>
                <w:rFonts w:eastAsia="Times New Roman" w:cs="Calibri"/>
                <w:sz w:val="20"/>
                <w:szCs w:val="20"/>
                <w:lang w:eastAsia="sk-SK"/>
              </w:rPr>
            </w:pPr>
            <w:r w:rsidRPr="00666914">
              <w:rPr>
                <w:sz w:val="20"/>
              </w:rPr>
              <w:t>4 115</w:t>
            </w:r>
          </w:p>
        </w:tc>
        <w:tc>
          <w:tcPr>
            <w:tcW w:w="1104" w:type="dxa"/>
            <w:tcBorders>
              <w:top w:val="nil"/>
              <w:left w:val="nil"/>
              <w:bottom w:val="nil"/>
              <w:right w:val="nil"/>
            </w:tcBorders>
            <w:shd w:val="clear" w:color="auto" w:fill="auto"/>
            <w:noWrap/>
            <w:vAlign w:val="center"/>
          </w:tcPr>
          <w:p w14:paraId="004B2D9D" w14:textId="77777777" w:rsidR="008A4FED" w:rsidRPr="00666914" w:rsidRDefault="008A4FED" w:rsidP="00F64B85">
            <w:pPr>
              <w:spacing w:after="0"/>
              <w:jc w:val="center"/>
              <w:rPr>
                <w:rFonts w:eastAsia="Times New Roman" w:cs="Calibri"/>
                <w:sz w:val="20"/>
                <w:szCs w:val="20"/>
                <w:lang w:eastAsia="sk-SK"/>
              </w:rPr>
            </w:pPr>
            <w:r w:rsidRPr="00666914">
              <w:rPr>
                <w:rFonts w:eastAsia="Times New Roman" w:cs="Calibri"/>
                <w:sz w:val="20"/>
                <w:szCs w:val="20"/>
                <w:lang w:eastAsia="sk-SK"/>
              </w:rPr>
              <w:t>5 355</w:t>
            </w:r>
          </w:p>
        </w:tc>
      </w:tr>
      <w:tr w:rsidR="008A4FED" w:rsidRPr="00666914" w14:paraId="6706BE19" w14:textId="77777777" w:rsidTr="00F64B85">
        <w:trPr>
          <w:trHeight w:val="283"/>
        </w:trPr>
        <w:tc>
          <w:tcPr>
            <w:tcW w:w="4678" w:type="dxa"/>
            <w:tcBorders>
              <w:top w:val="nil"/>
              <w:left w:val="nil"/>
              <w:bottom w:val="dotted" w:sz="4" w:space="0" w:color="auto"/>
              <w:right w:val="single" w:sz="4" w:space="0" w:color="auto"/>
            </w:tcBorders>
            <w:shd w:val="clear" w:color="auto" w:fill="auto"/>
            <w:noWrap/>
            <w:vAlign w:val="center"/>
            <w:hideMark/>
          </w:tcPr>
          <w:p w14:paraId="2655C391" w14:textId="77777777" w:rsidR="008A4FED" w:rsidRPr="00666914" w:rsidRDefault="008A4FED" w:rsidP="004D30E9">
            <w:pPr>
              <w:spacing w:after="0"/>
              <w:jc w:val="left"/>
              <w:rPr>
                <w:rFonts w:eastAsia="Times New Roman" w:cs="Calibri"/>
                <w:b/>
                <w:bCs/>
                <w:sz w:val="20"/>
                <w:szCs w:val="20"/>
                <w:lang w:eastAsia="sk-SK"/>
              </w:rPr>
            </w:pPr>
            <w:r w:rsidRPr="00666914">
              <w:rPr>
                <w:rFonts w:eastAsia="Times New Roman" w:cs="Calibri"/>
                <w:b/>
                <w:bCs/>
                <w:sz w:val="20"/>
                <w:szCs w:val="20"/>
                <w:lang w:eastAsia="sk-SK"/>
              </w:rPr>
              <w:t>Úspora v dôsledku priamych kontrol (mil. eur)</w:t>
            </w:r>
          </w:p>
        </w:tc>
        <w:tc>
          <w:tcPr>
            <w:tcW w:w="1103" w:type="dxa"/>
            <w:tcBorders>
              <w:top w:val="nil"/>
              <w:left w:val="single" w:sz="4" w:space="0" w:color="auto"/>
              <w:bottom w:val="dotted" w:sz="4" w:space="0" w:color="auto"/>
              <w:right w:val="nil"/>
            </w:tcBorders>
            <w:vAlign w:val="center"/>
          </w:tcPr>
          <w:p w14:paraId="433C45E7" w14:textId="77777777" w:rsidR="008A4FED" w:rsidRPr="00666914" w:rsidRDefault="008A4FED" w:rsidP="004D30E9">
            <w:pPr>
              <w:spacing w:after="0"/>
              <w:jc w:val="center"/>
              <w:rPr>
                <w:sz w:val="20"/>
              </w:rPr>
            </w:pPr>
            <w:r w:rsidRPr="00666914">
              <w:rPr>
                <w:sz w:val="20"/>
              </w:rPr>
              <w:t>21,9</w:t>
            </w:r>
          </w:p>
        </w:tc>
        <w:tc>
          <w:tcPr>
            <w:tcW w:w="1104" w:type="dxa"/>
            <w:tcBorders>
              <w:top w:val="nil"/>
              <w:left w:val="nil"/>
              <w:bottom w:val="dotted" w:sz="4" w:space="0" w:color="auto"/>
              <w:right w:val="nil"/>
            </w:tcBorders>
            <w:shd w:val="clear" w:color="auto" w:fill="auto"/>
            <w:noWrap/>
            <w:vAlign w:val="center"/>
          </w:tcPr>
          <w:p w14:paraId="7A52798B" w14:textId="77777777" w:rsidR="008A4FED" w:rsidRPr="00666914" w:rsidRDefault="008A4FED" w:rsidP="004D30E9">
            <w:pPr>
              <w:spacing w:after="0"/>
              <w:jc w:val="center"/>
              <w:rPr>
                <w:rFonts w:eastAsia="Times New Roman" w:cs="Calibri"/>
                <w:b/>
                <w:bCs/>
                <w:sz w:val="20"/>
                <w:szCs w:val="20"/>
                <w:lang w:eastAsia="sk-SK"/>
              </w:rPr>
            </w:pPr>
            <w:r w:rsidRPr="00666914">
              <w:rPr>
                <w:sz w:val="20"/>
              </w:rPr>
              <w:t>27,2</w:t>
            </w:r>
          </w:p>
        </w:tc>
        <w:tc>
          <w:tcPr>
            <w:tcW w:w="1104" w:type="dxa"/>
            <w:tcBorders>
              <w:top w:val="nil"/>
              <w:left w:val="nil"/>
              <w:bottom w:val="dotted" w:sz="4" w:space="0" w:color="auto"/>
              <w:right w:val="nil"/>
            </w:tcBorders>
            <w:shd w:val="clear" w:color="auto" w:fill="auto"/>
            <w:noWrap/>
            <w:vAlign w:val="center"/>
          </w:tcPr>
          <w:p w14:paraId="490DC667" w14:textId="77777777" w:rsidR="008A4FED" w:rsidRPr="00666914" w:rsidRDefault="008A4FED" w:rsidP="004D30E9">
            <w:pPr>
              <w:spacing w:after="0"/>
              <w:jc w:val="center"/>
              <w:rPr>
                <w:rFonts w:eastAsia="Times New Roman" w:cs="Calibri"/>
                <w:sz w:val="20"/>
                <w:szCs w:val="20"/>
                <w:lang w:eastAsia="sk-SK"/>
              </w:rPr>
            </w:pPr>
            <w:r w:rsidRPr="00666914">
              <w:rPr>
                <w:sz w:val="20"/>
              </w:rPr>
              <w:t>5,3</w:t>
            </w:r>
          </w:p>
        </w:tc>
        <w:tc>
          <w:tcPr>
            <w:tcW w:w="1104" w:type="dxa"/>
            <w:tcBorders>
              <w:top w:val="nil"/>
              <w:left w:val="nil"/>
              <w:bottom w:val="dotted" w:sz="4" w:space="0" w:color="auto"/>
              <w:right w:val="nil"/>
            </w:tcBorders>
            <w:shd w:val="clear" w:color="auto" w:fill="auto"/>
            <w:noWrap/>
            <w:vAlign w:val="center"/>
          </w:tcPr>
          <w:p w14:paraId="30812F77" w14:textId="77777777" w:rsidR="008A4FED" w:rsidRPr="00666914" w:rsidRDefault="008A4FED" w:rsidP="004D30E9">
            <w:pPr>
              <w:spacing w:after="0"/>
              <w:jc w:val="center"/>
              <w:rPr>
                <w:rFonts w:eastAsia="Times New Roman" w:cs="Calibri"/>
                <w:sz w:val="20"/>
                <w:szCs w:val="20"/>
                <w:lang w:eastAsia="sk-SK"/>
              </w:rPr>
            </w:pPr>
            <w:r w:rsidRPr="00666914">
              <w:rPr>
                <w:rFonts w:eastAsia="Times New Roman" w:cs="Calibri"/>
                <w:sz w:val="20"/>
                <w:szCs w:val="20"/>
                <w:lang w:eastAsia="sk-SK"/>
              </w:rPr>
              <w:t>9,6</w:t>
            </w:r>
          </w:p>
        </w:tc>
      </w:tr>
      <w:tr w:rsidR="008A4FED" w:rsidRPr="00666914" w14:paraId="6938D3D1" w14:textId="77777777" w:rsidTr="00F64B85">
        <w:trPr>
          <w:trHeight w:val="283"/>
        </w:trPr>
        <w:tc>
          <w:tcPr>
            <w:tcW w:w="4678" w:type="dxa"/>
            <w:tcBorders>
              <w:top w:val="dotted" w:sz="4" w:space="0" w:color="auto"/>
              <w:left w:val="nil"/>
              <w:bottom w:val="single" w:sz="4" w:space="0" w:color="auto"/>
              <w:right w:val="single" w:sz="4" w:space="0" w:color="auto"/>
            </w:tcBorders>
            <w:shd w:val="clear" w:color="auto" w:fill="auto"/>
            <w:noWrap/>
            <w:vAlign w:val="center"/>
          </w:tcPr>
          <w:p w14:paraId="08B7A512" w14:textId="77777777" w:rsidR="008A4FED" w:rsidRPr="00666914" w:rsidRDefault="008A4FED" w:rsidP="008B70B3">
            <w:pPr>
              <w:spacing w:after="0"/>
              <w:jc w:val="left"/>
              <w:rPr>
                <w:rFonts w:eastAsia="Times New Roman" w:cs="Calibri"/>
                <w:b/>
                <w:bCs/>
                <w:sz w:val="20"/>
                <w:szCs w:val="20"/>
                <w:lang w:eastAsia="sk-SK"/>
              </w:rPr>
            </w:pPr>
            <w:r w:rsidRPr="00666914">
              <w:rPr>
                <w:rFonts w:eastAsia="Times New Roman" w:cs="Calibri"/>
                <w:b/>
                <w:bCs/>
                <w:sz w:val="20"/>
                <w:szCs w:val="20"/>
                <w:lang w:eastAsia="sk-SK"/>
              </w:rPr>
              <w:t>Úspora v dôsledku nepriamych kontrol</w:t>
            </w:r>
            <w:r w:rsidRPr="00666914">
              <w:rPr>
                <w:rFonts w:eastAsia="Times New Roman" w:cs="Calibri"/>
                <w:b/>
                <w:bCs/>
                <w:sz w:val="20"/>
                <w:szCs w:val="20"/>
                <w:vertAlign w:val="superscript"/>
                <w:lang w:eastAsia="sk-SK"/>
              </w:rPr>
              <w:footnoteReference w:id="24"/>
            </w:r>
            <w:r w:rsidRPr="00666914">
              <w:rPr>
                <w:rFonts w:eastAsia="Times New Roman" w:cs="Calibri"/>
                <w:b/>
                <w:bCs/>
                <w:sz w:val="20"/>
                <w:szCs w:val="20"/>
                <w:lang w:eastAsia="sk-SK"/>
              </w:rPr>
              <w:t xml:space="preserve"> (mil. eur)</w:t>
            </w:r>
          </w:p>
        </w:tc>
        <w:tc>
          <w:tcPr>
            <w:tcW w:w="1103" w:type="dxa"/>
            <w:tcBorders>
              <w:top w:val="dotted" w:sz="4" w:space="0" w:color="auto"/>
              <w:left w:val="single" w:sz="4" w:space="0" w:color="auto"/>
              <w:bottom w:val="single" w:sz="4" w:space="0" w:color="auto"/>
              <w:right w:val="nil"/>
            </w:tcBorders>
            <w:vAlign w:val="center"/>
          </w:tcPr>
          <w:p w14:paraId="08444ACE" w14:textId="77777777" w:rsidR="008A4FED" w:rsidRPr="00666914" w:rsidRDefault="008A4FED" w:rsidP="008B70B3">
            <w:pPr>
              <w:spacing w:after="0"/>
              <w:jc w:val="center"/>
              <w:rPr>
                <w:rFonts w:cs="Calibri"/>
                <w:sz w:val="20"/>
              </w:rPr>
            </w:pPr>
            <w:r w:rsidRPr="00666914">
              <w:rPr>
                <w:rFonts w:cs="Calibri"/>
                <w:sz w:val="20"/>
              </w:rPr>
              <w:t>76,6</w:t>
            </w:r>
          </w:p>
        </w:tc>
        <w:tc>
          <w:tcPr>
            <w:tcW w:w="1104" w:type="dxa"/>
            <w:tcBorders>
              <w:top w:val="dotted" w:sz="4" w:space="0" w:color="auto"/>
              <w:left w:val="nil"/>
              <w:bottom w:val="single" w:sz="4" w:space="0" w:color="auto"/>
              <w:right w:val="nil"/>
            </w:tcBorders>
            <w:shd w:val="clear" w:color="auto" w:fill="auto"/>
            <w:noWrap/>
            <w:vAlign w:val="center"/>
          </w:tcPr>
          <w:p w14:paraId="3EF67B35" w14:textId="77777777" w:rsidR="008A4FED" w:rsidRPr="00666914" w:rsidRDefault="008A4FED" w:rsidP="008B70B3">
            <w:pPr>
              <w:spacing w:after="0"/>
              <w:jc w:val="center"/>
              <w:rPr>
                <w:sz w:val="20"/>
              </w:rPr>
            </w:pPr>
            <w:r w:rsidRPr="00666914">
              <w:rPr>
                <w:rFonts w:cs="Calibri"/>
                <w:sz w:val="20"/>
              </w:rPr>
              <w:t>89,3</w:t>
            </w:r>
          </w:p>
        </w:tc>
        <w:tc>
          <w:tcPr>
            <w:tcW w:w="1104" w:type="dxa"/>
            <w:tcBorders>
              <w:top w:val="dotted" w:sz="4" w:space="0" w:color="auto"/>
              <w:left w:val="nil"/>
              <w:bottom w:val="single" w:sz="4" w:space="0" w:color="auto"/>
              <w:right w:val="nil"/>
            </w:tcBorders>
            <w:shd w:val="clear" w:color="auto" w:fill="auto"/>
            <w:noWrap/>
            <w:vAlign w:val="center"/>
          </w:tcPr>
          <w:p w14:paraId="10E166D7" w14:textId="77777777" w:rsidR="008A4FED" w:rsidRPr="00666914" w:rsidRDefault="008A4FED" w:rsidP="008B70B3">
            <w:pPr>
              <w:spacing w:after="0"/>
              <w:jc w:val="center"/>
              <w:rPr>
                <w:sz w:val="20"/>
              </w:rPr>
            </w:pPr>
            <w:r w:rsidRPr="00666914">
              <w:rPr>
                <w:sz w:val="20"/>
              </w:rPr>
              <w:t>51,4</w:t>
            </w:r>
          </w:p>
        </w:tc>
        <w:tc>
          <w:tcPr>
            <w:tcW w:w="1104" w:type="dxa"/>
            <w:tcBorders>
              <w:top w:val="dotted" w:sz="4" w:space="0" w:color="auto"/>
              <w:left w:val="nil"/>
              <w:bottom w:val="single" w:sz="4" w:space="0" w:color="auto"/>
              <w:right w:val="nil"/>
            </w:tcBorders>
            <w:shd w:val="clear" w:color="auto" w:fill="FFFFFF" w:themeFill="background1"/>
            <w:noWrap/>
            <w:vAlign w:val="center"/>
          </w:tcPr>
          <w:p w14:paraId="3232FDA1" w14:textId="77777777" w:rsidR="008A4FED" w:rsidRPr="00666914" w:rsidRDefault="008A4FED" w:rsidP="008B70B3">
            <w:pPr>
              <w:spacing w:after="0"/>
              <w:jc w:val="center"/>
              <w:rPr>
                <w:sz w:val="20"/>
              </w:rPr>
            </w:pPr>
            <w:r w:rsidRPr="00666914">
              <w:rPr>
                <w:sz w:val="20"/>
              </w:rPr>
              <w:t>64,6</w:t>
            </w:r>
          </w:p>
        </w:tc>
      </w:tr>
    </w:tbl>
    <w:p w14:paraId="4422D9F5" w14:textId="77777777" w:rsidR="008A4FED" w:rsidRPr="00666914" w:rsidRDefault="008A4FED" w:rsidP="004D30E9">
      <w:pPr>
        <w:spacing w:line="259" w:lineRule="auto"/>
        <w:ind w:left="6521"/>
        <w:jc w:val="right"/>
        <w:rPr>
          <w:i/>
          <w:sz w:val="18"/>
        </w:rPr>
      </w:pPr>
      <w:r w:rsidRPr="00666914">
        <w:rPr>
          <w:i/>
          <w:sz w:val="18"/>
        </w:rPr>
        <w:t>Zdroj: VšZP, MZ SR, spracovanie IJ</w:t>
      </w:r>
    </w:p>
    <w:p w14:paraId="08106E77" w14:textId="77777777" w:rsidR="008A4FED" w:rsidRPr="00666914" w:rsidRDefault="008A4FED" w:rsidP="00F64B85">
      <w:pPr>
        <w:spacing w:before="240"/>
      </w:pPr>
      <w:bookmarkStart w:id="84" w:name="_Toc523925354"/>
      <w:bookmarkStart w:id="85" w:name="_Toc525723191"/>
      <w:bookmarkStart w:id="86" w:name="_Toc5636413"/>
      <w:r w:rsidRPr="00666914">
        <w:t xml:space="preserve">Na základe auditu revíznych činností v 1/2020 má VšZP rezervy v plánovaní revízií, využívaní IS a v reportingu. Zlepšenie v týchto oblastiach pri prinieslo lepšiu kontrolu vynakladaných zdrojov. Audit procesov revíznych činností VšZP pre roky 2015–2019 vykonaný IJ poukázal na niekoľko systémových nedostatkov. VšZP chýbajú zadefinované ciele revízií a KPIs, výber kontrolovaných subjektov je nesystematický, kontroly v IS sú málo automatizované, preventívne nástroje sú len málo využívané a spoľahlivejší reporting by umožnil lepšie plánovanie a zameranie kontrol.     </w:t>
      </w:r>
    </w:p>
    <w:p w14:paraId="796A7244" w14:textId="77777777" w:rsidR="008A4FED" w:rsidRPr="00666914" w:rsidRDefault="008A4FED" w:rsidP="009F4910">
      <w:pPr>
        <w:pStyle w:val="Nadpis2"/>
      </w:pPr>
      <w:bookmarkStart w:id="87" w:name="_Toc509875029"/>
      <w:bookmarkStart w:id="88" w:name="_Toc517698236"/>
      <w:bookmarkStart w:id="89" w:name="_Toc523924384"/>
      <w:bookmarkStart w:id="90" w:name="_Toc5865311"/>
      <w:bookmarkStart w:id="91" w:name="_Toc20104673"/>
      <w:bookmarkStart w:id="92" w:name="_Toc20209244"/>
      <w:bookmarkStart w:id="93" w:name="_Toc36547012"/>
      <w:bookmarkStart w:id="94" w:name="_Toc38447583"/>
      <w:bookmarkEnd w:id="84"/>
      <w:bookmarkEnd w:id="85"/>
      <w:bookmarkEnd w:id="86"/>
      <w:r w:rsidRPr="00666914">
        <w:lastRenderedPageBreak/>
        <w:t>Diagnostika</w:t>
      </w:r>
      <w:bookmarkEnd w:id="87"/>
      <w:bookmarkEnd w:id="88"/>
      <w:bookmarkEnd w:id="89"/>
      <w:bookmarkEnd w:id="90"/>
      <w:bookmarkEnd w:id="91"/>
      <w:bookmarkEnd w:id="92"/>
      <w:bookmarkEnd w:id="93"/>
      <w:bookmarkEnd w:id="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4"/>
        <w:gridCol w:w="706"/>
        <w:gridCol w:w="2525"/>
        <w:gridCol w:w="1294"/>
        <w:gridCol w:w="961"/>
        <w:gridCol w:w="1354"/>
        <w:gridCol w:w="505"/>
        <w:gridCol w:w="505"/>
        <w:gridCol w:w="505"/>
        <w:gridCol w:w="505"/>
      </w:tblGrid>
      <w:tr w:rsidR="008A4FED" w:rsidRPr="00666914" w14:paraId="49831DC3" w14:textId="77777777" w:rsidTr="00B43A7D">
        <w:trPr>
          <w:trHeight w:val="495"/>
        </w:trPr>
        <w:tc>
          <w:tcPr>
            <w:tcW w:w="218" w:type="pct"/>
            <w:shd w:val="clear" w:color="auto" w:fill="auto"/>
            <w:noWrap/>
            <w:vAlign w:val="center"/>
            <w:hideMark/>
          </w:tcPr>
          <w:p w14:paraId="03AE8CE6" w14:textId="77777777" w:rsidR="008A4FED" w:rsidRPr="00666914" w:rsidRDefault="008A4FED" w:rsidP="004D30E9">
            <w:pPr>
              <w:spacing w:after="0"/>
              <w:jc w:val="left"/>
              <w:rPr>
                <w:rFonts w:eastAsia="Times New Roman"/>
                <w:b/>
                <w:bCs/>
                <w:color w:val="000000"/>
                <w:sz w:val="24"/>
                <w:szCs w:val="24"/>
                <w:lang w:eastAsia="sk-SK"/>
              </w:rPr>
            </w:pPr>
            <w:r w:rsidRPr="00666914">
              <w:rPr>
                <w:rFonts w:eastAsia="Times New Roman"/>
                <w:b/>
                <w:bCs/>
                <w:color w:val="000000"/>
                <w:sz w:val="24"/>
                <w:szCs w:val="24"/>
                <w:lang w:eastAsia="sk-SK"/>
              </w:rPr>
              <w:t> </w:t>
            </w:r>
          </w:p>
        </w:tc>
        <w:tc>
          <w:tcPr>
            <w:tcW w:w="370" w:type="pct"/>
            <w:vAlign w:val="center"/>
          </w:tcPr>
          <w:p w14:paraId="5A600023" w14:textId="77777777" w:rsidR="008A4FED" w:rsidRPr="00666914" w:rsidRDefault="008A4FED" w:rsidP="004D30E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Revízia</w:t>
            </w:r>
          </w:p>
        </w:tc>
        <w:tc>
          <w:tcPr>
            <w:tcW w:w="1402" w:type="pct"/>
            <w:shd w:val="clear" w:color="auto" w:fill="auto"/>
            <w:noWrap/>
            <w:vAlign w:val="center"/>
            <w:hideMark/>
          </w:tcPr>
          <w:p w14:paraId="2FF21B7A" w14:textId="77777777" w:rsidR="008A4FED" w:rsidRPr="00666914" w:rsidRDefault="008A4FED" w:rsidP="004D30E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Opatrenie</w:t>
            </w:r>
          </w:p>
        </w:tc>
        <w:tc>
          <w:tcPr>
            <w:tcW w:w="678" w:type="pct"/>
            <w:shd w:val="clear" w:color="auto" w:fill="auto"/>
            <w:noWrap/>
            <w:vAlign w:val="center"/>
            <w:hideMark/>
          </w:tcPr>
          <w:p w14:paraId="7614EC36"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Zodpovednosť</w:t>
            </w:r>
          </w:p>
        </w:tc>
        <w:tc>
          <w:tcPr>
            <w:tcW w:w="506" w:type="pct"/>
            <w:shd w:val="clear" w:color="auto" w:fill="auto"/>
            <w:noWrap/>
            <w:vAlign w:val="center"/>
            <w:hideMark/>
          </w:tcPr>
          <w:p w14:paraId="1BB6CC1B"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Pôvodný</w:t>
            </w:r>
          </w:p>
          <w:p w14:paraId="4EC0DE48"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termín</w:t>
            </w:r>
          </w:p>
        </w:tc>
        <w:tc>
          <w:tcPr>
            <w:tcW w:w="766" w:type="pct"/>
            <w:vAlign w:val="center"/>
          </w:tcPr>
          <w:p w14:paraId="581C4C04" w14:textId="77777777" w:rsidR="008A4FED" w:rsidRPr="00666914" w:rsidRDefault="008A4FED" w:rsidP="004D30E9">
            <w:pPr>
              <w:spacing w:after="0"/>
              <w:jc w:val="center"/>
              <w:rPr>
                <w:rFonts w:eastAsia="Times New Roman"/>
                <w:b/>
                <w:bCs/>
                <w:color w:val="000000"/>
                <w:sz w:val="20"/>
                <w:szCs w:val="20"/>
                <w:highlight w:val="yellow"/>
                <w:lang w:eastAsia="sk-SK"/>
              </w:rPr>
            </w:pPr>
            <w:r w:rsidRPr="00666914">
              <w:rPr>
                <w:rFonts w:eastAsia="Times New Roman"/>
                <w:b/>
                <w:bCs/>
                <w:color w:val="000000"/>
                <w:sz w:val="20"/>
                <w:szCs w:val="20"/>
                <w:lang w:eastAsia="sk-SK"/>
              </w:rPr>
              <w:t>Nový termín</w:t>
            </w:r>
          </w:p>
        </w:tc>
        <w:tc>
          <w:tcPr>
            <w:tcW w:w="264" w:type="pct"/>
            <w:shd w:val="clear" w:color="auto" w:fill="auto"/>
            <w:noWrap/>
            <w:vAlign w:val="center"/>
            <w:hideMark/>
          </w:tcPr>
          <w:p w14:paraId="509D29D1"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1Q</w:t>
            </w:r>
          </w:p>
          <w:p w14:paraId="385A1423"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2019</w:t>
            </w:r>
          </w:p>
        </w:tc>
        <w:tc>
          <w:tcPr>
            <w:tcW w:w="264" w:type="pct"/>
            <w:shd w:val="clear" w:color="auto" w:fill="auto"/>
            <w:noWrap/>
            <w:vAlign w:val="center"/>
            <w:hideMark/>
          </w:tcPr>
          <w:p w14:paraId="72C35B0D"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2Q</w:t>
            </w:r>
          </w:p>
          <w:p w14:paraId="4B8907D8"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2019</w:t>
            </w:r>
          </w:p>
        </w:tc>
        <w:tc>
          <w:tcPr>
            <w:tcW w:w="264" w:type="pct"/>
            <w:shd w:val="clear" w:color="auto" w:fill="auto"/>
            <w:noWrap/>
            <w:vAlign w:val="center"/>
            <w:hideMark/>
          </w:tcPr>
          <w:p w14:paraId="62FEC8B3"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3Q</w:t>
            </w:r>
          </w:p>
          <w:p w14:paraId="6366760F"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2019</w:t>
            </w:r>
          </w:p>
        </w:tc>
        <w:tc>
          <w:tcPr>
            <w:tcW w:w="267" w:type="pct"/>
            <w:shd w:val="clear" w:color="auto" w:fill="auto"/>
            <w:noWrap/>
            <w:vAlign w:val="center"/>
            <w:hideMark/>
          </w:tcPr>
          <w:p w14:paraId="6CCC0107"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4Q</w:t>
            </w:r>
          </w:p>
          <w:p w14:paraId="695052BD" w14:textId="77777777" w:rsidR="008A4FED" w:rsidRPr="00666914" w:rsidRDefault="008A4FED" w:rsidP="004D30E9">
            <w:pPr>
              <w:spacing w:after="0"/>
              <w:ind w:left="-254" w:firstLine="254"/>
              <w:jc w:val="center"/>
              <w:rPr>
                <w:rFonts w:eastAsia="Times New Roman"/>
                <w:b/>
                <w:bCs/>
                <w:color w:val="000000"/>
                <w:sz w:val="20"/>
                <w:szCs w:val="20"/>
                <w:lang w:eastAsia="sk-SK"/>
              </w:rPr>
            </w:pPr>
            <w:r w:rsidRPr="00666914">
              <w:rPr>
                <w:rFonts w:eastAsia="Times New Roman"/>
                <w:b/>
                <w:bCs/>
                <w:color w:val="000000"/>
                <w:sz w:val="20"/>
                <w:szCs w:val="20"/>
                <w:lang w:eastAsia="sk-SK"/>
              </w:rPr>
              <w:t>2019</w:t>
            </w:r>
          </w:p>
        </w:tc>
      </w:tr>
      <w:tr w:rsidR="008A4FED" w:rsidRPr="00666914" w14:paraId="3DD9E549" w14:textId="77777777" w:rsidTr="000260D5">
        <w:trPr>
          <w:trHeight w:val="336"/>
        </w:trPr>
        <w:tc>
          <w:tcPr>
            <w:tcW w:w="218" w:type="pct"/>
            <w:shd w:val="clear" w:color="auto" w:fill="auto"/>
            <w:vAlign w:val="center"/>
            <w:hideMark/>
          </w:tcPr>
          <w:p w14:paraId="46199A68" w14:textId="77777777" w:rsidR="008A4FED" w:rsidRPr="00666914" w:rsidRDefault="008A4FED" w:rsidP="004D30E9">
            <w:pPr>
              <w:spacing w:after="0"/>
              <w:jc w:val="center"/>
              <w:rPr>
                <w:rFonts w:eastAsia="Times New Roman"/>
                <w:bCs/>
                <w:color w:val="000000"/>
                <w:sz w:val="20"/>
                <w:szCs w:val="20"/>
                <w:lang w:eastAsia="sk-SK"/>
              </w:rPr>
            </w:pPr>
            <w:r w:rsidRPr="00666914">
              <w:rPr>
                <w:rFonts w:eastAsia="Times New Roman"/>
                <w:color w:val="000000"/>
                <w:sz w:val="20"/>
                <w:szCs w:val="20"/>
                <w:lang w:eastAsia="sk-SK"/>
              </w:rPr>
              <w:t>11</w:t>
            </w:r>
          </w:p>
        </w:tc>
        <w:tc>
          <w:tcPr>
            <w:tcW w:w="370" w:type="pct"/>
            <w:vAlign w:val="center"/>
          </w:tcPr>
          <w:p w14:paraId="5F455614"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402" w:type="pct"/>
            <w:shd w:val="clear" w:color="auto" w:fill="auto"/>
            <w:vAlign w:val="center"/>
            <w:hideMark/>
          </w:tcPr>
          <w:p w14:paraId="0204365B"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SVLZ - zníženie jednotkových cien a limitov CT a MR vyšetrení</w:t>
            </w:r>
          </w:p>
        </w:tc>
        <w:tc>
          <w:tcPr>
            <w:tcW w:w="678" w:type="pct"/>
            <w:shd w:val="clear" w:color="auto" w:fill="auto"/>
            <w:vAlign w:val="center"/>
            <w:hideMark/>
          </w:tcPr>
          <w:p w14:paraId="76A5E28C"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 ZP</w:t>
            </w:r>
          </w:p>
        </w:tc>
        <w:tc>
          <w:tcPr>
            <w:tcW w:w="506" w:type="pct"/>
            <w:shd w:val="clear" w:color="auto" w:fill="auto"/>
            <w:vAlign w:val="center"/>
            <w:hideMark/>
          </w:tcPr>
          <w:p w14:paraId="54F11C7B"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766" w:type="pct"/>
            <w:vAlign w:val="center"/>
          </w:tcPr>
          <w:p w14:paraId="40DE82C2" w14:textId="77777777" w:rsidR="008A4FED" w:rsidRPr="00666914" w:rsidRDefault="008A4FED" w:rsidP="004D30E9">
            <w:pPr>
              <w:spacing w:after="0"/>
              <w:jc w:val="center"/>
              <w:rPr>
                <w:rFonts w:eastAsia="Times New Roman"/>
                <w:color w:val="000000"/>
                <w:sz w:val="20"/>
                <w:szCs w:val="20"/>
                <w:highlight w:val="yellow"/>
                <w:lang w:eastAsia="sk-SK"/>
              </w:rPr>
            </w:pPr>
            <w:r w:rsidRPr="00666914">
              <w:rPr>
                <w:rFonts w:eastAsia="Times New Roman"/>
                <w:color w:val="000000"/>
                <w:sz w:val="20"/>
                <w:szCs w:val="20"/>
                <w:lang w:eastAsia="sk-SK"/>
              </w:rPr>
              <w:t>31.12.2019</w:t>
            </w:r>
          </w:p>
        </w:tc>
        <w:tc>
          <w:tcPr>
            <w:tcW w:w="264" w:type="pct"/>
            <w:tcBorders>
              <w:top w:val="nil"/>
              <w:left w:val="nil"/>
              <w:bottom w:val="single" w:sz="4" w:space="0" w:color="auto"/>
              <w:right w:val="single" w:sz="4" w:space="0" w:color="auto"/>
            </w:tcBorders>
            <w:shd w:val="clear" w:color="auto" w:fill="FF0000"/>
            <w:noWrap/>
            <w:vAlign w:val="bottom"/>
            <w:hideMark/>
          </w:tcPr>
          <w:p w14:paraId="334B31C8" w14:textId="77777777" w:rsidR="008A4FED" w:rsidRPr="00666914" w:rsidRDefault="008A4FED" w:rsidP="004D30E9">
            <w:pPr>
              <w:spacing w:after="0"/>
              <w:rPr>
                <w:rFonts w:eastAsia="Times New Roman"/>
                <w:color w:val="C00000"/>
                <w:sz w:val="20"/>
                <w:szCs w:val="20"/>
                <w:lang w:eastAsia="sk-SK"/>
              </w:rPr>
            </w:pPr>
            <w:r w:rsidRPr="00666914">
              <w:rPr>
                <w:rFonts w:eastAsia="Times New Roman"/>
                <w:color w:val="C00000"/>
                <w:sz w:val="20"/>
                <w:szCs w:val="20"/>
                <w:lang w:eastAsia="sk-SK"/>
              </w:rPr>
              <w:t> </w:t>
            </w:r>
          </w:p>
        </w:tc>
        <w:tc>
          <w:tcPr>
            <w:tcW w:w="264" w:type="pct"/>
            <w:tcBorders>
              <w:top w:val="nil"/>
              <w:left w:val="nil"/>
              <w:bottom w:val="single" w:sz="4" w:space="0" w:color="auto"/>
              <w:right w:val="single" w:sz="4" w:space="0" w:color="auto"/>
            </w:tcBorders>
            <w:shd w:val="clear" w:color="auto" w:fill="FF0000"/>
            <w:noWrap/>
            <w:vAlign w:val="bottom"/>
            <w:hideMark/>
          </w:tcPr>
          <w:p w14:paraId="66C18F4F" w14:textId="77777777" w:rsidR="008A4FED" w:rsidRPr="00666914" w:rsidRDefault="008A4FED" w:rsidP="004D30E9">
            <w:pPr>
              <w:spacing w:after="0"/>
              <w:rPr>
                <w:rFonts w:eastAsia="Times New Roman"/>
                <w:color w:val="FFFFFF" w:themeColor="background1"/>
                <w:sz w:val="20"/>
                <w:szCs w:val="20"/>
                <w:lang w:eastAsia="sk-SK"/>
              </w:rPr>
            </w:pPr>
            <w:r w:rsidRPr="00666914">
              <w:rPr>
                <w:rFonts w:eastAsia="Times New Roman"/>
                <w:color w:val="FFFFFF" w:themeColor="background1"/>
                <w:sz w:val="20"/>
                <w:szCs w:val="20"/>
                <w:lang w:eastAsia="sk-SK"/>
              </w:rPr>
              <w:t> </w:t>
            </w:r>
          </w:p>
        </w:tc>
        <w:tc>
          <w:tcPr>
            <w:tcW w:w="264" w:type="pct"/>
            <w:shd w:val="clear" w:color="auto" w:fill="FF0000"/>
            <w:noWrap/>
            <w:vAlign w:val="bottom"/>
            <w:hideMark/>
          </w:tcPr>
          <w:p w14:paraId="2AA3B8BF" w14:textId="77777777" w:rsidR="008A4FED" w:rsidRPr="00666914" w:rsidRDefault="008A4FED" w:rsidP="004D30E9">
            <w:pPr>
              <w:spacing w:after="0"/>
              <w:jc w:val="center"/>
              <w:rPr>
                <w:rFonts w:eastAsia="Times New Roman"/>
                <w:color w:val="C00000"/>
                <w:sz w:val="20"/>
                <w:szCs w:val="20"/>
                <w:lang w:eastAsia="sk-SK"/>
              </w:rPr>
            </w:pPr>
            <w:r w:rsidRPr="00666914">
              <w:rPr>
                <w:rFonts w:eastAsia="Times New Roman"/>
                <w:color w:val="C00000"/>
                <w:sz w:val="20"/>
                <w:szCs w:val="20"/>
                <w:lang w:eastAsia="sk-SK"/>
              </w:rPr>
              <w:t> </w:t>
            </w:r>
          </w:p>
        </w:tc>
        <w:tc>
          <w:tcPr>
            <w:tcW w:w="267" w:type="pct"/>
            <w:shd w:val="clear" w:color="auto" w:fill="FF0000"/>
            <w:noWrap/>
            <w:vAlign w:val="bottom"/>
            <w:hideMark/>
          </w:tcPr>
          <w:p w14:paraId="65F33234"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C00000"/>
                <w:sz w:val="20"/>
                <w:szCs w:val="20"/>
                <w:lang w:eastAsia="sk-SK"/>
              </w:rPr>
              <w:t> </w:t>
            </w:r>
          </w:p>
        </w:tc>
      </w:tr>
      <w:tr w:rsidR="008A4FED" w:rsidRPr="00666914" w14:paraId="1EA58D79" w14:textId="77777777" w:rsidTr="00F64B85">
        <w:trPr>
          <w:trHeight w:val="315"/>
        </w:trPr>
        <w:tc>
          <w:tcPr>
            <w:tcW w:w="218" w:type="pct"/>
            <w:shd w:val="clear" w:color="auto" w:fill="auto"/>
            <w:vAlign w:val="center"/>
            <w:hideMark/>
          </w:tcPr>
          <w:p w14:paraId="6B3DE6AD" w14:textId="77777777" w:rsidR="008A4FED" w:rsidRPr="00666914" w:rsidRDefault="008A4FED" w:rsidP="004D30E9">
            <w:pPr>
              <w:spacing w:after="0"/>
              <w:jc w:val="center"/>
              <w:rPr>
                <w:rFonts w:eastAsia="Times New Roman"/>
                <w:bCs/>
                <w:color w:val="000000"/>
                <w:sz w:val="20"/>
                <w:szCs w:val="20"/>
                <w:lang w:eastAsia="sk-SK"/>
              </w:rPr>
            </w:pPr>
            <w:r w:rsidRPr="00666914">
              <w:rPr>
                <w:rFonts w:eastAsia="Times New Roman"/>
                <w:color w:val="000000"/>
                <w:sz w:val="20"/>
                <w:szCs w:val="20"/>
                <w:lang w:eastAsia="sk-SK"/>
              </w:rPr>
              <w:t>12</w:t>
            </w:r>
          </w:p>
        </w:tc>
        <w:tc>
          <w:tcPr>
            <w:tcW w:w="370" w:type="pct"/>
            <w:vAlign w:val="center"/>
          </w:tcPr>
          <w:p w14:paraId="40C76DCA"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402" w:type="pct"/>
            <w:shd w:val="clear" w:color="auto" w:fill="auto"/>
            <w:vAlign w:val="center"/>
            <w:hideMark/>
          </w:tcPr>
          <w:p w14:paraId="3DCBAA6F"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SVLZ - zavedenie limitov pre ambulantných poskytovateľov</w:t>
            </w:r>
          </w:p>
        </w:tc>
        <w:tc>
          <w:tcPr>
            <w:tcW w:w="678" w:type="pct"/>
            <w:shd w:val="clear" w:color="auto" w:fill="auto"/>
            <w:vAlign w:val="center"/>
            <w:hideMark/>
          </w:tcPr>
          <w:p w14:paraId="49564C2D"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 ZP</w:t>
            </w:r>
          </w:p>
        </w:tc>
        <w:tc>
          <w:tcPr>
            <w:tcW w:w="506" w:type="pct"/>
            <w:shd w:val="clear" w:color="auto" w:fill="auto"/>
            <w:vAlign w:val="center"/>
            <w:hideMark/>
          </w:tcPr>
          <w:p w14:paraId="0EB52AC0"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766" w:type="pct"/>
            <w:vAlign w:val="center"/>
          </w:tcPr>
          <w:p w14:paraId="5735B767" w14:textId="77777777" w:rsidR="008A4FED" w:rsidRPr="00666914" w:rsidRDefault="008A4FED" w:rsidP="004D30E9">
            <w:pPr>
              <w:spacing w:after="0"/>
              <w:jc w:val="center"/>
              <w:rPr>
                <w:rFonts w:eastAsia="Times New Roman"/>
                <w:color w:val="000000"/>
                <w:sz w:val="20"/>
                <w:szCs w:val="20"/>
                <w:highlight w:val="yellow"/>
                <w:lang w:eastAsia="sk-SK"/>
              </w:rPr>
            </w:pPr>
            <w:r w:rsidRPr="00666914">
              <w:rPr>
                <w:rFonts w:eastAsia="Times New Roman"/>
                <w:color w:val="000000"/>
                <w:sz w:val="20"/>
                <w:szCs w:val="20"/>
                <w:lang w:eastAsia="sk-SK"/>
              </w:rPr>
              <w:t>31.12.2019</w:t>
            </w:r>
          </w:p>
        </w:tc>
        <w:tc>
          <w:tcPr>
            <w:tcW w:w="264" w:type="pct"/>
            <w:tcBorders>
              <w:top w:val="nil"/>
              <w:left w:val="nil"/>
              <w:bottom w:val="single" w:sz="4" w:space="0" w:color="auto"/>
              <w:right w:val="single" w:sz="4" w:space="0" w:color="auto"/>
            </w:tcBorders>
            <w:shd w:val="clear" w:color="auto" w:fill="C00000"/>
            <w:noWrap/>
            <w:vAlign w:val="bottom"/>
            <w:hideMark/>
          </w:tcPr>
          <w:p w14:paraId="42C9D857"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4" w:type="pct"/>
            <w:tcBorders>
              <w:top w:val="nil"/>
              <w:left w:val="nil"/>
              <w:bottom w:val="single" w:sz="4" w:space="0" w:color="auto"/>
              <w:right w:val="single" w:sz="4" w:space="0" w:color="auto"/>
            </w:tcBorders>
            <w:shd w:val="clear" w:color="auto" w:fill="C00000"/>
            <w:noWrap/>
            <w:vAlign w:val="bottom"/>
            <w:hideMark/>
          </w:tcPr>
          <w:p w14:paraId="547D46FD"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4" w:type="pct"/>
            <w:shd w:val="clear" w:color="auto" w:fill="C00000"/>
            <w:noWrap/>
            <w:vAlign w:val="bottom"/>
            <w:hideMark/>
          </w:tcPr>
          <w:p w14:paraId="65193964"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 </w:t>
            </w:r>
          </w:p>
        </w:tc>
        <w:tc>
          <w:tcPr>
            <w:tcW w:w="267" w:type="pct"/>
            <w:shd w:val="clear" w:color="auto" w:fill="C00000"/>
            <w:noWrap/>
            <w:vAlign w:val="bottom"/>
            <w:hideMark/>
          </w:tcPr>
          <w:p w14:paraId="13BB973C"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1F32D811" w14:textId="77777777" w:rsidTr="00F64B85">
        <w:trPr>
          <w:trHeight w:val="315"/>
        </w:trPr>
        <w:tc>
          <w:tcPr>
            <w:tcW w:w="218" w:type="pct"/>
            <w:shd w:val="clear" w:color="auto" w:fill="auto"/>
            <w:vAlign w:val="center"/>
            <w:hideMark/>
          </w:tcPr>
          <w:p w14:paraId="50312908" w14:textId="77777777" w:rsidR="008A4FED" w:rsidRPr="00666914" w:rsidRDefault="008A4FED" w:rsidP="004D30E9">
            <w:pPr>
              <w:spacing w:after="0"/>
              <w:jc w:val="center"/>
              <w:rPr>
                <w:rFonts w:eastAsia="Times New Roman"/>
                <w:bCs/>
                <w:color w:val="000000"/>
                <w:sz w:val="20"/>
                <w:szCs w:val="20"/>
                <w:lang w:eastAsia="sk-SK"/>
              </w:rPr>
            </w:pPr>
            <w:r w:rsidRPr="00666914">
              <w:rPr>
                <w:rFonts w:eastAsia="Times New Roman"/>
                <w:color w:val="000000"/>
                <w:sz w:val="20"/>
                <w:szCs w:val="20"/>
                <w:lang w:eastAsia="sk-SK"/>
              </w:rPr>
              <w:t>13</w:t>
            </w:r>
          </w:p>
        </w:tc>
        <w:tc>
          <w:tcPr>
            <w:tcW w:w="370" w:type="pct"/>
            <w:vAlign w:val="center"/>
          </w:tcPr>
          <w:p w14:paraId="08FFFC17"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II.</w:t>
            </w:r>
          </w:p>
        </w:tc>
        <w:tc>
          <w:tcPr>
            <w:tcW w:w="1402" w:type="pct"/>
            <w:shd w:val="clear" w:color="auto" w:fill="auto"/>
            <w:vAlign w:val="center"/>
            <w:hideMark/>
          </w:tcPr>
          <w:p w14:paraId="5F76AC36"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Zazmluvnenie nových SVLZ poskytovateľov</w:t>
            </w:r>
          </w:p>
        </w:tc>
        <w:tc>
          <w:tcPr>
            <w:tcW w:w="678" w:type="pct"/>
            <w:shd w:val="clear" w:color="auto" w:fill="auto"/>
            <w:vAlign w:val="center"/>
            <w:hideMark/>
          </w:tcPr>
          <w:p w14:paraId="66B973C0"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 ZP</w:t>
            </w:r>
          </w:p>
        </w:tc>
        <w:tc>
          <w:tcPr>
            <w:tcW w:w="506" w:type="pct"/>
            <w:shd w:val="clear" w:color="auto" w:fill="auto"/>
            <w:vAlign w:val="center"/>
            <w:hideMark/>
          </w:tcPr>
          <w:p w14:paraId="739A684F"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31.12.2019</w:t>
            </w:r>
          </w:p>
        </w:tc>
        <w:tc>
          <w:tcPr>
            <w:tcW w:w="766" w:type="pct"/>
            <w:vAlign w:val="center"/>
          </w:tcPr>
          <w:p w14:paraId="05A09D8F" w14:textId="77777777" w:rsidR="008A4FED" w:rsidRPr="00666914" w:rsidRDefault="008A4FED" w:rsidP="004D30E9">
            <w:pPr>
              <w:spacing w:after="0"/>
              <w:jc w:val="center"/>
              <w:rPr>
                <w:rFonts w:eastAsia="Times New Roman"/>
                <w:color w:val="000000"/>
                <w:sz w:val="20"/>
                <w:szCs w:val="20"/>
                <w:highlight w:val="yellow"/>
                <w:lang w:eastAsia="sk-SK"/>
              </w:rPr>
            </w:pPr>
            <w:r w:rsidRPr="00666914">
              <w:rPr>
                <w:rFonts w:eastAsia="Times New Roman"/>
                <w:color w:val="000000"/>
                <w:sz w:val="20"/>
                <w:szCs w:val="20"/>
                <w:lang w:eastAsia="sk-SK"/>
              </w:rPr>
              <w:t>-</w:t>
            </w:r>
          </w:p>
        </w:tc>
        <w:tc>
          <w:tcPr>
            <w:tcW w:w="264" w:type="pct"/>
            <w:tcBorders>
              <w:top w:val="nil"/>
              <w:left w:val="nil"/>
              <w:bottom w:val="single" w:sz="4" w:space="0" w:color="auto"/>
              <w:right w:val="single" w:sz="4" w:space="0" w:color="auto"/>
            </w:tcBorders>
            <w:shd w:val="clear" w:color="auto" w:fill="FF0000"/>
            <w:noWrap/>
            <w:vAlign w:val="bottom"/>
            <w:hideMark/>
          </w:tcPr>
          <w:p w14:paraId="7DC917FD"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4" w:type="pct"/>
            <w:tcBorders>
              <w:top w:val="nil"/>
              <w:left w:val="nil"/>
              <w:bottom w:val="single" w:sz="4" w:space="0" w:color="auto"/>
              <w:right w:val="single" w:sz="4" w:space="0" w:color="auto"/>
            </w:tcBorders>
            <w:shd w:val="clear" w:color="auto" w:fill="FF0000"/>
            <w:noWrap/>
            <w:vAlign w:val="bottom"/>
            <w:hideMark/>
          </w:tcPr>
          <w:p w14:paraId="26AA4916"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4" w:type="pct"/>
            <w:shd w:val="clear" w:color="auto" w:fill="FF0000"/>
            <w:noWrap/>
            <w:vAlign w:val="bottom"/>
            <w:hideMark/>
          </w:tcPr>
          <w:p w14:paraId="6DC2945A"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 </w:t>
            </w:r>
          </w:p>
        </w:tc>
        <w:tc>
          <w:tcPr>
            <w:tcW w:w="267" w:type="pct"/>
            <w:shd w:val="clear" w:color="auto" w:fill="FF0000"/>
            <w:noWrap/>
            <w:vAlign w:val="bottom"/>
            <w:hideMark/>
          </w:tcPr>
          <w:p w14:paraId="5CC225D9"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4E680348" w14:textId="77777777" w:rsidTr="00F64B85">
        <w:trPr>
          <w:trHeight w:val="315"/>
        </w:trPr>
        <w:tc>
          <w:tcPr>
            <w:tcW w:w="218" w:type="pct"/>
            <w:shd w:val="clear" w:color="auto" w:fill="auto"/>
            <w:vAlign w:val="center"/>
            <w:hideMark/>
          </w:tcPr>
          <w:p w14:paraId="7C97BCAB" w14:textId="77777777" w:rsidR="008A4FED" w:rsidRPr="00666914" w:rsidRDefault="008A4FED" w:rsidP="004D30E9">
            <w:pPr>
              <w:spacing w:after="0"/>
              <w:jc w:val="center"/>
              <w:rPr>
                <w:rFonts w:eastAsia="Times New Roman"/>
                <w:bCs/>
                <w:color w:val="000000"/>
                <w:sz w:val="20"/>
                <w:szCs w:val="20"/>
                <w:lang w:eastAsia="sk-SK"/>
              </w:rPr>
            </w:pPr>
            <w:r w:rsidRPr="00666914">
              <w:rPr>
                <w:rFonts w:eastAsia="Times New Roman"/>
                <w:color w:val="000000"/>
                <w:sz w:val="20"/>
                <w:szCs w:val="20"/>
                <w:lang w:eastAsia="sk-SK"/>
              </w:rPr>
              <w:t>14</w:t>
            </w:r>
          </w:p>
        </w:tc>
        <w:tc>
          <w:tcPr>
            <w:tcW w:w="370" w:type="pct"/>
            <w:vAlign w:val="center"/>
          </w:tcPr>
          <w:p w14:paraId="642DEAAC"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II.</w:t>
            </w:r>
          </w:p>
        </w:tc>
        <w:tc>
          <w:tcPr>
            <w:tcW w:w="1402" w:type="pct"/>
            <w:shd w:val="clear" w:color="auto" w:fill="auto"/>
            <w:vAlign w:val="center"/>
            <w:hideMark/>
          </w:tcPr>
          <w:p w14:paraId="5090C0BE"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Zmena financovania RTG</w:t>
            </w:r>
          </w:p>
        </w:tc>
        <w:tc>
          <w:tcPr>
            <w:tcW w:w="678" w:type="pct"/>
            <w:shd w:val="clear" w:color="auto" w:fill="auto"/>
            <w:vAlign w:val="center"/>
            <w:hideMark/>
          </w:tcPr>
          <w:p w14:paraId="5C3F2751"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 ZP</w:t>
            </w:r>
          </w:p>
        </w:tc>
        <w:tc>
          <w:tcPr>
            <w:tcW w:w="506" w:type="pct"/>
            <w:shd w:val="clear" w:color="auto" w:fill="auto"/>
            <w:vAlign w:val="center"/>
            <w:hideMark/>
          </w:tcPr>
          <w:p w14:paraId="7DD436A6"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31.12.2019</w:t>
            </w:r>
          </w:p>
        </w:tc>
        <w:tc>
          <w:tcPr>
            <w:tcW w:w="766" w:type="pct"/>
            <w:vAlign w:val="center"/>
          </w:tcPr>
          <w:p w14:paraId="5141718B" w14:textId="77777777" w:rsidR="008A4FED" w:rsidRPr="00666914" w:rsidRDefault="008A4FED" w:rsidP="004D30E9">
            <w:pPr>
              <w:spacing w:after="0"/>
              <w:jc w:val="center"/>
              <w:rPr>
                <w:rFonts w:eastAsia="Times New Roman"/>
                <w:color w:val="000000"/>
                <w:sz w:val="20"/>
                <w:szCs w:val="20"/>
                <w:highlight w:val="yellow"/>
                <w:lang w:eastAsia="sk-SK"/>
              </w:rPr>
            </w:pPr>
            <w:r w:rsidRPr="00666914">
              <w:rPr>
                <w:rFonts w:eastAsia="Times New Roman"/>
                <w:color w:val="000000"/>
                <w:sz w:val="20"/>
                <w:szCs w:val="20"/>
                <w:lang w:eastAsia="sk-SK"/>
              </w:rPr>
              <w:t>-</w:t>
            </w:r>
          </w:p>
        </w:tc>
        <w:tc>
          <w:tcPr>
            <w:tcW w:w="264" w:type="pct"/>
            <w:tcBorders>
              <w:top w:val="nil"/>
              <w:left w:val="nil"/>
              <w:bottom w:val="single" w:sz="4" w:space="0" w:color="auto"/>
              <w:right w:val="single" w:sz="4" w:space="0" w:color="auto"/>
            </w:tcBorders>
            <w:shd w:val="clear" w:color="auto" w:fill="FF0000"/>
            <w:noWrap/>
            <w:vAlign w:val="bottom"/>
            <w:hideMark/>
          </w:tcPr>
          <w:p w14:paraId="56ADC96C"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4" w:type="pct"/>
            <w:tcBorders>
              <w:top w:val="nil"/>
              <w:left w:val="nil"/>
              <w:bottom w:val="single" w:sz="4" w:space="0" w:color="auto"/>
              <w:right w:val="single" w:sz="4" w:space="0" w:color="auto"/>
            </w:tcBorders>
            <w:shd w:val="clear" w:color="auto" w:fill="FF0000"/>
            <w:noWrap/>
            <w:vAlign w:val="bottom"/>
            <w:hideMark/>
          </w:tcPr>
          <w:p w14:paraId="64150B99"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64" w:type="pct"/>
            <w:shd w:val="clear" w:color="auto" w:fill="FF0000"/>
            <w:noWrap/>
            <w:vAlign w:val="bottom"/>
            <w:hideMark/>
          </w:tcPr>
          <w:p w14:paraId="166AE4D8"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 </w:t>
            </w:r>
          </w:p>
        </w:tc>
        <w:tc>
          <w:tcPr>
            <w:tcW w:w="267" w:type="pct"/>
            <w:shd w:val="clear" w:color="auto" w:fill="FFC000"/>
            <w:noWrap/>
            <w:vAlign w:val="bottom"/>
            <w:hideMark/>
          </w:tcPr>
          <w:p w14:paraId="1DD9FA67"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 </w:t>
            </w:r>
          </w:p>
        </w:tc>
      </w:tr>
    </w:tbl>
    <w:p w14:paraId="0752AE09" w14:textId="77777777" w:rsidR="008A4FED" w:rsidRPr="00666914" w:rsidRDefault="008A4FED" w:rsidP="004D30E9">
      <w:pPr>
        <w:spacing w:after="0"/>
        <w:rPr>
          <w:szCs w:val="24"/>
        </w:rPr>
      </w:pPr>
    </w:p>
    <w:p w14:paraId="09EB50B0" w14:textId="77777777" w:rsidR="008A4FED" w:rsidRPr="00666914" w:rsidRDefault="008A4FED" w:rsidP="008A4FED">
      <w:pPr>
        <w:numPr>
          <w:ilvl w:val="0"/>
          <w:numId w:val="28"/>
        </w:numPr>
        <w:contextualSpacing/>
        <w:rPr>
          <w:b/>
          <w:u w:val="single"/>
        </w:rPr>
      </w:pPr>
      <w:r w:rsidRPr="00666914">
        <w:rPr>
          <w:b/>
          <w:u w:val="single"/>
        </w:rPr>
        <w:t>SVLZ - zníženie jednotkových cien a limitov CT a MR vyšetrení</w:t>
      </w:r>
    </w:p>
    <w:p w14:paraId="23831302" w14:textId="65076496" w:rsidR="008A4FED" w:rsidRPr="00666914" w:rsidRDefault="008A4FED" w:rsidP="008B70B3">
      <w:pPr>
        <w:spacing w:before="240"/>
      </w:pPr>
      <w:r w:rsidRPr="00666914">
        <w:rPr>
          <w:b/>
        </w:rPr>
        <w:t>Plánovaná úspora 22 mil. eur sa k 31.12.2019 plnila iba na necelých 30 %, preto je opatrenie hodnotené ako nesplnené.</w:t>
      </w:r>
      <w:r w:rsidRPr="00666914">
        <w:t xml:space="preserve"> Medziročne sa výška celkových úhrad za CT a MR vyšetrenia významne nezmenila (tabuľka 1</w:t>
      </w:r>
      <w:r w:rsidR="009F7D9A" w:rsidRPr="00666914">
        <w:t>2</w:t>
      </w:r>
      <w:r w:rsidRPr="00666914">
        <w:t>).</w:t>
      </w:r>
    </w:p>
    <w:p w14:paraId="767CE780" w14:textId="342829D9" w:rsidR="008A4FED" w:rsidRPr="00666914" w:rsidRDefault="008A4FED" w:rsidP="004D30E9">
      <w:pPr>
        <w:pBdr>
          <w:bottom w:val="single" w:sz="4" w:space="1" w:color="auto"/>
        </w:pBdr>
        <w:spacing w:before="240" w:after="0"/>
        <w:rPr>
          <w:b/>
          <w:sz w:val="20"/>
        </w:rPr>
      </w:pPr>
      <w:bookmarkStart w:id="95" w:name="_Toc5636415"/>
      <w:bookmarkStart w:id="96" w:name="_Toc20209189"/>
      <w:bookmarkStart w:id="97" w:name="_Toc36547032"/>
      <w:bookmarkStart w:id="98" w:name="_Toc38447673"/>
      <w:r w:rsidRPr="00666914">
        <w:rPr>
          <w:b/>
          <w:sz w:val="20"/>
        </w:rPr>
        <w:t xml:space="preserve">Tabuľka </w:t>
      </w:r>
      <w:r w:rsidRPr="00666914">
        <w:rPr>
          <w:b/>
          <w:sz w:val="20"/>
        </w:rPr>
        <w:fldChar w:fldCharType="begin"/>
      </w:r>
      <w:r w:rsidRPr="00666914">
        <w:rPr>
          <w:b/>
          <w:sz w:val="20"/>
        </w:rPr>
        <w:instrText xml:space="preserve"> SEQ Tabuľka \* ARABIC </w:instrText>
      </w:r>
      <w:r w:rsidRPr="00666914">
        <w:rPr>
          <w:b/>
          <w:sz w:val="20"/>
        </w:rPr>
        <w:fldChar w:fldCharType="separate"/>
      </w:r>
      <w:r w:rsidR="005A7304">
        <w:rPr>
          <w:b/>
          <w:noProof/>
          <w:sz w:val="20"/>
        </w:rPr>
        <w:t>12</w:t>
      </w:r>
      <w:r w:rsidRPr="00666914">
        <w:rPr>
          <w:b/>
          <w:sz w:val="20"/>
        </w:rPr>
        <w:fldChar w:fldCharType="end"/>
      </w:r>
      <w:r w:rsidRPr="00666914">
        <w:rPr>
          <w:b/>
          <w:sz w:val="20"/>
        </w:rPr>
        <w:t>: Úhrady za CT a MR vyšetrenia (mil. eur)</w:t>
      </w:r>
      <w:bookmarkEnd w:id="95"/>
      <w:bookmarkEnd w:id="96"/>
      <w:bookmarkEnd w:id="97"/>
      <w:bookmarkEnd w:id="98"/>
    </w:p>
    <w:tbl>
      <w:tblPr>
        <w:tblW w:w="9072" w:type="dxa"/>
        <w:tblLayout w:type="fixed"/>
        <w:tblCellMar>
          <w:left w:w="70" w:type="dxa"/>
          <w:right w:w="70" w:type="dxa"/>
        </w:tblCellMar>
        <w:tblLook w:val="04A0" w:firstRow="1" w:lastRow="0" w:firstColumn="1" w:lastColumn="0" w:noHBand="0" w:noVBand="1"/>
      </w:tblPr>
      <w:tblGrid>
        <w:gridCol w:w="4195"/>
        <w:gridCol w:w="1219"/>
        <w:gridCol w:w="1219"/>
        <w:gridCol w:w="1219"/>
        <w:gridCol w:w="1220"/>
      </w:tblGrid>
      <w:tr w:rsidR="008A4FED" w:rsidRPr="00666914" w14:paraId="41788BAE" w14:textId="77777777" w:rsidTr="000260D5">
        <w:trPr>
          <w:trHeight w:val="125"/>
        </w:trPr>
        <w:tc>
          <w:tcPr>
            <w:tcW w:w="4195" w:type="dxa"/>
            <w:tcBorders>
              <w:left w:val="nil"/>
              <w:bottom w:val="single" w:sz="4" w:space="0" w:color="auto"/>
              <w:right w:val="single" w:sz="4" w:space="0" w:color="auto"/>
            </w:tcBorders>
            <w:shd w:val="clear" w:color="auto" w:fill="auto"/>
            <w:noWrap/>
            <w:vAlign w:val="bottom"/>
            <w:hideMark/>
          </w:tcPr>
          <w:p w14:paraId="30CA070C" w14:textId="77777777" w:rsidR="008A4FED" w:rsidRPr="00666914" w:rsidRDefault="008A4FED" w:rsidP="00F64B85">
            <w:pPr>
              <w:spacing w:after="0"/>
              <w:jc w:val="left"/>
              <w:rPr>
                <w:rFonts w:eastAsia="Times New Roman" w:cs="Calibri"/>
                <w:b/>
                <w:bCs/>
                <w:sz w:val="20"/>
                <w:szCs w:val="20"/>
                <w:lang w:eastAsia="sk-SK"/>
              </w:rPr>
            </w:pPr>
            <w:r w:rsidRPr="00666914">
              <w:rPr>
                <w:rFonts w:eastAsia="Times New Roman" w:cs="Calibri"/>
                <w:b/>
                <w:bCs/>
                <w:sz w:val="20"/>
                <w:szCs w:val="20"/>
                <w:lang w:eastAsia="sk-SK"/>
              </w:rPr>
              <w:t> </w:t>
            </w:r>
          </w:p>
        </w:tc>
        <w:tc>
          <w:tcPr>
            <w:tcW w:w="1219" w:type="dxa"/>
            <w:tcBorders>
              <w:top w:val="nil"/>
              <w:left w:val="single" w:sz="4" w:space="0" w:color="auto"/>
              <w:bottom w:val="single" w:sz="4" w:space="0" w:color="auto"/>
              <w:right w:val="nil"/>
            </w:tcBorders>
            <w:shd w:val="clear" w:color="auto" w:fill="auto"/>
            <w:noWrap/>
            <w:vAlign w:val="bottom"/>
            <w:hideMark/>
          </w:tcPr>
          <w:p w14:paraId="517D206A" w14:textId="77777777" w:rsidR="008A4FED" w:rsidRPr="00666914" w:rsidRDefault="008A4FED" w:rsidP="00F64B85">
            <w:pPr>
              <w:spacing w:after="0"/>
              <w:jc w:val="center"/>
              <w:rPr>
                <w:rFonts w:eastAsia="Times New Roman" w:cs="Calibri"/>
                <w:b/>
                <w:bCs/>
                <w:sz w:val="20"/>
                <w:szCs w:val="20"/>
                <w:highlight w:val="yellow"/>
                <w:lang w:eastAsia="sk-SK"/>
              </w:rPr>
            </w:pPr>
            <w:r w:rsidRPr="00666914">
              <w:rPr>
                <w:rFonts w:cs="Calibri"/>
                <w:b/>
                <w:bCs/>
                <w:sz w:val="20"/>
                <w:szCs w:val="20"/>
              </w:rPr>
              <w:t>2016</w:t>
            </w:r>
          </w:p>
        </w:tc>
        <w:tc>
          <w:tcPr>
            <w:tcW w:w="1219" w:type="dxa"/>
            <w:tcBorders>
              <w:top w:val="nil"/>
              <w:left w:val="nil"/>
              <w:bottom w:val="single" w:sz="4" w:space="0" w:color="auto"/>
              <w:right w:val="nil"/>
            </w:tcBorders>
            <w:shd w:val="clear" w:color="auto" w:fill="auto"/>
            <w:noWrap/>
            <w:vAlign w:val="bottom"/>
            <w:hideMark/>
          </w:tcPr>
          <w:p w14:paraId="4851602B" w14:textId="77777777" w:rsidR="008A4FED" w:rsidRPr="00666914" w:rsidRDefault="008A4FED" w:rsidP="00F64B85">
            <w:pPr>
              <w:spacing w:after="0"/>
              <w:jc w:val="center"/>
              <w:rPr>
                <w:rFonts w:eastAsia="Times New Roman" w:cs="Calibri"/>
                <w:b/>
                <w:bCs/>
                <w:sz w:val="20"/>
                <w:szCs w:val="20"/>
                <w:highlight w:val="yellow"/>
                <w:lang w:eastAsia="sk-SK"/>
              </w:rPr>
            </w:pPr>
            <w:r w:rsidRPr="00666914">
              <w:rPr>
                <w:rFonts w:cs="Calibri"/>
                <w:b/>
                <w:bCs/>
                <w:sz w:val="20"/>
                <w:szCs w:val="20"/>
              </w:rPr>
              <w:t>2017</w:t>
            </w:r>
          </w:p>
        </w:tc>
        <w:tc>
          <w:tcPr>
            <w:tcW w:w="1219" w:type="dxa"/>
            <w:tcBorders>
              <w:top w:val="nil"/>
              <w:left w:val="nil"/>
              <w:bottom w:val="single" w:sz="4" w:space="0" w:color="auto"/>
              <w:right w:val="nil"/>
            </w:tcBorders>
            <w:shd w:val="clear" w:color="auto" w:fill="auto"/>
            <w:noWrap/>
            <w:vAlign w:val="bottom"/>
            <w:hideMark/>
          </w:tcPr>
          <w:p w14:paraId="74E32D68" w14:textId="77777777" w:rsidR="008A4FED" w:rsidRPr="00666914" w:rsidRDefault="008A4FED" w:rsidP="00F64B85">
            <w:pPr>
              <w:spacing w:after="0"/>
              <w:jc w:val="center"/>
              <w:rPr>
                <w:rFonts w:eastAsia="Times New Roman" w:cs="Calibri"/>
                <w:b/>
                <w:bCs/>
                <w:sz w:val="20"/>
                <w:szCs w:val="20"/>
                <w:highlight w:val="yellow"/>
                <w:lang w:eastAsia="sk-SK"/>
              </w:rPr>
            </w:pPr>
            <w:r w:rsidRPr="00666914">
              <w:rPr>
                <w:rFonts w:cs="Calibri"/>
                <w:b/>
                <w:bCs/>
                <w:sz w:val="20"/>
                <w:szCs w:val="20"/>
              </w:rPr>
              <w:t>2018</w:t>
            </w:r>
          </w:p>
        </w:tc>
        <w:tc>
          <w:tcPr>
            <w:tcW w:w="1220" w:type="dxa"/>
            <w:tcBorders>
              <w:top w:val="nil"/>
              <w:left w:val="nil"/>
              <w:bottom w:val="single" w:sz="4" w:space="0" w:color="auto"/>
              <w:right w:val="nil"/>
            </w:tcBorders>
            <w:vAlign w:val="bottom"/>
          </w:tcPr>
          <w:p w14:paraId="4A51DC2D" w14:textId="77777777" w:rsidR="008A4FED" w:rsidRPr="00666914" w:rsidRDefault="008A4FED" w:rsidP="00F64B85">
            <w:pPr>
              <w:spacing w:after="0"/>
              <w:jc w:val="center"/>
              <w:rPr>
                <w:rFonts w:cs="Calibri"/>
                <w:b/>
                <w:bCs/>
                <w:sz w:val="20"/>
                <w:szCs w:val="20"/>
              </w:rPr>
            </w:pPr>
            <w:r w:rsidRPr="00666914">
              <w:rPr>
                <w:rFonts w:cs="Calibri"/>
                <w:b/>
                <w:bCs/>
                <w:sz w:val="20"/>
                <w:szCs w:val="20"/>
              </w:rPr>
              <w:t>2019</w:t>
            </w:r>
          </w:p>
        </w:tc>
      </w:tr>
      <w:tr w:rsidR="008A4FED" w:rsidRPr="00666914" w14:paraId="7D0A0060" w14:textId="77777777" w:rsidTr="00F64B85">
        <w:trPr>
          <w:trHeight w:val="345"/>
        </w:trPr>
        <w:tc>
          <w:tcPr>
            <w:tcW w:w="4195" w:type="dxa"/>
            <w:tcBorders>
              <w:top w:val="single" w:sz="4" w:space="0" w:color="auto"/>
              <w:left w:val="nil"/>
              <w:bottom w:val="dotted" w:sz="4" w:space="0" w:color="auto"/>
              <w:right w:val="single" w:sz="4" w:space="0" w:color="auto"/>
            </w:tcBorders>
            <w:shd w:val="clear" w:color="auto" w:fill="auto"/>
            <w:noWrap/>
            <w:vAlign w:val="bottom"/>
            <w:hideMark/>
          </w:tcPr>
          <w:p w14:paraId="48936A2D" w14:textId="77777777" w:rsidR="008A4FED" w:rsidRPr="00666914" w:rsidRDefault="008A4FED" w:rsidP="00F64B85">
            <w:pPr>
              <w:spacing w:after="0"/>
              <w:jc w:val="left"/>
              <w:rPr>
                <w:rFonts w:eastAsia="Times New Roman" w:cs="Calibri"/>
                <w:b/>
                <w:bCs/>
                <w:sz w:val="20"/>
                <w:szCs w:val="20"/>
                <w:lang w:eastAsia="sk-SK"/>
              </w:rPr>
            </w:pPr>
            <w:r w:rsidRPr="00666914">
              <w:rPr>
                <w:rFonts w:eastAsia="Times New Roman" w:cs="Calibri"/>
                <w:b/>
                <w:bCs/>
                <w:sz w:val="20"/>
                <w:szCs w:val="20"/>
                <w:lang w:eastAsia="sk-SK"/>
              </w:rPr>
              <w:t>Celková úhrada poisťovní za CT a MR výkony</w:t>
            </w:r>
          </w:p>
        </w:tc>
        <w:tc>
          <w:tcPr>
            <w:tcW w:w="1219" w:type="dxa"/>
            <w:tcBorders>
              <w:top w:val="nil"/>
              <w:left w:val="single" w:sz="4" w:space="0" w:color="auto"/>
              <w:bottom w:val="dotted" w:sz="4" w:space="0" w:color="auto"/>
              <w:right w:val="nil"/>
            </w:tcBorders>
            <w:shd w:val="clear" w:color="auto" w:fill="auto"/>
            <w:noWrap/>
            <w:vAlign w:val="bottom"/>
          </w:tcPr>
          <w:p w14:paraId="5A5D23A0"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color w:val="000000"/>
                <w:sz w:val="20"/>
                <w:szCs w:val="20"/>
              </w:rPr>
              <w:t>113,9</w:t>
            </w:r>
          </w:p>
        </w:tc>
        <w:tc>
          <w:tcPr>
            <w:tcW w:w="1219" w:type="dxa"/>
            <w:tcBorders>
              <w:top w:val="nil"/>
              <w:left w:val="nil"/>
              <w:bottom w:val="dotted" w:sz="4" w:space="0" w:color="auto"/>
              <w:right w:val="nil"/>
            </w:tcBorders>
            <w:shd w:val="clear" w:color="auto" w:fill="auto"/>
            <w:noWrap/>
            <w:vAlign w:val="bottom"/>
          </w:tcPr>
          <w:p w14:paraId="422CA4D1"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color w:val="000000"/>
                <w:sz w:val="20"/>
                <w:szCs w:val="20"/>
              </w:rPr>
              <w:t>103,0</w:t>
            </w:r>
          </w:p>
        </w:tc>
        <w:tc>
          <w:tcPr>
            <w:tcW w:w="1219" w:type="dxa"/>
            <w:tcBorders>
              <w:top w:val="nil"/>
              <w:left w:val="nil"/>
              <w:bottom w:val="dotted" w:sz="4" w:space="0" w:color="auto"/>
              <w:right w:val="nil"/>
            </w:tcBorders>
            <w:shd w:val="clear" w:color="auto" w:fill="auto"/>
            <w:noWrap/>
            <w:vAlign w:val="bottom"/>
          </w:tcPr>
          <w:p w14:paraId="45BBAAC9"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color w:val="000000"/>
                <w:sz w:val="20"/>
                <w:szCs w:val="20"/>
              </w:rPr>
              <w:t>108,0</w:t>
            </w:r>
          </w:p>
        </w:tc>
        <w:tc>
          <w:tcPr>
            <w:tcW w:w="1220" w:type="dxa"/>
            <w:tcBorders>
              <w:top w:val="nil"/>
              <w:left w:val="nil"/>
              <w:bottom w:val="dotted" w:sz="4" w:space="0" w:color="auto"/>
              <w:right w:val="nil"/>
            </w:tcBorders>
            <w:vAlign w:val="bottom"/>
          </w:tcPr>
          <w:p w14:paraId="4B93B816" w14:textId="77777777" w:rsidR="008A4FED" w:rsidRPr="00666914" w:rsidRDefault="008A4FED" w:rsidP="00F64B85">
            <w:pPr>
              <w:spacing w:after="0"/>
              <w:jc w:val="center"/>
              <w:rPr>
                <w:rFonts w:cs="Calibri"/>
                <w:sz w:val="20"/>
                <w:szCs w:val="20"/>
              </w:rPr>
            </w:pPr>
            <w:r w:rsidRPr="00666914">
              <w:rPr>
                <w:rFonts w:cs="Calibri"/>
                <w:color w:val="000000"/>
                <w:sz w:val="20"/>
                <w:szCs w:val="20"/>
              </w:rPr>
              <w:t>107,8</w:t>
            </w:r>
          </w:p>
        </w:tc>
      </w:tr>
      <w:tr w:rsidR="008A4FED" w:rsidRPr="00666914" w14:paraId="7474674C" w14:textId="77777777" w:rsidTr="00F64B85">
        <w:trPr>
          <w:trHeight w:val="252"/>
        </w:trPr>
        <w:tc>
          <w:tcPr>
            <w:tcW w:w="4195" w:type="dxa"/>
            <w:tcBorders>
              <w:top w:val="dotted" w:sz="4" w:space="0" w:color="auto"/>
              <w:left w:val="nil"/>
              <w:right w:val="single" w:sz="4" w:space="0" w:color="auto"/>
            </w:tcBorders>
            <w:shd w:val="clear" w:color="auto" w:fill="auto"/>
            <w:noWrap/>
            <w:vAlign w:val="bottom"/>
          </w:tcPr>
          <w:p w14:paraId="03BD61A8" w14:textId="77777777" w:rsidR="008A4FED" w:rsidRPr="00666914" w:rsidRDefault="008A4FED" w:rsidP="004D30E9">
            <w:pPr>
              <w:spacing w:after="0"/>
              <w:jc w:val="left"/>
              <w:rPr>
                <w:rFonts w:eastAsia="Times New Roman" w:cs="Calibri"/>
                <w:b/>
                <w:bCs/>
                <w:sz w:val="20"/>
                <w:szCs w:val="20"/>
                <w:lang w:eastAsia="sk-SK"/>
              </w:rPr>
            </w:pPr>
            <w:r w:rsidRPr="00666914">
              <w:rPr>
                <w:rFonts w:eastAsia="Times New Roman" w:cs="Calibri"/>
                <w:sz w:val="18"/>
                <w:szCs w:val="20"/>
                <w:lang w:eastAsia="sk-SK"/>
              </w:rPr>
              <w:t xml:space="preserve">z toho </w:t>
            </w:r>
          </w:p>
        </w:tc>
        <w:tc>
          <w:tcPr>
            <w:tcW w:w="1219" w:type="dxa"/>
            <w:tcBorders>
              <w:top w:val="dotted" w:sz="4" w:space="0" w:color="auto"/>
              <w:left w:val="single" w:sz="4" w:space="0" w:color="auto"/>
              <w:right w:val="nil"/>
            </w:tcBorders>
            <w:shd w:val="clear" w:color="auto" w:fill="auto"/>
            <w:noWrap/>
            <w:vAlign w:val="bottom"/>
          </w:tcPr>
          <w:p w14:paraId="13582A66" w14:textId="77777777" w:rsidR="008A4FED" w:rsidRPr="00666914" w:rsidRDefault="008A4FED" w:rsidP="004D30E9">
            <w:pPr>
              <w:spacing w:after="0"/>
              <w:jc w:val="center"/>
              <w:rPr>
                <w:rFonts w:cs="Calibri"/>
                <w:sz w:val="20"/>
                <w:szCs w:val="20"/>
                <w:highlight w:val="yellow"/>
              </w:rPr>
            </w:pPr>
          </w:p>
        </w:tc>
        <w:tc>
          <w:tcPr>
            <w:tcW w:w="1219" w:type="dxa"/>
            <w:tcBorders>
              <w:top w:val="dotted" w:sz="4" w:space="0" w:color="auto"/>
              <w:left w:val="nil"/>
              <w:right w:val="nil"/>
            </w:tcBorders>
            <w:shd w:val="clear" w:color="auto" w:fill="auto"/>
            <w:noWrap/>
            <w:vAlign w:val="bottom"/>
          </w:tcPr>
          <w:p w14:paraId="385F3FA8" w14:textId="77777777" w:rsidR="008A4FED" w:rsidRPr="00666914" w:rsidRDefault="008A4FED" w:rsidP="004D30E9">
            <w:pPr>
              <w:spacing w:after="0"/>
              <w:jc w:val="center"/>
              <w:rPr>
                <w:rFonts w:cs="Calibri"/>
                <w:sz w:val="20"/>
                <w:szCs w:val="20"/>
                <w:highlight w:val="yellow"/>
              </w:rPr>
            </w:pPr>
          </w:p>
        </w:tc>
        <w:tc>
          <w:tcPr>
            <w:tcW w:w="1219" w:type="dxa"/>
            <w:tcBorders>
              <w:top w:val="dotted" w:sz="4" w:space="0" w:color="auto"/>
              <w:left w:val="nil"/>
              <w:right w:val="nil"/>
            </w:tcBorders>
            <w:shd w:val="clear" w:color="auto" w:fill="auto"/>
            <w:noWrap/>
            <w:vAlign w:val="bottom"/>
          </w:tcPr>
          <w:p w14:paraId="3919D724" w14:textId="77777777" w:rsidR="008A4FED" w:rsidRPr="00666914" w:rsidRDefault="008A4FED" w:rsidP="004D30E9">
            <w:pPr>
              <w:spacing w:after="0"/>
              <w:jc w:val="center"/>
              <w:rPr>
                <w:rFonts w:cs="Calibri"/>
                <w:sz w:val="20"/>
                <w:szCs w:val="20"/>
                <w:highlight w:val="yellow"/>
              </w:rPr>
            </w:pPr>
          </w:p>
        </w:tc>
        <w:tc>
          <w:tcPr>
            <w:tcW w:w="1220" w:type="dxa"/>
            <w:tcBorders>
              <w:top w:val="dotted" w:sz="4" w:space="0" w:color="auto"/>
              <w:left w:val="nil"/>
              <w:right w:val="nil"/>
            </w:tcBorders>
          </w:tcPr>
          <w:p w14:paraId="2F5F4204" w14:textId="77777777" w:rsidR="008A4FED" w:rsidRPr="00666914" w:rsidRDefault="008A4FED" w:rsidP="004D30E9">
            <w:pPr>
              <w:spacing w:after="0"/>
              <w:jc w:val="center"/>
              <w:rPr>
                <w:rFonts w:cs="Calibri"/>
                <w:sz w:val="20"/>
                <w:szCs w:val="20"/>
                <w:highlight w:val="yellow"/>
              </w:rPr>
            </w:pPr>
          </w:p>
        </w:tc>
      </w:tr>
      <w:tr w:rsidR="008A4FED" w:rsidRPr="00666914" w14:paraId="46BB46F3" w14:textId="77777777" w:rsidTr="00F64B85">
        <w:trPr>
          <w:trHeight w:val="345"/>
        </w:trPr>
        <w:tc>
          <w:tcPr>
            <w:tcW w:w="4195" w:type="dxa"/>
            <w:tcBorders>
              <w:left w:val="nil"/>
              <w:right w:val="single" w:sz="4" w:space="0" w:color="auto"/>
            </w:tcBorders>
            <w:shd w:val="clear" w:color="auto" w:fill="auto"/>
            <w:noWrap/>
            <w:vAlign w:val="bottom"/>
          </w:tcPr>
          <w:p w14:paraId="30ABB244" w14:textId="77777777" w:rsidR="008A4FED" w:rsidRPr="00666914" w:rsidRDefault="008A4FED" w:rsidP="00F64B85">
            <w:pPr>
              <w:spacing w:after="0"/>
              <w:jc w:val="left"/>
              <w:rPr>
                <w:rFonts w:eastAsia="Times New Roman" w:cs="Calibri"/>
                <w:bCs/>
                <w:sz w:val="20"/>
                <w:szCs w:val="20"/>
                <w:lang w:eastAsia="sk-SK"/>
              </w:rPr>
            </w:pPr>
            <w:r w:rsidRPr="00666914">
              <w:rPr>
                <w:rFonts w:eastAsia="Times New Roman" w:cs="Calibri"/>
                <w:bCs/>
                <w:sz w:val="20"/>
                <w:szCs w:val="20"/>
                <w:lang w:eastAsia="sk-SK"/>
              </w:rPr>
              <w:t xml:space="preserve">   CT vyšetrenia</w:t>
            </w:r>
          </w:p>
        </w:tc>
        <w:tc>
          <w:tcPr>
            <w:tcW w:w="1219" w:type="dxa"/>
            <w:tcBorders>
              <w:left w:val="single" w:sz="4" w:space="0" w:color="auto"/>
              <w:right w:val="nil"/>
            </w:tcBorders>
            <w:shd w:val="clear" w:color="auto" w:fill="auto"/>
            <w:noWrap/>
            <w:vAlign w:val="bottom"/>
          </w:tcPr>
          <w:p w14:paraId="45E2A4A8" w14:textId="77777777" w:rsidR="008A4FED" w:rsidRPr="00666914" w:rsidRDefault="008A4FED" w:rsidP="00F64B85">
            <w:pPr>
              <w:spacing w:after="0"/>
              <w:jc w:val="center"/>
              <w:rPr>
                <w:rFonts w:cs="Calibri"/>
                <w:sz w:val="20"/>
                <w:szCs w:val="20"/>
                <w:highlight w:val="yellow"/>
              </w:rPr>
            </w:pPr>
            <w:r w:rsidRPr="00666914">
              <w:rPr>
                <w:rFonts w:cs="Calibri"/>
                <w:color w:val="000000"/>
                <w:sz w:val="20"/>
                <w:szCs w:val="20"/>
              </w:rPr>
              <w:t>63,2</w:t>
            </w:r>
          </w:p>
        </w:tc>
        <w:tc>
          <w:tcPr>
            <w:tcW w:w="1219" w:type="dxa"/>
            <w:tcBorders>
              <w:left w:val="nil"/>
              <w:right w:val="nil"/>
            </w:tcBorders>
            <w:shd w:val="clear" w:color="auto" w:fill="auto"/>
            <w:noWrap/>
            <w:vAlign w:val="bottom"/>
          </w:tcPr>
          <w:p w14:paraId="22D3A596" w14:textId="77777777" w:rsidR="008A4FED" w:rsidRPr="00666914" w:rsidRDefault="008A4FED" w:rsidP="00F64B85">
            <w:pPr>
              <w:spacing w:after="0"/>
              <w:jc w:val="center"/>
              <w:rPr>
                <w:rFonts w:cs="Calibri"/>
                <w:sz w:val="20"/>
                <w:szCs w:val="20"/>
                <w:highlight w:val="yellow"/>
              </w:rPr>
            </w:pPr>
            <w:r w:rsidRPr="00666914">
              <w:rPr>
                <w:rFonts w:cs="Calibri"/>
                <w:color w:val="000000"/>
                <w:sz w:val="20"/>
                <w:szCs w:val="20"/>
              </w:rPr>
              <w:t>53,7</w:t>
            </w:r>
          </w:p>
        </w:tc>
        <w:tc>
          <w:tcPr>
            <w:tcW w:w="1219" w:type="dxa"/>
            <w:tcBorders>
              <w:left w:val="nil"/>
              <w:right w:val="nil"/>
            </w:tcBorders>
            <w:shd w:val="clear" w:color="auto" w:fill="auto"/>
            <w:noWrap/>
            <w:vAlign w:val="bottom"/>
          </w:tcPr>
          <w:p w14:paraId="2C843C31" w14:textId="77777777" w:rsidR="008A4FED" w:rsidRPr="00666914" w:rsidRDefault="008A4FED" w:rsidP="00F64B85">
            <w:pPr>
              <w:spacing w:after="0"/>
              <w:jc w:val="center"/>
              <w:rPr>
                <w:rFonts w:cs="Calibri"/>
                <w:sz w:val="20"/>
                <w:szCs w:val="20"/>
                <w:highlight w:val="yellow"/>
              </w:rPr>
            </w:pPr>
            <w:r w:rsidRPr="00666914">
              <w:rPr>
                <w:rFonts w:cs="Calibri"/>
                <w:color w:val="000000"/>
                <w:sz w:val="20"/>
                <w:szCs w:val="20"/>
              </w:rPr>
              <w:t>55,7</w:t>
            </w:r>
          </w:p>
        </w:tc>
        <w:tc>
          <w:tcPr>
            <w:tcW w:w="1220" w:type="dxa"/>
            <w:tcBorders>
              <w:left w:val="nil"/>
              <w:right w:val="nil"/>
            </w:tcBorders>
            <w:vAlign w:val="bottom"/>
          </w:tcPr>
          <w:p w14:paraId="6805EF54" w14:textId="77777777" w:rsidR="008A4FED" w:rsidRPr="00666914" w:rsidRDefault="008A4FED" w:rsidP="00F64B85">
            <w:pPr>
              <w:spacing w:after="0"/>
              <w:jc w:val="center"/>
              <w:rPr>
                <w:rFonts w:cs="Calibri"/>
                <w:sz w:val="20"/>
                <w:szCs w:val="20"/>
              </w:rPr>
            </w:pPr>
            <w:r w:rsidRPr="00666914">
              <w:rPr>
                <w:rFonts w:cs="Calibri"/>
                <w:color w:val="000000"/>
                <w:sz w:val="20"/>
                <w:szCs w:val="20"/>
              </w:rPr>
              <w:t>55,7</w:t>
            </w:r>
          </w:p>
        </w:tc>
      </w:tr>
      <w:tr w:rsidR="008A4FED" w:rsidRPr="00666914" w14:paraId="5104736B" w14:textId="77777777" w:rsidTr="00F64B85">
        <w:trPr>
          <w:trHeight w:val="345"/>
        </w:trPr>
        <w:tc>
          <w:tcPr>
            <w:tcW w:w="4195" w:type="dxa"/>
            <w:tcBorders>
              <w:top w:val="nil"/>
              <w:left w:val="nil"/>
              <w:bottom w:val="dotted" w:sz="4" w:space="0" w:color="auto"/>
              <w:right w:val="single" w:sz="4" w:space="0" w:color="auto"/>
            </w:tcBorders>
            <w:shd w:val="clear" w:color="auto" w:fill="auto"/>
            <w:noWrap/>
            <w:vAlign w:val="bottom"/>
            <w:hideMark/>
          </w:tcPr>
          <w:p w14:paraId="199DC587" w14:textId="77777777" w:rsidR="008A4FED" w:rsidRPr="00666914" w:rsidRDefault="008A4FED" w:rsidP="00F64B85">
            <w:pPr>
              <w:spacing w:after="0"/>
              <w:jc w:val="left"/>
              <w:rPr>
                <w:rFonts w:eastAsia="Times New Roman" w:cs="Calibri"/>
                <w:bCs/>
                <w:sz w:val="20"/>
                <w:szCs w:val="20"/>
                <w:lang w:eastAsia="sk-SK"/>
              </w:rPr>
            </w:pPr>
            <w:r w:rsidRPr="00666914">
              <w:rPr>
                <w:rFonts w:eastAsia="Times New Roman" w:cs="Calibri"/>
                <w:bCs/>
                <w:sz w:val="20"/>
                <w:szCs w:val="20"/>
                <w:lang w:eastAsia="sk-SK"/>
              </w:rPr>
              <w:t xml:space="preserve">   MR vyšetrenia</w:t>
            </w:r>
          </w:p>
        </w:tc>
        <w:tc>
          <w:tcPr>
            <w:tcW w:w="1219" w:type="dxa"/>
            <w:tcBorders>
              <w:top w:val="nil"/>
              <w:left w:val="single" w:sz="4" w:space="0" w:color="auto"/>
              <w:bottom w:val="dotted" w:sz="4" w:space="0" w:color="auto"/>
              <w:right w:val="nil"/>
            </w:tcBorders>
            <w:shd w:val="clear" w:color="auto" w:fill="auto"/>
            <w:noWrap/>
            <w:vAlign w:val="bottom"/>
          </w:tcPr>
          <w:p w14:paraId="54AF7913" w14:textId="77777777" w:rsidR="008A4FED" w:rsidRPr="00666914" w:rsidRDefault="008A4FED" w:rsidP="00F64B85">
            <w:pPr>
              <w:spacing w:after="0"/>
              <w:jc w:val="center"/>
              <w:rPr>
                <w:rFonts w:eastAsia="Times New Roman" w:cs="Calibri"/>
                <w:b/>
                <w:bCs/>
                <w:sz w:val="20"/>
                <w:szCs w:val="20"/>
                <w:highlight w:val="yellow"/>
                <w:lang w:eastAsia="sk-SK"/>
              </w:rPr>
            </w:pPr>
            <w:r w:rsidRPr="00666914">
              <w:rPr>
                <w:rFonts w:cs="Calibri"/>
                <w:color w:val="000000"/>
                <w:sz w:val="20"/>
                <w:szCs w:val="20"/>
              </w:rPr>
              <w:t>50,7</w:t>
            </w:r>
          </w:p>
        </w:tc>
        <w:tc>
          <w:tcPr>
            <w:tcW w:w="1219" w:type="dxa"/>
            <w:tcBorders>
              <w:top w:val="nil"/>
              <w:left w:val="nil"/>
              <w:bottom w:val="dotted" w:sz="4" w:space="0" w:color="auto"/>
              <w:right w:val="nil"/>
            </w:tcBorders>
            <w:shd w:val="clear" w:color="auto" w:fill="auto"/>
            <w:noWrap/>
            <w:vAlign w:val="bottom"/>
          </w:tcPr>
          <w:p w14:paraId="6AC4AE1C"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color w:val="000000"/>
                <w:sz w:val="20"/>
                <w:szCs w:val="20"/>
              </w:rPr>
              <w:t>49,3</w:t>
            </w:r>
          </w:p>
        </w:tc>
        <w:tc>
          <w:tcPr>
            <w:tcW w:w="1219" w:type="dxa"/>
            <w:tcBorders>
              <w:top w:val="nil"/>
              <w:left w:val="nil"/>
              <w:bottom w:val="dotted" w:sz="4" w:space="0" w:color="auto"/>
              <w:right w:val="nil"/>
            </w:tcBorders>
            <w:shd w:val="clear" w:color="auto" w:fill="auto"/>
            <w:noWrap/>
            <w:vAlign w:val="bottom"/>
          </w:tcPr>
          <w:p w14:paraId="16584AB5"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color w:val="000000"/>
                <w:sz w:val="20"/>
                <w:szCs w:val="20"/>
              </w:rPr>
              <w:t>52,2</w:t>
            </w:r>
          </w:p>
        </w:tc>
        <w:tc>
          <w:tcPr>
            <w:tcW w:w="1220" w:type="dxa"/>
            <w:tcBorders>
              <w:top w:val="nil"/>
              <w:left w:val="nil"/>
              <w:bottom w:val="dotted" w:sz="4" w:space="0" w:color="auto"/>
              <w:right w:val="nil"/>
            </w:tcBorders>
            <w:vAlign w:val="bottom"/>
          </w:tcPr>
          <w:p w14:paraId="5436AFD5" w14:textId="77777777" w:rsidR="008A4FED" w:rsidRPr="00666914" w:rsidRDefault="008A4FED" w:rsidP="00F64B85">
            <w:pPr>
              <w:spacing w:after="0"/>
              <w:jc w:val="center"/>
              <w:rPr>
                <w:rFonts w:cs="Calibri"/>
                <w:sz w:val="20"/>
                <w:szCs w:val="20"/>
              </w:rPr>
            </w:pPr>
            <w:r w:rsidRPr="00666914">
              <w:rPr>
                <w:rFonts w:cs="Calibri"/>
                <w:color w:val="000000"/>
                <w:sz w:val="20"/>
                <w:szCs w:val="20"/>
              </w:rPr>
              <w:t>52,1</w:t>
            </w:r>
          </w:p>
        </w:tc>
      </w:tr>
      <w:tr w:rsidR="008A4FED" w:rsidRPr="00666914" w14:paraId="06B807AD" w14:textId="77777777" w:rsidTr="00F64B85">
        <w:trPr>
          <w:trHeight w:val="345"/>
        </w:trPr>
        <w:tc>
          <w:tcPr>
            <w:tcW w:w="4195" w:type="dxa"/>
            <w:tcBorders>
              <w:top w:val="dotted" w:sz="4" w:space="0" w:color="auto"/>
              <w:left w:val="nil"/>
              <w:right w:val="single" w:sz="4" w:space="0" w:color="auto"/>
            </w:tcBorders>
            <w:shd w:val="clear" w:color="auto" w:fill="auto"/>
            <w:noWrap/>
            <w:vAlign w:val="bottom"/>
            <w:hideMark/>
          </w:tcPr>
          <w:p w14:paraId="32CC9F12" w14:textId="77777777" w:rsidR="008A4FED" w:rsidRPr="00666914" w:rsidRDefault="008A4FED" w:rsidP="00F64B85">
            <w:pPr>
              <w:spacing w:after="0"/>
              <w:jc w:val="left"/>
              <w:rPr>
                <w:rFonts w:eastAsia="Times New Roman" w:cs="Calibri"/>
                <w:b/>
                <w:bCs/>
                <w:sz w:val="20"/>
                <w:szCs w:val="20"/>
                <w:lang w:eastAsia="sk-SK"/>
              </w:rPr>
            </w:pPr>
            <w:r w:rsidRPr="00666914">
              <w:rPr>
                <w:rFonts w:eastAsia="Times New Roman" w:cs="Calibri"/>
                <w:b/>
                <w:bCs/>
                <w:sz w:val="20"/>
                <w:szCs w:val="20"/>
                <w:lang w:eastAsia="sk-SK"/>
              </w:rPr>
              <w:t>Medziročná zmena v eur</w:t>
            </w:r>
          </w:p>
        </w:tc>
        <w:tc>
          <w:tcPr>
            <w:tcW w:w="1219" w:type="dxa"/>
            <w:tcBorders>
              <w:top w:val="dotted" w:sz="4" w:space="0" w:color="auto"/>
              <w:left w:val="single" w:sz="4" w:space="0" w:color="auto"/>
              <w:right w:val="nil"/>
            </w:tcBorders>
            <w:shd w:val="clear" w:color="auto" w:fill="auto"/>
            <w:noWrap/>
            <w:vAlign w:val="bottom"/>
          </w:tcPr>
          <w:p w14:paraId="6EFF4F27" w14:textId="77777777" w:rsidR="008A4FED" w:rsidRPr="00666914" w:rsidRDefault="008A4FED" w:rsidP="00F64B85">
            <w:pPr>
              <w:spacing w:after="0"/>
              <w:jc w:val="center"/>
              <w:rPr>
                <w:rFonts w:eastAsia="Times New Roman" w:cs="Calibri"/>
                <w:b/>
                <w:bCs/>
                <w:sz w:val="20"/>
                <w:szCs w:val="20"/>
                <w:highlight w:val="yellow"/>
                <w:lang w:eastAsia="sk-SK"/>
              </w:rPr>
            </w:pPr>
          </w:p>
        </w:tc>
        <w:tc>
          <w:tcPr>
            <w:tcW w:w="1219" w:type="dxa"/>
            <w:tcBorders>
              <w:top w:val="dotted" w:sz="4" w:space="0" w:color="auto"/>
              <w:left w:val="nil"/>
              <w:right w:val="nil"/>
            </w:tcBorders>
            <w:shd w:val="clear" w:color="auto" w:fill="auto"/>
            <w:noWrap/>
            <w:vAlign w:val="bottom"/>
          </w:tcPr>
          <w:p w14:paraId="538C6E4C"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sz w:val="20"/>
                <w:szCs w:val="20"/>
              </w:rPr>
              <w:t>-10,9</w:t>
            </w:r>
          </w:p>
        </w:tc>
        <w:tc>
          <w:tcPr>
            <w:tcW w:w="1219" w:type="dxa"/>
            <w:tcBorders>
              <w:top w:val="dotted" w:sz="4" w:space="0" w:color="auto"/>
              <w:left w:val="nil"/>
              <w:right w:val="nil"/>
            </w:tcBorders>
            <w:shd w:val="clear" w:color="auto" w:fill="auto"/>
            <w:noWrap/>
            <w:vAlign w:val="bottom"/>
          </w:tcPr>
          <w:p w14:paraId="4D703F70"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sz w:val="20"/>
                <w:szCs w:val="20"/>
              </w:rPr>
              <w:t>5,0</w:t>
            </w:r>
          </w:p>
        </w:tc>
        <w:tc>
          <w:tcPr>
            <w:tcW w:w="1220" w:type="dxa"/>
            <w:tcBorders>
              <w:top w:val="dotted" w:sz="4" w:space="0" w:color="auto"/>
              <w:left w:val="nil"/>
              <w:right w:val="nil"/>
            </w:tcBorders>
            <w:vAlign w:val="bottom"/>
          </w:tcPr>
          <w:p w14:paraId="663E7FC1" w14:textId="77777777" w:rsidR="008A4FED" w:rsidRPr="00666914" w:rsidRDefault="008A4FED" w:rsidP="00F64B85">
            <w:pPr>
              <w:spacing w:after="0"/>
              <w:jc w:val="center"/>
              <w:rPr>
                <w:rFonts w:cs="Calibri"/>
                <w:sz w:val="20"/>
                <w:szCs w:val="20"/>
              </w:rPr>
            </w:pPr>
            <w:r w:rsidRPr="00666914">
              <w:rPr>
                <w:rFonts w:cs="Calibri"/>
                <w:sz w:val="20"/>
                <w:szCs w:val="20"/>
              </w:rPr>
              <w:t>-0,2</w:t>
            </w:r>
          </w:p>
        </w:tc>
      </w:tr>
      <w:tr w:rsidR="008A4FED" w:rsidRPr="00666914" w14:paraId="570EC766" w14:textId="77777777" w:rsidTr="00F64B85">
        <w:trPr>
          <w:trHeight w:val="326"/>
        </w:trPr>
        <w:tc>
          <w:tcPr>
            <w:tcW w:w="4195" w:type="dxa"/>
            <w:tcBorders>
              <w:top w:val="nil"/>
              <w:left w:val="nil"/>
              <w:bottom w:val="single" w:sz="4" w:space="0" w:color="auto"/>
              <w:right w:val="single" w:sz="4" w:space="0" w:color="auto"/>
            </w:tcBorders>
            <w:shd w:val="clear" w:color="auto" w:fill="auto"/>
            <w:noWrap/>
            <w:vAlign w:val="bottom"/>
          </w:tcPr>
          <w:p w14:paraId="5D0B354A" w14:textId="77777777" w:rsidR="008A4FED" w:rsidRPr="00666914" w:rsidRDefault="008A4FED" w:rsidP="00F64B85">
            <w:pPr>
              <w:spacing w:after="0"/>
              <w:jc w:val="left"/>
              <w:rPr>
                <w:rFonts w:eastAsia="Times New Roman" w:cs="Calibri"/>
                <w:sz w:val="20"/>
                <w:szCs w:val="20"/>
                <w:lang w:eastAsia="sk-SK"/>
              </w:rPr>
            </w:pPr>
            <w:r w:rsidRPr="00666914">
              <w:rPr>
                <w:rFonts w:eastAsia="Times New Roman" w:cs="Calibri"/>
                <w:b/>
                <w:bCs/>
                <w:sz w:val="20"/>
                <w:szCs w:val="20"/>
                <w:lang w:eastAsia="sk-SK"/>
              </w:rPr>
              <w:t>Medziročná zmena v %</w:t>
            </w:r>
          </w:p>
        </w:tc>
        <w:tc>
          <w:tcPr>
            <w:tcW w:w="1219" w:type="dxa"/>
            <w:tcBorders>
              <w:top w:val="nil"/>
              <w:left w:val="single" w:sz="4" w:space="0" w:color="auto"/>
              <w:bottom w:val="single" w:sz="4" w:space="0" w:color="auto"/>
              <w:right w:val="nil"/>
            </w:tcBorders>
            <w:shd w:val="clear" w:color="auto" w:fill="auto"/>
            <w:noWrap/>
            <w:vAlign w:val="bottom"/>
          </w:tcPr>
          <w:p w14:paraId="12082FA1" w14:textId="77777777" w:rsidR="008A4FED" w:rsidRPr="00666914" w:rsidRDefault="008A4FED" w:rsidP="00F64B85">
            <w:pPr>
              <w:spacing w:after="0"/>
              <w:jc w:val="center"/>
              <w:rPr>
                <w:rFonts w:eastAsia="Times New Roman" w:cs="Calibri"/>
                <w:sz w:val="20"/>
                <w:szCs w:val="20"/>
                <w:highlight w:val="yellow"/>
                <w:lang w:eastAsia="sk-SK"/>
              </w:rPr>
            </w:pPr>
          </w:p>
        </w:tc>
        <w:tc>
          <w:tcPr>
            <w:tcW w:w="1219" w:type="dxa"/>
            <w:tcBorders>
              <w:top w:val="nil"/>
              <w:left w:val="nil"/>
              <w:bottom w:val="single" w:sz="4" w:space="0" w:color="auto"/>
              <w:right w:val="nil"/>
            </w:tcBorders>
            <w:shd w:val="clear" w:color="auto" w:fill="auto"/>
            <w:noWrap/>
            <w:vAlign w:val="bottom"/>
          </w:tcPr>
          <w:p w14:paraId="5F17DB80" w14:textId="77777777" w:rsidR="008A4FED" w:rsidRPr="00666914" w:rsidRDefault="008A4FED" w:rsidP="00F64B85">
            <w:pPr>
              <w:spacing w:after="0"/>
              <w:jc w:val="center"/>
              <w:rPr>
                <w:rFonts w:ascii="Times New Roman" w:eastAsia="Times New Roman" w:hAnsi="Times New Roman"/>
                <w:sz w:val="20"/>
                <w:szCs w:val="20"/>
                <w:highlight w:val="yellow"/>
                <w:lang w:eastAsia="sk-SK"/>
              </w:rPr>
            </w:pPr>
            <w:r w:rsidRPr="00666914">
              <w:rPr>
                <w:rFonts w:cs="Calibri"/>
                <w:sz w:val="20"/>
                <w:szCs w:val="20"/>
              </w:rPr>
              <w:t>-10%</w:t>
            </w:r>
          </w:p>
        </w:tc>
        <w:tc>
          <w:tcPr>
            <w:tcW w:w="1219" w:type="dxa"/>
            <w:tcBorders>
              <w:top w:val="nil"/>
              <w:left w:val="nil"/>
              <w:bottom w:val="single" w:sz="4" w:space="0" w:color="auto"/>
              <w:right w:val="nil"/>
            </w:tcBorders>
            <w:shd w:val="clear" w:color="auto" w:fill="auto"/>
            <w:noWrap/>
            <w:vAlign w:val="bottom"/>
          </w:tcPr>
          <w:p w14:paraId="314C9731" w14:textId="77777777" w:rsidR="008A4FED" w:rsidRPr="00666914" w:rsidRDefault="008A4FED" w:rsidP="00F64B85">
            <w:pPr>
              <w:spacing w:after="0"/>
              <w:jc w:val="center"/>
              <w:rPr>
                <w:rFonts w:ascii="Times New Roman" w:eastAsia="Times New Roman" w:hAnsi="Times New Roman"/>
                <w:sz w:val="20"/>
                <w:szCs w:val="20"/>
                <w:highlight w:val="yellow"/>
                <w:lang w:eastAsia="sk-SK"/>
              </w:rPr>
            </w:pPr>
            <w:r w:rsidRPr="00666914">
              <w:rPr>
                <w:rFonts w:cs="Calibri"/>
                <w:sz w:val="20"/>
                <w:szCs w:val="20"/>
              </w:rPr>
              <w:t>4,8%</w:t>
            </w:r>
          </w:p>
        </w:tc>
        <w:tc>
          <w:tcPr>
            <w:tcW w:w="1220" w:type="dxa"/>
            <w:tcBorders>
              <w:top w:val="nil"/>
              <w:left w:val="nil"/>
              <w:bottom w:val="single" w:sz="4" w:space="0" w:color="auto"/>
              <w:right w:val="nil"/>
            </w:tcBorders>
            <w:vAlign w:val="bottom"/>
          </w:tcPr>
          <w:p w14:paraId="6250F689" w14:textId="77777777" w:rsidR="008A4FED" w:rsidRPr="00666914" w:rsidRDefault="008A4FED" w:rsidP="00F64B85">
            <w:pPr>
              <w:spacing w:after="0"/>
              <w:jc w:val="center"/>
              <w:rPr>
                <w:rFonts w:cs="Calibri"/>
                <w:sz w:val="20"/>
                <w:szCs w:val="20"/>
              </w:rPr>
            </w:pPr>
            <w:r w:rsidRPr="00666914">
              <w:rPr>
                <w:rFonts w:cs="Calibri"/>
                <w:sz w:val="20"/>
                <w:szCs w:val="20"/>
              </w:rPr>
              <w:t>-0,2%</w:t>
            </w:r>
          </w:p>
        </w:tc>
      </w:tr>
    </w:tbl>
    <w:p w14:paraId="6D0487E4" w14:textId="77777777" w:rsidR="008A4FED" w:rsidRPr="00666914" w:rsidRDefault="008A4FED" w:rsidP="004D30E9">
      <w:pPr>
        <w:ind w:firstLine="5954"/>
        <w:jc w:val="right"/>
        <w:rPr>
          <w:i/>
        </w:rPr>
      </w:pPr>
      <w:r w:rsidRPr="00666914">
        <w:rPr>
          <w:i/>
          <w:sz w:val="18"/>
        </w:rPr>
        <w:t>Zdroj: ZP, MZ SR, spracovanie IJ</w:t>
      </w:r>
    </w:p>
    <w:p w14:paraId="61DE2EFC" w14:textId="764E5031" w:rsidR="000260D5" w:rsidRPr="00666914" w:rsidRDefault="008A4FED" w:rsidP="00F64B85">
      <w:r w:rsidRPr="00666914">
        <w:t xml:space="preserve">Medziročne uhradili všetky ZP vyšší počet výkonov (graf 4). Úhrady zároveň rástli v menšej miere ako výkony, vo VšZP sa dokonca znížili (graf 3). </w:t>
      </w:r>
      <w:bookmarkStart w:id="99" w:name="_Toc5636433"/>
      <w:bookmarkStart w:id="100" w:name="_Toc20209170"/>
      <w:r w:rsidRPr="00666914">
        <w:t>Revízia výdavkov I. poukázala na vysokú ziskovosť súkromných poskytovateľov CT a MR vyšetrení a v dôsledku toho aj na priestor pre vyjednanie nižších jednotkových cien poisťovňami. V roku 2019 klesli ceny sledovaných výkonov vo všetkých ZP (tabuľka 1</w:t>
      </w:r>
      <w:r w:rsidR="009F7D9A" w:rsidRPr="00666914">
        <w:t>3</w:t>
      </w:r>
      <w:r w:rsidRPr="00666914">
        <w:t>). Za predpokladu rastúcich nákladov poskytovateľov tak mohlo dôjsť k zníženiu ich ziskových marží. Pre potvrdenie by bola potrebná hlbšia analýza.</w:t>
      </w:r>
    </w:p>
    <w:p w14:paraId="23BD6ED0" w14:textId="77777777" w:rsidR="008A4FED" w:rsidRPr="00666914" w:rsidRDefault="008A4FED" w:rsidP="00F64B85">
      <w:pPr>
        <w:sectPr w:rsidR="008A4FED" w:rsidRPr="00666914" w:rsidSect="00E23C96">
          <w:headerReference w:type="default" r:id="rId18"/>
          <w:footerReference w:type="default" r:id="rId19"/>
          <w:type w:val="continuous"/>
          <w:pgSz w:w="11906" w:h="16838"/>
          <w:pgMar w:top="1440" w:right="1274" w:bottom="1440" w:left="1418" w:header="708" w:footer="708" w:gutter="0"/>
          <w:cols w:space="708"/>
          <w:docGrid w:linePitch="360"/>
        </w:sectPr>
      </w:pPr>
    </w:p>
    <w:p w14:paraId="3550DF4E" w14:textId="5D94C7DB" w:rsidR="008A4FED" w:rsidRPr="00666914" w:rsidRDefault="008A4FED" w:rsidP="00F64B85">
      <w:pPr>
        <w:pBdr>
          <w:bottom w:val="single" w:sz="4" w:space="1" w:color="auto"/>
        </w:pBdr>
        <w:tabs>
          <w:tab w:val="left" w:pos="3900"/>
        </w:tabs>
        <w:rPr>
          <w:b/>
          <w:sz w:val="20"/>
        </w:rPr>
      </w:pPr>
      <w:bookmarkStart w:id="101" w:name="_Toc36547042"/>
      <w:bookmarkStart w:id="102" w:name="_Toc38390047"/>
      <w:r w:rsidRPr="00666914">
        <w:rPr>
          <w:b/>
          <w:sz w:val="20"/>
        </w:rPr>
        <w:t xml:space="preserve">Graf </w:t>
      </w:r>
      <w:r w:rsidRPr="00666914">
        <w:rPr>
          <w:b/>
          <w:sz w:val="20"/>
        </w:rPr>
        <w:fldChar w:fldCharType="begin"/>
      </w:r>
      <w:r w:rsidRPr="00666914">
        <w:rPr>
          <w:b/>
          <w:sz w:val="20"/>
        </w:rPr>
        <w:instrText xml:space="preserve"> SEQ Graf \* ARABIC \* MERGEFORMAT </w:instrText>
      </w:r>
      <w:r w:rsidRPr="00666914">
        <w:rPr>
          <w:b/>
          <w:sz w:val="20"/>
        </w:rPr>
        <w:fldChar w:fldCharType="separate"/>
      </w:r>
      <w:r w:rsidR="005A7304">
        <w:rPr>
          <w:b/>
          <w:noProof/>
          <w:sz w:val="20"/>
        </w:rPr>
        <w:t>3</w:t>
      </w:r>
      <w:r w:rsidRPr="00666914">
        <w:rPr>
          <w:b/>
          <w:sz w:val="20"/>
        </w:rPr>
        <w:fldChar w:fldCharType="end"/>
      </w:r>
      <w:r w:rsidRPr="00666914">
        <w:rPr>
          <w:b/>
          <w:sz w:val="20"/>
        </w:rPr>
        <w:t>: Medziročná zmena úhrad za CT a MR výkony v 2019</w:t>
      </w:r>
      <w:bookmarkStart w:id="103" w:name="_Toc5636434"/>
      <w:bookmarkEnd w:id="99"/>
      <w:bookmarkEnd w:id="100"/>
      <w:bookmarkEnd w:id="101"/>
      <w:bookmarkEnd w:id="102"/>
    </w:p>
    <w:p w14:paraId="7A938095" w14:textId="720D2DE5" w:rsidR="008A4FED" w:rsidRPr="00666914" w:rsidRDefault="008A4FED" w:rsidP="00F64B85">
      <w:pPr>
        <w:pBdr>
          <w:bottom w:val="single" w:sz="4" w:space="1" w:color="auto"/>
        </w:pBdr>
        <w:spacing w:after="0"/>
        <w:jc w:val="left"/>
        <w:rPr>
          <w:b/>
          <w:sz w:val="20"/>
        </w:rPr>
        <w:sectPr w:rsidR="008A4FED" w:rsidRPr="00666914" w:rsidSect="00EF007E">
          <w:type w:val="continuous"/>
          <w:pgSz w:w="11906" w:h="16838"/>
          <w:pgMar w:top="1440" w:right="1274" w:bottom="1440" w:left="1418" w:header="708" w:footer="708" w:gutter="0"/>
          <w:cols w:num="2" w:space="708"/>
          <w:docGrid w:linePitch="360"/>
        </w:sectPr>
      </w:pPr>
      <w:bookmarkStart w:id="104" w:name="_Toc20209171"/>
      <w:bookmarkStart w:id="105" w:name="_Toc36547043"/>
      <w:bookmarkStart w:id="106" w:name="_Toc38390048"/>
      <w:r w:rsidRPr="00666914">
        <w:rPr>
          <w:b/>
          <w:sz w:val="20"/>
        </w:rPr>
        <w:t xml:space="preserve">Graf </w:t>
      </w:r>
      <w:r w:rsidRPr="00666914">
        <w:rPr>
          <w:b/>
          <w:sz w:val="20"/>
        </w:rPr>
        <w:fldChar w:fldCharType="begin"/>
      </w:r>
      <w:r w:rsidRPr="00666914">
        <w:rPr>
          <w:b/>
          <w:sz w:val="20"/>
        </w:rPr>
        <w:instrText xml:space="preserve"> SEQ Graf \* ARABIC \* MERGEFORMAT </w:instrText>
      </w:r>
      <w:r w:rsidRPr="00666914">
        <w:rPr>
          <w:b/>
          <w:sz w:val="20"/>
        </w:rPr>
        <w:fldChar w:fldCharType="separate"/>
      </w:r>
      <w:r w:rsidR="005A7304">
        <w:rPr>
          <w:b/>
          <w:noProof/>
          <w:sz w:val="20"/>
        </w:rPr>
        <w:t>4</w:t>
      </w:r>
      <w:r w:rsidRPr="00666914">
        <w:rPr>
          <w:b/>
          <w:sz w:val="20"/>
        </w:rPr>
        <w:fldChar w:fldCharType="end"/>
      </w:r>
      <w:r w:rsidRPr="00666914">
        <w:rPr>
          <w:b/>
          <w:sz w:val="20"/>
        </w:rPr>
        <w:t>: Medziročná zmena počtu CT a MR výkonov v </w:t>
      </w:r>
      <w:bookmarkEnd w:id="103"/>
      <w:r w:rsidRPr="00666914">
        <w:rPr>
          <w:b/>
          <w:sz w:val="20"/>
        </w:rPr>
        <w:t>2019</w:t>
      </w:r>
      <w:bookmarkEnd w:id="104"/>
      <w:r w:rsidRPr="00666914">
        <w:rPr>
          <w:rStyle w:val="Odkaznapoznmkupodiarou"/>
          <w:b/>
          <w:sz w:val="20"/>
        </w:rPr>
        <w:footnoteReference w:id="25"/>
      </w:r>
      <w:bookmarkEnd w:id="105"/>
      <w:bookmarkEnd w:id="106"/>
    </w:p>
    <w:p w14:paraId="3C3C9F3D" w14:textId="77777777" w:rsidR="000260D5" w:rsidRPr="00666914" w:rsidRDefault="008A4FED" w:rsidP="000260D5">
      <w:pPr>
        <w:spacing w:after="0" w:line="259" w:lineRule="auto"/>
        <w:rPr>
          <w:i/>
          <w:sz w:val="18"/>
        </w:rPr>
      </w:pPr>
      <w:r w:rsidRPr="00666914">
        <w:t xml:space="preserve"> </w:t>
      </w:r>
      <w:r w:rsidRPr="00666914">
        <w:rPr>
          <w:noProof/>
          <w:lang w:eastAsia="sk-SK"/>
        </w:rPr>
        <w:drawing>
          <wp:inline distT="0" distB="0" distL="0" distR="0" wp14:anchorId="133A04BB" wp14:editId="220EAD4D">
            <wp:extent cx="2660073" cy="2072005"/>
            <wp:effectExtent l="0" t="0" r="6985" b="4445"/>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666914">
        <w:rPr>
          <w:noProof/>
          <w:lang w:eastAsia="sk-SK"/>
        </w:rPr>
        <w:t xml:space="preserve"> </w:t>
      </w:r>
      <w:r w:rsidRPr="00666914">
        <w:t xml:space="preserve">             </w:t>
      </w:r>
      <w:r w:rsidRPr="00666914">
        <w:rPr>
          <w:noProof/>
          <w:lang w:eastAsia="sk-SK"/>
        </w:rPr>
        <w:drawing>
          <wp:inline distT="0" distB="0" distL="0" distR="0" wp14:anchorId="715FBE77" wp14:editId="281B2A9B">
            <wp:extent cx="2729345" cy="2082165"/>
            <wp:effectExtent l="0" t="0" r="0" b="0"/>
            <wp:docPr id="46" name="Graf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666914">
        <w:rPr>
          <w:i/>
          <w:sz w:val="18"/>
        </w:rPr>
        <w:t xml:space="preserve">    </w:t>
      </w:r>
    </w:p>
    <w:p w14:paraId="676A0792" w14:textId="77777777" w:rsidR="000260D5" w:rsidRPr="00666914" w:rsidRDefault="000260D5" w:rsidP="000260D5">
      <w:pPr>
        <w:spacing w:after="0" w:line="259" w:lineRule="auto"/>
        <w:rPr>
          <w:i/>
          <w:sz w:val="18"/>
        </w:rPr>
      </w:pPr>
    </w:p>
    <w:p w14:paraId="34A85665" w14:textId="03657C9B" w:rsidR="000260D5" w:rsidRPr="00666914" w:rsidRDefault="008A4FED" w:rsidP="000260D5">
      <w:pPr>
        <w:pBdr>
          <w:top w:val="single" w:sz="4" w:space="1" w:color="auto"/>
        </w:pBdr>
        <w:spacing w:after="0" w:line="259" w:lineRule="auto"/>
        <w:jc w:val="right"/>
        <w:rPr>
          <w:i/>
          <w:sz w:val="18"/>
        </w:rPr>
      </w:pPr>
      <w:r w:rsidRPr="00666914">
        <w:rPr>
          <w:i/>
          <w:sz w:val="18"/>
        </w:rPr>
        <w:t>Zdroj: ZP, MZ SR, spracovanie IJ</w:t>
      </w:r>
      <w:bookmarkStart w:id="107" w:name="_Toc36547033"/>
    </w:p>
    <w:p w14:paraId="4F624328" w14:textId="04A27349" w:rsidR="008A4FED" w:rsidRPr="00666914" w:rsidRDefault="000260D5" w:rsidP="00B72556">
      <w:pPr>
        <w:pBdr>
          <w:bottom w:val="single" w:sz="4" w:space="1" w:color="auto"/>
        </w:pBdr>
        <w:spacing w:after="0"/>
        <w:jc w:val="left"/>
        <w:rPr>
          <w:b/>
          <w:sz w:val="20"/>
        </w:rPr>
      </w:pPr>
      <w:r w:rsidRPr="00666914">
        <w:rPr>
          <w:i/>
          <w:sz w:val="18"/>
        </w:rPr>
        <w:br w:type="page"/>
      </w:r>
      <w:bookmarkStart w:id="108" w:name="_Toc38447674"/>
      <w:r w:rsidR="008A4FED" w:rsidRPr="00666914">
        <w:rPr>
          <w:b/>
          <w:sz w:val="20"/>
        </w:rPr>
        <w:lastRenderedPageBreak/>
        <w:t xml:space="preserve">Tabuľka </w:t>
      </w:r>
      <w:r w:rsidR="008A4FED" w:rsidRPr="00666914">
        <w:rPr>
          <w:b/>
          <w:sz w:val="20"/>
        </w:rPr>
        <w:fldChar w:fldCharType="begin"/>
      </w:r>
      <w:r w:rsidR="008A4FED" w:rsidRPr="00666914">
        <w:rPr>
          <w:b/>
          <w:sz w:val="20"/>
        </w:rPr>
        <w:instrText xml:space="preserve"> SEQ Tabuľka \* ARABIC </w:instrText>
      </w:r>
      <w:r w:rsidR="008A4FED" w:rsidRPr="00666914">
        <w:rPr>
          <w:b/>
          <w:sz w:val="20"/>
        </w:rPr>
        <w:fldChar w:fldCharType="separate"/>
      </w:r>
      <w:r w:rsidR="005A7304">
        <w:rPr>
          <w:b/>
          <w:noProof/>
          <w:sz w:val="20"/>
        </w:rPr>
        <w:t>13</w:t>
      </w:r>
      <w:r w:rsidR="008A4FED" w:rsidRPr="00666914">
        <w:rPr>
          <w:b/>
          <w:sz w:val="20"/>
        </w:rPr>
        <w:fldChar w:fldCharType="end"/>
      </w:r>
      <w:r w:rsidR="008A4FED" w:rsidRPr="00666914">
        <w:rPr>
          <w:b/>
          <w:sz w:val="20"/>
        </w:rPr>
        <w:t>: Jednotkové ceny CT a MR výkonov</w:t>
      </w:r>
      <w:bookmarkEnd w:id="107"/>
      <w:r w:rsidR="008A4FED" w:rsidRPr="00666914">
        <w:rPr>
          <w:b/>
          <w:sz w:val="20"/>
        </w:rPr>
        <w:t xml:space="preserve"> (eur)</w:t>
      </w:r>
      <w:bookmarkEnd w:id="108"/>
    </w:p>
    <w:tbl>
      <w:tblPr>
        <w:tblW w:w="5000" w:type="pct"/>
        <w:tblCellMar>
          <w:left w:w="70" w:type="dxa"/>
          <w:right w:w="70" w:type="dxa"/>
        </w:tblCellMar>
        <w:tblLook w:val="04A0" w:firstRow="1" w:lastRow="0" w:firstColumn="1" w:lastColumn="0" w:noHBand="0" w:noVBand="1"/>
      </w:tblPr>
      <w:tblGrid>
        <w:gridCol w:w="4470"/>
        <w:gridCol w:w="1220"/>
        <w:gridCol w:w="1220"/>
        <w:gridCol w:w="1220"/>
        <w:gridCol w:w="1084"/>
      </w:tblGrid>
      <w:tr w:rsidR="008A4FED" w:rsidRPr="00666914" w14:paraId="298D3C9F" w14:textId="77777777" w:rsidTr="00F64B85">
        <w:trPr>
          <w:trHeight w:val="80"/>
        </w:trPr>
        <w:tc>
          <w:tcPr>
            <w:tcW w:w="2426" w:type="pct"/>
            <w:tcBorders>
              <w:left w:val="nil"/>
              <w:bottom w:val="single" w:sz="4" w:space="0" w:color="auto"/>
              <w:right w:val="single" w:sz="4" w:space="0" w:color="auto"/>
            </w:tcBorders>
            <w:shd w:val="clear" w:color="auto" w:fill="auto"/>
            <w:noWrap/>
            <w:vAlign w:val="bottom"/>
            <w:hideMark/>
          </w:tcPr>
          <w:p w14:paraId="07B7293B" w14:textId="77777777" w:rsidR="008A4FED" w:rsidRPr="00666914" w:rsidRDefault="008A4FED" w:rsidP="00F64B85">
            <w:pPr>
              <w:spacing w:after="0"/>
              <w:jc w:val="left"/>
              <w:rPr>
                <w:rFonts w:eastAsia="Times New Roman" w:cs="Calibri"/>
                <w:b/>
                <w:bCs/>
                <w:sz w:val="20"/>
                <w:szCs w:val="20"/>
                <w:lang w:eastAsia="sk-SK"/>
              </w:rPr>
            </w:pPr>
            <w:r w:rsidRPr="00666914">
              <w:rPr>
                <w:rFonts w:eastAsia="Times New Roman" w:cs="Calibri"/>
                <w:b/>
                <w:bCs/>
                <w:sz w:val="20"/>
                <w:szCs w:val="20"/>
                <w:lang w:eastAsia="sk-SK"/>
              </w:rPr>
              <w:t> </w:t>
            </w:r>
          </w:p>
        </w:tc>
        <w:tc>
          <w:tcPr>
            <w:tcW w:w="662" w:type="pct"/>
            <w:tcBorders>
              <w:left w:val="single" w:sz="4" w:space="0" w:color="auto"/>
              <w:bottom w:val="single" w:sz="4" w:space="0" w:color="auto"/>
              <w:right w:val="nil"/>
            </w:tcBorders>
            <w:vAlign w:val="bottom"/>
          </w:tcPr>
          <w:p w14:paraId="18B56BCA" w14:textId="77777777" w:rsidR="008A4FED" w:rsidRPr="00666914" w:rsidRDefault="008A4FED" w:rsidP="00F64B85">
            <w:pPr>
              <w:spacing w:after="0"/>
              <w:jc w:val="center"/>
              <w:rPr>
                <w:rFonts w:cs="Calibri"/>
                <w:b/>
                <w:bCs/>
                <w:sz w:val="20"/>
                <w:szCs w:val="20"/>
              </w:rPr>
            </w:pPr>
            <w:r w:rsidRPr="00666914">
              <w:rPr>
                <w:rFonts w:cs="Calibri"/>
                <w:b/>
                <w:bCs/>
                <w:sz w:val="20"/>
                <w:szCs w:val="20"/>
              </w:rPr>
              <w:t>2016</w:t>
            </w:r>
          </w:p>
        </w:tc>
        <w:tc>
          <w:tcPr>
            <w:tcW w:w="662" w:type="pct"/>
            <w:tcBorders>
              <w:left w:val="nil"/>
              <w:bottom w:val="single" w:sz="4" w:space="0" w:color="auto"/>
            </w:tcBorders>
            <w:vAlign w:val="bottom"/>
          </w:tcPr>
          <w:p w14:paraId="02F4F66F" w14:textId="77777777" w:rsidR="008A4FED" w:rsidRPr="00666914" w:rsidRDefault="008A4FED" w:rsidP="00F64B85">
            <w:pPr>
              <w:spacing w:after="0"/>
              <w:jc w:val="center"/>
              <w:rPr>
                <w:rFonts w:cs="Calibri"/>
                <w:b/>
                <w:bCs/>
                <w:sz w:val="20"/>
                <w:szCs w:val="20"/>
              </w:rPr>
            </w:pPr>
            <w:r w:rsidRPr="00666914">
              <w:rPr>
                <w:rFonts w:cs="Calibri"/>
                <w:b/>
                <w:bCs/>
                <w:sz w:val="20"/>
                <w:szCs w:val="20"/>
              </w:rPr>
              <w:t>2017</w:t>
            </w:r>
          </w:p>
        </w:tc>
        <w:tc>
          <w:tcPr>
            <w:tcW w:w="662" w:type="pct"/>
            <w:tcBorders>
              <w:top w:val="nil"/>
              <w:left w:val="nil"/>
              <w:bottom w:val="single" w:sz="4" w:space="0" w:color="auto"/>
              <w:right w:val="nil"/>
            </w:tcBorders>
            <w:shd w:val="clear" w:color="auto" w:fill="auto"/>
            <w:noWrap/>
            <w:vAlign w:val="bottom"/>
            <w:hideMark/>
          </w:tcPr>
          <w:p w14:paraId="0A9EAFD5" w14:textId="77777777" w:rsidR="008A4FED" w:rsidRPr="00666914" w:rsidRDefault="008A4FED" w:rsidP="00F64B85">
            <w:pPr>
              <w:spacing w:after="0"/>
              <w:jc w:val="center"/>
              <w:rPr>
                <w:rFonts w:eastAsia="Times New Roman" w:cs="Calibri"/>
                <w:b/>
                <w:bCs/>
                <w:sz w:val="20"/>
                <w:szCs w:val="20"/>
                <w:highlight w:val="yellow"/>
                <w:lang w:eastAsia="sk-SK"/>
              </w:rPr>
            </w:pPr>
            <w:r w:rsidRPr="00666914">
              <w:rPr>
                <w:rFonts w:cs="Calibri"/>
                <w:b/>
                <w:bCs/>
                <w:sz w:val="20"/>
                <w:szCs w:val="20"/>
              </w:rPr>
              <w:t>2018</w:t>
            </w:r>
          </w:p>
        </w:tc>
        <w:tc>
          <w:tcPr>
            <w:tcW w:w="588" w:type="pct"/>
            <w:tcBorders>
              <w:top w:val="nil"/>
              <w:left w:val="nil"/>
              <w:bottom w:val="single" w:sz="4" w:space="0" w:color="auto"/>
              <w:right w:val="nil"/>
            </w:tcBorders>
            <w:shd w:val="clear" w:color="auto" w:fill="auto"/>
            <w:noWrap/>
            <w:vAlign w:val="bottom"/>
            <w:hideMark/>
          </w:tcPr>
          <w:p w14:paraId="04CC3801" w14:textId="77777777" w:rsidR="008A4FED" w:rsidRPr="00666914" w:rsidRDefault="008A4FED" w:rsidP="00F64B85">
            <w:pPr>
              <w:spacing w:after="0"/>
              <w:jc w:val="center"/>
              <w:rPr>
                <w:rFonts w:eastAsia="Times New Roman" w:cs="Calibri"/>
                <w:b/>
                <w:bCs/>
                <w:sz w:val="20"/>
                <w:szCs w:val="20"/>
                <w:highlight w:val="yellow"/>
                <w:lang w:eastAsia="sk-SK"/>
              </w:rPr>
            </w:pPr>
            <w:r w:rsidRPr="00666914">
              <w:rPr>
                <w:rFonts w:cs="Calibri"/>
                <w:b/>
                <w:bCs/>
                <w:sz w:val="20"/>
                <w:szCs w:val="20"/>
              </w:rPr>
              <w:t>2019</w:t>
            </w:r>
          </w:p>
        </w:tc>
      </w:tr>
      <w:tr w:rsidR="008A4FED" w:rsidRPr="00666914" w14:paraId="78EC2F62" w14:textId="77777777" w:rsidTr="00F64B85">
        <w:trPr>
          <w:trHeight w:val="283"/>
        </w:trPr>
        <w:tc>
          <w:tcPr>
            <w:tcW w:w="2426" w:type="pct"/>
            <w:tcBorders>
              <w:top w:val="single" w:sz="4" w:space="0" w:color="auto"/>
              <w:left w:val="nil"/>
              <w:right w:val="single" w:sz="4" w:space="0" w:color="auto"/>
            </w:tcBorders>
            <w:shd w:val="clear" w:color="auto" w:fill="auto"/>
            <w:noWrap/>
            <w:vAlign w:val="center"/>
            <w:hideMark/>
          </w:tcPr>
          <w:p w14:paraId="2A5B682C" w14:textId="77777777" w:rsidR="008A4FED" w:rsidRPr="00666914" w:rsidRDefault="008A4FED" w:rsidP="00F64B85">
            <w:pPr>
              <w:spacing w:after="0"/>
              <w:jc w:val="left"/>
              <w:rPr>
                <w:rFonts w:eastAsia="Times New Roman" w:cs="Calibri"/>
                <w:b/>
                <w:bCs/>
                <w:sz w:val="20"/>
                <w:szCs w:val="20"/>
                <w:lang w:eastAsia="sk-SK"/>
              </w:rPr>
            </w:pPr>
            <w:r w:rsidRPr="00666914">
              <w:rPr>
                <w:rFonts w:eastAsia="Times New Roman" w:cs="Calibri"/>
                <w:b/>
                <w:bCs/>
                <w:sz w:val="20"/>
                <w:szCs w:val="20"/>
                <w:lang w:eastAsia="sk-SK"/>
              </w:rPr>
              <w:t>Jednotková cena CT výkonu</w:t>
            </w:r>
          </w:p>
        </w:tc>
        <w:tc>
          <w:tcPr>
            <w:tcW w:w="662" w:type="pct"/>
            <w:tcBorders>
              <w:left w:val="single" w:sz="4" w:space="0" w:color="auto"/>
            </w:tcBorders>
          </w:tcPr>
          <w:p w14:paraId="0FB82CB7" w14:textId="77777777" w:rsidR="008A4FED" w:rsidRPr="00666914" w:rsidRDefault="008A4FED" w:rsidP="00E85EF4">
            <w:pPr>
              <w:spacing w:after="0"/>
              <w:jc w:val="center"/>
              <w:rPr>
                <w:rFonts w:eastAsia="Times New Roman" w:cs="Calibri"/>
                <w:sz w:val="20"/>
                <w:szCs w:val="20"/>
                <w:highlight w:val="yellow"/>
                <w:lang w:eastAsia="sk-SK"/>
              </w:rPr>
            </w:pPr>
          </w:p>
        </w:tc>
        <w:tc>
          <w:tcPr>
            <w:tcW w:w="662" w:type="pct"/>
          </w:tcPr>
          <w:p w14:paraId="27981BF5" w14:textId="77777777" w:rsidR="008A4FED" w:rsidRPr="00666914" w:rsidRDefault="008A4FED" w:rsidP="00E85EF4">
            <w:pPr>
              <w:spacing w:after="0"/>
              <w:jc w:val="center"/>
              <w:rPr>
                <w:rFonts w:eastAsia="Times New Roman" w:cs="Calibri"/>
                <w:sz w:val="20"/>
                <w:szCs w:val="20"/>
                <w:highlight w:val="yellow"/>
                <w:lang w:eastAsia="sk-SK"/>
              </w:rPr>
            </w:pPr>
          </w:p>
        </w:tc>
        <w:tc>
          <w:tcPr>
            <w:tcW w:w="662" w:type="pct"/>
            <w:shd w:val="clear" w:color="auto" w:fill="auto"/>
            <w:noWrap/>
            <w:vAlign w:val="bottom"/>
          </w:tcPr>
          <w:p w14:paraId="117557AE" w14:textId="77777777" w:rsidR="008A4FED" w:rsidRPr="00666914" w:rsidRDefault="008A4FED" w:rsidP="00E85EF4">
            <w:pPr>
              <w:spacing w:after="0"/>
              <w:jc w:val="center"/>
              <w:rPr>
                <w:rFonts w:eastAsia="Times New Roman" w:cs="Calibri"/>
                <w:sz w:val="20"/>
                <w:szCs w:val="20"/>
                <w:highlight w:val="yellow"/>
                <w:lang w:eastAsia="sk-SK"/>
              </w:rPr>
            </w:pPr>
          </w:p>
        </w:tc>
        <w:tc>
          <w:tcPr>
            <w:tcW w:w="588" w:type="pct"/>
            <w:tcBorders>
              <w:right w:val="nil"/>
            </w:tcBorders>
            <w:shd w:val="clear" w:color="auto" w:fill="auto"/>
            <w:noWrap/>
            <w:vAlign w:val="bottom"/>
          </w:tcPr>
          <w:p w14:paraId="5DB1613C" w14:textId="77777777" w:rsidR="008A4FED" w:rsidRPr="00666914" w:rsidRDefault="008A4FED" w:rsidP="00E85EF4">
            <w:pPr>
              <w:spacing w:after="0"/>
              <w:jc w:val="center"/>
              <w:rPr>
                <w:rFonts w:eastAsia="Times New Roman" w:cs="Calibri"/>
                <w:sz w:val="20"/>
                <w:szCs w:val="20"/>
                <w:highlight w:val="yellow"/>
                <w:lang w:eastAsia="sk-SK"/>
              </w:rPr>
            </w:pPr>
          </w:p>
        </w:tc>
      </w:tr>
      <w:tr w:rsidR="008A4FED" w:rsidRPr="00666914" w14:paraId="6F721E74" w14:textId="77777777" w:rsidTr="00F64B85">
        <w:trPr>
          <w:trHeight w:val="283"/>
        </w:trPr>
        <w:tc>
          <w:tcPr>
            <w:tcW w:w="2426" w:type="pct"/>
            <w:tcBorders>
              <w:left w:val="nil"/>
              <w:right w:val="single" w:sz="4" w:space="0" w:color="auto"/>
            </w:tcBorders>
            <w:shd w:val="clear" w:color="auto" w:fill="auto"/>
            <w:noWrap/>
            <w:vAlign w:val="center"/>
          </w:tcPr>
          <w:p w14:paraId="17E2B4B8" w14:textId="77777777" w:rsidR="008A4FED" w:rsidRPr="00666914" w:rsidRDefault="008A4FED" w:rsidP="00F64B85">
            <w:pPr>
              <w:spacing w:after="0"/>
              <w:jc w:val="left"/>
              <w:rPr>
                <w:rFonts w:eastAsia="Times New Roman" w:cs="Calibri"/>
                <w:bCs/>
                <w:sz w:val="20"/>
                <w:szCs w:val="20"/>
                <w:lang w:eastAsia="sk-SK"/>
              </w:rPr>
            </w:pPr>
            <w:r w:rsidRPr="00666914">
              <w:rPr>
                <w:rFonts w:eastAsia="Times New Roman" w:cs="Calibri"/>
                <w:bCs/>
                <w:sz w:val="20"/>
                <w:szCs w:val="20"/>
                <w:lang w:eastAsia="sk-SK"/>
              </w:rPr>
              <w:t xml:space="preserve">   VšZP</w:t>
            </w:r>
          </w:p>
        </w:tc>
        <w:tc>
          <w:tcPr>
            <w:tcW w:w="662" w:type="pct"/>
            <w:tcBorders>
              <w:left w:val="single" w:sz="4" w:space="0" w:color="auto"/>
            </w:tcBorders>
            <w:vAlign w:val="center"/>
          </w:tcPr>
          <w:p w14:paraId="6F3BC2E5" w14:textId="77777777" w:rsidR="008A4FED" w:rsidRPr="00666914" w:rsidRDefault="008A4FED" w:rsidP="00F64B85">
            <w:pPr>
              <w:spacing w:after="0"/>
              <w:jc w:val="center"/>
              <w:rPr>
                <w:rFonts w:cs="Calibri"/>
                <w:sz w:val="20"/>
                <w:szCs w:val="20"/>
              </w:rPr>
            </w:pPr>
            <w:r w:rsidRPr="00666914">
              <w:rPr>
                <w:sz w:val="20"/>
                <w:szCs w:val="20"/>
              </w:rPr>
              <w:t>63,9</w:t>
            </w:r>
          </w:p>
        </w:tc>
        <w:tc>
          <w:tcPr>
            <w:tcW w:w="662" w:type="pct"/>
            <w:vAlign w:val="center"/>
          </w:tcPr>
          <w:p w14:paraId="62B0B30A" w14:textId="77777777" w:rsidR="008A4FED" w:rsidRPr="00666914" w:rsidRDefault="008A4FED" w:rsidP="00F64B85">
            <w:pPr>
              <w:spacing w:after="0"/>
              <w:jc w:val="center"/>
              <w:rPr>
                <w:rFonts w:cs="Calibri"/>
                <w:sz w:val="20"/>
                <w:szCs w:val="20"/>
              </w:rPr>
            </w:pPr>
            <w:r w:rsidRPr="00666914">
              <w:rPr>
                <w:sz w:val="20"/>
                <w:szCs w:val="20"/>
              </w:rPr>
              <w:t>52,7</w:t>
            </w:r>
          </w:p>
        </w:tc>
        <w:tc>
          <w:tcPr>
            <w:tcW w:w="662" w:type="pct"/>
            <w:shd w:val="clear" w:color="auto" w:fill="auto"/>
            <w:noWrap/>
            <w:vAlign w:val="center"/>
          </w:tcPr>
          <w:p w14:paraId="2FD17D8C" w14:textId="77777777" w:rsidR="008A4FED" w:rsidRPr="00666914" w:rsidRDefault="008A4FED" w:rsidP="00F64B85">
            <w:pPr>
              <w:spacing w:after="0"/>
              <w:jc w:val="center"/>
              <w:rPr>
                <w:rFonts w:cs="Calibri"/>
                <w:sz w:val="20"/>
                <w:szCs w:val="20"/>
                <w:highlight w:val="yellow"/>
              </w:rPr>
            </w:pPr>
            <w:r w:rsidRPr="00666914">
              <w:rPr>
                <w:sz w:val="20"/>
                <w:szCs w:val="20"/>
              </w:rPr>
              <w:t>54,6</w:t>
            </w:r>
          </w:p>
        </w:tc>
        <w:tc>
          <w:tcPr>
            <w:tcW w:w="588" w:type="pct"/>
            <w:tcBorders>
              <w:right w:val="nil"/>
            </w:tcBorders>
            <w:shd w:val="clear" w:color="auto" w:fill="auto"/>
            <w:noWrap/>
            <w:vAlign w:val="center"/>
          </w:tcPr>
          <w:p w14:paraId="12CA2174" w14:textId="77777777" w:rsidR="008A4FED" w:rsidRPr="00666914" w:rsidRDefault="008A4FED" w:rsidP="00F64B85">
            <w:pPr>
              <w:spacing w:after="0"/>
              <w:jc w:val="center"/>
              <w:rPr>
                <w:rFonts w:cs="Calibri"/>
                <w:sz w:val="20"/>
                <w:szCs w:val="20"/>
                <w:highlight w:val="yellow"/>
              </w:rPr>
            </w:pPr>
            <w:r w:rsidRPr="00666914">
              <w:rPr>
                <w:sz w:val="20"/>
                <w:szCs w:val="20"/>
              </w:rPr>
              <w:t>51,6</w:t>
            </w:r>
          </w:p>
        </w:tc>
      </w:tr>
      <w:tr w:rsidR="008A4FED" w:rsidRPr="00666914" w14:paraId="47FEB1F3" w14:textId="77777777" w:rsidTr="00F64B85">
        <w:trPr>
          <w:trHeight w:val="283"/>
        </w:trPr>
        <w:tc>
          <w:tcPr>
            <w:tcW w:w="2426" w:type="pct"/>
            <w:tcBorders>
              <w:left w:val="nil"/>
              <w:right w:val="single" w:sz="4" w:space="0" w:color="auto"/>
            </w:tcBorders>
            <w:shd w:val="clear" w:color="auto" w:fill="auto"/>
            <w:noWrap/>
            <w:vAlign w:val="center"/>
          </w:tcPr>
          <w:p w14:paraId="080734A4" w14:textId="77777777" w:rsidR="008A4FED" w:rsidRPr="00666914" w:rsidRDefault="008A4FED" w:rsidP="00F64B85">
            <w:pPr>
              <w:spacing w:after="0"/>
              <w:jc w:val="left"/>
              <w:rPr>
                <w:rFonts w:eastAsia="Times New Roman" w:cs="Calibri"/>
                <w:bCs/>
                <w:sz w:val="20"/>
                <w:szCs w:val="20"/>
                <w:lang w:eastAsia="sk-SK"/>
              </w:rPr>
            </w:pPr>
            <w:r w:rsidRPr="00666914">
              <w:rPr>
                <w:rFonts w:eastAsia="Times New Roman" w:cs="Calibri"/>
                <w:bCs/>
                <w:sz w:val="20"/>
                <w:szCs w:val="20"/>
                <w:lang w:eastAsia="sk-SK"/>
              </w:rPr>
              <w:t xml:space="preserve">   Dôvera</w:t>
            </w:r>
          </w:p>
        </w:tc>
        <w:tc>
          <w:tcPr>
            <w:tcW w:w="662" w:type="pct"/>
            <w:tcBorders>
              <w:left w:val="single" w:sz="4" w:space="0" w:color="auto"/>
            </w:tcBorders>
            <w:vAlign w:val="center"/>
          </w:tcPr>
          <w:p w14:paraId="177B2BA8" w14:textId="77777777" w:rsidR="008A4FED" w:rsidRPr="00666914" w:rsidRDefault="008A4FED" w:rsidP="00F64B85">
            <w:pPr>
              <w:spacing w:after="0"/>
              <w:jc w:val="center"/>
              <w:rPr>
                <w:rFonts w:cs="Calibri"/>
                <w:sz w:val="20"/>
                <w:szCs w:val="20"/>
              </w:rPr>
            </w:pPr>
            <w:r w:rsidRPr="00666914">
              <w:rPr>
                <w:sz w:val="20"/>
                <w:szCs w:val="20"/>
              </w:rPr>
              <w:t>63,5</w:t>
            </w:r>
          </w:p>
        </w:tc>
        <w:tc>
          <w:tcPr>
            <w:tcW w:w="662" w:type="pct"/>
            <w:vAlign w:val="center"/>
          </w:tcPr>
          <w:p w14:paraId="6B4688B9" w14:textId="77777777" w:rsidR="008A4FED" w:rsidRPr="00666914" w:rsidRDefault="008A4FED" w:rsidP="00F64B85">
            <w:pPr>
              <w:spacing w:after="0"/>
              <w:jc w:val="center"/>
              <w:rPr>
                <w:rFonts w:cs="Calibri"/>
                <w:sz w:val="20"/>
                <w:szCs w:val="20"/>
              </w:rPr>
            </w:pPr>
            <w:r w:rsidRPr="00666914">
              <w:rPr>
                <w:sz w:val="20"/>
                <w:szCs w:val="20"/>
              </w:rPr>
              <w:t>57,6</w:t>
            </w:r>
          </w:p>
        </w:tc>
        <w:tc>
          <w:tcPr>
            <w:tcW w:w="662" w:type="pct"/>
            <w:shd w:val="clear" w:color="auto" w:fill="auto"/>
            <w:noWrap/>
            <w:vAlign w:val="center"/>
          </w:tcPr>
          <w:p w14:paraId="0BF7FFFF" w14:textId="77777777" w:rsidR="008A4FED" w:rsidRPr="00666914" w:rsidRDefault="008A4FED" w:rsidP="00F64B85">
            <w:pPr>
              <w:spacing w:after="0"/>
              <w:jc w:val="center"/>
              <w:rPr>
                <w:rFonts w:cs="Calibri"/>
                <w:sz w:val="20"/>
                <w:szCs w:val="20"/>
                <w:highlight w:val="yellow"/>
              </w:rPr>
            </w:pPr>
            <w:r w:rsidRPr="00666914">
              <w:rPr>
                <w:sz w:val="20"/>
                <w:szCs w:val="20"/>
              </w:rPr>
              <w:t>54,1</w:t>
            </w:r>
          </w:p>
        </w:tc>
        <w:tc>
          <w:tcPr>
            <w:tcW w:w="588" w:type="pct"/>
            <w:tcBorders>
              <w:right w:val="nil"/>
            </w:tcBorders>
            <w:shd w:val="clear" w:color="auto" w:fill="auto"/>
            <w:noWrap/>
            <w:vAlign w:val="center"/>
          </w:tcPr>
          <w:p w14:paraId="44248492" w14:textId="77777777" w:rsidR="008A4FED" w:rsidRPr="00666914" w:rsidRDefault="008A4FED" w:rsidP="00F64B85">
            <w:pPr>
              <w:spacing w:after="0"/>
              <w:jc w:val="center"/>
              <w:rPr>
                <w:rFonts w:cs="Calibri"/>
                <w:sz w:val="20"/>
                <w:szCs w:val="20"/>
                <w:highlight w:val="yellow"/>
              </w:rPr>
            </w:pPr>
            <w:r w:rsidRPr="00666914">
              <w:rPr>
                <w:sz w:val="20"/>
                <w:szCs w:val="20"/>
              </w:rPr>
              <w:t>54,1</w:t>
            </w:r>
          </w:p>
        </w:tc>
      </w:tr>
      <w:tr w:rsidR="008A4FED" w:rsidRPr="00666914" w14:paraId="6D49FC4F" w14:textId="77777777" w:rsidTr="00F64B85">
        <w:trPr>
          <w:trHeight w:val="283"/>
        </w:trPr>
        <w:tc>
          <w:tcPr>
            <w:tcW w:w="2426" w:type="pct"/>
            <w:tcBorders>
              <w:left w:val="nil"/>
              <w:bottom w:val="single" w:sz="4" w:space="0" w:color="auto"/>
              <w:right w:val="single" w:sz="4" w:space="0" w:color="auto"/>
            </w:tcBorders>
            <w:shd w:val="clear" w:color="auto" w:fill="auto"/>
            <w:noWrap/>
            <w:vAlign w:val="center"/>
          </w:tcPr>
          <w:p w14:paraId="10FD9A1C" w14:textId="77777777" w:rsidR="008A4FED" w:rsidRPr="00666914" w:rsidRDefault="008A4FED" w:rsidP="00F64B85">
            <w:pPr>
              <w:spacing w:after="0"/>
              <w:jc w:val="left"/>
              <w:rPr>
                <w:rFonts w:eastAsia="Times New Roman" w:cs="Calibri"/>
                <w:bCs/>
                <w:sz w:val="20"/>
                <w:szCs w:val="20"/>
                <w:lang w:eastAsia="sk-SK"/>
              </w:rPr>
            </w:pPr>
            <w:r w:rsidRPr="00666914">
              <w:rPr>
                <w:rFonts w:eastAsia="Times New Roman" w:cs="Calibri"/>
                <w:bCs/>
                <w:sz w:val="20"/>
                <w:szCs w:val="20"/>
                <w:lang w:eastAsia="sk-SK"/>
              </w:rPr>
              <w:t xml:space="preserve">   Union</w:t>
            </w:r>
          </w:p>
        </w:tc>
        <w:tc>
          <w:tcPr>
            <w:tcW w:w="662" w:type="pct"/>
            <w:tcBorders>
              <w:left w:val="single" w:sz="4" w:space="0" w:color="auto"/>
              <w:bottom w:val="single" w:sz="4" w:space="0" w:color="auto"/>
            </w:tcBorders>
            <w:vAlign w:val="center"/>
          </w:tcPr>
          <w:p w14:paraId="6C0DEE0C" w14:textId="77777777" w:rsidR="008A4FED" w:rsidRPr="00666914" w:rsidRDefault="008A4FED" w:rsidP="00F64B85">
            <w:pPr>
              <w:spacing w:after="0"/>
              <w:jc w:val="center"/>
              <w:rPr>
                <w:rFonts w:cs="Calibri"/>
                <w:sz w:val="20"/>
                <w:szCs w:val="20"/>
              </w:rPr>
            </w:pPr>
            <w:r w:rsidRPr="00666914">
              <w:rPr>
                <w:sz w:val="20"/>
                <w:szCs w:val="20"/>
              </w:rPr>
              <w:t>60,6</w:t>
            </w:r>
          </w:p>
        </w:tc>
        <w:tc>
          <w:tcPr>
            <w:tcW w:w="662" w:type="pct"/>
            <w:tcBorders>
              <w:bottom w:val="single" w:sz="4" w:space="0" w:color="auto"/>
            </w:tcBorders>
            <w:vAlign w:val="center"/>
          </w:tcPr>
          <w:p w14:paraId="6D72464E" w14:textId="77777777" w:rsidR="008A4FED" w:rsidRPr="00666914" w:rsidRDefault="008A4FED" w:rsidP="00F64B85">
            <w:pPr>
              <w:spacing w:after="0"/>
              <w:jc w:val="center"/>
              <w:rPr>
                <w:rFonts w:cs="Calibri"/>
                <w:sz w:val="20"/>
                <w:szCs w:val="20"/>
              </w:rPr>
            </w:pPr>
            <w:r w:rsidRPr="00666914">
              <w:rPr>
                <w:sz w:val="20"/>
                <w:szCs w:val="20"/>
              </w:rPr>
              <w:t>57,0</w:t>
            </w:r>
          </w:p>
        </w:tc>
        <w:tc>
          <w:tcPr>
            <w:tcW w:w="662" w:type="pct"/>
            <w:tcBorders>
              <w:bottom w:val="single" w:sz="4" w:space="0" w:color="auto"/>
            </w:tcBorders>
            <w:shd w:val="clear" w:color="auto" w:fill="auto"/>
            <w:noWrap/>
            <w:vAlign w:val="center"/>
          </w:tcPr>
          <w:p w14:paraId="54001998" w14:textId="77777777" w:rsidR="008A4FED" w:rsidRPr="00666914" w:rsidRDefault="008A4FED" w:rsidP="00F64B85">
            <w:pPr>
              <w:spacing w:after="0"/>
              <w:jc w:val="center"/>
              <w:rPr>
                <w:rFonts w:cs="Calibri"/>
                <w:sz w:val="20"/>
                <w:szCs w:val="20"/>
                <w:highlight w:val="yellow"/>
              </w:rPr>
            </w:pPr>
            <w:r w:rsidRPr="00666914">
              <w:rPr>
                <w:sz w:val="20"/>
                <w:szCs w:val="20"/>
              </w:rPr>
              <w:t>61,2</w:t>
            </w:r>
          </w:p>
        </w:tc>
        <w:tc>
          <w:tcPr>
            <w:tcW w:w="588" w:type="pct"/>
            <w:tcBorders>
              <w:bottom w:val="single" w:sz="4" w:space="0" w:color="auto"/>
              <w:right w:val="nil"/>
            </w:tcBorders>
            <w:shd w:val="clear" w:color="auto" w:fill="auto"/>
            <w:noWrap/>
            <w:vAlign w:val="center"/>
          </w:tcPr>
          <w:p w14:paraId="22E2AE6B" w14:textId="77777777" w:rsidR="008A4FED" w:rsidRPr="00666914" w:rsidRDefault="008A4FED" w:rsidP="00F64B85">
            <w:pPr>
              <w:spacing w:after="0"/>
              <w:jc w:val="center"/>
              <w:rPr>
                <w:rFonts w:cs="Calibri"/>
                <w:sz w:val="20"/>
                <w:szCs w:val="20"/>
                <w:highlight w:val="yellow"/>
              </w:rPr>
            </w:pPr>
            <w:r w:rsidRPr="00666914">
              <w:rPr>
                <w:sz w:val="20"/>
                <w:szCs w:val="20"/>
              </w:rPr>
              <w:t>58,8</w:t>
            </w:r>
          </w:p>
        </w:tc>
      </w:tr>
      <w:tr w:rsidR="008A4FED" w:rsidRPr="00666914" w14:paraId="3999AED9" w14:textId="77777777" w:rsidTr="00F64B85">
        <w:trPr>
          <w:trHeight w:val="283"/>
        </w:trPr>
        <w:tc>
          <w:tcPr>
            <w:tcW w:w="2426" w:type="pct"/>
            <w:tcBorders>
              <w:top w:val="single" w:sz="4" w:space="0" w:color="auto"/>
              <w:left w:val="nil"/>
              <w:bottom w:val="nil"/>
              <w:right w:val="single" w:sz="4" w:space="0" w:color="auto"/>
            </w:tcBorders>
            <w:shd w:val="clear" w:color="auto" w:fill="auto"/>
            <w:noWrap/>
            <w:vAlign w:val="center"/>
          </w:tcPr>
          <w:p w14:paraId="4A6160CE" w14:textId="77777777" w:rsidR="008A4FED" w:rsidRPr="00666914" w:rsidRDefault="008A4FED" w:rsidP="00F64B85">
            <w:pPr>
              <w:spacing w:after="0"/>
              <w:jc w:val="left"/>
              <w:rPr>
                <w:rFonts w:eastAsia="Times New Roman" w:cs="Calibri"/>
                <w:sz w:val="20"/>
                <w:szCs w:val="20"/>
                <w:lang w:eastAsia="sk-SK"/>
              </w:rPr>
            </w:pPr>
            <w:r w:rsidRPr="00666914">
              <w:rPr>
                <w:rFonts w:eastAsia="Times New Roman" w:cs="Calibri"/>
                <w:b/>
                <w:bCs/>
                <w:sz w:val="20"/>
                <w:szCs w:val="20"/>
                <w:lang w:eastAsia="sk-SK"/>
              </w:rPr>
              <w:t>Jednotková cena MR výkonu</w:t>
            </w:r>
          </w:p>
        </w:tc>
        <w:tc>
          <w:tcPr>
            <w:tcW w:w="662" w:type="pct"/>
            <w:tcBorders>
              <w:top w:val="single" w:sz="4" w:space="0" w:color="auto"/>
              <w:left w:val="single" w:sz="4" w:space="0" w:color="auto"/>
              <w:bottom w:val="nil"/>
            </w:tcBorders>
            <w:vAlign w:val="center"/>
          </w:tcPr>
          <w:p w14:paraId="14CB8D4A" w14:textId="77777777" w:rsidR="008A4FED" w:rsidRPr="00666914" w:rsidRDefault="008A4FED" w:rsidP="00F64B85">
            <w:pPr>
              <w:spacing w:after="0"/>
              <w:jc w:val="center"/>
              <w:rPr>
                <w:rFonts w:ascii="Times New Roman" w:eastAsia="Times New Roman" w:hAnsi="Times New Roman"/>
                <w:sz w:val="20"/>
                <w:szCs w:val="20"/>
                <w:highlight w:val="yellow"/>
                <w:lang w:eastAsia="sk-SK"/>
              </w:rPr>
            </w:pPr>
          </w:p>
        </w:tc>
        <w:tc>
          <w:tcPr>
            <w:tcW w:w="662" w:type="pct"/>
            <w:tcBorders>
              <w:top w:val="single" w:sz="4" w:space="0" w:color="auto"/>
              <w:bottom w:val="nil"/>
            </w:tcBorders>
            <w:vAlign w:val="center"/>
          </w:tcPr>
          <w:p w14:paraId="5FF80A2D" w14:textId="77777777" w:rsidR="008A4FED" w:rsidRPr="00666914" w:rsidRDefault="008A4FED" w:rsidP="00F64B85">
            <w:pPr>
              <w:spacing w:after="0"/>
              <w:jc w:val="center"/>
              <w:rPr>
                <w:rFonts w:ascii="Times New Roman" w:eastAsia="Times New Roman" w:hAnsi="Times New Roman"/>
                <w:sz w:val="20"/>
                <w:szCs w:val="20"/>
                <w:highlight w:val="yellow"/>
                <w:lang w:eastAsia="sk-SK"/>
              </w:rPr>
            </w:pPr>
          </w:p>
        </w:tc>
        <w:tc>
          <w:tcPr>
            <w:tcW w:w="662" w:type="pct"/>
            <w:tcBorders>
              <w:top w:val="single" w:sz="4" w:space="0" w:color="auto"/>
              <w:bottom w:val="nil"/>
            </w:tcBorders>
            <w:shd w:val="clear" w:color="auto" w:fill="auto"/>
            <w:noWrap/>
            <w:vAlign w:val="center"/>
          </w:tcPr>
          <w:p w14:paraId="49AB4653" w14:textId="77777777" w:rsidR="008A4FED" w:rsidRPr="00666914" w:rsidRDefault="008A4FED" w:rsidP="00F64B85">
            <w:pPr>
              <w:spacing w:after="0"/>
              <w:jc w:val="center"/>
              <w:rPr>
                <w:rFonts w:ascii="Times New Roman" w:eastAsia="Times New Roman" w:hAnsi="Times New Roman"/>
                <w:sz w:val="20"/>
                <w:szCs w:val="20"/>
                <w:highlight w:val="yellow"/>
                <w:lang w:eastAsia="sk-SK"/>
              </w:rPr>
            </w:pPr>
          </w:p>
        </w:tc>
        <w:tc>
          <w:tcPr>
            <w:tcW w:w="588" w:type="pct"/>
            <w:tcBorders>
              <w:top w:val="single" w:sz="4" w:space="0" w:color="auto"/>
              <w:bottom w:val="nil"/>
              <w:right w:val="nil"/>
            </w:tcBorders>
            <w:shd w:val="clear" w:color="auto" w:fill="auto"/>
            <w:noWrap/>
            <w:vAlign w:val="center"/>
          </w:tcPr>
          <w:p w14:paraId="4AB5C029" w14:textId="77777777" w:rsidR="008A4FED" w:rsidRPr="00666914" w:rsidRDefault="008A4FED" w:rsidP="00F64B85">
            <w:pPr>
              <w:spacing w:after="0"/>
              <w:jc w:val="center"/>
              <w:rPr>
                <w:rFonts w:ascii="Times New Roman" w:eastAsia="Times New Roman" w:hAnsi="Times New Roman"/>
                <w:sz w:val="20"/>
                <w:szCs w:val="20"/>
                <w:highlight w:val="yellow"/>
                <w:lang w:eastAsia="sk-SK"/>
              </w:rPr>
            </w:pPr>
          </w:p>
        </w:tc>
      </w:tr>
      <w:tr w:rsidR="008A4FED" w:rsidRPr="00666914" w14:paraId="314C47DC" w14:textId="77777777" w:rsidTr="00F64B85">
        <w:trPr>
          <w:trHeight w:val="283"/>
        </w:trPr>
        <w:tc>
          <w:tcPr>
            <w:tcW w:w="2426" w:type="pct"/>
            <w:tcBorders>
              <w:top w:val="nil"/>
              <w:left w:val="nil"/>
              <w:right w:val="single" w:sz="4" w:space="0" w:color="auto"/>
            </w:tcBorders>
            <w:shd w:val="clear" w:color="auto" w:fill="auto"/>
            <w:noWrap/>
            <w:vAlign w:val="center"/>
          </w:tcPr>
          <w:p w14:paraId="57D59F62" w14:textId="77777777" w:rsidR="008A4FED" w:rsidRPr="00666914" w:rsidRDefault="008A4FED" w:rsidP="00F64B85">
            <w:pPr>
              <w:spacing w:after="0"/>
              <w:jc w:val="left"/>
              <w:rPr>
                <w:rFonts w:eastAsia="Times New Roman" w:cs="Calibri"/>
                <w:bCs/>
                <w:sz w:val="20"/>
                <w:szCs w:val="20"/>
                <w:lang w:eastAsia="sk-SK"/>
              </w:rPr>
            </w:pPr>
            <w:r w:rsidRPr="00666914">
              <w:rPr>
                <w:rFonts w:eastAsia="Times New Roman" w:cs="Calibri"/>
                <w:bCs/>
                <w:sz w:val="20"/>
                <w:szCs w:val="20"/>
                <w:lang w:eastAsia="sk-SK"/>
              </w:rPr>
              <w:t xml:space="preserve">   VšZP</w:t>
            </w:r>
          </w:p>
        </w:tc>
        <w:tc>
          <w:tcPr>
            <w:tcW w:w="662" w:type="pct"/>
            <w:tcBorders>
              <w:top w:val="nil"/>
              <w:left w:val="single" w:sz="4" w:space="0" w:color="auto"/>
            </w:tcBorders>
            <w:vAlign w:val="center"/>
          </w:tcPr>
          <w:p w14:paraId="395069AA" w14:textId="77777777" w:rsidR="008A4FED" w:rsidRPr="00666914" w:rsidRDefault="008A4FED" w:rsidP="00F64B85">
            <w:pPr>
              <w:spacing w:after="0"/>
              <w:jc w:val="center"/>
              <w:rPr>
                <w:rFonts w:cs="Calibri"/>
                <w:sz w:val="20"/>
                <w:szCs w:val="20"/>
              </w:rPr>
            </w:pPr>
            <w:r w:rsidRPr="00666914">
              <w:rPr>
                <w:rFonts w:cs="Calibri"/>
                <w:sz w:val="20"/>
                <w:szCs w:val="20"/>
              </w:rPr>
              <w:t>142,8</w:t>
            </w:r>
          </w:p>
        </w:tc>
        <w:tc>
          <w:tcPr>
            <w:tcW w:w="662" w:type="pct"/>
            <w:tcBorders>
              <w:top w:val="nil"/>
            </w:tcBorders>
            <w:vAlign w:val="center"/>
          </w:tcPr>
          <w:p w14:paraId="5CF26A49" w14:textId="77777777" w:rsidR="008A4FED" w:rsidRPr="00666914" w:rsidRDefault="008A4FED" w:rsidP="00F64B85">
            <w:pPr>
              <w:spacing w:after="0"/>
              <w:jc w:val="center"/>
              <w:rPr>
                <w:rFonts w:cs="Calibri"/>
                <w:sz w:val="20"/>
                <w:szCs w:val="20"/>
              </w:rPr>
            </w:pPr>
            <w:r w:rsidRPr="00666914">
              <w:rPr>
                <w:rFonts w:cs="Calibri"/>
                <w:sz w:val="20"/>
                <w:szCs w:val="20"/>
              </w:rPr>
              <w:t>132,3</w:t>
            </w:r>
          </w:p>
        </w:tc>
        <w:tc>
          <w:tcPr>
            <w:tcW w:w="662" w:type="pct"/>
            <w:tcBorders>
              <w:top w:val="nil"/>
            </w:tcBorders>
            <w:shd w:val="clear" w:color="auto" w:fill="auto"/>
            <w:noWrap/>
            <w:vAlign w:val="center"/>
          </w:tcPr>
          <w:p w14:paraId="5AE44FF4" w14:textId="77777777" w:rsidR="008A4FED" w:rsidRPr="00666914" w:rsidRDefault="008A4FED" w:rsidP="00F64B85">
            <w:pPr>
              <w:spacing w:after="0"/>
              <w:jc w:val="center"/>
              <w:rPr>
                <w:rFonts w:cs="Calibri"/>
                <w:sz w:val="20"/>
                <w:szCs w:val="20"/>
                <w:highlight w:val="yellow"/>
              </w:rPr>
            </w:pPr>
            <w:r w:rsidRPr="00666914">
              <w:rPr>
                <w:rFonts w:cs="Calibri"/>
                <w:sz w:val="20"/>
                <w:szCs w:val="20"/>
              </w:rPr>
              <w:t>131,6</w:t>
            </w:r>
          </w:p>
        </w:tc>
        <w:tc>
          <w:tcPr>
            <w:tcW w:w="588" w:type="pct"/>
            <w:tcBorders>
              <w:top w:val="nil"/>
              <w:right w:val="nil"/>
            </w:tcBorders>
            <w:shd w:val="clear" w:color="auto" w:fill="auto"/>
            <w:noWrap/>
            <w:vAlign w:val="center"/>
          </w:tcPr>
          <w:p w14:paraId="03DC30E4" w14:textId="77777777" w:rsidR="008A4FED" w:rsidRPr="00666914" w:rsidRDefault="008A4FED" w:rsidP="00F64B85">
            <w:pPr>
              <w:spacing w:after="0"/>
              <w:jc w:val="center"/>
              <w:rPr>
                <w:rFonts w:cs="Calibri"/>
                <w:sz w:val="20"/>
                <w:szCs w:val="20"/>
                <w:highlight w:val="yellow"/>
              </w:rPr>
            </w:pPr>
            <w:r w:rsidRPr="00666914">
              <w:rPr>
                <w:rFonts w:cs="Calibri"/>
                <w:sz w:val="20"/>
                <w:szCs w:val="20"/>
              </w:rPr>
              <w:t>129,5</w:t>
            </w:r>
          </w:p>
        </w:tc>
      </w:tr>
      <w:tr w:rsidR="008A4FED" w:rsidRPr="00666914" w14:paraId="79738C14" w14:textId="77777777" w:rsidTr="00F64B85">
        <w:trPr>
          <w:trHeight w:val="283"/>
        </w:trPr>
        <w:tc>
          <w:tcPr>
            <w:tcW w:w="2426" w:type="pct"/>
            <w:tcBorders>
              <w:top w:val="nil"/>
              <w:left w:val="nil"/>
              <w:right w:val="single" w:sz="4" w:space="0" w:color="auto"/>
            </w:tcBorders>
            <w:shd w:val="clear" w:color="auto" w:fill="auto"/>
            <w:noWrap/>
            <w:vAlign w:val="center"/>
          </w:tcPr>
          <w:p w14:paraId="566DA321" w14:textId="77777777" w:rsidR="008A4FED" w:rsidRPr="00666914" w:rsidRDefault="008A4FED" w:rsidP="00F64B85">
            <w:pPr>
              <w:spacing w:after="0"/>
              <w:jc w:val="left"/>
              <w:rPr>
                <w:rFonts w:eastAsia="Times New Roman" w:cs="Calibri"/>
                <w:bCs/>
                <w:sz w:val="20"/>
                <w:szCs w:val="20"/>
                <w:lang w:eastAsia="sk-SK"/>
              </w:rPr>
            </w:pPr>
            <w:r w:rsidRPr="00666914">
              <w:rPr>
                <w:rFonts w:eastAsia="Times New Roman" w:cs="Calibri"/>
                <w:bCs/>
                <w:sz w:val="20"/>
                <w:szCs w:val="20"/>
                <w:lang w:eastAsia="sk-SK"/>
              </w:rPr>
              <w:t xml:space="preserve">   Dôvera</w:t>
            </w:r>
          </w:p>
        </w:tc>
        <w:tc>
          <w:tcPr>
            <w:tcW w:w="662" w:type="pct"/>
            <w:tcBorders>
              <w:top w:val="nil"/>
              <w:left w:val="single" w:sz="4" w:space="0" w:color="auto"/>
            </w:tcBorders>
            <w:vAlign w:val="center"/>
          </w:tcPr>
          <w:p w14:paraId="47180B85" w14:textId="77777777" w:rsidR="008A4FED" w:rsidRPr="00666914" w:rsidRDefault="008A4FED" w:rsidP="00F64B85">
            <w:pPr>
              <w:spacing w:after="0"/>
              <w:jc w:val="center"/>
              <w:rPr>
                <w:rFonts w:cs="Calibri"/>
                <w:sz w:val="20"/>
                <w:szCs w:val="20"/>
              </w:rPr>
            </w:pPr>
            <w:r w:rsidRPr="00666914">
              <w:rPr>
                <w:rFonts w:cs="Calibri"/>
                <w:sz w:val="20"/>
                <w:szCs w:val="20"/>
              </w:rPr>
              <w:t>149,6</w:t>
            </w:r>
          </w:p>
        </w:tc>
        <w:tc>
          <w:tcPr>
            <w:tcW w:w="662" w:type="pct"/>
            <w:tcBorders>
              <w:top w:val="nil"/>
            </w:tcBorders>
            <w:vAlign w:val="center"/>
          </w:tcPr>
          <w:p w14:paraId="007EC1B1" w14:textId="77777777" w:rsidR="008A4FED" w:rsidRPr="00666914" w:rsidRDefault="008A4FED" w:rsidP="00F64B85">
            <w:pPr>
              <w:spacing w:after="0"/>
              <w:jc w:val="center"/>
              <w:rPr>
                <w:rFonts w:cs="Calibri"/>
                <w:sz w:val="20"/>
                <w:szCs w:val="20"/>
              </w:rPr>
            </w:pPr>
            <w:r w:rsidRPr="00666914">
              <w:rPr>
                <w:rFonts w:cs="Calibri"/>
                <w:sz w:val="20"/>
                <w:szCs w:val="20"/>
              </w:rPr>
              <w:t>140,2</w:t>
            </w:r>
          </w:p>
        </w:tc>
        <w:tc>
          <w:tcPr>
            <w:tcW w:w="662" w:type="pct"/>
            <w:tcBorders>
              <w:top w:val="nil"/>
            </w:tcBorders>
            <w:shd w:val="clear" w:color="auto" w:fill="auto"/>
            <w:noWrap/>
            <w:vAlign w:val="center"/>
          </w:tcPr>
          <w:p w14:paraId="19D944A6" w14:textId="77777777" w:rsidR="008A4FED" w:rsidRPr="00666914" w:rsidRDefault="008A4FED" w:rsidP="00F64B85">
            <w:pPr>
              <w:spacing w:after="0"/>
              <w:jc w:val="center"/>
              <w:rPr>
                <w:rFonts w:cs="Calibri"/>
                <w:sz w:val="20"/>
                <w:szCs w:val="20"/>
                <w:highlight w:val="yellow"/>
              </w:rPr>
            </w:pPr>
            <w:r w:rsidRPr="00666914">
              <w:rPr>
                <w:rFonts w:cs="Calibri"/>
                <w:sz w:val="20"/>
                <w:szCs w:val="20"/>
              </w:rPr>
              <w:t>135,8</w:t>
            </w:r>
          </w:p>
        </w:tc>
        <w:tc>
          <w:tcPr>
            <w:tcW w:w="588" w:type="pct"/>
            <w:tcBorders>
              <w:top w:val="nil"/>
              <w:right w:val="nil"/>
            </w:tcBorders>
            <w:shd w:val="clear" w:color="auto" w:fill="auto"/>
            <w:noWrap/>
            <w:vAlign w:val="center"/>
          </w:tcPr>
          <w:p w14:paraId="3F2B4143" w14:textId="77777777" w:rsidR="008A4FED" w:rsidRPr="00666914" w:rsidRDefault="008A4FED" w:rsidP="00F64B85">
            <w:pPr>
              <w:spacing w:after="0"/>
              <w:jc w:val="center"/>
              <w:rPr>
                <w:rFonts w:cs="Calibri"/>
                <w:sz w:val="20"/>
                <w:szCs w:val="20"/>
                <w:highlight w:val="yellow"/>
              </w:rPr>
            </w:pPr>
            <w:r w:rsidRPr="00666914">
              <w:rPr>
                <w:rFonts w:cs="Calibri"/>
                <w:sz w:val="20"/>
                <w:szCs w:val="20"/>
              </w:rPr>
              <w:t>131,0</w:t>
            </w:r>
          </w:p>
        </w:tc>
      </w:tr>
      <w:tr w:rsidR="008A4FED" w:rsidRPr="00666914" w14:paraId="2842E030" w14:textId="77777777" w:rsidTr="00F64B85">
        <w:trPr>
          <w:trHeight w:val="283"/>
        </w:trPr>
        <w:tc>
          <w:tcPr>
            <w:tcW w:w="2426" w:type="pct"/>
            <w:tcBorders>
              <w:left w:val="nil"/>
              <w:bottom w:val="single" w:sz="4" w:space="0" w:color="auto"/>
              <w:right w:val="single" w:sz="4" w:space="0" w:color="auto"/>
            </w:tcBorders>
            <w:shd w:val="clear" w:color="auto" w:fill="auto"/>
            <w:noWrap/>
            <w:vAlign w:val="center"/>
          </w:tcPr>
          <w:p w14:paraId="60D1D09A" w14:textId="77777777" w:rsidR="008A4FED" w:rsidRPr="00666914" w:rsidRDefault="008A4FED" w:rsidP="00F64B85">
            <w:pPr>
              <w:spacing w:after="0"/>
              <w:jc w:val="left"/>
              <w:rPr>
                <w:rFonts w:eastAsia="Times New Roman" w:cs="Calibri"/>
                <w:bCs/>
                <w:sz w:val="20"/>
                <w:szCs w:val="20"/>
                <w:lang w:eastAsia="sk-SK"/>
              </w:rPr>
            </w:pPr>
            <w:r w:rsidRPr="00666914">
              <w:rPr>
                <w:rFonts w:eastAsia="Times New Roman" w:cs="Calibri"/>
                <w:bCs/>
                <w:sz w:val="20"/>
                <w:szCs w:val="20"/>
                <w:lang w:eastAsia="sk-SK"/>
              </w:rPr>
              <w:t xml:space="preserve">   Union</w:t>
            </w:r>
          </w:p>
        </w:tc>
        <w:tc>
          <w:tcPr>
            <w:tcW w:w="662" w:type="pct"/>
            <w:tcBorders>
              <w:left w:val="single" w:sz="4" w:space="0" w:color="auto"/>
              <w:bottom w:val="single" w:sz="4" w:space="0" w:color="auto"/>
              <w:right w:val="nil"/>
            </w:tcBorders>
            <w:vAlign w:val="center"/>
          </w:tcPr>
          <w:p w14:paraId="6C3C8F2A" w14:textId="77777777" w:rsidR="008A4FED" w:rsidRPr="00666914" w:rsidRDefault="008A4FED" w:rsidP="00F64B85">
            <w:pPr>
              <w:spacing w:after="0"/>
              <w:jc w:val="center"/>
              <w:rPr>
                <w:rFonts w:cs="Calibri"/>
                <w:sz w:val="20"/>
                <w:szCs w:val="20"/>
              </w:rPr>
            </w:pPr>
            <w:r w:rsidRPr="00666914">
              <w:rPr>
                <w:rFonts w:cs="Calibri"/>
                <w:sz w:val="20"/>
                <w:szCs w:val="20"/>
              </w:rPr>
              <w:t>158,8</w:t>
            </w:r>
          </w:p>
        </w:tc>
        <w:tc>
          <w:tcPr>
            <w:tcW w:w="662" w:type="pct"/>
            <w:tcBorders>
              <w:left w:val="nil"/>
              <w:bottom w:val="single" w:sz="4" w:space="0" w:color="auto"/>
            </w:tcBorders>
            <w:vAlign w:val="center"/>
          </w:tcPr>
          <w:p w14:paraId="6A4D3BAF" w14:textId="77777777" w:rsidR="008A4FED" w:rsidRPr="00666914" w:rsidRDefault="008A4FED" w:rsidP="00F64B85">
            <w:pPr>
              <w:spacing w:after="0"/>
              <w:jc w:val="center"/>
              <w:rPr>
                <w:rFonts w:cs="Calibri"/>
                <w:sz w:val="20"/>
                <w:szCs w:val="20"/>
              </w:rPr>
            </w:pPr>
            <w:r w:rsidRPr="00666914">
              <w:rPr>
                <w:rFonts w:cs="Calibri"/>
                <w:sz w:val="20"/>
                <w:szCs w:val="20"/>
              </w:rPr>
              <w:t>142,1</w:t>
            </w:r>
          </w:p>
        </w:tc>
        <w:tc>
          <w:tcPr>
            <w:tcW w:w="662" w:type="pct"/>
            <w:tcBorders>
              <w:left w:val="nil"/>
              <w:bottom w:val="single" w:sz="4" w:space="0" w:color="auto"/>
              <w:right w:val="nil"/>
            </w:tcBorders>
            <w:shd w:val="clear" w:color="auto" w:fill="auto"/>
            <w:noWrap/>
            <w:vAlign w:val="center"/>
          </w:tcPr>
          <w:p w14:paraId="2FF7AB7A" w14:textId="77777777" w:rsidR="008A4FED" w:rsidRPr="00666914" w:rsidRDefault="008A4FED" w:rsidP="00F64B85">
            <w:pPr>
              <w:spacing w:after="0"/>
              <w:jc w:val="center"/>
              <w:rPr>
                <w:rFonts w:cs="Calibri"/>
                <w:sz w:val="20"/>
                <w:szCs w:val="20"/>
                <w:highlight w:val="yellow"/>
              </w:rPr>
            </w:pPr>
            <w:r w:rsidRPr="00666914">
              <w:rPr>
                <w:rFonts w:cs="Calibri"/>
                <w:sz w:val="20"/>
                <w:szCs w:val="20"/>
              </w:rPr>
              <w:t>142,0</w:t>
            </w:r>
          </w:p>
        </w:tc>
        <w:tc>
          <w:tcPr>
            <w:tcW w:w="588" w:type="pct"/>
            <w:tcBorders>
              <w:left w:val="nil"/>
              <w:bottom w:val="single" w:sz="4" w:space="0" w:color="auto"/>
              <w:right w:val="nil"/>
            </w:tcBorders>
            <w:shd w:val="clear" w:color="auto" w:fill="auto"/>
            <w:noWrap/>
            <w:vAlign w:val="center"/>
          </w:tcPr>
          <w:p w14:paraId="4B7A274F" w14:textId="77777777" w:rsidR="008A4FED" w:rsidRPr="00666914" w:rsidRDefault="008A4FED" w:rsidP="00F64B85">
            <w:pPr>
              <w:spacing w:after="0"/>
              <w:jc w:val="center"/>
              <w:rPr>
                <w:rFonts w:cs="Calibri"/>
                <w:sz w:val="20"/>
                <w:szCs w:val="20"/>
                <w:highlight w:val="yellow"/>
              </w:rPr>
            </w:pPr>
            <w:r w:rsidRPr="00666914">
              <w:rPr>
                <w:rFonts w:cs="Calibri"/>
                <w:sz w:val="20"/>
                <w:szCs w:val="20"/>
              </w:rPr>
              <w:t>134,2</w:t>
            </w:r>
          </w:p>
        </w:tc>
      </w:tr>
    </w:tbl>
    <w:p w14:paraId="289F46CA" w14:textId="77777777" w:rsidR="008A4FED" w:rsidRPr="00666914" w:rsidRDefault="008A4FED" w:rsidP="003C3BBF">
      <w:pPr>
        <w:jc w:val="right"/>
      </w:pPr>
      <w:r w:rsidRPr="00666914">
        <w:rPr>
          <w:i/>
          <w:sz w:val="18"/>
        </w:rPr>
        <w:t>Zdroj: ZP, MZ SR, spracovanie IJ</w:t>
      </w:r>
    </w:p>
    <w:p w14:paraId="016B7373" w14:textId="48D29924" w:rsidR="008A4FED" w:rsidRPr="00666914" w:rsidRDefault="008A4FED" w:rsidP="008A4FED">
      <w:pPr>
        <w:numPr>
          <w:ilvl w:val="0"/>
          <w:numId w:val="28"/>
        </w:numPr>
        <w:contextualSpacing/>
        <w:rPr>
          <w:b/>
        </w:rPr>
      </w:pPr>
      <w:r w:rsidRPr="00666914">
        <w:rPr>
          <w:b/>
          <w:u w:val="single"/>
        </w:rPr>
        <w:t xml:space="preserve">SVLZ – zavedenie limitov pre ambulantných poskytovateľov </w:t>
      </w:r>
    </w:p>
    <w:p w14:paraId="5249C2FC" w14:textId="77777777" w:rsidR="00B72556" w:rsidRPr="00666914" w:rsidRDefault="00B72556" w:rsidP="00B72556">
      <w:pPr>
        <w:ind w:left="720"/>
        <w:contextualSpacing/>
        <w:rPr>
          <w:b/>
        </w:rPr>
      </w:pPr>
    </w:p>
    <w:p w14:paraId="1238C1DF" w14:textId="77777777" w:rsidR="008A4FED" w:rsidRPr="00666914" w:rsidRDefault="008A4FED" w:rsidP="008B70B3">
      <w:pPr>
        <w:spacing w:before="240"/>
      </w:pPr>
      <w:bookmarkStart w:id="109" w:name="_Toc5636417"/>
      <w:r w:rsidRPr="00666914">
        <w:rPr>
          <w:b/>
        </w:rPr>
        <w:t>Opatrenie sa k 31.12.2019 neplní.  Namiesto plánovanej úspory 3 mil. eur vzrástli výdavky na laboratórne vyšetrenia medzi rokmi 2016 a 2019 o 15 mil. eur.</w:t>
      </w:r>
      <w:r w:rsidRPr="00666914">
        <w:t xml:space="preserve"> V sledovanom období neboli zavedené ani limity pre ambulantných PZS. Zavedenie modulu elektronického zdravotníctva eLab malo prispieť k zníženiu duplicitných vyšetrení. K 31.12.2019 nebol modul funkčne spustený. Pre plnenie opatrení hodnoty za peniaze v diagnostike je z pohľadu IJ kľúčové spustenie funkcie eLab a dodržanie záväzku ZP z memoranda o dofinancovaní v 10/2019 – zredukovať duplicitnú, nadbytočne a neefektívne vykázanú starostlivosť v diagnostike.</w:t>
      </w:r>
    </w:p>
    <w:p w14:paraId="2672393E" w14:textId="0731040F" w:rsidR="008A4FED" w:rsidRPr="00666914" w:rsidRDefault="008A4FED" w:rsidP="004D30E9">
      <w:pPr>
        <w:pBdr>
          <w:bottom w:val="single" w:sz="4" w:space="1" w:color="auto"/>
        </w:pBdr>
        <w:spacing w:after="0"/>
        <w:rPr>
          <w:b/>
          <w:sz w:val="20"/>
        </w:rPr>
      </w:pPr>
      <w:bookmarkStart w:id="110" w:name="_Toc20209191"/>
      <w:bookmarkStart w:id="111" w:name="_Toc36547034"/>
      <w:bookmarkStart w:id="112" w:name="_Toc38447675"/>
      <w:r w:rsidRPr="00666914">
        <w:rPr>
          <w:b/>
          <w:sz w:val="20"/>
        </w:rPr>
        <w:t xml:space="preserve">Tabuľka </w:t>
      </w:r>
      <w:r w:rsidRPr="00666914">
        <w:rPr>
          <w:b/>
          <w:sz w:val="20"/>
        </w:rPr>
        <w:fldChar w:fldCharType="begin"/>
      </w:r>
      <w:r w:rsidRPr="00666914">
        <w:rPr>
          <w:b/>
          <w:sz w:val="20"/>
        </w:rPr>
        <w:instrText xml:space="preserve"> SEQ Tabuľka \* ARABIC </w:instrText>
      </w:r>
      <w:r w:rsidRPr="00666914">
        <w:rPr>
          <w:b/>
          <w:sz w:val="20"/>
        </w:rPr>
        <w:fldChar w:fldCharType="separate"/>
      </w:r>
      <w:r w:rsidR="005A7304">
        <w:rPr>
          <w:b/>
          <w:noProof/>
          <w:sz w:val="20"/>
        </w:rPr>
        <w:t>14</w:t>
      </w:r>
      <w:r w:rsidRPr="00666914">
        <w:rPr>
          <w:b/>
          <w:sz w:val="20"/>
        </w:rPr>
        <w:fldChar w:fldCharType="end"/>
      </w:r>
      <w:r w:rsidRPr="00666914">
        <w:rPr>
          <w:b/>
          <w:sz w:val="20"/>
        </w:rPr>
        <w:t xml:space="preserve">: </w:t>
      </w:r>
      <w:r w:rsidRPr="00666914">
        <w:rPr>
          <w:b/>
          <w:bCs/>
          <w:sz w:val="20"/>
          <w:szCs w:val="20"/>
        </w:rPr>
        <w:t>Úhrady za výkony laboratórnych vyšetrení (mimo CT a MR; mil. eur)</w:t>
      </w:r>
      <w:bookmarkEnd w:id="110"/>
      <w:bookmarkEnd w:id="111"/>
      <w:bookmarkEnd w:id="112"/>
    </w:p>
    <w:tbl>
      <w:tblPr>
        <w:tblW w:w="5000" w:type="pct"/>
        <w:tblLayout w:type="fixed"/>
        <w:tblCellMar>
          <w:left w:w="70" w:type="dxa"/>
          <w:right w:w="70" w:type="dxa"/>
        </w:tblCellMar>
        <w:tblLook w:val="04A0" w:firstRow="1" w:lastRow="0" w:firstColumn="1" w:lastColumn="0" w:noHBand="0" w:noVBand="1"/>
      </w:tblPr>
      <w:tblGrid>
        <w:gridCol w:w="4000"/>
        <w:gridCol w:w="1303"/>
        <w:gridCol w:w="1305"/>
        <w:gridCol w:w="1303"/>
        <w:gridCol w:w="1303"/>
      </w:tblGrid>
      <w:tr w:rsidR="008A4FED" w:rsidRPr="00666914" w14:paraId="0700CC04" w14:textId="77777777" w:rsidTr="00F64B85">
        <w:trPr>
          <w:trHeight w:val="283"/>
        </w:trPr>
        <w:tc>
          <w:tcPr>
            <w:tcW w:w="2171" w:type="pct"/>
            <w:tcBorders>
              <w:left w:val="nil"/>
              <w:bottom w:val="single" w:sz="4" w:space="0" w:color="auto"/>
              <w:right w:val="single" w:sz="4" w:space="0" w:color="auto"/>
            </w:tcBorders>
            <w:shd w:val="clear" w:color="auto" w:fill="auto"/>
            <w:noWrap/>
            <w:vAlign w:val="center"/>
            <w:hideMark/>
          </w:tcPr>
          <w:p w14:paraId="070ACB78" w14:textId="77777777" w:rsidR="008A4FED" w:rsidRPr="00666914" w:rsidRDefault="008A4FED" w:rsidP="00F64B85">
            <w:pPr>
              <w:spacing w:after="0"/>
              <w:jc w:val="center"/>
              <w:rPr>
                <w:rFonts w:eastAsia="Times New Roman" w:cs="Calibri"/>
                <w:b/>
                <w:bCs/>
                <w:sz w:val="20"/>
                <w:szCs w:val="20"/>
                <w:lang w:eastAsia="sk-SK"/>
              </w:rPr>
            </w:pPr>
          </w:p>
        </w:tc>
        <w:tc>
          <w:tcPr>
            <w:tcW w:w="707" w:type="pct"/>
            <w:tcBorders>
              <w:left w:val="single" w:sz="4" w:space="0" w:color="auto"/>
              <w:bottom w:val="single" w:sz="4" w:space="0" w:color="auto"/>
            </w:tcBorders>
            <w:vAlign w:val="bottom"/>
          </w:tcPr>
          <w:p w14:paraId="442C5E72" w14:textId="77777777" w:rsidR="008A4FED" w:rsidRPr="00666914" w:rsidRDefault="008A4FED" w:rsidP="00F64B85">
            <w:pPr>
              <w:spacing w:after="0"/>
              <w:jc w:val="center"/>
              <w:rPr>
                <w:rFonts w:cs="Calibri"/>
                <w:b/>
                <w:bCs/>
                <w:sz w:val="20"/>
                <w:szCs w:val="20"/>
              </w:rPr>
            </w:pPr>
            <w:r w:rsidRPr="00666914">
              <w:rPr>
                <w:rFonts w:cs="Calibri"/>
                <w:b/>
                <w:bCs/>
                <w:sz w:val="20"/>
                <w:szCs w:val="20"/>
              </w:rPr>
              <w:t>2016</w:t>
            </w:r>
          </w:p>
        </w:tc>
        <w:tc>
          <w:tcPr>
            <w:tcW w:w="708" w:type="pct"/>
            <w:tcBorders>
              <w:top w:val="nil"/>
              <w:left w:val="nil"/>
              <w:bottom w:val="single" w:sz="4" w:space="0" w:color="auto"/>
              <w:right w:val="nil"/>
            </w:tcBorders>
            <w:shd w:val="clear" w:color="auto" w:fill="auto"/>
            <w:noWrap/>
            <w:vAlign w:val="bottom"/>
          </w:tcPr>
          <w:p w14:paraId="7530252C" w14:textId="77777777" w:rsidR="008A4FED" w:rsidRPr="00666914" w:rsidRDefault="008A4FED" w:rsidP="00F64B85">
            <w:pPr>
              <w:spacing w:after="0"/>
              <w:jc w:val="center"/>
              <w:rPr>
                <w:rFonts w:eastAsia="Times New Roman" w:cs="Calibri"/>
                <w:b/>
                <w:bCs/>
                <w:sz w:val="20"/>
                <w:szCs w:val="20"/>
                <w:highlight w:val="yellow"/>
                <w:lang w:eastAsia="sk-SK"/>
              </w:rPr>
            </w:pPr>
            <w:r w:rsidRPr="00666914">
              <w:rPr>
                <w:rFonts w:cs="Calibri"/>
                <w:b/>
                <w:bCs/>
                <w:sz w:val="20"/>
                <w:szCs w:val="20"/>
              </w:rPr>
              <w:t>2017</w:t>
            </w:r>
          </w:p>
        </w:tc>
        <w:tc>
          <w:tcPr>
            <w:tcW w:w="707" w:type="pct"/>
            <w:tcBorders>
              <w:top w:val="nil"/>
              <w:left w:val="nil"/>
              <w:bottom w:val="single" w:sz="4" w:space="0" w:color="auto"/>
              <w:right w:val="nil"/>
            </w:tcBorders>
            <w:shd w:val="clear" w:color="auto" w:fill="auto"/>
            <w:noWrap/>
            <w:vAlign w:val="bottom"/>
          </w:tcPr>
          <w:p w14:paraId="530F04C4" w14:textId="77777777" w:rsidR="008A4FED" w:rsidRPr="00666914" w:rsidRDefault="008A4FED" w:rsidP="00F64B85">
            <w:pPr>
              <w:spacing w:after="0"/>
              <w:jc w:val="center"/>
              <w:rPr>
                <w:rFonts w:eastAsia="Times New Roman" w:cs="Calibri"/>
                <w:b/>
                <w:bCs/>
                <w:sz w:val="20"/>
                <w:szCs w:val="20"/>
                <w:highlight w:val="yellow"/>
                <w:lang w:eastAsia="sk-SK"/>
              </w:rPr>
            </w:pPr>
            <w:r w:rsidRPr="00666914">
              <w:rPr>
                <w:rFonts w:cs="Calibri"/>
                <w:b/>
                <w:bCs/>
                <w:sz w:val="20"/>
                <w:szCs w:val="20"/>
              </w:rPr>
              <w:t>2018</w:t>
            </w:r>
          </w:p>
        </w:tc>
        <w:tc>
          <w:tcPr>
            <w:tcW w:w="707" w:type="pct"/>
            <w:tcBorders>
              <w:top w:val="nil"/>
              <w:left w:val="nil"/>
              <w:bottom w:val="single" w:sz="4" w:space="0" w:color="auto"/>
              <w:right w:val="nil"/>
            </w:tcBorders>
            <w:shd w:val="clear" w:color="auto" w:fill="auto"/>
            <w:noWrap/>
            <w:vAlign w:val="bottom"/>
          </w:tcPr>
          <w:p w14:paraId="0236AFBE" w14:textId="77777777" w:rsidR="008A4FED" w:rsidRPr="00666914" w:rsidRDefault="008A4FED" w:rsidP="00F64B85">
            <w:pPr>
              <w:spacing w:after="0"/>
              <w:jc w:val="center"/>
              <w:rPr>
                <w:rFonts w:eastAsia="Times New Roman" w:cs="Calibri"/>
                <w:b/>
                <w:bCs/>
                <w:sz w:val="20"/>
                <w:szCs w:val="20"/>
                <w:highlight w:val="yellow"/>
                <w:lang w:eastAsia="sk-SK"/>
              </w:rPr>
            </w:pPr>
            <w:r w:rsidRPr="00666914">
              <w:rPr>
                <w:rFonts w:cs="Calibri"/>
                <w:b/>
                <w:bCs/>
                <w:sz w:val="20"/>
                <w:szCs w:val="20"/>
              </w:rPr>
              <w:t>2019</w:t>
            </w:r>
          </w:p>
        </w:tc>
      </w:tr>
      <w:tr w:rsidR="008A4FED" w:rsidRPr="00666914" w14:paraId="5F58A2D3" w14:textId="77777777" w:rsidTr="00F64B85">
        <w:trPr>
          <w:trHeight w:val="283"/>
        </w:trPr>
        <w:tc>
          <w:tcPr>
            <w:tcW w:w="2171" w:type="pct"/>
            <w:tcBorders>
              <w:top w:val="single" w:sz="4" w:space="0" w:color="auto"/>
              <w:left w:val="nil"/>
              <w:right w:val="single" w:sz="4" w:space="0" w:color="auto"/>
            </w:tcBorders>
            <w:shd w:val="clear" w:color="auto" w:fill="auto"/>
            <w:noWrap/>
            <w:vAlign w:val="center"/>
            <w:hideMark/>
          </w:tcPr>
          <w:p w14:paraId="449F6D94" w14:textId="77777777" w:rsidR="008A4FED" w:rsidRPr="00666914" w:rsidRDefault="008A4FED" w:rsidP="00F64B85">
            <w:pPr>
              <w:spacing w:after="0"/>
              <w:jc w:val="left"/>
              <w:rPr>
                <w:rFonts w:eastAsia="Times New Roman" w:cs="Calibri"/>
                <w:b/>
                <w:bCs/>
                <w:sz w:val="20"/>
                <w:szCs w:val="20"/>
                <w:lang w:eastAsia="sk-SK"/>
              </w:rPr>
            </w:pPr>
            <w:r w:rsidRPr="00666914">
              <w:rPr>
                <w:rFonts w:eastAsia="Times New Roman" w:cs="Calibri"/>
                <w:b/>
                <w:bCs/>
                <w:sz w:val="20"/>
                <w:szCs w:val="20"/>
                <w:lang w:eastAsia="sk-SK"/>
              </w:rPr>
              <w:t>Úhrady za SVLZ</w:t>
            </w:r>
          </w:p>
        </w:tc>
        <w:tc>
          <w:tcPr>
            <w:tcW w:w="707" w:type="pct"/>
            <w:tcBorders>
              <w:top w:val="single" w:sz="4" w:space="0" w:color="auto"/>
              <w:left w:val="single" w:sz="4" w:space="0" w:color="auto"/>
            </w:tcBorders>
            <w:vAlign w:val="bottom"/>
          </w:tcPr>
          <w:p w14:paraId="333B931C" w14:textId="77777777" w:rsidR="008A4FED" w:rsidRPr="00666914" w:rsidRDefault="008A4FED" w:rsidP="00F64B85">
            <w:pPr>
              <w:spacing w:after="0"/>
              <w:jc w:val="center"/>
              <w:rPr>
                <w:rFonts w:cs="Calibri"/>
                <w:sz w:val="20"/>
                <w:szCs w:val="20"/>
              </w:rPr>
            </w:pPr>
            <w:r w:rsidRPr="00666914">
              <w:rPr>
                <w:rFonts w:cs="Calibri"/>
                <w:color w:val="000000"/>
                <w:sz w:val="20"/>
                <w:szCs w:val="20"/>
              </w:rPr>
              <w:t>255,5</w:t>
            </w:r>
          </w:p>
        </w:tc>
        <w:tc>
          <w:tcPr>
            <w:tcW w:w="708" w:type="pct"/>
            <w:tcBorders>
              <w:top w:val="single" w:sz="4" w:space="0" w:color="auto"/>
              <w:left w:val="nil"/>
              <w:right w:val="nil"/>
            </w:tcBorders>
            <w:shd w:val="clear" w:color="auto" w:fill="auto"/>
            <w:noWrap/>
            <w:vAlign w:val="bottom"/>
          </w:tcPr>
          <w:p w14:paraId="0F876740"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color w:val="000000"/>
                <w:sz w:val="20"/>
                <w:szCs w:val="20"/>
              </w:rPr>
              <w:t>253,6</w:t>
            </w:r>
          </w:p>
        </w:tc>
        <w:tc>
          <w:tcPr>
            <w:tcW w:w="707" w:type="pct"/>
            <w:tcBorders>
              <w:top w:val="single" w:sz="4" w:space="0" w:color="auto"/>
              <w:left w:val="nil"/>
              <w:right w:val="nil"/>
            </w:tcBorders>
            <w:shd w:val="clear" w:color="auto" w:fill="auto"/>
            <w:noWrap/>
            <w:vAlign w:val="bottom"/>
          </w:tcPr>
          <w:p w14:paraId="5890C011"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color w:val="000000"/>
                <w:sz w:val="20"/>
                <w:szCs w:val="20"/>
              </w:rPr>
              <w:t>262,0</w:t>
            </w:r>
          </w:p>
        </w:tc>
        <w:tc>
          <w:tcPr>
            <w:tcW w:w="707" w:type="pct"/>
            <w:tcBorders>
              <w:top w:val="single" w:sz="4" w:space="0" w:color="auto"/>
              <w:left w:val="nil"/>
              <w:right w:val="nil"/>
            </w:tcBorders>
            <w:shd w:val="clear" w:color="auto" w:fill="auto"/>
            <w:noWrap/>
            <w:vAlign w:val="bottom"/>
          </w:tcPr>
          <w:p w14:paraId="44252065"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color w:val="000000"/>
                <w:sz w:val="20"/>
                <w:szCs w:val="20"/>
              </w:rPr>
              <w:t>270,5</w:t>
            </w:r>
          </w:p>
        </w:tc>
      </w:tr>
      <w:tr w:rsidR="008A4FED" w:rsidRPr="00666914" w14:paraId="101FDE81" w14:textId="77777777" w:rsidTr="00F64B85">
        <w:trPr>
          <w:trHeight w:val="283"/>
        </w:trPr>
        <w:tc>
          <w:tcPr>
            <w:tcW w:w="2171" w:type="pct"/>
            <w:tcBorders>
              <w:left w:val="nil"/>
              <w:right w:val="single" w:sz="4" w:space="0" w:color="auto"/>
            </w:tcBorders>
            <w:shd w:val="clear" w:color="auto" w:fill="auto"/>
            <w:noWrap/>
            <w:vAlign w:val="center"/>
            <w:hideMark/>
          </w:tcPr>
          <w:p w14:paraId="666B5436" w14:textId="77777777" w:rsidR="008A4FED" w:rsidRPr="00666914" w:rsidRDefault="008A4FED" w:rsidP="00F64B85">
            <w:pPr>
              <w:spacing w:after="0"/>
              <w:jc w:val="left"/>
              <w:rPr>
                <w:rFonts w:eastAsia="Times New Roman" w:cs="Calibri"/>
                <w:b/>
                <w:bCs/>
                <w:sz w:val="20"/>
                <w:szCs w:val="20"/>
                <w:lang w:eastAsia="sk-SK"/>
              </w:rPr>
            </w:pPr>
            <w:r w:rsidRPr="00666914">
              <w:rPr>
                <w:rFonts w:eastAsia="Times New Roman" w:cs="Calibri"/>
                <w:b/>
                <w:bCs/>
                <w:sz w:val="20"/>
                <w:szCs w:val="20"/>
                <w:lang w:eastAsia="sk-SK"/>
              </w:rPr>
              <w:t>Medziročná zmena v mil. eur</w:t>
            </w:r>
          </w:p>
        </w:tc>
        <w:tc>
          <w:tcPr>
            <w:tcW w:w="707" w:type="pct"/>
            <w:tcBorders>
              <w:left w:val="single" w:sz="4" w:space="0" w:color="auto"/>
            </w:tcBorders>
            <w:vAlign w:val="bottom"/>
          </w:tcPr>
          <w:p w14:paraId="3E8A9A79" w14:textId="77777777" w:rsidR="008A4FED" w:rsidRPr="00666914" w:rsidRDefault="008A4FED" w:rsidP="00F64B85">
            <w:pPr>
              <w:spacing w:after="0"/>
              <w:jc w:val="center"/>
              <w:rPr>
                <w:rFonts w:cs="Calibri"/>
                <w:sz w:val="20"/>
                <w:szCs w:val="20"/>
              </w:rPr>
            </w:pPr>
          </w:p>
        </w:tc>
        <w:tc>
          <w:tcPr>
            <w:tcW w:w="708" w:type="pct"/>
            <w:tcBorders>
              <w:left w:val="nil"/>
              <w:right w:val="nil"/>
            </w:tcBorders>
            <w:shd w:val="clear" w:color="auto" w:fill="auto"/>
            <w:noWrap/>
            <w:vAlign w:val="bottom"/>
          </w:tcPr>
          <w:p w14:paraId="6654DB49" w14:textId="77777777" w:rsidR="008A4FED" w:rsidRPr="00666914" w:rsidRDefault="008A4FED" w:rsidP="00F64B85">
            <w:pPr>
              <w:spacing w:after="0"/>
              <w:jc w:val="center"/>
              <w:rPr>
                <w:rFonts w:eastAsia="Times New Roman" w:cs="Calibri"/>
                <w:b/>
                <w:bCs/>
                <w:sz w:val="20"/>
                <w:szCs w:val="20"/>
                <w:highlight w:val="yellow"/>
                <w:lang w:eastAsia="sk-SK"/>
              </w:rPr>
            </w:pPr>
            <w:r w:rsidRPr="00666914">
              <w:rPr>
                <w:rFonts w:cs="Calibri"/>
                <w:color w:val="000000"/>
                <w:sz w:val="20"/>
                <w:szCs w:val="20"/>
              </w:rPr>
              <w:t>-2,0</w:t>
            </w:r>
          </w:p>
        </w:tc>
        <w:tc>
          <w:tcPr>
            <w:tcW w:w="707" w:type="pct"/>
            <w:tcBorders>
              <w:left w:val="nil"/>
              <w:right w:val="nil"/>
            </w:tcBorders>
            <w:shd w:val="clear" w:color="auto" w:fill="auto"/>
            <w:noWrap/>
            <w:vAlign w:val="bottom"/>
          </w:tcPr>
          <w:p w14:paraId="606D7CB9"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color w:val="000000"/>
                <w:sz w:val="20"/>
                <w:szCs w:val="20"/>
              </w:rPr>
              <w:t>8,4</w:t>
            </w:r>
          </w:p>
        </w:tc>
        <w:tc>
          <w:tcPr>
            <w:tcW w:w="707" w:type="pct"/>
            <w:tcBorders>
              <w:left w:val="nil"/>
              <w:right w:val="nil"/>
            </w:tcBorders>
            <w:shd w:val="clear" w:color="auto" w:fill="auto"/>
            <w:noWrap/>
            <w:vAlign w:val="bottom"/>
          </w:tcPr>
          <w:p w14:paraId="6356B30D"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color w:val="000000"/>
                <w:sz w:val="20"/>
                <w:szCs w:val="20"/>
              </w:rPr>
              <w:t>8,5</w:t>
            </w:r>
          </w:p>
        </w:tc>
      </w:tr>
      <w:tr w:rsidR="008A4FED" w:rsidRPr="00666914" w14:paraId="767947DB" w14:textId="77777777" w:rsidTr="00F64B85">
        <w:trPr>
          <w:trHeight w:val="283"/>
        </w:trPr>
        <w:tc>
          <w:tcPr>
            <w:tcW w:w="2171" w:type="pct"/>
            <w:tcBorders>
              <w:top w:val="nil"/>
              <w:left w:val="nil"/>
              <w:bottom w:val="single" w:sz="4" w:space="0" w:color="auto"/>
              <w:right w:val="single" w:sz="4" w:space="0" w:color="auto"/>
            </w:tcBorders>
            <w:shd w:val="clear" w:color="auto" w:fill="auto"/>
            <w:noWrap/>
            <w:vAlign w:val="center"/>
          </w:tcPr>
          <w:p w14:paraId="31A7BA1B" w14:textId="77777777" w:rsidR="008A4FED" w:rsidRPr="00666914" w:rsidRDefault="008A4FED" w:rsidP="00F64B85">
            <w:pPr>
              <w:spacing w:after="0"/>
              <w:jc w:val="left"/>
              <w:rPr>
                <w:rFonts w:eastAsia="Times New Roman" w:cs="Calibri"/>
                <w:sz w:val="20"/>
                <w:szCs w:val="20"/>
                <w:lang w:eastAsia="sk-SK"/>
              </w:rPr>
            </w:pPr>
            <w:r w:rsidRPr="00666914">
              <w:rPr>
                <w:rFonts w:eastAsia="Times New Roman" w:cs="Calibri"/>
                <w:b/>
                <w:bCs/>
                <w:sz w:val="20"/>
                <w:szCs w:val="20"/>
                <w:lang w:eastAsia="sk-SK"/>
              </w:rPr>
              <w:t>Medziročná zmena v %</w:t>
            </w:r>
          </w:p>
        </w:tc>
        <w:tc>
          <w:tcPr>
            <w:tcW w:w="707" w:type="pct"/>
            <w:tcBorders>
              <w:top w:val="nil"/>
              <w:left w:val="single" w:sz="4" w:space="0" w:color="auto"/>
              <w:bottom w:val="single" w:sz="4" w:space="0" w:color="auto"/>
            </w:tcBorders>
            <w:vAlign w:val="bottom"/>
          </w:tcPr>
          <w:p w14:paraId="0A9B5CFA" w14:textId="77777777" w:rsidR="008A4FED" w:rsidRPr="00666914" w:rsidRDefault="008A4FED" w:rsidP="00F64B85">
            <w:pPr>
              <w:spacing w:after="0"/>
              <w:jc w:val="center"/>
              <w:rPr>
                <w:rFonts w:cs="Calibri"/>
                <w:sz w:val="20"/>
                <w:szCs w:val="20"/>
              </w:rPr>
            </w:pPr>
            <w:r w:rsidRPr="00666914">
              <w:rPr>
                <w:rFonts w:cs="Calibri"/>
                <w:sz w:val="20"/>
                <w:szCs w:val="20"/>
              </w:rPr>
              <w:t> </w:t>
            </w:r>
          </w:p>
        </w:tc>
        <w:tc>
          <w:tcPr>
            <w:tcW w:w="708" w:type="pct"/>
            <w:tcBorders>
              <w:top w:val="nil"/>
              <w:left w:val="nil"/>
              <w:bottom w:val="single" w:sz="4" w:space="0" w:color="auto"/>
              <w:right w:val="nil"/>
            </w:tcBorders>
            <w:shd w:val="clear" w:color="auto" w:fill="auto"/>
            <w:noWrap/>
            <w:vAlign w:val="bottom"/>
          </w:tcPr>
          <w:p w14:paraId="054A9B05"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sz w:val="20"/>
                <w:szCs w:val="20"/>
              </w:rPr>
              <w:t>-0,8%</w:t>
            </w:r>
          </w:p>
        </w:tc>
        <w:tc>
          <w:tcPr>
            <w:tcW w:w="707" w:type="pct"/>
            <w:tcBorders>
              <w:top w:val="nil"/>
              <w:left w:val="nil"/>
              <w:bottom w:val="single" w:sz="4" w:space="0" w:color="auto"/>
              <w:right w:val="nil"/>
            </w:tcBorders>
            <w:shd w:val="clear" w:color="auto" w:fill="auto"/>
            <w:noWrap/>
            <w:vAlign w:val="bottom"/>
          </w:tcPr>
          <w:p w14:paraId="1A29CB23" w14:textId="77777777" w:rsidR="008A4FED" w:rsidRPr="00666914" w:rsidRDefault="008A4FED" w:rsidP="00F64B85">
            <w:pPr>
              <w:spacing w:after="0"/>
              <w:jc w:val="center"/>
              <w:rPr>
                <w:rFonts w:ascii="Times New Roman" w:eastAsia="Times New Roman" w:hAnsi="Times New Roman"/>
                <w:sz w:val="20"/>
                <w:szCs w:val="20"/>
                <w:highlight w:val="yellow"/>
                <w:lang w:eastAsia="sk-SK"/>
              </w:rPr>
            </w:pPr>
            <w:r w:rsidRPr="00666914">
              <w:rPr>
                <w:rFonts w:cs="Calibri"/>
                <w:sz w:val="20"/>
                <w:szCs w:val="20"/>
              </w:rPr>
              <w:t>3%</w:t>
            </w:r>
          </w:p>
        </w:tc>
        <w:tc>
          <w:tcPr>
            <w:tcW w:w="707" w:type="pct"/>
            <w:tcBorders>
              <w:top w:val="nil"/>
              <w:left w:val="nil"/>
              <w:bottom w:val="single" w:sz="4" w:space="0" w:color="auto"/>
              <w:right w:val="nil"/>
            </w:tcBorders>
            <w:shd w:val="clear" w:color="auto" w:fill="auto"/>
            <w:noWrap/>
            <w:vAlign w:val="bottom"/>
          </w:tcPr>
          <w:p w14:paraId="5062B9A8" w14:textId="77777777" w:rsidR="008A4FED" w:rsidRPr="00666914" w:rsidRDefault="008A4FED" w:rsidP="00F64B85">
            <w:pPr>
              <w:spacing w:after="0"/>
              <w:jc w:val="center"/>
              <w:rPr>
                <w:rFonts w:ascii="Times New Roman" w:eastAsia="Times New Roman" w:hAnsi="Times New Roman"/>
                <w:sz w:val="20"/>
                <w:szCs w:val="20"/>
                <w:highlight w:val="yellow"/>
                <w:lang w:eastAsia="sk-SK"/>
              </w:rPr>
            </w:pPr>
            <w:r w:rsidRPr="00666914">
              <w:rPr>
                <w:rFonts w:cs="Calibri"/>
                <w:sz w:val="20"/>
                <w:szCs w:val="20"/>
              </w:rPr>
              <w:t>3%</w:t>
            </w:r>
          </w:p>
        </w:tc>
      </w:tr>
    </w:tbl>
    <w:p w14:paraId="25C696FE" w14:textId="77777777" w:rsidR="008A4FED" w:rsidRPr="00666914" w:rsidRDefault="008A4FED" w:rsidP="004D30E9">
      <w:pPr>
        <w:ind w:firstLine="5954"/>
        <w:jc w:val="right"/>
        <w:rPr>
          <w:i/>
          <w:sz w:val="18"/>
        </w:rPr>
      </w:pPr>
      <w:r w:rsidRPr="00666914">
        <w:rPr>
          <w:i/>
          <w:sz w:val="18"/>
        </w:rPr>
        <w:t>Zdroj: ZP, MZ SR, spracovanie IJ</w:t>
      </w:r>
    </w:p>
    <w:p w14:paraId="4E9B609E" w14:textId="77777777" w:rsidR="008A4FED" w:rsidRPr="00666914" w:rsidRDefault="008A4FED">
      <w:pPr>
        <w:spacing w:line="259" w:lineRule="auto"/>
        <w:jc w:val="left"/>
      </w:pPr>
      <w:bookmarkStart w:id="113" w:name="_Toc5636435"/>
      <w:bookmarkStart w:id="114" w:name="_Toc20209172"/>
      <w:bookmarkEnd w:id="109"/>
      <w:r w:rsidRPr="00666914">
        <w:t>Úhrady za laboratórne vyšetrenia rástli medziročne vo všetkých ZP (graf 5).</w:t>
      </w:r>
    </w:p>
    <w:p w14:paraId="39D67F24" w14:textId="758C4E02" w:rsidR="008A4FED" w:rsidRPr="00666914" w:rsidRDefault="008A4FED" w:rsidP="004D30E9">
      <w:pPr>
        <w:pBdr>
          <w:bottom w:val="single" w:sz="4" w:space="1" w:color="auto"/>
        </w:pBdr>
      </w:pPr>
      <w:bookmarkStart w:id="115" w:name="_Toc36547044"/>
      <w:bookmarkStart w:id="116" w:name="_Toc38390049"/>
      <w:r w:rsidRPr="00666914">
        <w:rPr>
          <w:b/>
          <w:sz w:val="20"/>
        </w:rPr>
        <w:t xml:space="preserve">Graf </w:t>
      </w:r>
      <w:r w:rsidRPr="00666914">
        <w:rPr>
          <w:b/>
          <w:sz w:val="20"/>
        </w:rPr>
        <w:fldChar w:fldCharType="begin"/>
      </w:r>
      <w:r w:rsidRPr="00666914">
        <w:rPr>
          <w:b/>
          <w:sz w:val="20"/>
        </w:rPr>
        <w:instrText xml:space="preserve"> SEQ Graf \* ARABIC \* MERGEFORMAT </w:instrText>
      </w:r>
      <w:r w:rsidRPr="00666914">
        <w:rPr>
          <w:b/>
          <w:sz w:val="20"/>
        </w:rPr>
        <w:fldChar w:fldCharType="separate"/>
      </w:r>
      <w:r w:rsidR="005A7304">
        <w:rPr>
          <w:b/>
          <w:noProof/>
          <w:sz w:val="20"/>
        </w:rPr>
        <w:t>5</w:t>
      </w:r>
      <w:r w:rsidRPr="00666914">
        <w:rPr>
          <w:b/>
          <w:sz w:val="20"/>
        </w:rPr>
        <w:fldChar w:fldCharType="end"/>
      </w:r>
      <w:r w:rsidRPr="00666914">
        <w:rPr>
          <w:b/>
          <w:sz w:val="20"/>
        </w:rPr>
        <w:t>: Úhrady poisťovní za laboratórne výkony (mil. eur</w:t>
      </w:r>
      <w:bookmarkEnd w:id="113"/>
      <w:r w:rsidRPr="00666914">
        <w:rPr>
          <w:b/>
          <w:sz w:val="20"/>
        </w:rPr>
        <w:t>)</w:t>
      </w:r>
      <w:bookmarkEnd w:id="114"/>
      <w:bookmarkEnd w:id="115"/>
      <w:bookmarkEnd w:id="116"/>
    </w:p>
    <w:p w14:paraId="74D85793" w14:textId="77777777" w:rsidR="008A4FED" w:rsidRPr="00666914" w:rsidRDefault="008A4FED" w:rsidP="004D30E9">
      <w:pPr>
        <w:spacing w:after="0"/>
        <w:jc w:val="center"/>
      </w:pPr>
      <w:r w:rsidRPr="00666914">
        <w:rPr>
          <w:noProof/>
          <w:lang w:eastAsia="sk-SK"/>
        </w:rPr>
        <w:drawing>
          <wp:inline distT="0" distB="0" distL="0" distR="0" wp14:anchorId="7B58E5FC" wp14:editId="353E48A9">
            <wp:extent cx="4699000" cy="2784475"/>
            <wp:effectExtent l="0" t="0" r="6350" b="0"/>
            <wp:docPr id="47" name="Graf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AA497E4" w14:textId="77777777" w:rsidR="008A4FED" w:rsidRPr="00666914" w:rsidRDefault="008A4FED" w:rsidP="004D30E9">
      <w:pPr>
        <w:pBdr>
          <w:top w:val="single" w:sz="4" w:space="1" w:color="auto"/>
        </w:pBdr>
        <w:jc w:val="right"/>
        <w:rPr>
          <w:i/>
          <w:sz w:val="18"/>
        </w:rPr>
      </w:pPr>
      <w:r w:rsidRPr="00666914">
        <w:rPr>
          <w:i/>
          <w:sz w:val="18"/>
        </w:rPr>
        <w:t>Zdroj: ZP, MZ SR, spracovanie IJ</w:t>
      </w:r>
    </w:p>
    <w:p w14:paraId="35376AFD" w14:textId="5EFCBC8F" w:rsidR="008A4FED" w:rsidRPr="00666914" w:rsidRDefault="007913BA" w:rsidP="007913BA">
      <w:pPr>
        <w:spacing w:after="0"/>
        <w:jc w:val="left"/>
      </w:pPr>
      <w:r w:rsidRPr="00666914">
        <w:br w:type="page"/>
      </w:r>
    </w:p>
    <w:p w14:paraId="3C8DB3A2" w14:textId="22149FB6" w:rsidR="008A4FED" w:rsidRPr="00666914" w:rsidRDefault="008A4FED" w:rsidP="008A4FED">
      <w:pPr>
        <w:numPr>
          <w:ilvl w:val="0"/>
          <w:numId w:val="28"/>
        </w:numPr>
        <w:contextualSpacing/>
        <w:rPr>
          <w:b/>
          <w:u w:val="single"/>
        </w:rPr>
      </w:pPr>
      <w:bookmarkStart w:id="117" w:name="_Toc509875030"/>
      <w:bookmarkStart w:id="118" w:name="_Toc517698237"/>
      <w:bookmarkStart w:id="119" w:name="_Toc523924385"/>
      <w:bookmarkStart w:id="120" w:name="_Toc5865312"/>
      <w:r w:rsidRPr="00666914">
        <w:rPr>
          <w:b/>
          <w:u w:val="single"/>
        </w:rPr>
        <w:lastRenderedPageBreak/>
        <w:t>Zazmluvnenie nových SVLZ poskytovateľov</w:t>
      </w:r>
    </w:p>
    <w:p w14:paraId="0C3FC909" w14:textId="77777777" w:rsidR="00413C43" w:rsidRPr="00666914" w:rsidRDefault="00413C43" w:rsidP="00413C43">
      <w:pPr>
        <w:spacing w:after="0"/>
        <w:ind w:left="720"/>
        <w:contextualSpacing/>
        <w:rPr>
          <w:b/>
          <w:u w:val="single"/>
        </w:rPr>
      </w:pPr>
    </w:p>
    <w:p w14:paraId="23311E7A" w14:textId="77777777" w:rsidR="008A4FED" w:rsidRPr="00666914" w:rsidRDefault="008A4FED" w:rsidP="000C4F56">
      <w:r w:rsidRPr="00666914">
        <w:rPr>
          <w:b/>
        </w:rPr>
        <w:t>Opatrenie sa k 31.12.2019 neplní.</w:t>
      </w:r>
      <w:r w:rsidRPr="00666914">
        <w:t xml:space="preserve"> V priebehu roka 2019 bolo zazmluvnené 1 nové MR pracovisko v Kysuckej nemocnici Čadca. Opatrenie malo za cieľ zvýšiť dostupnosť vyšetrení v regiónoch prostredníctvom 6 nových prístrojov</w:t>
      </w:r>
      <w:r w:rsidRPr="00666914">
        <w:rPr>
          <w:rStyle w:val="Odkaznapoznmkupodiarou"/>
        </w:rPr>
        <w:footnoteReference w:id="26"/>
      </w:r>
      <w:r w:rsidRPr="00666914">
        <w:t xml:space="preserve">. Nákup prístrojov pre univerzitné pracoviská zariadení ÚZS zlepší možnosti vzdelávania lekárov. </w:t>
      </w:r>
    </w:p>
    <w:p w14:paraId="2E6AF2E2" w14:textId="54018DDD" w:rsidR="008A4FED" w:rsidRPr="00666914" w:rsidRDefault="008A4FED" w:rsidP="008A4FED">
      <w:pPr>
        <w:numPr>
          <w:ilvl w:val="0"/>
          <w:numId w:val="28"/>
        </w:numPr>
        <w:spacing w:before="240"/>
        <w:contextualSpacing/>
        <w:rPr>
          <w:b/>
          <w:u w:val="single"/>
        </w:rPr>
      </w:pPr>
      <w:r w:rsidRPr="00666914">
        <w:rPr>
          <w:b/>
          <w:u w:val="single"/>
        </w:rPr>
        <w:t>Zmena financovania RTG</w:t>
      </w:r>
    </w:p>
    <w:p w14:paraId="5AAC37A4" w14:textId="77777777" w:rsidR="00413C43" w:rsidRPr="00666914" w:rsidRDefault="00413C43" w:rsidP="00413C43">
      <w:pPr>
        <w:spacing w:before="240" w:after="0"/>
        <w:ind w:left="720"/>
        <w:contextualSpacing/>
        <w:rPr>
          <w:b/>
          <w:u w:val="single"/>
        </w:rPr>
      </w:pPr>
    </w:p>
    <w:p w14:paraId="57F4834B" w14:textId="77777777" w:rsidR="008A4FED" w:rsidRPr="00666914" w:rsidRDefault="008A4FED" w:rsidP="000C4F56">
      <w:r w:rsidRPr="00666914">
        <w:rPr>
          <w:b/>
        </w:rPr>
        <w:t>Opatrenie sa k 31.12.2019 plní čiastočne.</w:t>
      </w:r>
      <w:r w:rsidRPr="00666914">
        <w:t xml:space="preserve"> Od mája 2019 VšZP upravila ceny RTG vyšetrení v závislosti od kvality prístroja. Tie sú klasifikované do 1 zo 4 klastrov na základe typu, veku, spôsobu monitorovania dávky ožiarenia a možnosti šírenia dát prostredníctvom PACS</w:t>
      </w:r>
      <w:r w:rsidRPr="00666914">
        <w:rPr>
          <w:rStyle w:val="Odkaznapoznmkupodiarou"/>
        </w:rPr>
        <w:footnoteReference w:id="27"/>
      </w:r>
      <w:r w:rsidRPr="00666914">
        <w:t>. Výhodnejšie bodové hodnotenie majú pracoviská, ktorých prístroje sú zaradené vo vyššom klastri. Cieľom opatrenia je uprednostniť vyšetrenia na kvalitných RTG prístrojoch pred drahšou počítačovou tomografiou s väčšou dávkou ožarovania a motivovať tak PZS modernizovať prístrojové vybavenie.</w:t>
      </w:r>
    </w:p>
    <w:p w14:paraId="5A5DC11E" w14:textId="67561839" w:rsidR="008A4FED" w:rsidRPr="00666914" w:rsidRDefault="008A4FED" w:rsidP="004D30E9">
      <w:pPr>
        <w:pBdr>
          <w:bottom w:val="single" w:sz="4" w:space="1" w:color="auto"/>
        </w:pBdr>
        <w:spacing w:after="0"/>
        <w:rPr>
          <w:b/>
          <w:sz w:val="20"/>
        </w:rPr>
      </w:pPr>
      <w:bookmarkStart w:id="121" w:name="_Toc20209192"/>
      <w:bookmarkStart w:id="122" w:name="_Toc36547035"/>
      <w:bookmarkStart w:id="123" w:name="_Toc38447676"/>
      <w:r w:rsidRPr="00666914">
        <w:rPr>
          <w:b/>
          <w:sz w:val="20"/>
        </w:rPr>
        <w:t xml:space="preserve">Tabuľka </w:t>
      </w:r>
      <w:r w:rsidRPr="00666914">
        <w:rPr>
          <w:b/>
          <w:sz w:val="20"/>
        </w:rPr>
        <w:fldChar w:fldCharType="begin"/>
      </w:r>
      <w:r w:rsidRPr="00666914">
        <w:rPr>
          <w:b/>
          <w:sz w:val="20"/>
        </w:rPr>
        <w:instrText xml:space="preserve"> SEQ Tabuľka \* ARABIC </w:instrText>
      </w:r>
      <w:r w:rsidRPr="00666914">
        <w:rPr>
          <w:b/>
          <w:sz w:val="20"/>
        </w:rPr>
        <w:fldChar w:fldCharType="separate"/>
      </w:r>
      <w:r w:rsidR="005A7304">
        <w:rPr>
          <w:b/>
          <w:noProof/>
          <w:sz w:val="20"/>
        </w:rPr>
        <w:t>15</w:t>
      </w:r>
      <w:r w:rsidRPr="00666914">
        <w:rPr>
          <w:b/>
          <w:sz w:val="20"/>
        </w:rPr>
        <w:fldChar w:fldCharType="end"/>
      </w:r>
      <w:r w:rsidRPr="00666914">
        <w:rPr>
          <w:b/>
          <w:sz w:val="20"/>
        </w:rPr>
        <w:t>: Počet RTG vyšetrení</w:t>
      </w:r>
      <w:bookmarkEnd w:id="121"/>
      <w:bookmarkEnd w:id="122"/>
      <w:bookmarkEnd w:id="123"/>
    </w:p>
    <w:tbl>
      <w:tblPr>
        <w:tblW w:w="5000" w:type="pct"/>
        <w:tblLayout w:type="fixed"/>
        <w:tblCellMar>
          <w:left w:w="70" w:type="dxa"/>
          <w:right w:w="70" w:type="dxa"/>
        </w:tblCellMar>
        <w:tblLook w:val="04A0" w:firstRow="1" w:lastRow="0" w:firstColumn="1" w:lastColumn="0" w:noHBand="0" w:noVBand="1"/>
      </w:tblPr>
      <w:tblGrid>
        <w:gridCol w:w="1134"/>
        <w:gridCol w:w="2094"/>
        <w:gridCol w:w="921"/>
        <w:gridCol w:w="921"/>
        <w:gridCol w:w="2073"/>
        <w:gridCol w:w="2071"/>
      </w:tblGrid>
      <w:tr w:rsidR="008A4FED" w:rsidRPr="00666914" w14:paraId="36E5D1AE" w14:textId="77777777" w:rsidTr="00F64B85">
        <w:trPr>
          <w:trHeight w:val="227"/>
        </w:trPr>
        <w:tc>
          <w:tcPr>
            <w:tcW w:w="615" w:type="pct"/>
            <w:tcBorders>
              <w:left w:val="nil"/>
              <w:bottom w:val="single" w:sz="4" w:space="0" w:color="auto"/>
              <w:right w:val="single" w:sz="4" w:space="0" w:color="auto"/>
            </w:tcBorders>
            <w:shd w:val="clear" w:color="auto" w:fill="auto"/>
            <w:noWrap/>
            <w:vAlign w:val="center"/>
            <w:hideMark/>
          </w:tcPr>
          <w:p w14:paraId="59C672D0" w14:textId="77777777" w:rsidR="008A4FED" w:rsidRPr="00666914" w:rsidRDefault="008A4FED" w:rsidP="004D30E9">
            <w:pPr>
              <w:spacing w:after="0"/>
              <w:jc w:val="center"/>
              <w:rPr>
                <w:rFonts w:eastAsia="Times New Roman" w:cs="Calibri"/>
                <w:b/>
                <w:bCs/>
                <w:sz w:val="20"/>
                <w:szCs w:val="20"/>
                <w:lang w:eastAsia="sk-SK"/>
              </w:rPr>
            </w:pPr>
          </w:p>
        </w:tc>
        <w:tc>
          <w:tcPr>
            <w:tcW w:w="1136" w:type="pct"/>
            <w:tcBorders>
              <w:top w:val="nil"/>
              <w:left w:val="single" w:sz="4" w:space="0" w:color="auto"/>
              <w:bottom w:val="single" w:sz="4" w:space="0" w:color="auto"/>
              <w:right w:val="nil"/>
            </w:tcBorders>
            <w:shd w:val="clear" w:color="auto" w:fill="auto"/>
            <w:noWrap/>
            <w:vAlign w:val="center"/>
          </w:tcPr>
          <w:p w14:paraId="2D2F8A61" w14:textId="77777777" w:rsidR="008A4FED" w:rsidRPr="00666914" w:rsidRDefault="008A4FED" w:rsidP="00F64B85">
            <w:pPr>
              <w:spacing w:after="0"/>
              <w:jc w:val="center"/>
              <w:rPr>
                <w:rFonts w:eastAsia="Times New Roman" w:cs="Calibri"/>
                <w:b/>
                <w:bCs/>
                <w:sz w:val="20"/>
                <w:szCs w:val="20"/>
                <w:highlight w:val="yellow"/>
                <w:lang w:eastAsia="sk-SK"/>
              </w:rPr>
            </w:pPr>
            <w:r w:rsidRPr="00666914">
              <w:rPr>
                <w:rFonts w:cs="Calibri"/>
                <w:b/>
                <w:bCs/>
                <w:sz w:val="20"/>
                <w:szCs w:val="20"/>
              </w:rPr>
              <w:t>2018</w:t>
            </w:r>
          </w:p>
        </w:tc>
        <w:tc>
          <w:tcPr>
            <w:tcW w:w="500" w:type="pct"/>
            <w:tcBorders>
              <w:top w:val="nil"/>
              <w:left w:val="nil"/>
              <w:bottom w:val="single" w:sz="4" w:space="0" w:color="auto"/>
              <w:right w:val="nil"/>
            </w:tcBorders>
            <w:shd w:val="clear" w:color="auto" w:fill="auto"/>
            <w:noWrap/>
            <w:vAlign w:val="center"/>
          </w:tcPr>
          <w:p w14:paraId="13DC6589" w14:textId="77777777" w:rsidR="008A4FED" w:rsidRPr="00666914" w:rsidRDefault="008A4FED" w:rsidP="00F64B85">
            <w:pPr>
              <w:spacing w:after="0"/>
              <w:jc w:val="center"/>
              <w:rPr>
                <w:rFonts w:eastAsia="Times New Roman" w:cs="Calibri"/>
                <w:b/>
                <w:bCs/>
                <w:sz w:val="20"/>
                <w:szCs w:val="20"/>
                <w:highlight w:val="yellow"/>
                <w:lang w:eastAsia="sk-SK"/>
              </w:rPr>
            </w:pPr>
            <w:r w:rsidRPr="00666914">
              <w:rPr>
                <w:rFonts w:cs="Calibri"/>
                <w:b/>
                <w:bCs/>
                <w:sz w:val="20"/>
                <w:szCs w:val="20"/>
              </w:rPr>
              <w:t>2019</w:t>
            </w:r>
          </w:p>
        </w:tc>
        <w:tc>
          <w:tcPr>
            <w:tcW w:w="500" w:type="pct"/>
            <w:tcBorders>
              <w:top w:val="nil"/>
              <w:left w:val="nil"/>
              <w:bottom w:val="single" w:sz="4" w:space="0" w:color="auto"/>
              <w:right w:val="nil"/>
            </w:tcBorders>
            <w:shd w:val="clear" w:color="auto" w:fill="auto"/>
            <w:noWrap/>
            <w:vAlign w:val="bottom"/>
          </w:tcPr>
          <w:p w14:paraId="092FF863" w14:textId="77777777" w:rsidR="008A4FED" w:rsidRPr="00666914" w:rsidRDefault="008A4FED" w:rsidP="004D30E9">
            <w:pPr>
              <w:spacing w:after="0"/>
              <w:jc w:val="center"/>
              <w:rPr>
                <w:rFonts w:eastAsia="Times New Roman" w:cs="Calibri"/>
                <w:b/>
                <w:bCs/>
                <w:sz w:val="20"/>
                <w:szCs w:val="20"/>
                <w:highlight w:val="yellow"/>
                <w:lang w:eastAsia="sk-SK"/>
              </w:rPr>
            </w:pPr>
            <w:r w:rsidRPr="00666914">
              <w:rPr>
                <w:rFonts w:eastAsia="Times New Roman" w:cs="Calibri"/>
                <w:b/>
                <w:bCs/>
                <w:sz w:val="20"/>
                <w:szCs w:val="20"/>
                <w:lang w:eastAsia="sk-SK"/>
              </w:rPr>
              <w:t>zmena 19/18</w:t>
            </w:r>
          </w:p>
        </w:tc>
        <w:tc>
          <w:tcPr>
            <w:tcW w:w="1125" w:type="pct"/>
            <w:tcBorders>
              <w:top w:val="nil"/>
              <w:left w:val="nil"/>
              <w:bottom w:val="single" w:sz="4" w:space="0" w:color="auto"/>
              <w:right w:val="nil"/>
            </w:tcBorders>
            <w:vAlign w:val="bottom"/>
          </w:tcPr>
          <w:p w14:paraId="1058A99C" w14:textId="77777777" w:rsidR="008A4FED" w:rsidRPr="00666914" w:rsidRDefault="008A4FED" w:rsidP="004D30E9">
            <w:pPr>
              <w:spacing w:after="0"/>
              <w:jc w:val="center"/>
              <w:rPr>
                <w:rFonts w:eastAsia="Times New Roman" w:cs="Calibri"/>
                <w:b/>
                <w:bCs/>
                <w:sz w:val="20"/>
                <w:szCs w:val="20"/>
                <w:lang w:eastAsia="sk-SK"/>
              </w:rPr>
            </w:pPr>
            <w:r w:rsidRPr="00666914">
              <w:rPr>
                <w:rFonts w:eastAsia="Times New Roman" w:cs="Calibri"/>
                <w:b/>
                <w:bCs/>
                <w:sz w:val="20"/>
                <w:szCs w:val="20"/>
                <w:lang w:eastAsia="sk-SK"/>
              </w:rPr>
              <w:t>Počet RTG na 1 CT vyšetrenie 2018</w:t>
            </w:r>
          </w:p>
        </w:tc>
        <w:tc>
          <w:tcPr>
            <w:tcW w:w="1124" w:type="pct"/>
            <w:tcBorders>
              <w:top w:val="nil"/>
              <w:left w:val="nil"/>
              <w:bottom w:val="single" w:sz="4" w:space="0" w:color="auto"/>
              <w:right w:val="nil"/>
            </w:tcBorders>
            <w:vAlign w:val="bottom"/>
          </w:tcPr>
          <w:p w14:paraId="346F8FA1" w14:textId="77777777" w:rsidR="008A4FED" w:rsidRPr="00666914" w:rsidRDefault="008A4FED" w:rsidP="004D30E9">
            <w:pPr>
              <w:spacing w:after="0"/>
              <w:ind w:left="-43" w:firstLine="43"/>
              <w:jc w:val="center"/>
              <w:rPr>
                <w:rFonts w:eastAsia="Times New Roman" w:cs="Calibri"/>
                <w:b/>
                <w:bCs/>
                <w:sz w:val="20"/>
                <w:szCs w:val="20"/>
                <w:lang w:eastAsia="sk-SK"/>
              </w:rPr>
            </w:pPr>
            <w:r w:rsidRPr="00666914">
              <w:rPr>
                <w:rFonts w:eastAsia="Times New Roman" w:cs="Calibri"/>
                <w:b/>
                <w:bCs/>
                <w:sz w:val="20"/>
                <w:szCs w:val="20"/>
                <w:lang w:eastAsia="sk-SK"/>
              </w:rPr>
              <w:t>Počet RTG na 1 CT vyšetrenie 2019</w:t>
            </w:r>
          </w:p>
        </w:tc>
      </w:tr>
      <w:tr w:rsidR="008A4FED" w:rsidRPr="00666914" w14:paraId="3EBDA0E0" w14:textId="77777777" w:rsidTr="00F64B85">
        <w:trPr>
          <w:trHeight w:val="227"/>
        </w:trPr>
        <w:tc>
          <w:tcPr>
            <w:tcW w:w="615" w:type="pct"/>
            <w:tcBorders>
              <w:left w:val="nil"/>
              <w:right w:val="single" w:sz="4" w:space="0" w:color="auto"/>
            </w:tcBorders>
            <w:shd w:val="clear" w:color="auto" w:fill="auto"/>
            <w:noWrap/>
            <w:vAlign w:val="center"/>
          </w:tcPr>
          <w:p w14:paraId="29A9D0E9" w14:textId="77777777" w:rsidR="008A4FED" w:rsidRPr="00666914" w:rsidRDefault="008A4FED" w:rsidP="00F64B85">
            <w:pPr>
              <w:spacing w:after="0"/>
              <w:jc w:val="left"/>
              <w:rPr>
                <w:rFonts w:eastAsia="Times New Roman" w:cs="Calibri"/>
                <w:bCs/>
                <w:sz w:val="20"/>
                <w:szCs w:val="20"/>
                <w:lang w:eastAsia="sk-SK"/>
              </w:rPr>
            </w:pPr>
            <w:r w:rsidRPr="00666914">
              <w:rPr>
                <w:rFonts w:eastAsia="Times New Roman" w:cs="Calibri"/>
                <w:bCs/>
                <w:sz w:val="20"/>
                <w:szCs w:val="20"/>
                <w:lang w:eastAsia="sk-SK"/>
              </w:rPr>
              <w:t>VšZP</w:t>
            </w:r>
          </w:p>
        </w:tc>
        <w:tc>
          <w:tcPr>
            <w:tcW w:w="1136" w:type="pct"/>
            <w:tcBorders>
              <w:left w:val="single" w:sz="4" w:space="0" w:color="auto"/>
              <w:right w:val="nil"/>
            </w:tcBorders>
            <w:shd w:val="clear" w:color="auto" w:fill="auto"/>
            <w:noWrap/>
            <w:vAlign w:val="bottom"/>
          </w:tcPr>
          <w:p w14:paraId="72C0462B" w14:textId="77777777" w:rsidR="008A4FED" w:rsidRPr="00666914" w:rsidRDefault="008A4FED" w:rsidP="00F64B85">
            <w:pPr>
              <w:spacing w:after="0"/>
              <w:jc w:val="center"/>
              <w:rPr>
                <w:rFonts w:eastAsia="Times New Roman" w:cs="Calibri"/>
                <w:b/>
                <w:bCs/>
                <w:sz w:val="20"/>
                <w:szCs w:val="20"/>
                <w:highlight w:val="yellow"/>
                <w:lang w:eastAsia="sk-SK"/>
              </w:rPr>
            </w:pPr>
            <w:r w:rsidRPr="00666914">
              <w:rPr>
                <w:rFonts w:cs="Calibri"/>
                <w:sz w:val="20"/>
                <w:szCs w:val="20"/>
              </w:rPr>
              <w:t>2 305 494</w:t>
            </w:r>
          </w:p>
        </w:tc>
        <w:tc>
          <w:tcPr>
            <w:tcW w:w="500" w:type="pct"/>
            <w:tcBorders>
              <w:left w:val="nil"/>
              <w:right w:val="nil"/>
            </w:tcBorders>
            <w:shd w:val="clear" w:color="auto" w:fill="auto"/>
            <w:noWrap/>
            <w:vAlign w:val="bottom"/>
          </w:tcPr>
          <w:p w14:paraId="5550E36B"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sz w:val="20"/>
                <w:szCs w:val="20"/>
              </w:rPr>
              <w:t>2 311 971</w:t>
            </w:r>
          </w:p>
        </w:tc>
        <w:tc>
          <w:tcPr>
            <w:tcW w:w="500" w:type="pct"/>
            <w:tcBorders>
              <w:left w:val="nil"/>
              <w:right w:val="nil"/>
            </w:tcBorders>
            <w:shd w:val="clear" w:color="auto" w:fill="auto"/>
            <w:noWrap/>
            <w:vAlign w:val="bottom"/>
          </w:tcPr>
          <w:p w14:paraId="1B316D32"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sz w:val="20"/>
                <w:szCs w:val="20"/>
              </w:rPr>
              <w:t>0,3%</w:t>
            </w:r>
          </w:p>
        </w:tc>
        <w:tc>
          <w:tcPr>
            <w:tcW w:w="1125" w:type="pct"/>
            <w:tcBorders>
              <w:left w:val="nil"/>
              <w:right w:val="nil"/>
            </w:tcBorders>
            <w:vAlign w:val="bottom"/>
          </w:tcPr>
          <w:p w14:paraId="5236CB2A" w14:textId="77777777" w:rsidR="008A4FED" w:rsidRPr="00666914" w:rsidRDefault="008A4FED" w:rsidP="00F64B85">
            <w:pPr>
              <w:spacing w:after="0"/>
              <w:jc w:val="center"/>
              <w:rPr>
                <w:rFonts w:cs="Calibri"/>
                <w:sz w:val="20"/>
                <w:szCs w:val="20"/>
              </w:rPr>
            </w:pPr>
            <w:r w:rsidRPr="00666914">
              <w:rPr>
                <w:rFonts w:cs="Calibri"/>
                <w:sz w:val="20"/>
                <w:szCs w:val="20"/>
              </w:rPr>
              <w:t>3,2</w:t>
            </w:r>
          </w:p>
        </w:tc>
        <w:tc>
          <w:tcPr>
            <w:tcW w:w="1124" w:type="pct"/>
            <w:tcBorders>
              <w:left w:val="nil"/>
              <w:right w:val="nil"/>
            </w:tcBorders>
            <w:vAlign w:val="bottom"/>
          </w:tcPr>
          <w:p w14:paraId="1B1CE659" w14:textId="77777777" w:rsidR="008A4FED" w:rsidRPr="00666914" w:rsidRDefault="008A4FED" w:rsidP="00F64B85">
            <w:pPr>
              <w:spacing w:after="0"/>
              <w:ind w:left="-43" w:firstLine="43"/>
              <w:jc w:val="center"/>
              <w:rPr>
                <w:rFonts w:cs="Calibri"/>
                <w:sz w:val="20"/>
                <w:szCs w:val="20"/>
              </w:rPr>
            </w:pPr>
            <w:r w:rsidRPr="00666914">
              <w:rPr>
                <w:rFonts w:cs="Calibri"/>
                <w:sz w:val="20"/>
                <w:szCs w:val="20"/>
              </w:rPr>
              <w:t>3,1</w:t>
            </w:r>
          </w:p>
        </w:tc>
      </w:tr>
      <w:tr w:rsidR="008A4FED" w:rsidRPr="00666914" w14:paraId="0D8B8E4A" w14:textId="77777777" w:rsidTr="00F64B85">
        <w:trPr>
          <w:trHeight w:val="227"/>
        </w:trPr>
        <w:tc>
          <w:tcPr>
            <w:tcW w:w="615" w:type="pct"/>
            <w:tcBorders>
              <w:left w:val="nil"/>
              <w:right w:val="single" w:sz="4" w:space="0" w:color="auto"/>
            </w:tcBorders>
            <w:shd w:val="clear" w:color="auto" w:fill="auto"/>
            <w:noWrap/>
            <w:vAlign w:val="center"/>
          </w:tcPr>
          <w:p w14:paraId="0BD1823A" w14:textId="77777777" w:rsidR="008A4FED" w:rsidRPr="00666914" w:rsidRDefault="008A4FED" w:rsidP="00F64B85">
            <w:pPr>
              <w:spacing w:after="0"/>
              <w:jc w:val="left"/>
              <w:rPr>
                <w:rFonts w:eastAsia="Times New Roman" w:cs="Calibri"/>
                <w:bCs/>
                <w:sz w:val="20"/>
                <w:szCs w:val="20"/>
                <w:lang w:eastAsia="sk-SK"/>
              </w:rPr>
            </w:pPr>
            <w:r w:rsidRPr="00666914">
              <w:rPr>
                <w:rFonts w:eastAsia="Times New Roman" w:cs="Calibri"/>
                <w:bCs/>
                <w:sz w:val="20"/>
                <w:szCs w:val="20"/>
                <w:lang w:eastAsia="sk-SK"/>
              </w:rPr>
              <w:t>Dôvera</w:t>
            </w:r>
          </w:p>
        </w:tc>
        <w:tc>
          <w:tcPr>
            <w:tcW w:w="1136" w:type="pct"/>
            <w:tcBorders>
              <w:left w:val="single" w:sz="4" w:space="0" w:color="auto"/>
              <w:right w:val="nil"/>
            </w:tcBorders>
            <w:shd w:val="clear" w:color="auto" w:fill="auto"/>
            <w:noWrap/>
            <w:vAlign w:val="bottom"/>
          </w:tcPr>
          <w:p w14:paraId="7F7D9E2B" w14:textId="77777777" w:rsidR="008A4FED" w:rsidRPr="00666914" w:rsidRDefault="008A4FED" w:rsidP="00F64B85">
            <w:pPr>
              <w:spacing w:after="0"/>
              <w:jc w:val="center"/>
              <w:rPr>
                <w:rFonts w:eastAsia="Times New Roman" w:cs="Calibri"/>
                <w:b/>
                <w:bCs/>
                <w:sz w:val="20"/>
                <w:szCs w:val="20"/>
                <w:highlight w:val="yellow"/>
                <w:lang w:eastAsia="sk-SK"/>
              </w:rPr>
            </w:pPr>
            <w:r w:rsidRPr="00666914">
              <w:rPr>
                <w:rFonts w:cs="Calibri"/>
                <w:sz w:val="20"/>
                <w:szCs w:val="20"/>
              </w:rPr>
              <w:t>908 992</w:t>
            </w:r>
          </w:p>
        </w:tc>
        <w:tc>
          <w:tcPr>
            <w:tcW w:w="500" w:type="pct"/>
            <w:tcBorders>
              <w:left w:val="nil"/>
              <w:right w:val="nil"/>
            </w:tcBorders>
            <w:shd w:val="clear" w:color="auto" w:fill="auto"/>
            <w:noWrap/>
            <w:vAlign w:val="bottom"/>
          </w:tcPr>
          <w:p w14:paraId="1129D32E"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sz w:val="20"/>
                <w:szCs w:val="20"/>
              </w:rPr>
              <w:t>944 162</w:t>
            </w:r>
          </w:p>
        </w:tc>
        <w:tc>
          <w:tcPr>
            <w:tcW w:w="500" w:type="pct"/>
            <w:tcBorders>
              <w:left w:val="nil"/>
              <w:right w:val="nil"/>
            </w:tcBorders>
            <w:shd w:val="clear" w:color="auto" w:fill="auto"/>
            <w:noWrap/>
            <w:vAlign w:val="bottom"/>
          </w:tcPr>
          <w:p w14:paraId="0C97536C"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sz w:val="20"/>
                <w:szCs w:val="20"/>
              </w:rPr>
              <w:t>3,9%</w:t>
            </w:r>
          </w:p>
        </w:tc>
        <w:tc>
          <w:tcPr>
            <w:tcW w:w="1125" w:type="pct"/>
            <w:tcBorders>
              <w:left w:val="nil"/>
              <w:right w:val="nil"/>
            </w:tcBorders>
            <w:vAlign w:val="bottom"/>
          </w:tcPr>
          <w:p w14:paraId="24680332" w14:textId="77777777" w:rsidR="008A4FED" w:rsidRPr="00666914" w:rsidRDefault="008A4FED" w:rsidP="00F64B85">
            <w:pPr>
              <w:spacing w:after="0"/>
              <w:jc w:val="center"/>
              <w:rPr>
                <w:rFonts w:cs="Calibri"/>
                <w:sz w:val="20"/>
                <w:szCs w:val="20"/>
              </w:rPr>
            </w:pPr>
            <w:r w:rsidRPr="00666914">
              <w:rPr>
                <w:rFonts w:cs="Calibri"/>
                <w:sz w:val="20"/>
                <w:szCs w:val="20"/>
              </w:rPr>
              <w:t>3,6</w:t>
            </w:r>
          </w:p>
        </w:tc>
        <w:tc>
          <w:tcPr>
            <w:tcW w:w="1124" w:type="pct"/>
            <w:tcBorders>
              <w:left w:val="nil"/>
              <w:right w:val="nil"/>
            </w:tcBorders>
            <w:vAlign w:val="bottom"/>
          </w:tcPr>
          <w:p w14:paraId="454F480A" w14:textId="77777777" w:rsidR="008A4FED" w:rsidRPr="00666914" w:rsidRDefault="008A4FED" w:rsidP="00F64B85">
            <w:pPr>
              <w:spacing w:after="0"/>
              <w:ind w:left="-43" w:firstLine="43"/>
              <w:jc w:val="center"/>
              <w:rPr>
                <w:rFonts w:cs="Calibri"/>
                <w:sz w:val="20"/>
                <w:szCs w:val="20"/>
              </w:rPr>
            </w:pPr>
            <w:r w:rsidRPr="00666914">
              <w:rPr>
                <w:rFonts w:cs="Calibri"/>
                <w:sz w:val="20"/>
                <w:szCs w:val="20"/>
              </w:rPr>
              <w:t>3,5</w:t>
            </w:r>
          </w:p>
        </w:tc>
      </w:tr>
      <w:tr w:rsidR="008A4FED" w:rsidRPr="00666914" w14:paraId="444EB0B9" w14:textId="77777777" w:rsidTr="00F64B85">
        <w:trPr>
          <w:trHeight w:val="227"/>
        </w:trPr>
        <w:tc>
          <w:tcPr>
            <w:tcW w:w="615" w:type="pct"/>
            <w:tcBorders>
              <w:left w:val="nil"/>
              <w:bottom w:val="single" w:sz="4" w:space="0" w:color="auto"/>
              <w:right w:val="single" w:sz="4" w:space="0" w:color="auto"/>
            </w:tcBorders>
            <w:shd w:val="clear" w:color="auto" w:fill="auto"/>
            <w:noWrap/>
            <w:vAlign w:val="center"/>
          </w:tcPr>
          <w:p w14:paraId="3DDE5A84" w14:textId="77777777" w:rsidR="008A4FED" w:rsidRPr="00666914" w:rsidRDefault="008A4FED" w:rsidP="00F64B85">
            <w:pPr>
              <w:spacing w:after="0"/>
              <w:jc w:val="left"/>
              <w:rPr>
                <w:rFonts w:eastAsia="Times New Roman" w:cs="Calibri"/>
                <w:bCs/>
                <w:sz w:val="20"/>
                <w:szCs w:val="20"/>
                <w:lang w:eastAsia="sk-SK"/>
              </w:rPr>
            </w:pPr>
            <w:r w:rsidRPr="00666914">
              <w:rPr>
                <w:rFonts w:eastAsia="Times New Roman" w:cs="Calibri"/>
                <w:bCs/>
                <w:sz w:val="20"/>
                <w:szCs w:val="20"/>
                <w:lang w:eastAsia="sk-SK"/>
              </w:rPr>
              <w:t>Union</w:t>
            </w:r>
          </w:p>
        </w:tc>
        <w:tc>
          <w:tcPr>
            <w:tcW w:w="1136" w:type="pct"/>
            <w:tcBorders>
              <w:left w:val="single" w:sz="4" w:space="0" w:color="auto"/>
              <w:bottom w:val="single" w:sz="4" w:space="0" w:color="auto"/>
              <w:right w:val="nil"/>
            </w:tcBorders>
            <w:shd w:val="clear" w:color="auto" w:fill="auto"/>
            <w:noWrap/>
            <w:vAlign w:val="bottom"/>
          </w:tcPr>
          <w:p w14:paraId="1643452F" w14:textId="77777777" w:rsidR="008A4FED" w:rsidRPr="00666914" w:rsidRDefault="008A4FED" w:rsidP="00F64B85">
            <w:pPr>
              <w:spacing w:after="0"/>
              <w:jc w:val="center"/>
              <w:rPr>
                <w:rFonts w:cs="Calibri"/>
                <w:sz w:val="20"/>
                <w:szCs w:val="20"/>
              </w:rPr>
            </w:pPr>
            <w:r w:rsidRPr="00666914">
              <w:rPr>
                <w:rFonts w:cs="Calibri"/>
                <w:sz w:val="20"/>
                <w:szCs w:val="20"/>
              </w:rPr>
              <w:t>211 835</w:t>
            </w:r>
          </w:p>
        </w:tc>
        <w:tc>
          <w:tcPr>
            <w:tcW w:w="500" w:type="pct"/>
            <w:tcBorders>
              <w:left w:val="nil"/>
              <w:bottom w:val="single" w:sz="4" w:space="0" w:color="auto"/>
              <w:right w:val="nil"/>
            </w:tcBorders>
            <w:shd w:val="clear" w:color="auto" w:fill="auto"/>
            <w:noWrap/>
            <w:vAlign w:val="bottom"/>
          </w:tcPr>
          <w:p w14:paraId="2DC1DDA3" w14:textId="77777777" w:rsidR="008A4FED" w:rsidRPr="00666914" w:rsidRDefault="008A4FED" w:rsidP="00F64B85">
            <w:pPr>
              <w:spacing w:after="0"/>
              <w:jc w:val="center"/>
              <w:rPr>
                <w:rFonts w:cs="Calibri"/>
                <w:sz w:val="20"/>
                <w:szCs w:val="20"/>
              </w:rPr>
            </w:pPr>
            <w:r w:rsidRPr="00666914">
              <w:rPr>
                <w:rFonts w:cs="Calibri"/>
                <w:sz w:val="20"/>
                <w:szCs w:val="20"/>
              </w:rPr>
              <w:t>220 675</w:t>
            </w:r>
          </w:p>
        </w:tc>
        <w:tc>
          <w:tcPr>
            <w:tcW w:w="500" w:type="pct"/>
            <w:tcBorders>
              <w:left w:val="nil"/>
              <w:bottom w:val="single" w:sz="4" w:space="0" w:color="auto"/>
              <w:right w:val="nil"/>
            </w:tcBorders>
            <w:shd w:val="clear" w:color="auto" w:fill="auto"/>
            <w:noWrap/>
            <w:vAlign w:val="bottom"/>
          </w:tcPr>
          <w:p w14:paraId="01608D96" w14:textId="77777777" w:rsidR="008A4FED" w:rsidRPr="00666914" w:rsidRDefault="008A4FED" w:rsidP="00F64B85">
            <w:pPr>
              <w:spacing w:after="0"/>
              <w:jc w:val="center"/>
              <w:rPr>
                <w:rFonts w:cs="Calibri"/>
                <w:sz w:val="20"/>
                <w:szCs w:val="20"/>
              </w:rPr>
            </w:pPr>
            <w:r w:rsidRPr="00666914">
              <w:rPr>
                <w:rFonts w:cs="Calibri"/>
                <w:sz w:val="20"/>
                <w:szCs w:val="20"/>
              </w:rPr>
              <w:t>4,2%</w:t>
            </w:r>
          </w:p>
        </w:tc>
        <w:tc>
          <w:tcPr>
            <w:tcW w:w="1125" w:type="pct"/>
            <w:tcBorders>
              <w:left w:val="nil"/>
              <w:bottom w:val="single" w:sz="4" w:space="0" w:color="auto"/>
              <w:right w:val="nil"/>
            </w:tcBorders>
            <w:vAlign w:val="bottom"/>
          </w:tcPr>
          <w:p w14:paraId="70245F06" w14:textId="77777777" w:rsidR="008A4FED" w:rsidRPr="00666914" w:rsidRDefault="008A4FED" w:rsidP="00F64B85">
            <w:pPr>
              <w:spacing w:after="0"/>
              <w:jc w:val="center"/>
              <w:rPr>
                <w:rFonts w:cs="Calibri"/>
                <w:sz w:val="20"/>
                <w:szCs w:val="20"/>
              </w:rPr>
            </w:pPr>
            <w:r w:rsidRPr="00666914">
              <w:rPr>
                <w:rFonts w:cs="Calibri"/>
                <w:sz w:val="20"/>
                <w:szCs w:val="20"/>
              </w:rPr>
              <w:t>5,0</w:t>
            </w:r>
          </w:p>
        </w:tc>
        <w:tc>
          <w:tcPr>
            <w:tcW w:w="1124" w:type="pct"/>
            <w:tcBorders>
              <w:left w:val="nil"/>
              <w:bottom w:val="single" w:sz="4" w:space="0" w:color="auto"/>
              <w:right w:val="nil"/>
            </w:tcBorders>
            <w:vAlign w:val="bottom"/>
          </w:tcPr>
          <w:p w14:paraId="3E5E577A" w14:textId="77777777" w:rsidR="008A4FED" w:rsidRPr="00666914" w:rsidRDefault="008A4FED" w:rsidP="00F64B85">
            <w:pPr>
              <w:spacing w:after="0"/>
              <w:ind w:left="-43" w:firstLine="43"/>
              <w:jc w:val="center"/>
              <w:rPr>
                <w:rFonts w:cs="Calibri"/>
                <w:sz w:val="20"/>
                <w:szCs w:val="20"/>
              </w:rPr>
            </w:pPr>
            <w:r w:rsidRPr="00666914">
              <w:rPr>
                <w:rFonts w:cs="Calibri"/>
                <w:sz w:val="20"/>
                <w:szCs w:val="20"/>
              </w:rPr>
              <w:t>4,7</w:t>
            </w:r>
          </w:p>
        </w:tc>
      </w:tr>
      <w:tr w:rsidR="008A4FED" w:rsidRPr="00666914" w14:paraId="3A1B379C" w14:textId="77777777" w:rsidTr="00F64B85">
        <w:trPr>
          <w:trHeight w:val="227"/>
        </w:trPr>
        <w:tc>
          <w:tcPr>
            <w:tcW w:w="615" w:type="pct"/>
            <w:tcBorders>
              <w:top w:val="single" w:sz="4" w:space="0" w:color="auto"/>
              <w:left w:val="nil"/>
              <w:bottom w:val="single" w:sz="4" w:space="0" w:color="auto"/>
              <w:right w:val="single" w:sz="4" w:space="0" w:color="auto"/>
            </w:tcBorders>
            <w:shd w:val="clear" w:color="auto" w:fill="auto"/>
            <w:noWrap/>
            <w:vAlign w:val="center"/>
          </w:tcPr>
          <w:p w14:paraId="19DE750A" w14:textId="77777777" w:rsidR="008A4FED" w:rsidRPr="00666914" w:rsidRDefault="008A4FED" w:rsidP="00F64B85">
            <w:pPr>
              <w:spacing w:after="0"/>
              <w:jc w:val="left"/>
              <w:rPr>
                <w:rFonts w:eastAsia="Times New Roman" w:cs="Calibri"/>
                <w:sz w:val="20"/>
                <w:szCs w:val="20"/>
                <w:lang w:eastAsia="sk-SK"/>
              </w:rPr>
            </w:pPr>
            <w:r w:rsidRPr="00666914">
              <w:rPr>
                <w:rFonts w:eastAsia="Times New Roman" w:cs="Calibri"/>
                <w:b/>
                <w:bCs/>
                <w:sz w:val="20"/>
                <w:szCs w:val="20"/>
                <w:lang w:eastAsia="sk-SK"/>
              </w:rPr>
              <w:t>Všetky ZP</w:t>
            </w:r>
          </w:p>
        </w:tc>
        <w:tc>
          <w:tcPr>
            <w:tcW w:w="1136" w:type="pct"/>
            <w:tcBorders>
              <w:top w:val="single" w:sz="4" w:space="0" w:color="auto"/>
              <w:left w:val="single" w:sz="4" w:space="0" w:color="auto"/>
              <w:bottom w:val="single" w:sz="4" w:space="0" w:color="auto"/>
              <w:right w:val="nil"/>
            </w:tcBorders>
            <w:shd w:val="clear" w:color="auto" w:fill="auto"/>
            <w:noWrap/>
            <w:vAlign w:val="bottom"/>
          </w:tcPr>
          <w:p w14:paraId="063CAD38" w14:textId="77777777" w:rsidR="008A4FED" w:rsidRPr="00666914" w:rsidRDefault="008A4FED" w:rsidP="00F64B85">
            <w:pPr>
              <w:spacing w:after="0"/>
              <w:jc w:val="center"/>
              <w:rPr>
                <w:rFonts w:eastAsia="Times New Roman" w:cs="Calibri"/>
                <w:sz w:val="20"/>
                <w:szCs w:val="20"/>
                <w:highlight w:val="yellow"/>
                <w:lang w:eastAsia="sk-SK"/>
              </w:rPr>
            </w:pPr>
            <w:r w:rsidRPr="00666914">
              <w:rPr>
                <w:rFonts w:cs="Calibri"/>
                <w:sz w:val="20"/>
                <w:szCs w:val="20"/>
              </w:rPr>
              <w:t>3 426 321</w:t>
            </w:r>
          </w:p>
        </w:tc>
        <w:tc>
          <w:tcPr>
            <w:tcW w:w="500" w:type="pct"/>
            <w:tcBorders>
              <w:top w:val="single" w:sz="4" w:space="0" w:color="auto"/>
              <w:left w:val="nil"/>
              <w:bottom w:val="single" w:sz="4" w:space="0" w:color="auto"/>
              <w:right w:val="nil"/>
            </w:tcBorders>
            <w:shd w:val="clear" w:color="auto" w:fill="auto"/>
            <w:noWrap/>
            <w:vAlign w:val="bottom"/>
          </w:tcPr>
          <w:p w14:paraId="60CDF3BD" w14:textId="77777777" w:rsidR="008A4FED" w:rsidRPr="00666914" w:rsidRDefault="008A4FED" w:rsidP="00F64B85">
            <w:pPr>
              <w:spacing w:after="0"/>
              <w:jc w:val="center"/>
              <w:rPr>
                <w:rFonts w:ascii="Times New Roman" w:eastAsia="Times New Roman" w:hAnsi="Times New Roman"/>
                <w:sz w:val="20"/>
                <w:szCs w:val="20"/>
                <w:highlight w:val="yellow"/>
                <w:lang w:eastAsia="sk-SK"/>
              </w:rPr>
            </w:pPr>
            <w:r w:rsidRPr="00666914">
              <w:rPr>
                <w:rFonts w:cs="Calibri"/>
                <w:sz w:val="20"/>
                <w:szCs w:val="20"/>
              </w:rPr>
              <w:t>3 476 808</w:t>
            </w:r>
          </w:p>
        </w:tc>
        <w:tc>
          <w:tcPr>
            <w:tcW w:w="500" w:type="pct"/>
            <w:tcBorders>
              <w:top w:val="single" w:sz="4" w:space="0" w:color="auto"/>
              <w:left w:val="nil"/>
              <w:bottom w:val="single" w:sz="4" w:space="0" w:color="auto"/>
              <w:right w:val="nil"/>
            </w:tcBorders>
            <w:shd w:val="clear" w:color="auto" w:fill="auto"/>
            <w:noWrap/>
            <w:vAlign w:val="bottom"/>
          </w:tcPr>
          <w:p w14:paraId="580C94EB" w14:textId="77777777" w:rsidR="008A4FED" w:rsidRPr="00666914" w:rsidRDefault="008A4FED" w:rsidP="00F64B85">
            <w:pPr>
              <w:spacing w:after="0"/>
              <w:jc w:val="center"/>
              <w:rPr>
                <w:rFonts w:ascii="Times New Roman" w:eastAsia="Times New Roman" w:hAnsi="Times New Roman"/>
                <w:b/>
                <w:sz w:val="20"/>
                <w:szCs w:val="20"/>
                <w:highlight w:val="yellow"/>
                <w:lang w:eastAsia="sk-SK"/>
              </w:rPr>
            </w:pPr>
            <w:r w:rsidRPr="00666914">
              <w:rPr>
                <w:rFonts w:cs="Calibri"/>
                <w:sz w:val="20"/>
                <w:szCs w:val="20"/>
              </w:rPr>
              <w:t>1,5%</w:t>
            </w:r>
          </w:p>
        </w:tc>
        <w:tc>
          <w:tcPr>
            <w:tcW w:w="1125" w:type="pct"/>
            <w:tcBorders>
              <w:top w:val="single" w:sz="4" w:space="0" w:color="auto"/>
              <w:left w:val="nil"/>
              <w:bottom w:val="single" w:sz="4" w:space="0" w:color="auto"/>
              <w:right w:val="nil"/>
            </w:tcBorders>
            <w:vAlign w:val="bottom"/>
          </w:tcPr>
          <w:p w14:paraId="75B9CD7D" w14:textId="77777777" w:rsidR="008A4FED" w:rsidRPr="00666914" w:rsidRDefault="008A4FED" w:rsidP="00F64B85">
            <w:pPr>
              <w:spacing w:after="0"/>
              <w:jc w:val="center"/>
              <w:rPr>
                <w:rFonts w:ascii="Times New Roman" w:eastAsia="Times New Roman" w:hAnsi="Times New Roman"/>
                <w:b/>
                <w:sz w:val="20"/>
                <w:szCs w:val="20"/>
                <w:highlight w:val="yellow"/>
                <w:lang w:eastAsia="sk-SK"/>
              </w:rPr>
            </w:pPr>
            <w:r w:rsidRPr="00666914">
              <w:rPr>
                <w:rFonts w:cs="Calibri"/>
                <w:sz w:val="20"/>
                <w:szCs w:val="20"/>
              </w:rPr>
              <w:t>3,4</w:t>
            </w:r>
          </w:p>
        </w:tc>
        <w:tc>
          <w:tcPr>
            <w:tcW w:w="1124" w:type="pct"/>
            <w:tcBorders>
              <w:top w:val="single" w:sz="4" w:space="0" w:color="auto"/>
              <w:left w:val="nil"/>
              <w:bottom w:val="single" w:sz="4" w:space="0" w:color="auto"/>
              <w:right w:val="nil"/>
            </w:tcBorders>
            <w:vAlign w:val="bottom"/>
          </w:tcPr>
          <w:p w14:paraId="740D379B" w14:textId="77777777" w:rsidR="008A4FED" w:rsidRPr="00666914" w:rsidRDefault="008A4FED" w:rsidP="00F64B85">
            <w:pPr>
              <w:spacing w:after="0"/>
              <w:ind w:left="-43" w:firstLine="43"/>
              <w:jc w:val="center"/>
              <w:rPr>
                <w:rFonts w:ascii="Times New Roman" w:eastAsia="Times New Roman" w:hAnsi="Times New Roman"/>
                <w:b/>
                <w:sz w:val="20"/>
                <w:szCs w:val="20"/>
                <w:highlight w:val="yellow"/>
                <w:lang w:eastAsia="sk-SK"/>
              </w:rPr>
            </w:pPr>
            <w:r w:rsidRPr="00666914">
              <w:rPr>
                <w:rFonts w:cs="Calibri"/>
                <w:sz w:val="20"/>
                <w:szCs w:val="20"/>
              </w:rPr>
              <w:t>3,3</w:t>
            </w:r>
          </w:p>
        </w:tc>
      </w:tr>
    </w:tbl>
    <w:p w14:paraId="413130B7" w14:textId="46D89157" w:rsidR="000C4F56" w:rsidRPr="00666914" w:rsidRDefault="008A4FED" w:rsidP="004D30E9">
      <w:pPr>
        <w:ind w:firstLine="5954"/>
        <w:jc w:val="right"/>
        <w:rPr>
          <w:i/>
          <w:sz w:val="18"/>
        </w:rPr>
      </w:pPr>
      <w:r w:rsidRPr="00666914">
        <w:rPr>
          <w:i/>
          <w:sz w:val="18"/>
        </w:rPr>
        <w:t>Zdroj: ZP, MZ SR, spracovanie IJ</w:t>
      </w:r>
    </w:p>
    <w:p w14:paraId="7D4C93D0" w14:textId="77777777" w:rsidR="000C4F56" w:rsidRPr="00666914" w:rsidRDefault="000C4F56">
      <w:pPr>
        <w:spacing w:after="0"/>
        <w:jc w:val="left"/>
        <w:rPr>
          <w:i/>
          <w:sz w:val="18"/>
        </w:rPr>
      </w:pPr>
      <w:r w:rsidRPr="00666914">
        <w:rPr>
          <w:i/>
          <w:sz w:val="18"/>
        </w:rPr>
        <w:br w:type="page"/>
      </w:r>
    </w:p>
    <w:p w14:paraId="37B2DC08" w14:textId="77777777" w:rsidR="008A4FED" w:rsidRPr="00666914" w:rsidRDefault="008A4FED" w:rsidP="009F4910">
      <w:pPr>
        <w:pStyle w:val="Nadpis2"/>
      </w:pPr>
      <w:bookmarkStart w:id="124" w:name="_Toc20104674"/>
      <w:bookmarkStart w:id="125" w:name="_Toc20209245"/>
      <w:bookmarkStart w:id="126" w:name="_Toc36547013"/>
      <w:bookmarkStart w:id="127" w:name="_Toc38447584"/>
      <w:r w:rsidRPr="00666914">
        <w:lastRenderedPageBreak/>
        <w:t>Nemocnice</w:t>
      </w:r>
      <w:bookmarkEnd w:id="117"/>
      <w:bookmarkEnd w:id="118"/>
      <w:bookmarkEnd w:id="119"/>
      <w:bookmarkEnd w:id="120"/>
      <w:bookmarkEnd w:id="124"/>
      <w:bookmarkEnd w:id="125"/>
      <w:bookmarkEnd w:id="126"/>
      <w:bookmarkEnd w:id="1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
        <w:gridCol w:w="740"/>
        <w:gridCol w:w="2170"/>
        <w:gridCol w:w="1362"/>
        <w:gridCol w:w="1171"/>
        <w:gridCol w:w="1305"/>
        <w:gridCol w:w="530"/>
        <w:gridCol w:w="530"/>
        <w:gridCol w:w="530"/>
        <w:gridCol w:w="526"/>
      </w:tblGrid>
      <w:tr w:rsidR="008A4FED" w:rsidRPr="00666914" w14:paraId="619FCC85" w14:textId="77777777" w:rsidTr="00B43A7D">
        <w:trPr>
          <w:trHeight w:val="495"/>
        </w:trPr>
        <w:tc>
          <w:tcPr>
            <w:tcW w:w="184" w:type="pct"/>
            <w:shd w:val="clear" w:color="auto" w:fill="auto"/>
            <w:noWrap/>
            <w:vAlign w:val="center"/>
            <w:hideMark/>
          </w:tcPr>
          <w:p w14:paraId="63AFF958" w14:textId="77777777" w:rsidR="008A4FED" w:rsidRPr="00666914" w:rsidRDefault="008A4FED" w:rsidP="004D30E9">
            <w:pPr>
              <w:spacing w:after="0"/>
              <w:jc w:val="left"/>
              <w:rPr>
                <w:rFonts w:eastAsia="Times New Roman"/>
                <w:b/>
                <w:bCs/>
                <w:color w:val="000000"/>
                <w:sz w:val="24"/>
                <w:szCs w:val="24"/>
                <w:lang w:eastAsia="sk-SK"/>
              </w:rPr>
            </w:pPr>
            <w:r w:rsidRPr="00666914">
              <w:rPr>
                <w:rFonts w:eastAsia="Times New Roman"/>
                <w:b/>
                <w:bCs/>
                <w:color w:val="000000"/>
                <w:sz w:val="24"/>
                <w:szCs w:val="24"/>
                <w:lang w:eastAsia="sk-SK"/>
              </w:rPr>
              <w:t> </w:t>
            </w:r>
          </w:p>
        </w:tc>
        <w:tc>
          <w:tcPr>
            <w:tcW w:w="402" w:type="pct"/>
            <w:vAlign w:val="center"/>
          </w:tcPr>
          <w:p w14:paraId="70FD8805" w14:textId="77777777" w:rsidR="008A4FED" w:rsidRPr="00666914" w:rsidRDefault="008A4FED" w:rsidP="004D30E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Revízia</w:t>
            </w:r>
          </w:p>
        </w:tc>
        <w:tc>
          <w:tcPr>
            <w:tcW w:w="1179" w:type="pct"/>
            <w:shd w:val="clear" w:color="auto" w:fill="auto"/>
            <w:noWrap/>
            <w:vAlign w:val="center"/>
            <w:hideMark/>
          </w:tcPr>
          <w:p w14:paraId="49582CF7" w14:textId="77777777" w:rsidR="008A4FED" w:rsidRPr="00666914" w:rsidRDefault="008A4FED" w:rsidP="004D30E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Opatrenie</w:t>
            </w:r>
          </w:p>
        </w:tc>
        <w:tc>
          <w:tcPr>
            <w:tcW w:w="740" w:type="pct"/>
            <w:shd w:val="clear" w:color="auto" w:fill="auto"/>
            <w:noWrap/>
            <w:vAlign w:val="center"/>
            <w:hideMark/>
          </w:tcPr>
          <w:p w14:paraId="56C1D107"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Zodpovednosť</w:t>
            </w:r>
          </w:p>
        </w:tc>
        <w:tc>
          <w:tcPr>
            <w:tcW w:w="636" w:type="pct"/>
            <w:shd w:val="clear" w:color="auto" w:fill="auto"/>
            <w:noWrap/>
            <w:vAlign w:val="center"/>
            <w:hideMark/>
          </w:tcPr>
          <w:p w14:paraId="647CD674"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Pôvodný</w:t>
            </w:r>
          </w:p>
          <w:p w14:paraId="243C02F9"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termín</w:t>
            </w:r>
          </w:p>
        </w:tc>
        <w:tc>
          <w:tcPr>
            <w:tcW w:w="709" w:type="pct"/>
            <w:vAlign w:val="center"/>
          </w:tcPr>
          <w:p w14:paraId="2D4AD456" w14:textId="77777777" w:rsidR="008A4FED" w:rsidRPr="00666914" w:rsidRDefault="008A4FED" w:rsidP="004D30E9">
            <w:pPr>
              <w:spacing w:after="0"/>
              <w:jc w:val="center"/>
              <w:rPr>
                <w:rFonts w:eastAsia="Times New Roman"/>
                <w:b/>
                <w:bCs/>
                <w:color w:val="000000"/>
                <w:sz w:val="20"/>
                <w:szCs w:val="20"/>
                <w:highlight w:val="yellow"/>
                <w:lang w:eastAsia="sk-SK"/>
              </w:rPr>
            </w:pPr>
            <w:r w:rsidRPr="00666914">
              <w:rPr>
                <w:rFonts w:eastAsia="Times New Roman"/>
                <w:b/>
                <w:bCs/>
                <w:color w:val="000000"/>
                <w:sz w:val="20"/>
                <w:szCs w:val="20"/>
                <w:lang w:eastAsia="sk-SK"/>
              </w:rPr>
              <w:t>Nový termín</w:t>
            </w:r>
          </w:p>
        </w:tc>
        <w:tc>
          <w:tcPr>
            <w:tcW w:w="288" w:type="pct"/>
            <w:shd w:val="clear" w:color="auto" w:fill="auto"/>
            <w:noWrap/>
            <w:vAlign w:val="center"/>
            <w:hideMark/>
          </w:tcPr>
          <w:p w14:paraId="2AC0C4D4"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1Q</w:t>
            </w:r>
          </w:p>
          <w:p w14:paraId="404BCDD6"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2019</w:t>
            </w:r>
          </w:p>
        </w:tc>
        <w:tc>
          <w:tcPr>
            <w:tcW w:w="288" w:type="pct"/>
            <w:shd w:val="clear" w:color="auto" w:fill="auto"/>
            <w:noWrap/>
            <w:vAlign w:val="center"/>
            <w:hideMark/>
          </w:tcPr>
          <w:p w14:paraId="372455E5"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2Q</w:t>
            </w:r>
          </w:p>
          <w:p w14:paraId="08001327"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2019</w:t>
            </w:r>
          </w:p>
        </w:tc>
        <w:tc>
          <w:tcPr>
            <w:tcW w:w="288" w:type="pct"/>
            <w:shd w:val="clear" w:color="auto" w:fill="auto"/>
            <w:noWrap/>
            <w:vAlign w:val="center"/>
            <w:hideMark/>
          </w:tcPr>
          <w:p w14:paraId="05EB744C"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3Q</w:t>
            </w:r>
          </w:p>
          <w:p w14:paraId="34D932C5"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2019</w:t>
            </w:r>
          </w:p>
        </w:tc>
        <w:tc>
          <w:tcPr>
            <w:tcW w:w="288" w:type="pct"/>
            <w:shd w:val="clear" w:color="auto" w:fill="auto"/>
            <w:noWrap/>
            <w:vAlign w:val="center"/>
            <w:hideMark/>
          </w:tcPr>
          <w:p w14:paraId="0B7D7B06"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4Q</w:t>
            </w:r>
          </w:p>
          <w:p w14:paraId="67E54548" w14:textId="77777777" w:rsidR="008A4FED" w:rsidRPr="00666914" w:rsidRDefault="008A4FED" w:rsidP="004D30E9">
            <w:pPr>
              <w:spacing w:after="0"/>
              <w:ind w:left="-254" w:firstLine="254"/>
              <w:jc w:val="center"/>
              <w:rPr>
                <w:rFonts w:eastAsia="Times New Roman"/>
                <w:b/>
                <w:bCs/>
                <w:color w:val="000000"/>
                <w:sz w:val="20"/>
                <w:szCs w:val="20"/>
                <w:lang w:eastAsia="sk-SK"/>
              </w:rPr>
            </w:pPr>
            <w:r w:rsidRPr="00666914">
              <w:rPr>
                <w:rFonts w:eastAsia="Times New Roman"/>
                <w:b/>
                <w:bCs/>
                <w:color w:val="000000"/>
                <w:sz w:val="20"/>
                <w:szCs w:val="20"/>
                <w:lang w:eastAsia="sk-SK"/>
              </w:rPr>
              <w:t>2019</w:t>
            </w:r>
          </w:p>
        </w:tc>
      </w:tr>
      <w:tr w:rsidR="008A4FED" w:rsidRPr="00666914" w14:paraId="55C136E7" w14:textId="77777777" w:rsidTr="00F64B85">
        <w:trPr>
          <w:trHeight w:val="615"/>
        </w:trPr>
        <w:tc>
          <w:tcPr>
            <w:tcW w:w="184" w:type="pct"/>
            <w:shd w:val="clear" w:color="auto" w:fill="auto"/>
            <w:vAlign w:val="center"/>
            <w:hideMark/>
          </w:tcPr>
          <w:p w14:paraId="4A7603B3" w14:textId="77777777" w:rsidR="008A4FED" w:rsidRPr="00666914" w:rsidRDefault="008A4FED" w:rsidP="004D30E9">
            <w:pPr>
              <w:spacing w:after="0"/>
              <w:jc w:val="center"/>
              <w:rPr>
                <w:rFonts w:eastAsia="Times New Roman"/>
                <w:bCs/>
                <w:color w:val="000000"/>
                <w:sz w:val="20"/>
                <w:szCs w:val="20"/>
                <w:lang w:eastAsia="sk-SK"/>
              </w:rPr>
            </w:pPr>
            <w:r w:rsidRPr="00666914">
              <w:rPr>
                <w:rFonts w:eastAsia="Times New Roman"/>
                <w:color w:val="000000"/>
                <w:sz w:val="20"/>
                <w:szCs w:val="20"/>
                <w:lang w:eastAsia="sk-SK"/>
              </w:rPr>
              <w:t>15</w:t>
            </w:r>
          </w:p>
        </w:tc>
        <w:tc>
          <w:tcPr>
            <w:tcW w:w="402" w:type="pct"/>
            <w:vAlign w:val="center"/>
          </w:tcPr>
          <w:p w14:paraId="2C78CDC2"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II.</w:t>
            </w:r>
          </w:p>
        </w:tc>
        <w:tc>
          <w:tcPr>
            <w:tcW w:w="1179" w:type="pct"/>
            <w:shd w:val="clear" w:color="auto" w:fill="auto"/>
            <w:vAlign w:val="center"/>
            <w:hideMark/>
          </w:tcPr>
          <w:p w14:paraId="317A5C40"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Optimalizácia prevádzkových nákladov </w:t>
            </w:r>
          </w:p>
        </w:tc>
        <w:tc>
          <w:tcPr>
            <w:tcW w:w="740" w:type="pct"/>
            <w:shd w:val="clear" w:color="auto" w:fill="auto"/>
            <w:vAlign w:val="center"/>
            <w:hideMark/>
          </w:tcPr>
          <w:p w14:paraId="3E31D5BF"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 nemocnice</w:t>
            </w:r>
          </w:p>
        </w:tc>
        <w:tc>
          <w:tcPr>
            <w:tcW w:w="636" w:type="pct"/>
            <w:shd w:val="clear" w:color="auto" w:fill="auto"/>
            <w:vAlign w:val="center"/>
            <w:hideMark/>
          </w:tcPr>
          <w:p w14:paraId="18E1D9B4"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709" w:type="pct"/>
            <w:vAlign w:val="center"/>
          </w:tcPr>
          <w:p w14:paraId="2B6995A6" w14:textId="77777777" w:rsidR="008A4FED" w:rsidRPr="00666914" w:rsidRDefault="008A4FED" w:rsidP="004D30E9">
            <w:pPr>
              <w:spacing w:after="0"/>
              <w:jc w:val="center"/>
              <w:rPr>
                <w:rFonts w:eastAsia="Times New Roman"/>
                <w:color w:val="000000"/>
                <w:sz w:val="20"/>
                <w:szCs w:val="20"/>
                <w:highlight w:val="yellow"/>
                <w:lang w:eastAsia="sk-SK"/>
              </w:rPr>
            </w:pPr>
            <w:r w:rsidRPr="00666914">
              <w:rPr>
                <w:rFonts w:eastAsia="Times New Roman"/>
                <w:color w:val="000000"/>
                <w:sz w:val="20"/>
                <w:szCs w:val="20"/>
                <w:lang w:eastAsia="sk-SK"/>
              </w:rPr>
              <w:t>31.12.2019</w:t>
            </w:r>
          </w:p>
        </w:tc>
        <w:tc>
          <w:tcPr>
            <w:tcW w:w="288" w:type="pct"/>
            <w:tcBorders>
              <w:top w:val="nil"/>
              <w:left w:val="nil"/>
              <w:bottom w:val="single" w:sz="4" w:space="0" w:color="auto"/>
              <w:right w:val="single" w:sz="4" w:space="0" w:color="auto"/>
            </w:tcBorders>
            <w:shd w:val="clear" w:color="auto" w:fill="C00000"/>
            <w:noWrap/>
            <w:vAlign w:val="bottom"/>
            <w:hideMark/>
          </w:tcPr>
          <w:p w14:paraId="0C9ED12F" w14:textId="77777777" w:rsidR="008A4FED" w:rsidRPr="00666914" w:rsidRDefault="008A4FED" w:rsidP="004D30E9">
            <w:pPr>
              <w:spacing w:after="0"/>
              <w:rPr>
                <w:rFonts w:eastAsia="Times New Roman"/>
                <w:color w:val="C00000"/>
                <w:sz w:val="20"/>
                <w:szCs w:val="20"/>
                <w:lang w:eastAsia="sk-SK"/>
              </w:rPr>
            </w:pPr>
            <w:r w:rsidRPr="00666914">
              <w:rPr>
                <w:rFonts w:eastAsia="Times New Roman"/>
                <w:color w:val="C00000"/>
                <w:sz w:val="20"/>
                <w:szCs w:val="20"/>
                <w:lang w:eastAsia="sk-SK"/>
              </w:rPr>
              <w:t> </w:t>
            </w:r>
          </w:p>
        </w:tc>
        <w:tc>
          <w:tcPr>
            <w:tcW w:w="288" w:type="pct"/>
            <w:tcBorders>
              <w:top w:val="nil"/>
              <w:left w:val="nil"/>
              <w:bottom w:val="single" w:sz="4" w:space="0" w:color="auto"/>
              <w:right w:val="single" w:sz="4" w:space="0" w:color="auto"/>
            </w:tcBorders>
            <w:shd w:val="clear" w:color="auto" w:fill="C00000"/>
            <w:noWrap/>
            <w:vAlign w:val="bottom"/>
            <w:hideMark/>
          </w:tcPr>
          <w:p w14:paraId="43CB9D50" w14:textId="77777777" w:rsidR="008A4FED" w:rsidRPr="00666914" w:rsidRDefault="008A4FED" w:rsidP="004D30E9">
            <w:pPr>
              <w:spacing w:after="0"/>
              <w:rPr>
                <w:rFonts w:eastAsia="Times New Roman"/>
                <w:color w:val="FFFFFF" w:themeColor="background1"/>
                <w:sz w:val="20"/>
                <w:szCs w:val="20"/>
                <w:lang w:eastAsia="sk-SK"/>
              </w:rPr>
            </w:pPr>
            <w:r w:rsidRPr="00666914">
              <w:rPr>
                <w:rFonts w:eastAsia="Times New Roman"/>
                <w:color w:val="FFFFFF" w:themeColor="background1"/>
                <w:sz w:val="20"/>
                <w:szCs w:val="20"/>
                <w:lang w:eastAsia="sk-SK"/>
              </w:rPr>
              <w:t> </w:t>
            </w:r>
          </w:p>
        </w:tc>
        <w:tc>
          <w:tcPr>
            <w:tcW w:w="288" w:type="pct"/>
            <w:shd w:val="clear" w:color="auto" w:fill="C00000"/>
            <w:noWrap/>
            <w:vAlign w:val="bottom"/>
            <w:hideMark/>
          </w:tcPr>
          <w:p w14:paraId="755EEA77" w14:textId="77777777" w:rsidR="008A4FED" w:rsidRPr="00666914" w:rsidRDefault="008A4FED" w:rsidP="004D30E9">
            <w:pPr>
              <w:spacing w:after="0"/>
              <w:jc w:val="center"/>
              <w:rPr>
                <w:rFonts w:eastAsia="Times New Roman"/>
                <w:color w:val="C00000"/>
                <w:sz w:val="20"/>
                <w:szCs w:val="20"/>
                <w:lang w:eastAsia="sk-SK"/>
              </w:rPr>
            </w:pPr>
            <w:r w:rsidRPr="00666914">
              <w:rPr>
                <w:rFonts w:eastAsia="Times New Roman"/>
                <w:color w:val="C00000"/>
                <w:sz w:val="20"/>
                <w:szCs w:val="20"/>
                <w:lang w:eastAsia="sk-SK"/>
              </w:rPr>
              <w:t> </w:t>
            </w:r>
          </w:p>
        </w:tc>
        <w:tc>
          <w:tcPr>
            <w:tcW w:w="288" w:type="pct"/>
            <w:shd w:val="clear" w:color="auto" w:fill="C00000"/>
            <w:noWrap/>
            <w:vAlign w:val="bottom"/>
            <w:hideMark/>
          </w:tcPr>
          <w:p w14:paraId="5555C05B"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C00000"/>
                <w:sz w:val="20"/>
                <w:szCs w:val="20"/>
                <w:lang w:eastAsia="sk-SK"/>
              </w:rPr>
              <w:t> </w:t>
            </w:r>
          </w:p>
        </w:tc>
      </w:tr>
      <w:tr w:rsidR="008A4FED" w:rsidRPr="00666914" w14:paraId="7F9111EA" w14:textId="77777777" w:rsidTr="00F64B85">
        <w:trPr>
          <w:trHeight w:val="315"/>
        </w:trPr>
        <w:tc>
          <w:tcPr>
            <w:tcW w:w="184" w:type="pct"/>
            <w:shd w:val="clear" w:color="auto" w:fill="auto"/>
            <w:vAlign w:val="center"/>
            <w:hideMark/>
          </w:tcPr>
          <w:p w14:paraId="70641F92" w14:textId="77777777" w:rsidR="008A4FED" w:rsidRPr="00666914" w:rsidRDefault="008A4FED" w:rsidP="004D30E9">
            <w:pPr>
              <w:spacing w:after="0"/>
              <w:jc w:val="center"/>
              <w:rPr>
                <w:rFonts w:eastAsia="Times New Roman"/>
                <w:bCs/>
                <w:color w:val="000000"/>
                <w:sz w:val="20"/>
                <w:szCs w:val="20"/>
                <w:lang w:eastAsia="sk-SK"/>
              </w:rPr>
            </w:pPr>
            <w:r w:rsidRPr="00666914">
              <w:rPr>
                <w:rFonts w:eastAsia="Times New Roman"/>
                <w:color w:val="000000"/>
                <w:sz w:val="20"/>
                <w:szCs w:val="20"/>
                <w:lang w:eastAsia="sk-SK"/>
              </w:rPr>
              <w:t>16</w:t>
            </w:r>
          </w:p>
        </w:tc>
        <w:tc>
          <w:tcPr>
            <w:tcW w:w="402" w:type="pct"/>
            <w:vAlign w:val="center"/>
          </w:tcPr>
          <w:p w14:paraId="4C1C1435"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II.</w:t>
            </w:r>
          </w:p>
        </w:tc>
        <w:tc>
          <w:tcPr>
            <w:tcW w:w="1179" w:type="pct"/>
            <w:shd w:val="clear" w:color="auto" w:fill="auto"/>
            <w:vAlign w:val="center"/>
            <w:hideMark/>
          </w:tcPr>
          <w:p w14:paraId="6C400BF2"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Optimalizácia procesov ÚZS</w:t>
            </w:r>
          </w:p>
        </w:tc>
        <w:tc>
          <w:tcPr>
            <w:tcW w:w="740" w:type="pct"/>
            <w:shd w:val="clear" w:color="auto" w:fill="auto"/>
            <w:vAlign w:val="center"/>
            <w:hideMark/>
          </w:tcPr>
          <w:p w14:paraId="701722D2"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 nemocnice</w:t>
            </w:r>
          </w:p>
        </w:tc>
        <w:tc>
          <w:tcPr>
            <w:tcW w:w="636" w:type="pct"/>
            <w:shd w:val="clear" w:color="auto" w:fill="auto"/>
            <w:vAlign w:val="center"/>
            <w:hideMark/>
          </w:tcPr>
          <w:p w14:paraId="429FBF4F"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709" w:type="pct"/>
            <w:vAlign w:val="center"/>
          </w:tcPr>
          <w:p w14:paraId="057B1EA2" w14:textId="77777777" w:rsidR="008A4FED" w:rsidRPr="00666914" w:rsidRDefault="008A4FED" w:rsidP="004D30E9">
            <w:pPr>
              <w:spacing w:after="0"/>
              <w:jc w:val="center"/>
              <w:rPr>
                <w:rFonts w:eastAsia="Times New Roman"/>
                <w:color w:val="000000"/>
                <w:sz w:val="20"/>
                <w:szCs w:val="20"/>
                <w:highlight w:val="yellow"/>
                <w:lang w:eastAsia="sk-SK"/>
              </w:rPr>
            </w:pPr>
            <w:r w:rsidRPr="00666914">
              <w:rPr>
                <w:rFonts w:eastAsia="Times New Roman"/>
                <w:color w:val="000000"/>
                <w:sz w:val="20"/>
                <w:szCs w:val="20"/>
                <w:lang w:eastAsia="sk-SK"/>
              </w:rPr>
              <w:t>31.12.2019</w:t>
            </w:r>
          </w:p>
        </w:tc>
        <w:tc>
          <w:tcPr>
            <w:tcW w:w="288" w:type="pct"/>
            <w:tcBorders>
              <w:top w:val="nil"/>
              <w:left w:val="nil"/>
              <w:bottom w:val="single" w:sz="4" w:space="0" w:color="auto"/>
              <w:right w:val="single" w:sz="4" w:space="0" w:color="auto"/>
            </w:tcBorders>
            <w:shd w:val="clear" w:color="auto" w:fill="C00000"/>
            <w:noWrap/>
            <w:vAlign w:val="bottom"/>
            <w:hideMark/>
          </w:tcPr>
          <w:p w14:paraId="5F52D3AA"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8" w:type="pct"/>
            <w:tcBorders>
              <w:top w:val="nil"/>
              <w:left w:val="nil"/>
              <w:bottom w:val="single" w:sz="4" w:space="0" w:color="auto"/>
              <w:right w:val="single" w:sz="4" w:space="0" w:color="auto"/>
            </w:tcBorders>
            <w:shd w:val="clear" w:color="auto" w:fill="C00000"/>
            <w:noWrap/>
            <w:vAlign w:val="bottom"/>
            <w:hideMark/>
          </w:tcPr>
          <w:p w14:paraId="078EFE0C"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8" w:type="pct"/>
            <w:shd w:val="clear" w:color="auto" w:fill="C00000"/>
            <w:noWrap/>
            <w:vAlign w:val="bottom"/>
            <w:hideMark/>
          </w:tcPr>
          <w:p w14:paraId="13B4CB4F"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 </w:t>
            </w:r>
          </w:p>
        </w:tc>
        <w:tc>
          <w:tcPr>
            <w:tcW w:w="288" w:type="pct"/>
            <w:shd w:val="clear" w:color="auto" w:fill="C00000"/>
            <w:noWrap/>
            <w:vAlign w:val="bottom"/>
            <w:hideMark/>
          </w:tcPr>
          <w:p w14:paraId="19E84AFA"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6893A346" w14:textId="77777777" w:rsidTr="00F64B85">
        <w:trPr>
          <w:trHeight w:val="315"/>
        </w:trPr>
        <w:tc>
          <w:tcPr>
            <w:tcW w:w="184" w:type="pct"/>
            <w:shd w:val="clear" w:color="auto" w:fill="auto"/>
            <w:vAlign w:val="center"/>
            <w:hideMark/>
          </w:tcPr>
          <w:p w14:paraId="7B692794" w14:textId="77777777" w:rsidR="008A4FED" w:rsidRPr="00666914" w:rsidRDefault="008A4FED" w:rsidP="004D30E9">
            <w:pPr>
              <w:spacing w:after="0"/>
              <w:jc w:val="center"/>
              <w:rPr>
                <w:rFonts w:eastAsia="Times New Roman"/>
                <w:bCs/>
                <w:color w:val="000000"/>
                <w:sz w:val="20"/>
                <w:szCs w:val="20"/>
                <w:lang w:eastAsia="sk-SK"/>
              </w:rPr>
            </w:pPr>
            <w:r w:rsidRPr="00666914">
              <w:rPr>
                <w:rFonts w:eastAsia="Times New Roman"/>
                <w:color w:val="000000"/>
                <w:sz w:val="20"/>
                <w:szCs w:val="20"/>
                <w:lang w:eastAsia="sk-SK"/>
              </w:rPr>
              <w:t>17</w:t>
            </w:r>
          </w:p>
        </w:tc>
        <w:tc>
          <w:tcPr>
            <w:tcW w:w="402" w:type="pct"/>
            <w:vAlign w:val="center"/>
          </w:tcPr>
          <w:p w14:paraId="0C20566D"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II.</w:t>
            </w:r>
          </w:p>
        </w:tc>
        <w:tc>
          <w:tcPr>
            <w:tcW w:w="1179" w:type="pct"/>
            <w:shd w:val="clear" w:color="auto" w:fill="auto"/>
            <w:vAlign w:val="center"/>
            <w:hideMark/>
          </w:tcPr>
          <w:p w14:paraId="4FA0383D"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Optimalizácia nákupu liekov a ŠZM</w:t>
            </w:r>
          </w:p>
        </w:tc>
        <w:tc>
          <w:tcPr>
            <w:tcW w:w="740" w:type="pct"/>
            <w:shd w:val="clear" w:color="auto" w:fill="auto"/>
            <w:vAlign w:val="center"/>
            <w:hideMark/>
          </w:tcPr>
          <w:p w14:paraId="509A4F2E"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 nemocnice</w:t>
            </w:r>
          </w:p>
        </w:tc>
        <w:tc>
          <w:tcPr>
            <w:tcW w:w="636" w:type="pct"/>
            <w:shd w:val="clear" w:color="auto" w:fill="auto"/>
            <w:vAlign w:val="center"/>
            <w:hideMark/>
          </w:tcPr>
          <w:p w14:paraId="4ADC7B71"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31.12.2019</w:t>
            </w:r>
          </w:p>
        </w:tc>
        <w:tc>
          <w:tcPr>
            <w:tcW w:w="709" w:type="pct"/>
            <w:vAlign w:val="center"/>
          </w:tcPr>
          <w:p w14:paraId="07786ED4" w14:textId="77777777" w:rsidR="008A4FED" w:rsidRPr="00666914" w:rsidRDefault="008A4FED" w:rsidP="004D30E9">
            <w:pPr>
              <w:spacing w:after="0"/>
              <w:jc w:val="center"/>
              <w:rPr>
                <w:rFonts w:eastAsia="Times New Roman"/>
                <w:color w:val="000000"/>
                <w:sz w:val="20"/>
                <w:szCs w:val="20"/>
                <w:highlight w:val="yellow"/>
                <w:lang w:eastAsia="sk-SK"/>
              </w:rPr>
            </w:pPr>
            <w:r w:rsidRPr="00666914">
              <w:rPr>
                <w:rFonts w:eastAsia="Times New Roman"/>
                <w:color w:val="000000"/>
                <w:sz w:val="20"/>
                <w:szCs w:val="20"/>
                <w:lang w:eastAsia="sk-SK"/>
              </w:rPr>
              <w:t>-</w:t>
            </w:r>
          </w:p>
        </w:tc>
        <w:tc>
          <w:tcPr>
            <w:tcW w:w="288" w:type="pct"/>
            <w:tcBorders>
              <w:top w:val="nil"/>
              <w:left w:val="nil"/>
              <w:bottom w:val="single" w:sz="4" w:space="0" w:color="auto"/>
              <w:right w:val="single" w:sz="4" w:space="0" w:color="auto"/>
            </w:tcBorders>
            <w:shd w:val="clear" w:color="auto" w:fill="C00000"/>
            <w:noWrap/>
            <w:vAlign w:val="bottom"/>
            <w:hideMark/>
          </w:tcPr>
          <w:p w14:paraId="32406726"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8" w:type="pct"/>
            <w:tcBorders>
              <w:top w:val="nil"/>
              <w:left w:val="nil"/>
              <w:bottom w:val="single" w:sz="4" w:space="0" w:color="auto"/>
              <w:right w:val="single" w:sz="4" w:space="0" w:color="auto"/>
            </w:tcBorders>
            <w:shd w:val="clear" w:color="auto" w:fill="C00000"/>
            <w:noWrap/>
            <w:vAlign w:val="bottom"/>
            <w:hideMark/>
          </w:tcPr>
          <w:p w14:paraId="6BC1F61E"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8" w:type="pct"/>
            <w:shd w:val="clear" w:color="auto" w:fill="C00000"/>
            <w:noWrap/>
            <w:vAlign w:val="bottom"/>
            <w:hideMark/>
          </w:tcPr>
          <w:p w14:paraId="0B0BCA86"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 </w:t>
            </w:r>
          </w:p>
        </w:tc>
        <w:tc>
          <w:tcPr>
            <w:tcW w:w="288" w:type="pct"/>
            <w:shd w:val="clear" w:color="auto" w:fill="C00000"/>
            <w:noWrap/>
            <w:vAlign w:val="bottom"/>
            <w:hideMark/>
          </w:tcPr>
          <w:p w14:paraId="5E652043"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22506A0F" w14:textId="77777777" w:rsidTr="00F64B85">
        <w:trPr>
          <w:trHeight w:val="315"/>
        </w:trPr>
        <w:tc>
          <w:tcPr>
            <w:tcW w:w="184" w:type="pct"/>
            <w:shd w:val="clear" w:color="auto" w:fill="auto"/>
            <w:vAlign w:val="center"/>
          </w:tcPr>
          <w:p w14:paraId="02EB94B7"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18</w:t>
            </w:r>
          </w:p>
        </w:tc>
        <w:tc>
          <w:tcPr>
            <w:tcW w:w="402" w:type="pct"/>
            <w:vAlign w:val="center"/>
          </w:tcPr>
          <w:p w14:paraId="22B4F39E"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II.</w:t>
            </w:r>
          </w:p>
        </w:tc>
        <w:tc>
          <w:tcPr>
            <w:tcW w:w="1179" w:type="pct"/>
            <w:shd w:val="clear" w:color="auto" w:fill="auto"/>
            <w:vAlign w:val="center"/>
          </w:tcPr>
          <w:p w14:paraId="12F2C4A7"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ŠZM - referencovanie kategorizovaného ŠZM</w:t>
            </w:r>
          </w:p>
        </w:tc>
        <w:tc>
          <w:tcPr>
            <w:tcW w:w="740" w:type="pct"/>
            <w:shd w:val="clear" w:color="auto" w:fill="auto"/>
            <w:vAlign w:val="center"/>
          </w:tcPr>
          <w:p w14:paraId="066EF364"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w:t>
            </w:r>
          </w:p>
        </w:tc>
        <w:tc>
          <w:tcPr>
            <w:tcW w:w="636" w:type="pct"/>
            <w:shd w:val="clear" w:color="auto" w:fill="auto"/>
            <w:vAlign w:val="center"/>
          </w:tcPr>
          <w:p w14:paraId="697C0A0F"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31.12.2019</w:t>
            </w:r>
          </w:p>
        </w:tc>
        <w:tc>
          <w:tcPr>
            <w:tcW w:w="709" w:type="pct"/>
            <w:vAlign w:val="center"/>
          </w:tcPr>
          <w:p w14:paraId="569ACD45"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w:t>
            </w:r>
          </w:p>
        </w:tc>
        <w:tc>
          <w:tcPr>
            <w:tcW w:w="288" w:type="pct"/>
            <w:tcBorders>
              <w:top w:val="nil"/>
              <w:left w:val="nil"/>
              <w:bottom w:val="single" w:sz="4" w:space="0" w:color="auto"/>
              <w:right w:val="single" w:sz="4" w:space="0" w:color="auto"/>
            </w:tcBorders>
            <w:shd w:val="clear" w:color="auto" w:fill="FF0000"/>
            <w:noWrap/>
            <w:vAlign w:val="bottom"/>
          </w:tcPr>
          <w:p w14:paraId="0BC1B885" w14:textId="77777777" w:rsidR="008A4FED" w:rsidRPr="00666914" w:rsidRDefault="008A4FED" w:rsidP="004D30E9">
            <w:pPr>
              <w:spacing w:after="0"/>
              <w:rPr>
                <w:rFonts w:eastAsia="Times New Roman"/>
                <w:color w:val="000000"/>
                <w:sz w:val="20"/>
                <w:szCs w:val="20"/>
                <w:lang w:eastAsia="sk-SK"/>
              </w:rPr>
            </w:pPr>
          </w:p>
        </w:tc>
        <w:tc>
          <w:tcPr>
            <w:tcW w:w="288" w:type="pct"/>
            <w:tcBorders>
              <w:top w:val="nil"/>
              <w:left w:val="nil"/>
              <w:bottom w:val="single" w:sz="4" w:space="0" w:color="auto"/>
              <w:right w:val="single" w:sz="4" w:space="0" w:color="auto"/>
            </w:tcBorders>
            <w:shd w:val="clear" w:color="auto" w:fill="FF0000"/>
            <w:noWrap/>
            <w:vAlign w:val="bottom"/>
          </w:tcPr>
          <w:p w14:paraId="21D081BD" w14:textId="77777777" w:rsidR="008A4FED" w:rsidRPr="00666914" w:rsidRDefault="008A4FED" w:rsidP="004D30E9">
            <w:pPr>
              <w:spacing w:after="0"/>
              <w:rPr>
                <w:rFonts w:eastAsia="Times New Roman"/>
                <w:color w:val="000000"/>
                <w:sz w:val="20"/>
                <w:szCs w:val="20"/>
                <w:lang w:eastAsia="sk-SK"/>
              </w:rPr>
            </w:pPr>
          </w:p>
        </w:tc>
        <w:tc>
          <w:tcPr>
            <w:tcW w:w="288" w:type="pct"/>
            <w:shd w:val="clear" w:color="auto" w:fill="FF0000"/>
            <w:noWrap/>
            <w:vAlign w:val="bottom"/>
          </w:tcPr>
          <w:p w14:paraId="570DE4B5" w14:textId="77777777" w:rsidR="008A4FED" w:rsidRPr="00666914" w:rsidRDefault="008A4FED" w:rsidP="004D30E9">
            <w:pPr>
              <w:spacing w:after="0"/>
              <w:jc w:val="center"/>
              <w:rPr>
                <w:rFonts w:eastAsia="Times New Roman"/>
                <w:color w:val="000000"/>
                <w:sz w:val="20"/>
                <w:szCs w:val="20"/>
                <w:lang w:eastAsia="sk-SK"/>
              </w:rPr>
            </w:pPr>
          </w:p>
        </w:tc>
        <w:tc>
          <w:tcPr>
            <w:tcW w:w="288" w:type="pct"/>
            <w:shd w:val="clear" w:color="auto" w:fill="FF0000"/>
            <w:noWrap/>
            <w:vAlign w:val="bottom"/>
          </w:tcPr>
          <w:p w14:paraId="4B0BE4AC" w14:textId="77777777" w:rsidR="008A4FED" w:rsidRPr="00666914" w:rsidRDefault="008A4FED" w:rsidP="004D30E9">
            <w:pPr>
              <w:spacing w:after="0"/>
              <w:jc w:val="center"/>
              <w:rPr>
                <w:rFonts w:eastAsia="Times New Roman"/>
                <w:color w:val="000000"/>
                <w:sz w:val="20"/>
                <w:szCs w:val="20"/>
                <w:lang w:eastAsia="sk-SK"/>
              </w:rPr>
            </w:pPr>
          </w:p>
        </w:tc>
      </w:tr>
      <w:tr w:rsidR="008A4FED" w:rsidRPr="00666914" w14:paraId="581D551D" w14:textId="77777777" w:rsidTr="00F64B85">
        <w:trPr>
          <w:trHeight w:val="315"/>
        </w:trPr>
        <w:tc>
          <w:tcPr>
            <w:tcW w:w="184" w:type="pct"/>
            <w:shd w:val="clear" w:color="auto" w:fill="auto"/>
            <w:vAlign w:val="center"/>
          </w:tcPr>
          <w:p w14:paraId="0201978C"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19</w:t>
            </w:r>
          </w:p>
        </w:tc>
        <w:tc>
          <w:tcPr>
            <w:tcW w:w="402" w:type="pct"/>
            <w:vAlign w:val="center"/>
          </w:tcPr>
          <w:p w14:paraId="121F7E06"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 a II.</w:t>
            </w:r>
          </w:p>
        </w:tc>
        <w:tc>
          <w:tcPr>
            <w:tcW w:w="1179" w:type="pct"/>
            <w:shd w:val="clear" w:color="auto" w:fill="auto"/>
            <w:vAlign w:val="center"/>
          </w:tcPr>
          <w:p w14:paraId="5D326D71"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Úprava siete akútnych nemocníc a reprofilizácia nemocníc</w:t>
            </w:r>
          </w:p>
          <w:p w14:paraId="729D80E8"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(stratifikácia siete nemocníc)</w:t>
            </w:r>
          </w:p>
        </w:tc>
        <w:tc>
          <w:tcPr>
            <w:tcW w:w="740" w:type="pct"/>
            <w:shd w:val="clear" w:color="auto" w:fill="auto"/>
            <w:vAlign w:val="center"/>
          </w:tcPr>
          <w:p w14:paraId="1F6743F6"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w:t>
            </w:r>
          </w:p>
        </w:tc>
        <w:tc>
          <w:tcPr>
            <w:tcW w:w="636" w:type="pct"/>
            <w:shd w:val="clear" w:color="auto" w:fill="auto"/>
            <w:vAlign w:val="center"/>
          </w:tcPr>
          <w:p w14:paraId="57A6FB9F"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w:t>
            </w:r>
          </w:p>
        </w:tc>
        <w:tc>
          <w:tcPr>
            <w:tcW w:w="709" w:type="pct"/>
            <w:vAlign w:val="center"/>
          </w:tcPr>
          <w:p w14:paraId="3C0FF900"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31.12.2019</w:t>
            </w:r>
          </w:p>
        </w:tc>
        <w:tc>
          <w:tcPr>
            <w:tcW w:w="288" w:type="pct"/>
            <w:tcBorders>
              <w:top w:val="nil"/>
              <w:left w:val="nil"/>
              <w:bottom w:val="single" w:sz="4" w:space="0" w:color="auto"/>
              <w:right w:val="single" w:sz="4" w:space="0" w:color="auto"/>
            </w:tcBorders>
            <w:shd w:val="clear" w:color="auto" w:fill="FF0000"/>
            <w:noWrap/>
            <w:vAlign w:val="bottom"/>
          </w:tcPr>
          <w:p w14:paraId="4BD0409A" w14:textId="77777777" w:rsidR="008A4FED" w:rsidRPr="00666914" w:rsidRDefault="008A4FED" w:rsidP="004D30E9">
            <w:pPr>
              <w:spacing w:after="0"/>
              <w:rPr>
                <w:rFonts w:eastAsia="Times New Roman"/>
                <w:color w:val="000000"/>
                <w:sz w:val="20"/>
                <w:szCs w:val="20"/>
                <w:lang w:eastAsia="sk-SK"/>
              </w:rPr>
            </w:pPr>
          </w:p>
        </w:tc>
        <w:tc>
          <w:tcPr>
            <w:tcW w:w="288" w:type="pct"/>
            <w:tcBorders>
              <w:top w:val="nil"/>
              <w:left w:val="nil"/>
              <w:bottom w:val="single" w:sz="4" w:space="0" w:color="auto"/>
              <w:right w:val="single" w:sz="4" w:space="0" w:color="auto"/>
            </w:tcBorders>
            <w:shd w:val="clear" w:color="auto" w:fill="FF0000"/>
            <w:noWrap/>
            <w:vAlign w:val="bottom"/>
          </w:tcPr>
          <w:p w14:paraId="0F4B385A" w14:textId="77777777" w:rsidR="008A4FED" w:rsidRPr="00666914" w:rsidRDefault="008A4FED" w:rsidP="004D30E9">
            <w:pPr>
              <w:spacing w:after="0"/>
              <w:rPr>
                <w:rFonts w:eastAsia="Times New Roman"/>
                <w:color w:val="000000"/>
                <w:sz w:val="20"/>
                <w:szCs w:val="20"/>
                <w:lang w:eastAsia="sk-SK"/>
              </w:rPr>
            </w:pPr>
          </w:p>
        </w:tc>
        <w:tc>
          <w:tcPr>
            <w:tcW w:w="288" w:type="pct"/>
            <w:shd w:val="clear" w:color="auto" w:fill="FFC000"/>
            <w:noWrap/>
            <w:vAlign w:val="bottom"/>
          </w:tcPr>
          <w:p w14:paraId="53BD9775" w14:textId="77777777" w:rsidR="008A4FED" w:rsidRPr="00666914" w:rsidRDefault="008A4FED" w:rsidP="004D30E9">
            <w:pPr>
              <w:spacing w:after="0"/>
              <w:jc w:val="center"/>
              <w:rPr>
                <w:rFonts w:eastAsia="Times New Roman"/>
                <w:color w:val="000000"/>
                <w:sz w:val="20"/>
                <w:szCs w:val="20"/>
                <w:lang w:eastAsia="sk-SK"/>
              </w:rPr>
            </w:pPr>
          </w:p>
        </w:tc>
        <w:tc>
          <w:tcPr>
            <w:tcW w:w="288" w:type="pct"/>
            <w:shd w:val="clear" w:color="auto" w:fill="FF0000"/>
            <w:noWrap/>
            <w:vAlign w:val="bottom"/>
          </w:tcPr>
          <w:p w14:paraId="2B683746" w14:textId="77777777" w:rsidR="008A4FED" w:rsidRPr="00666914" w:rsidRDefault="008A4FED" w:rsidP="004D30E9">
            <w:pPr>
              <w:spacing w:after="0"/>
              <w:jc w:val="center"/>
              <w:rPr>
                <w:rFonts w:eastAsia="Times New Roman"/>
                <w:color w:val="000000"/>
                <w:sz w:val="20"/>
                <w:szCs w:val="20"/>
                <w:lang w:eastAsia="sk-SK"/>
              </w:rPr>
            </w:pPr>
          </w:p>
        </w:tc>
      </w:tr>
      <w:tr w:rsidR="008A4FED" w:rsidRPr="00666914" w14:paraId="1D155E5C" w14:textId="77777777" w:rsidTr="00F64B85">
        <w:trPr>
          <w:trHeight w:val="315"/>
        </w:trPr>
        <w:tc>
          <w:tcPr>
            <w:tcW w:w="184" w:type="pct"/>
            <w:shd w:val="clear" w:color="auto" w:fill="auto"/>
            <w:vAlign w:val="center"/>
          </w:tcPr>
          <w:p w14:paraId="78572DD2"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20</w:t>
            </w:r>
          </w:p>
        </w:tc>
        <w:tc>
          <w:tcPr>
            <w:tcW w:w="402" w:type="pct"/>
            <w:vAlign w:val="center"/>
          </w:tcPr>
          <w:p w14:paraId="4385CDE5"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179" w:type="pct"/>
            <w:shd w:val="clear" w:color="auto" w:fill="auto"/>
            <w:vAlign w:val="center"/>
          </w:tcPr>
          <w:p w14:paraId="7F38A6B9"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Zavedenie štandardných diagnostických a terapeutických postupov</w:t>
            </w:r>
          </w:p>
        </w:tc>
        <w:tc>
          <w:tcPr>
            <w:tcW w:w="740" w:type="pct"/>
            <w:shd w:val="clear" w:color="auto" w:fill="auto"/>
            <w:vAlign w:val="center"/>
          </w:tcPr>
          <w:p w14:paraId="3B6113EC"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w:t>
            </w:r>
          </w:p>
        </w:tc>
        <w:tc>
          <w:tcPr>
            <w:tcW w:w="636" w:type="pct"/>
            <w:shd w:val="clear" w:color="auto" w:fill="auto"/>
            <w:vAlign w:val="center"/>
          </w:tcPr>
          <w:p w14:paraId="1646235F"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01.07.2018</w:t>
            </w:r>
          </w:p>
        </w:tc>
        <w:tc>
          <w:tcPr>
            <w:tcW w:w="709" w:type="pct"/>
            <w:vAlign w:val="center"/>
          </w:tcPr>
          <w:p w14:paraId="1BC7B6CD"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30.06.2019</w:t>
            </w:r>
          </w:p>
        </w:tc>
        <w:tc>
          <w:tcPr>
            <w:tcW w:w="288" w:type="pct"/>
            <w:tcBorders>
              <w:top w:val="nil"/>
              <w:left w:val="nil"/>
              <w:bottom w:val="single" w:sz="4" w:space="0" w:color="auto"/>
              <w:right w:val="single" w:sz="4" w:space="0" w:color="auto"/>
            </w:tcBorders>
            <w:shd w:val="clear" w:color="auto" w:fill="FFC000"/>
            <w:noWrap/>
            <w:vAlign w:val="bottom"/>
          </w:tcPr>
          <w:p w14:paraId="57BC8E4B" w14:textId="77777777" w:rsidR="008A4FED" w:rsidRPr="00666914" w:rsidRDefault="008A4FED" w:rsidP="004D30E9">
            <w:pPr>
              <w:spacing w:after="0"/>
              <w:rPr>
                <w:rFonts w:eastAsia="Times New Roman"/>
                <w:color w:val="000000"/>
                <w:sz w:val="20"/>
                <w:szCs w:val="20"/>
                <w:lang w:eastAsia="sk-SK"/>
              </w:rPr>
            </w:pPr>
          </w:p>
        </w:tc>
        <w:tc>
          <w:tcPr>
            <w:tcW w:w="288" w:type="pct"/>
            <w:tcBorders>
              <w:top w:val="nil"/>
              <w:left w:val="nil"/>
              <w:bottom w:val="single" w:sz="4" w:space="0" w:color="auto"/>
              <w:right w:val="single" w:sz="4" w:space="0" w:color="auto"/>
            </w:tcBorders>
            <w:shd w:val="clear" w:color="auto" w:fill="FFC000"/>
            <w:noWrap/>
            <w:vAlign w:val="bottom"/>
          </w:tcPr>
          <w:p w14:paraId="77ABB972" w14:textId="77777777" w:rsidR="008A4FED" w:rsidRPr="00666914" w:rsidRDefault="008A4FED" w:rsidP="004D30E9">
            <w:pPr>
              <w:spacing w:after="0"/>
              <w:rPr>
                <w:rFonts w:eastAsia="Times New Roman"/>
                <w:color w:val="000000"/>
                <w:sz w:val="20"/>
                <w:szCs w:val="20"/>
                <w:lang w:eastAsia="sk-SK"/>
              </w:rPr>
            </w:pPr>
          </w:p>
        </w:tc>
        <w:tc>
          <w:tcPr>
            <w:tcW w:w="288" w:type="pct"/>
            <w:shd w:val="clear" w:color="auto" w:fill="FFC000"/>
            <w:noWrap/>
            <w:vAlign w:val="bottom"/>
          </w:tcPr>
          <w:p w14:paraId="11F64154" w14:textId="77777777" w:rsidR="008A4FED" w:rsidRPr="00666914" w:rsidRDefault="008A4FED" w:rsidP="004D30E9">
            <w:pPr>
              <w:spacing w:after="0"/>
              <w:jc w:val="center"/>
              <w:rPr>
                <w:rFonts w:eastAsia="Times New Roman"/>
                <w:color w:val="000000"/>
                <w:sz w:val="20"/>
                <w:szCs w:val="20"/>
                <w:lang w:eastAsia="sk-SK"/>
              </w:rPr>
            </w:pPr>
          </w:p>
        </w:tc>
        <w:tc>
          <w:tcPr>
            <w:tcW w:w="288" w:type="pct"/>
            <w:shd w:val="clear" w:color="auto" w:fill="FFC000"/>
            <w:noWrap/>
            <w:vAlign w:val="bottom"/>
          </w:tcPr>
          <w:p w14:paraId="2F34F12F" w14:textId="77777777" w:rsidR="008A4FED" w:rsidRPr="00666914" w:rsidRDefault="008A4FED" w:rsidP="004D30E9">
            <w:pPr>
              <w:spacing w:after="0"/>
              <w:jc w:val="center"/>
              <w:rPr>
                <w:rFonts w:eastAsia="Times New Roman"/>
                <w:color w:val="000000"/>
                <w:sz w:val="20"/>
                <w:szCs w:val="20"/>
                <w:lang w:eastAsia="sk-SK"/>
              </w:rPr>
            </w:pPr>
          </w:p>
        </w:tc>
      </w:tr>
      <w:tr w:rsidR="008A4FED" w:rsidRPr="00666914" w14:paraId="36B8E05D" w14:textId="77777777" w:rsidTr="00F64B85">
        <w:trPr>
          <w:trHeight w:val="315"/>
        </w:trPr>
        <w:tc>
          <w:tcPr>
            <w:tcW w:w="184" w:type="pct"/>
            <w:shd w:val="clear" w:color="auto" w:fill="auto"/>
            <w:vAlign w:val="center"/>
          </w:tcPr>
          <w:p w14:paraId="57D1B16F"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21</w:t>
            </w:r>
          </w:p>
        </w:tc>
        <w:tc>
          <w:tcPr>
            <w:tcW w:w="402" w:type="pct"/>
            <w:vAlign w:val="center"/>
          </w:tcPr>
          <w:p w14:paraId="2290CA24"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179" w:type="pct"/>
            <w:shd w:val="clear" w:color="auto" w:fill="auto"/>
            <w:vAlign w:val="center"/>
          </w:tcPr>
          <w:p w14:paraId="27A78040"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Elektronizácia zdravotnej dokumentácie a elektronická dokumentácia preskripcie - zapojenie všetkých poskytovateľov ZS do e-Health</w:t>
            </w:r>
          </w:p>
        </w:tc>
        <w:tc>
          <w:tcPr>
            <w:tcW w:w="740" w:type="pct"/>
            <w:shd w:val="clear" w:color="auto" w:fill="auto"/>
            <w:vAlign w:val="center"/>
          </w:tcPr>
          <w:p w14:paraId="5FEFE16D"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NCZI</w:t>
            </w:r>
          </w:p>
        </w:tc>
        <w:tc>
          <w:tcPr>
            <w:tcW w:w="636" w:type="pct"/>
            <w:shd w:val="clear" w:color="auto" w:fill="auto"/>
            <w:vAlign w:val="center"/>
          </w:tcPr>
          <w:p w14:paraId="10A80C0F"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709" w:type="pct"/>
            <w:vAlign w:val="center"/>
          </w:tcPr>
          <w:p w14:paraId="19E35FC9"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31.12.2019</w:t>
            </w:r>
          </w:p>
        </w:tc>
        <w:tc>
          <w:tcPr>
            <w:tcW w:w="288" w:type="pct"/>
            <w:tcBorders>
              <w:top w:val="nil"/>
              <w:left w:val="nil"/>
              <w:bottom w:val="single" w:sz="4" w:space="0" w:color="auto"/>
              <w:right w:val="single" w:sz="4" w:space="0" w:color="auto"/>
            </w:tcBorders>
            <w:shd w:val="clear" w:color="auto" w:fill="FFC000"/>
            <w:noWrap/>
            <w:vAlign w:val="bottom"/>
          </w:tcPr>
          <w:p w14:paraId="42DE6EAC" w14:textId="77777777" w:rsidR="008A4FED" w:rsidRPr="00666914" w:rsidRDefault="008A4FED" w:rsidP="004D30E9">
            <w:pPr>
              <w:spacing w:after="0"/>
              <w:rPr>
                <w:rFonts w:eastAsia="Times New Roman"/>
                <w:color w:val="000000"/>
                <w:sz w:val="20"/>
                <w:szCs w:val="20"/>
                <w:lang w:eastAsia="sk-SK"/>
              </w:rPr>
            </w:pPr>
          </w:p>
        </w:tc>
        <w:tc>
          <w:tcPr>
            <w:tcW w:w="288" w:type="pct"/>
            <w:tcBorders>
              <w:top w:val="nil"/>
              <w:left w:val="nil"/>
              <w:bottom w:val="single" w:sz="4" w:space="0" w:color="auto"/>
              <w:right w:val="single" w:sz="4" w:space="0" w:color="auto"/>
            </w:tcBorders>
            <w:shd w:val="clear" w:color="auto" w:fill="FFC000"/>
            <w:noWrap/>
            <w:vAlign w:val="bottom"/>
          </w:tcPr>
          <w:p w14:paraId="6A488F5A" w14:textId="77777777" w:rsidR="008A4FED" w:rsidRPr="00666914" w:rsidRDefault="008A4FED" w:rsidP="004D30E9">
            <w:pPr>
              <w:spacing w:after="0"/>
              <w:rPr>
                <w:rFonts w:eastAsia="Times New Roman"/>
                <w:color w:val="000000"/>
                <w:sz w:val="20"/>
                <w:szCs w:val="20"/>
                <w:lang w:eastAsia="sk-SK"/>
              </w:rPr>
            </w:pPr>
          </w:p>
        </w:tc>
        <w:tc>
          <w:tcPr>
            <w:tcW w:w="288" w:type="pct"/>
            <w:shd w:val="clear" w:color="auto" w:fill="FFC000"/>
            <w:noWrap/>
            <w:vAlign w:val="bottom"/>
          </w:tcPr>
          <w:p w14:paraId="7CB06BD9" w14:textId="77777777" w:rsidR="008A4FED" w:rsidRPr="00666914" w:rsidRDefault="008A4FED" w:rsidP="004D30E9">
            <w:pPr>
              <w:spacing w:after="0"/>
              <w:jc w:val="center"/>
              <w:rPr>
                <w:rFonts w:eastAsia="Times New Roman"/>
                <w:color w:val="000000"/>
                <w:sz w:val="20"/>
                <w:szCs w:val="20"/>
                <w:lang w:eastAsia="sk-SK"/>
              </w:rPr>
            </w:pPr>
          </w:p>
        </w:tc>
        <w:tc>
          <w:tcPr>
            <w:tcW w:w="288" w:type="pct"/>
            <w:shd w:val="clear" w:color="auto" w:fill="FFC000"/>
            <w:noWrap/>
            <w:vAlign w:val="bottom"/>
          </w:tcPr>
          <w:p w14:paraId="17266337" w14:textId="77777777" w:rsidR="008A4FED" w:rsidRPr="00666914" w:rsidRDefault="008A4FED" w:rsidP="004D30E9">
            <w:pPr>
              <w:spacing w:after="0"/>
              <w:jc w:val="center"/>
              <w:rPr>
                <w:rFonts w:eastAsia="Times New Roman"/>
                <w:color w:val="000000"/>
                <w:sz w:val="20"/>
                <w:szCs w:val="20"/>
                <w:lang w:eastAsia="sk-SK"/>
              </w:rPr>
            </w:pPr>
          </w:p>
        </w:tc>
      </w:tr>
      <w:tr w:rsidR="008A4FED" w:rsidRPr="00666914" w14:paraId="45543C1A" w14:textId="77777777" w:rsidTr="00F64B85">
        <w:trPr>
          <w:trHeight w:val="315"/>
        </w:trPr>
        <w:tc>
          <w:tcPr>
            <w:tcW w:w="184" w:type="pct"/>
            <w:shd w:val="clear" w:color="auto" w:fill="auto"/>
            <w:vAlign w:val="center"/>
          </w:tcPr>
          <w:p w14:paraId="6D843024"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22</w:t>
            </w:r>
          </w:p>
        </w:tc>
        <w:tc>
          <w:tcPr>
            <w:tcW w:w="402" w:type="pct"/>
            <w:vAlign w:val="center"/>
          </w:tcPr>
          <w:p w14:paraId="0337C58D"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II.</w:t>
            </w:r>
          </w:p>
        </w:tc>
        <w:tc>
          <w:tcPr>
            <w:tcW w:w="1179" w:type="pct"/>
            <w:shd w:val="clear" w:color="auto" w:fill="auto"/>
            <w:vAlign w:val="center"/>
          </w:tcPr>
          <w:p w14:paraId="0DA25811"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Zavedenie prehľadných pravidiel pri platbách pacientov</w:t>
            </w:r>
          </w:p>
        </w:tc>
        <w:tc>
          <w:tcPr>
            <w:tcW w:w="740" w:type="pct"/>
            <w:shd w:val="clear" w:color="auto" w:fill="auto"/>
            <w:vAlign w:val="center"/>
          </w:tcPr>
          <w:p w14:paraId="28192D3E"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w:t>
            </w:r>
          </w:p>
        </w:tc>
        <w:tc>
          <w:tcPr>
            <w:tcW w:w="636" w:type="pct"/>
            <w:shd w:val="clear" w:color="auto" w:fill="auto"/>
            <w:vAlign w:val="center"/>
          </w:tcPr>
          <w:p w14:paraId="68E95C51"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709" w:type="pct"/>
            <w:vAlign w:val="center"/>
          </w:tcPr>
          <w:p w14:paraId="5B87837D"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30.06.2019</w:t>
            </w:r>
          </w:p>
        </w:tc>
        <w:tc>
          <w:tcPr>
            <w:tcW w:w="288" w:type="pct"/>
            <w:tcBorders>
              <w:top w:val="nil"/>
              <w:left w:val="nil"/>
              <w:bottom w:val="single" w:sz="4" w:space="0" w:color="auto"/>
              <w:right w:val="single" w:sz="4" w:space="0" w:color="auto"/>
            </w:tcBorders>
            <w:shd w:val="clear" w:color="auto" w:fill="FF0000"/>
            <w:noWrap/>
            <w:vAlign w:val="bottom"/>
          </w:tcPr>
          <w:p w14:paraId="78CC3A1C" w14:textId="77777777" w:rsidR="008A4FED" w:rsidRPr="00666914" w:rsidRDefault="008A4FED" w:rsidP="004D30E9">
            <w:pPr>
              <w:spacing w:after="0"/>
              <w:rPr>
                <w:rFonts w:eastAsia="Times New Roman"/>
                <w:color w:val="000000"/>
                <w:sz w:val="20"/>
                <w:szCs w:val="20"/>
                <w:lang w:eastAsia="sk-SK"/>
              </w:rPr>
            </w:pPr>
          </w:p>
        </w:tc>
        <w:tc>
          <w:tcPr>
            <w:tcW w:w="288" w:type="pct"/>
            <w:tcBorders>
              <w:top w:val="nil"/>
              <w:left w:val="nil"/>
              <w:bottom w:val="single" w:sz="4" w:space="0" w:color="auto"/>
              <w:right w:val="single" w:sz="4" w:space="0" w:color="auto"/>
            </w:tcBorders>
            <w:shd w:val="clear" w:color="auto" w:fill="FF0000"/>
            <w:noWrap/>
            <w:vAlign w:val="bottom"/>
          </w:tcPr>
          <w:p w14:paraId="4DDE2CFF" w14:textId="77777777" w:rsidR="008A4FED" w:rsidRPr="00666914" w:rsidRDefault="008A4FED" w:rsidP="004D30E9">
            <w:pPr>
              <w:spacing w:after="0"/>
              <w:rPr>
                <w:rFonts w:eastAsia="Times New Roman"/>
                <w:color w:val="000000"/>
                <w:sz w:val="20"/>
                <w:szCs w:val="20"/>
                <w:lang w:eastAsia="sk-SK"/>
              </w:rPr>
            </w:pPr>
          </w:p>
        </w:tc>
        <w:tc>
          <w:tcPr>
            <w:tcW w:w="288" w:type="pct"/>
            <w:shd w:val="clear" w:color="auto" w:fill="FF0000"/>
            <w:noWrap/>
            <w:vAlign w:val="bottom"/>
          </w:tcPr>
          <w:p w14:paraId="5F7110F8" w14:textId="77777777" w:rsidR="008A4FED" w:rsidRPr="00666914" w:rsidRDefault="008A4FED" w:rsidP="004D30E9">
            <w:pPr>
              <w:spacing w:after="0"/>
              <w:jc w:val="center"/>
              <w:rPr>
                <w:rFonts w:eastAsia="Times New Roman"/>
                <w:color w:val="000000"/>
                <w:sz w:val="20"/>
                <w:szCs w:val="20"/>
                <w:lang w:eastAsia="sk-SK"/>
              </w:rPr>
            </w:pPr>
          </w:p>
        </w:tc>
        <w:tc>
          <w:tcPr>
            <w:tcW w:w="288" w:type="pct"/>
            <w:shd w:val="clear" w:color="auto" w:fill="FF0000"/>
            <w:noWrap/>
            <w:vAlign w:val="bottom"/>
          </w:tcPr>
          <w:p w14:paraId="0FA4EE3C" w14:textId="77777777" w:rsidR="008A4FED" w:rsidRPr="00666914" w:rsidRDefault="008A4FED" w:rsidP="004D30E9">
            <w:pPr>
              <w:spacing w:after="0"/>
              <w:jc w:val="center"/>
              <w:rPr>
                <w:rFonts w:eastAsia="Times New Roman"/>
                <w:color w:val="000000"/>
                <w:sz w:val="20"/>
                <w:szCs w:val="20"/>
                <w:lang w:eastAsia="sk-SK"/>
              </w:rPr>
            </w:pPr>
          </w:p>
        </w:tc>
      </w:tr>
      <w:tr w:rsidR="008A4FED" w:rsidRPr="00666914" w14:paraId="1302F80A" w14:textId="77777777" w:rsidTr="00F64B85">
        <w:trPr>
          <w:trHeight w:val="315"/>
        </w:trPr>
        <w:tc>
          <w:tcPr>
            <w:tcW w:w="184" w:type="pct"/>
            <w:shd w:val="clear" w:color="auto" w:fill="auto"/>
            <w:vAlign w:val="center"/>
          </w:tcPr>
          <w:p w14:paraId="4B929626"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23</w:t>
            </w:r>
          </w:p>
        </w:tc>
        <w:tc>
          <w:tcPr>
            <w:tcW w:w="402" w:type="pct"/>
            <w:vAlign w:val="center"/>
          </w:tcPr>
          <w:p w14:paraId="51970E70"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179" w:type="pct"/>
            <w:shd w:val="clear" w:color="auto" w:fill="auto"/>
            <w:vAlign w:val="center"/>
          </w:tcPr>
          <w:p w14:paraId="2B11C857"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Zavedenie a sfunkčnenie systému DRG</w:t>
            </w:r>
          </w:p>
        </w:tc>
        <w:tc>
          <w:tcPr>
            <w:tcW w:w="740" w:type="pct"/>
            <w:shd w:val="clear" w:color="auto" w:fill="auto"/>
            <w:vAlign w:val="center"/>
          </w:tcPr>
          <w:p w14:paraId="643F696D"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w:t>
            </w:r>
          </w:p>
        </w:tc>
        <w:tc>
          <w:tcPr>
            <w:tcW w:w="636" w:type="pct"/>
            <w:shd w:val="clear" w:color="auto" w:fill="auto"/>
            <w:vAlign w:val="center"/>
          </w:tcPr>
          <w:p w14:paraId="6FBC60CC"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 konvergencia do 31.12.2022</w:t>
            </w:r>
          </w:p>
        </w:tc>
        <w:tc>
          <w:tcPr>
            <w:tcW w:w="709" w:type="pct"/>
            <w:vAlign w:val="center"/>
          </w:tcPr>
          <w:p w14:paraId="28DA6906"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w:t>
            </w:r>
          </w:p>
        </w:tc>
        <w:tc>
          <w:tcPr>
            <w:tcW w:w="288" w:type="pct"/>
            <w:tcBorders>
              <w:top w:val="nil"/>
              <w:left w:val="nil"/>
              <w:bottom w:val="single" w:sz="4" w:space="0" w:color="auto"/>
              <w:right w:val="single" w:sz="4" w:space="0" w:color="auto"/>
            </w:tcBorders>
            <w:shd w:val="clear" w:color="auto" w:fill="FFC000"/>
            <w:noWrap/>
            <w:vAlign w:val="bottom"/>
          </w:tcPr>
          <w:p w14:paraId="5DFBC8D8" w14:textId="77777777" w:rsidR="008A4FED" w:rsidRPr="00666914" w:rsidRDefault="008A4FED" w:rsidP="004D30E9">
            <w:pPr>
              <w:spacing w:after="0"/>
              <w:rPr>
                <w:rFonts w:eastAsia="Times New Roman"/>
                <w:color w:val="000000"/>
                <w:sz w:val="20"/>
                <w:szCs w:val="20"/>
                <w:lang w:eastAsia="sk-SK"/>
              </w:rPr>
            </w:pPr>
          </w:p>
        </w:tc>
        <w:tc>
          <w:tcPr>
            <w:tcW w:w="288" w:type="pct"/>
            <w:tcBorders>
              <w:top w:val="nil"/>
              <w:left w:val="nil"/>
              <w:bottom w:val="single" w:sz="4" w:space="0" w:color="auto"/>
              <w:right w:val="single" w:sz="4" w:space="0" w:color="auto"/>
            </w:tcBorders>
            <w:shd w:val="clear" w:color="auto" w:fill="FFC000"/>
            <w:noWrap/>
            <w:vAlign w:val="bottom"/>
          </w:tcPr>
          <w:p w14:paraId="1F54F31E" w14:textId="77777777" w:rsidR="008A4FED" w:rsidRPr="00666914" w:rsidRDefault="008A4FED" w:rsidP="004D30E9">
            <w:pPr>
              <w:spacing w:after="0"/>
              <w:rPr>
                <w:rFonts w:eastAsia="Times New Roman"/>
                <w:color w:val="000000"/>
                <w:sz w:val="20"/>
                <w:szCs w:val="20"/>
                <w:lang w:eastAsia="sk-SK"/>
              </w:rPr>
            </w:pPr>
          </w:p>
        </w:tc>
        <w:tc>
          <w:tcPr>
            <w:tcW w:w="288" w:type="pct"/>
            <w:shd w:val="clear" w:color="auto" w:fill="FFC000"/>
            <w:noWrap/>
            <w:vAlign w:val="bottom"/>
          </w:tcPr>
          <w:p w14:paraId="18FF87EA" w14:textId="77777777" w:rsidR="008A4FED" w:rsidRPr="00666914" w:rsidRDefault="008A4FED" w:rsidP="004D30E9">
            <w:pPr>
              <w:spacing w:after="0"/>
              <w:jc w:val="center"/>
              <w:rPr>
                <w:rFonts w:eastAsia="Times New Roman"/>
                <w:color w:val="000000"/>
                <w:sz w:val="20"/>
                <w:szCs w:val="20"/>
                <w:lang w:eastAsia="sk-SK"/>
              </w:rPr>
            </w:pPr>
          </w:p>
        </w:tc>
        <w:tc>
          <w:tcPr>
            <w:tcW w:w="288" w:type="pct"/>
            <w:shd w:val="clear" w:color="auto" w:fill="FFC000"/>
            <w:noWrap/>
            <w:vAlign w:val="bottom"/>
          </w:tcPr>
          <w:p w14:paraId="1E0DD076" w14:textId="77777777" w:rsidR="008A4FED" w:rsidRPr="00666914" w:rsidRDefault="008A4FED" w:rsidP="004D30E9">
            <w:pPr>
              <w:spacing w:after="0"/>
              <w:jc w:val="center"/>
              <w:rPr>
                <w:rFonts w:eastAsia="Times New Roman"/>
                <w:color w:val="000000"/>
                <w:sz w:val="20"/>
                <w:szCs w:val="20"/>
                <w:lang w:eastAsia="sk-SK"/>
              </w:rPr>
            </w:pPr>
          </w:p>
        </w:tc>
      </w:tr>
    </w:tbl>
    <w:p w14:paraId="79DDFBB7" w14:textId="5BA63661" w:rsidR="00B72556" w:rsidRPr="00666914" w:rsidRDefault="00B72556" w:rsidP="004D30E9">
      <w:pPr>
        <w:spacing w:after="0"/>
      </w:pPr>
    </w:p>
    <w:p w14:paraId="349F3BA9" w14:textId="77777777" w:rsidR="008A4FED" w:rsidRPr="00666914" w:rsidRDefault="008A4FED" w:rsidP="00F64B85">
      <w:r w:rsidRPr="00666914">
        <w:rPr>
          <w:b/>
        </w:rPr>
        <w:t>Vplyvom pokračujúceho oddlžovania zdravotníckych zariadení sa hospodárenie štátnych univerzitných a fakultných nemocníc v roku 2019 účtovne zlepšilo.</w:t>
      </w:r>
      <w:r w:rsidRPr="00666914">
        <w:t xml:space="preserve"> Celkový efekt oddlžovania UN a FN v roku 2019 dosiahol hodnotu 273 mil. eur. Kladný hospodársky výsledok dosiahlo 9 z 13 nemocníc. Bez oddlženia by boli stratové všetky nemocnice okrem FN NR, ktorá sa ako jediná do procesu nezapojila. Oddlžovanie zdravotníckych zariadení preto IJ nepovažuje za systémové riešenie. Na neúspešnosť oddlžovania nemocníc vo vzťahu k rastu záväzkov poukázal vo svojom hodnotení vývoja rozpočtu verejnej správy aj Najvyšší kontrolný úrad</w:t>
      </w:r>
      <w:r w:rsidRPr="00666914">
        <w:rPr>
          <w:rStyle w:val="Odkaznapoznmkupodiarou"/>
        </w:rPr>
        <w:footnoteReference w:id="28"/>
      </w:r>
      <w:r w:rsidRPr="00666914">
        <w:t>. Zapojenie nemocníc do procesu oddlžovania je podmienené plnením ozdravných plánov. Plány ani ich napĺňanie nie sú verejne dostupné.</w:t>
      </w:r>
    </w:p>
    <w:p w14:paraId="5BC086CD" w14:textId="77777777" w:rsidR="008A4FED" w:rsidRPr="00666914" w:rsidRDefault="008A4FED" w:rsidP="00F64B85"/>
    <w:p w14:paraId="04006076" w14:textId="77777777" w:rsidR="008A4FED" w:rsidRPr="00666914" w:rsidRDefault="008A4FED" w:rsidP="00F64B85"/>
    <w:p w14:paraId="1D813742" w14:textId="77777777" w:rsidR="008A4FED" w:rsidRPr="00666914" w:rsidRDefault="008A4FED" w:rsidP="00F64B85"/>
    <w:p w14:paraId="01318EC9" w14:textId="77777777" w:rsidR="008A4FED" w:rsidRPr="00666914" w:rsidRDefault="008A4FED" w:rsidP="00F64B85"/>
    <w:p w14:paraId="653F6426" w14:textId="77777777" w:rsidR="008A4FED" w:rsidRPr="00666914" w:rsidRDefault="008A4FED" w:rsidP="00F64B85"/>
    <w:p w14:paraId="4BF1E94F" w14:textId="3C40AB22" w:rsidR="008A4FED" w:rsidRPr="00666914" w:rsidRDefault="008A4FED" w:rsidP="00F64B85"/>
    <w:p w14:paraId="1A906966" w14:textId="70E60D94" w:rsidR="008A4FED" w:rsidRPr="00666914" w:rsidRDefault="008A4FED" w:rsidP="009F1740">
      <w:pPr>
        <w:pBdr>
          <w:bottom w:val="single" w:sz="4" w:space="1" w:color="auto"/>
        </w:pBdr>
        <w:spacing w:after="0"/>
        <w:rPr>
          <w:b/>
          <w:sz w:val="20"/>
        </w:rPr>
      </w:pPr>
      <w:bookmarkStart w:id="128" w:name="_Toc36547045"/>
    </w:p>
    <w:p w14:paraId="31281E89" w14:textId="0A200161" w:rsidR="008A4FED" w:rsidRPr="00666914" w:rsidRDefault="008A4FED" w:rsidP="009F1740">
      <w:pPr>
        <w:pBdr>
          <w:bottom w:val="single" w:sz="4" w:space="1" w:color="auto"/>
        </w:pBdr>
        <w:spacing w:after="0"/>
        <w:rPr>
          <w:b/>
          <w:sz w:val="20"/>
        </w:rPr>
      </w:pPr>
      <w:bookmarkStart w:id="129" w:name="_Toc38390050"/>
      <w:r w:rsidRPr="00666914">
        <w:rPr>
          <w:b/>
          <w:sz w:val="20"/>
        </w:rPr>
        <w:lastRenderedPageBreak/>
        <w:t xml:space="preserve">Graf </w:t>
      </w:r>
      <w:r w:rsidRPr="00666914">
        <w:rPr>
          <w:b/>
          <w:sz w:val="20"/>
        </w:rPr>
        <w:fldChar w:fldCharType="begin"/>
      </w:r>
      <w:r w:rsidRPr="00666914">
        <w:rPr>
          <w:b/>
          <w:sz w:val="20"/>
        </w:rPr>
        <w:instrText xml:space="preserve"> SEQ Graf \* ARABIC \* MERGEFORMAT </w:instrText>
      </w:r>
      <w:r w:rsidRPr="00666914">
        <w:rPr>
          <w:b/>
          <w:sz w:val="20"/>
        </w:rPr>
        <w:fldChar w:fldCharType="separate"/>
      </w:r>
      <w:r w:rsidR="005A7304">
        <w:rPr>
          <w:b/>
          <w:noProof/>
          <w:sz w:val="20"/>
        </w:rPr>
        <w:t>6</w:t>
      </w:r>
      <w:r w:rsidRPr="00666914">
        <w:rPr>
          <w:b/>
          <w:sz w:val="20"/>
        </w:rPr>
        <w:fldChar w:fldCharType="end"/>
      </w:r>
      <w:r w:rsidRPr="00666914">
        <w:rPr>
          <w:b/>
          <w:sz w:val="20"/>
        </w:rPr>
        <w:t>: Efekt oddlžovania na výsledok hospodárenia UN a FN v 2019 (mil. eur)</w:t>
      </w:r>
      <w:bookmarkEnd w:id="128"/>
      <w:bookmarkEnd w:id="129"/>
    </w:p>
    <w:p w14:paraId="6B283540" w14:textId="77777777" w:rsidR="008A4FED" w:rsidRPr="00666914" w:rsidRDefault="008A4FED" w:rsidP="00E061DB">
      <w:pPr>
        <w:spacing w:after="0"/>
        <w:jc w:val="center"/>
        <w:rPr>
          <w:color w:val="A6A6A6" w:themeColor="background1" w:themeShade="A6"/>
        </w:rPr>
      </w:pPr>
      <w:r w:rsidRPr="00666914">
        <w:rPr>
          <w:noProof/>
          <w:lang w:eastAsia="sk-SK"/>
        </w:rPr>
        <w:drawing>
          <wp:inline distT="0" distB="0" distL="0" distR="0" wp14:anchorId="5B691B73" wp14:editId="317658C2">
            <wp:extent cx="5819775" cy="3098800"/>
            <wp:effectExtent l="0" t="0" r="0" b="6350"/>
            <wp:docPr id="48" name="Graf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08FBD08" w14:textId="77777777" w:rsidR="008A4FED" w:rsidRPr="00666914" w:rsidRDefault="008A4FED" w:rsidP="004D30E9">
      <w:pPr>
        <w:pBdr>
          <w:top w:val="single" w:sz="4" w:space="1" w:color="auto"/>
        </w:pBdr>
        <w:jc w:val="right"/>
        <w:rPr>
          <w:i/>
        </w:rPr>
      </w:pPr>
      <w:r w:rsidRPr="00666914">
        <w:rPr>
          <w:i/>
          <w:sz w:val="18"/>
        </w:rPr>
        <w:t>Zdroj: MZ SR, prepočty IJ</w:t>
      </w:r>
    </w:p>
    <w:p w14:paraId="25539B39" w14:textId="77777777" w:rsidR="008A4FED" w:rsidRPr="00666914" w:rsidRDefault="008A4FED" w:rsidP="004D30E9">
      <w:r w:rsidRPr="00666914">
        <w:rPr>
          <w:b/>
        </w:rPr>
        <w:t>Platby zo ZP sa v sledovaných nemocniciach od roku 2016 zvyšovali každoročne vyšším tempom</w:t>
      </w:r>
      <w:r w:rsidRPr="00666914">
        <w:t xml:space="preserve">. V roku 2019 uhradili ZP nemocniciam o 99 mil. eur viac ako v roku 2018. Napriek tomu nepokrývajú základné náklady na ZS (náklady na lieky, ŠZM, krv a osobné náklady), ktoré rastú väčším tempom (graf 7). </w:t>
      </w:r>
    </w:p>
    <w:p w14:paraId="13769FD8" w14:textId="0B0213CF" w:rsidR="008A4FED" w:rsidRPr="00666914" w:rsidRDefault="008A4FED" w:rsidP="004D30E9">
      <w:pPr>
        <w:spacing w:before="240" w:after="0"/>
        <w:rPr>
          <w:b/>
          <w:sz w:val="20"/>
        </w:rPr>
      </w:pPr>
      <w:bookmarkStart w:id="130" w:name="_Toc20209193"/>
      <w:bookmarkStart w:id="131" w:name="_Toc36547036"/>
      <w:bookmarkStart w:id="132" w:name="_Toc38447677"/>
      <w:r w:rsidRPr="00666914">
        <w:rPr>
          <w:b/>
          <w:sz w:val="20"/>
        </w:rPr>
        <w:t xml:space="preserve">Tabuľka </w:t>
      </w:r>
      <w:r w:rsidRPr="00666914">
        <w:rPr>
          <w:b/>
          <w:noProof/>
          <w:sz w:val="20"/>
        </w:rPr>
        <w:fldChar w:fldCharType="begin"/>
      </w:r>
      <w:r w:rsidRPr="00666914">
        <w:rPr>
          <w:b/>
          <w:noProof/>
          <w:sz w:val="20"/>
        </w:rPr>
        <w:instrText xml:space="preserve"> SEQ Tabuľka \* ARABIC </w:instrText>
      </w:r>
      <w:r w:rsidRPr="00666914">
        <w:rPr>
          <w:b/>
          <w:noProof/>
          <w:sz w:val="20"/>
        </w:rPr>
        <w:fldChar w:fldCharType="separate"/>
      </w:r>
      <w:r w:rsidR="005A7304">
        <w:rPr>
          <w:b/>
          <w:noProof/>
          <w:sz w:val="20"/>
        </w:rPr>
        <w:t>16</w:t>
      </w:r>
      <w:r w:rsidRPr="00666914">
        <w:rPr>
          <w:b/>
          <w:noProof/>
          <w:sz w:val="20"/>
        </w:rPr>
        <w:fldChar w:fldCharType="end"/>
      </w:r>
      <w:r w:rsidRPr="00666914">
        <w:rPr>
          <w:b/>
          <w:sz w:val="20"/>
        </w:rPr>
        <w:t>: Výnosy zo ZP v univerzitných a fakultných nemocniciach v pôsobnosti MZ SR</w:t>
      </w:r>
      <w:bookmarkEnd w:id="130"/>
      <w:r w:rsidRPr="00666914">
        <w:rPr>
          <w:b/>
          <w:sz w:val="20"/>
        </w:rPr>
        <w:t xml:space="preserve"> (mil. eur)</w:t>
      </w:r>
      <w:bookmarkEnd w:id="131"/>
      <w:bookmarkEnd w:id="132"/>
    </w:p>
    <w:tbl>
      <w:tblPr>
        <w:tblW w:w="5001" w:type="pct"/>
        <w:tblCellMar>
          <w:left w:w="70" w:type="dxa"/>
          <w:right w:w="70" w:type="dxa"/>
        </w:tblCellMar>
        <w:tblLook w:val="04A0" w:firstRow="1" w:lastRow="0" w:firstColumn="1" w:lastColumn="0" w:noHBand="0" w:noVBand="1"/>
      </w:tblPr>
      <w:tblGrid>
        <w:gridCol w:w="1890"/>
        <w:gridCol w:w="505"/>
        <w:gridCol w:w="505"/>
        <w:gridCol w:w="824"/>
        <w:gridCol w:w="505"/>
        <w:gridCol w:w="505"/>
        <w:gridCol w:w="824"/>
        <w:gridCol w:w="505"/>
        <w:gridCol w:w="505"/>
        <w:gridCol w:w="824"/>
        <w:gridCol w:w="505"/>
        <w:gridCol w:w="505"/>
        <w:gridCol w:w="824"/>
      </w:tblGrid>
      <w:tr w:rsidR="008A4FED" w:rsidRPr="00666914" w14:paraId="1161DE56" w14:textId="77777777" w:rsidTr="00F64B85">
        <w:trPr>
          <w:trHeight w:val="366"/>
        </w:trPr>
        <w:tc>
          <w:tcPr>
            <w:tcW w:w="840" w:type="pct"/>
            <w:tcBorders>
              <w:top w:val="single" w:sz="4" w:space="0" w:color="auto"/>
              <w:left w:val="nil"/>
              <w:bottom w:val="nil"/>
              <w:right w:val="single" w:sz="4" w:space="0" w:color="auto"/>
            </w:tcBorders>
            <w:shd w:val="clear" w:color="auto" w:fill="auto"/>
            <w:noWrap/>
            <w:vAlign w:val="center"/>
            <w:hideMark/>
          </w:tcPr>
          <w:p w14:paraId="48DEE10C" w14:textId="77777777" w:rsidR="008A4FED" w:rsidRPr="00666914" w:rsidRDefault="008A4FED" w:rsidP="004D30E9">
            <w:pPr>
              <w:spacing w:after="0"/>
              <w:jc w:val="left"/>
              <w:rPr>
                <w:rFonts w:eastAsia="Times New Roman" w:cs="Calibri"/>
                <w:b/>
                <w:bCs/>
                <w:sz w:val="20"/>
                <w:szCs w:val="20"/>
                <w:lang w:eastAsia="sk-SK"/>
              </w:rPr>
            </w:pPr>
            <w:r w:rsidRPr="00666914">
              <w:rPr>
                <w:rFonts w:eastAsia="Times New Roman" w:cs="Calibri"/>
                <w:b/>
                <w:bCs/>
                <w:sz w:val="20"/>
                <w:szCs w:val="20"/>
                <w:lang w:eastAsia="sk-SK"/>
              </w:rPr>
              <w:t>Zdravotné poisťovne</w:t>
            </w:r>
          </w:p>
        </w:tc>
        <w:tc>
          <w:tcPr>
            <w:tcW w:w="957" w:type="pct"/>
            <w:gridSpan w:val="3"/>
            <w:tcBorders>
              <w:top w:val="single" w:sz="4" w:space="0" w:color="auto"/>
              <w:left w:val="single" w:sz="4" w:space="0" w:color="auto"/>
              <w:bottom w:val="nil"/>
              <w:right w:val="single" w:sz="4" w:space="0" w:color="auto"/>
            </w:tcBorders>
            <w:shd w:val="clear" w:color="auto" w:fill="auto"/>
            <w:noWrap/>
            <w:vAlign w:val="center"/>
            <w:hideMark/>
          </w:tcPr>
          <w:p w14:paraId="296C54B4" w14:textId="77777777" w:rsidR="008A4FED" w:rsidRPr="00666914" w:rsidRDefault="008A4FED" w:rsidP="004D30E9">
            <w:pPr>
              <w:spacing w:after="0"/>
              <w:jc w:val="center"/>
              <w:rPr>
                <w:rFonts w:eastAsia="Times New Roman" w:cs="Calibri"/>
                <w:b/>
                <w:bCs/>
                <w:sz w:val="20"/>
                <w:szCs w:val="20"/>
                <w:lang w:eastAsia="sk-SK"/>
              </w:rPr>
            </w:pPr>
            <w:r w:rsidRPr="00666914">
              <w:rPr>
                <w:rFonts w:eastAsia="Times New Roman" w:cs="Calibri"/>
                <w:b/>
                <w:bCs/>
                <w:sz w:val="20"/>
                <w:szCs w:val="20"/>
                <w:lang w:eastAsia="sk-SK"/>
              </w:rPr>
              <w:t>VšZP</w:t>
            </w:r>
          </w:p>
        </w:tc>
        <w:tc>
          <w:tcPr>
            <w:tcW w:w="1068" w:type="pct"/>
            <w:gridSpan w:val="3"/>
            <w:tcBorders>
              <w:top w:val="single" w:sz="4" w:space="0" w:color="auto"/>
              <w:left w:val="single" w:sz="4" w:space="0" w:color="auto"/>
              <w:bottom w:val="nil"/>
              <w:right w:val="single" w:sz="4" w:space="0" w:color="auto"/>
            </w:tcBorders>
            <w:shd w:val="clear" w:color="auto" w:fill="auto"/>
            <w:noWrap/>
            <w:vAlign w:val="center"/>
            <w:hideMark/>
          </w:tcPr>
          <w:p w14:paraId="3BFA3630" w14:textId="77777777" w:rsidR="008A4FED" w:rsidRPr="00666914" w:rsidRDefault="008A4FED" w:rsidP="004D30E9">
            <w:pPr>
              <w:spacing w:after="0"/>
              <w:jc w:val="center"/>
              <w:rPr>
                <w:rFonts w:eastAsia="Times New Roman" w:cs="Calibri"/>
                <w:b/>
                <w:bCs/>
                <w:sz w:val="20"/>
                <w:szCs w:val="20"/>
                <w:lang w:eastAsia="sk-SK"/>
              </w:rPr>
            </w:pPr>
            <w:r w:rsidRPr="00666914">
              <w:rPr>
                <w:rFonts w:eastAsia="Times New Roman" w:cs="Calibri"/>
                <w:b/>
                <w:bCs/>
                <w:sz w:val="20"/>
                <w:szCs w:val="20"/>
                <w:lang w:eastAsia="sk-SK"/>
              </w:rPr>
              <w:t>Dôvera</w:t>
            </w:r>
          </w:p>
        </w:tc>
        <w:tc>
          <w:tcPr>
            <w:tcW w:w="1068" w:type="pct"/>
            <w:gridSpan w:val="3"/>
            <w:tcBorders>
              <w:top w:val="single" w:sz="4" w:space="0" w:color="auto"/>
              <w:left w:val="single" w:sz="4" w:space="0" w:color="auto"/>
              <w:bottom w:val="nil"/>
              <w:right w:val="single" w:sz="4" w:space="0" w:color="auto"/>
            </w:tcBorders>
            <w:shd w:val="clear" w:color="auto" w:fill="auto"/>
            <w:noWrap/>
            <w:vAlign w:val="center"/>
            <w:hideMark/>
          </w:tcPr>
          <w:p w14:paraId="08FD9D24" w14:textId="77777777" w:rsidR="008A4FED" w:rsidRPr="00666914" w:rsidRDefault="008A4FED" w:rsidP="004D30E9">
            <w:pPr>
              <w:spacing w:after="0"/>
              <w:jc w:val="center"/>
              <w:rPr>
                <w:rFonts w:eastAsia="Times New Roman" w:cs="Calibri"/>
                <w:b/>
                <w:bCs/>
                <w:sz w:val="20"/>
                <w:szCs w:val="20"/>
                <w:lang w:eastAsia="sk-SK"/>
              </w:rPr>
            </w:pPr>
            <w:r w:rsidRPr="00666914">
              <w:rPr>
                <w:rFonts w:eastAsia="Times New Roman" w:cs="Calibri"/>
                <w:b/>
                <w:bCs/>
                <w:sz w:val="20"/>
                <w:szCs w:val="20"/>
                <w:lang w:eastAsia="sk-SK"/>
              </w:rPr>
              <w:t>Union</w:t>
            </w:r>
          </w:p>
        </w:tc>
        <w:tc>
          <w:tcPr>
            <w:tcW w:w="1068" w:type="pct"/>
            <w:gridSpan w:val="3"/>
            <w:tcBorders>
              <w:top w:val="single" w:sz="4" w:space="0" w:color="auto"/>
              <w:left w:val="single" w:sz="4" w:space="0" w:color="auto"/>
              <w:bottom w:val="nil"/>
              <w:right w:val="nil"/>
            </w:tcBorders>
            <w:shd w:val="clear" w:color="auto" w:fill="auto"/>
            <w:noWrap/>
            <w:vAlign w:val="center"/>
            <w:hideMark/>
          </w:tcPr>
          <w:p w14:paraId="04822F6B" w14:textId="77777777" w:rsidR="008A4FED" w:rsidRPr="00666914" w:rsidRDefault="008A4FED" w:rsidP="004D30E9">
            <w:pPr>
              <w:spacing w:after="0"/>
              <w:jc w:val="center"/>
              <w:rPr>
                <w:rFonts w:eastAsia="Times New Roman" w:cs="Calibri"/>
                <w:b/>
                <w:bCs/>
                <w:sz w:val="20"/>
                <w:szCs w:val="20"/>
                <w:lang w:eastAsia="sk-SK"/>
              </w:rPr>
            </w:pPr>
            <w:r w:rsidRPr="00666914">
              <w:rPr>
                <w:rFonts w:eastAsia="Times New Roman" w:cs="Calibri"/>
                <w:b/>
                <w:bCs/>
                <w:sz w:val="20"/>
                <w:szCs w:val="20"/>
                <w:lang w:eastAsia="sk-SK"/>
              </w:rPr>
              <w:t>Všetky poisťovne</w:t>
            </w:r>
          </w:p>
        </w:tc>
      </w:tr>
      <w:tr w:rsidR="008A4FED" w:rsidRPr="00666914" w14:paraId="54110664" w14:textId="77777777" w:rsidTr="00F64B85">
        <w:trPr>
          <w:trHeight w:val="319"/>
        </w:trPr>
        <w:tc>
          <w:tcPr>
            <w:tcW w:w="840" w:type="pct"/>
            <w:tcBorders>
              <w:top w:val="nil"/>
              <w:left w:val="nil"/>
              <w:bottom w:val="single" w:sz="4" w:space="0" w:color="auto"/>
              <w:right w:val="single" w:sz="4" w:space="0" w:color="auto"/>
            </w:tcBorders>
            <w:shd w:val="clear" w:color="auto" w:fill="auto"/>
            <w:noWrap/>
            <w:vAlign w:val="center"/>
            <w:hideMark/>
          </w:tcPr>
          <w:p w14:paraId="729B4123" w14:textId="77777777" w:rsidR="008A4FED" w:rsidRPr="00666914" w:rsidRDefault="008A4FED" w:rsidP="004D30E9">
            <w:pPr>
              <w:spacing w:after="0"/>
              <w:jc w:val="left"/>
              <w:rPr>
                <w:rFonts w:eastAsia="Times New Roman" w:cs="Calibri"/>
                <w:i/>
                <w:sz w:val="20"/>
                <w:szCs w:val="20"/>
                <w:lang w:eastAsia="sk-SK"/>
              </w:rPr>
            </w:pPr>
          </w:p>
        </w:tc>
        <w:tc>
          <w:tcPr>
            <w:tcW w:w="235" w:type="pct"/>
            <w:tcBorders>
              <w:top w:val="nil"/>
              <w:left w:val="single" w:sz="4" w:space="0" w:color="auto"/>
              <w:bottom w:val="single" w:sz="4" w:space="0" w:color="auto"/>
              <w:right w:val="nil"/>
            </w:tcBorders>
            <w:shd w:val="clear" w:color="auto" w:fill="auto"/>
            <w:noWrap/>
            <w:vAlign w:val="center"/>
          </w:tcPr>
          <w:p w14:paraId="491EC8E3" w14:textId="77777777" w:rsidR="008A4FED" w:rsidRPr="00666914" w:rsidRDefault="008A4FED" w:rsidP="00F64B85">
            <w:pPr>
              <w:spacing w:after="0"/>
              <w:jc w:val="center"/>
              <w:rPr>
                <w:rFonts w:cs="Calibri"/>
                <w:b/>
                <w:bCs/>
                <w:sz w:val="20"/>
                <w:szCs w:val="20"/>
              </w:rPr>
            </w:pPr>
            <w:r w:rsidRPr="00666914">
              <w:rPr>
                <w:rFonts w:cs="Calibri"/>
                <w:b/>
                <w:bCs/>
                <w:sz w:val="20"/>
                <w:szCs w:val="20"/>
              </w:rPr>
              <w:t>2018</w:t>
            </w:r>
          </w:p>
        </w:tc>
        <w:tc>
          <w:tcPr>
            <w:tcW w:w="347" w:type="pct"/>
            <w:tcBorders>
              <w:top w:val="nil"/>
              <w:left w:val="nil"/>
              <w:bottom w:val="single" w:sz="4" w:space="0" w:color="auto"/>
              <w:right w:val="nil"/>
            </w:tcBorders>
            <w:shd w:val="clear" w:color="auto" w:fill="auto"/>
            <w:noWrap/>
            <w:vAlign w:val="center"/>
          </w:tcPr>
          <w:p w14:paraId="3D0D78F8" w14:textId="77777777" w:rsidR="008A4FED" w:rsidRPr="00666914" w:rsidRDefault="008A4FED" w:rsidP="004D30E9">
            <w:pPr>
              <w:spacing w:after="0"/>
              <w:jc w:val="center"/>
              <w:rPr>
                <w:rFonts w:eastAsia="Times New Roman" w:cs="Calibri"/>
                <w:b/>
                <w:bCs/>
                <w:sz w:val="20"/>
                <w:szCs w:val="20"/>
                <w:highlight w:val="yellow"/>
                <w:lang w:eastAsia="sk-SK"/>
              </w:rPr>
            </w:pPr>
            <w:r w:rsidRPr="00666914">
              <w:rPr>
                <w:rFonts w:cs="Calibri"/>
                <w:b/>
                <w:bCs/>
                <w:sz w:val="20"/>
                <w:szCs w:val="20"/>
              </w:rPr>
              <w:t>2019</w:t>
            </w:r>
          </w:p>
        </w:tc>
        <w:tc>
          <w:tcPr>
            <w:tcW w:w="374" w:type="pct"/>
            <w:tcBorders>
              <w:top w:val="nil"/>
              <w:left w:val="nil"/>
              <w:bottom w:val="single" w:sz="4" w:space="0" w:color="auto"/>
              <w:right w:val="single" w:sz="4" w:space="0" w:color="auto"/>
            </w:tcBorders>
            <w:shd w:val="clear" w:color="auto" w:fill="auto"/>
            <w:noWrap/>
            <w:vAlign w:val="center"/>
          </w:tcPr>
          <w:p w14:paraId="48E68707" w14:textId="77777777" w:rsidR="008A4FED" w:rsidRPr="00666914" w:rsidRDefault="008A4FED" w:rsidP="004D30E9">
            <w:pPr>
              <w:spacing w:after="0"/>
              <w:jc w:val="center"/>
              <w:rPr>
                <w:rFonts w:eastAsia="Times New Roman" w:cs="Calibri"/>
                <w:i/>
                <w:iCs/>
                <w:sz w:val="20"/>
                <w:szCs w:val="20"/>
                <w:highlight w:val="yellow"/>
                <w:lang w:eastAsia="sk-SK"/>
              </w:rPr>
            </w:pPr>
            <w:r w:rsidRPr="00666914">
              <w:rPr>
                <w:i/>
                <w:iCs/>
                <w:sz w:val="20"/>
                <w:szCs w:val="20"/>
              </w:rPr>
              <w:t>% zmena</w:t>
            </w:r>
          </w:p>
        </w:tc>
        <w:tc>
          <w:tcPr>
            <w:tcW w:w="347" w:type="pct"/>
            <w:tcBorders>
              <w:top w:val="nil"/>
              <w:left w:val="single" w:sz="4" w:space="0" w:color="auto"/>
              <w:bottom w:val="single" w:sz="4" w:space="0" w:color="auto"/>
              <w:right w:val="nil"/>
            </w:tcBorders>
            <w:shd w:val="clear" w:color="auto" w:fill="auto"/>
            <w:noWrap/>
            <w:vAlign w:val="center"/>
          </w:tcPr>
          <w:p w14:paraId="4ED6F594" w14:textId="77777777" w:rsidR="008A4FED" w:rsidRPr="00666914" w:rsidRDefault="008A4FED" w:rsidP="004D30E9">
            <w:pPr>
              <w:spacing w:after="0"/>
              <w:jc w:val="center"/>
              <w:rPr>
                <w:rFonts w:eastAsia="Times New Roman" w:cs="Calibri"/>
                <w:b/>
                <w:bCs/>
                <w:sz w:val="20"/>
                <w:szCs w:val="20"/>
                <w:highlight w:val="yellow"/>
                <w:lang w:eastAsia="sk-SK"/>
              </w:rPr>
            </w:pPr>
            <w:r w:rsidRPr="00666914">
              <w:rPr>
                <w:rFonts w:cs="Calibri"/>
                <w:b/>
                <w:bCs/>
                <w:sz w:val="20"/>
                <w:szCs w:val="20"/>
              </w:rPr>
              <w:t>2018</w:t>
            </w:r>
          </w:p>
        </w:tc>
        <w:tc>
          <w:tcPr>
            <w:tcW w:w="347" w:type="pct"/>
            <w:tcBorders>
              <w:top w:val="nil"/>
              <w:left w:val="nil"/>
              <w:bottom w:val="single" w:sz="4" w:space="0" w:color="auto"/>
              <w:right w:val="nil"/>
            </w:tcBorders>
            <w:shd w:val="clear" w:color="auto" w:fill="auto"/>
            <w:noWrap/>
            <w:vAlign w:val="center"/>
          </w:tcPr>
          <w:p w14:paraId="27980708" w14:textId="77777777" w:rsidR="008A4FED" w:rsidRPr="00666914" w:rsidRDefault="008A4FED" w:rsidP="004D30E9">
            <w:pPr>
              <w:spacing w:after="0"/>
              <w:jc w:val="center"/>
              <w:rPr>
                <w:rFonts w:eastAsia="Times New Roman" w:cs="Calibri"/>
                <w:b/>
                <w:bCs/>
                <w:sz w:val="20"/>
                <w:szCs w:val="20"/>
                <w:highlight w:val="yellow"/>
                <w:lang w:eastAsia="sk-SK"/>
              </w:rPr>
            </w:pPr>
            <w:r w:rsidRPr="00666914">
              <w:rPr>
                <w:rFonts w:cs="Calibri"/>
                <w:b/>
                <w:bCs/>
                <w:sz w:val="20"/>
                <w:szCs w:val="20"/>
              </w:rPr>
              <w:t>2019</w:t>
            </w:r>
          </w:p>
        </w:tc>
        <w:tc>
          <w:tcPr>
            <w:tcW w:w="374" w:type="pct"/>
            <w:tcBorders>
              <w:top w:val="nil"/>
              <w:left w:val="nil"/>
              <w:bottom w:val="single" w:sz="4" w:space="0" w:color="auto"/>
              <w:right w:val="single" w:sz="4" w:space="0" w:color="auto"/>
            </w:tcBorders>
            <w:shd w:val="clear" w:color="auto" w:fill="auto"/>
            <w:noWrap/>
            <w:vAlign w:val="center"/>
          </w:tcPr>
          <w:p w14:paraId="0E5296B3" w14:textId="77777777" w:rsidR="008A4FED" w:rsidRPr="00666914" w:rsidRDefault="008A4FED" w:rsidP="004D30E9">
            <w:pPr>
              <w:spacing w:after="0"/>
              <w:jc w:val="center"/>
              <w:rPr>
                <w:rFonts w:eastAsia="Times New Roman" w:cs="Calibri"/>
                <w:i/>
                <w:iCs/>
                <w:sz w:val="20"/>
                <w:szCs w:val="20"/>
                <w:highlight w:val="yellow"/>
                <w:lang w:eastAsia="sk-SK"/>
              </w:rPr>
            </w:pPr>
            <w:r w:rsidRPr="00666914">
              <w:rPr>
                <w:i/>
                <w:iCs/>
                <w:sz w:val="20"/>
                <w:szCs w:val="20"/>
              </w:rPr>
              <w:t>% zmena</w:t>
            </w:r>
          </w:p>
        </w:tc>
        <w:tc>
          <w:tcPr>
            <w:tcW w:w="347" w:type="pct"/>
            <w:tcBorders>
              <w:top w:val="nil"/>
              <w:left w:val="single" w:sz="4" w:space="0" w:color="auto"/>
              <w:bottom w:val="single" w:sz="4" w:space="0" w:color="auto"/>
              <w:right w:val="nil"/>
            </w:tcBorders>
            <w:shd w:val="clear" w:color="auto" w:fill="auto"/>
            <w:noWrap/>
            <w:vAlign w:val="center"/>
          </w:tcPr>
          <w:p w14:paraId="116C0DDF" w14:textId="77777777" w:rsidR="008A4FED" w:rsidRPr="00666914" w:rsidRDefault="008A4FED" w:rsidP="004D30E9">
            <w:pPr>
              <w:spacing w:after="0"/>
              <w:jc w:val="center"/>
              <w:rPr>
                <w:rFonts w:eastAsia="Times New Roman" w:cs="Calibri"/>
                <w:b/>
                <w:bCs/>
                <w:sz w:val="20"/>
                <w:szCs w:val="20"/>
                <w:highlight w:val="yellow"/>
                <w:lang w:eastAsia="sk-SK"/>
              </w:rPr>
            </w:pPr>
            <w:r w:rsidRPr="00666914">
              <w:rPr>
                <w:rFonts w:cs="Calibri"/>
                <w:b/>
                <w:bCs/>
                <w:sz w:val="20"/>
                <w:szCs w:val="20"/>
              </w:rPr>
              <w:t>2018</w:t>
            </w:r>
          </w:p>
        </w:tc>
        <w:tc>
          <w:tcPr>
            <w:tcW w:w="347" w:type="pct"/>
            <w:tcBorders>
              <w:top w:val="nil"/>
              <w:left w:val="nil"/>
              <w:bottom w:val="single" w:sz="4" w:space="0" w:color="auto"/>
              <w:right w:val="nil"/>
            </w:tcBorders>
            <w:shd w:val="clear" w:color="auto" w:fill="auto"/>
            <w:noWrap/>
            <w:vAlign w:val="center"/>
          </w:tcPr>
          <w:p w14:paraId="795CEA5E" w14:textId="77777777" w:rsidR="008A4FED" w:rsidRPr="00666914" w:rsidRDefault="008A4FED" w:rsidP="004D30E9">
            <w:pPr>
              <w:spacing w:after="0"/>
              <w:jc w:val="center"/>
              <w:rPr>
                <w:rFonts w:eastAsia="Times New Roman" w:cs="Calibri"/>
                <w:b/>
                <w:bCs/>
                <w:sz w:val="20"/>
                <w:szCs w:val="20"/>
                <w:highlight w:val="yellow"/>
                <w:lang w:eastAsia="sk-SK"/>
              </w:rPr>
            </w:pPr>
            <w:r w:rsidRPr="00666914">
              <w:rPr>
                <w:rFonts w:cs="Calibri"/>
                <w:b/>
                <w:bCs/>
                <w:sz w:val="20"/>
                <w:szCs w:val="20"/>
              </w:rPr>
              <w:t>2019</w:t>
            </w:r>
          </w:p>
        </w:tc>
        <w:tc>
          <w:tcPr>
            <w:tcW w:w="374" w:type="pct"/>
            <w:tcBorders>
              <w:top w:val="nil"/>
              <w:left w:val="nil"/>
              <w:bottom w:val="single" w:sz="4" w:space="0" w:color="auto"/>
              <w:right w:val="single" w:sz="4" w:space="0" w:color="auto"/>
            </w:tcBorders>
            <w:shd w:val="clear" w:color="auto" w:fill="auto"/>
            <w:noWrap/>
            <w:vAlign w:val="center"/>
          </w:tcPr>
          <w:p w14:paraId="7C98077D" w14:textId="77777777" w:rsidR="008A4FED" w:rsidRPr="00666914" w:rsidRDefault="008A4FED" w:rsidP="004D30E9">
            <w:pPr>
              <w:spacing w:after="0"/>
              <w:jc w:val="center"/>
              <w:rPr>
                <w:rFonts w:eastAsia="Times New Roman" w:cs="Calibri"/>
                <w:i/>
                <w:iCs/>
                <w:sz w:val="20"/>
                <w:szCs w:val="20"/>
                <w:highlight w:val="yellow"/>
                <w:lang w:eastAsia="sk-SK"/>
              </w:rPr>
            </w:pPr>
            <w:r w:rsidRPr="00666914">
              <w:rPr>
                <w:i/>
                <w:iCs/>
                <w:sz w:val="20"/>
                <w:szCs w:val="20"/>
              </w:rPr>
              <w:t>% zmena</w:t>
            </w:r>
          </w:p>
        </w:tc>
        <w:tc>
          <w:tcPr>
            <w:tcW w:w="347" w:type="pct"/>
            <w:tcBorders>
              <w:top w:val="nil"/>
              <w:left w:val="single" w:sz="4" w:space="0" w:color="auto"/>
              <w:bottom w:val="single" w:sz="4" w:space="0" w:color="auto"/>
              <w:right w:val="nil"/>
            </w:tcBorders>
            <w:shd w:val="clear" w:color="auto" w:fill="auto"/>
            <w:noWrap/>
            <w:vAlign w:val="center"/>
          </w:tcPr>
          <w:p w14:paraId="6F64439D" w14:textId="77777777" w:rsidR="008A4FED" w:rsidRPr="00666914" w:rsidRDefault="008A4FED" w:rsidP="004D30E9">
            <w:pPr>
              <w:spacing w:after="0"/>
              <w:jc w:val="center"/>
              <w:rPr>
                <w:rFonts w:eastAsia="Times New Roman" w:cs="Calibri"/>
                <w:b/>
                <w:bCs/>
                <w:sz w:val="20"/>
                <w:szCs w:val="20"/>
                <w:highlight w:val="yellow"/>
                <w:lang w:eastAsia="sk-SK"/>
              </w:rPr>
            </w:pPr>
            <w:r w:rsidRPr="00666914">
              <w:rPr>
                <w:rFonts w:cs="Calibri"/>
                <w:b/>
                <w:bCs/>
                <w:sz w:val="20"/>
                <w:szCs w:val="20"/>
              </w:rPr>
              <w:t>2018</w:t>
            </w:r>
          </w:p>
        </w:tc>
        <w:tc>
          <w:tcPr>
            <w:tcW w:w="347" w:type="pct"/>
            <w:tcBorders>
              <w:top w:val="nil"/>
              <w:left w:val="nil"/>
              <w:bottom w:val="single" w:sz="4" w:space="0" w:color="auto"/>
              <w:right w:val="nil"/>
            </w:tcBorders>
            <w:shd w:val="clear" w:color="auto" w:fill="auto"/>
            <w:noWrap/>
            <w:vAlign w:val="center"/>
          </w:tcPr>
          <w:p w14:paraId="7482CBF4" w14:textId="77777777" w:rsidR="008A4FED" w:rsidRPr="00666914" w:rsidRDefault="008A4FED" w:rsidP="004D30E9">
            <w:pPr>
              <w:spacing w:after="0"/>
              <w:jc w:val="center"/>
              <w:rPr>
                <w:rFonts w:eastAsia="Times New Roman" w:cs="Calibri"/>
                <w:b/>
                <w:bCs/>
                <w:sz w:val="20"/>
                <w:szCs w:val="20"/>
                <w:highlight w:val="yellow"/>
                <w:lang w:eastAsia="sk-SK"/>
              </w:rPr>
            </w:pPr>
            <w:r w:rsidRPr="00666914">
              <w:rPr>
                <w:rFonts w:cs="Calibri"/>
                <w:b/>
                <w:bCs/>
                <w:sz w:val="20"/>
                <w:szCs w:val="20"/>
              </w:rPr>
              <w:t>2019</w:t>
            </w:r>
          </w:p>
        </w:tc>
        <w:tc>
          <w:tcPr>
            <w:tcW w:w="374" w:type="pct"/>
            <w:tcBorders>
              <w:top w:val="nil"/>
              <w:left w:val="nil"/>
              <w:bottom w:val="single" w:sz="4" w:space="0" w:color="auto"/>
              <w:right w:val="nil"/>
            </w:tcBorders>
            <w:shd w:val="clear" w:color="auto" w:fill="auto"/>
            <w:noWrap/>
            <w:vAlign w:val="center"/>
          </w:tcPr>
          <w:p w14:paraId="58D73B76" w14:textId="77777777" w:rsidR="008A4FED" w:rsidRPr="00666914" w:rsidRDefault="008A4FED" w:rsidP="004D30E9">
            <w:pPr>
              <w:spacing w:after="0"/>
              <w:jc w:val="center"/>
              <w:rPr>
                <w:rFonts w:eastAsia="Times New Roman" w:cs="Calibri"/>
                <w:i/>
                <w:iCs/>
                <w:sz w:val="20"/>
                <w:szCs w:val="20"/>
                <w:highlight w:val="yellow"/>
                <w:lang w:eastAsia="sk-SK"/>
              </w:rPr>
            </w:pPr>
            <w:r w:rsidRPr="00666914">
              <w:rPr>
                <w:i/>
                <w:iCs/>
                <w:sz w:val="20"/>
                <w:szCs w:val="20"/>
              </w:rPr>
              <w:t>% zmena</w:t>
            </w:r>
          </w:p>
        </w:tc>
      </w:tr>
      <w:tr w:rsidR="008A4FED" w:rsidRPr="00666914" w14:paraId="20A83A55" w14:textId="77777777" w:rsidTr="00F64B85">
        <w:trPr>
          <w:trHeight w:val="20"/>
        </w:trPr>
        <w:tc>
          <w:tcPr>
            <w:tcW w:w="840" w:type="pct"/>
            <w:tcBorders>
              <w:top w:val="nil"/>
              <w:left w:val="nil"/>
              <w:bottom w:val="nil"/>
              <w:right w:val="single" w:sz="4" w:space="0" w:color="auto"/>
            </w:tcBorders>
            <w:shd w:val="clear" w:color="auto" w:fill="auto"/>
            <w:noWrap/>
            <w:vAlign w:val="bottom"/>
            <w:hideMark/>
          </w:tcPr>
          <w:p w14:paraId="2C2F1314" w14:textId="77777777" w:rsidR="008A4FED" w:rsidRPr="00666914" w:rsidRDefault="008A4FED" w:rsidP="00F64B85">
            <w:pPr>
              <w:spacing w:after="0"/>
              <w:jc w:val="left"/>
              <w:rPr>
                <w:rFonts w:eastAsia="Times New Roman" w:cs="Calibri"/>
                <w:sz w:val="18"/>
                <w:lang w:eastAsia="sk-SK"/>
              </w:rPr>
            </w:pPr>
            <w:r w:rsidRPr="00666914">
              <w:rPr>
                <w:rFonts w:cs="Calibri"/>
                <w:sz w:val="20"/>
                <w:szCs w:val="20"/>
              </w:rPr>
              <w:t>UN Bratislava</w:t>
            </w:r>
          </w:p>
        </w:tc>
        <w:tc>
          <w:tcPr>
            <w:tcW w:w="235" w:type="pct"/>
            <w:tcBorders>
              <w:top w:val="nil"/>
              <w:left w:val="single" w:sz="4" w:space="0" w:color="auto"/>
              <w:bottom w:val="nil"/>
              <w:right w:val="nil"/>
            </w:tcBorders>
            <w:shd w:val="clear" w:color="auto" w:fill="auto"/>
            <w:noWrap/>
          </w:tcPr>
          <w:p w14:paraId="24FBBD8F"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129</w:t>
            </w:r>
          </w:p>
        </w:tc>
        <w:tc>
          <w:tcPr>
            <w:tcW w:w="347" w:type="pct"/>
            <w:tcBorders>
              <w:top w:val="nil"/>
              <w:left w:val="nil"/>
              <w:bottom w:val="nil"/>
              <w:right w:val="nil"/>
            </w:tcBorders>
            <w:shd w:val="clear" w:color="auto" w:fill="auto"/>
            <w:noWrap/>
          </w:tcPr>
          <w:p w14:paraId="68A3E1E0"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148</w:t>
            </w:r>
          </w:p>
        </w:tc>
        <w:tc>
          <w:tcPr>
            <w:tcW w:w="374" w:type="pct"/>
            <w:tcBorders>
              <w:top w:val="nil"/>
              <w:left w:val="nil"/>
              <w:bottom w:val="nil"/>
              <w:right w:val="single" w:sz="4" w:space="0" w:color="auto"/>
            </w:tcBorders>
            <w:shd w:val="clear" w:color="auto" w:fill="auto"/>
            <w:noWrap/>
          </w:tcPr>
          <w:p w14:paraId="721D40CA"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14%</w:t>
            </w:r>
          </w:p>
        </w:tc>
        <w:tc>
          <w:tcPr>
            <w:tcW w:w="347" w:type="pct"/>
            <w:tcBorders>
              <w:top w:val="nil"/>
              <w:left w:val="single" w:sz="4" w:space="0" w:color="auto"/>
              <w:bottom w:val="nil"/>
              <w:right w:val="nil"/>
            </w:tcBorders>
            <w:shd w:val="clear" w:color="auto" w:fill="auto"/>
            <w:noWrap/>
          </w:tcPr>
          <w:p w14:paraId="674B6D3B"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32</w:t>
            </w:r>
          </w:p>
        </w:tc>
        <w:tc>
          <w:tcPr>
            <w:tcW w:w="347" w:type="pct"/>
            <w:tcBorders>
              <w:top w:val="nil"/>
              <w:left w:val="nil"/>
              <w:bottom w:val="nil"/>
              <w:right w:val="nil"/>
            </w:tcBorders>
            <w:shd w:val="clear" w:color="auto" w:fill="auto"/>
            <w:noWrap/>
          </w:tcPr>
          <w:p w14:paraId="53AA6758"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36</w:t>
            </w:r>
          </w:p>
        </w:tc>
        <w:tc>
          <w:tcPr>
            <w:tcW w:w="374" w:type="pct"/>
            <w:tcBorders>
              <w:top w:val="nil"/>
              <w:left w:val="nil"/>
              <w:bottom w:val="nil"/>
              <w:right w:val="single" w:sz="4" w:space="0" w:color="auto"/>
            </w:tcBorders>
            <w:shd w:val="clear" w:color="auto" w:fill="auto"/>
            <w:noWrap/>
          </w:tcPr>
          <w:p w14:paraId="4B4B7EEC"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13%</w:t>
            </w:r>
          </w:p>
        </w:tc>
        <w:tc>
          <w:tcPr>
            <w:tcW w:w="347" w:type="pct"/>
            <w:tcBorders>
              <w:top w:val="nil"/>
              <w:left w:val="single" w:sz="4" w:space="0" w:color="auto"/>
              <w:bottom w:val="nil"/>
              <w:right w:val="nil"/>
            </w:tcBorders>
            <w:shd w:val="clear" w:color="auto" w:fill="auto"/>
            <w:noWrap/>
          </w:tcPr>
          <w:p w14:paraId="2A51096A"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8,4</w:t>
            </w:r>
          </w:p>
        </w:tc>
        <w:tc>
          <w:tcPr>
            <w:tcW w:w="347" w:type="pct"/>
            <w:tcBorders>
              <w:top w:val="nil"/>
              <w:left w:val="nil"/>
              <w:bottom w:val="nil"/>
              <w:right w:val="nil"/>
            </w:tcBorders>
            <w:shd w:val="clear" w:color="auto" w:fill="auto"/>
            <w:noWrap/>
          </w:tcPr>
          <w:p w14:paraId="01E2EDA5"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7,9</w:t>
            </w:r>
          </w:p>
        </w:tc>
        <w:tc>
          <w:tcPr>
            <w:tcW w:w="374" w:type="pct"/>
            <w:tcBorders>
              <w:top w:val="nil"/>
              <w:left w:val="nil"/>
              <w:bottom w:val="nil"/>
              <w:right w:val="single" w:sz="4" w:space="0" w:color="auto"/>
            </w:tcBorders>
            <w:shd w:val="clear" w:color="auto" w:fill="auto"/>
            <w:noWrap/>
          </w:tcPr>
          <w:p w14:paraId="79C38703" w14:textId="77777777" w:rsidR="008A4FED" w:rsidRPr="00666914" w:rsidRDefault="008A4FED" w:rsidP="00F64B85">
            <w:pPr>
              <w:spacing w:after="0"/>
              <w:jc w:val="center"/>
              <w:rPr>
                <w:rFonts w:eastAsia="Times New Roman" w:cs="Calibri"/>
                <w:sz w:val="20"/>
                <w:szCs w:val="20"/>
                <w:highlight w:val="yellow"/>
                <w:lang w:eastAsia="sk-SK"/>
              </w:rPr>
            </w:pPr>
            <w:r w:rsidRPr="00666914">
              <w:rPr>
                <w:color w:val="FF0000"/>
                <w:sz w:val="20"/>
                <w:szCs w:val="20"/>
              </w:rPr>
              <w:t>-6%</w:t>
            </w:r>
          </w:p>
        </w:tc>
        <w:tc>
          <w:tcPr>
            <w:tcW w:w="347" w:type="pct"/>
            <w:tcBorders>
              <w:top w:val="nil"/>
              <w:left w:val="single" w:sz="4" w:space="0" w:color="auto"/>
              <w:bottom w:val="nil"/>
              <w:right w:val="nil"/>
            </w:tcBorders>
            <w:shd w:val="clear" w:color="auto" w:fill="auto"/>
            <w:noWrap/>
          </w:tcPr>
          <w:p w14:paraId="5D1F8782"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169</w:t>
            </w:r>
          </w:p>
        </w:tc>
        <w:tc>
          <w:tcPr>
            <w:tcW w:w="347" w:type="pct"/>
            <w:tcBorders>
              <w:top w:val="nil"/>
              <w:left w:val="nil"/>
              <w:bottom w:val="nil"/>
              <w:right w:val="nil"/>
            </w:tcBorders>
            <w:shd w:val="clear" w:color="auto" w:fill="auto"/>
            <w:noWrap/>
          </w:tcPr>
          <w:p w14:paraId="1D9E7C17"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191</w:t>
            </w:r>
          </w:p>
        </w:tc>
        <w:tc>
          <w:tcPr>
            <w:tcW w:w="374" w:type="pct"/>
            <w:tcBorders>
              <w:top w:val="nil"/>
              <w:left w:val="nil"/>
              <w:bottom w:val="nil"/>
              <w:right w:val="nil"/>
            </w:tcBorders>
            <w:shd w:val="clear" w:color="auto" w:fill="auto"/>
            <w:noWrap/>
          </w:tcPr>
          <w:p w14:paraId="640B4D7A"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13%</w:t>
            </w:r>
          </w:p>
        </w:tc>
      </w:tr>
      <w:tr w:rsidR="008A4FED" w:rsidRPr="00666914" w14:paraId="4871EE09" w14:textId="77777777" w:rsidTr="00F64B85">
        <w:trPr>
          <w:trHeight w:val="20"/>
        </w:trPr>
        <w:tc>
          <w:tcPr>
            <w:tcW w:w="840" w:type="pct"/>
            <w:tcBorders>
              <w:top w:val="nil"/>
              <w:left w:val="nil"/>
              <w:bottom w:val="nil"/>
              <w:right w:val="single" w:sz="4" w:space="0" w:color="auto"/>
            </w:tcBorders>
            <w:shd w:val="clear" w:color="auto" w:fill="F2F2F2" w:themeFill="background1" w:themeFillShade="F2"/>
            <w:noWrap/>
            <w:vAlign w:val="bottom"/>
            <w:hideMark/>
          </w:tcPr>
          <w:p w14:paraId="70D28FC4" w14:textId="77777777" w:rsidR="008A4FED" w:rsidRPr="00666914" w:rsidRDefault="008A4FED" w:rsidP="00F64B85">
            <w:pPr>
              <w:spacing w:after="0"/>
              <w:jc w:val="left"/>
              <w:rPr>
                <w:rFonts w:eastAsia="Times New Roman" w:cs="Calibri"/>
                <w:sz w:val="20"/>
                <w:lang w:eastAsia="sk-SK"/>
              </w:rPr>
            </w:pPr>
            <w:r w:rsidRPr="00666914">
              <w:rPr>
                <w:rFonts w:cs="Calibri"/>
                <w:sz w:val="20"/>
                <w:szCs w:val="20"/>
              </w:rPr>
              <w:t>UN L. Pasteura Košice</w:t>
            </w:r>
          </w:p>
        </w:tc>
        <w:tc>
          <w:tcPr>
            <w:tcW w:w="235" w:type="pct"/>
            <w:tcBorders>
              <w:top w:val="nil"/>
              <w:left w:val="single" w:sz="4" w:space="0" w:color="auto"/>
              <w:bottom w:val="nil"/>
              <w:right w:val="nil"/>
            </w:tcBorders>
            <w:shd w:val="clear" w:color="auto" w:fill="F2F2F2" w:themeFill="background1" w:themeFillShade="F2"/>
            <w:noWrap/>
          </w:tcPr>
          <w:p w14:paraId="58E23794"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59</w:t>
            </w:r>
          </w:p>
        </w:tc>
        <w:tc>
          <w:tcPr>
            <w:tcW w:w="347" w:type="pct"/>
            <w:tcBorders>
              <w:top w:val="nil"/>
              <w:left w:val="nil"/>
              <w:bottom w:val="nil"/>
              <w:right w:val="nil"/>
            </w:tcBorders>
            <w:shd w:val="clear" w:color="auto" w:fill="F2F2F2" w:themeFill="background1" w:themeFillShade="F2"/>
            <w:noWrap/>
          </w:tcPr>
          <w:p w14:paraId="797B1FD3"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65</w:t>
            </w:r>
          </w:p>
        </w:tc>
        <w:tc>
          <w:tcPr>
            <w:tcW w:w="374" w:type="pct"/>
            <w:tcBorders>
              <w:top w:val="nil"/>
              <w:left w:val="nil"/>
              <w:bottom w:val="nil"/>
              <w:right w:val="single" w:sz="4" w:space="0" w:color="auto"/>
            </w:tcBorders>
            <w:shd w:val="clear" w:color="auto" w:fill="F2F2F2" w:themeFill="background1" w:themeFillShade="F2"/>
            <w:noWrap/>
          </w:tcPr>
          <w:p w14:paraId="0380D38C"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9%</w:t>
            </w:r>
          </w:p>
        </w:tc>
        <w:tc>
          <w:tcPr>
            <w:tcW w:w="347" w:type="pct"/>
            <w:tcBorders>
              <w:top w:val="nil"/>
              <w:left w:val="single" w:sz="4" w:space="0" w:color="auto"/>
              <w:bottom w:val="nil"/>
              <w:right w:val="nil"/>
            </w:tcBorders>
            <w:shd w:val="clear" w:color="auto" w:fill="F2F2F2" w:themeFill="background1" w:themeFillShade="F2"/>
            <w:noWrap/>
          </w:tcPr>
          <w:p w14:paraId="004058F0"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26</w:t>
            </w:r>
          </w:p>
        </w:tc>
        <w:tc>
          <w:tcPr>
            <w:tcW w:w="347" w:type="pct"/>
            <w:tcBorders>
              <w:top w:val="nil"/>
              <w:left w:val="nil"/>
              <w:bottom w:val="nil"/>
              <w:right w:val="nil"/>
            </w:tcBorders>
            <w:shd w:val="clear" w:color="auto" w:fill="F2F2F2" w:themeFill="background1" w:themeFillShade="F2"/>
            <w:noWrap/>
          </w:tcPr>
          <w:p w14:paraId="3FA08FB5"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29</w:t>
            </w:r>
          </w:p>
        </w:tc>
        <w:tc>
          <w:tcPr>
            <w:tcW w:w="374" w:type="pct"/>
            <w:tcBorders>
              <w:top w:val="nil"/>
              <w:left w:val="nil"/>
              <w:bottom w:val="nil"/>
              <w:right w:val="single" w:sz="4" w:space="0" w:color="auto"/>
            </w:tcBorders>
            <w:shd w:val="clear" w:color="auto" w:fill="F2F2F2" w:themeFill="background1" w:themeFillShade="F2"/>
            <w:noWrap/>
          </w:tcPr>
          <w:p w14:paraId="0DB5E627"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15%</w:t>
            </w:r>
          </w:p>
        </w:tc>
        <w:tc>
          <w:tcPr>
            <w:tcW w:w="347" w:type="pct"/>
            <w:tcBorders>
              <w:top w:val="nil"/>
              <w:left w:val="single" w:sz="4" w:space="0" w:color="auto"/>
              <w:bottom w:val="nil"/>
              <w:right w:val="nil"/>
            </w:tcBorders>
            <w:shd w:val="clear" w:color="auto" w:fill="F2F2F2" w:themeFill="background1" w:themeFillShade="F2"/>
            <w:noWrap/>
          </w:tcPr>
          <w:p w14:paraId="164B2E67"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7,1</w:t>
            </w:r>
          </w:p>
        </w:tc>
        <w:tc>
          <w:tcPr>
            <w:tcW w:w="347" w:type="pct"/>
            <w:tcBorders>
              <w:top w:val="nil"/>
              <w:left w:val="nil"/>
              <w:bottom w:val="nil"/>
              <w:right w:val="nil"/>
            </w:tcBorders>
            <w:shd w:val="clear" w:color="auto" w:fill="F2F2F2" w:themeFill="background1" w:themeFillShade="F2"/>
            <w:noWrap/>
          </w:tcPr>
          <w:p w14:paraId="5D3FDCCA"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7,6</w:t>
            </w:r>
          </w:p>
        </w:tc>
        <w:tc>
          <w:tcPr>
            <w:tcW w:w="374" w:type="pct"/>
            <w:tcBorders>
              <w:top w:val="nil"/>
              <w:left w:val="nil"/>
              <w:bottom w:val="nil"/>
              <w:right w:val="single" w:sz="4" w:space="0" w:color="auto"/>
            </w:tcBorders>
            <w:shd w:val="clear" w:color="auto" w:fill="F2F2F2" w:themeFill="background1" w:themeFillShade="F2"/>
            <w:noWrap/>
          </w:tcPr>
          <w:p w14:paraId="76061423"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7%</w:t>
            </w:r>
          </w:p>
        </w:tc>
        <w:tc>
          <w:tcPr>
            <w:tcW w:w="347" w:type="pct"/>
            <w:tcBorders>
              <w:top w:val="nil"/>
              <w:left w:val="single" w:sz="4" w:space="0" w:color="auto"/>
              <w:bottom w:val="nil"/>
              <w:right w:val="nil"/>
            </w:tcBorders>
            <w:shd w:val="clear" w:color="auto" w:fill="F2F2F2" w:themeFill="background1" w:themeFillShade="F2"/>
            <w:noWrap/>
          </w:tcPr>
          <w:p w14:paraId="623F6BFD"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92</w:t>
            </w:r>
          </w:p>
        </w:tc>
        <w:tc>
          <w:tcPr>
            <w:tcW w:w="347" w:type="pct"/>
            <w:tcBorders>
              <w:top w:val="nil"/>
              <w:left w:val="nil"/>
              <w:bottom w:val="nil"/>
              <w:right w:val="nil"/>
            </w:tcBorders>
            <w:shd w:val="clear" w:color="auto" w:fill="F2F2F2" w:themeFill="background1" w:themeFillShade="F2"/>
            <w:noWrap/>
          </w:tcPr>
          <w:p w14:paraId="361EAAB1"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101</w:t>
            </w:r>
          </w:p>
        </w:tc>
        <w:tc>
          <w:tcPr>
            <w:tcW w:w="374" w:type="pct"/>
            <w:tcBorders>
              <w:top w:val="nil"/>
              <w:left w:val="nil"/>
              <w:bottom w:val="nil"/>
              <w:right w:val="nil"/>
            </w:tcBorders>
            <w:shd w:val="clear" w:color="auto" w:fill="F2F2F2" w:themeFill="background1" w:themeFillShade="F2"/>
            <w:noWrap/>
          </w:tcPr>
          <w:p w14:paraId="518723B6"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11%</w:t>
            </w:r>
          </w:p>
        </w:tc>
      </w:tr>
      <w:tr w:rsidR="008A4FED" w:rsidRPr="00666914" w14:paraId="3C2F2401" w14:textId="77777777" w:rsidTr="00F64B85">
        <w:trPr>
          <w:trHeight w:val="20"/>
        </w:trPr>
        <w:tc>
          <w:tcPr>
            <w:tcW w:w="840" w:type="pct"/>
            <w:tcBorders>
              <w:top w:val="nil"/>
              <w:left w:val="nil"/>
              <w:bottom w:val="nil"/>
              <w:right w:val="single" w:sz="4" w:space="0" w:color="auto"/>
            </w:tcBorders>
            <w:shd w:val="clear" w:color="auto" w:fill="auto"/>
            <w:noWrap/>
            <w:vAlign w:val="bottom"/>
            <w:hideMark/>
          </w:tcPr>
          <w:p w14:paraId="55C59ED8" w14:textId="77777777" w:rsidR="008A4FED" w:rsidRPr="00666914" w:rsidRDefault="008A4FED" w:rsidP="00F64B85">
            <w:pPr>
              <w:spacing w:after="0"/>
              <w:jc w:val="left"/>
              <w:rPr>
                <w:rFonts w:eastAsia="Times New Roman" w:cs="Calibri"/>
                <w:sz w:val="20"/>
                <w:lang w:eastAsia="sk-SK"/>
              </w:rPr>
            </w:pPr>
            <w:r w:rsidRPr="00666914">
              <w:rPr>
                <w:rFonts w:cs="Calibri"/>
                <w:sz w:val="20"/>
                <w:szCs w:val="20"/>
              </w:rPr>
              <w:t>UN Martin</w:t>
            </w:r>
          </w:p>
        </w:tc>
        <w:tc>
          <w:tcPr>
            <w:tcW w:w="235" w:type="pct"/>
            <w:tcBorders>
              <w:top w:val="nil"/>
              <w:left w:val="single" w:sz="4" w:space="0" w:color="auto"/>
              <w:bottom w:val="nil"/>
              <w:right w:val="nil"/>
            </w:tcBorders>
            <w:shd w:val="clear" w:color="auto" w:fill="auto"/>
            <w:noWrap/>
          </w:tcPr>
          <w:p w14:paraId="196B9A90"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55</w:t>
            </w:r>
          </w:p>
        </w:tc>
        <w:tc>
          <w:tcPr>
            <w:tcW w:w="347" w:type="pct"/>
            <w:tcBorders>
              <w:top w:val="nil"/>
              <w:left w:val="nil"/>
              <w:bottom w:val="nil"/>
              <w:right w:val="nil"/>
            </w:tcBorders>
            <w:shd w:val="clear" w:color="auto" w:fill="auto"/>
            <w:noWrap/>
          </w:tcPr>
          <w:p w14:paraId="501554D6"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63</w:t>
            </w:r>
          </w:p>
        </w:tc>
        <w:tc>
          <w:tcPr>
            <w:tcW w:w="374" w:type="pct"/>
            <w:tcBorders>
              <w:top w:val="nil"/>
              <w:left w:val="nil"/>
              <w:bottom w:val="nil"/>
              <w:right w:val="single" w:sz="4" w:space="0" w:color="auto"/>
            </w:tcBorders>
            <w:shd w:val="clear" w:color="auto" w:fill="auto"/>
            <w:noWrap/>
          </w:tcPr>
          <w:p w14:paraId="5D647D5E"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15%</w:t>
            </w:r>
          </w:p>
        </w:tc>
        <w:tc>
          <w:tcPr>
            <w:tcW w:w="347" w:type="pct"/>
            <w:tcBorders>
              <w:top w:val="nil"/>
              <w:left w:val="single" w:sz="4" w:space="0" w:color="auto"/>
              <w:bottom w:val="nil"/>
              <w:right w:val="nil"/>
            </w:tcBorders>
            <w:shd w:val="clear" w:color="auto" w:fill="auto"/>
            <w:noWrap/>
          </w:tcPr>
          <w:p w14:paraId="732A6101"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15</w:t>
            </w:r>
          </w:p>
        </w:tc>
        <w:tc>
          <w:tcPr>
            <w:tcW w:w="347" w:type="pct"/>
            <w:tcBorders>
              <w:top w:val="nil"/>
              <w:left w:val="nil"/>
              <w:bottom w:val="nil"/>
              <w:right w:val="nil"/>
            </w:tcBorders>
            <w:shd w:val="clear" w:color="auto" w:fill="auto"/>
            <w:noWrap/>
          </w:tcPr>
          <w:p w14:paraId="3BD845BF"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17</w:t>
            </w:r>
          </w:p>
        </w:tc>
        <w:tc>
          <w:tcPr>
            <w:tcW w:w="374" w:type="pct"/>
            <w:tcBorders>
              <w:top w:val="nil"/>
              <w:left w:val="nil"/>
              <w:bottom w:val="nil"/>
              <w:right w:val="single" w:sz="4" w:space="0" w:color="auto"/>
            </w:tcBorders>
            <w:shd w:val="clear" w:color="auto" w:fill="auto"/>
            <w:noWrap/>
          </w:tcPr>
          <w:p w14:paraId="72F876E4"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13%</w:t>
            </w:r>
          </w:p>
        </w:tc>
        <w:tc>
          <w:tcPr>
            <w:tcW w:w="347" w:type="pct"/>
            <w:tcBorders>
              <w:top w:val="nil"/>
              <w:left w:val="single" w:sz="4" w:space="0" w:color="auto"/>
              <w:bottom w:val="nil"/>
              <w:right w:val="nil"/>
            </w:tcBorders>
            <w:shd w:val="clear" w:color="auto" w:fill="auto"/>
            <w:noWrap/>
          </w:tcPr>
          <w:p w14:paraId="40F6061C"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2,8</w:t>
            </w:r>
          </w:p>
        </w:tc>
        <w:tc>
          <w:tcPr>
            <w:tcW w:w="347" w:type="pct"/>
            <w:tcBorders>
              <w:top w:val="nil"/>
              <w:left w:val="nil"/>
              <w:bottom w:val="nil"/>
              <w:right w:val="nil"/>
            </w:tcBorders>
            <w:shd w:val="clear" w:color="auto" w:fill="auto"/>
            <w:noWrap/>
          </w:tcPr>
          <w:p w14:paraId="39552E9F"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3,5</w:t>
            </w:r>
          </w:p>
        </w:tc>
        <w:tc>
          <w:tcPr>
            <w:tcW w:w="374" w:type="pct"/>
            <w:tcBorders>
              <w:top w:val="nil"/>
              <w:left w:val="nil"/>
              <w:bottom w:val="nil"/>
              <w:right w:val="single" w:sz="4" w:space="0" w:color="auto"/>
            </w:tcBorders>
            <w:shd w:val="clear" w:color="auto" w:fill="auto"/>
            <w:noWrap/>
          </w:tcPr>
          <w:p w14:paraId="13EA6A6C"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24%</w:t>
            </w:r>
          </w:p>
        </w:tc>
        <w:tc>
          <w:tcPr>
            <w:tcW w:w="347" w:type="pct"/>
            <w:tcBorders>
              <w:top w:val="nil"/>
              <w:left w:val="single" w:sz="4" w:space="0" w:color="auto"/>
              <w:bottom w:val="nil"/>
              <w:right w:val="nil"/>
            </w:tcBorders>
            <w:shd w:val="clear" w:color="auto" w:fill="auto"/>
            <w:noWrap/>
          </w:tcPr>
          <w:p w14:paraId="230170DA"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72</w:t>
            </w:r>
          </w:p>
        </w:tc>
        <w:tc>
          <w:tcPr>
            <w:tcW w:w="347" w:type="pct"/>
            <w:tcBorders>
              <w:top w:val="nil"/>
              <w:left w:val="nil"/>
              <w:bottom w:val="nil"/>
              <w:right w:val="nil"/>
            </w:tcBorders>
            <w:shd w:val="clear" w:color="auto" w:fill="auto"/>
            <w:noWrap/>
          </w:tcPr>
          <w:p w14:paraId="095316D8"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83</w:t>
            </w:r>
          </w:p>
        </w:tc>
        <w:tc>
          <w:tcPr>
            <w:tcW w:w="374" w:type="pct"/>
            <w:tcBorders>
              <w:top w:val="nil"/>
              <w:left w:val="nil"/>
              <w:bottom w:val="nil"/>
              <w:right w:val="nil"/>
            </w:tcBorders>
            <w:shd w:val="clear" w:color="auto" w:fill="auto"/>
            <w:noWrap/>
          </w:tcPr>
          <w:p w14:paraId="53A0000F"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15%</w:t>
            </w:r>
          </w:p>
        </w:tc>
      </w:tr>
      <w:tr w:rsidR="008A4FED" w:rsidRPr="00666914" w14:paraId="2D851115" w14:textId="77777777" w:rsidTr="00F64B85">
        <w:trPr>
          <w:trHeight w:val="20"/>
        </w:trPr>
        <w:tc>
          <w:tcPr>
            <w:tcW w:w="840" w:type="pct"/>
            <w:tcBorders>
              <w:top w:val="nil"/>
              <w:left w:val="nil"/>
              <w:bottom w:val="nil"/>
              <w:right w:val="single" w:sz="4" w:space="0" w:color="auto"/>
            </w:tcBorders>
            <w:shd w:val="clear" w:color="auto" w:fill="F2F2F2" w:themeFill="background1" w:themeFillShade="F2"/>
            <w:noWrap/>
            <w:vAlign w:val="bottom"/>
            <w:hideMark/>
          </w:tcPr>
          <w:p w14:paraId="77850B0F" w14:textId="77777777" w:rsidR="008A4FED" w:rsidRPr="00666914" w:rsidRDefault="008A4FED" w:rsidP="00F64B85">
            <w:pPr>
              <w:spacing w:after="0"/>
              <w:jc w:val="left"/>
              <w:rPr>
                <w:rFonts w:eastAsia="Times New Roman" w:cs="Calibri"/>
                <w:sz w:val="20"/>
                <w:lang w:eastAsia="sk-SK"/>
              </w:rPr>
            </w:pPr>
            <w:r w:rsidRPr="00666914">
              <w:rPr>
                <w:rFonts w:cs="Calibri"/>
                <w:sz w:val="20"/>
                <w:szCs w:val="20"/>
              </w:rPr>
              <w:t>DFNsP Bratislava</w:t>
            </w:r>
          </w:p>
        </w:tc>
        <w:tc>
          <w:tcPr>
            <w:tcW w:w="235" w:type="pct"/>
            <w:tcBorders>
              <w:top w:val="nil"/>
              <w:left w:val="single" w:sz="4" w:space="0" w:color="auto"/>
              <w:bottom w:val="nil"/>
              <w:right w:val="nil"/>
            </w:tcBorders>
            <w:shd w:val="clear" w:color="auto" w:fill="F2F2F2" w:themeFill="background1" w:themeFillShade="F2"/>
            <w:noWrap/>
          </w:tcPr>
          <w:p w14:paraId="46063057"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28</w:t>
            </w:r>
          </w:p>
        </w:tc>
        <w:tc>
          <w:tcPr>
            <w:tcW w:w="347" w:type="pct"/>
            <w:tcBorders>
              <w:top w:val="nil"/>
              <w:left w:val="nil"/>
              <w:bottom w:val="nil"/>
              <w:right w:val="nil"/>
            </w:tcBorders>
            <w:shd w:val="clear" w:color="auto" w:fill="F2F2F2" w:themeFill="background1" w:themeFillShade="F2"/>
            <w:noWrap/>
          </w:tcPr>
          <w:p w14:paraId="7679570A"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33</w:t>
            </w:r>
          </w:p>
        </w:tc>
        <w:tc>
          <w:tcPr>
            <w:tcW w:w="374" w:type="pct"/>
            <w:tcBorders>
              <w:top w:val="nil"/>
              <w:left w:val="nil"/>
              <w:bottom w:val="nil"/>
              <w:right w:val="single" w:sz="4" w:space="0" w:color="auto"/>
            </w:tcBorders>
            <w:shd w:val="clear" w:color="auto" w:fill="F2F2F2" w:themeFill="background1" w:themeFillShade="F2"/>
            <w:noWrap/>
          </w:tcPr>
          <w:p w14:paraId="280D07E1"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20%</w:t>
            </w:r>
          </w:p>
        </w:tc>
        <w:tc>
          <w:tcPr>
            <w:tcW w:w="347" w:type="pct"/>
            <w:tcBorders>
              <w:top w:val="nil"/>
              <w:left w:val="single" w:sz="4" w:space="0" w:color="auto"/>
              <w:bottom w:val="nil"/>
              <w:right w:val="nil"/>
            </w:tcBorders>
            <w:shd w:val="clear" w:color="auto" w:fill="F2F2F2" w:themeFill="background1" w:themeFillShade="F2"/>
            <w:noWrap/>
          </w:tcPr>
          <w:p w14:paraId="16F41649"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11</w:t>
            </w:r>
          </w:p>
        </w:tc>
        <w:tc>
          <w:tcPr>
            <w:tcW w:w="347" w:type="pct"/>
            <w:tcBorders>
              <w:top w:val="nil"/>
              <w:left w:val="nil"/>
              <w:bottom w:val="nil"/>
              <w:right w:val="nil"/>
            </w:tcBorders>
            <w:shd w:val="clear" w:color="auto" w:fill="F2F2F2" w:themeFill="background1" w:themeFillShade="F2"/>
            <w:noWrap/>
          </w:tcPr>
          <w:p w14:paraId="2D07B64D"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13</w:t>
            </w:r>
          </w:p>
        </w:tc>
        <w:tc>
          <w:tcPr>
            <w:tcW w:w="374" w:type="pct"/>
            <w:tcBorders>
              <w:top w:val="nil"/>
              <w:left w:val="nil"/>
              <w:bottom w:val="nil"/>
              <w:right w:val="single" w:sz="4" w:space="0" w:color="auto"/>
            </w:tcBorders>
            <w:shd w:val="clear" w:color="auto" w:fill="F2F2F2" w:themeFill="background1" w:themeFillShade="F2"/>
            <w:noWrap/>
          </w:tcPr>
          <w:p w14:paraId="1BE98244"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14%</w:t>
            </w:r>
          </w:p>
        </w:tc>
        <w:tc>
          <w:tcPr>
            <w:tcW w:w="347" w:type="pct"/>
            <w:tcBorders>
              <w:top w:val="nil"/>
              <w:left w:val="single" w:sz="4" w:space="0" w:color="auto"/>
              <w:bottom w:val="nil"/>
              <w:right w:val="nil"/>
            </w:tcBorders>
            <w:shd w:val="clear" w:color="auto" w:fill="F2F2F2" w:themeFill="background1" w:themeFillShade="F2"/>
            <w:noWrap/>
          </w:tcPr>
          <w:p w14:paraId="68371975"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3,5</w:t>
            </w:r>
          </w:p>
        </w:tc>
        <w:tc>
          <w:tcPr>
            <w:tcW w:w="347" w:type="pct"/>
            <w:tcBorders>
              <w:top w:val="nil"/>
              <w:left w:val="nil"/>
              <w:bottom w:val="nil"/>
              <w:right w:val="nil"/>
            </w:tcBorders>
            <w:shd w:val="clear" w:color="auto" w:fill="F2F2F2" w:themeFill="background1" w:themeFillShade="F2"/>
            <w:noWrap/>
          </w:tcPr>
          <w:p w14:paraId="24D88488"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3,9</w:t>
            </w:r>
          </w:p>
        </w:tc>
        <w:tc>
          <w:tcPr>
            <w:tcW w:w="374" w:type="pct"/>
            <w:tcBorders>
              <w:top w:val="nil"/>
              <w:left w:val="nil"/>
              <w:bottom w:val="nil"/>
              <w:right w:val="single" w:sz="4" w:space="0" w:color="auto"/>
            </w:tcBorders>
            <w:shd w:val="clear" w:color="auto" w:fill="F2F2F2" w:themeFill="background1" w:themeFillShade="F2"/>
            <w:noWrap/>
          </w:tcPr>
          <w:p w14:paraId="216125E2"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10%</w:t>
            </w:r>
          </w:p>
        </w:tc>
        <w:tc>
          <w:tcPr>
            <w:tcW w:w="347" w:type="pct"/>
            <w:tcBorders>
              <w:top w:val="nil"/>
              <w:left w:val="single" w:sz="4" w:space="0" w:color="auto"/>
              <w:bottom w:val="nil"/>
              <w:right w:val="nil"/>
            </w:tcBorders>
            <w:shd w:val="clear" w:color="auto" w:fill="F2F2F2" w:themeFill="background1" w:themeFillShade="F2"/>
            <w:noWrap/>
          </w:tcPr>
          <w:p w14:paraId="26F705BA"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43</w:t>
            </w:r>
          </w:p>
        </w:tc>
        <w:tc>
          <w:tcPr>
            <w:tcW w:w="347" w:type="pct"/>
            <w:tcBorders>
              <w:top w:val="nil"/>
              <w:left w:val="nil"/>
              <w:bottom w:val="nil"/>
              <w:right w:val="nil"/>
            </w:tcBorders>
            <w:shd w:val="clear" w:color="auto" w:fill="F2F2F2" w:themeFill="background1" w:themeFillShade="F2"/>
            <w:noWrap/>
          </w:tcPr>
          <w:p w14:paraId="6DA37401"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50</w:t>
            </w:r>
          </w:p>
        </w:tc>
        <w:tc>
          <w:tcPr>
            <w:tcW w:w="374" w:type="pct"/>
            <w:tcBorders>
              <w:top w:val="nil"/>
              <w:left w:val="nil"/>
              <w:bottom w:val="nil"/>
              <w:right w:val="nil"/>
            </w:tcBorders>
            <w:shd w:val="clear" w:color="auto" w:fill="F2F2F2" w:themeFill="background1" w:themeFillShade="F2"/>
            <w:noWrap/>
          </w:tcPr>
          <w:p w14:paraId="32A6367C"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18%</w:t>
            </w:r>
          </w:p>
        </w:tc>
      </w:tr>
      <w:tr w:rsidR="008A4FED" w:rsidRPr="00666914" w14:paraId="7EF79634" w14:textId="77777777" w:rsidTr="00F64B85">
        <w:trPr>
          <w:trHeight w:val="20"/>
        </w:trPr>
        <w:tc>
          <w:tcPr>
            <w:tcW w:w="840" w:type="pct"/>
            <w:tcBorders>
              <w:top w:val="nil"/>
              <w:left w:val="nil"/>
              <w:bottom w:val="nil"/>
              <w:right w:val="single" w:sz="4" w:space="0" w:color="auto"/>
            </w:tcBorders>
            <w:shd w:val="clear" w:color="auto" w:fill="auto"/>
            <w:noWrap/>
            <w:vAlign w:val="bottom"/>
            <w:hideMark/>
          </w:tcPr>
          <w:p w14:paraId="64ED2AE4" w14:textId="77777777" w:rsidR="008A4FED" w:rsidRPr="00666914" w:rsidRDefault="008A4FED" w:rsidP="00F64B85">
            <w:pPr>
              <w:spacing w:after="0"/>
              <w:jc w:val="left"/>
              <w:rPr>
                <w:rFonts w:eastAsia="Times New Roman" w:cs="Calibri"/>
                <w:sz w:val="20"/>
                <w:lang w:eastAsia="sk-SK"/>
              </w:rPr>
            </w:pPr>
            <w:r w:rsidRPr="00666914">
              <w:rPr>
                <w:rFonts w:cs="Calibri"/>
                <w:sz w:val="20"/>
                <w:szCs w:val="20"/>
              </w:rPr>
              <w:t>DFN Košice</w:t>
            </w:r>
          </w:p>
        </w:tc>
        <w:tc>
          <w:tcPr>
            <w:tcW w:w="235" w:type="pct"/>
            <w:tcBorders>
              <w:top w:val="nil"/>
              <w:left w:val="single" w:sz="4" w:space="0" w:color="auto"/>
              <w:bottom w:val="nil"/>
              <w:right w:val="nil"/>
            </w:tcBorders>
            <w:shd w:val="clear" w:color="auto" w:fill="auto"/>
            <w:noWrap/>
          </w:tcPr>
          <w:p w14:paraId="79936BFA"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5</w:t>
            </w:r>
          </w:p>
        </w:tc>
        <w:tc>
          <w:tcPr>
            <w:tcW w:w="347" w:type="pct"/>
            <w:tcBorders>
              <w:top w:val="nil"/>
              <w:left w:val="nil"/>
              <w:bottom w:val="nil"/>
              <w:right w:val="nil"/>
            </w:tcBorders>
            <w:shd w:val="clear" w:color="auto" w:fill="auto"/>
            <w:noWrap/>
          </w:tcPr>
          <w:p w14:paraId="27A25F64"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8</w:t>
            </w:r>
          </w:p>
        </w:tc>
        <w:tc>
          <w:tcPr>
            <w:tcW w:w="374" w:type="pct"/>
            <w:tcBorders>
              <w:top w:val="nil"/>
              <w:left w:val="nil"/>
              <w:bottom w:val="nil"/>
              <w:right w:val="single" w:sz="4" w:space="0" w:color="auto"/>
            </w:tcBorders>
            <w:shd w:val="clear" w:color="auto" w:fill="auto"/>
            <w:noWrap/>
          </w:tcPr>
          <w:p w14:paraId="1B3245B0"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38%</w:t>
            </w:r>
          </w:p>
        </w:tc>
        <w:tc>
          <w:tcPr>
            <w:tcW w:w="347" w:type="pct"/>
            <w:tcBorders>
              <w:top w:val="nil"/>
              <w:left w:val="single" w:sz="4" w:space="0" w:color="auto"/>
              <w:bottom w:val="nil"/>
              <w:right w:val="nil"/>
            </w:tcBorders>
            <w:shd w:val="clear" w:color="auto" w:fill="auto"/>
            <w:noWrap/>
          </w:tcPr>
          <w:p w14:paraId="72A839EA"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7</w:t>
            </w:r>
          </w:p>
        </w:tc>
        <w:tc>
          <w:tcPr>
            <w:tcW w:w="347" w:type="pct"/>
            <w:tcBorders>
              <w:top w:val="nil"/>
              <w:left w:val="nil"/>
              <w:bottom w:val="nil"/>
              <w:right w:val="nil"/>
            </w:tcBorders>
            <w:shd w:val="clear" w:color="auto" w:fill="auto"/>
            <w:noWrap/>
          </w:tcPr>
          <w:p w14:paraId="3AC2C310"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9</w:t>
            </w:r>
          </w:p>
        </w:tc>
        <w:tc>
          <w:tcPr>
            <w:tcW w:w="374" w:type="pct"/>
            <w:tcBorders>
              <w:top w:val="nil"/>
              <w:left w:val="nil"/>
              <w:bottom w:val="nil"/>
              <w:right w:val="single" w:sz="4" w:space="0" w:color="auto"/>
            </w:tcBorders>
            <w:shd w:val="clear" w:color="auto" w:fill="auto"/>
            <w:noWrap/>
          </w:tcPr>
          <w:p w14:paraId="5CC21CCB"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33%</w:t>
            </w:r>
          </w:p>
        </w:tc>
        <w:tc>
          <w:tcPr>
            <w:tcW w:w="347" w:type="pct"/>
            <w:tcBorders>
              <w:top w:val="nil"/>
              <w:left w:val="single" w:sz="4" w:space="0" w:color="auto"/>
              <w:bottom w:val="nil"/>
              <w:right w:val="nil"/>
            </w:tcBorders>
            <w:shd w:val="clear" w:color="auto" w:fill="auto"/>
            <w:noWrap/>
          </w:tcPr>
          <w:p w14:paraId="1DD78BBD"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2,3</w:t>
            </w:r>
          </w:p>
        </w:tc>
        <w:tc>
          <w:tcPr>
            <w:tcW w:w="347" w:type="pct"/>
            <w:tcBorders>
              <w:top w:val="nil"/>
              <w:left w:val="nil"/>
              <w:bottom w:val="nil"/>
              <w:right w:val="nil"/>
            </w:tcBorders>
            <w:shd w:val="clear" w:color="auto" w:fill="auto"/>
            <w:noWrap/>
          </w:tcPr>
          <w:p w14:paraId="71188C07"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2,5</w:t>
            </w:r>
          </w:p>
        </w:tc>
        <w:tc>
          <w:tcPr>
            <w:tcW w:w="374" w:type="pct"/>
            <w:tcBorders>
              <w:top w:val="nil"/>
              <w:left w:val="nil"/>
              <w:bottom w:val="nil"/>
              <w:right w:val="single" w:sz="4" w:space="0" w:color="auto"/>
            </w:tcBorders>
            <w:shd w:val="clear" w:color="auto" w:fill="auto"/>
            <w:noWrap/>
          </w:tcPr>
          <w:p w14:paraId="55C0D57D"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10%</w:t>
            </w:r>
          </w:p>
        </w:tc>
        <w:tc>
          <w:tcPr>
            <w:tcW w:w="347" w:type="pct"/>
            <w:tcBorders>
              <w:top w:val="nil"/>
              <w:left w:val="single" w:sz="4" w:space="0" w:color="auto"/>
              <w:bottom w:val="nil"/>
              <w:right w:val="nil"/>
            </w:tcBorders>
            <w:shd w:val="clear" w:color="auto" w:fill="auto"/>
            <w:noWrap/>
          </w:tcPr>
          <w:p w14:paraId="61CAFA72"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15</w:t>
            </w:r>
          </w:p>
        </w:tc>
        <w:tc>
          <w:tcPr>
            <w:tcW w:w="347" w:type="pct"/>
            <w:tcBorders>
              <w:top w:val="nil"/>
              <w:left w:val="nil"/>
              <w:bottom w:val="nil"/>
              <w:right w:val="nil"/>
            </w:tcBorders>
            <w:shd w:val="clear" w:color="auto" w:fill="auto"/>
            <w:noWrap/>
          </w:tcPr>
          <w:p w14:paraId="42F6BFAE"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19</w:t>
            </w:r>
          </w:p>
        </w:tc>
        <w:tc>
          <w:tcPr>
            <w:tcW w:w="374" w:type="pct"/>
            <w:tcBorders>
              <w:top w:val="nil"/>
              <w:left w:val="nil"/>
              <w:bottom w:val="nil"/>
              <w:right w:val="nil"/>
            </w:tcBorders>
            <w:shd w:val="clear" w:color="auto" w:fill="auto"/>
            <w:noWrap/>
          </w:tcPr>
          <w:p w14:paraId="0F244F01"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31%</w:t>
            </w:r>
          </w:p>
        </w:tc>
      </w:tr>
      <w:tr w:rsidR="008A4FED" w:rsidRPr="00666914" w14:paraId="66408B06" w14:textId="77777777" w:rsidTr="00F64B85">
        <w:trPr>
          <w:trHeight w:val="20"/>
        </w:trPr>
        <w:tc>
          <w:tcPr>
            <w:tcW w:w="840" w:type="pct"/>
            <w:tcBorders>
              <w:top w:val="nil"/>
              <w:left w:val="nil"/>
              <w:bottom w:val="nil"/>
              <w:right w:val="single" w:sz="4" w:space="0" w:color="auto"/>
            </w:tcBorders>
            <w:shd w:val="clear" w:color="auto" w:fill="F2F2F2" w:themeFill="background1" w:themeFillShade="F2"/>
            <w:noWrap/>
            <w:vAlign w:val="bottom"/>
            <w:hideMark/>
          </w:tcPr>
          <w:p w14:paraId="7B4A359C" w14:textId="77777777" w:rsidR="008A4FED" w:rsidRPr="00666914" w:rsidRDefault="008A4FED" w:rsidP="00F64B85">
            <w:pPr>
              <w:spacing w:after="0"/>
              <w:jc w:val="left"/>
              <w:rPr>
                <w:rFonts w:eastAsia="Times New Roman" w:cs="Calibri"/>
                <w:sz w:val="20"/>
                <w:lang w:eastAsia="sk-SK"/>
              </w:rPr>
            </w:pPr>
            <w:r w:rsidRPr="00666914">
              <w:rPr>
                <w:rFonts w:cs="Calibri"/>
                <w:sz w:val="20"/>
                <w:szCs w:val="20"/>
              </w:rPr>
              <w:t>DFNsP Banská Bystrica</w:t>
            </w:r>
          </w:p>
        </w:tc>
        <w:tc>
          <w:tcPr>
            <w:tcW w:w="235" w:type="pct"/>
            <w:tcBorders>
              <w:top w:val="nil"/>
              <w:left w:val="single" w:sz="4" w:space="0" w:color="auto"/>
              <w:bottom w:val="nil"/>
              <w:right w:val="nil"/>
            </w:tcBorders>
            <w:shd w:val="clear" w:color="auto" w:fill="F2F2F2" w:themeFill="background1" w:themeFillShade="F2"/>
            <w:noWrap/>
          </w:tcPr>
          <w:p w14:paraId="68F79117"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6</w:t>
            </w:r>
          </w:p>
        </w:tc>
        <w:tc>
          <w:tcPr>
            <w:tcW w:w="347" w:type="pct"/>
            <w:tcBorders>
              <w:top w:val="nil"/>
              <w:left w:val="nil"/>
              <w:bottom w:val="nil"/>
              <w:right w:val="nil"/>
            </w:tcBorders>
            <w:shd w:val="clear" w:color="auto" w:fill="F2F2F2" w:themeFill="background1" w:themeFillShade="F2"/>
            <w:noWrap/>
          </w:tcPr>
          <w:p w14:paraId="7C85FD16"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9</w:t>
            </w:r>
          </w:p>
        </w:tc>
        <w:tc>
          <w:tcPr>
            <w:tcW w:w="374" w:type="pct"/>
            <w:tcBorders>
              <w:top w:val="nil"/>
              <w:left w:val="nil"/>
              <w:bottom w:val="nil"/>
              <w:right w:val="single" w:sz="4" w:space="0" w:color="auto"/>
            </w:tcBorders>
            <w:shd w:val="clear" w:color="auto" w:fill="F2F2F2" w:themeFill="background1" w:themeFillShade="F2"/>
            <w:noWrap/>
          </w:tcPr>
          <w:p w14:paraId="3B4B3E1D"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54%</w:t>
            </w:r>
          </w:p>
        </w:tc>
        <w:tc>
          <w:tcPr>
            <w:tcW w:w="347" w:type="pct"/>
            <w:tcBorders>
              <w:top w:val="nil"/>
              <w:left w:val="single" w:sz="4" w:space="0" w:color="auto"/>
              <w:bottom w:val="nil"/>
              <w:right w:val="nil"/>
            </w:tcBorders>
            <w:shd w:val="clear" w:color="auto" w:fill="F2F2F2" w:themeFill="background1" w:themeFillShade="F2"/>
            <w:noWrap/>
          </w:tcPr>
          <w:p w14:paraId="509AA198"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4</w:t>
            </w:r>
          </w:p>
        </w:tc>
        <w:tc>
          <w:tcPr>
            <w:tcW w:w="347" w:type="pct"/>
            <w:tcBorders>
              <w:top w:val="nil"/>
              <w:left w:val="nil"/>
              <w:bottom w:val="nil"/>
              <w:right w:val="nil"/>
            </w:tcBorders>
            <w:shd w:val="clear" w:color="auto" w:fill="F2F2F2" w:themeFill="background1" w:themeFillShade="F2"/>
            <w:noWrap/>
          </w:tcPr>
          <w:p w14:paraId="573633DC"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5</w:t>
            </w:r>
          </w:p>
        </w:tc>
        <w:tc>
          <w:tcPr>
            <w:tcW w:w="374" w:type="pct"/>
            <w:tcBorders>
              <w:top w:val="nil"/>
              <w:left w:val="nil"/>
              <w:bottom w:val="nil"/>
              <w:right w:val="single" w:sz="4" w:space="0" w:color="auto"/>
            </w:tcBorders>
            <w:shd w:val="clear" w:color="auto" w:fill="F2F2F2" w:themeFill="background1" w:themeFillShade="F2"/>
            <w:noWrap/>
          </w:tcPr>
          <w:p w14:paraId="5570717C"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26%</w:t>
            </w:r>
          </w:p>
        </w:tc>
        <w:tc>
          <w:tcPr>
            <w:tcW w:w="347" w:type="pct"/>
            <w:tcBorders>
              <w:top w:val="nil"/>
              <w:left w:val="single" w:sz="4" w:space="0" w:color="auto"/>
              <w:bottom w:val="nil"/>
              <w:right w:val="nil"/>
            </w:tcBorders>
            <w:shd w:val="clear" w:color="auto" w:fill="F2F2F2" w:themeFill="background1" w:themeFillShade="F2"/>
            <w:noWrap/>
          </w:tcPr>
          <w:p w14:paraId="55BE97D5"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1,1</w:t>
            </w:r>
          </w:p>
        </w:tc>
        <w:tc>
          <w:tcPr>
            <w:tcW w:w="347" w:type="pct"/>
            <w:tcBorders>
              <w:top w:val="nil"/>
              <w:left w:val="nil"/>
              <w:bottom w:val="nil"/>
              <w:right w:val="nil"/>
            </w:tcBorders>
            <w:shd w:val="clear" w:color="auto" w:fill="F2F2F2" w:themeFill="background1" w:themeFillShade="F2"/>
            <w:noWrap/>
          </w:tcPr>
          <w:p w14:paraId="0BD3B4E7"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1,3</w:t>
            </w:r>
          </w:p>
        </w:tc>
        <w:tc>
          <w:tcPr>
            <w:tcW w:w="374" w:type="pct"/>
            <w:tcBorders>
              <w:top w:val="nil"/>
              <w:left w:val="nil"/>
              <w:bottom w:val="nil"/>
              <w:right w:val="single" w:sz="4" w:space="0" w:color="auto"/>
            </w:tcBorders>
            <w:shd w:val="clear" w:color="auto" w:fill="F2F2F2" w:themeFill="background1" w:themeFillShade="F2"/>
            <w:noWrap/>
          </w:tcPr>
          <w:p w14:paraId="53CFB252"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14%</w:t>
            </w:r>
          </w:p>
        </w:tc>
        <w:tc>
          <w:tcPr>
            <w:tcW w:w="347" w:type="pct"/>
            <w:tcBorders>
              <w:top w:val="nil"/>
              <w:left w:val="single" w:sz="4" w:space="0" w:color="auto"/>
              <w:bottom w:val="nil"/>
              <w:right w:val="nil"/>
            </w:tcBorders>
            <w:shd w:val="clear" w:color="auto" w:fill="F2F2F2" w:themeFill="background1" w:themeFillShade="F2"/>
            <w:noWrap/>
          </w:tcPr>
          <w:p w14:paraId="61F8DAAA"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11</w:t>
            </w:r>
          </w:p>
        </w:tc>
        <w:tc>
          <w:tcPr>
            <w:tcW w:w="347" w:type="pct"/>
            <w:tcBorders>
              <w:top w:val="nil"/>
              <w:left w:val="nil"/>
              <w:bottom w:val="nil"/>
              <w:right w:val="nil"/>
            </w:tcBorders>
            <w:shd w:val="clear" w:color="auto" w:fill="F2F2F2" w:themeFill="background1" w:themeFillShade="F2"/>
            <w:noWrap/>
          </w:tcPr>
          <w:p w14:paraId="22E994A9"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15</w:t>
            </w:r>
          </w:p>
        </w:tc>
        <w:tc>
          <w:tcPr>
            <w:tcW w:w="374" w:type="pct"/>
            <w:tcBorders>
              <w:top w:val="nil"/>
              <w:left w:val="nil"/>
              <w:bottom w:val="nil"/>
              <w:right w:val="nil"/>
            </w:tcBorders>
            <w:shd w:val="clear" w:color="auto" w:fill="F2F2F2" w:themeFill="background1" w:themeFillShade="F2"/>
            <w:noWrap/>
          </w:tcPr>
          <w:p w14:paraId="75F8D642"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39%</w:t>
            </w:r>
          </w:p>
        </w:tc>
      </w:tr>
      <w:tr w:rsidR="008A4FED" w:rsidRPr="00666914" w14:paraId="56DCAFA8" w14:textId="77777777" w:rsidTr="00F64B85">
        <w:trPr>
          <w:trHeight w:val="20"/>
        </w:trPr>
        <w:tc>
          <w:tcPr>
            <w:tcW w:w="840" w:type="pct"/>
            <w:tcBorders>
              <w:top w:val="nil"/>
              <w:left w:val="nil"/>
              <w:bottom w:val="nil"/>
              <w:right w:val="single" w:sz="4" w:space="0" w:color="auto"/>
            </w:tcBorders>
            <w:shd w:val="clear" w:color="auto" w:fill="auto"/>
            <w:noWrap/>
            <w:vAlign w:val="bottom"/>
            <w:hideMark/>
          </w:tcPr>
          <w:p w14:paraId="5522587E" w14:textId="77777777" w:rsidR="008A4FED" w:rsidRPr="00666914" w:rsidRDefault="008A4FED" w:rsidP="00F64B85">
            <w:pPr>
              <w:spacing w:after="0"/>
              <w:jc w:val="left"/>
              <w:rPr>
                <w:rFonts w:eastAsia="Times New Roman" w:cs="Calibri"/>
                <w:sz w:val="20"/>
                <w:lang w:eastAsia="sk-SK"/>
              </w:rPr>
            </w:pPr>
            <w:r w:rsidRPr="00666914">
              <w:rPr>
                <w:rFonts w:cs="Calibri"/>
                <w:sz w:val="20"/>
                <w:szCs w:val="20"/>
              </w:rPr>
              <w:t>FNsP Banská Bystrica</w:t>
            </w:r>
          </w:p>
        </w:tc>
        <w:tc>
          <w:tcPr>
            <w:tcW w:w="235" w:type="pct"/>
            <w:tcBorders>
              <w:top w:val="nil"/>
              <w:left w:val="single" w:sz="4" w:space="0" w:color="auto"/>
              <w:bottom w:val="nil"/>
              <w:right w:val="nil"/>
            </w:tcBorders>
            <w:shd w:val="clear" w:color="auto" w:fill="auto"/>
            <w:noWrap/>
          </w:tcPr>
          <w:p w14:paraId="21A9C885"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55</w:t>
            </w:r>
          </w:p>
        </w:tc>
        <w:tc>
          <w:tcPr>
            <w:tcW w:w="347" w:type="pct"/>
            <w:tcBorders>
              <w:top w:val="nil"/>
              <w:left w:val="nil"/>
              <w:bottom w:val="nil"/>
              <w:right w:val="nil"/>
            </w:tcBorders>
            <w:shd w:val="clear" w:color="auto" w:fill="auto"/>
            <w:noWrap/>
          </w:tcPr>
          <w:p w14:paraId="097E5BA1"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64</w:t>
            </w:r>
          </w:p>
        </w:tc>
        <w:tc>
          <w:tcPr>
            <w:tcW w:w="374" w:type="pct"/>
            <w:tcBorders>
              <w:top w:val="nil"/>
              <w:left w:val="nil"/>
              <w:bottom w:val="nil"/>
              <w:right w:val="single" w:sz="4" w:space="0" w:color="auto"/>
            </w:tcBorders>
            <w:shd w:val="clear" w:color="auto" w:fill="auto"/>
            <w:noWrap/>
          </w:tcPr>
          <w:p w14:paraId="4F8DE3A3"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15%</w:t>
            </w:r>
          </w:p>
        </w:tc>
        <w:tc>
          <w:tcPr>
            <w:tcW w:w="347" w:type="pct"/>
            <w:tcBorders>
              <w:top w:val="nil"/>
              <w:left w:val="single" w:sz="4" w:space="0" w:color="auto"/>
              <w:bottom w:val="nil"/>
              <w:right w:val="nil"/>
            </w:tcBorders>
            <w:shd w:val="clear" w:color="auto" w:fill="auto"/>
            <w:noWrap/>
          </w:tcPr>
          <w:p w14:paraId="1162CE3E"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15</w:t>
            </w:r>
          </w:p>
        </w:tc>
        <w:tc>
          <w:tcPr>
            <w:tcW w:w="347" w:type="pct"/>
            <w:tcBorders>
              <w:top w:val="nil"/>
              <w:left w:val="nil"/>
              <w:bottom w:val="nil"/>
              <w:right w:val="nil"/>
            </w:tcBorders>
            <w:shd w:val="clear" w:color="auto" w:fill="auto"/>
            <w:noWrap/>
          </w:tcPr>
          <w:p w14:paraId="168ED4D4"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17</w:t>
            </w:r>
          </w:p>
        </w:tc>
        <w:tc>
          <w:tcPr>
            <w:tcW w:w="374" w:type="pct"/>
            <w:tcBorders>
              <w:top w:val="nil"/>
              <w:left w:val="nil"/>
              <w:bottom w:val="nil"/>
              <w:right w:val="single" w:sz="4" w:space="0" w:color="auto"/>
            </w:tcBorders>
            <w:shd w:val="clear" w:color="auto" w:fill="auto"/>
            <w:noWrap/>
          </w:tcPr>
          <w:p w14:paraId="00877441"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13%</w:t>
            </w:r>
          </w:p>
        </w:tc>
        <w:tc>
          <w:tcPr>
            <w:tcW w:w="347" w:type="pct"/>
            <w:tcBorders>
              <w:top w:val="nil"/>
              <w:left w:val="single" w:sz="4" w:space="0" w:color="auto"/>
              <w:bottom w:val="nil"/>
              <w:right w:val="nil"/>
            </w:tcBorders>
            <w:shd w:val="clear" w:color="auto" w:fill="auto"/>
            <w:noWrap/>
          </w:tcPr>
          <w:p w14:paraId="67838DAB"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4,3</w:t>
            </w:r>
          </w:p>
        </w:tc>
        <w:tc>
          <w:tcPr>
            <w:tcW w:w="347" w:type="pct"/>
            <w:tcBorders>
              <w:top w:val="nil"/>
              <w:left w:val="nil"/>
              <w:bottom w:val="nil"/>
              <w:right w:val="nil"/>
            </w:tcBorders>
            <w:shd w:val="clear" w:color="auto" w:fill="auto"/>
            <w:noWrap/>
          </w:tcPr>
          <w:p w14:paraId="3CDED1D5"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4,7</w:t>
            </w:r>
          </w:p>
        </w:tc>
        <w:tc>
          <w:tcPr>
            <w:tcW w:w="374" w:type="pct"/>
            <w:tcBorders>
              <w:top w:val="nil"/>
              <w:left w:val="nil"/>
              <w:bottom w:val="nil"/>
              <w:right w:val="single" w:sz="4" w:space="0" w:color="auto"/>
            </w:tcBorders>
            <w:shd w:val="clear" w:color="auto" w:fill="auto"/>
            <w:noWrap/>
          </w:tcPr>
          <w:p w14:paraId="4B24AF38"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10%</w:t>
            </w:r>
          </w:p>
        </w:tc>
        <w:tc>
          <w:tcPr>
            <w:tcW w:w="347" w:type="pct"/>
            <w:tcBorders>
              <w:top w:val="nil"/>
              <w:left w:val="single" w:sz="4" w:space="0" w:color="auto"/>
              <w:bottom w:val="nil"/>
              <w:right w:val="nil"/>
            </w:tcBorders>
            <w:shd w:val="clear" w:color="auto" w:fill="auto"/>
            <w:noWrap/>
          </w:tcPr>
          <w:p w14:paraId="5962E530"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75</w:t>
            </w:r>
          </w:p>
        </w:tc>
        <w:tc>
          <w:tcPr>
            <w:tcW w:w="347" w:type="pct"/>
            <w:tcBorders>
              <w:top w:val="nil"/>
              <w:left w:val="nil"/>
              <w:bottom w:val="nil"/>
              <w:right w:val="nil"/>
            </w:tcBorders>
            <w:shd w:val="clear" w:color="auto" w:fill="auto"/>
            <w:noWrap/>
          </w:tcPr>
          <w:p w14:paraId="41FF4737"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85</w:t>
            </w:r>
          </w:p>
        </w:tc>
        <w:tc>
          <w:tcPr>
            <w:tcW w:w="374" w:type="pct"/>
            <w:tcBorders>
              <w:top w:val="nil"/>
              <w:left w:val="nil"/>
              <w:bottom w:val="nil"/>
              <w:right w:val="nil"/>
            </w:tcBorders>
            <w:shd w:val="clear" w:color="auto" w:fill="auto"/>
            <w:noWrap/>
          </w:tcPr>
          <w:p w14:paraId="795BEE94"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15%</w:t>
            </w:r>
          </w:p>
        </w:tc>
      </w:tr>
      <w:tr w:rsidR="008A4FED" w:rsidRPr="00666914" w14:paraId="7D7F71BC" w14:textId="77777777" w:rsidTr="00F64B85">
        <w:trPr>
          <w:trHeight w:val="20"/>
        </w:trPr>
        <w:tc>
          <w:tcPr>
            <w:tcW w:w="840" w:type="pct"/>
            <w:tcBorders>
              <w:top w:val="nil"/>
              <w:left w:val="nil"/>
              <w:bottom w:val="nil"/>
              <w:right w:val="single" w:sz="4" w:space="0" w:color="auto"/>
            </w:tcBorders>
            <w:shd w:val="clear" w:color="auto" w:fill="F2F2F2" w:themeFill="background1" w:themeFillShade="F2"/>
            <w:noWrap/>
            <w:vAlign w:val="bottom"/>
            <w:hideMark/>
          </w:tcPr>
          <w:p w14:paraId="6B4B9EAA" w14:textId="77777777" w:rsidR="008A4FED" w:rsidRPr="00666914" w:rsidRDefault="008A4FED" w:rsidP="00F64B85">
            <w:pPr>
              <w:spacing w:after="0"/>
              <w:jc w:val="left"/>
              <w:rPr>
                <w:rFonts w:eastAsia="Times New Roman" w:cs="Calibri"/>
                <w:sz w:val="20"/>
                <w:lang w:eastAsia="sk-SK"/>
              </w:rPr>
            </w:pPr>
            <w:r w:rsidRPr="00666914">
              <w:rPr>
                <w:rFonts w:cs="Calibri"/>
                <w:sz w:val="20"/>
                <w:szCs w:val="20"/>
              </w:rPr>
              <w:t>FN Trnava</w:t>
            </w:r>
          </w:p>
        </w:tc>
        <w:tc>
          <w:tcPr>
            <w:tcW w:w="235" w:type="pct"/>
            <w:tcBorders>
              <w:top w:val="nil"/>
              <w:left w:val="single" w:sz="4" w:space="0" w:color="auto"/>
              <w:bottom w:val="nil"/>
              <w:right w:val="nil"/>
            </w:tcBorders>
            <w:shd w:val="clear" w:color="auto" w:fill="F2F2F2" w:themeFill="background1" w:themeFillShade="F2"/>
            <w:noWrap/>
          </w:tcPr>
          <w:p w14:paraId="4F12C968"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31</w:t>
            </w:r>
          </w:p>
        </w:tc>
        <w:tc>
          <w:tcPr>
            <w:tcW w:w="347" w:type="pct"/>
            <w:tcBorders>
              <w:top w:val="nil"/>
              <w:left w:val="nil"/>
              <w:bottom w:val="nil"/>
              <w:right w:val="nil"/>
            </w:tcBorders>
            <w:shd w:val="clear" w:color="auto" w:fill="F2F2F2" w:themeFill="background1" w:themeFillShade="F2"/>
            <w:noWrap/>
          </w:tcPr>
          <w:p w14:paraId="1EC5791E"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34</w:t>
            </w:r>
          </w:p>
        </w:tc>
        <w:tc>
          <w:tcPr>
            <w:tcW w:w="374" w:type="pct"/>
            <w:tcBorders>
              <w:top w:val="nil"/>
              <w:left w:val="nil"/>
              <w:bottom w:val="nil"/>
              <w:right w:val="single" w:sz="4" w:space="0" w:color="auto"/>
            </w:tcBorders>
            <w:shd w:val="clear" w:color="auto" w:fill="F2F2F2" w:themeFill="background1" w:themeFillShade="F2"/>
            <w:noWrap/>
          </w:tcPr>
          <w:p w14:paraId="18C441AD"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8%</w:t>
            </w:r>
          </w:p>
        </w:tc>
        <w:tc>
          <w:tcPr>
            <w:tcW w:w="347" w:type="pct"/>
            <w:tcBorders>
              <w:top w:val="nil"/>
              <w:left w:val="single" w:sz="4" w:space="0" w:color="auto"/>
              <w:bottom w:val="nil"/>
              <w:right w:val="nil"/>
            </w:tcBorders>
            <w:shd w:val="clear" w:color="auto" w:fill="F2F2F2" w:themeFill="background1" w:themeFillShade="F2"/>
            <w:noWrap/>
          </w:tcPr>
          <w:p w14:paraId="3C185227"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6</w:t>
            </w:r>
          </w:p>
        </w:tc>
        <w:tc>
          <w:tcPr>
            <w:tcW w:w="347" w:type="pct"/>
            <w:tcBorders>
              <w:top w:val="nil"/>
              <w:left w:val="nil"/>
              <w:bottom w:val="nil"/>
              <w:right w:val="nil"/>
            </w:tcBorders>
            <w:shd w:val="clear" w:color="auto" w:fill="F2F2F2" w:themeFill="background1" w:themeFillShade="F2"/>
            <w:noWrap/>
          </w:tcPr>
          <w:p w14:paraId="0C1486E0"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7</w:t>
            </w:r>
          </w:p>
        </w:tc>
        <w:tc>
          <w:tcPr>
            <w:tcW w:w="374" w:type="pct"/>
            <w:tcBorders>
              <w:top w:val="nil"/>
              <w:left w:val="nil"/>
              <w:bottom w:val="nil"/>
              <w:right w:val="single" w:sz="4" w:space="0" w:color="auto"/>
            </w:tcBorders>
            <w:shd w:val="clear" w:color="auto" w:fill="F2F2F2" w:themeFill="background1" w:themeFillShade="F2"/>
            <w:noWrap/>
          </w:tcPr>
          <w:p w14:paraId="0A86F7A6"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17%</w:t>
            </w:r>
          </w:p>
        </w:tc>
        <w:tc>
          <w:tcPr>
            <w:tcW w:w="347" w:type="pct"/>
            <w:tcBorders>
              <w:top w:val="nil"/>
              <w:left w:val="single" w:sz="4" w:space="0" w:color="auto"/>
              <w:bottom w:val="nil"/>
              <w:right w:val="nil"/>
            </w:tcBorders>
            <w:shd w:val="clear" w:color="auto" w:fill="F2F2F2" w:themeFill="background1" w:themeFillShade="F2"/>
            <w:noWrap/>
          </w:tcPr>
          <w:p w14:paraId="76D75E96"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1,8</w:t>
            </w:r>
          </w:p>
        </w:tc>
        <w:tc>
          <w:tcPr>
            <w:tcW w:w="347" w:type="pct"/>
            <w:tcBorders>
              <w:top w:val="nil"/>
              <w:left w:val="nil"/>
              <w:bottom w:val="nil"/>
              <w:right w:val="nil"/>
            </w:tcBorders>
            <w:shd w:val="clear" w:color="auto" w:fill="F2F2F2" w:themeFill="background1" w:themeFillShade="F2"/>
            <w:noWrap/>
          </w:tcPr>
          <w:p w14:paraId="3F54A50A"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2,1</w:t>
            </w:r>
          </w:p>
        </w:tc>
        <w:tc>
          <w:tcPr>
            <w:tcW w:w="374" w:type="pct"/>
            <w:tcBorders>
              <w:top w:val="nil"/>
              <w:left w:val="nil"/>
              <w:bottom w:val="nil"/>
              <w:right w:val="single" w:sz="4" w:space="0" w:color="auto"/>
            </w:tcBorders>
            <w:shd w:val="clear" w:color="auto" w:fill="F2F2F2" w:themeFill="background1" w:themeFillShade="F2"/>
            <w:noWrap/>
          </w:tcPr>
          <w:p w14:paraId="2D4C56E9"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15%</w:t>
            </w:r>
          </w:p>
        </w:tc>
        <w:tc>
          <w:tcPr>
            <w:tcW w:w="347" w:type="pct"/>
            <w:tcBorders>
              <w:top w:val="nil"/>
              <w:left w:val="single" w:sz="4" w:space="0" w:color="auto"/>
              <w:bottom w:val="nil"/>
              <w:right w:val="nil"/>
            </w:tcBorders>
            <w:shd w:val="clear" w:color="auto" w:fill="F2F2F2" w:themeFill="background1" w:themeFillShade="F2"/>
            <w:noWrap/>
          </w:tcPr>
          <w:p w14:paraId="64AF0029"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39</w:t>
            </w:r>
          </w:p>
        </w:tc>
        <w:tc>
          <w:tcPr>
            <w:tcW w:w="347" w:type="pct"/>
            <w:tcBorders>
              <w:top w:val="nil"/>
              <w:left w:val="nil"/>
              <w:bottom w:val="nil"/>
              <w:right w:val="nil"/>
            </w:tcBorders>
            <w:shd w:val="clear" w:color="auto" w:fill="F2F2F2" w:themeFill="background1" w:themeFillShade="F2"/>
            <w:noWrap/>
          </w:tcPr>
          <w:p w14:paraId="28A604BB"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43</w:t>
            </w:r>
          </w:p>
        </w:tc>
        <w:tc>
          <w:tcPr>
            <w:tcW w:w="374" w:type="pct"/>
            <w:tcBorders>
              <w:top w:val="nil"/>
              <w:left w:val="nil"/>
              <w:bottom w:val="nil"/>
              <w:right w:val="nil"/>
            </w:tcBorders>
            <w:shd w:val="clear" w:color="auto" w:fill="F2F2F2" w:themeFill="background1" w:themeFillShade="F2"/>
            <w:noWrap/>
          </w:tcPr>
          <w:p w14:paraId="041039A0"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9%</w:t>
            </w:r>
          </w:p>
        </w:tc>
      </w:tr>
      <w:tr w:rsidR="008A4FED" w:rsidRPr="00666914" w14:paraId="4E8B07E4" w14:textId="77777777" w:rsidTr="00F64B85">
        <w:trPr>
          <w:trHeight w:val="20"/>
        </w:trPr>
        <w:tc>
          <w:tcPr>
            <w:tcW w:w="840" w:type="pct"/>
            <w:tcBorders>
              <w:top w:val="nil"/>
              <w:left w:val="nil"/>
              <w:bottom w:val="nil"/>
              <w:right w:val="single" w:sz="4" w:space="0" w:color="auto"/>
            </w:tcBorders>
            <w:shd w:val="clear" w:color="auto" w:fill="auto"/>
            <w:noWrap/>
            <w:vAlign w:val="bottom"/>
            <w:hideMark/>
          </w:tcPr>
          <w:p w14:paraId="1D3B257F" w14:textId="77777777" w:rsidR="008A4FED" w:rsidRPr="00666914" w:rsidRDefault="008A4FED" w:rsidP="00F64B85">
            <w:pPr>
              <w:spacing w:after="0"/>
              <w:jc w:val="left"/>
              <w:rPr>
                <w:rFonts w:eastAsia="Times New Roman" w:cs="Calibri"/>
                <w:sz w:val="20"/>
                <w:lang w:eastAsia="sk-SK"/>
              </w:rPr>
            </w:pPr>
            <w:r w:rsidRPr="00666914">
              <w:rPr>
                <w:rFonts w:cs="Calibri"/>
                <w:sz w:val="20"/>
                <w:szCs w:val="20"/>
              </w:rPr>
              <w:t>FN Trenčín</w:t>
            </w:r>
          </w:p>
        </w:tc>
        <w:tc>
          <w:tcPr>
            <w:tcW w:w="235" w:type="pct"/>
            <w:tcBorders>
              <w:top w:val="nil"/>
              <w:left w:val="single" w:sz="4" w:space="0" w:color="auto"/>
              <w:bottom w:val="nil"/>
              <w:right w:val="nil"/>
            </w:tcBorders>
            <w:shd w:val="clear" w:color="auto" w:fill="auto"/>
            <w:noWrap/>
          </w:tcPr>
          <w:p w14:paraId="011A37B5"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37</w:t>
            </w:r>
          </w:p>
        </w:tc>
        <w:tc>
          <w:tcPr>
            <w:tcW w:w="347" w:type="pct"/>
            <w:tcBorders>
              <w:top w:val="nil"/>
              <w:left w:val="nil"/>
              <w:bottom w:val="nil"/>
              <w:right w:val="nil"/>
            </w:tcBorders>
            <w:shd w:val="clear" w:color="auto" w:fill="auto"/>
            <w:noWrap/>
          </w:tcPr>
          <w:p w14:paraId="65D7C191"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39</w:t>
            </w:r>
          </w:p>
        </w:tc>
        <w:tc>
          <w:tcPr>
            <w:tcW w:w="374" w:type="pct"/>
            <w:tcBorders>
              <w:top w:val="nil"/>
              <w:left w:val="nil"/>
              <w:bottom w:val="nil"/>
              <w:right w:val="single" w:sz="4" w:space="0" w:color="auto"/>
            </w:tcBorders>
            <w:shd w:val="clear" w:color="auto" w:fill="auto"/>
            <w:noWrap/>
          </w:tcPr>
          <w:p w14:paraId="2129B4F7"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6%</w:t>
            </w:r>
          </w:p>
        </w:tc>
        <w:tc>
          <w:tcPr>
            <w:tcW w:w="347" w:type="pct"/>
            <w:tcBorders>
              <w:top w:val="nil"/>
              <w:left w:val="single" w:sz="4" w:space="0" w:color="auto"/>
              <w:bottom w:val="nil"/>
              <w:right w:val="nil"/>
            </w:tcBorders>
            <w:shd w:val="clear" w:color="auto" w:fill="auto"/>
            <w:noWrap/>
          </w:tcPr>
          <w:p w14:paraId="58102C24"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9</w:t>
            </w:r>
          </w:p>
        </w:tc>
        <w:tc>
          <w:tcPr>
            <w:tcW w:w="347" w:type="pct"/>
            <w:tcBorders>
              <w:top w:val="nil"/>
              <w:left w:val="nil"/>
              <w:bottom w:val="nil"/>
              <w:right w:val="nil"/>
            </w:tcBorders>
            <w:shd w:val="clear" w:color="auto" w:fill="auto"/>
            <w:noWrap/>
          </w:tcPr>
          <w:p w14:paraId="7F7A34B2"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10</w:t>
            </w:r>
          </w:p>
        </w:tc>
        <w:tc>
          <w:tcPr>
            <w:tcW w:w="374" w:type="pct"/>
            <w:tcBorders>
              <w:top w:val="nil"/>
              <w:left w:val="nil"/>
              <w:bottom w:val="nil"/>
              <w:right w:val="single" w:sz="4" w:space="0" w:color="auto"/>
            </w:tcBorders>
            <w:shd w:val="clear" w:color="auto" w:fill="auto"/>
            <w:noWrap/>
          </w:tcPr>
          <w:p w14:paraId="0E4485C8"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13%</w:t>
            </w:r>
          </w:p>
        </w:tc>
        <w:tc>
          <w:tcPr>
            <w:tcW w:w="347" w:type="pct"/>
            <w:tcBorders>
              <w:top w:val="nil"/>
              <w:left w:val="single" w:sz="4" w:space="0" w:color="auto"/>
              <w:bottom w:val="nil"/>
              <w:right w:val="nil"/>
            </w:tcBorders>
            <w:shd w:val="clear" w:color="auto" w:fill="auto"/>
            <w:noWrap/>
          </w:tcPr>
          <w:p w14:paraId="75CCF988"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2,0</w:t>
            </w:r>
          </w:p>
        </w:tc>
        <w:tc>
          <w:tcPr>
            <w:tcW w:w="347" w:type="pct"/>
            <w:tcBorders>
              <w:top w:val="nil"/>
              <w:left w:val="nil"/>
              <w:bottom w:val="nil"/>
              <w:right w:val="nil"/>
            </w:tcBorders>
            <w:shd w:val="clear" w:color="auto" w:fill="auto"/>
            <w:noWrap/>
          </w:tcPr>
          <w:p w14:paraId="538DD93B"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2,5</w:t>
            </w:r>
          </w:p>
        </w:tc>
        <w:tc>
          <w:tcPr>
            <w:tcW w:w="374" w:type="pct"/>
            <w:tcBorders>
              <w:top w:val="nil"/>
              <w:left w:val="nil"/>
              <w:bottom w:val="nil"/>
              <w:right w:val="single" w:sz="4" w:space="0" w:color="auto"/>
            </w:tcBorders>
            <w:shd w:val="clear" w:color="auto" w:fill="auto"/>
            <w:noWrap/>
          </w:tcPr>
          <w:p w14:paraId="03D38BF9"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29%</w:t>
            </w:r>
          </w:p>
        </w:tc>
        <w:tc>
          <w:tcPr>
            <w:tcW w:w="347" w:type="pct"/>
            <w:tcBorders>
              <w:top w:val="nil"/>
              <w:left w:val="single" w:sz="4" w:space="0" w:color="auto"/>
              <w:bottom w:val="nil"/>
              <w:right w:val="nil"/>
            </w:tcBorders>
            <w:shd w:val="clear" w:color="auto" w:fill="auto"/>
            <w:noWrap/>
          </w:tcPr>
          <w:p w14:paraId="65AD7345"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48</w:t>
            </w:r>
          </w:p>
        </w:tc>
        <w:tc>
          <w:tcPr>
            <w:tcW w:w="347" w:type="pct"/>
            <w:tcBorders>
              <w:top w:val="nil"/>
              <w:left w:val="nil"/>
              <w:bottom w:val="nil"/>
              <w:right w:val="nil"/>
            </w:tcBorders>
            <w:shd w:val="clear" w:color="auto" w:fill="auto"/>
            <w:noWrap/>
          </w:tcPr>
          <w:p w14:paraId="4A2C1786"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52</w:t>
            </w:r>
          </w:p>
        </w:tc>
        <w:tc>
          <w:tcPr>
            <w:tcW w:w="374" w:type="pct"/>
            <w:tcBorders>
              <w:top w:val="nil"/>
              <w:left w:val="nil"/>
              <w:bottom w:val="nil"/>
              <w:right w:val="nil"/>
            </w:tcBorders>
            <w:shd w:val="clear" w:color="auto" w:fill="auto"/>
            <w:noWrap/>
          </w:tcPr>
          <w:p w14:paraId="188F5A61"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8%</w:t>
            </w:r>
          </w:p>
        </w:tc>
      </w:tr>
      <w:tr w:rsidR="008A4FED" w:rsidRPr="00666914" w14:paraId="2E57E6A2" w14:textId="77777777" w:rsidTr="00F64B85">
        <w:trPr>
          <w:trHeight w:val="20"/>
        </w:trPr>
        <w:tc>
          <w:tcPr>
            <w:tcW w:w="840" w:type="pct"/>
            <w:tcBorders>
              <w:top w:val="nil"/>
              <w:left w:val="nil"/>
              <w:bottom w:val="nil"/>
              <w:right w:val="single" w:sz="4" w:space="0" w:color="auto"/>
            </w:tcBorders>
            <w:shd w:val="clear" w:color="auto" w:fill="F2F2F2" w:themeFill="background1" w:themeFillShade="F2"/>
            <w:noWrap/>
            <w:vAlign w:val="bottom"/>
            <w:hideMark/>
          </w:tcPr>
          <w:p w14:paraId="46BA88B3" w14:textId="77777777" w:rsidR="008A4FED" w:rsidRPr="00666914" w:rsidRDefault="008A4FED" w:rsidP="00F64B85">
            <w:pPr>
              <w:spacing w:after="0"/>
              <w:jc w:val="left"/>
              <w:rPr>
                <w:rFonts w:eastAsia="Times New Roman" w:cs="Calibri"/>
                <w:sz w:val="20"/>
                <w:lang w:eastAsia="sk-SK"/>
              </w:rPr>
            </w:pPr>
            <w:r w:rsidRPr="00666914">
              <w:rPr>
                <w:rFonts w:cs="Calibri"/>
                <w:sz w:val="20"/>
                <w:szCs w:val="20"/>
              </w:rPr>
              <w:t>FNsP Prešov</w:t>
            </w:r>
          </w:p>
        </w:tc>
        <w:tc>
          <w:tcPr>
            <w:tcW w:w="235" w:type="pct"/>
            <w:tcBorders>
              <w:top w:val="nil"/>
              <w:left w:val="single" w:sz="4" w:space="0" w:color="auto"/>
              <w:bottom w:val="nil"/>
              <w:right w:val="nil"/>
            </w:tcBorders>
            <w:shd w:val="clear" w:color="auto" w:fill="F2F2F2" w:themeFill="background1" w:themeFillShade="F2"/>
            <w:noWrap/>
          </w:tcPr>
          <w:p w14:paraId="7D1B10D1"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47</w:t>
            </w:r>
          </w:p>
        </w:tc>
        <w:tc>
          <w:tcPr>
            <w:tcW w:w="347" w:type="pct"/>
            <w:tcBorders>
              <w:top w:val="nil"/>
              <w:left w:val="nil"/>
              <w:bottom w:val="nil"/>
              <w:right w:val="nil"/>
            </w:tcBorders>
            <w:shd w:val="clear" w:color="auto" w:fill="F2F2F2" w:themeFill="background1" w:themeFillShade="F2"/>
            <w:noWrap/>
          </w:tcPr>
          <w:p w14:paraId="1261214F"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52</w:t>
            </w:r>
          </w:p>
        </w:tc>
        <w:tc>
          <w:tcPr>
            <w:tcW w:w="374" w:type="pct"/>
            <w:tcBorders>
              <w:top w:val="nil"/>
              <w:left w:val="nil"/>
              <w:bottom w:val="nil"/>
              <w:right w:val="single" w:sz="4" w:space="0" w:color="auto"/>
            </w:tcBorders>
            <w:shd w:val="clear" w:color="auto" w:fill="F2F2F2" w:themeFill="background1" w:themeFillShade="F2"/>
            <w:noWrap/>
          </w:tcPr>
          <w:p w14:paraId="33477F15"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10%</w:t>
            </w:r>
          </w:p>
        </w:tc>
        <w:tc>
          <w:tcPr>
            <w:tcW w:w="347" w:type="pct"/>
            <w:tcBorders>
              <w:top w:val="nil"/>
              <w:left w:val="single" w:sz="4" w:space="0" w:color="auto"/>
              <w:bottom w:val="nil"/>
              <w:right w:val="nil"/>
            </w:tcBorders>
            <w:shd w:val="clear" w:color="auto" w:fill="F2F2F2" w:themeFill="background1" w:themeFillShade="F2"/>
            <w:noWrap/>
          </w:tcPr>
          <w:p w14:paraId="58E328FC"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13</w:t>
            </w:r>
          </w:p>
        </w:tc>
        <w:tc>
          <w:tcPr>
            <w:tcW w:w="347" w:type="pct"/>
            <w:tcBorders>
              <w:top w:val="nil"/>
              <w:left w:val="nil"/>
              <w:bottom w:val="nil"/>
              <w:right w:val="nil"/>
            </w:tcBorders>
            <w:shd w:val="clear" w:color="auto" w:fill="F2F2F2" w:themeFill="background1" w:themeFillShade="F2"/>
            <w:noWrap/>
          </w:tcPr>
          <w:p w14:paraId="1DA83C04"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14</w:t>
            </w:r>
          </w:p>
        </w:tc>
        <w:tc>
          <w:tcPr>
            <w:tcW w:w="374" w:type="pct"/>
            <w:tcBorders>
              <w:top w:val="nil"/>
              <w:left w:val="nil"/>
              <w:bottom w:val="nil"/>
              <w:right w:val="single" w:sz="4" w:space="0" w:color="auto"/>
            </w:tcBorders>
            <w:shd w:val="clear" w:color="auto" w:fill="F2F2F2" w:themeFill="background1" w:themeFillShade="F2"/>
            <w:noWrap/>
          </w:tcPr>
          <w:p w14:paraId="5A133194"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9%</w:t>
            </w:r>
          </w:p>
        </w:tc>
        <w:tc>
          <w:tcPr>
            <w:tcW w:w="347" w:type="pct"/>
            <w:tcBorders>
              <w:top w:val="nil"/>
              <w:left w:val="single" w:sz="4" w:space="0" w:color="auto"/>
              <w:bottom w:val="nil"/>
              <w:right w:val="nil"/>
            </w:tcBorders>
            <w:shd w:val="clear" w:color="auto" w:fill="F2F2F2" w:themeFill="background1" w:themeFillShade="F2"/>
            <w:noWrap/>
          </w:tcPr>
          <w:p w14:paraId="2D61E996"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5,2</w:t>
            </w:r>
          </w:p>
        </w:tc>
        <w:tc>
          <w:tcPr>
            <w:tcW w:w="347" w:type="pct"/>
            <w:tcBorders>
              <w:top w:val="nil"/>
              <w:left w:val="nil"/>
              <w:bottom w:val="nil"/>
              <w:right w:val="nil"/>
            </w:tcBorders>
            <w:shd w:val="clear" w:color="auto" w:fill="F2F2F2" w:themeFill="background1" w:themeFillShade="F2"/>
            <w:noWrap/>
          </w:tcPr>
          <w:p w14:paraId="204AEBC5"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5,7</w:t>
            </w:r>
          </w:p>
        </w:tc>
        <w:tc>
          <w:tcPr>
            <w:tcW w:w="374" w:type="pct"/>
            <w:tcBorders>
              <w:top w:val="nil"/>
              <w:left w:val="nil"/>
              <w:bottom w:val="nil"/>
              <w:right w:val="single" w:sz="4" w:space="0" w:color="auto"/>
            </w:tcBorders>
            <w:shd w:val="clear" w:color="auto" w:fill="F2F2F2" w:themeFill="background1" w:themeFillShade="F2"/>
            <w:noWrap/>
          </w:tcPr>
          <w:p w14:paraId="7543BAF5"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10%</w:t>
            </w:r>
          </w:p>
        </w:tc>
        <w:tc>
          <w:tcPr>
            <w:tcW w:w="347" w:type="pct"/>
            <w:tcBorders>
              <w:top w:val="nil"/>
              <w:left w:val="single" w:sz="4" w:space="0" w:color="auto"/>
              <w:bottom w:val="nil"/>
              <w:right w:val="nil"/>
            </w:tcBorders>
            <w:shd w:val="clear" w:color="auto" w:fill="F2F2F2" w:themeFill="background1" w:themeFillShade="F2"/>
            <w:noWrap/>
          </w:tcPr>
          <w:p w14:paraId="42683367"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65</w:t>
            </w:r>
          </w:p>
        </w:tc>
        <w:tc>
          <w:tcPr>
            <w:tcW w:w="347" w:type="pct"/>
            <w:tcBorders>
              <w:top w:val="nil"/>
              <w:left w:val="nil"/>
              <w:bottom w:val="nil"/>
              <w:right w:val="nil"/>
            </w:tcBorders>
            <w:shd w:val="clear" w:color="auto" w:fill="F2F2F2" w:themeFill="background1" w:themeFillShade="F2"/>
            <w:noWrap/>
          </w:tcPr>
          <w:p w14:paraId="3288CD90"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71</w:t>
            </w:r>
          </w:p>
        </w:tc>
        <w:tc>
          <w:tcPr>
            <w:tcW w:w="374" w:type="pct"/>
            <w:tcBorders>
              <w:top w:val="nil"/>
              <w:left w:val="nil"/>
              <w:bottom w:val="nil"/>
              <w:right w:val="nil"/>
            </w:tcBorders>
            <w:shd w:val="clear" w:color="auto" w:fill="F2F2F2" w:themeFill="background1" w:themeFillShade="F2"/>
            <w:noWrap/>
          </w:tcPr>
          <w:p w14:paraId="4542CA4E"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10%</w:t>
            </w:r>
          </w:p>
        </w:tc>
      </w:tr>
      <w:tr w:rsidR="008A4FED" w:rsidRPr="00666914" w14:paraId="45AEC72A" w14:textId="77777777" w:rsidTr="00F64B85">
        <w:trPr>
          <w:trHeight w:val="20"/>
        </w:trPr>
        <w:tc>
          <w:tcPr>
            <w:tcW w:w="840" w:type="pct"/>
            <w:tcBorders>
              <w:top w:val="nil"/>
              <w:left w:val="nil"/>
              <w:bottom w:val="nil"/>
              <w:right w:val="single" w:sz="4" w:space="0" w:color="auto"/>
            </w:tcBorders>
            <w:shd w:val="clear" w:color="auto" w:fill="auto"/>
            <w:noWrap/>
            <w:vAlign w:val="bottom"/>
            <w:hideMark/>
          </w:tcPr>
          <w:p w14:paraId="7D379596" w14:textId="77777777" w:rsidR="008A4FED" w:rsidRPr="00666914" w:rsidRDefault="008A4FED" w:rsidP="00F64B85">
            <w:pPr>
              <w:spacing w:after="0"/>
              <w:jc w:val="left"/>
              <w:rPr>
                <w:rFonts w:eastAsia="Times New Roman" w:cs="Calibri"/>
                <w:sz w:val="20"/>
                <w:lang w:eastAsia="sk-SK"/>
              </w:rPr>
            </w:pPr>
            <w:r w:rsidRPr="00666914">
              <w:rPr>
                <w:rFonts w:cs="Calibri"/>
                <w:sz w:val="20"/>
                <w:szCs w:val="20"/>
              </w:rPr>
              <w:t>FNsP Žilina</w:t>
            </w:r>
          </w:p>
        </w:tc>
        <w:tc>
          <w:tcPr>
            <w:tcW w:w="235" w:type="pct"/>
            <w:tcBorders>
              <w:top w:val="nil"/>
              <w:left w:val="single" w:sz="4" w:space="0" w:color="auto"/>
              <w:bottom w:val="nil"/>
              <w:right w:val="nil"/>
            </w:tcBorders>
            <w:shd w:val="clear" w:color="auto" w:fill="auto"/>
            <w:noWrap/>
          </w:tcPr>
          <w:p w14:paraId="5872994C"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41</w:t>
            </w:r>
          </w:p>
        </w:tc>
        <w:tc>
          <w:tcPr>
            <w:tcW w:w="347" w:type="pct"/>
            <w:tcBorders>
              <w:top w:val="nil"/>
              <w:left w:val="nil"/>
              <w:bottom w:val="nil"/>
              <w:right w:val="nil"/>
            </w:tcBorders>
            <w:shd w:val="clear" w:color="auto" w:fill="auto"/>
            <w:noWrap/>
          </w:tcPr>
          <w:p w14:paraId="3F6FD18D"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45</w:t>
            </w:r>
          </w:p>
        </w:tc>
        <w:tc>
          <w:tcPr>
            <w:tcW w:w="374" w:type="pct"/>
            <w:tcBorders>
              <w:top w:val="nil"/>
              <w:left w:val="nil"/>
              <w:bottom w:val="nil"/>
              <w:right w:val="single" w:sz="4" w:space="0" w:color="auto"/>
            </w:tcBorders>
            <w:shd w:val="clear" w:color="auto" w:fill="auto"/>
            <w:noWrap/>
          </w:tcPr>
          <w:p w14:paraId="3FC6D900"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11%</w:t>
            </w:r>
          </w:p>
        </w:tc>
        <w:tc>
          <w:tcPr>
            <w:tcW w:w="347" w:type="pct"/>
            <w:tcBorders>
              <w:top w:val="nil"/>
              <w:left w:val="single" w:sz="4" w:space="0" w:color="auto"/>
              <w:bottom w:val="nil"/>
              <w:right w:val="nil"/>
            </w:tcBorders>
            <w:shd w:val="clear" w:color="auto" w:fill="auto"/>
            <w:noWrap/>
          </w:tcPr>
          <w:p w14:paraId="4A7FB97B"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7</w:t>
            </w:r>
          </w:p>
        </w:tc>
        <w:tc>
          <w:tcPr>
            <w:tcW w:w="347" w:type="pct"/>
            <w:tcBorders>
              <w:top w:val="nil"/>
              <w:left w:val="nil"/>
              <w:bottom w:val="nil"/>
              <w:right w:val="nil"/>
            </w:tcBorders>
            <w:shd w:val="clear" w:color="auto" w:fill="auto"/>
            <w:noWrap/>
          </w:tcPr>
          <w:p w14:paraId="20FB6D6A"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8</w:t>
            </w:r>
          </w:p>
        </w:tc>
        <w:tc>
          <w:tcPr>
            <w:tcW w:w="374" w:type="pct"/>
            <w:tcBorders>
              <w:top w:val="nil"/>
              <w:left w:val="nil"/>
              <w:bottom w:val="nil"/>
              <w:right w:val="single" w:sz="4" w:space="0" w:color="auto"/>
            </w:tcBorders>
            <w:shd w:val="clear" w:color="auto" w:fill="auto"/>
            <w:noWrap/>
          </w:tcPr>
          <w:p w14:paraId="68A14B28"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16%</w:t>
            </w:r>
          </w:p>
        </w:tc>
        <w:tc>
          <w:tcPr>
            <w:tcW w:w="347" w:type="pct"/>
            <w:tcBorders>
              <w:top w:val="nil"/>
              <w:left w:val="single" w:sz="4" w:space="0" w:color="auto"/>
              <w:bottom w:val="nil"/>
              <w:right w:val="nil"/>
            </w:tcBorders>
            <w:shd w:val="clear" w:color="auto" w:fill="auto"/>
            <w:noWrap/>
          </w:tcPr>
          <w:p w14:paraId="0ECD1A98"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1,4</w:t>
            </w:r>
          </w:p>
        </w:tc>
        <w:tc>
          <w:tcPr>
            <w:tcW w:w="347" w:type="pct"/>
            <w:tcBorders>
              <w:top w:val="nil"/>
              <w:left w:val="nil"/>
              <w:bottom w:val="nil"/>
              <w:right w:val="nil"/>
            </w:tcBorders>
            <w:shd w:val="clear" w:color="auto" w:fill="auto"/>
            <w:noWrap/>
          </w:tcPr>
          <w:p w14:paraId="6D82039F"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1,8</w:t>
            </w:r>
          </w:p>
        </w:tc>
        <w:tc>
          <w:tcPr>
            <w:tcW w:w="374" w:type="pct"/>
            <w:tcBorders>
              <w:top w:val="nil"/>
              <w:left w:val="nil"/>
              <w:bottom w:val="nil"/>
              <w:right w:val="single" w:sz="4" w:space="0" w:color="auto"/>
            </w:tcBorders>
            <w:shd w:val="clear" w:color="auto" w:fill="auto"/>
            <w:noWrap/>
          </w:tcPr>
          <w:p w14:paraId="2FD1D2C3"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21%</w:t>
            </w:r>
          </w:p>
        </w:tc>
        <w:tc>
          <w:tcPr>
            <w:tcW w:w="347" w:type="pct"/>
            <w:tcBorders>
              <w:top w:val="nil"/>
              <w:left w:val="single" w:sz="4" w:space="0" w:color="auto"/>
              <w:bottom w:val="nil"/>
              <w:right w:val="nil"/>
            </w:tcBorders>
            <w:shd w:val="clear" w:color="auto" w:fill="auto"/>
            <w:noWrap/>
          </w:tcPr>
          <w:p w14:paraId="1F8F612D"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49</w:t>
            </w:r>
          </w:p>
        </w:tc>
        <w:tc>
          <w:tcPr>
            <w:tcW w:w="347" w:type="pct"/>
            <w:tcBorders>
              <w:top w:val="nil"/>
              <w:left w:val="nil"/>
              <w:bottom w:val="nil"/>
              <w:right w:val="nil"/>
            </w:tcBorders>
            <w:shd w:val="clear" w:color="auto" w:fill="auto"/>
            <w:noWrap/>
          </w:tcPr>
          <w:p w14:paraId="5A8FC91F"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55</w:t>
            </w:r>
          </w:p>
        </w:tc>
        <w:tc>
          <w:tcPr>
            <w:tcW w:w="374" w:type="pct"/>
            <w:tcBorders>
              <w:top w:val="nil"/>
              <w:left w:val="nil"/>
              <w:bottom w:val="nil"/>
              <w:right w:val="nil"/>
            </w:tcBorders>
            <w:shd w:val="clear" w:color="auto" w:fill="auto"/>
            <w:noWrap/>
          </w:tcPr>
          <w:p w14:paraId="592398EE"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12%</w:t>
            </w:r>
          </w:p>
        </w:tc>
      </w:tr>
      <w:tr w:rsidR="008A4FED" w:rsidRPr="00666914" w14:paraId="465C176A" w14:textId="77777777" w:rsidTr="00F64B85">
        <w:trPr>
          <w:trHeight w:val="20"/>
        </w:trPr>
        <w:tc>
          <w:tcPr>
            <w:tcW w:w="840" w:type="pct"/>
            <w:tcBorders>
              <w:top w:val="nil"/>
              <w:left w:val="nil"/>
              <w:right w:val="single" w:sz="4" w:space="0" w:color="auto"/>
            </w:tcBorders>
            <w:shd w:val="clear" w:color="auto" w:fill="F2F2F2" w:themeFill="background1" w:themeFillShade="F2"/>
            <w:noWrap/>
            <w:vAlign w:val="bottom"/>
            <w:hideMark/>
          </w:tcPr>
          <w:p w14:paraId="5D1B74E4" w14:textId="77777777" w:rsidR="008A4FED" w:rsidRPr="00666914" w:rsidRDefault="008A4FED" w:rsidP="00F64B85">
            <w:pPr>
              <w:spacing w:after="0"/>
              <w:jc w:val="left"/>
              <w:rPr>
                <w:rFonts w:eastAsia="Times New Roman" w:cs="Calibri"/>
                <w:sz w:val="20"/>
                <w:lang w:eastAsia="sk-SK"/>
              </w:rPr>
            </w:pPr>
            <w:r w:rsidRPr="00666914">
              <w:rPr>
                <w:rFonts w:cs="Calibri"/>
                <w:sz w:val="20"/>
                <w:szCs w:val="20"/>
              </w:rPr>
              <w:t>FN Nitra</w:t>
            </w:r>
          </w:p>
        </w:tc>
        <w:tc>
          <w:tcPr>
            <w:tcW w:w="235" w:type="pct"/>
            <w:tcBorders>
              <w:top w:val="nil"/>
              <w:left w:val="single" w:sz="4" w:space="0" w:color="auto"/>
              <w:right w:val="nil"/>
            </w:tcBorders>
            <w:shd w:val="clear" w:color="auto" w:fill="F2F2F2" w:themeFill="background1" w:themeFillShade="F2"/>
            <w:noWrap/>
          </w:tcPr>
          <w:p w14:paraId="0160387B"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33</w:t>
            </w:r>
          </w:p>
        </w:tc>
        <w:tc>
          <w:tcPr>
            <w:tcW w:w="347" w:type="pct"/>
            <w:tcBorders>
              <w:top w:val="nil"/>
              <w:left w:val="nil"/>
              <w:right w:val="nil"/>
            </w:tcBorders>
            <w:shd w:val="clear" w:color="auto" w:fill="F2F2F2" w:themeFill="background1" w:themeFillShade="F2"/>
            <w:noWrap/>
          </w:tcPr>
          <w:p w14:paraId="63637E81"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36</w:t>
            </w:r>
          </w:p>
        </w:tc>
        <w:tc>
          <w:tcPr>
            <w:tcW w:w="374" w:type="pct"/>
            <w:tcBorders>
              <w:top w:val="nil"/>
              <w:left w:val="nil"/>
              <w:right w:val="single" w:sz="4" w:space="0" w:color="auto"/>
            </w:tcBorders>
            <w:shd w:val="clear" w:color="auto" w:fill="F2F2F2" w:themeFill="background1" w:themeFillShade="F2"/>
            <w:noWrap/>
          </w:tcPr>
          <w:p w14:paraId="7AF90110"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9%</w:t>
            </w:r>
          </w:p>
        </w:tc>
        <w:tc>
          <w:tcPr>
            <w:tcW w:w="347" w:type="pct"/>
            <w:tcBorders>
              <w:top w:val="nil"/>
              <w:left w:val="single" w:sz="4" w:space="0" w:color="auto"/>
              <w:right w:val="nil"/>
            </w:tcBorders>
            <w:shd w:val="clear" w:color="auto" w:fill="F2F2F2" w:themeFill="background1" w:themeFillShade="F2"/>
            <w:noWrap/>
          </w:tcPr>
          <w:p w14:paraId="3DAAC530"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11</w:t>
            </w:r>
          </w:p>
        </w:tc>
        <w:tc>
          <w:tcPr>
            <w:tcW w:w="347" w:type="pct"/>
            <w:tcBorders>
              <w:top w:val="nil"/>
              <w:left w:val="nil"/>
              <w:right w:val="nil"/>
            </w:tcBorders>
            <w:shd w:val="clear" w:color="auto" w:fill="F2F2F2" w:themeFill="background1" w:themeFillShade="F2"/>
            <w:noWrap/>
          </w:tcPr>
          <w:p w14:paraId="5B5B9E60"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13</w:t>
            </w:r>
          </w:p>
        </w:tc>
        <w:tc>
          <w:tcPr>
            <w:tcW w:w="374" w:type="pct"/>
            <w:tcBorders>
              <w:top w:val="nil"/>
              <w:left w:val="nil"/>
              <w:right w:val="single" w:sz="4" w:space="0" w:color="auto"/>
            </w:tcBorders>
            <w:shd w:val="clear" w:color="auto" w:fill="F2F2F2" w:themeFill="background1" w:themeFillShade="F2"/>
            <w:noWrap/>
          </w:tcPr>
          <w:p w14:paraId="64D79DD7"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15%</w:t>
            </w:r>
          </w:p>
        </w:tc>
        <w:tc>
          <w:tcPr>
            <w:tcW w:w="347" w:type="pct"/>
            <w:tcBorders>
              <w:top w:val="nil"/>
              <w:left w:val="single" w:sz="4" w:space="0" w:color="auto"/>
              <w:right w:val="nil"/>
            </w:tcBorders>
            <w:shd w:val="clear" w:color="auto" w:fill="F2F2F2" w:themeFill="background1" w:themeFillShade="F2"/>
            <w:noWrap/>
          </w:tcPr>
          <w:p w14:paraId="3ECF408F"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2,6</w:t>
            </w:r>
          </w:p>
        </w:tc>
        <w:tc>
          <w:tcPr>
            <w:tcW w:w="347" w:type="pct"/>
            <w:tcBorders>
              <w:top w:val="nil"/>
              <w:left w:val="nil"/>
              <w:right w:val="nil"/>
            </w:tcBorders>
            <w:shd w:val="clear" w:color="auto" w:fill="F2F2F2" w:themeFill="background1" w:themeFillShade="F2"/>
            <w:noWrap/>
          </w:tcPr>
          <w:p w14:paraId="2FEC86AA"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2,7</w:t>
            </w:r>
          </w:p>
        </w:tc>
        <w:tc>
          <w:tcPr>
            <w:tcW w:w="374" w:type="pct"/>
            <w:tcBorders>
              <w:top w:val="nil"/>
              <w:left w:val="nil"/>
              <w:right w:val="single" w:sz="4" w:space="0" w:color="auto"/>
            </w:tcBorders>
            <w:shd w:val="clear" w:color="auto" w:fill="F2F2F2" w:themeFill="background1" w:themeFillShade="F2"/>
            <w:noWrap/>
          </w:tcPr>
          <w:p w14:paraId="1FF703FF"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6%</w:t>
            </w:r>
          </w:p>
        </w:tc>
        <w:tc>
          <w:tcPr>
            <w:tcW w:w="347" w:type="pct"/>
            <w:tcBorders>
              <w:top w:val="nil"/>
              <w:left w:val="single" w:sz="4" w:space="0" w:color="auto"/>
              <w:right w:val="nil"/>
            </w:tcBorders>
            <w:shd w:val="clear" w:color="auto" w:fill="F2F2F2" w:themeFill="background1" w:themeFillShade="F2"/>
            <w:noWrap/>
          </w:tcPr>
          <w:p w14:paraId="6261181D"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47</w:t>
            </w:r>
          </w:p>
        </w:tc>
        <w:tc>
          <w:tcPr>
            <w:tcW w:w="347" w:type="pct"/>
            <w:tcBorders>
              <w:top w:val="nil"/>
              <w:left w:val="nil"/>
              <w:right w:val="nil"/>
            </w:tcBorders>
            <w:shd w:val="clear" w:color="auto" w:fill="F2F2F2" w:themeFill="background1" w:themeFillShade="F2"/>
            <w:noWrap/>
          </w:tcPr>
          <w:p w14:paraId="41E6FF81"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52</w:t>
            </w:r>
          </w:p>
        </w:tc>
        <w:tc>
          <w:tcPr>
            <w:tcW w:w="374" w:type="pct"/>
            <w:tcBorders>
              <w:top w:val="nil"/>
              <w:left w:val="nil"/>
              <w:right w:val="nil"/>
            </w:tcBorders>
            <w:shd w:val="clear" w:color="auto" w:fill="F2F2F2" w:themeFill="background1" w:themeFillShade="F2"/>
            <w:noWrap/>
          </w:tcPr>
          <w:p w14:paraId="55E4D213"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11%</w:t>
            </w:r>
          </w:p>
        </w:tc>
      </w:tr>
      <w:tr w:rsidR="008A4FED" w:rsidRPr="00666914" w14:paraId="70E7FF3A" w14:textId="77777777" w:rsidTr="00F64B85">
        <w:trPr>
          <w:trHeight w:val="20"/>
        </w:trPr>
        <w:tc>
          <w:tcPr>
            <w:tcW w:w="840" w:type="pct"/>
            <w:tcBorders>
              <w:top w:val="nil"/>
              <w:left w:val="nil"/>
              <w:bottom w:val="single" w:sz="4" w:space="0" w:color="auto"/>
              <w:right w:val="single" w:sz="4" w:space="0" w:color="auto"/>
            </w:tcBorders>
            <w:shd w:val="clear" w:color="auto" w:fill="auto"/>
            <w:noWrap/>
            <w:vAlign w:val="bottom"/>
            <w:hideMark/>
          </w:tcPr>
          <w:p w14:paraId="55FB28A7" w14:textId="77777777" w:rsidR="008A4FED" w:rsidRPr="00666914" w:rsidRDefault="008A4FED" w:rsidP="00F64B85">
            <w:pPr>
              <w:spacing w:after="0"/>
              <w:jc w:val="left"/>
              <w:rPr>
                <w:rFonts w:eastAsia="Times New Roman" w:cs="Calibri"/>
                <w:sz w:val="20"/>
                <w:lang w:eastAsia="sk-SK"/>
              </w:rPr>
            </w:pPr>
            <w:r w:rsidRPr="00666914">
              <w:rPr>
                <w:rFonts w:cs="Calibri"/>
                <w:sz w:val="20"/>
                <w:szCs w:val="20"/>
              </w:rPr>
              <w:t>FNsP Nové Zámky</w:t>
            </w:r>
          </w:p>
        </w:tc>
        <w:tc>
          <w:tcPr>
            <w:tcW w:w="235" w:type="pct"/>
            <w:tcBorders>
              <w:top w:val="nil"/>
              <w:left w:val="single" w:sz="4" w:space="0" w:color="auto"/>
              <w:bottom w:val="single" w:sz="4" w:space="0" w:color="auto"/>
              <w:right w:val="nil"/>
            </w:tcBorders>
            <w:shd w:val="clear" w:color="auto" w:fill="auto"/>
            <w:noWrap/>
          </w:tcPr>
          <w:p w14:paraId="1F538522"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21</w:t>
            </w:r>
          </w:p>
        </w:tc>
        <w:tc>
          <w:tcPr>
            <w:tcW w:w="347" w:type="pct"/>
            <w:tcBorders>
              <w:top w:val="nil"/>
              <w:left w:val="nil"/>
              <w:bottom w:val="single" w:sz="4" w:space="0" w:color="auto"/>
              <w:right w:val="nil"/>
            </w:tcBorders>
            <w:shd w:val="clear" w:color="auto" w:fill="auto"/>
            <w:noWrap/>
          </w:tcPr>
          <w:p w14:paraId="6227237F"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24</w:t>
            </w:r>
          </w:p>
        </w:tc>
        <w:tc>
          <w:tcPr>
            <w:tcW w:w="374" w:type="pct"/>
            <w:tcBorders>
              <w:top w:val="nil"/>
              <w:left w:val="nil"/>
              <w:bottom w:val="single" w:sz="4" w:space="0" w:color="auto"/>
              <w:right w:val="single" w:sz="4" w:space="0" w:color="auto"/>
            </w:tcBorders>
            <w:shd w:val="clear" w:color="auto" w:fill="auto"/>
            <w:noWrap/>
          </w:tcPr>
          <w:p w14:paraId="1289972E"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13%</w:t>
            </w:r>
          </w:p>
        </w:tc>
        <w:tc>
          <w:tcPr>
            <w:tcW w:w="347" w:type="pct"/>
            <w:tcBorders>
              <w:top w:val="nil"/>
              <w:left w:val="single" w:sz="4" w:space="0" w:color="auto"/>
              <w:bottom w:val="single" w:sz="4" w:space="0" w:color="auto"/>
              <w:right w:val="nil"/>
            </w:tcBorders>
            <w:shd w:val="clear" w:color="auto" w:fill="auto"/>
            <w:noWrap/>
          </w:tcPr>
          <w:p w14:paraId="43798399"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13</w:t>
            </w:r>
          </w:p>
        </w:tc>
        <w:tc>
          <w:tcPr>
            <w:tcW w:w="347" w:type="pct"/>
            <w:tcBorders>
              <w:top w:val="nil"/>
              <w:left w:val="nil"/>
              <w:bottom w:val="single" w:sz="4" w:space="0" w:color="auto"/>
              <w:right w:val="nil"/>
            </w:tcBorders>
            <w:shd w:val="clear" w:color="auto" w:fill="auto"/>
            <w:noWrap/>
          </w:tcPr>
          <w:p w14:paraId="27BA4DCA"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14</w:t>
            </w:r>
          </w:p>
        </w:tc>
        <w:tc>
          <w:tcPr>
            <w:tcW w:w="374" w:type="pct"/>
            <w:tcBorders>
              <w:top w:val="nil"/>
              <w:left w:val="nil"/>
              <w:bottom w:val="single" w:sz="4" w:space="0" w:color="auto"/>
              <w:right w:val="single" w:sz="4" w:space="0" w:color="auto"/>
            </w:tcBorders>
            <w:shd w:val="clear" w:color="auto" w:fill="auto"/>
            <w:noWrap/>
          </w:tcPr>
          <w:p w14:paraId="3147039E"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8%</w:t>
            </w:r>
          </w:p>
        </w:tc>
        <w:tc>
          <w:tcPr>
            <w:tcW w:w="347" w:type="pct"/>
            <w:tcBorders>
              <w:top w:val="nil"/>
              <w:left w:val="single" w:sz="4" w:space="0" w:color="auto"/>
              <w:bottom w:val="single" w:sz="4" w:space="0" w:color="auto"/>
              <w:right w:val="nil"/>
            </w:tcBorders>
            <w:shd w:val="clear" w:color="auto" w:fill="auto"/>
            <w:noWrap/>
          </w:tcPr>
          <w:p w14:paraId="0C6297F2"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2,9</w:t>
            </w:r>
          </w:p>
        </w:tc>
        <w:tc>
          <w:tcPr>
            <w:tcW w:w="347" w:type="pct"/>
            <w:tcBorders>
              <w:top w:val="nil"/>
              <w:left w:val="nil"/>
              <w:bottom w:val="single" w:sz="4" w:space="0" w:color="auto"/>
              <w:right w:val="nil"/>
            </w:tcBorders>
            <w:shd w:val="clear" w:color="auto" w:fill="auto"/>
            <w:noWrap/>
          </w:tcPr>
          <w:p w14:paraId="3D6BE6B2"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3,1</w:t>
            </w:r>
          </w:p>
        </w:tc>
        <w:tc>
          <w:tcPr>
            <w:tcW w:w="374" w:type="pct"/>
            <w:tcBorders>
              <w:top w:val="nil"/>
              <w:left w:val="nil"/>
              <w:bottom w:val="single" w:sz="4" w:space="0" w:color="auto"/>
              <w:right w:val="single" w:sz="4" w:space="0" w:color="auto"/>
            </w:tcBorders>
            <w:shd w:val="clear" w:color="auto" w:fill="auto"/>
            <w:noWrap/>
          </w:tcPr>
          <w:p w14:paraId="6F7E14F3"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6%</w:t>
            </w:r>
          </w:p>
        </w:tc>
        <w:tc>
          <w:tcPr>
            <w:tcW w:w="347" w:type="pct"/>
            <w:tcBorders>
              <w:top w:val="nil"/>
              <w:left w:val="single" w:sz="4" w:space="0" w:color="auto"/>
              <w:bottom w:val="single" w:sz="4" w:space="0" w:color="auto"/>
              <w:right w:val="nil"/>
            </w:tcBorders>
            <w:shd w:val="clear" w:color="auto" w:fill="auto"/>
            <w:noWrap/>
          </w:tcPr>
          <w:p w14:paraId="52F6A9C2"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37</w:t>
            </w:r>
          </w:p>
        </w:tc>
        <w:tc>
          <w:tcPr>
            <w:tcW w:w="347" w:type="pct"/>
            <w:tcBorders>
              <w:top w:val="nil"/>
              <w:left w:val="nil"/>
              <w:bottom w:val="single" w:sz="4" w:space="0" w:color="auto"/>
              <w:right w:val="nil"/>
            </w:tcBorders>
            <w:shd w:val="clear" w:color="auto" w:fill="auto"/>
            <w:noWrap/>
          </w:tcPr>
          <w:p w14:paraId="5BDB5E80"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41</w:t>
            </w:r>
          </w:p>
        </w:tc>
        <w:tc>
          <w:tcPr>
            <w:tcW w:w="374" w:type="pct"/>
            <w:tcBorders>
              <w:top w:val="nil"/>
              <w:left w:val="nil"/>
              <w:bottom w:val="single" w:sz="4" w:space="0" w:color="auto"/>
              <w:right w:val="nil"/>
            </w:tcBorders>
            <w:shd w:val="clear" w:color="auto" w:fill="auto"/>
            <w:noWrap/>
          </w:tcPr>
          <w:p w14:paraId="09C54B57" w14:textId="77777777" w:rsidR="008A4FED" w:rsidRPr="00666914" w:rsidRDefault="008A4FED" w:rsidP="00F64B85">
            <w:pPr>
              <w:spacing w:after="0"/>
              <w:jc w:val="center"/>
              <w:rPr>
                <w:rFonts w:eastAsia="Times New Roman" w:cs="Calibri"/>
                <w:sz w:val="20"/>
                <w:szCs w:val="20"/>
                <w:highlight w:val="yellow"/>
                <w:lang w:eastAsia="sk-SK"/>
              </w:rPr>
            </w:pPr>
            <w:r w:rsidRPr="00666914">
              <w:rPr>
                <w:sz w:val="20"/>
                <w:szCs w:val="20"/>
              </w:rPr>
              <w:t>10%</w:t>
            </w:r>
          </w:p>
        </w:tc>
      </w:tr>
      <w:tr w:rsidR="008A4FED" w:rsidRPr="00666914" w14:paraId="1E21B6CB" w14:textId="77777777" w:rsidTr="00F64B85">
        <w:trPr>
          <w:trHeight w:val="20"/>
        </w:trPr>
        <w:tc>
          <w:tcPr>
            <w:tcW w:w="840" w:type="pct"/>
            <w:tcBorders>
              <w:top w:val="nil"/>
              <w:left w:val="nil"/>
              <w:bottom w:val="single" w:sz="4" w:space="0" w:color="auto"/>
              <w:right w:val="single" w:sz="4" w:space="0" w:color="auto"/>
            </w:tcBorders>
            <w:shd w:val="clear" w:color="auto" w:fill="F2F2F2" w:themeFill="background1" w:themeFillShade="F2"/>
            <w:noWrap/>
            <w:vAlign w:val="bottom"/>
          </w:tcPr>
          <w:p w14:paraId="0F373DDF" w14:textId="77777777" w:rsidR="008A4FED" w:rsidRPr="00666914" w:rsidRDefault="008A4FED" w:rsidP="00F64B85">
            <w:pPr>
              <w:spacing w:after="0"/>
              <w:jc w:val="left"/>
              <w:rPr>
                <w:rFonts w:eastAsia="Times New Roman" w:cs="Calibri"/>
                <w:b/>
                <w:sz w:val="20"/>
                <w:lang w:eastAsia="sk-SK"/>
              </w:rPr>
            </w:pPr>
            <w:r w:rsidRPr="00666914">
              <w:rPr>
                <w:rFonts w:eastAsia="Times New Roman" w:cs="Calibri"/>
                <w:b/>
                <w:sz w:val="20"/>
                <w:lang w:eastAsia="sk-SK"/>
              </w:rPr>
              <w:t>UN a FN SPOLU</w:t>
            </w:r>
          </w:p>
        </w:tc>
        <w:tc>
          <w:tcPr>
            <w:tcW w:w="235" w:type="pct"/>
            <w:tcBorders>
              <w:top w:val="nil"/>
              <w:left w:val="single" w:sz="4" w:space="0" w:color="auto"/>
              <w:bottom w:val="single" w:sz="4" w:space="0" w:color="auto"/>
              <w:right w:val="nil"/>
            </w:tcBorders>
            <w:shd w:val="clear" w:color="auto" w:fill="F2F2F2" w:themeFill="background1" w:themeFillShade="F2"/>
            <w:noWrap/>
          </w:tcPr>
          <w:p w14:paraId="554D59C5" w14:textId="77777777" w:rsidR="008A4FED" w:rsidRPr="00666914" w:rsidRDefault="008A4FED" w:rsidP="00F64B85">
            <w:pPr>
              <w:spacing w:after="0"/>
              <w:jc w:val="center"/>
              <w:rPr>
                <w:b/>
                <w:sz w:val="20"/>
                <w:szCs w:val="20"/>
                <w:highlight w:val="yellow"/>
              </w:rPr>
            </w:pPr>
            <w:r w:rsidRPr="00666914">
              <w:rPr>
                <w:b/>
                <w:sz w:val="20"/>
                <w:szCs w:val="20"/>
              </w:rPr>
              <w:t>548</w:t>
            </w:r>
          </w:p>
        </w:tc>
        <w:tc>
          <w:tcPr>
            <w:tcW w:w="347" w:type="pct"/>
            <w:tcBorders>
              <w:top w:val="nil"/>
              <w:left w:val="nil"/>
              <w:bottom w:val="single" w:sz="4" w:space="0" w:color="auto"/>
              <w:right w:val="nil"/>
            </w:tcBorders>
            <w:shd w:val="clear" w:color="auto" w:fill="F2F2F2" w:themeFill="background1" w:themeFillShade="F2"/>
            <w:noWrap/>
          </w:tcPr>
          <w:p w14:paraId="1379B888" w14:textId="77777777" w:rsidR="008A4FED" w:rsidRPr="00666914" w:rsidRDefault="008A4FED" w:rsidP="00F64B85">
            <w:pPr>
              <w:spacing w:after="0"/>
              <w:jc w:val="center"/>
              <w:rPr>
                <w:b/>
                <w:sz w:val="20"/>
                <w:szCs w:val="20"/>
                <w:highlight w:val="yellow"/>
              </w:rPr>
            </w:pPr>
            <w:r w:rsidRPr="00666914">
              <w:rPr>
                <w:b/>
                <w:sz w:val="20"/>
                <w:szCs w:val="20"/>
              </w:rPr>
              <w:t>619</w:t>
            </w:r>
          </w:p>
        </w:tc>
        <w:tc>
          <w:tcPr>
            <w:tcW w:w="374" w:type="pct"/>
            <w:tcBorders>
              <w:top w:val="nil"/>
              <w:left w:val="nil"/>
              <w:bottom w:val="single" w:sz="4" w:space="0" w:color="auto"/>
              <w:right w:val="single" w:sz="4" w:space="0" w:color="auto"/>
            </w:tcBorders>
            <w:shd w:val="clear" w:color="auto" w:fill="F2F2F2" w:themeFill="background1" w:themeFillShade="F2"/>
            <w:noWrap/>
          </w:tcPr>
          <w:p w14:paraId="3FA8E457" w14:textId="77777777" w:rsidR="008A4FED" w:rsidRPr="00666914" w:rsidRDefault="008A4FED" w:rsidP="00F64B85">
            <w:pPr>
              <w:spacing w:after="0"/>
              <w:jc w:val="center"/>
              <w:rPr>
                <w:b/>
                <w:sz w:val="20"/>
                <w:szCs w:val="20"/>
                <w:highlight w:val="yellow"/>
              </w:rPr>
            </w:pPr>
            <w:r w:rsidRPr="00666914">
              <w:rPr>
                <w:b/>
                <w:sz w:val="20"/>
                <w:szCs w:val="20"/>
              </w:rPr>
              <w:t>13%</w:t>
            </w:r>
          </w:p>
        </w:tc>
        <w:tc>
          <w:tcPr>
            <w:tcW w:w="347" w:type="pct"/>
            <w:tcBorders>
              <w:top w:val="nil"/>
              <w:left w:val="single" w:sz="4" w:space="0" w:color="auto"/>
              <w:bottom w:val="single" w:sz="4" w:space="0" w:color="auto"/>
              <w:right w:val="nil"/>
            </w:tcBorders>
            <w:shd w:val="clear" w:color="auto" w:fill="F2F2F2" w:themeFill="background1" w:themeFillShade="F2"/>
            <w:noWrap/>
          </w:tcPr>
          <w:p w14:paraId="4D4CBA84" w14:textId="77777777" w:rsidR="008A4FED" w:rsidRPr="00666914" w:rsidRDefault="008A4FED" w:rsidP="00F64B85">
            <w:pPr>
              <w:spacing w:after="0"/>
              <w:jc w:val="center"/>
              <w:rPr>
                <w:b/>
                <w:sz w:val="20"/>
                <w:szCs w:val="20"/>
                <w:highlight w:val="yellow"/>
              </w:rPr>
            </w:pPr>
            <w:r w:rsidRPr="00666914">
              <w:rPr>
                <w:b/>
                <w:sz w:val="20"/>
                <w:szCs w:val="20"/>
              </w:rPr>
              <w:t>168</w:t>
            </w:r>
          </w:p>
        </w:tc>
        <w:tc>
          <w:tcPr>
            <w:tcW w:w="347" w:type="pct"/>
            <w:tcBorders>
              <w:top w:val="nil"/>
              <w:left w:val="nil"/>
              <w:bottom w:val="single" w:sz="4" w:space="0" w:color="auto"/>
              <w:right w:val="nil"/>
            </w:tcBorders>
            <w:shd w:val="clear" w:color="auto" w:fill="F2F2F2" w:themeFill="background1" w:themeFillShade="F2"/>
            <w:noWrap/>
          </w:tcPr>
          <w:p w14:paraId="139C3CC9" w14:textId="77777777" w:rsidR="008A4FED" w:rsidRPr="00666914" w:rsidRDefault="008A4FED" w:rsidP="00F64B85">
            <w:pPr>
              <w:spacing w:after="0"/>
              <w:jc w:val="center"/>
              <w:rPr>
                <w:b/>
                <w:sz w:val="20"/>
                <w:szCs w:val="20"/>
                <w:highlight w:val="yellow"/>
              </w:rPr>
            </w:pPr>
            <w:r w:rsidRPr="00666914">
              <w:rPr>
                <w:b/>
                <w:sz w:val="20"/>
                <w:szCs w:val="20"/>
              </w:rPr>
              <w:t>192</w:t>
            </w:r>
          </w:p>
        </w:tc>
        <w:tc>
          <w:tcPr>
            <w:tcW w:w="374" w:type="pct"/>
            <w:tcBorders>
              <w:top w:val="nil"/>
              <w:left w:val="nil"/>
              <w:bottom w:val="single" w:sz="4" w:space="0" w:color="auto"/>
              <w:right w:val="single" w:sz="4" w:space="0" w:color="auto"/>
            </w:tcBorders>
            <w:shd w:val="clear" w:color="auto" w:fill="F2F2F2" w:themeFill="background1" w:themeFillShade="F2"/>
            <w:noWrap/>
          </w:tcPr>
          <w:p w14:paraId="6BD4B4E5" w14:textId="77777777" w:rsidR="008A4FED" w:rsidRPr="00666914" w:rsidRDefault="008A4FED" w:rsidP="00F64B85">
            <w:pPr>
              <w:spacing w:after="0"/>
              <w:jc w:val="center"/>
              <w:rPr>
                <w:b/>
                <w:sz w:val="20"/>
                <w:szCs w:val="20"/>
                <w:highlight w:val="yellow"/>
              </w:rPr>
            </w:pPr>
            <w:r w:rsidRPr="00666914">
              <w:rPr>
                <w:b/>
                <w:sz w:val="20"/>
                <w:szCs w:val="20"/>
              </w:rPr>
              <w:t>14%</w:t>
            </w:r>
          </w:p>
        </w:tc>
        <w:tc>
          <w:tcPr>
            <w:tcW w:w="347" w:type="pct"/>
            <w:tcBorders>
              <w:top w:val="nil"/>
              <w:left w:val="single" w:sz="4" w:space="0" w:color="auto"/>
              <w:bottom w:val="single" w:sz="4" w:space="0" w:color="auto"/>
              <w:right w:val="nil"/>
            </w:tcBorders>
            <w:shd w:val="clear" w:color="auto" w:fill="F2F2F2" w:themeFill="background1" w:themeFillShade="F2"/>
            <w:noWrap/>
          </w:tcPr>
          <w:p w14:paraId="5A2CB924" w14:textId="77777777" w:rsidR="008A4FED" w:rsidRPr="00666914" w:rsidRDefault="008A4FED" w:rsidP="00F64B85">
            <w:pPr>
              <w:spacing w:after="0"/>
              <w:jc w:val="center"/>
              <w:rPr>
                <w:b/>
                <w:sz w:val="20"/>
                <w:szCs w:val="20"/>
                <w:highlight w:val="yellow"/>
              </w:rPr>
            </w:pPr>
            <w:r w:rsidRPr="00666914">
              <w:rPr>
                <w:b/>
                <w:sz w:val="20"/>
                <w:szCs w:val="20"/>
              </w:rPr>
              <w:t>46</w:t>
            </w:r>
          </w:p>
        </w:tc>
        <w:tc>
          <w:tcPr>
            <w:tcW w:w="347" w:type="pct"/>
            <w:tcBorders>
              <w:top w:val="nil"/>
              <w:left w:val="nil"/>
              <w:bottom w:val="single" w:sz="4" w:space="0" w:color="auto"/>
              <w:right w:val="nil"/>
            </w:tcBorders>
            <w:shd w:val="clear" w:color="auto" w:fill="F2F2F2" w:themeFill="background1" w:themeFillShade="F2"/>
            <w:noWrap/>
          </w:tcPr>
          <w:p w14:paraId="00C76EFA" w14:textId="77777777" w:rsidR="008A4FED" w:rsidRPr="00666914" w:rsidRDefault="008A4FED" w:rsidP="00F64B85">
            <w:pPr>
              <w:spacing w:after="0"/>
              <w:jc w:val="center"/>
              <w:rPr>
                <w:b/>
                <w:sz w:val="20"/>
                <w:szCs w:val="20"/>
                <w:highlight w:val="yellow"/>
              </w:rPr>
            </w:pPr>
            <w:r w:rsidRPr="00666914">
              <w:rPr>
                <w:b/>
                <w:sz w:val="20"/>
                <w:szCs w:val="20"/>
              </w:rPr>
              <w:t>49</w:t>
            </w:r>
          </w:p>
        </w:tc>
        <w:tc>
          <w:tcPr>
            <w:tcW w:w="374" w:type="pct"/>
            <w:tcBorders>
              <w:top w:val="nil"/>
              <w:left w:val="nil"/>
              <w:bottom w:val="single" w:sz="4" w:space="0" w:color="auto"/>
              <w:right w:val="single" w:sz="4" w:space="0" w:color="auto"/>
            </w:tcBorders>
            <w:shd w:val="clear" w:color="auto" w:fill="F2F2F2" w:themeFill="background1" w:themeFillShade="F2"/>
            <w:noWrap/>
          </w:tcPr>
          <w:p w14:paraId="7DF91893" w14:textId="77777777" w:rsidR="008A4FED" w:rsidRPr="00666914" w:rsidRDefault="008A4FED" w:rsidP="00F64B85">
            <w:pPr>
              <w:spacing w:after="0"/>
              <w:jc w:val="center"/>
              <w:rPr>
                <w:b/>
                <w:sz w:val="20"/>
                <w:szCs w:val="20"/>
                <w:highlight w:val="yellow"/>
              </w:rPr>
            </w:pPr>
            <w:r w:rsidRPr="00666914">
              <w:rPr>
                <w:b/>
                <w:sz w:val="20"/>
                <w:szCs w:val="20"/>
              </w:rPr>
              <w:t>8%</w:t>
            </w:r>
          </w:p>
        </w:tc>
        <w:tc>
          <w:tcPr>
            <w:tcW w:w="347" w:type="pct"/>
            <w:tcBorders>
              <w:top w:val="nil"/>
              <w:left w:val="single" w:sz="4" w:space="0" w:color="auto"/>
              <w:bottom w:val="single" w:sz="4" w:space="0" w:color="auto"/>
              <w:right w:val="nil"/>
            </w:tcBorders>
            <w:shd w:val="clear" w:color="auto" w:fill="F2F2F2" w:themeFill="background1" w:themeFillShade="F2"/>
            <w:noWrap/>
          </w:tcPr>
          <w:p w14:paraId="5830C29A" w14:textId="77777777" w:rsidR="008A4FED" w:rsidRPr="00666914" w:rsidRDefault="008A4FED" w:rsidP="00F64B85">
            <w:pPr>
              <w:spacing w:after="0"/>
              <w:jc w:val="center"/>
              <w:rPr>
                <w:b/>
                <w:sz w:val="20"/>
                <w:szCs w:val="20"/>
                <w:highlight w:val="yellow"/>
              </w:rPr>
            </w:pPr>
            <w:r w:rsidRPr="00666914">
              <w:rPr>
                <w:b/>
                <w:sz w:val="20"/>
                <w:szCs w:val="20"/>
              </w:rPr>
              <w:t>761</w:t>
            </w:r>
          </w:p>
        </w:tc>
        <w:tc>
          <w:tcPr>
            <w:tcW w:w="347" w:type="pct"/>
            <w:tcBorders>
              <w:top w:val="nil"/>
              <w:left w:val="nil"/>
              <w:bottom w:val="single" w:sz="4" w:space="0" w:color="auto"/>
              <w:right w:val="nil"/>
            </w:tcBorders>
            <w:shd w:val="clear" w:color="auto" w:fill="F2F2F2" w:themeFill="background1" w:themeFillShade="F2"/>
            <w:noWrap/>
          </w:tcPr>
          <w:p w14:paraId="61A6756B" w14:textId="77777777" w:rsidR="008A4FED" w:rsidRPr="00666914" w:rsidRDefault="008A4FED" w:rsidP="00F64B85">
            <w:pPr>
              <w:spacing w:after="0"/>
              <w:jc w:val="center"/>
              <w:rPr>
                <w:b/>
                <w:sz w:val="20"/>
                <w:szCs w:val="20"/>
                <w:highlight w:val="yellow"/>
              </w:rPr>
            </w:pPr>
            <w:r w:rsidRPr="00666914">
              <w:rPr>
                <w:b/>
                <w:sz w:val="20"/>
                <w:szCs w:val="20"/>
              </w:rPr>
              <w:t>860</w:t>
            </w:r>
          </w:p>
        </w:tc>
        <w:tc>
          <w:tcPr>
            <w:tcW w:w="374" w:type="pct"/>
            <w:tcBorders>
              <w:top w:val="nil"/>
              <w:left w:val="nil"/>
              <w:bottom w:val="single" w:sz="4" w:space="0" w:color="auto"/>
              <w:right w:val="nil"/>
            </w:tcBorders>
            <w:shd w:val="clear" w:color="auto" w:fill="F2F2F2" w:themeFill="background1" w:themeFillShade="F2"/>
            <w:noWrap/>
          </w:tcPr>
          <w:p w14:paraId="49F38427" w14:textId="77777777" w:rsidR="008A4FED" w:rsidRPr="00666914" w:rsidRDefault="008A4FED" w:rsidP="00F64B85">
            <w:pPr>
              <w:spacing w:after="0"/>
              <w:jc w:val="center"/>
              <w:rPr>
                <w:b/>
                <w:sz w:val="20"/>
                <w:szCs w:val="20"/>
                <w:highlight w:val="yellow"/>
              </w:rPr>
            </w:pPr>
            <w:r w:rsidRPr="00666914">
              <w:rPr>
                <w:b/>
                <w:sz w:val="20"/>
                <w:szCs w:val="20"/>
              </w:rPr>
              <w:t>13%</w:t>
            </w:r>
          </w:p>
        </w:tc>
      </w:tr>
      <w:tr w:rsidR="008A4FED" w:rsidRPr="00666914" w14:paraId="75A44A06" w14:textId="77777777" w:rsidTr="00F64B85">
        <w:trPr>
          <w:trHeight w:val="161"/>
        </w:trPr>
        <w:tc>
          <w:tcPr>
            <w:tcW w:w="840" w:type="pct"/>
            <w:tcBorders>
              <w:top w:val="single" w:sz="4" w:space="0" w:color="auto"/>
              <w:left w:val="nil"/>
              <w:right w:val="nil"/>
            </w:tcBorders>
            <w:shd w:val="clear" w:color="auto" w:fill="auto"/>
            <w:noWrap/>
            <w:vAlign w:val="center"/>
          </w:tcPr>
          <w:p w14:paraId="0E6E4F6F" w14:textId="77777777" w:rsidR="008A4FED" w:rsidRPr="00666914" w:rsidRDefault="008A4FED" w:rsidP="004D30E9">
            <w:pPr>
              <w:spacing w:after="0"/>
              <w:jc w:val="left"/>
              <w:rPr>
                <w:rFonts w:eastAsia="Times New Roman" w:cs="Calibri"/>
                <w:lang w:eastAsia="sk-SK"/>
              </w:rPr>
            </w:pPr>
          </w:p>
        </w:tc>
        <w:tc>
          <w:tcPr>
            <w:tcW w:w="235" w:type="pct"/>
            <w:tcBorders>
              <w:top w:val="single" w:sz="4" w:space="0" w:color="auto"/>
              <w:left w:val="nil"/>
              <w:right w:val="nil"/>
            </w:tcBorders>
            <w:shd w:val="clear" w:color="auto" w:fill="auto"/>
            <w:noWrap/>
            <w:vAlign w:val="center"/>
          </w:tcPr>
          <w:p w14:paraId="38EA05F4" w14:textId="77777777" w:rsidR="008A4FED" w:rsidRPr="00666914" w:rsidRDefault="008A4FED" w:rsidP="004D30E9">
            <w:pPr>
              <w:spacing w:after="0"/>
              <w:jc w:val="center"/>
              <w:rPr>
                <w:rFonts w:eastAsia="Times New Roman" w:cs="Calibri"/>
                <w:lang w:eastAsia="sk-SK"/>
              </w:rPr>
            </w:pPr>
          </w:p>
        </w:tc>
        <w:tc>
          <w:tcPr>
            <w:tcW w:w="347" w:type="pct"/>
            <w:tcBorders>
              <w:top w:val="single" w:sz="4" w:space="0" w:color="auto"/>
              <w:left w:val="nil"/>
              <w:right w:val="nil"/>
            </w:tcBorders>
            <w:shd w:val="clear" w:color="auto" w:fill="auto"/>
            <w:noWrap/>
            <w:vAlign w:val="center"/>
          </w:tcPr>
          <w:p w14:paraId="04F33710" w14:textId="77777777" w:rsidR="008A4FED" w:rsidRPr="00666914" w:rsidRDefault="008A4FED" w:rsidP="004D30E9">
            <w:pPr>
              <w:spacing w:after="0"/>
              <w:jc w:val="center"/>
              <w:rPr>
                <w:rFonts w:eastAsia="Times New Roman" w:cs="Calibri"/>
                <w:lang w:eastAsia="sk-SK"/>
              </w:rPr>
            </w:pPr>
          </w:p>
        </w:tc>
        <w:tc>
          <w:tcPr>
            <w:tcW w:w="374" w:type="pct"/>
            <w:tcBorders>
              <w:top w:val="single" w:sz="4" w:space="0" w:color="auto"/>
              <w:left w:val="nil"/>
              <w:right w:val="nil"/>
            </w:tcBorders>
            <w:shd w:val="clear" w:color="auto" w:fill="auto"/>
            <w:noWrap/>
            <w:vAlign w:val="center"/>
          </w:tcPr>
          <w:p w14:paraId="019416FD" w14:textId="77777777" w:rsidR="008A4FED" w:rsidRPr="00666914" w:rsidRDefault="008A4FED" w:rsidP="004D30E9">
            <w:pPr>
              <w:spacing w:after="0"/>
              <w:jc w:val="center"/>
              <w:rPr>
                <w:rFonts w:eastAsia="Times New Roman" w:cs="Calibri"/>
                <w:lang w:eastAsia="sk-SK"/>
              </w:rPr>
            </w:pPr>
          </w:p>
        </w:tc>
        <w:tc>
          <w:tcPr>
            <w:tcW w:w="347" w:type="pct"/>
            <w:tcBorders>
              <w:top w:val="single" w:sz="4" w:space="0" w:color="auto"/>
              <w:left w:val="nil"/>
              <w:right w:val="nil"/>
            </w:tcBorders>
            <w:shd w:val="clear" w:color="auto" w:fill="auto"/>
            <w:noWrap/>
            <w:vAlign w:val="center"/>
          </w:tcPr>
          <w:p w14:paraId="2942A7E7" w14:textId="77777777" w:rsidR="008A4FED" w:rsidRPr="00666914" w:rsidRDefault="008A4FED" w:rsidP="004D30E9">
            <w:pPr>
              <w:spacing w:after="0"/>
              <w:jc w:val="center"/>
              <w:rPr>
                <w:rFonts w:eastAsia="Times New Roman" w:cs="Calibri"/>
                <w:lang w:eastAsia="sk-SK"/>
              </w:rPr>
            </w:pPr>
          </w:p>
        </w:tc>
        <w:tc>
          <w:tcPr>
            <w:tcW w:w="347" w:type="pct"/>
            <w:tcBorders>
              <w:top w:val="single" w:sz="4" w:space="0" w:color="auto"/>
              <w:left w:val="nil"/>
              <w:right w:val="nil"/>
            </w:tcBorders>
            <w:shd w:val="clear" w:color="auto" w:fill="auto"/>
            <w:noWrap/>
            <w:vAlign w:val="center"/>
          </w:tcPr>
          <w:p w14:paraId="7D300109" w14:textId="77777777" w:rsidR="008A4FED" w:rsidRPr="00666914" w:rsidRDefault="008A4FED" w:rsidP="004D30E9">
            <w:pPr>
              <w:spacing w:after="0"/>
              <w:jc w:val="center"/>
              <w:rPr>
                <w:rFonts w:eastAsia="Times New Roman" w:cs="Calibri"/>
                <w:lang w:eastAsia="sk-SK"/>
              </w:rPr>
            </w:pPr>
          </w:p>
        </w:tc>
        <w:tc>
          <w:tcPr>
            <w:tcW w:w="374" w:type="pct"/>
            <w:tcBorders>
              <w:top w:val="single" w:sz="4" w:space="0" w:color="auto"/>
              <w:left w:val="nil"/>
              <w:right w:val="nil"/>
            </w:tcBorders>
            <w:shd w:val="clear" w:color="auto" w:fill="auto"/>
            <w:noWrap/>
            <w:vAlign w:val="center"/>
          </w:tcPr>
          <w:p w14:paraId="35A4C3D9" w14:textId="77777777" w:rsidR="008A4FED" w:rsidRPr="00666914" w:rsidRDefault="008A4FED" w:rsidP="004D30E9">
            <w:pPr>
              <w:spacing w:after="0"/>
              <w:jc w:val="center"/>
              <w:rPr>
                <w:rFonts w:eastAsia="Times New Roman" w:cs="Calibri"/>
                <w:lang w:eastAsia="sk-SK"/>
              </w:rPr>
            </w:pPr>
          </w:p>
        </w:tc>
        <w:tc>
          <w:tcPr>
            <w:tcW w:w="347" w:type="pct"/>
            <w:tcBorders>
              <w:top w:val="single" w:sz="4" w:space="0" w:color="auto"/>
              <w:left w:val="nil"/>
              <w:right w:val="nil"/>
            </w:tcBorders>
            <w:shd w:val="clear" w:color="auto" w:fill="auto"/>
            <w:noWrap/>
            <w:vAlign w:val="center"/>
          </w:tcPr>
          <w:p w14:paraId="0CFA2A96" w14:textId="77777777" w:rsidR="008A4FED" w:rsidRPr="00666914" w:rsidRDefault="008A4FED" w:rsidP="004D30E9">
            <w:pPr>
              <w:spacing w:after="0"/>
              <w:jc w:val="center"/>
              <w:rPr>
                <w:rFonts w:eastAsia="Times New Roman" w:cs="Calibri"/>
                <w:lang w:eastAsia="sk-SK"/>
              </w:rPr>
            </w:pPr>
          </w:p>
        </w:tc>
        <w:tc>
          <w:tcPr>
            <w:tcW w:w="347" w:type="pct"/>
            <w:tcBorders>
              <w:top w:val="single" w:sz="4" w:space="0" w:color="auto"/>
              <w:left w:val="nil"/>
              <w:right w:val="nil"/>
            </w:tcBorders>
            <w:shd w:val="clear" w:color="auto" w:fill="auto"/>
            <w:noWrap/>
            <w:vAlign w:val="center"/>
          </w:tcPr>
          <w:p w14:paraId="74406C4B" w14:textId="77777777" w:rsidR="008A4FED" w:rsidRPr="00666914" w:rsidRDefault="008A4FED" w:rsidP="004D30E9">
            <w:pPr>
              <w:spacing w:after="0"/>
              <w:jc w:val="center"/>
              <w:rPr>
                <w:rFonts w:eastAsia="Times New Roman" w:cs="Calibri"/>
                <w:lang w:eastAsia="sk-SK"/>
              </w:rPr>
            </w:pPr>
          </w:p>
        </w:tc>
        <w:tc>
          <w:tcPr>
            <w:tcW w:w="1442" w:type="pct"/>
            <w:gridSpan w:val="4"/>
            <w:tcBorders>
              <w:top w:val="single" w:sz="4" w:space="0" w:color="auto"/>
              <w:left w:val="nil"/>
              <w:right w:val="nil"/>
            </w:tcBorders>
            <w:shd w:val="clear" w:color="auto" w:fill="auto"/>
            <w:noWrap/>
            <w:vAlign w:val="center"/>
          </w:tcPr>
          <w:p w14:paraId="6687751A" w14:textId="77777777" w:rsidR="008A4FED" w:rsidRPr="00666914" w:rsidRDefault="008A4FED" w:rsidP="004D30E9">
            <w:pPr>
              <w:jc w:val="right"/>
              <w:rPr>
                <w:i/>
                <w:sz w:val="18"/>
                <w:szCs w:val="18"/>
              </w:rPr>
            </w:pPr>
            <w:r w:rsidRPr="00666914">
              <w:rPr>
                <w:i/>
                <w:sz w:val="18"/>
                <w:szCs w:val="18"/>
              </w:rPr>
              <w:t>Zdroj: MZ SR, spracovanie IJ</w:t>
            </w:r>
          </w:p>
        </w:tc>
      </w:tr>
    </w:tbl>
    <w:p w14:paraId="3AB8B161" w14:textId="77777777" w:rsidR="008A4FED" w:rsidRPr="00666914" w:rsidRDefault="008A4FED" w:rsidP="004D30E9">
      <w:pPr>
        <w:spacing w:after="0"/>
        <w:rPr>
          <w:color w:val="A6A6A6" w:themeColor="background1" w:themeShade="A6"/>
        </w:rPr>
      </w:pPr>
    </w:p>
    <w:p w14:paraId="5A79B0FA" w14:textId="77777777" w:rsidR="008A4FED" w:rsidRPr="00666914" w:rsidRDefault="008A4FED" w:rsidP="004D30E9">
      <w:pPr>
        <w:spacing w:after="0"/>
        <w:rPr>
          <w:color w:val="A6A6A6" w:themeColor="background1" w:themeShade="A6"/>
        </w:rPr>
      </w:pPr>
    </w:p>
    <w:p w14:paraId="09873F64" w14:textId="77777777" w:rsidR="008A4FED" w:rsidRPr="00666914" w:rsidRDefault="008A4FED" w:rsidP="004D30E9">
      <w:pPr>
        <w:spacing w:after="0"/>
        <w:rPr>
          <w:color w:val="A6A6A6" w:themeColor="background1" w:themeShade="A6"/>
        </w:rPr>
      </w:pPr>
    </w:p>
    <w:p w14:paraId="24978744" w14:textId="77777777" w:rsidR="008A4FED" w:rsidRPr="00666914" w:rsidRDefault="008A4FED" w:rsidP="004D30E9">
      <w:pPr>
        <w:spacing w:after="0"/>
        <w:rPr>
          <w:color w:val="A6A6A6" w:themeColor="background1" w:themeShade="A6"/>
        </w:rPr>
      </w:pPr>
    </w:p>
    <w:p w14:paraId="642D0E6C" w14:textId="77777777" w:rsidR="008A4FED" w:rsidRPr="00666914" w:rsidRDefault="008A4FED" w:rsidP="004D30E9">
      <w:pPr>
        <w:spacing w:after="0"/>
        <w:rPr>
          <w:color w:val="A6A6A6" w:themeColor="background1" w:themeShade="A6"/>
        </w:rPr>
      </w:pPr>
    </w:p>
    <w:p w14:paraId="2F8F3375" w14:textId="77777777" w:rsidR="008A4FED" w:rsidRPr="00666914" w:rsidRDefault="008A4FED" w:rsidP="004D30E9">
      <w:pPr>
        <w:spacing w:after="0"/>
        <w:rPr>
          <w:color w:val="A6A6A6" w:themeColor="background1" w:themeShade="A6"/>
        </w:rPr>
      </w:pPr>
    </w:p>
    <w:p w14:paraId="23B5CA66" w14:textId="77777777" w:rsidR="008A4FED" w:rsidRPr="00666914" w:rsidRDefault="008A4FED" w:rsidP="004D30E9">
      <w:pPr>
        <w:spacing w:after="0"/>
        <w:rPr>
          <w:color w:val="A6A6A6" w:themeColor="background1" w:themeShade="A6"/>
        </w:rPr>
      </w:pPr>
    </w:p>
    <w:p w14:paraId="10227C0E" w14:textId="77777777" w:rsidR="008A4FED" w:rsidRPr="00666914" w:rsidRDefault="008A4FED" w:rsidP="004D30E9">
      <w:pPr>
        <w:spacing w:after="0"/>
        <w:rPr>
          <w:color w:val="A6A6A6" w:themeColor="background1" w:themeShade="A6"/>
        </w:rPr>
      </w:pPr>
    </w:p>
    <w:p w14:paraId="15FDE620" w14:textId="77777777" w:rsidR="008A4FED" w:rsidRPr="00666914" w:rsidRDefault="008A4FED" w:rsidP="004D30E9">
      <w:pPr>
        <w:spacing w:after="0"/>
        <w:rPr>
          <w:color w:val="A6A6A6" w:themeColor="background1" w:themeShade="A6"/>
        </w:rPr>
      </w:pPr>
    </w:p>
    <w:p w14:paraId="48722693" w14:textId="1AEEA26D" w:rsidR="008A4FED" w:rsidRPr="00666914" w:rsidRDefault="008A4FED" w:rsidP="00F64B85">
      <w:pPr>
        <w:pBdr>
          <w:bottom w:val="single" w:sz="4" w:space="1" w:color="auto"/>
        </w:pBdr>
        <w:spacing w:after="0"/>
        <w:rPr>
          <w:b/>
          <w:sz w:val="20"/>
        </w:rPr>
      </w:pPr>
      <w:bookmarkStart w:id="133" w:name="_Toc36547046"/>
      <w:bookmarkStart w:id="134" w:name="_Toc38390051"/>
      <w:r w:rsidRPr="00666914">
        <w:rPr>
          <w:b/>
          <w:sz w:val="20"/>
        </w:rPr>
        <w:lastRenderedPageBreak/>
        <w:t xml:space="preserve">Graf </w:t>
      </w:r>
      <w:r w:rsidRPr="00666914">
        <w:rPr>
          <w:b/>
          <w:sz w:val="20"/>
        </w:rPr>
        <w:fldChar w:fldCharType="begin"/>
      </w:r>
      <w:r w:rsidRPr="00666914">
        <w:rPr>
          <w:b/>
          <w:sz w:val="20"/>
        </w:rPr>
        <w:instrText xml:space="preserve"> SEQ Graf \* ARABIC \* MERGEFORMAT </w:instrText>
      </w:r>
      <w:r w:rsidRPr="00666914">
        <w:rPr>
          <w:b/>
          <w:sz w:val="20"/>
        </w:rPr>
        <w:fldChar w:fldCharType="separate"/>
      </w:r>
      <w:r w:rsidR="005A7304">
        <w:rPr>
          <w:b/>
          <w:noProof/>
          <w:sz w:val="20"/>
        </w:rPr>
        <w:t>7</w:t>
      </w:r>
      <w:r w:rsidRPr="00666914">
        <w:rPr>
          <w:b/>
          <w:sz w:val="20"/>
        </w:rPr>
        <w:fldChar w:fldCharType="end"/>
      </w:r>
      <w:r w:rsidRPr="00666914">
        <w:rPr>
          <w:b/>
          <w:sz w:val="20"/>
        </w:rPr>
        <w:t>: Platby ZP (výnosy) a náklady na zdravotnú starostlivosť v UN a FN (mil. eur)</w:t>
      </w:r>
      <w:bookmarkEnd w:id="133"/>
      <w:bookmarkEnd w:id="134"/>
    </w:p>
    <w:p w14:paraId="5E3EC425" w14:textId="77777777" w:rsidR="008A4FED" w:rsidRPr="00666914" w:rsidRDefault="008A4FED" w:rsidP="00F64B85">
      <w:pPr>
        <w:spacing w:after="0"/>
        <w:jc w:val="center"/>
        <w:rPr>
          <w:color w:val="A6A6A6" w:themeColor="background1" w:themeShade="A6"/>
          <w:u w:val="single"/>
        </w:rPr>
      </w:pPr>
      <w:r w:rsidRPr="00666914">
        <w:rPr>
          <w:noProof/>
          <w:lang w:eastAsia="sk-SK"/>
        </w:rPr>
        <w:drawing>
          <wp:inline distT="0" distB="0" distL="0" distR="0" wp14:anchorId="71F2988E" wp14:editId="3444496F">
            <wp:extent cx="4419600" cy="2784764"/>
            <wp:effectExtent l="0" t="0" r="0" b="0"/>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8F7AB1D" w14:textId="77777777" w:rsidR="008A4FED" w:rsidRPr="00666914" w:rsidRDefault="008A4FED" w:rsidP="00F64B85">
      <w:pPr>
        <w:pBdr>
          <w:top w:val="single" w:sz="4" w:space="1" w:color="auto"/>
        </w:pBdr>
        <w:spacing w:after="0"/>
        <w:jc w:val="right"/>
        <w:rPr>
          <w:color w:val="A6A6A6" w:themeColor="background1" w:themeShade="A6"/>
        </w:rPr>
      </w:pPr>
      <w:r w:rsidRPr="00666914">
        <w:rPr>
          <w:i/>
          <w:sz w:val="18"/>
        </w:rPr>
        <w:t>Zdroj: MZ SR, prepočty IJ</w:t>
      </w:r>
    </w:p>
    <w:p w14:paraId="406C520D" w14:textId="77777777" w:rsidR="008A4FED" w:rsidRPr="00666914" w:rsidRDefault="008A4FED" w:rsidP="004D30E9">
      <w:pPr>
        <w:spacing w:after="0"/>
        <w:rPr>
          <w:color w:val="A6A6A6" w:themeColor="background1" w:themeShade="A6"/>
        </w:rPr>
      </w:pPr>
    </w:p>
    <w:p w14:paraId="16948063" w14:textId="77777777" w:rsidR="008A4FED" w:rsidRPr="00666914" w:rsidRDefault="008A4FED" w:rsidP="004D30E9">
      <w:pPr>
        <w:spacing w:after="0"/>
        <w:rPr>
          <w:color w:val="A6A6A6" w:themeColor="background1" w:themeShade="A6"/>
        </w:rPr>
      </w:pPr>
    </w:p>
    <w:p w14:paraId="5A0E0A43" w14:textId="77777777" w:rsidR="008A4FED" w:rsidRPr="00666914" w:rsidRDefault="008A4FED" w:rsidP="008A4FED">
      <w:pPr>
        <w:numPr>
          <w:ilvl w:val="0"/>
          <w:numId w:val="28"/>
        </w:numPr>
        <w:contextualSpacing/>
      </w:pPr>
      <w:r w:rsidRPr="00666914">
        <w:rPr>
          <w:b/>
          <w:u w:val="single"/>
        </w:rPr>
        <w:t>Optimalizácia prevádzkových nákladov</w:t>
      </w:r>
    </w:p>
    <w:p w14:paraId="67ACA44C" w14:textId="77777777" w:rsidR="008A4FED" w:rsidRPr="00666914" w:rsidRDefault="008A4FED" w:rsidP="00F64B85">
      <w:pPr>
        <w:spacing w:before="240"/>
        <w:rPr>
          <w:b/>
        </w:rPr>
      </w:pPr>
      <w:r w:rsidRPr="00666914">
        <w:rPr>
          <w:b/>
        </w:rPr>
        <w:t xml:space="preserve">Opatrenie sa k 31.12.2019 neplní. </w:t>
      </w:r>
      <w:r w:rsidRPr="00666914">
        <w:t>Prevádzkové náklady UN a FN sa medziročne zvýšili o 33,5 mil. eur (28 %). Opatrenie sleduje náklady na energie, opravy a udržovanie a ostatné prevádzkové náklady. V porovnaní s rokom 2018 vynaložili UN a FN na energie v roku 2019 o 3 mil. eur (10 %) viac, na opravy o 1 mil. eur (3 %) viac. Najväčšia časť medziročného nárastu je spôsobená rastom ostatných prevádzkových nákladov (o 29 mil. eur).</w:t>
      </w:r>
    </w:p>
    <w:p w14:paraId="6527F064" w14:textId="4F25BD5E" w:rsidR="008A4FED" w:rsidRPr="00666914" w:rsidRDefault="008A4FED" w:rsidP="004D30E9">
      <w:pPr>
        <w:pBdr>
          <w:bottom w:val="single" w:sz="4" w:space="1" w:color="auto"/>
        </w:pBdr>
        <w:spacing w:before="240" w:after="0"/>
      </w:pPr>
      <w:bookmarkStart w:id="135" w:name="_Toc5636436"/>
      <w:bookmarkStart w:id="136" w:name="_Toc20209174"/>
      <w:bookmarkStart w:id="137" w:name="_Toc36547047"/>
      <w:bookmarkStart w:id="138" w:name="_Toc38390052"/>
      <w:r w:rsidRPr="00666914">
        <w:rPr>
          <w:b/>
          <w:sz w:val="20"/>
        </w:rPr>
        <w:t xml:space="preserve">Graf </w:t>
      </w:r>
      <w:r w:rsidRPr="00666914">
        <w:rPr>
          <w:b/>
          <w:sz w:val="20"/>
        </w:rPr>
        <w:fldChar w:fldCharType="begin"/>
      </w:r>
      <w:r w:rsidRPr="00666914">
        <w:rPr>
          <w:b/>
          <w:sz w:val="20"/>
        </w:rPr>
        <w:instrText xml:space="preserve"> SEQ Graf \* ARABIC \* MERGEFORMAT </w:instrText>
      </w:r>
      <w:r w:rsidRPr="00666914">
        <w:rPr>
          <w:b/>
          <w:sz w:val="20"/>
        </w:rPr>
        <w:fldChar w:fldCharType="separate"/>
      </w:r>
      <w:r w:rsidR="005A7304">
        <w:rPr>
          <w:b/>
          <w:noProof/>
          <w:sz w:val="20"/>
        </w:rPr>
        <w:t>8</w:t>
      </w:r>
      <w:r w:rsidRPr="00666914">
        <w:rPr>
          <w:b/>
          <w:sz w:val="20"/>
        </w:rPr>
        <w:fldChar w:fldCharType="end"/>
      </w:r>
      <w:r w:rsidRPr="00666914">
        <w:rPr>
          <w:b/>
          <w:sz w:val="20"/>
        </w:rPr>
        <w:t>: Prevádzkové náklady UN a FN v rokoch 2018 a 2019 (mil. eur)</w:t>
      </w:r>
      <w:bookmarkEnd w:id="135"/>
      <w:bookmarkEnd w:id="136"/>
      <w:bookmarkEnd w:id="137"/>
      <w:bookmarkEnd w:id="138"/>
    </w:p>
    <w:p w14:paraId="483E250A" w14:textId="77777777" w:rsidR="008A4FED" w:rsidRPr="00666914" w:rsidRDefault="008A4FED" w:rsidP="00F64B85">
      <w:pPr>
        <w:spacing w:after="0"/>
        <w:jc w:val="center"/>
      </w:pPr>
      <w:r w:rsidRPr="00666914">
        <w:rPr>
          <w:noProof/>
          <w:lang w:eastAsia="sk-SK"/>
        </w:rPr>
        <w:drawing>
          <wp:inline distT="0" distB="0" distL="0" distR="0" wp14:anchorId="06A95C68" wp14:editId="0B5C35D9">
            <wp:extent cx="5257800" cy="2743200"/>
            <wp:effectExtent l="0" t="0" r="0" b="0"/>
            <wp:docPr id="50" name="Graf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1FBC04" w14:textId="77777777" w:rsidR="008A4FED" w:rsidRPr="00666914" w:rsidRDefault="008A4FED">
      <w:pPr>
        <w:pBdr>
          <w:top w:val="single" w:sz="4" w:space="1" w:color="auto"/>
        </w:pBdr>
        <w:spacing w:after="0"/>
        <w:jc w:val="right"/>
        <w:rPr>
          <w:i/>
          <w:sz w:val="18"/>
        </w:rPr>
      </w:pPr>
      <w:r w:rsidRPr="00666914">
        <w:rPr>
          <w:i/>
          <w:sz w:val="18"/>
        </w:rPr>
        <w:t>Zdroj: MZ SR, spracovanie IJ</w:t>
      </w:r>
    </w:p>
    <w:p w14:paraId="0329CC9B" w14:textId="77777777" w:rsidR="003B512A" w:rsidRPr="00666914" w:rsidRDefault="003B512A" w:rsidP="00F64B85">
      <w:pPr>
        <w:spacing w:after="0"/>
      </w:pPr>
    </w:p>
    <w:p w14:paraId="437C8E97" w14:textId="7753CB21" w:rsidR="008A4FED" w:rsidRPr="00666914" w:rsidRDefault="008A4FED" w:rsidP="00F64B85">
      <w:pPr>
        <w:spacing w:after="0"/>
      </w:pPr>
      <w:r w:rsidRPr="00666914">
        <w:t>Od 1/2019 sú UN a FN povinné dodržiavať jednotný účtovný rozvrh a postupy vnútropodnikového účtovníctva vydané MZ SR</w:t>
      </w:r>
      <w:r w:rsidRPr="00666914">
        <w:rPr>
          <w:rStyle w:val="Odkaznapoznmkupodiarou"/>
        </w:rPr>
        <w:footnoteReference w:id="29"/>
      </w:r>
      <w:r w:rsidRPr="00666914">
        <w:t>. Dodržiavanie tejto povinnosti umožnilo sledovať jednotlivé účtovné položky vo väčšom detaile a zabezpečilo porovnateľnosť údajov. Ostatné prevádzkové náklady tak zahŕňajú niekoľko nákladových účtov uvedených v tabuľke 1</w:t>
      </w:r>
      <w:r w:rsidR="009F7D9A" w:rsidRPr="00666914">
        <w:t>7</w:t>
      </w:r>
      <w:r w:rsidRPr="00666914">
        <w:t xml:space="preserve">. </w:t>
      </w:r>
      <w:r w:rsidR="00F86B24" w:rsidRPr="00666914">
        <w:t>Najväčši</w:t>
      </w:r>
      <w:r w:rsidR="000A65B9" w:rsidRPr="00666914">
        <w:t>a</w:t>
      </w:r>
      <w:r w:rsidR="00F86B24" w:rsidRPr="00666914">
        <w:t xml:space="preserve"> časť </w:t>
      </w:r>
      <w:r w:rsidRPr="00666914">
        <w:t xml:space="preserve">medziročného zvýšenia pripadá na účet 504-Predaný tovar, ktorý </w:t>
      </w:r>
      <w:r w:rsidRPr="00666914">
        <w:lastRenderedPageBreak/>
        <w:t>predstavuje náklady na tovar predávaný vo verejných lekárňach. Prevádzkovanie verejných lekární nemocniciam generuje dodatočné príjmy, preto rast týchto nákladov nepredstavuje problém. Odhliadnuc od tejto položky ostatné prevádzkové náklady v roku 2019 rástli predovšetkým z dôvodu vyšších nákladov na prevádzkové služby (účet 518), pokuty, penále, manká a škody (účtovná skupina 54).</w:t>
      </w:r>
    </w:p>
    <w:p w14:paraId="1C7705FB" w14:textId="094F7870" w:rsidR="008A4FED" w:rsidRPr="00666914" w:rsidRDefault="008A4FED" w:rsidP="001A0D10">
      <w:pPr>
        <w:pBdr>
          <w:bottom w:val="single" w:sz="4" w:space="1" w:color="auto"/>
        </w:pBdr>
        <w:spacing w:before="240" w:after="0"/>
      </w:pPr>
      <w:bookmarkStart w:id="139" w:name="_Toc36547037"/>
      <w:bookmarkStart w:id="140" w:name="_Toc38447678"/>
      <w:r w:rsidRPr="00666914">
        <w:rPr>
          <w:b/>
          <w:sz w:val="20"/>
        </w:rPr>
        <w:t xml:space="preserve">Tabuľka </w:t>
      </w:r>
      <w:r w:rsidRPr="00666914">
        <w:rPr>
          <w:b/>
          <w:noProof/>
          <w:sz w:val="20"/>
        </w:rPr>
        <w:fldChar w:fldCharType="begin"/>
      </w:r>
      <w:r w:rsidRPr="00666914">
        <w:rPr>
          <w:b/>
          <w:noProof/>
          <w:sz w:val="20"/>
        </w:rPr>
        <w:instrText xml:space="preserve"> SEQ Tabuľka \* ARABIC </w:instrText>
      </w:r>
      <w:r w:rsidRPr="00666914">
        <w:rPr>
          <w:b/>
          <w:noProof/>
          <w:sz w:val="20"/>
        </w:rPr>
        <w:fldChar w:fldCharType="separate"/>
      </w:r>
      <w:r w:rsidR="005A7304">
        <w:rPr>
          <w:b/>
          <w:noProof/>
          <w:sz w:val="20"/>
        </w:rPr>
        <w:t>17</w:t>
      </w:r>
      <w:r w:rsidRPr="00666914">
        <w:rPr>
          <w:b/>
          <w:noProof/>
          <w:sz w:val="20"/>
        </w:rPr>
        <w:fldChar w:fldCharType="end"/>
      </w:r>
      <w:r w:rsidRPr="00666914">
        <w:rPr>
          <w:b/>
          <w:sz w:val="20"/>
        </w:rPr>
        <w:t>: Položky ostatných prevádzkových nákladov UN a FN</w:t>
      </w:r>
      <w:bookmarkEnd w:id="139"/>
      <w:bookmarkEnd w:id="140"/>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3658"/>
        <w:gridCol w:w="2810"/>
      </w:tblGrid>
      <w:tr w:rsidR="008A4FED" w:rsidRPr="00666914" w14:paraId="30A84054" w14:textId="77777777" w:rsidTr="001A0D10">
        <w:trPr>
          <w:trHeight w:val="333"/>
          <w:jc w:val="center"/>
        </w:trPr>
        <w:tc>
          <w:tcPr>
            <w:tcW w:w="2694" w:type="dxa"/>
            <w:tcBorders>
              <w:bottom w:val="single" w:sz="4" w:space="0" w:color="auto"/>
              <w:right w:val="single" w:sz="4" w:space="0" w:color="auto"/>
            </w:tcBorders>
            <w:vAlign w:val="center"/>
          </w:tcPr>
          <w:p w14:paraId="1D2D40D5" w14:textId="77777777" w:rsidR="008A4FED" w:rsidRPr="00666914" w:rsidRDefault="008A4FED" w:rsidP="001A0D10">
            <w:pPr>
              <w:spacing w:after="0"/>
              <w:jc w:val="left"/>
              <w:rPr>
                <w:rFonts w:eastAsia="Times New Roman" w:cs="Calibri"/>
                <w:bCs/>
                <w:sz w:val="20"/>
                <w:szCs w:val="20"/>
                <w:lang w:eastAsia="sk-SK"/>
              </w:rPr>
            </w:pPr>
            <w:r w:rsidRPr="00666914">
              <w:rPr>
                <w:rFonts w:eastAsia="Times New Roman" w:cs="Calibri"/>
                <w:bCs/>
                <w:sz w:val="20"/>
                <w:szCs w:val="20"/>
                <w:lang w:eastAsia="sk-SK"/>
              </w:rPr>
              <w:t>Číslo účtu / účtovnej skupiny</w:t>
            </w:r>
          </w:p>
        </w:tc>
        <w:tc>
          <w:tcPr>
            <w:tcW w:w="3656" w:type="dxa"/>
            <w:tcBorders>
              <w:bottom w:val="single" w:sz="4" w:space="0" w:color="auto"/>
              <w:right w:val="single" w:sz="4" w:space="0" w:color="auto"/>
            </w:tcBorders>
            <w:vAlign w:val="center"/>
          </w:tcPr>
          <w:p w14:paraId="6C1CEC44" w14:textId="77777777" w:rsidR="008A4FED" w:rsidRPr="00666914" w:rsidRDefault="008A4FED" w:rsidP="001A0D10">
            <w:pPr>
              <w:spacing w:after="0"/>
              <w:jc w:val="left"/>
              <w:rPr>
                <w:rFonts w:eastAsia="Times New Roman" w:cs="Calibri"/>
                <w:bCs/>
                <w:sz w:val="20"/>
                <w:szCs w:val="20"/>
                <w:lang w:eastAsia="sk-SK"/>
              </w:rPr>
            </w:pPr>
            <w:r w:rsidRPr="00666914">
              <w:rPr>
                <w:rFonts w:eastAsia="Times New Roman" w:cs="Calibri"/>
                <w:bCs/>
                <w:sz w:val="20"/>
                <w:szCs w:val="20"/>
                <w:lang w:eastAsia="sk-SK"/>
              </w:rPr>
              <w:t>Názov účtu / účtovnej skupiny</w:t>
            </w:r>
          </w:p>
        </w:tc>
        <w:tc>
          <w:tcPr>
            <w:tcW w:w="2810" w:type="dxa"/>
            <w:tcBorders>
              <w:left w:val="single" w:sz="4" w:space="0" w:color="auto"/>
              <w:bottom w:val="single" w:sz="4" w:space="0" w:color="auto"/>
            </w:tcBorders>
            <w:vAlign w:val="center"/>
          </w:tcPr>
          <w:p w14:paraId="2CA0D215" w14:textId="77777777" w:rsidR="008A4FED" w:rsidRPr="00666914" w:rsidRDefault="008A4FED" w:rsidP="001A0D10">
            <w:pPr>
              <w:spacing w:after="0"/>
              <w:jc w:val="left"/>
              <w:rPr>
                <w:rFonts w:eastAsia="Times New Roman" w:cs="Calibri"/>
                <w:bCs/>
                <w:sz w:val="20"/>
                <w:szCs w:val="20"/>
                <w:lang w:eastAsia="sk-SK"/>
              </w:rPr>
            </w:pPr>
            <w:r w:rsidRPr="00666914">
              <w:rPr>
                <w:rFonts w:eastAsia="Times New Roman" w:cs="Calibri"/>
                <w:bCs/>
                <w:sz w:val="20"/>
                <w:szCs w:val="20"/>
                <w:lang w:eastAsia="sk-SK"/>
              </w:rPr>
              <w:t>Rast nákladov 2019/2018 (mil. eur)</w:t>
            </w:r>
          </w:p>
        </w:tc>
      </w:tr>
      <w:tr w:rsidR="008A4FED" w:rsidRPr="00666914" w14:paraId="11A0EEA7" w14:textId="77777777" w:rsidTr="00F64B85">
        <w:trPr>
          <w:trHeight w:val="57"/>
          <w:jc w:val="center"/>
        </w:trPr>
        <w:tc>
          <w:tcPr>
            <w:tcW w:w="2694" w:type="dxa"/>
            <w:tcBorders>
              <w:right w:val="single" w:sz="4" w:space="0" w:color="auto"/>
            </w:tcBorders>
          </w:tcPr>
          <w:p w14:paraId="41B8A20B" w14:textId="77777777" w:rsidR="008A4FED" w:rsidRPr="00666914" w:rsidRDefault="008A4FED" w:rsidP="00F64B85">
            <w:pPr>
              <w:jc w:val="left"/>
              <w:rPr>
                <w:rFonts w:eastAsia="Times New Roman" w:cs="Calibri"/>
                <w:bCs/>
                <w:sz w:val="20"/>
                <w:szCs w:val="20"/>
                <w:lang w:eastAsia="sk-SK"/>
              </w:rPr>
            </w:pPr>
            <w:r w:rsidRPr="00666914">
              <w:rPr>
                <w:rFonts w:eastAsia="Times New Roman" w:cs="Calibri"/>
                <w:bCs/>
                <w:sz w:val="20"/>
                <w:szCs w:val="20"/>
                <w:lang w:eastAsia="sk-SK"/>
              </w:rPr>
              <w:t>504</w:t>
            </w:r>
          </w:p>
        </w:tc>
        <w:tc>
          <w:tcPr>
            <w:tcW w:w="3656" w:type="dxa"/>
            <w:tcBorders>
              <w:right w:val="single" w:sz="4" w:space="0" w:color="auto"/>
            </w:tcBorders>
            <w:vAlign w:val="center"/>
          </w:tcPr>
          <w:p w14:paraId="632D5D6E" w14:textId="77777777" w:rsidR="008A4FED" w:rsidRPr="00666914" w:rsidRDefault="008A4FED" w:rsidP="00F64B85">
            <w:pPr>
              <w:jc w:val="left"/>
              <w:rPr>
                <w:rFonts w:eastAsia="Times New Roman" w:cs="Calibri"/>
                <w:bCs/>
                <w:sz w:val="20"/>
                <w:szCs w:val="20"/>
                <w:lang w:eastAsia="sk-SK"/>
              </w:rPr>
            </w:pPr>
            <w:r w:rsidRPr="00666914">
              <w:rPr>
                <w:sz w:val="20"/>
                <w:szCs w:val="20"/>
              </w:rPr>
              <w:t>Predaný tovar</w:t>
            </w:r>
          </w:p>
        </w:tc>
        <w:tc>
          <w:tcPr>
            <w:tcW w:w="2810" w:type="dxa"/>
            <w:tcBorders>
              <w:left w:val="single" w:sz="4" w:space="0" w:color="auto"/>
            </w:tcBorders>
            <w:vAlign w:val="bottom"/>
          </w:tcPr>
          <w:p w14:paraId="5E663234" w14:textId="77777777" w:rsidR="008A4FED" w:rsidRPr="00666914" w:rsidRDefault="008A4FED" w:rsidP="00F64B85">
            <w:pPr>
              <w:jc w:val="center"/>
              <w:rPr>
                <w:rFonts w:eastAsia="Times New Roman" w:cs="Calibri"/>
                <w:bCs/>
                <w:sz w:val="20"/>
                <w:szCs w:val="20"/>
                <w:lang w:eastAsia="sk-SK"/>
              </w:rPr>
            </w:pPr>
            <w:r w:rsidRPr="00666914">
              <w:rPr>
                <w:rFonts w:cs="Calibri"/>
                <w:sz w:val="20"/>
                <w:szCs w:val="20"/>
              </w:rPr>
              <w:t>23,3</w:t>
            </w:r>
          </w:p>
        </w:tc>
      </w:tr>
      <w:tr w:rsidR="008A4FED" w:rsidRPr="00666914" w14:paraId="7C50B58E" w14:textId="77777777" w:rsidTr="00F64B85">
        <w:trPr>
          <w:trHeight w:val="57"/>
          <w:jc w:val="center"/>
        </w:trPr>
        <w:tc>
          <w:tcPr>
            <w:tcW w:w="2694" w:type="dxa"/>
            <w:tcBorders>
              <w:right w:val="single" w:sz="4" w:space="0" w:color="auto"/>
            </w:tcBorders>
          </w:tcPr>
          <w:p w14:paraId="65F03683" w14:textId="77777777" w:rsidR="008A4FED" w:rsidRPr="00666914" w:rsidRDefault="008A4FED" w:rsidP="00F64B85">
            <w:pPr>
              <w:jc w:val="left"/>
              <w:rPr>
                <w:rFonts w:eastAsia="Times New Roman" w:cs="Calibri"/>
                <w:bCs/>
                <w:sz w:val="20"/>
                <w:szCs w:val="20"/>
                <w:lang w:eastAsia="sk-SK"/>
              </w:rPr>
            </w:pPr>
            <w:r w:rsidRPr="00666914">
              <w:rPr>
                <w:rFonts w:eastAsia="Times New Roman" w:cs="Calibri"/>
                <w:bCs/>
                <w:sz w:val="20"/>
                <w:szCs w:val="20"/>
                <w:lang w:eastAsia="sk-SK"/>
              </w:rPr>
              <w:t>512</w:t>
            </w:r>
          </w:p>
        </w:tc>
        <w:tc>
          <w:tcPr>
            <w:tcW w:w="3656" w:type="dxa"/>
            <w:tcBorders>
              <w:right w:val="single" w:sz="4" w:space="0" w:color="auto"/>
            </w:tcBorders>
            <w:vAlign w:val="center"/>
          </w:tcPr>
          <w:p w14:paraId="4B68221F" w14:textId="77777777" w:rsidR="008A4FED" w:rsidRPr="00666914" w:rsidRDefault="008A4FED" w:rsidP="00F64B85">
            <w:pPr>
              <w:jc w:val="left"/>
              <w:rPr>
                <w:rFonts w:eastAsia="Times New Roman" w:cs="Calibri"/>
                <w:bCs/>
                <w:sz w:val="20"/>
                <w:szCs w:val="20"/>
                <w:lang w:eastAsia="sk-SK"/>
              </w:rPr>
            </w:pPr>
            <w:r w:rsidRPr="00666914">
              <w:rPr>
                <w:sz w:val="20"/>
                <w:szCs w:val="20"/>
              </w:rPr>
              <w:t>Cestovné</w:t>
            </w:r>
          </w:p>
        </w:tc>
        <w:tc>
          <w:tcPr>
            <w:tcW w:w="2810" w:type="dxa"/>
            <w:tcBorders>
              <w:left w:val="single" w:sz="4" w:space="0" w:color="auto"/>
            </w:tcBorders>
            <w:vAlign w:val="bottom"/>
          </w:tcPr>
          <w:p w14:paraId="74F1D3A1" w14:textId="77777777" w:rsidR="008A4FED" w:rsidRPr="00666914" w:rsidRDefault="008A4FED" w:rsidP="00F64B85">
            <w:pPr>
              <w:jc w:val="center"/>
              <w:rPr>
                <w:rFonts w:eastAsia="Times New Roman" w:cs="Calibri"/>
                <w:bCs/>
                <w:sz w:val="20"/>
                <w:szCs w:val="20"/>
                <w:lang w:eastAsia="sk-SK"/>
              </w:rPr>
            </w:pPr>
            <w:r w:rsidRPr="00666914">
              <w:rPr>
                <w:rFonts w:cs="Calibri"/>
                <w:sz w:val="20"/>
                <w:szCs w:val="20"/>
              </w:rPr>
              <w:t>0,02</w:t>
            </w:r>
          </w:p>
        </w:tc>
      </w:tr>
      <w:tr w:rsidR="008A4FED" w:rsidRPr="00666914" w14:paraId="32C6B000" w14:textId="77777777" w:rsidTr="00F64B85">
        <w:trPr>
          <w:trHeight w:val="57"/>
          <w:jc w:val="center"/>
        </w:trPr>
        <w:tc>
          <w:tcPr>
            <w:tcW w:w="2694" w:type="dxa"/>
            <w:tcBorders>
              <w:right w:val="single" w:sz="4" w:space="0" w:color="auto"/>
            </w:tcBorders>
          </w:tcPr>
          <w:p w14:paraId="3F520258" w14:textId="77777777" w:rsidR="008A4FED" w:rsidRPr="00666914" w:rsidRDefault="008A4FED" w:rsidP="00F64B85">
            <w:pPr>
              <w:jc w:val="left"/>
              <w:rPr>
                <w:rFonts w:eastAsia="Times New Roman" w:cs="Calibri"/>
                <w:bCs/>
                <w:sz w:val="20"/>
                <w:szCs w:val="20"/>
                <w:lang w:eastAsia="sk-SK"/>
              </w:rPr>
            </w:pPr>
            <w:r w:rsidRPr="00666914">
              <w:rPr>
                <w:rFonts w:eastAsia="Times New Roman" w:cs="Calibri"/>
                <w:bCs/>
                <w:sz w:val="20"/>
                <w:szCs w:val="20"/>
                <w:lang w:eastAsia="sk-SK"/>
              </w:rPr>
              <w:t>513</w:t>
            </w:r>
          </w:p>
        </w:tc>
        <w:tc>
          <w:tcPr>
            <w:tcW w:w="3656" w:type="dxa"/>
            <w:tcBorders>
              <w:right w:val="single" w:sz="4" w:space="0" w:color="auto"/>
            </w:tcBorders>
            <w:vAlign w:val="center"/>
          </w:tcPr>
          <w:p w14:paraId="4830CA40" w14:textId="77777777" w:rsidR="008A4FED" w:rsidRPr="00666914" w:rsidRDefault="008A4FED" w:rsidP="00F64B85">
            <w:pPr>
              <w:jc w:val="left"/>
              <w:rPr>
                <w:rFonts w:eastAsia="Times New Roman" w:cs="Calibri"/>
                <w:bCs/>
                <w:sz w:val="20"/>
                <w:szCs w:val="20"/>
                <w:lang w:eastAsia="sk-SK"/>
              </w:rPr>
            </w:pPr>
            <w:r w:rsidRPr="00666914">
              <w:rPr>
                <w:sz w:val="20"/>
                <w:szCs w:val="20"/>
              </w:rPr>
              <w:t>Náklady na reprezentáciu</w:t>
            </w:r>
          </w:p>
        </w:tc>
        <w:tc>
          <w:tcPr>
            <w:tcW w:w="2810" w:type="dxa"/>
            <w:tcBorders>
              <w:left w:val="single" w:sz="4" w:space="0" w:color="auto"/>
            </w:tcBorders>
            <w:vAlign w:val="bottom"/>
          </w:tcPr>
          <w:p w14:paraId="12CBE2C1" w14:textId="77777777" w:rsidR="008A4FED" w:rsidRPr="00666914" w:rsidRDefault="008A4FED" w:rsidP="00F64B85">
            <w:pPr>
              <w:jc w:val="center"/>
              <w:rPr>
                <w:rFonts w:eastAsia="Times New Roman" w:cs="Calibri"/>
                <w:bCs/>
                <w:sz w:val="20"/>
                <w:szCs w:val="20"/>
                <w:lang w:eastAsia="sk-SK"/>
              </w:rPr>
            </w:pPr>
            <w:r w:rsidRPr="00666914">
              <w:rPr>
                <w:rFonts w:cs="Calibri"/>
                <w:sz w:val="20"/>
                <w:szCs w:val="20"/>
              </w:rPr>
              <w:t>0,01</w:t>
            </w:r>
          </w:p>
        </w:tc>
      </w:tr>
      <w:tr w:rsidR="008A4FED" w:rsidRPr="00666914" w14:paraId="5F31E4BE" w14:textId="77777777" w:rsidTr="00F64B85">
        <w:trPr>
          <w:trHeight w:val="57"/>
          <w:jc w:val="center"/>
        </w:trPr>
        <w:tc>
          <w:tcPr>
            <w:tcW w:w="2694" w:type="dxa"/>
            <w:tcBorders>
              <w:right w:val="single" w:sz="4" w:space="0" w:color="auto"/>
            </w:tcBorders>
          </w:tcPr>
          <w:p w14:paraId="0B5AB816" w14:textId="77777777" w:rsidR="008A4FED" w:rsidRPr="00666914" w:rsidRDefault="008A4FED" w:rsidP="00F64B85">
            <w:pPr>
              <w:jc w:val="left"/>
              <w:rPr>
                <w:rFonts w:eastAsia="Times New Roman" w:cs="Calibri"/>
                <w:bCs/>
                <w:sz w:val="20"/>
                <w:szCs w:val="20"/>
                <w:lang w:eastAsia="sk-SK"/>
              </w:rPr>
            </w:pPr>
            <w:r w:rsidRPr="00666914">
              <w:rPr>
                <w:rFonts w:eastAsia="Times New Roman" w:cs="Calibri"/>
                <w:bCs/>
                <w:sz w:val="20"/>
                <w:szCs w:val="20"/>
                <w:lang w:eastAsia="sk-SK"/>
              </w:rPr>
              <w:t>518</w:t>
            </w:r>
          </w:p>
        </w:tc>
        <w:tc>
          <w:tcPr>
            <w:tcW w:w="3656" w:type="dxa"/>
            <w:tcBorders>
              <w:right w:val="single" w:sz="4" w:space="0" w:color="auto"/>
            </w:tcBorders>
            <w:vAlign w:val="center"/>
          </w:tcPr>
          <w:p w14:paraId="3254CD6E" w14:textId="77777777" w:rsidR="008A4FED" w:rsidRPr="00666914" w:rsidRDefault="008A4FED" w:rsidP="00F64B85">
            <w:pPr>
              <w:jc w:val="left"/>
              <w:rPr>
                <w:rFonts w:eastAsia="Times New Roman" w:cs="Calibri"/>
                <w:bCs/>
                <w:sz w:val="20"/>
                <w:szCs w:val="20"/>
                <w:lang w:eastAsia="sk-SK"/>
              </w:rPr>
            </w:pPr>
            <w:r w:rsidRPr="00666914">
              <w:rPr>
                <w:sz w:val="20"/>
                <w:szCs w:val="20"/>
              </w:rPr>
              <w:t>Ostatné služby</w:t>
            </w:r>
          </w:p>
        </w:tc>
        <w:tc>
          <w:tcPr>
            <w:tcW w:w="2810" w:type="dxa"/>
            <w:tcBorders>
              <w:left w:val="single" w:sz="4" w:space="0" w:color="auto"/>
            </w:tcBorders>
            <w:vAlign w:val="bottom"/>
          </w:tcPr>
          <w:p w14:paraId="7A59B998" w14:textId="77777777" w:rsidR="008A4FED" w:rsidRPr="00666914" w:rsidRDefault="008A4FED" w:rsidP="00F64B85">
            <w:pPr>
              <w:jc w:val="center"/>
              <w:rPr>
                <w:rFonts w:eastAsia="Times New Roman" w:cs="Calibri"/>
                <w:bCs/>
                <w:sz w:val="20"/>
                <w:szCs w:val="20"/>
                <w:lang w:eastAsia="sk-SK"/>
              </w:rPr>
            </w:pPr>
            <w:r w:rsidRPr="00666914">
              <w:rPr>
                <w:rFonts w:cs="Calibri"/>
                <w:sz w:val="20"/>
                <w:szCs w:val="20"/>
              </w:rPr>
              <w:t>1,9</w:t>
            </w:r>
          </w:p>
        </w:tc>
      </w:tr>
      <w:tr w:rsidR="008A4FED" w:rsidRPr="00666914" w14:paraId="2CF54E79" w14:textId="77777777" w:rsidTr="00F64B85">
        <w:trPr>
          <w:trHeight w:val="57"/>
          <w:jc w:val="center"/>
        </w:trPr>
        <w:tc>
          <w:tcPr>
            <w:tcW w:w="2694" w:type="dxa"/>
            <w:tcBorders>
              <w:right w:val="single" w:sz="4" w:space="0" w:color="auto"/>
            </w:tcBorders>
          </w:tcPr>
          <w:p w14:paraId="182135DA" w14:textId="77777777" w:rsidR="008A4FED" w:rsidRPr="00666914" w:rsidRDefault="008A4FED" w:rsidP="00F64B85">
            <w:pPr>
              <w:jc w:val="left"/>
              <w:rPr>
                <w:rFonts w:eastAsia="Times New Roman" w:cs="Calibri"/>
                <w:bCs/>
                <w:sz w:val="20"/>
                <w:szCs w:val="20"/>
                <w:lang w:eastAsia="sk-SK"/>
              </w:rPr>
            </w:pPr>
            <w:r w:rsidRPr="00666914">
              <w:rPr>
                <w:rFonts w:eastAsia="Times New Roman" w:cs="Calibri"/>
                <w:bCs/>
                <w:sz w:val="20"/>
                <w:szCs w:val="20"/>
                <w:lang w:eastAsia="sk-SK"/>
              </w:rPr>
              <w:t>Skupina 53</w:t>
            </w:r>
          </w:p>
        </w:tc>
        <w:tc>
          <w:tcPr>
            <w:tcW w:w="3656" w:type="dxa"/>
            <w:tcBorders>
              <w:right w:val="single" w:sz="4" w:space="0" w:color="auto"/>
            </w:tcBorders>
            <w:vAlign w:val="center"/>
          </w:tcPr>
          <w:p w14:paraId="4D1BA417" w14:textId="77777777" w:rsidR="008A4FED" w:rsidRPr="00666914" w:rsidRDefault="008A4FED" w:rsidP="00F64B85">
            <w:pPr>
              <w:jc w:val="left"/>
              <w:rPr>
                <w:rFonts w:eastAsia="Times New Roman" w:cs="Calibri"/>
                <w:bCs/>
                <w:sz w:val="20"/>
                <w:szCs w:val="20"/>
                <w:lang w:eastAsia="sk-SK"/>
              </w:rPr>
            </w:pPr>
            <w:r w:rsidRPr="00666914">
              <w:rPr>
                <w:sz w:val="20"/>
                <w:szCs w:val="20"/>
              </w:rPr>
              <w:t>Dane a poplatky</w:t>
            </w:r>
          </w:p>
        </w:tc>
        <w:tc>
          <w:tcPr>
            <w:tcW w:w="2810" w:type="dxa"/>
            <w:tcBorders>
              <w:left w:val="single" w:sz="4" w:space="0" w:color="auto"/>
            </w:tcBorders>
            <w:vAlign w:val="bottom"/>
          </w:tcPr>
          <w:p w14:paraId="3872F387" w14:textId="77777777" w:rsidR="008A4FED" w:rsidRPr="00666914" w:rsidRDefault="008A4FED" w:rsidP="00F64B85">
            <w:pPr>
              <w:jc w:val="center"/>
              <w:rPr>
                <w:rFonts w:eastAsia="Times New Roman" w:cs="Calibri"/>
                <w:bCs/>
                <w:sz w:val="20"/>
                <w:szCs w:val="20"/>
                <w:lang w:eastAsia="sk-SK"/>
              </w:rPr>
            </w:pPr>
            <w:r w:rsidRPr="00666914">
              <w:rPr>
                <w:rFonts w:cs="Calibri"/>
                <w:sz w:val="20"/>
                <w:szCs w:val="20"/>
              </w:rPr>
              <w:t>0,3</w:t>
            </w:r>
          </w:p>
        </w:tc>
      </w:tr>
      <w:tr w:rsidR="008A4FED" w:rsidRPr="00666914" w14:paraId="0765A929" w14:textId="77777777" w:rsidTr="00F64B85">
        <w:trPr>
          <w:trHeight w:val="57"/>
          <w:jc w:val="center"/>
        </w:trPr>
        <w:tc>
          <w:tcPr>
            <w:tcW w:w="2694" w:type="dxa"/>
            <w:tcBorders>
              <w:bottom w:val="single" w:sz="4" w:space="0" w:color="auto"/>
              <w:right w:val="single" w:sz="4" w:space="0" w:color="auto"/>
            </w:tcBorders>
          </w:tcPr>
          <w:p w14:paraId="59D035EC" w14:textId="77777777" w:rsidR="008A4FED" w:rsidRPr="00666914" w:rsidRDefault="008A4FED" w:rsidP="00F64B85">
            <w:pPr>
              <w:jc w:val="left"/>
              <w:rPr>
                <w:rFonts w:eastAsia="Times New Roman" w:cs="Calibri"/>
                <w:bCs/>
                <w:sz w:val="20"/>
                <w:szCs w:val="20"/>
                <w:lang w:eastAsia="sk-SK"/>
              </w:rPr>
            </w:pPr>
            <w:r w:rsidRPr="00666914">
              <w:rPr>
                <w:rFonts w:eastAsia="Times New Roman" w:cs="Calibri"/>
                <w:bCs/>
                <w:sz w:val="20"/>
                <w:szCs w:val="20"/>
                <w:lang w:eastAsia="sk-SK"/>
              </w:rPr>
              <w:t>Skupina 54</w:t>
            </w:r>
          </w:p>
        </w:tc>
        <w:tc>
          <w:tcPr>
            <w:tcW w:w="3656" w:type="dxa"/>
            <w:tcBorders>
              <w:bottom w:val="single" w:sz="4" w:space="0" w:color="auto"/>
              <w:right w:val="single" w:sz="4" w:space="0" w:color="auto"/>
            </w:tcBorders>
            <w:vAlign w:val="center"/>
          </w:tcPr>
          <w:p w14:paraId="23B180E4" w14:textId="77777777" w:rsidR="008A4FED" w:rsidRPr="00666914" w:rsidRDefault="008A4FED" w:rsidP="00F64B85">
            <w:pPr>
              <w:jc w:val="left"/>
              <w:rPr>
                <w:rFonts w:eastAsia="Times New Roman" w:cs="Calibri"/>
                <w:bCs/>
                <w:sz w:val="20"/>
                <w:szCs w:val="20"/>
                <w:lang w:eastAsia="sk-SK"/>
              </w:rPr>
            </w:pPr>
            <w:r w:rsidRPr="00666914">
              <w:rPr>
                <w:sz w:val="20"/>
                <w:szCs w:val="20"/>
              </w:rPr>
              <w:t>Ostatné náklady na prevádzkovú činnosť</w:t>
            </w:r>
          </w:p>
        </w:tc>
        <w:tc>
          <w:tcPr>
            <w:tcW w:w="2810" w:type="dxa"/>
            <w:tcBorders>
              <w:left w:val="single" w:sz="4" w:space="0" w:color="auto"/>
              <w:bottom w:val="single" w:sz="4" w:space="0" w:color="auto"/>
            </w:tcBorders>
          </w:tcPr>
          <w:p w14:paraId="6BAA82B7" w14:textId="77777777" w:rsidR="008A4FED" w:rsidRPr="00666914" w:rsidRDefault="008A4FED" w:rsidP="00F64B85">
            <w:pPr>
              <w:jc w:val="center"/>
              <w:rPr>
                <w:rFonts w:cs="Calibri"/>
                <w:color w:val="000000"/>
                <w:sz w:val="20"/>
                <w:szCs w:val="20"/>
              </w:rPr>
            </w:pPr>
            <w:r w:rsidRPr="00666914">
              <w:rPr>
                <w:rFonts w:cs="Calibri"/>
                <w:color w:val="000000"/>
                <w:sz w:val="20"/>
                <w:szCs w:val="20"/>
              </w:rPr>
              <w:t>3,6</w:t>
            </w:r>
          </w:p>
        </w:tc>
      </w:tr>
      <w:tr w:rsidR="008A4FED" w:rsidRPr="00666914" w14:paraId="68758BB5" w14:textId="77777777" w:rsidTr="00F64B85">
        <w:trPr>
          <w:trHeight w:val="57"/>
          <w:jc w:val="center"/>
        </w:trPr>
        <w:tc>
          <w:tcPr>
            <w:tcW w:w="6352" w:type="dxa"/>
            <w:gridSpan w:val="2"/>
            <w:tcBorders>
              <w:top w:val="single" w:sz="4" w:space="0" w:color="auto"/>
              <w:bottom w:val="single" w:sz="4" w:space="0" w:color="auto"/>
              <w:right w:val="single" w:sz="4" w:space="0" w:color="auto"/>
            </w:tcBorders>
          </w:tcPr>
          <w:p w14:paraId="621734FA" w14:textId="77777777" w:rsidR="008A4FED" w:rsidRPr="00666914" w:rsidRDefault="008A4FED" w:rsidP="001A0D10">
            <w:pPr>
              <w:spacing w:after="0"/>
              <w:jc w:val="left"/>
              <w:rPr>
                <w:sz w:val="20"/>
                <w:szCs w:val="20"/>
              </w:rPr>
            </w:pPr>
            <w:r w:rsidRPr="00666914">
              <w:rPr>
                <w:rFonts w:eastAsia="Times New Roman" w:cs="Calibri"/>
                <w:bCs/>
                <w:sz w:val="20"/>
                <w:szCs w:val="20"/>
                <w:lang w:eastAsia="sk-SK"/>
              </w:rPr>
              <w:t>Ostatné prevádzkové náklady SPOLU</w:t>
            </w:r>
          </w:p>
        </w:tc>
        <w:tc>
          <w:tcPr>
            <w:tcW w:w="2810" w:type="dxa"/>
            <w:tcBorders>
              <w:top w:val="single" w:sz="4" w:space="0" w:color="auto"/>
              <w:left w:val="single" w:sz="4" w:space="0" w:color="auto"/>
              <w:bottom w:val="single" w:sz="4" w:space="0" w:color="auto"/>
            </w:tcBorders>
          </w:tcPr>
          <w:p w14:paraId="2F5845AB" w14:textId="77777777" w:rsidR="008A4FED" w:rsidRPr="00666914" w:rsidRDefault="008A4FED" w:rsidP="001A0D10">
            <w:pPr>
              <w:spacing w:after="0"/>
              <w:jc w:val="center"/>
              <w:rPr>
                <w:rFonts w:cs="Calibri"/>
                <w:color w:val="000000"/>
                <w:sz w:val="20"/>
                <w:szCs w:val="20"/>
              </w:rPr>
            </w:pPr>
            <w:r w:rsidRPr="00666914">
              <w:rPr>
                <w:rFonts w:cs="Calibri"/>
                <w:color w:val="000000"/>
                <w:sz w:val="20"/>
                <w:szCs w:val="20"/>
              </w:rPr>
              <w:t>29,2</w:t>
            </w:r>
          </w:p>
        </w:tc>
      </w:tr>
    </w:tbl>
    <w:p w14:paraId="007D8FC0" w14:textId="77777777" w:rsidR="008A4FED" w:rsidRPr="00666914" w:rsidRDefault="008A4FED" w:rsidP="00F64B85">
      <w:pPr>
        <w:spacing w:after="0"/>
        <w:jc w:val="right"/>
        <w:rPr>
          <w:i/>
          <w:sz w:val="18"/>
        </w:rPr>
      </w:pPr>
      <w:r w:rsidRPr="00666914">
        <w:rPr>
          <w:i/>
          <w:sz w:val="18"/>
        </w:rPr>
        <w:t>Zdroj: MZ SR, spracovanie IJ</w:t>
      </w:r>
    </w:p>
    <w:p w14:paraId="6C0068ED" w14:textId="77777777" w:rsidR="008A4FED" w:rsidRPr="00666914" w:rsidRDefault="008A4FED" w:rsidP="004D30E9">
      <w:pPr>
        <w:spacing w:after="0"/>
        <w:rPr>
          <w:color w:val="A6A6A6" w:themeColor="background1" w:themeShade="A6"/>
        </w:rPr>
      </w:pPr>
    </w:p>
    <w:p w14:paraId="66C6446E" w14:textId="77777777" w:rsidR="008A4FED" w:rsidRPr="00666914" w:rsidRDefault="008A4FED" w:rsidP="008A4FED">
      <w:pPr>
        <w:numPr>
          <w:ilvl w:val="0"/>
          <w:numId w:val="28"/>
        </w:numPr>
        <w:contextualSpacing/>
      </w:pPr>
      <w:r w:rsidRPr="00666914">
        <w:rPr>
          <w:b/>
          <w:u w:val="single"/>
        </w:rPr>
        <w:t>Optimalizácia procesov ÚZS</w:t>
      </w:r>
    </w:p>
    <w:p w14:paraId="5F3C30C3" w14:textId="60DDE032" w:rsidR="008F1270" w:rsidRPr="00666914" w:rsidRDefault="008A4FED" w:rsidP="00F64B85">
      <w:pPr>
        <w:spacing w:before="240"/>
      </w:pPr>
      <w:r w:rsidRPr="00666914">
        <w:rPr>
          <w:b/>
        </w:rPr>
        <w:t xml:space="preserve">Osobné náklady rástli v UN a FN každoročne od prijatia Revízie výdavkov na zdravotníctvo I., opatrenie sa tak k 31.12.2019 neplní. Je to aj z dôvodu nesprávne nastavenej cieľovej hodnoty pre plnenie opatrenia, ktoré nezohľadnilo existenciu platového automatu. </w:t>
      </w:r>
      <w:r w:rsidRPr="00666914">
        <w:t>V roku 2019 sa osobné náklady medziročne zvýšili o 75 mil. eur</w:t>
      </w:r>
      <w:r w:rsidRPr="00666914">
        <w:br/>
        <w:t>(14 %). Tempo rastu sa oproti minulému roku zdvojnásobilo. Rast osobných nákladov UN a FN v roku 2019 okrem iného ovplyvnila každoročná valorizácia základnej zložky mzdy v závislosti od priemernej mesačnej mzdy v slovenskom hospodárstve (tzv. platový automat)</w:t>
      </w:r>
      <w:r w:rsidRPr="00666914">
        <w:rPr>
          <w:rStyle w:val="Odkaznapoznmkupodiarou"/>
        </w:rPr>
        <w:footnoteReference w:id="30"/>
      </w:r>
      <w:r w:rsidRPr="00666914">
        <w:t>, zvýšenie koeficientov pre výpočet mzdy nelekárskych zdravotníckych pracovníkov platné od 1/2019</w:t>
      </w:r>
      <w:r w:rsidRPr="00666914">
        <w:rPr>
          <w:rStyle w:val="Odkaznapoznmkupodiarou"/>
        </w:rPr>
        <w:footnoteReference w:id="31"/>
      </w:r>
      <w:r w:rsidRPr="00666914">
        <w:t>, zvýšenie minimálnej mzdy a zákonných príplatkov, počet a štruktúra pracovníkov. Rozdielna miera rastu osobných nákladov naprieč nemocnicami môže byť daná rozdielnou mzdovou politikou, kolektívnou zmluvou, variabilitou odmien, ale tiež odlišnou štruktúrou pracovníkov. V roku 2019 pracovalo v UN a FN o takmer 550 zamestnancov</w:t>
      </w:r>
      <w:r w:rsidRPr="00666914">
        <w:rPr>
          <w:rStyle w:val="Odkaznapoznmkupodiarou"/>
        </w:rPr>
        <w:footnoteReference w:id="32"/>
      </w:r>
      <w:r w:rsidRPr="00666914">
        <w:t xml:space="preserve"> viac – najviac pracovníkov pribudlo v kategórii praktické sestry, sociálne sestry, sestry, pôrodné asistentky (+183) a v kategórii nezdravotnícki pracovníci (+160). Efekt platového automatu, teda rastu priemernej mzdy v slovenskom hospodárstve spred 2 rokov, bol 4,6 %.</w:t>
      </w:r>
    </w:p>
    <w:p w14:paraId="3AEED4C7" w14:textId="77777777" w:rsidR="008F1270" w:rsidRPr="00666914" w:rsidRDefault="008F1270">
      <w:pPr>
        <w:spacing w:after="0"/>
        <w:jc w:val="left"/>
      </w:pPr>
      <w:r w:rsidRPr="00666914">
        <w:br w:type="page"/>
      </w:r>
    </w:p>
    <w:p w14:paraId="23278BE6" w14:textId="4BFFF949" w:rsidR="008A4FED" w:rsidRPr="00666914" w:rsidRDefault="008A4FED" w:rsidP="00F64B85">
      <w:pPr>
        <w:pBdr>
          <w:bottom w:val="single" w:sz="4" w:space="1" w:color="auto"/>
        </w:pBdr>
        <w:spacing w:before="240" w:after="0" w:line="259" w:lineRule="auto"/>
        <w:jc w:val="left"/>
      </w:pPr>
      <w:bookmarkStart w:id="141" w:name="_Toc5636438"/>
      <w:bookmarkStart w:id="142" w:name="_Toc20209175"/>
      <w:bookmarkStart w:id="143" w:name="_Toc36547048"/>
      <w:bookmarkStart w:id="144" w:name="_Toc38390053"/>
      <w:r w:rsidRPr="00666914">
        <w:rPr>
          <w:b/>
          <w:sz w:val="20"/>
        </w:rPr>
        <w:lastRenderedPageBreak/>
        <w:t xml:space="preserve">Graf </w:t>
      </w:r>
      <w:r w:rsidRPr="00666914">
        <w:rPr>
          <w:b/>
          <w:sz w:val="20"/>
        </w:rPr>
        <w:fldChar w:fldCharType="begin"/>
      </w:r>
      <w:r w:rsidRPr="00666914">
        <w:rPr>
          <w:b/>
          <w:sz w:val="20"/>
        </w:rPr>
        <w:instrText xml:space="preserve"> SEQ Graf \* ARABIC \* MERGEFORMAT </w:instrText>
      </w:r>
      <w:r w:rsidRPr="00666914">
        <w:rPr>
          <w:b/>
          <w:sz w:val="20"/>
        </w:rPr>
        <w:fldChar w:fldCharType="separate"/>
      </w:r>
      <w:r w:rsidR="005A7304">
        <w:rPr>
          <w:b/>
          <w:noProof/>
          <w:sz w:val="20"/>
        </w:rPr>
        <w:t>9</w:t>
      </w:r>
      <w:r w:rsidRPr="00666914">
        <w:rPr>
          <w:b/>
          <w:sz w:val="20"/>
        </w:rPr>
        <w:fldChar w:fldCharType="end"/>
      </w:r>
      <w:r w:rsidRPr="00666914">
        <w:rPr>
          <w:b/>
          <w:sz w:val="20"/>
        </w:rPr>
        <w:t xml:space="preserve">: Medziročná zmena výšky osobných nákladov </w:t>
      </w:r>
      <w:bookmarkEnd w:id="141"/>
      <w:r w:rsidRPr="00666914">
        <w:rPr>
          <w:b/>
          <w:sz w:val="20"/>
        </w:rPr>
        <w:t>v UN  a FN (2019 vs. 2018)</w:t>
      </w:r>
      <w:bookmarkEnd w:id="142"/>
      <w:bookmarkEnd w:id="143"/>
      <w:bookmarkEnd w:id="144"/>
    </w:p>
    <w:p w14:paraId="3F2EAEFA" w14:textId="77777777" w:rsidR="008A4FED" w:rsidRPr="00666914" w:rsidRDefault="008A4FED" w:rsidP="00F64B85">
      <w:pPr>
        <w:spacing w:after="0" w:line="259" w:lineRule="auto"/>
        <w:jc w:val="center"/>
        <w:rPr>
          <w:color w:val="A6A6A6" w:themeColor="background1" w:themeShade="A6"/>
        </w:rPr>
      </w:pPr>
      <w:r w:rsidRPr="00666914">
        <w:rPr>
          <w:noProof/>
          <w:lang w:eastAsia="sk-SK"/>
        </w:rPr>
        <w:drawing>
          <wp:inline distT="0" distB="0" distL="0" distR="0" wp14:anchorId="101E21E0" wp14:editId="6B8A7F4D">
            <wp:extent cx="5257800" cy="2697480"/>
            <wp:effectExtent l="0" t="0" r="0" b="7620"/>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CFB7E0A" w14:textId="77777777" w:rsidR="008A4FED" w:rsidRPr="00666914" w:rsidRDefault="008A4FED" w:rsidP="00F64B85">
      <w:pPr>
        <w:pBdr>
          <w:top w:val="single" w:sz="4" w:space="1" w:color="auto"/>
        </w:pBdr>
        <w:spacing w:line="259" w:lineRule="auto"/>
        <w:jc w:val="right"/>
        <w:rPr>
          <w:i/>
          <w:color w:val="A6A6A6" w:themeColor="background1" w:themeShade="A6"/>
        </w:rPr>
      </w:pPr>
      <w:r w:rsidRPr="00666914">
        <w:rPr>
          <w:i/>
          <w:color w:val="A6A6A6" w:themeColor="background1" w:themeShade="A6"/>
          <w:sz w:val="18"/>
        </w:rPr>
        <w:tab/>
      </w:r>
      <w:r w:rsidRPr="00666914">
        <w:rPr>
          <w:i/>
          <w:color w:val="A6A6A6" w:themeColor="background1" w:themeShade="A6"/>
          <w:sz w:val="18"/>
        </w:rPr>
        <w:tab/>
      </w:r>
      <w:r w:rsidRPr="00666914">
        <w:rPr>
          <w:i/>
          <w:color w:val="A6A6A6" w:themeColor="background1" w:themeShade="A6"/>
          <w:sz w:val="18"/>
        </w:rPr>
        <w:tab/>
      </w:r>
      <w:r w:rsidRPr="00666914">
        <w:rPr>
          <w:i/>
          <w:color w:val="A6A6A6" w:themeColor="background1" w:themeShade="A6"/>
          <w:sz w:val="18"/>
        </w:rPr>
        <w:tab/>
      </w:r>
      <w:r w:rsidRPr="00666914">
        <w:rPr>
          <w:i/>
          <w:sz w:val="18"/>
        </w:rPr>
        <w:tab/>
        <w:t>Zdroj: MZ SR, spracovanie IJ</w:t>
      </w:r>
    </w:p>
    <w:p w14:paraId="571F41F0" w14:textId="77777777" w:rsidR="008A4FED" w:rsidRPr="00666914" w:rsidRDefault="008A4FED" w:rsidP="008A4FED">
      <w:pPr>
        <w:numPr>
          <w:ilvl w:val="0"/>
          <w:numId w:val="28"/>
        </w:numPr>
        <w:contextualSpacing/>
      </w:pPr>
      <w:r w:rsidRPr="00666914">
        <w:rPr>
          <w:b/>
          <w:u w:val="single"/>
        </w:rPr>
        <w:t>Optimalizácia nákupu liekov a ŠZM</w:t>
      </w:r>
    </w:p>
    <w:p w14:paraId="65317B36" w14:textId="77777777" w:rsidR="008A4FED" w:rsidRPr="00666914" w:rsidRDefault="008A4FED" w:rsidP="008B70B3">
      <w:pPr>
        <w:spacing w:before="240"/>
      </w:pPr>
      <w:bookmarkStart w:id="145" w:name="_Toc5636440"/>
      <w:r w:rsidRPr="00666914">
        <w:rPr>
          <w:b/>
        </w:rPr>
        <w:t xml:space="preserve">Opatrenie sa k 31.12.2019 neplnilo. </w:t>
      </w:r>
      <w:r w:rsidRPr="00666914">
        <w:t>Náklady na lieky a špeciálny zdravotnícky materiál sa medziročne zvýšili vo všetkých UN a FN okrem položky liekov vo FN TN. Oproti úrovni z roku 2016, kedy bola schválená revízia výdavkov I., sa náklady na lieky a ŠZM v sledovaných nemocniciach zvýšili o 23 %.</w:t>
      </w:r>
    </w:p>
    <w:p w14:paraId="3650BD74" w14:textId="77777777" w:rsidR="008A4FED" w:rsidRPr="00666914" w:rsidRDefault="008A4FED" w:rsidP="00F64B85">
      <w:r w:rsidRPr="00666914">
        <w:t>V roku 2019 nemocnice vynaložili na lieky o 22 mil. eur (21 %) viac ako v roku 2018. Najvýraznejší nárast zaznamenali detské fakultné nemocnice v Košiciach a Banskej Bystrici – za lieky zaplatili takmer 3- resp. 2,5-násobok sumy predošlého roka. Dôvodom boli lieky na muskuloskeletálny systém a tráviaci trakt, najmä liek Spinraza, ktorý bol k 31.12.2019 najdrahším kategorizovaným liekom na Slovensku. Náklady na lieky v nemocniciach sa zvyšujú  aj vplyvom mimoriadne finančne náročnej liečby, aj v dôsledku poklesu centrálne nakupovaných liekov v zdravotných poisťovniach. Spotreba centrálne nakupovaného lieku sa neobjaví vo finančnom účtovníctve nemocnice, pretože liek kupuje priamo ZP a nemocnici je iba dodaný. Keď ZP prestane liek obstarávať centrálne, nákup si zabezpečuje nemocnica a eviduje ho v nákladoch daného obdobia. Lieky typu A/AS následne ZP uhrádza ako pripočítateľnú položku k ambulantným výkonom.</w:t>
      </w:r>
    </w:p>
    <w:p w14:paraId="5280E820" w14:textId="77777777" w:rsidR="008A4FED" w:rsidRPr="00666914" w:rsidRDefault="008A4FED" w:rsidP="00F64B85">
      <w:r w:rsidRPr="00666914">
        <w:t>V roku 2019 rástli náklady na ŠZM vo všetkých UN a FN, v súčte o 12 mil. eur (9 %). Tempo rastu sa oproti roku 2018 (5 %) zvýšilo. Najvýraznejšie, o 2,8 mil. eur, sa táto nákladová položka zvýšila vo FN TN aj vplyvom nového angiologického oddelenia otvoreného v 6/2018.</w:t>
      </w:r>
    </w:p>
    <w:p w14:paraId="61377612" w14:textId="77777777" w:rsidR="008F1270" w:rsidRPr="00666914" w:rsidRDefault="008F1270">
      <w:pPr>
        <w:spacing w:after="0"/>
        <w:jc w:val="left"/>
        <w:rPr>
          <w:b/>
          <w:sz w:val="20"/>
        </w:rPr>
      </w:pPr>
      <w:bookmarkStart w:id="146" w:name="_Toc20209176"/>
      <w:bookmarkStart w:id="147" w:name="_Toc36547049"/>
      <w:r w:rsidRPr="00666914">
        <w:rPr>
          <w:b/>
          <w:sz w:val="20"/>
        </w:rPr>
        <w:br w:type="page"/>
      </w:r>
    </w:p>
    <w:p w14:paraId="1BE8045C" w14:textId="05156CB2" w:rsidR="008A4FED" w:rsidRPr="00666914" w:rsidRDefault="008A4FED" w:rsidP="00F64B85">
      <w:pPr>
        <w:pBdr>
          <w:bottom w:val="single" w:sz="4" w:space="1" w:color="auto"/>
        </w:pBdr>
        <w:spacing w:before="240" w:after="0"/>
      </w:pPr>
      <w:bookmarkStart w:id="148" w:name="_Toc38390054"/>
      <w:r w:rsidRPr="00666914">
        <w:rPr>
          <w:b/>
          <w:sz w:val="20"/>
        </w:rPr>
        <w:lastRenderedPageBreak/>
        <w:t xml:space="preserve">Graf </w:t>
      </w:r>
      <w:r w:rsidRPr="00666914">
        <w:rPr>
          <w:b/>
          <w:sz w:val="20"/>
        </w:rPr>
        <w:fldChar w:fldCharType="begin"/>
      </w:r>
      <w:r w:rsidRPr="00666914">
        <w:rPr>
          <w:b/>
          <w:sz w:val="20"/>
        </w:rPr>
        <w:instrText xml:space="preserve"> SEQ Graf \* ARABIC \* MERGEFORMAT </w:instrText>
      </w:r>
      <w:r w:rsidRPr="00666914">
        <w:rPr>
          <w:b/>
          <w:sz w:val="20"/>
        </w:rPr>
        <w:fldChar w:fldCharType="separate"/>
      </w:r>
      <w:r w:rsidR="005A7304">
        <w:rPr>
          <w:b/>
          <w:noProof/>
          <w:sz w:val="20"/>
        </w:rPr>
        <w:t>10</w:t>
      </w:r>
      <w:r w:rsidRPr="00666914">
        <w:rPr>
          <w:b/>
          <w:sz w:val="20"/>
        </w:rPr>
        <w:fldChar w:fldCharType="end"/>
      </w:r>
      <w:r w:rsidRPr="00666914">
        <w:rPr>
          <w:b/>
          <w:sz w:val="20"/>
        </w:rPr>
        <w:t>: Medziročná zmena nákladov na lieky a ŠZM v UN a FN</w:t>
      </w:r>
      <w:bookmarkEnd w:id="145"/>
      <w:bookmarkEnd w:id="146"/>
      <w:r w:rsidRPr="00666914">
        <w:rPr>
          <w:b/>
          <w:sz w:val="20"/>
        </w:rPr>
        <w:t xml:space="preserve"> (2019 vs. 2018)</w:t>
      </w:r>
      <w:bookmarkEnd w:id="147"/>
      <w:bookmarkEnd w:id="148"/>
    </w:p>
    <w:p w14:paraId="2EFBF505" w14:textId="77777777" w:rsidR="008A4FED" w:rsidRPr="00666914" w:rsidRDefault="008A4FED" w:rsidP="00F64B85">
      <w:pPr>
        <w:spacing w:after="0"/>
        <w:jc w:val="center"/>
      </w:pPr>
      <w:r w:rsidRPr="00666914">
        <w:rPr>
          <w:noProof/>
          <w:lang w:eastAsia="sk-SK"/>
        </w:rPr>
        <w:drawing>
          <wp:inline distT="0" distB="0" distL="0" distR="0" wp14:anchorId="616D6385" wp14:editId="3B429307">
            <wp:extent cx="5600700" cy="2955290"/>
            <wp:effectExtent l="0" t="0" r="0" b="0"/>
            <wp:docPr id="52" name="Graf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2F3921E" w14:textId="77777777" w:rsidR="008A4FED" w:rsidRPr="00666914" w:rsidRDefault="008A4FED" w:rsidP="004D30E9">
      <w:pPr>
        <w:pBdr>
          <w:top w:val="single" w:sz="4" w:space="1" w:color="auto"/>
        </w:pBdr>
        <w:jc w:val="right"/>
        <w:rPr>
          <w:i/>
        </w:rPr>
      </w:pPr>
      <w:r w:rsidRPr="00666914">
        <w:rPr>
          <w:i/>
          <w:sz w:val="18"/>
        </w:rPr>
        <w:t>Zdroj: MZ SR, spracovanie IJ</w:t>
      </w:r>
    </w:p>
    <w:p w14:paraId="25393F73" w14:textId="77777777" w:rsidR="008A4FED" w:rsidRPr="00666914" w:rsidRDefault="008A4FED" w:rsidP="004D30E9">
      <w:pPr>
        <w:spacing w:after="0"/>
        <w:rPr>
          <w:color w:val="A6A6A6" w:themeColor="background1" w:themeShade="A6"/>
        </w:rPr>
      </w:pPr>
    </w:p>
    <w:p w14:paraId="06D1C881" w14:textId="7D120747" w:rsidR="00602134" w:rsidRDefault="008A4FED" w:rsidP="00602134">
      <w:pPr>
        <w:numPr>
          <w:ilvl w:val="0"/>
          <w:numId w:val="28"/>
        </w:numPr>
        <w:contextualSpacing/>
        <w:jc w:val="left"/>
        <w:rPr>
          <w:b/>
          <w:u w:val="single"/>
        </w:rPr>
      </w:pPr>
      <w:r w:rsidRPr="00666914">
        <w:rPr>
          <w:b/>
          <w:u w:val="single"/>
        </w:rPr>
        <w:t>ŠZM - referencovanie kategorizovaného ŠZM</w:t>
      </w:r>
    </w:p>
    <w:p w14:paraId="37AE2A80" w14:textId="77777777" w:rsidR="00602134" w:rsidRPr="00602134" w:rsidRDefault="00602134" w:rsidP="00602134">
      <w:pPr>
        <w:spacing w:after="0"/>
        <w:ind w:left="720"/>
        <w:contextualSpacing/>
        <w:jc w:val="left"/>
        <w:rPr>
          <w:b/>
          <w:u w:val="single"/>
        </w:rPr>
      </w:pPr>
    </w:p>
    <w:p w14:paraId="11CF41CB" w14:textId="77777777" w:rsidR="008A4FED" w:rsidRPr="00666914" w:rsidRDefault="008A4FED" w:rsidP="00602134">
      <w:r w:rsidRPr="00666914">
        <w:t xml:space="preserve">Cieľom opatrenia bolo aplikovať princíp referencovania cien liekov aj na ceny ŠZM, kedy by cena materiálu závisela od priemernej ceny rovnakej položky v zahraničí. Doposiaľ sa ceny ŠZM referencovali iba voči cenám v Českej republike a porovnanie nebolo rozšírené o ďalšie krajiny tak, ako popisovala revízia výdavkov. </w:t>
      </w:r>
      <w:r w:rsidRPr="00666914">
        <w:rPr>
          <w:b/>
        </w:rPr>
        <w:t>Opatrenie sa k 31.12.2019 neplní</w:t>
      </w:r>
      <w:r w:rsidRPr="00666914">
        <w:t>.</w:t>
      </w:r>
    </w:p>
    <w:p w14:paraId="571BB733" w14:textId="77777777" w:rsidR="008A4FED" w:rsidRPr="00666914" w:rsidRDefault="008A4FED" w:rsidP="008B70B3">
      <w:pPr>
        <w:spacing w:before="240"/>
        <w:rPr>
          <w:color w:val="A6A6A6" w:themeColor="background1" w:themeShade="A6"/>
        </w:rPr>
      </w:pPr>
      <w:r w:rsidRPr="00666914">
        <w:t>Na európskej úrovni existuje iniciatíva vybudovania databázy cien medicínskych produktov – EURIPID</w:t>
      </w:r>
      <w:r w:rsidRPr="00666914">
        <w:rPr>
          <w:rStyle w:val="Odkaznapoznmkupodiarou"/>
        </w:rPr>
        <w:footnoteReference w:id="33"/>
      </w:r>
      <w:r w:rsidRPr="00666914">
        <w:t>. Do tejto dobrovoľnej spolupráce je zapojená aj SR. Spolupráca zatiaľ funguje v oblasti liekov, v budúcnosti je cieľom rozšíriť databázu aj o údaje o zdravotníckych pomôckach.</w:t>
      </w:r>
      <w:r w:rsidRPr="00666914">
        <w:rPr>
          <w:color w:val="A6A6A6" w:themeColor="background1" w:themeShade="A6"/>
        </w:rPr>
        <w:t xml:space="preserve"> </w:t>
      </w:r>
    </w:p>
    <w:p w14:paraId="63AAB3F4" w14:textId="77777777" w:rsidR="008A4FED" w:rsidRPr="00666914" w:rsidRDefault="008A4FED" w:rsidP="008A4FED">
      <w:pPr>
        <w:numPr>
          <w:ilvl w:val="0"/>
          <w:numId w:val="28"/>
        </w:numPr>
        <w:contextualSpacing/>
        <w:jc w:val="left"/>
        <w:rPr>
          <w:b/>
          <w:u w:val="single"/>
        </w:rPr>
      </w:pPr>
      <w:r w:rsidRPr="00666914">
        <w:rPr>
          <w:b/>
          <w:u w:val="single"/>
        </w:rPr>
        <w:t>Úprava siete akútnych nemocníc a reprofilizácia nemocníc (stratifikácia siete nemocníc)</w:t>
      </w:r>
    </w:p>
    <w:p w14:paraId="26C67321" w14:textId="77777777" w:rsidR="008A4FED" w:rsidRPr="00666914" w:rsidRDefault="008A4FED" w:rsidP="00F64B85">
      <w:pPr>
        <w:rPr>
          <w:b/>
          <w:color w:val="A6A6A6" w:themeColor="background1" w:themeShade="A6"/>
        </w:rPr>
      </w:pPr>
      <w:r w:rsidRPr="00666914">
        <w:rPr>
          <w:b/>
          <w:bCs/>
          <w:color w:val="A6A6A6" w:themeColor="background1" w:themeShade="A6"/>
        </w:rPr>
        <w:br/>
      </w:r>
      <w:r w:rsidRPr="00666914">
        <w:rPr>
          <w:b/>
          <w:bCs/>
        </w:rPr>
        <w:t>V roku 2019 bol legislatívny proces návrhu stratifikácie zdĺhavý a z hľadiska prijatia zmien neúspešný.</w:t>
      </w:r>
      <w:r w:rsidRPr="00666914">
        <w:rPr>
          <w:bCs/>
        </w:rPr>
        <w:t xml:space="preserve"> Legislatívny návrh bol po 3-ročnej analytickej práci pripravený na konci roka 2018. V priebehu roka 2019 bol návrh predložený do MPK až 3-krát – v apríli ako samostatná reforma nemocníc</w:t>
      </w:r>
      <w:r w:rsidRPr="00666914">
        <w:rPr>
          <w:rStyle w:val="Odkaznapoznmkupodiarou"/>
          <w:bCs/>
        </w:rPr>
        <w:footnoteReference w:id="34"/>
      </w:r>
      <w:r w:rsidRPr="00666914">
        <w:rPr>
          <w:bCs/>
        </w:rPr>
        <w:t>, v júni spolu so zákonom o dlhodobej starostlivosti</w:t>
      </w:r>
      <w:r w:rsidRPr="00666914">
        <w:rPr>
          <w:rStyle w:val="Odkaznapoznmkupodiarou"/>
          <w:bCs/>
        </w:rPr>
        <w:footnoteReference w:id="35"/>
      </w:r>
      <w:r w:rsidRPr="00666914">
        <w:rPr>
          <w:bCs/>
        </w:rPr>
        <w:t xml:space="preserve"> a v auguste ako návrh ústavného zákona</w:t>
      </w:r>
      <w:r w:rsidRPr="00666914">
        <w:rPr>
          <w:rStyle w:val="Odkaznapoznmkupodiarou"/>
          <w:bCs/>
        </w:rPr>
        <w:footnoteReference w:id="36"/>
      </w:r>
      <w:r w:rsidRPr="00666914">
        <w:rPr>
          <w:bCs/>
        </w:rPr>
        <w:t>. Na rokovanie vlády predložila ministerka zdravotníctva materiál ako novelu zákona č. 578/2004 Z. z. o poskytovateľoch zdravotnej starostlivosti, zdravotníckych pracovníkoch, stavovských organizáciách v zdravotníctve, ktorý vláda SR schválila v 9/2019</w:t>
      </w:r>
      <w:r w:rsidRPr="00666914">
        <w:rPr>
          <w:rStyle w:val="Odkaznapoznmkupodiarou"/>
          <w:bCs/>
        </w:rPr>
        <w:footnoteReference w:id="37"/>
      </w:r>
      <w:r w:rsidRPr="00666914">
        <w:rPr>
          <w:bCs/>
        </w:rPr>
        <w:t xml:space="preserve">. V Národnej rade však už prerokovaný nebol z dôvodu stiahnutia zákona predsedom vlády z rokovania NR SR. Z toho dôvodu sa </w:t>
      </w:r>
      <w:r w:rsidRPr="00666914">
        <w:rPr>
          <w:b/>
          <w:bCs/>
        </w:rPr>
        <w:t>opatrenie k 31.12.2019 neplní.</w:t>
      </w:r>
    </w:p>
    <w:p w14:paraId="263B8A83" w14:textId="77777777" w:rsidR="008A4FED" w:rsidRPr="00666914" w:rsidRDefault="008A4FED" w:rsidP="00F64B85">
      <w:pPr>
        <w:spacing w:after="0"/>
        <w:rPr>
          <w:bCs/>
        </w:rPr>
      </w:pPr>
      <w:r w:rsidRPr="00666914">
        <w:rPr>
          <w:b/>
          <w:bCs/>
        </w:rPr>
        <w:t>Cieľom projektu stratifikácie nemocníc je zabezpečiť kvalitnú, dostupnú a efektívnu ústavnú ZS pri očakávaných budúcich potrebách vzhľadom na starnutie populácie.</w:t>
      </w:r>
      <w:r w:rsidRPr="00666914">
        <w:rPr>
          <w:bCs/>
        </w:rPr>
        <w:t xml:space="preserve"> SR bude potrebovať menej lôžok určených na akútnu starostlivosť a naopak viac lôžok na následnú a dlhodobú starostlivosť. Plán stratifikácie stojí na 3 pilieroch </w:t>
      </w:r>
    </w:p>
    <w:p w14:paraId="553D8F0B" w14:textId="77777777" w:rsidR="008A4FED" w:rsidRPr="00666914" w:rsidRDefault="008A4FED" w:rsidP="00312C28">
      <w:pPr>
        <w:pStyle w:val="Odsekzoznamu"/>
        <w:numPr>
          <w:ilvl w:val="0"/>
          <w:numId w:val="32"/>
        </w:numPr>
        <w:rPr>
          <w:bCs/>
        </w:rPr>
      </w:pPr>
      <w:r w:rsidRPr="00666914">
        <w:rPr>
          <w:bCs/>
        </w:rPr>
        <w:t>nová verejná minimálna sieť,</w:t>
      </w:r>
    </w:p>
    <w:p w14:paraId="35A56F77" w14:textId="77777777" w:rsidR="008A4FED" w:rsidRPr="00666914" w:rsidRDefault="008A4FED" w:rsidP="00312C28">
      <w:pPr>
        <w:pStyle w:val="Odsekzoznamu"/>
        <w:numPr>
          <w:ilvl w:val="0"/>
          <w:numId w:val="32"/>
        </w:numPr>
        <w:rPr>
          <w:bCs/>
        </w:rPr>
      </w:pPr>
      <w:r w:rsidRPr="00666914">
        <w:rPr>
          <w:bCs/>
        </w:rPr>
        <w:t>typológia nemocníc, </w:t>
      </w:r>
    </w:p>
    <w:p w14:paraId="26B1F33C" w14:textId="77777777" w:rsidR="008A4FED" w:rsidRPr="00666914" w:rsidRDefault="008A4FED" w:rsidP="00312C28">
      <w:pPr>
        <w:pStyle w:val="Odsekzoznamu"/>
        <w:numPr>
          <w:ilvl w:val="0"/>
          <w:numId w:val="32"/>
        </w:numPr>
        <w:rPr>
          <w:bCs/>
        </w:rPr>
      </w:pPr>
      <w:r w:rsidRPr="00666914">
        <w:rPr>
          <w:bCs/>
        </w:rPr>
        <w:lastRenderedPageBreak/>
        <w:t xml:space="preserve">určenie minimálnych počtov výkonov a čakacích dôb. </w:t>
      </w:r>
    </w:p>
    <w:p w14:paraId="13CD17D2" w14:textId="77777777" w:rsidR="008A4FED" w:rsidRPr="00666914" w:rsidRDefault="008A4FED" w:rsidP="00F64B85">
      <w:pPr>
        <w:rPr>
          <w:bCs/>
        </w:rPr>
      </w:pPr>
      <w:r w:rsidRPr="00666914">
        <w:rPr>
          <w:bCs/>
        </w:rPr>
        <w:t>Nová verejná minimálna sieť zdravotníckych zariadení by mala zvýšiť dostupnosť akútnej ZS zo súčasných 87 % na  90 % obyvateľov, ktorí budú mať  prístup k neodkladnej starostlivosti do 30 min. Po schválení stratifikácie má sieť nemocníc pozostávať z 3 všeobecných typov (lokálna, regionálna, národná) a 3 špeciálnych zariadení (nemocnica následnej starostlivosti, kompetenčné centrá, špecializované nemocnice). V stratifikácii MZ SR špecifikuje, aké výkony a v akom minimálnom počte bude musieť ten ktorý typ nemocnice poskytovať (tzv. EBHR limity) a definuje čakacie lehoty na zákroky. Nemocnice budú môcť poskytovať výkony aj nad rámec tých povinných za predpokladu, že splnia minimálny objem výkonov určený ministerstvom. Dôvodom zavedenia minimálneho počtu výkonov je skutočnosť, že viac výkonov vedie k ich vyššej kvalite. P</w:t>
      </w:r>
      <w:r w:rsidRPr="00666914">
        <w:t xml:space="preserve">re spustenie stratifikácie je už teraz možné pristúpiť k zverejneniu indikátorov kvality a minimálneho počtu zdravotných výkonov a ich plnenia jednotlivými poskytovateľmi zdravotnej starostlivosti. Obdobne sa pristúpilo k implementácii DRG zverejnením tzv. case mix indexov. </w:t>
      </w:r>
    </w:p>
    <w:p w14:paraId="3E1790A8" w14:textId="2B96BFAD" w:rsidR="008A4FED" w:rsidRPr="00666914" w:rsidRDefault="008A4FED" w:rsidP="008A4FED">
      <w:pPr>
        <w:numPr>
          <w:ilvl w:val="0"/>
          <w:numId w:val="28"/>
        </w:numPr>
        <w:spacing w:before="240"/>
        <w:contextualSpacing/>
        <w:jc w:val="left"/>
        <w:rPr>
          <w:b/>
          <w:u w:val="single"/>
        </w:rPr>
      </w:pPr>
      <w:r w:rsidRPr="00666914">
        <w:rPr>
          <w:b/>
          <w:u w:val="single"/>
        </w:rPr>
        <w:t>Zavedenie štandardných diagnostických a terapeutických postupov</w:t>
      </w:r>
    </w:p>
    <w:p w14:paraId="51440C3D" w14:textId="77777777" w:rsidR="008F1270" w:rsidRPr="00666914" w:rsidRDefault="008F1270" w:rsidP="00602134">
      <w:pPr>
        <w:spacing w:before="240" w:after="0"/>
        <w:ind w:left="720"/>
        <w:contextualSpacing/>
        <w:jc w:val="left"/>
        <w:rPr>
          <w:b/>
          <w:u w:val="single"/>
        </w:rPr>
      </w:pPr>
    </w:p>
    <w:p w14:paraId="29154DCE" w14:textId="77777777" w:rsidR="008A4FED" w:rsidRPr="00666914" w:rsidRDefault="008A4FED" w:rsidP="00602134">
      <w:pPr>
        <w:rPr>
          <w:rFonts w:ascii="Calibri" w:hAnsi="Calibri"/>
        </w:rPr>
      </w:pPr>
      <w:r w:rsidRPr="00666914">
        <w:rPr>
          <w:b/>
        </w:rPr>
        <w:t>Opatrenie sa k 31.12.2019 plní čiastočne</w:t>
      </w:r>
      <w:r w:rsidRPr="00666914">
        <w:t xml:space="preserve">. Príprava štandardných diagnostických a terapeutických postupov (ŠDTP) prebieha na základe realizácie národného projektu </w:t>
      </w:r>
      <w:r w:rsidRPr="00666914">
        <w:rPr>
          <w:i/>
        </w:rPr>
        <w:t>Tvorba nových a inovovaných štandardných klinických postupov a ich zavedenie do medicínskej praxe</w:t>
      </w:r>
      <w:r w:rsidRPr="00666914">
        <w:rPr>
          <w:rStyle w:val="Odkaznapoznmkupodiarou"/>
        </w:rPr>
        <w:footnoteReference w:id="38"/>
      </w:r>
      <w:r w:rsidRPr="00666914">
        <w:t xml:space="preserve"> od roku 2017. Prvé štandardy boli schválené na konci roka 2018. K 31.12.2019 bolo ministerstvom schválených 171 jednotlivých štandardov z vyše 20 oblastí</w:t>
      </w:r>
      <w:r w:rsidRPr="00666914">
        <w:rPr>
          <w:rStyle w:val="Odkaznapoznmkupodiarou"/>
        </w:rPr>
        <w:footnoteReference w:id="39"/>
      </w:r>
      <w:r w:rsidRPr="00666914">
        <w:t>, prebehlo tiež 5 revízií už existujúcich postupov. Najviac jednotlivých postupov platných k januáru 2020 je v oblasti nukleárnej medicíny (56), počítačovej tomografie (34) a psychiatrie (22).</w:t>
      </w:r>
    </w:p>
    <w:p w14:paraId="3156AA55" w14:textId="77777777" w:rsidR="008A4FED" w:rsidRPr="00666914" w:rsidRDefault="008A4FED" w:rsidP="00F64B85">
      <w:pPr>
        <w:spacing w:before="240"/>
      </w:pPr>
      <w:r w:rsidRPr="00666914">
        <w:t>Štandardné postupy reflektujú aktuálne poznatky medicíny založenej na dôkazoch a upravujú jednotlivé činnosti poskytovania ZS tak, aby bola zabezpečená dostupnosť k rovnako kvalitnej a účinnej starostlivosti. ŠDTP sú určené primárne pre zdravotníckych pracovníkov a PZS, avšak ich uplatnenie má dopad na pacientov, zdroje a systém ZS ako taký. ŠDTP popisujú cestu pacienta systémom tak, aby bola medicínsky správna a tiež efektívna.</w:t>
      </w:r>
    </w:p>
    <w:p w14:paraId="64D15831" w14:textId="77777777" w:rsidR="008A4FED" w:rsidRPr="00666914" w:rsidRDefault="008A4FED" w:rsidP="008B70B3">
      <w:pPr>
        <w:spacing w:before="240"/>
      </w:pPr>
      <w:r w:rsidRPr="00666914">
        <w:t>Na tvorbe ŠDTP sa podieľajú odborné pracovné skupiny. Nimi pripravené štandardy v prvom kroku posudzuje Komisia MZ SR pre ŠDTP. Finálnemu schváleniu a podpisu ministra predchádza ešte splnenie viacerých čiastkových úloh umožňujúcich reálnu implementáciu štandardného postupu – stanoviská kategorizačnej komisie a iných komisií MZ SR, odobrenie od ZP, stretnutia s profesijnými spoločnosťami, zabezpečenie legislatívnych úprav, MTZ a finančného krytia. Naplnenie týchto podmienok je časovo náročné, čo dokazuje aj časové rozpätie medzi termínom predloženia klinických postupov na Komisiu MZ SR pre ŠDTP a termínom účinnosti schválenia ministrom.</w:t>
      </w:r>
    </w:p>
    <w:p w14:paraId="4E313D6C" w14:textId="301AC133" w:rsidR="008A4FED" w:rsidRPr="00666914" w:rsidRDefault="008A4FED" w:rsidP="008A4FED">
      <w:pPr>
        <w:numPr>
          <w:ilvl w:val="0"/>
          <w:numId w:val="28"/>
        </w:numPr>
        <w:spacing w:before="240"/>
        <w:contextualSpacing/>
        <w:jc w:val="left"/>
        <w:rPr>
          <w:b/>
          <w:u w:val="single"/>
        </w:rPr>
      </w:pPr>
      <w:r w:rsidRPr="00666914">
        <w:rPr>
          <w:b/>
          <w:u w:val="single"/>
        </w:rPr>
        <w:t>Elektronizácia zdravotnej dokumentácie a elektronická dokumentácia preskripcie</w:t>
      </w:r>
    </w:p>
    <w:p w14:paraId="0D7281AB" w14:textId="77777777" w:rsidR="008F1270" w:rsidRPr="00666914" w:rsidRDefault="008F1270" w:rsidP="00B72556">
      <w:pPr>
        <w:spacing w:before="240" w:after="0"/>
        <w:ind w:left="720"/>
        <w:contextualSpacing/>
        <w:jc w:val="left"/>
        <w:rPr>
          <w:b/>
          <w:u w:val="single"/>
        </w:rPr>
      </w:pPr>
    </w:p>
    <w:p w14:paraId="520E281B" w14:textId="77777777" w:rsidR="008A4FED" w:rsidRPr="00666914" w:rsidRDefault="008A4FED" w:rsidP="00B72556">
      <w:bookmarkStart w:id="149" w:name="_Toc5614174"/>
      <w:r w:rsidRPr="00666914">
        <w:rPr>
          <w:b/>
        </w:rPr>
        <w:t>Opatrenie sa k 31.12.2019 plní čiastočne.</w:t>
      </w:r>
      <w:r w:rsidRPr="00666914">
        <w:t xml:space="preserve"> Ostrá prevádzka elektronického zdravotníctva sa začala v roku 2018. Od 1/2019 boli PZS povinní pripojiť sa do eZdravia pod hrozbou sankcie. Táto skutočnosť sa premietla do zvýšeného počtu pripojených pracovísk a využívania funkcií elektronického zdravotníctva. K 31.12.2019 bolo pripojených 98 % pracovísk ambulantnej ZS a 86 % pracovísk ústavnej ZS pričom nemocnice boli pripojené v plnej miere. Počet elektronických záznamov sa oproti roku 2018 takmer zdvojnásobil. Podobne sa zvýšilo aj využívanie elektronickej preskripcie. V roku 2019 bolo predpísaných o 40 % elektronických receptov viac než v predošlom roku. Funkcia eRecept napriek tomu nie je využívaná v plnom potenciáli – chýbajúca lieková databáza neumožňuje kontrolovať kontraindikácie a interakcie liekov pacienta.</w:t>
      </w:r>
    </w:p>
    <w:p w14:paraId="2E89E156" w14:textId="02BED631" w:rsidR="008A4FED" w:rsidRPr="00666914" w:rsidRDefault="008A4FED" w:rsidP="00BA7368">
      <w:r w:rsidRPr="00666914">
        <w:t xml:space="preserve">Ku koncu roka 2019 poskytovalo eZdravie 6 funkcií – elektronickú zdravotnú knižku, pacientsky sumár, eRecept, eVyšetrenie, eObjednanie a pripojenie do systému pre zdravotníckeho pracovníka a pre pacienta. Z pohľadu pacientov bolo využitie služieb elektronického zdravotníctva k 12/2019 nízke. K 31.12.2019 sa do elektronickej </w:t>
      </w:r>
      <w:r w:rsidRPr="00666914">
        <w:lastRenderedPageBreak/>
        <w:t>zdravotnej knižky aspoň raz prihlásili iba necelé 3 % občanov s vydaným eID s aktivovaným elektronickým podpisom. Zanedbateľné využitie má tiež funkcia eObjednanie – v roku 2019 ju využilo iba 8 PZS. Pripravovaná funkcia eLab umožňujúca zápis výsledkov z laboratórnych vyšetrení nebola k 31.12.2019 plne spustená. NCZI vypísalo verejnú súťaž</w:t>
      </w:r>
      <w:r w:rsidRPr="00666914">
        <w:rPr>
          <w:rStyle w:val="Odkaznapoznmkupodiarou"/>
        </w:rPr>
        <w:footnoteReference w:id="40"/>
      </w:r>
      <w:r w:rsidRPr="00666914">
        <w:t xml:space="preserve"> na dodávateľa komunikačného modulu eLab v 1/2020. Modul má zabezpečiť rozhranie pre komunikáciu s poskytovateľmi laboratórnej diagnostiky, ZP a ostatnými subjektmi. Cieľom modulu je nahrávanie výsledkov laboratórnych vyšetrení priamo do eZdravia, zavedenie medzinárodného číselníka LOINC, lepšie kontrolné mechanizmy, minimalizácia duplicitných výkonov a štandardizácia žiadaniek. </w:t>
      </w:r>
    </w:p>
    <w:bookmarkEnd w:id="149"/>
    <w:p w14:paraId="7A966300" w14:textId="77777777" w:rsidR="008A4FED" w:rsidRPr="00666914" w:rsidRDefault="008A4FED" w:rsidP="008A4FED">
      <w:pPr>
        <w:numPr>
          <w:ilvl w:val="0"/>
          <w:numId w:val="28"/>
        </w:numPr>
        <w:contextualSpacing/>
        <w:rPr>
          <w:b/>
          <w:u w:val="single"/>
        </w:rPr>
      </w:pPr>
      <w:r w:rsidRPr="00666914">
        <w:rPr>
          <w:b/>
          <w:u w:val="single"/>
        </w:rPr>
        <w:t xml:space="preserve">Zavedenie prehľadných pravidiel pri platbách pacientov </w:t>
      </w:r>
    </w:p>
    <w:p w14:paraId="000F8231" w14:textId="7402DBA6" w:rsidR="008A4FED" w:rsidRPr="00666914" w:rsidRDefault="008A4FED" w:rsidP="00BA7368">
      <w:r w:rsidRPr="00666914">
        <w:rPr>
          <w:b/>
        </w:rPr>
        <w:br/>
        <w:t>Opatrenie sa k 31.12.2019 neplnilo. Na pretrvávajúci problém neprehľadných platieb pacientov v 10/2019 poukázala aj revízia výdavkov II.</w:t>
      </w:r>
      <w:r w:rsidRPr="00666914">
        <w:t xml:space="preserve"> Priame platby pacientov sú v zdravotníckych systémoch jedným zo štandardných zdrojov financovania. Dôležitá je však transparentnosť a správne nastavenie, aby priame platby nemali negatívny dopad na zdravie a dostupnosť ZS zvlášť pre ekonomicky slabších obyvateľov.</w:t>
      </w:r>
    </w:p>
    <w:p w14:paraId="6E02475F" w14:textId="77777777" w:rsidR="008A4FED" w:rsidRPr="00666914" w:rsidRDefault="008A4FED" w:rsidP="008A4FED">
      <w:pPr>
        <w:numPr>
          <w:ilvl w:val="0"/>
          <w:numId w:val="28"/>
        </w:numPr>
        <w:contextualSpacing/>
        <w:jc w:val="left"/>
        <w:rPr>
          <w:b/>
          <w:u w:val="single"/>
        </w:rPr>
      </w:pPr>
      <w:r w:rsidRPr="00666914">
        <w:rPr>
          <w:b/>
          <w:u w:val="single"/>
        </w:rPr>
        <w:t>Zavedenie</w:t>
      </w:r>
      <w:r w:rsidRPr="00666914">
        <w:rPr>
          <w:u w:val="single"/>
        </w:rPr>
        <w:t xml:space="preserve"> </w:t>
      </w:r>
      <w:r w:rsidRPr="00666914">
        <w:rPr>
          <w:b/>
          <w:u w:val="single"/>
        </w:rPr>
        <w:t>a sfunkčnenie systému DRG</w:t>
      </w:r>
    </w:p>
    <w:p w14:paraId="687902D8" w14:textId="4EF2E438" w:rsidR="00940160" w:rsidRPr="00666914" w:rsidRDefault="008A4FED" w:rsidP="00564592">
      <w:r w:rsidRPr="00666914">
        <w:rPr>
          <w:b/>
          <w:bCs/>
        </w:rPr>
        <w:br/>
      </w:r>
      <w:r w:rsidRPr="00666914">
        <w:rPr>
          <w:b/>
        </w:rPr>
        <w:t xml:space="preserve">Opatrenie sa k 31.12.2019 plnilo čiastočne. </w:t>
      </w:r>
      <w:r w:rsidRPr="00666914">
        <w:t xml:space="preserve">Proces zavádzania systému DRG na Slovensku bol spustený v roku 2017, odkedy nemocnice postupne uzatvárali zmluvy so ZP pre formálne potvrdenie záväznosti prechodu na DRG. Zoznam nemocníc zapojených do mechanizmu DRG k 31.12.2019 je uvedený v prílohe 1. DRG systém v súčasnosti ešte neslúži ako úhradový mechanizmus, ale ako systém vykazovania poskytnutej ZS nemocnicami. Podmienkou uhrádzania hospitalizačných prípadov prostredníctvom DRG je stanovenie základných sadzieb a relatívnych (efektívnych) váh. Relatívne váhy vyjadrujú nákladovú náročnosť </w:t>
      </w:r>
      <w:r w:rsidR="001A0EB7" w:rsidRPr="00666914">
        <w:t xml:space="preserve">prípadov príslušných </w:t>
      </w:r>
      <w:r w:rsidRPr="00666914">
        <w:t>DRG skupín. Pre stanovenie parametrov každej DRG skupiny je kľúčové dostatočné množstvo reálnych prípadov s vykalkulovanými nákladmi. V roku 2019 nemocnice prvýkrát vykazovali údaje za rok 2018. Kvalita a rozsah vykazovaných dát sú však nedostatočné – z 86 nemocníc zapojených do DRG vykázalo údaje iba 36 subjektov, čo neumožňuje aktualizovať relatívne váhy. Z toho dôvodu Centrum pre klasifikačný systém  pristúpilo k spomaleniu konvergencie základných sadzieb. Podľa novej metodiky</w:t>
      </w:r>
      <w:r w:rsidRPr="00666914">
        <w:rPr>
          <w:rStyle w:val="Odkaznapoznmkupodiarou"/>
        </w:rPr>
        <w:footnoteReference w:id="41"/>
      </w:r>
      <w:r w:rsidRPr="00666914">
        <w:t xml:space="preserve"> dôjde k zjednoteniu základnej sadzby na celom území SR v roku 2024, teda o 2 roky neskôr oproti metodike z roku 2017. V 2H2019 tiež riadiaci výbor prvýkrát pristúpil k valorizácii základných sadzieb, pri ktorých zohľadnil legislatívne dopady roku 2020.</w:t>
      </w:r>
    </w:p>
    <w:p w14:paraId="572A0DD6" w14:textId="77777777" w:rsidR="00940160" w:rsidRPr="00666914" w:rsidRDefault="00940160">
      <w:pPr>
        <w:spacing w:after="0"/>
        <w:jc w:val="left"/>
      </w:pPr>
      <w:r w:rsidRPr="00666914">
        <w:br w:type="page"/>
      </w:r>
    </w:p>
    <w:p w14:paraId="0E46BBDF" w14:textId="77777777" w:rsidR="008A4FED" w:rsidRPr="00666914" w:rsidRDefault="008A4FED" w:rsidP="009F4910">
      <w:pPr>
        <w:pStyle w:val="Nadpis2"/>
      </w:pPr>
      <w:bookmarkStart w:id="150" w:name="_Toc509875031"/>
      <w:bookmarkStart w:id="151" w:name="_Toc517698238"/>
      <w:bookmarkStart w:id="152" w:name="_Toc523924386"/>
      <w:bookmarkStart w:id="153" w:name="_Toc5865313"/>
      <w:bookmarkStart w:id="154" w:name="_Toc20104675"/>
      <w:bookmarkStart w:id="155" w:name="_Toc20209246"/>
      <w:bookmarkStart w:id="156" w:name="_Toc36547014"/>
      <w:bookmarkStart w:id="157" w:name="_Toc38447585"/>
      <w:r w:rsidRPr="00666914">
        <w:lastRenderedPageBreak/>
        <w:t>D</w:t>
      </w:r>
      <w:bookmarkEnd w:id="150"/>
      <w:bookmarkEnd w:id="151"/>
      <w:bookmarkEnd w:id="152"/>
      <w:bookmarkEnd w:id="153"/>
      <w:r w:rsidRPr="00666914">
        <w:t>áta a procesy</w:t>
      </w:r>
      <w:bookmarkEnd w:id="154"/>
      <w:bookmarkEnd w:id="155"/>
      <w:bookmarkEnd w:id="156"/>
      <w:bookmarkEnd w:id="1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
        <w:gridCol w:w="706"/>
        <w:gridCol w:w="2297"/>
        <w:gridCol w:w="1427"/>
        <w:gridCol w:w="1058"/>
        <w:gridCol w:w="1373"/>
        <w:gridCol w:w="505"/>
        <w:gridCol w:w="505"/>
        <w:gridCol w:w="505"/>
        <w:gridCol w:w="505"/>
      </w:tblGrid>
      <w:tr w:rsidR="008A4FED" w:rsidRPr="00666914" w14:paraId="5356B929" w14:textId="77777777" w:rsidTr="008B70B3">
        <w:trPr>
          <w:trHeight w:val="495"/>
        </w:trPr>
        <w:tc>
          <w:tcPr>
            <w:tcW w:w="175" w:type="pct"/>
            <w:shd w:val="clear" w:color="auto" w:fill="auto"/>
            <w:noWrap/>
            <w:vAlign w:val="center"/>
            <w:hideMark/>
          </w:tcPr>
          <w:p w14:paraId="4AA218E0" w14:textId="77777777" w:rsidR="008A4FED" w:rsidRPr="00666914" w:rsidRDefault="008A4FED" w:rsidP="004D30E9">
            <w:pPr>
              <w:spacing w:after="0"/>
              <w:jc w:val="left"/>
              <w:rPr>
                <w:rFonts w:eastAsia="Times New Roman"/>
                <w:b/>
                <w:bCs/>
                <w:color w:val="000000"/>
                <w:sz w:val="24"/>
                <w:szCs w:val="24"/>
                <w:lang w:eastAsia="sk-SK"/>
              </w:rPr>
            </w:pPr>
            <w:r w:rsidRPr="00666914">
              <w:rPr>
                <w:rFonts w:eastAsia="Times New Roman"/>
                <w:b/>
                <w:bCs/>
                <w:color w:val="000000"/>
                <w:sz w:val="24"/>
                <w:szCs w:val="24"/>
                <w:lang w:eastAsia="sk-SK"/>
              </w:rPr>
              <w:t> </w:t>
            </w:r>
          </w:p>
        </w:tc>
        <w:tc>
          <w:tcPr>
            <w:tcW w:w="384" w:type="pct"/>
            <w:vAlign w:val="center"/>
          </w:tcPr>
          <w:p w14:paraId="47A1326D" w14:textId="77777777" w:rsidR="008A4FED" w:rsidRPr="00666914" w:rsidRDefault="008A4FED" w:rsidP="004D30E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Revízia</w:t>
            </w:r>
          </w:p>
        </w:tc>
        <w:tc>
          <w:tcPr>
            <w:tcW w:w="1248" w:type="pct"/>
            <w:shd w:val="clear" w:color="auto" w:fill="auto"/>
            <w:noWrap/>
            <w:vAlign w:val="center"/>
            <w:hideMark/>
          </w:tcPr>
          <w:p w14:paraId="0E184C67" w14:textId="77777777" w:rsidR="008A4FED" w:rsidRPr="00666914" w:rsidRDefault="008A4FED" w:rsidP="004D30E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Opatrenie</w:t>
            </w:r>
          </w:p>
        </w:tc>
        <w:tc>
          <w:tcPr>
            <w:tcW w:w="775" w:type="pct"/>
            <w:shd w:val="clear" w:color="auto" w:fill="auto"/>
            <w:noWrap/>
            <w:vAlign w:val="center"/>
            <w:hideMark/>
          </w:tcPr>
          <w:p w14:paraId="5537C5DC"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Zodpovednosť</w:t>
            </w:r>
          </w:p>
        </w:tc>
        <w:tc>
          <w:tcPr>
            <w:tcW w:w="575" w:type="pct"/>
            <w:shd w:val="clear" w:color="auto" w:fill="auto"/>
            <w:noWrap/>
            <w:vAlign w:val="center"/>
            <w:hideMark/>
          </w:tcPr>
          <w:p w14:paraId="57AE7CD6"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Pôvodný</w:t>
            </w:r>
          </w:p>
          <w:p w14:paraId="5BF7F781"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termín</w:t>
            </w:r>
          </w:p>
        </w:tc>
        <w:tc>
          <w:tcPr>
            <w:tcW w:w="746" w:type="pct"/>
            <w:vAlign w:val="center"/>
          </w:tcPr>
          <w:p w14:paraId="52DF00EE" w14:textId="77777777" w:rsidR="008A4FED" w:rsidRPr="00666914" w:rsidRDefault="008A4FED" w:rsidP="004D30E9">
            <w:pPr>
              <w:spacing w:after="0"/>
              <w:jc w:val="center"/>
              <w:rPr>
                <w:rFonts w:eastAsia="Times New Roman"/>
                <w:b/>
                <w:bCs/>
                <w:color w:val="000000"/>
                <w:sz w:val="20"/>
                <w:szCs w:val="20"/>
                <w:highlight w:val="yellow"/>
                <w:lang w:eastAsia="sk-SK"/>
              </w:rPr>
            </w:pPr>
            <w:r w:rsidRPr="00666914">
              <w:rPr>
                <w:rFonts w:eastAsia="Times New Roman"/>
                <w:b/>
                <w:bCs/>
                <w:color w:val="000000"/>
                <w:sz w:val="20"/>
                <w:szCs w:val="20"/>
                <w:lang w:eastAsia="sk-SK"/>
              </w:rPr>
              <w:t>Nový termín</w:t>
            </w:r>
          </w:p>
        </w:tc>
        <w:tc>
          <w:tcPr>
            <w:tcW w:w="274" w:type="pct"/>
            <w:shd w:val="clear" w:color="auto" w:fill="auto"/>
            <w:noWrap/>
            <w:vAlign w:val="center"/>
            <w:hideMark/>
          </w:tcPr>
          <w:p w14:paraId="503387F9"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1Q</w:t>
            </w:r>
          </w:p>
          <w:p w14:paraId="63F4294E"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2019</w:t>
            </w:r>
          </w:p>
        </w:tc>
        <w:tc>
          <w:tcPr>
            <w:tcW w:w="274" w:type="pct"/>
            <w:shd w:val="clear" w:color="auto" w:fill="auto"/>
            <w:noWrap/>
            <w:vAlign w:val="center"/>
            <w:hideMark/>
          </w:tcPr>
          <w:p w14:paraId="28E18AFA"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2Q</w:t>
            </w:r>
          </w:p>
          <w:p w14:paraId="6F9D5309"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2019</w:t>
            </w:r>
          </w:p>
        </w:tc>
        <w:tc>
          <w:tcPr>
            <w:tcW w:w="274" w:type="pct"/>
            <w:shd w:val="clear" w:color="auto" w:fill="auto"/>
            <w:noWrap/>
            <w:vAlign w:val="center"/>
            <w:hideMark/>
          </w:tcPr>
          <w:p w14:paraId="018785A5"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3Q</w:t>
            </w:r>
          </w:p>
          <w:p w14:paraId="471ECAB5"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2019</w:t>
            </w:r>
          </w:p>
        </w:tc>
        <w:tc>
          <w:tcPr>
            <w:tcW w:w="274" w:type="pct"/>
            <w:shd w:val="clear" w:color="auto" w:fill="auto"/>
            <w:noWrap/>
            <w:vAlign w:val="center"/>
            <w:hideMark/>
          </w:tcPr>
          <w:p w14:paraId="03534B57"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4Q</w:t>
            </w:r>
          </w:p>
          <w:p w14:paraId="2D7DEF6B" w14:textId="77777777" w:rsidR="008A4FED" w:rsidRPr="00666914" w:rsidRDefault="008A4FED" w:rsidP="004D30E9">
            <w:pPr>
              <w:spacing w:after="0"/>
              <w:ind w:left="-254" w:firstLine="254"/>
              <w:jc w:val="center"/>
              <w:rPr>
                <w:rFonts w:eastAsia="Times New Roman"/>
                <w:b/>
                <w:bCs/>
                <w:color w:val="000000"/>
                <w:sz w:val="20"/>
                <w:szCs w:val="20"/>
                <w:lang w:eastAsia="sk-SK"/>
              </w:rPr>
            </w:pPr>
            <w:r w:rsidRPr="00666914">
              <w:rPr>
                <w:rFonts w:eastAsia="Times New Roman"/>
                <w:b/>
                <w:bCs/>
                <w:color w:val="000000"/>
                <w:sz w:val="20"/>
                <w:szCs w:val="20"/>
                <w:lang w:eastAsia="sk-SK"/>
              </w:rPr>
              <w:t>2019</w:t>
            </w:r>
          </w:p>
        </w:tc>
      </w:tr>
      <w:tr w:rsidR="008A4FED" w:rsidRPr="00666914" w14:paraId="1E141223" w14:textId="77777777" w:rsidTr="00F64B85">
        <w:trPr>
          <w:trHeight w:val="615"/>
        </w:trPr>
        <w:tc>
          <w:tcPr>
            <w:tcW w:w="175" w:type="pct"/>
            <w:shd w:val="clear" w:color="auto" w:fill="auto"/>
            <w:vAlign w:val="center"/>
            <w:hideMark/>
          </w:tcPr>
          <w:p w14:paraId="410A29D8" w14:textId="77777777" w:rsidR="008A4FED" w:rsidRPr="00666914" w:rsidRDefault="008A4FED" w:rsidP="004D30E9">
            <w:pPr>
              <w:spacing w:after="0"/>
              <w:jc w:val="center"/>
              <w:rPr>
                <w:rFonts w:eastAsia="Times New Roman"/>
                <w:bCs/>
                <w:color w:val="000000"/>
                <w:sz w:val="20"/>
                <w:szCs w:val="20"/>
                <w:lang w:eastAsia="sk-SK"/>
              </w:rPr>
            </w:pPr>
            <w:r w:rsidRPr="00666914">
              <w:rPr>
                <w:rFonts w:eastAsia="Times New Roman"/>
                <w:color w:val="000000"/>
                <w:sz w:val="20"/>
                <w:szCs w:val="20"/>
                <w:lang w:eastAsia="sk-SK"/>
              </w:rPr>
              <w:t>24</w:t>
            </w:r>
          </w:p>
        </w:tc>
        <w:tc>
          <w:tcPr>
            <w:tcW w:w="384" w:type="pct"/>
            <w:vAlign w:val="center"/>
          </w:tcPr>
          <w:p w14:paraId="3DF4160A"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248" w:type="pct"/>
            <w:shd w:val="clear" w:color="auto" w:fill="auto"/>
            <w:vAlign w:val="center"/>
            <w:hideMark/>
          </w:tcPr>
          <w:p w14:paraId="57FE5DEA"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Úprava vykazovania dát pre medzinárodné inštitúcie</w:t>
            </w:r>
          </w:p>
        </w:tc>
        <w:tc>
          <w:tcPr>
            <w:tcW w:w="775" w:type="pct"/>
            <w:shd w:val="clear" w:color="auto" w:fill="auto"/>
            <w:vAlign w:val="center"/>
            <w:hideMark/>
          </w:tcPr>
          <w:p w14:paraId="5465C382"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w:t>
            </w:r>
          </w:p>
        </w:tc>
        <w:tc>
          <w:tcPr>
            <w:tcW w:w="575" w:type="pct"/>
            <w:shd w:val="clear" w:color="auto" w:fill="auto"/>
            <w:vAlign w:val="center"/>
            <w:hideMark/>
          </w:tcPr>
          <w:p w14:paraId="5F0A2279"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746" w:type="pct"/>
            <w:vAlign w:val="center"/>
          </w:tcPr>
          <w:p w14:paraId="22D96A67" w14:textId="77777777" w:rsidR="008A4FED" w:rsidRPr="00666914" w:rsidRDefault="008A4FED" w:rsidP="004D30E9">
            <w:pPr>
              <w:spacing w:after="0"/>
              <w:jc w:val="center"/>
              <w:rPr>
                <w:rFonts w:eastAsia="Times New Roman"/>
                <w:color w:val="000000"/>
                <w:sz w:val="20"/>
                <w:szCs w:val="20"/>
                <w:highlight w:val="yellow"/>
                <w:lang w:eastAsia="sk-SK"/>
              </w:rPr>
            </w:pPr>
            <w:r w:rsidRPr="00666914">
              <w:rPr>
                <w:rFonts w:eastAsia="Times New Roman"/>
                <w:color w:val="000000"/>
                <w:sz w:val="20"/>
                <w:szCs w:val="20"/>
                <w:lang w:eastAsia="sk-SK"/>
              </w:rPr>
              <w:t>priebežne</w:t>
            </w:r>
          </w:p>
        </w:tc>
        <w:tc>
          <w:tcPr>
            <w:tcW w:w="274" w:type="pct"/>
            <w:tcBorders>
              <w:top w:val="nil"/>
              <w:left w:val="nil"/>
              <w:bottom w:val="single" w:sz="4" w:space="0" w:color="auto"/>
              <w:right w:val="single" w:sz="4" w:space="0" w:color="auto"/>
            </w:tcBorders>
            <w:shd w:val="clear" w:color="auto" w:fill="FFC000"/>
            <w:noWrap/>
            <w:vAlign w:val="bottom"/>
            <w:hideMark/>
          </w:tcPr>
          <w:p w14:paraId="09D3C138" w14:textId="77777777" w:rsidR="008A4FED" w:rsidRPr="00666914" w:rsidRDefault="008A4FED" w:rsidP="004D30E9">
            <w:pPr>
              <w:spacing w:after="0"/>
              <w:rPr>
                <w:rFonts w:eastAsia="Times New Roman"/>
                <w:color w:val="C00000"/>
                <w:sz w:val="20"/>
                <w:szCs w:val="20"/>
                <w:lang w:eastAsia="sk-SK"/>
              </w:rPr>
            </w:pPr>
            <w:r w:rsidRPr="00666914">
              <w:rPr>
                <w:rFonts w:eastAsia="Times New Roman"/>
                <w:color w:val="C00000"/>
                <w:sz w:val="20"/>
                <w:szCs w:val="20"/>
                <w:lang w:eastAsia="sk-SK"/>
              </w:rPr>
              <w:t> </w:t>
            </w:r>
          </w:p>
        </w:tc>
        <w:tc>
          <w:tcPr>
            <w:tcW w:w="274" w:type="pct"/>
            <w:tcBorders>
              <w:top w:val="nil"/>
              <w:left w:val="nil"/>
              <w:bottom w:val="single" w:sz="4" w:space="0" w:color="auto"/>
              <w:right w:val="single" w:sz="4" w:space="0" w:color="auto"/>
            </w:tcBorders>
            <w:shd w:val="clear" w:color="auto" w:fill="FFC000"/>
            <w:noWrap/>
            <w:vAlign w:val="bottom"/>
            <w:hideMark/>
          </w:tcPr>
          <w:p w14:paraId="1BA845FB" w14:textId="77777777" w:rsidR="008A4FED" w:rsidRPr="00666914" w:rsidRDefault="008A4FED" w:rsidP="004D30E9">
            <w:pPr>
              <w:spacing w:after="0"/>
              <w:rPr>
                <w:rFonts w:eastAsia="Times New Roman"/>
                <w:color w:val="FFFFFF" w:themeColor="background1"/>
                <w:sz w:val="20"/>
                <w:szCs w:val="20"/>
                <w:lang w:eastAsia="sk-SK"/>
              </w:rPr>
            </w:pPr>
            <w:r w:rsidRPr="00666914">
              <w:rPr>
                <w:rFonts w:eastAsia="Times New Roman"/>
                <w:color w:val="FFFFFF" w:themeColor="background1"/>
                <w:sz w:val="20"/>
                <w:szCs w:val="20"/>
                <w:lang w:eastAsia="sk-SK"/>
              </w:rPr>
              <w:t> </w:t>
            </w:r>
          </w:p>
        </w:tc>
        <w:tc>
          <w:tcPr>
            <w:tcW w:w="274" w:type="pct"/>
            <w:shd w:val="clear" w:color="auto" w:fill="FFC000"/>
            <w:noWrap/>
            <w:vAlign w:val="bottom"/>
            <w:hideMark/>
          </w:tcPr>
          <w:p w14:paraId="21917059" w14:textId="77777777" w:rsidR="008A4FED" w:rsidRPr="00666914" w:rsidRDefault="008A4FED" w:rsidP="004D30E9">
            <w:pPr>
              <w:spacing w:after="0"/>
              <w:jc w:val="center"/>
              <w:rPr>
                <w:rFonts w:eastAsia="Times New Roman"/>
                <w:color w:val="C00000"/>
                <w:sz w:val="20"/>
                <w:szCs w:val="20"/>
                <w:lang w:eastAsia="sk-SK"/>
              </w:rPr>
            </w:pPr>
            <w:r w:rsidRPr="00666914">
              <w:rPr>
                <w:rFonts w:eastAsia="Times New Roman"/>
                <w:color w:val="C00000"/>
                <w:sz w:val="20"/>
                <w:szCs w:val="20"/>
                <w:lang w:eastAsia="sk-SK"/>
              </w:rPr>
              <w:t> </w:t>
            </w:r>
          </w:p>
        </w:tc>
        <w:tc>
          <w:tcPr>
            <w:tcW w:w="274" w:type="pct"/>
            <w:shd w:val="clear" w:color="auto" w:fill="FFC000"/>
            <w:noWrap/>
            <w:vAlign w:val="bottom"/>
            <w:hideMark/>
          </w:tcPr>
          <w:p w14:paraId="638FC8B7"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C00000"/>
                <w:sz w:val="20"/>
                <w:szCs w:val="20"/>
                <w:lang w:eastAsia="sk-SK"/>
              </w:rPr>
              <w:t> </w:t>
            </w:r>
          </w:p>
        </w:tc>
      </w:tr>
      <w:tr w:rsidR="008A4FED" w:rsidRPr="00666914" w14:paraId="28236D46" w14:textId="77777777" w:rsidTr="00F64B85">
        <w:trPr>
          <w:trHeight w:val="315"/>
        </w:trPr>
        <w:tc>
          <w:tcPr>
            <w:tcW w:w="175" w:type="pct"/>
            <w:shd w:val="clear" w:color="auto" w:fill="auto"/>
            <w:vAlign w:val="center"/>
            <w:hideMark/>
          </w:tcPr>
          <w:p w14:paraId="030893A6" w14:textId="77777777" w:rsidR="008A4FED" w:rsidRPr="00666914" w:rsidRDefault="008A4FED" w:rsidP="004D30E9">
            <w:pPr>
              <w:spacing w:after="0"/>
              <w:jc w:val="center"/>
              <w:rPr>
                <w:rFonts w:eastAsia="Times New Roman"/>
                <w:bCs/>
                <w:color w:val="000000"/>
                <w:sz w:val="20"/>
                <w:szCs w:val="20"/>
                <w:lang w:eastAsia="sk-SK"/>
              </w:rPr>
            </w:pPr>
            <w:r w:rsidRPr="00666914">
              <w:rPr>
                <w:rFonts w:eastAsia="Times New Roman"/>
                <w:color w:val="000000"/>
                <w:sz w:val="20"/>
                <w:szCs w:val="20"/>
                <w:lang w:eastAsia="sk-SK"/>
              </w:rPr>
              <w:t>25</w:t>
            </w:r>
          </w:p>
        </w:tc>
        <w:tc>
          <w:tcPr>
            <w:tcW w:w="384" w:type="pct"/>
            <w:vAlign w:val="center"/>
          </w:tcPr>
          <w:p w14:paraId="7B14ECFE"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248" w:type="pct"/>
            <w:shd w:val="clear" w:color="auto" w:fill="auto"/>
            <w:vAlign w:val="center"/>
            <w:hideMark/>
          </w:tcPr>
          <w:p w14:paraId="6CD4B420"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Prehodnotenie štruktúry a kvality dát vykazovaných od poskytovateľov ZS</w:t>
            </w:r>
          </w:p>
        </w:tc>
        <w:tc>
          <w:tcPr>
            <w:tcW w:w="775" w:type="pct"/>
            <w:shd w:val="clear" w:color="auto" w:fill="auto"/>
            <w:vAlign w:val="center"/>
            <w:hideMark/>
          </w:tcPr>
          <w:p w14:paraId="370F171A"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 NCZI</w:t>
            </w:r>
          </w:p>
        </w:tc>
        <w:tc>
          <w:tcPr>
            <w:tcW w:w="575" w:type="pct"/>
            <w:shd w:val="clear" w:color="auto" w:fill="auto"/>
            <w:vAlign w:val="center"/>
            <w:hideMark/>
          </w:tcPr>
          <w:p w14:paraId="58F61470"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01.07.2018</w:t>
            </w:r>
          </w:p>
        </w:tc>
        <w:tc>
          <w:tcPr>
            <w:tcW w:w="746" w:type="pct"/>
            <w:vAlign w:val="center"/>
          </w:tcPr>
          <w:p w14:paraId="737AFE47" w14:textId="77777777" w:rsidR="008A4FED" w:rsidRPr="00666914" w:rsidRDefault="008A4FED" w:rsidP="004D30E9">
            <w:pPr>
              <w:spacing w:after="0"/>
              <w:jc w:val="center"/>
              <w:rPr>
                <w:rFonts w:eastAsia="Times New Roman"/>
                <w:color w:val="000000"/>
                <w:sz w:val="20"/>
                <w:szCs w:val="20"/>
                <w:highlight w:val="yellow"/>
                <w:lang w:eastAsia="sk-SK"/>
              </w:rPr>
            </w:pPr>
            <w:r w:rsidRPr="00666914">
              <w:rPr>
                <w:rFonts w:eastAsia="Times New Roman"/>
                <w:color w:val="000000"/>
                <w:sz w:val="20"/>
                <w:szCs w:val="20"/>
                <w:lang w:eastAsia="sk-SK"/>
              </w:rPr>
              <w:t>31.12.2019</w:t>
            </w:r>
          </w:p>
        </w:tc>
        <w:tc>
          <w:tcPr>
            <w:tcW w:w="274" w:type="pct"/>
            <w:tcBorders>
              <w:top w:val="single" w:sz="4" w:space="0" w:color="auto"/>
              <w:left w:val="nil"/>
              <w:bottom w:val="single" w:sz="4" w:space="0" w:color="auto"/>
              <w:right w:val="single" w:sz="4" w:space="0" w:color="auto"/>
            </w:tcBorders>
            <w:shd w:val="clear" w:color="auto" w:fill="FFC000"/>
            <w:noWrap/>
            <w:vAlign w:val="bottom"/>
            <w:hideMark/>
          </w:tcPr>
          <w:p w14:paraId="5079D1B8"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4" w:type="pct"/>
            <w:tcBorders>
              <w:top w:val="single" w:sz="4" w:space="0" w:color="auto"/>
              <w:left w:val="nil"/>
              <w:bottom w:val="single" w:sz="4" w:space="0" w:color="auto"/>
              <w:right w:val="single" w:sz="4" w:space="0" w:color="auto"/>
            </w:tcBorders>
            <w:shd w:val="clear" w:color="auto" w:fill="FFC000"/>
            <w:noWrap/>
            <w:vAlign w:val="bottom"/>
            <w:hideMark/>
          </w:tcPr>
          <w:p w14:paraId="6C6F5748"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74" w:type="pct"/>
            <w:shd w:val="clear" w:color="auto" w:fill="FFC000"/>
            <w:noWrap/>
            <w:vAlign w:val="bottom"/>
            <w:hideMark/>
          </w:tcPr>
          <w:p w14:paraId="06746463"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 </w:t>
            </w:r>
          </w:p>
        </w:tc>
        <w:tc>
          <w:tcPr>
            <w:tcW w:w="274" w:type="pct"/>
            <w:shd w:val="clear" w:color="auto" w:fill="FFC000"/>
            <w:noWrap/>
            <w:vAlign w:val="bottom"/>
            <w:hideMark/>
          </w:tcPr>
          <w:p w14:paraId="3A3BEDED"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37AF6AA0" w14:textId="77777777" w:rsidTr="00F64B85">
        <w:trPr>
          <w:trHeight w:val="315"/>
        </w:trPr>
        <w:tc>
          <w:tcPr>
            <w:tcW w:w="175" w:type="pct"/>
            <w:shd w:val="clear" w:color="auto" w:fill="auto"/>
            <w:vAlign w:val="center"/>
          </w:tcPr>
          <w:p w14:paraId="7223D78A"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26</w:t>
            </w:r>
          </w:p>
        </w:tc>
        <w:tc>
          <w:tcPr>
            <w:tcW w:w="384" w:type="pct"/>
            <w:vAlign w:val="center"/>
          </w:tcPr>
          <w:p w14:paraId="6410C36A"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248" w:type="pct"/>
            <w:shd w:val="clear" w:color="auto" w:fill="auto"/>
            <w:vAlign w:val="center"/>
          </w:tcPr>
          <w:p w14:paraId="7225A421"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Rozšírenie štruktúry monitoringu poisťovní o výdavky na oblasti zdravotnej starostlivosti</w:t>
            </w:r>
          </w:p>
        </w:tc>
        <w:tc>
          <w:tcPr>
            <w:tcW w:w="775" w:type="pct"/>
            <w:shd w:val="clear" w:color="auto" w:fill="auto"/>
            <w:vAlign w:val="center"/>
          </w:tcPr>
          <w:p w14:paraId="29167209"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MF SR</w:t>
            </w:r>
          </w:p>
        </w:tc>
        <w:tc>
          <w:tcPr>
            <w:tcW w:w="575" w:type="pct"/>
            <w:shd w:val="clear" w:color="auto" w:fill="auto"/>
            <w:vAlign w:val="center"/>
          </w:tcPr>
          <w:p w14:paraId="5D219A69"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746" w:type="pct"/>
            <w:vAlign w:val="center"/>
          </w:tcPr>
          <w:p w14:paraId="6D2D917F"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31.12.2019</w:t>
            </w:r>
          </w:p>
        </w:tc>
        <w:tc>
          <w:tcPr>
            <w:tcW w:w="274" w:type="pct"/>
            <w:tcBorders>
              <w:top w:val="nil"/>
              <w:left w:val="nil"/>
              <w:bottom w:val="single" w:sz="4" w:space="0" w:color="auto"/>
              <w:right w:val="single" w:sz="4" w:space="0" w:color="auto"/>
            </w:tcBorders>
            <w:shd w:val="clear" w:color="auto" w:fill="92D050"/>
            <w:noWrap/>
            <w:vAlign w:val="bottom"/>
          </w:tcPr>
          <w:p w14:paraId="0833AFCC" w14:textId="77777777" w:rsidR="008A4FED" w:rsidRPr="00666914" w:rsidRDefault="008A4FED" w:rsidP="004D30E9">
            <w:pPr>
              <w:spacing w:after="0"/>
              <w:rPr>
                <w:rFonts w:eastAsia="Times New Roman"/>
                <w:color w:val="000000"/>
                <w:sz w:val="20"/>
                <w:szCs w:val="20"/>
                <w:lang w:eastAsia="sk-SK"/>
              </w:rPr>
            </w:pPr>
          </w:p>
        </w:tc>
        <w:tc>
          <w:tcPr>
            <w:tcW w:w="274" w:type="pct"/>
            <w:tcBorders>
              <w:top w:val="nil"/>
              <w:left w:val="nil"/>
              <w:bottom w:val="single" w:sz="4" w:space="0" w:color="auto"/>
              <w:right w:val="single" w:sz="4" w:space="0" w:color="auto"/>
            </w:tcBorders>
            <w:shd w:val="clear" w:color="auto" w:fill="92D050"/>
            <w:noWrap/>
            <w:vAlign w:val="bottom"/>
          </w:tcPr>
          <w:p w14:paraId="41EBE5EC" w14:textId="77777777" w:rsidR="008A4FED" w:rsidRPr="00666914" w:rsidRDefault="008A4FED" w:rsidP="004D30E9">
            <w:pPr>
              <w:spacing w:after="0"/>
              <w:rPr>
                <w:rFonts w:eastAsia="Times New Roman"/>
                <w:color w:val="000000"/>
                <w:sz w:val="20"/>
                <w:szCs w:val="20"/>
                <w:lang w:eastAsia="sk-SK"/>
              </w:rPr>
            </w:pPr>
          </w:p>
        </w:tc>
        <w:tc>
          <w:tcPr>
            <w:tcW w:w="274" w:type="pct"/>
            <w:shd w:val="clear" w:color="auto" w:fill="92D050"/>
            <w:noWrap/>
            <w:vAlign w:val="bottom"/>
          </w:tcPr>
          <w:p w14:paraId="11E06D26" w14:textId="77777777" w:rsidR="008A4FED" w:rsidRPr="00666914" w:rsidRDefault="008A4FED" w:rsidP="004D30E9">
            <w:pPr>
              <w:spacing w:after="0"/>
              <w:jc w:val="center"/>
              <w:rPr>
                <w:rFonts w:eastAsia="Times New Roman"/>
                <w:color w:val="000000"/>
                <w:sz w:val="20"/>
                <w:szCs w:val="20"/>
                <w:lang w:eastAsia="sk-SK"/>
              </w:rPr>
            </w:pPr>
          </w:p>
        </w:tc>
        <w:tc>
          <w:tcPr>
            <w:tcW w:w="274" w:type="pct"/>
            <w:shd w:val="clear" w:color="auto" w:fill="92D050"/>
            <w:noWrap/>
            <w:vAlign w:val="bottom"/>
          </w:tcPr>
          <w:p w14:paraId="69C7F92F" w14:textId="77777777" w:rsidR="008A4FED" w:rsidRPr="00666914" w:rsidRDefault="008A4FED" w:rsidP="004D30E9">
            <w:pPr>
              <w:spacing w:after="0"/>
              <w:jc w:val="center"/>
              <w:rPr>
                <w:rFonts w:eastAsia="Times New Roman"/>
                <w:color w:val="000000"/>
                <w:sz w:val="20"/>
                <w:szCs w:val="20"/>
                <w:lang w:eastAsia="sk-SK"/>
              </w:rPr>
            </w:pPr>
          </w:p>
        </w:tc>
      </w:tr>
      <w:tr w:rsidR="008A4FED" w:rsidRPr="00666914" w14:paraId="42E27620" w14:textId="77777777" w:rsidTr="00F64B85">
        <w:trPr>
          <w:trHeight w:val="315"/>
        </w:trPr>
        <w:tc>
          <w:tcPr>
            <w:tcW w:w="175" w:type="pct"/>
            <w:shd w:val="clear" w:color="auto" w:fill="auto"/>
            <w:vAlign w:val="center"/>
          </w:tcPr>
          <w:p w14:paraId="5F9A3AD7"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27</w:t>
            </w:r>
          </w:p>
        </w:tc>
        <w:tc>
          <w:tcPr>
            <w:tcW w:w="384" w:type="pct"/>
            <w:vAlign w:val="center"/>
          </w:tcPr>
          <w:p w14:paraId="3AD02538"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 a II.</w:t>
            </w:r>
          </w:p>
        </w:tc>
        <w:tc>
          <w:tcPr>
            <w:tcW w:w="1248" w:type="pct"/>
            <w:shd w:val="clear" w:color="auto" w:fill="auto"/>
            <w:vAlign w:val="center"/>
          </w:tcPr>
          <w:p w14:paraId="5E30AA63"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Zvýšenie nezávislosti a profesionality kategorizačných orgánov</w:t>
            </w:r>
          </w:p>
        </w:tc>
        <w:tc>
          <w:tcPr>
            <w:tcW w:w="775" w:type="pct"/>
            <w:shd w:val="clear" w:color="auto" w:fill="auto"/>
            <w:vAlign w:val="center"/>
          </w:tcPr>
          <w:p w14:paraId="0C057807"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w:t>
            </w:r>
          </w:p>
        </w:tc>
        <w:tc>
          <w:tcPr>
            <w:tcW w:w="575" w:type="pct"/>
            <w:shd w:val="clear" w:color="auto" w:fill="auto"/>
            <w:vAlign w:val="center"/>
          </w:tcPr>
          <w:p w14:paraId="48DA52C6"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01.07.2018</w:t>
            </w:r>
          </w:p>
        </w:tc>
        <w:tc>
          <w:tcPr>
            <w:tcW w:w="746" w:type="pct"/>
            <w:vAlign w:val="center"/>
          </w:tcPr>
          <w:p w14:paraId="7AA6528A"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31.12.2019</w:t>
            </w:r>
          </w:p>
        </w:tc>
        <w:tc>
          <w:tcPr>
            <w:tcW w:w="274" w:type="pct"/>
            <w:tcBorders>
              <w:top w:val="nil"/>
              <w:left w:val="nil"/>
              <w:bottom w:val="single" w:sz="4" w:space="0" w:color="auto"/>
              <w:right w:val="single" w:sz="4" w:space="0" w:color="auto"/>
            </w:tcBorders>
            <w:shd w:val="clear" w:color="auto" w:fill="FFC000"/>
            <w:noWrap/>
            <w:vAlign w:val="bottom"/>
          </w:tcPr>
          <w:p w14:paraId="59B96574" w14:textId="77777777" w:rsidR="008A4FED" w:rsidRPr="00666914" w:rsidRDefault="008A4FED" w:rsidP="004D30E9">
            <w:pPr>
              <w:spacing w:after="0"/>
              <w:rPr>
                <w:rFonts w:eastAsia="Times New Roman"/>
                <w:color w:val="000000"/>
                <w:sz w:val="20"/>
                <w:szCs w:val="20"/>
                <w:lang w:eastAsia="sk-SK"/>
              </w:rPr>
            </w:pPr>
          </w:p>
        </w:tc>
        <w:tc>
          <w:tcPr>
            <w:tcW w:w="274" w:type="pct"/>
            <w:tcBorders>
              <w:top w:val="nil"/>
              <w:left w:val="nil"/>
              <w:bottom w:val="single" w:sz="4" w:space="0" w:color="auto"/>
              <w:right w:val="single" w:sz="4" w:space="0" w:color="auto"/>
            </w:tcBorders>
            <w:shd w:val="clear" w:color="auto" w:fill="FFC000"/>
            <w:noWrap/>
            <w:vAlign w:val="bottom"/>
          </w:tcPr>
          <w:p w14:paraId="3875ED94" w14:textId="77777777" w:rsidR="008A4FED" w:rsidRPr="00666914" w:rsidRDefault="008A4FED" w:rsidP="004D30E9">
            <w:pPr>
              <w:spacing w:after="0"/>
              <w:rPr>
                <w:rFonts w:eastAsia="Times New Roman"/>
                <w:color w:val="000000"/>
                <w:sz w:val="20"/>
                <w:szCs w:val="20"/>
                <w:lang w:eastAsia="sk-SK"/>
              </w:rPr>
            </w:pPr>
          </w:p>
        </w:tc>
        <w:tc>
          <w:tcPr>
            <w:tcW w:w="274" w:type="pct"/>
            <w:shd w:val="clear" w:color="auto" w:fill="FFC000"/>
            <w:noWrap/>
            <w:vAlign w:val="bottom"/>
          </w:tcPr>
          <w:p w14:paraId="1F2829D3" w14:textId="77777777" w:rsidR="008A4FED" w:rsidRPr="00666914" w:rsidRDefault="008A4FED" w:rsidP="004D30E9">
            <w:pPr>
              <w:spacing w:after="0"/>
              <w:jc w:val="center"/>
              <w:rPr>
                <w:rFonts w:eastAsia="Times New Roman"/>
                <w:color w:val="000000"/>
                <w:sz w:val="20"/>
                <w:szCs w:val="20"/>
                <w:lang w:eastAsia="sk-SK"/>
              </w:rPr>
            </w:pPr>
          </w:p>
        </w:tc>
        <w:tc>
          <w:tcPr>
            <w:tcW w:w="274" w:type="pct"/>
            <w:shd w:val="clear" w:color="auto" w:fill="FFC000"/>
            <w:noWrap/>
            <w:vAlign w:val="bottom"/>
          </w:tcPr>
          <w:p w14:paraId="62D93C12" w14:textId="77777777" w:rsidR="008A4FED" w:rsidRPr="00666914" w:rsidRDefault="008A4FED" w:rsidP="004D30E9">
            <w:pPr>
              <w:spacing w:after="0"/>
              <w:jc w:val="center"/>
              <w:rPr>
                <w:rFonts w:eastAsia="Times New Roman"/>
                <w:color w:val="000000"/>
                <w:sz w:val="20"/>
                <w:szCs w:val="20"/>
                <w:lang w:eastAsia="sk-SK"/>
              </w:rPr>
            </w:pPr>
          </w:p>
        </w:tc>
      </w:tr>
      <w:tr w:rsidR="008A4FED" w:rsidRPr="00666914" w14:paraId="7B88C60F" w14:textId="77777777" w:rsidTr="00F64B85">
        <w:trPr>
          <w:trHeight w:val="315"/>
        </w:trPr>
        <w:tc>
          <w:tcPr>
            <w:tcW w:w="175" w:type="pct"/>
            <w:shd w:val="clear" w:color="auto" w:fill="auto"/>
            <w:vAlign w:val="center"/>
          </w:tcPr>
          <w:p w14:paraId="04DA7F92"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28</w:t>
            </w:r>
          </w:p>
        </w:tc>
        <w:tc>
          <w:tcPr>
            <w:tcW w:w="384" w:type="pct"/>
            <w:vAlign w:val="center"/>
          </w:tcPr>
          <w:p w14:paraId="4D5CC4A0"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248" w:type="pct"/>
            <w:shd w:val="clear" w:color="auto" w:fill="auto"/>
            <w:vAlign w:val="center"/>
          </w:tcPr>
          <w:p w14:paraId="7AF01DFD"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Zvýšenie transparentnosti kategorizačných orgánov</w:t>
            </w:r>
          </w:p>
        </w:tc>
        <w:tc>
          <w:tcPr>
            <w:tcW w:w="775" w:type="pct"/>
            <w:shd w:val="clear" w:color="auto" w:fill="auto"/>
            <w:vAlign w:val="center"/>
          </w:tcPr>
          <w:p w14:paraId="68BB7A61"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MF SR</w:t>
            </w:r>
          </w:p>
        </w:tc>
        <w:tc>
          <w:tcPr>
            <w:tcW w:w="575" w:type="pct"/>
            <w:shd w:val="clear" w:color="auto" w:fill="auto"/>
            <w:vAlign w:val="center"/>
          </w:tcPr>
          <w:p w14:paraId="7B52C4A9"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746" w:type="pct"/>
            <w:vAlign w:val="center"/>
          </w:tcPr>
          <w:p w14:paraId="314F770A"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31.12.2019</w:t>
            </w:r>
          </w:p>
        </w:tc>
        <w:tc>
          <w:tcPr>
            <w:tcW w:w="274" w:type="pct"/>
            <w:tcBorders>
              <w:top w:val="nil"/>
              <w:left w:val="nil"/>
              <w:bottom w:val="single" w:sz="4" w:space="0" w:color="auto"/>
              <w:right w:val="single" w:sz="4" w:space="0" w:color="auto"/>
            </w:tcBorders>
            <w:shd w:val="clear" w:color="auto" w:fill="FFC000"/>
            <w:noWrap/>
            <w:vAlign w:val="bottom"/>
          </w:tcPr>
          <w:p w14:paraId="509686FC" w14:textId="77777777" w:rsidR="008A4FED" w:rsidRPr="00666914" w:rsidRDefault="008A4FED" w:rsidP="004D30E9">
            <w:pPr>
              <w:spacing w:after="0"/>
              <w:rPr>
                <w:rFonts w:eastAsia="Times New Roman"/>
                <w:color w:val="000000"/>
                <w:sz w:val="20"/>
                <w:szCs w:val="20"/>
                <w:lang w:eastAsia="sk-SK"/>
              </w:rPr>
            </w:pPr>
          </w:p>
        </w:tc>
        <w:tc>
          <w:tcPr>
            <w:tcW w:w="274" w:type="pct"/>
            <w:tcBorders>
              <w:top w:val="nil"/>
              <w:left w:val="nil"/>
              <w:bottom w:val="single" w:sz="4" w:space="0" w:color="auto"/>
              <w:right w:val="single" w:sz="4" w:space="0" w:color="auto"/>
            </w:tcBorders>
            <w:shd w:val="clear" w:color="auto" w:fill="FFC000"/>
            <w:noWrap/>
            <w:vAlign w:val="bottom"/>
          </w:tcPr>
          <w:p w14:paraId="39C54EE9" w14:textId="77777777" w:rsidR="008A4FED" w:rsidRPr="00666914" w:rsidRDefault="008A4FED" w:rsidP="004D30E9">
            <w:pPr>
              <w:spacing w:after="0"/>
              <w:rPr>
                <w:rFonts w:eastAsia="Times New Roman"/>
                <w:color w:val="000000"/>
                <w:sz w:val="20"/>
                <w:szCs w:val="20"/>
                <w:lang w:eastAsia="sk-SK"/>
              </w:rPr>
            </w:pPr>
          </w:p>
        </w:tc>
        <w:tc>
          <w:tcPr>
            <w:tcW w:w="274" w:type="pct"/>
            <w:shd w:val="clear" w:color="auto" w:fill="FFC000"/>
            <w:noWrap/>
            <w:vAlign w:val="bottom"/>
          </w:tcPr>
          <w:p w14:paraId="6171008F" w14:textId="77777777" w:rsidR="008A4FED" w:rsidRPr="00666914" w:rsidRDefault="008A4FED" w:rsidP="004D30E9">
            <w:pPr>
              <w:spacing w:after="0"/>
              <w:jc w:val="center"/>
              <w:rPr>
                <w:rFonts w:eastAsia="Times New Roman"/>
                <w:color w:val="000000"/>
                <w:sz w:val="20"/>
                <w:szCs w:val="20"/>
                <w:lang w:eastAsia="sk-SK"/>
              </w:rPr>
            </w:pPr>
          </w:p>
        </w:tc>
        <w:tc>
          <w:tcPr>
            <w:tcW w:w="274" w:type="pct"/>
            <w:shd w:val="clear" w:color="auto" w:fill="FFC000"/>
            <w:noWrap/>
            <w:vAlign w:val="bottom"/>
          </w:tcPr>
          <w:p w14:paraId="472F4577" w14:textId="77777777" w:rsidR="008A4FED" w:rsidRPr="00666914" w:rsidRDefault="008A4FED" w:rsidP="004D30E9">
            <w:pPr>
              <w:spacing w:after="0"/>
              <w:jc w:val="center"/>
              <w:rPr>
                <w:rFonts w:eastAsia="Times New Roman"/>
                <w:color w:val="000000"/>
                <w:sz w:val="20"/>
                <w:szCs w:val="20"/>
                <w:lang w:eastAsia="sk-SK"/>
              </w:rPr>
            </w:pPr>
          </w:p>
        </w:tc>
      </w:tr>
      <w:tr w:rsidR="008A4FED" w:rsidRPr="00666914" w14:paraId="03E4F5DC" w14:textId="77777777" w:rsidTr="00F64B85">
        <w:trPr>
          <w:trHeight w:val="315"/>
        </w:trPr>
        <w:tc>
          <w:tcPr>
            <w:tcW w:w="175" w:type="pct"/>
            <w:shd w:val="clear" w:color="auto" w:fill="auto"/>
            <w:vAlign w:val="center"/>
          </w:tcPr>
          <w:p w14:paraId="492339DD"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29</w:t>
            </w:r>
          </w:p>
        </w:tc>
        <w:tc>
          <w:tcPr>
            <w:tcW w:w="384" w:type="pct"/>
            <w:vAlign w:val="center"/>
          </w:tcPr>
          <w:p w14:paraId="676FBC68"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248" w:type="pct"/>
            <w:shd w:val="clear" w:color="auto" w:fill="auto"/>
            <w:vAlign w:val="center"/>
          </w:tcPr>
          <w:p w14:paraId="449BDBEA"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Posilnenie kompetencií všeobecných lekárov</w:t>
            </w:r>
          </w:p>
        </w:tc>
        <w:tc>
          <w:tcPr>
            <w:tcW w:w="775" w:type="pct"/>
            <w:shd w:val="clear" w:color="auto" w:fill="auto"/>
            <w:vAlign w:val="center"/>
          </w:tcPr>
          <w:p w14:paraId="2A507CB2"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MF SR</w:t>
            </w:r>
          </w:p>
        </w:tc>
        <w:tc>
          <w:tcPr>
            <w:tcW w:w="575" w:type="pct"/>
            <w:shd w:val="clear" w:color="auto" w:fill="auto"/>
            <w:vAlign w:val="center"/>
          </w:tcPr>
          <w:p w14:paraId="6CCC8696"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746" w:type="pct"/>
            <w:vAlign w:val="center"/>
          </w:tcPr>
          <w:p w14:paraId="7D542518"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31.12.2019</w:t>
            </w:r>
          </w:p>
        </w:tc>
        <w:tc>
          <w:tcPr>
            <w:tcW w:w="274" w:type="pct"/>
            <w:tcBorders>
              <w:top w:val="nil"/>
              <w:left w:val="nil"/>
              <w:bottom w:val="single" w:sz="4" w:space="0" w:color="auto"/>
              <w:right w:val="single" w:sz="4" w:space="0" w:color="auto"/>
            </w:tcBorders>
            <w:shd w:val="clear" w:color="auto" w:fill="FFC000"/>
            <w:noWrap/>
            <w:vAlign w:val="bottom"/>
          </w:tcPr>
          <w:p w14:paraId="20200C9F" w14:textId="77777777" w:rsidR="008A4FED" w:rsidRPr="00666914" w:rsidRDefault="008A4FED" w:rsidP="004D30E9">
            <w:pPr>
              <w:spacing w:after="0"/>
              <w:rPr>
                <w:rFonts w:eastAsia="Times New Roman"/>
                <w:color w:val="000000"/>
                <w:sz w:val="20"/>
                <w:szCs w:val="20"/>
                <w:lang w:eastAsia="sk-SK"/>
              </w:rPr>
            </w:pPr>
          </w:p>
        </w:tc>
        <w:tc>
          <w:tcPr>
            <w:tcW w:w="274" w:type="pct"/>
            <w:tcBorders>
              <w:top w:val="nil"/>
              <w:left w:val="nil"/>
              <w:bottom w:val="single" w:sz="4" w:space="0" w:color="auto"/>
              <w:right w:val="single" w:sz="4" w:space="0" w:color="auto"/>
            </w:tcBorders>
            <w:shd w:val="clear" w:color="auto" w:fill="FFC000"/>
            <w:noWrap/>
            <w:vAlign w:val="bottom"/>
          </w:tcPr>
          <w:p w14:paraId="0890EFD4" w14:textId="77777777" w:rsidR="008A4FED" w:rsidRPr="00666914" w:rsidRDefault="008A4FED" w:rsidP="004D30E9">
            <w:pPr>
              <w:spacing w:after="0"/>
              <w:rPr>
                <w:rFonts w:eastAsia="Times New Roman"/>
                <w:color w:val="000000"/>
                <w:sz w:val="20"/>
                <w:szCs w:val="20"/>
                <w:lang w:eastAsia="sk-SK"/>
              </w:rPr>
            </w:pPr>
          </w:p>
        </w:tc>
        <w:tc>
          <w:tcPr>
            <w:tcW w:w="274" w:type="pct"/>
            <w:shd w:val="clear" w:color="auto" w:fill="FFC000"/>
            <w:noWrap/>
            <w:vAlign w:val="bottom"/>
          </w:tcPr>
          <w:p w14:paraId="3B4D571B" w14:textId="77777777" w:rsidR="008A4FED" w:rsidRPr="00666914" w:rsidRDefault="008A4FED" w:rsidP="004D30E9">
            <w:pPr>
              <w:spacing w:after="0"/>
              <w:jc w:val="center"/>
              <w:rPr>
                <w:rFonts w:eastAsia="Times New Roman"/>
                <w:color w:val="000000"/>
                <w:sz w:val="20"/>
                <w:szCs w:val="20"/>
                <w:lang w:eastAsia="sk-SK"/>
              </w:rPr>
            </w:pPr>
          </w:p>
        </w:tc>
        <w:tc>
          <w:tcPr>
            <w:tcW w:w="274" w:type="pct"/>
            <w:shd w:val="clear" w:color="auto" w:fill="FFC000"/>
            <w:noWrap/>
            <w:vAlign w:val="bottom"/>
          </w:tcPr>
          <w:p w14:paraId="21137E67" w14:textId="77777777" w:rsidR="008A4FED" w:rsidRPr="00666914" w:rsidRDefault="008A4FED" w:rsidP="004D30E9">
            <w:pPr>
              <w:spacing w:after="0"/>
              <w:jc w:val="center"/>
              <w:rPr>
                <w:rFonts w:eastAsia="Times New Roman"/>
                <w:color w:val="000000"/>
                <w:sz w:val="20"/>
                <w:szCs w:val="20"/>
                <w:lang w:eastAsia="sk-SK"/>
              </w:rPr>
            </w:pPr>
          </w:p>
        </w:tc>
      </w:tr>
      <w:tr w:rsidR="008A4FED" w:rsidRPr="00666914" w14:paraId="3AF9E64D" w14:textId="77777777" w:rsidTr="00F64B85">
        <w:trPr>
          <w:trHeight w:val="315"/>
        </w:trPr>
        <w:tc>
          <w:tcPr>
            <w:tcW w:w="175" w:type="pct"/>
            <w:shd w:val="clear" w:color="auto" w:fill="auto"/>
            <w:vAlign w:val="center"/>
          </w:tcPr>
          <w:p w14:paraId="01B8B47E"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30</w:t>
            </w:r>
          </w:p>
        </w:tc>
        <w:tc>
          <w:tcPr>
            <w:tcW w:w="384" w:type="pct"/>
            <w:vAlign w:val="center"/>
          </w:tcPr>
          <w:p w14:paraId="25F108C3"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248" w:type="pct"/>
            <w:shd w:val="clear" w:color="auto" w:fill="auto"/>
            <w:vAlign w:val="center"/>
          </w:tcPr>
          <w:p w14:paraId="2AE9E328"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Posilnenie kompetencií zdrav. sestier a asistentov</w:t>
            </w:r>
          </w:p>
        </w:tc>
        <w:tc>
          <w:tcPr>
            <w:tcW w:w="775" w:type="pct"/>
            <w:shd w:val="clear" w:color="auto" w:fill="auto"/>
            <w:vAlign w:val="center"/>
          </w:tcPr>
          <w:p w14:paraId="69BC367E"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w:t>
            </w:r>
          </w:p>
        </w:tc>
        <w:tc>
          <w:tcPr>
            <w:tcW w:w="575" w:type="pct"/>
            <w:shd w:val="clear" w:color="auto" w:fill="auto"/>
            <w:vAlign w:val="center"/>
          </w:tcPr>
          <w:p w14:paraId="74836C1E"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746" w:type="pct"/>
            <w:vAlign w:val="center"/>
          </w:tcPr>
          <w:p w14:paraId="70D7ADC3"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31.12.2019</w:t>
            </w:r>
          </w:p>
        </w:tc>
        <w:tc>
          <w:tcPr>
            <w:tcW w:w="274" w:type="pct"/>
            <w:tcBorders>
              <w:top w:val="single" w:sz="4" w:space="0" w:color="auto"/>
              <w:left w:val="nil"/>
              <w:bottom w:val="single" w:sz="4" w:space="0" w:color="auto"/>
              <w:right w:val="single" w:sz="4" w:space="0" w:color="auto"/>
            </w:tcBorders>
            <w:shd w:val="clear" w:color="auto" w:fill="FFC000"/>
            <w:noWrap/>
            <w:vAlign w:val="bottom"/>
          </w:tcPr>
          <w:p w14:paraId="1D31FD37" w14:textId="77777777" w:rsidR="008A4FED" w:rsidRPr="00666914" w:rsidRDefault="008A4FED" w:rsidP="004D30E9">
            <w:pPr>
              <w:spacing w:after="0"/>
              <w:rPr>
                <w:rFonts w:eastAsia="Times New Roman"/>
                <w:color w:val="000000"/>
                <w:sz w:val="20"/>
                <w:szCs w:val="20"/>
                <w:lang w:eastAsia="sk-SK"/>
              </w:rPr>
            </w:pPr>
          </w:p>
        </w:tc>
        <w:tc>
          <w:tcPr>
            <w:tcW w:w="274" w:type="pct"/>
            <w:tcBorders>
              <w:top w:val="single" w:sz="4" w:space="0" w:color="auto"/>
              <w:left w:val="nil"/>
              <w:bottom w:val="single" w:sz="4" w:space="0" w:color="auto"/>
              <w:right w:val="single" w:sz="4" w:space="0" w:color="auto"/>
            </w:tcBorders>
            <w:shd w:val="clear" w:color="auto" w:fill="FFC000"/>
            <w:noWrap/>
            <w:vAlign w:val="bottom"/>
          </w:tcPr>
          <w:p w14:paraId="21CBE5B3" w14:textId="77777777" w:rsidR="008A4FED" w:rsidRPr="00666914" w:rsidRDefault="008A4FED" w:rsidP="004D30E9">
            <w:pPr>
              <w:spacing w:after="0"/>
              <w:rPr>
                <w:rFonts w:eastAsia="Times New Roman"/>
                <w:color w:val="000000"/>
                <w:sz w:val="20"/>
                <w:szCs w:val="20"/>
                <w:lang w:eastAsia="sk-SK"/>
              </w:rPr>
            </w:pPr>
          </w:p>
        </w:tc>
        <w:tc>
          <w:tcPr>
            <w:tcW w:w="274" w:type="pct"/>
            <w:shd w:val="clear" w:color="auto" w:fill="FFC000"/>
            <w:noWrap/>
            <w:vAlign w:val="bottom"/>
          </w:tcPr>
          <w:p w14:paraId="2637B8C7" w14:textId="77777777" w:rsidR="008A4FED" w:rsidRPr="00666914" w:rsidRDefault="008A4FED" w:rsidP="004D30E9">
            <w:pPr>
              <w:spacing w:after="0"/>
              <w:jc w:val="center"/>
              <w:rPr>
                <w:rFonts w:eastAsia="Times New Roman"/>
                <w:color w:val="000000"/>
                <w:sz w:val="20"/>
                <w:szCs w:val="20"/>
                <w:lang w:eastAsia="sk-SK"/>
              </w:rPr>
            </w:pPr>
          </w:p>
        </w:tc>
        <w:tc>
          <w:tcPr>
            <w:tcW w:w="274" w:type="pct"/>
            <w:shd w:val="clear" w:color="auto" w:fill="FFC000"/>
            <w:noWrap/>
            <w:vAlign w:val="bottom"/>
          </w:tcPr>
          <w:p w14:paraId="42B87F56" w14:textId="77777777" w:rsidR="008A4FED" w:rsidRPr="00666914" w:rsidRDefault="008A4FED" w:rsidP="004D30E9">
            <w:pPr>
              <w:spacing w:after="0"/>
              <w:jc w:val="center"/>
              <w:rPr>
                <w:rFonts w:eastAsia="Times New Roman"/>
                <w:color w:val="000000"/>
                <w:sz w:val="20"/>
                <w:szCs w:val="20"/>
                <w:lang w:eastAsia="sk-SK"/>
              </w:rPr>
            </w:pPr>
          </w:p>
        </w:tc>
      </w:tr>
      <w:tr w:rsidR="008A4FED" w:rsidRPr="00666914" w14:paraId="3F124D00" w14:textId="77777777" w:rsidTr="00F64B85">
        <w:trPr>
          <w:trHeight w:val="315"/>
        </w:trPr>
        <w:tc>
          <w:tcPr>
            <w:tcW w:w="175" w:type="pct"/>
            <w:shd w:val="clear" w:color="auto" w:fill="auto"/>
            <w:vAlign w:val="center"/>
          </w:tcPr>
          <w:p w14:paraId="2004EC92"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w:t>
            </w:r>
          </w:p>
        </w:tc>
        <w:tc>
          <w:tcPr>
            <w:tcW w:w="384" w:type="pct"/>
            <w:vAlign w:val="center"/>
          </w:tcPr>
          <w:p w14:paraId="77F45349"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II.</w:t>
            </w:r>
          </w:p>
        </w:tc>
        <w:tc>
          <w:tcPr>
            <w:tcW w:w="1248" w:type="pct"/>
            <w:shd w:val="clear" w:color="auto" w:fill="auto"/>
            <w:vAlign w:val="center"/>
          </w:tcPr>
          <w:p w14:paraId="732C04D6"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Rast miezd nelekárskeho personálu ÚZS</w:t>
            </w:r>
          </w:p>
        </w:tc>
        <w:tc>
          <w:tcPr>
            <w:tcW w:w="775" w:type="pct"/>
            <w:shd w:val="clear" w:color="auto" w:fill="auto"/>
            <w:vAlign w:val="center"/>
          </w:tcPr>
          <w:p w14:paraId="7AC2868A"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w:t>
            </w:r>
          </w:p>
        </w:tc>
        <w:tc>
          <w:tcPr>
            <w:tcW w:w="575" w:type="pct"/>
            <w:shd w:val="clear" w:color="auto" w:fill="auto"/>
            <w:vAlign w:val="center"/>
          </w:tcPr>
          <w:p w14:paraId="13B065A1"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31.12.2018</w:t>
            </w:r>
          </w:p>
        </w:tc>
        <w:tc>
          <w:tcPr>
            <w:tcW w:w="746" w:type="pct"/>
            <w:vAlign w:val="center"/>
          </w:tcPr>
          <w:p w14:paraId="713790F3" w14:textId="77777777" w:rsidR="008A4FED" w:rsidRPr="00666914" w:rsidRDefault="008A4FED" w:rsidP="004D30E9">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31.12.2019</w:t>
            </w:r>
          </w:p>
        </w:tc>
        <w:tc>
          <w:tcPr>
            <w:tcW w:w="274"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7BC0B4B5" w14:textId="77777777" w:rsidR="008A4FED" w:rsidRPr="00666914" w:rsidRDefault="008A4FED" w:rsidP="004D30E9">
            <w:pPr>
              <w:spacing w:after="0"/>
              <w:rPr>
                <w:rFonts w:eastAsia="Times New Roman"/>
                <w:color w:val="000000"/>
                <w:sz w:val="20"/>
                <w:szCs w:val="20"/>
                <w:lang w:eastAsia="sk-SK"/>
              </w:rPr>
            </w:pPr>
          </w:p>
        </w:tc>
        <w:tc>
          <w:tcPr>
            <w:tcW w:w="274"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2AE17C77" w14:textId="77777777" w:rsidR="008A4FED" w:rsidRPr="00666914" w:rsidRDefault="008A4FED" w:rsidP="004D30E9">
            <w:pPr>
              <w:spacing w:after="0"/>
              <w:rPr>
                <w:rFonts w:eastAsia="Times New Roman"/>
                <w:color w:val="000000"/>
                <w:sz w:val="20"/>
                <w:szCs w:val="20"/>
                <w:lang w:eastAsia="sk-SK"/>
              </w:rPr>
            </w:pPr>
          </w:p>
        </w:tc>
        <w:tc>
          <w:tcPr>
            <w:tcW w:w="274" w:type="pct"/>
            <w:shd w:val="clear" w:color="auto" w:fill="BFBFBF" w:themeFill="background1" w:themeFillShade="BF"/>
            <w:noWrap/>
            <w:vAlign w:val="bottom"/>
          </w:tcPr>
          <w:p w14:paraId="2770ACAF" w14:textId="77777777" w:rsidR="008A4FED" w:rsidRPr="00666914" w:rsidRDefault="008A4FED" w:rsidP="004D30E9">
            <w:pPr>
              <w:spacing w:after="0"/>
              <w:jc w:val="center"/>
              <w:rPr>
                <w:rFonts w:eastAsia="Times New Roman"/>
                <w:color w:val="000000"/>
                <w:sz w:val="20"/>
                <w:szCs w:val="20"/>
                <w:lang w:eastAsia="sk-SK"/>
              </w:rPr>
            </w:pPr>
          </w:p>
        </w:tc>
        <w:tc>
          <w:tcPr>
            <w:tcW w:w="274" w:type="pct"/>
            <w:shd w:val="clear" w:color="auto" w:fill="FFC000"/>
            <w:noWrap/>
            <w:vAlign w:val="bottom"/>
          </w:tcPr>
          <w:p w14:paraId="289D8C0B" w14:textId="77777777" w:rsidR="008A4FED" w:rsidRPr="00666914" w:rsidRDefault="008A4FED" w:rsidP="004D30E9">
            <w:pPr>
              <w:spacing w:after="0"/>
              <w:jc w:val="center"/>
              <w:rPr>
                <w:rFonts w:eastAsia="Times New Roman"/>
                <w:color w:val="000000"/>
                <w:sz w:val="20"/>
                <w:szCs w:val="20"/>
                <w:lang w:eastAsia="sk-SK"/>
              </w:rPr>
            </w:pPr>
          </w:p>
        </w:tc>
      </w:tr>
      <w:tr w:rsidR="008A4FED" w:rsidRPr="00666914" w14:paraId="26440DD5" w14:textId="77777777" w:rsidTr="00F64B85">
        <w:trPr>
          <w:trHeight w:val="315"/>
        </w:trPr>
        <w:tc>
          <w:tcPr>
            <w:tcW w:w="175" w:type="pct"/>
            <w:shd w:val="clear" w:color="auto" w:fill="auto"/>
            <w:vAlign w:val="center"/>
          </w:tcPr>
          <w:p w14:paraId="3C20CC05"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32</w:t>
            </w:r>
          </w:p>
        </w:tc>
        <w:tc>
          <w:tcPr>
            <w:tcW w:w="384" w:type="pct"/>
            <w:vAlign w:val="center"/>
          </w:tcPr>
          <w:p w14:paraId="513FBF8C"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II.</w:t>
            </w:r>
          </w:p>
        </w:tc>
        <w:tc>
          <w:tcPr>
            <w:tcW w:w="1248" w:type="pct"/>
            <w:shd w:val="clear" w:color="auto" w:fill="auto"/>
            <w:vAlign w:val="center"/>
          </w:tcPr>
          <w:p w14:paraId="15A42EA3"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Rast miezd nelekárskeho personálu AZS</w:t>
            </w:r>
          </w:p>
        </w:tc>
        <w:tc>
          <w:tcPr>
            <w:tcW w:w="775" w:type="pct"/>
            <w:shd w:val="clear" w:color="auto" w:fill="auto"/>
            <w:vAlign w:val="center"/>
          </w:tcPr>
          <w:p w14:paraId="569DCF59"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w:t>
            </w:r>
          </w:p>
        </w:tc>
        <w:tc>
          <w:tcPr>
            <w:tcW w:w="575" w:type="pct"/>
            <w:shd w:val="clear" w:color="auto" w:fill="auto"/>
            <w:vAlign w:val="center"/>
          </w:tcPr>
          <w:p w14:paraId="7F2862A5"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31.12.2018</w:t>
            </w:r>
          </w:p>
        </w:tc>
        <w:tc>
          <w:tcPr>
            <w:tcW w:w="746" w:type="pct"/>
            <w:vAlign w:val="center"/>
          </w:tcPr>
          <w:p w14:paraId="4B5D4190" w14:textId="77777777" w:rsidR="008A4FED" w:rsidRPr="00666914" w:rsidRDefault="008A4FED" w:rsidP="004D30E9">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31.12.2019</w:t>
            </w:r>
          </w:p>
        </w:tc>
        <w:tc>
          <w:tcPr>
            <w:tcW w:w="274" w:type="pct"/>
            <w:tcBorders>
              <w:top w:val="nil"/>
              <w:left w:val="nil"/>
              <w:bottom w:val="single" w:sz="4" w:space="0" w:color="auto"/>
              <w:right w:val="single" w:sz="4" w:space="0" w:color="auto"/>
            </w:tcBorders>
            <w:shd w:val="clear" w:color="auto" w:fill="BFBFBF" w:themeFill="background1" w:themeFillShade="BF"/>
            <w:noWrap/>
            <w:vAlign w:val="bottom"/>
          </w:tcPr>
          <w:p w14:paraId="53A90143" w14:textId="77777777" w:rsidR="008A4FED" w:rsidRPr="00666914" w:rsidRDefault="008A4FED" w:rsidP="004D30E9">
            <w:pPr>
              <w:spacing w:after="0"/>
              <w:rPr>
                <w:rFonts w:eastAsia="Times New Roman"/>
                <w:color w:val="000000"/>
                <w:sz w:val="20"/>
                <w:szCs w:val="20"/>
                <w:lang w:eastAsia="sk-SK"/>
              </w:rPr>
            </w:pPr>
          </w:p>
        </w:tc>
        <w:tc>
          <w:tcPr>
            <w:tcW w:w="274" w:type="pct"/>
            <w:tcBorders>
              <w:top w:val="nil"/>
              <w:left w:val="nil"/>
              <w:bottom w:val="single" w:sz="4" w:space="0" w:color="auto"/>
              <w:right w:val="single" w:sz="4" w:space="0" w:color="auto"/>
            </w:tcBorders>
            <w:shd w:val="clear" w:color="auto" w:fill="BFBFBF" w:themeFill="background1" w:themeFillShade="BF"/>
            <w:noWrap/>
            <w:vAlign w:val="bottom"/>
          </w:tcPr>
          <w:p w14:paraId="15A239EA" w14:textId="77777777" w:rsidR="008A4FED" w:rsidRPr="00666914" w:rsidRDefault="008A4FED" w:rsidP="004D30E9">
            <w:pPr>
              <w:spacing w:after="0"/>
              <w:rPr>
                <w:rFonts w:eastAsia="Times New Roman"/>
                <w:color w:val="000000"/>
                <w:sz w:val="20"/>
                <w:szCs w:val="20"/>
                <w:lang w:eastAsia="sk-SK"/>
              </w:rPr>
            </w:pPr>
          </w:p>
        </w:tc>
        <w:tc>
          <w:tcPr>
            <w:tcW w:w="274" w:type="pct"/>
            <w:shd w:val="clear" w:color="auto" w:fill="BFBFBF" w:themeFill="background1" w:themeFillShade="BF"/>
            <w:noWrap/>
            <w:vAlign w:val="bottom"/>
          </w:tcPr>
          <w:p w14:paraId="0B947FEE" w14:textId="77777777" w:rsidR="008A4FED" w:rsidRPr="00666914" w:rsidRDefault="008A4FED" w:rsidP="004D30E9">
            <w:pPr>
              <w:spacing w:after="0"/>
              <w:jc w:val="center"/>
              <w:rPr>
                <w:rFonts w:eastAsia="Times New Roman"/>
                <w:color w:val="000000"/>
                <w:sz w:val="20"/>
                <w:szCs w:val="20"/>
                <w:lang w:eastAsia="sk-SK"/>
              </w:rPr>
            </w:pPr>
          </w:p>
        </w:tc>
        <w:tc>
          <w:tcPr>
            <w:tcW w:w="274" w:type="pct"/>
            <w:shd w:val="clear" w:color="auto" w:fill="FFC000"/>
            <w:noWrap/>
            <w:vAlign w:val="bottom"/>
          </w:tcPr>
          <w:p w14:paraId="5AFC9098" w14:textId="77777777" w:rsidR="008A4FED" w:rsidRPr="00666914" w:rsidRDefault="008A4FED" w:rsidP="004D30E9">
            <w:pPr>
              <w:spacing w:after="0"/>
              <w:jc w:val="center"/>
              <w:rPr>
                <w:rFonts w:eastAsia="Times New Roman"/>
                <w:color w:val="000000"/>
                <w:sz w:val="20"/>
                <w:szCs w:val="20"/>
                <w:lang w:eastAsia="sk-SK"/>
              </w:rPr>
            </w:pPr>
          </w:p>
        </w:tc>
      </w:tr>
      <w:tr w:rsidR="008A4FED" w:rsidRPr="00666914" w14:paraId="418A9E15" w14:textId="77777777" w:rsidTr="00F64B85">
        <w:trPr>
          <w:trHeight w:val="315"/>
        </w:trPr>
        <w:tc>
          <w:tcPr>
            <w:tcW w:w="175" w:type="pct"/>
            <w:shd w:val="clear" w:color="auto" w:fill="auto"/>
            <w:vAlign w:val="center"/>
          </w:tcPr>
          <w:p w14:paraId="1BD36C76"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33</w:t>
            </w:r>
          </w:p>
        </w:tc>
        <w:tc>
          <w:tcPr>
            <w:tcW w:w="384" w:type="pct"/>
            <w:vAlign w:val="center"/>
          </w:tcPr>
          <w:p w14:paraId="18F4BAAB"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II.</w:t>
            </w:r>
          </w:p>
        </w:tc>
        <w:tc>
          <w:tcPr>
            <w:tcW w:w="1248" w:type="pct"/>
            <w:shd w:val="clear" w:color="auto" w:fill="auto"/>
            <w:vAlign w:val="center"/>
          </w:tcPr>
          <w:p w14:paraId="7FA9F6C0"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Prevencia - skríningy rakoviny</w:t>
            </w:r>
          </w:p>
        </w:tc>
        <w:tc>
          <w:tcPr>
            <w:tcW w:w="775" w:type="pct"/>
            <w:shd w:val="clear" w:color="auto" w:fill="auto"/>
            <w:vAlign w:val="center"/>
          </w:tcPr>
          <w:p w14:paraId="366C32A4"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 ZP</w:t>
            </w:r>
          </w:p>
        </w:tc>
        <w:tc>
          <w:tcPr>
            <w:tcW w:w="575" w:type="pct"/>
            <w:shd w:val="clear" w:color="auto" w:fill="auto"/>
            <w:vAlign w:val="center"/>
          </w:tcPr>
          <w:p w14:paraId="6FDF8009"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31.12.2019</w:t>
            </w:r>
          </w:p>
        </w:tc>
        <w:tc>
          <w:tcPr>
            <w:tcW w:w="746" w:type="pct"/>
            <w:vAlign w:val="center"/>
          </w:tcPr>
          <w:p w14:paraId="6C3FDDE4" w14:textId="77777777" w:rsidR="008A4FED" w:rsidRPr="00666914" w:rsidRDefault="008A4FED" w:rsidP="004D30E9">
            <w:pPr>
              <w:spacing w:after="0"/>
              <w:jc w:val="center"/>
              <w:rPr>
                <w:rFonts w:eastAsia="Times New Roman" w:cs="Calibri"/>
                <w:color w:val="000000"/>
                <w:sz w:val="20"/>
                <w:szCs w:val="20"/>
                <w:lang w:eastAsia="sk-SK"/>
              </w:rPr>
            </w:pPr>
            <w:r w:rsidRPr="00666914">
              <w:rPr>
                <w:rFonts w:eastAsia="Times New Roman"/>
                <w:color w:val="000000"/>
                <w:sz w:val="20"/>
                <w:szCs w:val="20"/>
                <w:lang w:eastAsia="sk-SK"/>
              </w:rPr>
              <w:t>-</w:t>
            </w:r>
          </w:p>
        </w:tc>
        <w:tc>
          <w:tcPr>
            <w:tcW w:w="274" w:type="pct"/>
            <w:tcBorders>
              <w:top w:val="nil"/>
              <w:left w:val="nil"/>
              <w:bottom w:val="single" w:sz="4" w:space="0" w:color="auto"/>
              <w:right w:val="single" w:sz="4" w:space="0" w:color="auto"/>
            </w:tcBorders>
            <w:shd w:val="clear" w:color="auto" w:fill="FFC000"/>
            <w:noWrap/>
            <w:vAlign w:val="bottom"/>
          </w:tcPr>
          <w:p w14:paraId="69306125" w14:textId="77777777" w:rsidR="008A4FED" w:rsidRPr="00666914" w:rsidRDefault="008A4FED" w:rsidP="004D30E9">
            <w:pPr>
              <w:spacing w:after="0"/>
              <w:rPr>
                <w:rFonts w:eastAsia="Times New Roman"/>
                <w:color w:val="000000"/>
                <w:sz w:val="20"/>
                <w:szCs w:val="20"/>
                <w:lang w:eastAsia="sk-SK"/>
              </w:rPr>
            </w:pPr>
          </w:p>
        </w:tc>
        <w:tc>
          <w:tcPr>
            <w:tcW w:w="274" w:type="pct"/>
            <w:tcBorders>
              <w:top w:val="nil"/>
              <w:left w:val="nil"/>
              <w:bottom w:val="single" w:sz="4" w:space="0" w:color="auto"/>
              <w:right w:val="single" w:sz="4" w:space="0" w:color="auto"/>
            </w:tcBorders>
            <w:shd w:val="clear" w:color="auto" w:fill="FFC000"/>
            <w:noWrap/>
            <w:vAlign w:val="bottom"/>
          </w:tcPr>
          <w:p w14:paraId="000BC93F" w14:textId="77777777" w:rsidR="008A4FED" w:rsidRPr="00666914" w:rsidRDefault="008A4FED" w:rsidP="004D30E9">
            <w:pPr>
              <w:spacing w:after="0"/>
              <w:rPr>
                <w:rFonts w:eastAsia="Times New Roman"/>
                <w:color w:val="000000"/>
                <w:sz w:val="20"/>
                <w:szCs w:val="20"/>
                <w:lang w:eastAsia="sk-SK"/>
              </w:rPr>
            </w:pPr>
          </w:p>
        </w:tc>
        <w:tc>
          <w:tcPr>
            <w:tcW w:w="274" w:type="pct"/>
            <w:shd w:val="clear" w:color="auto" w:fill="FFC000"/>
            <w:noWrap/>
            <w:vAlign w:val="bottom"/>
          </w:tcPr>
          <w:p w14:paraId="5F343294" w14:textId="77777777" w:rsidR="008A4FED" w:rsidRPr="00666914" w:rsidRDefault="008A4FED" w:rsidP="004D30E9">
            <w:pPr>
              <w:spacing w:after="0"/>
              <w:jc w:val="center"/>
              <w:rPr>
                <w:rFonts w:eastAsia="Times New Roman"/>
                <w:color w:val="000000"/>
                <w:sz w:val="20"/>
                <w:szCs w:val="20"/>
                <w:lang w:eastAsia="sk-SK"/>
              </w:rPr>
            </w:pPr>
          </w:p>
        </w:tc>
        <w:tc>
          <w:tcPr>
            <w:tcW w:w="274" w:type="pct"/>
            <w:shd w:val="clear" w:color="auto" w:fill="FF0000"/>
            <w:noWrap/>
            <w:vAlign w:val="bottom"/>
          </w:tcPr>
          <w:p w14:paraId="7085368C" w14:textId="77777777" w:rsidR="008A4FED" w:rsidRPr="00666914" w:rsidRDefault="008A4FED" w:rsidP="004D30E9">
            <w:pPr>
              <w:spacing w:after="0"/>
              <w:jc w:val="center"/>
              <w:rPr>
                <w:rFonts w:eastAsia="Times New Roman"/>
                <w:color w:val="000000"/>
                <w:sz w:val="20"/>
                <w:szCs w:val="20"/>
                <w:lang w:eastAsia="sk-SK"/>
              </w:rPr>
            </w:pPr>
          </w:p>
        </w:tc>
      </w:tr>
    </w:tbl>
    <w:p w14:paraId="7DDF63F7" w14:textId="77777777" w:rsidR="008A4FED" w:rsidRPr="00666914" w:rsidRDefault="008A4FED" w:rsidP="004D30E9">
      <w:pPr>
        <w:rPr>
          <w:sz w:val="18"/>
          <w:szCs w:val="18"/>
        </w:rPr>
      </w:pPr>
    </w:p>
    <w:p w14:paraId="7E0B00D9" w14:textId="77777777" w:rsidR="008A4FED" w:rsidRPr="00666914" w:rsidRDefault="008A4FED" w:rsidP="00CE3B4F">
      <w:r w:rsidRPr="00666914">
        <w:t>Kvalita a rozsah zdravotníckych dát sa od vypracovania revízie výdavkov I. zlepšili. Naďalej však dochádza z dôvodu chýbajúcej jednotnej metodiky k nezrovnalostiam v údajoch a štatistikách rôznych subjektov (NCZI, ÚDZS, MZ SR, MF SR, ZP). Reporting dát sa líši mierou detailu, v metodológii i periodicite. Kvôli chýbajúcemu súhrnnému dokumentu s popisom metodologických rozdielov je každá analýza údajov administratívne i časovo náročná.</w:t>
      </w:r>
    </w:p>
    <w:p w14:paraId="072C8A6F" w14:textId="77777777" w:rsidR="008A4FED" w:rsidRPr="00666914" w:rsidRDefault="008A4FED" w:rsidP="00CE3B4F">
      <w:r w:rsidRPr="00666914">
        <w:rPr>
          <w:b/>
        </w:rPr>
        <w:t>Poskytovatelia ZS v súčasnosti reportujú údaje vo viacerých výkazoch pre NCZI, MZ SR či iné subjekty.</w:t>
      </w:r>
      <w:r w:rsidRPr="00666914">
        <w:t xml:space="preserve"> Pozitívnou zmenou od roka 2019 je zavedenie jednotného postupu vedenia účtovníctva a postupov vnútroorganizačného účtovníctva v organizáciách v zriaďovateľskej pôsobnosti MZ SR. Opatrenie zvýšilo kvalitu a porovnateľnosť vykazovaných údajov. Zámerom elektronizácie zdravotníctva by mala byť čo najväčšia miera automatizácie reportingu, aby raz zadané údaje od PZS do systému boli dostupné pre všetky požadované subjekty od NCZI po ZP.</w:t>
      </w:r>
    </w:p>
    <w:p w14:paraId="52C772B4" w14:textId="77777777" w:rsidR="008A4FED" w:rsidRPr="00666914" w:rsidRDefault="008A4FED" w:rsidP="00CE3B4F">
      <w:r w:rsidRPr="00666914">
        <w:rPr>
          <w:b/>
        </w:rPr>
        <w:t>Jednotnej analýze nákladov/výdavkov na zdravotnú starostlivosť by pomohla jednotná forma a významnejšia miera detailu výročných správ ZP</w:t>
      </w:r>
      <w:r w:rsidRPr="00666914">
        <w:t>, vrátane jasného popisu dát a ich metodológie. Od 1.1 2005 platí Vyhláška MZ SR – č. 767/2004 Z. z. o náležitostiach správy o činnosti zdravotnej poisťovne. Vyhláška obsahuje iba 7 povinných, prevažne formálnych, údajov, ktoré musia ZP vo výročnej správe uviesť. Od svojho vzniku nebola vyhláška novelizovaná. Ako vzor pre potrebnú úpravu môže slúžiť vyhláška</w:t>
      </w:r>
      <w:r w:rsidRPr="00666914">
        <w:rPr>
          <w:rStyle w:val="Odkaznapoznmkupodiarou"/>
        </w:rPr>
        <w:footnoteReference w:id="42"/>
      </w:r>
      <w:r w:rsidRPr="00666914">
        <w:t xml:space="preserve"> vydaná českým MZ pre ZP pôsobiace v ČR. Nariadenie určuje detailný zoznam povinných údajov. </w:t>
      </w:r>
    </w:p>
    <w:p w14:paraId="48884DF0" w14:textId="77777777" w:rsidR="008A4FED" w:rsidRPr="00666914" w:rsidRDefault="008A4FED" w:rsidP="00CE3B4F">
      <w:r w:rsidRPr="00666914">
        <w:rPr>
          <w:b/>
        </w:rPr>
        <w:t>Z hľadiska finančnej analýzy je žiaduce nastaviť spôsob prepočtu medzi akruálnym pohľadom používaným na MZ SR a v ZP a hotovostným princípom používaným na MF SR pri tvorbe a plnení rozpočtu</w:t>
      </w:r>
      <w:r w:rsidRPr="00666914">
        <w:t xml:space="preserve">. Revízia výdavkov II. odporúča zaviesť programové rozpočtovanie na celé verejné zdravotné poistenie, nielen na kapitolu MZ SR. Proces zavedenia si vyžaduje úzku spoluprácu MZ SR, MF SR a ZP. ZP momentálne nevykazujú výdavky v programovej štruktúre v zavedenom systéme. Výhody rozpočtovania na základe určených cieľov a dosahovaných </w:t>
      </w:r>
      <w:r w:rsidRPr="00666914">
        <w:lastRenderedPageBreak/>
        <w:t xml:space="preserve">výsledkov prevyšujú potenciálne prekážky. Takýmto spôsobom bude možné eliminovať opakujúce sa dofinancovávanie zdravotníctva v priebehu roka, čo je dlhodobo neudržateľné a považuje sa za nesystémový krok pre predvídateľnosť plánovania a realizáciu nákupu ZS. Predvídateľnosť a stabilita je dôležitá nielen z pohľadu financovania zdravotníckeho systému, ale tiež z pohľadu legislatívy. Jedným z nástrojov je prijímanie zmien s účinnosťou od 1.1. nasledujúceho kalendárneho roka. </w:t>
      </w:r>
    </w:p>
    <w:p w14:paraId="6338CEBE" w14:textId="6F094520" w:rsidR="008F1270" w:rsidRPr="00666914" w:rsidRDefault="008A4FED" w:rsidP="008A61E1">
      <w:r w:rsidRPr="00666914">
        <w:t>V zmysle vyššej transparentnosti kategorizačných orgánov MZ SR zverejňuje zoznam členov a ich životopisy a na kategorizačnom portáli sú zverejňované údaje o konaniach. Členovia orgánov sú však naďalej menovaní do svojich funkcií ministrom bez výberového konania. Zavedenie povinne platených funkcií by posilnilo profesionalitu. Na základe dodatku k štatútu kategorizačnej komisie pre lieky z roku 2018 MZ SR môže, ale nemusí, uzavrieť s členmi dohodu o prácach vykonávaných mimo pracovného pomeru, na základe ktorej im bude priznaná odmena. Toto opatrenie IJ nepovažuje za dostatočné. Pomôcť by mohlo tiež vybudovanie väčšieho tímu odborníkov na HTA</w:t>
      </w:r>
      <w:r w:rsidRPr="00666914">
        <w:rPr>
          <w:rStyle w:val="Odkaznapoznmkupodiarou"/>
        </w:rPr>
        <w:footnoteReference w:id="43"/>
      </w:r>
      <w:r w:rsidRPr="00666914">
        <w:t>.</w:t>
      </w:r>
    </w:p>
    <w:p w14:paraId="4BC762F8" w14:textId="0FFF4411" w:rsidR="008A4FED" w:rsidRPr="00666914" w:rsidRDefault="008A4FED" w:rsidP="008A4FED">
      <w:pPr>
        <w:numPr>
          <w:ilvl w:val="0"/>
          <w:numId w:val="30"/>
        </w:numPr>
        <w:contextualSpacing/>
        <w:jc w:val="left"/>
        <w:rPr>
          <w:b/>
          <w:u w:val="single"/>
        </w:rPr>
      </w:pPr>
      <w:r w:rsidRPr="00666914">
        <w:rPr>
          <w:b/>
        </w:rPr>
        <w:t xml:space="preserve">a 32.  </w:t>
      </w:r>
      <w:r w:rsidRPr="00666914">
        <w:rPr>
          <w:b/>
          <w:u w:val="single"/>
        </w:rPr>
        <w:t>Rast miezd nelekárskeho personálu ÚZS a</w:t>
      </w:r>
      <w:r w:rsidR="008F1270" w:rsidRPr="00666914">
        <w:rPr>
          <w:b/>
          <w:u w:val="single"/>
        </w:rPr>
        <w:t> </w:t>
      </w:r>
      <w:r w:rsidRPr="00666914">
        <w:rPr>
          <w:b/>
          <w:u w:val="single"/>
        </w:rPr>
        <w:t>AZS</w:t>
      </w:r>
    </w:p>
    <w:p w14:paraId="5D488DFD" w14:textId="77777777" w:rsidR="008F1270" w:rsidRPr="00666914" w:rsidRDefault="008F1270" w:rsidP="008F1270">
      <w:pPr>
        <w:ind w:left="720"/>
        <w:contextualSpacing/>
        <w:jc w:val="left"/>
        <w:rPr>
          <w:b/>
          <w:u w:val="single"/>
        </w:rPr>
      </w:pPr>
    </w:p>
    <w:p w14:paraId="3B2CA427" w14:textId="77777777" w:rsidR="008A4FED" w:rsidRPr="00666914" w:rsidRDefault="008A4FED" w:rsidP="00F64B85">
      <w:pPr>
        <w:spacing w:before="240"/>
      </w:pPr>
      <w:r w:rsidRPr="00666914">
        <w:rPr>
          <w:b/>
        </w:rPr>
        <w:t>Cieľom opatrenia bolo zvýšenie miezd nelekárskeho zdravotníckeho personálu v priemere o 10 % nad rámec tzv. platového automatu</w:t>
      </w:r>
      <w:r w:rsidRPr="00666914">
        <w:rPr>
          <w:rStyle w:val="Odkaznapoznmkupodiarou"/>
        </w:rPr>
        <w:footnoteReference w:id="44"/>
      </w:r>
      <w:r w:rsidRPr="00666914">
        <w:t>. Pre vyhodnotenie opatrenia sú k dispozícii údaje o </w:t>
      </w:r>
      <w:r w:rsidRPr="00666914">
        <w:rPr>
          <w:u w:val="single"/>
        </w:rPr>
        <w:t>celkových vyplatených mzdách</w:t>
      </w:r>
      <w:r w:rsidRPr="00666914">
        <w:t xml:space="preserve"> pracovníkov iba </w:t>
      </w:r>
      <w:r w:rsidRPr="00666914">
        <w:rPr>
          <w:u w:val="single"/>
        </w:rPr>
        <w:t>verejných</w:t>
      </w:r>
      <w:r w:rsidRPr="00666914">
        <w:t xml:space="preserve"> PZS reportovaných NCZI.</w:t>
      </w:r>
    </w:p>
    <w:p w14:paraId="3AA240C3" w14:textId="6166F71F" w:rsidR="008A4FED" w:rsidRPr="00666914" w:rsidRDefault="008A4FED" w:rsidP="00F64B85">
      <w:pPr>
        <w:spacing w:before="240"/>
      </w:pPr>
      <w:r w:rsidRPr="00666914">
        <w:t>Celková suma vyplatených miezd nelekárskemu zdravotnickému personálu vo verejnej ÚZS a AZS v roku 2019 vzrástla o 14,9 % (tabuľka 1</w:t>
      </w:r>
      <w:r w:rsidR="00EB2C64" w:rsidRPr="00666914">
        <w:t>8</w:t>
      </w:r>
      <w:r w:rsidRPr="00666914">
        <w:t xml:space="preserve">). Táto suma zahŕňa všetky zložky platu a všetky vplyvy, ktoré v roku 2019 pôsobili na výšku miezd – platový automat, zmena koeficientov, príplatky, rast minimálnej mzdy a špecifiká mzdovej politiky PZS. Suma nie je očistená o zmeny v počte a štruktúre pracovníkov. </w:t>
      </w:r>
    </w:p>
    <w:p w14:paraId="7D9B5573" w14:textId="275FAD31" w:rsidR="008A4FED" w:rsidRPr="00666914" w:rsidRDefault="008A4FED" w:rsidP="006C518A">
      <w:pPr>
        <w:pBdr>
          <w:bottom w:val="single" w:sz="4" w:space="1" w:color="auto"/>
        </w:pBdr>
        <w:spacing w:before="240" w:after="0"/>
      </w:pPr>
      <w:bookmarkStart w:id="158" w:name="_Toc36547038"/>
      <w:bookmarkStart w:id="159" w:name="_Toc38447679"/>
      <w:r w:rsidRPr="00666914">
        <w:rPr>
          <w:b/>
          <w:sz w:val="20"/>
        </w:rPr>
        <w:t xml:space="preserve">Tabuľka </w:t>
      </w:r>
      <w:r w:rsidRPr="00666914">
        <w:rPr>
          <w:b/>
          <w:noProof/>
          <w:sz w:val="20"/>
        </w:rPr>
        <w:fldChar w:fldCharType="begin"/>
      </w:r>
      <w:r w:rsidRPr="00666914">
        <w:rPr>
          <w:b/>
          <w:noProof/>
          <w:sz w:val="20"/>
        </w:rPr>
        <w:instrText xml:space="preserve"> SEQ Tabuľka \* ARABIC </w:instrText>
      </w:r>
      <w:r w:rsidRPr="00666914">
        <w:rPr>
          <w:b/>
          <w:noProof/>
          <w:sz w:val="20"/>
        </w:rPr>
        <w:fldChar w:fldCharType="separate"/>
      </w:r>
      <w:r w:rsidR="005A7304">
        <w:rPr>
          <w:b/>
          <w:noProof/>
          <w:sz w:val="20"/>
        </w:rPr>
        <w:t>18</w:t>
      </w:r>
      <w:r w:rsidRPr="00666914">
        <w:rPr>
          <w:b/>
          <w:noProof/>
          <w:sz w:val="20"/>
        </w:rPr>
        <w:fldChar w:fldCharType="end"/>
      </w:r>
      <w:r w:rsidRPr="00666914">
        <w:rPr>
          <w:b/>
          <w:sz w:val="20"/>
        </w:rPr>
        <w:t>: Rast celkovej sumy vyplatených miezd nelekárskym zdravotníckym pracovníkom vo verejnej ÚZS a AZS</w:t>
      </w:r>
      <w:bookmarkEnd w:id="158"/>
      <w:bookmarkEnd w:id="159"/>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7"/>
        <w:gridCol w:w="1898"/>
      </w:tblGrid>
      <w:tr w:rsidR="008A4FED" w:rsidRPr="00666914" w14:paraId="6A42405F" w14:textId="77777777" w:rsidTr="006C518A">
        <w:trPr>
          <w:trHeight w:val="60"/>
          <w:jc w:val="center"/>
        </w:trPr>
        <w:tc>
          <w:tcPr>
            <w:tcW w:w="1627" w:type="dxa"/>
            <w:tcBorders>
              <w:bottom w:val="single" w:sz="4" w:space="0" w:color="auto"/>
              <w:right w:val="single" w:sz="4" w:space="0" w:color="auto"/>
            </w:tcBorders>
          </w:tcPr>
          <w:p w14:paraId="4B2A0A19" w14:textId="77777777" w:rsidR="008A4FED" w:rsidRPr="00666914" w:rsidRDefault="008A4FED" w:rsidP="006C518A">
            <w:pPr>
              <w:spacing w:after="0"/>
              <w:jc w:val="left"/>
              <w:rPr>
                <w:rFonts w:eastAsia="Times New Roman" w:cs="Calibri"/>
                <w:bCs/>
                <w:sz w:val="20"/>
                <w:szCs w:val="20"/>
                <w:lang w:eastAsia="sk-SK"/>
              </w:rPr>
            </w:pPr>
          </w:p>
        </w:tc>
        <w:tc>
          <w:tcPr>
            <w:tcW w:w="1898" w:type="dxa"/>
            <w:tcBorders>
              <w:left w:val="single" w:sz="4" w:space="0" w:color="auto"/>
              <w:bottom w:val="single" w:sz="4" w:space="0" w:color="auto"/>
            </w:tcBorders>
            <w:vAlign w:val="bottom"/>
          </w:tcPr>
          <w:p w14:paraId="26D23B86" w14:textId="77777777" w:rsidR="008A4FED" w:rsidRPr="00666914" w:rsidRDefault="008A4FED" w:rsidP="006C518A">
            <w:pPr>
              <w:spacing w:after="0"/>
              <w:jc w:val="center"/>
              <w:rPr>
                <w:rFonts w:eastAsia="Times New Roman" w:cs="Calibri"/>
                <w:bCs/>
                <w:sz w:val="20"/>
                <w:szCs w:val="20"/>
                <w:lang w:eastAsia="sk-SK"/>
              </w:rPr>
            </w:pPr>
            <w:r w:rsidRPr="00666914">
              <w:rPr>
                <w:rFonts w:eastAsia="Times New Roman" w:cs="Calibri"/>
                <w:bCs/>
                <w:sz w:val="20"/>
                <w:szCs w:val="20"/>
                <w:lang w:eastAsia="sk-SK"/>
              </w:rPr>
              <w:t>Medziročný nárast</w:t>
            </w:r>
          </w:p>
        </w:tc>
      </w:tr>
      <w:tr w:rsidR="008A4FED" w:rsidRPr="00666914" w14:paraId="10321853" w14:textId="77777777" w:rsidTr="006C518A">
        <w:trPr>
          <w:trHeight w:val="60"/>
          <w:jc w:val="center"/>
        </w:trPr>
        <w:tc>
          <w:tcPr>
            <w:tcW w:w="1627" w:type="dxa"/>
            <w:tcBorders>
              <w:right w:val="single" w:sz="4" w:space="0" w:color="auto"/>
            </w:tcBorders>
          </w:tcPr>
          <w:p w14:paraId="0AAC5B4D" w14:textId="77777777" w:rsidR="008A4FED" w:rsidRPr="00666914" w:rsidRDefault="008A4FED" w:rsidP="00F64B85">
            <w:pPr>
              <w:jc w:val="left"/>
              <w:rPr>
                <w:rFonts w:eastAsia="Times New Roman" w:cs="Calibri"/>
                <w:bCs/>
                <w:sz w:val="20"/>
                <w:szCs w:val="20"/>
                <w:lang w:eastAsia="sk-SK"/>
              </w:rPr>
            </w:pPr>
            <w:r w:rsidRPr="00666914">
              <w:rPr>
                <w:rFonts w:eastAsia="Times New Roman" w:cs="Calibri"/>
                <w:bCs/>
                <w:sz w:val="20"/>
                <w:szCs w:val="20"/>
                <w:lang w:eastAsia="sk-SK"/>
              </w:rPr>
              <w:t>2018</w:t>
            </w:r>
          </w:p>
        </w:tc>
        <w:tc>
          <w:tcPr>
            <w:tcW w:w="1898" w:type="dxa"/>
            <w:tcBorders>
              <w:left w:val="single" w:sz="4" w:space="0" w:color="auto"/>
            </w:tcBorders>
            <w:vAlign w:val="bottom"/>
          </w:tcPr>
          <w:p w14:paraId="113743D6" w14:textId="77777777" w:rsidR="008A4FED" w:rsidRPr="00666914" w:rsidRDefault="008A4FED" w:rsidP="00F64B85">
            <w:pPr>
              <w:jc w:val="center"/>
              <w:rPr>
                <w:rFonts w:eastAsia="Times New Roman" w:cs="Calibri"/>
                <w:bCs/>
                <w:sz w:val="20"/>
                <w:szCs w:val="20"/>
                <w:lang w:eastAsia="sk-SK"/>
              </w:rPr>
            </w:pPr>
            <w:r w:rsidRPr="00666914">
              <w:rPr>
                <w:rFonts w:eastAsia="Times New Roman" w:cs="Calibri"/>
                <w:bCs/>
                <w:sz w:val="20"/>
                <w:szCs w:val="20"/>
                <w:lang w:eastAsia="sk-SK"/>
              </w:rPr>
              <w:t>5,1%</w:t>
            </w:r>
          </w:p>
        </w:tc>
      </w:tr>
      <w:tr w:rsidR="008A4FED" w:rsidRPr="00666914" w14:paraId="03DB3E3B" w14:textId="77777777" w:rsidTr="007075F7">
        <w:trPr>
          <w:trHeight w:val="171"/>
          <w:jc w:val="center"/>
        </w:trPr>
        <w:tc>
          <w:tcPr>
            <w:tcW w:w="1627" w:type="dxa"/>
            <w:tcBorders>
              <w:bottom w:val="single" w:sz="4" w:space="0" w:color="auto"/>
              <w:right w:val="single" w:sz="4" w:space="0" w:color="auto"/>
            </w:tcBorders>
          </w:tcPr>
          <w:p w14:paraId="6CDBE8BD" w14:textId="77777777" w:rsidR="008A4FED" w:rsidRPr="00666914" w:rsidRDefault="008A4FED" w:rsidP="00F64B85">
            <w:pPr>
              <w:jc w:val="left"/>
              <w:rPr>
                <w:rFonts w:eastAsia="Times New Roman" w:cs="Calibri"/>
                <w:bCs/>
                <w:sz w:val="20"/>
                <w:szCs w:val="20"/>
                <w:lang w:eastAsia="sk-SK"/>
              </w:rPr>
            </w:pPr>
            <w:r w:rsidRPr="00666914">
              <w:rPr>
                <w:rFonts w:eastAsia="Times New Roman" w:cs="Calibri"/>
                <w:bCs/>
                <w:sz w:val="20"/>
                <w:szCs w:val="20"/>
                <w:lang w:eastAsia="sk-SK"/>
              </w:rPr>
              <w:t>2019</w:t>
            </w:r>
          </w:p>
        </w:tc>
        <w:tc>
          <w:tcPr>
            <w:tcW w:w="1898" w:type="dxa"/>
            <w:tcBorders>
              <w:left w:val="single" w:sz="4" w:space="0" w:color="auto"/>
              <w:bottom w:val="single" w:sz="4" w:space="0" w:color="auto"/>
            </w:tcBorders>
            <w:vAlign w:val="bottom"/>
          </w:tcPr>
          <w:p w14:paraId="4B7C8A87" w14:textId="77777777" w:rsidR="008A4FED" w:rsidRPr="00666914" w:rsidRDefault="008A4FED" w:rsidP="00F64B85">
            <w:pPr>
              <w:jc w:val="center"/>
              <w:rPr>
                <w:rFonts w:eastAsia="Times New Roman" w:cs="Calibri"/>
                <w:bCs/>
                <w:sz w:val="20"/>
                <w:szCs w:val="20"/>
                <w:lang w:eastAsia="sk-SK"/>
              </w:rPr>
            </w:pPr>
            <w:r w:rsidRPr="00666914">
              <w:rPr>
                <w:rFonts w:eastAsia="Times New Roman" w:cs="Calibri"/>
                <w:bCs/>
                <w:sz w:val="20"/>
                <w:szCs w:val="20"/>
                <w:lang w:eastAsia="sk-SK"/>
              </w:rPr>
              <w:t>14,9%</w:t>
            </w:r>
          </w:p>
        </w:tc>
      </w:tr>
    </w:tbl>
    <w:p w14:paraId="0CEF011A" w14:textId="12586E86" w:rsidR="008A4FED" w:rsidRPr="00666914" w:rsidRDefault="00E57C48" w:rsidP="00F64B85">
      <w:pPr>
        <w:ind w:left="4962"/>
        <w:rPr>
          <w:i/>
          <w:sz w:val="18"/>
        </w:rPr>
      </w:pPr>
      <w:r w:rsidRPr="00666914">
        <w:rPr>
          <w:i/>
          <w:sz w:val="18"/>
        </w:rPr>
        <w:t xml:space="preserve">                                                                        </w:t>
      </w:r>
      <w:r w:rsidR="008A4FED" w:rsidRPr="00666914">
        <w:rPr>
          <w:i/>
          <w:sz w:val="18"/>
        </w:rPr>
        <w:t>Zdroj: NCZI, MF SR</w:t>
      </w:r>
    </w:p>
    <w:p w14:paraId="480A079B" w14:textId="7337E2CB" w:rsidR="008A4FED" w:rsidRPr="00666914" w:rsidRDefault="008A4FED" w:rsidP="00F64B85">
      <w:pPr>
        <w:spacing w:before="240"/>
      </w:pPr>
      <w:r w:rsidRPr="00666914">
        <w:t>Veľkú väčšinu nelekárskych pracovníkov tvoria sestry, preto vývoj v mzdách sestier môžeme považovať za smerodajný pre celú skupinu nelekárskeho zdravotníckeho personálu. Priemerná mesačná mzda sestier u verejných PZS v roku 2019 vzrástla o 14,8 % (tabuľka 1</w:t>
      </w:r>
      <w:r w:rsidR="00EB2C64" w:rsidRPr="00666914">
        <w:t>9</w:t>
      </w:r>
      <w:r w:rsidRPr="00666914">
        <w:t>) a jej vývoj kopíruje rast celkovej sumy vyplatených miezd nelekárskym zdravotníckym pracovníkom.</w:t>
      </w:r>
    </w:p>
    <w:p w14:paraId="43D291E3" w14:textId="15BDAB71" w:rsidR="008A4FED" w:rsidRPr="00666914" w:rsidRDefault="008A4FED" w:rsidP="008F1270">
      <w:pPr>
        <w:pBdr>
          <w:bottom w:val="single" w:sz="4" w:space="1" w:color="auto"/>
        </w:pBdr>
        <w:spacing w:before="240" w:after="0"/>
      </w:pPr>
      <w:bookmarkStart w:id="160" w:name="_Toc36547039"/>
      <w:bookmarkStart w:id="161" w:name="_Toc38447680"/>
      <w:r w:rsidRPr="00666914">
        <w:rPr>
          <w:b/>
          <w:sz w:val="20"/>
        </w:rPr>
        <w:t xml:space="preserve">Tabuľka </w:t>
      </w:r>
      <w:r w:rsidRPr="00666914">
        <w:rPr>
          <w:b/>
          <w:noProof/>
          <w:sz w:val="20"/>
        </w:rPr>
        <w:fldChar w:fldCharType="begin"/>
      </w:r>
      <w:r w:rsidRPr="00666914">
        <w:rPr>
          <w:b/>
          <w:noProof/>
          <w:sz w:val="20"/>
        </w:rPr>
        <w:instrText xml:space="preserve"> SEQ Tabuľka \* ARABIC </w:instrText>
      </w:r>
      <w:r w:rsidRPr="00666914">
        <w:rPr>
          <w:b/>
          <w:noProof/>
          <w:sz w:val="20"/>
        </w:rPr>
        <w:fldChar w:fldCharType="separate"/>
      </w:r>
      <w:r w:rsidR="005A7304">
        <w:rPr>
          <w:b/>
          <w:noProof/>
          <w:sz w:val="20"/>
        </w:rPr>
        <w:t>19</w:t>
      </w:r>
      <w:r w:rsidRPr="00666914">
        <w:rPr>
          <w:b/>
          <w:noProof/>
          <w:sz w:val="20"/>
        </w:rPr>
        <w:fldChar w:fldCharType="end"/>
      </w:r>
      <w:r w:rsidRPr="00666914">
        <w:rPr>
          <w:b/>
          <w:sz w:val="20"/>
        </w:rPr>
        <w:t>: Priemerná mesačná mzda sestry u verejného PZS</w:t>
      </w:r>
      <w:bookmarkEnd w:id="160"/>
      <w:bookmarkEnd w:id="161"/>
    </w:p>
    <w:tbl>
      <w:tblPr>
        <w:tblStyle w:val="Mriekatabuky"/>
        <w:tblW w:w="93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8"/>
        <w:gridCol w:w="4891"/>
        <w:gridCol w:w="2378"/>
      </w:tblGrid>
      <w:tr w:rsidR="008A4FED" w:rsidRPr="00666914" w14:paraId="2FDBACCC" w14:textId="77777777" w:rsidTr="008F1270">
        <w:trPr>
          <w:trHeight w:val="59"/>
          <w:jc w:val="center"/>
        </w:trPr>
        <w:tc>
          <w:tcPr>
            <w:tcW w:w="2038" w:type="dxa"/>
            <w:tcBorders>
              <w:bottom w:val="single" w:sz="4" w:space="0" w:color="auto"/>
              <w:right w:val="single" w:sz="4" w:space="0" w:color="auto"/>
            </w:tcBorders>
          </w:tcPr>
          <w:p w14:paraId="00337D5F" w14:textId="77777777" w:rsidR="008A4FED" w:rsidRPr="00666914" w:rsidRDefault="008A4FED" w:rsidP="008F1270">
            <w:pPr>
              <w:spacing w:after="0"/>
              <w:jc w:val="left"/>
              <w:rPr>
                <w:rFonts w:eastAsia="Times New Roman" w:cs="Calibri"/>
                <w:bCs/>
                <w:sz w:val="20"/>
                <w:szCs w:val="20"/>
                <w:lang w:eastAsia="sk-SK"/>
              </w:rPr>
            </w:pPr>
          </w:p>
        </w:tc>
        <w:tc>
          <w:tcPr>
            <w:tcW w:w="4891" w:type="dxa"/>
            <w:tcBorders>
              <w:bottom w:val="single" w:sz="4" w:space="0" w:color="auto"/>
              <w:right w:val="single" w:sz="4" w:space="0" w:color="auto"/>
            </w:tcBorders>
          </w:tcPr>
          <w:p w14:paraId="525D5910" w14:textId="77777777" w:rsidR="008A4FED" w:rsidRPr="00666914" w:rsidRDefault="008A4FED" w:rsidP="008F1270">
            <w:pPr>
              <w:spacing w:after="0"/>
              <w:jc w:val="center"/>
              <w:rPr>
                <w:rFonts w:eastAsia="Times New Roman" w:cs="Calibri"/>
                <w:bCs/>
                <w:sz w:val="20"/>
                <w:szCs w:val="20"/>
                <w:lang w:eastAsia="sk-SK"/>
              </w:rPr>
            </w:pPr>
            <w:r w:rsidRPr="00666914">
              <w:rPr>
                <w:rFonts w:eastAsia="Times New Roman" w:cs="Calibri"/>
                <w:bCs/>
                <w:sz w:val="20"/>
                <w:szCs w:val="20"/>
                <w:lang w:eastAsia="sk-SK"/>
              </w:rPr>
              <w:t>Priemerná vyplatená mesačná mzda (eur)</w:t>
            </w:r>
          </w:p>
        </w:tc>
        <w:tc>
          <w:tcPr>
            <w:tcW w:w="2378" w:type="dxa"/>
            <w:tcBorders>
              <w:left w:val="single" w:sz="4" w:space="0" w:color="auto"/>
              <w:bottom w:val="single" w:sz="4" w:space="0" w:color="auto"/>
            </w:tcBorders>
            <w:vAlign w:val="bottom"/>
          </w:tcPr>
          <w:p w14:paraId="622E9374" w14:textId="77777777" w:rsidR="008A4FED" w:rsidRPr="00666914" w:rsidRDefault="008A4FED" w:rsidP="008F1270">
            <w:pPr>
              <w:spacing w:after="0"/>
              <w:jc w:val="center"/>
              <w:rPr>
                <w:rFonts w:eastAsia="Times New Roman" w:cs="Calibri"/>
                <w:bCs/>
                <w:sz w:val="20"/>
                <w:szCs w:val="20"/>
                <w:lang w:eastAsia="sk-SK"/>
              </w:rPr>
            </w:pPr>
            <w:r w:rsidRPr="00666914">
              <w:rPr>
                <w:rFonts w:eastAsia="Times New Roman" w:cs="Calibri"/>
                <w:bCs/>
                <w:sz w:val="20"/>
                <w:szCs w:val="20"/>
                <w:lang w:eastAsia="sk-SK"/>
              </w:rPr>
              <w:t>Medziročný nárast</w:t>
            </w:r>
          </w:p>
        </w:tc>
      </w:tr>
      <w:tr w:rsidR="008A4FED" w:rsidRPr="00666914" w14:paraId="5A659007" w14:textId="77777777" w:rsidTr="00BA7368">
        <w:trPr>
          <w:trHeight w:val="59"/>
          <w:jc w:val="center"/>
        </w:trPr>
        <w:tc>
          <w:tcPr>
            <w:tcW w:w="2038" w:type="dxa"/>
            <w:tcBorders>
              <w:right w:val="single" w:sz="4" w:space="0" w:color="auto"/>
            </w:tcBorders>
          </w:tcPr>
          <w:p w14:paraId="1980D7EB" w14:textId="77777777" w:rsidR="008A4FED" w:rsidRPr="00666914" w:rsidRDefault="008A4FED" w:rsidP="008F1270">
            <w:pPr>
              <w:spacing w:after="0"/>
              <w:jc w:val="left"/>
              <w:rPr>
                <w:rFonts w:eastAsia="Times New Roman" w:cs="Calibri"/>
                <w:bCs/>
                <w:sz w:val="20"/>
                <w:szCs w:val="20"/>
                <w:lang w:eastAsia="sk-SK"/>
              </w:rPr>
            </w:pPr>
            <w:r w:rsidRPr="00666914">
              <w:rPr>
                <w:rFonts w:eastAsia="Times New Roman" w:cs="Calibri"/>
                <w:bCs/>
                <w:sz w:val="20"/>
                <w:szCs w:val="20"/>
                <w:lang w:eastAsia="sk-SK"/>
              </w:rPr>
              <w:t>2017</w:t>
            </w:r>
          </w:p>
        </w:tc>
        <w:tc>
          <w:tcPr>
            <w:tcW w:w="4891" w:type="dxa"/>
            <w:tcBorders>
              <w:right w:val="single" w:sz="4" w:space="0" w:color="auto"/>
            </w:tcBorders>
          </w:tcPr>
          <w:p w14:paraId="7EE8029F" w14:textId="77777777" w:rsidR="008A4FED" w:rsidRPr="00666914" w:rsidRDefault="008A4FED" w:rsidP="008F1270">
            <w:pPr>
              <w:spacing w:after="0"/>
              <w:jc w:val="center"/>
              <w:rPr>
                <w:rFonts w:eastAsia="Times New Roman" w:cs="Calibri"/>
                <w:bCs/>
                <w:sz w:val="20"/>
                <w:szCs w:val="20"/>
                <w:lang w:eastAsia="sk-SK"/>
              </w:rPr>
            </w:pPr>
            <w:r w:rsidRPr="00666914">
              <w:rPr>
                <w:sz w:val="20"/>
                <w:szCs w:val="20"/>
              </w:rPr>
              <w:t xml:space="preserve">1 105 </w:t>
            </w:r>
          </w:p>
        </w:tc>
        <w:tc>
          <w:tcPr>
            <w:tcW w:w="2378" w:type="dxa"/>
            <w:tcBorders>
              <w:left w:val="single" w:sz="4" w:space="0" w:color="auto"/>
            </w:tcBorders>
          </w:tcPr>
          <w:p w14:paraId="25B98D11" w14:textId="77777777" w:rsidR="008A4FED" w:rsidRPr="00666914" w:rsidRDefault="008A4FED" w:rsidP="008F1270">
            <w:pPr>
              <w:spacing w:after="0"/>
              <w:jc w:val="center"/>
              <w:rPr>
                <w:rFonts w:eastAsia="Times New Roman" w:cs="Calibri"/>
                <w:bCs/>
                <w:sz w:val="20"/>
                <w:szCs w:val="20"/>
                <w:lang w:eastAsia="sk-SK"/>
              </w:rPr>
            </w:pPr>
            <w:r w:rsidRPr="00666914">
              <w:rPr>
                <w:sz w:val="20"/>
                <w:szCs w:val="20"/>
              </w:rPr>
              <w:t>-</w:t>
            </w:r>
          </w:p>
        </w:tc>
      </w:tr>
      <w:tr w:rsidR="008A4FED" w:rsidRPr="00666914" w14:paraId="651D7B2A" w14:textId="77777777" w:rsidTr="008F1270">
        <w:trPr>
          <w:trHeight w:val="59"/>
          <w:jc w:val="center"/>
        </w:trPr>
        <w:tc>
          <w:tcPr>
            <w:tcW w:w="2038" w:type="dxa"/>
            <w:tcBorders>
              <w:right w:val="single" w:sz="4" w:space="0" w:color="auto"/>
            </w:tcBorders>
          </w:tcPr>
          <w:p w14:paraId="055347FE" w14:textId="77777777" w:rsidR="008A4FED" w:rsidRPr="00666914" w:rsidRDefault="008A4FED" w:rsidP="008F1270">
            <w:pPr>
              <w:spacing w:after="0"/>
              <w:jc w:val="left"/>
              <w:rPr>
                <w:rFonts w:eastAsia="Times New Roman" w:cs="Calibri"/>
                <w:bCs/>
                <w:sz w:val="20"/>
                <w:szCs w:val="20"/>
                <w:lang w:eastAsia="sk-SK"/>
              </w:rPr>
            </w:pPr>
            <w:r w:rsidRPr="00666914">
              <w:rPr>
                <w:rFonts w:eastAsia="Times New Roman" w:cs="Calibri"/>
                <w:bCs/>
                <w:sz w:val="20"/>
                <w:szCs w:val="20"/>
                <w:lang w:eastAsia="sk-SK"/>
              </w:rPr>
              <w:t>2018</w:t>
            </w:r>
          </w:p>
        </w:tc>
        <w:tc>
          <w:tcPr>
            <w:tcW w:w="4891" w:type="dxa"/>
            <w:tcBorders>
              <w:right w:val="single" w:sz="4" w:space="0" w:color="auto"/>
            </w:tcBorders>
          </w:tcPr>
          <w:p w14:paraId="66FDA0E1" w14:textId="77777777" w:rsidR="008A4FED" w:rsidRPr="00666914" w:rsidRDefault="008A4FED" w:rsidP="008F1270">
            <w:pPr>
              <w:spacing w:after="0"/>
              <w:jc w:val="center"/>
              <w:rPr>
                <w:rFonts w:eastAsia="Times New Roman" w:cs="Calibri"/>
                <w:bCs/>
                <w:sz w:val="20"/>
                <w:szCs w:val="20"/>
                <w:lang w:eastAsia="sk-SK"/>
              </w:rPr>
            </w:pPr>
            <w:r w:rsidRPr="00666914">
              <w:rPr>
                <w:sz w:val="20"/>
                <w:szCs w:val="20"/>
              </w:rPr>
              <w:t xml:space="preserve">1 182 </w:t>
            </w:r>
          </w:p>
        </w:tc>
        <w:tc>
          <w:tcPr>
            <w:tcW w:w="2378" w:type="dxa"/>
            <w:tcBorders>
              <w:left w:val="single" w:sz="4" w:space="0" w:color="auto"/>
            </w:tcBorders>
          </w:tcPr>
          <w:p w14:paraId="2B11CE20" w14:textId="77777777" w:rsidR="008A4FED" w:rsidRPr="00666914" w:rsidRDefault="008A4FED" w:rsidP="008F1270">
            <w:pPr>
              <w:spacing w:after="0"/>
              <w:jc w:val="center"/>
              <w:rPr>
                <w:rFonts w:eastAsia="Times New Roman" w:cs="Calibri"/>
                <w:bCs/>
                <w:sz w:val="20"/>
                <w:szCs w:val="20"/>
                <w:lang w:eastAsia="sk-SK"/>
              </w:rPr>
            </w:pPr>
            <w:r w:rsidRPr="00666914">
              <w:rPr>
                <w:sz w:val="20"/>
                <w:szCs w:val="20"/>
              </w:rPr>
              <w:t>6,9%</w:t>
            </w:r>
          </w:p>
        </w:tc>
      </w:tr>
      <w:tr w:rsidR="008A4FED" w:rsidRPr="00666914" w14:paraId="41EF9E60" w14:textId="77777777" w:rsidTr="00BA7368">
        <w:trPr>
          <w:trHeight w:val="59"/>
          <w:jc w:val="center"/>
        </w:trPr>
        <w:tc>
          <w:tcPr>
            <w:tcW w:w="2038" w:type="dxa"/>
            <w:tcBorders>
              <w:bottom w:val="single" w:sz="4" w:space="0" w:color="auto"/>
              <w:right w:val="single" w:sz="4" w:space="0" w:color="auto"/>
            </w:tcBorders>
          </w:tcPr>
          <w:p w14:paraId="370AD66C" w14:textId="77777777" w:rsidR="008A4FED" w:rsidRPr="00666914" w:rsidRDefault="008A4FED" w:rsidP="008F1270">
            <w:pPr>
              <w:spacing w:after="0"/>
              <w:jc w:val="left"/>
              <w:rPr>
                <w:rFonts w:eastAsia="Times New Roman" w:cs="Calibri"/>
                <w:bCs/>
                <w:sz w:val="20"/>
                <w:szCs w:val="20"/>
                <w:lang w:eastAsia="sk-SK"/>
              </w:rPr>
            </w:pPr>
            <w:r w:rsidRPr="00666914">
              <w:rPr>
                <w:rFonts w:eastAsia="Times New Roman" w:cs="Calibri"/>
                <w:bCs/>
                <w:sz w:val="20"/>
                <w:szCs w:val="20"/>
                <w:lang w:eastAsia="sk-SK"/>
              </w:rPr>
              <w:t>2019</w:t>
            </w:r>
          </w:p>
        </w:tc>
        <w:tc>
          <w:tcPr>
            <w:tcW w:w="4891" w:type="dxa"/>
            <w:tcBorders>
              <w:bottom w:val="single" w:sz="4" w:space="0" w:color="auto"/>
              <w:right w:val="single" w:sz="4" w:space="0" w:color="auto"/>
            </w:tcBorders>
          </w:tcPr>
          <w:p w14:paraId="35D0B0BF" w14:textId="77777777" w:rsidR="008A4FED" w:rsidRPr="00666914" w:rsidRDefault="008A4FED" w:rsidP="008F1270">
            <w:pPr>
              <w:spacing w:after="0"/>
              <w:jc w:val="center"/>
              <w:rPr>
                <w:rFonts w:eastAsia="Times New Roman" w:cs="Calibri"/>
                <w:bCs/>
                <w:sz w:val="20"/>
                <w:szCs w:val="20"/>
                <w:lang w:eastAsia="sk-SK"/>
              </w:rPr>
            </w:pPr>
            <w:r w:rsidRPr="00666914">
              <w:rPr>
                <w:sz w:val="20"/>
                <w:szCs w:val="20"/>
              </w:rPr>
              <w:t xml:space="preserve">1 356 </w:t>
            </w:r>
          </w:p>
        </w:tc>
        <w:tc>
          <w:tcPr>
            <w:tcW w:w="2378" w:type="dxa"/>
            <w:tcBorders>
              <w:left w:val="single" w:sz="4" w:space="0" w:color="auto"/>
              <w:bottom w:val="single" w:sz="4" w:space="0" w:color="auto"/>
            </w:tcBorders>
          </w:tcPr>
          <w:p w14:paraId="22195C1E" w14:textId="77777777" w:rsidR="008A4FED" w:rsidRPr="00666914" w:rsidRDefault="008A4FED" w:rsidP="008F1270">
            <w:pPr>
              <w:spacing w:after="0"/>
              <w:jc w:val="center"/>
              <w:rPr>
                <w:rFonts w:eastAsia="Times New Roman" w:cs="Calibri"/>
                <w:bCs/>
                <w:sz w:val="20"/>
                <w:szCs w:val="20"/>
                <w:lang w:eastAsia="sk-SK"/>
              </w:rPr>
            </w:pPr>
            <w:r w:rsidRPr="00666914">
              <w:rPr>
                <w:sz w:val="20"/>
                <w:szCs w:val="20"/>
              </w:rPr>
              <w:t>14,8%</w:t>
            </w:r>
          </w:p>
        </w:tc>
      </w:tr>
    </w:tbl>
    <w:p w14:paraId="36D1D827" w14:textId="77777777" w:rsidR="00FE7590" w:rsidRPr="00666914" w:rsidRDefault="00FE7590" w:rsidP="00FE7590">
      <w:pPr>
        <w:jc w:val="right"/>
        <w:rPr>
          <w:sz w:val="18"/>
        </w:rPr>
      </w:pPr>
      <w:r w:rsidRPr="00666914">
        <w:rPr>
          <w:i/>
          <w:sz w:val="18"/>
        </w:rPr>
        <w:t>Zdroj: NCZI, MF SR</w:t>
      </w:r>
    </w:p>
    <w:p w14:paraId="0C84C641" w14:textId="54106BB7" w:rsidR="008A4FED" w:rsidRPr="00666914" w:rsidRDefault="008A4FED" w:rsidP="00917630">
      <w:pPr>
        <w:spacing w:before="240"/>
        <w:rPr>
          <w:b/>
        </w:rPr>
      </w:pPr>
      <w:r w:rsidRPr="00666914">
        <w:t xml:space="preserve">Efekt platového automatu, ktorý sa rovná rastu priemernej mzdy zamestnanca v hospodárstve SR spred dvoch rokov, v roku 2019 dosiahol 4,6 %. Zvyšných 10,2-10,3 % medziročného rastu miezd môžeme pripísať ostatným vplyvom vrátane jednorazového zvýšenia koeficientov, ktoré bolo nástrojom pre dosiahnutie opatrenia (t. j. navýšenie o 10 %; nárast príplatkov za víkendy, sviatky, nočné; nárast minimálnej mzdy, ostatné špecifiká mzdovej politiky). Z dostupných dát nie je možné oddeliť jednotlivé efekty. Napriek tomu údaje potvrdzujú výrazné zrýchlenie rastu miezd v medziročnom porovnaní, ktoré sa blíži zamýšľanému 10 % navýšeniu. Pre presnejšiu analýzu by boli </w:t>
      </w:r>
      <w:r w:rsidRPr="00666914">
        <w:lastRenderedPageBreak/>
        <w:t xml:space="preserve">potrebné aj údaje o mzdách pracovníkov u neverejných PZS. Na základe popísaných skutočností a dostupných dát </w:t>
      </w:r>
      <w:r w:rsidRPr="00666914">
        <w:rPr>
          <w:b/>
        </w:rPr>
        <w:t>sa opatrenie k 31.12.2019 plní čiastočne.</w:t>
      </w:r>
    </w:p>
    <w:p w14:paraId="5CB65379" w14:textId="670C582C" w:rsidR="008A4FED" w:rsidRPr="00666914" w:rsidRDefault="008A4FED" w:rsidP="008A4FED">
      <w:pPr>
        <w:numPr>
          <w:ilvl w:val="0"/>
          <w:numId w:val="31"/>
        </w:numPr>
        <w:spacing w:before="240"/>
        <w:contextualSpacing/>
        <w:jc w:val="left"/>
        <w:rPr>
          <w:b/>
          <w:u w:val="single"/>
        </w:rPr>
      </w:pPr>
      <w:r w:rsidRPr="00666914">
        <w:rPr>
          <w:b/>
          <w:u w:val="single"/>
        </w:rPr>
        <w:t>Prevencia – skríningy rakoviny</w:t>
      </w:r>
    </w:p>
    <w:p w14:paraId="5F9F8DF0" w14:textId="77777777" w:rsidR="00847B02" w:rsidRPr="00666914" w:rsidRDefault="00847B02" w:rsidP="00847B02">
      <w:pPr>
        <w:spacing w:before="240"/>
        <w:ind w:left="720"/>
        <w:contextualSpacing/>
        <w:jc w:val="left"/>
        <w:rPr>
          <w:b/>
          <w:u w:val="single"/>
        </w:rPr>
      </w:pPr>
    </w:p>
    <w:p w14:paraId="59AD3B12" w14:textId="6B79F616" w:rsidR="008A4FED" w:rsidRPr="00666914" w:rsidRDefault="008A4FED" w:rsidP="00A55908">
      <w:pPr>
        <w:spacing w:before="240" w:line="259" w:lineRule="auto"/>
      </w:pPr>
      <w:r w:rsidRPr="00666914">
        <w:rPr>
          <w:b/>
        </w:rPr>
        <w:t>Opatrenie sa k 31.12.2019 neplní.</w:t>
      </w:r>
      <w:r w:rsidRPr="00666914">
        <w:t xml:space="preserve"> MZ SR v spolupráci so ZP v roku 2019 začalo realizovať tri programy populačného skríningu onkologických ochorení - kolorektálny karcinóm, karcinóm krčku maternice a karcinóm prsníka. Na základe vybraných charakteristík (vek, pohlavie a pod.) ZP vybrali vzorku poistencov, ktorých oslovili na absolvovanie skríningového  testu. Skríningu rakoviny hrubého čreva sa zúčastnilo 27 % oslovených. Cieľom bola 50 % účasť. Nakoľko ďalšie dva skríningové programy začali až v septembri resp. novembri 2019, obdobie do 31.12. nebolo dostatočne dlhé pre ich vyhodnotenie.</w:t>
      </w:r>
    </w:p>
    <w:p w14:paraId="65C013E1" w14:textId="77777777" w:rsidR="008A4FED" w:rsidRPr="00666914" w:rsidRDefault="008A4FED" w:rsidP="009F4910">
      <w:pPr>
        <w:pStyle w:val="Nadpis2"/>
      </w:pPr>
      <w:bookmarkStart w:id="162" w:name="_Toc509875033"/>
      <w:bookmarkStart w:id="163" w:name="_Toc517698240"/>
      <w:bookmarkStart w:id="164" w:name="_Toc523924388"/>
      <w:bookmarkStart w:id="165" w:name="_Toc5865315"/>
      <w:bookmarkStart w:id="166" w:name="_Toc20104676"/>
      <w:bookmarkStart w:id="167" w:name="_Toc20209247"/>
      <w:bookmarkStart w:id="168" w:name="_Toc36547015"/>
      <w:bookmarkStart w:id="169" w:name="_Toc38447586"/>
      <w:r w:rsidRPr="00666914">
        <w:t>Analytické úlohy</w:t>
      </w:r>
      <w:bookmarkEnd w:id="162"/>
      <w:bookmarkEnd w:id="163"/>
      <w:bookmarkEnd w:id="164"/>
      <w:bookmarkEnd w:id="165"/>
      <w:bookmarkEnd w:id="166"/>
      <w:bookmarkEnd w:id="167"/>
      <w:bookmarkEnd w:id="168"/>
      <w:bookmarkEnd w:id="1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8"/>
        <w:gridCol w:w="734"/>
        <w:gridCol w:w="2240"/>
        <w:gridCol w:w="1405"/>
        <w:gridCol w:w="1036"/>
        <w:gridCol w:w="1351"/>
        <w:gridCol w:w="525"/>
        <w:gridCol w:w="525"/>
        <w:gridCol w:w="525"/>
        <w:gridCol w:w="525"/>
      </w:tblGrid>
      <w:tr w:rsidR="008A4FED" w:rsidRPr="00666914" w14:paraId="07D5DC2E" w14:textId="77777777" w:rsidTr="008B70B3">
        <w:trPr>
          <w:trHeight w:val="495"/>
        </w:trPr>
        <w:tc>
          <w:tcPr>
            <w:tcW w:w="184" w:type="pct"/>
            <w:shd w:val="clear" w:color="auto" w:fill="auto"/>
            <w:noWrap/>
            <w:vAlign w:val="center"/>
            <w:hideMark/>
          </w:tcPr>
          <w:p w14:paraId="14C77FA0" w14:textId="77777777" w:rsidR="008A4FED" w:rsidRPr="00666914" w:rsidRDefault="008A4FED" w:rsidP="004D30E9">
            <w:pPr>
              <w:spacing w:after="0"/>
              <w:jc w:val="left"/>
              <w:rPr>
                <w:rFonts w:eastAsia="Times New Roman"/>
                <w:b/>
                <w:bCs/>
                <w:color w:val="000000"/>
                <w:sz w:val="24"/>
                <w:szCs w:val="24"/>
                <w:lang w:eastAsia="sk-SK"/>
              </w:rPr>
            </w:pPr>
            <w:r w:rsidRPr="00666914">
              <w:rPr>
                <w:rFonts w:eastAsia="Times New Roman"/>
                <w:b/>
                <w:bCs/>
                <w:color w:val="000000"/>
                <w:sz w:val="24"/>
                <w:szCs w:val="24"/>
                <w:lang w:eastAsia="sk-SK"/>
              </w:rPr>
              <w:t> </w:t>
            </w:r>
          </w:p>
        </w:tc>
        <w:tc>
          <w:tcPr>
            <w:tcW w:w="399" w:type="pct"/>
            <w:vAlign w:val="center"/>
          </w:tcPr>
          <w:p w14:paraId="4477CB48" w14:textId="77777777" w:rsidR="008A4FED" w:rsidRPr="00666914" w:rsidRDefault="008A4FED" w:rsidP="004D30E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Revízia</w:t>
            </w:r>
          </w:p>
        </w:tc>
        <w:tc>
          <w:tcPr>
            <w:tcW w:w="1217" w:type="pct"/>
            <w:shd w:val="clear" w:color="auto" w:fill="auto"/>
            <w:noWrap/>
            <w:vAlign w:val="center"/>
            <w:hideMark/>
          </w:tcPr>
          <w:p w14:paraId="42BE5ECD" w14:textId="77777777" w:rsidR="008A4FED" w:rsidRPr="00666914" w:rsidRDefault="008A4FED" w:rsidP="004D30E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Opatrenie</w:t>
            </w:r>
          </w:p>
        </w:tc>
        <w:tc>
          <w:tcPr>
            <w:tcW w:w="763" w:type="pct"/>
            <w:shd w:val="clear" w:color="auto" w:fill="auto"/>
            <w:noWrap/>
            <w:vAlign w:val="center"/>
            <w:hideMark/>
          </w:tcPr>
          <w:p w14:paraId="1C47A98E"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Zodpovednosť</w:t>
            </w:r>
          </w:p>
        </w:tc>
        <w:tc>
          <w:tcPr>
            <w:tcW w:w="563" w:type="pct"/>
            <w:shd w:val="clear" w:color="auto" w:fill="auto"/>
            <w:noWrap/>
            <w:vAlign w:val="center"/>
            <w:hideMark/>
          </w:tcPr>
          <w:p w14:paraId="04406037"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Pôvodný</w:t>
            </w:r>
          </w:p>
          <w:p w14:paraId="34B7D73A"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termín</w:t>
            </w:r>
          </w:p>
        </w:tc>
        <w:tc>
          <w:tcPr>
            <w:tcW w:w="734" w:type="pct"/>
            <w:vAlign w:val="center"/>
          </w:tcPr>
          <w:p w14:paraId="0BC89D39" w14:textId="77777777" w:rsidR="008A4FED" w:rsidRPr="00666914" w:rsidRDefault="008A4FED" w:rsidP="004D30E9">
            <w:pPr>
              <w:spacing w:after="0"/>
              <w:jc w:val="center"/>
              <w:rPr>
                <w:rFonts w:eastAsia="Times New Roman"/>
                <w:b/>
                <w:bCs/>
                <w:color w:val="000000"/>
                <w:sz w:val="20"/>
                <w:szCs w:val="20"/>
                <w:highlight w:val="yellow"/>
                <w:lang w:eastAsia="sk-SK"/>
              </w:rPr>
            </w:pPr>
            <w:r w:rsidRPr="00666914">
              <w:rPr>
                <w:rFonts w:eastAsia="Times New Roman"/>
                <w:b/>
                <w:bCs/>
                <w:color w:val="000000"/>
                <w:sz w:val="20"/>
                <w:szCs w:val="20"/>
                <w:lang w:eastAsia="sk-SK"/>
              </w:rPr>
              <w:t>Nový termín</w:t>
            </w:r>
          </w:p>
        </w:tc>
        <w:tc>
          <w:tcPr>
            <w:tcW w:w="285" w:type="pct"/>
            <w:shd w:val="clear" w:color="auto" w:fill="auto"/>
            <w:noWrap/>
            <w:vAlign w:val="center"/>
            <w:hideMark/>
          </w:tcPr>
          <w:p w14:paraId="2A443C52"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1Q</w:t>
            </w:r>
          </w:p>
          <w:p w14:paraId="16CADA80"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2019</w:t>
            </w:r>
          </w:p>
        </w:tc>
        <w:tc>
          <w:tcPr>
            <w:tcW w:w="285" w:type="pct"/>
            <w:shd w:val="clear" w:color="auto" w:fill="auto"/>
            <w:noWrap/>
            <w:vAlign w:val="center"/>
            <w:hideMark/>
          </w:tcPr>
          <w:p w14:paraId="7F2D29A0"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2Q</w:t>
            </w:r>
          </w:p>
          <w:p w14:paraId="02A2EA1F"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2019</w:t>
            </w:r>
          </w:p>
        </w:tc>
        <w:tc>
          <w:tcPr>
            <w:tcW w:w="285" w:type="pct"/>
            <w:shd w:val="clear" w:color="auto" w:fill="auto"/>
            <w:noWrap/>
            <w:vAlign w:val="center"/>
            <w:hideMark/>
          </w:tcPr>
          <w:p w14:paraId="3EFC58A4"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3Q</w:t>
            </w:r>
          </w:p>
          <w:p w14:paraId="71E159F4"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2019</w:t>
            </w:r>
          </w:p>
        </w:tc>
        <w:tc>
          <w:tcPr>
            <w:tcW w:w="285" w:type="pct"/>
            <w:shd w:val="clear" w:color="auto" w:fill="auto"/>
            <w:noWrap/>
            <w:vAlign w:val="center"/>
            <w:hideMark/>
          </w:tcPr>
          <w:p w14:paraId="6D44D655" w14:textId="77777777" w:rsidR="008A4FED" w:rsidRPr="00666914" w:rsidRDefault="008A4FED" w:rsidP="004D30E9">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4Q</w:t>
            </w:r>
          </w:p>
          <w:p w14:paraId="04DF5BEA" w14:textId="77777777" w:rsidR="008A4FED" w:rsidRPr="00666914" w:rsidRDefault="008A4FED" w:rsidP="004D30E9">
            <w:pPr>
              <w:spacing w:after="0"/>
              <w:ind w:left="-254" w:firstLine="254"/>
              <w:jc w:val="center"/>
              <w:rPr>
                <w:rFonts w:eastAsia="Times New Roman"/>
                <w:b/>
                <w:bCs/>
                <w:color w:val="000000"/>
                <w:sz w:val="20"/>
                <w:szCs w:val="20"/>
                <w:lang w:eastAsia="sk-SK"/>
              </w:rPr>
            </w:pPr>
            <w:r w:rsidRPr="00666914">
              <w:rPr>
                <w:rFonts w:eastAsia="Times New Roman"/>
                <w:b/>
                <w:bCs/>
                <w:color w:val="000000"/>
                <w:sz w:val="20"/>
                <w:szCs w:val="20"/>
                <w:lang w:eastAsia="sk-SK"/>
              </w:rPr>
              <w:t>2019</w:t>
            </w:r>
          </w:p>
        </w:tc>
      </w:tr>
      <w:tr w:rsidR="008A4FED" w:rsidRPr="00666914" w14:paraId="2B7AB114" w14:textId="77777777" w:rsidTr="00F64B85">
        <w:trPr>
          <w:trHeight w:val="615"/>
        </w:trPr>
        <w:tc>
          <w:tcPr>
            <w:tcW w:w="184" w:type="pct"/>
            <w:shd w:val="clear" w:color="auto" w:fill="auto"/>
            <w:vAlign w:val="center"/>
            <w:hideMark/>
          </w:tcPr>
          <w:p w14:paraId="326C7EB8" w14:textId="77777777" w:rsidR="008A4FED" w:rsidRPr="00666914" w:rsidRDefault="008A4FED" w:rsidP="004D30E9">
            <w:pPr>
              <w:spacing w:after="0"/>
              <w:jc w:val="center"/>
              <w:rPr>
                <w:rFonts w:eastAsia="Times New Roman"/>
                <w:bCs/>
                <w:color w:val="000000"/>
                <w:sz w:val="20"/>
                <w:szCs w:val="20"/>
                <w:lang w:eastAsia="sk-SK"/>
              </w:rPr>
            </w:pPr>
            <w:r w:rsidRPr="00666914">
              <w:rPr>
                <w:rFonts w:eastAsia="Times New Roman"/>
                <w:color w:val="000000"/>
                <w:sz w:val="20"/>
                <w:szCs w:val="20"/>
                <w:lang w:eastAsia="sk-SK"/>
              </w:rPr>
              <w:t>34</w:t>
            </w:r>
          </w:p>
        </w:tc>
        <w:tc>
          <w:tcPr>
            <w:tcW w:w="399" w:type="pct"/>
            <w:vAlign w:val="center"/>
          </w:tcPr>
          <w:p w14:paraId="0746208E"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217" w:type="pct"/>
            <w:shd w:val="clear" w:color="auto" w:fill="auto"/>
            <w:vAlign w:val="center"/>
            <w:hideMark/>
          </w:tcPr>
          <w:p w14:paraId="285B948B"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Vyvinúť nástroj na presnejšie stanovenie potreby výdavkov na zdravotnú starostlivosť s ohľadom na udržateľnosť verejných financií</w:t>
            </w:r>
          </w:p>
        </w:tc>
        <w:tc>
          <w:tcPr>
            <w:tcW w:w="763" w:type="pct"/>
            <w:shd w:val="clear" w:color="auto" w:fill="auto"/>
            <w:vAlign w:val="center"/>
            <w:hideMark/>
          </w:tcPr>
          <w:p w14:paraId="5C5E71BC"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 MF SR</w:t>
            </w:r>
          </w:p>
        </w:tc>
        <w:tc>
          <w:tcPr>
            <w:tcW w:w="563" w:type="pct"/>
            <w:shd w:val="clear" w:color="auto" w:fill="auto"/>
            <w:vAlign w:val="center"/>
            <w:hideMark/>
          </w:tcPr>
          <w:p w14:paraId="2E3E1FF3"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31.12.2019</w:t>
            </w:r>
          </w:p>
        </w:tc>
        <w:tc>
          <w:tcPr>
            <w:tcW w:w="734" w:type="pct"/>
            <w:vAlign w:val="center"/>
          </w:tcPr>
          <w:p w14:paraId="205C8146" w14:textId="77777777" w:rsidR="008A4FED" w:rsidRPr="00666914" w:rsidRDefault="008A4FED" w:rsidP="004D30E9">
            <w:pPr>
              <w:spacing w:after="0"/>
              <w:jc w:val="center"/>
              <w:rPr>
                <w:rFonts w:eastAsia="Times New Roman"/>
                <w:color w:val="000000"/>
                <w:sz w:val="20"/>
                <w:szCs w:val="20"/>
                <w:highlight w:val="yellow"/>
                <w:lang w:eastAsia="sk-SK"/>
              </w:rPr>
            </w:pPr>
            <w:r w:rsidRPr="00666914">
              <w:rPr>
                <w:rFonts w:eastAsia="Times New Roman"/>
                <w:color w:val="000000"/>
                <w:sz w:val="20"/>
                <w:szCs w:val="20"/>
                <w:lang w:eastAsia="sk-SK"/>
              </w:rPr>
              <w:t>-</w:t>
            </w:r>
          </w:p>
        </w:tc>
        <w:tc>
          <w:tcPr>
            <w:tcW w:w="285" w:type="pct"/>
            <w:tcBorders>
              <w:top w:val="nil"/>
              <w:left w:val="nil"/>
              <w:bottom w:val="single" w:sz="4" w:space="0" w:color="auto"/>
              <w:right w:val="single" w:sz="4" w:space="0" w:color="auto"/>
            </w:tcBorders>
            <w:shd w:val="clear" w:color="auto" w:fill="FFC000"/>
            <w:noWrap/>
            <w:vAlign w:val="bottom"/>
            <w:hideMark/>
          </w:tcPr>
          <w:p w14:paraId="17D825A9" w14:textId="77777777" w:rsidR="008A4FED" w:rsidRPr="00666914" w:rsidRDefault="008A4FED" w:rsidP="004D30E9">
            <w:pPr>
              <w:spacing w:after="0"/>
              <w:rPr>
                <w:rFonts w:eastAsia="Times New Roman"/>
                <w:color w:val="C00000"/>
                <w:sz w:val="20"/>
                <w:szCs w:val="20"/>
                <w:lang w:eastAsia="sk-SK"/>
              </w:rPr>
            </w:pPr>
            <w:r w:rsidRPr="00666914">
              <w:rPr>
                <w:rFonts w:eastAsia="Times New Roman"/>
                <w:color w:val="C00000"/>
                <w:sz w:val="20"/>
                <w:szCs w:val="20"/>
                <w:lang w:eastAsia="sk-SK"/>
              </w:rPr>
              <w:t> </w:t>
            </w:r>
          </w:p>
        </w:tc>
        <w:tc>
          <w:tcPr>
            <w:tcW w:w="285" w:type="pct"/>
            <w:tcBorders>
              <w:top w:val="nil"/>
              <w:left w:val="nil"/>
              <w:bottom w:val="single" w:sz="4" w:space="0" w:color="auto"/>
              <w:right w:val="single" w:sz="4" w:space="0" w:color="auto"/>
            </w:tcBorders>
            <w:shd w:val="clear" w:color="auto" w:fill="FFC000"/>
            <w:noWrap/>
            <w:vAlign w:val="bottom"/>
            <w:hideMark/>
          </w:tcPr>
          <w:p w14:paraId="5A2985F5" w14:textId="77777777" w:rsidR="008A4FED" w:rsidRPr="00666914" w:rsidRDefault="008A4FED" w:rsidP="004D30E9">
            <w:pPr>
              <w:spacing w:after="0"/>
              <w:rPr>
                <w:rFonts w:eastAsia="Times New Roman"/>
                <w:color w:val="FFFFFF" w:themeColor="background1"/>
                <w:sz w:val="20"/>
                <w:szCs w:val="20"/>
                <w:lang w:eastAsia="sk-SK"/>
              </w:rPr>
            </w:pPr>
            <w:r w:rsidRPr="00666914">
              <w:rPr>
                <w:rFonts w:eastAsia="Times New Roman"/>
                <w:color w:val="FFFFFF" w:themeColor="background1"/>
                <w:sz w:val="20"/>
                <w:szCs w:val="20"/>
                <w:lang w:eastAsia="sk-SK"/>
              </w:rPr>
              <w:t> </w:t>
            </w:r>
          </w:p>
        </w:tc>
        <w:tc>
          <w:tcPr>
            <w:tcW w:w="285" w:type="pct"/>
            <w:shd w:val="clear" w:color="auto" w:fill="FFC000"/>
            <w:noWrap/>
            <w:vAlign w:val="bottom"/>
            <w:hideMark/>
          </w:tcPr>
          <w:p w14:paraId="0604DF60" w14:textId="77777777" w:rsidR="008A4FED" w:rsidRPr="00666914" w:rsidRDefault="008A4FED" w:rsidP="004D30E9">
            <w:pPr>
              <w:spacing w:after="0"/>
              <w:jc w:val="center"/>
              <w:rPr>
                <w:rFonts w:eastAsia="Times New Roman"/>
                <w:color w:val="C00000"/>
                <w:sz w:val="20"/>
                <w:szCs w:val="20"/>
                <w:lang w:eastAsia="sk-SK"/>
              </w:rPr>
            </w:pPr>
            <w:r w:rsidRPr="00666914">
              <w:rPr>
                <w:rFonts w:eastAsia="Times New Roman"/>
                <w:color w:val="C00000"/>
                <w:sz w:val="20"/>
                <w:szCs w:val="20"/>
                <w:lang w:eastAsia="sk-SK"/>
              </w:rPr>
              <w:t> </w:t>
            </w:r>
          </w:p>
        </w:tc>
        <w:tc>
          <w:tcPr>
            <w:tcW w:w="285" w:type="pct"/>
            <w:shd w:val="clear" w:color="auto" w:fill="FFC000"/>
            <w:noWrap/>
            <w:vAlign w:val="bottom"/>
            <w:hideMark/>
          </w:tcPr>
          <w:p w14:paraId="03FA116A"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C00000"/>
                <w:sz w:val="20"/>
                <w:szCs w:val="20"/>
                <w:lang w:eastAsia="sk-SK"/>
              </w:rPr>
              <w:t> </w:t>
            </w:r>
          </w:p>
        </w:tc>
      </w:tr>
      <w:tr w:rsidR="008A4FED" w:rsidRPr="00666914" w14:paraId="00DF4AF3" w14:textId="77777777" w:rsidTr="00F64B85">
        <w:trPr>
          <w:trHeight w:val="315"/>
        </w:trPr>
        <w:tc>
          <w:tcPr>
            <w:tcW w:w="184" w:type="pct"/>
            <w:shd w:val="clear" w:color="auto" w:fill="auto"/>
            <w:vAlign w:val="center"/>
            <w:hideMark/>
          </w:tcPr>
          <w:p w14:paraId="1CE80E21" w14:textId="77777777" w:rsidR="008A4FED" w:rsidRPr="00666914" w:rsidRDefault="008A4FED" w:rsidP="004D30E9">
            <w:pPr>
              <w:spacing w:after="0"/>
              <w:jc w:val="center"/>
              <w:rPr>
                <w:rFonts w:eastAsia="Times New Roman"/>
                <w:bCs/>
                <w:color w:val="000000"/>
                <w:sz w:val="20"/>
                <w:szCs w:val="20"/>
                <w:lang w:eastAsia="sk-SK"/>
              </w:rPr>
            </w:pPr>
            <w:r w:rsidRPr="00666914">
              <w:rPr>
                <w:rFonts w:eastAsia="Times New Roman"/>
                <w:color w:val="000000"/>
                <w:sz w:val="20"/>
                <w:szCs w:val="20"/>
                <w:lang w:eastAsia="sk-SK"/>
              </w:rPr>
              <w:t>35</w:t>
            </w:r>
          </w:p>
        </w:tc>
        <w:tc>
          <w:tcPr>
            <w:tcW w:w="399" w:type="pct"/>
            <w:vAlign w:val="center"/>
          </w:tcPr>
          <w:p w14:paraId="0D72D4DE"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217" w:type="pct"/>
            <w:shd w:val="clear" w:color="auto" w:fill="auto"/>
            <w:vAlign w:val="center"/>
            <w:hideMark/>
          </w:tcPr>
          <w:p w14:paraId="095D0A11"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Analýza spotreby voľnopredajných liekov</w:t>
            </w:r>
          </w:p>
        </w:tc>
        <w:tc>
          <w:tcPr>
            <w:tcW w:w="763" w:type="pct"/>
            <w:shd w:val="clear" w:color="auto" w:fill="auto"/>
            <w:vAlign w:val="center"/>
            <w:hideMark/>
          </w:tcPr>
          <w:p w14:paraId="5157D13E"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 MF SR</w:t>
            </w:r>
          </w:p>
        </w:tc>
        <w:tc>
          <w:tcPr>
            <w:tcW w:w="563" w:type="pct"/>
            <w:shd w:val="clear" w:color="auto" w:fill="auto"/>
            <w:vAlign w:val="center"/>
            <w:hideMark/>
          </w:tcPr>
          <w:p w14:paraId="310311AA"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31.12.2018</w:t>
            </w:r>
          </w:p>
        </w:tc>
        <w:tc>
          <w:tcPr>
            <w:tcW w:w="734" w:type="pct"/>
            <w:vAlign w:val="center"/>
          </w:tcPr>
          <w:p w14:paraId="5DC96DF0" w14:textId="77777777" w:rsidR="008A4FED" w:rsidRPr="00666914" w:rsidRDefault="008A4FED" w:rsidP="004D30E9">
            <w:pPr>
              <w:spacing w:after="0"/>
              <w:jc w:val="center"/>
              <w:rPr>
                <w:rFonts w:eastAsia="Times New Roman"/>
                <w:color w:val="000000"/>
                <w:sz w:val="20"/>
                <w:szCs w:val="20"/>
                <w:highlight w:val="yellow"/>
                <w:lang w:eastAsia="sk-SK"/>
              </w:rPr>
            </w:pPr>
            <w:r w:rsidRPr="00666914">
              <w:rPr>
                <w:rFonts w:eastAsia="Times New Roman"/>
                <w:color w:val="000000"/>
                <w:sz w:val="20"/>
                <w:szCs w:val="20"/>
                <w:lang w:eastAsia="sk-SK"/>
              </w:rPr>
              <w:t>30.06.2019</w:t>
            </w:r>
          </w:p>
        </w:tc>
        <w:tc>
          <w:tcPr>
            <w:tcW w:w="285" w:type="pct"/>
            <w:tcBorders>
              <w:top w:val="nil"/>
              <w:left w:val="nil"/>
              <w:bottom w:val="single" w:sz="4" w:space="0" w:color="auto"/>
              <w:right w:val="single" w:sz="4" w:space="0" w:color="auto"/>
            </w:tcBorders>
            <w:shd w:val="clear" w:color="auto" w:fill="FF0000"/>
            <w:noWrap/>
            <w:vAlign w:val="bottom"/>
            <w:hideMark/>
          </w:tcPr>
          <w:p w14:paraId="138B7F76"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5" w:type="pct"/>
            <w:tcBorders>
              <w:top w:val="nil"/>
              <w:left w:val="nil"/>
              <w:bottom w:val="single" w:sz="4" w:space="0" w:color="auto"/>
              <w:right w:val="single" w:sz="4" w:space="0" w:color="auto"/>
            </w:tcBorders>
            <w:shd w:val="clear" w:color="auto" w:fill="FF0000"/>
            <w:noWrap/>
            <w:vAlign w:val="bottom"/>
            <w:hideMark/>
          </w:tcPr>
          <w:p w14:paraId="69A57B3A" w14:textId="77777777" w:rsidR="008A4FED" w:rsidRPr="00666914" w:rsidRDefault="008A4FED" w:rsidP="004D30E9">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5" w:type="pct"/>
            <w:shd w:val="clear" w:color="auto" w:fill="FF0000"/>
            <w:noWrap/>
            <w:vAlign w:val="bottom"/>
            <w:hideMark/>
          </w:tcPr>
          <w:p w14:paraId="0C75441A"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 </w:t>
            </w:r>
          </w:p>
        </w:tc>
        <w:tc>
          <w:tcPr>
            <w:tcW w:w="285" w:type="pct"/>
            <w:shd w:val="clear" w:color="auto" w:fill="FF0000"/>
            <w:noWrap/>
            <w:vAlign w:val="bottom"/>
            <w:hideMark/>
          </w:tcPr>
          <w:p w14:paraId="09C25FBB"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 </w:t>
            </w:r>
          </w:p>
        </w:tc>
      </w:tr>
      <w:tr w:rsidR="008A4FED" w:rsidRPr="00666914" w14:paraId="48B0D36D" w14:textId="77777777" w:rsidTr="00F64B85">
        <w:trPr>
          <w:trHeight w:val="315"/>
        </w:trPr>
        <w:tc>
          <w:tcPr>
            <w:tcW w:w="184" w:type="pct"/>
            <w:shd w:val="clear" w:color="auto" w:fill="auto"/>
            <w:vAlign w:val="center"/>
          </w:tcPr>
          <w:p w14:paraId="114B00BB"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36</w:t>
            </w:r>
          </w:p>
        </w:tc>
        <w:tc>
          <w:tcPr>
            <w:tcW w:w="399" w:type="pct"/>
            <w:vAlign w:val="center"/>
          </w:tcPr>
          <w:p w14:paraId="0567BF1C"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217" w:type="pct"/>
            <w:shd w:val="clear" w:color="auto" w:fill="auto"/>
            <w:vAlign w:val="center"/>
          </w:tcPr>
          <w:p w14:paraId="781B447C"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Prehodnotenie kompetencií lekárov, sestier a zdravotníckych asistentov v ústavnej starostlivosti</w:t>
            </w:r>
          </w:p>
        </w:tc>
        <w:tc>
          <w:tcPr>
            <w:tcW w:w="763" w:type="pct"/>
            <w:shd w:val="clear" w:color="auto" w:fill="auto"/>
            <w:vAlign w:val="center"/>
          </w:tcPr>
          <w:p w14:paraId="491F5127"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w:t>
            </w:r>
          </w:p>
        </w:tc>
        <w:tc>
          <w:tcPr>
            <w:tcW w:w="563" w:type="pct"/>
            <w:shd w:val="clear" w:color="auto" w:fill="auto"/>
            <w:vAlign w:val="center"/>
          </w:tcPr>
          <w:p w14:paraId="51793064"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31.12.2017</w:t>
            </w:r>
          </w:p>
        </w:tc>
        <w:tc>
          <w:tcPr>
            <w:tcW w:w="734" w:type="pct"/>
            <w:vAlign w:val="center"/>
          </w:tcPr>
          <w:p w14:paraId="31424365"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31.12.2020</w:t>
            </w:r>
          </w:p>
        </w:tc>
        <w:tc>
          <w:tcPr>
            <w:tcW w:w="285" w:type="pct"/>
            <w:tcBorders>
              <w:top w:val="nil"/>
              <w:left w:val="nil"/>
              <w:bottom w:val="single" w:sz="4" w:space="0" w:color="auto"/>
              <w:right w:val="single" w:sz="4" w:space="0" w:color="auto"/>
            </w:tcBorders>
            <w:shd w:val="clear" w:color="auto" w:fill="FFC000"/>
            <w:noWrap/>
            <w:vAlign w:val="bottom"/>
          </w:tcPr>
          <w:p w14:paraId="56205614" w14:textId="77777777" w:rsidR="008A4FED" w:rsidRPr="00666914" w:rsidRDefault="008A4FED" w:rsidP="004D30E9">
            <w:pPr>
              <w:spacing w:after="0"/>
              <w:rPr>
                <w:rFonts w:eastAsia="Times New Roman"/>
                <w:color w:val="000000"/>
                <w:sz w:val="20"/>
                <w:szCs w:val="20"/>
                <w:lang w:eastAsia="sk-SK"/>
              </w:rPr>
            </w:pPr>
          </w:p>
        </w:tc>
        <w:tc>
          <w:tcPr>
            <w:tcW w:w="285" w:type="pct"/>
            <w:tcBorders>
              <w:top w:val="nil"/>
              <w:left w:val="nil"/>
              <w:bottom w:val="single" w:sz="4" w:space="0" w:color="auto"/>
              <w:right w:val="single" w:sz="4" w:space="0" w:color="auto"/>
            </w:tcBorders>
            <w:shd w:val="clear" w:color="auto" w:fill="FFC000"/>
            <w:noWrap/>
            <w:vAlign w:val="bottom"/>
          </w:tcPr>
          <w:p w14:paraId="319315AF" w14:textId="77777777" w:rsidR="008A4FED" w:rsidRPr="00666914" w:rsidRDefault="008A4FED" w:rsidP="004D30E9">
            <w:pPr>
              <w:spacing w:after="0"/>
              <w:rPr>
                <w:rFonts w:eastAsia="Times New Roman"/>
                <w:color w:val="000000"/>
                <w:sz w:val="20"/>
                <w:szCs w:val="20"/>
                <w:lang w:eastAsia="sk-SK"/>
              </w:rPr>
            </w:pPr>
          </w:p>
        </w:tc>
        <w:tc>
          <w:tcPr>
            <w:tcW w:w="285" w:type="pct"/>
            <w:shd w:val="clear" w:color="auto" w:fill="FFC000"/>
            <w:noWrap/>
            <w:vAlign w:val="bottom"/>
          </w:tcPr>
          <w:p w14:paraId="72B39AEF" w14:textId="77777777" w:rsidR="008A4FED" w:rsidRPr="00666914" w:rsidRDefault="008A4FED" w:rsidP="004D30E9">
            <w:pPr>
              <w:spacing w:after="0"/>
              <w:jc w:val="center"/>
              <w:rPr>
                <w:rFonts w:eastAsia="Times New Roman"/>
                <w:color w:val="000000"/>
                <w:sz w:val="20"/>
                <w:szCs w:val="20"/>
                <w:lang w:eastAsia="sk-SK"/>
              </w:rPr>
            </w:pPr>
          </w:p>
        </w:tc>
        <w:tc>
          <w:tcPr>
            <w:tcW w:w="285" w:type="pct"/>
            <w:shd w:val="clear" w:color="auto" w:fill="FFC000"/>
            <w:noWrap/>
            <w:vAlign w:val="bottom"/>
          </w:tcPr>
          <w:p w14:paraId="6F4BC426" w14:textId="77777777" w:rsidR="008A4FED" w:rsidRPr="00666914" w:rsidRDefault="008A4FED" w:rsidP="004D30E9">
            <w:pPr>
              <w:spacing w:after="0"/>
              <w:jc w:val="center"/>
              <w:rPr>
                <w:rFonts w:eastAsia="Times New Roman"/>
                <w:color w:val="000000"/>
                <w:sz w:val="20"/>
                <w:szCs w:val="20"/>
                <w:lang w:eastAsia="sk-SK"/>
              </w:rPr>
            </w:pPr>
          </w:p>
        </w:tc>
      </w:tr>
      <w:tr w:rsidR="008A4FED" w:rsidRPr="00666914" w14:paraId="7DB0A9F6" w14:textId="77777777" w:rsidTr="00F64B85">
        <w:trPr>
          <w:trHeight w:val="315"/>
        </w:trPr>
        <w:tc>
          <w:tcPr>
            <w:tcW w:w="184" w:type="pct"/>
            <w:shd w:val="clear" w:color="auto" w:fill="auto"/>
            <w:vAlign w:val="center"/>
          </w:tcPr>
          <w:p w14:paraId="42ABCC8C"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37</w:t>
            </w:r>
          </w:p>
        </w:tc>
        <w:tc>
          <w:tcPr>
            <w:tcW w:w="399" w:type="pct"/>
            <w:vAlign w:val="center"/>
          </w:tcPr>
          <w:p w14:paraId="53D2E96E"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I.</w:t>
            </w:r>
          </w:p>
        </w:tc>
        <w:tc>
          <w:tcPr>
            <w:tcW w:w="1217" w:type="pct"/>
            <w:shd w:val="clear" w:color="auto" w:fill="auto"/>
            <w:vAlign w:val="center"/>
          </w:tcPr>
          <w:p w14:paraId="5D52013E" w14:textId="77777777" w:rsidR="008A4FED" w:rsidRPr="00666914" w:rsidRDefault="008A4FED" w:rsidP="004D30E9">
            <w:pPr>
              <w:spacing w:after="0"/>
              <w:jc w:val="left"/>
              <w:rPr>
                <w:rFonts w:eastAsia="Times New Roman"/>
                <w:color w:val="000000"/>
                <w:sz w:val="20"/>
                <w:szCs w:val="20"/>
                <w:lang w:eastAsia="sk-SK"/>
              </w:rPr>
            </w:pPr>
            <w:r w:rsidRPr="00666914">
              <w:rPr>
                <w:rFonts w:eastAsia="Times New Roman"/>
                <w:color w:val="000000"/>
                <w:sz w:val="20"/>
                <w:szCs w:val="20"/>
                <w:lang w:eastAsia="sk-SK"/>
              </w:rPr>
              <w:t>Preskúmanie súčasného stavu odmeňovania zdravotníckych zamestnancov (najmä lekárov a sestier) navrhne spôsob zohľadnenia výkonnosti a kvality v systéme odmeňovania</w:t>
            </w:r>
          </w:p>
        </w:tc>
        <w:tc>
          <w:tcPr>
            <w:tcW w:w="763" w:type="pct"/>
            <w:shd w:val="clear" w:color="auto" w:fill="auto"/>
            <w:vAlign w:val="center"/>
          </w:tcPr>
          <w:p w14:paraId="2E069106"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MZ SR</w:t>
            </w:r>
          </w:p>
        </w:tc>
        <w:tc>
          <w:tcPr>
            <w:tcW w:w="563" w:type="pct"/>
            <w:shd w:val="clear" w:color="auto" w:fill="auto"/>
            <w:vAlign w:val="center"/>
          </w:tcPr>
          <w:p w14:paraId="4CF6636D"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31.12.2018</w:t>
            </w:r>
          </w:p>
        </w:tc>
        <w:tc>
          <w:tcPr>
            <w:tcW w:w="734" w:type="pct"/>
            <w:vAlign w:val="center"/>
          </w:tcPr>
          <w:p w14:paraId="23513B0B" w14:textId="77777777" w:rsidR="008A4FED" w:rsidRPr="00666914" w:rsidRDefault="008A4FED" w:rsidP="004D30E9">
            <w:pPr>
              <w:spacing w:after="0"/>
              <w:jc w:val="center"/>
              <w:rPr>
                <w:rFonts w:eastAsia="Times New Roman"/>
                <w:color w:val="000000"/>
                <w:sz w:val="20"/>
                <w:szCs w:val="20"/>
                <w:lang w:eastAsia="sk-SK"/>
              </w:rPr>
            </w:pPr>
            <w:r w:rsidRPr="00666914">
              <w:rPr>
                <w:rFonts w:eastAsia="Times New Roman"/>
                <w:color w:val="000000"/>
                <w:sz w:val="20"/>
                <w:szCs w:val="20"/>
                <w:lang w:eastAsia="sk-SK"/>
              </w:rPr>
              <w:t>31.12.2019</w:t>
            </w:r>
          </w:p>
        </w:tc>
        <w:tc>
          <w:tcPr>
            <w:tcW w:w="285" w:type="pct"/>
            <w:tcBorders>
              <w:top w:val="nil"/>
              <w:left w:val="nil"/>
              <w:bottom w:val="single" w:sz="4" w:space="0" w:color="auto"/>
              <w:right w:val="single" w:sz="4" w:space="0" w:color="auto"/>
            </w:tcBorders>
            <w:shd w:val="clear" w:color="auto" w:fill="FFC000"/>
            <w:noWrap/>
            <w:vAlign w:val="bottom"/>
          </w:tcPr>
          <w:p w14:paraId="7E52E4CB" w14:textId="77777777" w:rsidR="008A4FED" w:rsidRPr="00666914" w:rsidRDefault="008A4FED" w:rsidP="004D30E9">
            <w:pPr>
              <w:spacing w:after="0"/>
              <w:rPr>
                <w:rFonts w:eastAsia="Times New Roman"/>
                <w:color w:val="000000"/>
                <w:sz w:val="20"/>
                <w:szCs w:val="20"/>
                <w:lang w:eastAsia="sk-SK"/>
              </w:rPr>
            </w:pPr>
          </w:p>
        </w:tc>
        <w:tc>
          <w:tcPr>
            <w:tcW w:w="285" w:type="pct"/>
            <w:tcBorders>
              <w:top w:val="nil"/>
              <w:left w:val="nil"/>
              <w:bottom w:val="single" w:sz="4" w:space="0" w:color="auto"/>
              <w:right w:val="single" w:sz="4" w:space="0" w:color="auto"/>
            </w:tcBorders>
            <w:shd w:val="clear" w:color="auto" w:fill="FFC000"/>
            <w:noWrap/>
            <w:vAlign w:val="bottom"/>
          </w:tcPr>
          <w:p w14:paraId="4D202ABE" w14:textId="77777777" w:rsidR="008A4FED" w:rsidRPr="00666914" w:rsidRDefault="008A4FED" w:rsidP="004D30E9">
            <w:pPr>
              <w:spacing w:after="0"/>
              <w:rPr>
                <w:rFonts w:eastAsia="Times New Roman"/>
                <w:color w:val="000000"/>
                <w:sz w:val="20"/>
                <w:szCs w:val="20"/>
                <w:lang w:eastAsia="sk-SK"/>
              </w:rPr>
            </w:pPr>
          </w:p>
        </w:tc>
        <w:tc>
          <w:tcPr>
            <w:tcW w:w="285" w:type="pct"/>
            <w:shd w:val="clear" w:color="auto" w:fill="FFC000"/>
            <w:noWrap/>
            <w:vAlign w:val="bottom"/>
          </w:tcPr>
          <w:p w14:paraId="6614A38C" w14:textId="77777777" w:rsidR="008A4FED" w:rsidRPr="00666914" w:rsidRDefault="008A4FED" w:rsidP="004D30E9">
            <w:pPr>
              <w:spacing w:after="0"/>
              <w:jc w:val="center"/>
              <w:rPr>
                <w:rFonts w:eastAsia="Times New Roman"/>
                <w:color w:val="000000"/>
                <w:sz w:val="20"/>
                <w:szCs w:val="20"/>
                <w:lang w:eastAsia="sk-SK"/>
              </w:rPr>
            </w:pPr>
          </w:p>
        </w:tc>
        <w:tc>
          <w:tcPr>
            <w:tcW w:w="285" w:type="pct"/>
            <w:shd w:val="clear" w:color="auto" w:fill="FFC000"/>
            <w:noWrap/>
            <w:vAlign w:val="bottom"/>
          </w:tcPr>
          <w:p w14:paraId="40D31A9C" w14:textId="77777777" w:rsidR="008A4FED" w:rsidRPr="00666914" w:rsidRDefault="008A4FED" w:rsidP="004D30E9">
            <w:pPr>
              <w:spacing w:after="0"/>
              <w:jc w:val="center"/>
              <w:rPr>
                <w:rFonts w:eastAsia="Times New Roman"/>
                <w:color w:val="000000"/>
                <w:sz w:val="20"/>
                <w:szCs w:val="20"/>
                <w:lang w:eastAsia="sk-SK"/>
              </w:rPr>
            </w:pPr>
          </w:p>
        </w:tc>
      </w:tr>
    </w:tbl>
    <w:p w14:paraId="7D7533A8" w14:textId="77777777" w:rsidR="008A4FED" w:rsidRPr="00666914" w:rsidRDefault="008A4FED" w:rsidP="004D30E9"/>
    <w:p w14:paraId="144BA673" w14:textId="6978C357" w:rsidR="008A4FED" w:rsidRPr="00666914" w:rsidRDefault="00832B7C" w:rsidP="004D30E9">
      <w:pPr>
        <w:rPr>
          <w:i/>
          <w:sz w:val="20"/>
        </w:rPr>
      </w:pPr>
      <w:r w:rsidRPr="00666914">
        <w:t xml:space="preserve">Mieru plnenia analytických úloh </w:t>
      </w:r>
      <w:r w:rsidR="008A4FED" w:rsidRPr="00666914">
        <w:t xml:space="preserve">vykazuje IJ len farebným rozlíšením. </w:t>
      </w:r>
    </w:p>
    <w:p w14:paraId="353D4B57" w14:textId="77777777" w:rsidR="008A4FED" w:rsidRPr="00666914" w:rsidRDefault="008A4FED" w:rsidP="00030314">
      <w:pPr>
        <w:pStyle w:val="Nadpis2"/>
        <w:numPr>
          <w:ilvl w:val="0"/>
          <w:numId w:val="0"/>
        </w:numPr>
        <w:spacing w:after="0"/>
      </w:pPr>
      <w:r w:rsidRPr="00666914">
        <w:rPr>
          <w:b/>
        </w:rPr>
        <w:br w:type="column"/>
      </w:r>
      <w:bookmarkStart w:id="170" w:name="_Toc36547016"/>
      <w:bookmarkStart w:id="171" w:name="_Toc38447587"/>
      <w:r w:rsidRPr="00666914">
        <w:lastRenderedPageBreak/>
        <w:t>Príloha č. 1 Zdravotnícke zariadenia pripojené do systému DRG k 1.1.2020</w:t>
      </w:r>
      <w:bookmarkEnd w:id="170"/>
      <w:bookmarkEnd w:id="171"/>
    </w:p>
    <w:tbl>
      <w:tblPr>
        <w:tblW w:w="9306" w:type="dxa"/>
        <w:tblCellMar>
          <w:left w:w="70" w:type="dxa"/>
          <w:right w:w="70" w:type="dxa"/>
        </w:tblCellMar>
        <w:tblLook w:val="04A0" w:firstRow="1" w:lastRow="0" w:firstColumn="1" w:lastColumn="0" w:noHBand="0" w:noVBand="1"/>
      </w:tblPr>
      <w:tblGrid>
        <w:gridCol w:w="323"/>
        <w:gridCol w:w="8041"/>
        <w:gridCol w:w="934"/>
        <w:gridCol w:w="8"/>
      </w:tblGrid>
      <w:tr w:rsidR="008A4FED" w:rsidRPr="00666914" w14:paraId="79B6A122" w14:textId="77777777" w:rsidTr="00F64B85">
        <w:trPr>
          <w:gridAfter w:val="1"/>
          <w:wAfter w:w="8" w:type="dxa"/>
          <w:trHeight w:val="283"/>
        </w:trPr>
        <w:tc>
          <w:tcPr>
            <w:tcW w:w="323" w:type="dxa"/>
            <w:tcBorders>
              <w:top w:val="nil"/>
              <w:left w:val="nil"/>
              <w:bottom w:val="single" w:sz="4" w:space="0" w:color="auto"/>
              <w:right w:val="single" w:sz="4" w:space="0" w:color="auto"/>
            </w:tcBorders>
            <w:shd w:val="clear" w:color="auto" w:fill="auto"/>
            <w:noWrap/>
            <w:vAlign w:val="center"/>
          </w:tcPr>
          <w:p w14:paraId="0B801FFA" w14:textId="77777777" w:rsidR="008A4FED" w:rsidRPr="00666914" w:rsidRDefault="008A4FED" w:rsidP="00F64B85">
            <w:pPr>
              <w:spacing w:after="0"/>
              <w:jc w:val="center"/>
              <w:rPr>
                <w:rFonts w:eastAsia="Times New Roman"/>
                <w:color w:val="000000"/>
                <w:sz w:val="20"/>
                <w:szCs w:val="20"/>
                <w:lang w:eastAsia="sk-SK"/>
              </w:rPr>
            </w:pPr>
          </w:p>
        </w:tc>
        <w:tc>
          <w:tcPr>
            <w:tcW w:w="8041" w:type="dxa"/>
            <w:tcBorders>
              <w:top w:val="nil"/>
              <w:left w:val="single" w:sz="4" w:space="0" w:color="auto"/>
              <w:bottom w:val="single" w:sz="4" w:space="0" w:color="auto"/>
              <w:right w:val="single" w:sz="4" w:space="0" w:color="auto"/>
            </w:tcBorders>
            <w:shd w:val="clear" w:color="auto" w:fill="auto"/>
            <w:vAlign w:val="center"/>
          </w:tcPr>
          <w:p w14:paraId="4D57655A" w14:textId="77777777" w:rsidR="008A4FED" w:rsidRPr="00666914" w:rsidRDefault="008A4FED" w:rsidP="00F64B85">
            <w:pPr>
              <w:spacing w:after="0"/>
              <w:jc w:val="center"/>
              <w:rPr>
                <w:rFonts w:eastAsia="Times New Roman"/>
                <w:color w:val="000000"/>
                <w:sz w:val="20"/>
                <w:szCs w:val="20"/>
                <w:lang w:eastAsia="sk-SK"/>
              </w:rPr>
            </w:pPr>
            <w:r w:rsidRPr="00666914">
              <w:rPr>
                <w:rFonts w:eastAsia="Times New Roman"/>
                <w:color w:val="000000"/>
                <w:sz w:val="20"/>
                <w:szCs w:val="20"/>
                <w:lang w:eastAsia="sk-SK"/>
              </w:rPr>
              <w:t>NÁZOV POSKYTOVATEĽA ZS</w:t>
            </w:r>
          </w:p>
        </w:tc>
        <w:tc>
          <w:tcPr>
            <w:tcW w:w="934" w:type="dxa"/>
            <w:tcBorders>
              <w:top w:val="nil"/>
              <w:left w:val="single" w:sz="4" w:space="0" w:color="auto"/>
              <w:bottom w:val="single" w:sz="4" w:space="0" w:color="auto"/>
              <w:right w:val="nil"/>
            </w:tcBorders>
            <w:shd w:val="clear" w:color="auto" w:fill="auto"/>
            <w:vAlign w:val="center"/>
          </w:tcPr>
          <w:p w14:paraId="2CD81BFE" w14:textId="77777777" w:rsidR="008A4FED" w:rsidRPr="00666914" w:rsidRDefault="008A4FED" w:rsidP="00F64B85">
            <w:pPr>
              <w:spacing w:after="0"/>
              <w:jc w:val="center"/>
              <w:rPr>
                <w:rFonts w:eastAsia="Times New Roman"/>
                <w:color w:val="000000"/>
                <w:sz w:val="20"/>
                <w:szCs w:val="20"/>
                <w:lang w:eastAsia="sk-SK"/>
              </w:rPr>
            </w:pPr>
            <w:r w:rsidRPr="00666914">
              <w:rPr>
                <w:rFonts w:eastAsia="Times New Roman"/>
                <w:color w:val="000000"/>
                <w:sz w:val="20"/>
                <w:szCs w:val="20"/>
                <w:lang w:eastAsia="sk-SK"/>
              </w:rPr>
              <w:t>IČO</w:t>
            </w:r>
          </w:p>
        </w:tc>
      </w:tr>
      <w:tr w:rsidR="008A4FED" w:rsidRPr="00666914" w14:paraId="009E97F4" w14:textId="77777777" w:rsidTr="00F64B85">
        <w:trPr>
          <w:gridAfter w:val="1"/>
          <w:wAfter w:w="8" w:type="dxa"/>
          <w:trHeight w:val="283"/>
        </w:trPr>
        <w:tc>
          <w:tcPr>
            <w:tcW w:w="323" w:type="dxa"/>
            <w:tcBorders>
              <w:top w:val="single" w:sz="4" w:space="0" w:color="auto"/>
              <w:left w:val="nil"/>
              <w:bottom w:val="single" w:sz="4" w:space="0" w:color="auto"/>
              <w:right w:val="single" w:sz="4" w:space="0" w:color="auto"/>
            </w:tcBorders>
            <w:shd w:val="clear" w:color="auto" w:fill="auto"/>
            <w:noWrap/>
            <w:vAlign w:val="center"/>
            <w:hideMark/>
          </w:tcPr>
          <w:p w14:paraId="6E508897" w14:textId="77777777" w:rsidR="008A4FED" w:rsidRPr="00666914" w:rsidRDefault="008A4FED" w:rsidP="00F64B85">
            <w:pPr>
              <w:spacing w:after="0"/>
              <w:jc w:val="center"/>
              <w:rPr>
                <w:rFonts w:eastAsia="Times New Roman"/>
                <w:color w:val="000000"/>
                <w:sz w:val="20"/>
                <w:szCs w:val="20"/>
                <w:lang w:eastAsia="sk-SK"/>
              </w:rPr>
            </w:pPr>
          </w:p>
        </w:tc>
        <w:tc>
          <w:tcPr>
            <w:tcW w:w="8041" w:type="dxa"/>
            <w:tcBorders>
              <w:top w:val="single" w:sz="4" w:space="0" w:color="auto"/>
              <w:left w:val="single" w:sz="4" w:space="0" w:color="auto"/>
              <w:bottom w:val="single" w:sz="4" w:space="0" w:color="auto"/>
              <w:right w:val="single" w:sz="4" w:space="0" w:color="auto"/>
            </w:tcBorders>
            <w:shd w:val="clear" w:color="auto" w:fill="auto"/>
            <w:vAlign w:val="center"/>
          </w:tcPr>
          <w:p w14:paraId="2294F0C8" w14:textId="77777777" w:rsidR="008A4FED" w:rsidRPr="00666914" w:rsidRDefault="008A4FED" w:rsidP="00F64B85">
            <w:pPr>
              <w:spacing w:after="0"/>
              <w:jc w:val="center"/>
              <w:rPr>
                <w:rFonts w:eastAsia="Times New Roman"/>
                <w:color w:val="000000"/>
                <w:sz w:val="20"/>
                <w:szCs w:val="20"/>
                <w:lang w:eastAsia="sk-SK"/>
              </w:rPr>
            </w:pPr>
            <w:r w:rsidRPr="00666914">
              <w:rPr>
                <w:rFonts w:eastAsia="Times New Roman"/>
                <w:color w:val="000000"/>
                <w:sz w:val="20"/>
                <w:szCs w:val="20"/>
                <w:lang w:eastAsia="sk-SK"/>
              </w:rPr>
              <w:t>Všeobecné nemocnice 1</w:t>
            </w:r>
          </w:p>
        </w:tc>
        <w:tc>
          <w:tcPr>
            <w:tcW w:w="934" w:type="dxa"/>
            <w:tcBorders>
              <w:top w:val="single" w:sz="4" w:space="0" w:color="auto"/>
              <w:left w:val="single" w:sz="4" w:space="0" w:color="auto"/>
              <w:bottom w:val="single" w:sz="4" w:space="0" w:color="auto"/>
              <w:right w:val="nil"/>
            </w:tcBorders>
            <w:shd w:val="clear" w:color="auto" w:fill="auto"/>
            <w:vAlign w:val="center"/>
          </w:tcPr>
          <w:p w14:paraId="46E60019" w14:textId="77777777" w:rsidR="008A4FED" w:rsidRPr="00666914" w:rsidRDefault="008A4FED" w:rsidP="00F64B85">
            <w:pPr>
              <w:spacing w:after="0"/>
              <w:jc w:val="center"/>
              <w:rPr>
                <w:rFonts w:eastAsia="Times New Roman"/>
                <w:color w:val="000000"/>
                <w:sz w:val="20"/>
                <w:szCs w:val="20"/>
                <w:lang w:eastAsia="sk-SK"/>
              </w:rPr>
            </w:pPr>
          </w:p>
        </w:tc>
      </w:tr>
      <w:tr w:rsidR="008A4FED" w:rsidRPr="00666914" w14:paraId="5062F7C9" w14:textId="77777777" w:rsidTr="00F64B85">
        <w:trPr>
          <w:trHeight w:val="264"/>
        </w:trPr>
        <w:tc>
          <w:tcPr>
            <w:tcW w:w="323" w:type="dxa"/>
            <w:tcBorders>
              <w:top w:val="nil"/>
              <w:left w:val="nil"/>
              <w:bottom w:val="dotted" w:sz="4" w:space="0" w:color="auto"/>
              <w:right w:val="single" w:sz="4" w:space="0" w:color="auto"/>
            </w:tcBorders>
            <w:shd w:val="clear" w:color="auto" w:fill="auto"/>
            <w:noWrap/>
            <w:hideMark/>
          </w:tcPr>
          <w:p w14:paraId="5F380916"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1</w:t>
            </w:r>
          </w:p>
        </w:tc>
        <w:tc>
          <w:tcPr>
            <w:tcW w:w="8041" w:type="dxa"/>
            <w:tcBorders>
              <w:top w:val="nil"/>
              <w:left w:val="single" w:sz="4" w:space="0" w:color="auto"/>
              <w:bottom w:val="dotted" w:sz="4" w:space="0" w:color="auto"/>
              <w:right w:val="single" w:sz="4" w:space="0" w:color="auto"/>
            </w:tcBorders>
            <w:shd w:val="clear" w:color="auto" w:fill="auto"/>
            <w:noWrap/>
            <w:hideMark/>
          </w:tcPr>
          <w:p w14:paraId="03C17999"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HOSPITALE, S.R.O.</w:t>
            </w:r>
          </w:p>
        </w:tc>
        <w:tc>
          <w:tcPr>
            <w:tcW w:w="942" w:type="dxa"/>
            <w:gridSpan w:val="2"/>
            <w:tcBorders>
              <w:top w:val="nil"/>
              <w:left w:val="single" w:sz="4" w:space="0" w:color="auto"/>
              <w:bottom w:val="dotted" w:sz="4" w:space="0" w:color="auto"/>
              <w:right w:val="nil"/>
            </w:tcBorders>
            <w:shd w:val="clear" w:color="auto" w:fill="auto"/>
            <w:noWrap/>
            <w:hideMark/>
          </w:tcPr>
          <w:p w14:paraId="3062910A"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36524921</w:t>
            </w:r>
          </w:p>
        </w:tc>
      </w:tr>
      <w:tr w:rsidR="008A4FED" w:rsidRPr="00666914" w14:paraId="69454207"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7FC8BAF9"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2</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52B9E44F"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NEMOCNICA BÁNOVCE - 3.SÚKROMNÁ NEMOCNICA, S.R.O.</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40787C4C"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36348015</w:t>
            </w:r>
          </w:p>
        </w:tc>
      </w:tr>
      <w:tr w:rsidR="008A4FED" w:rsidRPr="00666914" w14:paraId="121F410F"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2102FF41"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0B072BFF"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NEMOCNICA HANDLOVÁ - 2. SÚKROMNÁ NEMOCNICA, S.R.O.</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2D2F7EC6"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36339865</w:t>
            </w:r>
          </w:p>
        </w:tc>
      </w:tr>
      <w:tr w:rsidR="008A4FED" w:rsidRPr="00666914" w14:paraId="22A51FD7"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540F88BB"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4</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72FD552F"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NEMOCNICA NA OKRAJI MESTA, N.O.</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7BB9D173"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45736316</w:t>
            </w:r>
          </w:p>
        </w:tc>
      </w:tr>
      <w:tr w:rsidR="008A4FED" w:rsidRPr="00666914" w14:paraId="5C2D6DCD"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33C346B6"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5</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657C7228"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NEMOCNICA S POLIKLINIKOU MYJAVA</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723451A7"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610721</w:t>
            </w:r>
          </w:p>
        </w:tc>
      </w:tr>
      <w:tr w:rsidR="008A4FED" w:rsidRPr="00666914" w14:paraId="6C231C45"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55DA2E4F"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6</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2E2F6890"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NEMOCNICA S POLIKLINIKOU N.O. KRÁĽOVSKÝ CHLMEC</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6BCB2A4F"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45737967</w:t>
            </w:r>
          </w:p>
        </w:tc>
      </w:tr>
      <w:tr w:rsidR="008A4FED" w:rsidRPr="00666914" w14:paraId="58ECD9C8"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1A0081C6"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7</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207F4267"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NEMOCNICA S POLIKLINIKOU ILAVA, N.O.</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4D23291B"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36119385</w:t>
            </w:r>
          </w:p>
        </w:tc>
      </w:tr>
      <w:tr w:rsidR="008A4FED" w:rsidRPr="00666914" w14:paraId="71D87AE8"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116BB9DB"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8</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6CC5C51F"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NEMOCNICA ZLATÉ MORAVCE A.S.</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7A2829CC"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50433946</w:t>
            </w:r>
          </w:p>
        </w:tc>
      </w:tr>
      <w:tr w:rsidR="008A4FED" w:rsidRPr="00666914" w14:paraId="6BCA02D0"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18F0039B"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9</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4AC70562"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NEMOCNIČNÁ A.S.</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502663A8"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35865679</w:t>
            </w:r>
          </w:p>
        </w:tc>
      </w:tr>
      <w:tr w:rsidR="008A4FED" w:rsidRPr="00666914" w14:paraId="2E38D11D"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3FDADD26"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10</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4A62D0BF"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NSP NOVÉ MESTO NAD VÁHOM N.O.</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4BEF1656"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36119369</w:t>
            </w:r>
          </w:p>
        </w:tc>
      </w:tr>
      <w:tr w:rsidR="008A4FED" w:rsidRPr="00666914" w14:paraId="31C1D454"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54BB0047"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11</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25068D38"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PRO VITAE N.O.</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076466A1"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37886428</w:t>
            </w:r>
          </w:p>
        </w:tc>
      </w:tr>
      <w:tr w:rsidR="008A4FED" w:rsidRPr="00666914" w14:paraId="6D91ED10"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73FB69F0"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12</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0F1C0AB6"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REGIONÁLNA NEMOCNICA SOBRANCE ,N.O.</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41D39899"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35582391</w:t>
            </w:r>
          </w:p>
        </w:tc>
      </w:tr>
      <w:tr w:rsidR="008A4FED" w:rsidRPr="00666914" w14:paraId="2C22965C"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12406398"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13</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4B397D88"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VŠEOBECNÁ NEMOCNICA S POLIKLINIKOU, N.O.</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7791B6E6"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31908977</w:t>
            </w:r>
          </w:p>
        </w:tc>
      </w:tr>
      <w:tr w:rsidR="008A4FED" w:rsidRPr="00666914" w14:paraId="1464AB50" w14:textId="77777777" w:rsidTr="00F64B85">
        <w:trPr>
          <w:trHeight w:val="264"/>
        </w:trPr>
        <w:tc>
          <w:tcPr>
            <w:tcW w:w="323" w:type="dxa"/>
            <w:tcBorders>
              <w:top w:val="dotted" w:sz="4" w:space="0" w:color="auto"/>
              <w:left w:val="nil"/>
              <w:bottom w:val="single" w:sz="4" w:space="0" w:color="auto"/>
              <w:right w:val="single" w:sz="4" w:space="0" w:color="auto"/>
            </w:tcBorders>
            <w:shd w:val="clear" w:color="auto" w:fill="auto"/>
            <w:noWrap/>
            <w:hideMark/>
          </w:tcPr>
          <w:p w14:paraId="45EF0430"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14</w:t>
            </w:r>
          </w:p>
        </w:tc>
        <w:tc>
          <w:tcPr>
            <w:tcW w:w="8041" w:type="dxa"/>
            <w:tcBorders>
              <w:top w:val="dotted" w:sz="4" w:space="0" w:color="auto"/>
              <w:left w:val="single" w:sz="4" w:space="0" w:color="auto"/>
              <w:bottom w:val="single" w:sz="4" w:space="0" w:color="auto"/>
              <w:right w:val="single" w:sz="4" w:space="0" w:color="auto"/>
            </w:tcBorders>
            <w:shd w:val="clear" w:color="auto" w:fill="auto"/>
            <w:noWrap/>
            <w:hideMark/>
          </w:tcPr>
          <w:p w14:paraId="7D808B30"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ŽELEZNIČNÉ ZDRAVOTNÍCTVO KOŠICE, S.R.O.</w:t>
            </w:r>
          </w:p>
        </w:tc>
        <w:tc>
          <w:tcPr>
            <w:tcW w:w="942" w:type="dxa"/>
            <w:gridSpan w:val="2"/>
            <w:tcBorders>
              <w:top w:val="dotted" w:sz="4" w:space="0" w:color="auto"/>
              <w:left w:val="single" w:sz="4" w:space="0" w:color="auto"/>
              <w:bottom w:val="single" w:sz="4" w:space="0" w:color="auto"/>
              <w:right w:val="nil"/>
            </w:tcBorders>
            <w:shd w:val="clear" w:color="auto" w:fill="auto"/>
            <w:noWrap/>
            <w:hideMark/>
          </w:tcPr>
          <w:p w14:paraId="4768A3E7"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36582433</w:t>
            </w:r>
          </w:p>
        </w:tc>
      </w:tr>
      <w:tr w:rsidR="008A4FED" w:rsidRPr="00666914" w14:paraId="013335FB" w14:textId="77777777" w:rsidTr="00F64B85">
        <w:trPr>
          <w:gridAfter w:val="1"/>
          <w:wAfter w:w="8" w:type="dxa"/>
          <w:trHeight w:val="283"/>
        </w:trPr>
        <w:tc>
          <w:tcPr>
            <w:tcW w:w="323" w:type="dxa"/>
            <w:tcBorders>
              <w:top w:val="nil"/>
              <w:left w:val="nil"/>
              <w:bottom w:val="single" w:sz="4" w:space="0" w:color="auto"/>
              <w:right w:val="single" w:sz="4" w:space="0" w:color="auto"/>
            </w:tcBorders>
            <w:shd w:val="clear" w:color="auto" w:fill="auto"/>
            <w:noWrap/>
            <w:vAlign w:val="center"/>
          </w:tcPr>
          <w:p w14:paraId="750CE018" w14:textId="77777777" w:rsidR="008A4FED" w:rsidRPr="00666914" w:rsidRDefault="008A4FED" w:rsidP="00F64B85">
            <w:pPr>
              <w:spacing w:after="0"/>
              <w:jc w:val="center"/>
              <w:rPr>
                <w:rFonts w:eastAsia="Times New Roman"/>
                <w:color w:val="000000"/>
                <w:sz w:val="20"/>
                <w:szCs w:val="20"/>
                <w:lang w:eastAsia="sk-SK"/>
              </w:rPr>
            </w:pPr>
          </w:p>
        </w:tc>
        <w:tc>
          <w:tcPr>
            <w:tcW w:w="8041" w:type="dxa"/>
            <w:tcBorders>
              <w:top w:val="nil"/>
              <w:left w:val="single" w:sz="4" w:space="0" w:color="auto"/>
              <w:bottom w:val="single" w:sz="4" w:space="0" w:color="auto"/>
              <w:right w:val="single" w:sz="4" w:space="0" w:color="auto"/>
            </w:tcBorders>
            <w:shd w:val="clear" w:color="auto" w:fill="auto"/>
            <w:vAlign w:val="center"/>
          </w:tcPr>
          <w:p w14:paraId="09FDF63A" w14:textId="77777777" w:rsidR="008A4FED" w:rsidRPr="00666914" w:rsidRDefault="008A4FED" w:rsidP="00F64B85">
            <w:pPr>
              <w:spacing w:after="0"/>
              <w:jc w:val="center"/>
              <w:rPr>
                <w:rFonts w:eastAsia="Times New Roman"/>
                <w:color w:val="000000"/>
                <w:sz w:val="20"/>
                <w:szCs w:val="20"/>
                <w:lang w:eastAsia="sk-SK"/>
              </w:rPr>
            </w:pPr>
            <w:r w:rsidRPr="00666914">
              <w:rPr>
                <w:rFonts w:eastAsia="Times New Roman"/>
                <w:color w:val="000000"/>
                <w:sz w:val="20"/>
                <w:szCs w:val="20"/>
                <w:lang w:eastAsia="sk-SK"/>
              </w:rPr>
              <w:t>Všeobecné nemocnice 2</w:t>
            </w:r>
          </w:p>
        </w:tc>
        <w:tc>
          <w:tcPr>
            <w:tcW w:w="934" w:type="dxa"/>
            <w:tcBorders>
              <w:top w:val="nil"/>
              <w:left w:val="single" w:sz="4" w:space="0" w:color="auto"/>
              <w:bottom w:val="single" w:sz="4" w:space="0" w:color="auto"/>
              <w:right w:val="nil"/>
            </w:tcBorders>
            <w:shd w:val="clear" w:color="auto" w:fill="auto"/>
            <w:vAlign w:val="center"/>
          </w:tcPr>
          <w:p w14:paraId="6EDBCC22" w14:textId="77777777" w:rsidR="008A4FED" w:rsidRPr="00666914" w:rsidRDefault="008A4FED" w:rsidP="00F64B85">
            <w:pPr>
              <w:spacing w:after="0"/>
              <w:jc w:val="center"/>
              <w:rPr>
                <w:rFonts w:eastAsia="Times New Roman"/>
                <w:color w:val="000000"/>
                <w:sz w:val="20"/>
                <w:szCs w:val="20"/>
                <w:lang w:eastAsia="sk-SK"/>
              </w:rPr>
            </w:pPr>
          </w:p>
        </w:tc>
      </w:tr>
      <w:tr w:rsidR="008A4FED" w:rsidRPr="00666914" w14:paraId="6449313A" w14:textId="77777777" w:rsidTr="00F64B85">
        <w:trPr>
          <w:trHeight w:val="264"/>
        </w:trPr>
        <w:tc>
          <w:tcPr>
            <w:tcW w:w="323" w:type="dxa"/>
            <w:tcBorders>
              <w:top w:val="nil"/>
              <w:left w:val="nil"/>
              <w:bottom w:val="dotted" w:sz="4" w:space="0" w:color="auto"/>
              <w:right w:val="single" w:sz="4" w:space="0" w:color="auto"/>
            </w:tcBorders>
            <w:shd w:val="clear" w:color="auto" w:fill="auto"/>
            <w:noWrap/>
            <w:hideMark/>
          </w:tcPr>
          <w:p w14:paraId="24AA9AF4"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15</w:t>
            </w:r>
          </w:p>
        </w:tc>
        <w:tc>
          <w:tcPr>
            <w:tcW w:w="8041" w:type="dxa"/>
            <w:tcBorders>
              <w:top w:val="nil"/>
              <w:left w:val="single" w:sz="4" w:space="0" w:color="auto"/>
              <w:bottom w:val="dotted" w:sz="4" w:space="0" w:color="auto"/>
              <w:right w:val="single" w:sz="4" w:space="0" w:color="auto"/>
            </w:tcBorders>
            <w:shd w:val="clear" w:color="auto" w:fill="auto"/>
            <w:noWrap/>
            <w:hideMark/>
          </w:tcPr>
          <w:p w14:paraId="40074208"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DOLNOORAVSKÁ NEMOCNICA S POLIKLINIKOU MUDR. L. NÁDAŠI JÉGÉHO DOLNÝ KUBÍN</w:t>
            </w:r>
          </w:p>
        </w:tc>
        <w:tc>
          <w:tcPr>
            <w:tcW w:w="942" w:type="dxa"/>
            <w:gridSpan w:val="2"/>
            <w:tcBorders>
              <w:top w:val="nil"/>
              <w:left w:val="single" w:sz="4" w:space="0" w:color="auto"/>
              <w:bottom w:val="dotted" w:sz="4" w:space="0" w:color="auto"/>
              <w:right w:val="nil"/>
            </w:tcBorders>
            <w:shd w:val="clear" w:color="auto" w:fill="auto"/>
            <w:noWrap/>
            <w:hideMark/>
          </w:tcPr>
          <w:p w14:paraId="717D0582"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634905</w:t>
            </w:r>
          </w:p>
        </w:tc>
      </w:tr>
      <w:tr w:rsidR="008A4FED" w:rsidRPr="00666914" w14:paraId="2C9A93A2"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66F27893"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16</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7F089EED"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FAKULTNÁ NEMOCNICA S POLIKLINIKOU SKALICA, A.S.</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08C5F026"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44444761</w:t>
            </w:r>
          </w:p>
        </w:tc>
      </w:tr>
      <w:tr w:rsidR="008A4FED" w:rsidRPr="00666914" w14:paraId="37C5A45D"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411E7FAC"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17</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4A14D0CF"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HORNOORAVSKÁ NEMOCNICA S POLIKLINIKOU TRSTENÁ</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1B9B818C"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634891</w:t>
            </w:r>
          </w:p>
        </w:tc>
      </w:tr>
      <w:tr w:rsidR="008A4FED" w:rsidRPr="00666914" w14:paraId="6F43A74D"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343F48B8"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18</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7AD598E0"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KYSUCKÁ NEMOCNICA S POLIKLINIKOU ČADCA</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6F56C800"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17335469</w:t>
            </w:r>
          </w:p>
        </w:tc>
      </w:tr>
      <w:tr w:rsidR="008A4FED" w:rsidRPr="00666914" w14:paraId="51C62EF7"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11762631"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19</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7CA3EAF5"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LIPTOVSKÁ NEMOCNICA S POLIKLINIKOU MUDR. IVANA</w:t>
            </w:r>
            <w:r w:rsidRPr="00666914">
              <w:rPr>
                <w:rFonts w:eastAsia="Times New Roman"/>
                <w:color w:val="000000"/>
                <w:sz w:val="20"/>
                <w:szCs w:val="20"/>
                <w:lang w:eastAsia="sk-SK"/>
              </w:rPr>
              <w:br/>
              <w:t>STODOLU LIPTOVSKÝ MIKULÁŠ</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3779ABF2"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17336163</w:t>
            </w:r>
          </w:p>
        </w:tc>
      </w:tr>
      <w:tr w:rsidR="008A4FED" w:rsidRPr="00666914" w14:paraId="72A2C35E"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3B04A195"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20</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3BB7A187"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ĽUBOVNIANSKA NEMOCNICA, N.O.</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0EBC8E10"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37886851</w:t>
            </w:r>
          </w:p>
        </w:tc>
      </w:tr>
      <w:tr w:rsidR="008A4FED" w:rsidRPr="00666914" w14:paraId="76DA7AC8"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692DD8E5"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21</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1EE6AAD3"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NEMOCNICA A.LEŇA HUMENNÉ, A.S.</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12342E22"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47249048</w:t>
            </w:r>
          </w:p>
        </w:tc>
      </w:tr>
      <w:tr w:rsidR="008A4FED" w:rsidRPr="00666914" w14:paraId="2865843E"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36A53FD8"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22</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7C8F1E9A"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NEMOCNICA ALEXANDRA WINTERA N.O.</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1995F1AF"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36084221</w:t>
            </w:r>
          </w:p>
        </w:tc>
      </w:tr>
      <w:tr w:rsidR="008A4FED" w:rsidRPr="00666914" w14:paraId="74DA987E"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598F04CE"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23</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5EB83B36"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NEMOCNICA ARM. GENERÁLA L. SVOBODU SVIDNÍK, A.S.</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5CC4616E"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47249099</w:t>
            </w:r>
          </w:p>
        </w:tc>
      </w:tr>
      <w:tr w:rsidR="008A4FED" w:rsidRPr="00666914" w14:paraId="4443725A"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01190A52"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24</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38AD98AC"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NEMOCNICA DR.VOJTECHA ALEXANDRA V KEŽMARKU</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76C6D0C1"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37886436</w:t>
            </w:r>
          </w:p>
        </w:tc>
      </w:tr>
      <w:tr w:rsidR="008A4FED" w:rsidRPr="00666914" w14:paraId="621A2027"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6A86B272"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25</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4C78B1C1"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NEMOCNICA KOMÁRNO S.R.O.</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4D4819FF"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50828371</w:t>
            </w:r>
          </w:p>
        </w:tc>
      </w:tr>
      <w:tr w:rsidR="008A4FED" w:rsidRPr="00666914" w14:paraId="4265422D"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1F50742D"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26</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6C85AD6C"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NEMOCNICA KROMPACHY, SPOL. S R.O.</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5F5B0896"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36182672</w:t>
            </w:r>
          </w:p>
        </w:tc>
      </w:tr>
      <w:tr w:rsidR="008A4FED" w:rsidRPr="00666914" w14:paraId="42626206"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41A89077"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27</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7ABAF015"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NEMOCNICA LEVICE S. R. O.</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70994113"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50861450</w:t>
            </w:r>
          </w:p>
        </w:tc>
      </w:tr>
      <w:tr w:rsidR="008A4FED" w:rsidRPr="00666914" w14:paraId="5C06710D"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53575E37"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28</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59C63C3F"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NEMOCNICA S POLIKLINIKOU BREZNO, N.O.</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250215AE"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31908969</w:t>
            </w:r>
          </w:p>
        </w:tc>
      </w:tr>
      <w:tr w:rsidR="008A4FED" w:rsidRPr="00666914" w14:paraId="5FD5AE53"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7E2BEC71"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29</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761A9A64"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NEMOCNICA S POLIKLINIKOU DUNAJSKÁ STREDA, A.S.</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75A1EB88"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44455356</w:t>
            </w:r>
          </w:p>
        </w:tc>
      </w:tr>
      <w:tr w:rsidR="008A4FED" w:rsidRPr="00666914" w14:paraId="11D45C3A"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238D91FA"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30</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0925E5E9"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NEMOCNICA S POLIKLINIKOU POVAŽSKÁ BYSTRICA</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0DF1D711"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610411</w:t>
            </w:r>
          </w:p>
        </w:tc>
      </w:tr>
      <w:tr w:rsidR="008A4FED" w:rsidRPr="00666914" w14:paraId="7ABD2CC9"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1AE2E7A0"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31</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0DDCB4B4"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NEMOCNICA S POLIKLINIKOU SPIŠSKÁ NOVÁ VES, A.S.</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670D0D1E"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36597350</w:t>
            </w:r>
          </w:p>
        </w:tc>
      </w:tr>
      <w:tr w:rsidR="008A4FED" w:rsidRPr="00666914" w14:paraId="7C08F318"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466C02A5"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32</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38AE55E0"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NEMOCNICA S POLIKLINIKOU SV. BARBORY ROŽŇAVA,</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1321355D"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36597341</w:t>
            </w:r>
          </w:p>
        </w:tc>
      </w:tr>
      <w:tr w:rsidR="008A4FED" w:rsidRPr="00666914" w14:paraId="09B71155"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7E62D667"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33</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30C822D5"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NEMOCNICA S POLIKLINIKOU SV. LUKÁŠA GALANTA, A.S.</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08ED1123"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44452519</w:t>
            </w:r>
          </w:p>
        </w:tc>
      </w:tr>
      <w:tr w:rsidR="008A4FED" w:rsidRPr="00666914" w14:paraId="08C5D971"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4F20A466"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34</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324FB193"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NEMOCNICA S POLIKLINIKOU ŠTEFANA KUKURU</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365C2A0C"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44927380</w:t>
            </w:r>
          </w:p>
        </w:tc>
      </w:tr>
      <w:tr w:rsidR="008A4FED" w:rsidRPr="00666914" w14:paraId="386DA9A5"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293377AE"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35</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36830775"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NEMOCNICA S POLIKLINIKOU TREBIŠOV, A.S.</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5BC1E4A6"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36597376</w:t>
            </w:r>
          </w:p>
        </w:tc>
      </w:tr>
      <w:tr w:rsidR="008A4FED" w:rsidRPr="00666914" w14:paraId="15AAFE54"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6211E3A6"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36</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635746CC"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NEMOCNICA S POLIKLINIKOU, N.O. REVÚCA</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2643E4BD"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45736324</w:t>
            </w:r>
          </w:p>
        </w:tc>
      </w:tr>
      <w:tr w:rsidR="008A4FED" w:rsidRPr="00666914" w14:paraId="2DEAD193"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5BEBA3EC"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37</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79FC728B"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NEMOCNICA SNINA, S.R.O.</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64C32838"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36509108</w:t>
            </w:r>
          </w:p>
        </w:tc>
      </w:tr>
      <w:tr w:rsidR="008A4FED" w:rsidRPr="00666914" w14:paraId="479CE428"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2476B717"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38</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795ABA27"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NEMOCNICA ZVOLEN A. S.</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28A47157"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45594929</w:t>
            </w:r>
          </w:p>
        </w:tc>
      </w:tr>
      <w:tr w:rsidR="008A4FED" w:rsidRPr="00666914" w14:paraId="74688140"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68E9AC4B"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39</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6783AA50"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NSP PRIEVIDZA</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41299C93"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17335795</w:t>
            </w:r>
          </w:p>
        </w:tc>
      </w:tr>
      <w:tr w:rsidR="008A4FED" w:rsidRPr="00666914" w14:paraId="0949C910"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683369E3"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40</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17720A33"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NSP SV. JAKUBA, N.O., BARDEJOV</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0CFE0D1D"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36167908</w:t>
            </w:r>
          </w:p>
        </w:tc>
      </w:tr>
      <w:tr w:rsidR="008A4FED" w:rsidRPr="00666914" w14:paraId="33A2A8F2"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6EB30EC7"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41</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664AC953"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SVET ZDRAVIA NEMOCNICA TOPOĽČANY, A.S.</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5E1A57AE"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46458581</w:t>
            </w:r>
          </w:p>
        </w:tc>
      </w:tr>
      <w:tr w:rsidR="008A4FED" w:rsidRPr="00666914" w14:paraId="4AB4064E"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023813A0"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42</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3C558E15"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SVET ZDRAVIA, A.S.</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393894DF"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35960884</w:t>
            </w:r>
          </w:p>
        </w:tc>
      </w:tr>
      <w:tr w:rsidR="008A4FED" w:rsidRPr="00666914" w14:paraId="23C58400"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7762A943"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43</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1F0461C2"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VRANOVSKÁ NEMOCNICA, A.S.</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0627110B"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47249021</w:t>
            </w:r>
          </w:p>
        </w:tc>
      </w:tr>
      <w:tr w:rsidR="008A4FED" w:rsidRPr="00666914" w14:paraId="5696034E"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6B65C5E5"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44</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3A65D07D"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VŠEOBECNÁ NEMOCNICA S POLIKLINIKOU LEVOČA, A.S.</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6EFC0D45"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36594849</w:t>
            </w:r>
          </w:p>
        </w:tc>
      </w:tr>
      <w:tr w:rsidR="008A4FED" w:rsidRPr="00666914" w14:paraId="606A6F99" w14:textId="77777777" w:rsidTr="00F64B85">
        <w:trPr>
          <w:trHeight w:val="266"/>
        </w:trPr>
        <w:tc>
          <w:tcPr>
            <w:tcW w:w="323" w:type="dxa"/>
            <w:tcBorders>
              <w:top w:val="dotted" w:sz="4" w:space="0" w:color="auto"/>
              <w:left w:val="nil"/>
              <w:bottom w:val="single" w:sz="4" w:space="0" w:color="auto"/>
              <w:right w:val="single" w:sz="4" w:space="0" w:color="auto"/>
            </w:tcBorders>
            <w:shd w:val="clear" w:color="auto" w:fill="auto"/>
            <w:noWrap/>
            <w:hideMark/>
          </w:tcPr>
          <w:p w14:paraId="5409AF43"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lastRenderedPageBreak/>
              <w:t>45</w:t>
            </w:r>
          </w:p>
        </w:tc>
        <w:tc>
          <w:tcPr>
            <w:tcW w:w="8041" w:type="dxa"/>
            <w:tcBorders>
              <w:top w:val="dotted" w:sz="4" w:space="0" w:color="auto"/>
              <w:left w:val="single" w:sz="4" w:space="0" w:color="auto"/>
              <w:bottom w:val="single" w:sz="4" w:space="0" w:color="auto"/>
              <w:right w:val="single" w:sz="4" w:space="0" w:color="auto"/>
            </w:tcBorders>
            <w:shd w:val="clear" w:color="auto" w:fill="auto"/>
            <w:noWrap/>
            <w:hideMark/>
          </w:tcPr>
          <w:p w14:paraId="129574B6"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VŠEOBECNÁ NEMOCNICA S POLIKLINIKOU LUČENEC N.O.</w:t>
            </w:r>
          </w:p>
        </w:tc>
        <w:tc>
          <w:tcPr>
            <w:tcW w:w="942" w:type="dxa"/>
            <w:gridSpan w:val="2"/>
            <w:tcBorders>
              <w:top w:val="dotted" w:sz="4" w:space="0" w:color="auto"/>
              <w:left w:val="single" w:sz="4" w:space="0" w:color="auto"/>
              <w:bottom w:val="single" w:sz="4" w:space="0" w:color="auto"/>
              <w:right w:val="nil"/>
            </w:tcBorders>
            <w:shd w:val="clear" w:color="auto" w:fill="auto"/>
            <w:noWrap/>
            <w:hideMark/>
          </w:tcPr>
          <w:p w14:paraId="0AAB15A7"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37954571</w:t>
            </w:r>
          </w:p>
        </w:tc>
      </w:tr>
      <w:tr w:rsidR="008A4FED" w:rsidRPr="00666914" w14:paraId="22800662" w14:textId="77777777" w:rsidTr="00F64B85">
        <w:trPr>
          <w:gridAfter w:val="1"/>
          <w:wAfter w:w="8" w:type="dxa"/>
          <w:trHeight w:val="283"/>
        </w:trPr>
        <w:tc>
          <w:tcPr>
            <w:tcW w:w="323" w:type="dxa"/>
            <w:tcBorders>
              <w:top w:val="nil"/>
              <w:left w:val="nil"/>
              <w:bottom w:val="single" w:sz="4" w:space="0" w:color="auto"/>
              <w:right w:val="single" w:sz="4" w:space="0" w:color="auto"/>
            </w:tcBorders>
            <w:shd w:val="clear" w:color="auto" w:fill="auto"/>
            <w:noWrap/>
            <w:vAlign w:val="center"/>
          </w:tcPr>
          <w:p w14:paraId="6E4828CE" w14:textId="77777777" w:rsidR="008A4FED" w:rsidRPr="00666914" w:rsidRDefault="008A4FED" w:rsidP="00F64B85">
            <w:pPr>
              <w:spacing w:after="0"/>
              <w:jc w:val="center"/>
              <w:rPr>
                <w:rFonts w:eastAsia="Times New Roman"/>
                <w:color w:val="000000"/>
                <w:sz w:val="20"/>
                <w:szCs w:val="20"/>
                <w:lang w:eastAsia="sk-SK"/>
              </w:rPr>
            </w:pPr>
          </w:p>
        </w:tc>
        <w:tc>
          <w:tcPr>
            <w:tcW w:w="8041" w:type="dxa"/>
            <w:tcBorders>
              <w:top w:val="nil"/>
              <w:left w:val="single" w:sz="4" w:space="0" w:color="auto"/>
              <w:bottom w:val="single" w:sz="4" w:space="0" w:color="auto"/>
              <w:right w:val="single" w:sz="4" w:space="0" w:color="auto"/>
            </w:tcBorders>
            <w:shd w:val="clear" w:color="auto" w:fill="auto"/>
            <w:vAlign w:val="center"/>
          </w:tcPr>
          <w:p w14:paraId="61525A13" w14:textId="77777777" w:rsidR="008A4FED" w:rsidRPr="00666914" w:rsidRDefault="008A4FED" w:rsidP="00F64B85">
            <w:pPr>
              <w:spacing w:after="0"/>
              <w:jc w:val="center"/>
              <w:rPr>
                <w:rFonts w:eastAsia="Times New Roman"/>
                <w:color w:val="000000"/>
                <w:sz w:val="20"/>
                <w:szCs w:val="20"/>
                <w:lang w:eastAsia="sk-SK"/>
              </w:rPr>
            </w:pPr>
            <w:r w:rsidRPr="00666914">
              <w:rPr>
                <w:rFonts w:eastAsia="Times New Roman"/>
                <w:color w:val="000000"/>
                <w:sz w:val="20"/>
                <w:szCs w:val="20"/>
                <w:lang w:eastAsia="sk-SK"/>
              </w:rPr>
              <w:t>Všeobecné nemocnice 3</w:t>
            </w:r>
          </w:p>
        </w:tc>
        <w:tc>
          <w:tcPr>
            <w:tcW w:w="934" w:type="dxa"/>
            <w:tcBorders>
              <w:top w:val="nil"/>
              <w:left w:val="single" w:sz="4" w:space="0" w:color="auto"/>
              <w:bottom w:val="single" w:sz="4" w:space="0" w:color="auto"/>
              <w:right w:val="nil"/>
            </w:tcBorders>
            <w:shd w:val="clear" w:color="auto" w:fill="auto"/>
            <w:vAlign w:val="center"/>
          </w:tcPr>
          <w:p w14:paraId="2F5672D4" w14:textId="77777777" w:rsidR="008A4FED" w:rsidRPr="00666914" w:rsidRDefault="008A4FED" w:rsidP="00F64B85">
            <w:pPr>
              <w:spacing w:after="0"/>
              <w:jc w:val="center"/>
              <w:rPr>
                <w:rFonts w:eastAsia="Times New Roman"/>
                <w:color w:val="000000"/>
                <w:sz w:val="20"/>
                <w:szCs w:val="20"/>
                <w:lang w:eastAsia="sk-SK"/>
              </w:rPr>
            </w:pPr>
          </w:p>
        </w:tc>
      </w:tr>
      <w:tr w:rsidR="008A4FED" w:rsidRPr="00666914" w14:paraId="048FE351" w14:textId="77777777" w:rsidTr="00F64B85">
        <w:trPr>
          <w:trHeight w:val="264"/>
        </w:trPr>
        <w:tc>
          <w:tcPr>
            <w:tcW w:w="323" w:type="dxa"/>
            <w:tcBorders>
              <w:top w:val="nil"/>
              <w:left w:val="nil"/>
              <w:bottom w:val="dotted" w:sz="4" w:space="0" w:color="auto"/>
              <w:right w:val="single" w:sz="4" w:space="0" w:color="auto"/>
            </w:tcBorders>
            <w:shd w:val="clear" w:color="auto" w:fill="auto"/>
            <w:noWrap/>
            <w:hideMark/>
          </w:tcPr>
          <w:p w14:paraId="2481AF80"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46</w:t>
            </w:r>
          </w:p>
        </w:tc>
        <w:tc>
          <w:tcPr>
            <w:tcW w:w="8041" w:type="dxa"/>
            <w:tcBorders>
              <w:top w:val="nil"/>
              <w:left w:val="single" w:sz="4" w:space="0" w:color="auto"/>
              <w:bottom w:val="dotted" w:sz="4" w:space="0" w:color="auto"/>
              <w:right w:val="single" w:sz="4" w:space="0" w:color="auto"/>
            </w:tcBorders>
            <w:shd w:val="clear" w:color="auto" w:fill="auto"/>
            <w:noWrap/>
            <w:hideMark/>
          </w:tcPr>
          <w:p w14:paraId="1E36896F"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FAKULTNÁ NEMOCNICA NITRA</w:t>
            </w:r>
          </w:p>
        </w:tc>
        <w:tc>
          <w:tcPr>
            <w:tcW w:w="942" w:type="dxa"/>
            <w:gridSpan w:val="2"/>
            <w:tcBorders>
              <w:top w:val="nil"/>
              <w:left w:val="single" w:sz="4" w:space="0" w:color="auto"/>
              <w:bottom w:val="dotted" w:sz="4" w:space="0" w:color="auto"/>
              <w:right w:val="nil"/>
            </w:tcBorders>
            <w:shd w:val="clear" w:color="auto" w:fill="auto"/>
            <w:noWrap/>
            <w:hideMark/>
          </w:tcPr>
          <w:p w14:paraId="2D432930"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17336007</w:t>
            </w:r>
          </w:p>
        </w:tc>
      </w:tr>
      <w:tr w:rsidR="008A4FED" w:rsidRPr="00666914" w14:paraId="1D327ED4"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1F105BD7"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47</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51A01089"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FAKULTNÁ NEMOCNICA S POLIKLINIKOU N.ZÁMKY</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04A731EA"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17336112</w:t>
            </w:r>
          </w:p>
        </w:tc>
      </w:tr>
      <w:tr w:rsidR="008A4FED" w:rsidRPr="00666914" w14:paraId="6A347E0D"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353853EC"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48</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4CF85475"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FAKULTNÁ NEMOCNICA S POLIKLINIKOU ŽILINA</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6DCCF088"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17335825</w:t>
            </w:r>
          </w:p>
        </w:tc>
      </w:tr>
      <w:tr w:rsidR="008A4FED" w:rsidRPr="00666914" w14:paraId="61F7BFE5"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7AD4A13F"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49</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4A3AD6A3"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FAKULTNÁ NEMOCNICA TRENČÍN</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4E4902A8"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610470</w:t>
            </w:r>
          </w:p>
        </w:tc>
      </w:tr>
      <w:tr w:rsidR="008A4FED" w:rsidRPr="00666914" w14:paraId="67678DF5"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78899E5D"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50</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528D3E62"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FAKULTNÁ NEMOCNICA TRNAVA</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0F9F2553"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610381</w:t>
            </w:r>
          </w:p>
        </w:tc>
      </w:tr>
      <w:tr w:rsidR="008A4FED" w:rsidRPr="00666914" w14:paraId="67668D4C"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0ABDE1AC"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51</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31874C04"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FNSP J.A. REIMANA PREŠOV</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2E7C08B3"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610577</w:t>
            </w:r>
          </w:p>
        </w:tc>
      </w:tr>
      <w:tr w:rsidR="008A4FED" w:rsidRPr="00666914" w14:paraId="0E4431AD"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64478761"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52</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27218E39"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NEMOCNICA KOŠICE-ŠACA A.S. 1.SÚKROMNÁ NEMOCNICA</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4D59EF75"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36168165</w:t>
            </w:r>
          </w:p>
        </w:tc>
      </w:tr>
      <w:tr w:rsidR="008A4FED" w:rsidRPr="00666914" w14:paraId="09B10A77"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693268FA"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53</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4DF22253"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NEMOCNICA POPRAD, A.S.</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5D1BAC62"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36513458</w:t>
            </w:r>
          </w:p>
        </w:tc>
      </w:tr>
      <w:tr w:rsidR="008A4FED" w:rsidRPr="00666914" w14:paraId="7DC294AC"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67EB290E"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54</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4392F645"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UNIVERZITNÁ NEMOCNICA S POLIKLINIKOU MILOSRDNÍ BRATIA, SPOL. S R.O.</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77FE9C64"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31386563</w:t>
            </w:r>
          </w:p>
        </w:tc>
      </w:tr>
      <w:tr w:rsidR="008A4FED" w:rsidRPr="00666914" w14:paraId="4B6EB73E"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2CCE7D80"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55</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08B16A73"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ÚSTREDNÁ VOJENSKÁ NEMOCNICA SNP RUŽOMBEROK -</w:t>
            </w:r>
            <w:r w:rsidRPr="00666914">
              <w:rPr>
                <w:rFonts w:eastAsia="Times New Roman"/>
                <w:color w:val="000000"/>
                <w:sz w:val="20"/>
                <w:szCs w:val="20"/>
                <w:lang w:eastAsia="sk-SK"/>
              </w:rPr>
              <w:br/>
              <w:t>FAKULTNÁ NEMOCNICA</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194D742E"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31936415</w:t>
            </w:r>
          </w:p>
        </w:tc>
      </w:tr>
      <w:tr w:rsidR="008A4FED" w:rsidRPr="00666914" w14:paraId="2BFE9B67" w14:textId="77777777" w:rsidTr="00F64B85">
        <w:trPr>
          <w:trHeight w:val="264"/>
        </w:trPr>
        <w:tc>
          <w:tcPr>
            <w:tcW w:w="323" w:type="dxa"/>
            <w:tcBorders>
              <w:top w:val="dotted" w:sz="4" w:space="0" w:color="auto"/>
              <w:left w:val="nil"/>
              <w:bottom w:val="single" w:sz="4" w:space="0" w:color="auto"/>
              <w:right w:val="single" w:sz="4" w:space="0" w:color="auto"/>
            </w:tcBorders>
            <w:shd w:val="clear" w:color="auto" w:fill="auto"/>
            <w:noWrap/>
            <w:hideMark/>
          </w:tcPr>
          <w:p w14:paraId="717897A4"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56</w:t>
            </w:r>
          </w:p>
        </w:tc>
        <w:tc>
          <w:tcPr>
            <w:tcW w:w="8041" w:type="dxa"/>
            <w:tcBorders>
              <w:top w:val="dotted" w:sz="4" w:space="0" w:color="auto"/>
              <w:left w:val="single" w:sz="4" w:space="0" w:color="auto"/>
              <w:bottom w:val="single" w:sz="4" w:space="0" w:color="auto"/>
              <w:right w:val="single" w:sz="4" w:space="0" w:color="auto"/>
            </w:tcBorders>
            <w:shd w:val="clear" w:color="auto" w:fill="auto"/>
            <w:noWrap/>
            <w:hideMark/>
          </w:tcPr>
          <w:p w14:paraId="3A5E71C7"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UNIVERZITNÁ NEMOCNICA – NEMOCNICA SVÄTÉHO MICHALA, A.S.</w:t>
            </w:r>
          </w:p>
        </w:tc>
        <w:tc>
          <w:tcPr>
            <w:tcW w:w="942" w:type="dxa"/>
            <w:gridSpan w:val="2"/>
            <w:tcBorders>
              <w:top w:val="dotted" w:sz="4" w:space="0" w:color="auto"/>
              <w:left w:val="single" w:sz="4" w:space="0" w:color="auto"/>
              <w:bottom w:val="single" w:sz="4" w:space="0" w:color="auto"/>
              <w:right w:val="nil"/>
            </w:tcBorders>
            <w:shd w:val="clear" w:color="auto" w:fill="auto"/>
            <w:noWrap/>
            <w:hideMark/>
          </w:tcPr>
          <w:p w14:paraId="543FBB3B"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44570783</w:t>
            </w:r>
          </w:p>
        </w:tc>
      </w:tr>
      <w:tr w:rsidR="008A4FED" w:rsidRPr="00666914" w14:paraId="0A9AA2DD" w14:textId="77777777" w:rsidTr="00F64B85">
        <w:trPr>
          <w:gridAfter w:val="1"/>
          <w:wAfter w:w="8" w:type="dxa"/>
          <w:trHeight w:val="283"/>
        </w:trPr>
        <w:tc>
          <w:tcPr>
            <w:tcW w:w="323" w:type="dxa"/>
            <w:tcBorders>
              <w:top w:val="nil"/>
              <w:left w:val="nil"/>
              <w:bottom w:val="single" w:sz="4" w:space="0" w:color="auto"/>
              <w:right w:val="single" w:sz="4" w:space="0" w:color="auto"/>
            </w:tcBorders>
            <w:shd w:val="clear" w:color="auto" w:fill="auto"/>
            <w:noWrap/>
            <w:vAlign w:val="center"/>
          </w:tcPr>
          <w:p w14:paraId="619C9782" w14:textId="77777777" w:rsidR="008A4FED" w:rsidRPr="00666914" w:rsidRDefault="008A4FED" w:rsidP="00F64B85">
            <w:pPr>
              <w:spacing w:after="0"/>
              <w:jc w:val="center"/>
              <w:rPr>
                <w:rFonts w:eastAsia="Times New Roman"/>
                <w:color w:val="000000"/>
                <w:sz w:val="20"/>
                <w:szCs w:val="20"/>
                <w:lang w:eastAsia="sk-SK"/>
              </w:rPr>
            </w:pPr>
          </w:p>
        </w:tc>
        <w:tc>
          <w:tcPr>
            <w:tcW w:w="8041" w:type="dxa"/>
            <w:tcBorders>
              <w:top w:val="nil"/>
              <w:left w:val="single" w:sz="4" w:space="0" w:color="auto"/>
              <w:bottom w:val="single" w:sz="4" w:space="0" w:color="auto"/>
              <w:right w:val="single" w:sz="4" w:space="0" w:color="auto"/>
            </w:tcBorders>
            <w:shd w:val="clear" w:color="auto" w:fill="auto"/>
            <w:vAlign w:val="center"/>
          </w:tcPr>
          <w:p w14:paraId="4F6D2EF1" w14:textId="77777777" w:rsidR="008A4FED" w:rsidRPr="00666914" w:rsidRDefault="008A4FED" w:rsidP="00F64B85">
            <w:pPr>
              <w:spacing w:after="0"/>
              <w:jc w:val="center"/>
              <w:rPr>
                <w:rFonts w:eastAsia="Times New Roman"/>
                <w:color w:val="000000"/>
                <w:sz w:val="20"/>
                <w:szCs w:val="20"/>
                <w:lang w:eastAsia="sk-SK"/>
              </w:rPr>
            </w:pPr>
            <w:r w:rsidRPr="00666914">
              <w:rPr>
                <w:rFonts w:eastAsia="Times New Roman"/>
                <w:color w:val="000000"/>
                <w:sz w:val="20"/>
                <w:szCs w:val="20"/>
                <w:lang w:eastAsia="sk-SK"/>
              </w:rPr>
              <w:t>Všeobecné nemocnice č</w:t>
            </w:r>
          </w:p>
        </w:tc>
        <w:tc>
          <w:tcPr>
            <w:tcW w:w="934" w:type="dxa"/>
            <w:tcBorders>
              <w:top w:val="nil"/>
              <w:left w:val="single" w:sz="4" w:space="0" w:color="auto"/>
              <w:bottom w:val="single" w:sz="4" w:space="0" w:color="auto"/>
              <w:right w:val="nil"/>
            </w:tcBorders>
            <w:shd w:val="clear" w:color="auto" w:fill="auto"/>
            <w:vAlign w:val="center"/>
          </w:tcPr>
          <w:p w14:paraId="2AAEAFCA" w14:textId="77777777" w:rsidR="008A4FED" w:rsidRPr="00666914" w:rsidRDefault="008A4FED" w:rsidP="00F64B85">
            <w:pPr>
              <w:spacing w:after="0"/>
              <w:jc w:val="center"/>
              <w:rPr>
                <w:rFonts w:eastAsia="Times New Roman"/>
                <w:color w:val="000000"/>
                <w:sz w:val="20"/>
                <w:szCs w:val="20"/>
                <w:lang w:eastAsia="sk-SK"/>
              </w:rPr>
            </w:pPr>
          </w:p>
        </w:tc>
      </w:tr>
      <w:tr w:rsidR="008A4FED" w:rsidRPr="00666914" w14:paraId="73284796" w14:textId="77777777" w:rsidTr="00F64B85">
        <w:trPr>
          <w:trHeight w:val="264"/>
        </w:trPr>
        <w:tc>
          <w:tcPr>
            <w:tcW w:w="323" w:type="dxa"/>
            <w:tcBorders>
              <w:top w:val="nil"/>
              <w:left w:val="nil"/>
              <w:bottom w:val="dotted" w:sz="4" w:space="0" w:color="auto"/>
              <w:right w:val="single" w:sz="4" w:space="0" w:color="auto"/>
            </w:tcBorders>
            <w:shd w:val="clear" w:color="auto" w:fill="auto"/>
            <w:noWrap/>
            <w:hideMark/>
          </w:tcPr>
          <w:p w14:paraId="6966C0E3"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57</w:t>
            </w:r>
          </w:p>
        </w:tc>
        <w:tc>
          <w:tcPr>
            <w:tcW w:w="8041" w:type="dxa"/>
            <w:tcBorders>
              <w:top w:val="nil"/>
              <w:left w:val="single" w:sz="4" w:space="0" w:color="auto"/>
              <w:bottom w:val="dotted" w:sz="4" w:space="0" w:color="auto"/>
              <w:right w:val="single" w:sz="4" w:space="0" w:color="auto"/>
            </w:tcBorders>
            <w:shd w:val="clear" w:color="auto" w:fill="auto"/>
            <w:noWrap/>
            <w:hideMark/>
          </w:tcPr>
          <w:p w14:paraId="2602C50B"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DETSKÁ FAKULTNÁ NEMOCNICA KOŠICE</w:t>
            </w:r>
          </w:p>
        </w:tc>
        <w:tc>
          <w:tcPr>
            <w:tcW w:w="942" w:type="dxa"/>
            <w:gridSpan w:val="2"/>
            <w:tcBorders>
              <w:top w:val="nil"/>
              <w:left w:val="single" w:sz="4" w:space="0" w:color="auto"/>
              <w:bottom w:val="dotted" w:sz="4" w:space="0" w:color="auto"/>
              <w:right w:val="nil"/>
            </w:tcBorders>
            <w:shd w:val="clear" w:color="auto" w:fill="auto"/>
            <w:noWrap/>
            <w:hideMark/>
          </w:tcPr>
          <w:p w14:paraId="534E0525"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606715</w:t>
            </w:r>
          </w:p>
        </w:tc>
      </w:tr>
      <w:tr w:rsidR="008A4FED" w:rsidRPr="00666914" w14:paraId="686B377A"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6B4F3BF4"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58</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59BBE039"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DFNSP BANSKÁ BYSTRICA</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1795C9CB"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37957937</w:t>
            </w:r>
          </w:p>
        </w:tc>
      </w:tr>
      <w:tr w:rsidR="008A4FED" w:rsidRPr="00666914" w14:paraId="1E7DC5CF"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743C2F24"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59</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43E96087"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FNSP F.D.ROOSEVELTA BANSKÁ BYSTRICA</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6B28FCF9"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165549</w:t>
            </w:r>
          </w:p>
        </w:tc>
      </w:tr>
      <w:tr w:rsidR="008A4FED" w:rsidRPr="00666914" w14:paraId="0B757C89"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5A1A58A9"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60</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3FC829A8"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NÁRODNÝ ÚSTAV DETSKÝCH CHORÔB</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7CF2D8D6"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607231</w:t>
            </w:r>
          </w:p>
        </w:tc>
      </w:tr>
      <w:tr w:rsidR="008A4FED" w:rsidRPr="00666914" w14:paraId="0A93B439"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353751BC"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61</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26477B74"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UNIVERZITNÁ NEMOCNICA BRATISLAVA</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1F57E909"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31813861</w:t>
            </w:r>
          </w:p>
        </w:tc>
      </w:tr>
      <w:tr w:rsidR="008A4FED" w:rsidRPr="00666914" w14:paraId="098807D0"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5F7599CA"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62</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3D99C53B"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UNIVERZITNÁ NEMOCNICA L. PASTEURA KOŠICE</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4F304305"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606707</w:t>
            </w:r>
          </w:p>
        </w:tc>
      </w:tr>
      <w:tr w:rsidR="008A4FED" w:rsidRPr="00666914" w14:paraId="434754E0" w14:textId="77777777" w:rsidTr="00F64B85">
        <w:trPr>
          <w:trHeight w:val="264"/>
        </w:trPr>
        <w:tc>
          <w:tcPr>
            <w:tcW w:w="323" w:type="dxa"/>
            <w:tcBorders>
              <w:top w:val="dotted" w:sz="4" w:space="0" w:color="auto"/>
              <w:left w:val="nil"/>
              <w:bottom w:val="single" w:sz="4" w:space="0" w:color="auto"/>
              <w:right w:val="single" w:sz="4" w:space="0" w:color="auto"/>
            </w:tcBorders>
            <w:shd w:val="clear" w:color="auto" w:fill="auto"/>
            <w:noWrap/>
            <w:hideMark/>
          </w:tcPr>
          <w:p w14:paraId="42A066BE"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63</w:t>
            </w:r>
          </w:p>
        </w:tc>
        <w:tc>
          <w:tcPr>
            <w:tcW w:w="8041" w:type="dxa"/>
            <w:tcBorders>
              <w:top w:val="dotted" w:sz="4" w:space="0" w:color="auto"/>
              <w:left w:val="single" w:sz="4" w:space="0" w:color="auto"/>
              <w:bottom w:val="single" w:sz="4" w:space="0" w:color="auto"/>
              <w:right w:val="single" w:sz="4" w:space="0" w:color="auto"/>
            </w:tcBorders>
            <w:shd w:val="clear" w:color="auto" w:fill="auto"/>
            <w:noWrap/>
            <w:hideMark/>
          </w:tcPr>
          <w:p w14:paraId="1E9258FF"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UNIVERZITNÁ NEMOCNICA MARTIN</w:t>
            </w:r>
          </w:p>
        </w:tc>
        <w:tc>
          <w:tcPr>
            <w:tcW w:w="942" w:type="dxa"/>
            <w:gridSpan w:val="2"/>
            <w:tcBorders>
              <w:top w:val="dotted" w:sz="4" w:space="0" w:color="auto"/>
              <w:left w:val="single" w:sz="4" w:space="0" w:color="auto"/>
              <w:bottom w:val="single" w:sz="4" w:space="0" w:color="auto"/>
              <w:right w:val="nil"/>
            </w:tcBorders>
            <w:shd w:val="clear" w:color="auto" w:fill="auto"/>
            <w:noWrap/>
            <w:hideMark/>
          </w:tcPr>
          <w:p w14:paraId="6F6CFD89"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365327</w:t>
            </w:r>
          </w:p>
        </w:tc>
      </w:tr>
      <w:tr w:rsidR="008A4FED" w:rsidRPr="00666914" w14:paraId="0A203D9D" w14:textId="77777777" w:rsidTr="00F64B85">
        <w:trPr>
          <w:gridAfter w:val="1"/>
          <w:wAfter w:w="8" w:type="dxa"/>
          <w:trHeight w:val="283"/>
        </w:trPr>
        <w:tc>
          <w:tcPr>
            <w:tcW w:w="323" w:type="dxa"/>
            <w:tcBorders>
              <w:top w:val="nil"/>
              <w:left w:val="nil"/>
              <w:bottom w:val="single" w:sz="4" w:space="0" w:color="auto"/>
              <w:right w:val="single" w:sz="4" w:space="0" w:color="auto"/>
            </w:tcBorders>
            <w:shd w:val="clear" w:color="auto" w:fill="auto"/>
            <w:noWrap/>
            <w:vAlign w:val="center"/>
          </w:tcPr>
          <w:p w14:paraId="228FE2A1" w14:textId="77777777" w:rsidR="008A4FED" w:rsidRPr="00666914" w:rsidRDefault="008A4FED" w:rsidP="00F64B85">
            <w:pPr>
              <w:spacing w:after="0"/>
              <w:jc w:val="center"/>
              <w:rPr>
                <w:rFonts w:eastAsia="Times New Roman"/>
                <w:color w:val="000000"/>
                <w:sz w:val="20"/>
                <w:szCs w:val="20"/>
                <w:lang w:eastAsia="sk-SK"/>
              </w:rPr>
            </w:pPr>
          </w:p>
        </w:tc>
        <w:tc>
          <w:tcPr>
            <w:tcW w:w="8041" w:type="dxa"/>
            <w:tcBorders>
              <w:top w:val="nil"/>
              <w:left w:val="single" w:sz="4" w:space="0" w:color="auto"/>
              <w:bottom w:val="single" w:sz="4" w:space="0" w:color="auto"/>
              <w:right w:val="single" w:sz="4" w:space="0" w:color="auto"/>
            </w:tcBorders>
            <w:shd w:val="clear" w:color="auto" w:fill="auto"/>
            <w:vAlign w:val="center"/>
          </w:tcPr>
          <w:p w14:paraId="04F5F862" w14:textId="77777777" w:rsidR="008A4FED" w:rsidRPr="00666914" w:rsidRDefault="008A4FED" w:rsidP="00F64B85">
            <w:pPr>
              <w:spacing w:after="0"/>
              <w:jc w:val="center"/>
              <w:rPr>
                <w:rFonts w:eastAsia="Times New Roman"/>
                <w:color w:val="000000"/>
                <w:sz w:val="20"/>
                <w:szCs w:val="20"/>
                <w:lang w:eastAsia="sk-SK"/>
              </w:rPr>
            </w:pPr>
            <w:r w:rsidRPr="00666914">
              <w:rPr>
                <w:rFonts w:eastAsia="Times New Roman"/>
                <w:color w:val="000000"/>
                <w:sz w:val="20"/>
                <w:szCs w:val="20"/>
                <w:lang w:eastAsia="sk-SK"/>
              </w:rPr>
              <w:t>Ústavy srdcovo cievnych chorôb</w:t>
            </w:r>
          </w:p>
        </w:tc>
        <w:tc>
          <w:tcPr>
            <w:tcW w:w="934" w:type="dxa"/>
            <w:tcBorders>
              <w:top w:val="nil"/>
              <w:left w:val="single" w:sz="4" w:space="0" w:color="auto"/>
              <w:bottom w:val="single" w:sz="4" w:space="0" w:color="auto"/>
              <w:right w:val="nil"/>
            </w:tcBorders>
            <w:shd w:val="clear" w:color="auto" w:fill="auto"/>
            <w:vAlign w:val="center"/>
          </w:tcPr>
          <w:p w14:paraId="6B467C6C" w14:textId="77777777" w:rsidR="008A4FED" w:rsidRPr="00666914" w:rsidRDefault="008A4FED" w:rsidP="00F64B85">
            <w:pPr>
              <w:spacing w:after="0"/>
              <w:jc w:val="center"/>
              <w:rPr>
                <w:rFonts w:eastAsia="Times New Roman"/>
                <w:color w:val="000000"/>
                <w:sz w:val="20"/>
                <w:szCs w:val="20"/>
                <w:lang w:eastAsia="sk-SK"/>
              </w:rPr>
            </w:pPr>
          </w:p>
        </w:tc>
      </w:tr>
      <w:tr w:rsidR="008A4FED" w:rsidRPr="00666914" w14:paraId="42C74AD6" w14:textId="77777777" w:rsidTr="00F64B85">
        <w:trPr>
          <w:trHeight w:val="264"/>
        </w:trPr>
        <w:tc>
          <w:tcPr>
            <w:tcW w:w="323" w:type="dxa"/>
            <w:tcBorders>
              <w:top w:val="nil"/>
              <w:left w:val="nil"/>
              <w:bottom w:val="dotted" w:sz="4" w:space="0" w:color="auto"/>
              <w:right w:val="single" w:sz="4" w:space="0" w:color="auto"/>
            </w:tcBorders>
            <w:shd w:val="clear" w:color="auto" w:fill="auto"/>
            <w:noWrap/>
            <w:hideMark/>
          </w:tcPr>
          <w:p w14:paraId="11E8659D"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64</w:t>
            </w:r>
          </w:p>
        </w:tc>
        <w:tc>
          <w:tcPr>
            <w:tcW w:w="8041" w:type="dxa"/>
            <w:tcBorders>
              <w:top w:val="nil"/>
              <w:left w:val="single" w:sz="4" w:space="0" w:color="auto"/>
              <w:bottom w:val="dotted" w:sz="4" w:space="0" w:color="auto"/>
              <w:right w:val="single" w:sz="4" w:space="0" w:color="auto"/>
            </w:tcBorders>
            <w:shd w:val="clear" w:color="auto" w:fill="auto"/>
            <w:noWrap/>
            <w:hideMark/>
          </w:tcPr>
          <w:p w14:paraId="1B8EE6A5"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NÁRODNÝ ÚSTAV SRDCOVÝCH A CIEVNYCH CHORÔB,</w:t>
            </w:r>
            <w:r w:rsidRPr="00666914">
              <w:rPr>
                <w:rFonts w:eastAsia="Times New Roman"/>
                <w:color w:val="000000"/>
                <w:sz w:val="20"/>
                <w:szCs w:val="20"/>
                <w:lang w:eastAsia="sk-SK"/>
              </w:rPr>
              <w:br/>
              <w:t>A.S.</w:t>
            </w:r>
          </w:p>
        </w:tc>
        <w:tc>
          <w:tcPr>
            <w:tcW w:w="942" w:type="dxa"/>
            <w:gridSpan w:val="2"/>
            <w:tcBorders>
              <w:top w:val="nil"/>
              <w:left w:val="single" w:sz="4" w:space="0" w:color="auto"/>
              <w:bottom w:val="dotted" w:sz="4" w:space="0" w:color="auto"/>
              <w:right w:val="nil"/>
            </w:tcBorders>
            <w:shd w:val="clear" w:color="auto" w:fill="auto"/>
            <w:noWrap/>
            <w:hideMark/>
          </w:tcPr>
          <w:p w14:paraId="5432FAAB"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35971126</w:t>
            </w:r>
          </w:p>
        </w:tc>
      </w:tr>
      <w:tr w:rsidR="008A4FED" w:rsidRPr="00666914" w14:paraId="7AF26DD0"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728ECFFA"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65</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6BCD9AA9"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STREDOSLOVENSKÝ ÚSTAV SRDCOVÝCH A CIEVNYCH CHORÔB, A.S.</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49B33483"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36644331</w:t>
            </w:r>
          </w:p>
        </w:tc>
      </w:tr>
      <w:tr w:rsidR="008A4FED" w:rsidRPr="00666914" w14:paraId="4E87D421" w14:textId="77777777" w:rsidTr="00F64B85">
        <w:trPr>
          <w:trHeight w:val="264"/>
        </w:trPr>
        <w:tc>
          <w:tcPr>
            <w:tcW w:w="323" w:type="dxa"/>
            <w:tcBorders>
              <w:top w:val="dotted" w:sz="4" w:space="0" w:color="auto"/>
              <w:left w:val="nil"/>
              <w:bottom w:val="single" w:sz="4" w:space="0" w:color="auto"/>
              <w:right w:val="single" w:sz="4" w:space="0" w:color="auto"/>
            </w:tcBorders>
            <w:shd w:val="clear" w:color="auto" w:fill="auto"/>
            <w:noWrap/>
            <w:hideMark/>
          </w:tcPr>
          <w:p w14:paraId="416BB7CD"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66</w:t>
            </w:r>
          </w:p>
        </w:tc>
        <w:tc>
          <w:tcPr>
            <w:tcW w:w="8041" w:type="dxa"/>
            <w:tcBorders>
              <w:top w:val="dotted" w:sz="4" w:space="0" w:color="auto"/>
              <w:left w:val="single" w:sz="4" w:space="0" w:color="auto"/>
              <w:bottom w:val="single" w:sz="4" w:space="0" w:color="auto"/>
              <w:right w:val="single" w:sz="4" w:space="0" w:color="auto"/>
            </w:tcBorders>
            <w:shd w:val="clear" w:color="auto" w:fill="auto"/>
            <w:noWrap/>
            <w:hideMark/>
          </w:tcPr>
          <w:p w14:paraId="5C771B66"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VÝCHODOSLOVENSKÝ ÚSTAV SRDCOVÝCH A CIEVNYCH CHORÔB, A.S.</w:t>
            </w:r>
          </w:p>
        </w:tc>
        <w:tc>
          <w:tcPr>
            <w:tcW w:w="942" w:type="dxa"/>
            <w:gridSpan w:val="2"/>
            <w:tcBorders>
              <w:top w:val="dotted" w:sz="4" w:space="0" w:color="auto"/>
              <w:left w:val="single" w:sz="4" w:space="0" w:color="auto"/>
              <w:bottom w:val="single" w:sz="4" w:space="0" w:color="auto"/>
              <w:right w:val="nil"/>
            </w:tcBorders>
            <w:shd w:val="clear" w:color="auto" w:fill="auto"/>
            <w:noWrap/>
            <w:hideMark/>
          </w:tcPr>
          <w:p w14:paraId="6062EF6B"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36601284</w:t>
            </w:r>
          </w:p>
        </w:tc>
      </w:tr>
      <w:tr w:rsidR="008A4FED" w:rsidRPr="00666914" w14:paraId="7C117218" w14:textId="77777777" w:rsidTr="00F64B85">
        <w:trPr>
          <w:gridAfter w:val="1"/>
          <w:wAfter w:w="8" w:type="dxa"/>
          <w:trHeight w:val="283"/>
        </w:trPr>
        <w:tc>
          <w:tcPr>
            <w:tcW w:w="323" w:type="dxa"/>
            <w:tcBorders>
              <w:top w:val="nil"/>
              <w:left w:val="nil"/>
              <w:bottom w:val="single" w:sz="4" w:space="0" w:color="auto"/>
              <w:right w:val="single" w:sz="4" w:space="0" w:color="auto"/>
            </w:tcBorders>
            <w:shd w:val="clear" w:color="auto" w:fill="auto"/>
            <w:noWrap/>
            <w:vAlign w:val="center"/>
          </w:tcPr>
          <w:p w14:paraId="4BE1E448" w14:textId="77777777" w:rsidR="008A4FED" w:rsidRPr="00666914" w:rsidRDefault="008A4FED" w:rsidP="00F64B85">
            <w:pPr>
              <w:spacing w:after="0"/>
              <w:jc w:val="center"/>
              <w:rPr>
                <w:rFonts w:eastAsia="Times New Roman"/>
                <w:color w:val="000000"/>
                <w:sz w:val="20"/>
                <w:szCs w:val="20"/>
                <w:lang w:eastAsia="sk-SK"/>
              </w:rPr>
            </w:pPr>
          </w:p>
        </w:tc>
        <w:tc>
          <w:tcPr>
            <w:tcW w:w="8041" w:type="dxa"/>
            <w:tcBorders>
              <w:top w:val="nil"/>
              <w:left w:val="single" w:sz="4" w:space="0" w:color="auto"/>
              <w:bottom w:val="single" w:sz="4" w:space="0" w:color="auto"/>
              <w:right w:val="single" w:sz="4" w:space="0" w:color="auto"/>
            </w:tcBorders>
            <w:shd w:val="clear" w:color="auto" w:fill="auto"/>
            <w:vAlign w:val="center"/>
          </w:tcPr>
          <w:p w14:paraId="33FF8662" w14:textId="77777777" w:rsidR="008A4FED" w:rsidRPr="00666914" w:rsidRDefault="008A4FED" w:rsidP="00F64B85">
            <w:pPr>
              <w:spacing w:after="0"/>
              <w:jc w:val="center"/>
              <w:rPr>
                <w:rFonts w:eastAsia="Times New Roman"/>
                <w:color w:val="000000"/>
                <w:sz w:val="20"/>
                <w:szCs w:val="20"/>
                <w:lang w:eastAsia="sk-SK"/>
              </w:rPr>
            </w:pPr>
            <w:r w:rsidRPr="00666914">
              <w:rPr>
                <w:rFonts w:eastAsia="Times New Roman"/>
                <w:color w:val="000000"/>
                <w:sz w:val="20"/>
                <w:szCs w:val="20"/>
                <w:lang w:eastAsia="sk-SK"/>
              </w:rPr>
              <w:t>Onkologické ústavy</w:t>
            </w:r>
          </w:p>
        </w:tc>
        <w:tc>
          <w:tcPr>
            <w:tcW w:w="934" w:type="dxa"/>
            <w:tcBorders>
              <w:top w:val="nil"/>
              <w:left w:val="single" w:sz="4" w:space="0" w:color="auto"/>
              <w:bottom w:val="single" w:sz="4" w:space="0" w:color="auto"/>
              <w:right w:val="nil"/>
            </w:tcBorders>
            <w:shd w:val="clear" w:color="auto" w:fill="auto"/>
            <w:vAlign w:val="center"/>
          </w:tcPr>
          <w:p w14:paraId="6CD32A7A" w14:textId="77777777" w:rsidR="008A4FED" w:rsidRPr="00666914" w:rsidRDefault="008A4FED" w:rsidP="00F64B85">
            <w:pPr>
              <w:spacing w:after="0"/>
              <w:jc w:val="center"/>
              <w:rPr>
                <w:rFonts w:eastAsia="Times New Roman"/>
                <w:color w:val="000000"/>
                <w:sz w:val="20"/>
                <w:szCs w:val="20"/>
                <w:lang w:eastAsia="sk-SK"/>
              </w:rPr>
            </w:pPr>
          </w:p>
        </w:tc>
      </w:tr>
      <w:tr w:rsidR="008A4FED" w:rsidRPr="00666914" w14:paraId="1DE2C7E6" w14:textId="77777777" w:rsidTr="00F64B85">
        <w:trPr>
          <w:trHeight w:val="264"/>
        </w:trPr>
        <w:tc>
          <w:tcPr>
            <w:tcW w:w="323" w:type="dxa"/>
            <w:tcBorders>
              <w:top w:val="nil"/>
              <w:left w:val="nil"/>
              <w:bottom w:val="dotted" w:sz="4" w:space="0" w:color="auto"/>
              <w:right w:val="single" w:sz="4" w:space="0" w:color="auto"/>
            </w:tcBorders>
            <w:shd w:val="clear" w:color="auto" w:fill="auto"/>
            <w:noWrap/>
            <w:hideMark/>
          </w:tcPr>
          <w:p w14:paraId="4452F296"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67</w:t>
            </w:r>
          </w:p>
        </w:tc>
        <w:tc>
          <w:tcPr>
            <w:tcW w:w="8041" w:type="dxa"/>
            <w:tcBorders>
              <w:top w:val="nil"/>
              <w:left w:val="single" w:sz="4" w:space="0" w:color="auto"/>
              <w:bottom w:val="dotted" w:sz="4" w:space="0" w:color="auto"/>
              <w:right w:val="single" w:sz="4" w:space="0" w:color="auto"/>
            </w:tcBorders>
            <w:shd w:val="clear" w:color="auto" w:fill="auto"/>
            <w:noWrap/>
            <w:hideMark/>
          </w:tcPr>
          <w:p w14:paraId="3D3145AD"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NÁRODNÝ ONKOLOGICKÝ ÚSTAV BRATISLAVA</w:t>
            </w:r>
          </w:p>
        </w:tc>
        <w:tc>
          <w:tcPr>
            <w:tcW w:w="942" w:type="dxa"/>
            <w:gridSpan w:val="2"/>
            <w:tcBorders>
              <w:top w:val="nil"/>
              <w:left w:val="single" w:sz="4" w:space="0" w:color="auto"/>
              <w:bottom w:val="dotted" w:sz="4" w:space="0" w:color="auto"/>
              <w:right w:val="nil"/>
            </w:tcBorders>
            <w:shd w:val="clear" w:color="auto" w:fill="auto"/>
            <w:noWrap/>
            <w:hideMark/>
          </w:tcPr>
          <w:p w14:paraId="264AC7E1"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165336</w:t>
            </w:r>
          </w:p>
        </w:tc>
      </w:tr>
      <w:tr w:rsidR="008A4FED" w:rsidRPr="00666914" w14:paraId="6461BDAE"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201B8F22"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68</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5C4ED741"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ONKOLOGICKÝ ÚSTAV SV. ALŽBETY, S.R.O.</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57A4B287"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35681462</w:t>
            </w:r>
          </w:p>
        </w:tc>
      </w:tr>
      <w:tr w:rsidR="008A4FED" w:rsidRPr="00666914" w14:paraId="7B209D4C" w14:textId="77777777" w:rsidTr="00F64B85">
        <w:trPr>
          <w:trHeight w:val="264"/>
        </w:trPr>
        <w:tc>
          <w:tcPr>
            <w:tcW w:w="323" w:type="dxa"/>
            <w:tcBorders>
              <w:top w:val="dotted" w:sz="4" w:space="0" w:color="auto"/>
              <w:left w:val="nil"/>
              <w:bottom w:val="single" w:sz="4" w:space="0" w:color="auto"/>
              <w:right w:val="single" w:sz="4" w:space="0" w:color="auto"/>
            </w:tcBorders>
            <w:shd w:val="clear" w:color="auto" w:fill="auto"/>
            <w:noWrap/>
            <w:hideMark/>
          </w:tcPr>
          <w:p w14:paraId="14B6B7D8"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69</w:t>
            </w:r>
          </w:p>
        </w:tc>
        <w:tc>
          <w:tcPr>
            <w:tcW w:w="8041" w:type="dxa"/>
            <w:tcBorders>
              <w:top w:val="dotted" w:sz="4" w:space="0" w:color="auto"/>
              <w:left w:val="single" w:sz="4" w:space="0" w:color="auto"/>
              <w:bottom w:val="single" w:sz="4" w:space="0" w:color="auto"/>
              <w:right w:val="single" w:sz="4" w:space="0" w:color="auto"/>
            </w:tcBorders>
            <w:shd w:val="clear" w:color="auto" w:fill="auto"/>
            <w:noWrap/>
            <w:hideMark/>
          </w:tcPr>
          <w:p w14:paraId="40B7A812"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VÝCHODOSLOVENSKÝ ONKOLOGICKÝ ÚSTAV, A.S.</w:t>
            </w:r>
          </w:p>
        </w:tc>
        <w:tc>
          <w:tcPr>
            <w:tcW w:w="942" w:type="dxa"/>
            <w:gridSpan w:val="2"/>
            <w:tcBorders>
              <w:top w:val="dotted" w:sz="4" w:space="0" w:color="auto"/>
              <w:left w:val="single" w:sz="4" w:space="0" w:color="auto"/>
              <w:bottom w:val="single" w:sz="4" w:space="0" w:color="auto"/>
              <w:right w:val="nil"/>
            </w:tcBorders>
            <w:shd w:val="clear" w:color="auto" w:fill="auto"/>
            <w:noWrap/>
            <w:hideMark/>
          </w:tcPr>
          <w:p w14:paraId="60B782C5"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36603350</w:t>
            </w:r>
          </w:p>
        </w:tc>
      </w:tr>
      <w:tr w:rsidR="008A4FED" w:rsidRPr="00666914" w14:paraId="19E2F7BA" w14:textId="77777777" w:rsidTr="00F64B85">
        <w:trPr>
          <w:gridAfter w:val="1"/>
          <w:wAfter w:w="8" w:type="dxa"/>
          <w:trHeight w:val="283"/>
        </w:trPr>
        <w:tc>
          <w:tcPr>
            <w:tcW w:w="323" w:type="dxa"/>
            <w:tcBorders>
              <w:top w:val="nil"/>
              <w:left w:val="nil"/>
              <w:bottom w:val="single" w:sz="4" w:space="0" w:color="auto"/>
              <w:right w:val="single" w:sz="4" w:space="0" w:color="auto"/>
            </w:tcBorders>
            <w:shd w:val="clear" w:color="auto" w:fill="auto"/>
            <w:noWrap/>
            <w:vAlign w:val="center"/>
          </w:tcPr>
          <w:p w14:paraId="2D3F75BB" w14:textId="77777777" w:rsidR="008A4FED" w:rsidRPr="00666914" w:rsidRDefault="008A4FED" w:rsidP="00F64B85">
            <w:pPr>
              <w:spacing w:after="0"/>
              <w:jc w:val="center"/>
              <w:rPr>
                <w:rFonts w:eastAsia="Times New Roman"/>
                <w:color w:val="000000"/>
                <w:sz w:val="20"/>
                <w:szCs w:val="20"/>
                <w:lang w:eastAsia="sk-SK"/>
              </w:rPr>
            </w:pPr>
          </w:p>
        </w:tc>
        <w:tc>
          <w:tcPr>
            <w:tcW w:w="8041" w:type="dxa"/>
            <w:tcBorders>
              <w:top w:val="nil"/>
              <w:left w:val="single" w:sz="4" w:space="0" w:color="auto"/>
              <w:bottom w:val="single" w:sz="4" w:space="0" w:color="auto"/>
              <w:right w:val="single" w:sz="4" w:space="0" w:color="auto"/>
            </w:tcBorders>
            <w:shd w:val="clear" w:color="auto" w:fill="auto"/>
            <w:vAlign w:val="center"/>
          </w:tcPr>
          <w:p w14:paraId="769449FE" w14:textId="77777777" w:rsidR="008A4FED" w:rsidRPr="00666914" w:rsidRDefault="008A4FED" w:rsidP="00F64B85">
            <w:pPr>
              <w:spacing w:after="0"/>
              <w:jc w:val="center"/>
              <w:rPr>
                <w:rFonts w:eastAsia="Times New Roman"/>
                <w:color w:val="000000"/>
                <w:sz w:val="20"/>
                <w:szCs w:val="20"/>
                <w:lang w:eastAsia="sk-SK"/>
              </w:rPr>
            </w:pPr>
            <w:r w:rsidRPr="00666914">
              <w:rPr>
                <w:rFonts w:eastAsia="Times New Roman"/>
                <w:color w:val="000000"/>
                <w:sz w:val="20"/>
                <w:szCs w:val="20"/>
                <w:lang w:eastAsia="sk-SK"/>
              </w:rPr>
              <w:t>Špecializovane zamerané ZZ</w:t>
            </w:r>
          </w:p>
        </w:tc>
        <w:tc>
          <w:tcPr>
            <w:tcW w:w="934" w:type="dxa"/>
            <w:tcBorders>
              <w:top w:val="nil"/>
              <w:left w:val="single" w:sz="4" w:space="0" w:color="auto"/>
              <w:bottom w:val="single" w:sz="4" w:space="0" w:color="auto"/>
              <w:right w:val="nil"/>
            </w:tcBorders>
            <w:shd w:val="clear" w:color="auto" w:fill="auto"/>
            <w:vAlign w:val="center"/>
          </w:tcPr>
          <w:p w14:paraId="31E784EB" w14:textId="77777777" w:rsidR="008A4FED" w:rsidRPr="00666914" w:rsidRDefault="008A4FED" w:rsidP="00F64B85">
            <w:pPr>
              <w:spacing w:after="0"/>
              <w:jc w:val="center"/>
              <w:rPr>
                <w:rFonts w:eastAsia="Times New Roman"/>
                <w:color w:val="000000"/>
                <w:sz w:val="20"/>
                <w:szCs w:val="20"/>
                <w:lang w:eastAsia="sk-SK"/>
              </w:rPr>
            </w:pPr>
          </w:p>
        </w:tc>
      </w:tr>
      <w:tr w:rsidR="008A4FED" w:rsidRPr="00666914" w14:paraId="426CDB5D" w14:textId="77777777" w:rsidTr="00F64B85">
        <w:trPr>
          <w:trHeight w:val="264"/>
        </w:trPr>
        <w:tc>
          <w:tcPr>
            <w:tcW w:w="323" w:type="dxa"/>
            <w:tcBorders>
              <w:top w:val="nil"/>
              <w:left w:val="nil"/>
              <w:bottom w:val="dotted" w:sz="4" w:space="0" w:color="auto"/>
              <w:right w:val="single" w:sz="4" w:space="0" w:color="auto"/>
            </w:tcBorders>
            <w:shd w:val="clear" w:color="auto" w:fill="auto"/>
            <w:noWrap/>
            <w:hideMark/>
          </w:tcPr>
          <w:p w14:paraId="33465192"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70</w:t>
            </w:r>
          </w:p>
        </w:tc>
        <w:tc>
          <w:tcPr>
            <w:tcW w:w="8041" w:type="dxa"/>
            <w:tcBorders>
              <w:top w:val="nil"/>
              <w:left w:val="single" w:sz="4" w:space="0" w:color="auto"/>
              <w:bottom w:val="dotted" w:sz="4" w:space="0" w:color="auto"/>
              <w:right w:val="single" w:sz="4" w:space="0" w:color="auto"/>
            </w:tcBorders>
            <w:shd w:val="clear" w:color="auto" w:fill="auto"/>
            <w:noWrap/>
            <w:hideMark/>
          </w:tcPr>
          <w:p w14:paraId="2BB40DF4"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CLINICA ORTHOPEDICA, S.R.O.</w:t>
            </w:r>
          </w:p>
        </w:tc>
        <w:tc>
          <w:tcPr>
            <w:tcW w:w="942" w:type="dxa"/>
            <w:gridSpan w:val="2"/>
            <w:tcBorders>
              <w:top w:val="nil"/>
              <w:left w:val="single" w:sz="4" w:space="0" w:color="auto"/>
              <w:bottom w:val="dotted" w:sz="4" w:space="0" w:color="auto"/>
              <w:right w:val="nil"/>
            </w:tcBorders>
            <w:shd w:val="clear" w:color="auto" w:fill="auto"/>
            <w:noWrap/>
            <w:hideMark/>
          </w:tcPr>
          <w:p w14:paraId="35882128"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35873272</w:t>
            </w:r>
          </w:p>
        </w:tc>
      </w:tr>
      <w:tr w:rsidR="008A4FED" w:rsidRPr="00666914" w14:paraId="7AAB07C6"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652864D6"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71</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59B14EB7"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GPN S.R.O.</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0225AEAE"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36713422</w:t>
            </w:r>
          </w:p>
        </w:tc>
      </w:tr>
      <w:tr w:rsidR="008A4FED" w:rsidRPr="00666914" w14:paraId="014B5353"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0E562A7A"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72</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1AA831F6"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INŠTITÚT NUKLEÁRNEJ A MOLEKULÁRNEJ MEDICÍNY</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41916137"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35562340</w:t>
            </w:r>
          </w:p>
        </w:tc>
      </w:tr>
      <w:tr w:rsidR="008A4FED" w:rsidRPr="00666914" w14:paraId="2E5C04FA"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41C8508C"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73</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3CC6E9F2"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KARDIOCENTRUM NITRA S.R.O.</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3609BB1D"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36562882</w:t>
            </w:r>
          </w:p>
        </w:tc>
      </w:tr>
      <w:tr w:rsidR="008A4FED" w:rsidRPr="00666914" w14:paraId="16DA553A"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1B37C290"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74</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452FDCB0"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MAMMACENTRUM SV. AGÁTY BANSKÁ BYSTRICA, A.S.</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583225A0"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45964173</w:t>
            </w:r>
          </w:p>
        </w:tc>
      </w:tr>
      <w:tr w:rsidR="008A4FED" w:rsidRPr="00666914" w14:paraId="7AFC8C6B"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51044D56"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75</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2D17D015"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NÁRODNÝ ENDOKRINOLOGICKÝ A DIABETOLOGICKÝ ÚSTAV N. O.</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0596886E"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37983687</w:t>
            </w:r>
          </w:p>
        </w:tc>
      </w:tr>
      <w:tr w:rsidR="008A4FED" w:rsidRPr="00666914" w14:paraId="6F64BFC8"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45A3E85F"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76</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3C1655F6"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NÁRODNÝ ÚSTAV DETSKEJ TUBERKULÓZY A RESPIRAČNÝCH CHORÔB, N.O. DOLNÝ SMOKOVEC</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3FEC82DA"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37886479</w:t>
            </w:r>
          </w:p>
        </w:tc>
      </w:tr>
      <w:tr w:rsidR="008A4FED" w:rsidRPr="00666914" w14:paraId="1A594DBD"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071E4CA7"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77</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306F52D9"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NÁRODNÝ ÚSTAV REUMATICKÝCH CHORÔB</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39CA20CE"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165271</w:t>
            </w:r>
          </w:p>
        </w:tc>
      </w:tr>
      <w:tr w:rsidR="008A4FED" w:rsidRPr="00666914" w14:paraId="725B5AEE"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6F080966"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78</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225D81AC"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NÁRODNÝ ÚSTAV TUBERKULÓZY, PĽÚCNYCH CHORÔB A HRUDNÍKOVEJ CHIRURGIE VYŠNÉ HÁGY</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78446172"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227811</w:t>
            </w:r>
          </w:p>
        </w:tc>
      </w:tr>
      <w:tr w:rsidR="008A4FED" w:rsidRPr="00666914" w14:paraId="027CBFF3"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35BC5ADE"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79</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15F6BA9C"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OFTAL S. R. O.</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3561C2D9"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36626406</w:t>
            </w:r>
          </w:p>
        </w:tc>
      </w:tr>
      <w:tr w:rsidR="008A4FED" w:rsidRPr="00666914" w14:paraId="670AE3A2"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06DC7AD6"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80</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53612801"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ORL HUMENNÉ, S.R.O.</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51488B0A"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36514969</w:t>
            </w:r>
          </w:p>
        </w:tc>
      </w:tr>
      <w:tr w:rsidR="008A4FED" w:rsidRPr="00666914" w14:paraId="1C851277"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27CBB85C"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81</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4D6C7A96"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ŠPECIALIZOVANÁ NEMOCNICA PRE ORTOPEDICKÚ PROTETIKU BRATISLAVA, N.O.</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55A7AC2D"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36077739</w:t>
            </w:r>
          </w:p>
        </w:tc>
      </w:tr>
      <w:tr w:rsidR="008A4FED" w:rsidRPr="00666914" w14:paraId="79A5C065" w14:textId="77777777" w:rsidTr="00F64B85">
        <w:trPr>
          <w:trHeight w:val="264"/>
        </w:trPr>
        <w:tc>
          <w:tcPr>
            <w:tcW w:w="323" w:type="dxa"/>
            <w:tcBorders>
              <w:top w:val="dotted" w:sz="4" w:space="0" w:color="auto"/>
              <w:left w:val="nil"/>
              <w:bottom w:val="dotted" w:sz="4" w:space="0" w:color="auto"/>
              <w:right w:val="single" w:sz="4" w:space="0" w:color="auto"/>
            </w:tcBorders>
            <w:shd w:val="clear" w:color="auto" w:fill="auto"/>
            <w:noWrap/>
            <w:hideMark/>
          </w:tcPr>
          <w:p w14:paraId="38222A16"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82</w:t>
            </w:r>
          </w:p>
        </w:tc>
        <w:tc>
          <w:tcPr>
            <w:tcW w:w="8041" w:type="dxa"/>
            <w:tcBorders>
              <w:top w:val="dotted" w:sz="4" w:space="0" w:color="auto"/>
              <w:left w:val="single" w:sz="4" w:space="0" w:color="auto"/>
              <w:bottom w:val="dotted" w:sz="4" w:space="0" w:color="auto"/>
              <w:right w:val="single" w:sz="4" w:space="0" w:color="auto"/>
            </w:tcBorders>
            <w:shd w:val="clear" w:color="auto" w:fill="auto"/>
            <w:noWrap/>
            <w:hideMark/>
          </w:tcPr>
          <w:p w14:paraId="11B55314"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ŠPECIALIZOVANÁ NEMOCNICA SV.SVORADA ZOBOR, N.O.</w:t>
            </w:r>
          </w:p>
        </w:tc>
        <w:tc>
          <w:tcPr>
            <w:tcW w:w="942" w:type="dxa"/>
            <w:gridSpan w:val="2"/>
            <w:tcBorders>
              <w:top w:val="dotted" w:sz="4" w:space="0" w:color="auto"/>
              <w:left w:val="single" w:sz="4" w:space="0" w:color="auto"/>
              <w:bottom w:val="dotted" w:sz="4" w:space="0" w:color="auto"/>
              <w:right w:val="nil"/>
            </w:tcBorders>
            <w:shd w:val="clear" w:color="auto" w:fill="auto"/>
            <w:noWrap/>
            <w:hideMark/>
          </w:tcPr>
          <w:p w14:paraId="7440EBDF"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37971832</w:t>
            </w:r>
          </w:p>
        </w:tc>
      </w:tr>
      <w:tr w:rsidR="008A4FED" w:rsidRPr="00666914" w14:paraId="3962BB27" w14:textId="77777777" w:rsidTr="00F64B85">
        <w:trPr>
          <w:trHeight w:val="264"/>
        </w:trPr>
        <w:tc>
          <w:tcPr>
            <w:tcW w:w="323" w:type="dxa"/>
            <w:tcBorders>
              <w:top w:val="dotted" w:sz="4" w:space="0" w:color="auto"/>
              <w:left w:val="nil"/>
              <w:bottom w:val="nil"/>
              <w:right w:val="single" w:sz="4" w:space="0" w:color="auto"/>
            </w:tcBorders>
            <w:shd w:val="clear" w:color="auto" w:fill="auto"/>
            <w:noWrap/>
            <w:hideMark/>
          </w:tcPr>
          <w:p w14:paraId="66D2E298"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83</w:t>
            </w:r>
          </w:p>
        </w:tc>
        <w:tc>
          <w:tcPr>
            <w:tcW w:w="8041" w:type="dxa"/>
            <w:tcBorders>
              <w:top w:val="dotted" w:sz="4" w:space="0" w:color="auto"/>
              <w:left w:val="single" w:sz="4" w:space="0" w:color="auto"/>
              <w:bottom w:val="nil"/>
              <w:right w:val="single" w:sz="4" w:space="0" w:color="auto"/>
            </w:tcBorders>
            <w:shd w:val="clear" w:color="auto" w:fill="auto"/>
            <w:noWrap/>
            <w:hideMark/>
          </w:tcPr>
          <w:p w14:paraId="434BBD75"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VYSOKOŠPECIALIZOVANÝ ODBORNÝ ÚSTAV GERIATRICKÝ SV. LUKÁŠA V KOŠICIACH, N.O.</w:t>
            </w:r>
          </w:p>
        </w:tc>
        <w:tc>
          <w:tcPr>
            <w:tcW w:w="942" w:type="dxa"/>
            <w:gridSpan w:val="2"/>
            <w:tcBorders>
              <w:top w:val="dotted" w:sz="4" w:space="0" w:color="auto"/>
              <w:left w:val="single" w:sz="4" w:space="0" w:color="auto"/>
              <w:bottom w:val="nil"/>
              <w:right w:val="nil"/>
            </w:tcBorders>
            <w:shd w:val="clear" w:color="auto" w:fill="auto"/>
            <w:noWrap/>
            <w:hideMark/>
          </w:tcPr>
          <w:p w14:paraId="4BAFFBFB" w14:textId="77777777" w:rsidR="008A4FED" w:rsidRPr="00666914" w:rsidRDefault="008A4FED" w:rsidP="00F64B85">
            <w:pPr>
              <w:spacing w:after="0"/>
              <w:jc w:val="left"/>
              <w:rPr>
                <w:rFonts w:eastAsia="Times New Roman"/>
                <w:color w:val="000000"/>
                <w:sz w:val="20"/>
                <w:szCs w:val="20"/>
                <w:lang w:eastAsia="sk-SK"/>
              </w:rPr>
            </w:pPr>
            <w:r w:rsidRPr="00666914">
              <w:rPr>
                <w:rFonts w:eastAsia="Times New Roman"/>
                <w:color w:val="000000"/>
                <w:sz w:val="20"/>
                <w:szCs w:val="20"/>
                <w:lang w:eastAsia="sk-SK"/>
              </w:rPr>
              <w:t>31256911</w:t>
            </w:r>
          </w:p>
        </w:tc>
      </w:tr>
    </w:tbl>
    <w:p w14:paraId="1BB2A162" w14:textId="77777777" w:rsidR="008A4FED" w:rsidRPr="00666914" w:rsidRDefault="008A4FED" w:rsidP="00F64B85">
      <w:pPr>
        <w:rPr>
          <w:highlight w:val="yellow"/>
        </w:rPr>
      </w:pPr>
    </w:p>
    <w:p w14:paraId="2EE5FAC1" w14:textId="77777777" w:rsidR="008A4FED" w:rsidRPr="00666914" w:rsidRDefault="008A4FED" w:rsidP="00F64B85">
      <w:pPr>
        <w:rPr>
          <w:highlight w:val="yellow"/>
        </w:rPr>
      </w:pPr>
    </w:p>
    <w:p w14:paraId="4D769606" w14:textId="77777777" w:rsidR="00CB16AA" w:rsidRPr="00666914" w:rsidRDefault="00CB16AA" w:rsidP="00985E7A">
      <w:pPr>
        <w:pStyle w:val="Nadpis1"/>
      </w:pPr>
      <w:bookmarkStart w:id="172" w:name="_Toc21522706"/>
      <w:bookmarkStart w:id="173" w:name="_Toc38447588"/>
      <w:bookmarkEnd w:id="15"/>
      <w:r w:rsidRPr="00666914">
        <w:lastRenderedPageBreak/>
        <w:t>Doprava</w:t>
      </w:r>
      <w:bookmarkStart w:id="174" w:name="_Toc525719303"/>
      <w:bookmarkStart w:id="175" w:name="_Toc6321890"/>
      <w:bookmarkEnd w:id="172"/>
      <w:bookmarkEnd w:id="173"/>
    </w:p>
    <w:p w14:paraId="5966509A" w14:textId="77777777" w:rsidR="00CB16AA" w:rsidRPr="00666914" w:rsidRDefault="00CB16AA" w:rsidP="00985E7A">
      <w:pPr>
        <w:pStyle w:val="Nadpis2"/>
      </w:pPr>
      <w:bookmarkStart w:id="176" w:name="_Toc21522707"/>
      <w:bookmarkStart w:id="177" w:name="_Toc38447589"/>
      <w:r w:rsidRPr="00666914">
        <w:t>Zhrnutie</w:t>
      </w:r>
      <w:bookmarkEnd w:id="174"/>
      <w:bookmarkEnd w:id="175"/>
      <w:bookmarkEnd w:id="176"/>
      <w:bookmarkEnd w:id="177"/>
    </w:p>
    <w:p w14:paraId="452EF76A" w14:textId="3C68F06D" w:rsidR="00CB16AA" w:rsidRPr="00666914" w:rsidRDefault="00CB16AA" w:rsidP="00985E7A">
      <w:pPr>
        <w:contextualSpacing/>
        <w:rPr>
          <w:color w:val="000000" w:themeColor="text1"/>
        </w:rPr>
      </w:pPr>
      <w:r w:rsidRPr="00666914">
        <w:rPr>
          <w:b/>
          <w:color w:val="000000" w:themeColor="text1"/>
        </w:rPr>
        <w:t>Kľúčovým opatrením na dosiahnutie hodnoty za peniaze v doprave je prioritizácia projektov, ktorá je nemenná naprieč volebnými obdobiami a stanovená na základe analyticky podložených kritérií. Po takmer 2 rokoch prípravy ÚHP MF SR zverejnil v decembri 2019 návrh metodiky „Priority vo výstavbe cestnej infraštruktúry</w:t>
      </w:r>
      <w:r w:rsidR="00CB5423" w:rsidRPr="00666914">
        <w:rPr>
          <w:b/>
          <w:color w:val="000000" w:themeColor="text1"/>
        </w:rPr>
        <w:t>“</w:t>
      </w:r>
      <w:r w:rsidRPr="00666914">
        <w:rPr>
          <w:rStyle w:val="Odkaznapoznmkupodiarou"/>
          <w:color w:val="000000" w:themeColor="text1"/>
        </w:rPr>
        <w:footnoteReference w:id="45"/>
      </w:r>
      <w:r w:rsidRPr="00666914">
        <w:rPr>
          <w:color w:val="000000" w:themeColor="text1"/>
        </w:rPr>
        <w:t>, v ktorom však absentuje investičný plán MDV SR vrátane finančného krytia a harmonogramu výstavby.</w:t>
      </w:r>
      <w:r w:rsidRPr="00666914">
        <w:rPr>
          <w:b/>
          <w:color w:val="000000" w:themeColor="text1"/>
        </w:rPr>
        <w:t xml:space="preserve"> </w:t>
      </w:r>
      <w:r w:rsidRPr="00666914">
        <w:rPr>
          <w:color w:val="000000" w:themeColor="text1"/>
        </w:rPr>
        <w:t>Hlavným odporúčaním IJ ÚV SR, schváleným vládou SR</w:t>
      </w:r>
      <w:r w:rsidRPr="00666914">
        <w:rPr>
          <w:rStyle w:val="Odkaznapoznmkupodiarou"/>
          <w:color w:val="000000" w:themeColor="text1"/>
        </w:rPr>
        <w:footnoteReference w:id="46"/>
      </w:r>
      <w:r w:rsidRPr="00666914">
        <w:rPr>
          <w:color w:val="000000" w:themeColor="text1"/>
        </w:rPr>
        <w:t xml:space="preserve">, je od roku 2017 vypracovanie kritérií </w:t>
      </w:r>
      <w:r w:rsidRPr="00666914">
        <w:t xml:space="preserve">a investičného plánu </w:t>
      </w:r>
      <w:r w:rsidRPr="00666914">
        <w:rPr>
          <w:color w:val="000000" w:themeColor="text1"/>
        </w:rPr>
        <w:t>spolu s finančným krytím a harmonogramom tak, aby prioritizácia projektov v tomto pláne bola pre budúce rozhodnutia MDV SR záväzná. MDV SR začiatkom roka 2020 iniciovalo práce na príprave metodiky pre voľbu prioritných projektov železničnej infraštruktúry. Na tvorbe metodiky sa podieľa aj ÚHP MF SR a ŽSR.</w:t>
      </w:r>
    </w:p>
    <w:p w14:paraId="35D684AF" w14:textId="77777777" w:rsidR="00CB16AA" w:rsidRPr="00666914" w:rsidRDefault="00CB16AA" w:rsidP="00985E7A">
      <w:pPr>
        <w:contextualSpacing/>
        <w:rPr>
          <w:color w:val="000000" w:themeColor="text1"/>
        </w:rPr>
      </w:pPr>
    </w:p>
    <w:p w14:paraId="01AD0BFD" w14:textId="65B6EC92" w:rsidR="00CB16AA" w:rsidRPr="00666914" w:rsidRDefault="00CB16AA" w:rsidP="00985E7A">
      <w:pPr>
        <w:contextualSpacing/>
      </w:pPr>
      <w:r w:rsidRPr="00666914">
        <w:rPr>
          <w:b/>
          <w:color w:val="000000" w:themeColor="text1"/>
        </w:rPr>
        <w:t xml:space="preserve">Okrem stanovenia priorít vo výstavbe novej cestnej infraštruktúry je potrebné udržiavať v dobrom stave aj tú existujúcu. </w:t>
      </w:r>
      <w:r w:rsidRPr="00666914">
        <w:rPr>
          <w:color w:val="000000" w:themeColor="text1"/>
        </w:rPr>
        <w:t>Údržba ciest I. triedy bola nedostačujúca už v roku 2016</w:t>
      </w:r>
      <w:r w:rsidRPr="00666914">
        <w:rPr>
          <w:rStyle w:val="Odkaznapoznmkupodiarou"/>
          <w:color w:val="000000" w:themeColor="text1"/>
        </w:rPr>
        <w:footnoteReference w:id="47"/>
      </w:r>
      <w:r w:rsidRPr="00666914">
        <w:rPr>
          <w:color w:val="000000" w:themeColor="text1"/>
        </w:rPr>
        <w:t xml:space="preserve"> a do konca roku 2019 sa jej stav nezlepšil. V roku 2019 čerpala </w:t>
      </w:r>
      <w:r w:rsidR="00A072C3" w:rsidRPr="00666914">
        <w:rPr>
          <w:color w:val="000000" w:themeColor="text1"/>
        </w:rPr>
        <w:t>Slovenská správa ciest (</w:t>
      </w:r>
      <w:r w:rsidRPr="00666914">
        <w:rPr>
          <w:color w:val="000000" w:themeColor="text1"/>
        </w:rPr>
        <w:t>SSC</w:t>
      </w:r>
      <w:r w:rsidR="00A072C3" w:rsidRPr="00666914">
        <w:rPr>
          <w:color w:val="000000" w:themeColor="text1"/>
        </w:rPr>
        <w:t>)</w:t>
      </w:r>
      <w:r w:rsidRPr="00666914">
        <w:rPr>
          <w:color w:val="000000" w:themeColor="text1"/>
        </w:rPr>
        <w:t xml:space="preserve"> na údržbu ciest I. triedy sumu 55 mil. </w:t>
      </w:r>
      <w:r w:rsidR="00992396" w:rsidRPr="00666914">
        <w:rPr>
          <w:color w:val="000000" w:themeColor="text1"/>
        </w:rPr>
        <w:t xml:space="preserve">eur </w:t>
      </w:r>
      <w:r w:rsidRPr="00666914">
        <w:rPr>
          <w:color w:val="000000" w:themeColor="text1"/>
        </w:rPr>
        <w:t>(vrátane zimnej údržby), čo je rovnaká suma ako v roku 2018</w:t>
      </w:r>
      <w:r w:rsidRPr="00666914">
        <w:t xml:space="preserve">. IJ pozitívne hodnotí navýšenie rozpočtu SSC na opravy a údržbu ciest I. triedy prostredníctvom rozpočtových opatrení ako v roku 2018, tak aj v roku 2019 o 15 mil. eur. </w:t>
      </w:r>
      <w:r w:rsidRPr="00666914">
        <w:rPr>
          <w:b/>
        </w:rPr>
        <w:t xml:space="preserve">Dĺžka ciest I. triedy v nevyhovujúcom a havarijnom stave v SR </w:t>
      </w:r>
      <w:r w:rsidR="001C6004" w:rsidRPr="00666914">
        <w:rPr>
          <w:b/>
        </w:rPr>
        <w:t xml:space="preserve">však </w:t>
      </w:r>
      <w:r w:rsidRPr="00666914">
        <w:rPr>
          <w:b/>
        </w:rPr>
        <w:t xml:space="preserve">od roku 2016 narástla o 8 %. V súčasnosti dosahuje celkovú úroveň 40,7 % a od roku 2016 sa stav ciest v nevyhovujúcom stave zhoršil o 3 %. </w:t>
      </w:r>
      <w:r w:rsidRPr="00666914">
        <w:t>Napriek memorandu</w:t>
      </w:r>
      <w:r w:rsidRPr="00666914">
        <w:rPr>
          <w:rStyle w:val="Odkaznapoznmkupodiarou"/>
        </w:rPr>
        <w:footnoteReference w:id="48"/>
      </w:r>
      <w:r w:rsidRPr="00666914">
        <w:t xml:space="preserve"> o spolupráci medzi MF SR a MDV SR a alokovaným finančným prostriedkom na štyri roky v kumulatívnej výške 200 mil. eur</w:t>
      </w:r>
      <w:r w:rsidRPr="00666914">
        <w:rPr>
          <w:rStyle w:val="Odkaznapoznmkupodiarou"/>
        </w:rPr>
        <w:footnoteReference w:id="49"/>
      </w:r>
      <w:r w:rsidRPr="00666914">
        <w:t xml:space="preserve"> sa SSC nepodarilo počas roka 2019 vybrať dodávateľov</w:t>
      </w:r>
      <w:r w:rsidRPr="00666914">
        <w:rPr>
          <w:rStyle w:val="Odkaznapoznmkupodiarou"/>
        </w:rPr>
        <w:footnoteReference w:id="50"/>
      </w:r>
      <w:r w:rsidRPr="00666914">
        <w:t xml:space="preserve"> na opravy a údržbu ciest I. triedy.</w:t>
      </w:r>
    </w:p>
    <w:p w14:paraId="66B1974A" w14:textId="77777777" w:rsidR="00CB16AA" w:rsidRPr="00666914" w:rsidRDefault="00CB16AA" w:rsidP="00985E7A">
      <w:pPr>
        <w:contextualSpacing/>
      </w:pPr>
    </w:p>
    <w:p w14:paraId="4605DC6F" w14:textId="5FAFD81B" w:rsidR="00CB16AA" w:rsidRPr="00666914" w:rsidRDefault="00CB16AA" w:rsidP="00985E7A">
      <w:pPr>
        <w:contextualSpacing/>
      </w:pPr>
      <w:r w:rsidRPr="00666914">
        <w:rPr>
          <w:b/>
        </w:rPr>
        <w:t>Počas 1H2019 vypracovala IJ ÚV SR v spolupráci s ÚHP MF SR</w:t>
      </w:r>
      <w:r w:rsidRPr="00666914">
        <w:rPr>
          <w:b/>
          <w:i/>
        </w:rPr>
        <w:t xml:space="preserve"> Optimalizačnú analýzu Železníc Slovenskej republiky</w:t>
      </w:r>
      <w:r w:rsidRPr="00666914">
        <w:rPr>
          <w:b/>
        </w:rPr>
        <w:t>, ktorá odporúčala 11 finančných opatrení</w:t>
      </w:r>
      <w:r w:rsidRPr="00666914">
        <w:rPr>
          <w:rStyle w:val="Odkaznapoznmkupodiarou"/>
        </w:rPr>
        <w:footnoteReference w:id="51"/>
      </w:r>
      <w:r w:rsidRPr="00666914">
        <w:rPr>
          <w:b/>
        </w:rPr>
        <w:t xml:space="preserve">, ktoré mali ŽSR rozpracovať do Implementačného plánu. </w:t>
      </w:r>
      <w:r w:rsidRPr="00666914">
        <w:t>ŽSR sa ani do 12/2019</w:t>
      </w:r>
      <w:r w:rsidRPr="00666914">
        <w:rPr>
          <w:b/>
        </w:rPr>
        <w:t xml:space="preserve"> </w:t>
      </w:r>
      <w:r w:rsidRPr="00666914">
        <w:t>nepodarilo vypracovať tento implementačný plán s harmonogramom a merateľnými ukazovateľmi, ktoré sú kľúčovým predpokladom pre naplnenie opatrení hodnoty za peniaze. Napriek tomu ŽSR začali vybrané opatrenia uskutočneného auditu počas 2H2019 realizovať: prípravu na spracovanie novej stratégie, zníženie nákladov na vybrané právne a poradenské služby o 0,7 mil. eur voči roku 2018 a zvýšené výnosy z predaja nepotrebného majetku o 21,6 mil. eur voči roku 2018.</w:t>
      </w:r>
    </w:p>
    <w:p w14:paraId="69E6640A" w14:textId="77777777" w:rsidR="00CB16AA" w:rsidRPr="00666914" w:rsidRDefault="00CB16AA" w:rsidP="00985E7A">
      <w:pPr>
        <w:contextualSpacing/>
      </w:pPr>
    </w:p>
    <w:p w14:paraId="4698CC0B" w14:textId="27D9417A" w:rsidR="00CB16AA" w:rsidRPr="00666914" w:rsidRDefault="00CB16AA" w:rsidP="00985E7A">
      <w:pPr>
        <w:tabs>
          <w:tab w:val="left" w:pos="5502"/>
        </w:tabs>
      </w:pPr>
      <w:r w:rsidRPr="00666914">
        <w:rPr>
          <w:b/>
        </w:rPr>
        <w:t>Od roku 2016 vyhodnotil ÚHP MF SR z rezortu dopravy 14 projektov s celkovými nákladmi 2,4 mld. eur</w:t>
      </w:r>
      <w:r w:rsidR="00585998" w:rsidRPr="00666914">
        <w:rPr>
          <w:b/>
        </w:rPr>
        <w:t xml:space="preserve"> (tabuľka </w:t>
      </w:r>
      <w:r w:rsidR="00EB2C64" w:rsidRPr="00666914">
        <w:rPr>
          <w:b/>
        </w:rPr>
        <w:t>20</w:t>
      </w:r>
      <w:r w:rsidR="00585998" w:rsidRPr="00666914">
        <w:rPr>
          <w:b/>
        </w:rPr>
        <w:t>)</w:t>
      </w:r>
      <w:r w:rsidRPr="00666914">
        <w:rPr>
          <w:b/>
        </w:rPr>
        <w:t xml:space="preserve">. Na základe rokovaní ÚHP MF SR s MDV SR a podriadenými organizáciami </w:t>
      </w:r>
      <w:r w:rsidRPr="00666914">
        <w:t>sa rozpočet hodnotených projektov znížil pred verejným obstarávaním o 104 mil. eur</w:t>
      </w:r>
      <w:r w:rsidR="00D53B0A" w:rsidRPr="00666914">
        <w:t>,</w:t>
      </w:r>
      <w:r w:rsidRPr="00666914">
        <w:t xml:space="preserve"> a to bez zmeny rozsahu investície (v priemere o 4 %). K 3 projektom</w:t>
      </w:r>
      <w:r w:rsidRPr="00666914">
        <w:rPr>
          <w:rStyle w:val="Odkaznapoznmkupodiarou"/>
        </w:rPr>
        <w:footnoteReference w:id="52"/>
      </w:r>
      <w:r w:rsidRPr="00666914">
        <w:t xml:space="preserve"> spustilo MDV SR obstarávanie napriek chýbajúcemu odporúčaniu ÚHP MF SR, pri ďalších 2 projektoch</w:t>
      </w:r>
      <w:r w:rsidRPr="00666914">
        <w:rPr>
          <w:rStyle w:val="Odkaznapoznmkupodiarou"/>
        </w:rPr>
        <w:footnoteReference w:id="53"/>
      </w:r>
      <w:r w:rsidRPr="00666914">
        <w:t xml:space="preserve"> išlo o nesúlad výkladu pravidiel na hodnotenie projektov medzi MDV SR a ÚHP MF SR</w:t>
      </w:r>
      <w:r w:rsidR="00D67E6E" w:rsidRPr="00666914">
        <w:t>.</w:t>
      </w:r>
    </w:p>
    <w:p w14:paraId="58848701" w14:textId="77777777" w:rsidR="00602134" w:rsidRDefault="00602134">
      <w:bookmarkStart w:id="178" w:name="_Toc21106881"/>
      <w:r>
        <w:rPr>
          <w:b/>
        </w:rPr>
        <w:br w:type="page"/>
      </w:r>
    </w:p>
    <w:tbl>
      <w:tblPr>
        <w:tblW w:w="9250" w:type="dxa"/>
        <w:tblCellMar>
          <w:left w:w="70" w:type="dxa"/>
          <w:right w:w="70" w:type="dxa"/>
        </w:tblCellMar>
        <w:tblLook w:val="04A0" w:firstRow="1" w:lastRow="0" w:firstColumn="1" w:lastColumn="0" w:noHBand="0" w:noVBand="1"/>
      </w:tblPr>
      <w:tblGrid>
        <w:gridCol w:w="850"/>
        <w:gridCol w:w="5813"/>
        <w:gridCol w:w="1365"/>
        <w:gridCol w:w="1222"/>
      </w:tblGrid>
      <w:tr w:rsidR="00CB16AA" w:rsidRPr="00666914" w14:paraId="6709F9C4" w14:textId="77777777" w:rsidTr="00985E7A">
        <w:trPr>
          <w:trHeight w:val="227"/>
        </w:trPr>
        <w:tc>
          <w:tcPr>
            <w:tcW w:w="9250" w:type="dxa"/>
            <w:gridSpan w:val="4"/>
            <w:tcBorders>
              <w:top w:val="nil"/>
              <w:left w:val="nil"/>
              <w:bottom w:val="single" w:sz="4" w:space="0" w:color="auto"/>
              <w:right w:val="nil"/>
            </w:tcBorders>
            <w:shd w:val="clear" w:color="auto" w:fill="auto"/>
            <w:noWrap/>
            <w:vAlign w:val="bottom"/>
          </w:tcPr>
          <w:p w14:paraId="0646D946" w14:textId="18929870" w:rsidR="00CB16AA" w:rsidRPr="00666914" w:rsidRDefault="00CB16AA" w:rsidP="00985E7A">
            <w:pPr>
              <w:pStyle w:val="Popis"/>
              <w:ind w:left="-66"/>
              <w:rPr>
                <w:rFonts w:eastAsia="Times New Roman"/>
                <w:b w:val="0"/>
                <w:color w:val="000000"/>
                <w:lang w:eastAsia="sk-SK"/>
              </w:rPr>
            </w:pPr>
            <w:bookmarkStart w:id="179" w:name="_Toc38447681"/>
            <w:r w:rsidRPr="00666914">
              <w:lastRenderedPageBreak/>
              <w:t xml:space="preserve">Tabuľka </w:t>
            </w:r>
            <w:r w:rsidR="00032A13">
              <w:rPr>
                <w:noProof/>
              </w:rPr>
              <w:fldChar w:fldCharType="begin"/>
            </w:r>
            <w:r w:rsidR="00032A13">
              <w:rPr>
                <w:noProof/>
              </w:rPr>
              <w:instrText xml:space="preserve"> SEQ Tabuľka \* ARABIC \* MERGEFORMAT </w:instrText>
            </w:r>
            <w:r w:rsidR="00032A13">
              <w:rPr>
                <w:noProof/>
              </w:rPr>
              <w:fldChar w:fldCharType="separate"/>
            </w:r>
            <w:r w:rsidR="005A7304">
              <w:rPr>
                <w:noProof/>
              </w:rPr>
              <w:t>20</w:t>
            </w:r>
            <w:r w:rsidR="00032A13">
              <w:rPr>
                <w:noProof/>
              </w:rPr>
              <w:fldChar w:fldCharType="end"/>
            </w:r>
            <w:r w:rsidRPr="00666914">
              <w:t>: Hodnotené projekty MDV SR</w:t>
            </w:r>
            <w:bookmarkEnd w:id="178"/>
            <w:r w:rsidRPr="00666914">
              <w:t xml:space="preserve"> v rokoch 2016-2019</w:t>
            </w:r>
            <w:bookmarkEnd w:id="179"/>
          </w:p>
        </w:tc>
      </w:tr>
      <w:tr w:rsidR="00CB16AA" w:rsidRPr="00666914" w14:paraId="38F375F1" w14:textId="77777777" w:rsidTr="00985E7A">
        <w:trPr>
          <w:trHeight w:val="300"/>
        </w:trPr>
        <w:tc>
          <w:tcPr>
            <w:tcW w:w="850" w:type="dxa"/>
            <w:tcBorders>
              <w:top w:val="nil"/>
              <w:left w:val="nil"/>
              <w:bottom w:val="single" w:sz="8" w:space="0" w:color="auto"/>
              <w:right w:val="nil"/>
            </w:tcBorders>
            <w:shd w:val="clear" w:color="auto" w:fill="auto"/>
            <w:noWrap/>
            <w:vAlign w:val="center"/>
            <w:hideMark/>
          </w:tcPr>
          <w:p w14:paraId="04BFBBE8" w14:textId="77777777" w:rsidR="00CB16AA" w:rsidRPr="00666914" w:rsidRDefault="00CB16AA" w:rsidP="00985E7A">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Investor</w:t>
            </w:r>
          </w:p>
        </w:tc>
        <w:tc>
          <w:tcPr>
            <w:tcW w:w="5813" w:type="dxa"/>
            <w:tcBorders>
              <w:top w:val="nil"/>
              <w:left w:val="nil"/>
              <w:bottom w:val="single" w:sz="8" w:space="0" w:color="auto"/>
              <w:right w:val="nil"/>
            </w:tcBorders>
            <w:shd w:val="clear" w:color="auto" w:fill="auto"/>
            <w:noWrap/>
            <w:vAlign w:val="center"/>
            <w:hideMark/>
          </w:tcPr>
          <w:p w14:paraId="4A9875BE" w14:textId="77777777" w:rsidR="00CB16AA" w:rsidRPr="00666914" w:rsidRDefault="00CB16AA" w:rsidP="00985E7A">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Projekt</w:t>
            </w:r>
          </w:p>
        </w:tc>
        <w:tc>
          <w:tcPr>
            <w:tcW w:w="1365" w:type="dxa"/>
            <w:tcBorders>
              <w:top w:val="nil"/>
              <w:left w:val="nil"/>
              <w:bottom w:val="single" w:sz="8" w:space="0" w:color="auto"/>
              <w:right w:val="nil"/>
            </w:tcBorders>
            <w:shd w:val="clear" w:color="auto" w:fill="auto"/>
            <w:noWrap/>
            <w:vAlign w:val="center"/>
            <w:hideMark/>
          </w:tcPr>
          <w:p w14:paraId="55E9D848"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Fáza</w:t>
            </w:r>
          </w:p>
        </w:tc>
        <w:tc>
          <w:tcPr>
            <w:tcW w:w="1222" w:type="dxa"/>
            <w:tcBorders>
              <w:top w:val="nil"/>
              <w:left w:val="nil"/>
              <w:bottom w:val="single" w:sz="8" w:space="0" w:color="auto"/>
              <w:right w:val="nil"/>
            </w:tcBorders>
            <w:shd w:val="clear" w:color="auto" w:fill="auto"/>
            <w:noWrap/>
            <w:vAlign w:val="center"/>
            <w:hideMark/>
          </w:tcPr>
          <w:p w14:paraId="071B2F55"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Náklady (mil. eur s DPH)</w:t>
            </w:r>
          </w:p>
        </w:tc>
      </w:tr>
      <w:tr w:rsidR="00CB16AA" w:rsidRPr="00666914" w14:paraId="0B297B52" w14:textId="77777777" w:rsidTr="00985E7A">
        <w:trPr>
          <w:trHeight w:val="290"/>
        </w:trPr>
        <w:tc>
          <w:tcPr>
            <w:tcW w:w="850" w:type="dxa"/>
            <w:tcBorders>
              <w:top w:val="nil"/>
              <w:left w:val="nil"/>
              <w:bottom w:val="nil"/>
              <w:right w:val="nil"/>
            </w:tcBorders>
            <w:shd w:val="clear" w:color="auto" w:fill="auto"/>
            <w:vAlign w:val="center"/>
            <w:hideMark/>
          </w:tcPr>
          <w:p w14:paraId="6F0082E1"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NDS</w:t>
            </w:r>
          </w:p>
        </w:tc>
        <w:tc>
          <w:tcPr>
            <w:tcW w:w="5813" w:type="dxa"/>
            <w:tcBorders>
              <w:top w:val="nil"/>
              <w:left w:val="nil"/>
              <w:bottom w:val="nil"/>
              <w:right w:val="nil"/>
            </w:tcBorders>
            <w:shd w:val="clear" w:color="auto" w:fill="auto"/>
            <w:vAlign w:val="center"/>
            <w:hideMark/>
          </w:tcPr>
          <w:p w14:paraId="01A9D3E6"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R2 Rožňava – Jablonov nad Turňou (Soroška)</w:t>
            </w:r>
          </w:p>
        </w:tc>
        <w:tc>
          <w:tcPr>
            <w:tcW w:w="1365" w:type="dxa"/>
            <w:tcBorders>
              <w:top w:val="nil"/>
              <w:left w:val="nil"/>
              <w:bottom w:val="nil"/>
              <w:right w:val="nil"/>
            </w:tcBorders>
            <w:shd w:val="clear" w:color="auto" w:fill="auto"/>
            <w:vAlign w:val="center"/>
            <w:hideMark/>
          </w:tcPr>
          <w:p w14:paraId="6B32D03B"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Pred VO</w:t>
            </w:r>
          </w:p>
        </w:tc>
        <w:tc>
          <w:tcPr>
            <w:tcW w:w="1222" w:type="dxa"/>
            <w:tcBorders>
              <w:top w:val="nil"/>
              <w:left w:val="nil"/>
              <w:bottom w:val="nil"/>
              <w:right w:val="nil"/>
            </w:tcBorders>
            <w:shd w:val="clear" w:color="auto" w:fill="auto"/>
            <w:noWrap/>
            <w:vAlign w:val="center"/>
            <w:hideMark/>
          </w:tcPr>
          <w:p w14:paraId="176B51B0"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292</w:t>
            </w:r>
          </w:p>
        </w:tc>
      </w:tr>
      <w:tr w:rsidR="00CB16AA" w:rsidRPr="00666914" w14:paraId="23F7E980" w14:textId="77777777" w:rsidTr="00985E7A">
        <w:trPr>
          <w:trHeight w:val="290"/>
        </w:trPr>
        <w:tc>
          <w:tcPr>
            <w:tcW w:w="850" w:type="dxa"/>
            <w:tcBorders>
              <w:top w:val="nil"/>
              <w:left w:val="nil"/>
              <w:bottom w:val="nil"/>
              <w:right w:val="nil"/>
            </w:tcBorders>
            <w:shd w:val="clear" w:color="auto" w:fill="auto"/>
            <w:vAlign w:val="center"/>
            <w:hideMark/>
          </w:tcPr>
          <w:p w14:paraId="516CBCF9"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NDS</w:t>
            </w:r>
          </w:p>
        </w:tc>
        <w:tc>
          <w:tcPr>
            <w:tcW w:w="5813" w:type="dxa"/>
            <w:tcBorders>
              <w:top w:val="nil"/>
              <w:left w:val="nil"/>
              <w:bottom w:val="nil"/>
              <w:right w:val="nil"/>
            </w:tcBorders>
            <w:shd w:val="clear" w:color="auto" w:fill="auto"/>
            <w:noWrap/>
            <w:vAlign w:val="center"/>
            <w:hideMark/>
          </w:tcPr>
          <w:p w14:paraId="539A8189"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R4 Prešov sever I. Etapa</w:t>
            </w:r>
          </w:p>
        </w:tc>
        <w:tc>
          <w:tcPr>
            <w:tcW w:w="1365" w:type="dxa"/>
            <w:tcBorders>
              <w:top w:val="nil"/>
              <w:left w:val="nil"/>
              <w:bottom w:val="nil"/>
              <w:right w:val="nil"/>
            </w:tcBorders>
            <w:shd w:val="clear" w:color="auto" w:fill="auto"/>
            <w:noWrap/>
            <w:vAlign w:val="center"/>
            <w:hideMark/>
          </w:tcPr>
          <w:p w14:paraId="69683FE1"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Pred VO</w:t>
            </w:r>
          </w:p>
        </w:tc>
        <w:tc>
          <w:tcPr>
            <w:tcW w:w="1222" w:type="dxa"/>
            <w:tcBorders>
              <w:top w:val="nil"/>
              <w:left w:val="nil"/>
              <w:bottom w:val="nil"/>
              <w:right w:val="nil"/>
            </w:tcBorders>
            <w:shd w:val="clear" w:color="auto" w:fill="auto"/>
            <w:noWrap/>
            <w:vAlign w:val="center"/>
            <w:hideMark/>
          </w:tcPr>
          <w:p w14:paraId="5F679625"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227</w:t>
            </w:r>
          </w:p>
        </w:tc>
      </w:tr>
      <w:tr w:rsidR="00CB16AA" w:rsidRPr="00666914" w14:paraId="70D9F00B" w14:textId="77777777" w:rsidTr="00985E7A">
        <w:trPr>
          <w:trHeight w:val="290"/>
        </w:trPr>
        <w:tc>
          <w:tcPr>
            <w:tcW w:w="850" w:type="dxa"/>
            <w:tcBorders>
              <w:top w:val="nil"/>
              <w:left w:val="nil"/>
              <w:bottom w:val="nil"/>
              <w:right w:val="nil"/>
            </w:tcBorders>
            <w:shd w:val="clear" w:color="auto" w:fill="auto"/>
            <w:vAlign w:val="center"/>
            <w:hideMark/>
          </w:tcPr>
          <w:p w14:paraId="78C5A817"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NDS</w:t>
            </w:r>
          </w:p>
        </w:tc>
        <w:tc>
          <w:tcPr>
            <w:tcW w:w="5813" w:type="dxa"/>
            <w:tcBorders>
              <w:top w:val="nil"/>
              <w:left w:val="nil"/>
              <w:bottom w:val="nil"/>
              <w:right w:val="nil"/>
            </w:tcBorders>
            <w:shd w:val="clear" w:color="auto" w:fill="auto"/>
            <w:noWrap/>
            <w:vAlign w:val="center"/>
            <w:hideMark/>
          </w:tcPr>
          <w:p w14:paraId="51CE7D54"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R2 Mýtna – Lovinobaňa, Tomášovce</w:t>
            </w:r>
          </w:p>
        </w:tc>
        <w:tc>
          <w:tcPr>
            <w:tcW w:w="1365" w:type="dxa"/>
            <w:tcBorders>
              <w:top w:val="nil"/>
              <w:left w:val="nil"/>
              <w:bottom w:val="nil"/>
              <w:right w:val="nil"/>
            </w:tcBorders>
            <w:shd w:val="clear" w:color="auto" w:fill="auto"/>
            <w:noWrap/>
            <w:vAlign w:val="center"/>
            <w:hideMark/>
          </w:tcPr>
          <w:p w14:paraId="79AAECD5"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Pred VO</w:t>
            </w:r>
          </w:p>
        </w:tc>
        <w:tc>
          <w:tcPr>
            <w:tcW w:w="1222" w:type="dxa"/>
            <w:tcBorders>
              <w:top w:val="nil"/>
              <w:left w:val="nil"/>
              <w:bottom w:val="nil"/>
              <w:right w:val="nil"/>
            </w:tcBorders>
            <w:shd w:val="clear" w:color="auto" w:fill="auto"/>
            <w:noWrap/>
            <w:vAlign w:val="center"/>
            <w:hideMark/>
          </w:tcPr>
          <w:p w14:paraId="2D4CA81B"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202</w:t>
            </w:r>
          </w:p>
        </w:tc>
      </w:tr>
      <w:tr w:rsidR="00CB16AA" w:rsidRPr="00666914" w14:paraId="101E46FD" w14:textId="77777777" w:rsidTr="00985E7A">
        <w:trPr>
          <w:trHeight w:val="290"/>
        </w:trPr>
        <w:tc>
          <w:tcPr>
            <w:tcW w:w="850" w:type="dxa"/>
            <w:tcBorders>
              <w:top w:val="nil"/>
              <w:left w:val="nil"/>
              <w:bottom w:val="nil"/>
              <w:right w:val="nil"/>
            </w:tcBorders>
            <w:shd w:val="clear" w:color="auto" w:fill="auto"/>
            <w:vAlign w:val="center"/>
            <w:hideMark/>
          </w:tcPr>
          <w:p w14:paraId="73DAC6D6"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NDS</w:t>
            </w:r>
          </w:p>
        </w:tc>
        <w:tc>
          <w:tcPr>
            <w:tcW w:w="5813" w:type="dxa"/>
            <w:tcBorders>
              <w:top w:val="nil"/>
              <w:left w:val="nil"/>
              <w:bottom w:val="nil"/>
              <w:right w:val="nil"/>
            </w:tcBorders>
            <w:shd w:val="clear" w:color="auto" w:fill="auto"/>
            <w:noWrap/>
            <w:vAlign w:val="center"/>
            <w:hideMark/>
          </w:tcPr>
          <w:p w14:paraId="2B0AEEDD"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R3 Tvrdošín – Nižná nad Oravou</w:t>
            </w:r>
          </w:p>
        </w:tc>
        <w:tc>
          <w:tcPr>
            <w:tcW w:w="1365" w:type="dxa"/>
            <w:tcBorders>
              <w:top w:val="nil"/>
              <w:left w:val="nil"/>
              <w:bottom w:val="nil"/>
              <w:right w:val="nil"/>
            </w:tcBorders>
            <w:shd w:val="clear" w:color="auto" w:fill="auto"/>
            <w:noWrap/>
            <w:vAlign w:val="center"/>
            <w:hideMark/>
          </w:tcPr>
          <w:p w14:paraId="5D7A5625"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Pred VO</w:t>
            </w:r>
          </w:p>
        </w:tc>
        <w:tc>
          <w:tcPr>
            <w:tcW w:w="1222" w:type="dxa"/>
            <w:tcBorders>
              <w:top w:val="nil"/>
              <w:left w:val="nil"/>
              <w:bottom w:val="nil"/>
              <w:right w:val="nil"/>
            </w:tcBorders>
            <w:shd w:val="clear" w:color="auto" w:fill="auto"/>
            <w:noWrap/>
            <w:vAlign w:val="center"/>
            <w:hideMark/>
          </w:tcPr>
          <w:p w14:paraId="3947BCAF"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102</w:t>
            </w:r>
          </w:p>
        </w:tc>
      </w:tr>
      <w:tr w:rsidR="00CB16AA" w:rsidRPr="00666914" w14:paraId="17A55888" w14:textId="77777777" w:rsidTr="00985E7A">
        <w:trPr>
          <w:trHeight w:val="290"/>
        </w:trPr>
        <w:tc>
          <w:tcPr>
            <w:tcW w:w="850" w:type="dxa"/>
            <w:tcBorders>
              <w:top w:val="nil"/>
              <w:left w:val="nil"/>
              <w:bottom w:val="nil"/>
              <w:right w:val="nil"/>
            </w:tcBorders>
            <w:shd w:val="clear" w:color="auto" w:fill="auto"/>
            <w:vAlign w:val="center"/>
            <w:hideMark/>
          </w:tcPr>
          <w:p w14:paraId="74962156"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ZSSK</w:t>
            </w:r>
          </w:p>
        </w:tc>
        <w:tc>
          <w:tcPr>
            <w:tcW w:w="5813" w:type="dxa"/>
            <w:tcBorders>
              <w:top w:val="nil"/>
              <w:left w:val="nil"/>
              <w:bottom w:val="nil"/>
              <w:right w:val="nil"/>
            </w:tcBorders>
            <w:shd w:val="clear" w:color="auto" w:fill="auto"/>
            <w:noWrap/>
            <w:vAlign w:val="center"/>
            <w:hideMark/>
          </w:tcPr>
          <w:p w14:paraId="3E89E0BF"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ZSSK Nákup rýchlikových vozňov</w:t>
            </w:r>
          </w:p>
        </w:tc>
        <w:tc>
          <w:tcPr>
            <w:tcW w:w="1365" w:type="dxa"/>
            <w:tcBorders>
              <w:top w:val="nil"/>
              <w:left w:val="nil"/>
              <w:bottom w:val="nil"/>
              <w:right w:val="nil"/>
            </w:tcBorders>
            <w:shd w:val="clear" w:color="auto" w:fill="auto"/>
            <w:noWrap/>
            <w:vAlign w:val="center"/>
            <w:hideMark/>
          </w:tcPr>
          <w:p w14:paraId="4A7FC6A5"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Pred VO</w:t>
            </w:r>
          </w:p>
        </w:tc>
        <w:tc>
          <w:tcPr>
            <w:tcW w:w="1222" w:type="dxa"/>
            <w:tcBorders>
              <w:top w:val="nil"/>
              <w:left w:val="nil"/>
              <w:bottom w:val="nil"/>
              <w:right w:val="nil"/>
            </w:tcBorders>
            <w:shd w:val="clear" w:color="auto" w:fill="auto"/>
            <w:noWrap/>
            <w:vAlign w:val="center"/>
            <w:hideMark/>
          </w:tcPr>
          <w:p w14:paraId="22F477D1"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82</w:t>
            </w:r>
          </w:p>
        </w:tc>
      </w:tr>
      <w:tr w:rsidR="00CB16AA" w:rsidRPr="00666914" w14:paraId="1A466050" w14:textId="77777777" w:rsidTr="00985E7A">
        <w:trPr>
          <w:trHeight w:val="290"/>
        </w:trPr>
        <w:tc>
          <w:tcPr>
            <w:tcW w:w="850" w:type="dxa"/>
            <w:tcBorders>
              <w:top w:val="nil"/>
              <w:left w:val="nil"/>
              <w:bottom w:val="nil"/>
              <w:right w:val="nil"/>
            </w:tcBorders>
            <w:shd w:val="clear" w:color="auto" w:fill="auto"/>
            <w:vAlign w:val="center"/>
            <w:hideMark/>
          </w:tcPr>
          <w:p w14:paraId="3D421773"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ZSSK</w:t>
            </w:r>
          </w:p>
        </w:tc>
        <w:tc>
          <w:tcPr>
            <w:tcW w:w="5813" w:type="dxa"/>
            <w:tcBorders>
              <w:top w:val="nil"/>
              <w:left w:val="nil"/>
              <w:bottom w:val="nil"/>
              <w:right w:val="nil"/>
            </w:tcBorders>
            <w:shd w:val="clear" w:color="auto" w:fill="auto"/>
            <w:noWrap/>
            <w:vAlign w:val="center"/>
            <w:hideMark/>
          </w:tcPr>
          <w:p w14:paraId="2B8A598A"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Vybudovanie infraštruktúry na kontrolu a prípravu vozového parku železničnej osobnej dopravy - Nové Zámky</w:t>
            </w:r>
          </w:p>
        </w:tc>
        <w:tc>
          <w:tcPr>
            <w:tcW w:w="1365" w:type="dxa"/>
            <w:tcBorders>
              <w:top w:val="nil"/>
              <w:left w:val="nil"/>
              <w:bottom w:val="nil"/>
              <w:right w:val="nil"/>
            </w:tcBorders>
            <w:shd w:val="clear" w:color="auto" w:fill="auto"/>
            <w:noWrap/>
            <w:vAlign w:val="center"/>
            <w:hideMark/>
          </w:tcPr>
          <w:p w14:paraId="7599D6E6"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Pred VO</w:t>
            </w:r>
          </w:p>
        </w:tc>
        <w:tc>
          <w:tcPr>
            <w:tcW w:w="1222" w:type="dxa"/>
            <w:tcBorders>
              <w:top w:val="nil"/>
              <w:left w:val="nil"/>
              <w:bottom w:val="nil"/>
              <w:right w:val="nil"/>
            </w:tcBorders>
            <w:shd w:val="clear" w:color="auto" w:fill="auto"/>
            <w:noWrap/>
            <w:vAlign w:val="center"/>
            <w:hideMark/>
          </w:tcPr>
          <w:p w14:paraId="29D6389B"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55</w:t>
            </w:r>
          </w:p>
        </w:tc>
      </w:tr>
      <w:tr w:rsidR="00CB16AA" w:rsidRPr="00666914" w14:paraId="60B0B0F7" w14:textId="77777777" w:rsidTr="00985E7A">
        <w:trPr>
          <w:trHeight w:val="290"/>
        </w:trPr>
        <w:tc>
          <w:tcPr>
            <w:tcW w:w="850" w:type="dxa"/>
            <w:tcBorders>
              <w:top w:val="nil"/>
              <w:left w:val="nil"/>
              <w:bottom w:val="nil"/>
              <w:right w:val="nil"/>
            </w:tcBorders>
            <w:shd w:val="clear" w:color="auto" w:fill="auto"/>
            <w:vAlign w:val="center"/>
            <w:hideMark/>
          </w:tcPr>
          <w:p w14:paraId="18E993EA"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ŽSR</w:t>
            </w:r>
          </w:p>
        </w:tc>
        <w:tc>
          <w:tcPr>
            <w:tcW w:w="5813" w:type="dxa"/>
            <w:tcBorders>
              <w:top w:val="nil"/>
              <w:left w:val="nil"/>
              <w:bottom w:val="nil"/>
              <w:right w:val="nil"/>
            </w:tcBorders>
            <w:shd w:val="clear" w:color="auto" w:fill="auto"/>
            <w:vAlign w:val="center"/>
            <w:hideMark/>
          </w:tcPr>
          <w:p w14:paraId="53DC29FC"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ŽSR Dostavba zriaďovacej stanice Žilina-Teplička a nadväzujúcej železničnej infraštruktúry v uzle Žilina</w:t>
            </w:r>
          </w:p>
        </w:tc>
        <w:tc>
          <w:tcPr>
            <w:tcW w:w="1365" w:type="dxa"/>
            <w:tcBorders>
              <w:top w:val="nil"/>
              <w:left w:val="nil"/>
              <w:bottom w:val="nil"/>
              <w:right w:val="nil"/>
            </w:tcBorders>
            <w:shd w:val="clear" w:color="auto" w:fill="auto"/>
            <w:vAlign w:val="center"/>
            <w:hideMark/>
          </w:tcPr>
          <w:p w14:paraId="4043884E"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Pred VO</w:t>
            </w:r>
          </w:p>
        </w:tc>
        <w:tc>
          <w:tcPr>
            <w:tcW w:w="1222" w:type="dxa"/>
            <w:tcBorders>
              <w:top w:val="nil"/>
              <w:left w:val="nil"/>
              <w:bottom w:val="nil"/>
              <w:right w:val="nil"/>
            </w:tcBorders>
            <w:shd w:val="clear" w:color="auto" w:fill="auto"/>
            <w:noWrap/>
            <w:vAlign w:val="center"/>
            <w:hideMark/>
          </w:tcPr>
          <w:p w14:paraId="79D0F76B"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354</w:t>
            </w:r>
          </w:p>
        </w:tc>
      </w:tr>
      <w:tr w:rsidR="00CB16AA" w:rsidRPr="00666914" w14:paraId="07999D3D" w14:textId="77777777" w:rsidTr="00985E7A">
        <w:trPr>
          <w:trHeight w:val="290"/>
        </w:trPr>
        <w:tc>
          <w:tcPr>
            <w:tcW w:w="850" w:type="dxa"/>
            <w:tcBorders>
              <w:top w:val="nil"/>
              <w:left w:val="nil"/>
              <w:bottom w:val="nil"/>
              <w:right w:val="nil"/>
            </w:tcBorders>
            <w:shd w:val="clear" w:color="auto" w:fill="auto"/>
            <w:vAlign w:val="center"/>
            <w:hideMark/>
          </w:tcPr>
          <w:p w14:paraId="7581DF8D"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ŽSR</w:t>
            </w:r>
          </w:p>
        </w:tc>
        <w:tc>
          <w:tcPr>
            <w:tcW w:w="5813" w:type="dxa"/>
            <w:tcBorders>
              <w:top w:val="nil"/>
              <w:left w:val="nil"/>
              <w:bottom w:val="nil"/>
              <w:right w:val="nil"/>
            </w:tcBorders>
            <w:shd w:val="clear" w:color="auto" w:fill="auto"/>
            <w:noWrap/>
            <w:vAlign w:val="center"/>
            <w:hideMark/>
          </w:tcPr>
          <w:p w14:paraId="126A0CAD"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ŽSR Elektrifikácia Haniska-Moldava nad Bodvou</w:t>
            </w:r>
          </w:p>
        </w:tc>
        <w:tc>
          <w:tcPr>
            <w:tcW w:w="1365" w:type="dxa"/>
            <w:tcBorders>
              <w:top w:val="nil"/>
              <w:left w:val="nil"/>
              <w:bottom w:val="nil"/>
              <w:right w:val="nil"/>
            </w:tcBorders>
            <w:shd w:val="clear" w:color="auto" w:fill="auto"/>
            <w:noWrap/>
            <w:vAlign w:val="center"/>
            <w:hideMark/>
          </w:tcPr>
          <w:p w14:paraId="0975046B"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Pred VO</w:t>
            </w:r>
          </w:p>
        </w:tc>
        <w:tc>
          <w:tcPr>
            <w:tcW w:w="1222" w:type="dxa"/>
            <w:tcBorders>
              <w:top w:val="nil"/>
              <w:left w:val="nil"/>
              <w:bottom w:val="nil"/>
              <w:right w:val="nil"/>
            </w:tcBorders>
            <w:shd w:val="clear" w:color="auto" w:fill="auto"/>
            <w:vAlign w:val="center"/>
            <w:hideMark/>
          </w:tcPr>
          <w:p w14:paraId="69373FDB"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65</w:t>
            </w:r>
          </w:p>
        </w:tc>
      </w:tr>
      <w:tr w:rsidR="00CB16AA" w:rsidRPr="00666914" w14:paraId="598370E9" w14:textId="77777777" w:rsidTr="00985E7A">
        <w:trPr>
          <w:trHeight w:val="290"/>
        </w:trPr>
        <w:tc>
          <w:tcPr>
            <w:tcW w:w="850" w:type="dxa"/>
            <w:tcBorders>
              <w:top w:val="nil"/>
              <w:left w:val="nil"/>
              <w:bottom w:val="nil"/>
              <w:right w:val="nil"/>
            </w:tcBorders>
            <w:shd w:val="clear" w:color="auto" w:fill="auto"/>
            <w:vAlign w:val="center"/>
            <w:hideMark/>
          </w:tcPr>
          <w:p w14:paraId="2B31D71F"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ŽSR</w:t>
            </w:r>
          </w:p>
        </w:tc>
        <w:tc>
          <w:tcPr>
            <w:tcW w:w="5813" w:type="dxa"/>
            <w:tcBorders>
              <w:top w:val="nil"/>
              <w:left w:val="nil"/>
              <w:bottom w:val="nil"/>
              <w:right w:val="nil"/>
            </w:tcBorders>
            <w:shd w:val="clear" w:color="auto" w:fill="auto"/>
            <w:noWrap/>
            <w:vAlign w:val="center"/>
            <w:hideMark/>
          </w:tcPr>
          <w:p w14:paraId="32168F50"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ŽSR Nákup diagnostických vozidiel</w:t>
            </w:r>
          </w:p>
        </w:tc>
        <w:tc>
          <w:tcPr>
            <w:tcW w:w="1365" w:type="dxa"/>
            <w:tcBorders>
              <w:top w:val="nil"/>
              <w:left w:val="nil"/>
              <w:bottom w:val="nil"/>
              <w:right w:val="nil"/>
            </w:tcBorders>
            <w:shd w:val="clear" w:color="auto" w:fill="auto"/>
            <w:noWrap/>
            <w:vAlign w:val="center"/>
            <w:hideMark/>
          </w:tcPr>
          <w:p w14:paraId="2684BBBE"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Pred VO</w:t>
            </w:r>
          </w:p>
        </w:tc>
        <w:tc>
          <w:tcPr>
            <w:tcW w:w="1222" w:type="dxa"/>
            <w:tcBorders>
              <w:top w:val="nil"/>
              <w:left w:val="nil"/>
              <w:bottom w:val="nil"/>
              <w:right w:val="nil"/>
            </w:tcBorders>
            <w:shd w:val="clear" w:color="auto" w:fill="auto"/>
            <w:noWrap/>
            <w:vAlign w:val="center"/>
            <w:hideMark/>
          </w:tcPr>
          <w:p w14:paraId="4D232D08"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36</w:t>
            </w:r>
          </w:p>
        </w:tc>
      </w:tr>
      <w:tr w:rsidR="00CB16AA" w:rsidRPr="00666914" w14:paraId="05133BD7" w14:textId="77777777" w:rsidTr="00985E7A">
        <w:trPr>
          <w:trHeight w:val="290"/>
        </w:trPr>
        <w:tc>
          <w:tcPr>
            <w:tcW w:w="850" w:type="dxa"/>
            <w:tcBorders>
              <w:top w:val="nil"/>
              <w:left w:val="nil"/>
              <w:bottom w:val="nil"/>
              <w:right w:val="nil"/>
            </w:tcBorders>
            <w:shd w:val="clear" w:color="auto" w:fill="auto"/>
            <w:vAlign w:val="center"/>
            <w:hideMark/>
          </w:tcPr>
          <w:p w14:paraId="228F6ECB"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ŽSR</w:t>
            </w:r>
          </w:p>
        </w:tc>
        <w:tc>
          <w:tcPr>
            <w:tcW w:w="5813" w:type="dxa"/>
            <w:tcBorders>
              <w:top w:val="nil"/>
              <w:left w:val="nil"/>
              <w:bottom w:val="nil"/>
              <w:right w:val="nil"/>
            </w:tcBorders>
            <w:shd w:val="clear" w:color="auto" w:fill="auto"/>
            <w:vAlign w:val="center"/>
          </w:tcPr>
          <w:p w14:paraId="739A148B"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Modernizácia elektronickej komunikačnej siete ŽSR</w:t>
            </w:r>
          </w:p>
        </w:tc>
        <w:tc>
          <w:tcPr>
            <w:tcW w:w="1365" w:type="dxa"/>
            <w:tcBorders>
              <w:top w:val="nil"/>
              <w:left w:val="nil"/>
              <w:bottom w:val="nil"/>
              <w:right w:val="nil"/>
            </w:tcBorders>
            <w:shd w:val="clear" w:color="auto" w:fill="auto"/>
            <w:vAlign w:val="center"/>
            <w:hideMark/>
          </w:tcPr>
          <w:p w14:paraId="79131E8A"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Pred VO</w:t>
            </w:r>
          </w:p>
        </w:tc>
        <w:tc>
          <w:tcPr>
            <w:tcW w:w="1222" w:type="dxa"/>
            <w:tcBorders>
              <w:top w:val="nil"/>
              <w:left w:val="nil"/>
              <w:bottom w:val="nil"/>
              <w:right w:val="nil"/>
            </w:tcBorders>
            <w:shd w:val="clear" w:color="auto" w:fill="auto"/>
            <w:noWrap/>
            <w:vAlign w:val="center"/>
            <w:hideMark/>
          </w:tcPr>
          <w:p w14:paraId="6D8792AF"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28,2</w:t>
            </w:r>
          </w:p>
        </w:tc>
      </w:tr>
      <w:tr w:rsidR="00CB16AA" w:rsidRPr="00666914" w14:paraId="5A82FB85" w14:textId="77777777" w:rsidTr="00985E7A">
        <w:trPr>
          <w:trHeight w:val="290"/>
        </w:trPr>
        <w:tc>
          <w:tcPr>
            <w:tcW w:w="850" w:type="dxa"/>
            <w:tcBorders>
              <w:top w:val="nil"/>
              <w:left w:val="nil"/>
              <w:bottom w:val="nil"/>
              <w:right w:val="nil"/>
            </w:tcBorders>
            <w:shd w:val="clear" w:color="auto" w:fill="auto"/>
            <w:vAlign w:val="center"/>
            <w:hideMark/>
          </w:tcPr>
          <w:p w14:paraId="4DEB48BF"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5813" w:type="dxa"/>
            <w:tcBorders>
              <w:top w:val="nil"/>
              <w:left w:val="nil"/>
              <w:bottom w:val="nil"/>
              <w:right w:val="nil"/>
            </w:tcBorders>
            <w:shd w:val="clear" w:color="auto" w:fill="auto"/>
            <w:noWrap/>
            <w:vAlign w:val="center"/>
            <w:hideMark/>
          </w:tcPr>
          <w:p w14:paraId="5652B694"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I/18, I/74 Prešov -- Humenné – Ubľa</w:t>
            </w:r>
          </w:p>
        </w:tc>
        <w:tc>
          <w:tcPr>
            <w:tcW w:w="1365" w:type="dxa"/>
            <w:tcBorders>
              <w:top w:val="nil"/>
              <w:left w:val="nil"/>
              <w:bottom w:val="nil"/>
              <w:right w:val="nil"/>
            </w:tcBorders>
            <w:shd w:val="clear" w:color="auto" w:fill="auto"/>
            <w:noWrap/>
            <w:vAlign w:val="center"/>
            <w:hideMark/>
          </w:tcPr>
          <w:p w14:paraId="3E333AE2"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ŠU</w:t>
            </w:r>
          </w:p>
        </w:tc>
        <w:tc>
          <w:tcPr>
            <w:tcW w:w="1222" w:type="dxa"/>
            <w:tcBorders>
              <w:top w:val="nil"/>
              <w:left w:val="nil"/>
              <w:bottom w:val="nil"/>
              <w:right w:val="nil"/>
            </w:tcBorders>
            <w:shd w:val="clear" w:color="auto" w:fill="auto"/>
            <w:vAlign w:val="center"/>
            <w:hideMark/>
          </w:tcPr>
          <w:p w14:paraId="4E66D840"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439</w:t>
            </w:r>
          </w:p>
        </w:tc>
      </w:tr>
      <w:tr w:rsidR="00CB16AA" w:rsidRPr="00666914" w14:paraId="10E7582D" w14:textId="77777777" w:rsidTr="00985E7A">
        <w:trPr>
          <w:trHeight w:val="290"/>
        </w:trPr>
        <w:tc>
          <w:tcPr>
            <w:tcW w:w="850" w:type="dxa"/>
            <w:tcBorders>
              <w:top w:val="nil"/>
              <w:left w:val="nil"/>
              <w:bottom w:val="nil"/>
              <w:right w:val="nil"/>
            </w:tcBorders>
            <w:shd w:val="clear" w:color="auto" w:fill="auto"/>
            <w:vAlign w:val="center"/>
            <w:hideMark/>
          </w:tcPr>
          <w:p w14:paraId="6DF80936"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5813" w:type="dxa"/>
            <w:tcBorders>
              <w:top w:val="nil"/>
              <w:left w:val="nil"/>
              <w:bottom w:val="nil"/>
              <w:right w:val="nil"/>
            </w:tcBorders>
            <w:shd w:val="clear" w:color="auto" w:fill="auto"/>
            <w:noWrap/>
            <w:vAlign w:val="center"/>
            <w:hideMark/>
          </w:tcPr>
          <w:p w14:paraId="5F864C09"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I/68 Prešov -- Mníšek nad Popradom, modernizácia</w:t>
            </w:r>
          </w:p>
        </w:tc>
        <w:tc>
          <w:tcPr>
            <w:tcW w:w="1365" w:type="dxa"/>
            <w:tcBorders>
              <w:top w:val="nil"/>
              <w:left w:val="nil"/>
              <w:bottom w:val="nil"/>
              <w:right w:val="nil"/>
            </w:tcBorders>
            <w:shd w:val="clear" w:color="auto" w:fill="auto"/>
            <w:noWrap/>
            <w:vAlign w:val="center"/>
            <w:hideMark/>
          </w:tcPr>
          <w:p w14:paraId="3E1FD301"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ŠU</w:t>
            </w:r>
          </w:p>
        </w:tc>
        <w:tc>
          <w:tcPr>
            <w:tcW w:w="1222" w:type="dxa"/>
            <w:tcBorders>
              <w:top w:val="nil"/>
              <w:left w:val="nil"/>
              <w:bottom w:val="nil"/>
              <w:right w:val="nil"/>
            </w:tcBorders>
            <w:shd w:val="clear" w:color="auto" w:fill="auto"/>
            <w:vAlign w:val="center"/>
            <w:hideMark/>
          </w:tcPr>
          <w:p w14:paraId="65EEB01E"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399</w:t>
            </w:r>
          </w:p>
        </w:tc>
      </w:tr>
      <w:tr w:rsidR="00CB16AA" w:rsidRPr="00666914" w14:paraId="0CA4EEB5" w14:textId="77777777" w:rsidTr="00985E7A">
        <w:trPr>
          <w:trHeight w:val="290"/>
        </w:trPr>
        <w:tc>
          <w:tcPr>
            <w:tcW w:w="850" w:type="dxa"/>
            <w:tcBorders>
              <w:top w:val="nil"/>
              <w:left w:val="nil"/>
              <w:bottom w:val="nil"/>
              <w:right w:val="nil"/>
            </w:tcBorders>
            <w:shd w:val="clear" w:color="auto" w:fill="auto"/>
            <w:vAlign w:val="center"/>
            <w:hideMark/>
          </w:tcPr>
          <w:p w14:paraId="162E71B2"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5813" w:type="dxa"/>
            <w:tcBorders>
              <w:top w:val="nil"/>
              <w:left w:val="nil"/>
              <w:bottom w:val="nil"/>
              <w:right w:val="nil"/>
            </w:tcBorders>
            <w:shd w:val="clear" w:color="auto" w:fill="auto"/>
            <w:vAlign w:val="center"/>
            <w:hideMark/>
          </w:tcPr>
          <w:p w14:paraId="0ECC67C0"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I/75 Galanta – Nové Zámky, modernizácia</w:t>
            </w:r>
          </w:p>
        </w:tc>
        <w:tc>
          <w:tcPr>
            <w:tcW w:w="1365" w:type="dxa"/>
            <w:tcBorders>
              <w:top w:val="nil"/>
              <w:left w:val="nil"/>
              <w:bottom w:val="nil"/>
              <w:right w:val="nil"/>
            </w:tcBorders>
            <w:shd w:val="clear" w:color="auto" w:fill="auto"/>
            <w:vAlign w:val="center"/>
            <w:hideMark/>
          </w:tcPr>
          <w:p w14:paraId="52B4D910"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ŠU</w:t>
            </w:r>
          </w:p>
        </w:tc>
        <w:tc>
          <w:tcPr>
            <w:tcW w:w="1222" w:type="dxa"/>
            <w:tcBorders>
              <w:top w:val="nil"/>
              <w:left w:val="nil"/>
              <w:bottom w:val="nil"/>
              <w:right w:val="nil"/>
            </w:tcBorders>
            <w:shd w:val="clear" w:color="auto" w:fill="auto"/>
            <w:noWrap/>
            <w:vAlign w:val="center"/>
            <w:hideMark/>
          </w:tcPr>
          <w:p w14:paraId="7EF80A02"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136</w:t>
            </w:r>
          </w:p>
        </w:tc>
      </w:tr>
      <w:tr w:rsidR="00CB16AA" w:rsidRPr="00666914" w14:paraId="2C15269F" w14:textId="77777777" w:rsidTr="00985E7A">
        <w:trPr>
          <w:trHeight w:val="290"/>
        </w:trPr>
        <w:tc>
          <w:tcPr>
            <w:tcW w:w="850" w:type="dxa"/>
            <w:tcBorders>
              <w:top w:val="nil"/>
              <w:left w:val="nil"/>
              <w:bottom w:val="single" w:sz="4" w:space="0" w:color="auto"/>
              <w:right w:val="nil"/>
            </w:tcBorders>
            <w:shd w:val="clear" w:color="auto" w:fill="auto"/>
            <w:vAlign w:val="center"/>
            <w:hideMark/>
          </w:tcPr>
          <w:p w14:paraId="2E665286"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ZSSK</w:t>
            </w:r>
          </w:p>
        </w:tc>
        <w:tc>
          <w:tcPr>
            <w:tcW w:w="5813" w:type="dxa"/>
            <w:tcBorders>
              <w:top w:val="nil"/>
              <w:left w:val="nil"/>
              <w:bottom w:val="single" w:sz="4" w:space="0" w:color="auto"/>
              <w:right w:val="nil"/>
            </w:tcBorders>
            <w:shd w:val="clear" w:color="auto" w:fill="auto"/>
            <w:vAlign w:val="center"/>
            <w:hideMark/>
          </w:tcPr>
          <w:p w14:paraId="26789E12"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ZSSK Informačný systém komplexného vybavenia cestujúcich</w:t>
            </w:r>
          </w:p>
        </w:tc>
        <w:tc>
          <w:tcPr>
            <w:tcW w:w="1365" w:type="dxa"/>
            <w:tcBorders>
              <w:top w:val="nil"/>
              <w:left w:val="nil"/>
              <w:bottom w:val="single" w:sz="4" w:space="0" w:color="auto"/>
              <w:right w:val="nil"/>
            </w:tcBorders>
            <w:shd w:val="clear" w:color="auto" w:fill="auto"/>
            <w:vAlign w:val="center"/>
            <w:hideMark/>
          </w:tcPr>
          <w:p w14:paraId="7C54E5A3"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ŠU</w:t>
            </w:r>
          </w:p>
        </w:tc>
        <w:tc>
          <w:tcPr>
            <w:tcW w:w="1222" w:type="dxa"/>
            <w:tcBorders>
              <w:top w:val="nil"/>
              <w:left w:val="nil"/>
              <w:bottom w:val="single" w:sz="4" w:space="0" w:color="auto"/>
              <w:right w:val="nil"/>
            </w:tcBorders>
            <w:shd w:val="clear" w:color="auto" w:fill="auto"/>
            <w:noWrap/>
            <w:vAlign w:val="center"/>
            <w:hideMark/>
          </w:tcPr>
          <w:p w14:paraId="5FFA9AE5"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29,8</w:t>
            </w:r>
          </w:p>
        </w:tc>
      </w:tr>
    </w:tbl>
    <w:p w14:paraId="42777D06" w14:textId="77777777" w:rsidR="00CB16AA" w:rsidRPr="00666914" w:rsidRDefault="00CB16AA" w:rsidP="00985E7A">
      <w:pPr>
        <w:spacing w:after="0"/>
        <w:contextualSpacing/>
        <w:jc w:val="right"/>
        <w:rPr>
          <w:i/>
          <w:sz w:val="18"/>
          <w:szCs w:val="18"/>
        </w:rPr>
      </w:pPr>
      <w:r w:rsidRPr="00666914">
        <w:rPr>
          <w:i/>
          <w:sz w:val="18"/>
          <w:szCs w:val="18"/>
        </w:rPr>
        <w:t>Zdroj: ÚHP MF SR</w:t>
      </w:r>
    </w:p>
    <w:p w14:paraId="7D043228" w14:textId="77777777" w:rsidR="00CB16AA" w:rsidRPr="00666914" w:rsidRDefault="00CB16AA" w:rsidP="00985E7A">
      <w:pPr>
        <w:rPr>
          <w:b/>
        </w:rPr>
      </w:pPr>
    </w:p>
    <w:p w14:paraId="250526B6" w14:textId="195BE5EF" w:rsidR="00CB16AA" w:rsidRPr="00666914" w:rsidRDefault="00CB16AA" w:rsidP="00985E7A">
      <w:r w:rsidRPr="00666914">
        <w:rPr>
          <w:b/>
        </w:rPr>
        <w:t>Uplatňovanie metodík pre analýzy investičných projektov sa od roku 2016 výrazne zlepšilo, proces prípravy je však stále nedostatočný.</w:t>
      </w:r>
      <w:r w:rsidRPr="00666914">
        <w:t xml:space="preserve"> Na základe spolupráce MDV SR a ÚHP MF SR bola aktualizovaná metodika pre tvorbu štúdií uskutočniteľnosti</w:t>
      </w:r>
      <w:r w:rsidRPr="00666914">
        <w:rPr>
          <w:rStyle w:val="Odkaznapoznmkupodiarou"/>
        </w:rPr>
        <w:footnoteReference w:id="54"/>
      </w:r>
      <w:r w:rsidRPr="00666914">
        <w:t xml:space="preserve"> a analýzy prínosov a nákladov</w:t>
      </w:r>
      <w:r w:rsidRPr="00666914">
        <w:rPr>
          <w:rStyle w:val="Odkaznapoznmkupodiarou"/>
        </w:rPr>
        <w:footnoteReference w:id="55"/>
      </w:r>
      <w:r w:rsidRPr="00666914">
        <w:t>. Vďaka nej sa najmä v cestných projektoch výrazne zvýšila kvalita a spoľahlivosť dopravných modelov a prognóz vrátane posúdenia spoločenskej návratnosti. V 01/2019 došlo medzi ÚHP MF SR a MDV SR k písomnej dohode</w:t>
      </w:r>
      <w:r w:rsidRPr="00666914">
        <w:rPr>
          <w:rStyle w:val="Odkaznapoznmkupodiarou"/>
        </w:rPr>
        <w:footnoteReference w:id="56"/>
      </w:r>
      <w:r w:rsidRPr="00666914">
        <w:t xml:space="preserve"> o aplikácii kolíznych pravidiel vyplývajúcich z Rámca na hodnotenie verejných investičných projektov v SR, revízie výdavkov a uznesení vlády SR s presne určenými postupmi pri príprave a hodnotení projektov. Na základe listu o záväznosti Rámca na hodnotenie verejných investičných projektov v SR medzi MDV SR a MF SR majú mať všetky investičné projekty spracovanú štúdiu uskutočniteľnosti podľa aktuálnej metodiky OPII a jej hodnotenie ÚHP pred začatím ďalšieho stupňa prípravy. Plnenie toho usmernenia nebolo zatiaľ vyhodnotené.</w:t>
      </w:r>
    </w:p>
    <w:p w14:paraId="51AAE976" w14:textId="5A6D6AB6" w:rsidR="00CB16AA" w:rsidRPr="00666914" w:rsidRDefault="00CB16AA" w:rsidP="00985E7A">
      <w:pPr>
        <w:spacing w:after="0"/>
      </w:pPr>
      <w:r w:rsidRPr="00666914">
        <w:rPr>
          <w:b/>
        </w:rPr>
        <w:t>Od schválenia revízie výdavkov sa postupne zlepšuje aj dostupnosť údajov, kvalita poskytovaných dát a ich zverejňovanie.</w:t>
      </w:r>
      <w:r w:rsidRPr="00666914">
        <w:t xml:space="preserve"> V prípade všetkých zazmluvnených investičných dopravných projektov OPII zverejňuje MDV SR štruktúrované podrobné údaje. Zároveň sa zverejňujú aj štruktúrované údaje o projektoch v zásobníku OPII. Rovnako sa rozširuje sada údajov, ktoré sú zverejňované ako opendata na data.gov.sk. </w:t>
      </w:r>
      <w:r w:rsidRPr="00666914">
        <w:rPr>
          <w:b/>
        </w:rPr>
        <w:t>Naopak, podriadené organizácie (NDS, ZSSK) vyžadujú na poskytnutie niektorých údajov pre svojho akcionára (MDV SR) podpísanie zmluvy o mlčanlivosti (NDA).</w:t>
      </w:r>
      <w:r w:rsidRPr="00666914">
        <w:t xml:space="preserve"> </w:t>
      </w:r>
      <w:r w:rsidR="000D6FE0" w:rsidRPr="00666914">
        <w:t>ZSSK však n</w:t>
      </w:r>
      <w:r w:rsidRPr="00666914">
        <w:t xml:space="preserve">iektoré údaje  MDV SR </w:t>
      </w:r>
      <w:r w:rsidR="000D6FE0" w:rsidRPr="00666914">
        <w:t xml:space="preserve">neposkytuje </w:t>
      </w:r>
      <w:r w:rsidRPr="00666914">
        <w:t>aj napriek možnosti podpísania NDA.</w:t>
      </w:r>
    </w:p>
    <w:p w14:paraId="24CB2970" w14:textId="77777777" w:rsidR="00CB16AA" w:rsidRPr="00666914" w:rsidRDefault="00CB16AA" w:rsidP="00985E7A">
      <w:pPr>
        <w:spacing w:after="0"/>
      </w:pPr>
    </w:p>
    <w:p w14:paraId="210171CD" w14:textId="0D7CE4B3" w:rsidR="00CB16AA" w:rsidRPr="00666914" w:rsidRDefault="00CB16AA" w:rsidP="00985E7A">
      <w:pPr>
        <w:spacing w:after="0"/>
        <w:rPr>
          <w:bCs/>
        </w:rPr>
      </w:pPr>
      <w:r w:rsidRPr="00666914">
        <w:rPr>
          <w:b/>
          <w:bCs/>
        </w:rPr>
        <w:t>Analytická jednotka MDV SR, Inštitút dopravnej politiky (IDP), organizačne zaradený pod štátn</w:t>
      </w:r>
      <w:r w:rsidR="00CB5423" w:rsidRPr="00666914">
        <w:rPr>
          <w:b/>
          <w:bCs/>
        </w:rPr>
        <w:t>eho tajomní</w:t>
      </w:r>
      <w:r w:rsidRPr="00666914">
        <w:rPr>
          <w:b/>
          <w:bCs/>
        </w:rPr>
        <w:t>k</w:t>
      </w:r>
      <w:r w:rsidR="00CB5423" w:rsidRPr="00666914">
        <w:rPr>
          <w:b/>
          <w:bCs/>
        </w:rPr>
        <w:t>a</w:t>
      </w:r>
      <w:r w:rsidRPr="00666914">
        <w:rPr>
          <w:b/>
          <w:bCs/>
        </w:rPr>
        <w:t xml:space="preserve"> MDV SR, napriek obmedzenej analytickej kapacite (5 analytici) splnil minimálne požiadavky na kritériá kvality analytických jednotiek za rok 2019 v rámci projektu “Budovanie a rozvoj kapacít analytických útvarov na vybraných ústredných orgánoch štátnej správy“. </w:t>
      </w:r>
      <w:r w:rsidRPr="00666914">
        <w:rPr>
          <w:bCs/>
        </w:rPr>
        <w:t>IDP vypracoval tri recenzované výstupy - 1 analýzu</w:t>
      </w:r>
      <w:r w:rsidRPr="00666914">
        <w:rPr>
          <w:rStyle w:val="Odkaznapoznmkupodiarou"/>
        </w:rPr>
        <w:footnoteReference w:id="57"/>
      </w:r>
      <w:r w:rsidRPr="00666914">
        <w:rPr>
          <w:bCs/>
        </w:rPr>
        <w:t xml:space="preserve"> a 2 komentáre</w:t>
      </w:r>
      <w:r w:rsidRPr="00666914">
        <w:rPr>
          <w:rStyle w:val="Odkaznapoznmkupodiarou"/>
        </w:rPr>
        <w:footnoteReference w:id="58"/>
      </w:r>
      <w:r w:rsidRPr="00666914">
        <w:rPr>
          <w:bCs/>
        </w:rPr>
        <w:t>. Analýza “Posúdenie ekonomickej výhodnosti uloženia záväzku služby vo verejnom záujme na pravidelnej leteckej linke Bratislava-Košice“ bola recenzovaná ešte v roku 2019 a nie je zverejnená.</w:t>
      </w:r>
      <w:r w:rsidRPr="00666914" w:rsidDel="001241D4">
        <w:rPr>
          <w:bCs/>
        </w:rPr>
        <w:t xml:space="preserve"> </w:t>
      </w:r>
      <w:r w:rsidRPr="00666914">
        <w:rPr>
          <w:bCs/>
        </w:rPr>
        <w:t>MDV SR zároveň naďalej objednáva vypracovanie analytických úloh externými dodávateľmi a nevyuží</w:t>
      </w:r>
      <w:r w:rsidR="00D67E6E" w:rsidRPr="00666914">
        <w:rPr>
          <w:bCs/>
        </w:rPr>
        <w:t>va interné kapacity IDP.</w:t>
      </w:r>
    </w:p>
    <w:p w14:paraId="360BAC94" w14:textId="7B67FB67" w:rsidR="00CB16AA" w:rsidRPr="00666914" w:rsidRDefault="00CB16AA" w:rsidP="00985E7A">
      <w:pPr>
        <w:pStyle w:val="Popis"/>
      </w:pPr>
      <w:bookmarkStart w:id="180" w:name="_Toc21522778"/>
      <w:bookmarkStart w:id="181" w:name="_Toc38447682"/>
      <w:r w:rsidRPr="00666914">
        <w:lastRenderedPageBreak/>
        <w:t xml:space="preserve">Tabuľka </w:t>
      </w:r>
      <w:r w:rsidRPr="00666914">
        <w:rPr>
          <w:noProof/>
        </w:rPr>
        <w:fldChar w:fldCharType="begin"/>
      </w:r>
      <w:r w:rsidRPr="00666914">
        <w:rPr>
          <w:noProof/>
        </w:rPr>
        <w:instrText xml:space="preserve"> SEQ Tabuľka \* ARABIC \* MERGEFORMAT </w:instrText>
      </w:r>
      <w:r w:rsidRPr="00666914">
        <w:rPr>
          <w:noProof/>
        </w:rPr>
        <w:fldChar w:fldCharType="separate"/>
      </w:r>
      <w:r w:rsidR="005A7304">
        <w:rPr>
          <w:noProof/>
        </w:rPr>
        <w:t>21</w:t>
      </w:r>
      <w:r w:rsidRPr="00666914">
        <w:rPr>
          <w:noProof/>
        </w:rPr>
        <w:fldChar w:fldCharType="end"/>
      </w:r>
      <w:r w:rsidRPr="00666914">
        <w:t>: Plnenie hlavných odporúčaní IJ</w:t>
      </w:r>
      <w:r w:rsidR="00227D41" w:rsidRPr="00666914">
        <w:t xml:space="preserve"> ÚV SR</w:t>
      </w:r>
      <w:r w:rsidRPr="00666914">
        <w:t xml:space="preserve"> pre MDV SR v Priebežnej implementačnej správe 201</w:t>
      </w:r>
      <w:bookmarkEnd w:id="180"/>
      <w:r w:rsidRPr="00666914">
        <w:t>9</w:t>
      </w:r>
      <w:bookmarkEnd w:id="181"/>
    </w:p>
    <w:tbl>
      <w:tblPr>
        <w:tblW w:w="5000" w:type="pct"/>
        <w:tblLayout w:type="fixed"/>
        <w:tblCellMar>
          <w:left w:w="70" w:type="dxa"/>
          <w:right w:w="70" w:type="dxa"/>
        </w:tblCellMar>
        <w:tblLook w:val="04A0" w:firstRow="1" w:lastRow="0" w:firstColumn="1" w:lastColumn="0" w:noHBand="0" w:noVBand="1"/>
      </w:tblPr>
      <w:tblGrid>
        <w:gridCol w:w="7487"/>
        <w:gridCol w:w="1727"/>
      </w:tblGrid>
      <w:tr w:rsidR="00CB16AA" w:rsidRPr="00666914" w14:paraId="6C37C631" w14:textId="77777777" w:rsidTr="00985E7A">
        <w:trPr>
          <w:trHeight w:val="680"/>
        </w:trPr>
        <w:tc>
          <w:tcPr>
            <w:tcW w:w="4063" w:type="pct"/>
            <w:tcBorders>
              <w:top w:val="single" w:sz="4" w:space="0" w:color="auto"/>
              <w:left w:val="nil"/>
              <w:bottom w:val="nil"/>
              <w:right w:val="nil"/>
            </w:tcBorders>
            <w:shd w:val="clear" w:color="auto" w:fill="auto"/>
            <w:noWrap/>
            <w:vAlign w:val="center"/>
          </w:tcPr>
          <w:p w14:paraId="78E87E6E" w14:textId="77777777" w:rsidR="00CB16AA" w:rsidRPr="00666914" w:rsidRDefault="00CB16AA" w:rsidP="00985E7A">
            <w:pPr>
              <w:spacing w:after="0"/>
              <w:rPr>
                <w:sz w:val="20"/>
                <w:szCs w:val="20"/>
                <w:highlight w:val="yellow"/>
              </w:rPr>
            </w:pPr>
            <w:r w:rsidRPr="00666914">
              <w:rPr>
                <w:sz w:val="20"/>
                <w:szCs w:val="20"/>
              </w:rPr>
              <w:t xml:space="preserve">Poskytovať údaje týkajúce sa Železničnej spoločnosti Slovensko, a. s. (ZSSK), ktoré sú nevyhnutné na dopracovanie Revízie výdavkov na dopravu </w:t>
            </w:r>
          </w:p>
        </w:tc>
        <w:tc>
          <w:tcPr>
            <w:tcW w:w="937" w:type="pct"/>
            <w:tcBorders>
              <w:top w:val="single" w:sz="4" w:space="0" w:color="auto"/>
              <w:left w:val="nil"/>
              <w:bottom w:val="nil"/>
              <w:right w:val="nil"/>
            </w:tcBorders>
            <w:shd w:val="clear" w:color="auto" w:fill="auto"/>
            <w:noWrap/>
            <w:vAlign w:val="center"/>
          </w:tcPr>
          <w:p w14:paraId="0A474BE8" w14:textId="77777777" w:rsidR="00CB16AA" w:rsidRPr="00666914" w:rsidRDefault="00CB16AA" w:rsidP="00985E7A">
            <w:pPr>
              <w:spacing w:after="0"/>
              <w:rPr>
                <w:sz w:val="20"/>
                <w:szCs w:val="20"/>
                <w:highlight w:val="yellow"/>
              </w:rPr>
            </w:pPr>
            <w:r w:rsidRPr="00666914">
              <w:rPr>
                <w:noProof/>
                <w:highlight w:val="yellow"/>
                <w:lang w:eastAsia="sk-SK"/>
              </w:rPr>
              <w:drawing>
                <wp:anchor distT="0" distB="0" distL="114300" distR="114300" simplePos="0" relativeHeight="251706368" behindDoc="0" locked="0" layoutInCell="1" allowOverlap="1" wp14:anchorId="63085AFE" wp14:editId="5297BB48">
                  <wp:simplePos x="0" y="0"/>
                  <wp:positionH relativeFrom="column">
                    <wp:posOffset>478155</wp:posOffset>
                  </wp:positionH>
                  <wp:positionV relativeFrom="paragraph">
                    <wp:posOffset>-204470</wp:posOffset>
                  </wp:positionV>
                  <wp:extent cx="215900" cy="215900"/>
                  <wp:effectExtent l="0" t="0" r="0" b="0"/>
                  <wp:wrapTopAndBottom/>
                  <wp:docPr id="78" name="Obrázo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r>
      <w:tr w:rsidR="00CB16AA" w:rsidRPr="00666914" w14:paraId="2305DF19" w14:textId="77777777" w:rsidTr="00985E7A">
        <w:trPr>
          <w:trHeight w:val="680"/>
        </w:trPr>
        <w:tc>
          <w:tcPr>
            <w:tcW w:w="4063" w:type="pct"/>
            <w:tcBorders>
              <w:top w:val="nil"/>
              <w:left w:val="nil"/>
              <w:right w:val="nil"/>
            </w:tcBorders>
            <w:shd w:val="clear" w:color="auto" w:fill="auto"/>
            <w:vAlign w:val="center"/>
          </w:tcPr>
          <w:p w14:paraId="32BB2782" w14:textId="77777777" w:rsidR="00CB16AA" w:rsidRPr="00666914" w:rsidRDefault="00CB16AA" w:rsidP="00985E7A">
            <w:pPr>
              <w:spacing w:after="0"/>
              <w:rPr>
                <w:sz w:val="20"/>
                <w:szCs w:val="20"/>
              </w:rPr>
            </w:pPr>
            <w:r w:rsidRPr="00666914">
              <w:rPr>
                <w:sz w:val="20"/>
                <w:szCs w:val="20"/>
              </w:rPr>
              <w:t>V 2. polroku 2019 zvýšiť alokáciu finančných prostriedkov na opravy a údržbu ciest I. triedy v súlade so schválenou Revíziou výdavkov na dopravu a znížiť podiel ciest v havarijnom a nevyhovujúcom stave</w:t>
            </w:r>
          </w:p>
          <w:p w14:paraId="50E77AAC" w14:textId="77777777" w:rsidR="00CB16AA" w:rsidRPr="00666914" w:rsidRDefault="00CB16AA" w:rsidP="00985E7A">
            <w:pPr>
              <w:spacing w:after="0"/>
              <w:rPr>
                <w:sz w:val="20"/>
                <w:szCs w:val="20"/>
              </w:rPr>
            </w:pPr>
          </w:p>
        </w:tc>
        <w:tc>
          <w:tcPr>
            <w:tcW w:w="937" w:type="pct"/>
            <w:tcBorders>
              <w:top w:val="nil"/>
              <w:left w:val="nil"/>
              <w:right w:val="nil"/>
            </w:tcBorders>
            <w:shd w:val="clear" w:color="auto" w:fill="auto"/>
            <w:noWrap/>
            <w:vAlign w:val="center"/>
          </w:tcPr>
          <w:p w14:paraId="5B59E728" w14:textId="77777777" w:rsidR="00CB16AA" w:rsidRPr="00666914" w:rsidRDefault="00CB16AA" w:rsidP="00985E7A">
            <w:pPr>
              <w:spacing w:after="0"/>
              <w:ind w:left="20" w:hanging="34"/>
              <w:rPr>
                <w:sz w:val="20"/>
                <w:szCs w:val="20"/>
              </w:rPr>
            </w:pPr>
            <w:r w:rsidRPr="00666914">
              <w:rPr>
                <w:noProof/>
                <w:lang w:eastAsia="sk-SK"/>
              </w:rPr>
              <w:drawing>
                <wp:anchor distT="0" distB="0" distL="114300" distR="114300" simplePos="0" relativeHeight="251709440" behindDoc="0" locked="0" layoutInCell="1" allowOverlap="1" wp14:anchorId="21F8A069" wp14:editId="5A2E9B28">
                  <wp:simplePos x="0" y="0"/>
                  <wp:positionH relativeFrom="margin">
                    <wp:posOffset>474345</wp:posOffset>
                  </wp:positionH>
                  <wp:positionV relativeFrom="paragraph">
                    <wp:posOffset>-218440</wp:posOffset>
                  </wp:positionV>
                  <wp:extent cx="215900" cy="215900"/>
                  <wp:effectExtent l="0" t="0" r="0" b="0"/>
                  <wp:wrapThrough wrapText="bothSides">
                    <wp:wrapPolygon edited="0">
                      <wp:start x="0" y="0"/>
                      <wp:lineTo x="0" y="19059"/>
                      <wp:lineTo x="19059" y="19059"/>
                      <wp:lineTo x="19059" y="0"/>
                      <wp:lineTo x="0" y="0"/>
                    </wp:wrapPolygon>
                  </wp:wrapThrough>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15900" cy="215900"/>
                          </a:xfrm>
                          <a:prstGeom prst="rect">
                            <a:avLst/>
                          </a:prstGeom>
                        </pic:spPr>
                      </pic:pic>
                    </a:graphicData>
                  </a:graphic>
                  <wp14:sizeRelH relativeFrom="page">
                    <wp14:pctWidth>0</wp14:pctWidth>
                  </wp14:sizeRelH>
                  <wp14:sizeRelV relativeFrom="page">
                    <wp14:pctHeight>0</wp14:pctHeight>
                  </wp14:sizeRelV>
                </wp:anchor>
              </w:drawing>
            </w:r>
          </w:p>
        </w:tc>
      </w:tr>
      <w:tr w:rsidR="00CB16AA" w:rsidRPr="00666914" w14:paraId="63DB72BF" w14:textId="77777777" w:rsidTr="00985E7A">
        <w:trPr>
          <w:trHeight w:val="680"/>
        </w:trPr>
        <w:tc>
          <w:tcPr>
            <w:tcW w:w="4063" w:type="pct"/>
            <w:tcBorders>
              <w:top w:val="nil"/>
              <w:left w:val="nil"/>
              <w:bottom w:val="single" w:sz="4" w:space="0" w:color="auto"/>
              <w:right w:val="nil"/>
            </w:tcBorders>
            <w:shd w:val="clear" w:color="auto" w:fill="auto"/>
            <w:vAlign w:val="center"/>
          </w:tcPr>
          <w:p w14:paraId="334C7556" w14:textId="77777777" w:rsidR="00CB16AA" w:rsidRPr="00666914" w:rsidRDefault="00CB16AA" w:rsidP="00985E7A">
            <w:pPr>
              <w:spacing w:after="0"/>
              <w:rPr>
                <w:sz w:val="20"/>
                <w:szCs w:val="20"/>
              </w:rPr>
            </w:pPr>
            <w:r w:rsidRPr="00666914">
              <w:rPr>
                <w:sz w:val="20"/>
                <w:szCs w:val="20"/>
              </w:rPr>
              <w:t>Pokračovať vo zverejňovaní podrobných informácií a podkladov o investičných projektoch v zásobníku OPII v užívateľsky vhodnom formáte</w:t>
            </w:r>
          </w:p>
          <w:p w14:paraId="173E2103" w14:textId="77777777" w:rsidR="00CB16AA" w:rsidRPr="00666914" w:rsidRDefault="00CB16AA" w:rsidP="00985E7A">
            <w:pPr>
              <w:spacing w:after="0"/>
              <w:rPr>
                <w:sz w:val="20"/>
                <w:szCs w:val="20"/>
              </w:rPr>
            </w:pPr>
          </w:p>
          <w:p w14:paraId="45852F7B" w14:textId="77777777" w:rsidR="00CB16AA" w:rsidRPr="00666914" w:rsidRDefault="00CB16AA" w:rsidP="00985E7A">
            <w:pPr>
              <w:spacing w:after="0"/>
              <w:rPr>
                <w:sz w:val="20"/>
                <w:szCs w:val="20"/>
              </w:rPr>
            </w:pPr>
            <w:r w:rsidRPr="00666914">
              <w:rPr>
                <w:sz w:val="20"/>
                <w:szCs w:val="20"/>
              </w:rPr>
              <w:t>Realizovať multimodálne posúdenie pri nových projektoch nad 20 mil. eur s DPH bez ohľadu na zdroj financovania podľa Metodického rámca pre vypracovanie štúdie uskutočniteľnosti</w:t>
            </w:r>
          </w:p>
        </w:tc>
        <w:tc>
          <w:tcPr>
            <w:tcW w:w="937" w:type="pct"/>
            <w:tcBorders>
              <w:top w:val="nil"/>
              <w:left w:val="nil"/>
              <w:bottom w:val="single" w:sz="4" w:space="0" w:color="auto"/>
              <w:right w:val="nil"/>
            </w:tcBorders>
            <w:shd w:val="clear" w:color="auto" w:fill="auto"/>
            <w:noWrap/>
            <w:vAlign w:val="center"/>
          </w:tcPr>
          <w:p w14:paraId="217B4EC9" w14:textId="77777777" w:rsidR="00CB16AA" w:rsidRPr="00666914" w:rsidRDefault="00CB16AA" w:rsidP="00985E7A">
            <w:pPr>
              <w:spacing w:after="0"/>
              <w:ind w:left="20" w:hanging="34"/>
              <w:rPr>
                <w:sz w:val="20"/>
                <w:szCs w:val="20"/>
              </w:rPr>
            </w:pPr>
            <w:r w:rsidRPr="00666914">
              <w:rPr>
                <w:b/>
                <w:noProof/>
                <w:lang w:eastAsia="sk-SK"/>
              </w:rPr>
              <w:drawing>
                <wp:anchor distT="0" distB="0" distL="114300" distR="114300" simplePos="0" relativeHeight="251705344" behindDoc="1" locked="0" layoutInCell="1" allowOverlap="1" wp14:anchorId="49034484" wp14:editId="1D6866E1">
                  <wp:simplePos x="0" y="0"/>
                  <wp:positionH relativeFrom="margin">
                    <wp:posOffset>506095</wp:posOffset>
                  </wp:positionH>
                  <wp:positionV relativeFrom="margin">
                    <wp:posOffset>-66675</wp:posOffset>
                  </wp:positionV>
                  <wp:extent cx="208280" cy="222250"/>
                  <wp:effectExtent l="0" t="0" r="1270" b="6350"/>
                  <wp:wrapNone/>
                  <wp:docPr id="91" name="Obrázo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8280" cy="222250"/>
                          </a:xfrm>
                          <a:prstGeom prst="rect">
                            <a:avLst/>
                          </a:prstGeom>
                        </pic:spPr>
                      </pic:pic>
                    </a:graphicData>
                  </a:graphic>
                  <wp14:sizeRelH relativeFrom="page">
                    <wp14:pctWidth>0</wp14:pctWidth>
                  </wp14:sizeRelH>
                  <wp14:sizeRelV relativeFrom="page">
                    <wp14:pctHeight>0</wp14:pctHeight>
                  </wp14:sizeRelV>
                </wp:anchor>
              </w:drawing>
            </w:r>
          </w:p>
          <w:p w14:paraId="128A4B57" w14:textId="77777777" w:rsidR="00CB16AA" w:rsidRPr="00666914" w:rsidRDefault="00CB16AA" w:rsidP="00985E7A">
            <w:pPr>
              <w:rPr>
                <w:sz w:val="20"/>
                <w:szCs w:val="20"/>
              </w:rPr>
            </w:pPr>
            <w:r w:rsidRPr="00666914">
              <w:rPr>
                <w:b/>
                <w:noProof/>
                <w:lang w:eastAsia="sk-SK"/>
              </w:rPr>
              <w:drawing>
                <wp:anchor distT="0" distB="0" distL="114300" distR="114300" simplePos="0" relativeHeight="251707392" behindDoc="1" locked="0" layoutInCell="1" allowOverlap="1" wp14:anchorId="493F80EE" wp14:editId="24421755">
                  <wp:simplePos x="0" y="0"/>
                  <wp:positionH relativeFrom="margin">
                    <wp:posOffset>502285</wp:posOffset>
                  </wp:positionH>
                  <wp:positionV relativeFrom="margin">
                    <wp:posOffset>438150</wp:posOffset>
                  </wp:positionV>
                  <wp:extent cx="208280" cy="222250"/>
                  <wp:effectExtent l="0" t="0" r="1270" b="6350"/>
                  <wp:wrapNone/>
                  <wp:docPr id="57" name="Obrázo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8280" cy="222250"/>
                          </a:xfrm>
                          <a:prstGeom prst="rect">
                            <a:avLst/>
                          </a:prstGeom>
                        </pic:spPr>
                      </pic:pic>
                    </a:graphicData>
                  </a:graphic>
                  <wp14:sizeRelH relativeFrom="page">
                    <wp14:pctWidth>0</wp14:pctWidth>
                  </wp14:sizeRelH>
                  <wp14:sizeRelV relativeFrom="page">
                    <wp14:pctHeight>0</wp14:pctHeight>
                  </wp14:sizeRelV>
                </wp:anchor>
              </w:drawing>
            </w:r>
          </w:p>
          <w:p w14:paraId="5E7905AC" w14:textId="77777777" w:rsidR="00CB16AA" w:rsidRPr="00666914" w:rsidRDefault="00CB16AA" w:rsidP="00985E7A">
            <w:pPr>
              <w:rPr>
                <w:sz w:val="20"/>
                <w:szCs w:val="20"/>
              </w:rPr>
            </w:pPr>
          </w:p>
        </w:tc>
      </w:tr>
      <w:tr w:rsidR="00CB16AA" w:rsidRPr="00666914" w14:paraId="44123E13" w14:textId="77777777" w:rsidTr="00985E7A">
        <w:trPr>
          <w:trHeight w:val="202"/>
        </w:trPr>
        <w:tc>
          <w:tcPr>
            <w:tcW w:w="4063" w:type="pct"/>
            <w:tcBorders>
              <w:top w:val="single" w:sz="4" w:space="0" w:color="auto"/>
              <w:left w:val="nil"/>
              <w:bottom w:val="nil"/>
              <w:right w:val="nil"/>
            </w:tcBorders>
            <w:shd w:val="clear" w:color="auto" w:fill="auto"/>
            <w:vAlign w:val="center"/>
          </w:tcPr>
          <w:p w14:paraId="74CDEC5D" w14:textId="77777777" w:rsidR="00CB16AA" w:rsidRPr="00666914" w:rsidRDefault="00CB16AA" w:rsidP="00985E7A">
            <w:pPr>
              <w:spacing w:after="0"/>
              <w:rPr>
                <w:sz w:val="20"/>
                <w:szCs w:val="20"/>
                <w:highlight w:val="yellow"/>
              </w:rPr>
            </w:pPr>
          </w:p>
        </w:tc>
        <w:tc>
          <w:tcPr>
            <w:tcW w:w="937" w:type="pct"/>
            <w:tcBorders>
              <w:top w:val="single" w:sz="4" w:space="0" w:color="auto"/>
              <w:left w:val="nil"/>
              <w:bottom w:val="nil"/>
              <w:right w:val="nil"/>
            </w:tcBorders>
            <w:shd w:val="clear" w:color="auto" w:fill="auto"/>
            <w:noWrap/>
            <w:vAlign w:val="center"/>
          </w:tcPr>
          <w:p w14:paraId="1AF1A9F8" w14:textId="77777777" w:rsidR="00CB16AA" w:rsidRPr="00666914" w:rsidRDefault="00CB16AA" w:rsidP="00985E7A">
            <w:pPr>
              <w:spacing w:after="0"/>
              <w:ind w:left="20" w:hanging="34"/>
              <w:jc w:val="right"/>
              <w:rPr>
                <w:i/>
                <w:sz w:val="18"/>
                <w:szCs w:val="18"/>
              </w:rPr>
            </w:pPr>
            <w:r w:rsidRPr="00666914">
              <w:rPr>
                <w:i/>
                <w:sz w:val="18"/>
                <w:szCs w:val="18"/>
              </w:rPr>
              <w:t>Zdroj: IJ ÚV SR</w:t>
            </w:r>
          </w:p>
        </w:tc>
      </w:tr>
    </w:tbl>
    <w:p w14:paraId="0AE43479" w14:textId="77777777" w:rsidR="00CB16AA" w:rsidRPr="00666914" w:rsidRDefault="00CB16AA" w:rsidP="00985E7A">
      <w:pPr>
        <w:rPr>
          <w:b/>
          <w:sz w:val="20"/>
          <w:szCs w:val="20"/>
        </w:rPr>
      </w:pPr>
      <w:r w:rsidRPr="00666914">
        <w:rPr>
          <w:b/>
          <w:noProof/>
          <w:highlight w:val="green"/>
          <w:lang w:eastAsia="sk-SK"/>
        </w:rPr>
        <mc:AlternateContent>
          <mc:Choice Requires="wps">
            <w:drawing>
              <wp:anchor distT="0" distB="0" distL="114300" distR="114300" simplePos="0" relativeHeight="251708416" behindDoc="0" locked="0" layoutInCell="1" allowOverlap="1" wp14:anchorId="1685EECC" wp14:editId="2B26D690">
                <wp:simplePos x="0" y="0"/>
                <wp:positionH relativeFrom="margin">
                  <wp:posOffset>-67945</wp:posOffset>
                </wp:positionH>
                <wp:positionV relativeFrom="paragraph">
                  <wp:posOffset>258445</wp:posOffset>
                </wp:positionV>
                <wp:extent cx="5724525" cy="2736850"/>
                <wp:effectExtent l="0" t="0" r="28575" b="25400"/>
                <wp:wrapThrough wrapText="bothSides">
                  <wp:wrapPolygon edited="0">
                    <wp:start x="0" y="0"/>
                    <wp:lineTo x="0" y="21650"/>
                    <wp:lineTo x="21636" y="21650"/>
                    <wp:lineTo x="21636" y="0"/>
                    <wp:lineTo x="0" y="0"/>
                  </wp:wrapPolygon>
                </wp:wrapThrough>
                <wp:docPr id="55" name="Textové pole 6"/>
                <wp:cNvGraphicFramePr/>
                <a:graphic xmlns:a="http://schemas.openxmlformats.org/drawingml/2006/main">
                  <a:graphicData uri="http://schemas.microsoft.com/office/word/2010/wordprocessingShape">
                    <wps:wsp>
                      <wps:cNvSpPr txBox="1"/>
                      <wps:spPr>
                        <a:xfrm>
                          <a:off x="0" y="0"/>
                          <a:ext cx="5724525" cy="2736850"/>
                        </a:xfrm>
                        <a:prstGeom prst="rect">
                          <a:avLst/>
                        </a:prstGeom>
                        <a:solidFill>
                          <a:srgbClr val="0070C0"/>
                        </a:solidFill>
                        <a:ln/>
                      </wps:spPr>
                      <wps:style>
                        <a:lnRef idx="2">
                          <a:schemeClr val="accent5"/>
                        </a:lnRef>
                        <a:fillRef idx="1">
                          <a:schemeClr val="lt1"/>
                        </a:fillRef>
                        <a:effectRef idx="0">
                          <a:schemeClr val="accent5"/>
                        </a:effectRef>
                        <a:fontRef idx="minor">
                          <a:schemeClr val="dk1"/>
                        </a:fontRef>
                      </wps:style>
                      <wps:txbx>
                        <w:txbxContent>
                          <w:p w14:paraId="6029B896" w14:textId="6EF4CF10" w:rsidR="006C0687" w:rsidRDefault="006C0687" w:rsidP="00985E7A">
                            <w:pPr>
                              <w:tabs>
                                <w:tab w:val="num" w:pos="786"/>
                              </w:tabs>
                              <w:spacing w:line="276" w:lineRule="auto"/>
                              <w:rPr>
                                <w:bCs/>
                                <w:color w:val="FFFFFF" w:themeColor="background1"/>
                                <w:u w:val="single"/>
                              </w:rPr>
                            </w:pPr>
                            <w:r w:rsidRPr="00EB0CBE">
                              <w:rPr>
                                <w:b/>
                                <w:bCs/>
                                <w:color w:val="FFFFFF" w:themeColor="background1"/>
                                <w:u w:val="single"/>
                              </w:rPr>
                              <w:t xml:space="preserve">Hlavné odporúčania IJ </w:t>
                            </w:r>
                            <w:r>
                              <w:rPr>
                                <w:b/>
                                <w:bCs/>
                                <w:color w:val="FFFFFF" w:themeColor="background1"/>
                                <w:u w:val="single"/>
                              </w:rPr>
                              <w:t xml:space="preserve">ÚV SR </w:t>
                            </w:r>
                            <w:r w:rsidRPr="00EB0CBE">
                              <w:rPr>
                                <w:b/>
                                <w:bCs/>
                                <w:color w:val="FFFFFF" w:themeColor="background1"/>
                                <w:u w:val="single"/>
                              </w:rPr>
                              <w:t xml:space="preserve">pre </w:t>
                            </w:r>
                            <w:r>
                              <w:rPr>
                                <w:b/>
                                <w:bCs/>
                                <w:color w:val="FFFFFF" w:themeColor="background1"/>
                                <w:u w:val="single"/>
                              </w:rPr>
                              <w:t>ŽSR</w:t>
                            </w:r>
                            <w:r w:rsidRPr="00EB0CBE">
                              <w:rPr>
                                <w:b/>
                                <w:bCs/>
                                <w:color w:val="FFFFFF" w:themeColor="background1"/>
                                <w:u w:val="single"/>
                              </w:rPr>
                              <w:t xml:space="preserve"> do 31.12.20</w:t>
                            </w:r>
                            <w:r>
                              <w:rPr>
                                <w:b/>
                                <w:bCs/>
                                <w:color w:val="FFFFFF" w:themeColor="background1"/>
                                <w:u w:val="single"/>
                              </w:rPr>
                              <w:t>20</w:t>
                            </w:r>
                            <w:r w:rsidRPr="00EB0CBE">
                              <w:rPr>
                                <w:bCs/>
                                <w:color w:val="FFFFFF" w:themeColor="background1"/>
                                <w:u w:val="single"/>
                              </w:rPr>
                              <w:t>:</w:t>
                            </w:r>
                          </w:p>
                          <w:p w14:paraId="3B9B304E" w14:textId="77777777" w:rsidR="006C0687" w:rsidRPr="003666CD" w:rsidRDefault="006C0687" w:rsidP="00312C28">
                            <w:pPr>
                              <w:pStyle w:val="Odsekzoznamu"/>
                              <w:numPr>
                                <w:ilvl w:val="0"/>
                                <w:numId w:val="41"/>
                              </w:numPr>
                              <w:tabs>
                                <w:tab w:val="num" w:pos="786"/>
                              </w:tabs>
                              <w:spacing w:line="276" w:lineRule="auto"/>
                              <w:rPr>
                                <w:bCs/>
                                <w:color w:val="FFFFFF" w:themeColor="background1"/>
                              </w:rPr>
                            </w:pPr>
                            <w:r w:rsidRPr="003666CD">
                              <w:rPr>
                                <w:bCs/>
                                <w:color w:val="FFFFFF" w:themeColor="background1"/>
                              </w:rPr>
                              <w:t>Napĺňať opatrenia Implementačného plánu Optimalizačnej analýzy ŽSR</w:t>
                            </w:r>
                          </w:p>
                          <w:p w14:paraId="4B98E3B2" w14:textId="2A4E2C03" w:rsidR="006C0687" w:rsidRDefault="006C0687" w:rsidP="00985E7A">
                            <w:pPr>
                              <w:spacing w:after="0"/>
                              <w:rPr>
                                <w:bCs/>
                                <w:color w:val="FFFFFF" w:themeColor="background1"/>
                                <w:u w:val="single"/>
                              </w:rPr>
                            </w:pPr>
                            <w:r w:rsidRPr="00EB0CBE">
                              <w:rPr>
                                <w:b/>
                                <w:bCs/>
                                <w:color w:val="FFFFFF" w:themeColor="background1"/>
                                <w:u w:val="single"/>
                              </w:rPr>
                              <w:t xml:space="preserve">Hlavné odporúčania IJ </w:t>
                            </w:r>
                            <w:r>
                              <w:rPr>
                                <w:b/>
                                <w:bCs/>
                                <w:color w:val="FFFFFF" w:themeColor="background1"/>
                                <w:u w:val="single"/>
                              </w:rPr>
                              <w:t xml:space="preserve">ÚV SR </w:t>
                            </w:r>
                            <w:r w:rsidRPr="00EB0CBE">
                              <w:rPr>
                                <w:b/>
                                <w:bCs/>
                                <w:color w:val="FFFFFF" w:themeColor="background1"/>
                                <w:u w:val="single"/>
                              </w:rPr>
                              <w:t>pre MDV SR do 31.12.20</w:t>
                            </w:r>
                            <w:r>
                              <w:rPr>
                                <w:b/>
                                <w:bCs/>
                                <w:color w:val="FFFFFF" w:themeColor="background1"/>
                                <w:u w:val="single"/>
                              </w:rPr>
                              <w:t>20</w:t>
                            </w:r>
                            <w:r w:rsidRPr="00EB0CBE">
                              <w:rPr>
                                <w:bCs/>
                                <w:color w:val="FFFFFF" w:themeColor="background1"/>
                                <w:u w:val="single"/>
                              </w:rPr>
                              <w:t>:</w:t>
                            </w:r>
                          </w:p>
                          <w:p w14:paraId="436408D1" w14:textId="77777777" w:rsidR="006C0687" w:rsidRPr="00EB0CBE" w:rsidRDefault="006C0687" w:rsidP="00985E7A">
                            <w:pPr>
                              <w:spacing w:after="0"/>
                              <w:rPr>
                                <w:bCs/>
                                <w:color w:val="FFFFFF" w:themeColor="background1"/>
                                <w:u w:val="single"/>
                              </w:rPr>
                            </w:pPr>
                          </w:p>
                          <w:p w14:paraId="6FB31C01" w14:textId="77777777" w:rsidR="006C0687" w:rsidRPr="001D7303" w:rsidRDefault="006C0687" w:rsidP="00312C28">
                            <w:pPr>
                              <w:numPr>
                                <w:ilvl w:val="1"/>
                                <w:numId w:val="33"/>
                              </w:numPr>
                              <w:tabs>
                                <w:tab w:val="num" w:pos="720"/>
                              </w:tabs>
                              <w:spacing w:line="276" w:lineRule="auto"/>
                              <w:ind w:left="720"/>
                              <w:rPr>
                                <w:bCs/>
                                <w:color w:val="FFFFFF" w:themeColor="background1"/>
                              </w:rPr>
                            </w:pPr>
                            <w:r>
                              <w:rPr>
                                <w:bCs/>
                                <w:color w:val="FFFFFF" w:themeColor="background1"/>
                              </w:rPr>
                              <w:t xml:space="preserve">Vypracovať a zverejniť </w:t>
                            </w:r>
                            <w:r w:rsidRPr="00EB0CBE">
                              <w:rPr>
                                <w:bCs/>
                                <w:color w:val="FFFFFF" w:themeColor="background1"/>
                              </w:rPr>
                              <w:t>investičný plán MDV SR spolu s finančným krytím a harmonogramom výstavby</w:t>
                            </w:r>
                            <w:r>
                              <w:rPr>
                                <w:bCs/>
                                <w:color w:val="FFFFFF" w:themeColor="background1"/>
                              </w:rPr>
                              <w:t xml:space="preserve"> prioritne pre projekty cestnej infraštruktúry</w:t>
                            </w:r>
                          </w:p>
                          <w:p w14:paraId="454649A6" w14:textId="77777777" w:rsidR="006C0687" w:rsidRDefault="006C0687" w:rsidP="00312C28">
                            <w:pPr>
                              <w:numPr>
                                <w:ilvl w:val="1"/>
                                <w:numId w:val="33"/>
                              </w:numPr>
                              <w:tabs>
                                <w:tab w:val="clear" w:pos="786"/>
                                <w:tab w:val="num" w:pos="720"/>
                              </w:tabs>
                              <w:spacing w:line="276" w:lineRule="auto"/>
                              <w:ind w:left="720"/>
                              <w:rPr>
                                <w:bCs/>
                                <w:color w:val="FFFFFF" w:themeColor="background1"/>
                              </w:rPr>
                            </w:pPr>
                            <w:r>
                              <w:rPr>
                                <w:bCs/>
                                <w:color w:val="FFFFFF" w:themeColor="background1"/>
                              </w:rPr>
                              <w:t xml:space="preserve">Vypracovať metodiku </w:t>
                            </w:r>
                            <w:r w:rsidRPr="00EB0CBE">
                              <w:rPr>
                                <w:bCs/>
                                <w:color w:val="FFFFFF" w:themeColor="background1"/>
                              </w:rPr>
                              <w:t xml:space="preserve">pre prioritizáciu </w:t>
                            </w:r>
                            <w:r>
                              <w:rPr>
                                <w:bCs/>
                                <w:color w:val="FFFFFF" w:themeColor="background1"/>
                              </w:rPr>
                              <w:t xml:space="preserve">železničných </w:t>
                            </w:r>
                            <w:r w:rsidRPr="00EB0CBE">
                              <w:rPr>
                                <w:bCs/>
                                <w:color w:val="FFFFFF" w:themeColor="background1"/>
                              </w:rPr>
                              <w:t>investičných projektov</w:t>
                            </w:r>
                          </w:p>
                          <w:p w14:paraId="348445BD" w14:textId="77777777" w:rsidR="006C0687" w:rsidRDefault="006C0687" w:rsidP="00312C28">
                            <w:pPr>
                              <w:numPr>
                                <w:ilvl w:val="1"/>
                                <w:numId w:val="33"/>
                              </w:numPr>
                              <w:tabs>
                                <w:tab w:val="clear" w:pos="786"/>
                                <w:tab w:val="num" w:pos="720"/>
                              </w:tabs>
                              <w:spacing w:line="276" w:lineRule="auto"/>
                              <w:ind w:left="720"/>
                              <w:rPr>
                                <w:bCs/>
                                <w:color w:val="FFFFFF" w:themeColor="background1"/>
                              </w:rPr>
                            </w:pPr>
                            <w:r>
                              <w:rPr>
                                <w:bCs/>
                                <w:color w:val="FFFFFF" w:themeColor="background1"/>
                              </w:rPr>
                              <w:t>Vypracovať a zverejniť investičný plán MDV SR spolu s finančným krytím a harmonogramom pre projekty železničnej infraštruktúry</w:t>
                            </w:r>
                          </w:p>
                          <w:p w14:paraId="517434BB" w14:textId="77777777" w:rsidR="006C0687" w:rsidRPr="00EB0CBE" w:rsidRDefault="006C0687" w:rsidP="00312C28">
                            <w:pPr>
                              <w:numPr>
                                <w:ilvl w:val="1"/>
                                <w:numId w:val="33"/>
                              </w:numPr>
                              <w:tabs>
                                <w:tab w:val="num" w:pos="720"/>
                              </w:tabs>
                              <w:spacing w:line="276" w:lineRule="auto"/>
                              <w:ind w:left="720"/>
                              <w:rPr>
                                <w:bCs/>
                                <w:color w:val="FFFFFF" w:themeColor="background1"/>
                              </w:rPr>
                            </w:pPr>
                            <w:r w:rsidRPr="00EB0CBE">
                              <w:rPr>
                                <w:bCs/>
                                <w:color w:val="FFFFFF" w:themeColor="background1"/>
                              </w:rPr>
                              <w:t xml:space="preserve">Poskytovať údaje týkajúce sa Železničnej spoločnosti Slovensko, a.s. (ZSSK), ktoré sú nevyhnutné na dopracovanie Revízie výdavkov na dopravu </w:t>
                            </w:r>
                          </w:p>
                          <w:p w14:paraId="7217D84D" w14:textId="77777777" w:rsidR="006C0687" w:rsidRDefault="006C0687" w:rsidP="00985E7A">
                            <w:pPr>
                              <w:spacing w:after="0" w:line="276" w:lineRule="auto"/>
                              <w:rPr>
                                <w:b/>
                                <w:bCs/>
                                <w:color w:val="FFFFFF" w:themeColor="background1"/>
                                <w:u w:val="single"/>
                              </w:rPr>
                            </w:pPr>
                          </w:p>
                          <w:p w14:paraId="17D1F12B" w14:textId="77777777" w:rsidR="006C0687" w:rsidRPr="00E514C5" w:rsidRDefault="006C0687" w:rsidP="00985E7A">
                            <w:pPr>
                              <w:spacing w:after="0" w:line="276" w:lineRule="auto"/>
                              <w:rPr>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685EECC" id="Textové pole 6" o:spid="_x0000_s1028" type="#_x0000_t202" style="position:absolute;left:0;text-align:left;margin-left:-5.35pt;margin-top:20.35pt;width:450.75pt;height:215.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" fillcolor="#0070c0" strokecolor="#4472c4 [3208]" strokeweight="1pt">
                <v:textbox>
                  <w:txbxContent>
                    <w:p w14:paraId="6029B896" w14:textId="6EF4CF10" w:rsidR="006C0687" w:rsidRDefault="006C0687" w:rsidP="00985E7A">
                      <w:pPr>
                        <w:tabs>
                          <w:tab w:val="num" w:pos="786"/>
                        </w:tabs>
                        <w:spacing w:line="276" w:lineRule="auto"/>
                        <w:rPr>
                          <w:bCs/>
                          <w:color w:val="FFFFFF" w:themeColor="background1"/>
                          <w:u w:val="single"/>
                        </w:rPr>
                      </w:pPr>
                      <w:r w:rsidRPr="00EB0CBE">
                        <w:rPr>
                          <w:b/>
                          <w:bCs/>
                          <w:color w:val="FFFFFF" w:themeColor="background1"/>
                          <w:u w:val="single"/>
                        </w:rPr>
                        <w:t xml:space="preserve">Hlavné odporúčania IJ </w:t>
                      </w:r>
                      <w:r>
                        <w:rPr>
                          <w:b/>
                          <w:bCs/>
                          <w:color w:val="FFFFFF" w:themeColor="background1"/>
                          <w:u w:val="single"/>
                        </w:rPr>
                        <w:t xml:space="preserve">ÚV SR </w:t>
                      </w:r>
                      <w:r w:rsidRPr="00EB0CBE">
                        <w:rPr>
                          <w:b/>
                          <w:bCs/>
                          <w:color w:val="FFFFFF" w:themeColor="background1"/>
                          <w:u w:val="single"/>
                        </w:rPr>
                        <w:t xml:space="preserve">pre </w:t>
                      </w:r>
                      <w:r>
                        <w:rPr>
                          <w:b/>
                          <w:bCs/>
                          <w:color w:val="FFFFFF" w:themeColor="background1"/>
                          <w:u w:val="single"/>
                        </w:rPr>
                        <w:t>ŽSR</w:t>
                      </w:r>
                      <w:r w:rsidRPr="00EB0CBE">
                        <w:rPr>
                          <w:b/>
                          <w:bCs/>
                          <w:color w:val="FFFFFF" w:themeColor="background1"/>
                          <w:u w:val="single"/>
                        </w:rPr>
                        <w:t xml:space="preserve"> do 31.12.20</w:t>
                      </w:r>
                      <w:r>
                        <w:rPr>
                          <w:b/>
                          <w:bCs/>
                          <w:color w:val="FFFFFF" w:themeColor="background1"/>
                          <w:u w:val="single"/>
                        </w:rPr>
                        <w:t>20</w:t>
                      </w:r>
                      <w:r w:rsidRPr="00EB0CBE">
                        <w:rPr>
                          <w:bCs/>
                          <w:color w:val="FFFFFF" w:themeColor="background1"/>
                          <w:u w:val="single"/>
                        </w:rPr>
                        <w:t>:</w:t>
                      </w:r>
                    </w:p>
                    <w:p w14:paraId="3B9B304E" w14:textId="77777777" w:rsidR="006C0687" w:rsidRPr="003666CD" w:rsidRDefault="006C0687" w:rsidP="00312C28">
                      <w:pPr>
                        <w:pStyle w:val="Odsekzoznamu"/>
                        <w:numPr>
                          <w:ilvl w:val="0"/>
                          <w:numId w:val="41"/>
                        </w:numPr>
                        <w:tabs>
                          <w:tab w:val="num" w:pos="786"/>
                        </w:tabs>
                        <w:spacing w:line="276" w:lineRule="auto"/>
                        <w:rPr>
                          <w:bCs/>
                          <w:color w:val="FFFFFF" w:themeColor="background1"/>
                        </w:rPr>
                      </w:pPr>
                      <w:r w:rsidRPr="003666CD">
                        <w:rPr>
                          <w:bCs/>
                          <w:color w:val="FFFFFF" w:themeColor="background1"/>
                        </w:rPr>
                        <w:t>Napĺňať opatrenia Implementačného plánu Optimalizačnej analýzy ŽSR</w:t>
                      </w:r>
                    </w:p>
                    <w:p w14:paraId="4B98E3B2" w14:textId="2A4E2C03" w:rsidR="006C0687" w:rsidRDefault="006C0687" w:rsidP="00985E7A">
                      <w:pPr>
                        <w:spacing w:after="0"/>
                        <w:rPr>
                          <w:bCs/>
                          <w:color w:val="FFFFFF" w:themeColor="background1"/>
                          <w:u w:val="single"/>
                        </w:rPr>
                      </w:pPr>
                      <w:r w:rsidRPr="00EB0CBE">
                        <w:rPr>
                          <w:b/>
                          <w:bCs/>
                          <w:color w:val="FFFFFF" w:themeColor="background1"/>
                          <w:u w:val="single"/>
                        </w:rPr>
                        <w:t xml:space="preserve">Hlavné odporúčania IJ </w:t>
                      </w:r>
                      <w:r>
                        <w:rPr>
                          <w:b/>
                          <w:bCs/>
                          <w:color w:val="FFFFFF" w:themeColor="background1"/>
                          <w:u w:val="single"/>
                        </w:rPr>
                        <w:t xml:space="preserve">ÚV SR </w:t>
                      </w:r>
                      <w:r w:rsidRPr="00EB0CBE">
                        <w:rPr>
                          <w:b/>
                          <w:bCs/>
                          <w:color w:val="FFFFFF" w:themeColor="background1"/>
                          <w:u w:val="single"/>
                        </w:rPr>
                        <w:t>pre MDV SR do 31.12.20</w:t>
                      </w:r>
                      <w:r>
                        <w:rPr>
                          <w:b/>
                          <w:bCs/>
                          <w:color w:val="FFFFFF" w:themeColor="background1"/>
                          <w:u w:val="single"/>
                        </w:rPr>
                        <w:t>20</w:t>
                      </w:r>
                      <w:r w:rsidRPr="00EB0CBE">
                        <w:rPr>
                          <w:bCs/>
                          <w:color w:val="FFFFFF" w:themeColor="background1"/>
                          <w:u w:val="single"/>
                        </w:rPr>
                        <w:t>:</w:t>
                      </w:r>
                    </w:p>
                    <w:p w14:paraId="436408D1" w14:textId="77777777" w:rsidR="006C0687" w:rsidRPr="00EB0CBE" w:rsidRDefault="006C0687" w:rsidP="00985E7A">
                      <w:pPr>
                        <w:spacing w:after="0"/>
                        <w:rPr>
                          <w:bCs/>
                          <w:color w:val="FFFFFF" w:themeColor="background1"/>
                          <w:u w:val="single"/>
                        </w:rPr>
                      </w:pPr>
                    </w:p>
                    <w:p w14:paraId="6FB31C01" w14:textId="77777777" w:rsidR="006C0687" w:rsidRPr="001D7303" w:rsidRDefault="006C0687" w:rsidP="00312C28">
                      <w:pPr>
                        <w:numPr>
                          <w:ilvl w:val="1"/>
                          <w:numId w:val="33"/>
                        </w:numPr>
                        <w:tabs>
                          <w:tab w:val="num" w:pos="720"/>
                        </w:tabs>
                        <w:spacing w:line="276" w:lineRule="auto"/>
                        <w:ind w:left="720"/>
                        <w:rPr>
                          <w:bCs/>
                          <w:color w:val="FFFFFF" w:themeColor="background1"/>
                        </w:rPr>
                      </w:pPr>
                      <w:r>
                        <w:rPr>
                          <w:bCs/>
                          <w:color w:val="FFFFFF" w:themeColor="background1"/>
                        </w:rPr>
                        <w:t xml:space="preserve">Vypracovať a zverejniť </w:t>
                      </w:r>
                      <w:r w:rsidRPr="00EB0CBE">
                        <w:rPr>
                          <w:bCs/>
                          <w:color w:val="FFFFFF" w:themeColor="background1"/>
                        </w:rPr>
                        <w:t>investičný plán MDV SR spolu s finančným krytím a harmonogramom výstavby</w:t>
                      </w:r>
                      <w:r>
                        <w:rPr>
                          <w:bCs/>
                          <w:color w:val="FFFFFF" w:themeColor="background1"/>
                        </w:rPr>
                        <w:t xml:space="preserve"> prioritne pre projekty cestnej infraštruktúry</w:t>
                      </w:r>
                    </w:p>
                    <w:p w14:paraId="454649A6" w14:textId="77777777" w:rsidR="006C0687" w:rsidRDefault="006C0687" w:rsidP="00312C28">
                      <w:pPr>
                        <w:numPr>
                          <w:ilvl w:val="1"/>
                          <w:numId w:val="33"/>
                        </w:numPr>
                        <w:tabs>
                          <w:tab w:val="clear" w:pos="786"/>
                          <w:tab w:val="num" w:pos="720"/>
                        </w:tabs>
                        <w:spacing w:line="276" w:lineRule="auto"/>
                        <w:ind w:left="720"/>
                        <w:rPr>
                          <w:bCs/>
                          <w:color w:val="FFFFFF" w:themeColor="background1"/>
                        </w:rPr>
                      </w:pPr>
                      <w:r>
                        <w:rPr>
                          <w:bCs/>
                          <w:color w:val="FFFFFF" w:themeColor="background1"/>
                        </w:rPr>
                        <w:t xml:space="preserve">Vypracovať metodiku </w:t>
                      </w:r>
                      <w:r w:rsidRPr="00EB0CBE">
                        <w:rPr>
                          <w:bCs/>
                          <w:color w:val="FFFFFF" w:themeColor="background1"/>
                        </w:rPr>
                        <w:t xml:space="preserve">pre prioritizáciu </w:t>
                      </w:r>
                      <w:r>
                        <w:rPr>
                          <w:bCs/>
                          <w:color w:val="FFFFFF" w:themeColor="background1"/>
                        </w:rPr>
                        <w:t xml:space="preserve">železničných </w:t>
                      </w:r>
                      <w:r w:rsidRPr="00EB0CBE">
                        <w:rPr>
                          <w:bCs/>
                          <w:color w:val="FFFFFF" w:themeColor="background1"/>
                        </w:rPr>
                        <w:t>investičných projektov</w:t>
                      </w:r>
                    </w:p>
                    <w:p w14:paraId="348445BD" w14:textId="77777777" w:rsidR="006C0687" w:rsidRDefault="006C0687" w:rsidP="00312C28">
                      <w:pPr>
                        <w:numPr>
                          <w:ilvl w:val="1"/>
                          <w:numId w:val="33"/>
                        </w:numPr>
                        <w:tabs>
                          <w:tab w:val="clear" w:pos="786"/>
                          <w:tab w:val="num" w:pos="720"/>
                        </w:tabs>
                        <w:spacing w:line="276" w:lineRule="auto"/>
                        <w:ind w:left="720"/>
                        <w:rPr>
                          <w:bCs/>
                          <w:color w:val="FFFFFF" w:themeColor="background1"/>
                        </w:rPr>
                      </w:pPr>
                      <w:r>
                        <w:rPr>
                          <w:bCs/>
                          <w:color w:val="FFFFFF" w:themeColor="background1"/>
                        </w:rPr>
                        <w:t>Vypracovať a zverejniť investičný plán MDV SR spolu s finančným krytím a harmonogramom pre projekty železničnej infraštruktúry</w:t>
                      </w:r>
                    </w:p>
                    <w:p w14:paraId="517434BB" w14:textId="77777777" w:rsidR="006C0687" w:rsidRPr="00EB0CBE" w:rsidRDefault="006C0687" w:rsidP="00312C28">
                      <w:pPr>
                        <w:numPr>
                          <w:ilvl w:val="1"/>
                          <w:numId w:val="33"/>
                        </w:numPr>
                        <w:tabs>
                          <w:tab w:val="num" w:pos="720"/>
                        </w:tabs>
                        <w:spacing w:line="276" w:lineRule="auto"/>
                        <w:ind w:left="720"/>
                        <w:rPr>
                          <w:bCs/>
                          <w:color w:val="FFFFFF" w:themeColor="background1"/>
                        </w:rPr>
                      </w:pPr>
                      <w:r w:rsidRPr="00EB0CBE">
                        <w:rPr>
                          <w:bCs/>
                          <w:color w:val="FFFFFF" w:themeColor="background1"/>
                        </w:rPr>
                        <w:t xml:space="preserve">Poskytovať údaje týkajúce sa Železničnej spoločnosti Slovensko, a.s. (ZSSK), ktoré sú nevyhnutné na dopracovanie Revízie výdavkov na dopravu </w:t>
                      </w:r>
                    </w:p>
                    <w:p w14:paraId="7217D84D" w14:textId="77777777" w:rsidR="006C0687" w:rsidRDefault="006C0687" w:rsidP="00985E7A">
                      <w:pPr>
                        <w:spacing w:after="0" w:line="276" w:lineRule="auto"/>
                        <w:rPr>
                          <w:b/>
                          <w:bCs/>
                          <w:color w:val="FFFFFF" w:themeColor="background1"/>
                          <w:u w:val="single"/>
                        </w:rPr>
                      </w:pPr>
                    </w:p>
                    <w:p w14:paraId="17D1F12B" w14:textId="77777777" w:rsidR="006C0687" w:rsidRPr="00E514C5" w:rsidRDefault="006C0687" w:rsidP="00985E7A">
                      <w:pPr>
                        <w:spacing w:after="0" w:line="276" w:lineRule="auto"/>
                        <w:rPr>
                          <w:bCs/>
                          <w:color w:val="FFFFFF" w:themeColor="background1"/>
                        </w:rPr>
                      </w:pPr>
                    </w:p>
                  </w:txbxContent>
                </v:textbox>
                <w10:wrap type="through" anchorx="margin"/>
              </v:shape>
            </w:pict>
          </mc:Fallback>
        </mc:AlternateContent>
      </w:r>
    </w:p>
    <w:p w14:paraId="6FBDCA10" w14:textId="77777777" w:rsidR="00CB16AA" w:rsidRPr="00666914" w:rsidRDefault="00CB16AA" w:rsidP="00985E7A">
      <w:pPr>
        <w:spacing w:after="0"/>
        <w:rPr>
          <w:b/>
          <w:sz w:val="20"/>
          <w:szCs w:val="20"/>
        </w:rPr>
      </w:pPr>
      <w:bookmarkStart w:id="182" w:name="_Toc21522780"/>
    </w:p>
    <w:p w14:paraId="5EFDCC49" w14:textId="77777777" w:rsidR="00CB16AA" w:rsidRPr="00666914" w:rsidRDefault="00CB16AA" w:rsidP="00985E7A">
      <w:pPr>
        <w:spacing w:after="0"/>
        <w:rPr>
          <w:b/>
          <w:sz w:val="20"/>
          <w:szCs w:val="20"/>
        </w:rPr>
      </w:pPr>
    </w:p>
    <w:p w14:paraId="4992EBC1" w14:textId="1DA7F031" w:rsidR="00CB16AA" w:rsidRPr="00666914" w:rsidRDefault="00CB16AA">
      <w:pPr>
        <w:rPr>
          <w:b/>
          <w:sz w:val="20"/>
          <w:szCs w:val="20"/>
        </w:rPr>
      </w:pPr>
      <w:r w:rsidRPr="00666914">
        <w:rPr>
          <w:b/>
          <w:sz w:val="20"/>
          <w:szCs w:val="20"/>
        </w:rPr>
        <w:br w:type="page"/>
      </w:r>
    </w:p>
    <w:p w14:paraId="246B1FC9" w14:textId="0F5F8871" w:rsidR="00CB16AA" w:rsidRPr="00666914" w:rsidRDefault="00CB16AA" w:rsidP="00985E7A">
      <w:pPr>
        <w:spacing w:after="0"/>
        <w:rPr>
          <w:b/>
          <w:sz w:val="20"/>
          <w:szCs w:val="20"/>
        </w:rPr>
      </w:pPr>
      <w:bookmarkStart w:id="183" w:name="_Toc38447683"/>
      <w:r w:rsidRPr="00666914">
        <w:rPr>
          <w:b/>
          <w:sz w:val="20"/>
          <w:szCs w:val="20"/>
        </w:rPr>
        <w:lastRenderedPageBreak/>
        <w:t xml:space="preserve">Tabuľka </w:t>
      </w:r>
      <w:r w:rsidRPr="00666914">
        <w:rPr>
          <w:b/>
          <w:noProof/>
          <w:sz w:val="20"/>
          <w:szCs w:val="20"/>
        </w:rPr>
        <w:fldChar w:fldCharType="begin"/>
      </w:r>
      <w:r w:rsidRPr="00666914">
        <w:rPr>
          <w:b/>
          <w:noProof/>
          <w:sz w:val="20"/>
          <w:szCs w:val="20"/>
        </w:rPr>
        <w:instrText xml:space="preserve"> SEQ Tabuľka \* ARABIC \* MERGEFORMAT </w:instrText>
      </w:r>
      <w:r w:rsidRPr="00666914">
        <w:rPr>
          <w:b/>
          <w:noProof/>
          <w:sz w:val="20"/>
          <w:szCs w:val="20"/>
        </w:rPr>
        <w:fldChar w:fldCharType="separate"/>
      </w:r>
      <w:r w:rsidR="005A7304">
        <w:rPr>
          <w:b/>
          <w:noProof/>
          <w:sz w:val="20"/>
          <w:szCs w:val="20"/>
        </w:rPr>
        <w:t>22</w:t>
      </w:r>
      <w:r w:rsidRPr="00666914">
        <w:rPr>
          <w:b/>
          <w:noProof/>
          <w:sz w:val="20"/>
          <w:szCs w:val="20"/>
        </w:rPr>
        <w:fldChar w:fldCharType="end"/>
      </w:r>
      <w:r w:rsidRPr="00666914">
        <w:rPr>
          <w:b/>
          <w:sz w:val="20"/>
          <w:szCs w:val="20"/>
        </w:rPr>
        <w:t>: Plnenie opatrení Revízie výdavkov na dopravu v roku 2019</w:t>
      </w:r>
      <w:bookmarkEnd w:id="182"/>
      <w:bookmarkEnd w:id="183"/>
    </w:p>
    <w:tbl>
      <w:tblPr>
        <w:tblW w:w="5165" w:type="pct"/>
        <w:tblInd w:w="-152" w:type="dxa"/>
        <w:tblLayout w:type="fixed"/>
        <w:tblCellMar>
          <w:left w:w="70" w:type="dxa"/>
          <w:right w:w="70" w:type="dxa"/>
        </w:tblCellMar>
        <w:tblLook w:val="04A0" w:firstRow="1" w:lastRow="0" w:firstColumn="1" w:lastColumn="0" w:noHBand="0" w:noVBand="1"/>
      </w:tblPr>
      <w:tblGrid>
        <w:gridCol w:w="391"/>
        <w:gridCol w:w="3493"/>
        <w:gridCol w:w="1444"/>
        <w:gridCol w:w="1010"/>
        <w:gridCol w:w="1016"/>
        <w:gridCol w:w="539"/>
        <w:gridCol w:w="534"/>
        <w:gridCol w:w="534"/>
        <w:gridCol w:w="536"/>
      </w:tblGrid>
      <w:tr w:rsidR="00CB16AA" w:rsidRPr="00666914" w14:paraId="4CB2117E" w14:textId="77777777" w:rsidTr="00254A5B">
        <w:trPr>
          <w:trHeight w:val="316"/>
          <w:tblHeader/>
        </w:trPr>
        <w:tc>
          <w:tcPr>
            <w:tcW w:w="206"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CAF1F3D" w14:textId="77777777" w:rsidR="00CB16AA" w:rsidRPr="00666914" w:rsidRDefault="00CB16AA" w:rsidP="00985E7A">
            <w:pPr>
              <w:spacing w:after="0"/>
              <w:rPr>
                <w:rFonts w:eastAsia="Times New Roman"/>
                <w:b/>
                <w:bCs/>
                <w:color w:val="000000"/>
                <w:sz w:val="20"/>
                <w:szCs w:val="20"/>
                <w:lang w:eastAsia="sk-SK"/>
              </w:rPr>
            </w:pPr>
          </w:p>
        </w:tc>
        <w:tc>
          <w:tcPr>
            <w:tcW w:w="1839" w:type="pct"/>
            <w:tcBorders>
              <w:top w:val="single" w:sz="4" w:space="0" w:color="auto"/>
              <w:left w:val="nil"/>
              <w:bottom w:val="single" w:sz="8" w:space="0" w:color="auto"/>
              <w:right w:val="single" w:sz="4" w:space="0" w:color="auto"/>
            </w:tcBorders>
            <w:shd w:val="clear" w:color="auto" w:fill="auto"/>
            <w:noWrap/>
            <w:vAlign w:val="center"/>
            <w:hideMark/>
          </w:tcPr>
          <w:p w14:paraId="254E2A00" w14:textId="77777777" w:rsidR="00CB16AA" w:rsidRPr="00666914" w:rsidRDefault="00CB16AA" w:rsidP="00985E7A">
            <w:pPr>
              <w:spacing w:after="0"/>
              <w:rPr>
                <w:rFonts w:eastAsia="Times New Roman"/>
                <w:b/>
                <w:bCs/>
                <w:color w:val="000000"/>
                <w:sz w:val="20"/>
                <w:szCs w:val="20"/>
                <w:lang w:eastAsia="sk-SK"/>
              </w:rPr>
            </w:pPr>
            <w:r w:rsidRPr="00666914">
              <w:rPr>
                <w:rFonts w:eastAsia="Times New Roman"/>
                <w:b/>
                <w:bCs/>
                <w:color w:val="000000"/>
                <w:sz w:val="20"/>
                <w:szCs w:val="20"/>
                <w:lang w:eastAsia="sk-SK"/>
              </w:rPr>
              <w:t>DOPRAVA</w:t>
            </w:r>
          </w:p>
        </w:tc>
        <w:tc>
          <w:tcPr>
            <w:tcW w:w="760" w:type="pct"/>
            <w:tcBorders>
              <w:top w:val="single" w:sz="4" w:space="0" w:color="auto"/>
              <w:left w:val="nil"/>
              <w:bottom w:val="single" w:sz="8" w:space="0" w:color="auto"/>
              <w:right w:val="single" w:sz="4" w:space="0" w:color="auto"/>
            </w:tcBorders>
            <w:shd w:val="clear" w:color="auto" w:fill="auto"/>
            <w:noWrap/>
            <w:vAlign w:val="center"/>
            <w:hideMark/>
          </w:tcPr>
          <w:p w14:paraId="42ADF660" w14:textId="77777777" w:rsidR="00CB16AA" w:rsidRPr="00666914" w:rsidRDefault="00CB16AA" w:rsidP="00254A5B">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Zodpovednosť</w:t>
            </w:r>
          </w:p>
        </w:tc>
        <w:tc>
          <w:tcPr>
            <w:tcW w:w="532" w:type="pct"/>
            <w:tcBorders>
              <w:top w:val="single" w:sz="4" w:space="0" w:color="auto"/>
              <w:left w:val="nil"/>
              <w:bottom w:val="single" w:sz="8" w:space="0" w:color="auto"/>
              <w:right w:val="single" w:sz="4" w:space="0" w:color="auto"/>
            </w:tcBorders>
            <w:shd w:val="clear" w:color="auto" w:fill="auto"/>
            <w:noWrap/>
            <w:vAlign w:val="center"/>
            <w:hideMark/>
          </w:tcPr>
          <w:p w14:paraId="26D19971" w14:textId="77777777" w:rsidR="00CB16AA" w:rsidRPr="00666914" w:rsidRDefault="00CB16AA" w:rsidP="00254A5B">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Pôvodný termín</w:t>
            </w:r>
          </w:p>
        </w:tc>
        <w:tc>
          <w:tcPr>
            <w:tcW w:w="535" w:type="pct"/>
            <w:tcBorders>
              <w:top w:val="single" w:sz="4" w:space="0" w:color="auto"/>
              <w:left w:val="nil"/>
              <w:bottom w:val="single" w:sz="8" w:space="0" w:color="auto"/>
              <w:right w:val="single" w:sz="4" w:space="0" w:color="auto"/>
            </w:tcBorders>
            <w:shd w:val="clear" w:color="auto" w:fill="auto"/>
            <w:noWrap/>
            <w:vAlign w:val="center"/>
            <w:hideMark/>
          </w:tcPr>
          <w:p w14:paraId="51F8525A" w14:textId="77777777" w:rsidR="00CB16AA" w:rsidRPr="00666914" w:rsidRDefault="00CB16AA" w:rsidP="00254A5B">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Nový termín</w:t>
            </w:r>
            <w:r w:rsidRPr="00666914">
              <w:rPr>
                <w:rStyle w:val="Odkaznapoznmkupodiarou"/>
                <w:rFonts w:eastAsia="Times New Roman"/>
                <w:color w:val="000000"/>
                <w:sz w:val="20"/>
                <w:szCs w:val="20"/>
                <w:lang w:eastAsia="sk-SK"/>
              </w:rPr>
              <w:footnoteReference w:id="59"/>
            </w:r>
          </w:p>
        </w:tc>
        <w:tc>
          <w:tcPr>
            <w:tcW w:w="284" w:type="pct"/>
            <w:tcBorders>
              <w:top w:val="single" w:sz="4" w:space="0" w:color="auto"/>
              <w:left w:val="nil"/>
              <w:bottom w:val="single" w:sz="8" w:space="0" w:color="auto"/>
              <w:right w:val="single" w:sz="4" w:space="0" w:color="auto"/>
            </w:tcBorders>
            <w:shd w:val="clear" w:color="auto" w:fill="auto"/>
            <w:noWrap/>
            <w:vAlign w:val="center"/>
            <w:hideMark/>
          </w:tcPr>
          <w:p w14:paraId="3E7C196B" w14:textId="77777777" w:rsidR="00CB16AA" w:rsidRPr="00666914" w:rsidRDefault="00CB16AA" w:rsidP="00254A5B">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1Q 2019</w:t>
            </w:r>
          </w:p>
        </w:tc>
        <w:tc>
          <w:tcPr>
            <w:tcW w:w="281" w:type="pct"/>
            <w:tcBorders>
              <w:top w:val="single" w:sz="4" w:space="0" w:color="auto"/>
              <w:left w:val="nil"/>
              <w:bottom w:val="single" w:sz="8" w:space="0" w:color="auto"/>
              <w:right w:val="single" w:sz="4" w:space="0" w:color="auto"/>
            </w:tcBorders>
            <w:shd w:val="clear" w:color="auto" w:fill="auto"/>
            <w:noWrap/>
            <w:vAlign w:val="center"/>
            <w:hideMark/>
          </w:tcPr>
          <w:p w14:paraId="39E7E5BA" w14:textId="77777777" w:rsidR="00CB16AA" w:rsidRPr="00666914" w:rsidRDefault="00CB16AA" w:rsidP="00254A5B">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2Q 2019</w:t>
            </w:r>
          </w:p>
        </w:tc>
        <w:tc>
          <w:tcPr>
            <w:tcW w:w="281" w:type="pct"/>
            <w:tcBorders>
              <w:top w:val="single" w:sz="4" w:space="0" w:color="auto"/>
              <w:left w:val="nil"/>
              <w:bottom w:val="single" w:sz="8" w:space="0" w:color="auto"/>
              <w:right w:val="single" w:sz="4" w:space="0" w:color="auto"/>
            </w:tcBorders>
            <w:shd w:val="clear" w:color="auto" w:fill="auto"/>
            <w:noWrap/>
            <w:vAlign w:val="center"/>
            <w:hideMark/>
          </w:tcPr>
          <w:p w14:paraId="1064F1D5" w14:textId="77777777" w:rsidR="00CB16AA" w:rsidRPr="00666914" w:rsidRDefault="00CB16AA" w:rsidP="00254A5B">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3Q 2019</w:t>
            </w:r>
          </w:p>
        </w:tc>
        <w:tc>
          <w:tcPr>
            <w:tcW w:w="282" w:type="pct"/>
            <w:tcBorders>
              <w:top w:val="single" w:sz="4" w:space="0" w:color="auto"/>
              <w:left w:val="nil"/>
              <w:bottom w:val="single" w:sz="8" w:space="0" w:color="auto"/>
              <w:right w:val="single" w:sz="8" w:space="0" w:color="auto"/>
            </w:tcBorders>
            <w:shd w:val="clear" w:color="auto" w:fill="auto"/>
            <w:noWrap/>
            <w:vAlign w:val="center"/>
            <w:hideMark/>
          </w:tcPr>
          <w:p w14:paraId="0B9E2304" w14:textId="77777777" w:rsidR="00CB16AA" w:rsidRPr="00666914" w:rsidRDefault="00CB16AA" w:rsidP="00254A5B">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4Q 2019</w:t>
            </w:r>
          </w:p>
        </w:tc>
      </w:tr>
      <w:tr w:rsidR="00CB16AA" w:rsidRPr="00666914" w14:paraId="06DB36F4" w14:textId="77777777" w:rsidTr="00985E7A">
        <w:trPr>
          <w:trHeight w:val="302"/>
        </w:trPr>
        <w:tc>
          <w:tcPr>
            <w:tcW w:w="5000" w:type="pct"/>
            <w:gridSpan w:val="9"/>
            <w:tcBorders>
              <w:top w:val="nil"/>
              <w:left w:val="single" w:sz="8" w:space="0" w:color="auto"/>
              <w:bottom w:val="single" w:sz="8" w:space="0" w:color="auto"/>
              <w:right w:val="single" w:sz="8" w:space="0" w:color="auto"/>
            </w:tcBorders>
            <w:shd w:val="clear" w:color="auto" w:fill="auto"/>
            <w:noWrap/>
            <w:vAlign w:val="center"/>
            <w:hideMark/>
          </w:tcPr>
          <w:p w14:paraId="6655DBB9" w14:textId="77777777" w:rsidR="00CB16AA" w:rsidRPr="00666914" w:rsidRDefault="00CB16AA" w:rsidP="00254A5B">
            <w:pPr>
              <w:spacing w:after="0"/>
              <w:jc w:val="center"/>
              <w:rPr>
                <w:rFonts w:eastAsia="Times New Roman"/>
                <w:b/>
                <w:bCs/>
                <w:color w:val="000000"/>
                <w:sz w:val="20"/>
                <w:szCs w:val="20"/>
                <w:lang w:eastAsia="sk-SK"/>
              </w:rPr>
            </w:pPr>
            <w:r w:rsidRPr="00666914">
              <w:rPr>
                <w:rFonts w:eastAsia="Times New Roman" w:cs="Calibri"/>
                <w:b/>
                <w:bCs/>
                <w:color w:val="000000"/>
                <w:sz w:val="20"/>
                <w:szCs w:val="20"/>
                <w:lang w:eastAsia="sk-SK"/>
              </w:rPr>
              <w:t>PLÁNOVANIE A PRÍPRAVA INVESTIČNÝCH PROJEKTOV</w:t>
            </w:r>
          </w:p>
        </w:tc>
      </w:tr>
      <w:tr w:rsidR="00CB16AA" w:rsidRPr="00666914" w14:paraId="38612279" w14:textId="77777777" w:rsidTr="00254A5B">
        <w:trPr>
          <w:trHeight w:val="302"/>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22D7F3F4" w14:textId="77777777" w:rsidR="00CB16AA" w:rsidRPr="00666914" w:rsidRDefault="00CB16AA" w:rsidP="00985E7A">
            <w:pPr>
              <w:spacing w:after="0"/>
              <w:rPr>
                <w:rFonts w:eastAsia="Times New Roman"/>
                <w:bCs/>
                <w:color w:val="000000"/>
                <w:sz w:val="20"/>
                <w:szCs w:val="20"/>
                <w:lang w:eastAsia="sk-SK"/>
              </w:rPr>
            </w:pPr>
            <w:r w:rsidRPr="00666914">
              <w:rPr>
                <w:rFonts w:eastAsia="Times New Roman"/>
                <w:bCs/>
                <w:color w:val="000000"/>
                <w:sz w:val="20"/>
                <w:szCs w:val="20"/>
                <w:lang w:eastAsia="sk-SK"/>
              </w:rPr>
              <w:t>1</w:t>
            </w:r>
          </w:p>
        </w:tc>
        <w:tc>
          <w:tcPr>
            <w:tcW w:w="1839" w:type="pct"/>
            <w:tcBorders>
              <w:top w:val="nil"/>
              <w:left w:val="single" w:sz="4" w:space="0" w:color="auto"/>
              <w:bottom w:val="single" w:sz="4" w:space="0" w:color="auto"/>
              <w:right w:val="single" w:sz="4" w:space="0" w:color="auto"/>
            </w:tcBorders>
            <w:shd w:val="clear" w:color="auto" w:fill="auto"/>
            <w:vAlign w:val="center"/>
          </w:tcPr>
          <w:p w14:paraId="51B68BCA"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Pre nové investičné projekty nad 20 mil. eur v rámci prípravy zadania štúdie realizovateľnosti posúdiť vhodnosť aplikácie multimodálnych variantov a vykonať takéto posúdenie</w:t>
            </w:r>
          </w:p>
        </w:tc>
        <w:tc>
          <w:tcPr>
            <w:tcW w:w="760" w:type="pct"/>
            <w:tcBorders>
              <w:top w:val="nil"/>
              <w:left w:val="nil"/>
              <w:bottom w:val="single" w:sz="4" w:space="0" w:color="auto"/>
              <w:right w:val="single" w:sz="4" w:space="0" w:color="auto"/>
            </w:tcBorders>
            <w:shd w:val="clear" w:color="auto" w:fill="auto"/>
            <w:vAlign w:val="center"/>
          </w:tcPr>
          <w:p w14:paraId="631DAE68" w14:textId="0019B90E"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MDV SR</w:t>
            </w:r>
          </w:p>
          <w:p w14:paraId="04B8A673" w14:textId="75DD0E72"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SRP</w:t>
            </w:r>
          </w:p>
        </w:tc>
        <w:tc>
          <w:tcPr>
            <w:tcW w:w="532" w:type="pct"/>
            <w:tcBorders>
              <w:top w:val="nil"/>
              <w:left w:val="nil"/>
              <w:bottom w:val="single" w:sz="4" w:space="0" w:color="auto"/>
              <w:right w:val="single" w:sz="4" w:space="0" w:color="auto"/>
            </w:tcBorders>
            <w:shd w:val="clear" w:color="auto" w:fill="auto"/>
            <w:vAlign w:val="center"/>
          </w:tcPr>
          <w:p w14:paraId="3AD63503" w14:textId="77777777" w:rsidR="00CB16AA" w:rsidRPr="00666914" w:rsidRDefault="00CB16AA" w:rsidP="00254A5B">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priebežne</w:t>
            </w:r>
          </w:p>
        </w:tc>
        <w:tc>
          <w:tcPr>
            <w:tcW w:w="535" w:type="pct"/>
            <w:tcBorders>
              <w:top w:val="nil"/>
              <w:left w:val="nil"/>
              <w:bottom w:val="single" w:sz="4" w:space="0" w:color="auto"/>
              <w:right w:val="single" w:sz="4" w:space="0" w:color="auto"/>
            </w:tcBorders>
            <w:shd w:val="clear" w:color="auto" w:fill="auto"/>
            <w:vAlign w:val="center"/>
          </w:tcPr>
          <w:p w14:paraId="46BC8683" w14:textId="77777777" w:rsidR="00CB16AA" w:rsidRPr="00666914" w:rsidRDefault="00CB16AA" w:rsidP="00985E7A">
            <w:pPr>
              <w:spacing w:after="0"/>
              <w:jc w:val="center"/>
              <w:rPr>
                <w:rFonts w:eastAsia="Times New Roman"/>
                <w:color w:val="000000"/>
                <w:sz w:val="20"/>
                <w:szCs w:val="20"/>
                <w:lang w:eastAsia="sk-SK"/>
              </w:rPr>
            </w:pPr>
            <w:r w:rsidRPr="00666914">
              <w:rPr>
                <w:rFonts w:eastAsia="Times New Roman"/>
                <w:color w:val="000000"/>
                <w:sz w:val="20"/>
                <w:szCs w:val="20"/>
                <w:lang w:eastAsia="sk-SK"/>
              </w:rPr>
              <w:t>-</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hideMark/>
          </w:tcPr>
          <w:p w14:paraId="498121F0" w14:textId="77777777" w:rsidR="00CB16AA" w:rsidRPr="00666914" w:rsidRDefault="00CB16AA" w:rsidP="00985E7A">
            <w:pPr>
              <w:spacing w:after="0"/>
              <w:rPr>
                <w:rFonts w:eastAsia="Times New Roman"/>
                <w:color w:val="C00000"/>
                <w:sz w:val="20"/>
                <w:szCs w:val="20"/>
                <w:lang w:eastAsia="sk-SK"/>
              </w:rPr>
            </w:pPr>
            <w:r w:rsidRPr="00666914">
              <w:rPr>
                <w:rFonts w:eastAsia="Times New Roman"/>
                <w:color w:val="C00000"/>
                <w:sz w:val="20"/>
                <w:szCs w:val="20"/>
                <w:lang w:eastAsia="sk-SK"/>
              </w:rPr>
              <w:t> </w:t>
            </w:r>
          </w:p>
        </w:tc>
        <w:tc>
          <w:tcPr>
            <w:tcW w:w="281" w:type="pct"/>
            <w:tcBorders>
              <w:top w:val="nil"/>
              <w:left w:val="nil"/>
              <w:bottom w:val="single" w:sz="4" w:space="0" w:color="auto"/>
              <w:right w:val="single" w:sz="4" w:space="0" w:color="auto"/>
            </w:tcBorders>
            <w:shd w:val="clear" w:color="auto" w:fill="92D050"/>
            <w:noWrap/>
            <w:vAlign w:val="bottom"/>
            <w:hideMark/>
          </w:tcPr>
          <w:p w14:paraId="79FFBF90" w14:textId="77777777" w:rsidR="00CB16AA" w:rsidRPr="00666914" w:rsidRDefault="00CB16AA" w:rsidP="00985E7A">
            <w:pPr>
              <w:spacing w:after="0"/>
              <w:rPr>
                <w:rFonts w:eastAsia="Times New Roman"/>
                <w:color w:val="FFFFFF" w:themeColor="background1"/>
                <w:sz w:val="20"/>
                <w:szCs w:val="20"/>
                <w:lang w:eastAsia="sk-SK"/>
              </w:rPr>
            </w:pPr>
            <w:r w:rsidRPr="00666914">
              <w:rPr>
                <w:rFonts w:eastAsia="Times New Roman"/>
                <w:color w:val="FFFFFF" w:themeColor="background1"/>
                <w:sz w:val="20"/>
                <w:szCs w:val="20"/>
                <w:lang w:eastAsia="sk-SK"/>
              </w:rPr>
              <w:t> </w:t>
            </w:r>
          </w:p>
        </w:tc>
        <w:tc>
          <w:tcPr>
            <w:tcW w:w="281" w:type="pct"/>
            <w:tcBorders>
              <w:top w:val="nil"/>
              <w:left w:val="nil"/>
              <w:bottom w:val="single" w:sz="4" w:space="0" w:color="auto"/>
              <w:right w:val="single" w:sz="4" w:space="0" w:color="auto"/>
            </w:tcBorders>
            <w:shd w:val="clear" w:color="auto" w:fill="AEAAAA" w:themeFill="background2" w:themeFillShade="BF"/>
            <w:noWrap/>
            <w:vAlign w:val="bottom"/>
            <w:hideMark/>
          </w:tcPr>
          <w:p w14:paraId="6364ED2C" w14:textId="77777777" w:rsidR="00CB16AA" w:rsidRPr="00666914" w:rsidRDefault="00CB16AA" w:rsidP="00985E7A">
            <w:pPr>
              <w:spacing w:after="0"/>
              <w:rPr>
                <w:rFonts w:eastAsia="Times New Roman"/>
                <w:color w:val="C00000"/>
                <w:sz w:val="20"/>
                <w:szCs w:val="20"/>
                <w:lang w:eastAsia="sk-SK"/>
              </w:rPr>
            </w:pPr>
            <w:r w:rsidRPr="00666914">
              <w:rPr>
                <w:rFonts w:eastAsia="Times New Roman"/>
                <w:color w:val="C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6A6A6" w:themeFill="background1" w:themeFillShade="A6"/>
            <w:noWrap/>
            <w:vAlign w:val="bottom"/>
            <w:hideMark/>
          </w:tcPr>
          <w:p w14:paraId="31EBA68C" w14:textId="77777777" w:rsidR="00CB16AA" w:rsidRPr="00666914" w:rsidRDefault="00CB16AA" w:rsidP="00985E7A">
            <w:pPr>
              <w:spacing w:after="0"/>
              <w:rPr>
                <w:rFonts w:eastAsia="Times New Roman"/>
                <w:color w:val="C00000"/>
                <w:sz w:val="20"/>
                <w:szCs w:val="20"/>
                <w:lang w:eastAsia="sk-SK"/>
              </w:rPr>
            </w:pPr>
            <w:r w:rsidRPr="00666914">
              <w:rPr>
                <w:rFonts w:eastAsia="Times New Roman"/>
                <w:color w:val="C00000"/>
                <w:sz w:val="20"/>
                <w:szCs w:val="20"/>
                <w:lang w:eastAsia="sk-SK"/>
              </w:rPr>
              <w:t> </w:t>
            </w:r>
          </w:p>
        </w:tc>
      </w:tr>
      <w:tr w:rsidR="00CB16AA" w:rsidRPr="00666914" w14:paraId="0CFC583F" w14:textId="77777777" w:rsidTr="00254A5B">
        <w:trPr>
          <w:trHeight w:val="302"/>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01745F17" w14:textId="77777777" w:rsidR="00CB16AA" w:rsidRPr="00666914" w:rsidRDefault="00CB16AA" w:rsidP="00985E7A">
            <w:pPr>
              <w:spacing w:after="0"/>
              <w:rPr>
                <w:rFonts w:eastAsia="Times New Roman"/>
                <w:bCs/>
                <w:color w:val="000000"/>
                <w:sz w:val="20"/>
                <w:szCs w:val="20"/>
                <w:lang w:eastAsia="sk-SK"/>
              </w:rPr>
            </w:pPr>
            <w:r w:rsidRPr="00666914">
              <w:rPr>
                <w:rFonts w:eastAsia="Times New Roman"/>
                <w:bCs/>
                <w:color w:val="000000"/>
                <w:sz w:val="20"/>
                <w:szCs w:val="20"/>
                <w:lang w:eastAsia="sk-SK"/>
              </w:rPr>
              <w:t>2</w:t>
            </w:r>
          </w:p>
        </w:tc>
        <w:tc>
          <w:tcPr>
            <w:tcW w:w="1839" w:type="pct"/>
            <w:tcBorders>
              <w:top w:val="nil"/>
              <w:left w:val="single" w:sz="4" w:space="0" w:color="auto"/>
              <w:bottom w:val="single" w:sz="4" w:space="0" w:color="auto"/>
              <w:right w:val="single" w:sz="4" w:space="0" w:color="auto"/>
            </w:tcBorders>
            <w:shd w:val="clear" w:color="auto" w:fill="auto"/>
            <w:vAlign w:val="center"/>
          </w:tcPr>
          <w:p w14:paraId="6870B4BE"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Realizovať štúdie realizovateľnosti na začiatku predinvestičného procesu</w:t>
            </w:r>
          </w:p>
        </w:tc>
        <w:tc>
          <w:tcPr>
            <w:tcW w:w="760" w:type="pct"/>
            <w:tcBorders>
              <w:top w:val="nil"/>
              <w:left w:val="nil"/>
              <w:bottom w:val="single" w:sz="4" w:space="0" w:color="auto"/>
              <w:right w:val="single" w:sz="4" w:space="0" w:color="auto"/>
            </w:tcBorders>
            <w:shd w:val="clear" w:color="auto" w:fill="auto"/>
            <w:vAlign w:val="center"/>
          </w:tcPr>
          <w:p w14:paraId="46D2D07D" w14:textId="77777777"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MDV SR</w:t>
            </w:r>
          </w:p>
          <w:p w14:paraId="20952D32" w14:textId="77777777"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SCDaPK</w:t>
            </w:r>
          </w:p>
          <w:p w14:paraId="15F38C37" w14:textId="77777777" w:rsidR="00CB16AA" w:rsidRPr="00666914" w:rsidRDefault="00CB16AA" w:rsidP="00254A5B">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SŽDaD</w:t>
            </w:r>
          </w:p>
        </w:tc>
        <w:tc>
          <w:tcPr>
            <w:tcW w:w="532" w:type="pct"/>
            <w:tcBorders>
              <w:top w:val="nil"/>
              <w:left w:val="nil"/>
              <w:bottom w:val="single" w:sz="4" w:space="0" w:color="auto"/>
              <w:right w:val="single" w:sz="4" w:space="0" w:color="auto"/>
            </w:tcBorders>
            <w:shd w:val="clear" w:color="auto" w:fill="auto"/>
            <w:vAlign w:val="center"/>
          </w:tcPr>
          <w:p w14:paraId="3B56E489" w14:textId="77777777" w:rsidR="00CB16AA" w:rsidRPr="00666914" w:rsidRDefault="00CB16AA" w:rsidP="00254A5B">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priebežne</w:t>
            </w:r>
          </w:p>
        </w:tc>
        <w:tc>
          <w:tcPr>
            <w:tcW w:w="535" w:type="pct"/>
            <w:tcBorders>
              <w:top w:val="nil"/>
              <w:left w:val="nil"/>
              <w:bottom w:val="single" w:sz="4" w:space="0" w:color="auto"/>
              <w:right w:val="single" w:sz="4" w:space="0" w:color="auto"/>
            </w:tcBorders>
            <w:shd w:val="clear" w:color="auto" w:fill="auto"/>
            <w:vAlign w:val="center"/>
          </w:tcPr>
          <w:p w14:paraId="0F8A2B59" w14:textId="77777777" w:rsidR="00CB16AA" w:rsidRPr="00666914" w:rsidRDefault="00CB16AA" w:rsidP="00985E7A">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w:t>
            </w:r>
          </w:p>
        </w:tc>
        <w:tc>
          <w:tcPr>
            <w:tcW w:w="284" w:type="pct"/>
            <w:tcBorders>
              <w:top w:val="nil"/>
              <w:left w:val="nil"/>
              <w:bottom w:val="single" w:sz="4" w:space="0" w:color="auto"/>
              <w:right w:val="single" w:sz="4" w:space="0" w:color="auto"/>
            </w:tcBorders>
            <w:shd w:val="clear" w:color="auto" w:fill="92D050"/>
            <w:noWrap/>
            <w:vAlign w:val="bottom"/>
            <w:hideMark/>
          </w:tcPr>
          <w:p w14:paraId="42ADA510"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92D050"/>
            <w:noWrap/>
            <w:vAlign w:val="bottom"/>
            <w:hideMark/>
          </w:tcPr>
          <w:p w14:paraId="1AA22557"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92D050"/>
            <w:noWrap/>
            <w:vAlign w:val="bottom"/>
            <w:hideMark/>
          </w:tcPr>
          <w:p w14:paraId="597F3BDE"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92D050"/>
            <w:noWrap/>
            <w:vAlign w:val="bottom"/>
            <w:hideMark/>
          </w:tcPr>
          <w:p w14:paraId="01289582"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CB16AA" w:rsidRPr="00666914" w14:paraId="120FFEB2" w14:textId="77777777" w:rsidTr="00254A5B">
        <w:trPr>
          <w:trHeight w:val="302"/>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47D22F52" w14:textId="77777777" w:rsidR="00CB16AA" w:rsidRPr="00666914" w:rsidRDefault="00CB16AA" w:rsidP="00985E7A">
            <w:pPr>
              <w:spacing w:after="0"/>
              <w:rPr>
                <w:rFonts w:eastAsia="Times New Roman"/>
                <w:bCs/>
                <w:color w:val="000000"/>
                <w:sz w:val="20"/>
                <w:szCs w:val="20"/>
                <w:lang w:eastAsia="sk-SK"/>
              </w:rPr>
            </w:pPr>
            <w:r w:rsidRPr="00666914">
              <w:rPr>
                <w:rFonts w:eastAsia="Times New Roman"/>
                <w:bCs/>
                <w:color w:val="000000"/>
                <w:sz w:val="20"/>
                <w:szCs w:val="20"/>
                <w:lang w:eastAsia="sk-SK"/>
              </w:rPr>
              <w:t>3</w:t>
            </w:r>
          </w:p>
        </w:tc>
        <w:tc>
          <w:tcPr>
            <w:tcW w:w="1839" w:type="pct"/>
            <w:tcBorders>
              <w:top w:val="nil"/>
              <w:left w:val="single" w:sz="4" w:space="0" w:color="auto"/>
              <w:bottom w:val="single" w:sz="4" w:space="0" w:color="auto"/>
              <w:right w:val="single" w:sz="4" w:space="0" w:color="auto"/>
            </w:tcBorders>
            <w:shd w:val="clear" w:color="auto" w:fill="auto"/>
            <w:vAlign w:val="center"/>
          </w:tcPr>
          <w:p w14:paraId="656E383D"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Preskúmať proces EIA vo väzbe na ostatné fázy prípravy projektu s cieľom zefektívniť celý proces</w:t>
            </w:r>
          </w:p>
        </w:tc>
        <w:tc>
          <w:tcPr>
            <w:tcW w:w="760" w:type="pct"/>
            <w:tcBorders>
              <w:top w:val="nil"/>
              <w:left w:val="nil"/>
              <w:bottom w:val="single" w:sz="4" w:space="0" w:color="auto"/>
              <w:right w:val="single" w:sz="4" w:space="0" w:color="auto"/>
            </w:tcBorders>
            <w:shd w:val="clear" w:color="auto" w:fill="auto"/>
            <w:vAlign w:val="center"/>
          </w:tcPr>
          <w:p w14:paraId="50705D6B" w14:textId="3C802CBE"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MŽP SR</w:t>
            </w:r>
          </w:p>
          <w:p w14:paraId="01BCA2DF" w14:textId="1C4149EB"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SCDaPK</w:t>
            </w:r>
          </w:p>
        </w:tc>
        <w:tc>
          <w:tcPr>
            <w:tcW w:w="532" w:type="pct"/>
            <w:tcBorders>
              <w:top w:val="nil"/>
              <w:left w:val="nil"/>
              <w:bottom w:val="single" w:sz="4" w:space="0" w:color="auto"/>
              <w:right w:val="single" w:sz="4" w:space="0" w:color="auto"/>
            </w:tcBorders>
            <w:shd w:val="clear" w:color="auto" w:fill="auto"/>
            <w:vAlign w:val="center"/>
          </w:tcPr>
          <w:p w14:paraId="3CC1060D" w14:textId="77777777" w:rsidR="00CB16AA" w:rsidRPr="00666914" w:rsidRDefault="00CB16AA" w:rsidP="00254A5B">
            <w:pPr>
              <w:spacing w:after="0"/>
              <w:jc w:val="center"/>
              <w:rPr>
                <w:rFonts w:eastAsia="Times New Roman"/>
                <w:color w:val="000000"/>
                <w:sz w:val="20"/>
                <w:szCs w:val="20"/>
                <w:lang w:eastAsia="sk-SK"/>
              </w:rPr>
            </w:pPr>
          </w:p>
        </w:tc>
        <w:tc>
          <w:tcPr>
            <w:tcW w:w="535" w:type="pct"/>
            <w:tcBorders>
              <w:top w:val="nil"/>
              <w:left w:val="nil"/>
              <w:bottom w:val="single" w:sz="4" w:space="0" w:color="auto"/>
              <w:right w:val="single" w:sz="4" w:space="0" w:color="auto"/>
            </w:tcBorders>
            <w:shd w:val="clear" w:color="auto" w:fill="auto"/>
            <w:vAlign w:val="center"/>
          </w:tcPr>
          <w:p w14:paraId="5411EDAD" w14:textId="77777777" w:rsidR="00CB16AA" w:rsidRPr="00666914" w:rsidRDefault="00CB16AA" w:rsidP="00985E7A">
            <w:pPr>
              <w:spacing w:after="0"/>
              <w:jc w:val="center"/>
              <w:rPr>
                <w:rFonts w:eastAsia="Times New Roman"/>
                <w:color w:val="000000"/>
                <w:sz w:val="20"/>
                <w:szCs w:val="20"/>
                <w:lang w:eastAsia="sk-SK"/>
              </w:rPr>
            </w:pPr>
            <w:r w:rsidRPr="00666914">
              <w:rPr>
                <w:rFonts w:eastAsia="Times New Roman"/>
                <w:color w:val="000000"/>
                <w:sz w:val="20"/>
                <w:szCs w:val="20"/>
                <w:lang w:eastAsia="sk-SK"/>
              </w:rPr>
              <w:t>03/2019</w:t>
            </w:r>
          </w:p>
        </w:tc>
        <w:tc>
          <w:tcPr>
            <w:tcW w:w="284" w:type="pct"/>
            <w:tcBorders>
              <w:top w:val="nil"/>
              <w:left w:val="nil"/>
              <w:bottom w:val="single" w:sz="4" w:space="0" w:color="auto"/>
              <w:right w:val="single" w:sz="4" w:space="0" w:color="auto"/>
            </w:tcBorders>
            <w:shd w:val="clear" w:color="auto" w:fill="FFC000"/>
            <w:noWrap/>
            <w:vAlign w:val="bottom"/>
            <w:hideMark/>
          </w:tcPr>
          <w:p w14:paraId="4ED7E53B"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C000"/>
            <w:noWrap/>
            <w:vAlign w:val="bottom"/>
            <w:hideMark/>
          </w:tcPr>
          <w:p w14:paraId="4B81EB0A"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C000"/>
            <w:noWrap/>
            <w:vAlign w:val="bottom"/>
            <w:hideMark/>
          </w:tcPr>
          <w:p w14:paraId="5222B9F8"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FFC000"/>
            <w:noWrap/>
            <w:vAlign w:val="bottom"/>
            <w:hideMark/>
          </w:tcPr>
          <w:p w14:paraId="1945490C"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CB16AA" w:rsidRPr="00666914" w14:paraId="76D1714F" w14:textId="77777777" w:rsidTr="00254A5B">
        <w:trPr>
          <w:trHeight w:val="302"/>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0AAAA206" w14:textId="77777777" w:rsidR="00CB16AA" w:rsidRPr="00666914" w:rsidRDefault="00CB16AA" w:rsidP="00985E7A">
            <w:pPr>
              <w:spacing w:after="0"/>
              <w:rPr>
                <w:rFonts w:eastAsia="Times New Roman"/>
                <w:bCs/>
                <w:color w:val="000000"/>
                <w:sz w:val="20"/>
                <w:szCs w:val="20"/>
                <w:lang w:eastAsia="sk-SK"/>
              </w:rPr>
            </w:pPr>
            <w:r w:rsidRPr="00666914">
              <w:rPr>
                <w:rFonts w:eastAsia="Times New Roman"/>
                <w:bCs/>
                <w:color w:val="000000"/>
                <w:sz w:val="20"/>
                <w:szCs w:val="20"/>
                <w:lang w:eastAsia="sk-SK"/>
              </w:rPr>
              <w:t>4</w:t>
            </w:r>
          </w:p>
        </w:tc>
        <w:tc>
          <w:tcPr>
            <w:tcW w:w="1839" w:type="pct"/>
            <w:tcBorders>
              <w:top w:val="nil"/>
              <w:left w:val="single" w:sz="4" w:space="0" w:color="auto"/>
              <w:bottom w:val="single" w:sz="4" w:space="0" w:color="auto"/>
              <w:right w:val="single" w:sz="4" w:space="0" w:color="auto"/>
            </w:tcBorders>
            <w:shd w:val="clear" w:color="auto" w:fill="auto"/>
            <w:vAlign w:val="center"/>
          </w:tcPr>
          <w:p w14:paraId="4F166BDD"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Prehodnocovať pokračovanie v predprojektovej a projektovej príprave projektov s realizáciou plánovanou až v dlhodobom horizonte 10 r.</w:t>
            </w:r>
          </w:p>
        </w:tc>
        <w:tc>
          <w:tcPr>
            <w:tcW w:w="760" w:type="pct"/>
            <w:tcBorders>
              <w:top w:val="nil"/>
              <w:left w:val="nil"/>
              <w:bottom w:val="single" w:sz="4" w:space="0" w:color="auto"/>
              <w:right w:val="single" w:sz="4" w:space="0" w:color="auto"/>
            </w:tcBorders>
            <w:shd w:val="clear" w:color="auto" w:fill="auto"/>
            <w:vAlign w:val="center"/>
          </w:tcPr>
          <w:p w14:paraId="2A34D328" w14:textId="0FBD8E7F"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MDV SR</w:t>
            </w:r>
          </w:p>
          <w:p w14:paraId="47955F27" w14:textId="7610549B"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SCDaPK</w:t>
            </w:r>
          </w:p>
          <w:p w14:paraId="487028CB" w14:textId="6B8AC088"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SŽDaD</w:t>
            </w:r>
          </w:p>
        </w:tc>
        <w:tc>
          <w:tcPr>
            <w:tcW w:w="532" w:type="pct"/>
            <w:tcBorders>
              <w:top w:val="nil"/>
              <w:left w:val="nil"/>
              <w:bottom w:val="single" w:sz="4" w:space="0" w:color="auto"/>
              <w:right w:val="single" w:sz="4" w:space="0" w:color="auto"/>
            </w:tcBorders>
            <w:shd w:val="clear" w:color="auto" w:fill="auto"/>
            <w:vAlign w:val="center"/>
          </w:tcPr>
          <w:p w14:paraId="11D9D47B" w14:textId="77777777" w:rsidR="00CB16AA" w:rsidRPr="00666914" w:rsidRDefault="00CB16AA" w:rsidP="00254A5B">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priebežne</w:t>
            </w:r>
          </w:p>
        </w:tc>
        <w:tc>
          <w:tcPr>
            <w:tcW w:w="535" w:type="pct"/>
            <w:tcBorders>
              <w:top w:val="nil"/>
              <w:left w:val="nil"/>
              <w:bottom w:val="single" w:sz="4" w:space="0" w:color="auto"/>
              <w:right w:val="single" w:sz="4" w:space="0" w:color="auto"/>
            </w:tcBorders>
            <w:shd w:val="clear" w:color="auto" w:fill="auto"/>
            <w:vAlign w:val="center"/>
          </w:tcPr>
          <w:p w14:paraId="6CB93943" w14:textId="77777777" w:rsidR="00CB16AA" w:rsidRPr="00666914" w:rsidRDefault="00CB16AA" w:rsidP="00985E7A">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hideMark/>
          </w:tcPr>
          <w:p w14:paraId="18D6C397"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C000"/>
            <w:noWrap/>
            <w:vAlign w:val="bottom"/>
            <w:hideMark/>
          </w:tcPr>
          <w:p w14:paraId="021A4243"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EAAAA" w:themeFill="background2" w:themeFillShade="BF"/>
            <w:noWrap/>
            <w:vAlign w:val="bottom"/>
            <w:hideMark/>
          </w:tcPr>
          <w:p w14:paraId="446CC5FA"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FFC000"/>
            <w:noWrap/>
            <w:vAlign w:val="bottom"/>
            <w:hideMark/>
          </w:tcPr>
          <w:p w14:paraId="1BF3E629"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CB16AA" w:rsidRPr="00666914" w14:paraId="1CBDACC3" w14:textId="77777777" w:rsidTr="00254A5B">
        <w:trPr>
          <w:trHeight w:val="302"/>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5BF4C94D" w14:textId="77777777" w:rsidR="00CB16AA" w:rsidRPr="00666914" w:rsidRDefault="00CB16AA" w:rsidP="00985E7A">
            <w:pPr>
              <w:spacing w:after="0"/>
              <w:rPr>
                <w:rFonts w:eastAsia="Times New Roman"/>
                <w:bCs/>
                <w:color w:val="000000"/>
                <w:sz w:val="20"/>
                <w:szCs w:val="20"/>
                <w:lang w:eastAsia="sk-SK"/>
              </w:rPr>
            </w:pPr>
            <w:r w:rsidRPr="00666914">
              <w:rPr>
                <w:rFonts w:eastAsia="Times New Roman"/>
                <w:bCs/>
                <w:color w:val="000000"/>
                <w:sz w:val="20"/>
                <w:szCs w:val="20"/>
                <w:lang w:eastAsia="sk-SK"/>
              </w:rPr>
              <w:t>5</w:t>
            </w:r>
          </w:p>
        </w:tc>
        <w:tc>
          <w:tcPr>
            <w:tcW w:w="1839" w:type="pct"/>
            <w:tcBorders>
              <w:top w:val="nil"/>
              <w:left w:val="single" w:sz="4" w:space="0" w:color="auto"/>
              <w:bottom w:val="single" w:sz="4" w:space="0" w:color="auto"/>
              <w:right w:val="single" w:sz="4" w:space="0" w:color="auto"/>
            </w:tcBorders>
            <w:shd w:val="clear" w:color="auto" w:fill="auto"/>
            <w:vAlign w:val="center"/>
          </w:tcPr>
          <w:p w14:paraId="58DB7480"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Preskúmať legislatívne možnosti na minimalizáciu so stavbou nesúvisiacich investícií spolu s vyčíslením rozpočtového dopadu</w:t>
            </w:r>
          </w:p>
        </w:tc>
        <w:tc>
          <w:tcPr>
            <w:tcW w:w="760" w:type="pct"/>
            <w:tcBorders>
              <w:top w:val="nil"/>
              <w:left w:val="nil"/>
              <w:bottom w:val="single" w:sz="4" w:space="0" w:color="auto"/>
              <w:right w:val="single" w:sz="4" w:space="0" w:color="auto"/>
            </w:tcBorders>
            <w:shd w:val="clear" w:color="auto" w:fill="auto"/>
            <w:vAlign w:val="center"/>
          </w:tcPr>
          <w:p w14:paraId="7611310E" w14:textId="450915EB"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MDV SR / MF SR</w:t>
            </w:r>
          </w:p>
          <w:p w14:paraId="0C93EF22" w14:textId="77777777"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IDP</w:t>
            </w:r>
          </w:p>
        </w:tc>
        <w:tc>
          <w:tcPr>
            <w:tcW w:w="532" w:type="pct"/>
            <w:tcBorders>
              <w:top w:val="nil"/>
              <w:left w:val="nil"/>
              <w:bottom w:val="single" w:sz="4" w:space="0" w:color="auto"/>
              <w:right w:val="single" w:sz="4" w:space="0" w:color="auto"/>
            </w:tcBorders>
            <w:shd w:val="clear" w:color="auto" w:fill="auto"/>
            <w:vAlign w:val="center"/>
          </w:tcPr>
          <w:p w14:paraId="2249A75F" w14:textId="77777777" w:rsidR="00CB16AA" w:rsidRPr="00666914" w:rsidRDefault="00CB16AA" w:rsidP="00254A5B">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12/2017</w:t>
            </w:r>
          </w:p>
        </w:tc>
        <w:tc>
          <w:tcPr>
            <w:tcW w:w="535" w:type="pct"/>
            <w:tcBorders>
              <w:top w:val="nil"/>
              <w:left w:val="nil"/>
              <w:bottom w:val="single" w:sz="4" w:space="0" w:color="auto"/>
              <w:right w:val="single" w:sz="4" w:space="0" w:color="auto"/>
            </w:tcBorders>
            <w:shd w:val="clear" w:color="auto" w:fill="auto"/>
            <w:vAlign w:val="center"/>
          </w:tcPr>
          <w:p w14:paraId="7EA6ADF1" w14:textId="77777777" w:rsidR="00CB16AA" w:rsidRPr="00666914" w:rsidRDefault="00CB16AA" w:rsidP="00985E7A">
            <w:pPr>
              <w:spacing w:after="0"/>
              <w:jc w:val="center"/>
              <w:rPr>
                <w:rFonts w:eastAsia="Times New Roman"/>
                <w:color w:val="000000"/>
                <w:sz w:val="20"/>
                <w:szCs w:val="20"/>
                <w:lang w:eastAsia="sk-SK"/>
              </w:rPr>
            </w:pPr>
            <w:r w:rsidRPr="00666914">
              <w:rPr>
                <w:rFonts w:eastAsia="Times New Roman"/>
                <w:color w:val="000000"/>
                <w:sz w:val="20"/>
                <w:szCs w:val="20"/>
                <w:lang w:eastAsia="sk-SK"/>
              </w:rPr>
              <w:t>03/2019</w:t>
            </w:r>
          </w:p>
        </w:tc>
        <w:tc>
          <w:tcPr>
            <w:tcW w:w="284" w:type="pct"/>
            <w:tcBorders>
              <w:top w:val="nil"/>
              <w:left w:val="nil"/>
              <w:bottom w:val="single" w:sz="4" w:space="0" w:color="auto"/>
              <w:right w:val="single" w:sz="4" w:space="0" w:color="auto"/>
            </w:tcBorders>
            <w:shd w:val="clear" w:color="auto" w:fill="FFC000"/>
            <w:noWrap/>
            <w:vAlign w:val="bottom"/>
            <w:hideMark/>
          </w:tcPr>
          <w:p w14:paraId="5B6BECDC" w14:textId="77777777" w:rsidR="00CB16AA" w:rsidRPr="00666914" w:rsidRDefault="00CB16AA" w:rsidP="00985E7A">
            <w:pPr>
              <w:spacing w:after="0"/>
              <w:rPr>
                <w:rFonts w:eastAsia="Times New Roman"/>
                <w:color w:val="C00000"/>
                <w:sz w:val="20"/>
                <w:szCs w:val="20"/>
                <w:lang w:eastAsia="sk-SK"/>
              </w:rPr>
            </w:pPr>
            <w:r w:rsidRPr="00666914">
              <w:rPr>
                <w:rFonts w:eastAsia="Times New Roman"/>
                <w:color w:val="C00000"/>
                <w:sz w:val="20"/>
                <w:szCs w:val="20"/>
                <w:lang w:eastAsia="sk-SK"/>
              </w:rPr>
              <w:t> </w:t>
            </w:r>
          </w:p>
        </w:tc>
        <w:tc>
          <w:tcPr>
            <w:tcW w:w="281" w:type="pct"/>
            <w:tcBorders>
              <w:top w:val="nil"/>
              <w:left w:val="nil"/>
              <w:bottom w:val="single" w:sz="4" w:space="0" w:color="auto"/>
              <w:right w:val="single" w:sz="4" w:space="0" w:color="auto"/>
            </w:tcBorders>
            <w:shd w:val="clear" w:color="auto" w:fill="FFC000"/>
            <w:noWrap/>
            <w:vAlign w:val="bottom"/>
            <w:hideMark/>
          </w:tcPr>
          <w:p w14:paraId="566AACEE" w14:textId="77777777" w:rsidR="00CB16AA" w:rsidRPr="00666914" w:rsidRDefault="00CB16AA" w:rsidP="00985E7A">
            <w:pPr>
              <w:spacing w:after="0"/>
              <w:rPr>
                <w:rFonts w:eastAsia="Times New Roman"/>
                <w:color w:val="FF0000"/>
                <w:sz w:val="20"/>
                <w:szCs w:val="20"/>
                <w:lang w:eastAsia="sk-SK"/>
              </w:rPr>
            </w:pPr>
            <w:r w:rsidRPr="00666914">
              <w:rPr>
                <w:rFonts w:eastAsia="Times New Roman"/>
                <w:color w:val="FF0000"/>
                <w:sz w:val="20"/>
                <w:szCs w:val="20"/>
                <w:lang w:eastAsia="sk-SK"/>
              </w:rPr>
              <w:t> </w:t>
            </w:r>
          </w:p>
        </w:tc>
        <w:tc>
          <w:tcPr>
            <w:tcW w:w="281" w:type="pct"/>
            <w:tcBorders>
              <w:top w:val="nil"/>
              <w:left w:val="nil"/>
              <w:bottom w:val="single" w:sz="4" w:space="0" w:color="auto"/>
              <w:right w:val="single" w:sz="4" w:space="0" w:color="auto"/>
            </w:tcBorders>
            <w:shd w:val="clear" w:color="auto" w:fill="FFC000"/>
            <w:noWrap/>
            <w:vAlign w:val="bottom"/>
            <w:hideMark/>
          </w:tcPr>
          <w:p w14:paraId="55790DB6"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FFC000"/>
            <w:noWrap/>
            <w:vAlign w:val="bottom"/>
            <w:hideMark/>
          </w:tcPr>
          <w:p w14:paraId="200FE47F" w14:textId="77777777" w:rsidR="00CB16AA" w:rsidRPr="00666914" w:rsidRDefault="00CB16AA" w:rsidP="00985E7A">
            <w:pPr>
              <w:spacing w:after="0"/>
              <w:rPr>
                <w:rFonts w:eastAsia="Times New Roman"/>
                <w:color w:val="C00000"/>
                <w:sz w:val="20"/>
                <w:szCs w:val="20"/>
                <w:lang w:eastAsia="sk-SK"/>
              </w:rPr>
            </w:pPr>
            <w:r w:rsidRPr="00666914">
              <w:rPr>
                <w:rFonts w:eastAsia="Times New Roman"/>
                <w:color w:val="C00000"/>
                <w:sz w:val="20"/>
                <w:szCs w:val="20"/>
                <w:lang w:eastAsia="sk-SK"/>
              </w:rPr>
              <w:t> </w:t>
            </w:r>
          </w:p>
        </w:tc>
      </w:tr>
      <w:tr w:rsidR="00CB16AA" w:rsidRPr="00666914" w14:paraId="26F3789F" w14:textId="77777777" w:rsidTr="00254A5B">
        <w:trPr>
          <w:trHeight w:val="302"/>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33997966" w14:textId="77777777" w:rsidR="00CB16AA" w:rsidRPr="00666914" w:rsidRDefault="00CB16AA" w:rsidP="00985E7A">
            <w:pPr>
              <w:spacing w:after="0"/>
              <w:rPr>
                <w:rFonts w:eastAsia="Times New Roman"/>
                <w:bCs/>
                <w:color w:val="000000"/>
                <w:sz w:val="20"/>
                <w:szCs w:val="20"/>
                <w:lang w:eastAsia="sk-SK"/>
              </w:rPr>
            </w:pPr>
            <w:r w:rsidRPr="00666914">
              <w:rPr>
                <w:rFonts w:eastAsia="Times New Roman"/>
                <w:bCs/>
                <w:color w:val="000000"/>
                <w:sz w:val="20"/>
                <w:szCs w:val="20"/>
                <w:lang w:eastAsia="sk-SK"/>
              </w:rPr>
              <w:t>6</w:t>
            </w:r>
          </w:p>
        </w:tc>
        <w:tc>
          <w:tcPr>
            <w:tcW w:w="1839" w:type="pct"/>
            <w:tcBorders>
              <w:top w:val="nil"/>
              <w:left w:val="single" w:sz="4" w:space="0" w:color="auto"/>
              <w:bottom w:val="single" w:sz="4" w:space="0" w:color="auto"/>
              <w:right w:val="single" w:sz="4" w:space="0" w:color="auto"/>
            </w:tcBorders>
            <w:shd w:val="clear" w:color="auto" w:fill="auto"/>
            <w:vAlign w:val="center"/>
          </w:tcPr>
          <w:p w14:paraId="21D31F9D"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Dôsledne sledovať možnosť maximálneho využitia predchádzajúcich stupňov projektovej dokumentácie</w:t>
            </w:r>
          </w:p>
        </w:tc>
        <w:tc>
          <w:tcPr>
            <w:tcW w:w="760" w:type="pct"/>
            <w:tcBorders>
              <w:top w:val="nil"/>
              <w:left w:val="nil"/>
              <w:bottom w:val="single" w:sz="4" w:space="0" w:color="auto"/>
              <w:right w:val="single" w:sz="4" w:space="0" w:color="auto"/>
            </w:tcBorders>
            <w:shd w:val="clear" w:color="auto" w:fill="auto"/>
            <w:vAlign w:val="center"/>
          </w:tcPr>
          <w:p w14:paraId="3B70908B" w14:textId="77777777"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MDV SR</w:t>
            </w:r>
          </w:p>
        </w:tc>
        <w:tc>
          <w:tcPr>
            <w:tcW w:w="532" w:type="pct"/>
            <w:tcBorders>
              <w:top w:val="nil"/>
              <w:left w:val="nil"/>
              <w:bottom w:val="single" w:sz="4" w:space="0" w:color="auto"/>
              <w:right w:val="single" w:sz="4" w:space="0" w:color="auto"/>
            </w:tcBorders>
            <w:shd w:val="clear" w:color="auto" w:fill="auto"/>
            <w:vAlign w:val="center"/>
          </w:tcPr>
          <w:p w14:paraId="6865FB69" w14:textId="77777777" w:rsidR="00CB16AA" w:rsidRPr="00666914" w:rsidRDefault="00CB16AA" w:rsidP="00254A5B">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priebežne</w:t>
            </w:r>
          </w:p>
        </w:tc>
        <w:tc>
          <w:tcPr>
            <w:tcW w:w="535" w:type="pct"/>
            <w:tcBorders>
              <w:top w:val="nil"/>
              <w:left w:val="nil"/>
              <w:bottom w:val="single" w:sz="4" w:space="0" w:color="auto"/>
              <w:right w:val="single" w:sz="4" w:space="0" w:color="auto"/>
            </w:tcBorders>
            <w:shd w:val="clear" w:color="auto" w:fill="auto"/>
            <w:vAlign w:val="center"/>
          </w:tcPr>
          <w:p w14:paraId="2B6ADFF6" w14:textId="77777777" w:rsidR="00CB16AA" w:rsidRPr="00666914" w:rsidRDefault="00CB16AA" w:rsidP="00985E7A">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hideMark/>
          </w:tcPr>
          <w:p w14:paraId="3E1E9AA9"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92D050"/>
            <w:noWrap/>
            <w:vAlign w:val="bottom"/>
            <w:hideMark/>
          </w:tcPr>
          <w:p w14:paraId="37202B5F"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EAAAA" w:themeFill="background2" w:themeFillShade="BF"/>
            <w:noWrap/>
            <w:vAlign w:val="bottom"/>
            <w:hideMark/>
          </w:tcPr>
          <w:p w14:paraId="682CBD84"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92D050"/>
            <w:noWrap/>
            <w:vAlign w:val="bottom"/>
            <w:hideMark/>
          </w:tcPr>
          <w:p w14:paraId="176F6146"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CB16AA" w:rsidRPr="00666914" w14:paraId="2F8280F1" w14:textId="77777777" w:rsidTr="00254A5B">
        <w:trPr>
          <w:trHeight w:val="287"/>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65673C75" w14:textId="77777777" w:rsidR="00CB16AA" w:rsidRPr="00666914" w:rsidRDefault="00CB16AA" w:rsidP="00985E7A">
            <w:pPr>
              <w:spacing w:after="0"/>
              <w:rPr>
                <w:rFonts w:eastAsia="Times New Roman"/>
                <w:bCs/>
                <w:color w:val="000000"/>
                <w:sz w:val="20"/>
                <w:szCs w:val="20"/>
                <w:lang w:eastAsia="sk-SK"/>
              </w:rPr>
            </w:pPr>
            <w:r w:rsidRPr="00666914">
              <w:rPr>
                <w:rFonts w:eastAsia="Times New Roman"/>
                <w:bCs/>
                <w:color w:val="000000"/>
                <w:sz w:val="20"/>
                <w:szCs w:val="20"/>
                <w:lang w:eastAsia="sk-SK"/>
              </w:rPr>
              <w:t>7</w:t>
            </w:r>
          </w:p>
        </w:tc>
        <w:tc>
          <w:tcPr>
            <w:tcW w:w="1839" w:type="pct"/>
            <w:tcBorders>
              <w:top w:val="nil"/>
              <w:left w:val="single" w:sz="4" w:space="0" w:color="auto"/>
              <w:bottom w:val="single" w:sz="4" w:space="0" w:color="auto"/>
              <w:right w:val="single" w:sz="4" w:space="0" w:color="auto"/>
            </w:tcBorders>
            <w:shd w:val="clear" w:color="auto" w:fill="auto"/>
            <w:vAlign w:val="center"/>
          </w:tcPr>
          <w:p w14:paraId="44874665"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Skvalitniť interné expertné kapacity objednávateľov v rezorte dopravy na lepšiu formuláciu zadaní, priebežnú a záverečnú kontrolu projektov</w:t>
            </w:r>
          </w:p>
        </w:tc>
        <w:tc>
          <w:tcPr>
            <w:tcW w:w="760" w:type="pct"/>
            <w:tcBorders>
              <w:top w:val="nil"/>
              <w:left w:val="nil"/>
              <w:bottom w:val="single" w:sz="4" w:space="0" w:color="auto"/>
              <w:right w:val="single" w:sz="4" w:space="0" w:color="auto"/>
            </w:tcBorders>
            <w:shd w:val="clear" w:color="auto" w:fill="auto"/>
            <w:vAlign w:val="center"/>
          </w:tcPr>
          <w:p w14:paraId="14A46E21" w14:textId="089AC399"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MDV SR</w:t>
            </w:r>
          </w:p>
          <w:p w14:paraId="0321AEE0" w14:textId="77777777"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IDP</w:t>
            </w:r>
          </w:p>
        </w:tc>
        <w:tc>
          <w:tcPr>
            <w:tcW w:w="532" w:type="pct"/>
            <w:tcBorders>
              <w:top w:val="nil"/>
              <w:left w:val="nil"/>
              <w:bottom w:val="single" w:sz="4" w:space="0" w:color="auto"/>
              <w:right w:val="single" w:sz="4" w:space="0" w:color="auto"/>
            </w:tcBorders>
            <w:shd w:val="clear" w:color="auto" w:fill="auto"/>
            <w:vAlign w:val="center"/>
          </w:tcPr>
          <w:p w14:paraId="3E3E7468" w14:textId="77777777" w:rsidR="00CB16AA" w:rsidRPr="00666914" w:rsidRDefault="00CB16AA" w:rsidP="00254A5B">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12/2017</w:t>
            </w:r>
          </w:p>
        </w:tc>
        <w:tc>
          <w:tcPr>
            <w:tcW w:w="535" w:type="pct"/>
            <w:tcBorders>
              <w:top w:val="nil"/>
              <w:left w:val="nil"/>
              <w:bottom w:val="single" w:sz="4" w:space="0" w:color="auto"/>
              <w:right w:val="single" w:sz="4" w:space="0" w:color="auto"/>
            </w:tcBorders>
            <w:shd w:val="clear" w:color="auto" w:fill="auto"/>
            <w:vAlign w:val="center"/>
          </w:tcPr>
          <w:p w14:paraId="7D0499FD" w14:textId="77777777" w:rsidR="00CB16AA" w:rsidRPr="00666914" w:rsidRDefault="00CB16AA" w:rsidP="00985E7A">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hideMark/>
          </w:tcPr>
          <w:p w14:paraId="34947872"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0000"/>
            <w:noWrap/>
            <w:vAlign w:val="bottom"/>
            <w:hideMark/>
          </w:tcPr>
          <w:p w14:paraId="3EDD78DE"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EAAAA" w:themeFill="background2" w:themeFillShade="BF"/>
            <w:noWrap/>
            <w:vAlign w:val="bottom"/>
            <w:hideMark/>
          </w:tcPr>
          <w:p w14:paraId="5172B31D"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FFC000"/>
            <w:noWrap/>
            <w:vAlign w:val="bottom"/>
            <w:hideMark/>
          </w:tcPr>
          <w:p w14:paraId="384E50E7"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CB16AA" w:rsidRPr="00666914" w14:paraId="0C501766" w14:textId="77777777" w:rsidTr="00254A5B">
        <w:trPr>
          <w:trHeight w:val="302"/>
        </w:trPr>
        <w:tc>
          <w:tcPr>
            <w:tcW w:w="206" w:type="pct"/>
            <w:tcBorders>
              <w:top w:val="nil"/>
              <w:left w:val="single" w:sz="8" w:space="0" w:color="auto"/>
              <w:bottom w:val="nil"/>
              <w:right w:val="single" w:sz="4" w:space="0" w:color="auto"/>
            </w:tcBorders>
            <w:shd w:val="clear" w:color="auto" w:fill="auto"/>
            <w:vAlign w:val="center"/>
            <w:hideMark/>
          </w:tcPr>
          <w:p w14:paraId="3C995AEB" w14:textId="77777777" w:rsidR="00CB16AA" w:rsidRPr="00666914" w:rsidRDefault="00CB16AA" w:rsidP="00985E7A">
            <w:pPr>
              <w:spacing w:after="0"/>
              <w:rPr>
                <w:rFonts w:eastAsia="Times New Roman"/>
                <w:bCs/>
                <w:color w:val="000000"/>
                <w:sz w:val="20"/>
                <w:szCs w:val="20"/>
                <w:lang w:eastAsia="sk-SK"/>
              </w:rPr>
            </w:pPr>
            <w:r w:rsidRPr="00666914">
              <w:rPr>
                <w:rFonts w:eastAsia="Times New Roman"/>
                <w:bCs/>
                <w:color w:val="000000"/>
                <w:sz w:val="20"/>
                <w:szCs w:val="20"/>
                <w:lang w:eastAsia="sk-SK"/>
              </w:rPr>
              <w:t>8</w:t>
            </w:r>
          </w:p>
        </w:tc>
        <w:tc>
          <w:tcPr>
            <w:tcW w:w="1839" w:type="pct"/>
            <w:tcBorders>
              <w:top w:val="nil"/>
              <w:left w:val="single" w:sz="4" w:space="0" w:color="auto"/>
              <w:bottom w:val="nil"/>
              <w:right w:val="single" w:sz="4" w:space="0" w:color="auto"/>
            </w:tcBorders>
            <w:shd w:val="clear" w:color="auto" w:fill="auto"/>
            <w:vAlign w:val="center"/>
          </w:tcPr>
          <w:p w14:paraId="6241BA24"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Poskytovať verejnosti relevantné podklady o pripravovaných investičných projektoch</w:t>
            </w:r>
          </w:p>
        </w:tc>
        <w:tc>
          <w:tcPr>
            <w:tcW w:w="760" w:type="pct"/>
            <w:tcBorders>
              <w:top w:val="nil"/>
              <w:left w:val="nil"/>
              <w:bottom w:val="nil"/>
              <w:right w:val="single" w:sz="4" w:space="0" w:color="auto"/>
            </w:tcBorders>
            <w:shd w:val="clear" w:color="auto" w:fill="auto"/>
            <w:vAlign w:val="center"/>
          </w:tcPr>
          <w:p w14:paraId="0E8EEFF1" w14:textId="344E7549"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MDV SR</w:t>
            </w:r>
          </w:p>
          <w:p w14:paraId="1C97A381" w14:textId="40F64DE8"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SRP</w:t>
            </w:r>
          </w:p>
        </w:tc>
        <w:tc>
          <w:tcPr>
            <w:tcW w:w="532" w:type="pct"/>
            <w:tcBorders>
              <w:top w:val="nil"/>
              <w:left w:val="nil"/>
              <w:bottom w:val="nil"/>
              <w:right w:val="single" w:sz="4" w:space="0" w:color="auto"/>
            </w:tcBorders>
            <w:shd w:val="clear" w:color="auto" w:fill="auto"/>
            <w:vAlign w:val="center"/>
          </w:tcPr>
          <w:p w14:paraId="00685320" w14:textId="77777777" w:rsidR="00CB16AA" w:rsidRPr="00666914" w:rsidRDefault="00CB16AA" w:rsidP="00254A5B">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priebežne</w:t>
            </w:r>
          </w:p>
        </w:tc>
        <w:tc>
          <w:tcPr>
            <w:tcW w:w="535" w:type="pct"/>
            <w:tcBorders>
              <w:top w:val="nil"/>
              <w:left w:val="nil"/>
              <w:bottom w:val="nil"/>
              <w:right w:val="single" w:sz="4" w:space="0" w:color="auto"/>
            </w:tcBorders>
            <w:shd w:val="clear" w:color="auto" w:fill="auto"/>
            <w:vAlign w:val="center"/>
          </w:tcPr>
          <w:p w14:paraId="3D499C23" w14:textId="77777777" w:rsidR="00CB16AA" w:rsidRPr="00666914" w:rsidRDefault="00CB16AA" w:rsidP="00985E7A">
            <w:pPr>
              <w:spacing w:after="0"/>
              <w:jc w:val="center"/>
              <w:rPr>
                <w:rFonts w:eastAsia="Times New Roman"/>
                <w:color w:val="000000"/>
                <w:sz w:val="20"/>
                <w:szCs w:val="20"/>
                <w:lang w:eastAsia="sk-SK"/>
              </w:rPr>
            </w:pPr>
            <w:r w:rsidRPr="00666914">
              <w:rPr>
                <w:rFonts w:eastAsia="Times New Roman"/>
                <w:color w:val="000000"/>
                <w:sz w:val="20"/>
                <w:szCs w:val="20"/>
                <w:lang w:eastAsia="sk-SK"/>
              </w:rPr>
              <w:t>12/2019</w:t>
            </w:r>
          </w:p>
        </w:tc>
        <w:tc>
          <w:tcPr>
            <w:tcW w:w="284" w:type="pct"/>
            <w:tcBorders>
              <w:top w:val="nil"/>
              <w:left w:val="nil"/>
              <w:bottom w:val="nil"/>
              <w:right w:val="single" w:sz="4" w:space="0" w:color="auto"/>
            </w:tcBorders>
            <w:shd w:val="clear" w:color="auto" w:fill="92D050"/>
            <w:noWrap/>
            <w:vAlign w:val="bottom"/>
            <w:hideMark/>
          </w:tcPr>
          <w:p w14:paraId="4BF7B652"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1" w:type="pct"/>
            <w:tcBorders>
              <w:top w:val="nil"/>
              <w:left w:val="nil"/>
              <w:bottom w:val="nil"/>
              <w:right w:val="single" w:sz="4" w:space="0" w:color="auto"/>
            </w:tcBorders>
            <w:shd w:val="clear" w:color="auto" w:fill="92D050"/>
            <w:noWrap/>
            <w:vAlign w:val="bottom"/>
            <w:hideMark/>
          </w:tcPr>
          <w:p w14:paraId="791A3436"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1" w:type="pct"/>
            <w:tcBorders>
              <w:top w:val="nil"/>
              <w:left w:val="nil"/>
              <w:bottom w:val="nil"/>
              <w:right w:val="single" w:sz="4" w:space="0" w:color="auto"/>
            </w:tcBorders>
            <w:shd w:val="clear" w:color="auto" w:fill="92D050"/>
            <w:noWrap/>
            <w:vAlign w:val="bottom"/>
            <w:hideMark/>
          </w:tcPr>
          <w:p w14:paraId="7D52064E"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2" w:type="pct"/>
            <w:tcBorders>
              <w:top w:val="nil"/>
              <w:left w:val="single" w:sz="4" w:space="0" w:color="auto"/>
              <w:bottom w:val="nil"/>
              <w:right w:val="single" w:sz="8" w:space="0" w:color="auto"/>
            </w:tcBorders>
            <w:shd w:val="clear" w:color="auto" w:fill="92D050"/>
            <w:noWrap/>
            <w:vAlign w:val="bottom"/>
            <w:hideMark/>
          </w:tcPr>
          <w:p w14:paraId="4EC8E6EE"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CB16AA" w:rsidRPr="00666914" w14:paraId="115CE4E6" w14:textId="77777777" w:rsidTr="00985E7A">
        <w:trPr>
          <w:trHeight w:val="330"/>
        </w:trPr>
        <w:tc>
          <w:tcPr>
            <w:tcW w:w="5000" w:type="pct"/>
            <w:gridSpan w:val="9"/>
            <w:tcBorders>
              <w:top w:val="single" w:sz="8" w:space="0" w:color="auto"/>
              <w:left w:val="single" w:sz="8" w:space="0" w:color="auto"/>
              <w:bottom w:val="single" w:sz="8" w:space="0" w:color="auto"/>
              <w:right w:val="single" w:sz="8" w:space="0" w:color="auto"/>
            </w:tcBorders>
            <w:shd w:val="clear" w:color="auto" w:fill="auto"/>
            <w:noWrap/>
            <w:vAlign w:val="center"/>
          </w:tcPr>
          <w:p w14:paraId="779E5CD9" w14:textId="77777777" w:rsidR="00CB16AA" w:rsidRPr="00666914" w:rsidRDefault="00CB16AA" w:rsidP="00254A5B">
            <w:pPr>
              <w:spacing w:after="0"/>
              <w:jc w:val="center"/>
              <w:rPr>
                <w:rFonts w:eastAsia="Times New Roman"/>
                <w:b/>
                <w:bCs/>
                <w:color w:val="000000"/>
                <w:sz w:val="20"/>
                <w:szCs w:val="20"/>
                <w:lang w:eastAsia="sk-SK"/>
              </w:rPr>
            </w:pPr>
            <w:r w:rsidRPr="00666914">
              <w:rPr>
                <w:rFonts w:eastAsia="Times New Roman" w:cs="Calibri"/>
                <w:b/>
                <w:bCs/>
                <w:color w:val="000000"/>
                <w:sz w:val="20"/>
                <w:szCs w:val="20"/>
                <w:lang w:eastAsia="sk-SK"/>
              </w:rPr>
              <w:t>DIAĽNICE, RÝCHLOSTNÉ CESTY A CESTY I. TRIEDY</w:t>
            </w:r>
          </w:p>
        </w:tc>
      </w:tr>
      <w:tr w:rsidR="00CB16AA" w:rsidRPr="00666914" w14:paraId="0341BA09" w14:textId="77777777" w:rsidTr="00254A5B">
        <w:trPr>
          <w:trHeight w:val="287"/>
        </w:trPr>
        <w:tc>
          <w:tcPr>
            <w:tcW w:w="206" w:type="pct"/>
            <w:tcBorders>
              <w:top w:val="nil"/>
              <w:left w:val="single" w:sz="8" w:space="0" w:color="auto"/>
              <w:bottom w:val="single" w:sz="4" w:space="0" w:color="auto"/>
              <w:right w:val="single" w:sz="4" w:space="0" w:color="auto"/>
            </w:tcBorders>
            <w:shd w:val="clear" w:color="auto" w:fill="auto"/>
            <w:vAlign w:val="center"/>
          </w:tcPr>
          <w:p w14:paraId="33C60CF8"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9</w:t>
            </w:r>
          </w:p>
        </w:tc>
        <w:tc>
          <w:tcPr>
            <w:tcW w:w="1839" w:type="pct"/>
            <w:tcBorders>
              <w:top w:val="nil"/>
              <w:left w:val="single" w:sz="4" w:space="0" w:color="auto"/>
              <w:bottom w:val="single" w:sz="4" w:space="0" w:color="auto"/>
              <w:right w:val="single" w:sz="4" w:space="0" w:color="auto"/>
            </w:tcBorders>
            <w:shd w:val="clear" w:color="auto" w:fill="auto"/>
            <w:vAlign w:val="center"/>
          </w:tcPr>
          <w:p w14:paraId="4FEC4F86"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Hľadať spôsoby zvýšenia výdavkov na opravy a údržbu ciest I. triedy tak, aby nedochádzalo k zvyšovaniu podielu ciest I. triedy v nevyhovujúcom a havarijnom stave</w:t>
            </w:r>
          </w:p>
        </w:tc>
        <w:tc>
          <w:tcPr>
            <w:tcW w:w="760" w:type="pct"/>
            <w:tcBorders>
              <w:top w:val="nil"/>
              <w:left w:val="nil"/>
              <w:bottom w:val="single" w:sz="4" w:space="0" w:color="auto"/>
              <w:right w:val="single" w:sz="4" w:space="0" w:color="auto"/>
            </w:tcBorders>
            <w:shd w:val="clear" w:color="auto" w:fill="auto"/>
            <w:vAlign w:val="center"/>
          </w:tcPr>
          <w:p w14:paraId="37B3A1D2" w14:textId="5B1427B1"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MDV SR / MF SR</w:t>
            </w:r>
          </w:p>
          <w:p w14:paraId="0153BC7A" w14:textId="2F439E2C"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SCDaPK</w:t>
            </w:r>
          </w:p>
        </w:tc>
        <w:tc>
          <w:tcPr>
            <w:tcW w:w="532" w:type="pct"/>
            <w:tcBorders>
              <w:top w:val="nil"/>
              <w:left w:val="nil"/>
              <w:bottom w:val="single" w:sz="4" w:space="0" w:color="auto"/>
              <w:right w:val="single" w:sz="4" w:space="0" w:color="auto"/>
            </w:tcBorders>
            <w:shd w:val="clear" w:color="auto" w:fill="auto"/>
            <w:vAlign w:val="center"/>
          </w:tcPr>
          <w:p w14:paraId="047236DE" w14:textId="77777777" w:rsidR="00CB16AA" w:rsidRPr="00666914" w:rsidRDefault="00CB16AA" w:rsidP="00254A5B">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priebežne</w:t>
            </w:r>
          </w:p>
        </w:tc>
        <w:tc>
          <w:tcPr>
            <w:tcW w:w="535" w:type="pct"/>
            <w:tcBorders>
              <w:top w:val="nil"/>
              <w:left w:val="nil"/>
              <w:bottom w:val="single" w:sz="4" w:space="0" w:color="auto"/>
              <w:right w:val="single" w:sz="4" w:space="0" w:color="auto"/>
            </w:tcBorders>
            <w:shd w:val="clear" w:color="auto" w:fill="auto"/>
            <w:vAlign w:val="center"/>
          </w:tcPr>
          <w:p w14:paraId="2CAF8C03" w14:textId="77777777" w:rsidR="00CB16AA" w:rsidRPr="00666914" w:rsidRDefault="00CB16AA" w:rsidP="00985E7A">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w:t>
            </w:r>
          </w:p>
        </w:tc>
        <w:tc>
          <w:tcPr>
            <w:tcW w:w="284" w:type="pct"/>
            <w:tcBorders>
              <w:top w:val="nil"/>
              <w:left w:val="nil"/>
              <w:bottom w:val="single" w:sz="4" w:space="0" w:color="auto"/>
              <w:right w:val="single" w:sz="4" w:space="0" w:color="auto"/>
            </w:tcBorders>
            <w:shd w:val="clear" w:color="auto" w:fill="FFC000"/>
            <w:noWrap/>
            <w:vAlign w:val="bottom"/>
            <w:hideMark/>
          </w:tcPr>
          <w:p w14:paraId="659B1840" w14:textId="77777777" w:rsidR="00CB16AA" w:rsidRPr="00666914" w:rsidRDefault="00CB16AA" w:rsidP="00985E7A">
            <w:pPr>
              <w:spacing w:after="0"/>
              <w:rPr>
                <w:rFonts w:eastAsia="Times New Roman"/>
                <w:b/>
                <w:bCs/>
                <w:color w:val="000000"/>
                <w:sz w:val="20"/>
                <w:szCs w:val="20"/>
                <w:lang w:eastAsia="sk-SK"/>
              </w:rPr>
            </w:pPr>
            <w:r w:rsidRPr="00666914">
              <w:rPr>
                <w:rFonts w:eastAsia="Times New Roman"/>
                <w:b/>
                <w:bCs/>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0000"/>
            <w:noWrap/>
            <w:vAlign w:val="bottom"/>
            <w:hideMark/>
          </w:tcPr>
          <w:p w14:paraId="09FE42E8" w14:textId="77777777" w:rsidR="00CB16AA" w:rsidRPr="00666914" w:rsidRDefault="00CB16AA" w:rsidP="00985E7A">
            <w:pPr>
              <w:spacing w:after="0"/>
              <w:rPr>
                <w:rFonts w:eastAsia="Times New Roman"/>
                <w:b/>
                <w:bCs/>
                <w:color w:val="000000"/>
                <w:sz w:val="20"/>
                <w:szCs w:val="20"/>
                <w:lang w:eastAsia="sk-SK"/>
              </w:rPr>
            </w:pPr>
            <w:r w:rsidRPr="00666914">
              <w:rPr>
                <w:rFonts w:eastAsia="Times New Roman"/>
                <w:b/>
                <w:bCs/>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0000"/>
            <w:noWrap/>
            <w:vAlign w:val="bottom"/>
            <w:hideMark/>
          </w:tcPr>
          <w:p w14:paraId="7A596C6F" w14:textId="77777777" w:rsidR="00CB16AA" w:rsidRPr="00666914" w:rsidRDefault="00CB16AA" w:rsidP="00985E7A">
            <w:pPr>
              <w:spacing w:after="0"/>
              <w:rPr>
                <w:rFonts w:eastAsia="Times New Roman"/>
                <w:b/>
                <w:bCs/>
                <w:color w:val="000000"/>
                <w:sz w:val="20"/>
                <w:szCs w:val="20"/>
                <w:lang w:eastAsia="sk-SK"/>
              </w:rPr>
            </w:pPr>
            <w:r w:rsidRPr="00666914">
              <w:rPr>
                <w:rFonts w:eastAsia="Times New Roman"/>
                <w:b/>
                <w:bCs/>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FFC000"/>
            <w:noWrap/>
            <w:vAlign w:val="bottom"/>
            <w:hideMark/>
          </w:tcPr>
          <w:p w14:paraId="53A1DA54"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CB16AA" w:rsidRPr="00666914" w14:paraId="2BDCB1FF" w14:textId="77777777" w:rsidTr="00254A5B">
        <w:trPr>
          <w:trHeight w:val="1770"/>
        </w:trPr>
        <w:tc>
          <w:tcPr>
            <w:tcW w:w="206" w:type="pct"/>
            <w:tcBorders>
              <w:top w:val="nil"/>
              <w:left w:val="single" w:sz="8" w:space="0" w:color="auto"/>
              <w:bottom w:val="single" w:sz="4" w:space="0" w:color="auto"/>
              <w:right w:val="single" w:sz="4" w:space="0" w:color="auto"/>
            </w:tcBorders>
            <w:shd w:val="clear" w:color="auto" w:fill="auto"/>
            <w:vAlign w:val="center"/>
          </w:tcPr>
          <w:p w14:paraId="0B8AA5DE"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10</w:t>
            </w:r>
          </w:p>
        </w:tc>
        <w:tc>
          <w:tcPr>
            <w:tcW w:w="1839" w:type="pct"/>
            <w:tcBorders>
              <w:top w:val="nil"/>
              <w:left w:val="single" w:sz="4" w:space="0" w:color="auto"/>
              <w:bottom w:val="single" w:sz="4" w:space="0" w:color="auto"/>
              <w:right w:val="single" w:sz="4" w:space="0" w:color="auto"/>
            </w:tcBorders>
            <w:shd w:val="clear" w:color="auto" w:fill="auto"/>
            <w:vAlign w:val="center"/>
          </w:tcPr>
          <w:p w14:paraId="6109EAC6"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Zverejňovať v ročnom intervale počet vybraných kľúčových výkonov jednotlivých činností opráv a vybraných kľúčových výkonov údržby ciest I. triedy a ich náklady v členení podľa IVSC (v užívateľsky vhodnej a spracovateľnej forme – napr. vo formáte .xls)</w:t>
            </w:r>
          </w:p>
        </w:tc>
        <w:tc>
          <w:tcPr>
            <w:tcW w:w="760" w:type="pct"/>
            <w:tcBorders>
              <w:top w:val="nil"/>
              <w:left w:val="nil"/>
              <w:bottom w:val="single" w:sz="4" w:space="0" w:color="auto"/>
              <w:right w:val="single" w:sz="4" w:space="0" w:color="auto"/>
            </w:tcBorders>
            <w:shd w:val="clear" w:color="auto" w:fill="auto"/>
            <w:vAlign w:val="center"/>
          </w:tcPr>
          <w:p w14:paraId="54809672" w14:textId="5017D4E7"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MDV SR / MF SR</w:t>
            </w:r>
          </w:p>
          <w:p w14:paraId="64186CE0" w14:textId="3D4F705E"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SCDaPK</w:t>
            </w:r>
          </w:p>
        </w:tc>
        <w:tc>
          <w:tcPr>
            <w:tcW w:w="532" w:type="pct"/>
            <w:tcBorders>
              <w:top w:val="nil"/>
              <w:left w:val="nil"/>
              <w:bottom w:val="single" w:sz="4" w:space="0" w:color="auto"/>
              <w:right w:val="single" w:sz="4" w:space="0" w:color="auto"/>
            </w:tcBorders>
            <w:shd w:val="clear" w:color="auto" w:fill="auto"/>
            <w:vAlign w:val="center"/>
          </w:tcPr>
          <w:p w14:paraId="1815C8EF" w14:textId="77777777"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06/2017 / každoročne</w:t>
            </w:r>
          </w:p>
        </w:tc>
        <w:tc>
          <w:tcPr>
            <w:tcW w:w="535" w:type="pct"/>
            <w:tcBorders>
              <w:top w:val="nil"/>
              <w:left w:val="nil"/>
              <w:bottom w:val="single" w:sz="4" w:space="0" w:color="auto"/>
              <w:right w:val="single" w:sz="4" w:space="0" w:color="auto"/>
            </w:tcBorders>
            <w:shd w:val="clear" w:color="auto" w:fill="auto"/>
            <w:vAlign w:val="center"/>
          </w:tcPr>
          <w:p w14:paraId="16CA4075" w14:textId="77777777" w:rsidR="00CB16AA" w:rsidRPr="00666914" w:rsidRDefault="00CB16AA" w:rsidP="00985E7A">
            <w:pPr>
              <w:spacing w:after="0"/>
              <w:jc w:val="center"/>
              <w:rPr>
                <w:rFonts w:eastAsia="Times New Roman"/>
                <w:color w:val="000000"/>
                <w:sz w:val="20"/>
                <w:szCs w:val="20"/>
                <w:lang w:eastAsia="sk-SK"/>
              </w:rPr>
            </w:pPr>
            <w:r w:rsidRPr="00666914">
              <w:rPr>
                <w:rFonts w:eastAsia="Times New Roman"/>
                <w:color w:val="000000"/>
                <w:sz w:val="20"/>
                <w:szCs w:val="20"/>
                <w:lang w:eastAsia="sk-SK"/>
              </w:rPr>
              <w:t>-</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tcPr>
          <w:p w14:paraId="681794DB" w14:textId="77777777" w:rsidR="00CB16AA" w:rsidRPr="00666914" w:rsidRDefault="00CB16AA" w:rsidP="00985E7A">
            <w:pPr>
              <w:spacing w:after="0"/>
              <w:rPr>
                <w:rFonts w:eastAsia="Times New Roman"/>
                <w:b/>
                <w:bCs/>
                <w:color w:val="000000"/>
                <w:sz w:val="20"/>
                <w:szCs w:val="20"/>
                <w:lang w:eastAsia="sk-SK"/>
              </w:rPr>
            </w:pPr>
          </w:p>
        </w:tc>
        <w:tc>
          <w:tcPr>
            <w:tcW w:w="281" w:type="pct"/>
            <w:tcBorders>
              <w:top w:val="nil"/>
              <w:left w:val="nil"/>
              <w:bottom w:val="single" w:sz="4" w:space="0" w:color="auto"/>
              <w:right w:val="single" w:sz="4" w:space="0" w:color="auto"/>
            </w:tcBorders>
            <w:shd w:val="clear" w:color="auto" w:fill="92D050"/>
            <w:noWrap/>
            <w:vAlign w:val="bottom"/>
          </w:tcPr>
          <w:p w14:paraId="6BB672EB" w14:textId="77777777" w:rsidR="00CB16AA" w:rsidRPr="00666914" w:rsidRDefault="00CB16AA" w:rsidP="00985E7A">
            <w:pPr>
              <w:spacing w:after="0"/>
              <w:rPr>
                <w:rFonts w:eastAsia="Times New Roman"/>
                <w:b/>
                <w:bCs/>
                <w:color w:val="000000"/>
                <w:sz w:val="20"/>
                <w:szCs w:val="20"/>
                <w:lang w:eastAsia="sk-SK"/>
              </w:rPr>
            </w:pPr>
          </w:p>
        </w:tc>
        <w:tc>
          <w:tcPr>
            <w:tcW w:w="281" w:type="pct"/>
            <w:tcBorders>
              <w:top w:val="nil"/>
              <w:left w:val="nil"/>
              <w:bottom w:val="single" w:sz="4" w:space="0" w:color="auto"/>
              <w:right w:val="single" w:sz="4" w:space="0" w:color="auto"/>
            </w:tcBorders>
            <w:shd w:val="clear" w:color="auto" w:fill="AEAAAA" w:themeFill="background2" w:themeFillShade="BF"/>
            <w:noWrap/>
            <w:vAlign w:val="bottom"/>
          </w:tcPr>
          <w:p w14:paraId="516387A6" w14:textId="77777777" w:rsidR="00CB16AA" w:rsidRPr="00666914" w:rsidRDefault="00CB16AA" w:rsidP="00985E7A">
            <w:pPr>
              <w:spacing w:after="0"/>
              <w:rPr>
                <w:rFonts w:eastAsia="Times New Roman"/>
                <w:b/>
                <w:bCs/>
                <w:color w:val="000000"/>
                <w:sz w:val="20"/>
                <w:szCs w:val="20"/>
                <w:lang w:eastAsia="sk-SK"/>
              </w:rPr>
            </w:pPr>
          </w:p>
        </w:tc>
        <w:tc>
          <w:tcPr>
            <w:tcW w:w="282" w:type="pct"/>
            <w:tcBorders>
              <w:top w:val="nil"/>
              <w:left w:val="single" w:sz="4" w:space="0" w:color="auto"/>
              <w:bottom w:val="single" w:sz="4" w:space="0" w:color="auto"/>
              <w:right w:val="single" w:sz="8" w:space="0" w:color="auto"/>
            </w:tcBorders>
            <w:shd w:val="clear" w:color="auto" w:fill="A6A6A6" w:themeFill="background1" w:themeFillShade="A6"/>
            <w:noWrap/>
            <w:vAlign w:val="bottom"/>
          </w:tcPr>
          <w:p w14:paraId="7257C2E5" w14:textId="77777777" w:rsidR="00CB16AA" w:rsidRPr="00666914" w:rsidRDefault="00CB16AA" w:rsidP="00985E7A">
            <w:pPr>
              <w:spacing w:after="0"/>
              <w:rPr>
                <w:rFonts w:eastAsia="Times New Roman"/>
                <w:color w:val="000000"/>
                <w:sz w:val="20"/>
                <w:szCs w:val="20"/>
                <w:lang w:eastAsia="sk-SK"/>
              </w:rPr>
            </w:pPr>
          </w:p>
        </w:tc>
      </w:tr>
      <w:tr w:rsidR="00CB16AA" w:rsidRPr="00666914" w14:paraId="6F4146B8" w14:textId="77777777" w:rsidTr="00254A5B">
        <w:trPr>
          <w:trHeight w:val="287"/>
        </w:trPr>
        <w:tc>
          <w:tcPr>
            <w:tcW w:w="206" w:type="pct"/>
            <w:tcBorders>
              <w:top w:val="nil"/>
              <w:left w:val="single" w:sz="8" w:space="0" w:color="auto"/>
              <w:bottom w:val="single" w:sz="4" w:space="0" w:color="auto"/>
              <w:right w:val="single" w:sz="4" w:space="0" w:color="auto"/>
            </w:tcBorders>
            <w:shd w:val="clear" w:color="auto" w:fill="auto"/>
            <w:vAlign w:val="center"/>
          </w:tcPr>
          <w:p w14:paraId="4CA53F34"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11</w:t>
            </w:r>
          </w:p>
        </w:tc>
        <w:tc>
          <w:tcPr>
            <w:tcW w:w="1839" w:type="pct"/>
            <w:tcBorders>
              <w:top w:val="nil"/>
              <w:left w:val="single" w:sz="4" w:space="0" w:color="auto"/>
              <w:bottom w:val="single" w:sz="4" w:space="0" w:color="auto"/>
              <w:right w:val="single" w:sz="4" w:space="0" w:color="auto"/>
            </w:tcBorders>
            <w:shd w:val="clear" w:color="auto" w:fill="auto"/>
            <w:vAlign w:val="center"/>
          </w:tcPr>
          <w:p w14:paraId="7A76973D"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xml:space="preserve">Hľadať spôsoby zníženia jednotkových nákladov jednotlivých činností opráv a údržby diaľnic a rýchlostných ciest realizovaných vlastnými kapacitami NDS. Pravidelne (minimálne na ročnej báze) zverejňovať počet vybraných kľúčových výkonov jednotlivých činností opráv a vybraných kľúčových výkonov údržby diaľnic a rýchlostných ciest a ich náklady v členení podľa stredísk údržby (v </w:t>
            </w:r>
            <w:r w:rsidRPr="00666914">
              <w:rPr>
                <w:rFonts w:eastAsia="Times New Roman" w:cs="Calibri"/>
                <w:color w:val="000000"/>
                <w:sz w:val="20"/>
                <w:szCs w:val="20"/>
                <w:lang w:eastAsia="sk-SK"/>
              </w:rPr>
              <w:lastRenderedPageBreak/>
              <w:t>užívateľsky vhodnej a spracovateľnej forme – napr. vo formáte .xls)</w:t>
            </w:r>
          </w:p>
        </w:tc>
        <w:tc>
          <w:tcPr>
            <w:tcW w:w="760" w:type="pct"/>
            <w:tcBorders>
              <w:top w:val="nil"/>
              <w:left w:val="nil"/>
              <w:bottom w:val="single" w:sz="4" w:space="0" w:color="auto"/>
              <w:right w:val="single" w:sz="4" w:space="0" w:color="auto"/>
            </w:tcBorders>
            <w:shd w:val="clear" w:color="auto" w:fill="auto"/>
            <w:vAlign w:val="center"/>
          </w:tcPr>
          <w:p w14:paraId="3294E7D6" w14:textId="2B96A6CF"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lastRenderedPageBreak/>
              <w:t>MDV SR / MF SR</w:t>
            </w:r>
          </w:p>
          <w:p w14:paraId="158ECD25" w14:textId="4D8A12D0"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SCDaPK</w:t>
            </w:r>
          </w:p>
        </w:tc>
        <w:tc>
          <w:tcPr>
            <w:tcW w:w="532" w:type="pct"/>
            <w:tcBorders>
              <w:top w:val="nil"/>
              <w:left w:val="nil"/>
              <w:bottom w:val="single" w:sz="4" w:space="0" w:color="auto"/>
              <w:right w:val="single" w:sz="4" w:space="0" w:color="auto"/>
            </w:tcBorders>
            <w:shd w:val="clear" w:color="auto" w:fill="auto"/>
            <w:vAlign w:val="center"/>
          </w:tcPr>
          <w:p w14:paraId="2260B419" w14:textId="77777777"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06/2017 / každoročne</w:t>
            </w:r>
          </w:p>
        </w:tc>
        <w:tc>
          <w:tcPr>
            <w:tcW w:w="535" w:type="pct"/>
            <w:tcBorders>
              <w:top w:val="nil"/>
              <w:left w:val="nil"/>
              <w:bottom w:val="single" w:sz="4" w:space="0" w:color="auto"/>
              <w:right w:val="single" w:sz="4" w:space="0" w:color="auto"/>
            </w:tcBorders>
            <w:shd w:val="clear" w:color="auto" w:fill="auto"/>
            <w:vAlign w:val="center"/>
          </w:tcPr>
          <w:p w14:paraId="72E9EAA3" w14:textId="77777777" w:rsidR="00CB16AA" w:rsidRPr="00666914" w:rsidRDefault="00CB16AA" w:rsidP="00985E7A">
            <w:pPr>
              <w:spacing w:after="0"/>
              <w:jc w:val="center"/>
              <w:rPr>
                <w:rFonts w:eastAsia="Times New Roman"/>
                <w:color w:val="000000"/>
                <w:sz w:val="20"/>
                <w:szCs w:val="20"/>
                <w:lang w:eastAsia="sk-SK"/>
              </w:rPr>
            </w:pPr>
            <w:r w:rsidRPr="00666914">
              <w:rPr>
                <w:rFonts w:eastAsia="Times New Roman"/>
                <w:color w:val="000000"/>
                <w:sz w:val="20"/>
                <w:szCs w:val="20"/>
                <w:lang w:eastAsia="sk-SK"/>
              </w:rPr>
              <w:t>-</w:t>
            </w:r>
          </w:p>
        </w:tc>
        <w:tc>
          <w:tcPr>
            <w:tcW w:w="284" w:type="pct"/>
            <w:tcBorders>
              <w:top w:val="nil"/>
              <w:left w:val="nil"/>
              <w:bottom w:val="single" w:sz="4" w:space="0" w:color="auto"/>
              <w:right w:val="single" w:sz="4" w:space="0" w:color="auto"/>
            </w:tcBorders>
            <w:shd w:val="clear" w:color="auto" w:fill="92D050"/>
            <w:noWrap/>
            <w:vAlign w:val="bottom"/>
          </w:tcPr>
          <w:p w14:paraId="12DB5AF7" w14:textId="77777777" w:rsidR="00CB16AA" w:rsidRPr="00666914" w:rsidRDefault="00CB16AA" w:rsidP="00985E7A">
            <w:pPr>
              <w:spacing w:after="0"/>
              <w:rPr>
                <w:rFonts w:eastAsia="Times New Roman"/>
                <w:b/>
                <w:bCs/>
                <w:color w:val="000000"/>
                <w:sz w:val="20"/>
                <w:szCs w:val="20"/>
                <w:lang w:eastAsia="sk-SK"/>
              </w:rPr>
            </w:pPr>
          </w:p>
        </w:tc>
        <w:tc>
          <w:tcPr>
            <w:tcW w:w="281" w:type="pct"/>
            <w:tcBorders>
              <w:top w:val="nil"/>
              <w:left w:val="nil"/>
              <w:bottom w:val="single" w:sz="4" w:space="0" w:color="auto"/>
              <w:right w:val="single" w:sz="4" w:space="0" w:color="auto"/>
            </w:tcBorders>
            <w:shd w:val="clear" w:color="auto" w:fill="FFC000"/>
            <w:noWrap/>
            <w:vAlign w:val="bottom"/>
          </w:tcPr>
          <w:p w14:paraId="043D7101" w14:textId="77777777" w:rsidR="00CB16AA" w:rsidRPr="00666914" w:rsidRDefault="00CB16AA" w:rsidP="00985E7A">
            <w:pPr>
              <w:spacing w:after="0"/>
              <w:rPr>
                <w:rFonts w:eastAsia="Times New Roman"/>
                <w:b/>
                <w:bCs/>
                <w:color w:val="000000"/>
                <w:sz w:val="20"/>
                <w:szCs w:val="20"/>
                <w:lang w:eastAsia="sk-SK"/>
              </w:rPr>
            </w:pPr>
          </w:p>
        </w:tc>
        <w:tc>
          <w:tcPr>
            <w:tcW w:w="281" w:type="pct"/>
            <w:tcBorders>
              <w:top w:val="nil"/>
              <w:left w:val="nil"/>
              <w:bottom w:val="single" w:sz="4" w:space="0" w:color="auto"/>
              <w:right w:val="single" w:sz="4" w:space="0" w:color="auto"/>
            </w:tcBorders>
            <w:shd w:val="clear" w:color="auto" w:fill="AEAAAA" w:themeFill="background2" w:themeFillShade="BF"/>
            <w:noWrap/>
            <w:vAlign w:val="bottom"/>
          </w:tcPr>
          <w:p w14:paraId="4424DA7A" w14:textId="77777777" w:rsidR="00CB16AA" w:rsidRPr="00666914" w:rsidRDefault="00CB16AA" w:rsidP="00985E7A">
            <w:pPr>
              <w:spacing w:after="0"/>
              <w:rPr>
                <w:rFonts w:eastAsia="Times New Roman"/>
                <w:b/>
                <w:bCs/>
                <w:color w:val="000000"/>
                <w:sz w:val="20"/>
                <w:szCs w:val="20"/>
                <w:lang w:eastAsia="sk-SK"/>
              </w:rPr>
            </w:pPr>
          </w:p>
        </w:tc>
        <w:tc>
          <w:tcPr>
            <w:tcW w:w="282" w:type="pct"/>
            <w:tcBorders>
              <w:top w:val="nil"/>
              <w:left w:val="single" w:sz="4" w:space="0" w:color="auto"/>
              <w:bottom w:val="single" w:sz="4" w:space="0" w:color="auto"/>
              <w:right w:val="single" w:sz="8" w:space="0" w:color="auto"/>
            </w:tcBorders>
            <w:shd w:val="clear" w:color="auto" w:fill="FFC000"/>
            <w:noWrap/>
            <w:vAlign w:val="bottom"/>
          </w:tcPr>
          <w:p w14:paraId="54DE4D1D" w14:textId="77777777" w:rsidR="00CB16AA" w:rsidRPr="00666914" w:rsidRDefault="00CB16AA" w:rsidP="00985E7A">
            <w:pPr>
              <w:spacing w:after="0"/>
              <w:rPr>
                <w:rFonts w:eastAsia="Times New Roman"/>
                <w:color w:val="000000"/>
                <w:sz w:val="20"/>
                <w:szCs w:val="20"/>
                <w:lang w:eastAsia="sk-SK"/>
              </w:rPr>
            </w:pPr>
          </w:p>
        </w:tc>
      </w:tr>
      <w:tr w:rsidR="00CB16AA" w:rsidRPr="00666914" w14:paraId="3A329F65" w14:textId="77777777" w:rsidTr="00254A5B">
        <w:trPr>
          <w:trHeight w:val="645"/>
        </w:trPr>
        <w:tc>
          <w:tcPr>
            <w:tcW w:w="206" w:type="pct"/>
            <w:tcBorders>
              <w:top w:val="nil"/>
              <w:left w:val="single" w:sz="8" w:space="0" w:color="auto"/>
              <w:bottom w:val="single" w:sz="4" w:space="0" w:color="auto"/>
              <w:right w:val="single" w:sz="4" w:space="0" w:color="auto"/>
            </w:tcBorders>
            <w:shd w:val="clear" w:color="auto" w:fill="auto"/>
            <w:vAlign w:val="center"/>
          </w:tcPr>
          <w:p w14:paraId="36430458"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12</w:t>
            </w:r>
          </w:p>
        </w:tc>
        <w:tc>
          <w:tcPr>
            <w:tcW w:w="1839" w:type="pct"/>
            <w:tcBorders>
              <w:top w:val="nil"/>
              <w:left w:val="single" w:sz="4" w:space="0" w:color="auto"/>
              <w:bottom w:val="single" w:sz="4" w:space="0" w:color="auto"/>
              <w:right w:val="single" w:sz="4" w:space="0" w:color="auto"/>
            </w:tcBorders>
            <w:shd w:val="clear" w:color="auto" w:fill="auto"/>
            <w:vAlign w:val="center"/>
          </w:tcPr>
          <w:p w14:paraId="440A756A"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Prioritné projekty diaľnic a rýchlostných ciest pred verejným obstarávaním na dodávateľa stavebných prác budú hodnotené aj zo strany MF SR</w:t>
            </w:r>
          </w:p>
        </w:tc>
        <w:tc>
          <w:tcPr>
            <w:tcW w:w="760" w:type="pct"/>
            <w:tcBorders>
              <w:top w:val="nil"/>
              <w:left w:val="nil"/>
              <w:bottom w:val="single" w:sz="4" w:space="0" w:color="auto"/>
              <w:right w:val="single" w:sz="4" w:space="0" w:color="auto"/>
            </w:tcBorders>
            <w:shd w:val="clear" w:color="auto" w:fill="auto"/>
            <w:vAlign w:val="center"/>
          </w:tcPr>
          <w:p w14:paraId="60474E5B" w14:textId="49F9E938"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MF SR</w:t>
            </w:r>
          </w:p>
          <w:p w14:paraId="2A95D3A6" w14:textId="1374D493"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SCDaPK</w:t>
            </w:r>
          </w:p>
        </w:tc>
        <w:tc>
          <w:tcPr>
            <w:tcW w:w="532" w:type="pct"/>
            <w:tcBorders>
              <w:top w:val="nil"/>
              <w:left w:val="nil"/>
              <w:bottom w:val="single" w:sz="4" w:space="0" w:color="auto"/>
              <w:right w:val="single" w:sz="4" w:space="0" w:color="auto"/>
            </w:tcBorders>
            <w:shd w:val="clear" w:color="auto" w:fill="auto"/>
            <w:vAlign w:val="center"/>
          </w:tcPr>
          <w:p w14:paraId="50E551EF" w14:textId="77777777" w:rsidR="00CB16AA" w:rsidRPr="00666914" w:rsidRDefault="00CB16AA" w:rsidP="00254A5B">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priebežne</w:t>
            </w:r>
          </w:p>
        </w:tc>
        <w:tc>
          <w:tcPr>
            <w:tcW w:w="535" w:type="pct"/>
            <w:tcBorders>
              <w:top w:val="nil"/>
              <w:left w:val="nil"/>
              <w:bottom w:val="single" w:sz="4" w:space="0" w:color="auto"/>
              <w:right w:val="single" w:sz="4" w:space="0" w:color="auto"/>
            </w:tcBorders>
            <w:shd w:val="clear" w:color="auto" w:fill="auto"/>
            <w:vAlign w:val="center"/>
          </w:tcPr>
          <w:p w14:paraId="0885145F" w14:textId="77777777" w:rsidR="00CB16AA" w:rsidRPr="00666914" w:rsidRDefault="00CB16AA" w:rsidP="00985E7A">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w:t>
            </w:r>
          </w:p>
        </w:tc>
        <w:tc>
          <w:tcPr>
            <w:tcW w:w="284" w:type="pct"/>
            <w:tcBorders>
              <w:top w:val="nil"/>
              <w:left w:val="nil"/>
              <w:bottom w:val="single" w:sz="4" w:space="0" w:color="auto"/>
              <w:right w:val="single" w:sz="4" w:space="0" w:color="auto"/>
            </w:tcBorders>
            <w:shd w:val="clear" w:color="auto" w:fill="92D050"/>
            <w:noWrap/>
            <w:vAlign w:val="bottom"/>
          </w:tcPr>
          <w:p w14:paraId="746B2C1E" w14:textId="77777777" w:rsidR="00CB16AA" w:rsidRPr="00666914" w:rsidRDefault="00CB16AA" w:rsidP="00985E7A">
            <w:pPr>
              <w:spacing w:after="0"/>
              <w:rPr>
                <w:rFonts w:eastAsia="Times New Roman"/>
                <w:b/>
                <w:bCs/>
                <w:color w:val="000000"/>
                <w:sz w:val="20"/>
                <w:szCs w:val="20"/>
                <w:lang w:eastAsia="sk-SK"/>
              </w:rPr>
            </w:pPr>
          </w:p>
        </w:tc>
        <w:tc>
          <w:tcPr>
            <w:tcW w:w="281" w:type="pct"/>
            <w:tcBorders>
              <w:top w:val="nil"/>
              <w:left w:val="nil"/>
              <w:bottom w:val="single" w:sz="4" w:space="0" w:color="auto"/>
              <w:right w:val="single" w:sz="4" w:space="0" w:color="auto"/>
            </w:tcBorders>
            <w:shd w:val="clear" w:color="auto" w:fill="92D050"/>
            <w:noWrap/>
            <w:vAlign w:val="bottom"/>
          </w:tcPr>
          <w:p w14:paraId="4E887029" w14:textId="77777777" w:rsidR="00CB16AA" w:rsidRPr="00666914" w:rsidRDefault="00CB16AA" w:rsidP="00985E7A">
            <w:pPr>
              <w:spacing w:after="0"/>
              <w:rPr>
                <w:rFonts w:eastAsia="Times New Roman"/>
                <w:b/>
                <w:bCs/>
                <w:color w:val="000000"/>
                <w:sz w:val="20"/>
                <w:szCs w:val="20"/>
                <w:lang w:eastAsia="sk-SK"/>
              </w:rPr>
            </w:pPr>
          </w:p>
        </w:tc>
        <w:tc>
          <w:tcPr>
            <w:tcW w:w="281" w:type="pct"/>
            <w:tcBorders>
              <w:top w:val="nil"/>
              <w:left w:val="nil"/>
              <w:bottom w:val="single" w:sz="4" w:space="0" w:color="auto"/>
              <w:right w:val="single" w:sz="4" w:space="0" w:color="auto"/>
            </w:tcBorders>
            <w:shd w:val="clear" w:color="auto" w:fill="AEAAAA" w:themeFill="background2" w:themeFillShade="BF"/>
            <w:noWrap/>
            <w:vAlign w:val="bottom"/>
          </w:tcPr>
          <w:p w14:paraId="6343B912" w14:textId="77777777" w:rsidR="00CB16AA" w:rsidRPr="00666914" w:rsidRDefault="00CB16AA" w:rsidP="00985E7A">
            <w:pPr>
              <w:spacing w:after="0"/>
              <w:rPr>
                <w:rFonts w:eastAsia="Times New Roman"/>
                <w:b/>
                <w:bCs/>
                <w:color w:val="000000"/>
                <w:sz w:val="20"/>
                <w:szCs w:val="20"/>
                <w:lang w:eastAsia="sk-SK"/>
              </w:rPr>
            </w:pPr>
          </w:p>
        </w:tc>
        <w:tc>
          <w:tcPr>
            <w:tcW w:w="282" w:type="pct"/>
            <w:tcBorders>
              <w:top w:val="nil"/>
              <w:left w:val="single" w:sz="4" w:space="0" w:color="auto"/>
              <w:bottom w:val="single" w:sz="4" w:space="0" w:color="auto"/>
              <w:right w:val="single" w:sz="8" w:space="0" w:color="auto"/>
            </w:tcBorders>
            <w:shd w:val="clear" w:color="auto" w:fill="FF0000"/>
            <w:noWrap/>
            <w:vAlign w:val="bottom"/>
          </w:tcPr>
          <w:p w14:paraId="381FE21F" w14:textId="77777777" w:rsidR="00CB16AA" w:rsidRPr="00666914" w:rsidRDefault="00CB16AA" w:rsidP="00985E7A">
            <w:pPr>
              <w:spacing w:after="0"/>
              <w:rPr>
                <w:rFonts w:eastAsia="Times New Roman"/>
                <w:color w:val="000000"/>
                <w:sz w:val="20"/>
                <w:szCs w:val="20"/>
                <w:lang w:eastAsia="sk-SK"/>
              </w:rPr>
            </w:pPr>
          </w:p>
        </w:tc>
      </w:tr>
      <w:tr w:rsidR="00CB16AA" w:rsidRPr="00666914" w14:paraId="4472B0EA" w14:textId="77777777" w:rsidTr="00254A5B">
        <w:trPr>
          <w:trHeight w:val="287"/>
        </w:trPr>
        <w:tc>
          <w:tcPr>
            <w:tcW w:w="206" w:type="pct"/>
            <w:tcBorders>
              <w:top w:val="nil"/>
              <w:left w:val="single" w:sz="8" w:space="0" w:color="auto"/>
              <w:bottom w:val="single" w:sz="4" w:space="0" w:color="auto"/>
              <w:right w:val="single" w:sz="4" w:space="0" w:color="auto"/>
            </w:tcBorders>
            <w:shd w:val="clear" w:color="auto" w:fill="auto"/>
            <w:vAlign w:val="center"/>
          </w:tcPr>
          <w:p w14:paraId="4319C141"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13</w:t>
            </w:r>
          </w:p>
        </w:tc>
        <w:tc>
          <w:tcPr>
            <w:tcW w:w="1839" w:type="pct"/>
            <w:tcBorders>
              <w:top w:val="nil"/>
              <w:left w:val="single" w:sz="4" w:space="0" w:color="auto"/>
              <w:bottom w:val="single" w:sz="4" w:space="0" w:color="auto"/>
              <w:right w:val="single" w:sz="4" w:space="0" w:color="auto"/>
            </w:tcBorders>
            <w:shd w:val="clear" w:color="auto" w:fill="auto"/>
            <w:vAlign w:val="center"/>
          </w:tcPr>
          <w:p w14:paraId="4E17B31A"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Všetky budúce investičné projekty, ktorých predpokladaný investičný náklad je vyšší ako 40 mil. eur, budú vo fáze prípravy štúdie realizovateľnosti (ak sa spracováva) podrobené analýze nákladov a prínosov aj zo strany MF SR</w:t>
            </w:r>
          </w:p>
        </w:tc>
        <w:tc>
          <w:tcPr>
            <w:tcW w:w="760" w:type="pct"/>
            <w:tcBorders>
              <w:top w:val="nil"/>
              <w:left w:val="nil"/>
              <w:bottom w:val="single" w:sz="4" w:space="0" w:color="auto"/>
              <w:right w:val="single" w:sz="4" w:space="0" w:color="auto"/>
            </w:tcBorders>
            <w:shd w:val="clear" w:color="auto" w:fill="auto"/>
            <w:vAlign w:val="center"/>
          </w:tcPr>
          <w:p w14:paraId="7E3EDA23" w14:textId="040BCCF8"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MF SR</w:t>
            </w:r>
          </w:p>
          <w:p w14:paraId="4C436DEB" w14:textId="53C2F719"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SCDaPK</w:t>
            </w:r>
          </w:p>
        </w:tc>
        <w:tc>
          <w:tcPr>
            <w:tcW w:w="532" w:type="pct"/>
            <w:tcBorders>
              <w:top w:val="nil"/>
              <w:left w:val="nil"/>
              <w:bottom w:val="single" w:sz="4" w:space="0" w:color="auto"/>
              <w:right w:val="single" w:sz="4" w:space="0" w:color="auto"/>
            </w:tcBorders>
            <w:shd w:val="clear" w:color="auto" w:fill="auto"/>
            <w:vAlign w:val="center"/>
          </w:tcPr>
          <w:p w14:paraId="51DCBE4A" w14:textId="77777777" w:rsidR="00CB16AA" w:rsidRPr="00666914" w:rsidRDefault="00CB16AA" w:rsidP="00254A5B">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priebežne</w:t>
            </w:r>
          </w:p>
        </w:tc>
        <w:tc>
          <w:tcPr>
            <w:tcW w:w="535" w:type="pct"/>
            <w:tcBorders>
              <w:top w:val="nil"/>
              <w:left w:val="nil"/>
              <w:bottom w:val="single" w:sz="4" w:space="0" w:color="auto"/>
              <w:right w:val="single" w:sz="4" w:space="0" w:color="auto"/>
            </w:tcBorders>
            <w:shd w:val="clear" w:color="auto" w:fill="auto"/>
            <w:vAlign w:val="center"/>
          </w:tcPr>
          <w:p w14:paraId="1C7D08A2" w14:textId="77777777" w:rsidR="00CB16AA" w:rsidRPr="00666914" w:rsidRDefault="00CB16AA" w:rsidP="00985E7A">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hideMark/>
          </w:tcPr>
          <w:p w14:paraId="03C0E9F9"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92D050"/>
            <w:noWrap/>
            <w:vAlign w:val="bottom"/>
            <w:hideMark/>
          </w:tcPr>
          <w:p w14:paraId="1ADCB500"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EAAAA" w:themeFill="background2" w:themeFillShade="BF"/>
            <w:noWrap/>
            <w:vAlign w:val="bottom"/>
            <w:hideMark/>
          </w:tcPr>
          <w:p w14:paraId="201875AD"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92D050"/>
            <w:noWrap/>
            <w:vAlign w:val="bottom"/>
            <w:hideMark/>
          </w:tcPr>
          <w:p w14:paraId="65673BEC"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CB16AA" w:rsidRPr="00666914" w14:paraId="56FC3965" w14:textId="77777777" w:rsidTr="00254A5B">
        <w:trPr>
          <w:trHeight w:val="302"/>
        </w:trPr>
        <w:tc>
          <w:tcPr>
            <w:tcW w:w="206" w:type="pct"/>
            <w:tcBorders>
              <w:top w:val="nil"/>
              <w:left w:val="single" w:sz="8" w:space="0" w:color="auto"/>
              <w:bottom w:val="single" w:sz="8" w:space="0" w:color="auto"/>
              <w:right w:val="single" w:sz="4" w:space="0" w:color="auto"/>
            </w:tcBorders>
            <w:shd w:val="clear" w:color="auto" w:fill="auto"/>
            <w:vAlign w:val="center"/>
          </w:tcPr>
          <w:p w14:paraId="7EF9D539"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14</w:t>
            </w:r>
          </w:p>
        </w:tc>
        <w:tc>
          <w:tcPr>
            <w:tcW w:w="1839" w:type="pct"/>
            <w:tcBorders>
              <w:top w:val="nil"/>
              <w:left w:val="single" w:sz="4" w:space="0" w:color="auto"/>
              <w:bottom w:val="single" w:sz="8" w:space="0" w:color="auto"/>
              <w:right w:val="single" w:sz="4" w:space="0" w:color="auto"/>
            </w:tcBorders>
            <w:shd w:val="clear" w:color="auto" w:fill="auto"/>
            <w:vAlign w:val="center"/>
          </w:tcPr>
          <w:p w14:paraId="5175F234"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Pripraviť pravidlá pre schvaľovanie PPP projektov a koncesií s cieľom zabezpečiť dlhodobú udržateľnosť verejných financií a zároveň definovať priestor pre realizáciu PPP projektov a koncesií prinášajúcich hodnotu za peniaze</w:t>
            </w:r>
          </w:p>
          <w:p w14:paraId="34D99087" w14:textId="77777777" w:rsidR="00CB16AA" w:rsidRPr="00666914" w:rsidRDefault="00CB16AA" w:rsidP="00985E7A">
            <w:pPr>
              <w:spacing w:after="0"/>
              <w:rPr>
                <w:rFonts w:eastAsia="Times New Roman"/>
                <w:color w:val="000000"/>
                <w:sz w:val="20"/>
                <w:szCs w:val="20"/>
                <w:lang w:eastAsia="sk-SK"/>
              </w:rPr>
            </w:pPr>
          </w:p>
        </w:tc>
        <w:tc>
          <w:tcPr>
            <w:tcW w:w="760" w:type="pct"/>
            <w:tcBorders>
              <w:top w:val="nil"/>
              <w:left w:val="nil"/>
              <w:bottom w:val="single" w:sz="8" w:space="0" w:color="auto"/>
              <w:right w:val="single" w:sz="4" w:space="0" w:color="auto"/>
            </w:tcBorders>
            <w:shd w:val="clear" w:color="auto" w:fill="auto"/>
            <w:vAlign w:val="center"/>
          </w:tcPr>
          <w:p w14:paraId="198A6A81" w14:textId="798E4BFA"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MF SR</w:t>
            </w:r>
          </w:p>
          <w:p w14:paraId="6E249A12" w14:textId="6305A41D"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SPPP</w:t>
            </w:r>
          </w:p>
        </w:tc>
        <w:tc>
          <w:tcPr>
            <w:tcW w:w="532" w:type="pct"/>
            <w:tcBorders>
              <w:top w:val="nil"/>
              <w:left w:val="nil"/>
              <w:bottom w:val="single" w:sz="8" w:space="0" w:color="auto"/>
              <w:right w:val="single" w:sz="4" w:space="0" w:color="auto"/>
            </w:tcBorders>
            <w:shd w:val="clear" w:color="auto" w:fill="auto"/>
            <w:vAlign w:val="center"/>
          </w:tcPr>
          <w:p w14:paraId="0D37A21F" w14:textId="77777777" w:rsidR="00CB16AA" w:rsidRPr="00666914" w:rsidRDefault="00CB16AA" w:rsidP="00254A5B">
            <w:pPr>
              <w:spacing w:after="0"/>
              <w:jc w:val="center"/>
              <w:rPr>
                <w:rFonts w:eastAsia="Times New Roman"/>
                <w:color w:val="000000"/>
                <w:sz w:val="20"/>
                <w:szCs w:val="20"/>
                <w:lang w:eastAsia="sk-SK"/>
              </w:rPr>
            </w:pPr>
          </w:p>
        </w:tc>
        <w:tc>
          <w:tcPr>
            <w:tcW w:w="535" w:type="pct"/>
            <w:tcBorders>
              <w:top w:val="nil"/>
              <w:left w:val="nil"/>
              <w:bottom w:val="single" w:sz="8" w:space="0" w:color="auto"/>
              <w:right w:val="single" w:sz="4" w:space="0" w:color="auto"/>
            </w:tcBorders>
            <w:shd w:val="clear" w:color="auto" w:fill="auto"/>
            <w:vAlign w:val="center"/>
          </w:tcPr>
          <w:p w14:paraId="2A534339" w14:textId="77777777" w:rsidR="00CB16AA" w:rsidRPr="00666914" w:rsidRDefault="00CB16AA" w:rsidP="00985E7A">
            <w:pPr>
              <w:spacing w:after="0"/>
              <w:jc w:val="center"/>
              <w:rPr>
                <w:rFonts w:eastAsia="Times New Roman"/>
                <w:color w:val="000000"/>
                <w:sz w:val="20"/>
                <w:szCs w:val="20"/>
                <w:lang w:eastAsia="sk-SK"/>
              </w:rPr>
            </w:pPr>
            <w:r w:rsidRPr="00666914">
              <w:rPr>
                <w:rFonts w:eastAsia="Times New Roman"/>
                <w:color w:val="000000"/>
                <w:sz w:val="20"/>
                <w:szCs w:val="20"/>
                <w:lang w:eastAsia="sk-SK"/>
              </w:rPr>
              <w:t>priebežne</w:t>
            </w:r>
          </w:p>
        </w:tc>
        <w:tc>
          <w:tcPr>
            <w:tcW w:w="284" w:type="pct"/>
            <w:tcBorders>
              <w:top w:val="nil"/>
              <w:left w:val="nil"/>
              <w:bottom w:val="single" w:sz="8" w:space="0" w:color="auto"/>
              <w:right w:val="single" w:sz="4" w:space="0" w:color="auto"/>
            </w:tcBorders>
            <w:shd w:val="clear" w:color="auto" w:fill="FF0000"/>
            <w:noWrap/>
            <w:vAlign w:val="bottom"/>
            <w:hideMark/>
          </w:tcPr>
          <w:p w14:paraId="5746B1E1" w14:textId="77777777" w:rsidR="00CB16AA" w:rsidRPr="00666914" w:rsidRDefault="00CB16AA" w:rsidP="00985E7A">
            <w:pPr>
              <w:spacing w:after="0"/>
              <w:rPr>
                <w:rFonts w:eastAsia="Times New Roman"/>
                <w:b/>
                <w:bCs/>
                <w:color w:val="000000"/>
                <w:sz w:val="20"/>
                <w:szCs w:val="20"/>
                <w:lang w:eastAsia="sk-SK"/>
              </w:rPr>
            </w:pPr>
            <w:r w:rsidRPr="00666914">
              <w:rPr>
                <w:rFonts w:eastAsia="Times New Roman"/>
                <w:b/>
                <w:bCs/>
                <w:color w:val="000000"/>
                <w:sz w:val="20"/>
                <w:szCs w:val="20"/>
                <w:lang w:eastAsia="sk-SK"/>
              </w:rPr>
              <w:t> </w:t>
            </w:r>
          </w:p>
        </w:tc>
        <w:tc>
          <w:tcPr>
            <w:tcW w:w="281" w:type="pct"/>
            <w:tcBorders>
              <w:top w:val="nil"/>
              <w:left w:val="nil"/>
              <w:bottom w:val="single" w:sz="8" w:space="0" w:color="auto"/>
              <w:right w:val="single" w:sz="4" w:space="0" w:color="auto"/>
            </w:tcBorders>
            <w:shd w:val="clear" w:color="auto" w:fill="FF0000"/>
            <w:noWrap/>
            <w:vAlign w:val="bottom"/>
            <w:hideMark/>
          </w:tcPr>
          <w:p w14:paraId="4E22EC37" w14:textId="77777777" w:rsidR="00CB16AA" w:rsidRPr="00666914" w:rsidRDefault="00CB16AA" w:rsidP="00985E7A">
            <w:pPr>
              <w:spacing w:after="0"/>
              <w:rPr>
                <w:rFonts w:eastAsia="Times New Roman"/>
                <w:b/>
                <w:bCs/>
                <w:color w:val="000000"/>
                <w:sz w:val="20"/>
                <w:szCs w:val="20"/>
                <w:lang w:eastAsia="sk-SK"/>
              </w:rPr>
            </w:pPr>
            <w:r w:rsidRPr="00666914">
              <w:rPr>
                <w:rFonts w:eastAsia="Times New Roman"/>
                <w:b/>
                <w:bCs/>
                <w:color w:val="000000"/>
                <w:sz w:val="20"/>
                <w:szCs w:val="20"/>
                <w:lang w:eastAsia="sk-SK"/>
              </w:rPr>
              <w:t> </w:t>
            </w:r>
          </w:p>
        </w:tc>
        <w:tc>
          <w:tcPr>
            <w:tcW w:w="281" w:type="pct"/>
            <w:tcBorders>
              <w:top w:val="nil"/>
              <w:left w:val="nil"/>
              <w:bottom w:val="single" w:sz="8" w:space="0" w:color="auto"/>
              <w:right w:val="single" w:sz="4" w:space="0" w:color="auto"/>
            </w:tcBorders>
            <w:shd w:val="clear" w:color="auto" w:fill="FF0000"/>
            <w:noWrap/>
            <w:vAlign w:val="bottom"/>
            <w:hideMark/>
          </w:tcPr>
          <w:p w14:paraId="2CCCCDE7" w14:textId="77777777" w:rsidR="00CB16AA" w:rsidRPr="00666914" w:rsidRDefault="00CB16AA" w:rsidP="00985E7A">
            <w:pPr>
              <w:spacing w:after="0"/>
              <w:rPr>
                <w:rFonts w:eastAsia="Times New Roman"/>
                <w:b/>
                <w:bCs/>
                <w:color w:val="000000"/>
                <w:sz w:val="20"/>
                <w:szCs w:val="20"/>
                <w:lang w:eastAsia="sk-SK"/>
              </w:rPr>
            </w:pPr>
            <w:r w:rsidRPr="00666914">
              <w:rPr>
                <w:rFonts w:eastAsia="Times New Roman"/>
                <w:b/>
                <w:bCs/>
                <w:color w:val="000000"/>
                <w:sz w:val="20"/>
                <w:szCs w:val="20"/>
                <w:lang w:eastAsia="sk-SK"/>
              </w:rPr>
              <w:t> </w:t>
            </w:r>
          </w:p>
        </w:tc>
        <w:tc>
          <w:tcPr>
            <w:tcW w:w="282" w:type="pct"/>
            <w:tcBorders>
              <w:top w:val="nil"/>
              <w:left w:val="single" w:sz="4" w:space="0" w:color="auto"/>
              <w:bottom w:val="single" w:sz="8" w:space="0" w:color="auto"/>
              <w:right w:val="single" w:sz="8" w:space="0" w:color="auto"/>
            </w:tcBorders>
            <w:shd w:val="clear" w:color="auto" w:fill="FF0000"/>
            <w:noWrap/>
            <w:vAlign w:val="bottom"/>
            <w:hideMark/>
          </w:tcPr>
          <w:p w14:paraId="4803DB2D" w14:textId="77777777" w:rsidR="00CB16AA" w:rsidRPr="00666914" w:rsidRDefault="00CB16AA" w:rsidP="00985E7A">
            <w:pPr>
              <w:spacing w:after="0"/>
              <w:rPr>
                <w:rFonts w:eastAsia="Times New Roman"/>
                <w:b/>
                <w:bCs/>
                <w:color w:val="000000"/>
                <w:sz w:val="20"/>
                <w:szCs w:val="20"/>
                <w:lang w:eastAsia="sk-SK"/>
              </w:rPr>
            </w:pPr>
            <w:r w:rsidRPr="00666914">
              <w:rPr>
                <w:rFonts w:eastAsia="Times New Roman"/>
                <w:b/>
                <w:bCs/>
                <w:color w:val="000000"/>
                <w:sz w:val="20"/>
                <w:szCs w:val="20"/>
                <w:lang w:eastAsia="sk-SK"/>
              </w:rPr>
              <w:t> </w:t>
            </w:r>
          </w:p>
        </w:tc>
      </w:tr>
      <w:tr w:rsidR="00CB16AA" w:rsidRPr="00666914" w14:paraId="246444FF" w14:textId="77777777" w:rsidTr="00985E7A">
        <w:trPr>
          <w:trHeight w:val="302"/>
        </w:trPr>
        <w:tc>
          <w:tcPr>
            <w:tcW w:w="5000" w:type="pct"/>
            <w:gridSpan w:val="9"/>
            <w:tcBorders>
              <w:top w:val="single" w:sz="8" w:space="0" w:color="auto"/>
              <w:left w:val="single" w:sz="8" w:space="0" w:color="auto"/>
              <w:bottom w:val="single" w:sz="4" w:space="0" w:color="auto"/>
              <w:right w:val="single" w:sz="8" w:space="0" w:color="auto"/>
            </w:tcBorders>
            <w:shd w:val="clear" w:color="auto" w:fill="auto"/>
            <w:noWrap/>
            <w:vAlign w:val="center"/>
          </w:tcPr>
          <w:p w14:paraId="2532AEAF" w14:textId="77777777" w:rsidR="00CB16AA" w:rsidRPr="00666914" w:rsidRDefault="00CB16AA" w:rsidP="00254A5B">
            <w:pPr>
              <w:spacing w:after="0"/>
              <w:jc w:val="center"/>
              <w:rPr>
                <w:rFonts w:eastAsia="Times New Roman"/>
                <w:b/>
                <w:bCs/>
                <w:color w:val="000000"/>
                <w:sz w:val="20"/>
                <w:szCs w:val="20"/>
                <w:lang w:eastAsia="sk-SK"/>
              </w:rPr>
            </w:pPr>
            <w:r w:rsidRPr="00666914">
              <w:rPr>
                <w:rFonts w:eastAsia="Times New Roman" w:cs="Calibri"/>
                <w:b/>
                <w:bCs/>
                <w:color w:val="000000"/>
                <w:sz w:val="20"/>
                <w:szCs w:val="20"/>
                <w:lang w:eastAsia="sk-SK"/>
              </w:rPr>
              <w:t>ŽELEZNIČNÁ INFRAŠTRUKTÚRA A OSOBNÁ DOPRAVA</w:t>
            </w:r>
          </w:p>
        </w:tc>
      </w:tr>
      <w:tr w:rsidR="00CB16AA" w:rsidRPr="00666914" w14:paraId="1E781344" w14:textId="77777777" w:rsidTr="00254A5B">
        <w:trPr>
          <w:trHeight w:val="330"/>
        </w:trPr>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35B7A0D0"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15</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60A10B8D"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Detailne analyzovať komplexné dopady prípadnej eliminácie 234 km tratí s nízkym využitím bez osobnej dopravy a na základe výsledkov upresniť odhad úspory 6 mil. eur ročne s potenciálnymi jednorazovými nákladmi vo výške maximálne 70 mil. eur</w:t>
            </w:r>
          </w:p>
        </w:tc>
        <w:tc>
          <w:tcPr>
            <w:tcW w:w="760" w:type="pct"/>
            <w:tcBorders>
              <w:top w:val="single" w:sz="4" w:space="0" w:color="auto"/>
              <w:left w:val="nil"/>
              <w:bottom w:val="single" w:sz="4" w:space="0" w:color="auto"/>
              <w:right w:val="single" w:sz="4" w:space="0" w:color="auto"/>
            </w:tcBorders>
            <w:shd w:val="clear" w:color="auto" w:fill="auto"/>
            <w:vAlign w:val="center"/>
          </w:tcPr>
          <w:p w14:paraId="1D44FEB6" w14:textId="62866EC2"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MDV SR / MF SR</w:t>
            </w:r>
          </w:p>
          <w:p w14:paraId="7AEC4176" w14:textId="5A53EF80"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SŽDaD</w:t>
            </w:r>
          </w:p>
        </w:tc>
        <w:tc>
          <w:tcPr>
            <w:tcW w:w="532" w:type="pct"/>
            <w:tcBorders>
              <w:top w:val="single" w:sz="4" w:space="0" w:color="auto"/>
              <w:left w:val="nil"/>
              <w:bottom w:val="single" w:sz="4" w:space="0" w:color="auto"/>
              <w:right w:val="single" w:sz="4" w:space="0" w:color="auto"/>
            </w:tcBorders>
            <w:shd w:val="clear" w:color="auto" w:fill="auto"/>
            <w:vAlign w:val="center"/>
          </w:tcPr>
          <w:p w14:paraId="549858A8" w14:textId="77777777" w:rsidR="00CB16AA" w:rsidRPr="00666914" w:rsidRDefault="00CB16AA" w:rsidP="00254A5B">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01/2018</w:t>
            </w:r>
          </w:p>
        </w:tc>
        <w:tc>
          <w:tcPr>
            <w:tcW w:w="535" w:type="pct"/>
            <w:tcBorders>
              <w:top w:val="single" w:sz="4" w:space="0" w:color="auto"/>
              <w:left w:val="nil"/>
              <w:bottom w:val="single" w:sz="4" w:space="0" w:color="auto"/>
              <w:right w:val="single" w:sz="4" w:space="0" w:color="auto"/>
            </w:tcBorders>
            <w:shd w:val="clear" w:color="auto" w:fill="auto"/>
            <w:vAlign w:val="center"/>
          </w:tcPr>
          <w:p w14:paraId="738E0A8E" w14:textId="77777777" w:rsidR="00CB16AA" w:rsidRPr="00666914" w:rsidRDefault="00CB16AA" w:rsidP="00985E7A">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03/2019</w:t>
            </w:r>
          </w:p>
        </w:tc>
        <w:tc>
          <w:tcPr>
            <w:tcW w:w="284" w:type="pct"/>
            <w:tcBorders>
              <w:top w:val="single" w:sz="4" w:space="0" w:color="auto"/>
              <w:left w:val="nil"/>
              <w:bottom w:val="single" w:sz="4" w:space="0" w:color="auto"/>
              <w:right w:val="single" w:sz="4" w:space="0" w:color="auto"/>
            </w:tcBorders>
            <w:shd w:val="clear" w:color="auto" w:fill="FF0000"/>
            <w:noWrap/>
            <w:vAlign w:val="bottom"/>
            <w:hideMark/>
          </w:tcPr>
          <w:p w14:paraId="2B37EE83"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1" w:type="pct"/>
            <w:tcBorders>
              <w:top w:val="single" w:sz="4" w:space="0" w:color="auto"/>
              <w:left w:val="nil"/>
              <w:bottom w:val="single" w:sz="4" w:space="0" w:color="auto"/>
              <w:right w:val="single" w:sz="4" w:space="0" w:color="auto"/>
            </w:tcBorders>
            <w:shd w:val="clear" w:color="auto" w:fill="FF0000"/>
            <w:noWrap/>
            <w:vAlign w:val="bottom"/>
            <w:hideMark/>
          </w:tcPr>
          <w:p w14:paraId="1BC5D40F"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1" w:type="pct"/>
            <w:tcBorders>
              <w:top w:val="single" w:sz="4" w:space="0" w:color="auto"/>
              <w:left w:val="nil"/>
              <w:bottom w:val="single" w:sz="4" w:space="0" w:color="auto"/>
              <w:right w:val="single" w:sz="4" w:space="0" w:color="auto"/>
            </w:tcBorders>
            <w:shd w:val="clear" w:color="auto" w:fill="FF0000"/>
            <w:noWrap/>
            <w:vAlign w:val="bottom"/>
            <w:hideMark/>
          </w:tcPr>
          <w:p w14:paraId="0F650D55"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2" w:type="pct"/>
            <w:tcBorders>
              <w:top w:val="single" w:sz="4" w:space="0" w:color="auto"/>
              <w:left w:val="single" w:sz="4" w:space="0" w:color="auto"/>
              <w:bottom w:val="single" w:sz="4" w:space="0" w:color="auto"/>
              <w:right w:val="single" w:sz="8" w:space="0" w:color="auto"/>
            </w:tcBorders>
            <w:shd w:val="clear" w:color="auto" w:fill="FF0000"/>
            <w:noWrap/>
            <w:vAlign w:val="bottom"/>
            <w:hideMark/>
          </w:tcPr>
          <w:p w14:paraId="32BD2D1A" w14:textId="77777777" w:rsidR="00CB16AA" w:rsidRPr="00666914" w:rsidRDefault="00CB16AA" w:rsidP="00985E7A">
            <w:pPr>
              <w:spacing w:after="0"/>
              <w:rPr>
                <w:rFonts w:eastAsia="Times New Roman"/>
                <w:b/>
                <w:bCs/>
                <w:color w:val="000000"/>
                <w:sz w:val="20"/>
                <w:szCs w:val="20"/>
                <w:lang w:eastAsia="sk-SK"/>
              </w:rPr>
            </w:pPr>
            <w:r w:rsidRPr="00666914">
              <w:rPr>
                <w:rFonts w:eastAsia="Times New Roman"/>
                <w:b/>
                <w:bCs/>
                <w:color w:val="000000"/>
                <w:sz w:val="20"/>
                <w:szCs w:val="20"/>
                <w:lang w:eastAsia="sk-SK"/>
              </w:rPr>
              <w:t> </w:t>
            </w:r>
          </w:p>
        </w:tc>
      </w:tr>
      <w:tr w:rsidR="00CB16AA" w:rsidRPr="00666914" w14:paraId="2A9DF43E" w14:textId="77777777" w:rsidTr="00254A5B">
        <w:trPr>
          <w:trHeight w:val="330"/>
        </w:trPr>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7F87E2DA"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16</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1B16CC85"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Detailne analyzovať komplexné dopady zastavenia dopravy a rozhodnutia o prípadnom zrušení 91 km tratí s minimálnou osobnou dopravou</w:t>
            </w:r>
          </w:p>
        </w:tc>
        <w:tc>
          <w:tcPr>
            <w:tcW w:w="760" w:type="pct"/>
            <w:tcBorders>
              <w:top w:val="single" w:sz="4" w:space="0" w:color="auto"/>
              <w:left w:val="nil"/>
              <w:bottom w:val="single" w:sz="4" w:space="0" w:color="auto"/>
              <w:right w:val="single" w:sz="4" w:space="0" w:color="auto"/>
            </w:tcBorders>
            <w:shd w:val="clear" w:color="auto" w:fill="auto"/>
            <w:vAlign w:val="center"/>
          </w:tcPr>
          <w:p w14:paraId="54B0BF97" w14:textId="6117F856"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MDV SR / MF SR</w:t>
            </w:r>
          </w:p>
          <w:p w14:paraId="1BB2E351" w14:textId="6F9ED83A"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SŽDaD</w:t>
            </w:r>
          </w:p>
        </w:tc>
        <w:tc>
          <w:tcPr>
            <w:tcW w:w="532" w:type="pct"/>
            <w:tcBorders>
              <w:top w:val="single" w:sz="4" w:space="0" w:color="auto"/>
              <w:left w:val="nil"/>
              <w:bottom w:val="single" w:sz="4" w:space="0" w:color="auto"/>
              <w:right w:val="single" w:sz="4" w:space="0" w:color="auto"/>
            </w:tcBorders>
            <w:shd w:val="clear" w:color="auto" w:fill="auto"/>
            <w:vAlign w:val="center"/>
          </w:tcPr>
          <w:p w14:paraId="38C75DA3" w14:textId="77777777" w:rsidR="00CB16AA" w:rsidRPr="00666914" w:rsidRDefault="00CB16AA" w:rsidP="00254A5B">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01/2018</w:t>
            </w:r>
          </w:p>
        </w:tc>
        <w:tc>
          <w:tcPr>
            <w:tcW w:w="535" w:type="pct"/>
            <w:tcBorders>
              <w:top w:val="single" w:sz="4" w:space="0" w:color="auto"/>
              <w:left w:val="nil"/>
              <w:bottom w:val="single" w:sz="4" w:space="0" w:color="auto"/>
              <w:right w:val="single" w:sz="4" w:space="0" w:color="auto"/>
            </w:tcBorders>
            <w:shd w:val="clear" w:color="auto" w:fill="auto"/>
            <w:vAlign w:val="center"/>
          </w:tcPr>
          <w:p w14:paraId="53600D6E" w14:textId="77777777" w:rsidR="00CB16AA" w:rsidRPr="00666914" w:rsidRDefault="00CB16AA" w:rsidP="00985E7A">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03/2019</w:t>
            </w:r>
          </w:p>
        </w:tc>
        <w:tc>
          <w:tcPr>
            <w:tcW w:w="284" w:type="pct"/>
            <w:tcBorders>
              <w:top w:val="single" w:sz="4" w:space="0" w:color="auto"/>
              <w:left w:val="nil"/>
              <w:bottom w:val="single" w:sz="4" w:space="0" w:color="auto"/>
              <w:right w:val="single" w:sz="4" w:space="0" w:color="auto"/>
            </w:tcBorders>
            <w:shd w:val="clear" w:color="auto" w:fill="FF0000"/>
            <w:noWrap/>
            <w:vAlign w:val="bottom"/>
          </w:tcPr>
          <w:p w14:paraId="26F01F49" w14:textId="77777777" w:rsidR="00CB16AA" w:rsidRPr="00666914" w:rsidRDefault="00CB16AA" w:rsidP="00985E7A">
            <w:pPr>
              <w:spacing w:after="0"/>
              <w:rPr>
                <w:rFonts w:eastAsia="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FF0000"/>
            <w:noWrap/>
            <w:vAlign w:val="bottom"/>
          </w:tcPr>
          <w:p w14:paraId="64ED03B1" w14:textId="77777777" w:rsidR="00CB16AA" w:rsidRPr="00666914" w:rsidRDefault="00CB16AA" w:rsidP="00985E7A">
            <w:pPr>
              <w:spacing w:after="0"/>
              <w:rPr>
                <w:rFonts w:eastAsia="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FF0000"/>
            <w:noWrap/>
            <w:vAlign w:val="bottom"/>
          </w:tcPr>
          <w:p w14:paraId="73B384C6" w14:textId="77777777" w:rsidR="00CB16AA" w:rsidRPr="00666914" w:rsidRDefault="00CB16AA" w:rsidP="00985E7A">
            <w:pPr>
              <w:spacing w:after="0"/>
              <w:rPr>
                <w:rFonts w:eastAsia="Times New Roman"/>
                <w:color w:val="000000"/>
                <w:sz w:val="20"/>
                <w:szCs w:val="20"/>
                <w:lang w:eastAsia="sk-SK"/>
              </w:rPr>
            </w:pPr>
          </w:p>
        </w:tc>
        <w:tc>
          <w:tcPr>
            <w:tcW w:w="282" w:type="pct"/>
            <w:tcBorders>
              <w:top w:val="single" w:sz="4" w:space="0" w:color="auto"/>
              <w:left w:val="single" w:sz="4" w:space="0" w:color="auto"/>
              <w:bottom w:val="single" w:sz="4" w:space="0" w:color="auto"/>
              <w:right w:val="single" w:sz="8" w:space="0" w:color="auto"/>
            </w:tcBorders>
            <w:shd w:val="clear" w:color="auto" w:fill="FF0000"/>
            <w:noWrap/>
            <w:vAlign w:val="bottom"/>
          </w:tcPr>
          <w:p w14:paraId="48F99A36" w14:textId="77777777" w:rsidR="00CB16AA" w:rsidRPr="00666914" w:rsidRDefault="00CB16AA" w:rsidP="00985E7A">
            <w:pPr>
              <w:spacing w:after="0"/>
              <w:rPr>
                <w:rFonts w:eastAsia="Times New Roman"/>
                <w:b/>
                <w:bCs/>
                <w:color w:val="000000"/>
                <w:sz w:val="20"/>
                <w:szCs w:val="20"/>
                <w:lang w:eastAsia="sk-SK"/>
              </w:rPr>
            </w:pPr>
          </w:p>
        </w:tc>
      </w:tr>
      <w:tr w:rsidR="00CB16AA" w:rsidRPr="00666914" w14:paraId="0FD127C7" w14:textId="77777777" w:rsidTr="00254A5B">
        <w:trPr>
          <w:trHeight w:val="330"/>
        </w:trPr>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08AFB436"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17</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57A12C3F"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Všetky budúce investičné projekty, ktorých predpokladaný investičný náklad je vyšší ako 40 mil. eur, budú vo fáze prípravy štúdie realizovateľnosti (ak sa spracováva) podrobené analýze nákladov a prínosov aj zo strany MF SR</w:t>
            </w:r>
          </w:p>
        </w:tc>
        <w:tc>
          <w:tcPr>
            <w:tcW w:w="760" w:type="pct"/>
            <w:tcBorders>
              <w:top w:val="single" w:sz="4" w:space="0" w:color="auto"/>
              <w:left w:val="nil"/>
              <w:bottom w:val="single" w:sz="4" w:space="0" w:color="auto"/>
              <w:right w:val="single" w:sz="4" w:space="0" w:color="auto"/>
            </w:tcBorders>
            <w:shd w:val="clear" w:color="auto" w:fill="auto"/>
            <w:vAlign w:val="center"/>
          </w:tcPr>
          <w:p w14:paraId="5D2B424E" w14:textId="3BDA12DF"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MF SR</w:t>
            </w:r>
          </w:p>
          <w:p w14:paraId="5F9B86DF" w14:textId="3812BAC5"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SŽDaD</w:t>
            </w:r>
          </w:p>
        </w:tc>
        <w:tc>
          <w:tcPr>
            <w:tcW w:w="532" w:type="pct"/>
            <w:tcBorders>
              <w:top w:val="single" w:sz="4" w:space="0" w:color="auto"/>
              <w:left w:val="nil"/>
              <w:bottom w:val="single" w:sz="4" w:space="0" w:color="auto"/>
              <w:right w:val="single" w:sz="4" w:space="0" w:color="auto"/>
            </w:tcBorders>
            <w:shd w:val="clear" w:color="auto" w:fill="auto"/>
            <w:vAlign w:val="center"/>
          </w:tcPr>
          <w:p w14:paraId="6C91FF5D" w14:textId="77777777" w:rsidR="00CB16AA" w:rsidRPr="00666914" w:rsidRDefault="00CB16AA" w:rsidP="00254A5B">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priebežne</w:t>
            </w:r>
          </w:p>
        </w:tc>
        <w:tc>
          <w:tcPr>
            <w:tcW w:w="535" w:type="pct"/>
            <w:tcBorders>
              <w:top w:val="single" w:sz="4" w:space="0" w:color="auto"/>
              <w:left w:val="nil"/>
              <w:bottom w:val="single" w:sz="4" w:space="0" w:color="auto"/>
              <w:right w:val="single" w:sz="4" w:space="0" w:color="auto"/>
            </w:tcBorders>
            <w:shd w:val="clear" w:color="auto" w:fill="auto"/>
            <w:vAlign w:val="center"/>
          </w:tcPr>
          <w:p w14:paraId="37FE7145" w14:textId="77777777" w:rsidR="00CB16AA" w:rsidRPr="00666914" w:rsidRDefault="00CB16AA" w:rsidP="00985E7A">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w:t>
            </w:r>
          </w:p>
        </w:tc>
        <w:tc>
          <w:tcPr>
            <w:tcW w:w="284" w:type="pct"/>
            <w:tcBorders>
              <w:top w:val="single" w:sz="4" w:space="0" w:color="auto"/>
              <w:left w:val="nil"/>
              <w:bottom w:val="single" w:sz="4" w:space="0" w:color="auto"/>
              <w:right w:val="single" w:sz="4" w:space="0" w:color="auto"/>
            </w:tcBorders>
            <w:shd w:val="clear" w:color="auto" w:fill="92D050"/>
            <w:noWrap/>
            <w:vAlign w:val="bottom"/>
          </w:tcPr>
          <w:p w14:paraId="374C3FDB" w14:textId="77777777" w:rsidR="00CB16AA" w:rsidRPr="00666914" w:rsidRDefault="00CB16AA" w:rsidP="00985E7A">
            <w:pPr>
              <w:spacing w:after="0"/>
              <w:rPr>
                <w:rFonts w:eastAsia="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92D050"/>
            <w:noWrap/>
            <w:vAlign w:val="bottom"/>
          </w:tcPr>
          <w:p w14:paraId="033A7B98" w14:textId="77777777" w:rsidR="00CB16AA" w:rsidRPr="00666914" w:rsidRDefault="00CB16AA" w:rsidP="00985E7A">
            <w:pPr>
              <w:spacing w:after="0"/>
              <w:rPr>
                <w:rFonts w:eastAsia="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AEAAAA" w:themeFill="background2" w:themeFillShade="BF"/>
            <w:noWrap/>
            <w:vAlign w:val="bottom"/>
          </w:tcPr>
          <w:p w14:paraId="75A4312F" w14:textId="77777777" w:rsidR="00CB16AA" w:rsidRPr="00666914" w:rsidRDefault="00CB16AA" w:rsidP="00985E7A">
            <w:pPr>
              <w:spacing w:after="0"/>
              <w:rPr>
                <w:rFonts w:eastAsia="Times New Roman"/>
                <w:color w:val="000000"/>
                <w:sz w:val="20"/>
                <w:szCs w:val="20"/>
                <w:lang w:eastAsia="sk-SK"/>
              </w:rPr>
            </w:pPr>
          </w:p>
        </w:tc>
        <w:tc>
          <w:tcPr>
            <w:tcW w:w="282" w:type="pct"/>
            <w:tcBorders>
              <w:top w:val="single" w:sz="4" w:space="0" w:color="auto"/>
              <w:left w:val="single" w:sz="4" w:space="0" w:color="auto"/>
              <w:bottom w:val="single" w:sz="4" w:space="0" w:color="auto"/>
              <w:right w:val="single" w:sz="8" w:space="0" w:color="auto"/>
            </w:tcBorders>
            <w:shd w:val="clear" w:color="auto" w:fill="A6A6A6" w:themeFill="background1" w:themeFillShade="A6"/>
            <w:noWrap/>
            <w:vAlign w:val="bottom"/>
          </w:tcPr>
          <w:p w14:paraId="36FFD668" w14:textId="77777777" w:rsidR="00CB16AA" w:rsidRPr="00666914" w:rsidRDefault="00CB16AA" w:rsidP="00985E7A">
            <w:pPr>
              <w:spacing w:after="0"/>
              <w:rPr>
                <w:rFonts w:eastAsia="Times New Roman"/>
                <w:b/>
                <w:bCs/>
                <w:color w:val="000000"/>
                <w:sz w:val="20"/>
                <w:szCs w:val="20"/>
                <w:lang w:eastAsia="sk-SK"/>
              </w:rPr>
            </w:pPr>
          </w:p>
        </w:tc>
      </w:tr>
      <w:tr w:rsidR="00CB16AA" w:rsidRPr="00666914" w14:paraId="09EBD8F5" w14:textId="77777777" w:rsidTr="00254A5B">
        <w:trPr>
          <w:trHeight w:val="330"/>
        </w:trPr>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65EFC885"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18</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3AEC7E3E"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Prioritné projekty železničnej infraštruktúry pred verejným obstarávaním na dodávateľa stavebných prác (tabuľka 20 RVD) budú hodnotené aj zo strany MF SR</w:t>
            </w:r>
          </w:p>
        </w:tc>
        <w:tc>
          <w:tcPr>
            <w:tcW w:w="760" w:type="pct"/>
            <w:tcBorders>
              <w:top w:val="single" w:sz="4" w:space="0" w:color="auto"/>
              <w:left w:val="nil"/>
              <w:bottom w:val="single" w:sz="4" w:space="0" w:color="auto"/>
              <w:right w:val="single" w:sz="4" w:space="0" w:color="auto"/>
            </w:tcBorders>
            <w:shd w:val="clear" w:color="auto" w:fill="auto"/>
            <w:vAlign w:val="center"/>
          </w:tcPr>
          <w:p w14:paraId="1DB3E7E4" w14:textId="4193F587"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MF SR</w:t>
            </w:r>
          </w:p>
          <w:p w14:paraId="19D3E7BA" w14:textId="77777777"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SŽDaD</w:t>
            </w:r>
          </w:p>
        </w:tc>
        <w:tc>
          <w:tcPr>
            <w:tcW w:w="532" w:type="pct"/>
            <w:tcBorders>
              <w:top w:val="single" w:sz="4" w:space="0" w:color="auto"/>
              <w:left w:val="nil"/>
              <w:bottom w:val="single" w:sz="4" w:space="0" w:color="auto"/>
              <w:right w:val="single" w:sz="4" w:space="0" w:color="auto"/>
            </w:tcBorders>
            <w:shd w:val="clear" w:color="auto" w:fill="auto"/>
            <w:vAlign w:val="center"/>
          </w:tcPr>
          <w:p w14:paraId="716D9280" w14:textId="77777777" w:rsidR="00CB16AA" w:rsidRPr="00666914" w:rsidRDefault="00CB16AA" w:rsidP="00254A5B">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priebežne</w:t>
            </w:r>
          </w:p>
        </w:tc>
        <w:tc>
          <w:tcPr>
            <w:tcW w:w="535" w:type="pct"/>
            <w:tcBorders>
              <w:top w:val="single" w:sz="4" w:space="0" w:color="auto"/>
              <w:left w:val="nil"/>
              <w:bottom w:val="single" w:sz="4" w:space="0" w:color="auto"/>
              <w:right w:val="single" w:sz="4" w:space="0" w:color="auto"/>
            </w:tcBorders>
            <w:shd w:val="clear" w:color="auto" w:fill="auto"/>
            <w:vAlign w:val="center"/>
          </w:tcPr>
          <w:p w14:paraId="139A20BA" w14:textId="77777777" w:rsidR="00CB16AA" w:rsidRPr="00666914" w:rsidRDefault="00CB16AA" w:rsidP="00985E7A">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w:t>
            </w:r>
          </w:p>
        </w:tc>
        <w:tc>
          <w:tcPr>
            <w:tcW w:w="284" w:type="pct"/>
            <w:tcBorders>
              <w:top w:val="single" w:sz="4" w:space="0" w:color="auto"/>
              <w:left w:val="nil"/>
              <w:bottom w:val="single" w:sz="4" w:space="0" w:color="auto"/>
              <w:right w:val="single" w:sz="4" w:space="0" w:color="auto"/>
            </w:tcBorders>
            <w:shd w:val="clear" w:color="auto" w:fill="A6A6A6" w:themeFill="background1" w:themeFillShade="A6"/>
            <w:noWrap/>
            <w:vAlign w:val="bottom"/>
          </w:tcPr>
          <w:p w14:paraId="1AE64C86" w14:textId="77777777" w:rsidR="00CB16AA" w:rsidRPr="00666914" w:rsidRDefault="00CB16AA" w:rsidP="00985E7A">
            <w:pPr>
              <w:spacing w:after="0"/>
              <w:rPr>
                <w:rFonts w:eastAsia="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92D050"/>
            <w:noWrap/>
            <w:vAlign w:val="bottom"/>
          </w:tcPr>
          <w:p w14:paraId="10127910" w14:textId="77777777" w:rsidR="00CB16AA" w:rsidRPr="00666914" w:rsidRDefault="00CB16AA" w:rsidP="00985E7A">
            <w:pPr>
              <w:spacing w:after="0"/>
              <w:rPr>
                <w:rFonts w:eastAsia="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AEAAAA" w:themeFill="background2" w:themeFillShade="BF"/>
            <w:noWrap/>
            <w:vAlign w:val="bottom"/>
          </w:tcPr>
          <w:p w14:paraId="2FBB201F" w14:textId="77777777" w:rsidR="00CB16AA" w:rsidRPr="00666914" w:rsidRDefault="00CB16AA" w:rsidP="00985E7A">
            <w:pPr>
              <w:spacing w:after="0"/>
              <w:rPr>
                <w:rFonts w:eastAsia="Times New Roman"/>
                <w:color w:val="000000"/>
                <w:sz w:val="20"/>
                <w:szCs w:val="20"/>
                <w:lang w:eastAsia="sk-SK"/>
              </w:rPr>
            </w:pPr>
          </w:p>
        </w:tc>
        <w:tc>
          <w:tcPr>
            <w:tcW w:w="282" w:type="pct"/>
            <w:tcBorders>
              <w:top w:val="single" w:sz="4" w:space="0" w:color="auto"/>
              <w:left w:val="single" w:sz="4" w:space="0" w:color="auto"/>
              <w:bottom w:val="single" w:sz="4" w:space="0" w:color="auto"/>
              <w:right w:val="single" w:sz="8" w:space="0" w:color="auto"/>
            </w:tcBorders>
            <w:shd w:val="clear" w:color="auto" w:fill="A6A6A6" w:themeFill="background1" w:themeFillShade="A6"/>
            <w:noWrap/>
            <w:vAlign w:val="bottom"/>
          </w:tcPr>
          <w:p w14:paraId="38CC1FC7" w14:textId="77777777" w:rsidR="00CB16AA" w:rsidRPr="00666914" w:rsidRDefault="00CB16AA" w:rsidP="00985E7A">
            <w:pPr>
              <w:spacing w:after="0"/>
              <w:rPr>
                <w:rFonts w:eastAsia="Times New Roman"/>
                <w:b/>
                <w:bCs/>
                <w:color w:val="000000"/>
                <w:sz w:val="20"/>
                <w:szCs w:val="20"/>
                <w:lang w:eastAsia="sk-SK"/>
              </w:rPr>
            </w:pPr>
          </w:p>
        </w:tc>
      </w:tr>
      <w:tr w:rsidR="00CB16AA" w:rsidRPr="00666914" w14:paraId="23D5C35B" w14:textId="77777777" w:rsidTr="00254A5B">
        <w:trPr>
          <w:trHeight w:val="330"/>
        </w:trPr>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37EEE34E"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19</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6292F8EE"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Optimalizovať počet zamestnancov ŽSR v súvislosti s modernizáciou, znižovaním rozsahu prvkov železničnej infraštruktúry a optimalizáciou činností</w:t>
            </w:r>
          </w:p>
        </w:tc>
        <w:tc>
          <w:tcPr>
            <w:tcW w:w="760" w:type="pct"/>
            <w:tcBorders>
              <w:top w:val="single" w:sz="4" w:space="0" w:color="auto"/>
              <w:left w:val="nil"/>
              <w:bottom w:val="single" w:sz="4" w:space="0" w:color="auto"/>
              <w:right w:val="single" w:sz="4" w:space="0" w:color="auto"/>
            </w:tcBorders>
            <w:shd w:val="clear" w:color="auto" w:fill="auto"/>
            <w:vAlign w:val="center"/>
          </w:tcPr>
          <w:p w14:paraId="3B64BB3F" w14:textId="643F0D57"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MDV SR</w:t>
            </w:r>
          </w:p>
          <w:p w14:paraId="2270323C" w14:textId="61EF9F84"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SŽDaD</w:t>
            </w:r>
          </w:p>
        </w:tc>
        <w:tc>
          <w:tcPr>
            <w:tcW w:w="532" w:type="pct"/>
            <w:tcBorders>
              <w:top w:val="single" w:sz="4" w:space="0" w:color="auto"/>
              <w:left w:val="nil"/>
              <w:bottom w:val="single" w:sz="4" w:space="0" w:color="auto"/>
              <w:right w:val="single" w:sz="4" w:space="0" w:color="auto"/>
            </w:tcBorders>
            <w:shd w:val="clear" w:color="auto" w:fill="auto"/>
            <w:vAlign w:val="center"/>
          </w:tcPr>
          <w:p w14:paraId="4543F32D" w14:textId="77777777" w:rsidR="00CB16AA" w:rsidRPr="00666914" w:rsidRDefault="00CB16AA" w:rsidP="00254A5B">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priebežne</w:t>
            </w:r>
          </w:p>
        </w:tc>
        <w:tc>
          <w:tcPr>
            <w:tcW w:w="535" w:type="pct"/>
            <w:tcBorders>
              <w:top w:val="single" w:sz="4" w:space="0" w:color="auto"/>
              <w:left w:val="nil"/>
              <w:bottom w:val="single" w:sz="4" w:space="0" w:color="auto"/>
              <w:right w:val="single" w:sz="4" w:space="0" w:color="auto"/>
            </w:tcBorders>
            <w:shd w:val="clear" w:color="auto" w:fill="auto"/>
            <w:vAlign w:val="center"/>
          </w:tcPr>
          <w:p w14:paraId="5AD4D4D8" w14:textId="77777777" w:rsidR="00CB16AA" w:rsidRPr="00666914" w:rsidRDefault="00CB16AA" w:rsidP="00985E7A">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w:t>
            </w:r>
          </w:p>
        </w:tc>
        <w:tc>
          <w:tcPr>
            <w:tcW w:w="284" w:type="pct"/>
            <w:tcBorders>
              <w:top w:val="single" w:sz="4" w:space="0" w:color="auto"/>
              <w:left w:val="nil"/>
              <w:bottom w:val="single" w:sz="4" w:space="0" w:color="auto"/>
              <w:right w:val="single" w:sz="4" w:space="0" w:color="auto"/>
            </w:tcBorders>
            <w:shd w:val="clear" w:color="auto" w:fill="A6A6A6" w:themeFill="background1" w:themeFillShade="A6"/>
            <w:noWrap/>
            <w:vAlign w:val="bottom"/>
          </w:tcPr>
          <w:p w14:paraId="31F657F5" w14:textId="77777777" w:rsidR="00CB16AA" w:rsidRPr="00666914" w:rsidRDefault="00CB16AA" w:rsidP="00985E7A">
            <w:pPr>
              <w:spacing w:after="0"/>
              <w:rPr>
                <w:rFonts w:eastAsia="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FFC000"/>
            <w:noWrap/>
            <w:vAlign w:val="bottom"/>
          </w:tcPr>
          <w:p w14:paraId="529924A6" w14:textId="77777777" w:rsidR="00CB16AA" w:rsidRPr="00666914" w:rsidRDefault="00CB16AA" w:rsidP="00985E7A">
            <w:pPr>
              <w:spacing w:after="0"/>
              <w:rPr>
                <w:rFonts w:eastAsia="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FFC000"/>
            <w:noWrap/>
            <w:vAlign w:val="bottom"/>
          </w:tcPr>
          <w:p w14:paraId="581FDB8E" w14:textId="77777777" w:rsidR="00CB16AA" w:rsidRPr="00666914" w:rsidRDefault="00CB16AA" w:rsidP="00985E7A">
            <w:pPr>
              <w:spacing w:after="0"/>
              <w:rPr>
                <w:rFonts w:eastAsia="Times New Roman"/>
                <w:color w:val="000000"/>
                <w:sz w:val="20"/>
                <w:szCs w:val="20"/>
                <w:lang w:eastAsia="sk-SK"/>
              </w:rPr>
            </w:pPr>
          </w:p>
        </w:tc>
        <w:tc>
          <w:tcPr>
            <w:tcW w:w="282" w:type="pct"/>
            <w:tcBorders>
              <w:top w:val="single" w:sz="4" w:space="0" w:color="auto"/>
              <w:left w:val="single" w:sz="4" w:space="0" w:color="auto"/>
              <w:bottom w:val="single" w:sz="4" w:space="0" w:color="auto"/>
              <w:right w:val="single" w:sz="8" w:space="0" w:color="auto"/>
            </w:tcBorders>
            <w:shd w:val="clear" w:color="auto" w:fill="FF0000"/>
            <w:noWrap/>
            <w:vAlign w:val="bottom"/>
          </w:tcPr>
          <w:p w14:paraId="5936BBF6" w14:textId="77777777" w:rsidR="00CB16AA" w:rsidRPr="00666914" w:rsidRDefault="00CB16AA" w:rsidP="00985E7A">
            <w:pPr>
              <w:spacing w:after="0"/>
              <w:rPr>
                <w:rFonts w:eastAsia="Times New Roman"/>
                <w:b/>
                <w:bCs/>
                <w:color w:val="000000"/>
                <w:sz w:val="20"/>
                <w:szCs w:val="20"/>
                <w:lang w:eastAsia="sk-SK"/>
              </w:rPr>
            </w:pPr>
          </w:p>
        </w:tc>
      </w:tr>
      <w:tr w:rsidR="00CB16AA" w:rsidRPr="00666914" w14:paraId="79D9284C" w14:textId="77777777" w:rsidTr="00254A5B">
        <w:trPr>
          <w:trHeight w:val="330"/>
        </w:trPr>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5AB43E9E"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20</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4FD314F4"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Realizovať úspory v riadení dopravy investíciami podľa aktuálnych možností RVS a eurofondov. Prioritne realizovať najprínosnejšie investície</w:t>
            </w:r>
          </w:p>
        </w:tc>
        <w:tc>
          <w:tcPr>
            <w:tcW w:w="760" w:type="pct"/>
            <w:tcBorders>
              <w:top w:val="single" w:sz="4" w:space="0" w:color="auto"/>
              <w:left w:val="nil"/>
              <w:bottom w:val="single" w:sz="4" w:space="0" w:color="auto"/>
              <w:right w:val="single" w:sz="4" w:space="0" w:color="auto"/>
            </w:tcBorders>
            <w:shd w:val="clear" w:color="auto" w:fill="auto"/>
            <w:vAlign w:val="center"/>
          </w:tcPr>
          <w:p w14:paraId="6FD7C182" w14:textId="40C76DC9"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MDV SR</w:t>
            </w:r>
          </w:p>
          <w:p w14:paraId="43279582" w14:textId="3DCB81E6"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SŽDaD</w:t>
            </w:r>
          </w:p>
        </w:tc>
        <w:tc>
          <w:tcPr>
            <w:tcW w:w="532" w:type="pct"/>
            <w:tcBorders>
              <w:top w:val="single" w:sz="4" w:space="0" w:color="auto"/>
              <w:left w:val="nil"/>
              <w:bottom w:val="single" w:sz="4" w:space="0" w:color="auto"/>
              <w:right w:val="single" w:sz="4" w:space="0" w:color="auto"/>
            </w:tcBorders>
            <w:shd w:val="clear" w:color="auto" w:fill="auto"/>
            <w:vAlign w:val="center"/>
          </w:tcPr>
          <w:p w14:paraId="609F6AAD" w14:textId="77777777" w:rsidR="00CB16AA" w:rsidRPr="00666914" w:rsidRDefault="00CB16AA" w:rsidP="00254A5B">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priebežne</w:t>
            </w:r>
          </w:p>
        </w:tc>
        <w:tc>
          <w:tcPr>
            <w:tcW w:w="535" w:type="pct"/>
            <w:tcBorders>
              <w:top w:val="single" w:sz="4" w:space="0" w:color="auto"/>
              <w:left w:val="nil"/>
              <w:bottom w:val="single" w:sz="4" w:space="0" w:color="auto"/>
              <w:right w:val="single" w:sz="4" w:space="0" w:color="auto"/>
            </w:tcBorders>
            <w:shd w:val="clear" w:color="auto" w:fill="auto"/>
            <w:vAlign w:val="center"/>
          </w:tcPr>
          <w:p w14:paraId="5ECC4F81" w14:textId="77777777" w:rsidR="00CB16AA" w:rsidRPr="00666914" w:rsidRDefault="00CB16AA" w:rsidP="00985E7A">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w:t>
            </w:r>
          </w:p>
        </w:tc>
        <w:tc>
          <w:tcPr>
            <w:tcW w:w="284" w:type="pct"/>
            <w:tcBorders>
              <w:top w:val="single" w:sz="4" w:space="0" w:color="auto"/>
              <w:left w:val="nil"/>
              <w:bottom w:val="single" w:sz="4" w:space="0" w:color="auto"/>
              <w:right w:val="single" w:sz="4" w:space="0" w:color="auto"/>
            </w:tcBorders>
            <w:shd w:val="clear" w:color="auto" w:fill="A6A6A6" w:themeFill="background1" w:themeFillShade="A6"/>
            <w:noWrap/>
            <w:vAlign w:val="bottom"/>
          </w:tcPr>
          <w:p w14:paraId="5F12EDD7" w14:textId="77777777" w:rsidR="00CB16AA" w:rsidRPr="00666914" w:rsidRDefault="00CB16AA" w:rsidP="00985E7A">
            <w:pPr>
              <w:spacing w:after="0"/>
              <w:rPr>
                <w:rFonts w:eastAsia="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A6A6A6" w:themeFill="background1" w:themeFillShade="A6"/>
            <w:noWrap/>
            <w:vAlign w:val="bottom"/>
          </w:tcPr>
          <w:p w14:paraId="743B331C" w14:textId="77777777" w:rsidR="00CB16AA" w:rsidRPr="00666914" w:rsidRDefault="00CB16AA" w:rsidP="00985E7A">
            <w:pPr>
              <w:spacing w:after="0"/>
              <w:rPr>
                <w:rFonts w:eastAsia="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FF0000"/>
            <w:noWrap/>
            <w:vAlign w:val="bottom"/>
          </w:tcPr>
          <w:p w14:paraId="1E24A97E" w14:textId="77777777" w:rsidR="00CB16AA" w:rsidRPr="00666914" w:rsidRDefault="00CB16AA" w:rsidP="00985E7A">
            <w:pPr>
              <w:spacing w:after="0"/>
              <w:rPr>
                <w:rFonts w:eastAsia="Times New Roman"/>
                <w:color w:val="000000"/>
                <w:sz w:val="20"/>
                <w:szCs w:val="20"/>
                <w:lang w:eastAsia="sk-SK"/>
              </w:rPr>
            </w:pPr>
          </w:p>
        </w:tc>
        <w:tc>
          <w:tcPr>
            <w:tcW w:w="282" w:type="pct"/>
            <w:tcBorders>
              <w:top w:val="single" w:sz="4" w:space="0" w:color="auto"/>
              <w:left w:val="single" w:sz="4" w:space="0" w:color="auto"/>
              <w:bottom w:val="single" w:sz="4" w:space="0" w:color="auto"/>
              <w:right w:val="single" w:sz="8" w:space="0" w:color="auto"/>
            </w:tcBorders>
            <w:shd w:val="clear" w:color="auto" w:fill="FFC000"/>
            <w:noWrap/>
            <w:vAlign w:val="bottom"/>
          </w:tcPr>
          <w:p w14:paraId="7F870509" w14:textId="77777777" w:rsidR="00CB16AA" w:rsidRPr="00666914" w:rsidRDefault="00CB16AA" w:rsidP="00985E7A">
            <w:pPr>
              <w:spacing w:after="0"/>
              <w:rPr>
                <w:rFonts w:eastAsia="Times New Roman"/>
                <w:b/>
                <w:bCs/>
                <w:color w:val="000000"/>
                <w:sz w:val="20"/>
                <w:szCs w:val="20"/>
                <w:lang w:eastAsia="sk-SK"/>
              </w:rPr>
            </w:pPr>
          </w:p>
        </w:tc>
      </w:tr>
      <w:tr w:rsidR="00CB16AA" w:rsidRPr="00666914" w14:paraId="52A86A20" w14:textId="77777777" w:rsidTr="00254A5B">
        <w:trPr>
          <w:trHeight w:val="1286"/>
        </w:trPr>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1AEBD988"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21</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6504FBDD"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Kvantifikovať optimálne finančné prostriedky na údržbu a prínosy z nej plynúce. Zverejňovať v ročnom intervale počet vybraných kľúčových výkonov jednotlivých činností opráv a údržby a ich náklady</w:t>
            </w:r>
          </w:p>
        </w:tc>
        <w:tc>
          <w:tcPr>
            <w:tcW w:w="760" w:type="pct"/>
            <w:tcBorders>
              <w:top w:val="single" w:sz="4" w:space="0" w:color="auto"/>
              <w:left w:val="nil"/>
              <w:bottom w:val="single" w:sz="4" w:space="0" w:color="auto"/>
              <w:right w:val="single" w:sz="4" w:space="0" w:color="auto"/>
            </w:tcBorders>
            <w:shd w:val="clear" w:color="auto" w:fill="auto"/>
            <w:vAlign w:val="center"/>
          </w:tcPr>
          <w:p w14:paraId="0B3F35BD" w14:textId="43433224"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MDV SR / MF SR</w:t>
            </w:r>
          </w:p>
          <w:p w14:paraId="12FD4F15" w14:textId="03E763E7"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SŽDaD</w:t>
            </w:r>
          </w:p>
        </w:tc>
        <w:tc>
          <w:tcPr>
            <w:tcW w:w="532" w:type="pct"/>
            <w:tcBorders>
              <w:top w:val="single" w:sz="4" w:space="0" w:color="auto"/>
              <w:left w:val="nil"/>
              <w:bottom w:val="single" w:sz="4" w:space="0" w:color="auto"/>
              <w:right w:val="single" w:sz="4" w:space="0" w:color="auto"/>
            </w:tcBorders>
            <w:shd w:val="clear" w:color="auto" w:fill="auto"/>
            <w:vAlign w:val="center"/>
          </w:tcPr>
          <w:p w14:paraId="1ACF8DAE" w14:textId="77777777" w:rsidR="00CB16AA" w:rsidRPr="00666914" w:rsidRDefault="00CB16AA" w:rsidP="00254A5B">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12/2017 / každoročne</w:t>
            </w:r>
          </w:p>
        </w:tc>
        <w:tc>
          <w:tcPr>
            <w:tcW w:w="535" w:type="pct"/>
            <w:tcBorders>
              <w:top w:val="single" w:sz="4" w:space="0" w:color="auto"/>
              <w:left w:val="nil"/>
              <w:bottom w:val="single" w:sz="4" w:space="0" w:color="auto"/>
              <w:right w:val="single" w:sz="4" w:space="0" w:color="auto"/>
            </w:tcBorders>
            <w:shd w:val="clear" w:color="auto" w:fill="auto"/>
            <w:vAlign w:val="center"/>
          </w:tcPr>
          <w:p w14:paraId="277B16C4" w14:textId="77777777" w:rsidR="00CB16AA" w:rsidRPr="00666914" w:rsidRDefault="00CB16AA" w:rsidP="00985E7A">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w:t>
            </w:r>
          </w:p>
        </w:tc>
        <w:tc>
          <w:tcPr>
            <w:tcW w:w="284" w:type="pct"/>
            <w:tcBorders>
              <w:top w:val="single" w:sz="4" w:space="0" w:color="auto"/>
              <w:left w:val="nil"/>
              <w:bottom w:val="single" w:sz="4" w:space="0" w:color="auto"/>
              <w:right w:val="single" w:sz="4" w:space="0" w:color="auto"/>
            </w:tcBorders>
            <w:shd w:val="clear" w:color="auto" w:fill="A6A6A6" w:themeFill="background1" w:themeFillShade="A6"/>
            <w:noWrap/>
            <w:vAlign w:val="bottom"/>
          </w:tcPr>
          <w:p w14:paraId="38252CC7" w14:textId="77777777" w:rsidR="00CB16AA" w:rsidRPr="00666914" w:rsidRDefault="00CB16AA" w:rsidP="00985E7A">
            <w:pPr>
              <w:spacing w:after="0"/>
              <w:rPr>
                <w:rFonts w:eastAsia="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FF0000"/>
            <w:noWrap/>
            <w:vAlign w:val="bottom"/>
          </w:tcPr>
          <w:p w14:paraId="0533A464" w14:textId="77777777" w:rsidR="00CB16AA" w:rsidRPr="00666914" w:rsidRDefault="00CB16AA" w:rsidP="00985E7A">
            <w:pPr>
              <w:spacing w:after="0"/>
              <w:rPr>
                <w:rFonts w:eastAsia="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FF0000"/>
            <w:noWrap/>
            <w:vAlign w:val="bottom"/>
          </w:tcPr>
          <w:p w14:paraId="2936387E" w14:textId="77777777" w:rsidR="00CB16AA" w:rsidRPr="00666914" w:rsidRDefault="00CB16AA" w:rsidP="00985E7A">
            <w:pPr>
              <w:spacing w:after="0"/>
              <w:rPr>
                <w:rFonts w:eastAsia="Times New Roman"/>
                <w:color w:val="000000"/>
                <w:sz w:val="20"/>
                <w:szCs w:val="20"/>
                <w:lang w:eastAsia="sk-SK"/>
              </w:rPr>
            </w:pPr>
          </w:p>
        </w:tc>
        <w:tc>
          <w:tcPr>
            <w:tcW w:w="282" w:type="pct"/>
            <w:tcBorders>
              <w:top w:val="single" w:sz="4" w:space="0" w:color="auto"/>
              <w:left w:val="single" w:sz="4" w:space="0" w:color="auto"/>
              <w:bottom w:val="single" w:sz="4" w:space="0" w:color="auto"/>
              <w:right w:val="single" w:sz="8" w:space="0" w:color="auto"/>
            </w:tcBorders>
            <w:shd w:val="clear" w:color="auto" w:fill="FF0000"/>
            <w:noWrap/>
            <w:vAlign w:val="bottom"/>
          </w:tcPr>
          <w:p w14:paraId="2021FB0A" w14:textId="77777777" w:rsidR="00CB16AA" w:rsidRPr="00666914" w:rsidRDefault="00CB16AA" w:rsidP="00985E7A">
            <w:pPr>
              <w:spacing w:after="0"/>
              <w:rPr>
                <w:rFonts w:eastAsia="Times New Roman"/>
                <w:b/>
                <w:bCs/>
                <w:color w:val="000000"/>
                <w:sz w:val="20"/>
                <w:szCs w:val="20"/>
                <w:lang w:eastAsia="sk-SK"/>
              </w:rPr>
            </w:pPr>
          </w:p>
        </w:tc>
      </w:tr>
      <w:tr w:rsidR="00CB16AA" w:rsidRPr="00666914" w14:paraId="3FEA5B7B" w14:textId="77777777" w:rsidTr="00254A5B">
        <w:trPr>
          <w:trHeight w:val="330"/>
        </w:trPr>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21FC3002"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22</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62CA8328"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 xml:space="preserve">Zvýšením účinnosti formou budovania filtračno-kompenzačných zariadení </w:t>
            </w:r>
            <w:r w:rsidRPr="00666914">
              <w:rPr>
                <w:rFonts w:eastAsia="Times New Roman" w:cs="Calibri"/>
                <w:color w:val="000000"/>
                <w:sz w:val="20"/>
                <w:szCs w:val="20"/>
                <w:lang w:eastAsia="sk-SK"/>
              </w:rPr>
              <w:lastRenderedPageBreak/>
              <w:t>a energetického dispečingu dosiahnuť ročnú úsporu nákladov v objeme 0,5 mil. eur. Budú preskúmané ďalšie možnosti znižovania nákladov na nákup elektrickej energie</w:t>
            </w:r>
          </w:p>
        </w:tc>
        <w:tc>
          <w:tcPr>
            <w:tcW w:w="760" w:type="pct"/>
            <w:tcBorders>
              <w:top w:val="single" w:sz="4" w:space="0" w:color="auto"/>
              <w:left w:val="nil"/>
              <w:bottom w:val="single" w:sz="4" w:space="0" w:color="auto"/>
              <w:right w:val="single" w:sz="4" w:space="0" w:color="auto"/>
            </w:tcBorders>
            <w:shd w:val="clear" w:color="auto" w:fill="auto"/>
            <w:vAlign w:val="center"/>
          </w:tcPr>
          <w:p w14:paraId="0E168BD9" w14:textId="5EF039B5"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lastRenderedPageBreak/>
              <w:t>SŽDaD</w:t>
            </w:r>
          </w:p>
        </w:tc>
        <w:tc>
          <w:tcPr>
            <w:tcW w:w="532" w:type="pct"/>
            <w:tcBorders>
              <w:top w:val="single" w:sz="4" w:space="0" w:color="auto"/>
              <w:left w:val="nil"/>
              <w:bottom w:val="single" w:sz="4" w:space="0" w:color="auto"/>
              <w:right w:val="single" w:sz="4" w:space="0" w:color="auto"/>
            </w:tcBorders>
            <w:shd w:val="clear" w:color="auto" w:fill="auto"/>
            <w:vAlign w:val="center"/>
          </w:tcPr>
          <w:p w14:paraId="11FFB00B" w14:textId="77777777"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xml:space="preserve">01/2019 - úspora / </w:t>
            </w:r>
            <w:r w:rsidRPr="00666914">
              <w:rPr>
                <w:rFonts w:eastAsia="Times New Roman" w:cs="Calibri"/>
                <w:color w:val="000000"/>
                <w:sz w:val="20"/>
                <w:szCs w:val="20"/>
                <w:lang w:eastAsia="sk-SK"/>
              </w:rPr>
              <w:lastRenderedPageBreak/>
              <w:t>12/2017 – analýza</w:t>
            </w:r>
          </w:p>
        </w:tc>
        <w:tc>
          <w:tcPr>
            <w:tcW w:w="535" w:type="pct"/>
            <w:tcBorders>
              <w:top w:val="single" w:sz="4" w:space="0" w:color="auto"/>
              <w:left w:val="nil"/>
              <w:bottom w:val="single" w:sz="4" w:space="0" w:color="auto"/>
              <w:right w:val="single" w:sz="4" w:space="0" w:color="auto"/>
            </w:tcBorders>
            <w:shd w:val="clear" w:color="auto" w:fill="auto"/>
            <w:vAlign w:val="center"/>
          </w:tcPr>
          <w:p w14:paraId="19114FEB" w14:textId="77777777" w:rsidR="00CB16AA" w:rsidRPr="00666914" w:rsidRDefault="00CB16AA" w:rsidP="00985E7A">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lastRenderedPageBreak/>
              <w:t>-</w:t>
            </w:r>
          </w:p>
        </w:tc>
        <w:tc>
          <w:tcPr>
            <w:tcW w:w="284" w:type="pct"/>
            <w:tcBorders>
              <w:top w:val="single" w:sz="4" w:space="0" w:color="auto"/>
              <w:left w:val="nil"/>
              <w:bottom w:val="single" w:sz="4" w:space="0" w:color="auto"/>
              <w:right w:val="single" w:sz="4" w:space="0" w:color="auto"/>
            </w:tcBorders>
            <w:shd w:val="clear" w:color="auto" w:fill="A6A6A6" w:themeFill="background1" w:themeFillShade="A6"/>
            <w:noWrap/>
            <w:vAlign w:val="bottom"/>
          </w:tcPr>
          <w:p w14:paraId="4833AD82" w14:textId="77777777" w:rsidR="00CB16AA" w:rsidRPr="00666914" w:rsidRDefault="00CB16AA" w:rsidP="00985E7A">
            <w:pPr>
              <w:spacing w:after="0"/>
              <w:rPr>
                <w:rFonts w:eastAsia="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A6A6A6" w:themeFill="background1" w:themeFillShade="A6"/>
            <w:noWrap/>
            <w:vAlign w:val="bottom"/>
          </w:tcPr>
          <w:p w14:paraId="0194247B" w14:textId="77777777" w:rsidR="00CB16AA" w:rsidRPr="00666914" w:rsidRDefault="00CB16AA" w:rsidP="00985E7A">
            <w:pPr>
              <w:spacing w:after="0"/>
              <w:rPr>
                <w:rFonts w:eastAsia="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AEAAAA" w:themeFill="background2" w:themeFillShade="BF"/>
            <w:noWrap/>
            <w:vAlign w:val="bottom"/>
          </w:tcPr>
          <w:p w14:paraId="2B482467" w14:textId="77777777" w:rsidR="00CB16AA" w:rsidRPr="00666914" w:rsidRDefault="00CB16AA" w:rsidP="00985E7A">
            <w:pPr>
              <w:spacing w:after="0"/>
              <w:rPr>
                <w:rFonts w:eastAsia="Times New Roman"/>
                <w:color w:val="000000"/>
                <w:sz w:val="20"/>
                <w:szCs w:val="20"/>
                <w:lang w:eastAsia="sk-SK"/>
              </w:rPr>
            </w:pPr>
          </w:p>
        </w:tc>
        <w:tc>
          <w:tcPr>
            <w:tcW w:w="282" w:type="pct"/>
            <w:tcBorders>
              <w:top w:val="single" w:sz="4" w:space="0" w:color="auto"/>
              <w:left w:val="single" w:sz="4" w:space="0" w:color="auto"/>
              <w:bottom w:val="single" w:sz="4" w:space="0" w:color="auto"/>
              <w:right w:val="single" w:sz="8" w:space="0" w:color="auto"/>
            </w:tcBorders>
            <w:shd w:val="clear" w:color="auto" w:fill="92D050"/>
            <w:noWrap/>
            <w:vAlign w:val="bottom"/>
          </w:tcPr>
          <w:p w14:paraId="09A95339" w14:textId="77777777" w:rsidR="00CB16AA" w:rsidRPr="00666914" w:rsidRDefault="00CB16AA" w:rsidP="00985E7A">
            <w:pPr>
              <w:spacing w:after="0"/>
              <w:rPr>
                <w:rFonts w:eastAsia="Times New Roman"/>
                <w:b/>
                <w:bCs/>
                <w:color w:val="000000"/>
                <w:sz w:val="20"/>
                <w:szCs w:val="20"/>
                <w:lang w:eastAsia="sk-SK"/>
              </w:rPr>
            </w:pPr>
          </w:p>
        </w:tc>
      </w:tr>
      <w:tr w:rsidR="00CB16AA" w:rsidRPr="00666914" w14:paraId="0ADC7BF0" w14:textId="77777777" w:rsidTr="00254A5B">
        <w:trPr>
          <w:trHeight w:val="645"/>
        </w:trPr>
        <w:tc>
          <w:tcPr>
            <w:tcW w:w="206" w:type="pct"/>
            <w:tcBorders>
              <w:top w:val="single" w:sz="4" w:space="0" w:color="auto"/>
              <w:left w:val="single" w:sz="8" w:space="0" w:color="auto"/>
              <w:bottom w:val="nil"/>
              <w:right w:val="single" w:sz="4" w:space="0" w:color="auto"/>
            </w:tcBorders>
            <w:shd w:val="clear" w:color="auto" w:fill="auto"/>
            <w:vAlign w:val="center"/>
          </w:tcPr>
          <w:p w14:paraId="1CC44E7F"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23</w:t>
            </w:r>
          </w:p>
        </w:tc>
        <w:tc>
          <w:tcPr>
            <w:tcW w:w="1839" w:type="pct"/>
            <w:tcBorders>
              <w:top w:val="single" w:sz="4" w:space="0" w:color="auto"/>
              <w:left w:val="single" w:sz="4" w:space="0" w:color="auto"/>
              <w:bottom w:val="nil"/>
              <w:right w:val="single" w:sz="4" w:space="0" w:color="auto"/>
            </w:tcBorders>
            <w:shd w:val="clear" w:color="auto" w:fill="auto"/>
            <w:vAlign w:val="center"/>
          </w:tcPr>
          <w:p w14:paraId="320420F9"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Hľadať opatrenia na optimalizáciu jednotkových nákladov a zvyšovanie výnosov, spolu o 20 % v dotovanej verejnej osobnej železničnej doprave.</w:t>
            </w:r>
          </w:p>
        </w:tc>
        <w:tc>
          <w:tcPr>
            <w:tcW w:w="760" w:type="pct"/>
            <w:tcBorders>
              <w:top w:val="single" w:sz="4" w:space="0" w:color="auto"/>
              <w:left w:val="nil"/>
              <w:bottom w:val="nil"/>
              <w:right w:val="single" w:sz="4" w:space="0" w:color="auto"/>
            </w:tcBorders>
            <w:shd w:val="clear" w:color="auto" w:fill="auto"/>
            <w:vAlign w:val="center"/>
          </w:tcPr>
          <w:p w14:paraId="6371CB31" w14:textId="40E2B5B6"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MDV SR</w:t>
            </w:r>
          </w:p>
          <w:p w14:paraId="1F8D15BB" w14:textId="5461E29B"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SŽDaD</w:t>
            </w:r>
          </w:p>
        </w:tc>
        <w:tc>
          <w:tcPr>
            <w:tcW w:w="532" w:type="pct"/>
            <w:tcBorders>
              <w:top w:val="single" w:sz="4" w:space="0" w:color="auto"/>
              <w:left w:val="nil"/>
              <w:bottom w:val="nil"/>
              <w:right w:val="single" w:sz="4" w:space="0" w:color="auto"/>
            </w:tcBorders>
            <w:shd w:val="clear" w:color="auto" w:fill="auto"/>
            <w:vAlign w:val="center"/>
          </w:tcPr>
          <w:p w14:paraId="0287753D" w14:textId="77777777" w:rsidR="00CB16AA" w:rsidRPr="00666914" w:rsidRDefault="00CB16AA" w:rsidP="00254A5B">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06/2020</w:t>
            </w:r>
          </w:p>
        </w:tc>
        <w:tc>
          <w:tcPr>
            <w:tcW w:w="535" w:type="pct"/>
            <w:tcBorders>
              <w:top w:val="single" w:sz="4" w:space="0" w:color="auto"/>
              <w:left w:val="nil"/>
              <w:bottom w:val="nil"/>
              <w:right w:val="single" w:sz="4" w:space="0" w:color="auto"/>
            </w:tcBorders>
            <w:shd w:val="clear" w:color="auto" w:fill="auto"/>
            <w:vAlign w:val="center"/>
          </w:tcPr>
          <w:p w14:paraId="21A95185" w14:textId="77777777" w:rsidR="00CB16AA" w:rsidRPr="00666914" w:rsidRDefault="00CB16AA" w:rsidP="00985E7A">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w:t>
            </w:r>
          </w:p>
        </w:tc>
        <w:tc>
          <w:tcPr>
            <w:tcW w:w="284" w:type="pct"/>
            <w:tcBorders>
              <w:top w:val="single" w:sz="4" w:space="0" w:color="auto"/>
              <w:left w:val="nil"/>
              <w:bottom w:val="nil"/>
              <w:right w:val="single" w:sz="4" w:space="0" w:color="auto"/>
            </w:tcBorders>
            <w:shd w:val="clear" w:color="auto" w:fill="92D050"/>
            <w:noWrap/>
            <w:vAlign w:val="bottom"/>
          </w:tcPr>
          <w:p w14:paraId="77A9232C" w14:textId="77777777" w:rsidR="00CB16AA" w:rsidRPr="00666914" w:rsidRDefault="00CB16AA" w:rsidP="00985E7A">
            <w:pPr>
              <w:spacing w:after="0"/>
              <w:rPr>
                <w:rFonts w:eastAsia="Times New Roman"/>
                <w:color w:val="000000"/>
                <w:sz w:val="20"/>
                <w:szCs w:val="20"/>
                <w:lang w:eastAsia="sk-SK"/>
              </w:rPr>
            </w:pPr>
          </w:p>
        </w:tc>
        <w:tc>
          <w:tcPr>
            <w:tcW w:w="281" w:type="pct"/>
            <w:tcBorders>
              <w:top w:val="single" w:sz="4" w:space="0" w:color="auto"/>
              <w:left w:val="nil"/>
              <w:bottom w:val="nil"/>
              <w:right w:val="single" w:sz="4" w:space="0" w:color="auto"/>
            </w:tcBorders>
            <w:shd w:val="clear" w:color="auto" w:fill="FFC000"/>
            <w:noWrap/>
            <w:vAlign w:val="bottom"/>
          </w:tcPr>
          <w:p w14:paraId="2EB7473F" w14:textId="77777777" w:rsidR="00CB16AA" w:rsidRPr="00666914" w:rsidRDefault="00CB16AA" w:rsidP="00985E7A">
            <w:pPr>
              <w:spacing w:after="0"/>
              <w:rPr>
                <w:rFonts w:eastAsia="Times New Roman"/>
                <w:color w:val="000000"/>
                <w:sz w:val="20"/>
                <w:szCs w:val="20"/>
                <w:lang w:eastAsia="sk-SK"/>
              </w:rPr>
            </w:pPr>
          </w:p>
        </w:tc>
        <w:tc>
          <w:tcPr>
            <w:tcW w:w="281" w:type="pct"/>
            <w:tcBorders>
              <w:top w:val="single" w:sz="4" w:space="0" w:color="auto"/>
              <w:left w:val="nil"/>
              <w:bottom w:val="nil"/>
              <w:right w:val="single" w:sz="4" w:space="0" w:color="auto"/>
            </w:tcBorders>
            <w:shd w:val="clear" w:color="auto" w:fill="FFC000"/>
            <w:noWrap/>
            <w:vAlign w:val="bottom"/>
          </w:tcPr>
          <w:p w14:paraId="483503E5" w14:textId="77777777" w:rsidR="00CB16AA" w:rsidRPr="00666914" w:rsidRDefault="00CB16AA" w:rsidP="00985E7A">
            <w:pPr>
              <w:spacing w:after="0"/>
              <w:rPr>
                <w:rFonts w:eastAsia="Times New Roman"/>
                <w:color w:val="000000"/>
                <w:sz w:val="20"/>
                <w:szCs w:val="20"/>
                <w:lang w:eastAsia="sk-SK"/>
              </w:rPr>
            </w:pPr>
          </w:p>
        </w:tc>
        <w:tc>
          <w:tcPr>
            <w:tcW w:w="282" w:type="pct"/>
            <w:tcBorders>
              <w:top w:val="single" w:sz="4" w:space="0" w:color="auto"/>
              <w:left w:val="single" w:sz="4" w:space="0" w:color="auto"/>
              <w:bottom w:val="nil"/>
              <w:right w:val="single" w:sz="8" w:space="0" w:color="auto"/>
            </w:tcBorders>
            <w:shd w:val="clear" w:color="auto" w:fill="FFC000"/>
            <w:noWrap/>
            <w:vAlign w:val="bottom"/>
          </w:tcPr>
          <w:p w14:paraId="34E33106" w14:textId="77777777" w:rsidR="00CB16AA" w:rsidRPr="00666914" w:rsidRDefault="00CB16AA" w:rsidP="00985E7A">
            <w:pPr>
              <w:spacing w:after="0"/>
              <w:rPr>
                <w:rFonts w:eastAsia="Times New Roman"/>
                <w:b/>
                <w:bCs/>
                <w:color w:val="000000"/>
                <w:sz w:val="20"/>
                <w:szCs w:val="20"/>
                <w:lang w:eastAsia="sk-SK"/>
              </w:rPr>
            </w:pPr>
          </w:p>
        </w:tc>
      </w:tr>
      <w:tr w:rsidR="00CB16AA" w:rsidRPr="00666914" w14:paraId="4A20A7BA" w14:textId="77777777" w:rsidTr="00985E7A">
        <w:trPr>
          <w:trHeight w:val="302"/>
        </w:trPr>
        <w:tc>
          <w:tcPr>
            <w:tcW w:w="5000" w:type="pct"/>
            <w:gridSpan w:val="9"/>
            <w:tcBorders>
              <w:top w:val="single" w:sz="8" w:space="0" w:color="auto"/>
              <w:left w:val="single" w:sz="8" w:space="0" w:color="auto"/>
              <w:bottom w:val="single" w:sz="8" w:space="0" w:color="auto"/>
              <w:right w:val="single" w:sz="8" w:space="0" w:color="auto"/>
            </w:tcBorders>
            <w:shd w:val="clear" w:color="auto" w:fill="auto"/>
            <w:noWrap/>
            <w:vAlign w:val="center"/>
          </w:tcPr>
          <w:p w14:paraId="478B67F9" w14:textId="77777777" w:rsidR="00CB16AA" w:rsidRPr="00666914" w:rsidRDefault="00CB16AA" w:rsidP="00254A5B">
            <w:pPr>
              <w:spacing w:after="0"/>
              <w:jc w:val="center"/>
              <w:rPr>
                <w:rFonts w:eastAsia="Times New Roman"/>
                <w:b/>
                <w:bCs/>
                <w:color w:val="000000"/>
                <w:sz w:val="20"/>
                <w:szCs w:val="20"/>
                <w:lang w:eastAsia="sk-SK"/>
              </w:rPr>
            </w:pPr>
            <w:r w:rsidRPr="00666914">
              <w:rPr>
                <w:rFonts w:eastAsia="Times New Roman" w:cs="Calibri"/>
                <w:b/>
                <w:bCs/>
                <w:color w:val="000000"/>
                <w:sz w:val="20"/>
                <w:szCs w:val="20"/>
                <w:lang w:eastAsia="sk-SK"/>
              </w:rPr>
              <w:t>DOPRAVNÉ DÁTA, MODELY A METODIKA PRE CBA</w:t>
            </w:r>
          </w:p>
        </w:tc>
      </w:tr>
      <w:tr w:rsidR="00CB16AA" w:rsidRPr="00666914" w14:paraId="7017B31E" w14:textId="77777777" w:rsidTr="00254A5B">
        <w:trPr>
          <w:trHeight w:val="287"/>
        </w:trPr>
        <w:tc>
          <w:tcPr>
            <w:tcW w:w="206" w:type="pct"/>
            <w:tcBorders>
              <w:top w:val="nil"/>
              <w:left w:val="single" w:sz="8" w:space="0" w:color="auto"/>
              <w:bottom w:val="single" w:sz="4" w:space="0" w:color="auto"/>
              <w:right w:val="single" w:sz="4" w:space="0" w:color="auto"/>
            </w:tcBorders>
            <w:shd w:val="clear" w:color="auto" w:fill="auto"/>
            <w:vAlign w:val="center"/>
          </w:tcPr>
          <w:p w14:paraId="61CF7677"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24</w:t>
            </w:r>
          </w:p>
        </w:tc>
        <w:tc>
          <w:tcPr>
            <w:tcW w:w="1839" w:type="pct"/>
            <w:tcBorders>
              <w:top w:val="nil"/>
              <w:left w:val="single" w:sz="4" w:space="0" w:color="auto"/>
              <w:bottom w:val="single" w:sz="4" w:space="0" w:color="auto"/>
              <w:right w:val="single" w:sz="4" w:space="0" w:color="auto"/>
            </w:tcBorders>
            <w:shd w:val="clear" w:color="auto" w:fill="auto"/>
            <w:vAlign w:val="center"/>
          </w:tcPr>
          <w:p w14:paraId="6F00A2A5"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Zadefinovať rozsah zberu dát, jeho periodicitu, formát, zdroj a zodpovednú organizáciu a iniciovanie úpravy metodiky zisťovania ŠÚ SR na aktuálne požiadavky dát.</w:t>
            </w:r>
          </w:p>
        </w:tc>
        <w:tc>
          <w:tcPr>
            <w:tcW w:w="760" w:type="pct"/>
            <w:tcBorders>
              <w:top w:val="nil"/>
              <w:left w:val="nil"/>
              <w:bottom w:val="single" w:sz="4" w:space="0" w:color="auto"/>
              <w:right w:val="single" w:sz="4" w:space="0" w:color="auto"/>
            </w:tcBorders>
            <w:shd w:val="clear" w:color="auto" w:fill="auto"/>
            <w:vAlign w:val="center"/>
          </w:tcPr>
          <w:p w14:paraId="066C97F8" w14:textId="6C3B4BDA"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MDV SR / MF SR</w:t>
            </w:r>
          </w:p>
          <w:p w14:paraId="0F0EBAAC" w14:textId="77777777"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SVAMP</w:t>
            </w:r>
          </w:p>
        </w:tc>
        <w:tc>
          <w:tcPr>
            <w:tcW w:w="532" w:type="pct"/>
            <w:tcBorders>
              <w:top w:val="nil"/>
              <w:left w:val="nil"/>
              <w:bottom w:val="single" w:sz="4" w:space="0" w:color="auto"/>
              <w:right w:val="single" w:sz="4" w:space="0" w:color="auto"/>
            </w:tcBorders>
            <w:shd w:val="clear" w:color="auto" w:fill="auto"/>
            <w:vAlign w:val="center"/>
          </w:tcPr>
          <w:p w14:paraId="431C0717" w14:textId="77777777" w:rsidR="00CB16AA" w:rsidRPr="00666914" w:rsidRDefault="00CB16AA" w:rsidP="00254A5B">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jún 2017</w:t>
            </w:r>
          </w:p>
        </w:tc>
        <w:tc>
          <w:tcPr>
            <w:tcW w:w="535" w:type="pct"/>
            <w:tcBorders>
              <w:top w:val="nil"/>
              <w:left w:val="nil"/>
              <w:bottom w:val="single" w:sz="4" w:space="0" w:color="auto"/>
              <w:right w:val="single" w:sz="4" w:space="0" w:color="auto"/>
            </w:tcBorders>
            <w:shd w:val="clear" w:color="auto" w:fill="auto"/>
            <w:vAlign w:val="center"/>
          </w:tcPr>
          <w:p w14:paraId="2548D672" w14:textId="77777777" w:rsidR="00CB16AA" w:rsidRPr="00666914" w:rsidRDefault="00CB16AA" w:rsidP="00985E7A">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12/2019</w:t>
            </w:r>
          </w:p>
        </w:tc>
        <w:tc>
          <w:tcPr>
            <w:tcW w:w="284" w:type="pct"/>
            <w:tcBorders>
              <w:top w:val="nil"/>
              <w:left w:val="nil"/>
              <w:bottom w:val="single" w:sz="4" w:space="0" w:color="auto"/>
              <w:right w:val="single" w:sz="4" w:space="0" w:color="auto"/>
            </w:tcBorders>
            <w:shd w:val="clear" w:color="auto" w:fill="FFC000"/>
            <w:noWrap/>
            <w:vAlign w:val="bottom"/>
            <w:hideMark/>
          </w:tcPr>
          <w:p w14:paraId="7657AC20" w14:textId="77777777" w:rsidR="00CB16AA" w:rsidRPr="00666914" w:rsidRDefault="00CB16AA" w:rsidP="00985E7A">
            <w:pPr>
              <w:spacing w:after="0"/>
              <w:rPr>
                <w:rFonts w:eastAsia="Times New Roman"/>
                <w:b/>
                <w:bCs/>
                <w:color w:val="000000"/>
                <w:sz w:val="20"/>
                <w:szCs w:val="20"/>
                <w:lang w:eastAsia="sk-SK"/>
              </w:rPr>
            </w:pPr>
            <w:r w:rsidRPr="00666914">
              <w:rPr>
                <w:rFonts w:eastAsia="Times New Roman"/>
                <w:b/>
                <w:bCs/>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C000"/>
            <w:noWrap/>
            <w:vAlign w:val="bottom"/>
            <w:hideMark/>
          </w:tcPr>
          <w:p w14:paraId="1C734A3A" w14:textId="77777777" w:rsidR="00CB16AA" w:rsidRPr="00666914" w:rsidRDefault="00CB16AA" w:rsidP="00985E7A">
            <w:pPr>
              <w:spacing w:after="0"/>
              <w:rPr>
                <w:rFonts w:eastAsia="Times New Roman"/>
                <w:b/>
                <w:bCs/>
                <w:color w:val="000000"/>
                <w:sz w:val="20"/>
                <w:szCs w:val="20"/>
                <w:lang w:eastAsia="sk-SK"/>
              </w:rPr>
            </w:pPr>
            <w:r w:rsidRPr="00666914">
              <w:rPr>
                <w:rFonts w:eastAsia="Times New Roman"/>
                <w:b/>
                <w:bCs/>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C000"/>
            <w:noWrap/>
            <w:vAlign w:val="bottom"/>
            <w:hideMark/>
          </w:tcPr>
          <w:p w14:paraId="0DF35DA1" w14:textId="77777777" w:rsidR="00CB16AA" w:rsidRPr="00666914" w:rsidRDefault="00CB16AA" w:rsidP="00985E7A">
            <w:pPr>
              <w:spacing w:after="0"/>
              <w:rPr>
                <w:rFonts w:eastAsia="Times New Roman"/>
                <w:b/>
                <w:bCs/>
                <w:color w:val="000000"/>
                <w:sz w:val="20"/>
                <w:szCs w:val="20"/>
                <w:lang w:eastAsia="sk-SK"/>
              </w:rPr>
            </w:pPr>
            <w:r w:rsidRPr="00666914">
              <w:rPr>
                <w:rFonts w:eastAsia="Times New Roman"/>
                <w:b/>
                <w:bCs/>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FF0000"/>
            <w:noWrap/>
            <w:vAlign w:val="bottom"/>
            <w:hideMark/>
          </w:tcPr>
          <w:p w14:paraId="4C5B92B3" w14:textId="77777777" w:rsidR="00CB16AA" w:rsidRPr="00666914" w:rsidRDefault="00CB16AA" w:rsidP="00985E7A">
            <w:pPr>
              <w:spacing w:after="0"/>
              <w:rPr>
                <w:rFonts w:eastAsia="Times New Roman"/>
                <w:b/>
                <w:bCs/>
                <w:color w:val="000000"/>
                <w:sz w:val="20"/>
                <w:szCs w:val="20"/>
                <w:lang w:eastAsia="sk-SK"/>
              </w:rPr>
            </w:pPr>
            <w:r w:rsidRPr="00666914">
              <w:rPr>
                <w:rFonts w:eastAsia="Times New Roman"/>
                <w:b/>
                <w:bCs/>
                <w:color w:val="000000"/>
                <w:sz w:val="20"/>
                <w:szCs w:val="20"/>
                <w:lang w:eastAsia="sk-SK"/>
              </w:rPr>
              <w:t> </w:t>
            </w:r>
          </w:p>
        </w:tc>
      </w:tr>
      <w:tr w:rsidR="00CB16AA" w:rsidRPr="00666914" w14:paraId="712279A5" w14:textId="77777777" w:rsidTr="00254A5B">
        <w:trPr>
          <w:trHeight w:val="287"/>
        </w:trPr>
        <w:tc>
          <w:tcPr>
            <w:tcW w:w="206" w:type="pct"/>
            <w:tcBorders>
              <w:top w:val="nil"/>
              <w:left w:val="single" w:sz="8" w:space="0" w:color="auto"/>
              <w:bottom w:val="single" w:sz="4" w:space="0" w:color="auto"/>
              <w:right w:val="single" w:sz="4" w:space="0" w:color="auto"/>
            </w:tcBorders>
            <w:shd w:val="clear" w:color="auto" w:fill="auto"/>
            <w:vAlign w:val="center"/>
          </w:tcPr>
          <w:p w14:paraId="583F7AC9"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25</w:t>
            </w:r>
          </w:p>
        </w:tc>
        <w:tc>
          <w:tcPr>
            <w:tcW w:w="1839" w:type="pct"/>
            <w:tcBorders>
              <w:top w:val="nil"/>
              <w:left w:val="single" w:sz="4" w:space="0" w:color="auto"/>
              <w:bottom w:val="single" w:sz="4" w:space="0" w:color="auto"/>
              <w:right w:val="single" w:sz="4" w:space="0" w:color="auto"/>
            </w:tcBorders>
            <w:shd w:val="clear" w:color="auto" w:fill="auto"/>
            <w:vAlign w:val="center"/>
          </w:tcPr>
          <w:p w14:paraId="165658A6"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Sprístupňovať relevantné dopravné dáta verejnosti, najmä na účely vytvárania koncepčných materiálov a stratégií v oblasti dopravy</w:t>
            </w:r>
          </w:p>
        </w:tc>
        <w:tc>
          <w:tcPr>
            <w:tcW w:w="760" w:type="pct"/>
            <w:tcBorders>
              <w:top w:val="nil"/>
              <w:left w:val="nil"/>
              <w:bottom w:val="single" w:sz="4" w:space="0" w:color="auto"/>
              <w:right w:val="single" w:sz="4" w:space="0" w:color="auto"/>
            </w:tcBorders>
            <w:shd w:val="clear" w:color="auto" w:fill="auto"/>
            <w:vAlign w:val="center"/>
          </w:tcPr>
          <w:p w14:paraId="099393CD" w14:textId="39D9D3B2"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MDV SR</w:t>
            </w:r>
          </w:p>
          <w:p w14:paraId="7D99DB7D" w14:textId="749B23E9"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SVAMP</w:t>
            </w:r>
          </w:p>
        </w:tc>
        <w:tc>
          <w:tcPr>
            <w:tcW w:w="532" w:type="pct"/>
            <w:tcBorders>
              <w:top w:val="nil"/>
              <w:left w:val="nil"/>
              <w:bottom w:val="single" w:sz="4" w:space="0" w:color="auto"/>
              <w:right w:val="single" w:sz="4" w:space="0" w:color="auto"/>
            </w:tcBorders>
            <w:shd w:val="clear" w:color="auto" w:fill="auto"/>
            <w:vAlign w:val="center"/>
          </w:tcPr>
          <w:p w14:paraId="12863736" w14:textId="77777777" w:rsidR="00CB16AA" w:rsidRPr="00666914" w:rsidRDefault="00CB16AA" w:rsidP="00254A5B">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priebežne</w:t>
            </w:r>
          </w:p>
        </w:tc>
        <w:tc>
          <w:tcPr>
            <w:tcW w:w="535" w:type="pct"/>
            <w:tcBorders>
              <w:top w:val="nil"/>
              <w:left w:val="nil"/>
              <w:bottom w:val="single" w:sz="4" w:space="0" w:color="auto"/>
              <w:right w:val="single" w:sz="4" w:space="0" w:color="auto"/>
            </w:tcBorders>
            <w:shd w:val="clear" w:color="auto" w:fill="auto"/>
            <w:vAlign w:val="center"/>
          </w:tcPr>
          <w:p w14:paraId="4200BC34" w14:textId="77777777" w:rsidR="00CB16AA" w:rsidRPr="00666914" w:rsidRDefault="00CB16AA" w:rsidP="00985E7A">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12/2019</w:t>
            </w:r>
          </w:p>
        </w:tc>
        <w:tc>
          <w:tcPr>
            <w:tcW w:w="284" w:type="pct"/>
            <w:tcBorders>
              <w:top w:val="nil"/>
              <w:left w:val="nil"/>
              <w:bottom w:val="single" w:sz="4" w:space="0" w:color="auto"/>
              <w:right w:val="single" w:sz="4" w:space="0" w:color="auto"/>
            </w:tcBorders>
            <w:shd w:val="clear" w:color="auto" w:fill="FFC000"/>
            <w:noWrap/>
            <w:vAlign w:val="bottom"/>
          </w:tcPr>
          <w:p w14:paraId="3140E976" w14:textId="77777777" w:rsidR="00CB16AA" w:rsidRPr="00666914" w:rsidRDefault="00CB16AA" w:rsidP="00985E7A">
            <w:pPr>
              <w:spacing w:after="0"/>
              <w:rPr>
                <w:rFonts w:eastAsia="Times New Roman"/>
                <w:b/>
                <w:bCs/>
                <w:color w:val="000000"/>
                <w:sz w:val="20"/>
                <w:szCs w:val="20"/>
                <w:lang w:eastAsia="sk-SK"/>
              </w:rPr>
            </w:pPr>
          </w:p>
        </w:tc>
        <w:tc>
          <w:tcPr>
            <w:tcW w:w="281" w:type="pct"/>
            <w:tcBorders>
              <w:top w:val="nil"/>
              <w:left w:val="nil"/>
              <w:bottom w:val="single" w:sz="4" w:space="0" w:color="auto"/>
              <w:right w:val="single" w:sz="4" w:space="0" w:color="auto"/>
            </w:tcBorders>
            <w:shd w:val="clear" w:color="auto" w:fill="FFC000"/>
            <w:noWrap/>
            <w:vAlign w:val="bottom"/>
          </w:tcPr>
          <w:p w14:paraId="22493427" w14:textId="77777777" w:rsidR="00CB16AA" w:rsidRPr="00666914" w:rsidRDefault="00CB16AA" w:rsidP="00985E7A">
            <w:pPr>
              <w:spacing w:after="0"/>
              <w:rPr>
                <w:rFonts w:eastAsia="Times New Roman"/>
                <w:b/>
                <w:bCs/>
                <w:color w:val="000000"/>
                <w:sz w:val="20"/>
                <w:szCs w:val="20"/>
                <w:lang w:eastAsia="sk-SK"/>
              </w:rPr>
            </w:pPr>
          </w:p>
        </w:tc>
        <w:tc>
          <w:tcPr>
            <w:tcW w:w="281" w:type="pct"/>
            <w:tcBorders>
              <w:top w:val="nil"/>
              <w:left w:val="nil"/>
              <w:bottom w:val="single" w:sz="4" w:space="0" w:color="auto"/>
              <w:right w:val="single" w:sz="4" w:space="0" w:color="auto"/>
            </w:tcBorders>
            <w:shd w:val="clear" w:color="auto" w:fill="FFC000"/>
            <w:noWrap/>
            <w:vAlign w:val="bottom"/>
          </w:tcPr>
          <w:p w14:paraId="6D627F4D" w14:textId="77777777" w:rsidR="00CB16AA" w:rsidRPr="00666914" w:rsidRDefault="00CB16AA" w:rsidP="00985E7A">
            <w:pPr>
              <w:spacing w:after="0"/>
              <w:rPr>
                <w:rFonts w:eastAsia="Times New Roman"/>
                <w:b/>
                <w:bCs/>
                <w:color w:val="000000"/>
                <w:sz w:val="20"/>
                <w:szCs w:val="20"/>
                <w:lang w:eastAsia="sk-SK"/>
              </w:rPr>
            </w:pPr>
          </w:p>
        </w:tc>
        <w:tc>
          <w:tcPr>
            <w:tcW w:w="282" w:type="pct"/>
            <w:tcBorders>
              <w:top w:val="nil"/>
              <w:left w:val="single" w:sz="4" w:space="0" w:color="auto"/>
              <w:bottom w:val="single" w:sz="4" w:space="0" w:color="auto"/>
              <w:right w:val="single" w:sz="8" w:space="0" w:color="auto"/>
            </w:tcBorders>
            <w:shd w:val="clear" w:color="auto" w:fill="92D050"/>
            <w:noWrap/>
            <w:vAlign w:val="bottom"/>
          </w:tcPr>
          <w:p w14:paraId="76BAA395" w14:textId="77777777" w:rsidR="00CB16AA" w:rsidRPr="00666914" w:rsidRDefault="00CB16AA" w:rsidP="00985E7A">
            <w:pPr>
              <w:spacing w:after="0"/>
              <w:rPr>
                <w:rFonts w:eastAsia="Times New Roman"/>
                <w:b/>
                <w:bCs/>
                <w:color w:val="000000"/>
                <w:sz w:val="20"/>
                <w:szCs w:val="20"/>
                <w:lang w:eastAsia="sk-SK"/>
              </w:rPr>
            </w:pPr>
          </w:p>
        </w:tc>
      </w:tr>
      <w:tr w:rsidR="00CB16AA" w:rsidRPr="00666914" w14:paraId="2F02243E" w14:textId="77777777" w:rsidTr="00254A5B">
        <w:trPr>
          <w:trHeight w:val="287"/>
        </w:trPr>
        <w:tc>
          <w:tcPr>
            <w:tcW w:w="206" w:type="pct"/>
            <w:tcBorders>
              <w:top w:val="nil"/>
              <w:left w:val="single" w:sz="8" w:space="0" w:color="auto"/>
              <w:bottom w:val="single" w:sz="4" w:space="0" w:color="auto"/>
              <w:right w:val="single" w:sz="4" w:space="0" w:color="auto"/>
            </w:tcBorders>
            <w:shd w:val="clear" w:color="auto" w:fill="auto"/>
            <w:vAlign w:val="center"/>
          </w:tcPr>
          <w:p w14:paraId="52A1AC25"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26</w:t>
            </w:r>
          </w:p>
        </w:tc>
        <w:tc>
          <w:tcPr>
            <w:tcW w:w="1839" w:type="pct"/>
            <w:tcBorders>
              <w:top w:val="nil"/>
              <w:left w:val="single" w:sz="4" w:space="0" w:color="auto"/>
              <w:bottom w:val="single" w:sz="4" w:space="0" w:color="auto"/>
              <w:right w:val="single" w:sz="4" w:space="0" w:color="auto"/>
            </w:tcBorders>
            <w:shd w:val="clear" w:color="auto" w:fill="auto"/>
            <w:vAlign w:val="center"/>
          </w:tcPr>
          <w:p w14:paraId="1F55F55D"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Zabezpečiť prístup k vstupným údajom, metodikám, výstupom dopravných modelov nastavením podmienok v zmluvách s dodávateľmi diel vo verejných obstarávaniach začatých po 10/2016</w:t>
            </w:r>
          </w:p>
        </w:tc>
        <w:tc>
          <w:tcPr>
            <w:tcW w:w="760" w:type="pct"/>
            <w:tcBorders>
              <w:top w:val="nil"/>
              <w:left w:val="nil"/>
              <w:bottom w:val="single" w:sz="4" w:space="0" w:color="auto"/>
              <w:right w:val="single" w:sz="4" w:space="0" w:color="auto"/>
            </w:tcBorders>
            <w:shd w:val="clear" w:color="auto" w:fill="auto"/>
            <w:vAlign w:val="center"/>
          </w:tcPr>
          <w:p w14:paraId="3FB2B62B" w14:textId="7EBD9016"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MDV SR</w:t>
            </w:r>
          </w:p>
          <w:p w14:paraId="4603711A" w14:textId="494D924E"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SCDaPK</w:t>
            </w:r>
          </w:p>
        </w:tc>
        <w:tc>
          <w:tcPr>
            <w:tcW w:w="532" w:type="pct"/>
            <w:tcBorders>
              <w:top w:val="nil"/>
              <w:left w:val="nil"/>
              <w:bottom w:val="single" w:sz="4" w:space="0" w:color="auto"/>
              <w:right w:val="single" w:sz="4" w:space="0" w:color="auto"/>
            </w:tcBorders>
            <w:shd w:val="clear" w:color="auto" w:fill="auto"/>
            <w:vAlign w:val="center"/>
          </w:tcPr>
          <w:p w14:paraId="0D16D85A" w14:textId="77777777"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01/2017</w:t>
            </w:r>
          </w:p>
        </w:tc>
        <w:tc>
          <w:tcPr>
            <w:tcW w:w="535" w:type="pct"/>
            <w:tcBorders>
              <w:top w:val="nil"/>
              <w:left w:val="nil"/>
              <w:bottom w:val="single" w:sz="4" w:space="0" w:color="auto"/>
              <w:right w:val="single" w:sz="4" w:space="0" w:color="auto"/>
            </w:tcBorders>
            <w:shd w:val="clear" w:color="auto" w:fill="auto"/>
            <w:vAlign w:val="center"/>
          </w:tcPr>
          <w:p w14:paraId="4076A95F" w14:textId="77777777" w:rsidR="00CB16AA" w:rsidRPr="00666914" w:rsidRDefault="00CB16AA" w:rsidP="00985E7A">
            <w:pPr>
              <w:spacing w:after="0"/>
              <w:jc w:val="center"/>
              <w:rPr>
                <w:rFonts w:eastAsia="Times New Roman"/>
                <w:color w:val="000000"/>
                <w:sz w:val="20"/>
                <w:szCs w:val="20"/>
                <w:lang w:eastAsia="sk-SK"/>
              </w:rPr>
            </w:pPr>
            <w:r w:rsidRPr="00666914">
              <w:rPr>
                <w:rFonts w:eastAsia="Times New Roman"/>
                <w:color w:val="000000"/>
                <w:sz w:val="20"/>
                <w:szCs w:val="20"/>
                <w:lang w:eastAsia="sk-SK"/>
              </w:rPr>
              <w:t>priebežne</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tcPr>
          <w:p w14:paraId="234C6F97" w14:textId="77777777" w:rsidR="00CB16AA" w:rsidRPr="00666914" w:rsidRDefault="00CB16AA" w:rsidP="00985E7A">
            <w:pPr>
              <w:spacing w:after="0"/>
              <w:rPr>
                <w:rFonts w:eastAsia="Times New Roman"/>
                <w:b/>
                <w:bCs/>
                <w:color w:val="000000"/>
                <w:sz w:val="20"/>
                <w:szCs w:val="20"/>
                <w:lang w:eastAsia="sk-SK"/>
              </w:rPr>
            </w:pPr>
          </w:p>
        </w:tc>
        <w:tc>
          <w:tcPr>
            <w:tcW w:w="281" w:type="pct"/>
            <w:tcBorders>
              <w:top w:val="nil"/>
              <w:left w:val="nil"/>
              <w:bottom w:val="single" w:sz="4" w:space="0" w:color="auto"/>
              <w:right w:val="single" w:sz="4" w:space="0" w:color="auto"/>
            </w:tcBorders>
            <w:shd w:val="clear" w:color="auto" w:fill="92D050"/>
            <w:noWrap/>
            <w:vAlign w:val="bottom"/>
          </w:tcPr>
          <w:p w14:paraId="4661B1AC" w14:textId="77777777" w:rsidR="00CB16AA" w:rsidRPr="00666914" w:rsidRDefault="00CB16AA" w:rsidP="00985E7A">
            <w:pPr>
              <w:spacing w:after="0"/>
              <w:rPr>
                <w:rFonts w:eastAsia="Times New Roman"/>
                <w:b/>
                <w:bCs/>
                <w:color w:val="000000"/>
                <w:sz w:val="20"/>
                <w:szCs w:val="20"/>
                <w:lang w:eastAsia="sk-SK"/>
              </w:rPr>
            </w:pPr>
          </w:p>
        </w:tc>
        <w:tc>
          <w:tcPr>
            <w:tcW w:w="281" w:type="pct"/>
            <w:tcBorders>
              <w:top w:val="nil"/>
              <w:left w:val="nil"/>
              <w:bottom w:val="single" w:sz="4" w:space="0" w:color="auto"/>
              <w:right w:val="single" w:sz="4" w:space="0" w:color="auto"/>
            </w:tcBorders>
            <w:shd w:val="clear" w:color="auto" w:fill="AEAAAA" w:themeFill="background2" w:themeFillShade="BF"/>
            <w:noWrap/>
            <w:vAlign w:val="bottom"/>
          </w:tcPr>
          <w:p w14:paraId="2CE9E7B5" w14:textId="77777777" w:rsidR="00CB16AA" w:rsidRPr="00666914" w:rsidRDefault="00CB16AA" w:rsidP="00985E7A">
            <w:pPr>
              <w:spacing w:after="0"/>
              <w:rPr>
                <w:rFonts w:eastAsia="Times New Roman"/>
                <w:b/>
                <w:bCs/>
                <w:color w:val="000000"/>
                <w:sz w:val="20"/>
                <w:szCs w:val="20"/>
                <w:lang w:eastAsia="sk-SK"/>
              </w:rPr>
            </w:pPr>
          </w:p>
        </w:tc>
        <w:tc>
          <w:tcPr>
            <w:tcW w:w="282" w:type="pct"/>
            <w:tcBorders>
              <w:top w:val="nil"/>
              <w:left w:val="single" w:sz="4" w:space="0" w:color="auto"/>
              <w:bottom w:val="single" w:sz="4" w:space="0" w:color="auto"/>
              <w:right w:val="single" w:sz="8" w:space="0" w:color="auto"/>
            </w:tcBorders>
            <w:shd w:val="clear" w:color="auto" w:fill="A6A6A6" w:themeFill="background1" w:themeFillShade="A6"/>
            <w:noWrap/>
            <w:vAlign w:val="bottom"/>
          </w:tcPr>
          <w:p w14:paraId="246AC487" w14:textId="77777777" w:rsidR="00CB16AA" w:rsidRPr="00666914" w:rsidRDefault="00CB16AA" w:rsidP="00985E7A">
            <w:pPr>
              <w:spacing w:after="0"/>
              <w:rPr>
                <w:rFonts w:eastAsia="Times New Roman"/>
                <w:b/>
                <w:bCs/>
                <w:color w:val="000000"/>
                <w:sz w:val="20"/>
                <w:szCs w:val="20"/>
                <w:lang w:eastAsia="sk-SK"/>
              </w:rPr>
            </w:pPr>
          </w:p>
        </w:tc>
      </w:tr>
      <w:tr w:rsidR="00CB16AA" w:rsidRPr="00666914" w14:paraId="18C8F711" w14:textId="77777777" w:rsidTr="00254A5B">
        <w:trPr>
          <w:trHeight w:val="287"/>
        </w:trPr>
        <w:tc>
          <w:tcPr>
            <w:tcW w:w="206" w:type="pct"/>
            <w:tcBorders>
              <w:top w:val="nil"/>
              <w:left w:val="single" w:sz="8" w:space="0" w:color="auto"/>
              <w:bottom w:val="single" w:sz="4" w:space="0" w:color="auto"/>
              <w:right w:val="single" w:sz="4" w:space="0" w:color="auto"/>
            </w:tcBorders>
            <w:shd w:val="clear" w:color="auto" w:fill="auto"/>
            <w:vAlign w:val="center"/>
          </w:tcPr>
          <w:p w14:paraId="00353705"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27</w:t>
            </w:r>
          </w:p>
        </w:tc>
        <w:tc>
          <w:tcPr>
            <w:tcW w:w="1839" w:type="pct"/>
            <w:tcBorders>
              <w:top w:val="nil"/>
              <w:left w:val="single" w:sz="4" w:space="0" w:color="auto"/>
              <w:bottom w:val="single" w:sz="4" w:space="0" w:color="auto"/>
              <w:right w:val="single" w:sz="4" w:space="0" w:color="auto"/>
            </w:tcBorders>
            <w:shd w:val="clear" w:color="auto" w:fill="auto"/>
            <w:vAlign w:val="center"/>
          </w:tcPr>
          <w:p w14:paraId="148C5BCA"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Vytvoriť metodiku a minimálne štandardy dopravného modelovania, ktoré stanovia mantinely pre tvorcov modelov v závislosti od druhu dopravného modelu</w:t>
            </w:r>
          </w:p>
        </w:tc>
        <w:tc>
          <w:tcPr>
            <w:tcW w:w="760" w:type="pct"/>
            <w:tcBorders>
              <w:top w:val="nil"/>
              <w:left w:val="nil"/>
              <w:bottom w:val="single" w:sz="4" w:space="0" w:color="auto"/>
              <w:right w:val="single" w:sz="4" w:space="0" w:color="auto"/>
            </w:tcBorders>
            <w:shd w:val="clear" w:color="auto" w:fill="auto"/>
            <w:vAlign w:val="center"/>
          </w:tcPr>
          <w:p w14:paraId="67AA04DC" w14:textId="3FF28CFB"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MDV SR/MF SR</w:t>
            </w:r>
          </w:p>
          <w:p w14:paraId="00896823" w14:textId="5717606F"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IDP</w:t>
            </w:r>
          </w:p>
        </w:tc>
        <w:tc>
          <w:tcPr>
            <w:tcW w:w="532" w:type="pct"/>
            <w:tcBorders>
              <w:top w:val="nil"/>
              <w:left w:val="nil"/>
              <w:bottom w:val="single" w:sz="4" w:space="0" w:color="auto"/>
              <w:right w:val="single" w:sz="4" w:space="0" w:color="auto"/>
            </w:tcBorders>
            <w:shd w:val="clear" w:color="auto" w:fill="auto"/>
            <w:vAlign w:val="center"/>
          </w:tcPr>
          <w:p w14:paraId="326CC834" w14:textId="77777777" w:rsidR="00CB16AA" w:rsidRPr="00666914" w:rsidRDefault="00CB16AA" w:rsidP="00254A5B">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06/2018</w:t>
            </w:r>
          </w:p>
        </w:tc>
        <w:tc>
          <w:tcPr>
            <w:tcW w:w="535" w:type="pct"/>
            <w:tcBorders>
              <w:top w:val="nil"/>
              <w:left w:val="nil"/>
              <w:bottom w:val="single" w:sz="4" w:space="0" w:color="auto"/>
              <w:right w:val="single" w:sz="4" w:space="0" w:color="auto"/>
            </w:tcBorders>
            <w:shd w:val="clear" w:color="auto" w:fill="auto"/>
            <w:vAlign w:val="center"/>
          </w:tcPr>
          <w:p w14:paraId="1249434B" w14:textId="77777777" w:rsidR="00CB16AA" w:rsidRPr="00666914" w:rsidRDefault="00CB16AA" w:rsidP="00985E7A">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12/2019</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hideMark/>
          </w:tcPr>
          <w:p w14:paraId="1FA74F67"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92D050"/>
            <w:noWrap/>
            <w:vAlign w:val="bottom"/>
            <w:hideMark/>
          </w:tcPr>
          <w:p w14:paraId="709DF89F"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EAAAA" w:themeFill="background2" w:themeFillShade="BF"/>
            <w:noWrap/>
            <w:vAlign w:val="bottom"/>
            <w:hideMark/>
          </w:tcPr>
          <w:p w14:paraId="7757D7EB"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92D050"/>
            <w:noWrap/>
            <w:vAlign w:val="bottom"/>
            <w:hideMark/>
          </w:tcPr>
          <w:p w14:paraId="0003470A"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CB16AA" w:rsidRPr="00666914" w14:paraId="5EF784EC" w14:textId="77777777" w:rsidTr="00254A5B">
        <w:trPr>
          <w:trHeight w:val="287"/>
        </w:trPr>
        <w:tc>
          <w:tcPr>
            <w:tcW w:w="206" w:type="pct"/>
            <w:tcBorders>
              <w:top w:val="nil"/>
              <w:left w:val="single" w:sz="8" w:space="0" w:color="auto"/>
              <w:bottom w:val="single" w:sz="4" w:space="0" w:color="auto"/>
              <w:right w:val="single" w:sz="4" w:space="0" w:color="auto"/>
            </w:tcBorders>
            <w:shd w:val="clear" w:color="auto" w:fill="auto"/>
            <w:vAlign w:val="center"/>
          </w:tcPr>
          <w:p w14:paraId="70BB1600"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28</w:t>
            </w:r>
          </w:p>
        </w:tc>
        <w:tc>
          <w:tcPr>
            <w:tcW w:w="1839" w:type="pct"/>
            <w:tcBorders>
              <w:top w:val="nil"/>
              <w:left w:val="single" w:sz="4" w:space="0" w:color="auto"/>
              <w:bottom w:val="single" w:sz="4" w:space="0" w:color="auto"/>
              <w:right w:val="single" w:sz="4" w:space="0" w:color="auto"/>
            </w:tcBorders>
            <w:shd w:val="clear" w:color="auto" w:fill="auto"/>
            <w:vAlign w:val="center"/>
          </w:tcPr>
          <w:p w14:paraId="5447E8F6"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V rozsahu finančných a kapacitných možností NDS zabezpečiť na požiadanie úpravu dát z mýta do anonymizovanej formy použiteľnej pre dopravné modelovanie (nielen intenzity, aj smerové dáta) a na požiadanie sprístupniť vo vopred definovanom rozsahu dáta MDV a zhotoviteľom dopravných modelov</w:t>
            </w:r>
          </w:p>
        </w:tc>
        <w:tc>
          <w:tcPr>
            <w:tcW w:w="760" w:type="pct"/>
            <w:tcBorders>
              <w:top w:val="nil"/>
              <w:left w:val="nil"/>
              <w:bottom w:val="single" w:sz="4" w:space="0" w:color="auto"/>
              <w:right w:val="single" w:sz="4" w:space="0" w:color="auto"/>
            </w:tcBorders>
            <w:shd w:val="clear" w:color="auto" w:fill="auto"/>
            <w:vAlign w:val="center"/>
          </w:tcPr>
          <w:p w14:paraId="65C0F743" w14:textId="36DB67B4"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MDV SR</w:t>
            </w:r>
          </w:p>
          <w:p w14:paraId="36DAB3A3" w14:textId="1A263504"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SCDaPK</w:t>
            </w:r>
          </w:p>
        </w:tc>
        <w:tc>
          <w:tcPr>
            <w:tcW w:w="532" w:type="pct"/>
            <w:tcBorders>
              <w:top w:val="nil"/>
              <w:left w:val="nil"/>
              <w:bottom w:val="single" w:sz="4" w:space="0" w:color="auto"/>
              <w:right w:val="single" w:sz="4" w:space="0" w:color="auto"/>
            </w:tcBorders>
            <w:shd w:val="clear" w:color="auto" w:fill="auto"/>
            <w:vAlign w:val="center"/>
          </w:tcPr>
          <w:p w14:paraId="7F2A3613" w14:textId="77777777" w:rsidR="00CB16AA" w:rsidRPr="00666914" w:rsidRDefault="00CB16AA" w:rsidP="00254A5B">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priebežne</w:t>
            </w:r>
          </w:p>
        </w:tc>
        <w:tc>
          <w:tcPr>
            <w:tcW w:w="535" w:type="pct"/>
            <w:tcBorders>
              <w:top w:val="nil"/>
              <w:left w:val="nil"/>
              <w:bottom w:val="single" w:sz="4" w:space="0" w:color="auto"/>
              <w:right w:val="single" w:sz="4" w:space="0" w:color="auto"/>
            </w:tcBorders>
            <w:shd w:val="clear" w:color="auto" w:fill="auto"/>
            <w:vAlign w:val="center"/>
          </w:tcPr>
          <w:p w14:paraId="11696A25" w14:textId="77777777" w:rsidR="00CB16AA" w:rsidRPr="00666914" w:rsidRDefault="00CB16AA" w:rsidP="00985E7A">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hideMark/>
          </w:tcPr>
          <w:p w14:paraId="1419CF02"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92D050"/>
            <w:noWrap/>
            <w:vAlign w:val="bottom"/>
            <w:hideMark/>
          </w:tcPr>
          <w:p w14:paraId="3D2730BB"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EAAAA" w:themeFill="background2" w:themeFillShade="BF"/>
            <w:noWrap/>
            <w:vAlign w:val="bottom"/>
            <w:hideMark/>
          </w:tcPr>
          <w:p w14:paraId="238547D5"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92D050"/>
            <w:noWrap/>
            <w:vAlign w:val="bottom"/>
            <w:hideMark/>
          </w:tcPr>
          <w:p w14:paraId="4B217E4F"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CB16AA" w:rsidRPr="00666914" w14:paraId="34646795" w14:textId="77777777" w:rsidTr="00254A5B">
        <w:trPr>
          <w:trHeight w:val="287"/>
        </w:trPr>
        <w:tc>
          <w:tcPr>
            <w:tcW w:w="206" w:type="pct"/>
            <w:tcBorders>
              <w:top w:val="nil"/>
              <w:left w:val="single" w:sz="8" w:space="0" w:color="auto"/>
              <w:bottom w:val="single" w:sz="4" w:space="0" w:color="auto"/>
              <w:right w:val="single" w:sz="4" w:space="0" w:color="auto"/>
            </w:tcBorders>
            <w:shd w:val="clear" w:color="auto" w:fill="auto"/>
            <w:vAlign w:val="center"/>
          </w:tcPr>
          <w:p w14:paraId="58B344F9"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29</w:t>
            </w:r>
          </w:p>
        </w:tc>
        <w:tc>
          <w:tcPr>
            <w:tcW w:w="1839" w:type="pct"/>
            <w:tcBorders>
              <w:top w:val="nil"/>
              <w:left w:val="single" w:sz="4" w:space="0" w:color="auto"/>
              <w:bottom w:val="single" w:sz="4" w:space="0" w:color="auto"/>
              <w:right w:val="single" w:sz="4" w:space="0" w:color="auto"/>
            </w:tcBorders>
            <w:shd w:val="clear" w:color="auto" w:fill="auto"/>
            <w:vAlign w:val="center"/>
          </w:tcPr>
          <w:p w14:paraId="7069EC3B"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Zabezpečiť prípravu, zber a spracovanie údajov o mobilitnom správaní obyvateľstva v rámci štatistiky rodinných účtov</w:t>
            </w:r>
          </w:p>
        </w:tc>
        <w:tc>
          <w:tcPr>
            <w:tcW w:w="760" w:type="pct"/>
            <w:tcBorders>
              <w:top w:val="nil"/>
              <w:left w:val="nil"/>
              <w:bottom w:val="single" w:sz="4" w:space="0" w:color="auto"/>
              <w:right w:val="single" w:sz="4" w:space="0" w:color="auto"/>
            </w:tcBorders>
            <w:shd w:val="clear" w:color="auto" w:fill="auto"/>
            <w:vAlign w:val="center"/>
          </w:tcPr>
          <w:p w14:paraId="2A98833A" w14:textId="46CC9F03"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MDV SR/ ŠÚ SR</w:t>
            </w:r>
          </w:p>
          <w:p w14:paraId="37EF2236" w14:textId="32FD17A6"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SVAMP</w:t>
            </w:r>
          </w:p>
        </w:tc>
        <w:tc>
          <w:tcPr>
            <w:tcW w:w="532" w:type="pct"/>
            <w:tcBorders>
              <w:top w:val="nil"/>
              <w:left w:val="nil"/>
              <w:bottom w:val="single" w:sz="4" w:space="0" w:color="auto"/>
              <w:right w:val="single" w:sz="4" w:space="0" w:color="auto"/>
            </w:tcBorders>
            <w:shd w:val="clear" w:color="auto" w:fill="auto"/>
            <w:vAlign w:val="center"/>
          </w:tcPr>
          <w:p w14:paraId="6C0038CC" w14:textId="77777777" w:rsidR="00CB16AA" w:rsidRPr="00666914" w:rsidRDefault="00CB16AA" w:rsidP="00254A5B">
            <w:pPr>
              <w:spacing w:after="0"/>
              <w:jc w:val="center"/>
              <w:rPr>
                <w:rFonts w:eastAsia="Times New Roman"/>
                <w:color w:val="000000"/>
                <w:sz w:val="20"/>
                <w:szCs w:val="20"/>
                <w:lang w:eastAsia="sk-SK"/>
              </w:rPr>
            </w:pPr>
          </w:p>
        </w:tc>
        <w:tc>
          <w:tcPr>
            <w:tcW w:w="535" w:type="pct"/>
            <w:tcBorders>
              <w:top w:val="nil"/>
              <w:left w:val="nil"/>
              <w:bottom w:val="single" w:sz="4" w:space="0" w:color="auto"/>
              <w:right w:val="single" w:sz="4" w:space="0" w:color="auto"/>
            </w:tcBorders>
            <w:shd w:val="clear" w:color="auto" w:fill="auto"/>
            <w:vAlign w:val="center"/>
          </w:tcPr>
          <w:p w14:paraId="5F8FD960" w14:textId="77777777" w:rsidR="00CB16AA" w:rsidRPr="00666914" w:rsidRDefault="00CB16AA" w:rsidP="00985E7A">
            <w:pPr>
              <w:spacing w:after="0"/>
              <w:jc w:val="center"/>
              <w:rPr>
                <w:rFonts w:eastAsia="Times New Roman"/>
                <w:color w:val="000000"/>
                <w:sz w:val="20"/>
                <w:szCs w:val="20"/>
                <w:lang w:eastAsia="sk-SK"/>
              </w:rPr>
            </w:pPr>
            <w:r w:rsidRPr="00666914">
              <w:rPr>
                <w:rFonts w:eastAsia="Times New Roman"/>
                <w:color w:val="000000"/>
                <w:sz w:val="20"/>
                <w:szCs w:val="20"/>
                <w:lang w:eastAsia="sk-SK"/>
              </w:rPr>
              <w:t>06/2019</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hideMark/>
          </w:tcPr>
          <w:p w14:paraId="2C932E0A"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0000"/>
            <w:noWrap/>
            <w:vAlign w:val="bottom"/>
            <w:hideMark/>
          </w:tcPr>
          <w:p w14:paraId="2559FA45"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EAAAA" w:themeFill="background2" w:themeFillShade="BF"/>
            <w:noWrap/>
            <w:vAlign w:val="bottom"/>
            <w:hideMark/>
          </w:tcPr>
          <w:p w14:paraId="07E2EB3B"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FF0000"/>
            <w:noWrap/>
            <w:vAlign w:val="bottom"/>
            <w:hideMark/>
          </w:tcPr>
          <w:p w14:paraId="2766F8D2"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CB16AA" w:rsidRPr="00666914" w14:paraId="5291BEC9" w14:textId="77777777" w:rsidTr="00254A5B">
        <w:trPr>
          <w:trHeight w:val="287"/>
        </w:trPr>
        <w:tc>
          <w:tcPr>
            <w:tcW w:w="206" w:type="pct"/>
            <w:tcBorders>
              <w:top w:val="nil"/>
              <w:left w:val="single" w:sz="8" w:space="0" w:color="auto"/>
              <w:bottom w:val="single" w:sz="4" w:space="0" w:color="auto"/>
              <w:right w:val="single" w:sz="4" w:space="0" w:color="auto"/>
            </w:tcBorders>
            <w:shd w:val="clear" w:color="auto" w:fill="auto"/>
            <w:vAlign w:val="center"/>
          </w:tcPr>
          <w:p w14:paraId="0AE68A10"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30</w:t>
            </w:r>
          </w:p>
        </w:tc>
        <w:tc>
          <w:tcPr>
            <w:tcW w:w="1839" w:type="pct"/>
            <w:tcBorders>
              <w:top w:val="nil"/>
              <w:left w:val="single" w:sz="4" w:space="0" w:color="auto"/>
              <w:bottom w:val="single" w:sz="4" w:space="0" w:color="auto"/>
              <w:right w:val="single" w:sz="4" w:space="0" w:color="auto"/>
            </w:tcBorders>
            <w:shd w:val="clear" w:color="auto" w:fill="auto"/>
            <w:vAlign w:val="center"/>
          </w:tcPr>
          <w:p w14:paraId="494B2D80"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Vytvoriť jednotnú štandardizovanú metodiku CBA s konzistentnými a validovanými predpokladmi</w:t>
            </w:r>
          </w:p>
        </w:tc>
        <w:tc>
          <w:tcPr>
            <w:tcW w:w="760" w:type="pct"/>
            <w:tcBorders>
              <w:top w:val="nil"/>
              <w:left w:val="nil"/>
              <w:bottom w:val="single" w:sz="4" w:space="0" w:color="auto"/>
              <w:right w:val="single" w:sz="4" w:space="0" w:color="auto"/>
            </w:tcBorders>
            <w:shd w:val="clear" w:color="auto" w:fill="auto"/>
            <w:vAlign w:val="center"/>
          </w:tcPr>
          <w:p w14:paraId="641D6F59" w14:textId="328101D0"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MDV SR / MF SR</w:t>
            </w:r>
          </w:p>
          <w:p w14:paraId="5845A018" w14:textId="1A2F5F7B"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SRP</w:t>
            </w:r>
          </w:p>
        </w:tc>
        <w:tc>
          <w:tcPr>
            <w:tcW w:w="532" w:type="pct"/>
            <w:tcBorders>
              <w:top w:val="nil"/>
              <w:left w:val="nil"/>
              <w:bottom w:val="single" w:sz="4" w:space="0" w:color="auto"/>
              <w:right w:val="single" w:sz="4" w:space="0" w:color="auto"/>
            </w:tcBorders>
            <w:shd w:val="clear" w:color="auto" w:fill="auto"/>
            <w:vAlign w:val="center"/>
          </w:tcPr>
          <w:p w14:paraId="021B8EBE" w14:textId="77777777" w:rsidR="00CB16AA" w:rsidRPr="00666914" w:rsidRDefault="00CB16AA" w:rsidP="00254A5B">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06/2017/ priebežne</w:t>
            </w:r>
          </w:p>
        </w:tc>
        <w:tc>
          <w:tcPr>
            <w:tcW w:w="535" w:type="pct"/>
            <w:tcBorders>
              <w:top w:val="nil"/>
              <w:left w:val="nil"/>
              <w:bottom w:val="single" w:sz="4" w:space="0" w:color="auto"/>
              <w:right w:val="single" w:sz="4" w:space="0" w:color="auto"/>
            </w:tcBorders>
            <w:shd w:val="clear" w:color="auto" w:fill="auto"/>
            <w:vAlign w:val="center"/>
          </w:tcPr>
          <w:p w14:paraId="763FB037" w14:textId="77777777" w:rsidR="00CB16AA" w:rsidRPr="00666914" w:rsidRDefault="00CB16AA" w:rsidP="00985E7A">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hideMark/>
          </w:tcPr>
          <w:p w14:paraId="045819BC"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92D050"/>
            <w:noWrap/>
            <w:vAlign w:val="bottom"/>
            <w:hideMark/>
          </w:tcPr>
          <w:p w14:paraId="42DFED21"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EAAAA" w:themeFill="background2" w:themeFillShade="BF"/>
            <w:noWrap/>
            <w:vAlign w:val="bottom"/>
            <w:hideMark/>
          </w:tcPr>
          <w:p w14:paraId="2398EECB"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FFC000"/>
            <w:noWrap/>
            <w:vAlign w:val="bottom"/>
            <w:hideMark/>
          </w:tcPr>
          <w:p w14:paraId="3D0DB97D"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CB16AA" w:rsidRPr="00666914" w14:paraId="4D691A83" w14:textId="77777777" w:rsidTr="00254A5B">
        <w:trPr>
          <w:trHeight w:val="287"/>
        </w:trPr>
        <w:tc>
          <w:tcPr>
            <w:tcW w:w="206" w:type="pct"/>
            <w:tcBorders>
              <w:top w:val="nil"/>
              <w:left w:val="single" w:sz="8" w:space="0" w:color="auto"/>
              <w:bottom w:val="single" w:sz="4" w:space="0" w:color="auto"/>
              <w:right w:val="single" w:sz="4" w:space="0" w:color="auto"/>
            </w:tcBorders>
            <w:shd w:val="clear" w:color="auto" w:fill="auto"/>
            <w:vAlign w:val="center"/>
          </w:tcPr>
          <w:p w14:paraId="3C50FEB6"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31</w:t>
            </w:r>
          </w:p>
        </w:tc>
        <w:tc>
          <w:tcPr>
            <w:tcW w:w="1839" w:type="pct"/>
            <w:tcBorders>
              <w:top w:val="nil"/>
              <w:left w:val="single" w:sz="4" w:space="0" w:color="auto"/>
              <w:bottom w:val="single" w:sz="4" w:space="0" w:color="auto"/>
              <w:right w:val="single" w:sz="4" w:space="0" w:color="auto"/>
            </w:tcBorders>
            <w:shd w:val="clear" w:color="auto" w:fill="auto"/>
            <w:vAlign w:val="center"/>
          </w:tcPr>
          <w:p w14:paraId="0A484FDB"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s="Calibri"/>
                <w:color w:val="000000"/>
                <w:sz w:val="20"/>
                <w:szCs w:val="20"/>
                <w:lang w:eastAsia="sk-SK"/>
              </w:rPr>
              <w:t>Zabezpečiť kontrolovateľnosť CBA v štúdiách realizovateľnosti NDS zo strany MDV SR a MF SR: vyžadovať v obstarávaniach začatých po 10/2016 od zhotoviteľa detailné podklady a dokumentáciu k CBA, samotný dopravný model, aj projekt výpočtu socio-ekonomických benefitov</w:t>
            </w:r>
          </w:p>
        </w:tc>
        <w:tc>
          <w:tcPr>
            <w:tcW w:w="760" w:type="pct"/>
            <w:tcBorders>
              <w:top w:val="nil"/>
              <w:left w:val="nil"/>
              <w:bottom w:val="single" w:sz="4" w:space="0" w:color="auto"/>
              <w:right w:val="single" w:sz="4" w:space="0" w:color="auto"/>
            </w:tcBorders>
            <w:shd w:val="clear" w:color="auto" w:fill="auto"/>
            <w:vAlign w:val="center"/>
          </w:tcPr>
          <w:p w14:paraId="132C3FD4" w14:textId="266EC023"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MDV SR</w:t>
            </w:r>
          </w:p>
          <w:p w14:paraId="2399757E" w14:textId="01CDB903"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SCDaPK</w:t>
            </w:r>
          </w:p>
          <w:p w14:paraId="513D3592" w14:textId="4C3F67B4" w:rsidR="00CB16AA" w:rsidRPr="00666914" w:rsidRDefault="00CB16AA" w:rsidP="00254A5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SŽDaD</w:t>
            </w:r>
          </w:p>
        </w:tc>
        <w:tc>
          <w:tcPr>
            <w:tcW w:w="532" w:type="pct"/>
            <w:tcBorders>
              <w:top w:val="nil"/>
              <w:left w:val="nil"/>
              <w:bottom w:val="single" w:sz="4" w:space="0" w:color="auto"/>
              <w:right w:val="single" w:sz="4" w:space="0" w:color="auto"/>
            </w:tcBorders>
            <w:shd w:val="clear" w:color="auto" w:fill="auto"/>
            <w:vAlign w:val="center"/>
          </w:tcPr>
          <w:p w14:paraId="343CF0DD" w14:textId="77777777" w:rsidR="00CB16AA" w:rsidRPr="00666914" w:rsidRDefault="00CB16AA" w:rsidP="00254A5B">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priebežne</w:t>
            </w:r>
          </w:p>
        </w:tc>
        <w:tc>
          <w:tcPr>
            <w:tcW w:w="535" w:type="pct"/>
            <w:tcBorders>
              <w:top w:val="nil"/>
              <w:left w:val="nil"/>
              <w:bottom w:val="single" w:sz="4" w:space="0" w:color="auto"/>
              <w:right w:val="single" w:sz="4" w:space="0" w:color="auto"/>
            </w:tcBorders>
            <w:shd w:val="clear" w:color="auto" w:fill="auto"/>
            <w:vAlign w:val="center"/>
          </w:tcPr>
          <w:p w14:paraId="20F12B6C" w14:textId="77777777" w:rsidR="00CB16AA" w:rsidRPr="00666914" w:rsidRDefault="00CB16AA" w:rsidP="00985E7A">
            <w:pPr>
              <w:spacing w:after="0"/>
              <w:jc w:val="center"/>
              <w:rPr>
                <w:rFonts w:eastAsia="Times New Roman"/>
                <w:color w:val="000000"/>
                <w:sz w:val="20"/>
                <w:szCs w:val="20"/>
                <w:lang w:eastAsia="sk-SK"/>
              </w:rPr>
            </w:pPr>
            <w:r w:rsidRPr="00666914">
              <w:rPr>
                <w:rFonts w:eastAsia="Times New Roman" w:cs="Calibri"/>
                <w:color w:val="000000"/>
                <w:sz w:val="20"/>
                <w:szCs w:val="20"/>
                <w:lang w:eastAsia="sk-SK"/>
              </w:rPr>
              <w:t>-</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hideMark/>
          </w:tcPr>
          <w:p w14:paraId="5F1B9F9B"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92D050"/>
            <w:noWrap/>
            <w:vAlign w:val="bottom"/>
            <w:hideMark/>
          </w:tcPr>
          <w:p w14:paraId="41C6E130"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EAAAA" w:themeFill="background2" w:themeFillShade="BF"/>
            <w:noWrap/>
            <w:vAlign w:val="bottom"/>
            <w:hideMark/>
          </w:tcPr>
          <w:p w14:paraId="05B9CD27"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92D050"/>
            <w:noWrap/>
            <w:vAlign w:val="bottom"/>
            <w:hideMark/>
          </w:tcPr>
          <w:p w14:paraId="43FFF50F" w14:textId="77777777" w:rsidR="00CB16AA" w:rsidRPr="00666914" w:rsidRDefault="00CB16AA" w:rsidP="00985E7A">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bl>
    <w:p w14:paraId="542AFA2A" w14:textId="77777777" w:rsidR="00CB16AA" w:rsidRPr="00666914" w:rsidRDefault="00CB16AA" w:rsidP="00985E7A">
      <w:pPr>
        <w:spacing w:after="0"/>
        <w:rPr>
          <w:b/>
          <w:sz w:val="20"/>
          <w:szCs w:val="20"/>
          <w:highlight w:val="yellow"/>
        </w:rPr>
      </w:pPr>
    </w:p>
    <w:p w14:paraId="0FCC10A7" w14:textId="77777777" w:rsidR="00CB16AA" w:rsidRPr="00666914" w:rsidRDefault="00CB16AA">
      <w:pPr>
        <w:rPr>
          <w:b/>
          <w:sz w:val="20"/>
          <w:szCs w:val="20"/>
          <w:highlight w:val="yellow"/>
        </w:rPr>
      </w:pPr>
      <w:r w:rsidRPr="00666914">
        <w:rPr>
          <w:b/>
          <w:sz w:val="20"/>
          <w:szCs w:val="20"/>
          <w:highlight w:val="yellow"/>
        </w:rPr>
        <w:br w:type="page"/>
      </w:r>
    </w:p>
    <w:p w14:paraId="22A77FA8" w14:textId="0728C31E" w:rsidR="00CB16AA" w:rsidRPr="00666914" w:rsidRDefault="00CB16AA" w:rsidP="00985E7A">
      <w:pPr>
        <w:spacing w:after="0"/>
        <w:rPr>
          <w:b/>
          <w:sz w:val="20"/>
          <w:szCs w:val="20"/>
        </w:rPr>
      </w:pPr>
      <w:bookmarkStart w:id="184" w:name="_Toc21522781"/>
      <w:bookmarkStart w:id="185" w:name="_Toc38447684"/>
      <w:r w:rsidRPr="00666914">
        <w:rPr>
          <w:b/>
          <w:sz w:val="20"/>
          <w:szCs w:val="20"/>
        </w:rPr>
        <w:lastRenderedPageBreak/>
        <w:t xml:space="preserve">Tabuľka </w:t>
      </w:r>
      <w:r w:rsidRPr="00666914">
        <w:rPr>
          <w:b/>
          <w:noProof/>
          <w:sz w:val="20"/>
          <w:szCs w:val="20"/>
        </w:rPr>
        <w:fldChar w:fldCharType="begin"/>
      </w:r>
      <w:r w:rsidRPr="00666914">
        <w:rPr>
          <w:b/>
          <w:noProof/>
          <w:sz w:val="20"/>
          <w:szCs w:val="20"/>
        </w:rPr>
        <w:instrText xml:space="preserve"> SEQ Tabuľka \* ARABIC \* MERGEFORMAT </w:instrText>
      </w:r>
      <w:r w:rsidRPr="00666914">
        <w:rPr>
          <w:b/>
          <w:noProof/>
          <w:sz w:val="20"/>
          <w:szCs w:val="20"/>
        </w:rPr>
        <w:fldChar w:fldCharType="separate"/>
      </w:r>
      <w:r w:rsidR="005A7304">
        <w:rPr>
          <w:b/>
          <w:noProof/>
          <w:sz w:val="20"/>
          <w:szCs w:val="20"/>
        </w:rPr>
        <w:t>23</w:t>
      </w:r>
      <w:r w:rsidRPr="00666914">
        <w:rPr>
          <w:b/>
          <w:noProof/>
          <w:sz w:val="20"/>
          <w:szCs w:val="20"/>
        </w:rPr>
        <w:fldChar w:fldCharType="end"/>
      </w:r>
      <w:r w:rsidRPr="00666914">
        <w:rPr>
          <w:b/>
          <w:sz w:val="20"/>
          <w:szCs w:val="20"/>
        </w:rPr>
        <w:t>: Opatrenia Revízie výdavkov na dopravu splnené v roku 2017</w:t>
      </w:r>
      <w:bookmarkEnd w:id="184"/>
      <w:bookmarkEnd w:id="185"/>
    </w:p>
    <w:tbl>
      <w:tblPr>
        <w:tblW w:w="5197" w:type="pct"/>
        <w:tblInd w:w="-147" w:type="dxa"/>
        <w:tblLayout w:type="fixed"/>
        <w:tblCellMar>
          <w:left w:w="70" w:type="dxa"/>
          <w:right w:w="70" w:type="dxa"/>
        </w:tblCellMar>
        <w:tblLook w:val="04A0" w:firstRow="1" w:lastRow="0" w:firstColumn="1" w:lastColumn="0" w:noHBand="0" w:noVBand="1"/>
      </w:tblPr>
      <w:tblGrid>
        <w:gridCol w:w="3026"/>
        <w:gridCol w:w="1314"/>
        <w:gridCol w:w="1688"/>
        <w:gridCol w:w="1105"/>
        <w:gridCol w:w="641"/>
        <w:gridCol w:w="597"/>
        <w:gridCol w:w="597"/>
        <w:gridCol w:w="593"/>
      </w:tblGrid>
      <w:tr w:rsidR="00CB16AA" w:rsidRPr="00666914" w14:paraId="214BF87B" w14:textId="77777777" w:rsidTr="00254A5B">
        <w:trPr>
          <w:trHeight w:val="296"/>
        </w:trPr>
        <w:tc>
          <w:tcPr>
            <w:tcW w:w="1581" w:type="pct"/>
            <w:tcBorders>
              <w:top w:val="single" w:sz="4" w:space="0" w:color="auto"/>
              <w:left w:val="single" w:sz="4" w:space="0" w:color="auto"/>
              <w:bottom w:val="single" w:sz="4" w:space="0" w:color="auto"/>
              <w:right w:val="single" w:sz="4" w:space="0" w:color="auto"/>
            </w:tcBorders>
            <w:noWrap/>
            <w:vAlign w:val="center"/>
            <w:hideMark/>
          </w:tcPr>
          <w:p w14:paraId="0ED91139" w14:textId="77777777" w:rsidR="00CB16AA" w:rsidRPr="00666914" w:rsidRDefault="00CB16AA" w:rsidP="00985E7A">
            <w:pPr>
              <w:spacing w:after="0"/>
              <w:ind w:left="-396" w:firstLine="396"/>
              <w:rPr>
                <w:rFonts w:cs="Calibri"/>
                <w:b/>
                <w:bCs/>
                <w:color w:val="000000"/>
                <w:sz w:val="20"/>
                <w:szCs w:val="20"/>
                <w:lang w:eastAsia="sk-SK"/>
              </w:rPr>
            </w:pPr>
          </w:p>
        </w:tc>
        <w:tc>
          <w:tcPr>
            <w:tcW w:w="687" w:type="pct"/>
            <w:tcBorders>
              <w:top w:val="single" w:sz="4" w:space="0" w:color="auto"/>
              <w:left w:val="nil"/>
              <w:bottom w:val="single" w:sz="4" w:space="0" w:color="auto"/>
              <w:right w:val="single" w:sz="4" w:space="0" w:color="auto"/>
            </w:tcBorders>
            <w:noWrap/>
            <w:vAlign w:val="center"/>
            <w:hideMark/>
          </w:tcPr>
          <w:p w14:paraId="38766C3C" w14:textId="77777777" w:rsidR="00CB16AA" w:rsidRPr="00666914" w:rsidRDefault="00CB16AA" w:rsidP="00254A5B">
            <w:pPr>
              <w:spacing w:after="0"/>
              <w:jc w:val="center"/>
              <w:rPr>
                <w:rFonts w:cs="Calibri"/>
                <w:b/>
                <w:bCs/>
                <w:color w:val="000000"/>
                <w:sz w:val="20"/>
                <w:szCs w:val="20"/>
                <w:lang w:eastAsia="sk-SK"/>
              </w:rPr>
            </w:pPr>
            <w:r w:rsidRPr="00666914">
              <w:rPr>
                <w:rFonts w:cs="Calibri"/>
                <w:b/>
                <w:bCs/>
                <w:color w:val="000000"/>
                <w:sz w:val="20"/>
                <w:szCs w:val="20"/>
                <w:lang w:eastAsia="sk-SK"/>
              </w:rPr>
              <w:t>Zodpovednosť</w:t>
            </w:r>
          </w:p>
        </w:tc>
        <w:tc>
          <w:tcPr>
            <w:tcW w:w="883" w:type="pct"/>
            <w:tcBorders>
              <w:top w:val="single" w:sz="4" w:space="0" w:color="auto"/>
              <w:left w:val="nil"/>
              <w:bottom w:val="single" w:sz="4" w:space="0" w:color="auto"/>
              <w:right w:val="single" w:sz="4" w:space="0" w:color="auto"/>
            </w:tcBorders>
            <w:noWrap/>
            <w:vAlign w:val="center"/>
            <w:hideMark/>
          </w:tcPr>
          <w:p w14:paraId="3222F9F0" w14:textId="77777777" w:rsidR="00CB16AA" w:rsidRPr="00666914" w:rsidRDefault="00CB16AA" w:rsidP="00254A5B">
            <w:pPr>
              <w:spacing w:after="0"/>
              <w:jc w:val="center"/>
              <w:rPr>
                <w:rFonts w:cs="Calibri"/>
                <w:b/>
                <w:bCs/>
                <w:color w:val="000000"/>
                <w:sz w:val="20"/>
                <w:szCs w:val="20"/>
                <w:lang w:eastAsia="sk-SK"/>
              </w:rPr>
            </w:pPr>
            <w:r w:rsidRPr="00666914">
              <w:rPr>
                <w:rFonts w:cs="Calibri"/>
                <w:b/>
                <w:bCs/>
                <w:color w:val="000000"/>
                <w:sz w:val="20"/>
                <w:szCs w:val="20"/>
                <w:lang w:eastAsia="sk-SK"/>
              </w:rPr>
              <w:t>Termín</w:t>
            </w:r>
          </w:p>
        </w:tc>
        <w:tc>
          <w:tcPr>
            <w:tcW w:w="578" w:type="pct"/>
            <w:tcBorders>
              <w:top w:val="single" w:sz="4" w:space="0" w:color="auto"/>
              <w:left w:val="nil"/>
              <w:bottom w:val="single" w:sz="4" w:space="0" w:color="auto"/>
              <w:right w:val="single" w:sz="4" w:space="0" w:color="auto"/>
            </w:tcBorders>
            <w:noWrap/>
            <w:vAlign w:val="center"/>
            <w:hideMark/>
          </w:tcPr>
          <w:p w14:paraId="02DB3240" w14:textId="77777777" w:rsidR="00CB16AA" w:rsidRPr="00666914" w:rsidRDefault="00CB16AA" w:rsidP="00254A5B">
            <w:pPr>
              <w:spacing w:after="0"/>
              <w:jc w:val="center"/>
              <w:rPr>
                <w:rFonts w:cs="Calibri"/>
                <w:b/>
                <w:bCs/>
                <w:color w:val="000000"/>
                <w:sz w:val="20"/>
                <w:szCs w:val="20"/>
                <w:lang w:eastAsia="sk-SK"/>
              </w:rPr>
            </w:pPr>
            <w:r w:rsidRPr="00666914">
              <w:rPr>
                <w:rFonts w:cs="Calibri"/>
                <w:b/>
                <w:bCs/>
                <w:color w:val="000000"/>
                <w:sz w:val="20"/>
                <w:szCs w:val="20"/>
                <w:lang w:eastAsia="sk-SK"/>
              </w:rPr>
              <w:t>Nový termín</w:t>
            </w:r>
          </w:p>
        </w:tc>
        <w:tc>
          <w:tcPr>
            <w:tcW w:w="335" w:type="pct"/>
            <w:tcBorders>
              <w:top w:val="single" w:sz="4" w:space="0" w:color="auto"/>
              <w:left w:val="nil"/>
              <w:bottom w:val="single" w:sz="4" w:space="0" w:color="auto"/>
              <w:right w:val="single" w:sz="4" w:space="0" w:color="auto"/>
            </w:tcBorders>
            <w:noWrap/>
            <w:vAlign w:val="center"/>
            <w:hideMark/>
          </w:tcPr>
          <w:p w14:paraId="2E236E5C" w14:textId="19FC685D" w:rsidR="00CB16AA" w:rsidRPr="00666914" w:rsidRDefault="00CB16AA" w:rsidP="00254A5B">
            <w:pPr>
              <w:spacing w:after="0"/>
              <w:jc w:val="center"/>
              <w:rPr>
                <w:rFonts w:cs="Calibri"/>
                <w:b/>
                <w:bCs/>
                <w:color w:val="000000"/>
                <w:sz w:val="20"/>
                <w:szCs w:val="20"/>
                <w:lang w:eastAsia="sk-SK"/>
              </w:rPr>
            </w:pPr>
            <w:r w:rsidRPr="00666914">
              <w:rPr>
                <w:rFonts w:cs="Calibri"/>
                <w:b/>
                <w:bCs/>
                <w:color w:val="000000"/>
                <w:sz w:val="20"/>
                <w:szCs w:val="20"/>
                <w:lang w:eastAsia="sk-SK"/>
              </w:rPr>
              <w:t>1Q</w:t>
            </w:r>
          </w:p>
          <w:p w14:paraId="204D803D" w14:textId="77777777" w:rsidR="00CB16AA" w:rsidRPr="00666914" w:rsidRDefault="00CB16AA" w:rsidP="00254A5B">
            <w:pPr>
              <w:spacing w:after="0"/>
              <w:jc w:val="center"/>
              <w:rPr>
                <w:rFonts w:cs="Calibri"/>
                <w:b/>
                <w:bCs/>
                <w:color w:val="000000"/>
                <w:sz w:val="20"/>
                <w:szCs w:val="20"/>
                <w:lang w:eastAsia="sk-SK"/>
              </w:rPr>
            </w:pPr>
            <w:r w:rsidRPr="00666914">
              <w:rPr>
                <w:rFonts w:cs="Calibri"/>
                <w:b/>
                <w:bCs/>
                <w:color w:val="000000"/>
                <w:sz w:val="20"/>
                <w:szCs w:val="20"/>
                <w:lang w:eastAsia="sk-SK"/>
              </w:rPr>
              <w:t>2017</w:t>
            </w:r>
          </w:p>
        </w:tc>
        <w:tc>
          <w:tcPr>
            <w:tcW w:w="312" w:type="pct"/>
            <w:tcBorders>
              <w:top w:val="single" w:sz="4" w:space="0" w:color="auto"/>
              <w:left w:val="nil"/>
              <w:bottom w:val="single" w:sz="4" w:space="0" w:color="auto"/>
              <w:right w:val="single" w:sz="4" w:space="0" w:color="auto"/>
            </w:tcBorders>
            <w:noWrap/>
            <w:vAlign w:val="center"/>
            <w:hideMark/>
          </w:tcPr>
          <w:p w14:paraId="583D7335" w14:textId="033C7947" w:rsidR="00CB16AA" w:rsidRPr="00666914" w:rsidRDefault="00CB16AA" w:rsidP="00254A5B">
            <w:pPr>
              <w:spacing w:after="0"/>
              <w:jc w:val="center"/>
              <w:rPr>
                <w:rFonts w:cs="Calibri"/>
                <w:b/>
                <w:bCs/>
                <w:color w:val="000000"/>
                <w:sz w:val="20"/>
                <w:szCs w:val="20"/>
                <w:lang w:eastAsia="sk-SK"/>
              </w:rPr>
            </w:pPr>
            <w:r w:rsidRPr="00666914">
              <w:rPr>
                <w:rFonts w:cs="Calibri"/>
                <w:b/>
                <w:bCs/>
                <w:color w:val="000000"/>
                <w:sz w:val="20"/>
                <w:szCs w:val="20"/>
                <w:lang w:eastAsia="sk-SK"/>
              </w:rPr>
              <w:t>2Q</w:t>
            </w:r>
          </w:p>
          <w:p w14:paraId="4879AA4B" w14:textId="77777777" w:rsidR="00CB16AA" w:rsidRPr="00666914" w:rsidRDefault="00CB16AA" w:rsidP="00254A5B">
            <w:pPr>
              <w:spacing w:after="0"/>
              <w:jc w:val="center"/>
              <w:rPr>
                <w:rFonts w:cs="Calibri"/>
                <w:b/>
                <w:bCs/>
                <w:color w:val="000000"/>
                <w:sz w:val="20"/>
                <w:szCs w:val="20"/>
                <w:lang w:eastAsia="sk-SK"/>
              </w:rPr>
            </w:pPr>
            <w:r w:rsidRPr="00666914">
              <w:rPr>
                <w:rFonts w:cs="Calibri"/>
                <w:b/>
                <w:bCs/>
                <w:color w:val="000000"/>
                <w:sz w:val="20"/>
                <w:szCs w:val="20"/>
                <w:lang w:eastAsia="sk-SK"/>
              </w:rPr>
              <w:t>2017</w:t>
            </w:r>
          </w:p>
        </w:tc>
        <w:tc>
          <w:tcPr>
            <w:tcW w:w="312" w:type="pct"/>
            <w:tcBorders>
              <w:top w:val="single" w:sz="4" w:space="0" w:color="auto"/>
              <w:left w:val="nil"/>
              <w:bottom w:val="single" w:sz="4" w:space="0" w:color="auto"/>
              <w:right w:val="single" w:sz="4" w:space="0" w:color="auto"/>
            </w:tcBorders>
            <w:noWrap/>
            <w:vAlign w:val="center"/>
            <w:hideMark/>
          </w:tcPr>
          <w:p w14:paraId="7E86EA9D" w14:textId="420542D4" w:rsidR="00CB16AA" w:rsidRPr="00666914" w:rsidRDefault="00CB16AA" w:rsidP="00254A5B">
            <w:pPr>
              <w:spacing w:after="0"/>
              <w:jc w:val="center"/>
              <w:rPr>
                <w:rFonts w:cs="Calibri"/>
                <w:b/>
                <w:bCs/>
                <w:color w:val="000000"/>
                <w:sz w:val="20"/>
                <w:szCs w:val="20"/>
                <w:lang w:eastAsia="sk-SK"/>
              </w:rPr>
            </w:pPr>
            <w:r w:rsidRPr="00666914">
              <w:rPr>
                <w:rFonts w:cs="Calibri"/>
                <w:b/>
                <w:bCs/>
                <w:color w:val="000000"/>
                <w:sz w:val="20"/>
                <w:szCs w:val="20"/>
                <w:lang w:eastAsia="sk-SK"/>
              </w:rPr>
              <w:t>3Q</w:t>
            </w:r>
          </w:p>
          <w:p w14:paraId="18E39468" w14:textId="77777777" w:rsidR="00CB16AA" w:rsidRPr="00666914" w:rsidRDefault="00CB16AA" w:rsidP="00254A5B">
            <w:pPr>
              <w:spacing w:after="0"/>
              <w:jc w:val="center"/>
              <w:rPr>
                <w:rFonts w:cs="Calibri"/>
                <w:b/>
                <w:bCs/>
                <w:color w:val="000000"/>
                <w:sz w:val="20"/>
                <w:szCs w:val="20"/>
                <w:lang w:eastAsia="sk-SK"/>
              </w:rPr>
            </w:pPr>
            <w:r w:rsidRPr="00666914">
              <w:rPr>
                <w:rFonts w:cs="Calibri"/>
                <w:b/>
                <w:bCs/>
                <w:color w:val="000000"/>
                <w:sz w:val="20"/>
                <w:szCs w:val="20"/>
                <w:lang w:eastAsia="sk-SK"/>
              </w:rPr>
              <w:t>2017</w:t>
            </w:r>
          </w:p>
        </w:tc>
        <w:tc>
          <w:tcPr>
            <w:tcW w:w="310" w:type="pct"/>
            <w:tcBorders>
              <w:top w:val="single" w:sz="4" w:space="0" w:color="auto"/>
              <w:left w:val="nil"/>
              <w:bottom w:val="single" w:sz="4" w:space="0" w:color="auto"/>
              <w:right w:val="single" w:sz="8" w:space="0" w:color="auto"/>
            </w:tcBorders>
            <w:noWrap/>
            <w:vAlign w:val="center"/>
            <w:hideMark/>
          </w:tcPr>
          <w:p w14:paraId="6DC1078F" w14:textId="77777777" w:rsidR="00CB16AA" w:rsidRPr="00666914" w:rsidRDefault="00CB16AA" w:rsidP="00254A5B">
            <w:pPr>
              <w:spacing w:after="0"/>
              <w:jc w:val="center"/>
              <w:rPr>
                <w:rFonts w:cs="Calibri"/>
                <w:b/>
                <w:bCs/>
                <w:color w:val="000000"/>
                <w:sz w:val="20"/>
                <w:szCs w:val="20"/>
                <w:lang w:eastAsia="sk-SK"/>
              </w:rPr>
            </w:pPr>
            <w:r w:rsidRPr="00666914">
              <w:rPr>
                <w:rFonts w:cs="Calibri"/>
                <w:b/>
                <w:bCs/>
                <w:color w:val="000000"/>
                <w:sz w:val="20"/>
                <w:szCs w:val="20"/>
                <w:lang w:eastAsia="sk-SK"/>
              </w:rPr>
              <w:t>4Q 2017</w:t>
            </w:r>
          </w:p>
        </w:tc>
      </w:tr>
      <w:tr w:rsidR="00CB16AA" w:rsidRPr="00666914" w14:paraId="313F2037" w14:textId="77777777" w:rsidTr="00254A5B">
        <w:trPr>
          <w:trHeight w:val="296"/>
        </w:trPr>
        <w:tc>
          <w:tcPr>
            <w:tcW w:w="1581" w:type="pct"/>
            <w:tcBorders>
              <w:top w:val="single" w:sz="4" w:space="0" w:color="auto"/>
              <w:left w:val="single" w:sz="4" w:space="0" w:color="auto"/>
              <w:bottom w:val="single" w:sz="4" w:space="0" w:color="auto"/>
              <w:right w:val="single" w:sz="4" w:space="0" w:color="auto"/>
            </w:tcBorders>
            <w:noWrap/>
            <w:hideMark/>
          </w:tcPr>
          <w:p w14:paraId="7A884026" w14:textId="77777777" w:rsidR="00CB16AA" w:rsidRPr="00666914" w:rsidRDefault="00CB16AA" w:rsidP="00985E7A">
            <w:pPr>
              <w:spacing w:after="0"/>
              <w:rPr>
                <w:rFonts w:cs="Calibri"/>
                <w:bCs/>
                <w:color w:val="000000"/>
                <w:sz w:val="20"/>
                <w:szCs w:val="20"/>
                <w:lang w:eastAsia="sk-SK"/>
              </w:rPr>
            </w:pPr>
            <w:r w:rsidRPr="00666914">
              <w:rPr>
                <w:rFonts w:cs="Calibri"/>
                <w:bCs/>
                <w:color w:val="000000"/>
                <w:sz w:val="20"/>
                <w:szCs w:val="20"/>
                <w:lang w:eastAsia="sk-SK"/>
              </w:rPr>
              <w:t>Aktualizovať metodiku štúdií realizovateľnosti</w:t>
            </w:r>
          </w:p>
        </w:tc>
        <w:tc>
          <w:tcPr>
            <w:tcW w:w="687" w:type="pct"/>
            <w:tcBorders>
              <w:top w:val="single" w:sz="4" w:space="0" w:color="auto"/>
              <w:left w:val="nil"/>
              <w:bottom w:val="single" w:sz="4" w:space="0" w:color="auto"/>
              <w:right w:val="single" w:sz="4" w:space="0" w:color="auto"/>
            </w:tcBorders>
            <w:noWrap/>
            <w:vAlign w:val="center"/>
            <w:hideMark/>
          </w:tcPr>
          <w:p w14:paraId="5811FE38" w14:textId="77777777" w:rsidR="00CB16AA" w:rsidRPr="00666914" w:rsidRDefault="00CB16AA" w:rsidP="00254A5B">
            <w:pPr>
              <w:spacing w:after="0"/>
              <w:jc w:val="center"/>
              <w:rPr>
                <w:rFonts w:cs="Calibri"/>
                <w:bCs/>
                <w:color w:val="000000"/>
                <w:sz w:val="20"/>
                <w:szCs w:val="20"/>
                <w:lang w:eastAsia="sk-SK"/>
              </w:rPr>
            </w:pPr>
            <w:r w:rsidRPr="00666914">
              <w:rPr>
                <w:rFonts w:cs="Calibri"/>
                <w:bCs/>
                <w:color w:val="000000"/>
                <w:sz w:val="20"/>
                <w:szCs w:val="20"/>
                <w:lang w:eastAsia="sk-SK"/>
              </w:rPr>
              <w:t xml:space="preserve">MDV SR, </w:t>
            </w:r>
            <w:r w:rsidRPr="00666914">
              <w:rPr>
                <w:rFonts w:cs="Calibri"/>
                <w:bCs/>
                <w:color w:val="000000"/>
                <w:sz w:val="20"/>
                <w:szCs w:val="20"/>
                <w:lang w:eastAsia="sk-SK"/>
              </w:rPr>
              <w:br/>
              <w:t>MF SR</w:t>
            </w:r>
          </w:p>
        </w:tc>
        <w:tc>
          <w:tcPr>
            <w:tcW w:w="883" w:type="pct"/>
            <w:tcBorders>
              <w:top w:val="single" w:sz="4" w:space="0" w:color="auto"/>
              <w:left w:val="nil"/>
              <w:bottom w:val="single" w:sz="4" w:space="0" w:color="auto"/>
              <w:right w:val="single" w:sz="4" w:space="0" w:color="auto"/>
            </w:tcBorders>
            <w:noWrap/>
            <w:vAlign w:val="center"/>
            <w:hideMark/>
          </w:tcPr>
          <w:p w14:paraId="45529378" w14:textId="77777777" w:rsidR="00CB16AA" w:rsidRPr="00666914" w:rsidRDefault="00CB16AA" w:rsidP="00254A5B">
            <w:pPr>
              <w:spacing w:after="0"/>
              <w:ind w:right="51"/>
              <w:jc w:val="center"/>
              <w:rPr>
                <w:rFonts w:cs="Calibri"/>
                <w:bCs/>
                <w:color w:val="000000"/>
                <w:sz w:val="20"/>
                <w:szCs w:val="20"/>
                <w:lang w:eastAsia="sk-SK"/>
              </w:rPr>
            </w:pPr>
            <w:r w:rsidRPr="00666914">
              <w:rPr>
                <w:rFonts w:cs="Calibri"/>
                <w:bCs/>
                <w:color w:val="000000"/>
                <w:sz w:val="20"/>
                <w:szCs w:val="20"/>
                <w:lang w:eastAsia="sk-SK"/>
              </w:rPr>
              <w:t>06/2017 a následne priebežne</w:t>
            </w:r>
          </w:p>
        </w:tc>
        <w:tc>
          <w:tcPr>
            <w:tcW w:w="578" w:type="pct"/>
            <w:tcBorders>
              <w:top w:val="single" w:sz="4" w:space="0" w:color="auto"/>
              <w:left w:val="nil"/>
              <w:bottom w:val="single" w:sz="4" w:space="0" w:color="auto"/>
              <w:right w:val="single" w:sz="4" w:space="0" w:color="auto"/>
            </w:tcBorders>
            <w:noWrap/>
            <w:hideMark/>
          </w:tcPr>
          <w:p w14:paraId="0BF0365E" w14:textId="77777777" w:rsidR="00CB16AA" w:rsidRPr="00666914" w:rsidRDefault="00CB16AA" w:rsidP="00985E7A">
            <w:pPr>
              <w:spacing w:after="0"/>
              <w:jc w:val="center"/>
              <w:rPr>
                <w:rFonts w:cs="Calibri"/>
                <w:bCs/>
                <w:color w:val="000000"/>
                <w:sz w:val="20"/>
                <w:szCs w:val="20"/>
                <w:lang w:eastAsia="sk-SK"/>
              </w:rPr>
            </w:pPr>
            <w:r w:rsidRPr="00666914">
              <w:rPr>
                <w:rFonts w:cs="Calibri"/>
                <w:bCs/>
                <w:color w:val="000000"/>
                <w:sz w:val="20"/>
                <w:szCs w:val="20"/>
                <w:lang w:eastAsia="sk-SK"/>
              </w:rPr>
              <w:t>-</w:t>
            </w:r>
          </w:p>
        </w:tc>
        <w:tc>
          <w:tcPr>
            <w:tcW w:w="335" w:type="pct"/>
            <w:tcBorders>
              <w:top w:val="single" w:sz="4" w:space="0" w:color="auto"/>
              <w:left w:val="nil"/>
              <w:bottom w:val="single" w:sz="4" w:space="0" w:color="auto"/>
              <w:right w:val="single" w:sz="4" w:space="0" w:color="auto"/>
            </w:tcBorders>
            <w:shd w:val="clear" w:color="auto" w:fill="92D050"/>
            <w:noWrap/>
            <w:vAlign w:val="center"/>
            <w:hideMark/>
          </w:tcPr>
          <w:p w14:paraId="19626A79" w14:textId="77777777" w:rsidR="00CB16AA" w:rsidRPr="00666914" w:rsidRDefault="00CB16AA" w:rsidP="00985E7A">
            <w:pPr>
              <w:spacing w:after="0"/>
              <w:rPr>
                <w:rFonts w:cs="Calibri"/>
                <w:b/>
                <w:bCs/>
                <w:color w:val="000000"/>
                <w:sz w:val="20"/>
                <w:szCs w:val="20"/>
                <w:lang w:eastAsia="sk-SK"/>
              </w:rPr>
            </w:pPr>
          </w:p>
        </w:tc>
        <w:tc>
          <w:tcPr>
            <w:tcW w:w="312" w:type="pct"/>
            <w:tcBorders>
              <w:top w:val="single" w:sz="4" w:space="0" w:color="auto"/>
              <w:left w:val="nil"/>
              <w:bottom w:val="single" w:sz="4" w:space="0" w:color="auto"/>
              <w:right w:val="single" w:sz="4" w:space="0" w:color="auto"/>
            </w:tcBorders>
            <w:shd w:val="clear" w:color="auto" w:fill="92D050"/>
            <w:noWrap/>
            <w:vAlign w:val="center"/>
            <w:hideMark/>
          </w:tcPr>
          <w:p w14:paraId="6F9B71E1" w14:textId="77777777" w:rsidR="00CB16AA" w:rsidRPr="00666914" w:rsidRDefault="00CB16AA" w:rsidP="00985E7A">
            <w:pPr>
              <w:spacing w:after="0"/>
              <w:rPr>
                <w:rFonts w:cs="Calibri"/>
                <w:b/>
                <w:bCs/>
                <w:color w:val="000000"/>
                <w:sz w:val="20"/>
                <w:szCs w:val="20"/>
                <w:lang w:eastAsia="sk-SK"/>
              </w:rPr>
            </w:pPr>
          </w:p>
        </w:tc>
        <w:tc>
          <w:tcPr>
            <w:tcW w:w="312" w:type="pct"/>
            <w:tcBorders>
              <w:top w:val="single" w:sz="4" w:space="0" w:color="auto"/>
              <w:left w:val="nil"/>
              <w:bottom w:val="single" w:sz="4" w:space="0" w:color="auto"/>
              <w:right w:val="single" w:sz="4" w:space="0" w:color="auto"/>
            </w:tcBorders>
            <w:shd w:val="clear" w:color="auto" w:fill="92D050"/>
            <w:noWrap/>
            <w:vAlign w:val="center"/>
            <w:hideMark/>
          </w:tcPr>
          <w:p w14:paraId="396CC158" w14:textId="77777777" w:rsidR="00CB16AA" w:rsidRPr="00666914" w:rsidRDefault="00CB16AA" w:rsidP="00985E7A">
            <w:pPr>
              <w:spacing w:after="0"/>
              <w:rPr>
                <w:rFonts w:cs="Calibri"/>
                <w:b/>
                <w:bCs/>
                <w:color w:val="000000"/>
                <w:sz w:val="20"/>
                <w:szCs w:val="20"/>
                <w:lang w:eastAsia="sk-SK"/>
              </w:rPr>
            </w:pPr>
          </w:p>
        </w:tc>
        <w:tc>
          <w:tcPr>
            <w:tcW w:w="310" w:type="pct"/>
            <w:tcBorders>
              <w:top w:val="single" w:sz="4" w:space="0" w:color="auto"/>
              <w:left w:val="nil"/>
              <w:bottom w:val="single" w:sz="4" w:space="0" w:color="auto"/>
              <w:right w:val="single" w:sz="8" w:space="0" w:color="auto"/>
            </w:tcBorders>
            <w:shd w:val="clear" w:color="auto" w:fill="92D050"/>
            <w:noWrap/>
            <w:vAlign w:val="center"/>
            <w:hideMark/>
          </w:tcPr>
          <w:p w14:paraId="1C422982" w14:textId="77777777" w:rsidR="00CB16AA" w:rsidRPr="00666914" w:rsidRDefault="00CB16AA" w:rsidP="00985E7A">
            <w:pPr>
              <w:spacing w:after="0"/>
              <w:rPr>
                <w:rFonts w:cs="Calibri"/>
                <w:b/>
                <w:bCs/>
                <w:color w:val="000000"/>
                <w:sz w:val="20"/>
                <w:szCs w:val="20"/>
                <w:lang w:eastAsia="sk-SK"/>
              </w:rPr>
            </w:pPr>
          </w:p>
        </w:tc>
      </w:tr>
    </w:tbl>
    <w:p w14:paraId="5DC3BC77" w14:textId="77777777" w:rsidR="00CB16AA" w:rsidRPr="00666914" w:rsidRDefault="00CB16AA" w:rsidP="00985E7A"/>
    <w:p w14:paraId="3921FCF2" w14:textId="77777777" w:rsidR="00CB16AA" w:rsidRPr="00666914" w:rsidRDefault="00CB16AA">
      <w:r w:rsidRPr="00666914">
        <w:br w:type="page"/>
      </w:r>
    </w:p>
    <w:p w14:paraId="67F18FFA" w14:textId="77777777" w:rsidR="00CB16AA" w:rsidRPr="00666914" w:rsidRDefault="00CB16AA" w:rsidP="00312C28">
      <w:pPr>
        <w:pStyle w:val="Nadpis2"/>
        <w:numPr>
          <w:ilvl w:val="1"/>
          <w:numId w:val="36"/>
        </w:numPr>
      </w:pPr>
      <w:bookmarkStart w:id="186" w:name="_Toc21522708"/>
      <w:bookmarkStart w:id="187" w:name="_Toc38447590"/>
      <w:r w:rsidRPr="00666914">
        <w:lastRenderedPageBreak/>
        <w:t>Plánovanie a príprava investičných projektov v doprave</w:t>
      </w:r>
      <w:bookmarkEnd w:id="186"/>
      <w:bookmarkEnd w:id="187"/>
    </w:p>
    <w:tbl>
      <w:tblPr>
        <w:tblStyle w:val="Mriekatabuky2"/>
        <w:tblW w:w="5000" w:type="pct"/>
        <w:tblLook w:val="04A0" w:firstRow="1" w:lastRow="0" w:firstColumn="1" w:lastColumn="0" w:noHBand="0" w:noVBand="1"/>
      </w:tblPr>
      <w:tblGrid>
        <w:gridCol w:w="312"/>
        <w:gridCol w:w="2993"/>
        <w:gridCol w:w="1515"/>
        <w:gridCol w:w="952"/>
        <w:gridCol w:w="952"/>
        <w:gridCol w:w="620"/>
        <w:gridCol w:w="620"/>
        <w:gridCol w:w="620"/>
        <w:gridCol w:w="620"/>
      </w:tblGrid>
      <w:tr w:rsidR="00CB16AA" w:rsidRPr="00666914" w14:paraId="28D6F608" w14:textId="77777777" w:rsidTr="00254A5B">
        <w:trPr>
          <w:trHeight w:val="469"/>
        </w:trPr>
        <w:tc>
          <w:tcPr>
            <w:tcW w:w="169" w:type="pct"/>
            <w:tcBorders>
              <w:top w:val="single" w:sz="4" w:space="0" w:color="auto"/>
              <w:left w:val="single" w:sz="4" w:space="0" w:color="auto"/>
              <w:right w:val="nil"/>
            </w:tcBorders>
            <w:vAlign w:val="center"/>
          </w:tcPr>
          <w:p w14:paraId="392D4F46" w14:textId="77777777" w:rsidR="00CB16AA" w:rsidRPr="00666914" w:rsidRDefault="00CB16AA" w:rsidP="00254A5B">
            <w:pPr>
              <w:tabs>
                <w:tab w:val="left" w:pos="6237"/>
              </w:tabs>
              <w:spacing w:after="0"/>
              <w:rPr>
                <w:sz w:val="20"/>
                <w:szCs w:val="20"/>
              </w:rPr>
            </w:pPr>
          </w:p>
        </w:tc>
        <w:tc>
          <w:tcPr>
            <w:tcW w:w="1626" w:type="pct"/>
            <w:tcBorders>
              <w:top w:val="single" w:sz="4" w:space="0" w:color="auto"/>
              <w:left w:val="nil"/>
              <w:right w:val="single" w:sz="4" w:space="0" w:color="auto"/>
            </w:tcBorders>
            <w:vAlign w:val="center"/>
          </w:tcPr>
          <w:p w14:paraId="1A470806" w14:textId="77777777" w:rsidR="00CB16AA" w:rsidRPr="00666914" w:rsidRDefault="00CB16AA" w:rsidP="00254A5B">
            <w:pPr>
              <w:tabs>
                <w:tab w:val="left" w:pos="6237"/>
              </w:tabs>
              <w:spacing w:after="0"/>
              <w:jc w:val="center"/>
              <w:rPr>
                <w:b/>
                <w:sz w:val="20"/>
                <w:szCs w:val="20"/>
              </w:rPr>
            </w:pPr>
            <w:r w:rsidRPr="00666914">
              <w:rPr>
                <w:b/>
                <w:sz w:val="20"/>
                <w:szCs w:val="20"/>
              </w:rPr>
              <w:t>Opatrenie</w:t>
            </w:r>
          </w:p>
        </w:tc>
        <w:tc>
          <w:tcPr>
            <w:tcW w:w="823" w:type="pct"/>
            <w:tcBorders>
              <w:top w:val="single" w:sz="4" w:space="0" w:color="auto"/>
              <w:left w:val="single" w:sz="4" w:space="0" w:color="auto"/>
              <w:right w:val="single" w:sz="4" w:space="0" w:color="auto"/>
            </w:tcBorders>
            <w:vAlign w:val="center"/>
          </w:tcPr>
          <w:p w14:paraId="320B8E9F" w14:textId="77777777" w:rsidR="00CB16AA" w:rsidRPr="00666914" w:rsidRDefault="00CB16AA" w:rsidP="00254A5B">
            <w:pPr>
              <w:tabs>
                <w:tab w:val="left" w:pos="6237"/>
              </w:tabs>
              <w:spacing w:after="0"/>
              <w:jc w:val="center"/>
              <w:rPr>
                <w:b/>
                <w:sz w:val="20"/>
                <w:szCs w:val="20"/>
              </w:rPr>
            </w:pPr>
            <w:r w:rsidRPr="00666914">
              <w:rPr>
                <w:b/>
                <w:sz w:val="20"/>
                <w:szCs w:val="20"/>
              </w:rPr>
              <w:t>Zodpovednosť</w:t>
            </w:r>
          </w:p>
        </w:tc>
        <w:tc>
          <w:tcPr>
            <w:tcW w:w="517" w:type="pct"/>
            <w:tcBorders>
              <w:top w:val="single" w:sz="4" w:space="0" w:color="auto"/>
              <w:left w:val="single" w:sz="4" w:space="0" w:color="auto"/>
              <w:right w:val="single" w:sz="4" w:space="0" w:color="auto"/>
            </w:tcBorders>
            <w:vAlign w:val="center"/>
          </w:tcPr>
          <w:p w14:paraId="006B2555" w14:textId="77777777" w:rsidR="00CB16AA" w:rsidRPr="00666914" w:rsidRDefault="00CB16AA" w:rsidP="00254A5B">
            <w:pPr>
              <w:tabs>
                <w:tab w:val="left" w:pos="6237"/>
              </w:tabs>
              <w:spacing w:after="0"/>
              <w:jc w:val="center"/>
              <w:rPr>
                <w:b/>
                <w:sz w:val="20"/>
                <w:szCs w:val="20"/>
              </w:rPr>
            </w:pPr>
            <w:r w:rsidRPr="00666914">
              <w:rPr>
                <w:b/>
                <w:sz w:val="20"/>
                <w:szCs w:val="20"/>
              </w:rPr>
              <w:t>Termín plnenia</w:t>
            </w:r>
          </w:p>
        </w:tc>
        <w:tc>
          <w:tcPr>
            <w:tcW w:w="517" w:type="pct"/>
            <w:tcBorders>
              <w:top w:val="single" w:sz="4" w:space="0" w:color="auto"/>
              <w:left w:val="single" w:sz="4" w:space="0" w:color="auto"/>
              <w:right w:val="single" w:sz="4" w:space="0" w:color="auto"/>
            </w:tcBorders>
            <w:vAlign w:val="center"/>
          </w:tcPr>
          <w:p w14:paraId="2983F0DE" w14:textId="77777777" w:rsidR="00CB16AA" w:rsidRPr="00666914" w:rsidRDefault="00CB16AA" w:rsidP="00254A5B">
            <w:pPr>
              <w:tabs>
                <w:tab w:val="left" w:pos="6237"/>
              </w:tabs>
              <w:spacing w:after="0"/>
              <w:jc w:val="center"/>
              <w:rPr>
                <w:b/>
                <w:sz w:val="20"/>
                <w:szCs w:val="20"/>
              </w:rPr>
            </w:pPr>
            <w:r w:rsidRPr="00666914">
              <w:rPr>
                <w:b/>
                <w:sz w:val="20"/>
                <w:szCs w:val="20"/>
              </w:rPr>
              <w:t>Nový termín</w:t>
            </w:r>
          </w:p>
        </w:tc>
        <w:tc>
          <w:tcPr>
            <w:tcW w:w="337" w:type="pct"/>
            <w:tcBorders>
              <w:top w:val="single" w:sz="4" w:space="0" w:color="auto"/>
              <w:left w:val="single" w:sz="4" w:space="0" w:color="auto"/>
              <w:right w:val="single" w:sz="4" w:space="0" w:color="auto"/>
            </w:tcBorders>
            <w:vAlign w:val="center"/>
          </w:tcPr>
          <w:p w14:paraId="45BC36F6" w14:textId="77777777" w:rsidR="00CB16AA" w:rsidRPr="00666914" w:rsidRDefault="00CB16AA" w:rsidP="00254A5B">
            <w:pPr>
              <w:tabs>
                <w:tab w:val="left" w:pos="6237"/>
              </w:tabs>
              <w:spacing w:after="0"/>
              <w:jc w:val="center"/>
              <w:rPr>
                <w:b/>
                <w:sz w:val="20"/>
                <w:szCs w:val="20"/>
              </w:rPr>
            </w:pPr>
            <w:r w:rsidRPr="00666914">
              <w:rPr>
                <w:b/>
                <w:sz w:val="20"/>
                <w:szCs w:val="20"/>
              </w:rPr>
              <w:t>1Q</w:t>
            </w:r>
          </w:p>
          <w:p w14:paraId="60955731" w14:textId="77777777" w:rsidR="00CB16AA" w:rsidRPr="00666914" w:rsidRDefault="00CB16AA" w:rsidP="00254A5B">
            <w:pPr>
              <w:tabs>
                <w:tab w:val="left" w:pos="6237"/>
              </w:tabs>
              <w:spacing w:after="0"/>
              <w:jc w:val="center"/>
              <w:rPr>
                <w:b/>
                <w:sz w:val="20"/>
                <w:szCs w:val="20"/>
              </w:rPr>
            </w:pPr>
            <w:r w:rsidRPr="00666914">
              <w:rPr>
                <w:b/>
                <w:sz w:val="20"/>
                <w:szCs w:val="20"/>
              </w:rPr>
              <w:t>2019</w:t>
            </w:r>
          </w:p>
        </w:tc>
        <w:tc>
          <w:tcPr>
            <w:tcW w:w="337" w:type="pct"/>
            <w:tcBorders>
              <w:top w:val="single" w:sz="4" w:space="0" w:color="auto"/>
              <w:left w:val="single" w:sz="4" w:space="0" w:color="auto"/>
              <w:right w:val="single" w:sz="4" w:space="0" w:color="auto"/>
            </w:tcBorders>
            <w:vAlign w:val="center"/>
          </w:tcPr>
          <w:p w14:paraId="5C3ED076" w14:textId="77777777" w:rsidR="00CB16AA" w:rsidRPr="00666914" w:rsidRDefault="00CB16AA" w:rsidP="00254A5B">
            <w:pPr>
              <w:tabs>
                <w:tab w:val="left" w:pos="6237"/>
              </w:tabs>
              <w:spacing w:after="0"/>
              <w:jc w:val="center"/>
              <w:rPr>
                <w:b/>
                <w:sz w:val="20"/>
                <w:szCs w:val="20"/>
              </w:rPr>
            </w:pPr>
            <w:r w:rsidRPr="00666914">
              <w:rPr>
                <w:b/>
                <w:sz w:val="20"/>
                <w:szCs w:val="20"/>
              </w:rPr>
              <w:t>2Q</w:t>
            </w:r>
          </w:p>
          <w:p w14:paraId="70D01AA7" w14:textId="04C8B3DE" w:rsidR="00CB16AA" w:rsidRPr="00666914" w:rsidRDefault="00CB16AA" w:rsidP="00254A5B">
            <w:pPr>
              <w:tabs>
                <w:tab w:val="left" w:pos="6237"/>
              </w:tabs>
              <w:spacing w:after="0"/>
              <w:jc w:val="center"/>
              <w:rPr>
                <w:b/>
                <w:sz w:val="20"/>
                <w:szCs w:val="20"/>
              </w:rPr>
            </w:pPr>
            <w:r w:rsidRPr="00666914">
              <w:rPr>
                <w:b/>
                <w:sz w:val="20"/>
                <w:szCs w:val="20"/>
              </w:rPr>
              <w:t>2019</w:t>
            </w:r>
          </w:p>
        </w:tc>
        <w:tc>
          <w:tcPr>
            <w:tcW w:w="337" w:type="pct"/>
            <w:tcBorders>
              <w:top w:val="single" w:sz="4" w:space="0" w:color="auto"/>
              <w:left w:val="single" w:sz="4" w:space="0" w:color="auto"/>
              <w:right w:val="single" w:sz="4" w:space="0" w:color="auto"/>
            </w:tcBorders>
            <w:vAlign w:val="center"/>
          </w:tcPr>
          <w:p w14:paraId="7A9B660F" w14:textId="77777777" w:rsidR="00CB16AA" w:rsidRPr="00666914" w:rsidRDefault="00CB16AA" w:rsidP="00254A5B">
            <w:pPr>
              <w:tabs>
                <w:tab w:val="left" w:pos="6237"/>
              </w:tabs>
              <w:spacing w:after="0"/>
              <w:jc w:val="center"/>
              <w:rPr>
                <w:b/>
                <w:sz w:val="20"/>
                <w:szCs w:val="20"/>
              </w:rPr>
            </w:pPr>
            <w:r w:rsidRPr="00666914">
              <w:rPr>
                <w:b/>
                <w:sz w:val="20"/>
                <w:szCs w:val="20"/>
              </w:rPr>
              <w:t>3Q</w:t>
            </w:r>
          </w:p>
          <w:p w14:paraId="36A75525" w14:textId="22A8EF77" w:rsidR="00CB16AA" w:rsidRPr="00666914" w:rsidRDefault="00CB16AA" w:rsidP="00254A5B">
            <w:pPr>
              <w:tabs>
                <w:tab w:val="left" w:pos="6237"/>
              </w:tabs>
              <w:spacing w:after="0"/>
              <w:jc w:val="center"/>
              <w:rPr>
                <w:b/>
                <w:sz w:val="20"/>
                <w:szCs w:val="20"/>
              </w:rPr>
            </w:pPr>
            <w:r w:rsidRPr="00666914">
              <w:rPr>
                <w:b/>
                <w:sz w:val="20"/>
                <w:szCs w:val="20"/>
              </w:rPr>
              <w:t>2019</w:t>
            </w:r>
          </w:p>
        </w:tc>
        <w:tc>
          <w:tcPr>
            <w:tcW w:w="337" w:type="pct"/>
            <w:tcBorders>
              <w:top w:val="single" w:sz="4" w:space="0" w:color="auto"/>
              <w:left w:val="single" w:sz="4" w:space="0" w:color="auto"/>
              <w:right w:val="single" w:sz="4" w:space="0" w:color="auto"/>
            </w:tcBorders>
            <w:vAlign w:val="center"/>
          </w:tcPr>
          <w:p w14:paraId="4C7A447B" w14:textId="77777777" w:rsidR="00CB16AA" w:rsidRPr="00666914" w:rsidRDefault="00CB16AA" w:rsidP="00254A5B">
            <w:pPr>
              <w:tabs>
                <w:tab w:val="left" w:pos="6237"/>
              </w:tabs>
              <w:spacing w:after="0"/>
              <w:jc w:val="center"/>
              <w:rPr>
                <w:b/>
                <w:sz w:val="20"/>
                <w:szCs w:val="20"/>
              </w:rPr>
            </w:pPr>
            <w:r w:rsidRPr="00666914">
              <w:rPr>
                <w:b/>
                <w:sz w:val="20"/>
                <w:szCs w:val="20"/>
              </w:rPr>
              <w:t>4Q</w:t>
            </w:r>
          </w:p>
          <w:p w14:paraId="09A20CF0" w14:textId="45F77B53" w:rsidR="00CB16AA" w:rsidRPr="00666914" w:rsidRDefault="00CB16AA" w:rsidP="00254A5B">
            <w:pPr>
              <w:tabs>
                <w:tab w:val="left" w:pos="6237"/>
              </w:tabs>
              <w:spacing w:after="0"/>
              <w:jc w:val="center"/>
              <w:rPr>
                <w:b/>
                <w:sz w:val="20"/>
                <w:szCs w:val="20"/>
              </w:rPr>
            </w:pPr>
            <w:r w:rsidRPr="00666914">
              <w:rPr>
                <w:b/>
                <w:sz w:val="20"/>
                <w:szCs w:val="20"/>
              </w:rPr>
              <w:t>2019</w:t>
            </w:r>
          </w:p>
        </w:tc>
      </w:tr>
      <w:tr w:rsidR="00CB16AA" w:rsidRPr="00666914" w14:paraId="48539ADB" w14:textId="77777777" w:rsidTr="00254A5B">
        <w:tc>
          <w:tcPr>
            <w:tcW w:w="169" w:type="pct"/>
            <w:tcBorders>
              <w:top w:val="single" w:sz="4" w:space="0" w:color="auto"/>
            </w:tcBorders>
            <w:vAlign w:val="center"/>
          </w:tcPr>
          <w:p w14:paraId="59A95624" w14:textId="77777777" w:rsidR="00CB16AA" w:rsidRPr="00666914" w:rsidRDefault="00CB16AA" w:rsidP="00985E7A">
            <w:pPr>
              <w:tabs>
                <w:tab w:val="left" w:pos="6237"/>
              </w:tabs>
              <w:rPr>
                <w:sz w:val="20"/>
                <w:szCs w:val="20"/>
              </w:rPr>
            </w:pPr>
            <w:r w:rsidRPr="00666914">
              <w:rPr>
                <w:rFonts w:eastAsia="Times New Roman"/>
                <w:bCs/>
                <w:color w:val="000000"/>
                <w:sz w:val="20"/>
                <w:szCs w:val="20"/>
                <w:lang w:eastAsia="sk-SK"/>
              </w:rPr>
              <w:t>1</w:t>
            </w:r>
          </w:p>
        </w:tc>
        <w:tc>
          <w:tcPr>
            <w:tcW w:w="1626" w:type="pct"/>
            <w:tcBorders>
              <w:top w:val="single" w:sz="4" w:space="0" w:color="auto"/>
            </w:tcBorders>
            <w:vAlign w:val="center"/>
          </w:tcPr>
          <w:p w14:paraId="505A769F"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Pre nové investičné projekty nad 20 mil. eur v rámci prípravy zadania štúdie realizovateľnosti posúdiť vhodnosť aplikácie multimodálnych variantov a vykonať takéto posúdenie</w:t>
            </w:r>
          </w:p>
        </w:tc>
        <w:tc>
          <w:tcPr>
            <w:tcW w:w="823" w:type="pct"/>
            <w:tcBorders>
              <w:top w:val="single" w:sz="4" w:space="0" w:color="auto"/>
            </w:tcBorders>
            <w:vAlign w:val="center"/>
          </w:tcPr>
          <w:p w14:paraId="39859FE8"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MDV SR </w:t>
            </w:r>
          </w:p>
          <w:p w14:paraId="56546192"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SRP </w:t>
            </w:r>
          </w:p>
        </w:tc>
        <w:tc>
          <w:tcPr>
            <w:tcW w:w="517" w:type="pct"/>
            <w:tcBorders>
              <w:top w:val="single" w:sz="4" w:space="0" w:color="auto"/>
            </w:tcBorders>
            <w:shd w:val="clear" w:color="auto" w:fill="auto"/>
            <w:vAlign w:val="center"/>
          </w:tcPr>
          <w:p w14:paraId="7E2FF327"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priebežne</w:t>
            </w:r>
          </w:p>
        </w:tc>
        <w:tc>
          <w:tcPr>
            <w:tcW w:w="517" w:type="pct"/>
            <w:tcBorders>
              <w:top w:val="single" w:sz="4" w:space="0" w:color="auto"/>
            </w:tcBorders>
            <w:vAlign w:val="center"/>
          </w:tcPr>
          <w:p w14:paraId="10902C90" w14:textId="77777777" w:rsidR="00CB16AA" w:rsidRPr="00666914" w:rsidRDefault="00CB16AA" w:rsidP="00985E7A">
            <w:pPr>
              <w:tabs>
                <w:tab w:val="left" w:pos="6237"/>
              </w:tabs>
              <w:jc w:val="center"/>
              <w:rPr>
                <w:sz w:val="20"/>
                <w:szCs w:val="20"/>
              </w:rPr>
            </w:pPr>
            <w:r w:rsidRPr="00666914">
              <w:rPr>
                <w:rFonts w:eastAsia="Times New Roman" w:cs="Calibri"/>
                <w:color w:val="000000"/>
                <w:sz w:val="20"/>
                <w:szCs w:val="20"/>
                <w:lang w:eastAsia="sk-SK"/>
              </w:rPr>
              <w:t>-</w:t>
            </w:r>
          </w:p>
        </w:tc>
        <w:tc>
          <w:tcPr>
            <w:tcW w:w="337" w:type="pct"/>
            <w:tcBorders>
              <w:top w:val="single" w:sz="4" w:space="0" w:color="auto"/>
            </w:tcBorders>
            <w:shd w:val="clear" w:color="auto" w:fill="A6A6A6" w:themeFill="background1" w:themeFillShade="A6"/>
            <w:vAlign w:val="center"/>
          </w:tcPr>
          <w:p w14:paraId="060A3A80" w14:textId="77777777" w:rsidR="00CB16AA" w:rsidRPr="00666914" w:rsidRDefault="00CB16AA" w:rsidP="00985E7A">
            <w:pPr>
              <w:tabs>
                <w:tab w:val="left" w:pos="6237"/>
              </w:tabs>
              <w:rPr>
                <w:sz w:val="20"/>
                <w:szCs w:val="20"/>
              </w:rPr>
            </w:pPr>
          </w:p>
        </w:tc>
        <w:tc>
          <w:tcPr>
            <w:tcW w:w="337" w:type="pct"/>
            <w:tcBorders>
              <w:top w:val="single" w:sz="4" w:space="0" w:color="auto"/>
            </w:tcBorders>
            <w:shd w:val="clear" w:color="auto" w:fill="92D050"/>
            <w:vAlign w:val="center"/>
          </w:tcPr>
          <w:p w14:paraId="5172FE17" w14:textId="77777777" w:rsidR="00CB16AA" w:rsidRPr="00666914" w:rsidRDefault="00CB16AA" w:rsidP="00985E7A">
            <w:pPr>
              <w:tabs>
                <w:tab w:val="left" w:pos="6237"/>
              </w:tabs>
              <w:rPr>
                <w:sz w:val="20"/>
                <w:szCs w:val="20"/>
              </w:rPr>
            </w:pPr>
          </w:p>
        </w:tc>
        <w:tc>
          <w:tcPr>
            <w:tcW w:w="337" w:type="pct"/>
            <w:tcBorders>
              <w:top w:val="single" w:sz="4" w:space="0" w:color="auto"/>
            </w:tcBorders>
            <w:shd w:val="clear" w:color="auto" w:fill="AEAAAA" w:themeFill="background2" w:themeFillShade="BF"/>
            <w:vAlign w:val="center"/>
          </w:tcPr>
          <w:p w14:paraId="438A9E09" w14:textId="77777777" w:rsidR="00CB16AA" w:rsidRPr="00666914" w:rsidRDefault="00CB16AA" w:rsidP="00985E7A">
            <w:pPr>
              <w:tabs>
                <w:tab w:val="left" w:pos="6237"/>
              </w:tabs>
              <w:rPr>
                <w:sz w:val="20"/>
                <w:szCs w:val="20"/>
              </w:rPr>
            </w:pPr>
          </w:p>
        </w:tc>
        <w:tc>
          <w:tcPr>
            <w:tcW w:w="337" w:type="pct"/>
            <w:tcBorders>
              <w:top w:val="single" w:sz="4" w:space="0" w:color="auto"/>
            </w:tcBorders>
            <w:shd w:val="clear" w:color="auto" w:fill="A6A6A6" w:themeFill="background1" w:themeFillShade="A6"/>
            <w:vAlign w:val="center"/>
          </w:tcPr>
          <w:p w14:paraId="37DD8567" w14:textId="77777777" w:rsidR="00CB16AA" w:rsidRPr="00666914" w:rsidRDefault="00CB16AA" w:rsidP="00985E7A">
            <w:pPr>
              <w:tabs>
                <w:tab w:val="left" w:pos="6237"/>
              </w:tabs>
              <w:rPr>
                <w:sz w:val="20"/>
                <w:szCs w:val="20"/>
              </w:rPr>
            </w:pPr>
          </w:p>
        </w:tc>
      </w:tr>
      <w:tr w:rsidR="00CB16AA" w:rsidRPr="00666914" w14:paraId="2DD2971E" w14:textId="77777777" w:rsidTr="00254A5B">
        <w:tc>
          <w:tcPr>
            <w:tcW w:w="169" w:type="pct"/>
            <w:vAlign w:val="center"/>
          </w:tcPr>
          <w:p w14:paraId="4A68A69D" w14:textId="77777777" w:rsidR="00CB16AA" w:rsidRPr="00666914" w:rsidRDefault="00CB16AA" w:rsidP="00985E7A">
            <w:pPr>
              <w:tabs>
                <w:tab w:val="left" w:pos="6237"/>
              </w:tabs>
              <w:rPr>
                <w:sz w:val="20"/>
                <w:szCs w:val="20"/>
              </w:rPr>
            </w:pPr>
            <w:r w:rsidRPr="00666914">
              <w:rPr>
                <w:rFonts w:eastAsia="Times New Roman"/>
                <w:bCs/>
                <w:color w:val="000000"/>
                <w:sz w:val="20"/>
                <w:szCs w:val="20"/>
                <w:lang w:eastAsia="sk-SK"/>
              </w:rPr>
              <w:t>2</w:t>
            </w:r>
          </w:p>
        </w:tc>
        <w:tc>
          <w:tcPr>
            <w:tcW w:w="1626" w:type="pct"/>
            <w:vAlign w:val="center"/>
          </w:tcPr>
          <w:p w14:paraId="2BCCB3D2"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Realizovať štúdie realizovateľnosti na začiatku predinvestičného procesu</w:t>
            </w:r>
          </w:p>
        </w:tc>
        <w:tc>
          <w:tcPr>
            <w:tcW w:w="823" w:type="pct"/>
            <w:vAlign w:val="center"/>
          </w:tcPr>
          <w:p w14:paraId="671B5082"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MDV SR</w:t>
            </w:r>
          </w:p>
          <w:p w14:paraId="1DEC8789"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SCDaPK</w:t>
            </w:r>
          </w:p>
          <w:p w14:paraId="1618535C" w14:textId="77777777" w:rsidR="00CB16AA" w:rsidRPr="00666914" w:rsidRDefault="00CB16AA" w:rsidP="00985E7A">
            <w:pPr>
              <w:tabs>
                <w:tab w:val="left" w:pos="6237"/>
              </w:tabs>
              <w:rPr>
                <w:rFonts w:eastAsia="Times New Roman" w:cs="Calibri"/>
                <w:color w:val="000000"/>
                <w:sz w:val="20"/>
                <w:szCs w:val="20"/>
                <w:lang w:eastAsia="sk-SK"/>
              </w:rPr>
            </w:pPr>
            <w:r w:rsidRPr="00666914">
              <w:rPr>
                <w:rFonts w:eastAsia="Times New Roman" w:cs="Calibri"/>
                <w:color w:val="000000"/>
                <w:sz w:val="20"/>
                <w:szCs w:val="20"/>
                <w:lang w:eastAsia="sk-SK"/>
              </w:rPr>
              <w:t>SŽDaD</w:t>
            </w:r>
          </w:p>
        </w:tc>
        <w:tc>
          <w:tcPr>
            <w:tcW w:w="517" w:type="pct"/>
            <w:shd w:val="clear" w:color="auto" w:fill="auto"/>
            <w:vAlign w:val="center"/>
          </w:tcPr>
          <w:p w14:paraId="3E42B9ED"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priebežne</w:t>
            </w:r>
          </w:p>
        </w:tc>
        <w:tc>
          <w:tcPr>
            <w:tcW w:w="517" w:type="pct"/>
            <w:vAlign w:val="center"/>
          </w:tcPr>
          <w:p w14:paraId="20E39A35" w14:textId="77777777" w:rsidR="00CB16AA" w:rsidRPr="00666914" w:rsidRDefault="00CB16AA" w:rsidP="00985E7A">
            <w:pPr>
              <w:tabs>
                <w:tab w:val="left" w:pos="6237"/>
              </w:tabs>
              <w:jc w:val="center"/>
              <w:rPr>
                <w:sz w:val="20"/>
                <w:szCs w:val="20"/>
              </w:rPr>
            </w:pPr>
            <w:r w:rsidRPr="00666914">
              <w:rPr>
                <w:rFonts w:eastAsia="Times New Roman" w:cs="Calibri"/>
                <w:color w:val="000000"/>
                <w:sz w:val="20"/>
                <w:szCs w:val="20"/>
                <w:lang w:eastAsia="sk-SK"/>
              </w:rPr>
              <w:t>-</w:t>
            </w:r>
          </w:p>
        </w:tc>
        <w:tc>
          <w:tcPr>
            <w:tcW w:w="337" w:type="pct"/>
            <w:shd w:val="clear" w:color="auto" w:fill="92D050"/>
            <w:vAlign w:val="center"/>
          </w:tcPr>
          <w:p w14:paraId="569FA650" w14:textId="77777777" w:rsidR="00CB16AA" w:rsidRPr="00666914" w:rsidRDefault="00CB16AA" w:rsidP="00985E7A">
            <w:pPr>
              <w:tabs>
                <w:tab w:val="left" w:pos="6237"/>
              </w:tabs>
              <w:rPr>
                <w:sz w:val="20"/>
                <w:szCs w:val="20"/>
              </w:rPr>
            </w:pPr>
          </w:p>
        </w:tc>
        <w:tc>
          <w:tcPr>
            <w:tcW w:w="337" w:type="pct"/>
            <w:shd w:val="clear" w:color="auto" w:fill="92D050"/>
            <w:vAlign w:val="center"/>
          </w:tcPr>
          <w:p w14:paraId="45BC3AB5" w14:textId="77777777" w:rsidR="00CB16AA" w:rsidRPr="00666914" w:rsidRDefault="00CB16AA" w:rsidP="00985E7A">
            <w:pPr>
              <w:tabs>
                <w:tab w:val="left" w:pos="6237"/>
              </w:tabs>
              <w:rPr>
                <w:sz w:val="20"/>
                <w:szCs w:val="20"/>
              </w:rPr>
            </w:pPr>
          </w:p>
        </w:tc>
        <w:tc>
          <w:tcPr>
            <w:tcW w:w="337" w:type="pct"/>
            <w:shd w:val="clear" w:color="auto" w:fill="92D050"/>
            <w:vAlign w:val="center"/>
          </w:tcPr>
          <w:p w14:paraId="6124FDF4" w14:textId="77777777" w:rsidR="00CB16AA" w:rsidRPr="00666914" w:rsidRDefault="00CB16AA" w:rsidP="00985E7A">
            <w:pPr>
              <w:tabs>
                <w:tab w:val="left" w:pos="6237"/>
              </w:tabs>
              <w:rPr>
                <w:sz w:val="20"/>
                <w:szCs w:val="20"/>
              </w:rPr>
            </w:pPr>
          </w:p>
        </w:tc>
        <w:tc>
          <w:tcPr>
            <w:tcW w:w="337" w:type="pct"/>
            <w:shd w:val="clear" w:color="auto" w:fill="92D050"/>
            <w:vAlign w:val="center"/>
          </w:tcPr>
          <w:p w14:paraId="632F6F6D" w14:textId="77777777" w:rsidR="00CB16AA" w:rsidRPr="00666914" w:rsidRDefault="00CB16AA" w:rsidP="00985E7A">
            <w:pPr>
              <w:tabs>
                <w:tab w:val="left" w:pos="6237"/>
              </w:tabs>
              <w:rPr>
                <w:sz w:val="20"/>
                <w:szCs w:val="20"/>
              </w:rPr>
            </w:pPr>
          </w:p>
        </w:tc>
      </w:tr>
      <w:tr w:rsidR="00CB16AA" w:rsidRPr="00666914" w14:paraId="5D9E44C6" w14:textId="77777777" w:rsidTr="00254A5B">
        <w:tc>
          <w:tcPr>
            <w:tcW w:w="169" w:type="pct"/>
            <w:vAlign w:val="center"/>
          </w:tcPr>
          <w:p w14:paraId="02FC30AB" w14:textId="77777777" w:rsidR="00CB16AA" w:rsidRPr="00666914" w:rsidRDefault="00CB16AA" w:rsidP="00985E7A">
            <w:pPr>
              <w:tabs>
                <w:tab w:val="left" w:pos="6237"/>
              </w:tabs>
              <w:rPr>
                <w:sz w:val="20"/>
                <w:szCs w:val="20"/>
              </w:rPr>
            </w:pPr>
            <w:r w:rsidRPr="00666914">
              <w:rPr>
                <w:rFonts w:eastAsia="Times New Roman"/>
                <w:bCs/>
                <w:color w:val="000000"/>
                <w:sz w:val="20"/>
                <w:szCs w:val="20"/>
                <w:lang w:eastAsia="sk-SK"/>
              </w:rPr>
              <w:t>3</w:t>
            </w:r>
          </w:p>
        </w:tc>
        <w:tc>
          <w:tcPr>
            <w:tcW w:w="1626" w:type="pct"/>
            <w:vAlign w:val="center"/>
          </w:tcPr>
          <w:p w14:paraId="1FE3D0A3" w14:textId="77777777" w:rsidR="00CB16AA" w:rsidRPr="00666914" w:rsidRDefault="00CB16AA" w:rsidP="00985E7A">
            <w:pPr>
              <w:tabs>
                <w:tab w:val="left" w:pos="6237"/>
              </w:tabs>
              <w:rPr>
                <w:rFonts w:cs="Arial"/>
                <w:sz w:val="20"/>
                <w:szCs w:val="20"/>
              </w:rPr>
            </w:pPr>
            <w:r w:rsidRPr="00666914">
              <w:rPr>
                <w:rFonts w:eastAsia="Times New Roman" w:cs="Calibri"/>
                <w:color w:val="000000"/>
                <w:sz w:val="20"/>
                <w:szCs w:val="20"/>
                <w:lang w:eastAsia="sk-SK"/>
              </w:rPr>
              <w:t>Preskúmať proces EIA vo väzbe na ostatné fázy prípravy projektu s cieľom zefektívniť celý proces</w:t>
            </w:r>
          </w:p>
        </w:tc>
        <w:tc>
          <w:tcPr>
            <w:tcW w:w="823" w:type="pct"/>
            <w:vAlign w:val="center"/>
          </w:tcPr>
          <w:p w14:paraId="01C7BFC2"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MŽP SR </w:t>
            </w:r>
          </w:p>
          <w:p w14:paraId="671424FB"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SCDaPK </w:t>
            </w:r>
          </w:p>
        </w:tc>
        <w:tc>
          <w:tcPr>
            <w:tcW w:w="517" w:type="pct"/>
            <w:shd w:val="clear" w:color="auto" w:fill="auto"/>
            <w:vAlign w:val="center"/>
          </w:tcPr>
          <w:p w14:paraId="0ADB912C" w14:textId="77777777" w:rsidR="00CB16AA" w:rsidRPr="00666914" w:rsidRDefault="00CB16AA" w:rsidP="00985E7A">
            <w:pPr>
              <w:tabs>
                <w:tab w:val="left" w:pos="6237"/>
              </w:tabs>
              <w:rPr>
                <w:sz w:val="20"/>
                <w:szCs w:val="20"/>
              </w:rPr>
            </w:pPr>
          </w:p>
        </w:tc>
        <w:tc>
          <w:tcPr>
            <w:tcW w:w="517" w:type="pct"/>
            <w:vAlign w:val="center"/>
          </w:tcPr>
          <w:p w14:paraId="245D0340" w14:textId="77777777" w:rsidR="00CB16AA" w:rsidRPr="00666914" w:rsidRDefault="00CB16AA" w:rsidP="00985E7A">
            <w:pPr>
              <w:tabs>
                <w:tab w:val="left" w:pos="6237"/>
              </w:tabs>
              <w:jc w:val="center"/>
              <w:rPr>
                <w:sz w:val="20"/>
                <w:szCs w:val="20"/>
              </w:rPr>
            </w:pPr>
            <w:r w:rsidRPr="00666914">
              <w:rPr>
                <w:rFonts w:eastAsia="Times New Roman"/>
                <w:color w:val="000000"/>
                <w:sz w:val="20"/>
                <w:szCs w:val="20"/>
                <w:lang w:eastAsia="sk-SK"/>
              </w:rPr>
              <w:t>03/2019</w:t>
            </w:r>
          </w:p>
        </w:tc>
        <w:tc>
          <w:tcPr>
            <w:tcW w:w="337" w:type="pct"/>
            <w:shd w:val="clear" w:color="auto" w:fill="FFC000"/>
            <w:vAlign w:val="center"/>
          </w:tcPr>
          <w:p w14:paraId="1F5285EB" w14:textId="77777777" w:rsidR="00CB16AA" w:rsidRPr="00666914" w:rsidRDefault="00CB16AA" w:rsidP="00985E7A">
            <w:pPr>
              <w:tabs>
                <w:tab w:val="left" w:pos="6237"/>
              </w:tabs>
              <w:rPr>
                <w:sz w:val="20"/>
                <w:szCs w:val="20"/>
              </w:rPr>
            </w:pPr>
          </w:p>
        </w:tc>
        <w:tc>
          <w:tcPr>
            <w:tcW w:w="337" w:type="pct"/>
            <w:shd w:val="clear" w:color="auto" w:fill="FFC000"/>
            <w:vAlign w:val="center"/>
          </w:tcPr>
          <w:p w14:paraId="3BE84FC7" w14:textId="77777777" w:rsidR="00CB16AA" w:rsidRPr="00666914" w:rsidRDefault="00CB16AA" w:rsidP="00985E7A">
            <w:pPr>
              <w:tabs>
                <w:tab w:val="left" w:pos="6237"/>
              </w:tabs>
              <w:rPr>
                <w:sz w:val="20"/>
                <w:szCs w:val="20"/>
              </w:rPr>
            </w:pPr>
            <w:r w:rsidRPr="00666914">
              <w:rPr>
                <w:rFonts w:eastAsia="Times New Roman"/>
                <w:color w:val="000000"/>
                <w:sz w:val="20"/>
                <w:szCs w:val="20"/>
                <w:lang w:eastAsia="sk-SK"/>
              </w:rPr>
              <w:t> </w:t>
            </w:r>
          </w:p>
        </w:tc>
        <w:tc>
          <w:tcPr>
            <w:tcW w:w="337" w:type="pct"/>
            <w:shd w:val="clear" w:color="auto" w:fill="FFC000"/>
            <w:vAlign w:val="center"/>
          </w:tcPr>
          <w:p w14:paraId="5A49631A" w14:textId="77777777" w:rsidR="00CB16AA" w:rsidRPr="00666914" w:rsidRDefault="00CB16AA" w:rsidP="00985E7A">
            <w:pPr>
              <w:tabs>
                <w:tab w:val="left" w:pos="6237"/>
              </w:tabs>
              <w:rPr>
                <w:sz w:val="20"/>
                <w:szCs w:val="20"/>
              </w:rPr>
            </w:pPr>
          </w:p>
        </w:tc>
        <w:tc>
          <w:tcPr>
            <w:tcW w:w="337" w:type="pct"/>
            <w:shd w:val="clear" w:color="auto" w:fill="FFC000"/>
            <w:vAlign w:val="center"/>
          </w:tcPr>
          <w:p w14:paraId="4C6BC62B" w14:textId="77777777" w:rsidR="00CB16AA" w:rsidRPr="00666914" w:rsidRDefault="00CB16AA" w:rsidP="00985E7A">
            <w:pPr>
              <w:tabs>
                <w:tab w:val="left" w:pos="6237"/>
              </w:tabs>
              <w:rPr>
                <w:sz w:val="20"/>
                <w:szCs w:val="20"/>
              </w:rPr>
            </w:pPr>
          </w:p>
        </w:tc>
      </w:tr>
      <w:tr w:rsidR="00CB16AA" w:rsidRPr="00666914" w14:paraId="448A569D" w14:textId="77777777" w:rsidTr="00254A5B">
        <w:tc>
          <w:tcPr>
            <w:tcW w:w="169" w:type="pct"/>
            <w:vAlign w:val="center"/>
          </w:tcPr>
          <w:p w14:paraId="1BC14203" w14:textId="77777777" w:rsidR="00CB16AA" w:rsidRPr="00666914" w:rsidRDefault="00CB16AA" w:rsidP="00985E7A">
            <w:pPr>
              <w:tabs>
                <w:tab w:val="left" w:pos="6237"/>
              </w:tabs>
              <w:rPr>
                <w:sz w:val="20"/>
                <w:szCs w:val="20"/>
              </w:rPr>
            </w:pPr>
            <w:r w:rsidRPr="00666914">
              <w:rPr>
                <w:rFonts w:eastAsia="Times New Roman"/>
                <w:bCs/>
                <w:color w:val="000000"/>
                <w:sz w:val="20"/>
                <w:szCs w:val="20"/>
                <w:lang w:eastAsia="sk-SK"/>
              </w:rPr>
              <w:t>4</w:t>
            </w:r>
          </w:p>
        </w:tc>
        <w:tc>
          <w:tcPr>
            <w:tcW w:w="1626" w:type="pct"/>
            <w:vAlign w:val="center"/>
          </w:tcPr>
          <w:p w14:paraId="600E3E03"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Prehodnocovať pokračovanie v predprojektovej a projektovej príprave projektov s realizáciou plánovanou až v dlhodobom horizonte 10 r.</w:t>
            </w:r>
          </w:p>
        </w:tc>
        <w:tc>
          <w:tcPr>
            <w:tcW w:w="823" w:type="pct"/>
            <w:vAlign w:val="center"/>
          </w:tcPr>
          <w:p w14:paraId="1D6DD986"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MDV SR </w:t>
            </w:r>
          </w:p>
          <w:p w14:paraId="1A3EBAC1"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SCDaPK </w:t>
            </w:r>
          </w:p>
          <w:p w14:paraId="738F461E"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SŽDaD </w:t>
            </w:r>
          </w:p>
        </w:tc>
        <w:tc>
          <w:tcPr>
            <w:tcW w:w="517" w:type="pct"/>
            <w:shd w:val="clear" w:color="auto" w:fill="auto"/>
            <w:vAlign w:val="center"/>
          </w:tcPr>
          <w:p w14:paraId="5A81DC17"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priebežne</w:t>
            </w:r>
          </w:p>
        </w:tc>
        <w:tc>
          <w:tcPr>
            <w:tcW w:w="517" w:type="pct"/>
            <w:vAlign w:val="center"/>
          </w:tcPr>
          <w:p w14:paraId="42E54D79" w14:textId="77777777" w:rsidR="00CB16AA" w:rsidRPr="00666914" w:rsidRDefault="00CB16AA" w:rsidP="00985E7A">
            <w:pPr>
              <w:tabs>
                <w:tab w:val="left" w:pos="6237"/>
              </w:tabs>
              <w:jc w:val="center"/>
              <w:rPr>
                <w:sz w:val="20"/>
                <w:szCs w:val="20"/>
              </w:rPr>
            </w:pPr>
            <w:r w:rsidRPr="00666914">
              <w:rPr>
                <w:rFonts w:eastAsia="Times New Roman" w:cs="Calibri"/>
                <w:color w:val="000000"/>
                <w:sz w:val="20"/>
                <w:szCs w:val="20"/>
                <w:lang w:eastAsia="sk-SK"/>
              </w:rPr>
              <w:t>-</w:t>
            </w:r>
          </w:p>
        </w:tc>
        <w:tc>
          <w:tcPr>
            <w:tcW w:w="337" w:type="pct"/>
            <w:shd w:val="clear" w:color="auto" w:fill="A6A6A6" w:themeFill="background1" w:themeFillShade="A6"/>
            <w:vAlign w:val="center"/>
          </w:tcPr>
          <w:p w14:paraId="71DA031B" w14:textId="77777777" w:rsidR="00CB16AA" w:rsidRPr="00666914" w:rsidRDefault="00CB16AA" w:rsidP="00985E7A">
            <w:pPr>
              <w:tabs>
                <w:tab w:val="left" w:pos="6237"/>
              </w:tabs>
              <w:rPr>
                <w:sz w:val="20"/>
                <w:szCs w:val="20"/>
              </w:rPr>
            </w:pPr>
          </w:p>
        </w:tc>
        <w:tc>
          <w:tcPr>
            <w:tcW w:w="337" w:type="pct"/>
            <w:shd w:val="clear" w:color="auto" w:fill="FFC000"/>
            <w:vAlign w:val="center"/>
          </w:tcPr>
          <w:p w14:paraId="53B60F14" w14:textId="77777777" w:rsidR="00CB16AA" w:rsidRPr="00666914" w:rsidRDefault="00CB16AA" w:rsidP="00985E7A">
            <w:pPr>
              <w:tabs>
                <w:tab w:val="left" w:pos="6237"/>
              </w:tabs>
              <w:rPr>
                <w:sz w:val="20"/>
                <w:szCs w:val="20"/>
              </w:rPr>
            </w:pPr>
          </w:p>
        </w:tc>
        <w:tc>
          <w:tcPr>
            <w:tcW w:w="337" w:type="pct"/>
            <w:shd w:val="clear" w:color="auto" w:fill="AEAAAA" w:themeFill="background2" w:themeFillShade="BF"/>
            <w:vAlign w:val="center"/>
          </w:tcPr>
          <w:p w14:paraId="0A6D5E3E" w14:textId="77777777" w:rsidR="00CB16AA" w:rsidRPr="00666914" w:rsidRDefault="00CB16AA" w:rsidP="00985E7A">
            <w:pPr>
              <w:tabs>
                <w:tab w:val="left" w:pos="6237"/>
              </w:tabs>
              <w:rPr>
                <w:sz w:val="20"/>
                <w:szCs w:val="20"/>
              </w:rPr>
            </w:pPr>
          </w:p>
        </w:tc>
        <w:tc>
          <w:tcPr>
            <w:tcW w:w="337" w:type="pct"/>
            <w:shd w:val="clear" w:color="auto" w:fill="FFC000"/>
            <w:vAlign w:val="center"/>
          </w:tcPr>
          <w:p w14:paraId="20C51A30" w14:textId="77777777" w:rsidR="00CB16AA" w:rsidRPr="00666914" w:rsidRDefault="00CB16AA" w:rsidP="00985E7A">
            <w:pPr>
              <w:tabs>
                <w:tab w:val="left" w:pos="6237"/>
              </w:tabs>
              <w:rPr>
                <w:sz w:val="20"/>
                <w:szCs w:val="20"/>
              </w:rPr>
            </w:pPr>
          </w:p>
        </w:tc>
      </w:tr>
      <w:tr w:rsidR="00CB16AA" w:rsidRPr="00666914" w14:paraId="2C0525AA" w14:textId="77777777" w:rsidTr="00254A5B">
        <w:tc>
          <w:tcPr>
            <w:tcW w:w="169" w:type="pct"/>
            <w:vAlign w:val="center"/>
          </w:tcPr>
          <w:p w14:paraId="0A29A133" w14:textId="77777777" w:rsidR="00CB16AA" w:rsidRPr="00666914" w:rsidRDefault="00CB16AA" w:rsidP="00985E7A">
            <w:pPr>
              <w:tabs>
                <w:tab w:val="left" w:pos="6237"/>
              </w:tabs>
              <w:rPr>
                <w:sz w:val="20"/>
                <w:szCs w:val="20"/>
              </w:rPr>
            </w:pPr>
            <w:r w:rsidRPr="00666914">
              <w:rPr>
                <w:rFonts w:eastAsia="Times New Roman"/>
                <w:bCs/>
                <w:color w:val="000000"/>
                <w:sz w:val="20"/>
                <w:szCs w:val="20"/>
                <w:lang w:eastAsia="sk-SK"/>
              </w:rPr>
              <w:t>5</w:t>
            </w:r>
          </w:p>
        </w:tc>
        <w:tc>
          <w:tcPr>
            <w:tcW w:w="1626" w:type="pct"/>
            <w:vAlign w:val="center"/>
          </w:tcPr>
          <w:p w14:paraId="7A19E509"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Preskúmať legislatívne možnosti na minimalizáciu so stavbou nesúvisiacich investícií spolu s vyčíslením rozpočtového dopadu</w:t>
            </w:r>
          </w:p>
        </w:tc>
        <w:tc>
          <w:tcPr>
            <w:tcW w:w="823" w:type="pct"/>
            <w:vAlign w:val="center"/>
          </w:tcPr>
          <w:p w14:paraId="4E747D5C"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MDV SR / MF SR </w:t>
            </w:r>
          </w:p>
          <w:p w14:paraId="65FA0C42"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IDP</w:t>
            </w:r>
          </w:p>
        </w:tc>
        <w:tc>
          <w:tcPr>
            <w:tcW w:w="517" w:type="pct"/>
            <w:shd w:val="clear" w:color="auto" w:fill="auto"/>
            <w:vAlign w:val="center"/>
          </w:tcPr>
          <w:p w14:paraId="44B53803"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12/2017</w:t>
            </w:r>
          </w:p>
        </w:tc>
        <w:tc>
          <w:tcPr>
            <w:tcW w:w="517" w:type="pct"/>
            <w:vAlign w:val="center"/>
          </w:tcPr>
          <w:p w14:paraId="7732A47A" w14:textId="77777777" w:rsidR="00CB16AA" w:rsidRPr="00666914" w:rsidRDefault="00CB16AA" w:rsidP="00985E7A">
            <w:pPr>
              <w:tabs>
                <w:tab w:val="left" w:pos="6237"/>
              </w:tabs>
              <w:jc w:val="center"/>
              <w:rPr>
                <w:sz w:val="20"/>
                <w:szCs w:val="20"/>
              </w:rPr>
            </w:pPr>
            <w:r w:rsidRPr="00666914">
              <w:rPr>
                <w:rFonts w:eastAsia="Times New Roman"/>
                <w:color w:val="000000"/>
                <w:sz w:val="20"/>
                <w:szCs w:val="20"/>
                <w:lang w:eastAsia="sk-SK"/>
              </w:rPr>
              <w:t>03/2019</w:t>
            </w:r>
          </w:p>
        </w:tc>
        <w:tc>
          <w:tcPr>
            <w:tcW w:w="337" w:type="pct"/>
            <w:shd w:val="clear" w:color="auto" w:fill="FFC000"/>
            <w:vAlign w:val="center"/>
          </w:tcPr>
          <w:p w14:paraId="6CDCD0E8" w14:textId="77777777" w:rsidR="00CB16AA" w:rsidRPr="00666914" w:rsidRDefault="00CB16AA" w:rsidP="00985E7A">
            <w:pPr>
              <w:tabs>
                <w:tab w:val="left" w:pos="6237"/>
              </w:tabs>
              <w:rPr>
                <w:sz w:val="20"/>
                <w:szCs w:val="20"/>
              </w:rPr>
            </w:pPr>
          </w:p>
        </w:tc>
        <w:tc>
          <w:tcPr>
            <w:tcW w:w="337" w:type="pct"/>
            <w:shd w:val="clear" w:color="auto" w:fill="FFC000"/>
            <w:vAlign w:val="center"/>
          </w:tcPr>
          <w:p w14:paraId="6E474665" w14:textId="77777777" w:rsidR="00CB16AA" w:rsidRPr="00666914" w:rsidRDefault="00CB16AA" w:rsidP="00985E7A">
            <w:pPr>
              <w:tabs>
                <w:tab w:val="left" w:pos="6237"/>
              </w:tabs>
              <w:rPr>
                <w:sz w:val="20"/>
                <w:szCs w:val="20"/>
              </w:rPr>
            </w:pPr>
          </w:p>
        </w:tc>
        <w:tc>
          <w:tcPr>
            <w:tcW w:w="337" w:type="pct"/>
            <w:shd w:val="clear" w:color="auto" w:fill="FFC000"/>
            <w:vAlign w:val="center"/>
          </w:tcPr>
          <w:p w14:paraId="3F64831B" w14:textId="77777777" w:rsidR="00CB16AA" w:rsidRPr="00666914" w:rsidRDefault="00CB16AA" w:rsidP="00985E7A">
            <w:pPr>
              <w:tabs>
                <w:tab w:val="left" w:pos="6237"/>
              </w:tabs>
              <w:rPr>
                <w:sz w:val="20"/>
                <w:szCs w:val="20"/>
              </w:rPr>
            </w:pPr>
          </w:p>
        </w:tc>
        <w:tc>
          <w:tcPr>
            <w:tcW w:w="337" w:type="pct"/>
            <w:shd w:val="clear" w:color="auto" w:fill="FFC000"/>
            <w:vAlign w:val="center"/>
          </w:tcPr>
          <w:p w14:paraId="0E068ABD" w14:textId="77777777" w:rsidR="00CB16AA" w:rsidRPr="00666914" w:rsidRDefault="00CB16AA" w:rsidP="00985E7A">
            <w:pPr>
              <w:tabs>
                <w:tab w:val="left" w:pos="6237"/>
              </w:tabs>
              <w:rPr>
                <w:sz w:val="20"/>
                <w:szCs w:val="20"/>
              </w:rPr>
            </w:pPr>
          </w:p>
        </w:tc>
      </w:tr>
      <w:tr w:rsidR="00CB16AA" w:rsidRPr="00666914" w14:paraId="1C0380FE" w14:textId="77777777" w:rsidTr="00254A5B">
        <w:tc>
          <w:tcPr>
            <w:tcW w:w="169" w:type="pct"/>
            <w:vAlign w:val="center"/>
          </w:tcPr>
          <w:p w14:paraId="5C82BCA7" w14:textId="77777777" w:rsidR="00CB16AA" w:rsidRPr="00666914" w:rsidRDefault="00CB16AA" w:rsidP="00985E7A">
            <w:pPr>
              <w:tabs>
                <w:tab w:val="left" w:pos="6237"/>
              </w:tabs>
              <w:rPr>
                <w:sz w:val="20"/>
                <w:szCs w:val="20"/>
              </w:rPr>
            </w:pPr>
            <w:r w:rsidRPr="00666914">
              <w:rPr>
                <w:rFonts w:eastAsia="Times New Roman"/>
                <w:bCs/>
                <w:color w:val="000000"/>
                <w:sz w:val="20"/>
                <w:szCs w:val="20"/>
                <w:lang w:eastAsia="sk-SK"/>
              </w:rPr>
              <w:t>6</w:t>
            </w:r>
          </w:p>
        </w:tc>
        <w:tc>
          <w:tcPr>
            <w:tcW w:w="1626" w:type="pct"/>
            <w:vAlign w:val="center"/>
          </w:tcPr>
          <w:p w14:paraId="1E8C40F7" w14:textId="77777777" w:rsidR="00CB16AA" w:rsidRPr="00666914" w:rsidRDefault="00CB16AA" w:rsidP="00985E7A">
            <w:pPr>
              <w:rPr>
                <w:sz w:val="20"/>
                <w:szCs w:val="20"/>
              </w:rPr>
            </w:pPr>
            <w:r w:rsidRPr="00666914">
              <w:rPr>
                <w:rFonts w:eastAsia="Times New Roman" w:cs="Calibri"/>
                <w:color w:val="000000"/>
                <w:sz w:val="20"/>
                <w:szCs w:val="20"/>
                <w:lang w:eastAsia="sk-SK"/>
              </w:rPr>
              <w:t>Dôsledne sledovať možnosť maximálneho využitia predchádzajúcich stupňov projektovej dokumentácie</w:t>
            </w:r>
          </w:p>
        </w:tc>
        <w:tc>
          <w:tcPr>
            <w:tcW w:w="823" w:type="pct"/>
            <w:vAlign w:val="center"/>
          </w:tcPr>
          <w:p w14:paraId="05A50599"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MDV SR</w:t>
            </w:r>
          </w:p>
        </w:tc>
        <w:tc>
          <w:tcPr>
            <w:tcW w:w="517" w:type="pct"/>
            <w:shd w:val="clear" w:color="auto" w:fill="auto"/>
            <w:vAlign w:val="center"/>
          </w:tcPr>
          <w:p w14:paraId="26D46519"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priebežne</w:t>
            </w:r>
          </w:p>
        </w:tc>
        <w:tc>
          <w:tcPr>
            <w:tcW w:w="517" w:type="pct"/>
            <w:vAlign w:val="center"/>
          </w:tcPr>
          <w:p w14:paraId="3D37317F" w14:textId="77777777" w:rsidR="00CB16AA" w:rsidRPr="00666914" w:rsidRDefault="00CB16AA" w:rsidP="00985E7A">
            <w:pPr>
              <w:tabs>
                <w:tab w:val="left" w:pos="6237"/>
              </w:tabs>
              <w:jc w:val="center"/>
              <w:rPr>
                <w:sz w:val="20"/>
                <w:szCs w:val="20"/>
              </w:rPr>
            </w:pPr>
            <w:r w:rsidRPr="00666914">
              <w:rPr>
                <w:rFonts w:eastAsia="Times New Roman" w:cs="Calibri"/>
                <w:color w:val="000000"/>
                <w:sz w:val="20"/>
                <w:szCs w:val="20"/>
                <w:lang w:eastAsia="sk-SK"/>
              </w:rPr>
              <w:t>-</w:t>
            </w:r>
          </w:p>
        </w:tc>
        <w:tc>
          <w:tcPr>
            <w:tcW w:w="337" w:type="pct"/>
            <w:shd w:val="clear" w:color="auto" w:fill="A6A6A6" w:themeFill="background1" w:themeFillShade="A6"/>
            <w:vAlign w:val="center"/>
          </w:tcPr>
          <w:p w14:paraId="09729E92" w14:textId="77777777" w:rsidR="00CB16AA" w:rsidRPr="00666914" w:rsidRDefault="00CB16AA" w:rsidP="00985E7A">
            <w:pPr>
              <w:tabs>
                <w:tab w:val="left" w:pos="6237"/>
              </w:tabs>
              <w:rPr>
                <w:sz w:val="20"/>
                <w:szCs w:val="20"/>
              </w:rPr>
            </w:pPr>
          </w:p>
        </w:tc>
        <w:tc>
          <w:tcPr>
            <w:tcW w:w="337" w:type="pct"/>
            <w:shd w:val="clear" w:color="auto" w:fill="92D050"/>
            <w:vAlign w:val="center"/>
          </w:tcPr>
          <w:p w14:paraId="0D39FAD1" w14:textId="77777777" w:rsidR="00CB16AA" w:rsidRPr="00666914" w:rsidRDefault="00CB16AA" w:rsidP="00985E7A">
            <w:pPr>
              <w:tabs>
                <w:tab w:val="left" w:pos="6237"/>
              </w:tabs>
              <w:rPr>
                <w:sz w:val="20"/>
                <w:szCs w:val="20"/>
              </w:rPr>
            </w:pPr>
          </w:p>
        </w:tc>
        <w:tc>
          <w:tcPr>
            <w:tcW w:w="337" w:type="pct"/>
            <w:shd w:val="clear" w:color="auto" w:fill="AEAAAA" w:themeFill="background2" w:themeFillShade="BF"/>
            <w:vAlign w:val="center"/>
          </w:tcPr>
          <w:p w14:paraId="0457EB1D" w14:textId="77777777" w:rsidR="00CB16AA" w:rsidRPr="00666914" w:rsidRDefault="00CB16AA" w:rsidP="00985E7A">
            <w:pPr>
              <w:tabs>
                <w:tab w:val="left" w:pos="6237"/>
              </w:tabs>
              <w:rPr>
                <w:sz w:val="20"/>
                <w:szCs w:val="20"/>
              </w:rPr>
            </w:pPr>
          </w:p>
        </w:tc>
        <w:tc>
          <w:tcPr>
            <w:tcW w:w="337" w:type="pct"/>
            <w:shd w:val="clear" w:color="auto" w:fill="92D050"/>
            <w:vAlign w:val="center"/>
          </w:tcPr>
          <w:p w14:paraId="3BE35A14" w14:textId="77777777" w:rsidR="00CB16AA" w:rsidRPr="00666914" w:rsidRDefault="00CB16AA" w:rsidP="00985E7A">
            <w:pPr>
              <w:tabs>
                <w:tab w:val="left" w:pos="6237"/>
              </w:tabs>
              <w:rPr>
                <w:sz w:val="20"/>
                <w:szCs w:val="20"/>
              </w:rPr>
            </w:pPr>
          </w:p>
        </w:tc>
      </w:tr>
      <w:tr w:rsidR="00CB16AA" w:rsidRPr="00666914" w14:paraId="188D9D6D" w14:textId="77777777" w:rsidTr="00254A5B">
        <w:tc>
          <w:tcPr>
            <w:tcW w:w="169" w:type="pct"/>
            <w:vAlign w:val="center"/>
          </w:tcPr>
          <w:p w14:paraId="4D784DF0" w14:textId="77777777" w:rsidR="00CB16AA" w:rsidRPr="00666914" w:rsidRDefault="00CB16AA" w:rsidP="00985E7A">
            <w:pPr>
              <w:tabs>
                <w:tab w:val="left" w:pos="6237"/>
              </w:tabs>
              <w:rPr>
                <w:rFonts w:eastAsia="Times New Roman"/>
                <w:bCs/>
                <w:color w:val="000000"/>
                <w:sz w:val="20"/>
                <w:szCs w:val="20"/>
                <w:lang w:eastAsia="sk-SK"/>
              </w:rPr>
            </w:pPr>
            <w:r w:rsidRPr="00666914">
              <w:rPr>
                <w:rFonts w:eastAsia="Times New Roman"/>
                <w:bCs/>
                <w:color w:val="000000"/>
                <w:sz w:val="20"/>
                <w:szCs w:val="20"/>
                <w:lang w:eastAsia="sk-SK"/>
              </w:rPr>
              <w:t>7</w:t>
            </w:r>
          </w:p>
        </w:tc>
        <w:tc>
          <w:tcPr>
            <w:tcW w:w="1626" w:type="pct"/>
            <w:vAlign w:val="center"/>
          </w:tcPr>
          <w:p w14:paraId="1B52DCD6"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Skvalitniť interné expertné kapacity objednávateľov v rezorte dopravy na lepšiu formuláciu zadaní, priebežnú a záverečnú kontrolu projektov</w:t>
            </w:r>
          </w:p>
        </w:tc>
        <w:tc>
          <w:tcPr>
            <w:tcW w:w="823" w:type="pct"/>
            <w:vAlign w:val="center"/>
          </w:tcPr>
          <w:p w14:paraId="54EEBFC1"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MDV SR </w:t>
            </w:r>
          </w:p>
          <w:p w14:paraId="663F29ED"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IDP </w:t>
            </w:r>
          </w:p>
        </w:tc>
        <w:tc>
          <w:tcPr>
            <w:tcW w:w="517" w:type="pct"/>
            <w:shd w:val="clear" w:color="auto" w:fill="auto"/>
            <w:vAlign w:val="center"/>
          </w:tcPr>
          <w:p w14:paraId="203848A2" w14:textId="77777777" w:rsidR="00CB16AA" w:rsidRPr="00666914" w:rsidRDefault="00CB16AA" w:rsidP="00985E7A">
            <w:pPr>
              <w:tabs>
                <w:tab w:val="left" w:pos="6237"/>
              </w:tabs>
              <w:rPr>
                <w:rFonts w:eastAsia="Times New Roman" w:cs="Calibri"/>
                <w:color w:val="000000"/>
                <w:sz w:val="20"/>
                <w:szCs w:val="20"/>
                <w:lang w:eastAsia="sk-SK"/>
              </w:rPr>
            </w:pPr>
            <w:r w:rsidRPr="00666914">
              <w:rPr>
                <w:rFonts w:eastAsia="Times New Roman" w:cs="Calibri"/>
                <w:color w:val="000000"/>
                <w:sz w:val="20"/>
                <w:szCs w:val="20"/>
                <w:lang w:eastAsia="sk-SK"/>
              </w:rPr>
              <w:t>12/2017</w:t>
            </w:r>
          </w:p>
        </w:tc>
        <w:tc>
          <w:tcPr>
            <w:tcW w:w="517" w:type="pct"/>
            <w:vAlign w:val="center"/>
          </w:tcPr>
          <w:p w14:paraId="2A473908" w14:textId="77777777" w:rsidR="00CB16AA" w:rsidRPr="00666914" w:rsidRDefault="00CB16AA" w:rsidP="00985E7A">
            <w:pPr>
              <w:tabs>
                <w:tab w:val="left" w:pos="6237"/>
              </w:tabs>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37" w:type="pct"/>
            <w:shd w:val="clear" w:color="auto" w:fill="A6A6A6" w:themeFill="background1" w:themeFillShade="A6"/>
            <w:vAlign w:val="center"/>
          </w:tcPr>
          <w:p w14:paraId="0963BB01" w14:textId="77777777" w:rsidR="00CB16AA" w:rsidRPr="00666914" w:rsidRDefault="00CB16AA" w:rsidP="00985E7A">
            <w:pPr>
              <w:tabs>
                <w:tab w:val="left" w:pos="6237"/>
              </w:tabs>
              <w:rPr>
                <w:sz w:val="20"/>
                <w:szCs w:val="20"/>
              </w:rPr>
            </w:pPr>
          </w:p>
        </w:tc>
        <w:tc>
          <w:tcPr>
            <w:tcW w:w="337" w:type="pct"/>
            <w:shd w:val="clear" w:color="auto" w:fill="FF0000"/>
            <w:vAlign w:val="bottom"/>
          </w:tcPr>
          <w:p w14:paraId="5209D9B2" w14:textId="77777777" w:rsidR="00CB16AA" w:rsidRPr="00666914" w:rsidRDefault="00CB16AA" w:rsidP="00985E7A">
            <w:pPr>
              <w:tabs>
                <w:tab w:val="left" w:pos="6237"/>
              </w:tabs>
              <w:rPr>
                <w:sz w:val="20"/>
                <w:szCs w:val="20"/>
              </w:rPr>
            </w:pPr>
            <w:r w:rsidRPr="00666914">
              <w:rPr>
                <w:rFonts w:eastAsia="Times New Roman"/>
                <w:color w:val="000000"/>
                <w:sz w:val="20"/>
                <w:szCs w:val="20"/>
                <w:lang w:eastAsia="sk-SK"/>
              </w:rPr>
              <w:t> </w:t>
            </w:r>
          </w:p>
        </w:tc>
        <w:tc>
          <w:tcPr>
            <w:tcW w:w="337" w:type="pct"/>
            <w:shd w:val="clear" w:color="auto" w:fill="AEAAAA" w:themeFill="background2" w:themeFillShade="BF"/>
            <w:vAlign w:val="bottom"/>
          </w:tcPr>
          <w:p w14:paraId="5EF174AD" w14:textId="77777777" w:rsidR="00CB16AA" w:rsidRPr="00666914" w:rsidRDefault="00CB16AA" w:rsidP="00985E7A">
            <w:pPr>
              <w:tabs>
                <w:tab w:val="left" w:pos="6237"/>
              </w:tabs>
              <w:rPr>
                <w:sz w:val="20"/>
                <w:szCs w:val="20"/>
              </w:rPr>
            </w:pPr>
            <w:r w:rsidRPr="00666914">
              <w:rPr>
                <w:rFonts w:eastAsia="Times New Roman"/>
                <w:color w:val="000000"/>
                <w:sz w:val="20"/>
                <w:szCs w:val="20"/>
                <w:lang w:eastAsia="sk-SK"/>
              </w:rPr>
              <w:t> </w:t>
            </w:r>
          </w:p>
        </w:tc>
        <w:tc>
          <w:tcPr>
            <w:tcW w:w="337" w:type="pct"/>
            <w:shd w:val="clear" w:color="auto" w:fill="FFC000"/>
            <w:vAlign w:val="center"/>
          </w:tcPr>
          <w:p w14:paraId="70160A14" w14:textId="77777777" w:rsidR="00CB16AA" w:rsidRPr="00666914" w:rsidRDefault="00CB16AA" w:rsidP="00985E7A">
            <w:pPr>
              <w:tabs>
                <w:tab w:val="left" w:pos="6237"/>
              </w:tabs>
              <w:rPr>
                <w:sz w:val="20"/>
                <w:szCs w:val="20"/>
              </w:rPr>
            </w:pPr>
          </w:p>
        </w:tc>
      </w:tr>
      <w:tr w:rsidR="00CB16AA" w:rsidRPr="00666914" w14:paraId="2324867A" w14:textId="77777777" w:rsidTr="00254A5B">
        <w:tc>
          <w:tcPr>
            <w:tcW w:w="169" w:type="pct"/>
            <w:vAlign w:val="center"/>
          </w:tcPr>
          <w:p w14:paraId="0BDD1154" w14:textId="77777777" w:rsidR="00CB16AA" w:rsidRPr="00666914" w:rsidRDefault="00CB16AA" w:rsidP="00985E7A">
            <w:pPr>
              <w:tabs>
                <w:tab w:val="left" w:pos="6237"/>
              </w:tabs>
              <w:rPr>
                <w:rFonts w:eastAsia="Times New Roman"/>
                <w:bCs/>
                <w:color w:val="000000"/>
                <w:sz w:val="20"/>
                <w:szCs w:val="20"/>
                <w:lang w:eastAsia="sk-SK"/>
              </w:rPr>
            </w:pPr>
            <w:r w:rsidRPr="00666914">
              <w:rPr>
                <w:rFonts w:eastAsia="Times New Roman"/>
                <w:bCs/>
                <w:color w:val="000000"/>
                <w:sz w:val="20"/>
                <w:szCs w:val="20"/>
                <w:lang w:eastAsia="sk-SK"/>
              </w:rPr>
              <w:t>8</w:t>
            </w:r>
          </w:p>
        </w:tc>
        <w:tc>
          <w:tcPr>
            <w:tcW w:w="1626" w:type="pct"/>
            <w:vAlign w:val="center"/>
          </w:tcPr>
          <w:p w14:paraId="3AEE75DE"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Poskytovať verejnosti relevantné podklady o pripravovaných investičných projektoch</w:t>
            </w:r>
          </w:p>
        </w:tc>
        <w:tc>
          <w:tcPr>
            <w:tcW w:w="823" w:type="pct"/>
            <w:vAlign w:val="center"/>
          </w:tcPr>
          <w:p w14:paraId="692CA1E2"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MDV SR </w:t>
            </w:r>
          </w:p>
          <w:p w14:paraId="704B4BF1"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SRP </w:t>
            </w:r>
          </w:p>
        </w:tc>
        <w:tc>
          <w:tcPr>
            <w:tcW w:w="517" w:type="pct"/>
            <w:shd w:val="clear" w:color="auto" w:fill="auto"/>
            <w:vAlign w:val="center"/>
          </w:tcPr>
          <w:p w14:paraId="13AD4B86" w14:textId="77777777" w:rsidR="00CB16AA" w:rsidRPr="00666914" w:rsidRDefault="00CB16AA" w:rsidP="00985E7A">
            <w:pPr>
              <w:tabs>
                <w:tab w:val="left" w:pos="6237"/>
              </w:tabs>
              <w:rPr>
                <w:rFonts w:eastAsia="Times New Roman" w:cs="Calibri"/>
                <w:color w:val="000000"/>
                <w:sz w:val="20"/>
                <w:szCs w:val="20"/>
                <w:lang w:eastAsia="sk-SK"/>
              </w:rPr>
            </w:pPr>
            <w:r w:rsidRPr="00666914">
              <w:rPr>
                <w:rFonts w:eastAsia="Times New Roman" w:cs="Calibri"/>
                <w:color w:val="000000"/>
                <w:sz w:val="20"/>
                <w:szCs w:val="20"/>
                <w:lang w:eastAsia="sk-SK"/>
              </w:rPr>
              <w:t>priebežne</w:t>
            </w:r>
          </w:p>
        </w:tc>
        <w:tc>
          <w:tcPr>
            <w:tcW w:w="517" w:type="pct"/>
            <w:vAlign w:val="center"/>
          </w:tcPr>
          <w:p w14:paraId="7A37079A" w14:textId="77777777" w:rsidR="00CB16AA" w:rsidRPr="00666914" w:rsidRDefault="00CB16AA" w:rsidP="00985E7A">
            <w:pPr>
              <w:tabs>
                <w:tab w:val="left" w:pos="6237"/>
              </w:tabs>
              <w:jc w:val="center"/>
              <w:rPr>
                <w:rFonts w:eastAsia="Times New Roman" w:cs="Calibri"/>
                <w:color w:val="000000"/>
                <w:sz w:val="20"/>
                <w:szCs w:val="20"/>
                <w:lang w:eastAsia="sk-SK"/>
              </w:rPr>
            </w:pPr>
            <w:r w:rsidRPr="00666914">
              <w:rPr>
                <w:rFonts w:eastAsia="Times New Roman"/>
                <w:color w:val="000000"/>
                <w:sz w:val="20"/>
                <w:szCs w:val="20"/>
                <w:lang w:eastAsia="sk-SK"/>
              </w:rPr>
              <w:t>12/2019</w:t>
            </w:r>
          </w:p>
        </w:tc>
        <w:tc>
          <w:tcPr>
            <w:tcW w:w="337" w:type="pct"/>
            <w:shd w:val="clear" w:color="auto" w:fill="92D050"/>
            <w:vAlign w:val="center"/>
          </w:tcPr>
          <w:p w14:paraId="2C2B9A6E" w14:textId="77777777" w:rsidR="00CB16AA" w:rsidRPr="00666914" w:rsidRDefault="00CB16AA" w:rsidP="00985E7A">
            <w:pPr>
              <w:tabs>
                <w:tab w:val="left" w:pos="6237"/>
              </w:tabs>
              <w:rPr>
                <w:sz w:val="20"/>
                <w:szCs w:val="20"/>
              </w:rPr>
            </w:pPr>
          </w:p>
        </w:tc>
        <w:tc>
          <w:tcPr>
            <w:tcW w:w="337" w:type="pct"/>
            <w:shd w:val="clear" w:color="auto" w:fill="92D050"/>
            <w:vAlign w:val="center"/>
          </w:tcPr>
          <w:p w14:paraId="1FD02EA0" w14:textId="77777777" w:rsidR="00CB16AA" w:rsidRPr="00666914" w:rsidRDefault="00CB16AA" w:rsidP="00985E7A">
            <w:pPr>
              <w:tabs>
                <w:tab w:val="left" w:pos="6237"/>
              </w:tabs>
              <w:rPr>
                <w:sz w:val="20"/>
                <w:szCs w:val="20"/>
              </w:rPr>
            </w:pPr>
          </w:p>
        </w:tc>
        <w:tc>
          <w:tcPr>
            <w:tcW w:w="337" w:type="pct"/>
            <w:shd w:val="clear" w:color="auto" w:fill="92D050"/>
            <w:vAlign w:val="center"/>
          </w:tcPr>
          <w:p w14:paraId="1099809A" w14:textId="77777777" w:rsidR="00CB16AA" w:rsidRPr="00666914" w:rsidRDefault="00CB16AA" w:rsidP="00985E7A">
            <w:pPr>
              <w:tabs>
                <w:tab w:val="left" w:pos="6237"/>
              </w:tabs>
              <w:rPr>
                <w:sz w:val="20"/>
                <w:szCs w:val="20"/>
              </w:rPr>
            </w:pPr>
          </w:p>
        </w:tc>
        <w:tc>
          <w:tcPr>
            <w:tcW w:w="337" w:type="pct"/>
            <w:shd w:val="clear" w:color="auto" w:fill="92D050"/>
            <w:vAlign w:val="center"/>
          </w:tcPr>
          <w:p w14:paraId="6BE74A91" w14:textId="77777777" w:rsidR="00CB16AA" w:rsidRPr="00666914" w:rsidRDefault="00CB16AA" w:rsidP="00985E7A">
            <w:pPr>
              <w:tabs>
                <w:tab w:val="left" w:pos="6237"/>
              </w:tabs>
              <w:rPr>
                <w:sz w:val="20"/>
                <w:szCs w:val="20"/>
              </w:rPr>
            </w:pPr>
          </w:p>
        </w:tc>
      </w:tr>
    </w:tbl>
    <w:p w14:paraId="4B47BC14" w14:textId="77777777" w:rsidR="00CB16AA" w:rsidRPr="00666914" w:rsidRDefault="00CB16AA" w:rsidP="00985E7A">
      <w:pPr>
        <w:spacing w:after="0"/>
        <w:rPr>
          <w:b/>
          <w:u w:val="single"/>
        </w:rPr>
      </w:pPr>
    </w:p>
    <w:p w14:paraId="1A07293A" w14:textId="77777777" w:rsidR="00CB16AA" w:rsidRPr="00666914" w:rsidRDefault="00CB16AA" w:rsidP="00312C28">
      <w:pPr>
        <w:pStyle w:val="Odsekzoznamu"/>
        <w:numPr>
          <w:ilvl w:val="0"/>
          <w:numId w:val="34"/>
        </w:numPr>
        <w:rPr>
          <w:b/>
          <w:u w:val="single"/>
        </w:rPr>
      </w:pPr>
      <w:r w:rsidRPr="00666914">
        <w:rPr>
          <w:b/>
          <w:u w:val="single"/>
        </w:rPr>
        <w:t>Pre nové investičné projekty nad 20 mil. eur v rámci prípravy zadania štúdie realizovateľnosti posúdiť vhodnosť aplikácie multimodálnych variantov a vykonať takéto posúdenie</w:t>
      </w:r>
    </w:p>
    <w:p w14:paraId="1FC5675F" w14:textId="77777777" w:rsidR="00CB16AA" w:rsidRPr="00666914" w:rsidRDefault="00CB16AA" w:rsidP="00985E7A">
      <w:r w:rsidRPr="00666914">
        <w:t>"Metodický rámec pre vypracovanie štúdie uskutočniteľnosti</w:t>
      </w:r>
      <w:r w:rsidRPr="00666914">
        <w:rPr>
          <w:rStyle w:val="Odkaznapoznmkupodiarou"/>
        </w:rPr>
        <w:footnoteReference w:id="60"/>
      </w:r>
      <w:r w:rsidRPr="00666914">
        <w:t>", ktorý stanovuje postup pri posudzovaní projektových alternatív na začiatku prípravy projektu, je v platnosti od 11/2018. V súvislosti s multimodálnym posudzovaním zdôrazňuje, že výber najvhodnejšieho módu alebo kombinácie módov by sa mal stanoviť v strategickom dokumente – investičnom pláne, ktorého súčasťou by mal byť predovšetkým kvalitný multimodálny dopravný model. Alternatívou je spracovanie tzv. predbežnej štúdie uskutočniteľnosti, čo by sa však malo diať iba výnimočne.</w:t>
      </w:r>
    </w:p>
    <w:p w14:paraId="731B5E0F" w14:textId="77777777" w:rsidR="00CB16AA" w:rsidRPr="00666914" w:rsidRDefault="00CB16AA" w:rsidP="00985E7A">
      <w:pPr>
        <w:contextualSpacing/>
      </w:pPr>
      <w:r w:rsidRPr="00666914">
        <w:t xml:space="preserve">Aj keď bol daný metodický rámec vydaný primárne pre eurofondové projekty, na základe odporúčania IJ sa ním riadia od roku 2019 všetky nové investičné projekty nad 20 mil. eur bez ohľadu na zdroj financovania. IJ zároveň pozitívne </w:t>
      </w:r>
      <w:r w:rsidRPr="00666914">
        <w:lastRenderedPageBreak/>
        <w:t>hodnotí skutočnosť, že v 3Q2019 MDV SR upozornilo rezortné organizácie na dodržiavanie rámca na základe odporúčania IJ aj formálne listom.</w:t>
      </w:r>
    </w:p>
    <w:p w14:paraId="7BF44847" w14:textId="77777777" w:rsidR="00CB16AA" w:rsidRPr="00666914" w:rsidRDefault="00CB16AA" w:rsidP="00985E7A">
      <w:pPr>
        <w:contextualSpacing/>
      </w:pPr>
    </w:p>
    <w:p w14:paraId="6585BC1C" w14:textId="77777777" w:rsidR="00CB16AA" w:rsidRPr="00666914" w:rsidRDefault="00CB16AA" w:rsidP="00985E7A">
      <w:pPr>
        <w:contextualSpacing/>
        <w:rPr>
          <w:b/>
        </w:rPr>
      </w:pPr>
      <w:r w:rsidRPr="00666914">
        <w:t xml:space="preserve">V 2H2019 nebol pripravovaný žiaden nový investičný projekt nad 20 mil. eur. </w:t>
      </w:r>
      <w:r w:rsidRPr="00666914">
        <w:rPr>
          <w:b/>
        </w:rPr>
        <w:t>Opatrenie sa k 31.12.2019 nevyhodnocuje.</w:t>
      </w:r>
    </w:p>
    <w:p w14:paraId="2F712A24" w14:textId="77777777" w:rsidR="00CB16AA" w:rsidRPr="00666914" w:rsidRDefault="00CB16AA" w:rsidP="00985E7A">
      <w:pPr>
        <w:contextualSpacing/>
      </w:pPr>
    </w:p>
    <w:p w14:paraId="236A6E7D" w14:textId="373D6E8D" w:rsidR="00CB16AA" w:rsidRPr="00666914" w:rsidRDefault="00CB16AA" w:rsidP="00985E7A">
      <w:pPr>
        <w:pBdr>
          <w:bottom w:val="single" w:sz="4" w:space="1" w:color="auto"/>
        </w:pBdr>
        <w:spacing w:after="0"/>
      </w:pPr>
      <w:bookmarkStart w:id="188" w:name="_Toc21522782"/>
      <w:bookmarkStart w:id="189" w:name="_Toc38447685"/>
      <w:r w:rsidRPr="00666914">
        <w:rPr>
          <w:b/>
          <w:sz w:val="20"/>
          <w:szCs w:val="20"/>
        </w:rPr>
        <w:t xml:space="preserve">Tabuľka </w:t>
      </w:r>
      <w:r w:rsidRPr="00666914">
        <w:rPr>
          <w:b/>
          <w:sz w:val="20"/>
          <w:szCs w:val="20"/>
        </w:rPr>
        <w:fldChar w:fldCharType="begin"/>
      </w:r>
      <w:r w:rsidRPr="00666914">
        <w:rPr>
          <w:b/>
          <w:sz w:val="20"/>
          <w:szCs w:val="20"/>
        </w:rPr>
        <w:instrText xml:space="preserve"> SEQ Tabuľka \* ARABIC \* MERGEFORMAT </w:instrText>
      </w:r>
      <w:r w:rsidRPr="00666914">
        <w:rPr>
          <w:b/>
          <w:sz w:val="20"/>
          <w:szCs w:val="20"/>
        </w:rPr>
        <w:fldChar w:fldCharType="separate"/>
      </w:r>
      <w:r w:rsidR="005A7304">
        <w:rPr>
          <w:b/>
          <w:noProof/>
          <w:sz w:val="20"/>
          <w:szCs w:val="20"/>
        </w:rPr>
        <w:t>24</w:t>
      </w:r>
      <w:r w:rsidRPr="00666914">
        <w:rPr>
          <w:b/>
          <w:sz w:val="20"/>
          <w:szCs w:val="20"/>
        </w:rPr>
        <w:fldChar w:fldCharType="end"/>
      </w:r>
      <w:r w:rsidRPr="00666914">
        <w:rPr>
          <w:b/>
          <w:sz w:val="20"/>
          <w:szCs w:val="20"/>
        </w:rPr>
        <w:t>: Zoznam nových investičných projektov nad 20 mil. eur a ich stav k 31.12.2019</w:t>
      </w:r>
      <w:bookmarkEnd w:id="188"/>
      <w:bookmarkEnd w:id="189"/>
      <w:r w:rsidRPr="00666914">
        <w:t xml:space="preserve"> </w:t>
      </w:r>
    </w:p>
    <w:tbl>
      <w:tblPr>
        <w:tblW w:w="5000" w:type="pct"/>
        <w:tblCellMar>
          <w:left w:w="70" w:type="dxa"/>
          <w:right w:w="70" w:type="dxa"/>
        </w:tblCellMar>
        <w:tblLook w:val="04A0" w:firstRow="1" w:lastRow="0" w:firstColumn="1" w:lastColumn="0" w:noHBand="0" w:noVBand="1"/>
      </w:tblPr>
      <w:tblGrid>
        <w:gridCol w:w="1113"/>
        <w:gridCol w:w="3157"/>
        <w:gridCol w:w="1369"/>
        <w:gridCol w:w="2327"/>
        <w:gridCol w:w="1248"/>
      </w:tblGrid>
      <w:tr w:rsidR="00CB16AA" w:rsidRPr="00666914" w14:paraId="221EE933" w14:textId="77777777" w:rsidTr="00666914">
        <w:trPr>
          <w:trHeight w:val="549"/>
        </w:trPr>
        <w:tc>
          <w:tcPr>
            <w:tcW w:w="604" w:type="pct"/>
            <w:tcBorders>
              <w:top w:val="nil"/>
              <w:left w:val="nil"/>
              <w:bottom w:val="single" w:sz="4" w:space="0" w:color="auto"/>
              <w:right w:val="nil"/>
            </w:tcBorders>
            <w:shd w:val="clear" w:color="000000" w:fill="FFFFFF"/>
            <w:vAlign w:val="bottom"/>
            <w:hideMark/>
          </w:tcPr>
          <w:p w14:paraId="451D68DB" w14:textId="77777777" w:rsidR="00CB16AA" w:rsidRPr="00666914" w:rsidRDefault="00CB16AA" w:rsidP="00985E7A">
            <w:pPr>
              <w:spacing w:after="0"/>
              <w:jc w:val="center"/>
              <w:rPr>
                <w:rFonts w:eastAsia="Times New Roman" w:cs="Calibri"/>
                <w:b/>
                <w:bCs/>
                <w:sz w:val="20"/>
                <w:szCs w:val="20"/>
                <w:lang w:eastAsia="sk-SK"/>
              </w:rPr>
            </w:pPr>
            <w:r w:rsidRPr="00666914">
              <w:rPr>
                <w:rFonts w:eastAsia="Times New Roman" w:cs="Calibri"/>
                <w:b/>
                <w:bCs/>
                <w:sz w:val="20"/>
                <w:szCs w:val="20"/>
                <w:lang w:eastAsia="sk-SK"/>
              </w:rPr>
              <w:t>Organizácia</w:t>
            </w:r>
          </w:p>
        </w:tc>
        <w:tc>
          <w:tcPr>
            <w:tcW w:w="1713" w:type="pct"/>
            <w:tcBorders>
              <w:top w:val="nil"/>
              <w:left w:val="nil"/>
              <w:bottom w:val="single" w:sz="4" w:space="0" w:color="auto"/>
              <w:right w:val="nil"/>
            </w:tcBorders>
            <w:shd w:val="clear" w:color="000000" w:fill="FFFFFF"/>
            <w:vAlign w:val="bottom"/>
            <w:hideMark/>
          </w:tcPr>
          <w:p w14:paraId="144C8349" w14:textId="77777777" w:rsidR="00CB16AA" w:rsidRPr="00666914" w:rsidRDefault="00CB16AA" w:rsidP="00985E7A">
            <w:pPr>
              <w:spacing w:after="0"/>
              <w:jc w:val="center"/>
              <w:rPr>
                <w:rFonts w:eastAsia="Times New Roman" w:cs="Calibri"/>
                <w:b/>
                <w:bCs/>
                <w:sz w:val="20"/>
                <w:szCs w:val="20"/>
                <w:lang w:eastAsia="sk-SK"/>
              </w:rPr>
            </w:pPr>
            <w:r w:rsidRPr="00666914">
              <w:rPr>
                <w:rFonts w:eastAsia="Times New Roman" w:cs="Calibri"/>
                <w:b/>
                <w:bCs/>
                <w:sz w:val="20"/>
                <w:szCs w:val="20"/>
                <w:lang w:eastAsia="sk-SK"/>
              </w:rPr>
              <w:t>Pripravovaný investičný projekt</w:t>
            </w:r>
          </w:p>
        </w:tc>
        <w:tc>
          <w:tcPr>
            <w:tcW w:w="743" w:type="pct"/>
            <w:tcBorders>
              <w:top w:val="nil"/>
              <w:left w:val="nil"/>
              <w:bottom w:val="single" w:sz="4" w:space="0" w:color="auto"/>
              <w:right w:val="nil"/>
            </w:tcBorders>
            <w:shd w:val="clear" w:color="000000" w:fill="FFFFFF"/>
            <w:vAlign w:val="bottom"/>
            <w:hideMark/>
          </w:tcPr>
          <w:p w14:paraId="5655464F" w14:textId="77777777" w:rsidR="00CB16AA" w:rsidRPr="00666914" w:rsidRDefault="00CB16AA" w:rsidP="00985E7A">
            <w:pPr>
              <w:spacing w:after="0"/>
              <w:jc w:val="center"/>
              <w:rPr>
                <w:rFonts w:eastAsia="Times New Roman" w:cs="Calibri"/>
                <w:b/>
                <w:bCs/>
                <w:sz w:val="20"/>
                <w:szCs w:val="20"/>
                <w:lang w:eastAsia="sk-SK"/>
              </w:rPr>
            </w:pPr>
            <w:r w:rsidRPr="00666914">
              <w:rPr>
                <w:rFonts w:eastAsia="Times New Roman" w:cs="Calibri"/>
                <w:b/>
                <w:bCs/>
                <w:sz w:val="20"/>
                <w:szCs w:val="20"/>
                <w:lang w:eastAsia="sk-SK"/>
              </w:rPr>
              <w:t>Predpokladaná hodnota (mil. eur)</w:t>
            </w:r>
          </w:p>
        </w:tc>
        <w:tc>
          <w:tcPr>
            <w:tcW w:w="1263" w:type="pct"/>
            <w:tcBorders>
              <w:top w:val="nil"/>
              <w:left w:val="nil"/>
              <w:bottom w:val="single" w:sz="4" w:space="0" w:color="auto"/>
              <w:right w:val="nil"/>
            </w:tcBorders>
            <w:shd w:val="clear" w:color="000000" w:fill="FFFFFF"/>
            <w:vAlign w:val="bottom"/>
            <w:hideMark/>
          </w:tcPr>
          <w:p w14:paraId="207726C8" w14:textId="77777777" w:rsidR="00CB16AA" w:rsidRPr="00666914" w:rsidRDefault="00CB16AA" w:rsidP="00985E7A">
            <w:pPr>
              <w:spacing w:after="0"/>
              <w:jc w:val="center"/>
              <w:rPr>
                <w:rFonts w:eastAsia="Times New Roman" w:cs="Calibri"/>
                <w:b/>
                <w:bCs/>
                <w:sz w:val="20"/>
                <w:szCs w:val="20"/>
                <w:lang w:eastAsia="sk-SK"/>
              </w:rPr>
            </w:pPr>
            <w:r w:rsidRPr="00666914">
              <w:rPr>
                <w:rFonts w:eastAsia="Times New Roman" w:cs="Calibri"/>
                <w:b/>
                <w:bCs/>
                <w:sz w:val="20"/>
                <w:szCs w:val="20"/>
                <w:lang w:eastAsia="sk-SK"/>
              </w:rPr>
              <w:t>Popis</w:t>
            </w:r>
          </w:p>
        </w:tc>
        <w:tc>
          <w:tcPr>
            <w:tcW w:w="677" w:type="pct"/>
            <w:tcBorders>
              <w:top w:val="nil"/>
              <w:left w:val="nil"/>
              <w:bottom w:val="single" w:sz="4" w:space="0" w:color="auto"/>
              <w:right w:val="nil"/>
            </w:tcBorders>
            <w:shd w:val="clear" w:color="000000" w:fill="FFFFFF"/>
            <w:vAlign w:val="bottom"/>
            <w:hideMark/>
          </w:tcPr>
          <w:p w14:paraId="16179795" w14:textId="77777777" w:rsidR="00CB16AA" w:rsidRPr="00666914" w:rsidRDefault="00CB16AA" w:rsidP="00985E7A">
            <w:pPr>
              <w:spacing w:after="0"/>
              <w:jc w:val="center"/>
              <w:rPr>
                <w:rFonts w:eastAsia="Times New Roman" w:cs="Calibri"/>
                <w:b/>
                <w:bCs/>
                <w:sz w:val="20"/>
                <w:szCs w:val="20"/>
                <w:lang w:eastAsia="sk-SK"/>
              </w:rPr>
            </w:pPr>
            <w:r w:rsidRPr="00666914">
              <w:rPr>
                <w:rFonts w:eastAsia="Times New Roman" w:cs="Calibri"/>
                <w:b/>
                <w:bCs/>
                <w:sz w:val="20"/>
                <w:szCs w:val="20"/>
                <w:lang w:eastAsia="sk-SK"/>
              </w:rPr>
              <w:t>Multimodálne hodnotenie</w:t>
            </w:r>
          </w:p>
        </w:tc>
      </w:tr>
      <w:tr w:rsidR="00CB16AA" w:rsidRPr="00666914" w14:paraId="269E26FA" w14:textId="77777777" w:rsidTr="00666914">
        <w:trPr>
          <w:trHeight w:val="305"/>
        </w:trPr>
        <w:tc>
          <w:tcPr>
            <w:tcW w:w="604" w:type="pct"/>
            <w:tcBorders>
              <w:top w:val="single" w:sz="4" w:space="0" w:color="auto"/>
              <w:left w:val="nil"/>
              <w:bottom w:val="single" w:sz="4" w:space="0" w:color="auto"/>
              <w:right w:val="nil"/>
            </w:tcBorders>
            <w:shd w:val="clear" w:color="000000" w:fill="FFFFFF"/>
            <w:vAlign w:val="center"/>
            <w:hideMark/>
          </w:tcPr>
          <w:p w14:paraId="16E51A9A"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 </w:t>
            </w:r>
          </w:p>
        </w:tc>
        <w:tc>
          <w:tcPr>
            <w:tcW w:w="1713" w:type="pct"/>
            <w:tcBorders>
              <w:top w:val="single" w:sz="4" w:space="0" w:color="auto"/>
              <w:left w:val="nil"/>
              <w:bottom w:val="single" w:sz="4" w:space="0" w:color="auto"/>
              <w:right w:val="nil"/>
            </w:tcBorders>
            <w:shd w:val="clear" w:color="000000" w:fill="FFFFFF"/>
            <w:vAlign w:val="center"/>
            <w:hideMark/>
          </w:tcPr>
          <w:p w14:paraId="6E3A4DF3" w14:textId="77777777" w:rsidR="00CB16AA" w:rsidRPr="00666914" w:rsidRDefault="00CB16AA" w:rsidP="00985E7A">
            <w:pPr>
              <w:spacing w:after="0"/>
              <w:jc w:val="center"/>
              <w:rPr>
                <w:rFonts w:eastAsia="Times New Roman" w:cs="Calibri"/>
                <w:b/>
                <w:bCs/>
                <w:i/>
                <w:iCs/>
                <w:sz w:val="20"/>
                <w:szCs w:val="20"/>
                <w:lang w:eastAsia="sk-SK"/>
              </w:rPr>
            </w:pPr>
            <w:r w:rsidRPr="00666914">
              <w:rPr>
                <w:rFonts w:eastAsia="Times New Roman" w:cs="Calibri"/>
                <w:b/>
                <w:bCs/>
                <w:i/>
                <w:iCs/>
                <w:sz w:val="20"/>
                <w:szCs w:val="20"/>
                <w:lang w:eastAsia="sk-SK"/>
              </w:rPr>
              <w:t>Pred platnosťou metodiky</w:t>
            </w:r>
          </w:p>
        </w:tc>
        <w:tc>
          <w:tcPr>
            <w:tcW w:w="743" w:type="pct"/>
            <w:tcBorders>
              <w:top w:val="single" w:sz="4" w:space="0" w:color="auto"/>
              <w:left w:val="nil"/>
              <w:bottom w:val="single" w:sz="4" w:space="0" w:color="auto"/>
              <w:right w:val="nil"/>
            </w:tcBorders>
            <w:shd w:val="clear" w:color="000000" w:fill="FFFFFF"/>
            <w:vAlign w:val="center"/>
            <w:hideMark/>
          </w:tcPr>
          <w:p w14:paraId="4DCD5278" w14:textId="77777777" w:rsidR="00CB16AA" w:rsidRPr="00666914" w:rsidRDefault="00CB16AA" w:rsidP="00985E7A">
            <w:pPr>
              <w:spacing w:after="0"/>
              <w:jc w:val="center"/>
              <w:rPr>
                <w:rFonts w:eastAsia="Times New Roman" w:cs="Calibri"/>
                <w:b/>
                <w:bCs/>
                <w:sz w:val="20"/>
                <w:szCs w:val="20"/>
                <w:lang w:eastAsia="sk-SK"/>
              </w:rPr>
            </w:pPr>
            <w:r w:rsidRPr="00666914">
              <w:rPr>
                <w:rFonts w:eastAsia="Times New Roman" w:cs="Calibri"/>
                <w:b/>
                <w:bCs/>
                <w:sz w:val="20"/>
                <w:szCs w:val="20"/>
                <w:lang w:eastAsia="sk-SK"/>
              </w:rPr>
              <w:t> </w:t>
            </w:r>
          </w:p>
        </w:tc>
        <w:tc>
          <w:tcPr>
            <w:tcW w:w="1263" w:type="pct"/>
            <w:tcBorders>
              <w:top w:val="single" w:sz="4" w:space="0" w:color="auto"/>
              <w:left w:val="nil"/>
              <w:bottom w:val="single" w:sz="4" w:space="0" w:color="auto"/>
              <w:right w:val="nil"/>
            </w:tcBorders>
            <w:shd w:val="clear" w:color="000000" w:fill="FFFFFF"/>
            <w:vAlign w:val="center"/>
            <w:hideMark/>
          </w:tcPr>
          <w:p w14:paraId="58E1B4B6"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 </w:t>
            </w:r>
          </w:p>
        </w:tc>
        <w:tc>
          <w:tcPr>
            <w:tcW w:w="677" w:type="pct"/>
            <w:tcBorders>
              <w:top w:val="single" w:sz="4" w:space="0" w:color="auto"/>
              <w:left w:val="nil"/>
              <w:bottom w:val="single" w:sz="4" w:space="0" w:color="auto"/>
              <w:right w:val="nil"/>
            </w:tcBorders>
            <w:shd w:val="clear" w:color="000000" w:fill="FFFFFF"/>
            <w:noWrap/>
            <w:vAlign w:val="bottom"/>
            <w:hideMark/>
          </w:tcPr>
          <w:p w14:paraId="65DE9244" w14:textId="77777777" w:rsidR="00CB16AA" w:rsidRPr="00666914" w:rsidRDefault="00CB16AA" w:rsidP="00985E7A">
            <w:pPr>
              <w:spacing w:after="0"/>
              <w:jc w:val="center"/>
              <w:rPr>
                <w:rFonts w:eastAsia="Times New Roman" w:cs="Calibri"/>
                <w:b/>
                <w:bCs/>
                <w:sz w:val="20"/>
                <w:szCs w:val="20"/>
                <w:lang w:eastAsia="sk-SK"/>
              </w:rPr>
            </w:pPr>
            <w:r w:rsidRPr="00666914">
              <w:rPr>
                <w:rFonts w:eastAsia="Times New Roman" w:cs="Calibri"/>
                <w:b/>
                <w:bCs/>
                <w:sz w:val="20"/>
                <w:szCs w:val="20"/>
                <w:lang w:eastAsia="sk-SK"/>
              </w:rPr>
              <w:t> </w:t>
            </w:r>
          </w:p>
        </w:tc>
      </w:tr>
      <w:tr w:rsidR="00CB16AA" w:rsidRPr="00666914" w14:paraId="181B9FD2" w14:textId="77777777" w:rsidTr="00E85C25">
        <w:trPr>
          <w:trHeight w:val="295"/>
        </w:trPr>
        <w:tc>
          <w:tcPr>
            <w:tcW w:w="604" w:type="pct"/>
            <w:tcBorders>
              <w:top w:val="nil"/>
              <w:left w:val="nil"/>
              <w:bottom w:val="nil"/>
              <w:right w:val="nil"/>
            </w:tcBorders>
            <w:shd w:val="clear" w:color="000000" w:fill="FFFFFF"/>
            <w:vAlign w:val="center"/>
            <w:hideMark/>
          </w:tcPr>
          <w:p w14:paraId="1C4A0A5B"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ŽSR</w:t>
            </w:r>
          </w:p>
        </w:tc>
        <w:tc>
          <w:tcPr>
            <w:tcW w:w="1713" w:type="pct"/>
            <w:tcBorders>
              <w:top w:val="nil"/>
              <w:left w:val="nil"/>
              <w:bottom w:val="nil"/>
              <w:right w:val="nil"/>
            </w:tcBorders>
            <w:shd w:val="clear" w:color="000000" w:fill="FFFFFF"/>
            <w:vAlign w:val="center"/>
            <w:hideMark/>
          </w:tcPr>
          <w:p w14:paraId="5F7C0E1D"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Uzol Bratislava</w:t>
            </w:r>
          </w:p>
        </w:tc>
        <w:tc>
          <w:tcPr>
            <w:tcW w:w="743" w:type="pct"/>
            <w:tcBorders>
              <w:top w:val="nil"/>
              <w:left w:val="nil"/>
              <w:bottom w:val="nil"/>
              <w:right w:val="nil"/>
            </w:tcBorders>
            <w:shd w:val="clear" w:color="000000" w:fill="FFFFFF"/>
            <w:vAlign w:val="center"/>
            <w:hideMark/>
          </w:tcPr>
          <w:p w14:paraId="35364C32"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710-959</w:t>
            </w:r>
          </w:p>
        </w:tc>
        <w:tc>
          <w:tcPr>
            <w:tcW w:w="1263" w:type="pct"/>
            <w:tcBorders>
              <w:top w:val="nil"/>
              <w:left w:val="nil"/>
              <w:bottom w:val="nil"/>
              <w:right w:val="nil"/>
            </w:tcBorders>
            <w:shd w:val="clear" w:color="000000" w:fill="FFFFFF"/>
            <w:vAlign w:val="center"/>
            <w:hideMark/>
          </w:tcPr>
          <w:p w14:paraId="7F15F5F3" w14:textId="1EDB9AB3" w:rsidR="00CB16AA" w:rsidRPr="00666914" w:rsidRDefault="00B702E5" w:rsidP="00E85C25">
            <w:pPr>
              <w:spacing w:after="0"/>
              <w:jc w:val="center"/>
              <w:rPr>
                <w:rFonts w:eastAsia="Times New Roman" w:cs="Calibri"/>
                <w:sz w:val="20"/>
                <w:szCs w:val="20"/>
                <w:lang w:eastAsia="sk-SK"/>
              </w:rPr>
            </w:pPr>
            <w:r w:rsidRPr="00666914">
              <w:rPr>
                <w:rFonts w:eastAsia="Times New Roman" w:cs="Calibri"/>
                <w:sz w:val="20"/>
                <w:szCs w:val="20"/>
                <w:lang w:eastAsia="sk-SK"/>
              </w:rPr>
              <w:t>Š</w:t>
            </w:r>
            <w:r w:rsidR="00E85C25" w:rsidRPr="00666914">
              <w:rPr>
                <w:rFonts w:eastAsia="Times New Roman" w:cs="Calibri"/>
                <w:sz w:val="20"/>
                <w:szCs w:val="20"/>
                <w:lang w:eastAsia="sk-SK"/>
              </w:rPr>
              <w:t>U</w:t>
            </w:r>
            <w:r w:rsidR="00CB16AA" w:rsidRPr="00666914">
              <w:rPr>
                <w:rFonts w:eastAsia="Times New Roman" w:cs="Calibri"/>
                <w:sz w:val="20"/>
                <w:szCs w:val="20"/>
                <w:lang w:eastAsia="sk-SK"/>
              </w:rPr>
              <w:t xml:space="preserve"> zverejnená</w:t>
            </w:r>
          </w:p>
        </w:tc>
        <w:tc>
          <w:tcPr>
            <w:tcW w:w="677" w:type="pct"/>
            <w:tcBorders>
              <w:top w:val="nil"/>
              <w:left w:val="nil"/>
              <w:bottom w:val="nil"/>
              <w:right w:val="nil"/>
            </w:tcBorders>
            <w:shd w:val="clear" w:color="auto" w:fill="auto"/>
            <w:noWrap/>
            <w:vAlign w:val="center"/>
            <w:hideMark/>
          </w:tcPr>
          <w:p w14:paraId="088958AD"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áno</w:t>
            </w:r>
          </w:p>
        </w:tc>
      </w:tr>
      <w:tr w:rsidR="00CB16AA" w:rsidRPr="00666914" w14:paraId="3F1521E4" w14:textId="77777777" w:rsidTr="00E85C25">
        <w:trPr>
          <w:trHeight w:val="529"/>
        </w:trPr>
        <w:tc>
          <w:tcPr>
            <w:tcW w:w="604" w:type="pct"/>
            <w:tcBorders>
              <w:top w:val="nil"/>
              <w:left w:val="nil"/>
              <w:bottom w:val="nil"/>
              <w:right w:val="nil"/>
            </w:tcBorders>
            <w:shd w:val="clear" w:color="000000" w:fill="FFFFFF"/>
            <w:vAlign w:val="center"/>
            <w:hideMark/>
          </w:tcPr>
          <w:p w14:paraId="76CEECE3"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ARVD</w:t>
            </w:r>
          </w:p>
        </w:tc>
        <w:tc>
          <w:tcPr>
            <w:tcW w:w="1713" w:type="pct"/>
            <w:tcBorders>
              <w:top w:val="nil"/>
              <w:left w:val="nil"/>
              <w:bottom w:val="nil"/>
              <w:right w:val="nil"/>
            </w:tcBorders>
            <w:shd w:val="clear" w:color="000000" w:fill="FFFFFF"/>
            <w:vAlign w:val="center"/>
            <w:hideMark/>
          </w:tcPr>
          <w:p w14:paraId="7B62CA1B"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Splavnenie dolného Váhu v úseku Piešťany - Komárno</w:t>
            </w:r>
          </w:p>
        </w:tc>
        <w:tc>
          <w:tcPr>
            <w:tcW w:w="743" w:type="pct"/>
            <w:tcBorders>
              <w:top w:val="nil"/>
              <w:left w:val="nil"/>
              <w:bottom w:val="nil"/>
              <w:right w:val="nil"/>
            </w:tcBorders>
            <w:shd w:val="clear" w:color="000000" w:fill="FFFFFF"/>
            <w:vAlign w:val="center"/>
            <w:hideMark/>
          </w:tcPr>
          <w:p w14:paraId="17F06193"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1 345</w:t>
            </w:r>
          </w:p>
        </w:tc>
        <w:tc>
          <w:tcPr>
            <w:tcW w:w="1263" w:type="pct"/>
            <w:tcBorders>
              <w:top w:val="nil"/>
              <w:left w:val="nil"/>
              <w:bottom w:val="nil"/>
              <w:right w:val="nil"/>
            </w:tcBorders>
            <w:shd w:val="clear" w:color="000000" w:fill="FFFFFF"/>
            <w:vAlign w:val="center"/>
            <w:hideMark/>
          </w:tcPr>
          <w:p w14:paraId="7BDC104D" w14:textId="14CDAFFC" w:rsidR="00CB16AA" w:rsidRPr="00666914" w:rsidRDefault="00E85C25" w:rsidP="00985E7A">
            <w:pPr>
              <w:spacing w:after="0"/>
              <w:jc w:val="center"/>
              <w:rPr>
                <w:rFonts w:eastAsia="Times New Roman" w:cs="Calibri"/>
                <w:sz w:val="20"/>
                <w:szCs w:val="20"/>
                <w:lang w:eastAsia="sk-SK"/>
              </w:rPr>
            </w:pPr>
            <w:r w:rsidRPr="00666914">
              <w:rPr>
                <w:rFonts w:eastAsia="Times New Roman" w:cs="Calibri"/>
                <w:sz w:val="20"/>
                <w:szCs w:val="20"/>
                <w:lang w:eastAsia="sk-SK"/>
              </w:rPr>
              <w:t>ŠU</w:t>
            </w:r>
          </w:p>
        </w:tc>
        <w:tc>
          <w:tcPr>
            <w:tcW w:w="677" w:type="pct"/>
            <w:tcBorders>
              <w:top w:val="nil"/>
              <w:left w:val="nil"/>
              <w:bottom w:val="nil"/>
              <w:right w:val="nil"/>
            </w:tcBorders>
            <w:shd w:val="clear" w:color="auto" w:fill="auto"/>
            <w:noWrap/>
            <w:vAlign w:val="center"/>
            <w:hideMark/>
          </w:tcPr>
          <w:p w14:paraId="446A5A40"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nie</w:t>
            </w:r>
          </w:p>
        </w:tc>
      </w:tr>
      <w:tr w:rsidR="00CB16AA" w:rsidRPr="00666914" w14:paraId="5F0D2305" w14:textId="77777777" w:rsidTr="00E85C25">
        <w:trPr>
          <w:trHeight w:val="295"/>
        </w:trPr>
        <w:tc>
          <w:tcPr>
            <w:tcW w:w="604" w:type="pct"/>
            <w:tcBorders>
              <w:top w:val="nil"/>
              <w:left w:val="nil"/>
              <w:bottom w:val="nil"/>
              <w:right w:val="nil"/>
            </w:tcBorders>
            <w:shd w:val="clear" w:color="000000" w:fill="FFFFFF"/>
            <w:vAlign w:val="center"/>
            <w:hideMark/>
          </w:tcPr>
          <w:p w14:paraId="28C1FD19"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SSC</w:t>
            </w:r>
          </w:p>
        </w:tc>
        <w:tc>
          <w:tcPr>
            <w:tcW w:w="1713" w:type="pct"/>
            <w:tcBorders>
              <w:top w:val="nil"/>
              <w:left w:val="nil"/>
              <w:bottom w:val="nil"/>
              <w:right w:val="nil"/>
            </w:tcBorders>
            <w:shd w:val="clear" w:color="000000" w:fill="FFFFFF"/>
            <w:vAlign w:val="center"/>
            <w:hideMark/>
          </w:tcPr>
          <w:p w14:paraId="351776AF"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I/18, I/74 Lipníky – Ubľa</w:t>
            </w:r>
          </w:p>
        </w:tc>
        <w:tc>
          <w:tcPr>
            <w:tcW w:w="743" w:type="pct"/>
            <w:tcBorders>
              <w:top w:val="nil"/>
              <w:left w:val="nil"/>
              <w:bottom w:val="nil"/>
              <w:right w:val="nil"/>
            </w:tcBorders>
            <w:shd w:val="clear" w:color="000000" w:fill="FFFFFF"/>
            <w:vAlign w:val="center"/>
            <w:hideMark/>
          </w:tcPr>
          <w:p w14:paraId="6030DFCE"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649</w:t>
            </w:r>
          </w:p>
        </w:tc>
        <w:tc>
          <w:tcPr>
            <w:tcW w:w="1263" w:type="pct"/>
            <w:tcBorders>
              <w:top w:val="nil"/>
              <w:left w:val="nil"/>
              <w:bottom w:val="nil"/>
              <w:right w:val="nil"/>
            </w:tcBorders>
            <w:shd w:val="clear" w:color="000000" w:fill="FFFFFF"/>
            <w:vAlign w:val="center"/>
            <w:hideMark/>
          </w:tcPr>
          <w:p w14:paraId="4E06BF92" w14:textId="00A6588A" w:rsidR="00CB16AA" w:rsidRPr="00666914" w:rsidRDefault="00E85C25" w:rsidP="00985E7A">
            <w:pPr>
              <w:spacing w:after="0"/>
              <w:jc w:val="center"/>
              <w:rPr>
                <w:rFonts w:eastAsia="Times New Roman" w:cs="Calibri"/>
                <w:sz w:val="20"/>
                <w:szCs w:val="20"/>
                <w:lang w:eastAsia="sk-SK"/>
              </w:rPr>
            </w:pPr>
            <w:r w:rsidRPr="00666914">
              <w:rPr>
                <w:rFonts w:eastAsia="Times New Roman" w:cs="Calibri"/>
                <w:sz w:val="20"/>
                <w:szCs w:val="20"/>
                <w:lang w:eastAsia="sk-SK"/>
              </w:rPr>
              <w:t>ŠU</w:t>
            </w:r>
          </w:p>
        </w:tc>
        <w:tc>
          <w:tcPr>
            <w:tcW w:w="677" w:type="pct"/>
            <w:tcBorders>
              <w:top w:val="nil"/>
              <w:left w:val="nil"/>
              <w:bottom w:val="nil"/>
              <w:right w:val="nil"/>
            </w:tcBorders>
            <w:shd w:val="clear" w:color="auto" w:fill="auto"/>
            <w:noWrap/>
            <w:vAlign w:val="center"/>
            <w:hideMark/>
          </w:tcPr>
          <w:p w14:paraId="73F026CB" w14:textId="77777777" w:rsidR="00CB16AA" w:rsidRPr="00666914" w:rsidRDefault="00CB16AA" w:rsidP="00985E7A">
            <w:pPr>
              <w:spacing w:after="0"/>
              <w:jc w:val="center"/>
              <w:rPr>
                <w:rFonts w:eastAsia="Times New Roman" w:cs="Calibri"/>
                <w:sz w:val="20"/>
                <w:szCs w:val="20"/>
                <w:lang w:eastAsia="sk-SK"/>
              </w:rPr>
            </w:pPr>
          </w:p>
        </w:tc>
      </w:tr>
      <w:tr w:rsidR="00CB16AA" w:rsidRPr="00666914" w14:paraId="1C0AB49F" w14:textId="77777777" w:rsidTr="00E85C25">
        <w:trPr>
          <w:trHeight w:val="295"/>
        </w:trPr>
        <w:tc>
          <w:tcPr>
            <w:tcW w:w="604" w:type="pct"/>
            <w:tcBorders>
              <w:top w:val="nil"/>
              <w:left w:val="nil"/>
              <w:bottom w:val="nil"/>
              <w:right w:val="nil"/>
            </w:tcBorders>
            <w:shd w:val="clear" w:color="000000" w:fill="FFFFFF"/>
            <w:vAlign w:val="center"/>
            <w:hideMark/>
          </w:tcPr>
          <w:p w14:paraId="1605589A"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SSC</w:t>
            </w:r>
          </w:p>
        </w:tc>
        <w:tc>
          <w:tcPr>
            <w:tcW w:w="1713" w:type="pct"/>
            <w:tcBorders>
              <w:top w:val="nil"/>
              <w:left w:val="nil"/>
              <w:bottom w:val="nil"/>
              <w:right w:val="nil"/>
            </w:tcBorders>
            <w:shd w:val="clear" w:color="000000" w:fill="FFFFFF"/>
            <w:vAlign w:val="center"/>
            <w:hideMark/>
          </w:tcPr>
          <w:p w14:paraId="6624C0FE"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I/68 Mníšek – Prešov</w:t>
            </w:r>
          </w:p>
        </w:tc>
        <w:tc>
          <w:tcPr>
            <w:tcW w:w="743" w:type="pct"/>
            <w:tcBorders>
              <w:top w:val="nil"/>
              <w:left w:val="nil"/>
              <w:bottom w:val="nil"/>
              <w:right w:val="nil"/>
            </w:tcBorders>
            <w:shd w:val="clear" w:color="000000" w:fill="FFFFFF"/>
            <w:vAlign w:val="center"/>
            <w:hideMark/>
          </w:tcPr>
          <w:p w14:paraId="2B0CC131"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1099</w:t>
            </w:r>
          </w:p>
        </w:tc>
        <w:tc>
          <w:tcPr>
            <w:tcW w:w="1263" w:type="pct"/>
            <w:tcBorders>
              <w:top w:val="nil"/>
              <w:left w:val="nil"/>
              <w:bottom w:val="nil"/>
              <w:right w:val="nil"/>
            </w:tcBorders>
            <w:shd w:val="clear" w:color="000000" w:fill="FFFFFF"/>
            <w:vAlign w:val="center"/>
            <w:hideMark/>
          </w:tcPr>
          <w:p w14:paraId="235C4460" w14:textId="5C1E6831" w:rsidR="00CB16AA" w:rsidRPr="00666914" w:rsidRDefault="00E85C25" w:rsidP="00985E7A">
            <w:pPr>
              <w:spacing w:after="0"/>
              <w:jc w:val="center"/>
              <w:rPr>
                <w:rFonts w:eastAsia="Times New Roman" w:cs="Calibri"/>
                <w:sz w:val="20"/>
                <w:szCs w:val="20"/>
                <w:lang w:eastAsia="sk-SK"/>
              </w:rPr>
            </w:pPr>
            <w:r w:rsidRPr="00666914">
              <w:rPr>
                <w:rFonts w:eastAsia="Times New Roman" w:cs="Calibri"/>
                <w:sz w:val="20"/>
                <w:szCs w:val="20"/>
                <w:lang w:eastAsia="sk-SK"/>
              </w:rPr>
              <w:t>ŠU</w:t>
            </w:r>
          </w:p>
        </w:tc>
        <w:tc>
          <w:tcPr>
            <w:tcW w:w="677" w:type="pct"/>
            <w:tcBorders>
              <w:top w:val="nil"/>
              <w:left w:val="nil"/>
              <w:bottom w:val="nil"/>
              <w:right w:val="nil"/>
            </w:tcBorders>
            <w:shd w:val="clear" w:color="auto" w:fill="auto"/>
            <w:noWrap/>
            <w:vAlign w:val="center"/>
            <w:hideMark/>
          </w:tcPr>
          <w:p w14:paraId="25B7ECF8" w14:textId="77777777" w:rsidR="00CB16AA" w:rsidRPr="00666914" w:rsidRDefault="00CB16AA" w:rsidP="00985E7A">
            <w:pPr>
              <w:spacing w:after="0"/>
              <w:jc w:val="center"/>
              <w:rPr>
                <w:rFonts w:eastAsia="Times New Roman" w:cs="Calibri"/>
                <w:sz w:val="20"/>
                <w:szCs w:val="20"/>
                <w:lang w:eastAsia="sk-SK"/>
              </w:rPr>
            </w:pPr>
          </w:p>
        </w:tc>
      </w:tr>
      <w:tr w:rsidR="00CB16AA" w:rsidRPr="00666914" w14:paraId="36BF9F43" w14:textId="77777777" w:rsidTr="00E85C25">
        <w:trPr>
          <w:trHeight w:val="295"/>
        </w:trPr>
        <w:tc>
          <w:tcPr>
            <w:tcW w:w="604" w:type="pct"/>
            <w:tcBorders>
              <w:top w:val="nil"/>
              <w:left w:val="nil"/>
              <w:bottom w:val="nil"/>
              <w:right w:val="nil"/>
            </w:tcBorders>
            <w:shd w:val="clear" w:color="000000" w:fill="FFFFFF"/>
            <w:vAlign w:val="center"/>
            <w:hideMark/>
          </w:tcPr>
          <w:p w14:paraId="61BFF906"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SSC</w:t>
            </w:r>
          </w:p>
        </w:tc>
        <w:tc>
          <w:tcPr>
            <w:tcW w:w="1713" w:type="pct"/>
            <w:tcBorders>
              <w:top w:val="nil"/>
              <w:left w:val="nil"/>
              <w:bottom w:val="nil"/>
              <w:right w:val="nil"/>
            </w:tcBorders>
            <w:shd w:val="clear" w:color="000000" w:fill="FFFFFF"/>
            <w:vAlign w:val="center"/>
            <w:hideMark/>
          </w:tcPr>
          <w:p w14:paraId="1CC13D0A"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I/75 Galanta – Šaľa – Nové Zámky</w:t>
            </w:r>
          </w:p>
        </w:tc>
        <w:tc>
          <w:tcPr>
            <w:tcW w:w="743" w:type="pct"/>
            <w:tcBorders>
              <w:top w:val="nil"/>
              <w:left w:val="nil"/>
              <w:bottom w:val="nil"/>
              <w:right w:val="nil"/>
            </w:tcBorders>
            <w:shd w:val="clear" w:color="000000" w:fill="FFFFFF"/>
            <w:vAlign w:val="center"/>
            <w:hideMark/>
          </w:tcPr>
          <w:p w14:paraId="3C4F64A7"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96</w:t>
            </w:r>
          </w:p>
        </w:tc>
        <w:tc>
          <w:tcPr>
            <w:tcW w:w="1263" w:type="pct"/>
            <w:tcBorders>
              <w:top w:val="nil"/>
              <w:left w:val="nil"/>
              <w:bottom w:val="nil"/>
              <w:right w:val="nil"/>
            </w:tcBorders>
            <w:shd w:val="clear" w:color="000000" w:fill="FFFFFF"/>
            <w:vAlign w:val="center"/>
            <w:hideMark/>
          </w:tcPr>
          <w:p w14:paraId="4CD5211A" w14:textId="41FBB1A5" w:rsidR="00CB16AA" w:rsidRPr="00666914" w:rsidRDefault="00E85C25" w:rsidP="00985E7A">
            <w:pPr>
              <w:spacing w:after="0"/>
              <w:jc w:val="center"/>
              <w:rPr>
                <w:rFonts w:eastAsia="Times New Roman" w:cs="Calibri"/>
                <w:sz w:val="20"/>
                <w:szCs w:val="20"/>
                <w:lang w:eastAsia="sk-SK"/>
              </w:rPr>
            </w:pPr>
            <w:r w:rsidRPr="00666914">
              <w:rPr>
                <w:rFonts w:eastAsia="Times New Roman" w:cs="Calibri"/>
                <w:sz w:val="20"/>
                <w:szCs w:val="20"/>
                <w:lang w:eastAsia="sk-SK"/>
              </w:rPr>
              <w:t>ŠU</w:t>
            </w:r>
          </w:p>
        </w:tc>
        <w:tc>
          <w:tcPr>
            <w:tcW w:w="677" w:type="pct"/>
            <w:tcBorders>
              <w:top w:val="nil"/>
              <w:left w:val="nil"/>
              <w:bottom w:val="nil"/>
              <w:right w:val="nil"/>
            </w:tcBorders>
            <w:shd w:val="clear" w:color="auto" w:fill="auto"/>
            <w:noWrap/>
            <w:vAlign w:val="center"/>
            <w:hideMark/>
          </w:tcPr>
          <w:p w14:paraId="2763B265" w14:textId="77777777" w:rsidR="00CB16AA" w:rsidRPr="00666914" w:rsidRDefault="00CB16AA" w:rsidP="00985E7A">
            <w:pPr>
              <w:spacing w:after="0"/>
              <w:jc w:val="center"/>
              <w:rPr>
                <w:rFonts w:eastAsia="Times New Roman" w:cs="Calibri"/>
                <w:sz w:val="20"/>
                <w:szCs w:val="20"/>
                <w:lang w:eastAsia="sk-SK"/>
              </w:rPr>
            </w:pPr>
          </w:p>
        </w:tc>
      </w:tr>
      <w:tr w:rsidR="00CB16AA" w:rsidRPr="00666914" w14:paraId="6BEA666F" w14:textId="77777777" w:rsidTr="00E85C25">
        <w:trPr>
          <w:trHeight w:val="295"/>
        </w:trPr>
        <w:tc>
          <w:tcPr>
            <w:tcW w:w="604" w:type="pct"/>
            <w:tcBorders>
              <w:top w:val="nil"/>
              <w:left w:val="nil"/>
              <w:bottom w:val="single" w:sz="4" w:space="0" w:color="auto"/>
              <w:right w:val="nil"/>
            </w:tcBorders>
            <w:shd w:val="clear" w:color="000000" w:fill="FFFFFF"/>
            <w:vAlign w:val="center"/>
            <w:hideMark/>
          </w:tcPr>
          <w:p w14:paraId="704DAD9F"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SSC</w:t>
            </w:r>
          </w:p>
        </w:tc>
        <w:tc>
          <w:tcPr>
            <w:tcW w:w="1713" w:type="pct"/>
            <w:tcBorders>
              <w:top w:val="nil"/>
              <w:left w:val="nil"/>
              <w:bottom w:val="single" w:sz="4" w:space="0" w:color="auto"/>
              <w:right w:val="nil"/>
            </w:tcBorders>
            <w:shd w:val="clear" w:color="000000" w:fill="FFFFFF"/>
            <w:vAlign w:val="center"/>
            <w:hideMark/>
          </w:tcPr>
          <w:p w14:paraId="6F0A9642"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I/63 Dunajská Streda - Komárno</w:t>
            </w:r>
          </w:p>
        </w:tc>
        <w:tc>
          <w:tcPr>
            <w:tcW w:w="743" w:type="pct"/>
            <w:tcBorders>
              <w:top w:val="nil"/>
              <w:left w:val="nil"/>
              <w:bottom w:val="single" w:sz="4" w:space="0" w:color="auto"/>
              <w:right w:val="nil"/>
            </w:tcBorders>
            <w:shd w:val="clear" w:color="000000" w:fill="FFFFFF"/>
            <w:vAlign w:val="center"/>
            <w:hideMark/>
          </w:tcPr>
          <w:p w14:paraId="04335898"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101</w:t>
            </w:r>
          </w:p>
        </w:tc>
        <w:tc>
          <w:tcPr>
            <w:tcW w:w="1263" w:type="pct"/>
            <w:tcBorders>
              <w:top w:val="nil"/>
              <w:left w:val="nil"/>
              <w:bottom w:val="single" w:sz="4" w:space="0" w:color="auto"/>
              <w:right w:val="nil"/>
            </w:tcBorders>
            <w:shd w:val="clear" w:color="000000" w:fill="FFFFFF"/>
            <w:vAlign w:val="center"/>
            <w:hideMark/>
          </w:tcPr>
          <w:p w14:paraId="40DA6103" w14:textId="72C31549" w:rsidR="00CB16AA" w:rsidRPr="00666914" w:rsidRDefault="00E85C25" w:rsidP="00985E7A">
            <w:pPr>
              <w:spacing w:after="0"/>
              <w:jc w:val="center"/>
              <w:rPr>
                <w:rFonts w:eastAsia="Times New Roman" w:cs="Calibri"/>
                <w:sz w:val="20"/>
                <w:szCs w:val="20"/>
                <w:lang w:eastAsia="sk-SK"/>
              </w:rPr>
            </w:pPr>
            <w:r w:rsidRPr="00666914">
              <w:rPr>
                <w:rFonts w:eastAsia="Times New Roman" w:cs="Calibri"/>
                <w:sz w:val="20"/>
                <w:szCs w:val="20"/>
                <w:lang w:eastAsia="sk-SK"/>
              </w:rPr>
              <w:t>ŠU</w:t>
            </w:r>
          </w:p>
        </w:tc>
        <w:tc>
          <w:tcPr>
            <w:tcW w:w="677" w:type="pct"/>
            <w:tcBorders>
              <w:top w:val="nil"/>
              <w:left w:val="nil"/>
              <w:bottom w:val="single" w:sz="4" w:space="0" w:color="auto"/>
              <w:right w:val="nil"/>
            </w:tcBorders>
            <w:shd w:val="clear" w:color="auto" w:fill="auto"/>
            <w:noWrap/>
            <w:vAlign w:val="center"/>
            <w:hideMark/>
          </w:tcPr>
          <w:p w14:paraId="14C886DC" w14:textId="77777777" w:rsidR="00CB16AA" w:rsidRPr="00666914" w:rsidRDefault="00CB16AA" w:rsidP="00985E7A">
            <w:pPr>
              <w:spacing w:after="0"/>
              <w:jc w:val="center"/>
              <w:rPr>
                <w:rFonts w:ascii="Calibri" w:eastAsia="Times New Roman" w:hAnsi="Calibri" w:cs="Calibri"/>
                <w:color w:val="000000"/>
                <w:lang w:eastAsia="sk-SK"/>
              </w:rPr>
            </w:pPr>
          </w:p>
        </w:tc>
      </w:tr>
      <w:tr w:rsidR="00CB16AA" w:rsidRPr="00666914" w14:paraId="00713E16" w14:textId="77777777" w:rsidTr="00E85C25">
        <w:trPr>
          <w:trHeight w:val="295"/>
        </w:trPr>
        <w:tc>
          <w:tcPr>
            <w:tcW w:w="604" w:type="pct"/>
            <w:tcBorders>
              <w:top w:val="nil"/>
              <w:left w:val="nil"/>
              <w:bottom w:val="single" w:sz="4" w:space="0" w:color="auto"/>
              <w:right w:val="nil"/>
            </w:tcBorders>
            <w:shd w:val="clear" w:color="000000" w:fill="FFFFFF"/>
            <w:vAlign w:val="center"/>
            <w:hideMark/>
          </w:tcPr>
          <w:p w14:paraId="1A68993A" w14:textId="77777777" w:rsidR="00CB16AA" w:rsidRPr="00666914" w:rsidRDefault="00CB16AA" w:rsidP="00985E7A">
            <w:pPr>
              <w:spacing w:after="0"/>
              <w:jc w:val="center"/>
              <w:rPr>
                <w:rFonts w:eastAsia="Times New Roman" w:cs="Calibri"/>
                <w:sz w:val="20"/>
                <w:szCs w:val="20"/>
                <w:lang w:eastAsia="sk-SK"/>
              </w:rPr>
            </w:pPr>
          </w:p>
        </w:tc>
        <w:tc>
          <w:tcPr>
            <w:tcW w:w="1713" w:type="pct"/>
            <w:tcBorders>
              <w:top w:val="nil"/>
              <w:left w:val="nil"/>
              <w:bottom w:val="single" w:sz="4" w:space="0" w:color="auto"/>
              <w:right w:val="nil"/>
            </w:tcBorders>
            <w:shd w:val="clear" w:color="000000" w:fill="FFFFFF"/>
            <w:vAlign w:val="center"/>
            <w:hideMark/>
          </w:tcPr>
          <w:p w14:paraId="39CB04F0" w14:textId="77777777" w:rsidR="00CB16AA" w:rsidRPr="00666914" w:rsidRDefault="00CB16AA" w:rsidP="00985E7A">
            <w:pPr>
              <w:spacing w:after="0"/>
              <w:jc w:val="center"/>
              <w:rPr>
                <w:rFonts w:eastAsia="Times New Roman" w:cs="Calibri"/>
                <w:b/>
                <w:bCs/>
                <w:i/>
                <w:iCs/>
                <w:sz w:val="20"/>
                <w:szCs w:val="20"/>
                <w:lang w:eastAsia="sk-SK"/>
              </w:rPr>
            </w:pPr>
            <w:r w:rsidRPr="00666914">
              <w:rPr>
                <w:rFonts w:eastAsia="Times New Roman" w:cs="Calibri"/>
                <w:b/>
                <w:bCs/>
                <w:i/>
                <w:iCs/>
                <w:sz w:val="20"/>
                <w:szCs w:val="20"/>
                <w:lang w:eastAsia="sk-SK"/>
              </w:rPr>
              <w:t>Po platnosti metodiky</w:t>
            </w:r>
          </w:p>
        </w:tc>
        <w:tc>
          <w:tcPr>
            <w:tcW w:w="743" w:type="pct"/>
            <w:tcBorders>
              <w:top w:val="nil"/>
              <w:left w:val="nil"/>
              <w:bottom w:val="single" w:sz="4" w:space="0" w:color="auto"/>
              <w:right w:val="nil"/>
            </w:tcBorders>
            <w:shd w:val="clear" w:color="000000" w:fill="FFFFFF"/>
            <w:vAlign w:val="center"/>
            <w:hideMark/>
          </w:tcPr>
          <w:p w14:paraId="3C892DE0" w14:textId="77777777" w:rsidR="00CB16AA" w:rsidRPr="00666914" w:rsidRDefault="00CB16AA" w:rsidP="00985E7A">
            <w:pPr>
              <w:spacing w:after="0"/>
              <w:jc w:val="center"/>
              <w:rPr>
                <w:rFonts w:eastAsia="Times New Roman" w:cs="Calibri"/>
                <w:sz w:val="20"/>
                <w:szCs w:val="20"/>
                <w:lang w:eastAsia="sk-SK"/>
              </w:rPr>
            </w:pPr>
          </w:p>
        </w:tc>
        <w:tc>
          <w:tcPr>
            <w:tcW w:w="1263" w:type="pct"/>
            <w:tcBorders>
              <w:top w:val="nil"/>
              <w:left w:val="nil"/>
              <w:bottom w:val="single" w:sz="4" w:space="0" w:color="auto"/>
              <w:right w:val="nil"/>
            </w:tcBorders>
            <w:shd w:val="clear" w:color="000000" w:fill="FFFFFF"/>
            <w:vAlign w:val="center"/>
            <w:hideMark/>
          </w:tcPr>
          <w:p w14:paraId="75B1B72C" w14:textId="77777777" w:rsidR="00CB16AA" w:rsidRPr="00666914" w:rsidRDefault="00CB16AA" w:rsidP="00985E7A">
            <w:pPr>
              <w:spacing w:after="0"/>
              <w:jc w:val="center"/>
              <w:rPr>
                <w:rFonts w:eastAsia="Times New Roman" w:cs="Calibri"/>
                <w:sz w:val="20"/>
                <w:szCs w:val="20"/>
                <w:lang w:eastAsia="sk-SK"/>
              </w:rPr>
            </w:pPr>
          </w:p>
        </w:tc>
        <w:tc>
          <w:tcPr>
            <w:tcW w:w="677" w:type="pct"/>
            <w:tcBorders>
              <w:top w:val="nil"/>
              <w:left w:val="nil"/>
              <w:bottom w:val="single" w:sz="4" w:space="0" w:color="auto"/>
              <w:right w:val="nil"/>
            </w:tcBorders>
            <w:shd w:val="clear" w:color="000000" w:fill="FFFFFF"/>
            <w:noWrap/>
            <w:vAlign w:val="center"/>
            <w:hideMark/>
          </w:tcPr>
          <w:p w14:paraId="3DCD1A28" w14:textId="77777777" w:rsidR="00CB16AA" w:rsidRPr="00666914" w:rsidRDefault="00CB16AA" w:rsidP="00985E7A">
            <w:pPr>
              <w:spacing w:after="0"/>
              <w:jc w:val="center"/>
              <w:rPr>
                <w:rFonts w:eastAsia="Times New Roman" w:cs="Calibri"/>
                <w:sz w:val="20"/>
                <w:szCs w:val="20"/>
                <w:lang w:eastAsia="sk-SK"/>
              </w:rPr>
            </w:pPr>
          </w:p>
        </w:tc>
      </w:tr>
      <w:tr w:rsidR="00CB16AA" w:rsidRPr="00666914" w14:paraId="7BA6C91F" w14:textId="77777777" w:rsidTr="00E85C25">
        <w:trPr>
          <w:trHeight w:val="295"/>
        </w:trPr>
        <w:tc>
          <w:tcPr>
            <w:tcW w:w="604" w:type="pct"/>
            <w:tcBorders>
              <w:top w:val="single" w:sz="4" w:space="0" w:color="auto"/>
              <w:left w:val="nil"/>
              <w:bottom w:val="single" w:sz="4" w:space="0" w:color="auto"/>
              <w:right w:val="nil"/>
            </w:tcBorders>
            <w:shd w:val="clear" w:color="000000" w:fill="FFFFFF"/>
            <w:vAlign w:val="center"/>
            <w:hideMark/>
          </w:tcPr>
          <w:p w14:paraId="13678565"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NDS</w:t>
            </w:r>
          </w:p>
        </w:tc>
        <w:tc>
          <w:tcPr>
            <w:tcW w:w="1713" w:type="pct"/>
            <w:tcBorders>
              <w:top w:val="single" w:sz="4" w:space="0" w:color="auto"/>
              <w:left w:val="nil"/>
              <w:bottom w:val="single" w:sz="4" w:space="0" w:color="auto"/>
              <w:right w:val="nil"/>
            </w:tcBorders>
            <w:shd w:val="clear" w:color="000000" w:fill="FFFFFF"/>
            <w:vAlign w:val="center"/>
            <w:hideMark/>
          </w:tcPr>
          <w:p w14:paraId="05753E66"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R8 Nitra – Križovatka R2*</w:t>
            </w:r>
          </w:p>
        </w:tc>
        <w:tc>
          <w:tcPr>
            <w:tcW w:w="743" w:type="pct"/>
            <w:tcBorders>
              <w:top w:val="single" w:sz="4" w:space="0" w:color="auto"/>
              <w:left w:val="nil"/>
              <w:bottom w:val="single" w:sz="4" w:space="0" w:color="auto"/>
              <w:right w:val="nil"/>
            </w:tcBorders>
            <w:shd w:val="clear" w:color="000000" w:fill="FFFFFF"/>
            <w:vAlign w:val="center"/>
            <w:hideMark/>
          </w:tcPr>
          <w:p w14:paraId="7DE791B3"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658</w:t>
            </w:r>
          </w:p>
        </w:tc>
        <w:tc>
          <w:tcPr>
            <w:tcW w:w="1263" w:type="pct"/>
            <w:tcBorders>
              <w:top w:val="single" w:sz="4" w:space="0" w:color="auto"/>
              <w:left w:val="nil"/>
              <w:bottom w:val="single" w:sz="4" w:space="0" w:color="auto"/>
              <w:right w:val="nil"/>
            </w:tcBorders>
            <w:shd w:val="clear" w:color="000000" w:fill="FFFFFF"/>
            <w:vAlign w:val="center"/>
            <w:hideMark/>
          </w:tcPr>
          <w:p w14:paraId="37CD82E4" w14:textId="498519C6"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 xml:space="preserve">Spracováva sa </w:t>
            </w:r>
            <w:r w:rsidR="00E85C25" w:rsidRPr="00666914">
              <w:rPr>
                <w:rFonts w:eastAsia="Times New Roman" w:cs="Calibri"/>
                <w:sz w:val="20"/>
                <w:szCs w:val="20"/>
                <w:lang w:eastAsia="sk-SK"/>
              </w:rPr>
              <w:t>ŠU</w:t>
            </w:r>
          </w:p>
        </w:tc>
        <w:tc>
          <w:tcPr>
            <w:tcW w:w="677" w:type="pct"/>
            <w:tcBorders>
              <w:top w:val="single" w:sz="4" w:space="0" w:color="auto"/>
              <w:left w:val="nil"/>
              <w:bottom w:val="single" w:sz="4" w:space="0" w:color="auto"/>
              <w:right w:val="nil"/>
            </w:tcBorders>
            <w:shd w:val="clear" w:color="000000" w:fill="FFFFFF"/>
            <w:noWrap/>
            <w:vAlign w:val="center"/>
            <w:hideMark/>
          </w:tcPr>
          <w:p w14:paraId="622334A0"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áno</w:t>
            </w:r>
          </w:p>
        </w:tc>
      </w:tr>
    </w:tbl>
    <w:p w14:paraId="487E92C9" w14:textId="77777777" w:rsidR="00CB16AA" w:rsidRPr="00666914" w:rsidRDefault="00CB16AA" w:rsidP="00985E7A">
      <w:pPr>
        <w:spacing w:after="0"/>
        <w:jc w:val="right"/>
        <w:rPr>
          <w:i/>
          <w:sz w:val="18"/>
        </w:rPr>
      </w:pPr>
      <w:r w:rsidRPr="00666914">
        <w:rPr>
          <w:i/>
          <w:sz w:val="18"/>
        </w:rPr>
        <w:t>Zdroj: MDV SR</w:t>
      </w:r>
    </w:p>
    <w:p w14:paraId="3AD211D8" w14:textId="77777777" w:rsidR="00CB16AA" w:rsidRPr="00666914" w:rsidRDefault="00CB16AA" w:rsidP="00985E7A">
      <w:pPr>
        <w:spacing w:after="0"/>
        <w:rPr>
          <w:sz w:val="18"/>
          <w:szCs w:val="18"/>
        </w:rPr>
      </w:pPr>
      <w:r w:rsidRPr="00666914">
        <w:rPr>
          <w:sz w:val="18"/>
          <w:szCs w:val="18"/>
        </w:rPr>
        <w:t>*Súťaž bola vyhlásená 4.5.2018, t.j. pred platnosťou novej metodiky (11/2018)</w:t>
      </w:r>
    </w:p>
    <w:p w14:paraId="280369BB" w14:textId="77777777" w:rsidR="00CB16AA" w:rsidRPr="00666914" w:rsidRDefault="00CB16AA" w:rsidP="00985E7A">
      <w:pPr>
        <w:spacing w:after="0"/>
      </w:pPr>
    </w:p>
    <w:p w14:paraId="4D75D273" w14:textId="5B5C51BC" w:rsidR="00CB16AA" w:rsidRDefault="00CB16AA" w:rsidP="0053444A">
      <w:pPr>
        <w:contextualSpacing/>
      </w:pPr>
      <w:r w:rsidRPr="00666914">
        <w:rPr>
          <w:b/>
        </w:rPr>
        <w:t>Odporúčanie IJ:</w:t>
      </w:r>
      <w:r w:rsidRPr="00666914">
        <w:t xml:space="preserve"> Multimodálne posudzovať aj projekty nad 20 mil. eur, ktoré sú staršie ako 3 roky a nemajú vypracovanú</w:t>
      </w:r>
      <w:r w:rsidR="00D67E6E" w:rsidRPr="00666914">
        <w:t xml:space="preserve"> štúdiu uskutočniteľnosti.</w:t>
      </w:r>
    </w:p>
    <w:p w14:paraId="7FB87E4C" w14:textId="77777777" w:rsidR="0053444A" w:rsidRPr="00666914" w:rsidRDefault="0053444A" w:rsidP="0053444A">
      <w:pPr>
        <w:contextualSpacing/>
        <w:rPr>
          <w:b/>
          <w:u w:val="single"/>
        </w:rPr>
      </w:pPr>
    </w:p>
    <w:p w14:paraId="3C176A1B" w14:textId="77777777" w:rsidR="00CB16AA" w:rsidRPr="00666914" w:rsidRDefault="00CB16AA" w:rsidP="00312C28">
      <w:pPr>
        <w:numPr>
          <w:ilvl w:val="0"/>
          <w:numId w:val="34"/>
        </w:numPr>
        <w:contextualSpacing/>
        <w:rPr>
          <w:b/>
          <w:u w:val="single"/>
        </w:rPr>
      </w:pPr>
      <w:r w:rsidRPr="00666914">
        <w:rPr>
          <w:b/>
          <w:u w:val="single"/>
        </w:rPr>
        <w:t>Realizovať štúdie realizovateľnosti na začiatku predinvestičného procesu</w:t>
      </w:r>
    </w:p>
    <w:p w14:paraId="694E6FF6" w14:textId="77777777" w:rsidR="00CB16AA" w:rsidRPr="00666914" w:rsidRDefault="00CB16AA" w:rsidP="00985E7A">
      <w:pPr>
        <w:ind w:left="720"/>
        <w:contextualSpacing/>
        <w:rPr>
          <w:b/>
          <w:u w:val="single"/>
        </w:rPr>
      </w:pPr>
    </w:p>
    <w:p w14:paraId="012A2EA0" w14:textId="142C377F" w:rsidR="00CB16AA" w:rsidRPr="00666914" w:rsidRDefault="00CB16AA" w:rsidP="00985E7A">
      <w:pPr>
        <w:contextualSpacing/>
      </w:pPr>
      <w:r w:rsidRPr="00666914">
        <w:t>V 2H2019 boli ÚHP predložené štúdie realizovateľnosti k 3 projektom na začiatku predinvestičného procesu</w:t>
      </w:r>
      <w:r w:rsidRPr="00666914">
        <w:rPr>
          <w:rStyle w:val="Odkaznapoznmkupodiarou"/>
        </w:rPr>
        <w:footnoteReference w:id="61"/>
      </w:r>
      <w:r w:rsidRPr="00666914">
        <w:t>, pričom finálne hodnotenie bolo vydané k projektu ZSSK „IS Komplexného vybavenia cestujúcich (KVC)“ v hodnote 29,8 mil. eur</w:t>
      </w:r>
      <w:r w:rsidRPr="00666914">
        <w:rPr>
          <w:rStyle w:val="Odkaznapoznmkupodiarou"/>
        </w:rPr>
        <w:footnoteReference w:id="62"/>
      </w:r>
      <w:r w:rsidR="00D67E6E" w:rsidRPr="00666914">
        <w:t>.</w:t>
      </w:r>
    </w:p>
    <w:p w14:paraId="4A4B6613" w14:textId="77777777" w:rsidR="00CB16AA" w:rsidRPr="00666914" w:rsidRDefault="00CB16AA" w:rsidP="00985E7A">
      <w:pPr>
        <w:contextualSpacing/>
      </w:pPr>
    </w:p>
    <w:p w14:paraId="4997B85A" w14:textId="77777777" w:rsidR="00CB16AA" w:rsidRPr="00666914" w:rsidRDefault="00CB16AA" w:rsidP="00985E7A">
      <w:pPr>
        <w:contextualSpacing/>
      </w:pPr>
      <w:r w:rsidRPr="00666914">
        <w:t>Na základe listu o záväznosti Rámca na hodnotenie verejných investičných projektov v SR medzi MDV SR a MF SR</w:t>
      </w:r>
      <w:r w:rsidRPr="00666914">
        <w:rPr>
          <w:rStyle w:val="Odkaznapoznmkupodiarou"/>
        </w:rPr>
        <w:footnoteReference w:id="63"/>
      </w:r>
      <w:r w:rsidRPr="00666914">
        <w:t xml:space="preserve"> majú mať všetky investičné projekty spracovanú štúdiu uskutočniteľnosti podľa aktuálnej metodiky OPII</w:t>
      </w:r>
      <w:r w:rsidRPr="00666914">
        <w:rPr>
          <w:rStyle w:val="Odkaznapoznmkupodiarou"/>
        </w:rPr>
        <w:footnoteReference w:id="64"/>
      </w:r>
      <w:r w:rsidRPr="00666914">
        <w:t xml:space="preserve"> a jej hodnotenie ÚHP pred začatím ďalšieho stupňa prípravy.</w:t>
      </w:r>
    </w:p>
    <w:p w14:paraId="5C8824A4" w14:textId="77777777" w:rsidR="00CB16AA" w:rsidRPr="00666914" w:rsidRDefault="00CB16AA" w:rsidP="00985E7A">
      <w:pPr>
        <w:contextualSpacing/>
        <w:rPr>
          <w:b/>
          <w:u w:val="single"/>
        </w:rPr>
      </w:pPr>
    </w:p>
    <w:p w14:paraId="6DF2A083" w14:textId="281F71AB" w:rsidR="00CB16AA" w:rsidRPr="00666914" w:rsidRDefault="00CB16AA" w:rsidP="00985E7A">
      <w:pPr>
        <w:pBdr>
          <w:bottom w:val="single" w:sz="4" w:space="1" w:color="auto"/>
        </w:pBdr>
        <w:spacing w:after="0"/>
        <w:rPr>
          <w:b/>
          <w:sz w:val="20"/>
          <w:szCs w:val="20"/>
        </w:rPr>
      </w:pPr>
      <w:bookmarkStart w:id="190" w:name="_Toc21522783"/>
      <w:bookmarkStart w:id="191" w:name="_Toc38447686"/>
      <w:r w:rsidRPr="00666914">
        <w:rPr>
          <w:b/>
          <w:sz w:val="20"/>
          <w:szCs w:val="20"/>
        </w:rPr>
        <w:t xml:space="preserve">Tabuľka </w:t>
      </w:r>
      <w:r w:rsidRPr="00666914">
        <w:rPr>
          <w:b/>
          <w:sz w:val="20"/>
          <w:szCs w:val="20"/>
        </w:rPr>
        <w:fldChar w:fldCharType="begin"/>
      </w:r>
      <w:r w:rsidRPr="00666914">
        <w:rPr>
          <w:b/>
          <w:sz w:val="20"/>
          <w:szCs w:val="20"/>
        </w:rPr>
        <w:instrText xml:space="preserve"> SEQ Tabuľka \* ARABIC \* MERGEFORMAT </w:instrText>
      </w:r>
      <w:r w:rsidRPr="00666914">
        <w:rPr>
          <w:b/>
          <w:sz w:val="20"/>
          <w:szCs w:val="20"/>
        </w:rPr>
        <w:fldChar w:fldCharType="separate"/>
      </w:r>
      <w:r w:rsidR="005A7304">
        <w:rPr>
          <w:b/>
          <w:noProof/>
          <w:sz w:val="20"/>
          <w:szCs w:val="20"/>
        </w:rPr>
        <w:t>25</w:t>
      </w:r>
      <w:r w:rsidRPr="00666914">
        <w:rPr>
          <w:b/>
          <w:sz w:val="20"/>
          <w:szCs w:val="20"/>
        </w:rPr>
        <w:fldChar w:fldCharType="end"/>
      </w:r>
      <w:r w:rsidRPr="00666914">
        <w:rPr>
          <w:b/>
          <w:sz w:val="20"/>
          <w:szCs w:val="20"/>
        </w:rPr>
        <w:t>: Zoznam investičných projektov MDV SR s povinnosťou mať štúdiu realizovateľnosti na začiatku predinvestičného procesu a ich stav k 31.12.2019</w:t>
      </w:r>
      <w:bookmarkEnd w:id="190"/>
      <w:bookmarkEnd w:id="191"/>
    </w:p>
    <w:tbl>
      <w:tblPr>
        <w:tblW w:w="5000" w:type="pct"/>
        <w:tblCellMar>
          <w:left w:w="70" w:type="dxa"/>
          <w:right w:w="70" w:type="dxa"/>
        </w:tblCellMar>
        <w:tblLook w:val="04A0" w:firstRow="1" w:lastRow="0" w:firstColumn="1" w:lastColumn="0" w:noHBand="0" w:noVBand="1"/>
      </w:tblPr>
      <w:tblGrid>
        <w:gridCol w:w="1201"/>
        <w:gridCol w:w="3262"/>
        <w:gridCol w:w="2016"/>
        <w:gridCol w:w="2735"/>
      </w:tblGrid>
      <w:tr w:rsidR="00CB16AA" w:rsidRPr="00666914" w14:paraId="40B51F84" w14:textId="77777777" w:rsidTr="00666914">
        <w:trPr>
          <w:trHeight w:val="300"/>
        </w:trPr>
        <w:tc>
          <w:tcPr>
            <w:tcW w:w="652" w:type="pct"/>
            <w:tcBorders>
              <w:top w:val="nil"/>
              <w:left w:val="nil"/>
              <w:bottom w:val="single" w:sz="4" w:space="0" w:color="auto"/>
              <w:right w:val="nil"/>
            </w:tcBorders>
            <w:shd w:val="clear" w:color="000000" w:fill="FFFFFF"/>
            <w:vAlign w:val="bottom"/>
            <w:hideMark/>
          </w:tcPr>
          <w:p w14:paraId="1004A1E0" w14:textId="77777777" w:rsidR="00CB16AA" w:rsidRPr="00666914" w:rsidRDefault="00CB16AA" w:rsidP="00985E7A">
            <w:pPr>
              <w:spacing w:after="0"/>
              <w:jc w:val="center"/>
              <w:rPr>
                <w:rFonts w:eastAsia="Times New Roman" w:cs="Calibri"/>
                <w:b/>
                <w:bCs/>
                <w:sz w:val="20"/>
                <w:szCs w:val="20"/>
                <w:lang w:eastAsia="sk-SK"/>
              </w:rPr>
            </w:pPr>
            <w:r w:rsidRPr="00666914">
              <w:rPr>
                <w:rFonts w:eastAsia="Times New Roman" w:cs="Calibri"/>
                <w:b/>
                <w:bCs/>
                <w:sz w:val="20"/>
                <w:szCs w:val="20"/>
                <w:lang w:eastAsia="sk-SK"/>
              </w:rPr>
              <w:t>Organizácia</w:t>
            </w:r>
          </w:p>
        </w:tc>
        <w:tc>
          <w:tcPr>
            <w:tcW w:w="1770" w:type="pct"/>
            <w:tcBorders>
              <w:top w:val="nil"/>
              <w:left w:val="nil"/>
              <w:bottom w:val="single" w:sz="4" w:space="0" w:color="auto"/>
              <w:right w:val="nil"/>
            </w:tcBorders>
            <w:shd w:val="clear" w:color="000000" w:fill="FFFFFF"/>
            <w:vAlign w:val="bottom"/>
            <w:hideMark/>
          </w:tcPr>
          <w:p w14:paraId="1CC2D197" w14:textId="77777777" w:rsidR="00CB16AA" w:rsidRPr="00666914" w:rsidRDefault="00CB16AA" w:rsidP="00985E7A">
            <w:pPr>
              <w:spacing w:after="0"/>
              <w:jc w:val="center"/>
              <w:rPr>
                <w:rFonts w:eastAsia="Times New Roman" w:cs="Calibri"/>
                <w:b/>
                <w:bCs/>
                <w:sz w:val="20"/>
                <w:szCs w:val="20"/>
                <w:lang w:eastAsia="sk-SK"/>
              </w:rPr>
            </w:pPr>
            <w:r w:rsidRPr="00666914">
              <w:rPr>
                <w:rFonts w:eastAsia="Times New Roman" w:cs="Calibri"/>
                <w:b/>
                <w:bCs/>
                <w:sz w:val="20"/>
                <w:szCs w:val="20"/>
                <w:lang w:eastAsia="sk-SK"/>
              </w:rPr>
              <w:t>Pripravovaný investičný projekt</w:t>
            </w:r>
          </w:p>
        </w:tc>
        <w:tc>
          <w:tcPr>
            <w:tcW w:w="1094" w:type="pct"/>
            <w:tcBorders>
              <w:top w:val="nil"/>
              <w:left w:val="nil"/>
              <w:bottom w:val="single" w:sz="4" w:space="0" w:color="auto"/>
              <w:right w:val="nil"/>
            </w:tcBorders>
            <w:shd w:val="clear" w:color="000000" w:fill="FFFFFF"/>
            <w:vAlign w:val="bottom"/>
            <w:hideMark/>
          </w:tcPr>
          <w:p w14:paraId="78EF3EB5" w14:textId="77777777" w:rsidR="00CB16AA" w:rsidRPr="00666914" w:rsidRDefault="00CB16AA" w:rsidP="00985E7A">
            <w:pPr>
              <w:spacing w:after="0"/>
              <w:jc w:val="center"/>
              <w:rPr>
                <w:rFonts w:eastAsia="Times New Roman" w:cs="Calibri"/>
                <w:b/>
                <w:bCs/>
                <w:sz w:val="20"/>
                <w:szCs w:val="20"/>
                <w:lang w:eastAsia="sk-SK"/>
              </w:rPr>
            </w:pPr>
            <w:r w:rsidRPr="00666914">
              <w:rPr>
                <w:rFonts w:eastAsia="Times New Roman" w:cs="Calibri"/>
                <w:b/>
                <w:bCs/>
                <w:sz w:val="20"/>
                <w:szCs w:val="20"/>
                <w:lang w:eastAsia="sk-SK"/>
              </w:rPr>
              <w:t>Predpokladaná hodnota (mil. eur)</w:t>
            </w:r>
          </w:p>
        </w:tc>
        <w:tc>
          <w:tcPr>
            <w:tcW w:w="1484" w:type="pct"/>
            <w:tcBorders>
              <w:top w:val="nil"/>
              <w:left w:val="nil"/>
              <w:bottom w:val="single" w:sz="4" w:space="0" w:color="auto"/>
              <w:right w:val="nil"/>
            </w:tcBorders>
            <w:shd w:val="clear" w:color="000000" w:fill="FFFFFF"/>
            <w:vAlign w:val="bottom"/>
            <w:hideMark/>
          </w:tcPr>
          <w:p w14:paraId="0D459015" w14:textId="77777777" w:rsidR="00CB16AA" w:rsidRPr="00666914" w:rsidRDefault="00CB16AA" w:rsidP="00985E7A">
            <w:pPr>
              <w:spacing w:after="0"/>
              <w:jc w:val="center"/>
              <w:rPr>
                <w:rFonts w:eastAsia="Times New Roman" w:cs="Calibri"/>
                <w:b/>
                <w:bCs/>
                <w:sz w:val="20"/>
                <w:szCs w:val="20"/>
                <w:lang w:eastAsia="sk-SK"/>
              </w:rPr>
            </w:pPr>
            <w:r w:rsidRPr="00666914">
              <w:rPr>
                <w:rFonts w:eastAsia="Times New Roman" w:cs="Calibri"/>
                <w:b/>
                <w:bCs/>
                <w:sz w:val="20"/>
                <w:szCs w:val="20"/>
                <w:lang w:eastAsia="sk-SK"/>
              </w:rPr>
              <w:t>Popis</w:t>
            </w:r>
          </w:p>
        </w:tc>
      </w:tr>
      <w:tr w:rsidR="00CB16AA" w:rsidRPr="00666914" w14:paraId="55C4ACBD" w14:textId="77777777" w:rsidTr="00666914">
        <w:trPr>
          <w:trHeight w:val="530"/>
        </w:trPr>
        <w:tc>
          <w:tcPr>
            <w:tcW w:w="652" w:type="pct"/>
            <w:tcBorders>
              <w:top w:val="single" w:sz="4" w:space="0" w:color="auto"/>
              <w:left w:val="nil"/>
              <w:bottom w:val="nil"/>
              <w:right w:val="nil"/>
            </w:tcBorders>
            <w:shd w:val="clear" w:color="000000" w:fill="FFFFFF"/>
            <w:vAlign w:val="center"/>
            <w:hideMark/>
          </w:tcPr>
          <w:p w14:paraId="7F86D308"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ŽSR</w:t>
            </w:r>
          </w:p>
        </w:tc>
        <w:tc>
          <w:tcPr>
            <w:tcW w:w="1770" w:type="pct"/>
            <w:tcBorders>
              <w:top w:val="single" w:sz="4" w:space="0" w:color="auto"/>
              <w:left w:val="nil"/>
              <w:bottom w:val="nil"/>
              <w:right w:val="nil"/>
            </w:tcBorders>
            <w:shd w:val="clear" w:color="000000" w:fill="FFFFFF"/>
            <w:vAlign w:val="center"/>
            <w:hideMark/>
          </w:tcPr>
          <w:p w14:paraId="725AD011" w14:textId="77777777" w:rsidR="00CB16AA" w:rsidRPr="00666914" w:rsidRDefault="00CB16AA" w:rsidP="00985E7A">
            <w:pPr>
              <w:spacing w:after="0"/>
              <w:rPr>
                <w:rFonts w:eastAsia="Times New Roman" w:cs="Calibri"/>
                <w:sz w:val="20"/>
                <w:szCs w:val="20"/>
                <w:lang w:eastAsia="sk-SK"/>
              </w:rPr>
            </w:pPr>
            <w:r w:rsidRPr="00666914">
              <w:rPr>
                <w:rFonts w:eastAsia="Times New Roman" w:cs="Calibri"/>
                <w:sz w:val="20"/>
                <w:szCs w:val="20"/>
                <w:lang w:eastAsia="sk-SK"/>
              </w:rPr>
              <w:t>Modernizácia elektronickej komunikačnej siete ŽSR</w:t>
            </w:r>
          </w:p>
        </w:tc>
        <w:tc>
          <w:tcPr>
            <w:tcW w:w="1094" w:type="pct"/>
            <w:tcBorders>
              <w:top w:val="single" w:sz="4" w:space="0" w:color="auto"/>
              <w:left w:val="nil"/>
              <w:bottom w:val="nil"/>
              <w:right w:val="nil"/>
            </w:tcBorders>
            <w:shd w:val="clear" w:color="000000" w:fill="FFFFFF"/>
            <w:vAlign w:val="center"/>
            <w:hideMark/>
          </w:tcPr>
          <w:p w14:paraId="20ED0740"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50,8</w:t>
            </w:r>
          </w:p>
        </w:tc>
        <w:tc>
          <w:tcPr>
            <w:tcW w:w="1484" w:type="pct"/>
            <w:tcBorders>
              <w:top w:val="single" w:sz="4" w:space="0" w:color="auto"/>
              <w:left w:val="nil"/>
              <w:bottom w:val="nil"/>
              <w:right w:val="nil"/>
            </w:tcBorders>
            <w:shd w:val="clear" w:color="000000" w:fill="FFFFFF"/>
            <w:vAlign w:val="center"/>
            <w:hideMark/>
          </w:tcPr>
          <w:p w14:paraId="403BEB75"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hodnotenie ukončené</w:t>
            </w:r>
          </w:p>
        </w:tc>
      </w:tr>
      <w:tr w:rsidR="00CB16AA" w:rsidRPr="00666914" w14:paraId="1B0567DB" w14:textId="77777777" w:rsidTr="00985E7A">
        <w:trPr>
          <w:trHeight w:val="290"/>
        </w:trPr>
        <w:tc>
          <w:tcPr>
            <w:tcW w:w="652" w:type="pct"/>
            <w:tcBorders>
              <w:top w:val="nil"/>
              <w:left w:val="nil"/>
              <w:bottom w:val="nil"/>
              <w:right w:val="nil"/>
            </w:tcBorders>
            <w:shd w:val="clear" w:color="000000" w:fill="FFFFFF"/>
            <w:vAlign w:val="center"/>
            <w:hideMark/>
          </w:tcPr>
          <w:p w14:paraId="7523A234"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ŽSR</w:t>
            </w:r>
          </w:p>
        </w:tc>
        <w:tc>
          <w:tcPr>
            <w:tcW w:w="1770" w:type="pct"/>
            <w:tcBorders>
              <w:top w:val="nil"/>
              <w:left w:val="nil"/>
              <w:bottom w:val="nil"/>
              <w:right w:val="nil"/>
            </w:tcBorders>
            <w:shd w:val="clear" w:color="000000" w:fill="FFFFFF"/>
            <w:vAlign w:val="center"/>
            <w:hideMark/>
          </w:tcPr>
          <w:p w14:paraId="73129308" w14:textId="77777777" w:rsidR="00CB16AA" w:rsidRPr="00666914" w:rsidRDefault="00CB16AA" w:rsidP="00985E7A">
            <w:pPr>
              <w:spacing w:after="0"/>
              <w:rPr>
                <w:rFonts w:eastAsia="Times New Roman" w:cs="Calibri"/>
                <w:sz w:val="20"/>
                <w:szCs w:val="20"/>
                <w:lang w:eastAsia="sk-SK"/>
              </w:rPr>
            </w:pPr>
            <w:r w:rsidRPr="00666914">
              <w:rPr>
                <w:rFonts w:eastAsia="Times New Roman" w:cs="Calibri"/>
                <w:sz w:val="20"/>
                <w:szCs w:val="20"/>
                <w:lang w:eastAsia="sk-SK"/>
              </w:rPr>
              <w:t>Uzol Bratislava</w:t>
            </w:r>
          </w:p>
        </w:tc>
        <w:tc>
          <w:tcPr>
            <w:tcW w:w="1094" w:type="pct"/>
            <w:tcBorders>
              <w:top w:val="nil"/>
              <w:left w:val="nil"/>
              <w:bottom w:val="nil"/>
              <w:right w:val="nil"/>
            </w:tcBorders>
            <w:shd w:val="clear" w:color="000000" w:fill="FFFFFF"/>
            <w:vAlign w:val="center"/>
            <w:hideMark/>
          </w:tcPr>
          <w:p w14:paraId="2A9F9AB6"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710-959</w:t>
            </w:r>
          </w:p>
        </w:tc>
        <w:tc>
          <w:tcPr>
            <w:tcW w:w="1484" w:type="pct"/>
            <w:tcBorders>
              <w:top w:val="nil"/>
              <w:left w:val="nil"/>
              <w:bottom w:val="nil"/>
              <w:right w:val="nil"/>
            </w:tcBorders>
            <w:shd w:val="clear" w:color="000000" w:fill="FFFFFF"/>
            <w:vAlign w:val="center"/>
            <w:hideMark/>
          </w:tcPr>
          <w:p w14:paraId="47FEF4E2"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hodnotenie prebieha</w:t>
            </w:r>
          </w:p>
        </w:tc>
      </w:tr>
      <w:tr w:rsidR="00CB16AA" w:rsidRPr="00666914" w14:paraId="77289D3D" w14:textId="77777777" w:rsidTr="00985E7A">
        <w:trPr>
          <w:trHeight w:val="520"/>
        </w:trPr>
        <w:tc>
          <w:tcPr>
            <w:tcW w:w="652" w:type="pct"/>
            <w:tcBorders>
              <w:top w:val="nil"/>
              <w:left w:val="nil"/>
              <w:bottom w:val="nil"/>
              <w:right w:val="nil"/>
            </w:tcBorders>
            <w:shd w:val="clear" w:color="000000" w:fill="FFFFFF"/>
            <w:vAlign w:val="center"/>
            <w:hideMark/>
          </w:tcPr>
          <w:p w14:paraId="396E09A9"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ŽSR</w:t>
            </w:r>
          </w:p>
        </w:tc>
        <w:tc>
          <w:tcPr>
            <w:tcW w:w="1770" w:type="pct"/>
            <w:tcBorders>
              <w:top w:val="nil"/>
              <w:left w:val="nil"/>
              <w:bottom w:val="nil"/>
              <w:right w:val="nil"/>
            </w:tcBorders>
            <w:shd w:val="clear" w:color="000000" w:fill="FFFFFF"/>
            <w:vAlign w:val="center"/>
            <w:hideMark/>
          </w:tcPr>
          <w:p w14:paraId="4D756EB6" w14:textId="77777777" w:rsidR="00CB16AA" w:rsidRPr="00666914" w:rsidRDefault="00CB16AA" w:rsidP="00985E7A">
            <w:pPr>
              <w:spacing w:after="0"/>
              <w:rPr>
                <w:rFonts w:eastAsia="Times New Roman" w:cs="Calibri"/>
                <w:sz w:val="20"/>
                <w:szCs w:val="20"/>
                <w:lang w:eastAsia="sk-SK"/>
              </w:rPr>
            </w:pPr>
            <w:r w:rsidRPr="00666914">
              <w:rPr>
                <w:rFonts w:eastAsia="Times New Roman" w:cs="Calibri"/>
                <w:sz w:val="20"/>
                <w:szCs w:val="20"/>
                <w:lang w:eastAsia="sk-SK"/>
              </w:rPr>
              <w:t>Elektrifikácia trate Haniska pri Košiciach – Moldava nad Bodvou</w:t>
            </w:r>
          </w:p>
        </w:tc>
        <w:tc>
          <w:tcPr>
            <w:tcW w:w="1094" w:type="pct"/>
            <w:tcBorders>
              <w:top w:val="nil"/>
              <w:left w:val="nil"/>
              <w:bottom w:val="nil"/>
              <w:right w:val="nil"/>
            </w:tcBorders>
            <w:shd w:val="clear" w:color="000000" w:fill="FFFFFF"/>
            <w:vAlign w:val="center"/>
            <w:hideMark/>
          </w:tcPr>
          <w:p w14:paraId="2D251F8C"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56</w:t>
            </w:r>
          </w:p>
        </w:tc>
        <w:tc>
          <w:tcPr>
            <w:tcW w:w="1484" w:type="pct"/>
            <w:tcBorders>
              <w:top w:val="nil"/>
              <w:left w:val="nil"/>
              <w:bottom w:val="nil"/>
              <w:right w:val="nil"/>
            </w:tcBorders>
            <w:shd w:val="clear" w:color="000000" w:fill="FFFFFF"/>
            <w:vAlign w:val="center"/>
            <w:hideMark/>
          </w:tcPr>
          <w:p w14:paraId="04381920"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hodnotenie ukončené</w:t>
            </w:r>
          </w:p>
        </w:tc>
      </w:tr>
      <w:tr w:rsidR="00CB16AA" w:rsidRPr="00666914" w14:paraId="2D5E758E" w14:textId="77777777" w:rsidTr="00985E7A">
        <w:trPr>
          <w:trHeight w:val="780"/>
        </w:trPr>
        <w:tc>
          <w:tcPr>
            <w:tcW w:w="652" w:type="pct"/>
            <w:tcBorders>
              <w:top w:val="nil"/>
              <w:left w:val="nil"/>
              <w:bottom w:val="nil"/>
              <w:right w:val="nil"/>
            </w:tcBorders>
            <w:shd w:val="clear" w:color="000000" w:fill="FFFFFF"/>
            <w:vAlign w:val="center"/>
          </w:tcPr>
          <w:p w14:paraId="6C252B56"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lastRenderedPageBreak/>
              <w:t>ŽSR</w:t>
            </w:r>
          </w:p>
        </w:tc>
        <w:tc>
          <w:tcPr>
            <w:tcW w:w="1770" w:type="pct"/>
            <w:tcBorders>
              <w:top w:val="nil"/>
              <w:left w:val="nil"/>
              <w:bottom w:val="nil"/>
              <w:right w:val="nil"/>
            </w:tcBorders>
            <w:shd w:val="clear" w:color="000000" w:fill="FFFFFF"/>
            <w:vAlign w:val="center"/>
          </w:tcPr>
          <w:p w14:paraId="68FC7DF2"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Implementácia TSI v podmienkach ŽSR</w:t>
            </w:r>
          </w:p>
        </w:tc>
        <w:tc>
          <w:tcPr>
            <w:tcW w:w="1094" w:type="pct"/>
            <w:tcBorders>
              <w:top w:val="nil"/>
              <w:left w:val="nil"/>
              <w:bottom w:val="nil"/>
              <w:right w:val="nil"/>
            </w:tcBorders>
            <w:shd w:val="clear" w:color="000000" w:fill="FFFFFF"/>
            <w:vAlign w:val="center"/>
          </w:tcPr>
          <w:p w14:paraId="3978A8EC"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13</w:t>
            </w:r>
          </w:p>
        </w:tc>
        <w:tc>
          <w:tcPr>
            <w:tcW w:w="1484" w:type="pct"/>
            <w:tcBorders>
              <w:top w:val="nil"/>
              <w:left w:val="nil"/>
              <w:bottom w:val="nil"/>
              <w:right w:val="nil"/>
            </w:tcBorders>
            <w:shd w:val="clear" w:color="000000" w:fill="FFFFFF"/>
            <w:vAlign w:val="center"/>
          </w:tcPr>
          <w:p w14:paraId="64F530D0" w14:textId="36ADC9CF" w:rsidR="00CB16AA" w:rsidRPr="00666914" w:rsidRDefault="00E3254A" w:rsidP="00985E7A">
            <w:pPr>
              <w:spacing w:after="0"/>
              <w:jc w:val="center"/>
              <w:rPr>
                <w:rFonts w:eastAsia="Times New Roman" w:cs="Calibri"/>
                <w:sz w:val="20"/>
                <w:szCs w:val="20"/>
                <w:lang w:eastAsia="sk-SK"/>
              </w:rPr>
            </w:pPr>
            <w:r w:rsidRPr="00666914">
              <w:rPr>
                <w:rFonts w:eastAsia="Times New Roman" w:cs="Calibri"/>
                <w:sz w:val="20"/>
                <w:szCs w:val="20"/>
                <w:lang w:eastAsia="sk-SK"/>
              </w:rPr>
              <w:t>h</w:t>
            </w:r>
            <w:r w:rsidR="00CB16AA" w:rsidRPr="00666914">
              <w:rPr>
                <w:rFonts w:eastAsia="Times New Roman" w:cs="Calibri"/>
                <w:sz w:val="20"/>
                <w:szCs w:val="20"/>
                <w:lang w:eastAsia="sk-SK"/>
              </w:rPr>
              <w:t>odnotenie ukončené</w:t>
            </w:r>
          </w:p>
        </w:tc>
      </w:tr>
      <w:tr w:rsidR="00CB16AA" w:rsidRPr="00666914" w14:paraId="3FD4CF2C" w14:textId="77777777" w:rsidTr="00985E7A">
        <w:trPr>
          <w:trHeight w:val="780"/>
        </w:trPr>
        <w:tc>
          <w:tcPr>
            <w:tcW w:w="652" w:type="pct"/>
            <w:tcBorders>
              <w:top w:val="nil"/>
              <w:left w:val="nil"/>
              <w:bottom w:val="nil"/>
              <w:right w:val="nil"/>
            </w:tcBorders>
            <w:shd w:val="clear" w:color="000000" w:fill="FFFFFF"/>
            <w:vAlign w:val="center"/>
            <w:hideMark/>
          </w:tcPr>
          <w:p w14:paraId="1BD081D5"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ŽSR</w:t>
            </w:r>
          </w:p>
        </w:tc>
        <w:tc>
          <w:tcPr>
            <w:tcW w:w="1770" w:type="pct"/>
            <w:tcBorders>
              <w:top w:val="nil"/>
              <w:left w:val="nil"/>
              <w:bottom w:val="nil"/>
              <w:right w:val="nil"/>
            </w:tcBorders>
            <w:shd w:val="clear" w:color="000000" w:fill="FFFFFF"/>
            <w:vAlign w:val="center"/>
            <w:hideMark/>
          </w:tcPr>
          <w:p w14:paraId="29119987" w14:textId="77777777" w:rsidR="00CB16AA" w:rsidRPr="00666914" w:rsidRDefault="00CB16AA" w:rsidP="00985E7A">
            <w:pPr>
              <w:spacing w:after="0"/>
              <w:rPr>
                <w:rFonts w:eastAsia="Times New Roman" w:cs="Calibri"/>
                <w:sz w:val="20"/>
                <w:szCs w:val="20"/>
                <w:lang w:eastAsia="sk-SK"/>
              </w:rPr>
            </w:pPr>
            <w:r w:rsidRPr="00666914">
              <w:rPr>
                <w:rFonts w:eastAsia="Times New Roman" w:cs="Calibri"/>
                <w:sz w:val="20"/>
                <w:szCs w:val="20"/>
                <w:lang w:eastAsia="sk-SK"/>
              </w:rPr>
              <w:t xml:space="preserve">Modernizácia koridoru, štátna hranica ČR/SR - Čadca - Krásno nad Kysucou (mimo), železničná trať </w:t>
            </w:r>
          </w:p>
        </w:tc>
        <w:tc>
          <w:tcPr>
            <w:tcW w:w="1094" w:type="pct"/>
            <w:tcBorders>
              <w:top w:val="nil"/>
              <w:left w:val="nil"/>
              <w:bottom w:val="nil"/>
              <w:right w:val="nil"/>
            </w:tcBorders>
            <w:shd w:val="clear" w:color="000000" w:fill="FFFFFF"/>
            <w:vAlign w:val="center"/>
            <w:hideMark/>
          </w:tcPr>
          <w:p w14:paraId="233B9F05"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298,8</w:t>
            </w:r>
          </w:p>
        </w:tc>
        <w:tc>
          <w:tcPr>
            <w:tcW w:w="1484" w:type="pct"/>
            <w:tcBorders>
              <w:top w:val="nil"/>
              <w:left w:val="nil"/>
              <w:bottom w:val="nil"/>
              <w:right w:val="nil"/>
            </w:tcBorders>
            <w:shd w:val="clear" w:color="000000" w:fill="FFFFFF"/>
            <w:vAlign w:val="center"/>
            <w:hideMark/>
          </w:tcPr>
          <w:p w14:paraId="41504787"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štúdia uskutočniteľnosti/prebieha hodnotenie</w:t>
            </w:r>
          </w:p>
        </w:tc>
      </w:tr>
      <w:tr w:rsidR="00CB16AA" w:rsidRPr="00666914" w14:paraId="4660F499" w14:textId="77777777" w:rsidTr="00985E7A">
        <w:trPr>
          <w:trHeight w:val="520"/>
        </w:trPr>
        <w:tc>
          <w:tcPr>
            <w:tcW w:w="652" w:type="pct"/>
            <w:tcBorders>
              <w:top w:val="nil"/>
              <w:left w:val="nil"/>
              <w:bottom w:val="nil"/>
              <w:right w:val="nil"/>
            </w:tcBorders>
            <w:shd w:val="clear" w:color="000000" w:fill="FFFFFF"/>
            <w:vAlign w:val="center"/>
            <w:hideMark/>
          </w:tcPr>
          <w:p w14:paraId="621CAF9C"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ŽSR</w:t>
            </w:r>
          </w:p>
        </w:tc>
        <w:tc>
          <w:tcPr>
            <w:tcW w:w="1770" w:type="pct"/>
            <w:tcBorders>
              <w:top w:val="nil"/>
              <w:left w:val="nil"/>
              <w:bottom w:val="nil"/>
              <w:right w:val="nil"/>
            </w:tcBorders>
            <w:shd w:val="clear" w:color="000000" w:fill="FFFFFF"/>
            <w:vAlign w:val="center"/>
            <w:hideMark/>
          </w:tcPr>
          <w:p w14:paraId="0189F1B5" w14:textId="77777777" w:rsidR="00CB16AA" w:rsidRPr="00666914" w:rsidRDefault="00CB16AA" w:rsidP="00985E7A">
            <w:pPr>
              <w:spacing w:after="0"/>
              <w:rPr>
                <w:rFonts w:eastAsia="Times New Roman" w:cs="Calibri"/>
                <w:sz w:val="20"/>
                <w:szCs w:val="20"/>
                <w:lang w:eastAsia="sk-SK"/>
              </w:rPr>
            </w:pPr>
            <w:r w:rsidRPr="00666914">
              <w:rPr>
                <w:rFonts w:eastAsia="Times New Roman" w:cs="Calibri"/>
                <w:sz w:val="20"/>
                <w:szCs w:val="20"/>
                <w:lang w:eastAsia="sk-SK"/>
              </w:rPr>
              <w:t>Elektrifikácia trate Bánovce nad Ondavou - Humenné</w:t>
            </w:r>
          </w:p>
        </w:tc>
        <w:tc>
          <w:tcPr>
            <w:tcW w:w="1094" w:type="pct"/>
            <w:tcBorders>
              <w:top w:val="nil"/>
              <w:left w:val="nil"/>
              <w:bottom w:val="nil"/>
              <w:right w:val="nil"/>
            </w:tcBorders>
            <w:shd w:val="clear" w:color="000000" w:fill="FFFFFF"/>
            <w:vAlign w:val="center"/>
            <w:hideMark/>
          </w:tcPr>
          <w:p w14:paraId="240A4DCD"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114</w:t>
            </w:r>
          </w:p>
        </w:tc>
        <w:tc>
          <w:tcPr>
            <w:tcW w:w="1484" w:type="pct"/>
            <w:tcBorders>
              <w:top w:val="nil"/>
              <w:left w:val="nil"/>
              <w:bottom w:val="nil"/>
              <w:right w:val="nil"/>
            </w:tcBorders>
            <w:shd w:val="clear" w:color="000000" w:fill="FFFFFF"/>
            <w:vAlign w:val="center"/>
            <w:hideMark/>
          </w:tcPr>
          <w:p w14:paraId="3A5768EC"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pripomienky k prvotným výstupom z pripravovanej ŠU a CBA</w:t>
            </w:r>
          </w:p>
        </w:tc>
      </w:tr>
      <w:tr w:rsidR="00CB16AA" w:rsidRPr="00666914" w14:paraId="5E8DA5FC" w14:textId="77777777" w:rsidTr="00985E7A">
        <w:trPr>
          <w:trHeight w:val="520"/>
        </w:trPr>
        <w:tc>
          <w:tcPr>
            <w:tcW w:w="652" w:type="pct"/>
            <w:tcBorders>
              <w:top w:val="nil"/>
              <w:left w:val="nil"/>
              <w:bottom w:val="nil"/>
              <w:right w:val="nil"/>
            </w:tcBorders>
            <w:shd w:val="clear" w:color="000000" w:fill="FFFFFF"/>
            <w:vAlign w:val="center"/>
            <w:hideMark/>
          </w:tcPr>
          <w:p w14:paraId="10945F10"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ŽSR</w:t>
            </w:r>
          </w:p>
        </w:tc>
        <w:tc>
          <w:tcPr>
            <w:tcW w:w="1770" w:type="pct"/>
            <w:tcBorders>
              <w:top w:val="nil"/>
              <w:left w:val="nil"/>
              <w:bottom w:val="nil"/>
              <w:right w:val="nil"/>
            </w:tcBorders>
            <w:shd w:val="clear" w:color="000000" w:fill="FFFFFF"/>
            <w:vAlign w:val="center"/>
            <w:hideMark/>
          </w:tcPr>
          <w:p w14:paraId="270F953F" w14:textId="77777777" w:rsidR="00CB16AA" w:rsidRPr="00666914" w:rsidRDefault="00CB16AA" w:rsidP="00985E7A">
            <w:pPr>
              <w:spacing w:after="0"/>
              <w:rPr>
                <w:rFonts w:eastAsia="Times New Roman" w:cs="Calibri"/>
                <w:sz w:val="20"/>
                <w:szCs w:val="20"/>
                <w:lang w:eastAsia="sk-SK"/>
              </w:rPr>
            </w:pPr>
            <w:r w:rsidRPr="00666914">
              <w:rPr>
                <w:rFonts w:eastAsia="Times New Roman" w:cs="Calibri"/>
                <w:sz w:val="20"/>
                <w:szCs w:val="20"/>
                <w:lang w:eastAsia="sk-SK"/>
              </w:rPr>
              <w:t>Dispečerizácia Prievidza - Jelšovce</w:t>
            </w:r>
          </w:p>
        </w:tc>
        <w:tc>
          <w:tcPr>
            <w:tcW w:w="1094" w:type="pct"/>
            <w:tcBorders>
              <w:top w:val="nil"/>
              <w:left w:val="nil"/>
              <w:bottom w:val="nil"/>
              <w:right w:val="nil"/>
            </w:tcBorders>
            <w:shd w:val="clear" w:color="000000" w:fill="FFFFFF"/>
            <w:vAlign w:val="center"/>
            <w:hideMark/>
          </w:tcPr>
          <w:p w14:paraId="1BDD60B7"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52,2</w:t>
            </w:r>
          </w:p>
        </w:tc>
        <w:tc>
          <w:tcPr>
            <w:tcW w:w="1484" w:type="pct"/>
            <w:tcBorders>
              <w:top w:val="nil"/>
              <w:left w:val="nil"/>
              <w:bottom w:val="nil"/>
              <w:right w:val="nil"/>
            </w:tcBorders>
            <w:shd w:val="clear" w:color="000000" w:fill="FFFFFF"/>
            <w:vAlign w:val="center"/>
            <w:hideMark/>
          </w:tcPr>
          <w:p w14:paraId="16D40342"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pripomienky k prvotným výstupom z pripravovanej ŠU a CBA</w:t>
            </w:r>
          </w:p>
        </w:tc>
      </w:tr>
      <w:tr w:rsidR="00CB16AA" w:rsidRPr="00666914" w14:paraId="045AFDD8" w14:textId="77777777" w:rsidTr="00985E7A">
        <w:trPr>
          <w:trHeight w:val="520"/>
        </w:trPr>
        <w:tc>
          <w:tcPr>
            <w:tcW w:w="652" w:type="pct"/>
            <w:tcBorders>
              <w:top w:val="nil"/>
              <w:left w:val="nil"/>
              <w:bottom w:val="nil"/>
              <w:right w:val="nil"/>
            </w:tcBorders>
            <w:shd w:val="clear" w:color="000000" w:fill="FFFFFF"/>
            <w:vAlign w:val="center"/>
            <w:hideMark/>
          </w:tcPr>
          <w:p w14:paraId="7B25986C"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ARVD</w:t>
            </w:r>
          </w:p>
        </w:tc>
        <w:tc>
          <w:tcPr>
            <w:tcW w:w="1770" w:type="pct"/>
            <w:tcBorders>
              <w:top w:val="nil"/>
              <w:left w:val="nil"/>
              <w:bottom w:val="nil"/>
              <w:right w:val="nil"/>
            </w:tcBorders>
            <w:shd w:val="clear" w:color="000000" w:fill="FFFFFF"/>
            <w:vAlign w:val="center"/>
            <w:hideMark/>
          </w:tcPr>
          <w:p w14:paraId="6C556C4E" w14:textId="77777777" w:rsidR="00CB16AA" w:rsidRPr="00666914" w:rsidRDefault="00CB16AA" w:rsidP="00985E7A">
            <w:pPr>
              <w:spacing w:after="0"/>
              <w:rPr>
                <w:rFonts w:eastAsia="Times New Roman" w:cs="Calibri"/>
                <w:sz w:val="20"/>
                <w:szCs w:val="20"/>
                <w:lang w:eastAsia="sk-SK"/>
              </w:rPr>
            </w:pPr>
            <w:r w:rsidRPr="00666914">
              <w:rPr>
                <w:rFonts w:eastAsia="Times New Roman" w:cs="Calibri"/>
                <w:sz w:val="20"/>
                <w:szCs w:val="20"/>
                <w:lang w:eastAsia="sk-SK"/>
              </w:rPr>
              <w:t>Splavnenie dolného Váhu v úseku Piešťany - Komárno</w:t>
            </w:r>
          </w:p>
        </w:tc>
        <w:tc>
          <w:tcPr>
            <w:tcW w:w="1094" w:type="pct"/>
            <w:tcBorders>
              <w:top w:val="nil"/>
              <w:left w:val="nil"/>
              <w:bottom w:val="nil"/>
              <w:right w:val="nil"/>
            </w:tcBorders>
            <w:shd w:val="clear" w:color="000000" w:fill="FFFFFF"/>
            <w:vAlign w:val="center"/>
            <w:hideMark/>
          </w:tcPr>
          <w:p w14:paraId="2428DCF5"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1 345</w:t>
            </w:r>
          </w:p>
        </w:tc>
        <w:tc>
          <w:tcPr>
            <w:tcW w:w="1484" w:type="pct"/>
            <w:tcBorders>
              <w:top w:val="nil"/>
              <w:left w:val="nil"/>
              <w:bottom w:val="nil"/>
              <w:right w:val="nil"/>
            </w:tcBorders>
            <w:shd w:val="clear" w:color="000000" w:fill="FFFFFF"/>
            <w:vAlign w:val="center"/>
            <w:hideMark/>
          </w:tcPr>
          <w:p w14:paraId="4EB156C7"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projekt zastavený, keďže ARVD bola zrušená v 11/2018</w:t>
            </w:r>
          </w:p>
        </w:tc>
      </w:tr>
      <w:tr w:rsidR="00CB16AA" w:rsidRPr="00666914" w14:paraId="4FA26AE0" w14:textId="77777777" w:rsidTr="00985E7A">
        <w:trPr>
          <w:trHeight w:val="520"/>
        </w:trPr>
        <w:tc>
          <w:tcPr>
            <w:tcW w:w="652" w:type="pct"/>
            <w:tcBorders>
              <w:top w:val="nil"/>
              <w:left w:val="nil"/>
              <w:bottom w:val="nil"/>
              <w:right w:val="nil"/>
            </w:tcBorders>
            <w:shd w:val="clear" w:color="000000" w:fill="FFFFFF"/>
            <w:vAlign w:val="center"/>
            <w:hideMark/>
          </w:tcPr>
          <w:p w14:paraId="31C8EA03"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MDV/ OZ Prodanubia</w:t>
            </w:r>
          </w:p>
        </w:tc>
        <w:tc>
          <w:tcPr>
            <w:tcW w:w="1770" w:type="pct"/>
            <w:tcBorders>
              <w:top w:val="nil"/>
              <w:left w:val="nil"/>
              <w:bottom w:val="nil"/>
              <w:right w:val="nil"/>
            </w:tcBorders>
            <w:shd w:val="clear" w:color="000000" w:fill="FFFFFF"/>
            <w:vAlign w:val="center"/>
            <w:hideMark/>
          </w:tcPr>
          <w:p w14:paraId="03C644D1" w14:textId="77777777" w:rsidR="00CB16AA" w:rsidRPr="00666914" w:rsidRDefault="00CB16AA" w:rsidP="00985E7A">
            <w:pPr>
              <w:spacing w:after="0"/>
              <w:rPr>
                <w:rFonts w:eastAsia="Times New Roman" w:cs="Calibri"/>
                <w:sz w:val="20"/>
                <w:szCs w:val="20"/>
                <w:lang w:eastAsia="sk-SK"/>
              </w:rPr>
            </w:pPr>
            <w:r w:rsidRPr="00666914">
              <w:rPr>
                <w:rFonts w:eastAsia="Times New Roman" w:cs="Calibri"/>
                <w:sz w:val="20"/>
                <w:szCs w:val="20"/>
                <w:lang w:eastAsia="sk-SK"/>
              </w:rPr>
              <w:t>Pravidelná osobná vodná doprava po Dunaji - DUNAJBUS</w:t>
            </w:r>
          </w:p>
        </w:tc>
        <w:tc>
          <w:tcPr>
            <w:tcW w:w="1094" w:type="pct"/>
            <w:tcBorders>
              <w:top w:val="nil"/>
              <w:left w:val="nil"/>
              <w:bottom w:val="nil"/>
              <w:right w:val="nil"/>
            </w:tcBorders>
            <w:shd w:val="clear" w:color="000000" w:fill="FFFFFF"/>
            <w:vAlign w:val="center"/>
            <w:hideMark/>
          </w:tcPr>
          <w:p w14:paraId="684AC397"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60</w:t>
            </w:r>
          </w:p>
        </w:tc>
        <w:tc>
          <w:tcPr>
            <w:tcW w:w="1484" w:type="pct"/>
            <w:tcBorders>
              <w:top w:val="nil"/>
              <w:left w:val="nil"/>
              <w:bottom w:val="nil"/>
              <w:right w:val="nil"/>
            </w:tcBorders>
            <w:shd w:val="clear" w:color="000000" w:fill="FFFFFF"/>
            <w:vAlign w:val="center"/>
            <w:hideMark/>
          </w:tcPr>
          <w:p w14:paraId="173E6481"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hodnotenie prebieha</w:t>
            </w:r>
          </w:p>
        </w:tc>
      </w:tr>
      <w:tr w:rsidR="00CB16AA" w:rsidRPr="00666914" w14:paraId="0A1C097A" w14:textId="77777777" w:rsidTr="00985E7A">
        <w:trPr>
          <w:trHeight w:val="290"/>
        </w:trPr>
        <w:tc>
          <w:tcPr>
            <w:tcW w:w="652" w:type="pct"/>
            <w:tcBorders>
              <w:top w:val="nil"/>
              <w:left w:val="nil"/>
              <w:bottom w:val="nil"/>
              <w:right w:val="nil"/>
            </w:tcBorders>
            <w:shd w:val="clear" w:color="000000" w:fill="FFFFFF"/>
            <w:vAlign w:val="center"/>
            <w:hideMark/>
          </w:tcPr>
          <w:p w14:paraId="24EAEE31"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ZSSK</w:t>
            </w:r>
          </w:p>
        </w:tc>
        <w:tc>
          <w:tcPr>
            <w:tcW w:w="1770" w:type="pct"/>
            <w:tcBorders>
              <w:top w:val="nil"/>
              <w:left w:val="nil"/>
              <w:bottom w:val="nil"/>
              <w:right w:val="nil"/>
            </w:tcBorders>
            <w:shd w:val="clear" w:color="000000" w:fill="FFFFFF"/>
            <w:vAlign w:val="center"/>
            <w:hideMark/>
          </w:tcPr>
          <w:p w14:paraId="63C086F8" w14:textId="77777777" w:rsidR="00CB16AA" w:rsidRPr="00666914" w:rsidRDefault="00CB16AA" w:rsidP="00985E7A">
            <w:pPr>
              <w:spacing w:after="0"/>
              <w:rPr>
                <w:rFonts w:eastAsia="Times New Roman" w:cs="Calibri"/>
                <w:sz w:val="20"/>
                <w:szCs w:val="20"/>
                <w:lang w:eastAsia="sk-SK"/>
              </w:rPr>
            </w:pPr>
            <w:r w:rsidRPr="00666914">
              <w:rPr>
                <w:rFonts w:eastAsia="Times New Roman" w:cs="Calibri"/>
                <w:sz w:val="20"/>
                <w:szCs w:val="20"/>
                <w:lang w:eastAsia="sk-SK"/>
              </w:rPr>
              <w:t>Informačný systém KVC</w:t>
            </w:r>
          </w:p>
        </w:tc>
        <w:tc>
          <w:tcPr>
            <w:tcW w:w="1094" w:type="pct"/>
            <w:tcBorders>
              <w:top w:val="nil"/>
              <w:left w:val="nil"/>
              <w:bottom w:val="nil"/>
              <w:right w:val="nil"/>
            </w:tcBorders>
            <w:shd w:val="clear" w:color="000000" w:fill="FFFFFF"/>
            <w:vAlign w:val="center"/>
            <w:hideMark/>
          </w:tcPr>
          <w:p w14:paraId="6C06C8A2"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29,8</w:t>
            </w:r>
          </w:p>
        </w:tc>
        <w:tc>
          <w:tcPr>
            <w:tcW w:w="1484" w:type="pct"/>
            <w:tcBorders>
              <w:top w:val="nil"/>
              <w:left w:val="nil"/>
              <w:bottom w:val="nil"/>
              <w:right w:val="nil"/>
            </w:tcBorders>
            <w:shd w:val="clear" w:color="000000" w:fill="FFFFFF"/>
            <w:vAlign w:val="center"/>
            <w:hideMark/>
          </w:tcPr>
          <w:p w14:paraId="5B4BE84F"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hodnotenie ukončené</w:t>
            </w:r>
          </w:p>
        </w:tc>
      </w:tr>
      <w:tr w:rsidR="00CB16AA" w:rsidRPr="00666914" w14:paraId="141FDF83" w14:textId="77777777" w:rsidTr="00985E7A">
        <w:trPr>
          <w:trHeight w:val="780"/>
        </w:trPr>
        <w:tc>
          <w:tcPr>
            <w:tcW w:w="652" w:type="pct"/>
            <w:tcBorders>
              <w:top w:val="nil"/>
              <w:left w:val="nil"/>
              <w:bottom w:val="nil"/>
              <w:right w:val="nil"/>
            </w:tcBorders>
            <w:shd w:val="clear" w:color="000000" w:fill="FFFFFF"/>
            <w:vAlign w:val="center"/>
            <w:hideMark/>
          </w:tcPr>
          <w:p w14:paraId="70A43A93"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ZSSK</w:t>
            </w:r>
          </w:p>
        </w:tc>
        <w:tc>
          <w:tcPr>
            <w:tcW w:w="1770" w:type="pct"/>
            <w:tcBorders>
              <w:top w:val="nil"/>
              <w:left w:val="nil"/>
              <w:bottom w:val="nil"/>
              <w:right w:val="nil"/>
            </w:tcBorders>
            <w:shd w:val="clear" w:color="000000" w:fill="FFFFFF"/>
            <w:vAlign w:val="center"/>
            <w:hideMark/>
          </w:tcPr>
          <w:p w14:paraId="67680E83" w14:textId="77777777" w:rsidR="00CB16AA" w:rsidRPr="00666914" w:rsidRDefault="00CB16AA" w:rsidP="00985E7A">
            <w:pPr>
              <w:spacing w:after="0"/>
              <w:rPr>
                <w:rFonts w:eastAsia="Times New Roman" w:cs="Calibri"/>
                <w:sz w:val="20"/>
                <w:szCs w:val="20"/>
                <w:lang w:eastAsia="sk-SK"/>
              </w:rPr>
            </w:pPr>
            <w:r w:rsidRPr="00666914">
              <w:rPr>
                <w:rFonts w:eastAsia="Times New Roman" w:cs="Calibri"/>
                <w:sz w:val="20"/>
                <w:szCs w:val="20"/>
                <w:lang w:eastAsia="sk-SK"/>
              </w:rPr>
              <w:t>Vybudovanie infraštruktúry na kontrolu a prípravu vozového parku železničnej osobnej dopravy - Nové Zámky</w:t>
            </w:r>
          </w:p>
        </w:tc>
        <w:tc>
          <w:tcPr>
            <w:tcW w:w="1094" w:type="pct"/>
            <w:tcBorders>
              <w:top w:val="nil"/>
              <w:left w:val="nil"/>
              <w:bottom w:val="nil"/>
              <w:right w:val="nil"/>
            </w:tcBorders>
            <w:shd w:val="clear" w:color="000000" w:fill="FFFFFF"/>
            <w:vAlign w:val="center"/>
            <w:hideMark/>
          </w:tcPr>
          <w:p w14:paraId="1E01B433"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36</w:t>
            </w:r>
          </w:p>
        </w:tc>
        <w:tc>
          <w:tcPr>
            <w:tcW w:w="1484" w:type="pct"/>
            <w:tcBorders>
              <w:top w:val="nil"/>
              <w:left w:val="nil"/>
              <w:bottom w:val="nil"/>
              <w:right w:val="nil"/>
            </w:tcBorders>
            <w:shd w:val="clear" w:color="000000" w:fill="FFFFFF"/>
            <w:vAlign w:val="center"/>
            <w:hideMark/>
          </w:tcPr>
          <w:p w14:paraId="426ABEA0"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hodnotenie ukončené</w:t>
            </w:r>
          </w:p>
        </w:tc>
      </w:tr>
      <w:tr w:rsidR="00CB16AA" w:rsidRPr="00666914" w14:paraId="2D61397E" w14:textId="77777777" w:rsidTr="00985E7A">
        <w:trPr>
          <w:trHeight w:val="780"/>
        </w:trPr>
        <w:tc>
          <w:tcPr>
            <w:tcW w:w="652" w:type="pct"/>
            <w:tcBorders>
              <w:top w:val="nil"/>
              <w:left w:val="nil"/>
              <w:bottom w:val="nil"/>
              <w:right w:val="nil"/>
            </w:tcBorders>
            <w:shd w:val="clear" w:color="000000" w:fill="FFFFFF"/>
            <w:vAlign w:val="center"/>
          </w:tcPr>
          <w:p w14:paraId="25CE60D6"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ZSSK</w:t>
            </w:r>
          </w:p>
        </w:tc>
        <w:tc>
          <w:tcPr>
            <w:tcW w:w="1770" w:type="pct"/>
            <w:tcBorders>
              <w:top w:val="nil"/>
              <w:left w:val="nil"/>
              <w:bottom w:val="nil"/>
              <w:right w:val="nil"/>
            </w:tcBorders>
            <w:shd w:val="clear" w:color="000000" w:fill="FFFFFF"/>
            <w:vAlign w:val="center"/>
          </w:tcPr>
          <w:p w14:paraId="7965A6B7" w14:textId="77777777" w:rsidR="00CB16AA" w:rsidRPr="00666914" w:rsidRDefault="00CB16AA" w:rsidP="00985E7A">
            <w:pPr>
              <w:spacing w:after="0"/>
              <w:rPr>
                <w:rFonts w:eastAsia="Times New Roman" w:cs="Calibri"/>
                <w:sz w:val="20"/>
                <w:szCs w:val="20"/>
                <w:lang w:eastAsia="sk-SK"/>
              </w:rPr>
            </w:pPr>
            <w:r w:rsidRPr="00666914">
              <w:rPr>
                <w:rFonts w:eastAsia="Times New Roman" w:cs="Calibri"/>
                <w:sz w:val="20"/>
                <w:szCs w:val="20"/>
                <w:lang w:eastAsia="sk-SK"/>
              </w:rPr>
              <w:t>Modernizácia vozového parku ŽKV</w:t>
            </w:r>
          </w:p>
        </w:tc>
        <w:tc>
          <w:tcPr>
            <w:tcW w:w="1094" w:type="pct"/>
            <w:tcBorders>
              <w:top w:val="nil"/>
              <w:left w:val="nil"/>
              <w:bottom w:val="nil"/>
              <w:right w:val="nil"/>
            </w:tcBorders>
            <w:shd w:val="clear" w:color="000000" w:fill="FFFFFF"/>
            <w:vAlign w:val="center"/>
          </w:tcPr>
          <w:p w14:paraId="4BB9A46E"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78,4</w:t>
            </w:r>
          </w:p>
        </w:tc>
        <w:tc>
          <w:tcPr>
            <w:tcW w:w="1484" w:type="pct"/>
            <w:tcBorders>
              <w:top w:val="nil"/>
              <w:left w:val="nil"/>
              <w:bottom w:val="nil"/>
              <w:right w:val="nil"/>
            </w:tcBorders>
            <w:shd w:val="clear" w:color="000000" w:fill="FFFFFF"/>
            <w:vAlign w:val="center"/>
          </w:tcPr>
          <w:p w14:paraId="2BE5E3CF"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hodnotenie prebieha</w:t>
            </w:r>
          </w:p>
        </w:tc>
      </w:tr>
      <w:tr w:rsidR="00CB16AA" w:rsidRPr="00666914" w14:paraId="204260E9" w14:textId="77777777" w:rsidTr="00985E7A">
        <w:trPr>
          <w:trHeight w:val="520"/>
        </w:trPr>
        <w:tc>
          <w:tcPr>
            <w:tcW w:w="652" w:type="pct"/>
            <w:tcBorders>
              <w:top w:val="nil"/>
              <w:left w:val="nil"/>
              <w:bottom w:val="nil"/>
              <w:right w:val="nil"/>
            </w:tcBorders>
            <w:shd w:val="clear" w:color="000000" w:fill="FFFFFF"/>
            <w:vAlign w:val="center"/>
            <w:hideMark/>
          </w:tcPr>
          <w:p w14:paraId="05E76095"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SSC</w:t>
            </w:r>
          </w:p>
        </w:tc>
        <w:tc>
          <w:tcPr>
            <w:tcW w:w="1770" w:type="pct"/>
            <w:tcBorders>
              <w:top w:val="nil"/>
              <w:left w:val="nil"/>
              <w:bottom w:val="nil"/>
              <w:right w:val="nil"/>
            </w:tcBorders>
            <w:shd w:val="clear" w:color="000000" w:fill="FFFFFF"/>
            <w:vAlign w:val="center"/>
            <w:hideMark/>
          </w:tcPr>
          <w:p w14:paraId="1870E463" w14:textId="77777777" w:rsidR="00CB16AA" w:rsidRPr="00666914" w:rsidRDefault="00CB16AA" w:rsidP="00985E7A">
            <w:pPr>
              <w:spacing w:after="0"/>
              <w:rPr>
                <w:rFonts w:eastAsia="Times New Roman" w:cs="Calibri"/>
                <w:sz w:val="20"/>
                <w:szCs w:val="20"/>
                <w:lang w:eastAsia="sk-SK"/>
              </w:rPr>
            </w:pPr>
            <w:r w:rsidRPr="00666914">
              <w:rPr>
                <w:rFonts w:eastAsia="Times New Roman" w:cs="Calibri"/>
                <w:sz w:val="20"/>
                <w:szCs w:val="20"/>
                <w:lang w:eastAsia="sk-SK"/>
              </w:rPr>
              <w:t>I/67, I/66, I/77 Rožňava – Bardejovské kúpele</w:t>
            </w:r>
          </w:p>
        </w:tc>
        <w:tc>
          <w:tcPr>
            <w:tcW w:w="1094" w:type="pct"/>
            <w:tcBorders>
              <w:top w:val="nil"/>
              <w:left w:val="nil"/>
              <w:bottom w:val="nil"/>
              <w:right w:val="nil"/>
            </w:tcBorders>
            <w:shd w:val="clear" w:color="000000" w:fill="FFFFFF"/>
            <w:vAlign w:val="center"/>
            <w:hideMark/>
          </w:tcPr>
          <w:p w14:paraId="3DF65C8B"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w:t>
            </w:r>
          </w:p>
        </w:tc>
        <w:tc>
          <w:tcPr>
            <w:tcW w:w="1484" w:type="pct"/>
            <w:tcBorders>
              <w:top w:val="nil"/>
              <w:left w:val="nil"/>
              <w:bottom w:val="nil"/>
              <w:right w:val="nil"/>
            </w:tcBorders>
            <w:shd w:val="clear" w:color="000000" w:fill="FFFFFF"/>
            <w:vAlign w:val="center"/>
            <w:hideMark/>
          </w:tcPr>
          <w:p w14:paraId="2F490B47"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pripomienky k štúdii uskutočniteľnosti</w:t>
            </w:r>
          </w:p>
        </w:tc>
      </w:tr>
      <w:tr w:rsidR="00CB16AA" w:rsidRPr="00666914" w14:paraId="42BF9BAC" w14:textId="77777777" w:rsidTr="00985E7A">
        <w:trPr>
          <w:trHeight w:val="520"/>
        </w:trPr>
        <w:tc>
          <w:tcPr>
            <w:tcW w:w="652" w:type="pct"/>
            <w:tcBorders>
              <w:top w:val="nil"/>
              <w:left w:val="nil"/>
              <w:bottom w:val="nil"/>
              <w:right w:val="nil"/>
            </w:tcBorders>
            <w:shd w:val="clear" w:color="000000" w:fill="FFFFFF"/>
            <w:vAlign w:val="center"/>
            <w:hideMark/>
          </w:tcPr>
          <w:p w14:paraId="2D8C9460"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SSC</w:t>
            </w:r>
          </w:p>
        </w:tc>
        <w:tc>
          <w:tcPr>
            <w:tcW w:w="1770" w:type="pct"/>
            <w:tcBorders>
              <w:top w:val="nil"/>
              <w:left w:val="nil"/>
              <w:bottom w:val="nil"/>
              <w:right w:val="nil"/>
            </w:tcBorders>
            <w:shd w:val="clear" w:color="000000" w:fill="FFFFFF"/>
            <w:vAlign w:val="center"/>
            <w:hideMark/>
          </w:tcPr>
          <w:p w14:paraId="0524F687" w14:textId="77777777" w:rsidR="00CB16AA" w:rsidRPr="00666914" w:rsidRDefault="00CB16AA" w:rsidP="00985E7A">
            <w:pPr>
              <w:spacing w:after="0"/>
              <w:rPr>
                <w:rFonts w:eastAsia="Times New Roman" w:cs="Calibri"/>
                <w:sz w:val="20"/>
                <w:szCs w:val="20"/>
                <w:lang w:eastAsia="sk-SK"/>
              </w:rPr>
            </w:pPr>
            <w:r w:rsidRPr="00666914">
              <w:rPr>
                <w:rFonts w:eastAsia="Times New Roman" w:cs="Calibri"/>
                <w:sz w:val="20"/>
                <w:szCs w:val="20"/>
                <w:lang w:eastAsia="sk-SK"/>
              </w:rPr>
              <w:t>I/51, I/76 Nitra – Kalná nad Hronom – Levice (Šarovce)</w:t>
            </w:r>
          </w:p>
        </w:tc>
        <w:tc>
          <w:tcPr>
            <w:tcW w:w="1094" w:type="pct"/>
            <w:tcBorders>
              <w:top w:val="nil"/>
              <w:left w:val="nil"/>
              <w:bottom w:val="nil"/>
              <w:right w:val="nil"/>
            </w:tcBorders>
            <w:shd w:val="clear" w:color="000000" w:fill="FFFFFF"/>
            <w:vAlign w:val="center"/>
            <w:hideMark/>
          </w:tcPr>
          <w:p w14:paraId="76124FBD"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trike/>
                <w:sz w:val="20"/>
                <w:szCs w:val="20"/>
                <w:lang w:eastAsia="sk-SK"/>
              </w:rPr>
              <w:t>-</w:t>
            </w:r>
          </w:p>
        </w:tc>
        <w:tc>
          <w:tcPr>
            <w:tcW w:w="1484" w:type="pct"/>
            <w:tcBorders>
              <w:top w:val="nil"/>
              <w:left w:val="nil"/>
              <w:bottom w:val="nil"/>
              <w:right w:val="nil"/>
            </w:tcBorders>
            <w:shd w:val="clear" w:color="000000" w:fill="FFFFFF"/>
            <w:vAlign w:val="center"/>
            <w:hideMark/>
          </w:tcPr>
          <w:p w14:paraId="3789F66E"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pripomienky k štúdii uskutočniteľnosti</w:t>
            </w:r>
          </w:p>
        </w:tc>
      </w:tr>
      <w:tr w:rsidR="00CB16AA" w:rsidRPr="00666914" w14:paraId="2295CDEB" w14:textId="77777777" w:rsidTr="00985E7A">
        <w:trPr>
          <w:trHeight w:val="520"/>
        </w:trPr>
        <w:tc>
          <w:tcPr>
            <w:tcW w:w="652" w:type="pct"/>
            <w:tcBorders>
              <w:top w:val="nil"/>
              <w:left w:val="nil"/>
              <w:right w:val="nil"/>
            </w:tcBorders>
            <w:shd w:val="clear" w:color="000000" w:fill="FFFFFF"/>
            <w:vAlign w:val="center"/>
            <w:hideMark/>
          </w:tcPr>
          <w:p w14:paraId="4BC3FAC9"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SSC</w:t>
            </w:r>
          </w:p>
        </w:tc>
        <w:tc>
          <w:tcPr>
            <w:tcW w:w="1770" w:type="pct"/>
            <w:tcBorders>
              <w:top w:val="nil"/>
              <w:left w:val="nil"/>
              <w:right w:val="nil"/>
            </w:tcBorders>
            <w:shd w:val="clear" w:color="000000" w:fill="FFFFFF"/>
            <w:vAlign w:val="center"/>
            <w:hideMark/>
          </w:tcPr>
          <w:p w14:paraId="3878E10A" w14:textId="77777777" w:rsidR="00CB16AA" w:rsidRPr="00666914" w:rsidRDefault="00CB16AA" w:rsidP="00985E7A">
            <w:pPr>
              <w:spacing w:after="0"/>
              <w:rPr>
                <w:rFonts w:eastAsia="Times New Roman" w:cs="Calibri"/>
                <w:sz w:val="20"/>
                <w:szCs w:val="20"/>
                <w:lang w:eastAsia="sk-SK"/>
              </w:rPr>
            </w:pPr>
            <w:r w:rsidRPr="00666914">
              <w:rPr>
                <w:rFonts w:eastAsia="Times New Roman" w:cs="Calibri"/>
                <w:sz w:val="20"/>
                <w:szCs w:val="20"/>
                <w:lang w:eastAsia="sk-SK"/>
              </w:rPr>
              <w:t>I/64 Topoľčany -- Žilina</w:t>
            </w:r>
          </w:p>
        </w:tc>
        <w:tc>
          <w:tcPr>
            <w:tcW w:w="1094" w:type="pct"/>
            <w:tcBorders>
              <w:top w:val="nil"/>
              <w:left w:val="nil"/>
              <w:right w:val="nil"/>
            </w:tcBorders>
            <w:shd w:val="clear" w:color="000000" w:fill="FFFFFF"/>
            <w:vAlign w:val="center"/>
            <w:hideMark/>
          </w:tcPr>
          <w:p w14:paraId="105E0551"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trike/>
                <w:sz w:val="20"/>
                <w:szCs w:val="20"/>
                <w:lang w:eastAsia="sk-SK"/>
              </w:rPr>
              <w:t>-</w:t>
            </w:r>
          </w:p>
        </w:tc>
        <w:tc>
          <w:tcPr>
            <w:tcW w:w="1484" w:type="pct"/>
            <w:tcBorders>
              <w:top w:val="nil"/>
              <w:left w:val="nil"/>
              <w:right w:val="nil"/>
            </w:tcBorders>
            <w:shd w:val="clear" w:color="000000" w:fill="FFFFFF"/>
            <w:vAlign w:val="center"/>
            <w:hideMark/>
          </w:tcPr>
          <w:p w14:paraId="01FEAF40"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pripomienky k štúdii uskutočniteľnosti</w:t>
            </w:r>
          </w:p>
        </w:tc>
      </w:tr>
      <w:tr w:rsidR="00CB16AA" w:rsidRPr="00666914" w14:paraId="2795DB31" w14:textId="77777777" w:rsidTr="00985E7A">
        <w:trPr>
          <w:trHeight w:val="520"/>
        </w:trPr>
        <w:tc>
          <w:tcPr>
            <w:tcW w:w="652" w:type="pct"/>
            <w:tcBorders>
              <w:top w:val="nil"/>
              <w:left w:val="nil"/>
              <w:bottom w:val="nil"/>
              <w:right w:val="nil"/>
            </w:tcBorders>
            <w:shd w:val="clear" w:color="000000" w:fill="FFFFFF"/>
            <w:vAlign w:val="center"/>
            <w:hideMark/>
          </w:tcPr>
          <w:p w14:paraId="68097588"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NDS</w:t>
            </w:r>
          </w:p>
        </w:tc>
        <w:tc>
          <w:tcPr>
            <w:tcW w:w="1770" w:type="pct"/>
            <w:tcBorders>
              <w:top w:val="nil"/>
              <w:left w:val="nil"/>
              <w:bottom w:val="nil"/>
              <w:right w:val="nil"/>
            </w:tcBorders>
            <w:shd w:val="clear" w:color="000000" w:fill="FFFFFF"/>
            <w:vAlign w:val="center"/>
            <w:hideMark/>
          </w:tcPr>
          <w:p w14:paraId="4DEEC5FC" w14:textId="77777777" w:rsidR="00CB16AA" w:rsidRPr="00666914" w:rsidRDefault="00CB16AA" w:rsidP="00985E7A">
            <w:pPr>
              <w:spacing w:after="0"/>
              <w:rPr>
                <w:rFonts w:eastAsia="Times New Roman" w:cs="Calibri"/>
                <w:sz w:val="20"/>
                <w:szCs w:val="20"/>
                <w:lang w:eastAsia="sk-SK"/>
              </w:rPr>
            </w:pPr>
            <w:r w:rsidRPr="00666914">
              <w:rPr>
                <w:rFonts w:eastAsia="Times New Roman" w:cs="Calibri"/>
                <w:sz w:val="20"/>
                <w:szCs w:val="20"/>
                <w:lang w:eastAsia="sk-SK"/>
              </w:rPr>
              <w:t>R4 Prešov II. Etapa</w:t>
            </w:r>
          </w:p>
        </w:tc>
        <w:tc>
          <w:tcPr>
            <w:tcW w:w="1094" w:type="pct"/>
            <w:tcBorders>
              <w:top w:val="nil"/>
              <w:left w:val="nil"/>
              <w:bottom w:val="nil"/>
              <w:right w:val="nil"/>
            </w:tcBorders>
            <w:shd w:val="clear" w:color="000000" w:fill="FFFFFF"/>
            <w:vAlign w:val="center"/>
            <w:hideMark/>
          </w:tcPr>
          <w:p w14:paraId="5C2E3DBF"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trike/>
                <w:sz w:val="20"/>
                <w:szCs w:val="20"/>
                <w:lang w:eastAsia="sk-SK"/>
              </w:rPr>
              <w:t>-</w:t>
            </w:r>
          </w:p>
        </w:tc>
        <w:tc>
          <w:tcPr>
            <w:tcW w:w="1484" w:type="pct"/>
            <w:tcBorders>
              <w:top w:val="nil"/>
              <w:left w:val="nil"/>
              <w:bottom w:val="nil"/>
              <w:right w:val="nil"/>
            </w:tcBorders>
            <w:shd w:val="clear" w:color="000000" w:fill="FFFFFF"/>
            <w:vAlign w:val="center"/>
            <w:hideMark/>
          </w:tcPr>
          <w:p w14:paraId="7503A31F"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pripomienky k prognóze dopravy a alternatívam</w:t>
            </w:r>
          </w:p>
        </w:tc>
      </w:tr>
      <w:tr w:rsidR="00CB16AA" w:rsidRPr="00666914" w14:paraId="5F59B080" w14:textId="77777777" w:rsidTr="00985E7A">
        <w:trPr>
          <w:trHeight w:val="520"/>
        </w:trPr>
        <w:tc>
          <w:tcPr>
            <w:tcW w:w="652" w:type="pct"/>
            <w:tcBorders>
              <w:top w:val="nil"/>
              <w:left w:val="nil"/>
              <w:bottom w:val="single" w:sz="4" w:space="0" w:color="auto"/>
              <w:right w:val="nil"/>
            </w:tcBorders>
            <w:shd w:val="clear" w:color="000000" w:fill="FFFFFF"/>
            <w:vAlign w:val="center"/>
            <w:hideMark/>
          </w:tcPr>
          <w:p w14:paraId="3B06B540"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NDS</w:t>
            </w:r>
          </w:p>
        </w:tc>
        <w:tc>
          <w:tcPr>
            <w:tcW w:w="1770" w:type="pct"/>
            <w:tcBorders>
              <w:top w:val="nil"/>
              <w:left w:val="nil"/>
              <w:bottom w:val="single" w:sz="4" w:space="0" w:color="auto"/>
              <w:right w:val="nil"/>
            </w:tcBorders>
            <w:shd w:val="clear" w:color="000000" w:fill="FFFFFF"/>
            <w:vAlign w:val="center"/>
            <w:hideMark/>
          </w:tcPr>
          <w:p w14:paraId="0B6438E9" w14:textId="77777777" w:rsidR="00CB16AA" w:rsidRPr="00666914" w:rsidRDefault="00CB16AA" w:rsidP="00985E7A">
            <w:pPr>
              <w:spacing w:after="0"/>
              <w:rPr>
                <w:rFonts w:eastAsia="Times New Roman" w:cs="Calibri"/>
                <w:sz w:val="20"/>
                <w:szCs w:val="20"/>
                <w:lang w:eastAsia="sk-SK"/>
              </w:rPr>
            </w:pPr>
            <w:r w:rsidRPr="00666914">
              <w:rPr>
                <w:rFonts w:eastAsia="Times New Roman" w:cs="Calibri"/>
                <w:sz w:val="20"/>
                <w:szCs w:val="20"/>
                <w:lang w:eastAsia="sk-SK"/>
              </w:rPr>
              <w:t>R8 Nitra -- križovatka s R2</w:t>
            </w:r>
          </w:p>
        </w:tc>
        <w:tc>
          <w:tcPr>
            <w:tcW w:w="1094" w:type="pct"/>
            <w:tcBorders>
              <w:top w:val="nil"/>
              <w:left w:val="nil"/>
              <w:bottom w:val="single" w:sz="4" w:space="0" w:color="auto"/>
              <w:right w:val="nil"/>
            </w:tcBorders>
            <w:shd w:val="clear" w:color="000000" w:fill="FFFFFF"/>
            <w:vAlign w:val="center"/>
            <w:hideMark/>
          </w:tcPr>
          <w:p w14:paraId="1EE80243"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trike/>
                <w:sz w:val="20"/>
                <w:szCs w:val="20"/>
                <w:lang w:eastAsia="sk-SK"/>
              </w:rPr>
              <w:t>-</w:t>
            </w:r>
          </w:p>
        </w:tc>
        <w:tc>
          <w:tcPr>
            <w:tcW w:w="1484" w:type="pct"/>
            <w:tcBorders>
              <w:top w:val="nil"/>
              <w:left w:val="nil"/>
              <w:bottom w:val="single" w:sz="4" w:space="0" w:color="auto"/>
              <w:right w:val="nil"/>
            </w:tcBorders>
            <w:shd w:val="clear" w:color="000000" w:fill="FFFFFF"/>
            <w:vAlign w:val="center"/>
            <w:hideMark/>
          </w:tcPr>
          <w:p w14:paraId="45AB7FFC"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pripomienky k prognóze dopravy a alternatívam</w:t>
            </w:r>
          </w:p>
        </w:tc>
      </w:tr>
    </w:tbl>
    <w:p w14:paraId="0ED5030F" w14:textId="77777777" w:rsidR="00CB16AA" w:rsidRPr="00666914" w:rsidRDefault="00CB16AA" w:rsidP="00985E7A">
      <w:pPr>
        <w:jc w:val="right"/>
        <w:rPr>
          <w:i/>
          <w:sz w:val="18"/>
        </w:rPr>
      </w:pPr>
      <w:r w:rsidRPr="00666914">
        <w:rPr>
          <w:i/>
          <w:sz w:val="18"/>
        </w:rPr>
        <w:t>Zdroj: MDV SR, ÚHP MF SR</w:t>
      </w:r>
    </w:p>
    <w:p w14:paraId="1CE300C9" w14:textId="77777777" w:rsidR="00CB16AA" w:rsidRPr="00666914" w:rsidRDefault="00CB16AA" w:rsidP="00985E7A">
      <w:pPr>
        <w:contextualSpacing/>
        <w:rPr>
          <w:b/>
        </w:rPr>
      </w:pPr>
      <w:r w:rsidRPr="00666914">
        <w:t>MDV SR vyhlásilo v 2H2019 verejné obstarávania na projektovú prípravu alebo výstavbu investičného projektu k 2 projektom (R2 Rožňava - Jablonov nad Turňou</w:t>
      </w:r>
      <w:r w:rsidRPr="00666914">
        <w:rPr>
          <w:rStyle w:val="Odkaznapoznmkupodiarou"/>
        </w:rPr>
        <w:footnoteReference w:id="65"/>
      </w:r>
      <w:r w:rsidRPr="00666914">
        <w:t xml:space="preserve"> a I/75 Šaľa – obchvat</w:t>
      </w:r>
      <w:r w:rsidRPr="00666914">
        <w:rPr>
          <w:rStyle w:val="Odkaznapoznmkupodiarou"/>
        </w:rPr>
        <w:footnoteReference w:id="66"/>
      </w:r>
      <w:r w:rsidRPr="00666914">
        <w:t xml:space="preserve">). </w:t>
      </w:r>
      <w:r w:rsidRPr="00666914">
        <w:rPr>
          <w:b/>
        </w:rPr>
        <w:t>Opatrenie sa k 31.12.2019 plní.</w:t>
      </w:r>
    </w:p>
    <w:p w14:paraId="4BA1EA8C" w14:textId="77777777" w:rsidR="00CB16AA" w:rsidRPr="00666914" w:rsidRDefault="00CB16AA" w:rsidP="00985E7A">
      <w:pPr>
        <w:contextualSpacing/>
        <w:rPr>
          <w:b/>
        </w:rPr>
      </w:pPr>
    </w:p>
    <w:p w14:paraId="1DAFDA4C" w14:textId="77777777" w:rsidR="00CB16AA" w:rsidRPr="00666914" w:rsidRDefault="00CB16AA" w:rsidP="00312C28">
      <w:pPr>
        <w:numPr>
          <w:ilvl w:val="0"/>
          <w:numId w:val="34"/>
        </w:numPr>
        <w:contextualSpacing/>
        <w:rPr>
          <w:b/>
          <w:u w:val="single"/>
        </w:rPr>
      </w:pPr>
      <w:r w:rsidRPr="00666914">
        <w:rPr>
          <w:b/>
          <w:u w:val="single"/>
        </w:rPr>
        <w:t>Preskúmať proces EIA vo väzbe na ostatné fázy prípravy projektu s cieľom zefektívniť celý proces</w:t>
      </w:r>
    </w:p>
    <w:p w14:paraId="7E565C7D" w14:textId="77777777" w:rsidR="00CB16AA" w:rsidRPr="00666914" w:rsidRDefault="00CB16AA" w:rsidP="00985E7A">
      <w:pPr>
        <w:spacing w:before="240"/>
        <w:contextualSpacing/>
      </w:pPr>
    </w:p>
    <w:p w14:paraId="5227212B" w14:textId="5BFCC9F2" w:rsidR="00CB16AA" w:rsidRPr="00666914" w:rsidRDefault="00CB16AA" w:rsidP="00985E7A">
      <w:pPr>
        <w:spacing w:before="240"/>
        <w:contextualSpacing/>
      </w:pPr>
      <w:r w:rsidRPr="00666914">
        <w:t>V roku 2018 MŽP SR iniciovalo legislatívny proces k návrhu zákona o posudzovaní vplyvov na životné prostredie, od 06/2019 prebieha vyhodnocovanie MPK</w:t>
      </w:r>
      <w:r w:rsidRPr="00666914">
        <w:rPr>
          <w:rStyle w:val="Odkaznapoznmkupodiarou"/>
        </w:rPr>
        <w:footnoteReference w:id="67"/>
      </w:r>
      <w:r w:rsidRPr="00666914">
        <w:t xml:space="preserve">. Ambíciou predkladateľa bolo, aby bol </w:t>
      </w:r>
      <w:r w:rsidR="00BE19CA" w:rsidRPr="00666914">
        <w:t xml:space="preserve">zákon účinný </w:t>
      </w:r>
      <w:r w:rsidRPr="00666914">
        <w:t>od 01/2020. Vzhľadom na množstvo zásadných pripomienok vznesených k tomuto návrhu zákona (446) však do 12/2019 nedošlo k ich vyhodnoteniu a následnému predloženiu m</w:t>
      </w:r>
      <w:r w:rsidR="00D67E6E" w:rsidRPr="00666914">
        <w:t>ateriálu na rokovanie vlády SR.</w:t>
      </w:r>
    </w:p>
    <w:p w14:paraId="42304EE7" w14:textId="77777777" w:rsidR="00CB16AA" w:rsidRPr="00666914" w:rsidRDefault="00CB16AA" w:rsidP="00985E7A">
      <w:pPr>
        <w:spacing w:before="240"/>
        <w:contextualSpacing/>
      </w:pPr>
    </w:p>
    <w:p w14:paraId="524FDD6B" w14:textId="66F50D1C" w:rsidR="00CB16AA" w:rsidRPr="00666914" w:rsidRDefault="00CB16AA" w:rsidP="00985E7A">
      <w:pPr>
        <w:contextualSpacing/>
        <w:rPr>
          <w:b/>
          <w:u w:val="single"/>
        </w:rPr>
      </w:pPr>
      <w:r w:rsidRPr="00666914">
        <w:t>Zefektívnenie procesu prípravy investičných projektov si vyžaduje zmeniť legislatívu MDV SR. V tejto oblasti prebieha legislatívny proces k novým zákonom o výstavbe</w:t>
      </w:r>
      <w:r w:rsidRPr="00666914">
        <w:rPr>
          <w:rStyle w:val="Odkaznapoznmkupodiarou"/>
        </w:rPr>
        <w:footnoteReference w:id="68"/>
      </w:r>
      <w:r w:rsidRPr="00666914">
        <w:t xml:space="preserve"> a o územnom plánovaní</w:t>
      </w:r>
      <w:r w:rsidRPr="00666914">
        <w:rPr>
          <w:rStyle w:val="Odkaznapoznmkupodiarou"/>
        </w:rPr>
        <w:footnoteReference w:id="69"/>
      </w:r>
      <w:r w:rsidRPr="00666914">
        <w:t xml:space="preserve">. Oba zákony prešli v 09/2019 Legislatívnou radou vlády SR aj Hospodárskou a sociálnou radou SR, na rokovanie vlády SR sa však do 12/2019 nedostali. </w:t>
      </w:r>
      <w:r w:rsidRPr="00666914">
        <w:rPr>
          <w:b/>
        </w:rPr>
        <w:t>Opatrenie sa k 31.12.2019 plní len čiastočne.</w:t>
      </w:r>
    </w:p>
    <w:p w14:paraId="5CEE221E" w14:textId="77777777" w:rsidR="00CB16AA" w:rsidRPr="00666914" w:rsidRDefault="00CB16AA" w:rsidP="00312C28">
      <w:pPr>
        <w:pStyle w:val="Odsekzoznamu"/>
        <w:numPr>
          <w:ilvl w:val="0"/>
          <w:numId w:val="34"/>
        </w:numPr>
        <w:spacing w:before="240" w:after="0"/>
        <w:rPr>
          <w:b/>
        </w:rPr>
      </w:pPr>
      <w:r w:rsidRPr="00666914">
        <w:rPr>
          <w:b/>
          <w:u w:val="single"/>
        </w:rPr>
        <w:lastRenderedPageBreak/>
        <w:t>Prehodnocovať pokračovanie v predprojektovej a projektovej príprave projektov s realizáciou plánovanou až v dlhodobom horizonte 10 r.</w:t>
      </w:r>
    </w:p>
    <w:p w14:paraId="369FC758" w14:textId="77777777" w:rsidR="00CB16AA" w:rsidRPr="00666914" w:rsidRDefault="00CB16AA" w:rsidP="00985E7A">
      <w:pPr>
        <w:pStyle w:val="Odsekzoznamu"/>
        <w:spacing w:before="240" w:after="0"/>
        <w:rPr>
          <w:b/>
        </w:rPr>
      </w:pPr>
    </w:p>
    <w:p w14:paraId="2AAF4AC5" w14:textId="0CD47F3C" w:rsidR="00CB16AA" w:rsidRPr="00666914" w:rsidRDefault="00CB16AA" w:rsidP="00985E7A">
      <w:pPr>
        <w:contextualSpacing/>
        <w:rPr>
          <w:color w:val="000000" w:themeColor="text1"/>
        </w:rPr>
      </w:pPr>
      <w:r w:rsidRPr="00666914">
        <w:rPr>
          <w:b/>
          <w:color w:val="000000" w:themeColor="text1"/>
        </w:rPr>
        <w:t>Priority výstavby ciest a diaľnic na Slovensku sú závislé od politického cyklu a konkrétny harmonogram výstavby nie je verejný, je však čiastočne konkretizovaný v Programovom vyhlásení vlády SR.</w:t>
      </w:r>
      <w:r w:rsidRPr="00666914">
        <w:rPr>
          <w:color w:val="000000" w:themeColor="text1"/>
        </w:rPr>
        <w:t xml:space="preserve"> Pri niektorých pripravovaných projektoch nie je dostatočne zrejmé</w:t>
      </w:r>
      <w:r w:rsidRPr="00666914" w:rsidDel="00DE07CB">
        <w:rPr>
          <w:color w:val="000000" w:themeColor="text1"/>
        </w:rPr>
        <w:t xml:space="preserve"> </w:t>
      </w:r>
      <w:r w:rsidRPr="00666914">
        <w:rPr>
          <w:color w:val="000000" w:themeColor="text1"/>
        </w:rPr>
        <w:t>na základe akých kritérií boli pripravované, resp. realizované. Absencia analyticky zdôvodneného výberu priorít a jasného harmonogramu vedie k rozpracovanosti nadmerného počtu úsekov naraz, čo vedie k zvyšovaniu nákladov a neistoty v stavebnom sektore</w:t>
      </w:r>
      <w:r w:rsidR="00D56532" w:rsidRPr="00666914">
        <w:rPr>
          <w:color w:val="000000" w:themeColor="text1"/>
        </w:rPr>
        <w:t>.</w:t>
      </w:r>
    </w:p>
    <w:p w14:paraId="21D42C34" w14:textId="77777777" w:rsidR="00CB16AA" w:rsidRPr="00666914" w:rsidRDefault="00CB16AA" w:rsidP="00985E7A">
      <w:pPr>
        <w:contextualSpacing/>
        <w:rPr>
          <w:color w:val="000000" w:themeColor="text1"/>
        </w:rPr>
      </w:pPr>
    </w:p>
    <w:p w14:paraId="63B0890D" w14:textId="7B0D5287" w:rsidR="00CB16AA" w:rsidRPr="00666914" w:rsidRDefault="00CB16AA" w:rsidP="00985E7A">
      <w:pPr>
        <w:contextualSpacing/>
        <w:rPr>
          <w:color w:val="000000" w:themeColor="text1"/>
        </w:rPr>
      </w:pPr>
      <w:r w:rsidRPr="00666914">
        <w:rPr>
          <w:b/>
          <w:color w:val="000000" w:themeColor="text1"/>
        </w:rPr>
        <w:t>Po takmer 2 rokoch prípravy ÚHP MF SR zverejnil v decembri 2019 návrh metodiky „Priority vo výstavbe cestnej infraštruktúry“</w:t>
      </w:r>
      <w:r w:rsidRPr="00666914">
        <w:rPr>
          <w:rStyle w:val="Odkaznapoznmkupodiarou"/>
          <w:color w:val="000000" w:themeColor="text1"/>
        </w:rPr>
        <w:footnoteReference w:id="70"/>
      </w:r>
      <w:r w:rsidRPr="00666914">
        <w:rPr>
          <w:b/>
          <w:color w:val="000000" w:themeColor="text1"/>
        </w:rPr>
        <w:t xml:space="preserve">. </w:t>
      </w:r>
      <w:r w:rsidRPr="00666914">
        <w:rPr>
          <w:color w:val="000000" w:themeColor="text1"/>
        </w:rPr>
        <w:t>Jedným z hlavných odporúčaní IJ ÚV SR pre MDV SR, schváleným vládou SR</w:t>
      </w:r>
      <w:r w:rsidRPr="00666914">
        <w:rPr>
          <w:rStyle w:val="Odkaznapoznmkupodiarou"/>
          <w:color w:val="000000" w:themeColor="text1"/>
        </w:rPr>
        <w:footnoteReference w:id="71"/>
      </w:r>
      <w:r w:rsidRPr="00666914">
        <w:rPr>
          <w:color w:val="000000" w:themeColor="text1"/>
        </w:rPr>
        <w:t>, bolo vypracovanie a zverejnenie kritérií pre prioritizáciu investičných projektov v doprave do 12/2019. Na základe týchto kritérií malo MDV SR vypracovať investičný plán spolu s finančným krytím a harmonogramom. Kritériá mali byť sfinalizované do 10/2019. Koncom 10/2019 zaslalo MDV SR na ÚV SR žiadosť o odklad plnenia tejto úlohy do 06/2020. ÚV SR však odklad neodsúhlasil a odporučil „vzhľadom na nevyhnutnú potrebu riešenia problematiky investičných priorít a systému hodnotenia investičných projektov v oblasti dopravy“ splnenie úlo</w:t>
      </w:r>
      <w:r w:rsidR="00D67E6E" w:rsidRPr="00666914">
        <w:rPr>
          <w:color w:val="000000" w:themeColor="text1"/>
        </w:rPr>
        <w:t>hy v čo najkratšom možnom čase.</w:t>
      </w:r>
    </w:p>
    <w:p w14:paraId="0686A07A" w14:textId="77777777" w:rsidR="00CB16AA" w:rsidRPr="00666914" w:rsidRDefault="00CB16AA" w:rsidP="00985E7A">
      <w:pPr>
        <w:contextualSpacing/>
        <w:rPr>
          <w:color w:val="000000" w:themeColor="text1"/>
        </w:rPr>
      </w:pPr>
    </w:p>
    <w:p w14:paraId="75C7193F" w14:textId="04F6317B" w:rsidR="00CB16AA" w:rsidRPr="00666914" w:rsidRDefault="00CB16AA" w:rsidP="00985E7A">
      <w:pPr>
        <w:contextualSpacing/>
        <w:rPr>
          <w:color w:val="000000" w:themeColor="text1"/>
        </w:rPr>
      </w:pPr>
      <w:r w:rsidRPr="00666914">
        <w:rPr>
          <w:b/>
          <w:color w:val="000000" w:themeColor="text1"/>
        </w:rPr>
        <w:t>Materiál „Priority vo výstavbe cestnej infraštruktúry“</w:t>
      </w:r>
      <w:r w:rsidRPr="00666914">
        <w:rPr>
          <w:color w:val="000000" w:themeColor="text1"/>
        </w:rPr>
        <w:t xml:space="preserve"> predstavuje analyticky podložený návrh metodiky pre výber priorít a plán prípravy a výstavby cestných projektov do roku 2030.</w:t>
      </w:r>
      <w:r w:rsidRPr="00666914">
        <w:rPr>
          <w:b/>
          <w:color w:val="000000" w:themeColor="text1"/>
        </w:rPr>
        <w:t xml:space="preserve"> V dokumente však absentuje investičný plán MDV SR vrátane finančného krytia a harmonogramu výstavby. </w:t>
      </w:r>
      <w:r w:rsidR="00BB53E1" w:rsidRPr="00666914">
        <w:rPr>
          <w:color w:val="000000" w:themeColor="text1"/>
        </w:rPr>
        <w:t>Podľa vyjadrenia MDV SR bola jednou z objektívnych prekážok prečo nedošlo k splneniu úlohy aj nejasnosť ohľadom alokácie finančných prostriedkov na rozvoj DI v nasledujúcom programovom období 2021 – 2027.</w:t>
      </w:r>
      <w:r w:rsidR="00BB53E1" w:rsidRPr="00666914">
        <w:rPr>
          <w:b/>
          <w:color w:val="000000" w:themeColor="text1"/>
        </w:rPr>
        <w:t xml:space="preserve"> </w:t>
      </w:r>
      <w:r w:rsidRPr="00666914">
        <w:rPr>
          <w:color w:val="000000" w:themeColor="text1"/>
        </w:rPr>
        <w:t>Hlavným odporúčaním IJ ÚV SR</w:t>
      </w:r>
      <w:r w:rsidR="00A96AA5" w:rsidRPr="00666914">
        <w:rPr>
          <w:color w:val="000000" w:themeColor="text1"/>
        </w:rPr>
        <w:t>,</w:t>
      </w:r>
      <w:r w:rsidRPr="00666914">
        <w:rPr>
          <w:color w:val="000000" w:themeColor="text1"/>
        </w:rPr>
        <w:t xml:space="preserve"> schváleným vládou SR, je od roku 2017 vypracovanie kritérií a zverejnenie zásobníka projektov spolu s finančným krytím a harmonogramom tak, aby prioritizácia projektov v tomto zásobníku bola pre budúce rozhodnutia MDV SR záväzná. Súčasťou metodiky sú aj odporúčania pre MDV SR a jeho podriadené organizácie. Prvým z nich je „Pripraviť zoznam investičných projektov v poradí podľa priorít v cestnej doprave a zverejniť nadväzujúci harmonogram ich prípravy“. </w:t>
      </w:r>
      <w:r w:rsidRPr="00666914">
        <w:rPr>
          <w:b/>
          <w:color w:val="000000" w:themeColor="text1"/>
        </w:rPr>
        <w:t>Podľa názoru IJ mali byť súčasťou odporúčania aj termíny na ich realizáciu, inak nebude vytvorený dostatočný tlak na ich splnenie.</w:t>
      </w:r>
    </w:p>
    <w:p w14:paraId="7220772D" w14:textId="77777777" w:rsidR="00CB16AA" w:rsidRPr="00666914" w:rsidRDefault="00CB16AA" w:rsidP="00985E7A">
      <w:pPr>
        <w:contextualSpacing/>
        <w:rPr>
          <w:color w:val="000000" w:themeColor="text1"/>
        </w:rPr>
      </w:pPr>
    </w:p>
    <w:p w14:paraId="6288EBC3" w14:textId="77777777" w:rsidR="00CB16AA" w:rsidRPr="00666914" w:rsidRDefault="00CB16AA" w:rsidP="00985E7A">
      <w:pPr>
        <w:contextualSpacing/>
        <w:rPr>
          <w:color w:val="000000" w:themeColor="text1"/>
        </w:rPr>
      </w:pPr>
      <w:r w:rsidRPr="00666914">
        <w:rPr>
          <w:color w:val="000000" w:themeColor="text1"/>
        </w:rPr>
        <w:t>MDV SR začiatkom roka 2020 iniciovalo práce na príprave metodiky pre voľbu prioritných projektov železničnej infraštruktúry. Na tvorbe metodiky sa podieľa aj ÚHP MF SR a ŽSR.</w:t>
      </w:r>
    </w:p>
    <w:p w14:paraId="39C97FC4" w14:textId="77777777" w:rsidR="00CB16AA" w:rsidRPr="00666914" w:rsidRDefault="00CB16AA" w:rsidP="00985E7A">
      <w:pPr>
        <w:contextualSpacing/>
        <w:rPr>
          <w:color w:val="000000" w:themeColor="text1"/>
        </w:rPr>
      </w:pPr>
    </w:p>
    <w:p w14:paraId="15679A32" w14:textId="318DA0A0" w:rsidR="00347F85" w:rsidRPr="00666914" w:rsidRDefault="00CB16AA" w:rsidP="00985E7A">
      <w:pPr>
        <w:contextualSpacing/>
        <w:rPr>
          <w:b/>
        </w:rPr>
      </w:pPr>
      <w:r w:rsidRPr="00666914">
        <w:rPr>
          <w:b/>
        </w:rPr>
        <w:t>Opatrenie sa k 31.12.2019 plní len čiastočne.</w:t>
      </w:r>
    </w:p>
    <w:p w14:paraId="207407F0" w14:textId="77777777" w:rsidR="00CB16AA" w:rsidRPr="00666914" w:rsidRDefault="00CB16AA" w:rsidP="00312C28">
      <w:pPr>
        <w:pStyle w:val="Odsekzoznamu"/>
        <w:numPr>
          <w:ilvl w:val="0"/>
          <w:numId w:val="34"/>
        </w:numPr>
        <w:rPr>
          <w:b/>
          <w:u w:val="single"/>
        </w:rPr>
      </w:pPr>
      <w:r w:rsidRPr="00666914">
        <w:rPr>
          <w:b/>
          <w:u w:val="single"/>
        </w:rPr>
        <w:t>Preskúmať legislatívne možnosti na minimalizáciu so stavbou nesúvisiacich investícií spolu s vyčíslením rozpočtového dopadu</w:t>
      </w:r>
    </w:p>
    <w:p w14:paraId="1E614A20" w14:textId="367E34E5" w:rsidR="00CB16AA" w:rsidRPr="00666914" w:rsidRDefault="00CB16AA" w:rsidP="00985E7A">
      <w:pPr>
        <w:spacing w:after="0"/>
      </w:pPr>
      <w:r w:rsidRPr="00666914">
        <w:rPr>
          <w:b/>
        </w:rPr>
        <w:t>Problematika vyvolaných investícií nie je upravená v legislatíve EÚ a je výlučne riešená na úrovni členských štátov a ich samosprávnych celkov, keďže územné a stavebné konanie je národnou kompetenciou.</w:t>
      </w:r>
      <w:r w:rsidRPr="00666914">
        <w:t xml:space="preserve"> MDV SR vypracovalo v 1H2019 analýzu problematiky vyvolaných investícií v susedných štátoch - v Česku, Maďarsku, Nemecku, Poľsku a Rakúsku. Legislatíva vybraných štátov obsahuje záväzné podmienky, ktoré musia byť zo strany investora splnené, aby dostal súhlas tretej strany na plánovanú výstavbu. Najbližšie k legislatíve SR je</w:t>
      </w:r>
      <w:r w:rsidR="00D67E6E" w:rsidRPr="00666914">
        <w:t xml:space="preserve"> v tomto smere Česká republika.</w:t>
      </w:r>
    </w:p>
    <w:p w14:paraId="15656021" w14:textId="77777777" w:rsidR="00CB16AA" w:rsidRPr="00666914" w:rsidRDefault="00CB16AA" w:rsidP="00985E7A">
      <w:pPr>
        <w:spacing w:after="0"/>
      </w:pPr>
    </w:p>
    <w:p w14:paraId="55F09BB5" w14:textId="27CCAFEC" w:rsidR="00CB16AA" w:rsidRPr="00666914" w:rsidRDefault="00CB16AA" w:rsidP="00985E7A">
      <w:pPr>
        <w:spacing w:after="0"/>
        <w:rPr>
          <w:b/>
        </w:rPr>
      </w:pPr>
      <w:r w:rsidRPr="00666914">
        <w:rPr>
          <w:b/>
        </w:rPr>
        <w:t>Vyvolané investície okrem zvyšovania nákladov pri výstavbe dopravnej infraštruktúry spôsobujú aj problémy v prípade neprevzatia vyvolanej investície do správy obce, ktorá si ju pri povoľovaní výstavby vyžiadala.</w:t>
      </w:r>
      <w:r w:rsidRPr="00666914">
        <w:t xml:space="preserve"> Rovnako niektoré technické predpisy používané v rezorte dopravy neúmerne navyšujú cenu stavby – napr. v prípade železničnej infraštruktúry zákon o dráhach č. 513/2009 Z. z. (ktorý vyžaduje mimoúrovňové križovanie pre každé priecestie a priechod pri modernizácii železničnej infraštruktúry). V prípade </w:t>
      </w:r>
      <w:r w:rsidR="00E7079E" w:rsidRPr="00666914">
        <w:t>diaľnic a rýchlostných ciest</w:t>
      </w:r>
      <w:r w:rsidRPr="00666914">
        <w:t xml:space="preserve"> je to spôsobené nevyužívaním zníženia hluku prostredníctvom obmedzenia rýchlosti jazdy vozidiel v kritickom úseku – </w:t>
      </w:r>
      <w:r w:rsidRPr="00666914">
        <w:lastRenderedPageBreak/>
        <w:t xml:space="preserve">na základe </w:t>
      </w:r>
      <w:r w:rsidR="00021847" w:rsidRPr="00666914">
        <w:t xml:space="preserve">technických podmienok </w:t>
      </w:r>
      <w:r w:rsidRPr="00666914">
        <w:t>TP 052, ktoré však vedie k zníženiu plynulosti dopravy a zároveň negatívne ovplyvňuje benefity projektu (cestovný čas, spotreba), ktoré potom môžu  znížiť celkovú efektívnosť projektu</w:t>
      </w:r>
      <w:r w:rsidRPr="00666914">
        <w:rPr>
          <w:rStyle w:val="Odkaznapoznmkupodiarou"/>
        </w:rPr>
        <w:footnoteReference w:id="72"/>
      </w:r>
      <w:r w:rsidRPr="00666914">
        <w:t>. V novele zákona č. 513/2009 Z. z. o dráhach MDV SR doplnilo povinnosť vlastníka stavby prevziať vyvolanú investíciu, inak je povinný stavebníkovi uhradiť náklady na údržbu, prevádzku a zabezpečenie stavby až do jej prevzatia</w:t>
      </w:r>
      <w:r w:rsidRPr="00666914">
        <w:rPr>
          <w:color w:val="1F497D"/>
        </w:rPr>
        <w:t>.</w:t>
      </w:r>
    </w:p>
    <w:p w14:paraId="0A925E7A" w14:textId="77777777" w:rsidR="00CB16AA" w:rsidRPr="00666914" w:rsidRDefault="00CB16AA" w:rsidP="00412259">
      <w:r w:rsidRPr="00666914">
        <w:rPr>
          <w:b/>
        </w:rPr>
        <w:t>Opatrenie sa k 31.12.2019 plní čiastočne.</w:t>
      </w:r>
    </w:p>
    <w:p w14:paraId="2C3F1B21" w14:textId="77777777" w:rsidR="00CB16AA" w:rsidRPr="00666914" w:rsidRDefault="00CB16AA" w:rsidP="00312C28">
      <w:pPr>
        <w:numPr>
          <w:ilvl w:val="0"/>
          <w:numId w:val="34"/>
        </w:numPr>
        <w:contextualSpacing/>
        <w:rPr>
          <w:b/>
          <w:u w:val="single"/>
        </w:rPr>
      </w:pPr>
      <w:r w:rsidRPr="00666914">
        <w:rPr>
          <w:b/>
          <w:u w:val="single"/>
        </w:rPr>
        <w:t>Dôsledne sledovať možnosť maximálneho využitia predchádzajúcich stupňov projektovej dokumentácie</w:t>
      </w:r>
    </w:p>
    <w:p w14:paraId="0C008C4B" w14:textId="77777777" w:rsidR="00CB16AA" w:rsidRPr="00666914" w:rsidRDefault="00CB16AA" w:rsidP="00985E7A">
      <w:pPr>
        <w:spacing w:before="240" w:after="0"/>
        <w:contextualSpacing/>
      </w:pPr>
    </w:p>
    <w:p w14:paraId="0C12E1C8" w14:textId="77777777" w:rsidR="00CB16AA" w:rsidRPr="00666914" w:rsidRDefault="00CB16AA" w:rsidP="00985E7A">
      <w:pPr>
        <w:spacing w:before="240" w:after="0"/>
        <w:contextualSpacing/>
      </w:pPr>
      <w:r w:rsidRPr="00666914">
        <w:t xml:space="preserve">Na základe IP 2019 sa toto opatrenie hodnotí pomocou obstarania projektovej dokumentácie formou združenej dokumentácie (DUR + DSP, DSP + DP/DRS). Za rok 2019 bola obstaraná združená dokumentácia pre 4 projekty cestnej infraštruktúry od NDS, 40 projektov od SSC a 2 od ŽSR. </w:t>
      </w:r>
      <w:r w:rsidRPr="00666914">
        <w:rPr>
          <w:b/>
        </w:rPr>
        <w:t>Opatrenie sa k 31.12.2019 plní.</w:t>
      </w:r>
    </w:p>
    <w:p w14:paraId="4B6C628A" w14:textId="77777777" w:rsidR="00CB16AA" w:rsidRPr="00666914" w:rsidRDefault="00CB16AA" w:rsidP="00985E7A">
      <w:pPr>
        <w:spacing w:before="240" w:after="0"/>
        <w:contextualSpacing/>
      </w:pPr>
    </w:p>
    <w:p w14:paraId="180D1A68" w14:textId="276180A3" w:rsidR="00CB16AA" w:rsidRPr="00666914" w:rsidRDefault="00CB16AA" w:rsidP="00985E7A">
      <w:pPr>
        <w:pBdr>
          <w:bottom w:val="single" w:sz="4" w:space="1" w:color="auto"/>
        </w:pBdr>
        <w:spacing w:after="0"/>
        <w:rPr>
          <w:b/>
          <w:sz w:val="20"/>
          <w:szCs w:val="20"/>
        </w:rPr>
      </w:pPr>
      <w:bookmarkStart w:id="192" w:name="_Toc21522785"/>
      <w:bookmarkStart w:id="193" w:name="_Toc38447687"/>
      <w:r w:rsidRPr="00666914">
        <w:rPr>
          <w:b/>
          <w:sz w:val="20"/>
          <w:szCs w:val="20"/>
        </w:rPr>
        <w:t xml:space="preserve">Tabuľka </w:t>
      </w:r>
      <w:r w:rsidRPr="00666914">
        <w:rPr>
          <w:b/>
          <w:sz w:val="20"/>
          <w:szCs w:val="20"/>
        </w:rPr>
        <w:fldChar w:fldCharType="begin"/>
      </w:r>
      <w:r w:rsidRPr="00666914">
        <w:rPr>
          <w:b/>
          <w:sz w:val="20"/>
          <w:szCs w:val="20"/>
        </w:rPr>
        <w:instrText xml:space="preserve"> SEQ Tabuľka \* ARABIC  \* MERGEFORMAT </w:instrText>
      </w:r>
      <w:r w:rsidRPr="00666914">
        <w:rPr>
          <w:b/>
          <w:sz w:val="20"/>
          <w:szCs w:val="20"/>
        </w:rPr>
        <w:fldChar w:fldCharType="separate"/>
      </w:r>
      <w:r w:rsidR="005A7304">
        <w:rPr>
          <w:b/>
          <w:noProof/>
          <w:sz w:val="20"/>
          <w:szCs w:val="20"/>
        </w:rPr>
        <w:t>26</w:t>
      </w:r>
      <w:r w:rsidRPr="00666914">
        <w:rPr>
          <w:b/>
          <w:sz w:val="20"/>
          <w:szCs w:val="20"/>
        </w:rPr>
        <w:fldChar w:fldCharType="end"/>
      </w:r>
      <w:r w:rsidRPr="00666914">
        <w:rPr>
          <w:b/>
          <w:sz w:val="20"/>
          <w:szCs w:val="20"/>
        </w:rPr>
        <w:t>: Zoznam projektov so zabezpečovanou združenou dokumentáciou</w:t>
      </w:r>
      <w:bookmarkEnd w:id="192"/>
      <w:r w:rsidRPr="00666914">
        <w:rPr>
          <w:b/>
          <w:sz w:val="20"/>
          <w:szCs w:val="20"/>
        </w:rPr>
        <w:t xml:space="preserve"> v roku 2019</w:t>
      </w:r>
      <w:bookmarkEnd w:id="193"/>
    </w:p>
    <w:tbl>
      <w:tblPr>
        <w:tblW w:w="5136" w:type="pct"/>
        <w:tblLayout w:type="fixed"/>
        <w:tblCellMar>
          <w:left w:w="70" w:type="dxa"/>
          <w:right w:w="70" w:type="dxa"/>
        </w:tblCellMar>
        <w:tblLook w:val="04A0" w:firstRow="1" w:lastRow="0" w:firstColumn="1" w:lastColumn="0" w:noHBand="0" w:noVBand="1"/>
      </w:tblPr>
      <w:tblGrid>
        <w:gridCol w:w="875"/>
        <w:gridCol w:w="5605"/>
        <w:gridCol w:w="2985"/>
      </w:tblGrid>
      <w:tr w:rsidR="00CB16AA" w:rsidRPr="00666914" w14:paraId="01E341B8" w14:textId="77777777" w:rsidTr="00985E7A">
        <w:trPr>
          <w:trHeight w:val="260"/>
        </w:trPr>
        <w:tc>
          <w:tcPr>
            <w:tcW w:w="462" w:type="pct"/>
            <w:tcBorders>
              <w:top w:val="nil"/>
              <w:left w:val="nil"/>
              <w:bottom w:val="single" w:sz="4" w:space="0" w:color="auto"/>
              <w:right w:val="nil"/>
            </w:tcBorders>
            <w:shd w:val="clear" w:color="auto" w:fill="auto"/>
            <w:noWrap/>
            <w:vAlign w:val="bottom"/>
            <w:hideMark/>
          </w:tcPr>
          <w:p w14:paraId="49BACC31" w14:textId="77777777" w:rsidR="00CB16AA" w:rsidRPr="00666914" w:rsidRDefault="00CB16AA" w:rsidP="00985E7A">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Inštitúcia</w:t>
            </w:r>
          </w:p>
        </w:tc>
        <w:tc>
          <w:tcPr>
            <w:tcW w:w="2961" w:type="pct"/>
            <w:tcBorders>
              <w:top w:val="nil"/>
              <w:left w:val="nil"/>
              <w:bottom w:val="single" w:sz="4" w:space="0" w:color="auto"/>
              <w:right w:val="nil"/>
            </w:tcBorders>
            <w:shd w:val="clear" w:color="auto" w:fill="auto"/>
            <w:noWrap/>
            <w:vAlign w:val="bottom"/>
            <w:hideMark/>
          </w:tcPr>
          <w:p w14:paraId="1E38476C" w14:textId="77777777" w:rsidR="00CB16AA" w:rsidRPr="00666914" w:rsidRDefault="00CB16AA" w:rsidP="00985E7A">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Názov projektu</w:t>
            </w:r>
          </w:p>
        </w:tc>
        <w:tc>
          <w:tcPr>
            <w:tcW w:w="1577" w:type="pct"/>
            <w:tcBorders>
              <w:top w:val="nil"/>
              <w:left w:val="nil"/>
              <w:bottom w:val="single" w:sz="4" w:space="0" w:color="auto"/>
              <w:right w:val="nil"/>
            </w:tcBorders>
            <w:shd w:val="clear" w:color="auto" w:fill="auto"/>
            <w:noWrap/>
            <w:vAlign w:val="bottom"/>
            <w:hideMark/>
          </w:tcPr>
          <w:p w14:paraId="7018C8FB" w14:textId="77777777" w:rsidR="00CB16AA" w:rsidRPr="00666914" w:rsidRDefault="00CB16AA" w:rsidP="00985E7A">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Druh obstaranej dokumentácie</w:t>
            </w:r>
          </w:p>
        </w:tc>
      </w:tr>
      <w:tr w:rsidR="00CB16AA" w:rsidRPr="00666914" w14:paraId="06EC4D2C" w14:textId="77777777" w:rsidTr="00985E7A">
        <w:trPr>
          <w:trHeight w:val="260"/>
        </w:trPr>
        <w:tc>
          <w:tcPr>
            <w:tcW w:w="462" w:type="pct"/>
            <w:tcBorders>
              <w:top w:val="nil"/>
              <w:left w:val="nil"/>
              <w:bottom w:val="nil"/>
              <w:right w:val="nil"/>
            </w:tcBorders>
            <w:shd w:val="clear" w:color="auto" w:fill="auto"/>
            <w:noWrap/>
            <w:vAlign w:val="bottom"/>
          </w:tcPr>
          <w:p w14:paraId="065CDF21"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NDS</w:t>
            </w:r>
          </w:p>
        </w:tc>
        <w:tc>
          <w:tcPr>
            <w:tcW w:w="2961" w:type="pct"/>
            <w:tcBorders>
              <w:top w:val="nil"/>
              <w:left w:val="nil"/>
              <w:bottom w:val="nil"/>
              <w:right w:val="nil"/>
            </w:tcBorders>
            <w:shd w:val="clear" w:color="auto" w:fill="auto"/>
            <w:noWrap/>
            <w:vAlign w:val="bottom"/>
          </w:tcPr>
          <w:p w14:paraId="33E899B5"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I/61 Bratislava – Senec</w:t>
            </w:r>
          </w:p>
        </w:tc>
        <w:tc>
          <w:tcPr>
            <w:tcW w:w="1577" w:type="pct"/>
            <w:tcBorders>
              <w:top w:val="nil"/>
              <w:left w:val="nil"/>
              <w:bottom w:val="nil"/>
              <w:right w:val="nil"/>
            </w:tcBorders>
            <w:shd w:val="clear" w:color="auto" w:fill="auto"/>
            <w:noWrap/>
            <w:vAlign w:val="bottom"/>
          </w:tcPr>
          <w:p w14:paraId="7D5D7F5F"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DUR, DSP v podrobnosti DRS, DP, 8a</w:t>
            </w:r>
          </w:p>
        </w:tc>
      </w:tr>
      <w:tr w:rsidR="00CB16AA" w:rsidRPr="00666914" w14:paraId="35570460" w14:textId="77777777" w:rsidTr="00985E7A">
        <w:trPr>
          <w:trHeight w:val="260"/>
        </w:trPr>
        <w:tc>
          <w:tcPr>
            <w:tcW w:w="462" w:type="pct"/>
            <w:tcBorders>
              <w:top w:val="nil"/>
              <w:left w:val="nil"/>
              <w:bottom w:val="nil"/>
              <w:right w:val="nil"/>
            </w:tcBorders>
            <w:shd w:val="clear" w:color="auto" w:fill="auto"/>
            <w:noWrap/>
            <w:vAlign w:val="bottom"/>
          </w:tcPr>
          <w:p w14:paraId="32595133"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NDS</w:t>
            </w:r>
          </w:p>
        </w:tc>
        <w:tc>
          <w:tcPr>
            <w:tcW w:w="2961" w:type="pct"/>
            <w:tcBorders>
              <w:top w:val="nil"/>
              <w:left w:val="nil"/>
              <w:bottom w:val="nil"/>
              <w:right w:val="nil"/>
            </w:tcBorders>
            <w:shd w:val="clear" w:color="auto" w:fill="auto"/>
            <w:noWrap/>
            <w:vAlign w:val="bottom"/>
          </w:tcPr>
          <w:p w14:paraId="278CDE8E"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D3 Brodno – Kysucké Nové Mesto</w:t>
            </w:r>
          </w:p>
        </w:tc>
        <w:tc>
          <w:tcPr>
            <w:tcW w:w="1577" w:type="pct"/>
            <w:tcBorders>
              <w:top w:val="nil"/>
              <w:left w:val="nil"/>
              <w:bottom w:val="nil"/>
              <w:right w:val="nil"/>
            </w:tcBorders>
            <w:shd w:val="clear" w:color="auto" w:fill="auto"/>
            <w:noWrap/>
            <w:vAlign w:val="bottom"/>
          </w:tcPr>
          <w:p w14:paraId="6242BCEF"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DUR, DSP v podrobnosti DRS, DP, 8a</w:t>
            </w:r>
          </w:p>
        </w:tc>
      </w:tr>
      <w:tr w:rsidR="00CB16AA" w:rsidRPr="00666914" w14:paraId="00CC0A04" w14:textId="77777777" w:rsidTr="00985E7A">
        <w:trPr>
          <w:trHeight w:val="260"/>
        </w:trPr>
        <w:tc>
          <w:tcPr>
            <w:tcW w:w="462" w:type="pct"/>
            <w:tcBorders>
              <w:top w:val="nil"/>
              <w:left w:val="nil"/>
              <w:bottom w:val="nil"/>
              <w:right w:val="nil"/>
            </w:tcBorders>
            <w:shd w:val="clear" w:color="auto" w:fill="auto"/>
            <w:noWrap/>
            <w:vAlign w:val="bottom"/>
          </w:tcPr>
          <w:p w14:paraId="664FB1C3"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NDS</w:t>
            </w:r>
          </w:p>
        </w:tc>
        <w:tc>
          <w:tcPr>
            <w:tcW w:w="2961" w:type="pct"/>
            <w:tcBorders>
              <w:top w:val="nil"/>
              <w:left w:val="nil"/>
              <w:bottom w:val="nil"/>
              <w:right w:val="nil"/>
            </w:tcBorders>
            <w:shd w:val="clear" w:color="auto" w:fill="auto"/>
            <w:noWrap/>
            <w:vAlign w:val="bottom"/>
          </w:tcPr>
          <w:p w14:paraId="1A636C58"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D2 križovatka Rohožník</w:t>
            </w:r>
          </w:p>
        </w:tc>
        <w:tc>
          <w:tcPr>
            <w:tcW w:w="1577" w:type="pct"/>
            <w:tcBorders>
              <w:top w:val="nil"/>
              <w:left w:val="nil"/>
              <w:bottom w:val="nil"/>
              <w:right w:val="nil"/>
            </w:tcBorders>
            <w:shd w:val="clear" w:color="auto" w:fill="auto"/>
            <w:noWrap/>
            <w:vAlign w:val="bottom"/>
          </w:tcPr>
          <w:p w14:paraId="73403206"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DUR, DSP v podrobnosti DRS, DP, 8a</w:t>
            </w:r>
          </w:p>
        </w:tc>
      </w:tr>
      <w:tr w:rsidR="00CB16AA" w:rsidRPr="00666914" w14:paraId="23AF76E6" w14:textId="77777777" w:rsidTr="00985E7A">
        <w:trPr>
          <w:trHeight w:val="260"/>
        </w:trPr>
        <w:tc>
          <w:tcPr>
            <w:tcW w:w="462" w:type="pct"/>
            <w:tcBorders>
              <w:top w:val="nil"/>
              <w:left w:val="nil"/>
              <w:bottom w:val="nil"/>
              <w:right w:val="nil"/>
            </w:tcBorders>
            <w:shd w:val="clear" w:color="auto" w:fill="auto"/>
            <w:noWrap/>
            <w:vAlign w:val="bottom"/>
            <w:hideMark/>
          </w:tcPr>
          <w:p w14:paraId="2EA8FC6B"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NDS</w:t>
            </w:r>
          </w:p>
        </w:tc>
        <w:tc>
          <w:tcPr>
            <w:tcW w:w="2961" w:type="pct"/>
            <w:tcBorders>
              <w:top w:val="nil"/>
              <w:left w:val="nil"/>
              <w:bottom w:val="nil"/>
              <w:right w:val="nil"/>
            </w:tcBorders>
            <w:shd w:val="clear" w:color="auto" w:fill="auto"/>
            <w:noWrap/>
            <w:vAlign w:val="bottom"/>
            <w:hideMark/>
          </w:tcPr>
          <w:p w14:paraId="23E85ADB"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R3 Krupina obchvat</w:t>
            </w:r>
          </w:p>
        </w:tc>
        <w:tc>
          <w:tcPr>
            <w:tcW w:w="1577" w:type="pct"/>
            <w:tcBorders>
              <w:top w:val="nil"/>
              <w:left w:val="nil"/>
              <w:bottom w:val="nil"/>
              <w:right w:val="nil"/>
            </w:tcBorders>
            <w:shd w:val="clear" w:color="auto" w:fill="auto"/>
            <w:noWrap/>
            <w:vAlign w:val="bottom"/>
            <w:hideMark/>
          </w:tcPr>
          <w:p w14:paraId="23F25B90"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DSZ + DÚR, DSP</w:t>
            </w:r>
          </w:p>
        </w:tc>
      </w:tr>
      <w:tr w:rsidR="00CB16AA" w:rsidRPr="00666914" w14:paraId="14DDED3B" w14:textId="77777777" w:rsidTr="00985E7A">
        <w:trPr>
          <w:trHeight w:val="260"/>
        </w:trPr>
        <w:tc>
          <w:tcPr>
            <w:tcW w:w="462" w:type="pct"/>
            <w:tcBorders>
              <w:top w:val="nil"/>
              <w:left w:val="nil"/>
              <w:bottom w:val="nil"/>
              <w:right w:val="nil"/>
            </w:tcBorders>
            <w:shd w:val="clear" w:color="auto" w:fill="auto"/>
            <w:noWrap/>
            <w:vAlign w:val="bottom"/>
            <w:hideMark/>
          </w:tcPr>
          <w:p w14:paraId="1D710DA4"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152511A1"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I/75 Šaľa – obchvat</w:t>
            </w:r>
          </w:p>
        </w:tc>
        <w:tc>
          <w:tcPr>
            <w:tcW w:w="1577" w:type="pct"/>
            <w:tcBorders>
              <w:top w:val="nil"/>
              <w:left w:val="nil"/>
              <w:bottom w:val="nil"/>
              <w:right w:val="nil"/>
            </w:tcBorders>
            <w:shd w:val="clear" w:color="auto" w:fill="auto"/>
            <w:noWrap/>
            <w:vAlign w:val="bottom"/>
            <w:hideMark/>
          </w:tcPr>
          <w:p w14:paraId="4A21FC6E"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Aktualizácia DSP, DP/DRS</w:t>
            </w:r>
          </w:p>
        </w:tc>
      </w:tr>
      <w:tr w:rsidR="00CB16AA" w:rsidRPr="00666914" w14:paraId="789D45BA" w14:textId="77777777" w:rsidTr="00985E7A">
        <w:trPr>
          <w:trHeight w:val="260"/>
        </w:trPr>
        <w:tc>
          <w:tcPr>
            <w:tcW w:w="462" w:type="pct"/>
            <w:tcBorders>
              <w:top w:val="nil"/>
              <w:left w:val="nil"/>
              <w:bottom w:val="nil"/>
              <w:right w:val="nil"/>
            </w:tcBorders>
            <w:shd w:val="clear" w:color="auto" w:fill="auto"/>
            <w:noWrap/>
            <w:vAlign w:val="bottom"/>
            <w:hideMark/>
          </w:tcPr>
          <w:p w14:paraId="20E2A363"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31A2D439"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I/51 Golianovo - Vráble</w:t>
            </w:r>
          </w:p>
        </w:tc>
        <w:tc>
          <w:tcPr>
            <w:tcW w:w="1577" w:type="pct"/>
            <w:tcBorders>
              <w:top w:val="nil"/>
              <w:left w:val="nil"/>
              <w:bottom w:val="nil"/>
              <w:right w:val="nil"/>
            </w:tcBorders>
            <w:shd w:val="clear" w:color="auto" w:fill="auto"/>
            <w:noWrap/>
            <w:vAlign w:val="bottom"/>
            <w:hideMark/>
          </w:tcPr>
          <w:p w14:paraId="4EB45E94"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DP/DRS s náležitosťami DSP</w:t>
            </w:r>
          </w:p>
        </w:tc>
      </w:tr>
      <w:tr w:rsidR="00CB16AA" w:rsidRPr="00666914" w14:paraId="352ECC0F" w14:textId="77777777" w:rsidTr="00985E7A">
        <w:trPr>
          <w:trHeight w:val="260"/>
        </w:trPr>
        <w:tc>
          <w:tcPr>
            <w:tcW w:w="462" w:type="pct"/>
            <w:tcBorders>
              <w:top w:val="nil"/>
              <w:left w:val="nil"/>
              <w:bottom w:val="nil"/>
              <w:right w:val="nil"/>
            </w:tcBorders>
            <w:shd w:val="clear" w:color="auto" w:fill="auto"/>
            <w:noWrap/>
            <w:vAlign w:val="bottom"/>
            <w:hideMark/>
          </w:tcPr>
          <w:p w14:paraId="4488FB56"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561EFB5E"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I/68 - 042 Sabinov most</w:t>
            </w:r>
          </w:p>
        </w:tc>
        <w:tc>
          <w:tcPr>
            <w:tcW w:w="1577" w:type="pct"/>
            <w:tcBorders>
              <w:top w:val="nil"/>
              <w:left w:val="nil"/>
              <w:bottom w:val="nil"/>
              <w:right w:val="nil"/>
            </w:tcBorders>
            <w:shd w:val="clear" w:color="auto" w:fill="auto"/>
            <w:noWrap/>
            <w:vAlign w:val="bottom"/>
            <w:hideMark/>
          </w:tcPr>
          <w:p w14:paraId="7D9E18EA"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DSP + DP/DRS</w:t>
            </w:r>
          </w:p>
        </w:tc>
      </w:tr>
      <w:tr w:rsidR="00CB16AA" w:rsidRPr="00666914" w14:paraId="2F679602" w14:textId="77777777" w:rsidTr="00985E7A">
        <w:trPr>
          <w:trHeight w:val="260"/>
        </w:trPr>
        <w:tc>
          <w:tcPr>
            <w:tcW w:w="462" w:type="pct"/>
            <w:tcBorders>
              <w:top w:val="nil"/>
              <w:left w:val="nil"/>
              <w:bottom w:val="nil"/>
              <w:right w:val="nil"/>
            </w:tcBorders>
            <w:shd w:val="clear" w:color="auto" w:fill="auto"/>
            <w:noWrap/>
            <w:vAlign w:val="bottom"/>
            <w:hideMark/>
          </w:tcPr>
          <w:p w14:paraId="5F572973"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2DDDFDFD"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I/68 - 041 Sabinov most</w:t>
            </w:r>
          </w:p>
        </w:tc>
        <w:tc>
          <w:tcPr>
            <w:tcW w:w="1577" w:type="pct"/>
            <w:tcBorders>
              <w:top w:val="nil"/>
              <w:left w:val="nil"/>
              <w:bottom w:val="nil"/>
              <w:right w:val="nil"/>
            </w:tcBorders>
            <w:shd w:val="clear" w:color="auto" w:fill="auto"/>
            <w:noWrap/>
            <w:vAlign w:val="bottom"/>
            <w:hideMark/>
          </w:tcPr>
          <w:p w14:paraId="3865AB40"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DSP + DP/DRS</w:t>
            </w:r>
          </w:p>
        </w:tc>
      </w:tr>
      <w:tr w:rsidR="00CB16AA" w:rsidRPr="00666914" w14:paraId="40DCA8B3" w14:textId="77777777" w:rsidTr="00985E7A">
        <w:trPr>
          <w:trHeight w:val="260"/>
        </w:trPr>
        <w:tc>
          <w:tcPr>
            <w:tcW w:w="462" w:type="pct"/>
            <w:tcBorders>
              <w:top w:val="nil"/>
              <w:left w:val="nil"/>
              <w:bottom w:val="nil"/>
              <w:right w:val="nil"/>
            </w:tcBorders>
            <w:shd w:val="clear" w:color="auto" w:fill="auto"/>
            <w:noWrap/>
            <w:vAlign w:val="bottom"/>
            <w:hideMark/>
          </w:tcPr>
          <w:p w14:paraId="33F2A9D0"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7F69574B"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I/77 - 012 Podolínec most</w:t>
            </w:r>
          </w:p>
        </w:tc>
        <w:tc>
          <w:tcPr>
            <w:tcW w:w="1577" w:type="pct"/>
            <w:tcBorders>
              <w:top w:val="nil"/>
              <w:left w:val="nil"/>
              <w:bottom w:val="nil"/>
              <w:right w:val="nil"/>
            </w:tcBorders>
            <w:shd w:val="clear" w:color="auto" w:fill="auto"/>
            <w:noWrap/>
            <w:vAlign w:val="bottom"/>
            <w:hideMark/>
          </w:tcPr>
          <w:p w14:paraId="0746C412"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DSP + DP/DRS</w:t>
            </w:r>
          </w:p>
        </w:tc>
      </w:tr>
      <w:tr w:rsidR="00CB16AA" w:rsidRPr="00666914" w14:paraId="0C0D6C29" w14:textId="77777777" w:rsidTr="00985E7A">
        <w:trPr>
          <w:trHeight w:val="260"/>
        </w:trPr>
        <w:tc>
          <w:tcPr>
            <w:tcW w:w="462" w:type="pct"/>
            <w:tcBorders>
              <w:top w:val="nil"/>
              <w:left w:val="nil"/>
              <w:bottom w:val="nil"/>
              <w:right w:val="nil"/>
            </w:tcBorders>
            <w:shd w:val="clear" w:color="auto" w:fill="auto"/>
            <w:noWrap/>
            <w:vAlign w:val="bottom"/>
            <w:hideMark/>
          </w:tcPr>
          <w:p w14:paraId="6C40C3C6"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0BA38097"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I/15 - 014 Stropkov, most</w:t>
            </w:r>
          </w:p>
        </w:tc>
        <w:tc>
          <w:tcPr>
            <w:tcW w:w="1577" w:type="pct"/>
            <w:tcBorders>
              <w:top w:val="nil"/>
              <w:left w:val="nil"/>
              <w:bottom w:val="nil"/>
              <w:right w:val="nil"/>
            </w:tcBorders>
            <w:shd w:val="clear" w:color="auto" w:fill="auto"/>
            <w:noWrap/>
            <w:vAlign w:val="bottom"/>
            <w:hideMark/>
          </w:tcPr>
          <w:p w14:paraId="1A88C57F"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DSP + DP/DRS</w:t>
            </w:r>
          </w:p>
        </w:tc>
      </w:tr>
      <w:tr w:rsidR="00CB16AA" w:rsidRPr="00666914" w14:paraId="51AAF3F6" w14:textId="77777777" w:rsidTr="00985E7A">
        <w:trPr>
          <w:trHeight w:val="260"/>
        </w:trPr>
        <w:tc>
          <w:tcPr>
            <w:tcW w:w="462" w:type="pct"/>
            <w:tcBorders>
              <w:top w:val="nil"/>
              <w:left w:val="nil"/>
              <w:bottom w:val="nil"/>
              <w:right w:val="nil"/>
            </w:tcBorders>
            <w:shd w:val="clear" w:color="auto" w:fill="auto"/>
            <w:noWrap/>
            <w:vAlign w:val="bottom"/>
            <w:hideMark/>
          </w:tcPr>
          <w:p w14:paraId="79FB1E42"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31C4C11D"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I/18 - 389A Poprad  most</w:t>
            </w:r>
          </w:p>
        </w:tc>
        <w:tc>
          <w:tcPr>
            <w:tcW w:w="1577" w:type="pct"/>
            <w:tcBorders>
              <w:top w:val="nil"/>
              <w:left w:val="nil"/>
              <w:bottom w:val="nil"/>
              <w:right w:val="nil"/>
            </w:tcBorders>
            <w:shd w:val="clear" w:color="auto" w:fill="auto"/>
            <w:noWrap/>
            <w:vAlign w:val="bottom"/>
            <w:hideMark/>
          </w:tcPr>
          <w:p w14:paraId="6431482E"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DSP + DP/DRS</w:t>
            </w:r>
          </w:p>
        </w:tc>
      </w:tr>
      <w:tr w:rsidR="00CB16AA" w:rsidRPr="00666914" w14:paraId="0233D9DE" w14:textId="77777777" w:rsidTr="00985E7A">
        <w:trPr>
          <w:trHeight w:val="260"/>
        </w:trPr>
        <w:tc>
          <w:tcPr>
            <w:tcW w:w="462" w:type="pct"/>
            <w:tcBorders>
              <w:top w:val="nil"/>
              <w:left w:val="nil"/>
              <w:bottom w:val="nil"/>
              <w:right w:val="nil"/>
            </w:tcBorders>
            <w:shd w:val="clear" w:color="auto" w:fill="auto"/>
            <w:noWrap/>
            <w:vAlign w:val="bottom"/>
            <w:hideMark/>
          </w:tcPr>
          <w:p w14:paraId="265E09BF"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00A8B504"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I/77 - 033 Lenartov most</w:t>
            </w:r>
          </w:p>
        </w:tc>
        <w:tc>
          <w:tcPr>
            <w:tcW w:w="1577" w:type="pct"/>
            <w:tcBorders>
              <w:top w:val="nil"/>
              <w:left w:val="nil"/>
              <w:bottom w:val="nil"/>
              <w:right w:val="nil"/>
            </w:tcBorders>
            <w:shd w:val="clear" w:color="auto" w:fill="auto"/>
            <w:noWrap/>
            <w:vAlign w:val="bottom"/>
            <w:hideMark/>
          </w:tcPr>
          <w:p w14:paraId="6334F8A6"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DSP + DP/DRS</w:t>
            </w:r>
          </w:p>
        </w:tc>
      </w:tr>
      <w:tr w:rsidR="00CB16AA" w:rsidRPr="00666914" w14:paraId="3C14D03B" w14:textId="77777777" w:rsidTr="00985E7A">
        <w:trPr>
          <w:trHeight w:val="260"/>
        </w:trPr>
        <w:tc>
          <w:tcPr>
            <w:tcW w:w="462" w:type="pct"/>
            <w:tcBorders>
              <w:top w:val="nil"/>
              <w:left w:val="nil"/>
              <w:bottom w:val="nil"/>
              <w:right w:val="nil"/>
            </w:tcBorders>
            <w:shd w:val="clear" w:color="auto" w:fill="auto"/>
            <w:noWrap/>
            <w:vAlign w:val="bottom"/>
            <w:hideMark/>
          </w:tcPr>
          <w:p w14:paraId="1A39C542"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355143E1"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I/66-083 Podspády most</w:t>
            </w:r>
          </w:p>
        </w:tc>
        <w:tc>
          <w:tcPr>
            <w:tcW w:w="1577" w:type="pct"/>
            <w:tcBorders>
              <w:top w:val="nil"/>
              <w:left w:val="nil"/>
              <w:bottom w:val="nil"/>
              <w:right w:val="nil"/>
            </w:tcBorders>
            <w:shd w:val="clear" w:color="auto" w:fill="auto"/>
            <w:noWrap/>
            <w:vAlign w:val="bottom"/>
            <w:hideMark/>
          </w:tcPr>
          <w:p w14:paraId="09A5E37C"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DSP + DP/DRS</w:t>
            </w:r>
          </w:p>
        </w:tc>
      </w:tr>
      <w:tr w:rsidR="00CB16AA" w:rsidRPr="00666914" w14:paraId="102F3063" w14:textId="77777777" w:rsidTr="00985E7A">
        <w:trPr>
          <w:trHeight w:val="260"/>
        </w:trPr>
        <w:tc>
          <w:tcPr>
            <w:tcW w:w="462" w:type="pct"/>
            <w:tcBorders>
              <w:top w:val="nil"/>
              <w:left w:val="nil"/>
              <w:bottom w:val="nil"/>
              <w:right w:val="nil"/>
            </w:tcBorders>
            <w:shd w:val="clear" w:color="auto" w:fill="auto"/>
            <w:noWrap/>
            <w:vAlign w:val="bottom"/>
            <w:hideMark/>
          </w:tcPr>
          <w:p w14:paraId="05854C84"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65D518B3"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I/18  - 383 Lučivná most</w:t>
            </w:r>
          </w:p>
        </w:tc>
        <w:tc>
          <w:tcPr>
            <w:tcW w:w="1577" w:type="pct"/>
            <w:tcBorders>
              <w:top w:val="nil"/>
              <w:left w:val="nil"/>
              <w:bottom w:val="nil"/>
              <w:right w:val="nil"/>
            </w:tcBorders>
            <w:shd w:val="clear" w:color="auto" w:fill="auto"/>
            <w:noWrap/>
            <w:vAlign w:val="bottom"/>
            <w:hideMark/>
          </w:tcPr>
          <w:p w14:paraId="3B21866F"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DSP + DP/DRS</w:t>
            </w:r>
          </w:p>
        </w:tc>
      </w:tr>
      <w:tr w:rsidR="00CB16AA" w:rsidRPr="00666914" w14:paraId="4132749D" w14:textId="77777777" w:rsidTr="00985E7A">
        <w:trPr>
          <w:trHeight w:val="260"/>
        </w:trPr>
        <w:tc>
          <w:tcPr>
            <w:tcW w:w="462" w:type="pct"/>
            <w:tcBorders>
              <w:top w:val="nil"/>
              <w:left w:val="nil"/>
              <w:bottom w:val="nil"/>
              <w:right w:val="nil"/>
            </w:tcBorders>
            <w:shd w:val="clear" w:color="auto" w:fill="auto"/>
            <w:noWrap/>
            <w:vAlign w:val="bottom"/>
            <w:hideMark/>
          </w:tcPr>
          <w:p w14:paraId="7D5FF431"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6527FEC6"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I/18 - 486 Vranov nad Topľou most nad žel. traťou</w:t>
            </w:r>
          </w:p>
        </w:tc>
        <w:tc>
          <w:tcPr>
            <w:tcW w:w="1577" w:type="pct"/>
            <w:tcBorders>
              <w:top w:val="nil"/>
              <w:left w:val="nil"/>
              <w:bottom w:val="nil"/>
              <w:right w:val="nil"/>
            </w:tcBorders>
            <w:shd w:val="clear" w:color="auto" w:fill="auto"/>
            <w:noWrap/>
            <w:vAlign w:val="bottom"/>
            <w:hideMark/>
          </w:tcPr>
          <w:p w14:paraId="4A65DF40"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DSP + DP/DRS</w:t>
            </w:r>
          </w:p>
        </w:tc>
      </w:tr>
      <w:tr w:rsidR="00CB16AA" w:rsidRPr="00666914" w14:paraId="0C003A10" w14:textId="77777777" w:rsidTr="00985E7A">
        <w:trPr>
          <w:trHeight w:val="260"/>
        </w:trPr>
        <w:tc>
          <w:tcPr>
            <w:tcW w:w="462" w:type="pct"/>
            <w:tcBorders>
              <w:top w:val="nil"/>
              <w:left w:val="nil"/>
              <w:bottom w:val="nil"/>
              <w:right w:val="nil"/>
            </w:tcBorders>
            <w:shd w:val="clear" w:color="auto" w:fill="auto"/>
            <w:noWrap/>
            <w:vAlign w:val="bottom"/>
            <w:hideMark/>
          </w:tcPr>
          <w:p w14:paraId="47B0871F"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5A3C932A"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I/68-024 pred odb. Šarišské Jastrabie most</w:t>
            </w:r>
          </w:p>
        </w:tc>
        <w:tc>
          <w:tcPr>
            <w:tcW w:w="1577" w:type="pct"/>
            <w:tcBorders>
              <w:top w:val="nil"/>
              <w:left w:val="nil"/>
              <w:bottom w:val="nil"/>
              <w:right w:val="nil"/>
            </w:tcBorders>
            <w:shd w:val="clear" w:color="auto" w:fill="auto"/>
            <w:noWrap/>
            <w:vAlign w:val="bottom"/>
            <w:hideMark/>
          </w:tcPr>
          <w:p w14:paraId="60E6A978"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DSP + DP/DRS</w:t>
            </w:r>
          </w:p>
        </w:tc>
      </w:tr>
      <w:tr w:rsidR="00CB16AA" w:rsidRPr="00666914" w14:paraId="50427779" w14:textId="77777777" w:rsidTr="00985E7A">
        <w:trPr>
          <w:trHeight w:val="260"/>
        </w:trPr>
        <w:tc>
          <w:tcPr>
            <w:tcW w:w="462" w:type="pct"/>
            <w:tcBorders>
              <w:top w:val="nil"/>
              <w:left w:val="nil"/>
              <w:bottom w:val="nil"/>
              <w:right w:val="nil"/>
            </w:tcBorders>
            <w:shd w:val="clear" w:color="auto" w:fill="auto"/>
            <w:noWrap/>
            <w:vAlign w:val="bottom"/>
            <w:hideMark/>
          </w:tcPr>
          <w:p w14:paraId="7FC026A4"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09974F94"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I/68 - 014 odb. Ľubovnianske kúpele most</w:t>
            </w:r>
          </w:p>
        </w:tc>
        <w:tc>
          <w:tcPr>
            <w:tcW w:w="1577" w:type="pct"/>
            <w:tcBorders>
              <w:top w:val="nil"/>
              <w:left w:val="nil"/>
              <w:bottom w:val="nil"/>
              <w:right w:val="nil"/>
            </w:tcBorders>
            <w:shd w:val="clear" w:color="auto" w:fill="auto"/>
            <w:noWrap/>
            <w:vAlign w:val="bottom"/>
            <w:hideMark/>
          </w:tcPr>
          <w:p w14:paraId="0CD486C2"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DSP + DP/DRS</w:t>
            </w:r>
          </w:p>
        </w:tc>
      </w:tr>
      <w:tr w:rsidR="00CB16AA" w:rsidRPr="00666914" w14:paraId="7343AF51" w14:textId="77777777" w:rsidTr="00985E7A">
        <w:trPr>
          <w:trHeight w:val="260"/>
        </w:trPr>
        <w:tc>
          <w:tcPr>
            <w:tcW w:w="462" w:type="pct"/>
            <w:tcBorders>
              <w:top w:val="nil"/>
              <w:left w:val="nil"/>
              <w:bottom w:val="nil"/>
              <w:right w:val="nil"/>
            </w:tcBorders>
            <w:shd w:val="clear" w:color="auto" w:fill="auto"/>
            <w:noWrap/>
            <w:vAlign w:val="bottom"/>
            <w:hideMark/>
          </w:tcPr>
          <w:p w14:paraId="20EE433D"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6F962C4F"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I/18 - 392 Hôrka most</w:t>
            </w:r>
          </w:p>
        </w:tc>
        <w:tc>
          <w:tcPr>
            <w:tcW w:w="1577" w:type="pct"/>
            <w:tcBorders>
              <w:top w:val="nil"/>
              <w:left w:val="nil"/>
              <w:bottom w:val="nil"/>
              <w:right w:val="nil"/>
            </w:tcBorders>
            <w:shd w:val="clear" w:color="auto" w:fill="auto"/>
            <w:noWrap/>
            <w:vAlign w:val="bottom"/>
            <w:hideMark/>
          </w:tcPr>
          <w:p w14:paraId="6F2ED8E5"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DSP + DP/DRS</w:t>
            </w:r>
          </w:p>
        </w:tc>
      </w:tr>
      <w:tr w:rsidR="00CB16AA" w:rsidRPr="00666914" w14:paraId="46C152D6" w14:textId="77777777" w:rsidTr="00985E7A">
        <w:trPr>
          <w:trHeight w:val="260"/>
        </w:trPr>
        <w:tc>
          <w:tcPr>
            <w:tcW w:w="462" w:type="pct"/>
            <w:tcBorders>
              <w:top w:val="nil"/>
              <w:left w:val="nil"/>
              <w:bottom w:val="nil"/>
              <w:right w:val="nil"/>
            </w:tcBorders>
            <w:shd w:val="clear" w:color="auto" w:fill="auto"/>
            <w:noWrap/>
            <w:vAlign w:val="bottom"/>
            <w:hideMark/>
          </w:tcPr>
          <w:p w14:paraId="06A9A673"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35632C2C"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I/21 - 015 Šarišský Štiavnik  most</w:t>
            </w:r>
          </w:p>
        </w:tc>
        <w:tc>
          <w:tcPr>
            <w:tcW w:w="1577" w:type="pct"/>
            <w:tcBorders>
              <w:top w:val="nil"/>
              <w:left w:val="nil"/>
              <w:bottom w:val="nil"/>
              <w:right w:val="nil"/>
            </w:tcBorders>
            <w:shd w:val="clear" w:color="auto" w:fill="auto"/>
            <w:noWrap/>
            <w:vAlign w:val="bottom"/>
            <w:hideMark/>
          </w:tcPr>
          <w:p w14:paraId="38A255C6"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DSP + DP/DRS</w:t>
            </w:r>
          </w:p>
        </w:tc>
      </w:tr>
      <w:tr w:rsidR="00CB16AA" w:rsidRPr="00666914" w14:paraId="0492BBE2" w14:textId="77777777" w:rsidTr="00985E7A">
        <w:trPr>
          <w:trHeight w:val="260"/>
        </w:trPr>
        <w:tc>
          <w:tcPr>
            <w:tcW w:w="462" w:type="pct"/>
            <w:tcBorders>
              <w:top w:val="nil"/>
              <w:left w:val="nil"/>
              <w:bottom w:val="nil"/>
              <w:right w:val="nil"/>
            </w:tcBorders>
            <w:shd w:val="clear" w:color="auto" w:fill="auto"/>
            <w:noWrap/>
            <w:vAlign w:val="bottom"/>
            <w:hideMark/>
          </w:tcPr>
          <w:p w14:paraId="0193C7A5"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1D5EA7A3"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I/67 - 015 Gemerská Poloma most</w:t>
            </w:r>
          </w:p>
        </w:tc>
        <w:tc>
          <w:tcPr>
            <w:tcW w:w="1577" w:type="pct"/>
            <w:tcBorders>
              <w:top w:val="nil"/>
              <w:left w:val="nil"/>
              <w:bottom w:val="nil"/>
              <w:right w:val="nil"/>
            </w:tcBorders>
            <w:shd w:val="clear" w:color="auto" w:fill="auto"/>
            <w:noWrap/>
            <w:vAlign w:val="bottom"/>
            <w:hideMark/>
          </w:tcPr>
          <w:p w14:paraId="5351CF83"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DSP + DP/DRS</w:t>
            </w:r>
          </w:p>
        </w:tc>
      </w:tr>
      <w:tr w:rsidR="00CB16AA" w:rsidRPr="00666914" w14:paraId="1C702357" w14:textId="77777777" w:rsidTr="00985E7A">
        <w:trPr>
          <w:trHeight w:val="260"/>
        </w:trPr>
        <w:tc>
          <w:tcPr>
            <w:tcW w:w="462" w:type="pct"/>
            <w:tcBorders>
              <w:top w:val="nil"/>
              <w:left w:val="nil"/>
              <w:bottom w:val="nil"/>
              <w:right w:val="nil"/>
            </w:tcBorders>
            <w:shd w:val="clear" w:color="auto" w:fill="auto"/>
            <w:noWrap/>
            <w:vAlign w:val="bottom"/>
            <w:hideMark/>
          </w:tcPr>
          <w:p w14:paraId="0C3E7C76"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5439668D"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I/79-011 Parchovany most</w:t>
            </w:r>
          </w:p>
        </w:tc>
        <w:tc>
          <w:tcPr>
            <w:tcW w:w="1577" w:type="pct"/>
            <w:tcBorders>
              <w:top w:val="nil"/>
              <w:left w:val="nil"/>
              <w:bottom w:val="nil"/>
              <w:right w:val="nil"/>
            </w:tcBorders>
            <w:shd w:val="clear" w:color="auto" w:fill="auto"/>
            <w:noWrap/>
            <w:vAlign w:val="bottom"/>
            <w:hideMark/>
          </w:tcPr>
          <w:p w14:paraId="39200517"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DSP + DP/DRS</w:t>
            </w:r>
          </w:p>
        </w:tc>
      </w:tr>
      <w:tr w:rsidR="00CB16AA" w:rsidRPr="00666914" w14:paraId="02603EC8" w14:textId="77777777" w:rsidTr="00985E7A">
        <w:trPr>
          <w:trHeight w:val="260"/>
        </w:trPr>
        <w:tc>
          <w:tcPr>
            <w:tcW w:w="462" w:type="pct"/>
            <w:tcBorders>
              <w:top w:val="nil"/>
              <w:left w:val="nil"/>
              <w:bottom w:val="nil"/>
              <w:right w:val="nil"/>
            </w:tcBorders>
            <w:shd w:val="clear" w:color="auto" w:fill="auto"/>
            <w:noWrap/>
            <w:vAlign w:val="bottom"/>
            <w:hideMark/>
          </w:tcPr>
          <w:p w14:paraId="15088E3C"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04454E2C"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I/67 - 033 Stratená most</w:t>
            </w:r>
          </w:p>
        </w:tc>
        <w:tc>
          <w:tcPr>
            <w:tcW w:w="1577" w:type="pct"/>
            <w:tcBorders>
              <w:top w:val="nil"/>
              <w:left w:val="nil"/>
              <w:bottom w:val="nil"/>
              <w:right w:val="nil"/>
            </w:tcBorders>
            <w:shd w:val="clear" w:color="auto" w:fill="auto"/>
            <w:noWrap/>
            <w:vAlign w:val="bottom"/>
            <w:hideMark/>
          </w:tcPr>
          <w:p w14:paraId="71D48E33"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DSP + DP/DRS</w:t>
            </w:r>
          </w:p>
        </w:tc>
      </w:tr>
      <w:tr w:rsidR="00CB16AA" w:rsidRPr="00666914" w14:paraId="7211B4F0" w14:textId="77777777" w:rsidTr="00985E7A">
        <w:trPr>
          <w:trHeight w:val="260"/>
        </w:trPr>
        <w:tc>
          <w:tcPr>
            <w:tcW w:w="462" w:type="pct"/>
            <w:tcBorders>
              <w:top w:val="nil"/>
              <w:left w:val="nil"/>
              <w:bottom w:val="nil"/>
              <w:right w:val="nil"/>
            </w:tcBorders>
            <w:shd w:val="clear" w:color="auto" w:fill="auto"/>
            <w:noWrap/>
            <w:vAlign w:val="bottom"/>
            <w:hideMark/>
          </w:tcPr>
          <w:p w14:paraId="415522B2"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7A20EEAA"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I/66 - 073 Spišská Belá most</w:t>
            </w:r>
          </w:p>
        </w:tc>
        <w:tc>
          <w:tcPr>
            <w:tcW w:w="1577" w:type="pct"/>
            <w:tcBorders>
              <w:top w:val="nil"/>
              <w:left w:val="nil"/>
              <w:bottom w:val="nil"/>
              <w:right w:val="nil"/>
            </w:tcBorders>
            <w:shd w:val="clear" w:color="auto" w:fill="auto"/>
            <w:noWrap/>
            <w:vAlign w:val="bottom"/>
            <w:hideMark/>
          </w:tcPr>
          <w:p w14:paraId="5C70E518"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DSP + DP/DRS</w:t>
            </w:r>
          </w:p>
        </w:tc>
      </w:tr>
      <w:tr w:rsidR="00CB16AA" w:rsidRPr="00666914" w14:paraId="593960D5" w14:textId="77777777" w:rsidTr="00985E7A">
        <w:trPr>
          <w:trHeight w:val="260"/>
        </w:trPr>
        <w:tc>
          <w:tcPr>
            <w:tcW w:w="462" w:type="pct"/>
            <w:tcBorders>
              <w:top w:val="nil"/>
              <w:left w:val="nil"/>
              <w:bottom w:val="nil"/>
              <w:right w:val="nil"/>
            </w:tcBorders>
            <w:shd w:val="clear" w:color="auto" w:fill="auto"/>
            <w:noWrap/>
            <w:vAlign w:val="bottom"/>
            <w:hideMark/>
          </w:tcPr>
          <w:p w14:paraId="2C57589E"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2DEF81F0"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I/18 a I/74 Strážske križovatka</w:t>
            </w:r>
          </w:p>
        </w:tc>
        <w:tc>
          <w:tcPr>
            <w:tcW w:w="1577" w:type="pct"/>
            <w:tcBorders>
              <w:top w:val="nil"/>
              <w:left w:val="nil"/>
              <w:bottom w:val="nil"/>
              <w:right w:val="nil"/>
            </w:tcBorders>
            <w:shd w:val="clear" w:color="auto" w:fill="auto"/>
            <w:noWrap/>
            <w:vAlign w:val="bottom"/>
            <w:hideMark/>
          </w:tcPr>
          <w:p w14:paraId="5858942D"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DSP + DP/DRS + podklady na ÚK</w:t>
            </w:r>
          </w:p>
        </w:tc>
      </w:tr>
      <w:tr w:rsidR="00CB16AA" w:rsidRPr="00666914" w14:paraId="45340AC3" w14:textId="77777777" w:rsidTr="00985E7A">
        <w:trPr>
          <w:trHeight w:val="260"/>
        </w:trPr>
        <w:tc>
          <w:tcPr>
            <w:tcW w:w="462" w:type="pct"/>
            <w:tcBorders>
              <w:top w:val="nil"/>
              <w:left w:val="nil"/>
              <w:bottom w:val="nil"/>
              <w:right w:val="nil"/>
            </w:tcBorders>
            <w:shd w:val="clear" w:color="auto" w:fill="auto"/>
            <w:noWrap/>
            <w:vAlign w:val="bottom"/>
            <w:hideMark/>
          </w:tcPr>
          <w:p w14:paraId="0944A718"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29CB03C9"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I/66-087 Lysá Poľana most</w:t>
            </w:r>
          </w:p>
        </w:tc>
        <w:tc>
          <w:tcPr>
            <w:tcW w:w="1577" w:type="pct"/>
            <w:tcBorders>
              <w:top w:val="nil"/>
              <w:left w:val="nil"/>
              <w:bottom w:val="nil"/>
              <w:right w:val="nil"/>
            </w:tcBorders>
            <w:shd w:val="clear" w:color="auto" w:fill="auto"/>
            <w:noWrap/>
            <w:vAlign w:val="bottom"/>
            <w:hideMark/>
          </w:tcPr>
          <w:p w14:paraId="6C5CF51B"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DSP + DP/DRS</w:t>
            </w:r>
          </w:p>
        </w:tc>
      </w:tr>
      <w:tr w:rsidR="00CB16AA" w:rsidRPr="00666914" w14:paraId="3762365B" w14:textId="77777777" w:rsidTr="00985E7A">
        <w:trPr>
          <w:trHeight w:val="260"/>
        </w:trPr>
        <w:tc>
          <w:tcPr>
            <w:tcW w:w="462" w:type="pct"/>
            <w:tcBorders>
              <w:top w:val="nil"/>
              <w:left w:val="nil"/>
              <w:bottom w:val="nil"/>
              <w:right w:val="nil"/>
            </w:tcBorders>
            <w:shd w:val="clear" w:color="auto" w:fill="auto"/>
            <w:noWrap/>
            <w:vAlign w:val="bottom"/>
            <w:hideMark/>
          </w:tcPr>
          <w:p w14:paraId="788DC1B7"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714D7261"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I/67-021 Nižná Slaná most</w:t>
            </w:r>
          </w:p>
        </w:tc>
        <w:tc>
          <w:tcPr>
            <w:tcW w:w="1577" w:type="pct"/>
            <w:tcBorders>
              <w:top w:val="nil"/>
              <w:left w:val="nil"/>
              <w:bottom w:val="nil"/>
              <w:right w:val="nil"/>
            </w:tcBorders>
            <w:shd w:val="clear" w:color="auto" w:fill="auto"/>
            <w:noWrap/>
            <w:vAlign w:val="bottom"/>
            <w:hideMark/>
          </w:tcPr>
          <w:p w14:paraId="4329D877"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DSP + DP/DRS</w:t>
            </w:r>
          </w:p>
        </w:tc>
      </w:tr>
      <w:tr w:rsidR="00CB16AA" w:rsidRPr="00666914" w14:paraId="389A11AB" w14:textId="77777777" w:rsidTr="00985E7A">
        <w:trPr>
          <w:trHeight w:val="260"/>
        </w:trPr>
        <w:tc>
          <w:tcPr>
            <w:tcW w:w="462" w:type="pct"/>
            <w:tcBorders>
              <w:top w:val="nil"/>
              <w:left w:val="nil"/>
              <w:bottom w:val="nil"/>
              <w:right w:val="nil"/>
            </w:tcBorders>
            <w:shd w:val="clear" w:color="auto" w:fill="auto"/>
            <w:noWrap/>
            <w:vAlign w:val="bottom"/>
            <w:hideMark/>
          </w:tcPr>
          <w:p w14:paraId="4DCC14D4"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2947E5B4"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I/79 a II/555 Kráľovský Chlmec križovatka</w:t>
            </w:r>
          </w:p>
        </w:tc>
        <w:tc>
          <w:tcPr>
            <w:tcW w:w="1577" w:type="pct"/>
            <w:tcBorders>
              <w:top w:val="nil"/>
              <w:left w:val="nil"/>
              <w:bottom w:val="nil"/>
              <w:right w:val="nil"/>
            </w:tcBorders>
            <w:shd w:val="clear" w:color="auto" w:fill="auto"/>
            <w:noWrap/>
            <w:vAlign w:val="bottom"/>
            <w:hideMark/>
          </w:tcPr>
          <w:p w14:paraId="4643F851"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DSZ + DÚR</w:t>
            </w:r>
          </w:p>
        </w:tc>
      </w:tr>
      <w:tr w:rsidR="00CB16AA" w:rsidRPr="00666914" w14:paraId="4105A580" w14:textId="77777777" w:rsidTr="00985E7A">
        <w:trPr>
          <w:trHeight w:val="260"/>
        </w:trPr>
        <w:tc>
          <w:tcPr>
            <w:tcW w:w="462" w:type="pct"/>
            <w:tcBorders>
              <w:top w:val="nil"/>
              <w:left w:val="nil"/>
              <w:bottom w:val="nil"/>
              <w:right w:val="nil"/>
            </w:tcBorders>
            <w:shd w:val="clear" w:color="auto" w:fill="auto"/>
            <w:noWrap/>
            <w:vAlign w:val="bottom"/>
            <w:hideMark/>
          </w:tcPr>
          <w:p w14:paraId="09A4A996"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0D0A9884"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I/66 a II/540 Veľká Lomnica križovatka</w:t>
            </w:r>
          </w:p>
        </w:tc>
        <w:tc>
          <w:tcPr>
            <w:tcW w:w="1577" w:type="pct"/>
            <w:tcBorders>
              <w:top w:val="nil"/>
              <w:left w:val="nil"/>
              <w:bottom w:val="nil"/>
              <w:right w:val="nil"/>
            </w:tcBorders>
            <w:shd w:val="clear" w:color="auto" w:fill="auto"/>
            <w:noWrap/>
            <w:vAlign w:val="bottom"/>
            <w:hideMark/>
          </w:tcPr>
          <w:p w14:paraId="6A89BC31"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DSZ + DÚR</w:t>
            </w:r>
          </w:p>
        </w:tc>
      </w:tr>
      <w:tr w:rsidR="00CB16AA" w:rsidRPr="00666914" w14:paraId="181C6DE6" w14:textId="77777777" w:rsidTr="00985E7A">
        <w:trPr>
          <w:trHeight w:val="260"/>
        </w:trPr>
        <w:tc>
          <w:tcPr>
            <w:tcW w:w="462" w:type="pct"/>
            <w:tcBorders>
              <w:top w:val="nil"/>
              <w:left w:val="nil"/>
              <w:bottom w:val="nil"/>
              <w:right w:val="nil"/>
            </w:tcBorders>
            <w:shd w:val="clear" w:color="auto" w:fill="auto"/>
            <w:noWrap/>
            <w:vAlign w:val="bottom"/>
            <w:hideMark/>
          </w:tcPr>
          <w:p w14:paraId="10AB0974"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0C96547A"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I/68 Kremná zosuv</w:t>
            </w:r>
          </w:p>
        </w:tc>
        <w:tc>
          <w:tcPr>
            <w:tcW w:w="1577" w:type="pct"/>
            <w:tcBorders>
              <w:top w:val="nil"/>
              <w:left w:val="nil"/>
              <w:bottom w:val="nil"/>
              <w:right w:val="nil"/>
            </w:tcBorders>
            <w:shd w:val="clear" w:color="auto" w:fill="auto"/>
            <w:noWrap/>
            <w:vAlign w:val="bottom"/>
            <w:hideMark/>
          </w:tcPr>
          <w:p w14:paraId="7E337BAC"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DSZ + DÚR</w:t>
            </w:r>
          </w:p>
        </w:tc>
      </w:tr>
      <w:tr w:rsidR="00CB16AA" w:rsidRPr="00666914" w14:paraId="22DF0537" w14:textId="77777777" w:rsidTr="00985E7A">
        <w:trPr>
          <w:trHeight w:val="260"/>
        </w:trPr>
        <w:tc>
          <w:tcPr>
            <w:tcW w:w="462" w:type="pct"/>
            <w:tcBorders>
              <w:top w:val="nil"/>
              <w:left w:val="nil"/>
              <w:bottom w:val="nil"/>
              <w:right w:val="nil"/>
            </w:tcBorders>
            <w:shd w:val="clear" w:color="auto" w:fill="auto"/>
            <w:noWrap/>
            <w:vAlign w:val="bottom"/>
            <w:hideMark/>
          </w:tcPr>
          <w:p w14:paraId="15B0C023"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38C7BF4E"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I/68 a III/3188 Rožkovany križovatka</w:t>
            </w:r>
          </w:p>
        </w:tc>
        <w:tc>
          <w:tcPr>
            <w:tcW w:w="1577" w:type="pct"/>
            <w:tcBorders>
              <w:top w:val="nil"/>
              <w:left w:val="nil"/>
              <w:bottom w:val="nil"/>
              <w:right w:val="nil"/>
            </w:tcBorders>
            <w:shd w:val="clear" w:color="auto" w:fill="auto"/>
            <w:noWrap/>
            <w:vAlign w:val="bottom"/>
            <w:hideMark/>
          </w:tcPr>
          <w:p w14:paraId="6202DCD7"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DSP + DP/DRS</w:t>
            </w:r>
          </w:p>
        </w:tc>
      </w:tr>
      <w:tr w:rsidR="00CB16AA" w:rsidRPr="00666914" w14:paraId="3ABF9A10" w14:textId="77777777" w:rsidTr="00985E7A">
        <w:trPr>
          <w:trHeight w:val="260"/>
        </w:trPr>
        <w:tc>
          <w:tcPr>
            <w:tcW w:w="462" w:type="pct"/>
            <w:tcBorders>
              <w:top w:val="nil"/>
              <w:left w:val="nil"/>
              <w:bottom w:val="nil"/>
              <w:right w:val="nil"/>
            </w:tcBorders>
            <w:shd w:val="clear" w:color="auto" w:fill="auto"/>
            <w:noWrap/>
            <w:vAlign w:val="bottom"/>
            <w:hideMark/>
          </w:tcPr>
          <w:p w14:paraId="60D7D20A"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52A1B946"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I/10 Kolárovice (Čiakov)</w:t>
            </w:r>
          </w:p>
        </w:tc>
        <w:tc>
          <w:tcPr>
            <w:tcW w:w="1577" w:type="pct"/>
            <w:tcBorders>
              <w:top w:val="nil"/>
              <w:left w:val="nil"/>
              <w:bottom w:val="nil"/>
              <w:right w:val="nil"/>
            </w:tcBorders>
            <w:shd w:val="clear" w:color="auto" w:fill="auto"/>
            <w:noWrap/>
            <w:vAlign w:val="bottom"/>
            <w:hideMark/>
          </w:tcPr>
          <w:p w14:paraId="214DA4FF"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DSP + DP/DRS</w:t>
            </w:r>
          </w:p>
        </w:tc>
      </w:tr>
      <w:tr w:rsidR="00CB16AA" w:rsidRPr="00666914" w14:paraId="54E1BC02" w14:textId="77777777" w:rsidTr="00985E7A">
        <w:trPr>
          <w:trHeight w:val="260"/>
        </w:trPr>
        <w:tc>
          <w:tcPr>
            <w:tcW w:w="462" w:type="pct"/>
            <w:tcBorders>
              <w:top w:val="nil"/>
              <w:left w:val="nil"/>
              <w:bottom w:val="nil"/>
              <w:right w:val="nil"/>
            </w:tcBorders>
            <w:shd w:val="clear" w:color="auto" w:fill="auto"/>
            <w:noWrap/>
            <w:vAlign w:val="bottom"/>
            <w:hideMark/>
          </w:tcPr>
          <w:p w14:paraId="63861FF7"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2B8543DD"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I/18 Ľubela - Liptovský Mikuláš</w:t>
            </w:r>
          </w:p>
        </w:tc>
        <w:tc>
          <w:tcPr>
            <w:tcW w:w="1577" w:type="pct"/>
            <w:tcBorders>
              <w:top w:val="nil"/>
              <w:left w:val="nil"/>
              <w:bottom w:val="nil"/>
              <w:right w:val="nil"/>
            </w:tcBorders>
            <w:shd w:val="clear" w:color="auto" w:fill="auto"/>
            <w:noWrap/>
            <w:vAlign w:val="bottom"/>
            <w:hideMark/>
          </w:tcPr>
          <w:p w14:paraId="328935CD"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DSP + DP/DRS</w:t>
            </w:r>
          </w:p>
        </w:tc>
      </w:tr>
      <w:tr w:rsidR="00CB16AA" w:rsidRPr="00666914" w14:paraId="4D571F12" w14:textId="77777777" w:rsidTr="00985E7A">
        <w:trPr>
          <w:trHeight w:val="260"/>
        </w:trPr>
        <w:tc>
          <w:tcPr>
            <w:tcW w:w="462" w:type="pct"/>
            <w:tcBorders>
              <w:top w:val="nil"/>
              <w:left w:val="nil"/>
              <w:bottom w:val="nil"/>
              <w:right w:val="nil"/>
            </w:tcBorders>
            <w:shd w:val="clear" w:color="auto" w:fill="auto"/>
            <w:noWrap/>
            <w:vAlign w:val="bottom"/>
            <w:hideMark/>
          </w:tcPr>
          <w:p w14:paraId="72F67DF4"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754AE2B0"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I/9  Chocholná - Mníchova Lehota</w:t>
            </w:r>
          </w:p>
        </w:tc>
        <w:tc>
          <w:tcPr>
            <w:tcW w:w="1577" w:type="pct"/>
            <w:tcBorders>
              <w:top w:val="nil"/>
              <w:left w:val="nil"/>
              <w:bottom w:val="nil"/>
              <w:right w:val="nil"/>
            </w:tcBorders>
            <w:shd w:val="clear" w:color="auto" w:fill="auto"/>
            <w:noWrap/>
            <w:vAlign w:val="bottom"/>
            <w:hideMark/>
          </w:tcPr>
          <w:p w14:paraId="54E76D40"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DSZ,DSP,DP,DRS, AD</w:t>
            </w:r>
          </w:p>
        </w:tc>
      </w:tr>
      <w:tr w:rsidR="00CB16AA" w:rsidRPr="00666914" w14:paraId="7FBE5BCA" w14:textId="77777777" w:rsidTr="00985E7A">
        <w:trPr>
          <w:trHeight w:val="260"/>
        </w:trPr>
        <w:tc>
          <w:tcPr>
            <w:tcW w:w="462" w:type="pct"/>
            <w:tcBorders>
              <w:top w:val="nil"/>
              <w:left w:val="nil"/>
              <w:bottom w:val="nil"/>
              <w:right w:val="nil"/>
            </w:tcBorders>
            <w:shd w:val="clear" w:color="auto" w:fill="auto"/>
            <w:noWrap/>
            <w:vAlign w:val="bottom"/>
            <w:hideMark/>
          </w:tcPr>
          <w:p w14:paraId="224FC1D1"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68CB4551"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I/59 Nižná - most 091</w:t>
            </w:r>
          </w:p>
        </w:tc>
        <w:tc>
          <w:tcPr>
            <w:tcW w:w="1577" w:type="pct"/>
            <w:tcBorders>
              <w:top w:val="nil"/>
              <w:left w:val="nil"/>
              <w:bottom w:val="nil"/>
              <w:right w:val="nil"/>
            </w:tcBorders>
            <w:shd w:val="clear" w:color="auto" w:fill="auto"/>
            <w:noWrap/>
            <w:vAlign w:val="bottom"/>
            <w:hideMark/>
          </w:tcPr>
          <w:p w14:paraId="592F1ED3"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DSP,DP,DRS,DSRS</w:t>
            </w:r>
          </w:p>
        </w:tc>
      </w:tr>
      <w:tr w:rsidR="00CB16AA" w:rsidRPr="00666914" w14:paraId="4F72B010" w14:textId="77777777" w:rsidTr="00985E7A">
        <w:trPr>
          <w:trHeight w:val="260"/>
        </w:trPr>
        <w:tc>
          <w:tcPr>
            <w:tcW w:w="462" w:type="pct"/>
            <w:tcBorders>
              <w:top w:val="nil"/>
              <w:left w:val="nil"/>
              <w:bottom w:val="nil"/>
              <w:right w:val="nil"/>
            </w:tcBorders>
            <w:shd w:val="clear" w:color="auto" w:fill="auto"/>
            <w:noWrap/>
            <w:vAlign w:val="bottom"/>
            <w:hideMark/>
          </w:tcPr>
          <w:p w14:paraId="44D45E1A"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222ADFE4"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I/65 Turčianske Teplice - Príbovce, km 113,500 - 129,000</w:t>
            </w:r>
          </w:p>
        </w:tc>
        <w:tc>
          <w:tcPr>
            <w:tcW w:w="1577" w:type="pct"/>
            <w:tcBorders>
              <w:top w:val="nil"/>
              <w:left w:val="nil"/>
              <w:bottom w:val="nil"/>
              <w:right w:val="nil"/>
            </w:tcBorders>
            <w:shd w:val="clear" w:color="auto" w:fill="auto"/>
            <w:noWrap/>
            <w:vAlign w:val="bottom"/>
            <w:hideMark/>
          </w:tcPr>
          <w:p w14:paraId="61DBFC80"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DSZ + DSP + DP/DRS</w:t>
            </w:r>
          </w:p>
        </w:tc>
      </w:tr>
      <w:tr w:rsidR="00CB16AA" w:rsidRPr="00666914" w14:paraId="09689121" w14:textId="77777777" w:rsidTr="00985E7A">
        <w:trPr>
          <w:trHeight w:val="260"/>
        </w:trPr>
        <w:tc>
          <w:tcPr>
            <w:tcW w:w="462" w:type="pct"/>
            <w:tcBorders>
              <w:top w:val="nil"/>
              <w:left w:val="nil"/>
              <w:bottom w:val="nil"/>
              <w:right w:val="nil"/>
            </w:tcBorders>
            <w:shd w:val="clear" w:color="auto" w:fill="auto"/>
            <w:noWrap/>
            <w:vAlign w:val="bottom"/>
            <w:hideMark/>
          </w:tcPr>
          <w:p w14:paraId="7DD92F6C"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lastRenderedPageBreak/>
              <w:t>SSC</w:t>
            </w:r>
          </w:p>
        </w:tc>
        <w:tc>
          <w:tcPr>
            <w:tcW w:w="2961" w:type="pct"/>
            <w:tcBorders>
              <w:top w:val="nil"/>
              <w:left w:val="nil"/>
              <w:bottom w:val="nil"/>
              <w:right w:val="nil"/>
            </w:tcBorders>
            <w:shd w:val="clear" w:color="auto" w:fill="auto"/>
            <w:noWrap/>
            <w:vAlign w:val="bottom"/>
            <w:hideMark/>
          </w:tcPr>
          <w:p w14:paraId="0FFD4BBB"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I/66 - 064 Kežmarok most </w:t>
            </w:r>
          </w:p>
        </w:tc>
        <w:tc>
          <w:tcPr>
            <w:tcW w:w="1577" w:type="pct"/>
            <w:tcBorders>
              <w:top w:val="nil"/>
              <w:left w:val="nil"/>
              <w:bottom w:val="nil"/>
              <w:right w:val="nil"/>
            </w:tcBorders>
            <w:shd w:val="clear" w:color="auto" w:fill="auto"/>
            <w:noWrap/>
            <w:vAlign w:val="bottom"/>
            <w:hideMark/>
          </w:tcPr>
          <w:p w14:paraId="034F0467"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xml:space="preserve">DSP (DP) </w:t>
            </w:r>
          </w:p>
        </w:tc>
      </w:tr>
      <w:tr w:rsidR="00CB16AA" w:rsidRPr="00666914" w14:paraId="5CD50A73" w14:textId="77777777" w:rsidTr="00985E7A">
        <w:trPr>
          <w:trHeight w:val="260"/>
        </w:trPr>
        <w:tc>
          <w:tcPr>
            <w:tcW w:w="462" w:type="pct"/>
            <w:tcBorders>
              <w:top w:val="nil"/>
              <w:left w:val="nil"/>
              <w:bottom w:val="nil"/>
              <w:right w:val="nil"/>
            </w:tcBorders>
            <w:shd w:val="clear" w:color="auto" w:fill="auto"/>
            <w:noWrap/>
            <w:vAlign w:val="bottom"/>
            <w:hideMark/>
          </w:tcPr>
          <w:p w14:paraId="0B944AD4"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53075516"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I/18 Vranov nad Topľou križovatka              </w:t>
            </w:r>
          </w:p>
        </w:tc>
        <w:tc>
          <w:tcPr>
            <w:tcW w:w="1577" w:type="pct"/>
            <w:tcBorders>
              <w:top w:val="nil"/>
              <w:left w:val="nil"/>
              <w:bottom w:val="nil"/>
              <w:right w:val="nil"/>
            </w:tcBorders>
            <w:shd w:val="clear" w:color="auto" w:fill="auto"/>
            <w:noWrap/>
            <w:vAlign w:val="bottom"/>
            <w:hideMark/>
          </w:tcPr>
          <w:p w14:paraId="5B5812C6"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technická štúdia a Zámer EIA</w:t>
            </w:r>
          </w:p>
        </w:tc>
      </w:tr>
      <w:tr w:rsidR="00CB16AA" w:rsidRPr="00666914" w14:paraId="20287613" w14:textId="77777777" w:rsidTr="00985E7A">
        <w:trPr>
          <w:trHeight w:val="260"/>
        </w:trPr>
        <w:tc>
          <w:tcPr>
            <w:tcW w:w="462" w:type="pct"/>
            <w:tcBorders>
              <w:top w:val="nil"/>
              <w:left w:val="nil"/>
              <w:bottom w:val="nil"/>
              <w:right w:val="nil"/>
            </w:tcBorders>
            <w:shd w:val="clear" w:color="auto" w:fill="auto"/>
            <w:noWrap/>
            <w:vAlign w:val="bottom"/>
            <w:hideMark/>
          </w:tcPr>
          <w:p w14:paraId="73FEB36B"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0D360151"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I/13 Veľký Meder - Čiližská Radvaň</w:t>
            </w:r>
          </w:p>
        </w:tc>
        <w:tc>
          <w:tcPr>
            <w:tcW w:w="1577" w:type="pct"/>
            <w:tcBorders>
              <w:top w:val="nil"/>
              <w:left w:val="nil"/>
              <w:bottom w:val="nil"/>
              <w:right w:val="nil"/>
            </w:tcBorders>
            <w:shd w:val="clear" w:color="auto" w:fill="auto"/>
            <w:noWrap/>
            <w:vAlign w:val="bottom"/>
            <w:hideMark/>
          </w:tcPr>
          <w:p w14:paraId="6BDD3433"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DSP + DP/DRS</w:t>
            </w:r>
          </w:p>
        </w:tc>
      </w:tr>
      <w:tr w:rsidR="00CB16AA" w:rsidRPr="00666914" w14:paraId="417651E4" w14:textId="77777777" w:rsidTr="00985E7A">
        <w:trPr>
          <w:trHeight w:val="260"/>
        </w:trPr>
        <w:tc>
          <w:tcPr>
            <w:tcW w:w="462" w:type="pct"/>
            <w:tcBorders>
              <w:top w:val="nil"/>
              <w:left w:val="nil"/>
              <w:bottom w:val="nil"/>
              <w:right w:val="nil"/>
            </w:tcBorders>
            <w:shd w:val="clear" w:color="auto" w:fill="auto"/>
            <w:noWrap/>
            <w:vAlign w:val="bottom"/>
            <w:hideMark/>
          </w:tcPr>
          <w:p w14:paraId="4B467FF5"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6AA7B7A9"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križovatka I/13 a III/1394 - Medveďov</w:t>
            </w:r>
          </w:p>
        </w:tc>
        <w:tc>
          <w:tcPr>
            <w:tcW w:w="1577" w:type="pct"/>
            <w:tcBorders>
              <w:top w:val="nil"/>
              <w:left w:val="nil"/>
              <w:bottom w:val="nil"/>
              <w:right w:val="nil"/>
            </w:tcBorders>
            <w:shd w:val="clear" w:color="auto" w:fill="auto"/>
            <w:noWrap/>
            <w:vAlign w:val="bottom"/>
            <w:hideMark/>
          </w:tcPr>
          <w:p w14:paraId="3F3DD08C"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DSP + DP/DRS</w:t>
            </w:r>
          </w:p>
        </w:tc>
      </w:tr>
      <w:tr w:rsidR="00CB16AA" w:rsidRPr="00666914" w14:paraId="6CB31FF5" w14:textId="77777777" w:rsidTr="00985E7A">
        <w:trPr>
          <w:trHeight w:val="260"/>
        </w:trPr>
        <w:tc>
          <w:tcPr>
            <w:tcW w:w="462" w:type="pct"/>
            <w:tcBorders>
              <w:top w:val="nil"/>
              <w:left w:val="nil"/>
              <w:bottom w:val="nil"/>
              <w:right w:val="nil"/>
            </w:tcBorders>
            <w:shd w:val="clear" w:color="auto" w:fill="auto"/>
            <w:noWrap/>
            <w:vAlign w:val="bottom"/>
            <w:hideMark/>
          </w:tcPr>
          <w:p w14:paraId="73307928"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25A4F1DD"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I/13 Veľký Meder - Čiližská Radvaň, mosty 13-001, 13-002</w:t>
            </w:r>
          </w:p>
        </w:tc>
        <w:tc>
          <w:tcPr>
            <w:tcW w:w="1577" w:type="pct"/>
            <w:tcBorders>
              <w:top w:val="nil"/>
              <w:left w:val="nil"/>
              <w:bottom w:val="nil"/>
              <w:right w:val="nil"/>
            </w:tcBorders>
            <w:shd w:val="clear" w:color="auto" w:fill="auto"/>
            <w:noWrap/>
            <w:vAlign w:val="bottom"/>
            <w:hideMark/>
          </w:tcPr>
          <w:p w14:paraId="43DF685A"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DSP + DP/DRS</w:t>
            </w:r>
          </w:p>
        </w:tc>
      </w:tr>
      <w:tr w:rsidR="00CB16AA" w:rsidRPr="00666914" w14:paraId="49AFC172" w14:textId="77777777" w:rsidTr="00985E7A">
        <w:trPr>
          <w:trHeight w:val="260"/>
        </w:trPr>
        <w:tc>
          <w:tcPr>
            <w:tcW w:w="462" w:type="pct"/>
            <w:tcBorders>
              <w:top w:val="nil"/>
              <w:left w:val="nil"/>
              <w:bottom w:val="nil"/>
              <w:right w:val="nil"/>
            </w:tcBorders>
            <w:shd w:val="clear" w:color="auto" w:fill="auto"/>
            <w:noWrap/>
            <w:vAlign w:val="bottom"/>
            <w:hideMark/>
          </w:tcPr>
          <w:p w14:paraId="2EDDDCFC"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10738771"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križovatka I/13 a I/63 Veľký Meder</w:t>
            </w:r>
          </w:p>
        </w:tc>
        <w:tc>
          <w:tcPr>
            <w:tcW w:w="1577" w:type="pct"/>
            <w:tcBorders>
              <w:top w:val="nil"/>
              <w:left w:val="nil"/>
              <w:bottom w:val="nil"/>
              <w:right w:val="nil"/>
            </w:tcBorders>
            <w:shd w:val="clear" w:color="auto" w:fill="auto"/>
            <w:noWrap/>
            <w:vAlign w:val="bottom"/>
            <w:hideMark/>
          </w:tcPr>
          <w:p w14:paraId="3B1FB000"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DSP + DP/DRS</w:t>
            </w:r>
          </w:p>
        </w:tc>
      </w:tr>
      <w:tr w:rsidR="00CB16AA" w:rsidRPr="00666914" w14:paraId="6B123EC4" w14:textId="77777777" w:rsidTr="00985E7A">
        <w:trPr>
          <w:trHeight w:val="260"/>
        </w:trPr>
        <w:tc>
          <w:tcPr>
            <w:tcW w:w="462" w:type="pct"/>
            <w:tcBorders>
              <w:top w:val="nil"/>
              <w:left w:val="nil"/>
              <w:bottom w:val="nil"/>
              <w:right w:val="nil"/>
            </w:tcBorders>
            <w:shd w:val="clear" w:color="auto" w:fill="auto"/>
            <w:noWrap/>
            <w:vAlign w:val="bottom"/>
            <w:hideMark/>
          </w:tcPr>
          <w:p w14:paraId="769D1D42"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04786DEF"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križovatky I/13 a III/1407 Ižop</w:t>
            </w:r>
          </w:p>
        </w:tc>
        <w:tc>
          <w:tcPr>
            <w:tcW w:w="1577" w:type="pct"/>
            <w:tcBorders>
              <w:top w:val="nil"/>
              <w:left w:val="nil"/>
              <w:bottom w:val="nil"/>
              <w:right w:val="nil"/>
            </w:tcBorders>
            <w:shd w:val="clear" w:color="auto" w:fill="auto"/>
            <w:noWrap/>
            <w:vAlign w:val="bottom"/>
            <w:hideMark/>
          </w:tcPr>
          <w:p w14:paraId="1B1E0E2B"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DSP + DP/DRS</w:t>
            </w:r>
          </w:p>
        </w:tc>
      </w:tr>
      <w:tr w:rsidR="00CB16AA" w:rsidRPr="00666914" w14:paraId="5AAD4014" w14:textId="77777777" w:rsidTr="00985E7A">
        <w:trPr>
          <w:trHeight w:val="260"/>
        </w:trPr>
        <w:tc>
          <w:tcPr>
            <w:tcW w:w="462" w:type="pct"/>
            <w:tcBorders>
              <w:top w:val="nil"/>
              <w:left w:val="nil"/>
              <w:bottom w:val="nil"/>
              <w:right w:val="nil"/>
            </w:tcBorders>
            <w:shd w:val="clear" w:color="auto" w:fill="auto"/>
            <w:noWrap/>
            <w:vAlign w:val="bottom"/>
            <w:hideMark/>
          </w:tcPr>
          <w:p w14:paraId="35FED96B"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0CE7AD39"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križovatka I/13 a III/1394 Čiližská Radvaň</w:t>
            </w:r>
          </w:p>
        </w:tc>
        <w:tc>
          <w:tcPr>
            <w:tcW w:w="1577" w:type="pct"/>
            <w:tcBorders>
              <w:top w:val="nil"/>
              <w:left w:val="nil"/>
              <w:bottom w:val="nil"/>
              <w:right w:val="nil"/>
            </w:tcBorders>
            <w:shd w:val="clear" w:color="auto" w:fill="auto"/>
            <w:noWrap/>
            <w:vAlign w:val="bottom"/>
            <w:hideMark/>
          </w:tcPr>
          <w:p w14:paraId="2EED24E5"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DSP + DP/DRS</w:t>
            </w:r>
          </w:p>
        </w:tc>
      </w:tr>
      <w:tr w:rsidR="00CB16AA" w:rsidRPr="00666914" w14:paraId="5DECC365" w14:textId="77777777" w:rsidTr="00985E7A">
        <w:trPr>
          <w:trHeight w:val="260"/>
        </w:trPr>
        <w:tc>
          <w:tcPr>
            <w:tcW w:w="462" w:type="pct"/>
            <w:tcBorders>
              <w:top w:val="nil"/>
              <w:left w:val="nil"/>
              <w:bottom w:val="nil"/>
              <w:right w:val="nil"/>
            </w:tcBorders>
            <w:shd w:val="clear" w:color="auto" w:fill="auto"/>
            <w:noWrap/>
            <w:vAlign w:val="bottom"/>
            <w:hideMark/>
          </w:tcPr>
          <w:p w14:paraId="438025C5"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2961" w:type="pct"/>
            <w:tcBorders>
              <w:top w:val="nil"/>
              <w:left w:val="nil"/>
              <w:bottom w:val="nil"/>
              <w:right w:val="nil"/>
            </w:tcBorders>
            <w:shd w:val="clear" w:color="auto" w:fill="auto"/>
            <w:noWrap/>
            <w:vAlign w:val="bottom"/>
            <w:hideMark/>
          </w:tcPr>
          <w:p w14:paraId="2635BCA0"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križovatka I/13 a III/1404 Medveďov</w:t>
            </w:r>
          </w:p>
        </w:tc>
        <w:tc>
          <w:tcPr>
            <w:tcW w:w="1577" w:type="pct"/>
            <w:tcBorders>
              <w:top w:val="nil"/>
              <w:left w:val="nil"/>
              <w:bottom w:val="nil"/>
              <w:right w:val="nil"/>
            </w:tcBorders>
            <w:shd w:val="clear" w:color="auto" w:fill="auto"/>
            <w:noWrap/>
            <w:vAlign w:val="bottom"/>
            <w:hideMark/>
          </w:tcPr>
          <w:p w14:paraId="76921998"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DSP + DP/DRS</w:t>
            </w:r>
          </w:p>
        </w:tc>
      </w:tr>
      <w:tr w:rsidR="00CB16AA" w:rsidRPr="00666914" w14:paraId="5C5709D4" w14:textId="77777777" w:rsidTr="00985E7A">
        <w:trPr>
          <w:trHeight w:val="260"/>
        </w:trPr>
        <w:tc>
          <w:tcPr>
            <w:tcW w:w="462" w:type="pct"/>
            <w:tcBorders>
              <w:top w:val="nil"/>
              <w:left w:val="nil"/>
              <w:bottom w:val="nil"/>
              <w:right w:val="nil"/>
            </w:tcBorders>
            <w:shd w:val="clear" w:color="auto" w:fill="auto"/>
            <w:noWrap/>
            <w:vAlign w:val="bottom"/>
          </w:tcPr>
          <w:p w14:paraId="5F10D82D"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xml:space="preserve">ŽSR </w:t>
            </w:r>
          </w:p>
        </w:tc>
        <w:tc>
          <w:tcPr>
            <w:tcW w:w="2961" w:type="pct"/>
            <w:tcBorders>
              <w:top w:val="nil"/>
              <w:left w:val="nil"/>
              <w:bottom w:val="nil"/>
              <w:right w:val="nil"/>
            </w:tcBorders>
            <w:shd w:val="clear" w:color="auto" w:fill="auto"/>
            <w:noWrap/>
            <w:vAlign w:val="bottom"/>
          </w:tcPr>
          <w:p w14:paraId="24421210"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Sanácia skalnej steny v km 3,150 - 3,750 Kraľovany - Párnica</w:t>
            </w:r>
          </w:p>
        </w:tc>
        <w:tc>
          <w:tcPr>
            <w:tcW w:w="1577" w:type="pct"/>
            <w:tcBorders>
              <w:top w:val="nil"/>
              <w:left w:val="nil"/>
              <w:bottom w:val="nil"/>
              <w:right w:val="nil"/>
            </w:tcBorders>
            <w:shd w:val="clear" w:color="auto" w:fill="auto"/>
            <w:noWrap/>
            <w:vAlign w:val="bottom"/>
          </w:tcPr>
          <w:p w14:paraId="15BBAFE1"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DSP+DP/DRS</w:t>
            </w:r>
          </w:p>
        </w:tc>
      </w:tr>
      <w:tr w:rsidR="00CB16AA" w:rsidRPr="00666914" w14:paraId="116460CC" w14:textId="77777777" w:rsidTr="00985E7A">
        <w:trPr>
          <w:trHeight w:val="260"/>
        </w:trPr>
        <w:tc>
          <w:tcPr>
            <w:tcW w:w="462" w:type="pct"/>
            <w:tcBorders>
              <w:top w:val="nil"/>
              <w:left w:val="nil"/>
              <w:bottom w:val="single" w:sz="4" w:space="0" w:color="auto"/>
              <w:right w:val="nil"/>
            </w:tcBorders>
            <w:shd w:val="clear" w:color="auto" w:fill="auto"/>
            <w:noWrap/>
            <w:vAlign w:val="bottom"/>
          </w:tcPr>
          <w:p w14:paraId="1220E19C"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xml:space="preserve">ŽSR </w:t>
            </w:r>
          </w:p>
        </w:tc>
        <w:tc>
          <w:tcPr>
            <w:tcW w:w="2961" w:type="pct"/>
            <w:tcBorders>
              <w:top w:val="nil"/>
              <w:left w:val="nil"/>
              <w:bottom w:val="single" w:sz="4" w:space="0" w:color="auto"/>
              <w:right w:val="nil"/>
            </w:tcBorders>
            <w:shd w:val="clear" w:color="auto" w:fill="auto"/>
            <w:noWrap/>
            <w:vAlign w:val="bottom"/>
          </w:tcPr>
          <w:p w14:paraId="127BDE1D"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Rekonštrukcia protilavínových zábran v km 2,450 – 2,710 Kraľovany – Párnica</w:t>
            </w:r>
          </w:p>
        </w:tc>
        <w:tc>
          <w:tcPr>
            <w:tcW w:w="1577" w:type="pct"/>
            <w:tcBorders>
              <w:top w:val="nil"/>
              <w:left w:val="nil"/>
              <w:bottom w:val="single" w:sz="4" w:space="0" w:color="auto"/>
              <w:right w:val="nil"/>
            </w:tcBorders>
            <w:shd w:val="clear" w:color="auto" w:fill="auto"/>
            <w:noWrap/>
            <w:vAlign w:val="bottom"/>
          </w:tcPr>
          <w:p w14:paraId="3504BA1B"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DSP+DP/DRS</w:t>
            </w:r>
          </w:p>
        </w:tc>
      </w:tr>
    </w:tbl>
    <w:p w14:paraId="52E2346C" w14:textId="77777777" w:rsidR="00CB16AA" w:rsidRPr="00666914" w:rsidRDefault="00CB16AA" w:rsidP="00985E7A">
      <w:pPr>
        <w:spacing w:before="240" w:after="0"/>
        <w:contextualSpacing/>
        <w:jc w:val="right"/>
        <w:rPr>
          <w:i/>
          <w:sz w:val="18"/>
        </w:rPr>
      </w:pPr>
      <w:r w:rsidRPr="00666914">
        <w:rPr>
          <w:i/>
          <w:sz w:val="18"/>
        </w:rPr>
        <w:t>Zdroj: MDV SR</w:t>
      </w:r>
    </w:p>
    <w:p w14:paraId="4B01E38F" w14:textId="77777777" w:rsidR="00CB16AA" w:rsidRPr="00666914" w:rsidRDefault="00CB16AA" w:rsidP="00985E7A">
      <w:pPr>
        <w:spacing w:after="0"/>
        <w:rPr>
          <w:sz w:val="24"/>
        </w:rPr>
      </w:pPr>
    </w:p>
    <w:p w14:paraId="2283B400" w14:textId="77777777" w:rsidR="00CB16AA" w:rsidRPr="00666914" w:rsidRDefault="00CB16AA" w:rsidP="00312C28">
      <w:pPr>
        <w:numPr>
          <w:ilvl w:val="0"/>
          <w:numId w:val="34"/>
        </w:numPr>
        <w:contextualSpacing/>
        <w:rPr>
          <w:b/>
          <w:u w:val="single"/>
        </w:rPr>
      </w:pPr>
      <w:r w:rsidRPr="00666914">
        <w:rPr>
          <w:b/>
          <w:u w:val="single"/>
        </w:rPr>
        <w:t>Skvalitniť interné expertné kapacity objednávateľov v rezorte dopravy / MDV SR na lepšiu formuláciu zadaní, priebežnú a záverečnú kontrolu projektov</w:t>
      </w:r>
    </w:p>
    <w:p w14:paraId="319D2FAE" w14:textId="77777777" w:rsidR="00CB16AA" w:rsidRPr="00666914" w:rsidRDefault="00CB16AA" w:rsidP="00985E7A">
      <w:pPr>
        <w:contextualSpacing/>
        <w:rPr>
          <w:b/>
          <w:u w:val="single"/>
        </w:rPr>
      </w:pPr>
    </w:p>
    <w:p w14:paraId="763AEB38" w14:textId="77777777" w:rsidR="00CB16AA" w:rsidRPr="00666914" w:rsidRDefault="00CB16AA" w:rsidP="00985E7A">
      <w:pPr>
        <w:spacing w:before="240"/>
        <w:rPr>
          <w:i/>
        </w:rPr>
      </w:pPr>
      <w:r w:rsidRPr="00666914">
        <w:rPr>
          <w:i/>
        </w:rPr>
        <w:t>Interné expertné kapacity MDV SR</w:t>
      </w:r>
    </w:p>
    <w:p w14:paraId="4D5EA859" w14:textId="1B97B022" w:rsidR="00CB16AA" w:rsidRPr="00666914" w:rsidRDefault="00CB16AA" w:rsidP="00985E7A">
      <w:pPr>
        <w:contextualSpacing/>
      </w:pPr>
      <w:r w:rsidRPr="00666914">
        <w:t xml:space="preserve">V roku 2019 nebola posúdená žiadna projektová dokumentácia externým dodávateľom. </w:t>
      </w:r>
      <w:r w:rsidR="002557AB" w:rsidRPr="00666914">
        <w:t>V rezorte neboli vykonané ž</w:t>
      </w:r>
      <w:r w:rsidRPr="00666914">
        <w:t>iadne externé kontroly projektov. Jedna uskutočnená interná kontrola bola zameraná na DÚR pre stavbu D3 Zelený most Svrčinovec.</w:t>
      </w:r>
    </w:p>
    <w:p w14:paraId="436D327A" w14:textId="77777777" w:rsidR="00CB16AA" w:rsidRPr="00666914" w:rsidRDefault="00CB16AA" w:rsidP="00985E7A">
      <w:pPr>
        <w:contextualSpacing/>
      </w:pPr>
    </w:p>
    <w:p w14:paraId="4F364B7C" w14:textId="1A8597BE" w:rsidR="00CB16AA" w:rsidRPr="00666914" w:rsidRDefault="00CB16AA" w:rsidP="00985E7A">
      <w:pPr>
        <w:pBdr>
          <w:bottom w:val="single" w:sz="4" w:space="1" w:color="auto"/>
        </w:pBdr>
        <w:spacing w:after="0"/>
        <w:rPr>
          <w:b/>
        </w:rPr>
      </w:pPr>
      <w:bookmarkStart w:id="194" w:name="_Toc38447688"/>
      <w:r w:rsidRPr="00666914">
        <w:rPr>
          <w:b/>
          <w:sz w:val="20"/>
          <w:szCs w:val="20"/>
        </w:rPr>
        <w:t xml:space="preserve">Tabuľka </w:t>
      </w:r>
      <w:r w:rsidRPr="00666914">
        <w:rPr>
          <w:b/>
          <w:sz w:val="20"/>
          <w:szCs w:val="20"/>
        </w:rPr>
        <w:fldChar w:fldCharType="begin"/>
      </w:r>
      <w:r w:rsidRPr="00666914">
        <w:rPr>
          <w:b/>
          <w:sz w:val="20"/>
          <w:szCs w:val="20"/>
        </w:rPr>
        <w:instrText xml:space="preserve"> SEQ Tabuľka \* ARABIC  \* MERGEFORMAT </w:instrText>
      </w:r>
      <w:r w:rsidRPr="00666914">
        <w:rPr>
          <w:b/>
          <w:sz w:val="20"/>
          <w:szCs w:val="20"/>
        </w:rPr>
        <w:fldChar w:fldCharType="separate"/>
      </w:r>
      <w:r w:rsidR="005A7304">
        <w:rPr>
          <w:b/>
          <w:noProof/>
          <w:sz w:val="20"/>
          <w:szCs w:val="20"/>
        </w:rPr>
        <w:t>27</w:t>
      </w:r>
      <w:r w:rsidRPr="00666914">
        <w:rPr>
          <w:b/>
          <w:sz w:val="20"/>
          <w:szCs w:val="20"/>
        </w:rPr>
        <w:fldChar w:fldCharType="end"/>
      </w:r>
      <w:r w:rsidRPr="00666914">
        <w:rPr>
          <w:b/>
          <w:sz w:val="20"/>
          <w:szCs w:val="20"/>
        </w:rPr>
        <w:t>: Zoznam projektov vo verejnom obstarávaní</w:t>
      </w:r>
      <w:r w:rsidRPr="00666914">
        <w:t xml:space="preserve"> </w:t>
      </w:r>
      <w:r w:rsidRPr="00666914">
        <w:rPr>
          <w:b/>
        </w:rPr>
        <w:t>v roku 2019</w:t>
      </w:r>
      <w:bookmarkEnd w:id="194"/>
    </w:p>
    <w:tbl>
      <w:tblPr>
        <w:tblW w:w="5000" w:type="pct"/>
        <w:tblCellMar>
          <w:left w:w="70" w:type="dxa"/>
          <w:right w:w="70" w:type="dxa"/>
        </w:tblCellMar>
        <w:tblLook w:val="04A0" w:firstRow="1" w:lastRow="0" w:firstColumn="1" w:lastColumn="0" w:noHBand="0" w:noVBand="1"/>
      </w:tblPr>
      <w:tblGrid>
        <w:gridCol w:w="3637"/>
        <w:gridCol w:w="3181"/>
        <w:gridCol w:w="2396"/>
      </w:tblGrid>
      <w:tr w:rsidR="00CB16AA" w:rsidRPr="00666914" w14:paraId="5A4568D9" w14:textId="77777777" w:rsidTr="00985E7A">
        <w:trPr>
          <w:trHeight w:val="334"/>
        </w:trPr>
        <w:tc>
          <w:tcPr>
            <w:tcW w:w="1974" w:type="pct"/>
            <w:tcBorders>
              <w:top w:val="nil"/>
              <w:left w:val="nil"/>
              <w:bottom w:val="single" w:sz="4" w:space="0" w:color="auto"/>
              <w:right w:val="nil"/>
            </w:tcBorders>
            <w:shd w:val="clear" w:color="auto" w:fill="auto"/>
            <w:noWrap/>
            <w:vAlign w:val="bottom"/>
            <w:hideMark/>
          </w:tcPr>
          <w:p w14:paraId="70FAB3BA" w14:textId="77777777" w:rsidR="00CB16AA" w:rsidRPr="00666914" w:rsidRDefault="00CB16AA" w:rsidP="00985E7A">
            <w:pPr>
              <w:spacing w:after="0"/>
              <w:rPr>
                <w:rFonts w:eastAsia="Times New Roman" w:cs="Calibri"/>
                <w:b/>
                <w:bCs/>
                <w:color w:val="000000"/>
                <w:sz w:val="20"/>
                <w:lang w:eastAsia="sk-SK"/>
              </w:rPr>
            </w:pPr>
            <w:r w:rsidRPr="00666914">
              <w:rPr>
                <w:rFonts w:eastAsia="Times New Roman" w:cs="Calibri"/>
                <w:b/>
                <w:bCs/>
                <w:color w:val="000000"/>
                <w:sz w:val="20"/>
                <w:lang w:eastAsia="sk-SK"/>
              </w:rPr>
              <w:t>Stavba</w:t>
            </w:r>
          </w:p>
        </w:tc>
        <w:tc>
          <w:tcPr>
            <w:tcW w:w="1726" w:type="pct"/>
            <w:tcBorders>
              <w:top w:val="nil"/>
              <w:left w:val="nil"/>
              <w:bottom w:val="single" w:sz="4" w:space="0" w:color="auto"/>
              <w:right w:val="nil"/>
            </w:tcBorders>
            <w:shd w:val="clear" w:color="auto" w:fill="auto"/>
            <w:vAlign w:val="bottom"/>
            <w:hideMark/>
          </w:tcPr>
          <w:p w14:paraId="5CCDE50C" w14:textId="77777777" w:rsidR="00CB16AA" w:rsidRPr="00666914" w:rsidRDefault="00CB16AA" w:rsidP="00985E7A">
            <w:pPr>
              <w:spacing w:after="0"/>
              <w:rPr>
                <w:rFonts w:eastAsia="Times New Roman" w:cs="Calibri"/>
                <w:b/>
                <w:bCs/>
                <w:color w:val="000000"/>
                <w:sz w:val="20"/>
                <w:lang w:eastAsia="sk-SK"/>
              </w:rPr>
            </w:pPr>
            <w:r w:rsidRPr="00666914">
              <w:rPr>
                <w:rFonts w:eastAsia="Times New Roman" w:cs="Calibri"/>
                <w:b/>
                <w:bCs/>
                <w:color w:val="000000"/>
                <w:sz w:val="20"/>
                <w:lang w:eastAsia="sk-SK"/>
              </w:rPr>
              <w:t>Počet žiadostí o vysvetlenie vo VO</w:t>
            </w:r>
          </w:p>
        </w:tc>
        <w:tc>
          <w:tcPr>
            <w:tcW w:w="1300" w:type="pct"/>
            <w:tcBorders>
              <w:top w:val="nil"/>
              <w:left w:val="nil"/>
              <w:bottom w:val="single" w:sz="4" w:space="0" w:color="auto"/>
              <w:right w:val="nil"/>
            </w:tcBorders>
            <w:shd w:val="clear" w:color="auto" w:fill="auto"/>
            <w:vAlign w:val="bottom"/>
            <w:hideMark/>
          </w:tcPr>
          <w:p w14:paraId="61D8EE93" w14:textId="77777777" w:rsidR="00CB16AA" w:rsidRPr="00666914" w:rsidRDefault="00CB16AA" w:rsidP="00985E7A">
            <w:pPr>
              <w:spacing w:after="0"/>
              <w:rPr>
                <w:rFonts w:eastAsia="Times New Roman" w:cs="Calibri"/>
                <w:b/>
                <w:bCs/>
                <w:color w:val="000000"/>
                <w:sz w:val="20"/>
                <w:lang w:eastAsia="sk-SK"/>
              </w:rPr>
            </w:pPr>
            <w:r w:rsidRPr="00666914">
              <w:rPr>
                <w:rFonts w:eastAsia="Times New Roman" w:cs="Calibri"/>
                <w:b/>
                <w:bCs/>
                <w:color w:val="000000"/>
                <w:sz w:val="20"/>
                <w:lang w:eastAsia="sk-SK"/>
              </w:rPr>
              <w:t>Počet odvolaní vo VO</w:t>
            </w:r>
          </w:p>
        </w:tc>
      </w:tr>
      <w:tr w:rsidR="00CB16AA" w:rsidRPr="00666914" w14:paraId="25702E1B" w14:textId="77777777" w:rsidTr="00985E7A">
        <w:trPr>
          <w:trHeight w:val="280"/>
        </w:trPr>
        <w:tc>
          <w:tcPr>
            <w:tcW w:w="1974" w:type="pct"/>
            <w:tcBorders>
              <w:top w:val="nil"/>
              <w:left w:val="nil"/>
              <w:bottom w:val="nil"/>
              <w:right w:val="nil"/>
            </w:tcBorders>
            <w:shd w:val="clear" w:color="auto" w:fill="auto"/>
            <w:noWrap/>
            <w:vAlign w:val="bottom"/>
            <w:hideMark/>
          </w:tcPr>
          <w:p w14:paraId="33D438CE" w14:textId="77777777" w:rsidR="00CB16AA" w:rsidRPr="00666914" w:rsidRDefault="00CB16AA" w:rsidP="00985E7A">
            <w:pPr>
              <w:spacing w:after="0"/>
              <w:rPr>
                <w:rFonts w:eastAsia="Times New Roman" w:cs="Calibri"/>
                <w:color w:val="000000"/>
                <w:sz w:val="20"/>
                <w:lang w:eastAsia="sk-SK"/>
              </w:rPr>
            </w:pPr>
            <w:r w:rsidRPr="00666914">
              <w:rPr>
                <w:rFonts w:eastAsia="Times New Roman" w:cs="Calibri"/>
                <w:color w:val="000000"/>
                <w:sz w:val="20"/>
                <w:lang w:eastAsia="sk-SK"/>
              </w:rPr>
              <w:t>R2 Šaca - Košické Oľšany II. Etapa</w:t>
            </w:r>
          </w:p>
        </w:tc>
        <w:tc>
          <w:tcPr>
            <w:tcW w:w="1726" w:type="pct"/>
            <w:tcBorders>
              <w:top w:val="nil"/>
              <w:left w:val="nil"/>
              <w:bottom w:val="nil"/>
              <w:right w:val="nil"/>
            </w:tcBorders>
            <w:shd w:val="clear" w:color="auto" w:fill="auto"/>
            <w:noWrap/>
            <w:vAlign w:val="bottom"/>
            <w:hideMark/>
          </w:tcPr>
          <w:p w14:paraId="6F9406DB" w14:textId="77777777" w:rsidR="00CB16AA" w:rsidRPr="00666914" w:rsidRDefault="00CB16AA" w:rsidP="00985E7A">
            <w:pPr>
              <w:spacing w:after="0"/>
              <w:jc w:val="center"/>
              <w:rPr>
                <w:rFonts w:eastAsia="Times New Roman" w:cs="Calibri"/>
                <w:color w:val="000000"/>
                <w:sz w:val="20"/>
                <w:lang w:eastAsia="sk-SK"/>
              </w:rPr>
            </w:pPr>
            <w:r w:rsidRPr="00666914">
              <w:rPr>
                <w:rFonts w:eastAsia="Times New Roman" w:cs="Calibri"/>
                <w:color w:val="000000"/>
                <w:sz w:val="20"/>
                <w:lang w:eastAsia="sk-SK"/>
              </w:rPr>
              <w:t>1100</w:t>
            </w:r>
          </w:p>
        </w:tc>
        <w:tc>
          <w:tcPr>
            <w:tcW w:w="1300" w:type="pct"/>
            <w:tcBorders>
              <w:top w:val="nil"/>
              <w:left w:val="nil"/>
              <w:bottom w:val="nil"/>
              <w:right w:val="nil"/>
            </w:tcBorders>
            <w:shd w:val="clear" w:color="auto" w:fill="auto"/>
            <w:noWrap/>
            <w:vAlign w:val="bottom"/>
            <w:hideMark/>
          </w:tcPr>
          <w:p w14:paraId="1CD7FF77" w14:textId="77777777" w:rsidR="00CB16AA" w:rsidRPr="00666914" w:rsidRDefault="00CB16AA" w:rsidP="00985E7A">
            <w:pPr>
              <w:spacing w:after="0"/>
              <w:jc w:val="center"/>
              <w:rPr>
                <w:rFonts w:eastAsia="Times New Roman" w:cs="Calibri"/>
                <w:color w:val="000000"/>
                <w:sz w:val="20"/>
                <w:lang w:eastAsia="sk-SK"/>
              </w:rPr>
            </w:pPr>
            <w:r w:rsidRPr="00666914">
              <w:rPr>
                <w:rFonts w:eastAsia="Times New Roman" w:cs="Calibri"/>
                <w:color w:val="000000"/>
                <w:sz w:val="20"/>
                <w:lang w:eastAsia="sk-SK"/>
              </w:rPr>
              <w:t>0</w:t>
            </w:r>
          </w:p>
        </w:tc>
      </w:tr>
      <w:tr w:rsidR="00CB16AA" w:rsidRPr="00666914" w14:paraId="6FB8BC46" w14:textId="77777777" w:rsidTr="00985E7A">
        <w:trPr>
          <w:trHeight w:val="280"/>
        </w:trPr>
        <w:tc>
          <w:tcPr>
            <w:tcW w:w="1974" w:type="pct"/>
            <w:tcBorders>
              <w:top w:val="nil"/>
              <w:left w:val="nil"/>
              <w:bottom w:val="nil"/>
              <w:right w:val="nil"/>
            </w:tcBorders>
            <w:shd w:val="clear" w:color="auto" w:fill="auto"/>
            <w:noWrap/>
            <w:vAlign w:val="bottom"/>
            <w:hideMark/>
          </w:tcPr>
          <w:p w14:paraId="5BA58C49" w14:textId="77777777" w:rsidR="00CB16AA" w:rsidRPr="00666914" w:rsidRDefault="00CB16AA" w:rsidP="00985E7A">
            <w:pPr>
              <w:spacing w:after="0"/>
              <w:rPr>
                <w:rFonts w:eastAsia="Times New Roman" w:cs="Calibri"/>
                <w:color w:val="000000"/>
                <w:sz w:val="20"/>
                <w:lang w:eastAsia="sk-SK"/>
              </w:rPr>
            </w:pPr>
            <w:r w:rsidRPr="00666914">
              <w:rPr>
                <w:rFonts w:eastAsia="Times New Roman" w:cs="Calibri"/>
                <w:color w:val="000000"/>
                <w:sz w:val="20"/>
                <w:lang w:eastAsia="sk-SK"/>
              </w:rPr>
              <w:t>R2 Kriváň – Mýtna</w:t>
            </w:r>
          </w:p>
        </w:tc>
        <w:tc>
          <w:tcPr>
            <w:tcW w:w="1726" w:type="pct"/>
            <w:tcBorders>
              <w:top w:val="nil"/>
              <w:left w:val="nil"/>
              <w:bottom w:val="nil"/>
              <w:right w:val="nil"/>
            </w:tcBorders>
            <w:shd w:val="clear" w:color="auto" w:fill="auto"/>
            <w:noWrap/>
            <w:vAlign w:val="bottom"/>
            <w:hideMark/>
          </w:tcPr>
          <w:p w14:paraId="7903BB7C" w14:textId="77777777" w:rsidR="00CB16AA" w:rsidRPr="00666914" w:rsidRDefault="00CB16AA" w:rsidP="00985E7A">
            <w:pPr>
              <w:spacing w:after="0"/>
              <w:jc w:val="center"/>
              <w:rPr>
                <w:rFonts w:eastAsia="Times New Roman" w:cs="Calibri"/>
                <w:color w:val="000000"/>
                <w:sz w:val="20"/>
                <w:lang w:eastAsia="sk-SK"/>
              </w:rPr>
            </w:pPr>
            <w:r w:rsidRPr="00666914">
              <w:rPr>
                <w:rFonts w:eastAsia="Times New Roman" w:cs="Calibri"/>
                <w:color w:val="000000"/>
                <w:sz w:val="20"/>
                <w:lang w:eastAsia="sk-SK"/>
              </w:rPr>
              <w:t>355</w:t>
            </w:r>
          </w:p>
        </w:tc>
        <w:tc>
          <w:tcPr>
            <w:tcW w:w="1300" w:type="pct"/>
            <w:tcBorders>
              <w:top w:val="nil"/>
              <w:left w:val="nil"/>
              <w:bottom w:val="nil"/>
              <w:right w:val="nil"/>
            </w:tcBorders>
            <w:shd w:val="clear" w:color="auto" w:fill="auto"/>
            <w:noWrap/>
            <w:vAlign w:val="bottom"/>
            <w:hideMark/>
          </w:tcPr>
          <w:p w14:paraId="1F3C84A0" w14:textId="77777777" w:rsidR="00CB16AA" w:rsidRPr="00666914" w:rsidRDefault="00CB16AA" w:rsidP="00985E7A">
            <w:pPr>
              <w:spacing w:after="0"/>
              <w:jc w:val="center"/>
              <w:rPr>
                <w:rFonts w:eastAsia="Times New Roman" w:cs="Calibri"/>
                <w:color w:val="000000"/>
                <w:sz w:val="20"/>
                <w:lang w:eastAsia="sk-SK"/>
              </w:rPr>
            </w:pPr>
            <w:r w:rsidRPr="00666914">
              <w:rPr>
                <w:rFonts w:eastAsia="Times New Roman" w:cs="Calibri"/>
                <w:color w:val="000000"/>
                <w:sz w:val="20"/>
                <w:lang w:eastAsia="sk-SK"/>
              </w:rPr>
              <w:t>3</w:t>
            </w:r>
          </w:p>
        </w:tc>
      </w:tr>
      <w:tr w:rsidR="00CB16AA" w:rsidRPr="00666914" w14:paraId="678CF379" w14:textId="77777777" w:rsidTr="00985E7A">
        <w:trPr>
          <w:trHeight w:val="280"/>
        </w:trPr>
        <w:tc>
          <w:tcPr>
            <w:tcW w:w="1974" w:type="pct"/>
            <w:tcBorders>
              <w:top w:val="nil"/>
              <w:left w:val="nil"/>
              <w:bottom w:val="single" w:sz="4" w:space="0" w:color="auto"/>
              <w:right w:val="nil"/>
            </w:tcBorders>
            <w:shd w:val="clear" w:color="auto" w:fill="auto"/>
            <w:noWrap/>
            <w:vAlign w:val="bottom"/>
            <w:hideMark/>
          </w:tcPr>
          <w:p w14:paraId="1D1BB494" w14:textId="77777777" w:rsidR="00CB16AA" w:rsidRPr="00666914" w:rsidRDefault="00CB16AA" w:rsidP="00985E7A">
            <w:pPr>
              <w:spacing w:after="0"/>
              <w:rPr>
                <w:rFonts w:eastAsia="Times New Roman" w:cs="Calibri"/>
                <w:color w:val="000000"/>
                <w:sz w:val="20"/>
                <w:lang w:eastAsia="sk-SK"/>
              </w:rPr>
            </w:pPr>
            <w:r w:rsidRPr="00666914">
              <w:rPr>
                <w:rFonts w:eastAsia="Times New Roman" w:cs="Calibri"/>
                <w:color w:val="000000"/>
                <w:sz w:val="20"/>
                <w:lang w:eastAsia="sk-SK"/>
              </w:rPr>
              <w:t>Diaľnica Bratislava - Triblavina Most D1/D4</w:t>
            </w:r>
          </w:p>
          <w:p w14:paraId="4AEB6203" w14:textId="77777777" w:rsidR="00CB16AA" w:rsidRPr="00666914" w:rsidRDefault="00CB16AA" w:rsidP="00985E7A">
            <w:pPr>
              <w:spacing w:after="0"/>
              <w:rPr>
                <w:rFonts w:eastAsia="Times New Roman" w:cs="Calibri"/>
                <w:color w:val="000000"/>
                <w:sz w:val="20"/>
                <w:lang w:eastAsia="sk-SK"/>
              </w:rPr>
            </w:pPr>
            <w:r w:rsidRPr="00666914">
              <w:rPr>
                <w:rFonts w:eastAsia="Times New Roman" w:cs="Calibri"/>
                <w:color w:val="000000"/>
                <w:sz w:val="20"/>
                <w:lang w:eastAsia="sk-SK"/>
              </w:rPr>
              <w:t>Diaľnica D2 križovatka Rohožník</w:t>
            </w:r>
          </w:p>
        </w:tc>
        <w:tc>
          <w:tcPr>
            <w:tcW w:w="1726" w:type="pct"/>
            <w:tcBorders>
              <w:top w:val="nil"/>
              <w:left w:val="nil"/>
              <w:bottom w:val="single" w:sz="4" w:space="0" w:color="auto"/>
              <w:right w:val="nil"/>
            </w:tcBorders>
            <w:shd w:val="clear" w:color="auto" w:fill="auto"/>
            <w:noWrap/>
            <w:vAlign w:val="bottom"/>
            <w:hideMark/>
          </w:tcPr>
          <w:p w14:paraId="431BFB89" w14:textId="77777777" w:rsidR="00CB16AA" w:rsidRPr="00666914" w:rsidRDefault="00CB16AA" w:rsidP="00985E7A">
            <w:pPr>
              <w:spacing w:after="0"/>
              <w:jc w:val="center"/>
              <w:rPr>
                <w:rFonts w:eastAsia="Times New Roman" w:cs="Calibri"/>
                <w:color w:val="000000"/>
                <w:sz w:val="20"/>
                <w:lang w:eastAsia="sk-SK"/>
              </w:rPr>
            </w:pPr>
            <w:r w:rsidRPr="00666914">
              <w:rPr>
                <w:rFonts w:eastAsia="Times New Roman" w:cs="Calibri"/>
                <w:color w:val="000000"/>
                <w:sz w:val="20"/>
                <w:lang w:eastAsia="sk-SK"/>
              </w:rPr>
              <w:t>100</w:t>
            </w:r>
          </w:p>
          <w:p w14:paraId="238D8692" w14:textId="77777777" w:rsidR="00CB16AA" w:rsidRPr="00666914" w:rsidRDefault="00CB16AA" w:rsidP="00985E7A">
            <w:pPr>
              <w:spacing w:after="0"/>
              <w:jc w:val="center"/>
              <w:rPr>
                <w:rFonts w:eastAsia="Times New Roman" w:cs="Calibri"/>
                <w:color w:val="000000"/>
                <w:sz w:val="20"/>
                <w:lang w:eastAsia="sk-SK"/>
              </w:rPr>
            </w:pPr>
            <w:r w:rsidRPr="00666914">
              <w:rPr>
                <w:rFonts w:eastAsia="Times New Roman" w:cs="Calibri"/>
                <w:color w:val="000000"/>
                <w:sz w:val="20"/>
                <w:lang w:eastAsia="sk-SK"/>
              </w:rPr>
              <w:t>7</w:t>
            </w:r>
          </w:p>
        </w:tc>
        <w:tc>
          <w:tcPr>
            <w:tcW w:w="1300" w:type="pct"/>
            <w:tcBorders>
              <w:top w:val="nil"/>
              <w:left w:val="nil"/>
              <w:bottom w:val="single" w:sz="4" w:space="0" w:color="auto"/>
              <w:right w:val="nil"/>
            </w:tcBorders>
            <w:shd w:val="clear" w:color="auto" w:fill="auto"/>
            <w:noWrap/>
            <w:vAlign w:val="bottom"/>
            <w:hideMark/>
          </w:tcPr>
          <w:p w14:paraId="077053AD" w14:textId="77777777" w:rsidR="00CB16AA" w:rsidRPr="00666914" w:rsidRDefault="00CB16AA" w:rsidP="00985E7A">
            <w:pPr>
              <w:spacing w:after="0"/>
              <w:jc w:val="center"/>
              <w:rPr>
                <w:rFonts w:eastAsia="Times New Roman" w:cs="Calibri"/>
                <w:color w:val="000000"/>
                <w:sz w:val="20"/>
                <w:lang w:eastAsia="sk-SK"/>
              </w:rPr>
            </w:pPr>
            <w:r w:rsidRPr="00666914">
              <w:rPr>
                <w:rFonts w:eastAsia="Times New Roman" w:cs="Calibri"/>
                <w:color w:val="000000"/>
                <w:sz w:val="20"/>
                <w:lang w:eastAsia="sk-SK"/>
              </w:rPr>
              <w:t>0</w:t>
            </w:r>
          </w:p>
          <w:p w14:paraId="7B46D602" w14:textId="77777777" w:rsidR="00CB16AA" w:rsidRPr="00666914" w:rsidRDefault="00CB16AA" w:rsidP="00985E7A">
            <w:pPr>
              <w:spacing w:after="0"/>
              <w:jc w:val="center"/>
              <w:rPr>
                <w:rFonts w:eastAsia="Times New Roman" w:cs="Calibri"/>
                <w:color w:val="000000"/>
                <w:sz w:val="20"/>
                <w:lang w:eastAsia="sk-SK"/>
              </w:rPr>
            </w:pPr>
            <w:r w:rsidRPr="00666914">
              <w:rPr>
                <w:rFonts w:eastAsia="Times New Roman" w:cs="Calibri"/>
                <w:color w:val="000000"/>
                <w:sz w:val="20"/>
                <w:lang w:eastAsia="sk-SK"/>
              </w:rPr>
              <w:t>0</w:t>
            </w:r>
          </w:p>
        </w:tc>
      </w:tr>
    </w:tbl>
    <w:p w14:paraId="256566C3" w14:textId="77777777" w:rsidR="00CB16AA" w:rsidRPr="00666914" w:rsidRDefault="00CB16AA" w:rsidP="00985E7A">
      <w:pPr>
        <w:contextualSpacing/>
        <w:jc w:val="right"/>
        <w:rPr>
          <w:i/>
          <w:sz w:val="18"/>
        </w:rPr>
      </w:pPr>
      <w:r w:rsidRPr="00666914">
        <w:rPr>
          <w:i/>
          <w:sz w:val="18"/>
        </w:rPr>
        <w:t>Zdroj: MDV SR</w:t>
      </w:r>
    </w:p>
    <w:p w14:paraId="3E241FB5" w14:textId="77777777" w:rsidR="00CB16AA" w:rsidRPr="00666914" w:rsidRDefault="00CB16AA" w:rsidP="00985E7A">
      <w:pPr>
        <w:spacing w:after="0"/>
        <w:rPr>
          <w:i/>
        </w:rPr>
      </w:pPr>
    </w:p>
    <w:p w14:paraId="0AE12691" w14:textId="77777777" w:rsidR="00CB16AA" w:rsidRPr="00666914" w:rsidRDefault="00CB16AA" w:rsidP="00985E7A">
      <w:pPr>
        <w:spacing w:after="0"/>
        <w:rPr>
          <w:i/>
        </w:rPr>
      </w:pPr>
      <w:r w:rsidRPr="00666914">
        <w:rPr>
          <w:i/>
        </w:rPr>
        <w:t>Analytická jednotka MDV SR</w:t>
      </w:r>
    </w:p>
    <w:p w14:paraId="7A914AE9" w14:textId="18A61352" w:rsidR="00CB16AA" w:rsidRPr="00666914" w:rsidRDefault="00CB16AA" w:rsidP="00985E7A">
      <w:pPr>
        <w:spacing w:after="0"/>
      </w:pPr>
      <w:r w:rsidRPr="00666914">
        <w:rPr>
          <w:b/>
        </w:rPr>
        <w:t>Analytická jednotka MDV SR, organizačne zaradená pod štátn</w:t>
      </w:r>
      <w:r w:rsidR="00412259" w:rsidRPr="00666914">
        <w:rPr>
          <w:b/>
        </w:rPr>
        <w:t>eho tajomníka</w:t>
      </w:r>
      <w:r w:rsidRPr="00666914">
        <w:rPr>
          <w:b/>
        </w:rPr>
        <w:t xml:space="preserve"> MDV SR, bola v roku 2019 premenovaná na Inštitút dopravnej politiky (IDP).</w:t>
      </w:r>
      <w:r w:rsidRPr="00666914">
        <w:t xml:space="preserve"> Člení sa na 2 odbory: odbor harmonizácie verejnej osobnej dopravy a odbor rozvoja dopravnej infraštruktúry.</w:t>
      </w:r>
    </w:p>
    <w:p w14:paraId="32F3BC5D" w14:textId="77777777" w:rsidR="00CB16AA" w:rsidRPr="00666914" w:rsidRDefault="00CB16AA" w:rsidP="00985E7A">
      <w:pPr>
        <w:spacing w:after="0"/>
      </w:pPr>
    </w:p>
    <w:p w14:paraId="4B8E0F08" w14:textId="6B68CF1C" w:rsidR="00CB16AA" w:rsidRPr="00666914" w:rsidRDefault="00CB16AA" w:rsidP="00985E7A">
      <w:pPr>
        <w:spacing w:after="0"/>
      </w:pPr>
      <w:r w:rsidRPr="00666914">
        <w:t>IDP je zapojený do projektu Operačného programu Efektívna verejná správa (EVS) „Budovanie a rozvoj analytických kapacít útvarov na vybraných orgánoch štátnej správy“ a má možnosť financovať náklady na analytické kapacity z eurofondov. Celkovo môže mať z tohto projektu financovaných 6 analyti</w:t>
      </w:r>
      <w:r w:rsidR="00183940" w:rsidRPr="00666914">
        <w:t>kov (3 senior a 3 junior analytikov</w:t>
      </w:r>
      <w:r w:rsidRPr="00666914">
        <w:t>), ku koncu roka 2019 boli 5, z čoho 2 sú na RIA 2020 (Stratégia lepšej regulácie).</w:t>
      </w:r>
    </w:p>
    <w:p w14:paraId="23E3782E" w14:textId="77777777" w:rsidR="00CB16AA" w:rsidRPr="00666914" w:rsidRDefault="00CB16AA" w:rsidP="00985E7A">
      <w:pPr>
        <w:spacing w:after="0"/>
      </w:pPr>
    </w:p>
    <w:p w14:paraId="6886411E" w14:textId="5E09905F" w:rsidR="00CB16AA" w:rsidRPr="00666914" w:rsidRDefault="00CB16AA" w:rsidP="00985E7A">
      <w:pPr>
        <w:spacing w:after="0"/>
      </w:pPr>
      <w:r w:rsidRPr="00666914">
        <w:t xml:space="preserve">Napriek obmedzenej analytickej kapacite (5 analytici) splnila analytická jednotka minimálne požiadavky na kritériá kvality za rok 2019 v rámci projektu “Budovanie a rozvoj kapacít analytických útvarov na vybraných ústredných orgánoch štátnej správy“. </w:t>
      </w:r>
      <w:r w:rsidRPr="00666914">
        <w:rPr>
          <w:bCs/>
        </w:rPr>
        <w:t>IDP vypracoval tri recenzované výstupy - 1 analýzu</w:t>
      </w:r>
      <w:r w:rsidRPr="00666914">
        <w:rPr>
          <w:rStyle w:val="Odkaznapoznmkupodiarou"/>
        </w:rPr>
        <w:footnoteReference w:id="73"/>
      </w:r>
      <w:r w:rsidRPr="00666914">
        <w:rPr>
          <w:bCs/>
        </w:rPr>
        <w:t xml:space="preserve"> a 2 komentáre</w:t>
      </w:r>
      <w:r w:rsidRPr="00666914">
        <w:rPr>
          <w:rStyle w:val="Odkaznapoznmkupodiarou"/>
        </w:rPr>
        <w:footnoteReference w:id="74"/>
      </w:r>
      <w:r w:rsidRPr="00666914">
        <w:rPr>
          <w:bCs/>
        </w:rPr>
        <w:t>. Analýza “Posúdenie ekonomickej výhodnosti uloženia záväzku služby vo verejnom záujme na pravidelnej leteckej linke Bratislava-Košice“ bola ešte v roku 2019 recenzovaná, nie je však zverejnená.</w:t>
      </w:r>
      <w:r w:rsidRPr="00666914">
        <w:t xml:space="preserve"> MDV SR v roku 2019 objednalo a</w:t>
      </w:r>
      <w:r w:rsidR="00183940" w:rsidRPr="00666914">
        <w:t>nalytické úlohy, ktoré by mohli</w:t>
      </w:r>
      <w:r w:rsidRPr="00666914">
        <w:t xml:space="preserve"> byť vypracované práve využitím interných analytických kapacít, napr.:</w:t>
      </w:r>
    </w:p>
    <w:p w14:paraId="017D15E3" w14:textId="77777777" w:rsidR="00CB16AA" w:rsidRPr="00666914" w:rsidRDefault="00CB16AA" w:rsidP="00312C28">
      <w:pPr>
        <w:pStyle w:val="Odsekzoznamu"/>
        <w:numPr>
          <w:ilvl w:val="0"/>
          <w:numId w:val="37"/>
        </w:numPr>
        <w:spacing w:after="0"/>
      </w:pPr>
      <w:r w:rsidRPr="00666914">
        <w:t>Komplexná analýza využitia vodnej dopravy pre iné odvetvia hospodárstva</w:t>
      </w:r>
      <w:r w:rsidRPr="00666914">
        <w:rPr>
          <w:rStyle w:val="Odkaznapoznmkupodiarou"/>
        </w:rPr>
        <w:footnoteReference w:id="75"/>
      </w:r>
      <w:r w:rsidRPr="00666914">
        <w:t xml:space="preserve"> (09/2019), cena: 40,5 tis. eur</w:t>
      </w:r>
    </w:p>
    <w:p w14:paraId="36BD4DDA" w14:textId="77777777" w:rsidR="00CB16AA" w:rsidRPr="00666914" w:rsidRDefault="00CB16AA" w:rsidP="00312C28">
      <w:pPr>
        <w:pStyle w:val="Odsekzoznamu"/>
        <w:numPr>
          <w:ilvl w:val="0"/>
          <w:numId w:val="40"/>
        </w:numPr>
        <w:spacing w:after="0"/>
      </w:pPr>
      <w:r w:rsidRPr="00666914">
        <w:lastRenderedPageBreak/>
        <w:t>Analýza možností realizácie projektu R1 v úseku Banská Bystrica – Slovenská Ľupča/ PPP vs. PSC</w:t>
      </w:r>
      <w:r w:rsidRPr="00666914">
        <w:rPr>
          <w:rStyle w:val="Odkaznapoznmkupodiarou"/>
        </w:rPr>
        <w:footnoteReference w:id="76"/>
      </w:r>
      <w:r w:rsidRPr="00666914">
        <w:t>, (11/2019), cena: 115,4 tis. eur.</w:t>
      </w:r>
    </w:p>
    <w:p w14:paraId="17607A5E" w14:textId="77777777" w:rsidR="00CB16AA" w:rsidRPr="00666914" w:rsidRDefault="00CB16AA" w:rsidP="00985E7A">
      <w:pPr>
        <w:spacing w:after="0"/>
      </w:pPr>
      <w:r w:rsidRPr="00666914">
        <w:t xml:space="preserve">IDP spolupracoval s ÚHP v roku 2019 na aktualizácii Dopravného modelu SR - realizované nové zonálne členenie územia SR v rámci dopravného modelu, upravené výsledky mobilitného prieskumu z roku 2015 (z dôvodu vykazovania nereálnych hodnôt) a aktualizovaná dopravná infraštruktúra (vrátane jej technických parametrov, uzlov pre individuálnu automobilovú dopravu, zastávok verejnej osobnej dopravy) a napojenie zón na dopravnú infraštruktúru (cestná a železničná infraštruktúra, vrátane vnútrozemských vodných ciest) – model ponuky. </w:t>
      </w:r>
    </w:p>
    <w:p w14:paraId="6B4322BD" w14:textId="1A784F11" w:rsidR="00CB16AA" w:rsidRPr="00666914" w:rsidRDefault="00CB16AA" w:rsidP="00985E7A">
      <w:pPr>
        <w:spacing w:after="0"/>
      </w:pPr>
      <w:r w:rsidRPr="00666914">
        <w:t>Bol spracovaný komplexný audit legislatívy v gescii MDV SR (v zmysle uznesenia vlády SR č. 50/2019 k „Auditu legislatívy z pohľadu goldplatingu“). V oblasti zefektívnenia fungovania verejnej osobnej dopravy IDP spracoval novú vyhlášku o verejnej osobnej doprave</w:t>
      </w:r>
      <w:r w:rsidRPr="00666914">
        <w:rPr>
          <w:rStyle w:val="Odkaznapoznmkupodiarou"/>
        </w:rPr>
        <w:footnoteReference w:id="77"/>
      </w:r>
      <w:r w:rsidRPr="00666914">
        <w:t>.</w:t>
      </w:r>
    </w:p>
    <w:p w14:paraId="0998AE84" w14:textId="77777777" w:rsidR="00CB16AA" w:rsidRPr="00666914" w:rsidRDefault="00CB16AA" w:rsidP="00985E7A">
      <w:pPr>
        <w:pStyle w:val="Odsekzoznamu"/>
        <w:spacing w:after="0"/>
      </w:pPr>
    </w:p>
    <w:p w14:paraId="5A4668DB" w14:textId="1C6FF894" w:rsidR="00CB16AA" w:rsidRPr="00666914" w:rsidRDefault="00CB16AA" w:rsidP="0053444A">
      <w:r w:rsidRPr="00666914">
        <w:rPr>
          <w:b/>
        </w:rPr>
        <w:t>Opatrenie sa k 31.12.2019 plní čiastočne.</w:t>
      </w:r>
    </w:p>
    <w:p w14:paraId="5A319244" w14:textId="77777777" w:rsidR="00CB16AA" w:rsidRPr="00666914" w:rsidRDefault="00CB16AA" w:rsidP="00312C28">
      <w:pPr>
        <w:numPr>
          <w:ilvl w:val="0"/>
          <w:numId w:val="34"/>
        </w:numPr>
        <w:contextualSpacing/>
        <w:rPr>
          <w:b/>
          <w:u w:val="single"/>
        </w:rPr>
      </w:pPr>
      <w:r w:rsidRPr="00666914">
        <w:rPr>
          <w:b/>
          <w:u w:val="single"/>
        </w:rPr>
        <w:t>Poskytovať verejnosti relevantné podklady o pripravovaných investičných projektoch</w:t>
      </w:r>
    </w:p>
    <w:p w14:paraId="3AC52C72" w14:textId="6ECB98C6" w:rsidR="00CB16AA" w:rsidRPr="00666914" w:rsidRDefault="00CB16AA" w:rsidP="00985E7A">
      <w:pPr>
        <w:spacing w:before="240"/>
      </w:pPr>
      <w:r w:rsidRPr="00666914">
        <w:rPr>
          <w:b/>
        </w:rPr>
        <w:t>V súčasnosti majú všetky zazmluvnené investičné dopravné projekty OPII zverejnené štruktúrované podrobné údaje v editovateľnom formáte na stránke www.opii.gov.sk</w:t>
      </w:r>
      <w:r w:rsidRPr="00666914">
        <w:rPr>
          <w:rStyle w:val="Odkaznapoznmkupodiarou"/>
        </w:rPr>
        <w:footnoteReference w:id="78"/>
      </w:r>
      <w:r w:rsidRPr="00666914">
        <w:rPr>
          <w:b/>
        </w:rPr>
        <w:t xml:space="preserve"> v časti Projekty pre každý projekt samostatne pod označením: „Rozšírené údaje o projekte“. </w:t>
      </w:r>
      <w:r w:rsidRPr="00666914">
        <w:t>Tieto údaje sa pravidelne na konci kalendárneho polroka aktualizujú. Zároveň sa zverejňovanie údajov týka aj nových zazmluvnených projektov OPII, pre ktoré platí povinnosť, že mesiac po podpísaní zmluvy o NFP musia zverejniť všetky údaje. Koncom roka 2019 má 76 % projektov zverejnené aj všetky zadefinované stupne projektovej dok</w:t>
      </w:r>
      <w:r w:rsidR="00D67E6E" w:rsidRPr="00666914">
        <w:t>umentácie.</w:t>
      </w:r>
    </w:p>
    <w:p w14:paraId="3946E0EA" w14:textId="121B14EA" w:rsidR="00CB16AA" w:rsidRPr="00666914" w:rsidRDefault="00CB16AA" w:rsidP="00985E7A">
      <w:pPr>
        <w:contextualSpacing/>
        <w:rPr>
          <w:b/>
        </w:rPr>
      </w:pPr>
      <w:r w:rsidRPr="00666914">
        <w:t xml:space="preserve">Čo sa týka zverejňovania podkladov k projektom zo zásobníka OPII, sú zverejňované na stránke </w:t>
      </w:r>
      <w:hyperlink r:id="rId29" w:history="1">
        <w:r w:rsidRPr="00666914">
          <w:rPr>
            <w:rStyle w:val="Hypertextovprepojenie"/>
          </w:rPr>
          <w:t>www.opii.gov.sk</w:t>
        </w:r>
      </w:hyperlink>
      <w:r w:rsidRPr="00666914">
        <w:t xml:space="preserve"> v štruktúrovanej podobe</w:t>
      </w:r>
      <w:r w:rsidRPr="00666914">
        <w:rPr>
          <w:rStyle w:val="Odkaznapoznmkupodiarou"/>
        </w:rPr>
        <w:footnoteReference w:id="79"/>
      </w:r>
      <w:r w:rsidRPr="00666914">
        <w:t xml:space="preserve">. Podľa IJ by malo nasledovať zverejňovanie údajov o projektoch, ktoré nespadajú pod OPII. </w:t>
      </w:r>
      <w:r w:rsidRPr="00666914">
        <w:rPr>
          <w:b/>
        </w:rPr>
        <w:t>Opatrenie sa k 31.12.2019 plní.</w:t>
      </w:r>
    </w:p>
    <w:p w14:paraId="390E5F2B" w14:textId="77777777" w:rsidR="00347F85" w:rsidRPr="00666914" w:rsidRDefault="00347F85" w:rsidP="00985E7A">
      <w:pPr>
        <w:contextualSpacing/>
        <w:rPr>
          <w:b/>
          <w:u w:val="single"/>
        </w:rPr>
      </w:pPr>
    </w:p>
    <w:p w14:paraId="6F2F4021" w14:textId="77777777" w:rsidR="00CB16AA" w:rsidRPr="00666914" w:rsidRDefault="00CB16AA" w:rsidP="00985E7A">
      <w:pPr>
        <w:pStyle w:val="Nadpis2"/>
        <w:ind w:left="1070"/>
      </w:pPr>
      <w:bookmarkStart w:id="195" w:name="_Toc21522709"/>
      <w:bookmarkStart w:id="196" w:name="_Toc38447591"/>
      <w:r w:rsidRPr="00666914">
        <w:t>Diaľnice, rýchlostné cesty a cesty I. triedy</w:t>
      </w:r>
      <w:bookmarkEnd w:id="195"/>
      <w:bookmarkEnd w:id="196"/>
    </w:p>
    <w:tbl>
      <w:tblPr>
        <w:tblStyle w:val="Mriekatabuky2"/>
        <w:tblW w:w="5000" w:type="pct"/>
        <w:tblLook w:val="04A0" w:firstRow="1" w:lastRow="0" w:firstColumn="1" w:lastColumn="0" w:noHBand="0" w:noVBand="1"/>
      </w:tblPr>
      <w:tblGrid>
        <w:gridCol w:w="402"/>
        <w:gridCol w:w="2499"/>
        <w:gridCol w:w="1392"/>
        <w:gridCol w:w="1081"/>
        <w:gridCol w:w="1082"/>
        <w:gridCol w:w="687"/>
        <w:gridCol w:w="687"/>
        <w:gridCol w:w="687"/>
        <w:gridCol w:w="687"/>
      </w:tblGrid>
      <w:tr w:rsidR="00CB16AA" w:rsidRPr="00666914" w14:paraId="02E87F1E" w14:textId="77777777" w:rsidTr="00254A5B">
        <w:trPr>
          <w:trHeight w:val="469"/>
        </w:trPr>
        <w:tc>
          <w:tcPr>
            <w:tcW w:w="219" w:type="pct"/>
            <w:tcBorders>
              <w:top w:val="single" w:sz="4" w:space="0" w:color="auto"/>
              <w:left w:val="single" w:sz="4" w:space="0" w:color="auto"/>
              <w:right w:val="nil"/>
            </w:tcBorders>
            <w:vAlign w:val="center"/>
          </w:tcPr>
          <w:p w14:paraId="02BC2B00" w14:textId="77777777" w:rsidR="00CB16AA" w:rsidRPr="00666914" w:rsidRDefault="00CB16AA" w:rsidP="00254A5B">
            <w:pPr>
              <w:tabs>
                <w:tab w:val="left" w:pos="6237"/>
              </w:tabs>
              <w:spacing w:after="0"/>
              <w:rPr>
                <w:sz w:val="20"/>
                <w:szCs w:val="20"/>
              </w:rPr>
            </w:pPr>
          </w:p>
        </w:tc>
        <w:tc>
          <w:tcPr>
            <w:tcW w:w="1358" w:type="pct"/>
            <w:tcBorders>
              <w:top w:val="single" w:sz="4" w:space="0" w:color="auto"/>
              <w:left w:val="nil"/>
              <w:right w:val="single" w:sz="4" w:space="0" w:color="auto"/>
            </w:tcBorders>
            <w:vAlign w:val="center"/>
          </w:tcPr>
          <w:p w14:paraId="07CA5FF7" w14:textId="77777777" w:rsidR="00CB16AA" w:rsidRPr="00666914" w:rsidRDefault="00CB16AA" w:rsidP="00254A5B">
            <w:pPr>
              <w:tabs>
                <w:tab w:val="left" w:pos="6237"/>
              </w:tabs>
              <w:spacing w:after="0"/>
              <w:jc w:val="center"/>
              <w:rPr>
                <w:b/>
                <w:sz w:val="20"/>
                <w:szCs w:val="20"/>
              </w:rPr>
            </w:pPr>
            <w:r w:rsidRPr="00666914">
              <w:rPr>
                <w:b/>
                <w:sz w:val="20"/>
                <w:szCs w:val="20"/>
              </w:rPr>
              <w:t>Opatrenie</w:t>
            </w:r>
          </w:p>
        </w:tc>
        <w:tc>
          <w:tcPr>
            <w:tcW w:w="756" w:type="pct"/>
            <w:tcBorders>
              <w:top w:val="single" w:sz="4" w:space="0" w:color="auto"/>
              <w:left w:val="single" w:sz="4" w:space="0" w:color="auto"/>
              <w:right w:val="single" w:sz="4" w:space="0" w:color="auto"/>
            </w:tcBorders>
            <w:vAlign w:val="center"/>
          </w:tcPr>
          <w:p w14:paraId="79D04CB6" w14:textId="77777777" w:rsidR="00CB16AA" w:rsidRPr="00666914" w:rsidRDefault="00CB16AA" w:rsidP="00254A5B">
            <w:pPr>
              <w:tabs>
                <w:tab w:val="left" w:pos="6237"/>
              </w:tabs>
              <w:spacing w:after="0"/>
              <w:jc w:val="center"/>
              <w:rPr>
                <w:b/>
                <w:sz w:val="20"/>
                <w:szCs w:val="20"/>
              </w:rPr>
            </w:pPr>
            <w:r w:rsidRPr="00666914">
              <w:rPr>
                <w:b/>
                <w:sz w:val="20"/>
                <w:szCs w:val="20"/>
              </w:rPr>
              <w:t>Zodpovednosť</w:t>
            </w:r>
          </w:p>
        </w:tc>
        <w:tc>
          <w:tcPr>
            <w:tcW w:w="587" w:type="pct"/>
            <w:tcBorders>
              <w:top w:val="single" w:sz="4" w:space="0" w:color="auto"/>
              <w:left w:val="single" w:sz="4" w:space="0" w:color="auto"/>
              <w:right w:val="single" w:sz="4" w:space="0" w:color="auto"/>
            </w:tcBorders>
            <w:vAlign w:val="center"/>
          </w:tcPr>
          <w:p w14:paraId="471BEBFA" w14:textId="77777777" w:rsidR="00CB16AA" w:rsidRPr="00666914" w:rsidRDefault="00CB16AA" w:rsidP="00254A5B">
            <w:pPr>
              <w:tabs>
                <w:tab w:val="left" w:pos="6237"/>
              </w:tabs>
              <w:spacing w:after="0"/>
              <w:jc w:val="center"/>
              <w:rPr>
                <w:b/>
                <w:sz w:val="20"/>
                <w:szCs w:val="20"/>
              </w:rPr>
            </w:pPr>
            <w:r w:rsidRPr="00666914">
              <w:rPr>
                <w:b/>
                <w:sz w:val="20"/>
                <w:szCs w:val="20"/>
              </w:rPr>
              <w:t>Termín plnenia</w:t>
            </w:r>
          </w:p>
        </w:tc>
        <w:tc>
          <w:tcPr>
            <w:tcW w:w="588" w:type="pct"/>
            <w:tcBorders>
              <w:top w:val="single" w:sz="4" w:space="0" w:color="auto"/>
              <w:left w:val="single" w:sz="4" w:space="0" w:color="auto"/>
              <w:right w:val="single" w:sz="4" w:space="0" w:color="auto"/>
            </w:tcBorders>
            <w:vAlign w:val="center"/>
          </w:tcPr>
          <w:p w14:paraId="1538A8EB" w14:textId="77777777" w:rsidR="00CB16AA" w:rsidRPr="00666914" w:rsidRDefault="00CB16AA" w:rsidP="00254A5B">
            <w:pPr>
              <w:tabs>
                <w:tab w:val="left" w:pos="6237"/>
              </w:tabs>
              <w:spacing w:after="0"/>
              <w:jc w:val="center"/>
              <w:rPr>
                <w:b/>
                <w:sz w:val="20"/>
                <w:szCs w:val="20"/>
              </w:rPr>
            </w:pPr>
            <w:r w:rsidRPr="00666914">
              <w:rPr>
                <w:b/>
                <w:sz w:val="20"/>
                <w:szCs w:val="20"/>
              </w:rPr>
              <w:t>Nový termín</w:t>
            </w:r>
          </w:p>
        </w:tc>
        <w:tc>
          <w:tcPr>
            <w:tcW w:w="373" w:type="pct"/>
            <w:tcBorders>
              <w:top w:val="single" w:sz="4" w:space="0" w:color="auto"/>
              <w:left w:val="single" w:sz="4" w:space="0" w:color="auto"/>
              <w:right w:val="single" w:sz="4" w:space="0" w:color="auto"/>
            </w:tcBorders>
            <w:vAlign w:val="center"/>
          </w:tcPr>
          <w:p w14:paraId="39B503B5" w14:textId="77777777" w:rsidR="00CB16AA" w:rsidRPr="00666914" w:rsidRDefault="00CB16AA" w:rsidP="00254A5B">
            <w:pPr>
              <w:tabs>
                <w:tab w:val="left" w:pos="6237"/>
              </w:tabs>
              <w:spacing w:after="0"/>
              <w:jc w:val="center"/>
              <w:rPr>
                <w:b/>
                <w:sz w:val="20"/>
                <w:szCs w:val="20"/>
              </w:rPr>
            </w:pPr>
            <w:r w:rsidRPr="00666914">
              <w:rPr>
                <w:b/>
                <w:sz w:val="20"/>
                <w:szCs w:val="20"/>
              </w:rPr>
              <w:t>1Q</w:t>
            </w:r>
          </w:p>
          <w:p w14:paraId="705C0367" w14:textId="77777777" w:rsidR="00CB16AA" w:rsidRPr="00666914" w:rsidRDefault="00CB16AA" w:rsidP="00254A5B">
            <w:pPr>
              <w:tabs>
                <w:tab w:val="left" w:pos="6237"/>
              </w:tabs>
              <w:spacing w:after="0"/>
              <w:jc w:val="center"/>
              <w:rPr>
                <w:b/>
                <w:sz w:val="20"/>
                <w:szCs w:val="20"/>
              </w:rPr>
            </w:pPr>
            <w:r w:rsidRPr="00666914">
              <w:rPr>
                <w:b/>
                <w:sz w:val="20"/>
                <w:szCs w:val="20"/>
              </w:rPr>
              <w:t>2019</w:t>
            </w:r>
          </w:p>
        </w:tc>
        <w:tc>
          <w:tcPr>
            <w:tcW w:w="373" w:type="pct"/>
            <w:tcBorders>
              <w:top w:val="single" w:sz="4" w:space="0" w:color="auto"/>
              <w:left w:val="single" w:sz="4" w:space="0" w:color="auto"/>
              <w:right w:val="single" w:sz="4" w:space="0" w:color="auto"/>
            </w:tcBorders>
            <w:vAlign w:val="center"/>
          </w:tcPr>
          <w:p w14:paraId="14FB7FA8" w14:textId="77777777" w:rsidR="00CB16AA" w:rsidRPr="00666914" w:rsidRDefault="00CB16AA" w:rsidP="00254A5B">
            <w:pPr>
              <w:tabs>
                <w:tab w:val="left" w:pos="6237"/>
              </w:tabs>
              <w:spacing w:after="0"/>
              <w:jc w:val="center"/>
              <w:rPr>
                <w:b/>
                <w:sz w:val="20"/>
                <w:szCs w:val="20"/>
              </w:rPr>
            </w:pPr>
            <w:r w:rsidRPr="00666914">
              <w:rPr>
                <w:b/>
                <w:sz w:val="20"/>
                <w:szCs w:val="20"/>
              </w:rPr>
              <w:t>2Q</w:t>
            </w:r>
          </w:p>
          <w:p w14:paraId="0F5CFF9D" w14:textId="3D9D2176" w:rsidR="00CB16AA" w:rsidRPr="00666914" w:rsidRDefault="00CB16AA" w:rsidP="00254A5B">
            <w:pPr>
              <w:tabs>
                <w:tab w:val="left" w:pos="6237"/>
              </w:tabs>
              <w:spacing w:after="0"/>
              <w:jc w:val="center"/>
              <w:rPr>
                <w:b/>
                <w:sz w:val="20"/>
                <w:szCs w:val="20"/>
              </w:rPr>
            </w:pPr>
            <w:r w:rsidRPr="00666914">
              <w:rPr>
                <w:b/>
                <w:sz w:val="20"/>
                <w:szCs w:val="20"/>
              </w:rPr>
              <w:t>2019</w:t>
            </w:r>
          </w:p>
        </w:tc>
        <w:tc>
          <w:tcPr>
            <w:tcW w:w="373" w:type="pct"/>
            <w:tcBorders>
              <w:top w:val="single" w:sz="4" w:space="0" w:color="auto"/>
              <w:left w:val="single" w:sz="4" w:space="0" w:color="auto"/>
              <w:right w:val="single" w:sz="4" w:space="0" w:color="auto"/>
            </w:tcBorders>
            <w:vAlign w:val="center"/>
          </w:tcPr>
          <w:p w14:paraId="7DC6EA9F" w14:textId="77777777" w:rsidR="00CB16AA" w:rsidRPr="00666914" w:rsidRDefault="00CB16AA" w:rsidP="00254A5B">
            <w:pPr>
              <w:tabs>
                <w:tab w:val="left" w:pos="6237"/>
              </w:tabs>
              <w:spacing w:after="0"/>
              <w:jc w:val="center"/>
              <w:rPr>
                <w:b/>
                <w:sz w:val="20"/>
                <w:szCs w:val="20"/>
              </w:rPr>
            </w:pPr>
            <w:r w:rsidRPr="00666914">
              <w:rPr>
                <w:b/>
                <w:sz w:val="20"/>
                <w:szCs w:val="20"/>
              </w:rPr>
              <w:t>3Q</w:t>
            </w:r>
          </w:p>
          <w:p w14:paraId="5323C5A1" w14:textId="50198435" w:rsidR="00CB16AA" w:rsidRPr="00666914" w:rsidRDefault="00CB16AA" w:rsidP="00254A5B">
            <w:pPr>
              <w:tabs>
                <w:tab w:val="left" w:pos="6237"/>
              </w:tabs>
              <w:spacing w:after="0"/>
              <w:jc w:val="center"/>
              <w:rPr>
                <w:b/>
                <w:sz w:val="20"/>
                <w:szCs w:val="20"/>
              </w:rPr>
            </w:pPr>
            <w:r w:rsidRPr="00666914">
              <w:rPr>
                <w:b/>
                <w:sz w:val="20"/>
                <w:szCs w:val="20"/>
              </w:rPr>
              <w:t>2019</w:t>
            </w:r>
          </w:p>
        </w:tc>
        <w:tc>
          <w:tcPr>
            <w:tcW w:w="373" w:type="pct"/>
            <w:tcBorders>
              <w:top w:val="single" w:sz="4" w:space="0" w:color="auto"/>
              <w:left w:val="single" w:sz="4" w:space="0" w:color="auto"/>
              <w:right w:val="single" w:sz="4" w:space="0" w:color="auto"/>
            </w:tcBorders>
            <w:vAlign w:val="center"/>
          </w:tcPr>
          <w:p w14:paraId="1E6192AC" w14:textId="77777777" w:rsidR="00CB16AA" w:rsidRPr="00666914" w:rsidRDefault="00CB16AA" w:rsidP="00254A5B">
            <w:pPr>
              <w:tabs>
                <w:tab w:val="left" w:pos="6237"/>
              </w:tabs>
              <w:spacing w:after="0"/>
              <w:jc w:val="center"/>
              <w:rPr>
                <w:b/>
                <w:sz w:val="20"/>
                <w:szCs w:val="20"/>
              </w:rPr>
            </w:pPr>
            <w:r w:rsidRPr="00666914">
              <w:rPr>
                <w:b/>
                <w:sz w:val="20"/>
                <w:szCs w:val="20"/>
              </w:rPr>
              <w:t>4Q</w:t>
            </w:r>
          </w:p>
          <w:p w14:paraId="20449A84" w14:textId="7DF1C502" w:rsidR="00CB16AA" w:rsidRPr="00666914" w:rsidRDefault="00CB16AA" w:rsidP="00254A5B">
            <w:pPr>
              <w:tabs>
                <w:tab w:val="left" w:pos="6237"/>
              </w:tabs>
              <w:spacing w:after="0"/>
              <w:jc w:val="center"/>
              <w:rPr>
                <w:b/>
                <w:sz w:val="20"/>
                <w:szCs w:val="20"/>
              </w:rPr>
            </w:pPr>
            <w:r w:rsidRPr="00666914">
              <w:rPr>
                <w:b/>
                <w:sz w:val="20"/>
                <w:szCs w:val="20"/>
              </w:rPr>
              <w:t>2019</w:t>
            </w:r>
          </w:p>
        </w:tc>
      </w:tr>
      <w:tr w:rsidR="00CB16AA" w:rsidRPr="00666914" w14:paraId="6280790E" w14:textId="77777777" w:rsidTr="00254A5B">
        <w:tc>
          <w:tcPr>
            <w:tcW w:w="219" w:type="pct"/>
            <w:tcBorders>
              <w:top w:val="single" w:sz="4" w:space="0" w:color="auto"/>
            </w:tcBorders>
            <w:vAlign w:val="center"/>
          </w:tcPr>
          <w:p w14:paraId="2C61481D"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9</w:t>
            </w:r>
          </w:p>
        </w:tc>
        <w:tc>
          <w:tcPr>
            <w:tcW w:w="1358" w:type="pct"/>
            <w:tcBorders>
              <w:top w:val="single" w:sz="4" w:space="0" w:color="auto"/>
            </w:tcBorders>
            <w:vAlign w:val="center"/>
          </w:tcPr>
          <w:p w14:paraId="2B184C71"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Hľadať spôsoby zvýšenia výdavkov na opravy a údržbu ciest I. triedy tak, aby nedochádzalo k zvyšovaniu podielu ciest I. triedy v nevyhovujúcom a havarijnom stave</w:t>
            </w:r>
          </w:p>
        </w:tc>
        <w:tc>
          <w:tcPr>
            <w:tcW w:w="756" w:type="pct"/>
            <w:tcBorders>
              <w:top w:val="single" w:sz="4" w:space="0" w:color="auto"/>
            </w:tcBorders>
            <w:vAlign w:val="center"/>
          </w:tcPr>
          <w:p w14:paraId="5E39559A"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MDV SR / MF SR </w:t>
            </w:r>
          </w:p>
          <w:p w14:paraId="5895EAE2"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SCDaPK </w:t>
            </w:r>
          </w:p>
        </w:tc>
        <w:tc>
          <w:tcPr>
            <w:tcW w:w="587" w:type="pct"/>
            <w:tcBorders>
              <w:top w:val="single" w:sz="4" w:space="0" w:color="auto"/>
            </w:tcBorders>
            <w:shd w:val="clear" w:color="auto" w:fill="auto"/>
            <w:vAlign w:val="center"/>
          </w:tcPr>
          <w:p w14:paraId="0A60B633"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priebežne</w:t>
            </w:r>
          </w:p>
        </w:tc>
        <w:tc>
          <w:tcPr>
            <w:tcW w:w="588" w:type="pct"/>
            <w:tcBorders>
              <w:top w:val="single" w:sz="4" w:space="0" w:color="auto"/>
            </w:tcBorders>
            <w:vAlign w:val="center"/>
          </w:tcPr>
          <w:p w14:paraId="3B3A6AB1" w14:textId="77777777" w:rsidR="00CB16AA" w:rsidRPr="00666914" w:rsidRDefault="00CB16AA" w:rsidP="00985E7A">
            <w:pPr>
              <w:tabs>
                <w:tab w:val="left" w:pos="6237"/>
              </w:tabs>
              <w:jc w:val="center"/>
              <w:rPr>
                <w:sz w:val="20"/>
                <w:szCs w:val="20"/>
              </w:rPr>
            </w:pPr>
            <w:r w:rsidRPr="00666914">
              <w:rPr>
                <w:rFonts w:eastAsia="Times New Roman" w:cs="Calibri"/>
                <w:color w:val="000000"/>
                <w:sz w:val="20"/>
                <w:szCs w:val="20"/>
                <w:lang w:eastAsia="sk-SK"/>
              </w:rPr>
              <w:t>-</w:t>
            </w:r>
          </w:p>
        </w:tc>
        <w:tc>
          <w:tcPr>
            <w:tcW w:w="373" w:type="pct"/>
            <w:tcBorders>
              <w:top w:val="single" w:sz="4" w:space="0" w:color="auto"/>
            </w:tcBorders>
            <w:shd w:val="clear" w:color="auto" w:fill="FFC000"/>
            <w:vAlign w:val="center"/>
          </w:tcPr>
          <w:p w14:paraId="4B1BC990" w14:textId="77777777" w:rsidR="00CB16AA" w:rsidRPr="00666914" w:rsidRDefault="00CB16AA" w:rsidP="00985E7A">
            <w:pPr>
              <w:tabs>
                <w:tab w:val="left" w:pos="6237"/>
              </w:tabs>
              <w:rPr>
                <w:sz w:val="20"/>
                <w:szCs w:val="20"/>
              </w:rPr>
            </w:pPr>
          </w:p>
        </w:tc>
        <w:tc>
          <w:tcPr>
            <w:tcW w:w="373" w:type="pct"/>
            <w:tcBorders>
              <w:top w:val="single" w:sz="4" w:space="0" w:color="auto"/>
            </w:tcBorders>
            <w:shd w:val="clear" w:color="auto" w:fill="FF0000"/>
            <w:vAlign w:val="center"/>
          </w:tcPr>
          <w:p w14:paraId="04107B2C" w14:textId="77777777" w:rsidR="00CB16AA" w:rsidRPr="00666914" w:rsidRDefault="00CB16AA" w:rsidP="00985E7A">
            <w:pPr>
              <w:tabs>
                <w:tab w:val="left" w:pos="6237"/>
              </w:tabs>
              <w:rPr>
                <w:sz w:val="20"/>
                <w:szCs w:val="20"/>
              </w:rPr>
            </w:pPr>
          </w:p>
        </w:tc>
        <w:tc>
          <w:tcPr>
            <w:tcW w:w="373" w:type="pct"/>
            <w:tcBorders>
              <w:top w:val="single" w:sz="4" w:space="0" w:color="auto"/>
            </w:tcBorders>
            <w:shd w:val="clear" w:color="auto" w:fill="FF0000"/>
            <w:vAlign w:val="center"/>
          </w:tcPr>
          <w:p w14:paraId="07520301" w14:textId="77777777" w:rsidR="00CB16AA" w:rsidRPr="00666914" w:rsidRDefault="00CB16AA" w:rsidP="00985E7A">
            <w:pPr>
              <w:tabs>
                <w:tab w:val="left" w:pos="6237"/>
              </w:tabs>
              <w:rPr>
                <w:sz w:val="20"/>
                <w:szCs w:val="20"/>
              </w:rPr>
            </w:pPr>
          </w:p>
        </w:tc>
        <w:tc>
          <w:tcPr>
            <w:tcW w:w="373" w:type="pct"/>
            <w:tcBorders>
              <w:top w:val="single" w:sz="4" w:space="0" w:color="auto"/>
            </w:tcBorders>
            <w:shd w:val="clear" w:color="auto" w:fill="FFC000"/>
            <w:vAlign w:val="center"/>
          </w:tcPr>
          <w:p w14:paraId="704A03CB" w14:textId="77777777" w:rsidR="00CB16AA" w:rsidRPr="00666914" w:rsidRDefault="00CB16AA" w:rsidP="00985E7A">
            <w:pPr>
              <w:tabs>
                <w:tab w:val="left" w:pos="6237"/>
              </w:tabs>
              <w:rPr>
                <w:sz w:val="20"/>
                <w:szCs w:val="20"/>
              </w:rPr>
            </w:pPr>
          </w:p>
        </w:tc>
      </w:tr>
      <w:tr w:rsidR="00CB16AA" w:rsidRPr="00666914" w14:paraId="5AA6D2D7" w14:textId="77777777" w:rsidTr="00254A5B">
        <w:tc>
          <w:tcPr>
            <w:tcW w:w="219" w:type="pct"/>
            <w:vAlign w:val="center"/>
          </w:tcPr>
          <w:p w14:paraId="75B10718"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10</w:t>
            </w:r>
          </w:p>
        </w:tc>
        <w:tc>
          <w:tcPr>
            <w:tcW w:w="1358" w:type="pct"/>
            <w:vAlign w:val="center"/>
          </w:tcPr>
          <w:p w14:paraId="236A0AF9" w14:textId="77777777" w:rsidR="00CB16AA" w:rsidRPr="00666914" w:rsidRDefault="00CB16AA" w:rsidP="00985E7A">
            <w:pPr>
              <w:tabs>
                <w:tab w:val="left" w:pos="6237"/>
              </w:tabs>
              <w:rPr>
                <w:rFonts w:eastAsia="Times New Roman" w:cs="Calibri"/>
                <w:color w:val="000000"/>
                <w:sz w:val="20"/>
                <w:szCs w:val="20"/>
                <w:lang w:eastAsia="sk-SK"/>
              </w:rPr>
            </w:pPr>
            <w:r w:rsidRPr="00666914">
              <w:rPr>
                <w:rFonts w:eastAsia="Times New Roman" w:cs="Calibri"/>
                <w:color w:val="000000"/>
                <w:sz w:val="20"/>
                <w:szCs w:val="20"/>
                <w:lang w:eastAsia="sk-SK"/>
              </w:rPr>
              <w:t>Zverejňovať v ročnom intervale počet vybraných kľúčových výkonov jednotlivých činností opráv a vybraných kľúčových výkonov údržby ciest I. triedy a ich náklady v členení podľa IVSC (v užívateľsky vhodnej a spracovateľnej forme – napr. vo formáte .xls)</w:t>
            </w:r>
          </w:p>
        </w:tc>
        <w:tc>
          <w:tcPr>
            <w:tcW w:w="756" w:type="pct"/>
            <w:vAlign w:val="center"/>
          </w:tcPr>
          <w:p w14:paraId="3633B19F"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MDV SR / MF SR </w:t>
            </w:r>
          </w:p>
          <w:p w14:paraId="7831FF51"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SCDaPK </w:t>
            </w:r>
          </w:p>
        </w:tc>
        <w:tc>
          <w:tcPr>
            <w:tcW w:w="587" w:type="pct"/>
            <w:shd w:val="clear" w:color="auto" w:fill="auto"/>
            <w:vAlign w:val="center"/>
          </w:tcPr>
          <w:p w14:paraId="311CCF79"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06/2017 / každoročne</w:t>
            </w:r>
          </w:p>
        </w:tc>
        <w:tc>
          <w:tcPr>
            <w:tcW w:w="588" w:type="pct"/>
            <w:vAlign w:val="center"/>
          </w:tcPr>
          <w:p w14:paraId="395010FA" w14:textId="77777777" w:rsidR="00CB16AA" w:rsidRPr="00666914" w:rsidRDefault="00CB16AA" w:rsidP="00985E7A">
            <w:pPr>
              <w:tabs>
                <w:tab w:val="left" w:pos="6237"/>
              </w:tabs>
              <w:jc w:val="center"/>
              <w:rPr>
                <w:sz w:val="20"/>
                <w:szCs w:val="20"/>
              </w:rPr>
            </w:pPr>
            <w:r w:rsidRPr="00666914">
              <w:rPr>
                <w:rFonts w:eastAsia="Times New Roman"/>
                <w:color w:val="000000"/>
                <w:sz w:val="20"/>
                <w:szCs w:val="20"/>
                <w:lang w:eastAsia="sk-SK"/>
              </w:rPr>
              <w:t>-</w:t>
            </w:r>
          </w:p>
        </w:tc>
        <w:tc>
          <w:tcPr>
            <w:tcW w:w="373" w:type="pct"/>
            <w:shd w:val="clear" w:color="auto" w:fill="A6A6A6" w:themeFill="background1" w:themeFillShade="A6"/>
            <w:vAlign w:val="center"/>
          </w:tcPr>
          <w:p w14:paraId="4FA80D41" w14:textId="77777777" w:rsidR="00CB16AA" w:rsidRPr="00666914" w:rsidRDefault="00CB16AA" w:rsidP="00985E7A">
            <w:pPr>
              <w:tabs>
                <w:tab w:val="left" w:pos="6237"/>
              </w:tabs>
              <w:rPr>
                <w:sz w:val="20"/>
                <w:szCs w:val="20"/>
              </w:rPr>
            </w:pPr>
          </w:p>
        </w:tc>
        <w:tc>
          <w:tcPr>
            <w:tcW w:w="373" w:type="pct"/>
            <w:shd w:val="clear" w:color="auto" w:fill="92D050"/>
            <w:vAlign w:val="center"/>
          </w:tcPr>
          <w:p w14:paraId="7D11468F" w14:textId="77777777" w:rsidR="00CB16AA" w:rsidRPr="00666914" w:rsidRDefault="00CB16AA" w:rsidP="00985E7A">
            <w:pPr>
              <w:tabs>
                <w:tab w:val="left" w:pos="6237"/>
              </w:tabs>
              <w:rPr>
                <w:sz w:val="20"/>
                <w:szCs w:val="20"/>
              </w:rPr>
            </w:pPr>
          </w:p>
        </w:tc>
        <w:tc>
          <w:tcPr>
            <w:tcW w:w="373" w:type="pct"/>
            <w:shd w:val="clear" w:color="auto" w:fill="AEAAAA" w:themeFill="background2" w:themeFillShade="BF"/>
            <w:vAlign w:val="center"/>
          </w:tcPr>
          <w:p w14:paraId="1ACCD4E3" w14:textId="77777777" w:rsidR="00CB16AA" w:rsidRPr="00666914" w:rsidRDefault="00CB16AA" w:rsidP="00985E7A">
            <w:pPr>
              <w:tabs>
                <w:tab w:val="left" w:pos="6237"/>
              </w:tabs>
              <w:rPr>
                <w:sz w:val="20"/>
                <w:szCs w:val="20"/>
              </w:rPr>
            </w:pPr>
          </w:p>
        </w:tc>
        <w:tc>
          <w:tcPr>
            <w:tcW w:w="373" w:type="pct"/>
            <w:shd w:val="clear" w:color="auto" w:fill="A6A6A6" w:themeFill="background1" w:themeFillShade="A6"/>
            <w:vAlign w:val="center"/>
          </w:tcPr>
          <w:p w14:paraId="3F0FC289" w14:textId="77777777" w:rsidR="00CB16AA" w:rsidRPr="00666914" w:rsidRDefault="00CB16AA" w:rsidP="00985E7A">
            <w:pPr>
              <w:tabs>
                <w:tab w:val="left" w:pos="6237"/>
              </w:tabs>
              <w:rPr>
                <w:sz w:val="20"/>
                <w:szCs w:val="20"/>
              </w:rPr>
            </w:pPr>
          </w:p>
        </w:tc>
      </w:tr>
      <w:tr w:rsidR="00CB16AA" w:rsidRPr="00666914" w14:paraId="775FFAC6" w14:textId="77777777" w:rsidTr="00254A5B">
        <w:tc>
          <w:tcPr>
            <w:tcW w:w="219" w:type="pct"/>
            <w:vAlign w:val="center"/>
          </w:tcPr>
          <w:p w14:paraId="4CF37079"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11</w:t>
            </w:r>
          </w:p>
        </w:tc>
        <w:tc>
          <w:tcPr>
            <w:tcW w:w="1358" w:type="pct"/>
            <w:vAlign w:val="center"/>
          </w:tcPr>
          <w:p w14:paraId="322EC127" w14:textId="77777777" w:rsidR="00CB16AA" w:rsidRPr="00666914" w:rsidRDefault="00CB16AA" w:rsidP="00985E7A">
            <w:pPr>
              <w:tabs>
                <w:tab w:val="left" w:pos="6237"/>
              </w:tabs>
              <w:rPr>
                <w:rFonts w:eastAsia="Times New Roman" w:cs="Calibri"/>
                <w:color w:val="000000"/>
                <w:sz w:val="20"/>
                <w:szCs w:val="20"/>
                <w:lang w:eastAsia="sk-SK"/>
              </w:rPr>
            </w:pPr>
            <w:r w:rsidRPr="00666914">
              <w:rPr>
                <w:rFonts w:eastAsia="Times New Roman" w:cs="Calibri"/>
                <w:color w:val="000000"/>
                <w:sz w:val="20"/>
                <w:szCs w:val="20"/>
                <w:lang w:eastAsia="sk-SK"/>
              </w:rPr>
              <w:t xml:space="preserve">Hľadať spôsoby zníženia jednotkových nákladov jednotlivých činností opráv a údržby diaľnic a rýchlostných </w:t>
            </w:r>
            <w:r w:rsidRPr="00666914">
              <w:rPr>
                <w:rFonts w:eastAsia="Times New Roman" w:cs="Calibri"/>
                <w:color w:val="000000"/>
                <w:sz w:val="20"/>
                <w:szCs w:val="20"/>
                <w:lang w:eastAsia="sk-SK"/>
              </w:rPr>
              <w:lastRenderedPageBreak/>
              <w:t>ciest realizovaných vlastnými kapacitami NDS. Pravidelne (minimálne na ročnej báze) zverejňovať počet vybraných kľúčových výkonov jednotlivých činností opráv a vybraných kľúčových výkonov údržby diaľnic a rýchlostných ciest a ich náklady v členení podľa stredísk údržby (v užívateľsky vhodnej a spracovateľnej forme – napr. vo formáte .xls)</w:t>
            </w:r>
          </w:p>
        </w:tc>
        <w:tc>
          <w:tcPr>
            <w:tcW w:w="756" w:type="pct"/>
            <w:vAlign w:val="center"/>
          </w:tcPr>
          <w:p w14:paraId="46B4BDEC"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lastRenderedPageBreak/>
              <w:t xml:space="preserve">MDV SR / MF SR </w:t>
            </w:r>
          </w:p>
          <w:p w14:paraId="1EE6EEE3"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lastRenderedPageBreak/>
              <w:t xml:space="preserve">SCDaPK </w:t>
            </w:r>
          </w:p>
        </w:tc>
        <w:tc>
          <w:tcPr>
            <w:tcW w:w="587" w:type="pct"/>
            <w:shd w:val="clear" w:color="auto" w:fill="auto"/>
            <w:vAlign w:val="center"/>
          </w:tcPr>
          <w:p w14:paraId="1C674060"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lastRenderedPageBreak/>
              <w:t>06/2017 / každoročne</w:t>
            </w:r>
          </w:p>
        </w:tc>
        <w:tc>
          <w:tcPr>
            <w:tcW w:w="588" w:type="pct"/>
            <w:vAlign w:val="center"/>
          </w:tcPr>
          <w:p w14:paraId="401D6869" w14:textId="77777777" w:rsidR="00CB16AA" w:rsidRPr="00666914" w:rsidRDefault="00CB16AA" w:rsidP="00985E7A">
            <w:pPr>
              <w:tabs>
                <w:tab w:val="left" w:pos="6237"/>
              </w:tabs>
              <w:jc w:val="center"/>
              <w:rPr>
                <w:sz w:val="20"/>
                <w:szCs w:val="20"/>
              </w:rPr>
            </w:pPr>
            <w:r w:rsidRPr="00666914">
              <w:rPr>
                <w:sz w:val="20"/>
                <w:szCs w:val="20"/>
              </w:rPr>
              <w:t>-</w:t>
            </w:r>
          </w:p>
        </w:tc>
        <w:tc>
          <w:tcPr>
            <w:tcW w:w="373" w:type="pct"/>
            <w:shd w:val="clear" w:color="auto" w:fill="92D050"/>
            <w:vAlign w:val="center"/>
          </w:tcPr>
          <w:p w14:paraId="433B4D33" w14:textId="77777777" w:rsidR="00CB16AA" w:rsidRPr="00666914" w:rsidRDefault="00CB16AA" w:rsidP="00985E7A">
            <w:pPr>
              <w:tabs>
                <w:tab w:val="left" w:pos="6237"/>
              </w:tabs>
              <w:rPr>
                <w:sz w:val="20"/>
                <w:szCs w:val="20"/>
              </w:rPr>
            </w:pPr>
          </w:p>
        </w:tc>
        <w:tc>
          <w:tcPr>
            <w:tcW w:w="373" w:type="pct"/>
            <w:shd w:val="clear" w:color="auto" w:fill="FFC000"/>
            <w:vAlign w:val="center"/>
          </w:tcPr>
          <w:p w14:paraId="550D7B30" w14:textId="77777777" w:rsidR="00CB16AA" w:rsidRPr="00666914" w:rsidRDefault="00CB16AA" w:rsidP="00985E7A">
            <w:pPr>
              <w:tabs>
                <w:tab w:val="left" w:pos="6237"/>
              </w:tabs>
              <w:rPr>
                <w:sz w:val="20"/>
                <w:szCs w:val="20"/>
              </w:rPr>
            </w:pPr>
          </w:p>
        </w:tc>
        <w:tc>
          <w:tcPr>
            <w:tcW w:w="373" w:type="pct"/>
            <w:shd w:val="clear" w:color="auto" w:fill="AEAAAA" w:themeFill="background2" w:themeFillShade="BF"/>
            <w:vAlign w:val="center"/>
          </w:tcPr>
          <w:p w14:paraId="013BBC3B" w14:textId="77777777" w:rsidR="00CB16AA" w:rsidRPr="00666914" w:rsidRDefault="00CB16AA" w:rsidP="00985E7A">
            <w:pPr>
              <w:tabs>
                <w:tab w:val="left" w:pos="6237"/>
              </w:tabs>
              <w:rPr>
                <w:sz w:val="20"/>
                <w:szCs w:val="20"/>
              </w:rPr>
            </w:pPr>
          </w:p>
        </w:tc>
        <w:tc>
          <w:tcPr>
            <w:tcW w:w="373" w:type="pct"/>
            <w:shd w:val="clear" w:color="auto" w:fill="FFC000"/>
            <w:vAlign w:val="center"/>
          </w:tcPr>
          <w:p w14:paraId="6BB0C41A" w14:textId="77777777" w:rsidR="00CB16AA" w:rsidRPr="00666914" w:rsidRDefault="00CB16AA" w:rsidP="00985E7A">
            <w:pPr>
              <w:tabs>
                <w:tab w:val="left" w:pos="6237"/>
              </w:tabs>
              <w:rPr>
                <w:sz w:val="20"/>
                <w:szCs w:val="20"/>
              </w:rPr>
            </w:pPr>
          </w:p>
        </w:tc>
      </w:tr>
      <w:tr w:rsidR="00CB16AA" w:rsidRPr="00666914" w14:paraId="45744C0E" w14:textId="77777777" w:rsidTr="00254A5B">
        <w:tc>
          <w:tcPr>
            <w:tcW w:w="219" w:type="pct"/>
            <w:vAlign w:val="center"/>
          </w:tcPr>
          <w:p w14:paraId="382487E0"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12</w:t>
            </w:r>
          </w:p>
        </w:tc>
        <w:tc>
          <w:tcPr>
            <w:tcW w:w="1358" w:type="pct"/>
            <w:vAlign w:val="center"/>
          </w:tcPr>
          <w:p w14:paraId="6C7D5F49"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Prioritné projekty diaľnic a rýchlostných ciest pred verejným obstarávaním na dodávateľa stavebných prác budú hodnotené aj zo strany MF SR</w:t>
            </w:r>
          </w:p>
        </w:tc>
        <w:tc>
          <w:tcPr>
            <w:tcW w:w="756" w:type="pct"/>
            <w:vAlign w:val="center"/>
          </w:tcPr>
          <w:p w14:paraId="20BD553A"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MF SR </w:t>
            </w:r>
          </w:p>
          <w:p w14:paraId="1A7B6684"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SCDaPK </w:t>
            </w:r>
          </w:p>
        </w:tc>
        <w:tc>
          <w:tcPr>
            <w:tcW w:w="587" w:type="pct"/>
            <w:shd w:val="clear" w:color="auto" w:fill="auto"/>
            <w:vAlign w:val="center"/>
          </w:tcPr>
          <w:p w14:paraId="0B18A4A2"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priebežne</w:t>
            </w:r>
          </w:p>
        </w:tc>
        <w:tc>
          <w:tcPr>
            <w:tcW w:w="588" w:type="pct"/>
            <w:vAlign w:val="center"/>
          </w:tcPr>
          <w:p w14:paraId="4B7083B0" w14:textId="77777777" w:rsidR="00CB16AA" w:rsidRPr="00666914" w:rsidRDefault="00CB16AA" w:rsidP="00985E7A">
            <w:pPr>
              <w:tabs>
                <w:tab w:val="left" w:pos="6237"/>
              </w:tabs>
              <w:jc w:val="center"/>
              <w:rPr>
                <w:sz w:val="20"/>
                <w:szCs w:val="20"/>
              </w:rPr>
            </w:pPr>
            <w:r w:rsidRPr="00666914">
              <w:rPr>
                <w:rFonts w:eastAsia="Times New Roman" w:cs="Calibri"/>
                <w:color w:val="000000"/>
                <w:sz w:val="20"/>
                <w:szCs w:val="20"/>
                <w:lang w:eastAsia="sk-SK"/>
              </w:rPr>
              <w:t>-</w:t>
            </w:r>
          </w:p>
        </w:tc>
        <w:tc>
          <w:tcPr>
            <w:tcW w:w="373" w:type="pct"/>
            <w:shd w:val="clear" w:color="auto" w:fill="92D050"/>
            <w:vAlign w:val="center"/>
          </w:tcPr>
          <w:p w14:paraId="3678D08D" w14:textId="77777777" w:rsidR="00CB16AA" w:rsidRPr="00666914" w:rsidRDefault="00CB16AA" w:rsidP="00985E7A">
            <w:pPr>
              <w:tabs>
                <w:tab w:val="left" w:pos="6237"/>
              </w:tabs>
              <w:rPr>
                <w:sz w:val="20"/>
                <w:szCs w:val="20"/>
              </w:rPr>
            </w:pPr>
          </w:p>
        </w:tc>
        <w:tc>
          <w:tcPr>
            <w:tcW w:w="373" w:type="pct"/>
            <w:shd w:val="clear" w:color="auto" w:fill="92D050"/>
            <w:vAlign w:val="center"/>
          </w:tcPr>
          <w:p w14:paraId="53E5945A" w14:textId="77777777" w:rsidR="00CB16AA" w:rsidRPr="00666914" w:rsidRDefault="00CB16AA" w:rsidP="00985E7A">
            <w:pPr>
              <w:tabs>
                <w:tab w:val="left" w:pos="6237"/>
              </w:tabs>
              <w:rPr>
                <w:sz w:val="20"/>
                <w:szCs w:val="20"/>
              </w:rPr>
            </w:pPr>
          </w:p>
        </w:tc>
        <w:tc>
          <w:tcPr>
            <w:tcW w:w="373" w:type="pct"/>
            <w:shd w:val="clear" w:color="auto" w:fill="AEAAAA" w:themeFill="background2" w:themeFillShade="BF"/>
            <w:vAlign w:val="center"/>
          </w:tcPr>
          <w:p w14:paraId="29792673" w14:textId="77777777" w:rsidR="00CB16AA" w:rsidRPr="00666914" w:rsidRDefault="00CB16AA" w:rsidP="00985E7A">
            <w:pPr>
              <w:tabs>
                <w:tab w:val="left" w:pos="6237"/>
              </w:tabs>
              <w:rPr>
                <w:sz w:val="20"/>
                <w:szCs w:val="20"/>
              </w:rPr>
            </w:pPr>
          </w:p>
        </w:tc>
        <w:tc>
          <w:tcPr>
            <w:tcW w:w="373" w:type="pct"/>
            <w:shd w:val="clear" w:color="auto" w:fill="FF0000"/>
            <w:vAlign w:val="center"/>
          </w:tcPr>
          <w:p w14:paraId="27C4D6E1" w14:textId="77777777" w:rsidR="00CB16AA" w:rsidRPr="00666914" w:rsidRDefault="00CB16AA" w:rsidP="00985E7A">
            <w:pPr>
              <w:tabs>
                <w:tab w:val="left" w:pos="6237"/>
              </w:tabs>
              <w:rPr>
                <w:sz w:val="20"/>
                <w:szCs w:val="20"/>
              </w:rPr>
            </w:pPr>
          </w:p>
        </w:tc>
      </w:tr>
      <w:tr w:rsidR="00CB16AA" w:rsidRPr="00666914" w14:paraId="33B51092" w14:textId="77777777" w:rsidTr="00254A5B">
        <w:tc>
          <w:tcPr>
            <w:tcW w:w="219" w:type="pct"/>
            <w:vAlign w:val="center"/>
          </w:tcPr>
          <w:p w14:paraId="19969885"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13</w:t>
            </w:r>
          </w:p>
        </w:tc>
        <w:tc>
          <w:tcPr>
            <w:tcW w:w="1358" w:type="pct"/>
            <w:vAlign w:val="center"/>
          </w:tcPr>
          <w:p w14:paraId="4165DB37"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Všetky budúce investičné projekty, ktorých predpokladaný investičný náklad je vyšší ako 40 mil. eur, budú vo fáze prípravy štúdie realizovateľnosti (ak sa spracováva) podrobené analýze nákladov a prínosov aj zo strany MF SR</w:t>
            </w:r>
          </w:p>
        </w:tc>
        <w:tc>
          <w:tcPr>
            <w:tcW w:w="756" w:type="pct"/>
            <w:vAlign w:val="center"/>
          </w:tcPr>
          <w:p w14:paraId="7B97AFF5"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MF SR </w:t>
            </w:r>
          </w:p>
          <w:p w14:paraId="05464830"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SCDaPK </w:t>
            </w:r>
          </w:p>
        </w:tc>
        <w:tc>
          <w:tcPr>
            <w:tcW w:w="587" w:type="pct"/>
            <w:shd w:val="clear" w:color="auto" w:fill="auto"/>
            <w:vAlign w:val="center"/>
          </w:tcPr>
          <w:p w14:paraId="744C086A"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priebežne</w:t>
            </w:r>
          </w:p>
        </w:tc>
        <w:tc>
          <w:tcPr>
            <w:tcW w:w="588" w:type="pct"/>
            <w:vAlign w:val="center"/>
          </w:tcPr>
          <w:p w14:paraId="23EBC671" w14:textId="77777777" w:rsidR="00CB16AA" w:rsidRPr="00666914" w:rsidRDefault="00CB16AA" w:rsidP="00985E7A">
            <w:pPr>
              <w:tabs>
                <w:tab w:val="left" w:pos="6237"/>
              </w:tabs>
              <w:jc w:val="center"/>
              <w:rPr>
                <w:sz w:val="20"/>
                <w:szCs w:val="20"/>
              </w:rPr>
            </w:pPr>
            <w:r w:rsidRPr="00666914">
              <w:rPr>
                <w:rFonts w:eastAsia="Times New Roman" w:cs="Calibri"/>
                <w:color w:val="000000"/>
                <w:sz w:val="20"/>
                <w:szCs w:val="20"/>
                <w:lang w:eastAsia="sk-SK"/>
              </w:rPr>
              <w:t>-</w:t>
            </w:r>
          </w:p>
        </w:tc>
        <w:tc>
          <w:tcPr>
            <w:tcW w:w="373" w:type="pct"/>
            <w:shd w:val="clear" w:color="auto" w:fill="A6A6A6" w:themeFill="background1" w:themeFillShade="A6"/>
            <w:vAlign w:val="center"/>
          </w:tcPr>
          <w:p w14:paraId="2728A150" w14:textId="77777777" w:rsidR="00CB16AA" w:rsidRPr="00666914" w:rsidRDefault="00CB16AA" w:rsidP="00985E7A">
            <w:pPr>
              <w:tabs>
                <w:tab w:val="left" w:pos="6237"/>
              </w:tabs>
              <w:rPr>
                <w:sz w:val="20"/>
                <w:szCs w:val="20"/>
              </w:rPr>
            </w:pPr>
          </w:p>
        </w:tc>
        <w:tc>
          <w:tcPr>
            <w:tcW w:w="373" w:type="pct"/>
            <w:shd w:val="clear" w:color="auto" w:fill="92D050"/>
            <w:vAlign w:val="center"/>
          </w:tcPr>
          <w:p w14:paraId="5CC13FBF" w14:textId="77777777" w:rsidR="00CB16AA" w:rsidRPr="00666914" w:rsidRDefault="00CB16AA" w:rsidP="00985E7A">
            <w:pPr>
              <w:tabs>
                <w:tab w:val="left" w:pos="6237"/>
              </w:tabs>
              <w:rPr>
                <w:sz w:val="20"/>
                <w:szCs w:val="20"/>
              </w:rPr>
            </w:pPr>
          </w:p>
        </w:tc>
        <w:tc>
          <w:tcPr>
            <w:tcW w:w="373" w:type="pct"/>
            <w:shd w:val="clear" w:color="auto" w:fill="AEAAAA" w:themeFill="background2" w:themeFillShade="BF"/>
            <w:vAlign w:val="center"/>
          </w:tcPr>
          <w:p w14:paraId="7CB75960" w14:textId="77777777" w:rsidR="00CB16AA" w:rsidRPr="00666914" w:rsidRDefault="00CB16AA" w:rsidP="00985E7A">
            <w:pPr>
              <w:tabs>
                <w:tab w:val="left" w:pos="6237"/>
              </w:tabs>
              <w:rPr>
                <w:sz w:val="20"/>
                <w:szCs w:val="20"/>
              </w:rPr>
            </w:pPr>
          </w:p>
        </w:tc>
        <w:tc>
          <w:tcPr>
            <w:tcW w:w="373" w:type="pct"/>
            <w:shd w:val="clear" w:color="auto" w:fill="92D050"/>
            <w:vAlign w:val="center"/>
          </w:tcPr>
          <w:p w14:paraId="20ECB3A9" w14:textId="77777777" w:rsidR="00CB16AA" w:rsidRPr="00666914" w:rsidRDefault="00CB16AA" w:rsidP="00985E7A">
            <w:pPr>
              <w:tabs>
                <w:tab w:val="left" w:pos="6237"/>
              </w:tabs>
              <w:rPr>
                <w:sz w:val="20"/>
                <w:szCs w:val="20"/>
              </w:rPr>
            </w:pPr>
          </w:p>
        </w:tc>
      </w:tr>
      <w:tr w:rsidR="00CB16AA" w:rsidRPr="00666914" w14:paraId="01425F37" w14:textId="77777777" w:rsidTr="00254A5B">
        <w:tc>
          <w:tcPr>
            <w:tcW w:w="219" w:type="pct"/>
            <w:vAlign w:val="center"/>
          </w:tcPr>
          <w:p w14:paraId="44497107"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14</w:t>
            </w:r>
          </w:p>
        </w:tc>
        <w:tc>
          <w:tcPr>
            <w:tcW w:w="1358" w:type="pct"/>
            <w:vAlign w:val="center"/>
          </w:tcPr>
          <w:p w14:paraId="5081F807"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Pripraviť pravidlá pre schvaľovanie PPP projektov a koncesií s cieľom zabezpečiť dlhodobú udržateľnosť verejných financií a zároveň definovať priestor pre realizáciu PPP projektov a koncesií prinášajúcich hodnotu za peniaze</w:t>
            </w:r>
          </w:p>
          <w:p w14:paraId="25150042" w14:textId="77777777" w:rsidR="00CB16AA" w:rsidRPr="00666914" w:rsidRDefault="00CB16AA" w:rsidP="00985E7A">
            <w:pPr>
              <w:rPr>
                <w:sz w:val="20"/>
                <w:szCs w:val="20"/>
              </w:rPr>
            </w:pPr>
          </w:p>
        </w:tc>
        <w:tc>
          <w:tcPr>
            <w:tcW w:w="756" w:type="pct"/>
            <w:vAlign w:val="center"/>
          </w:tcPr>
          <w:p w14:paraId="31B7A40B"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MF SR </w:t>
            </w:r>
          </w:p>
          <w:p w14:paraId="6D1CF915"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SPPP </w:t>
            </w:r>
          </w:p>
        </w:tc>
        <w:tc>
          <w:tcPr>
            <w:tcW w:w="587" w:type="pct"/>
            <w:shd w:val="clear" w:color="auto" w:fill="auto"/>
            <w:vAlign w:val="center"/>
          </w:tcPr>
          <w:p w14:paraId="0B8C9896" w14:textId="77777777" w:rsidR="00CB16AA" w:rsidRPr="00666914" w:rsidRDefault="00CB16AA" w:rsidP="00985E7A">
            <w:pPr>
              <w:tabs>
                <w:tab w:val="left" w:pos="6237"/>
              </w:tabs>
              <w:rPr>
                <w:sz w:val="20"/>
                <w:szCs w:val="20"/>
              </w:rPr>
            </w:pPr>
          </w:p>
        </w:tc>
        <w:tc>
          <w:tcPr>
            <w:tcW w:w="588" w:type="pct"/>
            <w:vAlign w:val="center"/>
          </w:tcPr>
          <w:p w14:paraId="2BC67302" w14:textId="77777777" w:rsidR="00CB16AA" w:rsidRPr="00666914" w:rsidRDefault="00CB16AA" w:rsidP="00985E7A">
            <w:pPr>
              <w:tabs>
                <w:tab w:val="left" w:pos="6237"/>
              </w:tabs>
              <w:jc w:val="center"/>
              <w:rPr>
                <w:sz w:val="20"/>
                <w:szCs w:val="20"/>
              </w:rPr>
            </w:pPr>
            <w:r w:rsidRPr="00666914">
              <w:rPr>
                <w:rFonts w:eastAsia="Times New Roman"/>
                <w:color w:val="000000"/>
                <w:sz w:val="20"/>
                <w:szCs w:val="20"/>
                <w:lang w:eastAsia="sk-SK"/>
              </w:rPr>
              <w:t>priebežne</w:t>
            </w:r>
          </w:p>
        </w:tc>
        <w:tc>
          <w:tcPr>
            <w:tcW w:w="373" w:type="pct"/>
            <w:shd w:val="clear" w:color="auto" w:fill="FF0000"/>
            <w:vAlign w:val="center"/>
          </w:tcPr>
          <w:p w14:paraId="7736D643" w14:textId="77777777" w:rsidR="00CB16AA" w:rsidRPr="00666914" w:rsidRDefault="00CB16AA" w:rsidP="00985E7A">
            <w:pPr>
              <w:tabs>
                <w:tab w:val="left" w:pos="6237"/>
              </w:tabs>
              <w:rPr>
                <w:sz w:val="20"/>
                <w:szCs w:val="20"/>
              </w:rPr>
            </w:pPr>
          </w:p>
        </w:tc>
        <w:tc>
          <w:tcPr>
            <w:tcW w:w="373" w:type="pct"/>
            <w:shd w:val="clear" w:color="auto" w:fill="FF0000"/>
            <w:vAlign w:val="center"/>
          </w:tcPr>
          <w:p w14:paraId="0DC6AD92" w14:textId="77777777" w:rsidR="00CB16AA" w:rsidRPr="00666914" w:rsidRDefault="00CB16AA" w:rsidP="00985E7A">
            <w:pPr>
              <w:tabs>
                <w:tab w:val="left" w:pos="6237"/>
              </w:tabs>
              <w:rPr>
                <w:sz w:val="20"/>
                <w:szCs w:val="20"/>
              </w:rPr>
            </w:pPr>
          </w:p>
        </w:tc>
        <w:tc>
          <w:tcPr>
            <w:tcW w:w="373" w:type="pct"/>
            <w:shd w:val="clear" w:color="auto" w:fill="FF0000"/>
            <w:vAlign w:val="center"/>
          </w:tcPr>
          <w:p w14:paraId="19FD7CCE" w14:textId="77777777" w:rsidR="00CB16AA" w:rsidRPr="00666914" w:rsidRDefault="00CB16AA" w:rsidP="00985E7A">
            <w:pPr>
              <w:tabs>
                <w:tab w:val="left" w:pos="6237"/>
              </w:tabs>
              <w:rPr>
                <w:sz w:val="20"/>
                <w:szCs w:val="20"/>
              </w:rPr>
            </w:pPr>
          </w:p>
        </w:tc>
        <w:tc>
          <w:tcPr>
            <w:tcW w:w="373" w:type="pct"/>
            <w:shd w:val="clear" w:color="auto" w:fill="FF0000"/>
            <w:vAlign w:val="center"/>
          </w:tcPr>
          <w:p w14:paraId="2CA9983E" w14:textId="77777777" w:rsidR="00CB16AA" w:rsidRPr="00666914" w:rsidRDefault="00CB16AA" w:rsidP="00985E7A">
            <w:pPr>
              <w:tabs>
                <w:tab w:val="left" w:pos="6237"/>
              </w:tabs>
              <w:rPr>
                <w:sz w:val="20"/>
                <w:szCs w:val="20"/>
              </w:rPr>
            </w:pPr>
          </w:p>
        </w:tc>
      </w:tr>
    </w:tbl>
    <w:p w14:paraId="6A4B688A" w14:textId="77777777" w:rsidR="00CB16AA" w:rsidRPr="00666914" w:rsidRDefault="00CB16AA" w:rsidP="00985E7A">
      <w:pPr>
        <w:contextualSpacing/>
        <w:rPr>
          <w:b/>
          <w:u w:val="single"/>
        </w:rPr>
      </w:pPr>
    </w:p>
    <w:p w14:paraId="69F672BD" w14:textId="77777777" w:rsidR="00CB16AA" w:rsidRPr="00666914" w:rsidRDefault="00CB16AA" w:rsidP="00312C28">
      <w:pPr>
        <w:numPr>
          <w:ilvl w:val="0"/>
          <w:numId w:val="34"/>
        </w:numPr>
        <w:spacing w:after="0"/>
        <w:contextualSpacing/>
        <w:rPr>
          <w:b/>
          <w:u w:val="single"/>
        </w:rPr>
      </w:pPr>
      <w:r w:rsidRPr="00666914">
        <w:rPr>
          <w:b/>
          <w:u w:val="single"/>
        </w:rPr>
        <w:t>Hľadať spôsoby zvýšenia výdavkov na opravy a údržbu ciest I. triedy tak, aby nedochádzalo k zvyšovaniu podielu ciest I. triedy v nevyhovujúcom a havarijnom stave</w:t>
      </w:r>
    </w:p>
    <w:p w14:paraId="2E9CA496" w14:textId="77777777" w:rsidR="00CB16AA" w:rsidRPr="00666914" w:rsidRDefault="00CB16AA" w:rsidP="00985E7A">
      <w:pPr>
        <w:pStyle w:val="Popis"/>
      </w:pPr>
      <w:bookmarkStart w:id="197" w:name="_Toc21522786"/>
    </w:p>
    <w:p w14:paraId="4A62E5DC" w14:textId="5EE93325" w:rsidR="00D103B7" w:rsidRPr="00666914" w:rsidRDefault="00CB16AA" w:rsidP="00985E7A">
      <w:r w:rsidRPr="00666914">
        <w:rPr>
          <w:b/>
        </w:rPr>
        <w:t>Podiel ciest I. triedy v nevyhovujúcom a havarijnom stave v SR sa dlhodobo drží nad úrovňou 40 %</w:t>
      </w:r>
      <w:r w:rsidRPr="00666914">
        <w:rPr>
          <w:rStyle w:val="Odkaznapoznmkupodiarou"/>
        </w:rPr>
        <w:footnoteReference w:id="80"/>
      </w:r>
      <w:r w:rsidRPr="00666914">
        <w:rPr>
          <w:b/>
        </w:rPr>
        <w:t>.</w:t>
      </w:r>
      <w:r w:rsidRPr="00666914">
        <w:t xml:space="preserve"> Podiel ciest I. triedy v havarijnom stave sa v roku 2019 medziročne mierne znížil a v súčasnosti dosahuje 7,9 %.</w:t>
      </w:r>
    </w:p>
    <w:p w14:paraId="335C0E39" w14:textId="77777777" w:rsidR="00D103B7" w:rsidRPr="00666914" w:rsidRDefault="00D103B7">
      <w:pPr>
        <w:spacing w:after="0"/>
        <w:jc w:val="left"/>
      </w:pPr>
      <w:r w:rsidRPr="00666914">
        <w:br w:type="page"/>
      </w:r>
    </w:p>
    <w:p w14:paraId="4F18FAD1" w14:textId="1AE08540" w:rsidR="00CB16AA" w:rsidRPr="00666914" w:rsidRDefault="00CB16AA" w:rsidP="00985E7A">
      <w:pPr>
        <w:pBdr>
          <w:bottom w:val="single" w:sz="4" w:space="1" w:color="auto"/>
        </w:pBdr>
        <w:spacing w:after="0"/>
        <w:rPr>
          <w:b/>
          <w:sz w:val="20"/>
          <w:szCs w:val="20"/>
        </w:rPr>
      </w:pPr>
      <w:bookmarkStart w:id="198" w:name="_Toc21106713"/>
      <w:bookmarkStart w:id="199" w:name="_Toc38390055"/>
      <w:r w:rsidRPr="00666914">
        <w:rPr>
          <w:b/>
          <w:sz w:val="20"/>
          <w:szCs w:val="20"/>
        </w:rPr>
        <w:lastRenderedPageBreak/>
        <w:t xml:space="preserve">Graf </w:t>
      </w:r>
      <w:r w:rsidRPr="00666914">
        <w:rPr>
          <w:b/>
          <w:sz w:val="20"/>
          <w:szCs w:val="20"/>
        </w:rPr>
        <w:fldChar w:fldCharType="begin"/>
      </w:r>
      <w:r w:rsidRPr="00666914">
        <w:rPr>
          <w:b/>
          <w:sz w:val="20"/>
          <w:szCs w:val="20"/>
        </w:rPr>
        <w:instrText xml:space="preserve"> SEQ Graf \* ARABIC \* MERGEFORMAT </w:instrText>
      </w:r>
      <w:r w:rsidRPr="00666914">
        <w:rPr>
          <w:b/>
          <w:sz w:val="20"/>
          <w:szCs w:val="20"/>
        </w:rPr>
        <w:fldChar w:fldCharType="separate"/>
      </w:r>
      <w:r w:rsidR="005A7304">
        <w:rPr>
          <w:b/>
          <w:noProof/>
          <w:sz w:val="20"/>
          <w:szCs w:val="20"/>
        </w:rPr>
        <w:t>11</w:t>
      </w:r>
      <w:r w:rsidRPr="00666914">
        <w:rPr>
          <w:b/>
          <w:sz w:val="20"/>
          <w:szCs w:val="20"/>
        </w:rPr>
        <w:fldChar w:fldCharType="end"/>
      </w:r>
      <w:r w:rsidRPr="00666914">
        <w:rPr>
          <w:b/>
          <w:sz w:val="20"/>
          <w:szCs w:val="20"/>
        </w:rPr>
        <w:t>: Cesty I. triedy</w:t>
      </w:r>
      <w:bookmarkEnd w:id="198"/>
      <w:r w:rsidRPr="00666914">
        <w:rPr>
          <w:b/>
          <w:sz w:val="20"/>
          <w:szCs w:val="20"/>
        </w:rPr>
        <w:t xml:space="preserve"> v havarijnom stave</w:t>
      </w:r>
      <w:bookmarkEnd w:id="199"/>
    </w:p>
    <w:p w14:paraId="0C5B1239" w14:textId="52123ED1" w:rsidR="00CB16AA" w:rsidRPr="00666914" w:rsidRDefault="005B6995" w:rsidP="005B6995">
      <w:pPr>
        <w:spacing w:after="0"/>
        <w:rPr>
          <w:b/>
          <w:u w:val="single"/>
        </w:rPr>
      </w:pPr>
      <w:r w:rsidRPr="00666914">
        <w:rPr>
          <w:noProof/>
          <w:lang w:eastAsia="sk-SK"/>
        </w:rPr>
        <w:drawing>
          <wp:inline distT="0" distB="0" distL="0" distR="0" wp14:anchorId="08520CA1" wp14:editId="040F364F">
            <wp:extent cx="5880296" cy="2876843"/>
            <wp:effectExtent l="0" t="0" r="6350" b="0"/>
            <wp:docPr id="60" name="Graf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CD6D692" w14:textId="77777777" w:rsidR="00CB16AA" w:rsidRPr="00666914" w:rsidRDefault="00CB16AA" w:rsidP="00254A5B">
      <w:pPr>
        <w:pBdr>
          <w:top w:val="single" w:sz="4" w:space="1" w:color="auto"/>
        </w:pBdr>
        <w:contextualSpacing/>
        <w:jc w:val="right"/>
        <w:rPr>
          <w:i/>
          <w:sz w:val="18"/>
        </w:rPr>
      </w:pPr>
      <w:r w:rsidRPr="00666914">
        <w:rPr>
          <w:i/>
          <w:sz w:val="18"/>
        </w:rPr>
        <w:t>Zdroj: SSC, Prehľad stavu ciest I., II. a III. triedy, 06/2019</w:t>
      </w:r>
    </w:p>
    <w:p w14:paraId="78F26BEA" w14:textId="77777777" w:rsidR="00CB16AA" w:rsidRPr="00666914" w:rsidRDefault="00CB16AA" w:rsidP="00985E7A"/>
    <w:p w14:paraId="0722D7CA" w14:textId="57815578" w:rsidR="00CB16AA" w:rsidRPr="00666914" w:rsidRDefault="00CB16AA" w:rsidP="00985E7A">
      <w:pPr>
        <w:rPr>
          <w:b/>
        </w:rPr>
      </w:pPr>
      <w:r w:rsidRPr="00666914">
        <w:t xml:space="preserve">Revízia výdavkov na dopravu v roku 2016 konštatovala, že výdavky SSC na údržbu a opravy sú nedostatočné.  Z toho dôvodu sa aj cesty, ktoré sú dnes v dobrom stave, dostávajú kvôli nedostatočnému financovaniu údržby a opráv do nevyhovujúceho stavu a následne vyžadujú drahú rekonštrukciu. </w:t>
      </w:r>
      <w:r w:rsidRPr="00666914">
        <w:rPr>
          <w:b/>
        </w:rPr>
        <w:t>Na základe údajov o stave ciest v rokoch 2016-201</w:t>
      </w:r>
      <w:r w:rsidR="00412259" w:rsidRPr="00666914">
        <w:rPr>
          <w:b/>
        </w:rPr>
        <w:t>9</w:t>
      </w:r>
      <w:r w:rsidRPr="00666914">
        <w:rPr>
          <w:b/>
        </w:rPr>
        <w:t xml:space="preserve"> (tabuľka </w:t>
      </w:r>
      <w:r w:rsidR="00EB2C64" w:rsidRPr="00666914">
        <w:rPr>
          <w:b/>
        </w:rPr>
        <w:t>28</w:t>
      </w:r>
      <w:r w:rsidRPr="00666914">
        <w:rPr>
          <w:b/>
        </w:rPr>
        <w:t xml:space="preserve">) </w:t>
      </w:r>
      <w:r w:rsidR="00352721" w:rsidRPr="00666914">
        <w:rPr>
          <w:b/>
        </w:rPr>
        <w:t xml:space="preserve">došlo </w:t>
      </w:r>
      <w:r w:rsidRPr="00666914">
        <w:rPr>
          <w:b/>
        </w:rPr>
        <w:t>k zníženiu podielu ciest I. triedy vo vyhovujúcom stave v IVSC BA a IVSC BB a následnému zvýšeniu podielu ciest v nevyhovujúcom a havarijnom stave.</w:t>
      </w:r>
      <w:r w:rsidRPr="00666914">
        <w:t xml:space="preserve"> Naopak, IVCS ZA a IVSC KE získali viac finančných prostriedkov na opravy ciest, čím došlo k výraznému prírastku podielu ciest vo veľmi dobrom stave. </w:t>
      </w:r>
      <w:r w:rsidRPr="00666914">
        <w:rPr>
          <w:b/>
        </w:rPr>
        <w:t xml:space="preserve">V roku 2019 bol rozpočet výdavkov určený na opravu a údržbu ciest I. triedy zo strany MDV SR pre SSC </w:t>
      </w:r>
      <w:r w:rsidR="0065225A" w:rsidRPr="00666914">
        <w:rPr>
          <w:b/>
        </w:rPr>
        <w:t xml:space="preserve">zvýšený </w:t>
      </w:r>
      <w:r w:rsidRPr="00666914">
        <w:rPr>
          <w:b/>
        </w:rPr>
        <w:t>o 1</w:t>
      </w:r>
      <w:r w:rsidR="00D67E6E" w:rsidRPr="00666914">
        <w:rPr>
          <w:b/>
        </w:rPr>
        <w:t>5 mil. eur na sumu 55 mil. eur.</w:t>
      </w:r>
    </w:p>
    <w:p w14:paraId="5EBD0386" w14:textId="43D329BC" w:rsidR="00CB16AA" w:rsidRPr="00666914" w:rsidRDefault="00CB16AA" w:rsidP="00985E7A">
      <w:pPr>
        <w:pStyle w:val="Popis"/>
        <w:pBdr>
          <w:bottom w:val="single" w:sz="4" w:space="1" w:color="auto"/>
        </w:pBdr>
        <w:rPr>
          <w:szCs w:val="20"/>
        </w:rPr>
      </w:pPr>
      <w:bookmarkStart w:id="200" w:name="_Toc21106890"/>
      <w:bookmarkStart w:id="201" w:name="_Toc38447689"/>
      <w:r w:rsidRPr="00666914">
        <w:t xml:space="preserve">Tabuľka </w:t>
      </w:r>
      <w:r w:rsidRPr="00666914">
        <w:rPr>
          <w:noProof/>
        </w:rPr>
        <w:fldChar w:fldCharType="begin"/>
      </w:r>
      <w:r w:rsidRPr="00666914">
        <w:rPr>
          <w:noProof/>
        </w:rPr>
        <w:instrText xml:space="preserve"> SEQ Tabuľka \* ARABIC </w:instrText>
      </w:r>
      <w:r w:rsidRPr="00666914">
        <w:rPr>
          <w:noProof/>
        </w:rPr>
        <w:fldChar w:fldCharType="separate"/>
      </w:r>
      <w:r w:rsidR="005A7304">
        <w:rPr>
          <w:noProof/>
        </w:rPr>
        <w:t>28</w:t>
      </w:r>
      <w:r w:rsidRPr="00666914">
        <w:rPr>
          <w:noProof/>
        </w:rPr>
        <w:fldChar w:fldCharType="end"/>
      </w:r>
      <w:r w:rsidRPr="00666914">
        <w:t>: Zmena s</w:t>
      </w:r>
      <w:r w:rsidRPr="00666914">
        <w:rPr>
          <w:szCs w:val="20"/>
        </w:rPr>
        <w:t>tavu ciest I. triedy podľa jednotlivých IVSC medzi rokmi 2016 a 2019</w:t>
      </w:r>
      <w:bookmarkEnd w:id="200"/>
      <w:r w:rsidRPr="00666914">
        <w:rPr>
          <w:szCs w:val="20"/>
        </w:rPr>
        <w:t xml:space="preserve"> (v %)</w:t>
      </w:r>
      <w:bookmarkEnd w:id="201"/>
    </w:p>
    <w:tbl>
      <w:tblPr>
        <w:tblW w:w="5000" w:type="pct"/>
        <w:tblCellMar>
          <w:left w:w="70" w:type="dxa"/>
          <w:right w:w="70" w:type="dxa"/>
        </w:tblCellMar>
        <w:tblLook w:val="04A0" w:firstRow="1" w:lastRow="0" w:firstColumn="1" w:lastColumn="0" w:noHBand="0" w:noVBand="1"/>
      </w:tblPr>
      <w:tblGrid>
        <w:gridCol w:w="1375"/>
        <w:gridCol w:w="1815"/>
        <w:gridCol w:w="927"/>
        <w:gridCol w:w="1666"/>
        <w:gridCol w:w="2018"/>
        <w:gridCol w:w="1413"/>
      </w:tblGrid>
      <w:tr w:rsidR="00CB16AA" w:rsidRPr="00666914" w14:paraId="46BA32B2" w14:textId="77777777" w:rsidTr="00985E7A">
        <w:trPr>
          <w:trHeight w:val="260"/>
        </w:trPr>
        <w:tc>
          <w:tcPr>
            <w:tcW w:w="746" w:type="pct"/>
            <w:vMerge w:val="restart"/>
            <w:tcBorders>
              <w:top w:val="nil"/>
              <w:left w:val="nil"/>
              <w:bottom w:val="single" w:sz="4" w:space="0" w:color="000000"/>
              <w:right w:val="nil"/>
            </w:tcBorders>
            <w:shd w:val="clear" w:color="auto" w:fill="auto"/>
            <w:noWrap/>
            <w:vAlign w:val="center"/>
            <w:hideMark/>
          </w:tcPr>
          <w:p w14:paraId="143D0CCA"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Správca</w:t>
            </w:r>
          </w:p>
        </w:tc>
        <w:tc>
          <w:tcPr>
            <w:tcW w:w="4254" w:type="pct"/>
            <w:gridSpan w:val="5"/>
            <w:tcBorders>
              <w:top w:val="nil"/>
              <w:left w:val="nil"/>
              <w:bottom w:val="single" w:sz="4" w:space="0" w:color="auto"/>
              <w:right w:val="nil"/>
            </w:tcBorders>
            <w:shd w:val="clear" w:color="auto" w:fill="auto"/>
            <w:noWrap/>
            <w:vAlign w:val="bottom"/>
            <w:hideMark/>
          </w:tcPr>
          <w:p w14:paraId="05206473"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Stav ciest (v %)</w:t>
            </w:r>
          </w:p>
        </w:tc>
      </w:tr>
      <w:tr w:rsidR="00CB16AA" w:rsidRPr="00666914" w14:paraId="5EF078BB" w14:textId="77777777" w:rsidTr="00985E7A">
        <w:trPr>
          <w:trHeight w:val="260"/>
        </w:trPr>
        <w:tc>
          <w:tcPr>
            <w:tcW w:w="746" w:type="pct"/>
            <w:vMerge/>
            <w:tcBorders>
              <w:top w:val="nil"/>
              <w:left w:val="nil"/>
              <w:bottom w:val="single" w:sz="4" w:space="0" w:color="auto"/>
              <w:right w:val="nil"/>
            </w:tcBorders>
            <w:vAlign w:val="center"/>
            <w:hideMark/>
          </w:tcPr>
          <w:p w14:paraId="7037A2DD" w14:textId="77777777" w:rsidR="00CB16AA" w:rsidRPr="00666914" w:rsidRDefault="00CB16AA" w:rsidP="00985E7A">
            <w:pPr>
              <w:spacing w:after="0"/>
              <w:rPr>
                <w:rFonts w:eastAsia="Times New Roman" w:cs="Calibri"/>
                <w:b/>
                <w:bCs/>
                <w:color w:val="000000"/>
                <w:sz w:val="20"/>
                <w:szCs w:val="20"/>
                <w:lang w:eastAsia="sk-SK"/>
              </w:rPr>
            </w:pPr>
          </w:p>
        </w:tc>
        <w:tc>
          <w:tcPr>
            <w:tcW w:w="985" w:type="pct"/>
            <w:tcBorders>
              <w:top w:val="nil"/>
              <w:left w:val="nil"/>
              <w:bottom w:val="single" w:sz="4" w:space="0" w:color="auto"/>
              <w:right w:val="nil"/>
            </w:tcBorders>
            <w:shd w:val="clear" w:color="auto" w:fill="auto"/>
            <w:noWrap/>
            <w:vAlign w:val="bottom"/>
            <w:hideMark/>
          </w:tcPr>
          <w:p w14:paraId="216FEE13"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Veľmi dobrý</w:t>
            </w:r>
          </w:p>
        </w:tc>
        <w:tc>
          <w:tcPr>
            <w:tcW w:w="503" w:type="pct"/>
            <w:tcBorders>
              <w:top w:val="nil"/>
              <w:left w:val="nil"/>
              <w:bottom w:val="single" w:sz="4" w:space="0" w:color="auto"/>
              <w:right w:val="nil"/>
            </w:tcBorders>
            <w:shd w:val="clear" w:color="auto" w:fill="auto"/>
            <w:noWrap/>
            <w:vAlign w:val="bottom"/>
            <w:hideMark/>
          </w:tcPr>
          <w:p w14:paraId="5E0D170F"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Dobrý</w:t>
            </w:r>
          </w:p>
        </w:tc>
        <w:tc>
          <w:tcPr>
            <w:tcW w:w="904" w:type="pct"/>
            <w:tcBorders>
              <w:top w:val="nil"/>
              <w:left w:val="nil"/>
              <w:bottom w:val="single" w:sz="4" w:space="0" w:color="auto"/>
              <w:right w:val="nil"/>
            </w:tcBorders>
            <w:shd w:val="clear" w:color="auto" w:fill="auto"/>
            <w:noWrap/>
            <w:vAlign w:val="bottom"/>
            <w:hideMark/>
          </w:tcPr>
          <w:p w14:paraId="373A7138"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Vyhovujúci</w:t>
            </w:r>
          </w:p>
        </w:tc>
        <w:tc>
          <w:tcPr>
            <w:tcW w:w="1095" w:type="pct"/>
            <w:tcBorders>
              <w:top w:val="nil"/>
              <w:left w:val="nil"/>
              <w:bottom w:val="single" w:sz="4" w:space="0" w:color="auto"/>
              <w:right w:val="nil"/>
            </w:tcBorders>
            <w:shd w:val="clear" w:color="auto" w:fill="auto"/>
            <w:noWrap/>
            <w:vAlign w:val="bottom"/>
            <w:hideMark/>
          </w:tcPr>
          <w:p w14:paraId="581631DB"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Nevyhovujúci</w:t>
            </w:r>
          </w:p>
        </w:tc>
        <w:tc>
          <w:tcPr>
            <w:tcW w:w="767" w:type="pct"/>
            <w:tcBorders>
              <w:top w:val="nil"/>
              <w:left w:val="nil"/>
              <w:bottom w:val="single" w:sz="4" w:space="0" w:color="auto"/>
              <w:right w:val="nil"/>
            </w:tcBorders>
            <w:shd w:val="clear" w:color="auto" w:fill="auto"/>
            <w:noWrap/>
            <w:vAlign w:val="bottom"/>
            <w:hideMark/>
          </w:tcPr>
          <w:p w14:paraId="66838775"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Havarijný</w:t>
            </w:r>
          </w:p>
        </w:tc>
      </w:tr>
      <w:tr w:rsidR="00CB16AA" w:rsidRPr="00666914" w14:paraId="27CB3E5A" w14:textId="77777777" w:rsidTr="00985E7A">
        <w:trPr>
          <w:trHeight w:val="260"/>
        </w:trPr>
        <w:tc>
          <w:tcPr>
            <w:tcW w:w="5000" w:type="pct"/>
            <w:gridSpan w:val="6"/>
            <w:tcBorders>
              <w:top w:val="single" w:sz="4" w:space="0" w:color="auto"/>
              <w:left w:val="nil"/>
              <w:bottom w:val="single" w:sz="4" w:space="0" w:color="auto"/>
              <w:right w:val="nil"/>
            </w:tcBorders>
            <w:shd w:val="clear" w:color="auto" w:fill="auto"/>
            <w:noWrap/>
            <w:vAlign w:val="center"/>
            <w:hideMark/>
          </w:tcPr>
          <w:p w14:paraId="4A5486FC" w14:textId="77777777" w:rsidR="00CB16AA" w:rsidRPr="00666914" w:rsidRDefault="00CB16AA" w:rsidP="00985E7A">
            <w:pPr>
              <w:spacing w:after="0"/>
              <w:jc w:val="center"/>
              <w:rPr>
                <w:rFonts w:eastAsia="Times New Roman" w:cs="Calibri"/>
                <w:i/>
                <w:iCs/>
                <w:color w:val="000000"/>
                <w:sz w:val="20"/>
                <w:szCs w:val="20"/>
                <w:lang w:eastAsia="sk-SK"/>
              </w:rPr>
            </w:pPr>
            <w:r w:rsidRPr="00666914">
              <w:rPr>
                <w:rFonts w:eastAsia="Times New Roman" w:cs="Calibri"/>
                <w:i/>
                <w:iCs/>
                <w:color w:val="000000"/>
                <w:sz w:val="20"/>
                <w:szCs w:val="20"/>
                <w:lang w:eastAsia="sk-SK"/>
              </w:rPr>
              <w:t>2016</w:t>
            </w:r>
          </w:p>
        </w:tc>
      </w:tr>
      <w:tr w:rsidR="00CB16AA" w:rsidRPr="00666914" w14:paraId="4FFFCACC" w14:textId="77777777" w:rsidTr="00985E7A">
        <w:trPr>
          <w:trHeight w:val="260"/>
        </w:trPr>
        <w:tc>
          <w:tcPr>
            <w:tcW w:w="746" w:type="pct"/>
            <w:tcBorders>
              <w:top w:val="single" w:sz="4" w:space="0" w:color="auto"/>
              <w:left w:val="nil"/>
              <w:bottom w:val="nil"/>
              <w:right w:val="nil"/>
            </w:tcBorders>
            <w:shd w:val="clear" w:color="auto" w:fill="auto"/>
            <w:noWrap/>
            <w:vAlign w:val="bottom"/>
            <w:hideMark/>
          </w:tcPr>
          <w:p w14:paraId="3B23BD24"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IVSC BA</w:t>
            </w:r>
          </w:p>
        </w:tc>
        <w:tc>
          <w:tcPr>
            <w:tcW w:w="985" w:type="pct"/>
            <w:tcBorders>
              <w:top w:val="single" w:sz="4" w:space="0" w:color="auto"/>
              <w:left w:val="nil"/>
              <w:bottom w:val="nil"/>
              <w:right w:val="nil"/>
            </w:tcBorders>
            <w:shd w:val="clear" w:color="auto" w:fill="auto"/>
            <w:noWrap/>
            <w:vAlign w:val="bottom"/>
            <w:hideMark/>
          </w:tcPr>
          <w:p w14:paraId="651BDBA1"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42,75</w:t>
            </w:r>
          </w:p>
        </w:tc>
        <w:tc>
          <w:tcPr>
            <w:tcW w:w="503" w:type="pct"/>
            <w:tcBorders>
              <w:top w:val="single" w:sz="4" w:space="0" w:color="auto"/>
              <w:left w:val="nil"/>
              <w:bottom w:val="nil"/>
              <w:right w:val="nil"/>
            </w:tcBorders>
            <w:shd w:val="clear" w:color="auto" w:fill="auto"/>
            <w:noWrap/>
            <w:vAlign w:val="bottom"/>
            <w:hideMark/>
          </w:tcPr>
          <w:p w14:paraId="78C58940"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2,74</w:t>
            </w:r>
          </w:p>
        </w:tc>
        <w:tc>
          <w:tcPr>
            <w:tcW w:w="904" w:type="pct"/>
            <w:tcBorders>
              <w:top w:val="single" w:sz="4" w:space="0" w:color="auto"/>
              <w:left w:val="nil"/>
              <w:bottom w:val="nil"/>
              <w:right w:val="nil"/>
            </w:tcBorders>
            <w:shd w:val="clear" w:color="auto" w:fill="auto"/>
            <w:noWrap/>
            <w:vAlign w:val="bottom"/>
            <w:hideMark/>
          </w:tcPr>
          <w:p w14:paraId="4D2F4D51"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12,80</w:t>
            </w:r>
          </w:p>
        </w:tc>
        <w:tc>
          <w:tcPr>
            <w:tcW w:w="1095" w:type="pct"/>
            <w:tcBorders>
              <w:top w:val="single" w:sz="4" w:space="0" w:color="auto"/>
              <w:left w:val="nil"/>
              <w:bottom w:val="nil"/>
              <w:right w:val="nil"/>
            </w:tcBorders>
            <w:shd w:val="clear" w:color="auto" w:fill="auto"/>
            <w:noWrap/>
            <w:vAlign w:val="bottom"/>
            <w:hideMark/>
          </w:tcPr>
          <w:p w14:paraId="2AB5FA03"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34,62</w:t>
            </w:r>
          </w:p>
        </w:tc>
        <w:tc>
          <w:tcPr>
            <w:tcW w:w="767" w:type="pct"/>
            <w:tcBorders>
              <w:top w:val="single" w:sz="4" w:space="0" w:color="auto"/>
              <w:left w:val="nil"/>
              <w:bottom w:val="nil"/>
              <w:right w:val="nil"/>
            </w:tcBorders>
            <w:shd w:val="clear" w:color="auto" w:fill="auto"/>
            <w:noWrap/>
            <w:vAlign w:val="bottom"/>
            <w:hideMark/>
          </w:tcPr>
          <w:p w14:paraId="224519E9"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7,09</w:t>
            </w:r>
          </w:p>
        </w:tc>
      </w:tr>
      <w:tr w:rsidR="00CB16AA" w:rsidRPr="00666914" w14:paraId="0009E3A7" w14:textId="77777777" w:rsidTr="00985E7A">
        <w:trPr>
          <w:trHeight w:val="260"/>
        </w:trPr>
        <w:tc>
          <w:tcPr>
            <w:tcW w:w="746" w:type="pct"/>
            <w:tcBorders>
              <w:top w:val="nil"/>
              <w:left w:val="nil"/>
              <w:bottom w:val="nil"/>
              <w:right w:val="nil"/>
            </w:tcBorders>
            <w:shd w:val="clear" w:color="auto" w:fill="auto"/>
            <w:noWrap/>
            <w:vAlign w:val="bottom"/>
            <w:hideMark/>
          </w:tcPr>
          <w:p w14:paraId="2313D512"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IVSC BB</w:t>
            </w:r>
          </w:p>
        </w:tc>
        <w:tc>
          <w:tcPr>
            <w:tcW w:w="985" w:type="pct"/>
            <w:tcBorders>
              <w:top w:val="nil"/>
              <w:left w:val="nil"/>
              <w:bottom w:val="nil"/>
              <w:right w:val="nil"/>
            </w:tcBorders>
            <w:shd w:val="clear" w:color="auto" w:fill="auto"/>
            <w:noWrap/>
            <w:vAlign w:val="bottom"/>
            <w:hideMark/>
          </w:tcPr>
          <w:p w14:paraId="4AE1C8AA"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61,98</w:t>
            </w:r>
          </w:p>
        </w:tc>
        <w:tc>
          <w:tcPr>
            <w:tcW w:w="503" w:type="pct"/>
            <w:tcBorders>
              <w:top w:val="nil"/>
              <w:left w:val="nil"/>
              <w:bottom w:val="nil"/>
              <w:right w:val="nil"/>
            </w:tcBorders>
            <w:shd w:val="clear" w:color="auto" w:fill="auto"/>
            <w:noWrap/>
            <w:vAlign w:val="bottom"/>
            <w:hideMark/>
          </w:tcPr>
          <w:p w14:paraId="52DBF347"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1,86</w:t>
            </w:r>
          </w:p>
        </w:tc>
        <w:tc>
          <w:tcPr>
            <w:tcW w:w="904" w:type="pct"/>
            <w:tcBorders>
              <w:top w:val="nil"/>
              <w:left w:val="nil"/>
              <w:bottom w:val="nil"/>
              <w:right w:val="nil"/>
            </w:tcBorders>
            <w:shd w:val="clear" w:color="auto" w:fill="auto"/>
            <w:noWrap/>
            <w:vAlign w:val="bottom"/>
            <w:hideMark/>
          </w:tcPr>
          <w:p w14:paraId="5B10DC9C"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11,23</w:t>
            </w:r>
          </w:p>
        </w:tc>
        <w:tc>
          <w:tcPr>
            <w:tcW w:w="1095" w:type="pct"/>
            <w:tcBorders>
              <w:top w:val="nil"/>
              <w:left w:val="nil"/>
              <w:bottom w:val="nil"/>
              <w:right w:val="nil"/>
            </w:tcBorders>
            <w:shd w:val="clear" w:color="auto" w:fill="auto"/>
            <w:noWrap/>
            <w:vAlign w:val="bottom"/>
            <w:hideMark/>
          </w:tcPr>
          <w:p w14:paraId="30EC2324"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11,32</w:t>
            </w:r>
          </w:p>
        </w:tc>
        <w:tc>
          <w:tcPr>
            <w:tcW w:w="767" w:type="pct"/>
            <w:tcBorders>
              <w:top w:val="nil"/>
              <w:left w:val="nil"/>
              <w:bottom w:val="nil"/>
              <w:right w:val="nil"/>
            </w:tcBorders>
            <w:shd w:val="clear" w:color="auto" w:fill="auto"/>
            <w:noWrap/>
            <w:vAlign w:val="bottom"/>
            <w:hideMark/>
          </w:tcPr>
          <w:p w14:paraId="6E0CE714"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13,61</w:t>
            </w:r>
          </w:p>
        </w:tc>
      </w:tr>
      <w:tr w:rsidR="00CB16AA" w:rsidRPr="00666914" w14:paraId="06B73833" w14:textId="77777777" w:rsidTr="00985E7A">
        <w:trPr>
          <w:trHeight w:val="260"/>
        </w:trPr>
        <w:tc>
          <w:tcPr>
            <w:tcW w:w="746" w:type="pct"/>
            <w:tcBorders>
              <w:top w:val="nil"/>
              <w:left w:val="nil"/>
              <w:bottom w:val="nil"/>
              <w:right w:val="nil"/>
            </w:tcBorders>
            <w:shd w:val="clear" w:color="auto" w:fill="auto"/>
            <w:noWrap/>
            <w:vAlign w:val="bottom"/>
            <w:hideMark/>
          </w:tcPr>
          <w:p w14:paraId="166F3B09"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IVSC ZA</w:t>
            </w:r>
          </w:p>
        </w:tc>
        <w:tc>
          <w:tcPr>
            <w:tcW w:w="985" w:type="pct"/>
            <w:tcBorders>
              <w:top w:val="nil"/>
              <w:left w:val="nil"/>
              <w:bottom w:val="nil"/>
              <w:right w:val="nil"/>
            </w:tcBorders>
            <w:shd w:val="clear" w:color="auto" w:fill="auto"/>
            <w:noWrap/>
            <w:vAlign w:val="bottom"/>
            <w:hideMark/>
          </w:tcPr>
          <w:p w14:paraId="4438990B"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35,18</w:t>
            </w:r>
          </w:p>
        </w:tc>
        <w:tc>
          <w:tcPr>
            <w:tcW w:w="503" w:type="pct"/>
            <w:tcBorders>
              <w:top w:val="nil"/>
              <w:left w:val="nil"/>
              <w:bottom w:val="nil"/>
              <w:right w:val="nil"/>
            </w:tcBorders>
            <w:shd w:val="clear" w:color="auto" w:fill="auto"/>
            <w:noWrap/>
            <w:vAlign w:val="bottom"/>
            <w:hideMark/>
          </w:tcPr>
          <w:p w14:paraId="4A541B26"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6,92</w:t>
            </w:r>
          </w:p>
        </w:tc>
        <w:tc>
          <w:tcPr>
            <w:tcW w:w="904" w:type="pct"/>
            <w:tcBorders>
              <w:top w:val="nil"/>
              <w:left w:val="nil"/>
              <w:bottom w:val="nil"/>
              <w:right w:val="nil"/>
            </w:tcBorders>
            <w:shd w:val="clear" w:color="auto" w:fill="auto"/>
            <w:noWrap/>
            <w:vAlign w:val="bottom"/>
            <w:hideMark/>
          </w:tcPr>
          <w:p w14:paraId="17A25481"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6,78</w:t>
            </w:r>
          </w:p>
        </w:tc>
        <w:tc>
          <w:tcPr>
            <w:tcW w:w="1095" w:type="pct"/>
            <w:tcBorders>
              <w:top w:val="nil"/>
              <w:left w:val="nil"/>
              <w:bottom w:val="nil"/>
              <w:right w:val="nil"/>
            </w:tcBorders>
            <w:shd w:val="clear" w:color="auto" w:fill="auto"/>
            <w:noWrap/>
            <w:vAlign w:val="bottom"/>
            <w:hideMark/>
          </w:tcPr>
          <w:p w14:paraId="49908838"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44,80</w:t>
            </w:r>
          </w:p>
        </w:tc>
        <w:tc>
          <w:tcPr>
            <w:tcW w:w="767" w:type="pct"/>
            <w:tcBorders>
              <w:top w:val="nil"/>
              <w:left w:val="nil"/>
              <w:bottom w:val="nil"/>
              <w:right w:val="nil"/>
            </w:tcBorders>
            <w:shd w:val="clear" w:color="auto" w:fill="auto"/>
            <w:noWrap/>
            <w:vAlign w:val="bottom"/>
            <w:hideMark/>
          </w:tcPr>
          <w:p w14:paraId="48C69E64"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6,32</w:t>
            </w:r>
          </w:p>
        </w:tc>
      </w:tr>
      <w:tr w:rsidR="00CB16AA" w:rsidRPr="00666914" w14:paraId="60CA9502" w14:textId="77777777" w:rsidTr="00985E7A">
        <w:trPr>
          <w:trHeight w:val="260"/>
        </w:trPr>
        <w:tc>
          <w:tcPr>
            <w:tcW w:w="746" w:type="pct"/>
            <w:tcBorders>
              <w:top w:val="nil"/>
              <w:left w:val="nil"/>
              <w:bottom w:val="nil"/>
              <w:right w:val="nil"/>
            </w:tcBorders>
            <w:shd w:val="clear" w:color="auto" w:fill="auto"/>
            <w:noWrap/>
            <w:vAlign w:val="bottom"/>
            <w:hideMark/>
          </w:tcPr>
          <w:p w14:paraId="3DF3B626"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IVSC KE</w:t>
            </w:r>
          </w:p>
        </w:tc>
        <w:tc>
          <w:tcPr>
            <w:tcW w:w="985" w:type="pct"/>
            <w:tcBorders>
              <w:top w:val="nil"/>
              <w:left w:val="nil"/>
              <w:bottom w:val="nil"/>
              <w:right w:val="nil"/>
            </w:tcBorders>
            <w:shd w:val="clear" w:color="auto" w:fill="auto"/>
            <w:noWrap/>
            <w:vAlign w:val="bottom"/>
            <w:hideMark/>
          </w:tcPr>
          <w:p w14:paraId="499F9D6E"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61,94</w:t>
            </w:r>
          </w:p>
        </w:tc>
        <w:tc>
          <w:tcPr>
            <w:tcW w:w="503" w:type="pct"/>
            <w:tcBorders>
              <w:top w:val="nil"/>
              <w:left w:val="nil"/>
              <w:bottom w:val="nil"/>
              <w:right w:val="nil"/>
            </w:tcBorders>
            <w:shd w:val="clear" w:color="auto" w:fill="auto"/>
            <w:noWrap/>
            <w:vAlign w:val="bottom"/>
            <w:hideMark/>
          </w:tcPr>
          <w:p w14:paraId="0B6765B2"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3,92</w:t>
            </w:r>
          </w:p>
        </w:tc>
        <w:tc>
          <w:tcPr>
            <w:tcW w:w="904" w:type="pct"/>
            <w:tcBorders>
              <w:top w:val="nil"/>
              <w:left w:val="nil"/>
              <w:bottom w:val="nil"/>
              <w:right w:val="nil"/>
            </w:tcBorders>
            <w:shd w:val="clear" w:color="auto" w:fill="auto"/>
            <w:noWrap/>
            <w:vAlign w:val="bottom"/>
            <w:hideMark/>
          </w:tcPr>
          <w:p w14:paraId="18B52440"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2,73</w:t>
            </w:r>
          </w:p>
        </w:tc>
        <w:tc>
          <w:tcPr>
            <w:tcW w:w="1095" w:type="pct"/>
            <w:tcBorders>
              <w:top w:val="nil"/>
              <w:left w:val="nil"/>
              <w:bottom w:val="nil"/>
              <w:right w:val="nil"/>
            </w:tcBorders>
            <w:shd w:val="clear" w:color="auto" w:fill="auto"/>
            <w:noWrap/>
            <w:vAlign w:val="bottom"/>
            <w:hideMark/>
          </w:tcPr>
          <w:p w14:paraId="783C62C5"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26,98</w:t>
            </w:r>
          </w:p>
        </w:tc>
        <w:tc>
          <w:tcPr>
            <w:tcW w:w="767" w:type="pct"/>
            <w:tcBorders>
              <w:top w:val="nil"/>
              <w:left w:val="nil"/>
              <w:bottom w:val="nil"/>
              <w:right w:val="nil"/>
            </w:tcBorders>
            <w:shd w:val="clear" w:color="auto" w:fill="auto"/>
            <w:noWrap/>
            <w:vAlign w:val="bottom"/>
            <w:hideMark/>
          </w:tcPr>
          <w:p w14:paraId="3FA61042"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4,43</w:t>
            </w:r>
          </w:p>
        </w:tc>
      </w:tr>
      <w:tr w:rsidR="00CB16AA" w:rsidRPr="00666914" w14:paraId="53B2272B" w14:textId="77777777" w:rsidTr="00985E7A">
        <w:trPr>
          <w:trHeight w:val="260"/>
        </w:trPr>
        <w:tc>
          <w:tcPr>
            <w:tcW w:w="746" w:type="pct"/>
            <w:tcBorders>
              <w:top w:val="single" w:sz="4" w:space="0" w:color="auto"/>
              <w:left w:val="nil"/>
              <w:bottom w:val="single" w:sz="4" w:space="0" w:color="auto"/>
              <w:right w:val="nil"/>
            </w:tcBorders>
            <w:shd w:val="clear" w:color="auto" w:fill="auto"/>
            <w:noWrap/>
            <w:vAlign w:val="bottom"/>
            <w:hideMark/>
          </w:tcPr>
          <w:p w14:paraId="56C3502E" w14:textId="77777777" w:rsidR="00CB16AA" w:rsidRPr="00666914" w:rsidRDefault="00CB16AA" w:rsidP="00985E7A">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Spolu SR</w:t>
            </w:r>
          </w:p>
        </w:tc>
        <w:tc>
          <w:tcPr>
            <w:tcW w:w="985" w:type="pct"/>
            <w:tcBorders>
              <w:top w:val="single" w:sz="4" w:space="0" w:color="auto"/>
              <w:left w:val="nil"/>
              <w:bottom w:val="single" w:sz="4" w:space="0" w:color="auto"/>
              <w:right w:val="nil"/>
            </w:tcBorders>
            <w:shd w:val="clear" w:color="auto" w:fill="auto"/>
            <w:noWrap/>
            <w:vAlign w:val="bottom"/>
            <w:hideMark/>
          </w:tcPr>
          <w:p w14:paraId="1DE7E87A"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50,34</w:t>
            </w:r>
          </w:p>
        </w:tc>
        <w:tc>
          <w:tcPr>
            <w:tcW w:w="503" w:type="pct"/>
            <w:tcBorders>
              <w:top w:val="single" w:sz="4" w:space="0" w:color="auto"/>
              <w:left w:val="nil"/>
              <w:bottom w:val="single" w:sz="4" w:space="0" w:color="auto"/>
              <w:right w:val="nil"/>
            </w:tcBorders>
            <w:shd w:val="clear" w:color="auto" w:fill="auto"/>
            <w:noWrap/>
            <w:vAlign w:val="bottom"/>
            <w:hideMark/>
          </w:tcPr>
          <w:p w14:paraId="64CE5C25"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3,95</w:t>
            </w:r>
          </w:p>
        </w:tc>
        <w:tc>
          <w:tcPr>
            <w:tcW w:w="904" w:type="pct"/>
            <w:tcBorders>
              <w:top w:val="single" w:sz="4" w:space="0" w:color="auto"/>
              <w:left w:val="nil"/>
              <w:bottom w:val="single" w:sz="4" w:space="0" w:color="auto"/>
              <w:right w:val="nil"/>
            </w:tcBorders>
            <w:shd w:val="clear" w:color="auto" w:fill="auto"/>
            <w:noWrap/>
            <w:vAlign w:val="bottom"/>
            <w:hideMark/>
          </w:tcPr>
          <w:p w14:paraId="5BB1F0C0"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8,04</w:t>
            </w:r>
          </w:p>
        </w:tc>
        <w:tc>
          <w:tcPr>
            <w:tcW w:w="1095" w:type="pct"/>
            <w:tcBorders>
              <w:top w:val="single" w:sz="4" w:space="0" w:color="auto"/>
              <w:left w:val="nil"/>
              <w:bottom w:val="single" w:sz="4" w:space="0" w:color="auto"/>
              <w:right w:val="nil"/>
            </w:tcBorders>
            <w:shd w:val="clear" w:color="auto" w:fill="auto"/>
            <w:noWrap/>
            <w:vAlign w:val="bottom"/>
            <w:hideMark/>
          </w:tcPr>
          <w:p w14:paraId="546DD283"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30,26</w:t>
            </w:r>
          </w:p>
        </w:tc>
        <w:tc>
          <w:tcPr>
            <w:tcW w:w="767" w:type="pct"/>
            <w:tcBorders>
              <w:top w:val="single" w:sz="4" w:space="0" w:color="auto"/>
              <w:left w:val="nil"/>
              <w:bottom w:val="single" w:sz="4" w:space="0" w:color="auto"/>
              <w:right w:val="nil"/>
            </w:tcBorders>
            <w:shd w:val="clear" w:color="auto" w:fill="auto"/>
            <w:noWrap/>
            <w:vAlign w:val="bottom"/>
            <w:hideMark/>
          </w:tcPr>
          <w:p w14:paraId="1431C07D"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7,41</w:t>
            </w:r>
          </w:p>
        </w:tc>
      </w:tr>
      <w:tr w:rsidR="00CB16AA" w:rsidRPr="00666914" w14:paraId="2561595E" w14:textId="77777777" w:rsidTr="00985E7A">
        <w:trPr>
          <w:trHeight w:val="260"/>
        </w:trPr>
        <w:tc>
          <w:tcPr>
            <w:tcW w:w="5000" w:type="pct"/>
            <w:gridSpan w:val="6"/>
            <w:tcBorders>
              <w:top w:val="single" w:sz="4" w:space="0" w:color="auto"/>
              <w:left w:val="nil"/>
              <w:bottom w:val="single" w:sz="4" w:space="0" w:color="auto"/>
              <w:right w:val="nil"/>
            </w:tcBorders>
            <w:shd w:val="clear" w:color="auto" w:fill="auto"/>
            <w:noWrap/>
            <w:vAlign w:val="center"/>
            <w:hideMark/>
          </w:tcPr>
          <w:p w14:paraId="74957974" w14:textId="77777777" w:rsidR="00CB16AA" w:rsidRPr="00666914" w:rsidRDefault="00CB16AA" w:rsidP="00985E7A">
            <w:pPr>
              <w:spacing w:after="0"/>
              <w:jc w:val="center"/>
              <w:rPr>
                <w:rFonts w:eastAsia="Times New Roman" w:cs="Calibri"/>
                <w:i/>
                <w:iCs/>
                <w:color w:val="000000"/>
                <w:sz w:val="20"/>
                <w:szCs w:val="20"/>
                <w:lang w:eastAsia="sk-SK"/>
              </w:rPr>
            </w:pPr>
            <w:r w:rsidRPr="00666914">
              <w:rPr>
                <w:rFonts w:eastAsia="Times New Roman" w:cs="Calibri"/>
                <w:i/>
                <w:iCs/>
                <w:color w:val="000000"/>
                <w:sz w:val="20"/>
                <w:szCs w:val="20"/>
                <w:lang w:eastAsia="sk-SK"/>
              </w:rPr>
              <w:t>2019</w:t>
            </w:r>
          </w:p>
        </w:tc>
      </w:tr>
      <w:tr w:rsidR="00CB16AA" w:rsidRPr="00666914" w14:paraId="19B13CDC" w14:textId="77777777" w:rsidTr="00985E7A">
        <w:trPr>
          <w:trHeight w:val="260"/>
        </w:trPr>
        <w:tc>
          <w:tcPr>
            <w:tcW w:w="746" w:type="pct"/>
            <w:tcBorders>
              <w:top w:val="nil"/>
              <w:left w:val="nil"/>
              <w:bottom w:val="nil"/>
              <w:right w:val="nil"/>
            </w:tcBorders>
            <w:shd w:val="clear" w:color="auto" w:fill="auto"/>
            <w:noWrap/>
            <w:vAlign w:val="bottom"/>
            <w:hideMark/>
          </w:tcPr>
          <w:p w14:paraId="22AE394D"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IVSC BA</w:t>
            </w:r>
          </w:p>
        </w:tc>
        <w:tc>
          <w:tcPr>
            <w:tcW w:w="985" w:type="pct"/>
            <w:tcBorders>
              <w:top w:val="nil"/>
              <w:left w:val="nil"/>
              <w:bottom w:val="nil"/>
              <w:right w:val="nil"/>
            </w:tcBorders>
            <w:shd w:val="clear" w:color="auto" w:fill="auto"/>
            <w:noWrap/>
            <w:vAlign w:val="bottom"/>
            <w:hideMark/>
          </w:tcPr>
          <w:p w14:paraId="10D903C3"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35,24</w:t>
            </w:r>
          </w:p>
        </w:tc>
        <w:tc>
          <w:tcPr>
            <w:tcW w:w="503" w:type="pct"/>
            <w:tcBorders>
              <w:top w:val="nil"/>
              <w:left w:val="nil"/>
              <w:bottom w:val="nil"/>
              <w:right w:val="nil"/>
            </w:tcBorders>
            <w:shd w:val="clear" w:color="auto" w:fill="auto"/>
            <w:noWrap/>
            <w:vAlign w:val="bottom"/>
            <w:hideMark/>
          </w:tcPr>
          <w:p w14:paraId="7071F993"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1,48</w:t>
            </w:r>
          </w:p>
        </w:tc>
        <w:tc>
          <w:tcPr>
            <w:tcW w:w="904" w:type="pct"/>
            <w:tcBorders>
              <w:top w:val="nil"/>
              <w:left w:val="nil"/>
              <w:bottom w:val="nil"/>
              <w:right w:val="nil"/>
            </w:tcBorders>
            <w:shd w:val="clear" w:color="auto" w:fill="auto"/>
            <w:noWrap/>
            <w:vAlign w:val="bottom"/>
            <w:hideMark/>
          </w:tcPr>
          <w:p w14:paraId="5F805CE9"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10,26</w:t>
            </w:r>
          </w:p>
        </w:tc>
        <w:tc>
          <w:tcPr>
            <w:tcW w:w="1095" w:type="pct"/>
            <w:tcBorders>
              <w:top w:val="nil"/>
              <w:left w:val="nil"/>
              <w:bottom w:val="nil"/>
              <w:right w:val="nil"/>
            </w:tcBorders>
            <w:shd w:val="clear" w:color="auto" w:fill="auto"/>
            <w:noWrap/>
            <w:vAlign w:val="bottom"/>
            <w:hideMark/>
          </w:tcPr>
          <w:p w14:paraId="5A792EAF"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44,51</w:t>
            </w:r>
          </w:p>
        </w:tc>
        <w:tc>
          <w:tcPr>
            <w:tcW w:w="767" w:type="pct"/>
            <w:tcBorders>
              <w:top w:val="nil"/>
              <w:left w:val="nil"/>
              <w:bottom w:val="nil"/>
              <w:right w:val="nil"/>
            </w:tcBorders>
            <w:shd w:val="clear" w:color="auto" w:fill="auto"/>
            <w:noWrap/>
            <w:vAlign w:val="bottom"/>
            <w:hideMark/>
          </w:tcPr>
          <w:p w14:paraId="7600D9D2"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8,51</w:t>
            </w:r>
          </w:p>
        </w:tc>
      </w:tr>
      <w:tr w:rsidR="00CB16AA" w:rsidRPr="00666914" w14:paraId="7CE515D6" w14:textId="77777777" w:rsidTr="00985E7A">
        <w:trPr>
          <w:trHeight w:val="260"/>
        </w:trPr>
        <w:tc>
          <w:tcPr>
            <w:tcW w:w="746" w:type="pct"/>
            <w:tcBorders>
              <w:top w:val="nil"/>
              <w:left w:val="nil"/>
              <w:bottom w:val="nil"/>
              <w:right w:val="nil"/>
            </w:tcBorders>
            <w:shd w:val="clear" w:color="auto" w:fill="auto"/>
            <w:noWrap/>
            <w:vAlign w:val="bottom"/>
            <w:hideMark/>
          </w:tcPr>
          <w:p w14:paraId="3F78893B"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IVSC BB</w:t>
            </w:r>
          </w:p>
        </w:tc>
        <w:tc>
          <w:tcPr>
            <w:tcW w:w="985" w:type="pct"/>
            <w:tcBorders>
              <w:top w:val="nil"/>
              <w:left w:val="nil"/>
              <w:bottom w:val="nil"/>
              <w:right w:val="nil"/>
            </w:tcBorders>
            <w:shd w:val="clear" w:color="auto" w:fill="auto"/>
            <w:noWrap/>
            <w:vAlign w:val="bottom"/>
            <w:hideMark/>
          </w:tcPr>
          <w:p w14:paraId="0E3576F3"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50,87</w:t>
            </w:r>
          </w:p>
        </w:tc>
        <w:tc>
          <w:tcPr>
            <w:tcW w:w="503" w:type="pct"/>
            <w:tcBorders>
              <w:top w:val="nil"/>
              <w:left w:val="nil"/>
              <w:bottom w:val="nil"/>
              <w:right w:val="nil"/>
            </w:tcBorders>
            <w:shd w:val="clear" w:color="auto" w:fill="auto"/>
            <w:noWrap/>
            <w:vAlign w:val="bottom"/>
            <w:hideMark/>
          </w:tcPr>
          <w:p w14:paraId="34210BF0"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2,65</w:t>
            </w:r>
          </w:p>
        </w:tc>
        <w:tc>
          <w:tcPr>
            <w:tcW w:w="904" w:type="pct"/>
            <w:tcBorders>
              <w:top w:val="nil"/>
              <w:left w:val="nil"/>
              <w:bottom w:val="nil"/>
              <w:right w:val="nil"/>
            </w:tcBorders>
            <w:shd w:val="clear" w:color="auto" w:fill="auto"/>
            <w:noWrap/>
            <w:vAlign w:val="bottom"/>
            <w:hideMark/>
          </w:tcPr>
          <w:p w14:paraId="72D3D0D9"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4,86</w:t>
            </w:r>
          </w:p>
        </w:tc>
        <w:tc>
          <w:tcPr>
            <w:tcW w:w="1095" w:type="pct"/>
            <w:tcBorders>
              <w:top w:val="nil"/>
              <w:left w:val="nil"/>
              <w:bottom w:val="nil"/>
              <w:right w:val="nil"/>
            </w:tcBorders>
            <w:shd w:val="clear" w:color="auto" w:fill="auto"/>
            <w:noWrap/>
            <w:vAlign w:val="bottom"/>
            <w:hideMark/>
          </w:tcPr>
          <w:p w14:paraId="43000CCB"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25,07</w:t>
            </w:r>
          </w:p>
        </w:tc>
        <w:tc>
          <w:tcPr>
            <w:tcW w:w="767" w:type="pct"/>
            <w:tcBorders>
              <w:top w:val="nil"/>
              <w:left w:val="nil"/>
              <w:bottom w:val="nil"/>
              <w:right w:val="nil"/>
            </w:tcBorders>
            <w:shd w:val="clear" w:color="auto" w:fill="auto"/>
            <w:noWrap/>
            <w:vAlign w:val="bottom"/>
            <w:hideMark/>
          </w:tcPr>
          <w:p w14:paraId="73F79A3D"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16,55</w:t>
            </w:r>
          </w:p>
        </w:tc>
      </w:tr>
      <w:tr w:rsidR="00CB16AA" w:rsidRPr="00666914" w14:paraId="7C47E9A1" w14:textId="77777777" w:rsidTr="00985E7A">
        <w:trPr>
          <w:trHeight w:val="260"/>
        </w:trPr>
        <w:tc>
          <w:tcPr>
            <w:tcW w:w="746" w:type="pct"/>
            <w:tcBorders>
              <w:top w:val="nil"/>
              <w:left w:val="nil"/>
              <w:bottom w:val="nil"/>
              <w:right w:val="nil"/>
            </w:tcBorders>
            <w:shd w:val="clear" w:color="auto" w:fill="auto"/>
            <w:noWrap/>
            <w:vAlign w:val="bottom"/>
            <w:hideMark/>
          </w:tcPr>
          <w:p w14:paraId="7B83A05C"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IVSC ZA</w:t>
            </w:r>
          </w:p>
        </w:tc>
        <w:tc>
          <w:tcPr>
            <w:tcW w:w="985" w:type="pct"/>
            <w:tcBorders>
              <w:top w:val="nil"/>
              <w:left w:val="nil"/>
              <w:bottom w:val="nil"/>
              <w:right w:val="nil"/>
            </w:tcBorders>
            <w:shd w:val="clear" w:color="auto" w:fill="auto"/>
            <w:noWrap/>
            <w:vAlign w:val="bottom"/>
            <w:hideMark/>
          </w:tcPr>
          <w:p w14:paraId="03ABDFBD"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54,05</w:t>
            </w:r>
          </w:p>
        </w:tc>
        <w:tc>
          <w:tcPr>
            <w:tcW w:w="503" w:type="pct"/>
            <w:tcBorders>
              <w:top w:val="nil"/>
              <w:left w:val="nil"/>
              <w:bottom w:val="nil"/>
              <w:right w:val="nil"/>
            </w:tcBorders>
            <w:shd w:val="clear" w:color="auto" w:fill="auto"/>
            <w:noWrap/>
            <w:vAlign w:val="bottom"/>
            <w:hideMark/>
          </w:tcPr>
          <w:p w14:paraId="73B301F1"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1,62</w:t>
            </w:r>
          </w:p>
        </w:tc>
        <w:tc>
          <w:tcPr>
            <w:tcW w:w="904" w:type="pct"/>
            <w:tcBorders>
              <w:top w:val="nil"/>
              <w:left w:val="nil"/>
              <w:bottom w:val="nil"/>
              <w:right w:val="nil"/>
            </w:tcBorders>
            <w:shd w:val="clear" w:color="auto" w:fill="auto"/>
            <w:noWrap/>
            <w:vAlign w:val="bottom"/>
            <w:hideMark/>
          </w:tcPr>
          <w:p w14:paraId="355E61CE"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4,86</w:t>
            </w:r>
          </w:p>
        </w:tc>
        <w:tc>
          <w:tcPr>
            <w:tcW w:w="1095" w:type="pct"/>
            <w:tcBorders>
              <w:top w:val="nil"/>
              <w:left w:val="nil"/>
              <w:bottom w:val="nil"/>
              <w:right w:val="nil"/>
            </w:tcBorders>
            <w:shd w:val="clear" w:color="auto" w:fill="auto"/>
            <w:noWrap/>
            <w:vAlign w:val="bottom"/>
            <w:hideMark/>
          </w:tcPr>
          <w:p w14:paraId="00DADB01"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36,26</w:t>
            </w:r>
          </w:p>
        </w:tc>
        <w:tc>
          <w:tcPr>
            <w:tcW w:w="767" w:type="pct"/>
            <w:tcBorders>
              <w:top w:val="nil"/>
              <w:left w:val="nil"/>
              <w:bottom w:val="nil"/>
              <w:right w:val="nil"/>
            </w:tcBorders>
            <w:shd w:val="clear" w:color="auto" w:fill="auto"/>
            <w:noWrap/>
            <w:vAlign w:val="bottom"/>
            <w:hideMark/>
          </w:tcPr>
          <w:p w14:paraId="67106D8F"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3,21</w:t>
            </w:r>
          </w:p>
        </w:tc>
      </w:tr>
      <w:tr w:rsidR="00CB16AA" w:rsidRPr="00666914" w14:paraId="7427EB02" w14:textId="77777777" w:rsidTr="00985E7A">
        <w:trPr>
          <w:trHeight w:val="260"/>
        </w:trPr>
        <w:tc>
          <w:tcPr>
            <w:tcW w:w="746" w:type="pct"/>
            <w:tcBorders>
              <w:top w:val="nil"/>
              <w:left w:val="nil"/>
              <w:bottom w:val="nil"/>
              <w:right w:val="nil"/>
            </w:tcBorders>
            <w:shd w:val="clear" w:color="auto" w:fill="auto"/>
            <w:noWrap/>
            <w:vAlign w:val="bottom"/>
            <w:hideMark/>
          </w:tcPr>
          <w:p w14:paraId="6DDAB341"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IVSC KE</w:t>
            </w:r>
          </w:p>
        </w:tc>
        <w:tc>
          <w:tcPr>
            <w:tcW w:w="985" w:type="pct"/>
            <w:tcBorders>
              <w:top w:val="nil"/>
              <w:left w:val="nil"/>
              <w:bottom w:val="nil"/>
              <w:right w:val="nil"/>
            </w:tcBorders>
            <w:shd w:val="clear" w:color="auto" w:fill="auto"/>
            <w:noWrap/>
            <w:vAlign w:val="bottom"/>
            <w:hideMark/>
          </w:tcPr>
          <w:p w14:paraId="7A1BC8DC"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65,04</w:t>
            </w:r>
          </w:p>
        </w:tc>
        <w:tc>
          <w:tcPr>
            <w:tcW w:w="503" w:type="pct"/>
            <w:tcBorders>
              <w:top w:val="nil"/>
              <w:left w:val="nil"/>
              <w:bottom w:val="nil"/>
              <w:right w:val="nil"/>
            </w:tcBorders>
            <w:shd w:val="clear" w:color="auto" w:fill="auto"/>
            <w:noWrap/>
            <w:vAlign w:val="bottom"/>
            <w:hideMark/>
          </w:tcPr>
          <w:p w14:paraId="16F590B1"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3,04</w:t>
            </w:r>
          </w:p>
        </w:tc>
        <w:tc>
          <w:tcPr>
            <w:tcW w:w="904" w:type="pct"/>
            <w:tcBorders>
              <w:top w:val="nil"/>
              <w:left w:val="nil"/>
              <w:bottom w:val="nil"/>
              <w:right w:val="nil"/>
            </w:tcBorders>
            <w:shd w:val="clear" w:color="auto" w:fill="auto"/>
            <w:noWrap/>
            <w:vAlign w:val="bottom"/>
            <w:hideMark/>
          </w:tcPr>
          <w:p w14:paraId="65BC9803"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1,65</w:t>
            </w:r>
          </w:p>
        </w:tc>
        <w:tc>
          <w:tcPr>
            <w:tcW w:w="1095" w:type="pct"/>
            <w:tcBorders>
              <w:top w:val="nil"/>
              <w:left w:val="nil"/>
              <w:bottom w:val="nil"/>
              <w:right w:val="nil"/>
            </w:tcBorders>
            <w:shd w:val="clear" w:color="auto" w:fill="auto"/>
            <w:noWrap/>
            <w:vAlign w:val="bottom"/>
            <w:hideMark/>
          </w:tcPr>
          <w:p w14:paraId="0F209065"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24,87</w:t>
            </w:r>
          </w:p>
        </w:tc>
        <w:tc>
          <w:tcPr>
            <w:tcW w:w="767" w:type="pct"/>
            <w:tcBorders>
              <w:top w:val="nil"/>
              <w:left w:val="nil"/>
              <w:bottom w:val="nil"/>
              <w:right w:val="nil"/>
            </w:tcBorders>
            <w:shd w:val="clear" w:color="auto" w:fill="auto"/>
            <w:noWrap/>
            <w:vAlign w:val="bottom"/>
            <w:hideMark/>
          </w:tcPr>
          <w:p w14:paraId="6F503C58"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5,40</w:t>
            </w:r>
          </w:p>
        </w:tc>
      </w:tr>
      <w:tr w:rsidR="00CB16AA" w:rsidRPr="00666914" w14:paraId="739384D6" w14:textId="77777777" w:rsidTr="00985E7A">
        <w:trPr>
          <w:trHeight w:val="260"/>
        </w:trPr>
        <w:tc>
          <w:tcPr>
            <w:tcW w:w="746" w:type="pct"/>
            <w:tcBorders>
              <w:top w:val="single" w:sz="4" w:space="0" w:color="auto"/>
              <w:left w:val="nil"/>
              <w:bottom w:val="single" w:sz="4" w:space="0" w:color="auto"/>
              <w:right w:val="nil"/>
            </w:tcBorders>
            <w:shd w:val="clear" w:color="auto" w:fill="auto"/>
            <w:noWrap/>
            <w:vAlign w:val="bottom"/>
            <w:hideMark/>
          </w:tcPr>
          <w:p w14:paraId="3A6FB36C" w14:textId="77777777" w:rsidR="00CB16AA" w:rsidRPr="00666914" w:rsidRDefault="00CB16AA" w:rsidP="00985E7A">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Spolu SR</w:t>
            </w:r>
          </w:p>
        </w:tc>
        <w:tc>
          <w:tcPr>
            <w:tcW w:w="985" w:type="pct"/>
            <w:tcBorders>
              <w:top w:val="single" w:sz="4" w:space="0" w:color="auto"/>
              <w:left w:val="nil"/>
              <w:bottom w:val="single" w:sz="4" w:space="0" w:color="auto"/>
              <w:right w:val="nil"/>
            </w:tcBorders>
            <w:shd w:val="clear" w:color="auto" w:fill="auto"/>
            <w:noWrap/>
            <w:vAlign w:val="bottom"/>
            <w:hideMark/>
          </w:tcPr>
          <w:p w14:paraId="6A430E46"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51,80</w:t>
            </w:r>
          </w:p>
        </w:tc>
        <w:tc>
          <w:tcPr>
            <w:tcW w:w="503" w:type="pct"/>
            <w:tcBorders>
              <w:top w:val="single" w:sz="4" w:space="0" w:color="auto"/>
              <w:left w:val="nil"/>
              <w:bottom w:val="single" w:sz="4" w:space="0" w:color="auto"/>
              <w:right w:val="nil"/>
            </w:tcBorders>
            <w:shd w:val="clear" w:color="auto" w:fill="auto"/>
            <w:noWrap/>
            <w:vAlign w:val="bottom"/>
            <w:hideMark/>
          </w:tcPr>
          <w:p w14:paraId="29877DAE"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2,21</w:t>
            </w:r>
          </w:p>
        </w:tc>
        <w:tc>
          <w:tcPr>
            <w:tcW w:w="904" w:type="pct"/>
            <w:tcBorders>
              <w:top w:val="single" w:sz="4" w:space="0" w:color="auto"/>
              <w:left w:val="nil"/>
              <w:bottom w:val="single" w:sz="4" w:space="0" w:color="auto"/>
              <w:right w:val="nil"/>
            </w:tcBorders>
            <w:shd w:val="clear" w:color="auto" w:fill="auto"/>
            <w:noWrap/>
            <w:vAlign w:val="bottom"/>
            <w:hideMark/>
          </w:tcPr>
          <w:p w14:paraId="4DED456A"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5,31</w:t>
            </w:r>
          </w:p>
        </w:tc>
        <w:tc>
          <w:tcPr>
            <w:tcW w:w="1095" w:type="pct"/>
            <w:tcBorders>
              <w:top w:val="single" w:sz="4" w:space="0" w:color="auto"/>
              <w:left w:val="nil"/>
              <w:bottom w:val="single" w:sz="4" w:space="0" w:color="auto"/>
              <w:right w:val="nil"/>
            </w:tcBorders>
            <w:shd w:val="clear" w:color="auto" w:fill="auto"/>
            <w:noWrap/>
            <w:vAlign w:val="bottom"/>
            <w:hideMark/>
          </w:tcPr>
          <w:p w14:paraId="228CDF1B"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32,80</w:t>
            </w:r>
          </w:p>
        </w:tc>
        <w:tc>
          <w:tcPr>
            <w:tcW w:w="767" w:type="pct"/>
            <w:tcBorders>
              <w:top w:val="single" w:sz="4" w:space="0" w:color="auto"/>
              <w:left w:val="nil"/>
              <w:bottom w:val="single" w:sz="4" w:space="0" w:color="auto"/>
              <w:right w:val="nil"/>
            </w:tcBorders>
            <w:shd w:val="clear" w:color="auto" w:fill="auto"/>
            <w:noWrap/>
            <w:vAlign w:val="bottom"/>
            <w:hideMark/>
          </w:tcPr>
          <w:p w14:paraId="1157E25B"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7,88</w:t>
            </w:r>
          </w:p>
        </w:tc>
      </w:tr>
      <w:tr w:rsidR="00CB16AA" w:rsidRPr="00666914" w14:paraId="4E6E25E2" w14:textId="77777777" w:rsidTr="00985E7A">
        <w:trPr>
          <w:trHeight w:val="290"/>
        </w:trPr>
        <w:tc>
          <w:tcPr>
            <w:tcW w:w="5000" w:type="pct"/>
            <w:gridSpan w:val="6"/>
            <w:tcBorders>
              <w:top w:val="single" w:sz="4" w:space="0" w:color="auto"/>
              <w:left w:val="nil"/>
              <w:bottom w:val="single" w:sz="4" w:space="0" w:color="auto"/>
              <w:right w:val="nil"/>
            </w:tcBorders>
            <w:shd w:val="clear" w:color="auto" w:fill="auto"/>
            <w:noWrap/>
            <w:vAlign w:val="center"/>
            <w:hideMark/>
          </w:tcPr>
          <w:p w14:paraId="7D5C0664" w14:textId="77777777" w:rsidR="00CB16AA" w:rsidRPr="00666914" w:rsidRDefault="00CB16AA" w:rsidP="00985E7A">
            <w:pPr>
              <w:spacing w:after="0"/>
              <w:jc w:val="center"/>
              <w:rPr>
                <w:rFonts w:eastAsia="Times New Roman" w:cs="Calibri"/>
                <w:i/>
                <w:iCs/>
                <w:color w:val="000000"/>
                <w:sz w:val="20"/>
                <w:szCs w:val="20"/>
                <w:lang w:eastAsia="sk-SK"/>
              </w:rPr>
            </w:pPr>
            <w:r w:rsidRPr="00666914">
              <w:rPr>
                <w:rFonts w:eastAsia="Times New Roman" w:cs="Calibri"/>
                <w:i/>
                <w:iCs/>
                <w:color w:val="000000"/>
                <w:sz w:val="20"/>
                <w:szCs w:val="20"/>
                <w:lang w:eastAsia="sk-SK"/>
              </w:rPr>
              <w:t>zmena 2019/2016 (%)</w:t>
            </w:r>
          </w:p>
        </w:tc>
      </w:tr>
      <w:tr w:rsidR="00CB16AA" w:rsidRPr="00666914" w14:paraId="12F53B95" w14:textId="77777777" w:rsidTr="00985E7A">
        <w:trPr>
          <w:trHeight w:val="260"/>
        </w:trPr>
        <w:tc>
          <w:tcPr>
            <w:tcW w:w="746" w:type="pct"/>
            <w:tcBorders>
              <w:top w:val="nil"/>
              <w:left w:val="nil"/>
              <w:bottom w:val="nil"/>
              <w:right w:val="nil"/>
            </w:tcBorders>
            <w:shd w:val="clear" w:color="auto" w:fill="auto"/>
            <w:noWrap/>
            <w:vAlign w:val="bottom"/>
            <w:hideMark/>
          </w:tcPr>
          <w:p w14:paraId="72B03D2B"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IVSC BA</w:t>
            </w:r>
          </w:p>
        </w:tc>
        <w:tc>
          <w:tcPr>
            <w:tcW w:w="985" w:type="pct"/>
            <w:tcBorders>
              <w:top w:val="nil"/>
              <w:left w:val="nil"/>
              <w:bottom w:val="nil"/>
              <w:right w:val="nil"/>
            </w:tcBorders>
            <w:shd w:val="clear" w:color="auto" w:fill="auto"/>
            <w:noWrap/>
            <w:vAlign w:val="bottom"/>
            <w:hideMark/>
          </w:tcPr>
          <w:p w14:paraId="6E27944D"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-7,51</w:t>
            </w:r>
          </w:p>
        </w:tc>
        <w:tc>
          <w:tcPr>
            <w:tcW w:w="503" w:type="pct"/>
            <w:tcBorders>
              <w:top w:val="nil"/>
              <w:left w:val="nil"/>
              <w:bottom w:val="nil"/>
              <w:right w:val="nil"/>
            </w:tcBorders>
            <w:shd w:val="clear" w:color="auto" w:fill="auto"/>
            <w:noWrap/>
            <w:vAlign w:val="bottom"/>
            <w:hideMark/>
          </w:tcPr>
          <w:p w14:paraId="7F714D92"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-1,26</w:t>
            </w:r>
          </w:p>
        </w:tc>
        <w:tc>
          <w:tcPr>
            <w:tcW w:w="904" w:type="pct"/>
            <w:tcBorders>
              <w:top w:val="nil"/>
              <w:left w:val="nil"/>
              <w:bottom w:val="nil"/>
              <w:right w:val="nil"/>
            </w:tcBorders>
            <w:shd w:val="clear" w:color="auto" w:fill="auto"/>
            <w:noWrap/>
            <w:vAlign w:val="bottom"/>
            <w:hideMark/>
          </w:tcPr>
          <w:p w14:paraId="38B9E721"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-2,54</w:t>
            </w:r>
          </w:p>
        </w:tc>
        <w:tc>
          <w:tcPr>
            <w:tcW w:w="1095" w:type="pct"/>
            <w:tcBorders>
              <w:top w:val="nil"/>
              <w:left w:val="nil"/>
              <w:bottom w:val="nil"/>
              <w:right w:val="nil"/>
            </w:tcBorders>
            <w:shd w:val="clear" w:color="auto" w:fill="auto"/>
            <w:noWrap/>
            <w:vAlign w:val="bottom"/>
            <w:hideMark/>
          </w:tcPr>
          <w:p w14:paraId="4EE4B807"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9,89</w:t>
            </w:r>
          </w:p>
        </w:tc>
        <w:tc>
          <w:tcPr>
            <w:tcW w:w="768" w:type="pct"/>
            <w:tcBorders>
              <w:top w:val="nil"/>
              <w:left w:val="nil"/>
              <w:bottom w:val="nil"/>
              <w:right w:val="nil"/>
            </w:tcBorders>
            <w:shd w:val="clear" w:color="auto" w:fill="auto"/>
            <w:noWrap/>
            <w:vAlign w:val="bottom"/>
            <w:hideMark/>
          </w:tcPr>
          <w:p w14:paraId="3774B29E"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1,42</w:t>
            </w:r>
          </w:p>
        </w:tc>
      </w:tr>
      <w:tr w:rsidR="00CB16AA" w:rsidRPr="00666914" w14:paraId="5A78ABB0" w14:textId="77777777" w:rsidTr="00985E7A">
        <w:trPr>
          <w:trHeight w:val="260"/>
        </w:trPr>
        <w:tc>
          <w:tcPr>
            <w:tcW w:w="746" w:type="pct"/>
            <w:tcBorders>
              <w:top w:val="nil"/>
              <w:left w:val="nil"/>
              <w:bottom w:val="nil"/>
              <w:right w:val="nil"/>
            </w:tcBorders>
            <w:shd w:val="clear" w:color="auto" w:fill="auto"/>
            <w:noWrap/>
            <w:vAlign w:val="bottom"/>
            <w:hideMark/>
          </w:tcPr>
          <w:p w14:paraId="64FB70FC"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IVSC BB</w:t>
            </w:r>
          </w:p>
        </w:tc>
        <w:tc>
          <w:tcPr>
            <w:tcW w:w="985" w:type="pct"/>
            <w:tcBorders>
              <w:top w:val="nil"/>
              <w:left w:val="nil"/>
              <w:bottom w:val="nil"/>
              <w:right w:val="nil"/>
            </w:tcBorders>
            <w:shd w:val="clear" w:color="auto" w:fill="auto"/>
            <w:noWrap/>
            <w:vAlign w:val="bottom"/>
            <w:hideMark/>
          </w:tcPr>
          <w:p w14:paraId="1D2A53AF"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-11,11</w:t>
            </w:r>
          </w:p>
        </w:tc>
        <w:tc>
          <w:tcPr>
            <w:tcW w:w="503" w:type="pct"/>
            <w:tcBorders>
              <w:top w:val="nil"/>
              <w:left w:val="nil"/>
              <w:bottom w:val="nil"/>
              <w:right w:val="nil"/>
            </w:tcBorders>
            <w:shd w:val="clear" w:color="auto" w:fill="auto"/>
            <w:noWrap/>
            <w:vAlign w:val="bottom"/>
            <w:hideMark/>
          </w:tcPr>
          <w:p w14:paraId="7BD915C5"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0,79</w:t>
            </w:r>
          </w:p>
        </w:tc>
        <w:tc>
          <w:tcPr>
            <w:tcW w:w="904" w:type="pct"/>
            <w:tcBorders>
              <w:top w:val="nil"/>
              <w:left w:val="nil"/>
              <w:bottom w:val="nil"/>
              <w:right w:val="nil"/>
            </w:tcBorders>
            <w:shd w:val="clear" w:color="auto" w:fill="auto"/>
            <w:noWrap/>
            <w:vAlign w:val="bottom"/>
            <w:hideMark/>
          </w:tcPr>
          <w:p w14:paraId="5225256B"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-6,37</w:t>
            </w:r>
          </w:p>
        </w:tc>
        <w:tc>
          <w:tcPr>
            <w:tcW w:w="1095" w:type="pct"/>
            <w:tcBorders>
              <w:top w:val="nil"/>
              <w:left w:val="nil"/>
              <w:bottom w:val="nil"/>
              <w:right w:val="nil"/>
            </w:tcBorders>
            <w:shd w:val="clear" w:color="auto" w:fill="auto"/>
            <w:noWrap/>
            <w:vAlign w:val="bottom"/>
            <w:hideMark/>
          </w:tcPr>
          <w:p w14:paraId="761967A3"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13,75</w:t>
            </w:r>
          </w:p>
        </w:tc>
        <w:tc>
          <w:tcPr>
            <w:tcW w:w="768" w:type="pct"/>
            <w:tcBorders>
              <w:top w:val="nil"/>
              <w:left w:val="nil"/>
              <w:bottom w:val="nil"/>
              <w:right w:val="nil"/>
            </w:tcBorders>
            <w:shd w:val="clear" w:color="auto" w:fill="auto"/>
            <w:noWrap/>
            <w:vAlign w:val="bottom"/>
            <w:hideMark/>
          </w:tcPr>
          <w:p w14:paraId="47A9DC63"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2,94</w:t>
            </w:r>
          </w:p>
        </w:tc>
      </w:tr>
      <w:tr w:rsidR="00CB16AA" w:rsidRPr="00666914" w14:paraId="2B1D3942" w14:textId="77777777" w:rsidTr="00985E7A">
        <w:trPr>
          <w:trHeight w:val="260"/>
        </w:trPr>
        <w:tc>
          <w:tcPr>
            <w:tcW w:w="746" w:type="pct"/>
            <w:tcBorders>
              <w:top w:val="nil"/>
              <w:left w:val="nil"/>
              <w:bottom w:val="nil"/>
              <w:right w:val="nil"/>
            </w:tcBorders>
            <w:shd w:val="clear" w:color="auto" w:fill="auto"/>
            <w:noWrap/>
            <w:vAlign w:val="bottom"/>
            <w:hideMark/>
          </w:tcPr>
          <w:p w14:paraId="625F6417"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IVSC ZA</w:t>
            </w:r>
          </w:p>
        </w:tc>
        <w:tc>
          <w:tcPr>
            <w:tcW w:w="985" w:type="pct"/>
            <w:tcBorders>
              <w:top w:val="nil"/>
              <w:left w:val="nil"/>
              <w:bottom w:val="nil"/>
              <w:right w:val="nil"/>
            </w:tcBorders>
            <w:shd w:val="clear" w:color="auto" w:fill="auto"/>
            <w:noWrap/>
            <w:vAlign w:val="bottom"/>
            <w:hideMark/>
          </w:tcPr>
          <w:p w14:paraId="008FA871"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18,87</w:t>
            </w:r>
          </w:p>
        </w:tc>
        <w:tc>
          <w:tcPr>
            <w:tcW w:w="503" w:type="pct"/>
            <w:tcBorders>
              <w:top w:val="nil"/>
              <w:left w:val="nil"/>
              <w:bottom w:val="nil"/>
              <w:right w:val="nil"/>
            </w:tcBorders>
            <w:shd w:val="clear" w:color="auto" w:fill="auto"/>
            <w:noWrap/>
            <w:vAlign w:val="bottom"/>
            <w:hideMark/>
          </w:tcPr>
          <w:p w14:paraId="223DA19D"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-5,30</w:t>
            </w:r>
          </w:p>
        </w:tc>
        <w:tc>
          <w:tcPr>
            <w:tcW w:w="904" w:type="pct"/>
            <w:tcBorders>
              <w:top w:val="nil"/>
              <w:left w:val="nil"/>
              <w:bottom w:val="nil"/>
              <w:right w:val="nil"/>
            </w:tcBorders>
            <w:shd w:val="clear" w:color="auto" w:fill="auto"/>
            <w:noWrap/>
            <w:vAlign w:val="bottom"/>
            <w:hideMark/>
          </w:tcPr>
          <w:p w14:paraId="316DBE1B"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-1,92</w:t>
            </w:r>
          </w:p>
        </w:tc>
        <w:tc>
          <w:tcPr>
            <w:tcW w:w="1095" w:type="pct"/>
            <w:tcBorders>
              <w:top w:val="nil"/>
              <w:left w:val="nil"/>
              <w:bottom w:val="nil"/>
              <w:right w:val="nil"/>
            </w:tcBorders>
            <w:shd w:val="clear" w:color="auto" w:fill="auto"/>
            <w:noWrap/>
            <w:vAlign w:val="bottom"/>
            <w:hideMark/>
          </w:tcPr>
          <w:p w14:paraId="5A22EE62"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-8,54</w:t>
            </w:r>
          </w:p>
        </w:tc>
        <w:tc>
          <w:tcPr>
            <w:tcW w:w="768" w:type="pct"/>
            <w:tcBorders>
              <w:top w:val="nil"/>
              <w:left w:val="nil"/>
              <w:bottom w:val="nil"/>
              <w:right w:val="nil"/>
            </w:tcBorders>
            <w:shd w:val="clear" w:color="auto" w:fill="auto"/>
            <w:noWrap/>
            <w:vAlign w:val="bottom"/>
            <w:hideMark/>
          </w:tcPr>
          <w:p w14:paraId="091FFC43"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-3,11</w:t>
            </w:r>
          </w:p>
        </w:tc>
      </w:tr>
      <w:tr w:rsidR="00CB16AA" w:rsidRPr="00666914" w14:paraId="0216728C" w14:textId="77777777" w:rsidTr="00985E7A">
        <w:trPr>
          <w:trHeight w:val="260"/>
        </w:trPr>
        <w:tc>
          <w:tcPr>
            <w:tcW w:w="746" w:type="pct"/>
            <w:tcBorders>
              <w:top w:val="nil"/>
              <w:left w:val="nil"/>
              <w:bottom w:val="nil"/>
              <w:right w:val="nil"/>
            </w:tcBorders>
            <w:shd w:val="clear" w:color="auto" w:fill="auto"/>
            <w:noWrap/>
            <w:vAlign w:val="bottom"/>
            <w:hideMark/>
          </w:tcPr>
          <w:p w14:paraId="1B2A652E"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IVSC KE</w:t>
            </w:r>
          </w:p>
        </w:tc>
        <w:tc>
          <w:tcPr>
            <w:tcW w:w="985" w:type="pct"/>
            <w:tcBorders>
              <w:top w:val="nil"/>
              <w:left w:val="nil"/>
              <w:bottom w:val="single" w:sz="4" w:space="0" w:color="auto"/>
              <w:right w:val="nil"/>
            </w:tcBorders>
            <w:shd w:val="clear" w:color="auto" w:fill="auto"/>
            <w:noWrap/>
            <w:vAlign w:val="bottom"/>
            <w:hideMark/>
          </w:tcPr>
          <w:p w14:paraId="44786523"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3,10</w:t>
            </w:r>
          </w:p>
        </w:tc>
        <w:tc>
          <w:tcPr>
            <w:tcW w:w="503" w:type="pct"/>
            <w:tcBorders>
              <w:top w:val="nil"/>
              <w:left w:val="nil"/>
              <w:bottom w:val="single" w:sz="4" w:space="0" w:color="auto"/>
              <w:right w:val="nil"/>
            </w:tcBorders>
            <w:shd w:val="clear" w:color="auto" w:fill="auto"/>
            <w:noWrap/>
            <w:vAlign w:val="bottom"/>
            <w:hideMark/>
          </w:tcPr>
          <w:p w14:paraId="59CCB7DF"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-0,88</w:t>
            </w:r>
          </w:p>
        </w:tc>
        <w:tc>
          <w:tcPr>
            <w:tcW w:w="904" w:type="pct"/>
            <w:tcBorders>
              <w:top w:val="nil"/>
              <w:left w:val="nil"/>
              <w:bottom w:val="single" w:sz="4" w:space="0" w:color="auto"/>
              <w:right w:val="nil"/>
            </w:tcBorders>
            <w:shd w:val="clear" w:color="auto" w:fill="auto"/>
            <w:noWrap/>
            <w:vAlign w:val="bottom"/>
            <w:hideMark/>
          </w:tcPr>
          <w:p w14:paraId="1DB6BCC8"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-1,08</w:t>
            </w:r>
          </w:p>
        </w:tc>
        <w:tc>
          <w:tcPr>
            <w:tcW w:w="1095" w:type="pct"/>
            <w:tcBorders>
              <w:top w:val="nil"/>
              <w:left w:val="nil"/>
              <w:bottom w:val="single" w:sz="4" w:space="0" w:color="auto"/>
              <w:right w:val="nil"/>
            </w:tcBorders>
            <w:shd w:val="clear" w:color="auto" w:fill="auto"/>
            <w:noWrap/>
            <w:vAlign w:val="bottom"/>
            <w:hideMark/>
          </w:tcPr>
          <w:p w14:paraId="0675052C"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-2,11</w:t>
            </w:r>
          </w:p>
        </w:tc>
        <w:tc>
          <w:tcPr>
            <w:tcW w:w="768" w:type="pct"/>
            <w:tcBorders>
              <w:top w:val="nil"/>
              <w:left w:val="nil"/>
              <w:bottom w:val="single" w:sz="4" w:space="0" w:color="auto"/>
              <w:right w:val="nil"/>
            </w:tcBorders>
            <w:shd w:val="clear" w:color="auto" w:fill="auto"/>
            <w:noWrap/>
            <w:vAlign w:val="bottom"/>
            <w:hideMark/>
          </w:tcPr>
          <w:p w14:paraId="52542B85"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0,97</w:t>
            </w:r>
          </w:p>
        </w:tc>
      </w:tr>
      <w:tr w:rsidR="00CB16AA" w:rsidRPr="00666914" w14:paraId="6FCCEE47" w14:textId="77777777" w:rsidTr="00985E7A">
        <w:trPr>
          <w:trHeight w:val="260"/>
        </w:trPr>
        <w:tc>
          <w:tcPr>
            <w:tcW w:w="746" w:type="pct"/>
            <w:tcBorders>
              <w:top w:val="single" w:sz="4" w:space="0" w:color="auto"/>
              <w:left w:val="nil"/>
              <w:bottom w:val="single" w:sz="4" w:space="0" w:color="auto"/>
              <w:right w:val="nil"/>
            </w:tcBorders>
            <w:shd w:val="clear" w:color="auto" w:fill="auto"/>
            <w:noWrap/>
            <w:vAlign w:val="bottom"/>
            <w:hideMark/>
          </w:tcPr>
          <w:p w14:paraId="3235278C" w14:textId="77777777" w:rsidR="00CB16AA" w:rsidRPr="00666914" w:rsidRDefault="00CB16AA" w:rsidP="00985E7A">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Spolu SR</w:t>
            </w:r>
          </w:p>
        </w:tc>
        <w:tc>
          <w:tcPr>
            <w:tcW w:w="985" w:type="pct"/>
            <w:tcBorders>
              <w:top w:val="nil"/>
              <w:left w:val="nil"/>
              <w:bottom w:val="single" w:sz="4" w:space="0" w:color="auto"/>
              <w:right w:val="nil"/>
            </w:tcBorders>
            <w:shd w:val="clear" w:color="auto" w:fill="auto"/>
            <w:noWrap/>
            <w:vAlign w:val="bottom"/>
            <w:hideMark/>
          </w:tcPr>
          <w:p w14:paraId="3C3AF2AA"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1,46</w:t>
            </w:r>
          </w:p>
        </w:tc>
        <w:tc>
          <w:tcPr>
            <w:tcW w:w="503" w:type="pct"/>
            <w:tcBorders>
              <w:top w:val="nil"/>
              <w:left w:val="nil"/>
              <w:bottom w:val="single" w:sz="4" w:space="0" w:color="auto"/>
              <w:right w:val="nil"/>
            </w:tcBorders>
            <w:shd w:val="clear" w:color="auto" w:fill="auto"/>
            <w:noWrap/>
            <w:vAlign w:val="bottom"/>
            <w:hideMark/>
          </w:tcPr>
          <w:p w14:paraId="3C7C3535"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-1,74</w:t>
            </w:r>
          </w:p>
        </w:tc>
        <w:tc>
          <w:tcPr>
            <w:tcW w:w="904" w:type="pct"/>
            <w:tcBorders>
              <w:top w:val="nil"/>
              <w:left w:val="nil"/>
              <w:bottom w:val="single" w:sz="4" w:space="0" w:color="auto"/>
              <w:right w:val="nil"/>
            </w:tcBorders>
            <w:shd w:val="clear" w:color="auto" w:fill="auto"/>
            <w:noWrap/>
            <w:vAlign w:val="bottom"/>
            <w:hideMark/>
          </w:tcPr>
          <w:p w14:paraId="0411F6BE"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-2,73</w:t>
            </w:r>
          </w:p>
        </w:tc>
        <w:tc>
          <w:tcPr>
            <w:tcW w:w="1095" w:type="pct"/>
            <w:tcBorders>
              <w:top w:val="nil"/>
              <w:left w:val="nil"/>
              <w:bottom w:val="single" w:sz="4" w:space="0" w:color="auto"/>
              <w:right w:val="nil"/>
            </w:tcBorders>
            <w:shd w:val="clear" w:color="auto" w:fill="auto"/>
            <w:noWrap/>
            <w:vAlign w:val="bottom"/>
            <w:hideMark/>
          </w:tcPr>
          <w:p w14:paraId="40338B40"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2,54</w:t>
            </w:r>
          </w:p>
        </w:tc>
        <w:tc>
          <w:tcPr>
            <w:tcW w:w="768" w:type="pct"/>
            <w:tcBorders>
              <w:top w:val="nil"/>
              <w:left w:val="nil"/>
              <w:bottom w:val="single" w:sz="4" w:space="0" w:color="auto"/>
              <w:right w:val="nil"/>
            </w:tcBorders>
            <w:shd w:val="clear" w:color="auto" w:fill="auto"/>
            <w:noWrap/>
            <w:vAlign w:val="bottom"/>
            <w:hideMark/>
          </w:tcPr>
          <w:p w14:paraId="1471E0E2"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0,47</w:t>
            </w:r>
          </w:p>
        </w:tc>
      </w:tr>
    </w:tbl>
    <w:p w14:paraId="23DE1221" w14:textId="77777777" w:rsidR="00CB16AA" w:rsidRPr="00666914" w:rsidRDefault="00CB16AA" w:rsidP="00985E7A">
      <w:pPr>
        <w:contextualSpacing/>
        <w:jc w:val="right"/>
        <w:rPr>
          <w:i/>
          <w:sz w:val="18"/>
        </w:rPr>
      </w:pPr>
      <w:r w:rsidRPr="00666914">
        <w:rPr>
          <w:i/>
          <w:sz w:val="18"/>
        </w:rPr>
        <w:t>Zdroj: SSC, Prehľad stavu ciest I., II. a III. triedy, 06/2019</w:t>
      </w:r>
    </w:p>
    <w:bookmarkEnd w:id="197"/>
    <w:p w14:paraId="3B1D6B8B" w14:textId="2131C5CD" w:rsidR="00CB16AA" w:rsidRPr="00666914" w:rsidRDefault="00CB16AA" w:rsidP="00985E7A">
      <w:pPr>
        <w:spacing w:after="0"/>
        <w:rPr>
          <w:b/>
        </w:rPr>
      </w:pPr>
      <w:r w:rsidRPr="00666914">
        <w:lastRenderedPageBreak/>
        <w:t>Z dôvodu dlhodobého podfinancovania údržby ciest I. triedy podpísalo v 03/2019 MF SR a MDV SR memorandum  o spolupráci na financovaní a realizácii projektu „Veľkoplošná oprava a údržba ciest I. triedy"</w:t>
      </w:r>
      <w:r w:rsidRPr="00666914">
        <w:rPr>
          <w:rStyle w:val="Odkaznapoznmkupodiarou"/>
        </w:rPr>
        <w:footnoteReference w:id="81"/>
      </w:r>
      <w:r w:rsidRPr="00666914">
        <w:t>, vo výške 200 mil. eur na 4 roky, ktoré budú uvoľňované na základe požiadavky SSC v predpokladanom ročnom objeme cca 50 mil. eur.</w:t>
      </w:r>
      <w:r w:rsidR="00254A5B" w:rsidRPr="00666914">
        <w:rPr>
          <w:b/>
        </w:rPr>
        <w:t xml:space="preserve"> </w:t>
      </w:r>
      <w:r w:rsidRPr="00666914">
        <w:rPr>
          <w:b/>
        </w:rPr>
        <w:t xml:space="preserve">Napriek </w:t>
      </w:r>
      <w:r w:rsidR="002557AB" w:rsidRPr="00666914">
        <w:rPr>
          <w:b/>
        </w:rPr>
        <w:t xml:space="preserve">tomu </w:t>
      </w:r>
      <w:r w:rsidRPr="00666914">
        <w:rPr>
          <w:b/>
        </w:rPr>
        <w:t xml:space="preserve">sa SSC počas roka 2019 nepodarilo vysúťažiť dodávateľov na opravy a údržbu ciest I. triedy. </w:t>
      </w:r>
      <w:r w:rsidRPr="00666914">
        <w:t>Najprv</w:t>
      </w:r>
      <w:r w:rsidR="002557AB" w:rsidRPr="00666914">
        <w:t xml:space="preserve"> </w:t>
      </w:r>
      <w:r w:rsidRPr="00666914">
        <w:t>vyhlásila SSC dňa 16.5.2019 VO na veľkoplošné opravy ciest</w:t>
      </w:r>
      <w:r w:rsidRPr="00666914">
        <w:rPr>
          <w:rStyle w:val="Odkaznapoznmkupodiarou"/>
        </w:rPr>
        <w:footnoteReference w:id="82"/>
      </w:r>
      <w:r w:rsidRPr="00666914">
        <w:t>. Obstarávané práce sa týkali celých úsekov, pričom po vysúťažení mala SSC objednávať výkony na konkrétne časti elektronickými aukciami. Úrad pre verejné obstarávanie na základe námietok vydal dňa 23.8.2019 rozhodnutie, v ktorom nariadil verejnú súťaž zrušiť</w:t>
      </w:r>
      <w:r w:rsidRPr="00666914">
        <w:rPr>
          <w:rStyle w:val="Odkaznapoznmkupodiarou"/>
        </w:rPr>
        <w:footnoteReference w:id="83"/>
      </w:r>
      <w:r w:rsidRPr="00666914">
        <w:t>. Následne 15.10.2019 vyhlásila SSC opätovné VO, kde už zákazku rozdelila na časti</w:t>
      </w:r>
      <w:r w:rsidRPr="00666914">
        <w:rPr>
          <w:rStyle w:val="Odkaznapoznmkupodiarou"/>
        </w:rPr>
        <w:footnoteReference w:id="84"/>
      </w:r>
      <w:r w:rsidRPr="00666914">
        <w:t xml:space="preserve">. VO nebolo do konca roka 2019 vyhodnotené. </w:t>
      </w:r>
      <w:r w:rsidRPr="00666914">
        <w:rPr>
          <w:b/>
        </w:rPr>
        <w:t>Opatrenie sa k 31.12.2019 plní čiastočne.</w:t>
      </w:r>
    </w:p>
    <w:p w14:paraId="72B387A3" w14:textId="77777777" w:rsidR="00CB16AA" w:rsidRPr="00666914" w:rsidRDefault="00CB16AA" w:rsidP="00985E7A">
      <w:pPr>
        <w:pStyle w:val="Odsekzoznamu"/>
        <w:spacing w:after="0"/>
      </w:pPr>
    </w:p>
    <w:p w14:paraId="6C6777BE" w14:textId="28CCEC22" w:rsidR="00CB16AA" w:rsidRPr="00666914" w:rsidRDefault="00CB16AA" w:rsidP="00985E7A">
      <w:pPr>
        <w:pStyle w:val="Popis"/>
        <w:pBdr>
          <w:bottom w:val="single" w:sz="4" w:space="1" w:color="auto"/>
        </w:pBdr>
      </w:pPr>
      <w:bookmarkStart w:id="202" w:name="_Toc21522787"/>
      <w:bookmarkStart w:id="203" w:name="_Toc38447690"/>
      <w:r w:rsidRPr="00666914">
        <w:t xml:space="preserve">Tabuľka </w:t>
      </w:r>
      <w:r w:rsidRPr="00666914">
        <w:rPr>
          <w:noProof/>
        </w:rPr>
        <w:fldChar w:fldCharType="begin"/>
      </w:r>
      <w:r w:rsidRPr="00666914">
        <w:rPr>
          <w:noProof/>
        </w:rPr>
        <w:instrText xml:space="preserve"> SEQ Tabuľka \* ARABIC \* MERGEFORMAT </w:instrText>
      </w:r>
      <w:r w:rsidRPr="00666914">
        <w:rPr>
          <w:noProof/>
        </w:rPr>
        <w:fldChar w:fldCharType="separate"/>
      </w:r>
      <w:r w:rsidR="005A7304">
        <w:rPr>
          <w:noProof/>
        </w:rPr>
        <w:t>29</w:t>
      </w:r>
      <w:r w:rsidRPr="00666914">
        <w:rPr>
          <w:noProof/>
        </w:rPr>
        <w:fldChar w:fldCharType="end"/>
      </w:r>
      <w:r w:rsidRPr="00666914">
        <w:t>: Čerpanie peňažných prostriedkov na bežné opravy a údržbu podľa jednotlivých analytických skupín v roku 2019 v tis. eur</w:t>
      </w:r>
      <w:bookmarkEnd w:id="202"/>
      <w:r w:rsidRPr="00666914">
        <w:t xml:space="preserve"> bez zimnej údržby</w:t>
      </w:r>
      <w:bookmarkEnd w:id="203"/>
    </w:p>
    <w:tbl>
      <w:tblPr>
        <w:tblW w:w="5000" w:type="pct"/>
        <w:tblCellMar>
          <w:left w:w="0" w:type="dxa"/>
          <w:right w:w="0" w:type="dxa"/>
        </w:tblCellMar>
        <w:tblLook w:val="04A0" w:firstRow="1" w:lastRow="0" w:firstColumn="1" w:lastColumn="0" w:noHBand="0" w:noVBand="1"/>
      </w:tblPr>
      <w:tblGrid>
        <w:gridCol w:w="3291"/>
        <w:gridCol w:w="2125"/>
        <w:gridCol w:w="2064"/>
        <w:gridCol w:w="1734"/>
      </w:tblGrid>
      <w:tr w:rsidR="00412259" w:rsidRPr="00666914" w14:paraId="0B75781B" w14:textId="77777777" w:rsidTr="00AC00F9">
        <w:trPr>
          <w:trHeight w:val="178"/>
        </w:trPr>
        <w:tc>
          <w:tcPr>
            <w:tcW w:w="1786" w:type="pct"/>
            <w:tcBorders>
              <w:top w:val="nil"/>
              <w:left w:val="nil"/>
              <w:bottom w:val="single" w:sz="4" w:space="0" w:color="auto"/>
              <w:right w:val="nil"/>
            </w:tcBorders>
            <w:shd w:val="clear" w:color="auto" w:fill="auto"/>
            <w:noWrap/>
            <w:tcMar>
              <w:top w:w="15" w:type="dxa"/>
              <w:left w:w="15" w:type="dxa"/>
              <w:bottom w:w="0" w:type="dxa"/>
              <w:right w:w="15" w:type="dxa"/>
            </w:tcMar>
            <w:hideMark/>
          </w:tcPr>
          <w:p w14:paraId="4EF47FD1" w14:textId="77777777" w:rsidR="00412259" w:rsidRPr="00666914" w:rsidRDefault="00412259" w:rsidP="00AC00F9">
            <w:pPr>
              <w:spacing w:after="0"/>
              <w:jc w:val="left"/>
              <w:rPr>
                <w:rFonts w:cs="Calibri"/>
                <w:b/>
                <w:bCs/>
                <w:sz w:val="20"/>
                <w:szCs w:val="20"/>
                <w:lang w:eastAsia="sk-SK"/>
              </w:rPr>
            </w:pPr>
            <w:r w:rsidRPr="00666914">
              <w:rPr>
                <w:rFonts w:cs="Calibri"/>
                <w:b/>
                <w:bCs/>
                <w:sz w:val="20"/>
                <w:szCs w:val="20"/>
              </w:rPr>
              <w:t>Názov položky</w:t>
            </w:r>
          </w:p>
        </w:tc>
        <w:tc>
          <w:tcPr>
            <w:tcW w:w="1153" w:type="pct"/>
            <w:tcBorders>
              <w:top w:val="nil"/>
              <w:left w:val="nil"/>
              <w:bottom w:val="single" w:sz="4" w:space="0" w:color="auto"/>
              <w:right w:val="nil"/>
            </w:tcBorders>
            <w:shd w:val="clear" w:color="auto" w:fill="auto"/>
            <w:tcMar>
              <w:top w:w="15" w:type="dxa"/>
              <w:left w:w="15" w:type="dxa"/>
              <w:bottom w:w="0" w:type="dxa"/>
              <w:right w:w="15" w:type="dxa"/>
            </w:tcMar>
            <w:hideMark/>
          </w:tcPr>
          <w:p w14:paraId="14D85B95" w14:textId="77777777" w:rsidR="00412259" w:rsidRPr="00666914" w:rsidRDefault="00412259" w:rsidP="00AC00F9">
            <w:pPr>
              <w:jc w:val="center"/>
              <w:rPr>
                <w:rFonts w:cs="Calibri"/>
                <w:b/>
                <w:bCs/>
                <w:sz w:val="20"/>
                <w:szCs w:val="20"/>
              </w:rPr>
            </w:pPr>
            <w:r w:rsidRPr="00666914">
              <w:rPr>
                <w:rFonts w:cs="Calibri"/>
                <w:b/>
                <w:bCs/>
                <w:sz w:val="20"/>
                <w:szCs w:val="20"/>
              </w:rPr>
              <w:t>Plán k 1.1.2019</w:t>
            </w:r>
          </w:p>
        </w:tc>
        <w:tc>
          <w:tcPr>
            <w:tcW w:w="1120" w:type="pct"/>
            <w:tcBorders>
              <w:top w:val="nil"/>
              <w:left w:val="nil"/>
              <w:bottom w:val="single" w:sz="4" w:space="0" w:color="auto"/>
              <w:right w:val="nil"/>
            </w:tcBorders>
            <w:shd w:val="clear" w:color="auto" w:fill="auto"/>
            <w:tcMar>
              <w:top w:w="15" w:type="dxa"/>
              <w:left w:w="15" w:type="dxa"/>
              <w:bottom w:w="0" w:type="dxa"/>
              <w:right w:w="15" w:type="dxa"/>
            </w:tcMar>
            <w:hideMark/>
          </w:tcPr>
          <w:p w14:paraId="4B3E10C3" w14:textId="67EF3EF7" w:rsidR="00412259" w:rsidRPr="00666914" w:rsidRDefault="00AC00F9" w:rsidP="002557AB">
            <w:pPr>
              <w:jc w:val="center"/>
              <w:rPr>
                <w:rFonts w:cs="Calibri"/>
                <w:b/>
                <w:bCs/>
                <w:sz w:val="20"/>
                <w:szCs w:val="20"/>
              </w:rPr>
            </w:pPr>
            <w:r w:rsidRPr="00666914">
              <w:rPr>
                <w:rFonts w:cs="Calibri"/>
                <w:b/>
                <w:bCs/>
                <w:sz w:val="20"/>
                <w:szCs w:val="20"/>
              </w:rPr>
              <w:t xml:space="preserve">Skutočnosť </w:t>
            </w:r>
            <w:r w:rsidR="00412259" w:rsidRPr="00666914">
              <w:rPr>
                <w:rFonts w:cs="Calibri"/>
                <w:b/>
                <w:bCs/>
                <w:sz w:val="20"/>
                <w:szCs w:val="20"/>
              </w:rPr>
              <w:t xml:space="preserve"> k 31.12.2019</w:t>
            </w:r>
          </w:p>
        </w:tc>
        <w:tc>
          <w:tcPr>
            <w:tcW w:w="942" w:type="pct"/>
            <w:tcBorders>
              <w:top w:val="nil"/>
              <w:left w:val="nil"/>
              <w:bottom w:val="single" w:sz="4" w:space="0" w:color="auto"/>
              <w:right w:val="nil"/>
            </w:tcBorders>
            <w:shd w:val="clear" w:color="auto" w:fill="auto"/>
            <w:tcMar>
              <w:top w:w="15" w:type="dxa"/>
              <w:left w:w="15" w:type="dxa"/>
              <w:bottom w:w="0" w:type="dxa"/>
              <w:right w:w="15" w:type="dxa"/>
            </w:tcMar>
            <w:hideMark/>
          </w:tcPr>
          <w:p w14:paraId="2715D412" w14:textId="77777777" w:rsidR="00412259" w:rsidRPr="00666914" w:rsidRDefault="00412259" w:rsidP="00AC00F9">
            <w:pPr>
              <w:jc w:val="center"/>
              <w:rPr>
                <w:rFonts w:cs="Calibri"/>
                <w:b/>
                <w:bCs/>
                <w:sz w:val="20"/>
                <w:szCs w:val="20"/>
              </w:rPr>
            </w:pPr>
            <w:r w:rsidRPr="00666914">
              <w:rPr>
                <w:rFonts w:cs="Calibri"/>
                <w:b/>
                <w:bCs/>
                <w:sz w:val="20"/>
                <w:szCs w:val="20"/>
              </w:rPr>
              <w:t>Čerpanie 2019</w:t>
            </w:r>
          </w:p>
        </w:tc>
      </w:tr>
      <w:tr w:rsidR="00412259" w:rsidRPr="00666914" w14:paraId="70BB2D1E" w14:textId="77777777" w:rsidTr="00412259">
        <w:trPr>
          <w:trHeight w:val="330"/>
        </w:trPr>
        <w:tc>
          <w:tcPr>
            <w:tcW w:w="1786" w:type="pct"/>
            <w:tcBorders>
              <w:top w:val="nil"/>
              <w:left w:val="nil"/>
              <w:bottom w:val="nil"/>
              <w:right w:val="nil"/>
            </w:tcBorders>
            <w:shd w:val="clear" w:color="auto" w:fill="auto"/>
            <w:noWrap/>
            <w:tcMar>
              <w:top w:w="15" w:type="dxa"/>
              <w:left w:w="15" w:type="dxa"/>
              <w:bottom w:w="0" w:type="dxa"/>
              <w:right w:w="15" w:type="dxa"/>
            </w:tcMar>
            <w:vAlign w:val="center"/>
            <w:hideMark/>
          </w:tcPr>
          <w:p w14:paraId="348D54D0" w14:textId="77777777" w:rsidR="00412259" w:rsidRPr="00666914" w:rsidRDefault="00412259">
            <w:pPr>
              <w:rPr>
                <w:rFonts w:cs="Calibri"/>
                <w:sz w:val="20"/>
                <w:szCs w:val="20"/>
              </w:rPr>
            </w:pPr>
            <w:r w:rsidRPr="00666914">
              <w:rPr>
                <w:rFonts w:cs="Calibri"/>
                <w:sz w:val="20"/>
                <w:szCs w:val="20"/>
              </w:rPr>
              <w:t>Oprava a údržba ciest</w:t>
            </w:r>
          </w:p>
        </w:tc>
        <w:tc>
          <w:tcPr>
            <w:tcW w:w="1153" w:type="pct"/>
            <w:tcBorders>
              <w:top w:val="nil"/>
              <w:left w:val="nil"/>
              <w:bottom w:val="nil"/>
              <w:right w:val="nil"/>
            </w:tcBorders>
            <w:shd w:val="clear" w:color="auto" w:fill="auto"/>
            <w:noWrap/>
            <w:tcMar>
              <w:top w:w="15" w:type="dxa"/>
              <w:left w:w="15" w:type="dxa"/>
              <w:bottom w:w="0" w:type="dxa"/>
              <w:right w:w="15" w:type="dxa"/>
            </w:tcMar>
            <w:vAlign w:val="bottom"/>
            <w:hideMark/>
          </w:tcPr>
          <w:p w14:paraId="2CFB8176" w14:textId="77777777" w:rsidR="00412259" w:rsidRPr="00666914" w:rsidRDefault="00412259">
            <w:pPr>
              <w:jc w:val="center"/>
              <w:rPr>
                <w:rFonts w:cs="Calibri"/>
                <w:sz w:val="20"/>
                <w:szCs w:val="20"/>
              </w:rPr>
            </w:pPr>
            <w:r w:rsidRPr="00666914">
              <w:rPr>
                <w:rFonts w:cs="Calibri"/>
                <w:sz w:val="20"/>
                <w:szCs w:val="20"/>
              </w:rPr>
              <w:t>11 183</w:t>
            </w:r>
          </w:p>
        </w:tc>
        <w:tc>
          <w:tcPr>
            <w:tcW w:w="1120" w:type="pct"/>
            <w:tcBorders>
              <w:top w:val="nil"/>
              <w:left w:val="nil"/>
              <w:bottom w:val="nil"/>
              <w:right w:val="nil"/>
            </w:tcBorders>
            <w:shd w:val="clear" w:color="auto" w:fill="auto"/>
            <w:noWrap/>
            <w:tcMar>
              <w:top w:w="15" w:type="dxa"/>
              <w:left w:w="15" w:type="dxa"/>
              <w:bottom w:w="0" w:type="dxa"/>
              <w:right w:w="15" w:type="dxa"/>
            </w:tcMar>
            <w:vAlign w:val="bottom"/>
            <w:hideMark/>
          </w:tcPr>
          <w:p w14:paraId="47A253CC" w14:textId="77777777" w:rsidR="00412259" w:rsidRPr="00666914" w:rsidRDefault="00412259">
            <w:pPr>
              <w:jc w:val="center"/>
              <w:rPr>
                <w:rFonts w:cs="Calibri"/>
                <w:sz w:val="20"/>
                <w:szCs w:val="20"/>
              </w:rPr>
            </w:pPr>
            <w:r w:rsidRPr="00666914">
              <w:rPr>
                <w:rFonts w:cs="Calibri"/>
                <w:sz w:val="20"/>
                <w:szCs w:val="20"/>
              </w:rPr>
              <w:t>8 806</w:t>
            </w:r>
          </w:p>
        </w:tc>
        <w:tc>
          <w:tcPr>
            <w:tcW w:w="942" w:type="pct"/>
            <w:tcBorders>
              <w:top w:val="nil"/>
              <w:left w:val="nil"/>
              <w:bottom w:val="nil"/>
              <w:right w:val="nil"/>
            </w:tcBorders>
            <w:shd w:val="clear" w:color="auto" w:fill="auto"/>
            <w:noWrap/>
            <w:tcMar>
              <w:top w:w="15" w:type="dxa"/>
              <w:left w:w="15" w:type="dxa"/>
              <w:bottom w:w="0" w:type="dxa"/>
              <w:right w:w="15" w:type="dxa"/>
            </w:tcMar>
            <w:vAlign w:val="center"/>
            <w:hideMark/>
          </w:tcPr>
          <w:p w14:paraId="3975A156" w14:textId="77777777" w:rsidR="00412259" w:rsidRPr="00666914" w:rsidRDefault="00412259">
            <w:pPr>
              <w:jc w:val="center"/>
              <w:rPr>
                <w:rFonts w:cs="Calibri"/>
                <w:sz w:val="20"/>
                <w:szCs w:val="20"/>
              </w:rPr>
            </w:pPr>
            <w:r w:rsidRPr="00666914">
              <w:rPr>
                <w:rFonts w:cs="Calibri"/>
                <w:sz w:val="20"/>
                <w:szCs w:val="20"/>
              </w:rPr>
              <w:t>79%</w:t>
            </w:r>
          </w:p>
        </w:tc>
      </w:tr>
      <w:tr w:rsidR="00412259" w:rsidRPr="00666914" w14:paraId="1ECF3FE9" w14:textId="77777777" w:rsidTr="00412259">
        <w:trPr>
          <w:trHeight w:val="300"/>
        </w:trPr>
        <w:tc>
          <w:tcPr>
            <w:tcW w:w="1786" w:type="pct"/>
            <w:tcBorders>
              <w:top w:val="nil"/>
              <w:left w:val="nil"/>
              <w:bottom w:val="nil"/>
              <w:right w:val="nil"/>
            </w:tcBorders>
            <w:shd w:val="clear" w:color="auto" w:fill="auto"/>
            <w:noWrap/>
            <w:tcMar>
              <w:top w:w="15" w:type="dxa"/>
              <w:left w:w="15" w:type="dxa"/>
              <w:bottom w:w="0" w:type="dxa"/>
              <w:right w:w="15" w:type="dxa"/>
            </w:tcMar>
            <w:vAlign w:val="center"/>
            <w:hideMark/>
          </w:tcPr>
          <w:p w14:paraId="57BEBFAC" w14:textId="77777777" w:rsidR="00412259" w:rsidRPr="00666914" w:rsidRDefault="00412259">
            <w:pPr>
              <w:rPr>
                <w:rFonts w:cs="Calibri"/>
                <w:sz w:val="20"/>
                <w:szCs w:val="20"/>
              </w:rPr>
            </w:pPr>
            <w:r w:rsidRPr="00666914">
              <w:rPr>
                <w:rFonts w:cs="Calibri"/>
                <w:sz w:val="20"/>
                <w:szCs w:val="20"/>
              </w:rPr>
              <w:t>Dopravné značenie</w:t>
            </w:r>
          </w:p>
        </w:tc>
        <w:tc>
          <w:tcPr>
            <w:tcW w:w="1153" w:type="pct"/>
            <w:tcBorders>
              <w:top w:val="nil"/>
              <w:left w:val="nil"/>
              <w:bottom w:val="nil"/>
              <w:right w:val="nil"/>
            </w:tcBorders>
            <w:shd w:val="clear" w:color="auto" w:fill="auto"/>
            <w:noWrap/>
            <w:tcMar>
              <w:top w:w="15" w:type="dxa"/>
              <w:left w:w="15" w:type="dxa"/>
              <w:bottom w:w="0" w:type="dxa"/>
              <w:right w:w="15" w:type="dxa"/>
            </w:tcMar>
            <w:vAlign w:val="bottom"/>
            <w:hideMark/>
          </w:tcPr>
          <w:p w14:paraId="4BCC195A" w14:textId="77777777" w:rsidR="00412259" w:rsidRPr="00666914" w:rsidRDefault="00412259">
            <w:pPr>
              <w:jc w:val="center"/>
              <w:rPr>
                <w:rFonts w:cs="Calibri"/>
                <w:sz w:val="20"/>
                <w:szCs w:val="20"/>
              </w:rPr>
            </w:pPr>
            <w:r w:rsidRPr="00666914">
              <w:rPr>
                <w:rFonts w:cs="Calibri"/>
                <w:sz w:val="20"/>
                <w:szCs w:val="20"/>
              </w:rPr>
              <w:t>3 948</w:t>
            </w:r>
          </w:p>
        </w:tc>
        <w:tc>
          <w:tcPr>
            <w:tcW w:w="1120" w:type="pct"/>
            <w:tcBorders>
              <w:top w:val="nil"/>
              <w:left w:val="nil"/>
              <w:bottom w:val="nil"/>
              <w:right w:val="nil"/>
            </w:tcBorders>
            <w:shd w:val="clear" w:color="auto" w:fill="auto"/>
            <w:noWrap/>
            <w:tcMar>
              <w:top w:w="15" w:type="dxa"/>
              <w:left w:w="15" w:type="dxa"/>
              <w:bottom w:w="0" w:type="dxa"/>
              <w:right w:w="15" w:type="dxa"/>
            </w:tcMar>
            <w:vAlign w:val="bottom"/>
            <w:hideMark/>
          </w:tcPr>
          <w:p w14:paraId="6FF572CD" w14:textId="77777777" w:rsidR="00412259" w:rsidRPr="00666914" w:rsidRDefault="00412259">
            <w:pPr>
              <w:jc w:val="center"/>
              <w:rPr>
                <w:rFonts w:cs="Calibri"/>
                <w:sz w:val="20"/>
                <w:szCs w:val="20"/>
              </w:rPr>
            </w:pPr>
            <w:r w:rsidRPr="00666914">
              <w:rPr>
                <w:rFonts w:cs="Calibri"/>
                <w:sz w:val="20"/>
                <w:szCs w:val="20"/>
              </w:rPr>
              <w:t>4 649</w:t>
            </w:r>
          </w:p>
        </w:tc>
        <w:tc>
          <w:tcPr>
            <w:tcW w:w="942" w:type="pct"/>
            <w:tcBorders>
              <w:top w:val="nil"/>
              <w:left w:val="nil"/>
              <w:bottom w:val="nil"/>
              <w:right w:val="nil"/>
            </w:tcBorders>
            <w:shd w:val="clear" w:color="auto" w:fill="auto"/>
            <w:noWrap/>
            <w:tcMar>
              <w:top w:w="15" w:type="dxa"/>
              <w:left w:w="15" w:type="dxa"/>
              <w:bottom w:w="0" w:type="dxa"/>
              <w:right w:w="15" w:type="dxa"/>
            </w:tcMar>
            <w:vAlign w:val="center"/>
            <w:hideMark/>
          </w:tcPr>
          <w:p w14:paraId="36420BE6" w14:textId="77777777" w:rsidR="00412259" w:rsidRPr="00666914" w:rsidRDefault="00412259">
            <w:pPr>
              <w:jc w:val="center"/>
              <w:rPr>
                <w:rFonts w:cs="Calibri"/>
                <w:sz w:val="20"/>
                <w:szCs w:val="20"/>
              </w:rPr>
            </w:pPr>
            <w:r w:rsidRPr="00666914">
              <w:rPr>
                <w:rFonts w:cs="Calibri"/>
                <w:sz w:val="20"/>
                <w:szCs w:val="20"/>
              </w:rPr>
              <w:t>118%</w:t>
            </w:r>
          </w:p>
        </w:tc>
      </w:tr>
      <w:tr w:rsidR="00412259" w:rsidRPr="00666914" w14:paraId="34180F18" w14:textId="77777777" w:rsidTr="00412259">
        <w:trPr>
          <w:trHeight w:val="330"/>
        </w:trPr>
        <w:tc>
          <w:tcPr>
            <w:tcW w:w="1786" w:type="pct"/>
            <w:tcBorders>
              <w:top w:val="nil"/>
              <w:left w:val="nil"/>
              <w:bottom w:val="nil"/>
              <w:right w:val="nil"/>
            </w:tcBorders>
            <w:shd w:val="clear" w:color="auto" w:fill="auto"/>
            <w:noWrap/>
            <w:tcMar>
              <w:top w:w="15" w:type="dxa"/>
              <w:left w:w="15" w:type="dxa"/>
              <w:bottom w:w="0" w:type="dxa"/>
              <w:right w:w="15" w:type="dxa"/>
            </w:tcMar>
            <w:vAlign w:val="center"/>
            <w:hideMark/>
          </w:tcPr>
          <w:p w14:paraId="0FD3A0D1" w14:textId="77777777" w:rsidR="00412259" w:rsidRPr="00666914" w:rsidRDefault="00412259">
            <w:pPr>
              <w:rPr>
                <w:rFonts w:cs="Calibri"/>
                <w:sz w:val="20"/>
                <w:szCs w:val="20"/>
              </w:rPr>
            </w:pPr>
            <w:r w:rsidRPr="00666914">
              <w:rPr>
                <w:rFonts w:cs="Calibri"/>
                <w:sz w:val="20"/>
                <w:szCs w:val="20"/>
              </w:rPr>
              <w:t>Bezpečnostné zariadenia</w:t>
            </w:r>
          </w:p>
        </w:tc>
        <w:tc>
          <w:tcPr>
            <w:tcW w:w="1153" w:type="pct"/>
            <w:tcBorders>
              <w:top w:val="nil"/>
              <w:left w:val="nil"/>
              <w:bottom w:val="nil"/>
              <w:right w:val="nil"/>
            </w:tcBorders>
            <w:shd w:val="clear" w:color="auto" w:fill="auto"/>
            <w:noWrap/>
            <w:tcMar>
              <w:top w:w="15" w:type="dxa"/>
              <w:left w:w="15" w:type="dxa"/>
              <w:bottom w:w="0" w:type="dxa"/>
              <w:right w:w="15" w:type="dxa"/>
            </w:tcMar>
            <w:vAlign w:val="bottom"/>
            <w:hideMark/>
          </w:tcPr>
          <w:p w14:paraId="44CD3D3B" w14:textId="77777777" w:rsidR="00412259" w:rsidRPr="00666914" w:rsidRDefault="00412259">
            <w:pPr>
              <w:jc w:val="center"/>
              <w:rPr>
                <w:rFonts w:cs="Calibri"/>
                <w:sz w:val="20"/>
                <w:szCs w:val="20"/>
              </w:rPr>
            </w:pPr>
            <w:r w:rsidRPr="00666914">
              <w:rPr>
                <w:rFonts w:cs="Calibri"/>
                <w:sz w:val="20"/>
                <w:szCs w:val="20"/>
              </w:rPr>
              <w:t>702</w:t>
            </w:r>
          </w:p>
        </w:tc>
        <w:tc>
          <w:tcPr>
            <w:tcW w:w="1120" w:type="pct"/>
            <w:tcBorders>
              <w:top w:val="nil"/>
              <w:left w:val="nil"/>
              <w:bottom w:val="nil"/>
              <w:right w:val="nil"/>
            </w:tcBorders>
            <w:shd w:val="clear" w:color="auto" w:fill="auto"/>
            <w:noWrap/>
            <w:tcMar>
              <w:top w:w="15" w:type="dxa"/>
              <w:left w:w="15" w:type="dxa"/>
              <w:bottom w:w="0" w:type="dxa"/>
              <w:right w:w="15" w:type="dxa"/>
            </w:tcMar>
            <w:vAlign w:val="bottom"/>
            <w:hideMark/>
          </w:tcPr>
          <w:p w14:paraId="10B2C8F8" w14:textId="77777777" w:rsidR="00412259" w:rsidRPr="00666914" w:rsidRDefault="00412259">
            <w:pPr>
              <w:jc w:val="center"/>
              <w:rPr>
                <w:rFonts w:cs="Calibri"/>
                <w:sz w:val="20"/>
                <w:szCs w:val="20"/>
              </w:rPr>
            </w:pPr>
            <w:r w:rsidRPr="00666914">
              <w:rPr>
                <w:rFonts w:cs="Calibri"/>
                <w:sz w:val="20"/>
                <w:szCs w:val="20"/>
              </w:rPr>
              <w:t>2 125</w:t>
            </w:r>
          </w:p>
        </w:tc>
        <w:tc>
          <w:tcPr>
            <w:tcW w:w="942" w:type="pct"/>
            <w:tcBorders>
              <w:top w:val="nil"/>
              <w:left w:val="nil"/>
              <w:bottom w:val="nil"/>
              <w:right w:val="nil"/>
            </w:tcBorders>
            <w:shd w:val="clear" w:color="auto" w:fill="auto"/>
            <w:noWrap/>
            <w:tcMar>
              <w:top w:w="15" w:type="dxa"/>
              <w:left w:w="15" w:type="dxa"/>
              <w:bottom w:w="0" w:type="dxa"/>
              <w:right w:w="15" w:type="dxa"/>
            </w:tcMar>
            <w:vAlign w:val="center"/>
            <w:hideMark/>
          </w:tcPr>
          <w:p w14:paraId="35D47EFA" w14:textId="77777777" w:rsidR="00412259" w:rsidRPr="00666914" w:rsidRDefault="00412259">
            <w:pPr>
              <w:jc w:val="center"/>
              <w:rPr>
                <w:rFonts w:cs="Calibri"/>
                <w:sz w:val="20"/>
                <w:szCs w:val="20"/>
              </w:rPr>
            </w:pPr>
            <w:r w:rsidRPr="00666914">
              <w:rPr>
                <w:rFonts w:cs="Calibri"/>
                <w:sz w:val="20"/>
                <w:szCs w:val="20"/>
              </w:rPr>
              <w:t>303%</w:t>
            </w:r>
          </w:p>
        </w:tc>
      </w:tr>
      <w:tr w:rsidR="00412259" w:rsidRPr="00666914" w14:paraId="07D2A611" w14:textId="77777777" w:rsidTr="00412259">
        <w:trPr>
          <w:trHeight w:val="330"/>
        </w:trPr>
        <w:tc>
          <w:tcPr>
            <w:tcW w:w="1786" w:type="pct"/>
            <w:tcBorders>
              <w:top w:val="nil"/>
              <w:left w:val="nil"/>
              <w:bottom w:val="nil"/>
              <w:right w:val="nil"/>
            </w:tcBorders>
            <w:shd w:val="clear" w:color="auto" w:fill="auto"/>
            <w:noWrap/>
            <w:tcMar>
              <w:top w:w="15" w:type="dxa"/>
              <w:left w:w="15" w:type="dxa"/>
              <w:bottom w:w="0" w:type="dxa"/>
              <w:right w:w="15" w:type="dxa"/>
            </w:tcMar>
            <w:vAlign w:val="center"/>
            <w:hideMark/>
          </w:tcPr>
          <w:p w14:paraId="1A07D022" w14:textId="77777777" w:rsidR="00412259" w:rsidRPr="00666914" w:rsidRDefault="00412259">
            <w:pPr>
              <w:rPr>
                <w:rFonts w:cs="Calibri"/>
                <w:sz w:val="20"/>
                <w:szCs w:val="20"/>
              </w:rPr>
            </w:pPr>
            <w:r w:rsidRPr="00666914">
              <w:rPr>
                <w:rFonts w:cs="Calibri"/>
                <w:sz w:val="20"/>
                <w:szCs w:val="20"/>
              </w:rPr>
              <w:t>Cestné teleso a odvodnenie</w:t>
            </w:r>
          </w:p>
        </w:tc>
        <w:tc>
          <w:tcPr>
            <w:tcW w:w="1153" w:type="pct"/>
            <w:tcBorders>
              <w:top w:val="nil"/>
              <w:left w:val="nil"/>
              <w:bottom w:val="nil"/>
              <w:right w:val="nil"/>
            </w:tcBorders>
            <w:shd w:val="clear" w:color="auto" w:fill="auto"/>
            <w:noWrap/>
            <w:tcMar>
              <w:top w:w="15" w:type="dxa"/>
              <w:left w:w="15" w:type="dxa"/>
              <w:bottom w:w="0" w:type="dxa"/>
              <w:right w:w="15" w:type="dxa"/>
            </w:tcMar>
            <w:vAlign w:val="bottom"/>
            <w:hideMark/>
          </w:tcPr>
          <w:p w14:paraId="38C8559C" w14:textId="77777777" w:rsidR="00412259" w:rsidRPr="00666914" w:rsidRDefault="00412259">
            <w:pPr>
              <w:jc w:val="center"/>
              <w:rPr>
                <w:rFonts w:cs="Calibri"/>
                <w:sz w:val="20"/>
                <w:szCs w:val="20"/>
              </w:rPr>
            </w:pPr>
            <w:r w:rsidRPr="00666914">
              <w:rPr>
                <w:rFonts w:cs="Calibri"/>
                <w:sz w:val="20"/>
                <w:szCs w:val="20"/>
              </w:rPr>
              <w:t>1 117</w:t>
            </w:r>
          </w:p>
        </w:tc>
        <w:tc>
          <w:tcPr>
            <w:tcW w:w="1120" w:type="pct"/>
            <w:tcBorders>
              <w:top w:val="nil"/>
              <w:left w:val="nil"/>
              <w:bottom w:val="nil"/>
              <w:right w:val="nil"/>
            </w:tcBorders>
            <w:shd w:val="clear" w:color="auto" w:fill="auto"/>
            <w:noWrap/>
            <w:tcMar>
              <w:top w:w="15" w:type="dxa"/>
              <w:left w:w="15" w:type="dxa"/>
              <w:bottom w:w="0" w:type="dxa"/>
              <w:right w:w="15" w:type="dxa"/>
            </w:tcMar>
            <w:vAlign w:val="bottom"/>
            <w:hideMark/>
          </w:tcPr>
          <w:p w14:paraId="7889106B" w14:textId="77777777" w:rsidR="00412259" w:rsidRPr="00666914" w:rsidRDefault="00412259">
            <w:pPr>
              <w:jc w:val="center"/>
              <w:rPr>
                <w:rFonts w:cs="Calibri"/>
                <w:sz w:val="20"/>
                <w:szCs w:val="20"/>
              </w:rPr>
            </w:pPr>
            <w:r w:rsidRPr="00666914">
              <w:rPr>
                <w:rFonts w:cs="Calibri"/>
                <w:sz w:val="20"/>
                <w:szCs w:val="20"/>
              </w:rPr>
              <w:t>1 547</w:t>
            </w:r>
          </w:p>
        </w:tc>
        <w:tc>
          <w:tcPr>
            <w:tcW w:w="942" w:type="pct"/>
            <w:tcBorders>
              <w:top w:val="nil"/>
              <w:left w:val="nil"/>
              <w:bottom w:val="nil"/>
              <w:right w:val="nil"/>
            </w:tcBorders>
            <w:shd w:val="clear" w:color="auto" w:fill="auto"/>
            <w:noWrap/>
            <w:tcMar>
              <w:top w:w="15" w:type="dxa"/>
              <w:left w:w="15" w:type="dxa"/>
              <w:bottom w:w="0" w:type="dxa"/>
              <w:right w:w="15" w:type="dxa"/>
            </w:tcMar>
            <w:vAlign w:val="center"/>
            <w:hideMark/>
          </w:tcPr>
          <w:p w14:paraId="3D47D567" w14:textId="77777777" w:rsidR="00412259" w:rsidRPr="00666914" w:rsidRDefault="00412259">
            <w:pPr>
              <w:jc w:val="center"/>
              <w:rPr>
                <w:rFonts w:cs="Calibri"/>
                <w:sz w:val="20"/>
                <w:szCs w:val="20"/>
              </w:rPr>
            </w:pPr>
            <w:r w:rsidRPr="00666914">
              <w:rPr>
                <w:rFonts w:cs="Calibri"/>
                <w:sz w:val="20"/>
                <w:szCs w:val="20"/>
              </w:rPr>
              <w:t>138%</w:t>
            </w:r>
          </w:p>
        </w:tc>
      </w:tr>
      <w:tr w:rsidR="00412259" w:rsidRPr="00666914" w14:paraId="74E96958" w14:textId="77777777" w:rsidTr="00412259">
        <w:trPr>
          <w:trHeight w:val="300"/>
        </w:trPr>
        <w:tc>
          <w:tcPr>
            <w:tcW w:w="1786" w:type="pct"/>
            <w:tcBorders>
              <w:top w:val="nil"/>
              <w:left w:val="nil"/>
              <w:bottom w:val="nil"/>
              <w:right w:val="nil"/>
            </w:tcBorders>
            <w:shd w:val="clear" w:color="auto" w:fill="auto"/>
            <w:noWrap/>
            <w:tcMar>
              <w:top w:w="15" w:type="dxa"/>
              <w:left w:w="15" w:type="dxa"/>
              <w:bottom w:w="0" w:type="dxa"/>
              <w:right w:w="15" w:type="dxa"/>
            </w:tcMar>
            <w:vAlign w:val="center"/>
            <w:hideMark/>
          </w:tcPr>
          <w:p w14:paraId="37397EE4" w14:textId="77777777" w:rsidR="00412259" w:rsidRPr="00666914" w:rsidRDefault="00412259">
            <w:pPr>
              <w:rPr>
                <w:rFonts w:cs="Calibri"/>
                <w:sz w:val="20"/>
                <w:szCs w:val="20"/>
              </w:rPr>
            </w:pPr>
            <w:r w:rsidRPr="00666914">
              <w:rPr>
                <w:rFonts w:cs="Calibri"/>
                <w:sz w:val="20"/>
                <w:szCs w:val="20"/>
              </w:rPr>
              <w:t>Opravy a údržba mostov</w:t>
            </w:r>
          </w:p>
        </w:tc>
        <w:tc>
          <w:tcPr>
            <w:tcW w:w="1153" w:type="pct"/>
            <w:tcBorders>
              <w:top w:val="nil"/>
              <w:left w:val="nil"/>
              <w:bottom w:val="nil"/>
              <w:right w:val="nil"/>
            </w:tcBorders>
            <w:shd w:val="clear" w:color="auto" w:fill="auto"/>
            <w:noWrap/>
            <w:tcMar>
              <w:top w:w="15" w:type="dxa"/>
              <w:left w:w="15" w:type="dxa"/>
              <w:bottom w:w="0" w:type="dxa"/>
              <w:right w:w="15" w:type="dxa"/>
            </w:tcMar>
            <w:vAlign w:val="bottom"/>
            <w:hideMark/>
          </w:tcPr>
          <w:p w14:paraId="33C5CAD1" w14:textId="77777777" w:rsidR="00412259" w:rsidRPr="00666914" w:rsidRDefault="00412259">
            <w:pPr>
              <w:jc w:val="center"/>
              <w:rPr>
                <w:rFonts w:cs="Calibri"/>
                <w:sz w:val="20"/>
                <w:szCs w:val="20"/>
              </w:rPr>
            </w:pPr>
            <w:r w:rsidRPr="00666914">
              <w:rPr>
                <w:rFonts w:cs="Calibri"/>
                <w:sz w:val="20"/>
                <w:szCs w:val="20"/>
              </w:rPr>
              <w:t>2 208</w:t>
            </w:r>
          </w:p>
        </w:tc>
        <w:tc>
          <w:tcPr>
            <w:tcW w:w="1120" w:type="pct"/>
            <w:tcBorders>
              <w:top w:val="nil"/>
              <w:left w:val="nil"/>
              <w:bottom w:val="nil"/>
              <w:right w:val="nil"/>
            </w:tcBorders>
            <w:shd w:val="clear" w:color="auto" w:fill="auto"/>
            <w:noWrap/>
            <w:tcMar>
              <w:top w:w="15" w:type="dxa"/>
              <w:left w:w="15" w:type="dxa"/>
              <w:bottom w:w="0" w:type="dxa"/>
              <w:right w:w="15" w:type="dxa"/>
            </w:tcMar>
            <w:vAlign w:val="bottom"/>
            <w:hideMark/>
          </w:tcPr>
          <w:p w14:paraId="46029389" w14:textId="77777777" w:rsidR="00412259" w:rsidRPr="00666914" w:rsidRDefault="00412259">
            <w:pPr>
              <w:jc w:val="center"/>
              <w:rPr>
                <w:rFonts w:cs="Calibri"/>
                <w:sz w:val="20"/>
                <w:szCs w:val="20"/>
              </w:rPr>
            </w:pPr>
            <w:r w:rsidRPr="00666914">
              <w:rPr>
                <w:rFonts w:cs="Calibri"/>
                <w:sz w:val="20"/>
                <w:szCs w:val="20"/>
              </w:rPr>
              <w:t>1 545</w:t>
            </w:r>
          </w:p>
        </w:tc>
        <w:tc>
          <w:tcPr>
            <w:tcW w:w="942" w:type="pct"/>
            <w:tcBorders>
              <w:top w:val="nil"/>
              <w:left w:val="nil"/>
              <w:bottom w:val="nil"/>
              <w:right w:val="nil"/>
            </w:tcBorders>
            <w:shd w:val="clear" w:color="auto" w:fill="auto"/>
            <w:noWrap/>
            <w:tcMar>
              <w:top w:w="15" w:type="dxa"/>
              <w:left w:w="15" w:type="dxa"/>
              <w:bottom w:w="0" w:type="dxa"/>
              <w:right w:w="15" w:type="dxa"/>
            </w:tcMar>
            <w:vAlign w:val="center"/>
            <w:hideMark/>
          </w:tcPr>
          <w:p w14:paraId="6BE2BFEA" w14:textId="77777777" w:rsidR="00412259" w:rsidRPr="00666914" w:rsidRDefault="00412259">
            <w:pPr>
              <w:jc w:val="center"/>
              <w:rPr>
                <w:rFonts w:cs="Calibri"/>
                <w:sz w:val="20"/>
                <w:szCs w:val="20"/>
              </w:rPr>
            </w:pPr>
            <w:r w:rsidRPr="00666914">
              <w:rPr>
                <w:rFonts w:cs="Calibri"/>
                <w:sz w:val="20"/>
                <w:szCs w:val="20"/>
              </w:rPr>
              <w:t>70%</w:t>
            </w:r>
          </w:p>
        </w:tc>
      </w:tr>
      <w:tr w:rsidR="00412259" w:rsidRPr="00666914" w14:paraId="4C2A4C81" w14:textId="77777777" w:rsidTr="00412259">
        <w:trPr>
          <w:trHeight w:val="285"/>
        </w:trPr>
        <w:tc>
          <w:tcPr>
            <w:tcW w:w="1786" w:type="pct"/>
            <w:tcBorders>
              <w:top w:val="nil"/>
              <w:left w:val="nil"/>
              <w:bottom w:val="nil"/>
              <w:right w:val="nil"/>
            </w:tcBorders>
            <w:shd w:val="clear" w:color="auto" w:fill="auto"/>
            <w:noWrap/>
            <w:tcMar>
              <w:top w:w="15" w:type="dxa"/>
              <w:left w:w="15" w:type="dxa"/>
              <w:bottom w:w="0" w:type="dxa"/>
              <w:right w:w="15" w:type="dxa"/>
            </w:tcMar>
            <w:vAlign w:val="center"/>
            <w:hideMark/>
          </w:tcPr>
          <w:p w14:paraId="397B4031" w14:textId="77777777" w:rsidR="00412259" w:rsidRPr="00666914" w:rsidRDefault="00412259">
            <w:pPr>
              <w:rPr>
                <w:rFonts w:cs="Calibri"/>
                <w:sz w:val="20"/>
                <w:szCs w:val="20"/>
              </w:rPr>
            </w:pPr>
            <w:r w:rsidRPr="00666914">
              <w:rPr>
                <w:rFonts w:cs="Calibri"/>
                <w:sz w:val="20"/>
                <w:szCs w:val="20"/>
              </w:rPr>
              <w:t>Ostatné objekty</w:t>
            </w:r>
          </w:p>
        </w:tc>
        <w:tc>
          <w:tcPr>
            <w:tcW w:w="1153" w:type="pct"/>
            <w:tcBorders>
              <w:top w:val="nil"/>
              <w:left w:val="nil"/>
              <w:bottom w:val="nil"/>
              <w:right w:val="nil"/>
            </w:tcBorders>
            <w:shd w:val="clear" w:color="auto" w:fill="auto"/>
            <w:noWrap/>
            <w:tcMar>
              <w:top w:w="15" w:type="dxa"/>
              <w:left w:w="15" w:type="dxa"/>
              <w:bottom w:w="0" w:type="dxa"/>
              <w:right w:w="15" w:type="dxa"/>
            </w:tcMar>
            <w:vAlign w:val="bottom"/>
            <w:hideMark/>
          </w:tcPr>
          <w:p w14:paraId="485A6EF1" w14:textId="77777777" w:rsidR="00412259" w:rsidRPr="00666914" w:rsidRDefault="00412259">
            <w:pPr>
              <w:jc w:val="center"/>
              <w:rPr>
                <w:rFonts w:cs="Calibri"/>
                <w:sz w:val="20"/>
                <w:szCs w:val="20"/>
              </w:rPr>
            </w:pPr>
            <w:r w:rsidRPr="00666914">
              <w:rPr>
                <w:rFonts w:cs="Calibri"/>
                <w:sz w:val="20"/>
                <w:szCs w:val="20"/>
              </w:rPr>
              <w:t>262</w:t>
            </w:r>
          </w:p>
        </w:tc>
        <w:tc>
          <w:tcPr>
            <w:tcW w:w="1120" w:type="pct"/>
            <w:tcBorders>
              <w:top w:val="nil"/>
              <w:left w:val="nil"/>
              <w:bottom w:val="nil"/>
              <w:right w:val="nil"/>
            </w:tcBorders>
            <w:shd w:val="clear" w:color="auto" w:fill="auto"/>
            <w:noWrap/>
            <w:tcMar>
              <w:top w:w="15" w:type="dxa"/>
              <w:left w:w="15" w:type="dxa"/>
              <w:bottom w:w="0" w:type="dxa"/>
              <w:right w:w="15" w:type="dxa"/>
            </w:tcMar>
            <w:vAlign w:val="bottom"/>
            <w:hideMark/>
          </w:tcPr>
          <w:p w14:paraId="505EF6E8" w14:textId="77777777" w:rsidR="00412259" w:rsidRPr="00666914" w:rsidRDefault="00412259">
            <w:pPr>
              <w:jc w:val="center"/>
              <w:rPr>
                <w:rFonts w:cs="Calibri"/>
                <w:sz w:val="20"/>
                <w:szCs w:val="20"/>
              </w:rPr>
            </w:pPr>
            <w:r w:rsidRPr="00666914">
              <w:rPr>
                <w:rFonts w:cs="Calibri"/>
                <w:sz w:val="20"/>
                <w:szCs w:val="20"/>
              </w:rPr>
              <w:t>704</w:t>
            </w:r>
          </w:p>
        </w:tc>
        <w:tc>
          <w:tcPr>
            <w:tcW w:w="942" w:type="pct"/>
            <w:tcBorders>
              <w:top w:val="nil"/>
              <w:left w:val="nil"/>
              <w:bottom w:val="nil"/>
              <w:right w:val="nil"/>
            </w:tcBorders>
            <w:shd w:val="clear" w:color="auto" w:fill="auto"/>
            <w:noWrap/>
            <w:tcMar>
              <w:top w:w="15" w:type="dxa"/>
              <w:left w:w="15" w:type="dxa"/>
              <w:bottom w:w="0" w:type="dxa"/>
              <w:right w:w="15" w:type="dxa"/>
            </w:tcMar>
            <w:vAlign w:val="center"/>
            <w:hideMark/>
          </w:tcPr>
          <w:p w14:paraId="6632F693" w14:textId="77777777" w:rsidR="00412259" w:rsidRPr="00666914" w:rsidRDefault="00412259">
            <w:pPr>
              <w:jc w:val="center"/>
              <w:rPr>
                <w:rFonts w:cs="Calibri"/>
                <w:sz w:val="20"/>
                <w:szCs w:val="20"/>
              </w:rPr>
            </w:pPr>
            <w:r w:rsidRPr="00666914">
              <w:rPr>
                <w:rFonts w:cs="Calibri"/>
                <w:sz w:val="20"/>
                <w:szCs w:val="20"/>
              </w:rPr>
              <w:t>269%</w:t>
            </w:r>
          </w:p>
        </w:tc>
      </w:tr>
      <w:tr w:rsidR="00412259" w:rsidRPr="00666914" w14:paraId="2FC52BB7" w14:textId="77777777" w:rsidTr="00412259">
        <w:trPr>
          <w:trHeight w:val="360"/>
        </w:trPr>
        <w:tc>
          <w:tcPr>
            <w:tcW w:w="1786" w:type="pct"/>
            <w:tcBorders>
              <w:top w:val="nil"/>
              <w:left w:val="nil"/>
              <w:bottom w:val="nil"/>
              <w:right w:val="nil"/>
            </w:tcBorders>
            <w:shd w:val="clear" w:color="auto" w:fill="auto"/>
            <w:noWrap/>
            <w:tcMar>
              <w:top w:w="15" w:type="dxa"/>
              <w:left w:w="15" w:type="dxa"/>
              <w:bottom w:w="0" w:type="dxa"/>
              <w:right w:w="15" w:type="dxa"/>
            </w:tcMar>
            <w:vAlign w:val="center"/>
            <w:hideMark/>
          </w:tcPr>
          <w:p w14:paraId="0DC5C84F" w14:textId="77777777" w:rsidR="00412259" w:rsidRPr="00666914" w:rsidRDefault="00412259">
            <w:pPr>
              <w:rPr>
                <w:rFonts w:cs="Calibri"/>
                <w:sz w:val="20"/>
                <w:szCs w:val="20"/>
              </w:rPr>
            </w:pPr>
            <w:r w:rsidRPr="00666914">
              <w:rPr>
                <w:rFonts w:cs="Calibri"/>
                <w:sz w:val="20"/>
                <w:szCs w:val="20"/>
              </w:rPr>
              <w:t>Sadovníctvo, cestná zeleň</w:t>
            </w:r>
          </w:p>
        </w:tc>
        <w:tc>
          <w:tcPr>
            <w:tcW w:w="1153" w:type="pct"/>
            <w:tcBorders>
              <w:top w:val="nil"/>
              <w:left w:val="nil"/>
              <w:bottom w:val="nil"/>
              <w:right w:val="nil"/>
            </w:tcBorders>
            <w:shd w:val="clear" w:color="auto" w:fill="auto"/>
            <w:noWrap/>
            <w:tcMar>
              <w:top w:w="15" w:type="dxa"/>
              <w:left w:w="15" w:type="dxa"/>
              <w:bottom w:w="0" w:type="dxa"/>
              <w:right w:w="15" w:type="dxa"/>
            </w:tcMar>
            <w:vAlign w:val="bottom"/>
            <w:hideMark/>
          </w:tcPr>
          <w:p w14:paraId="77A23133" w14:textId="77777777" w:rsidR="00412259" w:rsidRPr="00666914" w:rsidRDefault="00412259">
            <w:pPr>
              <w:jc w:val="center"/>
              <w:rPr>
                <w:rFonts w:cs="Calibri"/>
                <w:sz w:val="20"/>
                <w:szCs w:val="20"/>
              </w:rPr>
            </w:pPr>
            <w:r w:rsidRPr="00666914">
              <w:rPr>
                <w:rFonts w:cs="Calibri"/>
                <w:sz w:val="20"/>
                <w:szCs w:val="20"/>
              </w:rPr>
              <w:t>1 809</w:t>
            </w:r>
          </w:p>
        </w:tc>
        <w:tc>
          <w:tcPr>
            <w:tcW w:w="1120" w:type="pct"/>
            <w:tcBorders>
              <w:top w:val="nil"/>
              <w:left w:val="nil"/>
              <w:bottom w:val="nil"/>
              <w:right w:val="nil"/>
            </w:tcBorders>
            <w:shd w:val="clear" w:color="auto" w:fill="auto"/>
            <w:noWrap/>
            <w:tcMar>
              <w:top w:w="15" w:type="dxa"/>
              <w:left w:w="15" w:type="dxa"/>
              <w:bottom w:w="0" w:type="dxa"/>
              <w:right w:w="15" w:type="dxa"/>
            </w:tcMar>
            <w:vAlign w:val="bottom"/>
            <w:hideMark/>
          </w:tcPr>
          <w:p w14:paraId="24465BB4" w14:textId="77777777" w:rsidR="00412259" w:rsidRPr="00666914" w:rsidRDefault="00412259">
            <w:pPr>
              <w:jc w:val="center"/>
              <w:rPr>
                <w:rFonts w:cs="Calibri"/>
                <w:sz w:val="20"/>
                <w:szCs w:val="20"/>
              </w:rPr>
            </w:pPr>
            <w:r w:rsidRPr="00666914">
              <w:rPr>
                <w:rFonts w:cs="Calibri"/>
                <w:sz w:val="20"/>
                <w:szCs w:val="20"/>
              </w:rPr>
              <w:t>1 454</w:t>
            </w:r>
          </w:p>
        </w:tc>
        <w:tc>
          <w:tcPr>
            <w:tcW w:w="942" w:type="pct"/>
            <w:tcBorders>
              <w:top w:val="nil"/>
              <w:left w:val="nil"/>
              <w:bottom w:val="nil"/>
              <w:right w:val="nil"/>
            </w:tcBorders>
            <w:shd w:val="clear" w:color="auto" w:fill="auto"/>
            <w:noWrap/>
            <w:tcMar>
              <w:top w:w="15" w:type="dxa"/>
              <w:left w:w="15" w:type="dxa"/>
              <w:bottom w:w="0" w:type="dxa"/>
              <w:right w:w="15" w:type="dxa"/>
            </w:tcMar>
            <w:vAlign w:val="center"/>
            <w:hideMark/>
          </w:tcPr>
          <w:p w14:paraId="3A38CAB4" w14:textId="77777777" w:rsidR="00412259" w:rsidRPr="00666914" w:rsidRDefault="00412259">
            <w:pPr>
              <w:jc w:val="center"/>
              <w:rPr>
                <w:rFonts w:cs="Calibri"/>
                <w:sz w:val="20"/>
                <w:szCs w:val="20"/>
              </w:rPr>
            </w:pPr>
            <w:r w:rsidRPr="00666914">
              <w:rPr>
                <w:rFonts w:cs="Calibri"/>
                <w:sz w:val="20"/>
                <w:szCs w:val="20"/>
              </w:rPr>
              <w:t>80%</w:t>
            </w:r>
          </w:p>
        </w:tc>
      </w:tr>
      <w:tr w:rsidR="00412259" w:rsidRPr="00666914" w14:paraId="28645F82" w14:textId="77777777" w:rsidTr="00412259">
        <w:trPr>
          <w:trHeight w:val="345"/>
        </w:trPr>
        <w:tc>
          <w:tcPr>
            <w:tcW w:w="1786" w:type="pct"/>
            <w:tcBorders>
              <w:top w:val="nil"/>
              <w:left w:val="nil"/>
              <w:bottom w:val="nil"/>
              <w:right w:val="nil"/>
            </w:tcBorders>
            <w:shd w:val="clear" w:color="auto" w:fill="auto"/>
            <w:noWrap/>
            <w:tcMar>
              <w:top w:w="15" w:type="dxa"/>
              <w:left w:w="15" w:type="dxa"/>
              <w:bottom w:w="0" w:type="dxa"/>
              <w:right w:w="15" w:type="dxa"/>
            </w:tcMar>
            <w:vAlign w:val="center"/>
            <w:hideMark/>
          </w:tcPr>
          <w:p w14:paraId="3A2ADA88" w14:textId="77777777" w:rsidR="00412259" w:rsidRPr="00666914" w:rsidRDefault="00412259">
            <w:pPr>
              <w:rPr>
                <w:rFonts w:cs="Calibri"/>
                <w:sz w:val="20"/>
                <w:szCs w:val="20"/>
              </w:rPr>
            </w:pPr>
            <w:r w:rsidRPr="00666914">
              <w:rPr>
                <w:rFonts w:cs="Calibri"/>
                <w:sz w:val="20"/>
                <w:szCs w:val="20"/>
              </w:rPr>
              <w:t>Ostatné činnosti</w:t>
            </w:r>
          </w:p>
        </w:tc>
        <w:tc>
          <w:tcPr>
            <w:tcW w:w="1153" w:type="pct"/>
            <w:tcBorders>
              <w:top w:val="nil"/>
              <w:left w:val="nil"/>
              <w:bottom w:val="nil"/>
              <w:right w:val="nil"/>
            </w:tcBorders>
            <w:shd w:val="clear" w:color="auto" w:fill="auto"/>
            <w:noWrap/>
            <w:tcMar>
              <w:top w:w="15" w:type="dxa"/>
              <w:left w:w="15" w:type="dxa"/>
              <w:bottom w:w="0" w:type="dxa"/>
              <w:right w:w="15" w:type="dxa"/>
            </w:tcMar>
            <w:vAlign w:val="bottom"/>
            <w:hideMark/>
          </w:tcPr>
          <w:p w14:paraId="190E5F16" w14:textId="77777777" w:rsidR="00412259" w:rsidRPr="00666914" w:rsidRDefault="00412259">
            <w:pPr>
              <w:jc w:val="center"/>
              <w:rPr>
                <w:rFonts w:cs="Calibri"/>
                <w:sz w:val="20"/>
                <w:szCs w:val="20"/>
              </w:rPr>
            </w:pPr>
            <w:r w:rsidRPr="00666914">
              <w:rPr>
                <w:rFonts w:cs="Calibri"/>
                <w:sz w:val="20"/>
                <w:szCs w:val="20"/>
              </w:rPr>
              <w:t>1 771</w:t>
            </w:r>
          </w:p>
        </w:tc>
        <w:tc>
          <w:tcPr>
            <w:tcW w:w="1120" w:type="pct"/>
            <w:tcBorders>
              <w:top w:val="nil"/>
              <w:left w:val="nil"/>
              <w:bottom w:val="nil"/>
              <w:right w:val="nil"/>
            </w:tcBorders>
            <w:shd w:val="clear" w:color="auto" w:fill="auto"/>
            <w:noWrap/>
            <w:tcMar>
              <w:top w:w="15" w:type="dxa"/>
              <w:left w:w="15" w:type="dxa"/>
              <w:bottom w:w="0" w:type="dxa"/>
              <w:right w:w="15" w:type="dxa"/>
            </w:tcMar>
            <w:vAlign w:val="bottom"/>
            <w:hideMark/>
          </w:tcPr>
          <w:p w14:paraId="57629400" w14:textId="77777777" w:rsidR="00412259" w:rsidRPr="00666914" w:rsidRDefault="00412259">
            <w:pPr>
              <w:jc w:val="center"/>
              <w:rPr>
                <w:rFonts w:cs="Calibri"/>
                <w:sz w:val="20"/>
                <w:szCs w:val="20"/>
              </w:rPr>
            </w:pPr>
            <w:r w:rsidRPr="00666914">
              <w:rPr>
                <w:rFonts w:cs="Calibri"/>
                <w:sz w:val="20"/>
                <w:szCs w:val="20"/>
              </w:rPr>
              <w:t>2 158</w:t>
            </w:r>
          </w:p>
        </w:tc>
        <w:tc>
          <w:tcPr>
            <w:tcW w:w="942" w:type="pct"/>
            <w:tcBorders>
              <w:top w:val="nil"/>
              <w:left w:val="nil"/>
              <w:bottom w:val="nil"/>
              <w:right w:val="nil"/>
            </w:tcBorders>
            <w:shd w:val="clear" w:color="auto" w:fill="auto"/>
            <w:noWrap/>
            <w:tcMar>
              <w:top w:w="15" w:type="dxa"/>
              <w:left w:w="15" w:type="dxa"/>
              <w:bottom w:w="0" w:type="dxa"/>
              <w:right w:w="15" w:type="dxa"/>
            </w:tcMar>
            <w:vAlign w:val="center"/>
            <w:hideMark/>
          </w:tcPr>
          <w:p w14:paraId="7BD4A900" w14:textId="77777777" w:rsidR="00412259" w:rsidRPr="00666914" w:rsidRDefault="00412259">
            <w:pPr>
              <w:jc w:val="center"/>
              <w:rPr>
                <w:rFonts w:cs="Calibri"/>
                <w:sz w:val="20"/>
                <w:szCs w:val="20"/>
              </w:rPr>
            </w:pPr>
            <w:r w:rsidRPr="00666914">
              <w:rPr>
                <w:rFonts w:cs="Calibri"/>
                <w:sz w:val="20"/>
                <w:szCs w:val="20"/>
              </w:rPr>
              <w:t>122%</w:t>
            </w:r>
          </w:p>
        </w:tc>
      </w:tr>
      <w:tr w:rsidR="00412259" w:rsidRPr="00666914" w14:paraId="023FB080" w14:textId="77777777" w:rsidTr="00AC00F9">
        <w:trPr>
          <w:trHeight w:val="221"/>
        </w:trPr>
        <w:tc>
          <w:tcPr>
            <w:tcW w:w="1786"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2DB0D778" w14:textId="77777777" w:rsidR="00412259" w:rsidRPr="00666914" w:rsidRDefault="00412259">
            <w:pPr>
              <w:jc w:val="left"/>
              <w:rPr>
                <w:rFonts w:cs="Calibri"/>
                <w:b/>
                <w:bCs/>
                <w:sz w:val="20"/>
                <w:szCs w:val="20"/>
              </w:rPr>
            </w:pPr>
            <w:r w:rsidRPr="00666914">
              <w:rPr>
                <w:rFonts w:cs="Calibri"/>
                <w:b/>
                <w:bCs/>
                <w:sz w:val="20"/>
                <w:szCs w:val="20"/>
              </w:rPr>
              <w:t>SPOLU</w:t>
            </w:r>
          </w:p>
        </w:tc>
        <w:tc>
          <w:tcPr>
            <w:tcW w:w="1153"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7446D6E1" w14:textId="77777777" w:rsidR="00412259" w:rsidRPr="00666914" w:rsidRDefault="00412259">
            <w:pPr>
              <w:jc w:val="center"/>
              <w:rPr>
                <w:rFonts w:cs="Calibri"/>
                <w:b/>
                <w:bCs/>
                <w:sz w:val="20"/>
                <w:szCs w:val="20"/>
              </w:rPr>
            </w:pPr>
            <w:r w:rsidRPr="00666914">
              <w:rPr>
                <w:rFonts w:cs="Calibri"/>
                <w:b/>
                <w:bCs/>
                <w:sz w:val="20"/>
                <w:szCs w:val="20"/>
              </w:rPr>
              <w:t>23 000</w:t>
            </w:r>
          </w:p>
        </w:tc>
        <w:tc>
          <w:tcPr>
            <w:tcW w:w="1120"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5CAE7018" w14:textId="77777777" w:rsidR="00412259" w:rsidRPr="00666914" w:rsidRDefault="00412259">
            <w:pPr>
              <w:jc w:val="center"/>
              <w:rPr>
                <w:rFonts w:cs="Calibri"/>
                <w:b/>
                <w:bCs/>
                <w:sz w:val="20"/>
                <w:szCs w:val="20"/>
              </w:rPr>
            </w:pPr>
            <w:r w:rsidRPr="00666914">
              <w:rPr>
                <w:rFonts w:cs="Calibri"/>
                <w:b/>
                <w:bCs/>
                <w:sz w:val="20"/>
                <w:szCs w:val="20"/>
              </w:rPr>
              <w:t>22 988</w:t>
            </w:r>
          </w:p>
        </w:tc>
        <w:tc>
          <w:tcPr>
            <w:tcW w:w="942"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2B0F3A63" w14:textId="77777777" w:rsidR="00412259" w:rsidRPr="00666914" w:rsidRDefault="00412259">
            <w:pPr>
              <w:jc w:val="center"/>
              <w:rPr>
                <w:rFonts w:cs="Calibri"/>
                <w:b/>
                <w:bCs/>
                <w:sz w:val="20"/>
                <w:szCs w:val="20"/>
              </w:rPr>
            </w:pPr>
            <w:r w:rsidRPr="00666914">
              <w:rPr>
                <w:rFonts w:cs="Calibri"/>
                <w:b/>
                <w:bCs/>
                <w:sz w:val="20"/>
                <w:szCs w:val="20"/>
              </w:rPr>
              <w:t>100%</w:t>
            </w:r>
          </w:p>
        </w:tc>
      </w:tr>
    </w:tbl>
    <w:p w14:paraId="3E5501F0" w14:textId="6062CB61" w:rsidR="00CB16AA" w:rsidRPr="00666914" w:rsidRDefault="00412259" w:rsidP="00985E7A">
      <w:pPr>
        <w:jc w:val="right"/>
        <w:rPr>
          <w:i/>
          <w:sz w:val="18"/>
        </w:rPr>
      </w:pPr>
      <w:r w:rsidRPr="00666914">
        <w:rPr>
          <w:i/>
          <w:sz w:val="18"/>
        </w:rPr>
        <w:t xml:space="preserve"> </w:t>
      </w:r>
      <w:r w:rsidR="00CB16AA" w:rsidRPr="00666914">
        <w:rPr>
          <w:i/>
          <w:sz w:val="18"/>
        </w:rPr>
        <w:t>Zdroj: MDV SR</w:t>
      </w:r>
    </w:p>
    <w:p w14:paraId="5E381B5E" w14:textId="77777777" w:rsidR="00CB16AA" w:rsidRPr="00666914" w:rsidRDefault="00CB16AA" w:rsidP="00985E7A">
      <w:pPr>
        <w:contextualSpacing/>
      </w:pPr>
      <w:r w:rsidRPr="00666914">
        <w:t xml:space="preserve"> </w:t>
      </w:r>
    </w:p>
    <w:p w14:paraId="297ED46B" w14:textId="77777777" w:rsidR="00CB16AA" w:rsidRPr="00666914" w:rsidRDefault="00CB16AA" w:rsidP="00312C28">
      <w:pPr>
        <w:numPr>
          <w:ilvl w:val="0"/>
          <w:numId w:val="34"/>
        </w:numPr>
        <w:spacing w:after="0"/>
        <w:contextualSpacing/>
        <w:rPr>
          <w:b/>
          <w:u w:val="single"/>
        </w:rPr>
      </w:pPr>
      <w:r w:rsidRPr="00666914">
        <w:rPr>
          <w:b/>
          <w:u w:val="single"/>
        </w:rPr>
        <w:t>Zverejňovať v ročnom intervale počet vybraných kľúčových výkonov jednotlivých činností opráv a vybraných kľúčových výkonov údržby ciest I. triedy a ich náklady v členení podľa IVSC</w:t>
      </w:r>
    </w:p>
    <w:p w14:paraId="0F26413A" w14:textId="414B4D85" w:rsidR="008966D8" w:rsidRPr="00666914" w:rsidRDefault="00CB16AA" w:rsidP="0053444A">
      <w:pPr>
        <w:spacing w:before="240"/>
        <w:rPr>
          <w:b/>
        </w:rPr>
      </w:pPr>
      <w:r w:rsidRPr="00666914">
        <w:t>Slovenská správa ciest zverejnila v 1H2019 výkony činností opráv a údržby ciest I. triedy v členení podľa IVSC za rok 2017 a 2018</w:t>
      </w:r>
      <w:r w:rsidRPr="00666914">
        <w:rPr>
          <w:rStyle w:val="Odkaznapoznmkupodiarou"/>
        </w:rPr>
        <w:footnoteReference w:id="85"/>
      </w:r>
      <w:r w:rsidRPr="00666914">
        <w:t xml:space="preserve"> v .xls formáte a v členení podľa IVSC. </w:t>
      </w:r>
      <w:r w:rsidRPr="00666914">
        <w:rPr>
          <w:b/>
        </w:rPr>
        <w:t>Opatrenie sa k 31.12.2019 nevyhodnocuje.</w:t>
      </w:r>
    </w:p>
    <w:p w14:paraId="1FC69740" w14:textId="77777777" w:rsidR="00CB16AA" w:rsidRPr="00666914" w:rsidRDefault="00CB16AA" w:rsidP="00312C28">
      <w:pPr>
        <w:numPr>
          <w:ilvl w:val="0"/>
          <w:numId w:val="34"/>
        </w:numPr>
        <w:contextualSpacing/>
        <w:rPr>
          <w:b/>
        </w:rPr>
      </w:pPr>
      <w:r w:rsidRPr="00666914">
        <w:rPr>
          <w:b/>
          <w:u w:val="single"/>
        </w:rPr>
        <w:t>Hľadať spôsoby zníženia jednotkových nákladov jednotlivých činností opráv a údržby diaľnic a rýchlostných ciest realizovaných vlastnými kapacitami NDS. Pravidelne (minimálne na ročnej báze) zverejňovať počet vybraných kľúčových výkonov jednotlivých činností opráv a vybraných kľúčových výkonov údržby diaľnic a rýchlostných ciest a ich náklady v členení podľa stredísk údržby</w:t>
      </w:r>
    </w:p>
    <w:p w14:paraId="20A53889" w14:textId="77777777" w:rsidR="00CB16AA" w:rsidRPr="00666914" w:rsidRDefault="00CB16AA" w:rsidP="00985E7A">
      <w:pPr>
        <w:spacing w:before="240"/>
      </w:pPr>
      <w:r w:rsidRPr="00666914">
        <w:t>Revízia výdavkov odporúčala NDS znižovať náklady na opravu a údržbu diaľnic a rýchlostných ciest, ktoré realizuje vlastnými kapacitami. NDS pripravila v roku 2019 nasledovné projekty na úsporu nákladov:</w:t>
      </w:r>
    </w:p>
    <w:p w14:paraId="7D76AD48" w14:textId="77777777" w:rsidR="00CB16AA" w:rsidRPr="00666914" w:rsidRDefault="00CB16AA" w:rsidP="00312C28">
      <w:pPr>
        <w:pStyle w:val="Odsekzoznamu"/>
        <w:numPr>
          <w:ilvl w:val="0"/>
          <w:numId w:val="37"/>
        </w:numPr>
        <w:spacing w:before="240"/>
      </w:pPr>
      <w:r w:rsidRPr="00666914">
        <w:t>projekty na znižovanie následkov poveternostných a klimatických podmienok v zimnom období – výstavba protisnehových stien na D1 (Hôrka, Štrba a Vlková) a výstavba sila v oku križovatky Spišský Štvrtok,</w:t>
      </w:r>
    </w:p>
    <w:p w14:paraId="4CE28C9E" w14:textId="77777777" w:rsidR="00CB16AA" w:rsidRPr="00666914" w:rsidRDefault="00CB16AA" w:rsidP="00312C28">
      <w:pPr>
        <w:pStyle w:val="Odsekzoznamu"/>
        <w:numPr>
          <w:ilvl w:val="0"/>
          <w:numId w:val="37"/>
        </w:numPr>
        <w:spacing w:before="240"/>
      </w:pPr>
      <w:r w:rsidRPr="00666914">
        <w:t>zvyšovanie efektivity práce - obstaranie techniky na automatizáciu výkonu údržby,</w:t>
      </w:r>
    </w:p>
    <w:p w14:paraId="2A396962" w14:textId="77777777" w:rsidR="00CB16AA" w:rsidRPr="00666914" w:rsidRDefault="00CB16AA" w:rsidP="00312C28">
      <w:pPr>
        <w:pStyle w:val="Odsekzoznamu"/>
        <w:numPr>
          <w:ilvl w:val="0"/>
          <w:numId w:val="37"/>
        </w:numPr>
        <w:spacing w:before="240"/>
      </w:pPr>
      <w:r w:rsidRPr="00666914">
        <w:t>zavedenie GPS do služobných vozidiel NDS,</w:t>
      </w:r>
    </w:p>
    <w:p w14:paraId="778CA239" w14:textId="77777777" w:rsidR="00CB16AA" w:rsidRPr="00666914" w:rsidRDefault="00CB16AA" w:rsidP="00312C28">
      <w:pPr>
        <w:pStyle w:val="Odsekzoznamu"/>
        <w:numPr>
          <w:ilvl w:val="0"/>
          <w:numId w:val="37"/>
        </w:numPr>
        <w:spacing w:before="240"/>
      </w:pPr>
      <w:r w:rsidRPr="00666914">
        <w:lastRenderedPageBreak/>
        <w:t>školenia zamestnancov – vodičov cestnej údržby – v roku 2019 absolvovali jazdy zručnosti a školy šmyku.</w:t>
      </w:r>
    </w:p>
    <w:p w14:paraId="045DFE9B" w14:textId="77777777" w:rsidR="0053444A" w:rsidRDefault="00CB16AA" w:rsidP="0053444A">
      <w:pPr>
        <w:spacing w:before="240" w:after="0"/>
      </w:pPr>
      <w:r w:rsidRPr="00666914">
        <w:rPr>
          <w:b/>
        </w:rPr>
        <w:t>NDS však IJ ÚV SR nepredložila očakávané prínosy resp. úsporu financií, ktoré by mali realizáciou týchto projektov vzniknúť.</w:t>
      </w:r>
      <w:r w:rsidRPr="00666914">
        <w:t xml:space="preserve"> Podľa NDS je to z dôvodu, že pri niektorých opatreniach je potrebné odsledovať ich prínosy v dlhšom časovom horizonte. Projekty boli naplánované a sú realizované, nakoľko podľa NDS je ich okamžitým prínosom napríklad zvýšenie bezpečnosti cestnej premávky, zlepšenie kontrolných systémov, zvýšenie kvalitatívnych schopností zamestnancov cestnej údržby. </w:t>
      </w:r>
      <w:r w:rsidRPr="00666914">
        <w:rPr>
          <w:b/>
          <w:color w:val="000000" w:themeColor="text1"/>
        </w:rPr>
        <w:t>IJ však predpokladá, že NDS bez vyčíslenia predpokladaných úspor (časových alebo finančných), prípadne realizácie prínosov, projekty nezačne realizovať.</w:t>
      </w:r>
      <w:r w:rsidRPr="00666914" w:rsidDel="009E1BE1">
        <w:rPr>
          <w:color w:val="FF0000"/>
        </w:rPr>
        <w:t xml:space="preserve"> </w:t>
      </w:r>
      <w:r w:rsidRPr="00666914">
        <w:t xml:space="preserve">Samozrejme po ukončení projektov bude dôležité vyčísliť aj skutočné prínosy, </w:t>
      </w:r>
      <w:r w:rsidR="00D67E6E" w:rsidRPr="00666914">
        <w:t>resp. reálne zníženie nákladov.</w:t>
      </w:r>
    </w:p>
    <w:p w14:paraId="2F344CF3" w14:textId="5DB0F1C3" w:rsidR="006C0687" w:rsidRPr="00666914" w:rsidRDefault="00CB16AA" w:rsidP="006C0687">
      <w:pPr>
        <w:spacing w:before="240"/>
        <w:rPr>
          <w:b/>
        </w:rPr>
      </w:pPr>
      <w:r w:rsidRPr="00666914">
        <w:t>NDS zverejnila vybrané kľúčové výkony opráv a údržby diaľnic a rýchlostných ciest podľa stredísk správy a údržby za rok 2018 v užívateľsky vhodnom formáte .xls</w:t>
      </w:r>
      <w:r w:rsidRPr="00666914">
        <w:rPr>
          <w:rStyle w:val="Odkaznapoznmkupodiarou"/>
        </w:rPr>
        <w:footnoteReference w:id="86"/>
      </w:r>
      <w:r w:rsidRPr="00666914">
        <w:t xml:space="preserve">. V porovnaní s rokom 2017 však nezvýšila počet zverejňovaných výkonov a zverejňuje približne 50 % rozpočtu bežných výdavkov na opravy a údržbu DaRC. Predstavuje to výdavky, ktoré sú plánované na realizáciu opráv a údržby vlastnými kapacitami, zabezpečovanými prostredníctvom stredísk správy a údržby. </w:t>
      </w:r>
      <w:r w:rsidRPr="00666914">
        <w:rPr>
          <w:b/>
        </w:rPr>
        <w:t>Po odporúčaní IJ v predchádzajúcich správach zverejnila NDS v kategóriách činností opráv a údržby okrem celkovej sumy aj jednotlivé činnosti</w:t>
      </w:r>
      <w:r w:rsidRPr="00666914">
        <w:t xml:space="preserve">, ktoré sú v danej kategórii zahrnuté. Spravila tak iba pre NDS ako celok, nie pre jednotlivé strediská údržby a iba za rok 2018. </w:t>
      </w:r>
      <w:r w:rsidRPr="00666914">
        <w:rPr>
          <w:b/>
        </w:rPr>
        <w:t>Pre utvorenie celkového obrazu o činnostiach, ktoré NDS vykonáva, je však pre porovnanie medziročného vývoja potrebné zverejniť všetky činnosti pre jednotlivé strediská údržby, vrátane roku 2016.</w:t>
      </w:r>
      <w:r w:rsidRPr="00666914">
        <w:t xml:space="preserve"> Bez toho nie je možné vyhodnotiť jednotkové náklady v činnostiach opráv a údržby diaľnic a rýchlostných ciest. Rovnako je dôležité aj porovnávanie jednotlivých výkonov a ich cien medzi jednotlivými strediskami údržby. </w:t>
      </w:r>
      <w:r w:rsidRPr="00666914">
        <w:rPr>
          <w:b/>
        </w:rPr>
        <w:t>Opatrenie sa z dôvodu chýbajúceho vyčíslenia očakávaných prínosov projektov znižovania nákladov na údržbu diaľnic a rýchlostných ciest k 31.12.2019 plní len čiastočne.</w:t>
      </w:r>
    </w:p>
    <w:p w14:paraId="0DC3BAA1" w14:textId="77777777" w:rsidR="00CB16AA" w:rsidRPr="00666914" w:rsidRDefault="00CB16AA" w:rsidP="00312C28">
      <w:pPr>
        <w:numPr>
          <w:ilvl w:val="0"/>
          <w:numId w:val="34"/>
        </w:numPr>
        <w:contextualSpacing/>
        <w:rPr>
          <w:b/>
          <w:u w:val="single"/>
        </w:rPr>
      </w:pPr>
      <w:r w:rsidRPr="00666914">
        <w:rPr>
          <w:b/>
          <w:u w:val="single"/>
        </w:rPr>
        <w:t>Prioritné projekty diaľnic a rýchlostných ciest pred verejným obstarávaním na dodávateľa stavebných prác budú hodnotené aj zo strany MF SR</w:t>
      </w:r>
    </w:p>
    <w:p w14:paraId="28DB78B3" w14:textId="77777777" w:rsidR="00CB16AA" w:rsidRPr="00666914" w:rsidRDefault="00CB16AA" w:rsidP="00985E7A">
      <w:pPr>
        <w:contextualSpacing/>
      </w:pPr>
    </w:p>
    <w:p w14:paraId="06B22613" w14:textId="30BCF20F" w:rsidR="00CB16AA" w:rsidRPr="00666914" w:rsidRDefault="00CB16AA" w:rsidP="00985E7A">
      <w:pPr>
        <w:contextualSpacing/>
        <w:rPr>
          <w:b/>
        </w:rPr>
      </w:pPr>
      <w:r w:rsidRPr="00666914">
        <w:t xml:space="preserve">ÚHP MF SR začal ešte v 1H2019 posudzovať investičný projekt cestnej infraštruktúry „R2 Rožňava – Jablonov nad Turňou (Soroška)“. Na základe publikovaných informácií ohľadom predpokladaného termínu vyhlásenia VO, ÚHP pripravené hodnotenie nezverejnil. </w:t>
      </w:r>
      <w:r w:rsidRPr="00666914">
        <w:rPr>
          <w:b/>
        </w:rPr>
        <w:t>NDS a.s však v 12/2019 zverejnila oznámenie o vyhlásení VO na stavebné práce na tento projekt</w:t>
      </w:r>
      <w:r w:rsidRPr="00666914">
        <w:rPr>
          <w:rStyle w:val="Odkaznapoznmkupodiarou"/>
        </w:rPr>
        <w:footnoteReference w:id="87"/>
      </w:r>
      <w:r w:rsidRPr="00666914">
        <w:rPr>
          <w:b/>
        </w:rPr>
        <w:t xml:space="preserve"> s PHZ vo výške 243 mil. eur. Následne v 12/2019 zverejnil ÚHP hodnotenie daného projektu, podľa ktorého nie je daný investičný projekt spoločensky návratný (BCR je vo výške 0,74) a nie je ho an</w:t>
      </w:r>
      <w:r w:rsidR="00D67E6E" w:rsidRPr="00666914">
        <w:rPr>
          <w:b/>
        </w:rPr>
        <w:t>i možné financovať z fondov EÚ.</w:t>
      </w:r>
    </w:p>
    <w:p w14:paraId="7B6B5F78" w14:textId="77777777" w:rsidR="00CB16AA" w:rsidRPr="00666914" w:rsidRDefault="00CB16AA" w:rsidP="00985E7A">
      <w:pPr>
        <w:contextualSpacing/>
      </w:pPr>
    </w:p>
    <w:p w14:paraId="613A841D" w14:textId="324DEB17" w:rsidR="00CB16AA" w:rsidRPr="00666914" w:rsidRDefault="00CB16AA" w:rsidP="00985E7A">
      <w:pPr>
        <w:contextualSpacing/>
      </w:pPr>
      <w:r w:rsidRPr="00666914">
        <w:rPr>
          <w:b/>
        </w:rPr>
        <w:t>Vyhlásením VO pred vydaním hodnotenia ÚHP MF SR došlo k nedodržaniu ustanovení Rámca na hodnotenie verejných investičných projektov v SR</w:t>
      </w:r>
      <w:r w:rsidRPr="00666914">
        <w:rPr>
          <w:rStyle w:val="Odkaznapoznmkupodiarou"/>
        </w:rPr>
        <w:footnoteReference w:id="88"/>
      </w:r>
      <w:r w:rsidRPr="00666914">
        <w:t>, ktoré ukladá predkladať projekty na hodnotenie pred vypísaním VO na dodávateľa stavebných prác. ÚHP MF SR malo podklady k danému projektu k dispozícii už od 03/2019 a rovnako vtedy NDS a.s. zverejnila predbežné oznámenie</w:t>
      </w:r>
      <w:r w:rsidRPr="00666914">
        <w:rPr>
          <w:rStyle w:val="Odkaznapoznmkupodiarou"/>
        </w:rPr>
        <w:footnoteReference w:id="89"/>
      </w:r>
      <w:r w:rsidRPr="00666914">
        <w:t>. ÚHP po získaní všetkých podkladov od NDS nedodržalo ustanovenia Rámca na hodnotenie verejných investičných projektov v SR týkajúce sa termínu na vydanie stanoviska.</w:t>
      </w:r>
    </w:p>
    <w:p w14:paraId="1CEB40C0" w14:textId="77777777" w:rsidR="00CB16AA" w:rsidRPr="00666914" w:rsidRDefault="00CB16AA" w:rsidP="00985E7A">
      <w:pPr>
        <w:contextualSpacing/>
      </w:pPr>
    </w:p>
    <w:p w14:paraId="081FD507" w14:textId="4E0B08DF" w:rsidR="00CB16AA" w:rsidRPr="00666914" w:rsidRDefault="00CB16AA" w:rsidP="00985E7A">
      <w:pPr>
        <w:contextualSpacing/>
        <w:rPr>
          <w:b/>
        </w:rPr>
      </w:pPr>
      <w:r w:rsidRPr="00666914">
        <w:t>V zmysle ustanovení zákona č. 523/2004 Z. z. o rozpočtových pravidlách</w:t>
      </w:r>
      <w:r w:rsidRPr="00666914">
        <w:rPr>
          <w:rStyle w:val="Odkaznapoznmkupodiarou"/>
        </w:rPr>
        <w:footnoteReference w:id="90"/>
      </w:r>
      <w:r w:rsidRPr="00666914">
        <w:t xml:space="preserve"> účinných od 01.01.2020 je povinnosťou NDS najneskôr pred začatím prác na investičnom zámere zverejniť štúdiu realizovateľnosti. </w:t>
      </w:r>
      <w:r w:rsidRPr="00666914">
        <w:rPr>
          <w:b/>
        </w:rPr>
        <w:t>K publikovaniu hodnotenia ÚHP mohlo podľa názoru IJ dôjsť aj v kratšom časovom horizonte ako je 9 mesiacov.</w:t>
      </w:r>
      <w:r w:rsidRPr="00666914">
        <w:t xml:space="preserve"> Novela zákona o rozpočtových pravidlách rieši aj túto situáciu a ÚHP je od roku 2020 povinné zverejniť hodnotenie do 30 </w:t>
      </w:r>
      <w:r w:rsidR="00AC28AA" w:rsidRPr="00666914">
        <w:t xml:space="preserve">kalendárnych </w:t>
      </w:r>
      <w:r w:rsidRPr="00666914">
        <w:t xml:space="preserve">dní od publikovania štúdie uskutočniteľnosti resp. jej zaslania hodnotených subjektom. </w:t>
      </w:r>
      <w:r w:rsidRPr="00666914">
        <w:rPr>
          <w:b/>
        </w:rPr>
        <w:t>Opatrenie sa k 31.12.2019 neplní.</w:t>
      </w:r>
    </w:p>
    <w:p w14:paraId="483C27C3" w14:textId="77777777" w:rsidR="00CB16AA" w:rsidRPr="00666914" w:rsidRDefault="00CB16AA" w:rsidP="00985E7A">
      <w:pPr>
        <w:contextualSpacing/>
      </w:pPr>
    </w:p>
    <w:p w14:paraId="46CE42D9" w14:textId="7D02B1D1" w:rsidR="00CB16AA" w:rsidRPr="00666914" w:rsidRDefault="00CB16AA" w:rsidP="00985E7A">
      <w:pPr>
        <w:pBdr>
          <w:bottom w:val="single" w:sz="4" w:space="1" w:color="auto"/>
        </w:pBdr>
        <w:spacing w:after="0"/>
        <w:rPr>
          <w:b/>
          <w:u w:val="single"/>
        </w:rPr>
      </w:pPr>
      <w:bookmarkStart w:id="204" w:name="_Toc21522789"/>
      <w:bookmarkStart w:id="205" w:name="_Toc38447691"/>
      <w:r w:rsidRPr="00666914">
        <w:rPr>
          <w:b/>
          <w:sz w:val="20"/>
        </w:rPr>
        <w:lastRenderedPageBreak/>
        <w:t xml:space="preserve">Tabuľka </w:t>
      </w:r>
      <w:r w:rsidRPr="00666914">
        <w:rPr>
          <w:b/>
          <w:sz w:val="20"/>
        </w:rPr>
        <w:fldChar w:fldCharType="begin"/>
      </w:r>
      <w:r w:rsidRPr="00666914">
        <w:rPr>
          <w:b/>
          <w:sz w:val="20"/>
        </w:rPr>
        <w:instrText xml:space="preserve"> SEQ Tabuľka \* ARABIC \* MERGEFORMAT </w:instrText>
      </w:r>
      <w:r w:rsidRPr="00666914">
        <w:rPr>
          <w:b/>
          <w:sz w:val="20"/>
        </w:rPr>
        <w:fldChar w:fldCharType="separate"/>
      </w:r>
      <w:r w:rsidR="005A7304">
        <w:rPr>
          <w:b/>
          <w:noProof/>
          <w:sz w:val="20"/>
        </w:rPr>
        <w:t>30</w:t>
      </w:r>
      <w:r w:rsidRPr="00666914">
        <w:rPr>
          <w:b/>
          <w:sz w:val="20"/>
        </w:rPr>
        <w:fldChar w:fldCharType="end"/>
      </w:r>
      <w:r w:rsidRPr="00666914">
        <w:rPr>
          <w:b/>
          <w:sz w:val="20"/>
        </w:rPr>
        <w:t>: Prioritné investičné projekty MDV SR (mil. eur), stav k 31.12.2019</w:t>
      </w:r>
      <w:bookmarkEnd w:id="204"/>
      <w:bookmarkEnd w:id="205"/>
    </w:p>
    <w:tbl>
      <w:tblPr>
        <w:tblW w:w="5000" w:type="pct"/>
        <w:tblLayout w:type="fixed"/>
        <w:tblCellMar>
          <w:left w:w="70" w:type="dxa"/>
          <w:right w:w="70" w:type="dxa"/>
        </w:tblCellMar>
        <w:tblLook w:val="04A0" w:firstRow="1" w:lastRow="0" w:firstColumn="1" w:lastColumn="0" w:noHBand="0" w:noVBand="1"/>
      </w:tblPr>
      <w:tblGrid>
        <w:gridCol w:w="3168"/>
        <w:gridCol w:w="1008"/>
        <w:gridCol w:w="580"/>
        <w:gridCol w:w="942"/>
        <w:gridCol w:w="1603"/>
        <w:gridCol w:w="1913"/>
      </w:tblGrid>
      <w:tr w:rsidR="00CB16AA" w:rsidRPr="00666914" w14:paraId="4B5F391C" w14:textId="77777777" w:rsidTr="00985E7A">
        <w:trPr>
          <w:trHeight w:val="705"/>
        </w:trPr>
        <w:tc>
          <w:tcPr>
            <w:tcW w:w="1719" w:type="pct"/>
            <w:vMerge w:val="restart"/>
            <w:tcBorders>
              <w:top w:val="nil"/>
              <w:left w:val="nil"/>
              <w:bottom w:val="single" w:sz="4" w:space="0" w:color="000000"/>
              <w:right w:val="nil"/>
            </w:tcBorders>
            <w:shd w:val="clear" w:color="auto" w:fill="auto"/>
            <w:noWrap/>
            <w:vAlign w:val="center"/>
            <w:hideMark/>
          </w:tcPr>
          <w:p w14:paraId="71E764F5" w14:textId="77777777" w:rsidR="00CB16AA" w:rsidRPr="00666914" w:rsidRDefault="00CB16AA" w:rsidP="00985E7A">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Názov úseku</w:t>
            </w:r>
          </w:p>
        </w:tc>
        <w:tc>
          <w:tcPr>
            <w:tcW w:w="547" w:type="pct"/>
            <w:vMerge w:val="restart"/>
            <w:tcBorders>
              <w:top w:val="nil"/>
              <w:left w:val="nil"/>
              <w:bottom w:val="single" w:sz="4" w:space="0" w:color="000000"/>
              <w:right w:val="nil"/>
            </w:tcBorders>
            <w:shd w:val="clear" w:color="auto" w:fill="auto"/>
            <w:vAlign w:val="center"/>
            <w:hideMark/>
          </w:tcPr>
          <w:p w14:paraId="5518FAF2"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 xml:space="preserve">Celkové náklady </w:t>
            </w:r>
          </w:p>
        </w:tc>
        <w:tc>
          <w:tcPr>
            <w:tcW w:w="315" w:type="pct"/>
            <w:vMerge w:val="restart"/>
            <w:tcBorders>
              <w:top w:val="nil"/>
              <w:left w:val="nil"/>
              <w:bottom w:val="single" w:sz="4" w:space="0" w:color="000000"/>
              <w:right w:val="nil"/>
            </w:tcBorders>
            <w:shd w:val="clear" w:color="auto" w:fill="auto"/>
            <w:vAlign w:val="center"/>
            <w:hideMark/>
          </w:tcPr>
          <w:p w14:paraId="3A5FFE24"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Dĺžka (km)</w:t>
            </w:r>
          </w:p>
        </w:tc>
        <w:tc>
          <w:tcPr>
            <w:tcW w:w="511" w:type="pct"/>
            <w:vMerge w:val="restart"/>
            <w:tcBorders>
              <w:top w:val="nil"/>
              <w:left w:val="nil"/>
              <w:bottom w:val="single" w:sz="4" w:space="0" w:color="000000"/>
              <w:right w:val="nil"/>
            </w:tcBorders>
            <w:shd w:val="clear" w:color="auto" w:fill="auto"/>
            <w:vAlign w:val="center"/>
            <w:hideMark/>
          </w:tcPr>
          <w:p w14:paraId="0FA577F5"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Náklady na km</w:t>
            </w:r>
          </w:p>
        </w:tc>
        <w:tc>
          <w:tcPr>
            <w:tcW w:w="870" w:type="pct"/>
            <w:vMerge w:val="restart"/>
            <w:tcBorders>
              <w:top w:val="nil"/>
              <w:left w:val="nil"/>
              <w:bottom w:val="single" w:sz="4" w:space="0" w:color="000000"/>
              <w:right w:val="nil"/>
            </w:tcBorders>
            <w:shd w:val="clear" w:color="auto" w:fill="auto"/>
            <w:vAlign w:val="center"/>
            <w:hideMark/>
          </w:tcPr>
          <w:p w14:paraId="59F7B36A"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Intenzita 2020 (vozidiel/24 hod)</w:t>
            </w:r>
          </w:p>
        </w:tc>
        <w:tc>
          <w:tcPr>
            <w:tcW w:w="1038" w:type="pct"/>
            <w:vMerge w:val="restart"/>
            <w:tcBorders>
              <w:top w:val="nil"/>
              <w:left w:val="nil"/>
              <w:bottom w:val="single" w:sz="4" w:space="0" w:color="000000"/>
              <w:right w:val="nil"/>
            </w:tcBorders>
            <w:shd w:val="clear" w:color="auto" w:fill="auto"/>
            <w:vAlign w:val="center"/>
            <w:hideMark/>
          </w:tcPr>
          <w:p w14:paraId="0EAAD94E"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Stupeň prípravy</w:t>
            </w:r>
          </w:p>
        </w:tc>
      </w:tr>
      <w:tr w:rsidR="00CB16AA" w:rsidRPr="00666914" w14:paraId="4F86BA29" w14:textId="77777777" w:rsidTr="007623E1">
        <w:trPr>
          <w:trHeight w:val="252"/>
        </w:trPr>
        <w:tc>
          <w:tcPr>
            <w:tcW w:w="1719" w:type="pct"/>
            <w:vMerge/>
            <w:tcBorders>
              <w:top w:val="nil"/>
              <w:left w:val="nil"/>
              <w:bottom w:val="single" w:sz="4" w:space="0" w:color="000000"/>
              <w:right w:val="nil"/>
            </w:tcBorders>
            <w:vAlign w:val="center"/>
            <w:hideMark/>
          </w:tcPr>
          <w:p w14:paraId="1F1ED4B8" w14:textId="77777777" w:rsidR="00CB16AA" w:rsidRPr="00666914" w:rsidRDefault="00CB16AA" w:rsidP="00985E7A">
            <w:pPr>
              <w:spacing w:after="0"/>
              <w:rPr>
                <w:rFonts w:eastAsia="Times New Roman" w:cs="Calibri"/>
                <w:b/>
                <w:bCs/>
                <w:color w:val="000000"/>
                <w:sz w:val="20"/>
                <w:szCs w:val="20"/>
                <w:lang w:eastAsia="sk-SK"/>
              </w:rPr>
            </w:pPr>
          </w:p>
        </w:tc>
        <w:tc>
          <w:tcPr>
            <w:tcW w:w="547" w:type="pct"/>
            <w:vMerge/>
            <w:tcBorders>
              <w:top w:val="nil"/>
              <w:left w:val="nil"/>
              <w:bottom w:val="single" w:sz="4" w:space="0" w:color="000000"/>
              <w:right w:val="nil"/>
            </w:tcBorders>
            <w:vAlign w:val="center"/>
            <w:hideMark/>
          </w:tcPr>
          <w:p w14:paraId="7CD35FBF" w14:textId="77777777" w:rsidR="00CB16AA" w:rsidRPr="00666914" w:rsidRDefault="00CB16AA" w:rsidP="00985E7A">
            <w:pPr>
              <w:spacing w:after="0"/>
              <w:rPr>
                <w:rFonts w:eastAsia="Times New Roman" w:cs="Calibri"/>
                <w:b/>
                <w:bCs/>
                <w:color w:val="000000"/>
                <w:sz w:val="20"/>
                <w:szCs w:val="20"/>
                <w:lang w:eastAsia="sk-SK"/>
              </w:rPr>
            </w:pPr>
          </w:p>
        </w:tc>
        <w:tc>
          <w:tcPr>
            <w:tcW w:w="315" w:type="pct"/>
            <w:vMerge/>
            <w:tcBorders>
              <w:top w:val="nil"/>
              <w:left w:val="nil"/>
              <w:bottom w:val="single" w:sz="4" w:space="0" w:color="000000"/>
              <w:right w:val="nil"/>
            </w:tcBorders>
            <w:vAlign w:val="center"/>
            <w:hideMark/>
          </w:tcPr>
          <w:p w14:paraId="540D1879" w14:textId="77777777" w:rsidR="00CB16AA" w:rsidRPr="00666914" w:rsidRDefault="00CB16AA" w:rsidP="00985E7A">
            <w:pPr>
              <w:spacing w:after="0"/>
              <w:rPr>
                <w:rFonts w:eastAsia="Times New Roman" w:cs="Calibri"/>
                <w:b/>
                <w:bCs/>
                <w:color w:val="000000"/>
                <w:sz w:val="20"/>
                <w:szCs w:val="20"/>
                <w:lang w:eastAsia="sk-SK"/>
              </w:rPr>
            </w:pPr>
          </w:p>
        </w:tc>
        <w:tc>
          <w:tcPr>
            <w:tcW w:w="511" w:type="pct"/>
            <w:vMerge/>
            <w:tcBorders>
              <w:top w:val="nil"/>
              <w:left w:val="nil"/>
              <w:bottom w:val="single" w:sz="4" w:space="0" w:color="000000"/>
              <w:right w:val="nil"/>
            </w:tcBorders>
            <w:vAlign w:val="center"/>
            <w:hideMark/>
          </w:tcPr>
          <w:p w14:paraId="1570BDFD" w14:textId="77777777" w:rsidR="00CB16AA" w:rsidRPr="00666914" w:rsidRDefault="00CB16AA" w:rsidP="00985E7A">
            <w:pPr>
              <w:spacing w:after="0"/>
              <w:rPr>
                <w:rFonts w:eastAsia="Times New Roman" w:cs="Calibri"/>
                <w:b/>
                <w:bCs/>
                <w:color w:val="000000"/>
                <w:sz w:val="20"/>
                <w:szCs w:val="20"/>
                <w:lang w:eastAsia="sk-SK"/>
              </w:rPr>
            </w:pPr>
          </w:p>
        </w:tc>
        <w:tc>
          <w:tcPr>
            <w:tcW w:w="870" w:type="pct"/>
            <w:vMerge/>
            <w:tcBorders>
              <w:top w:val="nil"/>
              <w:left w:val="nil"/>
              <w:bottom w:val="single" w:sz="4" w:space="0" w:color="000000"/>
              <w:right w:val="nil"/>
            </w:tcBorders>
            <w:vAlign w:val="center"/>
            <w:hideMark/>
          </w:tcPr>
          <w:p w14:paraId="21355932" w14:textId="77777777" w:rsidR="00CB16AA" w:rsidRPr="00666914" w:rsidRDefault="00CB16AA" w:rsidP="00985E7A">
            <w:pPr>
              <w:spacing w:after="0"/>
              <w:rPr>
                <w:rFonts w:eastAsia="Times New Roman" w:cs="Calibri"/>
                <w:b/>
                <w:bCs/>
                <w:color w:val="000000"/>
                <w:sz w:val="20"/>
                <w:szCs w:val="20"/>
                <w:lang w:eastAsia="sk-SK"/>
              </w:rPr>
            </w:pPr>
          </w:p>
        </w:tc>
        <w:tc>
          <w:tcPr>
            <w:tcW w:w="1038" w:type="pct"/>
            <w:vMerge/>
            <w:tcBorders>
              <w:top w:val="nil"/>
              <w:left w:val="nil"/>
              <w:bottom w:val="single" w:sz="4" w:space="0" w:color="000000"/>
              <w:right w:val="nil"/>
            </w:tcBorders>
            <w:vAlign w:val="center"/>
            <w:hideMark/>
          </w:tcPr>
          <w:p w14:paraId="16AB952E" w14:textId="77777777" w:rsidR="00CB16AA" w:rsidRPr="00666914" w:rsidRDefault="00CB16AA" w:rsidP="00985E7A">
            <w:pPr>
              <w:spacing w:after="0"/>
              <w:rPr>
                <w:rFonts w:eastAsia="Times New Roman" w:cs="Calibri"/>
                <w:b/>
                <w:bCs/>
                <w:color w:val="000000"/>
                <w:sz w:val="20"/>
                <w:szCs w:val="20"/>
                <w:lang w:eastAsia="sk-SK"/>
              </w:rPr>
            </w:pPr>
          </w:p>
        </w:tc>
      </w:tr>
      <w:tr w:rsidR="00CB16AA" w:rsidRPr="00666914" w14:paraId="1B7CF549" w14:textId="77777777" w:rsidTr="00985E7A">
        <w:trPr>
          <w:trHeight w:val="280"/>
        </w:trPr>
        <w:tc>
          <w:tcPr>
            <w:tcW w:w="1719" w:type="pct"/>
            <w:tcBorders>
              <w:top w:val="nil"/>
              <w:left w:val="nil"/>
              <w:bottom w:val="nil"/>
              <w:right w:val="nil"/>
            </w:tcBorders>
            <w:shd w:val="clear" w:color="auto" w:fill="auto"/>
            <w:noWrap/>
            <w:vAlign w:val="center"/>
            <w:hideMark/>
          </w:tcPr>
          <w:p w14:paraId="7EA0966D"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D1 Turany – Hubová</w:t>
            </w:r>
          </w:p>
        </w:tc>
        <w:tc>
          <w:tcPr>
            <w:tcW w:w="547" w:type="pct"/>
            <w:tcBorders>
              <w:top w:val="nil"/>
              <w:left w:val="nil"/>
              <w:bottom w:val="nil"/>
              <w:right w:val="nil"/>
            </w:tcBorders>
            <w:shd w:val="clear" w:color="auto" w:fill="auto"/>
            <w:noWrap/>
            <w:vAlign w:val="center"/>
            <w:hideMark/>
          </w:tcPr>
          <w:p w14:paraId="71B7C423" w14:textId="7C82C599"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w:t>
            </w:r>
            <w:r w:rsidR="00B27702" w:rsidRPr="00666914">
              <w:rPr>
                <w:rFonts w:eastAsia="Times New Roman" w:cs="Calibri"/>
                <w:color w:val="000000"/>
                <w:sz w:val="20"/>
                <w:szCs w:val="20"/>
                <w:lang w:eastAsia="sk-SK"/>
              </w:rPr>
              <w:t xml:space="preserve"> </w:t>
            </w:r>
            <w:r w:rsidRPr="00666914">
              <w:rPr>
                <w:rFonts w:eastAsia="Times New Roman" w:cs="Calibri"/>
                <w:color w:val="000000"/>
                <w:sz w:val="20"/>
                <w:szCs w:val="20"/>
                <w:lang w:eastAsia="sk-SK"/>
              </w:rPr>
              <w:t>208</w:t>
            </w:r>
          </w:p>
        </w:tc>
        <w:tc>
          <w:tcPr>
            <w:tcW w:w="315" w:type="pct"/>
            <w:tcBorders>
              <w:top w:val="nil"/>
              <w:left w:val="nil"/>
              <w:bottom w:val="nil"/>
              <w:right w:val="nil"/>
            </w:tcBorders>
            <w:shd w:val="clear" w:color="auto" w:fill="auto"/>
            <w:noWrap/>
            <w:vAlign w:val="center"/>
            <w:hideMark/>
          </w:tcPr>
          <w:p w14:paraId="31EC6C53"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14</w:t>
            </w:r>
          </w:p>
        </w:tc>
        <w:tc>
          <w:tcPr>
            <w:tcW w:w="511" w:type="pct"/>
            <w:tcBorders>
              <w:top w:val="nil"/>
              <w:left w:val="nil"/>
              <w:bottom w:val="nil"/>
              <w:right w:val="nil"/>
            </w:tcBorders>
            <w:shd w:val="clear" w:color="auto" w:fill="auto"/>
            <w:noWrap/>
            <w:vAlign w:val="center"/>
            <w:hideMark/>
          </w:tcPr>
          <w:p w14:paraId="56047E7F"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88,4</w:t>
            </w:r>
          </w:p>
        </w:tc>
        <w:tc>
          <w:tcPr>
            <w:tcW w:w="870" w:type="pct"/>
            <w:tcBorders>
              <w:top w:val="nil"/>
              <w:left w:val="nil"/>
              <w:bottom w:val="nil"/>
              <w:right w:val="nil"/>
            </w:tcBorders>
            <w:shd w:val="clear" w:color="auto" w:fill="auto"/>
            <w:noWrap/>
            <w:vAlign w:val="center"/>
            <w:hideMark/>
          </w:tcPr>
          <w:p w14:paraId="0575BFE2" w14:textId="22791875"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22</w:t>
            </w:r>
            <w:r w:rsidR="00666914">
              <w:rPr>
                <w:rFonts w:eastAsia="Times New Roman" w:cs="Calibri"/>
                <w:color w:val="000000"/>
                <w:sz w:val="20"/>
                <w:szCs w:val="20"/>
                <w:lang w:eastAsia="sk-SK"/>
              </w:rPr>
              <w:t xml:space="preserve"> </w:t>
            </w:r>
            <w:r w:rsidRPr="00666914">
              <w:rPr>
                <w:rFonts w:eastAsia="Times New Roman" w:cs="Calibri"/>
                <w:color w:val="000000"/>
                <w:sz w:val="20"/>
                <w:szCs w:val="20"/>
                <w:lang w:eastAsia="sk-SK"/>
              </w:rPr>
              <w:t>660</w:t>
            </w:r>
          </w:p>
        </w:tc>
        <w:tc>
          <w:tcPr>
            <w:tcW w:w="1038" w:type="pct"/>
            <w:tcBorders>
              <w:top w:val="nil"/>
              <w:left w:val="nil"/>
              <w:bottom w:val="nil"/>
              <w:right w:val="nil"/>
            </w:tcBorders>
            <w:shd w:val="clear" w:color="auto" w:fill="auto"/>
            <w:noWrap/>
            <w:vAlign w:val="center"/>
            <w:hideMark/>
          </w:tcPr>
          <w:p w14:paraId="114EEA3E"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dodaná DUR, vydaná ŠE</w:t>
            </w:r>
          </w:p>
        </w:tc>
      </w:tr>
      <w:tr w:rsidR="00CB16AA" w:rsidRPr="00666914" w14:paraId="406F9567" w14:textId="77777777" w:rsidTr="00985E7A">
        <w:trPr>
          <w:trHeight w:val="280"/>
        </w:trPr>
        <w:tc>
          <w:tcPr>
            <w:tcW w:w="1719" w:type="pct"/>
            <w:tcBorders>
              <w:top w:val="nil"/>
              <w:left w:val="nil"/>
              <w:bottom w:val="nil"/>
              <w:right w:val="nil"/>
            </w:tcBorders>
            <w:shd w:val="clear" w:color="auto" w:fill="auto"/>
            <w:noWrap/>
            <w:vAlign w:val="center"/>
            <w:hideMark/>
          </w:tcPr>
          <w:p w14:paraId="23DAC42B"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D1 Bratislava – Senec – I. etapa, skapacitnenie (Bratislava – Triblavina)</w:t>
            </w:r>
          </w:p>
        </w:tc>
        <w:tc>
          <w:tcPr>
            <w:tcW w:w="547" w:type="pct"/>
            <w:tcBorders>
              <w:top w:val="nil"/>
              <w:left w:val="nil"/>
              <w:bottom w:val="nil"/>
              <w:right w:val="nil"/>
            </w:tcBorders>
            <w:shd w:val="clear" w:color="auto" w:fill="auto"/>
            <w:noWrap/>
            <w:vAlign w:val="center"/>
            <w:hideMark/>
          </w:tcPr>
          <w:p w14:paraId="1AA46683"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109</w:t>
            </w:r>
          </w:p>
        </w:tc>
        <w:tc>
          <w:tcPr>
            <w:tcW w:w="315" w:type="pct"/>
            <w:tcBorders>
              <w:top w:val="nil"/>
              <w:left w:val="nil"/>
              <w:bottom w:val="nil"/>
              <w:right w:val="nil"/>
            </w:tcBorders>
            <w:shd w:val="clear" w:color="auto" w:fill="auto"/>
            <w:noWrap/>
            <w:vAlign w:val="center"/>
            <w:hideMark/>
          </w:tcPr>
          <w:p w14:paraId="2FFD6E9B"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4</w:t>
            </w:r>
          </w:p>
        </w:tc>
        <w:tc>
          <w:tcPr>
            <w:tcW w:w="511" w:type="pct"/>
            <w:tcBorders>
              <w:top w:val="nil"/>
              <w:left w:val="nil"/>
              <w:bottom w:val="nil"/>
              <w:right w:val="nil"/>
            </w:tcBorders>
            <w:shd w:val="clear" w:color="auto" w:fill="auto"/>
            <w:noWrap/>
            <w:vAlign w:val="center"/>
            <w:hideMark/>
          </w:tcPr>
          <w:p w14:paraId="288900EF"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31</w:t>
            </w:r>
          </w:p>
        </w:tc>
        <w:tc>
          <w:tcPr>
            <w:tcW w:w="870" w:type="pct"/>
            <w:tcBorders>
              <w:top w:val="nil"/>
              <w:left w:val="nil"/>
              <w:bottom w:val="nil"/>
              <w:right w:val="nil"/>
            </w:tcBorders>
            <w:shd w:val="clear" w:color="auto" w:fill="auto"/>
            <w:noWrap/>
            <w:vAlign w:val="center"/>
            <w:hideMark/>
          </w:tcPr>
          <w:p w14:paraId="2AF59563" w14:textId="77777777" w:rsidR="00CB16AA" w:rsidRPr="00666914" w:rsidRDefault="00CB16AA" w:rsidP="00985E7A">
            <w:pPr>
              <w:spacing w:after="0"/>
              <w:jc w:val="center"/>
              <w:rPr>
                <w:rFonts w:eastAsia="Times New Roman" w:cs="Calibri"/>
                <w:color w:val="000000"/>
                <w:sz w:val="20"/>
                <w:szCs w:val="20"/>
                <w:lang w:eastAsia="sk-SK"/>
              </w:rPr>
            </w:pPr>
          </w:p>
        </w:tc>
        <w:tc>
          <w:tcPr>
            <w:tcW w:w="1038" w:type="pct"/>
            <w:tcBorders>
              <w:top w:val="nil"/>
              <w:left w:val="nil"/>
              <w:bottom w:val="nil"/>
              <w:right w:val="nil"/>
            </w:tcBorders>
            <w:shd w:val="clear" w:color="auto" w:fill="auto"/>
            <w:noWrap/>
            <w:vAlign w:val="center"/>
            <w:hideMark/>
          </w:tcPr>
          <w:p w14:paraId="2A70B229"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dodané DSP</w:t>
            </w:r>
          </w:p>
        </w:tc>
      </w:tr>
      <w:tr w:rsidR="00CB16AA" w:rsidRPr="00666914" w14:paraId="6C5EC2BD" w14:textId="77777777" w:rsidTr="00985E7A">
        <w:trPr>
          <w:trHeight w:val="280"/>
        </w:trPr>
        <w:tc>
          <w:tcPr>
            <w:tcW w:w="1719" w:type="pct"/>
            <w:tcBorders>
              <w:top w:val="nil"/>
              <w:left w:val="nil"/>
              <w:bottom w:val="nil"/>
              <w:right w:val="nil"/>
            </w:tcBorders>
            <w:shd w:val="clear" w:color="auto" w:fill="auto"/>
            <w:noWrap/>
            <w:vAlign w:val="center"/>
            <w:hideMark/>
          </w:tcPr>
          <w:p w14:paraId="13C36756"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D3 Žilina Brodno – Kysucké Nové Mesto</w:t>
            </w:r>
          </w:p>
        </w:tc>
        <w:tc>
          <w:tcPr>
            <w:tcW w:w="547" w:type="pct"/>
            <w:tcBorders>
              <w:top w:val="nil"/>
              <w:left w:val="nil"/>
              <w:bottom w:val="nil"/>
              <w:right w:val="nil"/>
            </w:tcBorders>
            <w:shd w:val="clear" w:color="auto" w:fill="auto"/>
            <w:noWrap/>
            <w:vAlign w:val="center"/>
            <w:hideMark/>
          </w:tcPr>
          <w:p w14:paraId="4A601CB1"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386</w:t>
            </w:r>
          </w:p>
        </w:tc>
        <w:tc>
          <w:tcPr>
            <w:tcW w:w="315" w:type="pct"/>
            <w:tcBorders>
              <w:top w:val="nil"/>
              <w:left w:val="nil"/>
              <w:bottom w:val="nil"/>
              <w:right w:val="nil"/>
            </w:tcBorders>
            <w:shd w:val="clear" w:color="auto" w:fill="auto"/>
            <w:noWrap/>
            <w:vAlign w:val="center"/>
            <w:hideMark/>
          </w:tcPr>
          <w:p w14:paraId="643992F5"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11</w:t>
            </w:r>
          </w:p>
        </w:tc>
        <w:tc>
          <w:tcPr>
            <w:tcW w:w="511" w:type="pct"/>
            <w:tcBorders>
              <w:top w:val="nil"/>
              <w:left w:val="nil"/>
              <w:bottom w:val="nil"/>
              <w:right w:val="nil"/>
            </w:tcBorders>
            <w:shd w:val="clear" w:color="auto" w:fill="auto"/>
            <w:noWrap/>
            <w:vAlign w:val="center"/>
            <w:hideMark/>
          </w:tcPr>
          <w:p w14:paraId="0FC7A6FC"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34</w:t>
            </w:r>
          </w:p>
        </w:tc>
        <w:tc>
          <w:tcPr>
            <w:tcW w:w="870" w:type="pct"/>
            <w:tcBorders>
              <w:top w:val="nil"/>
              <w:left w:val="nil"/>
              <w:bottom w:val="nil"/>
              <w:right w:val="nil"/>
            </w:tcBorders>
            <w:shd w:val="clear" w:color="auto" w:fill="auto"/>
            <w:noWrap/>
            <w:vAlign w:val="center"/>
            <w:hideMark/>
          </w:tcPr>
          <w:p w14:paraId="795DCD30" w14:textId="56D9750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21</w:t>
            </w:r>
            <w:r w:rsidR="00666914">
              <w:rPr>
                <w:rFonts w:eastAsia="Times New Roman" w:cs="Calibri"/>
                <w:color w:val="000000"/>
                <w:sz w:val="20"/>
                <w:szCs w:val="20"/>
                <w:lang w:eastAsia="sk-SK"/>
              </w:rPr>
              <w:t xml:space="preserve"> </w:t>
            </w:r>
            <w:r w:rsidRPr="00666914">
              <w:rPr>
                <w:rFonts w:eastAsia="Times New Roman" w:cs="Calibri"/>
                <w:color w:val="000000"/>
                <w:sz w:val="20"/>
                <w:szCs w:val="20"/>
                <w:lang w:eastAsia="sk-SK"/>
              </w:rPr>
              <w:t>608</w:t>
            </w:r>
          </w:p>
        </w:tc>
        <w:tc>
          <w:tcPr>
            <w:tcW w:w="1038" w:type="pct"/>
            <w:tcBorders>
              <w:top w:val="nil"/>
              <w:left w:val="nil"/>
              <w:bottom w:val="nil"/>
              <w:right w:val="nil"/>
            </w:tcBorders>
            <w:shd w:val="clear" w:color="auto" w:fill="auto"/>
            <w:noWrap/>
            <w:vAlign w:val="center"/>
            <w:hideMark/>
          </w:tcPr>
          <w:p w14:paraId="1E959AC2"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ZoD na DUR, DSP podpísaná 08/2019, spracováva sa DÚR</w:t>
            </w:r>
          </w:p>
        </w:tc>
      </w:tr>
      <w:tr w:rsidR="00CB16AA" w:rsidRPr="00666914" w14:paraId="50175B3C" w14:textId="77777777" w:rsidTr="00985E7A">
        <w:trPr>
          <w:trHeight w:val="280"/>
        </w:trPr>
        <w:tc>
          <w:tcPr>
            <w:tcW w:w="1719" w:type="pct"/>
            <w:tcBorders>
              <w:top w:val="nil"/>
              <w:left w:val="nil"/>
              <w:bottom w:val="nil"/>
              <w:right w:val="nil"/>
            </w:tcBorders>
            <w:shd w:val="clear" w:color="auto" w:fill="auto"/>
            <w:noWrap/>
            <w:vAlign w:val="center"/>
            <w:hideMark/>
          </w:tcPr>
          <w:p w14:paraId="0A61CAB1"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D3 Kysucké Nové Mesto – Oščadnica</w:t>
            </w:r>
          </w:p>
        </w:tc>
        <w:tc>
          <w:tcPr>
            <w:tcW w:w="547" w:type="pct"/>
            <w:tcBorders>
              <w:top w:val="nil"/>
              <w:left w:val="nil"/>
              <w:bottom w:val="nil"/>
              <w:right w:val="nil"/>
            </w:tcBorders>
            <w:shd w:val="clear" w:color="auto" w:fill="auto"/>
            <w:noWrap/>
            <w:vAlign w:val="center"/>
            <w:hideMark/>
          </w:tcPr>
          <w:p w14:paraId="64A9AFDB"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306</w:t>
            </w:r>
          </w:p>
        </w:tc>
        <w:tc>
          <w:tcPr>
            <w:tcW w:w="315" w:type="pct"/>
            <w:tcBorders>
              <w:top w:val="nil"/>
              <w:left w:val="nil"/>
              <w:bottom w:val="nil"/>
              <w:right w:val="nil"/>
            </w:tcBorders>
            <w:shd w:val="clear" w:color="auto" w:fill="auto"/>
            <w:noWrap/>
            <w:vAlign w:val="center"/>
            <w:hideMark/>
          </w:tcPr>
          <w:p w14:paraId="5CCC504E"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11</w:t>
            </w:r>
          </w:p>
        </w:tc>
        <w:tc>
          <w:tcPr>
            <w:tcW w:w="511" w:type="pct"/>
            <w:tcBorders>
              <w:top w:val="nil"/>
              <w:left w:val="nil"/>
              <w:bottom w:val="nil"/>
              <w:right w:val="nil"/>
            </w:tcBorders>
            <w:shd w:val="clear" w:color="auto" w:fill="auto"/>
            <w:noWrap/>
            <w:vAlign w:val="center"/>
            <w:hideMark/>
          </w:tcPr>
          <w:p w14:paraId="2531A1D2"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23</w:t>
            </w:r>
          </w:p>
        </w:tc>
        <w:tc>
          <w:tcPr>
            <w:tcW w:w="870" w:type="pct"/>
            <w:tcBorders>
              <w:top w:val="nil"/>
              <w:left w:val="nil"/>
              <w:bottom w:val="nil"/>
              <w:right w:val="nil"/>
            </w:tcBorders>
            <w:shd w:val="clear" w:color="auto" w:fill="auto"/>
            <w:noWrap/>
            <w:vAlign w:val="center"/>
            <w:hideMark/>
          </w:tcPr>
          <w:p w14:paraId="7C19B4D3" w14:textId="4AB9713F"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18</w:t>
            </w:r>
            <w:r w:rsidR="00666914">
              <w:rPr>
                <w:rFonts w:eastAsia="Times New Roman" w:cs="Calibri"/>
                <w:color w:val="000000"/>
                <w:sz w:val="20"/>
                <w:szCs w:val="20"/>
                <w:lang w:eastAsia="sk-SK"/>
              </w:rPr>
              <w:t xml:space="preserve"> </w:t>
            </w:r>
            <w:r w:rsidRPr="00666914">
              <w:rPr>
                <w:rFonts w:eastAsia="Times New Roman" w:cs="Calibri"/>
                <w:color w:val="000000"/>
                <w:sz w:val="20"/>
                <w:szCs w:val="20"/>
                <w:lang w:eastAsia="sk-SK"/>
              </w:rPr>
              <w:t>566</w:t>
            </w:r>
          </w:p>
        </w:tc>
        <w:tc>
          <w:tcPr>
            <w:tcW w:w="1038" w:type="pct"/>
            <w:tcBorders>
              <w:top w:val="nil"/>
              <w:left w:val="nil"/>
              <w:bottom w:val="nil"/>
              <w:right w:val="nil"/>
            </w:tcBorders>
            <w:shd w:val="clear" w:color="auto" w:fill="auto"/>
            <w:noWrap/>
            <w:vAlign w:val="center"/>
            <w:hideMark/>
          </w:tcPr>
          <w:p w14:paraId="013B040F"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UVO zrušilo VO na DSP v podrobnosti DRS</w:t>
            </w:r>
          </w:p>
        </w:tc>
      </w:tr>
      <w:tr w:rsidR="00CB16AA" w:rsidRPr="00666914" w14:paraId="17AF5E88" w14:textId="77777777" w:rsidTr="00985E7A">
        <w:trPr>
          <w:trHeight w:val="270"/>
        </w:trPr>
        <w:tc>
          <w:tcPr>
            <w:tcW w:w="1719" w:type="pct"/>
            <w:tcBorders>
              <w:top w:val="nil"/>
              <w:left w:val="nil"/>
              <w:bottom w:val="nil"/>
              <w:right w:val="nil"/>
            </w:tcBorders>
            <w:shd w:val="clear" w:color="auto" w:fill="auto"/>
            <w:noWrap/>
            <w:vAlign w:val="center"/>
            <w:hideMark/>
          </w:tcPr>
          <w:p w14:paraId="2B13F7F2"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R1 Banská Bystrica – Slovenská Ľupča</w:t>
            </w:r>
          </w:p>
        </w:tc>
        <w:tc>
          <w:tcPr>
            <w:tcW w:w="547" w:type="pct"/>
            <w:tcBorders>
              <w:top w:val="nil"/>
              <w:left w:val="nil"/>
              <w:bottom w:val="nil"/>
              <w:right w:val="nil"/>
            </w:tcBorders>
            <w:shd w:val="clear" w:color="auto" w:fill="auto"/>
            <w:noWrap/>
            <w:vAlign w:val="center"/>
            <w:hideMark/>
          </w:tcPr>
          <w:p w14:paraId="381BDA7A"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156</w:t>
            </w:r>
          </w:p>
        </w:tc>
        <w:tc>
          <w:tcPr>
            <w:tcW w:w="315" w:type="pct"/>
            <w:tcBorders>
              <w:top w:val="nil"/>
              <w:left w:val="nil"/>
              <w:bottom w:val="nil"/>
              <w:right w:val="nil"/>
            </w:tcBorders>
            <w:shd w:val="clear" w:color="auto" w:fill="auto"/>
            <w:noWrap/>
            <w:vAlign w:val="center"/>
            <w:hideMark/>
          </w:tcPr>
          <w:p w14:paraId="1F9952D0"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8</w:t>
            </w:r>
          </w:p>
        </w:tc>
        <w:tc>
          <w:tcPr>
            <w:tcW w:w="511" w:type="pct"/>
            <w:tcBorders>
              <w:top w:val="nil"/>
              <w:left w:val="nil"/>
              <w:bottom w:val="nil"/>
              <w:right w:val="nil"/>
            </w:tcBorders>
            <w:shd w:val="clear" w:color="auto" w:fill="auto"/>
            <w:noWrap/>
            <w:vAlign w:val="center"/>
            <w:hideMark/>
          </w:tcPr>
          <w:p w14:paraId="580ABCE5"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19</w:t>
            </w:r>
          </w:p>
        </w:tc>
        <w:tc>
          <w:tcPr>
            <w:tcW w:w="870" w:type="pct"/>
            <w:tcBorders>
              <w:top w:val="nil"/>
              <w:left w:val="nil"/>
              <w:bottom w:val="nil"/>
              <w:right w:val="nil"/>
            </w:tcBorders>
            <w:shd w:val="clear" w:color="auto" w:fill="auto"/>
            <w:noWrap/>
            <w:vAlign w:val="center"/>
            <w:hideMark/>
          </w:tcPr>
          <w:p w14:paraId="2EFD7409" w14:textId="03D56C6A"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w:t>
            </w:r>
            <w:r w:rsidR="00666914">
              <w:rPr>
                <w:rFonts w:eastAsia="Times New Roman" w:cs="Calibri"/>
                <w:color w:val="000000"/>
                <w:sz w:val="20"/>
                <w:szCs w:val="20"/>
                <w:lang w:eastAsia="sk-SK"/>
              </w:rPr>
              <w:t xml:space="preserve"> </w:t>
            </w:r>
            <w:r w:rsidRPr="00666914">
              <w:rPr>
                <w:rFonts w:eastAsia="Times New Roman" w:cs="Calibri"/>
                <w:color w:val="000000"/>
                <w:sz w:val="20"/>
                <w:szCs w:val="20"/>
                <w:lang w:eastAsia="sk-SK"/>
              </w:rPr>
              <w:t>520</w:t>
            </w:r>
          </w:p>
        </w:tc>
        <w:tc>
          <w:tcPr>
            <w:tcW w:w="1038" w:type="pct"/>
            <w:tcBorders>
              <w:top w:val="nil"/>
              <w:left w:val="nil"/>
              <w:bottom w:val="nil"/>
              <w:right w:val="nil"/>
            </w:tcBorders>
            <w:shd w:val="clear" w:color="auto" w:fill="auto"/>
            <w:noWrap/>
            <w:vAlign w:val="center"/>
            <w:hideMark/>
          </w:tcPr>
          <w:p w14:paraId="4C5944C0"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Dodaná DSP v podrobnosti DRS</w:t>
            </w:r>
          </w:p>
        </w:tc>
      </w:tr>
      <w:tr w:rsidR="00CB16AA" w:rsidRPr="00666914" w14:paraId="2F8E40A4" w14:textId="77777777" w:rsidTr="00985E7A">
        <w:trPr>
          <w:trHeight w:val="280"/>
        </w:trPr>
        <w:tc>
          <w:tcPr>
            <w:tcW w:w="1719" w:type="pct"/>
            <w:tcBorders>
              <w:top w:val="nil"/>
              <w:left w:val="nil"/>
              <w:bottom w:val="nil"/>
              <w:right w:val="nil"/>
            </w:tcBorders>
            <w:shd w:val="clear" w:color="auto" w:fill="auto"/>
            <w:noWrap/>
            <w:vAlign w:val="center"/>
            <w:hideMark/>
          </w:tcPr>
          <w:p w14:paraId="3DCA46A5"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R2 Rožňava – Jablonov nad Turňou (Soroška)</w:t>
            </w:r>
          </w:p>
        </w:tc>
        <w:tc>
          <w:tcPr>
            <w:tcW w:w="547" w:type="pct"/>
            <w:tcBorders>
              <w:top w:val="nil"/>
              <w:left w:val="nil"/>
              <w:bottom w:val="nil"/>
              <w:right w:val="nil"/>
            </w:tcBorders>
            <w:shd w:val="clear" w:color="auto" w:fill="auto"/>
            <w:noWrap/>
            <w:vAlign w:val="center"/>
            <w:hideMark/>
          </w:tcPr>
          <w:p w14:paraId="14050D79"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256</w:t>
            </w:r>
          </w:p>
        </w:tc>
        <w:tc>
          <w:tcPr>
            <w:tcW w:w="315" w:type="pct"/>
            <w:tcBorders>
              <w:top w:val="nil"/>
              <w:left w:val="nil"/>
              <w:bottom w:val="nil"/>
              <w:right w:val="nil"/>
            </w:tcBorders>
            <w:shd w:val="clear" w:color="auto" w:fill="auto"/>
            <w:noWrap/>
            <w:vAlign w:val="center"/>
            <w:hideMark/>
          </w:tcPr>
          <w:p w14:paraId="20E29328"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14</w:t>
            </w:r>
          </w:p>
        </w:tc>
        <w:tc>
          <w:tcPr>
            <w:tcW w:w="511" w:type="pct"/>
            <w:tcBorders>
              <w:top w:val="nil"/>
              <w:left w:val="nil"/>
              <w:bottom w:val="nil"/>
              <w:right w:val="nil"/>
            </w:tcBorders>
            <w:shd w:val="clear" w:color="auto" w:fill="auto"/>
            <w:noWrap/>
            <w:vAlign w:val="center"/>
            <w:hideMark/>
          </w:tcPr>
          <w:p w14:paraId="2F3421DA"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18</w:t>
            </w:r>
          </w:p>
        </w:tc>
        <w:tc>
          <w:tcPr>
            <w:tcW w:w="870" w:type="pct"/>
            <w:tcBorders>
              <w:top w:val="nil"/>
              <w:left w:val="nil"/>
              <w:bottom w:val="nil"/>
              <w:right w:val="nil"/>
            </w:tcBorders>
            <w:shd w:val="clear" w:color="auto" w:fill="auto"/>
            <w:noWrap/>
            <w:vAlign w:val="center"/>
            <w:hideMark/>
          </w:tcPr>
          <w:p w14:paraId="7E036422" w14:textId="50AB1B22"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6</w:t>
            </w:r>
            <w:r w:rsidR="00666914">
              <w:rPr>
                <w:rFonts w:eastAsia="Times New Roman" w:cs="Calibri"/>
                <w:color w:val="000000"/>
                <w:sz w:val="20"/>
                <w:szCs w:val="20"/>
                <w:lang w:eastAsia="sk-SK"/>
              </w:rPr>
              <w:t xml:space="preserve"> </w:t>
            </w:r>
            <w:r w:rsidRPr="00666914">
              <w:rPr>
                <w:rFonts w:eastAsia="Times New Roman" w:cs="Calibri"/>
                <w:color w:val="000000"/>
                <w:sz w:val="20"/>
                <w:szCs w:val="20"/>
                <w:lang w:eastAsia="sk-SK"/>
              </w:rPr>
              <w:t>700</w:t>
            </w:r>
          </w:p>
        </w:tc>
        <w:tc>
          <w:tcPr>
            <w:tcW w:w="1038" w:type="pct"/>
            <w:tcBorders>
              <w:top w:val="nil"/>
              <w:left w:val="nil"/>
              <w:bottom w:val="nil"/>
              <w:right w:val="nil"/>
            </w:tcBorders>
            <w:shd w:val="clear" w:color="auto" w:fill="auto"/>
            <w:noWrap/>
            <w:vAlign w:val="center"/>
            <w:hideMark/>
          </w:tcPr>
          <w:p w14:paraId="6325788A"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spustené VO na zhotoviteľa stavby v 12/2019</w:t>
            </w:r>
          </w:p>
        </w:tc>
      </w:tr>
      <w:tr w:rsidR="00CB16AA" w:rsidRPr="00666914" w14:paraId="5749FDD3" w14:textId="77777777" w:rsidTr="00985E7A">
        <w:trPr>
          <w:trHeight w:val="280"/>
        </w:trPr>
        <w:tc>
          <w:tcPr>
            <w:tcW w:w="1719" w:type="pct"/>
            <w:tcBorders>
              <w:top w:val="nil"/>
              <w:left w:val="nil"/>
              <w:bottom w:val="nil"/>
              <w:right w:val="nil"/>
            </w:tcBorders>
            <w:shd w:val="clear" w:color="auto" w:fill="auto"/>
            <w:noWrap/>
            <w:vAlign w:val="center"/>
            <w:hideMark/>
          </w:tcPr>
          <w:p w14:paraId="7F52ACBD"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R3 Nižná – Dlhá nad Oravou</w:t>
            </w:r>
          </w:p>
        </w:tc>
        <w:tc>
          <w:tcPr>
            <w:tcW w:w="547" w:type="pct"/>
            <w:tcBorders>
              <w:top w:val="nil"/>
              <w:left w:val="nil"/>
              <w:bottom w:val="nil"/>
              <w:right w:val="nil"/>
            </w:tcBorders>
            <w:shd w:val="clear" w:color="auto" w:fill="auto"/>
            <w:noWrap/>
            <w:vAlign w:val="center"/>
            <w:hideMark/>
          </w:tcPr>
          <w:p w14:paraId="21B9D4B6"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235</w:t>
            </w:r>
          </w:p>
        </w:tc>
        <w:tc>
          <w:tcPr>
            <w:tcW w:w="315" w:type="pct"/>
            <w:tcBorders>
              <w:top w:val="nil"/>
              <w:left w:val="nil"/>
              <w:bottom w:val="nil"/>
              <w:right w:val="nil"/>
            </w:tcBorders>
            <w:shd w:val="clear" w:color="auto" w:fill="auto"/>
            <w:noWrap/>
            <w:vAlign w:val="center"/>
            <w:hideMark/>
          </w:tcPr>
          <w:p w14:paraId="7121FBF1"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8</w:t>
            </w:r>
          </w:p>
        </w:tc>
        <w:tc>
          <w:tcPr>
            <w:tcW w:w="511" w:type="pct"/>
            <w:tcBorders>
              <w:top w:val="nil"/>
              <w:left w:val="nil"/>
              <w:bottom w:val="nil"/>
              <w:right w:val="nil"/>
            </w:tcBorders>
            <w:shd w:val="clear" w:color="auto" w:fill="auto"/>
            <w:noWrap/>
            <w:vAlign w:val="center"/>
            <w:hideMark/>
          </w:tcPr>
          <w:p w14:paraId="3FCB44BC"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31</w:t>
            </w:r>
          </w:p>
        </w:tc>
        <w:tc>
          <w:tcPr>
            <w:tcW w:w="870" w:type="pct"/>
            <w:tcBorders>
              <w:top w:val="nil"/>
              <w:left w:val="nil"/>
              <w:bottom w:val="nil"/>
              <w:right w:val="nil"/>
            </w:tcBorders>
            <w:shd w:val="clear" w:color="auto" w:fill="auto"/>
            <w:noWrap/>
            <w:vAlign w:val="center"/>
            <w:hideMark/>
          </w:tcPr>
          <w:p w14:paraId="7418C79F" w14:textId="376C6530"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6</w:t>
            </w:r>
            <w:r w:rsidR="00666914">
              <w:rPr>
                <w:rFonts w:eastAsia="Times New Roman" w:cs="Calibri"/>
                <w:color w:val="000000"/>
                <w:sz w:val="20"/>
                <w:szCs w:val="20"/>
                <w:lang w:eastAsia="sk-SK"/>
              </w:rPr>
              <w:t xml:space="preserve"> </w:t>
            </w:r>
            <w:r w:rsidRPr="00666914">
              <w:rPr>
                <w:rFonts w:eastAsia="Times New Roman" w:cs="Calibri"/>
                <w:color w:val="000000"/>
                <w:sz w:val="20"/>
                <w:szCs w:val="20"/>
                <w:lang w:eastAsia="sk-SK"/>
              </w:rPr>
              <w:t>666</w:t>
            </w:r>
          </w:p>
        </w:tc>
        <w:tc>
          <w:tcPr>
            <w:tcW w:w="1038" w:type="pct"/>
            <w:tcBorders>
              <w:top w:val="nil"/>
              <w:left w:val="nil"/>
              <w:bottom w:val="nil"/>
              <w:right w:val="nil"/>
            </w:tcBorders>
            <w:shd w:val="clear" w:color="auto" w:fill="auto"/>
            <w:noWrap/>
            <w:vAlign w:val="center"/>
            <w:hideMark/>
          </w:tcPr>
          <w:p w14:paraId="75AF0B1B"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Príprava VO na DSP, DP</w:t>
            </w:r>
          </w:p>
        </w:tc>
      </w:tr>
      <w:tr w:rsidR="00CB16AA" w:rsidRPr="00666914" w14:paraId="3C832F8B" w14:textId="77777777" w:rsidTr="00985E7A">
        <w:trPr>
          <w:trHeight w:val="280"/>
        </w:trPr>
        <w:tc>
          <w:tcPr>
            <w:tcW w:w="1719" w:type="pct"/>
            <w:tcBorders>
              <w:top w:val="nil"/>
              <w:left w:val="nil"/>
              <w:bottom w:val="nil"/>
              <w:right w:val="nil"/>
            </w:tcBorders>
            <w:shd w:val="clear" w:color="auto" w:fill="auto"/>
            <w:noWrap/>
            <w:vAlign w:val="center"/>
            <w:hideMark/>
          </w:tcPr>
          <w:p w14:paraId="4C9B5A99"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R4 Ladomírová – Hunkovce</w:t>
            </w:r>
          </w:p>
        </w:tc>
        <w:tc>
          <w:tcPr>
            <w:tcW w:w="547" w:type="pct"/>
            <w:tcBorders>
              <w:top w:val="nil"/>
              <w:left w:val="nil"/>
              <w:bottom w:val="nil"/>
              <w:right w:val="nil"/>
            </w:tcBorders>
            <w:shd w:val="clear" w:color="auto" w:fill="auto"/>
            <w:noWrap/>
            <w:vAlign w:val="center"/>
            <w:hideMark/>
          </w:tcPr>
          <w:p w14:paraId="7EEF7C57"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94</w:t>
            </w:r>
          </w:p>
        </w:tc>
        <w:tc>
          <w:tcPr>
            <w:tcW w:w="315" w:type="pct"/>
            <w:tcBorders>
              <w:top w:val="nil"/>
              <w:left w:val="nil"/>
              <w:bottom w:val="nil"/>
              <w:right w:val="nil"/>
            </w:tcBorders>
            <w:shd w:val="clear" w:color="auto" w:fill="auto"/>
            <w:noWrap/>
            <w:vAlign w:val="center"/>
            <w:hideMark/>
          </w:tcPr>
          <w:p w14:paraId="448210DD"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8</w:t>
            </w:r>
          </w:p>
        </w:tc>
        <w:tc>
          <w:tcPr>
            <w:tcW w:w="511" w:type="pct"/>
            <w:tcBorders>
              <w:top w:val="nil"/>
              <w:left w:val="nil"/>
              <w:bottom w:val="nil"/>
              <w:right w:val="nil"/>
            </w:tcBorders>
            <w:shd w:val="clear" w:color="auto" w:fill="auto"/>
            <w:noWrap/>
            <w:vAlign w:val="center"/>
            <w:hideMark/>
          </w:tcPr>
          <w:p w14:paraId="4CCDC07B"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w:t>
            </w:r>
          </w:p>
        </w:tc>
        <w:tc>
          <w:tcPr>
            <w:tcW w:w="870" w:type="pct"/>
            <w:tcBorders>
              <w:top w:val="nil"/>
              <w:left w:val="nil"/>
              <w:bottom w:val="nil"/>
              <w:right w:val="nil"/>
            </w:tcBorders>
            <w:shd w:val="clear" w:color="auto" w:fill="auto"/>
            <w:noWrap/>
            <w:vAlign w:val="center"/>
            <w:hideMark/>
          </w:tcPr>
          <w:p w14:paraId="0C5E127E"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36</w:t>
            </w:r>
          </w:p>
        </w:tc>
        <w:tc>
          <w:tcPr>
            <w:tcW w:w="1038" w:type="pct"/>
            <w:tcBorders>
              <w:top w:val="nil"/>
              <w:left w:val="nil"/>
              <w:bottom w:val="nil"/>
              <w:right w:val="nil"/>
            </w:tcBorders>
            <w:shd w:val="clear" w:color="auto" w:fill="auto"/>
            <w:noWrap/>
            <w:vAlign w:val="center"/>
            <w:hideMark/>
          </w:tcPr>
          <w:p w14:paraId="0FF81D28"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dodaná DSP</w:t>
            </w:r>
          </w:p>
        </w:tc>
      </w:tr>
      <w:tr w:rsidR="00CB16AA" w:rsidRPr="00666914" w14:paraId="468E2935" w14:textId="77777777" w:rsidTr="00985E7A">
        <w:trPr>
          <w:trHeight w:val="280"/>
        </w:trPr>
        <w:tc>
          <w:tcPr>
            <w:tcW w:w="1719" w:type="pct"/>
            <w:tcBorders>
              <w:top w:val="nil"/>
              <w:left w:val="nil"/>
              <w:bottom w:val="nil"/>
              <w:right w:val="nil"/>
            </w:tcBorders>
            <w:shd w:val="clear" w:color="auto" w:fill="auto"/>
            <w:noWrap/>
            <w:vAlign w:val="center"/>
            <w:hideMark/>
          </w:tcPr>
          <w:p w14:paraId="0FC3C130"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R1 Slovenská Ľupča – Korytnica</w:t>
            </w:r>
          </w:p>
        </w:tc>
        <w:tc>
          <w:tcPr>
            <w:tcW w:w="547" w:type="pct"/>
            <w:tcBorders>
              <w:top w:val="nil"/>
              <w:left w:val="nil"/>
              <w:bottom w:val="nil"/>
              <w:right w:val="nil"/>
            </w:tcBorders>
            <w:shd w:val="clear" w:color="auto" w:fill="auto"/>
            <w:noWrap/>
            <w:vAlign w:val="center"/>
            <w:hideMark/>
          </w:tcPr>
          <w:p w14:paraId="63D7122C"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765</w:t>
            </w:r>
          </w:p>
        </w:tc>
        <w:tc>
          <w:tcPr>
            <w:tcW w:w="315" w:type="pct"/>
            <w:tcBorders>
              <w:top w:val="nil"/>
              <w:left w:val="nil"/>
              <w:bottom w:val="nil"/>
              <w:right w:val="nil"/>
            </w:tcBorders>
            <w:shd w:val="clear" w:color="auto" w:fill="auto"/>
            <w:noWrap/>
            <w:vAlign w:val="center"/>
            <w:hideMark/>
          </w:tcPr>
          <w:p w14:paraId="4CE1039E"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15</w:t>
            </w:r>
          </w:p>
        </w:tc>
        <w:tc>
          <w:tcPr>
            <w:tcW w:w="511" w:type="pct"/>
            <w:tcBorders>
              <w:top w:val="nil"/>
              <w:left w:val="nil"/>
              <w:bottom w:val="nil"/>
              <w:right w:val="nil"/>
            </w:tcBorders>
            <w:shd w:val="clear" w:color="auto" w:fill="auto"/>
            <w:noWrap/>
            <w:vAlign w:val="center"/>
            <w:hideMark/>
          </w:tcPr>
          <w:p w14:paraId="6F5491DF"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51</w:t>
            </w:r>
          </w:p>
        </w:tc>
        <w:tc>
          <w:tcPr>
            <w:tcW w:w="870" w:type="pct"/>
            <w:tcBorders>
              <w:top w:val="nil"/>
              <w:left w:val="nil"/>
              <w:bottom w:val="nil"/>
              <w:right w:val="nil"/>
            </w:tcBorders>
            <w:shd w:val="clear" w:color="auto" w:fill="auto"/>
            <w:noWrap/>
            <w:vAlign w:val="center"/>
            <w:hideMark/>
          </w:tcPr>
          <w:p w14:paraId="1A6D112C" w14:textId="77777777" w:rsidR="00CB16AA" w:rsidRPr="00666914" w:rsidRDefault="00CB16AA" w:rsidP="00985E7A">
            <w:pPr>
              <w:spacing w:after="0"/>
              <w:jc w:val="center"/>
              <w:rPr>
                <w:rFonts w:eastAsia="Times New Roman" w:cs="Calibri"/>
                <w:color w:val="000000"/>
                <w:sz w:val="20"/>
                <w:szCs w:val="20"/>
                <w:lang w:eastAsia="sk-SK"/>
              </w:rPr>
            </w:pPr>
          </w:p>
        </w:tc>
        <w:tc>
          <w:tcPr>
            <w:tcW w:w="1038" w:type="pct"/>
            <w:tcBorders>
              <w:top w:val="nil"/>
              <w:left w:val="nil"/>
              <w:bottom w:val="nil"/>
              <w:right w:val="nil"/>
            </w:tcBorders>
            <w:shd w:val="clear" w:color="auto" w:fill="auto"/>
            <w:noWrap/>
            <w:vAlign w:val="center"/>
            <w:hideMark/>
          </w:tcPr>
          <w:p w14:paraId="653893E2"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ukončený proces EIA z r. 2010 (potrebná revízia)</w:t>
            </w:r>
          </w:p>
        </w:tc>
      </w:tr>
      <w:tr w:rsidR="00CB16AA" w:rsidRPr="00666914" w14:paraId="3F54F0D8" w14:textId="77777777" w:rsidTr="00985E7A">
        <w:trPr>
          <w:trHeight w:val="280"/>
        </w:trPr>
        <w:tc>
          <w:tcPr>
            <w:tcW w:w="1719" w:type="pct"/>
            <w:tcBorders>
              <w:top w:val="nil"/>
              <w:left w:val="nil"/>
              <w:bottom w:val="nil"/>
              <w:right w:val="nil"/>
            </w:tcBorders>
            <w:shd w:val="clear" w:color="auto" w:fill="auto"/>
            <w:noWrap/>
            <w:vAlign w:val="center"/>
            <w:hideMark/>
          </w:tcPr>
          <w:p w14:paraId="56CFA381"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R1 Korytnica – Ružomberok</w:t>
            </w:r>
          </w:p>
        </w:tc>
        <w:tc>
          <w:tcPr>
            <w:tcW w:w="547" w:type="pct"/>
            <w:tcBorders>
              <w:top w:val="nil"/>
              <w:left w:val="nil"/>
              <w:bottom w:val="nil"/>
              <w:right w:val="nil"/>
            </w:tcBorders>
            <w:shd w:val="clear" w:color="auto" w:fill="auto"/>
            <w:noWrap/>
            <w:vAlign w:val="center"/>
            <w:hideMark/>
          </w:tcPr>
          <w:p w14:paraId="76C0701D"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725</w:t>
            </w:r>
          </w:p>
        </w:tc>
        <w:tc>
          <w:tcPr>
            <w:tcW w:w="315" w:type="pct"/>
            <w:tcBorders>
              <w:top w:val="nil"/>
              <w:left w:val="nil"/>
              <w:bottom w:val="nil"/>
              <w:right w:val="nil"/>
            </w:tcBorders>
            <w:shd w:val="clear" w:color="auto" w:fill="auto"/>
            <w:noWrap/>
            <w:vAlign w:val="center"/>
            <w:hideMark/>
          </w:tcPr>
          <w:p w14:paraId="4F9A0A16"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27</w:t>
            </w:r>
          </w:p>
        </w:tc>
        <w:tc>
          <w:tcPr>
            <w:tcW w:w="511" w:type="pct"/>
            <w:tcBorders>
              <w:top w:val="nil"/>
              <w:left w:val="nil"/>
              <w:bottom w:val="nil"/>
              <w:right w:val="nil"/>
            </w:tcBorders>
            <w:shd w:val="clear" w:color="auto" w:fill="auto"/>
            <w:noWrap/>
            <w:vAlign w:val="center"/>
            <w:hideMark/>
          </w:tcPr>
          <w:p w14:paraId="6381CA14"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27</w:t>
            </w:r>
          </w:p>
        </w:tc>
        <w:tc>
          <w:tcPr>
            <w:tcW w:w="870" w:type="pct"/>
            <w:tcBorders>
              <w:top w:val="nil"/>
              <w:left w:val="nil"/>
              <w:bottom w:val="nil"/>
              <w:right w:val="nil"/>
            </w:tcBorders>
            <w:shd w:val="clear" w:color="auto" w:fill="auto"/>
            <w:noWrap/>
            <w:vAlign w:val="center"/>
            <w:hideMark/>
          </w:tcPr>
          <w:p w14:paraId="0532442D" w14:textId="4A6830AA"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10</w:t>
            </w:r>
            <w:r w:rsidR="00666914">
              <w:rPr>
                <w:rFonts w:eastAsia="Times New Roman" w:cs="Calibri"/>
                <w:color w:val="000000"/>
                <w:sz w:val="20"/>
                <w:szCs w:val="20"/>
                <w:lang w:eastAsia="sk-SK"/>
              </w:rPr>
              <w:t xml:space="preserve"> </w:t>
            </w:r>
            <w:r w:rsidRPr="00666914">
              <w:rPr>
                <w:rFonts w:eastAsia="Times New Roman" w:cs="Calibri"/>
                <w:color w:val="000000"/>
                <w:sz w:val="20"/>
                <w:szCs w:val="20"/>
                <w:lang w:eastAsia="sk-SK"/>
              </w:rPr>
              <w:t>189</w:t>
            </w:r>
          </w:p>
        </w:tc>
        <w:tc>
          <w:tcPr>
            <w:tcW w:w="1038" w:type="pct"/>
            <w:tcBorders>
              <w:top w:val="nil"/>
              <w:left w:val="nil"/>
              <w:bottom w:val="nil"/>
              <w:right w:val="nil"/>
            </w:tcBorders>
            <w:shd w:val="clear" w:color="auto" w:fill="auto"/>
            <w:noWrap/>
            <w:vAlign w:val="center"/>
            <w:hideMark/>
          </w:tcPr>
          <w:p w14:paraId="746E1CD4"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ukončený proces EIA z roku 2010(potrebná revízia)</w:t>
            </w:r>
          </w:p>
        </w:tc>
      </w:tr>
      <w:tr w:rsidR="00CB16AA" w:rsidRPr="00666914" w14:paraId="55335EB1" w14:textId="77777777" w:rsidTr="00985E7A">
        <w:trPr>
          <w:trHeight w:val="280"/>
        </w:trPr>
        <w:tc>
          <w:tcPr>
            <w:tcW w:w="1719" w:type="pct"/>
            <w:tcBorders>
              <w:top w:val="nil"/>
              <w:left w:val="nil"/>
              <w:bottom w:val="nil"/>
              <w:right w:val="nil"/>
            </w:tcBorders>
            <w:shd w:val="clear" w:color="auto" w:fill="auto"/>
            <w:noWrap/>
            <w:vAlign w:val="center"/>
            <w:hideMark/>
          </w:tcPr>
          <w:p w14:paraId="38A863D0"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R1 Ružomberok Juh – križovatka D1</w:t>
            </w:r>
          </w:p>
        </w:tc>
        <w:tc>
          <w:tcPr>
            <w:tcW w:w="547" w:type="pct"/>
            <w:tcBorders>
              <w:top w:val="nil"/>
              <w:left w:val="nil"/>
              <w:bottom w:val="nil"/>
              <w:right w:val="nil"/>
            </w:tcBorders>
            <w:shd w:val="clear" w:color="auto" w:fill="auto"/>
            <w:noWrap/>
            <w:vAlign w:val="center"/>
            <w:hideMark/>
          </w:tcPr>
          <w:p w14:paraId="2F09F822"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157</w:t>
            </w:r>
          </w:p>
        </w:tc>
        <w:tc>
          <w:tcPr>
            <w:tcW w:w="315" w:type="pct"/>
            <w:tcBorders>
              <w:top w:val="nil"/>
              <w:left w:val="nil"/>
              <w:bottom w:val="nil"/>
              <w:right w:val="nil"/>
            </w:tcBorders>
            <w:shd w:val="clear" w:color="auto" w:fill="auto"/>
            <w:noWrap/>
            <w:vAlign w:val="center"/>
            <w:hideMark/>
          </w:tcPr>
          <w:p w14:paraId="2C80F477"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7</w:t>
            </w:r>
          </w:p>
        </w:tc>
        <w:tc>
          <w:tcPr>
            <w:tcW w:w="511" w:type="pct"/>
            <w:tcBorders>
              <w:top w:val="nil"/>
              <w:left w:val="nil"/>
              <w:bottom w:val="nil"/>
              <w:right w:val="nil"/>
            </w:tcBorders>
            <w:shd w:val="clear" w:color="auto" w:fill="auto"/>
            <w:noWrap/>
            <w:vAlign w:val="center"/>
            <w:hideMark/>
          </w:tcPr>
          <w:p w14:paraId="6A2F30FA"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21</w:t>
            </w:r>
          </w:p>
        </w:tc>
        <w:tc>
          <w:tcPr>
            <w:tcW w:w="870" w:type="pct"/>
            <w:tcBorders>
              <w:top w:val="nil"/>
              <w:left w:val="nil"/>
              <w:bottom w:val="nil"/>
              <w:right w:val="nil"/>
            </w:tcBorders>
            <w:shd w:val="clear" w:color="auto" w:fill="auto"/>
            <w:noWrap/>
            <w:vAlign w:val="center"/>
            <w:hideMark/>
          </w:tcPr>
          <w:p w14:paraId="2F76C60E" w14:textId="58F26A3E"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21</w:t>
            </w:r>
            <w:r w:rsidR="00666914">
              <w:rPr>
                <w:rFonts w:eastAsia="Times New Roman" w:cs="Calibri"/>
                <w:color w:val="000000"/>
                <w:sz w:val="20"/>
                <w:szCs w:val="20"/>
                <w:lang w:eastAsia="sk-SK"/>
              </w:rPr>
              <w:t xml:space="preserve"> </w:t>
            </w:r>
            <w:r w:rsidRPr="00666914">
              <w:rPr>
                <w:rFonts w:eastAsia="Times New Roman" w:cs="Calibri"/>
                <w:color w:val="000000"/>
                <w:sz w:val="20"/>
                <w:szCs w:val="20"/>
                <w:lang w:eastAsia="sk-SK"/>
              </w:rPr>
              <w:t>774</w:t>
            </w:r>
          </w:p>
        </w:tc>
        <w:tc>
          <w:tcPr>
            <w:tcW w:w="1038" w:type="pct"/>
            <w:tcBorders>
              <w:top w:val="nil"/>
              <w:left w:val="nil"/>
              <w:bottom w:val="nil"/>
              <w:right w:val="nil"/>
            </w:tcBorders>
            <w:shd w:val="clear" w:color="auto" w:fill="auto"/>
            <w:noWrap/>
            <w:vAlign w:val="center"/>
            <w:hideMark/>
          </w:tcPr>
          <w:p w14:paraId="7A98DBC0"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doručená DÚR na pripomienkovanie úseku R1 Ružomberok Juh – križovatka I/18</w:t>
            </w:r>
          </w:p>
        </w:tc>
      </w:tr>
      <w:tr w:rsidR="00CB16AA" w:rsidRPr="00666914" w14:paraId="55680194" w14:textId="77777777" w:rsidTr="00985E7A">
        <w:trPr>
          <w:trHeight w:val="280"/>
        </w:trPr>
        <w:tc>
          <w:tcPr>
            <w:tcW w:w="1719" w:type="pct"/>
            <w:tcBorders>
              <w:top w:val="nil"/>
              <w:left w:val="nil"/>
              <w:bottom w:val="nil"/>
              <w:right w:val="nil"/>
            </w:tcBorders>
            <w:shd w:val="clear" w:color="auto" w:fill="auto"/>
            <w:noWrap/>
            <w:vAlign w:val="center"/>
            <w:hideMark/>
          </w:tcPr>
          <w:p w14:paraId="2EC49594"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R2 Lovinobaňa – Ožďany</w:t>
            </w:r>
          </w:p>
        </w:tc>
        <w:tc>
          <w:tcPr>
            <w:tcW w:w="547" w:type="pct"/>
            <w:tcBorders>
              <w:top w:val="nil"/>
              <w:left w:val="nil"/>
              <w:bottom w:val="nil"/>
              <w:right w:val="nil"/>
            </w:tcBorders>
            <w:shd w:val="clear" w:color="auto" w:fill="auto"/>
            <w:noWrap/>
            <w:vAlign w:val="center"/>
            <w:hideMark/>
          </w:tcPr>
          <w:p w14:paraId="46AB0A1C"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208</w:t>
            </w:r>
          </w:p>
        </w:tc>
        <w:tc>
          <w:tcPr>
            <w:tcW w:w="315" w:type="pct"/>
            <w:tcBorders>
              <w:top w:val="nil"/>
              <w:left w:val="nil"/>
              <w:bottom w:val="nil"/>
              <w:right w:val="nil"/>
            </w:tcBorders>
            <w:shd w:val="clear" w:color="auto" w:fill="auto"/>
            <w:noWrap/>
            <w:vAlign w:val="center"/>
            <w:hideMark/>
          </w:tcPr>
          <w:p w14:paraId="2AAFA89E"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21</w:t>
            </w:r>
          </w:p>
        </w:tc>
        <w:tc>
          <w:tcPr>
            <w:tcW w:w="511" w:type="pct"/>
            <w:tcBorders>
              <w:top w:val="nil"/>
              <w:left w:val="nil"/>
              <w:bottom w:val="nil"/>
              <w:right w:val="nil"/>
            </w:tcBorders>
            <w:shd w:val="clear" w:color="auto" w:fill="auto"/>
            <w:noWrap/>
            <w:vAlign w:val="center"/>
            <w:hideMark/>
          </w:tcPr>
          <w:p w14:paraId="2FE48413"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10</w:t>
            </w:r>
          </w:p>
        </w:tc>
        <w:tc>
          <w:tcPr>
            <w:tcW w:w="870" w:type="pct"/>
            <w:tcBorders>
              <w:top w:val="nil"/>
              <w:left w:val="nil"/>
              <w:bottom w:val="nil"/>
              <w:right w:val="nil"/>
            </w:tcBorders>
            <w:shd w:val="clear" w:color="auto" w:fill="auto"/>
            <w:noWrap/>
            <w:vAlign w:val="center"/>
            <w:hideMark/>
          </w:tcPr>
          <w:p w14:paraId="6CAB9C19" w14:textId="41BFA3C0"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w:t>
            </w:r>
            <w:r w:rsidR="00666914">
              <w:rPr>
                <w:rFonts w:eastAsia="Times New Roman" w:cs="Calibri"/>
                <w:color w:val="000000"/>
                <w:sz w:val="20"/>
                <w:szCs w:val="20"/>
                <w:lang w:eastAsia="sk-SK"/>
              </w:rPr>
              <w:t xml:space="preserve"> </w:t>
            </w:r>
            <w:r w:rsidRPr="00666914">
              <w:rPr>
                <w:rFonts w:eastAsia="Times New Roman" w:cs="Calibri"/>
                <w:color w:val="000000"/>
                <w:sz w:val="20"/>
                <w:szCs w:val="20"/>
                <w:lang w:eastAsia="sk-SK"/>
              </w:rPr>
              <w:t>709</w:t>
            </w:r>
          </w:p>
        </w:tc>
        <w:tc>
          <w:tcPr>
            <w:tcW w:w="1038" w:type="pct"/>
            <w:tcBorders>
              <w:top w:val="nil"/>
              <w:left w:val="nil"/>
              <w:bottom w:val="nil"/>
              <w:right w:val="nil"/>
            </w:tcBorders>
            <w:shd w:val="clear" w:color="auto" w:fill="auto"/>
            <w:noWrap/>
            <w:vAlign w:val="center"/>
            <w:hideMark/>
          </w:tcPr>
          <w:p w14:paraId="0E906B10"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Právoplatné ÚR</w:t>
            </w:r>
          </w:p>
        </w:tc>
      </w:tr>
      <w:tr w:rsidR="00CB16AA" w:rsidRPr="00666914" w14:paraId="39F4A4D6" w14:textId="77777777" w:rsidTr="00985E7A">
        <w:trPr>
          <w:trHeight w:val="280"/>
        </w:trPr>
        <w:tc>
          <w:tcPr>
            <w:tcW w:w="1719" w:type="pct"/>
            <w:tcBorders>
              <w:top w:val="nil"/>
              <w:left w:val="nil"/>
              <w:bottom w:val="nil"/>
              <w:right w:val="nil"/>
            </w:tcBorders>
            <w:shd w:val="clear" w:color="auto" w:fill="auto"/>
            <w:noWrap/>
            <w:vAlign w:val="center"/>
            <w:hideMark/>
          </w:tcPr>
          <w:p w14:paraId="12117085"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R2 Ožďany – Zacharovce</w:t>
            </w:r>
          </w:p>
        </w:tc>
        <w:tc>
          <w:tcPr>
            <w:tcW w:w="547" w:type="pct"/>
            <w:tcBorders>
              <w:top w:val="nil"/>
              <w:left w:val="nil"/>
              <w:bottom w:val="nil"/>
              <w:right w:val="nil"/>
            </w:tcBorders>
            <w:shd w:val="clear" w:color="auto" w:fill="auto"/>
            <w:noWrap/>
            <w:vAlign w:val="center"/>
            <w:hideMark/>
          </w:tcPr>
          <w:p w14:paraId="42166B6B"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121</w:t>
            </w:r>
          </w:p>
        </w:tc>
        <w:tc>
          <w:tcPr>
            <w:tcW w:w="315" w:type="pct"/>
            <w:tcBorders>
              <w:top w:val="nil"/>
              <w:left w:val="nil"/>
              <w:bottom w:val="nil"/>
              <w:right w:val="nil"/>
            </w:tcBorders>
            <w:shd w:val="clear" w:color="auto" w:fill="auto"/>
            <w:noWrap/>
            <w:vAlign w:val="center"/>
            <w:hideMark/>
          </w:tcPr>
          <w:p w14:paraId="7123BE30"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11</w:t>
            </w:r>
          </w:p>
        </w:tc>
        <w:tc>
          <w:tcPr>
            <w:tcW w:w="511" w:type="pct"/>
            <w:tcBorders>
              <w:top w:val="nil"/>
              <w:left w:val="nil"/>
              <w:bottom w:val="nil"/>
              <w:right w:val="nil"/>
            </w:tcBorders>
            <w:shd w:val="clear" w:color="auto" w:fill="auto"/>
            <w:noWrap/>
            <w:vAlign w:val="center"/>
            <w:hideMark/>
          </w:tcPr>
          <w:p w14:paraId="03441ADF"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11</w:t>
            </w:r>
          </w:p>
        </w:tc>
        <w:tc>
          <w:tcPr>
            <w:tcW w:w="870" w:type="pct"/>
            <w:tcBorders>
              <w:top w:val="nil"/>
              <w:left w:val="nil"/>
              <w:bottom w:val="nil"/>
              <w:right w:val="nil"/>
            </w:tcBorders>
            <w:shd w:val="clear" w:color="auto" w:fill="auto"/>
            <w:noWrap/>
            <w:vAlign w:val="center"/>
            <w:hideMark/>
          </w:tcPr>
          <w:p w14:paraId="66C791FC" w14:textId="0C751DC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6</w:t>
            </w:r>
            <w:r w:rsidR="00666914">
              <w:rPr>
                <w:rFonts w:eastAsia="Times New Roman" w:cs="Calibri"/>
                <w:color w:val="000000"/>
                <w:sz w:val="20"/>
                <w:szCs w:val="20"/>
                <w:lang w:eastAsia="sk-SK"/>
              </w:rPr>
              <w:t xml:space="preserve"> </w:t>
            </w:r>
            <w:r w:rsidRPr="00666914">
              <w:rPr>
                <w:rFonts w:eastAsia="Times New Roman" w:cs="Calibri"/>
                <w:color w:val="000000"/>
                <w:sz w:val="20"/>
                <w:szCs w:val="20"/>
                <w:lang w:eastAsia="sk-SK"/>
              </w:rPr>
              <w:t>931</w:t>
            </w:r>
          </w:p>
        </w:tc>
        <w:tc>
          <w:tcPr>
            <w:tcW w:w="1038" w:type="pct"/>
            <w:tcBorders>
              <w:top w:val="nil"/>
              <w:left w:val="nil"/>
              <w:bottom w:val="nil"/>
              <w:right w:val="nil"/>
            </w:tcBorders>
            <w:shd w:val="clear" w:color="auto" w:fill="auto"/>
            <w:noWrap/>
            <w:vAlign w:val="center"/>
            <w:hideMark/>
          </w:tcPr>
          <w:p w14:paraId="11385A80"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Právoplatné ÚR</w:t>
            </w:r>
          </w:p>
        </w:tc>
      </w:tr>
      <w:tr w:rsidR="00CB16AA" w:rsidRPr="00666914" w14:paraId="21B3215A" w14:textId="77777777" w:rsidTr="00985E7A">
        <w:trPr>
          <w:trHeight w:val="280"/>
        </w:trPr>
        <w:tc>
          <w:tcPr>
            <w:tcW w:w="1719" w:type="pct"/>
            <w:tcBorders>
              <w:top w:val="nil"/>
              <w:left w:val="nil"/>
              <w:bottom w:val="nil"/>
              <w:right w:val="nil"/>
            </w:tcBorders>
            <w:shd w:val="clear" w:color="auto" w:fill="auto"/>
            <w:noWrap/>
            <w:vAlign w:val="center"/>
            <w:hideMark/>
          </w:tcPr>
          <w:p w14:paraId="79647264"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R2 Zacharovce – Bátka</w:t>
            </w:r>
          </w:p>
        </w:tc>
        <w:tc>
          <w:tcPr>
            <w:tcW w:w="547" w:type="pct"/>
            <w:tcBorders>
              <w:top w:val="nil"/>
              <w:left w:val="nil"/>
              <w:bottom w:val="nil"/>
              <w:right w:val="nil"/>
            </w:tcBorders>
            <w:shd w:val="clear" w:color="auto" w:fill="auto"/>
            <w:noWrap/>
            <w:vAlign w:val="center"/>
            <w:hideMark/>
          </w:tcPr>
          <w:p w14:paraId="1D855F91"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89</w:t>
            </w:r>
          </w:p>
        </w:tc>
        <w:tc>
          <w:tcPr>
            <w:tcW w:w="315" w:type="pct"/>
            <w:tcBorders>
              <w:top w:val="nil"/>
              <w:left w:val="nil"/>
              <w:bottom w:val="nil"/>
              <w:right w:val="nil"/>
            </w:tcBorders>
            <w:shd w:val="clear" w:color="auto" w:fill="auto"/>
            <w:noWrap/>
            <w:vAlign w:val="center"/>
            <w:hideMark/>
          </w:tcPr>
          <w:p w14:paraId="20AFED42"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8</w:t>
            </w:r>
          </w:p>
        </w:tc>
        <w:tc>
          <w:tcPr>
            <w:tcW w:w="511" w:type="pct"/>
            <w:tcBorders>
              <w:top w:val="nil"/>
              <w:left w:val="nil"/>
              <w:bottom w:val="nil"/>
              <w:right w:val="nil"/>
            </w:tcBorders>
            <w:shd w:val="clear" w:color="auto" w:fill="auto"/>
            <w:noWrap/>
            <w:vAlign w:val="center"/>
            <w:hideMark/>
          </w:tcPr>
          <w:p w14:paraId="182DBD91"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11</w:t>
            </w:r>
          </w:p>
        </w:tc>
        <w:tc>
          <w:tcPr>
            <w:tcW w:w="870" w:type="pct"/>
            <w:tcBorders>
              <w:top w:val="nil"/>
              <w:left w:val="nil"/>
              <w:bottom w:val="nil"/>
              <w:right w:val="nil"/>
            </w:tcBorders>
            <w:shd w:val="clear" w:color="auto" w:fill="auto"/>
            <w:noWrap/>
            <w:vAlign w:val="center"/>
            <w:hideMark/>
          </w:tcPr>
          <w:p w14:paraId="2DCE2D2F" w14:textId="34DAD41A"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5</w:t>
            </w:r>
            <w:r w:rsidR="00666914">
              <w:rPr>
                <w:rFonts w:eastAsia="Times New Roman" w:cs="Calibri"/>
                <w:color w:val="000000"/>
                <w:sz w:val="20"/>
                <w:szCs w:val="20"/>
                <w:lang w:eastAsia="sk-SK"/>
              </w:rPr>
              <w:t xml:space="preserve"> </w:t>
            </w:r>
            <w:r w:rsidRPr="00666914">
              <w:rPr>
                <w:rFonts w:eastAsia="Times New Roman" w:cs="Calibri"/>
                <w:color w:val="000000"/>
                <w:sz w:val="20"/>
                <w:szCs w:val="20"/>
                <w:lang w:eastAsia="sk-SK"/>
              </w:rPr>
              <w:t>871</w:t>
            </w:r>
          </w:p>
        </w:tc>
        <w:tc>
          <w:tcPr>
            <w:tcW w:w="1038" w:type="pct"/>
            <w:tcBorders>
              <w:top w:val="nil"/>
              <w:left w:val="nil"/>
              <w:bottom w:val="nil"/>
              <w:right w:val="nil"/>
            </w:tcBorders>
            <w:shd w:val="clear" w:color="auto" w:fill="auto"/>
            <w:noWrap/>
            <w:vAlign w:val="center"/>
            <w:hideMark/>
          </w:tcPr>
          <w:p w14:paraId="59A81ED1"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Právoplatné ÚR, spracováva sa DSP, DP</w:t>
            </w:r>
          </w:p>
        </w:tc>
      </w:tr>
      <w:tr w:rsidR="00CB16AA" w:rsidRPr="00666914" w14:paraId="297975DC" w14:textId="77777777" w:rsidTr="00985E7A">
        <w:trPr>
          <w:trHeight w:val="280"/>
        </w:trPr>
        <w:tc>
          <w:tcPr>
            <w:tcW w:w="1719" w:type="pct"/>
            <w:tcBorders>
              <w:top w:val="nil"/>
              <w:left w:val="nil"/>
              <w:bottom w:val="nil"/>
              <w:right w:val="nil"/>
            </w:tcBorders>
            <w:shd w:val="clear" w:color="auto" w:fill="auto"/>
            <w:noWrap/>
            <w:vAlign w:val="center"/>
            <w:hideMark/>
          </w:tcPr>
          <w:p w14:paraId="701342F9"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R2 Bátka – Figa</w:t>
            </w:r>
          </w:p>
        </w:tc>
        <w:tc>
          <w:tcPr>
            <w:tcW w:w="547" w:type="pct"/>
            <w:tcBorders>
              <w:top w:val="nil"/>
              <w:left w:val="nil"/>
              <w:bottom w:val="nil"/>
              <w:right w:val="nil"/>
            </w:tcBorders>
            <w:shd w:val="clear" w:color="auto" w:fill="auto"/>
            <w:noWrap/>
            <w:vAlign w:val="center"/>
            <w:hideMark/>
          </w:tcPr>
          <w:p w14:paraId="2DFD3D06"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72</w:t>
            </w:r>
          </w:p>
        </w:tc>
        <w:tc>
          <w:tcPr>
            <w:tcW w:w="315" w:type="pct"/>
            <w:tcBorders>
              <w:top w:val="nil"/>
              <w:left w:val="nil"/>
              <w:bottom w:val="nil"/>
              <w:right w:val="nil"/>
            </w:tcBorders>
            <w:shd w:val="clear" w:color="auto" w:fill="auto"/>
            <w:noWrap/>
            <w:vAlign w:val="center"/>
            <w:hideMark/>
          </w:tcPr>
          <w:p w14:paraId="671ADEAD"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6</w:t>
            </w:r>
          </w:p>
        </w:tc>
        <w:tc>
          <w:tcPr>
            <w:tcW w:w="511" w:type="pct"/>
            <w:tcBorders>
              <w:top w:val="nil"/>
              <w:left w:val="nil"/>
              <w:bottom w:val="nil"/>
              <w:right w:val="nil"/>
            </w:tcBorders>
            <w:shd w:val="clear" w:color="auto" w:fill="auto"/>
            <w:noWrap/>
            <w:vAlign w:val="center"/>
            <w:hideMark/>
          </w:tcPr>
          <w:p w14:paraId="0CDD8857"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w:t>
            </w:r>
          </w:p>
        </w:tc>
        <w:tc>
          <w:tcPr>
            <w:tcW w:w="870" w:type="pct"/>
            <w:tcBorders>
              <w:top w:val="nil"/>
              <w:left w:val="nil"/>
              <w:bottom w:val="nil"/>
              <w:right w:val="nil"/>
            </w:tcBorders>
            <w:shd w:val="clear" w:color="auto" w:fill="auto"/>
            <w:noWrap/>
            <w:vAlign w:val="center"/>
            <w:hideMark/>
          </w:tcPr>
          <w:p w14:paraId="29C41DE4" w14:textId="786CF970"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5</w:t>
            </w:r>
            <w:r w:rsidR="00666914">
              <w:rPr>
                <w:rFonts w:eastAsia="Times New Roman" w:cs="Calibri"/>
                <w:color w:val="000000"/>
                <w:sz w:val="20"/>
                <w:szCs w:val="20"/>
                <w:lang w:eastAsia="sk-SK"/>
              </w:rPr>
              <w:t xml:space="preserve"> </w:t>
            </w:r>
            <w:r w:rsidRPr="00666914">
              <w:rPr>
                <w:rFonts w:eastAsia="Times New Roman" w:cs="Calibri"/>
                <w:color w:val="000000"/>
                <w:sz w:val="20"/>
                <w:szCs w:val="20"/>
                <w:lang w:eastAsia="sk-SK"/>
              </w:rPr>
              <w:t>888</w:t>
            </w:r>
          </w:p>
        </w:tc>
        <w:tc>
          <w:tcPr>
            <w:tcW w:w="1038" w:type="pct"/>
            <w:tcBorders>
              <w:top w:val="nil"/>
              <w:left w:val="nil"/>
              <w:bottom w:val="nil"/>
              <w:right w:val="nil"/>
            </w:tcBorders>
            <w:shd w:val="clear" w:color="auto" w:fill="auto"/>
            <w:noWrap/>
            <w:vAlign w:val="center"/>
            <w:hideMark/>
          </w:tcPr>
          <w:p w14:paraId="63BB74B7"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Právoplatné ÚR, dodaná DSP, spracováva sa DP</w:t>
            </w:r>
          </w:p>
        </w:tc>
      </w:tr>
      <w:tr w:rsidR="00CB16AA" w:rsidRPr="00666914" w14:paraId="196C840E" w14:textId="77777777" w:rsidTr="00985E7A">
        <w:trPr>
          <w:trHeight w:val="280"/>
        </w:trPr>
        <w:tc>
          <w:tcPr>
            <w:tcW w:w="1719" w:type="pct"/>
            <w:tcBorders>
              <w:top w:val="nil"/>
              <w:left w:val="nil"/>
              <w:bottom w:val="nil"/>
              <w:right w:val="nil"/>
            </w:tcBorders>
            <w:shd w:val="clear" w:color="auto" w:fill="auto"/>
            <w:noWrap/>
            <w:vAlign w:val="center"/>
            <w:hideMark/>
          </w:tcPr>
          <w:p w14:paraId="33AB498C"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R2 Trenčianska Turná – Mníchova Lehota</w:t>
            </w:r>
          </w:p>
        </w:tc>
        <w:tc>
          <w:tcPr>
            <w:tcW w:w="547" w:type="pct"/>
            <w:tcBorders>
              <w:top w:val="nil"/>
              <w:left w:val="nil"/>
              <w:bottom w:val="nil"/>
              <w:right w:val="nil"/>
            </w:tcBorders>
            <w:shd w:val="clear" w:color="auto" w:fill="auto"/>
            <w:noWrap/>
            <w:vAlign w:val="center"/>
            <w:hideMark/>
          </w:tcPr>
          <w:p w14:paraId="4D31446B"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60</w:t>
            </w:r>
          </w:p>
        </w:tc>
        <w:tc>
          <w:tcPr>
            <w:tcW w:w="315" w:type="pct"/>
            <w:tcBorders>
              <w:top w:val="nil"/>
              <w:left w:val="nil"/>
              <w:bottom w:val="nil"/>
              <w:right w:val="nil"/>
            </w:tcBorders>
            <w:shd w:val="clear" w:color="auto" w:fill="auto"/>
            <w:noWrap/>
            <w:vAlign w:val="center"/>
            <w:hideMark/>
          </w:tcPr>
          <w:p w14:paraId="761A9E6D"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w:t>
            </w:r>
          </w:p>
        </w:tc>
        <w:tc>
          <w:tcPr>
            <w:tcW w:w="511" w:type="pct"/>
            <w:tcBorders>
              <w:top w:val="nil"/>
              <w:left w:val="nil"/>
              <w:bottom w:val="nil"/>
              <w:right w:val="nil"/>
            </w:tcBorders>
            <w:shd w:val="clear" w:color="auto" w:fill="auto"/>
            <w:noWrap/>
            <w:vAlign w:val="center"/>
            <w:hideMark/>
          </w:tcPr>
          <w:p w14:paraId="763CA877"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22</w:t>
            </w:r>
          </w:p>
        </w:tc>
        <w:tc>
          <w:tcPr>
            <w:tcW w:w="870" w:type="pct"/>
            <w:tcBorders>
              <w:top w:val="nil"/>
              <w:left w:val="nil"/>
              <w:bottom w:val="nil"/>
              <w:right w:val="nil"/>
            </w:tcBorders>
            <w:shd w:val="clear" w:color="auto" w:fill="auto"/>
            <w:noWrap/>
            <w:vAlign w:val="center"/>
            <w:hideMark/>
          </w:tcPr>
          <w:p w14:paraId="1017DA97" w14:textId="2BAC2B50"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w:t>
            </w:r>
            <w:r w:rsidR="00666914">
              <w:rPr>
                <w:rFonts w:eastAsia="Times New Roman" w:cs="Calibri"/>
                <w:color w:val="000000"/>
                <w:sz w:val="20"/>
                <w:szCs w:val="20"/>
                <w:lang w:eastAsia="sk-SK"/>
              </w:rPr>
              <w:t xml:space="preserve"> </w:t>
            </w:r>
            <w:r w:rsidRPr="00666914">
              <w:rPr>
                <w:rFonts w:eastAsia="Times New Roman" w:cs="Calibri"/>
                <w:color w:val="000000"/>
                <w:sz w:val="20"/>
                <w:szCs w:val="20"/>
                <w:lang w:eastAsia="sk-SK"/>
              </w:rPr>
              <w:t>634</w:t>
            </w:r>
          </w:p>
        </w:tc>
        <w:tc>
          <w:tcPr>
            <w:tcW w:w="1038" w:type="pct"/>
            <w:tcBorders>
              <w:top w:val="nil"/>
              <w:left w:val="nil"/>
              <w:bottom w:val="nil"/>
              <w:right w:val="nil"/>
            </w:tcBorders>
            <w:shd w:val="clear" w:color="auto" w:fill="auto"/>
            <w:noWrap/>
            <w:vAlign w:val="center"/>
            <w:hideMark/>
          </w:tcPr>
          <w:p w14:paraId="7E2981FB"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VO ukončené, spracováva sa DSP</w:t>
            </w:r>
          </w:p>
        </w:tc>
      </w:tr>
      <w:tr w:rsidR="00CB16AA" w:rsidRPr="00666914" w14:paraId="56429658" w14:textId="77777777" w:rsidTr="00985E7A">
        <w:trPr>
          <w:trHeight w:val="280"/>
        </w:trPr>
        <w:tc>
          <w:tcPr>
            <w:tcW w:w="1719" w:type="pct"/>
            <w:tcBorders>
              <w:top w:val="nil"/>
              <w:left w:val="nil"/>
              <w:bottom w:val="nil"/>
              <w:right w:val="nil"/>
            </w:tcBorders>
            <w:shd w:val="clear" w:color="auto" w:fill="auto"/>
            <w:noWrap/>
            <w:vAlign w:val="center"/>
            <w:hideMark/>
          </w:tcPr>
          <w:p w14:paraId="7312C8F3"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R2 Mníchova Lehota – Ruskovce</w:t>
            </w:r>
          </w:p>
        </w:tc>
        <w:tc>
          <w:tcPr>
            <w:tcW w:w="547" w:type="pct"/>
            <w:tcBorders>
              <w:top w:val="nil"/>
              <w:left w:val="nil"/>
              <w:bottom w:val="nil"/>
              <w:right w:val="nil"/>
            </w:tcBorders>
            <w:shd w:val="clear" w:color="auto" w:fill="auto"/>
            <w:noWrap/>
            <w:vAlign w:val="center"/>
            <w:hideMark/>
          </w:tcPr>
          <w:p w14:paraId="32B41780"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251</w:t>
            </w:r>
          </w:p>
        </w:tc>
        <w:tc>
          <w:tcPr>
            <w:tcW w:w="315" w:type="pct"/>
            <w:tcBorders>
              <w:top w:val="nil"/>
              <w:left w:val="nil"/>
              <w:bottom w:val="nil"/>
              <w:right w:val="nil"/>
            </w:tcBorders>
            <w:shd w:val="clear" w:color="auto" w:fill="auto"/>
            <w:noWrap/>
            <w:vAlign w:val="center"/>
            <w:hideMark/>
          </w:tcPr>
          <w:p w14:paraId="41F661D7"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16</w:t>
            </w:r>
          </w:p>
        </w:tc>
        <w:tc>
          <w:tcPr>
            <w:tcW w:w="511" w:type="pct"/>
            <w:tcBorders>
              <w:top w:val="nil"/>
              <w:left w:val="nil"/>
              <w:bottom w:val="nil"/>
              <w:right w:val="nil"/>
            </w:tcBorders>
            <w:shd w:val="clear" w:color="auto" w:fill="auto"/>
            <w:noWrap/>
            <w:vAlign w:val="center"/>
            <w:hideMark/>
          </w:tcPr>
          <w:p w14:paraId="241454DE"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16</w:t>
            </w:r>
          </w:p>
        </w:tc>
        <w:tc>
          <w:tcPr>
            <w:tcW w:w="870" w:type="pct"/>
            <w:tcBorders>
              <w:top w:val="nil"/>
              <w:left w:val="nil"/>
              <w:bottom w:val="nil"/>
              <w:right w:val="nil"/>
            </w:tcBorders>
            <w:shd w:val="clear" w:color="auto" w:fill="auto"/>
            <w:noWrap/>
            <w:vAlign w:val="center"/>
            <w:hideMark/>
          </w:tcPr>
          <w:p w14:paraId="3B08815F" w14:textId="287EFD1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9</w:t>
            </w:r>
            <w:r w:rsidR="00666914">
              <w:rPr>
                <w:rFonts w:eastAsia="Times New Roman" w:cs="Calibri"/>
                <w:color w:val="000000"/>
                <w:sz w:val="20"/>
                <w:szCs w:val="20"/>
                <w:lang w:eastAsia="sk-SK"/>
              </w:rPr>
              <w:t xml:space="preserve"> </w:t>
            </w:r>
            <w:r w:rsidRPr="00666914">
              <w:rPr>
                <w:rFonts w:eastAsia="Times New Roman" w:cs="Calibri"/>
                <w:color w:val="000000"/>
                <w:sz w:val="20"/>
                <w:szCs w:val="20"/>
                <w:lang w:eastAsia="sk-SK"/>
              </w:rPr>
              <w:t>632</w:t>
            </w:r>
          </w:p>
        </w:tc>
        <w:tc>
          <w:tcPr>
            <w:tcW w:w="1038" w:type="pct"/>
            <w:tcBorders>
              <w:top w:val="nil"/>
              <w:left w:val="nil"/>
              <w:bottom w:val="nil"/>
              <w:right w:val="nil"/>
            </w:tcBorders>
            <w:shd w:val="clear" w:color="auto" w:fill="auto"/>
            <w:noWrap/>
            <w:vAlign w:val="center"/>
            <w:hideMark/>
          </w:tcPr>
          <w:p w14:paraId="5057E03E"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spracováva sa DSP</w:t>
            </w:r>
          </w:p>
        </w:tc>
      </w:tr>
      <w:tr w:rsidR="00CB16AA" w:rsidRPr="00666914" w14:paraId="66759952" w14:textId="77777777" w:rsidTr="00985E7A">
        <w:trPr>
          <w:trHeight w:val="280"/>
        </w:trPr>
        <w:tc>
          <w:tcPr>
            <w:tcW w:w="1719" w:type="pct"/>
            <w:tcBorders>
              <w:top w:val="nil"/>
              <w:left w:val="nil"/>
              <w:bottom w:val="nil"/>
              <w:right w:val="nil"/>
            </w:tcBorders>
            <w:shd w:val="clear" w:color="auto" w:fill="auto"/>
            <w:noWrap/>
            <w:vAlign w:val="center"/>
            <w:hideMark/>
          </w:tcPr>
          <w:p w14:paraId="538E966B"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R2 Križovatka D1 – Trenčianska Turná</w:t>
            </w:r>
          </w:p>
        </w:tc>
        <w:tc>
          <w:tcPr>
            <w:tcW w:w="547" w:type="pct"/>
            <w:tcBorders>
              <w:top w:val="nil"/>
              <w:left w:val="nil"/>
              <w:bottom w:val="nil"/>
              <w:right w:val="nil"/>
            </w:tcBorders>
            <w:shd w:val="clear" w:color="auto" w:fill="auto"/>
            <w:noWrap/>
            <w:vAlign w:val="center"/>
            <w:hideMark/>
          </w:tcPr>
          <w:p w14:paraId="202D68A8"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113</w:t>
            </w:r>
          </w:p>
        </w:tc>
        <w:tc>
          <w:tcPr>
            <w:tcW w:w="315" w:type="pct"/>
            <w:tcBorders>
              <w:top w:val="nil"/>
              <w:left w:val="nil"/>
              <w:bottom w:val="nil"/>
              <w:right w:val="nil"/>
            </w:tcBorders>
            <w:shd w:val="clear" w:color="auto" w:fill="auto"/>
            <w:noWrap/>
            <w:vAlign w:val="center"/>
            <w:hideMark/>
          </w:tcPr>
          <w:p w14:paraId="0914AA16"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6</w:t>
            </w:r>
          </w:p>
        </w:tc>
        <w:tc>
          <w:tcPr>
            <w:tcW w:w="511" w:type="pct"/>
            <w:tcBorders>
              <w:top w:val="nil"/>
              <w:left w:val="nil"/>
              <w:bottom w:val="nil"/>
              <w:right w:val="nil"/>
            </w:tcBorders>
            <w:shd w:val="clear" w:color="auto" w:fill="auto"/>
            <w:noWrap/>
            <w:vAlign w:val="center"/>
            <w:hideMark/>
          </w:tcPr>
          <w:p w14:paraId="78CDB22E"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19</w:t>
            </w:r>
          </w:p>
        </w:tc>
        <w:tc>
          <w:tcPr>
            <w:tcW w:w="870" w:type="pct"/>
            <w:tcBorders>
              <w:top w:val="nil"/>
              <w:left w:val="nil"/>
              <w:bottom w:val="nil"/>
              <w:right w:val="nil"/>
            </w:tcBorders>
            <w:shd w:val="clear" w:color="auto" w:fill="auto"/>
            <w:noWrap/>
            <w:vAlign w:val="center"/>
            <w:hideMark/>
          </w:tcPr>
          <w:p w14:paraId="063984A7"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16 778</w:t>
            </w:r>
          </w:p>
        </w:tc>
        <w:tc>
          <w:tcPr>
            <w:tcW w:w="1038" w:type="pct"/>
            <w:tcBorders>
              <w:top w:val="nil"/>
              <w:left w:val="nil"/>
              <w:bottom w:val="nil"/>
              <w:right w:val="nil"/>
            </w:tcBorders>
            <w:shd w:val="clear" w:color="auto" w:fill="auto"/>
            <w:noWrap/>
            <w:vAlign w:val="center"/>
            <w:hideMark/>
          </w:tcPr>
          <w:p w14:paraId="67A2AA8C"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spracováva sa DSP</w:t>
            </w:r>
          </w:p>
        </w:tc>
      </w:tr>
      <w:tr w:rsidR="00CB16AA" w:rsidRPr="00666914" w14:paraId="52BE4B45" w14:textId="77777777" w:rsidTr="00985E7A">
        <w:trPr>
          <w:trHeight w:val="280"/>
        </w:trPr>
        <w:tc>
          <w:tcPr>
            <w:tcW w:w="1719" w:type="pct"/>
            <w:tcBorders>
              <w:top w:val="nil"/>
              <w:left w:val="nil"/>
              <w:bottom w:val="nil"/>
              <w:right w:val="nil"/>
            </w:tcBorders>
            <w:shd w:val="clear" w:color="auto" w:fill="auto"/>
            <w:noWrap/>
            <w:vAlign w:val="center"/>
            <w:hideMark/>
          </w:tcPr>
          <w:p w14:paraId="4887BE2C"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R3 Tvrdošín – Nižná</w:t>
            </w:r>
          </w:p>
        </w:tc>
        <w:tc>
          <w:tcPr>
            <w:tcW w:w="547" w:type="pct"/>
            <w:tcBorders>
              <w:top w:val="nil"/>
              <w:left w:val="nil"/>
              <w:bottom w:val="nil"/>
              <w:right w:val="nil"/>
            </w:tcBorders>
            <w:shd w:val="clear" w:color="auto" w:fill="auto"/>
            <w:noWrap/>
            <w:vAlign w:val="center"/>
            <w:hideMark/>
          </w:tcPr>
          <w:p w14:paraId="1A978098"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83</w:t>
            </w:r>
          </w:p>
        </w:tc>
        <w:tc>
          <w:tcPr>
            <w:tcW w:w="315" w:type="pct"/>
            <w:tcBorders>
              <w:top w:val="nil"/>
              <w:left w:val="nil"/>
              <w:bottom w:val="nil"/>
              <w:right w:val="nil"/>
            </w:tcBorders>
            <w:shd w:val="clear" w:color="auto" w:fill="auto"/>
            <w:noWrap/>
            <w:vAlign w:val="center"/>
            <w:hideMark/>
          </w:tcPr>
          <w:p w14:paraId="412CFC31"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4</w:t>
            </w:r>
          </w:p>
        </w:tc>
        <w:tc>
          <w:tcPr>
            <w:tcW w:w="511" w:type="pct"/>
            <w:tcBorders>
              <w:top w:val="nil"/>
              <w:left w:val="nil"/>
              <w:bottom w:val="nil"/>
              <w:right w:val="nil"/>
            </w:tcBorders>
            <w:shd w:val="clear" w:color="auto" w:fill="auto"/>
            <w:noWrap/>
            <w:vAlign w:val="center"/>
            <w:hideMark/>
          </w:tcPr>
          <w:p w14:paraId="75D3CDBF"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19</w:t>
            </w:r>
          </w:p>
        </w:tc>
        <w:tc>
          <w:tcPr>
            <w:tcW w:w="870" w:type="pct"/>
            <w:tcBorders>
              <w:top w:val="nil"/>
              <w:left w:val="nil"/>
              <w:bottom w:val="nil"/>
              <w:right w:val="nil"/>
            </w:tcBorders>
            <w:shd w:val="clear" w:color="auto" w:fill="auto"/>
            <w:noWrap/>
            <w:vAlign w:val="center"/>
            <w:hideMark/>
          </w:tcPr>
          <w:p w14:paraId="59891272" w14:textId="15492B5D"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6</w:t>
            </w:r>
            <w:r w:rsidR="00666914">
              <w:rPr>
                <w:rFonts w:eastAsia="Times New Roman" w:cs="Calibri"/>
                <w:color w:val="000000"/>
                <w:sz w:val="20"/>
                <w:szCs w:val="20"/>
                <w:lang w:eastAsia="sk-SK"/>
              </w:rPr>
              <w:t xml:space="preserve"> </w:t>
            </w:r>
            <w:r w:rsidRPr="00666914">
              <w:rPr>
                <w:rFonts w:eastAsia="Times New Roman" w:cs="Calibri"/>
                <w:color w:val="000000"/>
                <w:sz w:val="20"/>
                <w:szCs w:val="20"/>
                <w:lang w:eastAsia="sk-SK"/>
              </w:rPr>
              <w:t>768</w:t>
            </w:r>
          </w:p>
        </w:tc>
        <w:tc>
          <w:tcPr>
            <w:tcW w:w="1038" w:type="pct"/>
            <w:tcBorders>
              <w:top w:val="nil"/>
              <w:left w:val="nil"/>
              <w:bottom w:val="nil"/>
              <w:right w:val="nil"/>
            </w:tcBorders>
            <w:shd w:val="clear" w:color="auto" w:fill="auto"/>
            <w:noWrap/>
            <w:vAlign w:val="center"/>
            <w:hideMark/>
          </w:tcPr>
          <w:p w14:paraId="7A957534"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prebieha VO na zhotoviteľa SP</w:t>
            </w:r>
          </w:p>
        </w:tc>
      </w:tr>
      <w:tr w:rsidR="00CB16AA" w:rsidRPr="00666914" w14:paraId="075B6560" w14:textId="77777777" w:rsidTr="00985E7A">
        <w:trPr>
          <w:trHeight w:val="280"/>
        </w:trPr>
        <w:tc>
          <w:tcPr>
            <w:tcW w:w="1719" w:type="pct"/>
            <w:tcBorders>
              <w:top w:val="nil"/>
              <w:left w:val="nil"/>
              <w:bottom w:val="nil"/>
              <w:right w:val="nil"/>
            </w:tcBorders>
            <w:shd w:val="clear" w:color="auto" w:fill="auto"/>
            <w:noWrap/>
            <w:vAlign w:val="center"/>
            <w:hideMark/>
          </w:tcPr>
          <w:p w14:paraId="695A67D0"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R3 Dlhá nad Oravou – Sedliacka Dubová</w:t>
            </w:r>
          </w:p>
        </w:tc>
        <w:tc>
          <w:tcPr>
            <w:tcW w:w="547" w:type="pct"/>
            <w:tcBorders>
              <w:top w:val="nil"/>
              <w:left w:val="nil"/>
              <w:bottom w:val="nil"/>
              <w:right w:val="nil"/>
            </w:tcBorders>
            <w:shd w:val="clear" w:color="auto" w:fill="auto"/>
            <w:noWrap/>
            <w:vAlign w:val="center"/>
            <w:hideMark/>
          </w:tcPr>
          <w:p w14:paraId="4C4D76EB"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104</w:t>
            </w:r>
          </w:p>
        </w:tc>
        <w:tc>
          <w:tcPr>
            <w:tcW w:w="315" w:type="pct"/>
            <w:tcBorders>
              <w:top w:val="nil"/>
              <w:left w:val="nil"/>
              <w:bottom w:val="nil"/>
              <w:right w:val="nil"/>
            </w:tcBorders>
            <w:shd w:val="clear" w:color="auto" w:fill="auto"/>
            <w:noWrap/>
            <w:vAlign w:val="center"/>
            <w:hideMark/>
          </w:tcPr>
          <w:p w14:paraId="52D805D6"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5</w:t>
            </w:r>
          </w:p>
        </w:tc>
        <w:tc>
          <w:tcPr>
            <w:tcW w:w="511" w:type="pct"/>
            <w:tcBorders>
              <w:top w:val="nil"/>
              <w:left w:val="nil"/>
              <w:bottom w:val="nil"/>
              <w:right w:val="nil"/>
            </w:tcBorders>
            <w:shd w:val="clear" w:color="auto" w:fill="auto"/>
            <w:noWrap/>
            <w:vAlign w:val="center"/>
            <w:hideMark/>
          </w:tcPr>
          <w:p w14:paraId="4464D53C"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21</w:t>
            </w:r>
          </w:p>
        </w:tc>
        <w:tc>
          <w:tcPr>
            <w:tcW w:w="870" w:type="pct"/>
            <w:tcBorders>
              <w:top w:val="nil"/>
              <w:left w:val="nil"/>
              <w:bottom w:val="nil"/>
              <w:right w:val="nil"/>
            </w:tcBorders>
            <w:shd w:val="clear" w:color="auto" w:fill="auto"/>
            <w:noWrap/>
            <w:vAlign w:val="center"/>
            <w:hideMark/>
          </w:tcPr>
          <w:p w14:paraId="6B552740" w14:textId="231AC9D0"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7</w:t>
            </w:r>
            <w:r w:rsidR="00666914">
              <w:rPr>
                <w:rFonts w:eastAsia="Times New Roman" w:cs="Calibri"/>
                <w:color w:val="000000"/>
                <w:sz w:val="20"/>
                <w:szCs w:val="20"/>
                <w:lang w:eastAsia="sk-SK"/>
              </w:rPr>
              <w:t xml:space="preserve"> </w:t>
            </w:r>
            <w:r w:rsidRPr="00666914">
              <w:rPr>
                <w:rFonts w:eastAsia="Times New Roman" w:cs="Calibri"/>
                <w:color w:val="000000"/>
                <w:sz w:val="20"/>
                <w:szCs w:val="20"/>
                <w:lang w:eastAsia="sk-SK"/>
              </w:rPr>
              <w:t>778</w:t>
            </w:r>
          </w:p>
        </w:tc>
        <w:tc>
          <w:tcPr>
            <w:tcW w:w="1038" w:type="pct"/>
            <w:tcBorders>
              <w:top w:val="nil"/>
              <w:left w:val="nil"/>
              <w:bottom w:val="nil"/>
              <w:right w:val="nil"/>
            </w:tcBorders>
            <w:shd w:val="clear" w:color="auto" w:fill="auto"/>
            <w:noWrap/>
            <w:vAlign w:val="center"/>
            <w:hideMark/>
          </w:tcPr>
          <w:p w14:paraId="3CCFB4E4"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Príprava VO na DSP, DP</w:t>
            </w:r>
          </w:p>
        </w:tc>
      </w:tr>
      <w:tr w:rsidR="00CB16AA" w:rsidRPr="00666914" w14:paraId="7B8ACFE3" w14:textId="77777777" w:rsidTr="00985E7A">
        <w:trPr>
          <w:trHeight w:val="280"/>
        </w:trPr>
        <w:tc>
          <w:tcPr>
            <w:tcW w:w="1719" w:type="pct"/>
            <w:tcBorders>
              <w:top w:val="nil"/>
              <w:left w:val="nil"/>
              <w:bottom w:val="nil"/>
              <w:right w:val="nil"/>
            </w:tcBorders>
            <w:shd w:val="clear" w:color="auto" w:fill="auto"/>
            <w:noWrap/>
            <w:vAlign w:val="center"/>
          </w:tcPr>
          <w:p w14:paraId="584CBF7B"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R3 (I/66) Krupina - obchvat</w:t>
            </w:r>
          </w:p>
        </w:tc>
        <w:tc>
          <w:tcPr>
            <w:tcW w:w="547" w:type="pct"/>
            <w:tcBorders>
              <w:top w:val="nil"/>
              <w:left w:val="nil"/>
              <w:bottom w:val="nil"/>
              <w:right w:val="nil"/>
            </w:tcBorders>
            <w:shd w:val="clear" w:color="auto" w:fill="auto"/>
            <w:noWrap/>
            <w:vAlign w:val="center"/>
          </w:tcPr>
          <w:p w14:paraId="135AC6F3"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67</w:t>
            </w:r>
          </w:p>
        </w:tc>
        <w:tc>
          <w:tcPr>
            <w:tcW w:w="315" w:type="pct"/>
            <w:tcBorders>
              <w:top w:val="nil"/>
              <w:left w:val="nil"/>
              <w:bottom w:val="nil"/>
              <w:right w:val="nil"/>
            </w:tcBorders>
            <w:shd w:val="clear" w:color="auto" w:fill="auto"/>
            <w:noWrap/>
            <w:vAlign w:val="center"/>
          </w:tcPr>
          <w:p w14:paraId="1C8F1605"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6,5</w:t>
            </w:r>
          </w:p>
        </w:tc>
        <w:tc>
          <w:tcPr>
            <w:tcW w:w="511" w:type="pct"/>
            <w:tcBorders>
              <w:top w:val="nil"/>
              <w:left w:val="nil"/>
              <w:bottom w:val="nil"/>
              <w:right w:val="nil"/>
            </w:tcBorders>
            <w:shd w:val="clear" w:color="auto" w:fill="auto"/>
            <w:noWrap/>
            <w:vAlign w:val="center"/>
          </w:tcPr>
          <w:p w14:paraId="384C8B11"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10,3</w:t>
            </w:r>
          </w:p>
        </w:tc>
        <w:tc>
          <w:tcPr>
            <w:tcW w:w="870" w:type="pct"/>
            <w:tcBorders>
              <w:top w:val="nil"/>
              <w:left w:val="nil"/>
              <w:bottom w:val="nil"/>
              <w:right w:val="nil"/>
            </w:tcBorders>
            <w:shd w:val="clear" w:color="auto" w:fill="auto"/>
            <w:noWrap/>
            <w:vAlign w:val="center"/>
          </w:tcPr>
          <w:p w14:paraId="6B7FEF6D" w14:textId="7265A919"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9</w:t>
            </w:r>
            <w:r w:rsidR="00666914">
              <w:rPr>
                <w:rFonts w:eastAsia="Times New Roman" w:cs="Calibri"/>
                <w:color w:val="000000"/>
                <w:sz w:val="20"/>
                <w:szCs w:val="20"/>
                <w:lang w:eastAsia="sk-SK"/>
              </w:rPr>
              <w:t xml:space="preserve"> </w:t>
            </w:r>
            <w:r w:rsidRPr="00666914">
              <w:rPr>
                <w:rFonts w:eastAsia="Times New Roman" w:cs="Calibri"/>
                <w:color w:val="000000"/>
                <w:sz w:val="20"/>
                <w:szCs w:val="20"/>
                <w:lang w:eastAsia="sk-SK"/>
              </w:rPr>
              <w:t>046</w:t>
            </w:r>
          </w:p>
        </w:tc>
        <w:tc>
          <w:tcPr>
            <w:tcW w:w="1038" w:type="pct"/>
            <w:tcBorders>
              <w:top w:val="nil"/>
              <w:left w:val="nil"/>
              <w:bottom w:val="nil"/>
              <w:right w:val="nil"/>
            </w:tcBorders>
            <w:shd w:val="clear" w:color="auto" w:fill="auto"/>
            <w:noWrap/>
            <w:vAlign w:val="center"/>
          </w:tcPr>
          <w:p w14:paraId="26112A27"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dodaná DUR</w:t>
            </w:r>
          </w:p>
        </w:tc>
      </w:tr>
      <w:tr w:rsidR="00CB16AA" w:rsidRPr="00666914" w14:paraId="5D1F3AA2" w14:textId="77777777" w:rsidTr="00985E7A">
        <w:trPr>
          <w:trHeight w:val="280"/>
        </w:trPr>
        <w:tc>
          <w:tcPr>
            <w:tcW w:w="1719" w:type="pct"/>
            <w:tcBorders>
              <w:top w:val="nil"/>
              <w:left w:val="nil"/>
              <w:bottom w:val="nil"/>
              <w:right w:val="nil"/>
            </w:tcBorders>
            <w:shd w:val="clear" w:color="auto" w:fill="auto"/>
            <w:noWrap/>
            <w:vAlign w:val="center"/>
            <w:hideMark/>
          </w:tcPr>
          <w:p w14:paraId="175640BC"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R4 Lipníky – Kapušany</w:t>
            </w:r>
          </w:p>
        </w:tc>
        <w:tc>
          <w:tcPr>
            <w:tcW w:w="547" w:type="pct"/>
            <w:tcBorders>
              <w:top w:val="nil"/>
              <w:left w:val="nil"/>
              <w:bottom w:val="nil"/>
              <w:right w:val="nil"/>
            </w:tcBorders>
            <w:shd w:val="clear" w:color="auto" w:fill="auto"/>
            <w:noWrap/>
            <w:vAlign w:val="center"/>
            <w:hideMark/>
          </w:tcPr>
          <w:p w14:paraId="62FE3D25"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136</w:t>
            </w:r>
          </w:p>
        </w:tc>
        <w:tc>
          <w:tcPr>
            <w:tcW w:w="315" w:type="pct"/>
            <w:tcBorders>
              <w:top w:val="nil"/>
              <w:left w:val="nil"/>
              <w:bottom w:val="nil"/>
              <w:right w:val="nil"/>
            </w:tcBorders>
            <w:shd w:val="clear" w:color="auto" w:fill="auto"/>
            <w:noWrap/>
            <w:vAlign w:val="center"/>
            <w:hideMark/>
          </w:tcPr>
          <w:p w14:paraId="4E7C8DE8"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4</w:t>
            </w:r>
          </w:p>
        </w:tc>
        <w:tc>
          <w:tcPr>
            <w:tcW w:w="511" w:type="pct"/>
            <w:tcBorders>
              <w:top w:val="nil"/>
              <w:left w:val="nil"/>
              <w:bottom w:val="nil"/>
              <w:right w:val="nil"/>
            </w:tcBorders>
            <w:shd w:val="clear" w:color="auto" w:fill="auto"/>
            <w:noWrap/>
            <w:vAlign w:val="center"/>
            <w:hideMark/>
          </w:tcPr>
          <w:p w14:paraId="1B5CD27A"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34</w:t>
            </w:r>
          </w:p>
        </w:tc>
        <w:tc>
          <w:tcPr>
            <w:tcW w:w="870" w:type="pct"/>
            <w:tcBorders>
              <w:top w:val="nil"/>
              <w:left w:val="nil"/>
              <w:bottom w:val="nil"/>
              <w:right w:val="nil"/>
            </w:tcBorders>
            <w:shd w:val="clear" w:color="auto" w:fill="auto"/>
            <w:noWrap/>
            <w:vAlign w:val="center"/>
            <w:hideMark/>
          </w:tcPr>
          <w:p w14:paraId="530359F3" w14:textId="5159A405"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9</w:t>
            </w:r>
            <w:r w:rsidR="00666914">
              <w:rPr>
                <w:rFonts w:eastAsia="Times New Roman" w:cs="Calibri"/>
                <w:color w:val="000000"/>
                <w:sz w:val="20"/>
                <w:szCs w:val="20"/>
                <w:lang w:eastAsia="sk-SK"/>
              </w:rPr>
              <w:t xml:space="preserve"> </w:t>
            </w:r>
            <w:r w:rsidRPr="00666914">
              <w:rPr>
                <w:rFonts w:eastAsia="Times New Roman" w:cs="Calibri"/>
                <w:color w:val="000000"/>
                <w:sz w:val="20"/>
                <w:szCs w:val="20"/>
                <w:lang w:eastAsia="sk-SK"/>
              </w:rPr>
              <w:t>924</w:t>
            </w:r>
          </w:p>
        </w:tc>
        <w:tc>
          <w:tcPr>
            <w:tcW w:w="1038" w:type="pct"/>
            <w:tcBorders>
              <w:top w:val="nil"/>
              <w:left w:val="nil"/>
              <w:bottom w:val="nil"/>
              <w:right w:val="nil"/>
            </w:tcBorders>
            <w:shd w:val="clear" w:color="auto" w:fill="auto"/>
            <w:noWrap/>
            <w:vAlign w:val="center"/>
            <w:hideMark/>
          </w:tcPr>
          <w:p w14:paraId="429EB1FE"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dodaná DUR</w:t>
            </w:r>
          </w:p>
        </w:tc>
      </w:tr>
      <w:tr w:rsidR="00CB16AA" w:rsidRPr="00666914" w14:paraId="0C751F44" w14:textId="77777777" w:rsidTr="00985E7A">
        <w:trPr>
          <w:trHeight w:val="280"/>
        </w:trPr>
        <w:tc>
          <w:tcPr>
            <w:tcW w:w="1719" w:type="pct"/>
            <w:tcBorders>
              <w:top w:val="nil"/>
              <w:left w:val="nil"/>
              <w:bottom w:val="nil"/>
              <w:right w:val="nil"/>
            </w:tcBorders>
            <w:shd w:val="clear" w:color="auto" w:fill="auto"/>
            <w:noWrap/>
            <w:vAlign w:val="center"/>
            <w:hideMark/>
          </w:tcPr>
          <w:p w14:paraId="12193F22"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R4 Giraltovce – Kuková</w:t>
            </w:r>
          </w:p>
        </w:tc>
        <w:tc>
          <w:tcPr>
            <w:tcW w:w="547" w:type="pct"/>
            <w:tcBorders>
              <w:top w:val="nil"/>
              <w:left w:val="nil"/>
              <w:bottom w:val="nil"/>
              <w:right w:val="nil"/>
            </w:tcBorders>
            <w:shd w:val="clear" w:color="auto" w:fill="auto"/>
            <w:noWrap/>
            <w:vAlign w:val="center"/>
            <w:hideMark/>
          </w:tcPr>
          <w:p w14:paraId="6D97AC81"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141</w:t>
            </w:r>
          </w:p>
        </w:tc>
        <w:tc>
          <w:tcPr>
            <w:tcW w:w="315" w:type="pct"/>
            <w:tcBorders>
              <w:top w:val="nil"/>
              <w:left w:val="nil"/>
              <w:bottom w:val="nil"/>
              <w:right w:val="nil"/>
            </w:tcBorders>
            <w:shd w:val="clear" w:color="auto" w:fill="auto"/>
            <w:noWrap/>
            <w:vAlign w:val="center"/>
            <w:hideMark/>
          </w:tcPr>
          <w:p w14:paraId="6EC1B0B2"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6</w:t>
            </w:r>
          </w:p>
        </w:tc>
        <w:tc>
          <w:tcPr>
            <w:tcW w:w="511" w:type="pct"/>
            <w:tcBorders>
              <w:top w:val="nil"/>
              <w:left w:val="nil"/>
              <w:bottom w:val="nil"/>
              <w:right w:val="nil"/>
            </w:tcBorders>
            <w:shd w:val="clear" w:color="auto" w:fill="auto"/>
            <w:noWrap/>
            <w:vAlign w:val="center"/>
            <w:hideMark/>
          </w:tcPr>
          <w:p w14:paraId="17A482CB"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24</w:t>
            </w:r>
          </w:p>
        </w:tc>
        <w:tc>
          <w:tcPr>
            <w:tcW w:w="870" w:type="pct"/>
            <w:tcBorders>
              <w:top w:val="nil"/>
              <w:left w:val="nil"/>
              <w:bottom w:val="nil"/>
              <w:right w:val="nil"/>
            </w:tcBorders>
            <w:shd w:val="clear" w:color="auto" w:fill="auto"/>
            <w:noWrap/>
            <w:vAlign w:val="center"/>
            <w:hideMark/>
          </w:tcPr>
          <w:p w14:paraId="1D3A6F67" w14:textId="66010D68"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6</w:t>
            </w:r>
            <w:r w:rsidR="00666914">
              <w:rPr>
                <w:rFonts w:eastAsia="Times New Roman" w:cs="Calibri"/>
                <w:color w:val="000000"/>
                <w:sz w:val="20"/>
                <w:szCs w:val="20"/>
                <w:lang w:eastAsia="sk-SK"/>
              </w:rPr>
              <w:t xml:space="preserve"> </w:t>
            </w:r>
            <w:r w:rsidRPr="00666914">
              <w:rPr>
                <w:rFonts w:eastAsia="Times New Roman" w:cs="Calibri"/>
                <w:color w:val="000000"/>
                <w:sz w:val="20"/>
                <w:szCs w:val="20"/>
                <w:lang w:eastAsia="sk-SK"/>
              </w:rPr>
              <w:t>754</w:t>
            </w:r>
          </w:p>
        </w:tc>
        <w:tc>
          <w:tcPr>
            <w:tcW w:w="1038" w:type="pct"/>
            <w:tcBorders>
              <w:top w:val="nil"/>
              <w:left w:val="nil"/>
              <w:bottom w:val="nil"/>
              <w:right w:val="nil"/>
            </w:tcBorders>
            <w:shd w:val="clear" w:color="auto" w:fill="auto"/>
            <w:noWrap/>
            <w:vAlign w:val="center"/>
            <w:hideMark/>
          </w:tcPr>
          <w:p w14:paraId="65D08B19"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dodaná DUR</w:t>
            </w:r>
          </w:p>
        </w:tc>
      </w:tr>
      <w:tr w:rsidR="00CB16AA" w:rsidRPr="00666914" w14:paraId="7FED2A3A" w14:textId="77777777" w:rsidTr="00985E7A">
        <w:trPr>
          <w:trHeight w:val="280"/>
        </w:trPr>
        <w:tc>
          <w:tcPr>
            <w:tcW w:w="1719" w:type="pct"/>
            <w:tcBorders>
              <w:top w:val="nil"/>
              <w:left w:val="nil"/>
              <w:bottom w:val="single" w:sz="4" w:space="0" w:color="auto"/>
              <w:right w:val="nil"/>
            </w:tcBorders>
            <w:shd w:val="clear" w:color="auto" w:fill="auto"/>
            <w:noWrap/>
            <w:vAlign w:val="center"/>
            <w:hideMark/>
          </w:tcPr>
          <w:p w14:paraId="043D3DBC" w14:textId="77777777" w:rsidR="00CB16AA" w:rsidRPr="00666914" w:rsidRDefault="00CB16AA" w:rsidP="00985E7A">
            <w:pPr>
              <w:spacing w:after="0"/>
              <w:rPr>
                <w:rFonts w:eastAsia="Times New Roman" w:cs="Calibri"/>
                <w:sz w:val="20"/>
                <w:szCs w:val="20"/>
                <w:lang w:eastAsia="sk-SK"/>
              </w:rPr>
            </w:pPr>
            <w:r w:rsidRPr="00666914">
              <w:rPr>
                <w:rFonts w:eastAsia="Times New Roman" w:cs="Calibri"/>
                <w:sz w:val="20"/>
                <w:szCs w:val="20"/>
                <w:lang w:eastAsia="sk-SK"/>
              </w:rPr>
              <w:t>R4 Rakovčík - Radoma</w:t>
            </w:r>
          </w:p>
        </w:tc>
        <w:tc>
          <w:tcPr>
            <w:tcW w:w="547" w:type="pct"/>
            <w:tcBorders>
              <w:top w:val="nil"/>
              <w:left w:val="nil"/>
              <w:bottom w:val="single" w:sz="4" w:space="0" w:color="auto"/>
              <w:right w:val="nil"/>
            </w:tcBorders>
            <w:shd w:val="clear" w:color="auto" w:fill="auto"/>
            <w:noWrap/>
            <w:vAlign w:val="center"/>
            <w:hideMark/>
          </w:tcPr>
          <w:p w14:paraId="3C761A75"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117</w:t>
            </w:r>
          </w:p>
        </w:tc>
        <w:tc>
          <w:tcPr>
            <w:tcW w:w="315" w:type="pct"/>
            <w:tcBorders>
              <w:top w:val="nil"/>
              <w:left w:val="nil"/>
              <w:bottom w:val="single" w:sz="4" w:space="0" w:color="auto"/>
              <w:right w:val="nil"/>
            </w:tcBorders>
            <w:shd w:val="clear" w:color="auto" w:fill="auto"/>
            <w:noWrap/>
            <w:vAlign w:val="center"/>
            <w:hideMark/>
          </w:tcPr>
          <w:p w14:paraId="19E1C715"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8</w:t>
            </w:r>
          </w:p>
        </w:tc>
        <w:tc>
          <w:tcPr>
            <w:tcW w:w="511" w:type="pct"/>
            <w:tcBorders>
              <w:top w:val="nil"/>
              <w:left w:val="nil"/>
              <w:bottom w:val="single" w:sz="4" w:space="0" w:color="auto"/>
              <w:right w:val="nil"/>
            </w:tcBorders>
            <w:shd w:val="clear" w:color="auto" w:fill="auto"/>
            <w:noWrap/>
            <w:vAlign w:val="center"/>
            <w:hideMark/>
          </w:tcPr>
          <w:p w14:paraId="059F3C89"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16</w:t>
            </w:r>
          </w:p>
        </w:tc>
        <w:tc>
          <w:tcPr>
            <w:tcW w:w="870" w:type="pct"/>
            <w:tcBorders>
              <w:top w:val="nil"/>
              <w:left w:val="nil"/>
              <w:bottom w:val="single" w:sz="4" w:space="0" w:color="auto"/>
              <w:right w:val="nil"/>
            </w:tcBorders>
            <w:shd w:val="clear" w:color="auto" w:fill="auto"/>
            <w:noWrap/>
            <w:vAlign w:val="center"/>
            <w:hideMark/>
          </w:tcPr>
          <w:p w14:paraId="48E20752" w14:textId="5A96F6A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3</w:t>
            </w:r>
            <w:r w:rsidR="00666914">
              <w:rPr>
                <w:rFonts w:eastAsia="Times New Roman" w:cs="Calibri"/>
                <w:sz w:val="20"/>
                <w:szCs w:val="20"/>
                <w:lang w:eastAsia="sk-SK"/>
              </w:rPr>
              <w:t xml:space="preserve"> </w:t>
            </w:r>
            <w:r w:rsidRPr="00666914">
              <w:rPr>
                <w:rFonts w:eastAsia="Times New Roman" w:cs="Calibri"/>
                <w:sz w:val="20"/>
                <w:szCs w:val="20"/>
                <w:lang w:eastAsia="sk-SK"/>
              </w:rPr>
              <w:t>579</w:t>
            </w:r>
          </w:p>
        </w:tc>
        <w:tc>
          <w:tcPr>
            <w:tcW w:w="1038" w:type="pct"/>
            <w:tcBorders>
              <w:top w:val="nil"/>
              <w:left w:val="nil"/>
              <w:bottom w:val="single" w:sz="4" w:space="0" w:color="auto"/>
              <w:right w:val="nil"/>
            </w:tcBorders>
            <w:shd w:val="clear" w:color="auto" w:fill="auto"/>
            <w:noWrap/>
            <w:vAlign w:val="center"/>
            <w:hideMark/>
          </w:tcPr>
          <w:p w14:paraId="223FAD6E"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dodaná DUR</w:t>
            </w:r>
          </w:p>
        </w:tc>
      </w:tr>
      <w:tr w:rsidR="00CB16AA" w:rsidRPr="00666914" w14:paraId="2B0055D2" w14:textId="77777777" w:rsidTr="00985E7A">
        <w:trPr>
          <w:trHeight w:val="280"/>
        </w:trPr>
        <w:tc>
          <w:tcPr>
            <w:tcW w:w="1719" w:type="pct"/>
            <w:tcBorders>
              <w:top w:val="nil"/>
              <w:left w:val="nil"/>
              <w:bottom w:val="single" w:sz="4" w:space="0" w:color="auto"/>
              <w:right w:val="nil"/>
            </w:tcBorders>
            <w:shd w:val="clear" w:color="auto" w:fill="auto"/>
            <w:noWrap/>
            <w:vAlign w:val="center"/>
            <w:hideMark/>
          </w:tcPr>
          <w:p w14:paraId="4879E808" w14:textId="77777777" w:rsidR="00CB16AA" w:rsidRPr="00666914" w:rsidRDefault="00CB16AA" w:rsidP="00985E7A">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Spolu</w:t>
            </w:r>
          </w:p>
        </w:tc>
        <w:tc>
          <w:tcPr>
            <w:tcW w:w="547" w:type="pct"/>
            <w:tcBorders>
              <w:top w:val="nil"/>
              <w:left w:val="nil"/>
              <w:bottom w:val="single" w:sz="4" w:space="0" w:color="auto"/>
              <w:right w:val="nil"/>
            </w:tcBorders>
            <w:shd w:val="clear" w:color="auto" w:fill="auto"/>
            <w:noWrap/>
            <w:vAlign w:val="center"/>
            <w:hideMark/>
          </w:tcPr>
          <w:p w14:paraId="07C76994" w14:textId="31B48DD6"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5</w:t>
            </w:r>
            <w:r w:rsidR="00B27702" w:rsidRPr="00666914">
              <w:rPr>
                <w:rFonts w:eastAsia="Times New Roman" w:cs="Calibri"/>
                <w:b/>
                <w:bCs/>
                <w:color w:val="000000"/>
                <w:sz w:val="20"/>
                <w:szCs w:val="20"/>
                <w:lang w:eastAsia="sk-SK"/>
              </w:rPr>
              <w:t xml:space="preserve"> </w:t>
            </w:r>
            <w:r w:rsidRPr="00666914">
              <w:rPr>
                <w:rFonts w:eastAsia="Times New Roman" w:cs="Calibri"/>
                <w:b/>
                <w:bCs/>
                <w:color w:val="000000"/>
                <w:sz w:val="20"/>
                <w:szCs w:val="20"/>
                <w:lang w:eastAsia="sk-SK"/>
              </w:rPr>
              <w:t>959</w:t>
            </w:r>
          </w:p>
        </w:tc>
        <w:tc>
          <w:tcPr>
            <w:tcW w:w="315" w:type="pct"/>
            <w:tcBorders>
              <w:top w:val="nil"/>
              <w:left w:val="nil"/>
              <w:bottom w:val="single" w:sz="4" w:space="0" w:color="auto"/>
              <w:right w:val="nil"/>
            </w:tcBorders>
            <w:shd w:val="clear" w:color="auto" w:fill="auto"/>
            <w:noWrap/>
            <w:vAlign w:val="center"/>
            <w:hideMark/>
          </w:tcPr>
          <w:p w14:paraId="082A111C"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231,5</w:t>
            </w:r>
          </w:p>
        </w:tc>
        <w:tc>
          <w:tcPr>
            <w:tcW w:w="511" w:type="pct"/>
            <w:tcBorders>
              <w:top w:val="nil"/>
              <w:left w:val="nil"/>
              <w:bottom w:val="single" w:sz="4" w:space="0" w:color="auto"/>
              <w:right w:val="nil"/>
            </w:tcBorders>
            <w:shd w:val="clear" w:color="auto" w:fill="auto"/>
            <w:noWrap/>
            <w:vAlign w:val="center"/>
            <w:hideMark/>
          </w:tcPr>
          <w:p w14:paraId="50DF1771"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c>
          <w:tcPr>
            <w:tcW w:w="870" w:type="pct"/>
            <w:tcBorders>
              <w:top w:val="nil"/>
              <w:left w:val="nil"/>
              <w:bottom w:val="single" w:sz="4" w:space="0" w:color="auto"/>
              <w:right w:val="nil"/>
            </w:tcBorders>
            <w:shd w:val="clear" w:color="auto" w:fill="auto"/>
            <w:noWrap/>
            <w:vAlign w:val="center"/>
            <w:hideMark/>
          </w:tcPr>
          <w:p w14:paraId="199333B4"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c>
          <w:tcPr>
            <w:tcW w:w="1038" w:type="pct"/>
            <w:tcBorders>
              <w:top w:val="nil"/>
              <w:left w:val="nil"/>
              <w:bottom w:val="single" w:sz="4" w:space="0" w:color="auto"/>
              <w:right w:val="nil"/>
            </w:tcBorders>
            <w:shd w:val="clear" w:color="auto" w:fill="auto"/>
            <w:noWrap/>
            <w:vAlign w:val="center"/>
            <w:hideMark/>
          </w:tcPr>
          <w:p w14:paraId="3F333836" w14:textId="77777777" w:rsidR="00CB16AA" w:rsidRPr="00666914" w:rsidRDefault="00CB16AA" w:rsidP="00985E7A">
            <w:pPr>
              <w:spacing w:after="0"/>
              <w:jc w:val="center"/>
              <w:rPr>
                <w:rFonts w:eastAsia="Times New Roman" w:cs="Calibri"/>
                <w:b/>
                <w:bCs/>
                <w:sz w:val="20"/>
                <w:szCs w:val="20"/>
                <w:lang w:eastAsia="sk-SK"/>
              </w:rPr>
            </w:pPr>
            <w:r w:rsidRPr="00666914">
              <w:rPr>
                <w:rFonts w:eastAsia="Times New Roman" w:cs="Calibri"/>
                <w:b/>
                <w:bCs/>
                <w:sz w:val="20"/>
                <w:szCs w:val="20"/>
                <w:lang w:eastAsia="sk-SK"/>
              </w:rPr>
              <w:t> </w:t>
            </w:r>
          </w:p>
        </w:tc>
      </w:tr>
      <w:tr w:rsidR="00CB16AA" w:rsidRPr="00666914" w14:paraId="53881384" w14:textId="77777777" w:rsidTr="00985E7A">
        <w:trPr>
          <w:trHeight w:val="280"/>
        </w:trPr>
        <w:tc>
          <w:tcPr>
            <w:tcW w:w="1719" w:type="pct"/>
            <w:tcBorders>
              <w:top w:val="nil"/>
              <w:left w:val="nil"/>
              <w:bottom w:val="single" w:sz="4" w:space="0" w:color="auto"/>
              <w:right w:val="nil"/>
            </w:tcBorders>
            <w:shd w:val="clear" w:color="auto" w:fill="auto"/>
            <w:noWrap/>
            <w:vAlign w:val="center"/>
            <w:hideMark/>
          </w:tcPr>
          <w:p w14:paraId="46E929D6" w14:textId="77777777" w:rsidR="00CB16AA" w:rsidRPr="00666914" w:rsidRDefault="00CB16AA" w:rsidP="00985E7A">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SSC* - investičné projekty na cestách I. triedy (nad 50.mil eur)</w:t>
            </w:r>
          </w:p>
        </w:tc>
        <w:tc>
          <w:tcPr>
            <w:tcW w:w="547" w:type="pct"/>
            <w:tcBorders>
              <w:top w:val="nil"/>
              <w:left w:val="nil"/>
              <w:bottom w:val="single" w:sz="4" w:space="0" w:color="auto"/>
              <w:right w:val="nil"/>
            </w:tcBorders>
            <w:shd w:val="clear" w:color="auto" w:fill="auto"/>
            <w:noWrap/>
            <w:vAlign w:val="center"/>
            <w:hideMark/>
          </w:tcPr>
          <w:p w14:paraId="79F6DAB1"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1 110</w:t>
            </w:r>
          </w:p>
        </w:tc>
        <w:tc>
          <w:tcPr>
            <w:tcW w:w="315" w:type="pct"/>
            <w:tcBorders>
              <w:top w:val="nil"/>
              <w:left w:val="nil"/>
              <w:bottom w:val="single" w:sz="4" w:space="0" w:color="auto"/>
              <w:right w:val="nil"/>
            </w:tcBorders>
            <w:shd w:val="clear" w:color="auto" w:fill="auto"/>
            <w:noWrap/>
            <w:vAlign w:val="center"/>
            <w:hideMark/>
          </w:tcPr>
          <w:p w14:paraId="0E30C458"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c>
          <w:tcPr>
            <w:tcW w:w="511" w:type="pct"/>
            <w:tcBorders>
              <w:top w:val="nil"/>
              <w:left w:val="nil"/>
              <w:bottom w:val="single" w:sz="4" w:space="0" w:color="auto"/>
              <w:right w:val="nil"/>
            </w:tcBorders>
            <w:shd w:val="clear" w:color="auto" w:fill="auto"/>
            <w:noWrap/>
            <w:vAlign w:val="center"/>
            <w:hideMark/>
          </w:tcPr>
          <w:p w14:paraId="7FE92A2C" w14:textId="77777777" w:rsidR="00CB16AA" w:rsidRPr="00666914" w:rsidRDefault="00CB16AA" w:rsidP="00985E7A">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c>
          <w:tcPr>
            <w:tcW w:w="870" w:type="pct"/>
            <w:tcBorders>
              <w:top w:val="nil"/>
              <w:left w:val="nil"/>
              <w:bottom w:val="single" w:sz="4" w:space="0" w:color="auto"/>
              <w:right w:val="nil"/>
            </w:tcBorders>
            <w:shd w:val="clear" w:color="auto" w:fill="auto"/>
            <w:noWrap/>
            <w:vAlign w:val="center"/>
            <w:hideMark/>
          </w:tcPr>
          <w:p w14:paraId="2F03E1C1" w14:textId="77777777" w:rsidR="00CB16AA" w:rsidRPr="00666914" w:rsidRDefault="00CB16AA" w:rsidP="00985E7A">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c>
          <w:tcPr>
            <w:tcW w:w="1038" w:type="pct"/>
            <w:tcBorders>
              <w:top w:val="nil"/>
              <w:left w:val="nil"/>
              <w:bottom w:val="single" w:sz="4" w:space="0" w:color="auto"/>
              <w:right w:val="nil"/>
            </w:tcBorders>
            <w:shd w:val="clear" w:color="auto" w:fill="auto"/>
            <w:noWrap/>
            <w:vAlign w:val="center"/>
            <w:hideMark/>
          </w:tcPr>
          <w:p w14:paraId="42F8880C" w14:textId="77777777" w:rsidR="00CB16AA" w:rsidRPr="00666914" w:rsidRDefault="00CB16AA" w:rsidP="00985E7A">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r>
      <w:tr w:rsidR="00CB16AA" w:rsidRPr="00666914" w14:paraId="46540A21" w14:textId="77777777" w:rsidTr="00985E7A">
        <w:trPr>
          <w:trHeight w:val="280"/>
        </w:trPr>
        <w:tc>
          <w:tcPr>
            <w:tcW w:w="1719" w:type="pct"/>
            <w:tcBorders>
              <w:top w:val="nil"/>
              <w:left w:val="nil"/>
              <w:bottom w:val="single" w:sz="4" w:space="0" w:color="auto"/>
              <w:right w:val="nil"/>
            </w:tcBorders>
            <w:shd w:val="clear" w:color="auto" w:fill="auto"/>
            <w:noWrap/>
            <w:vAlign w:val="center"/>
            <w:hideMark/>
          </w:tcPr>
          <w:p w14:paraId="2661A305" w14:textId="77777777" w:rsidR="00CB16AA" w:rsidRPr="00666914" w:rsidRDefault="00CB16AA" w:rsidP="00985E7A">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SPOLU všetky projekty</w:t>
            </w:r>
          </w:p>
        </w:tc>
        <w:tc>
          <w:tcPr>
            <w:tcW w:w="547" w:type="pct"/>
            <w:tcBorders>
              <w:top w:val="nil"/>
              <w:left w:val="nil"/>
              <w:bottom w:val="single" w:sz="4" w:space="0" w:color="auto"/>
              <w:right w:val="nil"/>
            </w:tcBorders>
            <w:shd w:val="clear" w:color="auto" w:fill="auto"/>
            <w:noWrap/>
            <w:vAlign w:val="center"/>
            <w:hideMark/>
          </w:tcPr>
          <w:p w14:paraId="0AB7B828"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7 069</w:t>
            </w:r>
          </w:p>
        </w:tc>
        <w:tc>
          <w:tcPr>
            <w:tcW w:w="315" w:type="pct"/>
            <w:tcBorders>
              <w:top w:val="nil"/>
              <w:left w:val="nil"/>
              <w:bottom w:val="single" w:sz="4" w:space="0" w:color="auto"/>
              <w:right w:val="nil"/>
            </w:tcBorders>
            <w:shd w:val="clear" w:color="auto" w:fill="auto"/>
            <w:noWrap/>
            <w:vAlign w:val="center"/>
            <w:hideMark/>
          </w:tcPr>
          <w:p w14:paraId="452098FE"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c>
          <w:tcPr>
            <w:tcW w:w="511" w:type="pct"/>
            <w:tcBorders>
              <w:top w:val="nil"/>
              <w:left w:val="nil"/>
              <w:bottom w:val="single" w:sz="4" w:space="0" w:color="auto"/>
              <w:right w:val="nil"/>
            </w:tcBorders>
            <w:shd w:val="clear" w:color="auto" w:fill="auto"/>
            <w:noWrap/>
            <w:vAlign w:val="center"/>
            <w:hideMark/>
          </w:tcPr>
          <w:p w14:paraId="0E9A2689" w14:textId="77777777" w:rsidR="00CB16AA" w:rsidRPr="00666914" w:rsidRDefault="00CB16AA" w:rsidP="00985E7A">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c>
          <w:tcPr>
            <w:tcW w:w="870" w:type="pct"/>
            <w:tcBorders>
              <w:top w:val="nil"/>
              <w:left w:val="nil"/>
              <w:bottom w:val="single" w:sz="4" w:space="0" w:color="auto"/>
              <w:right w:val="nil"/>
            </w:tcBorders>
            <w:shd w:val="clear" w:color="auto" w:fill="auto"/>
            <w:noWrap/>
            <w:vAlign w:val="center"/>
            <w:hideMark/>
          </w:tcPr>
          <w:p w14:paraId="4AC51C94" w14:textId="77777777" w:rsidR="00CB16AA" w:rsidRPr="00666914" w:rsidRDefault="00CB16AA" w:rsidP="00985E7A">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c>
          <w:tcPr>
            <w:tcW w:w="1038" w:type="pct"/>
            <w:tcBorders>
              <w:top w:val="nil"/>
              <w:left w:val="nil"/>
              <w:bottom w:val="single" w:sz="4" w:space="0" w:color="auto"/>
              <w:right w:val="nil"/>
            </w:tcBorders>
            <w:shd w:val="clear" w:color="auto" w:fill="auto"/>
            <w:noWrap/>
            <w:vAlign w:val="center"/>
            <w:hideMark/>
          </w:tcPr>
          <w:p w14:paraId="06E62632" w14:textId="77777777" w:rsidR="00CB16AA" w:rsidRPr="00666914" w:rsidRDefault="00CB16AA" w:rsidP="00985E7A">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r>
    </w:tbl>
    <w:p w14:paraId="21157626" w14:textId="77777777" w:rsidR="00CB16AA" w:rsidRPr="00666914" w:rsidRDefault="00CB16AA" w:rsidP="00985E7A">
      <w:pPr>
        <w:contextualSpacing/>
        <w:jc w:val="right"/>
        <w:rPr>
          <w:i/>
          <w:sz w:val="18"/>
        </w:rPr>
      </w:pPr>
      <w:r w:rsidRPr="00666914">
        <w:rPr>
          <w:i/>
          <w:sz w:val="18"/>
        </w:rPr>
        <w:t>Zdroj: NDS</w:t>
      </w:r>
    </w:p>
    <w:p w14:paraId="07713632" w14:textId="77777777" w:rsidR="00CB16AA" w:rsidRPr="00666914" w:rsidRDefault="00CB16AA" w:rsidP="00312C28">
      <w:pPr>
        <w:pStyle w:val="Odsekzoznamu"/>
        <w:numPr>
          <w:ilvl w:val="0"/>
          <w:numId w:val="34"/>
        </w:numPr>
        <w:rPr>
          <w:b/>
          <w:u w:val="single"/>
        </w:rPr>
      </w:pPr>
      <w:r w:rsidRPr="00666914">
        <w:rPr>
          <w:b/>
          <w:u w:val="single"/>
        </w:rPr>
        <w:lastRenderedPageBreak/>
        <w:t xml:space="preserve">Všetky budúce investičné projekty, ktorých predpokladaný investičný náklad je vyšší ako 40 mil. eur, budú vo fáze prípravy štúdie realizovateľnosti (ak sa spracováva) podrobené analýze nákladov a prínosov aj zo strany MF SR </w:t>
      </w:r>
    </w:p>
    <w:p w14:paraId="1D38C740" w14:textId="1C8ED168" w:rsidR="00CB16AA" w:rsidRPr="00666914" w:rsidRDefault="00CB16AA" w:rsidP="00D103B7">
      <w:pPr>
        <w:spacing w:after="0"/>
        <w:rPr>
          <w:b/>
        </w:rPr>
      </w:pPr>
      <w:r w:rsidRPr="00666914">
        <w:t>ÚHP MF SR v roku 2019 posudzoval 12 cestných investičných projektov MDV SR v celkovej hodnote 2,4 mld. eur, ktorých investičný náklad presahuje 40 mil. eur. Finálne odporúčanie vydal k 2 projektom</w:t>
      </w:r>
      <w:r w:rsidRPr="00666914">
        <w:rPr>
          <w:rStyle w:val="Odkaznapoznmkupodiarou"/>
        </w:rPr>
        <w:footnoteReference w:id="91"/>
      </w:r>
      <w:r w:rsidRPr="00666914">
        <w:t xml:space="preserve">. </w:t>
      </w:r>
      <w:r w:rsidRPr="00666914">
        <w:rPr>
          <w:b/>
        </w:rPr>
        <w:t>Opatrenie sa k 31.12.2019 plní.</w:t>
      </w:r>
    </w:p>
    <w:p w14:paraId="2640A6BD" w14:textId="77777777" w:rsidR="00CB16AA" w:rsidRPr="00666914" w:rsidRDefault="00CB16AA" w:rsidP="00D103B7">
      <w:pPr>
        <w:spacing w:after="0"/>
        <w:rPr>
          <w:b/>
          <w:u w:val="single"/>
        </w:rPr>
      </w:pPr>
    </w:p>
    <w:p w14:paraId="194954E3" w14:textId="4BB39E80" w:rsidR="00CB16AA" w:rsidRPr="00666914" w:rsidRDefault="00CB16AA" w:rsidP="00985E7A">
      <w:pPr>
        <w:spacing w:after="0"/>
        <w:rPr>
          <w:b/>
          <w:sz w:val="20"/>
          <w:szCs w:val="20"/>
        </w:rPr>
      </w:pPr>
      <w:bookmarkStart w:id="206" w:name="_Toc21522790"/>
      <w:bookmarkStart w:id="207" w:name="_Toc38447692"/>
      <w:r w:rsidRPr="00666914">
        <w:rPr>
          <w:b/>
          <w:sz w:val="20"/>
          <w:szCs w:val="20"/>
        </w:rPr>
        <w:t xml:space="preserve">Tabuľka </w:t>
      </w:r>
      <w:r w:rsidRPr="00666914">
        <w:rPr>
          <w:b/>
          <w:sz w:val="20"/>
          <w:szCs w:val="20"/>
        </w:rPr>
        <w:fldChar w:fldCharType="begin"/>
      </w:r>
      <w:r w:rsidRPr="00666914">
        <w:rPr>
          <w:b/>
          <w:sz w:val="20"/>
          <w:szCs w:val="20"/>
        </w:rPr>
        <w:instrText xml:space="preserve"> SEQ Tabuľka \* ARABIC  \* MERGEFORMAT </w:instrText>
      </w:r>
      <w:r w:rsidRPr="00666914">
        <w:rPr>
          <w:b/>
          <w:sz w:val="20"/>
          <w:szCs w:val="20"/>
        </w:rPr>
        <w:fldChar w:fldCharType="separate"/>
      </w:r>
      <w:r w:rsidR="005A7304">
        <w:rPr>
          <w:b/>
          <w:noProof/>
          <w:sz w:val="20"/>
          <w:szCs w:val="20"/>
        </w:rPr>
        <w:t>31</w:t>
      </w:r>
      <w:r w:rsidRPr="00666914">
        <w:rPr>
          <w:b/>
          <w:sz w:val="20"/>
          <w:szCs w:val="20"/>
        </w:rPr>
        <w:fldChar w:fldCharType="end"/>
      </w:r>
      <w:r w:rsidRPr="00666914">
        <w:rPr>
          <w:b/>
          <w:sz w:val="20"/>
          <w:szCs w:val="20"/>
        </w:rPr>
        <w:t>: Zoznam budúcich cestných investičných projektov, ktorých predpokladaný investičný náklad je vyšší ako 40 mil. eur posudzovaných ÚHP MF SR v 2. polroku 2019</w:t>
      </w:r>
      <w:bookmarkEnd w:id="206"/>
      <w:bookmarkEnd w:id="207"/>
    </w:p>
    <w:tbl>
      <w:tblPr>
        <w:tblW w:w="5088" w:type="pct"/>
        <w:tblCellMar>
          <w:left w:w="70" w:type="dxa"/>
          <w:right w:w="70" w:type="dxa"/>
        </w:tblCellMar>
        <w:tblLook w:val="04A0" w:firstRow="1" w:lastRow="0" w:firstColumn="1" w:lastColumn="0" w:noHBand="0" w:noVBand="1"/>
      </w:tblPr>
      <w:tblGrid>
        <w:gridCol w:w="790"/>
        <w:gridCol w:w="2951"/>
        <w:gridCol w:w="874"/>
        <w:gridCol w:w="1253"/>
        <w:gridCol w:w="1903"/>
        <w:gridCol w:w="1605"/>
      </w:tblGrid>
      <w:tr w:rsidR="00CB16AA" w:rsidRPr="00666914" w14:paraId="2907A282" w14:textId="77777777" w:rsidTr="00985E7A">
        <w:trPr>
          <w:trHeight w:val="510"/>
        </w:trPr>
        <w:tc>
          <w:tcPr>
            <w:tcW w:w="421" w:type="pct"/>
            <w:tcBorders>
              <w:top w:val="single" w:sz="4" w:space="0" w:color="auto"/>
              <w:left w:val="nil"/>
              <w:bottom w:val="single" w:sz="4" w:space="0" w:color="auto"/>
              <w:right w:val="nil"/>
            </w:tcBorders>
            <w:shd w:val="clear" w:color="auto" w:fill="auto"/>
            <w:noWrap/>
            <w:vAlign w:val="bottom"/>
            <w:hideMark/>
          </w:tcPr>
          <w:p w14:paraId="2D4A5318" w14:textId="77777777" w:rsidR="00CB16AA" w:rsidRPr="00666914" w:rsidRDefault="00CB16AA" w:rsidP="00985E7A">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Investor</w:t>
            </w:r>
          </w:p>
        </w:tc>
        <w:tc>
          <w:tcPr>
            <w:tcW w:w="1572" w:type="pct"/>
            <w:tcBorders>
              <w:top w:val="single" w:sz="4" w:space="0" w:color="auto"/>
              <w:left w:val="nil"/>
              <w:bottom w:val="single" w:sz="4" w:space="0" w:color="auto"/>
              <w:right w:val="nil"/>
            </w:tcBorders>
            <w:shd w:val="clear" w:color="auto" w:fill="auto"/>
            <w:noWrap/>
            <w:vAlign w:val="bottom"/>
            <w:hideMark/>
          </w:tcPr>
          <w:p w14:paraId="17629644"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Projekt</w:t>
            </w:r>
          </w:p>
        </w:tc>
        <w:tc>
          <w:tcPr>
            <w:tcW w:w="466" w:type="pct"/>
            <w:tcBorders>
              <w:top w:val="single" w:sz="4" w:space="0" w:color="auto"/>
              <w:left w:val="nil"/>
              <w:bottom w:val="single" w:sz="4" w:space="0" w:color="auto"/>
              <w:right w:val="nil"/>
            </w:tcBorders>
            <w:shd w:val="clear" w:color="auto" w:fill="auto"/>
            <w:vAlign w:val="bottom"/>
            <w:hideMark/>
          </w:tcPr>
          <w:p w14:paraId="3C2B5A50" w14:textId="77777777" w:rsidR="00CB16AA" w:rsidRPr="00666914" w:rsidRDefault="00CB16AA" w:rsidP="00985E7A">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Hodnota (mil. eur)</w:t>
            </w:r>
          </w:p>
        </w:tc>
        <w:tc>
          <w:tcPr>
            <w:tcW w:w="668" w:type="pct"/>
            <w:tcBorders>
              <w:top w:val="single" w:sz="4" w:space="0" w:color="auto"/>
              <w:left w:val="nil"/>
              <w:bottom w:val="single" w:sz="4" w:space="0" w:color="auto"/>
              <w:right w:val="nil"/>
            </w:tcBorders>
            <w:shd w:val="clear" w:color="auto" w:fill="auto"/>
            <w:vAlign w:val="bottom"/>
            <w:hideMark/>
          </w:tcPr>
          <w:p w14:paraId="66347DF6" w14:textId="77777777" w:rsidR="00CB16AA" w:rsidRPr="00666914" w:rsidRDefault="00CB16AA" w:rsidP="00985E7A">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Začiatok posudzovania</w:t>
            </w:r>
          </w:p>
        </w:tc>
        <w:tc>
          <w:tcPr>
            <w:tcW w:w="1015" w:type="pct"/>
            <w:tcBorders>
              <w:top w:val="single" w:sz="4" w:space="0" w:color="auto"/>
              <w:left w:val="nil"/>
              <w:bottom w:val="single" w:sz="4" w:space="0" w:color="auto"/>
              <w:right w:val="nil"/>
            </w:tcBorders>
            <w:shd w:val="clear" w:color="auto" w:fill="auto"/>
            <w:noWrap/>
            <w:vAlign w:val="bottom"/>
            <w:hideMark/>
          </w:tcPr>
          <w:p w14:paraId="06D12A7A"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Poskytnuté dáta</w:t>
            </w:r>
          </w:p>
        </w:tc>
        <w:tc>
          <w:tcPr>
            <w:tcW w:w="856" w:type="pct"/>
            <w:tcBorders>
              <w:top w:val="single" w:sz="4" w:space="0" w:color="auto"/>
              <w:left w:val="nil"/>
              <w:bottom w:val="single" w:sz="4" w:space="0" w:color="auto"/>
              <w:right w:val="nil"/>
            </w:tcBorders>
            <w:shd w:val="clear" w:color="auto" w:fill="auto"/>
            <w:noWrap/>
            <w:vAlign w:val="bottom"/>
            <w:hideMark/>
          </w:tcPr>
          <w:p w14:paraId="21573136"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Stanovisko</w:t>
            </w:r>
          </w:p>
        </w:tc>
      </w:tr>
      <w:tr w:rsidR="00CB16AA" w:rsidRPr="00666914" w14:paraId="384E43E4" w14:textId="77777777" w:rsidTr="00985E7A">
        <w:trPr>
          <w:trHeight w:val="255"/>
        </w:trPr>
        <w:tc>
          <w:tcPr>
            <w:tcW w:w="421" w:type="pct"/>
            <w:tcBorders>
              <w:top w:val="nil"/>
              <w:left w:val="nil"/>
              <w:bottom w:val="nil"/>
              <w:right w:val="nil"/>
            </w:tcBorders>
            <w:shd w:val="clear" w:color="auto" w:fill="auto"/>
            <w:noWrap/>
            <w:vAlign w:val="center"/>
            <w:hideMark/>
          </w:tcPr>
          <w:p w14:paraId="24F2306B"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NDS</w:t>
            </w:r>
          </w:p>
        </w:tc>
        <w:tc>
          <w:tcPr>
            <w:tcW w:w="1572" w:type="pct"/>
            <w:tcBorders>
              <w:top w:val="nil"/>
              <w:left w:val="nil"/>
              <w:bottom w:val="nil"/>
              <w:right w:val="nil"/>
            </w:tcBorders>
            <w:shd w:val="clear" w:color="auto" w:fill="auto"/>
            <w:noWrap/>
            <w:vAlign w:val="center"/>
            <w:hideMark/>
          </w:tcPr>
          <w:p w14:paraId="7A382E84"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R2 Košice, juh - Košické Oľšany</w:t>
            </w:r>
          </w:p>
        </w:tc>
        <w:tc>
          <w:tcPr>
            <w:tcW w:w="466" w:type="pct"/>
            <w:tcBorders>
              <w:top w:val="nil"/>
              <w:left w:val="nil"/>
              <w:bottom w:val="nil"/>
              <w:right w:val="nil"/>
            </w:tcBorders>
            <w:shd w:val="clear" w:color="auto" w:fill="auto"/>
            <w:noWrap/>
            <w:vAlign w:val="center"/>
            <w:hideMark/>
          </w:tcPr>
          <w:p w14:paraId="585D8041"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202</w:t>
            </w:r>
          </w:p>
        </w:tc>
        <w:tc>
          <w:tcPr>
            <w:tcW w:w="668" w:type="pct"/>
            <w:tcBorders>
              <w:top w:val="nil"/>
              <w:left w:val="nil"/>
              <w:bottom w:val="nil"/>
              <w:right w:val="nil"/>
            </w:tcBorders>
            <w:shd w:val="clear" w:color="auto" w:fill="auto"/>
            <w:vAlign w:val="center"/>
            <w:hideMark/>
          </w:tcPr>
          <w:p w14:paraId="160E12A9"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08/2018</w:t>
            </w:r>
          </w:p>
        </w:tc>
        <w:tc>
          <w:tcPr>
            <w:tcW w:w="1015" w:type="pct"/>
            <w:tcBorders>
              <w:top w:val="nil"/>
              <w:left w:val="nil"/>
              <w:bottom w:val="nil"/>
              <w:right w:val="nil"/>
            </w:tcBorders>
            <w:shd w:val="clear" w:color="auto" w:fill="auto"/>
            <w:noWrap/>
            <w:vAlign w:val="center"/>
            <w:hideMark/>
          </w:tcPr>
          <w:p w14:paraId="34EE9717"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model, CBA, DSP</w:t>
            </w:r>
          </w:p>
        </w:tc>
        <w:tc>
          <w:tcPr>
            <w:tcW w:w="856" w:type="pct"/>
            <w:tcBorders>
              <w:top w:val="nil"/>
              <w:left w:val="nil"/>
              <w:bottom w:val="nil"/>
              <w:right w:val="nil"/>
            </w:tcBorders>
            <w:shd w:val="clear" w:color="auto" w:fill="auto"/>
            <w:noWrap/>
            <w:vAlign w:val="center"/>
            <w:hideMark/>
          </w:tcPr>
          <w:p w14:paraId="402721F3"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Príprava stanoviska</w:t>
            </w:r>
          </w:p>
        </w:tc>
      </w:tr>
      <w:tr w:rsidR="00CB16AA" w:rsidRPr="00666914" w14:paraId="58041539" w14:textId="77777777" w:rsidTr="00985E7A">
        <w:trPr>
          <w:trHeight w:val="765"/>
        </w:trPr>
        <w:tc>
          <w:tcPr>
            <w:tcW w:w="421" w:type="pct"/>
            <w:tcBorders>
              <w:top w:val="nil"/>
              <w:left w:val="nil"/>
              <w:bottom w:val="nil"/>
              <w:right w:val="nil"/>
            </w:tcBorders>
            <w:shd w:val="clear" w:color="auto" w:fill="auto"/>
            <w:noWrap/>
            <w:vAlign w:val="center"/>
            <w:hideMark/>
          </w:tcPr>
          <w:p w14:paraId="2D8F48C9"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NDS</w:t>
            </w:r>
          </w:p>
        </w:tc>
        <w:tc>
          <w:tcPr>
            <w:tcW w:w="1572" w:type="pct"/>
            <w:tcBorders>
              <w:top w:val="nil"/>
              <w:left w:val="nil"/>
              <w:bottom w:val="nil"/>
              <w:right w:val="nil"/>
            </w:tcBorders>
            <w:shd w:val="clear" w:color="auto" w:fill="auto"/>
            <w:noWrap/>
            <w:vAlign w:val="center"/>
            <w:hideMark/>
          </w:tcPr>
          <w:p w14:paraId="6CE82161"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R2 Kriváň – Mýtna</w:t>
            </w:r>
          </w:p>
        </w:tc>
        <w:tc>
          <w:tcPr>
            <w:tcW w:w="466" w:type="pct"/>
            <w:tcBorders>
              <w:top w:val="nil"/>
              <w:left w:val="nil"/>
              <w:bottom w:val="nil"/>
              <w:right w:val="nil"/>
            </w:tcBorders>
            <w:shd w:val="clear" w:color="auto" w:fill="auto"/>
            <w:noWrap/>
            <w:vAlign w:val="center"/>
            <w:hideMark/>
          </w:tcPr>
          <w:p w14:paraId="205588B1"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234</w:t>
            </w:r>
          </w:p>
        </w:tc>
        <w:tc>
          <w:tcPr>
            <w:tcW w:w="668" w:type="pct"/>
            <w:tcBorders>
              <w:top w:val="nil"/>
              <w:left w:val="nil"/>
              <w:bottom w:val="nil"/>
              <w:right w:val="nil"/>
            </w:tcBorders>
            <w:shd w:val="clear" w:color="auto" w:fill="auto"/>
            <w:vAlign w:val="center"/>
            <w:hideMark/>
          </w:tcPr>
          <w:p w14:paraId="0C69AAEC"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03/2019</w:t>
            </w:r>
          </w:p>
        </w:tc>
        <w:tc>
          <w:tcPr>
            <w:tcW w:w="1015" w:type="pct"/>
            <w:tcBorders>
              <w:top w:val="nil"/>
              <w:left w:val="nil"/>
              <w:bottom w:val="nil"/>
              <w:right w:val="nil"/>
            </w:tcBorders>
            <w:shd w:val="clear" w:color="auto" w:fill="auto"/>
            <w:noWrap/>
            <w:vAlign w:val="center"/>
            <w:hideMark/>
          </w:tcPr>
          <w:p w14:paraId="4CCED130"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CBA, dopravný model</w:t>
            </w:r>
          </w:p>
        </w:tc>
        <w:tc>
          <w:tcPr>
            <w:tcW w:w="856" w:type="pct"/>
            <w:tcBorders>
              <w:top w:val="nil"/>
              <w:left w:val="nil"/>
              <w:bottom w:val="nil"/>
              <w:right w:val="nil"/>
            </w:tcBorders>
            <w:shd w:val="clear" w:color="auto" w:fill="auto"/>
            <w:vAlign w:val="center"/>
            <w:hideMark/>
          </w:tcPr>
          <w:p w14:paraId="353BF3C8"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Príprava hodnotenia po vyhlásení VO</w:t>
            </w:r>
          </w:p>
        </w:tc>
      </w:tr>
      <w:tr w:rsidR="00CB16AA" w:rsidRPr="00666914" w14:paraId="27BC8F2C" w14:textId="77777777" w:rsidTr="00985E7A">
        <w:trPr>
          <w:trHeight w:val="345"/>
        </w:trPr>
        <w:tc>
          <w:tcPr>
            <w:tcW w:w="421" w:type="pct"/>
            <w:tcBorders>
              <w:top w:val="nil"/>
              <w:left w:val="nil"/>
              <w:bottom w:val="nil"/>
              <w:right w:val="nil"/>
            </w:tcBorders>
            <w:shd w:val="clear" w:color="auto" w:fill="auto"/>
            <w:noWrap/>
            <w:vAlign w:val="center"/>
            <w:hideMark/>
          </w:tcPr>
          <w:p w14:paraId="2FAF162E"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NDS</w:t>
            </w:r>
          </w:p>
        </w:tc>
        <w:tc>
          <w:tcPr>
            <w:tcW w:w="1572" w:type="pct"/>
            <w:tcBorders>
              <w:top w:val="nil"/>
              <w:left w:val="nil"/>
              <w:bottom w:val="nil"/>
              <w:right w:val="nil"/>
            </w:tcBorders>
            <w:shd w:val="clear" w:color="auto" w:fill="auto"/>
            <w:noWrap/>
            <w:vAlign w:val="center"/>
            <w:hideMark/>
          </w:tcPr>
          <w:p w14:paraId="6AF2C0D2"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R2 Rožňava - Jablonov n/T</w:t>
            </w:r>
          </w:p>
        </w:tc>
        <w:tc>
          <w:tcPr>
            <w:tcW w:w="466" w:type="pct"/>
            <w:tcBorders>
              <w:top w:val="nil"/>
              <w:left w:val="nil"/>
              <w:bottom w:val="nil"/>
              <w:right w:val="nil"/>
            </w:tcBorders>
            <w:shd w:val="clear" w:color="auto" w:fill="auto"/>
            <w:noWrap/>
            <w:vAlign w:val="center"/>
            <w:hideMark/>
          </w:tcPr>
          <w:p w14:paraId="7DDC1785"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242</w:t>
            </w:r>
          </w:p>
        </w:tc>
        <w:tc>
          <w:tcPr>
            <w:tcW w:w="668" w:type="pct"/>
            <w:tcBorders>
              <w:top w:val="nil"/>
              <w:left w:val="nil"/>
              <w:bottom w:val="nil"/>
              <w:right w:val="nil"/>
            </w:tcBorders>
            <w:shd w:val="clear" w:color="auto" w:fill="auto"/>
            <w:vAlign w:val="center"/>
            <w:hideMark/>
          </w:tcPr>
          <w:p w14:paraId="7F7F446C"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06/2019</w:t>
            </w:r>
          </w:p>
        </w:tc>
        <w:tc>
          <w:tcPr>
            <w:tcW w:w="1015" w:type="pct"/>
            <w:tcBorders>
              <w:top w:val="nil"/>
              <w:left w:val="nil"/>
              <w:bottom w:val="nil"/>
              <w:right w:val="nil"/>
            </w:tcBorders>
            <w:shd w:val="clear" w:color="auto" w:fill="auto"/>
            <w:noWrap/>
            <w:vAlign w:val="center"/>
            <w:hideMark/>
          </w:tcPr>
          <w:p w14:paraId="5070CDDB"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model, CBA, DP</w:t>
            </w:r>
          </w:p>
        </w:tc>
        <w:tc>
          <w:tcPr>
            <w:tcW w:w="856" w:type="pct"/>
            <w:tcBorders>
              <w:top w:val="nil"/>
              <w:left w:val="nil"/>
              <w:bottom w:val="nil"/>
              <w:right w:val="nil"/>
            </w:tcBorders>
            <w:shd w:val="clear" w:color="auto" w:fill="auto"/>
            <w:noWrap/>
            <w:vAlign w:val="center"/>
            <w:hideMark/>
          </w:tcPr>
          <w:p w14:paraId="129636AF"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Príprava stanoviska</w:t>
            </w:r>
          </w:p>
        </w:tc>
      </w:tr>
      <w:tr w:rsidR="00CB16AA" w:rsidRPr="00666914" w14:paraId="0A80CF44" w14:textId="77777777" w:rsidTr="00985E7A">
        <w:trPr>
          <w:trHeight w:val="765"/>
        </w:trPr>
        <w:tc>
          <w:tcPr>
            <w:tcW w:w="421" w:type="pct"/>
            <w:tcBorders>
              <w:top w:val="nil"/>
              <w:left w:val="nil"/>
              <w:bottom w:val="nil"/>
              <w:right w:val="nil"/>
            </w:tcBorders>
            <w:shd w:val="clear" w:color="auto" w:fill="auto"/>
            <w:noWrap/>
            <w:vAlign w:val="center"/>
            <w:hideMark/>
          </w:tcPr>
          <w:p w14:paraId="07CD5C49"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NDS</w:t>
            </w:r>
          </w:p>
        </w:tc>
        <w:tc>
          <w:tcPr>
            <w:tcW w:w="1572" w:type="pct"/>
            <w:tcBorders>
              <w:top w:val="nil"/>
              <w:left w:val="nil"/>
              <w:bottom w:val="nil"/>
              <w:right w:val="nil"/>
            </w:tcBorders>
            <w:shd w:val="clear" w:color="auto" w:fill="auto"/>
            <w:noWrap/>
            <w:vAlign w:val="center"/>
            <w:hideMark/>
          </w:tcPr>
          <w:p w14:paraId="6C5A1311"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R4 Prešov II. Etapa</w:t>
            </w:r>
          </w:p>
        </w:tc>
        <w:tc>
          <w:tcPr>
            <w:tcW w:w="466" w:type="pct"/>
            <w:tcBorders>
              <w:top w:val="nil"/>
              <w:left w:val="nil"/>
              <w:bottom w:val="nil"/>
              <w:right w:val="nil"/>
            </w:tcBorders>
            <w:shd w:val="clear" w:color="auto" w:fill="auto"/>
            <w:vAlign w:val="center"/>
            <w:hideMark/>
          </w:tcPr>
          <w:p w14:paraId="569A5601" w14:textId="77777777" w:rsidR="00CB16AA" w:rsidRPr="00666914" w:rsidRDefault="00CB16AA" w:rsidP="00985E7A">
            <w:pPr>
              <w:spacing w:after="0"/>
              <w:jc w:val="center"/>
              <w:rPr>
                <w:rFonts w:eastAsia="Times New Roman" w:cs="Calibri"/>
                <w:color w:val="000000"/>
                <w:lang w:eastAsia="sk-SK"/>
              </w:rPr>
            </w:pPr>
            <w:r w:rsidRPr="00666914">
              <w:rPr>
                <w:rFonts w:eastAsia="Times New Roman" w:cs="Calibri"/>
                <w:color w:val="000000"/>
                <w:lang w:eastAsia="sk-SK"/>
              </w:rPr>
              <w:t>-</w:t>
            </w:r>
          </w:p>
        </w:tc>
        <w:tc>
          <w:tcPr>
            <w:tcW w:w="668" w:type="pct"/>
            <w:tcBorders>
              <w:top w:val="nil"/>
              <w:left w:val="nil"/>
              <w:bottom w:val="nil"/>
              <w:right w:val="nil"/>
            </w:tcBorders>
            <w:shd w:val="clear" w:color="auto" w:fill="auto"/>
            <w:vAlign w:val="center"/>
            <w:hideMark/>
          </w:tcPr>
          <w:p w14:paraId="79E254AD"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02/2019</w:t>
            </w:r>
          </w:p>
        </w:tc>
        <w:tc>
          <w:tcPr>
            <w:tcW w:w="1015" w:type="pct"/>
            <w:tcBorders>
              <w:top w:val="nil"/>
              <w:left w:val="nil"/>
              <w:bottom w:val="nil"/>
              <w:right w:val="nil"/>
            </w:tcBorders>
            <w:shd w:val="clear" w:color="auto" w:fill="auto"/>
            <w:noWrap/>
            <w:vAlign w:val="center"/>
            <w:hideMark/>
          </w:tcPr>
          <w:p w14:paraId="7AD77BC3"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Dopravný model</w:t>
            </w:r>
          </w:p>
        </w:tc>
        <w:tc>
          <w:tcPr>
            <w:tcW w:w="856" w:type="pct"/>
            <w:tcBorders>
              <w:top w:val="nil"/>
              <w:left w:val="nil"/>
              <w:bottom w:val="nil"/>
              <w:right w:val="nil"/>
            </w:tcBorders>
            <w:shd w:val="clear" w:color="auto" w:fill="auto"/>
            <w:vAlign w:val="center"/>
            <w:hideMark/>
          </w:tcPr>
          <w:p w14:paraId="37B3DF0D"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Pripomienky k prognóze dopravy a alternatívam</w:t>
            </w:r>
          </w:p>
        </w:tc>
      </w:tr>
      <w:tr w:rsidR="00CB16AA" w:rsidRPr="00666914" w14:paraId="10965A6B" w14:textId="77777777" w:rsidTr="00985E7A">
        <w:trPr>
          <w:trHeight w:val="375"/>
        </w:trPr>
        <w:tc>
          <w:tcPr>
            <w:tcW w:w="421" w:type="pct"/>
            <w:tcBorders>
              <w:top w:val="nil"/>
              <w:left w:val="nil"/>
              <w:bottom w:val="nil"/>
              <w:right w:val="nil"/>
            </w:tcBorders>
            <w:shd w:val="clear" w:color="auto" w:fill="auto"/>
            <w:noWrap/>
            <w:vAlign w:val="center"/>
            <w:hideMark/>
          </w:tcPr>
          <w:p w14:paraId="0A9C1981"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NDS</w:t>
            </w:r>
          </w:p>
        </w:tc>
        <w:tc>
          <w:tcPr>
            <w:tcW w:w="1572" w:type="pct"/>
            <w:tcBorders>
              <w:top w:val="nil"/>
              <w:left w:val="nil"/>
              <w:bottom w:val="nil"/>
              <w:right w:val="nil"/>
            </w:tcBorders>
            <w:shd w:val="clear" w:color="auto" w:fill="auto"/>
            <w:noWrap/>
            <w:vAlign w:val="center"/>
            <w:hideMark/>
          </w:tcPr>
          <w:p w14:paraId="218B2D60"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D1 Lietavská Lúčka -- Dubná Skala</w:t>
            </w:r>
          </w:p>
        </w:tc>
        <w:tc>
          <w:tcPr>
            <w:tcW w:w="466" w:type="pct"/>
            <w:tcBorders>
              <w:top w:val="nil"/>
              <w:left w:val="nil"/>
              <w:bottom w:val="nil"/>
              <w:right w:val="nil"/>
            </w:tcBorders>
            <w:shd w:val="clear" w:color="auto" w:fill="auto"/>
            <w:noWrap/>
            <w:vAlign w:val="center"/>
            <w:hideMark/>
          </w:tcPr>
          <w:p w14:paraId="73588899"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256+100</w:t>
            </w:r>
          </w:p>
        </w:tc>
        <w:tc>
          <w:tcPr>
            <w:tcW w:w="668" w:type="pct"/>
            <w:tcBorders>
              <w:top w:val="nil"/>
              <w:left w:val="nil"/>
              <w:bottom w:val="nil"/>
              <w:right w:val="nil"/>
            </w:tcBorders>
            <w:shd w:val="clear" w:color="auto" w:fill="auto"/>
            <w:vAlign w:val="center"/>
            <w:hideMark/>
          </w:tcPr>
          <w:p w14:paraId="267D55C9"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09/2019</w:t>
            </w:r>
          </w:p>
        </w:tc>
        <w:tc>
          <w:tcPr>
            <w:tcW w:w="1015" w:type="pct"/>
            <w:tcBorders>
              <w:top w:val="nil"/>
              <w:left w:val="nil"/>
              <w:bottom w:val="nil"/>
              <w:right w:val="nil"/>
            </w:tcBorders>
            <w:shd w:val="clear" w:color="auto" w:fill="auto"/>
            <w:noWrap/>
            <w:vAlign w:val="center"/>
            <w:hideMark/>
          </w:tcPr>
          <w:p w14:paraId="3150D1C4"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Stav PD</w:t>
            </w:r>
          </w:p>
        </w:tc>
        <w:tc>
          <w:tcPr>
            <w:tcW w:w="856" w:type="pct"/>
            <w:tcBorders>
              <w:top w:val="nil"/>
              <w:left w:val="nil"/>
              <w:bottom w:val="nil"/>
              <w:right w:val="nil"/>
            </w:tcBorders>
            <w:shd w:val="clear" w:color="auto" w:fill="auto"/>
            <w:noWrap/>
            <w:vAlign w:val="center"/>
            <w:hideMark/>
          </w:tcPr>
          <w:p w14:paraId="048C2C91"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Príprava stanoviska</w:t>
            </w:r>
          </w:p>
        </w:tc>
      </w:tr>
      <w:tr w:rsidR="00CB16AA" w:rsidRPr="00666914" w14:paraId="674DE91F" w14:textId="77777777" w:rsidTr="00985E7A">
        <w:trPr>
          <w:trHeight w:val="765"/>
        </w:trPr>
        <w:tc>
          <w:tcPr>
            <w:tcW w:w="421" w:type="pct"/>
            <w:tcBorders>
              <w:top w:val="nil"/>
              <w:left w:val="nil"/>
              <w:bottom w:val="nil"/>
              <w:right w:val="nil"/>
            </w:tcBorders>
            <w:shd w:val="clear" w:color="auto" w:fill="auto"/>
            <w:noWrap/>
            <w:vAlign w:val="center"/>
            <w:hideMark/>
          </w:tcPr>
          <w:p w14:paraId="731786FF"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NDS</w:t>
            </w:r>
          </w:p>
        </w:tc>
        <w:tc>
          <w:tcPr>
            <w:tcW w:w="1572" w:type="pct"/>
            <w:tcBorders>
              <w:top w:val="nil"/>
              <w:left w:val="nil"/>
              <w:bottom w:val="nil"/>
              <w:right w:val="nil"/>
            </w:tcBorders>
            <w:shd w:val="clear" w:color="auto" w:fill="auto"/>
            <w:noWrap/>
            <w:vAlign w:val="center"/>
            <w:hideMark/>
          </w:tcPr>
          <w:p w14:paraId="68A2D374"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R8 Nitra -- križovatka s R2</w:t>
            </w:r>
          </w:p>
        </w:tc>
        <w:tc>
          <w:tcPr>
            <w:tcW w:w="466" w:type="pct"/>
            <w:tcBorders>
              <w:top w:val="nil"/>
              <w:left w:val="nil"/>
              <w:bottom w:val="nil"/>
              <w:right w:val="nil"/>
            </w:tcBorders>
            <w:shd w:val="clear" w:color="auto" w:fill="auto"/>
            <w:noWrap/>
            <w:vAlign w:val="center"/>
            <w:hideMark/>
          </w:tcPr>
          <w:p w14:paraId="4996FBDB"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668" w:type="pct"/>
            <w:tcBorders>
              <w:top w:val="nil"/>
              <w:left w:val="nil"/>
              <w:bottom w:val="nil"/>
              <w:right w:val="nil"/>
            </w:tcBorders>
            <w:shd w:val="clear" w:color="auto" w:fill="auto"/>
            <w:noWrap/>
            <w:vAlign w:val="center"/>
            <w:hideMark/>
          </w:tcPr>
          <w:p w14:paraId="4048DDEB"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1015" w:type="pct"/>
            <w:tcBorders>
              <w:top w:val="nil"/>
              <w:left w:val="nil"/>
              <w:bottom w:val="nil"/>
              <w:right w:val="nil"/>
            </w:tcBorders>
            <w:shd w:val="clear" w:color="auto" w:fill="auto"/>
            <w:noWrap/>
            <w:vAlign w:val="center"/>
            <w:hideMark/>
          </w:tcPr>
          <w:p w14:paraId="467666A6"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Dopravný model</w:t>
            </w:r>
          </w:p>
        </w:tc>
        <w:tc>
          <w:tcPr>
            <w:tcW w:w="856" w:type="pct"/>
            <w:tcBorders>
              <w:top w:val="nil"/>
              <w:left w:val="nil"/>
              <w:bottom w:val="nil"/>
              <w:right w:val="nil"/>
            </w:tcBorders>
            <w:shd w:val="clear" w:color="auto" w:fill="auto"/>
            <w:vAlign w:val="center"/>
            <w:hideMark/>
          </w:tcPr>
          <w:p w14:paraId="474CC5D2"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Pripomienky k prognóze dopravy a alternatívam</w:t>
            </w:r>
          </w:p>
        </w:tc>
      </w:tr>
      <w:tr w:rsidR="00CB16AA" w:rsidRPr="00666914" w14:paraId="6944E443" w14:textId="77777777" w:rsidTr="00985E7A">
        <w:trPr>
          <w:trHeight w:val="585"/>
        </w:trPr>
        <w:tc>
          <w:tcPr>
            <w:tcW w:w="421" w:type="pct"/>
            <w:tcBorders>
              <w:top w:val="nil"/>
              <w:left w:val="nil"/>
              <w:bottom w:val="nil"/>
              <w:right w:val="nil"/>
            </w:tcBorders>
            <w:shd w:val="clear" w:color="auto" w:fill="auto"/>
            <w:noWrap/>
            <w:vAlign w:val="center"/>
            <w:hideMark/>
          </w:tcPr>
          <w:p w14:paraId="32F53051"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1572" w:type="pct"/>
            <w:tcBorders>
              <w:top w:val="nil"/>
              <w:left w:val="nil"/>
              <w:bottom w:val="nil"/>
              <w:right w:val="nil"/>
            </w:tcBorders>
            <w:shd w:val="clear" w:color="auto" w:fill="auto"/>
            <w:vAlign w:val="center"/>
            <w:hideMark/>
          </w:tcPr>
          <w:p w14:paraId="034B560B"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I/51, I/76 Nitra – Kalná nad Hronom – Levice (Šarovce)</w:t>
            </w:r>
          </w:p>
        </w:tc>
        <w:tc>
          <w:tcPr>
            <w:tcW w:w="466" w:type="pct"/>
            <w:tcBorders>
              <w:top w:val="nil"/>
              <w:left w:val="nil"/>
              <w:bottom w:val="nil"/>
              <w:right w:val="nil"/>
            </w:tcBorders>
            <w:shd w:val="clear" w:color="auto" w:fill="auto"/>
            <w:vAlign w:val="center"/>
            <w:hideMark/>
          </w:tcPr>
          <w:p w14:paraId="7C308376" w14:textId="77777777" w:rsidR="00CB16AA" w:rsidRPr="00666914" w:rsidRDefault="00CB16AA" w:rsidP="00985E7A">
            <w:pPr>
              <w:spacing w:after="0"/>
              <w:jc w:val="center"/>
              <w:rPr>
                <w:rFonts w:eastAsia="Times New Roman" w:cs="Calibri"/>
                <w:color w:val="000000"/>
                <w:lang w:eastAsia="sk-SK"/>
              </w:rPr>
            </w:pPr>
            <w:r w:rsidRPr="00666914">
              <w:rPr>
                <w:rFonts w:eastAsia="Times New Roman" w:cs="Calibri"/>
                <w:color w:val="000000"/>
                <w:lang w:eastAsia="sk-SK"/>
              </w:rPr>
              <w:t>-</w:t>
            </w:r>
          </w:p>
        </w:tc>
        <w:tc>
          <w:tcPr>
            <w:tcW w:w="668" w:type="pct"/>
            <w:tcBorders>
              <w:top w:val="nil"/>
              <w:left w:val="nil"/>
              <w:bottom w:val="nil"/>
              <w:right w:val="nil"/>
            </w:tcBorders>
            <w:shd w:val="clear" w:color="auto" w:fill="auto"/>
            <w:vAlign w:val="center"/>
            <w:hideMark/>
          </w:tcPr>
          <w:p w14:paraId="6C305129"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03/2019</w:t>
            </w:r>
          </w:p>
        </w:tc>
        <w:tc>
          <w:tcPr>
            <w:tcW w:w="1015" w:type="pct"/>
            <w:tcBorders>
              <w:top w:val="nil"/>
              <w:left w:val="nil"/>
              <w:bottom w:val="nil"/>
              <w:right w:val="nil"/>
            </w:tcBorders>
            <w:shd w:val="clear" w:color="auto" w:fill="auto"/>
            <w:noWrap/>
            <w:vAlign w:val="center"/>
            <w:hideMark/>
          </w:tcPr>
          <w:p w14:paraId="14A67614"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Štúdia uskutočniteľnosti</w:t>
            </w:r>
          </w:p>
        </w:tc>
        <w:tc>
          <w:tcPr>
            <w:tcW w:w="856" w:type="pct"/>
            <w:tcBorders>
              <w:top w:val="nil"/>
              <w:left w:val="nil"/>
              <w:bottom w:val="nil"/>
              <w:right w:val="nil"/>
            </w:tcBorders>
            <w:shd w:val="clear" w:color="auto" w:fill="auto"/>
            <w:vAlign w:val="center"/>
            <w:hideMark/>
          </w:tcPr>
          <w:p w14:paraId="510C8B32"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Hodnotenie štúdie uskutočniteľnosti</w:t>
            </w:r>
          </w:p>
        </w:tc>
      </w:tr>
      <w:tr w:rsidR="00CB16AA" w:rsidRPr="00666914" w14:paraId="4D91FF14" w14:textId="77777777" w:rsidTr="00985E7A">
        <w:trPr>
          <w:trHeight w:val="645"/>
        </w:trPr>
        <w:tc>
          <w:tcPr>
            <w:tcW w:w="421" w:type="pct"/>
            <w:tcBorders>
              <w:top w:val="nil"/>
              <w:left w:val="nil"/>
              <w:bottom w:val="nil"/>
              <w:right w:val="nil"/>
            </w:tcBorders>
            <w:shd w:val="clear" w:color="auto" w:fill="auto"/>
            <w:noWrap/>
            <w:vAlign w:val="center"/>
            <w:hideMark/>
          </w:tcPr>
          <w:p w14:paraId="12F5DC26"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1572" w:type="pct"/>
            <w:tcBorders>
              <w:top w:val="nil"/>
              <w:left w:val="nil"/>
              <w:bottom w:val="nil"/>
              <w:right w:val="nil"/>
            </w:tcBorders>
            <w:shd w:val="clear" w:color="auto" w:fill="auto"/>
            <w:vAlign w:val="center"/>
            <w:hideMark/>
          </w:tcPr>
          <w:p w14:paraId="7D0B504E"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I/67, I/66, I/77 Rožňava – Bardejovské kúpele</w:t>
            </w:r>
          </w:p>
        </w:tc>
        <w:tc>
          <w:tcPr>
            <w:tcW w:w="466" w:type="pct"/>
            <w:tcBorders>
              <w:top w:val="nil"/>
              <w:left w:val="nil"/>
              <w:bottom w:val="nil"/>
              <w:right w:val="nil"/>
            </w:tcBorders>
            <w:shd w:val="clear" w:color="auto" w:fill="auto"/>
            <w:vAlign w:val="center"/>
            <w:hideMark/>
          </w:tcPr>
          <w:p w14:paraId="3614AA83" w14:textId="77777777" w:rsidR="00CB16AA" w:rsidRPr="00666914" w:rsidRDefault="00CB16AA" w:rsidP="00985E7A">
            <w:pPr>
              <w:spacing w:after="0"/>
              <w:jc w:val="center"/>
              <w:rPr>
                <w:rFonts w:eastAsia="Times New Roman" w:cs="Calibri"/>
                <w:color w:val="000000"/>
                <w:lang w:eastAsia="sk-SK"/>
              </w:rPr>
            </w:pPr>
            <w:r w:rsidRPr="00666914">
              <w:rPr>
                <w:rFonts w:eastAsia="Times New Roman" w:cs="Calibri"/>
                <w:color w:val="000000"/>
                <w:lang w:eastAsia="sk-SK"/>
              </w:rPr>
              <w:t>-</w:t>
            </w:r>
          </w:p>
        </w:tc>
        <w:tc>
          <w:tcPr>
            <w:tcW w:w="668" w:type="pct"/>
            <w:tcBorders>
              <w:top w:val="nil"/>
              <w:left w:val="nil"/>
              <w:bottom w:val="nil"/>
              <w:right w:val="nil"/>
            </w:tcBorders>
            <w:shd w:val="clear" w:color="auto" w:fill="auto"/>
            <w:vAlign w:val="center"/>
            <w:hideMark/>
          </w:tcPr>
          <w:p w14:paraId="51DE25E7"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03/2019</w:t>
            </w:r>
          </w:p>
        </w:tc>
        <w:tc>
          <w:tcPr>
            <w:tcW w:w="1015" w:type="pct"/>
            <w:tcBorders>
              <w:top w:val="nil"/>
              <w:left w:val="nil"/>
              <w:bottom w:val="nil"/>
              <w:right w:val="nil"/>
            </w:tcBorders>
            <w:shd w:val="clear" w:color="auto" w:fill="auto"/>
            <w:noWrap/>
            <w:vAlign w:val="center"/>
            <w:hideMark/>
          </w:tcPr>
          <w:p w14:paraId="5260DF3E"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Štúdia uskutočniteľnosti</w:t>
            </w:r>
          </w:p>
        </w:tc>
        <w:tc>
          <w:tcPr>
            <w:tcW w:w="856" w:type="pct"/>
            <w:tcBorders>
              <w:top w:val="nil"/>
              <w:left w:val="nil"/>
              <w:bottom w:val="nil"/>
              <w:right w:val="nil"/>
            </w:tcBorders>
            <w:shd w:val="clear" w:color="auto" w:fill="auto"/>
            <w:vAlign w:val="center"/>
            <w:hideMark/>
          </w:tcPr>
          <w:p w14:paraId="69611C92"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Hodnotenie štúdie uskutočniteľnosti</w:t>
            </w:r>
          </w:p>
        </w:tc>
      </w:tr>
      <w:tr w:rsidR="00CB16AA" w:rsidRPr="00666914" w14:paraId="6B6EBB06" w14:textId="77777777" w:rsidTr="00985E7A">
        <w:trPr>
          <w:trHeight w:val="510"/>
        </w:trPr>
        <w:tc>
          <w:tcPr>
            <w:tcW w:w="421" w:type="pct"/>
            <w:tcBorders>
              <w:top w:val="nil"/>
              <w:left w:val="nil"/>
              <w:bottom w:val="nil"/>
              <w:right w:val="nil"/>
            </w:tcBorders>
            <w:shd w:val="clear" w:color="auto" w:fill="auto"/>
            <w:noWrap/>
            <w:vAlign w:val="center"/>
            <w:hideMark/>
          </w:tcPr>
          <w:p w14:paraId="74F38DA3"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1572" w:type="pct"/>
            <w:tcBorders>
              <w:top w:val="nil"/>
              <w:left w:val="nil"/>
              <w:bottom w:val="nil"/>
              <w:right w:val="nil"/>
            </w:tcBorders>
            <w:shd w:val="clear" w:color="auto" w:fill="auto"/>
            <w:vAlign w:val="center"/>
            <w:hideMark/>
          </w:tcPr>
          <w:p w14:paraId="3E8D8B38"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I/64 Topoľčany - Žilina</w:t>
            </w:r>
          </w:p>
        </w:tc>
        <w:tc>
          <w:tcPr>
            <w:tcW w:w="466" w:type="pct"/>
            <w:tcBorders>
              <w:top w:val="nil"/>
              <w:left w:val="nil"/>
              <w:bottom w:val="nil"/>
              <w:right w:val="nil"/>
            </w:tcBorders>
            <w:shd w:val="clear" w:color="auto" w:fill="auto"/>
            <w:vAlign w:val="center"/>
            <w:hideMark/>
          </w:tcPr>
          <w:p w14:paraId="5722B77D" w14:textId="77777777" w:rsidR="00CB16AA" w:rsidRPr="00666914" w:rsidRDefault="00CB16AA" w:rsidP="00985E7A">
            <w:pPr>
              <w:spacing w:after="0"/>
              <w:jc w:val="center"/>
              <w:rPr>
                <w:rFonts w:eastAsia="Times New Roman" w:cs="Calibri"/>
                <w:color w:val="000000"/>
                <w:lang w:eastAsia="sk-SK"/>
              </w:rPr>
            </w:pPr>
            <w:r w:rsidRPr="00666914">
              <w:rPr>
                <w:rFonts w:eastAsia="Times New Roman" w:cs="Calibri"/>
                <w:color w:val="000000"/>
                <w:lang w:eastAsia="sk-SK"/>
              </w:rPr>
              <w:t>-</w:t>
            </w:r>
          </w:p>
        </w:tc>
        <w:tc>
          <w:tcPr>
            <w:tcW w:w="668" w:type="pct"/>
            <w:tcBorders>
              <w:top w:val="nil"/>
              <w:left w:val="nil"/>
              <w:bottom w:val="nil"/>
              <w:right w:val="nil"/>
            </w:tcBorders>
            <w:shd w:val="clear" w:color="auto" w:fill="auto"/>
            <w:vAlign w:val="center"/>
            <w:hideMark/>
          </w:tcPr>
          <w:p w14:paraId="69E60F93"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03/2019</w:t>
            </w:r>
          </w:p>
        </w:tc>
        <w:tc>
          <w:tcPr>
            <w:tcW w:w="1015" w:type="pct"/>
            <w:tcBorders>
              <w:top w:val="nil"/>
              <w:left w:val="nil"/>
              <w:bottom w:val="nil"/>
              <w:right w:val="nil"/>
            </w:tcBorders>
            <w:shd w:val="clear" w:color="auto" w:fill="auto"/>
            <w:noWrap/>
            <w:vAlign w:val="center"/>
            <w:hideMark/>
          </w:tcPr>
          <w:p w14:paraId="39F05A16"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Štúdia uskutočniteľnosti</w:t>
            </w:r>
          </w:p>
        </w:tc>
        <w:tc>
          <w:tcPr>
            <w:tcW w:w="856" w:type="pct"/>
            <w:tcBorders>
              <w:top w:val="nil"/>
              <w:left w:val="nil"/>
              <w:bottom w:val="nil"/>
              <w:right w:val="nil"/>
            </w:tcBorders>
            <w:shd w:val="clear" w:color="auto" w:fill="auto"/>
            <w:vAlign w:val="center"/>
            <w:hideMark/>
          </w:tcPr>
          <w:p w14:paraId="54BCD61B"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Hodnotenie štúdie uskutočniteľnosti</w:t>
            </w:r>
          </w:p>
        </w:tc>
      </w:tr>
      <w:tr w:rsidR="00CB16AA" w:rsidRPr="00666914" w14:paraId="436B19D8" w14:textId="77777777" w:rsidTr="00985E7A">
        <w:trPr>
          <w:trHeight w:val="510"/>
        </w:trPr>
        <w:tc>
          <w:tcPr>
            <w:tcW w:w="421" w:type="pct"/>
            <w:tcBorders>
              <w:top w:val="nil"/>
              <w:left w:val="nil"/>
              <w:bottom w:val="nil"/>
              <w:right w:val="nil"/>
            </w:tcBorders>
            <w:shd w:val="clear" w:color="auto" w:fill="auto"/>
            <w:noWrap/>
            <w:vAlign w:val="center"/>
            <w:hideMark/>
          </w:tcPr>
          <w:p w14:paraId="1209C0A1"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1572" w:type="pct"/>
            <w:tcBorders>
              <w:top w:val="nil"/>
              <w:left w:val="nil"/>
              <w:bottom w:val="nil"/>
              <w:right w:val="nil"/>
            </w:tcBorders>
            <w:shd w:val="clear" w:color="auto" w:fill="auto"/>
            <w:noWrap/>
            <w:vAlign w:val="center"/>
            <w:hideMark/>
          </w:tcPr>
          <w:p w14:paraId="1B2FA640"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I/68 Mníšek – Prešov</w:t>
            </w:r>
          </w:p>
        </w:tc>
        <w:tc>
          <w:tcPr>
            <w:tcW w:w="466" w:type="pct"/>
            <w:tcBorders>
              <w:top w:val="nil"/>
              <w:left w:val="nil"/>
              <w:bottom w:val="nil"/>
              <w:right w:val="nil"/>
            </w:tcBorders>
            <w:shd w:val="clear" w:color="auto" w:fill="auto"/>
            <w:noWrap/>
            <w:vAlign w:val="center"/>
            <w:hideMark/>
          </w:tcPr>
          <w:p w14:paraId="0E099CDA"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1099</w:t>
            </w:r>
          </w:p>
        </w:tc>
        <w:tc>
          <w:tcPr>
            <w:tcW w:w="668" w:type="pct"/>
            <w:tcBorders>
              <w:top w:val="nil"/>
              <w:left w:val="nil"/>
              <w:bottom w:val="nil"/>
              <w:right w:val="nil"/>
            </w:tcBorders>
            <w:shd w:val="clear" w:color="auto" w:fill="auto"/>
            <w:vAlign w:val="center"/>
            <w:hideMark/>
          </w:tcPr>
          <w:p w14:paraId="21D30222"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10/2017</w:t>
            </w:r>
          </w:p>
        </w:tc>
        <w:tc>
          <w:tcPr>
            <w:tcW w:w="1015" w:type="pct"/>
            <w:tcBorders>
              <w:top w:val="nil"/>
              <w:left w:val="nil"/>
              <w:bottom w:val="nil"/>
              <w:right w:val="nil"/>
            </w:tcBorders>
            <w:shd w:val="clear" w:color="auto" w:fill="auto"/>
            <w:noWrap/>
            <w:vAlign w:val="center"/>
            <w:hideMark/>
          </w:tcPr>
          <w:p w14:paraId="370588E6"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Štúdia uskutočniteľnosti</w:t>
            </w:r>
          </w:p>
        </w:tc>
        <w:tc>
          <w:tcPr>
            <w:tcW w:w="856" w:type="pct"/>
            <w:tcBorders>
              <w:top w:val="nil"/>
              <w:left w:val="nil"/>
              <w:bottom w:val="nil"/>
              <w:right w:val="nil"/>
            </w:tcBorders>
            <w:shd w:val="clear" w:color="auto" w:fill="auto"/>
            <w:vAlign w:val="center"/>
            <w:hideMark/>
          </w:tcPr>
          <w:p w14:paraId="6A61C262"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Hodnotenie štúdie uskutočniteľnosti</w:t>
            </w:r>
          </w:p>
        </w:tc>
      </w:tr>
      <w:tr w:rsidR="00CB16AA" w:rsidRPr="00666914" w14:paraId="64964CAE" w14:textId="77777777" w:rsidTr="00985E7A">
        <w:trPr>
          <w:trHeight w:val="510"/>
        </w:trPr>
        <w:tc>
          <w:tcPr>
            <w:tcW w:w="421" w:type="pct"/>
            <w:tcBorders>
              <w:top w:val="nil"/>
              <w:left w:val="nil"/>
              <w:bottom w:val="nil"/>
              <w:right w:val="nil"/>
            </w:tcBorders>
            <w:shd w:val="clear" w:color="auto" w:fill="auto"/>
            <w:noWrap/>
            <w:vAlign w:val="center"/>
            <w:hideMark/>
          </w:tcPr>
          <w:p w14:paraId="7ECB510D"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1572" w:type="pct"/>
            <w:tcBorders>
              <w:top w:val="nil"/>
              <w:left w:val="nil"/>
              <w:bottom w:val="nil"/>
              <w:right w:val="nil"/>
            </w:tcBorders>
            <w:shd w:val="clear" w:color="auto" w:fill="auto"/>
            <w:noWrap/>
            <w:vAlign w:val="center"/>
            <w:hideMark/>
          </w:tcPr>
          <w:p w14:paraId="58F15AE7"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I/63, I/13 Dunajská Streda -- Komárno</w:t>
            </w:r>
          </w:p>
        </w:tc>
        <w:tc>
          <w:tcPr>
            <w:tcW w:w="466" w:type="pct"/>
            <w:tcBorders>
              <w:top w:val="nil"/>
              <w:left w:val="nil"/>
              <w:bottom w:val="nil"/>
              <w:right w:val="nil"/>
            </w:tcBorders>
            <w:shd w:val="clear" w:color="auto" w:fill="auto"/>
            <w:noWrap/>
            <w:vAlign w:val="center"/>
            <w:hideMark/>
          </w:tcPr>
          <w:p w14:paraId="3E39416F"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192</w:t>
            </w:r>
          </w:p>
        </w:tc>
        <w:tc>
          <w:tcPr>
            <w:tcW w:w="668" w:type="pct"/>
            <w:tcBorders>
              <w:top w:val="nil"/>
              <w:left w:val="nil"/>
              <w:bottom w:val="nil"/>
              <w:right w:val="nil"/>
            </w:tcBorders>
            <w:shd w:val="clear" w:color="auto" w:fill="auto"/>
            <w:noWrap/>
            <w:vAlign w:val="center"/>
            <w:hideMark/>
          </w:tcPr>
          <w:p w14:paraId="35902048"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43435</w:t>
            </w:r>
          </w:p>
        </w:tc>
        <w:tc>
          <w:tcPr>
            <w:tcW w:w="1015" w:type="pct"/>
            <w:tcBorders>
              <w:top w:val="nil"/>
              <w:left w:val="nil"/>
              <w:bottom w:val="nil"/>
              <w:right w:val="nil"/>
            </w:tcBorders>
            <w:shd w:val="clear" w:color="auto" w:fill="auto"/>
            <w:noWrap/>
            <w:vAlign w:val="center"/>
            <w:hideMark/>
          </w:tcPr>
          <w:p w14:paraId="753345A4"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CBA, dopravný model</w:t>
            </w:r>
          </w:p>
        </w:tc>
        <w:tc>
          <w:tcPr>
            <w:tcW w:w="856" w:type="pct"/>
            <w:tcBorders>
              <w:top w:val="nil"/>
              <w:left w:val="nil"/>
              <w:bottom w:val="nil"/>
              <w:right w:val="nil"/>
            </w:tcBorders>
            <w:shd w:val="clear" w:color="auto" w:fill="auto"/>
            <w:vAlign w:val="center"/>
            <w:hideMark/>
          </w:tcPr>
          <w:p w14:paraId="4B039C77"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Predbežné hodnotenie</w:t>
            </w:r>
          </w:p>
        </w:tc>
      </w:tr>
      <w:tr w:rsidR="00CB16AA" w:rsidRPr="00666914" w14:paraId="263F5A05" w14:textId="77777777" w:rsidTr="00985E7A">
        <w:trPr>
          <w:trHeight w:val="510"/>
        </w:trPr>
        <w:tc>
          <w:tcPr>
            <w:tcW w:w="421" w:type="pct"/>
            <w:tcBorders>
              <w:top w:val="nil"/>
              <w:left w:val="nil"/>
              <w:bottom w:val="single" w:sz="4" w:space="0" w:color="auto"/>
              <w:right w:val="nil"/>
            </w:tcBorders>
            <w:shd w:val="clear" w:color="auto" w:fill="auto"/>
            <w:noWrap/>
            <w:vAlign w:val="center"/>
            <w:hideMark/>
          </w:tcPr>
          <w:p w14:paraId="7508AC0A"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SSC</w:t>
            </w:r>
          </w:p>
        </w:tc>
        <w:tc>
          <w:tcPr>
            <w:tcW w:w="1572" w:type="pct"/>
            <w:tcBorders>
              <w:top w:val="nil"/>
              <w:left w:val="nil"/>
              <w:bottom w:val="single" w:sz="4" w:space="0" w:color="auto"/>
              <w:right w:val="nil"/>
            </w:tcBorders>
            <w:shd w:val="clear" w:color="auto" w:fill="auto"/>
            <w:noWrap/>
            <w:vAlign w:val="center"/>
            <w:hideMark/>
          </w:tcPr>
          <w:p w14:paraId="68BCECFF"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I/75 Galanta – Šaľa – Nové Zámky</w:t>
            </w:r>
          </w:p>
        </w:tc>
        <w:tc>
          <w:tcPr>
            <w:tcW w:w="466" w:type="pct"/>
            <w:tcBorders>
              <w:top w:val="nil"/>
              <w:left w:val="nil"/>
              <w:bottom w:val="single" w:sz="4" w:space="0" w:color="auto"/>
              <w:right w:val="nil"/>
            </w:tcBorders>
            <w:shd w:val="clear" w:color="auto" w:fill="auto"/>
            <w:noWrap/>
            <w:vAlign w:val="center"/>
            <w:hideMark/>
          </w:tcPr>
          <w:p w14:paraId="32DCEC19"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96</w:t>
            </w:r>
          </w:p>
        </w:tc>
        <w:tc>
          <w:tcPr>
            <w:tcW w:w="668" w:type="pct"/>
            <w:tcBorders>
              <w:top w:val="nil"/>
              <w:left w:val="nil"/>
              <w:bottom w:val="single" w:sz="4" w:space="0" w:color="auto"/>
              <w:right w:val="nil"/>
            </w:tcBorders>
            <w:shd w:val="clear" w:color="auto" w:fill="auto"/>
            <w:vAlign w:val="center"/>
            <w:hideMark/>
          </w:tcPr>
          <w:p w14:paraId="605A3F6A"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08/2017</w:t>
            </w:r>
          </w:p>
        </w:tc>
        <w:tc>
          <w:tcPr>
            <w:tcW w:w="1015" w:type="pct"/>
            <w:tcBorders>
              <w:top w:val="nil"/>
              <w:left w:val="nil"/>
              <w:bottom w:val="single" w:sz="4" w:space="0" w:color="auto"/>
              <w:right w:val="nil"/>
            </w:tcBorders>
            <w:shd w:val="clear" w:color="auto" w:fill="auto"/>
            <w:noWrap/>
            <w:vAlign w:val="center"/>
            <w:hideMark/>
          </w:tcPr>
          <w:p w14:paraId="013FB887"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Štúdia uskutočniteľnosti</w:t>
            </w:r>
          </w:p>
        </w:tc>
        <w:tc>
          <w:tcPr>
            <w:tcW w:w="856" w:type="pct"/>
            <w:tcBorders>
              <w:top w:val="nil"/>
              <w:left w:val="nil"/>
              <w:bottom w:val="single" w:sz="4" w:space="0" w:color="auto"/>
              <w:right w:val="nil"/>
            </w:tcBorders>
            <w:shd w:val="clear" w:color="auto" w:fill="auto"/>
            <w:vAlign w:val="center"/>
            <w:hideMark/>
          </w:tcPr>
          <w:p w14:paraId="0496BF8E"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Hodnotenie štúdie uskutočniteľnosti</w:t>
            </w:r>
          </w:p>
        </w:tc>
      </w:tr>
    </w:tbl>
    <w:p w14:paraId="676D2FF6" w14:textId="77777777" w:rsidR="00CB16AA" w:rsidRPr="00666914" w:rsidRDefault="00CB16AA" w:rsidP="00985E7A">
      <w:pPr>
        <w:contextualSpacing/>
        <w:jc w:val="right"/>
        <w:rPr>
          <w:i/>
          <w:sz w:val="18"/>
        </w:rPr>
      </w:pPr>
      <w:r w:rsidRPr="00666914">
        <w:rPr>
          <w:i/>
          <w:sz w:val="18"/>
        </w:rPr>
        <w:t>Zdroj: MDV SR</w:t>
      </w:r>
    </w:p>
    <w:p w14:paraId="62D5EF7B" w14:textId="77777777" w:rsidR="00CB16AA" w:rsidRPr="00666914" w:rsidRDefault="00CB16AA" w:rsidP="00985E7A">
      <w:pPr>
        <w:pStyle w:val="Odsekzoznamu"/>
        <w:rPr>
          <w:b/>
          <w:u w:val="single"/>
        </w:rPr>
      </w:pPr>
    </w:p>
    <w:p w14:paraId="445134A0" w14:textId="77777777" w:rsidR="00CB16AA" w:rsidRPr="00666914" w:rsidRDefault="00CB16AA" w:rsidP="00312C28">
      <w:pPr>
        <w:pStyle w:val="Odsekzoznamu"/>
        <w:numPr>
          <w:ilvl w:val="0"/>
          <w:numId w:val="34"/>
        </w:numPr>
        <w:rPr>
          <w:b/>
          <w:u w:val="single"/>
        </w:rPr>
      </w:pPr>
      <w:r w:rsidRPr="00666914">
        <w:rPr>
          <w:b/>
          <w:u w:val="single"/>
        </w:rPr>
        <w:t>Pripraviť pravidlá pre schvaľovanie PPP projektov a koncesií s cieľom zabezpečiť dlhodobú udržateľnosť verejných financií a zároveň definovať priestor pre realizáciu PPP projektov a koncesií prinášajúcich hodnotu za peniaze</w:t>
      </w:r>
    </w:p>
    <w:p w14:paraId="7A5CAA06" w14:textId="77777777" w:rsidR="00CB16AA" w:rsidRPr="00666914" w:rsidRDefault="00CB16AA" w:rsidP="00985E7A">
      <w:pPr>
        <w:spacing w:after="0"/>
        <w:rPr>
          <w:b/>
        </w:rPr>
      </w:pPr>
      <w:r w:rsidRPr="00666914">
        <w:t xml:space="preserve">Príprava pravidiel pre schvaľovanie PPP projektov a koncesií, s cieľom zabezpečiť dlhodobú udržateľnosť verejných financií, je v gescii MF SR. </w:t>
      </w:r>
      <w:r w:rsidRPr="00666914">
        <w:rPr>
          <w:b/>
        </w:rPr>
        <w:t>Práce na nej prebiehali od schválenia revízie výdavkov nedostatočným tempom.  V roku 2019 sa MF SR vyjadrilo, že pravidlá nie je potrebné pripravovať a súčasný strop výdavkov na PPP projekty je dostatočný.</w:t>
      </w:r>
      <w:r w:rsidRPr="00666914">
        <w:t xml:space="preserve"> Napriek tomu, že sa v súčasnosti výrazné investície formou PPP projektov neplánujú, podľa názoru IJ je definovanie pravidiel pre tento druh investícií potrebné. Okrem nich IJ odporúča stanoviť aj výdavkový strop pre tieto investície. </w:t>
      </w:r>
      <w:r w:rsidRPr="00666914">
        <w:rPr>
          <w:b/>
        </w:rPr>
        <w:t>Opatrenie sa k 31.12.2019 preto neplní.</w:t>
      </w:r>
    </w:p>
    <w:p w14:paraId="4FF3A875" w14:textId="0CEC2A04" w:rsidR="00CB16AA" w:rsidRPr="00666914" w:rsidRDefault="00CB16AA" w:rsidP="00D103B7">
      <w:pPr>
        <w:spacing w:after="0"/>
        <w:rPr>
          <w:b/>
          <w:u w:val="single"/>
        </w:rPr>
      </w:pPr>
    </w:p>
    <w:p w14:paraId="51926925" w14:textId="77777777" w:rsidR="00CB16AA" w:rsidRPr="00666914" w:rsidRDefault="00CB16AA" w:rsidP="00985E7A">
      <w:pPr>
        <w:pStyle w:val="Nadpis2"/>
        <w:ind w:left="1070"/>
      </w:pPr>
      <w:bookmarkStart w:id="208" w:name="_Toc21522710"/>
      <w:bookmarkStart w:id="209" w:name="_Toc38447592"/>
      <w:r w:rsidRPr="00666914">
        <w:lastRenderedPageBreak/>
        <w:t>Železničná infraštruktúra a osobná doprava</w:t>
      </w:r>
      <w:bookmarkEnd w:id="208"/>
      <w:bookmarkEnd w:id="209"/>
    </w:p>
    <w:tbl>
      <w:tblPr>
        <w:tblStyle w:val="Mriekatabuky2"/>
        <w:tblW w:w="5081" w:type="pct"/>
        <w:tblLook w:val="04A0" w:firstRow="1" w:lastRow="0" w:firstColumn="1" w:lastColumn="0" w:noHBand="0" w:noVBand="1"/>
      </w:tblPr>
      <w:tblGrid>
        <w:gridCol w:w="407"/>
        <w:gridCol w:w="2690"/>
        <w:gridCol w:w="1394"/>
        <w:gridCol w:w="1081"/>
        <w:gridCol w:w="821"/>
        <w:gridCol w:w="741"/>
        <w:gridCol w:w="741"/>
        <w:gridCol w:w="741"/>
        <w:gridCol w:w="737"/>
      </w:tblGrid>
      <w:tr w:rsidR="00CB16AA" w:rsidRPr="00666914" w14:paraId="4BF0E920" w14:textId="77777777" w:rsidTr="00254A5B">
        <w:trPr>
          <w:trHeight w:val="469"/>
        </w:trPr>
        <w:tc>
          <w:tcPr>
            <w:tcW w:w="218" w:type="pct"/>
            <w:tcBorders>
              <w:top w:val="single" w:sz="4" w:space="0" w:color="auto"/>
              <w:left w:val="single" w:sz="4" w:space="0" w:color="auto"/>
              <w:right w:val="nil"/>
            </w:tcBorders>
            <w:vAlign w:val="center"/>
          </w:tcPr>
          <w:p w14:paraId="78D885B5" w14:textId="77777777" w:rsidR="00CB16AA" w:rsidRPr="00666914" w:rsidRDefault="00CB16AA" w:rsidP="00254A5B">
            <w:pPr>
              <w:tabs>
                <w:tab w:val="left" w:pos="6237"/>
              </w:tabs>
              <w:spacing w:after="0"/>
              <w:rPr>
                <w:sz w:val="20"/>
                <w:szCs w:val="20"/>
              </w:rPr>
            </w:pPr>
          </w:p>
        </w:tc>
        <w:tc>
          <w:tcPr>
            <w:tcW w:w="1438" w:type="pct"/>
            <w:tcBorders>
              <w:top w:val="single" w:sz="4" w:space="0" w:color="auto"/>
              <w:left w:val="nil"/>
              <w:right w:val="single" w:sz="4" w:space="0" w:color="auto"/>
            </w:tcBorders>
            <w:vAlign w:val="center"/>
          </w:tcPr>
          <w:p w14:paraId="258E65B8" w14:textId="77777777" w:rsidR="00CB16AA" w:rsidRPr="00666914" w:rsidRDefault="00CB16AA" w:rsidP="00254A5B">
            <w:pPr>
              <w:tabs>
                <w:tab w:val="left" w:pos="6237"/>
              </w:tabs>
              <w:spacing w:after="0"/>
              <w:jc w:val="center"/>
              <w:rPr>
                <w:b/>
                <w:sz w:val="20"/>
                <w:szCs w:val="20"/>
              </w:rPr>
            </w:pPr>
            <w:r w:rsidRPr="00666914">
              <w:rPr>
                <w:b/>
                <w:sz w:val="20"/>
                <w:szCs w:val="20"/>
              </w:rPr>
              <w:t>Opatrenie</w:t>
            </w:r>
          </w:p>
        </w:tc>
        <w:tc>
          <w:tcPr>
            <w:tcW w:w="745" w:type="pct"/>
            <w:tcBorders>
              <w:top w:val="single" w:sz="4" w:space="0" w:color="auto"/>
              <w:left w:val="single" w:sz="4" w:space="0" w:color="auto"/>
              <w:right w:val="single" w:sz="4" w:space="0" w:color="auto"/>
            </w:tcBorders>
            <w:vAlign w:val="center"/>
          </w:tcPr>
          <w:p w14:paraId="62E10C26" w14:textId="77777777" w:rsidR="00CB16AA" w:rsidRPr="00666914" w:rsidRDefault="00CB16AA" w:rsidP="00254A5B">
            <w:pPr>
              <w:tabs>
                <w:tab w:val="left" w:pos="6237"/>
              </w:tabs>
              <w:spacing w:after="0"/>
              <w:jc w:val="center"/>
              <w:rPr>
                <w:b/>
                <w:sz w:val="20"/>
                <w:szCs w:val="20"/>
              </w:rPr>
            </w:pPr>
            <w:r w:rsidRPr="00666914">
              <w:rPr>
                <w:b/>
                <w:sz w:val="20"/>
                <w:szCs w:val="20"/>
              </w:rPr>
              <w:t>Zodpovednosť</w:t>
            </w:r>
          </w:p>
        </w:tc>
        <w:tc>
          <w:tcPr>
            <w:tcW w:w="578" w:type="pct"/>
            <w:tcBorders>
              <w:top w:val="single" w:sz="4" w:space="0" w:color="auto"/>
              <w:left w:val="single" w:sz="4" w:space="0" w:color="auto"/>
              <w:right w:val="single" w:sz="4" w:space="0" w:color="auto"/>
            </w:tcBorders>
            <w:vAlign w:val="center"/>
          </w:tcPr>
          <w:p w14:paraId="6E9BF281" w14:textId="77777777" w:rsidR="00CB16AA" w:rsidRPr="00666914" w:rsidRDefault="00CB16AA" w:rsidP="00254A5B">
            <w:pPr>
              <w:tabs>
                <w:tab w:val="left" w:pos="6237"/>
              </w:tabs>
              <w:spacing w:after="0"/>
              <w:jc w:val="center"/>
              <w:rPr>
                <w:b/>
                <w:sz w:val="20"/>
                <w:szCs w:val="20"/>
              </w:rPr>
            </w:pPr>
            <w:r w:rsidRPr="00666914">
              <w:rPr>
                <w:b/>
                <w:sz w:val="20"/>
                <w:szCs w:val="20"/>
              </w:rPr>
              <w:t>Termín plnenia</w:t>
            </w:r>
          </w:p>
        </w:tc>
        <w:tc>
          <w:tcPr>
            <w:tcW w:w="439" w:type="pct"/>
            <w:tcBorders>
              <w:top w:val="single" w:sz="4" w:space="0" w:color="auto"/>
              <w:left w:val="single" w:sz="4" w:space="0" w:color="auto"/>
              <w:right w:val="single" w:sz="4" w:space="0" w:color="auto"/>
            </w:tcBorders>
            <w:vAlign w:val="center"/>
          </w:tcPr>
          <w:p w14:paraId="6FB343DC" w14:textId="77777777" w:rsidR="00CB16AA" w:rsidRPr="00666914" w:rsidRDefault="00CB16AA" w:rsidP="00254A5B">
            <w:pPr>
              <w:tabs>
                <w:tab w:val="left" w:pos="6237"/>
              </w:tabs>
              <w:spacing w:after="0"/>
              <w:jc w:val="center"/>
              <w:rPr>
                <w:b/>
                <w:sz w:val="20"/>
                <w:szCs w:val="20"/>
              </w:rPr>
            </w:pPr>
            <w:r w:rsidRPr="00666914">
              <w:rPr>
                <w:b/>
                <w:sz w:val="20"/>
                <w:szCs w:val="20"/>
              </w:rPr>
              <w:t>Nový termín</w:t>
            </w:r>
          </w:p>
        </w:tc>
        <w:tc>
          <w:tcPr>
            <w:tcW w:w="396" w:type="pct"/>
            <w:tcBorders>
              <w:top w:val="single" w:sz="4" w:space="0" w:color="auto"/>
              <w:left w:val="single" w:sz="4" w:space="0" w:color="auto"/>
              <w:right w:val="single" w:sz="4" w:space="0" w:color="auto"/>
            </w:tcBorders>
            <w:vAlign w:val="center"/>
          </w:tcPr>
          <w:p w14:paraId="4B3F38A5" w14:textId="77777777" w:rsidR="00CB16AA" w:rsidRPr="00666914" w:rsidRDefault="00CB16AA" w:rsidP="00254A5B">
            <w:pPr>
              <w:tabs>
                <w:tab w:val="left" w:pos="6237"/>
              </w:tabs>
              <w:spacing w:after="0"/>
              <w:jc w:val="center"/>
              <w:rPr>
                <w:b/>
                <w:sz w:val="20"/>
                <w:szCs w:val="20"/>
              </w:rPr>
            </w:pPr>
            <w:r w:rsidRPr="00666914">
              <w:rPr>
                <w:b/>
                <w:sz w:val="20"/>
                <w:szCs w:val="20"/>
              </w:rPr>
              <w:t>1Q</w:t>
            </w:r>
          </w:p>
          <w:p w14:paraId="536CF72B" w14:textId="77777777" w:rsidR="00CB16AA" w:rsidRPr="00666914" w:rsidRDefault="00CB16AA" w:rsidP="00254A5B">
            <w:pPr>
              <w:tabs>
                <w:tab w:val="left" w:pos="6237"/>
              </w:tabs>
              <w:spacing w:after="0"/>
              <w:jc w:val="center"/>
              <w:rPr>
                <w:b/>
                <w:sz w:val="20"/>
                <w:szCs w:val="20"/>
              </w:rPr>
            </w:pPr>
            <w:r w:rsidRPr="00666914">
              <w:rPr>
                <w:b/>
                <w:sz w:val="20"/>
                <w:szCs w:val="20"/>
              </w:rPr>
              <w:t>2019</w:t>
            </w:r>
          </w:p>
        </w:tc>
        <w:tc>
          <w:tcPr>
            <w:tcW w:w="396" w:type="pct"/>
            <w:tcBorders>
              <w:top w:val="single" w:sz="4" w:space="0" w:color="auto"/>
              <w:left w:val="single" w:sz="4" w:space="0" w:color="auto"/>
              <w:bottom w:val="single" w:sz="4" w:space="0" w:color="auto"/>
              <w:right w:val="single" w:sz="4" w:space="0" w:color="auto"/>
            </w:tcBorders>
            <w:vAlign w:val="center"/>
          </w:tcPr>
          <w:p w14:paraId="165315AC" w14:textId="77777777" w:rsidR="00CB16AA" w:rsidRPr="00666914" w:rsidRDefault="00CB16AA" w:rsidP="00254A5B">
            <w:pPr>
              <w:tabs>
                <w:tab w:val="left" w:pos="6237"/>
              </w:tabs>
              <w:spacing w:after="0"/>
              <w:jc w:val="center"/>
              <w:rPr>
                <w:b/>
                <w:sz w:val="20"/>
                <w:szCs w:val="20"/>
              </w:rPr>
            </w:pPr>
            <w:r w:rsidRPr="00666914">
              <w:rPr>
                <w:b/>
                <w:sz w:val="20"/>
                <w:szCs w:val="20"/>
              </w:rPr>
              <w:t>2Q</w:t>
            </w:r>
          </w:p>
          <w:p w14:paraId="0C73344A" w14:textId="0A87AF67" w:rsidR="00CB16AA" w:rsidRPr="00666914" w:rsidRDefault="00CB16AA" w:rsidP="00254A5B">
            <w:pPr>
              <w:tabs>
                <w:tab w:val="left" w:pos="6237"/>
              </w:tabs>
              <w:spacing w:after="0"/>
              <w:jc w:val="center"/>
              <w:rPr>
                <w:b/>
                <w:sz w:val="20"/>
                <w:szCs w:val="20"/>
              </w:rPr>
            </w:pPr>
            <w:r w:rsidRPr="00666914">
              <w:rPr>
                <w:b/>
                <w:sz w:val="20"/>
                <w:szCs w:val="20"/>
              </w:rPr>
              <w:t>2019</w:t>
            </w:r>
          </w:p>
        </w:tc>
        <w:tc>
          <w:tcPr>
            <w:tcW w:w="396" w:type="pct"/>
            <w:tcBorders>
              <w:top w:val="single" w:sz="4" w:space="0" w:color="auto"/>
              <w:left w:val="single" w:sz="4" w:space="0" w:color="auto"/>
              <w:right w:val="single" w:sz="4" w:space="0" w:color="auto"/>
            </w:tcBorders>
            <w:vAlign w:val="center"/>
          </w:tcPr>
          <w:p w14:paraId="3AA9B554" w14:textId="77777777" w:rsidR="00CB16AA" w:rsidRPr="00666914" w:rsidRDefault="00CB16AA" w:rsidP="00254A5B">
            <w:pPr>
              <w:tabs>
                <w:tab w:val="left" w:pos="6237"/>
              </w:tabs>
              <w:spacing w:after="0"/>
              <w:jc w:val="center"/>
              <w:rPr>
                <w:b/>
                <w:sz w:val="20"/>
                <w:szCs w:val="20"/>
              </w:rPr>
            </w:pPr>
            <w:r w:rsidRPr="00666914">
              <w:rPr>
                <w:b/>
                <w:sz w:val="20"/>
                <w:szCs w:val="20"/>
              </w:rPr>
              <w:t>3Q</w:t>
            </w:r>
          </w:p>
          <w:p w14:paraId="1B9E2512" w14:textId="1260AD5B" w:rsidR="00CB16AA" w:rsidRPr="00666914" w:rsidRDefault="00CB16AA" w:rsidP="00254A5B">
            <w:pPr>
              <w:tabs>
                <w:tab w:val="left" w:pos="6237"/>
              </w:tabs>
              <w:spacing w:after="0"/>
              <w:jc w:val="center"/>
              <w:rPr>
                <w:b/>
                <w:sz w:val="20"/>
                <w:szCs w:val="20"/>
              </w:rPr>
            </w:pPr>
            <w:r w:rsidRPr="00666914">
              <w:rPr>
                <w:b/>
                <w:sz w:val="20"/>
                <w:szCs w:val="20"/>
              </w:rPr>
              <w:t>2019</w:t>
            </w:r>
          </w:p>
        </w:tc>
        <w:tc>
          <w:tcPr>
            <w:tcW w:w="396" w:type="pct"/>
            <w:tcBorders>
              <w:top w:val="single" w:sz="4" w:space="0" w:color="auto"/>
              <w:left w:val="single" w:sz="4" w:space="0" w:color="auto"/>
              <w:right w:val="single" w:sz="4" w:space="0" w:color="auto"/>
            </w:tcBorders>
            <w:shd w:val="clear" w:color="auto" w:fill="auto"/>
            <w:vAlign w:val="center"/>
          </w:tcPr>
          <w:p w14:paraId="1D00D6F1" w14:textId="77777777" w:rsidR="00CB16AA" w:rsidRPr="00666914" w:rsidRDefault="00CB16AA" w:rsidP="00254A5B">
            <w:pPr>
              <w:tabs>
                <w:tab w:val="left" w:pos="6237"/>
              </w:tabs>
              <w:spacing w:after="0"/>
              <w:jc w:val="center"/>
              <w:rPr>
                <w:b/>
                <w:sz w:val="20"/>
                <w:szCs w:val="20"/>
              </w:rPr>
            </w:pPr>
            <w:r w:rsidRPr="00666914">
              <w:rPr>
                <w:b/>
                <w:sz w:val="20"/>
                <w:szCs w:val="20"/>
              </w:rPr>
              <w:t>4Q</w:t>
            </w:r>
          </w:p>
          <w:p w14:paraId="4442A641" w14:textId="21E7329C" w:rsidR="00CB16AA" w:rsidRPr="00666914" w:rsidRDefault="00CB16AA" w:rsidP="00254A5B">
            <w:pPr>
              <w:tabs>
                <w:tab w:val="left" w:pos="6237"/>
              </w:tabs>
              <w:spacing w:after="0"/>
              <w:jc w:val="center"/>
              <w:rPr>
                <w:b/>
                <w:sz w:val="20"/>
                <w:szCs w:val="20"/>
              </w:rPr>
            </w:pPr>
            <w:r w:rsidRPr="00666914">
              <w:rPr>
                <w:b/>
                <w:sz w:val="20"/>
                <w:szCs w:val="20"/>
              </w:rPr>
              <w:t>2019</w:t>
            </w:r>
          </w:p>
        </w:tc>
      </w:tr>
      <w:tr w:rsidR="00CB16AA" w:rsidRPr="00666914" w14:paraId="05C9D522" w14:textId="77777777" w:rsidTr="00254A5B">
        <w:tc>
          <w:tcPr>
            <w:tcW w:w="218" w:type="pct"/>
            <w:tcBorders>
              <w:top w:val="single" w:sz="4" w:space="0" w:color="auto"/>
            </w:tcBorders>
            <w:vAlign w:val="center"/>
          </w:tcPr>
          <w:p w14:paraId="742C3E79"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15</w:t>
            </w:r>
          </w:p>
        </w:tc>
        <w:tc>
          <w:tcPr>
            <w:tcW w:w="1438" w:type="pct"/>
            <w:tcBorders>
              <w:top w:val="single" w:sz="4" w:space="0" w:color="auto"/>
            </w:tcBorders>
            <w:vAlign w:val="center"/>
          </w:tcPr>
          <w:p w14:paraId="60659D98"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Detailne analyzovať komplexné dopady prípadnej eliminácie 234 km tratí s nízkym využitím bez osobnej dopravy a na základe výsledkov upresniť odhad úspory 6 mil. eur ročne s potenciálnymi jednorazovými nákladmi vo výške maximálne 70 mil. Eur</w:t>
            </w:r>
          </w:p>
        </w:tc>
        <w:tc>
          <w:tcPr>
            <w:tcW w:w="745" w:type="pct"/>
            <w:tcBorders>
              <w:top w:val="single" w:sz="4" w:space="0" w:color="auto"/>
            </w:tcBorders>
            <w:vAlign w:val="center"/>
          </w:tcPr>
          <w:p w14:paraId="355BB0F4"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MDV SR / MF SR </w:t>
            </w:r>
          </w:p>
          <w:p w14:paraId="19A0473A"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SŽDaD </w:t>
            </w:r>
          </w:p>
        </w:tc>
        <w:tc>
          <w:tcPr>
            <w:tcW w:w="578" w:type="pct"/>
            <w:tcBorders>
              <w:top w:val="single" w:sz="4" w:space="0" w:color="auto"/>
            </w:tcBorders>
            <w:shd w:val="clear" w:color="auto" w:fill="auto"/>
            <w:vAlign w:val="center"/>
          </w:tcPr>
          <w:p w14:paraId="34D93398" w14:textId="77777777" w:rsidR="00CB16AA" w:rsidRPr="00666914" w:rsidRDefault="00CB16AA" w:rsidP="00985E7A">
            <w:pPr>
              <w:tabs>
                <w:tab w:val="left" w:pos="6237"/>
              </w:tabs>
              <w:jc w:val="center"/>
              <w:rPr>
                <w:sz w:val="20"/>
                <w:szCs w:val="20"/>
              </w:rPr>
            </w:pPr>
            <w:r w:rsidRPr="00666914">
              <w:rPr>
                <w:rFonts w:eastAsia="Times New Roman" w:cs="Calibri"/>
                <w:color w:val="000000"/>
                <w:sz w:val="20"/>
                <w:szCs w:val="20"/>
                <w:lang w:eastAsia="sk-SK"/>
              </w:rPr>
              <w:t>01/2018</w:t>
            </w:r>
          </w:p>
        </w:tc>
        <w:tc>
          <w:tcPr>
            <w:tcW w:w="439" w:type="pct"/>
            <w:tcBorders>
              <w:top w:val="single" w:sz="4" w:space="0" w:color="auto"/>
            </w:tcBorders>
            <w:vAlign w:val="center"/>
          </w:tcPr>
          <w:p w14:paraId="0B9D188D"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03/2019</w:t>
            </w:r>
          </w:p>
        </w:tc>
        <w:tc>
          <w:tcPr>
            <w:tcW w:w="396" w:type="pct"/>
            <w:tcBorders>
              <w:top w:val="single" w:sz="4" w:space="0" w:color="auto"/>
            </w:tcBorders>
            <w:shd w:val="clear" w:color="auto" w:fill="FF0000"/>
            <w:vAlign w:val="center"/>
          </w:tcPr>
          <w:p w14:paraId="24C393E5" w14:textId="77777777" w:rsidR="00CB16AA" w:rsidRPr="00666914" w:rsidRDefault="00CB16AA" w:rsidP="00985E7A">
            <w:pPr>
              <w:tabs>
                <w:tab w:val="left" w:pos="6237"/>
              </w:tabs>
              <w:rPr>
                <w:sz w:val="20"/>
                <w:szCs w:val="20"/>
              </w:rPr>
            </w:pPr>
          </w:p>
        </w:tc>
        <w:tc>
          <w:tcPr>
            <w:tcW w:w="396" w:type="pct"/>
            <w:tcBorders>
              <w:top w:val="single" w:sz="4" w:space="0" w:color="auto"/>
              <w:bottom w:val="single" w:sz="4" w:space="0" w:color="auto"/>
            </w:tcBorders>
            <w:shd w:val="clear" w:color="auto" w:fill="FF0000"/>
            <w:vAlign w:val="center"/>
          </w:tcPr>
          <w:p w14:paraId="7E0D7448" w14:textId="77777777" w:rsidR="00CB16AA" w:rsidRPr="00666914" w:rsidRDefault="00CB16AA" w:rsidP="00985E7A">
            <w:pPr>
              <w:tabs>
                <w:tab w:val="left" w:pos="6237"/>
              </w:tabs>
              <w:rPr>
                <w:sz w:val="20"/>
                <w:szCs w:val="20"/>
              </w:rPr>
            </w:pPr>
          </w:p>
        </w:tc>
        <w:tc>
          <w:tcPr>
            <w:tcW w:w="396" w:type="pct"/>
            <w:tcBorders>
              <w:top w:val="single" w:sz="4" w:space="0" w:color="auto"/>
            </w:tcBorders>
            <w:shd w:val="clear" w:color="auto" w:fill="FF0000"/>
            <w:vAlign w:val="center"/>
          </w:tcPr>
          <w:p w14:paraId="6532E1EB" w14:textId="77777777" w:rsidR="00CB16AA" w:rsidRPr="00666914" w:rsidRDefault="00CB16AA" w:rsidP="00985E7A">
            <w:pPr>
              <w:tabs>
                <w:tab w:val="left" w:pos="6237"/>
              </w:tabs>
              <w:rPr>
                <w:sz w:val="20"/>
                <w:szCs w:val="20"/>
              </w:rPr>
            </w:pPr>
          </w:p>
        </w:tc>
        <w:tc>
          <w:tcPr>
            <w:tcW w:w="396" w:type="pct"/>
            <w:tcBorders>
              <w:top w:val="single" w:sz="4" w:space="0" w:color="auto"/>
            </w:tcBorders>
            <w:shd w:val="clear" w:color="auto" w:fill="FF0000"/>
            <w:vAlign w:val="center"/>
          </w:tcPr>
          <w:p w14:paraId="6C11E6A2" w14:textId="77777777" w:rsidR="00CB16AA" w:rsidRPr="00666914" w:rsidRDefault="00CB16AA" w:rsidP="00985E7A">
            <w:pPr>
              <w:tabs>
                <w:tab w:val="left" w:pos="6237"/>
              </w:tabs>
              <w:rPr>
                <w:sz w:val="20"/>
                <w:szCs w:val="20"/>
                <w:highlight w:val="yellow"/>
              </w:rPr>
            </w:pPr>
          </w:p>
        </w:tc>
      </w:tr>
      <w:tr w:rsidR="00CB16AA" w:rsidRPr="00666914" w14:paraId="47BF59B1" w14:textId="77777777" w:rsidTr="00254A5B">
        <w:tc>
          <w:tcPr>
            <w:tcW w:w="218" w:type="pct"/>
            <w:vAlign w:val="center"/>
          </w:tcPr>
          <w:p w14:paraId="2B022BA1"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16</w:t>
            </w:r>
          </w:p>
        </w:tc>
        <w:tc>
          <w:tcPr>
            <w:tcW w:w="1438" w:type="pct"/>
            <w:vAlign w:val="center"/>
          </w:tcPr>
          <w:p w14:paraId="0D5094C3" w14:textId="77777777" w:rsidR="00CB16AA" w:rsidRPr="00666914" w:rsidRDefault="00CB16AA" w:rsidP="00985E7A">
            <w:pPr>
              <w:tabs>
                <w:tab w:val="left" w:pos="6237"/>
              </w:tabs>
              <w:rPr>
                <w:rFonts w:eastAsia="Times New Roman" w:cs="Calibri"/>
                <w:color w:val="000000"/>
                <w:sz w:val="20"/>
                <w:szCs w:val="20"/>
                <w:lang w:eastAsia="sk-SK"/>
              </w:rPr>
            </w:pPr>
            <w:r w:rsidRPr="00666914">
              <w:rPr>
                <w:rFonts w:eastAsia="Times New Roman" w:cs="Calibri"/>
                <w:color w:val="000000"/>
                <w:sz w:val="20"/>
                <w:szCs w:val="20"/>
                <w:lang w:eastAsia="sk-SK"/>
              </w:rPr>
              <w:t>Detailne analyzovať komplexné dopady zastavenia dopravy a rozhodnutia o prípadnom zrušení 91 km tratí s minimálnou osobnou dopravou</w:t>
            </w:r>
          </w:p>
        </w:tc>
        <w:tc>
          <w:tcPr>
            <w:tcW w:w="745" w:type="pct"/>
            <w:vAlign w:val="center"/>
          </w:tcPr>
          <w:p w14:paraId="6767A513"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MDV SR / MF SR </w:t>
            </w:r>
          </w:p>
          <w:p w14:paraId="0E34B880"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SŽDaD </w:t>
            </w:r>
          </w:p>
        </w:tc>
        <w:tc>
          <w:tcPr>
            <w:tcW w:w="578" w:type="pct"/>
            <w:shd w:val="clear" w:color="auto" w:fill="auto"/>
            <w:vAlign w:val="center"/>
          </w:tcPr>
          <w:p w14:paraId="1796BDE0" w14:textId="77777777" w:rsidR="00CB16AA" w:rsidRPr="00666914" w:rsidRDefault="00CB16AA" w:rsidP="00985E7A">
            <w:pPr>
              <w:tabs>
                <w:tab w:val="left" w:pos="6237"/>
              </w:tabs>
              <w:jc w:val="center"/>
              <w:rPr>
                <w:sz w:val="20"/>
                <w:szCs w:val="20"/>
              </w:rPr>
            </w:pPr>
            <w:r w:rsidRPr="00666914">
              <w:rPr>
                <w:rFonts w:eastAsia="Times New Roman" w:cs="Calibri"/>
                <w:color w:val="000000"/>
                <w:sz w:val="20"/>
                <w:szCs w:val="20"/>
                <w:lang w:eastAsia="sk-SK"/>
              </w:rPr>
              <w:t>01/2018</w:t>
            </w:r>
          </w:p>
        </w:tc>
        <w:tc>
          <w:tcPr>
            <w:tcW w:w="439" w:type="pct"/>
            <w:vAlign w:val="center"/>
          </w:tcPr>
          <w:p w14:paraId="0CFEF6C5"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03/2019</w:t>
            </w:r>
          </w:p>
        </w:tc>
        <w:tc>
          <w:tcPr>
            <w:tcW w:w="396" w:type="pct"/>
            <w:shd w:val="clear" w:color="auto" w:fill="FF0000"/>
            <w:vAlign w:val="center"/>
          </w:tcPr>
          <w:p w14:paraId="2C4DA67B" w14:textId="77777777" w:rsidR="00CB16AA" w:rsidRPr="00666914" w:rsidRDefault="00CB16AA" w:rsidP="00985E7A">
            <w:pPr>
              <w:tabs>
                <w:tab w:val="left" w:pos="6237"/>
              </w:tabs>
              <w:rPr>
                <w:sz w:val="20"/>
                <w:szCs w:val="20"/>
              </w:rPr>
            </w:pPr>
          </w:p>
        </w:tc>
        <w:tc>
          <w:tcPr>
            <w:tcW w:w="396" w:type="pct"/>
            <w:tcBorders>
              <w:top w:val="single" w:sz="4" w:space="0" w:color="auto"/>
            </w:tcBorders>
            <w:shd w:val="clear" w:color="auto" w:fill="FF0000"/>
            <w:vAlign w:val="center"/>
          </w:tcPr>
          <w:p w14:paraId="39F87807" w14:textId="77777777" w:rsidR="00CB16AA" w:rsidRPr="00666914" w:rsidRDefault="00CB16AA" w:rsidP="00985E7A">
            <w:pPr>
              <w:tabs>
                <w:tab w:val="left" w:pos="6237"/>
              </w:tabs>
              <w:rPr>
                <w:sz w:val="20"/>
                <w:szCs w:val="20"/>
              </w:rPr>
            </w:pPr>
          </w:p>
        </w:tc>
        <w:tc>
          <w:tcPr>
            <w:tcW w:w="396" w:type="pct"/>
            <w:shd w:val="clear" w:color="auto" w:fill="FF0000"/>
            <w:vAlign w:val="center"/>
          </w:tcPr>
          <w:p w14:paraId="0C2178FE" w14:textId="77777777" w:rsidR="00CB16AA" w:rsidRPr="00666914" w:rsidRDefault="00CB16AA" w:rsidP="00985E7A">
            <w:pPr>
              <w:tabs>
                <w:tab w:val="left" w:pos="6237"/>
              </w:tabs>
              <w:rPr>
                <w:sz w:val="20"/>
                <w:szCs w:val="20"/>
              </w:rPr>
            </w:pPr>
          </w:p>
        </w:tc>
        <w:tc>
          <w:tcPr>
            <w:tcW w:w="396" w:type="pct"/>
            <w:shd w:val="clear" w:color="auto" w:fill="FF0000"/>
            <w:vAlign w:val="center"/>
          </w:tcPr>
          <w:p w14:paraId="7B2B5095" w14:textId="77777777" w:rsidR="00CB16AA" w:rsidRPr="00666914" w:rsidRDefault="00CB16AA" w:rsidP="00985E7A">
            <w:pPr>
              <w:tabs>
                <w:tab w:val="left" w:pos="6237"/>
              </w:tabs>
              <w:rPr>
                <w:sz w:val="20"/>
                <w:szCs w:val="20"/>
                <w:highlight w:val="yellow"/>
              </w:rPr>
            </w:pPr>
          </w:p>
        </w:tc>
      </w:tr>
      <w:tr w:rsidR="00CB16AA" w:rsidRPr="00666914" w14:paraId="3E47C43E" w14:textId="77777777" w:rsidTr="00254A5B">
        <w:tc>
          <w:tcPr>
            <w:tcW w:w="218" w:type="pct"/>
            <w:vAlign w:val="center"/>
          </w:tcPr>
          <w:p w14:paraId="12E0B4FE"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17</w:t>
            </w:r>
          </w:p>
        </w:tc>
        <w:tc>
          <w:tcPr>
            <w:tcW w:w="1438" w:type="pct"/>
            <w:vAlign w:val="center"/>
          </w:tcPr>
          <w:p w14:paraId="518C3802" w14:textId="77777777" w:rsidR="00CB16AA" w:rsidRPr="00666914" w:rsidRDefault="00CB16AA" w:rsidP="00985E7A">
            <w:pPr>
              <w:tabs>
                <w:tab w:val="left" w:pos="6237"/>
              </w:tabs>
              <w:rPr>
                <w:rFonts w:eastAsia="Times New Roman" w:cs="Calibri"/>
                <w:color w:val="000000"/>
                <w:sz w:val="20"/>
                <w:szCs w:val="20"/>
                <w:lang w:eastAsia="sk-SK"/>
              </w:rPr>
            </w:pPr>
            <w:r w:rsidRPr="00666914">
              <w:rPr>
                <w:rFonts w:eastAsia="Times New Roman" w:cs="Calibri"/>
                <w:color w:val="000000"/>
                <w:sz w:val="20"/>
                <w:szCs w:val="20"/>
                <w:lang w:eastAsia="sk-SK"/>
              </w:rPr>
              <w:t>Všetky budúce investičné projekty, ktorých predpokladaný investičný náklad je vyšší ako 40 mil. eur, budú vo fáze prípravy štúdie realizovateľnosti (ak sa spracováva) podrobené analýze nákladov a prínosov aj zo strany MF SR</w:t>
            </w:r>
          </w:p>
        </w:tc>
        <w:tc>
          <w:tcPr>
            <w:tcW w:w="745" w:type="pct"/>
            <w:vAlign w:val="center"/>
          </w:tcPr>
          <w:p w14:paraId="0B4D865D"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MF SR </w:t>
            </w:r>
          </w:p>
          <w:p w14:paraId="382844E6"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SŽDaD </w:t>
            </w:r>
          </w:p>
        </w:tc>
        <w:tc>
          <w:tcPr>
            <w:tcW w:w="578" w:type="pct"/>
            <w:shd w:val="clear" w:color="auto" w:fill="auto"/>
            <w:vAlign w:val="center"/>
          </w:tcPr>
          <w:p w14:paraId="7BE7FE59" w14:textId="77777777" w:rsidR="00CB16AA" w:rsidRPr="00666914" w:rsidRDefault="00CB16AA" w:rsidP="00985E7A">
            <w:pPr>
              <w:tabs>
                <w:tab w:val="left" w:pos="6237"/>
              </w:tabs>
              <w:jc w:val="center"/>
              <w:rPr>
                <w:sz w:val="20"/>
                <w:szCs w:val="20"/>
              </w:rPr>
            </w:pPr>
            <w:r w:rsidRPr="00666914">
              <w:rPr>
                <w:rFonts w:eastAsia="Times New Roman" w:cs="Calibri"/>
                <w:color w:val="000000"/>
                <w:sz w:val="20"/>
                <w:szCs w:val="20"/>
                <w:lang w:eastAsia="sk-SK"/>
              </w:rPr>
              <w:t>priebežne</w:t>
            </w:r>
          </w:p>
        </w:tc>
        <w:tc>
          <w:tcPr>
            <w:tcW w:w="439" w:type="pct"/>
            <w:vAlign w:val="center"/>
          </w:tcPr>
          <w:p w14:paraId="0E159186"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w:t>
            </w:r>
          </w:p>
        </w:tc>
        <w:tc>
          <w:tcPr>
            <w:tcW w:w="396" w:type="pct"/>
            <w:shd w:val="clear" w:color="auto" w:fill="92D050"/>
            <w:vAlign w:val="center"/>
          </w:tcPr>
          <w:p w14:paraId="6C7C7873" w14:textId="77777777" w:rsidR="00CB16AA" w:rsidRPr="00666914" w:rsidRDefault="00CB16AA" w:rsidP="00985E7A">
            <w:pPr>
              <w:tabs>
                <w:tab w:val="left" w:pos="6237"/>
              </w:tabs>
              <w:rPr>
                <w:sz w:val="20"/>
                <w:szCs w:val="20"/>
              </w:rPr>
            </w:pPr>
          </w:p>
        </w:tc>
        <w:tc>
          <w:tcPr>
            <w:tcW w:w="396" w:type="pct"/>
            <w:shd w:val="clear" w:color="auto" w:fill="92D050"/>
            <w:vAlign w:val="center"/>
          </w:tcPr>
          <w:p w14:paraId="7E25CB82" w14:textId="77777777" w:rsidR="00CB16AA" w:rsidRPr="00666914" w:rsidRDefault="00CB16AA" w:rsidP="00985E7A">
            <w:pPr>
              <w:tabs>
                <w:tab w:val="left" w:pos="6237"/>
              </w:tabs>
              <w:rPr>
                <w:sz w:val="20"/>
                <w:szCs w:val="20"/>
              </w:rPr>
            </w:pPr>
          </w:p>
        </w:tc>
        <w:tc>
          <w:tcPr>
            <w:tcW w:w="396" w:type="pct"/>
            <w:shd w:val="clear" w:color="auto" w:fill="AEAAAA" w:themeFill="background2" w:themeFillShade="BF"/>
            <w:vAlign w:val="center"/>
          </w:tcPr>
          <w:p w14:paraId="0AFD449F" w14:textId="77777777" w:rsidR="00CB16AA" w:rsidRPr="00666914" w:rsidRDefault="00CB16AA" w:rsidP="00985E7A">
            <w:pPr>
              <w:tabs>
                <w:tab w:val="left" w:pos="6237"/>
              </w:tabs>
              <w:rPr>
                <w:sz w:val="20"/>
                <w:szCs w:val="20"/>
              </w:rPr>
            </w:pPr>
          </w:p>
        </w:tc>
        <w:tc>
          <w:tcPr>
            <w:tcW w:w="396" w:type="pct"/>
            <w:shd w:val="clear" w:color="auto" w:fill="A6A6A6" w:themeFill="background1" w:themeFillShade="A6"/>
            <w:vAlign w:val="center"/>
          </w:tcPr>
          <w:p w14:paraId="313E4E1F" w14:textId="77777777" w:rsidR="00CB16AA" w:rsidRPr="00666914" w:rsidRDefault="00CB16AA" w:rsidP="00985E7A">
            <w:pPr>
              <w:tabs>
                <w:tab w:val="left" w:pos="6237"/>
              </w:tabs>
              <w:rPr>
                <w:sz w:val="20"/>
                <w:szCs w:val="20"/>
                <w:highlight w:val="yellow"/>
              </w:rPr>
            </w:pPr>
          </w:p>
        </w:tc>
      </w:tr>
      <w:tr w:rsidR="00CB16AA" w:rsidRPr="00666914" w14:paraId="40B335B9" w14:textId="77777777" w:rsidTr="00254A5B">
        <w:tc>
          <w:tcPr>
            <w:tcW w:w="218" w:type="pct"/>
            <w:vAlign w:val="center"/>
          </w:tcPr>
          <w:p w14:paraId="62405537"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18</w:t>
            </w:r>
          </w:p>
        </w:tc>
        <w:tc>
          <w:tcPr>
            <w:tcW w:w="1438" w:type="pct"/>
            <w:vAlign w:val="center"/>
          </w:tcPr>
          <w:p w14:paraId="5911FEE3" w14:textId="77777777" w:rsidR="00CB16AA" w:rsidRPr="00666914" w:rsidRDefault="00CB16AA" w:rsidP="00985E7A">
            <w:pPr>
              <w:tabs>
                <w:tab w:val="left" w:pos="6237"/>
              </w:tabs>
              <w:rPr>
                <w:rFonts w:eastAsia="Times New Roman" w:cs="Calibri"/>
                <w:color w:val="000000"/>
                <w:sz w:val="20"/>
                <w:szCs w:val="20"/>
                <w:lang w:eastAsia="sk-SK"/>
              </w:rPr>
            </w:pPr>
            <w:r w:rsidRPr="00666914">
              <w:rPr>
                <w:rFonts w:eastAsia="Times New Roman" w:cs="Calibri"/>
                <w:color w:val="000000"/>
                <w:sz w:val="20"/>
                <w:szCs w:val="20"/>
                <w:lang w:eastAsia="sk-SK"/>
              </w:rPr>
              <w:t>Prioritné projekty železničnej infraštruktúry pred verejným obstarávaním na dodávateľa stavebných prác (tabuľka 20 RVD) budú hodnotené aj zo strany MF SR</w:t>
            </w:r>
          </w:p>
        </w:tc>
        <w:tc>
          <w:tcPr>
            <w:tcW w:w="745" w:type="pct"/>
            <w:vAlign w:val="center"/>
          </w:tcPr>
          <w:p w14:paraId="226C377D"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MF SR </w:t>
            </w:r>
          </w:p>
          <w:p w14:paraId="2C9974E7"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SŽDaD</w:t>
            </w:r>
          </w:p>
        </w:tc>
        <w:tc>
          <w:tcPr>
            <w:tcW w:w="578" w:type="pct"/>
            <w:shd w:val="clear" w:color="auto" w:fill="auto"/>
            <w:vAlign w:val="center"/>
          </w:tcPr>
          <w:p w14:paraId="16268821" w14:textId="77777777" w:rsidR="00CB16AA" w:rsidRPr="00666914" w:rsidRDefault="00CB16AA" w:rsidP="00985E7A">
            <w:pPr>
              <w:tabs>
                <w:tab w:val="left" w:pos="6237"/>
              </w:tabs>
              <w:jc w:val="center"/>
              <w:rPr>
                <w:sz w:val="20"/>
                <w:szCs w:val="20"/>
              </w:rPr>
            </w:pPr>
            <w:r w:rsidRPr="00666914">
              <w:rPr>
                <w:rFonts w:eastAsia="Times New Roman" w:cs="Calibri"/>
                <w:color w:val="000000"/>
                <w:sz w:val="20"/>
                <w:szCs w:val="20"/>
                <w:lang w:eastAsia="sk-SK"/>
              </w:rPr>
              <w:t>priebežne</w:t>
            </w:r>
          </w:p>
        </w:tc>
        <w:tc>
          <w:tcPr>
            <w:tcW w:w="439" w:type="pct"/>
            <w:vAlign w:val="center"/>
          </w:tcPr>
          <w:p w14:paraId="5F411508"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w:t>
            </w:r>
          </w:p>
        </w:tc>
        <w:tc>
          <w:tcPr>
            <w:tcW w:w="396" w:type="pct"/>
            <w:shd w:val="clear" w:color="auto" w:fill="A6A6A6" w:themeFill="background1" w:themeFillShade="A6"/>
            <w:vAlign w:val="center"/>
          </w:tcPr>
          <w:p w14:paraId="5ED0B2D7" w14:textId="77777777" w:rsidR="00CB16AA" w:rsidRPr="00666914" w:rsidRDefault="00CB16AA" w:rsidP="00985E7A">
            <w:pPr>
              <w:tabs>
                <w:tab w:val="left" w:pos="6237"/>
              </w:tabs>
              <w:rPr>
                <w:sz w:val="20"/>
                <w:szCs w:val="20"/>
              </w:rPr>
            </w:pPr>
          </w:p>
        </w:tc>
        <w:tc>
          <w:tcPr>
            <w:tcW w:w="396" w:type="pct"/>
            <w:shd w:val="clear" w:color="auto" w:fill="92D050"/>
            <w:vAlign w:val="center"/>
          </w:tcPr>
          <w:p w14:paraId="0769C145" w14:textId="77777777" w:rsidR="00CB16AA" w:rsidRPr="00666914" w:rsidRDefault="00CB16AA" w:rsidP="00985E7A">
            <w:pPr>
              <w:tabs>
                <w:tab w:val="left" w:pos="6237"/>
              </w:tabs>
              <w:rPr>
                <w:sz w:val="20"/>
                <w:szCs w:val="20"/>
              </w:rPr>
            </w:pPr>
          </w:p>
        </w:tc>
        <w:tc>
          <w:tcPr>
            <w:tcW w:w="396" w:type="pct"/>
            <w:shd w:val="clear" w:color="auto" w:fill="AEAAAA" w:themeFill="background2" w:themeFillShade="BF"/>
            <w:vAlign w:val="center"/>
          </w:tcPr>
          <w:p w14:paraId="7F281B66" w14:textId="77777777" w:rsidR="00CB16AA" w:rsidRPr="00666914" w:rsidRDefault="00CB16AA" w:rsidP="00985E7A">
            <w:pPr>
              <w:tabs>
                <w:tab w:val="left" w:pos="6237"/>
              </w:tabs>
              <w:rPr>
                <w:sz w:val="20"/>
                <w:szCs w:val="20"/>
              </w:rPr>
            </w:pPr>
          </w:p>
        </w:tc>
        <w:tc>
          <w:tcPr>
            <w:tcW w:w="396" w:type="pct"/>
            <w:shd w:val="clear" w:color="auto" w:fill="A6A6A6" w:themeFill="background1" w:themeFillShade="A6"/>
            <w:vAlign w:val="center"/>
          </w:tcPr>
          <w:p w14:paraId="40B0261E" w14:textId="77777777" w:rsidR="00CB16AA" w:rsidRPr="00666914" w:rsidRDefault="00CB16AA" w:rsidP="00985E7A">
            <w:pPr>
              <w:tabs>
                <w:tab w:val="left" w:pos="6237"/>
              </w:tabs>
              <w:rPr>
                <w:sz w:val="20"/>
                <w:szCs w:val="20"/>
                <w:highlight w:val="yellow"/>
              </w:rPr>
            </w:pPr>
          </w:p>
        </w:tc>
      </w:tr>
      <w:tr w:rsidR="00CB16AA" w:rsidRPr="00666914" w14:paraId="3BB83B8E" w14:textId="77777777" w:rsidTr="00254A5B">
        <w:tc>
          <w:tcPr>
            <w:tcW w:w="218" w:type="pct"/>
            <w:vAlign w:val="center"/>
          </w:tcPr>
          <w:p w14:paraId="3620D878"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19</w:t>
            </w:r>
          </w:p>
        </w:tc>
        <w:tc>
          <w:tcPr>
            <w:tcW w:w="1438" w:type="pct"/>
            <w:vAlign w:val="center"/>
          </w:tcPr>
          <w:p w14:paraId="251D3A67" w14:textId="77777777" w:rsidR="00CB16AA" w:rsidRPr="00666914" w:rsidRDefault="00CB16AA" w:rsidP="00985E7A">
            <w:pPr>
              <w:tabs>
                <w:tab w:val="left" w:pos="6237"/>
              </w:tabs>
              <w:rPr>
                <w:rFonts w:eastAsia="Times New Roman" w:cs="Calibri"/>
                <w:color w:val="000000"/>
                <w:sz w:val="20"/>
                <w:szCs w:val="20"/>
                <w:lang w:eastAsia="sk-SK"/>
              </w:rPr>
            </w:pPr>
            <w:r w:rsidRPr="00666914">
              <w:rPr>
                <w:rFonts w:eastAsia="Times New Roman" w:cs="Calibri"/>
                <w:color w:val="000000"/>
                <w:sz w:val="20"/>
                <w:szCs w:val="20"/>
                <w:lang w:eastAsia="sk-SK"/>
              </w:rPr>
              <w:t>Optimalizovať počet zamestnancov ŽSR v súvislosti s modernizáciou, znižovaním rozsahu prvkov železničnej infraštruktúry a optimalizáciou činností</w:t>
            </w:r>
          </w:p>
        </w:tc>
        <w:tc>
          <w:tcPr>
            <w:tcW w:w="745" w:type="pct"/>
            <w:vAlign w:val="center"/>
          </w:tcPr>
          <w:p w14:paraId="6D564DD8"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MDV SR </w:t>
            </w:r>
          </w:p>
          <w:p w14:paraId="22F53BCD"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SŽDaD </w:t>
            </w:r>
          </w:p>
        </w:tc>
        <w:tc>
          <w:tcPr>
            <w:tcW w:w="578" w:type="pct"/>
            <w:shd w:val="clear" w:color="auto" w:fill="auto"/>
            <w:vAlign w:val="center"/>
          </w:tcPr>
          <w:p w14:paraId="3503E357" w14:textId="77777777" w:rsidR="00CB16AA" w:rsidRPr="00666914" w:rsidRDefault="00CB16AA" w:rsidP="00985E7A">
            <w:pPr>
              <w:tabs>
                <w:tab w:val="left" w:pos="6237"/>
              </w:tabs>
              <w:jc w:val="center"/>
              <w:rPr>
                <w:sz w:val="20"/>
                <w:szCs w:val="20"/>
              </w:rPr>
            </w:pPr>
            <w:r w:rsidRPr="00666914">
              <w:rPr>
                <w:rFonts w:eastAsia="Times New Roman" w:cs="Calibri"/>
                <w:color w:val="000000"/>
                <w:sz w:val="20"/>
                <w:szCs w:val="20"/>
                <w:lang w:eastAsia="sk-SK"/>
              </w:rPr>
              <w:t>priebežne</w:t>
            </w:r>
          </w:p>
        </w:tc>
        <w:tc>
          <w:tcPr>
            <w:tcW w:w="439" w:type="pct"/>
            <w:vAlign w:val="center"/>
          </w:tcPr>
          <w:p w14:paraId="71355F76"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w:t>
            </w:r>
          </w:p>
        </w:tc>
        <w:tc>
          <w:tcPr>
            <w:tcW w:w="396" w:type="pct"/>
            <w:shd w:val="clear" w:color="auto" w:fill="A6A6A6" w:themeFill="background1" w:themeFillShade="A6"/>
            <w:vAlign w:val="center"/>
          </w:tcPr>
          <w:p w14:paraId="279C306C" w14:textId="77777777" w:rsidR="00CB16AA" w:rsidRPr="00666914" w:rsidRDefault="00CB16AA" w:rsidP="00985E7A">
            <w:pPr>
              <w:tabs>
                <w:tab w:val="left" w:pos="6237"/>
              </w:tabs>
              <w:rPr>
                <w:sz w:val="20"/>
                <w:szCs w:val="20"/>
              </w:rPr>
            </w:pPr>
          </w:p>
        </w:tc>
        <w:tc>
          <w:tcPr>
            <w:tcW w:w="396" w:type="pct"/>
            <w:shd w:val="clear" w:color="auto" w:fill="FFC000"/>
            <w:vAlign w:val="center"/>
          </w:tcPr>
          <w:p w14:paraId="2DFA7122" w14:textId="77777777" w:rsidR="00CB16AA" w:rsidRPr="00666914" w:rsidRDefault="00CB16AA" w:rsidP="00985E7A">
            <w:pPr>
              <w:tabs>
                <w:tab w:val="left" w:pos="6237"/>
              </w:tabs>
              <w:rPr>
                <w:sz w:val="20"/>
                <w:szCs w:val="20"/>
              </w:rPr>
            </w:pPr>
          </w:p>
        </w:tc>
        <w:tc>
          <w:tcPr>
            <w:tcW w:w="396" w:type="pct"/>
            <w:shd w:val="clear" w:color="auto" w:fill="FFC000"/>
            <w:vAlign w:val="center"/>
          </w:tcPr>
          <w:p w14:paraId="7BD2ED48" w14:textId="77777777" w:rsidR="00CB16AA" w:rsidRPr="00666914" w:rsidRDefault="00CB16AA" w:rsidP="00985E7A">
            <w:pPr>
              <w:tabs>
                <w:tab w:val="left" w:pos="6237"/>
              </w:tabs>
              <w:rPr>
                <w:sz w:val="20"/>
                <w:szCs w:val="20"/>
              </w:rPr>
            </w:pPr>
          </w:p>
        </w:tc>
        <w:tc>
          <w:tcPr>
            <w:tcW w:w="396" w:type="pct"/>
            <w:shd w:val="clear" w:color="auto" w:fill="FF0000"/>
            <w:vAlign w:val="center"/>
          </w:tcPr>
          <w:p w14:paraId="65E5CB61" w14:textId="77777777" w:rsidR="00CB16AA" w:rsidRPr="00666914" w:rsidRDefault="00CB16AA" w:rsidP="00985E7A">
            <w:pPr>
              <w:tabs>
                <w:tab w:val="left" w:pos="6237"/>
              </w:tabs>
              <w:rPr>
                <w:sz w:val="20"/>
                <w:szCs w:val="20"/>
                <w:highlight w:val="yellow"/>
              </w:rPr>
            </w:pPr>
          </w:p>
        </w:tc>
      </w:tr>
      <w:tr w:rsidR="00CB16AA" w:rsidRPr="00666914" w14:paraId="5C2F4E23" w14:textId="77777777" w:rsidTr="00254A5B">
        <w:tc>
          <w:tcPr>
            <w:tcW w:w="218" w:type="pct"/>
            <w:vAlign w:val="center"/>
          </w:tcPr>
          <w:p w14:paraId="25D17EF8"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20</w:t>
            </w:r>
          </w:p>
        </w:tc>
        <w:tc>
          <w:tcPr>
            <w:tcW w:w="1438" w:type="pct"/>
            <w:vAlign w:val="center"/>
          </w:tcPr>
          <w:p w14:paraId="7100B566" w14:textId="77777777" w:rsidR="00CB16AA" w:rsidRPr="00666914" w:rsidRDefault="00CB16AA" w:rsidP="00985E7A">
            <w:pPr>
              <w:tabs>
                <w:tab w:val="left" w:pos="6237"/>
              </w:tabs>
              <w:rPr>
                <w:rFonts w:eastAsia="Times New Roman" w:cs="Calibri"/>
                <w:color w:val="000000"/>
                <w:sz w:val="20"/>
                <w:szCs w:val="20"/>
                <w:lang w:eastAsia="sk-SK"/>
              </w:rPr>
            </w:pPr>
            <w:r w:rsidRPr="00666914">
              <w:rPr>
                <w:rFonts w:eastAsia="Times New Roman" w:cs="Calibri"/>
                <w:color w:val="000000"/>
                <w:sz w:val="20"/>
                <w:szCs w:val="20"/>
                <w:lang w:eastAsia="sk-SK"/>
              </w:rPr>
              <w:t>Realizovať úspory v riadení dopravy investíciami podľa aktuálnych možností RVS a eurofondov. Prioritne realizovať najprínosnejšie investície</w:t>
            </w:r>
          </w:p>
        </w:tc>
        <w:tc>
          <w:tcPr>
            <w:tcW w:w="745" w:type="pct"/>
            <w:vAlign w:val="center"/>
          </w:tcPr>
          <w:p w14:paraId="433C0AEE"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MDV SR </w:t>
            </w:r>
          </w:p>
          <w:p w14:paraId="717C367B"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SŽDaD </w:t>
            </w:r>
          </w:p>
        </w:tc>
        <w:tc>
          <w:tcPr>
            <w:tcW w:w="578" w:type="pct"/>
            <w:shd w:val="clear" w:color="auto" w:fill="auto"/>
            <w:vAlign w:val="center"/>
          </w:tcPr>
          <w:p w14:paraId="45430DB6" w14:textId="77777777" w:rsidR="00CB16AA" w:rsidRPr="00666914" w:rsidRDefault="00CB16AA" w:rsidP="00985E7A">
            <w:pPr>
              <w:tabs>
                <w:tab w:val="left" w:pos="6237"/>
              </w:tabs>
              <w:jc w:val="center"/>
              <w:rPr>
                <w:sz w:val="20"/>
                <w:szCs w:val="20"/>
              </w:rPr>
            </w:pPr>
            <w:r w:rsidRPr="00666914">
              <w:rPr>
                <w:rFonts w:eastAsia="Times New Roman" w:cs="Calibri"/>
                <w:color w:val="000000"/>
                <w:sz w:val="20"/>
                <w:szCs w:val="20"/>
                <w:lang w:eastAsia="sk-SK"/>
              </w:rPr>
              <w:t>priebežne</w:t>
            </w:r>
          </w:p>
        </w:tc>
        <w:tc>
          <w:tcPr>
            <w:tcW w:w="439" w:type="pct"/>
            <w:vAlign w:val="center"/>
          </w:tcPr>
          <w:p w14:paraId="3871D0DD"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w:t>
            </w:r>
          </w:p>
        </w:tc>
        <w:tc>
          <w:tcPr>
            <w:tcW w:w="396" w:type="pct"/>
            <w:shd w:val="clear" w:color="auto" w:fill="A6A6A6" w:themeFill="background1" w:themeFillShade="A6"/>
            <w:vAlign w:val="center"/>
          </w:tcPr>
          <w:p w14:paraId="01668EA6" w14:textId="77777777" w:rsidR="00CB16AA" w:rsidRPr="00666914" w:rsidRDefault="00CB16AA" w:rsidP="00985E7A">
            <w:pPr>
              <w:tabs>
                <w:tab w:val="left" w:pos="6237"/>
              </w:tabs>
              <w:rPr>
                <w:sz w:val="20"/>
                <w:szCs w:val="20"/>
              </w:rPr>
            </w:pPr>
          </w:p>
        </w:tc>
        <w:tc>
          <w:tcPr>
            <w:tcW w:w="396" w:type="pct"/>
            <w:shd w:val="clear" w:color="auto" w:fill="A6A6A6" w:themeFill="background1" w:themeFillShade="A6"/>
            <w:vAlign w:val="center"/>
          </w:tcPr>
          <w:p w14:paraId="567B1A0B" w14:textId="77777777" w:rsidR="00CB16AA" w:rsidRPr="00666914" w:rsidRDefault="00CB16AA" w:rsidP="00985E7A">
            <w:pPr>
              <w:tabs>
                <w:tab w:val="left" w:pos="6237"/>
              </w:tabs>
              <w:rPr>
                <w:sz w:val="20"/>
                <w:szCs w:val="20"/>
              </w:rPr>
            </w:pPr>
          </w:p>
        </w:tc>
        <w:tc>
          <w:tcPr>
            <w:tcW w:w="396" w:type="pct"/>
            <w:shd w:val="clear" w:color="auto" w:fill="FF0000"/>
            <w:vAlign w:val="center"/>
          </w:tcPr>
          <w:p w14:paraId="4BA30A7D" w14:textId="77777777" w:rsidR="00CB16AA" w:rsidRPr="00666914" w:rsidRDefault="00CB16AA" w:rsidP="00985E7A">
            <w:pPr>
              <w:tabs>
                <w:tab w:val="left" w:pos="6237"/>
              </w:tabs>
              <w:rPr>
                <w:sz w:val="20"/>
                <w:szCs w:val="20"/>
              </w:rPr>
            </w:pPr>
          </w:p>
        </w:tc>
        <w:tc>
          <w:tcPr>
            <w:tcW w:w="396" w:type="pct"/>
            <w:shd w:val="clear" w:color="auto" w:fill="FFC000"/>
            <w:vAlign w:val="center"/>
          </w:tcPr>
          <w:p w14:paraId="48D63154" w14:textId="77777777" w:rsidR="00CB16AA" w:rsidRPr="00666914" w:rsidRDefault="00CB16AA" w:rsidP="00985E7A">
            <w:pPr>
              <w:tabs>
                <w:tab w:val="left" w:pos="6237"/>
              </w:tabs>
              <w:rPr>
                <w:sz w:val="20"/>
                <w:szCs w:val="20"/>
                <w:highlight w:val="yellow"/>
              </w:rPr>
            </w:pPr>
          </w:p>
        </w:tc>
      </w:tr>
      <w:tr w:rsidR="00CB16AA" w:rsidRPr="00666914" w14:paraId="7B753354" w14:textId="77777777" w:rsidTr="00254A5B">
        <w:tc>
          <w:tcPr>
            <w:tcW w:w="218" w:type="pct"/>
            <w:vAlign w:val="center"/>
          </w:tcPr>
          <w:p w14:paraId="1DD580C4"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21</w:t>
            </w:r>
          </w:p>
        </w:tc>
        <w:tc>
          <w:tcPr>
            <w:tcW w:w="1438" w:type="pct"/>
            <w:vAlign w:val="center"/>
          </w:tcPr>
          <w:p w14:paraId="22B98FD5"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Kvantifikovať optimálne finančné prostriedky na údržbu a prínosy z nej plynúce. Zverejňovať v ročnom intervale počet vybraných kľúčových výkonov jednotlivých činností opráv a údržby a ich náklady</w:t>
            </w:r>
          </w:p>
        </w:tc>
        <w:tc>
          <w:tcPr>
            <w:tcW w:w="745" w:type="pct"/>
            <w:vAlign w:val="center"/>
          </w:tcPr>
          <w:p w14:paraId="43CFB3CC"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MDV SR / MF SR </w:t>
            </w:r>
          </w:p>
          <w:p w14:paraId="123175A6"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SŽDaD </w:t>
            </w:r>
          </w:p>
        </w:tc>
        <w:tc>
          <w:tcPr>
            <w:tcW w:w="578" w:type="pct"/>
            <w:shd w:val="clear" w:color="auto" w:fill="auto"/>
            <w:vAlign w:val="center"/>
          </w:tcPr>
          <w:p w14:paraId="0E7B214C" w14:textId="77777777" w:rsidR="00CB16AA" w:rsidRPr="00666914" w:rsidRDefault="00CB16AA" w:rsidP="00985E7A">
            <w:pPr>
              <w:tabs>
                <w:tab w:val="left" w:pos="6237"/>
              </w:tabs>
              <w:jc w:val="center"/>
              <w:rPr>
                <w:sz w:val="20"/>
                <w:szCs w:val="20"/>
              </w:rPr>
            </w:pPr>
            <w:r w:rsidRPr="00666914">
              <w:rPr>
                <w:rFonts w:eastAsia="Times New Roman" w:cs="Calibri"/>
                <w:color w:val="000000"/>
                <w:sz w:val="20"/>
                <w:szCs w:val="20"/>
                <w:lang w:eastAsia="sk-SK"/>
              </w:rPr>
              <w:t>12/2017 / každoročne</w:t>
            </w:r>
          </w:p>
        </w:tc>
        <w:tc>
          <w:tcPr>
            <w:tcW w:w="439" w:type="pct"/>
            <w:vAlign w:val="center"/>
          </w:tcPr>
          <w:p w14:paraId="24B918BC"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w:t>
            </w:r>
          </w:p>
        </w:tc>
        <w:tc>
          <w:tcPr>
            <w:tcW w:w="396" w:type="pct"/>
            <w:shd w:val="clear" w:color="auto" w:fill="A6A6A6" w:themeFill="background1" w:themeFillShade="A6"/>
            <w:vAlign w:val="center"/>
          </w:tcPr>
          <w:p w14:paraId="6BF699A5" w14:textId="77777777" w:rsidR="00CB16AA" w:rsidRPr="00666914" w:rsidRDefault="00CB16AA" w:rsidP="00985E7A">
            <w:pPr>
              <w:tabs>
                <w:tab w:val="left" w:pos="6237"/>
              </w:tabs>
              <w:rPr>
                <w:sz w:val="20"/>
                <w:szCs w:val="20"/>
              </w:rPr>
            </w:pPr>
          </w:p>
        </w:tc>
        <w:tc>
          <w:tcPr>
            <w:tcW w:w="396" w:type="pct"/>
            <w:shd w:val="clear" w:color="auto" w:fill="FF0000"/>
            <w:vAlign w:val="center"/>
          </w:tcPr>
          <w:p w14:paraId="6E71355E" w14:textId="77777777" w:rsidR="00CB16AA" w:rsidRPr="00666914" w:rsidRDefault="00CB16AA" w:rsidP="00985E7A">
            <w:pPr>
              <w:tabs>
                <w:tab w:val="left" w:pos="6237"/>
              </w:tabs>
              <w:rPr>
                <w:sz w:val="20"/>
                <w:szCs w:val="20"/>
              </w:rPr>
            </w:pPr>
          </w:p>
        </w:tc>
        <w:tc>
          <w:tcPr>
            <w:tcW w:w="396" w:type="pct"/>
            <w:shd w:val="clear" w:color="auto" w:fill="FF0000"/>
            <w:vAlign w:val="center"/>
          </w:tcPr>
          <w:p w14:paraId="08193CAE" w14:textId="77777777" w:rsidR="00CB16AA" w:rsidRPr="00666914" w:rsidRDefault="00CB16AA" w:rsidP="00985E7A">
            <w:pPr>
              <w:tabs>
                <w:tab w:val="left" w:pos="6237"/>
              </w:tabs>
              <w:rPr>
                <w:sz w:val="20"/>
                <w:szCs w:val="20"/>
              </w:rPr>
            </w:pPr>
          </w:p>
        </w:tc>
        <w:tc>
          <w:tcPr>
            <w:tcW w:w="396" w:type="pct"/>
            <w:shd w:val="clear" w:color="auto" w:fill="FF0000"/>
            <w:vAlign w:val="center"/>
          </w:tcPr>
          <w:p w14:paraId="4B39977B" w14:textId="77777777" w:rsidR="00CB16AA" w:rsidRPr="00666914" w:rsidRDefault="00CB16AA" w:rsidP="00985E7A">
            <w:pPr>
              <w:tabs>
                <w:tab w:val="left" w:pos="6237"/>
              </w:tabs>
              <w:rPr>
                <w:color w:val="FFC000"/>
                <w:sz w:val="20"/>
                <w:szCs w:val="20"/>
                <w:highlight w:val="yellow"/>
              </w:rPr>
            </w:pPr>
          </w:p>
        </w:tc>
      </w:tr>
      <w:tr w:rsidR="00CB16AA" w:rsidRPr="00666914" w14:paraId="79A930C2" w14:textId="77777777" w:rsidTr="00254A5B">
        <w:tc>
          <w:tcPr>
            <w:tcW w:w="218" w:type="pct"/>
            <w:vAlign w:val="center"/>
          </w:tcPr>
          <w:p w14:paraId="5A3F2210"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22</w:t>
            </w:r>
          </w:p>
        </w:tc>
        <w:tc>
          <w:tcPr>
            <w:tcW w:w="1438" w:type="pct"/>
            <w:vAlign w:val="center"/>
          </w:tcPr>
          <w:p w14:paraId="430AA617"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 xml:space="preserve">Zvýšením účinnosti formou budovania filtračno-kompenzačných zariadení a energetického dispečingu </w:t>
            </w:r>
            <w:r w:rsidRPr="00666914">
              <w:rPr>
                <w:rFonts w:eastAsia="Times New Roman" w:cs="Calibri"/>
                <w:color w:val="000000"/>
                <w:sz w:val="20"/>
                <w:szCs w:val="20"/>
                <w:lang w:eastAsia="sk-SK"/>
              </w:rPr>
              <w:lastRenderedPageBreak/>
              <w:t>dosiahnuť ročnú úsporu nákladov v objeme 0,5 mil. eur. Budú preskúmané ďalšie možnosti znižovania nákladov na nákup elektrickej energie</w:t>
            </w:r>
          </w:p>
        </w:tc>
        <w:tc>
          <w:tcPr>
            <w:tcW w:w="745" w:type="pct"/>
            <w:vAlign w:val="center"/>
          </w:tcPr>
          <w:p w14:paraId="0A9297E0"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lastRenderedPageBreak/>
              <w:t xml:space="preserve">SŽDaD </w:t>
            </w:r>
          </w:p>
        </w:tc>
        <w:tc>
          <w:tcPr>
            <w:tcW w:w="578" w:type="pct"/>
            <w:shd w:val="clear" w:color="auto" w:fill="auto"/>
            <w:vAlign w:val="center"/>
          </w:tcPr>
          <w:p w14:paraId="34D925D9" w14:textId="77777777" w:rsidR="00CB16AA" w:rsidRPr="00666914" w:rsidRDefault="00CB16AA" w:rsidP="00985E7A">
            <w:pPr>
              <w:tabs>
                <w:tab w:val="left" w:pos="6237"/>
              </w:tabs>
              <w:jc w:val="center"/>
              <w:rPr>
                <w:sz w:val="20"/>
                <w:szCs w:val="20"/>
              </w:rPr>
            </w:pPr>
            <w:r w:rsidRPr="00666914">
              <w:rPr>
                <w:rFonts w:eastAsia="Times New Roman" w:cs="Calibri"/>
                <w:color w:val="000000"/>
                <w:sz w:val="20"/>
                <w:szCs w:val="20"/>
                <w:lang w:eastAsia="sk-SK"/>
              </w:rPr>
              <w:t xml:space="preserve">01/2019 - úspora / </w:t>
            </w:r>
            <w:r w:rsidRPr="00666914">
              <w:rPr>
                <w:rFonts w:eastAsia="Times New Roman" w:cs="Calibri"/>
                <w:color w:val="000000"/>
                <w:sz w:val="20"/>
                <w:szCs w:val="20"/>
                <w:lang w:eastAsia="sk-SK"/>
              </w:rPr>
              <w:lastRenderedPageBreak/>
              <w:t>12/2017 - analýza</w:t>
            </w:r>
          </w:p>
        </w:tc>
        <w:tc>
          <w:tcPr>
            <w:tcW w:w="439" w:type="pct"/>
            <w:vAlign w:val="center"/>
          </w:tcPr>
          <w:p w14:paraId="098DB586"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lastRenderedPageBreak/>
              <w:t>-</w:t>
            </w:r>
          </w:p>
        </w:tc>
        <w:tc>
          <w:tcPr>
            <w:tcW w:w="396" w:type="pct"/>
            <w:shd w:val="clear" w:color="auto" w:fill="A6A6A6" w:themeFill="background1" w:themeFillShade="A6"/>
            <w:vAlign w:val="center"/>
          </w:tcPr>
          <w:p w14:paraId="1C79984B" w14:textId="77777777" w:rsidR="00CB16AA" w:rsidRPr="00666914" w:rsidRDefault="00CB16AA" w:rsidP="00985E7A">
            <w:pPr>
              <w:tabs>
                <w:tab w:val="left" w:pos="6237"/>
              </w:tabs>
              <w:rPr>
                <w:sz w:val="20"/>
                <w:szCs w:val="20"/>
              </w:rPr>
            </w:pPr>
          </w:p>
        </w:tc>
        <w:tc>
          <w:tcPr>
            <w:tcW w:w="396" w:type="pct"/>
            <w:shd w:val="clear" w:color="auto" w:fill="A6A6A6" w:themeFill="background1" w:themeFillShade="A6"/>
            <w:vAlign w:val="center"/>
          </w:tcPr>
          <w:p w14:paraId="7FD43B13" w14:textId="77777777" w:rsidR="00CB16AA" w:rsidRPr="00666914" w:rsidRDefault="00CB16AA" w:rsidP="00985E7A">
            <w:pPr>
              <w:tabs>
                <w:tab w:val="left" w:pos="6237"/>
              </w:tabs>
              <w:rPr>
                <w:sz w:val="20"/>
                <w:szCs w:val="20"/>
              </w:rPr>
            </w:pPr>
          </w:p>
        </w:tc>
        <w:tc>
          <w:tcPr>
            <w:tcW w:w="396" w:type="pct"/>
            <w:shd w:val="clear" w:color="auto" w:fill="AEAAAA" w:themeFill="background2" w:themeFillShade="BF"/>
            <w:vAlign w:val="center"/>
          </w:tcPr>
          <w:p w14:paraId="0BEB5333" w14:textId="77777777" w:rsidR="00CB16AA" w:rsidRPr="00666914" w:rsidRDefault="00CB16AA" w:rsidP="00985E7A">
            <w:pPr>
              <w:tabs>
                <w:tab w:val="left" w:pos="6237"/>
              </w:tabs>
              <w:rPr>
                <w:sz w:val="20"/>
                <w:szCs w:val="20"/>
              </w:rPr>
            </w:pPr>
          </w:p>
        </w:tc>
        <w:tc>
          <w:tcPr>
            <w:tcW w:w="396" w:type="pct"/>
            <w:shd w:val="clear" w:color="auto" w:fill="92D050"/>
            <w:vAlign w:val="center"/>
          </w:tcPr>
          <w:p w14:paraId="5DE3726A" w14:textId="77777777" w:rsidR="00CB16AA" w:rsidRPr="00666914" w:rsidRDefault="00CB16AA" w:rsidP="00985E7A">
            <w:pPr>
              <w:tabs>
                <w:tab w:val="left" w:pos="6237"/>
              </w:tabs>
              <w:rPr>
                <w:sz w:val="20"/>
                <w:szCs w:val="20"/>
                <w:highlight w:val="yellow"/>
              </w:rPr>
            </w:pPr>
          </w:p>
        </w:tc>
      </w:tr>
      <w:tr w:rsidR="00CB16AA" w:rsidRPr="00666914" w14:paraId="3B83BCD1" w14:textId="77777777" w:rsidTr="00254A5B">
        <w:tc>
          <w:tcPr>
            <w:tcW w:w="218" w:type="pct"/>
            <w:vAlign w:val="center"/>
          </w:tcPr>
          <w:p w14:paraId="6AC08406"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23</w:t>
            </w:r>
          </w:p>
        </w:tc>
        <w:tc>
          <w:tcPr>
            <w:tcW w:w="1438" w:type="pct"/>
            <w:vAlign w:val="center"/>
          </w:tcPr>
          <w:p w14:paraId="7695DCA0" w14:textId="77777777" w:rsidR="00CB16AA" w:rsidRPr="00666914" w:rsidRDefault="00CB16AA" w:rsidP="00985E7A">
            <w:pPr>
              <w:rPr>
                <w:sz w:val="20"/>
                <w:szCs w:val="20"/>
              </w:rPr>
            </w:pPr>
            <w:r w:rsidRPr="00666914">
              <w:rPr>
                <w:rFonts w:eastAsia="Times New Roman" w:cs="Calibri"/>
                <w:color w:val="000000"/>
                <w:sz w:val="20"/>
                <w:szCs w:val="20"/>
                <w:lang w:eastAsia="sk-SK"/>
              </w:rPr>
              <w:t>Hľadať opatrenia na optimalizáciu jednotkových nákladov a zvyšovanie výnosov, spolu o 20 % v dotovanej verejnej osobnej železničnej doprave.</w:t>
            </w:r>
          </w:p>
        </w:tc>
        <w:tc>
          <w:tcPr>
            <w:tcW w:w="745" w:type="pct"/>
            <w:vAlign w:val="center"/>
          </w:tcPr>
          <w:p w14:paraId="6E3DEF64"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MDV SR </w:t>
            </w:r>
          </w:p>
          <w:p w14:paraId="5915C68A"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SŽDaD </w:t>
            </w:r>
          </w:p>
        </w:tc>
        <w:tc>
          <w:tcPr>
            <w:tcW w:w="578" w:type="pct"/>
            <w:shd w:val="clear" w:color="auto" w:fill="auto"/>
            <w:vAlign w:val="center"/>
          </w:tcPr>
          <w:p w14:paraId="336E75AC" w14:textId="77777777" w:rsidR="00CB16AA" w:rsidRPr="00666914" w:rsidRDefault="00CB16AA" w:rsidP="00985E7A">
            <w:pPr>
              <w:tabs>
                <w:tab w:val="left" w:pos="6237"/>
              </w:tabs>
              <w:jc w:val="center"/>
              <w:rPr>
                <w:sz w:val="20"/>
                <w:szCs w:val="20"/>
              </w:rPr>
            </w:pPr>
            <w:r w:rsidRPr="00666914">
              <w:rPr>
                <w:rFonts w:eastAsia="Times New Roman" w:cs="Calibri"/>
                <w:color w:val="000000"/>
                <w:sz w:val="20"/>
                <w:szCs w:val="20"/>
                <w:lang w:eastAsia="sk-SK"/>
              </w:rPr>
              <w:t>06/2020</w:t>
            </w:r>
          </w:p>
        </w:tc>
        <w:tc>
          <w:tcPr>
            <w:tcW w:w="439" w:type="pct"/>
            <w:vAlign w:val="center"/>
          </w:tcPr>
          <w:p w14:paraId="2FA523A6"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w:t>
            </w:r>
          </w:p>
        </w:tc>
        <w:tc>
          <w:tcPr>
            <w:tcW w:w="396" w:type="pct"/>
            <w:shd w:val="clear" w:color="auto" w:fill="92D050"/>
            <w:vAlign w:val="bottom"/>
          </w:tcPr>
          <w:p w14:paraId="6D555AD0" w14:textId="77777777" w:rsidR="00CB16AA" w:rsidRPr="00666914" w:rsidRDefault="00CB16AA" w:rsidP="00985E7A">
            <w:pPr>
              <w:tabs>
                <w:tab w:val="left" w:pos="6237"/>
              </w:tabs>
              <w:rPr>
                <w:sz w:val="20"/>
                <w:szCs w:val="20"/>
              </w:rPr>
            </w:pPr>
          </w:p>
        </w:tc>
        <w:tc>
          <w:tcPr>
            <w:tcW w:w="396" w:type="pct"/>
            <w:shd w:val="clear" w:color="auto" w:fill="FFC000"/>
            <w:vAlign w:val="bottom"/>
          </w:tcPr>
          <w:p w14:paraId="7E89D0A6" w14:textId="77777777" w:rsidR="00CB16AA" w:rsidRPr="00666914" w:rsidRDefault="00CB16AA" w:rsidP="00985E7A">
            <w:pPr>
              <w:tabs>
                <w:tab w:val="left" w:pos="6237"/>
              </w:tabs>
              <w:rPr>
                <w:sz w:val="20"/>
                <w:szCs w:val="20"/>
              </w:rPr>
            </w:pPr>
          </w:p>
        </w:tc>
        <w:tc>
          <w:tcPr>
            <w:tcW w:w="396" w:type="pct"/>
            <w:shd w:val="clear" w:color="auto" w:fill="FFC000"/>
            <w:vAlign w:val="bottom"/>
          </w:tcPr>
          <w:p w14:paraId="08167083" w14:textId="77777777" w:rsidR="00CB16AA" w:rsidRPr="00666914" w:rsidRDefault="00CB16AA" w:rsidP="00985E7A">
            <w:pPr>
              <w:tabs>
                <w:tab w:val="left" w:pos="6237"/>
              </w:tabs>
              <w:rPr>
                <w:sz w:val="20"/>
                <w:szCs w:val="20"/>
              </w:rPr>
            </w:pPr>
          </w:p>
        </w:tc>
        <w:tc>
          <w:tcPr>
            <w:tcW w:w="396" w:type="pct"/>
            <w:shd w:val="clear" w:color="auto" w:fill="FFC000"/>
            <w:vAlign w:val="bottom"/>
          </w:tcPr>
          <w:p w14:paraId="5FE6FCF9" w14:textId="77777777" w:rsidR="00CB16AA" w:rsidRPr="00666914" w:rsidRDefault="00CB16AA" w:rsidP="00985E7A">
            <w:pPr>
              <w:tabs>
                <w:tab w:val="left" w:pos="6237"/>
              </w:tabs>
              <w:rPr>
                <w:sz w:val="20"/>
                <w:szCs w:val="20"/>
              </w:rPr>
            </w:pPr>
          </w:p>
        </w:tc>
      </w:tr>
    </w:tbl>
    <w:p w14:paraId="47EF6808" w14:textId="77777777" w:rsidR="00CB16AA" w:rsidRPr="00666914" w:rsidRDefault="00CB16AA" w:rsidP="00985E7A">
      <w:pPr>
        <w:spacing w:after="0"/>
      </w:pPr>
    </w:p>
    <w:p w14:paraId="4676C709" w14:textId="77777777" w:rsidR="00CB16AA" w:rsidRPr="00666914" w:rsidRDefault="00CB16AA" w:rsidP="00312C28">
      <w:pPr>
        <w:numPr>
          <w:ilvl w:val="0"/>
          <w:numId w:val="34"/>
        </w:numPr>
        <w:contextualSpacing/>
        <w:rPr>
          <w:b/>
          <w:u w:val="single"/>
        </w:rPr>
      </w:pPr>
      <w:r w:rsidRPr="00666914">
        <w:rPr>
          <w:b/>
          <w:u w:val="single"/>
        </w:rPr>
        <w:t>Detailne analyzovať komplexné dopady prípadnej eliminácie 234 km tratí s nízkym využitím bez osobnej dopravy a na základe výsledkov upresniť odhad úspory 6 mil. eur ročne s potenciálnymi jednorazovými nákladmi vo výške maximálne 70 mil. eur</w:t>
      </w:r>
    </w:p>
    <w:p w14:paraId="55BE6CB9" w14:textId="77777777" w:rsidR="00CB16AA" w:rsidRPr="00666914" w:rsidRDefault="00CB16AA" w:rsidP="00312C28">
      <w:pPr>
        <w:numPr>
          <w:ilvl w:val="0"/>
          <w:numId w:val="34"/>
        </w:numPr>
        <w:spacing w:after="0"/>
        <w:contextualSpacing/>
        <w:rPr>
          <w:b/>
          <w:u w:val="single"/>
        </w:rPr>
      </w:pPr>
      <w:r w:rsidRPr="00666914">
        <w:rPr>
          <w:b/>
          <w:u w:val="single"/>
        </w:rPr>
        <w:t>Detailne analyzovať komplexné dopady zastavenia dopravy a rozhodnutia o prípadnom zrušení 91 km tratí s minimálnou osobnou dopravou</w:t>
      </w:r>
    </w:p>
    <w:p w14:paraId="7676C6B7" w14:textId="4A75A3AD" w:rsidR="00790C08" w:rsidRDefault="00CB16AA" w:rsidP="00790C08">
      <w:pPr>
        <w:spacing w:before="240" w:after="0"/>
        <w:rPr>
          <w:b/>
        </w:rPr>
      </w:pPr>
      <w:r w:rsidRPr="00666914">
        <w:t>Napriek tomu, že MDV SR si na riešenie týchto opatrení obstaralo štúdiu u externého dodávateľa (VÚD</w:t>
      </w:r>
      <w:r w:rsidRPr="00666914">
        <w:rPr>
          <w:rStyle w:val="Odkaznapoznmkupodiarou"/>
        </w:rPr>
        <w:footnoteReference w:id="92"/>
      </w:r>
      <w:r w:rsidRPr="00666914">
        <w:t>) a na zapracovaní pripomienok od ÚHP</w:t>
      </w:r>
      <w:r w:rsidR="00FF76CA" w:rsidRPr="00666914">
        <w:t xml:space="preserve"> MF SR</w:t>
      </w:r>
      <w:r w:rsidRPr="00666914">
        <w:t xml:space="preserve"> pracuje už vyše roka, opatrenie stále nie je splnené. Termín finalizácie bol v IP 2019 stanovený na 1Q2019, MDV SR ho však nesplnilo. </w:t>
      </w:r>
      <w:r w:rsidRPr="00666914">
        <w:rPr>
          <w:b/>
        </w:rPr>
        <w:t>Opatrenie sa k 31.12.2019 neplní.</w:t>
      </w:r>
    </w:p>
    <w:p w14:paraId="1E14F3B9" w14:textId="77777777" w:rsidR="00790C08" w:rsidRPr="00666914" w:rsidRDefault="00790C08" w:rsidP="00790C08">
      <w:pPr>
        <w:spacing w:before="240" w:after="0"/>
        <w:rPr>
          <w:b/>
          <w:u w:val="single"/>
        </w:rPr>
      </w:pPr>
    </w:p>
    <w:p w14:paraId="1956E31C" w14:textId="77777777" w:rsidR="00CB16AA" w:rsidRPr="00666914" w:rsidRDefault="00CB16AA" w:rsidP="00312C28">
      <w:pPr>
        <w:pStyle w:val="Odsekzoznamu"/>
        <w:numPr>
          <w:ilvl w:val="0"/>
          <w:numId w:val="34"/>
        </w:numPr>
        <w:rPr>
          <w:b/>
          <w:u w:val="single"/>
        </w:rPr>
      </w:pPr>
      <w:r w:rsidRPr="00666914">
        <w:rPr>
          <w:b/>
          <w:u w:val="single"/>
        </w:rPr>
        <w:t>Všetky budúce investičné projekty, ktorých predpokladaný investičný náklad je vyšší ako 40 mil. eur, budú vo fáze prípravy štúdie realizovateľnosti (ak sa spracováva) podrobené analýze nákladov a prínosov aj zo strany MF SR</w:t>
      </w:r>
    </w:p>
    <w:p w14:paraId="355359F4" w14:textId="77777777" w:rsidR="00CB16AA" w:rsidRPr="00666914" w:rsidRDefault="00CB16AA" w:rsidP="00985E7A">
      <w:pPr>
        <w:spacing w:after="0"/>
      </w:pPr>
      <w:r w:rsidRPr="00666914">
        <w:t>V priebehu roka 2019 neboli ÚHP MF SR predložené na posúdenie žiadne nové projekty železničnej infraštruktúry. Ešte v roku 2018 boli predložené na posúdenie ÚHP 2 projekty, ku ktorým vydal počas roka 2019 finálne stanovisko</w:t>
      </w:r>
      <w:r w:rsidRPr="00666914">
        <w:rPr>
          <w:rStyle w:val="Odkaznapoznmkupodiarou"/>
        </w:rPr>
        <w:footnoteReference w:id="93"/>
      </w:r>
      <w:r w:rsidRPr="00666914">
        <w:t xml:space="preserve">. </w:t>
      </w:r>
      <w:r w:rsidRPr="00666914">
        <w:rPr>
          <w:b/>
        </w:rPr>
        <w:t>Opatrenie sa k 31.12.2019 nevyhodnocuje.</w:t>
      </w:r>
    </w:p>
    <w:p w14:paraId="59AEA2A2" w14:textId="77777777" w:rsidR="00CB16AA" w:rsidRPr="00666914" w:rsidRDefault="00CB16AA" w:rsidP="00985E7A">
      <w:pPr>
        <w:spacing w:after="0"/>
      </w:pPr>
    </w:p>
    <w:p w14:paraId="1BA1F526" w14:textId="606D0705" w:rsidR="00CB16AA" w:rsidRPr="00666914" w:rsidRDefault="00CB16AA" w:rsidP="00985E7A">
      <w:pPr>
        <w:spacing w:after="0"/>
        <w:rPr>
          <w:b/>
          <w:sz w:val="20"/>
          <w:szCs w:val="20"/>
        </w:rPr>
      </w:pPr>
      <w:bookmarkStart w:id="210" w:name="_Toc21522791"/>
      <w:bookmarkStart w:id="211" w:name="_Toc38447693"/>
      <w:r w:rsidRPr="00666914">
        <w:rPr>
          <w:b/>
          <w:sz w:val="20"/>
          <w:szCs w:val="20"/>
        </w:rPr>
        <w:t xml:space="preserve">Tabuľka </w:t>
      </w:r>
      <w:r w:rsidRPr="00666914">
        <w:rPr>
          <w:b/>
          <w:sz w:val="20"/>
          <w:szCs w:val="20"/>
        </w:rPr>
        <w:fldChar w:fldCharType="begin"/>
      </w:r>
      <w:r w:rsidRPr="00666914">
        <w:rPr>
          <w:b/>
          <w:sz w:val="20"/>
          <w:szCs w:val="20"/>
        </w:rPr>
        <w:instrText xml:space="preserve"> SEQ Tabuľka \* ARABIC \* MERGEFORMAT </w:instrText>
      </w:r>
      <w:r w:rsidRPr="00666914">
        <w:rPr>
          <w:b/>
          <w:sz w:val="20"/>
          <w:szCs w:val="20"/>
        </w:rPr>
        <w:fldChar w:fldCharType="separate"/>
      </w:r>
      <w:r w:rsidR="005A7304">
        <w:rPr>
          <w:b/>
          <w:noProof/>
          <w:sz w:val="20"/>
          <w:szCs w:val="20"/>
        </w:rPr>
        <w:t>32</w:t>
      </w:r>
      <w:r w:rsidRPr="00666914">
        <w:rPr>
          <w:b/>
          <w:sz w:val="20"/>
          <w:szCs w:val="20"/>
        </w:rPr>
        <w:fldChar w:fldCharType="end"/>
      </w:r>
      <w:r w:rsidRPr="00666914">
        <w:rPr>
          <w:b/>
          <w:sz w:val="20"/>
          <w:szCs w:val="20"/>
        </w:rPr>
        <w:t>: Zoznam investičných projektov železničnej infraštruktúry posudzovaných ÚHP MF SR v roku 2019</w:t>
      </w:r>
      <w:bookmarkEnd w:id="210"/>
      <w:bookmarkEnd w:id="211"/>
    </w:p>
    <w:tbl>
      <w:tblPr>
        <w:tblW w:w="4922" w:type="pct"/>
        <w:tblLayout w:type="fixed"/>
        <w:tblCellMar>
          <w:left w:w="70" w:type="dxa"/>
          <w:right w:w="70" w:type="dxa"/>
        </w:tblCellMar>
        <w:tblLook w:val="04A0" w:firstRow="1" w:lastRow="0" w:firstColumn="1" w:lastColumn="0" w:noHBand="0" w:noVBand="1"/>
      </w:tblPr>
      <w:tblGrid>
        <w:gridCol w:w="3745"/>
        <w:gridCol w:w="864"/>
        <w:gridCol w:w="1296"/>
        <w:gridCol w:w="1685"/>
        <w:gridCol w:w="1480"/>
      </w:tblGrid>
      <w:tr w:rsidR="00CB16AA" w:rsidRPr="00666914" w14:paraId="3049C81A" w14:textId="77777777" w:rsidTr="00985E7A">
        <w:trPr>
          <w:trHeight w:val="510"/>
        </w:trPr>
        <w:tc>
          <w:tcPr>
            <w:tcW w:w="2064" w:type="pct"/>
            <w:tcBorders>
              <w:top w:val="single" w:sz="4" w:space="0" w:color="auto"/>
              <w:left w:val="nil"/>
              <w:bottom w:val="single" w:sz="4" w:space="0" w:color="auto"/>
              <w:right w:val="nil"/>
            </w:tcBorders>
            <w:shd w:val="clear" w:color="auto" w:fill="auto"/>
            <w:noWrap/>
            <w:vAlign w:val="bottom"/>
            <w:hideMark/>
          </w:tcPr>
          <w:p w14:paraId="2F46738B"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Projekt</w:t>
            </w:r>
          </w:p>
        </w:tc>
        <w:tc>
          <w:tcPr>
            <w:tcW w:w="476" w:type="pct"/>
            <w:tcBorders>
              <w:top w:val="single" w:sz="4" w:space="0" w:color="auto"/>
              <w:left w:val="nil"/>
              <w:bottom w:val="single" w:sz="4" w:space="0" w:color="auto"/>
              <w:right w:val="nil"/>
            </w:tcBorders>
            <w:shd w:val="clear" w:color="auto" w:fill="auto"/>
            <w:vAlign w:val="bottom"/>
            <w:hideMark/>
          </w:tcPr>
          <w:p w14:paraId="3CCB72F0" w14:textId="77777777" w:rsidR="00CB16AA" w:rsidRPr="00666914" w:rsidRDefault="00CB16AA" w:rsidP="00985E7A">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Hodnota (mil. eur)</w:t>
            </w:r>
          </w:p>
        </w:tc>
        <w:tc>
          <w:tcPr>
            <w:tcW w:w="714" w:type="pct"/>
            <w:tcBorders>
              <w:top w:val="single" w:sz="4" w:space="0" w:color="auto"/>
              <w:left w:val="nil"/>
              <w:bottom w:val="single" w:sz="4" w:space="0" w:color="auto"/>
              <w:right w:val="nil"/>
            </w:tcBorders>
            <w:shd w:val="clear" w:color="auto" w:fill="auto"/>
            <w:vAlign w:val="bottom"/>
            <w:hideMark/>
          </w:tcPr>
          <w:p w14:paraId="64053A0D" w14:textId="77777777" w:rsidR="00CB16AA" w:rsidRPr="00666914" w:rsidRDefault="00CB16AA" w:rsidP="00985E7A">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Začiatok posudzovania</w:t>
            </w:r>
          </w:p>
        </w:tc>
        <w:tc>
          <w:tcPr>
            <w:tcW w:w="929" w:type="pct"/>
            <w:tcBorders>
              <w:top w:val="single" w:sz="4" w:space="0" w:color="auto"/>
              <w:left w:val="nil"/>
              <w:bottom w:val="single" w:sz="4" w:space="0" w:color="auto"/>
              <w:right w:val="nil"/>
            </w:tcBorders>
            <w:shd w:val="clear" w:color="auto" w:fill="auto"/>
            <w:noWrap/>
            <w:vAlign w:val="bottom"/>
            <w:hideMark/>
          </w:tcPr>
          <w:p w14:paraId="3790EEE6" w14:textId="77777777" w:rsidR="00CB16AA" w:rsidRPr="00666914" w:rsidRDefault="00CB16AA" w:rsidP="00985E7A">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Predmet hodnotenia</w:t>
            </w:r>
          </w:p>
        </w:tc>
        <w:tc>
          <w:tcPr>
            <w:tcW w:w="816" w:type="pct"/>
            <w:tcBorders>
              <w:top w:val="single" w:sz="4" w:space="0" w:color="auto"/>
              <w:left w:val="nil"/>
              <w:bottom w:val="single" w:sz="4" w:space="0" w:color="auto"/>
              <w:right w:val="nil"/>
            </w:tcBorders>
            <w:shd w:val="clear" w:color="auto" w:fill="auto"/>
            <w:noWrap/>
            <w:vAlign w:val="bottom"/>
            <w:hideMark/>
          </w:tcPr>
          <w:p w14:paraId="4E29AFCA"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Stanovisko</w:t>
            </w:r>
          </w:p>
        </w:tc>
      </w:tr>
      <w:tr w:rsidR="00CB16AA" w:rsidRPr="00666914" w14:paraId="2B1BED11" w14:textId="77777777" w:rsidTr="00985E7A">
        <w:trPr>
          <w:trHeight w:val="795"/>
        </w:trPr>
        <w:tc>
          <w:tcPr>
            <w:tcW w:w="2064" w:type="pct"/>
            <w:tcBorders>
              <w:top w:val="nil"/>
              <w:left w:val="nil"/>
              <w:bottom w:val="nil"/>
              <w:right w:val="nil"/>
            </w:tcBorders>
            <w:shd w:val="clear" w:color="auto" w:fill="auto"/>
            <w:vAlign w:val="center"/>
            <w:hideMark/>
          </w:tcPr>
          <w:p w14:paraId="198E609E"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Elektrifikácia trate Haniska pri Košiciach – Moldava nad Bodvou</w:t>
            </w:r>
          </w:p>
        </w:tc>
        <w:tc>
          <w:tcPr>
            <w:tcW w:w="476" w:type="pct"/>
            <w:tcBorders>
              <w:top w:val="nil"/>
              <w:left w:val="nil"/>
              <w:bottom w:val="nil"/>
              <w:right w:val="nil"/>
            </w:tcBorders>
            <w:shd w:val="clear" w:color="auto" w:fill="auto"/>
            <w:noWrap/>
            <w:vAlign w:val="center"/>
            <w:hideMark/>
          </w:tcPr>
          <w:p w14:paraId="061D58B5"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56</w:t>
            </w:r>
          </w:p>
        </w:tc>
        <w:tc>
          <w:tcPr>
            <w:tcW w:w="714" w:type="pct"/>
            <w:tcBorders>
              <w:top w:val="nil"/>
              <w:left w:val="nil"/>
              <w:bottom w:val="nil"/>
              <w:right w:val="nil"/>
            </w:tcBorders>
            <w:shd w:val="clear" w:color="auto" w:fill="auto"/>
            <w:vAlign w:val="center"/>
            <w:hideMark/>
          </w:tcPr>
          <w:p w14:paraId="2EE0B9EC"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05/2018</w:t>
            </w:r>
          </w:p>
        </w:tc>
        <w:tc>
          <w:tcPr>
            <w:tcW w:w="929" w:type="pct"/>
            <w:tcBorders>
              <w:top w:val="nil"/>
              <w:left w:val="nil"/>
              <w:bottom w:val="nil"/>
              <w:right w:val="nil"/>
            </w:tcBorders>
            <w:shd w:val="clear" w:color="auto" w:fill="auto"/>
            <w:noWrap/>
            <w:vAlign w:val="center"/>
            <w:hideMark/>
          </w:tcPr>
          <w:p w14:paraId="7E4965FA"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Štúdia uskutočniteľnosti</w:t>
            </w:r>
          </w:p>
        </w:tc>
        <w:tc>
          <w:tcPr>
            <w:tcW w:w="816" w:type="pct"/>
            <w:tcBorders>
              <w:top w:val="nil"/>
              <w:left w:val="nil"/>
              <w:bottom w:val="nil"/>
              <w:right w:val="nil"/>
            </w:tcBorders>
            <w:shd w:val="clear" w:color="auto" w:fill="auto"/>
            <w:vAlign w:val="center"/>
            <w:hideMark/>
          </w:tcPr>
          <w:p w14:paraId="60DA2074"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Hodnotenie štúdie uskutočniteľnosti</w:t>
            </w:r>
          </w:p>
        </w:tc>
      </w:tr>
      <w:tr w:rsidR="00CB16AA" w:rsidRPr="00666914" w14:paraId="702C76EB" w14:textId="77777777" w:rsidTr="00985E7A">
        <w:trPr>
          <w:trHeight w:val="750"/>
        </w:trPr>
        <w:tc>
          <w:tcPr>
            <w:tcW w:w="2064" w:type="pct"/>
            <w:tcBorders>
              <w:top w:val="nil"/>
              <w:left w:val="nil"/>
              <w:bottom w:val="nil"/>
              <w:right w:val="nil"/>
            </w:tcBorders>
            <w:shd w:val="clear" w:color="auto" w:fill="auto"/>
            <w:vAlign w:val="bottom"/>
            <w:hideMark/>
          </w:tcPr>
          <w:p w14:paraId="6962605E"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ŽSR, dostavba zriaďovacej stanice Žilina-Teplička a nadväzujúcej železničnej infraštruktúry v uzle Žilina</w:t>
            </w:r>
          </w:p>
        </w:tc>
        <w:tc>
          <w:tcPr>
            <w:tcW w:w="476" w:type="pct"/>
            <w:tcBorders>
              <w:top w:val="nil"/>
              <w:left w:val="nil"/>
              <w:bottom w:val="nil"/>
              <w:right w:val="nil"/>
            </w:tcBorders>
            <w:shd w:val="clear" w:color="auto" w:fill="auto"/>
            <w:noWrap/>
            <w:vAlign w:val="center"/>
            <w:hideMark/>
          </w:tcPr>
          <w:p w14:paraId="7E17E304"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354</w:t>
            </w:r>
          </w:p>
        </w:tc>
        <w:tc>
          <w:tcPr>
            <w:tcW w:w="714" w:type="pct"/>
            <w:tcBorders>
              <w:top w:val="nil"/>
              <w:left w:val="nil"/>
              <w:bottom w:val="nil"/>
              <w:right w:val="nil"/>
            </w:tcBorders>
            <w:shd w:val="clear" w:color="auto" w:fill="auto"/>
            <w:vAlign w:val="center"/>
            <w:hideMark/>
          </w:tcPr>
          <w:p w14:paraId="756D0DBB"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11/2018</w:t>
            </w:r>
          </w:p>
        </w:tc>
        <w:tc>
          <w:tcPr>
            <w:tcW w:w="929" w:type="pct"/>
            <w:tcBorders>
              <w:top w:val="nil"/>
              <w:left w:val="nil"/>
              <w:bottom w:val="nil"/>
              <w:right w:val="nil"/>
            </w:tcBorders>
            <w:shd w:val="clear" w:color="auto" w:fill="auto"/>
            <w:vAlign w:val="center"/>
            <w:hideMark/>
          </w:tcPr>
          <w:p w14:paraId="73B4B3BE"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Dokumentácia pre realizáciu stavby, Zdôvodnenia</w:t>
            </w:r>
          </w:p>
        </w:tc>
        <w:tc>
          <w:tcPr>
            <w:tcW w:w="816" w:type="pct"/>
            <w:tcBorders>
              <w:top w:val="nil"/>
              <w:left w:val="nil"/>
              <w:bottom w:val="nil"/>
              <w:right w:val="nil"/>
            </w:tcBorders>
            <w:shd w:val="clear" w:color="auto" w:fill="auto"/>
            <w:vAlign w:val="center"/>
            <w:hideMark/>
          </w:tcPr>
          <w:p w14:paraId="7660871E"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Hodnotenie štúdie uskutočniteľnosti</w:t>
            </w:r>
          </w:p>
        </w:tc>
      </w:tr>
      <w:tr w:rsidR="00CB16AA" w:rsidRPr="00666914" w14:paraId="0576F61D" w14:textId="77777777" w:rsidTr="00985E7A">
        <w:trPr>
          <w:trHeight w:val="765"/>
        </w:trPr>
        <w:tc>
          <w:tcPr>
            <w:tcW w:w="2064" w:type="pct"/>
            <w:tcBorders>
              <w:top w:val="nil"/>
              <w:left w:val="nil"/>
              <w:bottom w:val="nil"/>
              <w:right w:val="nil"/>
            </w:tcBorders>
            <w:shd w:val="clear" w:color="auto" w:fill="auto"/>
            <w:noWrap/>
            <w:vAlign w:val="bottom"/>
            <w:hideMark/>
          </w:tcPr>
          <w:p w14:paraId="74DAFA4C"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Elektrifikácia Bánovce-Humenné</w:t>
            </w:r>
          </w:p>
        </w:tc>
        <w:tc>
          <w:tcPr>
            <w:tcW w:w="476" w:type="pct"/>
            <w:tcBorders>
              <w:top w:val="nil"/>
              <w:left w:val="nil"/>
              <w:bottom w:val="nil"/>
              <w:right w:val="nil"/>
            </w:tcBorders>
            <w:shd w:val="clear" w:color="auto" w:fill="auto"/>
            <w:noWrap/>
            <w:vAlign w:val="bottom"/>
            <w:hideMark/>
          </w:tcPr>
          <w:p w14:paraId="0FC1293A"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114</w:t>
            </w:r>
          </w:p>
        </w:tc>
        <w:tc>
          <w:tcPr>
            <w:tcW w:w="714" w:type="pct"/>
            <w:tcBorders>
              <w:top w:val="nil"/>
              <w:left w:val="nil"/>
              <w:bottom w:val="nil"/>
              <w:right w:val="nil"/>
            </w:tcBorders>
            <w:shd w:val="clear" w:color="auto" w:fill="auto"/>
            <w:noWrap/>
            <w:vAlign w:val="bottom"/>
            <w:hideMark/>
          </w:tcPr>
          <w:p w14:paraId="0057540A"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929" w:type="pct"/>
            <w:tcBorders>
              <w:top w:val="nil"/>
              <w:left w:val="nil"/>
              <w:bottom w:val="nil"/>
              <w:right w:val="nil"/>
            </w:tcBorders>
            <w:shd w:val="clear" w:color="auto" w:fill="auto"/>
            <w:noWrap/>
            <w:vAlign w:val="bottom"/>
            <w:hideMark/>
          </w:tcPr>
          <w:p w14:paraId="313FBF6D"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Prvotné výstupy zo ŠU</w:t>
            </w:r>
          </w:p>
        </w:tc>
        <w:tc>
          <w:tcPr>
            <w:tcW w:w="816" w:type="pct"/>
            <w:tcBorders>
              <w:top w:val="nil"/>
              <w:left w:val="nil"/>
              <w:bottom w:val="nil"/>
              <w:right w:val="nil"/>
            </w:tcBorders>
            <w:shd w:val="clear" w:color="auto" w:fill="auto"/>
            <w:vAlign w:val="bottom"/>
            <w:hideMark/>
          </w:tcPr>
          <w:p w14:paraId="759F907D"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Pripomienky k prvotným výstupom z pripravovanej ŠU a CBA</w:t>
            </w:r>
          </w:p>
        </w:tc>
      </w:tr>
      <w:tr w:rsidR="00CB16AA" w:rsidRPr="00666914" w14:paraId="16304E40" w14:textId="77777777" w:rsidTr="00985E7A">
        <w:trPr>
          <w:trHeight w:val="765"/>
        </w:trPr>
        <w:tc>
          <w:tcPr>
            <w:tcW w:w="2064" w:type="pct"/>
            <w:tcBorders>
              <w:top w:val="nil"/>
              <w:left w:val="nil"/>
              <w:bottom w:val="nil"/>
              <w:right w:val="nil"/>
            </w:tcBorders>
            <w:shd w:val="clear" w:color="auto" w:fill="auto"/>
            <w:noWrap/>
            <w:vAlign w:val="bottom"/>
          </w:tcPr>
          <w:p w14:paraId="3FCC5CD3"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Komunikačná infraštruktúra služieb telematiky ŽSR</w:t>
            </w:r>
          </w:p>
        </w:tc>
        <w:tc>
          <w:tcPr>
            <w:tcW w:w="476" w:type="pct"/>
            <w:tcBorders>
              <w:top w:val="nil"/>
              <w:left w:val="nil"/>
              <w:bottom w:val="nil"/>
              <w:right w:val="nil"/>
            </w:tcBorders>
            <w:shd w:val="clear" w:color="auto" w:fill="auto"/>
            <w:noWrap/>
            <w:vAlign w:val="bottom"/>
          </w:tcPr>
          <w:p w14:paraId="1E11DD87"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28</w:t>
            </w:r>
          </w:p>
        </w:tc>
        <w:tc>
          <w:tcPr>
            <w:tcW w:w="714" w:type="pct"/>
            <w:tcBorders>
              <w:top w:val="nil"/>
              <w:left w:val="nil"/>
              <w:bottom w:val="nil"/>
              <w:right w:val="nil"/>
            </w:tcBorders>
            <w:shd w:val="clear" w:color="auto" w:fill="auto"/>
            <w:noWrap/>
            <w:vAlign w:val="bottom"/>
          </w:tcPr>
          <w:p w14:paraId="2E6C3379" w14:textId="77777777" w:rsidR="00CB16AA" w:rsidRPr="00666914" w:rsidRDefault="00CB16AA" w:rsidP="00985E7A">
            <w:pPr>
              <w:spacing w:after="0"/>
              <w:jc w:val="center"/>
              <w:rPr>
                <w:rFonts w:eastAsia="Times New Roman" w:cs="Calibri"/>
                <w:color w:val="000000"/>
                <w:sz w:val="20"/>
                <w:szCs w:val="20"/>
                <w:lang w:eastAsia="sk-SK"/>
              </w:rPr>
            </w:pPr>
          </w:p>
        </w:tc>
        <w:tc>
          <w:tcPr>
            <w:tcW w:w="929" w:type="pct"/>
            <w:tcBorders>
              <w:top w:val="nil"/>
              <w:left w:val="nil"/>
              <w:bottom w:val="nil"/>
              <w:right w:val="nil"/>
            </w:tcBorders>
            <w:shd w:val="clear" w:color="auto" w:fill="auto"/>
            <w:noWrap/>
            <w:vAlign w:val="bottom"/>
          </w:tcPr>
          <w:p w14:paraId="07FF81FA"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Štúdia uskutočniteľnosti</w:t>
            </w:r>
          </w:p>
        </w:tc>
        <w:tc>
          <w:tcPr>
            <w:tcW w:w="816" w:type="pct"/>
            <w:tcBorders>
              <w:top w:val="nil"/>
              <w:left w:val="nil"/>
              <w:bottom w:val="nil"/>
              <w:right w:val="nil"/>
            </w:tcBorders>
            <w:shd w:val="clear" w:color="auto" w:fill="auto"/>
            <w:vAlign w:val="bottom"/>
          </w:tcPr>
          <w:p w14:paraId="7029FF34"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Hodnotenie ukončené 04/2019</w:t>
            </w:r>
          </w:p>
        </w:tc>
      </w:tr>
      <w:tr w:rsidR="00CB16AA" w:rsidRPr="00666914" w14:paraId="3DD2CCC2" w14:textId="77777777" w:rsidTr="00985E7A">
        <w:trPr>
          <w:trHeight w:val="765"/>
        </w:trPr>
        <w:tc>
          <w:tcPr>
            <w:tcW w:w="2064" w:type="pct"/>
            <w:tcBorders>
              <w:top w:val="nil"/>
              <w:left w:val="nil"/>
              <w:bottom w:val="single" w:sz="4" w:space="0" w:color="auto"/>
              <w:right w:val="nil"/>
            </w:tcBorders>
            <w:shd w:val="clear" w:color="auto" w:fill="auto"/>
            <w:noWrap/>
            <w:vAlign w:val="bottom"/>
            <w:hideMark/>
          </w:tcPr>
          <w:p w14:paraId="5636B781"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lastRenderedPageBreak/>
              <w:t>Dispečerizácia Prievidza - Jelšovce</w:t>
            </w:r>
          </w:p>
        </w:tc>
        <w:tc>
          <w:tcPr>
            <w:tcW w:w="476" w:type="pct"/>
            <w:tcBorders>
              <w:top w:val="nil"/>
              <w:left w:val="nil"/>
              <w:bottom w:val="single" w:sz="4" w:space="0" w:color="auto"/>
              <w:right w:val="nil"/>
            </w:tcBorders>
            <w:shd w:val="clear" w:color="auto" w:fill="auto"/>
            <w:noWrap/>
            <w:vAlign w:val="bottom"/>
            <w:hideMark/>
          </w:tcPr>
          <w:p w14:paraId="0C2AA9EE"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52,2</w:t>
            </w:r>
          </w:p>
        </w:tc>
        <w:tc>
          <w:tcPr>
            <w:tcW w:w="714" w:type="pct"/>
            <w:tcBorders>
              <w:top w:val="nil"/>
              <w:left w:val="nil"/>
              <w:bottom w:val="single" w:sz="4" w:space="0" w:color="auto"/>
              <w:right w:val="nil"/>
            </w:tcBorders>
            <w:shd w:val="clear" w:color="auto" w:fill="auto"/>
            <w:noWrap/>
            <w:vAlign w:val="bottom"/>
            <w:hideMark/>
          </w:tcPr>
          <w:p w14:paraId="5BC5CFAC"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929" w:type="pct"/>
            <w:tcBorders>
              <w:top w:val="nil"/>
              <w:left w:val="nil"/>
              <w:bottom w:val="single" w:sz="4" w:space="0" w:color="auto"/>
              <w:right w:val="nil"/>
            </w:tcBorders>
            <w:shd w:val="clear" w:color="auto" w:fill="auto"/>
            <w:noWrap/>
            <w:vAlign w:val="bottom"/>
            <w:hideMark/>
          </w:tcPr>
          <w:p w14:paraId="4EBCECE0" w14:textId="77777777" w:rsidR="00CB16AA" w:rsidRPr="00666914" w:rsidRDefault="00CB16AA" w:rsidP="00985E7A">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Prvotné výstupy zo ŠU</w:t>
            </w:r>
          </w:p>
        </w:tc>
        <w:tc>
          <w:tcPr>
            <w:tcW w:w="816" w:type="pct"/>
            <w:tcBorders>
              <w:top w:val="nil"/>
              <w:left w:val="nil"/>
              <w:bottom w:val="single" w:sz="4" w:space="0" w:color="auto"/>
              <w:right w:val="nil"/>
            </w:tcBorders>
            <w:shd w:val="clear" w:color="auto" w:fill="auto"/>
            <w:vAlign w:val="bottom"/>
            <w:hideMark/>
          </w:tcPr>
          <w:p w14:paraId="40D81CB9"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Pripomienky k prvotným výstupom z pripravovanej ŠU a CBA</w:t>
            </w:r>
          </w:p>
        </w:tc>
      </w:tr>
    </w:tbl>
    <w:p w14:paraId="5B06095D" w14:textId="77777777" w:rsidR="00CB16AA" w:rsidRPr="00666914" w:rsidRDefault="00CB16AA" w:rsidP="00985E7A">
      <w:pPr>
        <w:spacing w:after="0"/>
        <w:jc w:val="right"/>
        <w:rPr>
          <w:i/>
          <w:sz w:val="18"/>
          <w:szCs w:val="20"/>
        </w:rPr>
      </w:pPr>
      <w:r w:rsidRPr="00666914">
        <w:rPr>
          <w:i/>
          <w:sz w:val="18"/>
          <w:szCs w:val="20"/>
        </w:rPr>
        <w:t>Zdroj: ÚHP MF SR</w:t>
      </w:r>
    </w:p>
    <w:p w14:paraId="11A21B4A" w14:textId="77777777" w:rsidR="00CB16AA" w:rsidRPr="00666914" w:rsidRDefault="00CB16AA" w:rsidP="00985E7A">
      <w:pPr>
        <w:spacing w:after="0"/>
        <w:rPr>
          <w:b/>
          <w:sz w:val="20"/>
          <w:highlight w:val="yellow"/>
        </w:rPr>
      </w:pPr>
    </w:p>
    <w:p w14:paraId="12FDABF2" w14:textId="60527280" w:rsidR="00CB16AA" w:rsidRPr="00666914" w:rsidRDefault="00CB16AA" w:rsidP="00985E7A">
      <w:pPr>
        <w:spacing w:after="0"/>
      </w:pPr>
      <w:r w:rsidRPr="00666914">
        <w:t>ŽSR pripravuje ďalšie štúdie uskutočniteľnosti k železničným investičným projektom, ktoré budú pred finalizáciou predložené</w:t>
      </w:r>
      <w:r w:rsidR="00D67E6E" w:rsidRPr="00666914">
        <w:t xml:space="preserve"> ÚHP MF SR na pripomienkovanie.</w:t>
      </w:r>
    </w:p>
    <w:p w14:paraId="28BA1006" w14:textId="77777777" w:rsidR="00CB16AA" w:rsidRPr="00666914" w:rsidRDefault="00CB16AA" w:rsidP="00985E7A">
      <w:pPr>
        <w:spacing w:after="0"/>
        <w:rPr>
          <w:b/>
          <w:sz w:val="20"/>
          <w:szCs w:val="20"/>
          <w:highlight w:val="yellow"/>
        </w:rPr>
      </w:pPr>
    </w:p>
    <w:p w14:paraId="3DB2CCAF" w14:textId="55CA873B" w:rsidR="00CB16AA" w:rsidRPr="00666914" w:rsidRDefault="00CB16AA" w:rsidP="00985E7A">
      <w:pPr>
        <w:spacing w:after="0"/>
        <w:rPr>
          <w:b/>
          <w:sz w:val="20"/>
          <w:szCs w:val="20"/>
        </w:rPr>
      </w:pPr>
      <w:bookmarkStart w:id="212" w:name="_Toc38447694"/>
      <w:r w:rsidRPr="00666914">
        <w:rPr>
          <w:b/>
          <w:sz w:val="20"/>
          <w:szCs w:val="20"/>
        </w:rPr>
        <w:t xml:space="preserve">Tabuľka </w:t>
      </w:r>
      <w:r w:rsidRPr="00666914">
        <w:rPr>
          <w:b/>
          <w:sz w:val="20"/>
          <w:szCs w:val="20"/>
        </w:rPr>
        <w:fldChar w:fldCharType="begin"/>
      </w:r>
      <w:r w:rsidRPr="00666914">
        <w:rPr>
          <w:b/>
          <w:sz w:val="20"/>
          <w:szCs w:val="20"/>
        </w:rPr>
        <w:instrText xml:space="preserve"> SEQ Tabuľka \* ARABIC \* MERGEFORMAT </w:instrText>
      </w:r>
      <w:r w:rsidRPr="00666914">
        <w:rPr>
          <w:b/>
          <w:sz w:val="20"/>
          <w:szCs w:val="20"/>
        </w:rPr>
        <w:fldChar w:fldCharType="separate"/>
      </w:r>
      <w:r w:rsidR="005A7304">
        <w:rPr>
          <w:b/>
          <w:noProof/>
          <w:sz w:val="20"/>
          <w:szCs w:val="20"/>
        </w:rPr>
        <w:t>33</w:t>
      </w:r>
      <w:r w:rsidRPr="00666914">
        <w:rPr>
          <w:b/>
          <w:sz w:val="20"/>
          <w:szCs w:val="20"/>
        </w:rPr>
        <w:fldChar w:fldCharType="end"/>
      </w:r>
      <w:r w:rsidRPr="00666914">
        <w:rPr>
          <w:b/>
          <w:sz w:val="20"/>
          <w:szCs w:val="20"/>
        </w:rPr>
        <w:t>: Zoznam pripravovaných investičných projektov železničnej infraštruktúry v roku 2019</w:t>
      </w:r>
      <w:bookmarkEnd w:id="212"/>
    </w:p>
    <w:tbl>
      <w:tblPr>
        <w:tblW w:w="5000" w:type="pct"/>
        <w:tblCellMar>
          <w:left w:w="0" w:type="dxa"/>
          <w:right w:w="0" w:type="dxa"/>
        </w:tblCellMar>
        <w:tblLook w:val="04A0" w:firstRow="1" w:lastRow="0" w:firstColumn="1" w:lastColumn="0" w:noHBand="0" w:noVBand="1"/>
      </w:tblPr>
      <w:tblGrid>
        <w:gridCol w:w="7627"/>
        <w:gridCol w:w="1587"/>
      </w:tblGrid>
      <w:tr w:rsidR="00CB16AA" w:rsidRPr="00666914" w14:paraId="4C17E889" w14:textId="77777777" w:rsidTr="00985E7A">
        <w:trPr>
          <w:trHeight w:val="280"/>
        </w:trPr>
        <w:tc>
          <w:tcPr>
            <w:tcW w:w="4139"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0F632A52" w14:textId="77777777" w:rsidR="00CB16AA" w:rsidRPr="00666914" w:rsidRDefault="00CB16AA" w:rsidP="00985E7A">
            <w:pPr>
              <w:spacing w:after="0"/>
              <w:jc w:val="left"/>
              <w:rPr>
                <w:rFonts w:cs="Calibri"/>
                <w:b/>
                <w:bCs/>
                <w:color w:val="000000"/>
                <w:sz w:val="20"/>
                <w:szCs w:val="20"/>
              </w:rPr>
            </w:pPr>
            <w:r w:rsidRPr="00666914">
              <w:rPr>
                <w:rFonts w:cs="Calibri"/>
                <w:b/>
                <w:bCs/>
                <w:color w:val="000000"/>
                <w:sz w:val="20"/>
                <w:szCs w:val="20"/>
              </w:rPr>
              <w:t>Projekt</w:t>
            </w:r>
          </w:p>
        </w:tc>
        <w:tc>
          <w:tcPr>
            <w:tcW w:w="861"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6A5B4FF9" w14:textId="77777777" w:rsidR="00CB16AA" w:rsidRPr="00666914" w:rsidRDefault="00CB16AA" w:rsidP="00985E7A">
            <w:pPr>
              <w:spacing w:after="0"/>
              <w:jc w:val="center"/>
              <w:rPr>
                <w:rFonts w:cs="Calibri"/>
                <w:b/>
                <w:bCs/>
                <w:color w:val="000000"/>
                <w:sz w:val="20"/>
                <w:szCs w:val="20"/>
              </w:rPr>
            </w:pPr>
            <w:r w:rsidRPr="00666914">
              <w:rPr>
                <w:rFonts w:cs="Calibri"/>
                <w:b/>
                <w:bCs/>
                <w:color w:val="000000"/>
                <w:sz w:val="20"/>
                <w:szCs w:val="20"/>
              </w:rPr>
              <w:t>Predmet</w:t>
            </w:r>
          </w:p>
        </w:tc>
      </w:tr>
      <w:tr w:rsidR="00CB16AA" w:rsidRPr="00666914" w14:paraId="5BE2EC80" w14:textId="77777777" w:rsidTr="00985E7A">
        <w:trPr>
          <w:trHeight w:val="380"/>
        </w:trPr>
        <w:tc>
          <w:tcPr>
            <w:tcW w:w="4139" w:type="pct"/>
            <w:tcBorders>
              <w:top w:val="nil"/>
              <w:left w:val="nil"/>
              <w:bottom w:val="nil"/>
              <w:right w:val="nil"/>
            </w:tcBorders>
            <w:shd w:val="clear" w:color="auto" w:fill="auto"/>
            <w:noWrap/>
            <w:tcMar>
              <w:top w:w="15" w:type="dxa"/>
              <w:left w:w="15" w:type="dxa"/>
              <w:bottom w:w="0" w:type="dxa"/>
              <w:right w:w="15" w:type="dxa"/>
            </w:tcMar>
            <w:vAlign w:val="bottom"/>
            <w:hideMark/>
          </w:tcPr>
          <w:p w14:paraId="4C40AAE2" w14:textId="77777777" w:rsidR="00CB16AA" w:rsidRPr="00666914" w:rsidRDefault="00CB16AA">
            <w:pPr>
              <w:rPr>
                <w:rFonts w:cs="Calibri"/>
                <w:color w:val="000000"/>
                <w:sz w:val="20"/>
              </w:rPr>
            </w:pPr>
            <w:r w:rsidRPr="00666914">
              <w:rPr>
                <w:rFonts w:cs="Calibri"/>
                <w:color w:val="000000"/>
                <w:sz w:val="20"/>
              </w:rPr>
              <w:t>Zvýšenie priepustnosti trate Bratislava – Dunajská Streda – Komárno</w:t>
            </w:r>
          </w:p>
        </w:tc>
        <w:tc>
          <w:tcPr>
            <w:tcW w:w="861" w:type="pct"/>
            <w:tcBorders>
              <w:top w:val="nil"/>
              <w:left w:val="nil"/>
              <w:bottom w:val="nil"/>
              <w:right w:val="nil"/>
            </w:tcBorders>
            <w:shd w:val="clear" w:color="auto" w:fill="auto"/>
            <w:noWrap/>
            <w:tcMar>
              <w:top w:w="15" w:type="dxa"/>
              <w:left w:w="15" w:type="dxa"/>
              <w:bottom w:w="0" w:type="dxa"/>
              <w:right w:w="15" w:type="dxa"/>
            </w:tcMar>
            <w:vAlign w:val="center"/>
            <w:hideMark/>
          </w:tcPr>
          <w:p w14:paraId="67E87525" w14:textId="77777777" w:rsidR="00CB16AA" w:rsidRPr="00666914" w:rsidRDefault="00CB16AA">
            <w:pPr>
              <w:jc w:val="center"/>
              <w:rPr>
                <w:rFonts w:cs="Calibri"/>
                <w:color w:val="000000"/>
                <w:sz w:val="20"/>
              </w:rPr>
            </w:pPr>
            <w:r w:rsidRPr="00666914">
              <w:rPr>
                <w:rFonts w:cs="Calibri"/>
                <w:color w:val="000000"/>
                <w:sz w:val="20"/>
              </w:rPr>
              <w:t>ŠÚ</w:t>
            </w:r>
          </w:p>
        </w:tc>
      </w:tr>
      <w:tr w:rsidR="00CB16AA" w:rsidRPr="00666914" w14:paraId="2499FBD7" w14:textId="77777777" w:rsidTr="00985E7A">
        <w:trPr>
          <w:trHeight w:val="733"/>
        </w:trPr>
        <w:tc>
          <w:tcPr>
            <w:tcW w:w="4139" w:type="pct"/>
            <w:tcBorders>
              <w:top w:val="nil"/>
              <w:left w:val="nil"/>
              <w:bottom w:val="nil"/>
              <w:right w:val="nil"/>
            </w:tcBorders>
            <w:shd w:val="clear" w:color="auto" w:fill="auto"/>
            <w:tcMar>
              <w:top w:w="15" w:type="dxa"/>
              <w:left w:w="15" w:type="dxa"/>
              <w:bottom w:w="0" w:type="dxa"/>
              <w:right w:w="15" w:type="dxa"/>
            </w:tcMar>
            <w:vAlign w:val="bottom"/>
            <w:hideMark/>
          </w:tcPr>
          <w:p w14:paraId="2B97BF18" w14:textId="77777777" w:rsidR="00CB16AA" w:rsidRPr="00666914" w:rsidRDefault="00CB16AA">
            <w:pPr>
              <w:rPr>
                <w:rFonts w:cs="Calibri"/>
                <w:color w:val="000000"/>
                <w:sz w:val="20"/>
              </w:rPr>
            </w:pPr>
            <w:r w:rsidRPr="00666914">
              <w:rPr>
                <w:rFonts w:cs="Calibri"/>
                <w:color w:val="000000"/>
                <w:sz w:val="20"/>
              </w:rPr>
              <w:t>Elektrifikácia a optimalizácia trate Leopoldov - Nitra – Šurany” pre variant C1 - výstavba novej trate v úseku Nitra - Trnovec nad Váhom</w:t>
            </w:r>
          </w:p>
        </w:tc>
        <w:tc>
          <w:tcPr>
            <w:tcW w:w="861" w:type="pct"/>
            <w:tcBorders>
              <w:top w:val="nil"/>
              <w:left w:val="nil"/>
              <w:bottom w:val="nil"/>
              <w:right w:val="nil"/>
            </w:tcBorders>
            <w:shd w:val="clear" w:color="auto" w:fill="auto"/>
            <w:noWrap/>
            <w:tcMar>
              <w:top w:w="15" w:type="dxa"/>
              <w:left w:w="15" w:type="dxa"/>
              <w:bottom w:w="0" w:type="dxa"/>
              <w:right w:w="15" w:type="dxa"/>
            </w:tcMar>
            <w:vAlign w:val="center"/>
            <w:hideMark/>
          </w:tcPr>
          <w:p w14:paraId="778AD854" w14:textId="77777777" w:rsidR="00CB16AA" w:rsidRPr="00666914" w:rsidRDefault="00CB16AA">
            <w:pPr>
              <w:jc w:val="center"/>
              <w:rPr>
                <w:rFonts w:cs="Calibri"/>
                <w:color w:val="000000"/>
                <w:sz w:val="20"/>
              </w:rPr>
            </w:pPr>
            <w:r w:rsidRPr="00666914">
              <w:rPr>
                <w:rFonts w:cs="Calibri"/>
                <w:color w:val="000000"/>
                <w:sz w:val="20"/>
              </w:rPr>
              <w:t>aktualizácia ŠÚ</w:t>
            </w:r>
          </w:p>
        </w:tc>
      </w:tr>
      <w:tr w:rsidR="00CB16AA" w:rsidRPr="00666914" w14:paraId="597EBBFC" w14:textId="77777777" w:rsidTr="00985E7A">
        <w:trPr>
          <w:trHeight w:val="280"/>
        </w:trPr>
        <w:tc>
          <w:tcPr>
            <w:tcW w:w="4139" w:type="pct"/>
            <w:tcBorders>
              <w:top w:val="nil"/>
              <w:left w:val="nil"/>
              <w:bottom w:val="nil"/>
              <w:right w:val="nil"/>
            </w:tcBorders>
            <w:shd w:val="clear" w:color="auto" w:fill="auto"/>
            <w:tcMar>
              <w:top w:w="15" w:type="dxa"/>
              <w:left w:w="15" w:type="dxa"/>
              <w:bottom w:w="0" w:type="dxa"/>
              <w:right w:w="15" w:type="dxa"/>
            </w:tcMar>
            <w:vAlign w:val="bottom"/>
            <w:hideMark/>
          </w:tcPr>
          <w:p w14:paraId="425F1B2E" w14:textId="5C42ABFF" w:rsidR="00CB16AA" w:rsidRPr="00666914" w:rsidRDefault="00CB16AA">
            <w:pPr>
              <w:rPr>
                <w:rFonts w:cs="Calibri"/>
                <w:color w:val="000000"/>
                <w:sz w:val="20"/>
              </w:rPr>
            </w:pPr>
            <w:r w:rsidRPr="00666914">
              <w:rPr>
                <w:rFonts w:cs="Calibri"/>
                <w:color w:val="000000"/>
                <w:sz w:val="20"/>
              </w:rPr>
              <w:t xml:space="preserve">Elektrifikácia a optimalizácia trate Zvolen </w:t>
            </w:r>
            <w:r w:rsidR="00FF76CA" w:rsidRPr="00666914">
              <w:rPr>
                <w:rFonts w:cs="Calibri"/>
                <w:color w:val="000000"/>
                <w:sz w:val="20"/>
              </w:rPr>
              <w:t>–</w:t>
            </w:r>
            <w:r w:rsidRPr="00666914">
              <w:rPr>
                <w:rFonts w:cs="Calibri"/>
                <w:color w:val="000000"/>
                <w:sz w:val="20"/>
              </w:rPr>
              <w:t xml:space="preserve"> Fiľakovo</w:t>
            </w:r>
          </w:p>
        </w:tc>
        <w:tc>
          <w:tcPr>
            <w:tcW w:w="861" w:type="pct"/>
            <w:tcBorders>
              <w:top w:val="nil"/>
              <w:left w:val="nil"/>
              <w:bottom w:val="nil"/>
              <w:right w:val="nil"/>
            </w:tcBorders>
            <w:shd w:val="clear" w:color="auto" w:fill="auto"/>
            <w:noWrap/>
            <w:tcMar>
              <w:top w:w="15" w:type="dxa"/>
              <w:left w:w="15" w:type="dxa"/>
              <w:bottom w:w="0" w:type="dxa"/>
              <w:right w:w="15" w:type="dxa"/>
            </w:tcMar>
            <w:vAlign w:val="center"/>
            <w:hideMark/>
          </w:tcPr>
          <w:p w14:paraId="55A296C4" w14:textId="77777777" w:rsidR="00CB16AA" w:rsidRPr="00666914" w:rsidRDefault="00CB16AA">
            <w:pPr>
              <w:jc w:val="center"/>
              <w:rPr>
                <w:rFonts w:cs="Calibri"/>
                <w:color w:val="000000"/>
                <w:sz w:val="20"/>
              </w:rPr>
            </w:pPr>
            <w:r w:rsidRPr="00666914">
              <w:rPr>
                <w:rFonts w:cs="Calibri"/>
                <w:color w:val="000000"/>
                <w:sz w:val="20"/>
              </w:rPr>
              <w:t>ŠÚ</w:t>
            </w:r>
          </w:p>
        </w:tc>
      </w:tr>
      <w:tr w:rsidR="00CB16AA" w:rsidRPr="00666914" w14:paraId="50651446" w14:textId="77777777" w:rsidTr="00985E7A">
        <w:trPr>
          <w:trHeight w:val="595"/>
        </w:trPr>
        <w:tc>
          <w:tcPr>
            <w:tcW w:w="4139" w:type="pct"/>
            <w:tcBorders>
              <w:top w:val="nil"/>
              <w:left w:val="nil"/>
              <w:bottom w:val="single" w:sz="4" w:space="0" w:color="auto"/>
              <w:right w:val="nil"/>
            </w:tcBorders>
            <w:shd w:val="clear" w:color="auto" w:fill="auto"/>
            <w:tcMar>
              <w:top w:w="15" w:type="dxa"/>
              <w:left w:w="15" w:type="dxa"/>
              <w:bottom w:w="0" w:type="dxa"/>
              <w:right w:w="15" w:type="dxa"/>
            </w:tcMar>
            <w:vAlign w:val="bottom"/>
            <w:hideMark/>
          </w:tcPr>
          <w:p w14:paraId="6DFEAA21" w14:textId="77777777" w:rsidR="00CB16AA" w:rsidRPr="00666914" w:rsidRDefault="00CB16AA">
            <w:pPr>
              <w:rPr>
                <w:rFonts w:cs="Calibri"/>
                <w:color w:val="000000"/>
                <w:sz w:val="20"/>
              </w:rPr>
            </w:pPr>
            <w:r w:rsidRPr="00666914">
              <w:rPr>
                <w:rFonts w:cs="Calibri"/>
                <w:color w:val="000000"/>
                <w:sz w:val="20"/>
              </w:rPr>
              <w:t>Modernizácia koridoru, štátna hranica ČR/SR - Čadca - Krásno nad Kysucou (mimo), železničná trať</w:t>
            </w:r>
          </w:p>
        </w:tc>
        <w:tc>
          <w:tcPr>
            <w:tcW w:w="861" w:type="pct"/>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DD1B04B" w14:textId="77777777" w:rsidR="00CB16AA" w:rsidRPr="00666914" w:rsidRDefault="00CB16AA">
            <w:pPr>
              <w:jc w:val="center"/>
              <w:rPr>
                <w:rFonts w:cs="Calibri"/>
                <w:color w:val="000000"/>
                <w:sz w:val="20"/>
              </w:rPr>
            </w:pPr>
            <w:r w:rsidRPr="00666914">
              <w:rPr>
                <w:rFonts w:cs="Calibri"/>
                <w:color w:val="000000"/>
                <w:sz w:val="20"/>
              </w:rPr>
              <w:t>aktualizácia ŠÚ</w:t>
            </w:r>
          </w:p>
        </w:tc>
      </w:tr>
    </w:tbl>
    <w:p w14:paraId="50C791E7" w14:textId="77777777" w:rsidR="00CB16AA" w:rsidRPr="00666914" w:rsidRDefault="00CB16AA" w:rsidP="00985E7A">
      <w:pPr>
        <w:spacing w:after="0"/>
        <w:jc w:val="right"/>
        <w:rPr>
          <w:i/>
          <w:sz w:val="18"/>
        </w:rPr>
      </w:pPr>
      <w:r w:rsidRPr="00666914">
        <w:rPr>
          <w:i/>
          <w:sz w:val="18"/>
        </w:rPr>
        <w:t xml:space="preserve"> Zdroj: ŽSR</w:t>
      </w:r>
    </w:p>
    <w:p w14:paraId="133527E8" w14:textId="77777777" w:rsidR="00CB16AA" w:rsidRPr="00666914" w:rsidRDefault="00CB16AA" w:rsidP="00985E7A">
      <w:pPr>
        <w:spacing w:after="0"/>
      </w:pPr>
    </w:p>
    <w:p w14:paraId="7948B2B7" w14:textId="77777777" w:rsidR="00CB16AA" w:rsidRPr="00666914" w:rsidRDefault="00CB16AA" w:rsidP="00312C28">
      <w:pPr>
        <w:numPr>
          <w:ilvl w:val="0"/>
          <w:numId w:val="34"/>
        </w:numPr>
        <w:spacing w:after="0"/>
        <w:contextualSpacing/>
        <w:rPr>
          <w:b/>
          <w:u w:val="single"/>
        </w:rPr>
      </w:pPr>
      <w:r w:rsidRPr="00666914">
        <w:rPr>
          <w:b/>
          <w:u w:val="single"/>
        </w:rPr>
        <w:t>Prioritné projekty železničnej infraštruktúry (tabuľka 20 RVD) pred verejným obstarávaním na dodávateľa stavebných prác budú hodnotené aj zo strany MF SR</w:t>
      </w:r>
    </w:p>
    <w:p w14:paraId="74FD0299" w14:textId="54A08419" w:rsidR="00CB16AA" w:rsidRPr="00666914" w:rsidRDefault="00CB16AA" w:rsidP="00985E7A">
      <w:pPr>
        <w:spacing w:before="240" w:after="0"/>
      </w:pPr>
      <w:r w:rsidRPr="00666914">
        <w:t xml:space="preserve">V 2H2019 prebiehalo hodnotenie 2 prioritných investičných projektov železničnej infraštruktúry, pričom finálne hodnotenie ÚHP nezverejnilo. </w:t>
      </w:r>
      <w:r w:rsidRPr="00666914">
        <w:rPr>
          <w:b/>
        </w:rPr>
        <w:t>Opatrenie sa k 31.12.2019 nevyhodnocuje.</w:t>
      </w:r>
    </w:p>
    <w:p w14:paraId="2959ABFB" w14:textId="77777777" w:rsidR="00CB16AA" w:rsidRPr="00666914" w:rsidRDefault="00CB16AA" w:rsidP="00985E7A">
      <w:pPr>
        <w:spacing w:after="0"/>
        <w:contextualSpacing/>
      </w:pPr>
    </w:p>
    <w:p w14:paraId="70279485" w14:textId="0B6B0734" w:rsidR="00CB16AA" w:rsidRPr="00666914" w:rsidRDefault="00CB16AA" w:rsidP="00985E7A">
      <w:pPr>
        <w:pBdr>
          <w:bottom w:val="single" w:sz="4" w:space="1" w:color="auto"/>
        </w:pBdr>
        <w:spacing w:after="0"/>
        <w:rPr>
          <w:b/>
          <w:sz w:val="20"/>
          <w:szCs w:val="20"/>
        </w:rPr>
      </w:pPr>
      <w:bookmarkStart w:id="213" w:name="_Toc21522792"/>
      <w:bookmarkStart w:id="214" w:name="_Toc38447695"/>
      <w:r w:rsidRPr="00666914">
        <w:rPr>
          <w:b/>
          <w:sz w:val="20"/>
          <w:szCs w:val="20"/>
        </w:rPr>
        <w:t xml:space="preserve">Tabuľka </w:t>
      </w:r>
      <w:r w:rsidRPr="00666914">
        <w:rPr>
          <w:b/>
          <w:sz w:val="20"/>
          <w:szCs w:val="20"/>
        </w:rPr>
        <w:fldChar w:fldCharType="begin"/>
      </w:r>
      <w:r w:rsidRPr="00666914">
        <w:rPr>
          <w:b/>
          <w:sz w:val="20"/>
          <w:szCs w:val="20"/>
        </w:rPr>
        <w:instrText xml:space="preserve"> SEQ Tabuľka \* ARABIC \* MERGEFORMAT </w:instrText>
      </w:r>
      <w:r w:rsidRPr="00666914">
        <w:rPr>
          <w:b/>
          <w:sz w:val="20"/>
          <w:szCs w:val="20"/>
        </w:rPr>
        <w:fldChar w:fldCharType="separate"/>
      </w:r>
      <w:r w:rsidR="005A7304">
        <w:rPr>
          <w:b/>
          <w:noProof/>
          <w:sz w:val="20"/>
          <w:szCs w:val="20"/>
        </w:rPr>
        <w:t>34</w:t>
      </w:r>
      <w:r w:rsidRPr="00666914">
        <w:rPr>
          <w:b/>
          <w:sz w:val="20"/>
          <w:szCs w:val="20"/>
        </w:rPr>
        <w:fldChar w:fldCharType="end"/>
      </w:r>
      <w:r w:rsidRPr="00666914">
        <w:rPr>
          <w:b/>
          <w:sz w:val="20"/>
          <w:szCs w:val="20"/>
        </w:rPr>
        <w:t xml:space="preserve">: Zoznam prioritných investičných projektov železničnej infraštruktúry posudzovaných ÚHP MF SR v roku </w:t>
      </w:r>
      <w:bookmarkEnd w:id="213"/>
      <w:r w:rsidRPr="00666914">
        <w:rPr>
          <w:b/>
          <w:sz w:val="20"/>
          <w:szCs w:val="20"/>
        </w:rPr>
        <w:t>2019</w:t>
      </w:r>
      <w:bookmarkEnd w:id="214"/>
    </w:p>
    <w:tbl>
      <w:tblPr>
        <w:tblW w:w="5000" w:type="pct"/>
        <w:tblCellMar>
          <w:left w:w="70" w:type="dxa"/>
          <w:right w:w="70" w:type="dxa"/>
        </w:tblCellMar>
        <w:tblLook w:val="04A0" w:firstRow="1" w:lastRow="0" w:firstColumn="1" w:lastColumn="0" w:noHBand="0" w:noVBand="1"/>
      </w:tblPr>
      <w:tblGrid>
        <w:gridCol w:w="2865"/>
        <w:gridCol w:w="906"/>
        <w:gridCol w:w="1248"/>
        <w:gridCol w:w="1856"/>
        <w:gridCol w:w="2339"/>
      </w:tblGrid>
      <w:tr w:rsidR="00CB16AA" w:rsidRPr="00666914" w14:paraId="72563A7A" w14:textId="77777777" w:rsidTr="00B97E3E">
        <w:trPr>
          <w:trHeight w:val="510"/>
        </w:trPr>
        <w:tc>
          <w:tcPr>
            <w:tcW w:w="1555" w:type="pct"/>
            <w:tcBorders>
              <w:top w:val="nil"/>
              <w:left w:val="nil"/>
              <w:bottom w:val="single" w:sz="4" w:space="0" w:color="auto"/>
              <w:right w:val="nil"/>
            </w:tcBorders>
            <w:shd w:val="clear" w:color="auto" w:fill="auto"/>
            <w:noWrap/>
            <w:vAlign w:val="bottom"/>
            <w:hideMark/>
          </w:tcPr>
          <w:p w14:paraId="3979B870" w14:textId="77777777" w:rsidR="00CB16AA" w:rsidRPr="00666914" w:rsidRDefault="00CB16AA" w:rsidP="00985E7A">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Projekt</w:t>
            </w:r>
          </w:p>
        </w:tc>
        <w:tc>
          <w:tcPr>
            <w:tcW w:w="492" w:type="pct"/>
            <w:tcBorders>
              <w:top w:val="nil"/>
              <w:left w:val="nil"/>
              <w:bottom w:val="single" w:sz="4" w:space="0" w:color="auto"/>
              <w:right w:val="nil"/>
            </w:tcBorders>
            <w:shd w:val="clear" w:color="auto" w:fill="auto"/>
            <w:vAlign w:val="bottom"/>
            <w:hideMark/>
          </w:tcPr>
          <w:p w14:paraId="0DA57FED"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Hodnota  (mil. eur)</w:t>
            </w:r>
          </w:p>
        </w:tc>
        <w:tc>
          <w:tcPr>
            <w:tcW w:w="677" w:type="pct"/>
            <w:tcBorders>
              <w:top w:val="nil"/>
              <w:left w:val="nil"/>
              <w:bottom w:val="single" w:sz="4" w:space="0" w:color="auto"/>
              <w:right w:val="nil"/>
            </w:tcBorders>
            <w:shd w:val="clear" w:color="auto" w:fill="auto"/>
            <w:vAlign w:val="bottom"/>
            <w:hideMark/>
          </w:tcPr>
          <w:p w14:paraId="21295568" w14:textId="77777777" w:rsidR="00CB16AA" w:rsidRPr="00666914" w:rsidRDefault="00CB16AA" w:rsidP="00985E7A">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Začiatok posudzovania</w:t>
            </w:r>
          </w:p>
        </w:tc>
        <w:tc>
          <w:tcPr>
            <w:tcW w:w="1007" w:type="pct"/>
            <w:tcBorders>
              <w:top w:val="nil"/>
              <w:left w:val="nil"/>
              <w:bottom w:val="single" w:sz="4" w:space="0" w:color="auto"/>
              <w:right w:val="nil"/>
            </w:tcBorders>
            <w:shd w:val="clear" w:color="auto" w:fill="auto"/>
            <w:noWrap/>
            <w:vAlign w:val="bottom"/>
            <w:hideMark/>
          </w:tcPr>
          <w:p w14:paraId="49BE33FF" w14:textId="77777777" w:rsidR="00CB16AA" w:rsidRPr="00666914" w:rsidRDefault="00CB16AA" w:rsidP="00B97E3E">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Poskytnuté dáta</w:t>
            </w:r>
          </w:p>
        </w:tc>
        <w:tc>
          <w:tcPr>
            <w:tcW w:w="1270" w:type="pct"/>
            <w:tcBorders>
              <w:top w:val="nil"/>
              <w:left w:val="nil"/>
              <w:bottom w:val="single" w:sz="4" w:space="0" w:color="auto"/>
              <w:right w:val="nil"/>
            </w:tcBorders>
            <w:shd w:val="clear" w:color="auto" w:fill="auto"/>
            <w:noWrap/>
            <w:vAlign w:val="bottom"/>
            <w:hideMark/>
          </w:tcPr>
          <w:p w14:paraId="20DDA6D7" w14:textId="77777777" w:rsidR="00CB16AA" w:rsidRPr="00666914" w:rsidRDefault="00CB16AA" w:rsidP="00B97E3E">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Stanovisko</w:t>
            </w:r>
          </w:p>
        </w:tc>
      </w:tr>
      <w:tr w:rsidR="00CB16AA" w:rsidRPr="00666914" w14:paraId="60F7B897" w14:textId="77777777" w:rsidTr="00985E7A">
        <w:trPr>
          <w:trHeight w:val="510"/>
        </w:trPr>
        <w:tc>
          <w:tcPr>
            <w:tcW w:w="1555" w:type="pct"/>
            <w:tcBorders>
              <w:top w:val="nil"/>
              <w:left w:val="nil"/>
              <w:bottom w:val="nil"/>
              <w:right w:val="nil"/>
            </w:tcBorders>
            <w:shd w:val="clear" w:color="auto" w:fill="auto"/>
            <w:noWrap/>
            <w:vAlign w:val="center"/>
            <w:hideMark/>
          </w:tcPr>
          <w:p w14:paraId="710E593F"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Uzol Bratislava</w:t>
            </w:r>
          </w:p>
        </w:tc>
        <w:tc>
          <w:tcPr>
            <w:tcW w:w="492" w:type="pct"/>
            <w:tcBorders>
              <w:top w:val="nil"/>
              <w:left w:val="nil"/>
              <w:bottom w:val="nil"/>
              <w:right w:val="nil"/>
            </w:tcBorders>
            <w:shd w:val="clear" w:color="auto" w:fill="auto"/>
            <w:noWrap/>
            <w:vAlign w:val="center"/>
            <w:hideMark/>
          </w:tcPr>
          <w:p w14:paraId="4E82BAB3"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960</w:t>
            </w:r>
          </w:p>
        </w:tc>
        <w:tc>
          <w:tcPr>
            <w:tcW w:w="677" w:type="pct"/>
            <w:tcBorders>
              <w:top w:val="nil"/>
              <w:left w:val="nil"/>
              <w:bottom w:val="nil"/>
              <w:right w:val="nil"/>
            </w:tcBorders>
            <w:shd w:val="clear" w:color="auto" w:fill="auto"/>
            <w:vAlign w:val="center"/>
            <w:hideMark/>
          </w:tcPr>
          <w:p w14:paraId="084145C3"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06/2018</w:t>
            </w:r>
          </w:p>
        </w:tc>
        <w:tc>
          <w:tcPr>
            <w:tcW w:w="1007" w:type="pct"/>
            <w:tcBorders>
              <w:top w:val="nil"/>
              <w:left w:val="nil"/>
              <w:bottom w:val="nil"/>
              <w:right w:val="nil"/>
            </w:tcBorders>
            <w:shd w:val="clear" w:color="auto" w:fill="auto"/>
            <w:vAlign w:val="center"/>
            <w:hideMark/>
          </w:tcPr>
          <w:p w14:paraId="4B1E106C"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Príprava ŠU</w:t>
            </w:r>
          </w:p>
        </w:tc>
        <w:tc>
          <w:tcPr>
            <w:tcW w:w="1270" w:type="pct"/>
            <w:tcBorders>
              <w:top w:val="nil"/>
              <w:left w:val="nil"/>
              <w:bottom w:val="nil"/>
              <w:right w:val="nil"/>
            </w:tcBorders>
            <w:shd w:val="clear" w:color="auto" w:fill="auto"/>
            <w:vAlign w:val="center"/>
            <w:hideMark/>
          </w:tcPr>
          <w:p w14:paraId="5B68DD1E"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Pripomienky k príprave ŠU</w:t>
            </w:r>
          </w:p>
        </w:tc>
      </w:tr>
      <w:tr w:rsidR="00CB16AA" w:rsidRPr="00666914" w14:paraId="1E5552D0" w14:textId="77777777" w:rsidTr="00985E7A">
        <w:trPr>
          <w:trHeight w:val="765"/>
        </w:trPr>
        <w:tc>
          <w:tcPr>
            <w:tcW w:w="1555" w:type="pct"/>
            <w:tcBorders>
              <w:top w:val="nil"/>
              <w:left w:val="nil"/>
              <w:bottom w:val="single" w:sz="4" w:space="0" w:color="auto"/>
              <w:right w:val="nil"/>
            </w:tcBorders>
            <w:shd w:val="clear" w:color="auto" w:fill="auto"/>
            <w:vAlign w:val="center"/>
            <w:hideMark/>
          </w:tcPr>
          <w:p w14:paraId="1A7159E4"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Centralizácia riadenia systémov bezpečnosti objektov ŽSR a zabezpečenie štandardov železničných staníc</w:t>
            </w:r>
          </w:p>
        </w:tc>
        <w:tc>
          <w:tcPr>
            <w:tcW w:w="492" w:type="pct"/>
            <w:tcBorders>
              <w:top w:val="nil"/>
              <w:left w:val="nil"/>
              <w:bottom w:val="single" w:sz="4" w:space="0" w:color="auto"/>
              <w:right w:val="nil"/>
            </w:tcBorders>
            <w:shd w:val="clear" w:color="auto" w:fill="auto"/>
            <w:noWrap/>
            <w:vAlign w:val="center"/>
            <w:hideMark/>
          </w:tcPr>
          <w:p w14:paraId="09923BED"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74</w:t>
            </w:r>
          </w:p>
        </w:tc>
        <w:tc>
          <w:tcPr>
            <w:tcW w:w="677" w:type="pct"/>
            <w:tcBorders>
              <w:top w:val="nil"/>
              <w:left w:val="nil"/>
              <w:bottom w:val="single" w:sz="4" w:space="0" w:color="auto"/>
              <w:right w:val="nil"/>
            </w:tcBorders>
            <w:shd w:val="clear" w:color="auto" w:fill="auto"/>
            <w:vAlign w:val="center"/>
            <w:hideMark/>
          </w:tcPr>
          <w:p w14:paraId="4A119A23"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12/2017</w:t>
            </w:r>
          </w:p>
        </w:tc>
        <w:tc>
          <w:tcPr>
            <w:tcW w:w="1007" w:type="pct"/>
            <w:tcBorders>
              <w:top w:val="nil"/>
              <w:left w:val="nil"/>
              <w:bottom w:val="single" w:sz="4" w:space="0" w:color="auto"/>
              <w:right w:val="nil"/>
            </w:tcBorders>
            <w:shd w:val="clear" w:color="auto" w:fill="auto"/>
            <w:vAlign w:val="center"/>
            <w:hideMark/>
          </w:tcPr>
          <w:p w14:paraId="2052FC8B"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ŠU, Súťažné podklady</w:t>
            </w:r>
          </w:p>
        </w:tc>
        <w:tc>
          <w:tcPr>
            <w:tcW w:w="1270" w:type="pct"/>
            <w:tcBorders>
              <w:top w:val="nil"/>
              <w:left w:val="nil"/>
              <w:bottom w:val="single" w:sz="4" w:space="0" w:color="auto"/>
              <w:right w:val="nil"/>
            </w:tcBorders>
            <w:shd w:val="clear" w:color="auto" w:fill="auto"/>
            <w:vAlign w:val="center"/>
            <w:hideMark/>
          </w:tcPr>
          <w:p w14:paraId="2AAF3371" w14:textId="77777777" w:rsidR="00CB16AA" w:rsidRPr="00666914" w:rsidRDefault="00CB16AA" w:rsidP="00985E7A">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Pripomienky k ŠU a súťažným podkladom</w:t>
            </w:r>
          </w:p>
        </w:tc>
      </w:tr>
    </w:tbl>
    <w:p w14:paraId="4A56CA75" w14:textId="77777777" w:rsidR="00CB16AA" w:rsidRPr="00666914" w:rsidRDefault="00CB16AA" w:rsidP="00985E7A">
      <w:pPr>
        <w:spacing w:after="0"/>
        <w:jc w:val="right"/>
        <w:rPr>
          <w:i/>
          <w:sz w:val="18"/>
          <w:szCs w:val="20"/>
        </w:rPr>
      </w:pPr>
      <w:r w:rsidRPr="00666914">
        <w:rPr>
          <w:i/>
          <w:sz w:val="18"/>
          <w:szCs w:val="20"/>
        </w:rPr>
        <w:t>Zdroj: ÚHP MF SR</w:t>
      </w:r>
    </w:p>
    <w:p w14:paraId="7EA1BC9F" w14:textId="77777777" w:rsidR="00CB16AA" w:rsidRPr="00666914" w:rsidRDefault="00CB16AA" w:rsidP="00985E7A">
      <w:pPr>
        <w:spacing w:after="0"/>
        <w:rPr>
          <w:b/>
          <w:sz w:val="20"/>
          <w:szCs w:val="20"/>
        </w:rPr>
      </w:pPr>
    </w:p>
    <w:p w14:paraId="1DCE22F7" w14:textId="3CA93B9E" w:rsidR="00CB16AA" w:rsidRPr="00666914" w:rsidRDefault="00CB16AA" w:rsidP="00985E7A">
      <w:pPr>
        <w:spacing w:after="0"/>
        <w:rPr>
          <w:b/>
          <w:sz w:val="20"/>
          <w:szCs w:val="20"/>
        </w:rPr>
      </w:pPr>
      <w:bookmarkStart w:id="215" w:name="_Toc21522793"/>
      <w:bookmarkStart w:id="216" w:name="_Toc38447696"/>
      <w:r w:rsidRPr="00666914">
        <w:rPr>
          <w:b/>
          <w:sz w:val="20"/>
          <w:szCs w:val="20"/>
        </w:rPr>
        <w:t xml:space="preserve">Tabuľka </w:t>
      </w:r>
      <w:r w:rsidRPr="00666914">
        <w:rPr>
          <w:b/>
          <w:sz w:val="20"/>
          <w:szCs w:val="20"/>
        </w:rPr>
        <w:fldChar w:fldCharType="begin"/>
      </w:r>
      <w:r w:rsidRPr="00666914">
        <w:rPr>
          <w:b/>
          <w:sz w:val="20"/>
          <w:szCs w:val="20"/>
        </w:rPr>
        <w:instrText xml:space="preserve"> SEQ Tabuľka \* ARABIC  \* MERGEFORMAT </w:instrText>
      </w:r>
      <w:r w:rsidRPr="00666914">
        <w:rPr>
          <w:b/>
          <w:sz w:val="20"/>
          <w:szCs w:val="20"/>
        </w:rPr>
        <w:fldChar w:fldCharType="separate"/>
      </w:r>
      <w:r w:rsidR="005A7304">
        <w:rPr>
          <w:b/>
          <w:noProof/>
          <w:sz w:val="20"/>
          <w:szCs w:val="20"/>
        </w:rPr>
        <w:t>35</w:t>
      </w:r>
      <w:r w:rsidRPr="00666914">
        <w:rPr>
          <w:b/>
          <w:sz w:val="20"/>
          <w:szCs w:val="20"/>
        </w:rPr>
        <w:fldChar w:fldCharType="end"/>
      </w:r>
      <w:r w:rsidRPr="00666914">
        <w:rPr>
          <w:b/>
          <w:sz w:val="20"/>
          <w:szCs w:val="20"/>
        </w:rPr>
        <w:t>: Prioritné investície ŽSR s hodnotou nad 20 mil. eur, stav k 31.12.2019</w:t>
      </w:r>
      <w:bookmarkEnd w:id="215"/>
      <w:bookmarkEnd w:id="216"/>
    </w:p>
    <w:tbl>
      <w:tblPr>
        <w:tblW w:w="5000" w:type="pct"/>
        <w:tblLayout w:type="fixed"/>
        <w:tblCellMar>
          <w:left w:w="70" w:type="dxa"/>
          <w:right w:w="70" w:type="dxa"/>
        </w:tblCellMar>
        <w:tblLook w:val="04A0" w:firstRow="1" w:lastRow="0" w:firstColumn="1" w:lastColumn="0" w:noHBand="0" w:noVBand="1"/>
      </w:tblPr>
      <w:tblGrid>
        <w:gridCol w:w="3601"/>
        <w:gridCol w:w="964"/>
        <w:gridCol w:w="1410"/>
        <w:gridCol w:w="1682"/>
        <w:gridCol w:w="1557"/>
      </w:tblGrid>
      <w:tr w:rsidR="00CB16AA" w:rsidRPr="00666914" w14:paraId="01E42075" w14:textId="77777777" w:rsidTr="00985E7A">
        <w:trPr>
          <w:trHeight w:val="520"/>
        </w:trPr>
        <w:tc>
          <w:tcPr>
            <w:tcW w:w="1954" w:type="pct"/>
            <w:tcBorders>
              <w:top w:val="single" w:sz="4" w:space="0" w:color="auto"/>
              <w:left w:val="nil"/>
              <w:bottom w:val="single" w:sz="4" w:space="0" w:color="auto"/>
              <w:right w:val="nil"/>
            </w:tcBorders>
            <w:shd w:val="clear" w:color="auto" w:fill="auto"/>
            <w:vAlign w:val="center"/>
            <w:hideMark/>
          </w:tcPr>
          <w:p w14:paraId="0820134F" w14:textId="77777777" w:rsidR="00CB16AA" w:rsidRPr="00666914" w:rsidRDefault="00CB16AA" w:rsidP="00985E7A">
            <w:pPr>
              <w:spacing w:after="0"/>
              <w:rPr>
                <w:rFonts w:eastAsia="Times New Roman" w:cs="Calibri"/>
                <w:b/>
                <w:bCs/>
                <w:sz w:val="20"/>
                <w:szCs w:val="20"/>
                <w:lang w:eastAsia="sk-SK"/>
              </w:rPr>
            </w:pPr>
            <w:r w:rsidRPr="00666914">
              <w:rPr>
                <w:rFonts w:eastAsia="Times New Roman" w:cs="Calibri"/>
                <w:b/>
                <w:bCs/>
                <w:sz w:val="20"/>
                <w:szCs w:val="20"/>
                <w:lang w:eastAsia="sk-SK"/>
              </w:rPr>
              <w:t>Názov stavby /projektu</w:t>
            </w:r>
          </w:p>
        </w:tc>
        <w:tc>
          <w:tcPr>
            <w:tcW w:w="523" w:type="pct"/>
            <w:tcBorders>
              <w:top w:val="single" w:sz="4" w:space="0" w:color="auto"/>
              <w:left w:val="nil"/>
              <w:bottom w:val="single" w:sz="4" w:space="0" w:color="auto"/>
              <w:right w:val="nil"/>
            </w:tcBorders>
            <w:shd w:val="clear" w:color="auto" w:fill="auto"/>
            <w:vAlign w:val="center"/>
            <w:hideMark/>
          </w:tcPr>
          <w:p w14:paraId="51916C4E" w14:textId="77777777" w:rsidR="00CB16AA" w:rsidRPr="00666914" w:rsidRDefault="00CB16AA" w:rsidP="00985E7A">
            <w:pPr>
              <w:spacing w:after="0"/>
              <w:jc w:val="center"/>
              <w:rPr>
                <w:rFonts w:eastAsia="Times New Roman" w:cs="Calibri"/>
                <w:b/>
                <w:bCs/>
                <w:sz w:val="20"/>
                <w:szCs w:val="20"/>
                <w:lang w:eastAsia="sk-SK"/>
              </w:rPr>
            </w:pPr>
            <w:r w:rsidRPr="00666914">
              <w:rPr>
                <w:rFonts w:eastAsia="Times New Roman" w:cs="Calibri"/>
                <w:b/>
                <w:bCs/>
                <w:sz w:val="20"/>
                <w:szCs w:val="20"/>
                <w:lang w:eastAsia="sk-SK"/>
              </w:rPr>
              <w:t>Odhad nákladov (mil. eur)</w:t>
            </w:r>
          </w:p>
        </w:tc>
        <w:tc>
          <w:tcPr>
            <w:tcW w:w="765" w:type="pct"/>
            <w:tcBorders>
              <w:top w:val="single" w:sz="4" w:space="0" w:color="auto"/>
              <w:left w:val="nil"/>
              <w:bottom w:val="single" w:sz="4" w:space="0" w:color="auto"/>
              <w:right w:val="nil"/>
            </w:tcBorders>
            <w:shd w:val="clear" w:color="auto" w:fill="auto"/>
            <w:vAlign w:val="center"/>
            <w:hideMark/>
          </w:tcPr>
          <w:p w14:paraId="52F4C56D" w14:textId="77777777" w:rsidR="00CB16AA" w:rsidRPr="00666914" w:rsidRDefault="00CB16AA" w:rsidP="00985E7A">
            <w:pPr>
              <w:spacing w:after="0"/>
              <w:jc w:val="center"/>
              <w:rPr>
                <w:rFonts w:eastAsia="Times New Roman" w:cs="Calibri"/>
                <w:b/>
                <w:bCs/>
                <w:sz w:val="20"/>
                <w:szCs w:val="20"/>
                <w:lang w:eastAsia="sk-SK"/>
              </w:rPr>
            </w:pPr>
            <w:r w:rsidRPr="00666914">
              <w:rPr>
                <w:rFonts w:eastAsia="Times New Roman" w:cs="Calibri"/>
                <w:b/>
                <w:bCs/>
                <w:sz w:val="20"/>
                <w:szCs w:val="20"/>
                <w:lang w:eastAsia="sk-SK"/>
              </w:rPr>
              <w:t>Financovanie</w:t>
            </w:r>
          </w:p>
        </w:tc>
        <w:tc>
          <w:tcPr>
            <w:tcW w:w="913" w:type="pct"/>
            <w:tcBorders>
              <w:top w:val="single" w:sz="4" w:space="0" w:color="auto"/>
              <w:left w:val="nil"/>
              <w:bottom w:val="single" w:sz="4" w:space="0" w:color="auto"/>
              <w:right w:val="nil"/>
            </w:tcBorders>
            <w:shd w:val="clear" w:color="auto" w:fill="auto"/>
            <w:vAlign w:val="center"/>
            <w:hideMark/>
          </w:tcPr>
          <w:p w14:paraId="1346BF51" w14:textId="77777777" w:rsidR="00CB16AA" w:rsidRPr="00666914" w:rsidRDefault="00CB16AA" w:rsidP="00985E7A">
            <w:pPr>
              <w:spacing w:after="0"/>
              <w:jc w:val="center"/>
              <w:rPr>
                <w:rFonts w:eastAsia="Times New Roman" w:cs="Calibri"/>
                <w:b/>
                <w:bCs/>
                <w:sz w:val="20"/>
                <w:szCs w:val="20"/>
                <w:lang w:eastAsia="sk-SK"/>
              </w:rPr>
            </w:pPr>
            <w:r w:rsidRPr="00666914">
              <w:rPr>
                <w:rFonts w:eastAsia="Times New Roman" w:cs="Calibri"/>
                <w:b/>
                <w:bCs/>
                <w:sz w:val="20"/>
                <w:szCs w:val="20"/>
                <w:lang w:eastAsia="sk-SK"/>
              </w:rPr>
              <w:t>Aktuálna fáza projektu</w:t>
            </w:r>
          </w:p>
        </w:tc>
        <w:tc>
          <w:tcPr>
            <w:tcW w:w="845" w:type="pct"/>
            <w:tcBorders>
              <w:top w:val="single" w:sz="4" w:space="0" w:color="auto"/>
              <w:left w:val="nil"/>
              <w:bottom w:val="single" w:sz="4" w:space="0" w:color="auto"/>
              <w:right w:val="nil"/>
            </w:tcBorders>
            <w:shd w:val="clear" w:color="auto" w:fill="auto"/>
            <w:vAlign w:val="center"/>
            <w:hideMark/>
          </w:tcPr>
          <w:p w14:paraId="1C263C4D" w14:textId="77777777" w:rsidR="00CB16AA" w:rsidRPr="00666914" w:rsidRDefault="00CB16AA" w:rsidP="00985E7A">
            <w:pPr>
              <w:spacing w:after="0"/>
              <w:jc w:val="center"/>
              <w:rPr>
                <w:rFonts w:eastAsia="Times New Roman" w:cs="Calibri"/>
                <w:b/>
                <w:bCs/>
                <w:sz w:val="20"/>
                <w:szCs w:val="20"/>
                <w:lang w:eastAsia="sk-SK"/>
              </w:rPr>
            </w:pPr>
            <w:r w:rsidRPr="00666914">
              <w:rPr>
                <w:rFonts w:eastAsia="Times New Roman" w:cs="Calibri"/>
                <w:b/>
                <w:bCs/>
                <w:sz w:val="20"/>
                <w:szCs w:val="20"/>
                <w:lang w:eastAsia="sk-SK"/>
              </w:rPr>
              <w:t>Poznámka</w:t>
            </w:r>
          </w:p>
        </w:tc>
      </w:tr>
      <w:tr w:rsidR="00CB16AA" w:rsidRPr="00666914" w14:paraId="3DEB0225" w14:textId="77777777" w:rsidTr="00985E7A">
        <w:trPr>
          <w:trHeight w:val="1040"/>
        </w:trPr>
        <w:tc>
          <w:tcPr>
            <w:tcW w:w="1954" w:type="pct"/>
            <w:tcBorders>
              <w:top w:val="nil"/>
              <w:left w:val="nil"/>
              <w:bottom w:val="nil"/>
              <w:right w:val="nil"/>
            </w:tcBorders>
            <w:shd w:val="clear" w:color="auto" w:fill="auto"/>
            <w:noWrap/>
            <w:vAlign w:val="center"/>
            <w:hideMark/>
          </w:tcPr>
          <w:p w14:paraId="27BDCABF" w14:textId="77777777" w:rsidR="00CB16AA" w:rsidRPr="00666914" w:rsidRDefault="00CB16AA" w:rsidP="00985E7A">
            <w:pPr>
              <w:spacing w:after="0"/>
              <w:rPr>
                <w:rFonts w:eastAsia="Times New Roman" w:cs="Calibri"/>
                <w:sz w:val="20"/>
                <w:szCs w:val="20"/>
                <w:lang w:eastAsia="sk-SK"/>
              </w:rPr>
            </w:pPr>
            <w:r w:rsidRPr="00666914">
              <w:rPr>
                <w:rFonts w:eastAsia="Times New Roman" w:cs="Calibri"/>
                <w:sz w:val="20"/>
                <w:szCs w:val="20"/>
                <w:lang w:eastAsia="sk-SK"/>
              </w:rPr>
              <w:t>Komunikačná infraštruktúra služieb telematiky ŽSR</w:t>
            </w:r>
          </w:p>
        </w:tc>
        <w:tc>
          <w:tcPr>
            <w:tcW w:w="523" w:type="pct"/>
            <w:tcBorders>
              <w:top w:val="nil"/>
              <w:left w:val="nil"/>
              <w:bottom w:val="nil"/>
              <w:right w:val="nil"/>
            </w:tcBorders>
            <w:shd w:val="clear" w:color="auto" w:fill="auto"/>
            <w:noWrap/>
            <w:vAlign w:val="center"/>
            <w:hideMark/>
          </w:tcPr>
          <w:p w14:paraId="3717DB9B"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27,4</w:t>
            </w:r>
          </w:p>
        </w:tc>
        <w:tc>
          <w:tcPr>
            <w:tcW w:w="765" w:type="pct"/>
            <w:tcBorders>
              <w:top w:val="nil"/>
              <w:left w:val="nil"/>
              <w:bottom w:val="nil"/>
              <w:right w:val="nil"/>
            </w:tcBorders>
            <w:shd w:val="clear" w:color="auto" w:fill="auto"/>
            <w:noWrap/>
            <w:vAlign w:val="center"/>
            <w:hideMark/>
          </w:tcPr>
          <w:p w14:paraId="2950881A"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OPII</w:t>
            </w:r>
          </w:p>
        </w:tc>
        <w:tc>
          <w:tcPr>
            <w:tcW w:w="913" w:type="pct"/>
            <w:tcBorders>
              <w:top w:val="nil"/>
              <w:left w:val="nil"/>
              <w:bottom w:val="nil"/>
              <w:right w:val="nil"/>
            </w:tcBorders>
            <w:shd w:val="clear" w:color="auto" w:fill="auto"/>
            <w:vAlign w:val="center"/>
            <w:hideMark/>
          </w:tcPr>
          <w:p w14:paraId="1182092B"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 xml:space="preserve"> Podpísaná Čiastková kúpna zmluva a Čiastková zmluva o dielo. Prebieha realizácia projektu.</w:t>
            </w:r>
          </w:p>
        </w:tc>
        <w:tc>
          <w:tcPr>
            <w:tcW w:w="845" w:type="pct"/>
            <w:tcBorders>
              <w:top w:val="nil"/>
              <w:left w:val="nil"/>
              <w:bottom w:val="nil"/>
              <w:right w:val="nil"/>
            </w:tcBorders>
            <w:shd w:val="clear" w:color="auto" w:fill="auto"/>
            <w:vAlign w:val="center"/>
            <w:hideMark/>
          </w:tcPr>
          <w:p w14:paraId="44A6612E"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w:t>
            </w:r>
          </w:p>
        </w:tc>
      </w:tr>
      <w:tr w:rsidR="00CB16AA" w:rsidRPr="00666914" w14:paraId="02D786E4" w14:textId="77777777" w:rsidTr="00985E7A">
        <w:trPr>
          <w:trHeight w:val="1300"/>
        </w:trPr>
        <w:tc>
          <w:tcPr>
            <w:tcW w:w="1954" w:type="pct"/>
            <w:tcBorders>
              <w:top w:val="nil"/>
              <w:left w:val="nil"/>
              <w:bottom w:val="nil"/>
              <w:right w:val="nil"/>
            </w:tcBorders>
            <w:shd w:val="clear" w:color="auto" w:fill="auto"/>
            <w:vAlign w:val="center"/>
            <w:hideMark/>
          </w:tcPr>
          <w:p w14:paraId="7BBE1683" w14:textId="77777777" w:rsidR="00CB16AA" w:rsidRPr="00666914" w:rsidRDefault="00CB16AA" w:rsidP="00985E7A">
            <w:pPr>
              <w:spacing w:after="0"/>
              <w:rPr>
                <w:rFonts w:eastAsia="Times New Roman" w:cs="Calibri"/>
                <w:sz w:val="20"/>
                <w:szCs w:val="20"/>
                <w:lang w:eastAsia="sk-SK"/>
              </w:rPr>
            </w:pPr>
            <w:r w:rsidRPr="00666914">
              <w:rPr>
                <w:rFonts w:eastAsia="Times New Roman" w:cs="Calibri"/>
                <w:sz w:val="20"/>
                <w:szCs w:val="20"/>
                <w:lang w:eastAsia="sk-SK"/>
              </w:rPr>
              <w:t>Diagnostické vozidlá</w:t>
            </w:r>
          </w:p>
        </w:tc>
        <w:tc>
          <w:tcPr>
            <w:tcW w:w="523" w:type="pct"/>
            <w:tcBorders>
              <w:top w:val="nil"/>
              <w:left w:val="nil"/>
              <w:bottom w:val="nil"/>
              <w:right w:val="nil"/>
            </w:tcBorders>
            <w:shd w:val="clear" w:color="auto" w:fill="auto"/>
            <w:vAlign w:val="center"/>
            <w:hideMark/>
          </w:tcPr>
          <w:p w14:paraId="46728DF6"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30</w:t>
            </w:r>
          </w:p>
        </w:tc>
        <w:tc>
          <w:tcPr>
            <w:tcW w:w="765" w:type="pct"/>
            <w:tcBorders>
              <w:top w:val="nil"/>
              <w:left w:val="nil"/>
              <w:bottom w:val="nil"/>
              <w:right w:val="nil"/>
            </w:tcBorders>
            <w:shd w:val="clear" w:color="auto" w:fill="auto"/>
            <w:vAlign w:val="center"/>
            <w:hideMark/>
          </w:tcPr>
          <w:p w14:paraId="33BCDF46"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OPII SIH</w:t>
            </w:r>
          </w:p>
        </w:tc>
        <w:tc>
          <w:tcPr>
            <w:tcW w:w="913" w:type="pct"/>
            <w:tcBorders>
              <w:top w:val="nil"/>
              <w:left w:val="nil"/>
              <w:bottom w:val="nil"/>
              <w:right w:val="nil"/>
            </w:tcBorders>
            <w:shd w:val="clear" w:color="auto" w:fill="auto"/>
            <w:vAlign w:val="center"/>
            <w:hideMark/>
          </w:tcPr>
          <w:p w14:paraId="6FCE5027"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 xml:space="preserve">V jednom prípade zmluva na dodanie diagnost. vozidla podpísaná a účinná, v prípade 2. diag. </w:t>
            </w:r>
            <w:r w:rsidRPr="00666914">
              <w:rPr>
                <w:rFonts w:eastAsia="Times New Roman" w:cs="Calibri"/>
                <w:sz w:val="20"/>
                <w:szCs w:val="20"/>
                <w:lang w:eastAsia="sk-SK"/>
              </w:rPr>
              <w:lastRenderedPageBreak/>
              <w:t>vozidla prebieha proces VO</w:t>
            </w:r>
          </w:p>
        </w:tc>
        <w:tc>
          <w:tcPr>
            <w:tcW w:w="845" w:type="pct"/>
            <w:tcBorders>
              <w:top w:val="nil"/>
              <w:left w:val="nil"/>
              <w:bottom w:val="nil"/>
              <w:right w:val="nil"/>
            </w:tcBorders>
            <w:shd w:val="clear" w:color="auto" w:fill="auto"/>
            <w:vAlign w:val="center"/>
            <w:hideMark/>
          </w:tcPr>
          <w:p w14:paraId="58E5CC32"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lastRenderedPageBreak/>
              <w:t xml:space="preserve">Diagnostické vozidlo defektoskopie koľajníc: v 12/2019 bola podpísaná </w:t>
            </w:r>
            <w:r w:rsidRPr="00666914">
              <w:rPr>
                <w:rFonts w:eastAsia="Times New Roman" w:cs="Calibri"/>
                <w:sz w:val="20"/>
                <w:szCs w:val="20"/>
                <w:lang w:eastAsia="sk-SK"/>
              </w:rPr>
              <w:lastRenderedPageBreak/>
              <w:t>zmluva  na dodanie diagnostického vozidla defektoskopie koľajníc. Diagnostické vozidlo pre meranie geometrickej polohy koľaje:  prebieha proces verejného obstarávania, predpoklad uzatvorenie zmluvy do konca januára 2020</w:t>
            </w:r>
          </w:p>
        </w:tc>
      </w:tr>
      <w:tr w:rsidR="00CB16AA" w:rsidRPr="00666914" w14:paraId="2E948184" w14:textId="77777777" w:rsidTr="00985E7A">
        <w:trPr>
          <w:trHeight w:val="260"/>
        </w:trPr>
        <w:tc>
          <w:tcPr>
            <w:tcW w:w="1954" w:type="pct"/>
            <w:tcBorders>
              <w:top w:val="nil"/>
              <w:left w:val="nil"/>
              <w:bottom w:val="nil"/>
              <w:right w:val="nil"/>
            </w:tcBorders>
            <w:shd w:val="clear" w:color="auto" w:fill="auto"/>
            <w:noWrap/>
            <w:vAlign w:val="center"/>
          </w:tcPr>
          <w:p w14:paraId="215E7B72" w14:textId="77777777" w:rsidR="00CB16AA" w:rsidRPr="00666914" w:rsidRDefault="00CB16AA" w:rsidP="00985E7A">
            <w:pPr>
              <w:spacing w:after="0"/>
              <w:rPr>
                <w:rFonts w:eastAsia="Times New Roman" w:cs="Calibri"/>
                <w:sz w:val="20"/>
                <w:szCs w:val="20"/>
                <w:lang w:eastAsia="sk-SK"/>
              </w:rPr>
            </w:pPr>
            <w:r w:rsidRPr="00666914">
              <w:rPr>
                <w:rFonts w:eastAsia="Times New Roman" w:cs="Calibri"/>
                <w:sz w:val="20"/>
                <w:szCs w:val="20"/>
                <w:lang w:eastAsia="sk-SK"/>
              </w:rPr>
              <w:lastRenderedPageBreak/>
              <w:t>Implementácia ERTMS na úseku Bratislava – Nové Zámky – št. hr. SR/MR</w:t>
            </w:r>
          </w:p>
        </w:tc>
        <w:tc>
          <w:tcPr>
            <w:tcW w:w="523" w:type="pct"/>
            <w:tcBorders>
              <w:top w:val="nil"/>
              <w:left w:val="nil"/>
              <w:bottom w:val="nil"/>
              <w:right w:val="nil"/>
            </w:tcBorders>
            <w:shd w:val="clear" w:color="auto" w:fill="auto"/>
            <w:noWrap/>
            <w:vAlign w:val="center"/>
          </w:tcPr>
          <w:p w14:paraId="40B29B1C"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zatiaľ neurčené</w:t>
            </w:r>
          </w:p>
        </w:tc>
        <w:tc>
          <w:tcPr>
            <w:tcW w:w="765" w:type="pct"/>
            <w:tcBorders>
              <w:top w:val="nil"/>
              <w:left w:val="nil"/>
              <w:bottom w:val="nil"/>
              <w:right w:val="nil"/>
            </w:tcBorders>
            <w:shd w:val="clear" w:color="auto" w:fill="auto"/>
            <w:noWrap/>
            <w:vAlign w:val="center"/>
          </w:tcPr>
          <w:p w14:paraId="1EF551B9" w14:textId="77777777" w:rsidR="00CB16AA" w:rsidRPr="00666914" w:rsidRDefault="00CB16AA" w:rsidP="00985E7A">
            <w:pPr>
              <w:spacing w:after="0"/>
              <w:jc w:val="center"/>
              <w:rPr>
                <w:rFonts w:eastAsia="Times New Roman" w:cs="Calibri"/>
                <w:sz w:val="20"/>
                <w:szCs w:val="20"/>
                <w:lang w:eastAsia="sk-SK"/>
              </w:rPr>
            </w:pPr>
          </w:p>
        </w:tc>
        <w:tc>
          <w:tcPr>
            <w:tcW w:w="913" w:type="pct"/>
            <w:tcBorders>
              <w:top w:val="nil"/>
              <w:left w:val="nil"/>
              <w:bottom w:val="nil"/>
              <w:right w:val="nil"/>
            </w:tcBorders>
            <w:shd w:val="clear" w:color="auto" w:fill="auto"/>
            <w:noWrap/>
            <w:vAlign w:val="center"/>
          </w:tcPr>
          <w:p w14:paraId="444CE3CC"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projektová príprava nezačala</w:t>
            </w:r>
          </w:p>
        </w:tc>
        <w:tc>
          <w:tcPr>
            <w:tcW w:w="845" w:type="pct"/>
            <w:tcBorders>
              <w:top w:val="nil"/>
              <w:left w:val="nil"/>
              <w:bottom w:val="nil"/>
              <w:right w:val="nil"/>
            </w:tcBorders>
            <w:shd w:val="clear" w:color="auto" w:fill="auto"/>
            <w:vAlign w:val="center"/>
            <w:hideMark/>
          </w:tcPr>
          <w:p w14:paraId="54CBEEC9" w14:textId="77777777" w:rsidR="00CB16AA" w:rsidRPr="00666914" w:rsidRDefault="00CB16AA" w:rsidP="00985E7A">
            <w:pPr>
              <w:spacing w:after="0"/>
              <w:jc w:val="center"/>
              <w:rPr>
                <w:rFonts w:eastAsia="Times New Roman" w:cs="Calibri"/>
                <w:sz w:val="20"/>
                <w:szCs w:val="20"/>
                <w:lang w:eastAsia="sk-SK"/>
              </w:rPr>
            </w:pPr>
          </w:p>
        </w:tc>
      </w:tr>
      <w:tr w:rsidR="00CB16AA" w:rsidRPr="00666914" w14:paraId="71DF8230" w14:textId="77777777" w:rsidTr="00985E7A">
        <w:trPr>
          <w:trHeight w:val="260"/>
        </w:trPr>
        <w:tc>
          <w:tcPr>
            <w:tcW w:w="1954" w:type="pct"/>
            <w:tcBorders>
              <w:top w:val="nil"/>
              <w:left w:val="nil"/>
              <w:bottom w:val="nil"/>
              <w:right w:val="nil"/>
            </w:tcBorders>
            <w:shd w:val="clear" w:color="auto" w:fill="auto"/>
            <w:noWrap/>
            <w:vAlign w:val="center"/>
            <w:hideMark/>
          </w:tcPr>
          <w:p w14:paraId="12397F65" w14:textId="77777777" w:rsidR="00CB16AA" w:rsidRPr="00666914" w:rsidRDefault="00CB16AA" w:rsidP="00985E7A">
            <w:pPr>
              <w:spacing w:after="0"/>
              <w:rPr>
                <w:rFonts w:eastAsia="Times New Roman" w:cs="Calibri"/>
                <w:sz w:val="20"/>
                <w:szCs w:val="20"/>
                <w:lang w:eastAsia="sk-SK"/>
              </w:rPr>
            </w:pPr>
            <w:r w:rsidRPr="00666914">
              <w:rPr>
                <w:rFonts w:eastAsia="Times New Roman" w:cs="Calibri"/>
                <w:sz w:val="20"/>
                <w:szCs w:val="20"/>
                <w:lang w:eastAsia="sk-SK"/>
              </w:rPr>
              <w:t>Výstavba terminálov integrovanej osobnej prepravy v Bratislave</w:t>
            </w:r>
          </w:p>
        </w:tc>
        <w:tc>
          <w:tcPr>
            <w:tcW w:w="523" w:type="pct"/>
            <w:tcBorders>
              <w:top w:val="nil"/>
              <w:left w:val="nil"/>
              <w:bottom w:val="nil"/>
              <w:right w:val="nil"/>
            </w:tcBorders>
            <w:shd w:val="clear" w:color="auto" w:fill="auto"/>
            <w:noWrap/>
            <w:vAlign w:val="center"/>
            <w:hideMark/>
          </w:tcPr>
          <w:p w14:paraId="42D90262"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55</w:t>
            </w:r>
          </w:p>
        </w:tc>
        <w:tc>
          <w:tcPr>
            <w:tcW w:w="765" w:type="pct"/>
            <w:tcBorders>
              <w:top w:val="nil"/>
              <w:left w:val="nil"/>
              <w:bottom w:val="nil"/>
              <w:right w:val="nil"/>
            </w:tcBorders>
            <w:shd w:val="clear" w:color="auto" w:fill="auto"/>
            <w:noWrap/>
            <w:vAlign w:val="center"/>
            <w:hideMark/>
          </w:tcPr>
          <w:p w14:paraId="1A3D4863"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OPII</w:t>
            </w:r>
          </w:p>
        </w:tc>
        <w:tc>
          <w:tcPr>
            <w:tcW w:w="913" w:type="pct"/>
            <w:tcBorders>
              <w:top w:val="nil"/>
              <w:left w:val="nil"/>
              <w:bottom w:val="nil"/>
              <w:right w:val="nil"/>
            </w:tcBorders>
            <w:shd w:val="clear" w:color="auto" w:fill="auto"/>
            <w:noWrap/>
            <w:vAlign w:val="center"/>
            <w:hideMark/>
          </w:tcPr>
          <w:p w14:paraId="3C0ECF30"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projektová príprava</w:t>
            </w:r>
          </w:p>
        </w:tc>
        <w:tc>
          <w:tcPr>
            <w:tcW w:w="845" w:type="pct"/>
            <w:tcBorders>
              <w:top w:val="nil"/>
              <w:left w:val="nil"/>
              <w:bottom w:val="nil"/>
              <w:right w:val="nil"/>
            </w:tcBorders>
            <w:shd w:val="clear" w:color="auto" w:fill="auto"/>
            <w:vAlign w:val="center"/>
            <w:hideMark/>
          </w:tcPr>
          <w:p w14:paraId="1F2F3A62" w14:textId="77777777" w:rsidR="00CB16AA" w:rsidRPr="00666914" w:rsidRDefault="00CB16AA" w:rsidP="00985E7A">
            <w:pPr>
              <w:spacing w:after="0"/>
              <w:jc w:val="center"/>
              <w:rPr>
                <w:rFonts w:eastAsia="Times New Roman" w:cs="Calibri"/>
                <w:sz w:val="20"/>
                <w:szCs w:val="20"/>
                <w:lang w:eastAsia="sk-SK"/>
              </w:rPr>
            </w:pPr>
          </w:p>
        </w:tc>
      </w:tr>
      <w:tr w:rsidR="00CB16AA" w:rsidRPr="00666914" w14:paraId="7C83837C" w14:textId="77777777" w:rsidTr="00985E7A">
        <w:trPr>
          <w:trHeight w:val="520"/>
        </w:trPr>
        <w:tc>
          <w:tcPr>
            <w:tcW w:w="1954" w:type="pct"/>
            <w:tcBorders>
              <w:top w:val="nil"/>
              <w:left w:val="nil"/>
              <w:bottom w:val="nil"/>
              <w:right w:val="nil"/>
            </w:tcBorders>
            <w:shd w:val="clear" w:color="auto" w:fill="auto"/>
            <w:vAlign w:val="center"/>
            <w:hideMark/>
          </w:tcPr>
          <w:p w14:paraId="26925B4F" w14:textId="77777777" w:rsidR="00CB16AA" w:rsidRPr="00666914" w:rsidRDefault="00CB16AA" w:rsidP="00985E7A">
            <w:pPr>
              <w:spacing w:after="0"/>
              <w:rPr>
                <w:rFonts w:eastAsia="Times New Roman" w:cs="Calibri"/>
                <w:sz w:val="20"/>
                <w:szCs w:val="20"/>
                <w:lang w:eastAsia="sk-SK"/>
              </w:rPr>
            </w:pPr>
            <w:r w:rsidRPr="00666914">
              <w:rPr>
                <w:rFonts w:eastAsia="Times New Roman" w:cs="Calibri"/>
                <w:sz w:val="20"/>
                <w:szCs w:val="20"/>
                <w:lang w:eastAsia="sk-SK"/>
              </w:rPr>
              <w:t>Modernizácia železničnej trate Žilina – Košice, úsek trate Poprad-Tatry (mimo) - Krompachy, realizácia úseku Spišská Nová Ves - Poprad-Tatry</w:t>
            </w:r>
          </w:p>
        </w:tc>
        <w:tc>
          <w:tcPr>
            <w:tcW w:w="523" w:type="pct"/>
            <w:tcBorders>
              <w:top w:val="nil"/>
              <w:left w:val="nil"/>
              <w:bottom w:val="nil"/>
              <w:right w:val="nil"/>
            </w:tcBorders>
            <w:shd w:val="clear" w:color="auto" w:fill="auto"/>
            <w:noWrap/>
            <w:vAlign w:val="center"/>
            <w:hideMark/>
          </w:tcPr>
          <w:p w14:paraId="57C5A084"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492,4</w:t>
            </w:r>
          </w:p>
        </w:tc>
        <w:tc>
          <w:tcPr>
            <w:tcW w:w="765" w:type="pct"/>
            <w:tcBorders>
              <w:top w:val="nil"/>
              <w:left w:val="nil"/>
              <w:bottom w:val="nil"/>
              <w:right w:val="nil"/>
            </w:tcBorders>
            <w:shd w:val="clear" w:color="auto" w:fill="auto"/>
            <w:noWrap/>
            <w:vAlign w:val="center"/>
            <w:hideMark/>
          </w:tcPr>
          <w:p w14:paraId="53ABD858"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OPII (Náhradný projekt)</w:t>
            </w:r>
          </w:p>
        </w:tc>
        <w:tc>
          <w:tcPr>
            <w:tcW w:w="913" w:type="pct"/>
            <w:tcBorders>
              <w:top w:val="nil"/>
              <w:left w:val="nil"/>
              <w:bottom w:val="nil"/>
              <w:right w:val="nil"/>
            </w:tcBorders>
            <w:shd w:val="clear" w:color="auto" w:fill="auto"/>
            <w:noWrap/>
            <w:vAlign w:val="center"/>
            <w:hideMark/>
          </w:tcPr>
          <w:p w14:paraId="0297937F"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projektová príprava</w:t>
            </w:r>
          </w:p>
        </w:tc>
        <w:tc>
          <w:tcPr>
            <w:tcW w:w="845" w:type="pct"/>
            <w:tcBorders>
              <w:top w:val="nil"/>
              <w:left w:val="nil"/>
              <w:bottom w:val="nil"/>
              <w:right w:val="nil"/>
            </w:tcBorders>
            <w:shd w:val="clear" w:color="auto" w:fill="auto"/>
            <w:vAlign w:val="center"/>
            <w:hideMark/>
          </w:tcPr>
          <w:p w14:paraId="0C02155B"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projektová príprava pokračuje štúdia realizovateľnosti (posúdená Jaspers)</w:t>
            </w:r>
          </w:p>
          <w:p w14:paraId="46F9E99A" w14:textId="77777777" w:rsidR="00CB16AA" w:rsidRPr="00666914" w:rsidRDefault="00CB16AA" w:rsidP="00985E7A">
            <w:pPr>
              <w:spacing w:after="0"/>
              <w:jc w:val="center"/>
              <w:rPr>
                <w:rFonts w:eastAsia="Times New Roman" w:cs="Calibri"/>
                <w:sz w:val="20"/>
                <w:szCs w:val="20"/>
                <w:lang w:eastAsia="sk-SK"/>
              </w:rPr>
            </w:pPr>
          </w:p>
        </w:tc>
      </w:tr>
      <w:tr w:rsidR="00CB16AA" w:rsidRPr="00666914" w14:paraId="588C4BFE" w14:textId="77777777" w:rsidTr="00985E7A">
        <w:trPr>
          <w:trHeight w:val="1040"/>
        </w:trPr>
        <w:tc>
          <w:tcPr>
            <w:tcW w:w="1954" w:type="pct"/>
            <w:tcBorders>
              <w:top w:val="nil"/>
              <w:left w:val="nil"/>
              <w:bottom w:val="nil"/>
              <w:right w:val="nil"/>
            </w:tcBorders>
            <w:shd w:val="clear" w:color="auto" w:fill="auto"/>
            <w:noWrap/>
            <w:vAlign w:val="center"/>
            <w:hideMark/>
          </w:tcPr>
          <w:p w14:paraId="5C58390F" w14:textId="77777777" w:rsidR="00CB16AA" w:rsidRPr="00666914" w:rsidRDefault="00CB16AA" w:rsidP="00985E7A">
            <w:pPr>
              <w:spacing w:after="0"/>
              <w:rPr>
                <w:rFonts w:eastAsia="Times New Roman" w:cs="Calibri"/>
                <w:sz w:val="20"/>
                <w:szCs w:val="20"/>
                <w:lang w:eastAsia="sk-SK"/>
              </w:rPr>
            </w:pPr>
            <w:r w:rsidRPr="00666914">
              <w:rPr>
                <w:rFonts w:eastAsia="Times New Roman" w:cs="Calibri"/>
                <w:sz w:val="20"/>
                <w:szCs w:val="20"/>
                <w:lang w:eastAsia="sk-SK"/>
              </w:rPr>
              <w:t>Modernizácia železničnej trate Žilina – Košice, úsek trate Kysak – Košice</w:t>
            </w:r>
          </w:p>
        </w:tc>
        <w:tc>
          <w:tcPr>
            <w:tcW w:w="523" w:type="pct"/>
            <w:tcBorders>
              <w:top w:val="nil"/>
              <w:left w:val="nil"/>
              <w:bottom w:val="nil"/>
              <w:right w:val="nil"/>
            </w:tcBorders>
            <w:shd w:val="clear" w:color="auto" w:fill="auto"/>
            <w:noWrap/>
            <w:vAlign w:val="center"/>
            <w:hideMark/>
          </w:tcPr>
          <w:p w14:paraId="3F91EEF5"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zatiaľ neurčené</w:t>
            </w:r>
          </w:p>
        </w:tc>
        <w:tc>
          <w:tcPr>
            <w:tcW w:w="765" w:type="pct"/>
            <w:tcBorders>
              <w:top w:val="nil"/>
              <w:left w:val="nil"/>
              <w:bottom w:val="nil"/>
              <w:right w:val="nil"/>
            </w:tcBorders>
            <w:shd w:val="clear" w:color="auto" w:fill="auto"/>
            <w:noWrap/>
            <w:vAlign w:val="center"/>
            <w:hideMark/>
          </w:tcPr>
          <w:p w14:paraId="5C89062B"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OPII (Náhradný projekt)</w:t>
            </w:r>
          </w:p>
        </w:tc>
        <w:tc>
          <w:tcPr>
            <w:tcW w:w="913" w:type="pct"/>
            <w:tcBorders>
              <w:top w:val="nil"/>
              <w:left w:val="nil"/>
              <w:bottom w:val="nil"/>
              <w:right w:val="nil"/>
            </w:tcBorders>
            <w:shd w:val="clear" w:color="auto" w:fill="auto"/>
            <w:noWrap/>
            <w:vAlign w:val="center"/>
            <w:hideMark/>
          </w:tcPr>
          <w:p w14:paraId="0FBE7F4F"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projektová príprava</w:t>
            </w:r>
          </w:p>
        </w:tc>
        <w:tc>
          <w:tcPr>
            <w:tcW w:w="845" w:type="pct"/>
            <w:tcBorders>
              <w:top w:val="nil"/>
              <w:left w:val="nil"/>
              <w:bottom w:val="nil"/>
              <w:right w:val="nil"/>
            </w:tcBorders>
            <w:shd w:val="clear" w:color="auto" w:fill="auto"/>
            <w:vAlign w:val="center"/>
            <w:hideMark/>
          </w:tcPr>
          <w:p w14:paraId="1A26AB74"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 xml:space="preserve">projektová príprava pokračuje požiadavka na zmenu projektovania v zmysle stanoviska MDV vedenia trate, na projekt existuje štúdia realizovateľnosti  (posúdená Jaspers) </w:t>
            </w:r>
          </w:p>
        </w:tc>
      </w:tr>
      <w:tr w:rsidR="00CB16AA" w:rsidRPr="00666914" w14:paraId="7BA4BBDD" w14:textId="77777777" w:rsidTr="00985E7A">
        <w:trPr>
          <w:trHeight w:val="590"/>
        </w:trPr>
        <w:tc>
          <w:tcPr>
            <w:tcW w:w="1954" w:type="pct"/>
            <w:tcBorders>
              <w:top w:val="nil"/>
              <w:left w:val="nil"/>
              <w:bottom w:val="nil"/>
              <w:right w:val="nil"/>
            </w:tcBorders>
            <w:shd w:val="clear" w:color="auto" w:fill="auto"/>
            <w:noWrap/>
            <w:vAlign w:val="center"/>
            <w:hideMark/>
          </w:tcPr>
          <w:p w14:paraId="194C3AB9" w14:textId="77777777" w:rsidR="00CB16AA" w:rsidRPr="00666914" w:rsidRDefault="00CB16AA" w:rsidP="00985E7A">
            <w:pPr>
              <w:spacing w:after="0"/>
              <w:rPr>
                <w:rFonts w:eastAsia="Times New Roman" w:cs="Calibri"/>
                <w:sz w:val="20"/>
                <w:szCs w:val="20"/>
                <w:lang w:eastAsia="sk-SK"/>
              </w:rPr>
            </w:pPr>
            <w:r w:rsidRPr="00666914">
              <w:rPr>
                <w:rFonts w:eastAsia="Times New Roman" w:cs="Calibri"/>
                <w:sz w:val="20"/>
                <w:szCs w:val="20"/>
                <w:lang w:eastAsia="sk-SK"/>
              </w:rPr>
              <w:t>Uzol Bratislava</w:t>
            </w:r>
          </w:p>
        </w:tc>
        <w:tc>
          <w:tcPr>
            <w:tcW w:w="523" w:type="pct"/>
            <w:tcBorders>
              <w:top w:val="nil"/>
              <w:left w:val="nil"/>
              <w:bottom w:val="nil"/>
              <w:right w:val="nil"/>
            </w:tcBorders>
            <w:shd w:val="clear" w:color="auto" w:fill="auto"/>
            <w:noWrap/>
            <w:vAlign w:val="center"/>
            <w:hideMark/>
          </w:tcPr>
          <w:p w14:paraId="1C7590D1"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max. 948,5</w:t>
            </w:r>
          </w:p>
        </w:tc>
        <w:tc>
          <w:tcPr>
            <w:tcW w:w="765" w:type="pct"/>
            <w:tcBorders>
              <w:top w:val="nil"/>
              <w:left w:val="nil"/>
              <w:bottom w:val="nil"/>
              <w:right w:val="nil"/>
            </w:tcBorders>
            <w:shd w:val="clear" w:color="auto" w:fill="auto"/>
            <w:noWrap/>
            <w:vAlign w:val="center"/>
            <w:hideMark/>
          </w:tcPr>
          <w:p w14:paraId="654171F2"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OPII</w:t>
            </w:r>
          </w:p>
        </w:tc>
        <w:tc>
          <w:tcPr>
            <w:tcW w:w="913" w:type="pct"/>
            <w:tcBorders>
              <w:top w:val="nil"/>
              <w:left w:val="nil"/>
              <w:bottom w:val="nil"/>
              <w:right w:val="nil"/>
            </w:tcBorders>
            <w:shd w:val="clear" w:color="auto" w:fill="auto"/>
            <w:noWrap/>
            <w:vAlign w:val="center"/>
            <w:hideMark/>
          </w:tcPr>
          <w:p w14:paraId="1ABD50D2"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štúdia realizovateľnosti</w:t>
            </w:r>
          </w:p>
        </w:tc>
        <w:tc>
          <w:tcPr>
            <w:tcW w:w="845" w:type="pct"/>
            <w:tcBorders>
              <w:top w:val="nil"/>
              <w:left w:val="nil"/>
              <w:bottom w:val="nil"/>
              <w:right w:val="nil"/>
            </w:tcBorders>
            <w:shd w:val="clear" w:color="auto" w:fill="auto"/>
            <w:vAlign w:val="center"/>
            <w:hideMark/>
          </w:tcPr>
          <w:p w14:paraId="6BD23E16"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pripravuje sa VO na proces EIA štúdia realizovateľnosti,  schválená RV 4/2019</w:t>
            </w:r>
          </w:p>
        </w:tc>
      </w:tr>
      <w:tr w:rsidR="00CB16AA" w:rsidRPr="00666914" w14:paraId="41D9EB94" w14:textId="77777777" w:rsidTr="00985E7A">
        <w:trPr>
          <w:trHeight w:val="780"/>
        </w:trPr>
        <w:tc>
          <w:tcPr>
            <w:tcW w:w="1954" w:type="pct"/>
            <w:tcBorders>
              <w:top w:val="nil"/>
              <w:left w:val="nil"/>
              <w:bottom w:val="nil"/>
              <w:right w:val="nil"/>
            </w:tcBorders>
            <w:shd w:val="clear" w:color="auto" w:fill="auto"/>
            <w:noWrap/>
            <w:vAlign w:val="center"/>
            <w:hideMark/>
          </w:tcPr>
          <w:p w14:paraId="79C80072" w14:textId="77777777" w:rsidR="00CB16AA" w:rsidRPr="00666914" w:rsidRDefault="00CB16AA" w:rsidP="00985E7A">
            <w:pPr>
              <w:spacing w:after="0"/>
              <w:rPr>
                <w:rFonts w:eastAsia="Times New Roman" w:cs="Calibri"/>
                <w:sz w:val="20"/>
                <w:szCs w:val="20"/>
                <w:lang w:eastAsia="sk-SK"/>
              </w:rPr>
            </w:pPr>
            <w:r w:rsidRPr="00666914">
              <w:rPr>
                <w:rFonts w:eastAsia="Times New Roman" w:cs="Calibri"/>
                <w:sz w:val="20"/>
                <w:szCs w:val="20"/>
                <w:lang w:eastAsia="sk-SK"/>
              </w:rPr>
              <w:t>Úpravy infraštruktúry pre grafikon verejnej dopravy 2020</w:t>
            </w:r>
          </w:p>
        </w:tc>
        <w:tc>
          <w:tcPr>
            <w:tcW w:w="523" w:type="pct"/>
            <w:tcBorders>
              <w:top w:val="nil"/>
              <w:left w:val="nil"/>
              <w:bottom w:val="nil"/>
              <w:right w:val="nil"/>
            </w:tcBorders>
            <w:shd w:val="clear" w:color="auto" w:fill="auto"/>
            <w:noWrap/>
            <w:vAlign w:val="center"/>
            <w:hideMark/>
          </w:tcPr>
          <w:p w14:paraId="08C61CAA"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52,2</w:t>
            </w:r>
          </w:p>
        </w:tc>
        <w:tc>
          <w:tcPr>
            <w:tcW w:w="765" w:type="pct"/>
            <w:tcBorders>
              <w:top w:val="nil"/>
              <w:left w:val="nil"/>
              <w:bottom w:val="nil"/>
              <w:right w:val="nil"/>
            </w:tcBorders>
            <w:shd w:val="clear" w:color="auto" w:fill="auto"/>
            <w:noWrap/>
            <w:vAlign w:val="center"/>
            <w:hideMark/>
          </w:tcPr>
          <w:p w14:paraId="334653FD"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OPII</w:t>
            </w:r>
          </w:p>
        </w:tc>
        <w:tc>
          <w:tcPr>
            <w:tcW w:w="913" w:type="pct"/>
            <w:tcBorders>
              <w:top w:val="nil"/>
              <w:left w:val="nil"/>
              <w:bottom w:val="nil"/>
              <w:right w:val="nil"/>
            </w:tcBorders>
            <w:shd w:val="clear" w:color="auto" w:fill="auto"/>
            <w:vAlign w:val="center"/>
            <w:hideMark/>
          </w:tcPr>
          <w:p w14:paraId="2C10ED86"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schválený 1 projektové zámery</w:t>
            </w:r>
          </w:p>
        </w:tc>
        <w:tc>
          <w:tcPr>
            <w:tcW w:w="845" w:type="pct"/>
            <w:tcBorders>
              <w:top w:val="nil"/>
              <w:left w:val="nil"/>
              <w:bottom w:val="nil"/>
              <w:right w:val="nil"/>
            </w:tcBorders>
            <w:shd w:val="clear" w:color="auto" w:fill="auto"/>
            <w:vAlign w:val="center"/>
            <w:hideMark/>
          </w:tcPr>
          <w:p w14:paraId="2074F4A4"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II. polrok 2019 schválený projektový zámer Optimalizácia trate Prievidza – Jelšovce, 1. etapa v hodnote 52,2 mil. EUR</w:t>
            </w:r>
          </w:p>
        </w:tc>
      </w:tr>
      <w:tr w:rsidR="00CB16AA" w:rsidRPr="00666914" w14:paraId="4CED9DC5" w14:textId="77777777" w:rsidTr="00985E7A">
        <w:trPr>
          <w:trHeight w:val="260"/>
        </w:trPr>
        <w:tc>
          <w:tcPr>
            <w:tcW w:w="1954" w:type="pct"/>
            <w:tcBorders>
              <w:top w:val="nil"/>
              <w:left w:val="nil"/>
              <w:bottom w:val="nil"/>
              <w:right w:val="nil"/>
            </w:tcBorders>
            <w:shd w:val="clear" w:color="auto" w:fill="auto"/>
            <w:noWrap/>
            <w:vAlign w:val="center"/>
            <w:hideMark/>
          </w:tcPr>
          <w:p w14:paraId="602F68DA" w14:textId="77777777" w:rsidR="00CB16AA" w:rsidRPr="00666914" w:rsidRDefault="00CB16AA" w:rsidP="00985E7A">
            <w:pPr>
              <w:spacing w:after="0"/>
              <w:rPr>
                <w:rFonts w:eastAsia="Times New Roman" w:cs="Calibri"/>
                <w:sz w:val="20"/>
                <w:szCs w:val="20"/>
                <w:lang w:eastAsia="sk-SK"/>
              </w:rPr>
            </w:pPr>
            <w:r w:rsidRPr="00666914">
              <w:rPr>
                <w:rFonts w:eastAsia="Times New Roman" w:cs="Calibri"/>
                <w:sz w:val="20"/>
                <w:szCs w:val="20"/>
                <w:lang w:eastAsia="sk-SK"/>
              </w:rPr>
              <w:t>Nákup a modernizácia KM</w:t>
            </w:r>
          </w:p>
        </w:tc>
        <w:tc>
          <w:tcPr>
            <w:tcW w:w="523" w:type="pct"/>
            <w:tcBorders>
              <w:top w:val="nil"/>
              <w:left w:val="nil"/>
              <w:bottom w:val="nil"/>
              <w:right w:val="nil"/>
            </w:tcBorders>
            <w:shd w:val="clear" w:color="auto" w:fill="auto"/>
            <w:noWrap/>
            <w:vAlign w:val="center"/>
            <w:hideMark/>
          </w:tcPr>
          <w:p w14:paraId="15D6561B"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25,7</w:t>
            </w:r>
          </w:p>
        </w:tc>
        <w:tc>
          <w:tcPr>
            <w:tcW w:w="765" w:type="pct"/>
            <w:tcBorders>
              <w:top w:val="nil"/>
              <w:left w:val="nil"/>
              <w:bottom w:val="nil"/>
              <w:right w:val="nil"/>
            </w:tcBorders>
            <w:shd w:val="clear" w:color="auto" w:fill="auto"/>
            <w:noWrap/>
            <w:vAlign w:val="center"/>
            <w:hideMark/>
          </w:tcPr>
          <w:p w14:paraId="5AB1F44B"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vlastné zdroje ŽSR</w:t>
            </w:r>
          </w:p>
        </w:tc>
        <w:tc>
          <w:tcPr>
            <w:tcW w:w="913" w:type="pct"/>
            <w:tcBorders>
              <w:top w:val="nil"/>
              <w:left w:val="nil"/>
              <w:bottom w:val="nil"/>
              <w:right w:val="nil"/>
            </w:tcBorders>
            <w:shd w:val="clear" w:color="auto" w:fill="auto"/>
            <w:noWrap/>
            <w:vAlign w:val="center"/>
            <w:hideMark/>
          </w:tcPr>
          <w:p w14:paraId="77F5BAB5"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pred začatím procesu VO</w:t>
            </w:r>
          </w:p>
        </w:tc>
        <w:tc>
          <w:tcPr>
            <w:tcW w:w="845" w:type="pct"/>
            <w:tcBorders>
              <w:top w:val="nil"/>
              <w:left w:val="nil"/>
              <w:bottom w:val="nil"/>
              <w:right w:val="nil"/>
            </w:tcBorders>
            <w:shd w:val="clear" w:color="auto" w:fill="auto"/>
            <w:vAlign w:val="center"/>
            <w:hideMark/>
          </w:tcPr>
          <w:p w14:paraId="2908AD50"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w:t>
            </w:r>
          </w:p>
        </w:tc>
      </w:tr>
      <w:tr w:rsidR="00CB16AA" w:rsidRPr="00666914" w14:paraId="6B5A406C" w14:textId="77777777" w:rsidTr="00985E7A">
        <w:trPr>
          <w:trHeight w:val="520"/>
        </w:trPr>
        <w:tc>
          <w:tcPr>
            <w:tcW w:w="1954" w:type="pct"/>
            <w:tcBorders>
              <w:top w:val="nil"/>
              <w:left w:val="nil"/>
              <w:bottom w:val="nil"/>
              <w:right w:val="nil"/>
            </w:tcBorders>
            <w:shd w:val="clear" w:color="auto" w:fill="auto"/>
            <w:vAlign w:val="center"/>
            <w:hideMark/>
          </w:tcPr>
          <w:p w14:paraId="52CA61E3" w14:textId="77777777" w:rsidR="00CB16AA" w:rsidRPr="00666914" w:rsidRDefault="00CB16AA" w:rsidP="00985E7A">
            <w:pPr>
              <w:spacing w:after="0"/>
              <w:rPr>
                <w:rFonts w:eastAsia="Times New Roman" w:cs="Calibri"/>
                <w:sz w:val="20"/>
                <w:szCs w:val="20"/>
                <w:lang w:eastAsia="sk-SK"/>
              </w:rPr>
            </w:pPr>
            <w:r w:rsidRPr="00666914">
              <w:rPr>
                <w:rFonts w:eastAsia="Times New Roman" w:cs="Calibri"/>
                <w:sz w:val="20"/>
                <w:szCs w:val="20"/>
                <w:lang w:eastAsia="sk-SK"/>
              </w:rPr>
              <w:lastRenderedPageBreak/>
              <w:t xml:space="preserve">Modernizácia koridoru, štátna hranica ČR/SR - Čadca - Krásno nad Kysucou (mimo), železničná trať, 1. a 2.etapa (úsek Krásno nad Kysucou – Čadca) </w:t>
            </w:r>
          </w:p>
        </w:tc>
        <w:tc>
          <w:tcPr>
            <w:tcW w:w="523" w:type="pct"/>
            <w:tcBorders>
              <w:top w:val="nil"/>
              <w:left w:val="nil"/>
              <w:bottom w:val="nil"/>
              <w:right w:val="nil"/>
            </w:tcBorders>
            <w:shd w:val="clear" w:color="auto" w:fill="auto"/>
            <w:noWrap/>
            <w:vAlign w:val="center"/>
            <w:hideMark/>
          </w:tcPr>
          <w:p w14:paraId="391A1AB5"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220</w:t>
            </w:r>
          </w:p>
        </w:tc>
        <w:tc>
          <w:tcPr>
            <w:tcW w:w="765" w:type="pct"/>
            <w:tcBorders>
              <w:top w:val="nil"/>
              <w:left w:val="nil"/>
              <w:bottom w:val="nil"/>
              <w:right w:val="nil"/>
            </w:tcBorders>
            <w:shd w:val="clear" w:color="auto" w:fill="auto"/>
            <w:noWrap/>
            <w:vAlign w:val="center"/>
            <w:hideMark/>
          </w:tcPr>
          <w:p w14:paraId="397F520B"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OPII (Náhradný projekt)</w:t>
            </w:r>
          </w:p>
        </w:tc>
        <w:tc>
          <w:tcPr>
            <w:tcW w:w="913" w:type="pct"/>
            <w:tcBorders>
              <w:top w:val="nil"/>
              <w:left w:val="nil"/>
              <w:bottom w:val="nil"/>
              <w:right w:val="nil"/>
            </w:tcBorders>
            <w:shd w:val="clear" w:color="auto" w:fill="auto"/>
            <w:noWrap/>
            <w:vAlign w:val="center"/>
            <w:hideMark/>
          </w:tcPr>
          <w:p w14:paraId="647B43FD"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projektová príprava</w:t>
            </w:r>
          </w:p>
        </w:tc>
        <w:tc>
          <w:tcPr>
            <w:tcW w:w="845" w:type="pct"/>
            <w:tcBorders>
              <w:top w:val="nil"/>
              <w:left w:val="nil"/>
              <w:bottom w:val="nil"/>
              <w:right w:val="nil"/>
            </w:tcBorders>
            <w:shd w:val="clear" w:color="auto" w:fill="auto"/>
            <w:vAlign w:val="center"/>
            <w:hideMark/>
          </w:tcPr>
          <w:p w14:paraId="67EC3280"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ŠR bola spracovaná v 11/2019</w:t>
            </w:r>
          </w:p>
        </w:tc>
      </w:tr>
      <w:tr w:rsidR="00CB16AA" w:rsidRPr="00666914" w14:paraId="1109D987" w14:textId="77777777" w:rsidTr="00985E7A">
        <w:trPr>
          <w:trHeight w:val="520"/>
        </w:trPr>
        <w:tc>
          <w:tcPr>
            <w:tcW w:w="1954" w:type="pct"/>
            <w:tcBorders>
              <w:top w:val="nil"/>
              <w:left w:val="nil"/>
              <w:bottom w:val="single" w:sz="4" w:space="0" w:color="auto"/>
              <w:right w:val="nil"/>
            </w:tcBorders>
            <w:shd w:val="clear" w:color="auto" w:fill="auto"/>
            <w:vAlign w:val="center"/>
            <w:hideMark/>
          </w:tcPr>
          <w:p w14:paraId="00666CF8" w14:textId="77777777" w:rsidR="00CB16AA" w:rsidRPr="00666914" w:rsidRDefault="00CB16AA" w:rsidP="00985E7A">
            <w:pPr>
              <w:spacing w:after="0"/>
              <w:rPr>
                <w:rFonts w:eastAsia="Times New Roman" w:cs="Calibri"/>
                <w:sz w:val="20"/>
                <w:szCs w:val="20"/>
                <w:lang w:eastAsia="sk-SK"/>
              </w:rPr>
            </w:pPr>
            <w:r w:rsidRPr="00666914">
              <w:rPr>
                <w:rFonts w:eastAsia="Times New Roman" w:cs="Calibri"/>
                <w:sz w:val="20"/>
                <w:szCs w:val="20"/>
                <w:lang w:eastAsia="sk-SK"/>
              </w:rPr>
              <w:t>Centralizácia riadenia systémov bezpečnosti objektov ŽSR a zabezpečenie štandardov železničných staníc</w:t>
            </w:r>
          </w:p>
        </w:tc>
        <w:tc>
          <w:tcPr>
            <w:tcW w:w="523" w:type="pct"/>
            <w:tcBorders>
              <w:top w:val="nil"/>
              <w:left w:val="nil"/>
              <w:bottom w:val="single" w:sz="4" w:space="0" w:color="auto"/>
              <w:right w:val="nil"/>
            </w:tcBorders>
            <w:shd w:val="clear" w:color="auto" w:fill="auto"/>
            <w:vAlign w:val="center"/>
            <w:hideMark/>
          </w:tcPr>
          <w:p w14:paraId="746F11C6"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33,6</w:t>
            </w:r>
          </w:p>
        </w:tc>
        <w:tc>
          <w:tcPr>
            <w:tcW w:w="765" w:type="pct"/>
            <w:tcBorders>
              <w:top w:val="nil"/>
              <w:left w:val="nil"/>
              <w:bottom w:val="single" w:sz="4" w:space="0" w:color="auto"/>
              <w:right w:val="nil"/>
            </w:tcBorders>
            <w:shd w:val="clear" w:color="auto" w:fill="auto"/>
            <w:vAlign w:val="center"/>
            <w:hideMark/>
          </w:tcPr>
          <w:p w14:paraId="6409D529"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OPII</w:t>
            </w:r>
          </w:p>
        </w:tc>
        <w:tc>
          <w:tcPr>
            <w:tcW w:w="913" w:type="pct"/>
            <w:tcBorders>
              <w:top w:val="nil"/>
              <w:left w:val="nil"/>
              <w:bottom w:val="single" w:sz="4" w:space="0" w:color="auto"/>
              <w:right w:val="nil"/>
            </w:tcBorders>
            <w:shd w:val="clear" w:color="auto" w:fill="auto"/>
            <w:vAlign w:val="center"/>
            <w:hideMark/>
          </w:tcPr>
          <w:p w14:paraId="68437443"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v procese posudzovania ÚHP</w:t>
            </w:r>
          </w:p>
        </w:tc>
        <w:tc>
          <w:tcPr>
            <w:tcW w:w="845" w:type="pct"/>
            <w:tcBorders>
              <w:top w:val="nil"/>
              <w:left w:val="nil"/>
              <w:bottom w:val="single" w:sz="4" w:space="0" w:color="auto"/>
              <w:right w:val="nil"/>
            </w:tcBorders>
            <w:shd w:val="clear" w:color="auto" w:fill="auto"/>
            <w:vAlign w:val="center"/>
            <w:hideMark/>
          </w:tcPr>
          <w:p w14:paraId="7ED01D88"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w:t>
            </w:r>
          </w:p>
        </w:tc>
      </w:tr>
    </w:tbl>
    <w:p w14:paraId="41EAD1E8" w14:textId="77777777" w:rsidR="00CB16AA" w:rsidRPr="00666914" w:rsidRDefault="00CB16AA" w:rsidP="00985E7A">
      <w:pPr>
        <w:pStyle w:val="Odsekzoznamu"/>
        <w:spacing w:after="0"/>
        <w:jc w:val="right"/>
        <w:rPr>
          <w:i/>
          <w:sz w:val="18"/>
        </w:rPr>
      </w:pPr>
      <w:r w:rsidRPr="00666914">
        <w:rPr>
          <w:i/>
          <w:sz w:val="18"/>
        </w:rPr>
        <w:t>Zdroj: MDV SR, ŽSR</w:t>
      </w:r>
    </w:p>
    <w:p w14:paraId="322C9565" w14:textId="77777777" w:rsidR="00D103B7" w:rsidRPr="00666914" w:rsidRDefault="00D103B7" w:rsidP="00D103B7">
      <w:pPr>
        <w:tabs>
          <w:tab w:val="num" w:pos="1440"/>
        </w:tabs>
        <w:spacing w:after="0"/>
        <w:rPr>
          <w:b/>
        </w:rPr>
      </w:pPr>
    </w:p>
    <w:p w14:paraId="68837E28" w14:textId="08D5B4FC" w:rsidR="00CB16AA" w:rsidRPr="00666914" w:rsidRDefault="00CB16AA" w:rsidP="00985E7A">
      <w:pPr>
        <w:tabs>
          <w:tab w:val="num" w:pos="1440"/>
        </w:tabs>
        <w:rPr>
          <w:b/>
        </w:rPr>
      </w:pPr>
      <w:r w:rsidRPr="00666914">
        <w:rPr>
          <w:b/>
        </w:rPr>
        <w:t>V 1H2019 realizovala IJ ÚV SR v spolupráci s ÚHP MF SR „Optimalizačnú analýzu Železníc Slovenskej republiky</w:t>
      </w:r>
      <w:r w:rsidRPr="00666914">
        <w:rPr>
          <w:rStyle w:val="Odkaznapoznmkupodiarou"/>
        </w:rPr>
        <w:footnoteReference w:id="94"/>
      </w:r>
      <w:r w:rsidRPr="00666914">
        <w:rPr>
          <w:b/>
        </w:rPr>
        <w:t>, ktorá odporúčala 11 finančných opatrení</w:t>
      </w:r>
      <w:r w:rsidRPr="00666914">
        <w:rPr>
          <w:rStyle w:val="Odkaznapoznmkupodiarou"/>
        </w:rPr>
        <w:footnoteReference w:id="95"/>
      </w:r>
      <w:r w:rsidRPr="00666914">
        <w:rPr>
          <w:b/>
        </w:rPr>
        <w:t xml:space="preserve">, ktoré mali ŽSR rozpracovať do Implementačného plánu. </w:t>
      </w:r>
      <w:r w:rsidRPr="00666914">
        <w:t>ŽSR sa zaviazali vypracovať do 12/2019 implementačný plán na realizáciu opatrení auditu. Jeho súčasťou mal byť aj časový harmonogram realizácie jednotlivých navrhovaných opatrení, merateľné ukazovatele a z nich vyplývajúce úspory, vrátane potreby finančného krytia dodatočných investícií. Napriek tomu, že ŽSR do 12/2019 implementačný plán nevypracovali, v 2H2019 začali vybrané opatrenia auditu realizovať</w:t>
      </w:r>
      <w:r w:rsidR="00D67E6E" w:rsidRPr="00666914">
        <w:rPr>
          <w:b/>
        </w:rPr>
        <w:t>:</w:t>
      </w:r>
    </w:p>
    <w:p w14:paraId="178BAC4F" w14:textId="77777777" w:rsidR="00CB16AA" w:rsidRPr="00666914" w:rsidRDefault="00CB16AA" w:rsidP="00312C28">
      <w:pPr>
        <w:pStyle w:val="Odsekzoznamu"/>
        <w:numPr>
          <w:ilvl w:val="0"/>
          <w:numId w:val="37"/>
        </w:numPr>
        <w:rPr>
          <w:b/>
        </w:rPr>
      </w:pPr>
      <w:r w:rsidRPr="00666914">
        <w:t>prípravu na spracovanie novej stratégie,</w:t>
      </w:r>
    </w:p>
    <w:p w14:paraId="645E1C21" w14:textId="798188DE" w:rsidR="00CB16AA" w:rsidRPr="00666914" w:rsidRDefault="00CB16AA" w:rsidP="00312C28">
      <w:pPr>
        <w:pStyle w:val="Odsekzoznamu"/>
        <w:numPr>
          <w:ilvl w:val="0"/>
          <w:numId w:val="37"/>
        </w:numPr>
        <w:rPr>
          <w:b/>
        </w:rPr>
      </w:pPr>
      <w:r w:rsidRPr="00666914">
        <w:t>zníženie nákladov na vybrané právne a  poradenské služby</w:t>
      </w:r>
      <w:r w:rsidR="00D67E6E" w:rsidRPr="00666914">
        <w:t xml:space="preserve"> o 0,7 mil. eur voči roku 2018,</w:t>
      </w:r>
    </w:p>
    <w:p w14:paraId="0969F821" w14:textId="1A9263D5" w:rsidR="00CB16AA" w:rsidRPr="00666914" w:rsidRDefault="00CB16AA" w:rsidP="00312C28">
      <w:pPr>
        <w:pStyle w:val="Odsekzoznamu"/>
        <w:numPr>
          <w:ilvl w:val="0"/>
          <w:numId w:val="37"/>
        </w:numPr>
        <w:rPr>
          <w:b/>
        </w:rPr>
      </w:pPr>
      <w:r w:rsidRPr="00666914">
        <w:t>predaj nepotrebného majetku - zvýšené výnosy o 21,6 mil. eur voči roku 2018</w:t>
      </w:r>
      <w:r w:rsidR="004F0DDD" w:rsidRPr="00666914">
        <w:t>.</w:t>
      </w:r>
    </w:p>
    <w:p w14:paraId="4160D12C" w14:textId="7927B832" w:rsidR="00CB16AA" w:rsidRPr="00666914" w:rsidRDefault="00CB16AA" w:rsidP="00985E7A">
      <w:pPr>
        <w:rPr>
          <w:b/>
        </w:rPr>
      </w:pPr>
      <w:r w:rsidRPr="00666914">
        <w:t>Zároveň sa venovali analytickej časti ostatných opatrení</w:t>
      </w:r>
      <w:r w:rsidR="00D53B0A" w:rsidRPr="00666914">
        <w:t>,</w:t>
      </w:r>
      <w:r w:rsidRPr="00666914">
        <w:t xml:space="preserve"> a to aj identifikovaniu nadväzností opatrení, návrhu vlastných optimalizačných opatrení (zníženie nákladov na rizikovú prácu a pracovnú pohotovosť, zredukovanie počtu skladov so zabezpečením úspory bez vzniku trvalých dodatočných nákladov na rozvoz materiálu) a kalkulácií nákladov na zmen</w:t>
      </w:r>
      <w:r w:rsidR="00FF76CA" w:rsidRPr="00666914">
        <w:t>u</w:t>
      </w:r>
      <w:r w:rsidRPr="00666914">
        <w:t xml:space="preserve"> tam</w:t>
      </w:r>
      <w:r w:rsidR="00FF76CA" w:rsidRPr="00666914">
        <w:t>,</w:t>
      </w:r>
      <w:r w:rsidRPr="00666914">
        <w:t xml:space="preserve"> kde </w:t>
      </w:r>
      <w:r w:rsidR="00FF76CA" w:rsidRPr="00666914">
        <w:t xml:space="preserve">to </w:t>
      </w:r>
      <w:r w:rsidRPr="00666914">
        <w:t>bolo možné. Počas realizácie budú vyčíslenia op</w:t>
      </w:r>
      <w:r w:rsidR="00D67E6E" w:rsidRPr="00666914">
        <w:t>atrení priebežne aktualizované.</w:t>
      </w:r>
    </w:p>
    <w:p w14:paraId="3A454DE4" w14:textId="77777777" w:rsidR="00CB16AA" w:rsidRPr="00666914" w:rsidRDefault="00CB16AA" w:rsidP="00985E7A">
      <w:pPr>
        <w:pStyle w:val="Odsekzoznamu"/>
        <w:spacing w:after="0"/>
        <w:jc w:val="right"/>
        <w:rPr>
          <w:i/>
          <w:sz w:val="18"/>
        </w:rPr>
      </w:pPr>
    </w:p>
    <w:p w14:paraId="0FC9F38E" w14:textId="77777777" w:rsidR="00CB16AA" w:rsidRPr="00666914" w:rsidRDefault="00CB16AA" w:rsidP="00312C28">
      <w:pPr>
        <w:pStyle w:val="Odsekzoznamu"/>
        <w:numPr>
          <w:ilvl w:val="0"/>
          <w:numId w:val="34"/>
        </w:numPr>
        <w:spacing w:after="0"/>
        <w:rPr>
          <w:b/>
          <w:u w:val="single"/>
        </w:rPr>
      </w:pPr>
      <w:r w:rsidRPr="00666914">
        <w:rPr>
          <w:b/>
          <w:u w:val="single"/>
        </w:rPr>
        <w:t>Optimalizovať počet zamestnancov ŽSR v súvislosti s modernizáciou, znižovaním rozsahu prvkov železničnej infraštruktúry a optimalizáciou činností</w:t>
      </w:r>
    </w:p>
    <w:p w14:paraId="51914C40" w14:textId="77777777" w:rsidR="00CB16AA" w:rsidRPr="00666914" w:rsidRDefault="00CB16AA" w:rsidP="00985E7A">
      <w:pPr>
        <w:spacing w:after="0"/>
        <w:rPr>
          <w:b/>
          <w:u w:val="single"/>
        </w:rPr>
      </w:pPr>
    </w:p>
    <w:p w14:paraId="4E271FE5" w14:textId="7139AF1F" w:rsidR="00CB16AA" w:rsidRPr="00666914" w:rsidRDefault="00CB16AA" w:rsidP="00985E7A">
      <w:pPr>
        <w:spacing w:after="0"/>
      </w:pPr>
      <w:r w:rsidRPr="00666914">
        <w:t xml:space="preserve">Na základe údajov za rok 2019 naďalej nedochádza k optimalizácii počtu zamestnancov a po počiatočnom znížení sa koncom roka 2019 počet zamestnancov opätovne zvýšil na úroveň spred roka. Dôvodom bolo najmä prijatie sezónnych zamestnancov pre zabezpečenie vykurovania (obsluha kotlov), ako aj zvýšenie počtu traťových robotníkov, dozorcov výhybiek a výpravcov. K výraznejšej optimalizácii zamestnancov môže dôjsť až po splnení opatrení optimalizačnej analýzy ŽSR, ktorá navrhla viacero možností na úsporu finančných prostriedkov ako aj redukciu zamestnanosti. </w:t>
      </w:r>
      <w:r w:rsidRPr="00666914">
        <w:rPr>
          <w:b/>
        </w:rPr>
        <w:t>Opatrenie sa k 31.12.2019 neplní.</w:t>
      </w:r>
    </w:p>
    <w:p w14:paraId="4DFF7C91" w14:textId="77777777" w:rsidR="00CB16AA" w:rsidRPr="00666914" w:rsidRDefault="00CB16AA" w:rsidP="00985E7A">
      <w:pPr>
        <w:spacing w:after="0"/>
      </w:pPr>
    </w:p>
    <w:p w14:paraId="5D5AA17D" w14:textId="7C8647E0" w:rsidR="00CB16AA" w:rsidRPr="00666914" w:rsidRDefault="00CB16AA" w:rsidP="00985E7A">
      <w:pPr>
        <w:pBdr>
          <w:bottom w:val="single" w:sz="4" w:space="1" w:color="auto"/>
        </w:pBdr>
        <w:spacing w:after="0"/>
        <w:rPr>
          <w:b/>
          <w:sz w:val="20"/>
          <w:szCs w:val="20"/>
        </w:rPr>
      </w:pPr>
      <w:bookmarkStart w:id="217" w:name="_Toc6321986"/>
      <w:bookmarkStart w:id="218" w:name="_Toc21522794"/>
      <w:bookmarkStart w:id="219" w:name="_Toc38447697"/>
      <w:r w:rsidRPr="00666914">
        <w:rPr>
          <w:b/>
          <w:sz w:val="20"/>
          <w:szCs w:val="20"/>
        </w:rPr>
        <w:t xml:space="preserve">Tabuľka </w:t>
      </w:r>
      <w:r w:rsidRPr="00666914">
        <w:rPr>
          <w:b/>
          <w:sz w:val="20"/>
          <w:szCs w:val="20"/>
        </w:rPr>
        <w:fldChar w:fldCharType="begin"/>
      </w:r>
      <w:r w:rsidRPr="00666914">
        <w:rPr>
          <w:b/>
          <w:sz w:val="20"/>
          <w:szCs w:val="20"/>
        </w:rPr>
        <w:instrText xml:space="preserve"> SEQ Tabuľka \* ARABIC \* MERGEFORMAT </w:instrText>
      </w:r>
      <w:r w:rsidRPr="00666914">
        <w:rPr>
          <w:b/>
          <w:sz w:val="20"/>
          <w:szCs w:val="20"/>
        </w:rPr>
        <w:fldChar w:fldCharType="separate"/>
      </w:r>
      <w:r w:rsidR="005A7304">
        <w:rPr>
          <w:b/>
          <w:noProof/>
          <w:sz w:val="20"/>
          <w:szCs w:val="20"/>
        </w:rPr>
        <w:t>36</w:t>
      </w:r>
      <w:r w:rsidRPr="00666914">
        <w:rPr>
          <w:b/>
          <w:sz w:val="20"/>
          <w:szCs w:val="20"/>
        </w:rPr>
        <w:fldChar w:fldCharType="end"/>
      </w:r>
      <w:r w:rsidRPr="00666914">
        <w:rPr>
          <w:b/>
          <w:sz w:val="20"/>
          <w:szCs w:val="20"/>
        </w:rPr>
        <w:t>: Celkové náklady ŽSR a počet km spravovaných tratí</w:t>
      </w:r>
      <w:bookmarkEnd w:id="217"/>
      <w:bookmarkEnd w:id="218"/>
      <w:bookmarkEnd w:id="219"/>
    </w:p>
    <w:tbl>
      <w:tblPr>
        <w:tblW w:w="5000" w:type="pct"/>
        <w:tblCellMar>
          <w:left w:w="70" w:type="dxa"/>
          <w:right w:w="70" w:type="dxa"/>
        </w:tblCellMar>
        <w:tblLook w:val="04A0" w:firstRow="1" w:lastRow="0" w:firstColumn="1" w:lastColumn="0" w:noHBand="0" w:noVBand="1"/>
      </w:tblPr>
      <w:tblGrid>
        <w:gridCol w:w="1974"/>
        <w:gridCol w:w="724"/>
        <w:gridCol w:w="724"/>
        <w:gridCol w:w="724"/>
        <w:gridCol w:w="724"/>
        <w:gridCol w:w="724"/>
        <w:gridCol w:w="724"/>
        <w:gridCol w:w="724"/>
        <w:gridCol w:w="724"/>
        <w:gridCol w:w="724"/>
        <w:gridCol w:w="724"/>
      </w:tblGrid>
      <w:tr w:rsidR="008A3B7F" w:rsidRPr="00666914" w14:paraId="2E7DA083" w14:textId="77777777" w:rsidTr="008A3B7F">
        <w:trPr>
          <w:trHeight w:val="260"/>
        </w:trPr>
        <w:tc>
          <w:tcPr>
            <w:tcW w:w="2122" w:type="pct"/>
            <w:vMerge w:val="restart"/>
            <w:tcBorders>
              <w:top w:val="nil"/>
              <w:left w:val="nil"/>
              <w:bottom w:val="single" w:sz="4" w:space="0" w:color="000000"/>
              <w:right w:val="nil"/>
            </w:tcBorders>
            <w:shd w:val="clear" w:color="auto" w:fill="auto"/>
            <w:noWrap/>
            <w:vAlign w:val="center"/>
            <w:hideMark/>
          </w:tcPr>
          <w:p w14:paraId="282FCBE1" w14:textId="77777777" w:rsidR="008A3B7F" w:rsidRPr="00666914" w:rsidRDefault="008A3B7F" w:rsidP="008A3B7F">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Merateľný ukazovateľ</w:t>
            </w:r>
          </w:p>
        </w:tc>
        <w:tc>
          <w:tcPr>
            <w:tcW w:w="2878" w:type="pct"/>
            <w:gridSpan w:val="10"/>
            <w:tcBorders>
              <w:top w:val="nil"/>
              <w:left w:val="nil"/>
              <w:bottom w:val="nil"/>
              <w:right w:val="nil"/>
            </w:tcBorders>
            <w:shd w:val="clear" w:color="auto" w:fill="auto"/>
            <w:noWrap/>
            <w:vAlign w:val="bottom"/>
            <w:hideMark/>
          </w:tcPr>
          <w:p w14:paraId="4CAD46B0" w14:textId="77777777" w:rsidR="008A3B7F" w:rsidRPr="00666914" w:rsidRDefault="008A3B7F" w:rsidP="008A3B7F">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Obdobie</w:t>
            </w:r>
          </w:p>
        </w:tc>
      </w:tr>
      <w:tr w:rsidR="008A3B7F" w:rsidRPr="00666914" w14:paraId="2F1AC318" w14:textId="77777777" w:rsidTr="008A3B7F">
        <w:trPr>
          <w:trHeight w:val="260"/>
        </w:trPr>
        <w:tc>
          <w:tcPr>
            <w:tcW w:w="2122" w:type="pct"/>
            <w:vMerge/>
            <w:tcBorders>
              <w:top w:val="nil"/>
              <w:left w:val="nil"/>
              <w:bottom w:val="single" w:sz="4" w:space="0" w:color="000000"/>
              <w:right w:val="nil"/>
            </w:tcBorders>
            <w:vAlign w:val="center"/>
            <w:hideMark/>
          </w:tcPr>
          <w:p w14:paraId="24837B83" w14:textId="77777777" w:rsidR="008A3B7F" w:rsidRPr="00666914" w:rsidRDefault="008A3B7F" w:rsidP="008A3B7F">
            <w:pPr>
              <w:spacing w:after="0"/>
              <w:jc w:val="left"/>
              <w:rPr>
                <w:rFonts w:eastAsia="Times New Roman" w:cs="Calibri"/>
                <w:b/>
                <w:bCs/>
                <w:color w:val="000000"/>
                <w:sz w:val="20"/>
                <w:szCs w:val="20"/>
                <w:lang w:eastAsia="sk-SK"/>
              </w:rPr>
            </w:pPr>
          </w:p>
        </w:tc>
        <w:tc>
          <w:tcPr>
            <w:tcW w:w="288" w:type="pct"/>
            <w:tcBorders>
              <w:top w:val="nil"/>
              <w:left w:val="nil"/>
              <w:bottom w:val="single" w:sz="4" w:space="0" w:color="auto"/>
              <w:right w:val="nil"/>
            </w:tcBorders>
            <w:shd w:val="clear" w:color="auto" w:fill="auto"/>
            <w:noWrap/>
            <w:vAlign w:val="center"/>
            <w:hideMark/>
          </w:tcPr>
          <w:p w14:paraId="632613B9" w14:textId="77777777" w:rsidR="008A3B7F" w:rsidRPr="00666914" w:rsidRDefault="008A3B7F" w:rsidP="008A3B7F">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3Q2017</w:t>
            </w:r>
          </w:p>
        </w:tc>
        <w:tc>
          <w:tcPr>
            <w:tcW w:w="288" w:type="pct"/>
            <w:tcBorders>
              <w:top w:val="nil"/>
              <w:left w:val="nil"/>
              <w:bottom w:val="single" w:sz="4" w:space="0" w:color="auto"/>
              <w:right w:val="nil"/>
            </w:tcBorders>
            <w:shd w:val="clear" w:color="auto" w:fill="auto"/>
            <w:noWrap/>
            <w:vAlign w:val="center"/>
            <w:hideMark/>
          </w:tcPr>
          <w:p w14:paraId="46CF96D2" w14:textId="77777777" w:rsidR="008A3B7F" w:rsidRPr="00666914" w:rsidRDefault="008A3B7F" w:rsidP="008A3B7F">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4Q2017</w:t>
            </w:r>
          </w:p>
        </w:tc>
        <w:tc>
          <w:tcPr>
            <w:tcW w:w="288" w:type="pct"/>
            <w:tcBorders>
              <w:top w:val="nil"/>
              <w:left w:val="nil"/>
              <w:bottom w:val="single" w:sz="4" w:space="0" w:color="auto"/>
              <w:right w:val="nil"/>
            </w:tcBorders>
            <w:shd w:val="clear" w:color="auto" w:fill="auto"/>
            <w:noWrap/>
            <w:vAlign w:val="center"/>
            <w:hideMark/>
          </w:tcPr>
          <w:p w14:paraId="24D9BE5F" w14:textId="77777777" w:rsidR="008A3B7F" w:rsidRPr="00666914" w:rsidRDefault="008A3B7F" w:rsidP="008A3B7F">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1Q2018</w:t>
            </w:r>
          </w:p>
        </w:tc>
        <w:tc>
          <w:tcPr>
            <w:tcW w:w="288" w:type="pct"/>
            <w:tcBorders>
              <w:top w:val="nil"/>
              <w:left w:val="nil"/>
              <w:bottom w:val="single" w:sz="4" w:space="0" w:color="auto"/>
              <w:right w:val="nil"/>
            </w:tcBorders>
            <w:shd w:val="clear" w:color="auto" w:fill="auto"/>
            <w:noWrap/>
            <w:vAlign w:val="center"/>
            <w:hideMark/>
          </w:tcPr>
          <w:p w14:paraId="5069124F" w14:textId="77777777" w:rsidR="008A3B7F" w:rsidRPr="00666914" w:rsidRDefault="008A3B7F" w:rsidP="008A3B7F">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2Q2018</w:t>
            </w:r>
          </w:p>
        </w:tc>
        <w:tc>
          <w:tcPr>
            <w:tcW w:w="288" w:type="pct"/>
            <w:tcBorders>
              <w:top w:val="nil"/>
              <w:left w:val="nil"/>
              <w:bottom w:val="single" w:sz="4" w:space="0" w:color="auto"/>
              <w:right w:val="nil"/>
            </w:tcBorders>
            <w:shd w:val="clear" w:color="auto" w:fill="auto"/>
            <w:noWrap/>
            <w:vAlign w:val="center"/>
            <w:hideMark/>
          </w:tcPr>
          <w:p w14:paraId="69F04BB2" w14:textId="77777777" w:rsidR="008A3B7F" w:rsidRPr="00666914" w:rsidRDefault="008A3B7F" w:rsidP="008A3B7F">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3Q2018</w:t>
            </w:r>
          </w:p>
        </w:tc>
        <w:tc>
          <w:tcPr>
            <w:tcW w:w="288" w:type="pct"/>
            <w:tcBorders>
              <w:top w:val="nil"/>
              <w:left w:val="nil"/>
              <w:bottom w:val="single" w:sz="4" w:space="0" w:color="auto"/>
              <w:right w:val="nil"/>
            </w:tcBorders>
            <w:shd w:val="clear" w:color="auto" w:fill="auto"/>
            <w:noWrap/>
            <w:vAlign w:val="center"/>
            <w:hideMark/>
          </w:tcPr>
          <w:p w14:paraId="4294D430" w14:textId="77777777" w:rsidR="008A3B7F" w:rsidRPr="00666914" w:rsidRDefault="008A3B7F" w:rsidP="008A3B7F">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4Q2018</w:t>
            </w:r>
          </w:p>
        </w:tc>
        <w:tc>
          <w:tcPr>
            <w:tcW w:w="288" w:type="pct"/>
            <w:tcBorders>
              <w:top w:val="nil"/>
              <w:left w:val="nil"/>
              <w:bottom w:val="single" w:sz="4" w:space="0" w:color="auto"/>
              <w:right w:val="nil"/>
            </w:tcBorders>
            <w:shd w:val="clear" w:color="auto" w:fill="auto"/>
            <w:noWrap/>
            <w:vAlign w:val="center"/>
            <w:hideMark/>
          </w:tcPr>
          <w:p w14:paraId="629D1E2F" w14:textId="77777777" w:rsidR="008A3B7F" w:rsidRPr="00666914" w:rsidRDefault="008A3B7F" w:rsidP="008A3B7F">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1Q2019</w:t>
            </w:r>
          </w:p>
        </w:tc>
        <w:tc>
          <w:tcPr>
            <w:tcW w:w="288" w:type="pct"/>
            <w:tcBorders>
              <w:top w:val="nil"/>
              <w:left w:val="nil"/>
              <w:bottom w:val="single" w:sz="4" w:space="0" w:color="auto"/>
              <w:right w:val="nil"/>
            </w:tcBorders>
            <w:shd w:val="clear" w:color="auto" w:fill="auto"/>
            <w:noWrap/>
            <w:vAlign w:val="center"/>
            <w:hideMark/>
          </w:tcPr>
          <w:p w14:paraId="409BEEBB" w14:textId="77777777" w:rsidR="008A3B7F" w:rsidRPr="00666914" w:rsidRDefault="008A3B7F" w:rsidP="008A3B7F">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2Q2019</w:t>
            </w:r>
          </w:p>
        </w:tc>
        <w:tc>
          <w:tcPr>
            <w:tcW w:w="288" w:type="pct"/>
            <w:tcBorders>
              <w:top w:val="nil"/>
              <w:left w:val="nil"/>
              <w:bottom w:val="single" w:sz="4" w:space="0" w:color="auto"/>
              <w:right w:val="nil"/>
            </w:tcBorders>
            <w:shd w:val="clear" w:color="auto" w:fill="auto"/>
            <w:noWrap/>
            <w:vAlign w:val="center"/>
            <w:hideMark/>
          </w:tcPr>
          <w:p w14:paraId="392246DD" w14:textId="77777777" w:rsidR="008A3B7F" w:rsidRPr="00666914" w:rsidRDefault="008A3B7F" w:rsidP="008A3B7F">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3Q2019</w:t>
            </w:r>
          </w:p>
        </w:tc>
        <w:tc>
          <w:tcPr>
            <w:tcW w:w="288" w:type="pct"/>
            <w:tcBorders>
              <w:top w:val="nil"/>
              <w:left w:val="nil"/>
              <w:bottom w:val="single" w:sz="4" w:space="0" w:color="auto"/>
              <w:right w:val="nil"/>
            </w:tcBorders>
            <w:shd w:val="clear" w:color="auto" w:fill="auto"/>
            <w:noWrap/>
            <w:vAlign w:val="center"/>
            <w:hideMark/>
          </w:tcPr>
          <w:p w14:paraId="73055856" w14:textId="77777777" w:rsidR="008A3B7F" w:rsidRPr="00666914" w:rsidRDefault="008A3B7F" w:rsidP="008A3B7F">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4Q2019</w:t>
            </w:r>
          </w:p>
        </w:tc>
      </w:tr>
      <w:tr w:rsidR="008A3B7F" w:rsidRPr="00666914" w14:paraId="5F97AE61" w14:textId="77777777" w:rsidTr="008A3B7F">
        <w:trPr>
          <w:trHeight w:val="520"/>
        </w:trPr>
        <w:tc>
          <w:tcPr>
            <w:tcW w:w="2122" w:type="pct"/>
            <w:tcBorders>
              <w:top w:val="nil"/>
              <w:left w:val="nil"/>
              <w:bottom w:val="nil"/>
              <w:right w:val="nil"/>
            </w:tcBorders>
            <w:shd w:val="clear" w:color="auto" w:fill="auto"/>
            <w:vAlign w:val="center"/>
            <w:hideMark/>
          </w:tcPr>
          <w:p w14:paraId="30BB4045" w14:textId="77777777" w:rsidR="008A3B7F" w:rsidRPr="00666914" w:rsidRDefault="008A3B7F" w:rsidP="008A3B7F">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Počet km spravovaných tratí na 1 zamestnanca ŽSR (km) - stavebná dĺžka</w:t>
            </w:r>
          </w:p>
        </w:tc>
        <w:tc>
          <w:tcPr>
            <w:tcW w:w="288" w:type="pct"/>
            <w:tcBorders>
              <w:top w:val="nil"/>
              <w:left w:val="nil"/>
              <w:bottom w:val="nil"/>
              <w:right w:val="nil"/>
            </w:tcBorders>
            <w:shd w:val="clear" w:color="auto" w:fill="auto"/>
            <w:noWrap/>
            <w:vAlign w:val="center"/>
            <w:hideMark/>
          </w:tcPr>
          <w:p w14:paraId="1A9D54A9" w14:textId="77777777"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0,26</w:t>
            </w:r>
          </w:p>
        </w:tc>
        <w:tc>
          <w:tcPr>
            <w:tcW w:w="288" w:type="pct"/>
            <w:tcBorders>
              <w:top w:val="nil"/>
              <w:left w:val="nil"/>
              <w:bottom w:val="nil"/>
              <w:right w:val="nil"/>
            </w:tcBorders>
            <w:shd w:val="clear" w:color="auto" w:fill="auto"/>
            <w:noWrap/>
            <w:vAlign w:val="center"/>
            <w:hideMark/>
          </w:tcPr>
          <w:p w14:paraId="20C596B6" w14:textId="77777777"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0,26</w:t>
            </w:r>
          </w:p>
        </w:tc>
        <w:tc>
          <w:tcPr>
            <w:tcW w:w="288" w:type="pct"/>
            <w:tcBorders>
              <w:top w:val="nil"/>
              <w:left w:val="nil"/>
              <w:bottom w:val="nil"/>
              <w:right w:val="nil"/>
            </w:tcBorders>
            <w:shd w:val="clear" w:color="auto" w:fill="auto"/>
            <w:noWrap/>
            <w:vAlign w:val="center"/>
            <w:hideMark/>
          </w:tcPr>
          <w:p w14:paraId="57338A40" w14:textId="77777777"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0,26</w:t>
            </w:r>
          </w:p>
        </w:tc>
        <w:tc>
          <w:tcPr>
            <w:tcW w:w="288" w:type="pct"/>
            <w:tcBorders>
              <w:top w:val="nil"/>
              <w:left w:val="nil"/>
              <w:bottom w:val="nil"/>
              <w:right w:val="nil"/>
            </w:tcBorders>
            <w:shd w:val="clear" w:color="auto" w:fill="auto"/>
            <w:noWrap/>
            <w:vAlign w:val="center"/>
            <w:hideMark/>
          </w:tcPr>
          <w:p w14:paraId="6F4B93B0" w14:textId="77777777"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0,26</w:t>
            </w:r>
          </w:p>
        </w:tc>
        <w:tc>
          <w:tcPr>
            <w:tcW w:w="288" w:type="pct"/>
            <w:tcBorders>
              <w:top w:val="nil"/>
              <w:left w:val="nil"/>
              <w:bottom w:val="nil"/>
              <w:right w:val="nil"/>
            </w:tcBorders>
            <w:shd w:val="clear" w:color="auto" w:fill="auto"/>
            <w:noWrap/>
            <w:vAlign w:val="center"/>
            <w:hideMark/>
          </w:tcPr>
          <w:p w14:paraId="416DA9FE" w14:textId="77777777"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0,27</w:t>
            </w:r>
          </w:p>
        </w:tc>
        <w:tc>
          <w:tcPr>
            <w:tcW w:w="288" w:type="pct"/>
            <w:tcBorders>
              <w:top w:val="nil"/>
              <w:left w:val="nil"/>
              <w:bottom w:val="nil"/>
              <w:right w:val="nil"/>
            </w:tcBorders>
            <w:shd w:val="clear" w:color="auto" w:fill="auto"/>
            <w:noWrap/>
            <w:vAlign w:val="center"/>
            <w:hideMark/>
          </w:tcPr>
          <w:p w14:paraId="271F5436" w14:textId="77777777"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0,26</w:t>
            </w:r>
          </w:p>
        </w:tc>
        <w:tc>
          <w:tcPr>
            <w:tcW w:w="288" w:type="pct"/>
            <w:tcBorders>
              <w:top w:val="nil"/>
              <w:left w:val="nil"/>
              <w:bottom w:val="nil"/>
              <w:right w:val="nil"/>
            </w:tcBorders>
            <w:shd w:val="clear" w:color="auto" w:fill="auto"/>
            <w:noWrap/>
            <w:vAlign w:val="center"/>
            <w:hideMark/>
          </w:tcPr>
          <w:p w14:paraId="77EE5469" w14:textId="77777777"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0,27</w:t>
            </w:r>
          </w:p>
        </w:tc>
        <w:tc>
          <w:tcPr>
            <w:tcW w:w="288" w:type="pct"/>
            <w:tcBorders>
              <w:top w:val="nil"/>
              <w:left w:val="nil"/>
              <w:bottom w:val="nil"/>
              <w:right w:val="nil"/>
            </w:tcBorders>
            <w:shd w:val="clear" w:color="auto" w:fill="auto"/>
            <w:noWrap/>
            <w:vAlign w:val="center"/>
            <w:hideMark/>
          </w:tcPr>
          <w:p w14:paraId="0D293436" w14:textId="77777777"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0,27</w:t>
            </w:r>
          </w:p>
        </w:tc>
        <w:tc>
          <w:tcPr>
            <w:tcW w:w="288" w:type="pct"/>
            <w:tcBorders>
              <w:top w:val="nil"/>
              <w:left w:val="nil"/>
              <w:bottom w:val="nil"/>
              <w:right w:val="nil"/>
            </w:tcBorders>
            <w:shd w:val="clear" w:color="auto" w:fill="auto"/>
            <w:noWrap/>
            <w:vAlign w:val="center"/>
            <w:hideMark/>
          </w:tcPr>
          <w:p w14:paraId="00C4BD09" w14:textId="77777777"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0,27</w:t>
            </w:r>
          </w:p>
        </w:tc>
        <w:tc>
          <w:tcPr>
            <w:tcW w:w="288" w:type="pct"/>
            <w:tcBorders>
              <w:top w:val="nil"/>
              <w:left w:val="nil"/>
              <w:bottom w:val="nil"/>
              <w:right w:val="nil"/>
            </w:tcBorders>
            <w:shd w:val="clear" w:color="auto" w:fill="auto"/>
            <w:noWrap/>
            <w:vAlign w:val="center"/>
            <w:hideMark/>
          </w:tcPr>
          <w:p w14:paraId="1694A557" w14:textId="77777777"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0,27</w:t>
            </w:r>
          </w:p>
        </w:tc>
      </w:tr>
      <w:tr w:rsidR="008A3B7F" w:rsidRPr="00666914" w14:paraId="13B8D946" w14:textId="77777777" w:rsidTr="008A3B7F">
        <w:trPr>
          <w:trHeight w:val="260"/>
        </w:trPr>
        <w:tc>
          <w:tcPr>
            <w:tcW w:w="2122" w:type="pct"/>
            <w:tcBorders>
              <w:top w:val="nil"/>
              <w:left w:val="nil"/>
              <w:bottom w:val="nil"/>
              <w:right w:val="nil"/>
            </w:tcBorders>
            <w:shd w:val="clear" w:color="auto" w:fill="auto"/>
            <w:vAlign w:val="center"/>
            <w:hideMark/>
          </w:tcPr>
          <w:p w14:paraId="5909B849" w14:textId="77777777" w:rsidR="008A3B7F" w:rsidRPr="00666914" w:rsidRDefault="008A3B7F" w:rsidP="008A3B7F">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Celkové náklady ŽSR na 1 hrubý tonokilometer (eur)</w:t>
            </w:r>
          </w:p>
        </w:tc>
        <w:tc>
          <w:tcPr>
            <w:tcW w:w="288" w:type="pct"/>
            <w:tcBorders>
              <w:top w:val="nil"/>
              <w:left w:val="nil"/>
              <w:bottom w:val="nil"/>
              <w:right w:val="nil"/>
            </w:tcBorders>
            <w:shd w:val="clear" w:color="auto" w:fill="auto"/>
            <w:noWrap/>
            <w:vAlign w:val="center"/>
            <w:hideMark/>
          </w:tcPr>
          <w:p w14:paraId="64EFA009" w14:textId="77777777"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0,02</w:t>
            </w:r>
          </w:p>
        </w:tc>
        <w:tc>
          <w:tcPr>
            <w:tcW w:w="288" w:type="pct"/>
            <w:tcBorders>
              <w:top w:val="nil"/>
              <w:left w:val="nil"/>
              <w:bottom w:val="nil"/>
              <w:right w:val="nil"/>
            </w:tcBorders>
            <w:shd w:val="clear" w:color="auto" w:fill="auto"/>
            <w:noWrap/>
            <w:vAlign w:val="center"/>
            <w:hideMark/>
          </w:tcPr>
          <w:p w14:paraId="57DB591A" w14:textId="77777777"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0,02</w:t>
            </w:r>
          </w:p>
        </w:tc>
        <w:tc>
          <w:tcPr>
            <w:tcW w:w="288" w:type="pct"/>
            <w:tcBorders>
              <w:top w:val="nil"/>
              <w:left w:val="nil"/>
              <w:bottom w:val="nil"/>
              <w:right w:val="nil"/>
            </w:tcBorders>
            <w:shd w:val="clear" w:color="auto" w:fill="auto"/>
            <w:noWrap/>
            <w:vAlign w:val="center"/>
            <w:hideMark/>
          </w:tcPr>
          <w:p w14:paraId="14F62080" w14:textId="77777777"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0,02</w:t>
            </w:r>
          </w:p>
        </w:tc>
        <w:tc>
          <w:tcPr>
            <w:tcW w:w="288" w:type="pct"/>
            <w:tcBorders>
              <w:top w:val="nil"/>
              <w:left w:val="nil"/>
              <w:bottom w:val="nil"/>
              <w:right w:val="nil"/>
            </w:tcBorders>
            <w:shd w:val="clear" w:color="auto" w:fill="auto"/>
            <w:noWrap/>
            <w:vAlign w:val="center"/>
            <w:hideMark/>
          </w:tcPr>
          <w:p w14:paraId="4149911D" w14:textId="77777777"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0,02</w:t>
            </w:r>
          </w:p>
        </w:tc>
        <w:tc>
          <w:tcPr>
            <w:tcW w:w="288" w:type="pct"/>
            <w:tcBorders>
              <w:top w:val="nil"/>
              <w:left w:val="nil"/>
              <w:bottom w:val="nil"/>
              <w:right w:val="nil"/>
            </w:tcBorders>
            <w:shd w:val="clear" w:color="auto" w:fill="auto"/>
            <w:noWrap/>
            <w:vAlign w:val="center"/>
            <w:hideMark/>
          </w:tcPr>
          <w:p w14:paraId="3E50CB5E" w14:textId="77777777"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0,02</w:t>
            </w:r>
          </w:p>
        </w:tc>
        <w:tc>
          <w:tcPr>
            <w:tcW w:w="288" w:type="pct"/>
            <w:tcBorders>
              <w:top w:val="nil"/>
              <w:left w:val="nil"/>
              <w:bottom w:val="nil"/>
              <w:right w:val="nil"/>
            </w:tcBorders>
            <w:shd w:val="clear" w:color="auto" w:fill="auto"/>
            <w:noWrap/>
            <w:vAlign w:val="center"/>
            <w:hideMark/>
          </w:tcPr>
          <w:p w14:paraId="3C96BA14" w14:textId="77777777"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0,02</w:t>
            </w:r>
          </w:p>
        </w:tc>
        <w:tc>
          <w:tcPr>
            <w:tcW w:w="288" w:type="pct"/>
            <w:tcBorders>
              <w:top w:val="nil"/>
              <w:left w:val="nil"/>
              <w:bottom w:val="nil"/>
              <w:right w:val="nil"/>
            </w:tcBorders>
            <w:shd w:val="clear" w:color="auto" w:fill="auto"/>
            <w:noWrap/>
            <w:vAlign w:val="center"/>
            <w:hideMark/>
          </w:tcPr>
          <w:p w14:paraId="7D6D5E70" w14:textId="77777777"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0,02</w:t>
            </w:r>
          </w:p>
        </w:tc>
        <w:tc>
          <w:tcPr>
            <w:tcW w:w="288" w:type="pct"/>
            <w:tcBorders>
              <w:top w:val="nil"/>
              <w:left w:val="nil"/>
              <w:bottom w:val="nil"/>
              <w:right w:val="nil"/>
            </w:tcBorders>
            <w:shd w:val="clear" w:color="auto" w:fill="auto"/>
            <w:noWrap/>
            <w:vAlign w:val="center"/>
            <w:hideMark/>
          </w:tcPr>
          <w:p w14:paraId="67CCF256" w14:textId="77777777"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0,02</w:t>
            </w:r>
          </w:p>
        </w:tc>
        <w:tc>
          <w:tcPr>
            <w:tcW w:w="288" w:type="pct"/>
            <w:tcBorders>
              <w:top w:val="nil"/>
              <w:left w:val="nil"/>
              <w:bottom w:val="nil"/>
              <w:right w:val="nil"/>
            </w:tcBorders>
            <w:shd w:val="clear" w:color="auto" w:fill="auto"/>
            <w:noWrap/>
            <w:vAlign w:val="center"/>
            <w:hideMark/>
          </w:tcPr>
          <w:p w14:paraId="3C79ACA0" w14:textId="77777777"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0,03</w:t>
            </w:r>
          </w:p>
        </w:tc>
        <w:tc>
          <w:tcPr>
            <w:tcW w:w="288" w:type="pct"/>
            <w:tcBorders>
              <w:top w:val="nil"/>
              <w:left w:val="nil"/>
              <w:bottom w:val="nil"/>
              <w:right w:val="nil"/>
            </w:tcBorders>
            <w:shd w:val="clear" w:color="auto" w:fill="auto"/>
            <w:noWrap/>
            <w:vAlign w:val="center"/>
            <w:hideMark/>
          </w:tcPr>
          <w:p w14:paraId="22E058BC" w14:textId="77777777"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0,02</w:t>
            </w:r>
          </w:p>
        </w:tc>
      </w:tr>
      <w:tr w:rsidR="008A3B7F" w:rsidRPr="00666914" w14:paraId="672273BE" w14:textId="77777777" w:rsidTr="008A3B7F">
        <w:trPr>
          <w:trHeight w:val="260"/>
        </w:trPr>
        <w:tc>
          <w:tcPr>
            <w:tcW w:w="2122" w:type="pct"/>
            <w:tcBorders>
              <w:top w:val="nil"/>
              <w:left w:val="nil"/>
              <w:bottom w:val="nil"/>
              <w:right w:val="nil"/>
            </w:tcBorders>
            <w:shd w:val="clear" w:color="auto" w:fill="auto"/>
            <w:vAlign w:val="center"/>
            <w:hideMark/>
          </w:tcPr>
          <w:p w14:paraId="35741604" w14:textId="77777777" w:rsidR="008A3B7F" w:rsidRPr="00666914" w:rsidRDefault="008A3B7F" w:rsidP="008A3B7F">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Celkové náklady ŽSR na 1 vlakokilometer (eur)</w:t>
            </w:r>
          </w:p>
        </w:tc>
        <w:tc>
          <w:tcPr>
            <w:tcW w:w="288" w:type="pct"/>
            <w:tcBorders>
              <w:top w:val="nil"/>
              <w:left w:val="nil"/>
              <w:bottom w:val="nil"/>
              <w:right w:val="nil"/>
            </w:tcBorders>
            <w:shd w:val="clear" w:color="auto" w:fill="auto"/>
            <w:noWrap/>
            <w:vAlign w:val="center"/>
            <w:hideMark/>
          </w:tcPr>
          <w:p w14:paraId="417D6B26" w14:textId="77777777"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10,51</w:t>
            </w:r>
          </w:p>
        </w:tc>
        <w:tc>
          <w:tcPr>
            <w:tcW w:w="288" w:type="pct"/>
            <w:tcBorders>
              <w:top w:val="nil"/>
              <w:left w:val="nil"/>
              <w:bottom w:val="nil"/>
              <w:right w:val="nil"/>
            </w:tcBorders>
            <w:shd w:val="clear" w:color="auto" w:fill="auto"/>
            <w:noWrap/>
            <w:vAlign w:val="center"/>
            <w:hideMark/>
          </w:tcPr>
          <w:p w14:paraId="03846687" w14:textId="77777777"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13,15</w:t>
            </w:r>
          </w:p>
        </w:tc>
        <w:tc>
          <w:tcPr>
            <w:tcW w:w="288" w:type="pct"/>
            <w:tcBorders>
              <w:top w:val="nil"/>
              <w:left w:val="nil"/>
              <w:bottom w:val="nil"/>
              <w:right w:val="nil"/>
            </w:tcBorders>
            <w:shd w:val="clear" w:color="auto" w:fill="auto"/>
            <w:noWrap/>
            <w:vAlign w:val="center"/>
            <w:hideMark/>
          </w:tcPr>
          <w:p w14:paraId="095DF4BB" w14:textId="77777777"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12,03</w:t>
            </w:r>
          </w:p>
        </w:tc>
        <w:tc>
          <w:tcPr>
            <w:tcW w:w="288" w:type="pct"/>
            <w:tcBorders>
              <w:top w:val="nil"/>
              <w:left w:val="nil"/>
              <w:bottom w:val="nil"/>
              <w:right w:val="nil"/>
            </w:tcBorders>
            <w:shd w:val="clear" w:color="auto" w:fill="auto"/>
            <w:noWrap/>
            <w:vAlign w:val="center"/>
            <w:hideMark/>
          </w:tcPr>
          <w:p w14:paraId="7482596F" w14:textId="77777777"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11,59</w:t>
            </w:r>
          </w:p>
        </w:tc>
        <w:tc>
          <w:tcPr>
            <w:tcW w:w="288" w:type="pct"/>
            <w:tcBorders>
              <w:top w:val="nil"/>
              <w:left w:val="nil"/>
              <w:bottom w:val="nil"/>
              <w:right w:val="nil"/>
            </w:tcBorders>
            <w:shd w:val="clear" w:color="auto" w:fill="auto"/>
            <w:noWrap/>
            <w:vAlign w:val="center"/>
            <w:hideMark/>
          </w:tcPr>
          <w:p w14:paraId="47ADFDAC" w14:textId="77777777"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11,33</w:t>
            </w:r>
          </w:p>
        </w:tc>
        <w:tc>
          <w:tcPr>
            <w:tcW w:w="288" w:type="pct"/>
            <w:tcBorders>
              <w:top w:val="nil"/>
              <w:left w:val="nil"/>
              <w:bottom w:val="nil"/>
              <w:right w:val="nil"/>
            </w:tcBorders>
            <w:shd w:val="clear" w:color="auto" w:fill="auto"/>
            <w:noWrap/>
            <w:vAlign w:val="center"/>
            <w:hideMark/>
          </w:tcPr>
          <w:p w14:paraId="78E97D2F" w14:textId="77777777"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11,84</w:t>
            </w:r>
          </w:p>
        </w:tc>
        <w:tc>
          <w:tcPr>
            <w:tcW w:w="288" w:type="pct"/>
            <w:tcBorders>
              <w:top w:val="nil"/>
              <w:left w:val="nil"/>
              <w:bottom w:val="nil"/>
              <w:right w:val="nil"/>
            </w:tcBorders>
            <w:shd w:val="clear" w:color="auto" w:fill="auto"/>
            <w:noWrap/>
            <w:vAlign w:val="center"/>
            <w:hideMark/>
          </w:tcPr>
          <w:p w14:paraId="30745BC7" w14:textId="77777777"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10,32</w:t>
            </w:r>
          </w:p>
        </w:tc>
        <w:tc>
          <w:tcPr>
            <w:tcW w:w="288" w:type="pct"/>
            <w:tcBorders>
              <w:top w:val="nil"/>
              <w:left w:val="nil"/>
              <w:bottom w:val="nil"/>
              <w:right w:val="nil"/>
            </w:tcBorders>
            <w:shd w:val="clear" w:color="auto" w:fill="auto"/>
            <w:noWrap/>
            <w:vAlign w:val="center"/>
            <w:hideMark/>
          </w:tcPr>
          <w:p w14:paraId="7AF1A3C0" w14:textId="77777777"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12,06</w:t>
            </w:r>
          </w:p>
        </w:tc>
        <w:tc>
          <w:tcPr>
            <w:tcW w:w="288" w:type="pct"/>
            <w:tcBorders>
              <w:top w:val="nil"/>
              <w:left w:val="nil"/>
              <w:bottom w:val="nil"/>
              <w:right w:val="nil"/>
            </w:tcBorders>
            <w:shd w:val="clear" w:color="auto" w:fill="auto"/>
            <w:noWrap/>
            <w:vAlign w:val="center"/>
            <w:hideMark/>
          </w:tcPr>
          <w:p w14:paraId="23240160" w14:textId="77777777"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13,51</w:t>
            </w:r>
          </w:p>
        </w:tc>
        <w:tc>
          <w:tcPr>
            <w:tcW w:w="288" w:type="pct"/>
            <w:tcBorders>
              <w:top w:val="nil"/>
              <w:left w:val="nil"/>
              <w:bottom w:val="nil"/>
              <w:right w:val="nil"/>
            </w:tcBorders>
            <w:shd w:val="clear" w:color="auto" w:fill="auto"/>
            <w:noWrap/>
            <w:vAlign w:val="center"/>
            <w:hideMark/>
          </w:tcPr>
          <w:p w14:paraId="375586D5" w14:textId="77777777"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12,58</w:t>
            </w:r>
          </w:p>
        </w:tc>
      </w:tr>
      <w:tr w:rsidR="008A3B7F" w:rsidRPr="00666914" w14:paraId="252788BC" w14:textId="77777777" w:rsidTr="008A3B7F">
        <w:trPr>
          <w:trHeight w:val="260"/>
        </w:trPr>
        <w:tc>
          <w:tcPr>
            <w:tcW w:w="2122" w:type="pct"/>
            <w:tcBorders>
              <w:top w:val="nil"/>
              <w:left w:val="nil"/>
              <w:bottom w:val="single" w:sz="4" w:space="0" w:color="auto"/>
              <w:right w:val="nil"/>
            </w:tcBorders>
            <w:shd w:val="clear" w:color="auto" w:fill="auto"/>
            <w:noWrap/>
            <w:vAlign w:val="center"/>
            <w:hideMark/>
          </w:tcPr>
          <w:p w14:paraId="2FBF1C1D" w14:textId="77777777" w:rsidR="008A3B7F" w:rsidRPr="00666914" w:rsidRDefault="008A3B7F" w:rsidP="008A3B7F">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Počet zamestnancov</w:t>
            </w:r>
          </w:p>
        </w:tc>
        <w:tc>
          <w:tcPr>
            <w:tcW w:w="288" w:type="pct"/>
            <w:tcBorders>
              <w:top w:val="nil"/>
              <w:left w:val="nil"/>
              <w:bottom w:val="single" w:sz="4" w:space="0" w:color="auto"/>
              <w:right w:val="nil"/>
            </w:tcBorders>
            <w:shd w:val="clear" w:color="auto" w:fill="auto"/>
            <w:noWrap/>
            <w:vAlign w:val="center"/>
            <w:hideMark/>
          </w:tcPr>
          <w:p w14:paraId="51A64114" w14:textId="088FF846"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13 780</w:t>
            </w:r>
          </w:p>
        </w:tc>
        <w:tc>
          <w:tcPr>
            <w:tcW w:w="288" w:type="pct"/>
            <w:tcBorders>
              <w:top w:val="nil"/>
              <w:left w:val="nil"/>
              <w:bottom w:val="single" w:sz="4" w:space="0" w:color="auto"/>
              <w:right w:val="nil"/>
            </w:tcBorders>
            <w:shd w:val="clear" w:color="auto" w:fill="auto"/>
            <w:noWrap/>
            <w:vAlign w:val="center"/>
            <w:hideMark/>
          </w:tcPr>
          <w:p w14:paraId="721B6D1C" w14:textId="335666B7"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13 794</w:t>
            </w:r>
          </w:p>
        </w:tc>
        <w:tc>
          <w:tcPr>
            <w:tcW w:w="288" w:type="pct"/>
            <w:tcBorders>
              <w:top w:val="nil"/>
              <w:left w:val="nil"/>
              <w:bottom w:val="single" w:sz="4" w:space="0" w:color="auto"/>
              <w:right w:val="nil"/>
            </w:tcBorders>
            <w:shd w:val="clear" w:color="auto" w:fill="auto"/>
            <w:noWrap/>
            <w:vAlign w:val="center"/>
            <w:hideMark/>
          </w:tcPr>
          <w:p w14:paraId="2135CB00" w14:textId="7A237F3F"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13 716</w:t>
            </w:r>
          </w:p>
        </w:tc>
        <w:tc>
          <w:tcPr>
            <w:tcW w:w="288" w:type="pct"/>
            <w:tcBorders>
              <w:top w:val="nil"/>
              <w:left w:val="nil"/>
              <w:bottom w:val="single" w:sz="4" w:space="0" w:color="auto"/>
              <w:right w:val="nil"/>
            </w:tcBorders>
            <w:shd w:val="clear" w:color="auto" w:fill="auto"/>
            <w:noWrap/>
            <w:vAlign w:val="center"/>
            <w:hideMark/>
          </w:tcPr>
          <w:p w14:paraId="27B99458" w14:textId="535FF932"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13 694</w:t>
            </w:r>
          </w:p>
        </w:tc>
        <w:tc>
          <w:tcPr>
            <w:tcW w:w="288" w:type="pct"/>
            <w:tcBorders>
              <w:top w:val="nil"/>
              <w:left w:val="nil"/>
              <w:bottom w:val="single" w:sz="4" w:space="0" w:color="auto"/>
              <w:right w:val="nil"/>
            </w:tcBorders>
            <w:shd w:val="clear" w:color="auto" w:fill="auto"/>
            <w:noWrap/>
            <w:vAlign w:val="center"/>
            <w:hideMark/>
          </w:tcPr>
          <w:p w14:paraId="157CC98A" w14:textId="4A63E4C1"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13 636</w:t>
            </w:r>
          </w:p>
        </w:tc>
        <w:tc>
          <w:tcPr>
            <w:tcW w:w="288" w:type="pct"/>
            <w:tcBorders>
              <w:top w:val="nil"/>
              <w:left w:val="nil"/>
              <w:bottom w:val="single" w:sz="4" w:space="0" w:color="auto"/>
              <w:right w:val="nil"/>
            </w:tcBorders>
            <w:shd w:val="clear" w:color="auto" w:fill="auto"/>
            <w:noWrap/>
            <w:vAlign w:val="center"/>
            <w:hideMark/>
          </w:tcPr>
          <w:p w14:paraId="6F4C773D" w14:textId="4A93C412"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13 689</w:t>
            </w:r>
          </w:p>
        </w:tc>
        <w:tc>
          <w:tcPr>
            <w:tcW w:w="288" w:type="pct"/>
            <w:tcBorders>
              <w:top w:val="nil"/>
              <w:left w:val="nil"/>
              <w:bottom w:val="single" w:sz="4" w:space="0" w:color="auto"/>
              <w:right w:val="nil"/>
            </w:tcBorders>
            <w:shd w:val="clear" w:color="auto" w:fill="auto"/>
            <w:noWrap/>
            <w:vAlign w:val="center"/>
            <w:hideMark/>
          </w:tcPr>
          <w:p w14:paraId="638763A2" w14:textId="686AC01D"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13 629</w:t>
            </w:r>
          </w:p>
        </w:tc>
        <w:tc>
          <w:tcPr>
            <w:tcW w:w="288" w:type="pct"/>
            <w:tcBorders>
              <w:top w:val="nil"/>
              <w:left w:val="nil"/>
              <w:bottom w:val="single" w:sz="4" w:space="0" w:color="auto"/>
              <w:right w:val="nil"/>
            </w:tcBorders>
            <w:shd w:val="clear" w:color="auto" w:fill="auto"/>
            <w:noWrap/>
            <w:vAlign w:val="center"/>
            <w:hideMark/>
          </w:tcPr>
          <w:p w14:paraId="5C061D16" w14:textId="23A660CF"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13 606</w:t>
            </w:r>
          </w:p>
        </w:tc>
        <w:tc>
          <w:tcPr>
            <w:tcW w:w="288" w:type="pct"/>
            <w:tcBorders>
              <w:top w:val="nil"/>
              <w:left w:val="nil"/>
              <w:bottom w:val="single" w:sz="4" w:space="0" w:color="auto"/>
              <w:right w:val="nil"/>
            </w:tcBorders>
            <w:shd w:val="clear" w:color="auto" w:fill="auto"/>
            <w:noWrap/>
            <w:vAlign w:val="center"/>
            <w:hideMark/>
          </w:tcPr>
          <w:p w14:paraId="7196A9A9" w14:textId="2EE199C1"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13 569</w:t>
            </w:r>
          </w:p>
        </w:tc>
        <w:tc>
          <w:tcPr>
            <w:tcW w:w="288" w:type="pct"/>
            <w:tcBorders>
              <w:top w:val="nil"/>
              <w:left w:val="nil"/>
              <w:bottom w:val="single" w:sz="4" w:space="0" w:color="auto"/>
              <w:right w:val="nil"/>
            </w:tcBorders>
            <w:shd w:val="clear" w:color="auto" w:fill="auto"/>
            <w:noWrap/>
            <w:vAlign w:val="center"/>
            <w:hideMark/>
          </w:tcPr>
          <w:p w14:paraId="3BF79BFA" w14:textId="419D0FF3" w:rsidR="008A3B7F" w:rsidRPr="00666914" w:rsidRDefault="008A3B7F" w:rsidP="008A3B7F">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13 687</w:t>
            </w:r>
          </w:p>
        </w:tc>
      </w:tr>
    </w:tbl>
    <w:p w14:paraId="723206B1" w14:textId="56C39DBF" w:rsidR="00CB16AA" w:rsidRPr="00666914" w:rsidRDefault="00CB16AA" w:rsidP="00D103B7">
      <w:pPr>
        <w:pStyle w:val="Odsekzoznamu"/>
        <w:spacing w:after="0"/>
        <w:jc w:val="right"/>
        <w:rPr>
          <w:i/>
          <w:sz w:val="18"/>
        </w:rPr>
      </w:pPr>
      <w:r w:rsidRPr="00666914">
        <w:rPr>
          <w:i/>
          <w:sz w:val="18"/>
        </w:rPr>
        <w:t xml:space="preserve">Zdroj: ŽSR </w:t>
      </w:r>
    </w:p>
    <w:p w14:paraId="29877989" w14:textId="77777777" w:rsidR="00D103B7" w:rsidRPr="00666914" w:rsidRDefault="00D103B7" w:rsidP="00D103B7">
      <w:pPr>
        <w:pStyle w:val="Odsekzoznamu"/>
        <w:spacing w:after="0"/>
        <w:jc w:val="right"/>
        <w:rPr>
          <w:i/>
          <w:sz w:val="18"/>
        </w:rPr>
      </w:pPr>
    </w:p>
    <w:p w14:paraId="0437A3DF" w14:textId="77777777" w:rsidR="00CB16AA" w:rsidRPr="00666914" w:rsidRDefault="00CB16AA" w:rsidP="00312C28">
      <w:pPr>
        <w:pStyle w:val="Odsekzoznamu"/>
        <w:numPr>
          <w:ilvl w:val="0"/>
          <w:numId w:val="34"/>
        </w:numPr>
        <w:spacing w:line="276" w:lineRule="auto"/>
        <w:rPr>
          <w:b/>
          <w:u w:val="single"/>
        </w:rPr>
      </w:pPr>
      <w:r w:rsidRPr="00666914">
        <w:rPr>
          <w:b/>
          <w:u w:val="single"/>
        </w:rPr>
        <w:lastRenderedPageBreak/>
        <w:t>Realizovať úspory v riadení dopravy investíciami podľa aktuálnych možností RVS a eurofondov. Prioritne realizovať najprínosnejšie investície</w:t>
      </w:r>
    </w:p>
    <w:p w14:paraId="65966752" w14:textId="3910E0C2" w:rsidR="00CB16AA" w:rsidRPr="00666914" w:rsidRDefault="00CB16AA" w:rsidP="007075F7">
      <w:r w:rsidRPr="00666914">
        <w:t>Toto opatrenie je priamo previazané s opatrením č. 19 (Optimalizovať počet zamestnancov ŽSR v súvislosti s modernizáciou, znižovaním rozsahu prvkov železničnej infraštruktúry a optimalizáciou činností), keďže sa obe opatrenia viažu aj na potrebné investície v riadení dopravy. Pri optimalizácii mzdových výdavkov na riadenie dopravy má rovnako ako v predchádzajúcom opatrení ŽSR značné rezervy. Za rok 2019 došlo k výraznému medziročnému nárastu celkových nákladov ŽSR na 1 km spravovaných tratí. Medziročný rast nákladov bol spôsobený najmä rastom mzdových nákladov vyplývajúcich z legislatívnych zmien a zmien vyplývajúcich z Kolektívnej zmluvy ŽSR, zmeny medzi jednotlivými štvrťrokmi odrážajú najmä sez</w:t>
      </w:r>
      <w:r w:rsidR="00D67E6E" w:rsidRPr="00666914">
        <w:t>ónnosť prác a účtovné operácie.</w:t>
      </w:r>
    </w:p>
    <w:p w14:paraId="56068F4D" w14:textId="0E06D716" w:rsidR="00CB16AA" w:rsidRPr="00666914" w:rsidRDefault="00CB16AA" w:rsidP="007075F7">
      <w:pPr>
        <w:pBdr>
          <w:bottom w:val="single" w:sz="4" w:space="1" w:color="auto"/>
        </w:pBdr>
        <w:spacing w:after="0"/>
        <w:rPr>
          <w:b/>
          <w:sz w:val="20"/>
          <w:szCs w:val="20"/>
        </w:rPr>
      </w:pPr>
      <w:bookmarkStart w:id="220" w:name="_Toc508800985"/>
      <w:bookmarkStart w:id="221" w:name="_Toc512002504"/>
      <w:bookmarkStart w:id="222" w:name="_Toc526757553"/>
      <w:bookmarkStart w:id="223" w:name="_Toc6321987"/>
      <w:bookmarkStart w:id="224" w:name="_Toc21522795"/>
      <w:bookmarkStart w:id="225" w:name="_Toc38447698"/>
      <w:r w:rsidRPr="00666914">
        <w:rPr>
          <w:b/>
          <w:sz w:val="20"/>
          <w:szCs w:val="20"/>
        </w:rPr>
        <w:t xml:space="preserve">Tabuľka </w:t>
      </w:r>
      <w:r w:rsidRPr="00666914">
        <w:rPr>
          <w:b/>
          <w:noProof/>
          <w:sz w:val="20"/>
          <w:szCs w:val="20"/>
        </w:rPr>
        <w:fldChar w:fldCharType="begin"/>
      </w:r>
      <w:r w:rsidRPr="00666914">
        <w:rPr>
          <w:b/>
          <w:noProof/>
          <w:sz w:val="20"/>
          <w:szCs w:val="20"/>
        </w:rPr>
        <w:instrText xml:space="preserve"> SEQ Tabuľka \* ARABIC \* MERGEFORMAT </w:instrText>
      </w:r>
      <w:r w:rsidRPr="00666914">
        <w:rPr>
          <w:b/>
          <w:noProof/>
          <w:sz w:val="20"/>
          <w:szCs w:val="20"/>
        </w:rPr>
        <w:fldChar w:fldCharType="separate"/>
      </w:r>
      <w:r w:rsidR="005A7304">
        <w:rPr>
          <w:b/>
          <w:noProof/>
          <w:sz w:val="20"/>
          <w:szCs w:val="20"/>
        </w:rPr>
        <w:t>37</w:t>
      </w:r>
      <w:r w:rsidRPr="00666914">
        <w:rPr>
          <w:b/>
          <w:noProof/>
          <w:sz w:val="20"/>
          <w:szCs w:val="20"/>
        </w:rPr>
        <w:fldChar w:fldCharType="end"/>
      </w:r>
      <w:r w:rsidRPr="00666914">
        <w:rPr>
          <w:b/>
          <w:sz w:val="20"/>
          <w:szCs w:val="20"/>
        </w:rPr>
        <w:t>: Mzdové výdavky ŽSR na riadenie tratí</w:t>
      </w:r>
      <w:bookmarkEnd w:id="220"/>
      <w:bookmarkEnd w:id="221"/>
      <w:bookmarkEnd w:id="222"/>
      <w:bookmarkEnd w:id="223"/>
      <w:bookmarkEnd w:id="224"/>
      <w:bookmarkEnd w:id="225"/>
    </w:p>
    <w:tbl>
      <w:tblPr>
        <w:tblW w:w="5000" w:type="pct"/>
        <w:tblCellMar>
          <w:left w:w="70" w:type="dxa"/>
          <w:right w:w="70" w:type="dxa"/>
        </w:tblCellMar>
        <w:tblLook w:val="04A0" w:firstRow="1" w:lastRow="0" w:firstColumn="1" w:lastColumn="0" w:noHBand="0" w:noVBand="1"/>
      </w:tblPr>
      <w:tblGrid>
        <w:gridCol w:w="1974"/>
        <w:gridCol w:w="724"/>
        <w:gridCol w:w="724"/>
        <w:gridCol w:w="724"/>
        <w:gridCol w:w="724"/>
        <w:gridCol w:w="724"/>
        <w:gridCol w:w="724"/>
        <w:gridCol w:w="724"/>
        <w:gridCol w:w="724"/>
        <w:gridCol w:w="724"/>
        <w:gridCol w:w="724"/>
      </w:tblGrid>
      <w:tr w:rsidR="001A512D" w:rsidRPr="00666914" w14:paraId="7FF4E4B9" w14:textId="77777777" w:rsidTr="001A512D">
        <w:trPr>
          <w:trHeight w:val="260"/>
        </w:trPr>
        <w:tc>
          <w:tcPr>
            <w:tcW w:w="2042" w:type="pct"/>
            <w:tcBorders>
              <w:top w:val="nil"/>
              <w:left w:val="nil"/>
              <w:bottom w:val="nil"/>
              <w:right w:val="nil"/>
            </w:tcBorders>
            <w:shd w:val="clear" w:color="auto" w:fill="auto"/>
            <w:noWrap/>
            <w:vAlign w:val="bottom"/>
            <w:hideMark/>
          </w:tcPr>
          <w:p w14:paraId="406AB4C9" w14:textId="77777777" w:rsidR="001A512D" w:rsidRPr="00666914" w:rsidRDefault="001A512D" w:rsidP="007075F7">
            <w:pPr>
              <w:spacing w:after="0"/>
              <w:jc w:val="left"/>
              <w:rPr>
                <w:rFonts w:ascii="Times New Roman" w:eastAsia="Times New Roman" w:hAnsi="Times New Roman"/>
                <w:sz w:val="20"/>
                <w:szCs w:val="20"/>
                <w:lang w:eastAsia="sk-SK"/>
              </w:rPr>
            </w:pPr>
          </w:p>
        </w:tc>
        <w:tc>
          <w:tcPr>
            <w:tcW w:w="2958" w:type="pct"/>
            <w:gridSpan w:val="10"/>
            <w:tcBorders>
              <w:top w:val="nil"/>
              <w:left w:val="nil"/>
              <w:bottom w:val="single" w:sz="4" w:space="0" w:color="auto"/>
              <w:right w:val="nil"/>
            </w:tcBorders>
            <w:shd w:val="clear" w:color="auto" w:fill="auto"/>
            <w:noWrap/>
            <w:vAlign w:val="bottom"/>
            <w:hideMark/>
          </w:tcPr>
          <w:p w14:paraId="58A65417" w14:textId="77777777" w:rsidR="001A512D" w:rsidRPr="00666914" w:rsidRDefault="001A512D" w:rsidP="007075F7">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Obdobie</w:t>
            </w:r>
          </w:p>
        </w:tc>
      </w:tr>
      <w:tr w:rsidR="001A512D" w:rsidRPr="00666914" w14:paraId="29653023" w14:textId="77777777" w:rsidTr="001A512D">
        <w:trPr>
          <w:trHeight w:val="260"/>
        </w:trPr>
        <w:tc>
          <w:tcPr>
            <w:tcW w:w="2042" w:type="pct"/>
            <w:tcBorders>
              <w:top w:val="single" w:sz="4" w:space="0" w:color="auto"/>
              <w:left w:val="nil"/>
              <w:bottom w:val="single" w:sz="4" w:space="0" w:color="auto"/>
              <w:right w:val="nil"/>
            </w:tcBorders>
            <w:shd w:val="clear" w:color="auto" w:fill="auto"/>
            <w:noWrap/>
            <w:vAlign w:val="center"/>
            <w:hideMark/>
          </w:tcPr>
          <w:p w14:paraId="70F77C66" w14:textId="77777777" w:rsidR="001A512D" w:rsidRPr="00666914" w:rsidRDefault="001A512D" w:rsidP="007075F7">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Merateľný ukazovateľ</w:t>
            </w:r>
          </w:p>
        </w:tc>
        <w:tc>
          <w:tcPr>
            <w:tcW w:w="296" w:type="pct"/>
            <w:tcBorders>
              <w:top w:val="nil"/>
              <w:left w:val="nil"/>
              <w:bottom w:val="single" w:sz="4" w:space="0" w:color="auto"/>
              <w:right w:val="nil"/>
            </w:tcBorders>
            <w:shd w:val="clear" w:color="auto" w:fill="auto"/>
            <w:noWrap/>
            <w:vAlign w:val="center"/>
            <w:hideMark/>
          </w:tcPr>
          <w:p w14:paraId="616C442C" w14:textId="77777777" w:rsidR="001A512D" w:rsidRPr="00666914" w:rsidRDefault="001A512D" w:rsidP="007075F7">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3Q2017</w:t>
            </w:r>
          </w:p>
        </w:tc>
        <w:tc>
          <w:tcPr>
            <w:tcW w:w="296" w:type="pct"/>
            <w:tcBorders>
              <w:top w:val="nil"/>
              <w:left w:val="nil"/>
              <w:bottom w:val="single" w:sz="4" w:space="0" w:color="auto"/>
              <w:right w:val="nil"/>
            </w:tcBorders>
            <w:shd w:val="clear" w:color="auto" w:fill="auto"/>
            <w:noWrap/>
            <w:vAlign w:val="center"/>
            <w:hideMark/>
          </w:tcPr>
          <w:p w14:paraId="11803436" w14:textId="77777777" w:rsidR="001A512D" w:rsidRPr="00666914" w:rsidRDefault="001A512D" w:rsidP="007075F7">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4Q2017</w:t>
            </w:r>
          </w:p>
        </w:tc>
        <w:tc>
          <w:tcPr>
            <w:tcW w:w="296" w:type="pct"/>
            <w:tcBorders>
              <w:top w:val="nil"/>
              <w:left w:val="nil"/>
              <w:bottom w:val="single" w:sz="4" w:space="0" w:color="auto"/>
              <w:right w:val="nil"/>
            </w:tcBorders>
            <w:shd w:val="clear" w:color="auto" w:fill="auto"/>
            <w:noWrap/>
            <w:vAlign w:val="center"/>
            <w:hideMark/>
          </w:tcPr>
          <w:p w14:paraId="7E5FC87D" w14:textId="77777777" w:rsidR="001A512D" w:rsidRPr="00666914" w:rsidRDefault="001A512D" w:rsidP="007075F7">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1Q2018</w:t>
            </w:r>
          </w:p>
        </w:tc>
        <w:tc>
          <w:tcPr>
            <w:tcW w:w="296" w:type="pct"/>
            <w:tcBorders>
              <w:top w:val="nil"/>
              <w:left w:val="nil"/>
              <w:bottom w:val="single" w:sz="4" w:space="0" w:color="auto"/>
              <w:right w:val="nil"/>
            </w:tcBorders>
            <w:shd w:val="clear" w:color="auto" w:fill="auto"/>
            <w:noWrap/>
            <w:vAlign w:val="center"/>
            <w:hideMark/>
          </w:tcPr>
          <w:p w14:paraId="3B9B718D" w14:textId="77777777" w:rsidR="001A512D" w:rsidRPr="00666914" w:rsidRDefault="001A512D" w:rsidP="007075F7">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2Q2018</w:t>
            </w:r>
          </w:p>
        </w:tc>
        <w:tc>
          <w:tcPr>
            <w:tcW w:w="296" w:type="pct"/>
            <w:tcBorders>
              <w:top w:val="nil"/>
              <w:left w:val="nil"/>
              <w:bottom w:val="single" w:sz="4" w:space="0" w:color="auto"/>
              <w:right w:val="nil"/>
            </w:tcBorders>
            <w:shd w:val="clear" w:color="auto" w:fill="auto"/>
            <w:noWrap/>
            <w:vAlign w:val="center"/>
            <w:hideMark/>
          </w:tcPr>
          <w:p w14:paraId="555FF7BA" w14:textId="77777777" w:rsidR="001A512D" w:rsidRPr="00666914" w:rsidRDefault="001A512D" w:rsidP="007075F7">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3Q2018</w:t>
            </w:r>
          </w:p>
        </w:tc>
        <w:tc>
          <w:tcPr>
            <w:tcW w:w="296" w:type="pct"/>
            <w:tcBorders>
              <w:top w:val="nil"/>
              <w:left w:val="nil"/>
              <w:bottom w:val="single" w:sz="4" w:space="0" w:color="auto"/>
              <w:right w:val="nil"/>
            </w:tcBorders>
            <w:shd w:val="clear" w:color="auto" w:fill="auto"/>
            <w:noWrap/>
            <w:vAlign w:val="center"/>
            <w:hideMark/>
          </w:tcPr>
          <w:p w14:paraId="5DAF7BAD" w14:textId="77777777" w:rsidR="001A512D" w:rsidRPr="00666914" w:rsidRDefault="001A512D" w:rsidP="007075F7">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4Q2018</w:t>
            </w:r>
          </w:p>
        </w:tc>
        <w:tc>
          <w:tcPr>
            <w:tcW w:w="296" w:type="pct"/>
            <w:tcBorders>
              <w:top w:val="nil"/>
              <w:left w:val="nil"/>
              <w:bottom w:val="single" w:sz="4" w:space="0" w:color="auto"/>
              <w:right w:val="nil"/>
            </w:tcBorders>
            <w:shd w:val="clear" w:color="auto" w:fill="auto"/>
            <w:noWrap/>
            <w:vAlign w:val="center"/>
            <w:hideMark/>
          </w:tcPr>
          <w:p w14:paraId="30288546" w14:textId="77777777" w:rsidR="001A512D" w:rsidRPr="00666914" w:rsidRDefault="001A512D" w:rsidP="007075F7">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1Q2019</w:t>
            </w:r>
          </w:p>
        </w:tc>
        <w:tc>
          <w:tcPr>
            <w:tcW w:w="296" w:type="pct"/>
            <w:tcBorders>
              <w:top w:val="nil"/>
              <w:left w:val="nil"/>
              <w:bottom w:val="single" w:sz="4" w:space="0" w:color="auto"/>
              <w:right w:val="nil"/>
            </w:tcBorders>
            <w:shd w:val="clear" w:color="auto" w:fill="auto"/>
            <w:noWrap/>
            <w:vAlign w:val="center"/>
            <w:hideMark/>
          </w:tcPr>
          <w:p w14:paraId="1D8D97B6" w14:textId="77777777" w:rsidR="001A512D" w:rsidRPr="00666914" w:rsidRDefault="001A512D" w:rsidP="007075F7">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2Q2019</w:t>
            </w:r>
          </w:p>
        </w:tc>
        <w:tc>
          <w:tcPr>
            <w:tcW w:w="296" w:type="pct"/>
            <w:tcBorders>
              <w:top w:val="nil"/>
              <w:left w:val="nil"/>
              <w:bottom w:val="single" w:sz="4" w:space="0" w:color="auto"/>
              <w:right w:val="nil"/>
            </w:tcBorders>
            <w:shd w:val="clear" w:color="auto" w:fill="auto"/>
            <w:noWrap/>
            <w:vAlign w:val="center"/>
            <w:hideMark/>
          </w:tcPr>
          <w:p w14:paraId="5C01ED51" w14:textId="77777777" w:rsidR="001A512D" w:rsidRPr="00666914" w:rsidRDefault="001A512D" w:rsidP="007075F7">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3Q2019</w:t>
            </w:r>
          </w:p>
        </w:tc>
        <w:tc>
          <w:tcPr>
            <w:tcW w:w="296" w:type="pct"/>
            <w:tcBorders>
              <w:top w:val="nil"/>
              <w:left w:val="nil"/>
              <w:bottom w:val="single" w:sz="4" w:space="0" w:color="auto"/>
              <w:right w:val="nil"/>
            </w:tcBorders>
            <w:shd w:val="clear" w:color="auto" w:fill="auto"/>
            <w:noWrap/>
            <w:vAlign w:val="center"/>
            <w:hideMark/>
          </w:tcPr>
          <w:p w14:paraId="50FA3236" w14:textId="77777777" w:rsidR="001A512D" w:rsidRPr="00666914" w:rsidRDefault="001A512D" w:rsidP="007075F7">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4Q2019</w:t>
            </w:r>
          </w:p>
        </w:tc>
      </w:tr>
      <w:tr w:rsidR="001A512D" w:rsidRPr="00666914" w14:paraId="14ABF3DE" w14:textId="77777777" w:rsidTr="001A512D">
        <w:trPr>
          <w:trHeight w:val="315"/>
        </w:trPr>
        <w:tc>
          <w:tcPr>
            <w:tcW w:w="2042" w:type="pct"/>
            <w:tcBorders>
              <w:top w:val="nil"/>
              <w:left w:val="nil"/>
              <w:bottom w:val="nil"/>
              <w:right w:val="nil"/>
            </w:tcBorders>
            <w:shd w:val="clear" w:color="auto" w:fill="auto"/>
            <w:vAlign w:val="center"/>
            <w:hideMark/>
          </w:tcPr>
          <w:p w14:paraId="29F4857C" w14:textId="77777777" w:rsidR="001A512D" w:rsidRPr="00666914" w:rsidRDefault="001A512D" w:rsidP="007075F7">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Celkové náklady ŽSR na 1 km spravovaných tratí (tis. eur).</w:t>
            </w:r>
          </w:p>
        </w:tc>
        <w:tc>
          <w:tcPr>
            <w:tcW w:w="296" w:type="pct"/>
            <w:tcBorders>
              <w:top w:val="nil"/>
              <w:left w:val="nil"/>
              <w:bottom w:val="nil"/>
              <w:right w:val="nil"/>
            </w:tcBorders>
            <w:shd w:val="clear" w:color="auto" w:fill="auto"/>
            <w:noWrap/>
            <w:vAlign w:val="bottom"/>
            <w:hideMark/>
          </w:tcPr>
          <w:p w14:paraId="24B1A690" w14:textId="77777777" w:rsidR="001A512D" w:rsidRPr="00666914" w:rsidRDefault="001A512D" w:rsidP="007075F7">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37,00</w:t>
            </w:r>
          </w:p>
        </w:tc>
        <w:tc>
          <w:tcPr>
            <w:tcW w:w="296" w:type="pct"/>
            <w:tcBorders>
              <w:top w:val="nil"/>
              <w:left w:val="nil"/>
              <w:bottom w:val="nil"/>
              <w:right w:val="nil"/>
            </w:tcBorders>
            <w:shd w:val="clear" w:color="auto" w:fill="auto"/>
            <w:noWrap/>
            <w:vAlign w:val="bottom"/>
            <w:hideMark/>
          </w:tcPr>
          <w:p w14:paraId="4E4FA4D9" w14:textId="77777777" w:rsidR="001A512D" w:rsidRPr="00666914" w:rsidRDefault="001A512D" w:rsidP="007075F7">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46,61</w:t>
            </w:r>
          </w:p>
        </w:tc>
        <w:tc>
          <w:tcPr>
            <w:tcW w:w="296" w:type="pct"/>
            <w:tcBorders>
              <w:top w:val="nil"/>
              <w:left w:val="nil"/>
              <w:bottom w:val="nil"/>
              <w:right w:val="nil"/>
            </w:tcBorders>
            <w:shd w:val="clear" w:color="auto" w:fill="auto"/>
            <w:noWrap/>
            <w:vAlign w:val="bottom"/>
            <w:hideMark/>
          </w:tcPr>
          <w:p w14:paraId="6073FE0F" w14:textId="77777777" w:rsidR="001A512D" w:rsidRPr="00666914" w:rsidRDefault="001A512D" w:rsidP="007075F7">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41,47</w:t>
            </w:r>
          </w:p>
        </w:tc>
        <w:tc>
          <w:tcPr>
            <w:tcW w:w="296" w:type="pct"/>
            <w:tcBorders>
              <w:top w:val="nil"/>
              <w:left w:val="nil"/>
              <w:bottom w:val="nil"/>
              <w:right w:val="nil"/>
            </w:tcBorders>
            <w:shd w:val="clear" w:color="auto" w:fill="auto"/>
            <w:noWrap/>
            <w:vAlign w:val="bottom"/>
            <w:hideMark/>
          </w:tcPr>
          <w:p w14:paraId="5CE66E7F" w14:textId="77777777" w:rsidR="001A512D" w:rsidRPr="00666914" w:rsidRDefault="001A512D" w:rsidP="007075F7">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41,24</w:t>
            </w:r>
          </w:p>
        </w:tc>
        <w:tc>
          <w:tcPr>
            <w:tcW w:w="296" w:type="pct"/>
            <w:tcBorders>
              <w:top w:val="nil"/>
              <w:left w:val="nil"/>
              <w:bottom w:val="nil"/>
              <w:right w:val="nil"/>
            </w:tcBorders>
            <w:shd w:val="clear" w:color="auto" w:fill="auto"/>
            <w:noWrap/>
            <w:vAlign w:val="bottom"/>
            <w:hideMark/>
          </w:tcPr>
          <w:p w14:paraId="0F29F14E" w14:textId="77777777" w:rsidR="001A512D" w:rsidRPr="00666914" w:rsidRDefault="001A512D" w:rsidP="007075F7">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41,13</w:t>
            </w:r>
          </w:p>
        </w:tc>
        <w:tc>
          <w:tcPr>
            <w:tcW w:w="296" w:type="pct"/>
            <w:tcBorders>
              <w:top w:val="nil"/>
              <w:left w:val="nil"/>
              <w:bottom w:val="nil"/>
              <w:right w:val="nil"/>
            </w:tcBorders>
            <w:shd w:val="clear" w:color="auto" w:fill="auto"/>
            <w:noWrap/>
            <w:vAlign w:val="bottom"/>
            <w:hideMark/>
          </w:tcPr>
          <w:p w14:paraId="571AF7C7" w14:textId="77777777" w:rsidR="001A512D" w:rsidRPr="00666914" w:rsidRDefault="001A512D" w:rsidP="007075F7">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43,71</w:t>
            </w:r>
          </w:p>
        </w:tc>
        <w:tc>
          <w:tcPr>
            <w:tcW w:w="296" w:type="pct"/>
            <w:tcBorders>
              <w:top w:val="nil"/>
              <w:left w:val="nil"/>
              <w:bottom w:val="nil"/>
              <w:right w:val="nil"/>
            </w:tcBorders>
            <w:shd w:val="clear" w:color="auto" w:fill="auto"/>
            <w:noWrap/>
            <w:vAlign w:val="bottom"/>
            <w:hideMark/>
          </w:tcPr>
          <w:p w14:paraId="40A08135" w14:textId="77777777" w:rsidR="001A512D" w:rsidRPr="00666914" w:rsidRDefault="001A512D" w:rsidP="007075F7">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27,66</w:t>
            </w:r>
          </w:p>
        </w:tc>
        <w:tc>
          <w:tcPr>
            <w:tcW w:w="296" w:type="pct"/>
            <w:tcBorders>
              <w:top w:val="nil"/>
              <w:left w:val="nil"/>
              <w:bottom w:val="nil"/>
              <w:right w:val="nil"/>
            </w:tcBorders>
            <w:shd w:val="clear" w:color="auto" w:fill="auto"/>
            <w:noWrap/>
            <w:vAlign w:val="bottom"/>
            <w:hideMark/>
          </w:tcPr>
          <w:p w14:paraId="6889A804" w14:textId="77777777" w:rsidR="001A512D" w:rsidRPr="00666914" w:rsidRDefault="001A512D" w:rsidP="007075F7">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43,75</w:t>
            </w:r>
          </w:p>
        </w:tc>
        <w:tc>
          <w:tcPr>
            <w:tcW w:w="296" w:type="pct"/>
            <w:tcBorders>
              <w:top w:val="nil"/>
              <w:left w:val="nil"/>
              <w:bottom w:val="nil"/>
              <w:right w:val="nil"/>
            </w:tcBorders>
            <w:shd w:val="clear" w:color="auto" w:fill="auto"/>
            <w:noWrap/>
            <w:vAlign w:val="bottom"/>
            <w:hideMark/>
          </w:tcPr>
          <w:p w14:paraId="03FF9286" w14:textId="77777777" w:rsidR="001A512D" w:rsidRPr="00666914" w:rsidRDefault="001A512D" w:rsidP="007075F7">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48,72</w:t>
            </w:r>
          </w:p>
        </w:tc>
        <w:tc>
          <w:tcPr>
            <w:tcW w:w="296" w:type="pct"/>
            <w:tcBorders>
              <w:top w:val="nil"/>
              <w:left w:val="nil"/>
              <w:bottom w:val="nil"/>
              <w:right w:val="nil"/>
            </w:tcBorders>
            <w:shd w:val="clear" w:color="auto" w:fill="auto"/>
            <w:noWrap/>
            <w:vAlign w:val="bottom"/>
            <w:hideMark/>
          </w:tcPr>
          <w:p w14:paraId="7EA4D5D3" w14:textId="77777777" w:rsidR="001A512D" w:rsidRPr="00666914" w:rsidRDefault="001A512D" w:rsidP="007075F7">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44,95</w:t>
            </w:r>
          </w:p>
        </w:tc>
      </w:tr>
      <w:tr w:rsidR="001A512D" w:rsidRPr="00666914" w14:paraId="64EB7CFF" w14:textId="77777777" w:rsidTr="001A512D">
        <w:trPr>
          <w:trHeight w:val="345"/>
        </w:trPr>
        <w:tc>
          <w:tcPr>
            <w:tcW w:w="2042" w:type="pct"/>
            <w:tcBorders>
              <w:top w:val="nil"/>
              <w:left w:val="nil"/>
              <w:bottom w:val="single" w:sz="4" w:space="0" w:color="auto"/>
              <w:right w:val="nil"/>
            </w:tcBorders>
            <w:shd w:val="clear" w:color="auto" w:fill="auto"/>
            <w:vAlign w:val="center"/>
            <w:hideMark/>
          </w:tcPr>
          <w:p w14:paraId="23B75B00" w14:textId="77777777" w:rsidR="001A512D" w:rsidRPr="00666914" w:rsidRDefault="001A512D" w:rsidP="007075F7">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mzdových výdavkov na výdavkoch na riadenie dopravy (%)</w:t>
            </w:r>
          </w:p>
        </w:tc>
        <w:tc>
          <w:tcPr>
            <w:tcW w:w="296" w:type="pct"/>
            <w:tcBorders>
              <w:top w:val="nil"/>
              <w:left w:val="nil"/>
              <w:bottom w:val="single" w:sz="4" w:space="0" w:color="auto"/>
              <w:right w:val="nil"/>
            </w:tcBorders>
            <w:shd w:val="clear" w:color="auto" w:fill="auto"/>
            <w:noWrap/>
            <w:vAlign w:val="center"/>
            <w:hideMark/>
          </w:tcPr>
          <w:p w14:paraId="4C2AD030" w14:textId="77777777" w:rsidR="001A512D" w:rsidRPr="00666914" w:rsidRDefault="001A512D" w:rsidP="007075F7">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55%</w:t>
            </w:r>
          </w:p>
        </w:tc>
        <w:tc>
          <w:tcPr>
            <w:tcW w:w="296" w:type="pct"/>
            <w:tcBorders>
              <w:top w:val="nil"/>
              <w:left w:val="nil"/>
              <w:bottom w:val="single" w:sz="4" w:space="0" w:color="auto"/>
              <w:right w:val="nil"/>
            </w:tcBorders>
            <w:shd w:val="clear" w:color="auto" w:fill="auto"/>
            <w:noWrap/>
            <w:vAlign w:val="center"/>
            <w:hideMark/>
          </w:tcPr>
          <w:p w14:paraId="21819C54" w14:textId="77777777" w:rsidR="001A512D" w:rsidRPr="00666914" w:rsidRDefault="001A512D" w:rsidP="007075F7">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53%</w:t>
            </w:r>
          </w:p>
        </w:tc>
        <w:tc>
          <w:tcPr>
            <w:tcW w:w="296" w:type="pct"/>
            <w:tcBorders>
              <w:top w:val="nil"/>
              <w:left w:val="nil"/>
              <w:bottom w:val="single" w:sz="4" w:space="0" w:color="auto"/>
              <w:right w:val="nil"/>
            </w:tcBorders>
            <w:shd w:val="clear" w:color="auto" w:fill="auto"/>
            <w:noWrap/>
            <w:vAlign w:val="center"/>
            <w:hideMark/>
          </w:tcPr>
          <w:p w14:paraId="045702A9" w14:textId="77777777" w:rsidR="001A512D" w:rsidRPr="00666914" w:rsidRDefault="001A512D" w:rsidP="007075F7">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51%</w:t>
            </w:r>
          </w:p>
        </w:tc>
        <w:tc>
          <w:tcPr>
            <w:tcW w:w="296" w:type="pct"/>
            <w:tcBorders>
              <w:top w:val="nil"/>
              <w:left w:val="nil"/>
              <w:bottom w:val="single" w:sz="4" w:space="0" w:color="auto"/>
              <w:right w:val="nil"/>
            </w:tcBorders>
            <w:shd w:val="clear" w:color="auto" w:fill="auto"/>
            <w:noWrap/>
            <w:vAlign w:val="center"/>
            <w:hideMark/>
          </w:tcPr>
          <w:p w14:paraId="190DAD18" w14:textId="77777777" w:rsidR="001A512D" w:rsidRPr="00666914" w:rsidRDefault="001A512D" w:rsidP="007075F7">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51%</w:t>
            </w:r>
          </w:p>
        </w:tc>
        <w:tc>
          <w:tcPr>
            <w:tcW w:w="296" w:type="pct"/>
            <w:tcBorders>
              <w:top w:val="nil"/>
              <w:left w:val="nil"/>
              <w:bottom w:val="single" w:sz="4" w:space="0" w:color="auto"/>
              <w:right w:val="nil"/>
            </w:tcBorders>
            <w:shd w:val="clear" w:color="auto" w:fill="auto"/>
            <w:noWrap/>
            <w:vAlign w:val="center"/>
            <w:hideMark/>
          </w:tcPr>
          <w:p w14:paraId="3CB61ED3" w14:textId="77777777" w:rsidR="001A512D" w:rsidRPr="00666914" w:rsidRDefault="001A512D" w:rsidP="007075F7">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53%</w:t>
            </w:r>
          </w:p>
        </w:tc>
        <w:tc>
          <w:tcPr>
            <w:tcW w:w="296" w:type="pct"/>
            <w:tcBorders>
              <w:top w:val="nil"/>
              <w:left w:val="nil"/>
              <w:bottom w:val="single" w:sz="4" w:space="0" w:color="auto"/>
              <w:right w:val="nil"/>
            </w:tcBorders>
            <w:shd w:val="clear" w:color="auto" w:fill="auto"/>
            <w:noWrap/>
            <w:vAlign w:val="center"/>
            <w:hideMark/>
          </w:tcPr>
          <w:p w14:paraId="31C96BD4" w14:textId="77777777" w:rsidR="001A512D" w:rsidRPr="00666914" w:rsidRDefault="001A512D" w:rsidP="007075F7">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51%</w:t>
            </w:r>
          </w:p>
        </w:tc>
        <w:tc>
          <w:tcPr>
            <w:tcW w:w="296" w:type="pct"/>
            <w:tcBorders>
              <w:top w:val="nil"/>
              <w:left w:val="nil"/>
              <w:bottom w:val="single" w:sz="4" w:space="0" w:color="auto"/>
              <w:right w:val="nil"/>
            </w:tcBorders>
            <w:shd w:val="clear" w:color="auto" w:fill="auto"/>
            <w:noWrap/>
            <w:vAlign w:val="center"/>
            <w:hideMark/>
          </w:tcPr>
          <w:p w14:paraId="173A826E" w14:textId="77777777" w:rsidR="001A512D" w:rsidRPr="00666914" w:rsidRDefault="001A512D" w:rsidP="007075F7">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52%</w:t>
            </w:r>
          </w:p>
        </w:tc>
        <w:tc>
          <w:tcPr>
            <w:tcW w:w="296" w:type="pct"/>
            <w:tcBorders>
              <w:top w:val="nil"/>
              <w:left w:val="nil"/>
              <w:bottom w:val="single" w:sz="4" w:space="0" w:color="auto"/>
              <w:right w:val="nil"/>
            </w:tcBorders>
            <w:shd w:val="clear" w:color="auto" w:fill="auto"/>
            <w:noWrap/>
            <w:vAlign w:val="center"/>
            <w:hideMark/>
          </w:tcPr>
          <w:p w14:paraId="3AAA6458" w14:textId="77777777" w:rsidR="001A512D" w:rsidRPr="00666914" w:rsidRDefault="001A512D" w:rsidP="007075F7">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53%</w:t>
            </w:r>
          </w:p>
        </w:tc>
        <w:tc>
          <w:tcPr>
            <w:tcW w:w="296" w:type="pct"/>
            <w:tcBorders>
              <w:top w:val="nil"/>
              <w:left w:val="nil"/>
              <w:bottom w:val="single" w:sz="4" w:space="0" w:color="auto"/>
              <w:right w:val="nil"/>
            </w:tcBorders>
            <w:shd w:val="clear" w:color="auto" w:fill="auto"/>
            <w:noWrap/>
            <w:vAlign w:val="center"/>
            <w:hideMark/>
          </w:tcPr>
          <w:p w14:paraId="35D84828" w14:textId="77777777" w:rsidR="001A512D" w:rsidRPr="00666914" w:rsidRDefault="001A512D" w:rsidP="007075F7">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55%</w:t>
            </w:r>
          </w:p>
        </w:tc>
        <w:tc>
          <w:tcPr>
            <w:tcW w:w="296" w:type="pct"/>
            <w:tcBorders>
              <w:top w:val="nil"/>
              <w:left w:val="nil"/>
              <w:bottom w:val="single" w:sz="4" w:space="0" w:color="auto"/>
              <w:right w:val="nil"/>
            </w:tcBorders>
            <w:shd w:val="clear" w:color="auto" w:fill="auto"/>
            <w:noWrap/>
            <w:vAlign w:val="center"/>
            <w:hideMark/>
          </w:tcPr>
          <w:p w14:paraId="4554E53F" w14:textId="77777777" w:rsidR="001A512D" w:rsidRPr="00666914" w:rsidRDefault="001A512D" w:rsidP="007075F7">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53%</w:t>
            </w:r>
          </w:p>
        </w:tc>
      </w:tr>
    </w:tbl>
    <w:p w14:paraId="5D906CF6" w14:textId="77777777" w:rsidR="00CB16AA" w:rsidRPr="00666914" w:rsidRDefault="00CB16AA" w:rsidP="007075F7">
      <w:pPr>
        <w:pStyle w:val="Odsekzoznamu"/>
        <w:spacing w:after="0"/>
        <w:jc w:val="right"/>
        <w:rPr>
          <w:i/>
          <w:sz w:val="18"/>
        </w:rPr>
      </w:pPr>
      <w:r w:rsidRPr="00666914">
        <w:rPr>
          <w:i/>
          <w:sz w:val="18"/>
        </w:rPr>
        <w:t xml:space="preserve">Zdroj: ŽSR </w:t>
      </w:r>
    </w:p>
    <w:p w14:paraId="08B0F8D4" w14:textId="77777777" w:rsidR="00CB16AA" w:rsidRPr="00666914" w:rsidRDefault="00CB16AA" w:rsidP="007075F7">
      <w:pPr>
        <w:spacing w:after="0"/>
      </w:pPr>
    </w:p>
    <w:p w14:paraId="0846A03B" w14:textId="7C21FA91" w:rsidR="00CB16AA" w:rsidRPr="00666914" w:rsidRDefault="00CB16AA" w:rsidP="007075F7">
      <w:r w:rsidRPr="00666914">
        <w:t>ŽSR spustil</w:t>
      </w:r>
      <w:r w:rsidR="00A73097" w:rsidRPr="00666914">
        <w:t>i</w:t>
      </w:r>
      <w:r w:rsidRPr="00666914">
        <w:t xml:space="preserve"> v roku 2019 projektovú prípravu projektu zameraného na modernizáciu riadenia dopravy:</w:t>
      </w:r>
    </w:p>
    <w:p w14:paraId="187DA84A" w14:textId="77777777" w:rsidR="00CB16AA" w:rsidRPr="00666914" w:rsidRDefault="00CB16AA" w:rsidP="007075F7">
      <w:pPr>
        <w:pStyle w:val="Odsekzoznamu"/>
        <w:numPr>
          <w:ilvl w:val="0"/>
          <w:numId w:val="37"/>
        </w:numPr>
      </w:pPr>
      <w:r w:rsidRPr="00666914">
        <w:t>optimalizácia trate Prievidza – Jelšovce – ukončená ŠU</w:t>
      </w:r>
    </w:p>
    <w:p w14:paraId="27ADE2D8" w14:textId="40A51BDE" w:rsidR="00CB16AA" w:rsidRDefault="00CB16AA" w:rsidP="00B016A1">
      <w:pPr>
        <w:spacing w:after="0"/>
        <w:rPr>
          <w:b/>
        </w:rPr>
      </w:pPr>
      <w:r w:rsidRPr="00666914">
        <w:t xml:space="preserve">Na základe záverov optimalizačnej analýzy ŽSR je možné zefektívniť riadenie dopravy aj bez výrazných investícií, napr. skrátením prevádzky staníc alebo zatvorením staníc. </w:t>
      </w:r>
      <w:r w:rsidRPr="00666914">
        <w:rPr>
          <w:b/>
        </w:rPr>
        <w:t>Opatrenie sa k 31.12.2019 plní čiastočne.</w:t>
      </w:r>
    </w:p>
    <w:p w14:paraId="192ADBBB" w14:textId="77777777" w:rsidR="00B016A1" w:rsidRPr="00666914" w:rsidRDefault="00B016A1" w:rsidP="007075F7"/>
    <w:p w14:paraId="54E448A4" w14:textId="77777777" w:rsidR="00CB16AA" w:rsidRPr="00666914" w:rsidRDefault="00CB16AA" w:rsidP="00312C28">
      <w:pPr>
        <w:numPr>
          <w:ilvl w:val="0"/>
          <w:numId w:val="34"/>
        </w:numPr>
        <w:contextualSpacing/>
        <w:rPr>
          <w:b/>
          <w:u w:val="single"/>
        </w:rPr>
      </w:pPr>
      <w:r w:rsidRPr="00666914">
        <w:rPr>
          <w:b/>
          <w:u w:val="single"/>
        </w:rPr>
        <w:t>Kvantifikovať optimálne finančné prostriedky na údržbu a prínosy z nej plynúce. Zverejňovať v ročnom intervale počet vybraných kľúčových výkonov jednotlivých činností opráv a údržby a ich náklady</w:t>
      </w:r>
    </w:p>
    <w:p w14:paraId="54C3A30E" w14:textId="77777777" w:rsidR="00CB16AA" w:rsidRPr="00666914" w:rsidRDefault="00CB16AA" w:rsidP="00985E7A">
      <w:pPr>
        <w:ind w:left="720"/>
        <w:contextualSpacing/>
        <w:rPr>
          <w:b/>
          <w:u w:val="single"/>
        </w:rPr>
      </w:pPr>
    </w:p>
    <w:p w14:paraId="70532401" w14:textId="0B69D3F7" w:rsidR="00CB16AA" w:rsidRPr="00666914" w:rsidRDefault="00CB16AA" w:rsidP="00985E7A">
      <w:pPr>
        <w:spacing w:before="240" w:after="0"/>
        <w:contextualSpacing/>
        <w:rPr>
          <w:b/>
        </w:rPr>
      </w:pPr>
      <w:r w:rsidRPr="00666914">
        <w:t xml:space="preserve">ŽSR predložili v roku 2018 ÚHP MF SR analýzu potreby dodatočných nákladov na údržbu železničnej infraštruktúry, ktorej výsledkom je potreba navýšenia finančných prostriedkov v najbližších rokoch, prevádzkový dlh ŽSR k 12/2019 činí 330 mil. eur. </w:t>
      </w:r>
      <w:r w:rsidRPr="00666914">
        <w:rPr>
          <w:b/>
        </w:rPr>
        <w:t>Zároveň sa údržbe venovala aj Optimalizačná analýza ŽSR, ktorá identifikovala možnosť zvýšiť výkony v údržbe v hodnote 19 mil. eur ročne</w:t>
      </w:r>
      <w:r w:rsidR="00D53B0A" w:rsidRPr="00666914">
        <w:rPr>
          <w:b/>
        </w:rPr>
        <w:t>,</w:t>
      </w:r>
      <w:r w:rsidRPr="00666914">
        <w:rPr>
          <w:b/>
        </w:rPr>
        <w:t xml:space="preserve"> a to najmä:</w:t>
      </w:r>
    </w:p>
    <w:p w14:paraId="409924FD" w14:textId="77777777" w:rsidR="00CB16AA" w:rsidRPr="00666914" w:rsidRDefault="00CB16AA" w:rsidP="00312C28">
      <w:pPr>
        <w:pStyle w:val="Odsekzoznamu"/>
        <w:numPr>
          <w:ilvl w:val="0"/>
          <w:numId w:val="37"/>
        </w:numPr>
        <w:spacing w:before="240" w:after="0"/>
      </w:pPr>
      <w:r w:rsidRPr="00666914">
        <w:t>zavedením štandardov údržby,</w:t>
      </w:r>
    </w:p>
    <w:p w14:paraId="4E2CC3AB" w14:textId="77777777" w:rsidR="00CB16AA" w:rsidRPr="00666914" w:rsidRDefault="00CB16AA" w:rsidP="00312C28">
      <w:pPr>
        <w:pStyle w:val="Odsekzoznamu"/>
        <w:numPr>
          <w:ilvl w:val="0"/>
          <w:numId w:val="37"/>
        </w:numPr>
        <w:spacing w:before="240" w:after="0"/>
      </w:pPr>
      <w:r w:rsidRPr="00666914">
        <w:t>úpravou pracovných zmien skrátiť prestoje personálu,</w:t>
      </w:r>
    </w:p>
    <w:p w14:paraId="265B5515" w14:textId="77777777" w:rsidR="00CB16AA" w:rsidRPr="00666914" w:rsidRDefault="00CB16AA" w:rsidP="00312C28">
      <w:pPr>
        <w:pStyle w:val="Odsekzoznamu"/>
        <w:numPr>
          <w:ilvl w:val="0"/>
          <w:numId w:val="37"/>
        </w:numPr>
        <w:spacing w:before="240" w:after="0"/>
      </w:pPr>
      <w:r w:rsidRPr="00666914">
        <w:t>lepšou evidenciou výkonu údržby,</w:t>
      </w:r>
    </w:p>
    <w:p w14:paraId="18DBD7EE" w14:textId="77777777" w:rsidR="00CB16AA" w:rsidRPr="00666914" w:rsidRDefault="00CB16AA" w:rsidP="00312C28">
      <w:pPr>
        <w:pStyle w:val="Odsekzoznamu"/>
        <w:numPr>
          <w:ilvl w:val="0"/>
          <w:numId w:val="37"/>
        </w:numPr>
        <w:spacing w:before="240" w:after="0"/>
      </w:pPr>
      <w:r w:rsidRPr="00666914">
        <w:t>precíznejším plánovaním obstarávania náhradných dielov.</w:t>
      </w:r>
    </w:p>
    <w:p w14:paraId="44F77C02" w14:textId="4670E321" w:rsidR="004A0F48" w:rsidRPr="00666914" w:rsidRDefault="004A0F48">
      <w:pPr>
        <w:spacing w:after="0"/>
        <w:jc w:val="left"/>
      </w:pPr>
      <w:r w:rsidRPr="00666914">
        <w:br w:type="page"/>
      </w:r>
    </w:p>
    <w:p w14:paraId="655D3B8E" w14:textId="14ABAFB5" w:rsidR="00CB16AA" w:rsidRPr="00666914" w:rsidRDefault="00CB16AA" w:rsidP="00985E7A">
      <w:pPr>
        <w:pBdr>
          <w:bottom w:val="single" w:sz="4" w:space="1" w:color="auto"/>
        </w:pBdr>
        <w:spacing w:after="0"/>
        <w:rPr>
          <w:b/>
          <w:u w:val="single"/>
        </w:rPr>
      </w:pPr>
      <w:bookmarkStart w:id="226" w:name="_Toc38447699"/>
      <w:r w:rsidRPr="00666914">
        <w:rPr>
          <w:b/>
          <w:sz w:val="20"/>
          <w:szCs w:val="20"/>
        </w:rPr>
        <w:lastRenderedPageBreak/>
        <w:t xml:space="preserve">Tabuľka </w:t>
      </w:r>
      <w:r w:rsidRPr="00666914">
        <w:rPr>
          <w:b/>
          <w:noProof/>
          <w:sz w:val="20"/>
          <w:szCs w:val="20"/>
        </w:rPr>
        <w:fldChar w:fldCharType="begin"/>
      </w:r>
      <w:r w:rsidRPr="00666914">
        <w:rPr>
          <w:b/>
          <w:noProof/>
          <w:sz w:val="20"/>
          <w:szCs w:val="20"/>
        </w:rPr>
        <w:instrText xml:space="preserve"> SEQ Tabuľka \* ARABIC \* MERGEFORMAT </w:instrText>
      </w:r>
      <w:r w:rsidRPr="00666914">
        <w:rPr>
          <w:b/>
          <w:noProof/>
          <w:sz w:val="20"/>
          <w:szCs w:val="20"/>
        </w:rPr>
        <w:fldChar w:fldCharType="separate"/>
      </w:r>
      <w:r w:rsidR="005A7304">
        <w:rPr>
          <w:b/>
          <w:noProof/>
          <w:sz w:val="20"/>
          <w:szCs w:val="20"/>
        </w:rPr>
        <w:t>38</w:t>
      </w:r>
      <w:r w:rsidRPr="00666914">
        <w:rPr>
          <w:b/>
          <w:noProof/>
          <w:sz w:val="20"/>
          <w:szCs w:val="20"/>
        </w:rPr>
        <w:fldChar w:fldCharType="end"/>
      </w:r>
      <w:r w:rsidRPr="00666914">
        <w:rPr>
          <w:b/>
          <w:sz w:val="20"/>
          <w:szCs w:val="20"/>
        </w:rPr>
        <w:t>: Výdavky ŽSR na údržbu tratí</w:t>
      </w:r>
      <w:bookmarkEnd w:id="226"/>
    </w:p>
    <w:tbl>
      <w:tblPr>
        <w:tblW w:w="4930" w:type="pct"/>
        <w:tblInd w:w="-39" w:type="dxa"/>
        <w:tblLayout w:type="fixed"/>
        <w:tblCellMar>
          <w:left w:w="70" w:type="dxa"/>
          <w:right w:w="70" w:type="dxa"/>
        </w:tblCellMar>
        <w:tblLook w:val="04A0" w:firstRow="1" w:lastRow="0" w:firstColumn="1" w:lastColumn="0" w:noHBand="0" w:noVBand="1"/>
      </w:tblPr>
      <w:tblGrid>
        <w:gridCol w:w="2016"/>
        <w:gridCol w:w="726"/>
        <w:gridCol w:w="618"/>
        <w:gridCol w:w="618"/>
        <w:gridCol w:w="618"/>
        <w:gridCol w:w="618"/>
        <w:gridCol w:w="618"/>
        <w:gridCol w:w="636"/>
        <w:gridCol w:w="618"/>
        <w:gridCol w:w="618"/>
        <w:gridCol w:w="687"/>
        <w:gridCol w:w="694"/>
      </w:tblGrid>
      <w:tr w:rsidR="00CB16AA" w:rsidRPr="00666914" w14:paraId="7C3688C1" w14:textId="77777777" w:rsidTr="00524349">
        <w:trPr>
          <w:trHeight w:val="182"/>
        </w:trPr>
        <w:tc>
          <w:tcPr>
            <w:tcW w:w="1110" w:type="pct"/>
            <w:tcBorders>
              <w:top w:val="nil"/>
              <w:left w:val="nil"/>
              <w:bottom w:val="single" w:sz="4" w:space="0" w:color="auto"/>
              <w:right w:val="nil"/>
            </w:tcBorders>
            <w:shd w:val="clear" w:color="auto" w:fill="auto"/>
            <w:noWrap/>
            <w:vAlign w:val="center"/>
            <w:hideMark/>
          </w:tcPr>
          <w:p w14:paraId="25C918C4" w14:textId="77777777" w:rsidR="00CB16AA" w:rsidRPr="00666914" w:rsidRDefault="00CB16AA" w:rsidP="00985E7A">
            <w:pPr>
              <w:spacing w:after="0"/>
              <w:rPr>
                <w:rFonts w:eastAsia="Times New Roman" w:cs="Calibri"/>
                <w:b/>
                <w:bCs/>
                <w:color w:val="000000"/>
                <w:sz w:val="19"/>
                <w:szCs w:val="19"/>
                <w:lang w:eastAsia="sk-SK"/>
              </w:rPr>
            </w:pPr>
            <w:r w:rsidRPr="00666914">
              <w:rPr>
                <w:rFonts w:eastAsia="Times New Roman" w:cs="Calibri"/>
                <w:b/>
                <w:bCs/>
                <w:color w:val="000000"/>
                <w:sz w:val="19"/>
                <w:szCs w:val="19"/>
                <w:lang w:eastAsia="sk-SK"/>
              </w:rPr>
              <w:t>Merateľný ukazovateľ</w:t>
            </w:r>
          </w:p>
        </w:tc>
        <w:tc>
          <w:tcPr>
            <w:tcW w:w="400" w:type="pct"/>
            <w:tcBorders>
              <w:top w:val="nil"/>
              <w:left w:val="nil"/>
              <w:bottom w:val="single" w:sz="4" w:space="0" w:color="auto"/>
              <w:right w:val="nil"/>
            </w:tcBorders>
            <w:shd w:val="clear" w:color="auto" w:fill="auto"/>
            <w:noWrap/>
            <w:vAlign w:val="bottom"/>
            <w:hideMark/>
          </w:tcPr>
          <w:p w14:paraId="2EC7E25C" w14:textId="61696C4A" w:rsidR="00CB16AA" w:rsidRPr="00666914" w:rsidRDefault="00CB16AA" w:rsidP="00985E7A">
            <w:pPr>
              <w:spacing w:after="0"/>
              <w:jc w:val="center"/>
              <w:rPr>
                <w:rFonts w:eastAsia="Times New Roman" w:cs="Calibri"/>
                <w:b/>
                <w:bCs/>
                <w:color w:val="000000"/>
                <w:sz w:val="19"/>
                <w:szCs w:val="19"/>
                <w:lang w:eastAsia="sk-SK"/>
              </w:rPr>
            </w:pPr>
            <w:r w:rsidRPr="00666914">
              <w:rPr>
                <w:rFonts w:eastAsia="Times New Roman" w:cs="Calibri"/>
                <w:b/>
                <w:bCs/>
                <w:color w:val="000000"/>
                <w:sz w:val="19"/>
                <w:szCs w:val="19"/>
                <w:lang w:eastAsia="sk-SK"/>
              </w:rPr>
              <w:t>2Q</w:t>
            </w:r>
            <w:r w:rsidR="00C824FA" w:rsidRPr="00666914">
              <w:rPr>
                <w:rFonts w:eastAsia="Times New Roman" w:cs="Calibri"/>
                <w:b/>
                <w:bCs/>
                <w:color w:val="000000"/>
                <w:sz w:val="19"/>
                <w:szCs w:val="19"/>
                <w:lang w:eastAsia="sk-SK"/>
              </w:rPr>
              <w:t xml:space="preserve"> </w:t>
            </w:r>
            <w:r w:rsidRPr="00666914">
              <w:rPr>
                <w:rFonts w:eastAsia="Times New Roman" w:cs="Calibri"/>
                <w:b/>
                <w:bCs/>
                <w:color w:val="000000"/>
                <w:sz w:val="19"/>
                <w:szCs w:val="19"/>
                <w:lang w:eastAsia="sk-SK"/>
              </w:rPr>
              <w:t>2017</w:t>
            </w:r>
          </w:p>
        </w:tc>
        <w:tc>
          <w:tcPr>
            <w:tcW w:w="340" w:type="pct"/>
            <w:tcBorders>
              <w:top w:val="nil"/>
              <w:left w:val="nil"/>
              <w:bottom w:val="single" w:sz="4" w:space="0" w:color="auto"/>
              <w:right w:val="nil"/>
            </w:tcBorders>
            <w:shd w:val="clear" w:color="auto" w:fill="auto"/>
            <w:noWrap/>
            <w:vAlign w:val="bottom"/>
            <w:hideMark/>
          </w:tcPr>
          <w:p w14:paraId="45439E04" w14:textId="34381A0C" w:rsidR="00CB16AA" w:rsidRPr="00666914" w:rsidRDefault="00CB16AA" w:rsidP="00985E7A">
            <w:pPr>
              <w:spacing w:after="0"/>
              <w:jc w:val="center"/>
              <w:rPr>
                <w:rFonts w:eastAsia="Times New Roman" w:cs="Calibri"/>
                <w:b/>
                <w:bCs/>
                <w:color w:val="000000"/>
                <w:sz w:val="19"/>
                <w:szCs w:val="19"/>
                <w:lang w:eastAsia="sk-SK"/>
              </w:rPr>
            </w:pPr>
            <w:r w:rsidRPr="00666914">
              <w:rPr>
                <w:rFonts w:eastAsia="Times New Roman" w:cs="Calibri"/>
                <w:b/>
                <w:bCs/>
                <w:color w:val="000000"/>
                <w:sz w:val="19"/>
                <w:szCs w:val="19"/>
                <w:lang w:eastAsia="sk-SK"/>
              </w:rPr>
              <w:t>3Q</w:t>
            </w:r>
            <w:r w:rsidR="009B7876" w:rsidRPr="00666914">
              <w:rPr>
                <w:rFonts w:eastAsia="Times New Roman" w:cs="Calibri"/>
                <w:b/>
                <w:bCs/>
                <w:color w:val="000000"/>
                <w:sz w:val="19"/>
                <w:szCs w:val="19"/>
                <w:lang w:eastAsia="sk-SK"/>
              </w:rPr>
              <w:t xml:space="preserve"> </w:t>
            </w:r>
            <w:r w:rsidRPr="00666914">
              <w:rPr>
                <w:rFonts w:eastAsia="Times New Roman" w:cs="Calibri"/>
                <w:b/>
                <w:bCs/>
                <w:color w:val="000000"/>
                <w:sz w:val="19"/>
                <w:szCs w:val="19"/>
                <w:lang w:eastAsia="sk-SK"/>
              </w:rPr>
              <w:t>2017</w:t>
            </w:r>
          </w:p>
        </w:tc>
        <w:tc>
          <w:tcPr>
            <w:tcW w:w="340" w:type="pct"/>
            <w:tcBorders>
              <w:top w:val="nil"/>
              <w:left w:val="nil"/>
              <w:bottom w:val="single" w:sz="4" w:space="0" w:color="auto"/>
              <w:right w:val="nil"/>
            </w:tcBorders>
            <w:shd w:val="clear" w:color="auto" w:fill="auto"/>
            <w:noWrap/>
            <w:vAlign w:val="bottom"/>
            <w:hideMark/>
          </w:tcPr>
          <w:p w14:paraId="4E11DAF1" w14:textId="0C7CE245" w:rsidR="00CB16AA" w:rsidRPr="00666914" w:rsidRDefault="00CB16AA" w:rsidP="00985E7A">
            <w:pPr>
              <w:spacing w:after="0"/>
              <w:jc w:val="center"/>
              <w:rPr>
                <w:rFonts w:eastAsia="Times New Roman" w:cs="Calibri"/>
                <w:b/>
                <w:bCs/>
                <w:color w:val="000000"/>
                <w:sz w:val="19"/>
                <w:szCs w:val="19"/>
                <w:lang w:eastAsia="sk-SK"/>
              </w:rPr>
            </w:pPr>
            <w:r w:rsidRPr="00666914">
              <w:rPr>
                <w:rFonts w:eastAsia="Times New Roman" w:cs="Calibri"/>
                <w:b/>
                <w:bCs/>
                <w:color w:val="000000"/>
                <w:sz w:val="19"/>
                <w:szCs w:val="19"/>
                <w:lang w:eastAsia="sk-SK"/>
              </w:rPr>
              <w:t>4Q</w:t>
            </w:r>
            <w:r w:rsidR="009B7876" w:rsidRPr="00666914">
              <w:rPr>
                <w:rFonts w:eastAsia="Times New Roman" w:cs="Calibri"/>
                <w:b/>
                <w:bCs/>
                <w:color w:val="000000"/>
                <w:sz w:val="19"/>
                <w:szCs w:val="19"/>
                <w:lang w:eastAsia="sk-SK"/>
              </w:rPr>
              <w:t xml:space="preserve"> </w:t>
            </w:r>
            <w:r w:rsidRPr="00666914">
              <w:rPr>
                <w:rFonts w:eastAsia="Times New Roman" w:cs="Calibri"/>
                <w:b/>
                <w:bCs/>
                <w:color w:val="000000"/>
                <w:sz w:val="19"/>
                <w:szCs w:val="19"/>
                <w:lang w:eastAsia="sk-SK"/>
              </w:rPr>
              <w:t>2017</w:t>
            </w:r>
          </w:p>
        </w:tc>
        <w:tc>
          <w:tcPr>
            <w:tcW w:w="340" w:type="pct"/>
            <w:tcBorders>
              <w:top w:val="nil"/>
              <w:left w:val="nil"/>
              <w:bottom w:val="single" w:sz="4" w:space="0" w:color="auto"/>
              <w:right w:val="nil"/>
            </w:tcBorders>
            <w:shd w:val="clear" w:color="auto" w:fill="auto"/>
            <w:noWrap/>
            <w:vAlign w:val="bottom"/>
            <w:hideMark/>
          </w:tcPr>
          <w:p w14:paraId="1E092113" w14:textId="499A3DC1" w:rsidR="00CB16AA" w:rsidRPr="00666914" w:rsidRDefault="00CB16AA" w:rsidP="00985E7A">
            <w:pPr>
              <w:spacing w:after="0"/>
              <w:jc w:val="center"/>
              <w:rPr>
                <w:rFonts w:eastAsia="Times New Roman" w:cs="Calibri"/>
                <w:b/>
                <w:bCs/>
                <w:color w:val="000000"/>
                <w:sz w:val="19"/>
                <w:szCs w:val="19"/>
                <w:lang w:eastAsia="sk-SK"/>
              </w:rPr>
            </w:pPr>
            <w:r w:rsidRPr="00666914">
              <w:rPr>
                <w:rFonts w:eastAsia="Times New Roman" w:cs="Calibri"/>
                <w:b/>
                <w:bCs/>
                <w:color w:val="000000"/>
                <w:sz w:val="19"/>
                <w:szCs w:val="19"/>
                <w:lang w:eastAsia="sk-SK"/>
              </w:rPr>
              <w:t>1Q</w:t>
            </w:r>
            <w:r w:rsidR="009B7876" w:rsidRPr="00666914">
              <w:rPr>
                <w:rFonts w:eastAsia="Times New Roman" w:cs="Calibri"/>
                <w:b/>
                <w:bCs/>
                <w:color w:val="000000"/>
                <w:sz w:val="19"/>
                <w:szCs w:val="19"/>
                <w:lang w:eastAsia="sk-SK"/>
              </w:rPr>
              <w:t xml:space="preserve"> </w:t>
            </w:r>
            <w:r w:rsidRPr="00666914">
              <w:rPr>
                <w:rFonts w:eastAsia="Times New Roman" w:cs="Calibri"/>
                <w:b/>
                <w:bCs/>
                <w:color w:val="000000"/>
                <w:sz w:val="19"/>
                <w:szCs w:val="19"/>
                <w:lang w:eastAsia="sk-SK"/>
              </w:rPr>
              <w:t>2018</w:t>
            </w:r>
          </w:p>
        </w:tc>
        <w:tc>
          <w:tcPr>
            <w:tcW w:w="340" w:type="pct"/>
            <w:tcBorders>
              <w:top w:val="nil"/>
              <w:left w:val="nil"/>
              <w:bottom w:val="single" w:sz="4" w:space="0" w:color="auto"/>
              <w:right w:val="nil"/>
            </w:tcBorders>
            <w:shd w:val="clear" w:color="auto" w:fill="auto"/>
            <w:noWrap/>
            <w:vAlign w:val="bottom"/>
            <w:hideMark/>
          </w:tcPr>
          <w:p w14:paraId="5F46A15B" w14:textId="7A1920A9" w:rsidR="00CB16AA" w:rsidRPr="00666914" w:rsidRDefault="00CB16AA" w:rsidP="00985E7A">
            <w:pPr>
              <w:spacing w:after="0"/>
              <w:jc w:val="center"/>
              <w:rPr>
                <w:rFonts w:eastAsia="Times New Roman" w:cs="Calibri"/>
                <w:b/>
                <w:bCs/>
                <w:color w:val="000000"/>
                <w:sz w:val="19"/>
                <w:szCs w:val="19"/>
                <w:lang w:eastAsia="sk-SK"/>
              </w:rPr>
            </w:pPr>
            <w:r w:rsidRPr="00666914">
              <w:rPr>
                <w:rFonts w:eastAsia="Times New Roman" w:cs="Calibri"/>
                <w:b/>
                <w:bCs/>
                <w:color w:val="000000"/>
                <w:sz w:val="19"/>
                <w:szCs w:val="19"/>
                <w:lang w:eastAsia="sk-SK"/>
              </w:rPr>
              <w:t>2Q</w:t>
            </w:r>
            <w:r w:rsidR="009B7876" w:rsidRPr="00666914">
              <w:rPr>
                <w:rFonts w:eastAsia="Times New Roman" w:cs="Calibri"/>
                <w:b/>
                <w:bCs/>
                <w:color w:val="000000"/>
                <w:sz w:val="19"/>
                <w:szCs w:val="19"/>
                <w:lang w:eastAsia="sk-SK"/>
              </w:rPr>
              <w:t xml:space="preserve"> </w:t>
            </w:r>
            <w:r w:rsidRPr="00666914">
              <w:rPr>
                <w:rFonts w:eastAsia="Times New Roman" w:cs="Calibri"/>
                <w:b/>
                <w:bCs/>
                <w:color w:val="000000"/>
                <w:sz w:val="19"/>
                <w:szCs w:val="19"/>
                <w:lang w:eastAsia="sk-SK"/>
              </w:rPr>
              <w:t>2018</w:t>
            </w:r>
          </w:p>
        </w:tc>
        <w:tc>
          <w:tcPr>
            <w:tcW w:w="340" w:type="pct"/>
            <w:tcBorders>
              <w:top w:val="nil"/>
              <w:left w:val="nil"/>
              <w:bottom w:val="single" w:sz="4" w:space="0" w:color="auto"/>
              <w:right w:val="nil"/>
            </w:tcBorders>
            <w:shd w:val="clear" w:color="auto" w:fill="auto"/>
            <w:noWrap/>
            <w:vAlign w:val="bottom"/>
            <w:hideMark/>
          </w:tcPr>
          <w:p w14:paraId="33A8F687" w14:textId="43ED7E42" w:rsidR="00CB16AA" w:rsidRPr="00666914" w:rsidRDefault="00CB16AA" w:rsidP="00985E7A">
            <w:pPr>
              <w:spacing w:after="0"/>
              <w:jc w:val="center"/>
              <w:rPr>
                <w:rFonts w:eastAsia="Times New Roman" w:cs="Calibri"/>
                <w:b/>
                <w:bCs/>
                <w:color w:val="000000"/>
                <w:sz w:val="19"/>
                <w:szCs w:val="19"/>
                <w:lang w:eastAsia="sk-SK"/>
              </w:rPr>
            </w:pPr>
            <w:r w:rsidRPr="00666914">
              <w:rPr>
                <w:rFonts w:eastAsia="Times New Roman" w:cs="Calibri"/>
                <w:b/>
                <w:bCs/>
                <w:color w:val="000000"/>
                <w:sz w:val="19"/>
                <w:szCs w:val="19"/>
                <w:lang w:eastAsia="sk-SK"/>
              </w:rPr>
              <w:t>3Q</w:t>
            </w:r>
            <w:r w:rsidR="009B7876" w:rsidRPr="00666914">
              <w:rPr>
                <w:rFonts w:eastAsia="Times New Roman" w:cs="Calibri"/>
                <w:b/>
                <w:bCs/>
                <w:color w:val="000000"/>
                <w:sz w:val="19"/>
                <w:szCs w:val="19"/>
                <w:lang w:eastAsia="sk-SK"/>
              </w:rPr>
              <w:t xml:space="preserve"> </w:t>
            </w:r>
            <w:r w:rsidRPr="00666914">
              <w:rPr>
                <w:rFonts w:eastAsia="Times New Roman" w:cs="Calibri"/>
                <w:b/>
                <w:bCs/>
                <w:color w:val="000000"/>
                <w:sz w:val="19"/>
                <w:szCs w:val="19"/>
                <w:lang w:eastAsia="sk-SK"/>
              </w:rPr>
              <w:t>2018</w:t>
            </w:r>
          </w:p>
        </w:tc>
        <w:tc>
          <w:tcPr>
            <w:tcW w:w="350" w:type="pct"/>
            <w:tcBorders>
              <w:top w:val="nil"/>
              <w:left w:val="nil"/>
              <w:bottom w:val="single" w:sz="4" w:space="0" w:color="auto"/>
              <w:right w:val="nil"/>
            </w:tcBorders>
            <w:shd w:val="clear" w:color="auto" w:fill="auto"/>
            <w:vAlign w:val="center"/>
            <w:hideMark/>
          </w:tcPr>
          <w:p w14:paraId="7406640B" w14:textId="15A4A941" w:rsidR="00CB16AA" w:rsidRPr="00666914" w:rsidRDefault="00CB16AA" w:rsidP="00985E7A">
            <w:pPr>
              <w:spacing w:after="0"/>
              <w:rPr>
                <w:rFonts w:eastAsia="Times New Roman" w:cs="Calibri"/>
                <w:b/>
                <w:bCs/>
                <w:color w:val="000000"/>
                <w:sz w:val="19"/>
                <w:szCs w:val="19"/>
                <w:lang w:eastAsia="sk-SK"/>
              </w:rPr>
            </w:pPr>
            <w:r w:rsidRPr="00666914">
              <w:rPr>
                <w:rFonts w:eastAsia="Times New Roman" w:cs="Calibri"/>
                <w:b/>
                <w:bCs/>
                <w:color w:val="000000"/>
                <w:sz w:val="19"/>
                <w:szCs w:val="19"/>
                <w:lang w:eastAsia="sk-SK"/>
              </w:rPr>
              <w:t>4Q</w:t>
            </w:r>
            <w:r w:rsidR="009B7876" w:rsidRPr="00666914">
              <w:rPr>
                <w:rFonts w:eastAsia="Times New Roman" w:cs="Calibri"/>
                <w:b/>
                <w:bCs/>
                <w:color w:val="000000"/>
                <w:sz w:val="19"/>
                <w:szCs w:val="19"/>
                <w:lang w:eastAsia="sk-SK"/>
              </w:rPr>
              <w:t xml:space="preserve"> </w:t>
            </w:r>
            <w:r w:rsidRPr="00666914">
              <w:rPr>
                <w:rFonts w:eastAsia="Times New Roman" w:cs="Calibri"/>
                <w:b/>
                <w:bCs/>
                <w:color w:val="000000"/>
                <w:sz w:val="19"/>
                <w:szCs w:val="19"/>
                <w:lang w:eastAsia="sk-SK"/>
              </w:rPr>
              <w:t>2018</w:t>
            </w:r>
          </w:p>
        </w:tc>
        <w:tc>
          <w:tcPr>
            <w:tcW w:w="340" w:type="pct"/>
            <w:tcBorders>
              <w:top w:val="nil"/>
              <w:left w:val="nil"/>
              <w:bottom w:val="single" w:sz="4" w:space="0" w:color="auto"/>
              <w:right w:val="nil"/>
            </w:tcBorders>
            <w:shd w:val="clear" w:color="auto" w:fill="auto"/>
            <w:noWrap/>
            <w:vAlign w:val="bottom"/>
            <w:hideMark/>
          </w:tcPr>
          <w:p w14:paraId="3438F362" w14:textId="0F6E054D" w:rsidR="00CB16AA" w:rsidRPr="00666914" w:rsidRDefault="00CB16AA" w:rsidP="00985E7A">
            <w:pPr>
              <w:spacing w:after="0"/>
              <w:jc w:val="center"/>
              <w:rPr>
                <w:rFonts w:eastAsia="Times New Roman" w:cs="Calibri"/>
                <w:b/>
                <w:bCs/>
                <w:color w:val="000000"/>
                <w:sz w:val="19"/>
                <w:szCs w:val="19"/>
                <w:lang w:eastAsia="sk-SK"/>
              </w:rPr>
            </w:pPr>
            <w:r w:rsidRPr="00666914">
              <w:rPr>
                <w:rFonts w:eastAsia="Times New Roman" w:cs="Calibri"/>
                <w:b/>
                <w:bCs/>
                <w:color w:val="000000"/>
                <w:sz w:val="19"/>
                <w:szCs w:val="19"/>
                <w:lang w:eastAsia="sk-SK"/>
              </w:rPr>
              <w:t>1Q</w:t>
            </w:r>
            <w:r w:rsidR="009B7876" w:rsidRPr="00666914">
              <w:rPr>
                <w:rFonts w:eastAsia="Times New Roman" w:cs="Calibri"/>
                <w:b/>
                <w:bCs/>
                <w:color w:val="000000"/>
                <w:sz w:val="19"/>
                <w:szCs w:val="19"/>
                <w:lang w:eastAsia="sk-SK"/>
              </w:rPr>
              <w:t xml:space="preserve"> </w:t>
            </w:r>
            <w:r w:rsidRPr="00666914">
              <w:rPr>
                <w:rFonts w:eastAsia="Times New Roman" w:cs="Calibri"/>
                <w:b/>
                <w:bCs/>
                <w:color w:val="000000"/>
                <w:sz w:val="19"/>
                <w:szCs w:val="19"/>
                <w:lang w:eastAsia="sk-SK"/>
              </w:rPr>
              <w:t>2019</w:t>
            </w:r>
          </w:p>
        </w:tc>
        <w:tc>
          <w:tcPr>
            <w:tcW w:w="340" w:type="pct"/>
            <w:tcBorders>
              <w:top w:val="nil"/>
              <w:left w:val="nil"/>
              <w:bottom w:val="single" w:sz="4" w:space="0" w:color="auto"/>
              <w:right w:val="nil"/>
            </w:tcBorders>
            <w:shd w:val="clear" w:color="auto" w:fill="auto"/>
            <w:noWrap/>
            <w:vAlign w:val="bottom"/>
            <w:hideMark/>
          </w:tcPr>
          <w:p w14:paraId="07DDB3F9" w14:textId="45A4E7F2" w:rsidR="00CB16AA" w:rsidRPr="00666914" w:rsidRDefault="00CB16AA" w:rsidP="00985E7A">
            <w:pPr>
              <w:spacing w:after="0"/>
              <w:jc w:val="center"/>
              <w:rPr>
                <w:rFonts w:eastAsia="Times New Roman" w:cs="Calibri"/>
                <w:b/>
                <w:bCs/>
                <w:color w:val="000000"/>
                <w:sz w:val="19"/>
                <w:szCs w:val="19"/>
                <w:lang w:eastAsia="sk-SK"/>
              </w:rPr>
            </w:pPr>
            <w:r w:rsidRPr="00666914">
              <w:rPr>
                <w:rFonts w:eastAsia="Times New Roman" w:cs="Calibri"/>
                <w:b/>
                <w:bCs/>
                <w:color w:val="000000"/>
                <w:sz w:val="19"/>
                <w:szCs w:val="19"/>
                <w:lang w:eastAsia="sk-SK"/>
              </w:rPr>
              <w:t>2Q</w:t>
            </w:r>
            <w:r w:rsidR="009B7876" w:rsidRPr="00666914">
              <w:rPr>
                <w:rFonts w:eastAsia="Times New Roman" w:cs="Calibri"/>
                <w:b/>
                <w:bCs/>
                <w:color w:val="000000"/>
                <w:sz w:val="19"/>
                <w:szCs w:val="19"/>
                <w:lang w:eastAsia="sk-SK"/>
              </w:rPr>
              <w:t xml:space="preserve"> </w:t>
            </w:r>
            <w:r w:rsidRPr="00666914">
              <w:rPr>
                <w:rFonts w:eastAsia="Times New Roman" w:cs="Calibri"/>
                <w:b/>
                <w:bCs/>
                <w:color w:val="000000"/>
                <w:sz w:val="19"/>
                <w:szCs w:val="19"/>
                <w:lang w:eastAsia="sk-SK"/>
              </w:rPr>
              <w:t>2019</w:t>
            </w:r>
          </w:p>
        </w:tc>
        <w:tc>
          <w:tcPr>
            <w:tcW w:w="378" w:type="pct"/>
            <w:tcBorders>
              <w:top w:val="nil"/>
              <w:left w:val="nil"/>
              <w:bottom w:val="single" w:sz="4" w:space="0" w:color="auto"/>
              <w:right w:val="nil"/>
            </w:tcBorders>
            <w:shd w:val="clear" w:color="auto" w:fill="auto"/>
            <w:noWrap/>
            <w:vAlign w:val="bottom"/>
            <w:hideMark/>
          </w:tcPr>
          <w:p w14:paraId="5F4E01DD" w14:textId="497EA26B" w:rsidR="00CB16AA" w:rsidRPr="00666914" w:rsidRDefault="00CB16AA" w:rsidP="00985E7A">
            <w:pPr>
              <w:spacing w:after="0"/>
              <w:jc w:val="center"/>
              <w:rPr>
                <w:rFonts w:eastAsia="Times New Roman" w:cs="Calibri"/>
                <w:b/>
                <w:bCs/>
                <w:color w:val="000000"/>
                <w:sz w:val="19"/>
                <w:szCs w:val="19"/>
                <w:lang w:eastAsia="sk-SK"/>
              </w:rPr>
            </w:pPr>
            <w:r w:rsidRPr="00666914">
              <w:rPr>
                <w:rFonts w:eastAsia="Times New Roman" w:cs="Calibri"/>
                <w:b/>
                <w:bCs/>
                <w:color w:val="000000"/>
                <w:sz w:val="19"/>
                <w:szCs w:val="19"/>
                <w:lang w:eastAsia="sk-SK"/>
              </w:rPr>
              <w:t>3Q</w:t>
            </w:r>
            <w:r w:rsidR="009B7876" w:rsidRPr="00666914">
              <w:rPr>
                <w:rFonts w:eastAsia="Times New Roman" w:cs="Calibri"/>
                <w:b/>
                <w:bCs/>
                <w:color w:val="000000"/>
                <w:sz w:val="19"/>
                <w:szCs w:val="19"/>
                <w:lang w:eastAsia="sk-SK"/>
              </w:rPr>
              <w:t xml:space="preserve"> </w:t>
            </w:r>
            <w:r w:rsidRPr="00666914">
              <w:rPr>
                <w:rFonts w:eastAsia="Times New Roman" w:cs="Calibri"/>
                <w:b/>
                <w:bCs/>
                <w:color w:val="000000"/>
                <w:sz w:val="19"/>
                <w:szCs w:val="19"/>
                <w:lang w:eastAsia="sk-SK"/>
              </w:rPr>
              <w:t>2019</w:t>
            </w:r>
          </w:p>
        </w:tc>
        <w:tc>
          <w:tcPr>
            <w:tcW w:w="382" w:type="pct"/>
            <w:tcBorders>
              <w:top w:val="nil"/>
              <w:left w:val="nil"/>
              <w:bottom w:val="single" w:sz="4" w:space="0" w:color="auto"/>
              <w:right w:val="nil"/>
            </w:tcBorders>
            <w:shd w:val="clear" w:color="auto" w:fill="auto"/>
            <w:noWrap/>
            <w:vAlign w:val="bottom"/>
            <w:hideMark/>
          </w:tcPr>
          <w:p w14:paraId="4EAA7425" w14:textId="16BDC9F6" w:rsidR="00CB16AA" w:rsidRPr="00666914" w:rsidRDefault="00CB16AA" w:rsidP="00985E7A">
            <w:pPr>
              <w:spacing w:after="0"/>
              <w:jc w:val="center"/>
              <w:rPr>
                <w:rFonts w:eastAsia="Times New Roman" w:cs="Calibri"/>
                <w:b/>
                <w:bCs/>
                <w:color w:val="000000"/>
                <w:sz w:val="19"/>
                <w:szCs w:val="19"/>
                <w:lang w:eastAsia="sk-SK"/>
              </w:rPr>
            </w:pPr>
            <w:r w:rsidRPr="00666914">
              <w:rPr>
                <w:rFonts w:eastAsia="Times New Roman" w:cs="Calibri"/>
                <w:b/>
                <w:bCs/>
                <w:color w:val="000000"/>
                <w:sz w:val="19"/>
                <w:szCs w:val="19"/>
                <w:lang w:eastAsia="sk-SK"/>
              </w:rPr>
              <w:t>4Q</w:t>
            </w:r>
            <w:r w:rsidR="009B7876" w:rsidRPr="00666914">
              <w:rPr>
                <w:rFonts w:eastAsia="Times New Roman" w:cs="Calibri"/>
                <w:b/>
                <w:bCs/>
                <w:color w:val="000000"/>
                <w:sz w:val="19"/>
                <w:szCs w:val="19"/>
                <w:lang w:eastAsia="sk-SK"/>
              </w:rPr>
              <w:t xml:space="preserve"> </w:t>
            </w:r>
            <w:r w:rsidRPr="00666914">
              <w:rPr>
                <w:rFonts w:eastAsia="Times New Roman" w:cs="Calibri"/>
                <w:b/>
                <w:bCs/>
                <w:color w:val="000000"/>
                <w:sz w:val="19"/>
                <w:szCs w:val="19"/>
                <w:lang w:eastAsia="sk-SK"/>
              </w:rPr>
              <w:t>2019</w:t>
            </w:r>
          </w:p>
        </w:tc>
      </w:tr>
      <w:tr w:rsidR="00CB16AA" w:rsidRPr="00666914" w14:paraId="63E7E55F" w14:textId="77777777" w:rsidTr="00A73097">
        <w:trPr>
          <w:trHeight w:val="315"/>
        </w:trPr>
        <w:tc>
          <w:tcPr>
            <w:tcW w:w="1110" w:type="pct"/>
            <w:tcBorders>
              <w:top w:val="nil"/>
              <w:left w:val="nil"/>
              <w:bottom w:val="nil"/>
              <w:right w:val="nil"/>
            </w:tcBorders>
            <w:shd w:val="clear" w:color="auto" w:fill="auto"/>
            <w:noWrap/>
            <w:vAlign w:val="center"/>
            <w:hideMark/>
          </w:tcPr>
          <w:p w14:paraId="532941BC" w14:textId="77777777" w:rsidR="00CB16AA" w:rsidRPr="00666914" w:rsidRDefault="00CB16AA" w:rsidP="00985E7A">
            <w:pPr>
              <w:spacing w:after="0"/>
              <w:rPr>
                <w:rFonts w:eastAsia="Times New Roman" w:cs="Calibri"/>
                <w:color w:val="000000"/>
                <w:sz w:val="19"/>
                <w:szCs w:val="19"/>
                <w:lang w:eastAsia="sk-SK"/>
              </w:rPr>
            </w:pPr>
            <w:r w:rsidRPr="00666914">
              <w:rPr>
                <w:rFonts w:eastAsia="Times New Roman" w:cs="Calibri"/>
                <w:color w:val="000000"/>
                <w:sz w:val="19"/>
                <w:szCs w:val="19"/>
                <w:lang w:eastAsia="sk-SK"/>
              </w:rPr>
              <w:t>Výdavky na údržbu (tis. eur)</w:t>
            </w:r>
          </w:p>
        </w:tc>
        <w:tc>
          <w:tcPr>
            <w:tcW w:w="400" w:type="pct"/>
            <w:tcBorders>
              <w:top w:val="nil"/>
              <w:left w:val="nil"/>
              <w:bottom w:val="nil"/>
              <w:right w:val="nil"/>
            </w:tcBorders>
            <w:shd w:val="clear" w:color="auto" w:fill="auto"/>
            <w:noWrap/>
            <w:vAlign w:val="center"/>
            <w:hideMark/>
          </w:tcPr>
          <w:p w14:paraId="70CB993E" w14:textId="79F76552" w:rsidR="00CB16AA" w:rsidRPr="00666914" w:rsidRDefault="00CB16AA" w:rsidP="00985E7A">
            <w:pPr>
              <w:spacing w:after="0"/>
              <w:jc w:val="center"/>
              <w:rPr>
                <w:rFonts w:eastAsia="Times New Roman" w:cs="Calibri"/>
                <w:color w:val="000000"/>
                <w:sz w:val="19"/>
                <w:szCs w:val="19"/>
                <w:lang w:eastAsia="sk-SK"/>
              </w:rPr>
            </w:pPr>
            <w:r w:rsidRPr="00666914">
              <w:rPr>
                <w:rFonts w:eastAsia="Times New Roman" w:cs="Calibri"/>
                <w:color w:val="000000"/>
                <w:sz w:val="19"/>
                <w:szCs w:val="19"/>
                <w:lang w:eastAsia="sk-SK"/>
              </w:rPr>
              <w:t>30</w:t>
            </w:r>
            <w:r w:rsidR="00A73097" w:rsidRPr="00666914">
              <w:rPr>
                <w:rFonts w:eastAsia="Times New Roman" w:cs="Calibri"/>
                <w:color w:val="000000"/>
                <w:sz w:val="19"/>
                <w:szCs w:val="19"/>
                <w:lang w:eastAsia="sk-SK"/>
              </w:rPr>
              <w:t xml:space="preserve"> </w:t>
            </w:r>
            <w:r w:rsidRPr="00666914">
              <w:rPr>
                <w:rFonts w:eastAsia="Times New Roman" w:cs="Calibri"/>
                <w:color w:val="000000"/>
                <w:sz w:val="19"/>
                <w:szCs w:val="19"/>
                <w:lang w:eastAsia="sk-SK"/>
              </w:rPr>
              <w:t>518</w:t>
            </w:r>
          </w:p>
        </w:tc>
        <w:tc>
          <w:tcPr>
            <w:tcW w:w="340" w:type="pct"/>
            <w:tcBorders>
              <w:top w:val="nil"/>
              <w:left w:val="nil"/>
              <w:bottom w:val="nil"/>
              <w:right w:val="nil"/>
            </w:tcBorders>
            <w:shd w:val="clear" w:color="auto" w:fill="auto"/>
            <w:noWrap/>
            <w:vAlign w:val="center"/>
            <w:hideMark/>
          </w:tcPr>
          <w:p w14:paraId="4DC2D875" w14:textId="1F5D0192" w:rsidR="00CB16AA" w:rsidRPr="00666914" w:rsidRDefault="00CB16AA" w:rsidP="00985E7A">
            <w:pPr>
              <w:spacing w:after="0"/>
              <w:jc w:val="center"/>
              <w:rPr>
                <w:rFonts w:eastAsia="Times New Roman" w:cs="Calibri"/>
                <w:color w:val="000000"/>
                <w:sz w:val="19"/>
                <w:szCs w:val="19"/>
                <w:lang w:eastAsia="sk-SK"/>
              </w:rPr>
            </w:pPr>
            <w:r w:rsidRPr="00666914">
              <w:rPr>
                <w:rFonts w:eastAsia="Times New Roman" w:cs="Calibri"/>
                <w:color w:val="000000"/>
                <w:sz w:val="19"/>
                <w:szCs w:val="19"/>
                <w:lang w:eastAsia="sk-SK"/>
              </w:rPr>
              <w:t>29</w:t>
            </w:r>
            <w:r w:rsidR="00A73097" w:rsidRPr="00666914">
              <w:rPr>
                <w:rFonts w:eastAsia="Times New Roman" w:cs="Calibri"/>
                <w:color w:val="000000"/>
                <w:sz w:val="19"/>
                <w:szCs w:val="19"/>
                <w:lang w:eastAsia="sk-SK"/>
              </w:rPr>
              <w:t xml:space="preserve"> </w:t>
            </w:r>
            <w:r w:rsidRPr="00666914">
              <w:rPr>
                <w:rFonts w:eastAsia="Times New Roman" w:cs="Calibri"/>
                <w:color w:val="000000"/>
                <w:sz w:val="19"/>
                <w:szCs w:val="19"/>
                <w:lang w:eastAsia="sk-SK"/>
              </w:rPr>
              <w:t>201</w:t>
            </w:r>
          </w:p>
        </w:tc>
        <w:tc>
          <w:tcPr>
            <w:tcW w:w="340" w:type="pct"/>
            <w:tcBorders>
              <w:top w:val="nil"/>
              <w:left w:val="nil"/>
              <w:bottom w:val="nil"/>
              <w:right w:val="nil"/>
            </w:tcBorders>
            <w:shd w:val="clear" w:color="auto" w:fill="auto"/>
            <w:noWrap/>
            <w:vAlign w:val="center"/>
            <w:hideMark/>
          </w:tcPr>
          <w:p w14:paraId="46F6E0F0" w14:textId="77ECA5F4" w:rsidR="00CB16AA" w:rsidRPr="00666914" w:rsidRDefault="00CB16AA" w:rsidP="00985E7A">
            <w:pPr>
              <w:spacing w:after="0"/>
              <w:jc w:val="center"/>
              <w:rPr>
                <w:rFonts w:eastAsia="Times New Roman" w:cs="Calibri"/>
                <w:color w:val="000000"/>
                <w:sz w:val="19"/>
                <w:szCs w:val="19"/>
                <w:lang w:eastAsia="sk-SK"/>
              </w:rPr>
            </w:pPr>
            <w:r w:rsidRPr="00666914">
              <w:rPr>
                <w:rFonts w:eastAsia="Times New Roman" w:cs="Calibri"/>
                <w:color w:val="000000"/>
                <w:sz w:val="19"/>
                <w:szCs w:val="19"/>
                <w:lang w:eastAsia="sk-SK"/>
              </w:rPr>
              <w:t>38</w:t>
            </w:r>
            <w:r w:rsidR="00A73097" w:rsidRPr="00666914">
              <w:rPr>
                <w:rFonts w:eastAsia="Times New Roman" w:cs="Calibri"/>
                <w:color w:val="000000"/>
                <w:sz w:val="19"/>
                <w:szCs w:val="19"/>
                <w:lang w:eastAsia="sk-SK"/>
              </w:rPr>
              <w:t xml:space="preserve"> </w:t>
            </w:r>
            <w:r w:rsidRPr="00666914">
              <w:rPr>
                <w:rFonts w:eastAsia="Times New Roman" w:cs="Calibri"/>
                <w:color w:val="000000"/>
                <w:sz w:val="19"/>
                <w:szCs w:val="19"/>
                <w:lang w:eastAsia="sk-SK"/>
              </w:rPr>
              <w:t>531</w:t>
            </w:r>
          </w:p>
        </w:tc>
        <w:tc>
          <w:tcPr>
            <w:tcW w:w="340" w:type="pct"/>
            <w:tcBorders>
              <w:top w:val="nil"/>
              <w:left w:val="nil"/>
              <w:bottom w:val="nil"/>
              <w:right w:val="nil"/>
            </w:tcBorders>
            <w:shd w:val="clear" w:color="auto" w:fill="auto"/>
            <w:noWrap/>
            <w:vAlign w:val="center"/>
            <w:hideMark/>
          </w:tcPr>
          <w:p w14:paraId="08202843" w14:textId="046D8668" w:rsidR="00CB16AA" w:rsidRPr="00666914" w:rsidRDefault="00CB16AA" w:rsidP="00985E7A">
            <w:pPr>
              <w:spacing w:after="0"/>
              <w:jc w:val="center"/>
              <w:rPr>
                <w:rFonts w:eastAsia="Times New Roman" w:cs="Calibri"/>
                <w:color w:val="000000"/>
                <w:sz w:val="19"/>
                <w:szCs w:val="19"/>
                <w:lang w:eastAsia="sk-SK"/>
              </w:rPr>
            </w:pPr>
            <w:r w:rsidRPr="00666914">
              <w:rPr>
                <w:rFonts w:eastAsia="Times New Roman" w:cs="Calibri"/>
                <w:color w:val="000000"/>
                <w:sz w:val="19"/>
                <w:szCs w:val="19"/>
                <w:lang w:eastAsia="sk-SK"/>
              </w:rPr>
              <w:t>25</w:t>
            </w:r>
            <w:r w:rsidR="00A73097" w:rsidRPr="00666914">
              <w:rPr>
                <w:rFonts w:eastAsia="Times New Roman" w:cs="Calibri"/>
                <w:color w:val="000000"/>
                <w:sz w:val="19"/>
                <w:szCs w:val="19"/>
                <w:lang w:eastAsia="sk-SK"/>
              </w:rPr>
              <w:t xml:space="preserve"> </w:t>
            </w:r>
            <w:r w:rsidRPr="00666914">
              <w:rPr>
                <w:rFonts w:eastAsia="Times New Roman" w:cs="Calibri"/>
                <w:color w:val="000000"/>
                <w:sz w:val="19"/>
                <w:szCs w:val="19"/>
                <w:lang w:eastAsia="sk-SK"/>
              </w:rPr>
              <w:t>713</w:t>
            </w:r>
          </w:p>
        </w:tc>
        <w:tc>
          <w:tcPr>
            <w:tcW w:w="340" w:type="pct"/>
            <w:tcBorders>
              <w:top w:val="nil"/>
              <w:left w:val="nil"/>
              <w:bottom w:val="nil"/>
              <w:right w:val="nil"/>
            </w:tcBorders>
            <w:shd w:val="clear" w:color="auto" w:fill="auto"/>
            <w:noWrap/>
            <w:vAlign w:val="center"/>
            <w:hideMark/>
          </w:tcPr>
          <w:p w14:paraId="54B55A58" w14:textId="3CFB14FB" w:rsidR="00CB16AA" w:rsidRPr="00666914" w:rsidRDefault="00CB16AA" w:rsidP="00985E7A">
            <w:pPr>
              <w:spacing w:after="0"/>
              <w:jc w:val="center"/>
              <w:rPr>
                <w:rFonts w:eastAsia="Times New Roman" w:cs="Calibri"/>
                <w:color w:val="000000"/>
                <w:sz w:val="19"/>
                <w:szCs w:val="19"/>
                <w:lang w:eastAsia="sk-SK"/>
              </w:rPr>
            </w:pPr>
            <w:r w:rsidRPr="00666914">
              <w:rPr>
                <w:rFonts w:eastAsia="Times New Roman" w:cs="Calibri"/>
                <w:color w:val="000000"/>
                <w:sz w:val="19"/>
                <w:szCs w:val="19"/>
                <w:lang w:eastAsia="sk-SK"/>
              </w:rPr>
              <w:t>37</w:t>
            </w:r>
            <w:r w:rsidR="00A73097" w:rsidRPr="00666914">
              <w:rPr>
                <w:rFonts w:eastAsia="Times New Roman" w:cs="Calibri"/>
                <w:color w:val="000000"/>
                <w:sz w:val="19"/>
                <w:szCs w:val="19"/>
                <w:lang w:eastAsia="sk-SK"/>
              </w:rPr>
              <w:t xml:space="preserve"> </w:t>
            </w:r>
            <w:r w:rsidRPr="00666914">
              <w:rPr>
                <w:rFonts w:eastAsia="Times New Roman" w:cs="Calibri"/>
                <w:color w:val="000000"/>
                <w:sz w:val="19"/>
                <w:szCs w:val="19"/>
                <w:lang w:eastAsia="sk-SK"/>
              </w:rPr>
              <w:t>531</w:t>
            </w:r>
          </w:p>
        </w:tc>
        <w:tc>
          <w:tcPr>
            <w:tcW w:w="340" w:type="pct"/>
            <w:tcBorders>
              <w:top w:val="nil"/>
              <w:left w:val="nil"/>
              <w:bottom w:val="nil"/>
              <w:right w:val="nil"/>
            </w:tcBorders>
            <w:shd w:val="clear" w:color="auto" w:fill="auto"/>
            <w:noWrap/>
            <w:vAlign w:val="center"/>
            <w:hideMark/>
          </w:tcPr>
          <w:p w14:paraId="4C57D129" w14:textId="07F2B60A" w:rsidR="00CB16AA" w:rsidRPr="00666914" w:rsidRDefault="00CB16AA" w:rsidP="00985E7A">
            <w:pPr>
              <w:spacing w:after="0"/>
              <w:jc w:val="center"/>
              <w:rPr>
                <w:rFonts w:eastAsia="Times New Roman" w:cs="Calibri"/>
                <w:color w:val="000000"/>
                <w:sz w:val="19"/>
                <w:szCs w:val="19"/>
                <w:lang w:eastAsia="sk-SK"/>
              </w:rPr>
            </w:pPr>
            <w:r w:rsidRPr="00666914">
              <w:rPr>
                <w:rFonts w:eastAsia="Times New Roman" w:cs="Calibri"/>
                <w:color w:val="000000"/>
                <w:sz w:val="19"/>
                <w:szCs w:val="19"/>
                <w:lang w:eastAsia="sk-SK"/>
              </w:rPr>
              <w:t>33</w:t>
            </w:r>
            <w:r w:rsidR="00A73097" w:rsidRPr="00666914">
              <w:rPr>
                <w:rFonts w:eastAsia="Times New Roman" w:cs="Calibri"/>
                <w:color w:val="000000"/>
                <w:sz w:val="19"/>
                <w:szCs w:val="19"/>
                <w:lang w:eastAsia="sk-SK"/>
              </w:rPr>
              <w:t xml:space="preserve"> </w:t>
            </w:r>
            <w:r w:rsidRPr="00666914">
              <w:rPr>
                <w:rFonts w:eastAsia="Times New Roman" w:cs="Calibri"/>
                <w:color w:val="000000"/>
                <w:sz w:val="19"/>
                <w:szCs w:val="19"/>
                <w:lang w:eastAsia="sk-SK"/>
              </w:rPr>
              <w:t>841</w:t>
            </w:r>
          </w:p>
        </w:tc>
        <w:tc>
          <w:tcPr>
            <w:tcW w:w="350" w:type="pct"/>
            <w:tcBorders>
              <w:top w:val="nil"/>
              <w:left w:val="nil"/>
              <w:bottom w:val="nil"/>
              <w:right w:val="nil"/>
            </w:tcBorders>
            <w:shd w:val="clear" w:color="auto" w:fill="auto"/>
            <w:vAlign w:val="center"/>
            <w:hideMark/>
          </w:tcPr>
          <w:p w14:paraId="60000103" w14:textId="2DE70E41" w:rsidR="00CB16AA" w:rsidRPr="00666914" w:rsidRDefault="00CB16AA" w:rsidP="00985E7A">
            <w:pPr>
              <w:spacing w:after="0"/>
              <w:jc w:val="center"/>
              <w:rPr>
                <w:rFonts w:eastAsia="Times New Roman" w:cs="Calibri"/>
                <w:color w:val="000000"/>
                <w:sz w:val="19"/>
                <w:szCs w:val="19"/>
                <w:lang w:eastAsia="sk-SK"/>
              </w:rPr>
            </w:pPr>
            <w:r w:rsidRPr="00666914">
              <w:rPr>
                <w:rFonts w:eastAsia="Times New Roman" w:cs="Calibri"/>
                <w:color w:val="000000"/>
                <w:sz w:val="19"/>
                <w:szCs w:val="19"/>
                <w:lang w:eastAsia="sk-SK"/>
              </w:rPr>
              <w:t>34</w:t>
            </w:r>
            <w:r w:rsidR="00A73097" w:rsidRPr="00666914">
              <w:rPr>
                <w:rFonts w:eastAsia="Times New Roman" w:cs="Calibri"/>
                <w:color w:val="000000"/>
                <w:sz w:val="19"/>
                <w:szCs w:val="19"/>
                <w:lang w:eastAsia="sk-SK"/>
              </w:rPr>
              <w:t xml:space="preserve"> </w:t>
            </w:r>
            <w:r w:rsidRPr="00666914">
              <w:rPr>
                <w:rFonts w:eastAsia="Times New Roman" w:cs="Calibri"/>
                <w:color w:val="000000"/>
                <w:sz w:val="19"/>
                <w:szCs w:val="19"/>
                <w:lang w:eastAsia="sk-SK"/>
              </w:rPr>
              <w:t>260</w:t>
            </w:r>
          </w:p>
        </w:tc>
        <w:tc>
          <w:tcPr>
            <w:tcW w:w="340" w:type="pct"/>
            <w:tcBorders>
              <w:top w:val="nil"/>
              <w:left w:val="nil"/>
              <w:bottom w:val="nil"/>
              <w:right w:val="nil"/>
            </w:tcBorders>
            <w:shd w:val="clear" w:color="auto" w:fill="auto"/>
            <w:noWrap/>
            <w:vAlign w:val="center"/>
            <w:hideMark/>
          </w:tcPr>
          <w:p w14:paraId="7B33B83D" w14:textId="19140C7F" w:rsidR="00CB16AA" w:rsidRPr="00666914" w:rsidRDefault="00CB16AA" w:rsidP="00985E7A">
            <w:pPr>
              <w:spacing w:after="0"/>
              <w:jc w:val="center"/>
              <w:rPr>
                <w:rFonts w:eastAsia="Times New Roman" w:cs="Calibri"/>
                <w:color w:val="000000"/>
                <w:sz w:val="19"/>
                <w:szCs w:val="19"/>
                <w:lang w:eastAsia="sk-SK"/>
              </w:rPr>
            </w:pPr>
            <w:r w:rsidRPr="00666914">
              <w:rPr>
                <w:rFonts w:eastAsia="Times New Roman" w:cs="Calibri"/>
                <w:color w:val="000000"/>
                <w:sz w:val="19"/>
                <w:szCs w:val="19"/>
                <w:lang w:eastAsia="sk-SK"/>
              </w:rPr>
              <w:t>28</w:t>
            </w:r>
            <w:r w:rsidR="00A73097" w:rsidRPr="00666914">
              <w:rPr>
                <w:rFonts w:eastAsia="Times New Roman" w:cs="Calibri"/>
                <w:color w:val="000000"/>
                <w:sz w:val="19"/>
                <w:szCs w:val="19"/>
                <w:lang w:eastAsia="sk-SK"/>
              </w:rPr>
              <w:t xml:space="preserve"> </w:t>
            </w:r>
            <w:r w:rsidRPr="00666914">
              <w:rPr>
                <w:rFonts w:eastAsia="Times New Roman" w:cs="Calibri"/>
                <w:color w:val="000000"/>
                <w:sz w:val="19"/>
                <w:szCs w:val="19"/>
                <w:lang w:eastAsia="sk-SK"/>
              </w:rPr>
              <w:t>911</w:t>
            </w:r>
          </w:p>
        </w:tc>
        <w:tc>
          <w:tcPr>
            <w:tcW w:w="340" w:type="pct"/>
            <w:tcBorders>
              <w:top w:val="nil"/>
              <w:left w:val="nil"/>
              <w:bottom w:val="nil"/>
              <w:right w:val="nil"/>
            </w:tcBorders>
            <w:shd w:val="clear" w:color="auto" w:fill="auto"/>
            <w:noWrap/>
            <w:vAlign w:val="center"/>
            <w:hideMark/>
          </w:tcPr>
          <w:p w14:paraId="0A2FE86F" w14:textId="353819DD" w:rsidR="00CB16AA" w:rsidRPr="00666914" w:rsidRDefault="00CB16AA" w:rsidP="00985E7A">
            <w:pPr>
              <w:spacing w:after="0"/>
              <w:jc w:val="center"/>
              <w:rPr>
                <w:rFonts w:eastAsia="Times New Roman" w:cs="Calibri"/>
                <w:color w:val="000000"/>
                <w:sz w:val="19"/>
                <w:szCs w:val="19"/>
                <w:lang w:eastAsia="sk-SK"/>
              </w:rPr>
            </w:pPr>
            <w:r w:rsidRPr="00666914">
              <w:rPr>
                <w:rFonts w:eastAsia="Times New Roman" w:cs="Calibri"/>
                <w:color w:val="000000"/>
                <w:sz w:val="19"/>
                <w:szCs w:val="19"/>
                <w:lang w:eastAsia="sk-SK"/>
              </w:rPr>
              <w:t>34</w:t>
            </w:r>
            <w:r w:rsidR="00A73097" w:rsidRPr="00666914">
              <w:rPr>
                <w:rFonts w:eastAsia="Times New Roman" w:cs="Calibri"/>
                <w:color w:val="000000"/>
                <w:sz w:val="19"/>
                <w:szCs w:val="19"/>
                <w:lang w:eastAsia="sk-SK"/>
              </w:rPr>
              <w:t xml:space="preserve"> </w:t>
            </w:r>
            <w:r w:rsidRPr="00666914">
              <w:rPr>
                <w:rFonts w:eastAsia="Times New Roman" w:cs="Calibri"/>
                <w:color w:val="000000"/>
                <w:sz w:val="19"/>
                <w:szCs w:val="19"/>
                <w:lang w:eastAsia="sk-SK"/>
              </w:rPr>
              <w:t>770</w:t>
            </w:r>
          </w:p>
        </w:tc>
        <w:tc>
          <w:tcPr>
            <w:tcW w:w="378" w:type="pct"/>
            <w:tcBorders>
              <w:top w:val="nil"/>
              <w:left w:val="nil"/>
              <w:bottom w:val="nil"/>
              <w:right w:val="nil"/>
            </w:tcBorders>
            <w:shd w:val="clear" w:color="auto" w:fill="auto"/>
            <w:noWrap/>
            <w:vAlign w:val="center"/>
            <w:hideMark/>
          </w:tcPr>
          <w:p w14:paraId="6AF4AFEE" w14:textId="74D3D4BB" w:rsidR="00CB16AA" w:rsidRPr="00666914" w:rsidRDefault="00CB16AA" w:rsidP="00985E7A">
            <w:pPr>
              <w:spacing w:after="0"/>
              <w:jc w:val="center"/>
              <w:rPr>
                <w:rFonts w:eastAsia="Times New Roman" w:cs="Calibri"/>
                <w:color w:val="000000"/>
                <w:sz w:val="19"/>
                <w:szCs w:val="19"/>
                <w:lang w:eastAsia="sk-SK"/>
              </w:rPr>
            </w:pPr>
            <w:r w:rsidRPr="00666914">
              <w:rPr>
                <w:rFonts w:eastAsia="Times New Roman" w:cs="Calibri"/>
                <w:color w:val="000000"/>
                <w:sz w:val="19"/>
                <w:szCs w:val="19"/>
                <w:lang w:eastAsia="sk-SK"/>
              </w:rPr>
              <w:t>29</w:t>
            </w:r>
            <w:r w:rsidR="00A73097" w:rsidRPr="00666914">
              <w:rPr>
                <w:rFonts w:eastAsia="Times New Roman" w:cs="Calibri"/>
                <w:color w:val="000000"/>
                <w:sz w:val="19"/>
                <w:szCs w:val="19"/>
                <w:lang w:eastAsia="sk-SK"/>
              </w:rPr>
              <w:t xml:space="preserve"> </w:t>
            </w:r>
            <w:r w:rsidRPr="00666914">
              <w:rPr>
                <w:rFonts w:eastAsia="Times New Roman" w:cs="Calibri"/>
                <w:color w:val="000000"/>
                <w:sz w:val="19"/>
                <w:szCs w:val="19"/>
                <w:lang w:eastAsia="sk-SK"/>
              </w:rPr>
              <w:t>565</w:t>
            </w:r>
          </w:p>
        </w:tc>
        <w:tc>
          <w:tcPr>
            <w:tcW w:w="382" w:type="pct"/>
            <w:tcBorders>
              <w:top w:val="nil"/>
              <w:left w:val="nil"/>
              <w:bottom w:val="nil"/>
              <w:right w:val="nil"/>
            </w:tcBorders>
            <w:shd w:val="clear" w:color="auto" w:fill="auto"/>
            <w:noWrap/>
            <w:vAlign w:val="center"/>
            <w:hideMark/>
          </w:tcPr>
          <w:p w14:paraId="480E33D9" w14:textId="5E9CF22C" w:rsidR="00CB16AA" w:rsidRPr="00666914" w:rsidRDefault="00CB16AA" w:rsidP="00985E7A">
            <w:pPr>
              <w:spacing w:after="0"/>
              <w:jc w:val="center"/>
              <w:rPr>
                <w:rFonts w:eastAsia="Times New Roman" w:cs="Calibri"/>
                <w:color w:val="000000"/>
                <w:sz w:val="19"/>
                <w:szCs w:val="19"/>
                <w:lang w:eastAsia="sk-SK"/>
              </w:rPr>
            </w:pPr>
            <w:r w:rsidRPr="00666914">
              <w:rPr>
                <w:rFonts w:eastAsia="Times New Roman" w:cs="Calibri"/>
                <w:color w:val="000000"/>
                <w:sz w:val="19"/>
                <w:szCs w:val="19"/>
                <w:lang w:eastAsia="sk-SK"/>
              </w:rPr>
              <w:t>30</w:t>
            </w:r>
            <w:r w:rsidR="00A73097" w:rsidRPr="00666914">
              <w:rPr>
                <w:rFonts w:eastAsia="Times New Roman" w:cs="Calibri"/>
                <w:color w:val="000000"/>
                <w:sz w:val="19"/>
                <w:szCs w:val="19"/>
                <w:lang w:eastAsia="sk-SK"/>
              </w:rPr>
              <w:t xml:space="preserve"> </w:t>
            </w:r>
            <w:r w:rsidRPr="00666914">
              <w:rPr>
                <w:rFonts w:eastAsia="Times New Roman" w:cs="Calibri"/>
                <w:color w:val="000000"/>
                <w:sz w:val="19"/>
                <w:szCs w:val="19"/>
                <w:lang w:eastAsia="sk-SK"/>
              </w:rPr>
              <w:t>959</w:t>
            </w:r>
          </w:p>
        </w:tc>
      </w:tr>
      <w:tr w:rsidR="00CB16AA" w:rsidRPr="00666914" w14:paraId="570A23B0" w14:textId="77777777" w:rsidTr="00A73097">
        <w:trPr>
          <w:trHeight w:val="300"/>
        </w:trPr>
        <w:tc>
          <w:tcPr>
            <w:tcW w:w="1110" w:type="pct"/>
            <w:tcBorders>
              <w:top w:val="nil"/>
              <w:left w:val="nil"/>
              <w:bottom w:val="nil"/>
              <w:right w:val="nil"/>
            </w:tcBorders>
            <w:shd w:val="clear" w:color="auto" w:fill="auto"/>
            <w:noWrap/>
            <w:vAlign w:val="center"/>
            <w:hideMark/>
          </w:tcPr>
          <w:p w14:paraId="525749AC" w14:textId="77777777" w:rsidR="00CB16AA" w:rsidRPr="00666914" w:rsidRDefault="00CB16AA" w:rsidP="00985E7A">
            <w:pPr>
              <w:spacing w:after="0"/>
              <w:rPr>
                <w:rFonts w:eastAsia="Times New Roman" w:cs="Calibri"/>
                <w:color w:val="000000"/>
                <w:sz w:val="19"/>
                <w:szCs w:val="19"/>
                <w:lang w:eastAsia="sk-SK"/>
              </w:rPr>
            </w:pPr>
            <w:r w:rsidRPr="00666914">
              <w:rPr>
                <w:rFonts w:eastAsia="Times New Roman" w:cs="Calibri"/>
                <w:color w:val="000000"/>
                <w:sz w:val="19"/>
                <w:szCs w:val="19"/>
                <w:lang w:eastAsia="sk-SK"/>
              </w:rPr>
              <w:t>Stavebná dĺžka koľají (km)</w:t>
            </w:r>
          </w:p>
        </w:tc>
        <w:tc>
          <w:tcPr>
            <w:tcW w:w="400" w:type="pct"/>
            <w:tcBorders>
              <w:top w:val="nil"/>
              <w:left w:val="nil"/>
              <w:bottom w:val="nil"/>
              <w:right w:val="nil"/>
            </w:tcBorders>
            <w:shd w:val="clear" w:color="auto" w:fill="auto"/>
            <w:noWrap/>
            <w:vAlign w:val="center"/>
            <w:hideMark/>
          </w:tcPr>
          <w:p w14:paraId="79B2355B" w14:textId="610D4744" w:rsidR="00CB16AA" w:rsidRPr="00666914" w:rsidRDefault="00CB16AA" w:rsidP="00985E7A">
            <w:pPr>
              <w:spacing w:after="0"/>
              <w:jc w:val="center"/>
              <w:rPr>
                <w:rFonts w:eastAsia="Times New Roman" w:cs="Calibri"/>
                <w:color w:val="000000"/>
                <w:sz w:val="19"/>
                <w:szCs w:val="19"/>
                <w:lang w:eastAsia="sk-SK"/>
              </w:rPr>
            </w:pPr>
            <w:r w:rsidRPr="00666914">
              <w:rPr>
                <w:rFonts w:eastAsia="Times New Roman" w:cs="Calibri"/>
                <w:color w:val="000000"/>
                <w:sz w:val="19"/>
                <w:szCs w:val="19"/>
                <w:lang w:eastAsia="sk-SK"/>
              </w:rPr>
              <w:t>6</w:t>
            </w:r>
            <w:r w:rsidR="0005323B" w:rsidRPr="00666914">
              <w:rPr>
                <w:rFonts w:eastAsia="Times New Roman" w:cs="Calibri"/>
                <w:color w:val="000000"/>
                <w:sz w:val="19"/>
                <w:szCs w:val="19"/>
                <w:lang w:eastAsia="sk-SK"/>
              </w:rPr>
              <w:t xml:space="preserve"> </w:t>
            </w:r>
            <w:r w:rsidRPr="00666914">
              <w:rPr>
                <w:rFonts w:eastAsia="Times New Roman" w:cs="Calibri"/>
                <w:color w:val="000000"/>
                <w:sz w:val="19"/>
                <w:szCs w:val="19"/>
                <w:lang w:eastAsia="sk-SK"/>
              </w:rPr>
              <w:t>869</w:t>
            </w:r>
          </w:p>
        </w:tc>
        <w:tc>
          <w:tcPr>
            <w:tcW w:w="340" w:type="pct"/>
            <w:tcBorders>
              <w:top w:val="nil"/>
              <w:left w:val="nil"/>
              <w:bottom w:val="nil"/>
              <w:right w:val="nil"/>
            </w:tcBorders>
            <w:shd w:val="clear" w:color="auto" w:fill="auto"/>
            <w:noWrap/>
            <w:vAlign w:val="center"/>
            <w:hideMark/>
          </w:tcPr>
          <w:p w14:paraId="44B5D726" w14:textId="2563758B" w:rsidR="00CB16AA" w:rsidRPr="00666914" w:rsidRDefault="00CB16AA" w:rsidP="00985E7A">
            <w:pPr>
              <w:spacing w:after="0"/>
              <w:jc w:val="center"/>
              <w:rPr>
                <w:rFonts w:eastAsia="Times New Roman" w:cs="Calibri"/>
                <w:color w:val="000000"/>
                <w:sz w:val="19"/>
                <w:szCs w:val="19"/>
                <w:lang w:eastAsia="sk-SK"/>
              </w:rPr>
            </w:pPr>
            <w:r w:rsidRPr="00666914">
              <w:rPr>
                <w:rFonts w:eastAsia="Times New Roman" w:cs="Calibri"/>
                <w:color w:val="000000"/>
                <w:sz w:val="19"/>
                <w:szCs w:val="19"/>
                <w:lang w:eastAsia="sk-SK"/>
              </w:rPr>
              <w:t>6</w:t>
            </w:r>
            <w:r w:rsidR="0005323B" w:rsidRPr="00666914">
              <w:rPr>
                <w:rFonts w:eastAsia="Times New Roman" w:cs="Calibri"/>
                <w:color w:val="000000"/>
                <w:sz w:val="19"/>
                <w:szCs w:val="19"/>
                <w:lang w:eastAsia="sk-SK"/>
              </w:rPr>
              <w:t xml:space="preserve"> </w:t>
            </w:r>
            <w:r w:rsidRPr="00666914">
              <w:rPr>
                <w:rFonts w:eastAsia="Times New Roman" w:cs="Calibri"/>
                <w:color w:val="000000"/>
                <w:sz w:val="19"/>
                <w:szCs w:val="19"/>
                <w:lang w:eastAsia="sk-SK"/>
              </w:rPr>
              <w:t>869</w:t>
            </w:r>
          </w:p>
        </w:tc>
        <w:tc>
          <w:tcPr>
            <w:tcW w:w="340" w:type="pct"/>
            <w:tcBorders>
              <w:top w:val="nil"/>
              <w:left w:val="nil"/>
              <w:bottom w:val="nil"/>
              <w:right w:val="nil"/>
            </w:tcBorders>
            <w:shd w:val="clear" w:color="auto" w:fill="auto"/>
            <w:noWrap/>
            <w:vAlign w:val="center"/>
            <w:hideMark/>
          </w:tcPr>
          <w:p w14:paraId="0F0BA6A6" w14:textId="26E26594" w:rsidR="00CB16AA" w:rsidRPr="00666914" w:rsidRDefault="00CB16AA" w:rsidP="00985E7A">
            <w:pPr>
              <w:spacing w:after="0"/>
              <w:jc w:val="center"/>
              <w:rPr>
                <w:rFonts w:eastAsia="Times New Roman" w:cs="Calibri"/>
                <w:color w:val="000000"/>
                <w:sz w:val="19"/>
                <w:szCs w:val="19"/>
                <w:lang w:eastAsia="sk-SK"/>
              </w:rPr>
            </w:pPr>
            <w:r w:rsidRPr="00666914">
              <w:rPr>
                <w:rFonts w:eastAsia="Times New Roman" w:cs="Calibri"/>
                <w:color w:val="000000"/>
                <w:sz w:val="19"/>
                <w:szCs w:val="19"/>
                <w:lang w:eastAsia="sk-SK"/>
              </w:rPr>
              <w:t>6</w:t>
            </w:r>
            <w:r w:rsidR="0005323B" w:rsidRPr="00666914">
              <w:rPr>
                <w:rFonts w:eastAsia="Times New Roman" w:cs="Calibri"/>
                <w:color w:val="000000"/>
                <w:sz w:val="19"/>
                <w:szCs w:val="19"/>
                <w:lang w:eastAsia="sk-SK"/>
              </w:rPr>
              <w:t xml:space="preserve"> </w:t>
            </w:r>
            <w:r w:rsidRPr="00666914">
              <w:rPr>
                <w:rFonts w:eastAsia="Times New Roman" w:cs="Calibri"/>
                <w:color w:val="000000"/>
                <w:sz w:val="19"/>
                <w:szCs w:val="19"/>
                <w:lang w:eastAsia="sk-SK"/>
              </w:rPr>
              <w:t>868</w:t>
            </w:r>
          </w:p>
        </w:tc>
        <w:tc>
          <w:tcPr>
            <w:tcW w:w="340" w:type="pct"/>
            <w:tcBorders>
              <w:top w:val="nil"/>
              <w:left w:val="nil"/>
              <w:bottom w:val="nil"/>
              <w:right w:val="nil"/>
            </w:tcBorders>
            <w:shd w:val="clear" w:color="auto" w:fill="auto"/>
            <w:noWrap/>
            <w:vAlign w:val="center"/>
            <w:hideMark/>
          </w:tcPr>
          <w:p w14:paraId="4D04D99D" w14:textId="17FC9876" w:rsidR="00CB16AA" w:rsidRPr="00666914" w:rsidRDefault="00CB16AA" w:rsidP="00985E7A">
            <w:pPr>
              <w:spacing w:after="0"/>
              <w:jc w:val="center"/>
              <w:rPr>
                <w:rFonts w:eastAsia="Times New Roman" w:cs="Calibri"/>
                <w:color w:val="000000"/>
                <w:sz w:val="19"/>
                <w:szCs w:val="19"/>
                <w:lang w:eastAsia="sk-SK"/>
              </w:rPr>
            </w:pPr>
            <w:r w:rsidRPr="00666914">
              <w:rPr>
                <w:rFonts w:eastAsia="Times New Roman" w:cs="Calibri"/>
                <w:color w:val="000000"/>
                <w:sz w:val="19"/>
                <w:szCs w:val="19"/>
                <w:lang w:eastAsia="sk-SK"/>
              </w:rPr>
              <w:t>6</w:t>
            </w:r>
            <w:r w:rsidR="0005323B" w:rsidRPr="00666914">
              <w:rPr>
                <w:rFonts w:eastAsia="Times New Roman" w:cs="Calibri"/>
                <w:color w:val="000000"/>
                <w:sz w:val="19"/>
                <w:szCs w:val="19"/>
                <w:lang w:eastAsia="sk-SK"/>
              </w:rPr>
              <w:t xml:space="preserve"> </w:t>
            </w:r>
            <w:r w:rsidRPr="00666914">
              <w:rPr>
                <w:rFonts w:eastAsia="Times New Roman" w:cs="Calibri"/>
                <w:color w:val="000000"/>
                <w:sz w:val="19"/>
                <w:szCs w:val="19"/>
                <w:lang w:eastAsia="sk-SK"/>
              </w:rPr>
              <w:t>867</w:t>
            </w:r>
          </w:p>
        </w:tc>
        <w:tc>
          <w:tcPr>
            <w:tcW w:w="340" w:type="pct"/>
            <w:tcBorders>
              <w:top w:val="nil"/>
              <w:left w:val="nil"/>
              <w:bottom w:val="nil"/>
              <w:right w:val="nil"/>
            </w:tcBorders>
            <w:shd w:val="clear" w:color="auto" w:fill="auto"/>
            <w:noWrap/>
            <w:vAlign w:val="center"/>
            <w:hideMark/>
          </w:tcPr>
          <w:p w14:paraId="4E1D356D" w14:textId="40E542F5" w:rsidR="00CB16AA" w:rsidRPr="00666914" w:rsidRDefault="00CB16AA" w:rsidP="00985E7A">
            <w:pPr>
              <w:spacing w:after="0"/>
              <w:jc w:val="center"/>
              <w:rPr>
                <w:rFonts w:eastAsia="Times New Roman" w:cs="Calibri"/>
                <w:color w:val="000000"/>
                <w:sz w:val="19"/>
                <w:szCs w:val="19"/>
                <w:lang w:eastAsia="sk-SK"/>
              </w:rPr>
            </w:pPr>
            <w:r w:rsidRPr="00666914">
              <w:rPr>
                <w:rFonts w:eastAsia="Times New Roman" w:cs="Calibri"/>
                <w:color w:val="000000"/>
                <w:sz w:val="19"/>
                <w:szCs w:val="19"/>
                <w:lang w:eastAsia="sk-SK"/>
              </w:rPr>
              <w:t>6</w:t>
            </w:r>
            <w:r w:rsidR="0005323B" w:rsidRPr="00666914">
              <w:rPr>
                <w:rFonts w:eastAsia="Times New Roman" w:cs="Calibri"/>
                <w:color w:val="000000"/>
                <w:sz w:val="19"/>
                <w:szCs w:val="19"/>
                <w:lang w:eastAsia="sk-SK"/>
              </w:rPr>
              <w:t xml:space="preserve"> </w:t>
            </w:r>
            <w:r w:rsidRPr="00666914">
              <w:rPr>
                <w:rFonts w:eastAsia="Times New Roman" w:cs="Calibri"/>
                <w:color w:val="000000"/>
                <w:sz w:val="19"/>
                <w:szCs w:val="19"/>
                <w:lang w:eastAsia="sk-SK"/>
              </w:rPr>
              <w:t>868</w:t>
            </w:r>
          </w:p>
        </w:tc>
        <w:tc>
          <w:tcPr>
            <w:tcW w:w="340" w:type="pct"/>
            <w:tcBorders>
              <w:top w:val="nil"/>
              <w:left w:val="nil"/>
              <w:bottom w:val="nil"/>
              <w:right w:val="nil"/>
            </w:tcBorders>
            <w:shd w:val="clear" w:color="auto" w:fill="auto"/>
            <w:noWrap/>
            <w:vAlign w:val="center"/>
            <w:hideMark/>
          </w:tcPr>
          <w:p w14:paraId="519764D2" w14:textId="3E9865AA" w:rsidR="00CB16AA" w:rsidRPr="00666914" w:rsidRDefault="00CB16AA" w:rsidP="00985E7A">
            <w:pPr>
              <w:spacing w:after="0"/>
              <w:jc w:val="center"/>
              <w:rPr>
                <w:rFonts w:eastAsia="Times New Roman" w:cs="Calibri"/>
                <w:color w:val="000000"/>
                <w:sz w:val="19"/>
                <w:szCs w:val="19"/>
                <w:lang w:eastAsia="sk-SK"/>
              </w:rPr>
            </w:pPr>
            <w:r w:rsidRPr="00666914">
              <w:rPr>
                <w:rFonts w:eastAsia="Times New Roman" w:cs="Calibri"/>
                <w:color w:val="000000"/>
                <w:sz w:val="19"/>
                <w:szCs w:val="19"/>
                <w:lang w:eastAsia="sk-SK"/>
              </w:rPr>
              <w:t>6</w:t>
            </w:r>
            <w:r w:rsidR="0005323B" w:rsidRPr="00666914">
              <w:rPr>
                <w:rFonts w:eastAsia="Times New Roman" w:cs="Calibri"/>
                <w:color w:val="000000"/>
                <w:sz w:val="19"/>
                <w:szCs w:val="19"/>
                <w:lang w:eastAsia="sk-SK"/>
              </w:rPr>
              <w:t xml:space="preserve"> </w:t>
            </w:r>
            <w:r w:rsidRPr="00666914">
              <w:rPr>
                <w:rFonts w:eastAsia="Times New Roman" w:cs="Calibri"/>
                <w:color w:val="000000"/>
                <w:sz w:val="19"/>
                <w:szCs w:val="19"/>
                <w:lang w:eastAsia="sk-SK"/>
              </w:rPr>
              <w:t>866</w:t>
            </w:r>
          </w:p>
        </w:tc>
        <w:tc>
          <w:tcPr>
            <w:tcW w:w="350" w:type="pct"/>
            <w:tcBorders>
              <w:top w:val="nil"/>
              <w:left w:val="nil"/>
              <w:bottom w:val="nil"/>
              <w:right w:val="nil"/>
            </w:tcBorders>
            <w:shd w:val="clear" w:color="auto" w:fill="auto"/>
            <w:noWrap/>
            <w:vAlign w:val="center"/>
            <w:hideMark/>
          </w:tcPr>
          <w:p w14:paraId="3803BE68" w14:textId="2E5B8841" w:rsidR="00CB16AA" w:rsidRPr="00666914" w:rsidRDefault="00CB16AA" w:rsidP="00985E7A">
            <w:pPr>
              <w:spacing w:after="0"/>
              <w:jc w:val="center"/>
              <w:rPr>
                <w:rFonts w:eastAsia="Times New Roman" w:cs="Calibri"/>
                <w:color w:val="000000"/>
                <w:sz w:val="19"/>
                <w:szCs w:val="19"/>
                <w:lang w:eastAsia="sk-SK"/>
              </w:rPr>
            </w:pPr>
            <w:r w:rsidRPr="00666914">
              <w:rPr>
                <w:rFonts w:eastAsia="Times New Roman" w:cs="Calibri"/>
                <w:color w:val="000000"/>
                <w:sz w:val="19"/>
                <w:szCs w:val="19"/>
                <w:lang w:eastAsia="sk-SK"/>
              </w:rPr>
              <w:t>6</w:t>
            </w:r>
            <w:r w:rsidR="0005323B" w:rsidRPr="00666914">
              <w:rPr>
                <w:rFonts w:eastAsia="Times New Roman" w:cs="Calibri"/>
                <w:color w:val="000000"/>
                <w:sz w:val="19"/>
                <w:szCs w:val="19"/>
                <w:lang w:eastAsia="sk-SK"/>
              </w:rPr>
              <w:t xml:space="preserve"> </w:t>
            </w:r>
            <w:r w:rsidRPr="00666914">
              <w:rPr>
                <w:rFonts w:eastAsia="Times New Roman" w:cs="Calibri"/>
                <w:color w:val="000000"/>
                <w:sz w:val="19"/>
                <w:szCs w:val="19"/>
                <w:lang w:eastAsia="sk-SK"/>
              </w:rPr>
              <w:t>865</w:t>
            </w:r>
          </w:p>
        </w:tc>
        <w:tc>
          <w:tcPr>
            <w:tcW w:w="340" w:type="pct"/>
            <w:tcBorders>
              <w:top w:val="nil"/>
              <w:left w:val="nil"/>
              <w:bottom w:val="nil"/>
              <w:right w:val="nil"/>
            </w:tcBorders>
            <w:shd w:val="clear" w:color="auto" w:fill="auto"/>
            <w:noWrap/>
            <w:vAlign w:val="center"/>
            <w:hideMark/>
          </w:tcPr>
          <w:p w14:paraId="02AC67C3" w14:textId="76CCADC1" w:rsidR="00CB16AA" w:rsidRPr="00666914" w:rsidRDefault="00CB16AA" w:rsidP="00985E7A">
            <w:pPr>
              <w:spacing w:after="0"/>
              <w:jc w:val="center"/>
              <w:rPr>
                <w:rFonts w:eastAsia="Times New Roman" w:cs="Calibri"/>
                <w:color w:val="000000"/>
                <w:sz w:val="19"/>
                <w:szCs w:val="19"/>
                <w:lang w:eastAsia="sk-SK"/>
              </w:rPr>
            </w:pPr>
            <w:r w:rsidRPr="00666914">
              <w:rPr>
                <w:rFonts w:eastAsia="Times New Roman" w:cs="Calibri"/>
                <w:color w:val="000000"/>
                <w:sz w:val="19"/>
                <w:szCs w:val="19"/>
                <w:lang w:eastAsia="sk-SK"/>
              </w:rPr>
              <w:t>6</w:t>
            </w:r>
            <w:r w:rsidR="0005323B" w:rsidRPr="00666914">
              <w:rPr>
                <w:rFonts w:eastAsia="Times New Roman" w:cs="Calibri"/>
                <w:color w:val="000000"/>
                <w:sz w:val="19"/>
                <w:szCs w:val="19"/>
                <w:lang w:eastAsia="sk-SK"/>
              </w:rPr>
              <w:t xml:space="preserve"> </w:t>
            </w:r>
            <w:r w:rsidRPr="00666914">
              <w:rPr>
                <w:rFonts w:eastAsia="Times New Roman" w:cs="Calibri"/>
                <w:color w:val="000000"/>
                <w:sz w:val="19"/>
                <w:szCs w:val="19"/>
                <w:lang w:eastAsia="sk-SK"/>
              </w:rPr>
              <w:t>871</w:t>
            </w:r>
          </w:p>
        </w:tc>
        <w:tc>
          <w:tcPr>
            <w:tcW w:w="340" w:type="pct"/>
            <w:tcBorders>
              <w:top w:val="nil"/>
              <w:left w:val="nil"/>
              <w:bottom w:val="nil"/>
              <w:right w:val="nil"/>
            </w:tcBorders>
            <w:shd w:val="clear" w:color="auto" w:fill="auto"/>
            <w:noWrap/>
            <w:vAlign w:val="center"/>
            <w:hideMark/>
          </w:tcPr>
          <w:p w14:paraId="2B155E5C" w14:textId="15BEB7D4" w:rsidR="00CB16AA" w:rsidRPr="00666914" w:rsidRDefault="00CB16AA" w:rsidP="00985E7A">
            <w:pPr>
              <w:spacing w:after="0"/>
              <w:jc w:val="center"/>
              <w:rPr>
                <w:rFonts w:eastAsia="Times New Roman" w:cs="Calibri"/>
                <w:color w:val="000000"/>
                <w:sz w:val="19"/>
                <w:szCs w:val="19"/>
                <w:lang w:eastAsia="sk-SK"/>
              </w:rPr>
            </w:pPr>
            <w:r w:rsidRPr="00666914">
              <w:rPr>
                <w:rFonts w:eastAsia="Times New Roman" w:cs="Calibri"/>
                <w:color w:val="000000"/>
                <w:sz w:val="19"/>
                <w:szCs w:val="19"/>
                <w:lang w:eastAsia="sk-SK"/>
              </w:rPr>
              <w:t>6</w:t>
            </w:r>
            <w:r w:rsidR="0005323B" w:rsidRPr="00666914">
              <w:rPr>
                <w:rFonts w:eastAsia="Times New Roman" w:cs="Calibri"/>
                <w:color w:val="000000"/>
                <w:sz w:val="19"/>
                <w:szCs w:val="19"/>
                <w:lang w:eastAsia="sk-SK"/>
              </w:rPr>
              <w:t xml:space="preserve"> </w:t>
            </w:r>
            <w:r w:rsidRPr="00666914">
              <w:rPr>
                <w:rFonts w:eastAsia="Times New Roman" w:cs="Calibri"/>
                <w:color w:val="000000"/>
                <w:sz w:val="19"/>
                <w:szCs w:val="19"/>
                <w:lang w:eastAsia="sk-SK"/>
              </w:rPr>
              <w:t>872</w:t>
            </w:r>
          </w:p>
        </w:tc>
        <w:tc>
          <w:tcPr>
            <w:tcW w:w="378" w:type="pct"/>
            <w:tcBorders>
              <w:top w:val="nil"/>
              <w:left w:val="nil"/>
              <w:bottom w:val="nil"/>
              <w:right w:val="nil"/>
            </w:tcBorders>
            <w:shd w:val="clear" w:color="auto" w:fill="auto"/>
            <w:noWrap/>
            <w:vAlign w:val="center"/>
            <w:hideMark/>
          </w:tcPr>
          <w:p w14:paraId="6DD1C3F1" w14:textId="432F48DC" w:rsidR="00CB16AA" w:rsidRPr="00666914" w:rsidRDefault="00CB16AA" w:rsidP="00985E7A">
            <w:pPr>
              <w:spacing w:after="0"/>
              <w:jc w:val="center"/>
              <w:rPr>
                <w:rFonts w:eastAsia="Times New Roman" w:cs="Calibri"/>
                <w:color w:val="000000"/>
                <w:sz w:val="19"/>
                <w:szCs w:val="19"/>
                <w:lang w:eastAsia="sk-SK"/>
              </w:rPr>
            </w:pPr>
            <w:r w:rsidRPr="00666914">
              <w:rPr>
                <w:rFonts w:eastAsia="Times New Roman" w:cs="Calibri"/>
                <w:color w:val="000000"/>
                <w:sz w:val="19"/>
                <w:szCs w:val="19"/>
                <w:lang w:eastAsia="sk-SK"/>
              </w:rPr>
              <w:t>6</w:t>
            </w:r>
            <w:r w:rsidR="0005323B" w:rsidRPr="00666914">
              <w:rPr>
                <w:rFonts w:eastAsia="Times New Roman" w:cs="Calibri"/>
                <w:color w:val="000000"/>
                <w:sz w:val="19"/>
                <w:szCs w:val="19"/>
                <w:lang w:eastAsia="sk-SK"/>
              </w:rPr>
              <w:t xml:space="preserve"> </w:t>
            </w:r>
            <w:r w:rsidRPr="00666914">
              <w:rPr>
                <w:rFonts w:eastAsia="Times New Roman" w:cs="Calibri"/>
                <w:color w:val="000000"/>
                <w:sz w:val="19"/>
                <w:szCs w:val="19"/>
                <w:lang w:eastAsia="sk-SK"/>
              </w:rPr>
              <w:t>872</w:t>
            </w:r>
          </w:p>
        </w:tc>
        <w:tc>
          <w:tcPr>
            <w:tcW w:w="382" w:type="pct"/>
            <w:tcBorders>
              <w:top w:val="nil"/>
              <w:left w:val="nil"/>
              <w:bottom w:val="nil"/>
              <w:right w:val="nil"/>
            </w:tcBorders>
            <w:shd w:val="clear" w:color="auto" w:fill="auto"/>
            <w:noWrap/>
            <w:vAlign w:val="center"/>
            <w:hideMark/>
          </w:tcPr>
          <w:p w14:paraId="2356E133" w14:textId="0B193F04" w:rsidR="00CB16AA" w:rsidRPr="00666914" w:rsidRDefault="00CB16AA" w:rsidP="00985E7A">
            <w:pPr>
              <w:spacing w:after="0"/>
              <w:jc w:val="center"/>
              <w:rPr>
                <w:rFonts w:eastAsia="Times New Roman" w:cs="Calibri"/>
                <w:color w:val="000000"/>
                <w:sz w:val="19"/>
                <w:szCs w:val="19"/>
                <w:lang w:eastAsia="sk-SK"/>
              </w:rPr>
            </w:pPr>
            <w:r w:rsidRPr="00666914">
              <w:rPr>
                <w:rFonts w:eastAsia="Times New Roman" w:cs="Calibri"/>
                <w:color w:val="000000"/>
                <w:sz w:val="19"/>
                <w:szCs w:val="19"/>
                <w:lang w:eastAsia="sk-SK"/>
              </w:rPr>
              <w:t>6</w:t>
            </w:r>
            <w:r w:rsidR="0005323B" w:rsidRPr="00666914">
              <w:rPr>
                <w:rFonts w:eastAsia="Times New Roman" w:cs="Calibri"/>
                <w:color w:val="000000"/>
                <w:sz w:val="19"/>
                <w:szCs w:val="19"/>
                <w:lang w:eastAsia="sk-SK"/>
              </w:rPr>
              <w:t xml:space="preserve"> </w:t>
            </w:r>
            <w:r w:rsidRPr="00666914">
              <w:rPr>
                <w:rFonts w:eastAsia="Times New Roman" w:cs="Calibri"/>
                <w:color w:val="000000"/>
                <w:sz w:val="19"/>
                <w:szCs w:val="19"/>
                <w:lang w:eastAsia="sk-SK"/>
              </w:rPr>
              <w:t>872</w:t>
            </w:r>
          </w:p>
        </w:tc>
      </w:tr>
      <w:tr w:rsidR="00CB16AA" w:rsidRPr="00666914" w14:paraId="6CF02E37" w14:textId="77777777" w:rsidTr="00A73097">
        <w:trPr>
          <w:trHeight w:val="510"/>
        </w:trPr>
        <w:tc>
          <w:tcPr>
            <w:tcW w:w="1110" w:type="pct"/>
            <w:tcBorders>
              <w:top w:val="nil"/>
              <w:left w:val="nil"/>
              <w:bottom w:val="single" w:sz="4" w:space="0" w:color="auto"/>
              <w:right w:val="nil"/>
            </w:tcBorders>
            <w:shd w:val="clear" w:color="auto" w:fill="auto"/>
            <w:vAlign w:val="center"/>
            <w:hideMark/>
          </w:tcPr>
          <w:p w14:paraId="3B07FFB0" w14:textId="77777777" w:rsidR="00CB16AA" w:rsidRPr="00666914" w:rsidRDefault="00CB16AA" w:rsidP="00985E7A">
            <w:pPr>
              <w:spacing w:after="0"/>
              <w:rPr>
                <w:rFonts w:eastAsia="Times New Roman" w:cs="Calibri"/>
                <w:color w:val="000000"/>
                <w:sz w:val="19"/>
                <w:szCs w:val="19"/>
                <w:lang w:eastAsia="sk-SK"/>
              </w:rPr>
            </w:pPr>
            <w:r w:rsidRPr="00666914">
              <w:rPr>
                <w:rFonts w:eastAsia="Times New Roman" w:cs="Calibri"/>
                <w:color w:val="000000"/>
                <w:sz w:val="19"/>
                <w:szCs w:val="19"/>
                <w:lang w:eastAsia="sk-SK"/>
              </w:rPr>
              <w:t>Výdavky na údržbu 1 km koľají (tis. eur/km)</w:t>
            </w:r>
          </w:p>
        </w:tc>
        <w:tc>
          <w:tcPr>
            <w:tcW w:w="400" w:type="pct"/>
            <w:tcBorders>
              <w:top w:val="nil"/>
              <w:left w:val="nil"/>
              <w:bottom w:val="single" w:sz="4" w:space="0" w:color="auto"/>
              <w:right w:val="nil"/>
            </w:tcBorders>
            <w:shd w:val="clear" w:color="auto" w:fill="auto"/>
            <w:noWrap/>
            <w:vAlign w:val="center"/>
            <w:hideMark/>
          </w:tcPr>
          <w:p w14:paraId="3CE8DA3B" w14:textId="77777777" w:rsidR="00CB16AA" w:rsidRPr="00666914" w:rsidRDefault="00CB16AA" w:rsidP="00985E7A">
            <w:pPr>
              <w:spacing w:after="0"/>
              <w:jc w:val="center"/>
              <w:rPr>
                <w:rFonts w:eastAsia="Times New Roman" w:cs="Calibri"/>
                <w:color w:val="000000"/>
                <w:sz w:val="19"/>
                <w:szCs w:val="19"/>
                <w:lang w:eastAsia="sk-SK"/>
              </w:rPr>
            </w:pPr>
            <w:r w:rsidRPr="00666914">
              <w:rPr>
                <w:rFonts w:eastAsia="Times New Roman" w:cs="Calibri"/>
                <w:color w:val="000000"/>
                <w:sz w:val="19"/>
                <w:szCs w:val="19"/>
                <w:lang w:eastAsia="sk-SK"/>
              </w:rPr>
              <w:t>4,44</w:t>
            </w:r>
          </w:p>
        </w:tc>
        <w:tc>
          <w:tcPr>
            <w:tcW w:w="340" w:type="pct"/>
            <w:tcBorders>
              <w:top w:val="nil"/>
              <w:left w:val="nil"/>
              <w:bottom w:val="single" w:sz="4" w:space="0" w:color="auto"/>
              <w:right w:val="nil"/>
            </w:tcBorders>
            <w:shd w:val="clear" w:color="auto" w:fill="auto"/>
            <w:noWrap/>
            <w:vAlign w:val="center"/>
            <w:hideMark/>
          </w:tcPr>
          <w:p w14:paraId="4C08D45D" w14:textId="77777777" w:rsidR="00CB16AA" w:rsidRPr="00666914" w:rsidRDefault="00CB16AA" w:rsidP="00985E7A">
            <w:pPr>
              <w:spacing w:after="0"/>
              <w:jc w:val="center"/>
              <w:rPr>
                <w:rFonts w:eastAsia="Times New Roman" w:cs="Calibri"/>
                <w:color w:val="000000"/>
                <w:sz w:val="19"/>
                <w:szCs w:val="19"/>
                <w:lang w:eastAsia="sk-SK"/>
              </w:rPr>
            </w:pPr>
            <w:r w:rsidRPr="00666914">
              <w:rPr>
                <w:rFonts w:eastAsia="Times New Roman" w:cs="Calibri"/>
                <w:color w:val="000000"/>
                <w:sz w:val="19"/>
                <w:szCs w:val="19"/>
                <w:lang w:eastAsia="sk-SK"/>
              </w:rPr>
              <w:t>4,25</w:t>
            </w:r>
          </w:p>
        </w:tc>
        <w:tc>
          <w:tcPr>
            <w:tcW w:w="340" w:type="pct"/>
            <w:tcBorders>
              <w:top w:val="nil"/>
              <w:left w:val="nil"/>
              <w:bottom w:val="single" w:sz="4" w:space="0" w:color="auto"/>
              <w:right w:val="nil"/>
            </w:tcBorders>
            <w:shd w:val="clear" w:color="auto" w:fill="auto"/>
            <w:noWrap/>
            <w:vAlign w:val="center"/>
            <w:hideMark/>
          </w:tcPr>
          <w:p w14:paraId="09C7BFD7" w14:textId="77777777" w:rsidR="00CB16AA" w:rsidRPr="00666914" w:rsidRDefault="00CB16AA" w:rsidP="00985E7A">
            <w:pPr>
              <w:spacing w:after="0"/>
              <w:jc w:val="center"/>
              <w:rPr>
                <w:rFonts w:eastAsia="Times New Roman" w:cs="Calibri"/>
                <w:color w:val="000000"/>
                <w:sz w:val="19"/>
                <w:szCs w:val="19"/>
                <w:lang w:eastAsia="sk-SK"/>
              </w:rPr>
            </w:pPr>
            <w:r w:rsidRPr="00666914">
              <w:rPr>
                <w:rFonts w:eastAsia="Times New Roman" w:cs="Calibri"/>
                <w:color w:val="000000"/>
                <w:sz w:val="19"/>
                <w:szCs w:val="19"/>
                <w:lang w:eastAsia="sk-SK"/>
              </w:rPr>
              <w:t>5,61</w:t>
            </w:r>
          </w:p>
        </w:tc>
        <w:tc>
          <w:tcPr>
            <w:tcW w:w="340" w:type="pct"/>
            <w:tcBorders>
              <w:top w:val="nil"/>
              <w:left w:val="nil"/>
              <w:bottom w:val="single" w:sz="4" w:space="0" w:color="auto"/>
              <w:right w:val="nil"/>
            </w:tcBorders>
            <w:shd w:val="clear" w:color="auto" w:fill="auto"/>
            <w:noWrap/>
            <w:vAlign w:val="center"/>
            <w:hideMark/>
          </w:tcPr>
          <w:p w14:paraId="4F175C98" w14:textId="77777777" w:rsidR="00CB16AA" w:rsidRPr="00666914" w:rsidRDefault="00CB16AA" w:rsidP="00985E7A">
            <w:pPr>
              <w:spacing w:after="0"/>
              <w:jc w:val="center"/>
              <w:rPr>
                <w:rFonts w:eastAsia="Times New Roman" w:cs="Calibri"/>
                <w:color w:val="000000"/>
                <w:sz w:val="19"/>
                <w:szCs w:val="19"/>
                <w:lang w:eastAsia="sk-SK"/>
              </w:rPr>
            </w:pPr>
            <w:r w:rsidRPr="00666914">
              <w:rPr>
                <w:rFonts w:eastAsia="Times New Roman" w:cs="Calibri"/>
                <w:color w:val="000000"/>
                <w:sz w:val="19"/>
                <w:szCs w:val="19"/>
                <w:lang w:eastAsia="sk-SK"/>
              </w:rPr>
              <w:t>3,74</w:t>
            </w:r>
          </w:p>
        </w:tc>
        <w:tc>
          <w:tcPr>
            <w:tcW w:w="340" w:type="pct"/>
            <w:tcBorders>
              <w:top w:val="nil"/>
              <w:left w:val="nil"/>
              <w:bottom w:val="single" w:sz="4" w:space="0" w:color="auto"/>
              <w:right w:val="nil"/>
            </w:tcBorders>
            <w:shd w:val="clear" w:color="auto" w:fill="auto"/>
            <w:noWrap/>
            <w:vAlign w:val="center"/>
            <w:hideMark/>
          </w:tcPr>
          <w:p w14:paraId="4E48039E" w14:textId="77777777" w:rsidR="00CB16AA" w:rsidRPr="00666914" w:rsidRDefault="00CB16AA" w:rsidP="00985E7A">
            <w:pPr>
              <w:spacing w:after="0"/>
              <w:jc w:val="center"/>
              <w:rPr>
                <w:rFonts w:eastAsia="Times New Roman" w:cs="Calibri"/>
                <w:color w:val="000000"/>
                <w:sz w:val="19"/>
                <w:szCs w:val="19"/>
                <w:lang w:eastAsia="sk-SK"/>
              </w:rPr>
            </w:pPr>
            <w:r w:rsidRPr="00666914">
              <w:rPr>
                <w:rFonts w:eastAsia="Times New Roman" w:cs="Calibri"/>
                <w:color w:val="000000"/>
                <w:sz w:val="19"/>
                <w:szCs w:val="19"/>
                <w:lang w:eastAsia="sk-SK"/>
              </w:rPr>
              <w:t>5,46</w:t>
            </w:r>
          </w:p>
        </w:tc>
        <w:tc>
          <w:tcPr>
            <w:tcW w:w="340" w:type="pct"/>
            <w:tcBorders>
              <w:top w:val="nil"/>
              <w:left w:val="nil"/>
              <w:bottom w:val="single" w:sz="4" w:space="0" w:color="auto"/>
              <w:right w:val="nil"/>
            </w:tcBorders>
            <w:shd w:val="clear" w:color="auto" w:fill="auto"/>
            <w:noWrap/>
            <w:vAlign w:val="center"/>
            <w:hideMark/>
          </w:tcPr>
          <w:p w14:paraId="3BBF9A6B" w14:textId="77777777" w:rsidR="00CB16AA" w:rsidRPr="00666914" w:rsidRDefault="00CB16AA" w:rsidP="00985E7A">
            <w:pPr>
              <w:spacing w:after="0"/>
              <w:jc w:val="center"/>
              <w:rPr>
                <w:rFonts w:eastAsia="Times New Roman" w:cs="Calibri"/>
                <w:color w:val="000000"/>
                <w:sz w:val="19"/>
                <w:szCs w:val="19"/>
                <w:lang w:eastAsia="sk-SK"/>
              </w:rPr>
            </w:pPr>
            <w:r w:rsidRPr="00666914">
              <w:rPr>
                <w:rFonts w:eastAsia="Times New Roman" w:cs="Calibri"/>
                <w:color w:val="000000"/>
                <w:sz w:val="19"/>
                <w:szCs w:val="19"/>
                <w:lang w:eastAsia="sk-SK"/>
              </w:rPr>
              <w:t>4,93</w:t>
            </w:r>
          </w:p>
        </w:tc>
        <w:tc>
          <w:tcPr>
            <w:tcW w:w="350" w:type="pct"/>
            <w:tcBorders>
              <w:top w:val="nil"/>
              <w:left w:val="nil"/>
              <w:bottom w:val="single" w:sz="4" w:space="0" w:color="auto"/>
              <w:right w:val="nil"/>
            </w:tcBorders>
            <w:shd w:val="clear" w:color="auto" w:fill="auto"/>
            <w:noWrap/>
            <w:vAlign w:val="center"/>
            <w:hideMark/>
          </w:tcPr>
          <w:p w14:paraId="4093C26E" w14:textId="77777777" w:rsidR="00CB16AA" w:rsidRPr="00666914" w:rsidRDefault="00CB16AA" w:rsidP="00985E7A">
            <w:pPr>
              <w:spacing w:after="0"/>
              <w:jc w:val="center"/>
              <w:rPr>
                <w:rFonts w:eastAsia="Times New Roman" w:cs="Calibri"/>
                <w:color w:val="000000"/>
                <w:sz w:val="19"/>
                <w:szCs w:val="19"/>
                <w:lang w:eastAsia="sk-SK"/>
              </w:rPr>
            </w:pPr>
            <w:r w:rsidRPr="00666914">
              <w:rPr>
                <w:rFonts w:eastAsia="Times New Roman" w:cs="Calibri"/>
                <w:color w:val="000000"/>
                <w:sz w:val="19"/>
                <w:szCs w:val="19"/>
                <w:lang w:eastAsia="sk-SK"/>
              </w:rPr>
              <w:t>4,99</w:t>
            </w:r>
          </w:p>
        </w:tc>
        <w:tc>
          <w:tcPr>
            <w:tcW w:w="340" w:type="pct"/>
            <w:tcBorders>
              <w:top w:val="nil"/>
              <w:left w:val="nil"/>
              <w:bottom w:val="single" w:sz="4" w:space="0" w:color="auto"/>
              <w:right w:val="nil"/>
            </w:tcBorders>
            <w:shd w:val="clear" w:color="auto" w:fill="auto"/>
            <w:noWrap/>
            <w:vAlign w:val="center"/>
            <w:hideMark/>
          </w:tcPr>
          <w:p w14:paraId="7F96BB57" w14:textId="77777777" w:rsidR="00CB16AA" w:rsidRPr="00666914" w:rsidRDefault="00CB16AA" w:rsidP="00985E7A">
            <w:pPr>
              <w:spacing w:after="0"/>
              <w:jc w:val="center"/>
              <w:rPr>
                <w:rFonts w:eastAsia="Times New Roman" w:cs="Calibri"/>
                <w:color w:val="000000"/>
                <w:sz w:val="19"/>
                <w:szCs w:val="19"/>
                <w:lang w:eastAsia="sk-SK"/>
              </w:rPr>
            </w:pPr>
            <w:r w:rsidRPr="00666914">
              <w:rPr>
                <w:rFonts w:eastAsia="Times New Roman" w:cs="Calibri"/>
                <w:color w:val="000000"/>
                <w:sz w:val="19"/>
                <w:szCs w:val="19"/>
                <w:lang w:eastAsia="sk-SK"/>
              </w:rPr>
              <w:t>4,21</w:t>
            </w:r>
          </w:p>
        </w:tc>
        <w:tc>
          <w:tcPr>
            <w:tcW w:w="340" w:type="pct"/>
            <w:tcBorders>
              <w:top w:val="nil"/>
              <w:left w:val="nil"/>
              <w:bottom w:val="single" w:sz="4" w:space="0" w:color="auto"/>
              <w:right w:val="nil"/>
            </w:tcBorders>
            <w:shd w:val="clear" w:color="auto" w:fill="auto"/>
            <w:noWrap/>
            <w:vAlign w:val="center"/>
            <w:hideMark/>
          </w:tcPr>
          <w:p w14:paraId="549E0073" w14:textId="77777777" w:rsidR="00CB16AA" w:rsidRPr="00666914" w:rsidRDefault="00CB16AA" w:rsidP="00985E7A">
            <w:pPr>
              <w:spacing w:after="0"/>
              <w:jc w:val="center"/>
              <w:rPr>
                <w:rFonts w:eastAsia="Times New Roman" w:cs="Calibri"/>
                <w:color w:val="000000"/>
                <w:sz w:val="19"/>
                <w:szCs w:val="19"/>
                <w:lang w:eastAsia="sk-SK"/>
              </w:rPr>
            </w:pPr>
            <w:r w:rsidRPr="00666914">
              <w:rPr>
                <w:rFonts w:eastAsia="Times New Roman" w:cs="Calibri"/>
                <w:color w:val="000000"/>
                <w:sz w:val="19"/>
                <w:szCs w:val="19"/>
                <w:lang w:eastAsia="sk-SK"/>
              </w:rPr>
              <w:t>5,06</w:t>
            </w:r>
          </w:p>
        </w:tc>
        <w:tc>
          <w:tcPr>
            <w:tcW w:w="378" w:type="pct"/>
            <w:tcBorders>
              <w:top w:val="nil"/>
              <w:left w:val="nil"/>
              <w:bottom w:val="single" w:sz="4" w:space="0" w:color="auto"/>
              <w:right w:val="nil"/>
            </w:tcBorders>
            <w:shd w:val="clear" w:color="auto" w:fill="auto"/>
            <w:noWrap/>
            <w:vAlign w:val="center"/>
            <w:hideMark/>
          </w:tcPr>
          <w:p w14:paraId="4C8421C1" w14:textId="77777777" w:rsidR="00CB16AA" w:rsidRPr="00666914" w:rsidRDefault="00CB16AA" w:rsidP="00985E7A">
            <w:pPr>
              <w:spacing w:after="0"/>
              <w:jc w:val="center"/>
              <w:rPr>
                <w:rFonts w:eastAsia="Times New Roman" w:cs="Calibri"/>
                <w:color w:val="000000"/>
                <w:sz w:val="19"/>
                <w:szCs w:val="19"/>
                <w:lang w:eastAsia="sk-SK"/>
              </w:rPr>
            </w:pPr>
            <w:r w:rsidRPr="00666914">
              <w:rPr>
                <w:rFonts w:eastAsia="Times New Roman" w:cs="Calibri"/>
                <w:color w:val="000000"/>
                <w:sz w:val="19"/>
                <w:szCs w:val="19"/>
                <w:lang w:eastAsia="sk-SK"/>
              </w:rPr>
              <w:t>4,30</w:t>
            </w:r>
          </w:p>
        </w:tc>
        <w:tc>
          <w:tcPr>
            <w:tcW w:w="382" w:type="pct"/>
            <w:tcBorders>
              <w:top w:val="nil"/>
              <w:left w:val="nil"/>
              <w:bottom w:val="single" w:sz="4" w:space="0" w:color="auto"/>
              <w:right w:val="nil"/>
            </w:tcBorders>
            <w:shd w:val="clear" w:color="auto" w:fill="auto"/>
            <w:noWrap/>
            <w:vAlign w:val="center"/>
            <w:hideMark/>
          </w:tcPr>
          <w:p w14:paraId="040FCB20" w14:textId="77777777" w:rsidR="00CB16AA" w:rsidRPr="00666914" w:rsidRDefault="00CB16AA" w:rsidP="00985E7A">
            <w:pPr>
              <w:spacing w:after="0"/>
              <w:jc w:val="center"/>
              <w:rPr>
                <w:rFonts w:eastAsia="Times New Roman" w:cs="Calibri"/>
                <w:color w:val="000000"/>
                <w:sz w:val="19"/>
                <w:szCs w:val="19"/>
                <w:lang w:eastAsia="sk-SK"/>
              </w:rPr>
            </w:pPr>
            <w:r w:rsidRPr="00666914">
              <w:rPr>
                <w:rFonts w:eastAsia="Times New Roman" w:cs="Calibri"/>
                <w:color w:val="000000"/>
                <w:sz w:val="19"/>
                <w:szCs w:val="19"/>
                <w:lang w:eastAsia="sk-SK"/>
              </w:rPr>
              <w:t>4,51</w:t>
            </w:r>
          </w:p>
        </w:tc>
      </w:tr>
    </w:tbl>
    <w:p w14:paraId="5529D889" w14:textId="77777777" w:rsidR="00CB16AA" w:rsidRPr="00666914" w:rsidRDefault="00CB16AA" w:rsidP="00985E7A">
      <w:pPr>
        <w:pStyle w:val="Odsekzoznamu"/>
        <w:spacing w:after="0"/>
        <w:jc w:val="right"/>
        <w:rPr>
          <w:i/>
          <w:sz w:val="18"/>
        </w:rPr>
      </w:pPr>
      <w:r w:rsidRPr="00666914">
        <w:rPr>
          <w:i/>
          <w:sz w:val="18"/>
        </w:rPr>
        <w:t xml:space="preserve">Zdroj: ŽSR </w:t>
      </w:r>
    </w:p>
    <w:p w14:paraId="4164D09E" w14:textId="77777777" w:rsidR="00CB16AA" w:rsidRPr="00666914" w:rsidRDefault="00CB16AA" w:rsidP="00985E7A">
      <w:pPr>
        <w:spacing w:after="0"/>
        <w:contextualSpacing/>
      </w:pPr>
    </w:p>
    <w:p w14:paraId="53A416DD" w14:textId="3368543F" w:rsidR="00CB16AA" w:rsidRPr="00666914" w:rsidRDefault="00CB16AA" w:rsidP="00985E7A">
      <w:pPr>
        <w:spacing w:after="0"/>
        <w:contextualSpacing/>
      </w:pPr>
      <w:r w:rsidRPr="00666914">
        <w:t xml:space="preserve">V IP 2019 </w:t>
      </w:r>
      <w:r w:rsidR="00306B5F" w:rsidRPr="00666914">
        <w:t>bolo</w:t>
      </w:r>
      <w:r w:rsidRPr="00666914">
        <w:t xml:space="preserve"> dohodnuté zverejniť údaje o výkonoch a nákladoch jednotlivých činností opráv a údržby ŽSR do konca 1H2019. K zverejneniu údajov za rok 2018 však nedošlo ani do konca roka 2019. </w:t>
      </w:r>
      <w:r w:rsidRPr="00666914">
        <w:rPr>
          <w:b/>
        </w:rPr>
        <w:t>Opatrenie sa k 31.12.2019 neplní.</w:t>
      </w:r>
    </w:p>
    <w:p w14:paraId="590DF17A" w14:textId="77777777" w:rsidR="00CB16AA" w:rsidRPr="00666914" w:rsidRDefault="00CB16AA" w:rsidP="00985E7A">
      <w:pPr>
        <w:spacing w:after="0"/>
        <w:ind w:left="720"/>
        <w:contextualSpacing/>
        <w:rPr>
          <w:b/>
          <w:u w:val="single"/>
        </w:rPr>
      </w:pPr>
    </w:p>
    <w:p w14:paraId="06F5C352" w14:textId="77777777" w:rsidR="00CB16AA" w:rsidRPr="00666914" w:rsidRDefault="00CB16AA" w:rsidP="00312C28">
      <w:pPr>
        <w:numPr>
          <w:ilvl w:val="0"/>
          <w:numId w:val="34"/>
        </w:numPr>
        <w:spacing w:after="0"/>
        <w:contextualSpacing/>
        <w:rPr>
          <w:b/>
          <w:u w:val="single"/>
        </w:rPr>
      </w:pPr>
      <w:r w:rsidRPr="00666914">
        <w:rPr>
          <w:b/>
          <w:u w:val="single"/>
        </w:rPr>
        <w:t>Zvýšením účinnosti formou budovania filtračno-kompenzačných zariadení a energetického dispečingu dosiahnuť ročnú úsporu nákladov v objeme 0,5 mil. eur. Budú preskúmané ďalšie možnosti znižovania nákladov na nákup elektrickej energie</w:t>
      </w:r>
    </w:p>
    <w:p w14:paraId="1D52C6C8" w14:textId="77777777" w:rsidR="00CB16AA" w:rsidRPr="00666914" w:rsidRDefault="00CB16AA" w:rsidP="00985E7A">
      <w:pPr>
        <w:spacing w:before="240"/>
        <w:rPr>
          <w:b/>
        </w:rPr>
      </w:pPr>
      <w:r w:rsidRPr="00666914">
        <w:t xml:space="preserve">IP 2019 stanovil nový merateľný ukazovateľ “percentuálny pomer ceny nakúpu elektriny voči PXE po implementovaní opatrení ŽSR, ktorými došlo k zefektívneniu obchodných činností a ceny nákupu elektriny bez implementovania opatrení ŽSR, ktorými došlo k zefektívneniu obchodných činností”, ktorým sa toto opatrenie vyhodnocuje. </w:t>
      </w:r>
      <w:r w:rsidRPr="00666914">
        <w:rPr>
          <w:b/>
        </w:rPr>
        <w:t>Na základe daného prepočtu došlo k úspore pri nákupe elektrickej energie v roku 2019 vo výške 0,6 mil. eur. Opatrenie sa k 31.12.2019 plní.</w:t>
      </w:r>
    </w:p>
    <w:p w14:paraId="0BA09DA8" w14:textId="2E0EFAA1" w:rsidR="00CB16AA" w:rsidRPr="00666914" w:rsidRDefault="00CB16AA" w:rsidP="00985E7A">
      <w:pPr>
        <w:pBdr>
          <w:bottom w:val="single" w:sz="4" w:space="1" w:color="auto"/>
        </w:pBdr>
        <w:spacing w:after="0"/>
        <w:rPr>
          <w:b/>
          <w:sz w:val="20"/>
          <w:szCs w:val="20"/>
        </w:rPr>
      </w:pPr>
      <w:bookmarkStart w:id="227" w:name="_Toc38447700"/>
      <w:r w:rsidRPr="00666914">
        <w:rPr>
          <w:b/>
          <w:sz w:val="20"/>
          <w:szCs w:val="20"/>
        </w:rPr>
        <w:t xml:space="preserve">Tabuľka </w:t>
      </w:r>
      <w:r w:rsidRPr="00666914">
        <w:rPr>
          <w:b/>
          <w:sz w:val="20"/>
          <w:szCs w:val="20"/>
        </w:rPr>
        <w:fldChar w:fldCharType="begin"/>
      </w:r>
      <w:r w:rsidRPr="00666914">
        <w:rPr>
          <w:b/>
          <w:sz w:val="20"/>
          <w:szCs w:val="20"/>
        </w:rPr>
        <w:instrText xml:space="preserve"> SEQ Tabuľka \* ARABIC  \* MERGEFORMAT </w:instrText>
      </w:r>
      <w:r w:rsidRPr="00666914">
        <w:rPr>
          <w:b/>
          <w:sz w:val="20"/>
          <w:szCs w:val="20"/>
        </w:rPr>
        <w:fldChar w:fldCharType="separate"/>
      </w:r>
      <w:r w:rsidR="005A7304">
        <w:rPr>
          <w:b/>
          <w:noProof/>
          <w:sz w:val="20"/>
          <w:szCs w:val="20"/>
        </w:rPr>
        <w:t>39</w:t>
      </w:r>
      <w:r w:rsidRPr="00666914">
        <w:rPr>
          <w:b/>
          <w:sz w:val="20"/>
          <w:szCs w:val="20"/>
        </w:rPr>
        <w:fldChar w:fldCharType="end"/>
      </w:r>
      <w:r w:rsidRPr="00666914">
        <w:rPr>
          <w:b/>
          <w:sz w:val="20"/>
          <w:szCs w:val="20"/>
        </w:rPr>
        <w:t>: Úspora nákladov na nákup elektrickej energie zo strany ŽSR</w:t>
      </w:r>
      <w:bookmarkEnd w:id="227"/>
    </w:p>
    <w:tbl>
      <w:tblPr>
        <w:tblW w:w="5000" w:type="pct"/>
        <w:tblCellMar>
          <w:left w:w="70" w:type="dxa"/>
          <w:right w:w="70" w:type="dxa"/>
        </w:tblCellMar>
        <w:tblLook w:val="04A0" w:firstRow="1" w:lastRow="0" w:firstColumn="1" w:lastColumn="0" w:noHBand="0" w:noVBand="1"/>
      </w:tblPr>
      <w:tblGrid>
        <w:gridCol w:w="4247"/>
        <w:gridCol w:w="2027"/>
        <w:gridCol w:w="735"/>
        <w:gridCol w:w="735"/>
        <w:gridCol w:w="735"/>
        <w:gridCol w:w="735"/>
      </w:tblGrid>
      <w:tr w:rsidR="00CB16AA" w:rsidRPr="00666914" w14:paraId="2BE01F87" w14:textId="77777777" w:rsidTr="00EF65FC">
        <w:trPr>
          <w:trHeight w:val="176"/>
        </w:trPr>
        <w:tc>
          <w:tcPr>
            <w:tcW w:w="2304" w:type="pct"/>
            <w:tcBorders>
              <w:top w:val="nil"/>
              <w:left w:val="nil"/>
              <w:bottom w:val="single" w:sz="4" w:space="0" w:color="auto"/>
              <w:right w:val="nil"/>
            </w:tcBorders>
            <w:shd w:val="clear" w:color="000000" w:fill="FFFFFF"/>
            <w:vAlign w:val="bottom"/>
            <w:hideMark/>
          </w:tcPr>
          <w:p w14:paraId="2BCCF5F2" w14:textId="77777777" w:rsidR="00CB16AA" w:rsidRPr="00666914" w:rsidRDefault="00CB16AA" w:rsidP="00985E7A">
            <w:pPr>
              <w:spacing w:after="0"/>
              <w:jc w:val="center"/>
              <w:rPr>
                <w:rFonts w:eastAsia="Times New Roman" w:cs="Calibri"/>
                <w:b/>
                <w:bCs/>
                <w:sz w:val="20"/>
                <w:szCs w:val="20"/>
                <w:lang w:eastAsia="sk-SK"/>
              </w:rPr>
            </w:pPr>
            <w:r w:rsidRPr="00666914">
              <w:rPr>
                <w:rFonts w:eastAsia="Times New Roman" w:cs="Calibri"/>
                <w:b/>
                <w:bCs/>
                <w:sz w:val="20"/>
                <w:szCs w:val="20"/>
                <w:lang w:eastAsia="sk-SK"/>
              </w:rPr>
              <w:t> </w:t>
            </w:r>
          </w:p>
        </w:tc>
        <w:tc>
          <w:tcPr>
            <w:tcW w:w="1100" w:type="pct"/>
            <w:tcBorders>
              <w:top w:val="nil"/>
              <w:left w:val="nil"/>
              <w:bottom w:val="single" w:sz="4" w:space="0" w:color="auto"/>
              <w:right w:val="nil"/>
            </w:tcBorders>
            <w:shd w:val="clear" w:color="000000" w:fill="FFFFFF"/>
            <w:vAlign w:val="bottom"/>
            <w:hideMark/>
          </w:tcPr>
          <w:p w14:paraId="71041C6D" w14:textId="77777777" w:rsidR="00CB16AA" w:rsidRPr="00666914" w:rsidRDefault="00CB16AA" w:rsidP="00985E7A">
            <w:pPr>
              <w:spacing w:after="0"/>
              <w:jc w:val="center"/>
              <w:rPr>
                <w:rFonts w:eastAsia="Times New Roman" w:cs="Calibri"/>
                <w:b/>
                <w:bCs/>
                <w:sz w:val="20"/>
                <w:szCs w:val="20"/>
                <w:lang w:eastAsia="sk-SK"/>
              </w:rPr>
            </w:pPr>
            <w:r w:rsidRPr="00666914">
              <w:rPr>
                <w:rFonts w:eastAsia="Times New Roman" w:cs="Calibri"/>
                <w:b/>
                <w:bCs/>
                <w:sz w:val="20"/>
                <w:szCs w:val="20"/>
                <w:lang w:eastAsia="sk-SK"/>
              </w:rPr>
              <w:t>Jednotka</w:t>
            </w:r>
          </w:p>
        </w:tc>
        <w:tc>
          <w:tcPr>
            <w:tcW w:w="399" w:type="pct"/>
            <w:tcBorders>
              <w:top w:val="nil"/>
              <w:left w:val="nil"/>
              <w:bottom w:val="single" w:sz="4" w:space="0" w:color="auto"/>
              <w:right w:val="nil"/>
            </w:tcBorders>
            <w:shd w:val="clear" w:color="000000" w:fill="FFFFFF"/>
            <w:vAlign w:val="bottom"/>
            <w:hideMark/>
          </w:tcPr>
          <w:p w14:paraId="45C387CB" w14:textId="77777777" w:rsidR="00CB16AA" w:rsidRPr="00666914" w:rsidRDefault="00CB16AA" w:rsidP="00985E7A">
            <w:pPr>
              <w:spacing w:after="0"/>
              <w:jc w:val="center"/>
              <w:rPr>
                <w:rFonts w:eastAsia="Times New Roman" w:cs="Calibri"/>
                <w:b/>
                <w:bCs/>
                <w:sz w:val="20"/>
                <w:szCs w:val="20"/>
                <w:lang w:eastAsia="sk-SK"/>
              </w:rPr>
            </w:pPr>
            <w:r w:rsidRPr="00666914">
              <w:rPr>
                <w:rFonts w:eastAsia="Times New Roman" w:cs="Calibri"/>
                <w:b/>
                <w:bCs/>
                <w:sz w:val="20"/>
                <w:szCs w:val="20"/>
                <w:lang w:eastAsia="sk-SK"/>
              </w:rPr>
              <w:t>2016</w:t>
            </w:r>
          </w:p>
        </w:tc>
        <w:tc>
          <w:tcPr>
            <w:tcW w:w="399" w:type="pct"/>
            <w:tcBorders>
              <w:top w:val="nil"/>
              <w:left w:val="nil"/>
              <w:bottom w:val="single" w:sz="4" w:space="0" w:color="auto"/>
              <w:right w:val="nil"/>
            </w:tcBorders>
            <w:shd w:val="clear" w:color="000000" w:fill="FFFFFF"/>
            <w:vAlign w:val="bottom"/>
            <w:hideMark/>
          </w:tcPr>
          <w:p w14:paraId="793D5CDF" w14:textId="77777777" w:rsidR="00CB16AA" w:rsidRPr="00666914" w:rsidRDefault="00CB16AA" w:rsidP="00985E7A">
            <w:pPr>
              <w:spacing w:after="0"/>
              <w:jc w:val="center"/>
              <w:rPr>
                <w:rFonts w:eastAsia="Times New Roman" w:cs="Calibri"/>
                <w:b/>
                <w:bCs/>
                <w:sz w:val="20"/>
                <w:szCs w:val="20"/>
                <w:lang w:eastAsia="sk-SK"/>
              </w:rPr>
            </w:pPr>
            <w:r w:rsidRPr="00666914">
              <w:rPr>
                <w:rFonts w:eastAsia="Times New Roman" w:cs="Calibri"/>
                <w:b/>
                <w:bCs/>
                <w:sz w:val="20"/>
                <w:szCs w:val="20"/>
                <w:lang w:eastAsia="sk-SK"/>
              </w:rPr>
              <w:t>2017</w:t>
            </w:r>
          </w:p>
        </w:tc>
        <w:tc>
          <w:tcPr>
            <w:tcW w:w="399" w:type="pct"/>
            <w:tcBorders>
              <w:top w:val="nil"/>
              <w:left w:val="nil"/>
              <w:bottom w:val="single" w:sz="4" w:space="0" w:color="auto"/>
              <w:right w:val="nil"/>
            </w:tcBorders>
            <w:shd w:val="clear" w:color="000000" w:fill="FFFFFF"/>
            <w:vAlign w:val="bottom"/>
            <w:hideMark/>
          </w:tcPr>
          <w:p w14:paraId="4220C6F4" w14:textId="77777777" w:rsidR="00CB16AA" w:rsidRPr="00666914" w:rsidRDefault="00CB16AA" w:rsidP="00985E7A">
            <w:pPr>
              <w:spacing w:after="0"/>
              <w:jc w:val="center"/>
              <w:rPr>
                <w:rFonts w:eastAsia="Times New Roman" w:cs="Calibri"/>
                <w:b/>
                <w:bCs/>
                <w:sz w:val="20"/>
                <w:szCs w:val="20"/>
                <w:lang w:eastAsia="sk-SK"/>
              </w:rPr>
            </w:pPr>
            <w:r w:rsidRPr="00666914">
              <w:rPr>
                <w:rFonts w:eastAsia="Times New Roman" w:cs="Calibri"/>
                <w:b/>
                <w:bCs/>
                <w:sz w:val="20"/>
                <w:szCs w:val="20"/>
                <w:lang w:eastAsia="sk-SK"/>
              </w:rPr>
              <w:t>2018</w:t>
            </w:r>
          </w:p>
        </w:tc>
        <w:tc>
          <w:tcPr>
            <w:tcW w:w="399" w:type="pct"/>
            <w:tcBorders>
              <w:top w:val="nil"/>
              <w:left w:val="nil"/>
              <w:bottom w:val="single" w:sz="4" w:space="0" w:color="auto"/>
              <w:right w:val="nil"/>
            </w:tcBorders>
            <w:shd w:val="clear" w:color="000000" w:fill="FFFFFF"/>
            <w:vAlign w:val="bottom"/>
            <w:hideMark/>
          </w:tcPr>
          <w:p w14:paraId="7E7D66DD" w14:textId="77777777" w:rsidR="00CB16AA" w:rsidRPr="00666914" w:rsidRDefault="00CB16AA" w:rsidP="00985E7A">
            <w:pPr>
              <w:spacing w:after="0"/>
              <w:jc w:val="center"/>
              <w:rPr>
                <w:rFonts w:eastAsia="Times New Roman" w:cs="Calibri"/>
                <w:b/>
                <w:bCs/>
                <w:sz w:val="20"/>
                <w:szCs w:val="20"/>
                <w:lang w:eastAsia="sk-SK"/>
              </w:rPr>
            </w:pPr>
            <w:r w:rsidRPr="00666914">
              <w:rPr>
                <w:rFonts w:eastAsia="Times New Roman" w:cs="Calibri"/>
                <w:b/>
                <w:bCs/>
                <w:sz w:val="20"/>
                <w:szCs w:val="20"/>
                <w:lang w:eastAsia="sk-SK"/>
              </w:rPr>
              <w:t>2019</w:t>
            </w:r>
          </w:p>
        </w:tc>
      </w:tr>
      <w:tr w:rsidR="00CB16AA" w:rsidRPr="00666914" w14:paraId="21200B46" w14:textId="77777777" w:rsidTr="00EF65FC">
        <w:trPr>
          <w:trHeight w:val="345"/>
        </w:trPr>
        <w:tc>
          <w:tcPr>
            <w:tcW w:w="2304" w:type="pct"/>
            <w:tcBorders>
              <w:top w:val="single" w:sz="4" w:space="0" w:color="auto"/>
              <w:left w:val="nil"/>
              <w:bottom w:val="nil"/>
              <w:right w:val="nil"/>
            </w:tcBorders>
            <w:shd w:val="clear" w:color="000000" w:fill="FFFFFF"/>
            <w:vAlign w:val="center"/>
            <w:hideMark/>
          </w:tcPr>
          <w:p w14:paraId="50263F9B" w14:textId="77777777" w:rsidR="00CB16AA" w:rsidRPr="00666914" w:rsidRDefault="00CB16AA" w:rsidP="00985E7A">
            <w:pPr>
              <w:spacing w:after="0"/>
              <w:rPr>
                <w:rFonts w:eastAsia="Times New Roman" w:cs="Calibri"/>
                <w:sz w:val="20"/>
                <w:szCs w:val="20"/>
                <w:lang w:eastAsia="sk-SK"/>
              </w:rPr>
            </w:pPr>
            <w:r w:rsidRPr="00666914">
              <w:rPr>
                <w:rFonts w:eastAsia="Times New Roman" w:cs="Calibri"/>
                <w:sz w:val="20"/>
                <w:szCs w:val="20"/>
                <w:lang w:eastAsia="sk-SK"/>
              </w:rPr>
              <w:t>Priemerná zmluvná cena za dodávku elektriny a prevzatie zodpovednosti za odchýlku</w:t>
            </w:r>
          </w:p>
        </w:tc>
        <w:tc>
          <w:tcPr>
            <w:tcW w:w="1100" w:type="pct"/>
            <w:tcBorders>
              <w:top w:val="single" w:sz="4" w:space="0" w:color="auto"/>
              <w:left w:val="nil"/>
              <w:bottom w:val="nil"/>
              <w:right w:val="nil"/>
            </w:tcBorders>
            <w:shd w:val="clear" w:color="000000" w:fill="FFFFFF"/>
            <w:vAlign w:val="center"/>
            <w:hideMark/>
          </w:tcPr>
          <w:p w14:paraId="6662F4AC"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eur/MWh</w:t>
            </w:r>
          </w:p>
        </w:tc>
        <w:tc>
          <w:tcPr>
            <w:tcW w:w="399" w:type="pct"/>
            <w:tcBorders>
              <w:top w:val="single" w:sz="4" w:space="0" w:color="auto"/>
              <w:left w:val="nil"/>
              <w:bottom w:val="nil"/>
              <w:right w:val="nil"/>
            </w:tcBorders>
            <w:shd w:val="clear" w:color="000000" w:fill="FFFFFF"/>
            <w:vAlign w:val="center"/>
            <w:hideMark/>
          </w:tcPr>
          <w:p w14:paraId="7D5162BE"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45,1</w:t>
            </w:r>
          </w:p>
        </w:tc>
        <w:tc>
          <w:tcPr>
            <w:tcW w:w="399" w:type="pct"/>
            <w:tcBorders>
              <w:top w:val="single" w:sz="4" w:space="0" w:color="auto"/>
              <w:left w:val="nil"/>
              <w:bottom w:val="nil"/>
              <w:right w:val="nil"/>
            </w:tcBorders>
            <w:shd w:val="clear" w:color="000000" w:fill="FFFFFF"/>
            <w:vAlign w:val="center"/>
            <w:hideMark/>
          </w:tcPr>
          <w:p w14:paraId="36460152"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39,1</w:t>
            </w:r>
          </w:p>
        </w:tc>
        <w:tc>
          <w:tcPr>
            <w:tcW w:w="399" w:type="pct"/>
            <w:tcBorders>
              <w:top w:val="single" w:sz="4" w:space="0" w:color="auto"/>
              <w:left w:val="nil"/>
              <w:bottom w:val="nil"/>
              <w:right w:val="nil"/>
            </w:tcBorders>
            <w:shd w:val="clear" w:color="000000" w:fill="FFFFFF"/>
            <w:vAlign w:val="center"/>
            <w:hideMark/>
          </w:tcPr>
          <w:p w14:paraId="36AD68A7"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49,3</w:t>
            </w:r>
          </w:p>
        </w:tc>
        <w:tc>
          <w:tcPr>
            <w:tcW w:w="399" w:type="pct"/>
            <w:tcBorders>
              <w:top w:val="single" w:sz="4" w:space="0" w:color="auto"/>
              <w:left w:val="nil"/>
              <w:bottom w:val="nil"/>
              <w:right w:val="nil"/>
            </w:tcBorders>
            <w:shd w:val="clear" w:color="000000" w:fill="FFFFFF"/>
            <w:vAlign w:val="center"/>
            <w:hideMark/>
          </w:tcPr>
          <w:p w14:paraId="35949B8C"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60,0</w:t>
            </w:r>
          </w:p>
        </w:tc>
      </w:tr>
      <w:tr w:rsidR="00CB16AA" w:rsidRPr="00666914" w14:paraId="6B212328" w14:textId="77777777" w:rsidTr="00985E7A">
        <w:trPr>
          <w:trHeight w:val="330"/>
        </w:trPr>
        <w:tc>
          <w:tcPr>
            <w:tcW w:w="2304" w:type="pct"/>
            <w:tcBorders>
              <w:top w:val="nil"/>
              <w:left w:val="nil"/>
              <w:bottom w:val="nil"/>
              <w:right w:val="nil"/>
            </w:tcBorders>
            <w:shd w:val="clear" w:color="000000" w:fill="FFFFFF"/>
            <w:vAlign w:val="center"/>
            <w:hideMark/>
          </w:tcPr>
          <w:p w14:paraId="655D45DC" w14:textId="77777777" w:rsidR="00CB16AA" w:rsidRPr="00666914" w:rsidRDefault="00CB16AA" w:rsidP="00985E7A">
            <w:pPr>
              <w:spacing w:after="0"/>
              <w:rPr>
                <w:rFonts w:eastAsia="Times New Roman" w:cs="Calibri"/>
                <w:sz w:val="20"/>
                <w:szCs w:val="20"/>
                <w:lang w:eastAsia="sk-SK"/>
              </w:rPr>
            </w:pPr>
            <w:r w:rsidRPr="00666914">
              <w:rPr>
                <w:rFonts w:eastAsia="Times New Roman" w:cs="Calibri"/>
                <w:sz w:val="20"/>
                <w:szCs w:val="20"/>
                <w:lang w:eastAsia="sk-SK"/>
              </w:rPr>
              <w:t>Benchmark: Cena ročných SK base kontraktov podľa PXE deň pred aukciou*</w:t>
            </w:r>
          </w:p>
        </w:tc>
        <w:tc>
          <w:tcPr>
            <w:tcW w:w="1100" w:type="pct"/>
            <w:tcBorders>
              <w:top w:val="nil"/>
              <w:left w:val="nil"/>
              <w:bottom w:val="nil"/>
              <w:right w:val="nil"/>
            </w:tcBorders>
            <w:shd w:val="clear" w:color="000000" w:fill="FFFFFF"/>
            <w:vAlign w:val="center"/>
            <w:hideMark/>
          </w:tcPr>
          <w:p w14:paraId="464DE310"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eur/MWh</w:t>
            </w:r>
          </w:p>
        </w:tc>
        <w:tc>
          <w:tcPr>
            <w:tcW w:w="399" w:type="pct"/>
            <w:tcBorders>
              <w:top w:val="nil"/>
              <w:left w:val="nil"/>
              <w:bottom w:val="nil"/>
              <w:right w:val="nil"/>
            </w:tcBorders>
            <w:shd w:val="clear" w:color="000000" w:fill="FFFFFF"/>
            <w:vAlign w:val="center"/>
            <w:hideMark/>
          </w:tcPr>
          <w:p w14:paraId="350CA3FF"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32,9</w:t>
            </w:r>
          </w:p>
        </w:tc>
        <w:tc>
          <w:tcPr>
            <w:tcW w:w="399" w:type="pct"/>
            <w:tcBorders>
              <w:top w:val="nil"/>
              <w:left w:val="nil"/>
              <w:bottom w:val="nil"/>
              <w:right w:val="nil"/>
            </w:tcBorders>
            <w:shd w:val="clear" w:color="000000" w:fill="FFFFFF"/>
            <w:vAlign w:val="center"/>
            <w:hideMark/>
          </w:tcPr>
          <w:p w14:paraId="40FC368B"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32,5</w:t>
            </w:r>
          </w:p>
        </w:tc>
        <w:tc>
          <w:tcPr>
            <w:tcW w:w="399" w:type="pct"/>
            <w:tcBorders>
              <w:top w:val="nil"/>
              <w:left w:val="nil"/>
              <w:bottom w:val="nil"/>
              <w:right w:val="nil"/>
            </w:tcBorders>
            <w:shd w:val="clear" w:color="000000" w:fill="FFFFFF"/>
            <w:vAlign w:val="center"/>
            <w:hideMark/>
          </w:tcPr>
          <w:p w14:paraId="26C54239"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42,2</w:t>
            </w:r>
          </w:p>
        </w:tc>
        <w:tc>
          <w:tcPr>
            <w:tcW w:w="399" w:type="pct"/>
            <w:tcBorders>
              <w:top w:val="nil"/>
              <w:left w:val="nil"/>
              <w:bottom w:val="nil"/>
              <w:right w:val="nil"/>
            </w:tcBorders>
            <w:shd w:val="clear" w:color="000000" w:fill="FFFFFF"/>
            <w:vAlign w:val="center"/>
            <w:hideMark/>
          </w:tcPr>
          <w:p w14:paraId="788A425F"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52,2</w:t>
            </w:r>
          </w:p>
        </w:tc>
      </w:tr>
      <w:tr w:rsidR="00CB16AA" w:rsidRPr="00666914" w14:paraId="4F8DCCBD" w14:textId="77777777" w:rsidTr="00985E7A">
        <w:trPr>
          <w:trHeight w:val="330"/>
        </w:trPr>
        <w:tc>
          <w:tcPr>
            <w:tcW w:w="2304" w:type="pct"/>
            <w:tcBorders>
              <w:top w:val="nil"/>
              <w:left w:val="nil"/>
              <w:bottom w:val="nil"/>
              <w:right w:val="nil"/>
            </w:tcBorders>
            <w:shd w:val="clear" w:color="000000" w:fill="FFFFFF"/>
            <w:vAlign w:val="center"/>
            <w:hideMark/>
          </w:tcPr>
          <w:p w14:paraId="714E9E0E" w14:textId="77777777" w:rsidR="00CB16AA" w:rsidRPr="00666914" w:rsidRDefault="00CB16AA" w:rsidP="00985E7A">
            <w:pPr>
              <w:spacing w:after="0"/>
              <w:rPr>
                <w:rFonts w:eastAsia="Times New Roman" w:cs="Calibri"/>
                <w:sz w:val="20"/>
                <w:szCs w:val="20"/>
                <w:lang w:eastAsia="sk-SK"/>
              </w:rPr>
            </w:pPr>
            <w:r w:rsidRPr="00666914">
              <w:rPr>
                <w:rFonts w:eastAsia="Times New Roman" w:cs="Calibri"/>
                <w:sz w:val="20"/>
                <w:szCs w:val="20"/>
                <w:lang w:eastAsia="sk-SK"/>
              </w:rPr>
              <w:t>Pomer zmluvnej ceny k benchmarku</w:t>
            </w:r>
          </w:p>
        </w:tc>
        <w:tc>
          <w:tcPr>
            <w:tcW w:w="1100" w:type="pct"/>
            <w:tcBorders>
              <w:top w:val="nil"/>
              <w:left w:val="nil"/>
              <w:bottom w:val="nil"/>
              <w:right w:val="nil"/>
            </w:tcBorders>
            <w:shd w:val="clear" w:color="000000" w:fill="FFFFFF"/>
            <w:vAlign w:val="center"/>
            <w:hideMark/>
          </w:tcPr>
          <w:p w14:paraId="701267E8"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 </w:t>
            </w:r>
          </w:p>
        </w:tc>
        <w:tc>
          <w:tcPr>
            <w:tcW w:w="399" w:type="pct"/>
            <w:tcBorders>
              <w:top w:val="nil"/>
              <w:left w:val="nil"/>
              <w:bottom w:val="nil"/>
              <w:right w:val="nil"/>
            </w:tcBorders>
            <w:shd w:val="clear" w:color="000000" w:fill="FFFFFF"/>
            <w:vAlign w:val="center"/>
            <w:hideMark/>
          </w:tcPr>
          <w:p w14:paraId="0D2933FC"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137%</w:t>
            </w:r>
          </w:p>
        </w:tc>
        <w:tc>
          <w:tcPr>
            <w:tcW w:w="399" w:type="pct"/>
            <w:tcBorders>
              <w:top w:val="nil"/>
              <w:left w:val="nil"/>
              <w:bottom w:val="nil"/>
              <w:right w:val="nil"/>
            </w:tcBorders>
            <w:shd w:val="clear" w:color="000000" w:fill="FFFFFF"/>
            <w:vAlign w:val="center"/>
            <w:hideMark/>
          </w:tcPr>
          <w:p w14:paraId="00BBF20A"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120%</w:t>
            </w:r>
          </w:p>
        </w:tc>
        <w:tc>
          <w:tcPr>
            <w:tcW w:w="399" w:type="pct"/>
            <w:tcBorders>
              <w:top w:val="nil"/>
              <w:left w:val="nil"/>
              <w:bottom w:val="nil"/>
              <w:right w:val="nil"/>
            </w:tcBorders>
            <w:shd w:val="clear" w:color="000000" w:fill="FFFFFF"/>
            <w:vAlign w:val="center"/>
            <w:hideMark/>
          </w:tcPr>
          <w:p w14:paraId="4541128B"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117%</w:t>
            </w:r>
          </w:p>
        </w:tc>
        <w:tc>
          <w:tcPr>
            <w:tcW w:w="399" w:type="pct"/>
            <w:tcBorders>
              <w:top w:val="nil"/>
              <w:left w:val="nil"/>
              <w:bottom w:val="nil"/>
              <w:right w:val="nil"/>
            </w:tcBorders>
            <w:shd w:val="clear" w:color="000000" w:fill="FFFFFF"/>
            <w:vAlign w:val="center"/>
            <w:hideMark/>
          </w:tcPr>
          <w:p w14:paraId="6C713F14"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115%</w:t>
            </w:r>
          </w:p>
        </w:tc>
      </w:tr>
      <w:tr w:rsidR="00CB16AA" w:rsidRPr="00666914" w14:paraId="141BB5A7" w14:textId="77777777" w:rsidTr="00985E7A">
        <w:trPr>
          <w:trHeight w:val="330"/>
        </w:trPr>
        <w:tc>
          <w:tcPr>
            <w:tcW w:w="2304" w:type="pct"/>
            <w:tcBorders>
              <w:top w:val="nil"/>
              <w:left w:val="nil"/>
              <w:bottom w:val="nil"/>
              <w:right w:val="nil"/>
            </w:tcBorders>
            <w:shd w:val="clear" w:color="000000" w:fill="FFFFFF"/>
            <w:vAlign w:val="center"/>
            <w:hideMark/>
          </w:tcPr>
          <w:p w14:paraId="0DF44CD9" w14:textId="77777777" w:rsidR="00CB16AA" w:rsidRPr="00666914" w:rsidRDefault="00CB16AA" w:rsidP="00985E7A">
            <w:pPr>
              <w:spacing w:after="0"/>
              <w:rPr>
                <w:rFonts w:eastAsia="Times New Roman" w:cs="Calibri"/>
                <w:sz w:val="20"/>
                <w:szCs w:val="20"/>
                <w:lang w:eastAsia="sk-SK"/>
              </w:rPr>
            </w:pPr>
            <w:r w:rsidRPr="00666914">
              <w:rPr>
                <w:rFonts w:eastAsia="Times New Roman" w:cs="Calibri"/>
                <w:sz w:val="20"/>
                <w:szCs w:val="20"/>
                <w:lang w:eastAsia="sk-SK"/>
              </w:rPr>
              <w:t>Zmluvný objem na rok</w:t>
            </w:r>
          </w:p>
        </w:tc>
        <w:tc>
          <w:tcPr>
            <w:tcW w:w="1100" w:type="pct"/>
            <w:tcBorders>
              <w:top w:val="nil"/>
              <w:left w:val="nil"/>
              <w:bottom w:val="nil"/>
              <w:right w:val="nil"/>
            </w:tcBorders>
            <w:shd w:val="clear" w:color="000000" w:fill="FFFFFF"/>
            <w:vAlign w:val="center"/>
            <w:hideMark/>
          </w:tcPr>
          <w:p w14:paraId="7034E0AB"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MWh</w:t>
            </w:r>
          </w:p>
        </w:tc>
        <w:tc>
          <w:tcPr>
            <w:tcW w:w="399" w:type="pct"/>
            <w:tcBorders>
              <w:top w:val="nil"/>
              <w:left w:val="nil"/>
              <w:bottom w:val="nil"/>
              <w:right w:val="nil"/>
            </w:tcBorders>
            <w:shd w:val="clear" w:color="000000" w:fill="FFFFFF"/>
            <w:vAlign w:val="center"/>
            <w:hideMark/>
          </w:tcPr>
          <w:p w14:paraId="379BF708" w14:textId="77777777" w:rsidR="00CB16AA" w:rsidRPr="00666914" w:rsidRDefault="00CB16AA" w:rsidP="00985E7A">
            <w:pPr>
              <w:spacing w:after="0"/>
              <w:jc w:val="center"/>
              <w:rPr>
                <w:rFonts w:eastAsia="Times New Roman" w:cs="Calibri"/>
                <w:sz w:val="20"/>
                <w:szCs w:val="20"/>
                <w:lang w:eastAsia="sk-SK"/>
              </w:rPr>
            </w:pPr>
          </w:p>
        </w:tc>
        <w:tc>
          <w:tcPr>
            <w:tcW w:w="399" w:type="pct"/>
            <w:tcBorders>
              <w:top w:val="nil"/>
              <w:left w:val="nil"/>
              <w:bottom w:val="nil"/>
              <w:right w:val="nil"/>
            </w:tcBorders>
            <w:shd w:val="clear" w:color="000000" w:fill="FFFFFF"/>
            <w:vAlign w:val="center"/>
            <w:hideMark/>
          </w:tcPr>
          <w:p w14:paraId="7560D1EF"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602 611</w:t>
            </w:r>
          </w:p>
        </w:tc>
        <w:tc>
          <w:tcPr>
            <w:tcW w:w="399" w:type="pct"/>
            <w:tcBorders>
              <w:top w:val="nil"/>
              <w:left w:val="nil"/>
              <w:bottom w:val="nil"/>
              <w:right w:val="nil"/>
            </w:tcBorders>
            <w:shd w:val="clear" w:color="000000" w:fill="FFFFFF"/>
            <w:vAlign w:val="center"/>
            <w:hideMark/>
          </w:tcPr>
          <w:p w14:paraId="1E62AA79"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602 611</w:t>
            </w:r>
          </w:p>
        </w:tc>
        <w:tc>
          <w:tcPr>
            <w:tcW w:w="399" w:type="pct"/>
            <w:tcBorders>
              <w:top w:val="nil"/>
              <w:left w:val="nil"/>
              <w:bottom w:val="nil"/>
              <w:right w:val="nil"/>
            </w:tcBorders>
            <w:shd w:val="clear" w:color="000000" w:fill="FFFFFF"/>
            <w:vAlign w:val="center"/>
            <w:hideMark/>
          </w:tcPr>
          <w:p w14:paraId="4A32A61E"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602 611</w:t>
            </w:r>
          </w:p>
        </w:tc>
      </w:tr>
      <w:tr w:rsidR="00CB16AA" w:rsidRPr="00666914" w14:paraId="0558999C" w14:textId="77777777" w:rsidTr="00985E7A">
        <w:trPr>
          <w:trHeight w:val="330"/>
        </w:trPr>
        <w:tc>
          <w:tcPr>
            <w:tcW w:w="2304" w:type="pct"/>
            <w:tcBorders>
              <w:top w:val="nil"/>
              <w:left w:val="nil"/>
              <w:bottom w:val="nil"/>
              <w:right w:val="nil"/>
            </w:tcBorders>
            <w:shd w:val="clear" w:color="000000" w:fill="FFFFFF"/>
            <w:vAlign w:val="center"/>
            <w:hideMark/>
          </w:tcPr>
          <w:p w14:paraId="0614789A" w14:textId="77777777" w:rsidR="00CB16AA" w:rsidRPr="00666914" w:rsidRDefault="00CB16AA" w:rsidP="00985E7A">
            <w:pPr>
              <w:spacing w:after="0"/>
              <w:rPr>
                <w:rFonts w:eastAsia="Times New Roman" w:cs="Calibri"/>
                <w:sz w:val="20"/>
                <w:szCs w:val="20"/>
                <w:lang w:eastAsia="sk-SK"/>
              </w:rPr>
            </w:pPr>
            <w:r w:rsidRPr="00666914">
              <w:rPr>
                <w:rFonts w:eastAsia="Times New Roman" w:cs="Calibri"/>
                <w:sz w:val="20"/>
                <w:szCs w:val="20"/>
                <w:lang w:eastAsia="sk-SK"/>
              </w:rPr>
              <w:t>Odhad ceny elektriny pri nezmenenom scenári</w:t>
            </w:r>
          </w:p>
        </w:tc>
        <w:tc>
          <w:tcPr>
            <w:tcW w:w="1100" w:type="pct"/>
            <w:tcBorders>
              <w:top w:val="nil"/>
              <w:left w:val="nil"/>
              <w:bottom w:val="nil"/>
              <w:right w:val="nil"/>
            </w:tcBorders>
            <w:shd w:val="clear" w:color="000000" w:fill="FFFFFF"/>
            <w:vAlign w:val="center"/>
            <w:hideMark/>
          </w:tcPr>
          <w:p w14:paraId="5A635082"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eur/MWh</w:t>
            </w:r>
          </w:p>
        </w:tc>
        <w:tc>
          <w:tcPr>
            <w:tcW w:w="399" w:type="pct"/>
            <w:tcBorders>
              <w:top w:val="nil"/>
              <w:left w:val="nil"/>
              <w:bottom w:val="nil"/>
              <w:right w:val="nil"/>
            </w:tcBorders>
            <w:shd w:val="clear" w:color="000000" w:fill="FFFFFF"/>
            <w:vAlign w:val="center"/>
            <w:hideMark/>
          </w:tcPr>
          <w:p w14:paraId="2F147DA5" w14:textId="77777777" w:rsidR="00CB16AA" w:rsidRPr="00666914" w:rsidRDefault="00CB16AA" w:rsidP="00985E7A">
            <w:pPr>
              <w:spacing w:after="0"/>
              <w:jc w:val="center"/>
              <w:rPr>
                <w:rFonts w:eastAsia="Times New Roman" w:cs="Calibri"/>
                <w:sz w:val="20"/>
                <w:szCs w:val="20"/>
                <w:lang w:eastAsia="sk-SK"/>
              </w:rPr>
            </w:pPr>
          </w:p>
        </w:tc>
        <w:tc>
          <w:tcPr>
            <w:tcW w:w="399" w:type="pct"/>
            <w:tcBorders>
              <w:top w:val="nil"/>
              <w:left w:val="nil"/>
              <w:bottom w:val="nil"/>
              <w:right w:val="nil"/>
            </w:tcBorders>
            <w:shd w:val="clear" w:color="000000" w:fill="FFFFFF"/>
            <w:vAlign w:val="center"/>
            <w:hideMark/>
          </w:tcPr>
          <w:p w14:paraId="4024E46E"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44,5</w:t>
            </w:r>
          </w:p>
        </w:tc>
        <w:tc>
          <w:tcPr>
            <w:tcW w:w="399" w:type="pct"/>
            <w:tcBorders>
              <w:top w:val="nil"/>
              <w:left w:val="nil"/>
              <w:bottom w:val="nil"/>
              <w:right w:val="nil"/>
            </w:tcBorders>
            <w:shd w:val="clear" w:color="000000" w:fill="FFFFFF"/>
            <w:vAlign w:val="center"/>
            <w:hideMark/>
          </w:tcPr>
          <w:p w14:paraId="625C205B"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50,8</w:t>
            </w:r>
          </w:p>
        </w:tc>
        <w:tc>
          <w:tcPr>
            <w:tcW w:w="399" w:type="pct"/>
            <w:tcBorders>
              <w:top w:val="nil"/>
              <w:left w:val="nil"/>
              <w:bottom w:val="nil"/>
              <w:right w:val="nil"/>
            </w:tcBorders>
            <w:shd w:val="clear" w:color="000000" w:fill="FFFFFF"/>
            <w:vAlign w:val="center"/>
            <w:hideMark/>
          </w:tcPr>
          <w:p w14:paraId="03523F72"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61,0</w:t>
            </w:r>
          </w:p>
        </w:tc>
      </w:tr>
      <w:tr w:rsidR="00CB16AA" w:rsidRPr="00666914" w14:paraId="4223FF8B" w14:textId="77777777" w:rsidTr="00985E7A">
        <w:trPr>
          <w:trHeight w:val="330"/>
        </w:trPr>
        <w:tc>
          <w:tcPr>
            <w:tcW w:w="2304" w:type="pct"/>
            <w:tcBorders>
              <w:top w:val="nil"/>
              <w:left w:val="nil"/>
              <w:bottom w:val="nil"/>
              <w:right w:val="nil"/>
            </w:tcBorders>
            <w:shd w:val="clear" w:color="000000" w:fill="FFFFFF"/>
            <w:vAlign w:val="center"/>
            <w:hideMark/>
          </w:tcPr>
          <w:p w14:paraId="3309BB0F" w14:textId="77777777" w:rsidR="00CB16AA" w:rsidRPr="00666914" w:rsidRDefault="00CB16AA" w:rsidP="00985E7A">
            <w:pPr>
              <w:spacing w:after="0"/>
              <w:rPr>
                <w:rFonts w:eastAsia="Times New Roman" w:cs="Calibri"/>
                <w:sz w:val="20"/>
                <w:szCs w:val="20"/>
                <w:lang w:eastAsia="sk-SK"/>
              </w:rPr>
            </w:pPr>
            <w:r w:rsidRPr="00666914">
              <w:rPr>
                <w:rFonts w:eastAsia="Times New Roman" w:cs="Calibri"/>
                <w:sz w:val="20"/>
                <w:szCs w:val="20"/>
                <w:lang w:eastAsia="sk-SK"/>
              </w:rPr>
              <w:t>Náklady na nákup elektriny pri nezmenenom scenári</w:t>
            </w:r>
          </w:p>
        </w:tc>
        <w:tc>
          <w:tcPr>
            <w:tcW w:w="1100" w:type="pct"/>
            <w:tcBorders>
              <w:top w:val="nil"/>
              <w:left w:val="nil"/>
              <w:bottom w:val="nil"/>
              <w:right w:val="nil"/>
            </w:tcBorders>
            <w:shd w:val="clear" w:color="000000" w:fill="FFFFFF"/>
            <w:vAlign w:val="center"/>
            <w:hideMark/>
          </w:tcPr>
          <w:p w14:paraId="175A0090"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mil. eur</w:t>
            </w:r>
          </w:p>
        </w:tc>
        <w:tc>
          <w:tcPr>
            <w:tcW w:w="399" w:type="pct"/>
            <w:tcBorders>
              <w:top w:val="nil"/>
              <w:left w:val="nil"/>
              <w:bottom w:val="nil"/>
              <w:right w:val="nil"/>
            </w:tcBorders>
            <w:shd w:val="clear" w:color="000000" w:fill="FFFFFF"/>
            <w:vAlign w:val="center"/>
            <w:hideMark/>
          </w:tcPr>
          <w:p w14:paraId="72D461E6" w14:textId="77777777" w:rsidR="00CB16AA" w:rsidRPr="00666914" w:rsidRDefault="00CB16AA" w:rsidP="00985E7A">
            <w:pPr>
              <w:spacing w:after="0"/>
              <w:jc w:val="center"/>
              <w:rPr>
                <w:rFonts w:eastAsia="Times New Roman" w:cs="Calibri"/>
                <w:sz w:val="20"/>
                <w:szCs w:val="20"/>
                <w:lang w:eastAsia="sk-SK"/>
              </w:rPr>
            </w:pPr>
          </w:p>
        </w:tc>
        <w:tc>
          <w:tcPr>
            <w:tcW w:w="399" w:type="pct"/>
            <w:tcBorders>
              <w:top w:val="nil"/>
              <w:left w:val="nil"/>
              <w:bottom w:val="nil"/>
              <w:right w:val="nil"/>
            </w:tcBorders>
            <w:shd w:val="clear" w:color="000000" w:fill="FFFFFF"/>
            <w:vAlign w:val="center"/>
            <w:hideMark/>
          </w:tcPr>
          <w:p w14:paraId="58BCA4FC"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26,8</w:t>
            </w:r>
          </w:p>
        </w:tc>
        <w:tc>
          <w:tcPr>
            <w:tcW w:w="399" w:type="pct"/>
            <w:tcBorders>
              <w:top w:val="nil"/>
              <w:left w:val="nil"/>
              <w:bottom w:val="nil"/>
              <w:right w:val="nil"/>
            </w:tcBorders>
            <w:shd w:val="clear" w:color="000000" w:fill="FFFFFF"/>
            <w:vAlign w:val="center"/>
            <w:hideMark/>
          </w:tcPr>
          <w:p w14:paraId="5812337C"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30,6</w:t>
            </w:r>
          </w:p>
        </w:tc>
        <w:tc>
          <w:tcPr>
            <w:tcW w:w="399" w:type="pct"/>
            <w:tcBorders>
              <w:top w:val="nil"/>
              <w:left w:val="nil"/>
              <w:bottom w:val="nil"/>
              <w:right w:val="nil"/>
            </w:tcBorders>
            <w:shd w:val="clear" w:color="000000" w:fill="FFFFFF"/>
            <w:vAlign w:val="center"/>
            <w:hideMark/>
          </w:tcPr>
          <w:p w14:paraId="4D4DF104"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36,7</w:t>
            </w:r>
          </w:p>
        </w:tc>
      </w:tr>
      <w:tr w:rsidR="00CB16AA" w:rsidRPr="00666914" w14:paraId="237F6EB3" w14:textId="77777777" w:rsidTr="00985E7A">
        <w:trPr>
          <w:trHeight w:val="330"/>
        </w:trPr>
        <w:tc>
          <w:tcPr>
            <w:tcW w:w="2304" w:type="pct"/>
            <w:tcBorders>
              <w:top w:val="nil"/>
              <w:left w:val="nil"/>
              <w:bottom w:val="nil"/>
              <w:right w:val="nil"/>
            </w:tcBorders>
            <w:shd w:val="clear" w:color="000000" w:fill="FFFFFF"/>
            <w:vAlign w:val="center"/>
            <w:hideMark/>
          </w:tcPr>
          <w:p w14:paraId="7A0F5035" w14:textId="77777777" w:rsidR="00CB16AA" w:rsidRPr="00666914" w:rsidRDefault="00CB16AA" w:rsidP="00985E7A">
            <w:pPr>
              <w:spacing w:after="0"/>
              <w:rPr>
                <w:rFonts w:eastAsia="Times New Roman" w:cs="Calibri"/>
                <w:sz w:val="20"/>
                <w:szCs w:val="20"/>
                <w:lang w:eastAsia="sk-SK"/>
              </w:rPr>
            </w:pPr>
            <w:r w:rsidRPr="00666914">
              <w:rPr>
                <w:rFonts w:eastAsia="Times New Roman" w:cs="Calibri"/>
                <w:sz w:val="20"/>
                <w:szCs w:val="20"/>
                <w:lang w:eastAsia="sk-SK"/>
              </w:rPr>
              <w:t>Náklady na nákup elektriny na základe zmlúv na rok 2017</w:t>
            </w:r>
          </w:p>
        </w:tc>
        <w:tc>
          <w:tcPr>
            <w:tcW w:w="1100" w:type="pct"/>
            <w:tcBorders>
              <w:top w:val="nil"/>
              <w:left w:val="nil"/>
              <w:bottom w:val="nil"/>
              <w:right w:val="nil"/>
            </w:tcBorders>
            <w:shd w:val="clear" w:color="000000" w:fill="FFFFFF"/>
            <w:vAlign w:val="center"/>
            <w:hideMark/>
          </w:tcPr>
          <w:p w14:paraId="388503DB"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mil. eur</w:t>
            </w:r>
          </w:p>
        </w:tc>
        <w:tc>
          <w:tcPr>
            <w:tcW w:w="399" w:type="pct"/>
            <w:tcBorders>
              <w:top w:val="nil"/>
              <w:left w:val="nil"/>
              <w:bottom w:val="nil"/>
              <w:right w:val="nil"/>
            </w:tcBorders>
            <w:shd w:val="clear" w:color="000000" w:fill="FFFFFF"/>
            <w:vAlign w:val="center"/>
            <w:hideMark/>
          </w:tcPr>
          <w:p w14:paraId="61F1B31C" w14:textId="77777777" w:rsidR="00CB16AA" w:rsidRPr="00666914" w:rsidRDefault="00CB16AA" w:rsidP="00985E7A">
            <w:pPr>
              <w:spacing w:after="0"/>
              <w:jc w:val="center"/>
              <w:rPr>
                <w:rFonts w:eastAsia="Times New Roman" w:cs="Calibri"/>
                <w:sz w:val="20"/>
                <w:szCs w:val="20"/>
                <w:lang w:eastAsia="sk-SK"/>
              </w:rPr>
            </w:pPr>
          </w:p>
        </w:tc>
        <w:tc>
          <w:tcPr>
            <w:tcW w:w="399" w:type="pct"/>
            <w:tcBorders>
              <w:top w:val="nil"/>
              <w:left w:val="nil"/>
              <w:bottom w:val="nil"/>
              <w:right w:val="nil"/>
            </w:tcBorders>
            <w:shd w:val="clear" w:color="000000" w:fill="FFFFFF"/>
            <w:vAlign w:val="center"/>
            <w:hideMark/>
          </w:tcPr>
          <w:p w14:paraId="10712F1D"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23,6</w:t>
            </w:r>
          </w:p>
        </w:tc>
        <w:tc>
          <w:tcPr>
            <w:tcW w:w="399" w:type="pct"/>
            <w:tcBorders>
              <w:top w:val="nil"/>
              <w:left w:val="nil"/>
              <w:bottom w:val="nil"/>
              <w:right w:val="nil"/>
            </w:tcBorders>
            <w:shd w:val="clear" w:color="000000" w:fill="FFFFFF"/>
            <w:vAlign w:val="center"/>
            <w:hideMark/>
          </w:tcPr>
          <w:p w14:paraId="61291B43"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29,7</w:t>
            </w:r>
          </w:p>
        </w:tc>
        <w:tc>
          <w:tcPr>
            <w:tcW w:w="399" w:type="pct"/>
            <w:tcBorders>
              <w:top w:val="nil"/>
              <w:left w:val="nil"/>
              <w:bottom w:val="nil"/>
              <w:right w:val="nil"/>
            </w:tcBorders>
            <w:shd w:val="clear" w:color="000000" w:fill="FFFFFF"/>
            <w:vAlign w:val="center"/>
            <w:hideMark/>
          </w:tcPr>
          <w:p w14:paraId="0107CE3B" w14:textId="77777777" w:rsidR="00CB16AA" w:rsidRPr="00666914" w:rsidRDefault="00CB16AA" w:rsidP="00985E7A">
            <w:pPr>
              <w:spacing w:after="0"/>
              <w:jc w:val="center"/>
              <w:rPr>
                <w:rFonts w:eastAsia="Times New Roman" w:cs="Calibri"/>
                <w:sz w:val="20"/>
                <w:szCs w:val="20"/>
                <w:lang w:eastAsia="sk-SK"/>
              </w:rPr>
            </w:pPr>
            <w:r w:rsidRPr="00666914">
              <w:rPr>
                <w:rFonts w:eastAsia="Times New Roman" w:cs="Calibri"/>
                <w:sz w:val="20"/>
                <w:szCs w:val="20"/>
                <w:lang w:eastAsia="sk-SK"/>
              </w:rPr>
              <w:t>36,2</w:t>
            </w:r>
          </w:p>
        </w:tc>
      </w:tr>
      <w:tr w:rsidR="00CB16AA" w:rsidRPr="00666914" w14:paraId="3E51B290" w14:textId="77777777" w:rsidTr="00985E7A">
        <w:trPr>
          <w:trHeight w:val="330"/>
        </w:trPr>
        <w:tc>
          <w:tcPr>
            <w:tcW w:w="2304" w:type="pct"/>
            <w:tcBorders>
              <w:top w:val="nil"/>
              <w:left w:val="nil"/>
              <w:bottom w:val="single" w:sz="4" w:space="0" w:color="auto"/>
              <w:right w:val="nil"/>
            </w:tcBorders>
            <w:shd w:val="clear" w:color="000000" w:fill="FFFFFF"/>
            <w:vAlign w:val="center"/>
            <w:hideMark/>
          </w:tcPr>
          <w:p w14:paraId="6AC68485" w14:textId="77777777" w:rsidR="00CB16AA" w:rsidRPr="00666914" w:rsidRDefault="00CB16AA" w:rsidP="00985E7A">
            <w:pPr>
              <w:spacing w:after="0"/>
              <w:rPr>
                <w:rFonts w:eastAsia="Times New Roman" w:cs="Calibri"/>
                <w:b/>
                <w:sz w:val="20"/>
                <w:szCs w:val="20"/>
                <w:lang w:eastAsia="sk-SK"/>
              </w:rPr>
            </w:pPr>
            <w:r w:rsidRPr="00666914">
              <w:rPr>
                <w:rFonts w:eastAsia="Times New Roman" w:cs="Calibri"/>
                <w:b/>
                <w:sz w:val="20"/>
                <w:szCs w:val="20"/>
                <w:lang w:eastAsia="sk-SK"/>
              </w:rPr>
              <w:t xml:space="preserve">Odhad ročnej úspory </w:t>
            </w:r>
          </w:p>
        </w:tc>
        <w:tc>
          <w:tcPr>
            <w:tcW w:w="1100" w:type="pct"/>
            <w:tcBorders>
              <w:top w:val="nil"/>
              <w:left w:val="nil"/>
              <w:bottom w:val="single" w:sz="4" w:space="0" w:color="auto"/>
              <w:right w:val="nil"/>
            </w:tcBorders>
            <w:shd w:val="clear" w:color="000000" w:fill="FFFFFF"/>
            <w:vAlign w:val="center"/>
            <w:hideMark/>
          </w:tcPr>
          <w:p w14:paraId="5CD6D033" w14:textId="77777777" w:rsidR="00CB16AA" w:rsidRPr="00666914" w:rsidRDefault="00CB16AA" w:rsidP="00985E7A">
            <w:pPr>
              <w:spacing w:after="0"/>
              <w:jc w:val="center"/>
              <w:rPr>
                <w:rFonts w:eastAsia="Times New Roman" w:cs="Calibri"/>
                <w:b/>
                <w:sz w:val="20"/>
                <w:szCs w:val="20"/>
                <w:lang w:eastAsia="sk-SK"/>
              </w:rPr>
            </w:pPr>
            <w:r w:rsidRPr="00666914">
              <w:rPr>
                <w:rFonts w:eastAsia="Times New Roman" w:cs="Calibri"/>
                <w:b/>
                <w:sz w:val="20"/>
                <w:szCs w:val="20"/>
                <w:lang w:eastAsia="sk-SK"/>
              </w:rPr>
              <w:t>mil. eur</w:t>
            </w:r>
          </w:p>
        </w:tc>
        <w:tc>
          <w:tcPr>
            <w:tcW w:w="399" w:type="pct"/>
            <w:tcBorders>
              <w:top w:val="nil"/>
              <w:left w:val="nil"/>
              <w:bottom w:val="single" w:sz="4" w:space="0" w:color="auto"/>
              <w:right w:val="nil"/>
            </w:tcBorders>
            <w:shd w:val="clear" w:color="000000" w:fill="FFFFFF"/>
            <w:vAlign w:val="center"/>
            <w:hideMark/>
          </w:tcPr>
          <w:p w14:paraId="37FE09B9" w14:textId="77777777" w:rsidR="00CB16AA" w:rsidRPr="00666914" w:rsidRDefault="00CB16AA" w:rsidP="00985E7A">
            <w:pPr>
              <w:spacing w:after="0"/>
              <w:jc w:val="center"/>
              <w:rPr>
                <w:rFonts w:eastAsia="Times New Roman" w:cs="Calibri"/>
                <w:b/>
                <w:sz w:val="20"/>
                <w:szCs w:val="20"/>
                <w:lang w:eastAsia="sk-SK"/>
              </w:rPr>
            </w:pPr>
          </w:p>
        </w:tc>
        <w:tc>
          <w:tcPr>
            <w:tcW w:w="399" w:type="pct"/>
            <w:tcBorders>
              <w:top w:val="nil"/>
              <w:left w:val="nil"/>
              <w:bottom w:val="single" w:sz="4" w:space="0" w:color="auto"/>
              <w:right w:val="nil"/>
            </w:tcBorders>
            <w:shd w:val="clear" w:color="000000" w:fill="FFFFFF"/>
            <w:vAlign w:val="center"/>
            <w:hideMark/>
          </w:tcPr>
          <w:p w14:paraId="27C7C5D7" w14:textId="77777777" w:rsidR="00CB16AA" w:rsidRPr="00666914" w:rsidRDefault="00CB16AA" w:rsidP="00985E7A">
            <w:pPr>
              <w:spacing w:after="0"/>
              <w:jc w:val="center"/>
              <w:rPr>
                <w:rFonts w:eastAsia="Times New Roman" w:cs="Calibri"/>
                <w:b/>
                <w:sz w:val="20"/>
                <w:szCs w:val="20"/>
                <w:lang w:eastAsia="sk-SK"/>
              </w:rPr>
            </w:pPr>
            <w:r w:rsidRPr="00666914">
              <w:rPr>
                <w:rFonts w:eastAsia="Times New Roman" w:cs="Calibri"/>
                <w:b/>
                <w:sz w:val="20"/>
                <w:szCs w:val="20"/>
                <w:lang w:eastAsia="sk-SK"/>
              </w:rPr>
              <w:t>3,2</w:t>
            </w:r>
          </w:p>
        </w:tc>
        <w:tc>
          <w:tcPr>
            <w:tcW w:w="399" w:type="pct"/>
            <w:tcBorders>
              <w:top w:val="nil"/>
              <w:left w:val="nil"/>
              <w:bottom w:val="single" w:sz="4" w:space="0" w:color="auto"/>
              <w:right w:val="nil"/>
            </w:tcBorders>
            <w:shd w:val="clear" w:color="000000" w:fill="FFFFFF"/>
            <w:vAlign w:val="center"/>
            <w:hideMark/>
          </w:tcPr>
          <w:p w14:paraId="35FD9575" w14:textId="77777777" w:rsidR="00CB16AA" w:rsidRPr="00666914" w:rsidRDefault="00CB16AA" w:rsidP="00985E7A">
            <w:pPr>
              <w:spacing w:after="0"/>
              <w:jc w:val="center"/>
              <w:rPr>
                <w:rFonts w:eastAsia="Times New Roman" w:cs="Calibri"/>
                <w:b/>
                <w:sz w:val="20"/>
                <w:szCs w:val="20"/>
                <w:lang w:eastAsia="sk-SK"/>
              </w:rPr>
            </w:pPr>
            <w:r w:rsidRPr="00666914">
              <w:rPr>
                <w:rFonts w:eastAsia="Times New Roman" w:cs="Calibri"/>
                <w:b/>
                <w:sz w:val="20"/>
                <w:szCs w:val="20"/>
                <w:lang w:eastAsia="sk-SK"/>
              </w:rPr>
              <w:t>0,9</w:t>
            </w:r>
          </w:p>
        </w:tc>
        <w:tc>
          <w:tcPr>
            <w:tcW w:w="399" w:type="pct"/>
            <w:tcBorders>
              <w:top w:val="nil"/>
              <w:left w:val="nil"/>
              <w:bottom w:val="single" w:sz="4" w:space="0" w:color="auto"/>
              <w:right w:val="nil"/>
            </w:tcBorders>
            <w:shd w:val="clear" w:color="000000" w:fill="FFFFFF"/>
            <w:vAlign w:val="center"/>
            <w:hideMark/>
          </w:tcPr>
          <w:p w14:paraId="5C5B86DD" w14:textId="77777777" w:rsidR="00CB16AA" w:rsidRPr="00666914" w:rsidRDefault="00CB16AA" w:rsidP="00985E7A">
            <w:pPr>
              <w:spacing w:after="0"/>
              <w:jc w:val="center"/>
              <w:rPr>
                <w:rFonts w:eastAsia="Times New Roman" w:cs="Calibri"/>
                <w:b/>
                <w:sz w:val="20"/>
                <w:szCs w:val="20"/>
                <w:lang w:eastAsia="sk-SK"/>
              </w:rPr>
            </w:pPr>
            <w:r w:rsidRPr="00666914">
              <w:rPr>
                <w:rFonts w:eastAsia="Times New Roman" w:cs="Calibri"/>
                <w:b/>
                <w:sz w:val="20"/>
                <w:szCs w:val="20"/>
                <w:lang w:eastAsia="sk-SK"/>
              </w:rPr>
              <w:t>0,6</w:t>
            </w:r>
          </w:p>
        </w:tc>
      </w:tr>
    </w:tbl>
    <w:p w14:paraId="5F3C15D4" w14:textId="77777777" w:rsidR="00CB16AA" w:rsidRPr="00666914" w:rsidRDefault="00CB16AA" w:rsidP="00985E7A">
      <w:pPr>
        <w:spacing w:after="0"/>
        <w:rPr>
          <w:rFonts w:eastAsia="Times New Roman" w:cs="Calibri"/>
          <w:i/>
          <w:color w:val="000000"/>
          <w:sz w:val="18"/>
          <w:szCs w:val="18"/>
          <w:lang w:eastAsia="sk-SK"/>
        </w:rPr>
      </w:pPr>
      <w:r w:rsidRPr="00666914">
        <w:rPr>
          <w:rFonts w:eastAsia="Times New Roman" w:cs="Calibri"/>
          <w:i/>
          <w:color w:val="000000"/>
          <w:sz w:val="18"/>
          <w:szCs w:val="18"/>
          <w:lang w:eastAsia="sk-SK"/>
        </w:rPr>
        <w:t xml:space="preserve">* Vážený priemer cien pred aukciou pre vlastnú spotrebu a aukciou pre tretie strany                                     </w:t>
      </w:r>
      <w:r w:rsidRPr="00666914">
        <w:rPr>
          <w:rFonts w:eastAsia="Times New Roman" w:cs="Calibri"/>
          <w:i/>
          <w:color w:val="000000"/>
          <w:sz w:val="18"/>
          <w:szCs w:val="18"/>
          <w:lang w:eastAsia="sk-SK"/>
        </w:rPr>
        <w:tab/>
      </w:r>
      <w:r w:rsidRPr="00666914">
        <w:rPr>
          <w:rFonts w:eastAsia="Times New Roman" w:cs="Calibri"/>
          <w:i/>
          <w:color w:val="000000"/>
          <w:sz w:val="18"/>
          <w:szCs w:val="18"/>
          <w:lang w:eastAsia="sk-SK"/>
        </w:rPr>
        <w:tab/>
      </w:r>
      <w:r w:rsidRPr="00666914">
        <w:rPr>
          <w:rFonts w:eastAsia="Times New Roman" w:cs="Calibri"/>
          <w:i/>
          <w:color w:val="212121"/>
          <w:sz w:val="18"/>
          <w:szCs w:val="18"/>
          <w:lang w:eastAsia="sk-SK"/>
        </w:rPr>
        <w:t>Zdroj: CRZ, ŽSR</w:t>
      </w:r>
    </w:p>
    <w:p w14:paraId="1F1E45DA" w14:textId="77777777" w:rsidR="00CB16AA" w:rsidRPr="00666914" w:rsidRDefault="00CB16AA" w:rsidP="00985E7A">
      <w:pPr>
        <w:spacing w:after="0"/>
        <w:ind w:left="720"/>
        <w:contextualSpacing/>
      </w:pPr>
    </w:p>
    <w:p w14:paraId="676A7BE2" w14:textId="77777777" w:rsidR="00CB16AA" w:rsidRPr="00666914" w:rsidRDefault="00CB16AA" w:rsidP="00312C28">
      <w:pPr>
        <w:numPr>
          <w:ilvl w:val="0"/>
          <w:numId w:val="34"/>
        </w:numPr>
        <w:contextualSpacing/>
        <w:rPr>
          <w:b/>
          <w:u w:val="single"/>
        </w:rPr>
      </w:pPr>
      <w:r w:rsidRPr="00666914">
        <w:rPr>
          <w:b/>
          <w:u w:val="single"/>
        </w:rPr>
        <w:t>Hľadať opatrenia na optimalizáciu jednotkových nákladov a zvyšovanie výnosov, spolu o 20 % v dotovanej verejnej osobnej železničnej doprave</w:t>
      </w:r>
      <w:r w:rsidRPr="00666914">
        <w:t xml:space="preserve"> </w:t>
      </w:r>
    </w:p>
    <w:p w14:paraId="7B1F7613" w14:textId="77777777" w:rsidR="00CB16AA" w:rsidRPr="00666914" w:rsidRDefault="00CB16AA" w:rsidP="00985E7A">
      <w:pPr>
        <w:ind w:left="360"/>
        <w:contextualSpacing/>
        <w:rPr>
          <w:b/>
          <w:u w:val="single"/>
        </w:rPr>
      </w:pPr>
      <w:r w:rsidRPr="00666914">
        <w:rPr>
          <w:b/>
          <w:color w:val="FFFFFF" w:themeColor="background1"/>
        </w:rPr>
        <w:t xml:space="preserve"> e</w:t>
      </w:r>
    </w:p>
    <w:p w14:paraId="0101A31A" w14:textId="06DDDE7F" w:rsidR="00CB16AA" w:rsidRPr="00666914" w:rsidRDefault="00CB16AA" w:rsidP="00985E7A">
      <w:r w:rsidRPr="00666914">
        <w:t>Na základe dohody v IP 2019 sa dané opatrenie odpočtuje podľa potenciá</w:t>
      </w:r>
      <w:r w:rsidR="00D67E6E" w:rsidRPr="00666914">
        <w:t>lnych merateľných ukazovateľov:</w:t>
      </w:r>
    </w:p>
    <w:p w14:paraId="36DADB03" w14:textId="77777777" w:rsidR="00CB16AA" w:rsidRPr="00666914" w:rsidRDefault="00CB16AA" w:rsidP="00312C28">
      <w:pPr>
        <w:pStyle w:val="Odsekzoznamu"/>
        <w:numPr>
          <w:ilvl w:val="0"/>
          <w:numId w:val="35"/>
        </w:numPr>
      </w:pPr>
      <w:r w:rsidRPr="00666914">
        <w:t>výška úhrady na objednaný produktívny 1 vlkm zo strany objednávateľa (MDV SR),</w:t>
      </w:r>
    </w:p>
    <w:p w14:paraId="0510CF45" w14:textId="77777777" w:rsidR="00CB16AA" w:rsidRPr="00666914" w:rsidRDefault="00CB16AA" w:rsidP="00312C28">
      <w:pPr>
        <w:pStyle w:val="Odsekzoznamu"/>
        <w:numPr>
          <w:ilvl w:val="0"/>
          <w:numId w:val="35"/>
        </w:numPr>
      </w:pPr>
      <w:r w:rsidRPr="00666914">
        <w:t>dotačná náročnosť na 1 oskm,</w:t>
      </w:r>
    </w:p>
    <w:p w14:paraId="70EC4C73" w14:textId="77777777" w:rsidR="00CB16AA" w:rsidRPr="00666914" w:rsidRDefault="00CB16AA" w:rsidP="00312C28">
      <w:pPr>
        <w:pStyle w:val="Odsekzoznamu"/>
        <w:numPr>
          <w:ilvl w:val="0"/>
          <w:numId w:val="35"/>
        </w:numPr>
      </w:pPr>
      <w:r w:rsidRPr="00666914">
        <w:t>tržby na vlkm,</w:t>
      </w:r>
    </w:p>
    <w:p w14:paraId="343DD56F" w14:textId="77777777" w:rsidR="00CB16AA" w:rsidRPr="00666914" w:rsidRDefault="00CB16AA" w:rsidP="00312C28">
      <w:pPr>
        <w:pStyle w:val="Odsekzoznamu"/>
        <w:numPr>
          <w:ilvl w:val="0"/>
          <w:numId w:val="35"/>
        </w:numPr>
      </w:pPr>
      <w:r w:rsidRPr="00666914">
        <w:t>počet vlkm na hnacie vozidlo zo strany dopravcu (ZSSK),</w:t>
      </w:r>
    </w:p>
    <w:p w14:paraId="4331CE54" w14:textId="2A1EBDB9" w:rsidR="00CB16AA" w:rsidRPr="00666914" w:rsidRDefault="00CB16AA" w:rsidP="00985E7A">
      <w:pPr>
        <w:contextualSpacing/>
        <w:rPr>
          <w:b/>
          <w:u w:val="single"/>
        </w:rPr>
      </w:pPr>
      <w:r w:rsidRPr="00666914">
        <w:t>pričom prvé dva ukazovatele majú klesať a druhé dva stúpať (spolu v priemere medziročne o 5 %). Tieto ukazovatele sú podľa vyjadrenia ZSSK obchodným tajomstvom a nie je ich možné v správe zverejniť. Z tohto dôvodu IJ ÚV SR zverejňuje iba medziročné zmeny daných ukazovateľov.</w:t>
      </w:r>
    </w:p>
    <w:p w14:paraId="68C53F89" w14:textId="62C39209" w:rsidR="00074E42" w:rsidRDefault="00074E42">
      <w:pPr>
        <w:spacing w:after="0"/>
        <w:jc w:val="left"/>
        <w:rPr>
          <w:b/>
        </w:rPr>
      </w:pPr>
      <w:r>
        <w:rPr>
          <w:b/>
        </w:rPr>
        <w:br w:type="page"/>
      </w:r>
    </w:p>
    <w:p w14:paraId="72234E7F" w14:textId="003CCC32" w:rsidR="00CB16AA" w:rsidRPr="00666914" w:rsidRDefault="00CB16AA" w:rsidP="00985E7A">
      <w:pPr>
        <w:pBdr>
          <w:bottom w:val="single" w:sz="4" w:space="1" w:color="auto"/>
        </w:pBdr>
        <w:spacing w:after="0"/>
        <w:rPr>
          <w:b/>
          <w:sz w:val="20"/>
          <w:szCs w:val="20"/>
        </w:rPr>
      </w:pPr>
      <w:bookmarkStart w:id="228" w:name="_Toc21522796"/>
      <w:bookmarkStart w:id="229" w:name="_Toc38447701"/>
      <w:r w:rsidRPr="00666914">
        <w:rPr>
          <w:b/>
          <w:sz w:val="20"/>
          <w:szCs w:val="20"/>
        </w:rPr>
        <w:lastRenderedPageBreak/>
        <w:t xml:space="preserve">Tabuľka </w:t>
      </w:r>
      <w:r w:rsidRPr="00666914">
        <w:rPr>
          <w:b/>
          <w:sz w:val="20"/>
          <w:szCs w:val="20"/>
        </w:rPr>
        <w:fldChar w:fldCharType="begin"/>
      </w:r>
      <w:r w:rsidRPr="00666914">
        <w:rPr>
          <w:b/>
          <w:sz w:val="20"/>
          <w:szCs w:val="20"/>
        </w:rPr>
        <w:instrText xml:space="preserve"> SEQ Tabuľka \* ARABIC  \* MERGEFORMAT </w:instrText>
      </w:r>
      <w:r w:rsidRPr="00666914">
        <w:rPr>
          <w:b/>
          <w:sz w:val="20"/>
          <w:szCs w:val="20"/>
        </w:rPr>
        <w:fldChar w:fldCharType="separate"/>
      </w:r>
      <w:r w:rsidR="005A7304">
        <w:rPr>
          <w:b/>
          <w:noProof/>
          <w:sz w:val="20"/>
          <w:szCs w:val="20"/>
        </w:rPr>
        <w:t>40</w:t>
      </w:r>
      <w:r w:rsidRPr="00666914">
        <w:rPr>
          <w:b/>
          <w:sz w:val="20"/>
          <w:szCs w:val="20"/>
        </w:rPr>
        <w:fldChar w:fldCharType="end"/>
      </w:r>
      <w:r w:rsidRPr="00666914">
        <w:rPr>
          <w:b/>
          <w:sz w:val="20"/>
          <w:szCs w:val="20"/>
        </w:rPr>
        <w:t>: Medziročné zmeny ukazovateľov ZSSK v roku 2019</w:t>
      </w:r>
      <w:bookmarkEnd w:id="228"/>
      <w:bookmarkEnd w:id="229"/>
    </w:p>
    <w:tbl>
      <w:tblPr>
        <w:tblW w:w="5000" w:type="pct"/>
        <w:tblLayout w:type="fixed"/>
        <w:tblCellMar>
          <w:left w:w="70" w:type="dxa"/>
          <w:right w:w="70" w:type="dxa"/>
        </w:tblCellMar>
        <w:tblLook w:val="04A0" w:firstRow="1" w:lastRow="0" w:firstColumn="1" w:lastColumn="0" w:noHBand="0" w:noVBand="1"/>
      </w:tblPr>
      <w:tblGrid>
        <w:gridCol w:w="3489"/>
        <w:gridCol w:w="614"/>
        <w:gridCol w:w="614"/>
        <w:gridCol w:w="614"/>
        <w:gridCol w:w="614"/>
        <w:gridCol w:w="754"/>
        <w:gridCol w:w="1091"/>
        <w:gridCol w:w="1424"/>
      </w:tblGrid>
      <w:tr w:rsidR="0005323B" w:rsidRPr="00666914" w14:paraId="17107E39" w14:textId="77777777" w:rsidTr="0005323B">
        <w:trPr>
          <w:trHeight w:val="290"/>
        </w:trPr>
        <w:tc>
          <w:tcPr>
            <w:tcW w:w="1893" w:type="pct"/>
            <w:tcBorders>
              <w:top w:val="nil"/>
              <w:left w:val="nil"/>
              <w:bottom w:val="nil"/>
              <w:right w:val="nil"/>
            </w:tcBorders>
            <w:shd w:val="clear" w:color="auto" w:fill="auto"/>
            <w:noWrap/>
            <w:vAlign w:val="bottom"/>
            <w:hideMark/>
          </w:tcPr>
          <w:p w14:paraId="33088D13" w14:textId="77777777" w:rsidR="0005323B" w:rsidRPr="00666914" w:rsidRDefault="0005323B" w:rsidP="0005323B">
            <w:pPr>
              <w:spacing w:after="0"/>
              <w:jc w:val="left"/>
              <w:rPr>
                <w:rFonts w:ascii="Times New Roman" w:eastAsia="Times New Roman" w:hAnsi="Times New Roman"/>
                <w:sz w:val="20"/>
                <w:szCs w:val="20"/>
                <w:lang w:eastAsia="sk-SK"/>
              </w:rPr>
            </w:pPr>
          </w:p>
        </w:tc>
        <w:tc>
          <w:tcPr>
            <w:tcW w:w="1741" w:type="pct"/>
            <w:gridSpan w:val="5"/>
            <w:tcBorders>
              <w:top w:val="nil"/>
              <w:left w:val="nil"/>
              <w:bottom w:val="nil"/>
              <w:right w:val="nil"/>
            </w:tcBorders>
            <w:shd w:val="clear" w:color="auto" w:fill="auto"/>
            <w:vAlign w:val="bottom"/>
            <w:hideMark/>
          </w:tcPr>
          <w:p w14:paraId="6A18EEA9" w14:textId="77777777" w:rsidR="0005323B" w:rsidRPr="00666914" w:rsidRDefault="0005323B" w:rsidP="0005323B">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Medziročná zmena</w:t>
            </w:r>
          </w:p>
        </w:tc>
        <w:tc>
          <w:tcPr>
            <w:tcW w:w="592" w:type="pct"/>
            <w:tcBorders>
              <w:top w:val="nil"/>
              <w:left w:val="nil"/>
              <w:bottom w:val="nil"/>
              <w:right w:val="nil"/>
            </w:tcBorders>
            <w:shd w:val="clear" w:color="auto" w:fill="auto"/>
            <w:noWrap/>
            <w:vAlign w:val="bottom"/>
            <w:hideMark/>
          </w:tcPr>
          <w:p w14:paraId="5988C4A6" w14:textId="77777777" w:rsidR="0005323B" w:rsidRPr="00666914" w:rsidRDefault="0005323B" w:rsidP="0005323B">
            <w:pPr>
              <w:spacing w:after="0"/>
              <w:jc w:val="center"/>
              <w:rPr>
                <w:rFonts w:eastAsia="Times New Roman" w:cs="Calibri"/>
                <w:b/>
                <w:bCs/>
                <w:color w:val="000000"/>
                <w:sz w:val="20"/>
                <w:szCs w:val="20"/>
                <w:lang w:eastAsia="sk-SK"/>
              </w:rPr>
            </w:pPr>
          </w:p>
        </w:tc>
        <w:tc>
          <w:tcPr>
            <w:tcW w:w="773" w:type="pct"/>
            <w:tcBorders>
              <w:top w:val="nil"/>
              <w:left w:val="nil"/>
              <w:bottom w:val="nil"/>
              <w:right w:val="nil"/>
            </w:tcBorders>
            <w:shd w:val="clear" w:color="auto" w:fill="auto"/>
            <w:noWrap/>
            <w:vAlign w:val="bottom"/>
            <w:hideMark/>
          </w:tcPr>
          <w:p w14:paraId="6EED0CC9" w14:textId="77777777" w:rsidR="0005323B" w:rsidRPr="00666914" w:rsidRDefault="0005323B" w:rsidP="0005323B">
            <w:pPr>
              <w:spacing w:after="0"/>
              <w:jc w:val="left"/>
              <w:rPr>
                <w:rFonts w:ascii="Times New Roman" w:eastAsia="Times New Roman" w:hAnsi="Times New Roman"/>
                <w:sz w:val="20"/>
                <w:szCs w:val="20"/>
                <w:lang w:eastAsia="sk-SK"/>
              </w:rPr>
            </w:pPr>
          </w:p>
        </w:tc>
      </w:tr>
      <w:tr w:rsidR="0005323B" w:rsidRPr="00666914" w14:paraId="4DB200D5" w14:textId="77777777" w:rsidTr="0005323B">
        <w:trPr>
          <w:trHeight w:val="290"/>
        </w:trPr>
        <w:tc>
          <w:tcPr>
            <w:tcW w:w="1893" w:type="pct"/>
            <w:tcBorders>
              <w:top w:val="nil"/>
              <w:left w:val="nil"/>
              <w:bottom w:val="single" w:sz="4" w:space="0" w:color="auto"/>
              <w:right w:val="nil"/>
            </w:tcBorders>
            <w:shd w:val="clear" w:color="auto" w:fill="auto"/>
            <w:noWrap/>
            <w:vAlign w:val="bottom"/>
            <w:hideMark/>
          </w:tcPr>
          <w:p w14:paraId="6EC70647" w14:textId="77777777" w:rsidR="0005323B" w:rsidRPr="00666914" w:rsidRDefault="0005323B" w:rsidP="0005323B">
            <w:pPr>
              <w:spacing w:after="0"/>
              <w:jc w:val="left"/>
              <w:rPr>
                <w:rFonts w:ascii="Calibri" w:eastAsia="Times New Roman" w:hAnsi="Calibri" w:cs="Calibri"/>
                <w:color w:val="000000"/>
                <w:lang w:eastAsia="sk-SK"/>
              </w:rPr>
            </w:pPr>
            <w:r w:rsidRPr="00666914">
              <w:rPr>
                <w:rFonts w:ascii="Calibri" w:eastAsia="Times New Roman" w:hAnsi="Calibri" w:cs="Calibri"/>
                <w:color w:val="000000"/>
                <w:lang w:eastAsia="sk-SK"/>
              </w:rPr>
              <w:t> </w:t>
            </w:r>
          </w:p>
        </w:tc>
        <w:tc>
          <w:tcPr>
            <w:tcW w:w="333" w:type="pct"/>
            <w:tcBorders>
              <w:top w:val="nil"/>
              <w:left w:val="nil"/>
              <w:bottom w:val="single" w:sz="4" w:space="0" w:color="auto"/>
              <w:right w:val="nil"/>
            </w:tcBorders>
            <w:shd w:val="clear" w:color="auto" w:fill="auto"/>
            <w:vAlign w:val="bottom"/>
            <w:hideMark/>
          </w:tcPr>
          <w:p w14:paraId="6448CD20" w14:textId="77777777" w:rsidR="0005323B" w:rsidRPr="00666914" w:rsidRDefault="0005323B" w:rsidP="0005323B">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1Q2019</w:t>
            </w:r>
          </w:p>
        </w:tc>
        <w:tc>
          <w:tcPr>
            <w:tcW w:w="333" w:type="pct"/>
            <w:tcBorders>
              <w:top w:val="nil"/>
              <w:left w:val="nil"/>
              <w:bottom w:val="single" w:sz="4" w:space="0" w:color="auto"/>
              <w:right w:val="nil"/>
            </w:tcBorders>
            <w:shd w:val="clear" w:color="auto" w:fill="auto"/>
            <w:vAlign w:val="bottom"/>
            <w:hideMark/>
          </w:tcPr>
          <w:p w14:paraId="57F21DDD" w14:textId="77777777" w:rsidR="0005323B" w:rsidRPr="00666914" w:rsidRDefault="0005323B" w:rsidP="0005323B">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2Q2019</w:t>
            </w:r>
          </w:p>
        </w:tc>
        <w:tc>
          <w:tcPr>
            <w:tcW w:w="333" w:type="pct"/>
            <w:tcBorders>
              <w:top w:val="nil"/>
              <w:left w:val="nil"/>
              <w:bottom w:val="single" w:sz="4" w:space="0" w:color="auto"/>
              <w:right w:val="nil"/>
            </w:tcBorders>
            <w:shd w:val="clear" w:color="auto" w:fill="auto"/>
            <w:vAlign w:val="bottom"/>
            <w:hideMark/>
          </w:tcPr>
          <w:p w14:paraId="7E708DEF" w14:textId="77777777" w:rsidR="0005323B" w:rsidRPr="00666914" w:rsidRDefault="0005323B" w:rsidP="0005323B">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3Q2019</w:t>
            </w:r>
          </w:p>
        </w:tc>
        <w:tc>
          <w:tcPr>
            <w:tcW w:w="333" w:type="pct"/>
            <w:tcBorders>
              <w:top w:val="nil"/>
              <w:left w:val="nil"/>
              <w:bottom w:val="single" w:sz="4" w:space="0" w:color="auto"/>
              <w:right w:val="nil"/>
            </w:tcBorders>
            <w:shd w:val="clear" w:color="auto" w:fill="auto"/>
            <w:vAlign w:val="bottom"/>
            <w:hideMark/>
          </w:tcPr>
          <w:p w14:paraId="3F02042F" w14:textId="77777777" w:rsidR="0005323B" w:rsidRPr="00666914" w:rsidRDefault="0005323B" w:rsidP="0005323B">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4Q2019</w:t>
            </w:r>
          </w:p>
        </w:tc>
        <w:tc>
          <w:tcPr>
            <w:tcW w:w="408" w:type="pct"/>
            <w:tcBorders>
              <w:top w:val="nil"/>
              <w:left w:val="nil"/>
              <w:bottom w:val="single" w:sz="4" w:space="0" w:color="auto"/>
              <w:right w:val="nil"/>
            </w:tcBorders>
            <w:shd w:val="clear" w:color="auto" w:fill="auto"/>
            <w:vAlign w:val="bottom"/>
            <w:hideMark/>
          </w:tcPr>
          <w:p w14:paraId="4B674A60" w14:textId="77777777" w:rsidR="0005323B" w:rsidRPr="00666914" w:rsidRDefault="0005323B" w:rsidP="0005323B">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rok 2019</w:t>
            </w:r>
          </w:p>
        </w:tc>
        <w:tc>
          <w:tcPr>
            <w:tcW w:w="592" w:type="pct"/>
            <w:tcBorders>
              <w:top w:val="nil"/>
              <w:left w:val="nil"/>
              <w:bottom w:val="single" w:sz="4" w:space="0" w:color="auto"/>
              <w:right w:val="nil"/>
            </w:tcBorders>
            <w:shd w:val="clear" w:color="auto" w:fill="auto"/>
            <w:noWrap/>
            <w:vAlign w:val="bottom"/>
            <w:hideMark/>
          </w:tcPr>
          <w:p w14:paraId="549D33C5" w14:textId="77777777" w:rsidR="0005323B" w:rsidRPr="00666914" w:rsidRDefault="0005323B" w:rsidP="0005323B">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Plán 2019/2018</w:t>
            </w:r>
          </w:p>
        </w:tc>
        <w:tc>
          <w:tcPr>
            <w:tcW w:w="773" w:type="pct"/>
            <w:tcBorders>
              <w:top w:val="nil"/>
              <w:left w:val="nil"/>
              <w:bottom w:val="single" w:sz="4" w:space="0" w:color="auto"/>
              <w:right w:val="nil"/>
            </w:tcBorders>
            <w:shd w:val="clear" w:color="auto" w:fill="auto"/>
            <w:noWrap/>
            <w:vAlign w:val="bottom"/>
            <w:hideMark/>
          </w:tcPr>
          <w:p w14:paraId="2DD7DFD0" w14:textId="77777777" w:rsidR="0005323B" w:rsidRPr="00666914" w:rsidRDefault="0005323B" w:rsidP="0005323B">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Rozdiel oproti plánu</w:t>
            </w:r>
          </w:p>
        </w:tc>
      </w:tr>
      <w:tr w:rsidR="0005323B" w:rsidRPr="00666914" w14:paraId="494B3B28" w14:textId="77777777" w:rsidTr="0005323B">
        <w:trPr>
          <w:trHeight w:val="520"/>
        </w:trPr>
        <w:tc>
          <w:tcPr>
            <w:tcW w:w="1893" w:type="pct"/>
            <w:tcBorders>
              <w:top w:val="nil"/>
              <w:left w:val="nil"/>
              <w:bottom w:val="nil"/>
              <w:right w:val="nil"/>
            </w:tcBorders>
            <w:shd w:val="clear" w:color="auto" w:fill="auto"/>
            <w:vAlign w:val="center"/>
            <w:hideMark/>
          </w:tcPr>
          <w:p w14:paraId="40D6D627" w14:textId="77777777" w:rsidR="0005323B" w:rsidRPr="00666914" w:rsidRDefault="0005323B" w:rsidP="0005323B">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Výška úhrady na objednaný produktívny 1 vlkm zo strany objednávateľa</w:t>
            </w:r>
          </w:p>
        </w:tc>
        <w:tc>
          <w:tcPr>
            <w:tcW w:w="333" w:type="pct"/>
            <w:tcBorders>
              <w:top w:val="nil"/>
              <w:left w:val="nil"/>
              <w:bottom w:val="nil"/>
              <w:right w:val="nil"/>
            </w:tcBorders>
            <w:shd w:val="clear" w:color="auto" w:fill="auto"/>
            <w:noWrap/>
            <w:vAlign w:val="bottom"/>
            <w:hideMark/>
          </w:tcPr>
          <w:p w14:paraId="0CE269CB"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0,2%</w:t>
            </w:r>
          </w:p>
        </w:tc>
        <w:tc>
          <w:tcPr>
            <w:tcW w:w="333" w:type="pct"/>
            <w:tcBorders>
              <w:top w:val="nil"/>
              <w:left w:val="nil"/>
              <w:bottom w:val="nil"/>
              <w:right w:val="nil"/>
            </w:tcBorders>
            <w:shd w:val="clear" w:color="auto" w:fill="auto"/>
            <w:noWrap/>
            <w:vAlign w:val="bottom"/>
            <w:hideMark/>
          </w:tcPr>
          <w:p w14:paraId="65013921"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6,9%</w:t>
            </w:r>
          </w:p>
        </w:tc>
        <w:tc>
          <w:tcPr>
            <w:tcW w:w="333" w:type="pct"/>
            <w:tcBorders>
              <w:top w:val="nil"/>
              <w:left w:val="nil"/>
              <w:bottom w:val="nil"/>
              <w:right w:val="nil"/>
            </w:tcBorders>
            <w:shd w:val="clear" w:color="auto" w:fill="auto"/>
            <w:noWrap/>
            <w:vAlign w:val="bottom"/>
            <w:hideMark/>
          </w:tcPr>
          <w:p w14:paraId="7AF9A384"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6,0%</w:t>
            </w:r>
          </w:p>
        </w:tc>
        <w:tc>
          <w:tcPr>
            <w:tcW w:w="333" w:type="pct"/>
            <w:tcBorders>
              <w:top w:val="nil"/>
              <w:left w:val="nil"/>
              <w:bottom w:val="nil"/>
              <w:right w:val="nil"/>
            </w:tcBorders>
            <w:shd w:val="clear" w:color="auto" w:fill="auto"/>
            <w:noWrap/>
            <w:vAlign w:val="bottom"/>
            <w:hideMark/>
          </w:tcPr>
          <w:p w14:paraId="5602FACF"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18,5%</w:t>
            </w:r>
          </w:p>
        </w:tc>
        <w:tc>
          <w:tcPr>
            <w:tcW w:w="408" w:type="pct"/>
            <w:tcBorders>
              <w:top w:val="nil"/>
              <w:left w:val="nil"/>
              <w:bottom w:val="nil"/>
              <w:right w:val="nil"/>
            </w:tcBorders>
            <w:shd w:val="clear" w:color="auto" w:fill="auto"/>
            <w:noWrap/>
            <w:vAlign w:val="bottom"/>
            <w:hideMark/>
          </w:tcPr>
          <w:p w14:paraId="4B5CBAC7"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8,1%</w:t>
            </w:r>
          </w:p>
        </w:tc>
        <w:tc>
          <w:tcPr>
            <w:tcW w:w="592" w:type="pct"/>
            <w:tcBorders>
              <w:top w:val="nil"/>
              <w:left w:val="nil"/>
              <w:bottom w:val="nil"/>
              <w:right w:val="nil"/>
            </w:tcBorders>
            <w:shd w:val="clear" w:color="auto" w:fill="auto"/>
            <w:noWrap/>
            <w:vAlign w:val="bottom"/>
            <w:hideMark/>
          </w:tcPr>
          <w:p w14:paraId="3F764D7E"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-1,25%</w:t>
            </w:r>
          </w:p>
        </w:tc>
        <w:tc>
          <w:tcPr>
            <w:tcW w:w="773" w:type="pct"/>
            <w:tcBorders>
              <w:top w:val="nil"/>
              <w:left w:val="nil"/>
              <w:bottom w:val="nil"/>
              <w:right w:val="nil"/>
            </w:tcBorders>
            <w:shd w:val="clear" w:color="000000" w:fill="FF0000"/>
            <w:noWrap/>
            <w:vAlign w:val="bottom"/>
            <w:hideMark/>
          </w:tcPr>
          <w:p w14:paraId="3887B583"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9,3%</w:t>
            </w:r>
          </w:p>
        </w:tc>
      </w:tr>
      <w:tr w:rsidR="0005323B" w:rsidRPr="00666914" w14:paraId="2B5D9275" w14:textId="77777777" w:rsidTr="0005323B">
        <w:trPr>
          <w:trHeight w:val="290"/>
        </w:trPr>
        <w:tc>
          <w:tcPr>
            <w:tcW w:w="1893" w:type="pct"/>
            <w:tcBorders>
              <w:top w:val="nil"/>
              <w:left w:val="nil"/>
              <w:bottom w:val="nil"/>
              <w:right w:val="nil"/>
            </w:tcBorders>
            <w:shd w:val="clear" w:color="auto" w:fill="auto"/>
            <w:noWrap/>
            <w:vAlign w:val="bottom"/>
            <w:hideMark/>
          </w:tcPr>
          <w:p w14:paraId="66293BD4" w14:textId="77777777" w:rsidR="0005323B" w:rsidRPr="00666914" w:rsidRDefault="0005323B" w:rsidP="0005323B">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Prevádzková dotácia MDV na 1 osobokilometer (eur - cent)</w:t>
            </w:r>
          </w:p>
        </w:tc>
        <w:tc>
          <w:tcPr>
            <w:tcW w:w="333" w:type="pct"/>
            <w:tcBorders>
              <w:top w:val="nil"/>
              <w:left w:val="nil"/>
              <w:bottom w:val="nil"/>
              <w:right w:val="nil"/>
            </w:tcBorders>
            <w:shd w:val="clear" w:color="auto" w:fill="auto"/>
            <w:noWrap/>
            <w:vAlign w:val="bottom"/>
            <w:hideMark/>
          </w:tcPr>
          <w:p w14:paraId="56E92D19"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-1,4%</w:t>
            </w:r>
          </w:p>
        </w:tc>
        <w:tc>
          <w:tcPr>
            <w:tcW w:w="333" w:type="pct"/>
            <w:tcBorders>
              <w:top w:val="nil"/>
              <w:left w:val="nil"/>
              <w:bottom w:val="nil"/>
              <w:right w:val="nil"/>
            </w:tcBorders>
            <w:shd w:val="clear" w:color="auto" w:fill="auto"/>
            <w:noWrap/>
            <w:vAlign w:val="bottom"/>
            <w:hideMark/>
          </w:tcPr>
          <w:p w14:paraId="4A74064D"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5,3%</w:t>
            </w:r>
          </w:p>
        </w:tc>
        <w:tc>
          <w:tcPr>
            <w:tcW w:w="333" w:type="pct"/>
            <w:tcBorders>
              <w:top w:val="nil"/>
              <w:left w:val="nil"/>
              <w:bottom w:val="nil"/>
              <w:right w:val="nil"/>
            </w:tcBorders>
            <w:shd w:val="clear" w:color="auto" w:fill="auto"/>
            <w:noWrap/>
            <w:vAlign w:val="bottom"/>
            <w:hideMark/>
          </w:tcPr>
          <w:p w14:paraId="6022993A"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2,0%</w:t>
            </w:r>
          </w:p>
        </w:tc>
        <w:tc>
          <w:tcPr>
            <w:tcW w:w="333" w:type="pct"/>
            <w:tcBorders>
              <w:top w:val="nil"/>
              <w:left w:val="nil"/>
              <w:bottom w:val="nil"/>
              <w:right w:val="nil"/>
            </w:tcBorders>
            <w:shd w:val="clear" w:color="auto" w:fill="auto"/>
            <w:noWrap/>
            <w:vAlign w:val="bottom"/>
            <w:hideMark/>
          </w:tcPr>
          <w:p w14:paraId="2A5D3D6F"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15,6%</w:t>
            </w:r>
          </w:p>
        </w:tc>
        <w:tc>
          <w:tcPr>
            <w:tcW w:w="408" w:type="pct"/>
            <w:tcBorders>
              <w:top w:val="nil"/>
              <w:left w:val="nil"/>
              <w:bottom w:val="nil"/>
              <w:right w:val="nil"/>
            </w:tcBorders>
            <w:shd w:val="clear" w:color="auto" w:fill="auto"/>
            <w:noWrap/>
            <w:vAlign w:val="bottom"/>
            <w:hideMark/>
          </w:tcPr>
          <w:p w14:paraId="560A8C5C"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5,6%</w:t>
            </w:r>
          </w:p>
        </w:tc>
        <w:tc>
          <w:tcPr>
            <w:tcW w:w="592" w:type="pct"/>
            <w:tcBorders>
              <w:top w:val="nil"/>
              <w:left w:val="nil"/>
              <w:bottom w:val="nil"/>
              <w:right w:val="nil"/>
            </w:tcBorders>
            <w:shd w:val="clear" w:color="auto" w:fill="auto"/>
            <w:noWrap/>
            <w:vAlign w:val="bottom"/>
            <w:hideMark/>
          </w:tcPr>
          <w:p w14:paraId="6DB798BC"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-1,25%</w:t>
            </w:r>
          </w:p>
        </w:tc>
        <w:tc>
          <w:tcPr>
            <w:tcW w:w="773" w:type="pct"/>
            <w:tcBorders>
              <w:top w:val="nil"/>
              <w:left w:val="nil"/>
              <w:bottom w:val="nil"/>
              <w:right w:val="nil"/>
            </w:tcBorders>
            <w:shd w:val="clear" w:color="000000" w:fill="FF0000"/>
            <w:noWrap/>
            <w:vAlign w:val="bottom"/>
            <w:hideMark/>
          </w:tcPr>
          <w:p w14:paraId="376B530B"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6,8%</w:t>
            </w:r>
          </w:p>
        </w:tc>
      </w:tr>
      <w:tr w:rsidR="0005323B" w:rsidRPr="00666914" w14:paraId="6D4A8802" w14:textId="77777777" w:rsidTr="0005323B">
        <w:trPr>
          <w:trHeight w:val="290"/>
        </w:trPr>
        <w:tc>
          <w:tcPr>
            <w:tcW w:w="1893" w:type="pct"/>
            <w:tcBorders>
              <w:top w:val="nil"/>
              <w:left w:val="nil"/>
              <w:bottom w:val="nil"/>
              <w:right w:val="nil"/>
            </w:tcBorders>
            <w:shd w:val="clear" w:color="auto" w:fill="auto"/>
            <w:noWrap/>
            <w:vAlign w:val="bottom"/>
            <w:hideMark/>
          </w:tcPr>
          <w:p w14:paraId="3FC85497" w14:textId="77777777" w:rsidR="0005323B" w:rsidRPr="00666914" w:rsidRDefault="0005323B" w:rsidP="0005323B">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xml:space="preserve">Tržby z prepravy cestujúcich zo ZoDSVZ na vlkm ZoDSVZ </w:t>
            </w:r>
          </w:p>
        </w:tc>
        <w:tc>
          <w:tcPr>
            <w:tcW w:w="333" w:type="pct"/>
            <w:tcBorders>
              <w:top w:val="nil"/>
              <w:left w:val="nil"/>
              <w:bottom w:val="nil"/>
              <w:right w:val="nil"/>
            </w:tcBorders>
            <w:shd w:val="clear" w:color="auto" w:fill="auto"/>
            <w:noWrap/>
            <w:vAlign w:val="bottom"/>
            <w:hideMark/>
          </w:tcPr>
          <w:p w14:paraId="036206A4"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1,9%</w:t>
            </w:r>
          </w:p>
        </w:tc>
        <w:tc>
          <w:tcPr>
            <w:tcW w:w="333" w:type="pct"/>
            <w:tcBorders>
              <w:top w:val="nil"/>
              <w:left w:val="nil"/>
              <w:bottom w:val="nil"/>
              <w:right w:val="nil"/>
            </w:tcBorders>
            <w:shd w:val="clear" w:color="auto" w:fill="auto"/>
            <w:noWrap/>
            <w:vAlign w:val="bottom"/>
            <w:hideMark/>
          </w:tcPr>
          <w:p w14:paraId="62A576A0"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4,1%</w:t>
            </w:r>
          </w:p>
        </w:tc>
        <w:tc>
          <w:tcPr>
            <w:tcW w:w="333" w:type="pct"/>
            <w:tcBorders>
              <w:top w:val="nil"/>
              <w:left w:val="nil"/>
              <w:bottom w:val="nil"/>
              <w:right w:val="nil"/>
            </w:tcBorders>
            <w:shd w:val="clear" w:color="auto" w:fill="auto"/>
            <w:noWrap/>
            <w:vAlign w:val="bottom"/>
            <w:hideMark/>
          </w:tcPr>
          <w:p w14:paraId="00C4C90C"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2,8%</w:t>
            </w:r>
          </w:p>
        </w:tc>
        <w:tc>
          <w:tcPr>
            <w:tcW w:w="333" w:type="pct"/>
            <w:tcBorders>
              <w:top w:val="nil"/>
              <w:left w:val="nil"/>
              <w:bottom w:val="nil"/>
              <w:right w:val="nil"/>
            </w:tcBorders>
            <w:shd w:val="clear" w:color="auto" w:fill="auto"/>
            <w:noWrap/>
            <w:vAlign w:val="bottom"/>
            <w:hideMark/>
          </w:tcPr>
          <w:p w14:paraId="18617A93"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2,6%</w:t>
            </w:r>
          </w:p>
        </w:tc>
        <w:tc>
          <w:tcPr>
            <w:tcW w:w="408" w:type="pct"/>
            <w:tcBorders>
              <w:top w:val="nil"/>
              <w:left w:val="nil"/>
              <w:bottom w:val="nil"/>
              <w:right w:val="nil"/>
            </w:tcBorders>
            <w:shd w:val="clear" w:color="auto" w:fill="auto"/>
            <w:noWrap/>
            <w:vAlign w:val="bottom"/>
            <w:hideMark/>
          </w:tcPr>
          <w:p w14:paraId="6EA80921"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2,8%</w:t>
            </w:r>
          </w:p>
        </w:tc>
        <w:tc>
          <w:tcPr>
            <w:tcW w:w="592" w:type="pct"/>
            <w:tcBorders>
              <w:top w:val="nil"/>
              <w:left w:val="nil"/>
              <w:bottom w:val="nil"/>
              <w:right w:val="nil"/>
            </w:tcBorders>
            <w:shd w:val="clear" w:color="auto" w:fill="auto"/>
            <w:noWrap/>
            <w:vAlign w:val="bottom"/>
            <w:hideMark/>
          </w:tcPr>
          <w:p w14:paraId="3F733761"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1,25%</w:t>
            </w:r>
          </w:p>
        </w:tc>
        <w:tc>
          <w:tcPr>
            <w:tcW w:w="773" w:type="pct"/>
            <w:tcBorders>
              <w:top w:val="nil"/>
              <w:left w:val="nil"/>
              <w:bottom w:val="nil"/>
              <w:right w:val="nil"/>
            </w:tcBorders>
            <w:shd w:val="clear" w:color="000000" w:fill="92D050"/>
            <w:noWrap/>
            <w:vAlign w:val="bottom"/>
            <w:hideMark/>
          </w:tcPr>
          <w:p w14:paraId="42205430"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1,6%</w:t>
            </w:r>
          </w:p>
        </w:tc>
      </w:tr>
      <w:tr w:rsidR="0005323B" w:rsidRPr="00666914" w14:paraId="7845458E" w14:textId="77777777" w:rsidTr="0005323B">
        <w:trPr>
          <w:trHeight w:val="290"/>
        </w:trPr>
        <w:tc>
          <w:tcPr>
            <w:tcW w:w="1893" w:type="pct"/>
            <w:tcBorders>
              <w:top w:val="nil"/>
              <w:left w:val="nil"/>
              <w:bottom w:val="single" w:sz="4" w:space="0" w:color="auto"/>
              <w:right w:val="nil"/>
            </w:tcBorders>
            <w:shd w:val="clear" w:color="auto" w:fill="auto"/>
            <w:vAlign w:val="bottom"/>
            <w:hideMark/>
          </w:tcPr>
          <w:p w14:paraId="5F509502" w14:textId="77777777" w:rsidR="0005323B" w:rsidRPr="00666914" w:rsidRDefault="0005323B" w:rsidP="0005323B">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xml:space="preserve">Počet vlakokilometrov (dopravný výkon) na 1 hnacie vozidlo </w:t>
            </w:r>
          </w:p>
        </w:tc>
        <w:tc>
          <w:tcPr>
            <w:tcW w:w="333" w:type="pct"/>
            <w:tcBorders>
              <w:top w:val="nil"/>
              <w:left w:val="nil"/>
              <w:bottom w:val="single" w:sz="4" w:space="0" w:color="auto"/>
              <w:right w:val="nil"/>
            </w:tcBorders>
            <w:shd w:val="clear" w:color="auto" w:fill="auto"/>
            <w:noWrap/>
            <w:vAlign w:val="bottom"/>
            <w:hideMark/>
          </w:tcPr>
          <w:p w14:paraId="3171574D"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9,1%</w:t>
            </w:r>
          </w:p>
        </w:tc>
        <w:tc>
          <w:tcPr>
            <w:tcW w:w="333" w:type="pct"/>
            <w:tcBorders>
              <w:top w:val="nil"/>
              <w:left w:val="nil"/>
              <w:bottom w:val="single" w:sz="4" w:space="0" w:color="auto"/>
              <w:right w:val="nil"/>
            </w:tcBorders>
            <w:shd w:val="clear" w:color="auto" w:fill="auto"/>
            <w:noWrap/>
            <w:vAlign w:val="bottom"/>
            <w:hideMark/>
          </w:tcPr>
          <w:p w14:paraId="642EFC30"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7,1%</w:t>
            </w:r>
          </w:p>
        </w:tc>
        <w:tc>
          <w:tcPr>
            <w:tcW w:w="333" w:type="pct"/>
            <w:tcBorders>
              <w:top w:val="nil"/>
              <w:left w:val="nil"/>
              <w:bottom w:val="single" w:sz="4" w:space="0" w:color="auto"/>
              <w:right w:val="nil"/>
            </w:tcBorders>
            <w:shd w:val="clear" w:color="auto" w:fill="auto"/>
            <w:noWrap/>
            <w:vAlign w:val="bottom"/>
            <w:hideMark/>
          </w:tcPr>
          <w:p w14:paraId="798DA7C2"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6,2%</w:t>
            </w:r>
          </w:p>
        </w:tc>
        <w:tc>
          <w:tcPr>
            <w:tcW w:w="333" w:type="pct"/>
            <w:tcBorders>
              <w:top w:val="nil"/>
              <w:left w:val="nil"/>
              <w:bottom w:val="single" w:sz="4" w:space="0" w:color="auto"/>
              <w:right w:val="nil"/>
            </w:tcBorders>
            <w:shd w:val="clear" w:color="auto" w:fill="auto"/>
            <w:noWrap/>
            <w:vAlign w:val="bottom"/>
            <w:hideMark/>
          </w:tcPr>
          <w:p w14:paraId="4A69B403"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1,9%</w:t>
            </w:r>
          </w:p>
        </w:tc>
        <w:tc>
          <w:tcPr>
            <w:tcW w:w="408" w:type="pct"/>
            <w:tcBorders>
              <w:top w:val="nil"/>
              <w:left w:val="nil"/>
              <w:bottom w:val="single" w:sz="4" w:space="0" w:color="auto"/>
              <w:right w:val="nil"/>
            </w:tcBorders>
            <w:shd w:val="clear" w:color="auto" w:fill="auto"/>
            <w:noWrap/>
            <w:vAlign w:val="bottom"/>
            <w:hideMark/>
          </w:tcPr>
          <w:p w14:paraId="542BBEB7"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2,8%</w:t>
            </w:r>
          </w:p>
        </w:tc>
        <w:tc>
          <w:tcPr>
            <w:tcW w:w="592" w:type="pct"/>
            <w:tcBorders>
              <w:top w:val="nil"/>
              <w:left w:val="nil"/>
              <w:bottom w:val="single" w:sz="4" w:space="0" w:color="auto"/>
              <w:right w:val="nil"/>
            </w:tcBorders>
            <w:shd w:val="clear" w:color="auto" w:fill="auto"/>
            <w:noWrap/>
            <w:vAlign w:val="bottom"/>
            <w:hideMark/>
          </w:tcPr>
          <w:p w14:paraId="2D405457"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1,25%</w:t>
            </w:r>
          </w:p>
        </w:tc>
        <w:tc>
          <w:tcPr>
            <w:tcW w:w="773" w:type="pct"/>
            <w:tcBorders>
              <w:top w:val="nil"/>
              <w:left w:val="nil"/>
              <w:bottom w:val="single" w:sz="4" w:space="0" w:color="auto"/>
              <w:right w:val="nil"/>
            </w:tcBorders>
            <w:shd w:val="clear" w:color="000000" w:fill="92D050"/>
            <w:noWrap/>
            <w:vAlign w:val="bottom"/>
            <w:hideMark/>
          </w:tcPr>
          <w:p w14:paraId="17F049A0"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1,5%</w:t>
            </w:r>
          </w:p>
        </w:tc>
      </w:tr>
    </w:tbl>
    <w:p w14:paraId="320D9220" w14:textId="77777777" w:rsidR="00CB16AA" w:rsidRPr="00666914" w:rsidRDefault="00CB16AA" w:rsidP="00985E7A">
      <w:pPr>
        <w:spacing w:after="0"/>
        <w:jc w:val="right"/>
        <w:rPr>
          <w:i/>
          <w:sz w:val="18"/>
          <w:szCs w:val="18"/>
        </w:rPr>
      </w:pPr>
      <w:r w:rsidRPr="00666914">
        <w:rPr>
          <w:i/>
          <w:sz w:val="18"/>
          <w:szCs w:val="18"/>
        </w:rPr>
        <w:t>Zdroj: ZSSK, neauditované výsledky</w:t>
      </w:r>
    </w:p>
    <w:p w14:paraId="4DABB59C" w14:textId="77777777" w:rsidR="00CB16AA" w:rsidRPr="00666914" w:rsidRDefault="00CB16AA" w:rsidP="00985E7A">
      <w:pPr>
        <w:contextualSpacing/>
        <w:rPr>
          <w:color w:val="000000" w:themeColor="text1"/>
        </w:rPr>
      </w:pPr>
    </w:p>
    <w:p w14:paraId="4F63064D" w14:textId="77777777" w:rsidR="00CB16AA" w:rsidRPr="00666914" w:rsidRDefault="00CB16AA" w:rsidP="00985E7A">
      <w:pPr>
        <w:contextualSpacing/>
        <w:rPr>
          <w:color w:val="000000" w:themeColor="text1"/>
        </w:rPr>
      </w:pPr>
      <w:r w:rsidRPr="00666914">
        <w:rPr>
          <w:color w:val="000000" w:themeColor="text1"/>
        </w:rPr>
        <w:t xml:space="preserve">V roku 2019 došlo pri dvoch opatreniach (tržby na vlkm a počet vlkm na hnacie vozidlo) k plneniu plánovanej úspory a pri dvoch (výška úhrady na objednaný produktívny 1 vlkm a dotačná náročnosť na 1 oskm) k neplneniu úspory. Výsledkom je, že sa </w:t>
      </w:r>
      <w:r w:rsidRPr="00666914">
        <w:rPr>
          <w:b/>
          <w:color w:val="000000" w:themeColor="text1"/>
        </w:rPr>
        <w:t>opatrenie k 31.12.2019 plní čiastočne</w:t>
      </w:r>
      <w:r w:rsidRPr="00666914">
        <w:rPr>
          <w:color w:val="000000" w:themeColor="text1"/>
        </w:rPr>
        <w:t>.</w:t>
      </w:r>
    </w:p>
    <w:p w14:paraId="24F58FA4" w14:textId="77777777" w:rsidR="00CB16AA" w:rsidRPr="00666914" w:rsidRDefault="00CB16AA" w:rsidP="00985E7A">
      <w:pPr>
        <w:contextualSpacing/>
        <w:rPr>
          <w:color w:val="000000" w:themeColor="text1"/>
        </w:rPr>
      </w:pPr>
    </w:p>
    <w:p w14:paraId="7B944DFB" w14:textId="367714B0" w:rsidR="00CB16AA" w:rsidRPr="00666914" w:rsidRDefault="00CB16AA" w:rsidP="00985E7A">
      <w:pPr>
        <w:pBdr>
          <w:bottom w:val="single" w:sz="4" w:space="1" w:color="auto"/>
        </w:pBdr>
        <w:spacing w:after="0"/>
        <w:rPr>
          <w:b/>
          <w:sz w:val="20"/>
          <w:szCs w:val="20"/>
        </w:rPr>
      </w:pPr>
      <w:bookmarkStart w:id="230" w:name="_Toc21522797"/>
      <w:bookmarkStart w:id="231" w:name="_Toc38447702"/>
      <w:r w:rsidRPr="00666914">
        <w:rPr>
          <w:b/>
          <w:sz w:val="20"/>
          <w:szCs w:val="20"/>
        </w:rPr>
        <w:t xml:space="preserve">Tabuľka </w:t>
      </w:r>
      <w:r w:rsidRPr="00666914">
        <w:rPr>
          <w:b/>
          <w:sz w:val="20"/>
          <w:szCs w:val="20"/>
        </w:rPr>
        <w:fldChar w:fldCharType="begin"/>
      </w:r>
      <w:r w:rsidRPr="00666914">
        <w:rPr>
          <w:b/>
          <w:sz w:val="20"/>
          <w:szCs w:val="20"/>
        </w:rPr>
        <w:instrText xml:space="preserve"> SEQ Tabuľka \* ARABIC  \* MERGEFORMAT </w:instrText>
      </w:r>
      <w:r w:rsidRPr="00666914">
        <w:rPr>
          <w:b/>
          <w:sz w:val="20"/>
          <w:szCs w:val="20"/>
        </w:rPr>
        <w:fldChar w:fldCharType="separate"/>
      </w:r>
      <w:r w:rsidR="005A7304">
        <w:rPr>
          <w:b/>
          <w:noProof/>
          <w:sz w:val="20"/>
          <w:szCs w:val="20"/>
        </w:rPr>
        <w:t>41</w:t>
      </w:r>
      <w:r w:rsidRPr="00666914">
        <w:rPr>
          <w:b/>
          <w:sz w:val="20"/>
          <w:szCs w:val="20"/>
        </w:rPr>
        <w:fldChar w:fldCharType="end"/>
      </w:r>
      <w:r w:rsidRPr="00666914">
        <w:rPr>
          <w:b/>
          <w:sz w:val="20"/>
          <w:szCs w:val="20"/>
        </w:rPr>
        <w:t>: Medziročné zmeny ukazovateľov ZSSK za 2016-2019</w:t>
      </w:r>
      <w:bookmarkEnd w:id="230"/>
      <w:bookmarkEnd w:id="231"/>
    </w:p>
    <w:tbl>
      <w:tblPr>
        <w:tblW w:w="5000" w:type="pct"/>
        <w:tblCellMar>
          <w:left w:w="70" w:type="dxa"/>
          <w:right w:w="70" w:type="dxa"/>
        </w:tblCellMar>
        <w:tblLook w:val="04A0" w:firstRow="1" w:lastRow="0" w:firstColumn="1" w:lastColumn="0" w:noHBand="0" w:noVBand="1"/>
      </w:tblPr>
      <w:tblGrid>
        <w:gridCol w:w="3570"/>
        <w:gridCol w:w="794"/>
        <w:gridCol w:w="794"/>
        <w:gridCol w:w="794"/>
        <w:gridCol w:w="794"/>
        <w:gridCol w:w="1071"/>
        <w:gridCol w:w="1397"/>
      </w:tblGrid>
      <w:tr w:rsidR="0005323B" w:rsidRPr="00666914" w14:paraId="15EDC704" w14:textId="77777777" w:rsidTr="0005323B">
        <w:trPr>
          <w:trHeight w:val="290"/>
        </w:trPr>
        <w:tc>
          <w:tcPr>
            <w:tcW w:w="2045" w:type="pct"/>
            <w:tcBorders>
              <w:top w:val="nil"/>
              <w:left w:val="nil"/>
              <w:bottom w:val="single" w:sz="4" w:space="0" w:color="auto"/>
              <w:right w:val="nil"/>
            </w:tcBorders>
            <w:shd w:val="clear" w:color="auto" w:fill="auto"/>
            <w:noWrap/>
            <w:vAlign w:val="bottom"/>
            <w:hideMark/>
          </w:tcPr>
          <w:p w14:paraId="0D47E1FE" w14:textId="77777777" w:rsidR="0005323B" w:rsidRPr="00666914" w:rsidRDefault="0005323B" w:rsidP="0005323B">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420" w:type="pct"/>
            <w:tcBorders>
              <w:top w:val="nil"/>
              <w:left w:val="nil"/>
              <w:bottom w:val="single" w:sz="4" w:space="0" w:color="auto"/>
              <w:right w:val="nil"/>
            </w:tcBorders>
            <w:shd w:val="clear" w:color="auto" w:fill="auto"/>
            <w:noWrap/>
            <w:vAlign w:val="bottom"/>
            <w:hideMark/>
          </w:tcPr>
          <w:p w14:paraId="19B59608" w14:textId="622BF35E" w:rsidR="0005323B" w:rsidRPr="00666914" w:rsidRDefault="0005323B" w:rsidP="0005323B">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2017/ 2016</w:t>
            </w:r>
          </w:p>
        </w:tc>
        <w:tc>
          <w:tcPr>
            <w:tcW w:w="420" w:type="pct"/>
            <w:tcBorders>
              <w:top w:val="nil"/>
              <w:left w:val="nil"/>
              <w:bottom w:val="single" w:sz="4" w:space="0" w:color="auto"/>
              <w:right w:val="nil"/>
            </w:tcBorders>
            <w:shd w:val="clear" w:color="auto" w:fill="auto"/>
            <w:noWrap/>
            <w:vAlign w:val="bottom"/>
            <w:hideMark/>
          </w:tcPr>
          <w:p w14:paraId="664972B1" w14:textId="1C4FB06C" w:rsidR="0005323B" w:rsidRPr="00666914" w:rsidRDefault="0005323B" w:rsidP="0005323B">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2018/ 2017</w:t>
            </w:r>
          </w:p>
        </w:tc>
        <w:tc>
          <w:tcPr>
            <w:tcW w:w="420" w:type="pct"/>
            <w:tcBorders>
              <w:top w:val="nil"/>
              <w:left w:val="nil"/>
              <w:bottom w:val="single" w:sz="4" w:space="0" w:color="auto"/>
              <w:right w:val="nil"/>
            </w:tcBorders>
            <w:shd w:val="clear" w:color="auto" w:fill="auto"/>
            <w:noWrap/>
            <w:vAlign w:val="bottom"/>
            <w:hideMark/>
          </w:tcPr>
          <w:p w14:paraId="2AC1DC93" w14:textId="0EA5BFAF" w:rsidR="0005323B" w:rsidRPr="00666914" w:rsidRDefault="0005323B" w:rsidP="0005323B">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2018/ 2019</w:t>
            </w:r>
          </w:p>
        </w:tc>
        <w:tc>
          <w:tcPr>
            <w:tcW w:w="420" w:type="pct"/>
            <w:tcBorders>
              <w:top w:val="nil"/>
              <w:left w:val="nil"/>
              <w:bottom w:val="single" w:sz="4" w:space="0" w:color="auto"/>
              <w:right w:val="nil"/>
            </w:tcBorders>
            <w:shd w:val="clear" w:color="auto" w:fill="auto"/>
            <w:noWrap/>
            <w:vAlign w:val="bottom"/>
            <w:hideMark/>
          </w:tcPr>
          <w:p w14:paraId="6A37B8EF" w14:textId="393DCF93" w:rsidR="0005323B" w:rsidRPr="00666914" w:rsidRDefault="0005323B" w:rsidP="0005323B">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2019/ 2016</w:t>
            </w:r>
          </w:p>
        </w:tc>
        <w:tc>
          <w:tcPr>
            <w:tcW w:w="551" w:type="pct"/>
            <w:tcBorders>
              <w:top w:val="nil"/>
              <w:left w:val="nil"/>
              <w:bottom w:val="single" w:sz="4" w:space="0" w:color="auto"/>
              <w:right w:val="nil"/>
            </w:tcBorders>
            <w:shd w:val="clear" w:color="auto" w:fill="auto"/>
            <w:noWrap/>
            <w:vAlign w:val="bottom"/>
            <w:hideMark/>
          </w:tcPr>
          <w:p w14:paraId="76BE983D" w14:textId="77777777" w:rsidR="0005323B" w:rsidRPr="00666914" w:rsidRDefault="0005323B" w:rsidP="0005323B">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Plán 2019/2016</w:t>
            </w:r>
          </w:p>
        </w:tc>
        <w:tc>
          <w:tcPr>
            <w:tcW w:w="726" w:type="pct"/>
            <w:tcBorders>
              <w:top w:val="nil"/>
              <w:left w:val="nil"/>
              <w:bottom w:val="single" w:sz="4" w:space="0" w:color="auto"/>
              <w:right w:val="nil"/>
            </w:tcBorders>
            <w:shd w:val="clear" w:color="auto" w:fill="auto"/>
            <w:noWrap/>
            <w:vAlign w:val="bottom"/>
            <w:hideMark/>
          </w:tcPr>
          <w:p w14:paraId="08E36030" w14:textId="77777777" w:rsidR="0005323B" w:rsidRPr="00666914" w:rsidRDefault="0005323B" w:rsidP="0005323B">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Rozdiel oproti plánu</w:t>
            </w:r>
          </w:p>
        </w:tc>
      </w:tr>
      <w:tr w:rsidR="0005323B" w:rsidRPr="00666914" w14:paraId="28CBE195" w14:textId="77777777" w:rsidTr="0005323B">
        <w:trPr>
          <w:trHeight w:val="520"/>
        </w:trPr>
        <w:tc>
          <w:tcPr>
            <w:tcW w:w="2045" w:type="pct"/>
            <w:tcBorders>
              <w:top w:val="nil"/>
              <w:left w:val="nil"/>
              <w:bottom w:val="nil"/>
              <w:right w:val="nil"/>
            </w:tcBorders>
            <w:shd w:val="clear" w:color="auto" w:fill="auto"/>
            <w:vAlign w:val="center"/>
            <w:hideMark/>
          </w:tcPr>
          <w:p w14:paraId="5DF8930F" w14:textId="77777777" w:rsidR="0005323B" w:rsidRPr="00666914" w:rsidRDefault="0005323B" w:rsidP="0005323B">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Výška úhrady na objednaný produktívny 1 vlkm zo strany objednávateľa</w:t>
            </w:r>
          </w:p>
        </w:tc>
        <w:tc>
          <w:tcPr>
            <w:tcW w:w="420" w:type="pct"/>
            <w:tcBorders>
              <w:top w:val="nil"/>
              <w:left w:val="nil"/>
              <w:bottom w:val="nil"/>
              <w:right w:val="nil"/>
            </w:tcBorders>
            <w:shd w:val="clear" w:color="auto" w:fill="auto"/>
            <w:noWrap/>
            <w:vAlign w:val="bottom"/>
            <w:hideMark/>
          </w:tcPr>
          <w:p w14:paraId="242E7F8A"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1,9%</w:t>
            </w:r>
          </w:p>
        </w:tc>
        <w:tc>
          <w:tcPr>
            <w:tcW w:w="420" w:type="pct"/>
            <w:tcBorders>
              <w:top w:val="nil"/>
              <w:left w:val="nil"/>
              <w:bottom w:val="nil"/>
              <w:right w:val="nil"/>
            </w:tcBorders>
            <w:shd w:val="clear" w:color="auto" w:fill="auto"/>
            <w:noWrap/>
            <w:vAlign w:val="bottom"/>
            <w:hideMark/>
          </w:tcPr>
          <w:p w14:paraId="26DFA9DA"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3,0%</w:t>
            </w:r>
          </w:p>
        </w:tc>
        <w:tc>
          <w:tcPr>
            <w:tcW w:w="420" w:type="pct"/>
            <w:tcBorders>
              <w:top w:val="nil"/>
              <w:left w:val="nil"/>
              <w:bottom w:val="nil"/>
              <w:right w:val="nil"/>
            </w:tcBorders>
            <w:shd w:val="clear" w:color="auto" w:fill="auto"/>
            <w:noWrap/>
            <w:vAlign w:val="bottom"/>
            <w:hideMark/>
          </w:tcPr>
          <w:p w14:paraId="6D83C611"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8,1%</w:t>
            </w:r>
          </w:p>
        </w:tc>
        <w:tc>
          <w:tcPr>
            <w:tcW w:w="420" w:type="pct"/>
            <w:tcBorders>
              <w:top w:val="nil"/>
              <w:left w:val="nil"/>
              <w:bottom w:val="nil"/>
              <w:right w:val="nil"/>
            </w:tcBorders>
            <w:shd w:val="clear" w:color="auto" w:fill="auto"/>
            <w:noWrap/>
            <w:vAlign w:val="bottom"/>
            <w:hideMark/>
          </w:tcPr>
          <w:p w14:paraId="73526B04"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13,4%</w:t>
            </w:r>
          </w:p>
        </w:tc>
        <w:tc>
          <w:tcPr>
            <w:tcW w:w="551" w:type="pct"/>
            <w:tcBorders>
              <w:top w:val="nil"/>
              <w:left w:val="nil"/>
              <w:bottom w:val="nil"/>
              <w:right w:val="nil"/>
            </w:tcBorders>
            <w:shd w:val="clear" w:color="auto" w:fill="auto"/>
            <w:noWrap/>
            <w:vAlign w:val="bottom"/>
            <w:hideMark/>
          </w:tcPr>
          <w:p w14:paraId="3BE06793"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-3,75%</w:t>
            </w:r>
          </w:p>
        </w:tc>
        <w:tc>
          <w:tcPr>
            <w:tcW w:w="726" w:type="pct"/>
            <w:tcBorders>
              <w:top w:val="nil"/>
              <w:left w:val="nil"/>
              <w:bottom w:val="nil"/>
              <w:right w:val="nil"/>
            </w:tcBorders>
            <w:shd w:val="clear" w:color="000000" w:fill="FF0000"/>
            <w:noWrap/>
            <w:vAlign w:val="bottom"/>
            <w:hideMark/>
          </w:tcPr>
          <w:p w14:paraId="2AF23444"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17,1%</w:t>
            </w:r>
          </w:p>
        </w:tc>
      </w:tr>
      <w:tr w:rsidR="0005323B" w:rsidRPr="00666914" w14:paraId="741CC6D1" w14:textId="77777777" w:rsidTr="0005323B">
        <w:trPr>
          <w:trHeight w:val="290"/>
        </w:trPr>
        <w:tc>
          <w:tcPr>
            <w:tcW w:w="2045" w:type="pct"/>
            <w:tcBorders>
              <w:top w:val="nil"/>
              <w:left w:val="nil"/>
              <w:bottom w:val="nil"/>
              <w:right w:val="nil"/>
            </w:tcBorders>
            <w:shd w:val="clear" w:color="auto" w:fill="auto"/>
            <w:noWrap/>
            <w:vAlign w:val="bottom"/>
            <w:hideMark/>
          </w:tcPr>
          <w:p w14:paraId="3099D28B" w14:textId="77777777" w:rsidR="0005323B" w:rsidRPr="00666914" w:rsidRDefault="0005323B" w:rsidP="0005323B">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Prevádzková dotácia MDV na 1 osobokilometer (eur - cent)</w:t>
            </w:r>
          </w:p>
        </w:tc>
        <w:tc>
          <w:tcPr>
            <w:tcW w:w="420" w:type="pct"/>
            <w:tcBorders>
              <w:top w:val="nil"/>
              <w:left w:val="nil"/>
              <w:bottom w:val="nil"/>
              <w:right w:val="nil"/>
            </w:tcBorders>
            <w:shd w:val="clear" w:color="auto" w:fill="auto"/>
            <w:noWrap/>
            <w:vAlign w:val="bottom"/>
            <w:hideMark/>
          </w:tcPr>
          <w:p w14:paraId="182EE7EE"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-8,8%</w:t>
            </w:r>
          </w:p>
        </w:tc>
        <w:tc>
          <w:tcPr>
            <w:tcW w:w="420" w:type="pct"/>
            <w:tcBorders>
              <w:top w:val="nil"/>
              <w:left w:val="nil"/>
              <w:bottom w:val="nil"/>
              <w:right w:val="nil"/>
            </w:tcBorders>
            <w:shd w:val="clear" w:color="auto" w:fill="auto"/>
            <w:noWrap/>
            <w:vAlign w:val="bottom"/>
            <w:hideMark/>
          </w:tcPr>
          <w:p w14:paraId="5A84493C"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5,4%</w:t>
            </w:r>
          </w:p>
        </w:tc>
        <w:tc>
          <w:tcPr>
            <w:tcW w:w="420" w:type="pct"/>
            <w:tcBorders>
              <w:top w:val="nil"/>
              <w:left w:val="nil"/>
              <w:bottom w:val="nil"/>
              <w:right w:val="nil"/>
            </w:tcBorders>
            <w:shd w:val="clear" w:color="auto" w:fill="auto"/>
            <w:noWrap/>
            <w:vAlign w:val="bottom"/>
            <w:hideMark/>
          </w:tcPr>
          <w:p w14:paraId="1FFA7058"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5,6%</w:t>
            </w:r>
          </w:p>
        </w:tc>
        <w:tc>
          <w:tcPr>
            <w:tcW w:w="420" w:type="pct"/>
            <w:tcBorders>
              <w:top w:val="nil"/>
              <w:left w:val="nil"/>
              <w:bottom w:val="nil"/>
              <w:right w:val="nil"/>
            </w:tcBorders>
            <w:shd w:val="clear" w:color="auto" w:fill="auto"/>
            <w:noWrap/>
            <w:vAlign w:val="bottom"/>
            <w:hideMark/>
          </w:tcPr>
          <w:p w14:paraId="65B4A8DF"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1,5%</w:t>
            </w:r>
          </w:p>
        </w:tc>
        <w:tc>
          <w:tcPr>
            <w:tcW w:w="551" w:type="pct"/>
            <w:tcBorders>
              <w:top w:val="nil"/>
              <w:left w:val="nil"/>
              <w:bottom w:val="nil"/>
              <w:right w:val="nil"/>
            </w:tcBorders>
            <w:shd w:val="clear" w:color="auto" w:fill="auto"/>
            <w:noWrap/>
            <w:vAlign w:val="bottom"/>
            <w:hideMark/>
          </w:tcPr>
          <w:p w14:paraId="5EBF6919"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-3,75%</w:t>
            </w:r>
          </w:p>
        </w:tc>
        <w:tc>
          <w:tcPr>
            <w:tcW w:w="726" w:type="pct"/>
            <w:tcBorders>
              <w:top w:val="nil"/>
              <w:left w:val="nil"/>
              <w:bottom w:val="nil"/>
              <w:right w:val="nil"/>
            </w:tcBorders>
            <w:shd w:val="clear" w:color="000000" w:fill="FF0000"/>
            <w:noWrap/>
            <w:vAlign w:val="bottom"/>
            <w:hideMark/>
          </w:tcPr>
          <w:p w14:paraId="702FC81C"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5,2%</w:t>
            </w:r>
          </w:p>
        </w:tc>
      </w:tr>
      <w:tr w:rsidR="0005323B" w:rsidRPr="00666914" w14:paraId="124EEB92" w14:textId="77777777" w:rsidTr="0005323B">
        <w:trPr>
          <w:trHeight w:val="290"/>
        </w:trPr>
        <w:tc>
          <w:tcPr>
            <w:tcW w:w="2045" w:type="pct"/>
            <w:tcBorders>
              <w:top w:val="nil"/>
              <w:left w:val="nil"/>
              <w:bottom w:val="nil"/>
              <w:right w:val="nil"/>
            </w:tcBorders>
            <w:shd w:val="clear" w:color="auto" w:fill="auto"/>
            <w:noWrap/>
            <w:vAlign w:val="bottom"/>
            <w:hideMark/>
          </w:tcPr>
          <w:p w14:paraId="0F042874" w14:textId="77777777" w:rsidR="0005323B" w:rsidRPr="00666914" w:rsidRDefault="0005323B" w:rsidP="0005323B">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xml:space="preserve">Tržby z prepravy cestujúcich zo ZoDSVZ na vlkm ZoDSVZ </w:t>
            </w:r>
          </w:p>
        </w:tc>
        <w:tc>
          <w:tcPr>
            <w:tcW w:w="420" w:type="pct"/>
            <w:tcBorders>
              <w:top w:val="nil"/>
              <w:left w:val="nil"/>
              <w:bottom w:val="nil"/>
              <w:right w:val="nil"/>
            </w:tcBorders>
            <w:shd w:val="clear" w:color="auto" w:fill="auto"/>
            <w:noWrap/>
            <w:vAlign w:val="bottom"/>
            <w:hideMark/>
          </w:tcPr>
          <w:p w14:paraId="2D90AC9A"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4,3%</w:t>
            </w:r>
          </w:p>
        </w:tc>
        <w:tc>
          <w:tcPr>
            <w:tcW w:w="420" w:type="pct"/>
            <w:tcBorders>
              <w:top w:val="nil"/>
              <w:left w:val="nil"/>
              <w:bottom w:val="nil"/>
              <w:right w:val="nil"/>
            </w:tcBorders>
            <w:shd w:val="clear" w:color="auto" w:fill="auto"/>
            <w:noWrap/>
            <w:vAlign w:val="bottom"/>
            <w:hideMark/>
          </w:tcPr>
          <w:p w14:paraId="223A6E35"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0,2%</w:t>
            </w:r>
          </w:p>
        </w:tc>
        <w:tc>
          <w:tcPr>
            <w:tcW w:w="420" w:type="pct"/>
            <w:tcBorders>
              <w:top w:val="nil"/>
              <w:left w:val="nil"/>
              <w:bottom w:val="nil"/>
              <w:right w:val="nil"/>
            </w:tcBorders>
            <w:shd w:val="clear" w:color="auto" w:fill="auto"/>
            <w:noWrap/>
            <w:vAlign w:val="bottom"/>
            <w:hideMark/>
          </w:tcPr>
          <w:p w14:paraId="36A2AE10"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2,8%</w:t>
            </w:r>
          </w:p>
        </w:tc>
        <w:tc>
          <w:tcPr>
            <w:tcW w:w="420" w:type="pct"/>
            <w:tcBorders>
              <w:top w:val="nil"/>
              <w:left w:val="nil"/>
              <w:bottom w:val="nil"/>
              <w:right w:val="nil"/>
            </w:tcBorders>
            <w:shd w:val="clear" w:color="auto" w:fill="auto"/>
            <w:noWrap/>
            <w:vAlign w:val="bottom"/>
            <w:hideMark/>
          </w:tcPr>
          <w:p w14:paraId="19FC683E"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7,5%</w:t>
            </w:r>
          </w:p>
        </w:tc>
        <w:tc>
          <w:tcPr>
            <w:tcW w:w="551" w:type="pct"/>
            <w:tcBorders>
              <w:top w:val="nil"/>
              <w:left w:val="nil"/>
              <w:bottom w:val="nil"/>
              <w:right w:val="nil"/>
            </w:tcBorders>
            <w:shd w:val="clear" w:color="auto" w:fill="auto"/>
            <w:noWrap/>
            <w:vAlign w:val="bottom"/>
            <w:hideMark/>
          </w:tcPr>
          <w:p w14:paraId="0337D07E"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3,75%</w:t>
            </w:r>
          </w:p>
        </w:tc>
        <w:tc>
          <w:tcPr>
            <w:tcW w:w="726" w:type="pct"/>
            <w:tcBorders>
              <w:top w:val="nil"/>
              <w:left w:val="nil"/>
              <w:bottom w:val="nil"/>
              <w:right w:val="nil"/>
            </w:tcBorders>
            <w:shd w:val="clear" w:color="000000" w:fill="92D050"/>
            <w:noWrap/>
            <w:vAlign w:val="bottom"/>
            <w:hideMark/>
          </w:tcPr>
          <w:p w14:paraId="0F462D92"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3,7%</w:t>
            </w:r>
          </w:p>
        </w:tc>
      </w:tr>
      <w:tr w:rsidR="0005323B" w:rsidRPr="00666914" w14:paraId="22697CCB" w14:textId="77777777" w:rsidTr="0005323B">
        <w:trPr>
          <w:trHeight w:val="290"/>
        </w:trPr>
        <w:tc>
          <w:tcPr>
            <w:tcW w:w="2045" w:type="pct"/>
            <w:tcBorders>
              <w:top w:val="nil"/>
              <w:left w:val="nil"/>
              <w:bottom w:val="single" w:sz="4" w:space="0" w:color="auto"/>
              <w:right w:val="nil"/>
            </w:tcBorders>
            <w:shd w:val="clear" w:color="auto" w:fill="auto"/>
            <w:vAlign w:val="bottom"/>
            <w:hideMark/>
          </w:tcPr>
          <w:p w14:paraId="78B00CFD" w14:textId="77777777" w:rsidR="0005323B" w:rsidRPr="00666914" w:rsidRDefault="0005323B" w:rsidP="0005323B">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xml:space="preserve">Počet vlakokilometrov (dopravný výkon) na 1 hnacie vozidlo </w:t>
            </w:r>
          </w:p>
        </w:tc>
        <w:tc>
          <w:tcPr>
            <w:tcW w:w="420" w:type="pct"/>
            <w:tcBorders>
              <w:top w:val="nil"/>
              <w:left w:val="nil"/>
              <w:bottom w:val="single" w:sz="4" w:space="0" w:color="auto"/>
              <w:right w:val="nil"/>
            </w:tcBorders>
            <w:shd w:val="clear" w:color="auto" w:fill="auto"/>
            <w:noWrap/>
            <w:vAlign w:val="bottom"/>
            <w:hideMark/>
          </w:tcPr>
          <w:p w14:paraId="14EF34A8"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2,9%</w:t>
            </w:r>
          </w:p>
        </w:tc>
        <w:tc>
          <w:tcPr>
            <w:tcW w:w="420" w:type="pct"/>
            <w:tcBorders>
              <w:top w:val="nil"/>
              <w:left w:val="nil"/>
              <w:bottom w:val="single" w:sz="4" w:space="0" w:color="auto"/>
              <w:right w:val="nil"/>
            </w:tcBorders>
            <w:shd w:val="clear" w:color="auto" w:fill="auto"/>
            <w:noWrap/>
            <w:vAlign w:val="bottom"/>
            <w:hideMark/>
          </w:tcPr>
          <w:p w14:paraId="37C3D67E"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7,7%</w:t>
            </w:r>
          </w:p>
        </w:tc>
        <w:tc>
          <w:tcPr>
            <w:tcW w:w="420" w:type="pct"/>
            <w:tcBorders>
              <w:top w:val="nil"/>
              <w:left w:val="nil"/>
              <w:bottom w:val="single" w:sz="4" w:space="0" w:color="auto"/>
              <w:right w:val="nil"/>
            </w:tcBorders>
            <w:shd w:val="clear" w:color="auto" w:fill="auto"/>
            <w:noWrap/>
            <w:vAlign w:val="bottom"/>
            <w:hideMark/>
          </w:tcPr>
          <w:p w14:paraId="6F0861DC"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2,8%</w:t>
            </w:r>
          </w:p>
        </w:tc>
        <w:tc>
          <w:tcPr>
            <w:tcW w:w="420" w:type="pct"/>
            <w:tcBorders>
              <w:top w:val="nil"/>
              <w:left w:val="nil"/>
              <w:bottom w:val="single" w:sz="4" w:space="0" w:color="auto"/>
              <w:right w:val="nil"/>
            </w:tcBorders>
            <w:shd w:val="clear" w:color="auto" w:fill="auto"/>
            <w:noWrap/>
            <w:vAlign w:val="bottom"/>
            <w:hideMark/>
          </w:tcPr>
          <w:p w14:paraId="2F9F16B4"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13,8%</w:t>
            </w:r>
          </w:p>
        </w:tc>
        <w:tc>
          <w:tcPr>
            <w:tcW w:w="551" w:type="pct"/>
            <w:tcBorders>
              <w:top w:val="nil"/>
              <w:left w:val="nil"/>
              <w:bottom w:val="single" w:sz="4" w:space="0" w:color="auto"/>
              <w:right w:val="nil"/>
            </w:tcBorders>
            <w:shd w:val="clear" w:color="auto" w:fill="auto"/>
            <w:noWrap/>
            <w:vAlign w:val="bottom"/>
            <w:hideMark/>
          </w:tcPr>
          <w:p w14:paraId="0536D2E2"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3,75%</w:t>
            </w:r>
          </w:p>
        </w:tc>
        <w:tc>
          <w:tcPr>
            <w:tcW w:w="726" w:type="pct"/>
            <w:tcBorders>
              <w:top w:val="nil"/>
              <w:left w:val="nil"/>
              <w:bottom w:val="single" w:sz="4" w:space="0" w:color="auto"/>
              <w:right w:val="nil"/>
            </w:tcBorders>
            <w:shd w:val="clear" w:color="000000" w:fill="92D050"/>
            <w:noWrap/>
            <w:vAlign w:val="bottom"/>
            <w:hideMark/>
          </w:tcPr>
          <w:p w14:paraId="2344D343" w14:textId="77777777" w:rsidR="0005323B" w:rsidRPr="00666914" w:rsidRDefault="0005323B" w:rsidP="0005323B">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10,1%</w:t>
            </w:r>
          </w:p>
        </w:tc>
      </w:tr>
    </w:tbl>
    <w:p w14:paraId="688D6DF2" w14:textId="77777777" w:rsidR="00CB16AA" w:rsidRPr="00666914" w:rsidRDefault="00CB16AA" w:rsidP="00985E7A">
      <w:pPr>
        <w:spacing w:after="0"/>
        <w:jc w:val="right"/>
        <w:rPr>
          <w:i/>
          <w:sz w:val="18"/>
          <w:szCs w:val="18"/>
        </w:rPr>
      </w:pPr>
      <w:r w:rsidRPr="00666914">
        <w:rPr>
          <w:i/>
          <w:sz w:val="18"/>
          <w:szCs w:val="18"/>
        </w:rPr>
        <w:t>Zdroj: ZSSK, neauditované výsledky</w:t>
      </w:r>
    </w:p>
    <w:p w14:paraId="14BFCC7C" w14:textId="77777777" w:rsidR="00CB16AA" w:rsidRPr="00666914" w:rsidRDefault="00CB16AA" w:rsidP="00985E7A">
      <w:pPr>
        <w:contextualSpacing/>
      </w:pPr>
    </w:p>
    <w:p w14:paraId="1D147648" w14:textId="22884C0B" w:rsidR="00CB16AA" w:rsidRPr="00666914" w:rsidRDefault="00CB16AA" w:rsidP="00985E7A">
      <w:pPr>
        <w:contextualSpacing/>
      </w:pPr>
      <w:r w:rsidRPr="00666914">
        <w:t xml:space="preserve">V porovnaní vývoja daných ukazovateľov od roku 2016 došlo k zlepšeniu v 2 potenciálnych ukazovateľoch (v tabuľke </w:t>
      </w:r>
      <w:r w:rsidR="00EB2C64" w:rsidRPr="00666914">
        <w:t>41</w:t>
      </w:r>
      <w:r w:rsidR="0070386F" w:rsidRPr="00666914">
        <w:t xml:space="preserve"> </w:t>
      </w:r>
      <w:r w:rsidRPr="00666914">
        <w:t xml:space="preserve">označené zelenou farbou) a k zhoršeniu v 2 (v tabuľke </w:t>
      </w:r>
      <w:r w:rsidR="00EB2C64" w:rsidRPr="00666914">
        <w:t>41</w:t>
      </w:r>
      <w:r w:rsidR="0070386F" w:rsidRPr="00666914">
        <w:t xml:space="preserve"> </w:t>
      </w:r>
      <w:r w:rsidRPr="00666914">
        <w:t>označené červenou farbou) oproti plánovanej úspore.</w:t>
      </w:r>
    </w:p>
    <w:p w14:paraId="350A7BB4" w14:textId="77777777" w:rsidR="00CB16AA" w:rsidRPr="00666914" w:rsidRDefault="00CB16AA" w:rsidP="00985E7A">
      <w:pPr>
        <w:contextualSpacing/>
        <w:rPr>
          <w:b/>
          <w:u w:val="single"/>
        </w:rPr>
      </w:pPr>
    </w:p>
    <w:p w14:paraId="6E38702B" w14:textId="55F4C23F" w:rsidR="00CB16AA" w:rsidRPr="00666914" w:rsidRDefault="00CB16AA" w:rsidP="00985E7A">
      <w:r w:rsidRPr="00666914">
        <w:rPr>
          <w:b/>
        </w:rPr>
        <w:t>Významným projektom, ktorému sa ZSSK v roku 2019 venovala, je návrh novej zmluvy o dopravných službách vo verejnom záujme.</w:t>
      </w:r>
      <w:r w:rsidRPr="00666914">
        <w:t xml:space="preserve"> IJ bola spolu s ÚHP prizvaná na workshop ZSSK ohľadne prípravy novej zmluvy po roku 2020</w:t>
      </w:r>
      <w:r w:rsidR="001031F7" w:rsidRPr="00666914">
        <w:t>,</w:t>
      </w:r>
      <w:r w:rsidRPr="00666914">
        <w:t xml:space="preserve"> ako aj finančného modelu na výpočet ekonomicky oprávnených nákladov, ktoré sú MDV SR preplácané. IJ hodnotí pozitívne, že sa tejto problematike venuje pozornosť a k tvorbe novej zmluvy </w:t>
      </w:r>
      <w:r w:rsidR="001031F7" w:rsidRPr="00666914">
        <w:t xml:space="preserve">sú </w:t>
      </w:r>
      <w:r w:rsidRPr="00666914">
        <w:t>prizvaní aj odborníci mimo MDV SR. MDV SR uzavrelo s poradenskými firmami Deloitte a Eurotarget rámcovú zmluvu</w:t>
      </w:r>
      <w:r w:rsidRPr="00666914">
        <w:rPr>
          <w:rStyle w:val="Odkaznapoznmkupodiarou"/>
        </w:rPr>
        <w:footnoteReference w:id="96"/>
      </w:r>
      <w:r w:rsidRPr="00666914">
        <w:t xml:space="preserve">, v rámci ktorej Eurotarget vypracoval projekt: „Fungovanie železničných dopravcov v zmenených podmienkach v oblasti poskytovania štátnej pomoci a v podmienkach liberalizácie trhu ŽOD v novom programovom období – spracovanie novej metodiky zmluvných vzťahov pri poskytovaní služieb vo verejnom záujme.“ Projekt </w:t>
      </w:r>
      <w:r w:rsidR="00862C54" w:rsidRPr="00666914">
        <w:t xml:space="preserve">však </w:t>
      </w:r>
      <w:r w:rsidRPr="00666914">
        <w:t>nebol zverejnený ani jeho výsledky neboli prezentované o</w:t>
      </w:r>
      <w:r w:rsidR="00D67E6E" w:rsidRPr="00666914">
        <w:t>dbornej verejnosti mimo MDV SR.</w:t>
      </w:r>
    </w:p>
    <w:p w14:paraId="06342247" w14:textId="518B233B" w:rsidR="00CB16AA" w:rsidRPr="00666914" w:rsidRDefault="00CB16AA" w:rsidP="00985E7A">
      <w:r w:rsidRPr="00666914">
        <w:rPr>
          <w:b/>
        </w:rPr>
        <w:t xml:space="preserve">MDV SR zaslalo v 11/2019 na pripomienkovanie IJ </w:t>
      </w:r>
      <w:r w:rsidR="00F76922" w:rsidRPr="00666914">
        <w:rPr>
          <w:b/>
        </w:rPr>
        <w:t>ÚV</w:t>
      </w:r>
      <w:r w:rsidRPr="00666914">
        <w:rPr>
          <w:b/>
        </w:rPr>
        <w:t xml:space="preserve"> SR a ÚHP MF SR návrh rámcovej Zmluvy o dopravných službách vo verejnom záujme 2021-2030 (ďalej len „Zmluva“).</w:t>
      </w:r>
      <w:r w:rsidRPr="00666914">
        <w:t xml:space="preserve"> Keďže ide o kontrakt pre štátneho dopravcu vo výške viac ako 2,5 mld. eur na 10 rokov, IJ považuje za dôležité, aby sa k podobe zmluvy a spôsobe výpočtu úhrady štátu viedla širšia odborná diskusia tak</w:t>
      </w:r>
      <w:r w:rsidR="00D23D30" w:rsidRPr="00666914">
        <w:t>,</w:t>
      </w:r>
      <w:r w:rsidRPr="00666914">
        <w:t xml:space="preserve"> ako to pôvodne bolo zo strany MDV SR a ZSSK navrhované na stretnutí v 06/2019. Napriek prezentovanému zámeru k ďalšiemu stretnutiu a diskusii k parametrom zmluvy nedošlo. Septembrové stretnutie k tejto téme bolo zrušené a v polovici 11/2019 bol IJ zaslaný návrh zmluvy s prílohami s</w:t>
      </w:r>
      <w:r w:rsidR="00F76922" w:rsidRPr="00666914">
        <w:t xml:space="preserve"> lehtou</w:t>
      </w:r>
      <w:r w:rsidRPr="00666914">
        <w:t xml:space="preserve"> 7 kalendárny</w:t>
      </w:r>
      <w:r w:rsidR="00F76922" w:rsidRPr="00666914">
        <w:t>ch dní</w:t>
      </w:r>
      <w:r w:rsidR="00D67E6E" w:rsidRPr="00666914">
        <w:t xml:space="preserve"> na vyjadrenie.</w:t>
      </w:r>
    </w:p>
    <w:p w14:paraId="1913ACA0" w14:textId="39DAAB00" w:rsidR="00CB16AA" w:rsidRPr="00666914" w:rsidRDefault="00CB16AA" w:rsidP="00985E7A">
      <w:r w:rsidRPr="00666914">
        <w:lastRenderedPageBreak/>
        <w:t xml:space="preserve">Zmluva medzi MDV SR a ZSSK na roky 2021 – 2030 bude v súlade s pravidlami EK uzavretá priamym zadaním. Pôjde o jednu z posledných možností realizácie zmluvy touto formou. Od roku 2024 musia byť služby poskytované vo verejnom záujme v osobnej železničnej doprave obstarané výhradne formou verejnej súťaže. Z pohľadu hodnoty za peniaze je </w:t>
      </w:r>
      <w:r w:rsidRPr="00666914">
        <w:rPr>
          <w:b/>
        </w:rPr>
        <w:t xml:space="preserve">potrebné, aby sa táto zmluva zamerala na zvýšenie efektívnosti ZSSK, čo by malo nastavenie jednotlivých ustanovení zmluvy reflektovať. </w:t>
      </w:r>
      <w:r w:rsidRPr="00666914">
        <w:t>Podľa IJ sa zaslaný návrh zmluvy od pôvodnej líšil len minimálne (v podstate je návrh pripravený tak, aby sa len začali využívať inštitúty, ktoré už súčasná zmluva obsahuje – ako indexácia nákladov a možnosť uplatnenia primeraného zisku). IJ vo svojich pripomienkach požadovala do návrhu Zmluvy doplniť:</w:t>
      </w:r>
    </w:p>
    <w:p w14:paraId="22D23DC2" w14:textId="514D1346" w:rsidR="00CB16AA" w:rsidRPr="00666914" w:rsidRDefault="00CB16AA" w:rsidP="00312C28">
      <w:pPr>
        <w:pStyle w:val="Odsekzoznamu"/>
        <w:numPr>
          <w:ilvl w:val="0"/>
          <w:numId w:val="38"/>
        </w:numPr>
        <w:spacing w:line="259" w:lineRule="auto"/>
      </w:pPr>
      <w:r w:rsidRPr="00666914">
        <w:rPr>
          <w:b/>
        </w:rPr>
        <w:t xml:space="preserve">pravidlá na korektné vyčísľovanie nákladov na jednotlivé vlakové linky </w:t>
      </w:r>
      <w:r w:rsidRPr="00666914">
        <w:t>– v súčasnosti ZSSK nie je schopná spoľahlivo vyčísliť náklady na jednotlivé linky, a to ani na základe viac ako 2-ročnej diskusi</w:t>
      </w:r>
      <w:r w:rsidR="00D23D30" w:rsidRPr="00666914">
        <w:t>e</w:t>
      </w:r>
      <w:r w:rsidRPr="00666914">
        <w:t xml:space="preserve"> k implementácii opatrenia revízie výdavkov na dopravu. MDV SR, ako akcionár ZSSK,  musí preto nastaviť mechanizmus na rozúčtovanie nákladov na trate,</w:t>
      </w:r>
    </w:p>
    <w:p w14:paraId="769807D3" w14:textId="77777777" w:rsidR="00CB16AA" w:rsidRPr="00666914" w:rsidRDefault="00CB16AA" w:rsidP="00312C28">
      <w:pPr>
        <w:pStyle w:val="Odsekzoznamu"/>
        <w:numPr>
          <w:ilvl w:val="0"/>
          <w:numId w:val="38"/>
        </w:numPr>
        <w:spacing w:line="259" w:lineRule="auto"/>
      </w:pPr>
      <w:r w:rsidRPr="00666914">
        <w:rPr>
          <w:b/>
        </w:rPr>
        <w:t>výška dotácie pre ZSSK sa určí na základe detailnej objednávky výkonov</w:t>
      </w:r>
      <w:r w:rsidRPr="00666914">
        <w:t xml:space="preserve"> (rozsah dopravnej obsluhy, štandardy a kapacity vlakov podľa tratí a liniek) MDV SR. Dotácia bude zmluvne určená samostatne pre každú linku, na ktorej MDV SR objednáva výkony vo verejnom záujme. Celková dotácia pre ZSSK sa bude rovnať sume dotácií za všetky objednané linky. Zazmluvnená dotácia bude fixná a viazaná len na objednané výkony (dotácia nerastie, ak sa zvýšia EON). K dodatočným nárokom môže dôjsť iba v prípade výrazných externých šokov (výrazné zmeny ceny energii, legislatívne zmeny k výške miezd a pod.),</w:t>
      </w:r>
    </w:p>
    <w:p w14:paraId="41712D60" w14:textId="62C1214F" w:rsidR="00CB16AA" w:rsidRPr="00666914" w:rsidRDefault="00CB16AA" w:rsidP="00312C28">
      <w:pPr>
        <w:pStyle w:val="Odsekzoznamu"/>
        <w:numPr>
          <w:ilvl w:val="0"/>
          <w:numId w:val="38"/>
        </w:numPr>
        <w:spacing w:line="259" w:lineRule="auto"/>
      </w:pPr>
      <w:r w:rsidRPr="00666914">
        <w:rPr>
          <w:b/>
        </w:rPr>
        <w:t>merateľné ukazovatele spoľahlivosti a kvality dopravy</w:t>
      </w:r>
      <w:r w:rsidRPr="00666914">
        <w:t xml:space="preserve"> (podľa jednotlivých tratí), spolu s výkonnostnými ukazovateľmi (ako napr. využívanie kapacity flotily vlakov). Rovnako dôležité je, aby MDV SR nastavilo KPIs (jasné merateľné ukazovatele) pre manažment ZSSK v zmluvách a následné odmeňovanie na základe ich plnenia (motivačné zmluvy),</w:t>
      </w:r>
    </w:p>
    <w:p w14:paraId="2DE6A24E" w14:textId="232C8F73" w:rsidR="00CB16AA" w:rsidRPr="00666914" w:rsidRDefault="00CB16AA" w:rsidP="00312C28">
      <w:pPr>
        <w:pStyle w:val="Odsekzoznamu"/>
        <w:numPr>
          <w:ilvl w:val="0"/>
          <w:numId w:val="38"/>
        </w:numPr>
        <w:spacing w:line="259" w:lineRule="auto"/>
      </w:pPr>
      <w:r w:rsidRPr="00666914">
        <w:rPr>
          <w:b/>
        </w:rPr>
        <w:t>možnosť postupnej liberalizácie osobnej vlakovej dopravy</w:t>
      </w:r>
      <w:r w:rsidRPr="00666914">
        <w:t xml:space="preserve"> s tým, aby ku koncu 10-ročného obdobia bolo 100 % tratí liberalizovaných – s tým súvisí aj postupné znižovanie súvisiacej úhrady na už liberalizované trate v zmluve,</w:t>
      </w:r>
    </w:p>
    <w:p w14:paraId="03ED496E" w14:textId="77777777" w:rsidR="00CB16AA" w:rsidRPr="00666914" w:rsidRDefault="00CB16AA" w:rsidP="00312C28">
      <w:pPr>
        <w:pStyle w:val="Odsekzoznamu"/>
        <w:numPr>
          <w:ilvl w:val="0"/>
          <w:numId w:val="38"/>
        </w:numPr>
        <w:spacing w:line="259" w:lineRule="auto"/>
      </w:pPr>
      <w:r w:rsidRPr="00666914">
        <w:rPr>
          <w:b/>
        </w:rPr>
        <w:t>kalkuláciu nákladov vypracovanú ex ante</w:t>
      </w:r>
      <w:r w:rsidRPr="00666914">
        <w:t xml:space="preserve"> - ako je to pri zmluvách o výkonoch vo verejnom záujme v Českej republike</w:t>
      </w:r>
      <w:r w:rsidRPr="00666914">
        <w:rPr>
          <w:rStyle w:val="Odkaznapoznmkupodiarou"/>
        </w:rPr>
        <w:footnoteReference w:id="97"/>
      </w:r>
      <w:r w:rsidRPr="00666914">
        <w:t>, nie až po skončení daného obdobia ako je to v súčasnosti v SR,</w:t>
      </w:r>
    </w:p>
    <w:p w14:paraId="4126B230" w14:textId="66878E2E" w:rsidR="00CB16AA" w:rsidRPr="00666914" w:rsidRDefault="00CB16AA" w:rsidP="00312C28">
      <w:pPr>
        <w:pStyle w:val="Odsekzoznamu"/>
        <w:numPr>
          <w:ilvl w:val="0"/>
          <w:numId w:val="38"/>
        </w:numPr>
        <w:spacing w:line="259" w:lineRule="auto"/>
        <w:rPr>
          <w:bCs/>
        </w:rPr>
      </w:pPr>
      <w:r w:rsidRPr="00666914">
        <w:rPr>
          <w:b/>
        </w:rPr>
        <w:t>podrobnú kalkuláciu EON, ako aj na daný účel použitý finančný model, by mal byť pravidelne predkladaný MDV SR na kontrolu.</w:t>
      </w:r>
      <w:r w:rsidRPr="00666914">
        <w:t xml:space="preserve"> IJ zároveň odporúča, aby tento finančný model a kalkulácie EON boli pr</w:t>
      </w:r>
      <w:r w:rsidR="00D67E6E" w:rsidRPr="00666914">
        <w:t>avidelne zasielané aj na MF SR.</w:t>
      </w:r>
    </w:p>
    <w:p w14:paraId="2D61A1F1" w14:textId="77777777" w:rsidR="009D7DB6" w:rsidRPr="00666914" w:rsidRDefault="009D7DB6" w:rsidP="009D7DB6">
      <w:pPr>
        <w:rPr>
          <w:bCs/>
        </w:rPr>
      </w:pPr>
      <w:r w:rsidRPr="00666914">
        <w:rPr>
          <w:bCs/>
        </w:rPr>
        <w:t>Podľa ZSSK návrh novej Zmluvy predpokladá vyčíslenie plánovanej kompenzácie na základe plánovaných parametrov a plánovaných výkonov objednaných štátom celkom (obslužnosť celého územia), ktoré vychádzajú z Grafikonu vlakovej dopravy (na tomto princípe pracuje aj finančný model k Zmluve) a predpokladá ročné vyúčtovanie na základe vyčísleného čistého finančného vplyvu, t.j. rozdielu medzi EON - EOV (vrátane zálohovej úhrady) + primeraný zisk. Vyčíslenie nákladov na jednotlivé vlakové linky nie je parameter, ktorý vstupuje do výpočtu kompenzácie zo Zmluvy (ani plánovanej a ani skutočnej).</w:t>
      </w:r>
    </w:p>
    <w:p w14:paraId="048EC23E" w14:textId="7D9389B1" w:rsidR="00CB16AA" w:rsidRPr="00666914" w:rsidRDefault="00CB16AA" w:rsidP="00985E7A">
      <w:pPr>
        <w:rPr>
          <w:bCs/>
        </w:rPr>
      </w:pPr>
      <w:r w:rsidRPr="00666914">
        <w:rPr>
          <w:bCs/>
        </w:rPr>
        <w:t>Hlavné odporúčanie IJ v SIS 2018 „Poskytovať údaje týkajúce sa Železničnej spoločnosti Slovensko, a. s. (ZSSK), ktoré sú nevyhnutné na dopracovanie Revízie výdavkov na dopravu“</w:t>
      </w:r>
      <w:r w:rsidR="00862C54" w:rsidRPr="00666914">
        <w:rPr>
          <w:bCs/>
        </w:rPr>
        <w:t xml:space="preserve"> sa stále neplní</w:t>
      </w:r>
      <w:r w:rsidRPr="00666914">
        <w:rPr>
          <w:b/>
          <w:bCs/>
        </w:rPr>
        <w:t xml:space="preserve">. Ani v roku 2019 neprišlo k dohode na detaile a štruktúre poskytovaných dát zúčastnených zmluvných strán (IJ ÚV SR, ÚHP MF SR, MDV SR a ZSSK) potrebných na dopracovanie Revízie výdavkov v osobnej železničnej doprave. </w:t>
      </w:r>
      <w:r w:rsidRPr="00666914">
        <w:rPr>
          <w:bCs/>
        </w:rPr>
        <w:t>Podľa ZSSK je to z dôvodu, že ako akciová spoločnosť pohybujúca sa na konkurenčnom trhu si m</w:t>
      </w:r>
      <w:r w:rsidR="00D67E6E" w:rsidRPr="00666914">
        <w:rPr>
          <w:bCs/>
        </w:rPr>
        <w:t>usí chrániť obchodné tajomstvo.</w:t>
      </w:r>
    </w:p>
    <w:p w14:paraId="73BE8017" w14:textId="77777777" w:rsidR="00CB16AA" w:rsidRPr="00666914" w:rsidRDefault="00CB16AA">
      <w:pPr>
        <w:rPr>
          <w:b/>
          <w:bCs/>
        </w:rPr>
      </w:pPr>
      <w:r w:rsidRPr="00666914">
        <w:rPr>
          <w:b/>
          <w:bCs/>
        </w:rPr>
        <w:br w:type="page"/>
      </w:r>
    </w:p>
    <w:p w14:paraId="6E44DBB4" w14:textId="77777777" w:rsidR="00CB16AA" w:rsidRPr="00666914" w:rsidRDefault="00CB16AA" w:rsidP="00985E7A">
      <w:pPr>
        <w:pStyle w:val="Nadpis2"/>
        <w:ind w:left="1070"/>
      </w:pPr>
      <w:bookmarkStart w:id="232" w:name="_Toc21522711"/>
      <w:bookmarkStart w:id="233" w:name="_Toc38447593"/>
      <w:r w:rsidRPr="00666914">
        <w:rPr>
          <w:rStyle w:val="Nadpis2Char"/>
        </w:rPr>
        <w:lastRenderedPageBreak/>
        <w:t>Dopravné dáta, modely a metodika pre CBA</w:t>
      </w:r>
      <w:bookmarkEnd w:id="232"/>
      <w:bookmarkEnd w:id="233"/>
    </w:p>
    <w:tbl>
      <w:tblPr>
        <w:tblStyle w:val="Mriekatabuky2"/>
        <w:tblW w:w="5000" w:type="pct"/>
        <w:tblLook w:val="04A0" w:firstRow="1" w:lastRow="0" w:firstColumn="1" w:lastColumn="0" w:noHBand="0" w:noVBand="1"/>
      </w:tblPr>
      <w:tblGrid>
        <w:gridCol w:w="400"/>
        <w:gridCol w:w="3137"/>
        <w:gridCol w:w="1390"/>
        <w:gridCol w:w="955"/>
        <w:gridCol w:w="950"/>
        <w:gridCol w:w="593"/>
        <w:gridCol w:w="593"/>
        <w:gridCol w:w="593"/>
        <w:gridCol w:w="593"/>
      </w:tblGrid>
      <w:tr w:rsidR="00CB16AA" w:rsidRPr="00666914" w14:paraId="351CC2E2" w14:textId="77777777" w:rsidTr="00254A5B">
        <w:tc>
          <w:tcPr>
            <w:tcW w:w="218" w:type="pct"/>
            <w:tcBorders>
              <w:top w:val="single" w:sz="4" w:space="0" w:color="auto"/>
              <w:left w:val="single" w:sz="4" w:space="0" w:color="auto"/>
              <w:bottom w:val="nil"/>
              <w:right w:val="nil"/>
            </w:tcBorders>
            <w:vAlign w:val="center"/>
          </w:tcPr>
          <w:p w14:paraId="62AD7137" w14:textId="77777777" w:rsidR="00CB16AA" w:rsidRPr="00666914" w:rsidRDefault="00CB16AA" w:rsidP="00254A5B">
            <w:pPr>
              <w:tabs>
                <w:tab w:val="left" w:pos="6237"/>
              </w:tabs>
              <w:spacing w:after="0"/>
              <w:rPr>
                <w:sz w:val="20"/>
                <w:szCs w:val="20"/>
              </w:rPr>
            </w:pPr>
          </w:p>
        </w:tc>
        <w:tc>
          <w:tcPr>
            <w:tcW w:w="1704" w:type="pct"/>
            <w:tcBorders>
              <w:top w:val="single" w:sz="4" w:space="0" w:color="auto"/>
              <w:left w:val="nil"/>
              <w:right w:val="single" w:sz="4" w:space="0" w:color="auto"/>
            </w:tcBorders>
            <w:vAlign w:val="center"/>
          </w:tcPr>
          <w:p w14:paraId="32DD2951" w14:textId="77777777" w:rsidR="00CB16AA" w:rsidRPr="00666914" w:rsidRDefault="00CB16AA" w:rsidP="00254A5B">
            <w:pPr>
              <w:tabs>
                <w:tab w:val="left" w:pos="6237"/>
              </w:tabs>
              <w:spacing w:after="0"/>
              <w:jc w:val="center"/>
              <w:rPr>
                <w:b/>
                <w:sz w:val="20"/>
                <w:szCs w:val="20"/>
              </w:rPr>
            </w:pPr>
            <w:r w:rsidRPr="00666914">
              <w:rPr>
                <w:b/>
                <w:sz w:val="20"/>
                <w:szCs w:val="20"/>
              </w:rPr>
              <w:t>Opatrenie</w:t>
            </w:r>
          </w:p>
        </w:tc>
        <w:tc>
          <w:tcPr>
            <w:tcW w:w="755" w:type="pct"/>
            <w:tcBorders>
              <w:top w:val="single" w:sz="4" w:space="0" w:color="auto"/>
              <w:left w:val="single" w:sz="4" w:space="0" w:color="auto"/>
              <w:right w:val="single" w:sz="4" w:space="0" w:color="auto"/>
            </w:tcBorders>
            <w:vAlign w:val="center"/>
          </w:tcPr>
          <w:p w14:paraId="6986D633" w14:textId="77777777" w:rsidR="00CB16AA" w:rsidRPr="00666914" w:rsidRDefault="00CB16AA" w:rsidP="00254A5B">
            <w:pPr>
              <w:tabs>
                <w:tab w:val="left" w:pos="6237"/>
              </w:tabs>
              <w:spacing w:after="0"/>
              <w:jc w:val="center"/>
              <w:rPr>
                <w:b/>
                <w:sz w:val="20"/>
                <w:szCs w:val="20"/>
              </w:rPr>
            </w:pPr>
            <w:r w:rsidRPr="00666914">
              <w:rPr>
                <w:b/>
                <w:sz w:val="20"/>
                <w:szCs w:val="20"/>
              </w:rPr>
              <w:t>Zodpovednosť</w:t>
            </w:r>
          </w:p>
        </w:tc>
        <w:tc>
          <w:tcPr>
            <w:tcW w:w="519" w:type="pct"/>
            <w:tcBorders>
              <w:top w:val="single" w:sz="4" w:space="0" w:color="auto"/>
              <w:left w:val="single" w:sz="4" w:space="0" w:color="auto"/>
              <w:right w:val="single" w:sz="4" w:space="0" w:color="auto"/>
            </w:tcBorders>
            <w:vAlign w:val="center"/>
          </w:tcPr>
          <w:p w14:paraId="74D45132" w14:textId="77777777" w:rsidR="00CB16AA" w:rsidRPr="00666914" w:rsidRDefault="00CB16AA" w:rsidP="00254A5B">
            <w:pPr>
              <w:tabs>
                <w:tab w:val="left" w:pos="6237"/>
              </w:tabs>
              <w:spacing w:after="0"/>
              <w:jc w:val="center"/>
              <w:rPr>
                <w:b/>
                <w:sz w:val="20"/>
                <w:szCs w:val="20"/>
              </w:rPr>
            </w:pPr>
            <w:r w:rsidRPr="00666914">
              <w:rPr>
                <w:b/>
                <w:sz w:val="20"/>
                <w:szCs w:val="20"/>
              </w:rPr>
              <w:t>Termín plnenia</w:t>
            </w:r>
          </w:p>
        </w:tc>
        <w:tc>
          <w:tcPr>
            <w:tcW w:w="516" w:type="pct"/>
            <w:tcBorders>
              <w:top w:val="single" w:sz="4" w:space="0" w:color="auto"/>
              <w:left w:val="single" w:sz="4" w:space="0" w:color="auto"/>
              <w:right w:val="single" w:sz="4" w:space="0" w:color="auto"/>
            </w:tcBorders>
            <w:vAlign w:val="center"/>
          </w:tcPr>
          <w:p w14:paraId="103BCFDF" w14:textId="77777777" w:rsidR="00CB16AA" w:rsidRPr="00666914" w:rsidRDefault="00CB16AA" w:rsidP="00254A5B">
            <w:pPr>
              <w:tabs>
                <w:tab w:val="left" w:pos="6237"/>
              </w:tabs>
              <w:spacing w:after="0"/>
              <w:jc w:val="center"/>
              <w:rPr>
                <w:b/>
                <w:sz w:val="20"/>
                <w:szCs w:val="20"/>
              </w:rPr>
            </w:pPr>
            <w:r w:rsidRPr="00666914">
              <w:rPr>
                <w:b/>
                <w:sz w:val="20"/>
                <w:szCs w:val="20"/>
              </w:rPr>
              <w:t>Nový termín</w:t>
            </w:r>
          </w:p>
        </w:tc>
        <w:tc>
          <w:tcPr>
            <w:tcW w:w="322" w:type="pct"/>
            <w:tcBorders>
              <w:top w:val="single" w:sz="4" w:space="0" w:color="auto"/>
              <w:left w:val="single" w:sz="4" w:space="0" w:color="auto"/>
              <w:bottom w:val="nil"/>
              <w:right w:val="single" w:sz="4" w:space="0" w:color="auto"/>
            </w:tcBorders>
            <w:vAlign w:val="center"/>
          </w:tcPr>
          <w:p w14:paraId="61A25648" w14:textId="77777777" w:rsidR="00CB16AA" w:rsidRPr="00666914" w:rsidRDefault="00CB16AA" w:rsidP="00254A5B">
            <w:pPr>
              <w:tabs>
                <w:tab w:val="left" w:pos="6237"/>
              </w:tabs>
              <w:spacing w:after="0"/>
              <w:jc w:val="center"/>
              <w:rPr>
                <w:b/>
                <w:sz w:val="20"/>
                <w:szCs w:val="20"/>
              </w:rPr>
            </w:pPr>
            <w:r w:rsidRPr="00666914">
              <w:rPr>
                <w:b/>
                <w:sz w:val="20"/>
                <w:szCs w:val="20"/>
              </w:rPr>
              <w:t>1Q</w:t>
            </w:r>
          </w:p>
          <w:p w14:paraId="2BD4F1CF" w14:textId="77777777" w:rsidR="00CB16AA" w:rsidRPr="00666914" w:rsidRDefault="00CB16AA" w:rsidP="00254A5B">
            <w:pPr>
              <w:tabs>
                <w:tab w:val="left" w:pos="6237"/>
              </w:tabs>
              <w:spacing w:after="0"/>
              <w:jc w:val="center"/>
              <w:rPr>
                <w:b/>
                <w:sz w:val="20"/>
                <w:szCs w:val="20"/>
              </w:rPr>
            </w:pPr>
            <w:r w:rsidRPr="00666914">
              <w:rPr>
                <w:b/>
                <w:sz w:val="20"/>
                <w:szCs w:val="20"/>
              </w:rPr>
              <w:t>2019</w:t>
            </w:r>
          </w:p>
        </w:tc>
        <w:tc>
          <w:tcPr>
            <w:tcW w:w="322" w:type="pct"/>
            <w:tcBorders>
              <w:top w:val="single" w:sz="4" w:space="0" w:color="auto"/>
              <w:left w:val="single" w:sz="4" w:space="0" w:color="auto"/>
              <w:bottom w:val="nil"/>
              <w:right w:val="single" w:sz="4" w:space="0" w:color="auto"/>
            </w:tcBorders>
            <w:vAlign w:val="center"/>
          </w:tcPr>
          <w:p w14:paraId="234D4A06" w14:textId="77777777" w:rsidR="00CB16AA" w:rsidRPr="00666914" w:rsidRDefault="00CB16AA" w:rsidP="00254A5B">
            <w:pPr>
              <w:tabs>
                <w:tab w:val="left" w:pos="6237"/>
              </w:tabs>
              <w:spacing w:after="0"/>
              <w:jc w:val="center"/>
              <w:rPr>
                <w:b/>
                <w:sz w:val="20"/>
                <w:szCs w:val="20"/>
              </w:rPr>
            </w:pPr>
            <w:r w:rsidRPr="00666914">
              <w:rPr>
                <w:b/>
                <w:sz w:val="20"/>
                <w:szCs w:val="20"/>
              </w:rPr>
              <w:t>2Q</w:t>
            </w:r>
          </w:p>
          <w:p w14:paraId="671D8804" w14:textId="77777777" w:rsidR="00CB16AA" w:rsidRPr="00666914" w:rsidRDefault="00CB16AA" w:rsidP="00254A5B">
            <w:pPr>
              <w:tabs>
                <w:tab w:val="left" w:pos="6237"/>
              </w:tabs>
              <w:spacing w:after="0"/>
              <w:jc w:val="center"/>
              <w:rPr>
                <w:b/>
                <w:sz w:val="20"/>
                <w:szCs w:val="20"/>
              </w:rPr>
            </w:pPr>
            <w:r w:rsidRPr="00666914">
              <w:rPr>
                <w:b/>
                <w:sz w:val="20"/>
                <w:szCs w:val="20"/>
              </w:rPr>
              <w:t>2019</w:t>
            </w:r>
          </w:p>
        </w:tc>
        <w:tc>
          <w:tcPr>
            <w:tcW w:w="322" w:type="pct"/>
            <w:tcBorders>
              <w:top w:val="single" w:sz="4" w:space="0" w:color="auto"/>
              <w:left w:val="single" w:sz="4" w:space="0" w:color="auto"/>
              <w:bottom w:val="nil"/>
              <w:right w:val="single" w:sz="4" w:space="0" w:color="auto"/>
            </w:tcBorders>
            <w:vAlign w:val="center"/>
          </w:tcPr>
          <w:p w14:paraId="72F7F85D" w14:textId="77777777" w:rsidR="00CB16AA" w:rsidRPr="00666914" w:rsidRDefault="00CB16AA" w:rsidP="00254A5B">
            <w:pPr>
              <w:tabs>
                <w:tab w:val="left" w:pos="6237"/>
              </w:tabs>
              <w:spacing w:after="0"/>
              <w:jc w:val="center"/>
              <w:rPr>
                <w:b/>
                <w:sz w:val="20"/>
                <w:szCs w:val="20"/>
              </w:rPr>
            </w:pPr>
            <w:r w:rsidRPr="00666914">
              <w:rPr>
                <w:b/>
                <w:sz w:val="20"/>
                <w:szCs w:val="20"/>
              </w:rPr>
              <w:t>3Q</w:t>
            </w:r>
          </w:p>
          <w:p w14:paraId="2DFFEBBE" w14:textId="77777777" w:rsidR="00CB16AA" w:rsidRPr="00666914" w:rsidRDefault="00CB16AA" w:rsidP="00254A5B">
            <w:pPr>
              <w:tabs>
                <w:tab w:val="left" w:pos="6237"/>
              </w:tabs>
              <w:spacing w:after="0"/>
              <w:jc w:val="center"/>
              <w:rPr>
                <w:b/>
                <w:sz w:val="20"/>
                <w:szCs w:val="20"/>
              </w:rPr>
            </w:pPr>
            <w:r w:rsidRPr="00666914">
              <w:rPr>
                <w:b/>
                <w:sz w:val="20"/>
                <w:szCs w:val="20"/>
              </w:rPr>
              <w:t>2019</w:t>
            </w:r>
          </w:p>
        </w:tc>
        <w:tc>
          <w:tcPr>
            <w:tcW w:w="322" w:type="pct"/>
            <w:tcBorders>
              <w:top w:val="single" w:sz="4" w:space="0" w:color="auto"/>
              <w:left w:val="single" w:sz="4" w:space="0" w:color="auto"/>
              <w:bottom w:val="nil"/>
              <w:right w:val="single" w:sz="4" w:space="0" w:color="auto"/>
            </w:tcBorders>
            <w:vAlign w:val="center"/>
          </w:tcPr>
          <w:p w14:paraId="4E03977D" w14:textId="77777777" w:rsidR="00CB16AA" w:rsidRPr="00666914" w:rsidRDefault="00CB16AA" w:rsidP="00254A5B">
            <w:pPr>
              <w:tabs>
                <w:tab w:val="left" w:pos="6237"/>
              </w:tabs>
              <w:spacing w:after="0"/>
              <w:jc w:val="center"/>
              <w:rPr>
                <w:b/>
                <w:sz w:val="20"/>
                <w:szCs w:val="20"/>
              </w:rPr>
            </w:pPr>
            <w:r w:rsidRPr="00666914">
              <w:rPr>
                <w:b/>
                <w:sz w:val="20"/>
                <w:szCs w:val="20"/>
              </w:rPr>
              <w:t>4Q</w:t>
            </w:r>
          </w:p>
          <w:p w14:paraId="7AD76A7A" w14:textId="77777777" w:rsidR="00CB16AA" w:rsidRPr="00666914" w:rsidRDefault="00CB16AA" w:rsidP="00254A5B">
            <w:pPr>
              <w:tabs>
                <w:tab w:val="left" w:pos="6237"/>
              </w:tabs>
              <w:spacing w:after="0"/>
              <w:jc w:val="center"/>
              <w:rPr>
                <w:b/>
                <w:sz w:val="20"/>
                <w:szCs w:val="20"/>
              </w:rPr>
            </w:pPr>
            <w:r w:rsidRPr="00666914">
              <w:rPr>
                <w:b/>
                <w:sz w:val="20"/>
                <w:szCs w:val="20"/>
              </w:rPr>
              <w:t>2019</w:t>
            </w:r>
          </w:p>
        </w:tc>
      </w:tr>
      <w:tr w:rsidR="00CB16AA" w:rsidRPr="00666914" w14:paraId="62676DA3" w14:textId="77777777" w:rsidTr="00254A5B">
        <w:tc>
          <w:tcPr>
            <w:tcW w:w="218" w:type="pct"/>
            <w:tcBorders>
              <w:top w:val="single" w:sz="4" w:space="0" w:color="auto"/>
            </w:tcBorders>
            <w:vAlign w:val="center"/>
          </w:tcPr>
          <w:p w14:paraId="2B6D159F"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24</w:t>
            </w:r>
          </w:p>
        </w:tc>
        <w:tc>
          <w:tcPr>
            <w:tcW w:w="1704" w:type="pct"/>
            <w:tcBorders>
              <w:top w:val="single" w:sz="4" w:space="0" w:color="auto"/>
            </w:tcBorders>
            <w:vAlign w:val="center"/>
          </w:tcPr>
          <w:p w14:paraId="12E32D1C"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Zadefinovať rozsah zberu dát, jeho periodicitu, formát, zdroj a zodpovednú organizáciu a iniciovanie úpravy metodiky zisťovania ŠÚ SR na aktuálne požiadavky dát.</w:t>
            </w:r>
          </w:p>
        </w:tc>
        <w:tc>
          <w:tcPr>
            <w:tcW w:w="755" w:type="pct"/>
            <w:tcBorders>
              <w:top w:val="single" w:sz="4" w:space="0" w:color="auto"/>
            </w:tcBorders>
            <w:vAlign w:val="center"/>
          </w:tcPr>
          <w:p w14:paraId="3046556D" w14:textId="64EECBE6" w:rsidR="00CB16AA" w:rsidRPr="00666914" w:rsidRDefault="00923F3D" w:rsidP="00985E7A">
            <w:pPr>
              <w:rPr>
                <w:rFonts w:eastAsia="Times New Roman" w:cs="Calibri"/>
                <w:color w:val="000000"/>
                <w:sz w:val="20"/>
                <w:szCs w:val="20"/>
                <w:lang w:eastAsia="sk-SK"/>
              </w:rPr>
            </w:pPr>
            <w:r>
              <w:rPr>
                <w:rFonts w:eastAsia="Times New Roman" w:cs="Calibri"/>
                <w:color w:val="000000"/>
                <w:sz w:val="20"/>
                <w:szCs w:val="20"/>
                <w:lang w:eastAsia="sk-SK"/>
              </w:rPr>
              <w:t>MDV SR/</w:t>
            </w:r>
            <w:r w:rsidR="00CB16AA" w:rsidRPr="00666914">
              <w:rPr>
                <w:rFonts w:eastAsia="Times New Roman" w:cs="Calibri"/>
                <w:color w:val="000000"/>
                <w:sz w:val="20"/>
                <w:szCs w:val="20"/>
                <w:lang w:eastAsia="sk-SK"/>
              </w:rPr>
              <w:t xml:space="preserve">MF SR </w:t>
            </w:r>
          </w:p>
          <w:p w14:paraId="154810AA"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SVAMP</w:t>
            </w:r>
          </w:p>
        </w:tc>
        <w:tc>
          <w:tcPr>
            <w:tcW w:w="519" w:type="pct"/>
            <w:tcBorders>
              <w:top w:val="single" w:sz="4" w:space="0" w:color="auto"/>
            </w:tcBorders>
            <w:shd w:val="clear" w:color="auto" w:fill="auto"/>
            <w:vAlign w:val="center"/>
          </w:tcPr>
          <w:p w14:paraId="08B409FA"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jún 2017</w:t>
            </w:r>
          </w:p>
        </w:tc>
        <w:tc>
          <w:tcPr>
            <w:tcW w:w="516" w:type="pct"/>
            <w:tcBorders>
              <w:top w:val="single" w:sz="4" w:space="0" w:color="auto"/>
            </w:tcBorders>
            <w:vAlign w:val="center"/>
          </w:tcPr>
          <w:p w14:paraId="7DEF627B"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12/2019</w:t>
            </w:r>
          </w:p>
        </w:tc>
        <w:tc>
          <w:tcPr>
            <w:tcW w:w="322" w:type="pct"/>
            <w:tcBorders>
              <w:top w:val="single" w:sz="4" w:space="0" w:color="auto"/>
            </w:tcBorders>
            <w:shd w:val="clear" w:color="auto" w:fill="FFC000"/>
          </w:tcPr>
          <w:p w14:paraId="63A1FE65" w14:textId="77777777" w:rsidR="00CB16AA" w:rsidRPr="00666914" w:rsidRDefault="00CB16AA" w:rsidP="00985E7A">
            <w:pPr>
              <w:tabs>
                <w:tab w:val="left" w:pos="6237"/>
              </w:tabs>
              <w:rPr>
                <w:sz w:val="20"/>
                <w:szCs w:val="20"/>
              </w:rPr>
            </w:pPr>
          </w:p>
        </w:tc>
        <w:tc>
          <w:tcPr>
            <w:tcW w:w="322" w:type="pct"/>
            <w:tcBorders>
              <w:top w:val="single" w:sz="4" w:space="0" w:color="auto"/>
            </w:tcBorders>
            <w:shd w:val="clear" w:color="auto" w:fill="FFC000"/>
          </w:tcPr>
          <w:p w14:paraId="58A95051" w14:textId="77777777" w:rsidR="00CB16AA" w:rsidRPr="00666914" w:rsidRDefault="00CB16AA" w:rsidP="00985E7A">
            <w:pPr>
              <w:tabs>
                <w:tab w:val="left" w:pos="6237"/>
              </w:tabs>
              <w:rPr>
                <w:sz w:val="20"/>
                <w:szCs w:val="20"/>
              </w:rPr>
            </w:pPr>
          </w:p>
        </w:tc>
        <w:tc>
          <w:tcPr>
            <w:tcW w:w="322" w:type="pct"/>
            <w:tcBorders>
              <w:top w:val="single" w:sz="4" w:space="0" w:color="auto"/>
            </w:tcBorders>
            <w:shd w:val="clear" w:color="auto" w:fill="FFC000"/>
          </w:tcPr>
          <w:p w14:paraId="727B1548" w14:textId="77777777" w:rsidR="00CB16AA" w:rsidRPr="00666914" w:rsidRDefault="00CB16AA" w:rsidP="00985E7A">
            <w:pPr>
              <w:tabs>
                <w:tab w:val="left" w:pos="6237"/>
              </w:tabs>
              <w:rPr>
                <w:sz w:val="20"/>
                <w:szCs w:val="20"/>
              </w:rPr>
            </w:pPr>
          </w:p>
        </w:tc>
        <w:tc>
          <w:tcPr>
            <w:tcW w:w="322" w:type="pct"/>
            <w:tcBorders>
              <w:top w:val="single" w:sz="4" w:space="0" w:color="auto"/>
            </w:tcBorders>
            <w:shd w:val="clear" w:color="auto" w:fill="FF0000"/>
          </w:tcPr>
          <w:p w14:paraId="76EC4D89" w14:textId="77777777" w:rsidR="00CB16AA" w:rsidRPr="00666914" w:rsidRDefault="00CB16AA" w:rsidP="00985E7A">
            <w:pPr>
              <w:tabs>
                <w:tab w:val="left" w:pos="6237"/>
              </w:tabs>
              <w:rPr>
                <w:sz w:val="20"/>
                <w:szCs w:val="20"/>
              </w:rPr>
            </w:pPr>
          </w:p>
        </w:tc>
      </w:tr>
      <w:tr w:rsidR="00CB16AA" w:rsidRPr="00666914" w14:paraId="36F91BFC" w14:textId="77777777" w:rsidTr="00254A5B">
        <w:tc>
          <w:tcPr>
            <w:tcW w:w="218" w:type="pct"/>
            <w:vAlign w:val="center"/>
          </w:tcPr>
          <w:p w14:paraId="34E60392"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25</w:t>
            </w:r>
          </w:p>
        </w:tc>
        <w:tc>
          <w:tcPr>
            <w:tcW w:w="1704" w:type="pct"/>
            <w:vAlign w:val="center"/>
          </w:tcPr>
          <w:p w14:paraId="7723CD74"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Sprístupňovať relevantné dopravné dáta verejnosti, najmä na účely vytvárania koncepčných materiálov a stratégií v oblasti dopravy</w:t>
            </w:r>
          </w:p>
        </w:tc>
        <w:tc>
          <w:tcPr>
            <w:tcW w:w="755" w:type="pct"/>
            <w:vAlign w:val="center"/>
          </w:tcPr>
          <w:p w14:paraId="338DDE0B"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MDV SR </w:t>
            </w:r>
          </w:p>
          <w:p w14:paraId="648C0C0F"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SVAMP </w:t>
            </w:r>
          </w:p>
        </w:tc>
        <w:tc>
          <w:tcPr>
            <w:tcW w:w="519" w:type="pct"/>
            <w:shd w:val="clear" w:color="auto" w:fill="auto"/>
            <w:vAlign w:val="center"/>
          </w:tcPr>
          <w:p w14:paraId="6BB780E6" w14:textId="55B8528D" w:rsidR="00CB16AA" w:rsidRPr="00666914" w:rsidRDefault="001031F7" w:rsidP="00985E7A">
            <w:pPr>
              <w:tabs>
                <w:tab w:val="left" w:pos="6237"/>
              </w:tabs>
              <w:rPr>
                <w:sz w:val="20"/>
                <w:szCs w:val="20"/>
              </w:rPr>
            </w:pPr>
            <w:r w:rsidRPr="00666914">
              <w:rPr>
                <w:rFonts w:eastAsia="Times New Roman" w:cs="Calibri"/>
                <w:color w:val="000000"/>
                <w:sz w:val="20"/>
                <w:szCs w:val="20"/>
                <w:lang w:eastAsia="sk-SK"/>
              </w:rPr>
              <w:t>P</w:t>
            </w:r>
            <w:r w:rsidR="00CB16AA" w:rsidRPr="00666914">
              <w:rPr>
                <w:rFonts w:eastAsia="Times New Roman" w:cs="Calibri"/>
                <w:color w:val="000000"/>
                <w:sz w:val="20"/>
                <w:szCs w:val="20"/>
                <w:lang w:eastAsia="sk-SK"/>
              </w:rPr>
              <w:t>riebežne</w:t>
            </w:r>
          </w:p>
        </w:tc>
        <w:tc>
          <w:tcPr>
            <w:tcW w:w="516" w:type="pct"/>
            <w:vAlign w:val="center"/>
          </w:tcPr>
          <w:p w14:paraId="79D8F582"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12/2019</w:t>
            </w:r>
          </w:p>
        </w:tc>
        <w:tc>
          <w:tcPr>
            <w:tcW w:w="322" w:type="pct"/>
            <w:shd w:val="clear" w:color="auto" w:fill="FFC000"/>
          </w:tcPr>
          <w:p w14:paraId="134F631B" w14:textId="77777777" w:rsidR="00CB16AA" w:rsidRPr="00666914" w:rsidRDefault="00CB16AA" w:rsidP="00985E7A">
            <w:pPr>
              <w:tabs>
                <w:tab w:val="left" w:pos="6237"/>
              </w:tabs>
              <w:rPr>
                <w:sz w:val="20"/>
                <w:szCs w:val="20"/>
              </w:rPr>
            </w:pPr>
          </w:p>
        </w:tc>
        <w:tc>
          <w:tcPr>
            <w:tcW w:w="322" w:type="pct"/>
            <w:shd w:val="clear" w:color="auto" w:fill="FFC000"/>
          </w:tcPr>
          <w:p w14:paraId="6799C56B" w14:textId="77777777" w:rsidR="00CB16AA" w:rsidRPr="00666914" w:rsidRDefault="00CB16AA" w:rsidP="00985E7A">
            <w:pPr>
              <w:tabs>
                <w:tab w:val="left" w:pos="6237"/>
              </w:tabs>
              <w:rPr>
                <w:sz w:val="20"/>
                <w:szCs w:val="20"/>
              </w:rPr>
            </w:pPr>
          </w:p>
        </w:tc>
        <w:tc>
          <w:tcPr>
            <w:tcW w:w="322" w:type="pct"/>
            <w:shd w:val="clear" w:color="auto" w:fill="FFC000"/>
          </w:tcPr>
          <w:p w14:paraId="11378612" w14:textId="77777777" w:rsidR="00CB16AA" w:rsidRPr="00666914" w:rsidRDefault="00CB16AA" w:rsidP="00985E7A">
            <w:pPr>
              <w:tabs>
                <w:tab w:val="left" w:pos="6237"/>
              </w:tabs>
              <w:rPr>
                <w:sz w:val="20"/>
                <w:szCs w:val="20"/>
              </w:rPr>
            </w:pPr>
          </w:p>
        </w:tc>
        <w:tc>
          <w:tcPr>
            <w:tcW w:w="322" w:type="pct"/>
            <w:shd w:val="clear" w:color="auto" w:fill="92D050"/>
          </w:tcPr>
          <w:p w14:paraId="1A1F1F1B" w14:textId="77777777" w:rsidR="00CB16AA" w:rsidRPr="00666914" w:rsidRDefault="00CB16AA" w:rsidP="00985E7A">
            <w:pPr>
              <w:tabs>
                <w:tab w:val="left" w:pos="6237"/>
              </w:tabs>
              <w:rPr>
                <w:color w:val="FFC000"/>
                <w:sz w:val="20"/>
                <w:szCs w:val="20"/>
              </w:rPr>
            </w:pPr>
          </w:p>
        </w:tc>
      </w:tr>
      <w:tr w:rsidR="00CB16AA" w:rsidRPr="00666914" w14:paraId="761EB6B9" w14:textId="77777777" w:rsidTr="00254A5B">
        <w:tc>
          <w:tcPr>
            <w:tcW w:w="218" w:type="pct"/>
            <w:vAlign w:val="center"/>
          </w:tcPr>
          <w:p w14:paraId="0DB36FD6"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26</w:t>
            </w:r>
          </w:p>
        </w:tc>
        <w:tc>
          <w:tcPr>
            <w:tcW w:w="1704" w:type="pct"/>
            <w:vAlign w:val="center"/>
          </w:tcPr>
          <w:p w14:paraId="37D61DB0"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Zabezpečiť prístup k vstupným údajom, metodikám, výstupom dopravných modelov nastavením podmienok v zmluvách s dodávateľmi diel vo verejných obstarávaniach začatých po 10/2016</w:t>
            </w:r>
          </w:p>
        </w:tc>
        <w:tc>
          <w:tcPr>
            <w:tcW w:w="755" w:type="pct"/>
            <w:vAlign w:val="center"/>
          </w:tcPr>
          <w:p w14:paraId="2C3DC494"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MDV SR </w:t>
            </w:r>
          </w:p>
          <w:p w14:paraId="58AB1ADC"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SCDaPK </w:t>
            </w:r>
          </w:p>
        </w:tc>
        <w:tc>
          <w:tcPr>
            <w:tcW w:w="519" w:type="pct"/>
            <w:shd w:val="clear" w:color="auto" w:fill="auto"/>
            <w:vAlign w:val="center"/>
          </w:tcPr>
          <w:p w14:paraId="3732537F"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01/2017</w:t>
            </w:r>
          </w:p>
        </w:tc>
        <w:tc>
          <w:tcPr>
            <w:tcW w:w="516" w:type="pct"/>
            <w:vAlign w:val="center"/>
          </w:tcPr>
          <w:p w14:paraId="20BA065B" w14:textId="77777777" w:rsidR="00CB16AA" w:rsidRPr="00666914" w:rsidRDefault="00CB16AA" w:rsidP="00985E7A">
            <w:pPr>
              <w:tabs>
                <w:tab w:val="left" w:pos="6237"/>
              </w:tabs>
              <w:rPr>
                <w:sz w:val="20"/>
                <w:szCs w:val="20"/>
              </w:rPr>
            </w:pPr>
            <w:r w:rsidRPr="00666914">
              <w:rPr>
                <w:rFonts w:eastAsia="Times New Roman"/>
                <w:color w:val="000000"/>
                <w:sz w:val="20"/>
                <w:szCs w:val="20"/>
                <w:lang w:eastAsia="sk-SK"/>
              </w:rPr>
              <w:t>priebežne</w:t>
            </w:r>
          </w:p>
        </w:tc>
        <w:tc>
          <w:tcPr>
            <w:tcW w:w="322" w:type="pct"/>
            <w:shd w:val="clear" w:color="auto" w:fill="A6A6A6" w:themeFill="background1" w:themeFillShade="A6"/>
          </w:tcPr>
          <w:p w14:paraId="1B929505" w14:textId="77777777" w:rsidR="00CB16AA" w:rsidRPr="00666914" w:rsidRDefault="00CB16AA" w:rsidP="00985E7A">
            <w:pPr>
              <w:tabs>
                <w:tab w:val="left" w:pos="6237"/>
              </w:tabs>
              <w:rPr>
                <w:sz w:val="20"/>
                <w:szCs w:val="20"/>
              </w:rPr>
            </w:pPr>
          </w:p>
        </w:tc>
        <w:tc>
          <w:tcPr>
            <w:tcW w:w="322" w:type="pct"/>
            <w:shd w:val="clear" w:color="auto" w:fill="92D050"/>
          </w:tcPr>
          <w:p w14:paraId="616BB0FD" w14:textId="77777777" w:rsidR="00CB16AA" w:rsidRPr="00666914" w:rsidRDefault="00CB16AA" w:rsidP="00985E7A">
            <w:pPr>
              <w:tabs>
                <w:tab w:val="left" w:pos="6237"/>
              </w:tabs>
              <w:rPr>
                <w:sz w:val="20"/>
                <w:szCs w:val="20"/>
              </w:rPr>
            </w:pPr>
          </w:p>
        </w:tc>
        <w:tc>
          <w:tcPr>
            <w:tcW w:w="322" w:type="pct"/>
            <w:shd w:val="clear" w:color="auto" w:fill="AEAAAA" w:themeFill="background2" w:themeFillShade="BF"/>
          </w:tcPr>
          <w:p w14:paraId="7B71C162" w14:textId="77777777" w:rsidR="00CB16AA" w:rsidRPr="00666914" w:rsidRDefault="00CB16AA" w:rsidP="00985E7A">
            <w:pPr>
              <w:tabs>
                <w:tab w:val="left" w:pos="6237"/>
              </w:tabs>
              <w:rPr>
                <w:sz w:val="20"/>
                <w:szCs w:val="20"/>
              </w:rPr>
            </w:pPr>
          </w:p>
        </w:tc>
        <w:tc>
          <w:tcPr>
            <w:tcW w:w="322" w:type="pct"/>
            <w:shd w:val="clear" w:color="auto" w:fill="A6A6A6" w:themeFill="background1" w:themeFillShade="A6"/>
          </w:tcPr>
          <w:p w14:paraId="5614C6E2" w14:textId="77777777" w:rsidR="00CB16AA" w:rsidRPr="00666914" w:rsidRDefault="00CB16AA" w:rsidP="00985E7A">
            <w:pPr>
              <w:tabs>
                <w:tab w:val="left" w:pos="6237"/>
              </w:tabs>
              <w:rPr>
                <w:sz w:val="20"/>
                <w:szCs w:val="20"/>
              </w:rPr>
            </w:pPr>
          </w:p>
        </w:tc>
      </w:tr>
      <w:tr w:rsidR="00CB16AA" w:rsidRPr="00666914" w14:paraId="5F036233" w14:textId="77777777" w:rsidTr="00254A5B">
        <w:tc>
          <w:tcPr>
            <w:tcW w:w="218" w:type="pct"/>
            <w:vAlign w:val="center"/>
          </w:tcPr>
          <w:p w14:paraId="1354C342"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27</w:t>
            </w:r>
          </w:p>
        </w:tc>
        <w:tc>
          <w:tcPr>
            <w:tcW w:w="1704" w:type="pct"/>
            <w:vAlign w:val="center"/>
          </w:tcPr>
          <w:p w14:paraId="35D36BC1"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Vytvoriť metodiku a minimálne štandardy dopravného modelovania, ktoré stanovia mantinely pre tvorcov modelov v závislosti od druhu dopravného modelu</w:t>
            </w:r>
          </w:p>
        </w:tc>
        <w:tc>
          <w:tcPr>
            <w:tcW w:w="755" w:type="pct"/>
            <w:vAlign w:val="center"/>
          </w:tcPr>
          <w:p w14:paraId="0AD9AE79"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MDV SR/MF SR </w:t>
            </w:r>
          </w:p>
          <w:p w14:paraId="5C0705E3"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IDP</w:t>
            </w:r>
          </w:p>
        </w:tc>
        <w:tc>
          <w:tcPr>
            <w:tcW w:w="519" w:type="pct"/>
            <w:shd w:val="clear" w:color="auto" w:fill="auto"/>
            <w:vAlign w:val="center"/>
          </w:tcPr>
          <w:p w14:paraId="1479BC92"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06/2018</w:t>
            </w:r>
          </w:p>
        </w:tc>
        <w:tc>
          <w:tcPr>
            <w:tcW w:w="516" w:type="pct"/>
            <w:vAlign w:val="center"/>
          </w:tcPr>
          <w:p w14:paraId="1D43DE1F"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12/2019</w:t>
            </w:r>
          </w:p>
        </w:tc>
        <w:tc>
          <w:tcPr>
            <w:tcW w:w="322" w:type="pct"/>
            <w:shd w:val="clear" w:color="auto" w:fill="A6A6A6" w:themeFill="background1" w:themeFillShade="A6"/>
          </w:tcPr>
          <w:p w14:paraId="4FACFDC3" w14:textId="77777777" w:rsidR="00CB16AA" w:rsidRPr="00666914" w:rsidRDefault="00CB16AA" w:rsidP="00985E7A">
            <w:pPr>
              <w:tabs>
                <w:tab w:val="left" w:pos="6237"/>
              </w:tabs>
              <w:rPr>
                <w:sz w:val="20"/>
                <w:szCs w:val="20"/>
              </w:rPr>
            </w:pPr>
          </w:p>
        </w:tc>
        <w:tc>
          <w:tcPr>
            <w:tcW w:w="322" w:type="pct"/>
            <w:shd w:val="clear" w:color="auto" w:fill="92D050"/>
          </w:tcPr>
          <w:p w14:paraId="3A900C04" w14:textId="77777777" w:rsidR="00CB16AA" w:rsidRPr="00666914" w:rsidRDefault="00CB16AA" w:rsidP="00985E7A">
            <w:pPr>
              <w:tabs>
                <w:tab w:val="left" w:pos="6237"/>
              </w:tabs>
              <w:rPr>
                <w:sz w:val="20"/>
                <w:szCs w:val="20"/>
              </w:rPr>
            </w:pPr>
          </w:p>
        </w:tc>
        <w:tc>
          <w:tcPr>
            <w:tcW w:w="322" w:type="pct"/>
            <w:shd w:val="clear" w:color="auto" w:fill="AEAAAA" w:themeFill="background2" w:themeFillShade="BF"/>
          </w:tcPr>
          <w:p w14:paraId="4329B7B1" w14:textId="77777777" w:rsidR="00CB16AA" w:rsidRPr="00666914" w:rsidRDefault="00CB16AA" w:rsidP="00985E7A">
            <w:pPr>
              <w:tabs>
                <w:tab w:val="left" w:pos="6237"/>
              </w:tabs>
              <w:rPr>
                <w:sz w:val="20"/>
                <w:szCs w:val="20"/>
              </w:rPr>
            </w:pPr>
          </w:p>
        </w:tc>
        <w:tc>
          <w:tcPr>
            <w:tcW w:w="322" w:type="pct"/>
            <w:shd w:val="clear" w:color="auto" w:fill="92D050"/>
          </w:tcPr>
          <w:p w14:paraId="3278CAA8" w14:textId="77777777" w:rsidR="00CB16AA" w:rsidRPr="00666914" w:rsidRDefault="00CB16AA" w:rsidP="00985E7A">
            <w:pPr>
              <w:tabs>
                <w:tab w:val="left" w:pos="6237"/>
              </w:tabs>
              <w:rPr>
                <w:sz w:val="20"/>
                <w:szCs w:val="20"/>
              </w:rPr>
            </w:pPr>
          </w:p>
        </w:tc>
      </w:tr>
      <w:tr w:rsidR="00CB16AA" w:rsidRPr="00666914" w14:paraId="413A1358" w14:textId="77777777" w:rsidTr="00254A5B">
        <w:tc>
          <w:tcPr>
            <w:tcW w:w="218" w:type="pct"/>
            <w:vAlign w:val="center"/>
          </w:tcPr>
          <w:p w14:paraId="1FDB3032"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28</w:t>
            </w:r>
          </w:p>
        </w:tc>
        <w:tc>
          <w:tcPr>
            <w:tcW w:w="1704" w:type="pct"/>
            <w:vAlign w:val="center"/>
          </w:tcPr>
          <w:p w14:paraId="36D4B6B2"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V rozsahu finančných a kapacitných možností NDS zabezpečiť na požiadanie úpravu dát z mýta do anonymizovanej formy použiteľnej pre dopravné modelovanie (nielen intenzity, aj smerové dáta) a na požiadanie sprístupniť vo vopred definovanom rozsahu dáta MDV a zhotoviteľom dopravných modelov</w:t>
            </w:r>
          </w:p>
        </w:tc>
        <w:tc>
          <w:tcPr>
            <w:tcW w:w="755" w:type="pct"/>
            <w:vAlign w:val="center"/>
          </w:tcPr>
          <w:p w14:paraId="19719DE9"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MDV SR </w:t>
            </w:r>
          </w:p>
          <w:p w14:paraId="36C3C5EB"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SCDaPK </w:t>
            </w:r>
          </w:p>
        </w:tc>
        <w:tc>
          <w:tcPr>
            <w:tcW w:w="519" w:type="pct"/>
            <w:shd w:val="clear" w:color="auto" w:fill="auto"/>
            <w:vAlign w:val="center"/>
          </w:tcPr>
          <w:p w14:paraId="0F8C8CC9" w14:textId="47750649" w:rsidR="00CB16AA" w:rsidRPr="00666914" w:rsidRDefault="001031F7" w:rsidP="00985E7A">
            <w:pPr>
              <w:tabs>
                <w:tab w:val="left" w:pos="6237"/>
              </w:tabs>
              <w:rPr>
                <w:sz w:val="20"/>
                <w:szCs w:val="20"/>
              </w:rPr>
            </w:pPr>
            <w:r w:rsidRPr="00666914">
              <w:rPr>
                <w:rFonts w:eastAsia="Times New Roman" w:cs="Calibri"/>
                <w:color w:val="000000"/>
                <w:sz w:val="20"/>
                <w:szCs w:val="20"/>
                <w:lang w:eastAsia="sk-SK"/>
              </w:rPr>
              <w:t>P</w:t>
            </w:r>
            <w:r w:rsidR="00CB16AA" w:rsidRPr="00666914">
              <w:rPr>
                <w:rFonts w:eastAsia="Times New Roman" w:cs="Calibri"/>
                <w:color w:val="000000"/>
                <w:sz w:val="20"/>
                <w:szCs w:val="20"/>
                <w:lang w:eastAsia="sk-SK"/>
              </w:rPr>
              <w:t>riebežne</w:t>
            </w:r>
          </w:p>
        </w:tc>
        <w:tc>
          <w:tcPr>
            <w:tcW w:w="516" w:type="pct"/>
            <w:vAlign w:val="center"/>
          </w:tcPr>
          <w:p w14:paraId="1E01A847"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w:t>
            </w:r>
          </w:p>
        </w:tc>
        <w:tc>
          <w:tcPr>
            <w:tcW w:w="322" w:type="pct"/>
            <w:shd w:val="clear" w:color="auto" w:fill="A6A6A6" w:themeFill="background1" w:themeFillShade="A6"/>
          </w:tcPr>
          <w:p w14:paraId="40A17A8B" w14:textId="77777777" w:rsidR="00CB16AA" w:rsidRPr="00666914" w:rsidRDefault="00CB16AA" w:rsidP="00985E7A">
            <w:pPr>
              <w:tabs>
                <w:tab w:val="left" w:pos="6237"/>
              </w:tabs>
              <w:rPr>
                <w:sz w:val="20"/>
                <w:szCs w:val="20"/>
              </w:rPr>
            </w:pPr>
          </w:p>
        </w:tc>
        <w:tc>
          <w:tcPr>
            <w:tcW w:w="322" w:type="pct"/>
            <w:shd w:val="clear" w:color="auto" w:fill="92D050"/>
          </w:tcPr>
          <w:p w14:paraId="0DE6FCAB" w14:textId="77777777" w:rsidR="00CB16AA" w:rsidRPr="00666914" w:rsidRDefault="00CB16AA" w:rsidP="00985E7A">
            <w:pPr>
              <w:tabs>
                <w:tab w:val="left" w:pos="6237"/>
              </w:tabs>
              <w:rPr>
                <w:sz w:val="20"/>
                <w:szCs w:val="20"/>
              </w:rPr>
            </w:pPr>
          </w:p>
        </w:tc>
        <w:tc>
          <w:tcPr>
            <w:tcW w:w="322" w:type="pct"/>
            <w:shd w:val="clear" w:color="auto" w:fill="AEAAAA" w:themeFill="background2" w:themeFillShade="BF"/>
          </w:tcPr>
          <w:p w14:paraId="7177DB40" w14:textId="77777777" w:rsidR="00CB16AA" w:rsidRPr="00666914" w:rsidRDefault="00CB16AA" w:rsidP="00985E7A">
            <w:pPr>
              <w:tabs>
                <w:tab w:val="left" w:pos="6237"/>
              </w:tabs>
              <w:rPr>
                <w:sz w:val="20"/>
                <w:szCs w:val="20"/>
              </w:rPr>
            </w:pPr>
          </w:p>
        </w:tc>
        <w:tc>
          <w:tcPr>
            <w:tcW w:w="322" w:type="pct"/>
            <w:shd w:val="clear" w:color="auto" w:fill="92D050"/>
          </w:tcPr>
          <w:p w14:paraId="1E2309C2" w14:textId="77777777" w:rsidR="00CB16AA" w:rsidRPr="00666914" w:rsidRDefault="00CB16AA" w:rsidP="00985E7A">
            <w:pPr>
              <w:tabs>
                <w:tab w:val="left" w:pos="6237"/>
              </w:tabs>
              <w:rPr>
                <w:sz w:val="20"/>
                <w:szCs w:val="20"/>
              </w:rPr>
            </w:pPr>
          </w:p>
        </w:tc>
      </w:tr>
      <w:tr w:rsidR="00CB16AA" w:rsidRPr="00666914" w14:paraId="29F3BDF3" w14:textId="77777777" w:rsidTr="00254A5B">
        <w:tc>
          <w:tcPr>
            <w:tcW w:w="218" w:type="pct"/>
            <w:vAlign w:val="center"/>
          </w:tcPr>
          <w:p w14:paraId="6C04F5D3"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29</w:t>
            </w:r>
          </w:p>
        </w:tc>
        <w:tc>
          <w:tcPr>
            <w:tcW w:w="1704" w:type="pct"/>
            <w:vAlign w:val="center"/>
          </w:tcPr>
          <w:p w14:paraId="15579E36"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Zabezpečiť prípravu, zber a spracovanie údajov o mobilitnom správaní obyvateľstva v rámci štatistiky rodinných účtov</w:t>
            </w:r>
          </w:p>
        </w:tc>
        <w:tc>
          <w:tcPr>
            <w:tcW w:w="755" w:type="pct"/>
            <w:vAlign w:val="center"/>
          </w:tcPr>
          <w:p w14:paraId="5D5D2926" w14:textId="761218C6"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MDV SR/ŠÚ SR </w:t>
            </w:r>
          </w:p>
          <w:p w14:paraId="5A008519"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SVAMP </w:t>
            </w:r>
          </w:p>
        </w:tc>
        <w:tc>
          <w:tcPr>
            <w:tcW w:w="519" w:type="pct"/>
            <w:shd w:val="clear" w:color="auto" w:fill="auto"/>
            <w:vAlign w:val="center"/>
          </w:tcPr>
          <w:p w14:paraId="60FEF84E" w14:textId="77777777" w:rsidR="00CB16AA" w:rsidRPr="00666914" w:rsidRDefault="00CB16AA" w:rsidP="00985E7A">
            <w:pPr>
              <w:tabs>
                <w:tab w:val="left" w:pos="6237"/>
              </w:tabs>
              <w:rPr>
                <w:sz w:val="20"/>
                <w:szCs w:val="20"/>
              </w:rPr>
            </w:pPr>
          </w:p>
        </w:tc>
        <w:tc>
          <w:tcPr>
            <w:tcW w:w="516" w:type="pct"/>
            <w:vAlign w:val="center"/>
          </w:tcPr>
          <w:p w14:paraId="3088BB94" w14:textId="77777777" w:rsidR="00CB16AA" w:rsidRPr="00666914" w:rsidRDefault="00CB16AA" w:rsidP="00985E7A">
            <w:pPr>
              <w:tabs>
                <w:tab w:val="left" w:pos="6237"/>
              </w:tabs>
              <w:rPr>
                <w:sz w:val="20"/>
                <w:szCs w:val="20"/>
              </w:rPr>
            </w:pPr>
            <w:r w:rsidRPr="00666914">
              <w:rPr>
                <w:sz w:val="20"/>
                <w:szCs w:val="20"/>
              </w:rPr>
              <w:t>06/2019</w:t>
            </w:r>
          </w:p>
        </w:tc>
        <w:tc>
          <w:tcPr>
            <w:tcW w:w="322" w:type="pct"/>
            <w:shd w:val="clear" w:color="auto" w:fill="A6A6A6" w:themeFill="background1" w:themeFillShade="A6"/>
          </w:tcPr>
          <w:p w14:paraId="0890DE2F" w14:textId="77777777" w:rsidR="00CB16AA" w:rsidRPr="00666914" w:rsidRDefault="00CB16AA" w:rsidP="00985E7A">
            <w:pPr>
              <w:tabs>
                <w:tab w:val="left" w:pos="6237"/>
              </w:tabs>
              <w:rPr>
                <w:sz w:val="20"/>
                <w:szCs w:val="20"/>
              </w:rPr>
            </w:pPr>
          </w:p>
        </w:tc>
        <w:tc>
          <w:tcPr>
            <w:tcW w:w="322" w:type="pct"/>
            <w:shd w:val="clear" w:color="auto" w:fill="FF0000"/>
          </w:tcPr>
          <w:p w14:paraId="38A85424" w14:textId="77777777" w:rsidR="00CB16AA" w:rsidRPr="00666914" w:rsidRDefault="00CB16AA" w:rsidP="00985E7A">
            <w:pPr>
              <w:tabs>
                <w:tab w:val="left" w:pos="6237"/>
              </w:tabs>
              <w:rPr>
                <w:sz w:val="20"/>
                <w:szCs w:val="20"/>
              </w:rPr>
            </w:pPr>
          </w:p>
        </w:tc>
        <w:tc>
          <w:tcPr>
            <w:tcW w:w="322" w:type="pct"/>
            <w:shd w:val="clear" w:color="auto" w:fill="AEAAAA" w:themeFill="background2" w:themeFillShade="BF"/>
          </w:tcPr>
          <w:p w14:paraId="2CB0C338" w14:textId="77777777" w:rsidR="00CB16AA" w:rsidRPr="00666914" w:rsidRDefault="00CB16AA" w:rsidP="00985E7A">
            <w:pPr>
              <w:tabs>
                <w:tab w:val="left" w:pos="6237"/>
              </w:tabs>
              <w:rPr>
                <w:sz w:val="20"/>
                <w:szCs w:val="20"/>
              </w:rPr>
            </w:pPr>
          </w:p>
        </w:tc>
        <w:tc>
          <w:tcPr>
            <w:tcW w:w="322" w:type="pct"/>
            <w:shd w:val="clear" w:color="auto" w:fill="FF0000"/>
          </w:tcPr>
          <w:p w14:paraId="143E0287" w14:textId="77777777" w:rsidR="00CB16AA" w:rsidRPr="00666914" w:rsidRDefault="00CB16AA" w:rsidP="00985E7A">
            <w:pPr>
              <w:tabs>
                <w:tab w:val="left" w:pos="6237"/>
              </w:tabs>
              <w:rPr>
                <w:sz w:val="20"/>
                <w:szCs w:val="20"/>
              </w:rPr>
            </w:pPr>
          </w:p>
        </w:tc>
      </w:tr>
      <w:tr w:rsidR="00CB16AA" w:rsidRPr="00666914" w14:paraId="54AE1650" w14:textId="77777777" w:rsidTr="00254A5B">
        <w:tc>
          <w:tcPr>
            <w:tcW w:w="218" w:type="pct"/>
            <w:vAlign w:val="center"/>
          </w:tcPr>
          <w:p w14:paraId="06CAE301"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30</w:t>
            </w:r>
          </w:p>
        </w:tc>
        <w:tc>
          <w:tcPr>
            <w:tcW w:w="1704" w:type="pct"/>
            <w:vAlign w:val="center"/>
          </w:tcPr>
          <w:p w14:paraId="30735B08"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Vytvoriť jednotnú štandardizovanú metodiku CBA s konzistentnými a validovanými predpokladmi</w:t>
            </w:r>
          </w:p>
        </w:tc>
        <w:tc>
          <w:tcPr>
            <w:tcW w:w="755" w:type="pct"/>
            <w:vAlign w:val="center"/>
          </w:tcPr>
          <w:p w14:paraId="54780830" w14:textId="3AE2E6AC"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MDV SR/MF SR </w:t>
            </w:r>
          </w:p>
          <w:p w14:paraId="1BDF01D1"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SRP </w:t>
            </w:r>
          </w:p>
        </w:tc>
        <w:tc>
          <w:tcPr>
            <w:tcW w:w="519" w:type="pct"/>
            <w:shd w:val="clear" w:color="auto" w:fill="auto"/>
            <w:vAlign w:val="center"/>
          </w:tcPr>
          <w:p w14:paraId="55556360"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06/2017/ priebežne</w:t>
            </w:r>
          </w:p>
        </w:tc>
        <w:tc>
          <w:tcPr>
            <w:tcW w:w="516" w:type="pct"/>
            <w:vAlign w:val="center"/>
          </w:tcPr>
          <w:p w14:paraId="47D23969"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w:t>
            </w:r>
          </w:p>
        </w:tc>
        <w:tc>
          <w:tcPr>
            <w:tcW w:w="322" w:type="pct"/>
            <w:shd w:val="clear" w:color="auto" w:fill="A6A6A6" w:themeFill="background1" w:themeFillShade="A6"/>
          </w:tcPr>
          <w:p w14:paraId="66F13B52" w14:textId="77777777" w:rsidR="00CB16AA" w:rsidRPr="00666914" w:rsidRDefault="00CB16AA" w:rsidP="00985E7A">
            <w:pPr>
              <w:tabs>
                <w:tab w:val="left" w:pos="6237"/>
              </w:tabs>
              <w:rPr>
                <w:sz w:val="20"/>
                <w:szCs w:val="20"/>
              </w:rPr>
            </w:pPr>
          </w:p>
        </w:tc>
        <w:tc>
          <w:tcPr>
            <w:tcW w:w="322" w:type="pct"/>
            <w:shd w:val="clear" w:color="auto" w:fill="92D050"/>
          </w:tcPr>
          <w:p w14:paraId="4F7DB23F" w14:textId="77777777" w:rsidR="00CB16AA" w:rsidRPr="00666914" w:rsidRDefault="00CB16AA" w:rsidP="00985E7A">
            <w:pPr>
              <w:tabs>
                <w:tab w:val="left" w:pos="6237"/>
              </w:tabs>
              <w:rPr>
                <w:sz w:val="20"/>
                <w:szCs w:val="20"/>
              </w:rPr>
            </w:pPr>
          </w:p>
        </w:tc>
        <w:tc>
          <w:tcPr>
            <w:tcW w:w="322" w:type="pct"/>
            <w:shd w:val="clear" w:color="auto" w:fill="AEAAAA" w:themeFill="background2" w:themeFillShade="BF"/>
          </w:tcPr>
          <w:p w14:paraId="242C0596" w14:textId="77777777" w:rsidR="00CB16AA" w:rsidRPr="00666914" w:rsidRDefault="00CB16AA" w:rsidP="00985E7A">
            <w:pPr>
              <w:tabs>
                <w:tab w:val="left" w:pos="6237"/>
              </w:tabs>
              <w:rPr>
                <w:sz w:val="20"/>
                <w:szCs w:val="20"/>
              </w:rPr>
            </w:pPr>
          </w:p>
        </w:tc>
        <w:tc>
          <w:tcPr>
            <w:tcW w:w="322" w:type="pct"/>
            <w:shd w:val="clear" w:color="auto" w:fill="FFC000"/>
          </w:tcPr>
          <w:p w14:paraId="47DF1825" w14:textId="77777777" w:rsidR="00CB16AA" w:rsidRPr="00666914" w:rsidRDefault="00CB16AA" w:rsidP="00985E7A">
            <w:pPr>
              <w:tabs>
                <w:tab w:val="left" w:pos="6237"/>
              </w:tabs>
              <w:rPr>
                <w:sz w:val="20"/>
                <w:szCs w:val="20"/>
              </w:rPr>
            </w:pPr>
          </w:p>
        </w:tc>
      </w:tr>
      <w:tr w:rsidR="00CB16AA" w:rsidRPr="00666914" w14:paraId="7FCB4D71" w14:textId="77777777" w:rsidTr="00254A5B">
        <w:trPr>
          <w:trHeight w:val="70"/>
        </w:trPr>
        <w:tc>
          <w:tcPr>
            <w:tcW w:w="218" w:type="pct"/>
            <w:vAlign w:val="center"/>
          </w:tcPr>
          <w:p w14:paraId="359AD0DB"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31</w:t>
            </w:r>
          </w:p>
        </w:tc>
        <w:tc>
          <w:tcPr>
            <w:tcW w:w="1704" w:type="pct"/>
            <w:vAlign w:val="center"/>
          </w:tcPr>
          <w:p w14:paraId="0F4B3A94"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Zabezpečiť kontrolovateľnosť CBA v štúdiách realizovateľnosti NDS zo strany MDV SR a MF SR: vyžadovať v obstarávaniach začatých po 10/2016 od zhotoviteľa detailné podklady a dokumentáciu k CBA, samotný dopravný model, aj projekt výpočtu socio-ekonomických benefitov</w:t>
            </w:r>
          </w:p>
        </w:tc>
        <w:tc>
          <w:tcPr>
            <w:tcW w:w="755" w:type="pct"/>
            <w:vAlign w:val="center"/>
          </w:tcPr>
          <w:p w14:paraId="5412EB26"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MDV SR </w:t>
            </w:r>
          </w:p>
          <w:p w14:paraId="74D3F129"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SCDaPK </w:t>
            </w:r>
          </w:p>
          <w:p w14:paraId="01D7A25E" w14:textId="77777777" w:rsidR="00CB16AA" w:rsidRPr="00666914" w:rsidRDefault="00CB16AA" w:rsidP="00985E7A">
            <w:pPr>
              <w:rPr>
                <w:rFonts w:eastAsia="Times New Roman" w:cs="Calibri"/>
                <w:color w:val="000000"/>
                <w:sz w:val="20"/>
                <w:szCs w:val="20"/>
                <w:lang w:eastAsia="sk-SK"/>
              </w:rPr>
            </w:pPr>
            <w:r w:rsidRPr="00666914">
              <w:rPr>
                <w:rFonts w:eastAsia="Times New Roman" w:cs="Calibri"/>
                <w:color w:val="000000"/>
                <w:sz w:val="20"/>
                <w:szCs w:val="20"/>
                <w:lang w:eastAsia="sk-SK"/>
              </w:rPr>
              <w:t xml:space="preserve">SŽDaD </w:t>
            </w:r>
          </w:p>
        </w:tc>
        <w:tc>
          <w:tcPr>
            <w:tcW w:w="519" w:type="pct"/>
            <w:shd w:val="clear" w:color="auto" w:fill="auto"/>
            <w:vAlign w:val="center"/>
          </w:tcPr>
          <w:p w14:paraId="487C95FD" w14:textId="356D0BFD" w:rsidR="00CB16AA" w:rsidRPr="00666914" w:rsidRDefault="001031F7" w:rsidP="00985E7A">
            <w:pPr>
              <w:tabs>
                <w:tab w:val="left" w:pos="6237"/>
              </w:tabs>
              <w:rPr>
                <w:sz w:val="20"/>
                <w:szCs w:val="20"/>
              </w:rPr>
            </w:pPr>
            <w:r w:rsidRPr="00666914">
              <w:rPr>
                <w:rFonts w:eastAsia="Times New Roman" w:cs="Calibri"/>
                <w:color w:val="000000"/>
                <w:sz w:val="20"/>
                <w:szCs w:val="20"/>
                <w:lang w:eastAsia="sk-SK"/>
              </w:rPr>
              <w:t>P</w:t>
            </w:r>
            <w:r w:rsidR="00CB16AA" w:rsidRPr="00666914">
              <w:rPr>
                <w:rFonts w:eastAsia="Times New Roman" w:cs="Calibri"/>
                <w:color w:val="000000"/>
                <w:sz w:val="20"/>
                <w:szCs w:val="20"/>
                <w:lang w:eastAsia="sk-SK"/>
              </w:rPr>
              <w:t>riebežne</w:t>
            </w:r>
          </w:p>
        </w:tc>
        <w:tc>
          <w:tcPr>
            <w:tcW w:w="516" w:type="pct"/>
            <w:vAlign w:val="center"/>
          </w:tcPr>
          <w:p w14:paraId="6E92DA55" w14:textId="77777777" w:rsidR="00CB16AA" w:rsidRPr="00666914" w:rsidRDefault="00CB16AA" w:rsidP="00985E7A">
            <w:pPr>
              <w:tabs>
                <w:tab w:val="left" w:pos="6237"/>
              </w:tabs>
              <w:rPr>
                <w:sz w:val="20"/>
                <w:szCs w:val="20"/>
              </w:rPr>
            </w:pPr>
            <w:r w:rsidRPr="00666914">
              <w:rPr>
                <w:rFonts w:eastAsia="Times New Roman" w:cs="Calibri"/>
                <w:color w:val="000000"/>
                <w:sz w:val="20"/>
                <w:szCs w:val="20"/>
                <w:lang w:eastAsia="sk-SK"/>
              </w:rPr>
              <w:t>-</w:t>
            </w:r>
          </w:p>
        </w:tc>
        <w:tc>
          <w:tcPr>
            <w:tcW w:w="322" w:type="pct"/>
            <w:shd w:val="clear" w:color="auto" w:fill="A6A6A6" w:themeFill="background1" w:themeFillShade="A6"/>
          </w:tcPr>
          <w:p w14:paraId="12CEF467" w14:textId="77777777" w:rsidR="00CB16AA" w:rsidRPr="00666914" w:rsidRDefault="00CB16AA" w:rsidP="00985E7A">
            <w:pPr>
              <w:tabs>
                <w:tab w:val="left" w:pos="6237"/>
              </w:tabs>
              <w:rPr>
                <w:sz w:val="20"/>
                <w:szCs w:val="20"/>
              </w:rPr>
            </w:pPr>
          </w:p>
        </w:tc>
        <w:tc>
          <w:tcPr>
            <w:tcW w:w="322" w:type="pct"/>
            <w:shd w:val="clear" w:color="auto" w:fill="92D050"/>
          </w:tcPr>
          <w:p w14:paraId="2882E145" w14:textId="77777777" w:rsidR="00CB16AA" w:rsidRPr="00666914" w:rsidRDefault="00CB16AA" w:rsidP="00985E7A">
            <w:pPr>
              <w:tabs>
                <w:tab w:val="left" w:pos="6237"/>
              </w:tabs>
              <w:rPr>
                <w:sz w:val="20"/>
                <w:szCs w:val="20"/>
              </w:rPr>
            </w:pPr>
          </w:p>
        </w:tc>
        <w:tc>
          <w:tcPr>
            <w:tcW w:w="322" w:type="pct"/>
            <w:shd w:val="clear" w:color="auto" w:fill="AEAAAA" w:themeFill="background2" w:themeFillShade="BF"/>
          </w:tcPr>
          <w:p w14:paraId="4008E357" w14:textId="77777777" w:rsidR="00CB16AA" w:rsidRPr="00666914" w:rsidRDefault="00CB16AA" w:rsidP="00985E7A">
            <w:pPr>
              <w:tabs>
                <w:tab w:val="left" w:pos="6237"/>
              </w:tabs>
              <w:rPr>
                <w:sz w:val="20"/>
                <w:szCs w:val="20"/>
              </w:rPr>
            </w:pPr>
          </w:p>
        </w:tc>
        <w:tc>
          <w:tcPr>
            <w:tcW w:w="322" w:type="pct"/>
            <w:shd w:val="clear" w:color="auto" w:fill="92D050"/>
          </w:tcPr>
          <w:p w14:paraId="30066130" w14:textId="77777777" w:rsidR="00CB16AA" w:rsidRPr="00666914" w:rsidRDefault="00CB16AA" w:rsidP="00985E7A">
            <w:pPr>
              <w:tabs>
                <w:tab w:val="left" w:pos="6237"/>
              </w:tabs>
              <w:rPr>
                <w:sz w:val="20"/>
                <w:szCs w:val="20"/>
              </w:rPr>
            </w:pPr>
          </w:p>
        </w:tc>
      </w:tr>
    </w:tbl>
    <w:p w14:paraId="3566F48B" w14:textId="36662CC0" w:rsidR="00FF18EC" w:rsidRPr="00666914" w:rsidRDefault="00FF18EC" w:rsidP="00985E7A">
      <w:pPr>
        <w:spacing w:after="0"/>
      </w:pPr>
    </w:p>
    <w:p w14:paraId="08CF9107" w14:textId="77777777" w:rsidR="00FF18EC" w:rsidRPr="00666914" w:rsidRDefault="00FF18EC">
      <w:pPr>
        <w:spacing w:after="0"/>
        <w:jc w:val="left"/>
      </w:pPr>
      <w:r w:rsidRPr="00666914">
        <w:br w:type="page"/>
      </w:r>
    </w:p>
    <w:p w14:paraId="49C04226" w14:textId="77777777" w:rsidR="00CB16AA" w:rsidRPr="00666914" w:rsidRDefault="00CB16AA" w:rsidP="00312C28">
      <w:pPr>
        <w:numPr>
          <w:ilvl w:val="0"/>
          <w:numId w:val="34"/>
        </w:numPr>
        <w:contextualSpacing/>
        <w:rPr>
          <w:b/>
          <w:u w:val="single"/>
        </w:rPr>
      </w:pPr>
      <w:r w:rsidRPr="00666914">
        <w:rPr>
          <w:b/>
          <w:u w:val="single"/>
        </w:rPr>
        <w:lastRenderedPageBreak/>
        <w:t>Zadefinovať rozsah zberu dát, jeho periodicitu, formát, zdroj a zodpovednú organizáciu a iniciovanie úpravy metodiky zisťovania ŠÚ SR na aktuálne požiadavky dát</w:t>
      </w:r>
    </w:p>
    <w:p w14:paraId="4B5F5803" w14:textId="1CE67FEE" w:rsidR="00CB16AA" w:rsidRPr="00666914" w:rsidRDefault="00CB16AA" w:rsidP="00923F3D">
      <w:pPr>
        <w:spacing w:before="240"/>
      </w:pPr>
      <w:r w:rsidRPr="00666914">
        <w:t xml:space="preserve">Materiál ohľadom zadefinovania rozsahu zberu dát nie je ešte sfinalizovaný, naďalej prebiehajú rokovania s jednotlivými organizáciami ohľadom formátu údajov. Mešká najmä dohodnutie rozsahu poskytovaných údajov zo strany ZSSK, ktoré podmieňuje zasielanie údajov pre interné potreby MDV SR podpísaním NDA. Na jej znení nedošlo do 12/2019 k dohode. Údaje za ostatné subjekty sú MDV SR postupne zasielané a sú archivované vo formáte MS Excel. </w:t>
      </w:r>
      <w:r w:rsidRPr="00666914">
        <w:rPr>
          <w:b/>
        </w:rPr>
        <w:t>V IP 2019 bol dohodnutý termín na naplnenie databáz na koniec roka 2019, ktorý nebol dodržaný.</w:t>
      </w:r>
      <w:r w:rsidR="00894D35" w:rsidRPr="00666914">
        <w:rPr>
          <w:rStyle w:val="Odkaznakomentr"/>
        </w:rPr>
        <w:t xml:space="preserve"> </w:t>
      </w:r>
      <w:r w:rsidR="00894D35" w:rsidRPr="00666914">
        <w:rPr>
          <w:rStyle w:val="Odkaznakomentr"/>
          <w:b/>
          <w:sz w:val="22"/>
        </w:rPr>
        <w:t xml:space="preserve">Opatrenie </w:t>
      </w:r>
      <w:r w:rsidRPr="00666914">
        <w:rPr>
          <w:b/>
        </w:rPr>
        <w:t>sa k 31.12.2019 neplní.</w:t>
      </w:r>
    </w:p>
    <w:p w14:paraId="23C05B8F" w14:textId="77777777" w:rsidR="00CB16AA" w:rsidRPr="00666914" w:rsidRDefault="00CB16AA" w:rsidP="00312C28">
      <w:pPr>
        <w:pStyle w:val="Odsekzoznamu"/>
        <w:numPr>
          <w:ilvl w:val="0"/>
          <w:numId w:val="34"/>
        </w:numPr>
        <w:rPr>
          <w:b/>
          <w:u w:val="single"/>
        </w:rPr>
      </w:pPr>
      <w:r w:rsidRPr="00666914">
        <w:rPr>
          <w:b/>
          <w:u w:val="single"/>
        </w:rPr>
        <w:t>Sprístupňovať relevantné dopravné dáta verejnosti, najmä na účely vytvárania koncepčných materiálov a stratégií v oblasti dopravy</w:t>
      </w:r>
    </w:p>
    <w:p w14:paraId="25854914" w14:textId="2FCC3B40" w:rsidR="00CB16AA" w:rsidRPr="00666914" w:rsidRDefault="00CB16AA" w:rsidP="00985E7A">
      <w:r w:rsidRPr="00666914">
        <w:rPr>
          <w:b/>
        </w:rPr>
        <w:t>V 3Q2019 bola spustená slovenská aj anglická verzia modulu pre prehliadanie, sťahovanie a odber štatistických údajov rezortu</w:t>
      </w:r>
      <w:r w:rsidRPr="00666914">
        <w:t>. V rámci modulu je možné sa prihlásiť na odber štatistických notifikácií. MDV SR zasiela notifikácie v prípade aktualizácie štatistických údajov alebo v prípade dostupnosti nových štatistických údajov a dát. V rámci aktualizácie štatistických údajov koncom roka 2019 boli do XML tabuliek pridané kompletné časové rady, ktoré má dod</w:t>
      </w:r>
      <w:r w:rsidR="00D67E6E" w:rsidRPr="00666914">
        <w:t>ávateľ štatistiky k dispozícii.</w:t>
      </w:r>
    </w:p>
    <w:p w14:paraId="75CAEA86" w14:textId="48AD381F" w:rsidR="00F94B08" w:rsidRPr="00666914" w:rsidRDefault="00CB16AA" w:rsidP="00985E7A">
      <w:pPr>
        <w:rPr>
          <w:b/>
        </w:rPr>
      </w:pPr>
      <w:r w:rsidRPr="00666914">
        <w:t xml:space="preserve">MDV SR uskutočnilo pracovné rokovania so ŽSR a NDS ohľadne zverejnenia údajov, ktoré majú k dispozícii. V prípade ŽSR je možnosť zverejniť väčšinu dostupných údajov. V prípade NDS je možnosť zverejňovať údaje napr. pre tvorcov dopravných modelov. </w:t>
      </w:r>
      <w:r w:rsidRPr="00666914">
        <w:rPr>
          <w:b/>
        </w:rPr>
        <w:t>Podľa názoru NDS však nie je možné zverejňovať údaje z elektronického systému mýta, elektronickej diaľničnej známky a kontrolného systému a údajov automatického sčítania.</w:t>
      </w:r>
      <w:r w:rsidRPr="00666914">
        <w:t xml:space="preserve"> Niektoré údaje neboli doteraz zverejnené z dôvodu technickej a personálnej náročnosti, respektíve nutnosti presnejšie definovať rozsah zverejňovania a konzultovať ho s ďalšími relevantnými používateľmi dát. MDV SR od roku 2018 začalo postupne zverejňovať údaje na data.gov.sk a v 4Q2019 zverejnilo 5 nových datasetov (väčšina s údajmi ŽSR) ako aj aktualizovalo už zverejnené datasety. </w:t>
      </w:r>
      <w:r w:rsidRPr="00666914">
        <w:rPr>
          <w:b/>
        </w:rPr>
        <w:t>Opatrenie sa k 31.12.2019 plní.</w:t>
      </w:r>
    </w:p>
    <w:p w14:paraId="1AF9217D" w14:textId="77777777" w:rsidR="00CB16AA" w:rsidRPr="00666914" w:rsidRDefault="00CB16AA" w:rsidP="00312C28">
      <w:pPr>
        <w:pStyle w:val="Odsekzoznamu"/>
        <w:numPr>
          <w:ilvl w:val="0"/>
          <w:numId w:val="34"/>
        </w:numPr>
        <w:spacing w:after="0"/>
        <w:rPr>
          <w:b/>
          <w:u w:val="single"/>
        </w:rPr>
      </w:pPr>
      <w:r w:rsidRPr="00666914">
        <w:rPr>
          <w:b/>
          <w:u w:val="single"/>
        </w:rPr>
        <w:t>Zabezpečiť prístup k vstupným údajom, metodikám, výstupom dopravných modelov nastavením podmienok v zmluvách s dodávateľmi diel vo verejných obstarávaniach začatých po 10/2016</w:t>
      </w:r>
    </w:p>
    <w:p w14:paraId="62866870" w14:textId="77777777" w:rsidR="00CB16AA" w:rsidRPr="00666914" w:rsidRDefault="00CB16AA" w:rsidP="00985E7A">
      <w:pPr>
        <w:pStyle w:val="Odsekzoznamu"/>
        <w:spacing w:after="0"/>
        <w:rPr>
          <w:b/>
          <w:u w:val="single"/>
        </w:rPr>
      </w:pPr>
    </w:p>
    <w:p w14:paraId="5E74A232" w14:textId="7DBE493D" w:rsidR="00F94B08" w:rsidRPr="00666914" w:rsidRDefault="00CB16AA" w:rsidP="00923F3D">
      <w:r w:rsidRPr="00666914">
        <w:t xml:space="preserve">Podriadené organizácie boli v roku 2017 listom ministra dopravy a výstavby SR informované o požiadavke zabezpečovať prístup k údajom, metodikám a výstupom z dopravných modelov v zmluvách s dodávateľmi. V súčasnosti je požiadavka zapracovaná vo všetkých nových súťažných podmienkach pre verejné obstarávanie na diela, ktorých súčasťou je dopravné modelovanie. V 2H2019 nebol dodaný žiadny nový dopravný model. </w:t>
      </w:r>
      <w:r w:rsidRPr="00666914">
        <w:rPr>
          <w:b/>
        </w:rPr>
        <w:t xml:space="preserve">Opatrenie sa </w:t>
      </w:r>
      <w:r w:rsidR="001031F7" w:rsidRPr="00666914">
        <w:rPr>
          <w:b/>
        </w:rPr>
        <w:t xml:space="preserve">preto </w:t>
      </w:r>
      <w:r w:rsidRPr="00666914">
        <w:rPr>
          <w:b/>
        </w:rPr>
        <w:t>k 31.12.2019 nehodnotí.</w:t>
      </w:r>
    </w:p>
    <w:p w14:paraId="0BBBD223" w14:textId="77777777" w:rsidR="00CB16AA" w:rsidRPr="00666914" w:rsidRDefault="00CB16AA" w:rsidP="00312C28">
      <w:pPr>
        <w:pStyle w:val="Odsekzoznamu"/>
        <w:numPr>
          <w:ilvl w:val="0"/>
          <w:numId w:val="34"/>
        </w:numPr>
        <w:spacing w:after="0"/>
        <w:rPr>
          <w:b/>
          <w:u w:val="single"/>
        </w:rPr>
      </w:pPr>
      <w:r w:rsidRPr="00666914">
        <w:rPr>
          <w:b/>
          <w:u w:val="single"/>
        </w:rPr>
        <w:t xml:space="preserve">Vytvoriť metodiku a minimálne štandardy dopravného modelovania, ktoré stanovia mantinely pre tvorcov modelov v závislosti od druhu dopravného modelu </w:t>
      </w:r>
    </w:p>
    <w:p w14:paraId="3F7945B5" w14:textId="77777777" w:rsidR="00CB16AA" w:rsidRPr="00666914" w:rsidRDefault="00CB16AA" w:rsidP="00985E7A">
      <w:pPr>
        <w:spacing w:before="240" w:after="0"/>
        <w:rPr>
          <w:b/>
        </w:rPr>
      </w:pPr>
      <w:r w:rsidRPr="00666914">
        <w:rPr>
          <w:b/>
        </w:rPr>
        <w:t>Metodická príručka k zostave dopravných modelov a dopravných prognóz bola dokončená v 12/2018 a v roku 2019 bola zverejnená na stránke MDV SR</w:t>
      </w:r>
      <w:r w:rsidRPr="00666914">
        <w:rPr>
          <w:rStyle w:val="Odkaznapoznmkupodiarou"/>
        </w:rPr>
        <w:footnoteReference w:id="98"/>
      </w:r>
      <w:r w:rsidRPr="00666914">
        <w:rPr>
          <w:b/>
        </w:rPr>
        <w:t>.</w:t>
      </w:r>
      <w:r w:rsidRPr="00666914">
        <w:t xml:space="preserve"> Zástupcovia samosprávnych krajov boli upozornení, aby pri spracovaní dopravných prognóz a dopravných modelov ako súčastí plánov udržateľnej mobility postupovali podľa uvedenej metodickej príručky. MDV SR tak zároveň testuje túto metodiku v praxi, do konca roka 2019 neboli zaznamenané žiadne podnety na úpravu príručky. </w:t>
      </w:r>
      <w:r w:rsidRPr="00666914">
        <w:rPr>
          <w:b/>
        </w:rPr>
        <w:t>Opatrenie sa k 31.12.2019 plní.</w:t>
      </w:r>
    </w:p>
    <w:p w14:paraId="2A74050D" w14:textId="77777777" w:rsidR="00CB16AA" w:rsidRPr="00666914" w:rsidRDefault="00CB16AA" w:rsidP="00985E7A">
      <w:pPr>
        <w:spacing w:after="0"/>
      </w:pPr>
    </w:p>
    <w:p w14:paraId="3FF28476" w14:textId="77777777" w:rsidR="00CB16AA" w:rsidRPr="00666914" w:rsidRDefault="00CB16AA" w:rsidP="00985E7A">
      <w:pPr>
        <w:spacing w:after="0"/>
      </w:pPr>
      <w:r w:rsidRPr="00666914">
        <w:rPr>
          <w:b/>
        </w:rPr>
        <w:t>Podľa tejto príručky spracováva IDP MDV SR v spolupráci s ÚHP MF RS aktualizáciu dopravného modelu SR.</w:t>
      </w:r>
      <w:r w:rsidRPr="00666914">
        <w:t xml:space="preserve"> Do konca roka 2019 boli zo strany MDV SR realizované nasledujúce aktivity:</w:t>
      </w:r>
    </w:p>
    <w:p w14:paraId="55D07A4F" w14:textId="77777777" w:rsidR="00CB16AA" w:rsidRPr="00666914" w:rsidRDefault="00CB16AA" w:rsidP="00312C28">
      <w:pPr>
        <w:pStyle w:val="Odsekzoznamu"/>
        <w:numPr>
          <w:ilvl w:val="0"/>
          <w:numId w:val="39"/>
        </w:numPr>
        <w:spacing w:after="0"/>
      </w:pPr>
      <w:r w:rsidRPr="00666914">
        <w:t>import a zapracovanie údajov o dopravnej infraštruktúre a napojenie zón na dopravnú infraštruktúru,</w:t>
      </w:r>
    </w:p>
    <w:p w14:paraId="39F10191" w14:textId="77777777" w:rsidR="00CB16AA" w:rsidRPr="00666914" w:rsidRDefault="00CB16AA" w:rsidP="00312C28">
      <w:pPr>
        <w:pStyle w:val="Odsekzoznamu"/>
        <w:numPr>
          <w:ilvl w:val="0"/>
          <w:numId w:val="39"/>
        </w:numPr>
        <w:spacing w:after="0"/>
      </w:pPr>
      <w:r w:rsidRPr="00666914">
        <w:t>spracovanie mobilitného prieskumu (údaje o smere a objeme pohybu osôb a tovaru – „odkiaľ kam?“),</w:t>
      </w:r>
    </w:p>
    <w:p w14:paraId="6DD5DB7C" w14:textId="0DE56AA3" w:rsidR="00CB16AA" w:rsidRPr="00666914" w:rsidRDefault="00CB16AA" w:rsidP="00312C28">
      <w:pPr>
        <w:pStyle w:val="Odsekzoznamu"/>
        <w:numPr>
          <w:ilvl w:val="0"/>
          <w:numId w:val="39"/>
        </w:numPr>
        <w:spacing w:after="0"/>
      </w:pPr>
      <w:r w:rsidRPr="00666914">
        <w:t>spracovanie novej zonácie Dopravného modelu SR,</w:t>
      </w:r>
    </w:p>
    <w:p w14:paraId="40520CA6" w14:textId="77777777" w:rsidR="00CB16AA" w:rsidRPr="00666914" w:rsidRDefault="00CB16AA" w:rsidP="00312C28">
      <w:pPr>
        <w:pStyle w:val="Odsekzoznamu"/>
        <w:numPr>
          <w:ilvl w:val="0"/>
          <w:numId w:val="39"/>
        </w:numPr>
        <w:spacing w:after="0"/>
      </w:pPr>
      <w:r w:rsidRPr="00666914">
        <w:t>zber dopravných údajov potrebných pre aktualizáciu DM SR od rezortných organizácií MDV SR (ŽSR, NDS a.s., SSC, Cargo, ZSSK) v súvislosti s poskytnutím aktuálnych údajov za posledné roky,</w:t>
      </w:r>
    </w:p>
    <w:p w14:paraId="26BC05A9" w14:textId="77777777" w:rsidR="00CB16AA" w:rsidRPr="00666914" w:rsidRDefault="00CB16AA" w:rsidP="00312C28">
      <w:pPr>
        <w:pStyle w:val="Odsekzoznamu"/>
        <w:numPr>
          <w:ilvl w:val="0"/>
          <w:numId w:val="39"/>
        </w:numPr>
        <w:spacing w:after="0"/>
      </w:pPr>
      <w:r w:rsidRPr="00666914">
        <w:lastRenderedPageBreak/>
        <w:t>upravené výsledky mobilitného prieskumu z roku 2015 (z dôvodu vykazovania nereálnych hodnôt) a vykonaný výpočet potrebných vstupov do DM SR (hybnosť).</w:t>
      </w:r>
    </w:p>
    <w:p w14:paraId="1631F791" w14:textId="41C885B1" w:rsidR="00CB16AA" w:rsidRPr="00666914" w:rsidRDefault="00CB16AA" w:rsidP="00D103B7">
      <w:pPr>
        <w:spacing w:after="0"/>
      </w:pPr>
    </w:p>
    <w:p w14:paraId="15F340FB" w14:textId="4C95C54F" w:rsidR="00CB16AA" w:rsidRPr="00666914" w:rsidRDefault="00CB16AA" w:rsidP="00312C28">
      <w:pPr>
        <w:pStyle w:val="Odsekzoznamu"/>
        <w:numPr>
          <w:ilvl w:val="0"/>
          <w:numId w:val="34"/>
        </w:numPr>
        <w:spacing w:after="0"/>
        <w:rPr>
          <w:b/>
          <w:u w:val="single"/>
        </w:rPr>
      </w:pPr>
      <w:r w:rsidRPr="00666914">
        <w:rPr>
          <w:b/>
          <w:u w:val="single"/>
        </w:rPr>
        <w:t>V rozsahu finančných a kapacitných možností NDS zabezpečiť na požiadanie úpravu dát z mýta do anonymizovanej formy použiteľnej pre dopravné modelovanie (nielen intenzity, aj smerové dáta) a na požiadanie sprístupniť vo vopred definovanom rozsahu dáta MDV a zhotoviteľom dopravných modelov</w:t>
      </w:r>
    </w:p>
    <w:p w14:paraId="3A5FEF34" w14:textId="0972FCDF" w:rsidR="00F94B08" w:rsidRPr="00666914" w:rsidRDefault="00CB16AA" w:rsidP="004C3BA4">
      <w:pPr>
        <w:spacing w:before="240"/>
      </w:pPr>
      <w:r w:rsidRPr="00666914">
        <w:t xml:space="preserve">NDS boli v 2H2019 doručené 2 požiadavky na poskytnutie dát z mýtneho systému. Žiadostiam bolo vyhovené. </w:t>
      </w:r>
      <w:r w:rsidRPr="00666914">
        <w:rPr>
          <w:b/>
        </w:rPr>
        <w:t>Opatrenie sa k 31.12.2019 plní.</w:t>
      </w:r>
    </w:p>
    <w:p w14:paraId="09B230BB" w14:textId="67F8EBBA" w:rsidR="00CB16AA" w:rsidRPr="00666914" w:rsidRDefault="00CB16AA" w:rsidP="00312C28">
      <w:pPr>
        <w:numPr>
          <w:ilvl w:val="0"/>
          <w:numId w:val="34"/>
        </w:numPr>
        <w:contextualSpacing/>
        <w:rPr>
          <w:b/>
          <w:u w:val="single"/>
        </w:rPr>
      </w:pPr>
      <w:r w:rsidRPr="00666914">
        <w:rPr>
          <w:b/>
          <w:u w:val="single"/>
        </w:rPr>
        <w:t>Zabezpečiť prípravu, zber a spracovanie údajov o mobilitnom správaní obyvateľstva v r</w:t>
      </w:r>
      <w:r w:rsidR="00D67E6E" w:rsidRPr="00666914">
        <w:rPr>
          <w:b/>
          <w:u w:val="single"/>
        </w:rPr>
        <w:t>ámci štatistiky rodinných účtov</w:t>
      </w:r>
    </w:p>
    <w:p w14:paraId="140421D8" w14:textId="77777777" w:rsidR="00CB16AA" w:rsidRPr="00666914" w:rsidRDefault="00CB16AA" w:rsidP="00985E7A">
      <w:pPr>
        <w:spacing w:before="240"/>
      </w:pPr>
      <w:r w:rsidRPr="00666914">
        <w:t>V priebehu roka 2019 sa uskutočnilo niekoľko pracovných stretnutí MDV SR, ŠÚ SR a UHP MF SR k príprave zaradenia modulov atraktivity do štatistického zisťovania RÚ-SILC. MDV SR zaslalo návrhy spolu 4 modulov pre atraktivity (i) nákupov a služieb, (ii) zdravotníckych zariadení, (iii) úradných a administratívnych záležitostí a (iv) nepravidelných dlhých ciest (dovolenky, služobné cesty). Bolo dohodnuté, že po sfinalizovaní návrhov štatistických formulárov o mobilitnom správaní obyvateľstva ich bude ŠÚ SR postupne od 2H2020 nasadzovať v testovacom režime (zber dát v rámci menšej vzorky v rozsahu cca 300-400 domácností).</w:t>
      </w:r>
    </w:p>
    <w:p w14:paraId="03BD9677" w14:textId="57274DC0" w:rsidR="000B1BDD" w:rsidRPr="00666914" w:rsidRDefault="00CB16AA" w:rsidP="004C3BA4">
      <w:pPr>
        <w:spacing w:before="240"/>
        <w:rPr>
          <w:b/>
        </w:rPr>
      </w:pPr>
      <w:r w:rsidRPr="00666914">
        <w:rPr>
          <w:b/>
        </w:rPr>
        <w:t xml:space="preserve">Z dôvodu prieťahov na strane ŠÚ SR sa ani v roku 2020 nebudú zbierať údaje o mobilitnom správaní obyvateľstva a v prípade ďalšieho omeškania je ohrozený aj rok 2021. </w:t>
      </w:r>
      <w:r w:rsidRPr="00666914">
        <w:t xml:space="preserve">MDV SR v 11/2019 zaslalo ŠÚ SR upravený modul „Nákup a služby“, ku ktorému mal ŠÚ SR zaslať pripomienky opytovateľov. Následne mal byť modul odsúhlasený ŠÚ SR a po podpise zmluvy zaradený do zisťovania. ŠÚ SR napriek urgencii MDV SR nezaslal do 12/2019 pripomienky, </w:t>
      </w:r>
      <w:r w:rsidR="001031F7" w:rsidRPr="00666914">
        <w:t>návrh</w:t>
      </w:r>
      <w:r w:rsidRPr="00666914">
        <w:t xml:space="preserve"> zmluvy a ani kalkuláciu nákladov na zber údajov. V rámci rozpočtu kapitoly MDV SR sú pritom na rok 2020 alokované finančné prostriedky v predpokladanom rozsahu potrebnom na pokrytie dodatočných nákladov na zber a predspracovanie údajov zo zisťovania. Optimálne by však bolo zabezpečiť financovanie priamo na úrovni rozpočtu ŠÚ SR. </w:t>
      </w:r>
      <w:r w:rsidRPr="00666914">
        <w:rPr>
          <w:b/>
        </w:rPr>
        <w:t>Opatrenie sa k 31.12.2019 neplní.</w:t>
      </w:r>
    </w:p>
    <w:p w14:paraId="103ACE5D" w14:textId="77777777" w:rsidR="00CB16AA" w:rsidRPr="00666914" w:rsidRDefault="00CB16AA" w:rsidP="00312C28">
      <w:pPr>
        <w:pStyle w:val="Odsekzoznamu"/>
        <w:numPr>
          <w:ilvl w:val="0"/>
          <w:numId w:val="34"/>
        </w:numPr>
        <w:spacing w:after="0"/>
        <w:rPr>
          <w:b/>
          <w:u w:val="single"/>
        </w:rPr>
      </w:pPr>
      <w:r w:rsidRPr="00666914">
        <w:rPr>
          <w:b/>
          <w:u w:val="single"/>
        </w:rPr>
        <w:t>Vytvoriť jednotnú štandardizovanú metodiku CBA s konzistentnými a validovanými predpokladmi</w:t>
      </w:r>
    </w:p>
    <w:p w14:paraId="408E6427" w14:textId="6724964E" w:rsidR="00CB16AA" w:rsidRPr="00666914" w:rsidRDefault="00CB16AA" w:rsidP="004C3BA4">
      <w:pPr>
        <w:spacing w:before="240"/>
      </w:pPr>
      <w:r w:rsidRPr="00666914">
        <w:rPr>
          <w:b/>
        </w:rPr>
        <w:t>V roku 2019 pracovalo MDV SR v spolupráci s ÚHP na aktualizácii metodiky CBA.</w:t>
      </w:r>
      <w:r w:rsidRPr="00666914">
        <w:t xml:space="preserve"> Aktualizácia má byť zásadná, čiže budú aktualizované takmer všetky existujúce údaje (jednotkové ceny) v metodike, zároveň dôjde k zmene aj samotného textu a štruktúry metodiky. Nové znenie metodiky má byť menej byrokratické a lepšie pochopiteľné aj pre tých, ktorí s konceptom CBA dennodenne nepracujú. V IP 2019 bol určený termín finalizácie aktualizácie 12/2019, avšak vzhľadom na výraznejšiu zmenu metodiky</w:t>
      </w:r>
      <w:r w:rsidR="001031F7" w:rsidRPr="00666914">
        <w:t>,</w:t>
      </w:r>
      <w:r w:rsidRPr="00666914">
        <w:t xml:space="preserve"> ako bola pôvodne plánovaná, očakáva MDV SR jej dokončenie v 03/2020. </w:t>
      </w:r>
      <w:r w:rsidRPr="00666914">
        <w:rPr>
          <w:b/>
        </w:rPr>
        <w:t>Opatrenie sa</w:t>
      </w:r>
      <w:r w:rsidRPr="00666914">
        <w:t xml:space="preserve"> </w:t>
      </w:r>
      <w:r w:rsidRPr="00666914">
        <w:rPr>
          <w:b/>
        </w:rPr>
        <w:t>k 31.12.2019 plní čiastočne.</w:t>
      </w:r>
    </w:p>
    <w:p w14:paraId="31A501AA" w14:textId="77777777" w:rsidR="00CB16AA" w:rsidRPr="00666914" w:rsidRDefault="00CB16AA" w:rsidP="00312C28">
      <w:pPr>
        <w:pStyle w:val="Odsekzoznamu"/>
        <w:numPr>
          <w:ilvl w:val="0"/>
          <w:numId w:val="34"/>
        </w:numPr>
      </w:pPr>
      <w:r w:rsidRPr="00666914">
        <w:rPr>
          <w:b/>
          <w:u w:val="single"/>
        </w:rPr>
        <w:t>Zabezpečiť kontrolovateľnosť CBA v štúdiách realizovateľnosti NDS zo strany MDV SR a MF SR: vyžadovať v obstarávaniach začatých po 10/2016 od zhotoviteľa detailné podklady a dokumentáciu k CBA, samotný dopravný model, aj projekt výpočtu socio-ekonomických benefitov</w:t>
      </w:r>
    </w:p>
    <w:p w14:paraId="223D93E7" w14:textId="77777777" w:rsidR="00CB16AA" w:rsidRPr="00666914" w:rsidRDefault="00CB16AA" w:rsidP="00985E7A">
      <w:pPr>
        <w:spacing w:after="0"/>
        <w:rPr>
          <w:b/>
        </w:rPr>
      </w:pPr>
      <w:r w:rsidRPr="00666914">
        <w:t>Požiadavka zabezpečiť kontrolovateľnosť CBA je zapracovaná vo všetkých nových súťažných podmienkach pre verejné obstarávanie na diela. V roku 2019 bolo vyhlásené 1 verejné obstarávanie na dodanie projektovej dokumentácie na stavby</w:t>
      </w:r>
      <w:r w:rsidRPr="00666914">
        <w:rPr>
          <w:rStyle w:val="Odkaznapoznmkupodiarou"/>
        </w:rPr>
        <w:footnoteReference w:id="99"/>
      </w:r>
      <w:r w:rsidRPr="00666914">
        <w:t xml:space="preserve">. Súčasťou súťažných podkladov je aj požiadavka na dodanie CBA. </w:t>
      </w:r>
      <w:r w:rsidRPr="00666914">
        <w:rPr>
          <w:b/>
        </w:rPr>
        <w:t>Opatrenie sa k 31.12.2019 plní.</w:t>
      </w:r>
    </w:p>
    <w:p w14:paraId="2F5FC0C9" w14:textId="77777777" w:rsidR="00CB16AA" w:rsidRPr="00666914" w:rsidRDefault="00CB16AA">
      <w:pPr>
        <w:rPr>
          <w:b/>
        </w:rPr>
      </w:pPr>
      <w:r w:rsidRPr="00666914">
        <w:rPr>
          <w:b/>
        </w:rPr>
        <w:br w:type="page"/>
      </w:r>
    </w:p>
    <w:p w14:paraId="0773BDE2" w14:textId="77777777" w:rsidR="00CB16AA" w:rsidRPr="00666914" w:rsidRDefault="00CB16AA" w:rsidP="00985E7A">
      <w:pPr>
        <w:pStyle w:val="Nadpis2"/>
        <w:numPr>
          <w:ilvl w:val="0"/>
          <w:numId w:val="0"/>
        </w:numPr>
        <w:spacing w:after="0"/>
      </w:pPr>
      <w:bookmarkStart w:id="234" w:name="_Toc21507170"/>
      <w:bookmarkStart w:id="235" w:name="_Toc38447594"/>
      <w:r w:rsidRPr="00666914">
        <w:lastRenderedPageBreak/>
        <w:t>Príloha č. 1 Zoznam projektov predložených ÚHP MF SR (stav k 31.12.2019)</w:t>
      </w:r>
      <w:bookmarkEnd w:id="234"/>
      <w:bookmarkEnd w:id="235"/>
    </w:p>
    <w:p w14:paraId="7E4838ED" w14:textId="77777777" w:rsidR="00CB16AA" w:rsidRPr="00666914" w:rsidRDefault="00CB16AA" w:rsidP="00985E7A">
      <w:pPr>
        <w:spacing w:after="0"/>
        <w:rPr>
          <w:b/>
        </w:rPr>
      </w:pPr>
    </w:p>
    <w:tbl>
      <w:tblPr>
        <w:tblW w:w="5447" w:type="pct"/>
        <w:tblLayout w:type="fixed"/>
        <w:tblCellMar>
          <w:left w:w="70" w:type="dxa"/>
          <w:right w:w="70" w:type="dxa"/>
        </w:tblCellMar>
        <w:tblLook w:val="04A0" w:firstRow="1" w:lastRow="0" w:firstColumn="1" w:lastColumn="0" w:noHBand="0" w:noVBand="1"/>
      </w:tblPr>
      <w:tblGrid>
        <w:gridCol w:w="912"/>
        <w:gridCol w:w="2693"/>
        <w:gridCol w:w="863"/>
        <w:gridCol w:w="1152"/>
        <w:gridCol w:w="1154"/>
        <w:gridCol w:w="719"/>
        <w:gridCol w:w="1259"/>
        <w:gridCol w:w="1176"/>
        <w:gridCol w:w="110"/>
      </w:tblGrid>
      <w:tr w:rsidR="00CB16AA" w:rsidRPr="00666914" w14:paraId="0BB62C31" w14:textId="77777777" w:rsidTr="00315988">
        <w:trPr>
          <w:trHeight w:val="592"/>
        </w:trPr>
        <w:tc>
          <w:tcPr>
            <w:tcW w:w="454" w:type="pct"/>
            <w:tcBorders>
              <w:top w:val="nil"/>
              <w:left w:val="nil"/>
              <w:bottom w:val="single" w:sz="4" w:space="0" w:color="auto"/>
              <w:right w:val="nil"/>
            </w:tcBorders>
            <w:shd w:val="clear" w:color="auto" w:fill="auto"/>
            <w:hideMark/>
          </w:tcPr>
          <w:p w14:paraId="33BCD449" w14:textId="77777777" w:rsidR="00CB16AA" w:rsidRPr="00666914" w:rsidRDefault="00CB16AA" w:rsidP="00985E7A">
            <w:pPr>
              <w:spacing w:after="0"/>
              <w:rPr>
                <w:rFonts w:eastAsia="Times New Roman" w:cs="Calibri"/>
                <w:b/>
                <w:bCs/>
                <w:color w:val="000000"/>
                <w:sz w:val="16"/>
                <w:szCs w:val="16"/>
                <w:lang w:eastAsia="sk-SK"/>
              </w:rPr>
            </w:pPr>
            <w:r w:rsidRPr="00666914">
              <w:rPr>
                <w:rFonts w:eastAsia="Times New Roman" w:cs="Calibri"/>
                <w:b/>
                <w:bCs/>
                <w:color w:val="000000"/>
                <w:sz w:val="16"/>
                <w:szCs w:val="16"/>
                <w:lang w:eastAsia="sk-SK"/>
              </w:rPr>
              <w:t>Investor</w:t>
            </w:r>
          </w:p>
        </w:tc>
        <w:tc>
          <w:tcPr>
            <w:tcW w:w="1341" w:type="pct"/>
            <w:tcBorders>
              <w:top w:val="nil"/>
              <w:left w:val="nil"/>
              <w:bottom w:val="single" w:sz="4" w:space="0" w:color="auto"/>
              <w:right w:val="nil"/>
            </w:tcBorders>
            <w:shd w:val="clear" w:color="auto" w:fill="auto"/>
            <w:hideMark/>
          </w:tcPr>
          <w:p w14:paraId="6E28B57B" w14:textId="77777777" w:rsidR="00CB16AA" w:rsidRPr="00666914" w:rsidRDefault="00CB16AA" w:rsidP="00985E7A">
            <w:pPr>
              <w:spacing w:after="0"/>
              <w:jc w:val="center"/>
              <w:rPr>
                <w:rFonts w:eastAsia="Times New Roman" w:cs="Calibri"/>
                <w:b/>
                <w:bCs/>
                <w:color w:val="000000"/>
                <w:sz w:val="16"/>
                <w:szCs w:val="16"/>
                <w:lang w:eastAsia="sk-SK"/>
              </w:rPr>
            </w:pPr>
            <w:r w:rsidRPr="00666914">
              <w:rPr>
                <w:rFonts w:eastAsia="Times New Roman" w:cs="Calibri"/>
                <w:b/>
                <w:bCs/>
                <w:color w:val="000000"/>
                <w:sz w:val="16"/>
                <w:szCs w:val="16"/>
                <w:lang w:eastAsia="sk-SK"/>
              </w:rPr>
              <w:t>Projekt</w:t>
            </w:r>
          </w:p>
        </w:tc>
        <w:tc>
          <w:tcPr>
            <w:tcW w:w="430" w:type="pct"/>
            <w:tcBorders>
              <w:top w:val="nil"/>
              <w:left w:val="nil"/>
              <w:bottom w:val="single" w:sz="4" w:space="0" w:color="auto"/>
              <w:right w:val="nil"/>
            </w:tcBorders>
            <w:shd w:val="clear" w:color="auto" w:fill="auto"/>
            <w:hideMark/>
          </w:tcPr>
          <w:p w14:paraId="2AC71C08" w14:textId="77777777" w:rsidR="00CB16AA" w:rsidRPr="00666914" w:rsidRDefault="00CB16AA" w:rsidP="00985E7A">
            <w:pPr>
              <w:spacing w:after="0"/>
              <w:jc w:val="center"/>
              <w:rPr>
                <w:rFonts w:eastAsia="Times New Roman" w:cs="Calibri"/>
                <w:b/>
                <w:bCs/>
                <w:color w:val="000000"/>
                <w:sz w:val="16"/>
                <w:szCs w:val="16"/>
                <w:lang w:eastAsia="sk-SK"/>
              </w:rPr>
            </w:pPr>
            <w:r w:rsidRPr="00666914">
              <w:rPr>
                <w:rFonts w:eastAsia="Times New Roman" w:cs="Calibri"/>
                <w:b/>
                <w:bCs/>
                <w:color w:val="000000"/>
                <w:sz w:val="16"/>
                <w:szCs w:val="16"/>
                <w:lang w:eastAsia="sk-SK"/>
              </w:rPr>
              <w:t>Hodnota (mil. eur)</w:t>
            </w:r>
          </w:p>
        </w:tc>
        <w:tc>
          <w:tcPr>
            <w:tcW w:w="574" w:type="pct"/>
            <w:tcBorders>
              <w:top w:val="nil"/>
              <w:left w:val="nil"/>
              <w:bottom w:val="single" w:sz="4" w:space="0" w:color="auto"/>
              <w:right w:val="nil"/>
            </w:tcBorders>
            <w:shd w:val="clear" w:color="auto" w:fill="auto"/>
            <w:hideMark/>
          </w:tcPr>
          <w:p w14:paraId="338B2B8F" w14:textId="77777777" w:rsidR="00CB16AA" w:rsidRPr="00666914" w:rsidRDefault="00CB16AA" w:rsidP="00985E7A">
            <w:pPr>
              <w:spacing w:after="0"/>
              <w:jc w:val="center"/>
              <w:rPr>
                <w:rFonts w:eastAsia="Times New Roman" w:cs="Calibri"/>
                <w:b/>
                <w:bCs/>
                <w:color w:val="000000"/>
                <w:sz w:val="16"/>
                <w:szCs w:val="16"/>
                <w:lang w:eastAsia="sk-SK"/>
              </w:rPr>
            </w:pPr>
            <w:r w:rsidRPr="00666914">
              <w:rPr>
                <w:rFonts w:eastAsia="Times New Roman" w:cs="Calibri"/>
                <w:b/>
                <w:bCs/>
                <w:color w:val="000000"/>
                <w:sz w:val="16"/>
                <w:szCs w:val="16"/>
                <w:lang w:eastAsia="sk-SK"/>
              </w:rPr>
              <w:t>Poskytnutie dát (dátum)</w:t>
            </w:r>
          </w:p>
        </w:tc>
        <w:tc>
          <w:tcPr>
            <w:tcW w:w="575" w:type="pct"/>
            <w:tcBorders>
              <w:top w:val="nil"/>
              <w:left w:val="nil"/>
              <w:bottom w:val="single" w:sz="4" w:space="0" w:color="auto"/>
              <w:right w:val="nil"/>
            </w:tcBorders>
            <w:shd w:val="clear" w:color="auto" w:fill="auto"/>
            <w:hideMark/>
          </w:tcPr>
          <w:p w14:paraId="7D12DFD1" w14:textId="77777777" w:rsidR="00CB16AA" w:rsidRPr="00666914" w:rsidRDefault="00CB16AA" w:rsidP="00985E7A">
            <w:pPr>
              <w:spacing w:after="0"/>
              <w:jc w:val="center"/>
              <w:rPr>
                <w:rFonts w:eastAsia="Times New Roman" w:cs="Calibri"/>
                <w:b/>
                <w:bCs/>
                <w:color w:val="000000"/>
                <w:sz w:val="16"/>
                <w:szCs w:val="16"/>
                <w:lang w:eastAsia="sk-SK"/>
              </w:rPr>
            </w:pPr>
            <w:r w:rsidRPr="00666914">
              <w:rPr>
                <w:rFonts w:eastAsia="Times New Roman" w:cs="Calibri"/>
                <w:b/>
                <w:bCs/>
                <w:color w:val="000000"/>
                <w:sz w:val="16"/>
                <w:szCs w:val="16"/>
                <w:lang w:eastAsia="sk-SK"/>
              </w:rPr>
              <w:t>Obsah poskytnutých dáta</w:t>
            </w:r>
          </w:p>
        </w:tc>
        <w:tc>
          <w:tcPr>
            <w:tcW w:w="358" w:type="pct"/>
            <w:tcBorders>
              <w:top w:val="nil"/>
              <w:left w:val="nil"/>
              <w:bottom w:val="single" w:sz="4" w:space="0" w:color="auto"/>
              <w:right w:val="nil"/>
            </w:tcBorders>
            <w:shd w:val="clear" w:color="auto" w:fill="auto"/>
            <w:hideMark/>
          </w:tcPr>
          <w:p w14:paraId="58215115" w14:textId="77777777" w:rsidR="00CB16AA" w:rsidRPr="00666914" w:rsidRDefault="00CB16AA" w:rsidP="00985E7A">
            <w:pPr>
              <w:spacing w:after="0"/>
              <w:jc w:val="center"/>
              <w:rPr>
                <w:rFonts w:eastAsia="Times New Roman" w:cs="Calibri"/>
                <w:b/>
                <w:bCs/>
                <w:color w:val="000000"/>
                <w:sz w:val="16"/>
                <w:szCs w:val="16"/>
                <w:lang w:eastAsia="sk-SK"/>
              </w:rPr>
            </w:pPr>
            <w:r w:rsidRPr="00666914">
              <w:rPr>
                <w:rFonts w:eastAsia="Times New Roman" w:cs="Calibri"/>
                <w:b/>
                <w:bCs/>
                <w:color w:val="000000"/>
                <w:sz w:val="16"/>
                <w:szCs w:val="16"/>
                <w:lang w:eastAsia="sk-SK"/>
              </w:rPr>
              <w:t>Hodnotenie ÚHP (termín)</w:t>
            </w:r>
          </w:p>
        </w:tc>
        <w:tc>
          <w:tcPr>
            <w:tcW w:w="627" w:type="pct"/>
            <w:tcBorders>
              <w:top w:val="nil"/>
              <w:left w:val="nil"/>
              <w:bottom w:val="single" w:sz="4" w:space="0" w:color="auto"/>
              <w:right w:val="nil"/>
            </w:tcBorders>
            <w:shd w:val="clear" w:color="auto" w:fill="auto"/>
            <w:hideMark/>
          </w:tcPr>
          <w:p w14:paraId="11306BB9" w14:textId="77777777" w:rsidR="00CB16AA" w:rsidRPr="00666914" w:rsidRDefault="00CB16AA" w:rsidP="00985E7A">
            <w:pPr>
              <w:spacing w:after="0"/>
              <w:jc w:val="center"/>
              <w:rPr>
                <w:rFonts w:eastAsia="Times New Roman" w:cs="Calibri"/>
                <w:b/>
                <w:bCs/>
                <w:color w:val="000000"/>
                <w:sz w:val="16"/>
                <w:szCs w:val="16"/>
                <w:lang w:eastAsia="sk-SK"/>
              </w:rPr>
            </w:pPr>
            <w:r w:rsidRPr="00666914">
              <w:rPr>
                <w:rFonts w:eastAsia="Times New Roman" w:cs="Calibri"/>
                <w:b/>
                <w:bCs/>
                <w:color w:val="000000"/>
                <w:sz w:val="16"/>
                <w:szCs w:val="16"/>
                <w:lang w:eastAsia="sk-SK"/>
              </w:rPr>
              <w:t>Hodnotenie ÚHP</w:t>
            </w:r>
          </w:p>
        </w:tc>
        <w:tc>
          <w:tcPr>
            <w:tcW w:w="641" w:type="pct"/>
            <w:gridSpan w:val="2"/>
            <w:tcBorders>
              <w:top w:val="nil"/>
              <w:left w:val="nil"/>
              <w:bottom w:val="single" w:sz="4" w:space="0" w:color="auto"/>
              <w:right w:val="nil"/>
            </w:tcBorders>
            <w:shd w:val="clear" w:color="auto" w:fill="auto"/>
            <w:hideMark/>
          </w:tcPr>
          <w:p w14:paraId="09A14A90" w14:textId="77777777" w:rsidR="00CB16AA" w:rsidRPr="00666914" w:rsidRDefault="00CB16AA" w:rsidP="00985E7A">
            <w:pPr>
              <w:spacing w:after="0"/>
              <w:jc w:val="center"/>
              <w:rPr>
                <w:rFonts w:eastAsia="Times New Roman" w:cs="Calibri"/>
                <w:b/>
                <w:bCs/>
                <w:color w:val="000000"/>
                <w:sz w:val="16"/>
                <w:szCs w:val="16"/>
                <w:lang w:eastAsia="sk-SK"/>
              </w:rPr>
            </w:pPr>
            <w:r w:rsidRPr="00666914">
              <w:rPr>
                <w:rFonts w:eastAsia="Times New Roman" w:cs="Calibri"/>
                <w:b/>
                <w:bCs/>
                <w:color w:val="000000"/>
                <w:sz w:val="16"/>
                <w:szCs w:val="16"/>
                <w:lang w:eastAsia="sk-SK"/>
              </w:rPr>
              <w:t>Pozn.</w:t>
            </w:r>
          </w:p>
        </w:tc>
      </w:tr>
      <w:tr w:rsidR="00CB16AA" w:rsidRPr="00666914" w14:paraId="27883B86" w14:textId="77777777" w:rsidTr="00315988">
        <w:trPr>
          <w:trHeight w:val="520"/>
        </w:trPr>
        <w:tc>
          <w:tcPr>
            <w:tcW w:w="454" w:type="pct"/>
            <w:tcBorders>
              <w:top w:val="nil"/>
              <w:left w:val="nil"/>
              <w:bottom w:val="nil"/>
              <w:right w:val="nil"/>
            </w:tcBorders>
            <w:shd w:val="clear" w:color="auto" w:fill="auto"/>
            <w:vAlign w:val="center"/>
            <w:hideMark/>
          </w:tcPr>
          <w:p w14:paraId="66C9F7EA"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MDV SR</w:t>
            </w:r>
          </w:p>
        </w:tc>
        <w:tc>
          <w:tcPr>
            <w:tcW w:w="1341" w:type="pct"/>
            <w:tcBorders>
              <w:top w:val="nil"/>
              <w:left w:val="nil"/>
              <w:bottom w:val="nil"/>
              <w:right w:val="nil"/>
            </w:tcBorders>
            <w:shd w:val="clear" w:color="auto" w:fill="auto"/>
            <w:vAlign w:val="center"/>
            <w:hideMark/>
          </w:tcPr>
          <w:p w14:paraId="6D38BAF9"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Letisko Bratislava</w:t>
            </w:r>
          </w:p>
        </w:tc>
        <w:tc>
          <w:tcPr>
            <w:tcW w:w="430" w:type="pct"/>
            <w:tcBorders>
              <w:top w:val="nil"/>
              <w:left w:val="nil"/>
              <w:bottom w:val="nil"/>
              <w:right w:val="nil"/>
            </w:tcBorders>
            <w:shd w:val="clear" w:color="auto" w:fill="auto"/>
            <w:vAlign w:val="center"/>
            <w:hideMark/>
          </w:tcPr>
          <w:p w14:paraId="3469E309" w14:textId="77777777" w:rsidR="00CB16AA" w:rsidRPr="00666914" w:rsidRDefault="00CB16AA" w:rsidP="00985E7A">
            <w:pPr>
              <w:spacing w:after="0"/>
              <w:jc w:val="center"/>
              <w:rPr>
                <w:rFonts w:eastAsia="Times New Roman" w:cs="Calibri"/>
                <w:color w:val="000000"/>
                <w:sz w:val="16"/>
                <w:szCs w:val="16"/>
                <w:lang w:eastAsia="sk-SK"/>
              </w:rPr>
            </w:pPr>
          </w:p>
        </w:tc>
        <w:tc>
          <w:tcPr>
            <w:tcW w:w="574" w:type="pct"/>
            <w:tcBorders>
              <w:top w:val="nil"/>
              <w:left w:val="nil"/>
              <w:bottom w:val="nil"/>
              <w:right w:val="nil"/>
            </w:tcBorders>
            <w:shd w:val="clear" w:color="auto" w:fill="auto"/>
            <w:vAlign w:val="center"/>
            <w:hideMark/>
          </w:tcPr>
          <w:p w14:paraId="5D379E6B"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12/2017</w:t>
            </w:r>
          </w:p>
        </w:tc>
        <w:tc>
          <w:tcPr>
            <w:tcW w:w="575" w:type="pct"/>
            <w:tcBorders>
              <w:top w:val="nil"/>
              <w:left w:val="nil"/>
              <w:bottom w:val="nil"/>
              <w:right w:val="nil"/>
            </w:tcBorders>
            <w:shd w:val="clear" w:color="auto" w:fill="auto"/>
            <w:vAlign w:val="center"/>
            <w:hideMark/>
          </w:tcPr>
          <w:p w14:paraId="39C55A05"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Zámer</w:t>
            </w:r>
          </w:p>
        </w:tc>
        <w:tc>
          <w:tcPr>
            <w:tcW w:w="358" w:type="pct"/>
            <w:tcBorders>
              <w:top w:val="nil"/>
              <w:left w:val="nil"/>
              <w:bottom w:val="nil"/>
              <w:right w:val="nil"/>
            </w:tcBorders>
            <w:shd w:val="clear" w:color="auto" w:fill="auto"/>
            <w:vAlign w:val="center"/>
            <w:hideMark/>
          </w:tcPr>
          <w:p w14:paraId="631B41EA"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01/2018</w:t>
            </w:r>
          </w:p>
        </w:tc>
        <w:tc>
          <w:tcPr>
            <w:tcW w:w="627" w:type="pct"/>
            <w:tcBorders>
              <w:top w:val="nil"/>
              <w:left w:val="nil"/>
              <w:bottom w:val="nil"/>
              <w:right w:val="nil"/>
            </w:tcBorders>
            <w:shd w:val="clear" w:color="000000" w:fill="BDD7EE"/>
            <w:vAlign w:val="center"/>
            <w:hideMark/>
          </w:tcPr>
          <w:p w14:paraId="27BC8E84"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Predbežné hodnotenie</w:t>
            </w:r>
          </w:p>
        </w:tc>
        <w:tc>
          <w:tcPr>
            <w:tcW w:w="641" w:type="pct"/>
            <w:gridSpan w:val="2"/>
            <w:tcBorders>
              <w:top w:val="nil"/>
              <w:left w:val="nil"/>
              <w:bottom w:val="nil"/>
              <w:right w:val="nil"/>
            </w:tcBorders>
            <w:shd w:val="clear" w:color="000000" w:fill="BDD7EE"/>
            <w:vAlign w:val="center"/>
            <w:hideMark/>
          </w:tcPr>
          <w:p w14:paraId="07B435FF" w14:textId="77777777" w:rsidR="00CB16AA" w:rsidRPr="00666914" w:rsidRDefault="00CB16AA" w:rsidP="00985E7A">
            <w:pPr>
              <w:spacing w:after="0"/>
              <w:jc w:val="center"/>
              <w:rPr>
                <w:rFonts w:eastAsia="Times New Roman" w:cs="Calibri"/>
                <w:sz w:val="16"/>
                <w:szCs w:val="16"/>
                <w:lang w:eastAsia="sk-SK"/>
              </w:rPr>
            </w:pPr>
            <w:r w:rsidRPr="00666914">
              <w:rPr>
                <w:rFonts w:eastAsia="Times New Roman" w:cs="Calibri"/>
                <w:sz w:val="16"/>
                <w:szCs w:val="16"/>
                <w:lang w:eastAsia="sk-SK"/>
              </w:rPr>
              <w:t>Zapojenie ÚHP do riadiacej komisie</w:t>
            </w:r>
          </w:p>
        </w:tc>
      </w:tr>
      <w:tr w:rsidR="00CB16AA" w:rsidRPr="00666914" w14:paraId="6FA1C8DB" w14:textId="77777777" w:rsidTr="00315988">
        <w:trPr>
          <w:trHeight w:val="520"/>
        </w:trPr>
        <w:tc>
          <w:tcPr>
            <w:tcW w:w="454" w:type="pct"/>
            <w:tcBorders>
              <w:top w:val="nil"/>
              <w:left w:val="nil"/>
              <w:bottom w:val="nil"/>
              <w:right w:val="nil"/>
            </w:tcBorders>
            <w:shd w:val="clear" w:color="auto" w:fill="auto"/>
            <w:vAlign w:val="center"/>
            <w:hideMark/>
          </w:tcPr>
          <w:p w14:paraId="30604CE3"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MDV/ OZ Prodanubia</w:t>
            </w:r>
          </w:p>
        </w:tc>
        <w:tc>
          <w:tcPr>
            <w:tcW w:w="1341" w:type="pct"/>
            <w:tcBorders>
              <w:top w:val="nil"/>
              <w:left w:val="nil"/>
              <w:bottom w:val="nil"/>
              <w:right w:val="nil"/>
            </w:tcBorders>
            <w:shd w:val="clear" w:color="auto" w:fill="auto"/>
            <w:vAlign w:val="center"/>
            <w:hideMark/>
          </w:tcPr>
          <w:p w14:paraId="797265B2"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Pravidelná osobná vodná doprava po Dunaji - DUNAJBUS</w:t>
            </w:r>
          </w:p>
        </w:tc>
        <w:tc>
          <w:tcPr>
            <w:tcW w:w="430" w:type="pct"/>
            <w:tcBorders>
              <w:top w:val="nil"/>
              <w:left w:val="nil"/>
              <w:bottom w:val="nil"/>
              <w:right w:val="nil"/>
            </w:tcBorders>
            <w:shd w:val="clear" w:color="auto" w:fill="auto"/>
            <w:vAlign w:val="center"/>
            <w:hideMark/>
          </w:tcPr>
          <w:p w14:paraId="34B45793"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60</w:t>
            </w:r>
          </w:p>
        </w:tc>
        <w:tc>
          <w:tcPr>
            <w:tcW w:w="574" w:type="pct"/>
            <w:tcBorders>
              <w:top w:val="nil"/>
              <w:left w:val="nil"/>
              <w:bottom w:val="nil"/>
              <w:right w:val="nil"/>
            </w:tcBorders>
            <w:shd w:val="clear" w:color="auto" w:fill="auto"/>
            <w:vAlign w:val="center"/>
            <w:hideMark/>
          </w:tcPr>
          <w:p w14:paraId="05906A43"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10/2018</w:t>
            </w:r>
          </w:p>
        </w:tc>
        <w:tc>
          <w:tcPr>
            <w:tcW w:w="575" w:type="pct"/>
            <w:tcBorders>
              <w:top w:val="nil"/>
              <w:left w:val="nil"/>
              <w:bottom w:val="nil"/>
              <w:right w:val="nil"/>
            </w:tcBorders>
            <w:shd w:val="clear" w:color="auto" w:fill="auto"/>
            <w:vAlign w:val="center"/>
            <w:hideMark/>
          </w:tcPr>
          <w:p w14:paraId="1049473D"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w:t>
            </w:r>
          </w:p>
        </w:tc>
        <w:tc>
          <w:tcPr>
            <w:tcW w:w="358" w:type="pct"/>
            <w:tcBorders>
              <w:top w:val="nil"/>
              <w:left w:val="nil"/>
              <w:bottom w:val="nil"/>
              <w:right w:val="nil"/>
            </w:tcBorders>
            <w:shd w:val="clear" w:color="auto" w:fill="auto"/>
            <w:vAlign w:val="center"/>
            <w:hideMark/>
          </w:tcPr>
          <w:p w14:paraId="663E99CB"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w:t>
            </w:r>
          </w:p>
        </w:tc>
        <w:tc>
          <w:tcPr>
            <w:tcW w:w="627" w:type="pct"/>
            <w:tcBorders>
              <w:top w:val="nil"/>
              <w:left w:val="nil"/>
              <w:bottom w:val="nil"/>
              <w:right w:val="nil"/>
            </w:tcBorders>
            <w:shd w:val="clear" w:color="000000" w:fill="BDD7EE"/>
            <w:vAlign w:val="center"/>
            <w:hideMark/>
          </w:tcPr>
          <w:p w14:paraId="0A9EE827"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Predbežné hodnotenie</w:t>
            </w:r>
          </w:p>
        </w:tc>
        <w:tc>
          <w:tcPr>
            <w:tcW w:w="641" w:type="pct"/>
            <w:gridSpan w:val="2"/>
            <w:tcBorders>
              <w:top w:val="nil"/>
              <w:left w:val="nil"/>
              <w:bottom w:val="nil"/>
              <w:right w:val="nil"/>
            </w:tcBorders>
            <w:shd w:val="clear" w:color="000000" w:fill="FFFF00"/>
            <w:vAlign w:val="center"/>
            <w:hideMark/>
          </w:tcPr>
          <w:p w14:paraId="0D3CC6C2" w14:textId="77777777" w:rsidR="00CB16AA" w:rsidRPr="00666914" w:rsidRDefault="00CB16AA" w:rsidP="00985E7A">
            <w:pPr>
              <w:spacing w:after="0"/>
              <w:jc w:val="center"/>
              <w:rPr>
                <w:rFonts w:eastAsia="Times New Roman" w:cs="Calibri"/>
                <w:sz w:val="16"/>
                <w:szCs w:val="16"/>
                <w:lang w:eastAsia="sk-SK"/>
              </w:rPr>
            </w:pPr>
            <w:r w:rsidRPr="00666914">
              <w:rPr>
                <w:rFonts w:eastAsia="Times New Roman" w:cs="Calibri"/>
                <w:sz w:val="16"/>
                <w:szCs w:val="16"/>
                <w:lang w:eastAsia="sk-SK"/>
              </w:rPr>
              <w:t>Prebieha diskusia s MDV/OZ Prodanubia</w:t>
            </w:r>
          </w:p>
        </w:tc>
      </w:tr>
      <w:tr w:rsidR="00CB16AA" w:rsidRPr="00666914" w14:paraId="19039862" w14:textId="77777777" w:rsidTr="00315988">
        <w:trPr>
          <w:trHeight w:val="520"/>
        </w:trPr>
        <w:tc>
          <w:tcPr>
            <w:tcW w:w="454" w:type="pct"/>
            <w:tcBorders>
              <w:top w:val="nil"/>
              <w:left w:val="nil"/>
              <w:bottom w:val="nil"/>
              <w:right w:val="nil"/>
            </w:tcBorders>
            <w:shd w:val="clear" w:color="auto" w:fill="auto"/>
            <w:vAlign w:val="center"/>
            <w:hideMark/>
          </w:tcPr>
          <w:p w14:paraId="2CA3653B" w14:textId="77777777" w:rsidR="00CB16AA" w:rsidRPr="00666914" w:rsidRDefault="00CB16AA" w:rsidP="00985E7A">
            <w:pPr>
              <w:spacing w:after="0"/>
              <w:jc w:val="center"/>
              <w:rPr>
                <w:rFonts w:eastAsia="Times New Roman" w:cs="Calibri"/>
                <w:sz w:val="16"/>
                <w:szCs w:val="16"/>
                <w:lang w:eastAsia="sk-SK"/>
              </w:rPr>
            </w:pPr>
            <w:r w:rsidRPr="00666914">
              <w:rPr>
                <w:rFonts w:eastAsia="Times New Roman" w:cs="Calibri"/>
                <w:sz w:val="16"/>
                <w:szCs w:val="16"/>
                <w:lang w:eastAsia="sk-SK"/>
              </w:rPr>
              <w:t>MDV/ ARVD</w:t>
            </w:r>
          </w:p>
        </w:tc>
        <w:tc>
          <w:tcPr>
            <w:tcW w:w="1341" w:type="pct"/>
            <w:tcBorders>
              <w:top w:val="nil"/>
              <w:left w:val="nil"/>
              <w:bottom w:val="nil"/>
              <w:right w:val="nil"/>
            </w:tcBorders>
            <w:shd w:val="clear" w:color="auto" w:fill="auto"/>
            <w:vAlign w:val="center"/>
            <w:hideMark/>
          </w:tcPr>
          <w:p w14:paraId="136F6306" w14:textId="77777777" w:rsidR="00CB16AA" w:rsidRPr="00666914" w:rsidRDefault="00CB16AA" w:rsidP="00985E7A">
            <w:pPr>
              <w:spacing w:after="0"/>
              <w:jc w:val="center"/>
              <w:rPr>
                <w:rFonts w:eastAsia="Times New Roman" w:cs="Calibri"/>
                <w:sz w:val="16"/>
                <w:szCs w:val="16"/>
                <w:lang w:eastAsia="sk-SK"/>
              </w:rPr>
            </w:pPr>
            <w:r w:rsidRPr="00666914">
              <w:rPr>
                <w:rFonts w:eastAsia="Times New Roman" w:cs="Calibri"/>
                <w:sz w:val="16"/>
                <w:szCs w:val="16"/>
                <w:lang w:eastAsia="sk-SK"/>
              </w:rPr>
              <w:t>Splavnenia dolného Váhu v úseku Piešťany - Komárno</w:t>
            </w:r>
          </w:p>
        </w:tc>
        <w:tc>
          <w:tcPr>
            <w:tcW w:w="430" w:type="pct"/>
            <w:tcBorders>
              <w:top w:val="nil"/>
              <w:left w:val="nil"/>
              <w:bottom w:val="nil"/>
              <w:right w:val="nil"/>
            </w:tcBorders>
            <w:shd w:val="clear" w:color="auto" w:fill="auto"/>
            <w:vAlign w:val="center"/>
            <w:hideMark/>
          </w:tcPr>
          <w:p w14:paraId="3336A7CF" w14:textId="77777777" w:rsidR="00CB16AA" w:rsidRPr="00666914" w:rsidRDefault="00CB16AA" w:rsidP="00985E7A">
            <w:pPr>
              <w:spacing w:after="0"/>
              <w:jc w:val="center"/>
              <w:rPr>
                <w:rFonts w:eastAsia="Times New Roman" w:cs="Calibri"/>
                <w:sz w:val="16"/>
                <w:szCs w:val="16"/>
                <w:lang w:eastAsia="sk-SK"/>
              </w:rPr>
            </w:pPr>
            <w:r w:rsidRPr="00666914">
              <w:rPr>
                <w:rFonts w:eastAsia="Times New Roman" w:cs="Calibri"/>
                <w:sz w:val="16"/>
                <w:szCs w:val="16"/>
                <w:lang w:eastAsia="sk-SK"/>
              </w:rPr>
              <w:t>1 345</w:t>
            </w:r>
          </w:p>
        </w:tc>
        <w:tc>
          <w:tcPr>
            <w:tcW w:w="574" w:type="pct"/>
            <w:tcBorders>
              <w:top w:val="nil"/>
              <w:left w:val="nil"/>
              <w:bottom w:val="nil"/>
              <w:right w:val="nil"/>
            </w:tcBorders>
            <w:shd w:val="clear" w:color="auto" w:fill="auto"/>
            <w:vAlign w:val="center"/>
            <w:hideMark/>
          </w:tcPr>
          <w:p w14:paraId="52D086BE" w14:textId="77777777" w:rsidR="00CB16AA" w:rsidRPr="00666914" w:rsidRDefault="00CB16AA" w:rsidP="00985E7A">
            <w:pPr>
              <w:spacing w:after="0"/>
              <w:jc w:val="center"/>
              <w:rPr>
                <w:rFonts w:eastAsia="Times New Roman" w:cs="Calibri"/>
                <w:sz w:val="16"/>
                <w:szCs w:val="16"/>
                <w:lang w:eastAsia="sk-SK"/>
              </w:rPr>
            </w:pPr>
            <w:r w:rsidRPr="00666914">
              <w:rPr>
                <w:rFonts w:eastAsia="Times New Roman" w:cs="Calibri"/>
                <w:sz w:val="16"/>
                <w:szCs w:val="16"/>
                <w:lang w:eastAsia="sk-SK"/>
              </w:rPr>
              <w:t>12/2017</w:t>
            </w:r>
          </w:p>
        </w:tc>
        <w:tc>
          <w:tcPr>
            <w:tcW w:w="575" w:type="pct"/>
            <w:tcBorders>
              <w:top w:val="nil"/>
              <w:left w:val="nil"/>
              <w:bottom w:val="nil"/>
              <w:right w:val="nil"/>
            </w:tcBorders>
            <w:shd w:val="clear" w:color="auto" w:fill="auto"/>
            <w:vAlign w:val="center"/>
            <w:hideMark/>
          </w:tcPr>
          <w:p w14:paraId="24CDF8FF" w14:textId="77777777" w:rsidR="00CB16AA" w:rsidRPr="00666914" w:rsidRDefault="00CB16AA" w:rsidP="00985E7A">
            <w:pPr>
              <w:spacing w:after="0"/>
              <w:jc w:val="center"/>
              <w:rPr>
                <w:rFonts w:eastAsia="Times New Roman" w:cs="Calibri"/>
                <w:sz w:val="16"/>
                <w:szCs w:val="16"/>
                <w:lang w:eastAsia="sk-SK"/>
              </w:rPr>
            </w:pPr>
            <w:r w:rsidRPr="00666914">
              <w:rPr>
                <w:rFonts w:eastAsia="Times New Roman" w:cs="Calibri"/>
                <w:sz w:val="16"/>
                <w:szCs w:val="16"/>
                <w:lang w:eastAsia="sk-SK"/>
              </w:rPr>
              <w:t>návrh ŠU</w:t>
            </w:r>
          </w:p>
        </w:tc>
        <w:tc>
          <w:tcPr>
            <w:tcW w:w="358" w:type="pct"/>
            <w:tcBorders>
              <w:top w:val="nil"/>
              <w:left w:val="nil"/>
              <w:bottom w:val="nil"/>
              <w:right w:val="nil"/>
            </w:tcBorders>
            <w:shd w:val="clear" w:color="auto" w:fill="auto"/>
            <w:vAlign w:val="center"/>
            <w:hideMark/>
          </w:tcPr>
          <w:p w14:paraId="0CD61D8A" w14:textId="77777777" w:rsidR="00CB16AA" w:rsidRPr="00666914" w:rsidRDefault="00CB16AA" w:rsidP="00985E7A">
            <w:pPr>
              <w:spacing w:after="0"/>
              <w:jc w:val="center"/>
              <w:rPr>
                <w:rFonts w:eastAsia="Times New Roman" w:cs="Calibri"/>
                <w:sz w:val="16"/>
                <w:szCs w:val="16"/>
                <w:lang w:eastAsia="sk-SK"/>
              </w:rPr>
            </w:pPr>
            <w:r w:rsidRPr="00666914">
              <w:rPr>
                <w:rFonts w:eastAsia="Times New Roman" w:cs="Calibri"/>
                <w:sz w:val="16"/>
                <w:szCs w:val="16"/>
                <w:lang w:eastAsia="sk-SK"/>
              </w:rPr>
              <w:t>?</w:t>
            </w:r>
          </w:p>
        </w:tc>
        <w:tc>
          <w:tcPr>
            <w:tcW w:w="627" w:type="pct"/>
            <w:tcBorders>
              <w:top w:val="nil"/>
              <w:left w:val="nil"/>
              <w:bottom w:val="nil"/>
              <w:right w:val="nil"/>
            </w:tcBorders>
            <w:shd w:val="clear" w:color="000000" w:fill="BDD7EE"/>
            <w:vAlign w:val="center"/>
            <w:hideMark/>
          </w:tcPr>
          <w:p w14:paraId="0D37F4E1"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Predbežné hodnotenie</w:t>
            </w:r>
          </w:p>
        </w:tc>
        <w:tc>
          <w:tcPr>
            <w:tcW w:w="641" w:type="pct"/>
            <w:gridSpan w:val="2"/>
            <w:tcBorders>
              <w:top w:val="nil"/>
              <w:left w:val="nil"/>
              <w:bottom w:val="nil"/>
              <w:right w:val="nil"/>
            </w:tcBorders>
            <w:shd w:val="clear" w:color="000000" w:fill="BDD7EE"/>
            <w:vAlign w:val="center"/>
            <w:hideMark/>
          </w:tcPr>
          <w:p w14:paraId="36BA02A1" w14:textId="77777777" w:rsidR="00CB16AA" w:rsidRPr="00666914" w:rsidRDefault="00CB16AA" w:rsidP="00985E7A">
            <w:pPr>
              <w:spacing w:after="0"/>
              <w:jc w:val="center"/>
              <w:rPr>
                <w:rFonts w:eastAsia="Times New Roman" w:cs="Calibri"/>
                <w:sz w:val="16"/>
                <w:szCs w:val="16"/>
                <w:lang w:eastAsia="sk-SK"/>
              </w:rPr>
            </w:pPr>
            <w:r w:rsidRPr="00666914">
              <w:rPr>
                <w:rFonts w:eastAsia="Times New Roman" w:cs="Calibri"/>
                <w:sz w:val="16"/>
                <w:szCs w:val="16"/>
                <w:lang w:eastAsia="sk-SK"/>
              </w:rPr>
              <w:t>Pripomienky k obsahu ŠU</w:t>
            </w:r>
          </w:p>
        </w:tc>
      </w:tr>
      <w:tr w:rsidR="00CB16AA" w:rsidRPr="00666914" w14:paraId="1BE8534E" w14:textId="77777777" w:rsidTr="00315988">
        <w:trPr>
          <w:trHeight w:val="520"/>
        </w:trPr>
        <w:tc>
          <w:tcPr>
            <w:tcW w:w="454" w:type="pct"/>
            <w:tcBorders>
              <w:top w:val="nil"/>
              <w:left w:val="nil"/>
              <w:bottom w:val="nil"/>
              <w:right w:val="nil"/>
            </w:tcBorders>
            <w:shd w:val="clear" w:color="auto" w:fill="auto"/>
            <w:vAlign w:val="center"/>
            <w:hideMark/>
          </w:tcPr>
          <w:p w14:paraId="39F99C6D"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NDS</w:t>
            </w:r>
          </w:p>
        </w:tc>
        <w:tc>
          <w:tcPr>
            <w:tcW w:w="1341" w:type="pct"/>
            <w:tcBorders>
              <w:top w:val="nil"/>
              <w:left w:val="nil"/>
              <w:bottom w:val="nil"/>
              <w:right w:val="nil"/>
            </w:tcBorders>
            <w:shd w:val="clear" w:color="auto" w:fill="auto"/>
            <w:vAlign w:val="center"/>
            <w:hideMark/>
          </w:tcPr>
          <w:p w14:paraId="37F2DD9C"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R1 Most pri Bratislave – Vlčkovce</w:t>
            </w:r>
          </w:p>
        </w:tc>
        <w:tc>
          <w:tcPr>
            <w:tcW w:w="430" w:type="pct"/>
            <w:tcBorders>
              <w:top w:val="nil"/>
              <w:left w:val="nil"/>
              <w:bottom w:val="nil"/>
              <w:right w:val="nil"/>
            </w:tcBorders>
            <w:shd w:val="clear" w:color="auto" w:fill="auto"/>
            <w:vAlign w:val="center"/>
            <w:hideMark/>
          </w:tcPr>
          <w:p w14:paraId="7B2C859B"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581</w:t>
            </w:r>
          </w:p>
        </w:tc>
        <w:tc>
          <w:tcPr>
            <w:tcW w:w="574" w:type="pct"/>
            <w:tcBorders>
              <w:top w:val="nil"/>
              <w:left w:val="nil"/>
              <w:bottom w:val="nil"/>
              <w:right w:val="nil"/>
            </w:tcBorders>
            <w:shd w:val="clear" w:color="auto" w:fill="auto"/>
            <w:vAlign w:val="center"/>
            <w:hideMark/>
          </w:tcPr>
          <w:p w14:paraId="760E86A3"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09/2017</w:t>
            </w:r>
          </w:p>
        </w:tc>
        <w:tc>
          <w:tcPr>
            <w:tcW w:w="575" w:type="pct"/>
            <w:tcBorders>
              <w:top w:val="nil"/>
              <w:left w:val="nil"/>
              <w:bottom w:val="nil"/>
              <w:right w:val="nil"/>
            </w:tcBorders>
            <w:shd w:val="clear" w:color="auto" w:fill="auto"/>
            <w:vAlign w:val="center"/>
            <w:hideMark/>
          </w:tcPr>
          <w:p w14:paraId="26501AD2"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TŠ</w:t>
            </w:r>
          </w:p>
        </w:tc>
        <w:tc>
          <w:tcPr>
            <w:tcW w:w="358" w:type="pct"/>
            <w:tcBorders>
              <w:top w:val="nil"/>
              <w:left w:val="nil"/>
              <w:bottom w:val="nil"/>
              <w:right w:val="nil"/>
            </w:tcBorders>
            <w:shd w:val="clear" w:color="auto" w:fill="auto"/>
            <w:vAlign w:val="center"/>
            <w:hideMark/>
          </w:tcPr>
          <w:p w14:paraId="6A21AAA6"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10/2017</w:t>
            </w:r>
          </w:p>
        </w:tc>
        <w:tc>
          <w:tcPr>
            <w:tcW w:w="627" w:type="pct"/>
            <w:tcBorders>
              <w:top w:val="nil"/>
              <w:left w:val="nil"/>
              <w:bottom w:val="nil"/>
              <w:right w:val="nil"/>
            </w:tcBorders>
            <w:shd w:val="clear" w:color="000000" w:fill="BDD7EE"/>
            <w:vAlign w:val="center"/>
            <w:hideMark/>
          </w:tcPr>
          <w:p w14:paraId="289CA3A2"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Predbežné hodnotenie</w:t>
            </w:r>
          </w:p>
        </w:tc>
        <w:tc>
          <w:tcPr>
            <w:tcW w:w="641" w:type="pct"/>
            <w:gridSpan w:val="2"/>
            <w:tcBorders>
              <w:top w:val="nil"/>
              <w:left w:val="nil"/>
              <w:bottom w:val="nil"/>
              <w:right w:val="nil"/>
            </w:tcBorders>
            <w:shd w:val="clear" w:color="000000" w:fill="BDD7EE"/>
            <w:vAlign w:val="center"/>
            <w:hideMark/>
          </w:tcPr>
          <w:p w14:paraId="1C3E44F6"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Pripomienky k zadaniu ŠU</w:t>
            </w:r>
          </w:p>
        </w:tc>
      </w:tr>
      <w:tr w:rsidR="00CB16AA" w:rsidRPr="00666914" w14:paraId="261206D9" w14:textId="77777777" w:rsidTr="00315988">
        <w:trPr>
          <w:trHeight w:val="520"/>
        </w:trPr>
        <w:tc>
          <w:tcPr>
            <w:tcW w:w="454" w:type="pct"/>
            <w:tcBorders>
              <w:top w:val="nil"/>
              <w:left w:val="nil"/>
              <w:bottom w:val="nil"/>
              <w:right w:val="nil"/>
            </w:tcBorders>
            <w:shd w:val="clear" w:color="auto" w:fill="auto"/>
            <w:vAlign w:val="center"/>
            <w:hideMark/>
          </w:tcPr>
          <w:p w14:paraId="3AD0AB2E"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NDS</w:t>
            </w:r>
          </w:p>
        </w:tc>
        <w:tc>
          <w:tcPr>
            <w:tcW w:w="1341" w:type="pct"/>
            <w:tcBorders>
              <w:top w:val="nil"/>
              <w:left w:val="nil"/>
              <w:bottom w:val="nil"/>
              <w:right w:val="nil"/>
            </w:tcBorders>
            <w:shd w:val="clear" w:color="auto" w:fill="auto"/>
            <w:vAlign w:val="center"/>
            <w:hideMark/>
          </w:tcPr>
          <w:p w14:paraId="7243E75D"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R8 Nitra – Križovatka R2</w:t>
            </w:r>
          </w:p>
        </w:tc>
        <w:tc>
          <w:tcPr>
            <w:tcW w:w="430" w:type="pct"/>
            <w:tcBorders>
              <w:top w:val="nil"/>
              <w:left w:val="nil"/>
              <w:bottom w:val="nil"/>
              <w:right w:val="nil"/>
            </w:tcBorders>
            <w:shd w:val="clear" w:color="auto" w:fill="auto"/>
            <w:vAlign w:val="center"/>
            <w:hideMark/>
          </w:tcPr>
          <w:p w14:paraId="320FCAF4"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658</w:t>
            </w:r>
          </w:p>
        </w:tc>
        <w:tc>
          <w:tcPr>
            <w:tcW w:w="574" w:type="pct"/>
            <w:tcBorders>
              <w:top w:val="nil"/>
              <w:left w:val="nil"/>
              <w:bottom w:val="nil"/>
              <w:right w:val="nil"/>
            </w:tcBorders>
            <w:shd w:val="clear" w:color="auto" w:fill="auto"/>
            <w:vAlign w:val="center"/>
            <w:hideMark/>
          </w:tcPr>
          <w:p w14:paraId="22E9C956"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09/2017</w:t>
            </w:r>
          </w:p>
        </w:tc>
        <w:tc>
          <w:tcPr>
            <w:tcW w:w="575" w:type="pct"/>
            <w:tcBorders>
              <w:top w:val="nil"/>
              <w:left w:val="nil"/>
              <w:bottom w:val="nil"/>
              <w:right w:val="nil"/>
            </w:tcBorders>
            <w:shd w:val="clear" w:color="auto" w:fill="auto"/>
            <w:vAlign w:val="center"/>
            <w:hideMark/>
          </w:tcPr>
          <w:p w14:paraId="7DDDA1C9"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TŠ</w:t>
            </w:r>
          </w:p>
        </w:tc>
        <w:tc>
          <w:tcPr>
            <w:tcW w:w="358" w:type="pct"/>
            <w:tcBorders>
              <w:top w:val="nil"/>
              <w:left w:val="nil"/>
              <w:bottom w:val="nil"/>
              <w:right w:val="nil"/>
            </w:tcBorders>
            <w:shd w:val="clear" w:color="auto" w:fill="auto"/>
            <w:vAlign w:val="center"/>
            <w:hideMark/>
          </w:tcPr>
          <w:p w14:paraId="3A94890A"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10/2017</w:t>
            </w:r>
          </w:p>
        </w:tc>
        <w:tc>
          <w:tcPr>
            <w:tcW w:w="627" w:type="pct"/>
            <w:tcBorders>
              <w:top w:val="nil"/>
              <w:left w:val="nil"/>
              <w:bottom w:val="nil"/>
              <w:right w:val="nil"/>
            </w:tcBorders>
            <w:shd w:val="clear" w:color="000000" w:fill="BDD7EE"/>
            <w:vAlign w:val="center"/>
            <w:hideMark/>
          </w:tcPr>
          <w:p w14:paraId="6F5A298F"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Predbežné hodnotenie</w:t>
            </w:r>
          </w:p>
        </w:tc>
        <w:tc>
          <w:tcPr>
            <w:tcW w:w="641" w:type="pct"/>
            <w:gridSpan w:val="2"/>
            <w:tcBorders>
              <w:top w:val="nil"/>
              <w:left w:val="nil"/>
              <w:bottom w:val="nil"/>
              <w:right w:val="nil"/>
            </w:tcBorders>
            <w:shd w:val="clear" w:color="000000" w:fill="BDD7EE"/>
            <w:vAlign w:val="center"/>
            <w:hideMark/>
          </w:tcPr>
          <w:p w14:paraId="70F9467C"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Pripomienky k zadaniu ŠU</w:t>
            </w:r>
          </w:p>
        </w:tc>
      </w:tr>
      <w:tr w:rsidR="00CB16AA" w:rsidRPr="00666914" w14:paraId="1C2B278C" w14:textId="77777777" w:rsidTr="00315988">
        <w:trPr>
          <w:trHeight w:val="520"/>
        </w:trPr>
        <w:tc>
          <w:tcPr>
            <w:tcW w:w="454" w:type="pct"/>
            <w:tcBorders>
              <w:top w:val="nil"/>
              <w:left w:val="nil"/>
              <w:bottom w:val="nil"/>
              <w:right w:val="nil"/>
            </w:tcBorders>
            <w:shd w:val="clear" w:color="auto" w:fill="auto"/>
            <w:vAlign w:val="center"/>
            <w:hideMark/>
          </w:tcPr>
          <w:p w14:paraId="1C9D79CB"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NDS</w:t>
            </w:r>
          </w:p>
        </w:tc>
        <w:tc>
          <w:tcPr>
            <w:tcW w:w="1341" w:type="pct"/>
            <w:tcBorders>
              <w:top w:val="nil"/>
              <w:left w:val="nil"/>
              <w:bottom w:val="nil"/>
              <w:right w:val="nil"/>
            </w:tcBorders>
            <w:shd w:val="clear" w:color="auto" w:fill="auto"/>
            <w:vAlign w:val="center"/>
            <w:hideMark/>
          </w:tcPr>
          <w:p w14:paraId="605614BF"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D1 Bratislava – Senec – I. etapa, skapacitnenie (Bratislava – Triblavina)</w:t>
            </w:r>
          </w:p>
        </w:tc>
        <w:tc>
          <w:tcPr>
            <w:tcW w:w="430" w:type="pct"/>
            <w:tcBorders>
              <w:top w:val="nil"/>
              <w:left w:val="nil"/>
              <w:bottom w:val="nil"/>
              <w:right w:val="nil"/>
            </w:tcBorders>
            <w:shd w:val="clear" w:color="auto" w:fill="auto"/>
            <w:vAlign w:val="center"/>
            <w:hideMark/>
          </w:tcPr>
          <w:p w14:paraId="6166BF79"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109</w:t>
            </w:r>
          </w:p>
        </w:tc>
        <w:tc>
          <w:tcPr>
            <w:tcW w:w="574" w:type="pct"/>
            <w:tcBorders>
              <w:top w:val="nil"/>
              <w:left w:val="nil"/>
              <w:bottom w:val="nil"/>
              <w:right w:val="nil"/>
            </w:tcBorders>
            <w:shd w:val="clear" w:color="auto" w:fill="auto"/>
            <w:vAlign w:val="center"/>
            <w:hideMark/>
          </w:tcPr>
          <w:p w14:paraId="3DCC67DD"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 06/2017</w:t>
            </w:r>
          </w:p>
        </w:tc>
        <w:tc>
          <w:tcPr>
            <w:tcW w:w="575" w:type="pct"/>
            <w:tcBorders>
              <w:top w:val="nil"/>
              <w:left w:val="nil"/>
              <w:bottom w:val="nil"/>
              <w:right w:val="nil"/>
            </w:tcBorders>
            <w:shd w:val="clear" w:color="auto" w:fill="auto"/>
            <w:vAlign w:val="center"/>
            <w:hideMark/>
          </w:tcPr>
          <w:p w14:paraId="65B95A21"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dopravnokapacitné posúdenie</w:t>
            </w:r>
          </w:p>
        </w:tc>
        <w:tc>
          <w:tcPr>
            <w:tcW w:w="358" w:type="pct"/>
            <w:tcBorders>
              <w:top w:val="nil"/>
              <w:left w:val="nil"/>
              <w:bottom w:val="nil"/>
              <w:right w:val="nil"/>
            </w:tcBorders>
            <w:shd w:val="clear" w:color="auto" w:fill="auto"/>
            <w:vAlign w:val="bottom"/>
            <w:hideMark/>
          </w:tcPr>
          <w:p w14:paraId="12C3A3D2" w14:textId="77777777" w:rsidR="00CB16AA" w:rsidRPr="00666914" w:rsidRDefault="00CB16AA" w:rsidP="00985E7A">
            <w:pPr>
              <w:spacing w:after="0"/>
              <w:jc w:val="center"/>
              <w:rPr>
                <w:rFonts w:eastAsia="Times New Roman" w:cs="Calibri"/>
                <w:color w:val="000000"/>
                <w:sz w:val="16"/>
                <w:szCs w:val="16"/>
                <w:lang w:eastAsia="sk-SK"/>
              </w:rPr>
            </w:pPr>
          </w:p>
        </w:tc>
        <w:tc>
          <w:tcPr>
            <w:tcW w:w="627" w:type="pct"/>
            <w:tcBorders>
              <w:top w:val="nil"/>
              <w:left w:val="nil"/>
              <w:bottom w:val="nil"/>
              <w:right w:val="nil"/>
            </w:tcBorders>
            <w:shd w:val="clear" w:color="auto" w:fill="auto"/>
            <w:vAlign w:val="bottom"/>
            <w:hideMark/>
          </w:tcPr>
          <w:p w14:paraId="76705E1E" w14:textId="77777777" w:rsidR="00CB16AA" w:rsidRPr="00666914" w:rsidRDefault="00CB16AA" w:rsidP="00985E7A">
            <w:pPr>
              <w:spacing w:after="0"/>
              <w:jc w:val="center"/>
              <w:rPr>
                <w:rFonts w:eastAsia="Times New Roman"/>
                <w:sz w:val="16"/>
                <w:szCs w:val="16"/>
                <w:lang w:eastAsia="sk-SK"/>
              </w:rPr>
            </w:pPr>
          </w:p>
        </w:tc>
        <w:tc>
          <w:tcPr>
            <w:tcW w:w="641" w:type="pct"/>
            <w:gridSpan w:val="2"/>
            <w:tcBorders>
              <w:top w:val="nil"/>
              <w:left w:val="nil"/>
              <w:bottom w:val="nil"/>
              <w:right w:val="nil"/>
            </w:tcBorders>
            <w:shd w:val="clear" w:color="auto" w:fill="auto"/>
            <w:vAlign w:val="center"/>
            <w:hideMark/>
          </w:tcPr>
          <w:p w14:paraId="4FD792E4" w14:textId="77777777" w:rsidR="00CB16AA" w:rsidRPr="00666914" w:rsidRDefault="00CB16AA" w:rsidP="00985E7A">
            <w:pPr>
              <w:spacing w:after="0"/>
              <w:jc w:val="center"/>
              <w:rPr>
                <w:rFonts w:eastAsia="Times New Roman"/>
                <w:sz w:val="16"/>
                <w:szCs w:val="16"/>
                <w:lang w:eastAsia="sk-SK"/>
              </w:rPr>
            </w:pPr>
          </w:p>
        </w:tc>
      </w:tr>
      <w:tr w:rsidR="00CB16AA" w:rsidRPr="00666914" w14:paraId="35803402" w14:textId="77777777" w:rsidTr="00315988">
        <w:trPr>
          <w:trHeight w:val="520"/>
        </w:trPr>
        <w:tc>
          <w:tcPr>
            <w:tcW w:w="454" w:type="pct"/>
            <w:tcBorders>
              <w:top w:val="nil"/>
              <w:left w:val="nil"/>
              <w:bottom w:val="nil"/>
              <w:right w:val="nil"/>
            </w:tcBorders>
            <w:shd w:val="clear" w:color="auto" w:fill="auto"/>
            <w:vAlign w:val="center"/>
            <w:hideMark/>
          </w:tcPr>
          <w:p w14:paraId="3E98DCDB"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NDS</w:t>
            </w:r>
          </w:p>
        </w:tc>
        <w:tc>
          <w:tcPr>
            <w:tcW w:w="1341" w:type="pct"/>
            <w:tcBorders>
              <w:top w:val="nil"/>
              <w:left w:val="nil"/>
              <w:bottom w:val="nil"/>
              <w:right w:val="nil"/>
            </w:tcBorders>
            <w:shd w:val="clear" w:color="auto" w:fill="auto"/>
            <w:vAlign w:val="center"/>
            <w:hideMark/>
          </w:tcPr>
          <w:p w14:paraId="095DA3D7"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 xml:space="preserve">D3 Kysucké Nové Mesto – Oščadnica </w:t>
            </w:r>
          </w:p>
        </w:tc>
        <w:tc>
          <w:tcPr>
            <w:tcW w:w="430" w:type="pct"/>
            <w:tcBorders>
              <w:top w:val="nil"/>
              <w:left w:val="nil"/>
              <w:bottom w:val="nil"/>
              <w:right w:val="nil"/>
            </w:tcBorders>
            <w:shd w:val="clear" w:color="auto" w:fill="auto"/>
            <w:vAlign w:val="center"/>
            <w:hideMark/>
          </w:tcPr>
          <w:p w14:paraId="68632042"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244</w:t>
            </w:r>
          </w:p>
        </w:tc>
        <w:tc>
          <w:tcPr>
            <w:tcW w:w="574" w:type="pct"/>
            <w:tcBorders>
              <w:top w:val="nil"/>
              <w:left w:val="nil"/>
              <w:bottom w:val="nil"/>
              <w:right w:val="nil"/>
            </w:tcBorders>
            <w:shd w:val="clear" w:color="auto" w:fill="auto"/>
            <w:vAlign w:val="center"/>
            <w:hideMark/>
          </w:tcPr>
          <w:p w14:paraId="3DD963CF"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 06/2017</w:t>
            </w:r>
          </w:p>
        </w:tc>
        <w:tc>
          <w:tcPr>
            <w:tcW w:w="575" w:type="pct"/>
            <w:tcBorders>
              <w:top w:val="nil"/>
              <w:left w:val="nil"/>
              <w:bottom w:val="nil"/>
              <w:right w:val="nil"/>
            </w:tcBorders>
            <w:shd w:val="clear" w:color="auto" w:fill="auto"/>
            <w:vAlign w:val="center"/>
            <w:hideMark/>
          </w:tcPr>
          <w:p w14:paraId="57D6E240"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 - neaktuálna</w:t>
            </w:r>
          </w:p>
        </w:tc>
        <w:tc>
          <w:tcPr>
            <w:tcW w:w="358" w:type="pct"/>
            <w:tcBorders>
              <w:top w:val="nil"/>
              <w:left w:val="nil"/>
              <w:bottom w:val="nil"/>
              <w:right w:val="nil"/>
            </w:tcBorders>
            <w:shd w:val="clear" w:color="auto" w:fill="auto"/>
            <w:vAlign w:val="bottom"/>
            <w:hideMark/>
          </w:tcPr>
          <w:p w14:paraId="69B29A39" w14:textId="77777777" w:rsidR="00CB16AA" w:rsidRPr="00666914" w:rsidRDefault="00CB16AA" w:rsidP="00985E7A">
            <w:pPr>
              <w:spacing w:after="0"/>
              <w:jc w:val="center"/>
              <w:rPr>
                <w:rFonts w:eastAsia="Times New Roman" w:cs="Calibri"/>
                <w:color w:val="000000"/>
                <w:sz w:val="16"/>
                <w:szCs w:val="16"/>
                <w:lang w:eastAsia="sk-SK"/>
              </w:rPr>
            </w:pPr>
          </w:p>
        </w:tc>
        <w:tc>
          <w:tcPr>
            <w:tcW w:w="627" w:type="pct"/>
            <w:tcBorders>
              <w:top w:val="nil"/>
              <w:left w:val="nil"/>
              <w:bottom w:val="nil"/>
              <w:right w:val="nil"/>
            </w:tcBorders>
            <w:shd w:val="clear" w:color="auto" w:fill="auto"/>
            <w:vAlign w:val="bottom"/>
            <w:hideMark/>
          </w:tcPr>
          <w:p w14:paraId="03D368E8" w14:textId="77777777" w:rsidR="00CB16AA" w:rsidRPr="00666914" w:rsidRDefault="00CB16AA" w:rsidP="00985E7A">
            <w:pPr>
              <w:spacing w:after="0"/>
              <w:jc w:val="center"/>
              <w:rPr>
                <w:rFonts w:eastAsia="Times New Roman"/>
                <w:sz w:val="16"/>
                <w:szCs w:val="16"/>
                <w:lang w:eastAsia="sk-SK"/>
              </w:rPr>
            </w:pPr>
          </w:p>
        </w:tc>
        <w:tc>
          <w:tcPr>
            <w:tcW w:w="641" w:type="pct"/>
            <w:gridSpan w:val="2"/>
            <w:tcBorders>
              <w:top w:val="nil"/>
              <w:left w:val="nil"/>
              <w:bottom w:val="nil"/>
              <w:right w:val="nil"/>
            </w:tcBorders>
            <w:shd w:val="clear" w:color="auto" w:fill="auto"/>
            <w:vAlign w:val="center"/>
            <w:hideMark/>
          </w:tcPr>
          <w:p w14:paraId="606C4AD8" w14:textId="77777777" w:rsidR="00CB16AA" w:rsidRPr="00666914" w:rsidRDefault="00CB16AA" w:rsidP="00985E7A">
            <w:pPr>
              <w:spacing w:after="0"/>
              <w:jc w:val="center"/>
              <w:rPr>
                <w:rFonts w:eastAsia="Times New Roman"/>
                <w:sz w:val="16"/>
                <w:szCs w:val="16"/>
                <w:lang w:eastAsia="sk-SK"/>
              </w:rPr>
            </w:pPr>
          </w:p>
        </w:tc>
      </w:tr>
      <w:tr w:rsidR="00CB16AA" w:rsidRPr="00666914" w14:paraId="5C6E2351" w14:textId="77777777" w:rsidTr="00315988">
        <w:trPr>
          <w:trHeight w:val="520"/>
        </w:trPr>
        <w:tc>
          <w:tcPr>
            <w:tcW w:w="454" w:type="pct"/>
            <w:tcBorders>
              <w:top w:val="nil"/>
              <w:left w:val="nil"/>
              <w:bottom w:val="nil"/>
              <w:right w:val="nil"/>
            </w:tcBorders>
            <w:shd w:val="clear" w:color="auto" w:fill="auto"/>
            <w:vAlign w:val="center"/>
            <w:hideMark/>
          </w:tcPr>
          <w:p w14:paraId="12580E04"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NDS</w:t>
            </w:r>
          </w:p>
        </w:tc>
        <w:tc>
          <w:tcPr>
            <w:tcW w:w="1341" w:type="pct"/>
            <w:tcBorders>
              <w:top w:val="nil"/>
              <w:left w:val="nil"/>
              <w:bottom w:val="nil"/>
              <w:right w:val="nil"/>
            </w:tcBorders>
            <w:shd w:val="clear" w:color="auto" w:fill="auto"/>
            <w:vAlign w:val="center"/>
            <w:hideMark/>
          </w:tcPr>
          <w:p w14:paraId="571E6866"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D3 Žilina Brodno – Kysucké Nové Mesto</w:t>
            </w:r>
          </w:p>
        </w:tc>
        <w:tc>
          <w:tcPr>
            <w:tcW w:w="430" w:type="pct"/>
            <w:tcBorders>
              <w:top w:val="nil"/>
              <w:left w:val="nil"/>
              <w:bottom w:val="nil"/>
              <w:right w:val="nil"/>
            </w:tcBorders>
            <w:shd w:val="clear" w:color="auto" w:fill="auto"/>
            <w:vAlign w:val="center"/>
            <w:hideMark/>
          </w:tcPr>
          <w:p w14:paraId="4497ECB1"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386</w:t>
            </w:r>
          </w:p>
        </w:tc>
        <w:tc>
          <w:tcPr>
            <w:tcW w:w="574" w:type="pct"/>
            <w:tcBorders>
              <w:top w:val="nil"/>
              <w:left w:val="nil"/>
              <w:bottom w:val="nil"/>
              <w:right w:val="nil"/>
            </w:tcBorders>
            <w:shd w:val="clear" w:color="auto" w:fill="auto"/>
            <w:vAlign w:val="center"/>
            <w:hideMark/>
          </w:tcPr>
          <w:p w14:paraId="136021C3"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 06/2017</w:t>
            </w:r>
          </w:p>
        </w:tc>
        <w:tc>
          <w:tcPr>
            <w:tcW w:w="575" w:type="pct"/>
            <w:tcBorders>
              <w:top w:val="nil"/>
              <w:left w:val="nil"/>
              <w:bottom w:val="nil"/>
              <w:right w:val="nil"/>
            </w:tcBorders>
            <w:shd w:val="clear" w:color="auto" w:fill="auto"/>
            <w:vAlign w:val="center"/>
            <w:hideMark/>
          </w:tcPr>
          <w:p w14:paraId="69FBF90C"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 - neaktuálna</w:t>
            </w:r>
          </w:p>
        </w:tc>
        <w:tc>
          <w:tcPr>
            <w:tcW w:w="358" w:type="pct"/>
            <w:tcBorders>
              <w:top w:val="nil"/>
              <w:left w:val="nil"/>
              <w:bottom w:val="nil"/>
              <w:right w:val="nil"/>
            </w:tcBorders>
            <w:shd w:val="clear" w:color="auto" w:fill="auto"/>
            <w:vAlign w:val="bottom"/>
            <w:hideMark/>
          </w:tcPr>
          <w:p w14:paraId="028E3EF1" w14:textId="77777777" w:rsidR="00CB16AA" w:rsidRPr="00666914" w:rsidRDefault="00CB16AA" w:rsidP="00985E7A">
            <w:pPr>
              <w:spacing w:after="0"/>
              <w:jc w:val="center"/>
              <w:rPr>
                <w:rFonts w:eastAsia="Times New Roman" w:cs="Calibri"/>
                <w:color w:val="000000"/>
                <w:sz w:val="16"/>
                <w:szCs w:val="16"/>
                <w:lang w:eastAsia="sk-SK"/>
              </w:rPr>
            </w:pPr>
          </w:p>
        </w:tc>
        <w:tc>
          <w:tcPr>
            <w:tcW w:w="627" w:type="pct"/>
            <w:tcBorders>
              <w:top w:val="nil"/>
              <w:left w:val="nil"/>
              <w:bottom w:val="nil"/>
              <w:right w:val="nil"/>
            </w:tcBorders>
            <w:shd w:val="clear" w:color="auto" w:fill="auto"/>
            <w:vAlign w:val="bottom"/>
            <w:hideMark/>
          </w:tcPr>
          <w:p w14:paraId="26116783" w14:textId="77777777" w:rsidR="00CB16AA" w:rsidRPr="00666914" w:rsidRDefault="00CB16AA" w:rsidP="00985E7A">
            <w:pPr>
              <w:spacing w:after="0"/>
              <w:jc w:val="center"/>
              <w:rPr>
                <w:rFonts w:eastAsia="Times New Roman"/>
                <w:sz w:val="16"/>
                <w:szCs w:val="16"/>
                <w:lang w:eastAsia="sk-SK"/>
              </w:rPr>
            </w:pPr>
          </w:p>
        </w:tc>
        <w:tc>
          <w:tcPr>
            <w:tcW w:w="641" w:type="pct"/>
            <w:gridSpan w:val="2"/>
            <w:tcBorders>
              <w:top w:val="nil"/>
              <w:left w:val="nil"/>
              <w:bottom w:val="nil"/>
              <w:right w:val="nil"/>
            </w:tcBorders>
            <w:shd w:val="clear" w:color="auto" w:fill="auto"/>
            <w:vAlign w:val="center"/>
            <w:hideMark/>
          </w:tcPr>
          <w:p w14:paraId="04BCDCC5" w14:textId="77777777" w:rsidR="00CB16AA" w:rsidRPr="00666914" w:rsidRDefault="00CB16AA" w:rsidP="00985E7A">
            <w:pPr>
              <w:spacing w:after="0"/>
              <w:jc w:val="center"/>
              <w:rPr>
                <w:rFonts w:eastAsia="Times New Roman"/>
                <w:sz w:val="16"/>
                <w:szCs w:val="16"/>
                <w:lang w:eastAsia="sk-SK"/>
              </w:rPr>
            </w:pPr>
          </w:p>
        </w:tc>
      </w:tr>
      <w:tr w:rsidR="00CB16AA" w:rsidRPr="00666914" w14:paraId="532AE464" w14:textId="77777777" w:rsidTr="00315988">
        <w:trPr>
          <w:trHeight w:val="520"/>
        </w:trPr>
        <w:tc>
          <w:tcPr>
            <w:tcW w:w="454" w:type="pct"/>
            <w:tcBorders>
              <w:top w:val="nil"/>
              <w:left w:val="nil"/>
              <w:bottom w:val="nil"/>
              <w:right w:val="nil"/>
            </w:tcBorders>
            <w:shd w:val="clear" w:color="auto" w:fill="auto"/>
            <w:vAlign w:val="center"/>
            <w:hideMark/>
          </w:tcPr>
          <w:p w14:paraId="084DCBA5"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NDS</w:t>
            </w:r>
          </w:p>
        </w:tc>
        <w:tc>
          <w:tcPr>
            <w:tcW w:w="1341" w:type="pct"/>
            <w:tcBorders>
              <w:top w:val="nil"/>
              <w:left w:val="nil"/>
              <w:bottom w:val="nil"/>
              <w:right w:val="nil"/>
            </w:tcBorders>
            <w:shd w:val="clear" w:color="auto" w:fill="auto"/>
            <w:vAlign w:val="center"/>
            <w:hideMark/>
          </w:tcPr>
          <w:p w14:paraId="2B8A3E07"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R1 Banská Bystrica – Slovenská Ľupča</w:t>
            </w:r>
          </w:p>
        </w:tc>
        <w:tc>
          <w:tcPr>
            <w:tcW w:w="430" w:type="pct"/>
            <w:tcBorders>
              <w:top w:val="nil"/>
              <w:left w:val="nil"/>
              <w:bottom w:val="nil"/>
              <w:right w:val="nil"/>
            </w:tcBorders>
            <w:shd w:val="clear" w:color="auto" w:fill="auto"/>
            <w:vAlign w:val="center"/>
            <w:hideMark/>
          </w:tcPr>
          <w:p w14:paraId="717A5826"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163</w:t>
            </w:r>
          </w:p>
        </w:tc>
        <w:tc>
          <w:tcPr>
            <w:tcW w:w="574" w:type="pct"/>
            <w:tcBorders>
              <w:top w:val="nil"/>
              <w:left w:val="nil"/>
              <w:bottom w:val="nil"/>
              <w:right w:val="nil"/>
            </w:tcBorders>
            <w:shd w:val="clear" w:color="auto" w:fill="auto"/>
            <w:vAlign w:val="center"/>
            <w:hideMark/>
          </w:tcPr>
          <w:p w14:paraId="7D94A030"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 06/2017</w:t>
            </w:r>
          </w:p>
        </w:tc>
        <w:tc>
          <w:tcPr>
            <w:tcW w:w="575" w:type="pct"/>
            <w:tcBorders>
              <w:top w:val="nil"/>
              <w:left w:val="nil"/>
              <w:bottom w:val="nil"/>
              <w:right w:val="nil"/>
            </w:tcBorders>
            <w:shd w:val="clear" w:color="auto" w:fill="auto"/>
            <w:vAlign w:val="center"/>
            <w:hideMark/>
          </w:tcPr>
          <w:p w14:paraId="49D25157"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 - neaktuálna</w:t>
            </w:r>
          </w:p>
        </w:tc>
        <w:tc>
          <w:tcPr>
            <w:tcW w:w="358" w:type="pct"/>
            <w:tcBorders>
              <w:top w:val="nil"/>
              <w:left w:val="nil"/>
              <w:bottom w:val="nil"/>
              <w:right w:val="nil"/>
            </w:tcBorders>
            <w:shd w:val="clear" w:color="auto" w:fill="auto"/>
            <w:vAlign w:val="bottom"/>
            <w:hideMark/>
          </w:tcPr>
          <w:p w14:paraId="248752D8" w14:textId="77777777" w:rsidR="00CB16AA" w:rsidRPr="00666914" w:rsidRDefault="00CB16AA" w:rsidP="00985E7A">
            <w:pPr>
              <w:spacing w:after="0"/>
              <w:jc w:val="center"/>
              <w:rPr>
                <w:rFonts w:eastAsia="Times New Roman" w:cs="Calibri"/>
                <w:color w:val="000000"/>
                <w:sz w:val="16"/>
                <w:szCs w:val="16"/>
                <w:lang w:eastAsia="sk-SK"/>
              </w:rPr>
            </w:pPr>
          </w:p>
        </w:tc>
        <w:tc>
          <w:tcPr>
            <w:tcW w:w="627" w:type="pct"/>
            <w:tcBorders>
              <w:top w:val="nil"/>
              <w:left w:val="nil"/>
              <w:bottom w:val="nil"/>
              <w:right w:val="nil"/>
            </w:tcBorders>
            <w:shd w:val="clear" w:color="auto" w:fill="auto"/>
            <w:vAlign w:val="bottom"/>
            <w:hideMark/>
          </w:tcPr>
          <w:p w14:paraId="7681F2F2" w14:textId="77777777" w:rsidR="00CB16AA" w:rsidRPr="00666914" w:rsidRDefault="00CB16AA" w:rsidP="00985E7A">
            <w:pPr>
              <w:spacing w:after="0"/>
              <w:jc w:val="center"/>
              <w:rPr>
                <w:rFonts w:eastAsia="Times New Roman"/>
                <w:sz w:val="16"/>
                <w:szCs w:val="16"/>
                <w:lang w:eastAsia="sk-SK"/>
              </w:rPr>
            </w:pPr>
          </w:p>
        </w:tc>
        <w:tc>
          <w:tcPr>
            <w:tcW w:w="641" w:type="pct"/>
            <w:gridSpan w:val="2"/>
            <w:tcBorders>
              <w:top w:val="nil"/>
              <w:left w:val="nil"/>
              <w:bottom w:val="nil"/>
              <w:right w:val="nil"/>
            </w:tcBorders>
            <w:shd w:val="clear" w:color="auto" w:fill="auto"/>
            <w:vAlign w:val="center"/>
            <w:hideMark/>
          </w:tcPr>
          <w:p w14:paraId="72521CE1" w14:textId="77777777" w:rsidR="00CB16AA" w:rsidRPr="00666914" w:rsidRDefault="00CB16AA" w:rsidP="00985E7A">
            <w:pPr>
              <w:spacing w:after="0"/>
              <w:jc w:val="center"/>
              <w:rPr>
                <w:rFonts w:eastAsia="Times New Roman"/>
                <w:sz w:val="16"/>
                <w:szCs w:val="16"/>
                <w:lang w:eastAsia="sk-SK"/>
              </w:rPr>
            </w:pPr>
          </w:p>
        </w:tc>
      </w:tr>
      <w:tr w:rsidR="00CB16AA" w:rsidRPr="00666914" w14:paraId="5876666F" w14:textId="77777777" w:rsidTr="00315988">
        <w:trPr>
          <w:trHeight w:val="520"/>
        </w:trPr>
        <w:tc>
          <w:tcPr>
            <w:tcW w:w="454" w:type="pct"/>
            <w:tcBorders>
              <w:top w:val="nil"/>
              <w:left w:val="nil"/>
              <w:bottom w:val="nil"/>
              <w:right w:val="nil"/>
            </w:tcBorders>
            <w:shd w:val="clear" w:color="auto" w:fill="auto"/>
            <w:vAlign w:val="center"/>
            <w:hideMark/>
          </w:tcPr>
          <w:p w14:paraId="2F88A586"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NDS</w:t>
            </w:r>
          </w:p>
        </w:tc>
        <w:tc>
          <w:tcPr>
            <w:tcW w:w="1341" w:type="pct"/>
            <w:tcBorders>
              <w:top w:val="nil"/>
              <w:left w:val="nil"/>
              <w:bottom w:val="nil"/>
              <w:right w:val="nil"/>
            </w:tcBorders>
            <w:shd w:val="clear" w:color="auto" w:fill="auto"/>
            <w:vAlign w:val="center"/>
            <w:hideMark/>
          </w:tcPr>
          <w:p w14:paraId="2842CD50"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R1 Korytnica – Liptovská Osada</w:t>
            </w:r>
          </w:p>
        </w:tc>
        <w:tc>
          <w:tcPr>
            <w:tcW w:w="430" w:type="pct"/>
            <w:tcBorders>
              <w:top w:val="nil"/>
              <w:left w:val="nil"/>
              <w:bottom w:val="nil"/>
              <w:right w:val="nil"/>
            </w:tcBorders>
            <w:shd w:val="clear" w:color="auto" w:fill="auto"/>
            <w:vAlign w:val="center"/>
            <w:hideMark/>
          </w:tcPr>
          <w:p w14:paraId="25CB426B"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406</w:t>
            </w:r>
          </w:p>
        </w:tc>
        <w:tc>
          <w:tcPr>
            <w:tcW w:w="574" w:type="pct"/>
            <w:tcBorders>
              <w:top w:val="nil"/>
              <w:left w:val="nil"/>
              <w:bottom w:val="nil"/>
              <w:right w:val="nil"/>
            </w:tcBorders>
            <w:shd w:val="clear" w:color="auto" w:fill="auto"/>
            <w:vAlign w:val="center"/>
            <w:hideMark/>
          </w:tcPr>
          <w:p w14:paraId="01BFB9DF"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 06/2017</w:t>
            </w:r>
          </w:p>
        </w:tc>
        <w:tc>
          <w:tcPr>
            <w:tcW w:w="575" w:type="pct"/>
            <w:tcBorders>
              <w:top w:val="nil"/>
              <w:left w:val="nil"/>
              <w:bottom w:val="nil"/>
              <w:right w:val="nil"/>
            </w:tcBorders>
            <w:shd w:val="clear" w:color="auto" w:fill="auto"/>
            <w:vAlign w:val="center"/>
            <w:hideMark/>
          </w:tcPr>
          <w:p w14:paraId="334A5FED"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 - neaktuálna</w:t>
            </w:r>
          </w:p>
        </w:tc>
        <w:tc>
          <w:tcPr>
            <w:tcW w:w="358" w:type="pct"/>
            <w:tcBorders>
              <w:top w:val="nil"/>
              <w:left w:val="nil"/>
              <w:bottom w:val="nil"/>
              <w:right w:val="nil"/>
            </w:tcBorders>
            <w:shd w:val="clear" w:color="auto" w:fill="auto"/>
            <w:vAlign w:val="bottom"/>
            <w:hideMark/>
          </w:tcPr>
          <w:p w14:paraId="474EDE9E" w14:textId="77777777" w:rsidR="00CB16AA" w:rsidRPr="00666914" w:rsidRDefault="00CB16AA" w:rsidP="00985E7A">
            <w:pPr>
              <w:spacing w:after="0"/>
              <w:jc w:val="center"/>
              <w:rPr>
                <w:rFonts w:eastAsia="Times New Roman" w:cs="Calibri"/>
                <w:color w:val="000000"/>
                <w:sz w:val="16"/>
                <w:szCs w:val="16"/>
                <w:lang w:eastAsia="sk-SK"/>
              </w:rPr>
            </w:pPr>
          </w:p>
        </w:tc>
        <w:tc>
          <w:tcPr>
            <w:tcW w:w="627" w:type="pct"/>
            <w:tcBorders>
              <w:top w:val="nil"/>
              <w:left w:val="nil"/>
              <w:bottom w:val="nil"/>
              <w:right w:val="nil"/>
            </w:tcBorders>
            <w:shd w:val="clear" w:color="auto" w:fill="auto"/>
            <w:vAlign w:val="bottom"/>
            <w:hideMark/>
          </w:tcPr>
          <w:p w14:paraId="37BF23DF" w14:textId="77777777" w:rsidR="00CB16AA" w:rsidRPr="00666914" w:rsidRDefault="00CB16AA" w:rsidP="00985E7A">
            <w:pPr>
              <w:spacing w:after="0"/>
              <w:jc w:val="center"/>
              <w:rPr>
                <w:rFonts w:eastAsia="Times New Roman"/>
                <w:sz w:val="16"/>
                <w:szCs w:val="16"/>
                <w:lang w:eastAsia="sk-SK"/>
              </w:rPr>
            </w:pPr>
          </w:p>
        </w:tc>
        <w:tc>
          <w:tcPr>
            <w:tcW w:w="641" w:type="pct"/>
            <w:gridSpan w:val="2"/>
            <w:tcBorders>
              <w:top w:val="nil"/>
              <w:left w:val="nil"/>
              <w:bottom w:val="nil"/>
              <w:right w:val="nil"/>
            </w:tcBorders>
            <w:shd w:val="clear" w:color="auto" w:fill="auto"/>
            <w:vAlign w:val="center"/>
            <w:hideMark/>
          </w:tcPr>
          <w:p w14:paraId="3ACFFF00" w14:textId="77777777" w:rsidR="00CB16AA" w:rsidRPr="00666914" w:rsidRDefault="00CB16AA" w:rsidP="00985E7A">
            <w:pPr>
              <w:spacing w:after="0"/>
              <w:jc w:val="center"/>
              <w:rPr>
                <w:rFonts w:eastAsia="Times New Roman"/>
                <w:sz w:val="16"/>
                <w:szCs w:val="16"/>
                <w:lang w:eastAsia="sk-SK"/>
              </w:rPr>
            </w:pPr>
          </w:p>
        </w:tc>
      </w:tr>
      <w:tr w:rsidR="00CB16AA" w:rsidRPr="00666914" w14:paraId="392A86B7" w14:textId="77777777" w:rsidTr="00315988">
        <w:trPr>
          <w:trHeight w:val="520"/>
        </w:trPr>
        <w:tc>
          <w:tcPr>
            <w:tcW w:w="454" w:type="pct"/>
            <w:tcBorders>
              <w:top w:val="nil"/>
              <w:left w:val="nil"/>
              <w:bottom w:val="nil"/>
              <w:right w:val="nil"/>
            </w:tcBorders>
            <w:shd w:val="clear" w:color="auto" w:fill="auto"/>
            <w:vAlign w:val="center"/>
            <w:hideMark/>
          </w:tcPr>
          <w:p w14:paraId="51449C72"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NDS</w:t>
            </w:r>
          </w:p>
        </w:tc>
        <w:tc>
          <w:tcPr>
            <w:tcW w:w="1341" w:type="pct"/>
            <w:tcBorders>
              <w:top w:val="nil"/>
              <w:left w:val="nil"/>
              <w:bottom w:val="nil"/>
              <w:right w:val="nil"/>
            </w:tcBorders>
            <w:shd w:val="clear" w:color="auto" w:fill="auto"/>
            <w:vAlign w:val="center"/>
            <w:hideMark/>
          </w:tcPr>
          <w:p w14:paraId="50329F60"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R1 Liptovská Osada - Ružomberok Juh</w:t>
            </w:r>
          </w:p>
        </w:tc>
        <w:tc>
          <w:tcPr>
            <w:tcW w:w="430" w:type="pct"/>
            <w:tcBorders>
              <w:top w:val="nil"/>
              <w:left w:val="nil"/>
              <w:bottom w:val="nil"/>
              <w:right w:val="nil"/>
            </w:tcBorders>
            <w:shd w:val="clear" w:color="auto" w:fill="auto"/>
            <w:vAlign w:val="center"/>
            <w:hideMark/>
          </w:tcPr>
          <w:p w14:paraId="4118F72C"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340</w:t>
            </w:r>
          </w:p>
        </w:tc>
        <w:tc>
          <w:tcPr>
            <w:tcW w:w="574" w:type="pct"/>
            <w:tcBorders>
              <w:top w:val="nil"/>
              <w:left w:val="nil"/>
              <w:bottom w:val="nil"/>
              <w:right w:val="nil"/>
            </w:tcBorders>
            <w:shd w:val="clear" w:color="auto" w:fill="auto"/>
            <w:vAlign w:val="center"/>
            <w:hideMark/>
          </w:tcPr>
          <w:p w14:paraId="75CF2FE4"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 06/2017</w:t>
            </w:r>
          </w:p>
        </w:tc>
        <w:tc>
          <w:tcPr>
            <w:tcW w:w="575" w:type="pct"/>
            <w:tcBorders>
              <w:top w:val="nil"/>
              <w:left w:val="nil"/>
              <w:bottom w:val="nil"/>
              <w:right w:val="nil"/>
            </w:tcBorders>
            <w:shd w:val="clear" w:color="auto" w:fill="auto"/>
            <w:vAlign w:val="center"/>
            <w:hideMark/>
          </w:tcPr>
          <w:p w14:paraId="286D4706"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 - neaktuálna</w:t>
            </w:r>
          </w:p>
        </w:tc>
        <w:tc>
          <w:tcPr>
            <w:tcW w:w="358" w:type="pct"/>
            <w:tcBorders>
              <w:top w:val="nil"/>
              <w:left w:val="nil"/>
              <w:bottom w:val="nil"/>
              <w:right w:val="nil"/>
            </w:tcBorders>
            <w:shd w:val="clear" w:color="auto" w:fill="auto"/>
            <w:vAlign w:val="bottom"/>
            <w:hideMark/>
          </w:tcPr>
          <w:p w14:paraId="034A7B23" w14:textId="77777777" w:rsidR="00CB16AA" w:rsidRPr="00666914" w:rsidRDefault="00CB16AA" w:rsidP="00985E7A">
            <w:pPr>
              <w:spacing w:after="0"/>
              <w:jc w:val="center"/>
              <w:rPr>
                <w:rFonts w:eastAsia="Times New Roman" w:cs="Calibri"/>
                <w:color w:val="000000"/>
                <w:sz w:val="16"/>
                <w:szCs w:val="16"/>
                <w:lang w:eastAsia="sk-SK"/>
              </w:rPr>
            </w:pPr>
          </w:p>
        </w:tc>
        <w:tc>
          <w:tcPr>
            <w:tcW w:w="627" w:type="pct"/>
            <w:tcBorders>
              <w:top w:val="nil"/>
              <w:left w:val="nil"/>
              <w:bottom w:val="nil"/>
              <w:right w:val="nil"/>
            </w:tcBorders>
            <w:shd w:val="clear" w:color="auto" w:fill="auto"/>
            <w:vAlign w:val="bottom"/>
            <w:hideMark/>
          </w:tcPr>
          <w:p w14:paraId="5B62ABE7" w14:textId="77777777" w:rsidR="00CB16AA" w:rsidRPr="00666914" w:rsidRDefault="00CB16AA" w:rsidP="00985E7A">
            <w:pPr>
              <w:spacing w:after="0"/>
              <w:jc w:val="center"/>
              <w:rPr>
                <w:rFonts w:eastAsia="Times New Roman"/>
                <w:sz w:val="16"/>
                <w:szCs w:val="16"/>
                <w:lang w:eastAsia="sk-SK"/>
              </w:rPr>
            </w:pPr>
          </w:p>
        </w:tc>
        <w:tc>
          <w:tcPr>
            <w:tcW w:w="641" w:type="pct"/>
            <w:gridSpan w:val="2"/>
            <w:tcBorders>
              <w:top w:val="nil"/>
              <w:left w:val="nil"/>
              <w:bottom w:val="nil"/>
              <w:right w:val="nil"/>
            </w:tcBorders>
            <w:shd w:val="clear" w:color="auto" w:fill="auto"/>
            <w:vAlign w:val="center"/>
            <w:hideMark/>
          </w:tcPr>
          <w:p w14:paraId="7369B3FB" w14:textId="77777777" w:rsidR="00CB16AA" w:rsidRPr="00666914" w:rsidRDefault="00CB16AA" w:rsidP="00985E7A">
            <w:pPr>
              <w:spacing w:after="0"/>
              <w:jc w:val="center"/>
              <w:rPr>
                <w:rFonts w:eastAsia="Times New Roman"/>
                <w:sz w:val="16"/>
                <w:szCs w:val="16"/>
                <w:lang w:eastAsia="sk-SK"/>
              </w:rPr>
            </w:pPr>
          </w:p>
        </w:tc>
      </w:tr>
      <w:tr w:rsidR="00CB16AA" w:rsidRPr="00666914" w14:paraId="712236B2" w14:textId="77777777" w:rsidTr="00315988">
        <w:trPr>
          <w:trHeight w:val="520"/>
        </w:trPr>
        <w:tc>
          <w:tcPr>
            <w:tcW w:w="454" w:type="pct"/>
            <w:tcBorders>
              <w:top w:val="nil"/>
              <w:left w:val="nil"/>
              <w:bottom w:val="nil"/>
              <w:right w:val="nil"/>
            </w:tcBorders>
            <w:shd w:val="clear" w:color="auto" w:fill="auto"/>
            <w:vAlign w:val="center"/>
            <w:hideMark/>
          </w:tcPr>
          <w:p w14:paraId="2F7EEEED"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NDS</w:t>
            </w:r>
          </w:p>
        </w:tc>
        <w:tc>
          <w:tcPr>
            <w:tcW w:w="1341" w:type="pct"/>
            <w:tcBorders>
              <w:top w:val="nil"/>
              <w:left w:val="nil"/>
              <w:bottom w:val="nil"/>
              <w:right w:val="nil"/>
            </w:tcBorders>
            <w:shd w:val="clear" w:color="auto" w:fill="auto"/>
            <w:vAlign w:val="center"/>
            <w:hideMark/>
          </w:tcPr>
          <w:p w14:paraId="33A0C8C6"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R1 Ružomberok Juh – križovatka I/18</w:t>
            </w:r>
          </w:p>
        </w:tc>
        <w:tc>
          <w:tcPr>
            <w:tcW w:w="430" w:type="pct"/>
            <w:tcBorders>
              <w:top w:val="nil"/>
              <w:left w:val="nil"/>
              <w:bottom w:val="nil"/>
              <w:right w:val="nil"/>
            </w:tcBorders>
            <w:shd w:val="clear" w:color="auto" w:fill="auto"/>
            <w:vAlign w:val="center"/>
            <w:hideMark/>
          </w:tcPr>
          <w:p w14:paraId="3A432321"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61</w:t>
            </w:r>
          </w:p>
        </w:tc>
        <w:tc>
          <w:tcPr>
            <w:tcW w:w="574" w:type="pct"/>
            <w:tcBorders>
              <w:top w:val="nil"/>
              <w:left w:val="nil"/>
              <w:bottom w:val="nil"/>
              <w:right w:val="nil"/>
            </w:tcBorders>
            <w:shd w:val="clear" w:color="auto" w:fill="auto"/>
            <w:vAlign w:val="center"/>
            <w:hideMark/>
          </w:tcPr>
          <w:p w14:paraId="3CA7829A"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 06/2017</w:t>
            </w:r>
          </w:p>
        </w:tc>
        <w:tc>
          <w:tcPr>
            <w:tcW w:w="575" w:type="pct"/>
            <w:tcBorders>
              <w:top w:val="nil"/>
              <w:left w:val="nil"/>
              <w:bottom w:val="nil"/>
              <w:right w:val="nil"/>
            </w:tcBorders>
            <w:shd w:val="clear" w:color="auto" w:fill="auto"/>
            <w:vAlign w:val="center"/>
            <w:hideMark/>
          </w:tcPr>
          <w:p w14:paraId="014A3114"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 - neaktuálna</w:t>
            </w:r>
          </w:p>
        </w:tc>
        <w:tc>
          <w:tcPr>
            <w:tcW w:w="358" w:type="pct"/>
            <w:tcBorders>
              <w:top w:val="nil"/>
              <w:left w:val="nil"/>
              <w:bottom w:val="nil"/>
              <w:right w:val="nil"/>
            </w:tcBorders>
            <w:shd w:val="clear" w:color="auto" w:fill="auto"/>
            <w:vAlign w:val="bottom"/>
            <w:hideMark/>
          </w:tcPr>
          <w:p w14:paraId="16498BA8" w14:textId="77777777" w:rsidR="00CB16AA" w:rsidRPr="00666914" w:rsidRDefault="00CB16AA" w:rsidP="00985E7A">
            <w:pPr>
              <w:spacing w:after="0"/>
              <w:jc w:val="center"/>
              <w:rPr>
                <w:rFonts w:eastAsia="Times New Roman" w:cs="Calibri"/>
                <w:color w:val="000000"/>
                <w:sz w:val="16"/>
                <w:szCs w:val="16"/>
                <w:lang w:eastAsia="sk-SK"/>
              </w:rPr>
            </w:pPr>
          </w:p>
        </w:tc>
        <w:tc>
          <w:tcPr>
            <w:tcW w:w="627" w:type="pct"/>
            <w:tcBorders>
              <w:top w:val="nil"/>
              <w:left w:val="nil"/>
              <w:bottom w:val="nil"/>
              <w:right w:val="nil"/>
            </w:tcBorders>
            <w:shd w:val="clear" w:color="auto" w:fill="auto"/>
            <w:vAlign w:val="bottom"/>
            <w:hideMark/>
          </w:tcPr>
          <w:p w14:paraId="1E7F7923" w14:textId="77777777" w:rsidR="00CB16AA" w:rsidRPr="00666914" w:rsidRDefault="00CB16AA" w:rsidP="00985E7A">
            <w:pPr>
              <w:spacing w:after="0"/>
              <w:jc w:val="center"/>
              <w:rPr>
                <w:rFonts w:eastAsia="Times New Roman"/>
                <w:sz w:val="16"/>
                <w:szCs w:val="16"/>
                <w:lang w:eastAsia="sk-SK"/>
              </w:rPr>
            </w:pPr>
          </w:p>
        </w:tc>
        <w:tc>
          <w:tcPr>
            <w:tcW w:w="641" w:type="pct"/>
            <w:gridSpan w:val="2"/>
            <w:tcBorders>
              <w:top w:val="nil"/>
              <w:left w:val="nil"/>
              <w:bottom w:val="nil"/>
              <w:right w:val="nil"/>
            </w:tcBorders>
            <w:shd w:val="clear" w:color="auto" w:fill="auto"/>
            <w:vAlign w:val="center"/>
            <w:hideMark/>
          </w:tcPr>
          <w:p w14:paraId="1B56EF2C" w14:textId="77777777" w:rsidR="00CB16AA" w:rsidRPr="00666914" w:rsidRDefault="00CB16AA" w:rsidP="00985E7A">
            <w:pPr>
              <w:spacing w:after="0"/>
              <w:jc w:val="center"/>
              <w:rPr>
                <w:rFonts w:eastAsia="Times New Roman"/>
                <w:sz w:val="16"/>
                <w:szCs w:val="16"/>
                <w:lang w:eastAsia="sk-SK"/>
              </w:rPr>
            </w:pPr>
          </w:p>
        </w:tc>
      </w:tr>
      <w:tr w:rsidR="00CB16AA" w:rsidRPr="00666914" w14:paraId="1137FE8E" w14:textId="77777777" w:rsidTr="00315988">
        <w:trPr>
          <w:trHeight w:val="520"/>
        </w:trPr>
        <w:tc>
          <w:tcPr>
            <w:tcW w:w="454" w:type="pct"/>
            <w:tcBorders>
              <w:top w:val="nil"/>
              <w:left w:val="nil"/>
              <w:bottom w:val="nil"/>
              <w:right w:val="nil"/>
            </w:tcBorders>
            <w:shd w:val="clear" w:color="auto" w:fill="auto"/>
            <w:vAlign w:val="center"/>
            <w:hideMark/>
          </w:tcPr>
          <w:p w14:paraId="48994CB4"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NDS</w:t>
            </w:r>
          </w:p>
        </w:tc>
        <w:tc>
          <w:tcPr>
            <w:tcW w:w="1341" w:type="pct"/>
            <w:tcBorders>
              <w:top w:val="nil"/>
              <w:left w:val="nil"/>
              <w:bottom w:val="nil"/>
              <w:right w:val="nil"/>
            </w:tcBorders>
            <w:shd w:val="clear" w:color="auto" w:fill="auto"/>
            <w:vAlign w:val="center"/>
            <w:hideMark/>
          </w:tcPr>
          <w:p w14:paraId="3C206531"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R1 Ružomberok križ. I/18 - križ. D1</w:t>
            </w:r>
          </w:p>
        </w:tc>
        <w:tc>
          <w:tcPr>
            <w:tcW w:w="430" w:type="pct"/>
            <w:tcBorders>
              <w:top w:val="nil"/>
              <w:left w:val="nil"/>
              <w:bottom w:val="nil"/>
              <w:right w:val="nil"/>
            </w:tcBorders>
            <w:shd w:val="clear" w:color="auto" w:fill="auto"/>
            <w:vAlign w:val="center"/>
            <w:hideMark/>
          </w:tcPr>
          <w:p w14:paraId="41D6CD6F"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108</w:t>
            </w:r>
          </w:p>
        </w:tc>
        <w:tc>
          <w:tcPr>
            <w:tcW w:w="574" w:type="pct"/>
            <w:tcBorders>
              <w:top w:val="nil"/>
              <w:left w:val="nil"/>
              <w:bottom w:val="nil"/>
              <w:right w:val="nil"/>
            </w:tcBorders>
            <w:shd w:val="clear" w:color="auto" w:fill="auto"/>
            <w:vAlign w:val="center"/>
            <w:hideMark/>
          </w:tcPr>
          <w:p w14:paraId="689403D9"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 06/2017</w:t>
            </w:r>
          </w:p>
        </w:tc>
        <w:tc>
          <w:tcPr>
            <w:tcW w:w="575" w:type="pct"/>
            <w:tcBorders>
              <w:top w:val="nil"/>
              <w:left w:val="nil"/>
              <w:bottom w:val="nil"/>
              <w:right w:val="nil"/>
            </w:tcBorders>
            <w:shd w:val="clear" w:color="auto" w:fill="auto"/>
            <w:vAlign w:val="center"/>
            <w:hideMark/>
          </w:tcPr>
          <w:p w14:paraId="11648496"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 - neaktuálna</w:t>
            </w:r>
          </w:p>
        </w:tc>
        <w:tc>
          <w:tcPr>
            <w:tcW w:w="358" w:type="pct"/>
            <w:tcBorders>
              <w:top w:val="nil"/>
              <w:left w:val="nil"/>
              <w:bottom w:val="nil"/>
              <w:right w:val="nil"/>
            </w:tcBorders>
            <w:shd w:val="clear" w:color="auto" w:fill="auto"/>
            <w:vAlign w:val="bottom"/>
            <w:hideMark/>
          </w:tcPr>
          <w:p w14:paraId="583F1F6B" w14:textId="77777777" w:rsidR="00CB16AA" w:rsidRPr="00666914" w:rsidRDefault="00CB16AA" w:rsidP="00985E7A">
            <w:pPr>
              <w:spacing w:after="0"/>
              <w:jc w:val="center"/>
              <w:rPr>
                <w:rFonts w:eastAsia="Times New Roman" w:cs="Calibri"/>
                <w:color w:val="000000"/>
                <w:sz w:val="16"/>
                <w:szCs w:val="16"/>
                <w:lang w:eastAsia="sk-SK"/>
              </w:rPr>
            </w:pPr>
          </w:p>
        </w:tc>
        <w:tc>
          <w:tcPr>
            <w:tcW w:w="627" w:type="pct"/>
            <w:tcBorders>
              <w:top w:val="nil"/>
              <w:left w:val="nil"/>
              <w:bottom w:val="nil"/>
              <w:right w:val="nil"/>
            </w:tcBorders>
            <w:shd w:val="clear" w:color="auto" w:fill="auto"/>
            <w:vAlign w:val="bottom"/>
            <w:hideMark/>
          </w:tcPr>
          <w:p w14:paraId="08A53D2B" w14:textId="77777777" w:rsidR="00CB16AA" w:rsidRPr="00666914" w:rsidRDefault="00CB16AA" w:rsidP="00985E7A">
            <w:pPr>
              <w:spacing w:after="0"/>
              <w:jc w:val="center"/>
              <w:rPr>
                <w:rFonts w:eastAsia="Times New Roman"/>
                <w:sz w:val="16"/>
                <w:szCs w:val="16"/>
                <w:lang w:eastAsia="sk-SK"/>
              </w:rPr>
            </w:pPr>
          </w:p>
        </w:tc>
        <w:tc>
          <w:tcPr>
            <w:tcW w:w="641" w:type="pct"/>
            <w:gridSpan w:val="2"/>
            <w:tcBorders>
              <w:top w:val="nil"/>
              <w:left w:val="nil"/>
              <w:bottom w:val="nil"/>
              <w:right w:val="nil"/>
            </w:tcBorders>
            <w:shd w:val="clear" w:color="auto" w:fill="auto"/>
            <w:vAlign w:val="center"/>
            <w:hideMark/>
          </w:tcPr>
          <w:p w14:paraId="4628404F" w14:textId="77777777" w:rsidR="00CB16AA" w:rsidRPr="00666914" w:rsidRDefault="00CB16AA" w:rsidP="00985E7A">
            <w:pPr>
              <w:spacing w:after="0"/>
              <w:jc w:val="center"/>
              <w:rPr>
                <w:rFonts w:eastAsia="Times New Roman"/>
                <w:sz w:val="16"/>
                <w:szCs w:val="16"/>
                <w:lang w:eastAsia="sk-SK"/>
              </w:rPr>
            </w:pPr>
          </w:p>
        </w:tc>
      </w:tr>
      <w:tr w:rsidR="00CB16AA" w:rsidRPr="00666914" w14:paraId="6AC14335" w14:textId="77777777" w:rsidTr="00315988">
        <w:trPr>
          <w:trHeight w:val="520"/>
        </w:trPr>
        <w:tc>
          <w:tcPr>
            <w:tcW w:w="454" w:type="pct"/>
            <w:tcBorders>
              <w:top w:val="nil"/>
              <w:left w:val="nil"/>
              <w:bottom w:val="nil"/>
              <w:right w:val="nil"/>
            </w:tcBorders>
            <w:shd w:val="clear" w:color="auto" w:fill="auto"/>
            <w:vAlign w:val="center"/>
            <w:hideMark/>
          </w:tcPr>
          <w:p w14:paraId="2C2D379F"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NDS</w:t>
            </w:r>
          </w:p>
        </w:tc>
        <w:tc>
          <w:tcPr>
            <w:tcW w:w="1341" w:type="pct"/>
            <w:tcBorders>
              <w:top w:val="nil"/>
              <w:left w:val="nil"/>
              <w:bottom w:val="nil"/>
              <w:right w:val="nil"/>
            </w:tcBorders>
            <w:shd w:val="clear" w:color="auto" w:fill="auto"/>
            <w:vAlign w:val="center"/>
            <w:hideMark/>
          </w:tcPr>
          <w:p w14:paraId="5DBBA4C7"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R1 Slovenská Ľupča – Korytnica</w:t>
            </w:r>
          </w:p>
        </w:tc>
        <w:tc>
          <w:tcPr>
            <w:tcW w:w="430" w:type="pct"/>
            <w:tcBorders>
              <w:top w:val="nil"/>
              <w:left w:val="nil"/>
              <w:bottom w:val="nil"/>
              <w:right w:val="nil"/>
            </w:tcBorders>
            <w:shd w:val="clear" w:color="auto" w:fill="auto"/>
            <w:vAlign w:val="center"/>
            <w:hideMark/>
          </w:tcPr>
          <w:p w14:paraId="02AD5438"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785</w:t>
            </w:r>
          </w:p>
        </w:tc>
        <w:tc>
          <w:tcPr>
            <w:tcW w:w="574" w:type="pct"/>
            <w:tcBorders>
              <w:top w:val="nil"/>
              <w:left w:val="nil"/>
              <w:bottom w:val="nil"/>
              <w:right w:val="nil"/>
            </w:tcBorders>
            <w:shd w:val="clear" w:color="auto" w:fill="auto"/>
            <w:vAlign w:val="center"/>
            <w:hideMark/>
          </w:tcPr>
          <w:p w14:paraId="4E84875D"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 06/2017</w:t>
            </w:r>
          </w:p>
        </w:tc>
        <w:tc>
          <w:tcPr>
            <w:tcW w:w="575" w:type="pct"/>
            <w:tcBorders>
              <w:top w:val="nil"/>
              <w:left w:val="nil"/>
              <w:bottom w:val="nil"/>
              <w:right w:val="nil"/>
            </w:tcBorders>
            <w:shd w:val="clear" w:color="auto" w:fill="auto"/>
            <w:vAlign w:val="center"/>
            <w:hideMark/>
          </w:tcPr>
          <w:p w14:paraId="4D49DC45"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 - neaktuálna</w:t>
            </w:r>
          </w:p>
        </w:tc>
        <w:tc>
          <w:tcPr>
            <w:tcW w:w="358" w:type="pct"/>
            <w:tcBorders>
              <w:top w:val="nil"/>
              <w:left w:val="nil"/>
              <w:bottom w:val="nil"/>
              <w:right w:val="nil"/>
            </w:tcBorders>
            <w:shd w:val="clear" w:color="auto" w:fill="auto"/>
            <w:vAlign w:val="bottom"/>
            <w:hideMark/>
          </w:tcPr>
          <w:p w14:paraId="2594199C" w14:textId="77777777" w:rsidR="00CB16AA" w:rsidRPr="00666914" w:rsidRDefault="00CB16AA" w:rsidP="00985E7A">
            <w:pPr>
              <w:spacing w:after="0"/>
              <w:jc w:val="center"/>
              <w:rPr>
                <w:rFonts w:eastAsia="Times New Roman" w:cs="Calibri"/>
                <w:color w:val="000000"/>
                <w:sz w:val="16"/>
                <w:szCs w:val="16"/>
                <w:lang w:eastAsia="sk-SK"/>
              </w:rPr>
            </w:pPr>
          </w:p>
        </w:tc>
        <w:tc>
          <w:tcPr>
            <w:tcW w:w="627" w:type="pct"/>
            <w:tcBorders>
              <w:top w:val="nil"/>
              <w:left w:val="nil"/>
              <w:bottom w:val="nil"/>
              <w:right w:val="nil"/>
            </w:tcBorders>
            <w:shd w:val="clear" w:color="auto" w:fill="auto"/>
            <w:vAlign w:val="bottom"/>
            <w:hideMark/>
          </w:tcPr>
          <w:p w14:paraId="3DA747A5" w14:textId="77777777" w:rsidR="00CB16AA" w:rsidRPr="00666914" w:rsidRDefault="00CB16AA" w:rsidP="00985E7A">
            <w:pPr>
              <w:spacing w:after="0"/>
              <w:jc w:val="center"/>
              <w:rPr>
                <w:rFonts w:eastAsia="Times New Roman"/>
                <w:sz w:val="16"/>
                <w:szCs w:val="16"/>
                <w:lang w:eastAsia="sk-SK"/>
              </w:rPr>
            </w:pPr>
          </w:p>
        </w:tc>
        <w:tc>
          <w:tcPr>
            <w:tcW w:w="641" w:type="pct"/>
            <w:gridSpan w:val="2"/>
            <w:tcBorders>
              <w:top w:val="nil"/>
              <w:left w:val="nil"/>
              <w:bottom w:val="nil"/>
              <w:right w:val="nil"/>
            </w:tcBorders>
            <w:shd w:val="clear" w:color="auto" w:fill="auto"/>
            <w:vAlign w:val="center"/>
            <w:hideMark/>
          </w:tcPr>
          <w:p w14:paraId="557453D7" w14:textId="77777777" w:rsidR="00CB16AA" w:rsidRPr="00666914" w:rsidRDefault="00CB16AA" w:rsidP="00985E7A">
            <w:pPr>
              <w:spacing w:after="0"/>
              <w:jc w:val="center"/>
              <w:rPr>
                <w:rFonts w:eastAsia="Times New Roman"/>
                <w:sz w:val="16"/>
                <w:szCs w:val="16"/>
                <w:lang w:eastAsia="sk-SK"/>
              </w:rPr>
            </w:pPr>
          </w:p>
        </w:tc>
      </w:tr>
      <w:tr w:rsidR="00CB16AA" w:rsidRPr="00666914" w14:paraId="1F5A13C1" w14:textId="77777777" w:rsidTr="00315988">
        <w:trPr>
          <w:trHeight w:val="260"/>
        </w:trPr>
        <w:tc>
          <w:tcPr>
            <w:tcW w:w="454" w:type="pct"/>
            <w:tcBorders>
              <w:top w:val="nil"/>
              <w:left w:val="nil"/>
              <w:bottom w:val="nil"/>
              <w:right w:val="nil"/>
            </w:tcBorders>
            <w:shd w:val="clear" w:color="auto" w:fill="auto"/>
            <w:vAlign w:val="center"/>
            <w:hideMark/>
          </w:tcPr>
          <w:p w14:paraId="133C3BDF"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NDS</w:t>
            </w:r>
          </w:p>
        </w:tc>
        <w:tc>
          <w:tcPr>
            <w:tcW w:w="1341" w:type="pct"/>
            <w:tcBorders>
              <w:top w:val="nil"/>
              <w:left w:val="nil"/>
              <w:bottom w:val="nil"/>
              <w:right w:val="nil"/>
            </w:tcBorders>
            <w:shd w:val="clear" w:color="auto" w:fill="auto"/>
            <w:vAlign w:val="center"/>
            <w:hideMark/>
          </w:tcPr>
          <w:p w14:paraId="08D197E8"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R2 Zvolen obchvat</w:t>
            </w:r>
          </w:p>
        </w:tc>
        <w:tc>
          <w:tcPr>
            <w:tcW w:w="430" w:type="pct"/>
            <w:tcBorders>
              <w:top w:val="nil"/>
              <w:left w:val="nil"/>
              <w:bottom w:val="nil"/>
              <w:right w:val="nil"/>
            </w:tcBorders>
            <w:shd w:val="clear" w:color="auto" w:fill="auto"/>
            <w:vAlign w:val="center"/>
            <w:hideMark/>
          </w:tcPr>
          <w:p w14:paraId="6BBD541A"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305</w:t>
            </w:r>
          </w:p>
        </w:tc>
        <w:tc>
          <w:tcPr>
            <w:tcW w:w="574" w:type="pct"/>
            <w:tcBorders>
              <w:top w:val="nil"/>
              <w:left w:val="nil"/>
              <w:bottom w:val="nil"/>
              <w:right w:val="nil"/>
            </w:tcBorders>
            <w:shd w:val="clear" w:color="auto" w:fill="auto"/>
            <w:vAlign w:val="center"/>
            <w:hideMark/>
          </w:tcPr>
          <w:p w14:paraId="59506BD2"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08/2017</w:t>
            </w:r>
          </w:p>
        </w:tc>
        <w:tc>
          <w:tcPr>
            <w:tcW w:w="575" w:type="pct"/>
            <w:tcBorders>
              <w:top w:val="nil"/>
              <w:left w:val="nil"/>
              <w:bottom w:val="nil"/>
              <w:right w:val="nil"/>
            </w:tcBorders>
            <w:shd w:val="clear" w:color="auto" w:fill="auto"/>
            <w:vAlign w:val="center"/>
            <w:hideMark/>
          </w:tcPr>
          <w:p w14:paraId="7D453339"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w:t>
            </w:r>
          </w:p>
        </w:tc>
        <w:tc>
          <w:tcPr>
            <w:tcW w:w="358" w:type="pct"/>
            <w:tcBorders>
              <w:top w:val="nil"/>
              <w:left w:val="nil"/>
              <w:bottom w:val="nil"/>
              <w:right w:val="nil"/>
            </w:tcBorders>
            <w:shd w:val="clear" w:color="auto" w:fill="auto"/>
            <w:vAlign w:val="bottom"/>
            <w:hideMark/>
          </w:tcPr>
          <w:p w14:paraId="62CB0D0A" w14:textId="77777777" w:rsidR="00CB16AA" w:rsidRPr="00666914" w:rsidRDefault="00CB16AA" w:rsidP="00985E7A">
            <w:pPr>
              <w:spacing w:after="0"/>
              <w:jc w:val="center"/>
              <w:rPr>
                <w:rFonts w:eastAsia="Times New Roman" w:cs="Calibri"/>
                <w:color w:val="000000"/>
                <w:sz w:val="16"/>
                <w:szCs w:val="16"/>
                <w:lang w:eastAsia="sk-SK"/>
              </w:rPr>
            </w:pPr>
          </w:p>
        </w:tc>
        <w:tc>
          <w:tcPr>
            <w:tcW w:w="627" w:type="pct"/>
            <w:tcBorders>
              <w:top w:val="nil"/>
              <w:left w:val="nil"/>
              <w:bottom w:val="nil"/>
              <w:right w:val="nil"/>
            </w:tcBorders>
            <w:shd w:val="clear" w:color="auto" w:fill="auto"/>
            <w:vAlign w:val="bottom"/>
            <w:hideMark/>
          </w:tcPr>
          <w:p w14:paraId="22C011E0" w14:textId="77777777" w:rsidR="00CB16AA" w:rsidRPr="00666914" w:rsidRDefault="00CB16AA" w:rsidP="00985E7A">
            <w:pPr>
              <w:spacing w:after="0"/>
              <w:jc w:val="center"/>
              <w:rPr>
                <w:rFonts w:eastAsia="Times New Roman"/>
                <w:sz w:val="16"/>
                <w:szCs w:val="16"/>
                <w:lang w:eastAsia="sk-SK"/>
              </w:rPr>
            </w:pPr>
          </w:p>
        </w:tc>
        <w:tc>
          <w:tcPr>
            <w:tcW w:w="641" w:type="pct"/>
            <w:gridSpan w:val="2"/>
            <w:tcBorders>
              <w:top w:val="nil"/>
              <w:left w:val="nil"/>
              <w:bottom w:val="nil"/>
              <w:right w:val="nil"/>
            </w:tcBorders>
            <w:shd w:val="clear" w:color="auto" w:fill="auto"/>
            <w:vAlign w:val="center"/>
            <w:hideMark/>
          </w:tcPr>
          <w:p w14:paraId="3D7A7EAA" w14:textId="77777777" w:rsidR="00CB16AA" w:rsidRPr="00666914" w:rsidRDefault="00CB16AA" w:rsidP="00985E7A">
            <w:pPr>
              <w:spacing w:after="0"/>
              <w:jc w:val="center"/>
              <w:rPr>
                <w:rFonts w:eastAsia="Times New Roman"/>
                <w:sz w:val="16"/>
                <w:szCs w:val="16"/>
                <w:lang w:eastAsia="sk-SK"/>
              </w:rPr>
            </w:pPr>
          </w:p>
        </w:tc>
      </w:tr>
      <w:tr w:rsidR="00CB16AA" w:rsidRPr="00666914" w14:paraId="7D76E51C" w14:textId="77777777" w:rsidTr="00315988">
        <w:trPr>
          <w:trHeight w:val="1040"/>
        </w:trPr>
        <w:tc>
          <w:tcPr>
            <w:tcW w:w="454" w:type="pct"/>
            <w:tcBorders>
              <w:top w:val="nil"/>
              <w:left w:val="nil"/>
              <w:bottom w:val="nil"/>
              <w:right w:val="nil"/>
            </w:tcBorders>
            <w:shd w:val="clear" w:color="auto" w:fill="auto"/>
            <w:vAlign w:val="center"/>
            <w:hideMark/>
          </w:tcPr>
          <w:p w14:paraId="5DB49E57"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NDS</w:t>
            </w:r>
          </w:p>
        </w:tc>
        <w:tc>
          <w:tcPr>
            <w:tcW w:w="1341" w:type="pct"/>
            <w:tcBorders>
              <w:top w:val="nil"/>
              <w:left w:val="nil"/>
              <w:bottom w:val="nil"/>
              <w:right w:val="nil"/>
            </w:tcBorders>
            <w:shd w:val="clear" w:color="auto" w:fill="auto"/>
            <w:vAlign w:val="center"/>
            <w:hideMark/>
          </w:tcPr>
          <w:p w14:paraId="752B5787"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R2 Bátka – Figa</w:t>
            </w:r>
          </w:p>
        </w:tc>
        <w:tc>
          <w:tcPr>
            <w:tcW w:w="430" w:type="pct"/>
            <w:tcBorders>
              <w:top w:val="nil"/>
              <w:left w:val="nil"/>
              <w:bottom w:val="nil"/>
              <w:right w:val="nil"/>
            </w:tcBorders>
            <w:shd w:val="clear" w:color="auto" w:fill="auto"/>
            <w:vAlign w:val="center"/>
            <w:hideMark/>
          </w:tcPr>
          <w:p w14:paraId="1AC9D3C6"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74</w:t>
            </w:r>
          </w:p>
        </w:tc>
        <w:tc>
          <w:tcPr>
            <w:tcW w:w="574" w:type="pct"/>
            <w:tcBorders>
              <w:top w:val="nil"/>
              <w:left w:val="nil"/>
              <w:bottom w:val="nil"/>
              <w:right w:val="nil"/>
            </w:tcBorders>
            <w:shd w:val="clear" w:color="auto" w:fill="auto"/>
            <w:vAlign w:val="center"/>
            <w:hideMark/>
          </w:tcPr>
          <w:p w14:paraId="4BCE24FA"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 06/2017</w:t>
            </w:r>
          </w:p>
        </w:tc>
        <w:tc>
          <w:tcPr>
            <w:tcW w:w="575" w:type="pct"/>
            <w:tcBorders>
              <w:top w:val="nil"/>
              <w:left w:val="nil"/>
              <w:bottom w:val="nil"/>
              <w:right w:val="nil"/>
            </w:tcBorders>
            <w:shd w:val="clear" w:color="auto" w:fill="auto"/>
            <w:vAlign w:val="center"/>
            <w:hideMark/>
          </w:tcPr>
          <w:p w14:paraId="3E6D60B0"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DÚR, ŠU</w:t>
            </w:r>
          </w:p>
        </w:tc>
        <w:tc>
          <w:tcPr>
            <w:tcW w:w="358" w:type="pct"/>
            <w:tcBorders>
              <w:top w:val="nil"/>
              <w:left w:val="nil"/>
              <w:bottom w:val="nil"/>
              <w:right w:val="nil"/>
            </w:tcBorders>
            <w:shd w:val="clear" w:color="auto" w:fill="auto"/>
            <w:vAlign w:val="center"/>
            <w:hideMark/>
          </w:tcPr>
          <w:p w14:paraId="05231FED"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08/2017</w:t>
            </w:r>
          </w:p>
        </w:tc>
        <w:tc>
          <w:tcPr>
            <w:tcW w:w="627" w:type="pct"/>
            <w:tcBorders>
              <w:top w:val="nil"/>
              <w:left w:val="nil"/>
              <w:bottom w:val="nil"/>
              <w:right w:val="nil"/>
            </w:tcBorders>
            <w:shd w:val="clear" w:color="auto" w:fill="auto"/>
            <w:vAlign w:val="center"/>
            <w:hideMark/>
          </w:tcPr>
          <w:p w14:paraId="2F8C6E5D" w14:textId="77777777" w:rsidR="00CB16AA" w:rsidRPr="00666914" w:rsidRDefault="00CB16AA" w:rsidP="00985E7A">
            <w:pPr>
              <w:spacing w:after="0"/>
              <w:jc w:val="center"/>
              <w:rPr>
                <w:rFonts w:eastAsia="Times New Roman" w:cs="Calibri"/>
                <w:color w:val="000000"/>
                <w:sz w:val="16"/>
                <w:szCs w:val="16"/>
                <w:lang w:eastAsia="sk-SK"/>
              </w:rPr>
            </w:pPr>
          </w:p>
        </w:tc>
        <w:tc>
          <w:tcPr>
            <w:tcW w:w="641" w:type="pct"/>
            <w:gridSpan w:val="2"/>
            <w:tcBorders>
              <w:top w:val="nil"/>
              <w:left w:val="nil"/>
              <w:bottom w:val="nil"/>
              <w:right w:val="nil"/>
            </w:tcBorders>
            <w:shd w:val="clear" w:color="000000" w:fill="FFFF00"/>
            <w:vAlign w:val="center"/>
            <w:hideMark/>
          </w:tcPr>
          <w:p w14:paraId="3972A028"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Pripomienky k zadaniu pre aktualizáciu ŠU (dopravný model, CBA)</w:t>
            </w:r>
          </w:p>
        </w:tc>
      </w:tr>
      <w:tr w:rsidR="00CB16AA" w:rsidRPr="00666914" w14:paraId="7A6A69CD" w14:textId="77777777" w:rsidTr="00315988">
        <w:trPr>
          <w:trHeight w:val="520"/>
        </w:trPr>
        <w:tc>
          <w:tcPr>
            <w:tcW w:w="454" w:type="pct"/>
            <w:tcBorders>
              <w:top w:val="nil"/>
              <w:left w:val="nil"/>
              <w:bottom w:val="nil"/>
              <w:right w:val="nil"/>
            </w:tcBorders>
            <w:shd w:val="clear" w:color="auto" w:fill="auto"/>
            <w:vAlign w:val="center"/>
            <w:hideMark/>
          </w:tcPr>
          <w:p w14:paraId="5540676B"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NDS</w:t>
            </w:r>
          </w:p>
        </w:tc>
        <w:tc>
          <w:tcPr>
            <w:tcW w:w="1341" w:type="pct"/>
            <w:tcBorders>
              <w:top w:val="nil"/>
              <w:left w:val="nil"/>
              <w:bottom w:val="nil"/>
              <w:right w:val="nil"/>
            </w:tcBorders>
            <w:shd w:val="clear" w:color="auto" w:fill="auto"/>
            <w:vAlign w:val="center"/>
            <w:hideMark/>
          </w:tcPr>
          <w:p w14:paraId="22CC64A4"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R2 Lovinobaňa – Ožďany</w:t>
            </w:r>
          </w:p>
        </w:tc>
        <w:tc>
          <w:tcPr>
            <w:tcW w:w="430" w:type="pct"/>
            <w:tcBorders>
              <w:top w:val="nil"/>
              <w:left w:val="nil"/>
              <w:bottom w:val="nil"/>
              <w:right w:val="nil"/>
            </w:tcBorders>
            <w:shd w:val="clear" w:color="auto" w:fill="auto"/>
            <w:vAlign w:val="center"/>
            <w:hideMark/>
          </w:tcPr>
          <w:p w14:paraId="163DA938"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208</w:t>
            </w:r>
          </w:p>
        </w:tc>
        <w:tc>
          <w:tcPr>
            <w:tcW w:w="574" w:type="pct"/>
            <w:tcBorders>
              <w:top w:val="nil"/>
              <w:left w:val="nil"/>
              <w:bottom w:val="nil"/>
              <w:right w:val="nil"/>
            </w:tcBorders>
            <w:shd w:val="clear" w:color="auto" w:fill="auto"/>
            <w:vAlign w:val="center"/>
            <w:hideMark/>
          </w:tcPr>
          <w:p w14:paraId="56918150"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 06/2017</w:t>
            </w:r>
          </w:p>
        </w:tc>
        <w:tc>
          <w:tcPr>
            <w:tcW w:w="575" w:type="pct"/>
            <w:tcBorders>
              <w:top w:val="nil"/>
              <w:left w:val="nil"/>
              <w:bottom w:val="nil"/>
              <w:right w:val="nil"/>
            </w:tcBorders>
            <w:shd w:val="clear" w:color="auto" w:fill="auto"/>
            <w:vAlign w:val="center"/>
            <w:hideMark/>
          </w:tcPr>
          <w:p w14:paraId="271ACE34"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DÚR, ŠU</w:t>
            </w:r>
          </w:p>
        </w:tc>
        <w:tc>
          <w:tcPr>
            <w:tcW w:w="358" w:type="pct"/>
            <w:tcBorders>
              <w:top w:val="nil"/>
              <w:left w:val="nil"/>
              <w:bottom w:val="nil"/>
              <w:right w:val="nil"/>
            </w:tcBorders>
            <w:shd w:val="clear" w:color="auto" w:fill="auto"/>
            <w:vAlign w:val="bottom"/>
            <w:hideMark/>
          </w:tcPr>
          <w:p w14:paraId="4A656932" w14:textId="77777777" w:rsidR="00CB16AA" w:rsidRPr="00666914" w:rsidRDefault="00CB16AA" w:rsidP="00985E7A">
            <w:pPr>
              <w:spacing w:after="0"/>
              <w:jc w:val="center"/>
              <w:rPr>
                <w:rFonts w:eastAsia="Times New Roman" w:cs="Calibri"/>
                <w:color w:val="000000"/>
                <w:sz w:val="16"/>
                <w:szCs w:val="16"/>
                <w:lang w:eastAsia="sk-SK"/>
              </w:rPr>
            </w:pPr>
          </w:p>
        </w:tc>
        <w:tc>
          <w:tcPr>
            <w:tcW w:w="627" w:type="pct"/>
            <w:tcBorders>
              <w:top w:val="nil"/>
              <w:left w:val="nil"/>
              <w:bottom w:val="nil"/>
              <w:right w:val="nil"/>
            </w:tcBorders>
            <w:shd w:val="clear" w:color="auto" w:fill="auto"/>
            <w:vAlign w:val="center"/>
            <w:hideMark/>
          </w:tcPr>
          <w:p w14:paraId="2F8187DE" w14:textId="77777777" w:rsidR="00CB16AA" w:rsidRPr="00666914" w:rsidRDefault="00CB16AA" w:rsidP="00985E7A">
            <w:pPr>
              <w:spacing w:after="0"/>
              <w:jc w:val="center"/>
              <w:rPr>
                <w:rFonts w:eastAsia="Times New Roman"/>
                <w:sz w:val="16"/>
                <w:szCs w:val="16"/>
                <w:lang w:eastAsia="sk-SK"/>
              </w:rPr>
            </w:pPr>
          </w:p>
        </w:tc>
        <w:tc>
          <w:tcPr>
            <w:tcW w:w="641" w:type="pct"/>
            <w:gridSpan w:val="2"/>
            <w:tcBorders>
              <w:top w:val="nil"/>
              <w:left w:val="nil"/>
              <w:bottom w:val="nil"/>
              <w:right w:val="nil"/>
            </w:tcBorders>
            <w:shd w:val="clear" w:color="000000" w:fill="FFFF00"/>
            <w:vAlign w:val="center"/>
            <w:hideMark/>
          </w:tcPr>
          <w:p w14:paraId="17462E49"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 </w:t>
            </w:r>
          </w:p>
        </w:tc>
      </w:tr>
      <w:tr w:rsidR="00CB16AA" w:rsidRPr="00666914" w14:paraId="16E9E36D" w14:textId="77777777" w:rsidTr="00315988">
        <w:trPr>
          <w:trHeight w:val="520"/>
        </w:trPr>
        <w:tc>
          <w:tcPr>
            <w:tcW w:w="454" w:type="pct"/>
            <w:tcBorders>
              <w:top w:val="nil"/>
              <w:left w:val="nil"/>
              <w:bottom w:val="nil"/>
              <w:right w:val="nil"/>
            </w:tcBorders>
            <w:shd w:val="clear" w:color="auto" w:fill="auto"/>
            <w:vAlign w:val="center"/>
            <w:hideMark/>
          </w:tcPr>
          <w:p w14:paraId="5F69E205"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NDS</w:t>
            </w:r>
          </w:p>
        </w:tc>
        <w:tc>
          <w:tcPr>
            <w:tcW w:w="1341" w:type="pct"/>
            <w:tcBorders>
              <w:top w:val="nil"/>
              <w:left w:val="nil"/>
              <w:bottom w:val="nil"/>
              <w:right w:val="nil"/>
            </w:tcBorders>
            <w:shd w:val="clear" w:color="auto" w:fill="auto"/>
            <w:vAlign w:val="center"/>
            <w:hideMark/>
          </w:tcPr>
          <w:p w14:paraId="7C10C017"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R2 Ožďany – Zacharovce</w:t>
            </w:r>
          </w:p>
        </w:tc>
        <w:tc>
          <w:tcPr>
            <w:tcW w:w="430" w:type="pct"/>
            <w:tcBorders>
              <w:top w:val="nil"/>
              <w:left w:val="nil"/>
              <w:bottom w:val="nil"/>
              <w:right w:val="nil"/>
            </w:tcBorders>
            <w:shd w:val="clear" w:color="auto" w:fill="auto"/>
            <w:vAlign w:val="center"/>
            <w:hideMark/>
          </w:tcPr>
          <w:p w14:paraId="29A6303D"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121</w:t>
            </w:r>
          </w:p>
        </w:tc>
        <w:tc>
          <w:tcPr>
            <w:tcW w:w="574" w:type="pct"/>
            <w:tcBorders>
              <w:top w:val="nil"/>
              <w:left w:val="nil"/>
              <w:bottom w:val="nil"/>
              <w:right w:val="nil"/>
            </w:tcBorders>
            <w:shd w:val="clear" w:color="auto" w:fill="auto"/>
            <w:vAlign w:val="center"/>
            <w:hideMark/>
          </w:tcPr>
          <w:p w14:paraId="67954DA1"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 06/2017</w:t>
            </w:r>
          </w:p>
        </w:tc>
        <w:tc>
          <w:tcPr>
            <w:tcW w:w="575" w:type="pct"/>
            <w:tcBorders>
              <w:top w:val="nil"/>
              <w:left w:val="nil"/>
              <w:bottom w:val="nil"/>
              <w:right w:val="nil"/>
            </w:tcBorders>
            <w:shd w:val="clear" w:color="auto" w:fill="auto"/>
            <w:vAlign w:val="center"/>
            <w:hideMark/>
          </w:tcPr>
          <w:p w14:paraId="65CFFF8A"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DÚR, ŠU</w:t>
            </w:r>
          </w:p>
        </w:tc>
        <w:tc>
          <w:tcPr>
            <w:tcW w:w="358" w:type="pct"/>
            <w:tcBorders>
              <w:top w:val="nil"/>
              <w:left w:val="nil"/>
              <w:bottom w:val="nil"/>
              <w:right w:val="nil"/>
            </w:tcBorders>
            <w:shd w:val="clear" w:color="auto" w:fill="auto"/>
            <w:vAlign w:val="bottom"/>
            <w:hideMark/>
          </w:tcPr>
          <w:p w14:paraId="778B3A1B" w14:textId="77777777" w:rsidR="00CB16AA" w:rsidRPr="00666914" w:rsidRDefault="00CB16AA" w:rsidP="00985E7A">
            <w:pPr>
              <w:spacing w:after="0"/>
              <w:jc w:val="center"/>
              <w:rPr>
                <w:rFonts w:eastAsia="Times New Roman" w:cs="Calibri"/>
                <w:color w:val="000000"/>
                <w:sz w:val="16"/>
                <w:szCs w:val="16"/>
                <w:lang w:eastAsia="sk-SK"/>
              </w:rPr>
            </w:pPr>
          </w:p>
        </w:tc>
        <w:tc>
          <w:tcPr>
            <w:tcW w:w="627" w:type="pct"/>
            <w:tcBorders>
              <w:top w:val="nil"/>
              <w:left w:val="nil"/>
              <w:bottom w:val="nil"/>
              <w:right w:val="nil"/>
            </w:tcBorders>
            <w:shd w:val="clear" w:color="auto" w:fill="auto"/>
            <w:vAlign w:val="center"/>
            <w:hideMark/>
          </w:tcPr>
          <w:p w14:paraId="33410A02" w14:textId="77777777" w:rsidR="00CB16AA" w:rsidRPr="00666914" w:rsidRDefault="00CB16AA" w:rsidP="00985E7A">
            <w:pPr>
              <w:spacing w:after="0"/>
              <w:jc w:val="center"/>
              <w:rPr>
                <w:rFonts w:eastAsia="Times New Roman"/>
                <w:sz w:val="16"/>
                <w:szCs w:val="16"/>
                <w:lang w:eastAsia="sk-SK"/>
              </w:rPr>
            </w:pPr>
          </w:p>
        </w:tc>
        <w:tc>
          <w:tcPr>
            <w:tcW w:w="641" w:type="pct"/>
            <w:gridSpan w:val="2"/>
            <w:tcBorders>
              <w:top w:val="nil"/>
              <w:left w:val="nil"/>
              <w:bottom w:val="nil"/>
              <w:right w:val="nil"/>
            </w:tcBorders>
            <w:shd w:val="clear" w:color="000000" w:fill="FFFF00"/>
            <w:vAlign w:val="center"/>
            <w:hideMark/>
          </w:tcPr>
          <w:p w14:paraId="6129AD4A"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 </w:t>
            </w:r>
          </w:p>
        </w:tc>
      </w:tr>
      <w:tr w:rsidR="00CB16AA" w:rsidRPr="00666914" w14:paraId="60408305" w14:textId="77777777" w:rsidTr="00315988">
        <w:trPr>
          <w:trHeight w:val="780"/>
        </w:trPr>
        <w:tc>
          <w:tcPr>
            <w:tcW w:w="454" w:type="pct"/>
            <w:tcBorders>
              <w:top w:val="nil"/>
              <w:left w:val="nil"/>
              <w:bottom w:val="nil"/>
              <w:right w:val="nil"/>
            </w:tcBorders>
            <w:shd w:val="clear" w:color="000000" w:fill="FF0000"/>
            <w:vAlign w:val="center"/>
            <w:hideMark/>
          </w:tcPr>
          <w:p w14:paraId="25C68386"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NDS</w:t>
            </w:r>
          </w:p>
        </w:tc>
        <w:tc>
          <w:tcPr>
            <w:tcW w:w="1341" w:type="pct"/>
            <w:tcBorders>
              <w:top w:val="nil"/>
              <w:left w:val="nil"/>
              <w:bottom w:val="nil"/>
              <w:right w:val="nil"/>
            </w:tcBorders>
            <w:shd w:val="clear" w:color="000000" w:fill="FF0000"/>
            <w:vAlign w:val="center"/>
            <w:hideMark/>
          </w:tcPr>
          <w:p w14:paraId="4BB064A0"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R2 Rožňava – Jablonov nad Turňou (Soroška)</w:t>
            </w:r>
          </w:p>
        </w:tc>
        <w:tc>
          <w:tcPr>
            <w:tcW w:w="430" w:type="pct"/>
            <w:tcBorders>
              <w:top w:val="nil"/>
              <w:left w:val="nil"/>
              <w:bottom w:val="nil"/>
              <w:right w:val="nil"/>
            </w:tcBorders>
            <w:shd w:val="clear" w:color="000000" w:fill="FF0000"/>
            <w:vAlign w:val="center"/>
            <w:hideMark/>
          </w:tcPr>
          <w:p w14:paraId="491129C3"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413</w:t>
            </w:r>
          </w:p>
        </w:tc>
        <w:tc>
          <w:tcPr>
            <w:tcW w:w="574" w:type="pct"/>
            <w:tcBorders>
              <w:top w:val="nil"/>
              <w:left w:val="nil"/>
              <w:bottom w:val="nil"/>
              <w:right w:val="nil"/>
            </w:tcBorders>
            <w:shd w:val="clear" w:color="000000" w:fill="FF0000"/>
            <w:vAlign w:val="center"/>
            <w:hideMark/>
          </w:tcPr>
          <w:p w14:paraId="327BFD4D"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 06/2017</w:t>
            </w:r>
          </w:p>
        </w:tc>
        <w:tc>
          <w:tcPr>
            <w:tcW w:w="575" w:type="pct"/>
            <w:tcBorders>
              <w:top w:val="nil"/>
              <w:left w:val="nil"/>
              <w:bottom w:val="nil"/>
              <w:right w:val="nil"/>
            </w:tcBorders>
            <w:shd w:val="clear" w:color="000000" w:fill="FF0000"/>
            <w:vAlign w:val="center"/>
            <w:hideMark/>
          </w:tcPr>
          <w:p w14:paraId="59B1362F"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DÚR, ŠU      dopr. model a CBA</w:t>
            </w:r>
          </w:p>
        </w:tc>
        <w:tc>
          <w:tcPr>
            <w:tcW w:w="358" w:type="pct"/>
            <w:tcBorders>
              <w:top w:val="nil"/>
              <w:left w:val="nil"/>
              <w:bottom w:val="nil"/>
              <w:right w:val="nil"/>
            </w:tcBorders>
            <w:shd w:val="clear" w:color="000000" w:fill="FF0000"/>
            <w:vAlign w:val="center"/>
            <w:hideMark/>
          </w:tcPr>
          <w:p w14:paraId="7E78804A"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12/2019</w:t>
            </w:r>
          </w:p>
        </w:tc>
        <w:tc>
          <w:tcPr>
            <w:tcW w:w="627" w:type="pct"/>
            <w:tcBorders>
              <w:top w:val="nil"/>
              <w:left w:val="nil"/>
              <w:bottom w:val="nil"/>
              <w:right w:val="nil"/>
            </w:tcBorders>
            <w:shd w:val="clear" w:color="000000" w:fill="FF0000"/>
            <w:vAlign w:val="center"/>
            <w:hideMark/>
          </w:tcPr>
          <w:p w14:paraId="6FDE8134"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Hodnotenie po vyhlásení VO</w:t>
            </w:r>
          </w:p>
        </w:tc>
        <w:tc>
          <w:tcPr>
            <w:tcW w:w="641" w:type="pct"/>
            <w:gridSpan w:val="2"/>
            <w:tcBorders>
              <w:top w:val="nil"/>
              <w:left w:val="nil"/>
              <w:bottom w:val="nil"/>
              <w:right w:val="nil"/>
            </w:tcBorders>
            <w:shd w:val="clear" w:color="000000" w:fill="FF0000"/>
            <w:vAlign w:val="center"/>
            <w:hideMark/>
          </w:tcPr>
          <w:p w14:paraId="460F9E81" w14:textId="23F0F3CC" w:rsidR="00CB16AA" w:rsidRPr="00666914" w:rsidRDefault="00E9021B" w:rsidP="00985E7A">
            <w:pPr>
              <w:spacing w:after="0"/>
              <w:jc w:val="center"/>
              <w:rPr>
                <w:rFonts w:eastAsia="Times New Roman" w:cs="Calibri"/>
                <w:color w:val="0563C1"/>
                <w:sz w:val="16"/>
                <w:szCs w:val="16"/>
                <w:u w:val="single"/>
                <w:lang w:eastAsia="sk-SK"/>
              </w:rPr>
            </w:pPr>
            <w:r w:rsidRPr="00666914">
              <w:rPr>
                <w:rFonts w:eastAsia="Times New Roman" w:cs="Calibri"/>
                <w:color w:val="0563C1"/>
                <w:sz w:val="16"/>
                <w:szCs w:val="16"/>
                <w:u w:val="single"/>
                <w:lang w:eastAsia="sk-SK"/>
              </w:rPr>
              <w:t>https://www.mfsr.sk/sk/financie/hodnota-za-peniaze/hodnotenie-investicnych-projektov/hodnotenie-investicnych-projektov.html</w:t>
            </w:r>
          </w:p>
        </w:tc>
      </w:tr>
      <w:tr w:rsidR="00CB16AA" w:rsidRPr="00666914" w14:paraId="6453BA42" w14:textId="77777777" w:rsidTr="00315988">
        <w:trPr>
          <w:trHeight w:val="1040"/>
        </w:trPr>
        <w:tc>
          <w:tcPr>
            <w:tcW w:w="454" w:type="pct"/>
            <w:tcBorders>
              <w:top w:val="nil"/>
              <w:left w:val="nil"/>
              <w:bottom w:val="nil"/>
              <w:right w:val="nil"/>
            </w:tcBorders>
            <w:shd w:val="clear" w:color="auto" w:fill="auto"/>
            <w:vAlign w:val="center"/>
            <w:hideMark/>
          </w:tcPr>
          <w:p w14:paraId="25EF2D96"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NDS</w:t>
            </w:r>
          </w:p>
        </w:tc>
        <w:tc>
          <w:tcPr>
            <w:tcW w:w="1341" w:type="pct"/>
            <w:tcBorders>
              <w:top w:val="nil"/>
              <w:left w:val="nil"/>
              <w:bottom w:val="nil"/>
              <w:right w:val="nil"/>
            </w:tcBorders>
            <w:shd w:val="clear" w:color="auto" w:fill="auto"/>
            <w:vAlign w:val="center"/>
            <w:hideMark/>
          </w:tcPr>
          <w:p w14:paraId="63B49401"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R2 Zacharovce – Bátka</w:t>
            </w:r>
          </w:p>
        </w:tc>
        <w:tc>
          <w:tcPr>
            <w:tcW w:w="430" w:type="pct"/>
            <w:tcBorders>
              <w:top w:val="nil"/>
              <w:left w:val="nil"/>
              <w:bottom w:val="nil"/>
              <w:right w:val="nil"/>
            </w:tcBorders>
            <w:shd w:val="clear" w:color="auto" w:fill="auto"/>
            <w:vAlign w:val="center"/>
            <w:hideMark/>
          </w:tcPr>
          <w:p w14:paraId="219ED344"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92</w:t>
            </w:r>
          </w:p>
        </w:tc>
        <w:tc>
          <w:tcPr>
            <w:tcW w:w="574" w:type="pct"/>
            <w:tcBorders>
              <w:top w:val="nil"/>
              <w:left w:val="nil"/>
              <w:bottom w:val="nil"/>
              <w:right w:val="nil"/>
            </w:tcBorders>
            <w:shd w:val="clear" w:color="auto" w:fill="auto"/>
            <w:vAlign w:val="center"/>
            <w:hideMark/>
          </w:tcPr>
          <w:p w14:paraId="651B9691"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 06/2017</w:t>
            </w:r>
          </w:p>
        </w:tc>
        <w:tc>
          <w:tcPr>
            <w:tcW w:w="575" w:type="pct"/>
            <w:tcBorders>
              <w:top w:val="nil"/>
              <w:left w:val="nil"/>
              <w:bottom w:val="nil"/>
              <w:right w:val="nil"/>
            </w:tcBorders>
            <w:shd w:val="clear" w:color="auto" w:fill="auto"/>
            <w:vAlign w:val="center"/>
            <w:hideMark/>
          </w:tcPr>
          <w:p w14:paraId="6E6C21B9"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DÚR, ŠU</w:t>
            </w:r>
          </w:p>
        </w:tc>
        <w:tc>
          <w:tcPr>
            <w:tcW w:w="358" w:type="pct"/>
            <w:tcBorders>
              <w:top w:val="nil"/>
              <w:left w:val="nil"/>
              <w:bottom w:val="nil"/>
              <w:right w:val="nil"/>
            </w:tcBorders>
            <w:shd w:val="clear" w:color="auto" w:fill="auto"/>
            <w:vAlign w:val="bottom"/>
            <w:hideMark/>
          </w:tcPr>
          <w:p w14:paraId="4556A95F" w14:textId="77777777" w:rsidR="00CB16AA" w:rsidRPr="00666914" w:rsidRDefault="00CB16AA" w:rsidP="00985E7A">
            <w:pPr>
              <w:spacing w:after="0"/>
              <w:jc w:val="center"/>
              <w:rPr>
                <w:rFonts w:eastAsia="Times New Roman" w:cs="Calibri"/>
                <w:color w:val="000000"/>
                <w:sz w:val="16"/>
                <w:szCs w:val="16"/>
                <w:lang w:eastAsia="sk-SK"/>
              </w:rPr>
            </w:pPr>
          </w:p>
        </w:tc>
        <w:tc>
          <w:tcPr>
            <w:tcW w:w="627" w:type="pct"/>
            <w:tcBorders>
              <w:top w:val="nil"/>
              <w:left w:val="nil"/>
              <w:bottom w:val="nil"/>
              <w:right w:val="nil"/>
            </w:tcBorders>
            <w:shd w:val="clear" w:color="auto" w:fill="auto"/>
            <w:vAlign w:val="center"/>
            <w:hideMark/>
          </w:tcPr>
          <w:p w14:paraId="28AC8265" w14:textId="77777777" w:rsidR="00CB16AA" w:rsidRPr="00666914" w:rsidRDefault="00CB16AA" w:rsidP="00985E7A">
            <w:pPr>
              <w:spacing w:after="0"/>
              <w:jc w:val="center"/>
              <w:rPr>
                <w:rFonts w:eastAsia="Times New Roman"/>
                <w:sz w:val="16"/>
                <w:szCs w:val="16"/>
                <w:lang w:eastAsia="sk-SK"/>
              </w:rPr>
            </w:pPr>
          </w:p>
        </w:tc>
        <w:tc>
          <w:tcPr>
            <w:tcW w:w="641" w:type="pct"/>
            <w:gridSpan w:val="2"/>
            <w:tcBorders>
              <w:top w:val="nil"/>
              <w:left w:val="nil"/>
              <w:bottom w:val="nil"/>
              <w:right w:val="nil"/>
            </w:tcBorders>
            <w:shd w:val="clear" w:color="000000" w:fill="FFFF00"/>
            <w:vAlign w:val="center"/>
            <w:hideMark/>
          </w:tcPr>
          <w:p w14:paraId="7D133135"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Pripomienky k zadaniu pre aktualizáciu ŠU (dopravný model, CBA)</w:t>
            </w:r>
          </w:p>
        </w:tc>
      </w:tr>
      <w:tr w:rsidR="00CB16AA" w:rsidRPr="00666914" w14:paraId="2E50774B" w14:textId="77777777" w:rsidTr="00315988">
        <w:trPr>
          <w:trHeight w:val="520"/>
        </w:trPr>
        <w:tc>
          <w:tcPr>
            <w:tcW w:w="454" w:type="pct"/>
            <w:tcBorders>
              <w:top w:val="nil"/>
              <w:left w:val="nil"/>
              <w:bottom w:val="nil"/>
              <w:right w:val="nil"/>
            </w:tcBorders>
            <w:shd w:val="clear" w:color="auto" w:fill="auto"/>
            <w:vAlign w:val="center"/>
            <w:hideMark/>
          </w:tcPr>
          <w:p w14:paraId="7B1D677D"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lastRenderedPageBreak/>
              <w:t>NDS</w:t>
            </w:r>
          </w:p>
        </w:tc>
        <w:tc>
          <w:tcPr>
            <w:tcW w:w="1341" w:type="pct"/>
            <w:tcBorders>
              <w:top w:val="nil"/>
              <w:left w:val="nil"/>
              <w:bottom w:val="nil"/>
              <w:right w:val="nil"/>
            </w:tcBorders>
            <w:shd w:val="clear" w:color="auto" w:fill="auto"/>
            <w:vAlign w:val="center"/>
            <w:hideMark/>
          </w:tcPr>
          <w:p w14:paraId="32182DBB"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R2 Košice, juh - Košické Oľšany</w:t>
            </w:r>
          </w:p>
        </w:tc>
        <w:tc>
          <w:tcPr>
            <w:tcW w:w="430" w:type="pct"/>
            <w:tcBorders>
              <w:top w:val="nil"/>
              <w:left w:val="nil"/>
              <w:bottom w:val="nil"/>
              <w:right w:val="nil"/>
            </w:tcBorders>
            <w:shd w:val="clear" w:color="auto" w:fill="auto"/>
            <w:vAlign w:val="center"/>
            <w:hideMark/>
          </w:tcPr>
          <w:p w14:paraId="649F3A92"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202</w:t>
            </w:r>
          </w:p>
        </w:tc>
        <w:tc>
          <w:tcPr>
            <w:tcW w:w="574" w:type="pct"/>
            <w:tcBorders>
              <w:top w:val="nil"/>
              <w:left w:val="nil"/>
              <w:bottom w:val="nil"/>
              <w:right w:val="nil"/>
            </w:tcBorders>
            <w:shd w:val="clear" w:color="auto" w:fill="auto"/>
            <w:vAlign w:val="bottom"/>
            <w:hideMark/>
          </w:tcPr>
          <w:p w14:paraId="4B96D27F"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08/2018</w:t>
            </w:r>
          </w:p>
        </w:tc>
        <w:tc>
          <w:tcPr>
            <w:tcW w:w="575" w:type="pct"/>
            <w:tcBorders>
              <w:top w:val="nil"/>
              <w:left w:val="nil"/>
              <w:bottom w:val="nil"/>
              <w:right w:val="nil"/>
            </w:tcBorders>
            <w:shd w:val="clear" w:color="auto" w:fill="auto"/>
            <w:vAlign w:val="center"/>
            <w:hideMark/>
          </w:tcPr>
          <w:p w14:paraId="74163BB5"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model, CBA, DSP</w:t>
            </w:r>
          </w:p>
        </w:tc>
        <w:tc>
          <w:tcPr>
            <w:tcW w:w="358" w:type="pct"/>
            <w:tcBorders>
              <w:top w:val="nil"/>
              <w:left w:val="nil"/>
              <w:bottom w:val="nil"/>
              <w:right w:val="nil"/>
            </w:tcBorders>
            <w:shd w:val="clear" w:color="auto" w:fill="auto"/>
            <w:vAlign w:val="center"/>
            <w:hideMark/>
          </w:tcPr>
          <w:p w14:paraId="13FD8C56"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w:t>
            </w:r>
          </w:p>
        </w:tc>
        <w:tc>
          <w:tcPr>
            <w:tcW w:w="627" w:type="pct"/>
            <w:tcBorders>
              <w:top w:val="nil"/>
              <w:left w:val="nil"/>
              <w:bottom w:val="nil"/>
              <w:right w:val="nil"/>
            </w:tcBorders>
            <w:shd w:val="clear" w:color="000000" w:fill="BDD7EE"/>
            <w:vAlign w:val="center"/>
            <w:hideMark/>
          </w:tcPr>
          <w:p w14:paraId="00FD8335"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Predbežné hodnotenie</w:t>
            </w:r>
          </w:p>
        </w:tc>
        <w:tc>
          <w:tcPr>
            <w:tcW w:w="641" w:type="pct"/>
            <w:gridSpan w:val="2"/>
            <w:tcBorders>
              <w:top w:val="nil"/>
              <w:left w:val="nil"/>
              <w:bottom w:val="nil"/>
              <w:right w:val="nil"/>
            </w:tcBorders>
            <w:shd w:val="clear" w:color="000000" w:fill="FFFF00"/>
            <w:vAlign w:val="center"/>
            <w:hideMark/>
          </w:tcPr>
          <w:p w14:paraId="189F3211"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Predfinálna verzia stanoviska</w:t>
            </w:r>
          </w:p>
        </w:tc>
      </w:tr>
      <w:tr w:rsidR="00CB16AA" w:rsidRPr="00666914" w14:paraId="61F8C35C" w14:textId="77777777" w:rsidTr="00315988">
        <w:trPr>
          <w:trHeight w:val="260"/>
        </w:trPr>
        <w:tc>
          <w:tcPr>
            <w:tcW w:w="454" w:type="pct"/>
            <w:tcBorders>
              <w:top w:val="nil"/>
              <w:left w:val="nil"/>
              <w:bottom w:val="nil"/>
              <w:right w:val="nil"/>
            </w:tcBorders>
            <w:shd w:val="clear" w:color="auto" w:fill="auto"/>
            <w:vAlign w:val="center"/>
            <w:hideMark/>
          </w:tcPr>
          <w:p w14:paraId="5FFD314D"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NDS</w:t>
            </w:r>
          </w:p>
        </w:tc>
        <w:tc>
          <w:tcPr>
            <w:tcW w:w="1341" w:type="pct"/>
            <w:tcBorders>
              <w:top w:val="nil"/>
              <w:left w:val="nil"/>
              <w:bottom w:val="nil"/>
              <w:right w:val="nil"/>
            </w:tcBorders>
            <w:shd w:val="clear" w:color="auto" w:fill="auto"/>
            <w:vAlign w:val="center"/>
            <w:hideMark/>
          </w:tcPr>
          <w:p w14:paraId="0F59503F"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R2 Križovatka D1 – Trenčianska Turná</w:t>
            </w:r>
          </w:p>
        </w:tc>
        <w:tc>
          <w:tcPr>
            <w:tcW w:w="430" w:type="pct"/>
            <w:tcBorders>
              <w:top w:val="nil"/>
              <w:left w:val="nil"/>
              <w:bottom w:val="nil"/>
              <w:right w:val="nil"/>
            </w:tcBorders>
            <w:shd w:val="clear" w:color="auto" w:fill="auto"/>
            <w:vAlign w:val="center"/>
            <w:hideMark/>
          </w:tcPr>
          <w:p w14:paraId="70684704"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123</w:t>
            </w:r>
          </w:p>
        </w:tc>
        <w:tc>
          <w:tcPr>
            <w:tcW w:w="574" w:type="pct"/>
            <w:tcBorders>
              <w:top w:val="nil"/>
              <w:left w:val="nil"/>
              <w:bottom w:val="nil"/>
              <w:right w:val="nil"/>
            </w:tcBorders>
            <w:shd w:val="clear" w:color="auto" w:fill="auto"/>
            <w:vAlign w:val="center"/>
            <w:hideMark/>
          </w:tcPr>
          <w:p w14:paraId="6B796541"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 06/2017</w:t>
            </w:r>
          </w:p>
        </w:tc>
        <w:tc>
          <w:tcPr>
            <w:tcW w:w="575" w:type="pct"/>
            <w:tcBorders>
              <w:top w:val="nil"/>
              <w:left w:val="nil"/>
              <w:bottom w:val="nil"/>
              <w:right w:val="nil"/>
            </w:tcBorders>
            <w:shd w:val="clear" w:color="auto" w:fill="auto"/>
            <w:vAlign w:val="center"/>
            <w:hideMark/>
          </w:tcPr>
          <w:p w14:paraId="2B2E51BF"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w:t>
            </w:r>
          </w:p>
        </w:tc>
        <w:tc>
          <w:tcPr>
            <w:tcW w:w="358" w:type="pct"/>
            <w:tcBorders>
              <w:top w:val="nil"/>
              <w:left w:val="nil"/>
              <w:bottom w:val="nil"/>
              <w:right w:val="nil"/>
            </w:tcBorders>
            <w:shd w:val="clear" w:color="auto" w:fill="auto"/>
            <w:vAlign w:val="bottom"/>
            <w:hideMark/>
          </w:tcPr>
          <w:p w14:paraId="2B02CBDA" w14:textId="77777777" w:rsidR="00CB16AA" w:rsidRPr="00666914" w:rsidRDefault="00CB16AA" w:rsidP="00985E7A">
            <w:pPr>
              <w:spacing w:after="0"/>
              <w:jc w:val="center"/>
              <w:rPr>
                <w:rFonts w:eastAsia="Times New Roman" w:cs="Calibri"/>
                <w:color w:val="000000"/>
                <w:sz w:val="16"/>
                <w:szCs w:val="16"/>
                <w:lang w:eastAsia="sk-SK"/>
              </w:rPr>
            </w:pPr>
          </w:p>
        </w:tc>
        <w:tc>
          <w:tcPr>
            <w:tcW w:w="627" w:type="pct"/>
            <w:tcBorders>
              <w:top w:val="nil"/>
              <w:left w:val="nil"/>
              <w:bottom w:val="nil"/>
              <w:right w:val="nil"/>
            </w:tcBorders>
            <w:shd w:val="clear" w:color="auto" w:fill="auto"/>
            <w:vAlign w:val="bottom"/>
            <w:hideMark/>
          </w:tcPr>
          <w:p w14:paraId="25533E44" w14:textId="77777777" w:rsidR="00CB16AA" w:rsidRPr="00666914" w:rsidRDefault="00CB16AA" w:rsidP="00985E7A">
            <w:pPr>
              <w:spacing w:after="0"/>
              <w:jc w:val="center"/>
              <w:rPr>
                <w:rFonts w:eastAsia="Times New Roman"/>
                <w:sz w:val="16"/>
                <w:szCs w:val="16"/>
                <w:lang w:eastAsia="sk-SK"/>
              </w:rPr>
            </w:pPr>
          </w:p>
        </w:tc>
        <w:tc>
          <w:tcPr>
            <w:tcW w:w="641" w:type="pct"/>
            <w:gridSpan w:val="2"/>
            <w:tcBorders>
              <w:top w:val="nil"/>
              <w:left w:val="nil"/>
              <w:bottom w:val="nil"/>
              <w:right w:val="nil"/>
            </w:tcBorders>
            <w:shd w:val="clear" w:color="auto" w:fill="auto"/>
            <w:vAlign w:val="center"/>
            <w:hideMark/>
          </w:tcPr>
          <w:p w14:paraId="058888E7" w14:textId="77777777" w:rsidR="00CB16AA" w:rsidRPr="00666914" w:rsidRDefault="00CB16AA" w:rsidP="00985E7A">
            <w:pPr>
              <w:spacing w:after="0"/>
              <w:jc w:val="center"/>
              <w:rPr>
                <w:rFonts w:eastAsia="Times New Roman"/>
                <w:sz w:val="16"/>
                <w:szCs w:val="16"/>
                <w:lang w:eastAsia="sk-SK"/>
              </w:rPr>
            </w:pPr>
          </w:p>
        </w:tc>
      </w:tr>
      <w:tr w:rsidR="00CB16AA" w:rsidRPr="00666914" w14:paraId="0A99C685" w14:textId="77777777" w:rsidTr="00315988">
        <w:trPr>
          <w:trHeight w:val="260"/>
        </w:trPr>
        <w:tc>
          <w:tcPr>
            <w:tcW w:w="454" w:type="pct"/>
            <w:tcBorders>
              <w:top w:val="nil"/>
              <w:left w:val="nil"/>
              <w:bottom w:val="nil"/>
              <w:right w:val="nil"/>
            </w:tcBorders>
            <w:shd w:val="clear" w:color="auto" w:fill="auto"/>
            <w:vAlign w:val="center"/>
            <w:hideMark/>
          </w:tcPr>
          <w:p w14:paraId="1F6B782A"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NDS</w:t>
            </w:r>
          </w:p>
        </w:tc>
        <w:tc>
          <w:tcPr>
            <w:tcW w:w="1341" w:type="pct"/>
            <w:tcBorders>
              <w:top w:val="nil"/>
              <w:left w:val="nil"/>
              <w:bottom w:val="nil"/>
              <w:right w:val="nil"/>
            </w:tcBorders>
            <w:shd w:val="clear" w:color="auto" w:fill="auto"/>
            <w:vAlign w:val="center"/>
            <w:hideMark/>
          </w:tcPr>
          <w:p w14:paraId="78EDB1A1"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R2 Mníchova Lehota – Ruskovce</w:t>
            </w:r>
          </w:p>
        </w:tc>
        <w:tc>
          <w:tcPr>
            <w:tcW w:w="430" w:type="pct"/>
            <w:tcBorders>
              <w:top w:val="nil"/>
              <w:left w:val="nil"/>
              <w:bottom w:val="nil"/>
              <w:right w:val="nil"/>
            </w:tcBorders>
            <w:shd w:val="clear" w:color="auto" w:fill="auto"/>
            <w:vAlign w:val="center"/>
            <w:hideMark/>
          </w:tcPr>
          <w:p w14:paraId="51C46D8A"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274</w:t>
            </w:r>
          </w:p>
        </w:tc>
        <w:tc>
          <w:tcPr>
            <w:tcW w:w="574" w:type="pct"/>
            <w:tcBorders>
              <w:top w:val="nil"/>
              <w:left w:val="nil"/>
              <w:bottom w:val="nil"/>
              <w:right w:val="nil"/>
            </w:tcBorders>
            <w:shd w:val="clear" w:color="auto" w:fill="auto"/>
            <w:vAlign w:val="center"/>
            <w:hideMark/>
          </w:tcPr>
          <w:p w14:paraId="77AB314E"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 06/2017</w:t>
            </w:r>
          </w:p>
        </w:tc>
        <w:tc>
          <w:tcPr>
            <w:tcW w:w="575" w:type="pct"/>
            <w:tcBorders>
              <w:top w:val="nil"/>
              <w:left w:val="nil"/>
              <w:bottom w:val="nil"/>
              <w:right w:val="nil"/>
            </w:tcBorders>
            <w:shd w:val="clear" w:color="auto" w:fill="auto"/>
            <w:vAlign w:val="center"/>
            <w:hideMark/>
          </w:tcPr>
          <w:p w14:paraId="7D8F65EF"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w:t>
            </w:r>
          </w:p>
        </w:tc>
        <w:tc>
          <w:tcPr>
            <w:tcW w:w="358" w:type="pct"/>
            <w:tcBorders>
              <w:top w:val="nil"/>
              <w:left w:val="nil"/>
              <w:bottom w:val="nil"/>
              <w:right w:val="nil"/>
            </w:tcBorders>
            <w:shd w:val="clear" w:color="auto" w:fill="auto"/>
            <w:vAlign w:val="bottom"/>
            <w:hideMark/>
          </w:tcPr>
          <w:p w14:paraId="0146718C" w14:textId="77777777" w:rsidR="00CB16AA" w:rsidRPr="00666914" w:rsidRDefault="00CB16AA" w:rsidP="00985E7A">
            <w:pPr>
              <w:spacing w:after="0"/>
              <w:jc w:val="center"/>
              <w:rPr>
                <w:rFonts w:eastAsia="Times New Roman" w:cs="Calibri"/>
                <w:color w:val="000000"/>
                <w:sz w:val="16"/>
                <w:szCs w:val="16"/>
                <w:lang w:eastAsia="sk-SK"/>
              </w:rPr>
            </w:pPr>
          </w:p>
        </w:tc>
        <w:tc>
          <w:tcPr>
            <w:tcW w:w="627" w:type="pct"/>
            <w:tcBorders>
              <w:top w:val="nil"/>
              <w:left w:val="nil"/>
              <w:bottom w:val="nil"/>
              <w:right w:val="nil"/>
            </w:tcBorders>
            <w:shd w:val="clear" w:color="auto" w:fill="auto"/>
            <w:vAlign w:val="bottom"/>
            <w:hideMark/>
          </w:tcPr>
          <w:p w14:paraId="067EB4BF" w14:textId="77777777" w:rsidR="00CB16AA" w:rsidRPr="00666914" w:rsidRDefault="00CB16AA" w:rsidP="00985E7A">
            <w:pPr>
              <w:spacing w:after="0"/>
              <w:jc w:val="center"/>
              <w:rPr>
                <w:rFonts w:eastAsia="Times New Roman"/>
                <w:sz w:val="16"/>
                <w:szCs w:val="16"/>
                <w:lang w:eastAsia="sk-SK"/>
              </w:rPr>
            </w:pPr>
          </w:p>
        </w:tc>
        <w:tc>
          <w:tcPr>
            <w:tcW w:w="641" w:type="pct"/>
            <w:gridSpan w:val="2"/>
            <w:tcBorders>
              <w:top w:val="nil"/>
              <w:left w:val="nil"/>
              <w:bottom w:val="nil"/>
              <w:right w:val="nil"/>
            </w:tcBorders>
            <w:shd w:val="clear" w:color="auto" w:fill="auto"/>
            <w:vAlign w:val="center"/>
            <w:hideMark/>
          </w:tcPr>
          <w:p w14:paraId="45E8AF4C" w14:textId="77777777" w:rsidR="00CB16AA" w:rsidRPr="00666914" w:rsidRDefault="00CB16AA" w:rsidP="00985E7A">
            <w:pPr>
              <w:spacing w:after="0"/>
              <w:jc w:val="center"/>
              <w:rPr>
                <w:rFonts w:eastAsia="Times New Roman"/>
                <w:sz w:val="16"/>
                <w:szCs w:val="16"/>
                <w:lang w:eastAsia="sk-SK"/>
              </w:rPr>
            </w:pPr>
          </w:p>
        </w:tc>
      </w:tr>
      <w:tr w:rsidR="00CB16AA" w:rsidRPr="00666914" w14:paraId="634A5ADE" w14:textId="77777777" w:rsidTr="00315988">
        <w:trPr>
          <w:trHeight w:val="260"/>
        </w:trPr>
        <w:tc>
          <w:tcPr>
            <w:tcW w:w="454" w:type="pct"/>
            <w:tcBorders>
              <w:top w:val="nil"/>
              <w:left w:val="nil"/>
              <w:bottom w:val="nil"/>
              <w:right w:val="nil"/>
            </w:tcBorders>
            <w:shd w:val="clear" w:color="auto" w:fill="auto"/>
            <w:vAlign w:val="center"/>
            <w:hideMark/>
          </w:tcPr>
          <w:p w14:paraId="4861909E"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NDS</w:t>
            </w:r>
          </w:p>
        </w:tc>
        <w:tc>
          <w:tcPr>
            <w:tcW w:w="1341" w:type="pct"/>
            <w:tcBorders>
              <w:top w:val="nil"/>
              <w:left w:val="nil"/>
              <w:bottom w:val="nil"/>
              <w:right w:val="nil"/>
            </w:tcBorders>
            <w:shd w:val="clear" w:color="auto" w:fill="auto"/>
            <w:vAlign w:val="center"/>
            <w:hideMark/>
          </w:tcPr>
          <w:p w14:paraId="61F5CEFE"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R2 Trenčianska Turná – Mníchova Lehota</w:t>
            </w:r>
          </w:p>
        </w:tc>
        <w:tc>
          <w:tcPr>
            <w:tcW w:w="430" w:type="pct"/>
            <w:tcBorders>
              <w:top w:val="nil"/>
              <w:left w:val="nil"/>
              <w:bottom w:val="nil"/>
              <w:right w:val="nil"/>
            </w:tcBorders>
            <w:shd w:val="clear" w:color="auto" w:fill="auto"/>
            <w:vAlign w:val="center"/>
            <w:hideMark/>
          </w:tcPr>
          <w:p w14:paraId="2E12DF0F"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53</w:t>
            </w:r>
          </w:p>
        </w:tc>
        <w:tc>
          <w:tcPr>
            <w:tcW w:w="574" w:type="pct"/>
            <w:tcBorders>
              <w:top w:val="nil"/>
              <w:left w:val="nil"/>
              <w:bottom w:val="nil"/>
              <w:right w:val="nil"/>
            </w:tcBorders>
            <w:shd w:val="clear" w:color="auto" w:fill="auto"/>
            <w:vAlign w:val="center"/>
            <w:hideMark/>
          </w:tcPr>
          <w:p w14:paraId="250414CC"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 06/2017</w:t>
            </w:r>
          </w:p>
        </w:tc>
        <w:tc>
          <w:tcPr>
            <w:tcW w:w="575" w:type="pct"/>
            <w:tcBorders>
              <w:top w:val="nil"/>
              <w:left w:val="nil"/>
              <w:bottom w:val="nil"/>
              <w:right w:val="nil"/>
            </w:tcBorders>
            <w:shd w:val="clear" w:color="auto" w:fill="auto"/>
            <w:vAlign w:val="center"/>
            <w:hideMark/>
          </w:tcPr>
          <w:p w14:paraId="289EA17D"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w:t>
            </w:r>
          </w:p>
        </w:tc>
        <w:tc>
          <w:tcPr>
            <w:tcW w:w="358" w:type="pct"/>
            <w:tcBorders>
              <w:top w:val="nil"/>
              <w:left w:val="nil"/>
              <w:bottom w:val="nil"/>
              <w:right w:val="nil"/>
            </w:tcBorders>
            <w:shd w:val="clear" w:color="auto" w:fill="auto"/>
            <w:vAlign w:val="bottom"/>
            <w:hideMark/>
          </w:tcPr>
          <w:p w14:paraId="68A607E8" w14:textId="77777777" w:rsidR="00CB16AA" w:rsidRPr="00666914" w:rsidRDefault="00CB16AA" w:rsidP="00985E7A">
            <w:pPr>
              <w:spacing w:after="0"/>
              <w:jc w:val="center"/>
              <w:rPr>
                <w:rFonts w:eastAsia="Times New Roman" w:cs="Calibri"/>
                <w:color w:val="000000"/>
                <w:sz w:val="16"/>
                <w:szCs w:val="16"/>
                <w:lang w:eastAsia="sk-SK"/>
              </w:rPr>
            </w:pPr>
          </w:p>
        </w:tc>
        <w:tc>
          <w:tcPr>
            <w:tcW w:w="627" w:type="pct"/>
            <w:tcBorders>
              <w:top w:val="nil"/>
              <w:left w:val="nil"/>
              <w:bottom w:val="nil"/>
              <w:right w:val="nil"/>
            </w:tcBorders>
            <w:shd w:val="clear" w:color="auto" w:fill="auto"/>
            <w:vAlign w:val="bottom"/>
            <w:hideMark/>
          </w:tcPr>
          <w:p w14:paraId="448A44C5" w14:textId="77777777" w:rsidR="00CB16AA" w:rsidRPr="00666914" w:rsidRDefault="00CB16AA" w:rsidP="00985E7A">
            <w:pPr>
              <w:spacing w:after="0"/>
              <w:jc w:val="center"/>
              <w:rPr>
                <w:rFonts w:eastAsia="Times New Roman"/>
                <w:sz w:val="16"/>
                <w:szCs w:val="16"/>
                <w:lang w:eastAsia="sk-SK"/>
              </w:rPr>
            </w:pPr>
          </w:p>
        </w:tc>
        <w:tc>
          <w:tcPr>
            <w:tcW w:w="641" w:type="pct"/>
            <w:gridSpan w:val="2"/>
            <w:tcBorders>
              <w:top w:val="nil"/>
              <w:left w:val="nil"/>
              <w:bottom w:val="nil"/>
              <w:right w:val="nil"/>
            </w:tcBorders>
            <w:shd w:val="clear" w:color="auto" w:fill="auto"/>
            <w:vAlign w:val="center"/>
            <w:hideMark/>
          </w:tcPr>
          <w:p w14:paraId="077D0C37" w14:textId="77777777" w:rsidR="00CB16AA" w:rsidRPr="00666914" w:rsidRDefault="00CB16AA" w:rsidP="00985E7A">
            <w:pPr>
              <w:spacing w:after="0"/>
              <w:jc w:val="center"/>
              <w:rPr>
                <w:rFonts w:eastAsia="Times New Roman"/>
                <w:sz w:val="16"/>
                <w:szCs w:val="16"/>
                <w:lang w:eastAsia="sk-SK"/>
              </w:rPr>
            </w:pPr>
          </w:p>
        </w:tc>
      </w:tr>
      <w:tr w:rsidR="00CB16AA" w:rsidRPr="00666914" w14:paraId="601C46A4" w14:textId="77777777" w:rsidTr="00315988">
        <w:trPr>
          <w:trHeight w:val="260"/>
        </w:trPr>
        <w:tc>
          <w:tcPr>
            <w:tcW w:w="454" w:type="pct"/>
            <w:tcBorders>
              <w:top w:val="nil"/>
              <w:left w:val="nil"/>
              <w:bottom w:val="nil"/>
              <w:right w:val="nil"/>
            </w:tcBorders>
            <w:shd w:val="clear" w:color="auto" w:fill="auto"/>
            <w:vAlign w:val="center"/>
            <w:hideMark/>
          </w:tcPr>
          <w:p w14:paraId="368CDC07"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NDS</w:t>
            </w:r>
          </w:p>
        </w:tc>
        <w:tc>
          <w:tcPr>
            <w:tcW w:w="1341" w:type="pct"/>
            <w:tcBorders>
              <w:top w:val="nil"/>
              <w:left w:val="nil"/>
              <w:bottom w:val="nil"/>
              <w:right w:val="nil"/>
            </w:tcBorders>
            <w:shd w:val="clear" w:color="auto" w:fill="auto"/>
            <w:vAlign w:val="center"/>
            <w:hideMark/>
          </w:tcPr>
          <w:p w14:paraId="54E1C92A"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R3 Dlhá nad Oravou – Sedliacka Dubová</w:t>
            </w:r>
          </w:p>
        </w:tc>
        <w:tc>
          <w:tcPr>
            <w:tcW w:w="430" w:type="pct"/>
            <w:tcBorders>
              <w:top w:val="nil"/>
              <w:left w:val="nil"/>
              <w:bottom w:val="nil"/>
              <w:right w:val="nil"/>
            </w:tcBorders>
            <w:shd w:val="clear" w:color="auto" w:fill="auto"/>
            <w:vAlign w:val="center"/>
            <w:hideMark/>
          </w:tcPr>
          <w:p w14:paraId="74EF3B2D"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77</w:t>
            </w:r>
          </w:p>
        </w:tc>
        <w:tc>
          <w:tcPr>
            <w:tcW w:w="574" w:type="pct"/>
            <w:tcBorders>
              <w:top w:val="nil"/>
              <w:left w:val="nil"/>
              <w:bottom w:val="nil"/>
              <w:right w:val="nil"/>
            </w:tcBorders>
            <w:shd w:val="clear" w:color="auto" w:fill="auto"/>
            <w:vAlign w:val="center"/>
            <w:hideMark/>
          </w:tcPr>
          <w:p w14:paraId="18BE3545"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 06/2017</w:t>
            </w:r>
          </w:p>
        </w:tc>
        <w:tc>
          <w:tcPr>
            <w:tcW w:w="575" w:type="pct"/>
            <w:tcBorders>
              <w:top w:val="nil"/>
              <w:left w:val="nil"/>
              <w:bottom w:val="nil"/>
              <w:right w:val="nil"/>
            </w:tcBorders>
            <w:shd w:val="clear" w:color="auto" w:fill="auto"/>
            <w:vAlign w:val="center"/>
            <w:hideMark/>
          </w:tcPr>
          <w:p w14:paraId="540E5EB9"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w:t>
            </w:r>
          </w:p>
        </w:tc>
        <w:tc>
          <w:tcPr>
            <w:tcW w:w="358" w:type="pct"/>
            <w:tcBorders>
              <w:top w:val="nil"/>
              <w:left w:val="nil"/>
              <w:bottom w:val="nil"/>
              <w:right w:val="nil"/>
            </w:tcBorders>
            <w:shd w:val="clear" w:color="auto" w:fill="auto"/>
            <w:vAlign w:val="bottom"/>
            <w:hideMark/>
          </w:tcPr>
          <w:p w14:paraId="4654C40F" w14:textId="77777777" w:rsidR="00CB16AA" w:rsidRPr="00666914" w:rsidRDefault="00CB16AA" w:rsidP="00985E7A">
            <w:pPr>
              <w:spacing w:after="0"/>
              <w:jc w:val="center"/>
              <w:rPr>
                <w:rFonts w:eastAsia="Times New Roman" w:cs="Calibri"/>
                <w:color w:val="000000"/>
                <w:sz w:val="16"/>
                <w:szCs w:val="16"/>
                <w:lang w:eastAsia="sk-SK"/>
              </w:rPr>
            </w:pPr>
          </w:p>
        </w:tc>
        <w:tc>
          <w:tcPr>
            <w:tcW w:w="627" w:type="pct"/>
            <w:tcBorders>
              <w:top w:val="nil"/>
              <w:left w:val="nil"/>
              <w:bottom w:val="nil"/>
              <w:right w:val="nil"/>
            </w:tcBorders>
            <w:shd w:val="clear" w:color="auto" w:fill="auto"/>
            <w:vAlign w:val="bottom"/>
            <w:hideMark/>
          </w:tcPr>
          <w:p w14:paraId="3CF26005" w14:textId="77777777" w:rsidR="00CB16AA" w:rsidRPr="00666914" w:rsidRDefault="00CB16AA" w:rsidP="00985E7A">
            <w:pPr>
              <w:spacing w:after="0"/>
              <w:jc w:val="center"/>
              <w:rPr>
                <w:rFonts w:eastAsia="Times New Roman"/>
                <w:sz w:val="16"/>
                <w:szCs w:val="16"/>
                <w:lang w:eastAsia="sk-SK"/>
              </w:rPr>
            </w:pPr>
          </w:p>
        </w:tc>
        <w:tc>
          <w:tcPr>
            <w:tcW w:w="641" w:type="pct"/>
            <w:gridSpan w:val="2"/>
            <w:tcBorders>
              <w:top w:val="nil"/>
              <w:left w:val="nil"/>
              <w:bottom w:val="nil"/>
              <w:right w:val="nil"/>
            </w:tcBorders>
            <w:shd w:val="clear" w:color="auto" w:fill="auto"/>
            <w:vAlign w:val="bottom"/>
            <w:hideMark/>
          </w:tcPr>
          <w:p w14:paraId="395A8139" w14:textId="77777777" w:rsidR="00CB16AA" w:rsidRPr="00666914" w:rsidRDefault="00CB16AA" w:rsidP="00985E7A">
            <w:pPr>
              <w:spacing w:after="0"/>
              <w:jc w:val="center"/>
              <w:rPr>
                <w:rFonts w:eastAsia="Times New Roman"/>
                <w:sz w:val="16"/>
                <w:szCs w:val="16"/>
                <w:lang w:eastAsia="sk-SK"/>
              </w:rPr>
            </w:pPr>
          </w:p>
        </w:tc>
      </w:tr>
      <w:tr w:rsidR="00CB16AA" w:rsidRPr="00666914" w14:paraId="7D823040" w14:textId="77777777" w:rsidTr="00315988">
        <w:trPr>
          <w:trHeight w:val="260"/>
        </w:trPr>
        <w:tc>
          <w:tcPr>
            <w:tcW w:w="454" w:type="pct"/>
            <w:tcBorders>
              <w:top w:val="nil"/>
              <w:left w:val="nil"/>
              <w:bottom w:val="nil"/>
              <w:right w:val="nil"/>
            </w:tcBorders>
            <w:shd w:val="clear" w:color="auto" w:fill="auto"/>
            <w:vAlign w:val="center"/>
            <w:hideMark/>
          </w:tcPr>
          <w:p w14:paraId="37CEE0BD"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NDS</w:t>
            </w:r>
          </w:p>
        </w:tc>
        <w:tc>
          <w:tcPr>
            <w:tcW w:w="1341" w:type="pct"/>
            <w:tcBorders>
              <w:top w:val="nil"/>
              <w:left w:val="nil"/>
              <w:bottom w:val="nil"/>
              <w:right w:val="nil"/>
            </w:tcBorders>
            <w:shd w:val="clear" w:color="auto" w:fill="auto"/>
            <w:vAlign w:val="center"/>
            <w:hideMark/>
          </w:tcPr>
          <w:p w14:paraId="1690805D"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R3 Nižná – Dlhá nad Oravou</w:t>
            </w:r>
          </w:p>
        </w:tc>
        <w:tc>
          <w:tcPr>
            <w:tcW w:w="430" w:type="pct"/>
            <w:tcBorders>
              <w:top w:val="nil"/>
              <w:left w:val="nil"/>
              <w:bottom w:val="nil"/>
              <w:right w:val="nil"/>
            </w:tcBorders>
            <w:shd w:val="clear" w:color="auto" w:fill="auto"/>
            <w:vAlign w:val="center"/>
            <w:hideMark/>
          </w:tcPr>
          <w:p w14:paraId="4099311F"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201</w:t>
            </w:r>
          </w:p>
        </w:tc>
        <w:tc>
          <w:tcPr>
            <w:tcW w:w="574" w:type="pct"/>
            <w:tcBorders>
              <w:top w:val="nil"/>
              <w:left w:val="nil"/>
              <w:bottom w:val="nil"/>
              <w:right w:val="nil"/>
            </w:tcBorders>
            <w:shd w:val="clear" w:color="auto" w:fill="auto"/>
            <w:vAlign w:val="center"/>
            <w:hideMark/>
          </w:tcPr>
          <w:p w14:paraId="4FFE5B16"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 06/2017</w:t>
            </w:r>
          </w:p>
        </w:tc>
        <w:tc>
          <w:tcPr>
            <w:tcW w:w="575" w:type="pct"/>
            <w:tcBorders>
              <w:top w:val="nil"/>
              <w:left w:val="nil"/>
              <w:bottom w:val="nil"/>
              <w:right w:val="nil"/>
            </w:tcBorders>
            <w:shd w:val="clear" w:color="auto" w:fill="auto"/>
            <w:vAlign w:val="center"/>
            <w:hideMark/>
          </w:tcPr>
          <w:p w14:paraId="6BF93940"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w:t>
            </w:r>
          </w:p>
        </w:tc>
        <w:tc>
          <w:tcPr>
            <w:tcW w:w="358" w:type="pct"/>
            <w:tcBorders>
              <w:top w:val="nil"/>
              <w:left w:val="nil"/>
              <w:bottom w:val="nil"/>
              <w:right w:val="nil"/>
            </w:tcBorders>
            <w:shd w:val="clear" w:color="auto" w:fill="auto"/>
            <w:vAlign w:val="bottom"/>
            <w:hideMark/>
          </w:tcPr>
          <w:p w14:paraId="5316396B" w14:textId="77777777" w:rsidR="00CB16AA" w:rsidRPr="00666914" w:rsidRDefault="00CB16AA" w:rsidP="00985E7A">
            <w:pPr>
              <w:spacing w:after="0"/>
              <w:jc w:val="center"/>
              <w:rPr>
                <w:rFonts w:eastAsia="Times New Roman" w:cs="Calibri"/>
                <w:color w:val="000000"/>
                <w:sz w:val="16"/>
                <w:szCs w:val="16"/>
                <w:lang w:eastAsia="sk-SK"/>
              </w:rPr>
            </w:pPr>
          </w:p>
        </w:tc>
        <w:tc>
          <w:tcPr>
            <w:tcW w:w="627" w:type="pct"/>
            <w:tcBorders>
              <w:top w:val="nil"/>
              <w:left w:val="nil"/>
              <w:bottom w:val="nil"/>
              <w:right w:val="nil"/>
            </w:tcBorders>
            <w:shd w:val="clear" w:color="auto" w:fill="auto"/>
            <w:vAlign w:val="bottom"/>
            <w:hideMark/>
          </w:tcPr>
          <w:p w14:paraId="16A5B0BD" w14:textId="77777777" w:rsidR="00CB16AA" w:rsidRPr="00666914" w:rsidRDefault="00CB16AA" w:rsidP="00985E7A">
            <w:pPr>
              <w:spacing w:after="0"/>
              <w:jc w:val="center"/>
              <w:rPr>
                <w:rFonts w:eastAsia="Times New Roman"/>
                <w:sz w:val="16"/>
                <w:szCs w:val="16"/>
                <w:lang w:eastAsia="sk-SK"/>
              </w:rPr>
            </w:pPr>
          </w:p>
        </w:tc>
        <w:tc>
          <w:tcPr>
            <w:tcW w:w="641" w:type="pct"/>
            <w:gridSpan w:val="2"/>
            <w:tcBorders>
              <w:top w:val="nil"/>
              <w:left w:val="nil"/>
              <w:bottom w:val="nil"/>
              <w:right w:val="nil"/>
            </w:tcBorders>
            <w:shd w:val="clear" w:color="auto" w:fill="auto"/>
            <w:vAlign w:val="bottom"/>
            <w:hideMark/>
          </w:tcPr>
          <w:p w14:paraId="6D7A0797" w14:textId="77777777" w:rsidR="00CB16AA" w:rsidRPr="00666914" w:rsidRDefault="00CB16AA" w:rsidP="00985E7A">
            <w:pPr>
              <w:spacing w:after="0"/>
              <w:jc w:val="center"/>
              <w:rPr>
                <w:rFonts w:eastAsia="Times New Roman"/>
                <w:sz w:val="16"/>
                <w:szCs w:val="16"/>
                <w:lang w:eastAsia="sk-SK"/>
              </w:rPr>
            </w:pPr>
          </w:p>
        </w:tc>
      </w:tr>
      <w:tr w:rsidR="00CB16AA" w:rsidRPr="00666914" w14:paraId="433D0D6B" w14:textId="77777777" w:rsidTr="00315988">
        <w:trPr>
          <w:trHeight w:val="520"/>
        </w:trPr>
        <w:tc>
          <w:tcPr>
            <w:tcW w:w="454" w:type="pct"/>
            <w:tcBorders>
              <w:top w:val="nil"/>
              <w:left w:val="nil"/>
              <w:bottom w:val="nil"/>
              <w:right w:val="nil"/>
            </w:tcBorders>
            <w:shd w:val="clear" w:color="000000" w:fill="92D050"/>
            <w:vAlign w:val="center"/>
            <w:hideMark/>
          </w:tcPr>
          <w:p w14:paraId="068205F5"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NDS</w:t>
            </w:r>
          </w:p>
        </w:tc>
        <w:tc>
          <w:tcPr>
            <w:tcW w:w="1341" w:type="pct"/>
            <w:tcBorders>
              <w:top w:val="nil"/>
              <w:left w:val="nil"/>
              <w:bottom w:val="nil"/>
              <w:right w:val="nil"/>
            </w:tcBorders>
            <w:shd w:val="clear" w:color="000000" w:fill="92D050"/>
            <w:vAlign w:val="center"/>
            <w:hideMark/>
          </w:tcPr>
          <w:p w14:paraId="452B4179"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R3 Tvrdošín – Nižná</w:t>
            </w:r>
          </w:p>
        </w:tc>
        <w:tc>
          <w:tcPr>
            <w:tcW w:w="430" w:type="pct"/>
            <w:tcBorders>
              <w:top w:val="nil"/>
              <w:left w:val="nil"/>
              <w:bottom w:val="nil"/>
              <w:right w:val="nil"/>
            </w:tcBorders>
            <w:shd w:val="clear" w:color="000000" w:fill="92D050"/>
            <w:vAlign w:val="center"/>
            <w:hideMark/>
          </w:tcPr>
          <w:p w14:paraId="277BA503"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83</w:t>
            </w:r>
          </w:p>
        </w:tc>
        <w:tc>
          <w:tcPr>
            <w:tcW w:w="574" w:type="pct"/>
            <w:tcBorders>
              <w:top w:val="nil"/>
              <w:left w:val="nil"/>
              <w:bottom w:val="nil"/>
              <w:right w:val="nil"/>
            </w:tcBorders>
            <w:shd w:val="clear" w:color="000000" w:fill="92D050"/>
            <w:vAlign w:val="center"/>
            <w:hideMark/>
          </w:tcPr>
          <w:p w14:paraId="4D7626B3"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06/2017</w:t>
            </w:r>
          </w:p>
        </w:tc>
        <w:tc>
          <w:tcPr>
            <w:tcW w:w="575" w:type="pct"/>
            <w:tcBorders>
              <w:top w:val="nil"/>
              <w:left w:val="nil"/>
              <w:bottom w:val="nil"/>
              <w:right w:val="nil"/>
            </w:tcBorders>
            <w:shd w:val="clear" w:color="000000" w:fill="92D050"/>
            <w:vAlign w:val="center"/>
            <w:hideMark/>
          </w:tcPr>
          <w:p w14:paraId="48B78D39"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Ekonomické hodnotenie, DP</w:t>
            </w:r>
          </w:p>
        </w:tc>
        <w:tc>
          <w:tcPr>
            <w:tcW w:w="358" w:type="pct"/>
            <w:tcBorders>
              <w:top w:val="nil"/>
              <w:left w:val="nil"/>
              <w:bottom w:val="nil"/>
              <w:right w:val="nil"/>
            </w:tcBorders>
            <w:shd w:val="clear" w:color="000000" w:fill="92D050"/>
            <w:vAlign w:val="center"/>
            <w:hideMark/>
          </w:tcPr>
          <w:p w14:paraId="44B1A8A3"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06/2017</w:t>
            </w:r>
          </w:p>
        </w:tc>
        <w:tc>
          <w:tcPr>
            <w:tcW w:w="627" w:type="pct"/>
            <w:tcBorders>
              <w:top w:val="nil"/>
              <w:left w:val="nil"/>
              <w:bottom w:val="nil"/>
              <w:right w:val="nil"/>
            </w:tcBorders>
            <w:shd w:val="clear" w:color="000000" w:fill="92D050"/>
            <w:vAlign w:val="center"/>
            <w:hideMark/>
          </w:tcPr>
          <w:p w14:paraId="6E9F4263"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Hodnotenie pred VO</w:t>
            </w:r>
          </w:p>
        </w:tc>
        <w:tc>
          <w:tcPr>
            <w:tcW w:w="641" w:type="pct"/>
            <w:gridSpan w:val="2"/>
            <w:tcBorders>
              <w:top w:val="nil"/>
              <w:left w:val="nil"/>
              <w:bottom w:val="nil"/>
              <w:right w:val="nil"/>
            </w:tcBorders>
            <w:shd w:val="clear" w:color="000000" w:fill="92D050"/>
            <w:vAlign w:val="bottom"/>
            <w:hideMark/>
          </w:tcPr>
          <w:p w14:paraId="6EC2D39C" w14:textId="11617517" w:rsidR="00CB16AA" w:rsidRPr="00666914" w:rsidRDefault="00C45DA3" w:rsidP="00985E7A">
            <w:pPr>
              <w:spacing w:after="0"/>
              <w:jc w:val="right"/>
              <w:rPr>
                <w:rFonts w:eastAsia="Times New Roman" w:cs="Calibri"/>
                <w:color w:val="000000"/>
                <w:sz w:val="16"/>
                <w:szCs w:val="16"/>
                <w:lang w:eastAsia="sk-SK"/>
              </w:rPr>
            </w:pPr>
            <w:hyperlink r:id="rId31" w:history="1">
              <w:r w:rsidR="00E9021B" w:rsidRPr="00666914">
                <w:rPr>
                  <w:rStyle w:val="Hypertextovprepojenie"/>
                  <w:rFonts w:eastAsia="Times New Roman" w:cs="Calibri"/>
                  <w:sz w:val="16"/>
                  <w:szCs w:val="16"/>
                  <w:lang w:eastAsia="sk-SK"/>
                </w:rPr>
                <w:t>https://www.mfsr.sk/sk/financie/hodnota-za-peniaze/hodnotenie-investicnych-projektov/hodnotenie-investicnych-projektov.html</w:t>
              </w:r>
            </w:hyperlink>
            <w:r w:rsidR="00E9021B" w:rsidRPr="00666914">
              <w:rPr>
                <w:rFonts w:eastAsia="Times New Roman" w:cs="Calibri"/>
                <w:color w:val="000000"/>
                <w:sz w:val="16"/>
                <w:szCs w:val="16"/>
                <w:lang w:eastAsia="sk-SK"/>
              </w:rPr>
              <w:t xml:space="preserve"> </w:t>
            </w:r>
            <w:r w:rsidR="000C5CA6" w:rsidRPr="00666914">
              <w:rPr>
                <w:rFonts w:eastAsia="Times New Roman" w:cs="Calibri"/>
                <w:color w:val="000000"/>
                <w:sz w:val="16"/>
                <w:szCs w:val="16"/>
                <w:lang w:eastAsia="sk-SK"/>
              </w:rPr>
              <w:t xml:space="preserve"> </w:t>
            </w:r>
          </w:p>
        </w:tc>
      </w:tr>
      <w:tr w:rsidR="00CB16AA" w:rsidRPr="00666914" w14:paraId="576A7E3B" w14:textId="77777777" w:rsidTr="00315988">
        <w:trPr>
          <w:trHeight w:val="520"/>
        </w:trPr>
        <w:tc>
          <w:tcPr>
            <w:tcW w:w="454" w:type="pct"/>
            <w:tcBorders>
              <w:top w:val="nil"/>
              <w:left w:val="nil"/>
              <w:bottom w:val="nil"/>
              <w:right w:val="nil"/>
            </w:tcBorders>
            <w:shd w:val="clear" w:color="000000" w:fill="92D050"/>
            <w:vAlign w:val="center"/>
            <w:hideMark/>
          </w:tcPr>
          <w:p w14:paraId="1838A48E"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NDS</w:t>
            </w:r>
          </w:p>
        </w:tc>
        <w:tc>
          <w:tcPr>
            <w:tcW w:w="1341" w:type="pct"/>
            <w:tcBorders>
              <w:top w:val="nil"/>
              <w:left w:val="nil"/>
              <w:bottom w:val="nil"/>
              <w:right w:val="nil"/>
            </w:tcBorders>
            <w:shd w:val="clear" w:color="000000" w:fill="92D050"/>
            <w:vAlign w:val="center"/>
            <w:hideMark/>
          </w:tcPr>
          <w:p w14:paraId="500D9787"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R4 Severný obchvat Prešova I. etapa</w:t>
            </w:r>
          </w:p>
        </w:tc>
        <w:tc>
          <w:tcPr>
            <w:tcW w:w="430" w:type="pct"/>
            <w:tcBorders>
              <w:top w:val="nil"/>
              <w:left w:val="nil"/>
              <w:bottom w:val="nil"/>
              <w:right w:val="nil"/>
            </w:tcBorders>
            <w:shd w:val="clear" w:color="000000" w:fill="92D050"/>
            <w:vAlign w:val="center"/>
            <w:hideMark/>
          </w:tcPr>
          <w:p w14:paraId="347AFBDF"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189</w:t>
            </w:r>
          </w:p>
        </w:tc>
        <w:tc>
          <w:tcPr>
            <w:tcW w:w="574" w:type="pct"/>
            <w:tcBorders>
              <w:top w:val="nil"/>
              <w:left w:val="nil"/>
              <w:bottom w:val="nil"/>
              <w:right w:val="nil"/>
            </w:tcBorders>
            <w:shd w:val="clear" w:color="000000" w:fill="92D050"/>
            <w:vAlign w:val="center"/>
            <w:hideMark/>
          </w:tcPr>
          <w:p w14:paraId="6D1D6E14"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áno</w:t>
            </w:r>
          </w:p>
        </w:tc>
        <w:tc>
          <w:tcPr>
            <w:tcW w:w="575" w:type="pct"/>
            <w:tcBorders>
              <w:top w:val="nil"/>
              <w:left w:val="nil"/>
              <w:bottom w:val="nil"/>
              <w:right w:val="nil"/>
            </w:tcBorders>
            <w:shd w:val="clear" w:color="000000" w:fill="92D050"/>
            <w:vAlign w:val="center"/>
            <w:hideMark/>
          </w:tcPr>
          <w:p w14:paraId="1D14EDD4"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DP, Štúdia uskutočniteľnosti</w:t>
            </w:r>
          </w:p>
        </w:tc>
        <w:tc>
          <w:tcPr>
            <w:tcW w:w="358" w:type="pct"/>
            <w:tcBorders>
              <w:top w:val="nil"/>
              <w:left w:val="nil"/>
              <w:bottom w:val="nil"/>
              <w:right w:val="nil"/>
            </w:tcBorders>
            <w:shd w:val="clear" w:color="000000" w:fill="92D050"/>
            <w:vAlign w:val="center"/>
            <w:hideMark/>
          </w:tcPr>
          <w:p w14:paraId="46F49B88"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12/2017</w:t>
            </w:r>
          </w:p>
        </w:tc>
        <w:tc>
          <w:tcPr>
            <w:tcW w:w="627" w:type="pct"/>
            <w:tcBorders>
              <w:top w:val="nil"/>
              <w:left w:val="nil"/>
              <w:bottom w:val="nil"/>
              <w:right w:val="nil"/>
            </w:tcBorders>
            <w:shd w:val="clear" w:color="000000" w:fill="92D050"/>
            <w:vAlign w:val="center"/>
            <w:hideMark/>
          </w:tcPr>
          <w:p w14:paraId="30FF8F1E"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Hodnotenie pred VO</w:t>
            </w:r>
          </w:p>
        </w:tc>
        <w:tc>
          <w:tcPr>
            <w:tcW w:w="641" w:type="pct"/>
            <w:gridSpan w:val="2"/>
            <w:tcBorders>
              <w:top w:val="nil"/>
              <w:left w:val="nil"/>
              <w:bottom w:val="nil"/>
              <w:right w:val="nil"/>
            </w:tcBorders>
            <w:shd w:val="clear" w:color="000000" w:fill="92D050"/>
            <w:vAlign w:val="bottom"/>
            <w:hideMark/>
          </w:tcPr>
          <w:p w14:paraId="57223C27" w14:textId="62D59BF7" w:rsidR="00CB16AA" w:rsidRPr="00666914" w:rsidRDefault="00C45DA3" w:rsidP="00985E7A">
            <w:pPr>
              <w:spacing w:after="0"/>
              <w:jc w:val="right"/>
              <w:rPr>
                <w:rFonts w:eastAsia="Times New Roman" w:cs="Calibri"/>
                <w:color w:val="000000"/>
                <w:sz w:val="16"/>
                <w:szCs w:val="16"/>
                <w:lang w:eastAsia="sk-SK"/>
              </w:rPr>
            </w:pPr>
            <w:hyperlink r:id="rId32" w:history="1">
              <w:r w:rsidR="00E9021B" w:rsidRPr="00666914">
                <w:rPr>
                  <w:rStyle w:val="Hypertextovprepojenie"/>
                  <w:rFonts w:eastAsia="Times New Roman" w:cs="Calibri"/>
                  <w:sz w:val="16"/>
                  <w:szCs w:val="16"/>
                  <w:lang w:eastAsia="sk-SK"/>
                </w:rPr>
                <w:t>https://www.mfsr.sk/sk/financie/hodnota-za-peniaze/hodnotenie-investicnych-projektov/hodnotenie-investicnych-projektov.html</w:t>
              </w:r>
            </w:hyperlink>
            <w:r w:rsidR="00E9021B" w:rsidRPr="00666914">
              <w:rPr>
                <w:rFonts w:eastAsia="Times New Roman" w:cs="Calibri"/>
                <w:color w:val="000000"/>
                <w:sz w:val="16"/>
                <w:szCs w:val="16"/>
                <w:lang w:eastAsia="sk-SK"/>
              </w:rPr>
              <w:t xml:space="preserve"> </w:t>
            </w:r>
            <w:r w:rsidR="000C5CA6" w:rsidRPr="00666914">
              <w:rPr>
                <w:rFonts w:eastAsia="Times New Roman" w:cs="Calibri"/>
                <w:color w:val="000000"/>
                <w:sz w:val="16"/>
                <w:szCs w:val="16"/>
                <w:lang w:eastAsia="sk-SK"/>
              </w:rPr>
              <w:t xml:space="preserve"> </w:t>
            </w:r>
          </w:p>
        </w:tc>
      </w:tr>
      <w:tr w:rsidR="00CB16AA" w:rsidRPr="00666914" w14:paraId="2B89DC73" w14:textId="77777777" w:rsidTr="00315988">
        <w:trPr>
          <w:trHeight w:val="520"/>
        </w:trPr>
        <w:tc>
          <w:tcPr>
            <w:tcW w:w="454" w:type="pct"/>
            <w:tcBorders>
              <w:top w:val="nil"/>
              <w:left w:val="nil"/>
              <w:bottom w:val="nil"/>
              <w:right w:val="nil"/>
            </w:tcBorders>
            <w:shd w:val="clear" w:color="000000" w:fill="92D050"/>
            <w:vAlign w:val="center"/>
            <w:hideMark/>
          </w:tcPr>
          <w:p w14:paraId="2B798403"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NDS</w:t>
            </w:r>
          </w:p>
        </w:tc>
        <w:tc>
          <w:tcPr>
            <w:tcW w:w="1341" w:type="pct"/>
            <w:tcBorders>
              <w:top w:val="nil"/>
              <w:left w:val="nil"/>
              <w:bottom w:val="nil"/>
              <w:right w:val="nil"/>
            </w:tcBorders>
            <w:shd w:val="clear" w:color="000000" w:fill="92D050"/>
            <w:vAlign w:val="center"/>
            <w:hideMark/>
          </w:tcPr>
          <w:p w14:paraId="6FCA341D"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R2 Mýtna - Lovinobaňa, Tomášovce</w:t>
            </w:r>
          </w:p>
        </w:tc>
        <w:tc>
          <w:tcPr>
            <w:tcW w:w="430" w:type="pct"/>
            <w:tcBorders>
              <w:top w:val="nil"/>
              <w:left w:val="nil"/>
              <w:bottom w:val="nil"/>
              <w:right w:val="nil"/>
            </w:tcBorders>
            <w:shd w:val="clear" w:color="000000" w:fill="92D050"/>
            <w:vAlign w:val="center"/>
            <w:hideMark/>
          </w:tcPr>
          <w:p w14:paraId="3B3E3240"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168</w:t>
            </w:r>
          </w:p>
        </w:tc>
        <w:tc>
          <w:tcPr>
            <w:tcW w:w="574" w:type="pct"/>
            <w:tcBorders>
              <w:top w:val="nil"/>
              <w:left w:val="nil"/>
              <w:bottom w:val="nil"/>
              <w:right w:val="nil"/>
            </w:tcBorders>
            <w:shd w:val="clear" w:color="000000" w:fill="92D050"/>
            <w:vAlign w:val="center"/>
            <w:hideMark/>
          </w:tcPr>
          <w:p w14:paraId="5C1A8283"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01/2018</w:t>
            </w:r>
          </w:p>
        </w:tc>
        <w:tc>
          <w:tcPr>
            <w:tcW w:w="575" w:type="pct"/>
            <w:tcBorders>
              <w:top w:val="nil"/>
              <w:left w:val="nil"/>
              <w:bottom w:val="nil"/>
              <w:right w:val="nil"/>
            </w:tcBorders>
            <w:shd w:val="clear" w:color="000000" w:fill="92D050"/>
            <w:vAlign w:val="center"/>
            <w:hideMark/>
          </w:tcPr>
          <w:p w14:paraId="000DBD73"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DP, Prognóza dopravy</w:t>
            </w:r>
          </w:p>
        </w:tc>
        <w:tc>
          <w:tcPr>
            <w:tcW w:w="358" w:type="pct"/>
            <w:tcBorders>
              <w:top w:val="nil"/>
              <w:left w:val="nil"/>
              <w:bottom w:val="nil"/>
              <w:right w:val="nil"/>
            </w:tcBorders>
            <w:shd w:val="clear" w:color="000000" w:fill="92D050"/>
            <w:vAlign w:val="center"/>
            <w:hideMark/>
          </w:tcPr>
          <w:p w14:paraId="2A29A0CC"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02/2018</w:t>
            </w:r>
          </w:p>
        </w:tc>
        <w:tc>
          <w:tcPr>
            <w:tcW w:w="627" w:type="pct"/>
            <w:tcBorders>
              <w:top w:val="nil"/>
              <w:left w:val="nil"/>
              <w:bottom w:val="nil"/>
              <w:right w:val="nil"/>
            </w:tcBorders>
            <w:shd w:val="clear" w:color="000000" w:fill="92D050"/>
            <w:vAlign w:val="center"/>
            <w:hideMark/>
          </w:tcPr>
          <w:p w14:paraId="1A0A788C"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Hodnotenie pred VO</w:t>
            </w:r>
          </w:p>
        </w:tc>
        <w:tc>
          <w:tcPr>
            <w:tcW w:w="641" w:type="pct"/>
            <w:gridSpan w:val="2"/>
            <w:tcBorders>
              <w:top w:val="nil"/>
              <w:left w:val="nil"/>
              <w:bottom w:val="nil"/>
              <w:right w:val="nil"/>
            </w:tcBorders>
            <w:shd w:val="clear" w:color="000000" w:fill="92D050"/>
            <w:vAlign w:val="bottom"/>
            <w:hideMark/>
          </w:tcPr>
          <w:p w14:paraId="1EBF4A15" w14:textId="37CD3DCE" w:rsidR="00CB16AA" w:rsidRPr="00666914" w:rsidRDefault="00C45DA3" w:rsidP="00985E7A">
            <w:pPr>
              <w:spacing w:after="0"/>
              <w:jc w:val="right"/>
              <w:rPr>
                <w:rStyle w:val="Hypertextovprepojenie"/>
              </w:rPr>
            </w:pPr>
            <w:hyperlink r:id="rId33" w:history="1">
              <w:r w:rsidR="00E9021B" w:rsidRPr="00666914">
                <w:rPr>
                  <w:rStyle w:val="Hypertextovprepojenie"/>
                  <w:rFonts w:eastAsia="Times New Roman" w:cs="Calibri"/>
                  <w:sz w:val="16"/>
                  <w:szCs w:val="16"/>
                  <w:lang w:eastAsia="sk-SK"/>
                </w:rPr>
                <w:t>https://www.mfsr.sk/sk/financie/hodnota-za-peniaze/hodnotenie-investicnych-projektov/hodnotenie-investicnych-projektov.html</w:t>
              </w:r>
            </w:hyperlink>
            <w:r w:rsidR="00E9021B" w:rsidRPr="00666914">
              <w:rPr>
                <w:rStyle w:val="Hypertextovprepojenie"/>
                <w:rFonts w:eastAsia="Times New Roman" w:cs="Calibri"/>
                <w:sz w:val="16"/>
                <w:szCs w:val="16"/>
                <w:lang w:eastAsia="sk-SK"/>
              </w:rPr>
              <w:t xml:space="preserve"> </w:t>
            </w:r>
          </w:p>
        </w:tc>
      </w:tr>
      <w:tr w:rsidR="00CB16AA" w:rsidRPr="00666914" w14:paraId="28344DE4" w14:textId="77777777" w:rsidTr="00315988">
        <w:trPr>
          <w:trHeight w:val="780"/>
        </w:trPr>
        <w:tc>
          <w:tcPr>
            <w:tcW w:w="454" w:type="pct"/>
            <w:tcBorders>
              <w:top w:val="nil"/>
              <w:left w:val="nil"/>
              <w:bottom w:val="nil"/>
              <w:right w:val="nil"/>
            </w:tcBorders>
            <w:shd w:val="clear" w:color="000000" w:fill="FF0000"/>
            <w:vAlign w:val="center"/>
            <w:hideMark/>
          </w:tcPr>
          <w:p w14:paraId="62DAF2EE"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NDS</w:t>
            </w:r>
          </w:p>
        </w:tc>
        <w:tc>
          <w:tcPr>
            <w:tcW w:w="1341" w:type="pct"/>
            <w:tcBorders>
              <w:top w:val="nil"/>
              <w:left w:val="nil"/>
              <w:bottom w:val="nil"/>
              <w:right w:val="nil"/>
            </w:tcBorders>
            <w:shd w:val="clear" w:color="000000" w:fill="FF0000"/>
            <w:vAlign w:val="center"/>
            <w:hideMark/>
          </w:tcPr>
          <w:p w14:paraId="04A6756C"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R2 Kriváň - Mýtna</w:t>
            </w:r>
          </w:p>
        </w:tc>
        <w:tc>
          <w:tcPr>
            <w:tcW w:w="430" w:type="pct"/>
            <w:tcBorders>
              <w:top w:val="nil"/>
              <w:left w:val="nil"/>
              <w:bottom w:val="nil"/>
              <w:right w:val="nil"/>
            </w:tcBorders>
            <w:shd w:val="clear" w:color="000000" w:fill="FF0000"/>
            <w:vAlign w:val="center"/>
            <w:hideMark/>
          </w:tcPr>
          <w:p w14:paraId="00F3655D"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234</w:t>
            </w:r>
          </w:p>
        </w:tc>
        <w:tc>
          <w:tcPr>
            <w:tcW w:w="574" w:type="pct"/>
            <w:tcBorders>
              <w:top w:val="nil"/>
              <w:left w:val="nil"/>
              <w:bottom w:val="nil"/>
              <w:right w:val="nil"/>
            </w:tcBorders>
            <w:shd w:val="clear" w:color="000000" w:fill="FF0000"/>
            <w:vAlign w:val="center"/>
            <w:hideMark/>
          </w:tcPr>
          <w:p w14:paraId="14844BF2"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03/2019</w:t>
            </w:r>
          </w:p>
        </w:tc>
        <w:tc>
          <w:tcPr>
            <w:tcW w:w="575" w:type="pct"/>
            <w:tcBorders>
              <w:top w:val="nil"/>
              <w:left w:val="nil"/>
              <w:bottom w:val="nil"/>
              <w:right w:val="nil"/>
            </w:tcBorders>
            <w:shd w:val="clear" w:color="000000" w:fill="FF0000"/>
            <w:vAlign w:val="center"/>
            <w:hideMark/>
          </w:tcPr>
          <w:p w14:paraId="32624E5F"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CBA, dopravný model</w:t>
            </w:r>
          </w:p>
        </w:tc>
        <w:tc>
          <w:tcPr>
            <w:tcW w:w="358" w:type="pct"/>
            <w:tcBorders>
              <w:top w:val="nil"/>
              <w:left w:val="nil"/>
              <w:bottom w:val="nil"/>
              <w:right w:val="nil"/>
            </w:tcBorders>
            <w:shd w:val="clear" w:color="000000" w:fill="FF0000"/>
            <w:vAlign w:val="center"/>
            <w:hideMark/>
          </w:tcPr>
          <w:p w14:paraId="00654E1F"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w:t>
            </w:r>
          </w:p>
        </w:tc>
        <w:tc>
          <w:tcPr>
            <w:tcW w:w="627" w:type="pct"/>
            <w:tcBorders>
              <w:top w:val="nil"/>
              <w:left w:val="nil"/>
              <w:bottom w:val="nil"/>
              <w:right w:val="nil"/>
            </w:tcBorders>
            <w:shd w:val="clear" w:color="000000" w:fill="FF0000"/>
            <w:vAlign w:val="center"/>
            <w:hideMark/>
          </w:tcPr>
          <w:p w14:paraId="4972AE8D"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Príprava hodnotenia</w:t>
            </w:r>
          </w:p>
        </w:tc>
        <w:tc>
          <w:tcPr>
            <w:tcW w:w="641" w:type="pct"/>
            <w:gridSpan w:val="2"/>
            <w:tcBorders>
              <w:top w:val="nil"/>
              <w:left w:val="nil"/>
              <w:bottom w:val="nil"/>
              <w:right w:val="nil"/>
            </w:tcBorders>
            <w:shd w:val="clear" w:color="000000" w:fill="FF0000"/>
            <w:vAlign w:val="center"/>
            <w:hideMark/>
          </w:tcPr>
          <w:p w14:paraId="4F9F2AA8"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Vo vyhlásené bez posúdenia ÚHP v 12/2018.</w:t>
            </w:r>
          </w:p>
        </w:tc>
      </w:tr>
      <w:tr w:rsidR="00CB16AA" w:rsidRPr="00666914" w14:paraId="2D45D56B" w14:textId="77777777" w:rsidTr="00315988">
        <w:trPr>
          <w:trHeight w:val="520"/>
        </w:trPr>
        <w:tc>
          <w:tcPr>
            <w:tcW w:w="454" w:type="pct"/>
            <w:tcBorders>
              <w:top w:val="nil"/>
              <w:left w:val="nil"/>
              <w:bottom w:val="nil"/>
              <w:right w:val="nil"/>
            </w:tcBorders>
            <w:shd w:val="clear" w:color="auto" w:fill="auto"/>
            <w:vAlign w:val="center"/>
            <w:hideMark/>
          </w:tcPr>
          <w:p w14:paraId="799CFC04"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NDS</w:t>
            </w:r>
          </w:p>
        </w:tc>
        <w:tc>
          <w:tcPr>
            <w:tcW w:w="1341" w:type="pct"/>
            <w:tcBorders>
              <w:top w:val="nil"/>
              <w:left w:val="nil"/>
              <w:bottom w:val="nil"/>
              <w:right w:val="nil"/>
            </w:tcBorders>
            <w:shd w:val="clear" w:color="auto" w:fill="auto"/>
            <w:vAlign w:val="center"/>
            <w:hideMark/>
          </w:tcPr>
          <w:p w14:paraId="167D1DA4"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R4 Giraltovce – Kuková</w:t>
            </w:r>
          </w:p>
        </w:tc>
        <w:tc>
          <w:tcPr>
            <w:tcW w:w="430" w:type="pct"/>
            <w:tcBorders>
              <w:top w:val="nil"/>
              <w:left w:val="nil"/>
              <w:bottom w:val="nil"/>
              <w:right w:val="nil"/>
            </w:tcBorders>
            <w:shd w:val="clear" w:color="auto" w:fill="auto"/>
            <w:vAlign w:val="center"/>
            <w:hideMark/>
          </w:tcPr>
          <w:p w14:paraId="58E6DD8A"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105</w:t>
            </w:r>
          </w:p>
        </w:tc>
        <w:tc>
          <w:tcPr>
            <w:tcW w:w="574" w:type="pct"/>
            <w:tcBorders>
              <w:top w:val="nil"/>
              <w:left w:val="nil"/>
              <w:bottom w:val="nil"/>
              <w:right w:val="nil"/>
            </w:tcBorders>
            <w:shd w:val="clear" w:color="auto" w:fill="auto"/>
            <w:vAlign w:val="center"/>
            <w:hideMark/>
          </w:tcPr>
          <w:p w14:paraId="2BCDE37B"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 06/2017</w:t>
            </w:r>
          </w:p>
        </w:tc>
        <w:tc>
          <w:tcPr>
            <w:tcW w:w="575" w:type="pct"/>
            <w:tcBorders>
              <w:top w:val="nil"/>
              <w:left w:val="nil"/>
              <w:bottom w:val="nil"/>
              <w:right w:val="nil"/>
            </w:tcBorders>
            <w:shd w:val="clear" w:color="auto" w:fill="auto"/>
            <w:vAlign w:val="center"/>
            <w:hideMark/>
          </w:tcPr>
          <w:p w14:paraId="149CB230"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 - neaktuálna</w:t>
            </w:r>
          </w:p>
        </w:tc>
        <w:tc>
          <w:tcPr>
            <w:tcW w:w="358" w:type="pct"/>
            <w:tcBorders>
              <w:top w:val="nil"/>
              <w:left w:val="nil"/>
              <w:bottom w:val="nil"/>
              <w:right w:val="nil"/>
            </w:tcBorders>
            <w:shd w:val="clear" w:color="auto" w:fill="auto"/>
            <w:vAlign w:val="bottom"/>
            <w:hideMark/>
          </w:tcPr>
          <w:p w14:paraId="5A6CA05F" w14:textId="77777777" w:rsidR="00CB16AA" w:rsidRPr="00666914" w:rsidRDefault="00CB16AA" w:rsidP="00985E7A">
            <w:pPr>
              <w:spacing w:after="0"/>
              <w:jc w:val="center"/>
              <w:rPr>
                <w:rFonts w:eastAsia="Times New Roman" w:cs="Calibri"/>
                <w:color w:val="000000"/>
                <w:sz w:val="16"/>
                <w:szCs w:val="16"/>
                <w:lang w:eastAsia="sk-SK"/>
              </w:rPr>
            </w:pPr>
          </w:p>
        </w:tc>
        <w:tc>
          <w:tcPr>
            <w:tcW w:w="627" w:type="pct"/>
            <w:tcBorders>
              <w:top w:val="nil"/>
              <w:left w:val="nil"/>
              <w:bottom w:val="nil"/>
              <w:right w:val="nil"/>
            </w:tcBorders>
            <w:shd w:val="clear" w:color="auto" w:fill="auto"/>
            <w:vAlign w:val="bottom"/>
            <w:hideMark/>
          </w:tcPr>
          <w:p w14:paraId="14513A8D" w14:textId="77777777" w:rsidR="00CB16AA" w:rsidRPr="00666914" w:rsidRDefault="00CB16AA" w:rsidP="00985E7A">
            <w:pPr>
              <w:spacing w:after="0"/>
              <w:jc w:val="center"/>
              <w:rPr>
                <w:rFonts w:eastAsia="Times New Roman"/>
                <w:sz w:val="16"/>
                <w:szCs w:val="16"/>
                <w:lang w:eastAsia="sk-SK"/>
              </w:rPr>
            </w:pPr>
          </w:p>
        </w:tc>
        <w:tc>
          <w:tcPr>
            <w:tcW w:w="641" w:type="pct"/>
            <w:gridSpan w:val="2"/>
            <w:tcBorders>
              <w:top w:val="nil"/>
              <w:left w:val="nil"/>
              <w:bottom w:val="nil"/>
              <w:right w:val="nil"/>
            </w:tcBorders>
            <w:shd w:val="clear" w:color="auto" w:fill="auto"/>
            <w:vAlign w:val="center"/>
            <w:hideMark/>
          </w:tcPr>
          <w:p w14:paraId="0B3FE521" w14:textId="77777777" w:rsidR="00CB16AA" w:rsidRPr="00666914" w:rsidRDefault="00CB16AA" w:rsidP="00985E7A">
            <w:pPr>
              <w:spacing w:after="0"/>
              <w:jc w:val="center"/>
              <w:rPr>
                <w:rFonts w:eastAsia="Times New Roman"/>
                <w:sz w:val="16"/>
                <w:szCs w:val="16"/>
                <w:lang w:eastAsia="sk-SK"/>
              </w:rPr>
            </w:pPr>
          </w:p>
        </w:tc>
      </w:tr>
      <w:tr w:rsidR="00CB16AA" w:rsidRPr="00666914" w14:paraId="623CF504" w14:textId="77777777" w:rsidTr="00315988">
        <w:trPr>
          <w:trHeight w:val="520"/>
        </w:trPr>
        <w:tc>
          <w:tcPr>
            <w:tcW w:w="454" w:type="pct"/>
            <w:tcBorders>
              <w:top w:val="nil"/>
              <w:left w:val="nil"/>
              <w:bottom w:val="nil"/>
              <w:right w:val="nil"/>
            </w:tcBorders>
            <w:shd w:val="clear" w:color="auto" w:fill="auto"/>
            <w:vAlign w:val="center"/>
            <w:hideMark/>
          </w:tcPr>
          <w:p w14:paraId="6B1926B6"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NDS</w:t>
            </w:r>
          </w:p>
        </w:tc>
        <w:tc>
          <w:tcPr>
            <w:tcW w:w="1341" w:type="pct"/>
            <w:tcBorders>
              <w:top w:val="nil"/>
              <w:left w:val="nil"/>
              <w:bottom w:val="nil"/>
              <w:right w:val="nil"/>
            </w:tcBorders>
            <w:shd w:val="clear" w:color="auto" w:fill="auto"/>
            <w:vAlign w:val="center"/>
            <w:hideMark/>
          </w:tcPr>
          <w:p w14:paraId="3EEF00D7"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R4 Ladomirová – Hunkovce</w:t>
            </w:r>
          </w:p>
        </w:tc>
        <w:tc>
          <w:tcPr>
            <w:tcW w:w="430" w:type="pct"/>
            <w:tcBorders>
              <w:top w:val="nil"/>
              <w:left w:val="nil"/>
              <w:bottom w:val="nil"/>
              <w:right w:val="nil"/>
            </w:tcBorders>
            <w:shd w:val="clear" w:color="auto" w:fill="auto"/>
            <w:vAlign w:val="center"/>
            <w:hideMark/>
          </w:tcPr>
          <w:p w14:paraId="72000128"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85</w:t>
            </w:r>
          </w:p>
        </w:tc>
        <w:tc>
          <w:tcPr>
            <w:tcW w:w="574" w:type="pct"/>
            <w:tcBorders>
              <w:top w:val="nil"/>
              <w:left w:val="nil"/>
              <w:bottom w:val="nil"/>
              <w:right w:val="nil"/>
            </w:tcBorders>
            <w:shd w:val="clear" w:color="auto" w:fill="auto"/>
            <w:vAlign w:val="center"/>
            <w:hideMark/>
          </w:tcPr>
          <w:p w14:paraId="05395F8F"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 06/2017</w:t>
            </w:r>
          </w:p>
        </w:tc>
        <w:tc>
          <w:tcPr>
            <w:tcW w:w="575" w:type="pct"/>
            <w:tcBorders>
              <w:top w:val="nil"/>
              <w:left w:val="nil"/>
              <w:bottom w:val="nil"/>
              <w:right w:val="nil"/>
            </w:tcBorders>
            <w:shd w:val="clear" w:color="auto" w:fill="auto"/>
            <w:vAlign w:val="center"/>
            <w:hideMark/>
          </w:tcPr>
          <w:p w14:paraId="0513A687"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 - neaktuálna</w:t>
            </w:r>
          </w:p>
        </w:tc>
        <w:tc>
          <w:tcPr>
            <w:tcW w:w="358" w:type="pct"/>
            <w:tcBorders>
              <w:top w:val="nil"/>
              <w:left w:val="nil"/>
              <w:bottom w:val="nil"/>
              <w:right w:val="nil"/>
            </w:tcBorders>
            <w:shd w:val="clear" w:color="auto" w:fill="auto"/>
            <w:vAlign w:val="bottom"/>
            <w:hideMark/>
          </w:tcPr>
          <w:p w14:paraId="5DE837A6" w14:textId="77777777" w:rsidR="00CB16AA" w:rsidRPr="00666914" w:rsidRDefault="00CB16AA" w:rsidP="00985E7A">
            <w:pPr>
              <w:spacing w:after="0"/>
              <w:jc w:val="center"/>
              <w:rPr>
                <w:rFonts w:eastAsia="Times New Roman" w:cs="Calibri"/>
                <w:color w:val="000000"/>
                <w:sz w:val="16"/>
                <w:szCs w:val="16"/>
                <w:lang w:eastAsia="sk-SK"/>
              </w:rPr>
            </w:pPr>
          </w:p>
        </w:tc>
        <w:tc>
          <w:tcPr>
            <w:tcW w:w="627" w:type="pct"/>
            <w:tcBorders>
              <w:top w:val="nil"/>
              <w:left w:val="nil"/>
              <w:bottom w:val="nil"/>
              <w:right w:val="nil"/>
            </w:tcBorders>
            <w:shd w:val="clear" w:color="auto" w:fill="auto"/>
            <w:vAlign w:val="bottom"/>
            <w:hideMark/>
          </w:tcPr>
          <w:p w14:paraId="30ABB465" w14:textId="77777777" w:rsidR="00CB16AA" w:rsidRPr="00666914" w:rsidRDefault="00CB16AA" w:rsidP="00985E7A">
            <w:pPr>
              <w:spacing w:after="0"/>
              <w:jc w:val="center"/>
              <w:rPr>
                <w:rFonts w:eastAsia="Times New Roman"/>
                <w:sz w:val="16"/>
                <w:szCs w:val="16"/>
                <w:lang w:eastAsia="sk-SK"/>
              </w:rPr>
            </w:pPr>
          </w:p>
        </w:tc>
        <w:tc>
          <w:tcPr>
            <w:tcW w:w="641" w:type="pct"/>
            <w:gridSpan w:val="2"/>
            <w:tcBorders>
              <w:top w:val="nil"/>
              <w:left w:val="nil"/>
              <w:bottom w:val="nil"/>
              <w:right w:val="nil"/>
            </w:tcBorders>
            <w:shd w:val="clear" w:color="auto" w:fill="auto"/>
            <w:vAlign w:val="center"/>
            <w:hideMark/>
          </w:tcPr>
          <w:p w14:paraId="46345F68" w14:textId="77777777" w:rsidR="00CB16AA" w:rsidRPr="00666914" w:rsidRDefault="00CB16AA" w:rsidP="00985E7A">
            <w:pPr>
              <w:spacing w:after="0"/>
              <w:jc w:val="center"/>
              <w:rPr>
                <w:rFonts w:eastAsia="Times New Roman"/>
                <w:sz w:val="16"/>
                <w:szCs w:val="16"/>
                <w:lang w:eastAsia="sk-SK"/>
              </w:rPr>
            </w:pPr>
          </w:p>
        </w:tc>
      </w:tr>
      <w:tr w:rsidR="00CB16AA" w:rsidRPr="00666914" w14:paraId="1C7DC387" w14:textId="77777777" w:rsidTr="00315988">
        <w:trPr>
          <w:trHeight w:val="520"/>
        </w:trPr>
        <w:tc>
          <w:tcPr>
            <w:tcW w:w="454" w:type="pct"/>
            <w:tcBorders>
              <w:top w:val="nil"/>
              <w:left w:val="nil"/>
              <w:bottom w:val="nil"/>
              <w:right w:val="nil"/>
            </w:tcBorders>
            <w:shd w:val="clear" w:color="auto" w:fill="auto"/>
            <w:vAlign w:val="center"/>
            <w:hideMark/>
          </w:tcPr>
          <w:p w14:paraId="57908B4B"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NDS</w:t>
            </w:r>
          </w:p>
        </w:tc>
        <w:tc>
          <w:tcPr>
            <w:tcW w:w="1341" w:type="pct"/>
            <w:tcBorders>
              <w:top w:val="nil"/>
              <w:left w:val="nil"/>
              <w:bottom w:val="nil"/>
              <w:right w:val="nil"/>
            </w:tcBorders>
            <w:shd w:val="clear" w:color="auto" w:fill="auto"/>
            <w:vAlign w:val="center"/>
            <w:hideMark/>
          </w:tcPr>
          <w:p w14:paraId="5F3CAB37"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R4 Lipníky – Kapušany</w:t>
            </w:r>
          </w:p>
        </w:tc>
        <w:tc>
          <w:tcPr>
            <w:tcW w:w="430" w:type="pct"/>
            <w:tcBorders>
              <w:top w:val="nil"/>
              <w:left w:val="nil"/>
              <w:bottom w:val="nil"/>
              <w:right w:val="nil"/>
            </w:tcBorders>
            <w:shd w:val="clear" w:color="auto" w:fill="auto"/>
            <w:vAlign w:val="center"/>
            <w:hideMark/>
          </w:tcPr>
          <w:p w14:paraId="35813732"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100</w:t>
            </w:r>
          </w:p>
        </w:tc>
        <w:tc>
          <w:tcPr>
            <w:tcW w:w="574" w:type="pct"/>
            <w:tcBorders>
              <w:top w:val="nil"/>
              <w:left w:val="nil"/>
              <w:bottom w:val="nil"/>
              <w:right w:val="nil"/>
            </w:tcBorders>
            <w:shd w:val="clear" w:color="auto" w:fill="auto"/>
            <w:vAlign w:val="center"/>
            <w:hideMark/>
          </w:tcPr>
          <w:p w14:paraId="392F4751"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 06/2017</w:t>
            </w:r>
          </w:p>
        </w:tc>
        <w:tc>
          <w:tcPr>
            <w:tcW w:w="575" w:type="pct"/>
            <w:tcBorders>
              <w:top w:val="nil"/>
              <w:left w:val="nil"/>
              <w:bottom w:val="nil"/>
              <w:right w:val="nil"/>
            </w:tcBorders>
            <w:shd w:val="clear" w:color="auto" w:fill="auto"/>
            <w:vAlign w:val="center"/>
            <w:hideMark/>
          </w:tcPr>
          <w:p w14:paraId="65CFB335"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 - neaktuálna</w:t>
            </w:r>
          </w:p>
        </w:tc>
        <w:tc>
          <w:tcPr>
            <w:tcW w:w="358" w:type="pct"/>
            <w:tcBorders>
              <w:top w:val="nil"/>
              <w:left w:val="nil"/>
              <w:bottom w:val="nil"/>
              <w:right w:val="nil"/>
            </w:tcBorders>
            <w:shd w:val="clear" w:color="auto" w:fill="auto"/>
            <w:vAlign w:val="bottom"/>
            <w:hideMark/>
          </w:tcPr>
          <w:p w14:paraId="6C1AEEB7" w14:textId="77777777" w:rsidR="00CB16AA" w:rsidRPr="00666914" w:rsidRDefault="00CB16AA" w:rsidP="00985E7A">
            <w:pPr>
              <w:spacing w:after="0"/>
              <w:jc w:val="center"/>
              <w:rPr>
                <w:rFonts w:eastAsia="Times New Roman" w:cs="Calibri"/>
                <w:color w:val="000000"/>
                <w:sz w:val="16"/>
                <w:szCs w:val="16"/>
                <w:lang w:eastAsia="sk-SK"/>
              </w:rPr>
            </w:pPr>
          </w:p>
        </w:tc>
        <w:tc>
          <w:tcPr>
            <w:tcW w:w="627" w:type="pct"/>
            <w:tcBorders>
              <w:top w:val="nil"/>
              <w:left w:val="nil"/>
              <w:bottom w:val="nil"/>
              <w:right w:val="nil"/>
            </w:tcBorders>
            <w:shd w:val="clear" w:color="auto" w:fill="auto"/>
            <w:vAlign w:val="bottom"/>
            <w:hideMark/>
          </w:tcPr>
          <w:p w14:paraId="6044C2FD" w14:textId="77777777" w:rsidR="00CB16AA" w:rsidRPr="00666914" w:rsidRDefault="00CB16AA" w:rsidP="00985E7A">
            <w:pPr>
              <w:spacing w:after="0"/>
              <w:jc w:val="center"/>
              <w:rPr>
                <w:rFonts w:eastAsia="Times New Roman"/>
                <w:sz w:val="16"/>
                <w:szCs w:val="16"/>
                <w:lang w:eastAsia="sk-SK"/>
              </w:rPr>
            </w:pPr>
          </w:p>
        </w:tc>
        <w:tc>
          <w:tcPr>
            <w:tcW w:w="641" w:type="pct"/>
            <w:gridSpan w:val="2"/>
            <w:tcBorders>
              <w:top w:val="nil"/>
              <w:left w:val="nil"/>
              <w:bottom w:val="nil"/>
              <w:right w:val="nil"/>
            </w:tcBorders>
            <w:shd w:val="clear" w:color="auto" w:fill="auto"/>
            <w:vAlign w:val="center"/>
            <w:hideMark/>
          </w:tcPr>
          <w:p w14:paraId="48F93BF3" w14:textId="77777777" w:rsidR="00CB16AA" w:rsidRPr="00666914" w:rsidRDefault="00CB16AA" w:rsidP="00985E7A">
            <w:pPr>
              <w:spacing w:after="0"/>
              <w:jc w:val="center"/>
              <w:rPr>
                <w:rFonts w:eastAsia="Times New Roman"/>
                <w:sz w:val="16"/>
                <w:szCs w:val="16"/>
                <w:lang w:eastAsia="sk-SK"/>
              </w:rPr>
            </w:pPr>
          </w:p>
        </w:tc>
      </w:tr>
      <w:tr w:rsidR="00CB16AA" w:rsidRPr="00666914" w14:paraId="2AEC352E" w14:textId="77777777" w:rsidTr="00315988">
        <w:trPr>
          <w:trHeight w:val="520"/>
        </w:trPr>
        <w:tc>
          <w:tcPr>
            <w:tcW w:w="454" w:type="pct"/>
            <w:tcBorders>
              <w:top w:val="nil"/>
              <w:left w:val="nil"/>
              <w:bottom w:val="nil"/>
              <w:right w:val="nil"/>
            </w:tcBorders>
            <w:shd w:val="clear" w:color="auto" w:fill="auto"/>
            <w:vAlign w:val="center"/>
            <w:hideMark/>
          </w:tcPr>
          <w:p w14:paraId="1FC2DB40"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NDS</w:t>
            </w:r>
          </w:p>
        </w:tc>
        <w:tc>
          <w:tcPr>
            <w:tcW w:w="1341" w:type="pct"/>
            <w:tcBorders>
              <w:top w:val="nil"/>
              <w:left w:val="nil"/>
              <w:bottom w:val="nil"/>
              <w:right w:val="nil"/>
            </w:tcBorders>
            <w:shd w:val="clear" w:color="auto" w:fill="auto"/>
            <w:vAlign w:val="center"/>
            <w:hideMark/>
          </w:tcPr>
          <w:p w14:paraId="1161EB7D"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R4 Svidník – Rakovčík</w:t>
            </w:r>
          </w:p>
        </w:tc>
        <w:tc>
          <w:tcPr>
            <w:tcW w:w="430" w:type="pct"/>
            <w:tcBorders>
              <w:top w:val="nil"/>
              <w:left w:val="nil"/>
              <w:bottom w:val="nil"/>
              <w:right w:val="nil"/>
            </w:tcBorders>
            <w:shd w:val="clear" w:color="auto" w:fill="auto"/>
            <w:vAlign w:val="center"/>
            <w:hideMark/>
          </w:tcPr>
          <w:p w14:paraId="7493C797"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98</w:t>
            </w:r>
          </w:p>
        </w:tc>
        <w:tc>
          <w:tcPr>
            <w:tcW w:w="574" w:type="pct"/>
            <w:tcBorders>
              <w:top w:val="nil"/>
              <w:left w:val="nil"/>
              <w:bottom w:val="nil"/>
              <w:right w:val="nil"/>
            </w:tcBorders>
            <w:shd w:val="clear" w:color="auto" w:fill="auto"/>
            <w:vAlign w:val="center"/>
            <w:hideMark/>
          </w:tcPr>
          <w:p w14:paraId="645CDA00"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 06/2017</w:t>
            </w:r>
          </w:p>
        </w:tc>
        <w:tc>
          <w:tcPr>
            <w:tcW w:w="575" w:type="pct"/>
            <w:tcBorders>
              <w:top w:val="nil"/>
              <w:left w:val="nil"/>
              <w:bottom w:val="nil"/>
              <w:right w:val="nil"/>
            </w:tcBorders>
            <w:shd w:val="clear" w:color="auto" w:fill="auto"/>
            <w:vAlign w:val="center"/>
            <w:hideMark/>
          </w:tcPr>
          <w:p w14:paraId="59240C70"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 - neaktuálna</w:t>
            </w:r>
          </w:p>
        </w:tc>
        <w:tc>
          <w:tcPr>
            <w:tcW w:w="358" w:type="pct"/>
            <w:tcBorders>
              <w:top w:val="nil"/>
              <w:left w:val="nil"/>
              <w:bottom w:val="nil"/>
              <w:right w:val="nil"/>
            </w:tcBorders>
            <w:shd w:val="clear" w:color="auto" w:fill="auto"/>
            <w:vAlign w:val="bottom"/>
            <w:hideMark/>
          </w:tcPr>
          <w:p w14:paraId="56FE07BE" w14:textId="77777777" w:rsidR="00CB16AA" w:rsidRPr="00666914" w:rsidRDefault="00CB16AA" w:rsidP="00985E7A">
            <w:pPr>
              <w:spacing w:after="0"/>
              <w:jc w:val="center"/>
              <w:rPr>
                <w:rFonts w:eastAsia="Times New Roman" w:cs="Calibri"/>
                <w:color w:val="000000"/>
                <w:sz w:val="16"/>
                <w:szCs w:val="16"/>
                <w:lang w:eastAsia="sk-SK"/>
              </w:rPr>
            </w:pPr>
          </w:p>
        </w:tc>
        <w:tc>
          <w:tcPr>
            <w:tcW w:w="627" w:type="pct"/>
            <w:tcBorders>
              <w:top w:val="nil"/>
              <w:left w:val="nil"/>
              <w:bottom w:val="nil"/>
              <w:right w:val="nil"/>
            </w:tcBorders>
            <w:shd w:val="clear" w:color="auto" w:fill="auto"/>
            <w:vAlign w:val="bottom"/>
            <w:hideMark/>
          </w:tcPr>
          <w:p w14:paraId="6A7BE2CE" w14:textId="77777777" w:rsidR="00CB16AA" w:rsidRPr="00666914" w:rsidRDefault="00CB16AA" w:rsidP="00985E7A">
            <w:pPr>
              <w:spacing w:after="0"/>
              <w:jc w:val="center"/>
              <w:rPr>
                <w:rFonts w:eastAsia="Times New Roman"/>
                <w:sz w:val="16"/>
                <w:szCs w:val="16"/>
                <w:lang w:eastAsia="sk-SK"/>
              </w:rPr>
            </w:pPr>
          </w:p>
        </w:tc>
        <w:tc>
          <w:tcPr>
            <w:tcW w:w="641" w:type="pct"/>
            <w:gridSpan w:val="2"/>
            <w:tcBorders>
              <w:top w:val="nil"/>
              <w:left w:val="nil"/>
              <w:bottom w:val="nil"/>
              <w:right w:val="nil"/>
            </w:tcBorders>
            <w:shd w:val="clear" w:color="auto" w:fill="auto"/>
            <w:vAlign w:val="center"/>
            <w:hideMark/>
          </w:tcPr>
          <w:p w14:paraId="2DB8F06C" w14:textId="77777777" w:rsidR="00CB16AA" w:rsidRPr="00666914" w:rsidRDefault="00CB16AA" w:rsidP="00985E7A">
            <w:pPr>
              <w:spacing w:after="0"/>
              <w:jc w:val="center"/>
              <w:rPr>
                <w:rFonts w:eastAsia="Times New Roman"/>
                <w:sz w:val="16"/>
                <w:szCs w:val="16"/>
                <w:lang w:eastAsia="sk-SK"/>
              </w:rPr>
            </w:pPr>
          </w:p>
        </w:tc>
      </w:tr>
      <w:tr w:rsidR="00CB16AA" w:rsidRPr="00666914" w14:paraId="7CF29D61" w14:textId="77777777" w:rsidTr="00315988">
        <w:trPr>
          <w:trHeight w:val="520"/>
        </w:trPr>
        <w:tc>
          <w:tcPr>
            <w:tcW w:w="454" w:type="pct"/>
            <w:tcBorders>
              <w:top w:val="nil"/>
              <w:left w:val="nil"/>
              <w:bottom w:val="nil"/>
              <w:right w:val="nil"/>
            </w:tcBorders>
            <w:shd w:val="clear" w:color="000000" w:fill="FFFF00"/>
            <w:vAlign w:val="center"/>
            <w:hideMark/>
          </w:tcPr>
          <w:p w14:paraId="42C0E64D"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NDS</w:t>
            </w:r>
          </w:p>
        </w:tc>
        <w:tc>
          <w:tcPr>
            <w:tcW w:w="1341" w:type="pct"/>
            <w:tcBorders>
              <w:top w:val="nil"/>
              <w:left w:val="nil"/>
              <w:bottom w:val="nil"/>
              <w:right w:val="nil"/>
            </w:tcBorders>
            <w:shd w:val="clear" w:color="000000" w:fill="FFFF00"/>
            <w:vAlign w:val="center"/>
            <w:hideMark/>
          </w:tcPr>
          <w:p w14:paraId="7D4FE179"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D1 Lietavská Lúčka -- Dubná Skala</w:t>
            </w:r>
          </w:p>
        </w:tc>
        <w:tc>
          <w:tcPr>
            <w:tcW w:w="430" w:type="pct"/>
            <w:tcBorders>
              <w:top w:val="nil"/>
              <w:left w:val="nil"/>
              <w:bottom w:val="nil"/>
              <w:right w:val="nil"/>
            </w:tcBorders>
            <w:shd w:val="clear" w:color="000000" w:fill="FFFF00"/>
            <w:vAlign w:val="center"/>
            <w:hideMark/>
          </w:tcPr>
          <w:p w14:paraId="7C89E66D"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256+100</w:t>
            </w:r>
          </w:p>
        </w:tc>
        <w:tc>
          <w:tcPr>
            <w:tcW w:w="574" w:type="pct"/>
            <w:tcBorders>
              <w:top w:val="nil"/>
              <w:left w:val="nil"/>
              <w:bottom w:val="nil"/>
              <w:right w:val="nil"/>
            </w:tcBorders>
            <w:shd w:val="clear" w:color="000000" w:fill="FFFF00"/>
            <w:vAlign w:val="center"/>
            <w:hideMark/>
          </w:tcPr>
          <w:p w14:paraId="5159CD05"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09/2019</w:t>
            </w:r>
          </w:p>
        </w:tc>
        <w:tc>
          <w:tcPr>
            <w:tcW w:w="575" w:type="pct"/>
            <w:tcBorders>
              <w:top w:val="nil"/>
              <w:left w:val="nil"/>
              <w:bottom w:val="nil"/>
              <w:right w:val="nil"/>
            </w:tcBorders>
            <w:shd w:val="clear" w:color="000000" w:fill="FFFF00"/>
            <w:vAlign w:val="center"/>
            <w:hideMark/>
          </w:tcPr>
          <w:p w14:paraId="7D1B2888"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Stav PD</w:t>
            </w:r>
          </w:p>
        </w:tc>
        <w:tc>
          <w:tcPr>
            <w:tcW w:w="358" w:type="pct"/>
            <w:tcBorders>
              <w:top w:val="nil"/>
              <w:left w:val="nil"/>
              <w:bottom w:val="nil"/>
              <w:right w:val="nil"/>
            </w:tcBorders>
            <w:shd w:val="clear" w:color="000000" w:fill="FFFF00"/>
            <w:vAlign w:val="bottom"/>
            <w:hideMark/>
          </w:tcPr>
          <w:p w14:paraId="15EEE2F1"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w:t>
            </w:r>
          </w:p>
        </w:tc>
        <w:tc>
          <w:tcPr>
            <w:tcW w:w="627" w:type="pct"/>
            <w:tcBorders>
              <w:top w:val="nil"/>
              <w:left w:val="nil"/>
              <w:bottom w:val="nil"/>
              <w:right w:val="nil"/>
            </w:tcBorders>
            <w:shd w:val="clear" w:color="000000" w:fill="FFFF00"/>
            <w:vAlign w:val="bottom"/>
            <w:hideMark/>
          </w:tcPr>
          <w:p w14:paraId="08850302"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Predbežné hodnotenie</w:t>
            </w:r>
          </w:p>
        </w:tc>
        <w:tc>
          <w:tcPr>
            <w:tcW w:w="641" w:type="pct"/>
            <w:gridSpan w:val="2"/>
            <w:tcBorders>
              <w:top w:val="nil"/>
              <w:left w:val="nil"/>
              <w:bottom w:val="nil"/>
              <w:right w:val="nil"/>
            </w:tcBorders>
            <w:shd w:val="clear" w:color="000000" w:fill="FFFF00"/>
            <w:vAlign w:val="center"/>
            <w:hideMark/>
          </w:tcPr>
          <w:p w14:paraId="71D113D4"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Prebieha diskusia / draft stanoviska</w:t>
            </w:r>
          </w:p>
        </w:tc>
      </w:tr>
      <w:tr w:rsidR="00CB16AA" w:rsidRPr="00666914" w14:paraId="4CA0A517" w14:textId="77777777" w:rsidTr="00315988">
        <w:trPr>
          <w:trHeight w:val="990"/>
        </w:trPr>
        <w:tc>
          <w:tcPr>
            <w:tcW w:w="454" w:type="pct"/>
            <w:tcBorders>
              <w:top w:val="nil"/>
              <w:left w:val="nil"/>
              <w:bottom w:val="nil"/>
              <w:right w:val="nil"/>
            </w:tcBorders>
            <w:shd w:val="clear" w:color="000000" w:fill="92D050"/>
            <w:vAlign w:val="center"/>
            <w:hideMark/>
          </w:tcPr>
          <w:p w14:paraId="028C8BB3"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SSC</w:t>
            </w:r>
          </w:p>
        </w:tc>
        <w:tc>
          <w:tcPr>
            <w:tcW w:w="1341" w:type="pct"/>
            <w:tcBorders>
              <w:top w:val="nil"/>
              <w:left w:val="nil"/>
              <w:bottom w:val="nil"/>
              <w:right w:val="nil"/>
            </w:tcBorders>
            <w:shd w:val="clear" w:color="000000" w:fill="92D050"/>
            <w:vAlign w:val="center"/>
            <w:hideMark/>
          </w:tcPr>
          <w:p w14:paraId="64D8166F"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I/18, I/74 Lipníky – Ubľa</w:t>
            </w:r>
          </w:p>
        </w:tc>
        <w:tc>
          <w:tcPr>
            <w:tcW w:w="430" w:type="pct"/>
            <w:tcBorders>
              <w:top w:val="nil"/>
              <w:left w:val="nil"/>
              <w:bottom w:val="nil"/>
              <w:right w:val="nil"/>
            </w:tcBorders>
            <w:shd w:val="clear" w:color="000000" w:fill="92D050"/>
            <w:vAlign w:val="center"/>
            <w:hideMark/>
          </w:tcPr>
          <w:p w14:paraId="50E19A4F"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649</w:t>
            </w:r>
          </w:p>
        </w:tc>
        <w:tc>
          <w:tcPr>
            <w:tcW w:w="574" w:type="pct"/>
            <w:tcBorders>
              <w:top w:val="nil"/>
              <w:left w:val="nil"/>
              <w:bottom w:val="nil"/>
              <w:right w:val="nil"/>
            </w:tcBorders>
            <w:shd w:val="clear" w:color="000000" w:fill="92D050"/>
            <w:vAlign w:val="center"/>
            <w:hideMark/>
          </w:tcPr>
          <w:p w14:paraId="79E9AE73"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10/2017</w:t>
            </w:r>
          </w:p>
        </w:tc>
        <w:tc>
          <w:tcPr>
            <w:tcW w:w="575" w:type="pct"/>
            <w:tcBorders>
              <w:top w:val="nil"/>
              <w:left w:val="nil"/>
              <w:bottom w:val="nil"/>
              <w:right w:val="nil"/>
            </w:tcBorders>
            <w:shd w:val="clear" w:color="000000" w:fill="92D050"/>
            <w:vAlign w:val="center"/>
            <w:hideMark/>
          </w:tcPr>
          <w:p w14:paraId="14D6653F"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w:t>
            </w:r>
          </w:p>
        </w:tc>
        <w:tc>
          <w:tcPr>
            <w:tcW w:w="358" w:type="pct"/>
            <w:tcBorders>
              <w:top w:val="nil"/>
              <w:left w:val="nil"/>
              <w:bottom w:val="nil"/>
              <w:right w:val="nil"/>
            </w:tcBorders>
            <w:shd w:val="clear" w:color="000000" w:fill="92D050"/>
            <w:vAlign w:val="center"/>
            <w:hideMark/>
          </w:tcPr>
          <w:p w14:paraId="7FF6D1EA"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05/2018</w:t>
            </w:r>
          </w:p>
        </w:tc>
        <w:tc>
          <w:tcPr>
            <w:tcW w:w="627" w:type="pct"/>
            <w:tcBorders>
              <w:top w:val="nil"/>
              <w:left w:val="nil"/>
              <w:bottom w:val="nil"/>
              <w:right w:val="nil"/>
            </w:tcBorders>
            <w:shd w:val="clear" w:color="000000" w:fill="92D050"/>
            <w:vAlign w:val="center"/>
            <w:hideMark/>
          </w:tcPr>
          <w:p w14:paraId="3ADFE868"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Hodnotenie ŠU</w:t>
            </w:r>
          </w:p>
        </w:tc>
        <w:tc>
          <w:tcPr>
            <w:tcW w:w="641" w:type="pct"/>
            <w:gridSpan w:val="2"/>
            <w:tcBorders>
              <w:top w:val="nil"/>
              <w:left w:val="nil"/>
              <w:bottom w:val="nil"/>
              <w:right w:val="nil"/>
            </w:tcBorders>
            <w:shd w:val="clear" w:color="000000" w:fill="92D050"/>
            <w:vAlign w:val="center"/>
            <w:hideMark/>
          </w:tcPr>
          <w:p w14:paraId="3AE3B4EC" w14:textId="57C8D0F7" w:rsidR="00CB16AA" w:rsidRPr="00666914" w:rsidRDefault="00C45DA3" w:rsidP="00E9021B">
            <w:pPr>
              <w:spacing w:after="0"/>
              <w:jc w:val="right"/>
              <w:rPr>
                <w:rStyle w:val="Hypertextovprepojenie"/>
              </w:rPr>
            </w:pPr>
            <w:hyperlink r:id="rId34" w:history="1">
              <w:r w:rsidR="00E9021B" w:rsidRPr="00666914">
                <w:rPr>
                  <w:rStyle w:val="Hypertextovprepojenie"/>
                  <w:rFonts w:eastAsia="Times New Roman" w:cs="Calibri"/>
                  <w:sz w:val="16"/>
                  <w:szCs w:val="16"/>
                  <w:lang w:eastAsia="sk-SK"/>
                </w:rPr>
                <w:t>https://www.mfsr.sk/sk/financie/hodnota-za-peniaze/hodnotenie-investicnych-projektov/hodnotenie-investicnych-projektov.html</w:t>
              </w:r>
            </w:hyperlink>
            <w:r w:rsidR="00E9021B" w:rsidRPr="00666914">
              <w:rPr>
                <w:rStyle w:val="Hypertextovprepojenie"/>
                <w:rFonts w:eastAsia="Times New Roman" w:cs="Calibri"/>
                <w:sz w:val="16"/>
                <w:szCs w:val="16"/>
                <w:lang w:eastAsia="sk-SK"/>
              </w:rPr>
              <w:t xml:space="preserve"> </w:t>
            </w:r>
          </w:p>
        </w:tc>
      </w:tr>
      <w:tr w:rsidR="00CB16AA" w:rsidRPr="00666914" w14:paraId="578503D4" w14:textId="77777777" w:rsidTr="00315988">
        <w:trPr>
          <w:trHeight w:val="780"/>
        </w:trPr>
        <w:tc>
          <w:tcPr>
            <w:tcW w:w="454" w:type="pct"/>
            <w:tcBorders>
              <w:top w:val="nil"/>
              <w:left w:val="nil"/>
              <w:bottom w:val="nil"/>
              <w:right w:val="nil"/>
            </w:tcBorders>
            <w:shd w:val="clear" w:color="auto" w:fill="auto"/>
            <w:vAlign w:val="center"/>
            <w:hideMark/>
          </w:tcPr>
          <w:p w14:paraId="49EA37A6"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SSC</w:t>
            </w:r>
          </w:p>
        </w:tc>
        <w:tc>
          <w:tcPr>
            <w:tcW w:w="1341" w:type="pct"/>
            <w:tcBorders>
              <w:top w:val="nil"/>
              <w:left w:val="nil"/>
              <w:bottom w:val="nil"/>
              <w:right w:val="nil"/>
            </w:tcBorders>
            <w:shd w:val="clear" w:color="auto" w:fill="auto"/>
            <w:vAlign w:val="center"/>
            <w:hideMark/>
          </w:tcPr>
          <w:p w14:paraId="3965C268"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I/51, I/61 Hranica SR/ČR – Holíč – Senica – Trnava – Hrnčiarovce nad Parnou</w:t>
            </w:r>
          </w:p>
        </w:tc>
        <w:tc>
          <w:tcPr>
            <w:tcW w:w="430" w:type="pct"/>
            <w:tcBorders>
              <w:top w:val="nil"/>
              <w:left w:val="nil"/>
              <w:bottom w:val="nil"/>
              <w:right w:val="nil"/>
            </w:tcBorders>
            <w:shd w:val="clear" w:color="auto" w:fill="auto"/>
            <w:vAlign w:val="center"/>
            <w:hideMark/>
          </w:tcPr>
          <w:p w14:paraId="0FDFE73A"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476</w:t>
            </w:r>
          </w:p>
        </w:tc>
        <w:tc>
          <w:tcPr>
            <w:tcW w:w="574" w:type="pct"/>
            <w:tcBorders>
              <w:top w:val="nil"/>
              <w:left w:val="nil"/>
              <w:bottom w:val="nil"/>
              <w:right w:val="nil"/>
            </w:tcBorders>
            <w:shd w:val="clear" w:color="auto" w:fill="auto"/>
            <w:vAlign w:val="center"/>
            <w:hideMark/>
          </w:tcPr>
          <w:p w14:paraId="1BB64E93"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09/2017</w:t>
            </w:r>
          </w:p>
        </w:tc>
        <w:tc>
          <w:tcPr>
            <w:tcW w:w="575" w:type="pct"/>
            <w:tcBorders>
              <w:top w:val="nil"/>
              <w:left w:val="nil"/>
              <w:bottom w:val="nil"/>
              <w:right w:val="nil"/>
            </w:tcBorders>
            <w:shd w:val="clear" w:color="auto" w:fill="auto"/>
            <w:vAlign w:val="center"/>
            <w:hideMark/>
          </w:tcPr>
          <w:p w14:paraId="3BF12137"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w:t>
            </w:r>
          </w:p>
        </w:tc>
        <w:tc>
          <w:tcPr>
            <w:tcW w:w="358" w:type="pct"/>
            <w:tcBorders>
              <w:top w:val="nil"/>
              <w:left w:val="nil"/>
              <w:bottom w:val="nil"/>
              <w:right w:val="nil"/>
            </w:tcBorders>
            <w:shd w:val="clear" w:color="auto" w:fill="auto"/>
            <w:vAlign w:val="center"/>
            <w:hideMark/>
          </w:tcPr>
          <w:p w14:paraId="2C93FD38"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09/2017</w:t>
            </w:r>
          </w:p>
        </w:tc>
        <w:tc>
          <w:tcPr>
            <w:tcW w:w="627" w:type="pct"/>
            <w:tcBorders>
              <w:top w:val="nil"/>
              <w:left w:val="nil"/>
              <w:bottom w:val="nil"/>
              <w:right w:val="nil"/>
            </w:tcBorders>
            <w:shd w:val="clear" w:color="000000" w:fill="BDD7EE"/>
            <w:vAlign w:val="bottom"/>
            <w:hideMark/>
          </w:tcPr>
          <w:p w14:paraId="446616B3"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Predbežné hodnotenie</w:t>
            </w:r>
          </w:p>
        </w:tc>
        <w:tc>
          <w:tcPr>
            <w:tcW w:w="641" w:type="pct"/>
            <w:gridSpan w:val="2"/>
            <w:tcBorders>
              <w:top w:val="nil"/>
              <w:left w:val="nil"/>
              <w:bottom w:val="nil"/>
              <w:right w:val="nil"/>
            </w:tcBorders>
            <w:shd w:val="clear" w:color="000000" w:fill="BDD7EE"/>
            <w:vAlign w:val="center"/>
            <w:hideMark/>
          </w:tcPr>
          <w:p w14:paraId="1B81A433"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Pripomienky v rámci záverečného prerokovania ŠU</w:t>
            </w:r>
          </w:p>
        </w:tc>
      </w:tr>
      <w:tr w:rsidR="00CB16AA" w:rsidRPr="00666914" w14:paraId="3EF9286C" w14:textId="77777777" w:rsidTr="00315988">
        <w:trPr>
          <w:trHeight w:val="520"/>
        </w:trPr>
        <w:tc>
          <w:tcPr>
            <w:tcW w:w="454" w:type="pct"/>
            <w:tcBorders>
              <w:top w:val="nil"/>
              <w:left w:val="nil"/>
              <w:bottom w:val="nil"/>
              <w:right w:val="nil"/>
            </w:tcBorders>
            <w:shd w:val="clear" w:color="auto" w:fill="auto"/>
            <w:vAlign w:val="center"/>
            <w:hideMark/>
          </w:tcPr>
          <w:p w14:paraId="24F0CAE9"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SSC</w:t>
            </w:r>
          </w:p>
        </w:tc>
        <w:tc>
          <w:tcPr>
            <w:tcW w:w="1341" w:type="pct"/>
            <w:tcBorders>
              <w:top w:val="nil"/>
              <w:left w:val="nil"/>
              <w:bottom w:val="nil"/>
              <w:right w:val="nil"/>
            </w:tcBorders>
            <w:shd w:val="clear" w:color="auto" w:fill="auto"/>
            <w:vAlign w:val="center"/>
            <w:hideMark/>
          </w:tcPr>
          <w:p w14:paraId="44A51FE4"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I/51, I/76 Nitra – Kalná nad Hronom – Levice (Šarovce)</w:t>
            </w:r>
          </w:p>
        </w:tc>
        <w:tc>
          <w:tcPr>
            <w:tcW w:w="430" w:type="pct"/>
            <w:tcBorders>
              <w:top w:val="nil"/>
              <w:left w:val="nil"/>
              <w:bottom w:val="nil"/>
              <w:right w:val="nil"/>
            </w:tcBorders>
            <w:shd w:val="clear" w:color="auto" w:fill="auto"/>
            <w:vAlign w:val="center"/>
            <w:hideMark/>
          </w:tcPr>
          <w:p w14:paraId="0DC5401A"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w:t>
            </w:r>
          </w:p>
        </w:tc>
        <w:tc>
          <w:tcPr>
            <w:tcW w:w="574" w:type="pct"/>
            <w:tcBorders>
              <w:top w:val="nil"/>
              <w:left w:val="nil"/>
              <w:bottom w:val="nil"/>
              <w:right w:val="nil"/>
            </w:tcBorders>
            <w:shd w:val="clear" w:color="auto" w:fill="auto"/>
            <w:vAlign w:val="center"/>
            <w:hideMark/>
          </w:tcPr>
          <w:p w14:paraId="6338E9DA"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w:t>
            </w:r>
          </w:p>
        </w:tc>
        <w:tc>
          <w:tcPr>
            <w:tcW w:w="575" w:type="pct"/>
            <w:tcBorders>
              <w:top w:val="nil"/>
              <w:left w:val="nil"/>
              <w:bottom w:val="nil"/>
              <w:right w:val="nil"/>
            </w:tcBorders>
            <w:shd w:val="clear" w:color="auto" w:fill="auto"/>
            <w:vAlign w:val="center"/>
            <w:hideMark/>
          </w:tcPr>
          <w:p w14:paraId="19704A2E"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w:t>
            </w:r>
          </w:p>
        </w:tc>
        <w:tc>
          <w:tcPr>
            <w:tcW w:w="358" w:type="pct"/>
            <w:tcBorders>
              <w:top w:val="nil"/>
              <w:left w:val="nil"/>
              <w:bottom w:val="nil"/>
              <w:right w:val="nil"/>
            </w:tcBorders>
            <w:shd w:val="clear" w:color="auto" w:fill="auto"/>
            <w:vAlign w:val="center"/>
            <w:hideMark/>
          </w:tcPr>
          <w:p w14:paraId="03DA9577"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03/2019</w:t>
            </w:r>
          </w:p>
        </w:tc>
        <w:tc>
          <w:tcPr>
            <w:tcW w:w="627" w:type="pct"/>
            <w:tcBorders>
              <w:top w:val="nil"/>
              <w:left w:val="nil"/>
              <w:bottom w:val="nil"/>
              <w:right w:val="nil"/>
            </w:tcBorders>
            <w:shd w:val="clear" w:color="000000" w:fill="BDD7EE"/>
            <w:vAlign w:val="bottom"/>
            <w:hideMark/>
          </w:tcPr>
          <w:p w14:paraId="73A4A608"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Predbežné hodnotenie</w:t>
            </w:r>
          </w:p>
        </w:tc>
        <w:tc>
          <w:tcPr>
            <w:tcW w:w="641" w:type="pct"/>
            <w:gridSpan w:val="2"/>
            <w:tcBorders>
              <w:top w:val="nil"/>
              <w:left w:val="nil"/>
              <w:bottom w:val="nil"/>
              <w:right w:val="nil"/>
            </w:tcBorders>
            <w:shd w:val="clear" w:color="000000" w:fill="BDD7EE"/>
            <w:vAlign w:val="center"/>
            <w:hideMark/>
          </w:tcPr>
          <w:p w14:paraId="0E827CC4"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Pripomienky k ŠU</w:t>
            </w:r>
          </w:p>
        </w:tc>
      </w:tr>
      <w:tr w:rsidR="00CB16AA" w:rsidRPr="00666914" w14:paraId="630C7880" w14:textId="77777777" w:rsidTr="00315988">
        <w:trPr>
          <w:trHeight w:val="520"/>
        </w:trPr>
        <w:tc>
          <w:tcPr>
            <w:tcW w:w="454" w:type="pct"/>
            <w:tcBorders>
              <w:top w:val="nil"/>
              <w:left w:val="nil"/>
              <w:bottom w:val="nil"/>
              <w:right w:val="nil"/>
            </w:tcBorders>
            <w:shd w:val="clear" w:color="auto" w:fill="auto"/>
            <w:vAlign w:val="center"/>
            <w:hideMark/>
          </w:tcPr>
          <w:p w14:paraId="77907A11"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SSC</w:t>
            </w:r>
          </w:p>
        </w:tc>
        <w:tc>
          <w:tcPr>
            <w:tcW w:w="1341" w:type="pct"/>
            <w:tcBorders>
              <w:top w:val="nil"/>
              <w:left w:val="nil"/>
              <w:bottom w:val="nil"/>
              <w:right w:val="nil"/>
            </w:tcBorders>
            <w:shd w:val="clear" w:color="auto" w:fill="auto"/>
            <w:vAlign w:val="center"/>
            <w:hideMark/>
          </w:tcPr>
          <w:p w14:paraId="7CA7DF46"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I/67, I/66, I/77 Rožňava – Bardejovské kúpele</w:t>
            </w:r>
          </w:p>
        </w:tc>
        <w:tc>
          <w:tcPr>
            <w:tcW w:w="430" w:type="pct"/>
            <w:tcBorders>
              <w:top w:val="nil"/>
              <w:left w:val="nil"/>
              <w:bottom w:val="nil"/>
              <w:right w:val="nil"/>
            </w:tcBorders>
            <w:shd w:val="clear" w:color="auto" w:fill="auto"/>
            <w:noWrap/>
            <w:vAlign w:val="center"/>
            <w:hideMark/>
          </w:tcPr>
          <w:p w14:paraId="4F2D7F6F" w14:textId="77777777" w:rsidR="00CB16AA" w:rsidRPr="00666914" w:rsidRDefault="00CB16AA" w:rsidP="00985E7A">
            <w:pPr>
              <w:spacing w:after="0"/>
              <w:jc w:val="center"/>
              <w:rPr>
                <w:rFonts w:eastAsia="Times New Roman" w:cs="Calibri"/>
                <w:b/>
                <w:bCs/>
                <w:color w:val="000000"/>
                <w:sz w:val="16"/>
                <w:szCs w:val="16"/>
                <w:lang w:eastAsia="sk-SK"/>
              </w:rPr>
            </w:pPr>
            <w:r w:rsidRPr="00666914">
              <w:rPr>
                <w:rFonts w:eastAsia="Times New Roman" w:cs="Calibri"/>
                <w:b/>
                <w:bCs/>
                <w:color w:val="000000"/>
                <w:sz w:val="16"/>
                <w:szCs w:val="16"/>
                <w:lang w:eastAsia="sk-SK"/>
              </w:rPr>
              <w:t>-</w:t>
            </w:r>
          </w:p>
        </w:tc>
        <w:tc>
          <w:tcPr>
            <w:tcW w:w="574" w:type="pct"/>
            <w:tcBorders>
              <w:top w:val="nil"/>
              <w:left w:val="nil"/>
              <w:bottom w:val="nil"/>
              <w:right w:val="nil"/>
            </w:tcBorders>
            <w:shd w:val="clear" w:color="auto" w:fill="auto"/>
            <w:noWrap/>
            <w:vAlign w:val="center"/>
            <w:hideMark/>
          </w:tcPr>
          <w:p w14:paraId="1F7E9AAB" w14:textId="77777777" w:rsidR="00CB16AA" w:rsidRPr="00666914" w:rsidRDefault="00CB16AA" w:rsidP="00985E7A">
            <w:pPr>
              <w:spacing w:after="0"/>
              <w:jc w:val="center"/>
              <w:rPr>
                <w:rFonts w:eastAsia="Times New Roman" w:cs="Calibri"/>
                <w:b/>
                <w:bCs/>
                <w:color w:val="000000"/>
                <w:sz w:val="16"/>
                <w:szCs w:val="16"/>
                <w:lang w:eastAsia="sk-SK"/>
              </w:rPr>
            </w:pPr>
            <w:r w:rsidRPr="00666914">
              <w:rPr>
                <w:rFonts w:eastAsia="Times New Roman" w:cs="Calibri"/>
                <w:b/>
                <w:bCs/>
                <w:color w:val="000000"/>
                <w:sz w:val="16"/>
                <w:szCs w:val="16"/>
                <w:lang w:eastAsia="sk-SK"/>
              </w:rPr>
              <w:t>-</w:t>
            </w:r>
          </w:p>
        </w:tc>
        <w:tc>
          <w:tcPr>
            <w:tcW w:w="575" w:type="pct"/>
            <w:tcBorders>
              <w:top w:val="nil"/>
              <w:left w:val="nil"/>
              <w:bottom w:val="nil"/>
              <w:right w:val="nil"/>
            </w:tcBorders>
            <w:shd w:val="clear" w:color="auto" w:fill="auto"/>
            <w:vAlign w:val="center"/>
            <w:hideMark/>
          </w:tcPr>
          <w:p w14:paraId="570067B0"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w:t>
            </w:r>
          </w:p>
        </w:tc>
        <w:tc>
          <w:tcPr>
            <w:tcW w:w="358" w:type="pct"/>
            <w:tcBorders>
              <w:top w:val="nil"/>
              <w:left w:val="nil"/>
              <w:bottom w:val="nil"/>
              <w:right w:val="nil"/>
            </w:tcBorders>
            <w:shd w:val="clear" w:color="auto" w:fill="auto"/>
            <w:vAlign w:val="center"/>
            <w:hideMark/>
          </w:tcPr>
          <w:p w14:paraId="4596B569"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03/2019</w:t>
            </w:r>
          </w:p>
        </w:tc>
        <w:tc>
          <w:tcPr>
            <w:tcW w:w="627" w:type="pct"/>
            <w:tcBorders>
              <w:top w:val="nil"/>
              <w:left w:val="nil"/>
              <w:bottom w:val="nil"/>
              <w:right w:val="nil"/>
            </w:tcBorders>
            <w:shd w:val="clear" w:color="000000" w:fill="BDD7EE"/>
            <w:vAlign w:val="bottom"/>
            <w:hideMark/>
          </w:tcPr>
          <w:p w14:paraId="41BA5B41"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Predbežné hodnotenie</w:t>
            </w:r>
          </w:p>
        </w:tc>
        <w:tc>
          <w:tcPr>
            <w:tcW w:w="641" w:type="pct"/>
            <w:gridSpan w:val="2"/>
            <w:tcBorders>
              <w:top w:val="nil"/>
              <w:left w:val="nil"/>
              <w:bottom w:val="nil"/>
              <w:right w:val="nil"/>
            </w:tcBorders>
            <w:shd w:val="clear" w:color="000000" w:fill="BDD7EE"/>
            <w:vAlign w:val="center"/>
            <w:hideMark/>
          </w:tcPr>
          <w:p w14:paraId="254BABD9"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Pripomienky k ŠU</w:t>
            </w:r>
          </w:p>
        </w:tc>
      </w:tr>
      <w:tr w:rsidR="00CB16AA" w:rsidRPr="00666914" w14:paraId="3EFBB502" w14:textId="77777777" w:rsidTr="00315988">
        <w:trPr>
          <w:trHeight w:val="780"/>
        </w:trPr>
        <w:tc>
          <w:tcPr>
            <w:tcW w:w="454" w:type="pct"/>
            <w:tcBorders>
              <w:top w:val="nil"/>
              <w:left w:val="nil"/>
              <w:bottom w:val="nil"/>
              <w:right w:val="nil"/>
            </w:tcBorders>
            <w:shd w:val="clear" w:color="auto" w:fill="auto"/>
            <w:vAlign w:val="center"/>
            <w:hideMark/>
          </w:tcPr>
          <w:p w14:paraId="7077AA14"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lastRenderedPageBreak/>
              <w:t>SSC</w:t>
            </w:r>
          </w:p>
        </w:tc>
        <w:tc>
          <w:tcPr>
            <w:tcW w:w="1341" w:type="pct"/>
            <w:tcBorders>
              <w:top w:val="nil"/>
              <w:left w:val="nil"/>
              <w:bottom w:val="nil"/>
              <w:right w:val="nil"/>
            </w:tcBorders>
            <w:shd w:val="clear" w:color="auto" w:fill="auto"/>
            <w:vAlign w:val="center"/>
            <w:hideMark/>
          </w:tcPr>
          <w:p w14:paraId="39C4AA77"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I/64 Komárno – Nitra – Topoľčany</w:t>
            </w:r>
          </w:p>
        </w:tc>
        <w:tc>
          <w:tcPr>
            <w:tcW w:w="430" w:type="pct"/>
            <w:tcBorders>
              <w:top w:val="nil"/>
              <w:left w:val="nil"/>
              <w:bottom w:val="nil"/>
              <w:right w:val="nil"/>
            </w:tcBorders>
            <w:shd w:val="clear" w:color="auto" w:fill="auto"/>
            <w:vAlign w:val="center"/>
            <w:hideMark/>
          </w:tcPr>
          <w:p w14:paraId="48CC71F8"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877</w:t>
            </w:r>
          </w:p>
        </w:tc>
        <w:tc>
          <w:tcPr>
            <w:tcW w:w="574" w:type="pct"/>
            <w:tcBorders>
              <w:top w:val="nil"/>
              <w:left w:val="nil"/>
              <w:bottom w:val="nil"/>
              <w:right w:val="nil"/>
            </w:tcBorders>
            <w:shd w:val="clear" w:color="auto" w:fill="auto"/>
            <w:vAlign w:val="center"/>
            <w:hideMark/>
          </w:tcPr>
          <w:p w14:paraId="663D0FA8"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12/2017</w:t>
            </w:r>
          </w:p>
        </w:tc>
        <w:tc>
          <w:tcPr>
            <w:tcW w:w="575" w:type="pct"/>
            <w:tcBorders>
              <w:top w:val="nil"/>
              <w:left w:val="nil"/>
              <w:bottom w:val="nil"/>
              <w:right w:val="nil"/>
            </w:tcBorders>
            <w:shd w:val="clear" w:color="auto" w:fill="auto"/>
            <w:vAlign w:val="center"/>
            <w:hideMark/>
          </w:tcPr>
          <w:p w14:paraId="4F8E94B2"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w:t>
            </w:r>
          </w:p>
        </w:tc>
        <w:tc>
          <w:tcPr>
            <w:tcW w:w="358" w:type="pct"/>
            <w:tcBorders>
              <w:top w:val="nil"/>
              <w:left w:val="nil"/>
              <w:bottom w:val="nil"/>
              <w:right w:val="nil"/>
            </w:tcBorders>
            <w:shd w:val="clear" w:color="auto" w:fill="auto"/>
            <w:vAlign w:val="center"/>
            <w:hideMark/>
          </w:tcPr>
          <w:p w14:paraId="2BEB4363"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09/2017</w:t>
            </w:r>
          </w:p>
        </w:tc>
        <w:tc>
          <w:tcPr>
            <w:tcW w:w="627" w:type="pct"/>
            <w:tcBorders>
              <w:top w:val="nil"/>
              <w:left w:val="nil"/>
              <w:bottom w:val="nil"/>
              <w:right w:val="nil"/>
            </w:tcBorders>
            <w:shd w:val="clear" w:color="000000" w:fill="BDD7EE"/>
            <w:vAlign w:val="bottom"/>
            <w:hideMark/>
          </w:tcPr>
          <w:p w14:paraId="7B84F4D1"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Predbežné hodnotenie</w:t>
            </w:r>
          </w:p>
        </w:tc>
        <w:tc>
          <w:tcPr>
            <w:tcW w:w="641" w:type="pct"/>
            <w:gridSpan w:val="2"/>
            <w:tcBorders>
              <w:top w:val="nil"/>
              <w:left w:val="nil"/>
              <w:bottom w:val="nil"/>
              <w:right w:val="nil"/>
            </w:tcBorders>
            <w:shd w:val="clear" w:color="000000" w:fill="BDD7EE"/>
            <w:vAlign w:val="center"/>
            <w:hideMark/>
          </w:tcPr>
          <w:p w14:paraId="36B0FD8C"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Pripomienky v rámci záverečného prerokovania ŠU</w:t>
            </w:r>
          </w:p>
        </w:tc>
      </w:tr>
      <w:tr w:rsidR="00CB16AA" w:rsidRPr="00666914" w14:paraId="76A56D4C" w14:textId="77777777" w:rsidTr="00315988">
        <w:trPr>
          <w:trHeight w:val="780"/>
        </w:trPr>
        <w:tc>
          <w:tcPr>
            <w:tcW w:w="454" w:type="pct"/>
            <w:tcBorders>
              <w:top w:val="nil"/>
              <w:left w:val="nil"/>
              <w:bottom w:val="nil"/>
              <w:right w:val="nil"/>
            </w:tcBorders>
            <w:shd w:val="clear" w:color="auto" w:fill="auto"/>
            <w:vAlign w:val="center"/>
            <w:hideMark/>
          </w:tcPr>
          <w:p w14:paraId="595BDCB3"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SSC</w:t>
            </w:r>
          </w:p>
        </w:tc>
        <w:tc>
          <w:tcPr>
            <w:tcW w:w="1341" w:type="pct"/>
            <w:tcBorders>
              <w:top w:val="nil"/>
              <w:left w:val="nil"/>
              <w:bottom w:val="nil"/>
              <w:right w:val="nil"/>
            </w:tcBorders>
            <w:shd w:val="clear" w:color="auto" w:fill="auto"/>
            <w:vAlign w:val="center"/>
            <w:hideMark/>
          </w:tcPr>
          <w:p w14:paraId="342EAA1A"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I/66 Banská Bystrica – hranica kraja</w:t>
            </w:r>
          </w:p>
        </w:tc>
        <w:tc>
          <w:tcPr>
            <w:tcW w:w="430" w:type="pct"/>
            <w:tcBorders>
              <w:top w:val="nil"/>
              <w:left w:val="nil"/>
              <w:bottom w:val="nil"/>
              <w:right w:val="nil"/>
            </w:tcBorders>
            <w:shd w:val="clear" w:color="auto" w:fill="auto"/>
            <w:vAlign w:val="center"/>
            <w:hideMark/>
          </w:tcPr>
          <w:p w14:paraId="7D407092"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694</w:t>
            </w:r>
          </w:p>
        </w:tc>
        <w:tc>
          <w:tcPr>
            <w:tcW w:w="574" w:type="pct"/>
            <w:tcBorders>
              <w:top w:val="nil"/>
              <w:left w:val="nil"/>
              <w:bottom w:val="nil"/>
              <w:right w:val="nil"/>
            </w:tcBorders>
            <w:shd w:val="clear" w:color="auto" w:fill="auto"/>
            <w:vAlign w:val="center"/>
            <w:hideMark/>
          </w:tcPr>
          <w:p w14:paraId="2C2B9C08"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09/2017</w:t>
            </w:r>
          </w:p>
        </w:tc>
        <w:tc>
          <w:tcPr>
            <w:tcW w:w="575" w:type="pct"/>
            <w:tcBorders>
              <w:top w:val="nil"/>
              <w:left w:val="nil"/>
              <w:bottom w:val="nil"/>
              <w:right w:val="nil"/>
            </w:tcBorders>
            <w:shd w:val="clear" w:color="auto" w:fill="auto"/>
            <w:vAlign w:val="center"/>
            <w:hideMark/>
          </w:tcPr>
          <w:p w14:paraId="200DB6A6"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w:t>
            </w:r>
          </w:p>
        </w:tc>
        <w:tc>
          <w:tcPr>
            <w:tcW w:w="358" w:type="pct"/>
            <w:tcBorders>
              <w:top w:val="nil"/>
              <w:left w:val="nil"/>
              <w:bottom w:val="nil"/>
              <w:right w:val="nil"/>
            </w:tcBorders>
            <w:shd w:val="clear" w:color="auto" w:fill="auto"/>
            <w:vAlign w:val="center"/>
            <w:hideMark/>
          </w:tcPr>
          <w:p w14:paraId="4924CCAE"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10/2017</w:t>
            </w:r>
          </w:p>
        </w:tc>
        <w:tc>
          <w:tcPr>
            <w:tcW w:w="627" w:type="pct"/>
            <w:tcBorders>
              <w:top w:val="nil"/>
              <w:left w:val="nil"/>
              <w:bottom w:val="nil"/>
              <w:right w:val="nil"/>
            </w:tcBorders>
            <w:shd w:val="clear" w:color="000000" w:fill="BDD7EE"/>
            <w:vAlign w:val="bottom"/>
            <w:hideMark/>
          </w:tcPr>
          <w:p w14:paraId="23CD08E7"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Predbežné hodnotenie</w:t>
            </w:r>
          </w:p>
        </w:tc>
        <w:tc>
          <w:tcPr>
            <w:tcW w:w="641" w:type="pct"/>
            <w:gridSpan w:val="2"/>
            <w:tcBorders>
              <w:top w:val="nil"/>
              <w:left w:val="nil"/>
              <w:bottom w:val="nil"/>
              <w:right w:val="nil"/>
            </w:tcBorders>
            <w:shd w:val="clear" w:color="000000" w:fill="BDD7EE"/>
            <w:vAlign w:val="center"/>
            <w:hideMark/>
          </w:tcPr>
          <w:p w14:paraId="0BDB49A8"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Pripomienky v rámci záverečného prerokovania ŠU</w:t>
            </w:r>
          </w:p>
        </w:tc>
      </w:tr>
      <w:tr w:rsidR="00CB16AA" w:rsidRPr="00666914" w14:paraId="6F4757CF" w14:textId="77777777" w:rsidTr="00315988">
        <w:trPr>
          <w:trHeight w:val="780"/>
        </w:trPr>
        <w:tc>
          <w:tcPr>
            <w:tcW w:w="454" w:type="pct"/>
            <w:tcBorders>
              <w:top w:val="nil"/>
              <w:left w:val="nil"/>
              <w:bottom w:val="nil"/>
              <w:right w:val="nil"/>
            </w:tcBorders>
            <w:shd w:val="clear" w:color="000000" w:fill="92D050"/>
            <w:vAlign w:val="center"/>
            <w:hideMark/>
          </w:tcPr>
          <w:p w14:paraId="435EF073"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SSC</w:t>
            </w:r>
          </w:p>
        </w:tc>
        <w:tc>
          <w:tcPr>
            <w:tcW w:w="1341" w:type="pct"/>
            <w:tcBorders>
              <w:top w:val="nil"/>
              <w:left w:val="nil"/>
              <w:bottom w:val="nil"/>
              <w:right w:val="nil"/>
            </w:tcBorders>
            <w:shd w:val="clear" w:color="000000" w:fill="92D050"/>
            <w:vAlign w:val="center"/>
            <w:hideMark/>
          </w:tcPr>
          <w:p w14:paraId="2C3B3EB9"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I/68 Mníšek – Prešov</w:t>
            </w:r>
          </w:p>
        </w:tc>
        <w:tc>
          <w:tcPr>
            <w:tcW w:w="430" w:type="pct"/>
            <w:tcBorders>
              <w:top w:val="nil"/>
              <w:left w:val="nil"/>
              <w:bottom w:val="nil"/>
              <w:right w:val="nil"/>
            </w:tcBorders>
            <w:shd w:val="clear" w:color="000000" w:fill="92D050"/>
            <w:vAlign w:val="center"/>
            <w:hideMark/>
          </w:tcPr>
          <w:p w14:paraId="77E21BF7"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1099</w:t>
            </w:r>
          </w:p>
        </w:tc>
        <w:tc>
          <w:tcPr>
            <w:tcW w:w="574" w:type="pct"/>
            <w:tcBorders>
              <w:top w:val="nil"/>
              <w:left w:val="nil"/>
              <w:bottom w:val="nil"/>
              <w:right w:val="nil"/>
            </w:tcBorders>
            <w:shd w:val="clear" w:color="000000" w:fill="92D050"/>
            <w:vAlign w:val="center"/>
            <w:hideMark/>
          </w:tcPr>
          <w:p w14:paraId="3857CDFD"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10/2017</w:t>
            </w:r>
          </w:p>
        </w:tc>
        <w:tc>
          <w:tcPr>
            <w:tcW w:w="575" w:type="pct"/>
            <w:tcBorders>
              <w:top w:val="nil"/>
              <w:left w:val="nil"/>
              <w:bottom w:val="nil"/>
              <w:right w:val="nil"/>
            </w:tcBorders>
            <w:shd w:val="clear" w:color="000000" w:fill="92D050"/>
            <w:vAlign w:val="center"/>
            <w:hideMark/>
          </w:tcPr>
          <w:p w14:paraId="1B86351C"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w:t>
            </w:r>
          </w:p>
        </w:tc>
        <w:tc>
          <w:tcPr>
            <w:tcW w:w="358" w:type="pct"/>
            <w:tcBorders>
              <w:top w:val="nil"/>
              <w:left w:val="nil"/>
              <w:bottom w:val="nil"/>
              <w:right w:val="nil"/>
            </w:tcBorders>
            <w:shd w:val="clear" w:color="000000" w:fill="92D050"/>
            <w:vAlign w:val="center"/>
            <w:hideMark/>
          </w:tcPr>
          <w:p w14:paraId="06B0309E"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06/2019</w:t>
            </w:r>
          </w:p>
        </w:tc>
        <w:tc>
          <w:tcPr>
            <w:tcW w:w="627" w:type="pct"/>
            <w:tcBorders>
              <w:top w:val="nil"/>
              <w:left w:val="nil"/>
              <w:bottom w:val="nil"/>
              <w:right w:val="nil"/>
            </w:tcBorders>
            <w:shd w:val="clear" w:color="000000" w:fill="92D050"/>
            <w:vAlign w:val="center"/>
            <w:hideMark/>
          </w:tcPr>
          <w:p w14:paraId="3045CEC7"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Hodnotenie ŠU</w:t>
            </w:r>
          </w:p>
        </w:tc>
        <w:tc>
          <w:tcPr>
            <w:tcW w:w="641" w:type="pct"/>
            <w:gridSpan w:val="2"/>
            <w:tcBorders>
              <w:top w:val="nil"/>
              <w:left w:val="nil"/>
              <w:bottom w:val="nil"/>
              <w:right w:val="nil"/>
            </w:tcBorders>
            <w:shd w:val="clear" w:color="000000" w:fill="92D050"/>
            <w:vAlign w:val="center"/>
            <w:hideMark/>
          </w:tcPr>
          <w:p w14:paraId="011A76AC" w14:textId="4E05785C" w:rsidR="00CB16AA" w:rsidRPr="00666914" w:rsidRDefault="00C45DA3" w:rsidP="00985E7A">
            <w:pPr>
              <w:spacing w:after="0"/>
              <w:jc w:val="center"/>
              <w:rPr>
                <w:rStyle w:val="Hypertextovprepojenie"/>
              </w:rPr>
            </w:pPr>
            <w:hyperlink r:id="rId35" w:history="1">
              <w:r w:rsidR="00E9021B" w:rsidRPr="00666914">
                <w:rPr>
                  <w:rStyle w:val="Hypertextovprepojenie"/>
                  <w:rFonts w:eastAsia="Times New Roman" w:cs="Calibri"/>
                  <w:sz w:val="16"/>
                  <w:szCs w:val="16"/>
                  <w:lang w:eastAsia="sk-SK"/>
                </w:rPr>
                <w:t>https://www.mfsr.sk/sk/financie/hodnota-za-peniaze/hodnotenie-investicnych-projektov/hodnotenie-investicnych-projektov.html</w:t>
              </w:r>
            </w:hyperlink>
            <w:r w:rsidR="00E9021B" w:rsidRPr="00666914">
              <w:rPr>
                <w:rStyle w:val="Hypertextovprepojenie"/>
                <w:rFonts w:eastAsia="Times New Roman" w:cs="Calibri"/>
                <w:sz w:val="16"/>
                <w:szCs w:val="16"/>
                <w:lang w:eastAsia="sk-SK"/>
              </w:rPr>
              <w:t xml:space="preserve"> </w:t>
            </w:r>
          </w:p>
        </w:tc>
      </w:tr>
      <w:tr w:rsidR="00CB16AA" w:rsidRPr="00666914" w14:paraId="0A98E20E" w14:textId="77777777" w:rsidTr="00315988">
        <w:trPr>
          <w:trHeight w:val="290"/>
        </w:trPr>
        <w:tc>
          <w:tcPr>
            <w:tcW w:w="454" w:type="pct"/>
            <w:tcBorders>
              <w:top w:val="nil"/>
              <w:left w:val="nil"/>
              <w:bottom w:val="nil"/>
              <w:right w:val="nil"/>
            </w:tcBorders>
            <w:shd w:val="clear" w:color="auto" w:fill="auto"/>
            <w:vAlign w:val="center"/>
            <w:hideMark/>
          </w:tcPr>
          <w:p w14:paraId="1F008A4D"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SSC</w:t>
            </w:r>
          </w:p>
        </w:tc>
        <w:tc>
          <w:tcPr>
            <w:tcW w:w="1341" w:type="pct"/>
            <w:tcBorders>
              <w:top w:val="nil"/>
              <w:left w:val="nil"/>
              <w:bottom w:val="nil"/>
              <w:right w:val="nil"/>
            </w:tcBorders>
            <w:shd w:val="clear" w:color="auto" w:fill="auto"/>
            <w:vAlign w:val="center"/>
            <w:hideMark/>
          </w:tcPr>
          <w:p w14:paraId="72C672C7"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I/63 Dunajská Streda - Komárno</w:t>
            </w:r>
          </w:p>
        </w:tc>
        <w:tc>
          <w:tcPr>
            <w:tcW w:w="430" w:type="pct"/>
            <w:tcBorders>
              <w:top w:val="nil"/>
              <w:left w:val="nil"/>
              <w:bottom w:val="nil"/>
              <w:right w:val="nil"/>
            </w:tcBorders>
            <w:shd w:val="clear" w:color="auto" w:fill="auto"/>
            <w:vAlign w:val="center"/>
            <w:hideMark/>
          </w:tcPr>
          <w:p w14:paraId="422E2F15"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101</w:t>
            </w:r>
          </w:p>
        </w:tc>
        <w:tc>
          <w:tcPr>
            <w:tcW w:w="574" w:type="pct"/>
            <w:tcBorders>
              <w:top w:val="nil"/>
              <w:left w:val="nil"/>
              <w:bottom w:val="nil"/>
              <w:right w:val="nil"/>
            </w:tcBorders>
            <w:shd w:val="clear" w:color="auto" w:fill="auto"/>
            <w:vAlign w:val="center"/>
            <w:hideMark/>
          </w:tcPr>
          <w:p w14:paraId="00D11CF6"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12/2018</w:t>
            </w:r>
          </w:p>
        </w:tc>
        <w:tc>
          <w:tcPr>
            <w:tcW w:w="575" w:type="pct"/>
            <w:tcBorders>
              <w:top w:val="nil"/>
              <w:left w:val="nil"/>
              <w:bottom w:val="nil"/>
              <w:right w:val="nil"/>
            </w:tcBorders>
            <w:shd w:val="clear" w:color="auto" w:fill="auto"/>
            <w:vAlign w:val="center"/>
            <w:hideMark/>
          </w:tcPr>
          <w:p w14:paraId="7150C528"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w:t>
            </w:r>
          </w:p>
        </w:tc>
        <w:tc>
          <w:tcPr>
            <w:tcW w:w="358" w:type="pct"/>
            <w:tcBorders>
              <w:top w:val="nil"/>
              <w:left w:val="nil"/>
              <w:bottom w:val="nil"/>
              <w:right w:val="nil"/>
            </w:tcBorders>
            <w:shd w:val="clear" w:color="auto" w:fill="auto"/>
            <w:vAlign w:val="center"/>
            <w:hideMark/>
          </w:tcPr>
          <w:p w14:paraId="42A88DC9"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03/2019</w:t>
            </w:r>
          </w:p>
        </w:tc>
        <w:tc>
          <w:tcPr>
            <w:tcW w:w="627" w:type="pct"/>
            <w:tcBorders>
              <w:top w:val="nil"/>
              <w:left w:val="nil"/>
              <w:bottom w:val="nil"/>
              <w:right w:val="nil"/>
            </w:tcBorders>
            <w:shd w:val="clear" w:color="000000" w:fill="FFFF00"/>
            <w:vAlign w:val="center"/>
            <w:hideMark/>
          </w:tcPr>
          <w:p w14:paraId="57543FF2"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Príprava stanoviska</w:t>
            </w:r>
          </w:p>
        </w:tc>
        <w:tc>
          <w:tcPr>
            <w:tcW w:w="641" w:type="pct"/>
            <w:gridSpan w:val="2"/>
            <w:tcBorders>
              <w:top w:val="nil"/>
              <w:left w:val="nil"/>
              <w:bottom w:val="nil"/>
              <w:right w:val="nil"/>
            </w:tcBorders>
            <w:shd w:val="clear" w:color="000000" w:fill="FFFF00"/>
            <w:vAlign w:val="center"/>
            <w:hideMark/>
          </w:tcPr>
          <w:p w14:paraId="5625FE48"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Draft stanoviska</w:t>
            </w:r>
          </w:p>
        </w:tc>
      </w:tr>
      <w:tr w:rsidR="00CB16AA" w:rsidRPr="00666914" w14:paraId="3857B0FA" w14:textId="77777777" w:rsidTr="00315988">
        <w:trPr>
          <w:trHeight w:val="260"/>
        </w:trPr>
        <w:tc>
          <w:tcPr>
            <w:tcW w:w="454" w:type="pct"/>
            <w:tcBorders>
              <w:top w:val="nil"/>
              <w:left w:val="nil"/>
              <w:bottom w:val="nil"/>
              <w:right w:val="nil"/>
            </w:tcBorders>
            <w:shd w:val="clear" w:color="auto" w:fill="auto"/>
            <w:vAlign w:val="center"/>
            <w:hideMark/>
          </w:tcPr>
          <w:p w14:paraId="2624FB05"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SSC</w:t>
            </w:r>
          </w:p>
        </w:tc>
        <w:tc>
          <w:tcPr>
            <w:tcW w:w="1341" w:type="pct"/>
            <w:tcBorders>
              <w:top w:val="nil"/>
              <w:left w:val="nil"/>
              <w:bottom w:val="nil"/>
              <w:right w:val="nil"/>
            </w:tcBorders>
            <w:shd w:val="clear" w:color="auto" w:fill="auto"/>
            <w:vAlign w:val="center"/>
            <w:hideMark/>
          </w:tcPr>
          <w:p w14:paraId="73BEB0AD"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I/72 Rimavská Sobota - Brezno</w:t>
            </w:r>
          </w:p>
        </w:tc>
        <w:tc>
          <w:tcPr>
            <w:tcW w:w="430" w:type="pct"/>
            <w:tcBorders>
              <w:top w:val="nil"/>
              <w:left w:val="nil"/>
              <w:bottom w:val="nil"/>
              <w:right w:val="nil"/>
            </w:tcBorders>
            <w:shd w:val="clear" w:color="auto" w:fill="auto"/>
            <w:vAlign w:val="center"/>
            <w:hideMark/>
          </w:tcPr>
          <w:p w14:paraId="758CD016"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NA</w:t>
            </w:r>
          </w:p>
        </w:tc>
        <w:tc>
          <w:tcPr>
            <w:tcW w:w="574" w:type="pct"/>
            <w:tcBorders>
              <w:top w:val="nil"/>
              <w:left w:val="nil"/>
              <w:bottom w:val="nil"/>
              <w:right w:val="nil"/>
            </w:tcBorders>
            <w:shd w:val="clear" w:color="auto" w:fill="auto"/>
            <w:vAlign w:val="center"/>
            <w:hideMark/>
          </w:tcPr>
          <w:p w14:paraId="3617C3EB"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02/2017</w:t>
            </w:r>
          </w:p>
        </w:tc>
        <w:tc>
          <w:tcPr>
            <w:tcW w:w="575" w:type="pct"/>
            <w:tcBorders>
              <w:top w:val="nil"/>
              <w:left w:val="nil"/>
              <w:bottom w:val="nil"/>
              <w:right w:val="nil"/>
            </w:tcBorders>
            <w:shd w:val="clear" w:color="auto" w:fill="auto"/>
            <w:vAlign w:val="center"/>
            <w:hideMark/>
          </w:tcPr>
          <w:p w14:paraId="48C3E5D0"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w:t>
            </w:r>
          </w:p>
        </w:tc>
        <w:tc>
          <w:tcPr>
            <w:tcW w:w="358" w:type="pct"/>
            <w:tcBorders>
              <w:top w:val="nil"/>
              <w:left w:val="nil"/>
              <w:bottom w:val="nil"/>
              <w:right w:val="nil"/>
            </w:tcBorders>
            <w:shd w:val="clear" w:color="auto" w:fill="auto"/>
            <w:vAlign w:val="center"/>
            <w:hideMark/>
          </w:tcPr>
          <w:p w14:paraId="1E54356E"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02/2017</w:t>
            </w:r>
          </w:p>
        </w:tc>
        <w:tc>
          <w:tcPr>
            <w:tcW w:w="627" w:type="pct"/>
            <w:tcBorders>
              <w:top w:val="nil"/>
              <w:left w:val="nil"/>
              <w:bottom w:val="nil"/>
              <w:right w:val="nil"/>
            </w:tcBorders>
            <w:shd w:val="clear" w:color="auto" w:fill="auto"/>
            <w:vAlign w:val="bottom"/>
            <w:hideMark/>
          </w:tcPr>
          <w:p w14:paraId="1F9280C6" w14:textId="77777777" w:rsidR="00CB16AA" w:rsidRPr="00666914" w:rsidRDefault="00CB16AA" w:rsidP="00985E7A">
            <w:pPr>
              <w:spacing w:after="0"/>
              <w:jc w:val="center"/>
              <w:rPr>
                <w:rFonts w:eastAsia="Times New Roman" w:cs="Calibri"/>
                <w:color w:val="000000"/>
                <w:sz w:val="16"/>
                <w:szCs w:val="16"/>
                <w:lang w:eastAsia="sk-SK"/>
              </w:rPr>
            </w:pPr>
          </w:p>
        </w:tc>
        <w:tc>
          <w:tcPr>
            <w:tcW w:w="641" w:type="pct"/>
            <w:gridSpan w:val="2"/>
            <w:tcBorders>
              <w:top w:val="nil"/>
              <w:left w:val="nil"/>
              <w:bottom w:val="nil"/>
              <w:right w:val="nil"/>
            </w:tcBorders>
            <w:shd w:val="clear" w:color="auto" w:fill="auto"/>
            <w:vAlign w:val="center"/>
            <w:hideMark/>
          </w:tcPr>
          <w:p w14:paraId="5262EE2A"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Doplňujúce otázky</w:t>
            </w:r>
          </w:p>
        </w:tc>
      </w:tr>
      <w:tr w:rsidR="00E9021B" w:rsidRPr="00666914" w14:paraId="298422B4" w14:textId="77777777" w:rsidTr="00315988">
        <w:trPr>
          <w:trHeight w:val="780"/>
        </w:trPr>
        <w:tc>
          <w:tcPr>
            <w:tcW w:w="454" w:type="pct"/>
            <w:tcBorders>
              <w:top w:val="nil"/>
              <w:left w:val="nil"/>
              <w:bottom w:val="nil"/>
              <w:right w:val="nil"/>
            </w:tcBorders>
            <w:shd w:val="clear" w:color="000000" w:fill="92D050"/>
            <w:vAlign w:val="center"/>
            <w:hideMark/>
          </w:tcPr>
          <w:p w14:paraId="172D39FE"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SSC</w:t>
            </w:r>
          </w:p>
        </w:tc>
        <w:tc>
          <w:tcPr>
            <w:tcW w:w="1341" w:type="pct"/>
            <w:tcBorders>
              <w:top w:val="nil"/>
              <w:left w:val="nil"/>
              <w:bottom w:val="nil"/>
              <w:right w:val="nil"/>
            </w:tcBorders>
            <w:shd w:val="clear" w:color="000000" w:fill="92D050"/>
            <w:vAlign w:val="center"/>
            <w:hideMark/>
          </w:tcPr>
          <w:p w14:paraId="3D169094"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I/75 Galanta – Šaľa – Nové Zámky</w:t>
            </w:r>
          </w:p>
        </w:tc>
        <w:tc>
          <w:tcPr>
            <w:tcW w:w="430" w:type="pct"/>
            <w:tcBorders>
              <w:top w:val="nil"/>
              <w:left w:val="nil"/>
              <w:bottom w:val="nil"/>
              <w:right w:val="nil"/>
            </w:tcBorders>
            <w:shd w:val="clear" w:color="000000" w:fill="92D050"/>
            <w:vAlign w:val="center"/>
            <w:hideMark/>
          </w:tcPr>
          <w:p w14:paraId="25B5464C"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96</w:t>
            </w:r>
          </w:p>
        </w:tc>
        <w:tc>
          <w:tcPr>
            <w:tcW w:w="574" w:type="pct"/>
            <w:tcBorders>
              <w:top w:val="nil"/>
              <w:left w:val="nil"/>
              <w:bottom w:val="nil"/>
              <w:right w:val="nil"/>
            </w:tcBorders>
            <w:shd w:val="clear" w:color="000000" w:fill="92D050"/>
            <w:vAlign w:val="center"/>
            <w:hideMark/>
          </w:tcPr>
          <w:p w14:paraId="3656A4DB"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08/2017</w:t>
            </w:r>
          </w:p>
        </w:tc>
        <w:tc>
          <w:tcPr>
            <w:tcW w:w="575" w:type="pct"/>
            <w:tcBorders>
              <w:top w:val="nil"/>
              <w:left w:val="nil"/>
              <w:bottom w:val="nil"/>
              <w:right w:val="nil"/>
            </w:tcBorders>
            <w:shd w:val="clear" w:color="000000" w:fill="92D050"/>
            <w:vAlign w:val="center"/>
            <w:hideMark/>
          </w:tcPr>
          <w:p w14:paraId="34FF37D5"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w:t>
            </w:r>
          </w:p>
        </w:tc>
        <w:tc>
          <w:tcPr>
            <w:tcW w:w="358" w:type="pct"/>
            <w:tcBorders>
              <w:top w:val="nil"/>
              <w:left w:val="nil"/>
              <w:bottom w:val="nil"/>
              <w:right w:val="nil"/>
            </w:tcBorders>
            <w:shd w:val="clear" w:color="000000" w:fill="92D050"/>
            <w:vAlign w:val="center"/>
            <w:hideMark/>
          </w:tcPr>
          <w:p w14:paraId="3E0DAACA"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01/2019</w:t>
            </w:r>
          </w:p>
        </w:tc>
        <w:tc>
          <w:tcPr>
            <w:tcW w:w="627" w:type="pct"/>
            <w:tcBorders>
              <w:top w:val="nil"/>
              <w:left w:val="nil"/>
              <w:bottom w:val="nil"/>
              <w:right w:val="nil"/>
            </w:tcBorders>
            <w:shd w:val="clear" w:color="000000" w:fill="92D050"/>
            <w:vAlign w:val="center"/>
            <w:hideMark/>
          </w:tcPr>
          <w:p w14:paraId="2D5DDB01"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Hodnotenie ŠU</w:t>
            </w:r>
          </w:p>
        </w:tc>
        <w:tc>
          <w:tcPr>
            <w:tcW w:w="641" w:type="pct"/>
            <w:gridSpan w:val="2"/>
            <w:tcBorders>
              <w:top w:val="nil"/>
              <w:left w:val="nil"/>
              <w:bottom w:val="nil"/>
              <w:right w:val="nil"/>
            </w:tcBorders>
            <w:shd w:val="clear" w:color="000000" w:fill="92D050"/>
            <w:vAlign w:val="center"/>
            <w:hideMark/>
          </w:tcPr>
          <w:p w14:paraId="04A7841E" w14:textId="42E73917" w:rsidR="00E9021B" w:rsidRPr="00666914" w:rsidRDefault="00C45DA3" w:rsidP="00E9021B">
            <w:pPr>
              <w:spacing w:after="0"/>
              <w:jc w:val="center"/>
              <w:rPr>
                <w:rFonts w:eastAsia="Times New Roman" w:cs="Calibri"/>
                <w:color w:val="0563C1"/>
                <w:sz w:val="16"/>
                <w:szCs w:val="16"/>
                <w:u w:val="single"/>
                <w:lang w:eastAsia="sk-SK"/>
              </w:rPr>
            </w:pPr>
            <w:hyperlink r:id="rId36" w:history="1">
              <w:r w:rsidR="00E9021B" w:rsidRPr="00666914">
                <w:rPr>
                  <w:rStyle w:val="Hypertextovprepojenie"/>
                  <w:rFonts w:eastAsia="Times New Roman" w:cs="Calibri"/>
                  <w:sz w:val="16"/>
                  <w:szCs w:val="16"/>
                  <w:lang w:eastAsia="sk-SK"/>
                </w:rPr>
                <w:t>https://www.mfsr.sk/sk/financie/hodnota-za-peniaze/hodnotenie-investicnych-projektov/hodnotenie-investicnych-projektov.html</w:t>
              </w:r>
            </w:hyperlink>
            <w:r w:rsidR="00E9021B" w:rsidRPr="00666914">
              <w:rPr>
                <w:rStyle w:val="Hypertextovprepojenie"/>
                <w:rFonts w:eastAsia="Times New Roman" w:cs="Calibri"/>
                <w:sz w:val="16"/>
                <w:szCs w:val="16"/>
                <w:lang w:eastAsia="sk-SK"/>
              </w:rPr>
              <w:t xml:space="preserve"> </w:t>
            </w:r>
          </w:p>
        </w:tc>
      </w:tr>
      <w:tr w:rsidR="00CB16AA" w:rsidRPr="00666914" w14:paraId="5B7ECE20" w14:textId="77777777" w:rsidTr="00315988">
        <w:trPr>
          <w:trHeight w:val="520"/>
        </w:trPr>
        <w:tc>
          <w:tcPr>
            <w:tcW w:w="454" w:type="pct"/>
            <w:tcBorders>
              <w:top w:val="nil"/>
              <w:left w:val="nil"/>
              <w:bottom w:val="nil"/>
              <w:right w:val="nil"/>
            </w:tcBorders>
            <w:shd w:val="clear" w:color="000000" w:fill="BDD7EE"/>
            <w:vAlign w:val="center"/>
            <w:hideMark/>
          </w:tcPr>
          <w:p w14:paraId="4D3428E2"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SSC</w:t>
            </w:r>
          </w:p>
        </w:tc>
        <w:tc>
          <w:tcPr>
            <w:tcW w:w="1341" w:type="pct"/>
            <w:tcBorders>
              <w:top w:val="nil"/>
              <w:left w:val="nil"/>
              <w:bottom w:val="nil"/>
              <w:right w:val="nil"/>
            </w:tcBorders>
            <w:shd w:val="clear" w:color="000000" w:fill="BDD7EE"/>
            <w:vAlign w:val="center"/>
            <w:hideMark/>
          </w:tcPr>
          <w:p w14:paraId="6511499B"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I/64 Topoľčany -- Žilina</w:t>
            </w:r>
          </w:p>
        </w:tc>
        <w:tc>
          <w:tcPr>
            <w:tcW w:w="430" w:type="pct"/>
            <w:tcBorders>
              <w:top w:val="nil"/>
              <w:left w:val="nil"/>
              <w:bottom w:val="nil"/>
              <w:right w:val="nil"/>
            </w:tcBorders>
            <w:shd w:val="clear" w:color="000000" w:fill="BDD7EE"/>
            <w:noWrap/>
            <w:vAlign w:val="center"/>
            <w:hideMark/>
          </w:tcPr>
          <w:p w14:paraId="6341A18A" w14:textId="77777777" w:rsidR="00CB16AA" w:rsidRPr="00666914" w:rsidRDefault="00CB16AA" w:rsidP="00985E7A">
            <w:pPr>
              <w:spacing w:after="0"/>
              <w:jc w:val="center"/>
              <w:rPr>
                <w:rFonts w:eastAsia="Times New Roman" w:cs="Calibri"/>
                <w:b/>
                <w:bCs/>
                <w:color w:val="000000"/>
                <w:sz w:val="16"/>
                <w:szCs w:val="16"/>
                <w:lang w:eastAsia="sk-SK"/>
              </w:rPr>
            </w:pPr>
            <w:r w:rsidRPr="00666914">
              <w:rPr>
                <w:rFonts w:eastAsia="Times New Roman" w:cs="Calibri"/>
                <w:b/>
                <w:bCs/>
                <w:color w:val="000000"/>
                <w:sz w:val="16"/>
                <w:szCs w:val="16"/>
                <w:lang w:eastAsia="sk-SK"/>
              </w:rPr>
              <w:t>-</w:t>
            </w:r>
          </w:p>
        </w:tc>
        <w:tc>
          <w:tcPr>
            <w:tcW w:w="574" w:type="pct"/>
            <w:tcBorders>
              <w:top w:val="nil"/>
              <w:left w:val="nil"/>
              <w:bottom w:val="nil"/>
              <w:right w:val="nil"/>
            </w:tcBorders>
            <w:shd w:val="clear" w:color="000000" w:fill="BDD7EE"/>
            <w:noWrap/>
            <w:vAlign w:val="center"/>
            <w:hideMark/>
          </w:tcPr>
          <w:p w14:paraId="67DF09FD" w14:textId="77777777" w:rsidR="00CB16AA" w:rsidRPr="00666914" w:rsidRDefault="00CB16AA" w:rsidP="00985E7A">
            <w:pPr>
              <w:spacing w:after="0"/>
              <w:jc w:val="center"/>
              <w:rPr>
                <w:rFonts w:eastAsia="Times New Roman" w:cs="Calibri"/>
                <w:b/>
                <w:bCs/>
                <w:color w:val="000000"/>
                <w:sz w:val="16"/>
                <w:szCs w:val="16"/>
                <w:lang w:eastAsia="sk-SK"/>
              </w:rPr>
            </w:pPr>
            <w:r w:rsidRPr="00666914">
              <w:rPr>
                <w:rFonts w:eastAsia="Times New Roman" w:cs="Calibri"/>
                <w:b/>
                <w:bCs/>
                <w:color w:val="000000"/>
                <w:sz w:val="16"/>
                <w:szCs w:val="16"/>
                <w:lang w:eastAsia="sk-SK"/>
              </w:rPr>
              <w:t>-</w:t>
            </w:r>
          </w:p>
        </w:tc>
        <w:tc>
          <w:tcPr>
            <w:tcW w:w="575" w:type="pct"/>
            <w:tcBorders>
              <w:top w:val="nil"/>
              <w:left w:val="nil"/>
              <w:bottom w:val="nil"/>
              <w:right w:val="nil"/>
            </w:tcBorders>
            <w:shd w:val="clear" w:color="000000" w:fill="BDD7EE"/>
            <w:vAlign w:val="center"/>
            <w:hideMark/>
          </w:tcPr>
          <w:p w14:paraId="728F2D76"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w:t>
            </w:r>
          </w:p>
        </w:tc>
        <w:tc>
          <w:tcPr>
            <w:tcW w:w="358" w:type="pct"/>
            <w:tcBorders>
              <w:top w:val="nil"/>
              <w:left w:val="nil"/>
              <w:bottom w:val="nil"/>
              <w:right w:val="nil"/>
            </w:tcBorders>
            <w:shd w:val="clear" w:color="000000" w:fill="BDD7EE"/>
            <w:vAlign w:val="center"/>
            <w:hideMark/>
          </w:tcPr>
          <w:p w14:paraId="79D0000D"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w:t>
            </w:r>
          </w:p>
        </w:tc>
        <w:tc>
          <w:tcPr>
            <w:tcW w:w="627" w:type="pct"/>
            <w:tcBorders>
              <w:top w:val="nil"/>
              <w:left w:val="nil"/>
              <w:bottom w:val="nil"/>
              <w:right w:val="nil"/>
            </w:tcBorders>
            <w:shd w:val="clear" w:color="000000" w:fill="BDD7EE"/>
            <w:vAlign w:val="center"/>
            <w:hideMark/>
          </w:tcPr>
          <w:p w14:paraId="3B9EDA0D"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Predbežné hodnotenie</w:t>
            </w:r>
          </w:p>
        </w:tc>
        <w:tc>
          <w:tcPr>
            <w:tcW w:w="641" w:type="pct"/>
            <w:gridSpan w:val="2"/>
            <w:tcBorders>
              <w:top w:val="nil"/>
              <w:left w:val="nil"/>
              <w:bottom w:val="nil"/>
              <w:right w:val="nil"/>
            </w:tcBorders>
            <w:shd w:val="clear" w:color="000000" w:fill="BDD7EE"/>
            <w:vAlign w:val="center"/>
            <w:hideMark/>
          </w:tcPr>
          <w:p w14:paraId="581FEAC8" w14:textId="77777777" w:rsidR="00CB16AA" w:rsidRPr="00666914" w:rsidRDefault="00CB16AA" w:rsidP="00985E7A">
            <w:pPr>
              <w:spacing w:after="0"/>
              <w:rPr>
                <w:rFonts w:eastAsia="Times New Roman" w:cs="Calibri"/>
                <w:color w:val="000000"/>
                <w:sz w:val="16"/>
                <w:szCs w:val="16"/>
                <w:lang w:eastAsia="sk-SK"/>
              </w:rPr>
            </w:pPr>
            <w:r w:rsidRPr="00666914">
              <w:rPr>
                <w:rFonts w:eastAsia="Times New Roman" w:cs="Calibri"/>
                <w:color w:val="000000"/>
                <w:sz w:val="16"/>
                <w:szCs w:val="16"/>
                <w:lang w:eastAsia="sk-SK"/>
              </w:rPr>
              <w:t>Pripomienky k ŠU</w:t>
            </w:r>
          </w:p>
        </w:tc>
      </w:tr>
      <w:tr w:rsidR="00CB16AA" w:rsidRPr="00666914" w14:paraId="08F19A48" w14:textId="77777777" w:rsidTr="00315988">
        <w:trPr>
          <w:trHeight w:val="520"/>
        </w:trPr>
        <w:tc>
          <w:tcPr>
            <w:tcW w:w="454" w:type="pct"/>
            <w:tcBorders>
              <w:top w:val="nil"/>
              <w:left w:val="nil"/>
              <w:bottom w:val="nil"/>
              <w:right w:val="nil"/>
            </w:tcBorders>
            <w:shd w:val="clear" w:color="000000" w:fill="BDD7EE"/>
            <w:vAlign w:val="center"/>
            <w:hideMark/>
          </w:tcPr>
          <w:p w14:paraId="2AB688CE"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NDS</w:t>
            </w:r>
          </w:p>
        </w:tc>
        <w:tc>
          <w:tcPr>
            <w:tcW w:w="1341" w:type="pct"/>
            <w:tcBorders>
              <w:top w:val="nil"/>
              <w:left w:val="nil"/>
              <w:bottom w:val="nil"/>
              <w:right w:val="nil"/>
            </w:tcBorders>
            <w:shd w:val="clear" w:color="000000" w:fill="BDD7EE"/>
            <w:vAlign w:val="center"/>
            <w:hideMark/>
          </w:tcPr>
          <w:p w14:paraId="37AAFEE2"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R4 Prešov II. Etapa</w:t>
            </w:r>
          </w:p>
        </w:tc>
        <w:tc>
          <w:tcPr>
            <w:tcW w:w="430" w:type="pct"/>
            <w:tcBorders>
              <w:top w:val="nil"/>
              <w:left w:val="nil"/>
              <w:bottom w:val="nil"/>
              <w:right w:val="nil"/>
            </w:tcBorders>
            <w:shd w:val="clear" w:color="000000" w:fill="BDD7EE"/>
            <w:vAlign w:val="center"/>
            <w:hideMark/>
          </w:tcPr>
          <w:p w14:paraId="3600F8D9"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w:t>
            </w:r>
          </w:p>
        </w:tc>
        <w:tc>
          <w:tcPr>
            <w:tcW w:w="574" w:type="pct"/>
            <w:tcBorders>
              <w:top w:val="nil"/>
              <w:left w:val="nil"/>
              <w:bottom w:val="nil"/>
              <w:right w:val="nil"/>
            </w:tcBorders>
            <w:shd w:val="clear" w:color="000000" w:fill="BDD7EE"/>
            <w:vAlign w:val="center"/>
            <w:hideMark/>
          </w:tcPr>
          <w:p w14:paraId="5E576104"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w:t>
            </w:r>
          </w:p>
        </w:tc>
        <w:tc>
          <w:tcPr>
            <w:tcW w:w="575" w:type="pct"/>
            <w:tcBorders>
              <w:top w:val="nil"/>
              <w:left w:val="nil"/>
              <w:bottom w:val="nil"/>
              <w:right w:val="nil"/>
            </w:tcBorders>
            <w:shd w:val="clear" w:color="000000" w:fill="BDD7EE"/>
            <w:vAlign w:val="center"/>
            <w:hideMark/>
          </w:tcPr>
          <w:p w14:paraId="5931BB88"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Dopravný model</w:t>
            </w:r>
          </w:p>
        </w:tc>
        <w:tc>
          <w:tcPr>
            <w:tcW w:w="358" w:type="pct"/>
            <w:tcBorders>
              <w:top w:val="nil"/>
              <w:left w:val="nil"/>
              <w:bottom w:val="nil"/>
              <w:right w:val="nil"/>
            </w:tcBorders>
            <w:shd w:val="clear" w:color="000000" w:fill="BDD7EE"/>
            <w:vAlign w:val="center"/>
            <w:hideMark/>
          </w:tcPr>
          <w:p w14:paraId="63F42B84"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w:t>
            </w:r>
          </w:p>
        </w:tc>
        <w:tc>
          <w:tcPr>
            <w:tcW w:w="627" w:type="pct"/>
            <w:tcBorders>
              <w:top w:val="nil"/>
              <w:left w:val="nil"/>
              <w:bottom w:val="nil"/>
              <w:right w:val="nil"/>
            </w:tcBorders>
            <w:shd w:val="clear" w:color="000000" w:fill="BDD7EE"/>
            <w:vAlign w:val="center"/>
            <w:hideMark/>
          </w:tcPr>
          <w:p w14:paraId="2936625D"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Predbežné hodnotenie</w:t>
            </w:r>
          </w:p>
        </w:tc>
        <w:tc>
          <w:tcPr>
            <w:tcW w:w="641" w:type="pct"/>
            <w:gridSpan w:val="2"/>
            <w:tcBorders>
              <w:top w:val="nil"/>
              <w:left w:val="nil"/>
              <w:bottom w:val="nil"/>
              <w:right w:val="nil"/>
            </w:tcBorders>
            <w:shd w:val="clear" w:color="000000" w:fill="BDD7EE"/>
            <w:vAlign w:val="center"/>
            <w:hideMark/>
          </w:tcPr>
          <w:p w14:paraId="2668437B" w14:textId="77777777" w:rsidR="00CB16AA" w:rsidRPr="00666914" w:rsidRDefault="00CB16AA" w:rsidP="00985E7A">
            <w:pPr>
              <w:spacing w:after="0"/>
              <w:rPr>
                <w:rFonts w:eastAsia="Times New Roman" w:cs="Calibri"/>
                <w:color w:val="000000"/>
                <w:sz w:val="16"/>
                <w:szCs w:val="16"/>
                <w:lang w:eastAsia="sk-SK"/>
              </w:rPr>
            </w:pPr>
            <w:r w:rsidRPr="00666914">
              <w:rPr>
                <w:rFonts w:eastAsia="Times New Roman" w:cs="Calibri"/>
                <w:color w:val="000000"/>
                <w:sz w:val="16"/>
                <w:szCs w:val="16"/>
                <w:lang w:eastAsia="sk-SK"/>
              </w:rPr>
              <w:t>Pripomienky k prognóze dopravy a alternatívam</w:t>
            </w:r>
          </w:p>
        </w:tc>
      </w:tr>
      <w:tr w:rsidR="00CB16AA" w:rsidRPr="00666914" w14:paraId="09F8DFD5" w14:textId="77777777" w:rsidTr="00315988">
        <w:trPr>
          <w:trHeight w:val="520"/>
        </w:trPr>
        <w:tc>
          <w:tcPr>
            <w:tcW w:w="454" w:type="pct"/>
            <w:tcBorders>
              <w:top w:val="nil"/>
              <w:left w:val="nil"/>
              <w:bottom w:val="nil"/>
              <w:right w:val="nil"/>
            </w:tcBorders>
            <w:shd w:val="clear" w:color="000000" w:fill="BDD7EE"/>
            <w:vAlign w:val="center"/>
            <w:hideMark/>
          </w:tcPr>
          <w:p w14:paraId="37B87268"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NDS</w:t>
            </w:r>
          </w:p>
        </w:tc>
        <w:tc>
          <w:tcPr>
            <w:tcW w:w="1341" w:type="pct"/>
            <w:tcBorders>
              <w:top w:val="nil"/>
              <w:left w:val="nil"/>
              <w:bottom w:val="nil"/>
              <w:right w:val="nil"/>
            </w:tcBorders>
            <w:shd w:val="clear" w:color="000000" w:fill="BDD7EE"/>
            <w:vAlign w:val="center"/>
            <w:hideMark/>
          </w:tcPr>
          <w:p w14:paraId="3A09C6BD"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R8 Nitra - križovatka s R2</w:t>
            </w:r>
          </w:p>
        </w:tc>
        <w:tc>
          <w:tcPr>
            <w:tcW w:w="430" w:type="pct"/>
            <w:tcBorders>
              <w:top w:val="nil"/>
              <w:left w:val="nil"/>
              <w:bottom w:val="nil"/>
              <w:right w:val="nil"/>
            </w:tcBorders>
            <w:shd w:val="clear" w:color="000000" w:fill="BDD7EE"/>
            <w:vAlign w:val="center"/>
            <w:hideMark/>
          </w:tcPr>
          <w:p w14:paraId="241A1B07"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w:t>
            </w:r>
          </w:p>
        </w:tc>
        <w:tc>
          <w:tcPr>
            <w:tcW w:w="574" w:type="pct"/>
            <w:tcBorders>
              <w:top w:val="nil"/>
              <w:left w:val="nil"/>
              <w:bottom w:val="nil"/>
              <w:right w:val="nil"/>
            </w:tcBorders>
            <w:shd w:val="clear" w:color="000000" w:fill="BDD7EE"/>
            <w:vAlign w:val="center"/>
            <w:hideMark/>
          </w:tcPr>
          <w:p w14:paraId="188B9145"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w:t>
            </w:r>
          </w:p>
        </w:tc>
        <w:tc>
          <w:tcPr>
            <w:tcW w:w="575" w:type="pct"/>
            <w:tcBorders>
              <w:top w:val="nil"/>
              <w:left w:val="nil"/>
              <w:bottom w:val="nil"/>
              <w:right w:val="nil"/>
            </w:tcBorders>
            <w:shd w:val="clear" w:color="000000" w:fill="BDD7EE"/>
            <w:vAlign w:val="center"/>
            <w:hideMark/>
          </w:tcPr>
          <w:p w14:paraId="3D50C09C"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Dopravný model</w:t>
            </w:r>
          </w:p>
        </w:tc>
        <w:tc>
          <w:tcPr>
            <w:tcW w:w="358" w:type="pct"/>
            <w:tcBorders>
              <w:top w:val="nil"/>
              <w:left w:val="nil"/>
              <w:bottom w:val="nil"/>
              <w:right w:val="nil"/>
            </w:tcBorders>
            <w:shd w:val="clear" w:color="000000" w:fill="BDD7EE"/>
            <w:vAlign w:val="center"/>
            <w:hideMark/>
          </w:tcPr>
          <w:p w14:paraId="5DF9F185"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w:t>
            </w:r>
          </w:p>
        </w:tc>
        <w:tc>
          <w:tcPr>
            <w:tcW w:w="627" w:type="pct"/>
            <w:tcBorders>
              <w:top w:val="nil"/>
              <w:left w:val="nil"/>
              <w:bottom w:val="nil"/>
              <w:right w:val="nil"/>
            </w:tcBorders>
            <w:shd w:val="clear" w:color="000000" w:fill="BDD7EE"/>
            <w:vAlign w:val="center"/>
            <w:hideMark/>
          </w:tcPr>
          <w:p w14:paraId="58B354C8" w14:textId="77777777" w:rsidR="00CB16AA" w:rsidRPr="00666914" w:rsidRDefault="00CB16AA" w:rsidP="00985E7A">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Predbežné hodnotenie</w:t>
            </w:r>
          </w:p>
        </w:tc>
        <w:tc>
          <w:tcPr>
            <w:tcW w:w="641" w:type="pct"/>
            <w:gridSpan w:val="2"/>
            <w:tcBorders>
              <w:top w:val="nil"/>
              <w:left w:val="nil"/>
              <w:bottom w:val="nil"/>
              <w:right w:val="nil"/>
            </w:tcBorders>
            <w:shd w:val="clear" w:color="000000" w:fill="BDD7EE"/>
            <w:vAlign w:val="center"/>
            <w:hideMark/>
          </w:tcPr>
          <w:p w14:paraId="72C851D9" w14:textId="77777777" w:rsidR="00CB16AA" w:rsidRPr="00666914" w:rsidRDefault="00CB16AA" w:rsidP="00985E7A">
            <w:pPr>
              <w:spacing w:after="0"/>
              <w:rPr>
                <w:rFonts w:eastAsia="Times New Roman" w:cs="Calibri"/>
                <w:color w:val="000000"/>
                <w:sz w:val="16"/>
                <w:szCs w:val="16"/>
                <w:lang w:eastAsia="sk-SK"/>
              </w:rPr>
            </w:pPr>
            <w:r w:rsidRPr="00666914">
              <w:rPr>
                <w:rFonts w:eastAsia="Times New Roman" w:cs="Calibri"/>
                <w:color w:val="000000"/>
                <w:sz w:val="16"/>
                <w:szCs w:val="16"/>
                <w:lang w:eastAsia="sk-SK"/>
              </w:rPr>
              <w:t>Pripomienky k prognóze dopravy a alternatívam</w:t>
            </w:r>
          </w:p>
        </w:tc>
      </w:tr>
      <w:tr w:rsidR="00E9021B" w:rsidRPr="00666914" w14:paraId="1D717733" w14:textId="77777777" w:rsidTr="005C16C0">
        <w:trPr>
          <w:trHeight w:val="520"/>
        </w:trPr>
        <w:tc>
          <w:tcPr>
            <w:tcW w:w="454" w:type="pct"/>
            <w:tcBorders>
              <w:top w:val="nil"/>
              <w:left w:val="nil"/>
              <w:bottom w:val="nil"/>
              <w:right w:val="nil"/>
            </w:tcBorders>
            <w:shd w:val="clear" w:color="000000" w:fill="92D050"/>
            <w:vAlign w:val="center"/>
            <w:hideMark/>
          </w:tcPr>
          <w:p w14:paraId="2BAF945E"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ZSSK</w:t>
            </w:r>
          </w:p>
        </w:tc>
        <w:tc>
          <w:tcPr>
            <w:tcW w:w="1341" w:type="pct"/>
            <w:tcBorders>
              <w:top w:val="nil"/>
              <w:left w:val="nil"/>
              <w:bottom w:val="nil"/>
              <w:right w:val="nil"/>
            </w:tcBorders>
            <w:shd w:val="clear" w:color="000000" w:fill="92D050"/>
            <w:vAlign w:val="center"/>
            <w:hideMark/>
          </w:tcPr>
          <w:p w14:paraId="09DBB783"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Nákup vozňov do diaľkovej dopravy</w:t>
            </w:r>
          </w:p>
        </w:tc>
        <w:tc>
          <w:tcPr>
            <w:tcW w:w="430" w:type="pct"/>
            <w:tcBorders>
              <w:top w:val="nil"/>
              <w:left w:val="nil"/>
              <w:bottom w:val="nil"/>
              <w:right w:val="nil"/>
            </w:tcBorders>
            <w:shd w:val="clear" w:color="000000" w:fill="92D050"/>
            <w:vAlign w:val="center"/>
            <w:hideMark/>
          </w:tcPr>
          <w:p w14:paraId="4D1BDC81"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68</w:t>
            </w:r>
          </w:p>
        </w:tc>
        <w:tc>
          <w:tcPr>
            <w:tcW w:w="574" w:type="pct"/>
            <w:tcBorders>
              <w:top w:val="nil"/>
              <w:left w:val="nil"/>
              <w:bottom w:val="nil"/>
              <w:right w:val="nil"/>
            </w:tcBorders>
            <w:shd w:val="clear" w:color="000000" w:fill="92D050"/>
            <w:vAlign w:val="center"/>
            <w:hideMark/>
          </w:tcPr>
          <w:p w14:paraId="40E71861"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04/2017</w:t>
            </w:r>
          </w:p>
        </w:tc>
        <w:tc>
          <w:tcPr>
            <w:tcW w:w="575" w:type="pct"/>
            <w:tcBorders>
              <w:top w:val="nil"/>
              <w:left w:val="nil"/>
              <w:bottom w:val="nil"/>
              <w:right w:val="nil"/>
            </w:tcBorders>
            <w:shd w:val="clear" w:color="000000" w:fill="92D050"/>
            <w:vAlign w:val="bottom"/>
            <w:hideMark/>
          </w:tcPr>
          <w:p w14:paraId="7C9F2111" w14:textId="77777777" w:rsidR="00E9021B" w:rsidRPr="00666914" w:rsidRDefault="00E9021B" w:rsidP="00E9021B">
            <w:pPr>
              <w:spacing w:after="0"/>
              <w:rPr>
                <w:rFonts w:eastAsia="Times New Roman" w:cs="Calibri"/>
                <w:color w:val="000000"/>
                <w:sz w:val="16"/>
                <w:szCs w:val="16"/>
                <w:lang w:eastAsia="sk-SK"/>
              </w:rPr>
            </w:pPr>
            <w:r w:rsidRPr="00666914">
              <w:rPr>
                <w:rFonts w:eastAsia="Times New Roman" w:cs="Calibri"/>
                <w:color w:val="000000"/>
                <w:sz w:val="16"/>
                <w:szCs w:val="16"/>
                <w:lang w:eastAsia="sk-SK"/>
              </w:rPr>
              <w:t> </w:t>
            </w:r>
          </w:p>
        </w:tc>
        <w:tc>
          <w:tcPr>
            <w:tcW w:w="358" w:type="pct"/>
            <w:tcBorders>
              <w:top w:val="nil"/>
              <w:left w:val="nil"/>
              <w:bottom w:val="nil"/>
              <w:right w:val="nil"/>
            </w:tcBorders>
            <w:shd w:val="clear" w:color="000000" w:fill="92D050"/>
            <w:vAlign w:val="center"/>
            <w:hideMark/>
          </w:tcPr>
          <w:p w14:paraId="7FC49596"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05/2017</w:t>
            </w:r>
          </w:p>
        </w:tc>
        <w:tc>
          <w:tcPr>
            <w:tcW w:w="627" w:type="pct"/>
            <w:tcBorders>
              <w:top w:val="nil"/>
              <w:left w:val="nil"/>
              <w:bottom w:val="nil"/>
              <w:right w:val="nil"/>
            </w:tcBorders>
            <w:shd w:val="clear" w:color="000000" w:fill="92D050"/>
            <w:vAlign w:val="center"/>
            <w:hideMark/>
          </w:tcPr>
          <w:p w14:paraId="33ABAAFB"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Hodnotenie pred VO</w:t>
            </w:r>
          </w:p>
        </w:tc>
        <w:tc>
          <w:tcPr>
            <w:tcW w:w="641" w:type="pct"/>
            <w:gridSpan w:val="2"/>
            <w:tcBorders>
              <w:top w:val="nil"/>
              <w:left w:val="nil"/>
              <w:bottom w:val="nil"/>
              <w:right w:val="nil"/>
            </w:tcBorders>
            <w:shd w:val="clear" w:color="000000" w:fill="92D050"/>
            <w:vAlign w:val="center"/>
            <w:hideMark/>
          </w:tcPr>
          <w:p w14:paraId="5BCB3307" w14:textId="3B85EEC3" w:rsidR="00E9021B" w:rsidRPr="00666914" w:rsidRDefault="00C45DA3" w:rsidP="00E9021B">
            <w:pPr>
              <w:spacing w:after="0"/>
              <w:jc w:val="right"/>
              <w:rPr>
                <w:rFonts w:eastAsia="Times New Roman" w:cs="Calibri"/>
                <w:color w:val="000000"/>
                <w:sz w:val="16"/>
                <w:szCs w:val="16"/>
                <w:lang w:eastAsia="sk-SK"/>
              </w:rPr>
            </w:pPr>
            <w:hyperlink r:id="rId37" w:history="1">
              <w:r w:rsidR="00E9021B" w:rsidRPr="00666914">
                <w:rPr>
                  <w:rStyle w:val="Hypertextovprepojenie"/>
                  <w:rFonts w:eastAsia="Times New Roman" w:cs="Calibri"/>
                  <w:sz w:val="16"/>
                  <w:szCs w:val="16"/>
                  <w:lang w:eastAsia="sk-SK"/>
                </w:rPr>
                <w:t>https://www.mfsr.sk/sk/financie/hodnota-za-peniaze/hodnotenie-investicnych-projektov/hodnotenie-investicnych-projektov.html</w:t>
              </w:r>
            </w:hyperlink>
            <w:r w:rsidR="00E9021B" w:rsidRPr="00666914">
              <w:rPr>
                <w:rStyle w:val="Hypertextovprepojenie"/>
                <w:rFonts w:eastAsia="Times New Roman" w:cs="Calibri"/>
                <w:sz w:val="16"/>
                <w:szCs w:val="16"/>
                <w:lang w:eastAsia="sk-SK"/>
              </w:rPr>
              <w:t xml:space="preserve"> </w:t>
            </w:r>
          </w:p>
        </w:tc>
      </w:tr>
      <w:tr w:rsidR="00E9021B" w:rsidRPr="00666914" w14:paraId="5CE43E8B" w14:textId="77777777" w:rsidTr="00315988">
        <w:trPr>
          <w:trHeight w:val="780"/>
        </w:trPr>
        <w:tc>
          <w:tcPr>
            <w:tcW w:w="454" w:type="pct"/>
            <w:tcBorders>
              <w:top w:val="nil"/>
              <w:left w:val="nil"/>
              <w:bottom w:val="nil"/>
              <w:right w:val="nil"/>
            </w:tcBorders>
            <w:shd w:val="clear" w:color="000000" w:fill="FF0000"/>
            <w:vAlign w:val="center"/>
            <w:hideMark/>
          </w:tcPr>
          <w:p w14:paraId="24F6A955"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ZSSK</w:t>
            </w:r>
          </w:p>
        </w:tc>
        <w:tc>
          <w:tcPr>
            <w:tcW w:w="1341" w:type="pct"/>
            <w:tcBorders>
              <w:top w:val="nil"/>
              <w:left w:val="nil"/>
              <w:bottom w:val="nil"/>
              <w:right w:val="nil"/>
            </w:tcBorders>
            <w:shd w:val="clear" w:color="000000" w:fill="FF0000"/>
            <w:vAlign w:val="center"/>
            <w:hideMark/>
          </w:tcPr>
          <w:p w14:paraId="25CAF87F"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Nákup vozidiel pre ozubnicovú železnicu</w:t>
            </w:r>
          </w:p>
        </w:tc>
        <w:tc>
          <w:tcPr>
            <w:tcW w:w="430" w:type="pct"/>
            <w:tcBorders>
              <w:top w:val="nil"/>
              <w:left w:val="nil"/>
              <w:bottom w:val="nil"/>
              <w:right w:val="nil"/>
            </w:tcBorders>
            <w:shd w:val="clear" w:color="000000" w:fill="FF0000"/>
            <w:vAlign w:val="center"/>
            <w:hideMark/>
          </w:tcPr>
          <w:p w14:paraId="76ABF913"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40</w:t>
            </w:r>
          </w:p>
        </w:tc>
        <w:tc>
          <w:tcPr>
            <w:tcW w:w="574" w:type="pct"/>
            <w:tcBorders>
              <w:top w:val="nil"/>
              <w:left w:val="nil"/>
              <w:bottom w:val="nil"/>
              <w:right w:val="nil"/>
            </w:tcBorders>
            <w:shd w:val="clear" w:color="000000" w:fill="FF0000"/>
            <w:vAlign w:val="bottom"/>
            <w:hideMark/>
          </w:tcPr>
          <w:p w14:paraId="3E7F3F0B"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 </w:t>
            </w:r>
          </w:p>
        </w:tc>
        <w:tc>
          <w:tcPr>
            <w:tcW w:w="575" w:type="pct"/>
            <w:tcBorders>
              <w:top w:val="nil"/>
              <w:left w:val="nil"/>
              <w:bottom w:val="nil"/>
              <w:right w:val="nil"/>
            </w:tcBorders>
            <w:shd w:val="clear" w:color="000000" w:fill="FF0000"/>
            <w:vAlign w:val="center"/>
            <w:hideMark/>
          </w:tcPr>
          <w:p w14:paraId="32A26DA0"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 </w:t>
            </w:r>
          </w:p>
        </w:tc>
        <w:tc>
          <w:tcPr>
            <w:tcW w:w="358" w:type="pct"/>
            <w:tcBorders>
              <w:top w:val="nil"/>
              <w:left w:val="nil"/>
              <w:bottom w:val="nil"/>
              <w:right w:val="nil"/>
            </w:tcBorders>
            <w:shd w:val="clear" w:color="000000" w:fill="FF0000"/>
            <w:vAlign w:val="bottom"/>
            <w:hideMark/>
          </w:tcPr>
          <w:p w14:paraId="1C546ACB"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 </w:t>
            </w:r>
          </w:p>
        </w:tc>
        <w:tc>
          <w:tcPr>
            <w:tcW w:w="627" w:type="pct"/>
            <w:tcBorders>
              <w:top w:val="nil"/>
              <w:left w:val="nil"/>
              <w:bottom w:val="nil"/>
              <w:right w:val="nil"/>
            </w:tcBorders>
            <w:shd w:val="clear" w:color="000000" w:fill="FF0000"/>
            <w:vAlign w:val="bottom"/>
            <w:hideMark/>
          </w:tcPr>
          <w:p w14:paraId="6D91B526"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VO vyhlásené bez posúdenia ÚHP 07/2018</w:t>
            </w:r>
          </w:p>
        </w:tc>
        <w:tc>
          <w:tcPr>
            <w:tcW w:w="641" w:type="pct"/>
            <w:gridSpan w:val="2"/>
            <w:tcBorders>
              <w:top w:val="nil"/>
              <w:left w:val="nil"/>
              <w:bottom w:val="nil"/>
              <w:right w:val="nil"/>
            </w:tcBorders>
            <w:shd w:val="clear" w:color="000000" w:fill="FF0000"/>
            <w:vAlign w:val="bottom"/>
            <w:hideMark/>
          </w:tcPr>
          <w:p w14:paraId="09DF76FB" w14:textId="77777777" w:rsidR="00E9021B" w:rsidRPr="00666914" w:rsidRDefault="00E9021B" w:rsidP="00E9021B">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w:t>
            </w:r>
          </w:p>
        </w:tc>
      </w:tr>
      <w:tr w:rsidR="00E9021B" w:rsidRPr="00666914" w14:paraId="5845CA0E" w14:textId="77777777" w:rsidTr="005C16C0">
        <w:trPr>
          <w:trHeight w:val="780"/>
        </w:trPr>
        <w:tc>
          <w:tcPr>
            <w:tcW w:w="454" w:type="pct"/>
            <w:tcBorders>
              <w:top w:val="nil"/>
              <w:left w:val="nil"/>
              <w:bottom w:val="nil"/>
              <w:right w:val="nil"/>
            </w:tcBorders>
            <w:shd w:val="clear" w:color="000000" w:fill="92D050"/>
            <w:vAlign w:val="center"/>
            <w:hideMark/>
          </w:tcPr>
          <w:p w14:paraId="3B403FA6"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ZSSK</w:t>
            </w:r>
          </w:p>
        </w:tc>
        <w:tc>
          <w:tcPr>
            <w:tcW w:w="1341" w:type="pct"/>
            <w:tcBorders>
              <w:top w:val="nil"/>
              <w:left w:val="nil"/>
              <w:bottom w:val="nil"/>
              <w:right w:val="nil"/>
            </w:tcBorders>
            <w:shd w:val="clear" w:color="000000" w:fill="92D050"/>
            <w:vAlign w:val="center"/>
            <w:hideMark/>
          </w:tcPr>
          <w:p w14:paraId="2AD6A563"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Informačný systém KVC</w:t>
            </w:r>
          </w:p>
        </w:tc>
        <w:tc>
          <w:tcPr>
            <w:tcW w:w="430" w:type="pct"/>
            <w:tcBorders>
              <w:top w:val="nil"/>
              <w:left w:val="nil"/>
              <w:bottom w:val="nil"/>
              <w:right w:val="nil"/>
            </w:tcBorders>
            <w:shd w:val="clear" w:color="000000" w:fill="92D050"/>
            <w:vAlign w:val="center"/>
            <w:hideMark/>
          </w:tcPr>
          <w:p w14:paraId="079397E4"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48</w:t>
            </w:r>
          </w:p>
        </w:tc>
        <w:tc>
          <w:tcPr>
            <w:tcW w:w="574" w:type="pct"/>
            <w:tcBorders>
              <w:top w:val="nil"/>
              <w:left w:val="nil"/>
              <w:bottom w:val="nil"/>
              <w:right w:val="nil"/>
            </w:tcBorders>
            <w:shd w:val="clear" w:color="000000" w:fill="92D050"/>
            <w:vAlign w:val="center"/>
            <w:hideMark/>
          </w:tcPr>
          <w:p w14:paraId="4436BFE6"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12/2018</w:t>
            </w:r>
          </w:p>
        </w:tc>
        <w:tc>
          <w:tcPr>
            <w:tcW w:w="575" w:type="pct"/>
            <w:tcBorders>
              <w:top w:val="nil"/>
              <w:left w:val="nil"/>
              <w:bottom w:val="nil"/>
              <w:right w:val="nil"/>
            </w:tcBorders>
            <w:shd w:val="clear" w:color="000000" w:fill="92D050"/>
            <w:vAlign w:val="center"/>
            <w:hideMark/>
          </w:tcPr>
          <w:p w14:paraId="036CABA2"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w:t>
            </w:r>
          </w:p>
        </w:tc>
        <w:tc>
          <w:tcPr>
            <w:tcW w:w="358" w:type="pct"/>
            <w:tcBorders>
              <w:top w:val="nil"/>
              <w:left w:val="nil"/>
              <w:bottom w:val="nil"/>
              <w:right w:val="nil"/>
            </w:tcBorders>
            <w:shd w:val="clear" w:color="000000" w:fill="92D050"/>
            <w:vAlign w:val="center"/>
            <w:hideMark/>
          </w:tcPr>
          <w:p w14:paraId="7B01077E"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08/2019</w:t>
            </w:r>
          </w:p>
        </w:tc>
        <w:tc>
          <w:tcPr>
            <w:tcW w:w="627" w:type="pct"/>
            <w:tcBorders>
              <w:top w:val="nil"/>
              <w:left w:val="nil"/>
              <w:bottom w:val="nil"/>
              <w:right w:val="nil"/>
            </w:tcBorders>
            <w:shd w:val="clear" w:color="000000" w:fill="92D050"/>
            <w:vAlign w:val="center"/>
            <w:hideMark/>
          </w:tcPr>
          <w:p w14:paraId="71895BF7"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Hodnotenie pred VO</w:t>
            </w:r>
          </w:p>
        </w:tc>
        <w:tc>
          <w:tcPr>
            <w:tcW w:w="641" w:type="pct"/>
            <w:gridSpan w:val="2"/>
            <w:tcBorders>
              <w:top w:val="nil"/>
              <w:left w:val="nil"/>
              <w:bottom w:val="nil"/>
              <w:right w:val="nil"/>
            </w:tcBorders>
            <w:shd w:val="clear" w:color="000000" w:fill="92D050"/>
            <w:vAlign w:val="center"/>
            <w:hideMark/>
          </w:tcPr>
          <w:p w14:paraId="3D9A01D9" w14:textId="1C258CA7" w:rsidR="00E9021B" w:rsidRPr="00666914" w:rsidRDefault="00C45DA3" w:rsidP="00E9021B">
            <w:pPr>
              <w:spacing w:after="0"/>
              <w:jc w:val="right"/>
              <w:rPr>
                <w:rFonts w:eastAsia="Times New Roman" w:cs="Calibri"/>
                <w:color w:val="0563C1"/>
                <w:sz w:val="16"/>
                <w:szCs w:val="16"/>
                <w:u w:val="single"/>
                <w:lang w:eastAsia="sk-SK"/>
              </w:rPr>
            </w:pPr>
            <w:hyperlink r:id="rId38" w:history="1">
              <w:r w:rsidR="00E9021B" w:rsidRPr="00666914">
                <w:rPr>
                  <w:rStyle w:val="Hypertextovprepojenie"/>
                  <w:rFonts w:eastAsia="Times New Roman" w:cs="Calibri"/>
                  <w:sz w:val="16"/>
                  <w:szCs w:val="16"/>
                  <w:lang w:eastAsia="sk-SK"/>
                </w:rPr>
                <w:t>https://www.mfsr.sk/sk/financie/hodnota-za-peniaze/hodnotenie-investicnych-projektov/hodnotenie-investicnych-projektov.html</w:t>
              </w:r>
            </w:hyperlink>
            <w:r w:rsidR="00E9021B" w:rsidRPr="00666914">
              <w:rPr>
                <w:rStyle w:val="Hypertextovprepojenie"/>
                <w:rFonts w:eastAsia="Times New Roman" w:cs="Calibri"/>
                <w:sz w:val="16"/>
                <w:szCs w:val="16"/>
                <w:lang w:eastAsia="sk-SK"/>
              </w:rPr>
              <w:t xml:space="preserve"> </w:t>
            </w:r>
          </w:p>
        </w:tc>
      </w:tr>
      <w:tr w:rsidR="00E9021B" w:rsidRPr="00666914" w14:paraId="31D672F1" w14:textId="77777777" w:rsidTr="005C16C0">
        <w:trPr>
          <w:trHeight w:val="1040"/>
        </w:trPr>
        <w:tc>
          <w:tcPr>
            <w:tcW w:w="454" w:type="pct"/>
            <w:tcBorders>
              <w:top w:val="nil"/>
              <w:left w:val="nil"/>
              <w:bottom w:val="nil"/>
              <w:right w:val="nil"/>
            </w:tcBorders>
            <w:shd w:val="clear" w:color="000000" w:fill="92D050"/>
            <w:vAlign w:val="center"/>
            <w:hideMark/>
          </w:tcPr>
          <w:p w14:paraId="08656E54"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ZSSK</w:t>
            </w:r>
          </w:p>
        </w:tc>
        <w:tc>
          <w:tcPr>
            <w:tcW w:w="1341" w:type="pct"/>
            <w:tcBorders>
              <w:top w:val="nil"/>
              <w:left w:val="nil"/>
              <w:bottom w:val="nil"/>
              <w:right w:val="nil"/>
            </w:tcBorders>
            <w:shd w:val="clear" w:color="000000" w:fill="92D050"/>
            <w:vAlign w:val="center"/>
            <w:hideMark/>
          </w:tcPr>
          <w:p w14:paraId="36464DEE"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Vybudovanie infraštruktúry na kontrolu a prípravu vozového parku železničnej osobnej dopravy - Nové Zámky</w:t>
            </w:r>
          </w:p>
        </w:tc>
        <w:tc>
          <w:tcPr>
            <w:tcW w:w="430" w:type="pct"/>
            <w:tcBorders>
              <w:top w:val="nil"/>
              <w:left w:val="nil"/>
              <w:bottom w:val="nil"/>
              <w:right w:val="nil"/>
            </w:tcBorders>
            <w:shd w:val="clear" w:color="000000" w:fill="92D050"/>
            <w:vAlign w:val="center"/>
            <w:hideMark/>
          </w:tcPr>
          <w:p w14:paraId="42286CE4"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36</w:t>
            </w:r>
          </w:p>
        </w:tc>
        <w:tc>
          <w:tcPr>
            <w:tcW w:w="574" w:type="pct"/>
            <w:tcBorders>
              <w:top w:val="nil"/>
              <w:left w:val="nil"/>
              <w:bottom w:val="nil"/>
              <w:right w:val="nil"/>
            </w:tcBorders>
            <w:shd w:val="clear" w:color="000000" w:fill="92D050"/>
            <w:vAlign w:val="center"/>
            <w:hideMark/>
          </w:tcPr>
          <w:p w14:paraId="23E640F8"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11/2018</w:t>
            </w:r>
          </w:p>
        </w:tc>
        <w:tc>
          <w:tcPr>
            <w:tcW w:w="575" w:type="pct"/>
            <w:tcBorders>
              <w:top w:val="nil"/>
              <w:left w:val="nil"/>
              <w:bottom w:val="nil"/>
              <w:right w:val="nil"/>
            </w:tcBorders>
            <w:shd w:val="clear" w:color="000000" w:fill="92D050"/>
            <w:vAlign w:val="bottom"/>
            <w:hideMark/>
          </w:tcPr>
          <w:p w14:paraId="53573146" w14:textId="77777777" w:rsidR="00E9021B" w:rsidRPr="00666914" w:rsidRDefault="00E9021B" w:rsidP="00E9021B">
            <w:pPr>
              <w:spacing w:after="0"/>
              <w:rPr>
                <w:rFonts w:eastAsia="Times New Roman" w:cs="Calibri"/>
                <w:color w:val="000000"/>
                <w:sz w:val="16"/>
                <w:szCs w:val="16"/>
                <w:lang w:eastAsia="sk-SK"/>
              </w:rPr>
            </w:pPr>
            <w:r w:rsidRPr="00666914">
              <w:rPr>
                <w:rFonts w:eastAsia="Times New Roman" w:cs="Calibri"/>
                <w:color w:val="000000"/>
                <w:sz w:val="16"/>
                <w:szCs w:val="16"/>
                <w:lang w:eastAsia="sk-SK"/>
              </w:rPr>
              <w:t> </w:t>
            </w:r>
          </w:p>
        </w:tc>
        <w:tc>
          <w:tcPr>
            <w:tcW w:w="358" w:type="pct"/>
            <w:tcBorders>
              <w:top w:val="nil"/>
              <w:left w:val="nil"/>
              <w:bottom w:val="nil"/>
              <w:right w:val="nil"/>
            </w:tcBorders>
            <w:shd w:val="clear" w:color="000000" w:fill="92D050"/>
            <w:vAlign w:val="center"/>
            <w:hideMark/>
          </w:tcPr>
          <w:p w14:paraId="530A39B3"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01/2019</w:t>
            </w:r>
          </w:p>
        </w:tc>
        <w:tc>
          <w:tcPr>
            <w:tcW w:w="627" w:type="pct"/>
            <w:tcBorders>
              <w:top w:val="nil"/>
              <w:left w:val="nil"/>
              <w:bottom w:val="nil"/>
              <w:right w:val="nil"/>
            </w:tcBorders>
            <w:shd w:val="clear" w:color="000000" w:fill="92D050"/>
            <w:vAlign w:val="center"/>
            <w:hideMark/>
          </w:tcPr>
          <w:p w14:paraId="4A5457C0"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Hodnotenie pred VO</w:t>
            </w:r>
          </w:p>
        </w:tc>
        <w:tc>
          <w:tcPr>
            <w:tcW w:w="641" w:type="pct"/>
            <w:gridSpan w:val="2"/>
            <w:tcBorders>
              <w:top w:val="nil"/>
              <w:left w:val="nil"/>
              <w:bottom w:val="nil"/>
              <w:right w:val="nil"/>
            </w:tcBorders>
            <w:shd w:val="clear" w:color="000000" w:fill="92D050"/>
            <w:vAlign w:val="center"/>
            <w:hideMark/>
          </w:tcPr>
          <w:p w14:paraId="20B744C8" w14:textId="6791A607" w:rsidR="00E9021B" w:rsidRPr="00666914" w:rsidRDefault="00C45DA3" w:rsidP="00E9021B">
            <w:pPr>
              <w:spacing w:after="0"/>
              <w:jc w:val="right"/>
              <w:rPr>
                <w:rFonts w:eastAsia="Times New Roman" w:cs="Calibri"/>
                <w:color w:val="0563C1"/>
                <w:sz w:val="16"/>
                <w:szCs w:val="16"/>
                <w:u w:val="single"/>
                <w:lang w:eastAsia="sk-SK"/>
              </w:rPr>
            </w:pPr>
            <w:hyperlink r:id="rId39" w:history="1">
              <w:r w:rsidR="00E9021B" w:rsidRPr="00666914">
                <w:rPr>
                  <w:rStyle w:val="Hypertextovprepojenie"/>
                  <w:rFonts w:eastAsia="Times New Roman" w:cs="Calibri"/>
                  <w:sz w:val="16"/>
                  <w:szCs w:val="16"/>
                  <w:lang w:eastAsia="sk-SK"/>
                </w:rPr>
                <w:t>https://www.mfsr.sk/sk/financie/hodnota-za-peniaze/hodnotenie-investicnych-projektov/hodnotenie-investicnych-projektov.html</w:t>
              </w:r>
            </w:hyperlink>
            <w:r w:rsidR="00E9021B" w:rsidRPr="00666914">
              <w:rPr>
                <w:rStyle w:val="Hypertextovprepojenie"/>
                <w:rFonts w:eastAsia="Times New Roman" w:cs="Calibri"/>
                <w:sz w:val="16"/>
                <w:szCs w:val="16"/>
                <w:lang w:eastAsia="sk-SK"/>
              </w:rPr>
              <w:t xml:space="preserve"> </w:t>
            </w:r>
          </w:p>
        </w:tc>
      </w:tr>
      <w:tr w:rsidR="00E9021B" w:rsidRPr="00666914" w14:paraId="4259D07A" w14:textId="77777777" w:rsidTr="00315988">
        <w:trPr>
          <w:trHeight w:val="780"/>
        </w:trPr>
        <w:tc>
          <w:tcPr>
            <w:tcW w:w="454" w:type="pct"/>
            <w:tcBorders>
              <w:top w:val="nil"/>
              <w:left w:val="nil"/>
              <w:bottom w:val="nil"/>
              <w:right w:val="nil"/>
            </w:tcBorders>
            <w:shd w:val="clear" w:color="000000" w:fill="FFFF00"/>
            <w:vAlign w:val="center"/>
            <w:hideMark/>
          </w:tcPr>
          <w:p w14:paraId="0B044991"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ZSSK</w:t>
            </w:r>
          </w:p>
        </w:tc>
        <w:tc>
          <w:tcPr>
            <w:tcW w:w="1341" w:type="pct"/>
            <w:tcBorders>
              <w:top w:val="nil"/>
              <w:left w:val="nil"/>
              <w:bottom w:val="nil"/>
              <w:right w:val="nil"/>
            </w:tcBorders>
            <w:shd w:val="clear" w:color="000000" w:fill="FFFF00"/>
            <w:vAlign w:val="center"/>
            <w:hideMark/>
          </w:tcPr>
          <w:p w14:paraId="3E86F420"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Modernizácia vozového parku ŽKV</w:t>
            </w:r>
          </w:p>
        </w:tc>
        <w:tc>
          <w:tcPr>
            <w:tcW w:w="430" w:type="pct"/>
            <w:tcBorders>
              <w:top w:val="nil"/>
              <w:left w:val="nil"/>
              <w:bottom w:val="nil"/>
              <w:right w:val="nil"/>
            </w:tcBorders>
            <w:shd w:val="clear" w:color="000000" w:fill="FFFF00"/>
            <w:vAlign w:val="center"/>
            <w:hideMark/>
          </w:tcPr>
          <w:p w14:paraId="5A504F28"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78,4</w:t>
            </w:r>
          </w:p>
        </w:tc>
        <w:tc>
          <w:tcPr>
            <w:tcW w:w="574" w:type="pct"/>
            <w:tcBorders>
              <w:top w:val="nil"/>
              <w:left w:val="nil"/>
              <w:bottom w:val="nil"/>
              <w:right w:val="nil"/>
            </w:tcBorders>
            <w:shd w:val="clear" w:color="000000" w:fill="FFFF00"/>
            <w:vAlign w:val="center"/>
            <w:hideMark/>
          </w:tcPr>
          <w:p w14:paraId="55F9A213"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09/2018</w:t>
            </w:r>
          </w:p>
        </w:tc>
        <w:tc>
          <w:tcPr>
            <w:tcW w:w="575" w:type="pct"/>
            <w:tcBorders>
              <w:top w:val="nil"/>
              <w:left w:val="nil"/>
              <w:bottom w:val="nil"/>
              <w:right w:val="nil"/>
            </w:tcBorders>
            <w:shd w:val="clear" w:color="000000" w:fill="FFFF00"/>
            <w:vAlign w:val="center"/>
            <w:hideMark/>
          </w:tcPr>
          <w:p w14:paraId="64CB85FF"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w:t>
            </w:r>
          </w:p>
        </w:tc>
        <w:tc>
          <w:tcPr>
            <w:tcW w:w="358" w:type="pct"/>
            <w:tcBorders>
              <w:top w:val="nil"/>
              <w:left w:val="nil"/>
              <w:bottom w:val="nil"/>
              <w:right w:val="nil"/>
            </w:tcBorders>
            <w:shd w:val="clear" w:color="000000" w:fill="FFFF00"/>
            <w:vAlign w:val="center"/>
            <w:hideMark/>
          </w:tcPr>
          <w:p w14:paraId="6EE07255" w14:textId="77777777" w:rsidR="00E9021B" w:rsidRPr="00666914" w:rsidRDefault="00E9021B" w:rsidP="00E9021B">
            <w:pPr>
              <w:spacing w:after="0"/>
              <w:jc w:val="center"/>
              <w:rPr>
                <w:rFonts w:eastAsia="Times New Roman" w:cs="Calibri"/>
                <w:i/>
                <w:iCs/>
                <w:color w:val="000000"/>
                <w:sz w:val="16"/>
                <w:szCs w:val="16"/>
                <w:lang w:eastAsia="sk-SK"/>
              </w:rPr>
            </w:pPr>
            <w:r w:rsidRPr="00666914">
              <w:rPr>
                <w:rFonts w:eastAsia="Times New Roman" w:cs="Calibri"/>
                <w:i/>
                <w:iCs/>
                <w:color w:val="000000"/>
                <w:sz w:val="16"/>
                <w:szCs w:val="16"/>
                <w:lang w:eastAsia="sk-SK"/>
              </w:rPr>
              <w:t> </w:t>
            </w:r>
          </w:p>
        </w:tc>
        <w:tc>
          <w:tcPr>
            <w:tcW w:w="627" w:type="pct"/>
            <w:tcBorders>
              <w:top w:val="nil"/>
              <w:left w:val="nil"/>
              <w:bottom w:val="nil"/>
              <w:right w:val="nil"/>
            </w:tcBorders>
            <w:shd w:val="clear" w:color="000000" w:fill="FFFF00"/>
            <w:vAlign w:val="center"/>
            <w:hideMark/>
          </w:tcPr>
          <w:p w14:paraId="338F19E5"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Predbežné hodnotenie</w:t>
            </w:r>
          </w:p>
        </w:tc>
        <w:tc>
          <w:tcPr>
            <w:tcW w:w="641" w:type="pct"/>
            <w:gridSpan w:val="2"/>
            <w:tcBorders>
              <w:top w:val="nil"/>
              <w:left w:val="nil"/>
              <w:bottom w:val="nil"/>
              <w:right w:val="nil"/>
            </w:tcBorders>
            <w:shd w:val="clear" w:color="000000" w:fill="FFFF00"/>
            <w:vAlign w:val="bottom"/>
            <w:hideMark/>
          </w:tcPr>
          <w:p w14:paraId="13E13924"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Prebieha diskusia / draft stanoviska / diskusia o cene</w:t>
            </w:r>
          </w:p>
        </w:tc>
      </w:tr>
      <w:tr w:rsidR="00E9021B" w:rsidRPr="00666914" w14:paraId="7A1A29B3" w14:textId="77777777" w:rsidTr="00315988">
        <w:trPr>
          <w:trHeight w:val="1040"/>
        </w:trPr>
        <w:tc>
          <w:tcPr>
            <w:tcW w:w="454" w:type="pct"/>
            <w:tcBorders>
              <w:top w:val="nil"/>
              <w:left w:val="nil"/>
              <w:bottom w:val="nil"/>
              <w:right w:val="nil"/>
            </w:tcBorders>
            <w:shd w:val="clear" w:color="000000" w:fill="92D050"/>
            <w:vAlign w:val="center"/>
            <w:hideMark/>
          </w:tcPr>
          <w:p w14:paraId="0A9FAD38"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lastRenderedPageBreak/>
              <w:t>ŽSR</w:t>
            </w:r>
          </w:p>
        </w:tc>
        <w:tc>
          <w:tcPr>
            <w:tcW w:w="1341" w:type="pct"/>
            <w:tcBorders>
              <w:top w:val="nil"/>
              <w:left w:val="nil"/>
              <w:bottom w:val="nil"/>
              <w:right w:val="nil"/>
            </w:tcBorders>
            <w:shd w:val="clear" w:color="000000" w:fill="92D050"/>
            <w:vAlign w:val="center"/>
            <w:hideMark/>
          </w:tcPr>
          <w:p w14:paraId="2AC4E91A"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Nákup diagnostických vozidiel ŽSR</w:t>
            </w:r>
          </w:p>
        </w:tc>
        <w:tc>
          <w:tcPr>
            <w:tcW w:w="430" w:type="pct"/>
            <w:tcBorders>
              <w:top w:val="nil"/>
              <w:left w:val="nil"/>
              <w:bottom w:val="nil"/>
              <w:right w:val="nil"/>
            </w:tcBorders>
            <w:shd w:val="clear" w:color="000000" w:fill="92D050"/>
            <w:vAlign w:val="center"/>
            <w:hideMark/>
          </w:tcPr>
          <w:p w14:paraId="5F2F6748"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30</w:t>
            </w:r>
          </w:p>
        </w:tc>
        <w:tc>
          <w:tcPr>
            <w:tcW w:w="574" w:type="pct"/>
            <w:tcBorders>
              <w:top w:val="nil"/>
              <w:left w:val="nil"/>
              <w:bottom w:val="nil"/>
              <w:right w:val="nil"/>
            </w:tcBorders>
            <w:shd w:val="clear" w:color="000000" w:fill="92D050"/>
            <w:vAlign w:val="center"/>
            <w:hideMark/>
          </w:tcPr>
          <w:p w14:paraId="389A1105"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12/2017</w:t>
            </w:r>
          </w:p>
        </w:tc>
        <w:tc>
          <w:tcPr>
            <w:tcW w:w="575" w:type="pct"/>
            <w:tcBorders>
              <w:top w:val="nil"/>
              <w:left w:val="nil"/>
              <w:bottom w:val="nil"/>
              <w:right w:val="nil"/>
            </w:tcBorders>
            <w:shd w:val="clear" w:color="000000" w:fill="92D050"/>
            <w:vAlign w:val="center"/>
            <w:hideMark/>
          </w:tcPr>
          <w:p w14:paraId="098BBAD2"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Štúdia, CBA</w:t>
            </w:r>
          </w:p>
        </w:tc>
        <w:tc>
          <w:tcPr>
            <w:tcW w:w="358" w:type="pct"/>
            <w:tcBorders>
              <w:top w:val="nil"/>
              <w:left w:val="nil"/>
              <w:bottom w:val="nil"/>
              <w:right w:val="nil"/>
            </w:tcBorders>
            <w:shd w:val="clear" w:color="000000" w:fill="92D050"/>
            <w:vAlign w:val="center"/>
            <w:hideMark/>
          </w:tcPr>
          <w:p w14:paraId="508AC123"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06/2018</w:t>
            </w:r>
          </w:p>
        </w:tc>
        <w:tc>
          <w:tcPr>
            <w:tcW w:w="627" w:type="pct"/>
            <w:tcBorders>
              <w:top w:val="nil"/>
              <w:left w:val="nil"/>
              <w:bottom w:val="nil"/>
              <w:right w:val="nil"/>
            </w:tcBorders>
            <w:shd w:val="clear" w:color="000000" w:fill="92D050"/>
            <w:vAlign w:val="center"/>
            <w:hideMark/>
          </w:tcPr>
          <w:p w14:paraId="7620340D"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Hodnotenie pred VO</w:t>
            </w:r>
          </w:p>
        </w:tc>
        <w:tc>
          <w:tcPr>
            <w:tcW w:w="641" w:type="pct"/>
            <w:gridSpan w:val="2"/>
            <w:tcBorders>
              <w:top w:val="nil"/>
              <w:left w:val="nil"/>
              <w:bottom w:val="nil"/>
              <w:right w:val="nil"/>
            </w:tcBorders>
            <w:shd w:val="clear" w:color="000000" w:fill="92D050"/>
            <w:vAlign w:val="center"/>
            <w:hideMark/>
          </w:tcPr>
          <w:p w14:paraId="4C79DCD8" w14:textId="599B3FB2" w:rsidR="00E9021B" w:rsidRPr="00666914" w:rsidRDefault="00C45DA3" w:rsidP="00E9021B">
            <w:pPr>
              <w:spacing w:after="0"/>
              <w:jc w:val="center"/>
              <w:rPr>
                <w:rFonts w:eastAsia="Times New Roman" w:cs="Calibri"/>
                <w:color w:val="0563C1"/>
                <w:sz w:val="16"/>
                <w:szCs w:val="16"/>
                <w:u w:val="single"/>
                <w:lang w:eastAsia="sk-SK"/>
              </w:rPr>
            </w:pPr>
            <w:hyperlink r:id="rId40" w:history="1">
              <w:r w:rsidR="00E9021B" w:rsidRPr="00666914">
                <w:rPr>
                  <w:rStyle w:val="Hypertextovprepojenie"/>
                  <w:rFonts w:eastAsia="Times New Roman" w:cs="Calibri"/>
                  <w:sz w:val="16"/>
                  <w:szCs w:val="16"/>
                  <w:lang w:eastAsia="sk-SK"/>
                </w:rPr>
                <w:t>https://www.mfsr.sk/sk/financie/hodnota-za-peniaze/hodnotenie-investicnych-projektov/hodnotenie-investicnych-projektov.html</w:t>
              </w:r>
            </w:hyperlink>
            <w:r w:rsidR="00E9021B" w:rsidRPr="00666914">
              <w:rPr>
                <w:rStyle w:val="Hypertextovprepojenie"/>
                <w:rFonts w:eastAsia="Times New Roman" w:cs="Calibri"/>
                <w:sz w:val="16"/>
                <w:szCs w:val="16"/>
                <w:lang w:eastAsia="sk-SK"/>
              </w:rPr>
              <w:t xml:space="preserve"> </w:t>
            </w:r>
          </w:p>
        </w:tc>
      </w:tr>
      <w:tr w:rsidR="00E9021B" w:rsidRPr="00666914" w14:paraId="6006D366" w14:textId="77777777" w:rsidTr="00315988">
        <w:trPr>
          <w:trHeight w:val="520"/>
        </w:trPr>
        <w:tc>
          <w:tcPr>
            <w:tcW w:w="454" w:type="pct"/>
            <w:tcBorders>
              <w:top w:val="nil"/>
              <w:left w:val="nil"/>
              <w:bottom w:val="nil"/>
              <w:right w:val="nil"/>
            </w:tcBorders>
            <w:shd w:val="clear" w:color="auto" w:fill="auto"/>
            <w:vAlign w:val="center"/>
            <w:hideMark/>
          </w:tcPr>
          <w:p w14:paraId="58BEB30F"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ŽSR</w:t>
            </w:r>
          </w:p>
        </w:tc>
        <w:tc>
          <w:tcPr>
            <w:tcW w:w="1341" w:type="pct"/>
            <w:tcBorders>
              <w:top w:val="nil"/>
              <w:left w:val="nil"/>
              <w:bottom w:val="nil"/>
              <w:right w:val="nil"/>
            </w:tcBorders>
            <w:shd w:val="clear" w:color="auto" w:fill="auto"/>
            <w:vAlign w:val="center"/>
          </w:tcPr>
          <w:p w14:paraId="26E82A2E"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Implementácia ERTMS na úseku Bratislava – Nové Zámky – št. hr. SR/MR</w:t>
            </w:r>
          </w:p>
        </w:tc>
        <w:tc>
          <w:tcPr>
            <w:tcW w:w="430" w:type="pct"/>
            <w:tcBorders>
              <w:top w:val="nil"/>
              <w:left w:val="nil"/>
              <w:bottom w:val="nil"/>
              <w:right w:val="nil"/>
            </w:tcBorders>
            <w:shd w:val="clear" w:color="auto" w:fill="auto"/>
            <w:vAlign w:val="center"/>
          </w:tcPr>
          <w:p w14:paraId="33A6F77C"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zatiaľ neurčené</w:t>
            </w:r>
          </w:p>
        </w:tc>
        <w:tc>
          <w:tcPr>
            <w:tcW w:w="574" w:type="pct"/>
            <w:tcBorders>
              <w:top w:val="nil"/>
              <w:left w:val="nil"/>
              <w:bottom w:val="nil"/>
              <w:right w:val="nil"/>
            </w:tcBorders>
            <w:shd w:val="clear" w:color="auto" w:fill="auto"/>
            <w:vAlign w:val="center"/>
          </w:tcPr>
          <w:p w14:paraId="2771228B"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03/2017</w:t>
            </w:r>
          </w:p>
        </w:tc>
        <w:tc>
          <w:tcPr>
            <w:tcW w:w="575" w:type="pct"/>
            <w:tcBorders>
              <w:top w:val="nil"/>
              <w:left w:val="nil"/>
              <w:bottom w:val="nil"/>
              <w:right w:val="nil"/>
            </w:tcBorders>
            <w:shd w:val="clear" w:color="auto" w:fill="auto"/>
            <w:vAlign w:val="center"/>
          </w:tcPr>
          <w:p w14:paraId="3A4707D0"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TŠ</w:t>
            </w:r>
          </w:p>
        </w:tc>
        <w:tc>
          <w:tcPr>
            <w:tcW w:w="358" w:type="pct"/>
            <w:tcBorders>
              <w:top w:val="nil"/>
              <w:left w:val="nil"/>
              <w:bottom w:val="nil"/>
              <w:right w:val="nil"/>
            </w:tcBorders>
            <w:shd w:val="clear" w:color="auto" w:fill="auto"/>
            <w:vAlign w:val="center"/>
          </w:tcPr>
          <w:p w14:paraId="52037DD2"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11/2017</w:t>
            </w:r>
          </w:p>
        </w:tc>
        <w:tc>
          <w:tcPr>
            <w:tcW w:w="627" w:type="pct"/>
            <w:tcBorders>
              <w:top w:val="nil"/>
              <w:left w:val="nil"/>
              <w:bottom w:val="nil"/>
              <w:right w:val="nil"/>
            </w:tcBorders>
            <w:shd w:val="clear" w:color="auto" w:fill="auto"/>
            <w:vAlign w:val="bottom"/>
          </w:tcPr>
          <w:p w14:paraId="6AFEB129" w14:textId="77777777" w:rsidR="00E9021B" w:rsidRPr="00666914" w:rsidRDefault="00E9021B" w:rsidP="00E9021B">
            <w:pPr>
              <w:spacing w:after="0"/>
              <w:jc w:val="center"/>
              <w:rPr>
                <w:rFonts w:eastAsia="Times New Roman" w:cs="Calibri"/>
                <w:color w:val="000000"/>
                <w:sz w:val="16"/>
                <w:szCs w:val="16"/>
                <w:lang w:eastAsia="sk-SK"/>
              </w:rPr>
            </w:pPr>
          </w:p>
        </w:tc>
        <w:tc>
          <w:tcPr>
            <w:tcW w:w="641" w:type="pct"/>
            <w:gridSpan w:val="2"/>
            <w:tcBorders>
              <w:top w:val="nil"/>
              <w:left w:val="nil"/>
              <w:bottom w:val="nil"/>
              <w:right w:val="nil"/>
            </w:tcBorders>
            <w:shd w:val="clear" w:color="auto" w:fill="auto"/>
            <w:vAlign w:val="center"/>
          </w:tcPr>
          <w:p w14:paraId="47DF63DC"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vyžiadané doplňujúce podklady</w:t>
            </w:r>
          </w:p>
        </w:tc>
      </w:tr>
      <w:tr w:rsidR="00E9021B" w:rsidRPr="00666914" w14:paraId="13EDD2F2" w14:textId="77777777" w:rsidTr="00315988">
        <w:trPr>
          <w:trHeight w:val="520"/>
        </w:trPr>
        <w:tc>
          <w:tcPr>
            <w:tcW w:w="454" w:type="pct"/>
            <w:tcBorders>
              <w:top w:val="nil"/>
              <w:left w:val="nil"/>
              <w:bottom w:val="nil"/>
              <w:right w:val="nil"/>
            </w:tcBorders>
            <w:shd w:val="clear" w:color="auto" w:fill="auto"/>
            <w:vAlign w:val="center"/>
            <w:hideMark/>
          </w:tcPr>
          <w:p w14:paraId="00E8E027"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ŽSR</w:t>
            </w:r>
          </w:p>
        </w:tc>
        <w:tc>
          <w:tcPr>
            <w:tcW w:w="1341" w:type="pct"/>
            <w:tcBorders>
              <w:top w:val="nil"/>
              <w:left w:val="nil"/>
              <w:bottom w:val="nil"/>
              <w:right w:val="nil"/>
            </w:tcBorders>
            <w:shd w:val="clear" w:color="auto" w:fill="auto"/>
            <w:vAlign w:val="center"/>
            <w:hideMark/>
          </w:tcPr>
          <w:p w14:paraId="00EBE175"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Výstavba terminálov integrovanej osobnej prepravy v Bratislave</w:t>
            </w:r>
          </w:p>
        </w:tc>
        <w:tc>
          <w:tcPr>
            <w:tcW w:w="430" w:type="pct"/>
            <w:tcBorders>
              <w:top w:val="nil"/>
              <w:left w:val="nil"/>
              <w:bottom w:val="nil"/>
              <w:right w:val="nil"/>
            </w:tcBorders>
            <w:shd w:val="clear" w:color="auto" w:fill="auto"/>
            <w:vAlign w:val="center"/>
            <w:hideMark/>
          </w:tcPr>
          <w:p w14:paraId="7434FC33"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55</w:t>
            </w:r>
          </w:p>
        </w:tc>
        <w:tc>
          <w:tcPr>
            <w:tcW w:w="574" w:type="pct"/>
            <w:tcBorders>
              <w:top w:val="nil"/>
              <w:left w:val="nil"/>
              <w:bottom w:val="nil"/>
              <w:right w:val="nil"/>
            </w:tcBorders>
            <w:shd w:val="clear" w:color="auto" w:fill="auto"/>
            <w:vAlign w:val="center"/>
            <w:hideMark/>
          </w:tcPr>
          <w:p w14:paraId="2FBC2CCB"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03/2017</w:t>
            </w:r>
          </w:p>
        </w:tc>
        <w:tc>
          <w:tcPr>
            <w:tcW w:w="575" w:type="pct"/>
            <w:tcBorders>
              <w:top w:val="nil"/>
              <w:left w:val="nil"/>
              <w:bottom w:val="nil"/>
              <w:right w:val="nil"/>
            </w:tcBorders>
            <w:shd w:val="clear" w:color="auto" w:fill="auto"/>
            <w:vAlign w:val="center"/>
            <w:hideMark/>
          </w:tcPr>
          <w:p w14:paraId="610F476E"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DÚR</w:t>
            </w:r>
          </w:p>
        </w:tc>
        <w:tc>
          <w:tcPr>
            <w:tcW w:w="358" w:type="pct"/>
            <w:tcBorders>
              <w:top w:val="nil"/>
              <w:left w:val="nil"/>
              <w:bottom w:val="nil"/>
              <w:right w:val="nil"/>
            </w:tcBorders>
            <w:shd w:val="clear" w:color="auto" w:fill="auto"/>
            <w:vAlign w:val="center"/>
            <w:hideMark/>
          </w:tcPr>
          <w:p w14:paraId="22341F14"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11/2017</w:t>
            </w:r>
          </w:p>
        </w:tc>
        <w:tc>
          <w:tcPr>
            <w:tcW w:w="627" w:type="pct"/>
            <w:tcBorders>
              <w:top w:val="nil"/>
              <w:left w:val="nil"/>
              <w:bottom w:val="nil"/>
              <w:right w:val="nil"/>
            </w:tcBorders>
            <w:shd w:val="clear" w:color="auto" w:fill="auto"/>
            <w:vAlign w:val="bottom"/>
            <w:hideMark/>
          </w:tcPr>
          <w:p w14:paraId="44990D1E" w14:textId="77777777" w:rsidR="00E9021B" w:rsidRPr="00666914" w:rsidRDefault="00E9021B" w:rsidP="00E9021B">
            <w:pPr>
              <w:spacing w:after="0"/>
              <w:jc w:val="center"/>
              <w:rPr>
                <w:rFonts w:eastAsia="Times New Roman" w:cs="Calibri"/>
                <w:color w:val="000000"/>
                <w:sz w:val="16"/>
                <w:szCs w:val="16"/>
                <w:lang w:eastAsia="sk-SK"/>
              </w:rPr>
            </w:pPr>
          </w:p>
        </w:tc>
        <w:tc>
          <w:tcPr>
            <w:tcW w:w="641" w:type="pct"/>
            <w:gridSpan w:val="2"/>
            <w:tcBorders>
              <w:top w:val="nil"/>
              <w:left w:val="nil"/>
              <w:bottom w:val="nil"/>
              <w:right w:val="nil"/>
            </w:tcBorders>
            <w:shd w:val="clear" w:color="auto" w:fill="auto"/>
            <w:vAlign w:val="center"/>
            <w:hideMark/>
          </w:tcPr>
          <w:p w14:paraId="3E992359"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vyžiadané doplňujúce podklady</w:t>
            </w:r>
          </w:p>
        </w:tc>
      </w:tr>
      <w:tr w:rsidR="00E9021B" w:rsidRPr="00666914" w14:paraId="62E316B0" w14:textId="77777777" w:rsidTr="00315988">
        <w:trPr>
          <w:trHeight w:val="780"/>
        </w:trPr>
        <w:tc>
          <w:tcPr>
            <w:tcW w:w="454" w:type="pct"/>
            <w:tcBorders>
              <w:top w:val="nil"/>
              <w:left w:val="nil"/>
              <w:bottom w:val="nil"/>
              <w:right w:val="nil"/>
            </w:tcBorders>
            <w:shd w:val="clear" w:color="auto" w:fill="auto"/>
            <w:vAlign w:val="center"/>
            <w:hideMark/>
          </w:tcPr>
          <w:p w14:paraId="25C23793"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ŽSR</w:t>
            </w:r>
          </w:p>
        </w:tc>
        <w:tc>
          <w:tcPr>
            <w:tcW w:w="1341" w:type="pct"/>
            <w:tcBorders>
              <w:top w:val="nil"/>
              <w:left w:val="nil"/>
              <w:bottom w:val="nil"/>
              <w:right w:val="nil"/>
            </w:tcBorders>
            <w:shd w:val="clear" w:color="auto" w:fill="auto"/>
            <w:vAlign w:val="center"/>
            <w:hideMark/>
          </w:tcPr>
          <w:p w14:paraId="26DADBF2"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Modernizácia železničnej trate Žilina – Košice, úsek trate Poprad-Tatry (mimo) - Krompachy, realizácia úseku Spišská Nová Ves - Poprad-Tatry</w:t>
            </w:r>
          </w:p>
        </w:tc>
        <w:tc>
          <w:tcPr>
            <w:tcW w:w="430" w:type="pct"/>
            <w:tcBorders>
              <w:top w:val="nil"/>
              <w:left w:val="nil"/>
              <w:bottom w:val="nil"/>
              <w:right w:val="nil"/>
            </w:tcBorders>
            <w:shd w:val="clear" w:color="auto" w:fill="auto"/>
            <w:vAlign w:val="center"/>
            <w:hideMark/>
          </w:tcPr>
          <w:p w14:paraId="353488B7"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492,4</w:t>
            </w:r>
          </w:p>
        </w:tc>
        <w:tc>
          <w:tcPr>
            <w:tcW w:w="574" w:type="pct"/>
            <w:tcBorders>
              <w:top w:val="nil"/>
              <w:left w:val="nil"/>
              <w:bottom w:val="nil"/>
              <w:right w:val="nil"/>
            </w:tcBorders>
            <w:shd w:val="clear" w:color="auto" w:fill="auto"/>
            <w:vAlign w:val="center"/>
            <w:hideMark/>
          </w:tcPr>
          <w:p w14:paraId="3B6D97FE"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03/2017</w:t>
            </w:r>
          </w:p>
        </w:tc>
        <w:tc>
          <w:tcPr>
            <w:tcW w:w="575" w:type="pct"/>
            <w:tcBorders>
              <w:top w:val="nil"/>
              <w:left w:val="nil"/>
              <w:bottom w:val="nil"/>
              <w:right w:val="nil"/>
            </w:tcBorders>
            <w:shd w:val="clear" w:color="auto" w:fill="auto"/>
            <w:vAlign w:val="center"/>
            <w:hideMark/>
          </w:tcPr>
          <w:p w14:paraId="766CB7FF"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DÚR, ŠU</w:t>
            </w:r>
          </w:p>
        </w:tc>
        <w:tc>
          <w:tcPr>
            <w:tcW w:w="358" w:type="pct"/>
            <w:tcBorders>
              <w:top w:val="nil"/>
              <w:left w:val="nil"/>
              <w:bottom w:val="nil"/>
              <w:right w:val="nil"/>
            </w:tcBorders>
            <w:shd w:val="clear" w:color="auto" w:fill="auto"/>
            <w:vAlign w:val="bottom"/>
            <w:hideMark/>
          </w:tcPr>
          <w:p w14:paraId="43DBB1D7" w14:textId="77777777" w:rsidR="00E9021B" w:rsidRPr="00666914" w:rsidRDefault="00E9021B" w:rsidP="00E9021B">
            <w:pPr>
              <w:spacing w:after="0"/>
              <w:jc w:val="center"/>
              <w:rPr>
                <w:rFonts w:eastAsia="Times New Roman" w:cs="Calibri"/>
                <w:color w:val="000000"/>
                <w:sz w:val="16"/>
                <w:szCs w:val="16"/>
                <w:lang w:eastAsia="sk-SK"/>
              </w:rPr>
            </w:pPr>
          </w:p>
        </w:tc>
        <w:tc>
          <w:tcPr>
            <w:tcW w:w="627" w:type="pct"/>
            <w:tcBorders>
              <w:top w:val="nil"/>
              <w:left w:val="nil"/>
              <w:bottom w:val="nil"/>
              <w:right w:val="nil"/>
            </w:tcBorders>
            <w:shd w:val="clear" w:color="auto" w:fill="auto"/>
            <w:vAlign w:val="bottom"/>
            <w:hideMark/>
          </w:tcPr>
          <w:p w14:paraId="5E4256DA" w14:textId="77777777" w:rsidR="00E9021B" w:rsidRPr="00666914" w:rsidRDefault="00E9021B" w:rsidP="00E9021B">
            <w:pPr>
              <w:spacing w:after="0"/>
              <w:jc w:val="center"/>
              <w:rPr>
                <w:rFonts w:eastAsia="Times New Roman"/>
                <w:sz w:val="16"/>
                <w:szCs w:val="16"/>
                <w:lang w:eastAsia="sk-SK"/>
              </w:rPr>
            </w:pPr>
          </w:p>
        </w:tc>
        <w:tc>
          <w:tcPr>
            <w:tcW w:w="641" w:type="pct"/>
            <w:gridSpan w:val="2"/>
            <w:tcBorders>
              <w:top w:val="nil"/>
              <w:left w:val="nil"/>
              <w:bottom w:val="nil"/>
              <w:right w:val="nil"/>
            </w:tcBorders>
            <w:shd w:val="clear" w:color="auto" w:fill="auto"/>
            <w:vAlign w:val="center"/>
            <w:hideMark/>
          </w:tcPr>
          <w:p w14:paraId="320AC98E" w14:textId="77777777" w:rsidR="00E9021B" w:rsidRPr="00666914" w:rsidRDefault="00E9021B" w:rsidP="00E9021B">
            <w:pPr>
              <w:spacing w:after="0"/>
              <w:jc w:val="center"/>
              <w:rPr>
                <w:rFonts w:eastAsia="Times New Roman" w:cs="Calibri"/>
                <w:i/>
                <w:iCs/>
                <w:color w:val="000000"/>
                <w:sz w:val="16"/>
                <w:szCs w:val="16"/>
                <w:lang w:eastAsia="sk-SK"/>
              </w:rPr>
            </w:pPr>
            <w:r w:rsidRPr="00666914">
              <w:rPr>
                <w:rFonts w:eastAsia="Times New Roman" w:cs="Calibri"/>
                <w:i/>
                <w:iCs/>
                <w:color w:val="000000"/>
                <w:sz w:val="16"/>
                <w:szCs w:val="16"/>
                <w:lang w:eastAsia="sk-SK"/>
              </w:rPr>
              <w:t>Pripravuje sa stanovisko</w:t>
            </w:r>
          </w:p>
        </w:tc>
      </w:tr>
      <w:tr w:rsidR="00E9021B" w:rsidRPr="00666914" w14:paraId="28FA1410" w14:textId="77777777" w:rsidTr="00315988">
        <w:trPr>
          <w:trHeight w:val="520"/>
        </w:trPr>
        <w:tc>
          <w:tcPr>
            <w:tcW w:w="454" w:type="pct"/>
            <w:tcBorders>
              <w:top w:val="nil"/>
              <w:left w:val="nil"/>
              <w:bottom w:val="nil"/>
              <w:right w:val="nil"/>
            </w:tcBorders>
            <w:shd w:val="clear" w:color="auto" w:fill="auto"/>
            <w:vAlign w:val="center"/>
            <w:hideMark/>
          </w:tcPr>
          <w:p w14:paraId="3CEA506E"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ŽSR</w:t>
            </w:r>
          </w:p>
        </w:tc>
        <w:tc>
          <w:tcPr>
            <w:tcW w:w="1341" w:type="pct"/>
            <w:tcBorders>
              <w:top w:val="nil"/>
              <w:left w:val="nil"/>
              <w:bottom w:val="nil"/>
              <w:right w:val="nil"/>
            </w:tcBorders>
            <w:shd w:val="clear" w:color="auto" w:fill="auto"/>
            <w:vAlign w:val="center"/>
            <w:hideMark/>
          </w:tcPr>
          <w:p w14:paraId="041C546C"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Modernizácia železničnej trate Žilina – Košice, úsek trate Kysak – Košice</w:t>
            </w:r>
          </w:p>
        </w:tc>
        <w:tc>
          <w:tcPr>
            <w:tcW w:w="430" w:type="pct"/>
            <w:tcBorders>
              <w:top w:val="nil"/>
              <w:left w:val="nil"/>
              <w:bottom w:val="nil"/>
              <w:right w:val="nil"/>
            </w:tcBorders>
            <w:shd w:val="clear" w:color="auto" w:fill="auto"/>
            <w:vAlign w:val="center"/>
            <w:hideMark/>
          </w:tcPr>
          <w:p w14:paraId="4DDF5926"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zatiaľ neurčené</w:t>
            </w:r>
          </w:p>
        </w:tc>
        <w:tc>
          <w:tcPr>
            <w:tcW w:w="574" w:type="pct"/>
            <w:tcBorders>
              <w:top w:val="nil"/>
              <w:left w:val="nil"/>
              <w:bottom w:val="nil"/>
              <w:right w:val="nil"/>
            </w:tcBorders>
            <w:shd w:val="clear" w:color="auto" w:fill="auto"/>
            <w:vAlign w:val="center"/>
            <w:hideMark/>
          </w:tcPr>
          <w:p w14:paraId="0C6BDD33"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03/2017</w:t>
            </w:r>
          </w:p>
        </w:tc>
        <w:tc>
          <w:tcPr>
            <w:tcW w:w="575" w:type="pct"/>
            <w:tcBorders>
              <w:top w:val="nil"/>
              <w:left w:val="nil"/>
              <w:bottom w:val="nil"/>
              <w:right w:val="nil"/>
            </w:tcBorders>
            <w:shd w:val="clear" w:color="auto" w:fill="auto"/>
            <w:vAlign w:val="center"/>
            <w:hideMark/>
          </w:tcPr>
          <w:p w14:paraId="2111B190"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DÚR, ŠU</w:t>
            </w:r>
          </w:p>
        </w:tc>
        <w:tc>
          <w:tcPr>
            <w:tcW w:w="358" w:type="pct"/>
            <w:tcBorders>
              <w:top w:val="nil"/>
              <w:left w:val="nil"/>
              <w:bottom w:val="nil"/>
              <w:right w:val="nil"/>
            </w:tcBorders>
            <w:shd w:val="clear" w:color="auto" w:fill="auto"/>
            <w:vAlign w:val="bottom"/>
            <w:hideMark/>
          </w:tcPr>
          <w:p w14:paraId="3ED5B874" w14:textId="77777777" w:rsidR="00E9021B" w:rsidRPr="00666914" w:rsidRDefault="00E9021B" w:rsidP="00E9021B">
            <w:pPr>
              <w:spacing w:after="0"/>
              <w:jc w:val="center"/>
              <w:rPr>
                <w:rFonts w:eastAsia="Times New Roman" w:cs="Calibri"/>
                <w:color w:val="000000"/>
                <w:sz w:val="16"/>
                <w:szCs w:val="16"/>
                <w:lang w:eastAsia="sk-SK"/>
              </w:rPr>
            </w:pPr>
          </w:p>
        </w:tc>
        <w:tc>
          <w:tcPr>
            <w:tcW w:w="627" w:type="pct"/>
            <w:tcBorders>
              <w:top w:val="nil"/>
              <w:left w:val="nil"/>
              <w:bottom w:val="nil"/>
              <w:right w:val="nil"/>
            </w:tcBorders>
            <w:shd w:val="clear" w:color="auto" w:fill="auto"/>
            <w:vAlign w:val="bottom"/>
            <w:hideMark/>
          </w:tcPr>
          <w:p w14:paraId="28121D7F" w14:textId="77777777" w:rsidR="00E9021B" w:rsidRPr="00666914" w:rsidRDefault="00E9021B" w:rsidP="00E9021B">
            <w:pPr>
              <w:spacing w:after="0"/>
              <w:jc w:val="center"/>
              <w:rPr>
                <w:rFonts w:eastAsia="Times New Roman"/>
                <w:sz w:val="16"/>
                <w:szCs w:val="16"/>
                <w:lang w:eastAsia="sk-SK"/>
              </w:rPr>
            </w:pPr>
          </w:p>
        </w:tc>
        <w:tc>
          <w:tcPr>
            <w:tcW w:w="641" w:type="pct"/>
            <w:gridSpan w:val="2"/>
            <w:tcBorders>
              <w:top w:val="nil"/>
              <w:left w:val="nil"/>
              <w:bottom w:val="nil"/>
              <w:right w:val="nil"/>
            </w:tcBorders>
            <w:shd w:val="clear" w:color="auto" w:fill="auto"/>
            <w:vAlign w:val="center"/>
            <w:hideMark/>
          </w:tcPr>
          <w:p w14:paraId="5A02656E" w14:textId="77777777" w:rsidR="00E9021B" w:rsidRPr="00666914" w:rsidRDefault="00E9021B" w:rsidP="00E9021B">
            <w:pPr>
              <w:spacing w:after="0"/>
              <w:jc w:val="center"/>
              <w:rPr>
                <w:rFonts w:eastAsia="Times New Roman" w:cs="Calibri"/>
                <w:i/>
                <w:iCs/>
                <w:color w:val="000000"/>
                <w:sz w:val="16"/>
                <w:szCs w:val="16"/>
                <w:lang w:eastAsia="sk-SK"/>
              </w:rPr>
            </w:pPr>
            <w:r w:rsidRPr="00666914">
              <w:rPr>
                <w:rFonts w:eastAsia="Times New Roman" w:cs="Calibri"/>
                <w:i/>
                <w:iCs/>
                <w:color w:val="000000"/>
                <w:sz w:val="16"/>
                <w:szCs w:val="16"/>
                <w:lang w:eastAsia="sk-SK"/>
              </w:rPr>
              <w:t>Pripravuje sa stanovisko</w:t>
            </w:r>
          </w:p>
        </w:tc>
      </w:tr>
      <w:tr w:rsidR="00E9021B" w:rsidRPr="00666914" w14:paraId="47CBD959" w14:textId="77777777" w:rsidTr="00315988">
        <w:trPr>
          <w:trHeight w:val="520"/>
        </w:trPr>
        <w:tc>
          <w:tcPr>
            <w:tcW w:w="454" w:type="pct"/>
            <w:tcBorders>
              <w:top w:val="nil"/>
              <w:left w:val="nil"/>
              <w:bottom w:val="nil"/>
              <w:right w:val="nil"/>
            </w:tcBorders>
            <w:shd w:val="clear" w:color="000000" w:fill="FFFF00"/>
            <w:vAlign w:val="center"/>
            <w:hideMark/>
          </w:tcPr>
          <w:p w14:paraId="1CE08142"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ŽSR</w:t>
            </w:r>
          </w:p>
        </w:tc>
        <w:tc>
          <w:tcPr>
            <w:tcW w:w="1341" w:type="pct"/>
            <w:tcBorders>
              <w:top w:val="nil"/>
              <w:left w:val="nil"/>
              <w:bottom w:val="nil"/>
              <w:right w:val="nil"/>
            </w:tcBorders>
            <w:shd w:val="clear" w:color="000000" w:fill="FFFF00"/>
            <w:vAlign w:val="center"/>
            <w:hideMark/>
          </w:tcPr>
          <w:p w14:paraId="6BCB737A"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Uzol Bratislava</w:t>
            </w:r>
          </w:p>
        </w:tc>
        <w:tc>
          <w:tcPr>
            <w:tcW w:w="430" w:type="pct"/>
            <w:tcBorders>
              <w:top w:val="nil"/>
              <w:left w:val="nil"/>
              <w:bottom w:val="nil"/>
              <w:right w:val="nil"/>
            </w:tcBorders>
            <w:shd w:val="clear" w:color="000000" w:fill="FFFF00"/>
            <w:vAlign w:val="center"/>
            <w:hideMark/>
          </w:tcPr>
          <w:p w14:paraId="7719F97E"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960</w:t>
            </w:r>
          </w:p>
        </w:tc>
        <w:tc>
          <w:tcPr>
            <w:tcW w:w="574" w:type="pct"/>
            <w:tcBorders>
              <w:top w:val="nil"/>
              <w:left w:val="nil"/>
              <w:bottom w:val="nil"/>
              <w:right w:val="nil"/>
            </w:tcBorders>
            <w:shd w:val="clear" w:color="000000" w:fill="FFFF00"/>
            <w:vAlign w:val="center"/>
            <w:hideMark/>
          </w:tcPr>
          <w:p w14:paraId="3A853F73"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 xml:space="preserve"> 03/2017</w:t>
            </w:r>
          </w:p>
        </w:tc>
        <w:tc>
          <w:tcPr>
            <w:tcW w:w="575" w:type="pct"/>
            <w:tcBorders>
              <w:top w:val="nil"/>
              <w:left w:val="nil"/>
              <w:bottom w:val="nil"/>
              <w:right w:val="nil"/>
            </w:tcBorders>
            <w:shd w:val="clear" w:color="000000" w:fill="FFFF00"/>
            <w:vAlign w:val="center"/>
            <w:hideMark/>
          </w:tcPr>
          <w:p w14:paraId="24DFEF2D"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ŠR ukončená v 04/2019</w:t>
            </w:r>
          </w:p>
        </w:tc>
        <w:tc>
          <w:tcPr>
            <w:tcW w:w="358" w:type="pct"/>
            <w:tcBorders>
              <w:top w:val="nil"/>
              <w:left w:val="nil"/>
              <w:bottom w:val="nil"/>
              <w:right w:val="nil"/>
            </w:tcBorders>
            <w:shd w:val="clear" w:color="000000" w:fill="FFFF00"/>
            <w:vAlign w:val="center"/>
            <w:hideMark/>
          </w:tcPr>
          <w:p w14:paraId="3DE7675E"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03/2018</w:t>
            </w:r>
          </w:p>
        </w:tc>
        <w:tc>
          <w:tcPr>
            <w:tcW w:w="627" w:type="pct"/>
            <w:tcBorders>
              <w:top w:val="nil"/>
              <w:left w:val="nil"/>
              <w:bottom w:val="nil"/>
              <w:right w:val="nil"/>
            </w:tcBorders>
            <w:shd w:val="clear" w:color="000000" w:fill="FFFF00"/>
            <w:vAlign w:val="bottom"/>
            <w:hideMark/>
          </w:tcPr>
          <w:p w14:paraId="717548B4"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Predbežné hodnotenie</w:t>
            </w:r>
          </w:p>
        </w:tc>
        <w:tc>
          <w:tcPr>
            <w:tcW w:w="641" w:type="pct"/>
            <w:gridSpan w:val="2"/>
            <w:tcBorders>
              <w:top w:val="nil"/>
              <w:left w:val="nil"/>
              <w:bottom w:val="nil"/>
              <w:right w:val="nil"/>
            </w:tcBorders>
            <w:shd w:val="clear" w:color="000000" w:fill="FFFF00"/>
            <w:vAlign w:val="center"/>
            <w:hideMark/>
          </w:tcPr>
          <w:p w14:paraId="3B730D23" w14:textId="77777777" w:rsidR="00E9021B" w:rsidRPr="00666914" w:rsidRDefault="00E9021B" w:rsidP="00E9021B">
            <w:pPr>
              <w:spacing w:after="0"/>
              <w:jc w:val="center"/>
              <w:rPr>
                <w:rFonts w:eastAsia="Times New Roman" w:cs="Calibri"/>
                <w:i/>
                <w:iCs/>
                <w:color w:val="000000"/>
                <w:sz w:val="16"/>
                <w:szCs w:val="16"/>
                <w:lang w:eastAsia="sk-SK"/>
              </w:rPr>
            </w:pPr>
            <w:r w:rsidRPr="00666914">
              <w:rPr>
                <w:rFonts w:eastAsia="Times New Roman" w:cs="Calibri"/>
                <w:i/>
                <w:iCs/>
                <w:color w:val="000000"/>
                <w:sz w:val="16"/>
                <w:szCs w:val="16"/>
                <w:lang w:eastAsia="sk-SK"/>
              </w:rPr>
              <w:t>Prebieha diskusia / draft stanoviska</w:t>
            </w:r>
          </w:p>
        </w:tc>
      </w:tr>
      <w:tr w:rsidR="00E9021B" w:rsidRPr="00666914" w14:paraId="1709C89D" w14:textId="77777777" w:rsidTr="00315988">
        <w:trPr>
          <w:trHeight w:val="520"/>
        </w:trPr>
        <w:tc>
          <w:tcPr>
            <w:tcW w:w="454" w:type="pct"/>
            <w:tcBorders>
              <w:top w:val="nil"/>
              <w:left w:val="nil"/>
              <w:bottom w:val="nil"/>
              <w:right w:val="nil"/>
            </w:tcBorders>
            <w:shd w:val="clear" w:color="auto" w:fill="auto"/>
            <w:vAlign w:val="center"/>
            <w:hideMark/>
          </w:tcPr>
          <w:p w14:paraId="725DF8CE"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ŽSR</w:t>
            </w:r>
          </w:p>
        </w:tc>
        <w:tc>
          <w:tcPr>
            <w:tcW w:w="1341" w:type="pct"/>
            <w:tcBorders>
              <w:top w:val="nil"/>
              <w:left w:val="nil"/>
              <w:bottom w:val="nil"/>
              <w:right w:val="nil"/>
            </w:tcBorders>
            <w:shd w:val="clear" w:color="auto" w:fill="auto"/>
            <w:vAlign w:val="center"/>
            <w:hideMark/>
          </w:tcPr>
          <w:p w14:paraId="1A1EEFFF"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Úpravy infraštruktúry pre grafikon verejnej dopravy 2020</w:t>
            </w:r>
          </w:p>
        </w:tc>
        <w:tc>
          <w:tcPr>
            <w:tcW w:w="430" w:type="pct"/>
            <w:tcBorders>
              <w:top w:val="nil"/>
              <w:left w:val="nil"/>
              <w:bottom w:val="nil"/>
              <w:right w:val="nil"/>
            </w:tcBorders>
            <w:shd w:val="clear" w:color="auto" w:fill="auto"/>
            <w:vAlign w:val="center"/>
            <w:hideMark/>
          </w:tcPr>
          <w:p w14:paraId="2FE9D88A"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52,2</w:t>
            </w:r>
          </w:p>
        </w:tc>
        <w:tc>
          <w:tcPr>
            <w:tcW w:w="574" w:type="pct"/>
            <w:tcBorders>
              <w:top w:val="nil"/>
              <w:left w:val="nil"/>
              <w:bottom w:val="nil"/>
              <w:right w:val="nil"/>
            </w:tcBorders>
            <w:shd w:val="clear" w:color="auto" w:fill="auto"/>
            <w:vAlign w:val="center"/>
            <w:hideMark/>
          </w:tcPr>
          <w:p w14:paraId="3924E3E0"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03/2017</w:t>
            </w:r>
          </w:p>
        </w:tc>
        <w:tc>
          <w:tcPr>
            <w:tcW w:w="575" w:type="pct"/>
            <w:tcBorders>
              <w:top w:val="nil"/>
              <w:left w:val="nil"/>
              <w:bottom w:val="nil"/>
              <w:right w:val="nil"/>
            </w:tcBorders>
            <w:shd w:val="clear" w:color="auto" w:fill="auto"/>
            <w:vAlign w:val="center"/>
            <w:hideMark/>
          </w:tcPr>
          <w:p w14:paraId="5746D5A0"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Zámer</w:t>
            </w:r>
          </w:p>
        </w:tc>
        <w:tc>
          <w:tcPr>
            <w:tcW w:w="358" w:type="pct"/>
            <w:tcBorders>
              <w:top w:val="nil"/>
              <w:left w:val="nil"/>
              <w:bottom w:val="nil"/>
              <w:right w:val="nil"/>
            </w:tcBorders>
            <w:shd w:val="clear" w:color="auto" w:fill="auto"/>
            <w:vAlign w:val="center"/>
            <w:hideMark/>
          </w:tcPr>
          <w:p w14:paraId="537E3F61"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11/2017</w:t>
            </w:r>
          </w:p>
        </w:tc>
        <w:tc>
          <w:tcPr>
            <w:tcW w:w="627" w:type="pct"/>
            <w:tcBorders>
              <w:top w:val="nil"/>
              <w:left w:val="nil"/>
              <w:bottom w:val="nil"/>
              <w:right w:val="nil"/>
            </w:tcBorders>
            <w:shd w:val="clear" w:color="auto" w:fill="auto"/>
            <w:vAlign w:val="bottom"/>
            <w:hideMark/>
          </w:tcPr>
          <w:p w14:paraId="2D52476D" w14:textId="77777777" w:rsidR="00E9021B" w:rsidRPr="00666914" w:rsidRDefault="00E9021B" w:rsidP="00E9021B">
            <w:pPr>
              <w:spacing w:after="0"/>
              <w:jc w:val="center"/>
              <w:rPr>
                <w:rFonts w:eastAsia="Times New Roman" w:cs="Calibri"/>
                <w:color w:val="000000"/>
                <w:sz w:val="16"/>
                <w:szCs w:val="16"/>
                <w:lang w:eastAsia="sk-SK"/>
              </w:rPr>
            </w:pPr>
          </w:p>
        </w:tc>
        <w:tc>
          <w:tcPr>
            <w:tcW w:w="641" w:type="pct"/>
            <w:gridSpan w:val="2"/>
            <w:tcBorders>
              <w:top w:val="nil"/>
              <w:left w:val="nil"/>
              <w:bottom w:val="nil"/>
              <w:right w:val="nil"/>
            </w:tcBorders>
            <w:shd w:val="clear" w:color="auto" w:fill="auto"/>
            <w:vAlign w:val="center"/>
            <w:hideMark/>
          </w:tcPr>
          <w:p w14:paraId="488AFC9C"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vyžiadané doplňujúce podklady</w:t>
            </w:r>
          </w:p>
        </w:tc>
      </w:tr>
      <w:tr w:rsidR="00E9021B" w:rsidRPr="00666914" w14:paraId="3B0E784F" w14:textId="77777777" w:rsidTr="00315988">
        <w:trPr>
          <w:trHeight w:val="1040"/>
        </w:trPr>
        <w:tc>
          <w:tcPr>
            <w:tcW w:w="454" w:type="pct"/>
            <w:tcBorders>
              <w:top w:val="nil"/>
              <w:left w:val="nil"/>
              <w:bottom w:val="nil"/>
              <w:right w:val="nil"/>
            </w:tcBorders>
            <w:shd w:val="clear" w:color="auto" w:fill="auto"/>
            <w:vAlign w:val="center"/>
            <w:hideMark/>
          </w:tcPr>
          <w:p w14:paraId="6D61DDA3"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ŽSR</w:t>
            </w:r>
          </w:p>
        </w:tc>
        <w:tc>
          <w:tcPr>
            <w:tcW w:w="1341" w:type="pct"/>
            <w:tcBorders>
              <w:top w:val="nil"/>
              <w:left w:val="nil"/>
              <w:bottom w:val="nil"/>
              <w:right w:val="nil"/>
            </w:tcBorders>
            <w:shd w:val="clear" w:color="auto" w:fill="auto"/>
            <w:vAlign w:val="center"/>
            <w:hideMark/>
          </w:tcPr>
          <w:p w14:paraId="5E80B5AB"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 xml:space="preserve">Modernizácia koridoru, štátna hranica ČR/SR - Čadca - Krásno nad Kysucou (mimo), železničná trať, 1. a 2.etapa (úsek Krásno nad Kysucou – Čadca) </w:t>
            </w:r>
          </w:p>
        </w:tc>
        <w:tc>
          <w:tcPr>
            <w:tcW w:w="430" w:type="pct"/>
            <w:tcBorders>
              <w:top w:val="nil"/>
              <w:left w:val="nil"/>
              <w:bottom w:val="nil"/>
              <w:right w:val="nil"/>
            </w:tcBorders>
            <w:shd w:val="clear" w:color="auto" w:fill="auto"/>
            <w:vAlign w:val="center"/>
            <w:hideMark/>
          </w:tcPr>
          <w:p w14:paraId="0AC639EA"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220</w:t>
            </w:r>
          </w:p>
        </w:tc>
        <w:tc>
          <w:tcPr>
            <w:tcW w:w="574" w:type="pct"/>
            <w:tcBorders>
              <w:top w:val="nil"/>
              <w:left w:val="nil"/>
              <w:bottom w:val="nil"/>
              <w:right w:val="nil"/>
            </w:tcBorders>
            <w:shd w:val="clear" w:color="auto" w:fill="auto"/>
            <w:vAlign w:val="center"/>
            <w:hideMark/>
          </w:tcPr>
          <w:p w14:paraId="71A882D9"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03/2017</w:t>
            </w:r>
          </w:p>
        </w:tc>
        <w:tc>
          <w:tcPr>
            <w:tcW w:w="575" w:type="pct"/>
            <w:tcBorders>
              <w:top w:val="nil"/>
              <w:left w:val="nil"/>
              <w:bottom w:val="nil"/>
              <w:right w:val="nil"/>
            </w:tcBorders>
            <w:shd w:val="clear" w:color="auto" w:fill="auto"/>
            <w:vAlign w:val="center"/>
            <w:hideMark/>
          </w:tcPr>
          <w:p w14:paraId="68B0AB8D"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DÚR</w:t>
            </w:r>
          </w:p>
        </w:tc>
        <w:tc>
          <w:tcPr>
            <w:tcW w:w="358" w:type="pct"/>
            <w:tcBorders>
              <w:top w:val="nil"/>
              <w:left w:val="nil"/>
              <w:bottom w:val="nil"/>
              <w:right w:val="nil"/>
            </w:tcBorders>
            <w:shd w:val="clear" w:color="auto" w:fill="auto"/>
            <w:vAlign w:val="center"/>
            <w:hideMark/>
          </w:tcPr>
          <w:p w14:paraId="5CB22FA4"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11/2017</w:t>
            </w:r>
          </w:p>
        </w:tc>
        <w:tc>
          <w:tcPr>
            <w:tcW w:w="627" w:type="pct"/>
            <w:tcBorders>
              <w:top w:val="nil"/>
              <w:left w:val="nil"/>
              <w:bottom w:val="nil"/>
              <w:right w:val="nil"/>
            </w:tcBorders>
            <w:shd w:val="clear" w:color="auto" w:fill="auto"/>
            <w:vAlign w:val="bottom"/>
            <w:hideMark/>
          </w:tcPr>
          <w:p w14:paraId="3ADA843D" w14:textId="77777777" w:rsidR="00E9021B" w:rsidRPr="00666914" w:rsidRDefault="00E9021B" w:rsidP="00E9021B">
            <w:pPr>
              <w:spacing w:after="0"/>
              <w:jc w:val="center"/>
              <w:rPr>
                <w:rFonts w:eastAsia="Times New Roman" w:cs="Calibri"/>
                <w:color w:val="000000"/>
                <w:sz w:val="16"/>
                <w:szCs w:val="16"/>
                <w:lang w:eastAsia="sk-SK"/>
              </w:rPr>
            </w:pPr>
          </w:p>
        </w:tc>
        <w:tc>
          <w:tcPr>
            <w:tcW w:w="641" w:type="pct"/>
            <w:gridSpan w:val="2"/>
            <w:tcBorders>
              <w:top w:val="nil"/>
              <w:left w:val="nil"/>
              <w:bottom w:val="nil"/>
              <w:right w:val="nil"/>
            </w:tcBorders>
            <w:shd w:val="clear" w:color="auto" w:fill="auto"/>
            <w:vAlign w:val="center"/>
            <w:hideMark/>
          </w:tcPr>
          <w:p w14:paraId="6C0FF3F2" w14:textId="77777777" w:rsidR="00E9021B" w:rsidRPr="00666914" w:rsidRDefault="00E9021B" w:rsidP="00E9021B">
            <w:pPr>
              <w:spacing w:after="0"/>
              <w:jc w:val="center"/>
              <w:rPr>
                <w:rFonts w:eastAsia="Times New Roman" w:cs="Calibri"/>
                <w:sz w:val="16"/>
                <w:szCs w:val="16"/>
                <w:lang w:eastAsia="sk-SK"/>
              </w:rPr>
            </w:pPr>
            <w:r w:rsidRPr="00666914">
              <w:rPr>
                <w:rFonts w:eastAsia="Times New Roman" w:cs="Calibri"/>
                <w:sz w:val="16"/>
                <w:szCs w:val="16"/>
                <w:lang w:eastAsia="sk-SK"/>
              </w:rPr>
              <w:t>vyžiadané doplňujúce podklady</w:t>
            </w:r>
          </w:p>
        </w:tc>
      </w:tr>
      <w:tr w:rsidR="00E9021B" w:rsidRPr="00666914" w14:paraId="0066E747" w14:textId="77777777" w:rsidTr="000B1BDD">
        <w:trPr>
          <w:trHeight w:val="780"/>
        </w:trPr>
        <w:tc>
          <w:tcPr>
            <w:tcW w:w="454" w:type="pct"/>
            <w:tcBorders>
              <w:top w:val="nil"/>
              <w:left w:val="nil"/>
              <w:right w:val="nil"/>
            </w:tcBorders>
            <w:shd w:val="clear" w:color="000000" w:fill="FFFF00"/>
            <w:vAlign w:val="center"/>
            <w:hideMark/>
          </w:tcPr>
          <w:p w14:paraId="352A5008"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ŽSR</w:t>
            </w:r>
          </w:p>
        </w:tc>
        <w:tc>
          <w:tcPr>
            <w:tcW w:w="1341" w:type="pct"/>
            <w:tcBorders>
              <w:top w:val="nil"/>
              <w:left w:val="nil"/>
              <w:right w:val="nil"/>
            </w:tcBorders>
            <w:shd w:val="clear" w:color="000000" w:fill="FFFF00"/>
            <w:vAlign w:val="center"/>
            <w:hideMark/>
          </w:tcPr>
          <w:p w14:paraId="334D1AE0"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Centralizácia riadenia systémov bezpečnosti objektov ŽSR a zabezpečenie štandardov železničných staníc</w:t>
            </w:r>
          </w:p>
        </w:tc>
        <w:tc>
          <w:tcPr>
            <w:tcW w:w="430" w:type="pct"/>
            <w:tcBorders>
              <w:top w:val="nil"/>
              <w:left w:val="nil"/>
              <w:right w:val="nil"/>
            </w:tcBorders>
            <w:shd w:val="clear" w:color="000000" w:fill="FFFF00"/>
            <w:vAlign w:val="center"/>
            <w:hideMark/>
          </w:tcPr>
          <w:p w14:paraId="300CC04B"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74</w:t>
            </w:r>
          </w:p>
        </w:tc>
        <w:tc>
          <w:tcPr>
            <w:tcW w:w="574" w:type="pct"/>
            <w:tcBorders>
              <w:top w:val="nil"/>
              <w:left w:val="nil"/>
              <w:right w:val="nil"/>
            </w:tcBorders>
            <w:shd w:val="clear" w:color="000000" w:fill="FFFF00"/>
            <w:vAlign w:val="center"/>
            <w:hideMark/>
          </w:tcPr>
          <w:p w14:paraId="7439CA92"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12/2017</w:t>
            </w:r>
          </w:p>
        </w:tc>
        <w:tc>
          <w:tcPr>
            <w:tcW w:w="575" w:type="pct"/>
            <w:tcBorders>
              <w:top w:val="nil"/>
              <w:left w:val="nil"/>
              <w:right w:val="nil"/>
            </w:tcBorders>
            <w:shd w:val="clear" w:color="000000" w:fill="FFFF00"/>
            <w:vAlign w:val="center"/>
            <w:hideMark/>
          </w:tcPr>
          <w:p w14:paraId="681D2E42"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 Súťažné podklady</w:t>
            </w:r>
          </w:p>
        </w:tc>
        <w:tc>
          <w:tcPr>
            <w:tcW w:w="358" w:type="pct"/>
            <w:tcBorders>
              <w:top w:val="nil"/>
              <w:left w:val="nil"/>
              <w:right w:val="nil"/>
            </w:tcBorders>
            <w:shd w:val="clear" w:color="000000" w:fill="FFFF00"/>
            <w:vAlign w:val="center"/>
            <w:hideMark/>
          </w:tcPr>
          <w:p w14:paraId="4284977B"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06/2018</w:t>
            </w:r>
          </w:p>
        </w:tc>
        <w:tc>
          <w:tcPr>
            <w:tcW w:w="627" w:type="pct"/>
            <w:tcBorders>
              <w:top w:val="nil"/>
              <w:left w:val="nil"/>
              <w:right w:val="nil"/>
            </w:tcBorders>
            <w:shd w:val="clear" w:color="000000" w:fill="FFFF00"/>
            <w:vAlign w:val="bottom"/>
            <w:hideMark/>
          </w:tcPr>
          <w:p w14:paraId="73B42D09"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Predbežné hodnotenie</w:t>
            </w:r>
          </w:p>
        </w:tc>
        <w:tc>
          <w:tcPr>
            <w:tcW w:w="641" w:type="pct"/>
            <w:gridSpan w:val="2"/>
            <w:tcBorders>
              <w:top w:val="nil"/>
              <w:left w:val="nil"/>
              <w:right w:val="nil"/>
            </w:tcBorders>
            <w:shd w:val="clear" w:color="000000" w:fill="FFFF00"/>
            <w:vAlign w:val="center"/>
            <w:hideMark/>
          </w:tcPr>
          <w:p w14:paraId="6230ACED" w14:textId="77777777" w:rsidR="00E9021B" w:rsidRPr="00666914" w:rsidRDefault="00E9021B" w:rsidP="00E9021B">
            <w:pPr>
              <w:spacing w:after="0"/>
              <w:jc w:val="center"/>
              <w:rPr>
                <w:rFonts w:eastAsia="Times New Roman" w:cs="Calibri"/>
                <w:sz w:val="16"/>
                <w:szCs w:val="16"/>
                <w:lang w:eastAsia="sk-SK"/>
              </w:rPr>
            </w:pPr>
            <w:r w:rsidRPr="00666914">
              <w:rPr>
                <w:rFonts w:eastAsia="Times New Roman" w:cs="Calibri"/>
                <w:sz w:val="16"/>
                <w:szCs w:val="16"/>
                <w:lang w:eastAsia="sk-SK"/>
              </w:rPr>
              <w:t>Pripomienky k ŠU a súťažným podkladom</w:t>
            </w:r>
          </w:p>
        </w:tc>
      </w:tr>
      <w:tr w:rsidR="00E9021B" w:rsidRPr="00666914" w14:paraId="02E5EBEB" w14:textId="77777777" w:rsidTr="000B1BDD">
        <w:trPr>
          <w:trHeight w:val="780"/>
        </w:trPr>
        <w:tc>
          <w:tcPr>
            <w:tcW w:w="454" w:type="pct"/>
            <w:tcBorders>
              <w:top w:val="nil"/>
              <w:left w:val="nil"/>
              <w:right w:val="nil"/>
            </w:tcBorders>
            <w:shd w:val="clear" w:color="auto" w:fill="auto"/>
            <w:vAlign w:val="center"/>
            <w:hideMark/>
          </w:tcPr>
          <w:p w14:paraId="06C346D8"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ŽSR</w:t>
            </w:r>
          </w:p>
        </w:tc>
        <w:tc>
          <w:tcPr>
            <w:tcW w:w="1341" w:type="pct"/>
            <w:tcBorders>
              <w:top w:val="nil"/>
              <w:left w:val="nil"/>
              <w:right w:val="nil"/>
            </w:tcBorders>
            <w:shd w:val="clear" w:color="auto" w:fill="auto"/>
            <w:vAlign w:val="center"/>
            <w:hideMark/>
          </w:tcPr>
          <w:p w14:paraId="0C817ADB"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ŠRT Košice - Št. hr. SK/AT</w:t>
            </w:r>
          </w:p>
        </w:tc>
        <w:tc>
          <w:tcPr>
            <w:tcW w:w="430" w:type="pct"/>
            <w:tcBorders>
              <w:top w:val="nil"/>
              <w:left w:val="nil"/>
              <w:right w:val="nil"/>
            </w:tcBorders>
            <w:shd w:val="clear" w:color="auto" w:fill="auto"/>
            <w:vAlign w:val="center"/>
            <w:hideMark/>
          </w:tcPr>
          <w:p w14:paraId="5E52CFC1"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2 240 - 6 980</w:t>
            </w:r>
          </w:p>
        </w:tc>
        <w:tc>
          <w:tcPr>
            <w:tcW w:w="574" w:type="pct"/>
            <w:tcBorders>
              <w:top w:val="nil"/>
              <w:left w:val="nil"/>
              <w:right w:val="nil"/>
            </w:tcBorders>
            <w:shd w:val="clear" w:color="auto" w:fill="auto"/>
            <w:vAlign w:val="center"/>
            <w:hideMark/>
          </w:tcPr>
          <w:p w14:paraId="29F91681"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12/2017</w:t>
            </w:r>
          </w:p>
        </w:tc>
        <w:tc>
          <w:tcPr>
            <w:tcW w:w="575" w:type="pct"/>
            <w:tcBorders>
              <w:top w:val="nil"/>
              <w:left w:val="nil"/>
              <w:right w:val="nil"/>
            </w:tcBorders>
            <w:shd w:val="clear" w:color="auto" w:fill="auto"/>
            <w:vAlign w:val="center"/>
            <w:hideMark/>
          </w:tcPr>
          <w:p w14:paraId="53E11B51"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w:t>
            </w:r>
          </w:p>
        </w:tc>
        <w:tc>
          <w:tcPr>
            <w:tcW w:w="358" w:type="pct"/>
            <w:tcBorders>
              <w:top w:val="nil"/>
              <w:left w:val="nil"/>
              <w:right w:val="nil"/>
            </w:tcBorders>
            <w:shd w:val="clear" w:color="auto" w:fill="auto"/>
            <w:vAlign w:val="bottom"/>
            <w:hideMark/>
          </w:tcPr>
          <w:p w14:paraId="7DE1E510" w14:textId="77777777" w:rsidR="00E9021B" w:rsidRPr="00666914" w:rsidRDefault="00E9021B" w:rsidP="00E9021B">
            <w:pPr>
              <w:spacing w:after="0"/>
              <w:jc w:val="center"/>
              <w:rPr>
                <w:rFonts w:eastAsia="Times New Roman" w:cs="Calibri"/>
                <w:color w:val="000000"/>
                <w:sz w:val="16"/>
                <w:szCs w:val="16"/>
                <w:lang w:eastAsia="sk-SK"/>
              </w:rPr>
            </w:pPr>
          </w:p>
        </w:tc>
        <w:tc>
          <w:tcPr>
            <w:tcW w:w="627" w:type="pct"/>
            <w:tcBorders>
              <w:top w:val="nil"/>
              <w:left w:val="nil"/>
              <w:right w:val="nil"/>
            </w:tcBorders>
            <w:shd w:val="clear" w:color="auto" w:fill="auto"/>
            <w:vAlign w:val="bottom"/>
            <w:hideMark/>
          </w:tcPr>
          <w:p w14:paraId="5E1D9391" w14:textId="77777777" w:rsidR="00E9021B" w:rsidRPr="00666914" w:rsidRDefault="00E9021B" w:rsidP="00E9021B">
            <w:pPr>
              <w:spacing w:after="0"/>
              <w:jc w:val="center"/>
              <w:rPr>
                <w:rFonts w:eastAsia="Times New Roman"/>
                <w:sz w:val="16"/>
                <w:szCs w:val="16"/>
                <w:lang w:eastAsia="sk-SK"/>
              </w:rPr>
            </w:pPr>
          </w:p>
        </w:tc>
        <w:tc>
          <w:tcPr>
            <w:tcW w:w="641" w:type="pct"/>
            <w:gridSpan w:val="2"/>
            <w:tcBorders>
              <w:top w:val="nil"/>
              <w:left w:val="nil"/>
              <w:right w:val="nil"/>
            </w:tcBorders>
            <w:shd w:val="clear" w:color="auto" w:fill="auto"/>
            <w:vAlign w:val="center"/>
            <w:hideMark/>
          </w:tcPr>
          <w:p w14:paraId="2FB30C26"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Náklady v závislosti od zapojenia zahraničných partnerov</w:t>
            </w:r>
          </w:p>
        </w:tc>
      </w:tr>
      <w:tr w:rsidR="00E9021B" w:rsidRPr="00666914" w14:paraId="1C945ED6" w14:textId="77777777" w:rsidTr="000B1BDD">
        <w:trPr>
          <w:trHeight w:val="780"/>
        </w:trPr>
        <w:tc>
          <w:tcPr>
            <w:tcW w:w="454" w:type="pct"/>
            <w:tcBorders>
              <w:left w:val="nil"/>
              <w:bottom w:val="nil"/>
              <w:right w:val="nil"/>
            </w:tcBorders>
            <w:shd w:val="clear" w:color="000000" w:fill="92D050"/>
            <w:vAlign w:val="center"/>
            <w:hideMark/>
          </w:tcPr>
          <w:p w14:paraId="49984F3E"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ŽSR</w:t>
            </w:r>
          </w:p>
        </w:tc>
        <w:tc>
          <w:tcPr>
            <w:tcW w:w="1341" w:type="pct"/>
            <w:tcBorders>
              <w:left w:val="nil"/>
              <w:bottom w:val="nil"/>
              <w:right w:val="nil"/>
            </w:tcBorders>
            <w:shd w:val="clear" w:color="000000" w:fill="92D050"/>
            <w:vAlign w:val="center"/>
            <w:hideMark/>
          </w:tcPr>
          <w:p w14:paraId="7324D231"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Elektrifikácia trate Haniska pri Košiciach – Moldava nad Bodvou</w:t>
            </w:r>
          </w:p>
        </w:tc>
        <w:tc>
          <w:tcPr>
            <w:tcW w:w="430" w:type="pct"/>
            <w:tcBorders>
              <w:left w:val="nil"/>
              <w:bottom w:val="nil"/>
              <w:right w:val="nil"/>
            </w:tcBorders>
            <w:shd w:val="clear" w:color="000000" w:fill="92D050"/>
            <w:vAlign w:val="center"/>
            <w:hideMark/>
          </w:tcPr>
          <w:p w14:paraId="66A09C62"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56</w:t>
            </w:r>
          </w:p>
        </w:tc>
        <w:tc>
          <w:tcPr>
            <w:tcW w:w="574" w:type="pct"/>
            <w:tcBorders>
              <w:left w:val="nil"/>
              <w:bottom w:val="nil"/>
              <w:right w:val="nil"/>
            </w:tcBorders>
            <w:shd w:val="clear" w:color="000000" w:fill="92D050"/>
            <w:vAlign w:val="center"/>
            <w:hideMark/>
          </w:tcPr>
          <w:p w14:paraId="3A9C3BBC"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05/2018</w:t>
            </w:r>
          </w:p>
        </w:tc>
        <w:tc>
          <w:tcPr>
            <w:tcW w:w="575" w:type="pct"/>
            <w:tcBorders>
              <w:left w:val="nil"/>
              <w:bottom w:val="nil"/>
              <w:right w:val="nil"/>
            </w:tcBorders>
            <w:shd w:val="clear" w:color="000000" w:fill="92D050"/>
            <w:vAlign w:val="center"/>
            <w:hideMark/>
          </w:tcPr>
          <w:p w14:paraId="16AC76DD"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w:t>
            </w:r>
          </w:p>
        </w:tc>
        <w:tc>
          <w:tcPr>
            <w:tcW w:w="358" w:type="pct"/>
            <w:tcBorders>
              <w:left w:val="nil"/>
              <w:bottom w:val="nil"/>
              <w:right w:val="nil"/>
            </w:tcBorders>
            <w:shd w:val="clear" w:color="000000" w:fill="92D050"/>
            <w:vAlign w:val="center"/>
            <w:hideMark/>
          </w:tcPr>
          <w:p w14:paraId="7158AE69"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06/2019</w:t>
            </w:r>
          </w:p>
        </w:tc>
        <w:tc>
          <w:tcPr>
            <w:tcW w:w="627" w:type="pct"/>
            <w:tcBorders>
              <w:left w:val="nil"/>
              <w:bottom w:val="nil"/>
              <w:right w:val="nil"/>
            </w:tcBorders>
            <w:shd w:val="clear" w:color="000000" w:fill="92D050"/>
            <w:vAlign w:val="center"/>
            <w:hideMark/>
          </w:tcPr>
          <w:p w14:paraId="7227DFD6"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Predbežné hodnotenie</w:t>
            </w:r>
          </w:p>
        </w:tc>
        <w:tc>
          <w:tcPr>
            <w:tcW w:w="641" w:type="pct"/>
            <w:gridSpan w:val="2"/>
            <w:tcBorders>
              <w:left w:val="nil"/>
              <w:bottom w:val="nil"/>
              <w:right w:val="nil"/>
            </w:tcBorders>
            <w:shd w:val="clear" w:color="000000" w:fill="92D050"/>
            <w:vAlign w:val="center"/>
            <w:hideMark/>
          </w:tcPr>
          <w:p w14:paraId="7EC311F2" w14:textId="33E771BF" w:rsidR="00E9021B" w:rsidRPr="00666914" w:rsidRDefault="00C45DA3" w:rsidP="00E9021B">
            <w:pPr>
              <w:spacing w:after="0"/>
              <w:jc w:val="center"/>
              <w:rPr>
                <w:rFonts w:eastAsia="Times New Roman" w:cs="Calibri"/>
                <w:color w:val="0563C1"/>
                <w:sz w:val="16"/>
                <w:szCs w:val="16"/>
                <w:u w:val="single"/>
                <w:lang w:eastAsia="sk-SK"/>
              </w:rPr>
            </w:pPr>
            <w:hyperlink r:id="rId41" w:history="1">
              <w:r w:rsidR="00E9021B" w:rsidRPr="00666914">
                <w:rPr>
                  <w:rStyle w:val="Hypertextovprepojenie"/>
                  <w:rFonts w:eastAsia="Times New Roman" w:cs="Calibri"/>
                  <w:sz w:val="16"/>
                  <w:szCs w:val="16"/>
                  <w:lang w:eastAsia="sk-SK"/>
                </w:rPr>
                <w:t>https://www.mfsr.sk/sk/financie/hodnota-za-peniaze/hodnotenie-investicnych-projektov/hodnotenie-investicnych-projektov.html</w:t>
              </w:r>
            </w:hyperlink>
            <w:r w:rsidR="00E9021B" w:rsidRPr="00666914">
              <w:rPr>
                <w:rStyle w:val="Hypertextovprepojenie"/>
                <w:rFonts w:eastAsia="Times New Roman" w:cs="Calibri"/>
                <w:sz w:val="16"/>
                <w:szCs w:val="16"/>
                <w:lang w:eastAsia="sk-SK"/>
              </w:rPr>
              <w:t xml:space="preserve"> </w:t>
            </w:r>
          </w:p>
        </w:tc>
      </w:tr>
      <w:tr w:rsidR="00E9021B" w:rsidRPr="00666914" w14:paraId="640D9E66" w14:textId="77777777" w:rsidTr="00315988">
        <w:trPr>
          <w:trHeight w:val="960"/>
        </w:trPr>
        <w:tc>
          <w:tcPr>
            <w:tcW w:w="454" w:type="pct"/>
            <w:tcBorders>
              <w:top w:val="nil"/>
              <w:left w:val="nil"/>
              <w:bottom w:val="nil"/>
              <w:right w:val="nil"/>
            </w:tcBorders>
            <w:shd w:val="clear" w:color="000000" w:fill="92D050"/>
            <w:vAlign w:val="center"/>
            <w:hideMark/>
          </w:tcPr>
          <w:p w14:paraId="0306FD34"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ŽSR</w:t>
            </w:r>
          </w:p>
        </w:tc>
        <w:tc>
          <w:tcPr>
            <w:tcW w:w="1341" w:type="pct"/>
            <w:tcBorders>
              <w:top w:val="nil"/>
              <w:left w:val="nil"/>
              <w:bottom w:val="nil"/>
              <w:right w:val="nil"/>
            </w:tcBorders>
            <w:shd w:val="clear" w:color="000000" w:fill="92D050"/>
            <w:vAlign w:val="center"/>
            <w:hideMark/>
          </w:tcPr>
          <w:p w14:paraId="3E2C75FA"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TSI, TAF/TAP</w:t>
            </w:r>
          </w:p>
        </w:tc>
        <w:tc>
          <w:tcPr>
            <w:tcW w:w="430" w:type="pct"/>
            <w:tcBorders>
              <w:top w:val="nil"/>
              <w:left w:val="nil"/>
              <w:bottom w:val="nil"/>
              <w:right w:val="nil"/>
            </w:tcBorders>
            <w:shd w:val="clear" w:color="000000" w:fill="92D050"/>
            <w:vAlign w:val="center"/>
            <w:hideMark/>
          </w:tcPr>
          <w:p w14:paraId="4AB6D99B"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13</w:t>
            </w:r>
          </w:p>
        </w:tc>
        <w:tc>
          <w:tcPr>
            <w:tcW w:w="574" w:type="pct"/>
            <w:tcBorders>
              <w:top w:val="nil"/>
              <w:left w:val="nil"/>
              <w:bottom w:val="nil"/>
              <w:right w:val="nil"/>
            </w:tcBorders>
            <w:shd w:val="clear" w:color="000000" w:fill="92D050"/>
            <w:vAlign w:val="center"/>
            <w:hideMark/>
          </w:tcPr>
          <w:p w14:paraId="63C6DB5C"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06/2017</w:t>
            </w:r>
          </w:p>
        </w:tc>
        <w:tc>
          <w:tcPr>
            <w:tcW w:w="575" w:type="pct"/>
            <w:tcBorders>
              <w:top w:val="nil"/>
              <w:left w:val="nil"/>
              <w:bottom w:val="nil"/>
              <w:right w:val="nil"/>
            </w:tcBorders>
            <w:shd w:val="clear" w:color="000000" w:fill="92D050"/>
            <w:vAlign w:val="center"/>
            <w:hideMark/>
          </w:tcPr>
          <w:p w14:paraId="5EDA4045"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w:t>
            </w:r>
          </w:p>
        </w:tc>
        <w:tc>
          <w:tcPr>
            <w:tcW w:w="358" w:type="pct"/>
            <w:tcBorders>
              <w:top w:val="nil"/>
              <w:left w:val="nil"/>
              <w:bottom w:val="nil"/>
              <w:right w:val="nil"/>
            </w:tcBorders>
            <w:shd w:val="clear" w:color="000000" w:fill="92D050"/>
            <w:vAlign w:val="center"/>
            <w:hideMark/>
          </w:tcPr>
          <w:p w14:paraId="75E08DD3"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12/2018</w:t>
            </w:r>
          </w:p>
        </w:tc>
        <w:tc>
          <w:tcPr>
            <w:tcW w:w="627" w:type="pct"/>
            <w:tcBorders>
              <w:top w:val="nil"/>
              <w:left w:val="nil"/>
              <w:bottom w:val="nil"/>
              <w:right w:val="nil"/>
            </w:tcBorders>
            <w:shd w:val="clear" w:color="000000" w:fill="92D050"/>
            <w:vAlign w:val="bottom"/>
            <w:hideMark/>
          </w:tcPr>
          <w:p w14:paraId="42ADD409"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Hodnotenie pred VO</w:t>
            </w:r>
          </w:p>
        </w:tc>
        <w:tc>
          <w:tcPr>
            <w:tcW w:w="641" w:type="pct"/>
            <w:gridSpan w:val="2"/>
            <w:tcBorders>
              <w:top w:val="nil"/>
              <w:left w:val="nil"/>
              <w:bottom w:val="nil"/>
              <w:right w:val="nil"/>
            </w:tcBorders>
            <w:shd w:val="clear" w:color="000000" w:fill="92D050"/>
            <w:vAlign w:val="center"/>
            <w:hideMark/>
          </w:tcPr>
          <w:p w14:paraId="21AC24D4" w14:textId="51037D4F" w:rsidR="00E9021B" w:rsidRPr="00666914" w:rsidRDefault="00C45DA3" w:rsidP="00E9021B">
            <w:pPr>
              <w:spacing w:after="0"/>
              <w:jc w:val="center"/>
              <w:rPr>
                <w:rFonts w:eastAsia="Times New Roman" w:cs="Calibri"/>
                <w:color w:val="0563C1"/>
                <w:sz w:val="16"/>
                <w:szCs w:val="16"/>
                <w:u w:val="single"/>
                <w:lang w:eastAsia="sk-SK"/>
              </w:rPr>
            </w:pPr>
            <w:hyperlink r:id="rId42" w:history="1">
              <w:r w:rsidR="00E9021B" w:rsidRPr="00666914">
                <w:rPr>
                  <w:rStyle w:val="Hypertextovprepojenie"/>
                  <w:rFonts w:eastAsia="Times New Roman" w:cs="Calibri"/>
                  <w:sz w:val="16"/>
                  <w:szCs w:val="16"/>
                  <w:lang w:eastAsia="sk-SK"/>
                </w:rPr>
                <w:t>https://www.mfsr.sk/sk/financie/hodnota-za-peniaze/hodnotenie-investicnych-projektov/hodnotenie-investicnych-projektov.html</w:t>
              </w:r>
            </w:hyperlink>
            <w:r w:rsidR="00E9021B" w:rsidRPr="00666914">
              <w:rPr>
                <w:rStyle w:val="Hypertextovprepojenie"/>
                <w:rFonts w:eastAsia="Times New Roman" w:cs="Calibri"/>
                <w:sz w:val="16"/>
                <w:szCs w:val="16"/>
                <w:lang w:eastAsia="sk-SK"/>
              </w:rPr>
              <w:t xml:space="preserve"> </w:t>
            </w:r>
          </w:p>
        </w:tc>
      </w:tr>
      <w:tr w:rsidR="00E9021B" w:rsidRPr="00666914" w14:paraId="0444A3D4" w14:textId="77777777" w:rsidTr="00315988">
        <w:trPr>
          <w:trHeight w:val="780"/>
        </w:trPr>
        <w:tc>
          <w:tcPr>
            <w:tcW w:w="454" w:type="pct"/>
            <w:tcBorders>
              <w:top w:val="nil"/>
              <w:left w:val="nil"/>
              <w:bottom w:val="nil"/>
              <w:right w:val="nil"/>
            </w:tcBorders>
            <w:shd w:val="clear" w:color="000000" w:fill="92D050"/>
            <w:vAlign w:val="center"/>
            <w:hideMark/>
          </w:tcPr>
          <w:p w14:paraId="79829089"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ŽSR</w:t>
            </w:r>
          </w:p>
        </w:tc>
        <w:tc>
          <w:tcPr>
            <w:tcW w:w="1341" w:type="pct"/>
            <w:tcBorders>
              <w:top w:val="nil"/>
              <w:left w:val="nil"/>
              <w:bottom w:val="nil"/>
              <w:right w:val="nil"/>
            </w:tcBorders>
            <w:shd w:val="clear" w:color="000000" w:fill="92D050"/>
            <w:vAlign w:val="center"/>
            <w:hideMark/>
          </w:tcPr>
          <w:p w14:paraId="20EFBDAD"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Modernizácia elektronickej komunikačnej siete ŽSR</w:t>
            </w:r>
          </w:p>
        </w:tc>
        <w:tc>
          <w:tcPr>
            <w:tcW w:w="430" w:type="pct"/>
            <w:tcBorders>
              <w:top w:val="nil"/>
              <w:left w:val="nil"/>
              <w:bottom w:val="nil"/>
              <w:right w:val="nil"/>
            </w:tcBorders>
            <w:shd w:val="clear" w:color="000000" w:fill="92D050"/>
            <w:vAlign w:val="center"/>
            <w:hideMark/>
          </w:tcPr>
          <w:p w14:paraId="284C4A86"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28,8</w:t>
            </w:r>
          </w:p>
        </w:tc>
        <w:tc>
          <w:tcPr>
            <w:tcW w:w="574" w:type="pct"/>
            <w:tcBorders>
              <w:top w:val="nil"/>
              <w:left w:val="nil"/>
              <w:bottom w:val="nil"/>
              <w:right w:val="nil"/>
            </w:tcBorders>
            <w:shd w:val="clear" w:color="000000" w:fill="92D050"/>
            <w:vAlign w:val="center"/>
            <w:hideMark/>
          </w:tcPr>
          <w:p w14:paraId="11D3C4C2"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w:t>
            </w:r>
          </w:p>
        </w:tc>
        <w:tc>
          <w:tcPr>
            <w:tcW w:w="575" w:type="pct"/>
            <w:tcBorders>
              <w:top w:val="nil"/>
              <w:left w:val="nil"/>
              <w:bottom w:val="nil"/>
              <w:right w:val="nil"/>
            </w:tcBorders>
            <w:shd w:val="clear" w:color="000000" w:fill="92D050"/>
            <w:vAlign w:val="center"/>
            <w:hideMark/>
          </w:tcPr>
          <w:p w14:paraId="0430044C"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ŠU</w:t>
            </w:r>
          </w:p>
        </w:tc>
        <w:tc>
          <w:tcPr>
            <w:tcW w:w="358" w:type="pct"/>
            <w:tcBorders>
              <w:top w:val="nil"/>
              <w:left w:val="nil"/>
              <w:bottom w:val="nil"/>
              <w:right w:val="nil"/>
            </w:tcBorders>
            <w:shd w:val="clear" w:color="000000" w:fill="92D050"/>
            <w:vAlign w:val="center"/>
            <w:hideMark/>
          </w:tcPr>
          <w:p w14:paraId="41218577"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06/2019</w:t>
            </w:r>
          </w:p>
        </w:tc>
        <w:tc>
          <w:tcPr>
            <w:tcW w:w="627" w:type="pct"/>
            <w:tcBorders>
              <w:top w:val="nil"/>
              <w:left w:val="nil"/>
              <w:bottom w:val="nil"/>
              <w:right w:val="nil"/>
            </w:tcBorders>
            <w:shd w:val="clear" w:color="000000" w:fill="92D050"/>
            <w:vAlign w:val="center"/>
            <w:hideMark/>
          </w:tcPr>
          <w:p w14:paraId="3E0A065D"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Hodnotenie ŠU</w:t>
            </w:r>
          </w:p>
        </w:tc>
        <w:tc>
          <w:tcPr>
            <w:tcW w:w="641" w:type="pct"/>
            <w:gridSpan w:val="2"/>
            <w:tcBorders>
              <w:top w:val="nil"/>
              <w:left w:val="nil"/>
              <w:bottom w:val="nil"/>
              <w:right w:val="nil"/>
            </w:tcBorders>
            <w:shd w:val="clear" w:color="000000" w:fill="92D050"/>
            <w:vAlign w:val="center"/>
            <w:hideMark/>
          </w:tcPr>
          <w:p w14:paraId="21A2F95A" w14:textId="0DEB2023" w:rsidR="00E9021B" w:rsidRPr="00666914" w:rsidRDefault="00C45DA3" w:rsidP="00E9021B">
            <w:pPr>
              <w:spacing w:after="0"/>
              <w:rPr>
                <w:rFonts w:eastAsia="Times New Roman" w:cs="Calibri"/>
                <w:color w:val="0563C1"/>
                <w:sz w:val="16"/>
                <w:szCs w:val="16"/>
                <w:u w:val="single"/>
                <w:lang w:eastAsia="sk-SK"/>
              </w:rPr>
            </w:pPr>
            <w:hyperlink r:id="rId43" w:history="1">
              <w:r w:rsidR="00E9021B" w:rsidRPr="00666914">
                <w:rPr>
                  <w:rStyle w:val="Hypertextovprepojenie"/>
                  <w:rFonts w:eastAsia="Times New Roman" w:cs="Calibri"/>
                  <w:sz w:val="16"/>
                  <w:szCs w:val="16"/>
                  <w:lang w:eastAsia="sk-SK"/>
                </w:rPr>
                <w:t>https://www.mfsr.sk/sk/financie/hodnota-za-peniaze/hodnotenie-investicnych-projektov/hodnotenie-investicnych-projektov.html</w:t>
              </w:r>
            </w:hyperlink>
            <w:r w:rsidR="00E9021B" w:rsidRPr="00666914">
              <w:rPr>
                <w:rStyle w:val="Hypertextovprepojenie"/>
                <w:rFonts w:eastAsia="Times New Roman" w:cs="Calibri"/>
                <w:sz w:val="16"/>
                <w:szCs w:val="16"/>
                <w:lang w:eastAsia="sk-SK"/>
              </w:rPr>
              <w:t xml:space="preserve"> </w:t>
            </w:r>
          </w:p>
        </w:tc>
      </w:tr>
      <w:tr w:rsidR="00E9021B" w:rsidRPr="00666914" w14:paraId="4624BA9A" w14:textId="77777777" w:rsidTr="000B1BDD">
        <w:trPr>
          <w:trHeight w:val="780"/>
        </w:trPr>
        <w:tc>
          <w:tcPr>
            <w:tcW w:w="454" w:type="pct"/>
            <w:tcBorders>
              <w:top w:val="nil"/>
              <w:left w:val="nil"/>
              <w:right w:val="nil"/>
            </w:tcBorders>
            <w:shd w:val="clear" w:color="000000" w:fill="92D050"/>
            <w:vAlign w:val="center"/>
            <w:hideMark/>
          </w:tcPr>
          <w:p w14:paraId="584D9CFC"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ŽSR</w:t>
            </w:r>
          </w:p>
        </w:tc>
        <w:tc>
          <w:tcPr>
            <w:tcW w:w="1341" w:type="pct"/>
            <w:tcBorders>
              <w:top w:val="nil"/>
              <w:left w:val="nil"/>
              <w:right w:val="nil"/>
            </w:tcBorders>
            <w:shd w:val="clear" w:color="000000" w:fill="92D050"/>
            <w:vAlign w:val="center"/>
            <w:hideMark/>
          </w:tcPr>
          <w:p w14:paraId="348C4664"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ŽSR, dostavba zriaďovacej stanice Žilina-Teplička a nadväzujúcej železničnej infraštruktúry v uzle Žilina</w:t>
            </w:r>
          </w:p>
        </w:tc>
        <w:tc>
          <w:tcPr>
            <w:tcW w:w="430" w:type="pct"/>
            <w:tcBorders>
              <w:top w:val="nil"/>
              <w:left w:val="nil"/>
              <w:right w:val="nil"/>
            </w:tcBorders>
            <w:shd w:val="clear" w:color="000000" w:fill="92D050"/>
            <w:vAlign w:val="center"/>
            <w:hideMark/>
          </w:tcPr>
          <w:p w14:paraId="047531D0"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354</w:t>
            </w:r>
          </w:p>
        </w:tc>
        <w:tc>
          <w:tcPr>
            <w:tcW w:w="574" w:type="pct"/>
            <w:tcBorders>
              <w:top w:val="nil"/>
              <w:left w:val="nil"/>
              <w:right w:val="nil"/>
            </w:tcBorders>
            <w:shd w:val="clear" w:color="000000" w:fill="92D050"/>
            <w:vAlign w:val="center"/>
            <w:hideMark/>
          </w:tcPr>
          <w:p w14:paraId="1F04B6FB"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11/2018</w:t>
            </w:r>
          </w:p>
        </w:tc>
        <w:tc>
          <w:tcPr>
            <w:tcW w:w="575" w:type="pct"/>
            <w:tcBorders>
              <w:top w:val="nil"/>
              <w:left w:val="nil"/>
              <w:right w:val="nil"/>
            </w:tcBorders>
            <w:shd w:val="clear" w:color="000000" w:fill="92D050"/>
            <w:vAlign w:val="center"/>
            <w:hideMark/>
          </w:tcPr>
          <w:p w14:paraId="12EC7A6D"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DRS, Zdôvodnenia</w:t>
            </w:r>
          </w:p>
        </w:tc>
        <w:tc>
          <w:tcPr>
            <w:tcW w:w="358" w:type="pct"/>
            <w:tcBorders>
              <w:top w:val="nil"/>
              <w:left w:val="nil"/>
              <w:right w:val="nil"/>
            </w:tcBorders>
            <w:shd w:val="clear" w:color="000000" w:fill="92D050"/>
            <w:vAlign w:val="center"/>
            <w:hideMark/>
          </w:tcPr>
          <w:p w14:paraId="152166C4"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03/2019</w:t>
            </w:r>
          </w:p>
        </w:tc>
        <w:tc>
          <w:tcPr>
            <w:tcW w:w="627" w:type="pct"/>
            <w:tcBorders>
              <w:top w:val="nil"/>
              <w:left w:val="nil"/>
              <w:right w:val="nil"/>
            </w:tcBorders>
            <w:shd w:val="clear" w:color="000000" w:fill="92D050"/>
            <w:vAlign w:val="bottom"/>
            <w:hideMark/>
          </w:tcPr>
          <w:p w14:paraId="3D702566"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Hodnotenie pred VO</w:t>
            </w:r>
          </w:p>
        </w:tc>
        <w:tc>
          <w:tcPr>
            <w:tcW w:w="641" w:type="pct"/>
            <w:gridSpan w:val="2"/>
            <w:tcBorders>
              <w:top w:val="nil"/>
              <w:left w:val="nil"/>
              <w:right w:val="nil"/>
            </w:tcBorders>
            <w:shd w:val="clear" w:color="000000" w:fill="92D050"/>
            <w:vAlign w:val="center"/>
            <w:hideMark/>
          </w:tcPr>
          <w:p w14:paraId="12579CBD" w14:textId="103C896D" w:rsidR="00E9021B" w:rsidRPr="00666914" w:rsidRDefault="00C45DA3" w:rsidP="00E9021B">
            <w:pPr>
              <w:spacing w:after="0"/>
              <w:jc w:val="center"/>
              <w:rPr>
                <w:rFonts w:eastAsia="Times New Roman" w:cs="Calibri"/>
                <w:color w:val="0563C1"/>
                <w:sz w:val="16"/>
                <w:szCs w:val="16"/>
                <w:u w:val="single"/>
                <w:lang w:eastAsia="sk-SK"/>
              </w:rPr>
            </w:pPr>
            <w:hyperlink r:id="rId44" w:history="1">
              <w:r w:rsidR="00E9021B" w:rsidRPr="00666914">
                <w:rPr>
                  <w:rStyle w:val="Hypertextovprepojenie"/>
                  <w:rFonts w:eastAsia="Times New Roman" w:cs="Calibri"/>
                  <w:sz w:val="16"/>
                  <w:szCs w:val="16"/>
                  <w:lang w:eastAsia="sk-SK"/>
                </w:rPr>
                <w:t>https://www.mfsr.sk/sk/financie/hodnota-za-peniaze/hodnotenie-investicnych-projektov/hodnotenie-investicnych-projektov.html</w:t>
              </w:r>
            </w:hyperlink>
            <w:r w:rsidR="00E9021B" w:rsidRPr="00666914">
              <w:rPr>
                <w:rStyle w:val="Hypertextovprepojenie"/>
                <w:rFonts w:eastAsia="Times New Roman" w:cs="Calibri"/>
                <w:sz w:val="16"/>
                <w:szCs w:val="16"/>
                <w:lang w:eastAsia="sk-SK"/>
              </w:rPr>
              <w:t xml:space="preserve"> </w:t>
            </w:r>
          </w:p>
        </w:tc>
      </w:tr>
      <w:tr w:rsidR="00E9021B" w:rsidRPr="00666914" w14:paraId="1894597D" w14:textId="77777777" w:rsidTr="000B1BDD">
        <w:trPr>
          <w:trHeight w:val="780"/>
        </w:trPr>
        <w:tc>
          <w:tcPr>
            <w:tcW w:w="454" w:type="pct"/>
            <w:tcBorders>
              <w:left w:val="nil"/>
              <w:bottom w:val="nil"/>
              <w:right w:val="nil"/>
            </w:tcBorders>
            <w:shd w:val="clear" w:color="000000" w:fill="BDD7EE"/>
            <w:vAlign w:val="center"/>
            <w:hideMark/>
          </w:tcPr>
          <w:p w14:paraId="0A178BC7"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lastRenderedPageBreak/>
              <w:t>ŽSR</w:t>
            </w:r>
          </w:p>
        </w:tc>
        <w:tc>
          <w:tcPr>
            <w:tcW w:w="1341" w:type="pct"/>
            <w:tcBorders>
              <w:left w:val="nil"/>
              <w:bottom w:val="nil"/>
              <w:right w:val="nil"/>
            </w:tcBorders>
            <w:shd w:val="clear" w:color="000000" w:fill="BDD7EE"/>
            <w:vAlign w:val="center"/>
            <w:hideMark/>
          </w:tcPr>
          <w:p w14:paraId="4459FF00"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Elektrifikácia Bánovce-Humenné</w:t>
            </w:r>
          </w:p>
        </w:tc>
        <w:tc>
          <w:tcPr>
            <w:tcW w:w="430" w:type="pct"/>
            <w:tcBorders>
              <w:left w:val="nil"/>
              <w:bottom w:val="nil"/>
              <w:right w:val="nil"/>
            </w:tcBorders>
            <w:shd w:val="clear" w:color="000000" w:fill="BDD7EE"/>
            <w:vAlign w:val="center"/>
            <w:hideMark/>
          </w:tcPr>
          <w:p w14:paraId="4B987532"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114</w:t>
            </w:r>
          </w:p>
        </w:tc>
        <w:tc>
          <w:tcPr>
            <w:tcW w:w="574" w:type="pct"/>
            <w:tcBorders>
              <w:left w:val="nil"/>
              <w:bottom w:val="nil"/>
              <w:right w:val="nil"/>
            </w:tcBorders>
            <w:shd w:val="clear" w:color="000000" w:fill="BDD7EE"/>
            <w:vAlign w:val="center"/>
            <w:hideMark/>
          </w:tcPr>
          <w:p w14:paraId="32D4E2F8"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w:t>
            </w:r>
          </w:p>
        </w:tc>
        <w:tc>
          <w:tcPr>
            <w:tcW w:w="575" w:type="pct"/>
            <w:tcBorders>
              <w:left w:val="nil"/>
              <w:bottom w:val="nil"/>
              <w:right w:val="nil"/>
            </w:tcBorders>
            <w:shd w:val="clear" w:color="000000" w:fill="BDD7EE"/>
            <w:vAlign w:val="center"/>
            <w:hideMark/>
          </w:tcPr>
          <w:p w14:paraId="2C141BD6"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Prvotné výstupy zo ŠU</w:t>
            </w:r>
          </w:p>
        </w:tc>
        <w:tc>
          <w:tcPr>
            <w:tcW w:w="358" w:type="pct"/>
            <w:tcBorders>
              <w:left w:val="nil"/>
              <w:bottom w:val="nil"/>
              <w:right w:val="nil"/>
            </w:tcBorders>
            <w:shd w:val="clear" w:color="000000" w:fill="BDD7EE"/>
            <w:vAlign w:val="center"/>
            <w:hideMark/>
          </w:tcPr>
          <w:p w14:paraId="1A7CAF1F"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w:t>
            </w:r>
          </w:p>
        </w:tc>
        <w:tc>
          <w:tcPr>
            <w:tcW w:w="627" w:type="pct"/>
            <w:tcBorders>
              <w:left w:val="nil"/>
              <w:bottom w:val="nil"/>
              <w:right w:val="nil"/>
            </w:tcBorders>
            <w:shd w:val="clear" w:color="000000" w:fill="BDD7EE"/>
            <w:vAlign w:val="center"/>
            <w:hideMark/>
          </w:tcPr>
          <w:p w14:paraId="3C56EB97"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Predbežné hodnotenie</w:t>
            </w:r>
          </w:p>
        </w:tc>
        <w:tc>
          <w:tcPr>
            <w:tcW w:w="641" w:type="pct"/>
            <w:gridSpan w:val="2"/>
            <w:tcBorders>
              <w:left w:val="nil"/>
              <w:bottom w:val="nil"/>
              <w:right w:val="nil"/>
            </w:tcBorders>
            <w:shd w:val="clear" w:color="000000" w:fill="BDD7EE"/>
            <w:vAlign w:val="center"/>
            <w:hideMark/>
          </w:tcPr>
          <w:p w14:paraId="6D98C397" w14:textId="77777777" w:rsidR="00E9021B" w:rsidRPr="00666914" w:rsidRDefault="00E9021B" w:rsidP="00E9021B">
            <w:pPr>
              <w:spacing w:after="0"/>
              <w:rPr>
                <w:rFonts w:eastAsia="Times New Roman" w:cs="Calibri"/>
                <w:color w:val="000000"/>
                <w:sz w:val="16"/>
                <w:szCs w:val="16"/>
                <w:lang w:eastAsia="sk-SK"/>
              </w:rPr>
            </w:pPr>
            <w:r w:rsidRPr="00666914">
              <w:rPr>
                <w:rFonts w:eastAsia="Times New Roman" w:cs="Calibri"/>
                <w:color w:val="000000"/>
                <w:sz w:val="16"/>
                <w:szCs w:val="16"/>
                <w:lang w:eastAsia="sk-SK"/>
              </w:rPr>
              <w:t>Pripomienky k prvotným výstupom z pripravovanej ŠU a CBA</w:t>
            </w:r>
          </w:p>
        </w:tc>
      </w:tr>
      <w:tr w:rsidR="00E9021B" w:rsidRPr="00666914" w14:paraId="52D9DFD4" w14:textId="77777777" w:rsidTr="00315988">
        <w:trPr>
          <w:trHeight w:val="780"/>
        </w:trPr>
        <w:tc>
          <w:tcPr>
            <w:tcW w:w="454" w:type="pct"/>
            <w:tcBorders>
              <w:top w:val="nil"/>
              <w:left w:val="nil"/>
              <w:bottom w:val="nil"/>
              <w:right w:val="nil"/>
            </w:tcBorders>
            <w:shd w:val="clear" w:color="000000" w:fill="BDD7EE"/>
            <w:vAlign w:val="center"/>
            <w:hideMark/>
          </w:tcPr>
          <w:p w14:paraId="0E39DDF7"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ŽSR</w:t>
            </w:r>
          </w:p>
        </w:tc>
        <w:tc>
          <w:tcPr>
            <w:tcW w:w="1341" w:type="pct"/>
            <w:tcBorders>
              <w:top w:val="nil"/>
              <w:left w:val="nil"/>
              <w:bottom w:val="nil"/>
              <w:right w:val="nil"/>
            </w:tcBorders>
            <w:shd w:val="clear" w:color="000000" w:fill="BDD7EE"/>
            <w:vAlign w:val="center"/>
            <w:hideMark/>
          </w:tcPr>
          <w:p w14:paraId="5D050021"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Dispečerizácia Prievidza - Jelšovce</w:t>
            </w:r>
          </w:p>
        </w:tc>
        <w:tc>
          <w:tcPr>
            <w:tcW w:w="430" w:type="pct"/>
            <w:tcBorders>
              <w:top w:val="nil"/>
              <w:left w:val="nil"/>
              <w:bottom w:val="nil"/>
              <w:right w:val="nil"/>
            </w:tcBorders>
            <w:shd w:val="clear" w:color="000000" w:fill="BDD7EE"/>
            <w:noWrap/>
            <w:vAlign w:val="center"/>
            <w:hideMark/>
          </w:tcPr>
          <w:p w14:paraId="23E2E30F" w14:textId="77777777" w:rsidR="00E9021B" w:rsidRPr="00666914" w:rsidRDefault="00E9021B" w:rsidP="00E9021B">
            <w:pPr>
              <w:spacing w:after="0"/>
              <w:jc w:val="center"/>
              <w:rPr>
                <w:rFonts w:eastAsia="Times New Roman" w:cs="Calibri"/>
                <w:b/>
                <w:bCs/>
                <w:color w:val="000000"/>
                <w:sz w:val="16"/>
                <w:szCs w:val="16"/>
                <w:lang w:eastAsia="sk-SK"/>
              </w:rPr>
            </w:pPr>
            <w:r w:rsidRPr="00666914">
              <w:rPr>
                <w:rFonts w:eastAsia="Times New Roman" w:cs="Calibri"/>
                <w:b/>
                <w:bCs/>
                <w:color w:val="000000"/>
                <w:sz w:val="16"/>
                <w:szCs w:val="16"/>
                <w:lang w:eastAsia="sk-SK"/>
              </w:rPr>
              <w:t>-</w:t>
            </w:r>
          </w:p>
        </w:tc>
        <w:tc>
          <w:tcPr>
            <w:tcW w:w="574" w:type="pct"/>
            <w:tcBorders>
              <w:top w:val="nil"/>
              <w:left w:val="nil"/>
              <w:bottom w:val="nil"/>
              <w:right w:val="nil"/>
            </w:tcBorders>
            <w:shd w:val="clear" w:color="000000" w:fill="BDD7EE"/>
            <w:noWrap/>
            <w:vAlign w:val="center"/>
            <w:hideMark/>
          </w:tcPr>
          <w:p w14:paraId="522D6D98" w14:textId="77777777" w:rsidR="00E9021B" w:rsidRPr="00666914" w:rsidRDefault="00E9021B" w:rsidP="00E9021B">
            <w:pPr>
              <w:spacing w:after="0"/>
              <w:jc w:val="center"/>
              <w:rPr>
                <w:rFonts w:eastAsia="Times New Roman" w:cs="Calibri"/>
                <w:b/>
                <w:bCs/>
                <w:color w:val="000000"/>
                <w:sz w:val="16"/>
                <w:szCs w:val="16"/>
                <w:lang w:eastAsia="sk-SK"/>
              </w:rPr>
            </w:pPr>
            <w:r w:rsidRPr="00666914">
              <w:rPr>
                <w:rFonts w:eastAsia="Times New Roman" w:cs="Calibri"/>
                <w:b/>
                <w:bCs/>
                <w:color w:val="000000"/>
                <w:sz w:val="16"/>
                <w:szCs w:val="16"/>
                <w:lang w:eastAsia="sk-SK"/>
              </w:rPr>
              <w:t>-</w:t>
            </w:r>
          </w:p>
        </w:tc>
        <w:tc>
          <w:tcPr>
            <w:tcW w:w="575" w:type="pct"/>
            <w:tcBorders>
              <w:top w:val="nil"/>
              <w:left w:val="nil"/>
              <w:bottom w:val="nil"/>
              <w:right w:val="nil"/>
            </w:tcBorders>
            <w:shd w:val="clear" w:color="000000" w:fill="BDD7EE"/>
            <w:vAlign w:val="center"/>
            <w:hideMark/>
          </w:tcPr>
          <w:p w14:paraId="33D2546F"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Prvotné výstupy zo ŠU</w:t>
            </w:r>
          </w:p>
        </w:tc>
        <w:tc>
          <w:tcPr>
            <w:tcW w:w="358" w:type="pct"/>
            <w:tcBorders>
              <w:top w:val="nil"/>
              <w:left w:val="nil"/>
              <w:bottom w:val="nil"/>
              <w:right w:val="nil"/>
            </w:tcBorders>
            <w:shd w:val="clear" w:color="000000" w:fill="BDD7EE"/>
            <w:vAlign w:val="center"/>
            <w:hideMark/>
          </w:tcPr>
          <w:p w14:paraId="26FDF59A"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w:t>
            </w:r>
          </w:p>
        </w:tc>
        <w:tc>
          <w:tcPr>
            <w:tcW w:w="627" w:type="pct"/>
            <w:tcBorders>
              <w:top w:val="nil"/>
              <w:left w:val="nil"/>
              <w:bottom w:val="nil"/>
              <w:right w:val="nil"/>
            </w:tcBorders>
            <w:shd w:val="clear" w:color="000000" w:fill="BDD7EE"/>
            <w:vAlign w:val="center"/>
            <w:hideMark/>
          </w:tcPr>
          <w:p w14:paraId="77C3CF29" w14:textId="77777777" w:rsidR="00E9021B" w:rsidRPr="00666914" w:rsidRDefault="00E9021B" w:rsidP="00E9021B">
            <w:pPr>
              <w:spacing w:after="0"/>
              <w:jc w:val="center"/>
              <w:rPr>
                <w:rFonts w:eastAsia="Times New Roman" w:cs="Calibri"/>
                <w:color w:val="000000"/>
                <w:sz w:val="16"/>
                <w:szCs w:val="16"/>
                <w:lang w:eastAsia="sk-SK"/>
              </w:rPr>
            </w:pPr>
            <w:r w:rsidRPr="00666914">
              <w:rPr>
                <w:rFonts w:eastAsia="Times New Roman" w:cs="Calibri"/>
                <w:color w:val="000000"/>
                <w:sz w:val="16"/>
                <w:szCs w:val="16"/>
                <w:lang w:eastAsia="sk-SK"/>
              </w:rPr>
              <w:t>Predbežné hodnotenie</w:t>
            </w:r>
          </w:p>
        </w:tc>
        <w:tc>
          <w:tcPr>
            <w:tcW w:w="641" w:type="pct"/>
            <w:gridSpan w:val="2"/>
            <w:tcBorders>
              <w:top w:val="nil"/>
              <w:left w:val="nil"/>
              <w:bottom w:val="nil"/>
              <w:right w:val="nil"/>
            </w:tcBorders>
            <w:shd w:val="clear" w:color="000000" w:fill="BDD7EE"/>
            <w:vAlign w:val="center"/>
            <w:hideMark/>
          </w:tcPr>
          <w:p w14:paraId="2DEF5D45" w14:textId="77777777" w:rsidR="00E9021B" w:rsidRPr="00666914" w:rsidRDefault="00E9021B" w:rsidP="00E9021B">
            <w:pPr>
              <w:spacing w:after="0"/>
              <w:rPr>
                <w:rFonts w:eastAsia="Times New Roman" w:cs="Calibri"/>
                <w:color w:val="000000"/>
                <w:sz w:val="16"/>
                <w:szCs w:val="16"/>
                <w:lang w:eastAsia="sk-SK"/>
              </w:rPr>
            </w:pPr>
            <w:r w:rsidRPr="00666914">
              <w:rPr>
                <w:rFonts w:eastAsia="Times New Roman" w:cs="Calibri"/>
                <w:color w:val="000000"/>
                <w:sz w:val="16"/>
                <w:szCs w:val="16"/>
                <w:lang w:eastAsia="sk-SK"/>
              </w:rPr>
              <w:t>Pripomienky k prvotným výstupom z pripravovanej ŠU a CBA</w:t>
            </w:r>
          </w:p>
        </w:tc>
      </w:tr>
      <w:tr w:rsidR="00E9021B" w:rsidRPr="00666914" w14:paraId="11638F68" w14:textId="77777777" w:rsidTr="00736A65">
        <w:trPr>
          <w:trHeight w:val="260"/>
        </w:trPr>
        <w:tc>
          <w:tcPr>
            <w:tcW w:w="454" w:type="pct"/>
            <w:tcBorders>
              <w:top w:val="nil"/>
              <w:left w:val="nil"/>
              <w:bottom w:val="nil"/>
              <w:right w:val="nil"/>
            </w:tcBorders>
            <w:shd w:val="clear" w:color="auto" w:fill="auto"/>
            <w:noWrap/>
            <w:vAlign w:val="bottom"/>
            <w:hideMark/>
          </w:tcPr>
          <w:p w14:paraId="0B6CB7F6" w14:textId="77777777" w:rsidR="00E9021B" w:rsidRPr="00666914" w:rsidRDefault="00E9021B" w:rsidP="00E9021B">
            <w:pPr>
              <w:spacing w:after="0"/>
              <w:rPr>
                <w:rFonts w:eastAsia="Times New Roman" w:cs="Calibri"/>
                <w:color w:val="000000"/>
                <w:sz w:val="16"/>
                <w:szCs w:val="16"/>
                <w:lang w:eastAsia="sk-SK"/>
              </w:rPr>
            </w:pPr>
          </w:p>
        </w:tc>
        <w:tc>
          <w:tcPr>
            <w:tcW w:w="1341" w:type="pct"/>
            <w:tcBorders>
              <w:top w:val="nil"/>
              <w:left w:val="nil"/>
              <w:bottom w:val="nil"/>
              <w:right w:val="nil"/>
            </w:tcBorders>
            <w:shd w:val="clear" w:color="auto" w:fill="auto"/>
            <w:noWrap/>
            <w:vAlign w:val="bottom"/>
            <w:hideMark/>
          </w:tcPr>
          <w:p w14:paraId="64DA1A14" w14:textId="7C7969B1" w:rsidR="00E9021B" w:rsidRPr="00666914" w:rsidRDefault="00E9021B" w:rsidP="00E9021B">
            <w:pPr>
              <w:spacing w:after="0"/>
              <w:rPr>
                <w:rFonts w:eastAsia="Times New Roman" w:cs="Calibri"/>
                <w:sz w:val="16"/>
                <w:szCs w:val="16"/>
                <w:lang w:eastAsia="sk-SK"/>
              </w:rPr>
            </w:pPr>
          </w:p>
        </w:tc>
        <w:tc>
          <w:tcPr>
            <w:tcW w:w="430" w:type="pct"/>
            <w:tcBorders>
              <w:top w:val="nil"/>
              <w:left w:val="nil"/>
              <w:bottom w:val="nil"/>
              <w:right w:val="nil"/>
            </w:tcBorders>
            <w:shd w:val="clear" w:color="auto" w:fill="auto"/>
            <w:noWrap/>
            <w:vAlign w:val="bottom"/>
          </w:tcPr>
          <w:p w14:paraId="1E275692" w14:textId="77777777" w:rsidR="00E9021B" w:rsidRPr="00666914" w:rsidRDefault="00E9021B" w:rsidP="00E9021B">
            <w:pPr>
              <w:spacing w:after="0"/>
              <w:rPr>
                <w:rFonts w:eastAsia="Times New Roman" w:cs="Calibri"/>
                <w:sz w:val="16"/>
                <w:szCs w:val="16"/>
                <w:lang w:eastAsia="sk-SK"/>
              </w:rPr>
            </w:pPr>
          </w:p>
        </w:tc>
        <w:tc>
          <w:tcPr>
            <w:tcW w:w="574" w:type="pct"/>
            <w:tcBorders>
              <w:top w:val="nil"/>
              <w:left w:val="nil"/>
              <w:bottom w:val="nil"/>
              <w:right w:val="nil"/>
            </w:tcBorders>
            <w:shd w:val="clear" w:color="auto" w:fill="auto"/>
            <w:noWrap/>
            <w:vAlign w:val="bottom"/>
          </w:tcPr>
          <w:p w14:paraId="6630E8B1" w14:textId="77777777" w:rsidR="00E9021B" w:rsidRPr="00666914" w:rsidRDefault="00E9021B" w:rsidP="00E9021B">
            <w:pPr>
              <w:spacing w:after="0"/>
              <w:jc w:val="center"/>
              <w:rPr>
                <w:rFonts w:eastAsia="Times New Roman"/>
                <w:sz w:val="16"/>
                <w:szCs w:val="16"/>
                <w:lang w:eastAsia="sk-SK"/>
              </w:rPr>
            </w:pPr>
          </w:p>
        </w:tc>
        <w:tc>
          <w:tcPr>
            <w:tcW w:w="575" w:type="pct"/>
            <w:tcBorders>
              <w:top w:val="nil"/>
              <w:left w:val="nil"/>
              <w:bottom w:val="nil"/>
              <w:right w:val="nil"/>
            </w:tcBorders>
            <w:shd w:val="clear" w:color="auto" w:fill="auto"/>
            <w:noWrap/>
            <w:vAlign w:val="bottom"/>
            <w:hideMark/>
          </w:tcPr>
          <w:p w14:paraId="7D5BBD57" w14:textId="77777777" w:rsidR="00E9021B" w:rsidRPr="00666914" w:rsidRDefault="00E9021B" w:rsidP="00E9021B">
            <w:pPr>
              <w:spacing w:after="0"/>
              <w:jc w:val="center"/>
              <w:rPr>
                <w:rFonts w:eastAsia="Times New Roman"/>
                <w:sz w:val="16"/>
                <w:szCs w:val="16"/>
                <w:lang w:eastAsia="sk-SK"/>
              </w:rPr>
            </w:pPr>
          </w:p>
        </w:tc>
        <w:tc>
          <w:tcPr>
            <w:tcW w:w="358" w:type="pct"/>
            <w:tcBorders>
              <w:top w:val="nil"/>
              <w:left w:val="nil"/>
              <w:bottom w:val="nil"/>
              <w:right w:val="nil"/>
            </w:tcBorders>
            <w:shd w:val="clear" w:color="auto" w:fill="auto"/>
            <w:noWrap/>
            <w:vAlign w:val="bottom"/>
            <w:hideMark/>
          </w:tcPr>
          <w:p w14:paraId="437BBA27" w14:textId="77777777" w:rsidR="00E9021B" w:rsidRPr="00666914" w:rsidRDefault="00E9021B" w:rsidP="00E9021B">
            <w:pPr>
              <w:spacing w:after="0"/>
              <w:rPr>
                <w:rFonts w:eastAsia="Times New Roman"/>
                <w:sz w:val="16"/>
                <w:szCs w:val="16"/>
                <w:lang w:eastAsia="sk-SK"/>
              </w:rPr>
            </w:pPr>
          </w:p>
        </w:tc>
        <w:tc>
          <w:tcPr>
            <w:tcW w:w="1268" w:type="pct"/>
            <w:gridSpan w:val="3"/>
            <w:tcBorders>
              <w:top w:val="nil"/>
              <w:left w:val="nil"/>
              <w:bottom w:val="nil"/>
              <w:right w:val="nil"/>
            </w:tcBorders>
            <w:shd w:val="clear" w:color="auto" w:fill="auto"/>
            <w:noWrap/>
            <w:vAlign w:val="bottom"/>
            <w:hideMark/>
          </w:tcPr>
          <w:p w14:paraId="5C27D57D" w14:textId="30A9FF86" w:rsidR="00E9021B" w:rsidRPr="00666914" w:rsidRDefault="00E9021B" w:rsidP="00E9021B">
            <w:pPr>
              <w:spacing w:after="0"/>
              <w:jc w:val="center"/>
              <w:rPr>
                <w:rFonts w:eastAsia="Times New Roman"/>
                <w:i/>
                <w:sz w:val="16"/>
                <w:szCs w:val="16"/>
                <w:lang w:eastAsia="sk-SK"/>
              </w:rPr>
            </w:pPr>
            <w:r w:rsidRPr="00666914">
              <w:rPr>
                <w:rFonts w:eastAsia="Times New Roman"/>
                <w:i/>
                <w:sz w:val="16"/>
                <w:szCs w:val="16"/>
                <w:lang w:eastAsia="sk-SK"/>
              </w:rPr>
              <w:t xml:space="preserve">                                Zdroj: ÚHP MF SR</w:t>
            </w:r>
          </w:p>
          <w:p w14:paraId="4F5F2D8E" w14:textId="4748A838" w:rsidR="00E9021B" w:rsidRPr="00666914" w:rsidRDefault="00E9021B" w:rsidP="00E9021B">
            <w:pPr>
              <w:spacing w:after="0"/>
              <w:jc w:val="center"/>
              <w:rPr>
                <w:rFonts w:eastAsia="Times New Roman"/>
                <w:i/>
                <w:sz w:val="16"/>
                <w:szCs w:val="16"/>
                <w:lang w:eastAsia="sk-SK"/>
              </w:rPr>
            </w:pPr>
          </w:p>
        </w:tc>
      </w:tr>
      <w:tr w:rsidR="00E9021B" w:rsidRPr="00666914" w14:paraId="131B15E1" w14:textId="77777777" w:rsidTr="00736A65">
        <w:trPr>
          <w:trHeight w:val="260"/>
        </w:trPr>
        <w:tc>
          <w:tcPr>
            <w:tcW w:w="454" w:type="pct"/>
            <w:tcBorders>
              <w:top w:val="nil"/>
              <w:left w:val="nil"/>
              <w:bottom w:val="nil"/>
              <w:right w:val="nil"/>
            </w:tcBorders>
            <w:shd w:val="clear" w:color="auto" w:fill="auto"/>
            <w:noWrap/>
            <w:vAlign w:val="bottom"/>
          </w:tcPr>
          <w:p w14:paraId="6C19D21D" w14:textId="77777777" w:rsidR="00E9021B" w:rsidRPr="00666914" w:rsidRDefault="00E9021B" w:rsidP="00E9021B">
            <w:pPr>
              <w:spacing w:after="0"/>
              <w:rPr>
                <w:rFonts w:eastAsia="Times New Roman" w:cs="Calibri"/>
                <w:color w:val="000000"/>
                <w:sz w:val="16"/>
                <w:szCs w:val="16"/>
                <w:lang w:eastAsia="sk-SK"/>
              </w:rPr>
            </w:pPr>
          </w:p>
        </w:tc>
        <w:tc>
          <w:tcPr>
            <w:tcW w:w="1341" w:type="pct"/>
            <w:tcBorders>
              <w:top w:val="nil"/>
              <w:left w:val="nil"/>
              <w:bottom w:val="nil"/>
              <w:right w:val="nil"/>
            </w:tcBorders>
            <w:shd w:val="clear" w:color="000000" w:fill="92D050"/>
            <w:noWrap/>
            <w:vAlign w:val="bottom"/>
          </w:tcPr>
          <w:p w14:paraId="359E8D16" w14:textId="056C2ED0" w:rsidR="00E9021B" w:rsidRPr="00666914" w:rsidRDefault="00E9021B" w:rsidP="00E9021B">
            <w:pPr>
              <w:spacing w:after="0"/>
              <w:rPr>
                <w:rFonts w:eastAsia="Times New Roman" w:cs="Calibri"/>
                <w:sz w:val="16"/>
                <w:szCs w:val="16"/>
                <w:lang w:eastAsia="sk-SK"/>
              </w:rPr>
            </w:pPr>
            <w:r w:rsidRPr="00666914">
              <w:rPr>
                <w:rFonts w:eastAsia="Times New Roman" w:cs="Calibri"/>
                <w:sz w:val="16"/>
                <w:szCs w:val="16"/>
                <w:lang w:eastAsia="sk-SK"/>
              </w:rPr>
              <w:t>posudzovanie ukončené</w:t>
            </w:r>
          </w:p>
        </w:tc>
        <w:tc>
          <w:tcPr>
            <w:tcW w:w="430" w:type="pct"/>
            <w:tcBorders>
              <w:top w:val="nil"/>
              <w:left w:val="nil"/>
              <w:bottom w:val="nil"/>
              <w:right w:val="nil"/>
            </w:tcBorders>
            <w:shd w:val="clear" w:color="auto" w:fill="auto"/>
            <w:noWrap/>
            <w:vAlign w:val="bottom"/>
          </w:tcPr>
          <w:p w14:paraId="1E9743DC" w14:textId="77777777" w:rsidR="00E9021B" w:rsidRPr="00666914" w:rsidRDefault="00E9021B" w:rsidP="00E9021B">
            <w:pPr>
              <w:spacing w:after="0"/>
              <w:rPr>
                <w:rFonts w:eastAsia="Times New Roman" w:cs="Calibri"/>
                <w:sz w:val="16"/>
                <w:szCs w:val="16"/>
                <w:lang w:eastAsia="sk-SK"/>
              </w:rPr>
            </w:pPr>
          </w:p>
        </w:tc>
        <w:tc>
          <w:tcPr>
            <w:tcW w:w="574" w:type="pct"/>
            <w:tcBorders>
              <w:top w:val="nil"/>
              <w:left w:val="nil"/>
              <w:bottom w:val="nil"/>
              <w:right w:val="nil"/>
            </w:tcBorders>
            <w:shd w:val="clear" w:color="auto" w:fill="auto"/>
            <w:noWrap/>
            <w:vAlign w:val="bottom"/>
          </w:tcPr>
          <w:p w14:paraId="2C13119C" w14:textId="77777777" w:rsidR="00E9021B" w:rsidRPr="00666914" w:rsidRDefault="00E9021B" w:rsidP="00E9021B">
            <w:pPr>
              <w:spacing w:after="0"/>
              <w:jc w:val="center"/>
              <w:rPr>
                <w:rFonts w:eastAsia="Times New Roman"/>
                <w:sz w:val="16"/>
                <w:szCs w:val="16"/>
                <w:lang w:eastAsia="sk-SK"/>
              </w:rPr>
            </w:pPr>
          </w:p>
        </w:tc>
        <w:tc>
          <w:tcPr>
            <w:tcW w:w="575" w:type="pct"/>
            <w:tcBorders>
              <w:top w:val="nil"/>
              <w:left w:val="nil"/>
              <w:bottom w:val="nil"/>
              <w:right w:val="nil"/>
            </w:tcBorders>
            <w:shd w:val="clear" w:color="auto" w:fill="auto"/>
            <w:noWrap/>
            <w:vAlign w:val="bottom"/>
          </w:tcPr>
          <w:p w14:paraId="72975A78" w14:textId="77777777" w:rsidR="00E9021B" w:rsidRPr="00666914" w:rsidRDefault="00E9021B" w:rsidP="00E9021B">
            <w:pPr>
              <w:spacing w:after="0"/>
              <w:jc w:val="center"/>
              <w:rPr>
                <w:rFonts w:eastAsia="Times New Roman"/>
                <w:sz w:val="16"/>
                <w:szCs w:val="16"/>
                <w:lang w:eastAsia="sk-SK"/>
              </w:rPr>
            </w:pPr>
          </w:p>
        </w:tc>
        <w:tc>
          <w:tcPr>
            <w:tcW w:w="358" w:type="pct"/>
            <w:tcBorders>
              <w:top w:val="nil"/>
              <w:left w:val="nil"/>
              <w:bottom w:val="nil"/>
              <w:right w:val="nil"/>
            </w:tcBorders>
            <w:shd w:val="clear" w:color="auto" w:fill="auto"/>
            <w:noWrap/>
            <w:vAlign w:val="bottom"/>
          </w:tcPr>
          <w:p w14:paraId="3376B4C4" w14:textId="77777777" w:rsidR="00E9021B" w:rsidRPr="00666914" w:rsidRDefault="00E9021B" w:rsidP="00E9021B">
            <w:pPr>
              <w:spacing w:after="0"/>
              <w:rPr>
                <w:rFonts w:eastAsia="Times New Roman"/>
                <w:sz w:val="16"/>
                <w:szCs w:val="16"/>
                <w:lang w:eastAsia="sk-SK"/>
              </w:rPr>
            </w:pPr>
          </w:p>
        </w:tc>
        <w:tc>
          <w:tcPr>
            <w:tcW w:w="1268" w:type="pct"/>
            <w:gridSpan w:val="3"/>
            <w:tcBorders>
              <w:top w:val="nil"/>
              <w:left w:val="nil"/>
              <w:bottom w:val="nil"/>
              <w:right w:val="nil"/>
            </w:tcBorders>
            <w:shd w:val="clear" w:color="auto" w:fill="auto"/>
            <w:noWrap/>
            <w:vAlign w:val="bottom"/>
          </w:tcPr>
          <w:p w14:paraId="6C0190C0" w14:textId="77777777" w:rsidR="00E9021B" w:rsidRPr="00666914" w:rsidRDefault="00E9021B" w:rsidP="00E9021B">
            <w:pPr>
              <w:spacing w:after="0"/>
              <w:jc w:val="center"/>
              <w:rPr>
                <w:rFonts w:eastAsia="Times New Roman"/>
                <w:i/>
                <w:sz w:val="16"/>
                <w:szCs w:val="16"/>
                <w:lang w:eastAsia="sk-SK"/>
              </w:rPr>
            </w:pPr>
          </w:p>
        </w:tc>
      </w:tr>
      <w:tr w:rsidR="00E9021B" w:rsidRPr="00666914" w14:paraId="4E387903" w14:textId="77777777" w:rsidTr="00315988">
        <w:trPr>
          <w:gridAfter w:val="1"/>
          <w:wAfter w:w="55" w:type="pct"/>
          <w:trHeight w:val="260"/>
        </w:trPr>
        <w:tc>
          <w:tcPr>
            <w:tcW w:w="454" w:type="pct"/>
            <w:tcBorders>
              <w:top w:val="nil"/>
              <w:left w:val="nil"/>
              <w:bottom w:val="nil"/>
              <w:right w:val="nil"/>
            </w:tcBorders>
            <w:shd w:val="clear" w:color="auto" w:fill="auto"/>
            <w:noWrap/>
            <w:vAlign w:val="bottom"/>
            <w:hideMark/>
          </w:tcPr>
          <w:p w14:paraId="3381550F" w14:textId="77777777" w:rsidR="00E9021B" w:rsidRPr="00666914" w:rsidRDefault="00E9021B" w:rsidP="00E9021B">
            <w:pPr>
              <w:spacing w:after="0"/>
              <w:jc w:val="right"/>
              <w:rPr>
                <w:rFonts w:eastAsia="Times New Roman"/>
                <w:sz w:val="16"/>
                <w:szCs w:val="16"/>
                <w:lang w:eastAsia="sk-SK"/>
              </w:rPr>
            </w:pPr>
          </w:p>
        </w:tc>
        <w:tc>
          <w:tcPr>
            <w:tcW w:w="1341" w:type="pct"/>
            <w:tcBorders>
              <w:top w:val="nil"/>
              <w:left w:val="nil"/>
              <w:bottom w:val="nil"/>
              <w:right w:val="nil"/>
            </w:tcBorders>
            <w:shd w:val="clear" w:color="000000" w:fill="FFFF00"/>
            <w:noWrap/>
            <w:vAlign w:val="bottom"/>
            <w:hideMark/>
          </w:tcPr>
          <w:p w14:paraId="03A8F6D8" w14:textId="77777777" w:rsidR="00E9021B" w:rsidRPr="00666914" w:rsidRDefault="00E9021B" w:rsidP="00E9021B">
            <w:pPr>
              <w:spacing w:after="0"/>
              <w:rPr>
                <w:rFonts w:eastAsia="Times New Roman" w:cs="Calibri"/>
                <w:color w:val="000000"/>
                <w:sz w:val="16"/>
                <w:szCs w:val="16"/>
                <w:lang w:eastAsia="sk-SK"/>
              </w:rPr>
            </w:pPr>
            <w:r w:rsidRPr="00666914">
              <w:rPr>
                <w:rFonts w:eastAsia="Times New Roman" w:cs="Calibri"/>
                <w:color w:val="000000"/>
                <w:sz w:val="16"/>
                <w:szCs w:val="16"/>
                <w:lang w:eastAsia="sk-SK"/>
              </w:rPr>
              <w:t>posudzovanie prebieha</w:t>
            </w:r>
          </w:p>
        </w:tc>
        <w:tc>
          <w:tcPr>
            <w:tcW w:w="430" w:type="pct"/>
            <w:tcBorders>
              <w:top w:val="nil"/>
              <w:left w:val="nil"/>
              <w:bottom w:val="nil"/>
              <w:right w:val="nil"/>
            </w:tcBorders>
            <w:shd w:val="clear" w:color="auto" w:fill="auto"/>
            <w:noWrap/>
            <w:vAlign w:val="bottom"/>
          </w:tcPr>
          <w:p w14:paraId="04128082" w14:textId="77777777" w:rsidR="00E9021B" w:rsidRPr="00666914" w:rsidRDefault="00E9021B" w:rsidP="00E9021B">
            <w:pPr>
              <w:spacing w:after="0"/>
              <w:rPr>
                <w:rFonts w:eastAsia="Times New Roman" w:cs="Calibri"/>
                <w:color w:val="000000"/>
                <w:sz w:val="16"/>
                <w:szCs w:val="16"/>
                <w:lang w:eastAsia="sk-SK"/>
              </w:rPr>
            </w:pPr>
          </w:p>
        </w:tc>
        <w:tc>
          <w:tcPr>
            <w:tcW w:w="574" w:type="pct"/>
            <w:tcBorders>
              <w:top w:val="nil"/>
              <w:left w:val="nil"/>
              <w:bottom w:val="nil"/>
              <w:right w:val="nil"/>
            </w:tcBorders>
            <w:shd w:val="clear" w:color="auto" w:fill="auto"/>
            <w:noWrap/>
            <w:vAlign w:val="bottom"/>
          </w:tcPr>
          <w:p w14:paraId="54D8AC01" w14:textId="31913443" w:rsidR="00E9021B" w:rsidRPr="00666914" w:rsidRDefault="00E9021B" w:rsidP="00E9021B">
            <w:pPr>
              <w:spacing w:after="0"/>
              <w:rPr>
                <w:rFonts w:eastAsia="Times New Roman" w:cs="Calibri"/>
                <w:b/>
                <w:bCs/>
                <w:color w:val="000000"/>
                <w:sz w:val="16"/>
                <w:szCs w:val="16"/>
                <w:lang w:eastAsia="sk-SK"/>
              </w:rPr>
            </w:pPr>
          </w:p>
        </w:tc>
        <w:tc>
          <w:tcPr>
            <w:tcW w:w="575" w:type="pct"/>
            <w:tcBorders>
              <w:top w:val="nil"/>
              <w:left w:val="nil"/>
              <w:bottom w:val="nil"/>
              <w:right w:val="nil"/>
            </w:tcBorders>
            <w:shd w:val="clear" w:color="auto" w:fill="auto"/>
            <w:noWrap/>
            <w:vAlign w:val="bottom"/>
            <w:hideMark/>
          </w:tcPr>
          <w:p w14:paraId="174B85B9" w14:textId="77777777" w:rsidR="00E9021B" w:rsidRPr="00666914" w:rsidRDefault="00E9021B" w:rsidP="00E9021B">
            <w:pPr>
              <w:spacing w:after="0"/>
              <w:rPr>
                <w:rFonts w:eastAsia="Times New Roman" w:cs="Calibri"/>
                <w:b/>
                <w:bCs/>
                <w:color w:val="000000"/>
                <w:sz w:val="16"/>
                <w:szCs w:val="16"/>
                <w:lang w:eastAsia="sk-SK"/>
              </w:rPr>
            </w:pPr>
          </w:p>
        </w:tc>
        <w:tc>
          <w:tcPr>
            <w:tcW w:w="358" w:type="pct"/>
            <w:tcBorders>
              <w:top w:val="nil"/>
              <w:left w:val="nil"/>
              <w:bottom w:val="nil"/>
              <w:right w:val="nil"/>
            </w:tcBorders>
            <w:shd w:val="clear" w:color="auto" w:fill="auto"/>
            <w:noWrap/>
            <w:vAlign w:val="bottom"/>
            <w:hideMark/>
          </w:tcPr>
          <w:p w14:paraId="4755B823" w14:textId="77777777" w:rsidR="00E9021B" w:rsidRPr="00666914" w:rsidRDefault="00E9021B" w:rsidP="00E9021B">
            <w:pPr>
              <w:spacing w:after="0"/>
              <w:rPr>
                <w:rFonts w:eastAsia="Times New Roman"/>
                <w:sz w:val="16"/>
                <w:szCs w:val="16"/>
                <w:lang w:eastAsia="sk-SK"/>
              </w:rPr>
            </w:pPr>
          </w:p>
        </w:tc>
        <w:tc>
          <w:tcPr>
            <w:tcW w:w="627" w:type="pct"/>
            <w:tcBorders>
              <w:top w:val="nil"/>
              <w:left w:val="nil"/>
              <w:bottom w:val="nil"/>
              <w:right w:val="nil"/>
            </w:tcBorders>
            <w:shd w:val="clear" w:color="auto" w:fill="auto"/>
            <w:noWrap/>
            <w:vAlign w:val="bottom"/>
            <w:hideMark/>
          </w:tcPr>
          <w:p w14:paraId="3E85FDD1" w14:textId="77777777" w:rsidR="00E9021B" w:rsidRPr="00666914" w:rsidRDefault="00E9021B" w:rsidP="00E9021B">
            <w:pPr>
              <w:spacing w:after="0"/>
              <w:jc w:val="center"/>
              <w:rPr>
                <w:rFonts w:eastAsia="Times New Roman"/>
                <w:i/>
                <w:sz w:val="16"/>
                <w:szCs w:val="16"/>
                <w:lang w:eastAsia="sk-SK"/>
              </w:rPr>
            </w:pPr>
          </w:p>
        </w:tc>
        <w:tc>
          <w:tcPr>
            <w:tcW w:w="586" w:type="pct"/>
            <w:tcBorders>
              <w:top w:val="nil"/>
              <w:left w:val="nil"/>
              <w:bottom w:val="nil"/>
              <w:right w:val="nil"/>
            </w:tcBorders>
            <w:shd w:val="clear" w:color="auto" w:fill="auto"/>
            <w:noWrap/>
            <w:vAlign w:val="bottom"/>
            <w:hideMark/>
          </w:tcPr>
          <w:p w14:paraId="3567125E" w14:textId="77777777" w:rsidR="00E9021B" w:rsidRPr="00666914" w:rsidRDefault="00E9021B" w:rsidP="00E9021B">
            <w:pPr>
              <w:spacing w:after="0"/>
              <w:jc w:val="center"/>
              <w:rPr>
                <w:rFonts w:eastAsia="Times New Roman"/>
                <w:i/>
                <w:sz w:val="16"/>
                <w:szCs w:val="16"/>
                <w:lang w:eastAsia="sk-SK"/>
              </w:rPr>
            </w:pPr>
          </w:p>
        </w:tc>
      </w:tr>
      <w:tr w:rsidR="00E9021B" w:rsidRPr="00666914" w14:paraId="26989AE7" w14:textId="77777777" w:rsidTr="00315988">
        <w:trPr>
          <w:gridAfter w:val="1"/>
          <w:wAfter w:w="55" w:type="pct"/>
          <w:trHeight w:val="260"/>
        </w:trPr>
        <w:tc>
          <w:tcPr>
            <w:tcW w:w="454" w:type="pct"/>
            <w:tcBorders>
              <w:top w:val="nil"/>
              <w:left w:val="nil"/>
              <w:bottom w:val="nil"/>
              <w:right w:val="nil"/>
            </w:tcBorders>
            <w:shd w:val="clear" w:color="auto" w:fill="auto"/>
            <w:noWrap/>
            <w:vAlign w:val="bottom"/>
            <w:hideMark/>
          </w:tcPr>
          <w:p w14:paraId="67875243" w14:textId="77777777" w:rsidR="00E9021B" w:rsidRPr="00666914" w:rsidRDefault="00E9021B" w:rsidP="00E9021B">
            <w:pPr>
              <w:spacing w:after="0"/>
              <w:jc w:val="right"/>
              <w:rPr>
                <w:rFonts w:eastAsia="Times New Roman"/>
                <w:sz w:val="16"/>
                <w:szCs w:val="16"/>
                <w:lang w:eastAsia="sk-SK"/>
              </w:rPr>
            </w:pPr>
          </w:p>
        </w:tc>
        <w:tc>
          <w:tcPr>
            <w:tcW w:w="1341" w:type="pct"/>
            <w:tcBorders>
              <w:top w:val="nil"/>
              <w:left w:val="nil"/>
              <w:bottom w:val="nil"/>
              <w:right w:val="nil"/>
            </w:tcBorders>
            <w:shd w:val="clear" w:color="000000" w:fill="BDD7EE"/>
            <w:noWrap/>
            <w:vAlign w:val="bottom"/>
            <w:hideMark/>
          </w:tcPr>
          <w:p w14:paraId="4D6BBCF0" w14:textId="77777777" w:rsidR="00E9021B" w:rsidRPr="00666914" w:rsidRDefault="00E9021B" w:rsidP="00E9021B">
            <w:pPr>
              <w:spacing w:after="0"/>
              <w:rPr>
                <w:rFonts w:eastAsia="Times New Roman" w:cs="Calibri"/>
                <w:color w:val="000000"/>
                <w:sz w:val="16"/>
                <w:szCs w:val="16"/>
                <w:lang w:eastAsia="sk-SK"/>
              </w:rPr>
            </w:pPr>
            <w:r w:rsidRPr="00666914">
              <w:rPr>
                <w:rFonts w:eastAsia="Times New Roman" w:cs="Calibri"/>
                <w:color w:val="000000"/>
                <w:sz w:val="16"/>
                <w:szCs w:val="16"/>
                <w:lang w:eastAsia="sk-SK"/>
              </w:rPr>
              <w:t>pripomienkovanie počas prípravy projektu</w:t>
            </w:r>
          </w:p>
        </w:tc>
        <w:tc>
          <w:tcPr>
            <w:tcW w:w="430" w:type="pct"/>
            <w:tcBorders>
              <w:top w:val="nil"/>
              <w:left w:val="nil"/>
              <w:bottom w:val="nil"/>
              <w:right w:val="nil"/>
            </w:tcBorders>
            <w:shd w:val="clear" w:color="auto" w:fill="auto"/>
            <w:noWrap/>
            <w:vAlign w:val="bottom"/>
            <w:hideMark/>
          </w:tcPr>
          <w:p w14:paraId="393C32E8" w14:textId="77777777" w:rsidR="00E9021B" w:rsidRPr="00666914" w:rsidRDefault="00E9021B" w:rsidP="00E9021B">
            <w:pPr>
              <w:spacing w:after="0"/>
              <w:rPr>
                <w:rFonts w:eastAsia="Times New Roman" w:cs="Calibri"/>
                <w:color w:val="000000"/>
                <w:sz w:val="16"/>
                <w:szCs w:val="16"/>
                <w:lang w:eastAsia="sk-SK"/>
              </w:rPr>
            </w:pPr>
          </w:p>
        </w:tc>
        <w:tc>
          <w:tcPr>
            <w:tcW w:w="574" w:type="pct"/>
            <w:tcBorders>
              <w:top w:val="nil"/>
              <w:left w:val="nil"/>
              <w:bottom w:val="nil"/>
              <w:right w:val="nil"/>
            </w:tcBorders>
            <w:shd w:val="clear" w:color="auto" w:fill="auto"/>
            <w:noWrap/>
            <w:vAlign w:val="bottom"/>
            <w:hideMark/>
          </w:tcPr>
          <w:p w14:paraId="5579C173" w14:textId="77777777" w:rsidR="00E9021B" w:rsidRPr="00666914" w:rsidRDefault="00E9021B" w:rsidP="00E9021B">
            <w:pPr>
              <w:spacing w:after="0"/>
              <w:jc w:val="center"/>
              <w:rPr>
                <w:rFonts w:eastAsia="Times New Roman"/>
                <w:sz w:val="16"/>
                <w:szCs w:val="16"/>
                <w:lang w:eastAsia="sk-SK"/>
              </w:rPr>
            </w:pPr>
          </w:p>
        </w:tc>
        <w:tc>
          <w:tcPr>
            <w:tcW w:w="575" w:type="pct"/>
            <w:tcBorders>
              <w:top w:val="nil"/>
              <w:left w:val="nil"/>
              <w:bottom w:val="nil"/>
              <w:right w:val="nil"/>
            </w:tcBorders>
            <w:shd w:val="clear" w:color="auto" w:fill="auto"/>
            <w:noWrap/>
            <w:vAlign w:val="bottom"/>
            <w:hideMark/>
          </w:tcPr>
          <w:p w14:paraId="3AFF4A72" w14:textId="77777777" w:rsidR="00E9021B" w:rsidRPr="00666914" w:rsidRDefault="00E9021B" w:rsidP="00E9021B">
            <w:pPr>
              <w:spacing w:after="0"/>
              <w:jc w:val="center"/>
              <w:rPr>
                <w:rFonts w:eastAsia="Times New Roman"/>
                <w:sz w:val="16"/>
                <w:szCs w:val="16"/>
                <w:lang w:eastAsia="sk-SK"/>
              </w:rPr>
            </w:pPr>
          </w:p>
        </w:tc>
        <w:tc>
          <w:tcPr>
            <w:tcW w:w="358" w:type="pct"/>
            <w:tcBorders>
              <w:top w:val="nil"/>
              <w:left w:val="nil"/>
              <w:bottom w:val="nil"/>
              <w:right w:val="nil"/>
            </w:tcBorders>
            <w:shd w:val="clear" w:color="auto" w:fill="auto"/>
            <w:noWrap/>
            <w:vAlign w:val="bottom"/>
            <w:hideMark/>
          </w:tcPr>
          <w:p w14:paraId="6ED7BFF1" w14:textId="77777777" w:rsidR="00E9021B" w:rsidRPr="00666914" w:rsidRDefault="00E9021B" w:rsidP="00E9021B">
            <w:pPr>
              <w:spacing w:after="0"/>
              <w:rPr>
                <w:rFonts w:eastAsia="Times New Roman"/>
                <w:sz w:val="16"/>
                <w:szCs w:val="16"/>
                <w:lang w:eastAsia="sk-SK"/>
              </w:rPr>
            </w:pPr>
          </w:p>
        </w:tc>
        <w:tc>
          <w:tcPr>
            <w:tcW w:w="627" w:type="pct"/>
            <w:tcBorders>
              <w:top w:val="nil"/>
              <w:left w:val="nil"/>
              <w:bottom w:val="nil"/>
              <w:right w:val="nil"/>
            </w:tcBorders>
            <w:shd w:val="clear" w:color="auto" w:fill="auto"/>
            <w:noWrap/>
            <w:vAlign w:val="bottom"/>
            <w:hideMark/>
          </w:tcPr>
          <w:p w14:paraId="65EB7A28" w14:textId="77777777" w:rsidR="00E9021B" w:rsidRPr="00666914" w:rsidRDefault="00E9021B" w:rsidP="00E9021B">
            <w:pPr>
              <w:spacing w:after="0"/>
              <w:jc w:val="center"/>
              <w:rPr>
                <w:rFonts w:eastAsia="Times New Roman"/>
                <w:sz w:val="16"/>
                <w:szCs w:val="16"/>
                <w:lang w:eastAsia="sk-SK"/>
              </w:rPr>
            </w:pPr>
          </w:p>
        </w:tc>
        <w:tc>
          <w:tcPr>
            <w:tcW w:w="586" w:type="pct"/>
            <w:tcBorders>
              <w:top w:val="nil"/>
              <w:left w:val="nil"/>
              <w:bottom w:val="nil"/>
              <w:right w:val="nil"/>
            </w:tcBorders>
            <w:shd w:val="clear" w:color="auto" w:fill="auto"/>
            <w:noWrap/>
            <w:vAlign w:val="bottom"/>
            <w:hideMark/>
          </w:tcPr>
          <w:p w14:paraId="15BA493E" w14:textId="77777777" w:rsidR="00E9021B" w:rsidRPr="00666914" w:rsidRDefault="00E9021B" w:rsidP="00E9021B">
            <w:pPr>
              <w:spacing w:after="0"/>
              <w:jc w:val="center"/>
              <w:rPr>
                <w:rFonts w:eastAsia="Times New Roman"/>
                <w:sz w:val="16"/>
                <w:szCs w:val="16"/>
                <w:lang w:eastAsia="sk-SK"/>
              </w:rPr>
            </w:pPr>
          </w:p>
        </w:tc>
      </w:tr>
      <w:tr w:rsidR="00E9021B" w:rsidRPr="00666914" w14:paraId="453055AB" w14:textId="77777777" w:rsidTr="00296F0F">
        <w:trPr>
          <w:gridAfter w:val="1"/>
          <w:wAfter w:w="55" w:type="pct"/>
          <w:trHeight w:val="260"/>
        </w:trPr>
        <w:tc>
          <w:tcPr>
            <w:tcW w:w="454" w:type="pct"/>
            <w:tcBorders>
              <w:top w:val="nil"/>
              <w:left w:val="nil"/>
              <w:bottom w:val="nil"/>
              <w:right w:val="nil"/>
            </w:tcBorders>
            <w:shd w:val="clear" w:color="auto" w:fill="auto"/>
            <w:noWrap/>
            <w:vAlign w:val="bottom"/>
          </w:tcPr>
          <w:p w14:paraId="096B8A26" w14:textId="77777777" w:rsidR="00E9021B" w:rsidRPr="00666914" w:rsidRDefault="00E9021B" w:rsidP="00E9021B">
            <w:pPr>
              <w:spacing w:after="0"/>
              <w:jc w:val="right"/>
              <w:rPr>
                <w:rFonts w:eastAsia="Times New Roman"/>
                <w:sz w:val="16"/>
                <w:szCs w:val="16"/>
                <w:lang w:eastAsia="sk-SK"/>
              </w:rPr>
            </w:pPr>
          </w:p>
        </w:tc>
        <w:tc>
          <w:tcPr>
            <w:tcW w:w="1341" w:type="pct"/>
            <w:tcBorders>
              <w:top w:val="nil"/>
              <w:left w:val="nil"/>
              <w:bottom w:val="nil"/>
              <w:right w:val="nil"/>
            </w:tcBorders>
            <w:shd w:val="clear" w:color="auto" w:fill="FF0000"/>
            <w:noWrap/>
            <w:vAlign w:val="bottom"/>
          </w:tcPr>
          <w:p w14:paraId="7D9F98E3" w14:textId="6F6D7EC2" w:rsidR="00E9021B" w:rsidRPr="00666914" w:rsidRDefault="00E9021B" w:rsidP="00E9021B">
            <w:pPr>
              <w:spacing w:after="0"/>
              <w:rPr>
                <w:rFonts w:eastAsia="Times New Roman" w:cs="Calibri"/>
                <w:color w:val="000000"/>
                <w:sz w:val="16"/>
                <w:szCs w:val="16"/>
                <w:lang w:eastAsia="sk-SK"/>
              </w:rPr>
            </w:pPr>
            <w:r w:rsidRPr="00666914">
              <w:rPr>
                <w:rFonts w:eastAsia="Times New Roman" w:cs="Calibri"/>
                <w:color w:val="000000"/>
                <w:sz w:val="16"/>
                <w:szCs w:val="20"/>
                <w:lang w:eastAsia="sk-SK"/>
              </w:rPr>
              <w:t>VO vyhlásené bez posúdenia ÚHP</w:t>
            </w:r>
          </w:p>
        </w:tc>
        <w:tc>
          <w:tcPr>
            <w:tcW w:w="430" w:type="pct"/>
            <w:tcBorders>
              <w:top w:val="nil"/>
              <w:left w:val="nil"/>
              <w:bottom w:val="nil"/>
              <w:right w:val="nil"/>
            </w:tcBorders>
            <w:shd w:val="clear" w:color="auto" w:fill="auto"/>
            <w:noWrap/>
            <w:vAlign w:val="bottom"/>
          </w:tcPr>
          <w:p w14:paraId="6EB9286F" w14:textId="77777777" w:rsidR="00E9021B" w:rsidRPr="00666914" w:rsidRDefault="00E9021B" w:rsidP="00E9021B">
            <w:pPr>
              <w:spacing w:after="0"/>
              <w:rPr>
                <w:rFonts w:eastAsia="Times New Roman" w:cs="Calibri"/>
                <w:color w:val="000000"/>
                <w:sz w:val="16"/>
                <w:szCs w:val="16"/>
                <w:lang w:eastAsia="sk-SK"/>
              </w:rPr>
            </w:pPr>
          </w:p>
        </w:tc>
        <w:tc>
          <w:tcPr>
            <w:tcW w:w="574" w:type="pct"/>
            <w:tcBorders>
              <w:top w:val="nil"/>
              <w:left w:val="nil"/>
              <w:bottom w:val="nil"/>
              <w:right w:val="nil"/>
            </w:tcBorders>
            <w:shd w:val="clear" w:color="auto" w:fill="auto"/>
            <w:noWrap/>
            <w:vAlign w:val="bottom"/>
          </w:tcPr>
          <w:p w14:paraId="505120C9" w14:textId="77777777" w:rsidR="00E9021B" w:rsidRPr="00666914" w:rsidRDefault="00E9021B" w:rsidP="00E9021B">
            <w:pPr>
              <w:spacing w:after="0"/>
              <w:jc w:val="center"/>
              <w:rPr>
                <w:rFonts w:eastAsia="Times New Roman"/>
                <w:sz w:val="16"/>
                <w:szCs w:val="16"/>
                <w:lang w:eastAsia="sk-SK"/>
              </w:rPr>
            </w:pPr>
          </w:p>
        </w:tc>
        <w:tc>
          <w:tcPr>
            <w:tcW w:w="575" w:type="pct"/>
            <w:tcBorders>
              <w:top w:val="nil"/>
              <w:left w:val="nil"/>
              <w:bottom w:val="nil"/>
              <w:right w:val="nil"/>
            </w:tcBorders>
            <w:shd w:val="clear" w:color="auto" w:fill="auto"/>
            <w:noWrap/>
            <w:vAlign w:val="bottom"/>
          </w:tcPr>
          <w:p w14:paraId="53639F9A" w14:textId="77777777" w:rsidR="00E9021B" w:rsidRPr="00666914" w:rsidRDefault="00E9021B" w:rsidP="00E9021B">
            <w:pPr>
              <w:spacing w:after="0"/>
              <w:jc w:val="center"/>
              <w:rPr>
                <w:rFonts w:eastAsia="Times New Roman"/>
                <w:sz w:val="16"/>
                <w:szCs w:val="16"/>
                <w:lang w:eastAsia="sk-SK"/>
              </w:rPr>
            </w:pPr>
          </w:p>
        </w:tc>
        <w:tc>
          <w:tcPr>
            <w:tcW w:w="358" w:type="pct"/>
            <w:tcBorders>
              <w:top w:val="nil"/>
              <w:left w:val="nil"/>
              <w:bottom w:val="nil"/>
              <w:right w:val="nil"/>
            </w:tcBorders>
            <w:shd w:val="clear" w:color="auto" w:fill="auto"/>
            <w:noWrap/>
            <w:vAlign w:val="bottom"/>
          </w:tcPr>
          <w:p w14:paraId="2FEEB5F5" w14:textId="77777777" w:rsidR="00E9021B" w:rsidRPr="00666914" w:rsidRDefault="00E9021B" w:rsidP="00E9021B">
            <w:pPr>
              <w:spacing w:after="0"/>
              <w:rPr>
                <w:rFonts w:eastAsia="Times New Roman"/>
                <w:sz w:val="16"/>
                <w:szCs w:val="16"/>
                <w:lang w:eastAsia="sk-SK"/>
              </w:rPr>
            </w:pPr>
          </w:p>
        </w:tc>
        <w:tc>
          <w:tcPr>
            <w:tcW w:w="627" w:type="pct"/>
            <w:tcBorders>
              <w:top w:val="nil"/>
              <w:left w:val="nil"/>
              <w:bottom w:val="nil"/>
              <w:right w:val="nil"/>
            </w:tcBorders>
            <w:shd w:val="clear" w:color="auto" w:fill="auto"/>
            <w:noWrap/>
            <w:vAlign w:val="bottom"/>
          </w:tcPr>
          <w:p w14:paraId="73C737C4" w14:textId="77777777" w:rsidR="00E9021B" w:rsidRPr="00666914" w:rsidRDefault="00E9021B" w:rsidP="00E9021B">
            <w:pPr>
              <w:spacing w:after="0"/>
              <w:jc w:val="center"/>
              <w:rPr>
                <w:rFonts w:eastAsia="Times New Roman"/>
                <w:sz w:val="16"/>
                <w:szCs w:val="16"/>
                <w:lang w:eastAsia="sk-SK"/>
              </w:rPr>
            </w:pPr>
          </w:p>
        </w:tc>
        <w:tc>
          <w:tcPr>
            <w:tcW w:w="586" w:type="pct"/>
            <w:tcBorders>
              <w:top w:val="nil"/>
              <w:left w:val="nil"/>
              <w:bottom w:val="nil"/>
              <w:right w:val="nil"/>
            </w:tcBorders>
            <w:shd w:val="clear" w:color="auto" w:fill="auto"/>
            <w:noWrap/>
            <w:vAlign w:val="bottom"/>
          </w:tcPr>
          <w:p w14:paraId="3CB34A26" w14:textId="77777777" w:rsidR="00E9021B" w:rsidRPr="00666914" w:rsidRDefault="00E9021B" w:rsidP="00E9021B">
            <w:pPr>
              <w:spacing w:after="0"/>
              <w:jc w:val="center"/>
              <w:rPr>
                <w:rFonts w:eastAsia="Times New Roman"/>
                <w:sz w:val="16"/>
                <w:szCs w:val="16"/>
                <w:lang w:eastAsia="sk-SK"/>
              </w:rPr>
            </w:pPr>
          </w:p>
        </w:tc>
      </w:tr>
    </w:tbl>
    <w:p w14:paraId="082E9262" w14:textId="2D8F1FF6" w:rsidR="00EB578B" w:rsidRPr="00666914" w:rsidRDefault="00EB578B" w:rsidP="00EB578B">
      <w:pPr>
        <w:spacing w:after="0"/>
        <w:ind w:left="708"/>
        <w:rPr>
          <w:rFonts w:eastAsia="Times New Roman" w:cs="Calibri"/>
          <w:color w:val="000000"/>
          <w:sz w:val="16"/>
          <w:szCs w:val="20"/>
          <w:lang w:eastAsia="sk-SK"/>
        </w:rPr>
      </w:pPr>
      <w:r w:rsidRPr="00666914">
        <w:rPr>
          <w:rFonts w:eastAsia="Times New Roman" w:cs="Calibri"/>
          <w:color w:val="000000"/>
          <w:sz w:val="16"/>
          <w:szCs w:val="20"/>
          <w:lang w:eastAsia="sk-SK"/>
        </w:rPr>
        <w:t xml:space="preserve">        </w:t>
      </w:r>
    </w:p>
    <w:p w14:paraId="477B5F6B" w14:textId="77777777" w:rsidR="00CB16AA" w:rsidRPr="00666914" w:rsidRDefault="00CB16AA" w:rsidP="00985E7A">
      <w:pPr>
        <w:spacing w:after="0"/>
        <w:rPr>
          <w:b/>
        </w:rPr>
      </w:pPr>
    </w:p>
    <w:p w14:paraId="640CCA3B" w14:textId="77777777" w:rsidR="00864DBA" w:rsidRPr="00666914" w:rsidRDefault="00864DBA" w:rsidP="007621D6">
      <w:pPr>
        <w:jc w:val="left"/>
        <w:rPr>
          <w:sz w:val="14"/>
          <w:szCs w:val="18"/>
        </w:rPr>
      </w:pPr>
    </w:p>
    <w:p w14:paraId="59B72854" w14:textId="77777777" w:rsidR="00864DBA" w:rsidRPr="00666914" w:rsidRDefault="00864DBA" w:rsidP="00864DBA"/>
    <w:p w14:paraId="6292F1C2" w14:textId="77777777" w:rsidR="00AE3E72" w:rsidRPr="00666914" w:rsidRDefault="00AB7ADF">
      <w:pPr>
        <w:spacing w:line="259" w:lineRule="auto"/>
        <w:jc w:val="left"/>
      </w:pPr>
      <w:r w:rsidRPr="00666914">
        <w:br w:type="page"/>
      </w:r>
    </w:p>
    <w:p w14:paraId="1037F20B" w14:textId="77777777" w:rsidR="00386F6D" w:rsidRPr="00666914" w:rsidRDefault="00386F6D" w:rsidP="009F7DB5">
      <w:pPr>
        <w:pStyle w:val="Nadpis1"/>
      </w:pPr>
      <w:bookmarkStart w:id="236" w:name="_heading=h.gjdgxs" w:colFirst="0" w:colLast="0"/>
      <w:bookmarkStart w:id="237" w:name="_Toc38447595"/>
      <w:bookmarkEnd w:id="16"/>
      <w:bookmarkEnd w:id="17"/>
      <w:bookmarkEnd w:id="236"/>
      <w:r w:rsidRPr="00666914">
        <w:lastRenderedPageBreak/>
        <w:t>Informatizácia</w:t>
      </w:r>
      <w:bookmarkEnd w:id="237"/>
    </w:p>
    <w:p w14:paraId="4D4D4CB1" w14:textId="77777777" w:rsidR="00386F6D" w:rsidRPr="00666914" w:rsidRDefault="00386F6D" w:rsidP="009F7DB5">
      <w:pPr>
        <w:pStyle w:val="Nadpis2"/>
      </w:pPr>
      <w:bookmarkStart w:id="238" w:name="_heading=h.30j0zll" w:colFirst="0" w:colLast="0"/>
      <w:bookmarkStart w:id="239" w:name="_Toc38447596"/>
      <w:bookmarkEnd w:id="238"/>
      <w:r w:rsidRPr="00666914">
        <w:t>Zhrnutie</w:t>
      </w:r>
      <w:bookmarkEnd w:id="239"/>
    </w:p>
    <w:p w14:paraId="2983F1BA" w14:textId="77777777" w:rsidR="00386F6D" w:rsidRPr="00666914" w:rsidRDefault="00386F6D" w:rsidP="00905BD2">
      <w:bookmarkStart w:id="240" w:name="_heading=h.1fob9te" w:colFirst="0" w:colLast="0"/>
      <w:bookmarkEnd w:id="240"/>
      <w:r w:rsidRPr="00666914">
        <w:rPr>
          <w:b/>
        </w:rPr>
        <w:t>Výsledky slovenskej informatizácie sa v roku 2019 mierne zlepšili, Slovensko ale naďalej zostáva za priemerom EÚ</w:t>
      </w:r>
      <w:r w:rsidRPr="00666914">
        <w:rPr>
          <w:vertAlign w:val="superscript"/>
        </w:rPr>
        <w:footnoteReference w:id="100"/>
      </w:r>
      <w:r w:rsidRPr="00666914">
        <w:t>. Oproti roku 2018 skóre narástlo o takmer 2 p.b., pozične ale Slovensko o jednu pozíciu kleslo a obsadilo 21. miesto. Výsledok Slovenska je na úrovni priemeru V4, lepší výsledok dosiahla Česká republika (18. miesto), horšie boli hodnotené Maďarsko (23. pozícia) a Poľsko (25. pozícia). Oproti priemeru troch najlepšie hodnotených krajín</w:t>
      </w:r>
      <w:r w:rsidRPr="00666914">
        <w:rPr>
          <w:vertAlign w:val="superscript"/>
        </w:rPr>
        <w:footnoteReference w:id="101"/>
      </w:r>
      <w:r w:rsidRPr="00666914">
        <w:t xml:space="preserve"> zaostávajú výsledky Slovenska o viac ako 20 p.b.</w:t>
      </w:r>
    </w:p>
    <w:p w14:paraId="45DD34BA" w14:textId="77777777" w:rsidR="00386F6D" w:rsidRPr="00666914" w:rsidRDefault="00386F6D" w:rsidP="00905BD2">
      <w:pPr>
        <w:spacing w:after="0"/>
      </w:pPr>
      <w:r w:rsidRPr="00666914">
        <w:rPr>
          <w:b/>
        </w:rPr>
        <w:t xml:space="preserve">Najvýraznejší pokrok oproti roku 2018 dosiahlo Slovensko v hodnotení digitálnych verejných služieb, napriek tomu ale ostáva výrazne pod priemerom EÚ (o viac ako 9 p.b.). </w:t>
      </w:r>
      <w:r w:rsidRPr="00666914">
        <w:t>V rámci digitálnych verejných služieb najlepší výsledok vykazuje ukazovateľ otvorené dáta, kde dosahuje Slovensko lepší výsledok ako je priemer EÚ (8. miesto). Naopak, podiel používateľov elektronickej verejnej správy vyplňujúcich elektronické formuláre určené verejným orgánom medziročne klesol (o 1 p.b.) a je o 10 p.b. nižší ako priemer EÚ. Naďalej platí, že najhoršie postavenie (23. pozícia) má Slovensko v oblasti DESI 1 Internetové pripojenie, ktoré monitoruje podiel občanov pripojených na internet a cenu internetového pripojenia.</w:t>
      </w:r>
    </w:p>
    <w:p w14:paraId="523C9A56" w14:textId="77777777" w:rsidR="00386F6D" w:rsidRPr="00666914" w:rsidRDefault="00386F6D" w:rsidP="00905BD2">
      <w:pPr>
        <w:spacing w:after="0"/>
        <w:rPr>
          <w:b/>
        </w:rPr>
      </w:pPr>
    </w:p>
    <w:p w14:paraId="79F9BC1E" w14:textId="2FB6F19B" w:rsidR="00386F6D" w:rsidRPr="00666914" w:rsidRDefault="00A232BD" w:rsidP="00A232BD">
      <w:pPr>
        <w:pStyle w:val="tabulka"/>
      </w:pPr>
      <w:bookmarkStart w:id="241" w:name="_Toc38447703"/>
      <w:r w:rsidRPr="00666914">
        <w:t xml:space="preserve">Tabuľka </w:t>
      </w:r>
      <w:r w:rsidR="00032A13">
        <w:rPr>
          <w:noProof/>
        </w:rPr>
        <w:fldChar w:fldCharType="begin"/>
      </w:r>
      <w:r w:rsidR="00032A13">
        <w:rPr>
          <w:noProof/>
        </w:rPr>
        <w:instrText xml:space="preserve"> SEQ Tabuľka \* ARABIC \* MERGEFORMAT </w:instrText>
      </w:r>
      <w:r w:rsidR="00032A13">
        <w:rPr>
          <w:noProof/>
        </w:rPr>
        <w:fldChar w:fldCharType="separate"/>
      </w:r>
      <w:r w:rsidR="005A7304">
        <w:rPr>
          <w:noProof/>
        </w:rPr>
        <w:t>42</w:t>
      </w:r>
      <w:r w:rsidR="00032A13">
        <w:rPr>
          <w:noProof/>
        </w:rPr>
        <w:fldChar w:fldCharType="end"/>
      </w:r>
      <w:r w:rsidR="00386F6D" w:rsidRPr="00666914">
        <w:t>: Index digitálnej ekonomiky a spoločnosti (DESI) v rokoch 2017 – 2019</w:t>
      </w:r>
      <w:bookmarkEnd w:id="241"/>
    </w:p>
    <w:tbl>
      <w:tblPr>
        <w:tblW w:w="9072" w:type="dxa"/>
        <w:tblLayout w:type="fixed"/>
        <w:tblLook w:val="0400" w:firstRow="0" w:lastRow="0" w:firstColumn="0" w:lastColumn="0" w:noHBand="0" w:noVBand="1"/>
      </w:tblPr>
      <w:tblGrid>
        <w:gridCol w:w="896"/>
        <w:gridCol w:w="1089"/>
        <w:gridCol w:w="744"/>
        <w:gridCol w:w="452"/>
        <w:gridCol w:w="864"/>
        <w:gridCol w:w="582"/>
        <w:gridCol w:w="1482"/>
        <w:gridCol w:w="1482"/>
        <w:gridCol w:w="1481"/>
      </w:tblGrid>
      <w:tr w:rsidR="00386F6D" w:rsidRPr="00666914" w14:paraId="47BFF599" w14:textId="77777777">
        <w:trPr>
          <w:trHeight w:val="255"/>
        </w:trPr>
        <w:tc>
          <w:tcPr>
            <w:tcW w:w="896" w:type="dxa"/>
            <w:tcBorders>
              <w:top w:val="nil"/>
              <w:left w:val="nil"/>
              <w:bottom w:val="single" w:sz="4" w:space="0" w:color="000000"/>
              <w:right w:val="nil"/>
            </w:tcBorders>
            <w:shd w:val="clear" w:color="auto" w:fill="auto"/>
            <w:vAlign w:val="center"/>
          </w:tcPr>
          <w:p w14:paraId="7CB2B3CB" w14:textId="77777777" w:rsidR="00386F6D" w:rsidRPr="00666914" w:rsidRDefault="00386F6D">
            <w:pPr>
              <w:spacing w:after="0"/>
              <w:jc w:val="left"/>
              <w:rPr>
                <w:color w:val="000000"/>
                <w:sz w:val="20"/>
                <w:szCs w:val="20"/>
              </w:rPr>
            </w:pPr>
            <w:r w:rsidRPr="00666914">
              <w:rPr>
                <w:color w:val="000000"/>
                <w:sz w:val="20"/>
                <w:szCs w:val="20"/>
              </w:rPr>
              <w:t> </w:t>
            </w:r>
          </w:p>
        </w:tc>
        <w:tc>
          <w:tcPr>
            <w:tcW w:w="1089" w:type="dxa"/>
            <w:tcBorders>
              <w:top w:val="nil"/>
              <w:left w:val="nil"/>
              <w:bottom w:val="single" w:sz="4" w:space="0" w:color="000000"/>
              <w:right w:val="nil"/>
            </w:tcBorders>
            <w:shd w:val="clear" w:color="auto" w:fill="auto"/>
            <w:vAlign w:val="center"/>
          </w:tcPr>
          <w:p w14:paraId="6EA87E56" w14:textId="77777777" w:rsidR="00386F6D" w:rsidRPr="00666914" w:rsidRDefault="00386F6D">
            <w:pPr>
              <w:spacing w:after="0"/>
              <w:jc w:val="left"/>
              <w:rPr>
                <w:color w:val="000000"/>
                <w:sz w:val="20"/>
                <w:szCs w:val="20"/>
              </w:rPr>
            </w:pPr>
            <w:r w:rsidRPr="00666914">
              <w:rPr>
                <w:color w:val="000000"/>
                <w:sz w:val="20"/>
                <w:szCs w:val="20"/>
              </w:rPr>
              <w:t> </w:t>
            </w:r>
          </w:p>
        </w:tc>
        <w:tc>
          <w:tcPr>
            <w:tcW w:w="744" w:type="dxa"/>
            <w:tcBorders>
              <w:top w:val="nil"/>
              <w:left w:val="nil"/>
              <w:bottom w:val="single" w:sz="4" w:space="0" w:color="000000"/>
              <w:right w:val="nil"/>
            </w:tcBorders>
            <w:shd w:val="clear" w:color="auto" w:fill="auto"/>
            <w:vAlign w:val="center"/>
          </w:tcPr>
          <w:p w14:paraId="5103925E" w14:textId="77777777" w:rsidR="00386F6D" w:rsidRPr="00666914" w:rsidRDefault="00386F6D">
            <w:pPr>
              <w:spacing w:after="0"/>
              <w:jc w:val="left"/>
              <w:rPr>
                <w:color w:val="000000"/>
                <w:sz w:val="20"/>
                <w:szCs w:val="20"/>
              </w:rPr>
            </w:pPr>
            <w:r w:rsidRPr="00666914">
              <w:rPr>
                <w:color w:val="000000"/>
                <w:sz w:val="20"/>
                <w:szCs w:val="20"/>
              </w:rPr>
              <w:t> </w:t>
            </w:r>
          </w:p>
        </w:tc>
        <w:tc>
          <w:tcPr>
            <w:tcW w:w="452" w:type="dxa"/>
            <w:tcBorders>
              <w:top w:val="nil"/>
              <w:left w:val="nil"/>
              <w:bottom w:val="single" w:sz="4" w:space="0" w:color="000000"/>
              <w:right w:val="nil"/>
            </w:tcBorders>
            <w:shd w:val="clear" w:color="auto" w:fill="auto"/>
            <w:vAlign w:val="center"/>
          </w:tcPr>
          <w:p w14:paraId="1112F3FF" w14:textId="77777777" w:rsidR="00386F6D" w:rsidRPr="00666914" w:rsidRDefault="00386F6D">
            <w:pPr>
              <w:spacing w:after="0"/>
              <w:jc w:val="left"/>
              <w:rPr>
                <w:color w:val="000000"/>
                <w:sz w:val="20"/>
                <w:szCs w:val="20"/>
              </w:rPr>
            </w:pPr>
            <w:r w:rsidRPr="00666914">
              <w:rPr>
                <w:color w:val="000000"/>
                <w:sz w:val="20"/>
                <w:szCs w:val="20"/>
              </w:rPr>
              <w:t> </w:t>
            </w:r>
          </w:p>
        </w:tc>
        <w:tc>
          <w:tcPr>
            <w:tcW w:w="864" w:type="dxa"/>
            <w:tcBorders>
              <w:top w:val="nil"/>
              <w:left w:val="nil"/>
              <w:bottom w:val="single" w:sz="4" w:space="0" w:color="000000"/>
              <w:right w:val="nil"/>
            </w:tcBorders>
            <w:shd w:val="clear" w:color="auto" w:fill="auto"/>
            <w:vAlign w:val="center"/>
          </w:tcPr>
          <w:p w14:paraId="1F273AEE" w14:textId="77777777" w:rsidR="00386F6D" w:rsidRPr="00666914" w:rsidRDefault="00386F6D">
            <w:pPr>
              <w:spacing w:after="0"/>
              <w:jc w:val="left"/>
              <w:rPr>
                <w:color w:val="000000"/>
                <w:sz w:val="20"/>
                <w:szCs w:val="20"/>
              </w:rPr>
            </w:pPr>
            <w:r w:rsidRPr="00666914">
              <w:rPr>
                <w:color w:val="000000"/>
                <w:sz w:val="20"/>
                <w:szCs w:val="20"/>
              </w:rPr>
              <w:t> </w:t>
            </w:r>
          </w:p>
        </w:tc>
        <w:tc>
          <w:tcPr>
            <w:tcW w:w="582" w:type="dxa"/>
            <w:tcBorders>
              <w:top w:val="nil"/>
              <w:left w:val="nil"/>
              <w:bottom w:val="single" w:sz="4" w:space="0" w:color="000000"/>
              <w:right w:val="nil"/>
            </w:tcBorders>
            <w:shd w:val="clear" w:color="auto" w:fill="auto"/>
            <w:vAlign w:val="center"/>
          </w:tcPr>
          <w:p w14:paraId="3F0C8644" w14:textId="77777777" w:rsidR="00386F6D" w:rsidRPr="00666914" w:rsidRDefault="00386F6D">
            <w:pPr>
              <w:spacing w:after="0"/>
              <w:jc w:val="left"/>
              <w:rPr>
                <w:color w:val="000000"/>
                <w:sz w:val="20"/>
                <w:szCs w:val="20"/>
              </w:rPr>
            </w:pPr>
            <w:r w:rsidRPr="00666914">
              <w:rPr>
                <w:color w:val="000000"/>
                <w:sz w:val="20"/>
                <w:szCs w:val="20"/>
              </w:rPr>
              <w:t> </w:t>
            </w:r>
          </w:p>
        </w:tc>
        <w:tc>
          <w:tcPr>
            <w:tcW w:w="1482" w:type="dxa"/>
            <w:tcBorders>
              <w:top w:val="nil"/>
              <w:left w:val="nil"/>
              <w:bottom w:val="single" w:sz="4" w:space="0" w:color="000000"/>
              <w:right w:val="nil"/>
            </w:tcBorders>
            <w:shd w:val="clear" w:color="auto" w:fill="auto"/>
            <w:vAlign w:val="center"/>
          </w:tcPr>
          <w:p w14:paraId="5E87B552" w14:textId="77777777" w:rsidR="00386F6D" w:rsidRPr="00666914" w:rsidRDefault="00386F6D">
            <w:pPr>
              <w:spacing w:after="0"/>
              <w:jc w:val="center"/>
              <w:rPr>
                <w:b/>
                <w:color w:val="000000"/>
                <w:sz w:val="20"/>
                <w:szCs w:val="20"/>
              </w:rPr>
            </w:pPr>
            <w:r w:rsidRPr="00666914">
              <w:rPr>
                <w:b/>
                <w:color w:val="000000"/>
                <w:sz w:val="20"/>
                <w:szCs w:val="20"/>
              </w:rPr>
              <w:t>2017</w:t>
            </w:r>
          </w:p>
        </w:tc>
        <w:tc>
          <w:tcPr>
            <w:tcW w:w="1482" w:type="dxa"/>
            <w:tcBorders>
              <w:top w:val="nil"/>
              <w:left w:val="nil"/>
              <w:bottom w:val="single" w:sz="4" w:space="0" w:color="000000"/>
              <w:right w:val="nil"/>
            </w:tcBorders>
            <w:shd w:val="clear" w:color="auto" w:fill="auto"/>
            <w:vAlign w:val="center"/>
          </w:tcPr>
          <w:p w14:paraId="1743E3BB" w14:textId="77777777" w:rsidR="00386F6D" w:rsidRPr="00666914" w:rsidRDefault="00386F6D">
            <w:pPr>
              <w:spacing w:after="0"/>
              <w:jc w:val="center"/>
              <w:rPr>
                <w:b/>
                <w:color w:val="000000"/>
                <w:sz w:val="20"/>
                <w:szCs w:val="20"/>
              </w:rPr>
            </w:pPr>
            <w:r w:rsidRPr="00666914">
              <w:rPr>
                <w:b/>
                <w:color w:val="000000"/>
                <w:sz w:val="20"/>
                <w:szCs w:val="20"/>
              </w:rPr>
              <w:t>2018</w:t>
            </w:r>
          </w:p>
        </w:tc>
        <w:tc>
          <w:tcPr>
            <w:tcW w:w="1481" w:type="dxa"/>
            <w:tcBorders>
              <w:top w:val="nil"/>
              <w:left w:val="nil"/>
              <w:bottom w:val="single" w:sz="4" w:space="0" w:color="000000"/>
              <w:right w:val="nil"/>
            </w:tcBorders>
            <w:shd w:val="clear" w:color="auto" w:fill="auto"/>
            <w:vAlign w:val="center"/>
          </w:tcPr>
          <w:p w14:paraId="228447B7" w14:textId="77777777" w:rsidR="00386F6D" w:rsidRPr="00666914" w:rsidRDefault="00386F6D">
            <w:pPr>
              <w:spacing w:after="0"/>
              <w:jc w:val="center"/>
              <w:rPr>
                <w:b/>
                <w:color w:val="000000"/>
                <w:sz w:val="20"/>
                <w:szCs w:val="20"/>
              </w:rPr>
            </w:pPr>
            <w:r w:rsidRPr="00666914">
              <w:rPr>
                <w:b/>
                <w:color w:val="000000"/>
                <w:sz w:val="20"/>
                <w:szCs w:val="20"/>
              </w:rPr>
              <w:t>2019</w:t>
            </w:r>
          </w:p>
        </w:tc>
      </w:tr>
      <w:tr w:rsidR="00386F6D" w:rsidRPr="00666914" w14:paraId="59B0B7CC" w14:textId="77777777">
        <w:trPr>
          <w:trHeight w:val="300"/>
        </w:trPr>
        <w:tc>
          <w:tcPr>
            <w:tcW w:w="2729" w:type="dxa"/>
            <w:gridSpan w:val="3"/>
            <w:tcBorders>
              <w:top w:val="nil"/>
              <w:left w:val="nil"/>
              <w:bottom w:val="nil"/>
              <w:right w:val="nil"/>
            </w:tcBorders>
            <w:shd w:val="clear" w:color="auto" w:fill="auto"/>
            <w:vAlign w:val="center"/>
          </w:tcPr>
          <w:p w14:paraId="2A3DB850" w14:textId="77777777" w:rsidR="00386F6D" w:rsidRPr="00666914" w:rsidRDefault="00386F6D">
            <w:pPr>
              <w:spacing w:after="0"/>
              <w:jc w:val="left"/>
              <w:rPr>
                <w:b/>
                <w:color w:val="000000"/>
                <w:sz w:val="20"/>
                <w:szCs w:val="20"/>
              </w:rPr>
            </w:pPr>
            <w:r w:rsidRPr="00666914">
              <w:rPr>
                <w:b/>
                <w:color w:val="000000"/>
                <w:sz w:val="20"/>
                <w:szCs w:val="20"/>
              </w:rPr>
              <w:t>DESI 1 -</w:t>
            </w:r>
            <w:r w:rsidRPr="00666914">
              <w:rPr>
                <w:color w:val="000000"/>
                <w:sz w:val="20"/>
                <w:szCs w:val="20"/>
              </w:rPr>
              <w:t xml:space="preserve"> Internetové pripojenie</w:t>
            </w:r>
          </w:p>
        </w:tc>
        <w:tc>
          <w:tcPr>
            <w:tcW w:w="452" w:type="dxa"/>
            <w:tcBorders>
              <w:top w:val="nil"/>
              <w:left w:val="nil"/>
              <w:bottom w:val="nil"/>
              <w:right w:val="nil"/>
            </w:tcBorders>
            <w:shd w:val="clear" w:color="auto" w:fill="auto"/>
            <w:vAlign w:val="bottom"/>
          </w:tcPr>
          <w:p w14:paraId="1CD4A4B7" w14:textId="77777777" w:rsidR="00386F6D" w:rsidRPr="00666914" w:rsidRDefault="00386F6D">
            <w:pPr>
              <w:spacing w:after="0"/>
              <w:jc w:val="left"/>
              <w:rPr>
                <w:b/>
                <w:color w:val="000000"/>
                <w:sz w:val="20"/>
                <w:szCs w:val="20"/>
              </w:rPr>
            </w:pPr>
          </w:p>
        </w:tc>
        <w:tc>
          <w:tcPr>
            <w:tcW w:w="864" w:type="dxa"/>
            <w:tcBorders>
              <w:top w:val="nil"/>
              <w:left w:val="nil"/>
              <w:bottom w:val="nil"/>
              <w:right w:val="nil"/>
            </w:tcBorders>
            <w:shd w:val="clear" w:color="auto" w:fill="auto"/>
            <w:vAlign w:val="bottom"/>
          </w:tcPr>
          <w:p w14:paraId="24BFB72E" w14:textId="77777777" w:rsidR="00386F6D" w:rsidRPr="00666914" w:rsidRDefault="00386F6D">
            <w:pPr>
              <w:spacing w:after="0"/>
              <w:jc w:val="left"/>
              <w:rPr>
                <w:rFonts w:ascii="Times New Roman" w:eastAsia="Times New Roman" w:hAnsi="Times New Roman"/>
                <w:sz w:val="20"/>
                <w:szCs w:val="20"/>
              </w:rPr>
            </w:pPr>
          </w:p>
        </w:tc>
        <w:tc>
          <w:tcPr>
            <w:tcW w:w="582" w:type="dxa"/>
            <w:tcBorders>
              <w:top w:val="nil"/>
              <w:left w:val="nil"/>
              <w:bottom w:val="nil"/>
              <w:right w:val="nil"/>
            </w:tcBorders>
            <w:shd w:val="clear" w:color="auto" w:fill="auto"/>
            <w:vAlign w:val="center"/>
          </w:tcPr>
          <w:p w14:paraId="69E32A1D" w14:textId="77777777" w:rsidR="00386F6D" w:rsidRPr="00666914" w:rsidRDefault="00386F6D">
            <w:pPr>
              <w:spacing w:after="0"/>
              <w:jc w:val="left"/>
              <w:rPr>
                <w:b/>
                <w:color w:val="000000"/>
                <w:sz w:val="20"/>
                <w:szCs w:val="20"/>
              </w:rPr>
            </w:pPr>
            <w:r w:rsidRPr="00666914">
              <w:rPr>
                <w:b/>
                <w:color w:val="000000"/>
                <w:sz w:val="20"/>
                <w:szCs w:val="20"/>
              </w:rPr>
              <w:t xml:space="preserve">SK </w:t>
            </w:r>
          </w:p>
        </w:tc>
        <w:tc>
          <w:tcPr>
            <w:tcW w:w="1482" w:type="dxa"/>
            <w:tcBorders>
              <w:top w:val="nil"/>
              <w:left w:val="nil"/>
              <w:bottom w:val="nil"/>
              <w:right w:val="nil"/>
            </w:tcBorders>
            <w:shd w:val="clear" w:color="auto" w:fill="auto"/>
            <w:vAlign w:val="center"/>
          </w:tcPr>
          <w:p w14:paraId="4AD38289" w14:textId="77777777" w:rsidR="00386F6D" w:rsidRPr="00666914" w:rsidRDefault="00386F6D">
            <w:pPr>
              <w:spacing w:after="0"/>
              <w:jc w:val="center"/>
              <w:rPr>
                <w:color w:val="000000"/>
                <w:sz w:val="20"/>
                <w:szCs w:val="20"/>
              </w:rPr>
            </w:pPr>
            <w:r w:rsidRPr="00666914">
              <w:rPr>
                <w:color w:val="000000"/>
                <w:sz w:val="20"/>
                <w:szCs w:val="20"/>
              </w:rPr>
              <w:t>45,9</w:t>
            </w:r>
          </w:p>
        </w:tc>
        <w:tc>
          <w:tcPr>
            <w:tcW w:w="1482" w:type="dxa"/>
            <w:tcBorders>
              <w:top w:val="nil"/>
              <w:left w:val="nil"/>
              <w:bottom w:val="nil"/>
              <w:right w:val="nil"/>
            </w:tcBorders>
            <w:shd w:val="clear" w:color="auto" w:fill="auto"/>
            <w:vAlign w:val="center"/>
          </w:tcPr>
          <w:p w14:paraId="2F43A01B" w14:textId="77777777" w:rsidR="00386F6D" w:rsidRPr="00666914" w:rsidRDefault="00386F6D">
            <w:pPr>
              <w:spacing w:after="0"/>
              <w:jc w:val="center"/>
              <w:rPr>
                <w:color w:val="000000"/>
                <w:sz w:val="20"/>
                <w:szCs w:val="20"/>
              </w:rPr>
            </w:pPr>
            <w:r w:rsidRPr="00666914">
              <w:rPr>
                <w:color w:val="000000"/>
                <w:sz w:val="20"/>
                <w:szCs w:val="20"/>
              </w:rPr>
              <w:t>49,4</w:t>
            </w:r>
          </w:p>
        </w:tc>
        <w:tc>
          <w:tcPr>
            <w:tcW w:w="1481" w:type="dxa"/>
            <w:tcBorders>
              <w:top w:val="nil"/>
              <w:left w:val="nil"/>
              <w:bottom w:val="nil"/>
              <w:right w:val="nil"/>
            </w:tcBorders>
            <w:shd w:val="clear" w:color="auto" w:fill="auto"/>
            <w:vAlign w:val="center"/>
          </w:tcPr>
          <w:p w14:paraId="5061F995" w14:textId="77777777" w:rsidR="00386F6D" w:rsidRPr="00666914" w:rsidRDefault="00386F6D">
            <w:pPr>
              <w:spacing w:after="0"/>
              <w:jc w:val="center"/>
              <w:rPr>
                <w:color w:val="000000"/>
                <w:sz w:val="20"/>
                <w:szCs w:val="20"/>
              </w:rPr>
            </w:pPr>
            <w:r w:rsidRPr="00666914">
              <w:rPr>
                <w:color w:val="000000"/>
                <w:sz w:val="20"/>
                <w:szCs w:val="20"/>
              </w:rPr>
              <w:t>52,6</w:t>
            </w:r>
          </w:p>
        </w:tc>
      </w:tr>
      <w:tr w:rsidR="00386F6D" w:rsidRPr="00666914" w14:paraId="38DF9EEE" w14:textId="77777777">
        <w:trPr>
          <w:trHeight w:val="300"/>
        </w:trPr>
        <w:tc>
          <w:tcPr>
            <w:tcW w:w="896" w:type="dxa"/>
            <w:tcBorders>
              <w:top w:val="nil"/>
              <w:left w:val="nil"/>
              <w:bottom w:val="nil"/>
              <w:right w:val="nil"/>
            </w:tcBorders>
            <w:shd w:val="clear" w:color="auto" w:fill="auto"/>
            <w:vAlign w:val="bottom"/>
          </w:tcPr>
          <w:p w14:paraId="6B87F1D0" w14:textId="77777777" w:rsidR="00386F6D" w:rsidRPr="00666914" w:rsidRDefault="00386F6D">
            <w:pPr>
              <w:spacing w:after="0"/>
              <w:jc w:val="center"/>
              <w:rPr>
                <w:color w:val="000000"/>
                <w:sz w:val="20"/>
                <w:szCs w:val="20"/>
              </w:rPr>
            </w:pPr>
          </w:p>
        </w:tc>
        <w:tc>
          <w:tcPr>
            <w:tcW w:w="1089" w:type="dxa"/>
            <w:tcBorders>
              <w:top w:val="nil"/>
              <w:left w:val="nil"/>
              <w:bottom w:val="nil"/>
              <w:right w:val="nil"/>
            </w:tcBorders>
            <w:shd w:val="clear" w:color="auto" w:fill="auto"/>
            <w:vAlign w:val="bottom"/>
          </w:tcPr>
          <w:p w14:paraId="59549732" w14:textId="77777777" w:rsidR="00386F6D" w:rsidRPr="00666914" w:rsidRDefault="00386F6D">
            <w:pPr>
              <w:spacing w:after="0"/>
              <w:jc w:val="left"/>
              <w:rPr>
                <w:rFonts w:ascii="Times New Roman" w:eastAsia="Times New Roman" w:hAnsi="Times New Roman"/>
                <w:sz w:val="20"/>
                <w:szCs w:val="20"/>
              </w:rPr>
            </w:pPr>
          </w:p>
        </w:tc>
        <w:tc>
          <w:tcPr>
            <w:tcW w:w="744" w:type="dxa"/>
            <w:tcBorders>
              <w:top w:val="nil"/>
              <w:left w:val="nil"/>
              <w:bottom w:val="nil"/>
              <w:right w:val="nil"/>
            </w:tcBorders>
            <w:shd w:val="clear" w:color="auto" w:fill="auto"/>
            <w:vAlign w:val="bottom"/>
          </w:tcPr>
          <w:p w14:paraId="1D3942E4" w14:textId="77777777" w:rsidR="00386F6D" w:rsidRPr="00666914" w:rsidRDefault="00386F6D">
            <w:pPr>
              <w:spacing w:after="0"/>
              <w:jc w:val="left"/>
              <w:rPr>
                <w:rFonts w:ascii="Times New Roman" w:eastAsia="Times New Roman" w:hAnsi="Times New Roman"/>
                <w:sz w:val="20"/>
                <w:szCs w:val="20"/>
              </w:rPr>
            </w:pPr>
          </w:p>
        </w:tc>
        <w:tc>
          <w:tcPr>
            <w:tcW w:w="452" w:type="dxa"/>
            <w:tcBorders>
              <w:top w:val="nil"/>
              <w:left w:val="nil"/>
              <w:bottom w:val="nil"/>
              <w:right w:val="nil"/>
            </w:tcBorders>
            <w:shd w:val="clear" w:color="auto" w:fill="auto"/>
            <w:vAlign w:val="bottom"/>
          </w:tcPr>
          <w:p w14:paraId="38C7E39E" w14:textId="77777777" w:rsidR="00386F6D" w:rsidRPr="00666914" w:rsidRDefault="00386F6D">
            <w:pPr>
              <w:spacing w:after="0"/>
              <w:jc w:val="left"/>
              <w:rPr>
                <w:rFonts w:ascii="Times New Roman" w:eastAsia="Times New Roman" w:hAnsi="Times New Roman"/>
                <w:sz w:val="20"/>
                <w:szCs w:val="20"/>
              </w:rPr>
            </w:pPr>
          </w:p>
        </w:tc>
        <w:tc>
          <w:tcPr>
            <w:tcW w:w="864" w:type="dxa"/>
            <w:tcBorders>
              <w:top w:val="nil"/>
              <w:left w:val="nil"/>
              <w:bottom w:val="nil"/>
              <w:right w:val="nil"/>
            </w:tcBorders>
            <w:shd w:val="clear" w:color="auto" w:fill="auto"/>
            <w:vAlign w:val="bottom"/>
          </w:tcPr>
          <w:p w14:paraId="6774067A" w14:textId="77777777" w:rsidR="00386F6D" w:rsidRPr="00666914" w:rsidRDefault="00386F6D">
            <w:pPr>
              <w:spacing w:after="0"/>
              <w:jc w:val="left"/>
              <w:rPr>
                <w:rFonts w:ascii="Times New Roman" w:eastAsia="Times New Roman" w:hAnsi="Times New Roman"/>
                <w:sz w:val="20"/>
                <w:szCs w:val="20"/>
              </w:rPr>
            </w:pPr>
          </w:p>
        </w:tc>
        <w:tc>
          <w:tcPr>
            <w:tcW w:w="582" w:type="dxa"/>
            <w:tcBorders>
              <w:top w:val="nil"/>
              <w:left w:val="nil"/>
              <w:bottom w:val="nil"/>
              <w:right w:val="nil"/>
            </w:tcBorders>
            <w:shd w:val="clear" w:color="auto" w:fill="auto"/>
            <w:vAlign w:val="center"/>
          </w:tcPr>
          <w:p w14:paraId="69296D9B" w14:textId="77777777" w:rsidR="00386F6D" w:rsidRPr="00666914" w:rsidRDefault="00386F6D">
            <w:pPr>
              <w:spacing w:after="0"/>
              <w:jc w:val="left"/>
              <w:rPr>
                <w:b/>
                <w:color w:val="000000"/>
                <w:sz w:val="20"/>
                <w:szCs w:val="20"/>
              </w:rPr>
            </w:pPr>
            <w:r w:rsidRPr="00666914">
              <w:rPr>
                <w:b/>
                <w:color w:val="000000"/>
                <w:sz w:val="20"/>
                <w:szCs w:val="20"/>
              </w:rPr>
              <w:t xml:space="preserve">EU </w:t>
            </w:r>
          </w:p>
        </w:tc>
        <w:tc>
          <w:tcPr>
            <w:tcW w:w="1482" w:type="dxa"/>
            <w:tcBorders>
              <w:top w:val="nil"/>
              <w:left w:val="nil"/>
              <w:bottom w:val="nil"/>
              <w:right w:val="nil"/>
            </w:tcBorders>
            <w:shd w:val="clear" w:color="auto" w:fill="auto"/>
            <w:vAlign w:val="center"/>
          </w:tcPr>
          <w:p w14:paraId="755EB3BD" w14:textId="77777777" w:rsidR="00386F6D" w:rsidRPr="00666914" w:rsidRDefault="00386F6D">
            <w:pPr>
              <w:spacing w:after="0"/>
              <w:jc w:val="center"/>
              <w:rPr>
                <w:color w:val="000000"/>
                <w:sz w:val="20"/>
                <w:szCs w:val="20"/>
              </w:rPr>
            </w:pPr>
            <w:r w:rsidRPr="00666914">
              <w:rPr>
                <w:color w:val="000000"/>
                <w:sz w:val="20"/>
                <w:szCs w:val="20"/>
              </w:rPr>
              <w:t>51,2</w:t>
            </w:r>
          </w:p>
        </w:tc>
        <w:tc>
          <w:tcPr>
            <w:tcW w:w="1482" w:type="dxa"/>
            <w:tcBorders>
              <w:top w:val="nil"/>
              <w:left w:val="nil"/>
              <w:bottom w:val="nil"/>
              <w:right w:val="nil"/>
            </w:tcBorders>
            <w:shd w:val="clear" w:color="auto" w:fill="auto"/>
            <w:vAlign w:val="center"/>
          </w:tcPr>
          <w:p w14:paraId="4D225118" w14:textId="77777777" w:rsidR="00386F6D" w:rsidRPr="00666914" w:rsidRDefault="00386F6D">
            <w:pPr>
              <w:spacing w:after="0"/>
              <w:jc w:val="center"/>
              <w:rPr>
                <w:color w:val="000000"/>
                <w:sz w:val="20"/>
                <w:szCs w:val="20"/>
              </w:rPr>
            </w:pPr>
            <w:r w:rsidRPr="00666914">
              <w:rPr>
                <w:color w:val="000000"/>
                <w:sz w:val="20"/>
                <w:szCs w:val="20"/>
              </w:rPr>
              <w:t>54,8</w:t>
            </w:r>
          </w:p>
        </w:tc>
        <w:tc>
          <w:tcPr>
            <w:tcW w:w="1481" w:type="dxa"/>
            <w:tcBorders>
              <w:top w:val="nil"/>
              <w:left w:val="nil"/>
              <w:bottom w:val="nil"/>
              <w:right w:val="nil"/>
            </w:tcBorders>
            <w:shd w:val="clear" w:color="auto" w:fill="auto"/>
            <w:vAlign w:val="center"/>
          </w:tcPr>
          <w:p w14:paraId="388DF43D" w14:textId="77777777" w:rsidR="00386F6D" w:rsidRPr="00666914" w:rsidRDefault="00386F6D">
            <w:pPr>
              <w:spacing w:after="0"/>
              <w:jc w:val="center"/>
              <w:rPr>
                <w:color w:val="000000"/>
                <w:sz w:val="20"/>
                <w:szCs w:val="20"/>
              </w:rPr>
            </w:pPr>
            <w:r w:rsidRPr="00666914">
              <w:rPr>
                <w:color w:val="000000"/>
                <w:sz w:val="20"/>
                <w:szCs w:val="20"/>
              </w:rPr>
              <w:t>59,3</w:t>
            </w:r>
          </w:p>
        </w:tc>
      </w:tr>
      <w:tr w:rsidR="00386F6D" w:rsidRPr="00666914" w14:paraId="734CAF2F" w14:textId="77777777">
        <w:trPr>
          <w:trHeight w:val="255"/>
        </w:trPr>
        <w:tc>
          <w:tcPr>
            <w:tcW w:w="1985" w:type="dxa"/>
            <w:gridSpan w:val="2"/>
            <w:tcBorders>
              <w:top w:val="nil"/>
              <w:left w:val="nil"/>
              <w:bottom w:val="single" w:sz="4" w:space="0" w:color="000000"/>
              <w:right w:val="nil"/>
            </w:tcBorders>
            <w:shd w:val="clear" w:color="auto" w:fill="auto"/>
            <w:vAlign w:val="center"/>
          </w:tcPr>
          <w:p w14:paraId="75E0D0F9" w14:textId="77777777" w:rsidR="00386F6D" w:rsidRPr="00666914" w:rsidRDefault="00386F6D">
            <w:pPr>
              <w:spacing w:after="0"/>
              <w:jc w:val="left"/>
              <w:rPr>
                <w:b/>
                <w:color w:val="000000"/>
                <w:sz w:val="20"/>
                <w:szCs w:val="20"/>
              </w:rPr>
            </w:pPr>
            <w:r w:rsidRPr="00666914">
              <w:rPr>
                <w:b/>
                <w:color w:val="000000"/>
                <w:sz w:val="20"/>
                <w:szCs w:val="20"/>
              </w:rPr>
              <w:t xml:space="preserve">DESI 1 – pozícia </w:t>
            </w:r>
          </w:p>
        </w:tc>
        <w:tc>
          <w:tcPr>
            <w:tcW w:w="744" w:type="dxa"/>
            <w:tcBorders>
              <w:top w:val="nil"/>
              <w:left w:val="nil"/>
              <w:bottom w:val="single" w:sz="4" w:space="0" w:color="000000"/>
              <w:right w:val="nil"/>
            </w:tcBorders>
            <w:shd w:val="clear" w:color="auto" w:fill="auto"/>
            <w:vAlign w:val="center"/>
          </w:tcPr>
          <w:p w14:paraId="4CBDC95B" w14:textId="77777777" w:rsidR="00386F6D" w:rsidRPr="00666914" w:rsidRDefault="00386F6D">
            <w:pPr>
              <w:spacing w:after="0"/>
              <w:jc w:val="left"/>
              <w:rPr>
                <w:color w:val="000000"/>
                <w:sz w:val="20"/>
                <w:szCs w:val="20"/>
              </w:rPr>
            </w:pPr>
            <w:r w:rsidRPr="00666914">
              <w:rPr>
                <w:color w:val="000000"/>
                <w:sz w:val="20"/>
                <w:szCs w:val="20"/>
              </w:rPr>
              <w:t> </w:t>
            </w:r>
          </w:p>
        </w:tc>
        <w:tc>
          <w:tcPr>
            <w:tcW w:w="452" w:type="dxa"/>
            <w:tcBorders>
              <w:top w:val="nil"/>
              <w:left w:val="nil"/>
              <w:bottom w:val="single" w:sz="4" w:space="0" w:color="000000"/>
              <w:right w:val="nil"/>
            </w:tcBorders>
            <w:shd w:val="clear" w:color="auto" w:fill="auto"/>
            <w:vAlign w:val="center"/>
          </w:tcPr>
          <w:p w14:paraId="27E28D4A" w14:textId="77777777" w:rsidR="00386F6D" w:rsidRPr="00666914" w:rsidRDefault="00386F6D">
            <w:pPr>
              <w:spacing w:after="0"/>
              <w:jc w:val="left"/>
              <w:rPr>
                <w:color w:val="000000"/>
                <w:sz w:val="20"/>
                <w:szCs w:val="20"/>
              </w:rPr>
            </w:pPr>
            <w:r w:rsidRPr="00666914">
              <w:rPr>
                <w:color w:val="000000"/>
                <w:sz w:val="20"/>
                <w:szCs w:val="20"/>
              </w:rPr>
              <w:t> </w:t>
            </w:r>
          </w:p>
        </w:tc>
        <w:tc>
          <w:tcPr>
            <w:tcW w:w="864" w:type="dxa"/>
            <w:tcBorders>
              <w:top w:val="nil"/>
              <w:left w:val="nil"/>
              <w:bottom w:val="single" w:sz="4" w:space="0" w:color="000000"/>
              <w:right w:val="nil"/>
            </w:tcBorders>
            <w:shd w:val="clear" w:color="auto" w:fill="auto"/>
            <w:vAlign w:val="center"/>
          </w:tcPr>
          <w:p w14:paraId="39531292" w14:textId="77777777" w:rsidR="00386F6D" w:rsidRPr="00666914" w:rsidRDefault="00386F6D">
            <w:pPr>
              <w:spacing w:after="0"/>
              <w:jc w:val="left"/>
              <w:rPr>
                <w:color w:val="000000"/>
                <w:sz w:val="20"/>
                <w:szCs w:val="20"/>
              </w:rPr>
            </w:pPr>
            <w:r w:rsidRPr="00666914">
              <w:rPr>
                <w:color w:val="000000"/>
                <w:sz w:val="20"/>
                <w:szCs w:val="20"/>
              </w:rPr>
              <w:t> </w:t>
            </w:r>
          </w:p>
        </w:tc>
        <w:tc>
          <w:tcPr>
            <w:tcW w:w="582" w:type="dxa"/>
            <w:tcBorders>
              <w:top w:val="nil"/>
              <w:left w:val="nil"/>
              <w:bottom w:val="single" w:sz="4" w:space="0" w:color="000000"/>
              <w:right w:val="nil"/>
            </w:tcBorders>
            <w:shd w:val="clear" w:color="auto" w:fill="auto"/>
            <w:vAlign w:val="center"/>
          </w:tcPr>
          <w:p w14:paraId="42FC37D7" w14:textId="77777777" w:rsidR="00386F6D" w:rsidRPr="00666914" w:rsidRDefault="00386F6D">
            <w:pPr>
              <w:spacing w:after="0"/>
              <w:jc w:val="left"/>
              <w:rPr>
                <w:b/>
                <w:color w:val="000000"/>
                <w:sz w:val="20"/>
                <w:szCs w:val="20"/>
              </w:rPr>
            </w:pPr>
            <w:r w:rsidRPr="00666914">
              <w:rPr>
                <w:b/>
                <w:color w:val="000000"/>
                <w:sz w:val="20"/>
                <w:szCs w:val="20"/>
              </w:rPr>
              <w:t xml:space="preserve">SK </w:t>
            </w:r>
          </w:p>
        </w:tc>
        <w:tc>
          <w:tcPr>
            <w:tcW w:w="1482" w:type="dxa"/>
            <w:tcBorders>
              <w:top w:val="nil"/>
              <w:left w:val="nil"/>
              <w:bottom w:val="single" w:sz="4" w:space="0" w:color="000000"/>
              <w:right w:val="nil"/>
            </w:tcBorders>
            <w:shd w:val="clear" w:color="auto" w:fill="auto"/>
            <w:vAlign w:val="center"/>
          </w:tcPr>
          <w:p w14:paraId="60F713E9" w14:textId="77777777" w:rsidR="00386F6D" w:rsidRPr="00666914" w:rsidRDefault="00386F6D">
            <w:pPr>
              <w:spacing w:after="0"/>
              <w:jc w:val="center"/>
              <w:rPr>
                <w:b/>
                <w:color w:val="000000"/>
                <w:sz w:val="20"/>
                <w:szCs w:val="20"/>
              </w:rPr>
            </w:pPr>
            <w:r w:rsidRPr="00666914">
              <w:rPr>
                <w:b/>
                <w:color w:val="000000"/>
                <w:sz w:val="20"/>
                <w:szCs w:val="20"/>
              </w:rPr>
              <w:t>20</w:t>
            </w:r>
          </w:p>
        </w:tc>
        <w:tc>
          <w:tcPr>
            <w:tcW w:w="1482" w:type="dxa"/>
            <w:tcBorders>
              <w:top w:val="nil"/>
              <w:left w:val="nil"/>
              <w:bottom w:val="single" w:sz="4" w:space="0" w:color="000000"/>
              <w:right w:val="nil"/>
            </w:tcBorders>
            <w:shd w:val="clear" w:color="auto" w:fill="auto"/>
            <w:vAlign w:val="center"/>
          </w:tcPr>
          <w:p w14:paraId="01C3C590" w14:textId="77777777" w:rsidR="00386F6D" w:rsidRPr="00666914" w:rsidRDefault="00386F6D">
            <w:pPr>
              <w:spacing w:after="0"/>
              <w:jc w:val="center"/>
              <w:rPr>
                <w:b/>
                <w:color w:val="000000"/>
                <w:sz w:val="20"/>
                <w:szCs w:val="20"/>
              </w:rPr>
            </w:pPr>
            <w:r w:rsidRPr="00666914">
              <w:rPr>
                <w:b/>
                <w:color w:val="000000"/>
                <w:sz w:val="20"/>
                <w:szCs w:val="20"/>
              </w:rPr>
              <w:t>22</w:t>
            </w:r>
          </w:p>
        </w:tc>
        <w:tc>
          <w:tcPr>
            <w:tcW w:w="1481" w:type="dxa"/>
            <w:tcBorders>
              <w:top w:val="nil"/>
              <w:left w:val="nil"/>
              <w:bottom w:val="single" w:sz="4" w:space="0" w:color="000000"/>
              <w:right w:val="nil"/>
            </w:tcBorders>
            <w:shd w:val="clear" w:color="auto" w:fill="auto"/>
            <w:vAlign w:val="center"/>
          </w:tcPr>
          <w:p w14:paraId="4E7ED8B6" w14:textId="77777777" w:rsidR="00386F6D" w:rsidRPr="00666914" w:rsidRDefault="00386F6D">
            <w:pPr>
              <w:spacing w:after="0"/>
              <w:jc w:val="center"/>
              <w:rPr>
                <w:b/>
                <w:color w:val="000000"/>
                <w:sz w:val="20"/>
                <w:szCs w:val="20"/>
              </w:rPr>
            </w:pPr>
            <w:r w:rsidRPr="00666914">
              <w:rPr>
                <w:b/>
                <w:color w:val="000000"/>
                <w:sz w:val="20"/>
                <w:szCs w:val="20"/>
              </w:rPr>
              <w:t>23</w:t>
            </w:r>
          </w:p>
        </w:tc>
      </w:tr>
      <w:tr w:rsidR="00386F6D" w:rsidRPr="00666914" w14:paraId="0FFC5241" w14:textId="77777777">
        <w:trPr>
          <w:trHeight w:val="300"/>
        </w:trPr>
        <w:tc>
          <w:tcPr>
            <w:tcW w:w="2729" w:type="dxa"/>
            <w:gridSpan w:val="3"/>
            <w:tcBorders>
              <w:top w:val="nil"/>
              <w:left w:val="nil"/>
              <w:bottom w:val="nil"/>
              <w:right w:val="nil"/>
            </w:tcBorders>
            <w:shd w:val="clear" w:color="auto" w:fill="auto"/>
            <w:vAlign w:val="center"/>
          </w:tcPr>
          <w:p w14:paraId="5FE99296" w14:textId="77777777" w:rsidR="00386F6D" w:rsidRPr="00666914" w:rsidRDefault="00386F6D">
            <w:pPr>
              <w:spacing w:after="0"/>
              <w:jc w:val="left"/>
              <w:rPr>
                <w:b/>
                <w:color w:val="000000"/>
                <w:sz w:val="20"/>
                <w:szCs w:val="20"/>
              </w:rPr>
            </w:pPr>
            <w:r w:rsidRPr="00666914">
              <w:rPr>
                <w:b/>
                <w:color w:val="000000"/>
                <w:sz w:val="20"/>
                <w:szCs w:val="20"/>
              </w:rPr>
              <w:t xml:space="preserve">DESI 2 - </w:t>
            </w:r>
            <w:r w:rsidRPr="00666914">
              <w:rPr>
                <w:color w:val="000000"/>
                <w:sz w:val="20"/>
                <w:szCs w:val="20"/>
              </w:rPr>
              <w:t>Ľudský kapitál</w:t>
            </w:r>
          </w:p>
        </w:tc>
        <w:tc>
          <w:tcPr>
            <w:tcW w:w="452" w:type="dxa"/>
            <w:tcBorders>
              <w:top w:val="nil"/>
              <w:left w:val="nil"/>
              <w:bottom w:val="nil"/>
              <w:right w:val="nil"/>
            </w:tcBorders>
            <w:shd w:val="clear" w:color="auto" w:fill="auto"/>
            <w:vAlign w:val="bottom"/>
          </w:tcPr>
          <w:p w14:paraId="1EA96FB8" w14:textId="77777777" w:rsidR="00386F6D" w:rsidRPr="00666914" w:rsidRDefault="00386F6D">
            <w:pPr>
              <w:spacing w:after="0"/>
              <w:jc w:val="left"/>
              <w:rPr>
                <w:b/>
                <w:color w:val="000000"/>
                <w:sz w:val="20"/>
                <w:szCs w:val="20"/>
              </w:rPr>
            </w:pPr>
          </w:p>
        </w:tc>
        <w:tc>
          <w:tcPr>
            <w:tcW w:w="864" w:type="dxa"/>
            <w:tcBorders>
              <w:top w:val="nil"/>
              <w:left w:val="nil"/>
              <w:bottom w:val="nil"/>
              <w:right w:val="nil"/>
            </w:tcBorders>
            <w:shd w:val="clear" w:color="auto" w:fill="auto"/>
            <w:vAlign w:val="bottom"/>
          </w:tcPr>
          <w:p w14:paraId="652F968C" w14:textId="77777777" w:rsidR="00386F6D" w:rsidRPr="00666914" w:rsidRDefault="00386F6D">
            <w:pPr>
              <w:spacing w:after="0"/>
              <w:jc w:val="left"/>
              <w:rPr>
                <w:rFonts w:ascii="Times New Roman" w:eastAsia="Times New Roman" w:hAnsi="Times New Roman"/>
                <w:sz w:val="20"/>
                <w:szCs w:val="20"/>
              </w:rPr>
            </w:pPr>
          </w:p>
        </w:tc>
        <w:tc>
          <w:tcPr>
            <w:tcW w:w="582" w:type="dxa"/>
            <w:tcBorders>
              <w:top w:val="nil"/>
              <w:left w:val="nil"/>
              <w:bottom w:val="nil"/>
              <w:right w:val="nil"/>
            </w:tcBorders>
            <w:shd w:val="clear" w:color="auto" w:fill="auto"/>
            <w:vAlign w:val="center"/>
          </w:tcPr>
          <w:p w14:paraId="6DAF553E" w14:textId="77777777" w:rsidR="00386F6D" w:rsidRPr="00666914" w:rsidRDefault="00386F6D">
            <w:pPr>
              <w:spacing w:after="0"/>
              <w:jc w:val="left"/>
              <w:rPr>
                <w:b/>
                <w:color w:val="000000"/>
                <w:sz w:val="20"/>
                <w:szCs w:val="20"/>
              </w:rPr>
            </w:pPr>
            <w:r w:rsidRPr="00666914">
              <w:rPr>
                <w:b/>
                <w:color w:val="000000"/>
                <w:sz w:val="20"/>
                <w:szCs w:val="20"/>
              </w:rPr>
              <w:t xml:space="preserve">SK </w:t>
            </w:r>
          </w:p>
        </w:tc>
        <w:tc>
          <w:tcPr>
            <w:tcW w:w="1482" w:type="dxa"/>
            <w:tcBorders>
              <w:top w:val="nil"/>
              <w:left w:val="nil"/>
              <w:bottom w:val="nil"/>
              <w:right w:val="nil"/>
            </w:tcBorders>
            <w:shd w:val="clear" w:color="auto" w:fill="auto"/>
            <w:vAlign w:val="center"/>
          </w:tcPr>
          <w:p w14:paraId="7A662A4D" w14:textId="77777777" w:rsidR="00386F6D" w:rsidRPr="00666914" w:rsidRDefault="00386F6D">
            <w:pPr>
              <w:spacing w:after="0"/>
              <w:jc w:val="center"/>
              <w:rPr>
                <w:color w:val="000000"/>
                <w:sz w:val="20"/>
                <w:szCs w:val="20"/>
              </w:rPr>
            </w:pPr>
            <w:r w:rsidRPr="00666914">
              <w:rPr>
                <w:color w:val="000000"/>
                <w:sz w:val="20"/>
                <w:szCs w:val="20"/>
              </w:rPr>
              <w:t>40,6</w:t>
            </w:r>
          </w:p>
        </w:tc>
        <w:tc>
          <w:tcPr>
            <w:tcW w:w="1482" w:type="dxa"/>
            <w:tcBorders>
              <w:top w:val="nil"/>
              <w:left w:val="nil"/>
              <w:bottom w:val="nil"/>
              <w:right w:val="nil"/>
            </w:tcBorders>
            <w:shd w:val="clear" w:color="auto" w:fill="auto"/>
            <w:vAlign w:val="center"/>
          </w:tcPr>
          <w:p w14:paraId="3C71B2B3" w14:textId="77777777" w:rsidR="00386F6D" w:rsidRPr="00666914" w:rsidRDefault="00386F6D">
            <w:pPr>
              <w:spacing w:after="0"/>
              <w:jc w:val="center"/>
              <w:rPr>
                <w:color w:val="000000"/>
                <w:sz w:val="20"/>
                <w:szCs w:val="20"/>
              </w:rPr>
            </w:pPr>
            <w:r w:rsidRPr="00666914">
              <w:rPr>
                <w:color w:val="000000"/>
                <w:sz w:val="20"/>
                <w:szCs w:val="20"/>
              </w:rPr>
              <w:t>42,9</w:t>
            </w:r>
          </w:p>
        </w:tc>
        <w:tc>
          <w:tcPr>
            <w:tcW w:w="1481" w:type="dxa"/>
            <w:tcBorders>
              <w:top w:val="nil"/>
              <w:left w:val="nil"/>
              <w:bottom w:val="nil"/>
              <w:right w:val="nil"/>
            </w:tcBorders>
            <w:shd w:val="clear" w:color="auto" w:fill="auto"/>
            <w:vAlign w:val="center"/>
          </w:tcPr>
          <w:p w14:paraId="70E15810" w14:textId="77777777" w:rsidR="00386F6D" w:rsidRPr="00666914" w:rsidRDefault="00386F6D">
            <w:pPr>
              <w:spacing w:after="0"/>
              <w:jc w:val="center"/>
              <w:rPr>
                <w:color w:val="000000"/>
                <w:sz w:val="20"/>
                <w:szCs w:val="20"/>
              </w:rPr>
            </w:pPr>
            <w:r w:rsidRPr="00666914">
              <w:rPr>
                <w:color w:val="000000"/>
                <w:sz w:val="20"/>
                <w:szCs w:val="20"/>
              </w:rPr>
              <w:t>44,2</w:t>
            </w:r>
          </w:p>
        </w:tc>
      </w:tr>
      <w:tr w:rsidR="00386F6D" w:rsidRPr="00666914" w14:paraId="63FDA976" w14:textId="77777777">
        <w:trPr>
          <w:trHeight w:val="300"/>
        </w:trPr>
        <w:tc>
          <w:tcPr>
            <w:tcW w:w="896" w:type="dxa"/>
            <w:tcBorders>
              <w:top w:val="nil"/>
              <w:left w:val="nil"/>
              <w:bottom w:val="nil"/>
              <w:right w:val="nil"/>
            </w:tcBorders>
            <w:shd w:val="clear" w:color="auto" w:fill="auto"/>
            <w:vAlign w:val="bottom"/>
          </w:tcPr>
          <w:p w14:paraId="5DEC4594" w14:textId="77777777" w:rsidR="00386F6D" w:rsidRPr="00666914" w:rsidRDefault="00386F6D">
            <w:pPr>
              <w:spacing w:after="0"/>
              <w:jc w:val="center"/>
              <w:rPr>
                <w:color w:val="000000"/>
                <w:sz w:val="20"/>
                <w:szCs w:val="20"/>
              </w:rPr>
            </w:pPr>
          </w:p>
        </w:tc>
        <w:tc>
          <w:tcPr>
            <w:tcW w:w="1089" w:type="dxa"/>
            <w:tcBorders>
              <w:top w:val="nil"/>
              <w:left w:val="nil"/>
              <w:bottom w:val="nil"/>
              <w:right w:val="nil"/>
            </w:tcBorders>
            <w:shd w:val="clear" w:color="auto" w:fill="auto"/>
            <w:vAlign w:val="bottom"/>
          </w:tcPr>
          <w:p w14:paraId="4C3620EC" w14:textId="77777777" w:rsidR="00386F6D" w:rsidRPr="00666914" w:rsidRDefault="00386F6D">
            <w:pPr>
              <w:spacing w:after="0"/>
              <w:jc w:val="left"/>
              <w:rPr>
                <w:rFonts w:ascii="Times New Roman" w:eastAsia="Times New Roman" w:hAnsi="Times New Roman"/>
                <w:sz w:val="20"/>
                <w:szCs w:val="20"/>
              </w:rPr>
            </w:pPr>
          </w:p>
        </w:tc>
        <w:tc>
          <w:tcPr>
            <w:tcW w:w="744" w:type="dxa"/>
            <w:tcBorders>
              <w:top w:val="nil"/>
              <w:left w:val="nil"/>
              <w:bottom w:val="nil"/>
              <w:right w:val="nil"/>
            </w:tcBorders>
            <w:shd w:val="clear" w:color="auto" w:fill="auto"/>
            <w:vAlign w:val="bottom"/>
          </w:tcPr>
          <w:p w14:paraId="5399D5A0" w14:textId="77777777" w:rsidR="00386F6D" w:rsidRPr="00666914" w:rsidRDefault="00386F6D">
            <w:pPr>
              <w:spacing w:after="0"/>
              <w:jc w:val="left"/>
              <w:rPr>
                <w:rFonts w:ascii="Times New Roman" w:eastAsia="Times New Roman" w:hAnsi="Times New Roman"/>
                <w:sz w:val="20"/>
                <w:szCs w:val="20"/>
              </w:rPr>
            </w:pPr>
          </w:p>
        </w:tc>
        <w:tc>
          <w:tcPr>
            <w:tcW w:w="452" w:type="dxa"/>
            <w:tcBorders>
              <w:top w:val="nil"/>
              <w:left w:val="nil"/>
              <w:bottom w:val="nil"/>
              <w:right w:val="nil"/>
            </w:tcBorders>
            <w:shd w:val="clear" w:color="auto" w:fill="auto"/>
            <w:vAlign w:val="bottom"/>
          </w:tcPr>
          <w:p w14:paraId="4FA53770" w14:textId="77777777" w:rsidR="00386F6D" w:rsidRPr="00666914" w:rsidRDefault="00386F6D">
            <w:pPr>
              <w:spacing w:after="0"/>
              <w:jc w:val="left"/>
              <w:rPr>
                <w:rFonts w:ascii="Times New Roman" w:eastAsia="Times New Roman" w:hAnsi="Times New Roman"/>
                <w:sz w:val="20"/>
                <w:szCs w:val="20"/>
              </w:rPr>
            </w:pPr>
          </w:p>
        </w:tc>
        <w:tc>
          <w:tcPr>
            <w:tcW w:w="864" w:type="dxa"/>
            <w:tcBorders>
              <w:top w:val="nil"/>
              <w:left w:val="nil"/>
              <w:bottom w:val="nil"/>
              <w:right w:val="nil"/>
            </w:tcBorders>
            <w:shd w:val="clear" w:color="auto" w:fill="auto"/>
            <w:vAlign w:val="bottom"/>
          </w:tcPr>
          <w:p w14:paraId="104C9523" w14:textId="77777777" w:rsidR="00386F6D" w:rsidRPr="00666914" w:rsidRDefault="00386F6D">
            <w:pPr>
              <w:spacing w:after="0"/>
              <w:jc w:val="left"/>
              <w:rPr>
                <w:rFonts w:ascii="Times New Roman" w:eastAsia="Times New Roman" w:hAnsi="Times New Roman"/>
                <w:sz w:val="20"/>
                <w:szCs w:val="20"/>
              </w:rPr>
            </w:pPr>
          </w:p>
        </w:tc>
        <w:tc>
          <w:tcPr>
            <w:tcW w:w="582" w:type="dxa"/>
            <w:tcBorders>
              <w:top w:val="nil"/>
              <w:left w:val="nil"/>
              <w:bottom w:val="nil"/>
              <w:right w:val="nil"/>
            </w:tcBorders>
            <w:shd w:val="clear" w:color="auto" w:fill="auto"/>
            <w:vAlign w:val="center"/>
          </w:tcPr>
          <w:p w14:paraId="65022433" w14:textId="77777777" w:rsidR="00386F6D" w:rsidRPr="00666914" w:rsidRDefault="00386F6D">
            <w:pPr>
              <w:spacing w:after="0"/>
              <w:jc w:val="left"/>
              <w:rPr>
                <w:b/>
                <w:color w:val="000000"/>
                <w:sz w:val="20"/>
                <w:szCs w:val="20"/>
              </w:rPr>
            </w:pPr>
            <w:r w:rsidRPr="00666914">
              <w:rPr>
                <w:b/>
                <w:color w:val="000000"/>
                <w:sz w:val="20"/>
                <w:szCs w:val="20"/>
              </w:rPr>
              <w:t xml:space="preserve">EU </w:t>
            </w:r>
          </w:p>
        </w:tc>
        <w:tc>
          <w:tcPr>
            <w:tcW w:w="1482" w:type="dxa"/>
            <w:tcBorders>
              <w:top w:val="nil"/>
              <w:left w:val="nil"/>
              <w:bottom w:val="nil"/>
              <w:right w:val="nil"/>
            </w:tcBorders>
            <w:shd w:val="clear" w:color="auto" w:fill="auto"/>
            <w:vAlign w:val="center"/>
          </w:tcPr>
          <w:p w14:paraId="1E33931E" w14:textId="77777777" w:rsidR="00386F6D" w:rsidRPr="00666914" w:rsidRDefault="00386F6D">
            <w:pPr>
              <w:spacing w:after="0"/>
              <w:jc w:val="center"/>
              <w:rPr>
                <w:color w:val="000000"/>
                <w:sz w:val="20"/>
                <w:szCs w:val="20"/>
              </w:rPr>
            </w:pPr>
            <w:r w:rsidRPr="00666914">
              <w:rPr>
                <w:color w:val="000000"/>
                <w:sz w:val="20"/>
                <w:szCs w:val="20"/>
              </w:rPr>
              <w:t>45,4</w:t>
            </w:r>
          </w:p>
        </w:tc>
        <w:tc>
          <w:tcPr>
            <w:tcW w:w="1482" w:type="dxa"/>
            <w:tcBorders>
              <w:top w:val="nil"/>
              <w:left w:val="nil"/>
              <w:bottom w:val="nil"/>
              <w:right w:val="nil"/>
            </w:tcBorders>
            <w:shd w:val="clear" w:color="auto" w:fill="auto"/>
            <w:vAlign w:val="center"/>
          </w:tcPr>
          <w:p w14:paraId="3B9FB087" w14:textId="77777777" w:rsidR="00386F6D" w:rsidRPr="00666914" w:rsidRDefault="00386F6D">
            <w:pPr>
              <w:spacing w:after="0"/>
              <w:jc w:val="center"/>
              <w:rPr>
                <w:color w:val="000000"/>
                <w:sz w:val="20"/>
                <w:szCs w:val="20"/>
              </w:rPr>
            </w:pPr>
            <w:r w:rsidRPr="00666914">
              <w:rPr>
                <w:color w:val="000000"/>
                <w:sz w:val="20"/>
                <w:szCs w:val="20"/>
              </w:rPr>
              <w:t>47,6</w:t>
            </w:r>
          </w:p>
        </w:tc>
        <w:tc>
          <w:tcPr>
            <w:tcW w:w="1481" w:type="dxa"/>
            <w:tcBorders>
              <w:top w:val="nil"/>
              <w:left w:val="nil"/>
              <w:bottom w:val="nil"/>
              <w:right w:val="nil"/>
            </w:tcBorders>
            <w:shd w:val="clear" w:color="auto" w:fill="auto"/>
            <w:vAlign w:val="center"/>
          </w:tcPr>
          <w:p w14:paraId="78440195" w14:textId="77777777" w:rsidR="00386F6D" w:rsidRPr="00666914" w:rsidRDefault="00386F6D">
            <w:pPr>
              <w:spacing w:after="0"/>
              <w:jc w:val="center"/>
              <w:rPr>
                <w:color w:val="000000"/>
                <w:sz w:val="20"/>
                <w:szCs w:val="20"/>
              </w:rPr>
            </w:pPr>
            <w:r w:rsidRPr="00666914">
              <w:rPr>
                <w:color w:val="000000"/>
                <w:sz w:val="20"/>
                <w:szCs w:val="20"/>
              </w:rPr>
              <w:t>48,0</w:t>
            </w:r>
          </w:p>
        </w:tc>
      </w:tr>
      <w:tr w:rsidR="00386F6D" w:rsidRPr="00666914" w14:paraId="2C8EB811" w14:textId="77777777">
        <w:trPr>
          <w:trHeight w:val="255"/>
        </w:trPr>
        <w:tc>
          <w:tcPr>
            <w:tcW w:w="1985" w:type="dxa"/>
            <w:gridSpan w:val="2"/>
            <w:tcBorders>
              <w:top w:val="nil"/>
              <w:left w:val="nil"/>
              <w:bottom w:val="single" w:sz="4" w:space="0" w:color="000000"/>
              <w:right w:val="nil"/>
            </w:tcBorders>
            <w:shd w:val="clear" w:color="auto" w:fill="auto"/>
            <w:vAlign w:val="center"/>
          </w:tcPr>
          <w:p w14:paraId="155B0948" w14:textId="77777777" w:rsidR="00386F6D" w:rsidRPr="00666914" w:rsidRDefault="00386F6D">
            <w:pPr>
              <w:spacing w:after="0"/>
              <w:jc w:val="left"/>
              <w:rPr>
                <w:b/>
                <w:color w:val="000000"/>
                <w:sz w:val="20"/>
                <w:szCs w:val="20"/>
              </w:rPr>
            </w:pPr>
            <w:r w:rsidRPr="00666914">
              <w:rPr>
                <w:b/>
                <w:color w:val="000000"/>
                <w:sz w:val="20"/>
                <w:szCs w:val="20"/>
              </w:rPr>
              <w:t xml:space="preserve">DESI 2 – pozícia </w:t>
            </w:r>
          </w:p>
        </w:tc>
        <w:tc>
          <w:tcPr>
            <w:tcW w:w="744" w:type="dxa"/>
            <w:tcBorders>
              <w:top w:val="nil"/>
              <w:left w:val="nil"/>
              <w:bottom w:val="single" w:sz="4" w:space="0" w:color="000000"/>
              <w:right w:val="nil"/>
            </w:tcBorders>
            <w:shd w:val="clear" w:color="auto" w:fill="auto"/>
            <w:vAlign w:val="center"/>
          </w:tcPr>
          <w:p w14:paraId="607FDAD5" w14:textId="77777777" w:rsidR="00386F6D" w:rsidRPr="00666914" w:rsidRDefault="00386F6D">
            <w:pPr>
              <w:spacing w:after="0"/>
              <w:jc w:val="left"/>
              <w:rPr>
                <w:color w:val="000000"/>
                <w:sz w:val="20"/>
                <w:szCs w:val="20"/>
              </w:rPr>
            </w:pPr>
            <w:r w:rsidRPr="00666914">
              <w:rPr>
                <w:color w:val="000000"/>
                <w:sz w:val="20"/>
                <w:szCs w:val="20"/>
              </w:rPr>
              <w:t> </w:t>
            </w:r>
          </w:p>
        </w:tc>
        <w:tc>
          <w:tcPr>
            <w:tcW w:w="452" w:type="dxa"/>
            <w:tcBorders>
              <w:top w:val="nil"/>
              <w:left w:val="nil"/>
              <w:bottom w:val="single" w:sz="4" w:space="0" w:color="000000"/>
              <w:right w:val="nil"/>
            </w:tcBorders>
            <w:shd w:val="clear" w:color="auto" w:fill="auto"/>
            <w:vAlign w:val="center"/>
          </w:tcPr>
          <w:p w14:paraId="23FB08C1" w14:textId="77777777" w:rsidR="00386F6D" w:rsidRPr="00666914" w:rsidRDefault="00386F6D">
            <w:pPr>
              <w:spacing w:after="0"/>
              <w:jc w:val="left"/>
              <w:rPr>
                <w:color w:val="000000"/>
                <w:sz w:val="20"/>
                <w:szCs w:val="20"/>
              </w:rPr>
            </w:pPr>
            <w:r w:rsidRPr="00666914">
              <w:rPr>
                <w:color w:val="000000"/>
                <w:sz w:val="20"/>
                <w:szCs w:val="20"/>
              </w:rPr>
              <w:t> </w:t>
            </w:r>
          </w:p>
        </w:tc>
        <w:tc>
          <w:tcPr>
            <w:tcW w:w="864" w:type="dxa"/>
            <w:tcBorders>
              <w:top w:val="nil"/>
              <w:left w:val="nil"/>
              <w:bottom w:val="single" w:sz="4" w:space="0" w:color="000000"/>
              <w:right w:val="nil"/>
            </w:tcBorders>
            <w:shd w:val="clear" w:color="auto" w:fill="auto"/>
            <w:vAlign w:val="center"/>
          </w:tcPr>
          <w:p w14:paraId="708B92C0" w14:textId="77777777" w:rsidR="00386F6D" w:rsidRPr="00666914" w:rsidRDefault="00386F6D">
            <w:pPr>
              <w:spacing w:after="0"/>
              <w:jc w:val="left"/>
              <w:rPr>
                <w:color w:val="000000"/>
                <w:sz w:val="20"/>
                <w:szCs w:val="20"/>
              </w:rPr>
            </w:pPr>
            <w:r w:rsidRPr="00666914">
              <w:rPr>
                <w:color w:val="000000"/>
                <w:sz w:val="20"/>
                <w:szCs w:val="20"/>
              </w:rPr>
              <w:t> </w:t>
            </w:r>
          </w:p>
        </w:tc>
        <w:tc>
          <w:tcPr>
            <w:tcW w:w="582" w:type="dxa"/>
            <w:tcBorders>
              <w:top w:val="nil"/>
              <w:left w:val="nil"/>
              <w:bottom w:val="single" w:sz="4" w:space="0" w:color="000000"/>
              <w:right w:val="nil"/>
            </w:tcBorders>
            <w:shd w:val="clear" w:color="auto" w:fill="auto"/>
            <w:vAlign w:val="center"/>
          </w:tcPr>
          <w:p w14:paraId="3589CA42" w14:textId="77777777" w:rsidR="00386F6D" w:rsidRPr="00666914" w:rsidRDefault="00386F6D">
            <w:pPr>
              <w:spacing w:after="0"/>
              <w:jc w:val="left"/>
              <w:rPr>
                <w:b/>
                <w:color w:val="000000"/>
                <w:sz w:val="20"/>
                <w:szCs w:val="20"/>
              </w:rPr>
            </w:pPr>
            <w:r w:rsidRPr="00666914">
              <w:rPr>
                <w:b/>
                <w:color w:val="000000"/>
                <w:sz w:val="20"/>
                <w:szCs w:val="20"/>
              </w:rPr>
              <w:t xml:space="preserve">SK </w:t>
            </w:r>
          </w:p>
        </w:tc>
        <w:tc>
          <w:tcPr>
            <w:tcW w:w="1482" w:type="dxa"/>
            <w:tcBorders>
              <w:top w:val="nil"/>
              <w:left w:val="nil"/>
              <w:bottom w:val="single" w:sz="4" w:space="0" w:color="000000"/>
              <w:right w:val="nil"/>
            </w:tcBorders>
            <w:shd w:val="clear" w:color="auto" w:fill="auto"/>
            <w:vAlign w:val="center"/>
          </w:tcPr>
          <w:p w14:paraId="02211F38" w14:textId="77777777" w:rsidR="00386F6D" w:rsidRPr="00666914" w:rsidRDefault="00386F6D">
            <w:pPr>
              <w:spacing w:after="0"/>
              <w:jc w:val="center"/>
              <w:rPr>
                <w:b/>
                <w:color w:val="000000"/>
                <w:sz w:val="20"/>
                <w:szCs w:val="20"/>
              </w:rPr>
            </w:pPr>
            <w:r w:rsidRPr="00666914">
              <w:rPr>
                <w:b/>
                <w:color w:val="000000"/>
                <w:sz w:val="20"/>
                <w:szCs w:val="20"/>
              </w:rPr>
              <w:t>19</w:t>
            </w:r>
          </w:p>
        </w:tc>
        <w:tc>
          <w:tcPr>
            <w:tcW w:w="1482" w:type="dxa"/>
            <w:tcBorders>
              <w:top w:val="nil"/>
              <w:left w:val="nil"/>
              <w:bottom w:val="single" w:sz="4" w:space="0" w:color="000000"/>
              <w:right w:val="nil"/>
            </w:tcBorders>
            <w:shd w:val="clear" w:color="auto" w:fill="auto"/>
            <w:vAlign w:val="center"/>
          </w:tcPr>
          <w:p w14:paraId="4BB767A2" w14:textId="77777777" w:rsidR="00386F6D" w:rsidRPr="00666914" w:rsidRDefault="00386F6D">
            <w:pPr>
              <w:spacing w:after="0"/>
              <w:jc w:val="center"/>
              <w:rPr>
                <w:b/>
                <w:color w:val="000000"/>
                <w:sz w:val="20"/>
                <w:szCs w:val="20"/>
              </w:rPr>
            </w:pPr>
            <w:r w:rsidRPr="00666914">
              <w:rPr>
                <w:b/>
                <w:color w:val="000000"/>
                <w:sz w:val="20"/>
                <w:szCs w:val="20"/>
              </w:rPr>
              <w:t>18</w:t>
            </w:r>
          </w:p>
        </w:tc>
        <w:tc>
          <w:tcPr>
            <w:tcW w:w="1481" w:type="dxa"/>
            <w:tcBorders>
              <w:top w:val="nil"/>
              <w:left w:val="nil"/>
              <w:bottom w:val="single" w:sz="4" w:space="0" w:color="000000"/>
              <w:right w:val="nil"/>
            </w:tcBorders>
            <w:shd w:val="clear" w:color="auto" w:fill="auto"/>
            <w:vAlign w:val="center"/>
          </w:tcPr>
          <w:p w14:paraId="560F85D9" w14:textId="77777777" w:rsidR="00386F6D" w:rsidRPr="00666914" w:rsidRDefault="00386F6D">
            <w:pPr>
              <w:spacing w:after="0"/>
              <w:jc w:val="center"/>
              <w:rPr>
                <w:b/>
                <w:color w:val="000000"/>
                <w:sz w:val="20"/>
                <w:szCs w:val="20"/>
              </w:rPr>
            </w:pPr>
            <w:r w:rsidRPr="00666914">
              <w:rPr>
                <w:b/>
                <w:color w:val="000000"/>
                <w:sz w:val="20"/>
                <w:szCs w:val="20"/>
              </w:rPr>
              <w:t>18</w:t>
            </w:r>
          </w:p>
        </w:tc>
      </w:tr>
      <w:tr w:rsidR="00386F6D" w:rsidRPr="00666914" w14:paraId="2FD72BDC" w14:textId="77777777">
        <w:trPr>
          <w:trHeight w:val="300"/>
        </w:trPr>
        <w:tc>
          <w:tcPr>
            <w:tcW w:w="2729" w:type="dxa"/>
            <w:gridSpan w:val="3"/>
            <w:tcBorders>
              <w:top w:val="nil"/>
              <w:left w:val="nil"/>
              <w:bottom w:val="nil"/>
              <w:right w:val="nil"/>
            </w:tcBorders>
            <w:shd w:val="clear" w:color="auto" w:fill="auto"/>
            <w:vAlign w:val="center"/>
          </w:tcPr>
          <w:p w14:paraId="7A381CAB" w14:textId="77777777" w:rsidR="00386F6D" w:rsidRPr="00666914" w:rsidRDefault="00386F6D">
            <w:pPr>
              <w:spacing w:after="0"/>
              <w:jc w:val="left"/>
              <w:rPr>
                <w:b/>
                <w:color w:val="000000"/>
                <w:sz w:val="20"/>
                <w:szCs w:val="20"/>
              </w:rPr>
            </w:pPr>
            <w:r w:rsidRPr="00666914">
              <w:rPr>
                <w:b/>
                <w:color w:val="000000"/>
                <w:sz w:val="20"/>
                <w:szCs w:val="20"/>
              </w:rPr>
              <w:t>DESI 3 -</w:t>
            </w:r>
            <w:r w:rsidRPr="00666914">
              <w:rPr>
                <w:color w:val="000000"/>
                <w:sz w:val="20"/>
                <w:szCs w:val="20"/>
              </w:rPr>
              <w:t xml:space="preserve"> Používanie internetu</w:t>
            </w:r>
          </w:p>
        </w:tc>
        <w:tc>
          <w:tcPr>
            <w:tcW w:w="452" w:type="dxa"/>
            <w:tcBorders>
              <w:top w:val="nil"/>
              <w:left w:val="nil"/>
              <w:bottom w:val="nil"/>
              <w:right w:val="nil"/>
            </w:tcBorders>
            <w:shd w:val="clear" w:color="auto" w:fill="auto"/>
            <w:vAlign w:val="bottom"/>
          </w:tcPr>
          <w:p w14:paraId="55B0CAAD" w14:textId="77777777" w:rsidR="00386F6D" w:rsidRPr="00666914" w:rsidRDefault="00386F6D">
            <w:pPr>
              <w:spacing w:after="0"/>
              <w:jc w:val="left"/>
              <w:rPr>
                <w:b/>
                <w:color w:val="000000"/>
                <w:sz w:val="20"/>
                <w:szCs w:val="20"/>
              </w:rPr>
            </w:pPr>
          </w:p>
        </w:tc>
        <w:tc>
          <w:tcPr>
            <w:tcW w:w="864" w:type="dxa"/>
            <w:tcBorders>
              <w:top w:val="nil"/>
              <w:left w:val="nil"/>
              <w:bottom w:val="nil"/>
              <w:right w:val="nil"/>
            </w:tcBorders>
            <w:shd w:val="clear" w:color="auto" w:fill="auto"/>
            <w:vAlign w:val="bottom"/>
          </w:tcPr>
          <w:p w14:paraId="7A5C20BE" w14:textId="77777777" w:rsidR="00386F6D" w:rsidRPr="00666914" w:rsidRDefault="00386F6D">
            <w:pPr>
              <w:spacing w:after="0"/>
              <w:jc w:val="left"/>
              <w:rPr>
                <w:rFonts w:ascii="Times New Roman" w:eastAsia="Times New Roman" w:hAnsi="Times New Roman"/>
                <w:sz w:val="20"/>
                <w:szCs w:val="20"/>
              </w:rPr>
            </w:pPr>
          </w:p>
        </w:tc>
        <w:tc>
          <w:tcPr>
            <w:tcW w:w="582" w:type="dxa"/>
            <w:tcBorders>
              <w:top w:val="nil"/>
              <w:left w:val="nil"/>
              <w:bottom w:val="nil"/>
              <w:right w:val="nil"/>
            </w:tcBorders>
            <w:shd w:val="clear" w:color="auto" w:fill="auto"/>
            <w:vAlign w:val="center"/>
          </w:tcPr>
          <w:p w14:paraId="3B610752" w14:textId="77777777" w:rsidR="00386F6D" w:rsidRPr="00666914" w:rsidRDefault="00386F6D">
            <w:pPr>
              <w:spacing w:after="0"/>
              <w:jc w:val="left"/>
              <w:rPr>
                <w:b/>
                <w:color w:val="000000"/>
                <w:sz w:val="20"/>
                <w:szCs w:val="20"/>
              </w:rPr>
            </w:pPr>
            <w:r w:rsidRPr="00666914">
              <w:rPr>
                <w:b/>
                <w:color w:val="000000"/>
                <w:sz w:val="20"/>
                <w:szCs w:val="20"/>
              </w:rPr>
              <w:t xml:space="preserve">SK </w:t>
            </w:r>
          </w:p>
        </w:tc>
        <w:tc>
          <w:tcPr>
            <w:tcW w:w="1482" w:type="dxa"/>
            <w:tcBorders>
              <w:top w:val="nil"/>
              <w:left w:val="nil"/>
              <w:bottom w:val="nil"/>
              <w:right w:val="nil"/>
            </w:tcBorders>
            <w:shd w:val="clear" w:color="auto" w:fill="auto"/>
            <w:vAlign w:val="center"/>
          </w:tcPr>
          <w:p w14:paraId="146296A7" w14:textId="77777777" w:rsidR="00386F6D" w:rsidRPr="00666914" w:rsidRDefault="00386F6D">
            <w:pPr>
              <w:spacing w:after="0"/>
              <w:jc w:val="center"/>
              <w:rPr>
                <w:color w:val="000000"/>
                <w:sz w:val="20"/>
                <w:szCs w:val="20"/>
              </w:rPr>
            </w:pPr>
            <w:r w:rsidRPr="00666914">
              <w:rPr>
                <w:color w:val="000000"/>
                <w:sz w:val="20"/>
                <w:szCs w:val="20"/>
              </w:rPr>
              <w:t>43,5</w:t>
            </w:r>
          </w:p>
        </w:tc>
        <w:tc>
          <w:tcPr>
            <w:tcW w:w="1482" w:type="dxa"/>
            <w:tcBorders>
              <w:top w:val="nil"/>
              <w:left w:val="nil"/>
              <w:bottom w:val="nil"/>
              <w:right w:val="nil"/>
            </w:tcBorders>
            <w:shd w:val="clear" w:color="auto" w:fill="auto"/>
            <w:vAlign w:val="center"/>
          </w:tcPr>
          <w:p w14:paraId="253A518C" w14:textId="77777777" w:rsidR="00386F6D" w:rsidRPr="00666914" w:rsidRDefault="00386F6D">
            <w:pPr>
              <w:spacing w:after="0"/>
              <w:jc w:val="center"/>
              <w:rPr>
                <w:color w:val="000000"/>
                <w:sz w:val="20"/>
                <w:szCs w:val="20"/>
              </w:rPr>
            </w:pPr>
            <w:r w:rsidRPr="00666914">
              <w:rPr>
                <w:color w:val="000000"/>
                <w:sz w:val="20"/>
                <w:szCs w:val="20"/>
              </w:rPr>
              <w:t>45,4</w:t>
            </w:r>
          </w:p>
        </w:tc>
        <w:tc>
          <w:tcPr>
            <w:tcW w:w="1481" w:type="dxa"/>
            <w:tcBorders>
              <w:top w:val="nil"/>
              <w:left w:val="nil"/>
              <w:bottom w:val="nil"/>
              <w:right w:val="nil"/>
            </w:tcBorders>
            <w:shd w:val="clear" w:color="auto" w:fill="auto"/>
            <w:vAlign w:val="center"/>
          </w:tcPr>
          <w:p w14:paraId="49572946" w14:textId="77777777" w:rsidR="00386F6D" w:rsidRPr="00666914" w:rsidRDefault="00386F6D">
            <w:pPr>
              <w:spacing w:after="0"/>
              <w:jc w:val="center"/>
              <w:rPr>
                <w:color w:val="000000"/>
                <w:sz w:val="20"/>
                <w:szCs w:val="20"/>
              </w:rPr>
            </w:pPr>
            <w:r w:rsidRPr="00666914">
              <w:rPr>
                <w:color w:val="000000"/>
                <w:sz w:val="20"/>
                <w:szCs w:val="20"/>
              </w:rPr>
              <w:t>47,9</w:t>
            </w:r>
          </w:p>
        </w:tc>
      </w:tr>
      <w:tr w:rsidR="00386F6D" w:rsidRPr="00666914" w14:paraId="662CFDEB" w14:textId="77777777">
        <w:trPr>
          <w:trHeight w:val="300"/>
        </w:trPr>
        <w:tc>
          <w:tcPr>
            <w:tcW w:w="896" w:type="dxa"/>
            <w:tcBorders>
              <w:top w:val="nil"/>
              <w:left w:val="nil"/>
              <w:bottom w:val="nil"/>
              <w:right w:val="nil"/>
            </w:tcBorders>
            <w:shd w:val="clear" w:color="auto" w:fill="auto"/>
            <w:vAlign w:val="bottom"/>
          </w:tcPr>
          <w:p w14:paraId="6CBA710F" w14:textId="77777777" w:rsidR="00386F6D" w:rsidRPr="00666914" w:rsidRDefault="00386F6D">
            <w:pPr>
              <w:spacing w:after="0"/>
              <w:jc w:val="center"/>
              <w:rPr>
                <w:color w:val="000000"/>
                <w:sz w:val="20"/>
                <w:szCs w:val="20"/>
              </w:rPr>
            </w:pPr>
          </w:p>
        </w:tc>
        <w:tc>
          <w:tcPr>
            <w:tcW w:w="1089" w:type="dxa"/>
            <w:tcBorders>
              <w:top w:val="nil"/>
              <w:left w:val="nil"/>
              <w:bottom w:val="nil"/>
              <w:right w:val="nil"/>
            </w:tcBorders>
            <w:shd w:val="clear" w:color="auto" w:fill="auto"/>
            <w:vAlign w:val="bottom"/>
          </w:tcPr>
          <w:p w14:paraId="479039FF" w14:textId="77777777" w:rsidR="00386F6D" w:rsidRPr="00666914" w:rsidRDefault="00386F6D">
            <w:pPr>
              <w:spacing w:after="0"/>
              <w:jc w:val="left"/>
              <w:rPr>
                <w:rFonts w:ascii="Times New Roman" w:eastAsia="Times New Roman" w:hAnsi="Times New Roman"/>
                <w:sz w:val="20"/>
                <w:szCs w:val="20"/>
              </w:rPr>
            </w:pPr>
          </w:p>
        </w:tc>
        <w:tc>
          <w:tcPr>
            <w:tcW w:w="744" w:type="dxa"/>
            <w:tcBorders>
              <w:top w:val="nil"/>
              <w:left w:val="nil"/>
              <w:bottom w:val="nil"/>
              <w:right w:val="nil"/>
            </w:tcBorders>
            <w:shd w:val="clear" w:color="auto" w:fill="auto"/>
            <w:vAlign w:val="bottom"/>
          </w:tcPr>
          <w:p w14:paraId="030DB4B2" w14:textId="77777777" w:rsidR="00386F6D" w:rsidRPr="00666914" w:rsidRDefault="00386F6D">
            <w:pPr>
              <w:spacing w:after="0"/>
              <w:jc w:val="left"/>
              <w:rPr>
                <w:rFonts w:ascii="Times New Roman" w:eastAsia="Times New Roman" w:hAnsi="Times New Roman"/>
                <w:sz w:val="20"/>
                <w:szCs w:val="20"/>
              </w:rPr>
            </w:pPr>
          </w:p>
        </w:tc>
        <w:tc>
          <w:tcPr>
            <w:tcW w:w="452" w:type="dxa"/>
            <w:tcBorders>
              <w:top w:val="nil"/>
              <w:left w:val="nil"/>
              <w:bottom w:val="nil"/>
              <w:right w:val="nil"/>
            </w:tcBorders>
            <w:shd w:val="clear" w:color="auto" w:fill="auto"/>
            <w:vAlign w:val="bottom"/>
          </w:tcPr>
          <w:p w14:paraId="3FD9C7F6" w14:textId="77777777" w:rsidR="00386F6D" w:rsidRPr="00666914" w:rsidRDefault="00386F6D">
            <w:pPr>
              <w:spacing w:after="0"/>
              <w:jc w:val="left"/>
              <w:rPr>
                <w:rFonts w:ascii="Times New Roman" w:eastAsia="Times New Roman" w:hAnsi="Times New Roman"/>
                <w:sz w:val="20"/>
                <w:szCs w:val="20"/>
              </w:rPr>
            </w:pPr>
          </w:p>
        </w:tc>
        <w:tc>
          <w:tcPr>
            <w:tcW w:w="864" w:type="dxa"/>
            <w:tcBorders>
              <w:top w:val="nil"/>
              <w:left w:val="nil"/>
              <w:bottom w:val="nil"/>
              <w:right w:val="nil"/>
            </w:tcBorders>
            <w:shd w:val="clear" w:color="auto" w:fill="auto"/>
            <w:vAlign w:val="bottom"/>
          </w:tcPr>
          <w:p w14:paraId="20D90429" w14:textId="77777777" w:rsidR="00386F6D" w:rsidRPr="00666914" w:rsidRDefault="00386F6D">
            <w:pPr>
              <w:spacing w:after="0"/>
              <w:jc w:val="left"/>
              <w:rPr>
                <w:rFonts w:ascii="Times New Roman" w:eastAsia="Times New Roman" w:hAnsi="Times New Roman"/>
                <w:sz w:val="20"/>
                <w:szCs w:val="20"/>
              </w:rPr>
            </w:pPr>
          </w:p>
        </w:tc>
        <w:tc>
          <w:tcPr>
            <w:tcW w:w="582" w:type="dxa"/>
            <w:tcBorders>
              <w:top w:val="nil"/>
              <w:left w:val="nil"/>
              <w:bottom w:val="nil"/>
              <w:right w:val="nil"/>
            </w:tcBorders>
            <w:shd w:val="clear" w:color="auto" w:fill="auto"/>
            <w:vAlign w:val="center"/>
          </w:tcPr>
          <w:p w14:paraId="40815091" w14:textId="77777777" w:rsidR="00386F6D" w:rsidRPr="00666914" w:rsidRDefault="00386F6D">
            <w:pPr>
              <w:spacing w:after="0"/>
              <w:jc w:val="left"/>
              <w:rPr>
                <w:b/>
                <w:color w:val="000000"/>
                <w:sz w:val="20"/>
                <w:szCs w:val="20"/>
              </w:rPr>
            </w:pPr>
            <w:r w:rsidRPr="00666914">
              <w:rPr>
                <w:b/>
                <w:color w:val="000000"/>
                <w:sz w:val="20"/>
                <w:szCs w:val="20"/>
              </w:rPr>
              <w:t xml:space="preserve">EU </w:t>
            </w:r>
          </w:p>
        </w:tc>
        <w:tc>
          <w:tcPr>
            <w:tcW w:w="1482" w:type="dxa"/>
            <w:tcBorders>
              <w:top w:val="nil"/>
              <w:left w:val="nil"/>
              <w:bottom w:val="nil"/>
              <w:right w:val="nil"/>
            </w:tcBorders>
            <w:shd w:val="clear" w:color="auto" w:fill="auto"/>
            <w:vAlign w:val="center"/>
          </w:tcPr>
          <w:p w14:paraId="3BFCA2F1" w14:textId="77777777" w:rsidR="00386F6D" w:rsidRPr="00666914" w:rsidRDefault="00386F6D">
            <w:pPr>
              <w:spacing w:after="0"/>
              <w:jc w:val="center"/>
              <w:rPr>
                <w:color w:val="000000"/>
                <w:sz w:val="20"/>
                <w:szCs w:val="20"/>
              </w:rPr>
            </w:pPr>
            <w:r w:rsidRPr="00666914">
              <w:rPr>
                <w:color w:val="000000"/>
                <w:sz w:val="20"/>
                <w:szCs w:val="20"/>
              </w:rPr>
              <w:t>47,8</w:t>
            </w:r>
          </w:p>
        </w:tc>
        <w:tc>
          <w:tcPr>
            <w:tcW w:w="1482" w:type="dxa"/>
            <w:tcBorders>
              <w:top w:val="nil"/>
              <w:left w:val="nil"/>
              <w:bottom w:val="nil"/>
              <w:right w:val="nil"/>
            </w:tcBorders>
            <w:shd w:val="clear" w:color="auto" w:fill="auto"/>
            <w:vAlign w:val="center"/>
          </w:tcPr>
          <w:p w14:paraId="6603D057" w14:textId="77777777" w:rsidR="00386F6D" w:rsidRPr="00666914" w:rsidRDefault="00386F6D">
            <w:pPr>
              <w:spacing w:after="0"/>
              <w:jc w:val="center"/>
              <w:rPr>
                <w:color w:val="000000"/>
                <w:sz w:val="20"/>
                <w:szCs w:val="20"/>
              </w:rPr>
            </w:pPr>
            <w:r w:rsidRPr="00666914">
              <w:rPr>
                <w:color w:val="000000"/>
                <w:sz w:val="20"/>
                <w:szCs w:val="20"/>
              </w:rPr>
              <w:t>50,7</w:t>
            </w:r>
          </w:p>
        </w:tc>
        <w:tc>
          <w:tcPr>
            <w:tcW w:w="1481" w:type="dxa"/>
            <w:tcBorders>
              <w:top w:val="nil"/>
              <w:left w:val="nil"/>
              <w:bottom w:val="nil"/>
              <w:right w:val="nil"/>
            </w:tcBorders>
            <w:shd w:val="clear" w:color="auto" w:fill="auto"/>
            <w:vAlign w:val="center"/>
          </w:tcPr>
          <w:p w14:paraId="3B5C7CD0" w14:textId="77777777" w:rsidR="00386F6D" w:rsidRPr="00666914" w:rsidRDefault="00386F6D">
            <w:pPr>
              <w:spacing w:after="0"/>
              <w:jc w:val="center"/>
              <w:rPr>
                <w:color w:val="000000"/>
                <w:sz w:val="20"/>
                <w:szCs w:val="20"/>
              </w:rPr>
            </w:pPr>
            <w:r w:rsidRPr="00666914">
              <w:rPr>
                <w:color w:val="000000"/>
                <w:sz w:val="20"/>
                <w:szCs w:val="20"/>
              </w:rPr>
              <w:t>53,4</w:t>
            </w:r>
          </w:p>
        </w:tc>
      </w:tr>
      <w:tr w:rsidR="00386F6D" w:rsidRPr="00666914" w14:paraId="2D36BCFB" w14:textId="77777777">
        <w:trPr>
          <w:trHeight w:val="255"/>
        </w:trPr>
        <w:tc>
          <w:tcPr>
            <w:tcW w:w="1985" w:type="dxa"/>
            <w:gridSpan w:val="2"/>
            <w:tcBorders>
              <w:top w:val="nil"/>
              <w:left w:val="nil"/>
              <w:bottom w:val="single" w:sz="4" w:space="0" w:color="000000"/>
              <w:right w:val="nil"/>
            </w:tcBorders>
            <w:shd w:val="clear" w:color="auto" w:fill="auto"/>
            <w:vAlign w:val="center"/>
          </w:tcPr>
          <w:p w14:paraId="67160FB6" w14:textId="77777777" w:rsidR="00386F6D" w:rsidRPr="00666914" w:rsidRDefault="00386F6D">
            <w:pPr>
              <w:spacing w:after="0"/>
              <w:jc w:val="left"/>
              <w:rPr>
                <w:b/>
                <w:color w:val="000000"/>
                <w:sz w:val="20"/>
                <w:szCs w:val="20"/>
              </w:rPr>
            </w:pPr>
            <w:r w:rsidRPr="00666914">
              <w:rPr>
                <w:b/>
                <w:color w:val="000000"/>
                <w:sz w:val="20"/>
                <w:szCs w:val="20"/>
              </w:rPr>
              <w:t xml:space="preserve">DESI 3 – pozícia </w:t>
            </w:r>
          </w:p>
        </w:tc>
        <w:tc>
          <w:tcPr>
            <w:tcW w:w="744" w:type="dxa"/>
            <w:tcBorders>
              <w:top w:val="nil"/>
              <w:left w:val="nil"/>
              <w:bottom w:val="single" w:sz="4" w:space="0" w:color="000000"/>
              <w:right w:val="nil"/>
            </w:tcBorders>
            <w:shd w:val="clear" w:color="auto" w:fill="auto"/>
            <w:vAlign w:val="center"/>
          </w:tcPr>
          <w:p w14:paraId="5465B62C" w14:textId="77777777" w:rsidR="00386F6D" w:rsidRPr="00666914" w:rsidRDefault="00386F6D">
            <w:pPr>
              <w:spacing w:after="0"/>
              <w:jc w:val="left"/>
              <w:rPr>
                <w:color w:val="000000"/>
                <w:sz w:val="20"/>
                <w:szCs w:val="20"/>
              </w:rPr>
            </w:pPr>
            <w:r w:rsidRPr="00666914">
              <w:rPr>
                <w:color w:val="000000"/>
                <w:sz w:val="20"/>
                <w:szCs w:val="20"/>
              </w:rPr>
              <w:t> </w:t>
            </w:r>
          </w:p>
        </w:tc>
        <w:tc>
          <w:tcPr>
            <w:tcW w:w="452" w:type="dxa"/>
            <w:tcBorders>
              <w:top w:val="nil"/>
              <w:left w:val="nil"/>
              <w:bottom w:val="single" w:sz="4" w:space="0" w:color="000000"/>
              <w:right w:val="nil"/>
            </w:tcBorders>
            <w:shd w:val="clear" w:color="auto" w:fill="auto"/>
            <w:vAlign w:val="center"/>
          </w:tcPr>
          <w:p w14:paraId="5D0A95E4" w14:textId="77777777" w:rsidR="00386F6D" w:rsidRPr="00666914" w:rsidRDefault="00386F6D">
            <w:pPr>
              <w:spacing w:after="0"/>
              <w:jc w:val="left"/>
              <w:rPr>
                <w:color w:val="000000"/>
                <w:sz w:val="20"/>
                <w:szCs w:val="20"/>
              </w:rPr>
            </w:pPr>
            <w:r w:rsidRPr="00666914">
              <w:rPr>
                <w:color w:val="000000"/>
                <w:sz w:val="20"/>
                <w:szCs w:val="20"/>
              </w:rPr>
              <w:t> </w:t>
            </w:r>
          </w:p>
        </w:tc>
        <w:tc>
          <w:tcPr>
            <w:tcW w:w="864" w:type="dxa"/>
            <w:tcBorders>
              <w:top w:val="nil"/>
              <w:left w:val="nil"/>
              <w:bottom w:val="single" w:sz="4" w:space="0" w:color="000000"/>
              <w:right w:val="nil"/>
            </w:tcBorders>
            <w:shd w:val="clear" w:color="auto" w:fill="auto"/>
            <w:vAlign w:val="center"/>
          </w:tcPr>
          <w:p w14:paraId="7A2538D8" w14:textId="77777777" w:rsidR="00386F6D" w:rsidRPr="00666914" w:rsidRDefault="00386F6D">
            <w:pPr>
              <w:spacing w:after="0"/>
              <w:jc w:val="left"/>
              <w:rPr>
                <w:color w:val="000000"/>
                <w:sz w:val="20"/>
                <w:szCs w:val="20"/>
              </w:rPr>
            </w:pPr>
            <w:r w:rsidRPr="00666914">
              <w:rPr>
                <w:color w:val="000000"/>
                <w:sz w:val="20"/>
                <w:szCs w:val="20"/>
              </w:rPr>
              <w:t> </w:t>
            </w:r>
          </w:p>
        </w:tc>
        <w:tc>
          <w:tcPr>
            <w:tcW w:w="582" w:type="dxa"/>
            <w:tcBorders>
              <w:top w:val="nil"/>
              <w:left w:val="nil"/>
              <w:bottom w:val="single" w:sz="4" w:space="0" w:color="000000"/>
              <w:right w:val="nil"/>
            </w:tcBorders>
            <w:shd w:val="clear" w:color="auto" w:fill="auto"/>
            <w:vAlign w:val="center"/>
          </w:tcPr>
          <w:p w14:paraId="0102C1B1" w14:textId="77777777" w:rsidR="00386F6D" w:rsidRPr="00666914" w:rsidRDefault="00386F6D">
            <w:pPr>
              <w:spacing w:after="0"/>
              <w:jc w:val="left"/>
              <w:rPr>
                <w:b/>
                <w:color w:val="000000"/>
                <w:sz w:val="20"/>
                <w:szCs w:val="20"/>
              </w:rPr>
            </w:pPr>
            <w:r w:rsidRPr="00666914">
              <w:rPr>
                <w:b/>
                <w:color w:val="000000"/>
                <w:sz w:val="20"/>
                <w:szCs w:val="20"/>
              </w:rPr>
              <w:t xml:space="preserve">SK </w:t>
            </w:r>
          </w:p>
        </w:tc>
        <w:tc>
          <w:tcPr>
            <w:tcW w:w="1482" w:type="dxa"/>
            <w:tcBorders>
              <w:top w:val="nil"/>
              <w:left w:val="nil"/>
              <w:bottom w:val="single" w:sz="4" w:space="0" w:color="000000"/>
              <w:right w:val="nil"/>
            </w:tcBorders>
            <w:shd w:val="clear" w:color="auto" w:fill="auto"/>
            <w:vAlign w:val="center"/>
          </w:tcPr>
          <w:p w14:paraId="61CD434B" w14:textId="77777777" w:rsidR="00386F6D" w:rsidRPr="00666914" w:rsidRDefault="00386F6D">
            <w:pPr>
              <w:spacing w:after="0"/>
              <w:jc w:val="center"/>
              <w:rPr>
                <w:b/>
                <w:color w:val="000000"/>
                <w:sz w:val="20"/>
                <w:szCs w:val="20"/>
              </w:rPr>
            </w:pPr>
            <w:r w:rsidRPr="00666914">
              <w:rPr>
                <w:b/>
                <w:color w:val="000000"/>
                <w:sz w:val="20"/>
                <w:szCs w:val="20"/>
              </w:rPr>
              <w:t>19</w:t>
            </w:r>
          </w:p>
        </w:tc>
        <w:tc>
          <w:tcPr>
            <w:tcW w:w="1482" w:type="dxa"/>
            <w:tcBorders>
              <w:top w:val="nil"/>
              <w:left w:val="nil"/>
              <w:bottom w:val="single" w:sz="4" w:space="0" w:color="000000"/>
              <w:right w:val="nil"/>
            </w:tcBorders>
            <w:shd w:val="clear" w:color="auto" w:fill="auto"/>
            <w:vAlign w:val="center"/>
          </w:tcPr>
          <w:p w14:paraId="1A9B8398" w14:textId="77777777" w:rsidR="00386F6D" w:rsidRPr="00666914" w:rsidRDefault="00386F6D">
            <w:pPr>
              <w:spacing w:after="0"/>
              <w:jc w:val="center"/>
              <w:rPr>
                <w:b/>
                <w:color w:val="000000"/>
                <w:sz w:val="20"/>
                <w:szCs w:val="20"/>
              </w:rPr>
            </w:pPr>
            <w:r w:rsidRPr="00666914">
              <w:rPr>
                <w:b/>
                <w:color w:val="000000"/>
                <w:sz w:val="20"/>
                <w:szCs w:val="20"/>
              </w:rPr>
              <w:t>19</w:t>
            </w:r>
          </w:p>
        </w:tc>
        <w:tc>
          <w:tcPr>
            <w:tcW w:w="1481" w:type="dxa"/>
            <w:tcBorders>
              <w:top w:val="nil"/>
              <w:left w:val="nil"/>
              <w:bottom w:val="single" w:sz="4" w:space="0" w:color="000000"/>
              <w:right w:val="nil"/>
            </w:tcBorders>
            <w:shd w:val="clear" w:color="auto" w:fill="auto"/>
            <w:vAlign w:val="center"/>
          </w:tcPr>
          <w:p w14:paraId="5B141A03" w14:textId="77777777" w:rsidR="00386F6D" w:rsidRPr="00666914" w:rsidRDefault="00386F6D">
            <w:pPr>
              <w:spacing w:after="0"/>
              <w:jc w:val="center"/>
              <w:rPr>
                <w:b/>
                <w:color w:val="000000"/>
                <w:sz w:val="20"/>
                <w:szCs w:val="20"/>
              </w:rPr>
            </w:pPr>
            <w:r w:rsidRPr="00666914">
              <w:rPr>
                <w:b/>
                <w:color w:val="000000"/>
                <w:sz w:val="20"/>
                <w:szCs w:val="20"/>
              </w:rPr>
              <w:t>20</w:t>
            </w:r>
          </w:p>
        </w:tc>
      </w:tr>
      <w:tr w:rsidR="00386F6D" w:rsidRPr="00666914" w14:paraId="6AD78978" w14:textId="77777777">
        <w:trPr>
          <w:trHeight w:val="255"/>
        </w:trPr>
        <w:tc>
          <w:tcPr>
            <w:tcW w:w="4045" w:type="dxa"/>
            <w:gridSpan w:val="5"/>
            <w:tcBorders>
              <w:top w:val="nil"/>
              <w:left w:val="nil"/>
              <w:bottom w:val="nil"/>
              <w:right w:val="nil"/>
            </w:tcBorders>
            <w:shd w:val="clear" w:color="auto" w:fill="auto"/>
            <w:vAlign w:val="center"/>
          </w:tcPr>
          <w:p w14:paraId="27FCC57F" w14:textId="77777777" w:rsidR="00386F6D" w:rsidRPr="00666914" w:rsidRDefault="00386F6D">
            <w:pPr>
              <w:spacing w:after="0"/>
              <w:jc w:val="left"/>
              <w:rPr>
                <w:b/>
                <w:color w:val="000000"/>
                <w:sz w:val="20"/>
                <w:szCs w:val="20"/>
              </w:rPr>
            </w:pPr>
            <w:r w:rsidRPr="00666914">
              <w:rPr>
                <w:b/>
                <w:color w:val="000000"/>
                <w:sz w:val="20"/>
                <w:szCs w:val="20"/>
              </w:rPr>
              <w:t xml:space="preserve">DESI 4 - </w:t>
            </w:r>
            <w:r w:rsidRPr="00666914">
              <w:rPr>
                <w:color w:val="000000"/>
                <w:sz w:val="20"/>
                <w:szCs w:val="20"/>
              </w:rPr>
              <w:t>Integrácia digitálnych technológií v obchode</w:t>
            </w:r>
          </w:p>
        </w:tc>
        <w:tc>
          <w:tcPr>
            <w:tcW w:w="582" w:type="dxa"/>
            <w:tcBorders>
              <w:top w:val="nil"/>
              <w:left w:val="nil"/>
              <w:bottom w:val="nil"/>
              <w:right w:val="nil"/>
            </w:tcBorders>
            <w:shd w:val="clear" w:color="auto" w:fill="auto"/>
            <w:vAlign w:val="center"/>
          </w:tcPr>
          <w:p w14:paraId="27316A96" w14:textId="77777777" w:rsidR="00386F6D" w:rsidRPr="00666914" w:rsidRDefault="00386F6D">
            <w:pPr>
              <w:spacing w:after="0"/>
              <w:jc w:val="left"/>
              <w:rPr>
                <w:b/>
                <w:color w:val="000000"/>
                <w:sz w:val="20"/>
                <w:szCs w:val="20"/>
              </w:rPr>
            </w:pPr>
            <w:r w:rsidRPr="00666914">
              <w:rPr>
                <w:b/>
                <w:color w:val="000000"/>
                <w:sz w:val="20"/>
                <w:szCs w:val="20"/>
              </w:rPr>
              <w:t xml:space="preserve">SK </w:t>
            </w:r>
          </w:p>
        </w:tc>
        <w:tc>
          <w:tcPr>
            <w:tcW w:w="1482" w:type="dxa"/>
            <w:tcBorders>
              <w:top w:val="nil"/>
              <w:left w:val="nil"/>
              <w:bottom w:val="nil"/>
              <w:right w:val="nil"/>
            </w:tcBorders>
            <w:shd w:val="clear" w:color="auto" w:fill="auto"/>
            <w:vAlign w:val="center"/>
          </w:tcPr>
          <w:p w14:paraId="2DD2C0FA" w14:textId="77777777" w:rsidR="00386F6D" w:rsidRPr="00666914" w:rsidRDefault="00386F6D">
            <w:pPr>
              <w:spacing w:after="0"/>
              <w:jc w:val="center"/>
              <w:rPr>
                <w:color w:val="000000"/>
                <w:sz w:val="20"/>
                <w:szCs w:val="20"/>
              </w:rPr>
            </w:pPr>
            <w:r w:rsidRPr="00666914">
              <w:rPr>
                <w:color w:val="000000"/>
                <w:sz w:val="20"/>
                <w:szCs w:val="20"/>
              </w:rPr>
              <w:t>32,2</w:t>
            </w:r>
          </w:p>
        </w:tc>
        <w:tc>
          <w:tcPr>
            <w:tcW w:w="1482" w:type="dxa"/>
            <w:tcBorders>
              <w:top w:val="nil"/>
              <w:left w:val="nil"/>
              <w:bottom w:val="nil"/>
              <w:right w:val="nil"/>
            </w:tcBorders>
            <w:shd w:val="clear" w:color="auto" w:fill="auto"/>
            <w:vAlign w:val="center"/>
          </w:tcPr>
          <w:p w14:paraId="0942116A" w14:textId="77777777" w:rsidR="00386F6D" w:rsidRPr="00666914" w:rsidRDefault="00386F6D">
            <w:pPr>
              <w:spacing w:after="0"/>
              <w:jc w:val="center"/>
              <w:rPr>
                <w:color w:val="000000"/>
                <w:sz w:val="20"/>
                <w:szCs w:val="20"/>
              </w:rPr>
            </w:pPr>
            <w:r w:rsidRPr="00666914">
              <w:rPr>
                <w:color w:val="000000"/>
                <w:sz w:val="20"/>
                <w:szCs w:val="20"/>
              </w:rPr>
              <w:t>36,9</w:t>
            </w:r>
          </w:p>
        </w:tc>
        <w:tc>
          <w:tcPr>
            <w:tcW w:w="1481" w:type="dxa"/>
            <w:tcBorders>
              <w:top w:val="nil"/>
              <w:left w:val="nil"/>
              <w:bottom w:val="nil"/>
              <w:right w:val="nil"/>
            </w:tcBorders>
            <w:shd w:val="clear" w:color="auto" w:fill="auto"/>
            <w:vAlign w:val="center"/>
          </w:tcPr>
          <w:p w14:paraId="46A2B3C6" w14:textId="77777777" w:rsidR="00386F6D" w:rsidRPr="00666914" w:rsidRDefault="00386F6D">
            <w:pPr>
              <w:spacing w:after="0"/>
              <w:jc w:val="center"/>
              <w:rPr>
                <w:color w:val="000000"/>
                <w:sz w:val="20"/>
                <w:szCs w:val="20"/>
              </w:rPr>
            </w:pPr>
            <w:r w:rsidRPr="00666914">
              <w:rPr>
                <w:color w:val="000000"/>
                <w:sz w:val="20"/>
                <w:szCs w:val="20"/>
              </w:rPr>
              <w:t>34,5</w:t>
            </w:r>
          </w:p>
        </w:tc>
      </w:tr>
      <w:tr w:rsidR="00386F6D" w:rsidRPr="00666914" w14:paraId="258985F7" w14:textId="77777777">
        <w:trPr>
          <w:trHeight w:val="300"/>
        </w:trPr>
        <w:tc>
          <w:tcPr>
            <w:tcW w:w="896" w:type="dxa"/>
            <w:tcBorders>
              <w:top w:val="nil"/>
              <w:left w:val="nil"/>
              <w:bottom w:val="nil"/>
              <w:right w:val="nil"/>
            </w:tcBorders>
            <w:shd w:val="clear" w:color="auto" w:fill="auto"/>
            <w:vAlign w:val="bottom"/>
          </w:tcPr>
          <w:p w14:paraId="69C1B8ED" w14:textId="77777777" w:rsidR="00386F6D" w:rsidRPr="00666914" w:rsidRDefault="00386F6D">
            <w:pPr>
              <w:spacing w:after="0"/>
              <w:jc w:val="center"/>
              <w:rPr>
                <w:color w:val="000000"/>
                <w:sz w:val="20"/>
                <w:szCs w:val="20"/>
              </w:rPr>
            </w:pPr>
          </w:p>
        </w:tc>
        <w:tc>
          <w:tcPr>
            <w:tcW w:w="1089" w:type="dxa"/>
            <w:tcBorders>
              <w:top w:val="nil"/>
              <w:left w:val="nil"/>
              <w:bottom w:val="nil"/>
              <w:right w:val="nil"/>
            </w:tcBorders>
            <w:shd w:val="clear" w:color="auto" w:fill="auto"/>
            <w:vAlign w:val="bottom"/>
          </w:tcPr>
          <w:p w14:paraId="47E05183" w14:textId="77777777" w:rsidR="00386F6D" w:rsidRPr="00666914" w:rsidRDefault="00386F6D">
            <w:pPr>
              <w:spacing w:after="0"/>
              <w:jc w:val="left"/>
              <w:rPr>
                <w:rFonts w:ascii="Times New Roman" w:eastAsia="Times New Roman" w:hAnsi="Times New Roman"/>
                <w:sz w:val="20"/>
                <w:szCs w:val="20"/>
              </w:rPr>
            </w:pPr>
          </w:p>
        </w:tc>
        <w:tc>
          <w:tcPr>
            <w:tcW w:w="744" w:type="dxa"/>
            <w:tcBorders>
              <w:top w:val="nil"/>
              <w:left w:val="nil"/>
              <w:bottom w:val="nil"/>
              <w:right w:val="nil"/>
            </w:tcBorders>
            <w:shd w:val="clear" w:color="auto" w:fill="auto"/>
            <w:vAlign w:val="bottom"/>
          </w:tcPr>
          <w:p w14:paraId="03A3DA45" w14:textId="77777777" w:rsidR="00386F6D" w:rsidRPr="00666914" w:rsidRDefault="00386F6D">
            <w:pPr>
              <w:spacing w:after="0"/>
              <w:jc w:val="left"/>
              <w:rPr>
                <w:rFonts w:ascii="Times New Roman" w:eastAsia="Times New Roman" w:hAnsi="Times New Roman"/>
                <w:sz w:val="20"/>
                <w:szCs w:val="20"/>
              </w:rPr>
            </w:pPr>
          </w:p>
        </w:tc>
        <w:tc>
          <w:tcPr>
            <w:tcW w:w="452" w:type="dxa"/>
            <w:tcBorders>
              <w:top w:val="nil"/>
              <w:left w:val="nil"/>
              <w:bottom w:val="nil"/>
              <w:right w:val="nil"/>
            </w:tcBorders>
            <w:shd w:val="clear" w:color="auto" w:fill="auto"/>
            <w:vAlign w:val="bottom"/>
          </w:tcPr>
          <w:p w14:paraId="3FF94E13" w14:textId="77777777" w:rsidR="00386F6D" w:rsidRPr="00666914" w:rsidRDefault="00386F6D">
            <w:pPr>
              <w:spacing w:after="0"/>
              <w:jc w:val="left"/>
              <w:rPr>
                <w:rFonts w:ascii="Times New Roman" w:eastAsia="Times New Roman" w:hAnsi="Times New Roman"/>
                <w:sz w:val="20"/>
                <w:szCs w:val="20"/>
              </w:rPr>
            </w:pPr>
          </w:p>
        </w:tc>
        <w:tc>
          <w:tcPr>
            <w:tcW w:w="864" w:type="dxa"/>
            <w:tcBorders>
              <w:top w:val="nil"/>
              <w:left w:val="nil"/>
              <w:bottom w:val="nil"/>
              <w:right w:val="nil"/>
            </w:tcBorders>
            <w:shd w:val="clear" w:color="auto" w:fill="auto"/>
            <w:vAlign w:val="bottom"/>
          </w:tcPr>
          <w:p w14:paraId="5A3513E8" w14:textId="77777777" w:rsidR="00386F6D" w:rsidRPr="00666914" w:rsidRDefault="00386F6D">
            <w:pPr>
              <w:spacing w:after="0"/>
              <w:jc w:val="left"/>
              <w:rPr>
                <w:rFonts w:ascii="Times New Roman" w:eastAsia="Times New Roman" w:hAnsi="Times New Roman"/>
                <w:sz w:val="20"/>
                <w:szCs w:val="20"/>
              </w:rPr>
            </w:pPr>
          </w:p>
        </w:tc>
        <w:tc>
          <w:tcPr>
            <w:tcW w:w="582" w:type="dxa"/>
            <w:tcBorders>
              <w:top w:val="nil"/>
              <w:left w:val="nil"/>
              <w:bottom w:val="nil"/>
              <w:right w:val="nil"/>
            </w:tcBorders>
            <w:shd w:val="clear" w:color="auto" w:fill="auto"/>
            <w:vAlign w:val="center"/>
          </w:tcPr>
          <w:p w14:paraId="41497F6D" w14:textId="77777777" w:rsidR="00386F6D" w:rsidRPr="00666914" w:rsidRDefault="00386F6D">
            <w:pPr>
              <w:spacing w:after="0"/>
              <w:jc w:val="left"/>
              <w:rPr>
                <w:b/>
                <w:color w:val="000000"/>
                <w:sz w:val="20"/>
                <w:szCs w:val="20"/>
              </w:rPr>
            </w:pPr>
            <w:r w:rsidRPr="00666914">
              <w:rPr>
                <w:b/>
                <w:color w:val="000000"/>
                <w:sz w:val="20"/>
                <w:szCs w:val="20"/>
              </w:rPr>
              <w:t xml:space="preserve">EU </w:t>
            </w:r>
          </w:p>
        </w:tc>
        <w:tc>
          <w:tcPr>
            <w:tcW w:w="1482" w:type="dxa"/>
            <w:tcBorders>
              <w:top w:val="nil"/>
              <w:left w:val="nil"/>
              <w:bottom w:val="nil"/>
              <w:right w:val="nil"/>
            </w:tcBorders>
            <w:shd w:val="clear" w:color="auto" w:fill="auto"/>
            <w:vAlign w:val="center"/>
          </w:tcPr>
          <w:p w14:paraId="3BAA51C3" w14:textId="77777777" w:rsidR="00386F6D" w:rsidRPr="00666914" w:rsidRDefault="00386F6D">
            <w:pPr>
              <w:spacing w:after="0"/>
              <w:jc w:val="center"/>
              <w:rPr>
                <w:color w:val="000000"/>
                <w:sz w:val="20"/>
                <w:szCs w:val="20"/>
              </w:rPr>
            </w:pPr>
            <w:r w:rsidRPr="00666914">
              <w:rPr>
                <w:color w:val="000000"/>
                <w:sz w:val="20"/>
                <w:szCs w:val="20"/>
              </w:rPr>
              <w:t>37,6</w:t>
            </w:r>
          </w:p>
        </w:tc>
        <w:tc>
          <w:tcPr>
            <w:tcW w:w="1482" w:type="dxa"/>
            <w:tcBorders>
              <w:top w:val="nil"/>
              <w:left w:val="nil"/>
              <w:bottom w:val="nil"/>
              <w:right w:val="nil"/>
            </w:tcBorders>
            <w:shd w:val="clear" w:color="auto" w:fill="auto"/>
            <w:vAlign w:val="center"/>
          </w:tcPr>
          <w:p w14:paraId="100F8587" w14:textId="77777777" w:rsidR="00386F6D" w:rsidRPr="00666914" w:rsidRDefault="00386F6D">
            <w:pPr>
              <w:spacing w:after="0"/>
              <w:jc w:val="center"/>
              <w:rPr>
                <w:color w:val="000000"/>
                <w:sz w:val="20"/>
                <w:szCs w:val="20"/>
              </w:rPr>
            </w:pPr>
            <w:r w:rsidRPr="00666914">
              <w:rPr>
                <w:color w:val="000000"/>
                <w:sz w:val="20"/>
                <w:szCs w:val="20"/>
              </w:rPr>
              <w:t>39,6</w:t>
            </w:r>
          </w:p>
        </w:tc>
        <w:tc>
          <w:tcPr>
            <w:tcW w:w="1481" w:type="dxa"/>
            <w:tcBorders>
              <w:top w:val="nil"/>
              <w:left w:val="nil"/>
              <w:bottom w:val="nil"/>
              <w:right w:val="nil"/>
            </w:tcBorders>
            <w:shd w:val="clear" w:color="auto" w:fill="auto"/>
            <w:vAlign w:val="center"/>
          </w:tcPr>
          <w:p w14:paraId="3E823DCC" w14:textId="77777777" w:rsidR="00386F6D" w:rsidRPr="00666914" w:rsidRDefault="00386F6D">
            <w:pPr>
              <w:spacing w:after="0"/>
              <w:jc w:val="center"/>
              <w:rPr>
                <w:color w:val="000000"/>
                <w:sz w:val="20"/>
                <w:szCs w:val="20"/>
              </w:rPr>
            </w:pPr>
            <w:r w:rsidRPr="00666914">
              <w:rPr>
                <w:color w:val="000000"/>
                <w:sz w:val="20"/>
                <w:szCs w:val="20"/>
              </w:rPr>
              <w:t>41,1</w:t>
            </w:r>
          </w:p>
        </w:tc>
      </w:tr>
      <w:tr w:rsidR="00386F6D" w:rsidRPr="00666914" w14:paraId="66B5983E" w14:textId="77777777">
        <w:trPr>
          <w:trHeight w:val="255"/>
        </w:trPr>
        <w:tc>
          <w:tcPr>
            <w:tcW w:w="1985" w:type="dxa"/>
            <w:gridSpan w:val="2"/>
            <w:tcBorders>
              <w:top w:val="nil"/>
              <w:left w:val="nil"/>
              <w:bottom w:val="single" w:sz="4" w:space="0" w:color="000000"/>
              <w:right w:val="nil"/>
            </w:tcBorders>
            <w:shd w:val="clear" w:color="auto" w:fill="auto"/>
            <w:vAlign w:val="center"/>
          </w:tcPr>
          <w:p w14:paraId="27E519D1" w14:textId="77777777" w:rsidR="00386F6D" w:rsidRPr="00666914" w:rsidRDefault="00386F6D">
            <w:pPr>
              <w:spacing w:after="0"/>
              <w:jc w:val="left"/>
              <w:rPr>
                <w:b/>
                <w:color w:val="000000"/>
                <w:sz w:val="20"/>
                <w:szCs w:val="20"/>
              </w:rPr>
            </w:pPr>
            <w:r w:rsidRPr="00666914">
              <w:rPr>
                <w:b/>
                <w:color w:val="000000"/>
                <w:sz w:val="20"/>
                <w:szCs w:val="20"/>
              </w:rPr>
              <w:t>DESI 4 – pozícia</w:t>
            </w:r>
          </w:p>
        </w:tc>
        <w:tc>
          <w:tcPr>
            <w:tcW w:w="744" w:type="dxa"/>
            <w:tcBorders>
              <w:top w:val="nil"/>
              <w:left w:val="nil"/>
              <w:bottom w:val="single" w:sz="4" w:space="0" w:color="000000"/>
              <w:right w:val="nil"/>
            </w:tcBorders>
            <w:shd w:val="clear" w:color="auto" w:fill="auto"/>
            <w:vAlign w:val="center"/>
          </w:tcPr>
          <w:p w14:paraId="1B1C2C89" w14:textId="77777777" w:rsidR="00386F6D" w:rsidRPr="00666914" w:rsidRDefault="00386F6D">
            <w:pPr>
              <w:spacing w:after="0"/>
              <w:jc w:val="left"/>
              <w:rPr>
                <w:color w:val="000000"/>
                <w:sz w:val="20"/>
                <w:szCs w:val="20"/>
              </w:rPr>
            </w:pPr>
            <w:r w:rsidRPr="00666914">
              <w:rPr>
                <w:color w:val="000000"/>
                <w:sz w:val="20"/>
                <w:szCs w:val="20"/>
              </w:rPr>
              <w:t> </w:t>
            </w:r>
          </w:p>
        </w:tc>
        <w:tc>
          <w:tcPr>
            <w:tcW w:w="452" w:type="dxa"/>
            <w:tcBorders>
              <w:top w:val="nil"/>
              <w:left w:val="nil"/>
              <w:bottom w:val="single" w:sz="4" w:space="0" w:color="000000"/>
              <w:right w:val="nil"/>
            </w:tcBorders>
            <w:shd w:val="clear" w:color="auto" w:fill="auto"/>
            <w:vAlign w:val="center"/>
          </w:tcPr>
          <w:p w14:paraId="22E553CC" w14:textId="77777777" w:rsidR="00386F6D" w:rsidRPr="00666914" w:rsidRDefault="00386F6D">
            <w:pPr>
              <w:spacing w:after="0"/>
              <w:jc w:val="left"/>
              <w:rPr>
                <w:color w:val="000000"/>
                <w:sz w:val="20"/>
                <w:szCs w:val="20"/>
              </w:rPr>
            </w:pPr>
            <w:r w:rsidRPr="00666914">
              <w:rPr>
                <w:color w:val="000000"/>
                <w:sz w:val="20"/>
                <w:szCs w:val="20"/>
              </w:rPr>
              <w:t> </w:t>
            </w:r>
          </w:p>
        </w:tc>
        <w:tc>
          <w:tcPr>
            <w:tcW w:w="864" w:type="dxa"/>
            <w:tcBorders>
              <w:top w:val="nil"/>
              <w:left w:val="nil"/>
              <w:bottom w:val="single" w:sz="4" w:space="0" w:color="000000"/>
              <w:right w:val="nil"/>
            </w:tcBorders>
            <w:shd w:val="clear" w:color="auto" w:fill="auto"/>
            <w:vAlign w:val="center"/>
          </w:tcPr>
          <w:p w14:paraId="52CC6C49" w14:textId="77777777" w:rsidR="00386F6D" w:rsidRPr="00666914" w:rsidRDefault="00386F6D">
            <w:pPr>
              <w:spacing w:after="0"/>
              <w:jc w:val="left"/>
              <w:rPr>
                <w:color w:val="000000"/>
                <w:sz w:val="20"/>
                <w:szCs w:val="20"/>
              </w:rPr>
            </w:pPr>
            <w:r w:rsidRPr="00666914">
              <w:rPr>
                <w:color w:val="000000"/>
                <w:sz w:val="20"/>
                <w:szCs w:val="20"/>
              </w:rPr>
              <w:t> </w:t>
            </w:r>
          </w:p>
        </w:tc>
        <w:tc>
          <w:tcPr>
            <w:tcW w:w="582" w:type="dxa"/>
            <w:tcBorders>
              <w:top w:val="nil"/>
              <w:left w:val="nil"/>
              <w:bottom w:val="single" w:sz="4" w:space="0" w:color="000000"/>
              <w:right w:val="nil"/>
            </w:tcBorders>
            <w:shd w:val="clear" w:color="auto" w:fill="auto"/>
            <w:vAlign w:val="center"/>
          </w:tcPr>
          <w:p w14:paraId="076308AF" w14:textId="77777777" w:rsidR="00386F6D" w:rsidRPr="00666914" w:rsidRDefault="00386F6D">
            <w:pPr>
              <w:spacing w:after="0"/>
              <w:jc w:val="left"/>
              <w:rPr>
                <w:b/>
                <w:color w:val="000000"/>
                <w:sz w:val="20"/>
                <w:szCs w:val="20"/>
              </w:rPr>
            </w:pPr>
            <w:r w:rsidRPr="00666914">
              <w:rPr>
                <w:b/>
                <w:color w:val="000000"/>
                <w:sz w:val="20"/>
                <w:szCs w:val="20"/>
              </w:rPr>
              <w:t xml:space="preserve">SK </w:t>
            </w:r>
          </w:p>
        </w:tc>
        <w:tc>
          <w:tcPr>
            <w:tcW w:w="1482" w:type="dxa"/>
            <w:tcBorders>
              <w:top w:val="nil"/>
              <w:left w:val="nil"/>
              <w:bottom w:val="single" w:sz="4" w:space="0" w:color="000000"/>
              <w:right w:val="nil"/>
            </w:tcBorders>
            <w:shd w:val="clear" w:color="auto" w:fill="auto"/>
            <w:vAlign w:val="center"/>
          </w:tcPr>
          <w:p w14:paraId="7D50E515" w14:textId="77777777" w:rsidR="00386F6D" w:rsidRPr="00666914" w:rsidRDefault="00386F6D">
            <w:pPr>
              <w:spacing w:after="0"/>
              <w:jc w:val="center"/>
              <w:rPr>
                <w:b/>
                <w:color w:val="000000"/>
                <w:sz w:val="20"/>
                <w:szCs w:val="20"/>
              </w:rPr>
            </w:pPr>
            <w:r w:rsidRPr="00666914">
              <w:rPr>
                <w:b/>
                <w:color w:val="000000"/>
                <w:sz w:val="20"/>
                <w:szCs w:val="20"/>
              </w:rPr>
              <w:t>21</w:t>
            </w:r>
          </w:p>
        </w:tc>
        <w:tc>
          <w:tcPr>
            <w:tcW w:w="1482" w:type="dxa"/>
            <w:tcBorders>
              <w:top w:val="nil"/>
              <w:left w:val="nil"/>
              <w:bottom w:val="single" w:sz="4" w:space="0" w:color="000000"/>
              <w:right w:val="nil"/>
            </w:tcBorders>
            <w:shd w:val="clear" w:color="auto" w:fill="auto"/>
            <w:vAlign w:val="center"/>
          </w:tcPr>
          <w:p w14:paraId="237149B9" w14:textId="77777777" w:rsidR="00386F6D" w:rsidRPr="00666914" w:rsidRDefault="00386F6D">
            <w:pPr>
              <w:spacing w:after="0"/>
              <w:jc w:val="center"/>
              <w:rPr>
                <w:b/>
                <w:color w:val="000000"/>
                <w:sz w:val="20"/>
                <w:szCs w:val="20"/>
              </w:rPr>
            </w:pPr>
            <w:r w:rsidRPr="00666914">
              <w:rPr>
                <w:b/>
                <w:color w:val="000000"/>
                <w:sz w:val="20"/>
                <w:szCs w:val="20"/>
              </w:rPr>
              <w:t>19</w:t>
            </w:r>
          </w:p>
        </w:tc>
        <w:tc>
          <w:tcPr>
            <w:tcW w:w="1481" w:type="dxa"/>
            <w:tcBorders>
              <w:top w:val="nil"/>
              <w:left w:val="nil"/>
              <w:bottom w:val="single" w:sz="4" w:space="0" w:color="000000"/>
              <w:right w:val="nil"/>
            </w:tcBorders>
            <w:shd w:val="clear" w:color="auto" w:fill="auto"/>
            <w:vAlign w:val="center"/>
          </w:tcPr>
          <w:p w14:paraId="4C25F1AF" w14:textId="77777777" w:rsidR="00386F6D" w:rsidRPr="00666914" w:rsidRDefault="00386F6D">
            <w:pPr>
              <w:spacing w:after="0"/>
              <w:jc w:val="center"/>
              <w:rPr>
                <w:b/>
                <w:color w:val="000000"/>
                <w:sz w:val="20"/>
                <w:szCs w:val="20"/>
              </w:rPr>
            </w:pPr>
            <w:r w:rsidRPr="00666914">
              <w:rPr>
                <w:b/>
                <w:color w:val="000000"/>
                <w:sz w:val="20"/>
                <w:szCs w:val="20"/>
              </w:rPr>
              <w:t>21</w:t>
            </w:r>
          </w:p>
        </w:tc>
      </w:tr>
      <w:tr w:rsidR="00386F6D" w:rsidRPr="00666914" w14:paraId="6F3388E2" w14:textId="77777777">
        <w:trPr>
          <w:trHeight w:val="300"/>
        </w:trPr>
        <w:tc>
          <w:tcPr>
            <w:tcW w:w="2729" w:type="dxa"/>
            <w:gridSpan w:val="3"/>
            <w:tcBorders>
              <w:top w:val="nil"/>
              <w:left w:val="nil"/>
              <w:bottom w:val="nil"/>
              <w:right w:val="nil"/>
            </w:tcBorders>
            <w:shd w:val="clear" w:color="auto" w:fill="auto"/>
            <w:vAlign w:val="center"/>
          </w:tcPr>
          <w:p w14:paraId="5F9E8246" w14:textId="77777777" w:rsidR="00386F6D" w:rsidRPr="00666914" w:rsidRDefault="00386F6D">
            <w:pPr>
              <w:spacing w:after="0"/>
              <w:jc w:val="left"/>
              <w:rPr>
                <w:b/>
                <w:color w:val="000000"/>
                <w:sz w:val="20"/>
                <w:szCs w:val="20"/>
              </w:rPr>
            </w:pPr>
            <w:r w:rsidRPr="00666914">
              <w:rPr>
                <w:b/>
                <w:color w:val="000000"/>
                <w:sz w:val="20"/>
                <w:szCs w:val="20"/>
              </w:rPr>
              <w:t xml:space="preserve">DESI 5 - </w:t>
            </w:r>
            <w:r w:rsidRPr="00666914">
              <w:rPr>
                <w:color w:val="000000"/>
                <w:sz w:val="20"/>
                <w:szCs w:val="20"/>
              </w:rPr>
              <w:t>Digitálne verejné služby</w:t>
            </w:r>
          </w:p>
        </w:tc>
        <w:tc>
          <w:tcPr>
            <w:tcW w:w="452" w:type="dxa"/>
            <w:tcBorders>
              <w:top w:val="nil"/>
              <w:left w:val="nil"/>
              <w:bottom w:val="nil"/>
              <w:right w:val="nil"/>
            </w:tcBorders>
            <w:shd w:val="clear" w:color="auto" w:fill="auto"/>
            <w:vAlign w:val="bottom"/>
          </w:tcPr>
          <w:p w14:paraId="5EF8AC04" w14:textId="77777777" w:rsidR="00386F6D" w:rsidRPr="00666914" w:rsidRDefault="00386F6D">
            <w:pPr>
              <w:spacing w:after="0"/>
              <w:jc w:val="left"/>
              <w:rPr>
                <w:b/>
                <w:color w:val="000000"/>
                <w:sz w:val="20"/>
                <w:szCs w:val="20"/>
              </w:rPr>
            </w:pPr>
          </w:p>
        </w:tc>
        <w:tc>
          <w:tcPr>
            <w:tcW w:w="864" w:type="dxa"/>
            <w:tcBorders>
              <w:top w:val="nil"/>
              <w:left w:val="nil"/>
              <w:bottom w:val="nil"/>
              <w:right w:val="nil"/>
            </w:tcBorders>
            <w:shd w:val="clear" w:color="auto" w:fill="auto"/>
            <w:vAlign w:val="bottom"/>
          </w:tcPr>
          <w:p w14:paraId="04EC0793" w14:textId="77777777" w:rsidR="00386F6D" w:rsidRPr="00666914" w:rsidRDefault="00386F6D">
            <w:pPr>
              <w:spacing w:after="0"/>
              <w:jc w:val="left"/>
              <w:rPr>
                <w:rFonts w:ascii="Times New Roman" w:eastAsia="Times New Roman" w:hAnsi="Times New Roman"/>
                <w:sz w:val="20"/>
                <w:szCs w:val="20"/>
              </w:rPr>
            </w:pPr>
          </w:p>
        </w:tc>
        <w:tc>
          <w:tcPr>
            <w:tcW w:w="582" w:type="dxa"/>
            <w:tcBorders>
              <w:top w:val="nil"/>
              <w:left w:val="nil"/>
              <w:bottom w:val="nil"/>
              <w:right w:val="nil"/>
            </w:tcBorders>
            <w:shd w:val="clear" w:color="auto" w:fill="auto"/>
            <w:vAlign w:val="center"/>
          </w:tcPr>
          <w:p w14:paraId="6DEB3804" w14:textId="77777777" w:rsidR="00386F6D" w:rsidRPr="00666914" w:rsidRDefault="00386F6D">
            <w:pPr>
              <w:spacing w:after="0"/>
              <w:jc w:val="left"/>
              <w:rPr>
                <w:b/>
                <w:color w:val="000000"/>
                <w:sz w:val="20"/>
                <w:szCs w:val="20"/>
              </w:rPr>
            </w:pPr>
            <w:r w:rsidRPr="00666914">
              <w:rPr>
                <w:b/>
                <w:color w:val="000000"/>
                <w:sz w:val="20"/>
                <w:szCs w:val="20"/>
              </w:rPr>
              <w:t xml:space="preserve">SK </w:t>
            </w:r>
          </w:p>
        </w:tc>
        <w:tc>
          <w:tcPr>
            <w:tcW w:w="1482" w:type="dxa"/>
            <w:tcBorders>
              <w:top w:val="nil"/>
              <w:left w:val="nil"/>
              <w:bottom w:val="nil"/>
              <w:right w:val="nil"/>
            </w:tcBorders>
            <w:shd w:val="clear" w:color="auto" w:fill="auto"/>
            <w:vAlign w:val="center"/>
          </w:tcPr>
          <w:p w14:paraId="73D0D255" w14:textId="77777777" w:rsidR="00386F6D" w:rsidRPr="00666914" w:rsidRDefault="00386F6D">
            <w:pPr>
              <w:spacing w:after="0"/>
              <w:jc w:val="center"/>
              <w:rPr>
                <w:color w:val="000000"/>
                <w:sz w:val="20"/>
                <w:szCs w:val="20"/>
              </w:rPr>
            </w:pPr>
            <w:r w:rsidRPr="00666914">
              <w:rPr>
                <w:color w:val="000000"/>
                <w:sz w:val="20"/>
                <w:szCs w:val="20"/>
              </w:rPr>
              <w:t>42,4</w:t>
            </w:r>
          </w:p>
        </w:tc>
        <w:tc>
          <w:tcPr>
            <w:tcW w:w="1482" w:type="dxa"/>
            <w:tcBorders>
              <w:top w:val="nil"/>
              <w:left w:val="nil"/>
              <w:bottom w:val="nil"/>
              <w:right w:val="nil"/>
            </w:tcBorders>
            <w:shd w:val="clear" w:color="auto" w:fill="auto"/>
            <w:vAlign w:val="center"/>
          </w:tcPr>
          <w:p w14:paraId="2D2201D6" w14:textId="77777777" w:rsidR="00386F6D" w:rsidRPr="00666914" w:rsidRDefault="00386F6D">
            <w:pPr>
              <w:spacing w:after="0"/>
              <w:jc w:val="center"/>
              <w:rPr>
                <w:color w:val="000000"/>
                <w:sz w:val="20"/>
                <w:szCs w:val="20"/>
              </w:rPr>
            </w:pPr>
            <w:r w:rsidRPr="00666914">
              <w:rPr>
                <w:color w:val="000000"/>
                <w:sz w:val="20"/>
                <w:szCs w:val="20"/>
              </w:rPr>
              <w:t>48,5</w:t>
            </w:r>
          </w:p>
        </w:tc>
        <w:tc>
          <w:tcPr>
            <w:tcW w:w="1481" w:type="dxa"/>
            <w:tcBorders>
              <w:top w:val="nil"/>
              <w:left w:val="nil"/>
              <w:bottom w:val="nil"/>
              <w:right w:val="nil"/>
            </w:tcBorders>
            <w:shd w:val="clear" w:color="auto" w:fill="auto"/>
            <w:vAlign w:val="center"/>
          </w:tcPr>
          <w:p w14:paraId="0CAD4B6F" w14:textId="77777777" w:rsidR="00386F6D" w:rsidRPr="00666914" w:rsidRDefault="00386F6D">
            <w:pPr>
              <w:spacing w:after="0"/>
              <w:jc w:val="center"/>
              <w:rPr>
                <w:color w:val="000000"/>
                <w:sz w:val="20"/>
                <w:szCs w:val="20"/>
              </w:rPr>
            </w:pPr>
            <w:r w:rsidRPr="00666914">
              <w:rPr>
                <w:color w:val="000000"/>
                <w:sz w:val="20"/>
                <w:szCs w:val="20"/>
              </w:rPr>
              <w:t>53,6</w:t>
            </w:r>
          </w:p>
        </w:tc>
      </w:tr>
      <w:tr w:rsidR="00386F6D" w:rsidRPr="00666914" w14:paraId="0CB56E6E" w14:textId="77777777">
        <w:trPr>
          <w:trHeight w:val="300"/>
        </w:trPr>
        <w:tc>
          <w:tcPr>
            <w:tcW w:w="896" w:type="dxa"/>
            <w:tcBorders>
              <w:top w:val="nil"/>
              <w:left w:val="nil"/>
              <w:bottom w:val="nil"/>
              <w:right w:val="nil"/>
            </w:tcBorders>
            <w:shd w:val="clear" w:color="auto" w:fill="auto"/>
            <w:vAlign w:val="bottom"/>
          </w:tcPr>
          <w:p w14:paraId="271742B6" w14:textId="77777777" w:rsidR="00386F6D" w:rsidRPr="00666914" w:rsidRDefault="00386F6D">
            <w:pPr>
              <w:spacing w:after="0"/>
              <w:jc w:val="center"/>
              <w:rPr>
                <w:color w:val="000000"/>
                <w:sz w:val="20"/>
                <w:szCs w:val="20"/>
              </w:rPr>
            </w:pPr>
          </w:p>
        </w:tc>
        <w:tc>
          <w:tcPr>
            <w:tcW w:w="1089" w:type="dxa"/>
            <w:tcBorders>
              <w:top w:val="nil"/>
              <w:left w:val="nil"/>
              <w:bottom w:val="nil"/>
              <w:right w:val="nil"/>
            </w:tcBorders>
            <w:shd w:val="clear" w:color="auto" w:fill="auto"/>
            <w:vAlign w:val="bottom"/>
          </w:tcPr>
          <w:p w14:paraId="4266F64A" w14:textId="77777777" w:rsidR="00386F6D" w:rsidRPr="00666914" w:rsidRDefault="00386F6D">
            <w:pPr>
              <w:spacing w:after="0"/>
              <w:jc w:val="left"/>
              <w:rPr>
                <w:rFonts w:ascii="Times New Roman" w:eastAsia="Times New Roman" w:hAnsi="Times New Roman"/>
                <w:sz w:val="20"/>
                <w:szCs w:val="20"/>
              </w:rPr>
            </w:pPr>
          </w:p>
        </w:tc>
        <w:tc>
          <w:tcPr>
            <w:tcW w:w="744" w:type="dxa"/>
            <w:tcBorders>
              <w:top w:val="nil"/>
              <w:left w:val="nil"/>
              <w:bottom w:val="nil"/>
              <w:right w:val="nil"/>
            </w:tcBorders>
            <w:shd w:val="clear" w:color="auto" w:fill="auto"/>
            <w:vAlign w:val="bottom"/>
          </w:tcPr>
          <w:p w14:paraId="03035B3D" w14:textId="77777777" w:rsidR="00386F6D" w:rsidRPr="00666914" w:rsidRDefault="00386F6D">
            <w:pPr>
              <w:spacing w:after="0"/>
              <w:jc w:val="left"/>
              <w:rPr>
                <w:rFonts w:ascii="Times New Roman" w:eastAsia="Times New Roman" w:hAnsi="Times New Roman"/>
                <w:sz w:val="20"/>
                <w:szCs w:val="20"/>
              </w:rPr>
            </w:pPr>
          </w:p>
        </w:tc>
        <w:tc>
          <w:tcPr>
            <w:tcW w:w="452" w:type="dxa"/>
            <w:tcBorders>
              <w:top w:val="nil"/>
              <w:left w:val="nil"/>
              <w:bottom w:val="nil"/>
              <w:right w:val="nil"/>
            </w:tcBorders>
            <w:shd w:val="clear" w:color="auto" w:fill="auto"/>
            <w:vAlign w:val="bottom"/>
          </w:tcPr>
          <w:p w14:paraId="32CFEB48" w14:textId="77777777" w:rsidR="00386F6D" w:rsidRPr="00666914" w:rsidRDefault="00386F6D">
            <w:pPr>
              <w:spacing w:after="0"/>
              <w:jc w:val="left"/>
              <w:rPr>
                <w:rFonts w:ascii="Times New Roman" w:eastAsia="Times New Roman" w:hAnsi="Times New Roman"/>
                <w:sz w:val="20"/>
                <w:szCs w:val="20"/>
              </w:rPr>
            </w:pPr>
          </w:p>
        </w:tc>
        <w:tc>
          <w:tcPr>
            <w:tcW w:w="864" w:type="dxa"/>
            <w:tcBorders>
              <w:top w:val="nil"/>
              <w:left w:val="nil"/>
              <w:bottom w:val="nil"/>
              <w:right w:val="nil"/>
            </w:tcBorders>
            <w:shd w:val="clear" w:color="auto" w:fill="auto"/>
            <w:vAlign w:val="bottom"/>
          </w:tcPr>
          <w:p w14:paraId="6D8204DE" w14:textId="77777777" w:rsidR="00386F6D" w:rsidRPr="00666914" w:rsidRDefault="00386F6D">
            <w:pPr>
              <w:spacing w:after="0"/>
              <w:jc w:val="left"/>
              <w:rPr>
                <w:rFonts w:ascii="Times New Roman" w:eastAsia="Times New Roman" w:hAnsi="Times New Roman"/>
                <w:sz w:val="20"/>
                <w:szCs w:val="20"/>
              </w:rPr>
            </w:pPr>
          </w:p>
        </w:tc>
        <w:tc>
          <w:tcPr>
            <w:tcW w:w="582" w:type="dxa"/>
            <w:tcBorders>
              <w:top w:val="nil"/>
              <w:left w:val="nil"/>
              <w:bottom w:val="nil"/>
              <w:right w:val="nil"/>
            </w:tcBorders>
            <w:shd w:val="clear" w:color="auto" w:fill="auto"/>
            <w:vAlign w:val="center"/>
          </w:tcPr>
          <w:p w14:paraId="3001B614" w14:textId="77777777" w:rsidR="00386F6D" w:rsidRPr="00666914" w:rsidRDefault="00386F6D">
            <w:pPr>
              <w:spacing w:after="0"/>
              <w:jc w:val="left"/>
              <w:rPr>
                <w:b/>
                <w:color w:val="000000"/>
                <w:sz w:val="20"/>
                <w:szCs w:val="20"/>
              </w:rPr>
            </w:pPr>
            <w:r w:rsidRPr="00666914">
              <w:rPr>
                <w:b/>
                <w:color w:val="000000"/>
                <w:sz w:val="20"/>
                <w:szCs w:val="20"/>
              </w:rPr>
              <w:t xml:space="preserve">EU </w:t>
            </w:r>
          </w:p>
        </w:tc>
        <w:tc>
          <w:tcPr>
            <w:tcW w:w="1482" w:type="dxa"/>
            <w:tcBorders>
              <w:top w:val="nil"/>
              <w:left w:val="nil"/>
              <w:bottom w:val="nil"/>
              <w:right w:val="nil"/>
            </w:tcBorders>
            <w:shd w:val="clear" w:color="auto" w:fill="auto"/>
            <w:vAlign w:val="center"/>
          </w:tcPr>
          <w:p w14:paraId="4CB2F9CD" w14:textId="77777777" w:rsidR="00386F6D" w:rsidRPr="00666914" w:rsidRDefault="00386F6D">
            <w:pPr>
              <w:spacing w:after="0"/>
              <w:jc w:val="center"/>
              <w:rPr>
                <w:color w:val="000000"/>
                <w:sz w:val="20"/>
                <w:szCs w:val="20"/>
              </w:rPr>
            </w:pPr>
            <w:r w:rsidRPr="00666914">
              <w:rPr>
                <w:color w:val="000000"/>
                <w:sz w:val="20"/>
                <w:szCs w:val="20"/>
              </w:rPr>
              <w:t>54,0</w:t>
            </w:r>
          </w:p>
        </w:tc>
        <w:tc>
          <w:tcPr>
            <w:tcW w:w="1482" w:type="dxa"/>
            <w:tcBorders>
              <w:top w:val="nil"/>
              <w:left w:val="nil"/>
              <w:bottom w:val="nil"/>
              <w:right w:val="nil"/>
            </w:tcBorders>
            <w:shd w:val="clear" w:color="auto" w:fill="auto"/>
            <w:vAlign w:val="center"/>
          </w:tcPr>
          <w:p w14:paraId="092613D4" w14:textId="77777777" w:rsidR="00386F6D" w:rsidRPr="00666914" w:rsidRDefault="00386F6D">
            <w:pPr>
              <w:spacing w:after="0"/>
              <w:jc w:val="center"/>
              <w:rPr>
                <w:color w:val="000000"/>
                <w:sz w:val="20"/>
                <w:szCs w:val="20"/>
              </w:rPr>
            </w:pPr>
            <w:r w:rsidRPr="00666914">
              <w:rPr>
                <w:color w:val="000000"/>
                <w:sz w:val="20"/>
                <w:szCs w:val="20"/>
              </w:rPr>
              <w:t>57,9</w:t>
            </w:r>
          </w:p>
        </w:tc>
        <w:tc>
          <w:tcPr>
            <w:tcW w:w="1481" w:type="dxa"/>
            <w:tcBorders>
              <w:top w:val="nil"/>
              <w:left w:val="nil"/>
              <w:bottom w:val="nil"/>
              <w:right w:val="nil"/>
            </w:tcBorders>
            <w:shd w:val="clear" w:color="auto" w:fill="auto"/>
            <w:vAlign w:val="center"/>
          </w:tcPr>
          <w:p w14:paraId="14D36424" w14:textId="77777777" w:rsidR="00386F6D" w:rsidRPr="00666914" w:rsidRDefault="00386F6D">
            <w:pPr>
              <w:spacing w:after="0"/>
              <w:jc w:val="center"/>
              <w:rPr>
                <w:color w:val="000000"/>
                <w:sz w:val="20"/>
                <w:szCs w:val="20"/>
              </w:rPr>
            </w:pPr>
            <w:r w:rsidRPr="00666914">
              <w:rPr>
                <w:color w:val="000000"/>
                <w:sz w:val="20"/>
                <w:szCs w:val="20"/>
              </w:rPr>
              <w:t>62,9</w:t>
            </w:r>
          </w:p>
        </w:tc>
      </w:tr>
      <w:tr w:rsidR="00386F6D" w:rsidRPr="00666914" w14:paraId="4E399DE5" w14:textId="77777777">
        <w:trPr>
          <w:trHeight w:val="255"/>
        </w:trPr>
        <w:tc>
          <w:tcPr>
            <w:tcW w:w="1985" w:type="dxa"/>
            <w:gridSpan w:val="2"/>
            <w:tcBorders>
              <w:top w:val="nil"/>
              <w:left w:val="nil"/>
              <w:bottom w:val="single" w:sz="4" w:space="0" w:color="000000"/>
              <w:right w:val="nil"/>
            </w:tcBorders>
            <w:shd w:val="clear" w:color="auto" w:fill="auto"/>
            <w:vAlign w:val="center"/>
          </w:tcPr>
          <w:p w14:paraId="275A3207" w14:textId="77777777" w:rsidR="00386F6D" w:rsidRPr="00666914" w:rsidRDefault="00386F6D">
            <w:pPr>
              <w:spacing w:after="0"/>
              <w:jc w:val="left"/>
              <w:rPr>
                <w:b/>
                <w:color w:val="000000"/>
                <w:sz w:val="20"/>
                <w:szCs w:val="20"/>
              </w:rPr>
            </w:pPr>
            <w:r w:rsidRPr="00666914">
              <w:rPr>
                <w:b/>
                <w:color w:val="000000"/>
                <w:sz w:val="20"/>
                <w:szCs w:val="20"/>
              </w:rPr>
              <w:t xml:space="preserve">DESI 5 – pozícia </w:t>
            </w:r>
          </w:p>
        </w:tc>
        <w:tc>
          <w:tcPr>
            <w:tcW w:w="744" w:type="dxa"/>
            <w:tcBorders>
              <w:top w:val="nil"/>
              <w:left w:val="nil"/>
              <w:bottom w:val="single" w:sz="4" w:space="0" w:color="000000"/>
              <w:right w:val="nil"/>
            </w:tcBorders>
            <w:shd w:val="clear" w:color="auto" w:fill="auto"/>
            <w:vAlign w:val="center"/>
          </w:tcPr>
          <w:p w14:paraId="4A3DF5A2" w14:textId="77777777" w:rsidR="00386F6D" w:rsidRPr="00666914" w:rsidRDefault="00386F6D">
            <w:pPr>
              <w:spacing w:after="0"/>
              <w:jc w:val="left"/>
              <w:rPr>
                <w:color w:val="000000"/>
                <w:sz w:val="20"/>
                <w:szCs w:val="20"/>
              </w:rPr>
            </w:pPr>
            <w:r w:rsidRPr="00666914">
              <w:rPr>
                <w:color w:val="000000"/>
                <w:sz w:val="20"/>
                <w:szCs w:val="20"/>
              </w:rPr>
              <w:t> </w:t>
            </w:r>
          </w:p>
        </w:tc>
        <w:tc>
          <w:tcPr>
            <w:tcW w:w="452" w:type="dxa"/>
            <w:tcBorders>
              <w:top w:val="nil"/>
              <w:left w:val="nil"/>
              <w:bottom w:val="single" w:sz="4" w:space="0" w:color="000000"/>
              <w:right w:val="nil"/>
            </w:tcBorders>
            <w:shd w:val="clear" w:color="auto" w:fill="auto"/>
            <w:vAlign w:val="center"/>
          </w:tcPr>
          <w:p w14:paraId="46051F71" w14:textId="77777777" w:rsidR="00386F6D" w:rsidRPr="00666914" w:rsidRDefault="00386F6D">
            <w:pPr>
              <w:spacing w:after="0"/>
              <w:jc w:val="left"/>
              <w:rPr>
                <w:color w:val="000000"/>
                <w:sz w:val="20"/>
                <w:szCs w:val="20"/>
              </w:rPr>
            </w:pPr>
            <w:r w:rsidRPr="00666914">
              <w:rPr>
                <w:color w:val="000000"/>
                <w:sz w:val="20"/>
                <w:szCs w:val="20"/>
              </w:rPr>
              <w:t> </w:t>
            </w:r>
          </w:p>
        </w:tc>
        <w:tc>
          <w:tcPr>
            <w:tcW w:w="864" w:type="dxa"/>
            <w:tcBorders>
              <w:top w:val="nil"/>
              <w:left w:val="nil"/>
              <w:bottom w:val="single" w:sz="4" w:space="0" w:color="000000"/>
              <w:right w:val="nil"/>
            </w:tcBorders>
            <w:shd w:val="clear" w:color="auto" w:fill="auto"/>
            <w:vAlign w:val="center"/>
          </w:tcPr>
          <w:p w14:paraId="4D9418DA" w14:textId="77777777" w:rsidR="00386F6D" w:rsidRPr="00666914" w:rsidRDefault="00386F6D">
            <w:pPr>
              <w:spacing w:after="0"/>
              <w:jc w:val="left"/>
              <w:rPr>
                <w:color w:val="000000"/>
                <w:sz w:val="20"/>
                <w:szCs w:val="20"/>
              </w:rPr>
            </w:pPr>
            <w:r w:rsidRPr="00666914">
              <w:rPr>
                <w:color w:val="000000"/>
                <w:sz w:val="20"/>
                <w:szCs w:val="20"/>
              </w:rPr>
              <w:t> </w:t>
            </w:r>
          </w:p>
        </w:tc>
        <w:tc>
          <w:tcPr>
            <w:tcW w:w="582" w:type="dxa"/>
            <w:tcBorders>
              <w:top w:val="nil"/>
              <w:left w:val="nil"/>
              <w:bottom w:val="single" w:sz="4" w:space="0" w:color="000000"/>
              <w:right w:val="nil"/>
            </w:tcBorders>
            <w:shd w:val="clear" w:color="auto" w:fill="auto"/>
            <w:vAlign w:val="center"/>
          </w:tcPr>
          <w:p w14:paraId="458A4520" w14:textId="77777777" w:rsidR="00386F6D" w:rsidRPr="00666914" w:rsidRDefault="00386F6D">
            <w:pPr>
              <w:spacing w:after="0"/>
              <w:jc w:val="left"/>
              <w:rPr>
                <w:b/>
                <w:color w:val="000000"/>
                <w:sz w:val="20"/>
                <w:szCs w:val="20"/>
              </w:rPr>
            </w:pPr>
            <w:r w:rsidRPr="00666914">
              <w:rPr>
                <w:b/>
                <w:color w:val="000000"/>
                <w:sz w:val="20"/>
                <w:szCs w:val="20"/>
              </w:rPr>
              <w:t xml:space="preserve">SK </w:t>
            </w:r>
          </w:p>
        </w:tc>
        <w:tc>
          <w:tcPr>
            <w:tcW w:w="1482" w:type="dxa"/>
            <w:tcBorders>
              <w:top w:val="nil"/>
              <w:left w:val="nil"/>
              <w:bottom w:val="single" w:sz="4" w:space="0" w:color="000000"/>
              <w:right w:val="nil"/>
            </w:tcBorders>
            <w:shd w:val="clear" w:color="auto" w:fill="auto"/>
            <w:vAlign w:val="center"/>
          </w:tcPr>
          <w:p w14:paraId="648AC5F9" w14:textId="77777777" w:rsidR="00386F6D" w:rsidRPr="00666914" w:rsidRDefault="00386F6D">
            <w:pPr>
              <w:spacing w:after="0"/>
              <w:jc w:val="center"/>
              <w:rPr>
                <w:b/>
                <w:color w:val="000000"/>
                <w:sz w:val="20"/>
                <w:szCs w:val="20"/>
              </w:rPr>
            </w:pPr>
            <w:r w:rsidRPr="00666914">
              <w:rPr>
                <w:b/>
                <w:color w:val="000000"/>
                <w:sz w:val="20"/>
                <w:szCs w:val="20"/>
              </w:rPr>
              <w:t>24</w:t>
            </w:r>
          </w:p>
        </w:tc>
        <w:tc>
          <w:tcPr>
            <w:tcW w:w="1482" w:type="dxa"/>
            <w:tcBorders>
              <w:top w:val="nil"/>
              <w:left w:val="nil"/>
              <w:bottom w:val="single" w:sz="4" w:space="0" w:color="000000"/>
              <w:right w:val="nil"/>
            </w:tcBorders>
            <w:shd w:val="clear" w:color="auto" w:fill="auto"/>
            <w:vAlign w:val="center"/>
          </w:tcPr>
          <w:p w14:paraId="3AD9CA22" w14:textId="77777777" w:rsidR="00386F6D" w:rsidRPr="00666914" w:rsidRDefault="00386F6D">
            <w:pPr>
              <w:spacing w:after="0"/>
              <w:jc w:val="center"/>
              <w:rPr>
                <w:b/>
                <w:color w:val="000000"/>
                <w:sz w:val="20"/>
                <w:szCs w:val="20"/>
              </w:rPr>
            </w:pPr>
            <w:r w:rsidRPr="00666914">
              <w:rPr>
                <w:b/>
                <w:color w:val="000000"/>
                <w:sz w:val="20"/>
                <w:szCs w:val="20"/>
              </w:rPr>
              <w:t>22</w:t>
            </w:r>
          </w:p>
        </w:tc>
        <w:tc>
          <w:tcPr>
            <w:tcW w:w="1481" w:type="dxa"/>
            <w:tcBorders>
              <w:top w:val="nil"/>
              <w:left w:val="nil"/>
              <w:bottom w:val="single" w:sz="4" w:space="0" w:color="000000"/>
              <w:right w:val="nil"/>
            </w:tcBorders>
            <w:shd w:val="clear" w:color="auto" w:fill="auto"/>
            <w:vAlign w:val="center"/>
          </w:tcPr>
          <w:p w14:paraId="502C4AAD" w14:textId="77777777" w:rsidR="00386F6D" w:rsidRPr="00666914" w:rsidRDefault="00386F6D">
            <w:pPr>
              <w:spacing w:after="0"/>
              <w:jc w:val="center"/>
              <w:rPr>
                <w:b/>
                <w:color w:val="000000"/>
                <w:sz w:val="20"/>
                <w:szCs w:val="20"/>
              </w:rPr>
            </w:pPr>
            <w:r w:rsidRPr="00666914">
              <w:rPr>
                <w:b/>
                <w:color w:val="000000"/>
                <w:sz w:val="20"/>
                <w:szCs w:val="20"/>
              </w:rPr>
              <w:t>21</w:t>
            </w:r>
          </w:p>
        </w:tc>
      </w:tr>
      <w:tr w:rsidR="00386F6D" w:rsidRPr="00666914" w14:paraId="645B2E27" w14:textId="77777777">
        <w:trPr>
          <w:trHeight w:val="255"/>
        </w:trPr>
        <w:tc>
          <w:tcPr>
            <w:tcW w:w="1985" w:type="dxa"/>
            <w:gridSpan w:val="2"/>
            <w:tcBorders>
              <w:top w:val="single" w:sz="4" w:space="0" w:color="000000"/>
              <w:left w:val="nil"/>
              <w:right w:val="nil"/>
            </w:tcBorders>
            <w:shd w:val="clear" w:color="auto" w:fill="auto"/>
            <w:vAlign w:val="center"/>
          </w:tcPr>
          <w:p w14:paraId="136B4C3C" w14:textId="77777777" w:rsidR="00386F6D" w:rsidRPr="00666914" w:rsidRDefault="00386F6D">
            <w:pPr>
              <w:spacing w:after="0"/>
              <w:jc w:val="left"/>
              <w:rPr>
                <w:b/>
                <w:color w:val="000000"/>
                <w:sz w:val="20"/>
                <w:szCs w:val="20"/>
              </w:rPr>
            </w:pPr>
            <w:r w:rsidRPr="00666914">
              <w:rPr>
                <w:b/>
                <w:color w:val="000000"/>
                <w:sz w:val="20"/>
                <w:szCs w:val="20"/>
              </w:rPr>
              <w:t>DESI – celkové skóre</w:t>
            </w:r>
          </w:p>
        </w:tc>
        <w:tc>
          <w:tcPr>
            <w:tcW w:w="744" w:type="dxa"/>
            <w:tcBorders>
              <w:top w:val="single" w:sz="4" w:space="0" w:color="000000"/>
              <w:left w:val="nil"/>
              <w:right w:val="nil"/>
            </w:tcBorders>
            <w:shd w:val="clear" w:color="auto" w:fill="auto"/>
            <w:vAlign w:val="center"/>
          </w:tcPr>
          <w:p w14:paraId="16585ECF" w14:textId="77777777" w:rsidR="00386F6D" w:rsidRPr="00666914" w:rsidRDefault="00386F6D">
            <w:pPr>
              <w:spacing w:after="0"/>
              <w:jc w:val="left"/>
              <w:rPr>
                <w:color w:val="000000"/>
                <w:sz w:val="20"/>
                <w:szCs w:val="20"/>
              </w:rPr>
            </w:pPr>
          </w:p>
        </w:tc>
        <w:tc>
          <w:tcPr>
            <w:tcW w:w="452" w:type="dxa"/>
            <w:tcBorders>
              <w:top w:val="single" w:sz="4" w:space="0" w:color="000000"/>
              <w:left w:val="nil"/>
              <w:right w:val="nil"/>
            </w:tcBorders>
            <w:shd w:val="clear" w:color="auto" w:fill="auto"/>
            <w:vAlign w:val="center"/>
          </w:tcPr>
          <w:p w14:paraId="5739E9D7" w14:textId="77777777" w:rsidR="00386F6D" w:rsidRPr="00666914" w:rsidRDefault="00386F6D">
            <w:pPr>
              <w:spacing w:after="0"/>
              <w:jc w:val="left"/>
              <w:rPr>
                <w:color w:val="000000"/>
                <w:sz w:val="20"/>
                <w:szCs w:val="20"/>
              </w:rPr>
            </w:pPr>
          </w:p>
        </w:tc>
        <w:tc>
          <w:tcPr>
            <w:tcW w:w="864" w:type="dxa"/>
            <w:tcBorders>
              <w:top w:val="single" w:sz="4" w:space="0" w:color="000000"/>
              <w:left w:val="nil"/>
              <w:right w:val="nil"/>
            </w:tcBorders>
            <w:shd w:val="clear" w:color="auto" w:fill="auto"/>
            <w:vAlign w:val="center"/>
          </w:tcPr>
          <w:p w14:paraId="63CCB140" w14:textId="77777777" w:rsidR="00386F6D" w:rsidRPr="00666914" w:rsidRDefault="00386F6D">
            <w:pPr>
              <w:spacing w:after="0"/>
              <w:jc w:val="left"/>
              <w:rPr>
                <w:color w:val="000000"/>
                <w:sz w:val="20"/>
                <w:szCs w:val="20"/>
              </w:rPr>
            </w:pPr>
          </w:p>
        </w:tc>
        <w:tc>
          <w:tcPr>
            <w:tcW w:w="582" w:type="dxa"/>
            <w:tcBorders>
              <w:top w:val="single" w:sz="4" w:space="0" w:color="000000"/>
              <w:left w:val="nil"/>
              <w:right w:val="nil"/>
            </w:tcBorders>
            <w:shd w:val="clear" w:color="auto" w:fill="auto"/>
            <w:vAlign w:val="center"/>
          </w:tcPr>
          <w:p w14:paraId="3EB8BD6A" w14:textId="77777777" w:rsidR="00386F6D" w:rsidRPr="00666914" w:rsidRDefault="00386F6D">
            <w:pPr>
              <w:spacing w:after="0"/>
              <w:jc w:val="left"/>
              <w:rPr>
                <w:b/>
                <w:color w:val="000000"/>
                <w:sz w:val="20"/>
                <w:szCs w:val="20"/>
              </w:rPr>
            </w:pPr>
            <w:r w:rsidRPr="00666914">
              <w:rPr>
                <w:b/>
                <w:color w:val="000000"/>
                <w:sz w:val="20"/>
                <w:szCs w:val="20"/>
              </w:rPr>
              <w:t>SK</w:t>
            </w:r>
          </w:p>
        </w:tc>
        <w:tc>
          <w:tcPr>
            <w:tcW w:w="1482" w:type="dxa"/>
            <w:tcBorders>
              <w:top w:val="single" w:sz="4" w:space="0" w:color="000000"/>
              <w:left w:val="nil"/>
              <w:right w:val="nil"/>
            </w:tcBorders>
            <w:shd w:val="clear" w:color="auto" w:fill="auto"/>
            <w:vAlign w:val="center"/>
          </w:tcPr>
          <w:p w14:paraId="50476B31" w14:textId="77777777" w:rsidR="00386F6D" w:rsidRPr="00666914" w:rsidRDefault="00386F6D">
            <w:pPr>
              <w:spacing w:after="0"/>
              <w:jc w:val="center"/>
              <w:rPr>
                <w:color w:val="000000"/>
                <w:sz w:val="20"/>
                <w:szCs w:val="20"/>
              </w:rPr>
            </w:pPr>
            <w:r w:rsidRPr="00666914">
              <w:rPr>
                <w:color w:val="000000"/>
                <w:sz w:val="20"/>
                <w:szCs w:val="20"/>
              </w:rPr>
              <w:t>41,0</w:t>
            </w:r>
          </w:p>
        </w:tc>
        <w:tc>
          <w:tcPr>
            <w:tcW w:w="1482" w:type="dxa"/>
            <w:tcBorders>
              <w:top w:val="single" w:sz="4" w:space="0" w:color="000000"/>
              <w:left w:val="nil"/>
              <w:right w:val="nil"/>
            </w:tcBorders>
            <w:shd w:val="clear" w:color="auto" w:fill="auto"/>
            <w:vAlign w:val="center"/>
          </w:tcPr>
          <w:p w14:paraId="5EE80EEA" w14:textId="77777777" w:rsidR="00386F6D" w:rsidRPr="00666914" w:rsidRDefault="00386F6D">
            <w:pPr>
              <w:spacing w:after="0"/>
              <w:jc w:val="center"/>
              <w:rPr>
                <w:color w:val="000000"/>
                <w:sz w:val="20"/>
                <w:szCs w:val="20"/>
              </w:rPr>
            </w:pPr>
            <w:r w:rsidRPr="00666914">
              <w:rPr>
                <w:color w:val="000000"/>
                <w:sz w:val="20"/>
                <w:szCs w:val="20"/>
              </w:rPr>
              <w:t>44,5</w:t>
            </w:r>
          </w:p>
        </w:tc>
        <w:tc>
          <w:tcPr>
            <w:tcW w:w="1481" w:type="dxa"/>
            <w:tcBorders>
              <w:top w:val="single" w:sz="4" w:space="0" w:color="000000"/>
              <w:left w:val="nil"/>
              <w:right w:val="nil"/>
            </w:tcBorders>
            <w:shd w:val="clear" w:color="auto" w:fill="auto"/>
            <w:vAlign w:val="center"/>
          </w:tcPr>
          <w:p w14:paraId="0791183A" w14:textId="77777777" w:rsidR="00386F6D" w:rsidRPr="00666914" w:rsidRDefault="00386F6D">
            <w:pPr>
              <w:spacing w:after="0"/>
              <w:jc w:val="center"/>
              <w:rPr>
                <w:color w:val="000000"/>
                <w:sz w:val="20"/>
                <w:szCs w:val="20"/>
              </w:rPr>
            </w:pPr>
            <w:r w:rsidRPr="00666914">
              <w:rPr>
                <w:color w:val="000000"/>
                <w:sz w:val="20"/>
                <w:szCs w:val="20"/>
              </w:rPr>
              <w:t>46,3</w:t>
            </w:r>
          </w:p>
        </w:tc>
      </w:tr>
      <w:tr w:rsidR="00386F6D" w:rsidRPr="00666914" w14:paraId="015718C3" w14:textId="77777777">
        <w:trPr>
          <w:trHeight w:val="300"/>
        </w:trPr>
        <w:tc>
          <w:tcPr>
            <w:tcW w:w="1985" w:type="dxa"/>
            <w:gridSpan w:val="2"/>
            <w:tcBorders>
              <w:left w:val="nil"/>
              <w:bottom w:val="single" w:sz="4" w:space="0" w:color="000000"/>
              <w:right w:val="nil"/>
            </w:tcBorders>
            <w:shd w:val="clear" w:color="auto" w:fill="auto"/>
            <w:vAlign w:val="center"/>
          </w:tcPr>
          <w:p w14:paraId="19067A24" w14:textId="77777777" w:rsidR="00386F6D" w:rsidRPr="00666914" w:rsidRDefault="00386F6D">
            <w:pPr>
              <w:spacing w:after="0"/>
              <w:jc w:val="left"/>
              <w:rPr>
                <w:b/>
                <w:color w:val="000000"/>
                <w:sz w:val="20"/>
                <w:szCs w:val="20"/>
              </w:rPr>
            </w:pPr>
          </w:p>
        </w:tc>
        <w:tc>
          <w:tcPr>
            <w:tcW w:w="744" w:type="dxa"/>
            <w:tcBorders>
              <w:left w:val="nil"/>
              <w:bottom w:val="single" w:sz="4" w:space="0" w:color="000000"/>
              <w:right w:val="nil"/>
            </w:tcBorders>
            <w:shd w:val="clear" w:color="auto" w:fill="auto"/>
            <w:vAlign w:val="center"/>
          </w:tcPr>
          <w:p w14:paraId="2888871A" w14:textId="77777777" w:rsidR="00386F6D" w:rsidRPr="00666914" w:rsidRDefault="00386F6D">
            <w:pPr>
              <w:spacing w:after="0"/>
              <w:jc w:val="left"/>
              <w:rPr>
                <w:rFonts w:ascii="Calibri" w:hAnsi="Calibri" w:cs="Calibri"/>
                <w:color w:val="000000"/>
              </w:rPr>
            </w:pPr>
          </w:p>
        </w:tc>
        <w:tc>
          <w:tcPr>
            <w:tcW w:w="452" w:type="dxa"/>
            <w:tcBorders>
              <w:left w:val="nil"/>
              <w:bottom w:val="single" w:sz="4" w:space="0" w:color="000000"/>
              <w:right w:val="nil"/>
            </w:tcBorders>
            <w:shd w:val="clear" w:color="auto" w:fill="auto"/>
            <w:vAlign w:val="center"/>
          </w:tcPr>
          <w:p w14:paraId="18B3C9FD" w14:textId="77777777" w:rsidR="00386F6D" w:rsidRPr="00666914" w:rsidRDefault="00386F6D">
            <w:pPr>
              <w:spacing w:after="0"/>
              <w:jc w:val="left"/>
              <w:rPr>
                <w:rFonts w:ascii="Calibri" w:hAnsi="Calibri" w:cs="Calibri"/>
                <w:color w:val="000000"/>
              </w:rPr>
            </w:pPr>
          </w:p>
        </w:tc>
        <w:tc>
          <w:tcPr>
            <w:tcW w:w="864" w:type="dxa"/>
            <w:tcBorders>
              <w:left w:val="nil"/>
              <w:bottom w:val="single" w:sz="4" w:space="0" w:color="000000"/>
              <w:right w:val="nil"/>
            </w:tcBorders>
            <w:shd w:val="clear" w:color="auto" w:fill="auto"/>
            <w:vAlign w:val="center"/>
          </w:tcPr>
          <w:p w14:paraId="4458A4B5" w14:textId="77777777" w:rsidR="00386F6D" w:rsidRPr="00666914" w:rsidRDefault="00386F6D">
            <w:pPr>
              <w:spacing w:after="0"/>
              <w:jc w:val="left"/>
              <w:rPr>
                <w:rFonts w:ascii="Calibri" w:hAnsi="Calibri" w:cs="Calibri"/>
                <w:color w:val="000000"/>
              </w:rPr>
            </w:pPr>
          </w:p>
        </w:tc>
        <w:tc>
          <w:tcPr>
            <w:tcW w:w="582" w:type="dxa"/>
            <w:tcBorders>
              <w:left w:val="nil"/>
              <w:bottom w:val="single" w:sz="4" w:space="0" w:color="000000"/>
              <w:right w:val="nil"/>
            </w:tcBorders>
            <w:shd w:val="clear" w:color="auto" w:fill="auto"/>
            <w:vAlign w:val="center"/>
          </w:tcPr>
          <w:p w14:paraId="17B39DA1" w14:textId="77777777" w:rsidR="00386F6D" w:rsidRPr="00666914" w:rsidRDefault="00386F6D">
            <w:pPr>
              <w:spacing w:after="0"/>
              <w:jc w:val="left"/>
              <w:rPr>
                <w:b/>
                <w:color w:val="000000"/>
                <w:sz w:val="20"/>
                <w:szCs w:val="20"/>
              </w:rPr>
            </w:pPr>
            <w:r w:rsidRPr="00666914">
              <w:rPr>
                <w:b/>
                <w:color w:val="000000"/>
                <w:sz w:val="20"/>
                <w:szCs w:val="20"/>
              </w:rPr>
              <w:t>EU</w:t>
            </w:r>
          </w:p>
        </w:tc>
        <w:tc>
          <w:tcPr>
            <w:tcW w:w="1482" w:type="dxa"/>
            <w:tcBorders>
              <w:left w:val="nil"/>
              <w:bottom w:val="single" w:sz="4" w:space="0" w:color="000000"/>
              <w:right w:val="nil"/>
            </w:tcBorders>
            <w:shd w:val="clear" w:color="auto" w:fill="auto"/>
            <w:vAlign w:val="center"/>
          </w:tcPr>
          <w:p w14:paraId="60B2F637" w14:textId="77777777" w:rsidR="00386F6D" w:rsidRPr="00666914" w:rsidRDefault="00386F6D">
            <w:pPr>
              <w:spacing w:after="0"/>
              <w:jc w:val="center"/>
              <w:rPr>
                <w:color w:val="000000"/>
                <w:sz w:val="20"/>
                <w:szCs w:val="20"/>
              </w:rPr>
            </w:pPr>
            <w:r w:rsidRPr="00666914">
              <w:rPr>
                <w:color w:val="000000"/>
                <w:sz w:val="20"/>
                <w:szCs w:val="20"/>
              </w:rPr>
              <w:t>46,9</w:t>
            </w:r>
          </w:p>
        </w:tc>
        <w:tc>
          <w:tcPr>
            <w:tcW w:w="1482" w:type="dxa"/>
            <w:tcBorders>
              <w:left w:val="nil"/>
              <w:bottom w:val="single" w:sz="4" w:space="0" w:color="000000"/>
              <w:right w:val="nil"/>
            </w:tcBorders>
            <w:shd w:val="clear" w:color="auto" w:fill="auto"/>
            <w:vAlign w:val="center"/>
          </w:tcPr>
          <w:p w14:paraId="4C9C75D2" w14:textId="77777777" w:rsidR="00386F6D" w:rsidRPr="00666914" w:rsidRDefault="00386F6D">
            <w:pPr>
              <w:spacing w:after="0"/>
              <w:jc w:val="center"/>
              <w:rPr>
                <w:color w:val="000000"/>
                <w:sz w:val="20"/>
                <w:szCs w:val="20"/>
              </w:rPr>
            </w:pPr>
            <w:r w:rsidRPr="00666914">
              <w:rPr>
                <w:color w:val="000000"/>
                <w:sz w:val="20"/>
                <w:szCs w:val="20"/>
              </w:rPr>
              <w:t>49,8</w:t>
            </w:r>
          </w:p>
        </w:tc>
        <w:tc>
          <w:tcPr>
            <w:tcW w:w="1481" w:type="dxa"/>
            <w:tcBorders>
              <w:left w:val="nil"/>
              <w:bottom w:val="single" w:sz="4" w:space="0" w:color="000000"/>
              <w:right w:val="nil"/>
            </w:tcBorders>
            <w:shd w:val="clear" w:color="auto" w:fill="auto"/>
            <w:vAlign w:val="center"/>
          </w:tcPr>
          <w:p w14:paraId="2960CAF6" w14:textId="77777777" w:rsidR="00386F6D" w:rsidRPr="00666914" w:rsidRDefault="00386F6D">
            <w:pPr>
              <w:spacing w:after="0"/>
              <w:jc w:val="center"/>
              <w:rPr>
                <w:color w:val="000000"/>
                <w:sz w:val="20"/>
                <w:szCs w:val="20"/>
              </w:rPr>
            </w:pPr>
            <w:r w:rsidRPr="00666914">
              <w:rPr>
                <w:color w:val="000000"/>
                <w:sz w:val="20"/>
                <w:szCs w:val="20"/>
              </w:rPr>
              <w:t>52,5</w:t>
            </w:r>
          </w:p>
        </w:tc>
      </w:tr>
      <w:tr w:rsidR="00386F6D" w:rsidRPr="00666914" w14:paraId="4B5D3162" w14:textId="77777777">
        <w:trPr>
          <w:trHeight w:val="300"/>
        </w:trPr>
        <w:tc>
          <w:tcPr>
            <w:tcW w:w="1985" w:type="dxa"/>
            <w:gridSpan w:val="2"/>
            <w:tcBorders>
              <w:top w:val="single" w:sz="4" w:space="0" w:color="000000"/>
              <w:left w:val="nil"/>
              <w:bottom w:val="single" w:sz="4" w:space="0" w:color="000000"/>
              <w:right w:val="nil"/>
            </w:tcBorders>
            <w:shd w:val="clear" w:color="auto" w:fill="auto"/>
            <w:vAlign w:val="center"/>
          </w:tcPr>
          <w:p w14:paraId="055D98B5" w14:textId="77777777" w:rsidR="00386F6D" w:rsidRPr="00666914" w:rsidRDefault="00386F6D">
            <w:pPr>
              <w:spacing w:after="0"/>
              <w:jc w:val="left"/>
              <w:rPr>
                <w:b/>
                <w:color w:val="000000"/>
                <w:sz w:val="20"/>
                <w:szCs w:val="20"/>
              </w:rPr>
            </w:pPr>
            <w:r w:rsidRPr="00666914">
              <w:rPr>
                <w:b/>
                <w:color w:val="000000"/>
                <w:sz w:val="20"/>
                <w:szCs w:val="20"/>
              </w:rPr>
              <w:t>DESI – pozícia</w:t>
            </w:r>
          </w:p>
        </w:tc>
        <w:tc>
          <w:tcPr>
            <w:tcW w:w="744" w:type="dxa"/>
            <w:tcBorders>
              <w:top w:val="nil"/>
              <w:left w:val="nil"/>
              <w:bottom w:val="single" w:sz="4" w:space="0" w:color="000000"/>
              <w:right w:val="nil"/>
            </w:tcBorders>
            <w:shd w:val="clear" w:color="auto" w:fill="auto"/>
            <w:vAlign w:val="center"/>
          </w:tcPr>
          <w:p w14:paraId="72B7FD24" w14:textId="77777777" w:rsidR="00386F6D" w:rsidRPr="00666914" w:rsidRDefault="00386F6D">
            <w:pPr>
              <w:spacing w:after="0"/>
              <w:jc w:val="left"/>
              <w:rPr>
                <w:rFonts w:ascii="Calibri" w:hAnsi="Calibri" w:cs="Calibri"/>
                <w:color w:val="000000"/>
              </w:rPr>
            </w:pPr>
            <w:r w:rsidRPr="00666914">
              <w:rPr>
                <w:rFonts w:ascii="Calibri" w:hAnsi="Calibri" w:cs="Calibri"/>
                <w:color w:val="000000"/>
              </w:rPr>
              <w:t> </w:t>
            </w:r>
          </w:p>
        </w:tc>
        <w:tc>
          <w:tcPr>
            <w:tcW w:w="452" w:type="dxa"/>
            <w:tcBorders>
              <w:top w:val="nil"/>
              <w:left w:val="nil"/>
              <w:bottom w:val="single" w:sz="4" w:space="0" w:color="000000"/>
              <w:right w:val="nil"/>
            </w:tcBorders>
            <w:shd w:val="clear" w:color="auto" w:fill="auto"/>
            <w:vAlign w:val="center"/>
          </w:tcPr>
          <w:p w14:paraId="17774BEB" w14:textId="77777777" w:rsidR="00386F6D" w:rsidRPr="00666914" w:rsidRDefault="00386F6D">
            <w:pPr>
              <w:spacing w:after="0"/>
              <w:jc w:val="left"/>
              <w:rPr>
                <w:rFonts w:ascii="Calibri" w:hAnsi="Calibri" w:cs="Calibri"/>
                <w:color w:val="000000"/>
              </w:rPr>
            </w:pPr>
            <w:r w:rsidRPr="00666914">
              <w:rPr>
                <w:rFonts w:ascii="Calibri" w:hAnsi="Calibri" w:cs="Calibri"/>
                <w:color w:val="000000"/>
              </w:rPr>
              <w:t> </w:t>
            </w:r>
          </w:p>
        </w:tc>
        <w:tc>
          <w:tcPr>
            <w:tcW w:w="864" w:type="dxa"/>
            <w:tcBorders>
              <w:top w:val="nil"/>
              <w:left w:val="nil"/>
              <w:bottom w:val="single" w:sz="4" w:space="0" w:color="000000"/>
              <w:right w:val="nil"/>
            </w:tcBorders>
            <w:shd w:val="clear" w:color="auto" w:fill="auto"/>
            <w:vAlign w:val="center"/>
          </w:tcPr>
          <w:p w14:paraId="56A837EF" w14:textId="77777777" w:rsidR="00386F6D" w:rsidRPr="00666914" w:rsidRDefault="00386F6D">
            <w:pPr>
              <w:spacing w:after="0"/>
              <w:jc w:val="left"/>
              <w:rPr>
                <w:rFonts w:ascii="Calibri" w:hAnsi="Calibri" w:cs="Calibri"/>
                <w:color w:val="000000"/>
              </w:rPr>
            </w:pPr>
            <w:r w:rsidRPr="00666914">
              <w:rPr>
                <w:rFonts w:ascii="Calibri" w:hAnsi="Calibri" w:cs="Calibri"/>
                <w:color w:val="000000"/>
              </w:rPr>
              <w:t> </w:t>
            </w:r>
          </w:p>
        </w:tc>
        <w:tc>
          <w:tcPr>
            <w:tcW w:w="582" w:type="dxa"/>
            <w:tcBorders>
              <w:top w:val="nil"/>
              <w:left w:val="nil"/>
              <w:bottom w:val="single" w:sz="4" w:space="0" w:color="000000"/>
              <w:right w:val="nil"/>
            </w:tcBorders>
            <w:shd w:val="clear" w:color="auto" w:fill="auto"/>
            <w:vAlign w:val="center"/>
          </w:tcPr>
          <w:p w14:paraId="0E76A332" w14:textId="77777777" w:rsidR="00386F6D" w:rsidRPr="00666914" w:rsidRDefault="00386F6D">
            <w:pPr>
              <w:spacing w:after="0"/>
              <w:jc w:val="left"/>
              <w:rPr>
                <w:b/>
                <w:color w:val="000000"/>
                <w:sz w:val="20"/>
                <w:szCs w:val="20"/>
              </w:rPr>
            </w:pPr>
            <w:r w:rsidRPr="00666914">
              <w:rPr>
                <w:b/>
                <w:color w:val="000000"/>
                <w:sz w:val="20"/>
                <w:szCs w:val="20"/>
              </w:rPr>
              <w:t>SK</w:t>
            </w:r>
          </w:p>
        </w:tc>
        <w:tc>
          <w:tcPr>
            <w:tcW w:w="1482" w:type="dxa"/>
            <w:tcBorders>
              <w:top w:val="nil"/>
              <w:left w:val="nil"/>
              <w:bottom w:val="single" w:sz="4" w:space="0" w:color="000000"/>
              <w:right w:val="nil"/>
            </w:tcBorders>
            <w:shd w:val="clear" w:color="auto" w:fill="auto"/>
            <w:vAlign w:val="center"/>
          </w:tcPr>
          <w:p w14:paraId="785F60B2" w14:textId="77777777" w:rsidR="00386F6D" w:rsidRPr="00666914" w:rsidRDefault="00386F6D">
            <w:pPr>
              <w:spacing w:after="0"/>
              <w:jc w:val="center"/>
              <w:rPr>
                <w:b/>
                <w:color w:val="000000"/>
                <w:sz w:val="20"/>
                <w:szCs w:val="20"/>
              </w:rPr>
            </w:pPr>
            <w:r w:rsidRPr="00666914">
              <w:rPr>
                <w:b/>
                <w:color w:val="000000"/>
                <w:sz w:val="20"/>
                <w:szCs w:val="20"/>
              </w:rPr>
              <w:t>21</w:t>
            </w:r>
          </w:p>
        </w:tc>
        <w:tc>
          <w:tcPr>
            <w:tcW w:w="1482" w:type="dxa"/>
            <w:tcBorders>
              <w:top w:val="nil"/>
              <w:left w:val="nil"/>
              <w:bottom w:val="single" w:sz="4" w:space="0" w:color="000000"/>
              <w:right w:val="nil"/>
            </w:tcBorders>
            <w:shd w:val="clear" w:color="auto" w:fill="auto"/>
            <w:vAlign w:val="center"/>
          </w:tcPr>
          <w:p w14:paraId="7E0D7AF4" w14:textId="77777777" w:rsidR="00386F6D" w:rsidRPr="00666914" w:rsidRDefault="00386F6D">
            <w:pPr>
              <w:spacing w:after="0"/>
              <w:jc w:val="center"/>
              <w:rPr>
                <w:b/>
                <w:color w:val="000000"/>
                <w:sz w:val="20"/>
                <w:szCs w:val="20"/>
              </w:rPr>
            </w:pPr>
            <w:r w:rsidRPr="00666914">
              <w:rPr>
                <w:b/>
                <w:color w:val="000000"/>
                <w:sz w:val="20"/>
                <w:szCs w:val="20"/>
              </w:rPr>
              <w:t>20</w:t>
            </w:r>
          </w:p>
        </w:tc>
        <w:tc>
          <w:tcPr>
            <w:tcW w:w="1481" w:type="dxa"/>
            <w:tcBorders>
              <w:top w:val="nil"/>
              <w:left w:val="nil"/>
              <w:bottom w:val="single" w:sz="4" w:space="0" w:color="000000"/>
              <w:right w:val="nil"/>
            </w:tcBorders>
            <w:shd w:val="clear" w:color="auto" w:fill="auto"/>
            <w:vAlign w:val="center"/>
          </w:tcPr>
          <w:p w14:paraId="6632F13A" w14:textId="77777777" w:rsidR="00386F6D" w:rsidRPr="00666914" w:rsidRDefault="00386F6D">
            <w:pPr>
              <w:spacing w:after="0"/>
              <w:jc w:val="center"/>
              <w:rPr>
                <w:b/>
                <w:color w:val="000000"/>
                <w:sz w:val="20"/>
                <w:szCs w:val="20"/>
              </w:rPr>
            </w:pPr>
            <w:r w:rsidRPr="00666914">
              <w:rPr>
                <w:b/>
                <w:color w:val="000000"/>
                <w:sz w:val="20"/>
                <w:szCs w:val="20"/>
              </w:rPr>
              <w:t>21</w:t>
            </w:r>
          </w:p>
        </w:tc>
      </w:tr>
      <w:tr w:rsidR="00386F6D" w:rsidRPr="00666914" w14:paraId="15EEFAA5" w14:textId="77777777">
        <w:trPr>
          <w:trHeight w:val="255"/>
        </w:trPr>
        <w:tc>
          <w:tcPr>
            <w:tcW w:w="9072" w:type="dxa"/>
            <w:gridSpan w:val="9"/>
            <w:tcBorders>
              <w:top w:val="single" w:sz="4" w:space="0" w:color="000000"/>
              <w:left w:val="nil"/>
              <w:bottom w:val="nil"/>
              <w:right w:val="nil"/>
            </w:tcBorders>
            <w:shd w:val="clear" w:color="auto" w:fill="auto"/>
            <w:vAlign w:val="center"/>
          </w:tcPr>
          <w:p w14:paraId="513C6B58" w14:textId="77777777" w:rsidR="00386F6D" w:rsidRPr="00666914" w:rsidRDefault="00386F6D">
            <w:pPr>
              <w:spacing w:after="0"/>
              <w:jc w:val="right"/>
              <w:rPr>
                <w:i/>
                <w:color w:val="000000"/>
                <w:sz w:val="20"/>
                <w:szCs w:val="20"/>
              </w:rPr>
            </w:pPr>
            <w:r w:rsidRPr="00666914">
              <w:rPr>
                <w:i/>
                <w:color w:val="000000"/>
                <w:sz w:val="18"/>
                <w:szCs w:val="18"/>
              </w:rPr>
              <w:t>Zdroj: DESI hodnotenie, EK 2017-2019</w:t>
            </w:r>
          </w:p>
        </w:tc>
      </w:tr>
    </w:tbl>
    <w:p w14:paraId="0C124018" w14:textId="77777777" w:rsidR="00386F6D" w:rsidRPr="00666914" w:rsidRDefault="00386F6D">
      <w:pPr>
        <w:spacing w:after="0"/>
        <w:rPr>
          <w:b/>
        </w:rPr>
      </w:pPr>
    </w:p>
    <w:p w14:paraId="33319C61" w14:textId="77777777" w:rsidR="00386F6D" w:rsidRPr="00666914" w:rsidRDefault="00386F6D">
      <w:pPr>
        <w:spacing w:after="0"/>
        <w:rPr>
          <w:b/>
          <w:strike/>
        </w:rPr>
      </w:pPr>
      <w:r w:rsidRPr="00666914">
        <w:rPr>
          <w:b/>
        </w:rPr>
        <w:t>V roku 2016 identifikovala revízia výdavkov na informatizáciu</w:t>
      </w:r>
      <w:r w:rsidRPr="00666914">
        <w:rPr>
          <w:rStyle w:val="Odkaznapoznmkupodiarou"/>
          <w:b/>
        </w:rPr>
        <w:footnoteReference w:id="102"/>
      </w:r>
      <w:r w:rsidRPr="00666914">
        <w:rPr>
          <w:b/>
        </w:rPr>
        <w:t xml:space="preserve"> potenciálnu ročnú úsporu vo výške </w:t>
      </w:r>
      <w:sdt>
        <w:sdtPr>
          <w:tag w:val="goog_rdk_0"/>
          <w:id w:val="1937168657"/>
        </w:sdtPr>
        <w:sdtEndPr/>
        <w:sdtContent/>
      </w:sdt>
      <w:sdt>
        <w:sdtPr>
          <w:tag w:val="goog_rdk_1"/>
          <w:id w:val="-766776435"/>
        </w:sdtPr>
        <w:sdtEndPr/>
        <w:sdtContent/>
      </w:sdt>
      <w:sdt>
        <w:sdtPr>
          <w:tag w:val="goog_rdk_2"/>
          <w:id w:val="-392886369"/>
        </w:sdtPr>
        <w:sdtEndPr/>
        <w:sdtContent/>
      </w:sdt>
      <w:r w:rsidRPr="00666914">
        <w:rPr>
          <w:b/>
        </w:rPr>
        <w:t xml:space="preserve">25,5 – 48,5 mil. eur. Očakávaná úspora sa do 12/2019 nezrealizovala. </w:t>
      </w:r>
      <w:r w:rsidRPr="00666914">
        <w:t>Definované úsporné opatrenia neboli splnené, resp. sa ich plnenie nedá vyhodnotiť</w:t>
      </w:r>
      <w:r w:rsidRPr="00666914">
        <w:rPr>
          <w:vertAlign w:val="superscript"/>
        </w:rPr>
        <w:footnoteReference w:id="103"/>
      </w:r>
      <w:r w:rsidRPr="00666914">
        <w:t xml:space="preserve">. Doručené migračné plány rezortov naďalej neobsahujú kalkuláciu finančného </w:t>
      </w:r>
      <w:r w:rsidRPr="00666914">
        <w:lastRenderedPageBreak/>
        <w:t>dopadu migrácie do vládneho cloudu na IT rozpočty kapitol. V migračných projektoch podporených prostredníctvom dopytovej výzvy bola identifikovaná celková potenciálna úspora</w:t>
      </w:r>
      <w:r w:rsidRPr="00666914">
        <w:rPr>
          <w:vertAlign w:val="superscript"/>
        </w:rPr>
        <w:footnoteReference w:id="104"/>
      </w:r>
      <w:r w:rsidRPr="00666914">
        <w:t xml:space="preserve"> vo výške 14,8 mil. eur</w:t>
      </w:r>
      <w:r w:rsidRPr="00666914">
        <w:rPr>
          <w:vertAlign w:val="superscript"/>
        </w:rPr>
        <w:footnoteReference w:id="105"/>
      </w:r>
      <w:r w:rsidRPr="00666914">
        <w:t xml:space="preserve">, realizovať sa však začne až po migrácii projektov do vládneho cloudu (2020, resp. 2021). Na centralizácii podporných IT služieb od prijatia revízie výdavkov nezačal ÚPVII pracovať, nebola uzatvorená ani zmluva na zabezpečenie licencií Microsoft. </w:t>
      </w:r>
    </w:p>
    <w:p w14:paraId="11490FE8" w14:textId="77777777" w:rsidR="00386F6D" w:rsidRPr="00666914" w:rsidRDefault="00386F6D">
      <w:pPr>
        <w:spacing w:before="240" w:after="0"/>
      </w:pPr>
      <w:r w:rsidRPr="00666914">
        <w:rPr>
          <w:b/>
        </w:rPr>
        <w:t>Pri opatreniach na zvýšenie hodnoty došlo k čiastkovému pokroku, pre vyhodnotenie ich vplyvu na využívanie elektronických služieb ale chýbajú údaje na úrovni konkrétnych služieb</w:t>
      </w:r>
      <w:r w:rsidRPr="00666914">
        <w:rPr>
          <w:b/>
          <w:vertAlign w:val="superscript"/>
        </w:rPr>
        <w:footnoteReference w:id="106"/>
      </w:r>
      <w:r w:rsidRPr="00666914">
        <w:rPr>
          <w:b/>
        </w:rPr>
        <w:t xml:space="preserve">. </w:t>
      </w:r>
      <w:r w:rsidRPr="00666914">
        <w:t>V roku 2017 došlo k zníženiu úrovne zabezpečenia elektronických podaní, podarilo sa nastaviť aj proces automatického vydávania BOK ku eID na klientskych centrách. Napriek tomu je na využitie takmer polovice elektronických služieb potrebný elektronický podpis, ktorý má nahraný len 10 % (317 tis.) platných občianskych preukazov</w:t>
      </w:r>
      <w:r w:rsidRPr="00666914">
        <w:rPr>
          <w:vertAlign w:val="superscript"/>
        </w:rPr>
        <w:footnoteReference w:id="107"/>
      </w:r>
      <w:r w:rsidRPr="00666914">
        <w:t xml:space="preserve">. Elektronické schránky používajú predovšetkým právnické osoby, počet fyzických osôb s aktivovanou elektronickou schránkou postupne narastá (o 23 tis. v roku 2019). Schránok fyzických osôb aktivovaných na doručovanie je ale stále len 106 tis (3,5 % občanov s platným eID). Monitoring využitia IS VS funguje len čiastočne, náklady na transakciu nie sú dostupné ani pre všetky najväčšie prevádzkované systémy s nákladmi nad 100 tis. eur ročne. </w:t>
      </w:r>
    </w:p>
    <w:p w14:paraId="3AF3E284" w14:textId="77777777" w:rsidR="00386F6D" w:rsidRPr="00666914" w:rsidRDefault="00386F6D">
      <w:pPr>
        <w:spacing w:before="240" w:after="0"/>
      </w:pPr>
      <w:r w:rsidRPr="00666914">
        <w:rPr>
          <w:b/>
        </w:rPr>
        <w:t xml:space="preserve">Projekty s potenciálom zlepšiť súčasný stav informatizácie (mobilné ID, využitie eID v komerčnej sfére) neboli od dátumu schválenia revízie v 10/2016 do 12/2019 realizované, resp. sa pokrok v ich realizácii nedá vyhodnotiť. </w:t>
      </w:r>
      <w:r w:rsidRPr="00666914">
        <w:t>Podľa akčného plánu Revízie výdavkov na informatizáciu aj NKIVS</w:t>
      </w:r>
      <w:r w:rsidRPr="00666914">
        <w:rPr>
          <w:vertAlign w:val="superscript"/>
        </w:rPr>
        <w:footnoteReference w:id="108"/>
      </w:r>
      <w:r w:rsidRPr="00666914">
        <w:t xml:space="preserve"> malo byť prihlasovanie mobilom funkčné od roku 2017, nebolo však dokončené ani v roku 2019. Vytvorený UX dizajn manuál</w:t>
      </w:r>
      <w:r w:rsidRPr="00666914">
        <w:rPr>
          <w:vertAlign w:val="superscript"/>
        </w:rPr>
        <w:footnoteReference w:id="109"/>
      </w:r>
      <w:r w:rsidRPr="00666914">
        <w:t xml:space="preserve"> nepriniesol zlepšenie používateľskej kvality elektronických služieb, pretože jeho používanie nie je záväzné.</w:t>
      </w:r>
    </w:p>
    <w:p w14:paraId="3945B460" w14:textId="77777777" w:rsidR="00386F6D" w:rsidRPr="00666914" w:rsidRDefault="00386F6D">
      <w:pPr>
        <w:spacing w:before="240" w:after="120"/>
      </w:pPr>
      <w:r w:rsidRPr="00666914">
        <w:rPr>
          <w:b/>
        </w:rPr>
        <w:t xml:space="preserve">Nová metodika pre prípravu IT projektov a zjednotenie pravidiel ich hodnotenia prispeli k úspore nákladov voči prvotnému odhadu v priemere o 15 %. </w:t>
      </w:r>
      <w:r w:rsidRPr="00666914">
        <w:t xml:space="preserve">Hodnotením ÚHP MF SR prešlo celkovo 56 projektov s investičnými a prevádzkovými nákladmi 1,329 mld. eur, </w:t>
      </w:r>
      <w:sdt>
        <w:sdtPr>
          <w:tag w:val="goog_rdk_3"/>
          <w:id w:val="508948374"/>
        </w:sdtPr>
        <w:sdtEndPr/>
        <w:sdtContent/>
      </w:sdt>
      <w:sdt>
        <w:sdtPr>
          <w:tag w:val="goog_rdk_4"/>
          <w:id w:val="-1027177411"/>
        </w:sdtPr>
        <w:sdtEndPr/>
        <w:sdtContent/>
      </w:sdt>
      <w:sdt>
        <w:sdtPr>
          <w:tag w:val="goog_rdk_5"/>
          <w:id w:val="-2068332287"/>
        </w:sdtPr>
        <w:sdtEndPr/>
        <w:sdtContent/>
      </w:sdt>
      <w:r w:rsidRPr="00666914">
        <w:t>odhadovaná úspora nákladov voči prvotnému odhadu je v priemere 15 %</w:t>
      </w:r>
      <w:r w:rsidRPr="00666914">
        <w:rPr>
          <w:vertAlign w:val="superscript"/>
        </w:rPr>
        <w:footnoteReference w:id="110"/>
      </w:r>
      <w:r w:rsidRPr="00666914">
        <w:t xml:space="preserve">. ÚHP MF SR  má posudzovať všetky investičné projekty s nákladmi nad 10 mil. eur, v prípade spolufinancovania z fondov EÚ sú hodnotené aj projekty s nižšími nákladmi. </w:t>
      </w:r>
    </w:p>
    <w:p w14:paraId="42259939" w14:textId="77777777" w:rsidR="00386F6D" w:rsidRPr="00666914" w:rsidRDefault="00386F6D">
      <w:pPr>
        <w:spacing w:before="240"/>
        <w:rPr>
          <w:b/>
        </w:rPr>
      </w:pPr>
      <w:r w:rsidRPr="00666914">
        <w:rPr>
          <w:b/>
        </w:rPr>
        <w:t>V roku 2019 ÚHP MF SR posudzoval 23 projektov, ku ktorým publikoval stanovisko. Projekty boli zaslané na posúdenie v súlade s Rámcom na hodnotenie verejných investičných projektov</w:t>
      </w:r>
      <w:r w:rsidRPr="00666914">
        <w:rPr>
          <w:b/>
          <w:vertAlign w:val="superscript"/>
        </w:rPr>
        <w:footnoteReference w:id="111"/>
      </w:r>
      <w:r w:rsidRPr="00666914">
        <w:rPr>
          <w:b/>
        </w:rPr>
        <w:t xml:space="preserve">. Výber projektov by ďalej zlepšilo plné dokončenie zásobníka projektov. </w:t>
      </w:r>
      <w:r w:rsidRPr="00666914">
        <w:t xml:space="preserve">Verejný zásobník projektov by mal obsahovať všetky pripravované projekty bez ohľadu na zdroj financovania, zoznam projektov by mal byť pravidelne aktualizovaný (každých 6 mesiacov). </w:t>
      </w:r>
    </w:p>
    <w:p w14:paraId="3773EB16" w14:textId="77777777" w:rsidR="00386F6D" w:rsidRPr="00666914" w:rsidRDefault="00386F6D">
      <w:pPr>
        <w:spacing w:after="0"/>
        <w:rPr>
          <w:b/>
        </w:rPr>
      </w:pPr>
      <w:r w:rsidRPr="00666914">
        <w:rPr>
          <w:b/>
        </w:rPr>
        <w:t xml:space="preserve">Oproti roku 2016, keď bola prijatá Revízia výdavkov na informatizáciu boli výdavky na IT v roku 2019 vyššie o 15 % (70 mil. eur). </w:t>
      </w:r>
      <w:r w:rsidRPr="00666914">
        <w:t xml:space="preserve">Štát vynakladá na prevádzku a investície v oblasti IT viac ako 500 mil. eur </w:t>
      </w:r>
      <w:sdt>
        <w:sdtPr>
          <w:tag w:val="goog_rdk_6"/>
          <w:id w:val="1536237688"/>
        </w:sdtPr>
        <w:sdtEndPr/>
        <w:sdtContent/>
      </w:sdt>
      <w:sdt>
        <w:sdtPr>
          <w:tag w:val="goog_rdk_7"/>
          <w:id w:val="-286583405"/>
        </w:sdtPr>
        <w:sdtEndPr/>
        <w:sdtContent/>
      </w:sdt>
      <w:r w:rsidRPr="00666914">
        <w:t xml:space="preserve">ročne, z toho dve tretiny tvoria bežné výdavky. Výdavky na prevádzku medziročne rastú, oproti roku 2018 stúpli o 5 %. </w:t>
      </w:r>
      <w:r w:rsidRPr="00666914">
        <w:rPr>
          <w:b/>
        </w:rPr>
        <w:t xml:space="preserve">Hodnoverné hodnotenie výdavkov na úrovni informačných systémov nie je v súčasnosti možné. Problémom je aj nepresné používanie kategórií ekonomickej klasifikácie </w:t>
      </w:r>
      <w:r w:rsidRPr="00666914">
        <w:t>(viď opatrenie 16).</w:t>
      </w:r>
    </w:p>
    <w:p w14:paraId="750E7A7D" w14:textId="77777777" w:rsidR="00386F6D" w:rsidRPr="00666914" w:rsidRDefault="00386F6D">
      <w:pPr>
        <w:spacing w:line="259" w:lineRule="auto"/>
        <w:jc w:val="left"/>
      </w:pPr>
      <w:bookmarkStart w:id="242" w:name="_heading=h.3znysh7" w:colFirst="0" w:colLast="0"/>
      <w:bookmarkEnd w:id="242"/>
      <w:r w:rsidRPr="00666914">
        <w:br w:type="page"/>
      </w:r>
    </w:p>
    <w:p w14:paraId="477E02E6" w14:textId="65B0DE43" w:rsidR="00386F6D" w:rsidRPr="00666914" w:rsidRDefault="001E2179">
      <w:pPr>
        <w:pBdr>
          <w:bottom w:val="single" w:sz="4" w:space="1" w:color="000000"/>
        </w:pBdr>
        <w:spacing w:after="0"/>
        <w:rPr>
          <w:b/>
          <w:sz w:val="20"/>
          <w:szCs w:val="20"/>
        </w:rPr>
      </w:pPr>
      <w:r w:rsidRPr="00666914">
        <w:rPr>
          <w:b/>
          <w:sz w:val="20"/>
          <w:szCs w:val="20"/>
        </w:rPr>
        <w:lastRenderedPageBreak/>
        <w:t xml:space="preserve"> </w:t>
      </w:r>
      <w:bookmarkStart w:id="243" w:name="_Toc38390056"/>
      <w:r w:rsidRPr="00666914">
        <w:rPr>
          <w:b/>
          <w:sz w:val="20"/>
          <w:szCs w:val="20"/>
        </w:rPr>
        <w:t xml:space="preserve">Graf </w:t>
      </w:r>
      <w:r w:rsidRPr="00666914">
        <w:rPr>
          <w:b/>
          <w:sz w:val="20"/>
          <w:szCs w:val="20"/>
        </w:rPr>
        <w:fldChar w:fldCharType="begin"/>
      </w:r>
      <w:r w:rsidRPr="00666914">
        <w:rPr>
          <w:b/>
          <w:sz w:val="20"/>
          <w:szCs w:val="20"/>
        </w:rPr>
        <w:instrText xml:space="preserve"> SEQ Graf \* ARABIC   \* MERGEFORMAT </w:instrText>
      </w:r>
      <w:r w:rsidRPr="00666914">
        <w:rPr>
          <w:b/>
          <w:sz w:val="20"/>
          <w:szCs w:val="20"/>
        </w:rPr>
        <w:fldChar w:fldCharType="separate"/>
      </w:r>
      <w:r w:rsidR="005A7304">
        <w:rPr>
          <w:b/>
          <w:noProof/>
          <w:sz w:val="20"/>
          <w:szCs w:val="20"/>
        </w:rPr>
        <w:t>12</w:t>
      </w:r>
      <w:r w:rsidRPr="00666914">
        <w:rPr>
          <w:b/>
          <w:sz w:val="20"/>
          <w:szCs w:val="20"/>
        </w:rPr>
        <w:fldChar w:fldCharType="end"/>
      </w:r>
      <w:r w:rsidR="00386F6D" w:rsidRPr="00666914">
        <w:rPr>
          <w:b/>
          <w:sz w:val="20"/>
          <w:szCs w:val="20"/>
        </w:rPr>
        <w:t>: Vývoj bežných a kapitálových výdavkov na IT (v mil. eur)</w:t>
      </w:r>
      <w:bookmarkEnd w:id="243"/>
    </w:p>
    <w:p w14:paraId="48420433" w14:textId="77777777" w:rsidR="00386F6D" w:rsidRPr="00666914" w:rsidRDefault="00386F6D">
      <w:pPr>
        <w:spacing w:after="0"/>
        <w:rPr>
          <w:b/>
        </w:rPr>
      </w:pPr>
      <w:r w:rsidRPr="00666914">
        <w:rPr>
          <w:noProof/>
          <w:lang w:eastAsia="sk-SK"/>
        </w:rPr>
        <w:drawing>
          <wp:inline distT="0" distB="0" distL="0" distR="0" wp14:anchorId="175789C7" wp14:editId="46E3D010">
            <wp:extent cx="5762625" cy="2743200"/>
            <wp:effectExtent l="0" t="0" r="0" b="0"/>
            <wp:docPr id="68" name="Graf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7A7FFC8" w14:textId="77777777" w:rsidR="00386F6D" w:rsidRPr="00666914" w:rsidRDefault="00386F6D">
      <w:pPr>
        <w:pBdr>
          <w:top w:val="single" w:sz="4" w:space="1" w:color="000000"/>
        </w:pBdr>
        <w:spacing w:after="0"/>
        <w:jc w:val="right"/>
        <w:rPr>
          <w:i/>
          <w:sz w:val="20"/>
          <w:szCs w:val="20"/>
        </w:rPr>
      </w:pPr>
      <w:r w:rsidRPr="00666914">
        <w:rPr>
          <w:i/>
          <w:sz w:val="20"/>
          <w:szCs w:val="20"/>
        </w:rPr>
        <w:t>Zdroj: RIS</w:t>
      </w:r>
    </w:p>
    <w:p w14:paraId="730C5AAB" w14:textId="77777777" w:rsidR="00386F6D" w:rsidRPr="00666914" w:rsidRDefault="00386F6D">
      <w:pPr>
        <w:pBdr>
          <w:top w:val="single" w:sz="4" w:space="1" w:color="000000"/>
        </w:pBdr>
        <w:spacing w:after="0"/>
        <w:jc w:val="right"/>
        <w:rPr>
          <w:i/>
          <w:sz w:val="20"/>
          <w:szCs w:val="20"/>
        </w:rPr>
      </w:pPr>
    </w:p>
    <w:p w14:paraId="3BFF491C" w14:textId="4BEB43D3" w:rsidR="00386F6D" w:rsidRPr="00666914" w:rsidRDefault="00386F6D" w:rsidP="003E2457">
      <w:pPr>
        <w:pBdr>
          <w:top w:val="nil"/>
          <w:left w:val="nil"/>
          <w:right w:val="nil"/>
          <w:between w:val="nil"/>
        </w:pBdr>
        <w:spacing w:after="0"/>
        <w:rPr>
          <w:b/>
          <w:color w:val="000000"/>
          <w:sz w:val="20"/>
          <w:szCs w:val="20"/>
        </w:rPr>
      </w:pPr>
      <w:bookmarkStart w:id="244" w:name="_heading=h.2et92p0" w:colFirst="0" w:colLast="0"/>
      <w:bookmarkStart w:id="245" w:name="_Toc38447704"/>
      <w:bookmarkEnd w:id="244"/>
      <w:r w:rsidRPr="00666914">
        <w:rPr>
          <w:b/>
          <w:color w:val="000000"/>
          <w:sz w:val="20"/>
          <w:szCs w:val="20"/>
        </w:rPr>
        <w:t xml:space="preserve">Tabuľka </w:t>
      </w:r>
      <w:r w:rsidR="00A232BD" w:rsidRPr="00666914">
        <w:rPr>
          <w:b/>
          <w:sz w:val="20"/>
          <w:szCs w:val="20"/>
        </w:rPr>
        <w:fldChar w:fldCharType="begin"/>
      </w:r>
      <w:r w:rsidR="00A232BD" w:rsidRPr="00666914">
        <w:rPr>
          <w:b/>
          <w:sz w:val="20"/>
          <w:szCs w:val="20"/>
        </w:rPr>
        <w:instrText xml:space="preserve"> SEQ Tabuľka \* ARABIC \* MERGEFORMAT </w:instrText>
      </w:r>
      <w:r w:rsidR="00A232BD" w:rsidRPr="00666914">
        <w:rPr>
          <w:b/>
          <w:sz w:val="20"/>
          <w:szCs w:val="20"/>
        </w:rPr>
        <w:fldChar w:fldCharType="separate"/>
      </w:r>
      <w:r w:rsidR="005A7304">
        <w:rPr>
          <w:b/>
          <w:noProof/>
          <w:sz w:val="20"/>
          <w:szCs w:val="20"/>
        </w:rPr>
        <w:t>43</w:t>
      </w:r>
      <w:r w:rsidR="00A232BD" w:rsidRPr="00666914">
        <w:rPr>
          <w:b/>
          <w:sz w:val="20"/>
          <w:szCs w:val="20"/>
        </w:rPr>
        <w:fldChar w:fldCharType="end"/>
      </w:r>
      <w:r w:rsidRPr="00666914">
        <w:rPr>
          <w:b/>
          <w:color w:val="000000"/>
          <w:sz w:val="20"/>
          <w:szCs w:val="20"/>
        </w:rPr>
        <w:t>: Plnenie hlavných odporúčaní IJ ÚV SR pre ÚPVII v Priebežnej implementačnej správe 2019</w:t>
      </w:r>
      <w:bookmarkEnd w:id="245"/>
    </w:p>
    <w:tbl>
      <w:tblPr>
        <w:tblW w:w="9072" w:type="dxa"/>
        <w:tblLayout w:type="fixed"/>
        <w:tblLook w:val="0400" w:firstRow="0" w:lastRow="0" w:firstColumn="0" w:lastColumn="0" w:noHBand="0" w:noVBand="1"/>
      </w:tblPr>
      <w:tblGrid>
        <w:gridCol w:w="7372"/>
        <w:gridCol w:w="1700"/>
      </w:tblGrid>
      <w:tr w:rsidR="00386F6D" w:rsidRPr="00666914" w14:paraId="23392648" w14:textId="77777777">
        <w:trPr>
          <w:trHeight w:val="567"/>
        </w:trPr>
        <w:tc>
          <w:tcPr>
            <w:tcW w:w="7372" w:type="dxa"/>
            <w:tcBorders>
              <w:top w:val="single" w:sz="4" w:space="0" w:color="000000"/>
              <w:left w:val="nil"/>
              <w:bottom w:val="nil"/>
              <w:right w:val="nil"/>
            </w:tcBorders>
            <w:shd w:val="clear" w:color="auto" w:fill="auto"/>
            <w:vAlign w:val="center"/>
          </w:tcPr>
          <w:p w14:paraId="4BA47BBB" w14:textId="77777777" w:rsidR="00386F6D" w:rsidRPr="00666914" w:rsidRDefault="00386F6D">
            <w:pPr>
              <w:spacing w:after="0"/>
              <w:jc w:val="left"/>
              <w:rPr>
                <w:sz w:val="20"/>
                <w:szCs w:val="20"/>
              </w:rPr>
            </w:pPr>
            <w:r w:rsidRPr="00666914">
              <w:rPr>
                <w:sz w:val="20"/>
                <w:szCs w:val="20"/>
              </w:rPr>
              <w:t>Upraviť rozpočty kapitol o finančný vplyv migrácie do cloudu</w:t>
            </w:r>
          </w:p>
        </w:tc>
        <w:tc>
          <w:tcPr>
            <w:tcW w:w="1700" w:type="dxa"/>
            <w:tcBorders>
              <w:top w:val="single" w:sz="4" w:space="0" w:color="000000"/>
              <w:left w:val="nil"/>
              <w:bottom w:val="nil"/>
              <w:right w:val="nil"/>
            </w:tcBorders>
            <w:shd w:val="clear" w:color="auto" w:fill="auto"/>
            <w:vAlign w:val="center"/>
          </w:tcPr>
          <w:p w14:paraId="002B967F" w14:textId="77777777" w:rsidR="00386F6D" w:rsidRPr="00666914" w:rsidRDefault="00386F6D">
            <w:pPr>
              <w:tabs>
                <w:tab w:val="left" w:pos="8222"/>
              </w:tabs>
              <w:spacing w:after="0"/>
              <w:rPr>
                <w:sz w:val="20"/>
                <w:szCs w:val="20"/>
              </w:rPr>
            </w:pPr>
            <w:r w:rsidRPr="00666914">
              <w:rPr>
                <w:noProof/>
                <w:lang w:eastAsia="sk-SK"/>
              </w:rPr>
              <w:drawing>
                <wp:anchor distT="0" distB="0" distL="114300" distR="114300" simplePos="0" relativeHeight="251659264" behindDoc="0" locked="0" layoutInCell="1" hidden="0" allowOverlap="1" wp14:anchorId="76707FC2" wp14:editId="54E22F02">
                  <wp:simplePos x="0" y="0"/>
                  <wp:positionH relativeFrom="column">
                    <wp:posOffset>346075</wp:posOffset>
                  </wp:positionH>
                  <wp:positionV relativeFrom="paragraph">
                    <wp:posOffset>0</wp:posOffset>
                  </wp:positionV>
                  <wp:extent cx="234315" cy="234315"/>
                  <wp:effectExtent l="0" t="0" r="0" b="0"/>
                  <wp:wrapSquare wrapText="bothSides" distT="0" distB="0" distL="114300" distR="114300"/>
                  <wp:docPr id="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6"/>
                          <a:srcRect/>
                          <a:stretch>
                            <a:fillRect/>
                          </a:stretch>
                        </pic:blipFill>
                        <pic:spPr>
                          <a:xfrm>
                            <a:off x="0" y="0"/>
                            <a:ext cx="234315" cy="234315"/>
                          </a:xfrm>
                          <a:prstGeom prst="rect">
                            <a:avLst/>
                          </a:prstGeom>
                          <a:ln/>
                        </pic:spPr>
                      </pic:pic>
                    </a:graphicData>
                  </a:graphic>
                </wp:anchor>
              </w:drawing>
            </w:r>
          </w:p>
        </w:tc>
      </w:tr>
      <w:tr w:rsidR="00386F6D" w:rsidRPr="00666914" w14:paraId="42F41686" w14:textId="77777777">
        <w:trPr>
          <w:trHeight w:val="567"/>
        </w:trPr>
        <w:tc>
          <w:tcPr>
            <w:tcW w:w="7372" w:type="dxa"/>
            <w:tcBorders>
              <w:top w:val="nil"/>
              <w:left w:val="nil"/>
              <w:bottom w:val="nil"/>
              <w:right w:val="nil"/>
            </w:tcBorders>
            <w:shd w:val="clear" w:color="auto" w:fill="auto"/>
            <w:vAlign w:val="center"/>
          </w:tcPr>
          <w:p w14:paraId="627E6F13" w14:textId="77777777" w:rsidR="00386F6D" w:rsidRPr="00666914" w:rsidRDefault="00386F6D">
            <w:pPr>
              <w:tabs>
                <w:tab w:val="left" w:pos="8222"/>
              </w:tabs>
              <w:spacing w:after="0"/>
              <w:jc w:val="left"/>
              <w:rPr>
                <w:sz w:val="20"/>
                <w:szCs w:val="20"/>
              </w:rPr>
            </w:pPr>
            <w:r w:rsidRPr="00666914">
              <w:rPr>
                <w:sz w:val="20"/>
                <w:szCs w:val="20"/>
              </w:rPr>
              <w:t>Zvýšiť využitie elektronických služieb štátu, predovšetkým dokončením projektu mobilného prihlasovania a univerzálnou aplikáciou jednotného dizajnu pre všetky poskytované služby</w:t>
            </w:r>
          </w:p>
        </w:tc>
        <w:tc>
          <w:tcPr>
            <w:tcW w:w="1700" w:type="dxa"/>
            <w:tcBorders>
              <w:top w:val="nil"/>
              <w:left w:val="nil"/>
              <w:bottom w:val="nil"/>
              <w:right w:val="nil"/>
            </w:tcBorders>
            <w:shd w:val="clear" w:color="auto" w:fill="auto"/>
            <w:vAlign w:val="center"/>
          </w:tcPr>
          <w:p w14:paraId="277808BE" w14:textId="77777777" w:rsidR="00386F6D" w:rsidRPr="00666914" w:rsidRDefault="00386F6D">
            <w:pPr>
              <w:tabs>
                <w:tab w:val="left" w:pos="8222"/>
              </w:tabs>
              <w:spacing w:after="0"/>
              <w:ind w:left="20" w:hanging="34"/>
              <w:rPr>
                <w:sz w:val="20"/>
                <w:szCs w:val="20"/>
              </w:rPr>
            </w:pPr>
            <w:r w:rsidRPr="00666914">
              <w:rPr>
                <w:noProof/>
                <w:lang w:eastAsia="sk-SK"/>
              </w:rPr>
              <w:drawing>
                <wp:anchor distT="0" distB="0" distL="114300" distR="114300" simplePos="0" relativeHeight="251660288" behindDoc="0" locked="0" layoutInCell="1" hidden="0" allowOverlap="1" wp14:anchorId="0432518C" wp14:editId="196F17F7">
                  <wp:simplePos x="0" y="0"/>
                  <wp:positionH relativeFrom="column">
                    <wp:posOffset>354330</wp:posOffset>
                  </wp:positionH>
                  <wp:positionV relativeFrom="paragraph">
                    <wp:posOffset>0</wp:posOffset>
                  </wp:positionV>
                  <wp:extent cx="225425" cy="225425"/>
                  <wp:effectExtent l="0" t="0" r="0" b="0"/>
                  <wp:wrapSquare wrapText="bothSides" distT="0" distB="0" distL="114300" distR="114300"/>
                  <wp:docPr id="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6"/>
                          <a:srcRect/>
                          <a:stretch>
                            <a:fillRect/>
                          </a:stretch>
                        </pic:blipFill>
                        <pic:spPr>
                          <a:xfrm>
                            <a:off x="0" y="0"/>
                            <a:ext cx="225425" cy="225425"/>
                          </a:xfrm>
                          <a:prstGeom prst="rect">
                            <a:avLst/>
                          </a:prstGeom>
                          <a:ln/>
                        </pic:spPr>
                      </pic:pic>
                    </a:graphicData>
                  </a:graphic>
                </wp:anchor>
              </w:drawing>
            </w:r>
          </w:p>
        </w:tc>
      </w:tr>
      <w:tr w:rsidR="00386F6D" w:rsidRPr="00666914" w14:paraId="13821794" w14:textId="77777777">
        <w:trPr>
          <w:trHeight w:val="567"/>
        </w:trPr>
        <w:tc>
          <w:tcPr>
            <w:tcW w:w="7372" w:type="dxa"/>
            <w:tcBorders>
              <w:top w:val="nil"/>
              <w:left w:val="nil"/>
              <w:right w:val="nil"/>
            </w:tcBorders>
            <w:shd w:val="clear" w:color="auto" w:fill="auto"/>
            <w:vAlign w:val="center"/>
          </w:tcPr>
          <w:p w14:paraId="2910E0AF" w14:textId="77777777" w:rsidR="00386F6D" w:rsidRPr="00666914" w:rsidRDefault="00386F6D">
            <w:pPr>
              <w:tabs>
                <w:tab w:val="left" w:pos="8222"/>
              </w:tabs>
              <w:spacing w:after="0"/>
              <w:jc w:val="left"/>
              <w:rPr>
                <w:sz w:val="20"/>
                <w:szCs w:val="20"/>
              </w:rPr>
            </w:pPr>
            <w:r w:rsidRPr="00666914">
              <w:rPr>
                <w:sz w:val="20"/>
                <w:szCs w:val="20"/>
              </w:rPr>
              <w:t>Nastaviť monitoring využívania všetkých IS VS s koncovou službou a s celkovými nákladmi nad 100 000 eur tak, aby bolo možné sledovať efektivitu jednotlivých IS VS (cost per transaction)</w:t>
            </w:r>
          </w:p>
        </w:tc>
        <w:tc>
          <w:tcPr>
            <w:tcW w:w="1700" w:type="dxa"/>
            <w:tcBorders>
              <w:top w:val="nil"/>
              <w:left w:val="nil"/>
              <w:right w:val="nil"/>
            </w:tcBorders>
            <w:shd w:val="clear" w:color="auto" w:fill="auto"/>
            <w:vAlign w:val="center"/>
          </w:tcPr>
          <w:p w14:paraId="0788506D" w14:textId="77777777" w:rsidR="00386F6D" w:rsidRPr="00666914" w:rsidRDefault="00386F6D">
            <w:pPr>
              <w:tabs>
                <w:tab w:val="left" w:pos="8222"/>
              </w:tabs>
              <w:spacing w:after="0"/>
              <w:ind w:left="20" w:hanging="34"/>
              <w:jc w:val="center"/>
              <w:rPr>
                <w:sz w:val="20"/>
                <w:szCs w:val="20"/>
              </w:rPr>
            </w:pPr>
            <w:r w:rsidRPr="00666914">
              <w:rPr>
                <w:noProof/>
                <w:lang w:eastAsia="sk-SK"/>
              </w:rPr>
              <w:drawing>
                <wp:anchor distT="0" distB="0" distL="114300" distR="114300" simplePos="0" relativeHeight="251661312" behindDoc="0" locked="0" layoutInCell="1" hidden="0" allowOverlap="1" wp14:anchorId="55F729BC" wp14:editId="0608E452">
                  <wp:simplePos x="0" y="0"/>
                  <wp:positionH relativeFrom="column">
                    <wp:posOffset>356870</wp:posOffset>
                  </wp:positionH>
                  <wp:positionV relativeFrom="paragraph">
                    <wp:posOffset>0</wp:posOffset>
                  </wp:positionV>
                  <wp:extent cx="225425" cy="225425"/>
                  <wp:effectExtent l="0" t="0" r="0" b="0"/>
                  <wp:wrapSquare wrapText="bothSides" distT="0" distB="0" distL="114300" distR="114300"/>
                  <wp:docPr id="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6"/>
                          <a:srcRect/>
                          <a:stretch>
                            <a:fillRect/>
                          </a:stretch>
                        </pic:blipFill>
                        <pic:spPr>
                          <a:xfrm>
                            <a:off x="0" y="0"/>
                            <a:ext cx="225425" cy="225425"/>
                          </a:xfrm>
                          <a:prstGeom prst="rect">
                            <a:avLst/>
                          </a:prstGeom>
                          <a:ln/>
                        </pic:spPr>
                      </pic:pic>
                    </a:graphicData>
                  </a:graphic>
                </wp:anchor>
              </w:drawing>
            </w:r>
          </w:p>
        </w:tc>
      </w:tr>
      <w:tr w:rsidR="00386F6D" w:rsidRPr="00666914" w14:paraId="28014CEB" w14:textId="77777777">
        <w:trPr>
          <w:trHeight w:val="202"/>
        </w:trPr>
        <w:tc>
          <w:tcPr>
            <w:tcW w:w="7372" w:type="dxa"/>
            <w:tcBorders>
              <w:top w:val="single" w:sz="4" w:space="0" w:color="000000"/>
              <w:left w:val="nil"/>
              <w:bottom w:val="nil"/>
              <w:right w:val="nil"/>
            </w:tcBorders>
            <w:shd w:val="clear" w:color="auto" w:fill="auto"/>
            <w:vAlign w:val="center"/>
          </w:tcPr>
          <w:p w14:paraId="00CF422A" w14:textId="77777777" w:rsidR="00386F6D" w:rsidRPr="00666914" w:rsidRDefault="00386F6D">
            <w:pPr>
              <w:spacing w:after="0"/>
              <w:rPr>
                <w:sz w:val="20"/>
                <w:szCs w:val="20"/>
              </w:rPr>
            </w:pPr>
          </w:p>
        </w:tc>
        <w:tc>
          <w:tcPr>
            <w:tcW w:w="1700" w:type="dxa"/>
            <w:tcBorders>
              <w:top w:val="single" w:sz="4" w:space="0" w:color="000000"/>
              <w:left w:val="nil"/>
              <w:bottom w:val="nil"/>
              <w:right w:val="nil"/>
            </w:tcBorders>
            <w:shd w:val="clear" w:color="auto" w:fill="auto"/>
            <w:vAlign w:val="center"/>
          </w:tcPr>
          <w:p w14:paraId="2A29FDFB" w14:textId="77777777" w:rsidR="00386F6D" w:rsidRPr="00666914" w:rsidRDefault="00386F6D">
            <w:pPr>
              <w:spacing w:after="0"/>
              <w:ind w:left="20" w:hanging="34"/>
              <w:jc w:val="right"/>
              <w:rPr>
                <w:i/>
                <w:sz w:val="18"/>
                <w:szCs w:val="18"/>
              </w:rPr>
            </w:pPr>
            <w:r w:rsidRPr="00666914">
              <w:rPr>
                <w:i/>
                <w:sz w:val="18"/>
                <w:szCs w:val="18"/>
              </w:rPr>
              <w:t>Zdroj: IJ ÚV SR</w:t>
            </w:r>
          </w:p>
        </w:tc>
      </w:tr>
    </w:tbl>
    <w:p w14:paraId="54F0A455" w14:textId="77777777" w:rsidR="00386F6D" w:rsidRPr="00666914" w:rsidRDefault="00386F6D">
      <w:pPr>
        <w:spacing w:after="0"/>
        <w:rPr>
          <w:b/>
        </w:rPr>
      </w:pPr>
    </w:p>
    <w:p w14:paraId="2EDD219E" w14:textId="12E15BF5" w:rsidR="00386F6D" w:rsidRPr="00666914" w:rsidRDefault="00386F6D">
      <w:pPr>
        <w:pBdr>
          <w:top w:val="nil"/>
          <w:left w:val="nil"/>
          <w:bottom w:val="single" w:sz="4" w:space="1" w:color="000000"/>
          <w:right w:val="nil"/>
          <w:between w:val="nil"/>
        </w:pBdr>
        <w:spacing w:after="0"/>
        <w:rPr>
          <w:b/>
          <w:color w:val="000000"/>
          <w:sz w:val="20"/>
          <w:szCs w:val="20"/>
        </w:rPr>
      </w:pPr>
      <w:bookmarkStart w:id="246" w:name="_heading=h.tyjcwt" w:colFirst="0" w:colLast="0"/>
      <w:bookmarkStart w:id="247" w:name="_Toc38447705"/>
      <w:bookmarkEnd w:id="246"/>
      <w:r w:rsidRPr="00666914">
        <w:rPr>
          <w:b/>
          <w:color w:val="000000"/>
          <w:sz w:val="20"/>
          <w:szCs w:val="20"/>
        </w:rPr>
        <w:t xml:space="preserve">Tabuľka </w:t>
      </w:r>
      <w:r w:rsidR="00A232BD" w:rsidRPr="00666914">
        <w:rPr>
          <w:b/>
          <w:sz w:val="20"/>
          <w:szCs w:val="20"/>
        </w:rPr>
        <w:fldChar w:fldCharType="begin"/>
      </w:r>
      <w:r w:rsidR="00A232BD" w:rsidRPr="00666914">
        <w:rPr>
          <w:b/>
          <w:sz w:val="20"/>
          <w:szCs w:val="20"/>
        </w:rPr>
        <w:instrText xml:space="preserve"> SEQ Tabuľka \* ARABIC \* MERGEFORMAT </w:instrText>
      </w:r>
      <w:r w:rsidR="00A232BD" w:rsidRPr="00666914">
        <w:rPr>
          <w:b/>
          <w:sz w:val="20"/>
          <w:szCs w:val="20"/>
        </w:rPr>
        <w:fldChar w:fldCharType="separate"/>
      </w:r>
      <w:r w:rsidR="005A7304">
        <w:rPr>
          <w:b/>
          <w:noProof/>
          <w:sz w:val="20"/>
          <w:szCs w:val="20"/>
        </w:rPr>
        <w:t>44</w:t>
      </w:r>
      <w:r w:rsidR="00A232BD" w:rsidRPr="00666914">
        <w:rPr>
          <w:b/>
          <w:sz w:val="20"/>
          <w:szCs w:val="20"/>
        </w:rPr>
        <w:fldChar w:fldCharType="end"/>
      </w:r>
      <w:r w:rsidRPr="00666914">
        <w:rPr>
          <w:b/>
          <w:color w:val="000000"/>
          <w:sz w:val="20"/>
          <w:szCs w:val="20"/>
        </w:rPr>
        <w:t>: Plnenie hlavných odporúčaní IJ ÚV SR pre MV SR v Priebežnej implementačnej správe 2019</w:t>
      </w:r>
      <w:bookmarkEnd w:id="247"/>
    </w:p>
    <w:tbl>
      <w:tblPr>
        <w:tblW w:w="9072" w:type="dxa"/>
        <w:tblLayout w:type="fixed"/>
        <w:tblLook w:val="0400" w:firstRow="0" w:lastRow="0" w:firstColumn="0" w:lastColumn="0" w:noHBand="0" w:noVBand="1"/>
      </w:tblPr>
      <w:tblGrid>
        <w:gridCol w:w="7372"/>
        <w:gridCol w:w="1700"/>
      </w:tblGrid>
      <w:tr w:rsidR="00386F6D" w:rsidRPr="00666914" w14:paraId="57AB8BB0" w14:textId="77777777">
        <w:trPr>
          <w:trHeight w:val="567"/>
        </w:trPr>
        <w:tc>
          <w:tcPr>
            <w:tcW w:w="7372" w:type="dxa"/>
            <w:tcBorders>
              <w:top w:val="nil"/>
              <w:left w:val="nil"/>
              <w:bottom w:val="nil"/>
              <w:right w:val="nil"/>
            </w:tcBorders>
            <w:shd w:val="clear" w:color="auto" w:fill="auto"/>
            <w:vAlign w:val="center"/>
          </w:tcPr>
          <w:p w14:paraId="745F6630" w14:textId="77777777" w:rsidR="00386F6D" w:rsidRPr="00666914" w:rsidRDefault="00386F6D">
            <w:pPr>
              <w:spacing w:after="0"/>
              <w:rPr>
                <w:sz w:val="20"/>
                <w:szCs w:val="20"/>
              </w:rPr>
            </w:pPr>
            <w:r w:rsidRPr="00666914">
              <w:rPr>
                <w:sz w:val="20"/>
                <w:szCs w:val="20"/>
              </w:rPr>
              <w:t>Zlepšovať prístup k elektronickým službám tlakom na aktiváciu eID a jeho využiteľnosť aj pre komerčné služby</w:t>
            </w:r>
          </w:p>
        </w:tc>
        <w:tc>
          <w:tcPr>
            <w:tcW w:w="1700" w:type="dxa"/>
            <w:tcBorders>
              <w:top w:val="nil"/>
              <w:left w:val="nil"/>
              <w:bottom w:val="nil"/>
              <w:right w:val="nil"/>
            </w:tcBorders>
            <w:shd w:val="clear" w:color="auto" w:fill="auto"/>
            <w:vAlign w:val="center"/>
          </w:tcPr>
          <w:p w14:paraId="0AE03DB2" w14:textId="77777777" w:rsidR="00386F6D" w:rsidRPr="00666914" w:rsidRDefault="00386F6D">
            <w:pPr>
              <w:spacing w:after="0"/>
              <w:ind w:left="20" w:hanging="34"/>
              <w:rPr>
                <w:sz w:val="20"/>
                <w:szCs w:val="20"/>
              </w:rPr>
            </w:pPr>
            <w:r w:rsidRPr="00666914">
              <w:rPr>
                <w:noProof/>
                <w:lang w:eastAsia="sk-SK"/>
              </w:rPr>
              <w:drawing>
                <wp:anchor distT="0" distB="0" distL="114300" distR="114300" simplePos="0" relativeHeight="251662336" behindDoc="0" locked="0" layoutInCell="1" hidden="0" allowOverlap="1" wp14:anchorId="1E2BDB28" wp14:editId="13835E4F">
                  <wp:simplePos x="0" y="0"/>
                  <wp:positionH relativeFrom="column">
                    <wp:posOffset>374015</wp:posOffset>
                  </wp:positionH>
                  <wp:positionV relativeFrom="paragraph">
                    <wp:posOffset>0</wp:posOffset>
                  </wp:positionV>
                  <wp:extent cx="215900" cy="215900"/>
                  <wp:effectExtent l="0" t="0" r="0" b="0"/>
                  <wp:wrapSquare wrapText="bothSides" distT="0" distB="0" distL="114300" distR="114300"/>
                  <wp:docPr id="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6"/>
                          <a:srcRect/>
                          <a:stretch>
                            <a:fillRect/>
                          </a:stretch>
                        </pic:blipFill>
                        <pic:spPr>
                          <a:xfrm>
                            <a:off x="0" y="0"/>
                            <a:ext cx="215900" cy="215900"/>
                          </a:xfrm>
                          <a:prstGeom prst="rect">
                            <a:avLst/>
                          </a:prstGeom>
                          <a:ln/>
                        </pic:spPr>
                      </pic:pic>
                    </a:graphicData>
                  </a:graphic>
                </wp:anchor>
              </w:drawing>
            </w:r>
          </w:p>
        </w:tc>
      </w:tr>
      <w:tr w:rsidR="00386F6D" w:rsidRPr="00666914" w14:paraId="3879B046" w14:textId="77777777">
        <w:trPr>
          <w:trHeight w:val="202"/>
        </w:trPr>
        <w:tc>
          <w:tcPr>
            <w:tcW w:w="7372" w:type="dxa"/>
            <w:tcBorders>
              <w:top w:val="single" w:sz="4" w:space="0" w:color="000000"/>
              <w:left w:val="nil"/>
              <w:bottom w:val="nil"/>
              <w:right w:val="nil"/>
            </w:tcBorders>
            <w:shd w:val="clear" w:color="auto" w:fill="auto"/>
            <w:vAlign w:val="center"/>
          </w:tcPr>
          <w:p w14:paraId="6B1AB75A" w14:textId="77777777" w:rsidR="00386F6D" w:rsidRPr="00666914" w:rsidRDefault="00386F6D">
            <w:pPr>
              <w:spacing w:after="0"/>
              <w:rPr>
                <w:sz w:val="20"/>
                <w:szCs w:val="20"/>
              </w:rPr>
            </w:pPr>
          </w:p>
        </w:tc>
        <w:tc>
          <w:tcPr>
            <w:tcW w:w="1700" w:type="dxa"/>
            <w:tcBorders>
              <w:top w:val="single" w:sz="4" w:space="0" w:color="000000"/>
              <w:left w:val="nil"/>
              <w:bottom w:val="nil"/>
              <w:right w:val="nil"/>
            </w:tcBorders>
            <w:shd w:val="clear" w:color="auto" w:fill="auto"/>
            <w:vAlign w:val="center"/>
          </w:tcPr>
          <w:p w14:paraId="7AF8DE6B" w14:textId="77777777" w:rsidR="00386F6D" w:rsidRPr="00666914" w:rsidRDefault="00386F6D">
            <w:pPr>
              <w:spacing w:after="0"/>
              <w:ind w:left="20" w:hanging="34"/>
              <w:jc w:val="right"/>
              <w:rPr>
                <w:i/>
                <w:sz w:val="18"/>
                <w:szCs w:val="18"/>
              </w:rPr>
            </w:pPr>
            <w:r w:rsidRPr="00666914">
              <w:rPr>
                <w:i/>
                <w:sz w:val="18"/>
                <w:szCs w:val="18"/>
              </w:rPr>
              <w:t>Zdroj: IJ ÚV SR</w:t>
            </w:r>
          </w:p>
        </w:tc>
      </w:tr>
    </w:tbl>
    <w:p w14:paraId="2F6C3B95" w14:textId="77777777" w:rsidR="00386F6D" w:rsidRPr="00666914" w:rsidRDefault="00386F6D">
      <w:pPr>
        <w:spacing w:after="0"/>
      </w:pPr>
      <w:r w:rsidRPr="00666914">
        <w:rPr>
          <w:noProof/>
          <w:lang w:eastAsia="sk-SK"/>
        </w:rPr>
        <mc:AlternateContent>
          <mc:Choice Requires="wps">
            <w:drawing>
              <wp:anchor distT="0" distB="0" distL="114300" distR="114300" simplePos="0" relativeHeight="251663360" behindDoc="0" locked="0" layoutInCell="1" hidden="0" allowOverlap="1" wp14:anchorId="31C5A8D5" wp14:editId="06EACCB2">
                <wp:simplePos x="0" y="0"/>
                <wp:positionH relativeFrom="column">
                  <wp:posOffset>-63499</wp:posOffset>
                </wp:positionH>
                <wp:positionV relativeFrom="paragraph">
                  <wp:posOffset>152400</wp:posOffset>
                </wp:positionV>
                <wp:extent cx="5857875" cy="2463800"/>
                <wp:effectExtent l="0" t="0" r="0" b="0"/>
                <wp:wrapSquare wrapText="bothSides" distT="0" distB="0" distL="114300" distR="114300"/>
                <wp:docPr id="72" name="Obdĺžnik 72"/>
                <wp:cNvGraphicFramePr/>
                <a:graphic xmlns:a="http://schemas.openxmlformats.org/drawingml/2006/main">
                  <a:graphicData uri="http://schemas.microsoft.com/office/word/2010/wordprocessingShape">
                    <wps:wsp>
                      <wps:cNvSpPr/>
                      <wps:spPr>
                        <a:xfrm>
                          <a:off x="2429763" y="2560800"/>
                          <a:ext cx="5832475" cy="2438400"/>
                        </a:xfrm>
                        <a:prstGeom prst="rect">
                          <a:avLst/>
                        </a:prstGeom>
                        <a:solidFill>
                          <a:srgbClr val="0070C0"/>
                        </a:solidFill>
                        <a:ln w="12700" cap="flat" cmpd="sng">
                          <a:solidFill>
                            <a:srgbClr val="4472C4"/>
                          </a:solidFill>
                          <a:prstDash val="solid"/>
                          <a:round/>
                          <a:headEnd type="none" w="sm" len="sm"/>
                          <a:tailEnd type="none" w="sm" len="sm"/>
                        </a:ln>
                      </wps:spPr>
                      <wps:txbx>
                        <w:txbxContent>
                          <w:p w14:paraId="6CF515CE" w14:textId="77777777" w:rsidR="006C0687" w:rsidRDefault="006C0687">
                            <w:pPr>
                              <w:spacing w:after="0"/>
                              <w:jc w:val="left"/>
                              <w:textDirection w:val="btLr"/>
                            </w:pPr>
                            <w:r>
                              <w:rPr>
                                <w:b/>
                                <w:color w:val="FFFFFF"/>
                                <w:u w:val="single"/>
                              </w:rPr>
                              <w:t>Hlavné odporúčania IJ ÚV SR pre ÚPVII SR do 31.12.2020:</w:t>
                            </w:r>
                          </w:p>
                          <w:p w14:paraId="11526A03" w14:textId="77777777" w:rsidR="006C0687" w:rsidRDefault="006C0687">
                            <w:pPr>
                              <w:spacing w:after="0"/>
                              <w:jc w:val="left"/>
                              <w:textDirection w:val="btLr"/>
                            </w:pPr>
                          </w:p>
                          <w:p w14:paraId="21B9B767" w14:textId="77777777" w:rsidR="006C0687" w:rsidRPr="0097393A" w:rsidRDefault="006C0687" w:rsidP="00131B23">
                            <w:pPr>
                              <w:pStyle w:val="Odsekzoznamu"/>
                              <w:numPr>
                                <w:ilvl w:val="0"/>
                                <w:numId w:val="17"/>
                              </w:numPr>
                              <w:spacing w:after="0"/>
                              <w:jc w:val="left"/>
                              <w:textDirection w:val="btLr"/>
                              <w:rPr>
                                <w:color w:val="FFFFFF" w:themeColor="background1"/>
                                <w:sz w:val="18"/>
                              </w:rPr>
                            </w:pPr>
                            <w:r w:rsidRPr="0097393A">
                              <w:rPr>
                                <w:color w:val="FFFFFF" w:themeColor="background1"/>
                              </w:rPr>
                              <w:t>Nastaviť monitoring využívania všetkých IS VS s koncovou službou a s celkovými nákladmi nad 100 000 eur tak, aby bolo možné sledovať efektivitu jednotlivých IS VS (cost per transaction)</w:t>
                            </w:r>
                          </w:p>
                          <w:p w14:paraId="6CBDBABD" w14:textId="77777777" w:rsidR="006C0687" w:rsidRPr="0097393A" w:rsidRDefault="006C0687" w:rsidP="00131B23">
                            <w:pPr>
                              <w:pStyle w:val="Odsekzoznamu"/>
                              <w:numPr>
                                <w:ilvl w:val="0"/>
                                <w:numId w:val="17"/>
                              </w:numPr>
                              <w:spacing w:after="0"/>
                              <w:jc w:val="left"/>
                              <w:textDirection w:val="btLr"/>
                              <w:rPr>
                                <w:color w:val="FFFFFF" w:themeColor="background1"/>
                                <w:sz w:val="18"/>
                              </w:rPr>
                            </w:pPr>
                            <w:r w:rsidRPr="0097393A">
                              <w:rPr>
                                <w:color w:val="FFFFFF" w:themeColor="background1"/>
                              </w:rPr>
                              <w:t>Dokončiť projekt mobilného prihlasovania</w:t>
                            </w:r>
                          </w:p>
                          <w:p w14:paraId="45B1DA13" w14:textId="77777777" w:rsidR="006C0687" w:rsidRPr="0097393A" w:rsidRDefault="006C0687" w:rsidP="00131B23">
                            <w:pPr>
                              <w:pStyle w:val="Odsekzoznamu"/>
                              <w:numPr>
                                <w:ilvl w:val="0"/>
                                <w:numId w:val="17"/>
                              </w:numPr>
                              <w:spacing w:after="0"/>
                              <w:jc w:val="left"/>
                              <w:textDirection w:val="btLr"/>
                              <w:rPr>
                                <w:color w:val="FFFFFF" w:themeColor="background1"/>
                                <w:sz w:val="18"/>
                              </w:rPr>
                            </w:pPr>
                            <w:r w:rsidRPr="0097393A">
                              <w:rPr>
                                <w:color w:val="FFFFFF" w:themeColor="background1"/>
                              </w:rPr>
                              <w:t>Identifikovať prioritné elektronické služby, publikovať ich súčasné nedostatky a navrhnúť opatrenia na ich zlepšenie</w:t>
                            </w:r>
                          </w:p>
                          <w:p w14:paraId="5307D6A7" w14:textId="77777777" w:rsidR="006C0687" w:rsidRPr="0097393A" w:rsidRDefault="006C0687" w:rsidP="00131B23">
                            <w:pPr>
                              <w:pStyle w:val="Odsekzoznamu"/>
                              <w:numPr>
                                <w:ilvl w:val="0"/>
                                <w:numId w:val="17"/>
                              </w:numPr>
                              <w:spacing w:after="0"/>
                              <w:jc w:val="left"/>
                              <w:textDirection w:val="btLr"/>
                              <w:rPr>
                                <w:color w:val="FFFFFF" w:themeColor="background1"/>
                                <w:sz w:val="18"/>
                              </w:rPr>
                            </w:pPr>
                            <w:r w:rsidRPr="0097393A">
                              <w:rPr>
                                <w:color w:val="FFFFFF" w:themeColor="background1"/>
                              </w:rPr>
                              <w:t>Dokončiť aktualizáciu opatrení revízie výdavkov na informatizáciu a nový zoznam opatrení predložiť na schválenie vláde SR</w:t>
                            </w:r>
                          </w:p>
                          <w:p w14:paraId="6EC2B702" w14:textId="77777777" w:rsidR="006C0687" w:rsidRDefault="006C0687">
                            <w:pPr>
                              <w:spacing w:after="0"/>
                              <w:jc w:val="left"/>
                              <w:textDirection w:val="btLr"/>
                            </w:pPr>
                          </w:p>
                          <w:p w14:paraId="3EF3A89C" w14:textId="77777777" w:rsidR="006C0687" w:rsidRPr="0097393A" w:rsidRDefault="006C0687">
                            <w:pPr>
                              <w:spacing w:after="0"/>
                              <w:textDirection w:val="btLr"/>
                              <w:rPr>
                                <w:sz w:val="18"/>
                              </w:rPr>
                            </w:pPr>
                            <w:r w:rsidRPr="0097393A">
                              <w:rPr>
                                <w:b/>
                                <w:color w:val="FFFFFF"/>
                                <w:u w:val="single"/>
                              </w:rPr>
                              <w:t>Hlavné odporúčania IJ ÚV SR pre MV SR do 31.12.2020</w:t>
                            </w:r>
                            <w:r w:rsidRPr="0097393A">
                              <w:rPr>
                                <w:color w:val="FFFFFF"/>
                                <w:u w:val="single"/>
                              </w:rPr>
                              <w:t>:</w:t>
                            </w:r>
                          </w:p>
                          <w:p w14:paraId="24983D45" w14:textId="77777777" w:rsidR="006C0687" w:rsidRPr="0097393A" w:rsidRDefault="006C0687">
                            <w:pPr>
                              <w:spacing w:after="0"/>
                              <w:ind w:left="720" w:firstLine="720"/>
                              <w:jc w:val="left"/>
                              <w:textDirection w:val="btLr"/>
                              <w:rPr>
                                <w:sz w:val="18"/>
                              </w:rPr>
                            </w:pPr>
                          </w:p>
                          <w:p w14:paraId="7F733650" w14:textId="77777777" w:rsidR="006C0687" w:rsidRPr="0097393A" w:rsidRDefault="006C0687" w:rsidP="00131B23">
                            <w:pPr>
                              <w:pStyle w:val="Odsekzoznamu"/>
                              <w:numPr>
                                <w:ilvl w:val="0"/>
                                <w:numId w:val="18"/>
                              </w:numPr>
                              <w:spacing w:after="0"/>
                              <w:jc w:val="left"/>
                              <w:textDirection w:val="btLr"/>
                              <w:rPr>
                                <w:color w:val="FFFFFF" w:themeColor="background1"/>
                                <w:sz w:val="18"/>
                              </w:rPr>
                            </w:pPr>
                            <w:r w:rsidRPr="0097393A">
                              <w:rPr>
                                <w:color w:val="FFFFFF" w:themeColor="background1"/>
                              </w:rPr>
                              <w:t>Zlepšovať prístup k elektronickým službám tlakom na aktiváciu eID a jeho využiteľnosť aj pre komerčné služby</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cx="http://schemas.microsoft.com/office/drawing/2014/chartex">
            <w:pict>
              <v:rect w14:anchorId="31C5A8D5" id="Obdĺžnik 72" o:spid="_x0000_s1029" style="position:absolute;left:0;text-align:left;margin-left:-5pt;margin-top:12pt;width:461.25pt;height:19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" fillcolor="#0070c0" strokecolor="#4472c4" strokeweight="1pt">
                <v:stroke startarrowwidth="narrow" startarrowlength="short" endarrowwidth="narrow" endarrowlength="short" joinstyle="round"/>
                <v:textbox inset="2.53958mm,1.2694mm,2.53958mm,1.2694mm">
                  <w:txbxContent>
                    <w:p w14:paraId="6CF515CE" w14:textId="77777777" w:rsidR="006C0687" w:rsidRDefault="006C0687">
                      <w:pPr>
                        <w:spacing w:after="0"/>
                        <w:jc w:val="left"/>
                        <w:textDirection w:val="btLr"/>
                      </w:pPr>
                      <w:r>
                        <w:rPr>
                          <w:b/>
                          <w:color w:val="FFFFFF"/>
                          <w:u w:val="single"/>
                        </w:rPr>
                        <w:t>Hlavné odporúčania IJ ÚV SR pre ÚPVII SR do 31.12.2020:</w:t>
                      </w:r>
                    </w:p>
                    <w:p w14:paraId="11526A03" w14:textId="77777777" w:rsidR="006C0687" w:rsidRDefault="006C0687">
                      <w:pPr>
                        <w:spacing w:after="0"/>
                        <w:jc w:val="left"/>
                        <w:textDirection w:val="btLr"/>
                      </w:pPr>
                    </w:p>
                    <w:p w14:paraId="21B9B767" w14:textId="77777777" w:rsidR="006C0687" w:rsidRPr="0097393A" w:rsidRDefault="006C0687" w:rsidP="00131B23">
                      <w:pPr>
                        <w:pStyle w:val="Odsekzoznamu"/>
                        <w:numPr>
                          <w:ilvl w:val="0"/>
                          <w:numId w:val="17"/>
                        </w:numPr>
                        <w:spacing w:after="0"/>
                        <w:jc w:val="left"/>
                        <w:textDirection w:val="btLr"/>
                        <w:rPr>
                          <w:color w:val="FFFFFF" w:themeColor="background1"/>
                          <w:sz w:val="18"/>
                        </w:rPr>
                      </w:pPr>
                      <w:r w:rsidRPr="0097393A">
                        <w:rPr>
                          <w:color w:val="FFFFFF" w:themeColor="background1"/>
                        </w:rPr>
                        <w:t>Nastaviť monitoring využívania všetkých IS VS s koncovou službou a s celkovými nákladmi nad 100 000 eur tak, aby bolo možné sledovať efektivitu jednotlivých IS VS (cost per transaction)</w:t>
                      </w:r>
                    </w:p>
                    <w:p w14:paraId="6CBDBABD" w14:textId="77777777" w:rsidR="006C0687" w:rsidRPr="0097393A" w:rsidRDefault="006C0687" w:rsidP="00131B23">
                      <w:pPr>
                        <w:pStyle w:val="Odsekzoznamu"/>
                        <w:numPr>
                          <w:ilvl w:val="0"/>
                          <w:numId w:val="17"/>
                        </w:numPr>
                        <w:spacing w:after="0"/>
                        <w:jc w:val="left"/>
                        <w:textDirection w:val="btLr"/>
                        <w:rPr>
                          <w:color w:val="FFFFFF" w:themeColor="background1"/>
                          <w:sz w:val="18"/>
                        </w:rPr>
                      </w:pPr>
                      <w:r w:rsidRPr="0097393A">
                        <w:rPr>
                          <w:color w:val="FFFFFF" w:themeColor="background1"/>
                        </w:rPr>
                        <w:t>Dokončiť projekt mobilného prihlasovania</w:t>
                      </w:r>
                    </w:p>
                    <w:p w14:paraId="45B1DA13" w14:textId="77777777" w:rsidR="006C0687" w:rsidRPr="0097393A" w:rsidRDefault="006C0687" w:rsidP="00131B23">
                      <w:pPr>
                        <w:pStyle w:val="Odsekzoznamu"/>
                        <w:numPr>
                          <w:ilvl w:val="0"/>
                          <w:numId w:val="17"/>
                        </w:numPr>
                        <w:spacing w:after="0"/>
                        <w:jc w:val="left"/>
                        <w:textDirection w:val="btLr"/>
                        <w:rPr>
                          <w:color w:val="FFFFFF" w:themeColor="background1"/>
                          <w:sz w:val="18"/>
                        </w:rPr>
                      </w:pPr>
                      <w:r w:rsidRPr="0097393A">
                        <w:rPr>
                          <w:color w:val="FFFFFF" w:themeColor="background1"/>
                        </w:rPr>
                        <w:t>Identifikovať prioritné elektronické služby, publikovať ich súčasné nedostatky a navrhnúť opatrenia na ich zlepšenie</w:t>
                      </w:r>
                    </w:p>
                    <w:p w14:paraId="5307D6A7" w14:textId="77777777" w:rsidR="006C0687" w:rsidRPr="0097393A" w:rsidRDefault="006C0687" w:rsidP="00131B23">
                      <w:pPr>
                        <w:pStyle w:val="Odsekzoznamu"/>
                        <w:numPr>
                          <w:ilvl w:val="0"/>
                          <w:numId w:val="17"/>
                        </w:numPr>
                        <w:spacing w:after="0"/>
                        <w:jc w:val="left"/>
                        <w:textDirection w:val="btLr"/>
                        <w:rPr>
                          <w:color w:val="FFFFFF" w:themeColor="background1"/>
                          <w:sz w:val="18"/>
                        </w:rPr>
                      </w:pPr>
                      <w:r w:rsidRPr="0097393A">
                        <w:rPr>
                          <w:color w:val="FFFFFF" w:themeColor="background1"/>
                        </w:rPr>
                        <w:t>Dokončiť aktualizáciu opatrení revízie výdavkov na informatizáciu a nový zoznam opatrení predložiť na schválenie vláde SR</w:t>
                      </w:r>
                    </w:p>
                    <w:p w14:paraId="6EC2B702" w14:textId="77777777" w:rsidR="006C0687" w:rsidRDefault="006C0687">
                      <w:pPr>
                        <w:spacing w:after="0"/>
                        <w:jc w:val="left"/>
                        <w:textDirection w:val="btLr"/>
                      </w:pPr>
                    </w:p>
                    <w:p w14:paraId="3EF3A89C" w14:textId="77777777" w:rsidR="006C0687" w:rsidRPr="0097393A" w:rsidRDefault="006C0687">
                      <w:pPr>
                        <w:spacing w:after="0"/>
                        <w:textDirection w:val="btLr"/>
                        <w:rPr>
                          <w:sz w:val="18"/>
                        </w:rPr>
                      </w:pPr>
                      <w:r w:rsidRPr="0097393A">
                        <w:rPr>
                          <w:b/>
                          <w:color w:val="FFFFFF"/>
                          <w:u w:val="single"/>
                        </w:rPr>
                        <w:t>Hlavné odporúčania IJ ÚV SR pre MV SR do 31.12.2020</w:t>
                      </w:r>
                      <w:r w:rsidRPr="0097393A">
                        <w:rPr>
                          <w:color w:val="FFFFFF"/>
                          <w:u w:val="single"/>
                        </w:rPr>
                        <w:t>:</w:t>
                      </w:r>
                    </w:p>
                    <w:p w14:paraId="24983D45" w14:textId="77777777" w:rsidR="006C0687" w:rsidRPr="0097393A" w:rsidRDefault="006C0687">
                      <w:pPr>
                        <w:spacing w:after="0"/>
                        <w:ind w:left="720" w:firstLine="720"/>
                        <w:jc w:val="left"/>
                        <w:textDirection w:val="btLr"/>
                        <w:rPr>
                          <w:sz w:val="18"/>
                        </w:rPr>
                      </w:pPr>
                    </w:p>
                    <w:p w14:paraId="7F733650" w14:textId="77777777" w:rsidR="006C0687" w:rsidRPr="0097393A" w:rsidRDefault="006C0687" w:rsidP="00131B23">
                      <w:pPr>
                        <w:pStyle w:val="Odsekzoznamu"/>
                        <w:numPr>
                          <w:ilvl w:val="0"/>
                          <w:numId w:val="18"/>
                        </w:numPr>
                        <w:spacing w:after="0"/>
                        <w:jc w:val="left"/>
                        <w:textDirection w:val="btLr"/>
                        <w:rPr>
                          <w:color w:val="FFFFFF" w:themeColor="background1"/>
                          <w:sz w:val="18"/>
                        </w:rPr>
                      </w:pPr>
                      <w:r w:rsidRPr="0097393A">
                        <w:rPr>
                          <w:color w:val="FFFFFF" w:themeColor="background1"/>
                        </w:rPr>
                        <w:t>Zlepšovať prístup k elektronickým službám tlakom na aktiváciu eID a jeho využiteľnosť aj pre komerčné služby</w:t>
                      </w:r>
                    </w:p>
                  </w:txbxContent>
                </v:textbox>
                <w10:wrap type="square"/>
              </v:rect>
            </w:pict>
          </mc:Fallback>
        </mc:AlternateContent>
      </w:r>
    </w:p>
    <w:p w14:paraId="663687E9" w14:textId="77777777" w:rsidR="00386F6D" w:rsidRPr="00666914" w:rsidRDefault="00386F6D">
      <w:pPr>
        <w:spacing w:line="259" w:lineRule="auto"/>
        <w:jc w:val="left"/>
        <w:rPr>
          <w:b/>
          <w:sz w:val="20"/>
          <w:szCs w:val="20"/>
        </w:rPr>
      </w:pPr>
      <w:bookmarkStart w:id="248" w:name="_heading=h.3dy6vkm" w:colFirst="0" w:colLast="0"/>
      <w:bookmarkEnd w:id="248"/>
      <w:r w:rsidRPr="00666914">
        <w:br w:type="page"/>
      </w:r>
    </w:p>
    <w:p w14:paraId="5508EC1B" w14:textId="60ECF0B7" w:rsidR="00386F6D" w:rsidRPr="00666914" w:rsidRDefault="00386F6D">
      <w:pPr>
        <w:spacing w:after="0" w:line="259" w:lineRule="auto"/>
        <w:jc w:val="left"/>
        <w:rPr>
          <w:b/>
          <w:sz w:val="20"/>
          <w:szCs w:val="20"/>
        </w:rPr>
      </w:pPr>
      <w:bookmarkStart w:id="249" w:name="_Toc38447706"/>
      <w:r w:rsidRPr="00666914">
        <w:rPr>
          <w:b/>
          <w:sz w:val="20"/>
          <w:szCs w:val="20"/>
        </w:rPr>
        <w:lastRenderedPageBreak/>
        <w:t xml:space="preserve">Tabuľka </w:t>
      </w:r>
      <w:r w:rsidR="00DA6BB0" w:rsidRPr="00666914">
        <w:rPr>
          <w:b/>
          <w:sz w:val="20"/>
          <w:szCs w:val="20"/>
        </w:rPr>
        <w:fldChar w:fldCharType="begin"/>
      </w:r>
      <w:r w:rsidR="00DA6BB0" w:rsidRPr="00666914">
        <w:rPr>
          <w:b/>
          <w:sz w:val="20"/>
          <w:szCs w:val="20"/>
        </w:rPr>
        <w:instrText xml:space="preserve"> SEQ Tabuľka \* ARABIC \* MERGEFORMAT </w:instrText>
      </w:r>
      <w:r w:rsidR="00DA6BB0" w:rsidRPr="00666914">
        <w:rPr>
          <w:b/>
          <w:sz w:val="20"/>
          <w:szCs w:val="20"/>
        </w:rPr>
        <w:fldChar w:fldCharType="separate"/>
      </w:r>
      <w:r w:rsidR="005A7304">
        <w:rPr>
          <w:b/>
          <w:noProof/>
          <w:sz w:val="20"/>
          <w:szCs w:val="20"/>
        </w:rPr>
        <w:t>45</w:t>
      </w:r>
      <w:r w:rsidR="00DA6BB0" w:rsidRPr="00666914">
        <w:rPr>
          <w:b/>
          <w:sz w:val="20"/>
          <w:szCs w:val="20"/>
        </w:rPr>
        <w:fldChar w:fldCharType="end"/>
      </w:r>
      <w:r w:rsidRPr="00666914">
        <w:rPr>
          <w:b/>
          <w:sz w:val="20"/>
          <w:szCs w:val="20"/>
        </w:rPr>
        <w:t>: Plnenie opatrení Revízie výdavkov na informatizáciu v roku 2019</w:t>
      </w:r>
      <w:bookmarkEnd w:id="249"/>
      <w:r w:rsidRPr="00666914">
        <w:rPr>
          <w:b/>
          <w:sz w:val="20"/>
          <w:szCs w:val="20"/>
        </w:rPr>
        <w:t xml:space="preserve">  </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7"/>
        <w:gridCol w:w="1972"/>
        <w:gridCol w:w="1412"/>
        <w:gridCol w:w="1130"/>
        <w:gridCol w:w="1272"/>
        <w:gridCol w:w="708"/>
        <w:gridCol w:w="709"/>
        <w:gridCol w:w="711"/>
        <w:gridCol w:w="719"/>
      </w:tblGrid>
      <w:tr w:rsidR="004C730B" w:rsidRPr="00666914" w14:paraId="6E71E90A" w14:textId="77777777" w:rsidTr="00CD0BF9">
        <w:trPr>
          <w:trHeight w:val="335"/>
        </w:trPr>
        <w:tc>
          <w:tcPr>
            <w:tcW w:w="427" w:type="dxa"/>
            <w:shd w:val="clear" w:color="auto" w:fill="auto"/>
            <w:vAlign w:val="center"/>
          </w:tcPr>
          <w:p w14:paraId="5256A851" w14:textId="77777777" w:rsidR="00386F6D" w:rsidRPr="00666914" w:rsidRDefault="00386F6D">
            <w:pPr>
              <w:spacing w:after="0"/>
              <w:jc w:val="left"/>
              <w:rPr>
                <w:color w:val="000000"/>
                <w:sz w:val="20"/>
                <w:szCs w:val="20"/>
              </w:rPr>
            </w:pPr>
            <w:bookmarkStart w:id="250" w:name="_heading=h.1t3h5sf" w:colFirst="0" w:colLast="0"/>
            <w:bookmarkEnd w:id="250"/>
            <w:r w:rsidRPr="00666914">
              <w:rPr>
                <w:color w:val="000000"/>
                <w:sz w:val="20"/>
                <w:szCs w:val="20"/>
              </w:rPr>
              <w:t> </w:t>
            </w:r>
          </w:p>
        </w:tc>
        <w:tc>
          <w:tcPr>
            <w:tcW w:w="1972" w:type="dxa"/>
            <w:shd w:val="clear" w:color="auto" w:fill="auto"/>
            <w:vAlign w:val="center"/>
          </w:tcPr>
          <w:p w14:paraId="61840377" w14:textId="77777777" w:rsidR="00386F6D" w:rsidRPr="00666914" w:rsidRDefault="00386F6D">
            <w:pPr>
              <w:spacing w:after="0"/>
              <w:jc w:val="center"/>
              <w:rPr>
                <w:b/>
                <w:color w:val="000000"/>
                <w:sz w:val="20"/>
                <w:szCs w:val="20"/>
              </w:rPr>
            </w:pPr>
            <w:r w:rsidRPr="00666914">
              <w:rPr>
                <w:b/>
                <w:color w:val="000000"/>
                <w:sz w:val="20"/>
                <w:szCs w:val="20"/>
              </w:rPr>
              <w:t>INFORMATIZÁCIA</w:t>
            </w:r>
          </w:p>
        </w:tc>
        <w:tc>
          <w:tcPr>
            <w:tcW w:w="1412" w:type="dxa"/>
            <w:shd w:val="clear" w:color="auto" w:fill="auto"/>
            <w:vAlign w:val="center"/>
          </w:tcPr>
          <w:p w14:paraId="2085D67B" w14:textId="77777777" w:rsidR="00386F6D" w:rsidRPr="00666914" w:rsidRDefault="00386F6D">
            <w:pPr>
              <w:spacing w:after="0"/>
              <w:jc w:val="center"/>
              <w:rPr>
                <w:b/>
                <w:color w:val="000000"/>
                <w:sz w:val="20"/>
                <w:szCs w:val="20"/>
              </w:rPr>
            </w:pPr>
            <w:r w:rsidRPr="00666914">
              <w:rPr>
                <w:b/>
                <w:color w:val="000000"/>
                <w:sz w:val="20"/>
                <w:szCs w:val="20"/>
              </w:rPr>
              <w:t>Zodpovednosť</w:t>
            </w:r>
          </w:p>
        </w:tc>
        <w:tc>
          <w:tcPr>
            <w:tcW w:w="1130" w:type="dxa"/>
            <w:shd w:val="clear" w:color="auto" w:fill="auto"/>
            <w:vAlign w:val="center"/>
          </w:tcPr>
          <w:p w14:paraId="4981F5E3" w14:textId="77777777" w:rsidR="00386F6D" w:rsidRPr="00666914" w:rsidRDefault="00386F6D">
            <w:pPr>
              <w:spacing w:after="0"/>
              <w:jc w:val="center"/>
              <w:rPr>
                <w:b/>
                <w:color w:val="000000"/>
                <w:sz w:val="20"/>
                <w:szCs w:val="20"/>
              </w:rPr>
            </w:pPr>
            <w:r w:rsidRPr="00666914">
              <w:rPr>
                <w:b/>
                <w:color w:val="000000"/>
                <w:sz w:val="20"/>
                <w:szCs w:val="20"/>
              </w:rPr>
              <w:t>Pôvodný termín</w:t>
            </w:r>
          </w:p>
        </w:tc>
        <w:tc>
          <w:tcPr>
            <w:tcW w:w="1272" w:type="dxa"/>
            <w:shd w:val="clear" w:color="auto" w:fill="auto"/>
            <w:vAlign w:val="center"/>
          </w:tcPr>
          <w:p w14:paraId="19C2F111" w14:textId="77777777" w:rsidR="00386F6D" w:rsidRPr="00666914" w:rsidRDefault="00386F6D">
            <w:pPr>
              <w:spacing w:after="0"/>
              <w:jc w:val="center"/>
              <w:rPr>
                <w:b/>
                <w:color w:val="000000"/>
                <w:sz w:val="20"/>
                <w:szCs w:val="20"/>
              </w:rPr>
            </w:pPr>
            <w:r w:rsidRPr="00666914">
              <w:rPr>
                <w:b/>
                <w:color w:val="000000"/>
                <w:sz w:val="20"/>
                <w:szCs w:val="20"/>
              </w:rPr>
              <w:t>Nový termín</w:t>
            </w:r>
            <w:r w:rsidRPr="00666914">
              <w:rPr>
                <w:color w:val="000000"/>
                <w:sz w:val="20"/>
                <w:szCs w:val="20"/>
                <w:vertAlign w:val="superscript"/>
              </w:rPr>
              <w:footnoteReference w:id="112"/>
            </w:r>
          </w:p>
        </w:tc>
        <w:tc>
          <w:tcPr>
            <w:tcW w:w="708" w:type="dxa"/>
            <w:shd w:val="clear" w:color="auto" w:fill="auto"/>
            <w:vAlign w:val="center"/>
          </w:tcPr>
          <w:p w14:paraId="66A6C65B" w14:textId="77777777" w:rsidR="00386F6D" w:rsidRPr="00666914" w:rsidRDefault="00386F6D">
            <w:pPr>
              <w:spacing w:after="0"/>
              <w:jc w:val="center"/>
              <w:rPr>
                <w:b/>
                <w:color w:val="000000"/>
                <w:sz w:val="20"/>
                <w:szCs w:val="20"/>
              </w:rPr>
            </w:pPr>
            <w:r w:rsidRPr="00666914">
              <w:rPr>
                <w:b/>
                <w:color w:val="000000"/>
                <w:sz w:val="20"/>
                <w:szCs w:val="20"/>
              </w:rPr>
              <w:t>1Q 2019</w:t>
            </w:r>
          </w:p>
        </w:tc>
        <w:tc>
          <w:tcPr>
            <w:tcW w:w="709" w:type="dxa"/>
            <w:shd w:val="clear" w:color="auto" w:fill="auto"/>
            <w:vAlign w:val="center"/>
          </w:tcPr>
          <w:p w14:paraId="27147F34" w14:textId="77777777" w:rsidR="00386F6D" w:rsidRPr="00666914" w:rsidRDefault="00386F6D">
            <w:pPr>
              <w:spacing w:after="0"/>
              <w:jc w:val="center"/>
              <w:rPr>
                <w:b/>
                <w:color w:val="000000"/>
                <w:sz w:val="20"/>
                <w:szCs w:val="20"/>
              </w:rPr>
            </w:pPr>
            <w:r w:rsidRPr="00666914">
              <w:rPr>
                <w:b/>
                <w:color w:val="000000"/>
                <w:sz w:val="20"/>
                <w:szCs w:val="20"/>
              </w:rPr>
              <w:t>2Q 2019</w:t>
            </w:r>
          </w:p>
        </w:tc>
        <w:tc>
          <w:tcPr>
            <w:tcW w:w="711" w:type="dxa"/>
            <w:shd w:val="clear" w:color="auto" w:fill="auto"/>
            <w:vAlign w:val="center"/>
          </w:tcPr>
          <w:p w14:paraId="5860C82E" w14:textId="77777777" w:rsidR="00386F6D" w:rsidRPr="00666914" w:rsidRDefault="00386F6D">
            <w:pPr>
              <w:spacing w:after="0"/>
              <w:jc w:val="center"/>
              <w:rPr>
                <w:b/>
                <w:color w:val="000000"/>
                <w:sz w:val="20"/>
                <w:szCs w:val="20"/>
              </w:rPr>
            </w:pPr>
            <w:r w:rsidRPr="00666914">
              <w:rPr>
                <w:b/>
                <w:color w:val="000000"/>
                <w:sz w:val="20"/>
                <w:szCs w:val="20"/>
              </w:rPr>
              <w:t>3Q 2019</w:t>
            </w:r>
          </w:p>
        </w:tc>
        <w:tc>
          <w:tcPr>
            <w:tcW w:w="719" w:type="dxa"/>
            <w:shd w:val="clear" w:color="auto" w:fill="auto"/>
            <w:vAlign w:val="center"/>
          </w:tcPr>
          <w:p w14:paraId="13EC61D5" w14:textId="77777777" w:rsidR="00386F6D" w:rsidRPr="00666914" w:rsidRDefault="00386F6D">
            <w:pPr>
              <w:spacing w:after="0"/>
              <w:jc w:val="center"/>
              <w:rPr>
                <w:b/>
                <w:color w:val="000000"/>
                <w:sz w:val="20"/>
                <w:szCs w:val="20"/>
              </w:rPr>
            </w:pPr>
            <w:r w:rsidRPr="00666914">
              <w:rPr>
                <w:b/>
                <w:color w:val="000000"/>
                <w:sz w:val="20"/>
                <w:szCs w:val="20"/>
              </w:rPr>
              <w:t>4Q 2019</w:t>
            </w:r>
          </w:p>
        </w:tc>
      </w:tr>
      <w:tr w:rsidR="00386F6D" w:rsidRPr="00666914" w14:paraId="3C58A7BB" w14:textId="77777777" w:rsidTr="00CD0BF9">
        <w:trPr>
          <w:trHeight w:val="320"/>
        </w:trPr>
        <w:tc>
          <w:tcPr>
            <w:tcW w:w="9060" w:type="dxa"/>
            <w:gridSpan w:val="9"/>
            <w:shd w:val="clear" w:color="auto" w:fill="auto"/>
            <w:vAlign w:val="center"/>
          </w:tcPr>
          <w:p w14:paraId="23061B79" w14:textId="77777777" w:rsidR="00386F6D" w:rsidRPr="00666914" w:rsidRDefault="00386F6D">
            <w:pPr>
              <w:spacing w:after="0"/>
              <w:jc w:val="center"/>
              <w:rPr>
                <w:b/>
                <w:color w:val="000000"/>
                <w:sz w:val="20"/>
                <w:szCs w:val="20"/>
              </w:rPr>
            </w:pPr>
            <w:r w:rsidRPr="00666914">
              <w:rPr>
                <w:b/>
                <w:color w:val="000000"/>
                <w:sz w:val="20"/>
                <w:szCs w:val="20"/>
              </w:rPr>
              <w:t>ÚSPORA</w:t>
            </w:r>
          </w:p>
        </w:tc>
      </w:tr>
      <w:tr w:rsidR="004C730B" w:rsidRPr="00666914" w14:paraId="78CF65C8" w14:textId="77777777" w:rsidTr="00CD0BF9">
        <w:trPr>
          <w:trHeight w:val="305"/>
        </w:trPr>
        <w:tc>
          <w:tcPr>
            <w:tcW w:w="427" w:type="dxa"/>
            <w:shd w:val="clear" w:color="auto" w:fill="auto"/>
            <w:vAlign w:val="center"/>
          </w:tcPr>
          <w:p w14:paraId="3027824F" w14:textId="77777777" w:rsidR="00386F6D" w:rsidRPr="00666914" w:rsidRDefault="00386F6D">
            <w:pPr>
              <w:spacing w:after="0"/>
              <w:jc w:val="left"/>
              <w:rPr>
                <w:color w:val="000000"/>
                <w:sz w:val="20"/>
                <w:szCs w:val="20"/>
              </w:rPr>
            </w:pPr>
            <w:r w:rsidRPr="00666914">
              <w:rPr>
                <w:color w:val="000000"/>
                <w:sz w:val="20"/>
                <w:szCs w:val="20"/>
              </w:rPr>
              <w:t>1</w:t>
            </w:r>
          </w:p>
        </w:tc>
        <w:tc>
          <w:tcPr>
            <w:tcW w:w="1972" w:type="dxa"/>
            <w:shd w:val="clear" w:color="auto" w:fill="auto"/>
            <w:vAlign w:val="center"/>
          </w:tcPr>
          <w:p w14:paraId="76BECE36" w14:textId="77777777" w:rsidR="00386F6D" w:rsidRPr="00666914" w:rsidRDefault="00386F6D">
            <w:pPr>
              <w:spacing w:after="0"/>
              <w:jc w:val="left"/>
              <w:rPr>
                <w:color w:val="000000"/>
                <w:sz w:val="20"/>
                <w:szCs w:val="20"/>
              </w:rPr>
            </w:pPr>
            <w:r w:rsidRPr="00666914">
              <w:rPr>
                <w:color w:val="000000"/>
                <w:sz w:val="20"/>
                <w:szCs w:val="20"/>
              </w:rPr>
              <w:t>Vypracovať záväzný plán migrácie do cloudu a naviazanie na IT rozpočty</w:t>
            </w:r>
          </w:p>
        </w:tc>
        <w:tc>
          <w:tcPr>
            <w:tcW w:w="1412" w:type="dxa"/>
            <w:shd w:val="clear" w:color="auto" w:fill="auto"/>
            <w:vAlign w:val="center"/>
          </w:tcPr>
          <w:p w14:paraId="10F9F2B1" w14:textId="77777777" w:rsidR="00386F6D" w:rsidRPr="00666914" w:rsidRDefault="00386F6D">
            <w:pPr>
              <w:spacing w:after="0"/>
              <w:jc w:val="center"/>
              <w:rPr>
                <w:color w:val="000000"/>
                <w:sz w:val="20"/>
                <w:szCs w:val="20"/>
              </w:rPr>
            </w:pPr>
            <w:r w:rsidRPr="00666914">
              <w:rPr>
                <w:color w:val="000000"/>
                <w:sz w:val="20"/>
                <w:szCs w:val="20"/>
              </w:rPr>
              <w:t>ÚPVII, MF SR</w:t>
            </w:r>
          </w:p>
        </w:tc>
        <w:tc>
          <w:tcPr>
            <w:tcW w:w="1130" w:type="dxa"/>
            <w:shd w:val="clear" w:color="auto" w:fill="auto"/>
            <w:vAlign w:val="center"/>
          </w:tcPr>
          <w:p w14:paraId="5FE03A8E" w14:textId="77777777" w:rsidR="00386F6D" w:rsidRPr="00666914" w:rsidRDefault="00386F6D">
            <w:pPr>
              <w:spacing w:after="0"/>
              <w:jc w:val="center"/>
              <w:rPr>
                <w:color w:val="000000"/>
                <w:sz w:val="20"/>
                <w:szCs w:val="20"/>
              </w:rPr>
            </w:pPr>
            <w:r w:rsidRPr="00666914">
              <w:rPr>
                <w:color w:val="000000"/>
                <w:sz w:val="20"/>
                <w:szCs w:val="20"/>
              </w:rPr>
              <w:t>30.1.2018</w:t>
            </w:r>
          </w:p>
        </w:tc>
        <w:tc>
          <w:tcPr>
            <w:tcW w:w="1272" w:type="dxa"/>
            <w:shd w:val="clear" w:color="auto" w:fill="auto"/>
            <w:vAlign w:val="center"/>
          </w:tcPr>
          <w:p w14:paraId="383333A7" w14:textId="77777777" w:rsidR="00386F6D" w:rsidRPr="00666914" w:rsidRDefault="00386F6D">
            <w:pPr>
              <w:spacing w:after="0"/>
              <w:jc w:val="center"/>
              <w:rPr>
                <w:color w:val="000000"/>
                <w:sz w:val="20"/>
                <w:szCs w:val="20"/>
              </w:rPr>
            </w:pPr>
            <w:r w:rsidRPr="00666914">
              <w:rPr>
                <w:color w:val="000000"/>
                <w:sz w:val="20"/>
                <w:szCs w:val="20"/>
              </w:rPr>
              <w:t>31.12.2019</w:t>
            </w:r>
          </w:p>
        </w:tc>
        <w:tc>
          <w:tcPr>
            <w:tcW w:w="708" w:type="dxa"/>
            <w:shd w:val="clear" w:color="auto" w:fill="FFC000"/>
            <w:vAlign w:val="bottom"/>
          </w:tcPr>
          <w:p w14:paraId="1F514DE2" w14:textId="77777777" w:rsidR="00386F6D" w:rsidRPr="00666914" w:rsidRDefault="00386F6D">
            <w:pPr>
              <w:spacing w:after="0"/>
              <w:rPr>
                <w:color w:val="000000"/>
                <w:sz w:val="20"/>
                <w:szCs w:val="20"/>
              </w:rPr>
            </w:pPr>
            <w:r w:rsidRPr="00666914">
              <w:rPr>
                <w:color w:val="000000"/>
                <w:sz w:val="20"/>
                <w:szCs w:val="20"/>
              </w:rPr>
              <w:t> </w:t>
            </w:r>
          </w:p>
        </w:tc>
        <w:tc>
          <w:tcPr>
            <w:tcW w:w="709" w:type="dxa"/>
            <w:shd w:val="clear" w:color="auto" w:fill="FFC000"/>
            <w:vAlign w:val="bottom"/>
          </w:tcPr>
          <w:p w14:paraId="0D25A422" w14:textId="77777777" w:rsidR="00386F6D" w:rsidRPr="00666914" w:rsidRDefault="00386F6D">
            <w:pPr>
              <w:spacing w:after="0"/>
              <w:rPr>
                <w:color w:val="000000"/>
                <w:sz w:val="20"/>
                <w:szCs w:val="20"/>
              </w:rPr>
            </w:pPr>
            <w:r w:rsidRPr="00666914">
              <w:rPr>
                <w:color w:val="000000"/>
                <w:sz w:val="20"/>
                <w:szCs w:val="20"/>
              </w:rPr>
              <w:t> </w:t>
            </w:r>
          </w:p>
        </w:tc>
        <w:tc>
          <w:tcPr>
            <w:tcW w:w="711" w:type="dxa"/>
            <w:shd w:val="clear" w:color="auto" w:fill="FFC000"/>
            <w:vAlign w:val="bottom"/>
          </w:tcPr>
          <w:p w14:paraId="78165556" w14:textId="77777777" w:rsidR="00386F6D" w:rsidRPr="00666914" w:rsidRDefault="00386F6D">
            <w:pPr>
              <w:spacing w:after="0"/>
              <w:rPr>
                <w:color w:val="000000"/>
                <w:sz w:val="20"/>
                <w:szCs w:val="20"/>
              </w:rPr>
            </w:pPr>
            <w:r w:rsidRPr="00666914">
              <w:rPr>
                <w:color w:val="000000"/>
                <w:sz w:val="20"/>
                <w:szCs w:val="20"/>
              </w:rPr>
              <w:t> </w:t>
            </w:r>
          </w:p>
        </w:tc>
        <w:tc>
          <w:tcPr>
            <w:tcW w:w="719" w:type="dxa"/>
            <w:shd w:val="clear" w:color="auto" w:fill="FFC000"/>
            <w:vAlign w:val="bottom"/>
          </w:tcPr>
          <w:p w14:paraId="0BD4ABCC" w14:textId="77777777" w:rsidR="00386F6D" w:rsidRPr="00666914" w:rsidRDefault="00386F6D">
            <w:pPr>
              <w:spacing w:after="0"/>
              <w:jc w:val="center"/>
              <w:rPr>
                <w:color w:val="000000"/>
                <w:sz w:val="20"/>
                <w:szCs w:val="20"/>
              </w:rPr>
            </w:pPr>
            <w:r w:rsidRPr="00666914">
              <w:rPr>
                <w:color w:val="000000"/>
                <w:sz w:val="20"/>
                <w:szCs w:val="20"/>
              </w:rPr>
              <w:t> </w:t>
            </w:r>
          </w:p>
        </w:tc>
      </w:tr>
      <w:tr w:rsidR="004C730B" w:rsidRPr="00666914" w14:paraId="609FC259" w14:textId="77777777" w:rsidTr="00CD0BF9">
        <w:trPr>
          <w:trHeight w:val="305"/>
        </w:trPr>
        <w:tc>
          <w:tcPr>
            <w:tcW w:w="427" w:type="dxa"/>
            <w:shd w:val="clear" w:color="auto" w:fill="auto"/>
            <w:vAlign w:val="center"/>
          </w:tcPr>
          <w:p w14:paraId="47809E18" w14:textId="77777777" w:rsidR="00386F6D" w:rsidRPr="00666914" w:rsidRDefault="00386F6D">
            <w:pPr>
              <w:spacing w:after="0"/>
              <w:jc w:val="left"/>
              <w:rPr>
                <w:color w:val="000000"/>
                <w:sz w:val="20"/>
                <w:szCs w:val="20"/>
              </w:rPr>
            </w:pPr>
            <w:r w:rsidRPr="00666914">
              <w:rPr>
                <w:color w:val="000000"/>
                <w:sz w:val="20"/>
                <w:szCs w:val="20"/>
              </w:rPr>
              <w:t>2</w:t>
            </w:r>
          </w:p>
        </w:tc>
        <w:tc>
          <w:tcPr>
            <w:tcW w:w="1972" w:type="dxa"/>
            <w:shd w:val="clear" w:color="auto" w:fill="auto"/>
            <w:vAlign w:val="center"/>
          </w:tcPr>
          <w:p w14:paraId="2C3DE30D" w14:textId="77777777" w:rsidR="00386F6D" w:rsidRPr="00666914" w:rsidRDefault="00386F6D">
            <w:pPr>
              <w:spacing w:after="0"/>
              <w:jc w:val="left"/>
              <w:rPr>
                <w:color w:val="000000"/>
                <w:sz w:val="20"/>
                <w:szCs w:val="20"/>
              </w:rPr>
            </w:pPr>
            <w:r w:rsidRPr="00666914">
              <w:rPr>
                <w:color w:val="000000"/>
                <w:sz w:val="20"/>
                <w:szCs w:val="20"/>
              </w:rPr>
              <w:t>Centralizovať zabezpečenie podporných IT služieb ako sú telekomunikácie a konektivita</w:t>
            </w:r>
          </w:p>
        </w:tc>
        <w:tc>
          <w:tcPr>
            <w:tcW w:w="1412" w:type="dxa"/>
            <w:shd w:val="clear" w:color="auto" w:fill="auto"/>
            <w:vAlign w:val="center"/>
          </w:tcPr>
          <w:p w14:paraId="5D3C2584" w14:textId="77777777" w:rsidR="00386F6D" w:rsidRPr="00666914" w:rsidRDefault="00386F6D">
            <w:pPr>
              <w:spacing w:after="0"/>
              <w:jc w:val="center"/>
              <w:rPr>
                <w:color w:val="000000"/>
                <w:sz w:val="20"/>
                <w:szCs w:val="20"/>
              </w:rPr>
            </w:pPr>
            <w:r w:rsidRPr="00666914">
              <w:rPr>
                <w:color w:val="000000"/>
                <w:sz w:val="20"/>
                <w:szCs w:val="20"/>
              </w:rPr>
              <w:t>ÚPVII, MF SR</w:t>
            </w:r>
          </w:p>
        </w:tc>
        <w:tc>
          <w:tcPr>
            <w:tcW w:w="1130" w:type="dxa"/>
            <w:shd w:val="clear" w:color="auto" w:fill="auto"/>
            <w:vAlign w:val="center"/>
          </w:tcPr>
          <w:p w14:paraId="677810D8" w14:textId="77777777" w:rsidR="00386F6D" w:rsidRPr="00666914" w:rsidRDefault="00386F6D">
            <w:pPr>
              <w:spacing w:after="0"/>
              <w:jc w:val="center"/>
              <w:rPr>
                <w:color w:val="000000"/>
                <w:sz w:val="20"/>
                <w:szCs w:val="20"/>
              </w:rPr>
            </w:pPr>
            <w:r w:rsidRPr="00666914">
              <w:rPr>
                <w:color w:val="000000"/>
                <w:sz w:val="20"/>
                <w:szCs w:val="20"/>
              </w:rPr>
              <w:t>30.1.2018</w:t>
            </w:r>
          </w:p>
        </w:tc>
        <w:tc>
          <w:tcPr>
            <w:tcW w:w="1272" w:type="dxa"/>
            <w:shd w:val="clear" w:color="auto" w:fill="auto"/>
            <w:vAlign w:val="center"/>
          </w:tcPr>
          <w:p w14:paraId="042B0AC9" w14:textId="77777777" w:rsidR="00386F6D" w:rsidRPr="00666914" w:rsidRDefault="00386F6D">
            <w:pPr>
              <w:spacing w:after="0"/>
              <w:jc w:val="center"/>
              <w:rPr>
                <w:color w:val="000000"/>
                <w:sz w:val="20"/>
                <w:szCs w:val="20"/>
              </w:rPr>
            </w:pPr>
            <w:r w:rsidRPr="00666914">
              <w:rPr>
                <w:color w:val="000000"/>
                <w:sz w:val="20"/>
                <w:szCs w:val="20"/>
              </w:rPr>
              <w:t>31.12.2019</w:t>
            </w:r>
          </w:p>
        </w:tc>
        <w:tc>
          <w:tcPr>
            <w:tcW w:w="708" w:type="dxa"/>
            <w:shd w:val="clear" w:color="auto" w:fill="FF0000"/>
            <w:vAlign w:val="bottom"/>
          </w:tcPr>
          <w:p w14:paraId="02496C1B" w14:textId="77777777" w:rsidR="00386F6D" w:rsidRPr="00666914" w:rsidRDefault="00386F6D">
            <w:pPr>
              <w:spacing w:after="0"/>
              <w:rPr>
                <w:color w:val="000000"/>
                <w:sz w:val="20"/>
                <w:szCs w:val="20"/>
              </w:rPr>
            </w:pPr>
            <w:r w:rsidRPr="00666914">
              <w:rPr>
                <w:color w:val="000000"/>
                <w:sz w:val="20"/>
                <w:szCs w:val="20"/>
              </w:rPr>
              <w:t> </w:t>
            </w:r>
          </w:p>
        </w:tc>
        <w:tc>
          <w:tcPr>
            <w:tcW w:w="709" w:type="dxa"/>
            <w:shd w:val="clear" w:color="auto" w:fill="FF0000"/>
            <w:vAlign w:val="bottom"/>
          </w:tcPr>
          <w:p w14:paraId="55C50C4B" w14:textId="77777777" w:rsidR="00386F6D" w:rsidRPr="00666914" w:rsidRDefault="00386F6D">
            <w:pPr>
              <w:spacing w:after="0"/>
              <w:rPr>
                <w:color w:val="000000"/>
                <w:sz w:val="20"/>
                <w:szCs w:val="20"/>
              </w:rPr>
            </w:pPr>
            <w:r w:rsidRPr="00666914">
              <w:rPr>
                <w:color w:val="000000"/>
                <w:sz w:val="20"/>
                <w:szCs w:val="20"/>
              </w:rPr>
              <w:t> </w:t>
            </w:r>
          </w:p>
        </w:tc>
        <w:tc>
          <w:tcPr>
            <w:tcW w:w="711" w:type="dxa"/>
            <w:shd w:val="clear" w:color="auto" w:fill="FF0000"/>
            <w:vAlign w:val="bottom"/>
          </w:tcPr>
          <w:p w14:paraId="037573D7" w14:textId="77777777" w:rsidR="00386F6D" w:rsidRPr="00666914" w:rsidRDefault="00386F6D">
            <w:pPr>
              <w:spacing w:after="0"/>
              <w:rPr>
                <w:color w:val="000000"/>
                <w:sz w:val="20"/>
                <w:szCs w:val="20"/>
              </w:rPr>
            </w:pPr>
            <w:r w:rsidRPr="00666914">
              <w:rPr>
                <w:color w:val="000000"/>
                <w:sz w:val="20"/>
                <w:szCs w:val="20"/>
              </w:rPr>
              <w:t> </w:t>
            </w:r>
          </w:p>
        </w:tc>
        <w:tc>
          <w:tcPr>
            <w:tcW w:w="719" w:type="dxa"/>
            <w:shd w:val="clear" w:color="auto" w:fill="FF0000"/>
            <w:vAlign w:val="bottom"/>
          </w:tcPr>
          <w:p w14:paraId="4BE9BA60" w14:textId="77777777" w:rsidR="00386F6D" w:rsidRPr="00666914" w:rsidRDefault="00386F6D">
            <w:pPr>
              <w:spacing w:after="0"/>
              <w:jc w:val="center"/>
              <w:rPr>
                <w:color w:val="000000"/>
                <w:sz w:val="20"/>
                <w:szCs w:val="20"/>
              </w:rPr>
            </w:pPr>
            <w:r w:rsidRPr="00666914">
              <w:rPr>
                <w:color w:val="000000"/>
                <w:sz w:val="20"/>
                <w:szCs w:val="20"/>
              </w:rPr>
              <w:t> </w:t>
            </w:r>
          </w:p>
        </w:tc>
      </w:tr>
      <w:tr w:rsidR="004C730B" w:rsidRPr="00666914" w14:paraId="78F66AE1" w14:textId="77777777" w:rsidTr="00CD0BF9">
        <w:trPr>
          <w:trHeight w:val="320"/>
        </w:trPr>
        <w:tc>
          <w:tcPr>
            <w:tcW w:w="427" w:type="dxa"/>
            <w:shd w:val="clear" w:color="auto" w:fill="auto"/>
            <w:vAlign w:val="center"/>
          </w:tcPr>
          <w:p w14:paraId="6BEFC97D" w14:textId="77777777" w:rsidR="00386F6D" w:rsidRPr="00666914" w:rsidRDefault="00386F6D">
            <w:pPr>
              <w:spacing w:after="0"/>
              <w:jc w:val="left"/>
              <w:rPr>
                <w:color w:val="000000"/>
                <w:sz w:val="20"/>
                <w:szCs w:val="20"/>
              </w:rPr>
            </w:pPr>
            <w:r w:rsidRPr="00666914">
              <w:rPr>
                <w:color w:val="000000"/>
                <w:sz w:val="20"/>
                <w:szCs w:val="20"/>
              </w:rPr>
              <w:t>3</w:t>
            </w:r>
          </w:p>
        </w:tc>
        <w:tc>
          <w:tcPr>
            <w:tcW w:w="1972" w:type="dxa"/>
            <w:shd w:val="clear" w:color="auto" w:fill="auto"/>
            <w:vAlign w:val="center"/>
          </w:tcPr>
          <w:p w14:paraId="6911B599" w14:textId="77777777" w:rsidR="00386F6D" w:rsidRPr="00666914" w:rsidRDefault="00386F6D">
            <w:pPr>
              <w:spacing w:after="0"/>
              <w:jc w:val="left"/>
              <w:rPr>
                <w:color w:val="000000"/>
                <w:sz w:val="20"/>
                <w:szCs w:val="20"/>
              </w:rPr>
            </w:pPr>
            <w:r w:rsidRPr="00666914">
              <w:rPr>
                <w:color w:val="000000"/>
                <w:sz w:val="20"/>
                <w:szCs w:val="20"/>
              </w:rPr>
              <w:t>Zefektívniť podmienky zabezpečenia licencií produktov Microsoft</w:t>
            </w:r>
          </w:p>
        </w:tc>
        <w:tc>
          <w:tcPr>
            <w:tcW w:w="1412" w:type="dxa"/>
            <w:shd w:val="clear" w:color="auto" w:fill="auto"/>
            <w:vAlign w:val="center"/>
          </w:tcPr>
          <w:p w14:paraId="67708BB7" w14:textId="77777777" w:rsidR="00386F6D" w:rsidRPr="00666914" w:rsidRDefault="00386F6D">
            <w:pPr>
              <w:spacing w:after="0"/>
              <w:jc w:val="center"/>
              <w:rPr>
                <w:color w:val="000000"/>
                <w:sz w:val="20"/>
                <w:szCs w:val="20"/>
              </w:rPr>
            </w:pPr>
            <w:r w:rsidRPr="00666914">
              <w:rPr>
                <w:color w:val="000000"/>
                <w:sz w:val="20"/>
                <w:szCs w:val="20"/>
              </w:rPr>
              <w:t>ÚPVII, MF SR</w:t>
            </w:r>
          </w:p>
        </w:tc>
        <w:tc>
          <w:tcPr>
            <w:tcW w:w="1130" w:type="dxa"/>
            <w:shd w:val="clear" w:color="auto" w:fill="auto"/>
            <w:vAlign w:val="center"/>
          </w:tcPr>
          <w:p w14:paraId="63ACE337" w14:textId="77777777" w:rsidR="00386F6D" w:rsidRPr="00666914" w:rsidRDefault="00386F6D">
            <w:pPr>
              <w:spacing w:after="0"/>
              <w:jc w:val="center"/>
              <w:rPr>
                <w:color w:val="000000"/>
                <w:sz w:val="20"/>
                <w:szCs w:val="20"/>
              </w:rPr>
            </w:pPr>
            <w:r w:rsidRPr="00666914">
              <w:rPr>
                <w:color w:val="000000"/>
                <w:sz w:val="20"/>
                <w:szCs w:val="20"/>
              </w:rPr>
              <w:t>31.12.2017</w:t>
            </w:r>
          </w:p>
        </w:tc>
        <w:tc>
          <w:tcPr>
            <w:tcW w:w="1272" w:type="dxa"/>
            <w:shd w:val="clear" w:color="auto" w:fill="auto"/>
            <w:vAlign w:val="center"/>
          </w:tcPr>
          <w:p w14:paraId="7A9598DB" w14:textId="77777777" w:rsidR="00386F6D" w:rsidRPr="00666914" w:rsidRDefault="00386F6D">
            <w:pPr>
              <w:spacing w:after="0"/>
              <w:jc w:val="center"/>
              <w:rPr>
                <w:color w:val="000000"/>
                <w:sz w:val="20"/>
                <w:szCs w:val="20"/>
              </w:rPr>
            </w:pPr>
            <w:r w:rsidRPr="00666914">
              <w:rPr>
                <w:color w:val="000000"/>
                <w:sz w:val="20"/>
                <w:szCs w:val="20"/>
              </w:rPr>
              <w:t>31.12.2019</w:t>
            </w:r>
          </w:p>
        </w:tc>
        <w:tc>
          <w:tcPr>
            <w:tcW w:w="708" w:type="dxa"/>
            <w:shd w:val="clear" w:color="auto" w:fill="FFC000"/>
            <w:vAlign w:val="bottom"/>
          </w:tcPr>
          <w:p w14:paraId="58160EA1" w14:textId="77777777" w:rsidR="00386F6D" w:rsidRPr="00666914" w:rsidRDefault="00386F6D">
            <w:pPr>
              <w:spacing w:after="0"/>
              <w:rPr>
                <w:color w:val="000000"/>
                <w:sz w:val="20"/>
                <w:szCs w:val="20"/>
              </w:rPr>
            </w:pPr>
            <w:r w:rsidRPr="00666914">
              <w:rPr>
                <w:color w:val="000000"/>
                <w:sz w:val="20"/>
                <w:szCs w:val="20"/>
              </w:rPr>
              <w:t> </w:t>
            </w:r>
          </w:p>
        </w:tc>
        <w:tc>
          <w:tcPr>
            <w:tcW w:w="709" w:type="dxa"/>
            <w:shd w:val="clear" w:color="auto" w:fill="FFC000"/>
            <w:vAlign w:val="bottom"/>
          </w:tcPr>
          <w:p w14:paraId="613C271B" w14:textId="77777777" w:rsidR="00386F6D" w:rsidRPr="00666914" w:rsidRDefault="00386F6D">
            <w:pPr>
              <w:spacing w:after="0"/>
              <w:rPr>
                <w:color w:val="000000"/>
                <w:sz w:val="20"/>
                <w:szCs w:val="20"/>
              </w:rPr>
            </w:pPr>
            <w:r w:rsidRPr="00666914">
              <w:rPr>
                <w:color w:val="000000"/>
                <w:sz w:val="20"/>
                <w:szCs w:val="20"/>
              </w:rPr>
              <w:t> </w:t>
            </w:r>
          </w:p>
        </w:tc>
        <w:tc>
          <w:tcPr>
            <w:tcW w:w="711" w:type="dxa"/>
            <w:shd w:val="clear" w:color="auto" w:fill="FFC000"/>
            <w:vAlign w:val="bottom"/>
          </w:tcPr>
          <w:p w14:paraId="5BB510DF" w14:textId="77777777" w:rsidR="00386F6D" w:rsidRPr="00666914" w:rsidRDefault="00386F6D">
            <w:pPr>
              <w:spacing w:after="0"/>
              <w:rPr>
                <w:color w:val="000000"/>
                <w:sz w:val="20"/>
                <w:szCs w:val="20"/>
              </w:rPr>
            </w:pPr>
            <w:r w:rsidRPr="00666914">
              <w:rPr>
                <w:color w:val="000000"/>
                <w:sz w:val="20"/>
                <w:szCs w:val="20"/>
              </w:rPr>
              <w:t> </w:t>
            </w:r>
          </w:p>
        </w:tc>
        <w:tc>
          <w:tcPr>
            <w:tcW w:w="719" w:type="dxa"/>
            <w:shd w:val="clear" w:color="auto" w:fill="FFC000"/>
            <w:vAlign w:val="bottom"/>
          </w:tcPr>
          <w:p w14:paraId="4C552197" w14:textId="77777777" w:rsidR="00386F6D" w:rsidRPr="00666914" w:rsidRDefault="00386F6D">
            <w:pPr>
              <w:spacing w:after="0"/>
              <w:jc w:val="center"/>
              <w:rPr>
                <w:color w:val="000000"/>
                <w:sz w:val="20"/>
                <w:szCs w:val="20"/>
              </w:rPr>
            </w:pPr>
            <w:r w:rsidRPr="00666914">
              <w:rPr>
                <w:color w:val="000000"/>
                <w:sz w:val="20"/>
                <w:szCs w:val="20"/>
              </w:rPr>
              <w:t> </w:t>
            </w:r>
          </w:p>
        </w:tc>
      </w:tr>
      <w:tr w:rsidR="00386F6D" w:rsidRPr="00666914" w14:paraId="647C3667" w14:textId="77777777" w:rsidTr="00CD0BF9">
        <w:trPr>
          <w:trHeight w:val="320"/>
        </w:trPr>
        <w:tc>
          <w:tcPr>
            <w:tcW w:w="9060" w:type="dxa"/>
            <w:gridSpan w:val="9"/>
            <w:shd w:val="clear" w:color="auto" w:fill="auto"/>
            <w:vAlign w:val="center"/>
          </w:tcPr>
          <w:p w14:paraId="206F2F74" w14:textId="77777777" w:rsidR="00386F6D" w:rsidRPr="00666914" w:rsidRDefault="00386F6D">
            <w:pPr>
              <w:spacing w:after="0"/>
              <w:jc w:val="center"/>
              <w:rPr>
                <w:b/>
                <w:color w:val="000000"/>
                <w:sz w:val="20"/>
                <w:szCs w:val="20"/>
              </w:rPr>
            </w:pPr>
            <w:r w:rsidRPr="00666914">
              <w:rPr>
                <w:b/>
                <w:color w:val="000000"/>
                <w:sz w:val="20"/>
                <w:szCs w:val="20"/>
              </w:rPr>
              <w:t>HODNOTA</w:t>
            </w:r>
          </w:p>
        </w:tc>
      </w:tr>
      <w:tr w:rsidR="004C730B" w:rsidRPr="00666914" w14:paraId="2AD8C6A5" w14:textId="77777777" w:rsidTr="00CD0BF9">
        <w:trPr>
          <w:trHeight w:val="305"/>
        </w:trPr>
        <w:tc>
          <w:tcPr>
            <w:tcW w:w="427" w:type="dxa"/>
            <w:shd w:val="clear" w:color="auto" w:fill="auto"/>
            <w:vAlign w:val="center"/>
          </w:tcPr>
          <w:p w14:paraId="0C3FEF47" w14:textId="77777777" w:rsidR="00386F6D" w:rsidRPr="00666914" w:rsidRDefault="00386F6D">
            <w:pPr>
              <w:spacing w:after="0"/>
              <w:jc w:val="left"/>
              <w:rPr>
                <w:color w:val="000000"/>
                <w:sz w:val="20"/>
                <w:szCs w:val="20"/>
              </w:rPr>
            </w:pPr>
            <w:r w:rsidRPr="00666914">
              <w:rPr>
                <w:color w:val="000000"/>
                <w:sz w:val="20"/>
                <w:szCs w:val="20"/>
              </w:rPr>
              <w:t>4</w:t>
            </w:r>
          </w:p>
        </w:tc>
        <w:tc>
          <w:tcPr>
            <w:tcW w:w="1972" w:type="dxa"/>
            <w:shd w:val="clear" w:color="auto" w:fill="auto"/>
            <w:vAlign w:val="center"/>
          </w:tcPr>
          <w:p w14:paraId="0BCB32D0" w14:textId="77777777" w:rsidR="00386F6D" w:rsidRPr="00666914" w:rsidRDefault="00386F6D">
            <w:pPr>
              <w:spacing w:after="0"/>
              <w:jc w:val="left"/>
              <w:rPr>
                <w:color w:val="000000"/>
                <w:sz w:val="20"/>
                <w:szCs w:val="20"/>
              </w:rPr>
            </w:pPr>
            <w:r w:rsidRPr="00666914">
              <w:rPr>
                <w:color w:val="000000"/>
                <w:sz w:val="20"/>
                <w:szCs w:val="20"/>
              </w:rPr>
              <w:t>Prehodnotiť mieru požadovanej bezpečnosti elektronických služieb</w:t>
            </w:r>
          </w:p>
        </w:tc>
        <w:tc>
          <w:tcPr>
            <w:tcW w:w="1412" w:type="dxa"/>
            <w:shd w:val="clear" w:color="auto" w:fill="auto"/>
            <w:vAlign w:val="center"/>
          </w:tcPr>
          <w:p w14:paraId="0D691C00" w14:textId="77777777" w:rsidR="00386F6D" w:rsidRPr="00666914" w:rsidRDefault="00386F6D">
            <w:pPr>
              <w:spacing w:after="0"/>
              <w:jc w:val="center"/>
              <w:rPr>
                <w:color w:val="000000"/>
                <w:sz w:val="20"/>
                <w:szCs w:val="20"/>
              </w:rPr>
            </w:pPr>
            <w:r w:rsidRPr="00666914">
              <w:rPr>
                <w:color w:val="000000"/>
                <w:sz w:val="20"/>
                <w:szCs w:val="20"/>
              </w:rPr>
              <w:t xml:space="preserve">ÚPVII </w:t>
            </w:r>
          </w:p>
        </w:tc>
        <w:tc>
          <w:tcPr>
            <w:tcW w:w="1130" w:type="dxa"/>
            <w:shd w:val="clear" w:color="auto" w:fill="auto"/>
            <w:vAlign w:val="center"/>
          </w:tcPr>
          <w:p w14:paraId="1463D597" w14:textId="77777777" w:rsidR="00386F6D" w:rsidRPr="00666914" w:rsidRDefault="00386F6D">
            <w:pPr>
              <w:spacing w:after="0"/>
              <w:jc w:val="center"/>
              <w:rPr>
                <w:color w:val="000000"/>
                <w:sz w:val="20"/>
                <w:szCs w:val="20"/>
              </w:rPr>
            </w:pPr>
            <w:r w:rsidRPr="00666914">
              <w:rPr>
                <w:color w:val="000000"/>
                <w:sz w:val="20"/>
                <w:szCs w:val="20"/>
              </w:rPr>
              <w:t>30.3.2017</w:t>
            </w:r>
          </w:p>
        </w:tc>
        <w:tc>
          <w:tcPr>
            <w:tcW w:w="1272" w:type="dxa"/>
            <w:shd w:val="clear" w:color="auto" w:fill="auto"/>
            <w:vAlign w:val="center"/>
          </w:tcPr>
          <w:p w14:paraId="5505AE10" w14:textId="77777777" w:rsidR="00386F6D" w:rsidRPr="00666914" w:rsidRDefault="00386F6D">
            <w:pPr>
              <w:spacing w:after="0"/>
              <w:jc w:val="center"/>
              <w:rPr>
                <w:color w:val="000000"/>
                <w:sz w:val="20"/>
                <w:szCs w:val="20"/>
              </w:rPr>
            </w:pPr>
            <w:r w:rsidRPr="00666914">
              <w:rPr>
                <w:color w:val="000000"/>
                <w:sz w:val="20"/>
                <w:szCs w:val="20"/>
              </w:rPr>
              <w:t>priebežne</w:t>
            </w:r>
          </w:p>
        </w:tc>
        <w:tc>
          <w:tcPr>
            <w:tcW w:w="708" w:type="dxa"/>
            <w:shd w:val="clear" w:color="auto" w:fill="92D050"/>
            <w:vAlign w:val="bottom"/>
          </w:tcPr>
          <w:p w14:paraId="55F37C18" w14:textId="77777777" w:rsidR="00386F6D" w:rsidRPr="00666914" w:rsidRDefault="00386F6D">
            <w:pPr>
              <w:spacing w:after="0"/>
              <w:jc w:val="center"/>
              <w:rPr>
                <w:b/>
                <w:color w:val="000000"/>
                <w:sz w:val="20"/>
                <w:szCs w:val="20"/>
              </w:rPr>
            </w:pPr>
            <w:r w:rsidRPr="00666914">
              <w:rPr>
                <w:b/>
                <w:color w:val="000000"/>
                <w:sz w:val="20"/>
                <w:szCs w:val="20"/>
              </w:rPr>
              <w:t> </w:t>
            </w:r>
          </w:p>
        </w:tc>
        <w:tc>
          <w:tcPr>
            <w:tcW w:w="709" w:type="dxa"/>
            <w:shd w:val="clear" w:color="auto" w:fill="92D050"/>
            <w:vAlign w:val="bottom"/>
          </w:tcPr>
          <w:p w14:paraId="78EC8E37" w14:textId="77777777" w:rsidR="00386F6D" w:rsidRPr="00666914" w:rsidRDefault="00386F6D">
            <w:pPr>
              <w:spacing w:after="0"/>
              <w:jc w:val="center"/>
              <w:rPr>
                <w:b/>
                <w:color w:val="000000"/>
                <w:sz w:val="20"/>
                <w:szCs w:val="20"/>
              </w:rPr>
            </w:pPr>
            <w:r w:rsidRPr="00666914">
              <w:rPr>
                <w:b/>
                <w:color w:val="000000"/>
                <w:sz w:val="20"/>
                <w:szCs w:val="20"/>
              </w:rPr>
              <w:t> </w:t>
            </w:r>
          </w:p>
        </w:tc>
        <w:tc>
          <w:tcPr>
            <w:tcW w:w="711" w:type="dxa"/>
            <w:shd w:val="clear" w:color="auto" w:fill="92D050"/>
            <w:vAlign w:val="bottom"/>
          </w:tcPr>
          <w:p w14:paraId="2618CA98" w14:textId="77777777" w:rsidR="00386F6D" w:rsidRPr="00666914" w:rsidRDefault="00386F6D">
            <w:pPr>
              <w:spacing w:after="0"/>
              <w:jc w:val="center"/>
              <w:rPr>
                <w:b/>
                <w:color w:val="000000"/>
                <w:sz w:val="20"/>
                <w:szCs w:val="20"/>
              </w:rPr>
            </w:pPr>
            <w:r w:rsidRPr="00666914">
              <w:rPr>
                <w:b/>
                <w:color w:val="000000"/>
                <w:sz w:val="20"/>
                <w:szCs w:val="20"/>
              </w:rPr>
              <w:t> </w:t>
            </w:r>
          </w:p>
        </w:tc>
        <w:tc>
          <w:tcPr>
            <w:tcW w:w="719" w:type="dxa"/>
            <w:shd w:val="clear" w:color="auto" w:fill="92D050"/>
            <w:vAlign w:val="bottom"/>
          </w:tcPr>
          <w:p w14:paraId="2020F161" w14:textId="77777777" w:rsidR="00386F6D" w:rsidRPr="00666914" w:rsidRDefault="00386F6D">
            <w:pPr>
              <w:spacing w:after="0"/>
              <w:jc w:val="center"/>
              <w:rPr>
                <w:b/>
                <w:color w:val="000000"/>
                <w:sz w:val="20"/>
                <w:szCs w:val="20"/>
              </w:rPr>
            </w:pPr>
            <w:r w:rsidRPr="00666914">
              <w:rPr>
                <w:b/>
                <w:color w:val="000000"/>
                <w:sz w:val="20"/>
                <w:szCs w:val="20"/>
              </w:rPr>
              <w:t> </w:t>
            </w:r>
          </w:p>
        </w:tc>
      </w:tr>
      <w:tr w:rsidR="004C730B" w:rsidRPr="00666914" w14:paraId="0DCEC969" w14:textId="77777777" w:rsidTr="00CD0BF9">
        <w:trPr>
          <w:trHeight w:val="305"/>
        </w:trPr>
        <w:tc>
          <w:tcPr>
            <w:tcW w:w="427" w:type="dxa"/>
            <w:shd w:val="clear" w:color="auto" w:fill="auto"/>
            <w:vAlign w:val="center"/>
          </w:tcPr>
          <w:p w14:paraId="59496874" w14:textId="77777777" w:rsidR="00386F6D" w:rsidRPr="00666914" w:rsidRDefault="00386F6D">
            <w:pPr>
              <w:spacing w:after="0"/>
              <w:jc w:val="left"/>
              <w:rPr>
                <w:color w:val="000000"/>
                <w:sz w:val="20"/>
                <w:szCs w:val="20"/>
              </w:rPr>
            </w:pPr>
            <w:r w:rsidRPr="00666914">
              <w:rPr>
                <w:color w:val="000000"/>
                <w:sz w:val="20"/>
                <w:szCs w:val="20"/>
              </w:rPr>
              <w:t>5</w:t>
            </w:r>
          </w:p>
        </w:tc>
        <w:tc>
          <w:tcPr>
            <w:tcW w:w="1972" w:type="dxa"/>
            <w:shd w:val="clear" w:color="auto" w:fill="auto"/>
            <w:vAlign w:val="center"/>
          </w:tcPr>
          <w:p w14:paraId="7039130A" w14:textId="77777777" w:rsidR="00386F6D" w:rsidRPr="00666914" w:rsidRDefault="00386F6D">
            <w:pPr>
              <w:spacing w:after="0"/>
              <w:jc w:val="left"/>
              <w:rPr>
                <w:color w:val="000000"/>
                <w:sz w:val="20"/>
                <w:szCs w:val="20"/>
              </w:rPr>
            </w:pPr>
            <w:r w:rsidRPr="00666914">
              <w:rPr>
                <w:color w:val="000000"/>
                <w:sz w:val="20"/>
                <w:szCs w:val="20"/>
              </w:rPr>
              <w:t>Vydávať BOK k novým eID automaticky</w:t>
            </w:r>
          </w:p>
        </w:tc>
        <w:tc>
          <w:tcPr>
            <w:tcW w:w="1412" w:type="dxa"/>
            <w:shd w:val="clear" w:color="auto" w:fill="auto"/>
            <w:vAlign w:val="center"/>
          </w:tcPr>
          <w:p w14:paraId="589C4BDC" w14:textId="77777777" w:rsidR="00386F6D" w:rsidRPr="00666914" w:rsidRDefault="00386F6D">
            <w:pPr>
              <w:spacing w:after="0"/>
              <w:jc w:val="center"/>
              <w:rPr>
                <w:color w:val="000000"/>
                <w:sz w:val="20"/>
                <w:szCs w:val="20"/>
              </w:rPr>
            </w:pPr>
            <w:r w:rsidRPr="00666914">
              <w:rPr>
                <w:color w:val="000000"/>
                <w:sz w:val="20"/>
                <w:szCs w:val="20"/>
              </w:rPr>
              <w:t>MV SR, ÚPVII, NASES</w:t>
            </w:r>
          </w:p>
        </w:tc>
        <w:tc>
          <w:tcPr>
            <w:tcW w:w="1130" w:type="dxa"/>
            <w:shd w:val="clear" w:color="auto" w:fill="auto"/>
            <w:vAlign w:val="center"/>
          </w:tcPr>
          <w:p w14:paraId="7F17200B" w14:textId="77777777" w:rsidR="00386F6D" w:rsidRPr="00666914" w:rsidRDefault="00386F6D">
            <w:pPr>
              <w:spacing w:after="0"/>
              <w:jc w:val="center"/>
              <w:rPr>
                <w:color w:val="000000"/>
                <w:sz w:val="20"/>
                <w:szCs w:val="20"/>
              </w:rPr>
            </w:pPr>
            <w:r w:rsidRPr="00666914">
              <w:rPr>
                <w:color w:val="000000"/>
                <w:sz w:val="20"/>
                <w:szCs w:val="20"/>
              </w:rPr>
              <w:t>31.12.2016</w:t>
            </w:r>
          </w:p>
        </w:tc>
        <w:tc>
          <w:tcPr>
            <w:tcW w:w="1272" w:type="dxa"/>
            <w:shd w:val="clear" w:color="auto" w:fill="auto"/>
            <w:vAlign w:val="center"/>
          </w:tcPr>
          <w:p w14:paraId="35354021" w14:textId="77777777" w:rsidR="00386F6D" w:rsidRPr="00666914" w:rsidRDefault="00386F6D">
            <w:pPr>
              <w:spacing w:after="0"/>
              <w:jc w:val="center"/>
              <w:rPr>
                <w:color w:val="000000"/>
                <w:sz w:val="20"/>
                <w:szCs w:val="20"/>
              </w:rPr>
            </w:pPr>
            <w:r w:rsidRPr="00666914">
              <w:rPr>
                <w:color w:val="000000"/>
                <w:sz w:val="20"/>
                <w:szCs w:val="20"/>
              </w:rPr>
              <w:t>priebežne</w:t>
            </w:r>
          </w:p>
        </w:tc>
        <w:tc>
          <w:tcPr>
            <w:tcW w:w="708" w:type="dxa"/>
            <w:shd w:val="clear" w:color="auto" w:fill="92D050"/>
            <w:vAlign w:val="bottom"/>
          </w:tcPr>
          <w:p w14:paraId="56EA0ED3" w14:textId="77777777" w:rsidR="00386F6D" w:rsidRPr="00666914" w:rsidRDefault="00386F6D">
            <w:pPr>
              <w:spacing w:after="0"/>
              <w:rPr>
                <w:color w:val="000000"/>
                <w:sz w:val="20"/>
                <w:szCs w:val="20"/>
              </w:rPr>
            </w:pPr>
            <w:r w:rsidRPr="00666914">
              <w:rPr>
                <w:color w:val="000000"/>
                <w:sz w:val="20"/>
                <w:szCs w:val="20"/>
              </w:rPr>
              <w:t> </w:t>
            </w:r>
          </w:p>
        </w:tc>
        <w:tc>
          <w:tcPr>
            <w:tcW w:w="709" w:type="dxa"/>
            <w:shd w:val="clear" w:color="auto" w:fill="92D050"/>
            <w:vAlign w:val="bottom"/>
          </w:tcPr>
          <w:p w14:paraId="6C479083" w14:textId="77777777" w:rsidR="00386F6D" w:rsidRPr="00666914" w:rsidRDefault="00386F6D">
            <w:pPr>
              <w:spacing w:after="0"/>
              <w:rPr>
                <w:color w:val="000000"/>
                <w:sz w:val="20"/>
                <w:szCs w:val="20"/>
              </w:rPr>
            </w:pPr>
            <w:r w:rsidRPr="00666914">
              <w:rPr>
                <w:color w:val="000000"/>
                <w:sz w:val="20"/>
                <w:szCs w:val="20"/>
              </w:rPr>
              <w:t> </w:t>
            </w:r>
          </w:p>
        </w:tc>
        <w:tc>
          <w:tcPr>
            <w:tcW w:w="711" w:type="dxa"/>
            <w:shd w:val="clear" w:color="auto" w:fill="92D050"/>
            <w:vAlign w:val="bottom"/>
          </w:tcPr>
          <w:p w14:paraId="107FE5F5" w14:textId="77777777" w:rsidR="00386F6D" w:rsidRPr="00666914" w:rsidRDefault="00386F6D">
            <w:pPr>
              <w:spacing w:after="0"/>
              <w:rPr>
                <w:color w:val="000000"/>
                <w:sz w:val="20"/>
                <w:szCs w:val="20"/>
              </w:rPr>
            </w:pPr>
            <w:r w:rsidRPr="00666914">
              <w:rPr>
                <w:color w:val="000000"/>
                <w:sz w:val="20"/>
                <w:szCs w:val="20"/>
              </w:rPr>
              <w:t> </w:t>
            </w:r>
          </w:p>
        </w:tc>
        <w:tc>
          <w:tcPr>
            <w:tcW w:w="719" w:type="dxa"/>
            <w:shd w:val="clear" w:color="auto" w:fill="92D050"/>
            <w:vAlign w:val="bottom"/>
          </w:tcPr>
          <w:p w14:paraId="15A59EEE" w14:textId="77777777" w:rsidR="00386F6D" w:rsidRPr="00666914" w:rsidRDefault="00386F6D">
            <w:pPr>
              <w:spacing w:after="0"/>
              <w:jc w:val="center"/>
              <w:rPr>
                <w:color w:val="000000"/>
                <w:sz w:val="20"/>
                <w:szCs w:val="20"/>
              </w:rPr>
            </w:pPr>
            <w:r w:rsidRPr="00666914">
              <w:rPr>
                <w:color w:val="000000"/>
                <w:sz w:val="20"/>
                <w:szCs w:val="20"/>
              </w:rPr>
              <w:t> </w:t>
            </w:r>
          </w:p>
        </w:tc>
      </w:tr>
      <w:tr w:rsidR="004C730B" w:rsidRPr="00666914" w14:paraId="6533B117" w14:textId="77777777" w:rsidTr="00CD0BF9">
        <w:trPr>
          <w:trHeight w:val="305"/>
        </w:trPr>
        <w:tc>
          <w:tcPr>
            <w:tcW w:w="427" w:type="dxa"/>
            <w:shd w:val="clear" w:color="auto" w:fill="auto"/>
            <w:vAlign w:val="center"/>
          </w:tcPr>
          <w:p w14:paraId="5111766B" w14:textId="77777777" w:rsidR="00386F6D" w:rsidRPr="00666914" w:rsidRDefault="00386F6D">
            <w:pPr>
              <w:spacing w:after="0"/>
              <w:jc w:val="left"/>
              <w:rPr>
                <w:color w:val="000000"/>
                <w:sz w:val="20"/>
                <w:szCs w:val="20"/>
              </w:rPr>
            </w:pPr>
            <w:r w:rsidRPr="00666914">
              <w:rPr>
                <w:color w:val="000000"/>
                <w:sz w:val="20"/>
                <w:szCs w:val="20"/>
              </w:rPr>
              <w:t>6</w:t>
            </w:r>
          </w:p>
        </w:tc>
        <w:tc>
          <w:tcPr>
            <w:tcW w:w="1972" w:type="dxa"/>
            <w:shd w:val="clear" w:color="auto" w:fill="auto"/>
            <w:vAlign w:val="center"/>
          </w:tcPr>
          <w:p w14:paraId="25F8C655" w14:textId="77777777" w:rsidR="00386F6D" w:rsidRPr="00666914" w:rsidRDefault="00386F6D">
            <w:pPr>
              <w:spacing w:after="0"/>
              <w:jc w:val="left"/>
              <w:rPr>
                <w:color w:val="000000"/>
                <w:sz w:val="20"/>
                <w:szCs w:val="20"/>
              </w:rPr>
            </w:pPr>
            <w:r w:rsidRPr="00666914">
              <w:rPr>
                <w:color w:val="000000"/>
                <w:sz w:val="20"/>
                <w:szCs w:val="20"/>
              </w:rPr>
              <w:t>Vytvoriť záväzný UX manuál pre vládne služby</w:t>
            </w:r>
          </w:p>
        </w:tc>
        <w:tc>
          <w:tcPr>
            <w:tcW w:w="1412" w:type="dxa"/>
            <w:shd w:val="clear" w:color="auto" w:fill="auto"/>
            <w:vAlign w:val="center"/>
          </w:tcPr>
          <w:p w14:paraId="53DD6E17" w14:textId="77777777" w:rsidR="00386F6D" w:rsidRPr="00666914" w:rsidRDefault="00386F6D">
            <w:pPr>
              <w:spacing w:after="0"/>
              <w:jc w:val="center"/>
              <w:rPr>
                <w:color w:val="000000"/>
                <w:sz w:val="20"/>
                <w:szCs w:val="20"/>
              </w:rPr>
            </w:pPr>
            <w:r w:rsidRPr="00666914">
              <w:rPr>
                <w:color w:val="000000"/>
                <w:sz w:val="20"/>
                <w:szCs w:val="20"/>
              </w:rPr>
              <w:t>ÚPVII, NASES</w:t>
            </w:r>
          </w:p>
        </w:tc>
        <w:tc>
          <w:tcPr>
            <w:tcW w:w="1130" w:type="dxa"/>
            <w:shd w:val="clear" w:color="auto" w:fill="auto"/>
            <w:vAlign w:val="center"/>
          </w:tcPr>
          <w:p w14:paraId="70D53F92" w14:textId="77777777" w:rsidR="00386F6D" w:rsidRPr="00666914" w:rsidRDefault="00386F6D">
            <w:pPr>
              <w:spacing w:after="0"/>
              <w:jc w:val="center"/>
              <w:rPr>
                <w:color w:val="000000"/>
                <w:sz w:val="20"/>
                <w:szCs w:val="20"/>
              </w:rPr>
            </w:pPr>
            <w:r w:rsidRPr="00666914">
              <w:rPr>
                <w:color w:val="000000"/>
                <w:sz w:val="20"/>
                <w:szCs w:val="20"/>
              </w:rPr>
              <w:t>31.5.2017</w:t>
            </w:r>
          </w:p>
        </w:tc>
        <w:tc>
          <w:tcPr>
            <w:tcW w:w="1272" w:type="dxa"/>
            <w:shd w:val="clear" w:color="auto" w:fill="auto"/>
            <w:vAlign w:val="center"/>
          </w:tcPr>
          <w:p w14:paraId="3FF4AE5D" w14:textId="77777777" w:rsidR="00386F6D" w:rsidRPr="00666914" w:rsidRDefault="00386F6D">
            <w:pPr>
              <w:spacing w:after="0"/>
              <w:jc w:val="center"/>
              <w:rPr>
                <w:color w:val="000000"/>
                <w:sz w:val="20"/>
                <w:szCs w:val="20"/>
              </w:rPr>
            </w:pPr>
            <w:r w:rsidRPr="00666914">
              <w:rPr>
                <w:color w:val="000000"/>
                <w:sz w:val="20"/>
                <w:szCs w:val="20"/>
              </w:rPr>
              <w:t>30.6.2019</w:t>
            </w:r>
          </w:p>
        </w:tc>
        <w:tc>
          <w:tcPr>
            <w:tcW w:w="708" w:type="dxa"/>
            <w:shd w:val="clear" w:color="auto" w:fill="FFC000"/>
            <w:vAlign w:val="bottom"/>
          </w:tcPr>
          <w:p w14:paraId="28D1F609" w14:textId="77777777" w:rsidR="00386F6D" w:rsidRPr="00666914" w:rsidRDefault="00386F6D">
            <w:pPr>
              <w:spacing w:after="0"/>
              <w:rPr>
                <w:color w:val="000000"/>
                <w:sz w:val="20"/>
                <w:szCs w:val="20"/>
              </w:rPr>
            </w:pPr>
            <w:r w:rsidRPr="00666914">
              <w:rPr>
                <w:color w:val="000000"/>
                <w:sz w:val="20"/>
                <w:szCs w:val="20"/>
              </w:rPr>
              <w:t> </w:t>
            </w:r>
          </w:p>
        </w:tc>
        <w:tc>
          <w:tcPr>
            <w:tcW w:w="709" w:type="dxa"/>
            <w:shd w:val="clear" w:color="auto" w:fill="FFC000"/>
            <w:vAlign w:val="bottom"/>
          </w:tcPr>
          <w:p w14:paraId="19D87F5A" w14:textId="77777777" w:rsidR="00386F6D" w:rsidRPr="00666914" w:rsidRDefault="00386F6D">
            <w:pPr>
              <w:spacing w:after="0"/>
              <w:rPr>
                <w:color w:val="000000"/>
                <w:sz w:val="20"/>
                <w:szCs w:val="20"/>
              </w:rPr>
            </w:pPr>
            <w:r w:rsidRPr="00666914">
              <w:rPr>
                <w:color w:val="000000"/>
                <w:sz w:val="20"/>
                <w:szCs w:val="20"/>
              </w:rPr>
              <w:t> </w:t>
            </w:r>
          </w:p>
        </w:tc>
        <w:tc>
          <w:tcPr>
            <w:tcW w:w="711" w:type="dxa"/>
            <w:shd w:val="clear" w:color="auto" w:fill="FFC000"/>
            <w:vAlign w:val="bottom"/>
          </w:tcPr>
          <w:p w14:paraId="219A6F7F" w14:textId="77777777" w:rsidR="00386F6D" w:rsidRPr="00666914" w:rsidRDefault="00386F6D">
            <w:pPr>
              <w:spacing w:after="0"/>
              <w:rPr>
                <w:color w:val="000000"/>
                <w:sz w:val="20"/>
                <w:szCs w:val="20"/>
              </w:rPr>
            </w:pPr>
            <w:r w:rsidRPr="00666914">
              <w:rPr>
                <w:color w:val="000000"/>
                <w:sz w:val="20"/>
                <w:szCs w:val="20"/>
              </w:rPr>
              <w:t> </w:t>
            </w:r>
          </w:p>
        </w:tc>
        <w:tc>
          <w:tcPr>
            <w:tcW w:w="719" w:type="dxa"/>
            <w:shd w:val="clear" w:color="auto" w:fill="FFC000"/>
            <w:vAlign w:val="bottom"/>
          </w:tcPr>
          <w:p w14:paraId="3CB41FC6" w14:textId="77777777" w:rsidR="00386F6D" w:rsidRPr="00666914" w:rsidRDefault="00386F6D">
            <w:pPr>
              <w:spacing w:after="0"/>
              <w:jc w:val="center"/>
              <w:rPr>
                <w:color w:val="000000"/>
                <w:sz w:val="20"/>
                <w:szCs w:val="20"/>
              </w:rPr>
            </w:pPr>
            <w:r w:rsidRPr="00666914">
              <w:rPr>
                <w:color w:val="000000"/>
                <w:sz w:val="20"/>
                <w:szCs w:val="20"/>
              </w:rPr>
              <w:t> </w:t>
            </w:r>
          </w:p>
        </w:tc>
      </w:tr>
      <w:tr w:rsidR="004C730B" w:rsidRPr="00666914" w14:paraId="2B09C4B3" w14:textId="77777777" w:rsidTr="00CD0BF9">
        <w:trPr>
          <w:trHeight w:val="305"/>
        </w:trPr>
        <w:tc>
          <w:tcPr>
            <w:tcW w:w="427" w:type="dxa"/>
            <w:shd w:val="clear" w:color="auto" w:fill="auto"/>
            <w:vAlign w:val="center"/>
          </w:tcPr>
          <w:p w14:paraId="0B1DA81C" w14:textId="77777777" w:rsidR="00386F6D" w:rsidRPr="00666914" w:rsidRDefault="00386F6D">
            <w:pPr>
              <w:spacing w:after="0"/>
              <w:jc w:val="left"/>
              <w:rPr>
                <w:color w:val="000000"/>
                <w:sz w:val="20"/>
                <w:szCs w:val="20"/>
              </w:rPr>
            </w:pPr>
            <w:r w:rsidRPr="00666914">
              <w:rPr>
                <w:color w:val="000000"/>
                <w:sz w:val="20"/>
                <w:szCs w:val="20"/>
              </w:rPr>
              <w:t>7</w:t>
            </w:r>
          </w:p>
        </w:tc>
        <w:tc>
          <w:tcPr>
            <w:tcW w:w="1972" w:type="dxa"/>
            <w:shd w:val="clear" w:color="auto" w:fill="auto"/>
            <w:vAlign w:val="center"/>
          </w:tcPr>
          <w:p w14:paraId="0BC6EB1B" w14:textId="77777777" w:rsidR="00386F6D" w:rsidRPr="00666914" w:rsidRDefault="00386F6D">
            <w:pPr>
              <w:spacing w:after="0"/>
              <w:jc w:val="left"/>
              <w:rPr>
                <w:color w:val="000000"/>
                <w:sz w:val="20"/>
                <w:szCs w:val="20"/>
              </w:rPr>
            </w:pPr>
            <w:r w:rsidRPr="00666914">
              <w:rPr>
                <w:color w:val="000000"/>
                <w:sz w:val="20"/>
                <w:szCs w:val="20"/>
              </w:rPr>
              <w:t>Otvoriť eID podnikateľom sprístupnením API</w:t>
            </w:r>
          </w:p>
        </w:tc>
        <w:tc>
          <w:tcPr>
            <w:tcW w:w="1412" w:type="dxa"/>
            <w:shd w:val="clear" w:color="auto" w:fill="auto"/>
            <w:vAlign w:val="center"/>
          </w:tcPr>
          <w:p w14:paraId="69360F5F" w14:textId="77777777" w:rsidR="00386F6D" w:rsidRPr="00666914" w:rsidRDefault="00386F6D">
            <w:pPr>
              <w:spacing w:after="0"/>
              <w:jc w:val="center"/>
              <w:rPr>
                <w:color w:val="000000"/>
                <w:sz w:val="20"/>
                <w:szCs w:val="20"/>
              </w:rPr>
            </w:pPr>
            <w:r w:rsidRPr="00666914">
              <w:rPr>
                <w:color w:val="000000"/>
                <w:sz w:val="20"/>
                <w:szCs w:val="20"/>
              </w:rPr>
              <w:t xml:space="preserve">MV SR, ÚPVII </w:t>
            </w:r>
          </w:p>
        </w:tc>
        <w:tc>
          <w:tcPr>
            <w:tcW w:w="1130" w:type="dxa"/>
            <w:shd w:val="clear" w:color="auto" w:fill="auto"/>
            <w:vAlign w:val="center"/>
          </w:tcPr>
          <w:p w14:paraId="59F8A1ED" w14:textId="77777777" w:rsidR="00386F6D" w:rsidRPr="00666914" w:rsidRDefault="00386F6D">
            <w:pPr>
              <w:spacing w:after="0"/>
              <w:jc w:val="center"/>
              <w:rPr>
                <w:color w:val="000000"/>
                <w:sz w:val="20"/>
                <w:szCs w:val="20"/>
              </w:rPr>
            </w:pPr>
            <w:r w:rsidRPr="00666914">
              <w:rPr>
                <w:color w:val="000000"/>
                <w:sz w:val="20"/>
                <w:szCs w:val="20"/>
              </w:rPr>
              <w:t>31.12.2017</w:t>
            </w:r>
          </w:p>
        </w:tc>
        <w:tc>
          <w:tcPr>
            <w:tcW w:w="1272" w:type="dxa"/>
            <w:shd w:val="clear" w:color="auto" w:fill="auto"/>
            <w:vAlign w:val="center"/>
          </w:tcPr>
          <w:p w14:paraId="3268E8F3" w14:textId="77777777" w:rsidR="00386F6D" w:rsidRPr="00666914" w:rsidRDefault="00386F6D">
            <w:pPr>
              <w:spacing w:after="0"/>
              <w:jc w:val="center"/>
              <w:rPr>
                <w:color w:val="000000"/>
                <w:sz w:val="20"/>
                <w:szCs w:val="20"/>
              </w:rPr>
            </w:pPr>
            <w:r w:rsidRPr="00666914">
              <w:rPr>
                <w:color w:val="000000"/>
                <w:sz w:val="20"/>
                <w:szCs w:val="20"/>
              </w:rPr>
              <w:t>31.12.2019</w:t>
            </w:r>
          </w:p>
        </w:tc>
        <w:tc>
          <w:tcPr>
            <w:tcW w:w="708" w:type="dxa"/>
            <w:shd w:val="clear" w:color="auto" w:fill="FF0000"/>
            <w:vAlign w:val="bottom"/>
          </w:tcPr>
          <w:p w14:paraId="7DBD82AC" w14:textId="77777777" w:rsidR="00386F6D" w:rsidRPr="00666914" w:rsidRDefault="00386F6D">
            <w:pPr>
              <w:spacing w:after="0"/>
              <w:rPr>
                <w:color w:val="000000"/>
                <w:sz w:val="20"/>
                <w:szCs w:val="20"/>
              </w:rPr>
            </w:pPr>
            <w:r w:rsidRPr="00666914">
              <w:rPr>
                <w:color w:val="000000"/>
                <w:sz w:val="20"/>
                <w:szCs w:val="20"/>
              </w:rPr>
              <w:t> </w:t>
            </w:r>
          </w:p>
        </w:tc>
        <w:tc>
          <w:tcPr>
            <w:tcW w:w="709" w:type="dxa"/>
            <w:shd w:val="clear" w:color="auto" w:fill="FF0000"/>
            <w:vAlign w:val="bottom"/>
          </w:tcPr>
          <w:p w14:paraId="6A4AFCDD" w14:textId="77777777" w:rsidR="00386F6D" w:rsidRPr="00666914" w:rsidRDefault="00386F6D">
            <w:pPr>
              <w:spacing w:after="0"/>
              <w:rPr>
                <w:color w:val="000000"/>
                <w:sz w:val="20"/>
                <w:szCs w:val="20"/>
              </w:rPr>
            </w:pPr>
            <w:r w:rsidRPr="00666914">
              <w:rPr>
                <w:color w:val="000000"/>
                <w:sz w:val="20"/>
                <w:szCs w:val="20"/>
              </w:rPr>
              <w:t> </w:t>
            </w:r>
          </w:p>
        </w:tc>
        <w:tc>
          <w:tcPr>
            <w:tcW w:w="711" w:type="dxa"/>
            <w:shd w:val="clear" w:color="auto" w:fill="FF0000"/>
            <w:vAlign w:val="bottom"/>
          </w:tcPr>
          <w:p w14:paraId="59D39834" w14:textId="77777777" w:rsidR="00386F6D" w:rsidRPr="00666914" w:rsidRDefault="00386F6D">
            <w:pPr>
              <w:spacing w:after="0"/>
              <w:rPr>
                <w:color w:val="000000"/>
                <w:sz w:val="20"/>
                <w:szCs w:val="20"/>
              </w:rPr>
            </w:pPr>
            <w:r w:rsidRPr="00666914">
              <w:rPr>
                <w:color w:val="000000"/>
                <w:sz w:val="20"/>
                <w:szCs w:val="20"/>
              </w:rPr>
              <w:t> </w:t>
            </w:r>
          </w:p>
        </w:tc>
        <w:tc>
          <w:tcPr>
            <w:tcW w:w="719" w:type="dxa"/>
            <w:shd w:val="clear" w:color="auto" w:fill="FF0000"/>
            <w:vAlign w:val="bottom"/>
          </w:tcPr>
          <w:p w14:paraId="2582EEA4" w14:textId="77777777" w:rsidR="00386F6D" w:rsidRPr="00666914" w:rsidRDefault="00386F6D">
            <w:pPr>
              <w:spacing w:after="0"/>
              <w:jc w:val="center"/>
              <w:rPr>
                <w:color w:val="000000"/>
                <w:sz w:val="20"/>
                <w:szCs w:val="20"/>
              </w:rPr>
            </w:pPr>
            <w:r w:rsidRPr="00666914">
              <w:rPr>
                <w:color w:val="000000"/>
                <w:sz w:val="20"/>
                <w:szCs w:val="20"/>
              </w:rPr>
              <w:t> </w:t>
            </w:r>
          </w:p>
        </w:tc>
      </w:tr>
      <w:tr w:rsidR="004C730B" w:rsidRPr="00666914" w14:paraId="22DB9635" w14:textId="77777777" w:rsidTr="00CD0BF9">
        <w:trPr>
          <w:trHeight w:val="335"/>
        </w:trPr>
        <w:tc>
          <w:tcPr>
            <w:tcW w:w="427" w:type="dxa"/>
            <w:shd w:val="clear" w:color="auto" w:fill="auto"/>
            <w:vAlign w:val="center"/>
          </w:tcPr>
          <w:p w14:paraId="30CBC691" w14:textId="77777777" w:rsidR="00386F6D" w:rsidRPr="00666914" w:rsidRDefault="00386F6D">
            <w:pPr>
              <w:spacing w:after="0"/>
              <w:jc w:val="left"/>
              <w:rPr>
                <w:color w:val="000000"/>
                <w:sz w:val="20"/>
                <w:szCs w:val="20"/>
              </w:rPr>
            </w:pPr>
            <w:r w:rsidRPr="00666914">
              <w:rPr>
                <w:color w:val="000000"/>
                <w:sz w:val="20"/>
                <w:szCs w:val="20"/>
              </w:rPr>
              <w:t>8</w:t>
            </w:r>
          </w:p>
        </w:tc>
        <w:tc>
          <w:tcPr>
            <w:tcW w:w="1972" w:type="dxa"/>
            <w:shd w:val="clear" w:color="auto" w:fill="auto"/>
            <w:vAlign w:val="center"/>
          </w:tcPr>
          <w:p w14:paraId="148D83B7" w14:textId="77777777" w:rsidR="00386F6D" w:rsidRPr="00666914" w:rsidRDefault="00386F6D">
            <w:pPr>
              <w:spacing w:after="0"/>
              <w:jc w:val="left"/>
              <w:rPr>
                <w:color w:val="000000"/>
                <w:sz w:val="20"/>
                <w:szCs w:val="20"/>
              </w:rPr>
            </w:pPr>
            <w:r w:rsidRPr="00666914">
              <w:rPr>
                <w:color w:val="000000"/>
                <w:sz w:val="20"/>
                <w:szCs w:val="20"/>
              </w:rPr>
              <w:t>Preskúmať alternatívne spôsoby overenia identity</w:t>
            </w:r>
          </w:p>
        </w:tc>
        <w:tc>
          <w:tcPr>
            <w:tcW w:w="1412" w:type="dxa"/>
            <w:shd w:val="clear" w:color="auto" w:fill="auto"/>
            <w:vAlign w:val="center"/>
          </w:tcPr>
          <w:p w14:paraId="1402D18F" w14:textId="77777777" w:rsidR="00386F6D" w:rsidRPr="00666914" w:rsidRDefault="00386F6D">
            <w:pPr>
              <w:spacing w:after="0"/>
              <w:jc w:val="center"/>
              <w:rPr>
                <w:color w:val="000000"/>
                <w:sz w:val="20"/>
                <w:szCs w:val="20"/>
              </w:rPr>
            </w:pPr>
            <w:r w:rsidRPr="00666914">
              <w:rPr>
                <w:color w:val="000000"/>
                <w:sz w:val="20"/>
                <w:szCs w:val="20"/>
              </w:rPr>
              <w:t>ÚPVII, MV SR, NASES</w:t>
            </w:r>
          </w:p>
        </w:tc>
        <w:tc>
          <w:tcPr>
            <w:tcW w:w="1130" w:type="dxa"/>
            <w:shd w:val="clear" w:color="auto" w:fill="auto"/>
            <w:vAlign w:val="center"/>
          </w:tcPr>
          <w:p w14:paraId="4B2E18C4" w14:textId="77777777" w:rsidR="00386F6D" w:rsidRPr="00666914" w:rsidRDefault="00386F6D">
            <w:pPr>
              <w:spacing w:after="0"/>
              <w:jc w:val="center"/>
              <w:rPr>
                <w:color w:val="000000"/>
                <w:sz w:val="20"/>
                <w:szCs w:val="20"/>
              </w:rPr>
            </w:pPr>
            <w:r w:rsidRPr="00666914">
              <w:rPr>
                <w:color w:val="000000"/>
                <w:sz w:val="20"/>
                <w:szCs w:val="20"/>
              </w:rPr>
              <w:t>30.6.2017</w:t>
            </w:r>
          </w:p>
        </w:tc>
        <w:tc>
          <w:tcPr>
            <w:tcW w:w="1272" w:type="dxa"/>
            <w:shd w:val="clear" w:color="auto" w:fill="auto"/>
            <w:vAlign w:val="center"/>
          </w:tcPr>
          <w:p w14:paraId="4278EB6C" w14:textId="77777777" w:rsidR="00386F6D" w:rsidRPr="00666914" w:rsidRDefault="00386F6D">
            <w:pPr>
              <w:spacing w:after="0"/>
              <w:jc w:val="center"/>
              <w:rPr>
                <w:color w:val="000000"/>
                <w:sz w:val="20"/>
                <w:szCs w:val="20"/>
              </w:rPr>
            </w:pPr>
            <w:r w:rsidRPr="00666914">
              <w:rPr>
                <w:color w:val="000000"/>
                <w:sz w:val="20"/>
                <w:szCs w:val="20"/>
              </w:rPr>
              <w:t>30.6.2019</w:t>
            </w:r>
          </w:p>
        </w:tc>
        <w:tc>
          <w:tcPr>
            <w:tcW w:w="708" w:type="dxa"/>
            <w:shd w:val="clear" w:color="auto" w:fill="C00000"/>
            <w:vAlign w:val="bottom"/>
          </w:tcPr>
          <w:p w14:paraId="33EC6E5E" w14:textId="77777777" w:rsidR="00386F6D" w:rsidRPr="00666914" w:rsidRDefault="00386F6D">
            <w:pPr>
              <w:spacing w:after="0"/>
              <w:rPr>
                <w:color w:val="000000"/>
                <w:sz w:val="20"/>
                <w:szCs w:val="20"/>
              </w:rPr>
            </w:pPr>
            <w:r w:rsidRPr="00666914">
              <w:rPr>
                <w:color w:val="000000"/>
                <w:sz w:val="20"/>
                <w:szCs w:val="20"/>
              </w:rPr>
              <w:t> </w:t>
            </w:r>
          </w:p>
        </w:tc>
        <w:tc>
          <w:tcPr>
            <w:tcW w:w="709" w:type="dxa"/>
            <w:shd w:val="clear" w:color="auto" w:fill="C00000"/>
            <w:vAlign w:val="bottom"/>
          </w:tcPr>
          <w:p w14:paraId="1052E7B7" w14:textId="77777777" w:rsidR="00386F6D" w:rsidRPr="00666914" w:rsidRDefault="00386F6D">
            <w:pPr>
              <w:spacing w:after="0"/>
              <w:rPr>
                <w:color w:val="000000"/>
                <w:sz w:val="20"/>
                <w:szCs w:val="20"/>
              </w:rPr>
            </w:pPr>
            <w:r w:rsidRPr="00666914">
              <w:rPr>
                <w:color w:val="000000"/>
                <w:sz w:val="20"/>
                <w:szCs w:val="20"/>
              </w:rPr>
              <w:t> </w:t>
            </w:r>
          </w:p>
        </w:tc>
        <w:tc>
          <w:tcPr>
            <w:tcW w:w="711" w:type="dxa"/>
            <w:shd w:val="clear" w:color="auto" w:fill="C00000"/>
            <w:vAlign w:val="bottom"/>
          </w:tcPr>
          <w:p w14:paraId="5790099B" w14:textId="77777777" w:rsidR="00386F6D" w:rsidRPr="00666914" w:rsidRDefault="00386F6D">
            <w:pPr>
              <w:spacing w:after="0"/>
              <w:rPr>
                <w:color w:val="000000"/>
                <w:sz w:val="20"/>
                <w:szCs w:val="20"/>
              </w:rPr>
            </w:pPr>
            <w:r w:rsidRPr="00666914">
              <w:rPr>
                <w:color w:val="000000"/>
                <w:sz w:val="20"/>
                <w:szCs w:val="20"/>
              </w:rPr>
              <w:t> </w:t>
            </w:r>
          </w:p>
        </w:tc>
        <w:tc>
          <w:tcPr>
            <w:tcW w:w="719" w:type="dxa"/>
            <w:shd w:val="clear" w:color="auto" w:fill="C00000"/>
            <w:vAlign w:val="bottom"/>
          </w:tcPr>
          <w:p w14:paraId="4BCD6D01" w14:textId="77777777" w:rsidR="00386F6D" w:rsidRPr="00666914" w:rsidRDefault="00386F6D">
            <w:pPr>
              <w:spacing w:after="0"/>
              <w:jc w:val="center"/>
              <w:rPr>
                <w:color w:val="000000"/>
                <w:sz w:val="20"/>
                <w:szCs w:val="20"/>
              </w:rPr>
            </w:pPr>
            <w:r w:rsidRPr="00666914">
              <w:rPr>
                <w:color w:val="000000"/>
                <w:sz w:val="20"/>
                <w:szCs w:val="20"/>
              </w:rPr>
              <w:t> </w:t>
            </w:r>
          </w:p>
        </w:tc>
      </w:tr>
      <w:tr w:rsidR="00386F6D" w:rsidRPr="00666914" w14:paraId="6B26AF13" w14:textId="77777777" w:rsidTr="00CD0BF9">
        <w:trPr>
          <w:trHeight w:val="320"/>
        </w:trPr>
        <w:tc>
          <w:tcPr>
            <w:tcW w:w="9060" w:type="dxa"/>
            <w:gridSpan w:val="9"/>
            <w:shd w:val="clear" w:color="auto" w:fill="auto"/>
            <w:vAlign w:val="center"/>
          </w:tcPr>
          <w:p w14:paraId="5D1E36BC" w14:textId="77777777" w:rsidR="00386F6D" w:rsidRPr="00666914" w:rsidRDefault="00386F6D">
            <w:pPr>
              <w:spacing w:after="0"/>
              <w:jc w:val="center"/>
              <w:rPr>
                <w:b/>
                <w:color w:val="000000"/>
                <w:sz w:val="20"/>
                <w:szCs w:val="20"/>
              </w:rPr>
            </w:pPr>
            <w:r w:rsidRPr="00666914">
              <w:rPr>
                <w:b/>
                <w:color w:val="000000"/>
                <w:sz w:val="20"/>
                <w:szCs w:val="20"/>
              </w:rPr>
              <w:t>RIADENIE</w:t>
            </w:r>
          </w:p>
        </w:tc>
      </w:tr>
      <w:tr w:rsidR="004C730B" w:rsidRPr="00666914" w14:paraId="1AC69BBD" w14:textId="77777777" w:rsidTr="00CD0BF9">
        <w:trPr>
          <w:trHeight w:val="305"/>
        </w:trPr>
        <w:tc>
          <w:tcPr>
            <w:tcW w:w="427" w:type="dxa"/>
            <w:shd w:val="clear" w:color="auto" w:fill="auto"/>
            <w:vAlign w:val="center"/>
          </w:tcPr>
          <w:p w14:paraId="46175181" w14:textId="77777777" w:rsidR="00386F6D" w:rsidRPr="00666914" w:rsidRDefault="00386F6D">
            <w:pPr>
              <w:spacing w:after="0"/>
              <w:jc w:val="left"/>
              <w:rPr>
                <w:color w:val="000000"/>
                <w:sz w:val="20"/>
                <w:szCs w:val="20"/>
              </w:rPr>
            </w:pPr>
            <w:r w:rsidRPr="00666914">
              <w:rPr>
                <w:color w:val="000000"/>
                <w:sz w:val="20"/>
                <w:szCs w:val="20"/>
              </w:rPr>
              <w:t>9</w:t>
            </w:r>
          </w:p>
        </w:tc>
        <w:tc>
          <w:tcPr>
            <w:tcW w:w="1972" w:type="dxa"/>
            <w:shd w:val="clear" w:color="auto" w:fill="auto"/>
            <w:vAlign w:val="center"/>
          </w:tcPr>
          <w:p w14:paraId="079EA765" w14:textId="77777777" w:rsidR="00386F6D" w:rsidRPr="00666914" w:rsidRDefault="00386F6D">
            <w:pPr>
              <w:spacing w:after="0"/>
              <w:jc w:val="left"/>
              <w:rPr>
                <w:color w:val="000000"/>
                <w:sz w:val="20"/>
                <w:szCs w:val="20"/>
              </w:rPr>
            </w:pPr>
            <w:r w:rsidRPr="00666914">
              <w:rPr>
                <w:color w:val="000000"/>
                <w:sz w:val="20"/>
                <w:szCs w:val="20"/>
              </w:rPr>
              <w:t>Centrálne riadiť a nakupovať komoditné IT ako sú licencie</w:t>
            </w:r>
          </w:p>
        </w:tc>
        <w:tc>
          <w:tcPr>
            <w:tcW w:w="1412" w:type="dxa"/>
            <w:shd w:val="clear" w:color="auto" w:fill="auto"/>
            <w:vAlign w:val="center"/>
          </w:tcPr>
          <w:p w14:paraId="6C8885E3" w14:textId="77777777" w:rsidR="00386F6D" w:rsidRPr="00666914" w:rsidRDefault="00386F6D">
            <w:pPr>
              <w:spacing w:after="0"/>
              <w:jc w:val="center"/>
              <w:rPr>
                <w:color w:val="000000"/>
                <w:sz w:val="20"/>
                <w:szCs w:val="20"/>
              </w:rPr>
            </w:pPr>
            <w:r w:rsidRPr="00666914">
              <w:rPr>
                <w:color w:val="000000"/>
                <w:sz w:val="20"/>
                <w:szCs w:val="20"/>
              </w:rPr>
              <w:t xml:space="preserve">ÚPVII, MF SR </w:t>
            </w:r>
          </w:p>
        </w:tc>
        <w:tc>
          <w:tcPr>
            <w:tcW w:w="1130" w:type="dxa"/>
            <w:shd w:val="clear" w:color="auto" w:fill="auto"/>
            <w:vAlign w:val="center"/>
          </w:tcPr>
          <w:p w14:paraId="4C853825" w14:textId="77777777" w:rsidR="00386F6D" w:rsidRPr="00666914" w:rsidRDefault="00386F6D">
            <w:pPr>
              <w:spacing w:after="0"/>
              <w:jc w:val="center"/>
              <w:rPr>
                <w:color w:val="000000"/>
                <w:sz w:val="20"/>
                <w:szCs w:val="20"/>
              </w:rPr>
            </w:pPr>
            <w:r w:rsidRPr="00666914">
              <w:rPr>
                <w:color w:val="000000"/>
                <w:sz w:val="20"/>
                <w:szCs w:val="20"/>
              </w:rPr>
              <w:t>30.1.2018</w:t>
            </w:r>
          </w:p>
        </w:tc>
        <w:tc>
          <w:tcPr>
            <w:tcW w:w="1272" w:type="dxa"/>
            <w:shd w:val="clear" w:color="auto" w:fill="auto"/>
            <w:vAlign w:val="center"/>
          </w:tcPr>
          <w:p w14:paraId="2DC7C5D3" w14:textId="77777777" w:rsidR="00386F6D" w:rsidRPr="00666914" w:rsidRDefault="00386F6D">
            <w:pPr>
              <w:spacing w:after="0"/>
              <w:jc w:val="center"/>
              <w:rPr>
                <w:color w:val="000000"/>
                <w:sz w:val="20"/>
                <w:szCs w:val="20"/>
              </w:rPr>
            </w:pPr>
            <w:r w:rsidRPr="00666914">
              <w:rPr>
                <w:color w:val="000000"/>
                <w:sz w:val="20"/>
                <w:szCs w:val="20"/>
              </w:rPr>
              <w:t>30.6.2019</w:t>
            </w:r>
          </w:p>
        </w:tc>
        <w:tc>
          <w:tcPr>
            <w:tcW w:w="708" w:type="dxa"/>
            <w:shd w:val="clear" w:color="auto" w:fill="FF0000"/>
            <w:vAlign w:val="bottom"/>
          </w:tcPr>
          <w:p w14:paraId="63FCF615" w14:textId="77777777" w:rsidR="00386F6D" w:rsidRPr="00666914" w:rsidRDefault="00386F6D">
            <w:pPr>
              <w:spacing w:after="0"/>
              <w:rPr>
                <w:color w:val="000000"/>
                <w:sz w:val="20"/>
                <w:szCs w:val="20"/>
              </w:rPr>
            </w:pPr>
            <w:r w:rsidRPr="00666914">
              <w:rPr>
                <w:color w:val="000000"/>
                <w:sz w:val="20"/>
                <w:szCs w:val="20"/>
              </w:rPr>
              <w:t> </w:t>
            </w:r>
          </w:p>
        </w:tc>
        <w:tc>
          <w:tcPr>
            <w:tcW w:w="709" w:type="dxa"/>
            <w:shd w:val="clear" w:color="auto" w:fill="FFC000"/>
            <w:vAlign w:val="bottom"/>
          </w:tcPr>
          <w:p w14:paraId="7A7979F0" w14:textId="77777777" w:rsidR="00386F6D" w:rsidRPr="00666914" w:rsidRDefault="00386F6D">
            <w:pPr>
              <w:spacing w:after="0"/>
              <w:rPr>
                <w:color w:val="000000"/>
                <w:sz w:val="20"/>
                <w:szCs w:val="20"/>
              </w:rPr>
            </w:pPr>
            <w:r w:rsidRPr="00666914">
              <w:rPr>
                <w:color w:val="000000"/>
                <w:sz w:val="20"/>
                <w:szCs w:val="20"/>
              </w:rPr>
              <w:t> </w:t>
            </w:r>
          </w:p>
        </w:tc>
        <w:tc>
          <w:tcPr>
            <w:tcW w:w="711" w:type="dxa"/>
            <w:shd w:val="clear" w:color="auto" w:fill="FFC000"/>
            <w:vAlign w:val="bottom"/>
          </w:tcPr>
          <w:p w14:paraId="2147E520" w14:textId="77777777" w:rsidR="00386F6D" w:rsidRPr="00666914" w:rsidRDefault="00386F6D">
            <w:pPr>
              <w:spacing w:after="0"/>
              <w:rPr>
                <w:color w:val="000000"/>
                <w:sz w:val="20"/>
                <w:szCs w:val="20"/>
              </w:rPr>
            </w:pPr>
            <w:r w:rsidRPr="00666914">
              <w:rPr>
                <w:color w:val="000000"/>
                <w:sz w:val="20"/>
                <w:szCs w:val="20"/>
              </w:rPr>
              <w:t> </w:t>
            </w:r>
          </w:p>
        </w:tc>
        <w:tc>
          <w:tcPr>
            <w:tcW w:w="719" w:type="dxa"/>
            <w:shd w:val="clear" w:color="auto" w:fill="FFC000"/>
            <w:vAlign w:val="bottom"/>
          </w:tcPr>
          <w:p w14:paraId="5E2DB6B1" w14:textId="77777777" w:rsidR="00386F6D" w:rsidRPr="00666914" w:rsidRDefault="00386F6D">
            <w:pPr>
              <w:spacing w:after="0"/>
              <w:jc w:val="center"/>
              <w:rPr>
                <w:color w:val="000000"/>
                <w:sz w:val="20"/>
                <w:szCs w:val="20"/>
              </w:rPr>
            </w:pPr>
            <w:r w:rsidRPr="00666914">
              <w:rPr>
                <w:color w:val="000000"/>
                <w:sz w:val="20"/>
                <w:szCs w:val="20"/>
              </w:rPr>
              <w:t> </w:t>
            </w:r>
          </w:p>
        </w:tc>
      </w:tr>
      <w:tr w:rsidR="004C730B" w:rsidRPr="00666914" w14:paraId="1DD76556" w14:textId="77777777" w:rsidTr="00CD0BF9">
        <w:trPr>
          <w:trHeight w:val="305"/>
        </w:trPr>
        <w:tc>
          <w:tcPr>
            <w:tcW w:w="427" w:type="dxa"/>
            <w:shd w:val="clear" w:color="auto" w:fill="auto"/>
            <w:vAlign w:val="center"/>
          </w:tcPr>
          <w:p w14:paraId="505169AA" w14:textId="77777777" w:rsidR="00386F6D" w:rsidRPr="00666914" w:rsidRDefault="00386F6D">
            <w:pPr>
              <w:spacing w:after="0"/>
              <w:jc w:val="left"/>
              <w:rPr>
                <w:color w:val="000000"/>
                <w:sz w:val="20"/>
                <w:szCs w:val="20"/>
              </w:rPr>
            </w:pPr>
            <w:r w:rsidRPr="00666914">
              <w:rPr>
                <w:color w:val="000000"/>
                <w:sz w:val="20"/>
                <w:szCs w:val="20"/>
              </w:rPr>
              <w:t>10</w:t>
            </w:r>
          </w:p>
        </w:tc>
        <w:tc>
          <w:tcPr>
            <w:tcW w:w="1972" w:type="dxa"/>
            <w:shd w:val="clear" w:color="auto" w:fill="auto"/>
            <w:vAlign w:val="center"/>
          </w:tcPr>
          <w:p w14:paraId="5E4F8DF3" w14:textId="77777777" w:rsidR="00386F6D" w:rsidRPr="00666914" w:rsidRDefault="00386F6D">
            <w:pPr>
              <w:spacing w:after="0"/>
              <w:jc w:val="left"/>
              <w:rPr>
                <w:color w:val="000000"/>
                <w:sz w:val="20"/>
                <w:szCs w:val="20"/>
              </w:rPr>
            </w:pPr>
            <w:r w:rsidRPr="00666914">
              <w:rPr>
                <w:color w:val="000000"/>
                <w:sz w:val="20"/>
                <w:szCs w:val="20"/>
              </w:rPr>
              <w:t>Vytvoriť zásobník projektov a verejne ho odpočtovať</w:t>
            </w:r>
          </w:p>
        </w:tc>
        <w:tc>
          <w:tcPr>
            <w:tcW w:w="1412" w:type="dxa"/>
            <w:shd w:val="clear" w:color="auto" w:fill="auto"/>
            <w:vAlign w:val="center"/>
          </w:tcPr>
          <w:p w14:paraId="2D059266" w14:textId="77777777" w:rsidR="00386F6D" w:rsidRPr="00666914" w:rsidRDefault="00386F6D">
            <w:pPr>
              <w:spacing w:after="0"/>
              <w:jc w:val="center"/>
              <w:rPr>
                <w:color w:val="000000"/>
                <w:sz w:val="20"/>
                <w:szCs w:val="20"/>
              </w:rPr>
            </w:pPr>
            <w:r w:rsidRPr="00666914">
              <w:rPr>
                <w:color w:val="000000"/>
                <w:sz w:val="20"/>
                <w:szCs w:val="20"/>
              </w:rPr>
              <w:t xml:space="preserve">ÚPVII </w:t>
            </w:r>
          </w:p>
        </w:tc>
        <w:tc>
          <w:tcPr>
            <w:tcW w:w="1130" w:type="dxa"/>
            <w:shd w:val="clear" w:color="auto" w:fill="auto"/>
            <w:vAlign w:val="center"/>
          </w:tcPr>
          <w:p w14:paraId="49CE14D7" w14:textId="77777777" w:rsidR="00386F6D" w:rsidRPr="00666914" w:rsidRDefault="00386F6D">
            <w:pPr>
              <w:spacing w:after="0"/>
              <w:jc w:val="center"/>
              <w:rPr>
                <w:color w:val="000000"/>
                <w:sz w:val="20"/>
                <w:szCs w:val="20"/>
              </w:rPr>
            </w:pPr>
            <w:r w:rsidRPr="00666914">
              <w:rPr>
                <w:color w:val="000000"/>
                <w:sz w:val="20"/>
                <w:szCs w:val="20"/>
              </w:rPr>
              <w:t>30.3.2017</w:t>
            </w:r>
          </w:p>
        </w:tc>
        <w:tc>
          <w:tcPr>
            <w:tcW w:w="1272" w:type="dxa"/>
            <w:shd w:val="clear" w:color="auto" w:fill="auto"/>
            <w:vAlign w:val="center"/>
          </w:tcPr>
          <w:p w14:paraId="02026862" w14:textId="77777777" w:rsidR="00386F6D" w:rsidRPr="00666914" w:rsidRDefault="00386F6D">
            <w:pPr>
              <w:spacing w:after="0"/>
              <w:jc w:val="center"/>
              <w:rPr>
                <w:color w:val="000000"/>
                <w:sz w:val="20"/>
                <w:szCs w:val="20"/>
              </w:rPr>
            </w:pPr>
            <w:r w:rsidRPr="00666914">
              <w:rPr>
                <w:color w:val="000000"/>
                <w:sz w:val="20"/>
                <w:szCs w:val="20"/>
              </w:rPr>
              <w:t>priebežne</w:t>
            </w:r>
          </w:p>
        </w:tc>
        <w:tc>
          <w:tcPr>
            <w:tcW w:w="708" w:type="dxa"/>
            <w:shd w:val="clear" w:color="auto" w:fill="FFC000"/>
            <w:vAlign w:val="bottom"/>
          </w:tcPr>
          <w:p w14:paraId="316B16C6" w14:textId="77777777" w:rsidR="00386F6D" w:rsidRPr="00666914" w:rsidRDefault="00386F6D">
            <w:pPr>
              <w:spacing w:after="0"/>
              <w:rPr>
                <w:color w:val="000000"/>
                <w:sz w:val="20"/>
                <w:szCs w:val="20"/>
              </w:rPr>
            </w:pPr>
            <w:r w:rsidRPr="00666914">
              <w:rPr>
                <w:color w:val="000000"/>
                <w:sz w:val="20"/>
                <w:szCs w:val="20"/>
              </w:rPr>
              <w:t> </w:t>
            </w:r>
          </w:p>
        </w:tc>
        <w:tc>
          <w:tcPr>
            <w:tcW w:w="709" w:type="dxa"/>
            <w:shd w:val="clear" w:color="auto" w:fill="FFC000"/>
            <w:vAlign w:val="bottom"/>
          </w:tcPr>
          <w:p w14:paraId="745572FC" w14:textId="77777777" w:rsidR="00386F6D" w:rsidRPr="00666914" w:rsidRDefault="00386F6D">
            <w:pPr>
              <w:spacing w:after="0"/>
              <w:rPr>
                <w:color w:val="000000"/>
                <w:sz w:val="20"/>
                <w:szCs w:val="20"/>
              </w:rPr>
            </w:pPr>
            <w:r w:rsidRPr="00666914">
              <w:rPr>
                <w:color w:val="000000"/>
                <w:sz w:val="20"/>
                <w:szCs w:val="20"/>
              </w:rPr>
              <w:t> </w:t>
            </w:r>
          </w:p>
        </w:tc>
        <w:tc>
          <w:tcPr>
            <w:tcW w:w="711" w:type="dxa"/>
            <w:shd w:val="clear" w:color="auto" w:fill="FFC000"/>
            <w:vAlign w:val="bottom"/>
          </w:tcPr>
          <w:p w14:paraId="0D292237" w14:textId="77777777" w:rsidR="00386F6D" w:rsidRPr="00666914" w:rsidRDefault="00386F6D">
            <w:pPr>
              <w:spacing w:after="0"/>
              <w:rPr>
                <w:color w:val="000000"/>
                <w:sz w:val="20"/>
                <w:szCs w:val="20"/>
              </w:rPr>
            </w:pPr>
            <w:r w:rsidRPr="00666914">
              <w:rPr>
                <w:color w:val="000000"/>
                <w:sz w:val="20"/>
                <w:szCs w:val="20"/>
              </w:rPr>
              <w:t> </w:t>
            </w:r>
          </w:p>
        </w:tc>
        <w:tc>
          <w:tcPr>
            <w:tcW w:w="719" w:type="dxa"/>
            <w:shd w:val="clear" w:color="auto" w:fill="FFC000"/>
            <w:vAlign w:val="bottom"/>
          </w:tcPr>
          <w:p w14:paraId="7E124469" w14:textId="77777777" w:rsidR="00386F6D" w:rsidRPr="00666914" w:rsidRDefault="00386F6D">
            <w:pPr>
              <w:spacing w:after="0"/>
              <w:jc w:val="center"/>
              <w:rPr>
                <w:color w:val="000000"/>
                <w:sz w:val="20"/>
                <w:szCs w:val="20"/>
              </w:rPr>
            </w:pPr>
            <w:r w:rsidRPr="00666914">
              <w:rPr>
                <w:color w:val="000000"/>
                <w:sz w:val="20"/>
                <w:szCs w:val="20"/>
              </w:rPr>
              <w:t> </w:t>
            </w:r>
          </w:p>
        </w:tc>
      </w:tr>
      <w:tr w:rsidR="004C730B" w:rsidRPr="00666914" w14:paraId="0B0D3FDC" w14:textId="77777777" w:rsidTr="00CD0BF9">
        <w:trPr>
          <w:trHeight w:val="305"/>
        </w:trPr>
        <w:tc>
          <w:tcPr>
            <w:tcW w:w="427" w:type="dxa"/>
            <w:shd w:val="clear" w:color="auto" w:fill="auto"/>
            <w:vAlign w:val="center"/>
          </w:tcPr>
          <w:p w14:paraId="6B574B03" w14:textId="77777777" w:rsidR="00386F6D" w:rsidRPr="00666914" w:rsidRDefault="00386F6D">
            <w:pPr>
              <w:spacing w:after="0"/>
              <w:jc w:val="left"/>
              <w:rPr>
                <w:color w:val="000000"/>
                <w:sz w:val="20"/>
                <w:szCs w:val="20"/>
              </w:rPr>
            </w:pPr>
            <w:r w:rsidRPr="00666914">
              <w:rPr>
                <w:color w:val="000000"/>
                <w:sz w:val="20"/>
                <w:szCs w:val="20"/>
              </w:rPr>
              <w:t>11</w:t>
            </w:r>
          </w:p>
        </w:tc>
        <w:tc>
          <w:tcPr>
            <w:tcW w:w="1972" w:type="dxa"/>
            <w:shd w:val="clear" w:color="auto" w:fill="auto"/>
            <w:vAlign w:val="center"/>
          </w:tcPr>
          <w:p w14:paraId="0EE5A9D4" w14:textId="77777777" w:rsidR="00386F6D" w:rsidRPr="00666914" w:rsidRDefault="00386F6D">
            <w:pPr>
              <w:spacing w:after="0"/>
              <w:jc w:val="left"/>
              <w:rPr>
                <w:color w:val="000000"/>
                <w:sz w:val="20"/>
                <w:szCs w:val="20"/>
              </w:rPr>
            </w:pPr>
            <w:r w:rsidRPr="00666914">
              <w:rPr>
                <w:color w:val="000000"/>
                <w:sz w:val="20"/>
                <w:szCs w:val="20"/>
              </w:rPr>
              <w:t>Vypracovať koncepciu riadenia informatizácie</w:t>
            </w:r>
          </w:p>
        </w:tc>
        <w:tc>
          <w:tcPr>
            <w:tcW w:w="1412" w:type="dxa"/>
            <w:shd w:val="clear" w:color="auto" w:fill="auto"/>
            <w:vAlign w:val="center"/>
          </w:tcPr>
          <w:p w14:paraId="1BB0E7AF" w14:textId="77777777" w:rsidR="00386F6D" w:rsidRPr="00666914" w:rsidRDefault="00386F6D">
            <w:pPr>
              <w:spacing w:after="0"/>
              <w:jc w:val="center"/>
              <w:rPr>
                <w:color w:val="000000"/>
                <w:sz w:val="20"/>
                <w:szCs w:val="20"/>
              </w:rPr>
            </w:pPr>
            <w:r w:rsidRPr="00666914">
              <w:rPr>
                <w:color w:val="000000"/>
                <w:sz w:val="20"/>
                <w:szCs w:val="20"/>
              </w:rPr>
              <w:t xml:space="preserve">ÚPVII </w:t>
            </w:r>
          </w:p>
        </w:tc>
        <w:tc>
          <w:tcPr>
            <w:tcW w:w="1130" w:type="dxa"/>
            <w:shd w:val="clear" w:color="auto" w:fill="auto"/>
            <w:vAlign w:val="center"/>
          </w:tcPr>
          <w:p w14:paraId="6CB4EADB" w14:textId="77777777" w:rsidR="00386F6D" w:rsidRPr="00666914" w:rsidRDefault="00386F6D">
            <w:pPr>
              <w:spacing w:after="0"/>
              <w:jc w:val="center"/>
              <w:rPr>
                <w:color w:val="000000"/>
                <w:sz w:val="20"/>
                <w:szCs w:val="20"/>
              </w:rPr>
            </w:pPr>
            <w:r w:rsidRPr="00666914">
              <w:rPr>
                <w:color w:val="000000"/>
                <w:sz w:val="20"/>
                <w:szCs w:val="20"/>
              </w:rPr>
              <w:t>30.3.2017</w:t>
            </w:r>
          </w:p>
        </w:tc>
        <w:tc>
          <w:tcPr>
            <w:tcW w:w="1272" w:type="dxa"/>
            <w:shd w:val="clear" w:color="auto" w:fill="auto"/>
            <w:vAlign w:val="center"/>
          </w:tcPr>
          <w:p w14:paraId="73A2BBEE" w14:textId="77777777" w:rsidR="00386F6D" w:rsidRPr="00666914" w:rsidRDefault="00386F6D">
            <w:pPr>
              <w:spacing w:after="0"/>
              <w:jc w:val="center"/>
              <w:rPr>
                <w:color w:val="000000"/>
                <w:sz w:val="20"/>
                <w:szCs w:val="20"/>
              </w:rPr>
            </w:pPr>
            <w:r w:rsidRPr="00666914">
              <w:rPr>
                <w:color w:val="000000"/>
                <w:sz w:val="20"/>
                <w:szCs w:val="20"/>
              </w:rPr>
              <w:t>30.6.2019</w:t>
            </w:r>
          </w:p>
        </w:tc>
        <w:tc>
          <w:tcPr>
            <w:tcW w:w="708" w:type="dxa"/>
            <w:shd w:val="clear" w:color="auto" w:fill="FF0000"/>
            <w:vAlign w:val="bottom"/>
          </w:tcPr>
          <w:p w14:paraId="45109AB6" w14:textId="77777777" w:rsidR="00386F6D" w:rsidRPr="00666914" w:rsidRDefault="00386F6D">
            <w:pPr>
              <w:spacing w:after="0"/>
              <w:rPr>
                <w:color w:val="000000"/>
                <w:sz w:val="20"/>
                <w:szCs w:val="20"/>
              </w:rPr>
            </w:pPr>
            <w:r w:rsidRPr="00666914">
              <w:rPr>
                <w:color w:val="000000"/>
                <w:sz w:val="20"/>
                <w:szCs w:val="20"/>
              </w:rPr>
              <w:t> </w:t>
            </w:r>
          </w:p>
        </w:tc>
        <w:tc>
          <w:tcPr>
            <w:tcW w:w="709" w:type="dxa"/>
            <w:shd w:val="clear" w:color="auto" w:fill="FF0000"/>
            <w:vAlign w:val="bottom"/>
          </w:tcPr>
          <w:p w14:paraId="290C1EB2" w14:textId="77777777" w:rsidR="00386F6D" w:rsidRPr="00666914" w:rsidRDefault="00386F6D">
            <w:pPr>
              <w:spacing w:after="0"/>
              <w:rPr>
                <w:color w:val="000000"/>
                <w:sz w:val="20"/>
                <w:szCs w:val="20"/>
              </w:rPr>
            </w:pPr>
            <w:r w:rsidRPr="00666914">
              <w:rPr>
                <w:color w:val="000000"/>
                <w:sz w:val="20"/>
                <w:szCs w:val="20"/>
              </w:rPr>
              <w:t> </w:t>
            </w:r>
          </w:p>
        </w:tc>
        <w:tc>
          <w:tcPr>
            <w:tcW w:w="711" w:type="dxa"/>
            <w:shd w:val="clear" w:color="auto" w:fill="FF0000"/>
            <w:vAlign w:val="bottom"/>
          </w:tcPr>
          <w:p w14:paraId="51025FB1" w14:textId="77777777" w:rsidR="00386F6D" w:rsidRPr="00666914" w:rsidRDefault="00386F6D">
            <w:pPr>
              <w:spacing w:after="0"/>
              <w:rPr>
                <w:color w:val="000000"/>
                <w:sz w:val="20"/>
                <w:szCs w:val="20"/>
              </w:rPr>
            </w:pPr>
            <w:r w:rsidRPr="00666914">
              <w:rPr>
                <w:color w:val="000000"/>
                <w:sz w:val="20"/>
                <w:szCs w:val="20"/>
              </w:rPr>
              <w:t> </w:t>
            </w:r>
          </w:p>
        </w:tc>
        <w:tc>
          <w:tcPr>
            <w:tcW w:w="719" w:type="dxa"/>
            <w:shd w:val="clear" w:color="auto" w:fill="FF0000"/>
            <w:vAlign w:val="bottom"/>
          </w:tcPr>
          <w:p w14:paraId="631DD8A6" w14:textId="77777777" w:rsidR="00386F6D" w:rsidRPr="00666914" w:rsidRDefault="00386F6D">
            <w:pPr>
              <w:spacing w:after="0"/>
              <w:jc w:val="center"/>
              <w:rPr>
                <w:color w:val="000000"/>
                <w:sz w:val="20"/>
                <w:szCs w:val="20"/>
              </w:rPr>
            </w:pPr>
            <w:r w:rsidRPr="00666914">
              <w:rPr>
                <w:color w:val="000000"/>
                <w:sz w:val="20"/>
                <w:szCs w:val="20"/>
              </w:rPr>
              <w:t> </w:t>
            </w:r>
          </w:p>
        </w:tc>
      </w:tr>
      <w:tr w:rsidR="004C730B" w:rsidRPr="00666914" w14:paraId="0D1F381B" w14:textId="77777777" w:rsidTr="00CD0BF9">
        <w:trPr>
          <w:trHeight w:val="320"/>
        </w:trPr>
        <w:tc>
          <w:tcPr>
            <w:tcW w:w="427" w:type="dxa"/>
            <w:shd w:val="clear" w:color="auto" w:fill="auto"/>
            <w:vAlign w:val="center"/>
          </w:tcPr>
          <w:p w14:paraId="16578F73" w14:textId="77777777" w:rsidR="00386F6D" w:rsidRPr="00666914" w:rsidRDefault="00386F6D">
            <w:pPr>
              <w:spacing w:after="0"/>
              <w:jc w:val="left"/>
              <w:rPr>
                <w:color w:val="000000"/>
                <w:sz w:val="20"/>
                <w:szCs w:val="20"/>
              </w:rPr>
            </w:pPr>
            <w:r w:rsidRPr="00666914">
              <w:rPr>
                <w:color w:val="000000"/>
                <w:sz w:val="20"/>
                <w:szCs w:val="20"/>
              </w:rPr>
              <w:t>12</w:t>
            </w:r>
          </w:p>
        </w:tc>
        <w:tc>
          <w:tcPr>
            <w:tcW w:w="1972" w:type="dxa"/>
            <w:shd w:val="clear" w:color="auto" w:fill="auto"/>
            <w:vAlign w:val="center"/>
          </w:tcPr>
          <w:p w14:paraId="3826EEEB" w14:textId="77777777" w:rsidR="00386F6D" w:rsidRPr="00666914" w:rsidRDefault="00386F6D">
            <w:pPr>
              <w:spacing w:after="0"/>
              <w:jc w:val="left"/>
              <w:rPr>
                <w:color w:val="000000"/>
                <w:sz w:val="20"/>
                <w:szCs w:val="20"/>
              </w:rPr>
            </w:pPr>
            <w:r w:rsidRPr="00666914">
              <w:rPr>
                <w:color w:val="000000"/>
                <w:sz w:val="20"/>
                <w:szCs w:val="20"/>
              </w:rPr>
              <w:t>Vypracovať správu o stave štátneho IKT</w:t>
            </w:r>
          </w:p>
        </w:tc>
        <w:tc>
          <w:tcPr>
            <w:tcW w:w="1412" w:type="dxa"/>
            <w:shd w:val="clear" w:color="auto" w:fill="auto"/>
            <w:vAlign w:val="center"/>
          </w:tcPr>
          <w:p w14:paraId="48A8736E" w14:textId="77777777" w:rsidR="00386F6D" w:rsidRPr="00666914" w:rsidRDefault="00386F6D">
            <w:pPr>
              <w:spacing w:after="0"/>
              <w:jc w:val="center"/>
              <w:rPr>
                <w:color w:val="000000"/>
                <w:sz w:val="20"/>
                <w:szCs w:val="20"/>
              </w:rPr>
            </w:pPr>
            <w:r w:rsidRPr="00666914">
              <w:rPr>
                <w:color w:val="000000"/>
                <w:sz w:val="20"/>
                <w:szCs w:val="20"/>
              </w:rPr>
              <w:t xml:space="preserve">ÚPVII </w:t>
            </w:r>
          </w:p>
        </w:tc>
        <w:tc>
          <w:tcPr>
            <w:tcW w:w="1130" w:type="dxa"/>
            <w:shd w:val="clear" w:color="auto" w:fill="auto"/>
            <w:vAlign w:val="center"/>
          </w:tcPr>
          <w:p w14:paraId="0161166F" w14:textId="77777777" w:rsidR="00386F6D" w:rsidRPr="00666914" w:rsidRDefault="00386F6D">
            <w:pPr>
              <w:spacing w:after="0"/>
              <w:jc w:val="center"/>
              <w:rPr>
                <w:color w:val="000000"/>
                <w:sz w:val="20"/>
                <w:szCs w:val="20"/>
              </w:rPr>
            </w:pPr>
            <w:r w:rsidRPr="00666914">
              <w:rPr>
                <w:color w:val="000000"/>
                <w:sz w:val="20"/>
                <w:szCs w:val="20"/>
              </w:rPr>
              <w:t>30.6.2017</w:t>
            </w:r>
          </w:p>
        </w:tc>
        <w:tc>
          <w:tcPr>
            <w:tcW w:w="1272" w:type="dxa"/>
            <w:shd w:val="clear" w:color="auto" w:fill="auto"/>
            <w:vAlign w:val="center"/>
          </w:tcPr>
          <w:p w14:paraId="04A66124" w14:textId="77777777" w:rsidR="00386F6D" w:rsidRPr="00666914" w:rsidRDefault="00386F6D">
            <w:pPr>
              <w:spacing w:after="0"/>
              <w:jc w:val="center"/>
              <w:rPr>
                <w:color w:val="000000"/>
                <w:sz w:val="20"/>
                <w:szCs w:val="20"/>
              </w:rPr>
            </w:pPr>
            <w:r w:rsidRPr="00666914">
              <w:rPr>
                <w:color w:val="000000"/>
                <w:sz w:val="20"/>
                <w:szCs w:val="20"/>
              </w:rPr>
              <w:t>30.6.2019</w:t>
            </w:r>
          </w:p>
        </w:tc>
        <w:tc>
          <w:tcPr>
            <w:tcW w:w="708" w:type="dxa"/>
            <w:shd w:val="clear" w:color="auto" w:fill="FFC000"/>
            <w:vAlign w:val="bottom"/>
          </w:tcPr>
          <w:p w14:paraId="7DE95A1F" w14:textId="77777777" w:rsidR="00386F6D" w:rsidRPr="00666914" w:rsidRDefault="00386F6D">
            <w:pPr>
              <w:spacing w:after="0"/>
              <w:rPr>
                <w:color w:val="000000"/>
                <w:sz w:val="20"/>
                <w:szCs w:val="20"/>
              </w:rPr>
            </w:pPr>
            <w:r w:rsidRPr="00666914">
              <w:rPr>
                <w:color w:val="000000"/>
                <w:sz w:val="20"/>
                <w:szCs w:val="20"/>
              </w:rPr>
              <w:t> </w:t>
            </w:r>
          </w:p>
        </w:tc>
        <w:tc>
          <w:tcPr>
            <w:tcW w:w="709" w:type="dxa"/>
            <w:shd w:val="clear" w:color="auto" w:fill="FFC000"/>
            <w:vAlign w:val="bottom"/>
          </w:tcPr>
          <w:p w14:paraId="7C335DDD" w14:textId="77777777" w:rsidR="00386F6D" w:rsidRPr="00666914" w:rsidRDefault="00386F6D">
            <w:pPr>
              <w:spacing w:after="0"/>
              <w:rPr>
                <w:color w:val="000000"/>
                <w:sz w:val="20"/>
                <w:szCs w:val="20"/>
              </w:rPr>
            </w:pPr>
            <w:r w:rsidRPr="00666914">
              <w:rPr>
                <w:color w:val="000000"/>
                <w:sz w:val="20"/>
                <w:szCs w:val="20"/>
              </w:rPr>
              <w:t> </w:t>
            </w:r>
          </w:p>
        </w:tc>
        <w:tc>
          <w:tcPr>
            <w:tcW w:w="711" w:type="dxa"/>
            <w:shd w:val="clear" w:color="auto" w:fill="FFC000"/>
            <w:vAlign w:val="bottom"/>
          </w:tcPr>
          <w:p w14:paraId="59A4D8F3" w14:textId="77777777" w:rsidR="00386F6D" w:rsidRPr="00666914" w:rsidRDefault="00386F6D">
            <w:pPr>
              <w:spacing w:after="0"/>
              <w:rPr>
                <w:color w:val="000000"/>
                <w:sz w:val="20"/>
                <w:szCs w:val="20"/>
              </w:rPr>
            </w:pPr>
            <w:r w:rsidRPr="00666914">
              <w:rPr>
                <w:color w:val="000000"/>
                <w:sz w:val="20"/>
                <w:szCs w:val="20"/>
              </w:rPr>
              <w:t> </w:t>
            </w:r>
          </w:p>
        </w:tc>
        <w:tc>
          <w:tcPr>
            <w:tcW w:w="719" w:type="dxa"/>
            <w:shd w:val="clear" w:color="auto" w:fill="FFC000"/>
            <w:vAlign w:val="bottom"/>
          </w:tcPr>
          <w:p w14:paraId="2423D140" w14:textId="77777777" w:rsidR="00386F6D" w:rsidRPr="00666914" w:rsidRDefault="00386F6D">
            <w:pPr>
              <w:spacing w:after="0"/>
              <w:jc w:val="center"/>
              <w:rPr>
                <w:color w:val="000000"/>
                <w:sz w:val="20"/>
                <w:szCs w:val="20"/>
              </w:rPr>
            </w:pPr>
            <w:r w:rsidRPr="00666914">
              <w:rPr>
                <w:color w:val="000000"/>
                <w:sz w:val="20"/>
                <w:szCs w:val="20"/>
              </w:rPr>
              <w:t> </w:t>
            </w:r>
          </w:p>
        </w:tc>
      </w:tr>
      <w:tr w:rsidR="00386F6D" w:rsidRPr="00666914" w14:paraId="0CA1B15F" w14:textId="77777777" w:rsidTr="00CD0BF9">
        <w:trPr>
          <w:trHeight w:val="320"/>
        </w:trPr>
        <w:tc>
          <w:tcPr>
            <w:tcW w:w="9060" w:type="dxa"/>
            <w:gridSpan w:val="9"/>
            <w:shd w:val="clear" w:color="auto" w:fill="auto"/>
            <w:vAlign w:val="center"/>
          </w:tcPr>
          <w:p w14:paraId="01B80B9A" w14:textId="77777777" w:rsidR="00386F6D" w:rsidRPr="00666914" w:rsidRDefault="00386F6D">
            <w:pPr>
              <w:spacing w:after="0"/>
              <w:jc w:val="center"/>
              <w:rPr>
                <w:b/>
                <w:color w:val="000000"/>
                <w:sz w:val="20"/>
                <w:szCs w:val="20"/>
              </w:rPr>
            </w:pPr>
            <w:r w:rsidRPr="00666914">
              <w:rPr>
                <w:b/>
                <w:color w:val="000000"/>
                <w:sz w:val="20"/>
                <w:szCs w:val="20"/>
              </w:rPr>
              <w:t>DÁTA A METODIKA</w:t>
            </w:r>
          </w:p>
        </w:tc>
      </w:tr>
      <w:tr w:rsidR="004C730B" w:rsidRPr="00666914" w14:paraId="50A83533" w14:textId="77777777" w:rsidTr="00CD0BF9">
        <w:trPr>
          <w:trHeight w:val="305"/>
        </w:trPr>
        <w:tc>
          <w:tcPr>
            <w:tcW w:w="427" w:type="dxa"/>
            <w:shd w:val="clear" w:color="auto" w:fill="auto"/>
            <w:vAlign w:val="center"/>
          </w:tcPr>
          <w:p w14:paraId="321E3340" w14:textId="77777777" w:rsidR="00386F6D" w:rsidRPr="00666914" w:rsidRDefault="00386F6D">
            <w:pPr>
              <w:spacing w:after="0"/>
              <w:jc w:val="left"/>
              <w:rPr>
                <w:color w:val="000000"/>
                <w:sz w:val="20"/>
                <w:szCs w:val="20"/>
              </w:rPr>
            </w:pPr>
            <w:r w:rsidRPr="00666914">
              <w:rPr>
                <w:color w:val="000000"/>
                <w:sz w:val="20"/>
                <w:szCs w:val="20"/>
              </w:rPr>
              <w:t>13</w:t>
            </w:r>
          </w:p>
        </w:tc>
        <w:tc>
          <w:tcPr>
            <w:tcW w:w="1972" w:type="dxa"/>
            <w:shd w:val="clear" w:color="auto" w:fill="auto"/>
            <w:vAlign w:val="center"/>
          </w:tcPr>
          <w:p w14:paraId="4BA0EF63" w14:textId="77777777" w:rsidR="00386F6D" w:rsidRPr="00666914" w:rsidRDefault="00386F6D">
            <w:pPr>
              <w:spacing w:after="0"/>
              <w:jc w:val="left"/>
              <w:rPr>
                <w:color w:val="000000"/>
                <w:sz w:val="20"/>
                <w:szCs w:val="20"/>
                <w:highlight w:val="yellow"/>
              </w:rPr>
            </w:pPr>
            <w:r w:rsidRPr="00666914">
              <w:rPr>
                <w:color w:val="000000"/>
                <w:sz w:val="20"/>
                <w:szCs w:val="20"/>
              </w:rPr>
              <w:t>Aktualizovať metodiku CBA pre OP II (PO 7)</w:t>
            </w:r>
          </w:p>
        </w:tc>
        <w:tc>
          <w:tcPr>
            <w:tcW w:w="1412" w:type="dxa"/>
            <w:shd w:val="clear" w:color="auto" w:fill="auto"/>
            <w:vAlign w:val="center"/>
          </w:tcPr>
          <w:p w14:paraId="780C8F0D" w14:textId="77777777" w:rsidR="00386F6D" w:rsidRPr="00666914" w:rsidRDefault="00386F6D">
            <w:pPr>
              <w:spacing w:after="0"/>
              <w:jc w:val="center"/>
              <w:rPr>
                <w:color w:val="000000"/>
                <w:sz w:val="20"/>
                <w:szCs w:val="20"/>
              </w:rPr>
            </w:pPr>
            <w:r w:rsidRPr="00666914">
              <w:rPr>
                <w:color w:val="000000"/>
                <w:sz w:val="20"/>
                <w:szCs w:val="20"/>
              </w:rPr>
              <w:t xml:space="preserve">ÚPVII </w:t>
            </w:r>
          </w:p>
        </w:tc>
        <w:tc>
          <w:tcPr>
            <w:tcW w:w="1130" w:type="dxa"/>
            <w:shd w:val="clear" w:color="auto" w:fill="auto"/>
            <w:vAlign w:val="center"/>
          </w:tcPr>
          <w:p w14:paraId="14D8E567" w14:textId="77777777" w:rsidR="00386F6D" w:rsidRPr="00666914" w:rsidRDefault="00386F6D">
            <w:pPr>
              <w:spacing w:after="0"/>
              <w:jc w:val="center"/>
              <w:rPr>
                <w:color w:val="000000"/>
                <w:sz w:val="20"/>
                <w:szCs w:val="20"/>
              </w:rPr>
            </w:pPr>
            <w:r w:rsidRPr="00666914">
              <w:rPr>
                <w:color w:val="000000"/>
                <w:sz w:val="20"/>
                <w:szCs w:val="20"/>
              </w:rPr>
              <w:t>30.3.2017</w:t>
            </w:r>
          </w:p>
        </w:tc>
        <w:tc>
          <w:tcPr>
            <w:tcW w:w="1272" w:type="dxa"/>
            <w:shd w:val="clear" w:color="auto" w:fill="auto"/>
            <w:vAlign w:val="center"/>
          </w:tcPr>
          <w:p w14:paraId="5FE567AC" w14:textId="77777777" w:rsidR="00386F6D" w:rsidRPr="00666914" w:rsidRDefault="00386F6D">
            <w:pPr>
              <w:spacing w:after="0"/>
              <w:jc w:val="center"/>
              <w:rPr>
                <w:color w:val="000000"/>
                <w:sz w:val="20"/>
                <w:szCs w:val="20"/>
              </w:rPr>
            </w:pPr>
            <w:r w:rsidRPr="00666914">
              <w:rPr>
                <w:color w:val="000000"/>
                <w:sz w:val="20"/>
                <w:szCs w:val="20"/>
              </w:rPr>
              <w:t>priebežne</w:t>
            </w:r>
          </w:p>
        </w:tc>
        <w:tc>
          <w:tcPr>
            <w:tcW w:w="708" w:type="dxa"/>
            <w:shd w:val="clear" w:color="auto" w:fill="92D050"/>
            <w:vAlign w:val="bottom"/>
          </w:tcPr>
          <w:p w14:paraId="7EC727B8" w14:textId="77777777" w:rsidR="00386F6D" w:rsidRPr="00666914" w:rsidRDefault="00386F6D">
            <w:pPr>
              <w:spacing w:after="0"/>
              <w:jc w:val="center"/>
              <w:rPr>
                <w:b/>
                <w:color w:val="000000"/>
                <w:sz w:val="20"/>
                <w:szCs w:val="20"/>
              </w:rPr>
            </w:pPr>
            <w:r w:rsidRPr="00666914">
              <w:rPr>
                <w:b/>
                <w:color w:val="000000"/>
                <w:sz w:val="20"/>
                <w:szCs w:val="20"/>
              </w:rPr>
              <w:t> </w:t>
            </w:r>
          </w:p>
        </w:tc>
        <w:tc>
          <w:tcPr>
            <w:tcW w:w="709" w:type="dxa"/>
            <w:shd w:val="clear" w:color="auto" w:fill="92D050"/>
            <w:vAlign w:val="bottom"/>
          </w:tcPr>
          <w:p w14:paraId="394BAFCF" w14:textId="77777777" w:rsidR="00386F6D" w:rsidRPr="00666914" w:rsidRDefault="00386F6D">
            <w:pPr>
              <w:spacing w:after="0"/>
              <w:jc w:val="center"/>
              <w:rPr>
                <w:b/>
                <w:color w:val="FF0000"/>
                <w:sz w:val="20"/>
                <w:szCs w:val="20"/>
              </w:rPr>
            </w:pPr>
            <w:r w:rsidRPr="00666914">
              <w:rPr>
                <w:b/>
                <w:color w:val="FF0000"/>
                <w:sz w:val="20"/>
                <w:szCs w:val="20"/>
              </w:rPr>
              <w:t> </w:t>
            </w:r>
          </w:p>
        </w:tc>
        <w:tc>
          <w:tcPr>
            <w:tcW w:w="711" w:type="dxa"/>
            <w:shd w:val="clear" w:color="auto" w:fill="92D050"/>
            <w:vAlign w:val="bottom"/>
          </w:tcPr>
          <w:p w14:paraId="27A47CAE" w14:textId="77777777" w:rsidR="00386F6D" w:rsidRPr="00666914" w:rsidRDefault="00386F6D">
            <w:pPr>
              <w:spacing w:after="0"/>
              <w:jc w:val="center"/>
              <w:rPr>
                <w:b/>
                <w:color w:val="000000"/>
                <w:sz w:val="20"/>
                <w:szCs w:val="20"/>
              </w:rPr>
            </w:pPr>
            <w:r w:rsidRPr="00666914">
              <w:rPr>
                <w:b/>
                <w:color w:val="000000"/>
                <w:sz w:val="20"/>
                <w:szCs w:val="20"/>
              </w:rPr>
              <w:t> </w:t>
            </w:r>
          </w:p>
        </w:tc>
        <w:tc>
          <w:tcPr>
            <w:tcW w:w="719" w:type="dxa"/>
            <w:shd w:val="clear" w:color="auto" w:fill="92D050"/>
            <w:vAlign w:val="bottom"/>
          </w:tcPr>
          <w:p w14:paraId="6C4FE8F0" w14:textId="77777777" w:rsidR="00386F6D" w:rsidRPr="00666914" w:rsidRDefault="00386F6D">
            <w:pPr>
              <w:spacing w:after="0"/>
              <w:jc w:val="center"/>
              <w:rPr>
                <w:b/>
                <w:color w:val="000000"/>
                <w:sz w:val="20"/>
                <w:szCs w:val="20"/>
              </w:rPr>
            </w:pPr>
            <w:r w:rsidRPr="00666914">
              <w:rPr>
                <w:b/>
                <w:color w:val="000000"/>
                <w:sz w:val="20"/>
                <w:szCs w:val="20"/>
              </w:rPr>
              <w:t> </w:t>
            </w:r>
          </w:p>
        </w:tc>
      </w:tr>
      <w:tr w:rsidR="004C730B" w:rsidRPr="00666914" w14:paraId="15C5BA7F" w14:textId="77777777" w:rsidTr="00CD0BF9">
        <w:trPr>
          <w:trHeight w:val="305"/>
        </w:trPr>
        <w:tc>
          <w:tcPr>
            <w:tcW w:w="427" w:type="dxa"/>
            <w:shd w:val="clear" w:color="auto" w:fill="auto"/>
            <w:vAlign w:val="center"/>
          </w:tcPr>
          <w:p w14:paraId="600DC2A9" w14:textId="77777777" w:rsidR="00386F6D" w:rsidRPr="00666914" w:rsidRDefault="00386F6D">
            <w:pPr>
              <w:spacing w:after="0"/>
              <w:jc w:val="left"/>
              <w:rPr>
                <w:color w:val="000000"/>
                <w:sz w:val="20"/>
                <w:szCs w:val="20"/>
              </w:rPr>
            </w:pPr>
            <w:r w:rsidRPr="00666914">
              <w:rPr>
                <w:color w:val="000000"/>
                <w:sz w:val="20"/>
                <w:szCs w:val="20"/>
              </w:rPr>
              <w:t>14</w:t>
            </w:r>
          </w:p>
        </w:tc>
        <w:tc>
          <w:tcPr>
            <w:tcW w:w="1972" w:type="dxa"/>
            <w:shd w:val="clear" w:color="auto" w:fill="auto"/>
            <w:vAlign w:val="center"/>
          </w:tcPr>
          <w:p w14:paraId="0AF1C522" w14:textId="77777777" w:rsidR="00386F6D" w:rsidRPr="00666914" w:rsidRDefault="00386F6D">
            <w:pPr>
              <w:spacing w:after="0"/>
              <w:jc w:val="left"/>
              <w:rPr>
                <w:color w:val="000000"/>
                <w:sz w:val="20"/>
                <w:szCs w:val="20"/>
              </w:rPr>
            </w:pPr>
            <w:r w:rsidRPr="00666914">
              <w:rPr>
                <w:color w:val="000000"/>
                <w:sz w:val="20"/>
                <w:szCs w:val="20"/>
              </w:rPr>
              <w:t>Vypracovať definíciu štandardizovaného miesta zamestnanca z pohľadu IT</w:t>
            </w:r>
          </w:p>
        </w:tc>
        <w:tc>
          <w:tcPr>
            <w:tcW w:w="1412" w:type="dxa"/>
            <w:shd w:val="clear" w:color="auto" w:fill="auto"/>
            <w:vAlign w:val="center"/>
          </w:tcPr>
          <w:p w14:paraId="782466DD" w14:textId="77777777" w:rsidR="00386F6D" w:rsidRPr="00666914" w:rsidRDefault="00386F6D">
            <w:pPr>
              <w:spacing w:after="0"/>
              <w:jc w:val="center"/>
              <w:rPr>
                <w:color w:val="000000"/>
                <w:sz w:val="20"/>
                <w:szCs w:val="20"/>
              </w:rPr>
            </w:pPr>
            <w:r w:rsidRPr="00666914">
              <w:rPr>
                <w:color w:val="000000"/>
                <w:sz w:val="20"/>
                <w:szCs w:val="20"/>
              </w:rPr>
              <w:t xml:space="preserve">ÚPVII </w:t>
            </w:r>
          </w:p>
        </w:tc>
        <w:tc>
          <w:tcPr>
            <w:tcW w:w="1130" w:type="dxa"/>
            <w:shd w:val="clear" w:color="auto" w:fill="auto"/>
            <w:vAlign w:val="center"/>
          </w:tcPr>
          <w:p w14:paraId="278B315C" w14:textId="77777777" w:rsidR="00386F6D" w:rsidRPr="00666914" w:rsidRDefault="00386F6D">
            <w:pPr>
              <w:spacing w:after="0"/>
              <w:jc w:val="center"/>
              <w:rPr>
                <w:color w:val="000000"/>
                <w:sz w:val="20"/>
                <w:szCs w:val="20"/>
              </w:rPr>
            </w:pPr>
            <w:r w:rsidRPr="00666914">
              <w:rPr>
                <w:color w:val="000000"/>
                <w:sz w:val="20"/>
                <w:szCs w:val="20"/>
              </w:rPr>
              <w:t>30.1.2019</w:t>
            </w:r>
          </w:p>
        </w:tc>
        <w:tc>
          <w:tcPr>
            <w:tcW w:w="1272" w:type="dxa"/>
            <w:shd w:val="clear" w:color="auto" w:fill="auto"/>
            <w:vAlign w:val="center"/>
          </w:tcPr>
          <w:p w14:paraId="21F160AE" w14:textId="77777777" w:rsidR="00386F6D" w:rsidRPr="00666914" w:rsidRDefault="00386F6D">
            <w:pPr>
              <w:spacing w:after="0"/>
              <w:jc w:val="center"/>
              <w:rPr>
                <w:color w:val="000000"/>
                <w:sz w:val="20"/>
                <w:szCs w:val="20"/>
              </w:rPr>
            </w:pPr>
            <w:r w:rsidRPr="00666914">
              <w:rPr>
                <w:color w:val="000000"/>
                <w:sz w:val="20"/>
                <w:szCs w:val="20"/>
              </w:rPr>
              <w:t>31.12.2019</w:t>
            </w:r>
          </w:p>
        </w:tc>
        <w:tc>
          <w:tcPr>
            <w:tcW w:w="708" w:type="dxa"/>
            <w:shd w:val="clear" w:color="auto" w:fill="FF0000"/>
            <w:vAlign w:val="bottom"/>
          </w:tcPr>
          <w:p w14:paraId="4416A6E9" w14:textId="77777777" w:rsidR="00386F6D" w:rsidRPr="00666914" w:rsidRDefault="00386F6D">
            <w:pPr>
              <w:spacing w:after="0"/>
              <w:rPr>
                <w:color w:val="000000"/>
                <w:sz w:val="20"/>
                <w:szCs w:val="20"/>
              </w:rPr>
            </w:pPr>
            <w:r w:rsidRPr="00666914">
              <w:rPr>
                <w:color w:val="000000"/>
                <w:sz w:val="20"/>
                <w:szCs w:val="20"/>
              </w:rPr>
              <w:t> </w:t>
            </w:r>
          </w:p>
        </w:tc>
        <w:tc>
          <w:tcPr>
            <w:tcW w:w="709" w:type="dxa"/>
            <w:shd w:val="clear" w:color="auto" w:fill="FF0000"/>
            <w:vAlign w:val="bottom"/>
          </w:tcPr>
          <w:p w14:paraId="340E1F39" w14:textId="77777777" w:rsidR="00386F6D" w:rsidRPr="00666914" w:rsidRDefault="00386F6D">
            <w:pPr>
              <w:spacing w:after="0"/>
              <w:rPr>
                <w:color w:val="000000"/>
                <w:sz w:val="20"/>
                <w:szCs w:val="20"/>
              </w:rPr>
            </w:pPr>
            <w:r w:rsidRPr="00666914">
              <w:rPr>
                <w:color w:val="000000"/>
                <w:sz w:val="20"/>
                <w:szCs w:val="20"/>
              </w:rPr>
              <w:t> </w:t>
            </w:r>
          </w:p>
        </w:tc>
        <w:tc>
          <w:tcPr>
            <w:tcW w:w="711" w:type="dxa"/>
            <w:shd w:val="clear" w:color="auto" w:fill="FF0000"/>
            <w:vAlign w:val="bottom"/>
          </w:tcPr>
          <w:p w14:paraId="1CD09ABC" w14:textId="77777777" w:rsidR="00386F6D" w:rsidRPr="00666914" w:rsidRDefault="00386F6D">
            <w:pPr>
              <w:spacing w:after="0"/>
              <w:rPr>
                <w:color w:val="000000"/>
                <w:sz w:val="20"/>
                <w:szCs w:val="20"/>
              </w:rPr>
            </w:pPr>
            <w:r w:rsidRPr="00666914">
              <w:rPr>
                <w:color w:val="000000"/>
                <w:sz w:val="20"/>
                <w:szCs w:val="20"/>
              </w:rPr>
              <w:t> </w:t>
            </w:r>
          </w:p>
        </w:tc>
        <w:tc>
          <w:tcPr>
            <w:tcW w:w="719" w:type="dxa"/>
            <w:shd w:val="clear" w:color="auto" w:fill="FF0000"/>
            <w:vAlign w:val="bottom"/>
          </w:tcPr>
          <w:p w14:paraId="09CCEDA6" w14:textId="77777777" w:rsidR="00386F6D" w:rsidRPr="00666914" w:rsidRDefault="00386F6D">
            <w:pPr>
              <w:spacing w:after="0"/>
              <w:jc w:val="center"/>
              <w:rPr>
                <w:color w:val="000000"/>
                <w:sz w:val="20"/>
                <w:szCs w:val="20"/>
              </w:rPr>
            </w:pPr>
            <w:r w:rsidRPr="00666914">
              <w:rPr>
                <w:color w:val="000000"/>
                <w:sz w:val="20"/>
                <w:szCs w:val="20"/>
              </w:rPr>
              <w:t> </w:t>
            </w:r>
          </w:p>
        </w:tc>
      </w:tr>
      <w:tr w:rsidR="004C730B" w:rsidRPr="00666914" w14:paraId="022DA0FF" w14:textId="77777777" w:rsidTr="00CD0BF9">
        <w:trPr>
          <w:trHeight w:val="305"/>
        </w:trPr>
        <w:tc>
          <w:tcPr>
            <w:tcW w:w="427" w:type="dxa"/>
            <w:shd w:val="clear" w:color="auto" w:fill="auto"/>
            <w:vAlign w:val="center"/>
          </w:tcPr>
          <w:p w14:paraId="5D904EA9" w14:textId="77777777" w:rsidR="00386F6D" w:rsidRPr="00666914" w:rsidRDefault="00386F6D">
            <w:pPr>
              <w:spacing w:after="0"/>
              <w:jc w:val="left"/>
              <w:rPr>
                <w:color w:val="000000"/>
                <w:sz w:val="20"/>
                <w:szCs w:val="20"/>
              </w:rPr>
            </w:pPr>
            <w:r w:rsidRPr="00666914">
              <w:rPr>
                <w:color w:val="000000"/>
                <w:sz w:val="20"/>
                <w:szCs w:val="20"/>
              </w:rPr>
              <w:t>15</w:t>
            </w:r>
          </w:p>
        </w:tc>
        <w:tc>
          <w:tcPr>
            <w:tcW w:w="1972" w:type="dxa"/>
            <w:shd w:val="clear" w:color="auto" w:fill="auto"/>
            <w:vAlign w:val="center"/>
          </w:tcPr>
          <w:p w14:paraId="04268FE7" w14:textId="77777777" w:rsidR="00386F6D" w:rsidRPr="00666914" w:rsidRDefault="00386F6D">
            <w:pPr>
              <w:spacing w:after="0"/>
              <w:jc w:val="left"/>
              <w:rPr>
                <w:color w:val="000000"/>
                <w:sz w:val="20"/>
                <w:szCs w:val="20"/>
              </w:rPr>
            </w:pPr>
            <w:r w:rsidRPr="00666914">
              <w:rPr>
                <w:color w:val="000000"/>
                <w:sz w:val="20"/>
                <w:szCs w:val="20"/>
              </w:rPr>
              <w:t>Aktualizovať údaje o všetkých informačných systémoch verejnej správy v IS META IS</w:t>
            </w:r>
          </w:p>
        </w:tc>
        <w:tc>
          <w:tcPr>
            <w:tcW w:w="1412" w:type="dxa"/>
            <w:shd w:val="clear" w:color="auto" w:fill="auto"/>
            <w:vAlign w:val="center"/>
          </w:tcPr>
          <w:p w14:paraId="566B309D" w14:textId="77777777" w:rsidR="00386F6D" w:rsidRPr="00666914" w:rsidRDefault="00386F6D">
            <w:pPr>
              <w:spacing w:after="0"/>
              <w:jc w:val="center"/>
              <w:rPr>
                <w:color w:val="000000"/>
                <w:sz w:val="20"/>
                <w:szCs w:val="20"/>
              </w:rPr>
            </w:pPr>
            <w:r w:rsidRPr="00666914">
              <w:rPr>
                <w:color w:val="000000"/>
                <w:sz w:val="20"/>
                <w:szCs w:val="20"/>
              </w:rPr>
              <w:t xml:space="preserve">ÚPVII </w:t>
            </w:r>
          </w:p>
        </w:tc>
        <w:tc>
          <w:tcPr>
            <w:tcW w:w="1130" w:type="dxa"/>
            <w:shd w:val="clear" w:color="auto" w:fill="auto"/>
            <w:vAlign w:val="center"/>
          </w:tcPr>
          <w:p w14:paraId="6934CA81" w14:textId="77777777" w:rsidR="00386F6D" w:rsidRPr="00666914" w:rsidRDefault="00386F6D">
            <w:pPr>
              <w:spacing w:after="0"/>
              <w:jc w:val="center"/>
              <w:rPr>
                <w:color w:val="000000"/>
                <w:sz w:val="20"/>
                <w:szCs w:val="20"/>
              </w:rPr>
            </w:pPr>
            <w:r w:rsidRPr="00666914">
              <w:rPr>
                <w:color w:val="000000"/>
                <w:sz w:val="20"/>
                <w:szCs w:val="20"/>
              </w:rPr>
              <w:t>31.12.2017</w:t>
            </w:r>
          </w:p>
        </w:tc>
        <w:tc>
          <w:tcPr>
            <w:tcW w:w="1272" w:type="dxa"/>
            <w:shd w:val="clear" w:color="auto" w:fill="auto"/>
            <w:vAlign w:val="center"/>
          </w:tcPr>
          <w:p w14:paraId="29499E0B" w14:textId="77777777" w:rsidR="00386F6D" w:rsidRPr="00666914" w:rsidRDefault="00386F6D">
            <w:pPr>
              <w:spacing w:after="0"/>
              <w:jc w:val="center"/>
              <w:rPr>
                <w:color w:val="000000"/>
                <w:sz w:val="20"/>
                <w:szCs w:val="20"/>
              </w:rPr>
            </w:pPr>
            <w:r w:rsidRPr="00666914">
              <w:rPr>
                <w:color w:val="000000"/>
                <w:sz w:val="20"/>
                <w:szCs w:val="20"/>
              </w:rPr>
              <w:t>30.6.2019</w:t>
            </w:r>
          </w:p>
        </w:tc>
        <w:tc>
          <w:tcPr>
            <w:tcW w:w="708" w:type="dxa"/>
            <w:shd w:val="clear" w:color="auto" w:fill="C00000"/>
            <w:vAlign w:val="bottom"/>
          </w:tcPr>
          <w:p w14:paraId="0840C40C" w14:textId="77777777" w:rsidR="00386F6D" w:rsidRPr="00666914" w:rsidRDefault="00386F6D">
            <w:pPr>
              <w:spacing w:after="0"/>
              <w:rPr>
                <w:color w:val="000000"/>
                <w:sz w:val="20"/>
                <w:szCs w:val="20"/>
              </w:rPr>
            </w:pPr>
            <w:r w:rsidRPr="00666914">
              <w:rPr>
                <w:color w:val="000000"/>
                <w:sz w:val="20"/>
                <w:szCs w:val="20"/>
              </w:rPr>
              <w:t> </w:t>
            </w:r>
          </w:p>
        </w:tc>
        <w:tc>
          <w:tcPr>
            <w:tcW w:w="709" w:type="dxa"/>
            <w:shd w:val="clear" w:color="auto" w:fill="C00000"/>
            <w:vAlign w:val="bottom"/>
          </w:tcPr>
          <w:p w14:paraId="37ADAEBE" w14:textId="77777777" w:rsidR="00386F6D" w:rsidRPr="00666914" w:rsidRDefault="00386F6D">
            <w:pPr>
              <w:spacing w:after="0"/>
              <w:rPr>
                <w:color w:val="000000"/>
                <w:sz w:val="20"/>
                <w:szCs w:val="20"/>
              </w:rPr>
            </w:pPr>
            <w:r w:rsidRPr="00666914">
              <w:rPr>
                <w:color w:val="000000"/>
                <w:sz w:val="20"/>
                <w:szCs w:val="20"/>
              </w:rPr>
              <w:t> </w:t>
            </w:r>
          </w:p>
        </w:tc>
        <w:tc>
          <w:tcPr>
            <w:tcW w:w="711" w:type="dxa"/>
            <w:shd w:val="clear" w:color="auto" w:fill="FFC000"/>
            <w:vAlign w:val="bottom"/>
          </w:tcPr>
          <w:p w14:paraId="1D157336" w14:textId="77777777" w:rsidR="00386F6D" w:rsidRPr="00666914" w:rsidRDefault="00386F6D">
            <w:pPr>
              <w:spacing w:after="0"/>
              <w:rPr>
                <w:color w:val="000000"/>
                <w:sz w:val="20"/>
                <w:szCs w:val="20"/>
              </w:rPr>
            </w:pPr>
            <w:r w:rsidRPr="00666914">
              <w:rPr>
                <w:color w:val="000000"/>
                <w:sz w:val="20"/>
                <w:szCs w:val="20"/>
              </w:rPr>
              <w:t> </w:t>
            </w:r>
          </w:p>
        </w:tc>
        <w:tc>
          <w:tcPr>
            <w:tcW w:w="719" w:type="dxa"/>
            <w:shd w:val="clear" w:color="auto" w:fill="FFC000"/>
            <w:vAlign w:val="bottom"/>
          </w:tcPr>
          <w:p w14:paraId="5AF19D55" w14:textId="77777777" w:rsidR="00386F6D" w:rsidRPr="00666914" w:rsidRDefault="00386F6D">
            <w:pPr>
              <w:spacing w:after="0"/>
              <w:jc w:val="center"/>
              <w:rPr>
                <w:color w:val="000000"/>
                <w:sz w:val="20"/>
                <w:szCs w:val="20"/>
              </w:rPr>
            </w:pPr>
            <w:r w:rsidRPr="00666914">
              <w:rPr>
                <w:color w:val="000000"/>
                <w:sz w:val="20"/>
                <w:szCs w:val="20"/>
              </w:rPr>
              <w:t> </w:t>
            </w:r>
          </w:p>
        </w:tc>
      </w:tr>
      <w:tr w:rsidR="004C730B" w:rsidRPr="00666914" w14:paraId="73258282" w14:textId="77777777" w:rsidTr="003E2457">
        <w:trPr>
          <w:trHeight w:val="334"/>
        </w:trPr>
        <w:tc>
          <w:tcPr>
            <w:tcW w:w="427" w:type="dxa"/>
            <w:shd w:val="clear" w:color="auto" w:fill="auto"/>
            <w:vAlign w:val="center"/>
          </w:tcPr>
          <w:p w14:paraId="385A2A05" w14:textId="1836B7F1" w:rsidR="004C730B" w:rsidRPr="00666914" w:rsidRDefault="004C730B" w:rsidP="004C730B">
            <w:pPr>
              <w:spacing w:after="0"/>
              <w:jc w:val="left"/>
              <w:rPr>
                <w:color w:val="000000"/>
                <w:sz w:val="20"/>
                <w:szCs w:val="20"/>
              </w:rPr>
            </w:pPr>
            <w:r w:rsidRPr="00666914">
              <w:rPr>
                <w:color w:val="000000"/>
                <w:sz w:val="20"/>
                <w:szCs w:val="20"/>
              </w:rPr>
              <w:lastRenderedPageBreak/>
              <w:t> </w:t>
            </w:r>
          </w:p>
        </w:tc>
        <w:tc>
          <w:tcPr>
            <w:tcW w:w="1972" w:type="dxa"/>
            <w:shd w:val="clear" w:color="auto" w:fill="auto"/>
            <w:vAlign w:val="center"/>
          </w:tcPr>
          <w:p w14:paraId="760AD3B6" w14:textId="063B5AB7" w:rsidR="004C730B" w:rsidRPr="00666914" w:rsidRDefault="004C730B" w:rsidP="004C730B">
            <w:pPr>
              <w:spacing w:after="0"/>
              <w:jc w:val="left"/>
              <w:rPr>
                <w:color w:val="000000"/>
                <w:sz w:val="20"/>
                <w:szCs w:val="20"/>
              </w:rPr>
            </w:pPr>
            <w:r w:rsidRPr="00666914">
              <w:rPr>
                <w:b/>
                <w:color w:val="000000"/>
                <w:sz w:val="20"/>
                <w:szCs w:val="20"/>
              </w:rPr>
              <w:t>INFORMATIZÁCIA</w:t>
            </w:r>
          </w:p>
        </w:tc>
        <w:tc>
          <w:tcPr>
            <w:tcW w:w="1412" w:type="dxa"/>
            <w:shd w:val="clear" w:color="auto" w:fill="auto"/>
            <w:vAlign w:val="center"/>
          </w:tcPr>
          <w:p w14:paraId="1868DB6A" w14:textId="2E13E0DE" w:rsidR="004C730B" w:rsidRPr="00666914" w:rsidRDefault="004C730B" w:rsidP="004C730B">
            <w:pPr>
              <w:spacing w:after="0"/>
              <w:jc w:val="center"/>
              <w:rPr>
                <w:color w:val="000000"/>
                <w:sz w:val="20"/>
                <w:szCs w:val="20"/>
              </w:rPr>
            </w:pPr>
            <w:r w:rsidRPr="00666914">
              <w:rPr>
                <w:b/>
                <w:color w:val="000000"/>
                <w:sz w:val="20"/>
                <w:szCs w:val="20"/>
              </w:rPr>
              <w:t>Zodpovednosť</w:t>
            </w:r>
          </w:p>
        </w:tc>
        <w:tc>
          <w:tcPr>
            <w:tcW w:w="1130" w:type="dxa"/>
            <w:shd w:val="clear" w:color="auto" w:fill="auto"/>
            <w:vAlign w:val="center"/>
          </w:tcPr>
          <w:p w14:paraId="09B63360" w14:textId="4BA67BF1" w:rsidR="004C730B" w:rsidRPr="00666914" w:rsidRDefault="004C730B" w:rsidP="004C730B">
            <w:pPr>
              <w:spacing w:after="0"/>
              <w:jc w:val="center"/>
              <w:rPr>
                <w:color w:val="000000"/>
                <w:sz w:val="20"/>
                <w:szCs w:val="20"/>
              </w:rPr>
            </w:pPr>
            <w:r w:rsidRPr="00666914">
              <w:rPr>
                <w:b/>
                <w:color w:val="000000"/>
                <w:sz w:val="20"/>
                <w:szCs w:val="20"/>
              </w:rPr>
              <w:t>Pôvodný termín</w:t>
            </w:r>
          </w:p>
        </w:tc>
        <w:tc>
          <w:tcPr>
            <w:tcW w:w="1272" w:type="dxa"/>
            <w:shd w:val="clear" w:color="auto" w:fill="auto"/>
            <w:vAlign w:val="center"/>
          </w:tcPr>
          <w:p w14:paraId="2DDD9064" w14:textId="10723EB0" w:rsidR="004C730B" w:rsidRPr="00666914" w:rsidRDefault="004C730B" w:rsidP="004C730B">
            <w:pPr>
              <w:spacing w:after="0"/>
              <w:jc w:val="center"/>
              <w:rPr>
                <w:color w:val="000000"/>
                <w:sz w:val="20"/>
                <w:szCs w:val="20"/>
              </w:rPr>
            </w:pPr>
            <w:r w:rsidRPr="00666914">
              <w:rPr>
                <w:b/>
                <w:color w:val="000000"/>
                <w:sz w:val="20"/>
                <w:szCs w:val="20"/>
              </w:rPr>
              <w:t>Nový termín</w:t>
            </w:r>
            <w:r w:rsidRPr="00666914">
              <w:rPr>
                <w:color w:val="000000"/>
                <w:sz w:val="20"/>
                <w:szCs w:val="20"/>
                <w:vertAlign w:val="superscript"/>
              </w:rPr>
              <w:footnoteReference w:id="113"/>
            </w:r>
          </w:p>
        </w:tc>
        <w:tc>
          <w:tcPr>
            <w:tcW w:w="708" w:type="dxa"/>
            <w:shd w:val="clear" w:color="auto" w:fill="auto"/>
            <w:vAlign w:val="center"/>
          </w:tcPr>
          <w:p w14:paraId="27F90DBE" w14:textId="4A3CF64C" w:rsidR="004C730B" w:rsidRPr="00666914" w:rsidRDefault="004C730B" w:rsidP="003E2457">
            <w:pPr>
              <w:spacing w:after="0"/>
              <w:jc w:val="center"/>
              <w:rPr>
                <w:color w:val="000000"/>
                <w:sz w:val="20"/>
                <w:szCs w:val="20"/>
              </w:rPr>
            </w:pPr>
            <w:r w:rsidRPr="00666914">
              <w:rPr>
                <w:b/>
                <w:color w:val="000000"/>
                <w:sz w:val="20"/>
                <w:szCs w:val="20"/>
              </w:rPr>
              <w:t>1Q 2019</w:t>
            </w:r>
          </w:p>
        </w:tc>
        <w:tc>
          <w:tcPr>
            <w:tcW w:w="709" w:type="dxa"/>
            <w:shd w:val="clear" w:color="auto" w:fill="auto"/>
            <w:vAlign w:val="center"/>
          </w:tcPr>
          <w:p w14:paraId="1890FB75" w14:textId="1FC1A724" w:rsidR="004C730B" w:rsidRPr="00666914" w:rsidRDefault="004C730B" w:rsidP="003E2457">
            <w:pPr>
              <w:spacing w:after="0"/>
              <w:jc w:val="center"/>
              <w:rPr>
                <w:color w:val="000000"/>
                <w:sz w:val="20"/>
                <w:szCs w:val="20"/>
              </w:rPr>
            </w:pPr>
            <w:r w:rsidRPr="00666914">
              <w:rPr>
                <w:b/>
                <w:color w:val="000000"/>
                <w:sz w:val="20"/>
                <w:szCs w:val="20"/>
              </w:rPr>
              <w:t>2Q 2019</w:t>
            </w:r>
          </w:p>
        </w:tc>
        <w:tc>
          <w:tcPr>
            <w:tcW w:w="711" w:type="dxa"/>
            <w:shd w:val="clear" w:color="auto" w:fill="auto"/>
            <w:vAlign w:val="center"/>
          </w:tcPr>
          <w:p w14:paraId="0D0B6B48" w14:textId="6335C846" w:rsidR="004C730B" w:rsidRPr="00666914" w:rsidRDefault="004C730B" w:rsidP="003E2457">
            <w:pPr>
              <w:spacing w:after="0"/>
              <w:jc w:val="center"/>
              <w:rPr>
                <w:color w:val="000000"/>
                <w:sz w:val="20"/>
                <w:szCs w:val="20"/>
              </w:rPr>
            </w:pPr>
            <w:r w:rsidRPr="00666914">
              <w:rPr>
                <w:b/>
                <w:color w:val="000000"/>
                <w:sz w:val="20"/>
                <w:szCs w:val="20"/>
              </w:rPr>
              <w:t>3Q 2019</w:t>
            </w:r>
          </w:p>
        </w:tc>
        <w:tc>
          <w:tcPr>
            <w:tcW w:w="719" w:type="dxa"/>
            <w:shd w:val="clear" w:color="auto" w:fill="auto"/>
            <w:vAlign w:val="center"/>
          </w:tcPr>
          <w:p w14:paraId="0A1F7057" w14:textId="2151081D" w:rsidR="004C730B" w:rsidRPr="00666914" w:rsidRDefault="004C730B">
            <w:pPr>
              <w:spacing w:after="0"/>
              <w:jc w:val="center"/>
              <w:rPr>
                <w:color w:val="000000"/>
                <w:sz w:val="20"/>
                <w:szCs w:val="20"/>
              </w:rPr>
            </w:pPr>
            <w:r w:rsidRPr="00666914">
              <w:rPr>
                <w:b/>
                <w:color w:val="000000"/>
                <w:sz w:val="20"/>
                <w:szCs w:val="20"/>
              </w:rPr>
              <w:t>4Q 2019</w:t>
            </w:r>
          </w:p>
        </w:tc>
      </w:tr>
      <w:tr w:rsidR="004C730B" w:rsidRPr="00666914" w14:paraId="7E4D0415" w14:textId="77777777" w:rsidTr="00CD0BF9">
        <w:trPr>
          <w:trHeight w:val="858"/>
        </w:trPr>
        <w:tc>
          <w:tcPr>
            <w:tcW w:w="427" w:type="dxa"/>
            <w:tcBorders>
              <w:bottom w:val="single" w:sz="4" w:space="0" w:color="auto"/>
            </w:tcBorders>
            <w:shd w:val="clear" w:color="auto" w:fill="auto"/>
            <w:vAlign w:val="center"/>
          </w:tcPr>
          <w:p w14:paraId="2B860552" w14:textId="77777777" w:rsidR="004C730B" w:rsidRPr="00666914" w:rsidRDefault="004C730B" w:rsidP="004C730B">
            <w:pPr>
              <w:spacing w:after="0"/>
              <w:jc w:val="left"/>
              <w:rPr>
                <w:color w:val="000000"/>
                <w:sz w:val="20"/>
                <w:szCs w:val="20"/>
              </w:rPr>
            </w:pPr>
            <w:r w:rsidRPr="00666914">
              <w:rPr>
                <w:color w:val="000000"/>
                <w:sz w:val="20"/>
                <w:szCs w:val="20"/>
              </w:rPr>
              <w:t>16</w:t>
            </w:r>
          </w:p>
        </w:tc>
        <w:tc>
          <w:tcPr>
            <w:tcW w:w="1972" w:type="dxa"/>
            <w:tcBorders>
              <w:bottom w:val="single" w:sz="4" w:space="0" w:color="auto"/>
            </w:tcBorders>
            <w:shd w:val="clear" w:color="auto" w:fill="auto"/>
            <w:vAlign w:val="center"/>
          </w:tcPr>
          <w:p w14:paraId="4F86D47C" w14:textId="77777777" w:rsidR="004C730B" w:rsidRPr="00666914" w:rsidRDefault="004C730B" w:rsidP="004C730B">
            <w:pPr>
              <w:spacing w:after="0"/>
              <w:jc w:val="left"/>
              <w:rPr>
                <w:color w:val="000000"/>
                <w:sz w:val="20"/>
                <w:szCs w:val="20"/>
                <w:highlight w:val="yellow"/>
              </w:rPr>
            </w:pPr>
            <w:r w:rsidRPr="00666914">
              <w:rPr>
                <w:color w:val="000000"/>
                <w:sz w:val="20"/>
                <w:szCs w:val="20"/>
              </w:rPr>
              <w:t>Navrhnúť zber dát v rezortných podprogramoch s registrom ISVS</w:t>
            </w:r>
          </w:p>
        </w:tc>
        <w:tc>
          <w:tcPr>
            <w:tcW w:w="1412" w:type="dxa"/>
            <w:tcBorders>
              <w:bottom w:val="single" w:sz="4" w:space="0" w:color="auto"/>
            </w:tcBorders>
            <w:shd w:val="clear" w:color="auto" w:fill="auto"/>
            <w:vAlign w:val="center"/>
          </w:tcPr>
          <w:p w14:paraId="029284A6" w14:textId="77777777" w:rsidR="004C730B" w:rsidRPr="00666914" w:rsidRDefault="004C730B" w:rsidP="004C730B">
            <w:pPr>
              <w:spacing w:after="0"/>
              <w:jc w:val="center"/>
              <w:rPr>
                <w:color w:val="000000"/>
                <w:sz w:val="20"/>
                <w:szCs w:val="20"/>
              </w:rPr>
            </w:pPr>
            <w:r w:rsidRPr="00666914">
              <w:rPr>
                <w:color w:val="000000"/>
                <w:sz w:val="20"/>
                <w:szCs w:val="20"/>
              </w:rPr>
              <w:t>ÚPVII, MF SR</w:t>
            </w:r>
          </w:p>
        </w:tc>
        <w:tc>
          <w:tcPr>
            <w:tcW w:w="1130" w:type="dxa"/>
            <w:tcBorders>
              <w:bottom w:val="single" w:sz="4" w:space="0" w:color="auto"/>
            </w:tcBorders>
            <w:shd w:val="clear" w:color="auto" w:fill="auto"/>
            <w:vAlign w:val="center"/>
          </w:tcPr>
          <w:p w14:paraId="49F7817C" w14:textId="77777777" w:rsidR="004C730B" w:rsidRPr="00666914" w:rsidRDefault="004C730B" w:rsidP="004C730B">
            <w:pPr>
              <w:spacing w:after="0"/>
              <w:jc w:val="center"/>
              <w:rPr>
                <w:color w:val="000000"/>
                <w:sz w:val="20"/>
                <w:szCs w:val="20"/>
              </w:rPr>
            </w:pPr>
            <w:r w:rsidRPr="00666914">
              <w:rPr>
                <w:color w:val="000000"/>
                <w:sz w:val="20"/>
                <w:szCs w:val="20"/>
              </w:rPr>
              <w:t>30.3.2017</w:t>
            </w:r>
          </w:p>
        </w:tc>
        <w:tc>
          <w:tcPr>
            <w:tcW w:w="1272" w:type="dxa"/>
            <w:tcBorders>
              <w:bottom w:val="single" w:sz="4" w:space="0" w:color="auto"/>
            </w:tcBorders>
            <w:shd w:val="clear" w:color="auto" w:fill="auto"/>
            <w:vAlign w:val="center"/>
          </w:tcPr>
          <w:p w14:paraId="372F6032" w14:textId="77777777" w:rsidR="004C730B" w:rsidRPr="00666914" w:rsidRDefault="004C730B" w:rsidP="004C730B">
            <w:pPr>
              <w:spacing w:after="0"/>
              <w:jc w:val="center"/>
              <w:rPr>
                <w:color w:val="000000"/>
                <w:sz w:val="20"/>
                <w:szCs w:val="20"/>
              </w:rPr>
            </w:pPr>
            <w:r w:rsidRPr="00666914">
              <w:rPr>
                <w:color w:val="000000"/>
                <w:sz w:val="20"/>
                <w:szCs w:val="20"/>
              </w:rPr>
              <w:t>30.6.2019</w:t>
            </w:r>
          </w:p>
        </w:tc>
        <w:tc>
          <w:tcPr>
            <w:tcW w:w="708" w:type="dxa"/>
            <w:tcBorders>
              <w:bottom w:val="single" w:sz="4" w:space="0" w:color="auto"/>
            </w:tcBorders>
            <w:shd w:val="clear" w:color="auto" w:fill="FFC000"/>
            <w:vAlign w:val="bottom"/>
          </w:tcPr>
          <w:p w14:paraId="2F8A2918" w14:textId="77777777" w:rsidR="004C730B" w:rsidRPr="00666914" w:rsidRDefault="004C730B" w:rsidP="004C730B">
            <w:pPr>
              <w:spacing w:after="0"/>
              <w:rPr>
                <w:color w:val="000000"/>
                <w:sz w:val="20"/>
                <w:szCs w:val="20"/>
              </w:rPr>
            </w:pPr>
            <w:r w:rsidRPr="00666914">
              <w:rPr>
                <w:color w:val="000000"/>
                <w:sz w:val="20"/>
                <w:szCs w:val="20"/>
              </w:rPr>
              <w:t> </w:t>
            </w:r>
          </w:p>
        </w:tc>
        <w:tc>
          <w:tcPr>
            <w:tcW w:w="709" w:type="dxa"/>
            <w:tcBorders>
              <w:bottom w:val="single" w:sz="4" w:space="0" w:color="auto"/>
            </w:tcBorders>
            <w:shd w:val="clear" w:color="auto" w:fill="FFC000"/>
            <w:vAlign w:val="bottom"/>
          </w:tcPr>
          <w:p w14:paraId="625749C5" w14:textId="77777777" w:rsidR="004C730B" w:rsidRPr="00666914" w:rsidRDefault="004C730B" w:rsidP="004C730B">
            <w:pPr>
              <w:spacing w:after="0"/>
              <w:rPr>
                <w:color w:val="000000"/>
                <w:sz w:val="20"/>
                <w:szCs w:val="20"/>
              </w:rPr>
            </w:pPr>
            <w:r w:rsidRPr="00666914">
              <w:rPr>
                <w:color w:val="000000"/>
                <w:sz w:val="20"/>
                <w:szCs w:val="20"/>
              </w:rPr>
              <w:t> </w:t>
            </w:r>
          </w:p>
        </w:tc>
        <w:tc>
          <w:tcPr>
            <w:tcW w:w="711" w:type="dxa"/>
            <w:tcBorders>
              <w:bottom w:val="single" w:sz="4" w:space="0" w:color="auto"/>
            </w:tcBorders>
            <w:shd w:val="clear" w:color="auto" w:fill="FFC000"/>
            <w:vAlign w:val="bottom"/>
          </w:tcPr>
          <w:p w14:paraId="49B5F26B" w14:textId="77777777" w:rsidR="004C730B" w:rsidRPr="00666914" w:rsidRDefault="004C730B" w:rsidP="004C730B">
            <w:pPr>
              <w:spacing w:after="0"/>
              <w:rPr>
                <w:color w:val="000000"/>
                <w:sz w:val="20"/>
                <w:szCs w:val="20"/>
              </w:rPr>
            </w:pPr>
            <w:r w:rsidRPr="00666914">
              <w:rPr>
                <w:color w:val="000000"/>
                <w:sz w:val="20"/>
                <w:szCs w:val="20"/>
              </w:rPr>
              <w:t> </w:t>
            </w:r>
          </w:p>
        </w:tc>
        <w:tc>
          <w:tcPr>
            <w:tcW w:w="719" w:type="dxa"/>
            <w:tcBorders>
              <w:bottom w:val="single" w:sz="4" w:space="0" w:color="auto"/>
            </w:tcBorders>
            <w:shd w:val="clear" w:color="auto" w:fill="FFC000"/>
            <w:vAlign w:val="bottom"/>
          </w:tcPr>
          <w:p w14:paraId="6421C344" w14:textId="77777777" w:rsidR="004C730B" w:rsidRPr="00666914" w:rsidRDefault="004C730B" w:rsidP="004C730B">
            <w:pPr>
              <w:spacing w:after="0"/>
              <w:jc w:val="center"/>
              <w:rPr>
                <w:color w:val="000000"/>
                <w:sz w:val="20"/>
                <w:szCs w:val="20"/>
              </w:rPr>
            </w:pPr>
            <w:r w:rsidRPr="00666914">
              <w:rPr>
                <w:color w:val="000000"/>
                <w:sz w:val="20"/>
                <w:szCs w:val="20"/>
              </w:rPr>
              <w:t> </w:t>
            </w:r>
          </w:p>
        </w:tc>
      </w:tr>
      <w:tr w:rsidR="00CD0BF9" w:rsidRPr="00666914" w14:paraId="66B45824" w14:textId="77777777" w:rsidTr="00CD0BF9">
        <w:trPr>
          <w:trHeight w:val="1003"/>
        </w:trPr>
        <w:tc>
          <w:tcPr>
            <w:tcW w:w="427" w:type="dxa"/>
            <w:shd w:val="clear" w:color="auto" w:fill="auto"/>
            <w:vAlign w:val="center"/>
          </w:tcPr>
          <w:p w14:paraId="6BA2878C" w14:textId="77777777" w:rsidR="004C730B" w:rsidRPr="00666914" w:rsidRDefault="004C730B" w:rsidP="004C730B">
            <w:pPr>
              <w:spacing w:after="0"/>
              <w:jc w:val="left"/>
              <w:rPr>
                <w:color w:val="000000"/>
                <w:sz w:val="20"/>
                <w:szCs w:val="20"/>
              </w:rPr>
            </w:pPr>
            <w:r w:rsidRPr="00666914">
              <w:rPr>
                <w:color w:val="000000"/>
                <w:sz w:val="20"/>
                <w:szCs w:val="20"/>
              </w:rPr>
              <w:t>17</w:t>
            </w:r>
          </w:p>
        </w:tc>
        <w:tc>
          <w:tcPr>
            <w:tcW w:w="1972" w:type="dxa"/>
            <w:shd w:val="clear" w:color="auto" w:fill="auto"/>
            <w:vAlign w:val="center"/>
          </w:tcPr>
          <w:p w14:paraId="5536F1AE" w14:textId="77777777" w:rsidR="004C730B" w:rsidRPr="00666914" w:rsidRDefault="004C730B" w:rsidP="004C730B">
            <w:pPr>
              <w:spacing w:after="0"/>
              <w:jc w:val="left"/>
              <w:rPr>
                <w:color w:val="000000"/>
                <w:sz w:val="20"/>
                <w:szCs w:val="20"/>
                <w:highlight w:val="yellow"/>
              </w:rPr>
            </w:pPr>
            <w:r w:rsidRPr="00666914">
              <w:rPr>
                <w:color w:val="000000"/>
                <w:sz w:val="20"/>
                <w:szCs w:val="20"/>
              </w:rPr>
              <w:t>Návrh zberu dát za účelom benchmarkingu prevádzky výdavkov na IT</w:t>
            </w:r>
          </w:p>
        </w:tc>
        <w:tc>
          <w:tcPr>
            <w:tcW w:w="1412" w:type="dxa"/>
            <w:shd w:val="clear" w:color="auto" w:fill="auto"/>
            <w:vAlign w:val="center"/>
          </w:tcPr>
          <w:p w14:paraId="37E288BD" w14:textId="77777777" w:rsidR="004C730B" w:rsidRPr="00666914" w:rsidRDefault="004C730B" w:rsidP="004C730B">
            <w:pPr>
              <w:spacing w:after="0"/>
              <w:jc w:val="center"/>
              <w:rPr>
                <w:color w:val="000000"/>
                <w:sz w:val="20"/>
                <w:szCs w:val="20"/>
              </w:rPr>
            </w:pPr>
            <w:r w:rsidRPr="00666914">
              <w:rPr>
                <w:color w:val="000000"/>
                <w:sz w:val="20"/>
                <w:szCs w:val="20"/>
              </w:rPr>
              <w:t>ÚPVII, MF SR</w:t>
            </w:r>
          </w:p>
        </w:tc>
        <w:tc>
          <w:tcPr>
            <w:tcW w:w="1130" w:type="dxa"/>
            <w:shd w:val="clear" w:color="auto" w:fill="auto"/>
            <w:vAlign w:val="center"/>
          </w:tcPr>
          <w:p w14:paraId="08A47D0D" w14:textId="77777777" w:rsidR="004C730B" w:rsidRPr="00666914" w:rsidRDefault="004C730B" w:rsidP="004C730B">
            <w:pPr>
              <w:spacing w:after="0"/>
              <w:jc w:val="center"/>
              <w:rPr>
                <w:color w:val="000000"/>
                <w:sz w:val="20"/>
                <w:szCs w:val="20"/>
              </w:rPr>
            </w:pPr>
            <w:r w:rsidRPr="00666914">
              <w:rPr>
                <w:color w:val="000000"/>
                <w:sz w:val="20"/>
                <w:szCs w:val="20"/>
              </w:rPr>
              <w:t>31.12.2017</w:t>
            </w:r>
          </w:p>
        </w:tc>
        <w:tc>
          <w:tcPr>
            <w:tcW w:w="1272" w:type="dxa"/>
            <w:shd w:val="clear" w:color="auto" w:fill="auto"/>
            <w:vAlign w:val="center"/>
          </w:tcPr>
          <w:p w14:paraId="295E0CA7" w14:textId="77777777" w:rsidR="004C730B" w:rsidRPr="00666914" w:rsidRDefault="004C730B" w:rsidP="004C730B">
            <w:pPr>
              <w:spacing w:after="0"/>
              <w:jc w:val="center"/>
              <w:rPr>
                <w:color w:val="000000"/>
                <w:sz w:val="20"/>
                <w:szCs w:val="20"/>
              </w:rPr>
            </w:pPr>
            <w:r w:rsidRPr="00666914">
              <w:rPr>
                <w:color w:val="000000"/>
                <w:sz w:val="20"/>
                <w:szCs w:val="20"/>
              </w:rPr>
              <w:t>31.12.2019</w:t>
            </w:r>
          </w:p>
        </w:tc>
        <w:tc>
          <w:tcPr>
            <w:tcW w:w="708" w:type="dxa"/>
            <w:shd w:val="clear" w:color="auto" w:fill="FF0000"/>
            <w:vAlign w:val="bottom"/>
          </w:tcPr>
          <w:p w14:paraId="18182D99" w14:textId="77777777" w:rsidR="004C730B" w:rsidRPr="00666914" w:rsidRDefault="004C730B" w:rsidP="004C730B">
            <w:pPr>
              <w:spacing w:after="0"/>
              <w:rPr>
                <w:color w:val="000000"/>
                <w:sz w:val="20"/>
                <w:szCs w:val="20"/>
              </w:rPr>
            </w:pPr>
            <w:r w:rsidRPr="00666914">
              <w:rPr>
                <w:color w:val="000000"/>
                <w:sz w:val="20"/>
                <w:szCs w:val="20"/>
              </w:rPr>
              <w:t> </w:t>
            </w:r>
          </w:p>
        </w:tc>
        <w:tc>
          <w:tcPr>
            <w:tcW w:w="709" w:type="dxa"/>
            <w:shd w:val="clear" w:color="auto" w:fill="FF0000"/>
            <w:vAlign w:val="bottom"/>
          </w:tcPr>
          <w:p w14:paraId="729A12A2" w14:textId="77777777" w:rsidR="004C730B" w:rsidRPr="00666914" w:rsidRDefault="004C730B" w:rsidP="004C730B">
            <w:pPr>
              <w:spacing w:after="0"/>
              <w:rPr>
                <w:color w:val="000000"/>
                <w:sz w:val="20"/>
                <w:szCs w:val="20"/>
              </w:rPr>
            </w:pPr>
            <w:r w:rsidRPr="00666914">
              <w:rPr>
                <w:color w:val="000000"/>
                <w:sz w:val="20"/>
                <w:szCs w:val="20"/>
              </w:rPr>
              <w:t> </w:t>
            </w:r>
          </w:p>
        </w:tc>
        <w:tc>
          <w:tcPr>
            <w:tcW w:w="711" w:type="dxa"/>
            <w:shd w:val="clear" w:color="auto" w:fill="FF0000"/>
            <w:vAlign w:val="bottom"/>
          </w:tcPr>
          <w:p w14:paraId="1BC9B8B4" w14:textId="77777777" w:rsidR="004C730B" w:rsidRPr="00666914" w:rsidRDefault="004C730B" w:rsidP="004C730B">
            <w:pPr>
              <w:spacing w:after="0"/>
              <w:rPr>
                <w:color w:val="000000"/>
                <w:sz w:val="20"/>
                <w:szCs w:val="20"/>
              </w:rPr>
            </w:pPr>
            <w:r w:rsidRPr="00666914">
              <w:rPr>
                <w:color w:val="000000"/>
                <w:sz w:val="20"/>
                <w:szCs w:val="20"/>
              </w:rPr>
              <w:t> </w:t>
            </w:r>
          </w:p>
        </w:tc>
        <w:tc>
          <w:tcPr>
            <w:tcW w:w="719" w:type="dxa"/>
            <w:shd w:val="clear" w:color="auto" w:fill="FF0000"/>
            <w:vAlign w:val="bottom"/>
          </w:tcPr>
          <w:p w14:paraId="24BFA1F1" w14:textId="77777777" w:rsidR="004C730B" w:rsidRPr="00666914" w:rsidRDefault="004C730B" w:rsidP="004C730B">
            <w:pPr>
              <w:spacing w:after="0"/>
              <w:jc w:val="center"/>
              <w:rPr>
                <w:color w:val="000000"/>
                <w:sz w:val="20"/>
                <w:szCs w:val="20"/>
              </w:rPr>
            </w:pPr>
            <w:r w:rsidRPr="00666914">
              <w:rPr>
                <w:color w:val="000000"/>
                <w:sz w:val="20"/>
                <w:szCs w:val="20"/>
              </w:rPr>
              <w:t> </w:t>
            </w:r>
          </w:p>
        </w:tc>
      </w:tr>
      <w:tr w:rsidR="00CD0BF9" w:rsidRPr="00666914" w14:paraId="18CC3DF0" w14:textId="77777777" w:rsidTr="003E2457">
        <w:trPr>
          <w:trHeight w:val="331"/>
        </w:trPr>
        <w:tc>
          <w:tcPr>
            <w:tcW w:w="9060" w:type="dxa"/>
            <w:gridSpan w:val="9"/>
            <w:shd w:val="clear" w:color="auto" w:fill="auto"/>
            <w:vAlign w:val="center"/>
          </w:tcPr>
          <w:p w14:paraId="634CEA7A" w14:textId="32F9066B" w:rsidR="00CD0BF9" w:rsidRPr="00666914" w:rsidRDefault="00CD0BF9" w:rsidP="004C730B">
            <w:pPr>
              <w:spacing w:after="0"/>
              <w:jc w:val="center"/>
              <w:rPr>
                <w:color w:val="000000"/>
                <w:sz w:val="20"/>
                <w:szCs w:val="20"/>
              </w:rPr>
            </w:pPr>
            <w:r w:rsidRPr="00666914">
              <w:rPr>
                <w:b/>
                <w:color w:val="000000"/>
                <w:sz w:val="20"/>
                <w:szCs w:val="20"/>
              </w:rPr>
              <w:t>ANALYTICKÉ ÚLOHY</w:t>
            </w:r>
          </w:p>
        </w:tc>
      </w:tr>
      <w:tr w:rsidR="00CD0BF9" w:rsidRPr="00666914" w14:paraId="5C3F89B0" w14:textId="77777777" w:rsidTr="003E2457">
        <w:trPr>
          <w:trHeight w:val="1003"/>
        </w:trPr>
        <w:tc>
          <w:tcPr>
            <w:tcW w:w="427" w:type="dxa"/>
            <w:shd w:val="clear" w:color="auto" w:fill="auto"/>
            <w:vAlign w:val="center"/>
          </w:tcPr>
          <w:p w14:paraId="2FDA66C3" w14:textId="2D514AA9" w:rsidR="00CD0BF9" w:rsidRPr="00666914" w:rsidRDefault="00CD0BF9" w:rsidP="00CD0BF9">
            <w:pPr>
              <w:spacing w:after="0"/>
              <w:jc w:val="left"/>
              <w:rPr>
                <w:color w:val="000000"/>
                <w:sz w:val="20"/>
                <w:szCs w:val="20"/>
              </w:rPr>
            </w:pPr>
            <w:r w:rsidRPr="00666914">
              <w:rPr>
                <w:color w:val="000000"/>
                <w:sz w:val="20"/>
                <w:szCs w:val="20"/>
              </w:rPr>
              <w:t>18</w:t>
            </w:r>
          </w:p>
        </w:tc>
        <w:tc>
          <w:tcPr>
            <w:tcW w:w="1972" w:type="dxa"/>
            <w:shd w:val="clear" w:color="auto" w:fill="auto"/>
            <w:vAlign w:val="center"/>
          </w:tcPr>
          <w:p w14:paraId="68A503D4" w14:textId="22A9FCA7" w:rsidR="00CD0BF9" w:rsidRPr="00666914" w:rsidRDefault="00CD0BF9" w:rsidP="00CD0BF9">
            <w:pPr>
              <w:spacing w:after="0"/>
              <w:jc w:val="left"/>
              <w:rPr>
                <w:color w:val="000000"/>
                <w:sz w:val="20"/>
                <w:szCs w:val="20"/>
              </w:rPr>
            </w:pPr>
            <w:r w:rsidRPr="00666914">
              <w:rPr>
                <w:color w:val="000000"/>
                <w:sz w:val="20"/>
                <w:szCs w:val="20"/>
              </w:rPr>
              <w:t>Všetky budúce IT projekty nad 10 mil. eur podrobiť analýze nákladov a prínosov</w:t>
            </w:r>
          </w:p>
        </w:tc>
        <w:tc>
          <w:tcPr>
            <w:tcW w:w="1412" w:type="dxa"/>
            <w:shd w:val="clear" w:color="auto" w:fill="auto"/>
            <w:vAlign w:val="center"/>
          </w:tcPr>
          <w:p w14:paraId="1D90D6AD" w14:textId="6E4E628A" w:rsidR="00CD0BF9" w:rsidRPr="00666914" w:rsidRDefault="00CD0BF9" w:rsidP="00CD0BF9">
            <w:pPr>
              <w:spacing w:after="0"/>
              <w:jc w:val="center"/>
              <w:rPr>
                <w:color w:val="000000"/>
                <w:sz w:val="20"/>
                <w:szCs w:val="20"/>
              </w:rPr>
            </w:pPr>
            <w:r w:rsidRPr="00666914">
              <w:rPr>
                <w:color w:val="000000"/>
                <w:sz w:val="20"/>
                <w:szCs w:val="20"/>
              </w:rPr>
              <w:t xml:space="preserve">MF SR, ÚPVII </w:t>
            </w:r>
          </w:p>
        </w:tc>
        <w:tc>
          <w:tcPr>
            <w:tcW w:w="1130" w:type="dxa"/>
            <w:shd w:val="clear" w:color="auto" w:fill="auto"/>
            <w:vAlign w:val="center"/>
          </w:tcPr>
          <w:p w14:paraId="58886B96" w14:textId="50273A19" w:rsidR="00CD0BF9" w:rsidRPr="00666914" w:rsidRDefault="00CD0BF9" w:rsidP="00CD0BF9">
            <w:pPr>
              <w:spacing w:after="0"/>
              <w:jc w:val="center"/>
              <w:rPr>
                <w:color w:val="000000"/>
                <w:sz w:val="20"/>
                <w:szCs w:val="20"/>
              </w:rPr>
            </w:pPr>
            <w:r w:rsidRPr="00666914">
              <w:rPr>
                <w:color w:val="000000"/>
                <w:sz w:val="20"/>
                <w:szCs w:val="20"/>
              </w:rPr>
              <w:t>priebežne</w:t>
            </w:r>
          </w:p>
        </w:tc>
        <w:tc>
          <w:tcPr>
            <w:tcW w:w="1272" w:type="dxa"/>
            <w:shd w:val="clear" w:color="auto" w:fill="auto"/>
            <w:vAlign w:val="center"/>
          </w:tcPr>
          <w:p w14:paraId="049430F0" w14:textId="0BECB590" w:rsidR="00CD0BF9" w:rsidRPr="00666914" w:rsidRDefault="00CD0BF9" w:rsidP="00CD0BF9">
            <w:pPr>
              <w:spacing w:after="0"/>
              <w:jc w:val="center"/>
              <w:rPr>
                <w:color w:val="000000"/>
                <w:sz w:val="20"/>
                <w:szCs w:val="20"/>
              </w:rPr>
            </w:pPr>
            <w:r w:rsidRPr="00666914">
              <w:rPr>
                <w:color w:val="000000"/>
                <w:sz w:val="20"/>
                <w:szCs w:val="20"/>
              </w:rPr>
              <w:t>priebežne</w:t>
            </w:r>
          </w:p>
        </w:tc>
        <w:tc>
          <w:tcPr>
            <w:tcW w:w="708" w:type="dxa"/>
            <w:shd w:val="clear" w:color="auto" w:fill="92D050"/>
            <w:vAlign w:val="bottom"/>
          </w:tcPr>
          <w:p w14:paraId="442619B0" w14:textId="12FE1F0C" w:rsidR="00CD0BF9" w:rsidRPr="00666914" w:rsidRDefault="00CD0BF9" w:rsidP="00CD0BF9">
            <w:pPr>
              <w:spacing w:after="0"/>
              <w:rPr>
                <w:color w:val="000000"/>
                <w:sz w:val="20"/>
                <w:szCs w:val="20"/>
              </w:rPr>
            </w:pPr>
            <w:r w:rsidRPr="00666914">
              <w:rPr>
                <w:color w:val="000000"/>
                <w:sz w:val="20"/>
                <w:szCs w:val="20"/>
              </w:rPr>
              <w:t> </w:t>
            </w:r>
          </w:p>
        </w:tc>
        <w:tc>
          <w:tcPr>
            <w:tcW w:w="709" w:type="dxa"/>
            <w:shd w:val="clear" w:color="auto" w:fill="92D050"/>
            <w:vAlign w:val="bottom"/>
          </w:tcPr>
          <w:p w14:paraId="04B45F1D" w14:textId="39F9B8A5" w:rsidR="00CD0BF9" w:rsidRPr="00666914" w:rsidRDefault="00CD0BF9" w:rsidP="00CD0BF9">
            <w:pPr>
              <w:spacing w:after="0"/>
              <w:rPr>
                <w:color w:val="000000"/>
                <w:sz w:val="20"/>
                <w:szCs w:val="20"/>
              </w:rPr>
            </w:pPr>
            <w:r w:rsidRPr="00666914">
              <w:rPr>
                <w:color w:val="000000"/>
                <w:sz w:val="20"/>
                <w:szCs w:val="20"/>
              </w:rPr>
              <w:t> </w:t>
            </w:r>
          </w:p>
        </w:tc>
        <w:tc>
          <w:tcPr>
            <w:tcW w:w="711" w:type="dxa"/>
            <w:shd w:val="clear" w:color="auto" w:fill="92D050"/>
            <w:vAlign w:val="bottom"/>
          </w:tcPr>
          <w:p w14:paraId="16B19DC6" w14:textId="3C2D6F01" w:rsidR="00CD0BF9" w:rsidRPr="00666914" w:rsidRDefault="00CD0BF9" w:rsidP="00CD0BF9">
            <w:pPr>
              <w:spacing w:after="0"/>
              <w:rPr>
                <w:color w:val="000000"/>
                <w:sz w:val="20"/>
                <w:szCs w:val="20"/>
              </w:rPr>
            </w:pPr>
            <w:r w:rsidRPr="00666914">
              <w:rPr>
                <w:color w:val="000000"/>
                <w:sz w:val="20"/>
                <w:szCs w:val="20"/>
              </w:rPr>
              <w:t> </w:t>
            </w:r>
          </w:p>
        </w:tc>
        <w:tc>
          <w:tcPr>
            <w:tcW w:w="719" w:type="dxa"/>
            <w:shd w:val="clear" w:color="auto" w:fill="92D050"/>
            <w:vAlign w:val="bottom"/>
          </w:tcPr>
          <w:p w14:paraId="36FE7E49" w14:textId="360843C5" w:rsidR="00CD0BF9" w:rsidRPr="00666914" w:rsidRDefault="00CD0BF9" w:rsidP="00CD0BF9">
            <w:pPr>
              <w:spacing w:after="0"/>
              <w:jc w:val="center"/>
              <w:rPr>
                <w:color w:val="000000"/>
                <w:sz w:val="20"/>
                <w:szCs w:val="20"/>
              </w:rPr>
            </w:pPr>
            <w:r w:rsidRPr="00666914">
              <w:rPr>
                <w:color w:val="000000"/>
                <w:sz w:val="20"/>
                <w:szCs w:val="20"/>
              </w:rPr>
              <w:t> </w:t>
            </w:r>
          </w:p>
        </w:tc>
      </w:tr>
      <w:tr w:rsidR="00CD0BF9" w:rsidRPr="00666914" w14:paraId="4E5E8CFC" w14:textId="77777777" w:rsidTr="003E2457">
        <w:trPr>
          <w:trHeight w:val="1003"/>
        </w:trPr>
        <w:tc>
          <w:tcPr>
            <w:tcW w:w="427" w:type="dxa"/>
            <w:shd w:val="clear" w:color="auto" w:fill="auto"/>
            <w:vAlign w:val="center"/>
          </w:tcPr>
          <w:p w14:paraId="50FD0A76" w14:textId="761C9E33" w:rsidR="00CD0BF9" w:rsidRPr="00666914" w:rsidRDefault="00CD0BF9" w:rsidP="00CD0BF9">
            <w:pPr>
              <w:spacing w:after="0"/>
              <w:jc w:val="left"/>
              <w:rPr>
                <w:color w:val="000000"/>
                <w:sz w:val="20"/>
                <w:szCs w:val="20"/>
              </w:rPr>
            </w:pPr>
            <w:r w:rsidRPr="00666914">
              <w:rPr>
                <w:color w:val="000000"/>
                <w:sz w:val="20"/>
                <w:szCs w:val="20"/>
              </w:rPr>
              <w:t>19</w:t>
            </w:r>
          </w:p>
        </w:tc>
        <w:tc>
          <w:tcPr>
            <w:tcW w:w="1972" w:type="dxa"/>
            <w:shd w:val="clear" w:color="auto" w:fill="auto"/>
            <w:vAlign w:val="center"/>
          </w:tcPr>
          <w:p w14:paraId="16873413" w14:textId="42EE0F3A" w:rsidR="00CD0BF9" w:rsidRPr="00666914" w:rsidRDefault="00CD0BF9" w:rsidP="00CD0BF9">
            <w:pPr>
              <w:spacing w:after="0"/>
              <w:jc w:val="left"/>
              <w:rPr>
                <w:color w:val="000000"/>
                <w:sz w:val="20"/>
                <w:szCs w:val="20"/>
              </w:rPr>
            </w:pPr>
            <w:r w:rsidRPr="00666914">
              <w:rPr>
                <w:color w:val="000000"/>
                <w:sz w:val="20"/>
                <w:szCs w:val="20"/>
              </w:rPr>
              <w:t>Pripraviť analýzu služieb pre prioritne elektronickú komunikáciu</w:t>
            </w:r>
          </w:p>
        </w:tc>
        <w:tc>
          <w:tcPr>
            <w:tcW w:w="1412" w:type="dxa"/>
            <w:shd w:val="clear" w:color="auto" w:fill="auto"/>
            <w:vAlign w:val="center"/>
          </w:tcPr>
          <w:p w14:paraId="5BE58342" w14:textId="41CAF1EC" w:rsidR="00CD0BF9" w:rsidRPr="00666914" w:rsidRDefault="00CD0BF9" w:rsidP="00CD0BF9">
            <w:pPr>
              <w:spacing w:after="0"/>
              <w:jc w:val="center"/>
              <w:rPr>
                <w:color w:val="000000"/>
                <w:sz w:val="20"/>
                <w:szCs w:val="20"/>
              </w:rPr>
            </w:pPr>
            <w:r w:rsidRPr="00666914">
              <w:rPr>
                <w:color w:val="000000"/>
                <w:sz w:val="20"/>
                <w:szCs w:val="20"/>
              </w:rPr>
              <w:t xml:space="preserve">ÚPVII </w:t>
            </w:r>
          </w:p>
        </w:tc>
        <w:tc>
          <w:tcPr>
            <w:tcW w:w="1130" w:type="dxa"/>
            <w:shd w:val="clear" w:color="auto" w:fill="auto"/>
            <w:vAlign w:val="center"/>
          </w:tcPr>
          <w:p w14:paraId="0EE96A53" w14:textId="21AFBA03" w:rsidR="00CD0BF9" w:rsidRPr="00666914" w:rsidRDefault="00CD0BF9" w:rsidP="00CD0BF9">
            <w:pPr>
              <w:spacing w:after="0"/>
              <w:jc w:val="center"/>
              <w:rPr>
                <w:color w:val="000000"/>
                <w:sz w:val="20"/>
                <w:szCs w:val="20"/>
              </w:rPr>
            </w:pPr>
            <w:r w:rsidRPr="00666914">
              <w:rPr>
                <w:color w:val="000000"/>
                <w:sz w:val="20"/>
                <w:szCs w:val="20"/>
              </w:rPr>
              <w:t>30.6.2017</w:t>
            </w:r>
          </w:p>
        </w:tc>
        <w:tc>
          <w:tcPr>
            <w:tcW w:w="1272" w:type="dxa"/>
            <w:shd w:val="clear" w:color="auto" w:fill="auto"/>
            <w:vAlign w:val="center"/>
          </w:tcPr>
          <w:p w14:paraId="2BA0A27C" w14:textId="6D7FBF4F" w:rsidR="00CD0BF9" w:rsidRPr="00666914" w:rsidRDefault="00CD0BF9" w:rsidP="00CD0BF9">
            <w:pPr>
              <w:spacing w:after="0"/>
              <w:jc w:val="center"/>
              <w:rPr>
                <w:color w:val="000000"/>
                <w:sz w:val="20"/>
                <w:szCs w:val="20"/>
              </w:rPr>
            </w:pPr>
            <w:r w:rsidRPr="00666914">
              <w:rPr>
                <w:color w:val="000000"/>
                <w:sz w:val="20"/>
                <w:szCs w:val="20"/>
              </w:rPr>
              <w:t>30.6.2019</w:t>
            </w:r>
          </w:p>
        </w:tc>
        <w:tc>
          <w:tcPr>
            <w:tcW w:w="708" w:type="dxa"/>
            <w:shd w:val="clear" w:color="auto" w:fill="FF0000"/>
            <w:vAlign w:val="bottom"/>
          </w:tcPr>
          <w:p w14:paraId="4C862897" w14:textId="58DB18B5" w:rsidR="00CD0BF9" w:rsidRPr="00666914" w:rsidRDefault="00CD0BF9" w:rsidP="00CD0BF9">
            <w:pPr>
              <w:spacing w:after="0"/>
              <w:rPr>
                <w:color w:val="000000"/>
                <w:sz w:val="20"/>
                <w:szCs w:val="20"/>
              </w:rPr>
            </w:pPr>
            <w:r w:rsidRPr="00666914">
              <w:rPr>
                <w:color w:val="000000"/>
                <w:sz w:val="20"/>
                <w:szCs w:val="20"/>
              </w:rPr>
              <w:t> </w:t>
            </w:r>
          </w:p>
        </w:tc>
        <w:tc>
          <w:tcPr>
            <w:tcW w:w="709" w:type="dxa"/>
            <w:shd w:val="clear" w:color="auto" w:fill="FF0000"/>
            <w:vAlign w:val="bottom"/>
          </w:tcPr>
          <w:p w14:paraId="51D015E0" w14:textId="684FBDE1" w:rsidR="00CD0BF9" w:rsidRPr="00666914" w:rsidRDefault="00CD0BF9" w:rsidP="00CD0BF9">
            <w:pPr>
              <w:spacing w:after="0"/>
              <w:rPr>
                <w:color w:val="000000"/>
                <w:sz w:val="20"/>
                <w:szCs w:val="20"/>
              </w:rPr>
            </w:pPr>
            <w:r w:rsidRPr="00666914">
              <w:rPr>
                <w:color w:val="000000"/>
                <w:sz w:val="20"/>
                <w:szCs w:val="20"/>
              </w:rPr>
              <w:t> </w:t>
            </w:r>
          </w:p>
        </w:tc>
        <w:tc>
          <w:tcPr>
            <w:tcW w:w="711" w:type="dxa"/>
            <w:shd w:val="clear" w:color="auto" w:fill="FF0000"/>
            <w:vAlign w:val="bottom"/>
          </w:tcPr>
          <w:p w14:paraId="36E4173B" w14:textId="563450AE" w:rsidR="00CD0BF9" w:rsidRPr="00666914" w:rsidRDefault="00CD0BF9" w:rsidP="00CD0BF9">
            <w:pPr>
              <w:spacing w:after="0"/>
              <w:rPr>
                <w:color w:val="000000"/>
                <w:sz w:val="20"/>
                <w:szCs w:val="20"/>
              </w:rPr>
            </w:pPr>
            <w:r w:rsidRPr="00666914">
              <w:rPr>
                <w:color w:val="000000"/>
                <w:sz w:val="20"/>
                <w:szCs w:val="20"/>
              </w:rPr>
              <w:t> </w:t>
            </w:r>
          </w:p>
        </w:tc>
        <w:tc>
          <w:tcPr>
            <w:tcW w:w="719" w:type="dxa"/>
            <w:shd w:val="clear" w:color="auto" w:fill="FF0000"/>
            <w:vAlign w:val="bottom"/>
          </w:tcPr>
          <w:p w14:paraId="675BF8A4" w14:textId="30080B4A" w:rsidR="00CD0BF9" w:rsidRPr="00666914" w:rsidRDefault="00CD0BF9" w:rsidP="00CD0BF9">
            <w:pPr>
              <w:spacing w:after="0"/>
              <w:jc w:val="center"/>
              <w:rPr>
                <w:color w:val="000000"/>
                <w:sz w:val="20"/>
                <w:szCs w:val="20"/>
              </w:rPr>
            </w:pPr>
            <w:r w:rsidRPr="00666914">
              <w:rPr>
                <w:color w:val="000000"/>
                <w:sz w:val="20"/>
                <w:szCs w:val="20"/>
              </w:rPr>
              <w:t> </w:t>
            </w:r>
          </w:p>
        </w:tc>
      </w:tr>
      <w:tr w:rsidR="00CD0BF9" w:rsidRPr="00666914" w14:paraId="3FAAE556" w14:textId="77777777" w:rsidTr="003E2457">
        <w:trPr>
          <w:trHeight w:val="1003"/>
        </w:trPr>
        <w:tc>
          <w:tcPr>
            <w:tcW w:w="427" w:type="dxa"/>
            <w:tcBorders>
              <w:bottom w:val="single" w:sz="4" w:space="0" w:color="auto"/>
            </w:tcBorders>
            <w:shd w:val="clear" w:color="auto" w:fill="auto"/>
            <w:vAlign w:val="center"/>
          </w:tcPr>
          <w:p w14:paraId="387A494E" w14:textId="3FA5D4D3" w:rsidR="00CD0BF9" w:rsidRPr="00666914" w:rsidRDefault="00CD0BF9" w:rsidP="00CD0BF9">
            <w:pPr>
              <w:spacing w:after="0"/>
              <w:jc w:val="left"/>
              <w:rPr>
                <w:color w:val="000000"/>
                <w:sz w:val="20"/>
                <w:szCs w:val="20"/>
              </w:rPr>
            </w:pPr>
            <w:r w:rsidRPr="00666914">
              <w:rPr>
                <w:color w:val="000000"/>
                <w:sz w:val="20"/>
                <w:szCs w:val="20"/>
              </w:rPr>
              <w:t>20</w:t>
            </w:r>
          </w:p>
        </w:tc>
        <w:tc>
          <w:tcPr>
            <w:tcW w:w="1972" w:type="dxa"/>
            <w:tcBorders>
              <w:bottom w:val="single" w:sz="4" w:space="0" w:color="auto"/>
            </w:tcBorders>
            <w:shd w:val="clear" w:color="auto" w:fill="auto"/>
            <w:vAlign w:val="center"/>
          </w:tcPr>
          <w:p w14:paraId="465B183E" w14:textId="57E26C4E" w:rsidR="00CD0BF9" w:rsidRPr="00666914" w:rsidRDefault="00CD0BF9" w:rsidP="00CD0BF9">
            <w:pPr>
              <w:spacing w:after="0"/>
              <w:jc w:val="left"/>
              <w:rPr>
                <w:color w:val="000000"/>
                <w:sz w:val="20"/>
                <w:szCs w:val="20"/>
              </w:rPr>
            </w:pPr>
            <w:r w:rsidRPr="00666914">
              <w:rPr>
                <w:color w:val="000000"/>
                <w:sz w:val="20"/>
                <w:szCs w:val="20"/>
              </w:rPr>
              <w:t>Vypracovať analýzu využívania a zabezpečenia softvérových licencií (Microsoft, Oracle, SAP)</w:t>
            </w:r>
          </w:p>
        </w:tc>
        <w:tc>
          <w:tcPr>
            <w:tcW w:w="1412" w:type="dxa"/>
            <w:tcBorders>
              <w:bottom w:val="single" w:sz="4" w:space="0" w:color="auto"/>
            </w:tcBorders>
            <w:shd w:val="clear" w:color="auto" w:fill="auto"/>
            <w:vAlign w:val="center"/>
          </w:tcPr>
          <w:p w14:paraId="2FBDD35F" w14:textId="2461DB62" w:rsidR="00CD0BF9" w:rsidRPr="00666914" w:rsidRDefault="00CD0BF9" w:rsidP="00CD0BF9">
            <w:pPr>
              <w:spacing w:after="0"/>
              <w:jc w:val="center"/>
              <w:rPr>
                <w:color w:val="000000"/>
                <w:sz w:val="20"/>
                <w:szCs w:val="20"/>
              </w:rPr>
            </w:pPr>
            <w:r w:rsidRPr="00666914">
              <w:rPr>
                <w:color w:val="000000"/>
                <w:sz w:val="20"/>
                <w:szCs w:val="20"/>
              </w:rPr>
              <w:t xml:space="preserve">ÚPVII </w:t>
            </w:r>
          </w:p>
        </w:tc>
        <w:tc>
          <w:tcPr>
            <w:tcW w:w="1130" w:type="dxa"/>
            <w:tcBorders>
              <w:bottom w:val="single" w:sz="4" w:space="0" w:color="auto"/>
            </w:tcBorders>
            <w:shd w:val="clear" w:color="auto" w:fill="auto"/>
            <w:vAlign w:val="center"/>
          </w:tcPr>
          <w:p w14:paraId="2062BCFA" w14:textId="5929F96B" w:rsidR="00CD0BF9" w:rsidRPr="00666914" w:rsidRDefault="00CD0BF9" w:rsidP="00CD0BF9">
            <w:pPr>
              <w:spacing w:after="0"/>
              <w:jc w:val="center"/>
              <w:rPr>
                <w:color w:val="000000"/>
                <w:sz w:val="20"/>
                <w:szCs w:val="20"/>
              </w:rPr>
            </w:pPr>
            <w:r w:rsidRPr="00666914">
              <w:rPr>
                <w:color w:val="000000"/>
                <w:sz w:val="20"/>
                <w:szCs w:val="20"/>
              </w:rPr>
              <w:t>31.12.2017</w:t>
            </w:r>
          </w:p>
        </w:tc>
        <w:tc>
          <w:tcPr>
            <w:tcW w:w="1272" w:type="dxa"/>
            <w:tcBorders>
              <w:bottom w:val="single" w:sz="4" w:space="0" w:color="auto"/>
            </w:tcBorders>
            <w:shd w:val="clear" w:color="auto" w:fill="auto"/>
            <w:vAlign w:val="center"/>
          </w:tcPr>
          <w:p w14:paraId="06F89805" w14:textId="3A526E44" w:rsidR="00CD0BF9" w:rsidRPr="00666914" w:rsidRDefault="00CD0BF9" w:rsidP="00CD0BF9">
            <w:pPr>
              <w:spacing w:after="0"/>
              <w:jc w:val="center"/>
              <w:rPr>
                <w:color w:val="000000"/>
                <w:sz w:val="20"/>
                <w:szCs w:val="20"/>
              </w:rPr>
            </w:pPr>
            <w:r w:rsidRPr="00666914">
              <w:rPr>
                <w:color w:val="000000"/>
                <w:sz w:val="20"/>
                <w:szCs w:val="20"/>
              </w:rPr>
              <w:t>30.6.2019</w:t>
            </w:r>
          </w:p>
        </w:tc>
        <w:tc>
          <w:tcPr>
            <w:tcW w:w="708" w:type="dxa"/>
            <w:tcBorders>
              <w:bottom w:val="single" w:sz="4" w:space="0" w:color="auto"/>
            </w:tcBorders>
            <w:shd w:val="clear" w:color="auto" w:fill="FF0000"/>
            <w:vAlign w:val="bottom"/>
          </w:tcPr>
          <w:p w14:paraId="09EC9917" w14:textId="075CEBDE" w:rsidR="00CD0BF9" w:rsidRPr="00666914" w:rsidRDefault="00CD0BF9" w:rsidP="00CD0BF9">
            <w:pPr>
              <w:spacing w:after="0"/>
              <w:rPr>
                <w:color w:val="000000"/>
                <w:sz w:val="20"/>
                <w:szCs w:val="20"/>
              </w:rPr>
            </w:pPr>
            <w:r w:rsidRPr="00666914">
              <w:rPr>
                <w:color w:val="000000"/>
                <w:sz w:val="20"/>
                <w:szCs w:val="20"/>
              </w:rPr>
              <w:t> </w:t>
            </w:r>
          </w:p>
        </w:tc>
        <w:tc>
          <w:tcPr>
            <w:tcW w:w="709" w:type="dxa"/>
            <w:tcBorders>
              <w:bottom w:val="single" w:sz="4" w:space="0" w:color="auto"/>
            </w:tcBorders>
            <w:shd w:val="clear" w:color="auto" w:fill="FF0000"/>
            <w:vAlign w:val="bottom"/>
          </w:tcPr>
          <w:p w14:paraId="54B9AD58" w14:textId="12D149DD" w:rsidR="00CD0BF9" w:rsidRPr="00666914" w:rsidRDefault="00CD0BF9" w:rsidP="00CD0BF9">
            <w:pPr>
              <w:spacing w:after="0"/>
              <w:rPr>
                <w:color w:val="000000"/>
                <w:sz w:val="20"/>
                <w:szCs w:val="20"/>
              </w:rPr>
            </w:pPr>
            <w:r w:rsidRPr="00666914">
              <w:rPr>
                <w:color w:val="FF0000"/>
                <w:sz w:val="20"/>
                <w:szCs w:val="20"/>
              </w:rPr>
              <w:t> </w:t>
            </w:r>
          </w:p>
        </w:tc>
        <w:tc>
          <w:tcPr>
            <w:tcW w:w="711" w:type="dxa"/>
            <w:tcBorders>
              <w:bottom w:val="single" w:sz="4" w:space="0" w:color="auto"/>
            </w:tcBorders>
            <w:shd w:val="clear" w:color="auto" w:fill="FFC000"/>
            <w:vAlign w:val="bottom"/>
          </w:tcPr>
          <w:p w14:paraId="723BE654" w14:textId="020B6F31" w:rsidR="00CD0BF9" w:rsidRPr="00666914" w:rsidRDefault="00CD0BF9" w:rsidP="00CD0BF9">
            <w:pPr>
              <w:spacing w:after="0"/>
              <w:rPr>
                <w:color w:val="000000"/>
                <w:sz w:val="20"/>
                <w:szCs w:val="20"/>
              </w:rPr>
            </w:pPr>
            <w:r w:rsidRPr="00666914">
              <w:rPr>
                <w:color w:val="FF0000"/>
                <w:sz w:val="20"/>
                <w:szCs w:val="20"/>
              </w:rPr>
              <w:t> </w:t>
            </w:r>
          </w:p>
        </w:tc>
        <w:tc>
          <w:tcPr>
            <w:tcW w:w="719" w:type="dxa"/>
            <w:tcBorders>
              <w:bottom w:val="single" w:sz="4" w:space="0" w:color="auto"/>
            </w:tcBorders>
            <w:shd w:val="clear" w:color="auto" w:fill="FFC000"/>
            <w:vAlign w:val="bottom"/>
          </w:tcPr>
          <w:p w14:paraId="7F000ACA" w14:textId="0BB55E5B" w:rsidR="00CD0BF9" w:rsidRPr="00666914" w:rsidRDefault="00CD0BF9" w:rsidP="00CD0BF9">
            <w:pPr>
              <w:spacing w:after="0"/>
              <w:jc w:val="center"/>
              <w:rPr>
                <w:color w:val="000000"/>
                <w:sz w:val="20"/>
                <w:szCs w:val="20"/>
              </w:rPr>
            </w:pPr>
            <w:r w:rsidRPr="00666914">
              <w:rPr>
                <w:color w:val="FF0000"/>
                <w:sz w:val="20"/>
                <w:szCs w:val="20"/>
              </w:rPr>
              <w:t> </w:t>
            </w:r>
          </w:p>
        </w:tc>
      </w:tr>
    </w:tbl>
    <w:p w14:paraId="2FA642C2" w14:textId="4C7A5666" w:rsidR="00386F6D" w:rsidRPr="00666914" w:rsidRDefault="00386F6D"/>
    <w:p w14:paraId="5E29C42B" w14:textId="161D295D" w:rsidR="00386F6D" w:rsidRPr="00666914" w:rsidRDefault="00DA6BB0">
      <w:pPr>
        <w:pBdr>
          <w:top w:val="nil"/>
          <w:left w:val="nil"/>
          <w:bottom w:val="none" w:sz="0" w:space="0" w:color="000000"/>
          <w:right w:val="nil"/>
          <w:between w:val="nil"/>
        </w:pBdr>
        <w:spacing w:after="0"/>
        <w:jc w:val="left"/>
        <w:rPr>
          <w:b/>
          <w:color w:val="000000"/>
          <w:sz w:val="20"/>
          <w:szCs w:val="20"/>
        </w:rPr>
      </w:pPr>
      <w:bookmarkStart w:id="251" w:name="_heading=h.4d34og8" w:colFirst="0" w:colLast="0"/>
      <w:bookmarkStart w:id="252" w:name="_Toc38447707"/>
      <w:bookmarkEnd w:id="251"/>
      <w:r w:rsidRPr="00666914">
        <w:rPr>
          <w:b/>
          <w:color w:val="000000"/>
          <w:sz w:val="20"/>
          <w:szCs w:val="20"/>
        </w:rPr>
        <w:t xml:space="preserve">Tabuľka </w:t>
      </w:r>
      <w:r w:rsidRPr="00666914">
        <w:rPr>
          <w:b/>
          <w:sz w:val="20"/>
        </w:rPr>
        <w:fldChar w:fldCharType="begin"/>
      </w:r>
      <w:r w:rsidRPr="00666914">
        <w:rPr>
          <w:b/>
          <w:sz w:val="20"/>
        </w:rPr>
        <w:instrText xml:space="preserve"> SEQ Tabuľka \* ARABIC \* MERGEFORMAT </w:instrText>
      </w:r>
      <w:r w:rsidRPr="00666914">
        <w:rPr>
          <w:b/>
          <w:sz w:val="20"/>
        </w:rPr>
        <w:fldChar w:fldCharType="separate"/>
      </w:r>
      <w:r w:rsidR="005A7304">
        <w:rPr>
          <w:b/>
          <w:noProof/>
          <w:sz w:val="20"/>
        </w:rPr>
        <w:t>46</w:t>
      </w:r>
      <w:r w:rsidRPr="00666914">
        <w:rPr>
          <w:b/>
          <w:sz w:val="20"/>
        </w:rPr>
        <w:fldChar w:fldCharType="end"/>
      </w:r>
      <w:r w:rsidR="00386F6D" w:rsidRPr="00666914">
        <w:rPr>
          <w:b/>
          <w:color w:val="000000"/>
          <w:sz w:val="20"/>
          <w:szCs w:val="20"/>
        </w:rPr>
        <w:t>: Opatrenia Revízie výdavkov na informatizáciu splnené v roku 2018</w:t>
      </w:r>
      <w:bookmarkEnd w:id="252"/>
    </w:p>
    <w:tbl>
      <w:tblP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89"/>
        <w:gridCol w:w="1559"/>
        <w:gridCol w:w="1134"/>
        <w:gridCol w:w="850"/>
        <w:gridCol w:w="709"/>
        <w:gridCol w:w="709"/>
        <w:gridCol w:w="709"/>
        <w:gridCol w:w="698"/>
      </w:tblGrid>
      <w:tr w:rsidR="00386F6D" w:rsidRPr="00666914" w14:paraId="508C10EA" w14:textId="77777777" w:rsidTr="003E2457">
        <w:trPr>
          <w:trHeight w:val="424"/>
        </w:trPr>
        <w:tc>
          <w:tcPr>
            <w:tcW w:w="2689" w:type="dxa"/>
            <w:vAlign w:val="center"/>
          </w:tcPr>
          <w:p w14:paraId="035785E8" w14:textId="77777777" w:rsidR="00386F6D" w:rsidRPr="00666914" w:rsidRDefault="00386F6D">
            <w:pPr>
              <w:spacing w:after="0"/>
              <w:ind w:left="-396" w:firstLine="396"/>
              <w:jc w:val="center"/>
              <w:rPr>
                <w:b/>
                <w:color w:val="000000"/>
                <w:sz w:val="20"/>
                <w:szCs w:val="20"/>
              </w:rPr>
            </w:pPr>
          </w:p>
        </w:tc>
        <w:tc>
          <w:tcPr>
            <w:tcW w:w="1559" w:type="dxa"/>
            <w:vAlign w:val="center"/>
          </w:tcPr>
          <w:p w14:paraId="4FB8D86B" w14:textId="77777777" w:rsidR="00386F6D" w:rsidRPr="00666914" w:rsidRDefault="00386F6D">
            <w:pPr>
              <w:spacing w:after="0"/>
              <w:jc w:val="center"/>
              <w:rPr>
                <w:b/>
                <w:color w:val="000000"/>
                <w:sz w:val="20"/>
                <w:szCs w:val="20"/>
              </w:rPr>
            </w:pPr>
            <w:r w:rsidRPr="00666914">
              <w:rPr>
                <w:b/>
                <w:color w:val="000000"/>
                <w:sz w:val="20"/>
                <w:szCs w:val="20"/>
              </w:rPr>
              <w:t>Zodpovednosť</w:t>
            </w:r>
          </w:p>
        </w:tc>
        <w:tc>
          <w:tcPr>
            <w:tcW w:w="1134" w:type="dxa"/>
            <w:vAlign w:val="center"/>
          </w:tcPr>
          <w:p w14:paraId="01535120" w14:textId="77777777" w:rsidR="00386F6D" w:rsidRPr="00666914" w:rsidRDefault="00386F6D">
            <w:pPr>
              <w:spacing w:after="0"/>
              <w:jc w:val="center"/>
              <w:rPr>
                <w:b/>
                <w:color w:val="000000"/>
                <w:sz w:val="20"/>
                <w:szCs w:val="20"/>
              </w:rPr>
            </w:pPr>
            <w:r w:rsidRPr="00666914">
              <w:rPr>
                <w:b/>
                <w:color w:val="000000"/>
                <w:sz w:val="20"/>
                <w:szCs w:val="20"/>
              </w:rPr>
              <w:t>Termín</w:t>
            </w:r>
          </w:p>
        </w:tc>
        <w:tc>
          <w:tcPr>
            <w:tcW w:w="850" w:type="dxa"/>
            <w:vAlign w:val="center"/>
          </w:tcPr>
          <w:p w14:paraId="745BDA57" w14:textId="77777777" w:rsidR="00386F6D" w:rsidRPr="00666914" w:rsidRDefault="00386F6D">
            <w:pPr>
              <w:spacing w:after="0"/>
              <w:jc w:val="center"/>
              <w:rPr>
                <w:b/>
                <w:color w:val="000000"/>
                <w:sz w:val="20"/>
                <w:szCs w:val="20"/>
              </w:rPr>
            </w:pPr>
            <w:r w:rsidRPr="00666914">
              <w:rPr>
                <w:b/>
                <w:color w:val="000000"/>
                <w:sz w:val="20"/>
                <w:szCs w:val="20"/>
              </w:rPr>
              <w:t>Nový termín</w:t>
            </w:r>
          </w:p>
        </w:tc>
        <w:tc>
          <w:tcPr>
            <w:tcW w:w="709" w:type="dxa"/>
            <w:vAlign w:val="center"/>
          </w:tcPr>
          <w:p w14:paraId="02D431C6" w14:textId="77777777" w:rsidR="00386F6D" w:rsidRPr="00666914" w:rsidRDefault="00386F6D">
            <w:pPr>
              <w:spacing w:after="0"/>
              <w:jc w:val="center"/>
              <w:rPr>
                <w:b/>
                <w:color w:val="000000"/>
                <w:sz w:val="20"/>
                <w:szCs w:val="20"/>
              </w:rPr>
            </w:pPr>
            <w:r w:rsidRPr="00666914">
              <w:rPr>
                <w:b/>
                <w:color w:val="000000"/>
                <w:sz w:val="20"/>
                <w:szCs w:val="20"/>
              </w:rPr>
              <w:t xml:space="preserve">1Q </w:t>
            </w:r>
          </w:p>
          <w:p w14:paraId="218622D1" w14:textId="77777777" w:rsidR="00386F6D" w:rsidRPr="00666914" w:rsidRDefault="00386F6D">
            <w:pPr>
              <w:spacing w:after="0"/>
              <w:jc w:val="center"/>
              <w:rPr>
                <w:b/>
                <w:color w:val="000000"/>
                <w:sz w:val="20"/>
                <w:szCs w:val="20"/>
              </w:rPr>
            </w:pPr>
            <w:r w:rsidRPr="00666914">
              <w:rPr>
                <w:b/>
                <w:color w:val="000000"/>
                <w:sz w:val="20"/>
                <w:szCs w:val="20"/>
              </w:rPr>
              <w:t>2018</w:t>
            </w:r>
          </w:p>
        </w:tc>
        <w:tc>
          <w:tcPr>
            <w:tcW w:w="709" w:type="dxa"/>
            <w:vAlign w:val="center"/>
          </w:tcPr>
          <w:p w14:paraId="31F27403" w14:textId="77777777" w:rsidR="00386F6D" w:rsidRPr="00666914" w:rsidRDefault="00386F6D">
            <w:pPr>
              <w:spacing w:after="0"/>
              <w:jc w:val="center"/>
              <w:rPr>
                <w:b/>
                <w:color w:val="000000"/>
                <w:sz w:val="20"/>
                <w:szCs w:val="20"/>
              </w:rPr>
            </w:pPr>
            <w:r w:rsidRPr="00666914">
              <w:rPr>
                <w:b/>
                <w:color w:val="000000"/>
                <w:sz w:val="20"/>
                <w:szCs w:val="20"/>
              </w:rPr>
              <w:t xml:space="preserve">2Q </w:t>
            </w:r>
          </w:p>
          <w:p w14:paraId="3D595787" w14:textId="77777777" w:rsidR="00386F6D" w:rsidRPr="00666914" w:rsidRDefault="00386F6D">
            <w:pPr>
              <w:spacing w:after="0"/>
              <w:jc w:val="center"/>
              <w:rPr>
                <w:b/>
                <w:color w:val="000000"/>
                <w:sz w:val="20"/>
                <w:szCs w:val="20"/>
              </w:rPr>
            </w:pPr>
            <w:r w:rsidRPr="00666914">
              <w:rPr>
                <w:b/>
                <w:color w:val="000000"/>
                <w:sz w:val="20"/>
                <w:szCs w:val="20"/>
              </w:rPr>
              <w:t>2018</w:t>
            </w:r>
          </w:p>
        </w:tc>
        <w:tc>
          <w:tcPr>
            <w:tcW w:w="709" w:type="dxa"/>
            <w:vAlign w:val="center"/>
          </w:tcPr>
          <w:p w14:paraId="277FB7FA" w14:textId="77777777" w:rsidR="00386F6D" w:rsidRPr="00666914" w:rsidRDefault="00386F6D">
            <w:pPr>
              <w:spacing w:after="0"/>
              <w:jc w:val="center"/>
              <w:rPr>
                <w:b/>
                <w:color w:val="000000"/>
                <w:sz w:val="20"/>
                <w:szCs w:val="20"/>
              </w:rPr>
            </w:pPr>
            <w:r w:rsidRPr="00666914">
              <w:rPr>
                <w:b/>
                <w:color w:val="000000"/>
                <w:sz w:val="20"/>
                <w:szCs w:val="20"/>
              </w:rPr>
              <w:t xml:space="preserve">3Q </w:t>
            </w:r>
          </w:p>
          <w:p w14:paraId="69C1B4CE" w14:textId="77777777" w:rsidR="00386F6D" w:rsidRPr="00666914" w:rsidRDefault="00386F6D">
            <w:pPr>
              <w:spacing w:after="0"/>
              <w:jc w:val="center"/>
              <w:rPr>
                <w:b/>
                <w:color w:val="000000"/>
                <w:sz w:val="20"/>
                <w:szCs w:val="20"/>
              </w:rPr>
            </w:pPr>
            <w:r w:rsidRPr="00666914">
              <w:rPr>
                <w:b/>
                <w:color w:val="000000"/>
                <w:sz w:val="20"/>
                <w:szCs w:val="20"/>
              </w:rPr>
              <w:t>2018</w:t>
            </w:r>
          </w:p>
        </w:tc>
        <w:tc>
          <w:tcPr>
            <w:tcW w:w="698" w:type="dxa"/>
            <w:vAlign w:val="center"/>
          </w:tcPr>
          <w:p w14:paraId="47422B83" w14:textId="77777777" w:rsidR="00386F6D" w:rsidRPr="00666914" w:rsidRDefault="00386F6D">
            <w:pPr>
              <w:spacing w:after="0"/>
              <w:jc w:val="center"/>
              <w:rPr>
                <w:b/>
                <w:color w:val="000000"/>
                <w:sz w:val="20"/>
                <w:szCs w:val="20"/>
              </w:rPr>
            </w:pPr>
            <w:r w:rsidRPr="00666914">
              <w:rPr>
                <w:b/>
                <w:color w:val="000000"/>
                <w:sz w:val="20"/>
                <w:szCs w:val="20"/>
              </w:rPr>
              <w:t>4Q 2018</w:t>
            </w:r>
          </w:p>
        </w:tc>
      </w:tr>
      <w:tr w:rsidR="00CD0BF9" w:rsidRPr="00666914" w14:paraId="4407642C" w14:textId="77777777" w:rsidTr="003E2457">
        <w:trPr>
          <w:trHeight w:val="424"/>
        </w:trPr>
        <w:tc>
          <w:tcPr>
            <w:tcW w:w="2689" w:type="dxa"/>
          </w:tcPr>
          <w:p w14:paraId="2871B00F" w14:textId="77777777" w:rsidR="00386F6D" w:rsidRPr="00666914" w:rsidRDefault="00386F6D">
            <w:pPr>
              <w:spacing w:after="0"/>
              <w:jc w:val="left"/>
              <w:rPr>
                <w:color w:val="000000"/>
                <w:sz w:val="20"/>
                <w:szCs w:val="20"/>
              </w:rPr>
            </w:pPr>
            <w:r w:rsidRPr="00666914">
              <w:rPr>
                <w:color w:val="000000"/>
                <w:sz w:val="20"/>
                <w:szCs w:val="20"/>
              </w:rPr>
              <w:t xml:space="preserve">Zjednotiť pravidlá pre posudzovanie investícií zo štátneho rozpočtu a EÚ zdrojov </w:t>
            </w:r>
          </w:p>
        </w:tc>
        <w:tc>
          <w:tcPr>
            <w:tcW w:w="1559" w:type="dxa"/>
            <w:vAlign w:val="center"/>
          </w:tcPr>
          <w:p w14:paraId="2C7BFB21" w14:textId="77777777" w:rsidR="00386F6D" w:rsidRPr="00666914" w:rsidRDefault="00386F6D">
            <w:pPr>
              <w:spacing w:after="0"/>
              <w:jc w:val="center"/>
              <w:rPr>
                <w:color w:val="000000"/>
                <w:sz w:val="20"/>
                <w:szCs w:val="20"/>
              </w:rPr>
            </w:pPr>
            <w:r w:rsidRPr="00666914">
              <w:rPr>
                <w:color w:val="000000"/>
                <w:sz w:val="20"/>
                <w:szCs w:val="20"/>
              </w:rPr>
              <w:t>ÚPVII</w:t>
            </w:r>
          </w:p>
        </w:tc>
        <w:tc>
          <w:tcPr>
            <w:tcW w:w="1134" w:type="dxa"/>
            <w:vAlign w:val="center"/>
          </w:tcPr>
          <w:p w14:paraId="2B5DE600" w14:textId="77777777" w:rsidR="00386F6D" w:rsidRPr="00666914" w:rsidRDefault="00386F6D">
            <w:pPr>
              <w:spacing w:after="0"/>
              <w:ind w:right="51"/>
              <w:jc w:val="center"/>
              <w:rPr>
                <w:color w:val="000000"/>
                <w:sz w:val="20"/>
                <w:szCs w:val="20"/>
              </w:rPr>
            </w:pPr>
            <w:r w:rsidRPr="00666914">
              <w:rPr>
                <w:color w:val="000000"/>
                <w:sz w:val="20"/>
                <w:szCs w:val="20"/>
              </w:rPr>
              <w:t>30.3.2017</w:t>
            </w:r>
          </w:p>
        </w:tc>
        <w:tc>
          <w:tcPr>
            <w:tcW w:w="850" w:type="dxa"/>
            <w:vAlign w:val="bottom"/>
          </w:tcPr>
          <w:p w14:paraId="4C4D4CA4" w14:textId="77777777" w:rsidR="00386F6D" w:rsidRPr="00666914" w:rsidRDefault="00386F6D">
            <w:pPr>
              <w:spacing w:after="0"/>
              <w:jc w:val="center"/>
              <w:rPr>
                <w:color w:val="000000"/>
                <w:sz w:val="20"/>
                <w:szCs w:val="20"/>
              </w:rPr>
            </w:pPr>
            <w:r w:rsidRPr="00666914">
              <w:rPr>
                <w:color w:val="000000"/>
                <w:sz w:val="20"/>
                <w:szCs w:val="20"/>
              </w:rPr>
              <w:t>-</w:t>
            </w:r>
          </w:p>
          <w:p w14:paraId="4C8203B9" w14:textId="77777777" w:rsidR="00386F6D" w:rsidRPr="00666914" w:rsidRDefault="00386F6D">
            <w:pPr>
              <w:spacing w:after="0"/>
              <w:jc w:val="center"/>
              <w:rPr>
                <w:color w:val="000000"/>
                <w:sz w:val="20"/>
                <w:szCs w:val="20"/>
              </w:rPr>
            </w:pPr>
          </w:p>
        </w:tc>
        <w:tc>
          <w:tcPr>
            <w:tcW w:w="709" w:type="dxa"/>
            <w:shd w:val="clear" w:color="auto" w:fill="FFC000"/>
            <w:vAlign w:val="bottom"/>
          </w:tcPr>
          <w:p w14:paraId="32D5A95F" w14:textId="77777777" w:rsidR="00386F6D" w:rsidRPr="00666914" w:rsidRDefault="00386F6D">
            <w:pPr>
              <w:spacing w:after="0"/>
              <w:jc w:val="center"/>
              <w:rPr>
                <w:b/>
                <w:color w:val="000000"/>
                <w:sz w:val="20"/>
                <w:szCs w:val="20"/>
              </w:rPr>
            </w:pPr>
          </w:p>
        </w:tc>
        <w:tc>
          <w:tcPr>
            <w:tcW w:w="709" w:type="dxa"/>
            <w:shd w:val="clear" w:color="auto" w:fill="FFC000"/>
            <w:vAlign w:val="bottom"/>
          </w:tcPr>
          <w:p w14:paraId="49CF8132" w14:textId="77777777" w:rsidR="00386F6D" w:rsidRPr="00666914" w:rsidRDefault="00386F6D">
            <w:pPr>
              <w:spacing w:after="0"/>
              <w:jc w:val="center"/>
              <w:rPr>
                <w:b/>
                <w:color w:val="000000"/>
                <w:sz w:val="20"/>
                <w:szCs w:val="20"/>
              </w:rPr>
            </w:pPr>
          </w:p>
        </w:tc>
        <w:tc>
          <w:tcPr>
            <w:tcW w:w="709" w:type="dxa"/>
            <w:shd w:val="clear" w:color="auto" w:fill="92D050"/>
            <w:vAlign w:val="bottom"/>
          </w:tcPr>
          <w:p w14:paraId="389C3348" w14:textId="77777777" w:rsidR="00386F6D" w:rsidRPr="00666914" w:rsidRDefault="00386F6D">
            <w:pPr>
              <w:spacing w:after="0"/>
              <w:jc w:val="center"/>
              <w:rPr>
                <w:b/>
                <w:color w:val="000000"/>
                <w:sz w:val="20"/>
                <w:szCs w:val="20"/>
              </w:rPr>
            </w:pPr>
          </w:p>
        </w:tc>
        <w:tc>
          <w:tcPr>
            <w:tcW w:w="698" w:type="dxa"/>
            <w:shd w:val="clear" w:color="auto" w:fill="92D050"/>
            <w:vAlign w:val="bottom"/>
          </w:tcPr>
          <w:p w14:paraId="5B681C02" w14:textId="77777777" w:rsidR="00386F6D" w:rsidRPr="00666914" w:rsidRDefault="00386F6D">
            <w:pPr>
              <w:spacing w:after="0"/>
              <w:jc w:val="center"/>
              <w:rPr>
                <w:b/>
                <w:color w:val="000000"/>
                <w:sz w:val="20"/>
                <w:szCs w:val="20"/>
              </w:rPr>
            </w:pPr>
          </w:p>
        </w:tc>
      </w:tr>
    </w:tbl>
    <w:p w14:paraId="6A9AD7F4" w14:textId="77777777" w:rsidR="00386F6D" w:rsidRPr="00666914" w:rsidRDefault="00386F6D">
      <w:pPr>
        <w:pBdr>
          <w:top w:val="nil"/>
          <w:left w:val="nil"/>
          <w:bottom w:val="none" w:sz="0" w:space="0" w:color="000000"/>
          <w:right w:val="nil"/>
          <w:between w:val="nil"/>
        </w:pBdr>
        <w:spacing w:after="0"/>
        <w:jc w:val="left"/>
        <w:rPr>
          <w:b/>
          <w:color w:val="000000"/>
          <w:sz w:val="20"/>
          <w:szCs w:val="20"/>
        </w:rPr>
      </w:pPr>
    </w:p>
    <w:p w14:paraId="515BA207" w14:textId="3C538C48" w:rsidR="00386F6D" w:rsidRPr="00666914" w:rsidRDefault="00DA6BB0">
      <w:pPr>
        <w:pBdr>
          <w:top w:val="nil"/>
          <w:left w:val="nil"/>
          <w:bottom w:val="none" w:sz="0" w:space="0" w:color="000000"/>
          <w:right w:val="nil"/>
          <w:between w:val="nil"/>
        </w:pBdr>
        <w:spacing w:after="0"/>
        <w:jc w:val="left"/>
        <w:rPr>
          <w:b/>
          <w:color w:val="000000"/>
          <w:sz w:val="20"/>
          <w:szCs w:val="20"/>
        </w:rPr>
      </w:pPr>
      <w:bookmarkStart w:id="253" w:name="_Toc38447708"/>
      <w:r w:rsidRPr="00666914">
        <w:rPr>
          <w:b/>
          <w:color w:val="000000"/>
          <w:sz w:val="20"/>
          <w:szCs w:val="20"/>
        </w:rPr>
        <w:t xml:space="preserve">Tabuľka </w:t>
      </w:r>
      <w:r w:rsidRPr="00666914">
        <w:rPr>
          <w:b/>
          <w:sz w:val="20"/>
        </w:rPr>
        <w:fldChar w:fldCharType="begin"/>
      </w:r>
      <w:r w:rsidRPr="00666914">
        <w:rPr>
          <w:b/>
          <w:sz w:val="20"/>
        </w:rPr>
        <w:instrText xml:space="preserve"> SEQ Tabuľka \* ARABIC \* MERGEFORMAT </w:instrText>
      </w:r>
      <w:r w:rsidRPr="00666914">
        <w:rPr>
          <w:b/>
          <w:sz w:val="20"/>
        </w:rPr>
        <w:fldChar w:fldCharType="separate"/>
      </w:r>
      <w:r w:rsidR="005A7304">
        <w:rPr>
          <w:b/>
          <w:noProof/>
          <w:sz w:val="20"/>
        </w:rPr>
        <w:t>47</w:t>
      </w:r>
      <w:r w:rsidRPr="00666914">
        <w:rPr>
          <w:b/>
          <w:sz w:val="20"/>
        </w:rPr>
        <w:fldChar w:fldCharType="end"/>
      </w:r>
      <w:r w:rsidR="00386F6D" w:rsidRPr="00666914">
        <w:rPr>
          <w:b/>
          <w:color w:val="000000"/>
          <w:sz w:val="20"/>
          <w:szCs w:val="20"/>
        </w:rPr>
        <w:t>: Opatrenia Revízie výdavkov na informatizáciu splnené v roku 2017</w:t>
      </w:r>
      <w:bookmarkEnd w:id="253"/>
    </w:p>
    <w:tbl>
      <w:tblP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89"/>
        <w:gridCol w:w="1559"/>
        <w:gridCol w:w="1134"/>
        <w:gridCol w:w="850"/>
        <w:gridCol w:w="709"/>
        <w:gridCol w:w="709"/>
        <w:gridCol w:w="709"/>
        <w:gridCol w:w="698"/>
      </w:tblGrid>
      <w:tr w:rsidR="00386F6D" w:rsidRPr="00666914" w14:paraId="44D4823F" w14:textId="77777777" w:rsidTr="003E2457">
        <w:trPr>
          <w:trHeight w:val="424"/>
        </w:trPr>
        <w:tc>
          <w:tcPr>
            <w:tcW w:w="2689" w:type="dxa"/>
            <w:vAlign w:val="center"/>
          </w:tcPr>
          <w:p w14:paraId="4363C015" w14:textId="77777777" w:rsidR="00386F6D" w:rsidRPr="00666914" w:rsidRDefault="00386F6D" w:rsidP="00905BD2">
            <w:pPr>
              <w:spacing w:after="0"/>
              <w:ind w:left="-396" w:firstLine="396"/>
              <w:jc w:val="center"/>
              <w:rPr>
                <w:b/>
                <w:color w:val="000000"/>
                <w:sz w:val="20"/>
                <w:szCs w:val="20"/>
              </w:rPr>
            </w:pPr>
          </w:p>
        </w:tc>
        <w:tc>
          <w:tcPr>
            <w:tcW w:w="1559" w:type="dxa"/>
            <w:vAlign w:val="center"/>
          </w:tcPr>
          <w:p w14:paraId="64CCC1CA" w14:textId="77777777" w:rsidR="00386F6D" w:rsidRPr="00666914" w:rsidRDefault="00386F6D" w:rsidP="00905BD2">
            <w:pPr>
              <w:spacing w:after="0"/>
              <w:jc w:val="center"/>
              <w:rPr>
                <w:b/>
                <w:color w:val="000000"/>
                <w:sz w:val="20"/>
                <w:szCs w:val="20"/>
              </w:rPr>
            </w:pPr>
            <w:r w:rsidRPr="00666914">
              <w:rPr>
                <w:b/>
                <w:color w:val="000000"/>
                <w:sz w:val="20"/>
                <w:szCs w:val="20"/>
              </w:rPr>
              <w:t>Zodpovednosť</w:t>
            </w:r>
          </w:p>
        </w:tc>
        <w:tc>
          <w:tcPr>
            <w:tcW w:w="1134" w:type="dxa"/>
            <w:vAlign w:val="center"/>
          </w:tcPr>
          <w:p w14:paraId="1E334C42" w14:textId="77777777" w:rsidR="00386F6D" w:rsidRPr="00666914" w:rsidRDefault="00386F6D" w:rsidP="00905BD2">
            <w:pPr>
              <w:spacing w:after="0"/>
              <w:jc w:val="center"/>
              <w:rPr>
                <w:b/>
                <w:color w:val="000000"/>
                <w:sz w:val="20"/>
                <w:szCs w:val="20"/>
              </w:rPr>
            </w:pPr>
            <w:r w:rsidRPr="00666914">
              <w:rPr>
                <w:b/>
                <w:color w:val="000000"/>
                <w:sz w:val="20"/>
                <w:szCs w:val="20"/>
              </w:rPr>
              <w:t>Termín</w:t>
            </w:r>
          </w:p>
        </w:tc>
        <w:tc>
          <w:tcPr>
            <w:tcW w:w="850" w:type="dxa"/>
            <w:vAlign w:val="center"/>
          </w:tcPr>
          <w:p w14:paraId="31014CB4" w14:textId="77777777" w:rsidR="00386F6D" w:rsidRPr="00666914" w:rsidRDefault="00386F6D" w:rsidP="00905BD2">
            <w:pPr>
              <w:spacing w:after="0"/>
              <w:jc w:val="center"/>
              <w:rPr>
                <w:b/>
                <w:color w:val="000000"/>
                <w:sz w:val="20"/>
                <w:szCs w:val="20"/>
              </w:rPr>
            </w:pPr>
            <w:r w:rsidRPr="00666914">
              <w:rPr>
                <w:b/>
                <w:color w:val="000000"/>
                <w:sz w:val="20"/>
                <w:szCs w:val="20"/>
              </w:rPr>
              <w:t>Nový termín</w:t>
            </w:r>
          </w:p>
        </w:tc>
        <w:tc>
          <w:tcPr>
            <w:tcW w:w="709" w:type="dxa"/>
            <w:vAlign w:val="center"/>
          </w:tcPr>
          <w:p w14:paraId="19E86F3B" w14:textId="77777777" w:rsidR="00386F6D" w:rsidRPr="00666914" w:rsidRDefault="00386F6D" w:rsidP="00905BD2">
            <w:pPr>
              <w:spacing w:after="0"/>
              <w:jc w:val="center"/>
              <w:rPr>
                <w:b/>
                <w:color w:val="000000"/>
                <w:sz w:val="20"/>
                <w:szCs w:val="20"/>
              </w:rPr>
            </w:pPr>
            <w:r w:rsidRPr="00666914">
              <w:rPr>
                <w:b/>
                <w:color w:val="000000"/>
                <w:sz w:val="20"/>
                <w:szCs w:val="20"/>
              </w:rPr>
              <w:t xml:space="preserve">1Q </w:t>
            </w:r>
          </w:p>
          <w:p w14:paraId="04FFFC1C" w14:textId="77777777" w:rsidR="00386F6D" w:rsidRPr="00666914" w:rsidRDefault="00386F6D" w:rsidP="00905BD2">
            <w:pPr>
              <w:spacing w:after="0"/>
              <w:jc w:val="center"/>
              <w:rPr>
                <w:b/>
                <w:color w:val="000000"/>
                <w:sz w:val="20"/>
                <w:szCs w:val="20"/>
              </w:rPr>
            </w:pPr>
            <w:r w:rsidRPr="00666914">
              <w:rPr>
                <w:b/>
                <w:color w:val="000000"/>
                <w:sz w:val="20"/>
                <w:szCs w:val="20"/>
              </w:rPr>
              <w:t>2017</w:t>
            </w:r>
          </w:p>
        </w:tc>
        <w:tc>
          <w:tcPr>
            <w:tcW w:w="709" w:type="dxa"/>
            <w:vAlign w:val="center"/>
          </w:tcPr>
          <w:p w14:paraId="6B777132" w14:textId="77777777" w:rsidR="00386F6D" w:rsidRPr="00666914" w:rsidRDefault="00386F6D" w:rsidP="00905BD2">
            <w:pPr>
              <w:spacing w:after="0"/>
              <w:jc w:val="center"/>
              <w:rPr>
                <w:b/>
                <w:color w:val="000000"/>
                <w:sz w:val="20"/>
                <w:szCs w:val="20"/>
              </w:rPr>
            </w:pPr>
            <w:r w:rsidRPr="00666914">
              <w:rPr>
                <w:b/>
                <w:color w:val="000000"/>
                <w:sz w:val="20"/>
                <w:szCs w:val="20"/>
              </w:rPr>
              <w:t xml:space="preserve">2Q </w:t>
            </w:r>
          </w:p>
          <w:p w14:paraId="603E7FC0" w14:textId="77777777" w:rsidR="00386F6D" w:rsidRPr="00666914" w:rsidRDefault="00386F6D" w:rsidP="00905BD2">
            <w:pPr>
              <w:spacing w:after="0"/>
              <w:jc w:val="center"/>
              <w:rPr>
                <w:b/>
                <w:color w:val="000000"/>
                <w:sz w:val="20"/>
                <w:szCs w:val="20"/>
              </w:rPr>
            </w:pPr>
            <w:r w:rsidRPr="00666914">
              <w:rPr>
                <w:b/>
                <w:color w:val="000000"/>
                <w:sz w:val="20"/>
                <w:szCs w:val="20"/>
              </w:rPr>
              <w:t>2017</w:t>
            </w:r>
          </w:p>
        </w:tc>
        <w:tc>
          <w:tcPr>
            <w:tcW w:w="709" w:type="dxa"/>
            <w:vAlign w:val="center"/>
          </w:tcPr>
          <w:p w14:paraId="58B7DADD" w14:textId="77777777" w:rsidR="00386F6D" w:rsidRPr="00666914" w:rsidRDefault="00386F6D" w:rsidP="00905BD2">
            <w:pPr>
              <w:spacing w:after="0"/>
              <w:jc w:val="center"/>
              <w:rPr>
                <w:b/>
                <w:color w:val="000000"/>
                <w:sz w:val="20"/>
                <w:szCs w:val="20"/>
              </w:rPr>
            </w:pPr>
            <w:r w:rsidRPr="00666914">
              <w:rPr>
                <w:b/>
                <w:color w:val="000000"/>
                <w:sz w:val="20"/>
                <w:szCs w:val="20"/>
              </w:rPr>
              <w:t xml:space="preserve">3Q </w:t>
            </w:r>
          </w:p>
          <w:p w14:paraId="205442A1" w14:textId="77777777" w:rsidR="00386F6D" w:rsidRPr="00666914" w:rsidRDefault="00386F6D" w:rsidP="00905BD2">
            <w:pPr>
              <w:spacing w:after="0"/>
              <w:jc w:val="center"/>
              <w:rPr>
                <w:b/>
                <w:color w:val="000000"/>
                <w:sz w:val="20"/>
                <w:szCs w:val="20"/>
              </w:rPr>
            </w:pPr>
            <w:r w:rsidRPr="00666914">
              <w:rPr>
                <w:b/>
                <w:color w:val="000000"/>
                <w:sz w:val="20"/>
                <w:szCs w:val="20"/>
              </w:rPr>
              <w:t>2017</w:t>
            </w:r>
          </w:p>
        </w:tc>
        <w:tc>
          <w:tcPr>
            <w:tcW w:w="698" w:type="dxa"/>
            <w:vAlign w:val="center"/>
          </w:tcPr>
          <w:p w14:paraId="5B8CD502" w14:textId="77777777" w:rsidR="00386F6D" w:rsidRPr="00666914" w:rsidRDefault="00386F6D" w:rsidP="00905BD2">
            <w:pPr>
              <w:spacing w:after="0"/>
              <w:jc w:val="center"/>
              <w:rPr>
                <w:b/>
                <w:color w:val="000000"/>
                <w:sz w:val="20"/>
                <w:szCs w:val="20"/>
              </w:rPr>
            </w:pPr>
            <w:r w:rsidRPr="00666914">
              <w:rPr>
                <w:b/>
                <w:color w:val="000000"/>
                <w:sz w:val="20"/>
                <w:szCs w:val="20"/>
              </w:rPr>
              <w:t>4Q 2017</w:t>
            </w:r>
          </w:p>
        </w:tc>
      </w:tr>
      <w:tr w:rsidR="00CD0BF9" w:rsidRPr="00666914" w14:paraId="1A57D8F3" w14:textId="77777777" w:rsidTr="003E2457">
        <w:trPr>
          <w:trHeight w:val="424"/>
        </w:trPr>
        <w:tc>
          <w:tcPr>
            <w:tcW w:w="2689" w:type="dxa"/>
          </w:tcPr>
          <w:p w14:paraId="27958088" w14:textId="77777777" w:rsidR="00386F6D" w:rsidRPr="00666914" w:rsidRDefault="00386F6D" w:rsidP="00905BD2">
            <w:pPr>
              <w:spacing w:after="0"/>
              <w:jc w:val="left"/>
              <w:rPr>
                <w:color w:val="000000"/>
                <w:sz w:val="20"/>
                <w:szCs w:val="20"/>
              </w:rPr>
            </w:pPr>
            <w:r w:rsidRPr="00666914">
              <w:rPr>
                <w:color w:val="000000"/>
                <w:sz w:val="20"/>
                <w:szCs w:val="20"/>
              </w:rPr>
              <w:t>Analyzovať nezaradené IT výdavky v medzirezortnom programe</w:t>
            </w:r>
          </w:p>
        </w:tc>
        <w:tc>
          <w:tcPr>
            <w:tcW w:w="1559" w:type="dxa"/>
            <w:vAlign w:val="center"/>
          </w:tcPr>
          <w:p w14:paraId="2D70AC7C" w14:textId="77777777" w:rsidR="00386F6D" w:rsidRPr="00666914" w:rsidRDefault="00386F6D" w:rsidP="00905BD2">
            <w:pPr>
              <w:spacing w:after="0"/>
              <w:jc w:val="center"/>
              <w:rPr>
                <w:color w:val="000000"/>
                <w:sz w:val="20"/>
                <w:szCs w:val="20"/>
              </w:rPr>
            </w:pPr>
            <w:r w:rsidRPr="00666914">
              <w:rPr>
                <w:color w:val="000000"/>
                <w:sz w:val="20"/>
                <w:szCs w:val="20"/>
              </w:rPr>
              <w:t>ÚPVII</w:t>
            </w:r>
          </w:p>
        </w:tc>
        <w:tc>
          <w:tcPr>
            <w:tcW w:w="1134" w:type="dxa"/>
            <w:vAlign w:val="center"/>
          </w:tcPr>
          <w:p w14:paraId="5695EB09" w14:textId="77777777" w:rsidR="00386F6D" w:rsidRPr="00666914" w:rsidRDefault="00386F6D" w:rsidP="00905BD2">
            <w:pPr>
              <w:spacing w:after="0"/>
              <w:ind w:right="51"/>
              <w:jc w:val="center"/>
              <w:rPr>
                <w:color w:val="000000"/>
                <w:sz w:val="20"/>
                <w:szCs w:val="20"/>
              </w:rPr>
            </w:pPr>
            <w:r w:rsidRPr="00666914">
              <w:rPr>
                <w:color w:val="000000"/>
                <w:sz w:val="20"/>
                <w:szCs w:val="20"/>
              </w:rPr>
              <w:t>30.3.2017</w:t>
            </w:r>
          </w:p>
        </w:tc>
        <w:tc>
          <w:tcPr>
            <w:tcW w:w="850" w:type="dxa"/>
            <w:vAlign w:val="center"/>
          </w:tcPr>
          <w:p w14:paraId="506697E1" w14:textId="77777777" w:rsidR="00386F6D" w:rsidRPr="00666914" w:rsidRDefault="00386F6D" w:rsidP="00905BD2">
            <w:pPr>
              <w:spacing w:after="0"/>
              <w:jc w:val="center"/>
              <w:rPr>
                <w:color w:val="000000"/>
                <w:sz w:val="20"/>
                <w:szCs w:val="20"/>
              </w:rPr>
            </w:pPr>
            <w:r w:rsidRPr="00666914">
              <w:rPr>
                <w:color w:val="000000"/>
                <w:sz w:val="20"/>
                <w:szCs w:val="20"/>
              </w:rPr>
              <w:t>-</w:t>
            </w:r>
          </w:p>
          <w:p w14:paraId="0ADD63E4" w14:textId="77777777" w:rsidR="00386F6D" w:rsidRPr="00666914" w:rsidRDefault="00386F6D" w:rsidP="00905BD2">
            <w:pPr>
              <w:spacing w:after="0"/>
              <w:jc w:val="center"/>
              <w:rPr>
                <w:color w:val="000000"/>
                <w:sz w:val="20"/>
                <w:szCs w:val="20"/>
              </w:rPr>
            </w:pPr>
          </w:p>
        </w:tc>
        <w:tc>
          <w:tcPr>
            <w:tcW w:w="709" w:type="dxa"/>
            <w:shd w:val="clear" w:color="auto" w:fill="92D050"/>
            <w:vAlign w:val="center"/>
          </w:tcPr>
          <w:p w14:paraId="6A4DCA70" w14:textId="77777777" w:rsidR="00386F6D" w:rsidRPr="00666914" w:rsidRDefault="00386F6D" w:rsidP="00905BD2">
            <w:pPr>
              <w:spacing w:after="0"/>
              <w:jc w:val="center"/>
              <w:rPr>
                <w:b/>
                <w:color w:val="000000"/>
                <w:sz w:val="20"/>
                <w:szCs w:val="20"/>
              </w:rPr>
            </w:pPr>
          </w:p>
        </w:tc>
        <w:tc>
          <w:tcPr>
            <w:tcW w:w="709" w:type="dxa"/>
            <w:shd w:val="clear" w:color="auto" w:fill="92D050"/>
            <w:vAlign w:val="center"/>
          </w:tcPr>
          <w:p w14:paraId="455C15C3" w14:textId="77777777" w:rsidR="00386F6D" w:rsidRPr="00666914" w:rsidRDefault="00386F6D" w:rsidP="00905BD2">
            <w:pPr>
              <w:spacing w:after="0"/>
              <w:jc w:val="center"/>
              <w:rPr>
                <w:b/>
                <w:color w:val="000000"/>
                <w:sz w:val="20"/>
                <w:szCs w:val="20"/>
              </w:rPr>
            </w:pPr>
          </w:p>
        </w:tc>
        <w:tc>
          <w:tcPr>
            <w:tcW w:w="709" w:type="dxa"/>
            <w:shd w:val="clear" w:color="auto" w:fill="92D050"/>
            <w:vAlign w:val="center"/>
          </w:tcPr>
          <w:p w14:paraId="78BBA2F7" w14:textId="77777777" w:rsidR="00386F6D" w:rsidRPr="00666914" w:rsidRDefault="00386F6D" w:rsidP="00905BD2">
            <w:pPr>
              <w:spacing w:after="0"/>
              <w:jc w:val="center"/>
              <w:rPr>
                <w:b/>
                <w:color w:val="000000"/>
                <w:sz w:val="20"/>
                <w:szCs w:val="20"/>
              </w:rPr>
            </w:pPr>
          </w:p>
        </w:tc>
        <w:tc>
          <w:tcPr>
            <w:tcW w:w="698" w:type="dxa"/>
            <w:shd w:val="clear" w:color="auto" w:fill="92D050"/>
            <w:vAlign w:val="center"/>
          </w:tcPr>
          <w:p w14:paraId="5167E8B9" w14:textId="77777777" w:rsidR="00386F6D" w:rsidRPr="00666914" w:rsidRDefault="00386F6D" w:rsidP="00905BD2">
            <w:pPr>
              <w:spacing w:after="0"/>
              <w:jc w:val="center"/>
              <w:rPr>
                <w:b/>
                <w:color w:val="000000"/>
                <w:sz w:val="20"/>
                <w:szCs w:val="20"/>
              </w:rPr>
            </w:pPr>
          </w:p>
        </w:tc>
      </w:tr>
      <w:tr w:rsidR="00CD0BF9" w:rsidRPr="00666914" w14:paraId="278D0C3A" w14:textId="77777777" w:rsidTr="003E2457">
        <w:trPr>
          <w:trHeight w:val="424"/>
        </w:trPr>
        <w:tc>
          <w:tcPr>
            <w:tcW w:w="2689" w:type="dxa"/>
          </w:tcPr>
          <w:p w14:paraId="372AB0A7" w14:textId="77777777" w:rsidR="00386F6D" w:rsidRPr="00666914" w:rsidRDefault="00386F6D" w:rsidP="00905BD2">
            <w:pPr>
              <w:spacing w:after="0"/>
              <w:jc w:val="left"/>
              <w:rPr>
                <w:color w:val="000000"/>
                <w:sz w:val="20"/>
                <w:szCs w:val="20"/>
              </w:rPr>
            </w:pPr>
            <w:r w:rsidRPr="00666914">
              <w:rPr>
                <w:color w:val="000000"/>
                <w:sz w:val="20"/>
                <w:szCs w:val="20"/>
              </w:rPr>
              <w:t xml:space="preserve">Vypracovať analýzu štruktúry IT výdavkov štátnych inštitúcií </w:t>
            </w:r>
          </w:p>
        </w:tc>
        <w:tc>
          <w:tcPr>
            <w:tcW w:w="1559" w:type="dxa"/>
            <w:vAlign w:val="center"/>
          </w:tcPr>
          <w:p w14:paraId="7BC7D05B" w14:textId="77777777" w:rsidR="00386F6D" w:rsidRPr="00666914" w:rsidRDefault="00386F6D" w:rsidP="00905BD2">
            <w:pPr>
              <w:spacing w:after="0"/>
              <w:jc w:val="center"/>
              <w:rPr>
                <w:color w:val="000000"/>
                <w:sz w:val="20"/>
                <w:szCs w:val="20"/>
              </w:rPr>
            </w:pPr>
            <w:r w:rsidRPr="00666914">
              <w:rPr>
                <w:color w:val="000000"/>
                <w:sz w:val="20"/>
                <w:szCs w:val="20"/>
              </w:rPr>
              <w:t>ÚPVII</w:t>
            </w:r>
          </w:p>
        </w:tc>
        <w:tc>
          <w:tcPr>
            <w:tcW w:w="1134" w:type="dxa"/>
            <w:vAlign w:val="center"/>
          </w:tcPr>
          <w:p w14:paraId="3B911D28" w14:textId="77777777" w:rsidR="00386F6D" w:rsidRPr="00666914" w:rsidRDefault="00386F6D" w:rsidP="00905BD2">
            <w:pPr>
              <w:spacing w:after="0"/>
              <w:ind w:right="51"/>
              <w:jc w:val="center"/>
              <w:rPr>
                <w:color w:val="000000"/>
                <w:sz w:val="20"/>
                <w:szCs w:val="20"/>
              </w:rPr>
            </w:pPr>
            <w:r w:rsidRPr="00666914">
              <w:rPr>
                <w:color w:val="000000"/>
                <w:sz w:val="20"/>
                <w:szCs w:val="20"/>
              </w:rPr>
              <w:t>30.3.2017</w:t>
            </w:r>
          </w:p>
        </w:tc>
        <w:tc>
          <w:tcPr>
            <w:tcW w:w="850" w:type="dxa"/>
            <w:vAlign w:val="center"/>
          </w:tcPr>
          <w:p w14:paraId="4918692A" w14:textId="77777777" w:rsidR="00386F6D" w:rsidRPr="00666914" w:rsidRDefault="00386F6D" w:rsidP="00905BD2">
            <w:pPr>
              <w:spacing w:after="0"/>
              <w:jc w:val="center"/>
              <w:rPr>
                <w:color w:val="000000"/>
                <w:sz w:val="20"/>
                <w:szCs w:val="20"/>
              </w:rPr>
            </w:pPr>
            <w:r w:rsidRPr="00666914">
              <w:rPr>
                <w:color w:val="000000"/>
                <w:sz w:val="20"/>
                <w:szCs w:val="20"/>
              </w:rPr>
              <w:t>-</w:t>
            </w:r>
          </w:p>
        </w:tc>
        <w:tc>
          <w:tcPr>
            <w:tcW w:w="709" w:type="dxa"/>
            <w:shd w:val="clear" w:color="auto" w:fill="92D050"/>
            <w:vAlign w:val="center"/>
          </w:tcPr>
          <w:p w14:paraId="48873DBC" w14:textId="77777777" w:rsidR="00386F6D" w:rsidRPr="00666914" w:rsidRDefault="00386F6D" w:rsidP="00905BD2">
            <w:pPr>
              <w:spacing w:after="0"/>
              <w:jc w:val="center"/>
              <w:rPr>
                <w:b/>
                <w:color w:val="000000"/>
                <w:sz w:val="20"/>
                <w:szCs w:val="20"/>
              </w:rPr>
            </w:pPr>
          </w:p>
        </w:tc>
        <w:tc>
          <w:tcPr>
            <w:tcW w:w="709" w:type="dxa"/>
            <w:shd w:val="clear" w:color="auto" w:fill="92D050"/>
            <w:vAlign w:val="center"/>
          </w:tcPr>
          <w:p w14:paraId="07582819" w14:textId="77777777" w:rsidR="00386F6D" w:rsidRPr="00666914" w:rsidRDefault="00386F6D" w:rsidP="00905BD2">
            <w:pPr>
              <w:spacing w:after="0"/>
              <w:jc w:val="center"/>
              <w:rPr>
                <w:b/>
                <w:color w:val="000000"/>
                <w:sz w:val="20"/>
                <w:szCs w:val="20"/>
              </w:rPr>
            </w:pPr>
          </w:p>
        </w:tc>
        <w:tc>
          <w:tcPr>
            <w:tcW w:w="709" w:type="dxa"/>
            <w:shd w:val="clear" w:color="auto" w:fill="92D050"/>
            <w:vAlign w:val="center"/>
          </w:tcPr>
          <w:p w14:paraId="5C06EF8B" w14:textId="77777777" w:rsidR="00386F6D" w:rsidRPr="00666914" w:rsidRDefault="00386F6D" w:rsidP="00905BD2">
            <w:pPr>
              <w:spacing w:after="0"/>
              <w:jc w:val="center"/>
              <w:rPr>
                <w:b/>
                <w:color w:val="000000"/>
                <w:sz w:val="20"/>
                <w:szCs w:val="20"/>
              </w:rPr>
            </w:pPr>
          </w:p>
        </w:tc>
        <w:tc>
          <w:tcPr>
            <w:tcW w:w="698" w:type="dxa"/>
            <w:shd w:val="clear" w:color="auto" w:fill="92D050"/>
            <w:vAlign w:val="center"/>
          </w:tcPr>
          <w:p w14:paraId="112084A3" w14:textId="77777777" w:rsidR="00386F6D" w:rsidRPr="00666914" w:rsidRDefault="00386F6D" w:rsidP="00905BD2">
            <w:pPr>
              <w:spacing w:after="0"/>
              <w:jc w:val="center"/>
              <w:rPr>
                <w:b/>
                <w:color w:val="000000"/>
                <w:sz w:val="20"/>
                <w:szCs w:val="20"/>
              </w:rPr>
            </w:pPr>
          </w:p>
        </w:tc>
      </w:tr>
      <w:tr w:rsidR="00CD0BF9" w:rsidRPr="00666914" w14:paraId="3FA04561" w14:textId="77777777" w:rsidTr="003E2457">
        <w:trPr>
          <w:trHeight w:val="424"/>
        </w:trPr>
        <w:tc>
          <w:tcPr>
            <w:tcW w:w="2689" w:type="dxa"/>
          </w:tcPr>
          <w:p w14:paraId="691ACA96" w14:textId="77777777" w:rsidR="00386F6D" w:rsidRPr="00666914" w:rsidRDefault="00386F6D" w:rsidP="00905BD2">
            <w:pPr>
              <w:spacing w:after="0"/>
              <w:jc w:val="left"/>
              <w:rPr>
                <w:color w:val="000000"/>
                <w:sz w:val="20"/>
                <w:szCs w:val="20"/>
              </w:rPr>
            </w:pPr>
            <w:r w:rsidRPr="00666914">
              <w:rPr>
                <w:color w:val="000000"/>
                <w:sz w:val="20"/>
                <w:szCs w:val="20"/>
              </w:rPr>
              <w:t xml:space="preserve">V ekonomickej klasifikácii oddeliť telekomunikačné služby od poštových služieb </w:t>
            </w:r>
          </w:p>
        </w:tc>
        <w:tc>
          <w:tcPr>
            <w:tcW w:w="1559" w:type="dxa"/>
            <w:vAlign w:val="center"/>
          </w:tcPr>
          <w:p w14:paraId="43DABB34" w14:textId="77777777" w:rsidR="00386F6D" w:rsidRPr="00666914" w:rsidRDefault="00386F6D" w:rsidP="00905BD2">
            <w:pPr>
              <w:spacing w:after="0"/>
              <w:jc w:val="center"/>
              <w:rPr>
                <w:color w:val="000000"/>
                <w:sz w:val="20"/>
                <w:szCs w:val="20"/>
              </w:rPr>
            </w:pPr>
            <w:r w:rsidRPr="00666914">
              <w:rPr>
                <w:color w:val="000000"/>
                <w:sz w:val="20"/>
                <w:szCs w:val="20"/>
              </w:rPr>
              <w:t>ÚPVII</w:t>
            </w:r>
          </w:p>
        </w:tc>
        <w:tc>
          <w:tcPr>
            <w:tcW w:w="1134" w:type="dxa"/>
            <w:vAlign w:val="center"/>
          </w:tcPr>
          <w:p w14:paraId="394C8425" w14:textId="77777777" w:rsidR="00386F6D" w:rsidRPr="00666914" w:rsidRDefault="00386F6D" w:rsidP="00905BD2">
            <w:pPr>
              <w:spacing w:after="0"/>
              <w:ind w:right="51"/>
              <w:jc w:val="center"/>
              <w:rPr>
                <w:color w:val="000000"/>
                <w:sz w:val="20"/>
                <w:szCs w:val="20"/>
              </w:rPr>
            </w:pPr>
            <w:r w:rsidRPr="00666914">
              <w:rPr>
                <w:color w:val="000000"/>
                <w:sz w:val="20"/>
                <w:szCs w:val="20"/>
              </w:rPr>
              <w:t>30.3.2017</w:t>
            </w:r>
          </w:p>
        </w:tc>
        <w:tc>
          <w:tcPr>
            <w:tcW w:w="850" w:type="dxa"/>
            <w:vAlign w:val="center"/>
          </w:tcPr>
          <w:p w14:paraId="47765981" w14:textId="77777777" w:rsidR="00386F6D" w:rsidRPr="00666914" w:rsidRDefault="00386F6D" w:rsidP="00905BD2">
            <w:pPr>
              <w:spacing w:after="0"/>
              <w:jc w:val="center"/>
              <w:rPr>
                <w:color w:val="000000"/>
                <w:sz w:val="20"/>
                <w:szCs w:val="20"/>
              </w:rPr>
            </w:pPr>
            <w:r w:rsidRPr="00666914">
              <w:rPr>
                <w:color w:val="000000"/>
                <w:sz w:val="20"/>
                <w:szCs w:val="20"/>
              </w:rPr>
              <w:t>-</w:t>
            </w:r>
          </w:p>
        </w:tc>
        <w:tc>
          <w:tcPr>
            <w:tcW w:w="709" w:type="dxa"/>
            <w:shd w:val="clear" w:color="auto" w:fill="92D050"/>
            <w:vAlign w:val="center"/>
          </w:tcPr>
          <w:p w14:paraId="22549071" w14:textId="77777777" w:rsidR="00386F6D" w:rsidRPr="00666914" w:rsidRDefault="00386F6D" w:rsidP="00905BD2">
            <w:pPr>
              <w:spacing w:after="0"/>
              <w:jc w:val="center"/>
              <w:rPr>
                <w:b/>
                <w:color w:val="000000"/>
                <w:sz w:val="20"/>
                <w:szCs w:val="20"/>
              </w:rPr>
            </w:pPr>
          </w:p>
        </w:tc>
        <w:tc>
          <w:tcPr>
            <w:tcW w:w="709" w:type="dxa"/>
            <w:shd w:val="clear" w:color="auto" w:fill="92D050"/>
            <w:vAlign w:val="center"/>
          </w:tcPr>
          <w:p w14:paraId="21360C14" w14:textId="77777777" w:rsidR="00386F6D" w:rsidRPr="00666914" w:rsidRDefault="00386F6D" w:rsidP="00905BD2">
            <w:pPr>
              <w:spacing w:after="0"/>
              <w:jc w:val="center"/>
              <w:rPr>
                <w:b/>
                <w:color w:val="000000"/>
                <w:sz w:val="20"/>
                <w:szCs w:val="20"/>
              </w:rPr>
            </w:pPr>
          </w:p>
        </w:tc>
        <w:tc>
          <w:tcPr>
            <w:tcW w:w="709" w:type="dxa"/>
            <w:shd w:val="clear" w:color="auto" w:fill="92D050"/>
            <w:vAlign w:val="center"/>
          </w:tcPr>
          <w:p w14:paraId="317A2A9E" w14:textId="77777777" w:rsidR="00386F6D" w:rsidRPr="00666914" w:rsidRDefault="00386F6D" w:rsidP="00905BD2">
            <w:pPr>
              <w:spacing w:after="0"/>
              <w:jc w:val="center"/>
              <w:rPr>
                <w:b/>
                <w:color w:val="000000"/>
                <w:sz w:val="20"/>
                <w:szCs w:val="20"/>
              </w:rPr>
            </w:pPr>
          </w:p>
        </w:tc>
        <w:tc>
          <w:tcPr>
            <w:tcW w:w="698" w:type="dxa"/>
            <w:shd w:val="clear" w:color="auto" w:fill="92D050"/>
            <w:vAlign w:val="center"/>
          </w:tcPr>
          <w:p w14:paraId="36C1B096" w14:textId="77777777" w:rsidR="00386F6D" w:rsidRPr="00666914" w:rsidRDefault="00386F6D" w:rsidP="00905BD2">
            <w:pPr>
              <w:spacing w:after="0"/>
              <w:jc w:val="center"/>
              <w:rPr>
                <w:b/>
                <w:color w:val="000000"/>
                <w:sz w:val="20"/>
                <w:szCs w:val="20"/>
              </w:rPr>
            </w:pPr>
          </w:p>
        </w:tc>
      </w:tr>
    </w:tbl>
    <w:p w14:paraId="029280BF" w14:textId="77777777" w:rsidR="00386F6D" w:rsidRPr="00666914" w:rsidRDefault="00386F6D">
      <w:pPr>
        <w:jc w:val="left"/>
      </w:pPr>
      <w:r w:rsidRPr="00666914">
        <w:br w:type="page"/>
      </w:r>
    </w:p>
    <w:p w14:paraId="4961BF15" w14:textId="77777777" w:rsidR="00386F6D" w:rsidRPr="00666914" w:rsidRDefault="00386F6D" w:rsidP="009F7DB5">
      <w:pPr>
        <w:pStyle w:val="Nadpis2"/>
      </w:pPr>
      <w:bookmarkStart w:id="254" w:name="_heading=h.2s8eyo1" w:colFirst="0" w:colLast="0"/>
      <w:bookmarkStart w:id="255" w:name="_Toc38447597"/>
      <w:bookmarkEnd w:id="254"/>
      <w:r w:rsidRPr="00666914">
        <w:lastRenderedPageBreak/>
        <w:t>Úspora</w:t>
      </w:r>
      <w:bookmarkEnd w:id="255"/>
    </w:p>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0"/>
        <w:gridCol w:w="2353"/>
        <w:gridCol w:w="1442"/>
        <w:gridCol w:w="1154"/>
        <w:gridCol w:w="1154"/>
        <w:gridCol w:w="721"/>
        <w:gridCol w:w="721"/>
        <w:gridCol w:w="721"/>
        <w:gridCol w:w="705"/>
      </w:tblGrid>
      <w:tr w:rsidR="00187A4F" w:rsidRPr="00666914" w14:paraId="5C6E0711" w14:textId="77777777" w:rsidTr="003E2457">
        <w:trPr>
          <w:trHeight w:val="549"/>
        </w:trPr>
        <w:tc>
          <w:tcPr>
            <w:tcW w:w="240" w:type="dxa"/>
            <w:shd w:val="clear" w:color="auto" w:fill="auto"/>
            <w:vAlign w:val="center"/>
          </w:tcPr>
          <w:p w14:paraId="45EC5C1A" w14:textId="77777777" w:rsidR="00386F6D" w:rsidRPr="00666914" w:rsidRDefault="00386F6D">
            <w:pPr>
              <w:spacing w:after="0"/>
              <w:jc w:val="center"/>
              <w:rPr>
                <w:color w:val="000000"/>
                <w:sz w:val="20"/>
                <w:szCs w:val="20"/>
              </w:rPr>
            </w:pPr>
            <w:r w:rsidRPr="00666914">
              <w:rPr>
                <w:color w:val="000000"/>
                <w:sz w:val="20"/>
                <w:szCs w:val="20"/>
              </w:rPr>
              <w:t> </w:t>
            </w:r>
          </w:p>
        </w:tc>
        <w:tc>
          <w:tcPr>
            <w:tcW w:w="2353" w:type="dxa"/>
            <w:shd w:val="clear" w:color="auto" w:fill="auto"/>
            <w:vAlign w:val="center"/>
          </w:tcPr>
          <w:p w14:paraId="17962944" w14:textId="77777777" w:rsidR="00386F6D" w:rsidRPr="00666914" w:rsidRDefault="00386F6D">
            <w:pPr>
              <w:spacing w:after="0"/>
              <w:jc w:val="center"/>
              <w:rPr>
                <w:b/>
                <w:color w:val="000000"/>
                <w:sz w:val="20"/>
                <w:szCs w:val="20"/>
              </w:rPr>
            </w:pPr>
            <w:r w:rsidRPr="00666914">
              <w:rPr>
                <w:b/>
                <w:color w:val="000000"/>
                <w:sz w:val="20"/>
                <w:szCs w:val="20"/>
              </w:rPr>
              <w:t>Opatrenie</w:t>
            </w:r>
          </w:p>
        </w:tc>
        <w:tc>
          <w:tcPr>
            <w:tcW w:w="1442" w:type="dxa"/>
            <w:shd w:val="clear" w:color="auto" w:fill="auto"/>
            <w:vAlign w:val="center"/>
          </w:tcPr>
          <w:p w14:paraId="76B9C4AE" w14:textId="77777777" w:rsidR="00386F6D" w:rsidRPr="00666914" w:rsidRDefault="00386F6D">
            <w:pPr>
              <w:spacing w:after="0"/>
              <w:jc w:val="center"/>
              <w:rPr>
                <w:b/>
                <w:color w:val="000000"/>
                <w:sz w:val="20"/>
                <w:szCs w:val="20"/>
              </w:rPr>
            </w:pPr>
            <w:r w:rsidRPr="00666914">
              <w:rPr>
                <w:b/>
                <w:color w:val="000000"/>
                <w:sz w:val="20"/>
                <w:szCs w:val="20"/>
              </w:rPr>
              <w:t>Zodpovednosť</w:t>
            </w:r>
          </w:p>
        </w:tc>
        <w:tc>
          <w:tcPr>
            <w:tcW w:w="1154" w:type="dxa"/>
            <w:shd w:val="clear" w:color="auto" w:fill="auto"/>
            <w:vAlign w:val="center"/>
          </w:tcPr>
          <w:p w14:paraId="4FBB4324" w14:textId="77777777" w:rsidR="00386F6D" w:rsidRPr="00666914" w:rsidRDefault="00386F6D">
            <w:pPr>
              <w:spacing w:after="0"/>
              <w:jc w:val="center"/>
              <w:rPr>
                <w:b/>
                <w:color w:val="000000"/>
                <w:sz w:val="20"/>
                <w:szCs w:val="20"/>
              </w:rPr>
            </w:pPr>
            <w:r w:rsidRPr="00666914">
              <w:rPr>
                <w:b/>
                <w:color w:val="000000"/>
                <w:sz w:val="20"/>
                <w:szCs w:val="20"/>
              </w:rPr>
              <w:t>Termín plnenia</w:t>
            </w:r>
          </w:p>
        </w:tc>
        <w:tc>
          <w:tcPr>
            <w:tcW w:w="1154" w:type="dxa"/>
            <w:vAlign w:val="center"/>
          </w:tcPr>
          <w:p w14:paraId="5E0BA6B3" w14:textId="77777777" w:rsidR="00386F6D" w:rsidRPr="00666914" w:rsidRDefault="00386F6D">
            <w:pPr>
              <w:spacing w:after="0"/>
              <w:jc w:val="center"/>
              <w:rPr>
                <w:b/>
                <w:color w:val="000000"/>
                <w:sz w:val="20"/>
                <w:szCs w:val="20"/>
              </w:rPr>
            </w:pPr>
            <w:r w:rsidRPr="00666914">
              <w:rPr>
                <w:b/>
                <w:color w:val="000000"/>
                <w:sz w:val="20"/>
                <w:szCs w:val="20"/>
              </w:rPr>
              <w:t>Nový termín</w:t>
            </w:r>
          </w:p>
        </w:tc>
        <w:tc>
          <w:tcPr>
            <w:tcW w:w="721" w:type="dxa"/>
            <w:shd w:val="clear" w:color="auto" w:fill="auto"/>
            <w:vAlign w:val="center"/>
          </w:tcPr>
          <w:p w14:paraId="00070D14" w14:textId="77777777" w:rsidR="00386F6D" w:rsidRPr="00666914" w:rsidRDefault="00386F6D">
            <w:pPr>
              <w:spacing w:after="0"/>
              <w:jc w:val="center"/>
              <w:rPr>
                <w:b/>
                <w:color w:val="000000"/>
                <w:sz w:val="20"/>
                <w:szCs w:val="20"/>
              </w:rPr>
            </w:pPr>
            <w:r w:rsidRPr="00666914">
              <w:rPr>
                <w:b/>
                <w:color w:val="000000"/>
                <w:sz w:val="20"/>
                <w:szCs w:val="20"/>
              </w:rPr>
              <w:t>1Q 2019</w:t>
            </w:r>
          </w:p>
        </w:tc>
        <w:tc>
          <w:tcPr>
            <w:tcW w:w="721" w:type="dxa"/>
            <w:shd w:val="clear" w:color="auto" w:fill="auto"/>
            <w:vAlign w:val="center"/>
          </w:tcPr>
          <w:p w14:paraId="298D68E5" w14:textId="77777777" w:rsidR="00386F6D" w:rsidRPr="00666914" w:rsidRDefault="00386F6D">
            <w:pPr>
              <w:spacing w:after="0"/>
              <w:jc w:val="center"/>
              <w:rPr>
                <w:b/>
                <w:color w:val="000000"/>
                <w:sz w:val="20"/>
                <w:szCs w:val="20"/>
              </w:rPr>
            </w:pPr>
            <w:r w:rsidRPr="00666914">
              <w:rPr>
                <w:b/>
                <w:color w:val="000000"/>
                <w:sz w:val="20"/>
                <w:szCs w:val="20"/>
              </w:rPr>
              <w:t>2Q 2019</w:t>
            </w:r>
          </w:p>
        </w:tc>
        <w:tc>
          <w:tcPr>
            <w:tcW w:w="721" w:type="dxa"/>
            <w:shd w:val="clear" w:color="auto" w:fill="auto"/>
            <w:vAlign w:val="center"/>
          </w:tcPr>
          <w:p w14:paraId="30FDEE9D" w14:textId="77777777" w:rsidR="00386F6D" w:rsidRPr="00666914" w:rsidRDefault="00386F6D">
            <w:pPr>
              <w:spacing w:after="0"/>
              <w:jc w:val="center"/>
              <w:rPr>
                <w:b/>
                <w:color w:val="000000"/>
                <w:sz w:val="20"/>
                <w:szCs w:val="20"/>
              </w:rPr>
            </w:pPr>
            <w:r w:rsidRPr="00666914">
              <w:rPr>
                <w:b/>
                <w:color w:val="000000"/>
                <w:sz w:val="20"/>
                <w:szCs w:val="20"/>
              </w:rPr>
              <w:t>3Q 2019</w:t>
            </w:r>
          </w:p>
        </w:tc>
        <w:tc>
          <w:tcPr>
            <w:tcW w:w="705" w:type="dxa"/>
            <w:shd w:val="clear" w:color="auto" w:fill="auto"/>
            <w:vAlign w:val="center"/>
          </w:tcPr>
          <w:p w14:paraId="18B7C0D9" w14:textId="77777777" w:rsidR="00386F6D" w:rsidRPr="00666914" w:rsidRDefault="00386F6D">
            <w:pPr>
              <w:spacing w:after="0"/>
              <w:jc w:val="center"/>
              <w:rPr>
                <w:b/>
                <w:color w:val="000000"/>
                <w:sz w:val="20"/>
                <w:szCs w:val="20"/>
              </w:rPr>
            </w:pPr>
            <w:r w:rsidRPr="00666914">
              <w:rPr>
                <w:b/>
                <w:color w:val="000000"/>
                <w:sz w:val="20"/>
                <w:szCs w:val="20"/>
              </w:rPr>
              <w:t>4Q 2019</w:t>
            </w:r>
          </w:p>
        </w:tc>
      </w:tr>
      <w:tr w:rsidR="00187A4F" w:rsidRPr="00666914" w14:paraId="3ADC9E86" w14:textId="77777777" w:rsidTr="003E2457">
        <w:trPr>
          <w:trHeight w:val="330"/>
        </w:trPr>
        <w:tc>
          <w:tcPr>
            <w:tcW w:w="240" w:type="dxa"/>
            <w:shd w:val="clear" w:color="auto" w:fill="auto"/>
            <w:vAlign w:val="center"/>
          </w:tcPr>
          <w:p w14:paraId="041206E6" w14:textId="77777777" w:rsidR="00386F6D" w:rsidRPr="00666914" w:rsidRDefault="00386F6D" w:rsidP="009F582A">
            <w:pPr>
              <w:spacing w:after="0"/>
              <w:jc w:val="left"/>
              <w:rPr>
                <w:color w:val="000000"/>
                <w:sz w:val="20"/>
                <w:szCs w:val="20"/>
              </w:rPr>
            </w:pPr>
            <w:r w:rsidRPr="00666914">
              <w:rPr>
                <w:color w:val="000000"/>
                <w:sz w:val="20"/>
                <w:szCs w:val="20"/>
              </w:rPr>
              <w:t>1</w:t>
            </w:r>
          </w:p>
        </w:tc>
        <w:tc>
          <w:tcPr>
            <w:tcW w:w="2353" w:type="dxa"/>
            <w:shd w:val="clear" w:color="auto" w:fill="auto"/>
            <w:vAlign w:val="center"/>
          </w:tcPr>
          <w:p w14:paraId="429F525D" w14:textId="77777777" w:rsidR="00386F6D" w:rsidRPr="00666914" w:rsidRDefault="00386F6D">
            <w:pPr>
              <w:spacing w:after="0"/>
              <w:rPr>
                <w:color w:val="000000"/>
                <w:sz w:val="20"/>
                <w:szCs w:val="20"/>
              </w:rPr>
            </w:pPr>
            <w:r w:rsidRPr="00666914">
              <w:rPr>
                <w:color w:val="000000"/>
                <w:sz w:val="20"/>
                <w:szCs w:val="20"/>
              </w:rPr>
              <w:t>Vypracovať záväzný plán migrácie do cloudu a naviazanie na IT rozpočty</w:t>
            </w:r>
          </w:p>
        </w:tc>
        <w:tc>
          <w:tcPr>
            <w:tcW w:w="1442" w:type="dxa"/>
            <w:shd w:val="clear" w:color="auto" w:fill="auto"/>
            <w:vAlign w:val="center"/>
          </w:tcPr>
          <w:p w14:paraId="75278516" w14:textId="77777777" w:rsidR="00386F6D" w:rsidRPr="00666914" w:rsidRDefault="00386F6D">
            <w:pPr>
              <w:spacing w:after="0"/>
              <w:jc w:val="center"/>
              <w:rPr>
                <w:color w:val="000000"/>
                <w:sz w:val="20"/>
                <w:szCs w:val="20"/>
              </w:rPr>
            </w:pPr>
            <w:r w:rsidRPr="00666914">
              <w:rPr>
                <w:color w:val="000000"/>
                <w:sz w:val="20"/>
                <w:szCs w:val="20"/>
              </w:rPr>
              <w:t>ÚPVII, MF SR</w:t>
            </w:r>
          </w:p>
        </w:tc>
        <w:tc>
          <w:tcPr>
            <w:tcW w:w="1154" w:type="dxa"/>
            <w:shd w:val="clear" w:color="auto" w:fill="auto"/>
            <w:vAlign w:val="center"/>
          </w:tcPr>
          <w:p w14:paraId="08298BE4" w14:textId="77777777" w:rsidR="00386F6D" w:rsidRPr="00666914" w:rsidRDefault="00386F6D">
            <w:pPr>
              <w:spacing w:after="0"/>
              <w:jc w:val="center"/>
              <w:rPr>
                <w:color w:val="000000"/>
                <w:sz w:val="20"/>
                <w:szCs w:val="20"/>
              </w:rPr>
            </w:pPr>
            <w:r w:rsidRPr="00666914">
              <w:rPr>
                <w:color w:val="000000"/>
                <w:sz w:val="20"/>
                <w:szCs w:val="20"/>
              </w:rPr>
              <w:t>30.1.2018</w:t>
            </w:r>
          </w:p>
        </w:tc>
        <w:tc>
          <w:tcPr>
            <w:tcW w:w="1154" w:type="dxa"/>
            <w:vAlign w:val="center"/>
          </w:tcPr>
          <w:p w14:paraId="3CE856B6" w14:textId="77777777" w:rsidR="00386F6D" w:rsidRPr="00666914" w:rsidRDefault="00386F6D">
            <w:pPr>
              <w:spacing w:after="0"/>
              <w:rPr>
                <w:color w:val="000000"/>
                <w:sz w:val="20"/>
                <w:szCs w:val="20"/>
              </w:rPr>
            </w:pPr>
            <w:r w:rsidRPr="00666914">
              <w:rPr>
                <w:color w:val="000000"/>
                <w:sz w:val="20"/>
                <w:szCs w:val="20"/>
              </w:rPr>
              <w:t>31.12.2019</w:t>
            </w:r>
          </w:p>
        </w:tc>
        <w:tc>
          <w:tcPr>
            <w:tcW w:w="721" w:type="dxa"/>
            <w:shd w:val="clear" w:color="auto" w:fill="FFC000"/>
            <w:vAlign w:val="bottom"/>
          </w:tcPr>
          <w:p w14:paraId="38535664" w14:textId="77777777" w:rsidR="00386F6D" w:rsidRPr="00666914" w:rsidRDefault="00386F6D">
            <w:pPr>
              <w:spacing w:after="0"/>
              <w:rPr>
                <w:color w:val="000000"/>
                <w:sz w:val="20"/>
                <w:szCs w:val="20"/>
              </w:rPr>
            </w:pPr>
            <w:r w:rsidRPr="00666914">
              <w:rPr>
                <w:color w:val="000000"/>
                <w:sz w:val="20"/>
                <w:szCs w:val="20"/>
              </w:rPr>
              <w:t> </w:t>
            </w:r>
          </w:p>
        </w:tc>
        <w:tc>
          <w:tcPr>
            <w:tcW w:w="721" w:type="dxa"/>
            <w:shd w:val="clear" w:color="auto" w:fill="FFC000"/>
            <w:vAlign w:val="bottom"/>
          </w:tcPr>
          <w:p w14:paraId="7025FEBC" w14:textId="77777777" w:rsidR="00386F6D" w:rsidRPr="00666914" w:rsidRDefault="00386F6D">
            <w:pPr>
              <w:spacing w:after="0"/>
              <w:rPr>
                <w:color w:val="000000"/>
                <w:sz w:val="20"/>
                <w:szCs w:val="20"/>
              </w:rPr>
            </w:pPr>
            <w:r w:rsidRPr="00666914">
              <w:rPr>
                <w:color w:val="000000"/>
                <w:sz w:val="20"/>
                <w:szCs w:val="20"/>
              </w:rPr>
              <w:t> </w:t>
            </w:r>
          </w:p>
        </w:tc>
        <w:tc>
          <w:tcPr>
            <w:tcW w:w="721" w:type="dxa"/>
            <w:shd w:val="clear" w:color="auto" w:fill="FFC000"/>
            <w:vAlign w:val="bottom"/>
          </w:tcPr>
          <w:p w14:paraId="7CAA6C47" w14:textId="77777777" w:rsidR="00386F6D" w:rsidRPr="00666914" w:rsidRDefault="00386F6D">
            <w:pPr>
              <w:spacing w:after="0"/>
              <w:rPr>
                <w:color w:val="000000"/>
                <w:sz w:val="20"/>
                <w:szCs w:val="20"/>
              </w:rPr>
            </w:pPr>
            <w:r w:rsidRPr="00666914">
              <w:rPr>
                <w:color w:val="000000"/>
                <w:sz w:val="20"/>
                <w:szCs w:val="20"/>
              </w:rPr>
              <w:t> </w:t>
            </w:r>
          </w:p>
        </w:tc>
        <w:tc>
          <w:tcPr>
            <w:tcW w:w="705" w:type="dxa"/>
            <w:shd w:val="clear" w:color="auto" w:fill="FFC000"/>
            <w:vAlign w:val="bottom"/>
          </w:tcPr>
          <w:p w14:paraId="3108D4E8" w14:textId="77777777" w:rsidR="00386F6D" w:rsidRPr="00666914" w:rsidRDefault="00386F6D">
            <w:pPr>
              <w:spacing w:after="0"/>
              <w:rPr>
                <w:color w:val="000000"/>
                <w:sz w:val="20"/>
                <w:szCs w:val="20"/>
              </w:rPr>
            </w:pPr>
            <w:r w:rsidRPr="00666914">
              <w:rPr>
                <w:color w:val="000000"/>
                <w:sz w:val="20"/>
                <w:szCs w:val="20"/>
              </w:rPr>
              <w:t> </w:t>
            </w:r>
          </w:p>
        </w:tc>
      </w:tr>
      <w:tr w:rsidR="00187A4F" w:rsidRPr="00666914" w14:paraId="0E0E34FF" w14:textId="77777777" w:rsidTr="003E2457">
        <w:trPr>
          <w:trHeight w:val="330"/>
        </w:trPr>
        <w:tc>
          <w:tcPr>
            <w:tcW w:w="240" w:type="dxa"/>
            <w:shd w:val="clear" w:color="auto" w:fill="auto"/>
            <w:vAlign w:val="center"/>
          </w:tcPr>
          <w:p w14:paraId="3CBA5724" w14:textId="77777777" w:rsidR="00386F6D" w:rsidRPr="00666914" w:rsidRDefault="00386F6D" w:rsidP="009F582A">
            <w:pPr>
              <w:spacing w:after="0"/>
              <w:jc w:val="left"/>
              <w:rPr>
                <w:color w:val="000000"/>
                <w:sz w:val="20"/>
                <w:szCs w:val="20"/>
              </w:rPr>
            </w:pPr>
            <w:r w:rsidRPr="00666914">
              <w:rPr>
                <w:color w:val="000000"/>
                <w:sz w:val="20"/>
                <w:szCs w:val="20"/>
              </w:rPr>
              <w:t>2</w:t>
            </w:r>
          </w:p>
        </w:tc>
        <w:tc>
          <w:tcPr>
            <w:tcW w:w="2353" w:type="dxa"/>
            <w:shd w:val="clear" w:color="auto" w:fill="auto"/>
            <w:vAlign w:val="center"/>
          </w:tcPr>
          <w:p w14:paraId="53ADDF76" w14:textId="77777777" w:rsidR="00386F6D" w:rsidRPr="00666914" w:rsidRDefault="00386F6D">
            <w:pPr>
              <w:spacing w:after="0"/>
              <w:rPr>
                <w:color w:val="000000"/>
                <w:sz w:val="20"/>
                <w:szCs w:val="20"/>
              </w:rPr>
            </w:pPr>
            <w:r w:rsidRPr="00666914">
              <w:rPr>
                <w:color w:val="000000"/>
                <w:sz w:val="20"/>
                <w:szCs w:val="20"/>
              </w:rPr>
              <w:t>Centralizovať zabezpečenie podporných IT služieb ako sú telekomunikácie a konektivita</w:t>
            </w:r>
          </w:p>
        </w:tc>
        <w:tc>
          <w:tcPr>
            <w:tcW w:w="1442" w:type="dxa"/>
            <w:shd w:val="clear" w:color="auto" w:fill="auto"/>
            <w:vAlign w:val="center"/>
          </w:tcPr>
          <w:p w14:paraId="50629479" w14:textId="77777777" w:rsidR="00386F6D" w:rsidRPr="00666914" w:rsidRDefault="00386F6D">
            <w:pPr>
              <w:spacing w:after="0"/>
              <w:jc w:val="center"/>
              <w:rPr>
                <w:color w:val="000000"/>
                <w:sz w:val="20"/>
                <w:szCs w:val="20"/>
              </w:rPr>
            </w:pPr>
            <w:r w:rsidRPr="00666914">
              <w:rPr>
                <w:color w:val="000000"/>
                <w:sz w:val="20"/>
                <w:szCs w:val="20"/>
              </w:rPr>
              <w:t xml:space="preserve">ÚPVII, MF SR </w:t>
            </w:r>
          </w:p>
        </w:tc>
        <w:tc>
          <w:tcPr>
            <w:tcW w:w="1154" w:type="dxa"/>
            <w:shd w:val="clear" w:color="auto" w:fill="auto"/>
            <w:vAlign w:val="center"/>
          </w:tcPr>
          <w:p w14:paraId="70E6C14B" w14:textId="77777777" w:rsidR="00386F6D" w:rsidRPr="00666914" w:rsidRDefault="00386F6D">
            <w:pPr>
              <w:spacing w:after="0"/>
              <w:jc w:val="center"/>
              <w:rPr>
                <w:color w:val="000000"/>
                <w:sz w:val="20"/>
                <w:szCs w:val="20"/>
              </w:rPr>
            </w:pPr>
            <w:r w:rsidRPr="00666914">
              <w:rPr>
                <w:color w:val="000000"/>
                <w:sz w:val="20"/>
                <w:szCs w:val="20"/>
              </w:rPr>
              <w:t>30.1.2018</w:t>
            </w:r>
          </w:p>
        </w:tc>
        <w:tc>
          <w:tcPr>
            <w:tcW w:w="1154" w:type="dxa"/>
            <w:vAlign w:val="center"/>
          </w:tcPr>
          <w:p w14:paraId="5F924431" w14:textId="77777777" w:rsidR="00386F6D" w:rsidRPr="00666914" w:rsidRDefault="00386F6D">
            <w:pPr>
              <w:spacing w:after="0"/>
              <w:rPr>
                <w:color w:val="000000"/>
                <w:sz w:val="20"/>
                <w:szCs w:val="20"/>
              </w:rPr>
            </w:pPr>
            <w:r w:rsidRPr="00666914">
              <w:rPr>
                <w:color w:val="000000"/>
                <w:sz w:val="20"/>
                <w:szCs w:val="20"/>
              </w:rPr>
              <w:t>31.12.2019</w:t>
            </w:r>
          </w:p>
        </w:tc>
        <w:tc>
          <w:tcPr>
            <w:tcW w:w="721" w:type="dxa"/>
            <w:shd w:val="clear" w:color="auto" w:fill="FF0000"/>
            <w:vAlign w:val="bottom"/>
          </w:tcPr>
          <w:p w14:paraId="094F0603" w14:textId="77777777" w:rsidR="00386F6D" w:rsidRPr="00666914" w:rsidRDefault="00386F6D">
            <w:pPr>
              <w:spacing w:after="0"/>
              <w:rPr>
                <w:color w:val="000000"/>
                <w:sz w:val="20"/>
                <w:szCs w:val="20"/>
              </w:rPr>
            </w:pPr>
            <w:r w:rsidRPr="00666914">
              <w:rPr>
                <w:color w:val="000000"/>
                <w:sz w:val="20"/>
                <w:szCs w:val="20"/>
              </w:rPr>
              <w:t> </w:t>
            </w:r>
          </w:p>
        </w:tc>
        <w:tc>
          <w:tcPr>
            <w:tcW w:w="721" w:type="dxa"/>
            <w:shd w:val="clear" w:color="auto" w:fill="FF0000"/>
            <w:vAlign w:val="bottom"/>
          </w:tcPr>
          <w:p w14:paraId="37A65E62" w14:textId="77777777" w:rsidR="00386F6D" w:rsidRPr="00666914" w:rsidRDefault="00386F6D">
            <w:pPr>
              <w:spacing w:after="0"/>
              <w:rPr>
                <w:color w:val="000000"/>
                <w:sz w:val="20"/>
                <w:szCs w:val="20"/>
              </w:rPr>
            </w:pPr>
            <w:r w:rsidRPr="00666914">
              <w:rPr>
                <w:color w:val="000000"/>
                <w:sz w:val="20"/>
                <w:szCs w:val="20"/>
              </w:rPr>
              <w:t> </w:t>
            </w:r>
          </w:p>
        </w:tc>
        <w:tc>
          <w:tcPr>
            <w:tcW w:w="721" w:type="dxa"/>
            <w:shd w:val="clear" w:color="auto" w:fill="FF0000"/>
            <w:vAlign w:val="bottom"/>
          </w:tcPr>
          <w:p w14:paraId="047F9F69" w14:textId="77777777" w:rsidR="00386F6D" w:rsidRPr="00666914" w:rsidRDefault="00386F6D">
            <w:pPr>
              <w:spacing w:after="0"/>
              <w:rPr>
                <w:color w:val="000000"/>
                <w:sz w:val="20"/>
                <w:szCs w:val="20"/>
              </w:rPr>
            </w:pPr>
            <w:r w:rsidRPr="00666914">
              <w:rPr>
                <w:color w:val="000000"/>
                <w:sz w:val="20"/>
                <w:szCs w:val="20"/>
              </w:rPr>
              <w:t> </w:t>
            </w:r>
          </w:p>
        </w:tc>
        <w:tc>
          <w:tcPr>
            <w:tcW w:w="705" w:type="dxa"/>
            <w:shd w:val="clear" w:color="auto" w:fill="FF0000"/>
            <w:vAlign w:val="bottom"/>
          </w:tcPr>
          <w:p w14:paraId="2F132F66" w14:textId="77777777" w:rsidR="00386F6D" w:rsidRPr="00666914" w:rsidRDefault="00386F6D">
            <w:pPr>
              <w:spacing w:after="0"/>
              <w:rPr>
                <w:color w:val="000000"/>
                <w:sz w:val="20"/>
                <w:szCs w:val="20"/>
              </w:rPr>
            </w:pPr>
            <w:r w:rsidRPr="00666914">
              <w:rPr>
                <w:color w:val="000000"/>
                <w:sz w:val="20"/>
                <w:szCs w:val="20"/>
              </w:rPr>
              <w:t> </w:t>
            </w:r>
          </w:p>
        </w:tc>
      </w:tr>
      <w:tr w:rsidR="00187A4F" w:rsidRPr="00666914" w14:paraId="7A32788E" w14:textId="77777777" w:rsidTr="003E2457">
        <w:trPr>
          <w:trHeight w:val="330"/>
        </w:trPr>
        <w:tc>
          <w:tcPr>
            <w:tcW w:w="240" w:type="dxa"/>
            <w:shd w:val="clear" w:color="auto" w:fill="auto"/>
            <w:vAlign w:val="center"/>
          </w:tcPr>
          <w:p w14:paraId="5213E56A" w14:textId="77777777" w:rsidR="00386F6D" w:rsidRPr="00666914" w:rsidRDefault="00386F6D" w:rsidP="009F582A">
            <w:pPr>
              <w:spacing w:after="0"/>
              <w:jc w:val="left"/>
              <w:rPr>
                <w:color w:val="000000"/>
                <w:sz w:val="20"/>
                <w:szCs w:val="20"/>
              </w:rPr>
            </w:pPr>
            <w:r w:rsidRPr="00666914">
              <w:rPr>
                <w:color w:val="000000"/>
                <w:sz w:val="20"/>
                <w:szCs w:val="20"/>
              </w:rPr>
              <w:t>3</w:t>
            </w:r>
          </w:p>
        </w:tc>
        <w:tc>
          <w:tcPr>
            <w:tcW w:w="2353" w:type="dxa"/>
            <w:shd w:val="clear" w:color="auto" w:fill="auto"/>
            <w:vAlign w:val="center"/>
          </w:tcPr>
          <w:p w14:paraId="6054F7FC" w14:textId="77777777" w:rsidR="00386F6D" w:rsidRPr="00666914" w:rsidRDefault="00386F6D">
            <w:pPr>
              <w:spacing w:after="0"/>
              <w:rPr>
                <w:color w:val="000000"/>
                <w:sz w:val="20"/>
                <w:szCs w:val="20"/>
              </w:rPr>
            </w:pPr>
            <w:r w:rsidRPr="00666914">
              <w:rPr>
                <w:color w:val="000000"/>
                <w:sz w:val="20"/>
                <w:szCs w:val="20"/>
              </w:rPr>
              <w:t>Zefektívniť podmienky zabezpečenia licencií produktov Microsoft</w:t>
            </w:r>
            <w:r w:rsidRPr="00666914">
              <w:rPr>
                <w:color w:val="000000"/>
                <w:vertAlign w:val="superscript"/>
              </w:rPr>
              <w:footnoteReference w:id="114"/>
            </w:r>
          </w:p>
        </w:tc>
        <w:tc>
          <w:tcPr>
            <w:tcW w:w="1442" w:type="dxa"/>
            <w:shd w:val="clear" w:color="auto" w:fill="auto"/>
            <w:vAlign w:val="center"/>
          </w:tcPr>
          <w:p w14:paraId="36BA6EA4" w14:textId="77777777" w:rsidR="00386F6D" w:rsidRPr="00666914" w:rsidRDefault="00386F6D">
            <w:pPr>
              <w:spacing w:after="0"/>
              <w:jc w:val="center"/>
              <w:rPr>
                <w:color w:val="000000"/>
                <w:sz w:val="20"/>
                <w:szCs w:val="20"/>
              </w:rPr>
            </w:pPr>
            <w:r w:rsidRPr="00666914">
              <w:rPr>
                <w:color w:val="000000"/>
                <w:sz w:val="20"/>
                <w:szCs w:val="20"/>
              </w:rPr>
              <w:t>ÚPVII, MF SR</w:t>
            </w:r>
          </w:p>
        </w:tc>
        <w:tc>
          <w:tcPr>
            <w:tcW w:w="1154" w:type="dxa"/>
            <w:shd w:val="clear" w:color="auto" w:fill="auto"/>
            <w:vAlign w:val="center"/>
          </w:tcPr>
          <w:p w14:paraId="2933593B" w14:textId="77777777" w:rsidR="00386F6D" w:rsidRPr="00666914" w:rsidRDefault="00386F6D">
            <w:pPr>
              <w:spacing w:after="0"/>
              <w:jc w:val="center"/>
              <w:rPr>
                <w:color w:val="000000"/>
                <w:sz w:val="20"/>
                <w:szCs w:val="20"/>
              </w:rPr>
            </w:pPr>
            <w:r w:rsidRPr="00666914">
              <w:rPr>
                <w:color w:val="000000"/>
                <w:sz w:val="20"/>
                <w:szCs w:val="20"/>
              </w:rPr>
              <w:t>31.12.2017</w:t>
            </w:r>
          </w:p>
        </w:tc>
        <w:tc>
          <w:tcPr>
            <w:tcW w:w="1154" w:type="dxa"/>
            <w:vAlign w:val="center"/>
          </w:tcPr>
          <w:p w14:paraId="31F2E322" w14:textId="77777777" w:rsidR="00386F6D" w:rsidRPr="00666914" w:rsidRDefault="00386F6D">
            <w:pPr>
              <w:spacing w:after="0"/>
              <w:rPr>
                <w:color w:val="000000"/>
                <w:sz w:val="20"/>
                <w:szCs w:val="20"/>
              </w:rPr>
            </w:pPr>
            <w:r w:rsidRPr="00666914">
              <w:rPr>
                <w:color w:val="000000"/>
                <w:sz w:val="20"/>
                <w:szCs w:val="20"/>
              </w:rPr>
              <w:t>31.12.2019</w:t>
            </w:r>
          </w:p>
        </w:tc>
        <w:tc>
          <w:tcPr>
            <w:tcW w:w="721" w:type="dxa"/>
            <w:shd w:val="clear" w:color="auto" w:fill="FFC000"/>
            <w:vAlign w:val="bottom"/>
          </w:tcPr>
          <w:p w14:paraId="4E0059C1" w14:textId="77777777" w:rsidR="00386F6D" w:rsidRPr="00666914" w:rsidRDefault="00386F6D">
            <w:pPr>
              <w:spacing w:after="0"/>
              <w:rPr>
                <w:color w:val="000000"/>
                <w:sz w:val="20"/>
                <w:szCs w:val="20"/>
              </w:rPr>
            </w:pPr>
            <w:r w:rsidRPr="00666914">
              <w:rPr>
                <w:color w:val="000000"/>
                <w:sz w:val="20"/>
                <w:szCs w:val="20"/>
              </w:rPr>
              <w:t> </w:t>
            </w:r>
          </w:p>
        </w:tc>
        <w:tc>
          <w:tcPr>
            <w:tcW w:w="721" w:type="dxa"/>
            <w:shd w:val="clear" w:color="auto" w:fill="FFC000"/>
            <w:vAlign w:val="bottom"/>
          </w:tcPr>
          <w:p w14:paraId="7E80291C" w14:textId="77777777" w:rsidR="00386F6D" w:rsidRPr="00666914" w:rsidRDefault="00386F6D">
            <w:pPr>
              <w:spacing w:after="0"/>
              <w:rPr>
                <w:color w:val="000000"/>
                <w:sz w:val="20"/>
                <w:szCs w:val="20"/>
              </w:rPr>
            </w:pPr>
            <w:r w:rsidRPr="00666914">
              <w:rPr>
                <w:color w:val="000000"/>
                <w:sz w:val="20"/>
                <w:szCs w:val="20"/>
              </w:rPr>
              <w:t> </w:t>
            </w:r>
          </w:p>
        </w:tc>
        <w:tc>
          <w:tcPr>
            <w:tcW w:w="721" w:type="dxa"/>
            <w:shd w:val="clear" w:color="auto" w:fill="FFC000"/>
            <w:vAlign w:val="bottom"/>
          </w:tcPr>
          <w:p w14:paraId="15B61BDF" w14:textId="77777777" w:rsidR="00386F6D" w:rsidRPr="00666914" w:rsidRDefault="00386F6D">
            <w:pPr>
              <w:spacing w:after="0"/>
              <w:rPr>
                <w:color w:val="000000"/>
                <w:sz w:val="20"/>
                <w:szCs w:val="20"/>
              </w:rPr>
            </w:pPr>
            <w:r w:rsidRPr="00666914">
              <w:rPr>
                <w:color w:val="000000"/>
                <w:sz w:val="20"/>
                <w:szCs w:val="20"/>
              </w:rPr>
              <w:t> </w:t>
            </w:r>
          </w:p>
        </w:tc>
        <w:tc>
          <w:tcPr>
            <w:tcW w:w="705" w:type="dxa"/>
            <w:shd w:val="clear" w:color="auto" w:fill="FFC000"/>
            <w:vAlign w:val="bottom"/>
          </w:tcPr>
          <w:p w14:paraId="065807DE" w14:textId="77777777" w:rsidR="00386F6D" w:rsidRPr="00666914" w:rsidRDefault="00386F6D">
            <w:pPr>
              <w:spacing w:after="0"/>
              <w:rPr>
                <w:color w:val="000000"/>
                <w:sz w:val="20"/>
                <w:szCs w:val="20"/>
              </w:rPr>
            </w:pPr>
            <w:r w:rsidRPr="00666914">
              <w:rPr>
                <w:color w:val="000000"/>
                <w:sz w:val="20"/>
                <w:szCs w:val="20"/>
              </w:rPr>
              <w:t> </w:t>
            </w:r>
          </w:p>
        </w:tc>
      </w:tr>
    </w:tbl>
    <w:p w14:paraId="7D47E687" w14:textId="77777777" w:rsidR="00386F6D" w:rsidRPr="00666914" w:rsidRDefault="00386F6D">
      <w:pPr>
        <w:spacing w:after="0"/>
      </w:pPr>
    </w:p>
    <w:p w14:paraId="4A63CE7D" w14:textId="77777777" w:rsidR="00386F6D" w:rsidRPr="00666914" w:rsidRDefault="00386F6D" w:rsidP="00131B23">
      <w:pPr>
        <w:numPr>
          <w:ilvl w:val="0"/>
          <w:numId w:val="15"/>
        </w:numPr>
        <w:spacing w:after="0" w:line="259" w:lineRule="auto"/>
        <w:rPr>
          <w:b/>
          <w:u w:val="single"/>
        </w:rPr>
      </w:pPr>
      <w:bookmarkStart w:id="256" w:name="_heading=h.17dp8vu" w:colFirst="0" w:colLast="0"/>
      <w:bookmarkEnd w:id="256"/>
      <w:r w:rsidRPr="00666914">
        <w:rPr>
          <w:b/>
          <w:u w:val="single"/>
        </w:rPr>
        <w:t>Vypracovať záväzný plán migrácie do cloudu a naviazanie na IT rozpočty</w:t>
      </w:r>
    </w:p>
    <w:p w14:paraId="71F57E94" w14:textId="77777777" w:rsidR="00386F6D" w:rsidRPr="00666914" w:rsidRDefault="00386F6D">
      <w:pPr>
        <w:spacing w:after="0" w:line="259" w:lineRule="auto"/>
        <w:rPr>
          <w:b/>
          <w:u w:val="single"/>
        </w:rPr>
      </w:pPr>
    </w:p>
    <w:p w14:paraId="7205E68E" w14:textId="77777777" w:rsidR="00386F6D" w:rsidRPr="00666914" w:rsidRDefault="00386F6D">
      <w:pPr>
        <w:spacing w:after="0"/>
      </w:pPr>
      <w:r w:rsidRPr="00666914">
        <w:rPr>
          <w:b/>
        </w:rPr>
        <w:t>Plánované náklady na rozvoj a prevádzku vládneho cloudu v nasledujúcich 10 rokoch sú viac ako 160 mil. eur</w:t>
      </w:r>
      <w:r w:rsidRPr="00666914">
        <w:rPr>
          <w:b/>
          <w:vertAlign w:val="superscript"/>
        </w:rPr>
        <w:footnoteReference w:id="115"/>
      </w:r>
      <w:r w:rsidRPr="00666914">
        <w:rPr>
          <w:b/>
        </w:rPr>
        <w:t>, stále sa ale nesleduje skutočná spotreba cloudových služieb.</w:t>
      </w:r>
      <w:r w:rsidRPr="00666914">
        <w:t xml:space="preserve"> V roku 2019 sa cloud využíval maximálne na 74 %, dostupné údaje sledujú kapacitu, ktorá je vo vládnom cloude na jednotlivé projekty alokovaná. Údaje o reálnom využití alokovanej kapacity nie sú dostupné</w:t>
      </w:r>
      <w:r w:rsidRPr="00666914">
        <w:rPr>
          <w:vertAlign w:val="superscript"/>
        </w:rPr>
        <w:footnoteReference w:id="116"/>
      </w:r>
      <w:r w:rsidRPr="00666914">
        <w:t xml:space="preserve">. Bez poznania skutočnej spotreby je možné, že potreba dodatočných kapacít je nadhodnotená a dostupné zdroje sú využívané neefektívne. Jedným z nástrojov na zvýšenie efektivity môže byť prenesenie nákladov za spotrebované cloudové služby na jednotlivé úrady, čím by sa vytvoril tlak na žiadateľov optimalizovať svoje požiadavky na kapacitu. </w:t>
      </w:r>
    </w:p>
    <w:p w14:paraId="676AB9EA" w14:textId="77777777" w:rsidR="00386F6D" w:rsidRPr="00666914" w:rsidRDefault="00386F6D">
      <w:pPr>
        <w:spacing w:after="0"/>
      </w:pPr>
    </w:p>
    <w:p w14:paraId="046B283E" w14:textId="60EAA448" w:rsidR="00386F6D" w:rsidRPr="00666914" w:rsidRDefault="00DA6BB0" w:rsidP="00A232BD">
      <w:pPr>
        <w:pStyle w:val="tabulka"/>
      </w:pPr>
      <w:bookmarkStart w:id="257" w:name="_Toc38447709"/>
      <w:r w:rsidRPr="00666914">
        <w:t xml:space="preserve">Tabuľka </w:t>
      </w:r>
      <w:r w:rsidR="00032A13">
        <w:rPr>
          <w:noProof/>
        </w:rPr>
        <w:fldChar w:fldCharType="begin"/>
      </w:r>
      <w:r w:rsidR="00032A13">
        <w:rPr>
          <w:noProof/>
        </w:rPr>
        <w:instrText xml:space="preserve"> SEQ Tabuľka \* ARABIC \* MERGEFORMAT </w:instrText>
      </w:r>
      <w:r w:rsidR="00032A13">
        <w:rPr>
          <w:noProof/>
        </w:rPr>
        <w:fldChar w:fldCharType="separate"/>
      </w:r>
      <w:r w:rsidR="005A7304">
        <w:rPr>
          <w:noProof/>
        </w:rPr>
        <w:t>48</w:t>
      </w:r>
      <w:r w:rsidR="00032A13">
        <w:rPr>
          <w:noProof/>
        </w:rPr>
        <w:fldChar w:fldCharType="end"/>
      </w:r>
      <w:r w:rsidR="00386F6D" w:rsidRPr="00666914">
        <w:t>: Vyťaženosť vládneho cloudu</w:t>
      </w:r>
      <w:bookmarkEnd w:id="257"/>
      <w:r w:rsidR="00386F6D" w:rsidRPr="00666914">
        <w:t xml:space="preserve"> </w:t>
      </w:r>
    </w:p>
    <w:tbl>
      <w:tblPr>
        <w:tblW w:w="9119" w:type="dxa"/>
        <w:tblLayout w:type="fixed"/>
        <w:tblLook w:val="0400" w:firstRow="0" w:lastRow="0" w:firstColumn="0" w:lastColumn="0" w:noHBand="0" w:noVBand="1"/>
      </w:tblPr>
      <w:tblGrid>
        <w:gridCol w:w="3943"/>
        <w:gridCol w:w="1294"/>
        <w:gridCol w:w="1294"/>
        <w:gridCol w:w="1294"/>
        <w:gridCol w:w="1294"/>
      </w:tblGrid>
      <w:tr w:rsidR="00386F6D" w:rsidRPr="00666914" w14:paraId="74FD65AE" w14:textId="77777777">
        <w:trPr>
          <w:trHeight w:val="282"/>
        </w:trPr>
        <w:tc>
          <w:tcPr>
            <w:tcW w:w="3943" w:type="dxa"/>
            <w:tcBorders>
              <w:top w:val="nil"/>
              <w:left w:val="nil"/>
              <w:bottom w:val="single" w:sz="4" w:space="0" w:color="000000"/>
              <w:right w:val="nil"/>
            </w:tcBorders>
            <w:shd w:val="clear" w:color="auto" w:fill="auto"/>
            <w:vAlign w:val="center"/>
          </w:tcPr>
          <w:p w14:paraId="1DF38B06" w14:textId="77777777" w:rsidR="00386F6D" w:rsidRPr="00666914" w:rsidRDefault="00386F6D">
            <w:pPr>
              <w:spacing w:after="0"/>
              <w:jc w:val="left"/>
              <w:rPr>
                <w:b/>
                <w:color w:val="000000"/>
                <w:sz w:val="20"/>
                <w:szCs w:val="20"/>
              </w:rPr>
            </w:pPr>
            <w:r w:rsidRPr="00666914">
              <w:rPr>
                <w:b/>
                <w:color w:val="000000"/>
                <w:sz w:val="20"/>
                <w:szCs w:val="20"/>
              </w:rPr>
              <w:t>CPU</w:t>
            </w:r>
          </w:p>
        </w:tc>
        <w:tc>
          <w:tcPr>
            <w:tcW w:w="1294" w:type="dxa"/>
            <w:tcBorders>
              <w:top w:val="nil"/>
              <w:left w:val="nil"/>
              <w:bottom w:val="single" w:sz="4" w:space="0" w:color="000000"/>
              <w:right w:val="nil"/>
            </w:tcBorders>
            <w:shd w:val="clear" w:color="auto" w:fill="auto"/>
            <w:vAlign w:val="center"/>
          </w:tcPr>
          <w:p w14:paraId="23291702" w14:textId="77777777" w:rsidR="00386F6D" w:rsidRPr="00666914" w:rsidRDefault="00386F6D">
            <w:pPr>
              <w:spacing w:after="0"/>
              <w:jc w:val="center"/>
              <w:rPr>
                <w:b/>
                <w:color w:val="000000"/>
                <w:sz w:val="20"/>
                <w:szCs w:val="20"/>
              </w:rPr>
            </w:pPr>
            <w:r w:rsidRPr="00666914">
              <w:rPr>
                <w:b/>
                <w:color w:val="000000"/>
                <w:sz w:val="20"/>
                <w:szCs w:val="20"/>
              </w:rPr>
              <w:t>2016</w:t>
            </w:r>
          </w:p>
        </w:tc>
        <w:tc>
          <w:tcPr>
            <w:tcW w:w="1294" w:type="dxa"/>
            <w:tcBorders>
              <w:top w:val="nil"/>
              <w:left w:val="nil"/>
              <w:bottom w:val="single" w:sz="4" w:space="0" w:color="000000"/>
              <w:right w:val="nil"/>
            </w:tcBorders>
            <w:shd w:val="clear" w:color="auto" w:fill="auto"/>
            <w:vAlign w:val="center"/>
          </w:tcPr>
          <w:p w14:paraId="7A64798C" w14:textId="77777777" w:rsidR="00386F6D" w:rsidRPr="00666914" w:rsidRDefault="00386F6D">
            <w:pPr>
              <w:spacing w:after="0"/>
              <w:jc w:val="center"/>
              <w:rPr>
                <w:b/>
                <w:color w:val="000000"/>
                <w:sz w:val="20"/>
                <w:szCs w:val="20"/>
              </w:rPr>
            </w:pPr>
            <w:r w:rsidRPr="00666914">
              <w:rPr>
                <w:b/>
                <w:color w:val="000000"/>
                <w:sz w:val="20"/>
                <w:szCs w:val="20"/>
              </w:rPr>
              <w:t>2017</w:t>
            </w:r>
          </w:p>
        </w:tc>
        <w:tc>
          <w:tcPr>
            <w:tcW w:w="1294" w:type="dxa"/>
            <w:tcBorders>
              <w:top w:val="nil"/>
              <w:left w:val="nil"/>
              <w:bottom w:val="single" w:sz="4" w:space="0" w:color="000000"/>
              <w:right w:val="nil"/>
            </w:tcBorders>
            <w:shd w:val="clear" w:color="auto" w:fill="auto"/>
            <w:vAlign w:val="center"/>
          </w:tcPr>
          <w:p w14:paraId="7B97D72F" w14:textId="77777777" w:rsidR="00386F6D" w:rsidRPr="00666914" w:rsidRDefault="00386F6D">
            <w:pPr>
              <w:spacing w:after="0"/>
              <w:jc w:val="center"/>
              <w:rPr>
                <w:b/>
                <w:color w:val="000000"/>
                <w:sz w:val="20"/>
                <w:szCs w:val="20"/>
              </w:rPr>
            </w:pPr>
            <w:r w:rsidRPr="00666914">
              <w:rPr>
                <w:b/>
                <w:color w:val="000000"/>
                <w:sz w:val="20"/>
                <w:szCs w:val="20"/>
              </w:rPr>
              <w:t>2018</w:t>
            </w:r>
          </w:p>
        </w:tc>
        <w:tc>
          <w:tcPr>
            <w:tcW w:w="1294" w:type="dxa"/>
            <w:tcBorders>
              <w:top w:val="nil"/>
              <w:left w:val="nil"/>
              <w:bottom w:val="single" w:sz="4" w:space="0" w:color="000000"/>
              <w:right w:val="nil"/>
            </w:tcBorders>
            <w:shd w:val="clear" w:color="auto" w:fill="auto"/>
            <w:vAlign w:val="center"/>
          </w:tcPr>
          <w:p w14:paraId="0B271280" w14:textId="77777777" w:rsidR="00386F6D" w:rsidRPr="00666914" w:rsidRDefault="00386F6D">
            <w:pPr>
              <w:spacing w:after="0"/>
              <w:jc w:val="center"/>
              <w:rPr>
                <w:b/>
                <w:color w:val="000000"/>
                <w:sz w:val="20"/>
                <w:szCs w:val="20"/>
              </w:rPr>
            </w:pPr>
            <w:r w:rsidRPr="00666914">
              <w:rPr>
                <w:b/>
                <w:color w:val="000000"/>
                <w:sz w:val="20"/>
                <w:szCs w:val="20"/>
              </w:rPr>
              <w:t>2019</w:t>
            </w:r>
          </w:p>
        </w:tc>
      </w:tr>
      <w:tr w:rsidR="00386F6D" w:rsidRPr="00666914" w14:paraId="7BA2556B" w14:textId="77777777">
        <w:trPr>
          <w:trHeight w:val="282"/>
        </w:trPr>
        <w:tc>
          <w:tcPr>
            <w:tcW w:w="3943" w:type="dxa"/>
            <w:tcBorders>
              <w:top w:val="nil"/>
              <w:left w:val="nil"/>
              <w:bottom w:val="nil"/>
              <w:right w:val="nil"/>
            </w:tcBorders>
            <w:shd w:val="clear" w:color="auto" w:fill="auto"/>
            <w:vAlign w:val="center"/>
          </w:tcPr>
          <w:p w14:paraId="3832B25B" w14:textId="77777777" w:rsidR="00386F6D" w:rsidRPr="00666914" w:rsidRDefault="00386F6D">
            <w:pPr>
              <w:spacing w:after="0"/>
              <w:jc w:val="left"/>
              <w:rPr>
                <w:b/>
                <w:color w:val="000000"/>
                <w:sz w:val="20"/>
                <w:szCs w:val="20"/>
              </w:rPr>
            </w:pPr>
            <w:r w:rsidRPr="00666914">
              <w:rPr>
                <w:b/>
                <w:color w:val="000000"/>
                <w:sz w:val="20"/>
                <w:szCs w:val="20"/>
              </w:rPr>
              <w:t>Kapacita vládneho cloudu</w:t>
            </w:r>
          </w:p>
        </w:tc>
        <w:tc>
          <w:tcPr>
            <w:tcW w:w="1294" w:type="dxa"/>
            <w:tcBorders>
              <w:top w:val="nil"/>
              <w:left w:val="nil"/>
              <w:bottom w:val="nil"/>
              <w:right w:val="nil"/>
            </w:tcBorders>
            <w:shd w:val="clear" w:color="auto" w:fill="auto"/>
            <w:vAlign w:val="center"/>
          </w:tcPr>
          <w:p w14:paraId="0BF12780" w14:textId="77777777" w:rsidR="00386F6D" w:rsidRPr="00666914" w:rsidRDefault="00386F6D">
            <w:pPr>
              <w:spacing w:after="0"/>
              <w:jc w:val="center"/>
              <w:rPr>
                <w:color w:val="000000"/>
                <w:sz w:val="20"/>
                <w:szCs w:val="20"/>
              </w:rPr>
            </w:pPr>
            <w:r w:rsidRPr="00666914">
              <w:rPr>
                <w:color w:val="000000"/>
                <w:sz w:val="20"/>
                <w:szCs w:val="20"/>
              </w:rPr>
              <w:t>4 096</w:t>
            </w:r>
          </w:p>
        </w:tc>
        <w:tc>
          <w:tcPr>
            <w:tcW w:w="1294" w:type="dxa"/>
            <w:tcBorders>
              <w:top w:val="nil"/>
              <w:left w:val="nil"/>
              <w:bottom w:val="nil"/>
              <w:right w:val="nil"/>
            </w:tcBorders>
            <w:shd w:val="clear" w:color="auto" w:fill="auto"/>
            <w:vAlign w:val="center"/>
          </w:tcPr>
          <w:p w14:paraId="3D851631" w14:textId="77777777" w:rsidR="00386F6D" w:rsidRPr="00666914" w:rsidRDefault="00386F6D">
            <w:pPr>
              <w:spacing w:after="0"/>
              <w:jc w:val="center"/>
              <w:rPr>
                <w:color w:val="000000"/>
                <w:sz w:val="20"/>
                <w:szCs w:val="20"/>
              </w:rPr>
            </w:pPr>
            <w:r w:rsidRPr="00666914">
              <w:rPr>
                <w:color w:val="000000"/>
                <w:sz w:val="20"/>
                <w:szCs w:val="20"/>
              </w:rPr>
              <w:t>4 096</w:t>
            </w:r>
          </w:p>
        </w:tc>
        <w:tc>
          <w:tcPr>
            <w:tcW w:w="1294" w:type="dxa"/>
            <w:tcBorders>
              <w:top w:val="nil"/>
              <w:left w:val="nil"/>
              <w:bottom w:val="nil"/>
              <w:right w:val="nil"/>
            </w:tcBorders>
            <w:shd w:val="clear" w:color="auto" w:fill="auto"/>
            <w:vAlign w:val="center"/>
          </w:tcPr>
          <w:p w14:paraId="35B13496" w14:textId="77777777" w:rsidR="00386F6D" w:rsidRPr="00666914" w:rsidRDefault="00386F6D">
            <w:pPr>
              <w:spacing w:after="0"/>
              <w:jc w:val="center"/>
              <w:rPr>
                <w:color w:val="000000"/>
                <w:sz w:val="20"/>
                <w:szCs w:val="20"/>
              </w:rPr>
            </w:pPr>
            <w:r w:rsidRPr="00666914">
              <w:rPr>
                <w:color w:val="000000"/>
                <w:sz w:val="20"/>
                <w:szCs w:val="20"/>
              </w:rPr>
              <w:t>4 096</w:t>
            </w:r>
          </w:p>
        </w:tc>
        <w:tc>
          <w:tcPr>
            <w:tcW w:w="1294" w:type="dxa"/>
            <w:tcBorders>
              <w:top w:val="nil"/>
              <w:left w:val="nil"/>
              <w:bottom w:val="nil"/>
              <w:right w:val="nil"/>
            </w:tcBorders>
            <w:shd w:val="clear" w:color="auto" w:fill="auto"/>
            <w:vAlign w:val="center"/>
          </w:tcPr>
          <w:p w14:paraId="6A3B2FB6" w14:textId="77777777" w:rsidR="00386F6D" w:rsidRPr="00666914" w:rsidRDefault="00386F6D">
            <w:pPr>
              <w:spacing w:after="0"/>
              <w:jc w:val="center"/>
              <w:rPr>
                <w:color w:val="000000"/>
                <w:sz w:val="20"/>
                <w:szCs w:val="20"/>
              </w:rPr>
            </w:pPr>
            <w:r w:rsidRPr="00666914">
              <w:rPr>
                <w:color w:val="000000"/>
                <w:sz w:val="20"/>
                <w:szCs w:val="20"/>
              </w:rPr>
              <w:t>4 096</w:t>
            </w:r>
          </w:p>
        </w:tc>
      </w:tr>
      <w:tr w:rsidR="00386F6D" w:rsidRPr="00666914" w14:paraId="73E507F5" w14:textId="77777777">
        <w:trPr>
          <w:trHeight w:val="282"/>
        </w:trPr>
        <w:tc>
          <w:tcPr>
            <w:tcW w:w="3943" w:type="dxa"/>
            <w:tcBorders>
              <w:top w:val="nil"/>
              <w:left w:val="nil"/>
              <w:bottom w:val="nil"/>
              <w:right w:val="nil"/>
            </w:tcBorders>
            <w:shd w:val="clear" w:color="auto" w:fill="auto"/>
            <w:vAlign w:val="center"/>
          </w:tcPr>
          <w:p w14:paraId="1DB3F730" w14:textId="77777777" w:rsidR="00386F6D" w:rsidRPr="00666914" w:rsidRDefault="00386F6D" w:rsidP="00905BD2">
            <w:pPr>
              <w:spacing w:after="0"/>
              <w:jc w:val="left"/>
              <w:rPr>
                <w:b/>
                <w:color w:val="000000"/>
                <w:sz w:val="20"/>
                <w:szCs w:val="20"/>
              </w:rPr>
            </w:pPr>
            <w:r w:rsidRPr="00666914">
              <w:rPr>
                <w:b/>
                <w:color w:val="000000"/>
                <w:sz w:val="20"/>
                <w:szCs w:val="20"/>
              </w:rPr>
              <w:t xml:space="preserve">Alokácia DC Tajov </w:t>
            </w:r>
          </w:p>
        </w:tc>
        <w:tc>
          <w:tcPr>
            <w:tcW w:w="1294" w:type="dxa"/>
            <w:tcBorders>
              <w:top w:val="nil"/>
              <w:left w:val="nil"/>
              <w:bottom w:val="nil"/>
              <w:right w:val="nil"/>
            </w:tcBorders>
            <w:shd w:val="clear" w:color="auto" w:fill="auto"/>
            <w:vAlign w:val="center"/>
          </w:tcPr>
          <w:p w14:paraId="1C1EB618" w14:textId="77777777" w:rsidR="00386F6D" w:rsidRPr="00666914" w:rsidRDefault="00386F6D">
            <w:pPr>
              <w:spacing w:after="0"/>
              <w:jc w:val="center"/>
              <w:rPr>
                <w:color w:val="000000"/>
                <w:sz w:val="20"/>
                <w:szCs w:val="20"/>
              </w:rPr>
            </w:pPr>
            <w:r w:rsidRPr="00666914">
              <w:rPr>
                <w:color w:val="000000"/>
                <w:sz w:val="20"/>
                <w:szCs w:val="20"/>
              </w:rPr>
              <w:t>0</w:t>
            </w:r>
          </w:p>
        </w:tc>
        <w:tc>
          <w:tcPr>
            <w:tcW w:w="1294" w:type="dxa"/>
            <w:tcBorders>
              <w:top w:val="nil"/>
              <w:left w:val="nil"/>
              <w:bottom w:val="nil"/>
              <w:right w:val="nil"/>
            </w:tcBorders>
            <w:shd w:val="clear" w:color="auto" w:fill="auto"/>
            <w:vAlign w:val="center"/>
          </w:tcPr>
          <w:p w14:paraId="613C7F66" w14:textId="77777777" w:rsidR="00386F6D" w:rsidRPr="00666914" w:rsidRDefault="00386F6D">
            <w:pPr>
              <w:spacing w:after="0"/>
              <w:jc w:val="center"/>
              <w:rPr>
                <w:color w:val="000000"/>
                <w:sz w:val="20"/>
                <w:szCs w:val="20"/>
              </w:rPr>
            </w:pPr>
            <w:r w:rsidRPr="00666914">
              <w:rPr>
                <w:color w:val="000000"/>
                <w:sz w:val="20"/>
                <w:szCs w:val="20"/>
              </w:rPr>
              <w:t>816</w:t>
            </w:r>
          </w:p>
        </w:tc>
        <w:tc>
          <w:tcPr>
            <w:tcW w:w="1294" w:type="dxa"/>
            <w:tcBorders>
              <w:top w:val="nil"/>
              <w:left w:val="nil"/>
              <w:bottom w:val="nil"/>
              <w:right w:val="nil"/>
            </w:tcBorders>
            <w:shd w:val="clear" w:color="auto" w:fill="auto"/>
            <w:vAlign w:val="center"/>
          </w:tcPr>
          <w:p w14:paraId="68F04D3C" w14:textId="77777777" w:rsidR="00386F6D" w:rsidRPr="00666914" w:rsidRDefault="00386F6D">
            <w:pPr>
              <w:spacing w:after="0"/>
              <w:jc w:val="center"/>
              <w:rPr>
                <w:color w:val="000000"/>
                <w:sz w:val="20"/>
                <w:szCs w:val="20"/>
              </w:rPr>
            </w:pPr>
            <w:r w:rsidRPr="00666914">
              <w:rPr>
                <w:color w:val="000000"/>
                <w:sz w:val="20"/>
                <w:szCs w:val="20"/>
              </w:rPr>
              <w:t>858</w:t>
            </w:r>
          </w:p>
        </w:tc>
        <w:tc>
          <w:tcPr>
            <w:tcW w:w="1294" w:type="dxa"/>
            <w:tcBorders>
              <w:top w:val="nil"/>
              <w:left w:val="nil"/>
              <w:bottom w:val="nil"/>
              <w:right w:val="nil"/>
            </w:tcBorders>
            <w:shd w:val="clear" w:color="auto" w:fill="auto"/>
            <w:vAlign w:val="center"/>
          </w:tcPr>
          <w:p w14:paraId="65CFE730" w14:textId="77777777" w:rsidR="00386F6D" w:rsidRPr="00666914" w:rsidRDefault="00386F6D">
            <w:pPr>
              <w:spacing w:after="0"/>
              <w:jc w:val="center"/>
              <w:rPr>
                <w:color w:val="000000"/>
                <w:sz w:val="20"/>
                <w:szCs w:val="20"/>
              </w:rPr>
            </w:pPr>
            <w:r w:rsidRPr="00666914">
              <w:rPr>
                <w:color w:val="000000"/>
                <w:sz w:val="20"/>
                <w:szCs w:val="20"/>
              </w:rPr>
              <w:t>987</w:t>
            </w:r>
          </w:p>
        </w:tc>
      </w:tr>
      <w:tr w:rsidR="00386F6D" w:rsidRPr="00666914" w14:paraId="108E985F" w14:textId="77777777">
        <w:trPr>
          <w:trHeight w:val="282"/>
        </w:trPr>
        <w:tc>
          <w:tcPr>
            <w:tcW w:w="3943" w:type="dxa"/>
            <w:tcBorders>
              <w:top w:val="nil"/>
              <w:left w:val="nil"/>
              <w:bottom w:val="nil"/>
              <w:right w:val="nil"/>
            </w:tcBorders>
            <w:shd w:val="clear" w:color="auto" w:fill="auto"/>
            <w:vAlign w:val="center"/>
          </w:tcPr>
          <w:p w14:paraId="346F34F2" w14:textId="77777777" w:rsidR="00386F6D" w:rsidRPr="00666914" w:rsidRDefault="00386F6D" w:rsidP="00905BD2">
            <w:pPr>
              <w:spacing w:after="0"/>
              <w:jc w:val="left"/>
              <w:rPr>
                <w:b/>
                <w:color w:val="000000"/>
                <w:sz w:val="20"/>
                <w:szCs w:val="20"/>
              </w:rPr>
            </w:pPr>
            <w:r w:rsidRPr="00666914">
              <w:rPr>
                <w:b/>
                <w:color w:val="000000"/>
                <w:sz w:val="20"/>
                <w:szCs w:val="20"/>
              </w:rPr>
              <w:t xml:space="preserve">Alokácia DC Kopčianska </w:t>
            </w:r>
          </w:p>
        </w:tc>
        <w:tc>
          <w:tcPr>
            <w:tcW w:w="1294" w:type="dxa"/>
            <w:tcBorders>
              <w:top w:val="nil"/>
              <w:left w:val="nil"/>
              <w:bottom w:val="nil"/>
              <w:right w:val="nil"/>
            </w:tcBorders>
            <w:shd w:val="clear" w:color="auto" w:fill="auto"/>
            <w:vAlign w:val="center"/>
          </w:tcPr>
          <w:p w14:paraId="294EF3F8" w14:textId="77777777" w:rsidR="00386F6D" w:rsidRPr="00666914" w:rsidRDefault="00386F6D">
            <w:pPr>
              <w:spacing w:after="0"/>
              <w:jc w:val="center"/>
              <w:rPr>
                <w:color w:val="000000"/>
                <w:sz w:val="20"/>
                <w:szCs w:val="20"/>
              </w:rPr>
            </w:pPr>
            <w:r w:rsidRPr="00666914">
              <w:rPr>
                <w:color w:val="000000"/>
                <w:sz w:val="20"/>
                <w:szCs w:val="20"/>
              </w:rPr>
              <w:t>12</w:t>
            </w:r>
          </w:p>
        </w:tc>
        <w:tc>
          <w:tcPr>
            <w:tcW w:w="1294" w:type="dxa"/>
            <w:tcBorders>
              <w:top w:val="nil"/>
              <w:left w:val="nil"/>
              <w:bottom w:val="nil"/>
              <w:right w:val="nil"/>
            </w:tcBorders>
            <w:shd w:val="clear" w:color="auto" w:fill="auto"/>
            <w:vAlign w:val="center"/>
          </w:tcPr>
          <w:p w14:paraId="54F23295" w14:textId="77777777" w:rsidR="00386F6D" w:rsidRPr="00666914" w:rsidRDefault="00386F6D">
            <w:pPr>
              <w:spacing w:after="0"/>
              <w:jc w:val="center"/>
              <w:rPr>
                <w:color w:val="000000"/>
                <w:sz w:val="20"/>
                <w:szCs w:val="20"/>
              </w:rPr>
            </w:pPr>
            <w:r w:rsidRPr="00666914">
              <w:rPr>
                <w:color w:val="000000"/>
                <w:sz w:val="20"/>
                <w:szCs w:val="20"/>
              </w:rPr>
              <w:t>1389</w:t>
            </w:r>
          </w:p>
        </w:tc>
        <w:tc>
          <w:tcPr>
            <w:tcW w:w="1294" w:type="dxa"/>
            <w:tcBorders>
              <w:top w:val="nil"/>
              <w:left w:val="nil"/>
              <w:bottom w:val="nil"/>
              <w:right w:val="nil"/>
            </w:tcBorders>
            <w:shd w:val="clear" w:color="auto" w:fill="auto"/>
            <w:vAlign w:val="center"/>
          </w:tcPr>
          <w:p w14:paraId="6A8B4E86" w14:textId="77777777" w:rsidR="00386F6D" w:rsidRPr="00666914" w:rsidRDefault="00386F6D">
            <w:pPr>
              <w:spacing w:after="0"/>
              <w:jc w:val="center"/>
              <w:rPr>
                <w:color w:val="000000"/>
                <w:sz w:val="20"/>
                <w:szCs w:val="20"/>
              </w:rPr>
            </w:pPr>
            <w:r w:rsidRPr="00666914">
              <w:rPr>
                <w:color w:val="000000"/>
                <w:sz w:val="20"/>
                <w:szCs w:val="20"/>
              </w:rPr>
              <w:t>1546</w:t>
            </w:r>
          </w:p>
        </w:tc>
        <w:tc>
          <w:tcPr>
            <w:tcW w:w="1294" w:type="dxa"/>
            <w:tcBorders>
              <w:top w:val="nil"/>
              <w:left w:val="nil"/>
              <w:bottom w:val="nil"/>
              <w:right w:val="nil"/>
            </w:tcBorders>
            <w:shd w:val="clear" w:color="auto" w:fill="auto"/>
            <w:vAlign w:val="center"/>
          </w:tcPr>
          <w:p w14:paraId="7D50670F" w14:textId="77777777" w:rsidR="00386F6D" w:rsidRPr="00666914" w:rsidRDefault="00386F6D">
            <w:pPr>
              <w:spacing w:after="0"/>
              <w:jc w:val="center"/>
              <w:rPr>
                <w:color w:val="000000"/>
                <w:sz w:val="20"/>
                <w:szCs w:val="20"/>
              </w:rPr>
            </w:pPr>
            <w:r w:rsidRPr="00666914">
              <w:rPr>
                <w:color w:val="000000"/>
                <w:sz w:val="20"/>
                <w:szCs w:val="20"/>
              </w:rPr>
              <w:t>2048</w:t>
            </w:r>
          </w:p>
        </w:tc>
      </w:tr>
      <w:tr w:rsidR="00386F6D" w:rsidRPr="00666914" w14:paraId="69CB7FC5" w14:textId="77777777">
        <w:trPr>
          <w:trHeight w:val="282"/>
        </w:trPr>
        <w:tc>
          <w:tcPr>
            <w:tcW w:w="3943" w:type="dxa"/>
            <w:tcBorders>
              <w:top w:val="nil"/>
              <w:left w:val="nil"/>
              <w:bottom w:val="nil"/>
              <w:right w:val="nil"/>
            </w:tcBorders>
            <w:shd w:val="clear" w:color="auto" w:fill="auto"/>
            <w:vAlign w:val="center"/>
          </w:tcPr>
          <w:p w14:paraId="497839F8" w14:textId="77777777" w:rsidR="00386F6D" w:rsidRPr="00666914" w:rsidRDefault="00386F6D">
            <w:pPr>
              <w:spacing w:after="0"/>
              <w:jc w:val="left"/>
              <w:rPr>
                <w:b/>
                <w:color w:val="000000"/>
                <w:sz w:val="20"/>
                <w:szCs w:val="20"/>
              </w:rPr>
            </w:pPr>
            <w:r w:rsidRPr="00666914">
              <w:rPr>
                <w:b/>
                <w:color w:val="000000"/>
                <w:sz w:val="20"/>
                <w:szCs w:val="20"/>
              </w:rPr>
              <w:t>Alokácia Celkom</w:t>
            </w:r>
          </w:p>
        </w:tc>
        <w:tc>
          <w:tcPr>
            <w:tcW w:w="1294" w:type="dxa"/>
            <w:tcBorders>
              <w:top w:val="nil"/>
              <w:left w:val="nil"/>
              <w:bottom w:val="nil"/>
              <w:right w:val="nil"/>
            </w:tcBorders>
            <w:shd w:val="clear" w:color="auto" w:fill="auto"/>
            <w:vAlign w:val="center"/>
          </w:tcPr>
          <w:p w14:paraId="2454C78C" w14:textId="77777777" w:rsidR="00386F6D" w:rsidRPr="00666914" w:rsidRDefault="00386F6D">
            <w:pPr>
              <w:spacing w:after="0"/>
              <w:jc w:val="center"/>
              <w:rPr>
                <w:color w:val="000000"/>
                <w:sz w:val="20"/>
                <w:szCs w:val="20"/>
              </w:rPr>
            </w:pPr>
            <w:r w:rsidRPr="00666914">
              <w:rPr>
                <w:color w:val="000000"/>
                <w:sz w:val="20"/>
                <w:szCs w:val="20"/>
              </w:rPr>
              <w:t>12</w:t>
            </w:r>
          </w:p>
        </w:tc>
        <w:tc>
          <w:tcPr>
            <w:tcW w:w="1294" w:type="dxa"/>
            <w:tcBorders>
              <w:top w:val="nil"/>
              <w:left w:val="nil"/>
              <w:bottom w:val="nil"/>
              <w:right w:val="nil"/>
            </w:tcBorders>
            <w:shd w:val="clear" w:color="auto" w:fill="auto"/>
            <w:vAlign w:val="center"/>
          </w:tcPr>
          <w:p w14:paraId="63780147" w14:textId="77777777" w:rsidR="00386F6D" w:rsidRPr="00666914" w:rsidRDefault="00386F6D">
            <w:pPr>
              <w:spacing w:after="0"/>
              <w:jc w:val="center"/>
              <w:rPr>
                <w:color w:val="000000"/>
                <w:sz w:val="20"/>
                <w:szCs w:val="20"/>
              </w:rPr>
            </w:pPr>
            <w:r w:rsidRPr="00666914">
              <w:rPr>
                <w:color w:val="000000"/>
                <w:sz w:val="20"/>
                <w:szCs w:val="20"/>
              </w:rPr>
              <w:t>2205</w:t>
            </w:r>
          </w:p>
        </w:tc>
        <w:tc>
          <w:tcPr>
            <w:tcW w:w="1294" w:type="dxa"/>
            <w:tcBorders>
              <w:top w:val="nil"/>
              <w:left w:val="nil"/>
              <w:bottom w:val="nil"/>
              <w:right w:val="nil"/>
            </w:tcBorders>
            <w:shd w:val="clear" w:color="auto" w:fill="auto"/>
            <w:vAlign w:val="center"/>
          </w:tcPr>
          <w:p w14:paraId="0DD5DC35" w14:textId="77777777" w:rsidR="00386F6D" w:rsidRPr="00666914" w:rsidRDefault="00386F6D">
            <w:pPr>
              <w:spacing w:after="0"/>
              <w:jc w:val="center"/>
              <w:rPr>
                <w:color w:val="000000"/>
                <w:sz w:val="20"/>
                <w:szCs w:val="20"/>
              </w:rPr>
            </w:pPr>
            <w:r w:rsidRPr="00666914">
              <w:rPr>
                <w:color w:val="000000"/>
                <w:sz w:val="20"/>
                <w:szCs w:val="20"/>
              </w:rPr>
              <w:t>2404</w:t>
            </w:r>
          </w:p>
        </w:tc>
        <w:tc>
          <w:tcPr>
            <w:tcW w:w="1294" w:type="dxa"/>
            <w:tcBorders>
              <w:top w:val="nil"/>
              <w:left w:val="nil"/>
              <w:bottom w:val="nil"/>
              <w:right w:val="nil"/>
            </w:tcBorders>
            <w:shd w:val="clear" w:color="auto" w:fill="auto"/>
            <w:vAlign w:val="center"/>
          </w:tcPr>
          <w:p w14:paraId="606DA7CE" w14:textId="77777777" w:rsidR="00386F6D" w:rsidRPr="00666914" w:rsidRDefault="00386F6D">
            <w:pPr>
              <w:spacing w:after="0"/>
              <w:jc w:val="center"/>
              <w:rPr>
                <w:color w:val="000000"/>
                <w:sz w:val="20"/>
                <w:szCs w:val="20"/>
              </w:rPr>
            </w:pPr>
            <w:r w:rsidRPr="00666914">
              <w:rPr>
                <w:color w:val="000000"/>
                <w:sz w:val="20"/>
                <w:szCs w:val="20"/>
              </w:rPr>
              <w:t>3035</w:t>
            </w:r>
          </w:p>
        </w:tc>
      </w:tr>
      <w:tr w:rsidR="00386F6D" w:rsidRPr="00666914" w14:paraId="31F2CE10" w14:textId="77777777">
        <w:trPr>
          <w:trHeight w:val="282"/>
        </w:trPr>
        <w:tc>
          <w:tcPr>
            <w:tcW w:w="3943" w:type="dxa"/>
            <w:tcBorders>
              <w:top w:val="nil"/>
              <w:left w:val="nil"/>
              <w:bottom w:val="single" w:sz="4" w:space="0" w:color="000000"/>
              <w:right w:val="nil"/>
            </w:tcBorders>
            <w:shd w:val="clear" w:color="auto" w:fill="auto"/>
            <w:vAlign w:val="center"/>
          </w:tcPr>
          <w:p w14:paraId="3EF1A506" w14:textId="77777777" w:rsidR="00386F6D" w:rsidRPr="00666914" w:rsidRDefault="00386F6D">
            <w:pPr>
              <w:spacing w:after="0"/>
              <w:jc w:val="left"/>
              <w:rPr>
                <w:b/>
                <w:color w:val="000000"/>
                <w:sz w:val="20"/>
                <w:szCs w:val="20"/>
              </w:rPr>
            </w:pPr>
            <w:r w:rsidRPr="00666914">
              <w:rPr>
                <w:b/>
                <w:color w:val="000000"/>
                <w:sz w:val="20"/>
                <w:szCs w:val="20"/>
              </w:rPr>
              <w:t>Vyťaženosť</w:t>
            </w:r>
          </w:p>
        </w:tc>
        <w:tc>
          <w:tcPr>
            <w:tcW w:w="1294" w:type="dxa"/>
            <w:tcBorders>
              <w:top w:val="nil"/>
              <w:left w:val="nil"/>
              <w:bottom w:val="single" w:sz="4" w:space="0" w:color="000000"/>
              <w:right w:val="nil"/>
            </w:tcBorders>
            <w:shd w:val="clear" w:color="auto" w:fill="auto"/>
            <w:vAlign w:val="center"/>
          </w:tcPr>
          <w:p w14:paraId="5754A5B4" w14:textId="77777777" w:rsidR="00386F6D" w:rsidRPr="00666914" w:rsidRDefault="00386F6D">
            <w:pPr>
              <w:spacing w:after="0"/>
              <w:jc w:val="center"/>
              <w:rPr>
                <w:color w:val="000000"/>
                <w:sz w:val="20"/>
                <w:szCs w:val="20"/>
              </w:rPr>
            </w:pPr>
            <w:r w:rsidRPr="00666914">
              <w:rPr>
                <w:color w:val="000000"/>
                <w:sz w:val="20"/>
                <w:szCs w:val="20"/>
              </w:rPr>
              <w:t>0,3 %</w:t>
            </w:r>
          </w:p>
        </w:tc>
        <w:tc>
          <w:tcPr>
            <w:tcW w:w="1294" w:type="dxa"/>
            <w:tcBorders>
              <w:top w:val="nil"/>
              <w:left w:val="nil"/>
              <w:bottom w:val="single" w:sz="4" w:space="0" w:color="000000"/>
              <w:right w:val="nil"/>
            </w:tcBorders>
            <w:shd w:val="clear" w:color="auto" w:fill="auto"/>
            <w:vAlign w:val="center"/>
          </w:tcPr>
          <w:p w14:paraId="6565D204" w14:textId="77777777" w:rsidR="00386F6D" w:rsidRPr="00666914" w:rsidRDefault="00386F6D">
            <w:pPr>
              <w:spacing w:after="0"/>
              <w:jc w:val="center"/>
              <w:rPr>
                <w:color w:val="000000"/>
                <w:sz w:val="20"/>
                <w:szCs w:val="20"/>
              </w:rPr>
            </w:pPr>
            <w:r w:rsidRPr="00666914">
              <w:rPr>
                <w:color w:val="000000"/>
                <w:sz w:val="20"/>
                <w:szCs w:val="20"/>
              </w:rPr>
              <w:t>53,8 %</w:t>
            </w:r>
          </w:p>
        </w:tc>
        <w:tc>
          <w:tcPr>
            <w:tcW w:w="1294" w:type="dxa"/>
            <w:tcBorders>
              <w:top w:val="nil"/>
              <w:left w:val="nil"/>
              <w:bottom w:val="single" w:sz="4" w:space="0" w:color="000000"/>
              <w:right w:val="nil"/>
            </w:tcBorders>
            <w:shd w:val="clear" w:color="auto" w:fill="auto"/>
            <w:vAlign w:val="center"/>
          </w:tcPr>
          <w:p w14:paraId="0E36C550" w14:textId="77777777" w:rsidR="00386F6D" w:rsidRPr="00666914" w:rsidRDefault="00386F6D">
            <w:pPr>
              <w:spacing w:after="0"/>
              <w:jc w:val="center"/>
              <w:rPr>
                <w:color w:val="000000"/>
                <w:sz w:val="20"/>
                <w:szCs w:val="20"/>
              </w:rPr>
            </w:pPr>
            <w:r w:rsidRPr="00666914">
              <w:rPr>
                <w:color w:val="000000"/>
                <w:sz w:val="20"/>
                <w:szCs w:val="20"/>
              </w:rPr>
              <w:t>58,7 %</w:t>
            </w:r>
          </w:p>
        </w:tc>
        <w:tc>
          <w:tcPr>
            <w:tcW w:w="1294" w:type="dxa"/>
            <w:tcBorders>
              <w:top w:val="nil"/>
              <w:left w:val="nil"/>
              <w:bottom w:val="single" w:sz="4" w:space="0" w:color="000000"/>
              <w:right w:val="nil"/>
            </w:tcBorders>
            <w:shd w:val="clear" w:color="auto" w:fill="auto"/>
            <w:vAlign w:val="center"/>
          </w:tcPr>
          <w:p w14:paraId="663C4A14" w14:textId="77777777" w:rsidR="00386F6D" w:rsidRPr="00666914" w:rsidRDefault="00386F6D">
            <w:pPr>
              <w:spacing w:after="0"/>
              <w:jc w:val="center"/>
              <w:rPr>
                <w:color w:val="000000"/>
                <w:sz w:val="20"/>
                <w:szCs w:val="20"/>
              </w:rPr>
            </w:pPr>
            <w:r w:rsidRPr="00666914">
              <w:rPr>
                <w:color w:val="000000"/>
                <w:sz w:val="20"/>
                <w:szCs w:val="20"/>
              </w:rPr>
              <w:t>74,1 %</w:t>
            </w:r>
          </w:p>
        </w:tc>
      </w:tr>
    </w:tbl>
    <w:p w14:paraId="4AD80BC3" w14:textId="77777777" w:rsidR="00386F6D" w:rsidRPr="00666914" w:rsidRDefault="00386F6D">
      <w:pPr>
        <w:spacing w:after="0"/>
        <w:jc w:val="right"/>
        <w:rPr>
          <w:i/>
          <w:color w:val="000000"/>
          <w:sz w:val="18"/>
          <w:szCs w:val="18"/>
        </w:rPr>
      </w:pPr>
      <w:r w:rsidRPr="00666914">
        <w:rPr>
          <w:i/>
          <w:color w:val="000000"/>
          <w:sz w:val="18"/>
          <w:szCs w:val="18"/>
        </w:rPr>
        <w:t xml:space="preserve">Zdroj: Štúdie uskutočniteľnosti DC Tajov a DC Kopčianska, spracovanie IJ </w:t>
      </w:r>
    </w:p>
    <w:p w14:paraId="5D480A69" w14:textId="77777777" w:rsidR="00386F6D" w:rsidRPr="00666914" w:rsidRDefault="00386F6D">
      <w:pPr>
        <w:spacing w:after="0"/>
      </w:pPr>
    </w:p>
    <w:p w14:paraId="2FC43E6E" w14:textId="72B25F39" w:rsidR="00386F6D" w:rsidRPr="00666914" w:rsidRDefault="00386F6D">
      <w:pPr>
        <w:spacing w:after="0"/>
      </w:pPr>
      <w:r w:rsidRPr="00666914">
        <w:rPr>
          <w:b/>
        </w:rPr>
        <w:t xml:space="preserve">ÚPVII zbiera migračné plány, nesleduje ale ich skutočné plnenie. Migrácia IS VS nie je naviazaná na IT rozpočty kapitol. </w:t>
      </w:r>
      <w:r w:rsidRPr="00666914">
        <w:t>Migračné plány doručilo 129 organizácií, z toho 11 ministerstiev</w:t>
      </w:r>
      <w:r w:rsidRPr="00666914">
        <w:rPr>
          <w:vertAlign w:val="superscript"/>
        </w:rPr>
        <w:footnoteReference w:id="117"/>
      </w:r>
      <w:r w:rsidRPr="00666914">
        <w:t xml:space="preserve"> (z celkového počtu 13). Na základe informácií z migračných plánov malo byť v roku 2019 premiestnených do cloudu 151 IS VS, skutočný počet migrovaných IS VS nie je dostupný. Do konca roku 2019 bola plánovaná migrácia 16 % (255) všetkých IS VS. Na základe aktuálnej podoby migračných plánov nie je možné vyhodnotiť, či sa migráciou do vládneho cloudu dosiahne úspora stanovená v Revízii výdavkov na informatizáciu vo výške 10</w:t>
      </w:r>
      <w:r w:rsidR="00745CEA" w:rsidRPr="00666914">
        <w:t xml:space="preserve"> </w:t>
      </w:r>
      <w:r w:rsidRPr="00666914">
        <w:t>-</w:t>
      </w:r>
      <w:r w:rsidR="00745CEA" w:rsidRPr="00666914">
        <w:t xml:space="preserve"> </w:t>
      </w:r>
      <w:r w:rsidRPr="00666914">
        <w:t xml:space="preserve">15 mil. eur ročne. </w:t>
      </w:r>
    </w:p>
    <w:p w14:paraId="169BC519" w14:textId="77777777" w:rsidR="00386F6D" w:rsidRPr="00666914" w:rsidRDefault="00386F6D">
      <w:pPr>
        <w:spacing w:after="0"/>
      </w:pPr>
    </w:p>
    <w:p w14:paraId="70E52054" w14:textId="77777777" w:rsidR="00386F6D" w:rsidRPr="00666914" w:rsidRDefault="00386F6D">
      <w:pPr>
        <w:spacing w:after="0"/>
      </w:pPr>
      <w:r w:rsidRPr="00666914">
        <w:t xml:space="preserve">IJ požadovala formou hlavných odporúčaní úpravu migračných plánov a naviazanie migrácie na IT rozpočty, podľa ÚPVII boli v roku 2019 nastavené podmienky v súlade so znením opatrenia. Všetky budúce žiadosti by mali byť podmienené vytvorením projektu v MetaIS a naviazaním projektu na rozpočet. </w:t>
      </w:r>
    </w:p>
    <w:p w14:paraId="211624F6" w14:textId="77777777" w:rsidR="00386F6D" w:rsidRPr="00666914" w:rsidRDefault="00386F6D">
      <w:pPr>
        <w:spacing w:after="0"/>
      </w:pPr>
    </w:p>
    <w:p w14:paraId="0AC91300" w14:textId="614D9963" w:rsidR="00386F6D" w:rsidRPr="00666914" w:rsidRDefault="00386F6D" w:rsidP="00905C95">
      <w:pPr>
        <w:pBdr>
          <w:bottom w:val="single" w:sz="4" w:space="1" w:color="auto"/>
        </w:pBdr>
        <w:spacing w:after="0" w:line="259" w:lineRule="auto"/>
        <w:jc w:val="left"/>
        <w:rPr>
          <w:b/>
          <w:sz w:val="20"/>
          <w:szCs w:val="20"/>
        </w:rPr>
      </w:pPr>
      <w:r w:rsidRPr="00666914">
        <w:br w:type="page"/>
      </w:r>
      <w:bookmarkStart w:id="258" w:name="_heading=h.3rdcrjn" w:colFirst="0" w:colLast="0"/>
      <w:bookmarkStart w:id="259" w:name="_Toc38390057"/>
      <w:bookmarkEnd w:id="258"/>
      <w:r w:rsidR="001E2179" w:rsidRPr="00666914">
        <w:rPr>
          <w:b/>
          <w:sz w:val="20"/>
          <w:szCs w:val="20"/>
        </w:rPr>
        <w:lastRenderedPageBreak/>
        <w:t xml:space="preserve">Graf </w:t>
      </w:r>
      <w:r w:rsidR="001E2179" w:rsidRPr="00666914">
        <w:rPr>
          <w:b/>
          <w:sz w:val="20"/>
          <w:szCs w:val="20"/>
        </w:rPr>
        <w:fldChar w:fldCharType="begin"/>
      </w:r>
      <w:r w:rsidR="001E2179" w:rsidRPr="00666914">
        <w:rPr>
          <w:b/>
          <w:sz w:val="20"/>
          <w:szCs w:val="20"/>
        </w:rPr>
        <w:instrText xml:space="preserve"> SEQ Graf \* ARABIC   \* MERGEFORMAT </w:instrText>
      </w:r>
      <w:r w:rsidR="001E2179" w:rsidRPr="00666914">
        <w:rPr>
          <w:b/>
          <w:sz w:val="20"/>
          <w:szCs w:val="20"/>
        </w:rPr>
        <w:fldChar w:fldCharType="separate"/>
      </w:r>
      <w:r w:rsidR="005A7304">
        <w:rPr>
          <w:b/>
          <w:noProof/>
          <w:sz w:val="20"/>
          <w:szCs w:val="20"/>
        </w:rPr>
        <w:t>13</w:t>
      </w:r>
      <w:r w:rsidR="001E2179" w:rsidRPr="00666914">
        <w:rPr>
          <w:b/>
          <w:sz w:val="20"/>
          <w:szCs w:val="20"/>
        </w:rPr>
        <w:fldChar w:fldCharType="end"/>
      </w:r>
      <w:r w:rsidRPr="00666914">
        <w:rPr>
          <w:b/>
          <w:sz w:val="20"/>
          <w:szCs w:val="20"/>
        </w:rPr>
        <w:t>: Plánovaná migrácia vo virtuálnych CPU (vľavo) a podľa počtu IS VS (vpravo)</w:t>
      </w:r>
      <w:bookmarkEnd w:id="259"/>
    </w:p>
    <w:p w14:paraId="5EEAA0EB" w14:textId="77777777" w:rsidR="00386F6D" w:rsidRPr="00666914" w:rsidRDefault="00386F6D">
      <w:pPr>
        <w:spacing w:after="0"/>
        <w:jc w:val="left"/>
      </w:pPr>
      <w:r w:rsidRPr="00666914">
        <w:rPr>
          <w:noProof/>
          <w:lang w:eastAsia="sk-SK"/>
        </w:rPr>
        <w:drawing>
          <wp:inline distT="0" distB="0" distL="0" distR="0" wp14:anchorId="78BB8FEB" wp14:editId="3724073E">
            <wp:extent cx="2895600" cy="2476500"/>
            <wp:effectExtent l="0" t="0" r="0" b="0"/>
            <wp:docPr id="70" name="Graf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666914">
        <w:rPr>
          <w:noProof/>
          <w:lang w:eastAsia="sk-SK"/>
        </w:rPr>
        <w:drawing>
          <wp:inline distT="0" distB="0" distL="0" distR="0" wp14:anchorId="1728CC6D" wp14:editId="49CD4B2D">
            <wp:extent cx="2857500" cy="2476500"/>
            <wp:effectExtent l="0" t="0" r="0" b="0"/>
            <wp:docPr id="69" name="Graf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A2C40DE" w14:textId="77777777" w:rsidR="00386F6D" w:rsidRPr="00666914" w:rsidRDefault="00386F6D">
      <w:pPr>
        <w:pBdr>
          <w:top w:val="single" w:sz="4" w:space="1" w:color="000000"/>
        </w:pBdr>
        <w:spacing w:after="0"/>
        <w:ind w:firstLine="360"/>
        <w:jc w:val="right"/>
        <w:rPr>
          <w:i/>
          <w:sz w:val="18"/>
          <w:szCs w:val="18"/>
        </w:rPr>
      </w:pPr>
      <w:r w:rsidRPr="00666914">
        <w:rPr>
          <w:i/>
          <w:sz w:val="18"/>
          <w:szCs w:val="18"/>
        </w:rPr>
        <w:t xml:space="preserve"> Zdroj:</w:t>
      </w:r>
      <w:r w:rsidRPr="00666914">
        <w:rPr>
          <w:i/>
        </w:rPr>
        <w:t xml:space="preserve"> </w:t>
      </w:r>
      <w:r w:rsidRPr="00666914">
        <w:rPr>
          <w:i/>
          <w:sz w:val="18"/>
          <w:szCs w:val="18"/>
        </w:rPr>
        <w:t>ÚPVII, spracovanie IJ</w:t>
      </w:r>
    </w:p>
    <w:p w14:paraId="3EC17B43" w14:textId="77777777" w:rsidR="00386F6D" w:rsidRPr="00666914" w:rsidRDefault="00386F6D">
      <w:pPr>
        <w:spacing w:before="240" w:after="0"/>
        <w:rPr>
          <w:b/>
        </w:rPr>
      </w:pPr>
      <w:r w:rsidRPr="00666914">
        <w:rPr>
          <w:b/>
        </w:rPr>
        <w:t>V rámci dopytovej výzvy bola podporená migrácia 14 IS VS, celková potenciálna úspora</w:t>
      </w:r>
      <w:r w:rsidRPr="00666914">
        <w:rPr>
          <w:b/>
          <w:vertAlign w:val="superscript"/>
        </w:rPr>
        <w:footnoteReference w:id="118"/>
      </w:r>
      <w:r w:rsidRPr="00666914">
        <w:rPr>
          <w:b/>
        </w:rPr>
        <w:t xml:space="preserve"> oproti decentralizovanej prevádzke je vo výške 14,8 mil. eur. V roku 2019 boli podporené 4 projekty</w:t>
      </w:r>
      <w:r w:rsidRPr="00666914">
        <w:rPr>
          <w:b/>
          <w:vertAlign w:val="superscript"/>
        </w:rPr>
        <w:footnoteReference w:id="119"/>
      </w:r>
      <w:r w:rsidRPr="00666914">
        <w:rPr>
          <w:b/>
        </w:rPr>
        <w:t>.</w:t>
      </w:r>
      <w:r w:rsidRPr="00666914">
        <w:t xml:space="preserve"> ÚPVII pripravil dopytovú výzvu Migrácia informačného systému verejnej správy do cloudovej infraštruktúry ako služby</w:t>
      </w:r>
      <w:r w:rsidRPr="00666914">
        <w:rPr>
          <w:vertAlign w:val="superscript"/>
        </w:rPr>
        <w:footnoteReference w:id="120"/>
      </w:r>
      <w:r w:rsidRPr="00666914">
        <w:t>, ktorej cieľom je prostredníctvom finančnej pomoci urýchliť migráciu IS VS do vládneho cloudu. Celková výška rozdelených prostriedkov na projekty je 10 mil. eur. Podmienkou získania finančnej podpory bola aj kalkulácia finančnej náročnosti</w:t>
      </w:r>
      <w:r w:rsidRPr="00666914">
        <w:rPr>
          <w:vertAlign w:val="superscript"/>
        </w:rPr>
        <w:footnoteReference w:id="121"/>
      </w:r>
      <w:r w:rsidRPr="00666914">
        <w:t xml:space="preserve">. Celková potenciálna úspora oproti decentralizovanej prevádzke týchto IS VS je na úrovni 14,8 mil. eur, úspora na prevádzke IS sa začne realizovať po ich spustení v prostredí vládneho cloudu v rokoch 2020 resp. 2021. </w:t>
      </w:r>
    </w:p>
    <w:p w14:paraId="384BDC09" w14:textId="3872F73A" w:rsidR="00386F6D" w:rsidRPr="00666914" w:rsidRDefault="00386F6D" w:rsidP="003546A3">
      <w:pPr>
        <w:spacing w:before="240"/>
      </w:pPr>
      <w:r w:rsidRPr="00666914">
        <w:rPr>
          <w:b/>
        </w:rPr>
        <w:t>ÚPVII v roku 2019 dokončil certifikáciu služieb</w:t>
      </w:r>
      <w:r w:rsidRPr="00666914">
        <w:rPr>
          <w:b/>
          <w:vertAlign w:val="superscript"/>
        </w:rPr>
        <w:footnoteReference w:id="122"/>
      </w:r>
      <w:r w:rsidRPr="00666914">
        <w:rPr>
          <w:b/>
        </w:rPr>
        <w:t xml:space="preserve"> hybridného vládneho cloudu, skutočné používanie týchto služieb úrad nesleduje</w:t>
      </w:r>
      <w:r w:rsidRPr="00666914">
        <w:t>. Projekt tzv. hybridného cloudu by umožnil poskytovanie aj komerčných služieb vo vládnom cloude, podmienkou je certifikácia týchto služieb zo strany ÚPVII. Aktuálne je zapísaných 76</w:t>
      </w:r>
      <w:r w:rsidRPr="00666914">
        <w:rPr>
          <w:vertAlign w:val="superscript"/>
        </w:rPr>
        <w:footnoteReference w:id="123"/>
      </w:r>
      <w:r w:rsidRPr="00666914">
        <w:t xml:space="preserve"> verejných cloudových služieb na úrovni IaaS, PaaS a SaaS. Cieľom hybridného cloudu je podľa ÚPVII znižovanie výdavkov na nákup a prevádzku HW využívaním IaaS a znižovanie výdavkov na nákup, inštaláciu, prevádzku a rozvoj SW licencií využívaním PaaS a SaaS. IJ oceňuje definovanie certifikovaných služieb, príprava hybridného cloudu ale nemôže ovplyvniť samotnú prípravu migračných plánov a kalkuláciu finančnej náročnosti migrácie do vládneho cloudu.</w:t>
      </w:r>
    </w:p>
    <w:p w14:paraId="514509E7" w14:textId="77777777" w:rsidR="00386F6D" w:rsidRPr="00666914" w:rsidRDefault="00386F6D" w:rsidP="00131B23">
      <w:pPr>
        <w:numPr>
          <w:ilvl w:val="0"/>
          <w:numId w:val="16"/>
        </w:numPr>
        <w:spacing w:after="0" w:line="259" w:lineRule="auto"/>
        <w:rPr>
          <w:b/>
          <w:u w:val="single"/>
        </w:rPr>
      </w:pPr>
      <w:r w:rsidRPr="00666914">
        <w:rPr>
          <w:b/>
          <w:u w:val="single"/>
        </w:rPr>
        <w:t>Centralizovať zabezpečenie podporných IT služieb ako sú telekomunikácie a konektivita</w:t>
      </w:r>
    </w:p>
    <w:p w14:paraId="6099CB71" w14:textId="77777777" w:rsidR="00386F6D" w:rsidRPr="00666914" w:rsidRDefault="00386F6D">
      <w:pPr>
        <w:spacing w:after="0"/>
        <w:rPr>
          <w:b/>
          <w:u w:val="single"/>
        </w:rPr>
      </w:pPr>
    </w:p>
    <w:p w14:paraId="071E96CE" w14:textId="77777777" w:rsidR="00386F6D" w:rsidRPr="00666914" w:rsidRDefault="00386F6D">
      <w:pPr>
        <w:spacing w:after="0"/>
      </w:pPr>
      <w:r w:rsidRPr="00666914">
        <w:t xml:space="preserve">Revízia výdavkov identifikovala potenciálnu úsporu vo výdavkoch na IT centralizáciou poskytovania podporných IT služieb. Centrálne sa v prvom kroku mali poskytovať telekomunikačné služby, konektivita a licencie. V oblastiach telekomunikačných služieb a konektivity bola vypočítaná ročná úspora v rozmedzí 10 – 30 % celkových nákladov (9 – 27 </w:t>
      </w:r>
      <w:sdt>
        <w:sdtPr>
          <w:tag w:val="goog_rdk_11"/>
          <w:id w:val="-22398142"/>
        </w:sdtPr>
        <w:sdtEndPr/>
        <w:sdtContent/>
      </w:sdt>
      <w:r w:rsidRPr="00666914">
        <w:t xml:space="preserve">mil. eur) na tieto služby. </w:t>
      </w:r>
      <w:r w:rsidRPr="00666914">
        <w:rPr>
          <w:b/>
        </w:rPr>
        <w:t xml:space="preserve">Opatrenie sa neplní od schválenia revízie, </w:t>
      </w:r>
      <w:r w:rsidRPr="00666914">
        <w:t>ani</w:t>
      </w:r>
      <w:r w:rsidRPr="00666914">
        <w:rPr>
          <w:b/>
        </w:rPr>
        <w:t xml:space="preserve"> </w:t>
      </w:r>
      <w:r w:rsidRPr="00666914">
        <w:t xml:space="preserve">v roku 2019 nedošlo k žiadnemu pokroku pri jeho plnení. </w:t>
      </w:r>
    </w:p>
    <w:p w14:paraId="3B8C0DC4" w14:textId="77777777" w:rsidR="00386F6D" w:rsidRPr="00666914" w:rsidRDefault="00386F6D">
      <w:pPr>
        <w:spacing w:after="0" w:line="259" w:lineRule="auto"/>
        <w:jc w:val="left"/>
      </w:pPr>
    </w:p>
    <w:p w14:paraId="06F8E323" w14:textId="77777777" w:rsidR="00386F6D" w:rsidRPr="00666914" w:rsidRDefault="00386F6D" w:rsidP="00905BD2">
      <w:pPr>
        <w:spacing w:after="0" w:line="259" w:lineRule="auto"/>
      </w:pPr>
      <w:r w:rsidRPr="00666914">
        <w:lastRenderedPageBreak/>
        <w:t xml:space="preserve">Priemerné ročné výdavky na telekomunikácie a komunikačnú infraštruktúru boli v rokoch 2017 – 2019 na úrovni 63 mil. eur, výška výdavkov sa medziročne výrazne neznižovala. V prípade splnenia opatrenia </w:t>
      </w:r>
      <w:sdt>
        <w:sdtPr>
          <w:tag w:val="goog_rdk_12"/>
          <w:id w:val="-1527327573"/>
        </w:sdtPr>
        <w:sdtEndPr/>
        <w:sdtContent/>
      </w:sdt>
      <w:r w:rsidRPr="00666914">
        <w:t>a dosiahnutia úspory vyčíslenej v revízii výdavkov bolo možné v roku 2019 ušetriť 6 – 18 mil. eur.</w:t>
      </w:r>
    </w:p>
    <w:p w14:paraId="152E5B68" w14:textId="77777777" w:rsidR="00386F6D" w:rsidRPr="00666914" w:rsidRDefault="00386F6D">
      <w:pPr>
        <w:spacing w:after="0" w:line="259" w:lineRule="auto"/>
        <w:jc w:val="left"/>
      </w:pPr>
    </w:p>
    <w:p w14:paraId="2E756645" w14:textId="40F0A1E4" w:rsidR="00386F6D" w:rsidRPr="00666914" w:rsidRDefault="00DA6BB0">
      <w:pPr>
        <w:pBdr>
          <w:bottom w:val="single" w:sz="4" w:space="1" w:color="000000"/>
        </w:pBdr>
        <w:spacing w:after="0"/>
        <w:jc w:val="left"/>
        <w:rPr>
          <w:b/>
          <w:sz w:val="20"/>
          <w:szCs w:val="20"/>
        </w:rPr>
      </w:pPr>
      <w:bookmarkStart w:id="260" w:name="_Toc38447710"/>
      <w:r w:rsidRPr="00666914">
        <w:rPr>
          <w:b/>
          <w:sz w:val="20"/>
          <w:szCs w:val="20"/>
        </w:rPr>
        <w:t xml:space="preserve">Tabuľka </w:t>
      </w:r>
      <w:r w:rsidRPr="00666914">
        <w:rPr>
          <w:b/>
          <w:sz w:val="20"/>
        </w:rPr>
        <w:fldChar w:fldCharType="begin"/>
      </w:r>
      <w:r w:rsidRPr="00666914">
        <w:rPr>
          <w:b/>
          <w:sz w:val="20"/>
        </w:rPr>
        <w:instrText xml:space="preserve"> SEQ Tabuľka \* ARABIC \* MERGEFORMAT </w:instrText>
      </w:r>
      <w:r w:rsidRPr="00666914">
        <w:rPr>
          <w:b/>
          <w:sz w:val="20"/>
        </w:rPr>
        <w:fldChar w:fldCharType="separate"/>
      </w:r>
      <w:r w:rsidR="005A7304">
        <w:rPr>
          <w:b/>
          <w:noProof/>
          <w:sz w:val="20"/>
        </w:rPr>
        <w:t>49</w:t>
      </w:r>
      <w:r w:rsidRPr="00666914">
        <w:rPr>
          <w:b/>
          <w:sz w:val="20"/>
        </w:rPr>
        <w:fldChar w:fldCharType="end"/>
      </w:r>
      <w:r w:rsidR="00386F6D" w:rsidRPr="00666914">
        <w:rPr>
          <w:b/>
          <w:sz w:val="20"/>
          <w:szCs w:val="20"/>
        </w:rPr>
        <w:t>: Výdavky na telekomunikačné služby a komunikačnú infraštruktúru 2017-2019 (v mil. eur)</w:t>
      </w:r>
      <w:bookmarkEnd w:id="260"/>
    </w:p>
    <w:tbl>
      <w:tblPr>
        <w:tblW w:w="9138" w:type="dxa"/>
        <w:tblBorders>
          <w:bottom w:val="single" w:sz="4" w:space="0" w:color="000000"/>
        </w:tblBorders>
        <w:tblLayout w:type="fixed"/>
        <w:tblLook w:val="0400" w:firstRow="0" w:lastRow="0" w:firstColumn="0" w:lastColumn="0" w:noHBand="0" w:noVBand="1"/>
      </w:tblPr>
      <w:tblGrid>
        <w:gridCol w:w="4612"/>
        <w:gridCol w:w="1466"/>
        <w:gridCol w:w="1509"/>
        <w:gridCol w:w="1551"/>
      </w:tblGrid>
      <w:tr w:rsidR="00386F6D" w:rsidRPr="00666914" w14:paraId="2E5E019D" w14:textId="77777777">
        <w:trPr>
          <w:trHeight w:val="258"/>
        </w:trPr>
        <w:tc>
          <w:tcPr>
            <w:tcW w:w="4612" w:type="dxa"/>
            <w:tcBorders>
              <w:bottom w:val="single" w:sz="4" w:space="0" w:color="000000"/>
            </w:tcBorders>
            <w:shd w:val="clear" w:color="auto" w:fill="auto"/>
            <w:vAlign w:val="bottom"/>
          </w:tcPr>
          <w:p w14:paraId="68E13576" w14:textId="77777777" w:rsidR="00386F6D" w:rsidRPr="00666914" w:rsidRDefault="00386F6D">
            <w:pPr>
              <w:spacing w:after="0"/>
              <w:jc w:val="left"/>
              <w:rPr>
                <w:b/>
                <w:color w:val="000000"/>
                <w:sz w:val="20"/>
                <w:szCs w:val="20"/>
              </w:rPr>
            </w:pPr>
            <w:r w:rsidRPr="00666914">
              <w:rPr>
                <w:b/>
                <w:color w:val="000000"/>
                <w:sz w:val="20"/>
                <w:szCs w:val="20"/>
              </w:rPr>
              <w:t> </w:t>
            </w:r>
          </w:p>
        </w:tc>
        <w:tc>
          <w:tcPr>
            <w:tcW w:w="1466" w:type="dxa"/>
            <w:tcBorders>
              <w:bottom w:val="single" w:sz="4" w:space="0" w:color="000000"/>
            </w:tcBorders>
            <w:shd w:val="clear" w:color="auto" w:fill="auto"/>
            <w:vAlign w:val="bottom"/>
          </w:tcPr>
          <w:p w14:paraId="22CCEC40" w14:textId="77777777" w:rsidR="00386F6D" w:rsidRPr="00666914" w:rsidRDefault="00386F6D">
            <w:pPr>
              <w:spacing w:after="0"/>
              <w:jc w:val="center"/>
              <w:rPr>
                <w:b/>
                <w:color w:val="000000"/>
                <w:sz w:val="20"/>
                <w:szCs w:val="20"/>
              </w:rPr>
            </w:pPr>
            <w:r w:rsidRPr="00666914">
              <w:rPr>
                <w:b/>
                <w:color w:val="000000"/>
                <w:sz w:val="20"/>
                <w:szCs w:val="20"/>
              </w:rPr>
              <w:t>2017</w:t>
            </w:r>
          </w:p>
        </w:tc>
        <w:tc>
          <w:tcPr>
            <w:tcW w:w="1509" w:type="dxa"/>
            <w:tcBorders>
              <w:bottom w:val="single" w:sz="4" w:space="0" w:color="000000"/>
            </w:tcBorders>
            <w:shd w:val="clear" w:color="auto" w:fill="auto"/>
            <w:vAlign w:val="bottom"/>
          </w:tcPr>
          <w:p w14:paraId="2A901ACF" w14:textId="77777777" w:rsidR="00386F6D" w:rsidRPr="00666914" w:rsidRDefault="00386F6D">
            <w:pPr>
              <w:spacing w:after="0"/>
              <w:jc w:val="center"/>
              <w:rPr>
                <w:b/>
                <w:color w:val="000000"/>
                <w:sz w:val="20"/>
                <w:szCs w:val="20"/>
              </w:rPr>
            </w:pPr>
            <w:r w:rsidRPr="00666914">
              <w:rPr>
                <w:b/>
                <w:color w:val="000000"/>
                <w:sz w:val="20"/>
                <w:szCs w:val="20"/>
              </w:rPr>
              <w:t>2018</w:t>
            </w:r>
          </w:p>
        </w:tc>
        <w:tc>
          <w:tcPr>
            <w:tcW w:w="1551" w:type="dxa"/>
            <w:tcBorders>
              <w:bottom w:val="single" w:sz="4" w:space="0" w:color="000000"/>
            </w:tcBorders>
            <w:shd w:val="clear" w:color="auto" w:fill="auto"/>
            <w:vAlign w:val="bottom"/>
          </w:tcPr>
          <w:p w14:paraId="75613C94" w14:textId="77777777" w:rsidR="00386F6D" w:rsidRPr="00666914" w:rsidRDefault="00386F6D">
            <w:pPr>
              <w:spacing w:after="0"/>
              <w:jc w:val="center"/>
              <w:rPr>
                <w:b/>
                <w:color w:val="000000"/>
                <w:sz w:val="20"/>
                <w:szCs w:val="20"/>
              </w:rPr>
            </w:pPr>
            <w:r w:rsidRPr="00666914">
              <w:rPr>
                <w:b/>
                <w:color w:val="000000"/>
                <w:sz w:val="20"/>
                <w:szCs w:val="20"/>
              </w:rPr>
              <w:t>2019</w:t>
            </w:r>
          </w:p>
        </w:tc>
      </w:tr>
      <w:tr w:rsidR="00386F6D" w:rsidRPr="00666914" w14:paraId="0BDDFF6E" w14:textId="77777777">
        <w:trPr>
          <w:trHeight w:val="258"/>
        </w:trPr>
        <w:tc>
          <w:tcPr>
            <w:tcW w:w="4612" w:type="dxa"/>
            <w:tcBorders>
              <w:top w:val="single" w:sz="4" w:space="0" w:color="000000"/>
            </w:tcBorders>
            <w:shd w:val="clear" w:color="auto" w:fill="auto"/>
            <w:vAlign w:val="bottom"/>
          </w:tcPr>
          <w:p w14:paraId="6770A3A6" w14:textId="77777777" w:rsidR="00386F6D" w:rsidRPr="00666914" w:rsidRDefault="00386F6D">
            <w:pPr>
              <w:spacing w:after="0"/>
              <w:jc w:val="left"/>
              <w:rPr>
                <w:b/>
                <w:color w:val="000000"/>
                <w:sz w:val="20"/>
                <w:szCs w:val="20"/>
              </w:rPr>
            </w:pPr>
            <w:r w:rsidRPr="00666914">
              <w:rPr>
                <w:b/>
                <w:color w:val="000000"/>
                <w:sz w:val="20"/>
                <w:szCs w:val="20"/>
              </w:rPr>
              <w:t>632004 Komunikačná infraštruktúra</w:t>
            </w:r>
          </w:p>
        </w:tc>
        <w:tc>
          <w:tcPr>
            <w:tcW w:w="1466" w:type="dxa"/>
            <w:tcBorders>
              <w:top w:val="single" w:sz="4" w:space="0" w:color="000000"/>
            </w:tcBorders>
            <w:shd w:val="clear" w:color="auto" w:fill="auto"/>
            <w:vAlign w:val="bottom"/>
          </w:tcPr>
          <w:p w14:paraId="6742F94F" w14:textId="77777777" w:rsidR="00386F6D" w:rsidRPr="00666914" w:rsidRDefault="00386F6D">
            <w:pPr>
              <w:spacing w:after="0"/>
              <w:jc w:val="center"/>
              <w:rPr>
                <w:color w:val="000000"/>
                <w:sz w:val="20"/>
                <w:szCs w:val="20"/>
              </w:rPr>
            </w:pPr>
            <w:r w:rsidRPr="00666914">
              <w:rPr>
                <w:color w:val="000000"/>
                <w:sz w:val="20"/>
                <w:szCs w:val="20"/>
              </w:rPr>
              <w:t>47,2</w:t>
            </w:r>
          </w:p>
        </w:tc>
        <w:tc>
          <w:tcPr>
            <w:tcW w:w="1509" w:type="dxa"/>
            <w:tcBorders>
              <w:top w:val="single" w:sz="4" w:space="0" w:color="000000"/>
            </w:tcBorders>
            <w:shd w:val="clear" w:color="auto" w:fill="auto"/>
            <w:vAlign w:val="bottom"/>
          </w:tcPr>
          <w:p w14:paraId="0F633C05" w14:textId="77777777" w:rsidR="00386F6D" w:rsidRPr="00666914" w:rsidRDefault="00386F6D">
            <w:pPr>
              <w:spacing w:after="0"/>
              <w:jc w:val="center"/>
              <w:rPr>
                <w:color w:val="000000"/>
                <w:sz w:val="20"/>
                <w:szCs w:val="20"/>
              </w:rPr>
            </w:pPr>
            <w:r w:rsidRPr="00666914">
              <w:rPr>
                <w:color w:val="000000"/>
                <w:sz w:val="20"/>
                <w:szCs w:val="20"/>
              </w:rPr>
              <w:t>51,3</w:t>
            </w:r>
          </w:p>
        </w:tc>
        <w:tc>
          <w:tcPr>
            <w:tcW w:w="1551" w:type="dxa"/>
            <w:tcBorders>
              <w:top w:val="single" w:sz="4" w:space="0" w:color="000000"/>
            </w:tcBorders>
            <w:shd w:val="clear" w:color="auto" w:fill="auto"/>
            <w:vAlign w:val="bottom"/>
          </w:tcPr>
          <w:p w14:paraId="6D024A01" w14:textId="77777777" w:rsidR="00386F6D" w:rsidRPr="00666914" w:rsidRDefault="00386F6D">
            <w:pPr>
              <w:spacing w:after="0"/>
              <w:jc w:val="center"/>
              <w:rPr>
                <w:color w:val="000000"/>
                <w:sz w:val="20"/>
                <w:szCs w:val="20"/>
              </w:rPr>
            </w:pPr>
            <w:r w:rsidRPr="00666914">
              <w:rPr>
                <w:color w:val="000000"/>
                <w:sz w:val="20"/>
                <w:szCs w:val="20"/>
              </w:rPr>
              <w:t>45,2</w:t>
            </w:r>
          </w:p>
        </w:tc>
      </w:tr>
      <w:tr w:rsidR="00386F6D" w:rsidRPr="00666914" w14:paraId="11A75408" w14:textId="77777777">
        <w:trPr>
          <w:trHeight w:val="258"/>
        </w:trPr>
        <w:tc>
          <w:tcPr>
            <w:tcW w:w="4612" w:type="dxa"/>
            <w:shd w:val="clear" w:color="auto" w:fill="auto"/>
            <w:vAlign w:val="bottom"/>
          </w:tcPr>
          <w:p w14:paraId="5E9CC433" w14:textId="77777777" w:rsidR="00386F6D" w:rsidRPr="00666914" w:rsidRDefault="00386F6D">
            <w:pPr>
              <w:spacing w:after="0"/>
              <w:jc w:val="left"/>
              <w:rPr>
                <w:b/>
                <w:color w:val="000000"/>
                <w:sz w:val="20"/>
                <w:szCs w:val="20"/>
              </w:rPr>
            </w:pPr>
            <w:r w:rsidRPr="00666914">
              <w:rPr>
                <w:b/>
                <w:color w:val="000000"/>
                <w:sz w:val="20"/>
                <w:szCs w:val="20"/>
              </w:rPr>
              <w:t>632005 Telekomunikačné služby</w:t>
            </w:r>
          </w:p>
        </w:tc>
        <w:tc>
          <w:tcPr>
            <w:tcW w:w="1466" w:type="dxa"/>
            <w:shd w:val="clear" w:color="auto" w:fill="auto"/>
            <w:vAlign w:val="bottom"/>
          </w:tcPr>
          <w:p w14:paraId="3F1FBCEE" w14:textId="77777777" w:rsidR="00386F6D" w:rsidRPr="00666914" w:rsidRDefault="00386F6D">
            <w:pPr>
              <w:spacing w:after="0"/>
              <w:jc w:val="center"/>
              <w:rPr>
                <w:color w:val="000000"/>
                <w:sz w:val="20"/>
                <w:szCs w:val="20"/>
              </w:rPr>
            </w:pPr>
            <w:r w:rsidRPr="00666914">
              <w:rPr>
                <w:color w:val="000000"/>
                <w:sz w:val="20"/>
                <w:szCs w:val="20"/>
              </w:rPr>
              <w:t>14,0</w:t>
            </w:r>
          </w:p>
        </w:tc>
        <w:tc>
          <w:tcPr>
            <w:tcW w:w="1509" w:type="dxa"/>
            <w:shd w:val="clear" w:color="auto" w:fill="auto"/>
            <w:vAlign w:val="bottom"/>
          </w:tcPr>
          <w:p w14:paraId="3F9FDF96" w14:textId="77777777" w:rsidR="00386F6D" w:rsidRPr="00666914" w:rsidRDefault="00386F6D">
            <w:pPr>
              <w:spacing w:after="0"/>
              <w:jc w:val="center"/>
              <w:rPr>
                <w:color w:val="000000"/>
                <w:sz w:val="20"/>
                <w:szCs w:val="20"/>
              </w:rPr>
            </w:pPr>
            <w:r w:rsidRPr="00666914">
              <w:rPr>
                <w:color w:val="000000"/>
                <w:sz w:val="20"/>
                <w:szCs w:val="20"/>
              </w:rPr>
              <w:t>15,1</w:t>
            </w:r>
          </w:p>
        </w:tc>
        <w:tc>
          <w:tcPr>
            <w:tcW w:w="1551" w:type="dxa"/>
            <w:shd w:val="clear" w:color="auto" w:fill="auto"/>
            <w:vAlign w:val="bottom"/>
          </w:tcPr>
          <w:p w14:paraId="73515142" w14:textId="77777777" w:rsidR="00386F6D" w:rsidRPr="00666914" w:rsidRDefault="00386F6D">
            <w:pPr>
              <w:spacing w:after="0"/>
              <w:jc w:val="center"/>
              <w:rPr>
                <w:color w:val="000000"/>
                <w:sz w:val="20"/>
                <w:szCs w:val="20"/>
              </w:rPr>
            </w:pPr>
            <w:r w:rsidRPr="00666914">
              <w:rPr>
                <w:color w:val="000000"/>
                <w:sz w:val="20"/>
                <w:szCs w:val="20"/>
              </w:rPr>
              <w:t>15,0</w:t>
            </w:r>
          </w:p>
        </w:tc>
      </w:tr>
      <w:tr w:rsidR="00386F6D" w:rsidRPr="00666914" w14:paraId="35F2AA68" w14:textId="77777777">
        <w:trPr>
          <w:trHeight w:val="258"/>
        </w:trPr>
        <w:tc>
          <w:tcPr>
            <w:tcW w:w="4612" w:type="dxa"/>
            <w:shd w:val="clear" w:color="auto" w:fill="auto"/>
            <w:vAlign w:val="bottom"/>
          </w:tcPr>
          <w:p w14:paraId="5B4F5E8B" w14:textId="77777777" w:rsidR="00386F6D" w:rsidRPr="00666914" w:rsidRDefault="00386F6D">
            <w:pPr>
              <w:spacing w:after="0"/>
              <w:jc w:val="left"/>
              <w:rPr>
                <w:b/>
                <w:color w:val="000000"/>
                <w:sz w:val="20"/>
                <w:szCs w:val="20"/>
              </w:rPr>
            </w:pPr>
            <w:r w:rsidRPr="00666914">
              <w:rPr>
                <w:b/>
                <w:color w:val="000000"/>
                <w:sz w:val="20"/>
                <w:szCs w:val="20"/>
              </w:rPr>
              <w:t>Celkom</w:t>
            </w:r>
          </w:p>
        </w:tc>
        <w:tc>
          <w:tcPr>
            <w:tcW w:w="1466" w:type="dxa"/>
            <w:shd w:val="clear" w:color="auto" w:fill="auto"/>
            <w:vAlign w:val="bottom"/>
          </w:tcPr>
          <w:p w14:paraId="0EEAD7B6" w14:textId="77777777" w:rsidR="00386F6D" w:rsidRPr="00666914" w:rsidRDefault="00386F6D">
            <w:pPr>
              <w:spacing w:after="0"/>
              <w:jc w:val="center"/>
              <w:rPr>
                <w:color w:val="000000"/>
                <w:sz w:val="20"/>
                <w:szCs w:val="20"/>
              </w:rPr>
            </w:pPr>
            <w:r w:rsidRPr="00666914">
              <w:rPr>
                <w:color w:val="000000"/>
                <w:sz w:val="20"/>
                <w:szCs w:val="20"/>
              </w:rPr>
              <w:t>61,2</w:t>
            </w:r>
          </w:p>
        </w:tc>
        <w:tc>
          <w:tcPr>
            <w:tcW w:w="1509" w:type="dxa"/>
            <w:shd w:val="clear" w:color="auto" w:fill="auto"/>
            <w:vAlign w:val="bottom"/>
          </w:tcPr>
          <w:p w14:paraId="62621318" w14:textId="77777777" w:rsidR="00386F6D" w:rsidRPr="00666914" w:rsidRDefault="00386F6D">
            <w:pPr>
              <w:spacing w:after="0"/>
              <w:jc w:val="center"/>
              <w:rPr>
                <w:color w:val="000000"/>
                <w:sz w:val="20"/>
                <w:szCs w:val="20"/>
              </w:rPr>
            </w:pPr>
            <w:r w:rsidRPr="00666914">
              <w:rPr>
                <w:color w:val="000000"/>
                <w:sz w:val="20"/>
                <w:szCs w:val="20"/>
              </w:rPr>
              <w:t>66,4</w:t>
            </w:r>
          </w:p>
        </w:tc>
        <w:tc>
          <w:tcPr>
            <w:tcW w:w="1551" w:type="dxa"/>
            <w:shd w:val="clear" w:color="auto" w:fill="auto"/>
            <w:vAlign w:val="bottom"/>
          </w:tcPr>
          <w:p w14:paraId="67835F7A" w14:textId="77777777" w:rsidR="00386F6D" w:rsidRPr="00666914" w:rsidRDefault="00386F6D">
            <w:pPr>
              <w:spacing w:after="0"/>
              <w:jc w:val="center"/>
              <w:rPr>
                <w:color w:val="000000"/>
                <w:sz w:val="20"/>
                <w:szCs w:val="20"/>
              </w:rPr>
            </w:pPr>
            <w:r w:rsidRPr="00666914">
              <w:rPr>
                <w:color w:val="000000"/>
                <w:sz w:val="20"/>
                <w:szCs w:val="20"/>
              </w:rPr>
              <w:t>60,2</w:t>
            </w:r>
          </w:p>
        </w:tc>
      </w:tr>
      <w:tr w:rsidR="00386F6D" w:rsidRPr="00666914" w14:paraId="771D5A6A" w14:textId="77777777">
        <w:trPr>
          <w:trHeight w:val="258"/>
        </w:trPr>
        <w:tc>
          <w:tcPr>
            <w:tcW w:w="4612" w:type="dxa"/>
            <w:shd w:val="clear" w:color="auto" w:fill="auto"/>
            <w:vAlign w:val="bottom"/>
          </w:tcPr>
          <w:p w14:paraId="39801E84" w14:textId="77777777" w:rsidR="00386F6D" w:rsidRPr="00666914" w:rsidRDefault="00386F6D">
            <w:pPr>
              <w:spacing w:after="0"/>
              <w:jc w:val="left"/>
              <w:rPr>
                <w:b/>
                <w:color w:val="000000"/>
                <w:sz w:val="20"/>
                <w:szCs w:val="20"/>
              </w:rPr>
            </w:pPr>
            <w:r w:rsidRPr="00666914">
              <w:rPr>
                <w:b/>
                <w:color w:val="000000"/>
                <w:sz w:val="20"/>
                <w:szCs w:val="20"/>
              </w:rPr>
              <w:t>Úspora 10 %</w:t>
            </w:r>
          </w:p>
        </w:tc>
        <w:tc>
          <w:tcPr>
            <w:tcW w:w="1466" w:type="dxa"/>
            <w:shd w:val="clear" w:color="auto" w:fill="auto"/>
            <w:vAlign w:val="bottom"/>
          </w:tcPr>
          <w:p w14:paraId="031F736A" w14:textId="77777777" w:rsidR="00386F6D" w:rsidRPr="00666914" w:rsidRDefault="00386F6D">
            <w:pPr>
              <w:spacing w:after="0"/>
              <w:jc w:val="center"/>
              <w:rPr>
                <w:color w:val="000000"/>
                <w:sz w:val="20"/>
                <w:szCs w:val="20"/>
              </w:rPr>
            </w:pPr>
            <w:r w:rsidRPr="00666914">
              <w:rPr>
                <w:color w:val="000000"/>
                <w:sz w:val="20"/>
                <w:szCs w:val="20"/>
              </w:rPr>
              <w:t>6,1</w:t>
            </w:r>
          </w:p>
        </w:tc>
        <w:tc>
          <w:tcPr>
            <w:tcW w:w="1509" w:type="dxa"/>
            <w:shd w:val="clear" w:color="auto" w:fill="auto"/>
            <w:vAlign w:val="bottom"/>
          </w:tcPr>
          <w:p w14:paraId="689B6B98" w14:textId="77777777" w:rsidR="00386F6D" w:rsidRPr="00666914" w:rsidRDefault="00386F6D">
            <w:pPr>
              <w:spacing w:after="0"/>
              <w:jc w:val="center"/>
              <w:rPr>
                <w:color w:val="000000"/>
                <w:sz w:val="20"/>
                <w:szCs w:val="20"/>
              </w:rPr>
            </w:pPr>
            <w:r w:rsidRPr="00666914">
              <w:rPr>
                <w:color w:val="000000"/>
                <w:sz w:val="20"/>
                <w:szCs w:val="20"/>
              </w:rPr>
              <w:t>6,6</w:t>
            </w:r>
          </w:p>
        </w:tc>
        <w:tc>
          <w:tcPr>
            <w:tcW w:w="1551" w:type="dxa"/>
            <w:shd w:val="clear" w:color="auto" w:fill="auto"/>
            <w:vAlign w:val="bottom"/>
          </w:tcPr>
          <w:p w14:paraId="2D7B8801" w14:textId="77777777" w:rsidR="00386F6D" w:rsidRPr="00666914" w:rsidRDefault="00386F6D">
            <w:pPr>
              <w:spacing w:after="0"/>
              <w:jc w:val="center"/>
              <w:rPr>
                <w:color w:val="000000"/>
                <w:sz w:val="20"/>
                <w:szCs w:val="20"/>
              </w:rPr>
            </w:pPr>
            <w:r w:rsidRPr="00666914">
              <w:rPr>
                <w:color w:val="000000"/>
                <w:sz w:val="20"/>
                <w:szCs w:val="20"/>
              </w:rPr>
              <w:t>6,0</w:t>
            </w:r>
          </w:p>
        </w:tc>
      </w:tr>
      <w:tr w:rsidR="00386F6D" w:rsidRPr="00666914" w14:paraId="408C26C4" w14:textId="77777777">
        <w:trPr>
          <w:trHeight w:val="258"/>
        </w:trPr>
        <w:tc>
          <w:tcPr>
            <w:tcW w:w="4612" w:type="dxa"/>
            <w:shd w:val="clear" w:color="auto" w:fill="auto"/>
            <w:vAlign w:val="bottom"/>
          </w:tcPr>
          <w:p w14:paraId="3C227C5C" w14:textId="77777777" w:rsidR="00386F6D" w:rsidRPr="00666914" w:rsidRDefault="00386F6D">
            <w:pPr>
              <w:spacing w:after="0"/>
              <w:jc w:val="left"/>
              <w:rPr>
                <w:b/>
                <w:color w:val="000000"/>
                <w:sz w:val="20"/>
                <w:szCs w:val="20"/>
              </w:rPr>
            </w:pPr>
            <w:r w:rsidRPr="00666914">
              <w:rPr>
                <w:b/>
                <w:color w:val="000000"/>
                <w:sz w:val="20"/>
                <w:szCs w:val="20"/>
              </w:rPr>
              <w:t>Úspora 30 %</w:t>
            </w:r>
          </w:p>
        </w:tc>
        <w:tc>
          <w:tcPr>
            <w:tcW w:w="1466" w:type="dxa"/>
            <w:shd w:val="clear" w:color="auto" w:fill="auto"/>
            <w:vAlign w:val="bottom"/>
          </w:tcPr>
          <w:p w14:paraId="1209A5F9" w14:textId="77777777" w:rsidR="00386F6D" w:rsidRPr="00666914" w:rsidRDefault="00386F6D">
            <w:pPr>
              <w:spacing w:after="0"/>
              <w:jc w:val="center"/>
              <w:rPr>
                <w:color w:val="000000"/>
                <w:sz w:val="20"/>
                <w:szCs w:val="20"/>
              </w:rPr>
            </w:pPr>
            <w:r w:rsidRPr="00666914">
              <w:rPr>
                <w:color w:val="000000"/>
                <w:sz w:val="20"/>
                <w:szCs w:val="20"/>
              </w:rPr>
              <w:t>18,4</w:t>
            </w:r>
          </w:p>
        </w:tc>
        <w:tc>
          <w:tcPr>
            <w:tcW w:w="1509" w:type="dxa"/>
            <w:shd w:val="clear" w:color="auto" w:fill="auto"/>
            <w:vAlign w:val="bottom"/>
          </w:tcPr>
          <w:p w14:paraId="1730FF0D" w14:textId="77777777" w:rsidR="00386F6D" w:rsidRPr="00666914" w:rsidRDefault="00386F6D">
            <w:pPr>
              <w:spacing w:after="0"/>
              <w:jc w:val="center"/>
              <w:rPr>
                <w:color w:val="000000"/>
                <w:sz w:val="20"/>
                <w:szCs w:val="20"/>
              </w:rPr>
            </w:pPr>
            <w:r w:rsidRPr="00666914">
              <w:rPr>
                <w:color w:val="000000"/>
                <w:sz w:val="20"/>
                <w:szCs w:val="20"/>
              </w:rPr>
              <w:t>19,9</w:t>
            </w:r>
          </w:p>
        </w:tc>
        <w:tc>
          <w:tcPr>
            <w:tcW w:w="1551" w:type="dxa"/>
            <w:shd w:val="clear" w:color="auto" w:fill="auto"/>
            <w:vAlign w:val="bottom"/>
          </w:tcPr>
          <w:p w14:paraId="4DB55509" w14:textId="77777777" w:rsidR="00386F6D" w:rsidRPr="00666914" w:rsidRDefault="00386F6D">
            <w:pPr>
              <w:spacing w:after="0"/>
              <w:jc w:val="center"/>
              <w:rPr>
                <w:color w:val="000000"/>
                <w:sz w:val="20"/>
                <w:szCs w:val="20"/>
              </w:rPr>
            </w:pPr>
            <w:r w:rsidRPr="00666914">
              <w:rPr>
                <w:color w:val="000000"/>
                <w:sz w:val="20"/>
                <w:szCs w:val="20"/>
              </w:rPr>
              <w:t>18,0</w:t>
            </w:r>
          </w:p>
        </w:tc>
      </w:tr>
    </w:tbl>
    <w:p w14:paraId="5BB807A4" w14:textId="77777777" w:rsidR="00386F6D" w:rsidRPr="00666914" w:rsidRDefault="00386F6D">
      <w:pPr>
        <w:spacing w:after="0"/>
        <w:jc w:val="right"/>
        <w:rPr>
          <w:i/>
          <w:sz w:val="18"/>
          <w:szCs w:val="18"/>
        </w:rPr>
      </w:pPr>
      <w:r w:rsidRPr="00666914">
        <w:rPr>
          <w:i/>
          <w:sz w:val="18"/>
          <w:szCs w:val="18"/>
        </w:rPr>
        <w:t>Zdroj: RIS, spracovanie IJ</w:t>
      </w:r>
    </w:p>
    <w:p w14:paraId="3E0A01A2" w14:textId="77777777" w:rsidR="00386F6D" w:rsidRPr="00666914" w:rsidRDefault="00386F6D">
      <w:pPr>
        <w:spacing w:after="0"/>
        <w:rPr>
          <w:i/>
          <w:sz w:val="18"/>
          <w:szCs w:val="18"/>
        </w:rPr>
      </w:pPr>
    </w:p>
    <w:p w14:paraId="20ED82A3" w14:textId="77777777" w:rsidR="00386F6D" w:rsidRPr="00666914" w:rsidRDefault="00386F6D" w:rsidP="00131B23">
      <w:pPr>
        <w:numPr>
          <w:ilvl w:val="0"/>
          <w:numId w:val="16"/>
        </w:numPr>
        <w:spacing w:after="0" w:line="259" w:lineRule="auto"/>
        <w:rPr>
          <w:b/>
          <w:u w:val="single"/>
        </w:rPr>
      </w:pPr>
      <w:r w:rsidRPr="00666914">
        <w:rPr>
          <w:b/>
          <w:u w:val="single"/>
        </w:rPr>
        <w:t>Zefektívniť podmienky zabezpečenia licencií produktov Microsoft</w:t>
      </w:r>
    </w:p>
    <w:p w14:paraId="52B97870" w14:textId="77777777" w:rsidR="00386F6D" w:rsidRPr="00666914" w:rsidRDefault="00386F6D">
      <w:pPr>
        <w:spacing w:after="0"/>
        <w:rPr>
          <w:b/>
          <w:u w:val="single"/>
        </w:rPr>
      </w:pPr>
    </w:p>
    <w:p w14:paraId="304E36A2" w14:textId="77777777" w:rsidR="00386F6D" w:rsidRPr="00666914" w:rsidRDefault="00386F6D">
      <w:r w:rsidRPr="00666914">
        <w:t>Ministerstvo financií SR vyhlásilo verejné obstarávanie na nákup produktov Microsoft v 09/2018</w:t>
      </w:r>
      <w:r w:rsidRPr="00666914">
        <w:rPr>
          <w:vertAlign w:val="superscript"/>
        </w:rPr>
        <w:footnoteReference w:id="124"/>
      </w:r>
      <w:r w:rsidRPr="00666914">
        <w:t xml:space="preserve">, ani v roku 2019 ale nedošlo k ukončeniu obstarávania a podpisu zmluvy. </w:t>
      </w:r>
      <w:r w:rsidRPr="00666914">
        <w:rPr>
          <w:b/>
        </w:rPr>
        <w:t>Opatrenie sa k 31.12.2019 čiastočne plní.</w:t>
      </w:r>
    </w:p>
    <w:p w14:paraId="4392A571" w14:textId="2B116CA2" w:rsidR="00386F6D" w:rsidRPr="00666914" w:rsidRDefault="00386F6D">
      <w:pPr>
        <w:spacing w:after="0"/>
      </w:pPr>
      <w:r w:rsidRPr="00666914">
        <w:t>Platnosť centrálnej zmluvy skončila ku koncu roku 2017, ÚPVII a MF SR pripravili podklady k novej centrálnej zmluve. Podľa stanoviska</w:t>
      </w:r>
      <w:r w:rsidRPr="00666914">
        <w:rPr>
          <w:vertAlign w:val="superscript"/>
        </w:rPr>
        <w:footnoteReference w:id="125"/>
      </w:r>
      <w:r w:rsidRPr="00666914">
        <w:t xml:space="preserve"> ÚHP MF SR je prechod na centrálnu zmluvu nákladovo najefektívnejší variant s potenciálnou úsporou 13,4 mil. eur v období 3 rokov. Priebeh a náležitosti centrálneho nákupu licencií v 1H2019 opakovane posudzoval Úrad pre verejné obstarávanie. Po úprave podkladov bola súťaž opätovne vyhlásená v 07/2019</w:t>
      </w:r>
      <w:r w:rsidRPr="00666914">
        <w:rPr>
          <w:vertAlign w:val="superscript"/>
        </w:rPr>
        <w:footnoteReference w:id="126"/>
      </w:r>
      <w:r w:rsidRPr="00666914">
        <w:t>, do konca roka 2019 ale nedošlo k vyhodnoteniu ponúk a podpisu zmluvy.</w:t>
      </w:r>
    </w:p>
    <w:p w14:paraId="6BE1A98E" w14:textId="77777777" w:rsidR="00386F6D" w:rsidRPr="00666914" w:rsidRDefault="00386F6D">
      <w:pPr>
        <w:spacing w:after="0" w:line="259" w:lineRule="auto"/>
        <w:jc w:val="left"/>
      </w:pPr>
    </w:p>
    <w:p w14:paraId="4B328DB1" w14:textId="77777777" w:rsidR="00386F6D" w:rsidRPr="00666914" w:rsidRDefault="00386F6D" w:rsidP="009F7DB5">
      <w:pPr>
        <w:pStyle w:val="Nadpis2"/>
      </w:pPr>
      <w:bookmarkStart w:id="261" w:name="_heading=h.26in1rg" w:colFirst="0" w:colLast="0"/>
      <w:bookmarkStart w:id="262" w:name="_Toc38447598"/>
      <w:bookmarkEnd w:id="261"/>
      <w:r w:rsidRPr="00666914">
        <w:t>Hodnota</w:t>
      </w:r>
      <w:bookmarkEnd w:id="262"/>
    </w:p>
    <w:tbl>
      <w:tblPr>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7"/>
        <w:gridCol w:w="2442"/>
        <w:gridCol w:w="1379"/>
        <w:gridCol w:w="1172"/>
        <w:gridCol w:w="1156"/>
        <w:gridCol w:w="727"/>
        <w:gridCol w:w="727"/>
        <w:gridCol w:w="727"/>
        <w:gridCol w:w="726"/>
      </w:tblGrid>
      <w:tr w:rsidR="006C6A75" w:rsidRPr="00666914" w14:paraId="5BED8818" w14:textId="77777777" w:rsidTr="003E2457">
        <w:trPr>
          <w:trHeight w:val="548"/>
        </w:trPr>
        <w:tc>
          <w:tcPr>
            <w:tcW w:w="247" w:type="dxa"/>
            <w:shd w:val="clear" w:color="auto" w:fill="auto"/>
            <w:vAlign w:val="center"/>
          </w:tcPr>
          <w:p w14:paraId="6D72A8B9" w14:textId="77777777" w:rsidR="00386F6D" w:rsidRPr="00666914" w:rsidRDefault="00386F6D">
            <w:pPr>
              <w:spacing w:after="0"/>
              <w:jc w:val="center"/>
              <w:rPr>
                <w:color w:val="000000"/>
                <w:sz w:val="20"/>
                <w:szCs w:val="20"/>
              </w:rPr>
            </w:pPr>
            <w:r w:rsidRPr="00666914">
              <w:rPr>
                <w:color w:val="000000"/>
                <w:sz w:val="20"/>
                <w:szCs w:val="20"/>
              </w:rPr>
              <w:t> </w:t>
            </w:r>
          </w:p>
        </w:tc>
        <w:tc>
          <w:tcPr>
            <w:tcW w:w="2442" w:type="dxa"/>
            <w:shd w:val="clear" w:color="auto" w:fill="auto"/>
            <w:vAlign w:val="center"/>
          </w:tcPr>
          <w:p w14:paraId="62BFB0D9" w14:textId="77777777" w:rsidR="00386F6D" w:rsidRPr="00666914" w:rsidRDefault="00386F6D">
            <w:pPr>
              <w:spacing w:after="0"/>
              <w:jc w:val="center"/>
              <w:rPr>
                <w:b/>
                <w:color w:val="000000"/>
                <w:sz w:val="20"/>
                <w:szCs w:val="20"/>
              </w:rPr>
            </w:pPr>
            <w:r w:rsidRPr="00666914">
              <w:rPr>
                <w:b/>
                <w:color w:val="000000"/>
                <w:sz w:val="20"/>
                <w:szCs w:val="20"/>
              </w:rPr>
              <w:t>Opatrenie</w:t>
            </w:r>
          </w:p>
        </w:tc>
        <w:tc>
          <w:tcPr>
            <w:tcW w:w="1379" w:type="dxa"/>
            <w:shd w:val="clear" w:color="auto" w:fill="auto"/>
            <w:vAlign w:val="center"/>
          </w:tcPr>
          <w:p w14:paraId="6EF0678B" w14:textId="77777777" w:rsidR="00386F6D" w:rsidRPr="00666914" w:rsidRDefault="00386F6D">
            <w:pPr>
              <w:spacing w:after="0"/>
              <w:jc w:val="center"/>
              <w:rPr>
                <w:b/>
                <w:color w:val="000000"/>
                <w:sz w:val="20"/>
                <w:szCs w:val="20"/>
              </w:rPr>
            </w:pPr>
            <w:r w:rsidRPr="00666914">
              <w:rPr>
                <w:b/>
                <w:color w:val="000000"/>
                <w:sz w:val="20"/>
                <w:szCs w:val="20"/>
              </w:rPr>
              <w:t>Zodpovednosť</w:t>
            </w:r>
          </w:p>
        </w:tc>
        <w:tc>
          <w:tcPr>
            <w:tcW w:w="1172" w:type="dxa"/>
            <w:shd w:val="clear" w:color="auto" w:fill="auto"/>
            <w:vAlign w:val="center"/>
          </w:tcPr>
          <w:p w14:paraId="17C14339" w14:textId="77777777" w:rsidR="00386F6D" w:rsidRPr="00666914" w:rsidRDefault="00386F6D">
            <w:pPr>
              <w:spacing w:after="0"/>
              <w:jc w:val="center"/>
              <w:rPr>
                <w:b/>
                <w:color w:val="000000"/>
                <w:sz w:val="20"/>
                <w:szCs w:val="20"/>
              </w:rPr>
            </w:pPr>
            <w:r w:rsidRPr="00666914">
              <w:rPr>
                <w:b/>
                <w:color w:val="000000"/>
                <w:sz w:val="20"/>
                <w:szCs w:val="20"/>
              </w:rPr>
              <w:t>Termín plnenia</w:t>
            </w:r>
          </w:p>
        </w:tc>
        <w:tc>
          <w:tcPr>
            <w:tcW w:w="1156" w:type="dxa"/>
            <w:vAlign w:val="center"/>
          </w:tcPr>
          <w:p w14:paraId="6C3CA1C5" w14:textId="77777777" w:rsidR="00386F6D" w:rsidRPr="00666914" w:rsidRDefault="00386F6D">
            <w:pPr>
              <w:spacing w:after="0"/>
              <w:jc w:val="center"/>
              <w:rPr>
                <w:b/>
                <w:color w:val="000000"/>
                <w:sz w:val="20"/>
                <w:szCs w:val="20"/>
              </w:rPr>
            </w:pPr>
            <w:r w:rsidRPr="00666914">
              <w:rPr>
                <w:b/>
                <w:color w:val="000000"/>
                <w:sz w:val="20"/>
                <w:szCs w:val="20"/>
              </w:rPr>
              <w:t>Nový termín</w:t>
            </w:r>
          </w:p>
        </w:tc>
        <w:tc>
          <w:tcPr>
            <w:tcW w:w="727" w:type="dxa"/>
            <w:shd w:val="clear" w:color="auto" w:fill="auto"/>
            <w:vAlign w:val="center"/>
          </w:tcPr>
          <w:p w14:paraId="6D16E804" w14:textId="77777777" w:rsidR="00386F6D" w:rsidRPr="00666914" w:rsidRDefault="00386F6D">
            <w:pPr>
              <w:spacing w:after="0"/>
              <w:jc w:val="center"/>
              <w:rPr>
                <w:b/>
                <w:color w:val="000000"/>
                <w:sz w:val="20"/>
                <w:szCs w:val="20"/>
              </w:rPr>
            </w:pPr>
            <w:r w:rsidRPr="00666914">
              <w:rPr>
                <w:b/>
                <w:color w:val="000000"/>
                <w:sz w:val="20"/>
                <w:szCs w:val="20"/>
              </w:rPr>
              <w:t>1Q 2019</w:t>
            </w:r>
          </w:p>
        </w:tc>
        <w:tc>
          <w:tcPr>
            <w:tcW w:w="727" w:type="dxa"/>
            <w:shd w:val="clear" w:color="auto" w:fill="auto"/>
            <w:vAlign w:val="center"/>
          </w:tcPr>
          <w:p w14:paraId="22CFDF8F" w14:textId="77777777" w:rsidR="00386F6D" w:rsidRPr="00666914" w:rsidRDefault="00386F6D">
            <w:pPr>
              <w:spacing w:after="0"/>
              <w:jc w:val="center"/>
              <w:rPr>
                <w:b/>
                <w:color w:val="000000"/>
                <w:sz w:val="20"/>
                <w:szCs w:val="20"/>
              </w:rPr>
            </w:pPr>
            <w:r w:rsidRPr="00666914">
              <w:rPr>
                <w:b/>
                <w:color w:val="000000"/>
                <w:sz w:val="20"/>
                <w:szCs w:val="20"/>
              </w:rPr>
              <w:t>2Q 2019</w:t>
            </w:r>
          </w:p>
        </w:tc>
        <w:tc>
          <w:tcPr>
            <w:tcW w:w="727" w:type="dxa"/>
            <w:shd w:val="clear" w:color="auto" w:fill="auto"/>
            <w:vAlign w:val="center"/>
          </w:tcPr>
          <w:p w14:paraId="1BC03F67" w14:textId="77777777" w:rsidR="00386F6D" w:rsidRPr="00666914" w:rsidRDefault="00386F6D">
            <w:pPr>
              <w:spacing w:after="0"/>
              <w:jc w:val="center"/>
              <w:rPr>
                <w:b/>
                <w:color w:val="000000"/>
                <w:sz w:val="20"/>
                <w:szCs w:val="20"/>
              </w:rPr>
            </w:pPr>
            <w:r w:rsidRPr="00666914">
              <w:rPr>
                <w:b/>
                <w:color w:val="000000"/>
                <w:sz w:val="20"/>
                <w:szCs w:val="20"/>
              </w:rPr>
              <w:t>3Q 2019</w:t>
            </w:r>
          </w:p>
        </w:tc>
        <w:tc>
          <w:tcPr>
            <w:tcW w:w="726" w:type="dxa"/>
            <w:shd w:val="clear" w:color="auto" w:fill="auto"/>
            <w:vAlign w:val="center"/>
          </w:tcPr>
          <w:p w14:paraId="394D0CB7" w14:textId="77777777" w:rsidR="00386F6D" w:rsidRPr="00666914" w:rsidRDefault="00386F6D">
            <w:pPr>
              <w:spacing w:after="0"/>
              <w:jc w:val="center"/>
              <w:rPr>
                <w:b/>
                <w:color w:val="000000"/>
                <w:sz w:val="20"/>
                <w:szCs w:val="20"/>
              </w:rPr>
            </w:pPr>
            <w:r w:rsidRPr="00666914">
              <w:rPr>
                <w:b/>
                <w:color w:val="000000"/>
                <w:sz w:val="20"/>
                <w:szCs w:val="20"/>
              </w:rPr>
              <w:t>4Q 2019</w:t>
            </w:r>
          </w:p>
        </w:tc>
      </w:tr>
      <w:tr w:rsidR="006C6A75" w:rsidRPr="00666914" w14:paraId="08AB0453" w14:textId="77777777" w:rsidTr="003E2457">
        <w:trPr>
          <w:trHeight w:val="329"/>
        </w:trPr>
        <w:tc>
          <w:tcPr>
            <w:tcW w:w="247" w:type="dxa"/>
            <w:shd w:val="clear" w:color="auto" w:fill="auto"/>
            <w:vAlign w:val="center"/>
          </w:tcPr>
          <w:p w14:paraId="428AE2BA" w14:textId="77777777" w:rsidR="00386F6D" w:rsidRPr="00666914" w:rsidRDefault="00386F6D">
            <w:pPr>
              <w:spacing w:after="0"/>
              <w:jc w:val="center"/>
              <w:rPr>
                <w:color w:val="000000"/>
                <w:sz w:val="20"/>
                <w:szCs w:val="20"/>
              </w:rPr>
            </w:pPr>
            <w:r w:rsidRPr="00666914">
              <w:rPr>
                <w:color w:val="000000"/>
                <w:sz w:val="20"/>
                <w:szCs w:val="20"/>
              </w:rPr>
              <w:t>4</w:t>
            </w:r>
          </w:p>
        </w:tc>
        <w:tc>
          <w:tcPr>
            <w:tcW w:w="2442" w:type="dxa"/>
            <w:shd w:val="clear" w:color="auto" w:fill="auto"/>
            <w:vAlign w:val="center"/>
          </w:tcPr>
          <w:p w14:paraId="6528C386" w14:textId="77777777" w:rsidR="00386F6D" w:rsidRPr="00666914" w:rsidRDefault="00386F6D">
            <w:pPr>
              <w:spacing w:after="0"/>
              <w:rPr>
                <w:color w:val="000000"/>
                <w:sz w:val="20"/>
                <w:szCs w:val="20"/>
              </w:rPr>
            </w:pPr>
            <w:r w:rsidRPr="00666914">
              <w:rPr>
                <w:color w:val="000000"/>
                <w:sz w:val="20"/>
                <w:szCs w:val="20"/>
              </w:rPr>
              <w:t>Prehodnotiť mieru požadovanej bezpečnosti elektronických služieb</w:t>
            </w:r>
          </w:p>
        </w:tc>
        <w:tc>
          <w:tcPr>
            <w:tcW w:w="1379" w:type="dxa"/>
            <w:shd w:val="clear" w:color="auto" w:fill="auto"/>
            <w:vAlign w:val="center"/>
          </w:tcPr>
          <w:p w14:paraId="67E1D03B" w14:textId="77777777" w:rsidR="00386F6D" w:rsidRPr="00666914" w:rsidRDefault="00386F6D">
            <w:pPr>
              <w:spacing w:after="0"/>
              <w:jc w:val="center"/>
              <w:rPr>
                <w:color w:val="000000"/>
                <w:sz w:val="20"/>
                <w:szCs w:val="20"/>
              </w:rPr>
            </w:pPr>
            <w:r w:rsidRPr="00666914">
              <w:rPr>
                <w:color w:val="000000"/>
                <w:sz w:val="20"/>
                <w:szCs w:val="20"/>
              </w:rPr>
              <w:t>ÚPVII</w:t>
            </w:r>
          </w:p>
        </w:tc>
        <w:tc>
          <w:tcPr>
            <w:tcW w:w="1172" w:type="dxa"/>
            <w:shd w:val="clear" w:color="auto" w:fill="auto"/>
            <w:vAlign w:val="center"/>
          </w:tcPr>
          <w:p w14:paraId="5CFE5E7E" w14:textId="77777777" w:rsidR="00386F6D" w:rsidRPr="00666914" w:rsidRDefault="00386F6D">
            <w:pPr>
              <w:spacing w:after="0"/>
              <w:jc w:val="center"/>
              <w:rPr>
                <w:color w:val="000000"/>
                <w:sz w:val="20"/>
                <w:szCs w:val="20"/>
              </w:rPr>
            </w:pPr>
            <w:r w:rsidRPr="00666914">
              <w:rPr>
                <w:color w:val="000000"/>
                <w:sz w:val="20"/>
                <w:szCs w:val="20"/>
              </w:rPr>
              <w:t>30.3.2017</w:t>
            </w:r>
          </w:p>
        </w:tc>
        <w:tc>
          <w:tcPr>
            <w:tcW w:w="1156" w:type="dxa"/>
            <w:vAlign w:val="center"/>
          </w:tcPr>
          <w:p w14:paraId="257BF9AB" w14:textId="77777777" w:rsidR="00386F6D" w:rsidRPr="00666914" w:rsidRDefault="00386F6D">
            <w:pPr>
              <w:spacing w:after="0"/>
              <w:jc w:val="center"/>
              <w:rPr>
                <w:color w:val="000000"/>
                <w:sz w:val="20"/>
                <w:szCs w:val="20"/>
              </w:rPr>
            </w:pPr>
            <w:r w:rsidRPr="00666914">
              <w:rPr>
                <w:color w:val="000000"/>
                <w:sz w:val="20"/>
                <w:szCs w:val="20"/>
              </w:rPr>
              <w:t>priebežne</w:t>
            </w:r>
          </w:p>
        </w:tc>
        <w:tc>
          <w:tcPr>
            <w:tcW w:w="727" w:type="dxa"/>
            <w:shd w:val="clear" w:color="auto" w:fill="92D050"/>
            <w:vAlign w:val="bottom"/>
          </w:tcPr>
          <w:p w14:paraId="2025CC32" w14:textId="77777777" w:rsidR="00386F6D" w:rsidRPr="00666914" w:rsidRDefault="00386F6D">
            <w:pPr>
              <w:spacing w:after="0"/>
              <w:rPr>
                <w:color w:val="000000"/>
                <w:sz w:val="20"/>
                <w:szCs w:val="20"/>
              </w:rPr>
            </w:pPr>
            <w:r w:rsidRPr="00666914">
              <w:rPr>
                <w:color w:val="000000"/>
                <w:sz w:val="20"/>
                <w:szCs w:val="20"/>
              </w:rPr>
              <w:t> </w:t>
            </w:r>
          </w:p>
        </w:tc>
        <w:tc>
          <w:tcPr>
            <w:tcW w:w="727" w:type="dxa"/>
            <w:shd w:val="clear" w:color="auto" w:fill="92D050"/>
            <w:vAlign w:val="bottom"/>
          </w:tcPr>
          <w:p w14:paraId="6517610B" w14:textId="77777777" w:rsidR="00386F6D" w:rsidRPr="00666914" w:rsidRDefault="00386F6D">
            <w:pPr>
              <w:spacing w:after="0"/>
              <w:rPr>
                <w:color w:val="000000"/>
                <w:sz w:val="20"/>
                <w:szCs w:val="20"/>
              </w:rPr>
            </w:pPr>
            <w:r w:rsidRPr="00666914">
              <w:rPr>
                <w:color w:val="000000"/>
                <w:sz w:val="20"/>
                <w:szCs w:val="20"/>
              </w:rPr>
              <w:t> </w:t>
            </w:r>
          </w:p>
        </w:tc>
        <w:tc>
          <w:tcPr>
            <w:tcW w:w="727" w:type="dxa"/>
            <w:shd w:val="clear" w:color="auto" w:fill="92D050"/>
            <w:vAlign w:val="bottom"/>
          </w:tcPr>
          <w:p w14:paraId="4CF2DCC1" w14:textId="77777777" w:rsidR="00386F6D" w:rsidRPr="00666914" w:rsidRDefault="00386F6D">
            <w:pPr>
              <w:spacing w:after="0"/>
              <w:rPr>
                <w:color w:val="000000"/>
                <w:sz w:val="20"/>
                <w:szCs w:val="20"/>
              </w:rPr>
            </w:pPr>
            <w:r w:rsidRPr="00666914">
              <w:rPr>
                <w:color w:val="000000"/>
                <w:sz w:val="20"/>
                <w:szCs w:val="20"/>
              </w:rPr>
              <w:t> </w:t>
            </w:r>
          </w:p>
        </w:tc>
        <w:tc>
          <w:tcPr>
            <w:tcW w:w="726" w:type="dxa"/>
            <w:shd w:val="clear" w:color="auto" w:fill="92D050"/>
            <w:vAlign w:val="bottom"/>
          </w:tcPr>
          <w:p w14:paraId="1C0BB853" w14:textId="77777777" w:rsidR="00386F6D" w:rsidRPr="00666914" w:rsidRDefault="00386F6D">
            <w:pPr>
              <w:spacing w:after="0"/>
              <w:rPr>
                <w:color w:val="000000"/>
                <w:sz w:val="20"/>
                <w:szCs w:val="20"/>
              </w:rPr>
            </w:pPr>
            <w:r w:rsidRPr="00666914">
              <w:rPr>
                <w:color w:val="000000"/>
                <w:sz w:val="20"/>
                <w:szCs w:val="20"/>
              </w:rPr>
              <w:t> </w:t>
            </w:r>
          </w:p>
        </w:tc>
      </w:tr>
      <w:tr w:rsidR="006C6A75" w:rsidRPr="00666914" w14:paraId="797D8774" w14:textId="77777777" w:rsidTr="003E2457">
        <w:trPr>
          <w:trHeight w:val="329"/>
        </w:trPr>
        <w:tc>
          <w:tcPr>
            <w:tcW w:w="247" w:type="dxa"/>
            <w:shd w:val="clear" w:color="auto" w:fill="auto"/>
            <w:vAlign w:val="center"/>
          </w:tcPr>
          <w:p w14:paraId="23D19229" w14:textId="77777777" w:rsidR="00386F6D" w:rsidRPr="00666914" w:rsidRDefault="00386F6D">
            <w:pPr>
              <w:spacing w:after="0"/>
              <w:jc w:val="center"/>
              <w:rPr>
                <w:color w:val="000000"/>
                <w:sz w:val="20"/>
                <w:szCs w:val="20"/>
              </w:rPr>
            </w:pPr>
            <w:r w:rsidRPr="00666914">
              <w:rPr>
                <w:color w:val="000000"/>
                <w:sz w:val="20"/>
                <w:szCs w:val="20"/>
              </w:rPr>
              <w:t>5</w:t>
            </w:r>
          </w:p>
        </w:tc>
        <w:tc>
          <w:tcPr>
            <w:tcW w:w="2442" w:type="dxa"/>
            <w:shd w:val="clear" w:color="auto" w:fill="auto"/>
            <w:vAlign w:val="center"/>
          </w:tcPr>
          <w:p w14:paraId="39E0F69A" w14:textId="77777777" w:rsidR="00386F6D" w:rsidRPr="00666914" w:rsidRDefault="00386F6D">
            <w:pPr>
              <w:spacing w:after="0"/>
              <w:rPr>
                <w:color w:val="000000"/>
                <w:sz w:val="20"/>
                <w:szCs w:val="20"/>
              </w:rPr>
            </w:pPr>
            <w:r w:rsidRPr="00666914">
              <w:rPr>
                <w:color w:val="000000"/>
                <w:sz w:val="20"/>
                <w:szCs w:val="20"/>
              </w:rPr>
              <w:t>Vydávať BOK k novým eID automaticky</w:t>
            </w:r>
          </w:p>
        </w:tc>
        <w:tc>
          <w:tcPr>
            <w:tcW w:w="1379" w:type="dxa"/>
            <w:shd w:val="clear" w:color="auto" w:fill="auto"/>
            <w:vAlign w:val="center"/>
          </w:tcPr>
          <w:p w14:paraId="06614545" w14:textId="77777777" w:rsidR="00386F6D" w:rsidRPr="00666914" w:rsidRDefault="00386F6D">
            <w:pPr>
              <w:spacing w:after="0"/>
              <w:jc w:val="center"/>
              <w:rPr>
                <w:color w:val="000000"/>
                <w:sz w:val="20"/>
                <w:szCs w:val="20"/>
              </w:rPr>
            </w:pPr>
            <w:r w:rsidRPr="00666914">
              <w:rPr>
                <w:color w:val="000000"/>
                <w:sz w:val="20"/>
                <w:szCs w:val="20"/>
              </w:rPr>
              <w:t>MV SR, ÚPVII, NASES</w:t>
            </w:r>
          </w:p>
        </w:tc>
        <w:tc>
          <w:tcPr>
            <w:tcW w:w="1172" w:type="dxa"/>
            <w:shd w:val="clear" w:color="auto" w:fill="auto"/>
            <w:vAlign w:val="center"/>
          </w:tcPr>
          <w:p w14:paraId="5CAB1AF1" w14:textId="77777777" w:rsidR="00386F6D" w:rsidRPr="00666914" w:rsidRDefault="00386F6D">
            <w:pPr>
              <w:spacing w:after="0"/>
              <w:jc w:val="center"/>
              <w:rPr>
                <w:color w:val="000000"/>
                <w:sz w:val="20"/>
                <w:szCs w:val="20"/>
              </w:rPr>
            </w:pPr>
            <w:r w:rsidRPr="00666914">
              <w:rPr>
                <w:color w:val="000000"/>
                <w:sz w:val="20"/>
                <w:szCs w:val="20"/>
              </w:rPr>
              <w:t>31.12.2016</w:t>
            </w:r>
          </w:p>
        </w:tc>
        <w:tc>
          <w:tcPr>
            <w:tcW w:w="1156" w:type="dxa"/>
            <w:vAlign w:val="center"/>
          </w:tcPr>
          <w:p w14:paraId="2B357634" w14:textId="77777777" w:rsidR="00386F6D" w:rsidRPr="00666914" w:rsidRDefault="00386F6D">
            <w:pPr>
              <w:spacing w:after="0"/>
              <w:jc w:val="center"/>
              <w:rPr>
                <w:color w:val="000000"/>
                <w:sz w:val="20"/>
                <w:szCs w:val="20"/>
              </w:rPr>
            </w:pPr>
            <w:r w:rsidRPr="00666914">
              <w:rPr>
                <w:color w:val="000000"/>
                <w:sz w:val="20"/>
                <w:szCs w:val="20"/>
              </w:rPr>
              <w:t>priebežne</w:t>
            </w:r>
          </w:p>
        </w:tc>
        <w:tc>
          <w:tcPr>
            <w:tcW w:w="727" w:type="dxa"/>
            <w:shd w:val="clear" w:color="auto" w:fill="92D050"/>
            <w:vAlign w:val="bottom"/>
          </w:tcPr>
          <w:p w14:paraId="3D047CE3" w14:textId="77777777" w:rsidR="00386F6D" w:rsidRPr="00666914" w:rsidRDefault="00386F6D">
            <w:pPr>
              <w:spacing w:after="0"/>
              <w:rPr>
                <w:color w:val="000000"/>
                <w:sz w:val="20"/>
                <w:szCs w:val="20"/>
              </w:rPr>
            </w:pPr>
            <w:r w:rsidRPr="00666914">
              <w:rPr>
                <w:color w:val="000000"/>
                <w:sz w:val="20"/>
                <w:szCs w:val="20"/>
              </w:rPr>
              <w:t> </w:t>
            </w:r>
          </w:p>
        </w:tc>
        <w:tc>
          <w:tcPr>
            <w:tcW w:w="727" w:type="dxa"/>
            <w:shd w:val="clear" w:color="auto" w:fill="92D050"/>
            <w:vAlign w:val="bottom"/>
          </w:tcPr>
          <w:p w14:paraId="7037DBB1" w14:textId="77777777" w:rsidR="00386F6D" w:rsidRPr="00666914" w:rsidRDefault="00386F6D">
            <w:pPr>
              <w:spacing w:after="0"/>
              <w:rPr>
                <w:color w:val="000000"/>
                <w:sz w:val="20"/>
                <w:szCs w:val="20"/>
              </w:rPr>
            </w:pPr>
            <w:r w:rsidRPr="00666914">
              <w:rPr>
                <w:color w:val="000000"/>
                <w:sz w:val="20"/>
                <w:szCs w:val="20"/>
              </w:rPr>
              <w:t> </w:t>
            </w:r>
          </w:p>
        </w:tc>
        <w:tc>
          <w:tcPr>
            <w:tcW w:w="727" w:type="dxa"/>
            <w:shd w:val="clear" w:color="auto" w:fill="92D050"/>
            <w:vAlign w:val="bottom"/>
          </w:tcPr>
          <w:p w14:paraId="29F3FD3A" w14:textId="77777777" w:rsidR="00386F6D" w:rsidRPr="00666914" w:rsidRDefault="00386F6D">
            <w:pPr>
              <w:spacing w:after="0"/>
              <w:rPr>
                <w:color w:val="000000"/>
                <w:sz w:val="20"/>
                <w:szCs w:val="20"/>
              </w:rPr>
            </w:pPr>
            <w:r w:rsidRPr="00666914">
              <w:rPr>
                <w:color w:val="000000"/>
                <w:sz w:val="20"/>
                <w:szCs w:val="20"/>
              </w:rPr>
              <w:t> </w:t>
            </w:r>
          </w:p>
        </w:tc>
        <w:tc>
          <w:tcPr>
            <w:tcW w:w="726" w:type="dxa"/>
            <w:shd w:val="clear" w:color="auto" w:fill="92D050"/>
            <w:vAlign w:val="bottom"/>
          </w:tcPr>
          <w:p w14:paraId="10467184" w14:textId="77777777" w:rsidR="00386F6D" w:rsidRPr="00666914" w:rsidRDefault="00386F6D">
            <w:pPr>
              <w:spacing w:after="0"/>
              <w:rPr>
                <w:color w:val="000000"/>
                <w:sz w:val="20"/>
                <w:szCs w:val="20"/>
              </w:rPr>
            </w:pPr>
            <w:r w:rsidRPr="00666914">
              <w:rPr>
                <w:color w:val="000000"/>
                <w:sz w:val="20"/>
                <w:szCs w:val="20"/>
              </w:rPr>
              <w:t> </w:t>
            </w:r>
          </w:p>
        </w:tc>
      </w:tr>
      <w:tr w:rsidR="006C6A75" w:rsidRPr="00666914" w14:paraId="24F3B969" w14:textId="77777777" w:rsidTr="003E2457">
        <w:trPr>
          <w:trHeight w:val="329"/>
        </w:trPr>
        <w:tc>
          <w:tcPr>
            <w:tcW w:w="247" w:type="dxa"/>
            <w:shd w:val="clear" w:color="auto" w:fill="auto"/>
            <w:vAlign w:val="center"/>
          </w:tcPr>
          <w:p w14:paraId="5FC25750" w14:textId="77777777" w:rsidR="00386F6D" w:rsidRPr="00666914" w:rsidRDefault="00386F6D">
            <w:pPr>
              <w:spacing w:after="0"/>
              <w:jc w:val="center"/>
              <w:rPr>
                <w:color w:val="000000"/>
                <w:sz w:val="20"/>
                <w:szCs w:val="20"/>
              </w:rPr>
            </w:pPr>
            <w:r w:rsidRPr="00666914">
              <w:rPr>
                <w:color w:val="000000"/>
                <w:sz w:val="20"/>
                <w:szCs w:val="20"/>
              </w:rPr>
              <w:t>6</w:t>
            </w:r>
          </w:p>
        </w:tc>
        <w:tc>
          <w:tcPr>
            <w:tcW w:w="2442" w:type="dxa"/>
            <w:shd w:val="clear" w:color="auto" w:fill="auto"/>
            <w:vAlign w:val="center"/>
          </w:tcPr>
          <w:p w14:paraId="3D9C80BD" w14:textId="77777777" w:rsidR="00386F6D" w:rsidRPr="00666914" w:rsidRDefault="00386F6D">
            <w:pPr>
              <w:spacing w:after="0"/>
              <w:rPr>
                <w:color w:val="000000"/>
                <w:sz w:val="20"/>
                <w:szCs w:val="20"/>
              </w:rPr>
            </w:pPr>
            <w:r w:rsidRPr="00666914">
              <w:rPr>
                <w:color w:val="000000"/>
                <w:sz w:val="20"/>
                <w:szCs w:val="20"/>
              </w:rPr>
              <w:t>Vytvoriť záväzný UX manuál pre vládne služby</w:t>
            </w:r>
          </w:p>
        </w:tc>
        <w:tc>
          <w:tcPr>
            <w:tcW w:w="1379" w:type="dxa"/>
            <w:shd w:val="clear" w:color="auto" w:fill="auto"/>
            <w:vAlign w:val="center"/>
          </w:tcPr>
          <w:p w14:paraId="3803A2FC" w14:textId="77777777" w:rsidR="00386F6D" w:rsidRPr="00666914" w:rsidRDefault="00386F6D">
            <w:pPr>
              <w:spacing w:after="0"/>
              <w:jc w:val="center"/>
              <w:rPr>
                <w:color w:val="000000"/>
                <w:sz w:val="20"/>
                <w:szCs w:val="20"/>
              </w:rPr>
            </w:pPr>
            <w:r w:rsidRPr="00666914">
              <w:rPr>
                <w:color w:val="000000"/>
                <w:sz w:val="20"/>
                <w:szCs w:val="20"/>
              </w:rPr>
              <w:t>ÚPVII, NASES</w:t>
            </w:r>
          </w:p>
        </w:tc>
        <w:tc>
          <w:tcPr>
            <w:tcW w:w="1172" w:type="dxa"/>
            <w:shd w:val="clear" w:color="auto" w:fill="auto"/>
            <w:vAlign w:val="center"/>
          </w:tcPr>
          <w:p w14:paraId="7E906C98" w14:textId="77777777" w:rsidR="00386F6D" w:rsidRPr="00666914" w:rsidRDefault="00386F6D">
            <w:pPr>
              <w:spacing w:after="0"/>
              <w:jc w:val="center"/>
              <w:rPr>
                <w:color w:val="000000"/>
                <w:sz w:val="20"/>
                <w:szCs w:val="20"/>
              </w:rPr>
            </w:pPr>
            <w:r w:rsidRPr="00666914">
              <w:rPr>
                <w:color w:val="000000"/>
                <w:sz w:val="20"/>
                <w:szCs w:val="20"/>
              </w:rPr>
              <w:t>31.5.2017</w:t>
            </w:r>
          </w:p>
        </w:tc>
        <w:tc>
          <w:tcPr>
            <w:tcW w:w="1156" w:type="dxa"/>
            <w:vAlign w:val="center"/>
          </w:tcPr>
          <w:p w14:paraId="05A2F543" w14:textId="77777777" w:rsidR="00386F6D" w:rsidRPr="00666914" w:rsidRDefault="00386F6D">
            <w:pPr>
              <w:spacing w:after="0"/>
              <w:jc w:val="center"/>
              <w:rPr>
                <w:color w:val="000000"/>
                <w:sz w:val="20"/>
                <w:szCs w:val="20"/>
              </w:rPr>
            </w:pPr>
            <w:r w:rsidRPr="00666914">
              <w:rPr>
                <w:color w:val="000000"/>
                <w:sz w:val="20"/>
                <w:szCs w:val="20"/>
              </w:rPr>
              <w:t>30.6.2019</w:t>
            </w:r>
          </w:p>
        </w:tc>
        <w:tc>
          <w:tcPr>
            <w:tcW w:w="727" w:type="dxa"/>
            <w:shd w:val="clear" w:color="auto" w:fill="FFC000"/>
            <w:vAlign w:val="bottom"/>
          </w:tcPr>
          <w:p w14:paraId="57A7D07F" w14:textId="77777777" w:rsidR="00386F6D" w:rsidRPr="00666914" w:rsidRDefault="00386F6D">
            <w:pPr>
              <w:spacing w:after="0"/>
              <w:rPr>
                <w:color w:val="000000"/>
                <w:sz w:val="20"/>
                <w:szCs w:val="20"/>
              </w:rPr>
            </w:pPr>
          </w:p>
        </w:tc>
        <w:tc>
          <w:tcPr>
            <w:tcW w:w="727" w:type="dxa"/>
            <w:shd w:val="clear" w:color="auto" w:fill="FFC000"/>
            <w:vAlign w:val="bottom"/>
          </w:tcPr>
          <w:p w14:paraId="5BF68B13" w14:textId="77777777" w:rsidR="00386F6D" w:rsidRPr="00666914" w:rsidRDefault="00386F6D">
            <w:pPr>
              <w:spacing w:after="0"/>
              <w:rPr>
                <w:color w:val="000000"/>
                <w:sz w:val="20"/>
                <w:szCs w:val="20"/>
              </w:rPr>
            </w:pPr>
          </w:p>
        </w:tc>
        <w:tc>
          <w:tcPr>
            <w:tcW w:w="727" w:type="dxa"/>
            <w:shd w:val="clear" w:color="auto" w:fill="FFC000"/>
            <w:vAlign w:val="bottom"/>
          </w:tcPr>
          <w:p w14:paraId="1C424A2C" w14:textId="77777777" w:rsidR="00386F6D" w:rsidRPr="00666914" w:rsidRDefault="00386F6D">
            <w:pPr>
              <w:spacing w:after="0"/>
              <w:rPr>
                <w:color w:val="000000"/>
                <w:sz w:val="20"/>
                <w:szCs w:val="20"/>
              </w:rPr>
            </w:pPr>
          </w:p>
        </w:tc>
        <w:tc>
          <w:tcPr>
            <w:tcW w:w="726" w:type="dxa"/>
            <w:shd w:val="clear" w:color="auto" w:fill="FFC000"/>
            <w:vAlign w:val="bottom"/>
          </w:tcPr>
          <w:p w14:paraId="36242D89" w14:textId="77777777" w:rsidR="00386F6D" w:rsidRPr="00666914" w:rsidRDefault="00386F6D">
            <w:pPr>
              <w:spacing w:after="0"/>
              <w:rPr>
                <w:color w:val="000000"/>
                <w:sz w:val="20"/>
                <w:szCs w:val="20"/>
              </w:rPr>
            </w:pPr>
          </w:p>
        </w:tc>
      </w:tr>
      <w:tr w:rsidR="006C6A75" w:rsidRPr="00666914" w14:paraId="3F73A8ED" w14:textId="77777777" w:rsidTr="003E2457">
        <w:trPr>
          <w:trHeight w:val="329"/>
        </w:trPr>
        <w:tc>
          <w:tcPr>
            <w:tcW w:w="247" w:type="dxa"/>
            <w:shd w:val="clear" w:color="auto" w:fill="auto"/>
            <w:vAlign w:val="center"/>
          </w:tcPr>
          <w:p w14:paraId="351CC66A" w14:textId="77777777" w:rsidR="00386F6D" w:rsidRPr="00666914" w:rsidRDefault="00386F6D">
            <w:pPr>
              <w:spacing w:after="0"/>
              <w:jc w:val="center"/>
              <w:rPr>
                <w:color w:val="000000"/>
                <w:sz w:val="20"/>
                <w:szCs w:val="20"/>
              </w:rPr>
            </w:pPr>
            <w:r w:rsidRPr="00666914">
              <w:rPr>
                <w:color w:val="000000"/>
                <w:sz w:val="20"/>
                <w:szCs w:val="20"/>
              </w:rPr>
              <w:t>7</w:t>
            </w:r>
          </w:p>
        </w:tc>
        <w:tc>
          <w:tcPr>
            <w:tcW w:w="2442" w:type="dxa"/>
            <w:shd w:val="clear" w:color="auto" w:fill="auto"/>
            <w:vAlign w:val="center"/>
          </w:tcPr>
          <w:p w14:paraId="2BF49F1C" w14:textId="77777777" w:rsidR="00386F6D" w:rsidRPr="00666914" w:rsidRDefault="00386F6D">
            <w:pPr>
              <w:spacing w:after="0"/>
              <w:rPr>
                <w:color w:val="000000"/>
                <w:sz w:val="20"/>
                <w:szCs w:val="20"/>
              </w:rPr>
            </w:pPr>
            <w:r w:rsidRPr="00666914">
              <w:rPr>
                <w:color w:val="000000"/>
                <w:sz w:val="20"/>
                <w:szCs w:val="20"/>
              </w:rPr>
              <w:t>Otvoriť eID podnikateľom sprístupnením API</w:t>
            </w:r>
          </w:p>
        </w:tc>
        <w:tc>
          <w:tcPr>
            <w:tcW w:w="1379" w:type="dxa"/>
            <w:shd w:val="clear" w:color="auto" w:fill="auto"/>
            <w:vAlign w:val="center"/>
          </w:tcPr>
          <w:p w14:paraId="6288BD67" w14:textId="77777777" w:rsidR="00386F6D" w:rsidRPr="00666914" w:rsidRDefault="00386F6D">
            <w:pPr>
              <w:spacing w:after="0"/>
              <w:jc w:val="center"/>
              <w:rPr>
                <w:color w:val="000000"/>
                <w:sz w:val="20"/>
                <w:szCs w:val="20"/>
              </w:rPr>
            </w:pPr>
            <w:r w:rsidRPr="00666914">
              <w:rPr>
                <w:color w:val="000000"/>
                <w:sz w:val="20"/>
                <w:szCs w:val="20"/>
              </w:rPr>
              <w:t xml:space="preserve">MV SR, ÚPVII </w:t>
            </w:r>
          </w:p>
        </w:tc>
        <w:tc>
          <w:tcPr>
            <w:tcW w:w="1172" w:type="dxa"/>
            <w:shd w:val="clear" w:color="auto" w:fill="auto"/>
            <w:vAlign w:val="center"/>
          </w:tcPr>
          <w:p w14:paraId="32D6F628" w14:textId="77777777" w:rsidR="00386F6D" w:rsidRPr="00666914" w:rsidRDefault="00386F6D">
            <w:pPr>
              <w:spacing w:after="0"/>
              <w:jc w:val="center"/>
              <w:rPr>
                <w:color w:val="000000"/>
                <w:sz w:val="20"/>
                <w:szCs w:val="20"/>
              </w:rPr>
            </w:pPr>
            <w:r w:rsidRPr="00666914">
              <w:rPr>
                <w:color w:val="000000"/>
                <w:sz w:val="20"/>
                <w:szCs w:val="20"/>
              </w:rPr>
              <w:t>31.12.2017</w:t>
            </w:r>
          </w:p>
        </w:tc>
        <w:tc>
          <w:tcPr>
            <w:tcW w:w="1156" w:type="dxa"/>
            <w:vAlign w:val="center"/>
          </w:tcPr>
          <w:p w14:paraId="7BAE18EC" w14:textId="77777777" w:rsidR="00386F6D" w:rsidRPr="00666914" w:rsidRDefault="00386F6D">
            <w:pPr>
              <w:spacing w:after="0"/>
              <w:jc w:val="center"/>
              <w:rPr>
                <w:color w:val="000000"/>
                <w:sz w:val="20"/>
                <w:szCs w:val="20"/>
              </w:rPr>
            </w:pPr>
            <w:r w:rsidRPr="00666914">
              <w:rPr>
                <w:color w:val="000000"/>
                <w:sz w:val="20"/>
                <w:szCs w:val="20"/>
              </w:rPr>
              <w:t>31.12.2019</w:t>
            </w:r>
          </w:p>
        </w:tc>
        <w:tc>
          <w:tcPr>
            <w:tcW w:w="727" w:type="dxa"/>
            <w:shd w:val="clear" w:color="auto" w:fill="FF0000"/>
            <w:vAlign w:val="bottom"/>
          </w:tcPr>
          <w:p w14:paraId="60FEFF02" w14:textId="77777777" w:rsidR="00386F6D" w:rsidRPr="00666914" w:rsidRDefault="00386F6D">
            <w:pPr>
              <w:spacing w:after="0"/>
              <w:rPr>
                <w:color w:val="000000"/>
                <w:sz w:val="20"/>
                <w:szCs w:val="20"/>
              </w:rPr>
            </w:pPr>
          </w:p>
        </w:tc>
        <w:tc>
          <w:tcPr>
            <w:tcW w:w="727" w:type="dxa"/>
            <w:shd w:val="clear" w:color="auto" w:fill="FF0000"/>
            <w:vAlign w:val="bottom"/>
          </w:tcPr>
          <w:p w14:paraId="3189D182" w14:textId="77777777" w:rsidR="00386F6D" w:rsidRPr="00666914" w:rsidRDefault="00386F6D">
            <w:pPr>
              <w:spacing w:after="0"/>
              <w:rPr>
                <w:color w:val="000000"/>
                <w:sz w:val="20"/>
                <w:szCs w:val="20"/>
              </w:rPr>
            </w:pPr>
          </w:p>
        </w:tc>
        <w:tc>
          <w:tcPr>
            <w:tcW w:w="727" w:type="dxa"/>
            <w:shd w:val="clear" w:color="auto" w:fill="FF0000"/>
            <w:vAlign w:val="bottom"/>
          </w:tcPr>
          <w:p w14:paraId="0F3743A4" w14:textId="77777777" w:rsidR="00386F6D" w:rsidRPr="00666914" w:rsidRDefault="00386F6D">
            <w:pPr>
              <w:spacing w:after="0"/>
              <w:rPr>
                <w:color w:val="000000"/>
                <w:sz w:val="20"/>
                <w:szCs w:val="20"/>
              </w:rPr>
            </w:pPr>
          </w:p>
        </w:tc>
        <w:tc>
          <w:tcPr>
            <w:tcW w:w="726" w:type="dxa"/>
            <w:shd w:val="clear" w:color="auto" w:fill="FF0000"/>
            <w:vAlign w:val="bottom"/>
          </w:tcPr>
          <w:p w14:paraId="562AB521" w14:textId="77777777" w:rsidR="00386F6D" w:rsidRPr="00666914" w:rsidRDefault="00386F6D">
            <w:pPr>
              <w:spacing w:after="0"/>
              <w:rPr>
                <w:color w:val="000000"/>
                <w:sz w:val="20"/>
                <w:szCs w:val="20"/>
              </w:rPr>
            </w:pPr>
          </w:p>
        </w:tc>
      </w:tr>
      <w:tr w:rsidR="006C6A75" w:rsidRPr="00666914" w14:paraId="27CCAB18" w14:textId="77777777" w:rsidTr="003E2457">
        <w:trPr>
          <w:trHeight w:val="329"/>
        </w:trPr>
        <w:tc>
          <w:tcPr>
            <w:tcW w:w="247" w:type="dxa"/>
            <w:shd w:val="clear" w:color="auto" w:fill="auto"/>
            <w:vAlign w:val="center"/>
          </w:tcPr>
          <w:p w14:paraId="53246230" w14:textId="77777777" w:rsidR="00386F6D" w:rsidRPr="00666914" w:rsidRDefault="00386F6D">
            <w:pPr>
              <w:spacing w:after="0"/>
              <w:jc w:val="center"/>
              <w:rPr>
                <w:color w:val="000000"/>
                <w:sz w:val="20"/>
                <w:szCs w:val="20"/>
              </w:rPr>
            </w:pPr>
            <w:r w:rsidRPr="00666914">
              <w:rPr>
                <w:color w:val="000000"/>
                <w:sz w:val="20"/>
                <w:szCs w:val="20"/>
              </w:rPr>
              <w:t>8</w:t>
            </w:r>
          </w:p>
        </w:tc>
        <w:tc>
          <w:tcPr>
            <w:tcW w:w="2442" w:type="dxa"/>
            <w:shd w:val="clear" w:color="auto" w:fill="auto"/>
            <w:vAlign w:val="center"/>
          </w:tcPr>
          <w:p w14:paraId="35D7C054" w14:textId="77777777" w:rsidR="00386F6D" w:rsidRPr="00666914" w:rsidRDefault="00386F6D">
            <w:pPr>
              <w:spacing w:after="0"/>
              <w:rPr>
                <w:color w:val="000000"/>
                <w:sz w:val="20"/>
                <w:szCs w:val="20"/>
              </w:rPr>
            </w:pPr>
            <w:r w:rsidRPr="00666914">
              <w:rPr>
                <w:color w:val="000000"/>
                <w:sz w:val="20"/>
                <w:szCs w:val="20"/>
              </w:rPr>
              <w:t>Preskúmať alternatívne spôsoby overenia identity</w:t>
            </w:r>
          </w:p>
        </w:tc>
        <w:tc>
          <w:tcPr>
            <w:tcW w:w="1379" w:type="dxa"/>
            <w:shd w:val="clear" w:color="auto" w:fill="auto"/>
            <w:vAlign w:val="center"/>
          </w:tcPr>
          <w:p w14:paraId="30FA17C8" w14:textId="77777777" w:rsidR="00386F6D" w:rsidRPr="00666914" w:rsidRDefault="00386F6D">
            <w:pPr>
              <w:spacing w:after="0"/>
              <w:jc w:val="center"/>
              <w:rPr>
                <w:color w:val="000000"/>
                <w:sz w:val="20"/>
                <w:szCs w:val="20"/>
              </w:rPr>
            </w:pPr>
            <w:r w:rsidRPr="00666914">
              <w:rPr>
                <w:color w:val="000000"/>
                <w:sz w:val="20"/>
                <w:szCs w:val="20"/>
              </w:rPr>
              <w:t>ÚPVII, MV SR, NASES</w:t>
            </w:r>
          </w:p>
        </w:tc>
        <w:tc>
          <w:tcPr>
            <w:tcW w:w="1172" w:type="dxa"/>
            <w:shd w:val="clear" w:color="auto" w:fill="auto"/>
            <w:vAlign w:val="center"/>
          </w:tcPr>
          <w:p w14:paraId="056F0F27" w14:textId="77777777" w:rsidR="00386F6D" w:rsidRPr="00666914" w:rsidRDefault="00386F6D">
            <w:pPr>
              <w:spacing w:after="0"/>
              <w:jc w:val="center"/>
              <w:rPr>
                <w:color w:val="000000"/>
                <w:sz w:val="20"/>
                <w:szCs w:val="20"/>
              </w:rPr>
            </w:pPr>
            <w:r w:rsidRPr="00666914">
              <w:rPr>
                <w:color w:val="000000"/>
                <w:sz w:val="20"/>
                <w:szCs w:val="20"/>
              </w:rPr>
              <w:t>30.6.2017</w:t>
            </w:r>
          </w:p>
        </w:tc>
        <w:tc>
          <w:tcPr>
            <w:tcW w:w="1156" w:type="dxa"/>
            <w:vAlign w:val="center"/>
          </w:tcPr>
          <w:p w14:paraId="10A50730" w14:textId="77777777" w:rsidR="00386F6D" w:rsidRPr="00666914" w:rsidRDefault="00386F6D">
            <w:pPr>
              <w:spacing w:after="0"/>
              <w:jc w:val="center"/>
              <w:rPr>
                <w:color w:val="000000"/>
                <w:sz w:val="20"/>
                <w:szCs w:val="20"/>
              </w:rPr>
            </w:pPr>
            <w:r w:rsidRPr="00666914">
              <w:rPr>
                <w:color w:val="000000"/>
                <w:sz w:val="20"/>
                <w:szCs w:val="20"/>
              </w:rPr>
              <w:t>30.6.2019</w:t>
            </w:r>
          </w:p>
        </w:tc>
        <w:tc>
          <w:tcPr>
            <w:tcW w:w="727" w:type="dxa"/>
            <w:shd w:val="clear" w:color="auto" w:fill="C00000"/>
            <w:vAlign w:val="bottom"/>
          </w:tcPr>
          <w:p w14:paraId="261182DF" w14:textId="77777777" w:rsidR="00386F6D" w:rsidRPr="00666914" w:rsidRDefault="00386F6D">
            <w:pPr>
              <w:spacing w:after="0"/>
              <w:rPr>
                <w:color w:val="000000"/>
                <w:sz w:val="20"/>
                <w:szCs w:val="20"/>
              </w:rPr>
            </w:pPr>
            <w:r w:rsidRPr="00666914">
              <w:rPr>
                <w:color w:val="000000"/>
                <w:sz w:val="20"/>
                <w:szCs w:val="20"/>
              </w:rPr>
              <w:t> </w:t>
            </w:r>
          </w:p>
        </w:tc>
        <w:tc>
          <w:tcPr>
            <w:tcW w:w="727" w:type="dxa"/>
            <w:shd w:val="clear" w:color="auto" w:fill="C00000"/>
            <w:vAlign w:val="bottom"/>
          </w:tcPr>
          <w:p w14:paraId="08D674F7" w14:textId="77777777" w:rsidR="00386F6D" w:rsidRPr="00666914" w:rsidRDefault="00386F6D">
            <w:pPr>
              <w:spacing w:after="0"/>
              <w:rPr>
                <w:color w:val="000000"/>
                <w:sz w:val="20"/>
                <w:szCs w:val="20"/>
              </w:rPr>
            </w:pPr>
            <w:r w:rsidRPr="00666914">
              <w:rPr>
                <w:color w:val="000000"/>
                <w:sz w:val="20"/>
                <w:szCs w:val="20"/>
              </w:rPr>
              <w:t> </w:t>
            </w:r>
          </w:p>
        </w:tc>
        <w:tc>
          <w:tcPr>
            <w:tcW w:w="727" w:type="dxa"/>
            <w:shd w:val="clear" w:color="auto" w:fill="C00000"/>
            <w:vAlign w:val="bottom"/>
          </w:tcPr>
          <w:p w14:paraId="2651D3F1" w14:textId="77777777" w:rsidR="00386F6D" w:rsidRPr="00666914" w:rsidRDefault="00386F6D">
            <w:pPr>
              <w:spacing w:after="0"/>
              <w:rPr>
                <w:color w:val="000000"/>
                <w:sz w:val="20"/>
                <w:szCs w:val="20"/>
              </w:rPr>
            </w:pPr>
            <w:r w:rsidRPr="00666914">
              <w:rPr>
                <w:color w:val="000000"/>
                <w:sz w:val="20"/>
                <w:szCs w:val="20"/>
              </w:rPr>
              <w:t> </w:t>
            </w:r>
          </w:p>
        </w:tc>
        <w:tc>
          <w:tcPr>
            <w:tcW w:w="726" w:type="dxa"/>
            <w:shd w:val="clear" w:color="auto" w:fill="C00000"/>
            <w:vAlign w:val="bottom"/>
          </w:tcPr>
          <w:p w14:paraId="2C3C7E79" w14:textId="77777777" w:rsidR="00386F6D" w:rsidRPr="00666914" w:rsidRDefault="00386F6D">
            <w:pPr>
              <w:spacing w:after="0"/>
              <w:rPr>
                <w:color w:val="000000"/>
                <w:sz w:val="20"/>
                <w:szCs w:val="20"/>
              </w:rPr>
            </w:pPr>
            <w:r w:rsidRPr="00666914">
              <w:rPr>
                <w:color w:val="000000"/>
                <w:sz w:val="20"/>
                <w:szCs w:val="20"/>
              </w:rPr>
              <w:t> </w:t>
            </w:r>
          </w:p>
        </w:tc>
      </w:tr>
    </w:tbl>
    <w:p w14:paraId="71CC87F7" w14:textId="77777777" w:rsidR="00386F6D" w:rsidRPr="00666914" w:rsidRDefault="00386F6D">
      <w:pPr>
        <w:spacing w:after="0"/>
        <w:jc w:val="left"/>
      </w:pPr>
    </w:p>
    <w:p w14:paraId="4E88FD2D" w14:textId="77777777" w:rsidR="00386F6D" w:rsidRPr="00666914" w:rsidRDefault="00386F6D" w:rsidP="00131B23">
      <w:pPr>
        <w:numPr>
          <w:ilvl w:val="0"/>
          <w:numId w:val="16"/>
        </w:numPr>
        <w:spacing w:line="259" w:lineRule="auto"/>
        <w:rPr>
          <w:b/>
          <w:u w:val="single"/>
        </w:rPr>
      </w:pPr>
      <w:r w:rsidRPr="00666914">
        <w:rPr>
          <w:b/>
          <w:u w:val="single"/>
        </w:rPr>
        <w:t>Prehodnotiť mieru požadovanej bezpečnosti elektronických služieb</w:t>
      </w:r>
    </w:p>
    <w:p w14:paraId="7865774B" w14:textId="77777777" w:rsidR="00386F6D" w:rsidRPr="00666914" w:rsidRDefault="00386F6D" w:rsidP="00131B23">
      <w:pPr>
        <w:numPr>
          <w:ilvl w:val="0"/>
          <w:numId w:val="16"/>
        </w:numPr>
        <w:pBdr>
          <w:top w:val="nil"/>
          <w:left w:val="nil"/>
          <w:bottom w:val="nil"/>
          <w:right w:val="nil"/>
          <w:between w:val="nil"/>
        </w:pBdr>
        <w:spacing w:line="259" w:lineRule="auto"/>
        <w:rPr>
          <w:b/>
          <w:color w:val="000000"/>
          <w:u w:val="single"/>
        </w:rPr>
      </w:pPr>
      <w:r w:rsidRPr="00666914">
        <w:rPr>
          <w:b/>
          <w:color w:val="000000"/>
          <w:u w:val="single"/>
        </w:rPr>
        <w:t>Vydávať BOK k novým eID automaticky</w:t>
      </w:r>
    </w:p>
    <w:p w14:paraId="679E712E" w14:textId="77777777" w:rsidR="00386F6D" w:rsidRPr="00666914" w:rsidRDefault="00386F6D">
      <w:r w:rsidRPr="00666914">
        <w:rPr>
          <w:b/>
        </w:rPr>
        <w:t xml:space="preserve">Obe opatrenia boli splnené v priebehu roku 2017, IJ naďalej monitoruje praktické dopady uskutočnených zmien. </w:t>
      </w:r>
      <w:r w:rsidRPr="00666914">
        <w:t>Novelou zákona o e-governmente</w:t>
      </w:r>
      <w:r w:rsidRPr="00666914">
        <w:rPr>
          <w:vertAlign w:val="superscript"/>
        </w:rPr>
        <w:footnoteReference w:id="127"/>
      </w:r>
      <w:r w:rsidRPr="00666914">
        <w:t xml:space="preserve"> z 09/2017 došlo k zjednodušeniu procesu prihlasovania do elektronických služieb štátu, na základe splnenia odporúčania IJ sa podarilo nastaviť aj proces vydávania BOK </w:t>
      </w:r>
      <w:r w:rsidRPr="00666914">
        <w:lastRenderedPageBreak/>
        <w:t>automaticky k eID vydávaným na klientskych centrách. Nedostatkom systému nateraz ostáva nemožnosť aktivovať BOK pri elektronickej žiadosti o vydanie občianskeho preukazu.</w:t>
      </w:r>
    </w:p>
    <w:p w14:paraId="4468D225" w14:textId="77777777" w:rsidR="00386F6D" w:rsidRPr="00666914" w:rsidRDefault="00386F6D">
      <w:r w:rsidRPr="00666914">
        <w:rPr>
          <w:b/>
        </w:rPr>
        <w:t>Zavedením povinnosti vydávať BOK ku každému vydanému eID postupne stúpa počet občanov schopných komunikovať s verejnou správou elektronicky.</w:t>
      </w:r>
      <w:r w:rsidRPr="00666914">
        <w:t xml:space="preserve"> V roku 2019 stúpol počet eID aktivovaných BOK o 410 tis. V pr</w:t>
      </w:r>
      <w:sdt>
        <w:sdtPr>
          <w:tag w:val="goog_rdk_13"/>
          <w:id w:val="-838381934"/>
        </w:sdtPr>
        <w:sdtEndPr/>
        <w:sdtContent/>
      </w:sdt>
      <w:sdt>
        <w:sdtPr>
          <w:tag w:val="goog_rdk_14"/>
          <w:id w:val="-1662299775"/>
        </w:sdtPr>
        <w:sdtEndPr/>
        <w:sdtContent/>
      </w:sdt>
      <w:sdt>
        <w:sdtPr>
          <w:tag w:val="goog_rdk_15"/>
          <w:id w:val="544808323"/>
        </w:sdtPr>
        <w:sdtEndPr/>
        <w:sdtContent/>
      </w:sdt>
      <w:r w:rsidRPr="00666914">
        <w:t>axi sú 3 zo 4 vydaných elektronických občianskych preukazov ihneď pri vydaní aktivované zadaním BOK. K automatickej aktivácii eID nemusí dôjsť v prípade, ak žiadateľ o vydanie občianskeho preukazu je starší ako 65 rokov.</w:t>
      </w:r>
    </w:p>
    <w:p w14:paraId="0452A685" w14:textId="791A9CBF" w:rsidR="00386F6D" w:rsidRPr="00666914" w:rsidRDefault="00DA6BB0">
      <w:pPr>
        <w:pBdr>
          <w:bottom w:val="single" w:sz="4" w:space="1" w:color="000000"/>
        </w:pBdr>
        <w:spacing w:after="0"/>
      </w:pPr>
      <w:bookmarkStart w:id="263" w:name="_heading=h.lnxbz9" w:colFirst="0" w:colLast="0"/>
      <w:bookmarkStart w:id="264" w:name="_Toc38447711"/>
      <w:bookmarkEnd w:id="263"/>
      <w:r w:rsidRPr="00666914">
        <w:rPr>
          <w:b/>
          <w:color w:val="000000"/>
          <w:sz w:val="20"/>
          <w:szCs w:val="20"/>
        </w:rPr>
        <w:t xml:space="preserve">Tabuľka </w:t>
      </w:r>
      <w:r w:rsidRPr="00666914">
        <w:rPr>
          <w:b/>
          <w:sz w:val="20"/>
        </w:rPr>
        <w:fldChar w:fldCharType="begin"/>
      </w:r>
      <w:r w:rsidRPr="00666914">
        <w:rPr>
          <w:b/>
          <w:sz w:val="20"/>
        </w:rPr>
        <w:instrText xml:space="preserve"> SEQ Tabuľka \* ARABIC \* MERGEFORMAT </w:instrText>
      </w:r>
      <w:r w:rsidRPr="00666914">
        <w:rPr>
          <w:b/>
          <w:sz w:val="20"/>
        </w:rPr>
        <w:fldChar w:fldCharType="separate"/>
      </w:r>
      <w:r w:rsidR="005A7304">
        <w:rPr>
          <w:b/>
          <w:noProof/>
          <w:sz w:val="20"/>
        </w:rPr>
        <w:t>50</w:t>
      </w:r>
      <w:r w:rsidRPr="00666914">
        <w:rPr>
          <w:b/>
          <w:sz w:val="20"/>
        </w:rPr>
        <w:fldChar w:fldCharType="end"/>
      </w:r>
      <w:r w:rsidR="00386F6D" w:rsidRPr="00666914">
        <w:rPr>
          <w:b/>
          <w:color w:val="000000"/>
          <w:sz w:val="20"/>
          <w:szCs w:val="20"/>
        </w:rPr>
        <w:t>: Miera aktivácie eID zadaním BOK (k novo vydaným eID</w:t>
      </w:r>
      <w:r w:rsidR="00386F6D" w:rsidRPr="00666914">
        <w:rPr>
          <w:b/>
          <w:sz w:val="20"/>
          <w:szCs w:val="20"/>
        </w:rPr>
        <w:t>)</w:t>
      </w:r>
      <w:bookmarkEnd w:id="264"/>
    </w:p>
    <w:tbl>
      <w:tblPr>
        <w:tblW w:w="9099" w:type="dxa"/>
        <w:tblLayout w:type="fixed"/>
        <w:tblLook w:val="0400" w:firstRow="0" w:lastRow="0" w:firstColumn="0" w:lastColumn="0" w:noHBand="0" w:noVBand="1"/>
      </w:tblPr>
      <w:tblGrid>
        <w:gridCol w:w="4158"/>
        <w:gridCol w:w="1647"/>
        <w:gridCol w:w="1647"/>
        <w:gridCol w:w="1647"/>
      </w:tblGrid>
      <w:tr w:rsidR="00386F6D" w:rsidRPr="00666914" w14:paraId="6AD4869B" w14:textId="77777777" w:rsidTr="00905BD2">
        <w:trPr>
          <w:trHeight w:val="259"/>
        </w:trPr>
        <w:tc>
          <w:tcPr>
            <w:tcW w:w="4158" w:type="dxa"/>
            <w:tcBorders>
              <w:top w:val="nil"/>
              <w:left w:val="nil"/>
              <w:bottom w:val="single" w:sz="4" w:space="0" w:color="000000"/>
              <w:right w:val="nil"/>
            </w:tcBorders>
            <w:shd w:val="clear" w:color="auto" w:fill="auto"/>
            <w:vAlign w:val="center"/>
          </w:tcPr>
          <w:p w14:paraId="71CADDF5" w14:textId="77777777" w:rsidR="00386F6D" w:rsidRPr="00666914" w:rsidRDefault="00386F6D">
            <w:pPr>
              <w:spacing w:after="0"/>
              <w:jc w:val="left"/>
              <w:rPr>
                <w:b/>
                <w:color w:val="000000"/>
                <w:sz w:val="20"/>
                <w:szCs w:val="20"/>
              </w:rPr>
            </w:pPr>
            <w:r w:rsidRPr="00666914">
              <w:rPr>
                <w:b/>
                <w:color w:val="000000"/>
                <w:sz w:val="20"/>
                <w:szCs w:val="20"/>
              </w:rPr>
              <w:t>Obdobie</w:t>
            </w:r>
          </w:p>
        </w:tc>
        <w:tc>
          <w:tcPr>
            <w:tcW w:w="1647" w:type="dxa"/>
            <w:tcBorders>
              <w:top w:val="nil"/>
              <w:left w:val="nil"/>
              <w:bottom w:val="single" w:sz="4" w:space="0" w:color="000000"/>
              <w:right w:val="nil"/>
            </w:tcBorders>
            <w:shd w:val="clear" w:color="auto" w:fill="auto"/>
            <w:vAlign w:val="center"/>
          </w:tcPr>
          <w:p w14:paraId="0EB1EF33" w14:textId="77777777" w:rsidR="00386F6D" w:rsidRPr="00666914" w:rsidRDefault="00386F6D">
            <w:pPr>
              <w:spacing w:after="0"/>
              <w:jc w:val="center"/>
              <w:rPr>
                <w:b/>
                <w:color w:val="000000"/>
                <w:sz w:val="20"/>
                <w:szCs w:val="20"/>
              </w:rPr>
            </w:pPr>
            <w:r w:rsidRPr="00666914">
              <w:rPr>
                <w:b/>
                <w:color w:val="000000"/>
                <w:sz w:val="20"/>
                <w:szCs w:val="20"/>
              </w:rPr>
              <w:t>eID</w:t>
            </w:r>
          </w:p>
        </w:tc>
        <w:tc>
          <w:tcPr>
            <w:tcW w:w="1647" w:type="dxa"/>
            <w:tcBorders>
              <w:top w:val="nil"/>
              <w:left w:val="nil"/>
              <w:bottom w:val="single" w:sz="4" w:space="0" w:color="000000"/>
              <w:right w:val="nil"/>
            </w:tcBorders>
            <w:shd w:val="clear" w:color="auto" w:fill="auto"/>
            <w:vAlign w:val="center"/>
          </w:tcPr>
          <w:p w14:paraId="5B324048" w14:textId="77777777" w:rsidR="00386F6D" w:rsidRPr="00666914" w:rsidRDefault="00386F6D">
            <w:pPr>
              <w:spacing w:after="0"/>
              <w:jc w:val="center"/>
              <w:rPr>
                <w:b/>
                <w:color w:val="000000"/>
                <w:sz w:val="20"/>
                <w:szCs w:val="20"/>
              </w:rPr>
            </w:pPr>
            <w:r w:rsidRPr="00666914">
              <w:rPr>
                <w:b/>
                <w:color w:val="000000"/>
                <w:sz w:val="20"/>
                <w:szCs w:val="20"/>
              </w:rPr>
              <w:t>BOK</w:t>
            </w:r>
          </w:p>
        </w:tc>
        <w:tc>
          <w:tcPr>
            <w:tcW w:w="1647" w:type="dxa"/>
            <w:tcBorders>
              <w:top w:val="nil"/>
              <w:left w:val="nil"/>
              <w:bottom w:val="single" w:sz="4" w:space="0" w:color="000000"/>
              <w:right w:val="nil"/>
            </w:tcBorders>
            <w:shd w:val="clear" w:color="auto" w:fill="auto"/>
            <w:vAlign w:val="center"/>
          </w:tcPr>
          <w:p w14:paraId="31D8F24F" w14:textId="77777777" w:rsidR="00386F6D" w:rsidRPr="00666914" w:rsidRDefault="00386F6D">
            <w:pPr>
              <w:spacing w:after="0"/>
              <w:jc w:val="center"/>
              <w:rPr>
                <w:b/>
                <w:color w:val="000000"/>
                <w:sz w:val="20"/>
                <w:szCs w:val="20"/>
              </w:rPr>
            </w:pPr>
            <w:r w:rsidRPr="00666914">
              <w:rPr>
                <w:b/>
                <w:color w:val="000000"/>
                <w:sz w:val="20"/>
                <w:szCs w:val="20"/>
              </w:rPr>
              <w:t>Pomer</w:t>
            </w:r>
          </w:p>
        </w:tc>
      </w:tr>
      <w:tr w:rsidR="00386F6D" w:rsidRPr="00666914" w14:paraId="2D7D43B1" w14:textId="77777777" w:rsidTr="00905BD2">
        <w:trPr>
          <w:trHeight w:val="259"/>
        </w:trPr>
        <w:tc>
          <w:tcPr>
            <w:tcW w:w="4158" w:type="dxa"/>
            <w:tcBorders>
              <w:top w:val="single" w:sz="4" w:space="0" w:color="000000"/>
              <w:left w:val="nil"/>
              <w:right w:val="nil"/>
            </w:tcBorders>
            <w:shd w:val="clear" w:color="auto" w:fill="F2F2F2"/>
            <w:vAlign w:val="center"/>
          </w:tcPr>
          <w:p w14:paraId="763CD434" w14:textId="77777777" w:rsidR="00386F6D" w:rsidRPr="00666914" w:rsidRDefault="00386F6D">
            <w:pPr>
              <w:spacing w:after="0"/>
              <w:jc w:val="left"/>
              <w:rPr>
                <w:b/>
                <w:color w:val="000000"/>
                <w:sz w:val="20"/>
                <w:szCs w:val="20"/>
              </w:rPr>
            </w:pPr>
            <w:r w:rsidRPr="00666914">
              <w:rPr>
                <w:b/>
                <w:color w:val="000000"/>
                <w:sz w:val="20"/>
                <w:szCs w:val="20"/>
              </w:rPr>
              <w:t>rok 2018</w:t>
            </w:r>
          </w:p>
        </w:tc>
        <w:tc>
          <w:tcPr>
            <w:tcW w:w="1647" w:type="dxa"/>
            <w:tcBorders>
              <w:top w:val="single" w:sz="4" w:space="0" w:color="000000"/>
              <w:left w:val="nil"/>
              <w:right w:val="nil"/>
            </w:tcBorders>
            <w:shd w:val="clear" w:color="auto" w:fill="F2F2F2"/>
            <w:vAlign w:val="center"/>
          </w:tcPr>
          <w:p w14:paraId="16A5BE50" w14:textId="77777777" w:rsidR="00386F6D" w:rsidRPr="00666914" w:rsidRDefault="00386F6D">
            <w:pPr>
              <w:spacing w:after="0"/>
              <w:jc w:val="center"/>
              <w:rPr>
                <w:color w:val="000000"/>
                <w:sz w:val="20"/>
                <w:szCs w:val="20"/>
              </w:rPr>
            </w:pPr>
            <w:r w:rsidRPr="00666914">
              <w:rPr>
                <w:color w:val="000000"/>
                <w:sz w:val="20"/>
                <w:szCs w:val="20"/>
              </w:rPr>
              <w:t>600 587</w:t>
            </w:r>
          </w:p>
        </w:tc>
        <w:tc>
          <w:tcPr>
            <w:tcW w:w="1647" w:type="dxa"/>
            <w:tcBorders>
              <w:top w:val="single" w:sz="4" w:space="0" w:color="000000"/>
              <w:left w:val="nil"/>
              <w:right w:val="nil"/>
            </w:tcBorders>
            <w:shd w:val="clear" w:color="auto" w:fill="F2F2F2"/>
            <w:vAlign w:val="center"/>
          </w:tcPr>
          <w:p w14:paraId="6F82BA6F" w14:textId="77777777" w:rsidR="00386F6D" w:rsidRPr="00666914" w:rsidRDefault="00386F6D">
            <w:pPr>
              <w:spacing w:after="0"/>
              <w:jc w:val="center"/>
              <w:rPr>
                <w:color w:val="000000"/>
                <w:sz w:val="20"/>
                <w:szCs w:val="20"/>
              </w:rPr>
            </w:pPr>
            <w:r w:rsidRPr="00666914">
              <w:rPr>
                <w:color w:val="000000"/>
                <w:sz w:val="20"/>
                <w:szCs w:val="20"/>
              </w:rPr>
              <w:t>477 540</w:t>
            </w:r>
          </w:p>
        </w:tc>
        <w:tc>
          <w:tcPr>
            <w:tcW w:w="1647" w:type="dxa"/>
            <w:tcBorders>
              <w:top w:val="single" w:sz="4" w:space="0" w:color="000000"/>
              <w:left w:val="nil"/>
              <w:right w:val="nil"/>
            </w:tcBorders>
            <w:shd w:val="clear" w:color="auto" w:fill="F2F2F2"/>
            <w:vAlign w:val="center"/>
          </w:tcPr>
          <w:p w14:paraId="05371715" w14:textId="77777777" w:rsidR="00386F6D" w:rsidRPr="00666914" w:rsidRDefault="00386F6D">
            <w:pPr>
              <w:spacing w:after="0"/>
              <w:jc w:val="center"/>
              <w:rPr>
                <w:color w:val="000000"/>
                <w:sz w:val="20"/>
                <w:szCs w:val="20"/>
              </w:rPr>
            </w:pPr>
            <w:r w:rsidRPr="00666914">
              <w:rPr>
                <w:color w:val="000000"/>
                <w:sz w:val="20"/>
                <w:szCs w:val="20"/>
              </w:rPr>
              <w:t>80%</w:t>
            </w:r>
          </w:p>
        </w:tc>
      </w:tr>
      <w:tr w:rsidR="00386F6D" w:rsidRPr="00666914" w14:paraId="04F9629F" w14:textId="77777777" w:rsidTr="00905BD2">
        <w:trPr>
          <w:trHeight w:val="259"/>
        </w:trPr>
        <w:tc>
          <w:tcPr>
            <w:tcW w:w="4158" w:type="dxa"/>
            <w:tcBorders>
              <w:left w:val="nil"/>
              <w:bottom w:val="nil"/>
              <w:right w:val="nil"/>
            </w:tcBorders>
            <w:shd w:val="clear" w:color="auto" w:fill="auto"/>
            <w:vAlign w:val="center"/>
          </w:tcPr>
          <w:p w14:paraId="399AA695" w14:textId="77777777" w:rsidR="00386F6D" w:rsidRPr="00666914" w:rsidRDefault="00386F6D">
            <w:pPr>
              <w:spacing w:after="0"/>
              <w:jc w:val="left"/>
              <w:rPr>
                <w:b/>
                <w:color w:val="000000"/>
                <w:sz w:val="20"/>
                <w:szCs w:val="20"/>
              </w:rPr>
            </w:pPr>
            <w:r w:rsidRPr="00666914">
              <w:rPr>
                <w:b/>
                <w:color w:val="000000"/>
                <w:sz w:val="20"/>
                <w:szCs w:val="20"/>
              </w:rPr>
              <w:t>január 2019</w:t>
            </w:r>
          </w:p>
        </w:tc>
        <w:tc>
          <w:tcPr>
            <w:tcW w:w="1647" w:type="dxa"/>
            <w:tcBorders>
              <w:left w:val="nil"/>
              <w:bottom w:val="nil"/>
              <w:right w:val="nil"/>
            </w:tcBorders>
            <w:shd w:val="clear" w:color="auto" w:fill="auto"/>
            <w:vAlign w:val="center"/>
          </w:tcPr>
          <w:p w14:paraId="7CF56E54" w14:textId="77777777" w:rsidR="00386F6D" w:rsidRPr="00666914" w:rsidRDefault="00386F6D">
            <w:pPr>
              <w:spacing w:after="0"/>
              <w:jc w:val="center"/>
              <w:rPr>
                <w:color w:val="000000"/>
                <w:sz w:val="20"/>
                <w:szCs w:val="20"/>
              </w:rPr>
            </w:pPr>
            <w:r w:rsidRPr="00666914">
              <w:rPr>
                <w:color w:val="000000"/>
                <w:sz w:val="20"/>
                <w:szCs w:val="20"/>
              </w:rPr>
              <w:t>47 381</w:t>
            </w:r>
          </w:p>
        </w:tc>
        <w:tc>
          <w:tcPr>
            <w:tcW w:w="1647" w:type="dxa"/>
            <w:tcBorders>
              <w:left w:val="nil"/>
              <w:bottom w:val="nil"/>
              <w:right w:val="nil"/>
            </w:tcBorders>
            <w:shd w:val="clear" w:color="auto" w:fill="auto"/>
            <w:vAlign w:val="center"/>
          </w:tcPr>
          <w:p w14:paraId="6E96824D" w14:textId="77777777" w:rsidR="00386F6D" w:rsidRPr="00666914" w:rsidRDefault="00386F6D">
            <w:pPr>
              <w:spacing w:after="0"/>
              <w:jc w:val="center"/>
              <w:rPr>
                <w:color w:val="000000"/>
                <w:sz w:val="20"/>
                <w:szCs w:val="20"/>
              </w:rPr>
            </w:pPr>
            <w:r w:rsidRPr="00666914">
              <w:rPr>
                <w:color w:val="000000"/>
                <w:sz w:val="20"/>
                <w:szCs w:val="20"/>
              </w:rPr>
              <w:t>41 151</w:t>
            </w:r>
          </w:p>
        </w:tc>
        <w:tc>
          <w:tcPr>
            <w:tcW w:w="1647" w:type="dxa"/>
            <w:tcBorders>
              <w:left w:val="nil"/>
              <w:bottom w:val="nil"/>
              <w:right w:val="nil"/>
            </w:tcBorders>
            <w:shd w:val="clear" w:color="auto" w:fill="auto"/>
            <w:vAlign w:val="center"/>
          </w:tcPr>
          <w:p w14:paraId="1F11B27F" w14:textId="77777777" w:rsidR="00386F6D" w:rsidRPr="00666914" w:rsidRDefault="00386F6D">
            <w:pPr>
              <w:spacing w:after="0"/>
              <w:jc w:val="center"/>
              <w:rPr>
                <w:color w:val="000000"/>
                <w:sz w:val="20"/>
                <w:szCs w:val="20"/>
              </w:rPr>
            </w:pPr>
            <w:r w:rsidRPr="00666914">
              <w:rPr>
                <w:color w:val="000000"/>
                <w:sz w:val="20"/>
                <w:szCs w:val="20"/>
              </w:rPr>
              <w:t>87%</w:t>
            </w:r>
          </w:p>
        </w:tc>
      </w:tr>
      <w:tr w:rsidR="00386F6D" w:rsidRPr="00666914" w14:paraId="2AE048FD" w14:textId="77777777" w:rsidTr="00905BD2">
        <w:trPr>
          <w:trHeight w:val="259"/>
        </w:trPr>
        <w:tc>
          <w:tcPr>
            <w:tcW w:w="4158" w:type="dxa"/>
            <w:tcBorders>
              <w:top w:val="nil"/>
              <w:left w:val="nil"/>
              <w:bottom w:val="nil"/>
              <w:right w:val="nil"/>
            </w:tcBorders>
            <w:shd w:val="clear" w:color="auto" w:fill="auto"/>
            <w:vAlign w:val="center"/>
          </w:tcPr>
          <w:p w14:paraId="6E490EE1" w14:textId="77777777" w:rsidR="00386F6D" w:rsidRPr="00666914" w:rsidRDefault="00386F6D">
            <w:pPr>
              <w:spacing w:after="0"/>
              <w:jc w:val="left"/>
              <w:rPr>
                <w:b/>
                <w:color w:val="000000"/>
                <w:sz w:val="20"/>
                <w:szCs w:val="20"/>
              </w:rPr>
            </w:pPr>
            <w:r w:rsidRPr="00666914">
              <w:rPr>
                <w:b/>
                <w:color w:val="000000"/>
                <w:sz w:val="20"/>
                <w:szCs w:val="20"/>
              </w:rPr>
              <w:t>február 2019</w:t>
            </w:r>
          </w:p>
        </w:tc>
        <w:tc>
          <w:tcPr>
            <w:tcW w:w="1647" w:type="dxa"/>
            <w:tcBorders>
              <w:top w:val="nil"/>
              <w:left w:val="nil"/>
              <w:bottom w:val="nil"/>
              <w:right w:val="nil"/>
            </w:tcBorders>
            <w:shd w:val="clear" w:color="auto" w:fill="auto"/>
            <w:vAlign w:val="center"/>
          </w:tcPr>
          <w:p w14:paraId="03CCB285" w14:textId="77777777" w:rsidR="00386F6D" w:rsidRPr="00666914" w:rsidRDefault="00386F6D">
            <w:pPr>
              <w:spacing w:after="0"/>
              <w:jc w:val="center"/>
              <w:rPr>
                <w:color w:val="000000"/>
                <w:sz w:val="20"/>
                <w:szCs w:val="20"/>
              </w:rPr>
            </w:pPr>
            <w:r w:rsidRPr="00666914">
              <w:rPr>
                <w:color w:val="000000"/>
                <w:sz w:val="20"/>
                <w:szCs w:val="20"/>
              </w:rPr>
              <w:t>43 240</w:t>
            </w:r>
          </w:p>
        </w:tc>
        <w:tc>
          <w:tcPr>
            <w:tcW w:w="1647" w:type="dxa"/>
            <w:tcBorders>
              <w:top w:val="nil"/>
              <w:left w:val="nil"/>
              <w:bottom w:val="nil"/>
              <w:right w:val="nil"/>
            </w:tcBorders>
            <w:shd w:val="clear" w:color="auto" w:fill="auto"/>
            <w:vAlign w:val="center"/>
          </w:tcPr>
          <w:p w14:paraId="5EE957A1" w14:textId="77777777" w:rsidR="00386F6D" w:rsidRPr="00666914" w:rsidRDefault="00386F6D">
            <w:pPr>
              <w:spacing w:after="0"/>
              <w:jc w:val="center"/>
              <w:rPr>
                <w:color w:val="000000"/>
                <w:sz w:val="20"/>
                <w:szCs w:val="20"/>
              </w:rPr>
            </w:pPr>
            <w:r w:rsidRPr="00666914">
              <w:rPr>
                <w:color w:val="000000"/>
                <w:sz w:val="20"/>
                <w:szCs w:val="20"/>
              </w:rPr>
              <w:t>30 901</w:t>
            </w:r>
          </w:p>
        </w:tc>
        <w:tc>
          <w:tcPr>
            <w:tcW w:w="1647" w:type="dxa"/>
            <w:tcBorders>
              <w:top w:val="nil"/>
              <w:left w:val="nil"/>
              <w:bottom w:val="nil"/>
              <w:right w:val="nil"/>
            </w:tcBorders>
            <w:shd w:val="clear" w:color="auto" w:fill="auto"/>
            <w:vAlign w:val="center"/>
          </w:tcPr>
          <w:p w14:paraId="38D3A7FC" w14:textId="77777777" w:rsidR="00386F6D" w:rsidRPr="00666914" w:rsidRDefault="00386F6D">
            <w:pPr>
              <w:spacing w:after="0"/>
              <w:jc w:val="center"/>
              <w:rPr>
                <w:color w:val="000000"/>
                <w:sz w:val="20"/>
                <w:szCs w:val="20"/>
              </w:rPr>
            </w:pPr>
            <w:r w:rsidRPr="00666914">
              <w:rPr>
                <w:color w:val="000000"/>
                <w:sz w:val="20"/>
                <w:szCs w:val="20"/>
              </w:rPr>
              <w:t>71%</w:t>
            </w:r>
          </w:p>
        </w:tc>
      </w:tr>
      <w:tr w:rsidR="00386F6D" w:rsidRPr="00666914" w14:paraId="4BED0DAB" w14:textId="77777777" w:rsidTr="00905BD2">
        <w:trPr>
          <w:trHeight w:val="259"/>
        </w:trPr>
        <w:tc>
          <w:tcPr>
            <w:tcW w:w="4158" w:type="dxa"/>
            <w:tcBorders>
              <w:top w:val="nil"/>
              <w:left w:val="nil"/>
              <w:bottom w:val="nil"/>
              <w:right w:val="nil"/>
            </w:tcBorders>
            <w:shd w:val="clear" w:color="auto" w:fill="auto"/>
            <w:vAlign w:val="center"/>
          </w:tcPr>
          <w:p w14:paraId="795CCE99" w14:textId="77777777" w:rsidR="00386F6D" w:rsidRPr="00666914" w:rsidRDefault="00386F6D">
            <w:pPr>
              <w:spacing w:after="0"/>
              <w:jc w:val="left"/>
              <w:rPr>
                <w:b/>
                <w:color w:val="000000"/>
                <w:sz w:val="20"/>
                <w:szCs w:val="20"/>
              </w:rPr>
            </w:pPr>
            <w:r w:rsidRPr="00666914">
              <w:rPr>
                <w:b/>
                <w:color w:val="000000"/>
                <w:sz w:val="20"/>
                <w:szCs w:val="20"/>
              </w:rPr>
              <w:t>marec 2019</w:t>
            </w:r>
          </w:p>
        </w:tc>
        <w:tc>
          <w:tcPr>
            <w:tcW w:w="1647" w:type="dxa"/>
            <w:tcBorders>
              <w:top w:val="nil"/>
              <w:left w:val="nil"/>
              <w:bottom w:val="nil"/>
              <w:right w:val="nil"/>
            </w:tcBorders>
            <w:shd w:val="clear" w:color="auto" w:fill="auto"/>
            <w:vAlign w:val="center"/>
          </w:tcPr>
          <w:p w14:paraId="786EC8BA" w14:textId="77777777" w:rsidR="00386F6D" w:rsidRPr="00666914" w:rsidRDefault="00386F6D">
            <w:pPr>
              <w:spacing w:after="0"/>
              <w:jc w:val="center"/>
              <w:rPr>
                <w:color w:val="000000"/>
                <w:sz w:val="20"/>
                <w:szCs w:val="20"/>
              </w:rPr>
            </w:pPr>
            <w:r w:rsidRPr="00666914">
              <w:rPr>
                <w:color w:val="000000"/>
                <w:sz w:val="20"/>
                <w:szCs w:val="20"/>
              </w:rPr>
              <w:t>57 044</w:t>
            </w:r>
          </w:p>
        </w:tc>
        <w:tc>
          <w:tcPr>
            <w:tcW w:w="1647" w:type="dxa"/>
            <w:tcBorders>
              <w:top w:val="nil"/>
              <w:left w:val="nil"/>
              <w:bottom w:val="nil"/>
              <w:right w:val="nil"/>
            </w:tcBorders>
            <w:shd w:val="clear" w:color="auto" w:fill="auto"/>
            <w:vAlign w:val="center"/>
          </w:tcPr>
          <w:p w14:paraId="4D177F3B" w14:textId="77777777" w:rsidR="00386F6D" w:rsidRPr="00666914" w:rsidRDefault="00386F6D">
            <w:pPr>
              <w:spacing w:after="0"/>
              <w:jc w:val="center"/>
              <w:rPr>
                <w:color w:val="000000"/>
                <w:sz w:val="20"/>
                <w:szCs w:val="20"/>
              </w:rPr>
            </w:pPr>
            <w:r w:rsidRPr="00666914">
              <w:rPr>
                <w:color w:val="000000"/>
                <w:sz w:val="20"/>
                <w:szCs w:val="20"/>
              </w:rPr>
              <w:t>43 493</w:t>
            </w:r>
          </w:p>
        </w:tc>
        <w:tc>
          <w:tcPr>
            <w:tcW w:w="1647" w:type="dxa"/>
            <w:tcBorders>
              <w:top w:val="nil"/>
              <w:left w:val="nil"/>
              <w:bottom w:val="nil"/>
              <w:right w:val="nil"/>
            </w:tcBorders>
            <w:shd w:val="clear" w:color="auto" w:fill="auto"/>
            <w:vAlign w:val="center"/>
          </w:tcPr>
          <w:p w14:paraId="1978D76C" w14:textId="77777777" w:rsidR="00386F6D" w:rsidRPr="00666914" w:rsidRDefault="00386F6D">
            <w:pPr>
              <w:spacing w:after="0"/>
              <w:jc w:val="center"/>
              <w:rPr>
                <w:color w:val="000000"/>
                <w:sz w:val="20"/>
                <w:szCs w:val="20"/>
              </w:rPr>
            </w:pPr>
            <w:r w:rsidRPr="00666914">
              <w:rPr>
                <w:color w:val="000000"/>
                <w:sz w:val="20"/>
                <w:szCs w:val="20"/>
              </w:rPr>
              <w:t>76%</w:t>
            </w:r>
          </w:p>
        </w:tc>
      </w:tr>
      <w:tr w:rsidR="00386F6D" w:rsidRPr="00666914" w14:paraId="16DE2992" w14:textId="77777777" w:rsidTr="00905BD2">
        <w:trPr>
          <w:trHeight w:val="259"/>
        </w:trPr>
        <w:tc>
          <w:tcPr>
            <w:tcW w:w="4158" w:type="dxa"/>
            <w:tcBorders>
              <w:top w:val="nil"/>
              <w:left w:val="nil"/>
              <w:bottom w:val="nil"/>
              <w:right w:val="nil"/>
            </w:tcBorders>
            <w:shd w:val="clear" w:color="auto" w:fill="auto"/>
            <w:vAlign w:val="center"/>
          </w:tcPr>
          <w:p w14:paraId="6032453E" w14:textId="77777777" w:rsidR="00386F6D" w:rsidRPr="00666914" w:rsidRDefault="00386F6D">
            <w:pPr>
              <w:spacing w:after="0"/>
              <w:jc w:val="left"/>
              <w:rPr>
                <w:b/>
                <w:color w:val="000000"/>
                <w:sz w:val="20"/>
                <w:szCs w:val="20"/>
              </w:rPr>
            </w:pPr>
            <w:r w:rsidRPr="00666914">
              <w:rPr>
                <w:b/>
                <w:color w:val="000000"/>
                <w:sz w:val="20"/>
                <w:szCs w:val="20"/>
              </w:rPr>
              <w:t>apríl 2019</w:t>
            </w:r>
          </w:p>
        </w:tc>
        <w:tc>
          <w:tcPr>
            <w:tcW w:w="1647" w:type="dxa"/>
            <w:tcBorders>
              <w:top w:val="nil"/>
              <w:left w:val="nil"/>
              <w:bottom w:val="nil"/>
              <w:right w:val="nil"/>
            </w:tcBorders>
            <w:shd w:val="clear" w:color="auto" w:fill="auto"/>
            <w:vAlign w:val="center"/>
          </w:tcPr>
          <w:p w14:paraId="0397397D" w14:textId="77777777" w:rsidR="00386F6D" w:rsidRPr="00666914" w:rsidRDefault="00386F6D">
            <w:pPr>
              <w:spacing w:after="0"/>
              <w:jc w:val="center"/>
              <w:rPr>
                <w:color w:val="000000"/>
                <w:sz w:val="20"/>
                <w:szCs w:val="20"/>
              </w:rPr>
            </w:pPr>
            <w:r w:rsidRPr="00666914">
              <w:rPr>
                <w:color w:val="000000"/>
                <w:sz w:val="20"/>
                <w:szCs w:val="20"/>
              </w:rPr>
              <w:t>38 190</w:t>
            </w:r>
          </w:p>
        </w:tc>
        <w:tc>
          <w:tcPr>
            <w:tcW w:w="1647" w:type="dxa"/>
            <w:tcBorders>
              <w:top w:val="nil"/>
              <w:left w:val="nil"/>
              <w:bottom w:val="nil"/>
              <w:right w:val="nil"/>
            </w:tcBorders>
            <w:shd w:val="clear" w:color="auto" w:fill="auto"/>
            <w:vAlign w:val="center"/>
          </w:tcPr>
          <w:p w14:paraId="5B851B58" w14:textId="77777777" w:rsidR="00386F6D" w:rsidRPr="00666914" w:rsidRDefault="00386F6D">
            <w:pPr>
              <w:spacing w:after="0"/>
              <w:jc w:val="center"/>
              <w:rPr>
                <w:color w:val="000000"/>
                <w:sz w:val="20"/>
                <w:szCs w:val="20"/>
              </w:rPr>
            </w:pPr>
            <w:r w:rsidRPr="00666914">
              <w:rPr>
                <w:color w:val="000000"/>
                <w:sz w:val="20"/>
                <w:szCs w:val="20"/>
              </w:rPr>
              <w:t>27 610</w:t>
            </w:r>
          </w:p>
        </w:tc>
        <w:tc>
          <w:tcPr>
            <w:tcW w:w="1647" w:type="dxa"/>
            <w:tcBorders>
              <w:top w:val="nil"/>
              <w:left w:val="nil"/>
              <w:bottom w:val="nil"/>
              <w:right w:val="nil"/>
            </w:tcBorders>
            <w:shd w:val="clear" w:color="auto" w:fill="auto"/>
            <w:vAlign w:val="center"/>
          </w:tcPr>
          <w:p w14:paraId="1C76DBE2" w14:textId="77777777" w:rsidR="00386F6D" w:rsidRPr="00666914" w:rsidRDefault="00386F6D">
            <w:pPr>
              <w:spacing w:after="0"/>
              <w:jc w:val="center"/>
              <w:rPr>
                <w:color w:val="000000"/>
                <w:sz w:val="20"/>
                <w:szCs w:val="20"/>
              </w:rPr>
            </w:pPr>
            <w:r w:rsidRPr="00666914">
              <w:rPr>
                <w:color w:val="000000"/>
                <w:sz w:val="20"/>
                <w:szCs w:val="20"/>
              </w:rPr>
              <w:t>72%</w:t>
            </w:r>
          </w:p>
        </w:tc>
      </w:tr>
      <w:tr w:rsidR="00386F6D" w:rsidRPr="00666914" w14:paraId="51742ACB" w14:textId="77777777" w:rsidTr="00905BD2">
        <w:trPr>
          <w:trHeight w:val="259"/>
        </w:trPr>
        <w:tc>
          <w:tcPr>
            <w:tcW w:w="4158" w:type="dxa"/>
            <w:tcBorders>
              <w:top w:val="nil"/>
              <w:left w:val="nil"/>
              <w:bottom w:val="nil"/>
              <w:right w:val="nil"/>
            </w:tcBorders>
            <w:shd w:val="clear" w:color="auto" w:fill="auto"/>
            <w:vAlign w:val="center"/>
          </w:tcPr>
          <w:p w14:paraId="63ED8FEB" w14:textId="77777777" w:rsidR="00386F6D" w:rsidRPr="00666914" w:rsidRDefault="00386F6D">
            <w:pPr>
              <w:spacing w:after="0"/>
              <w:jc w:val="left"/>
              <w:rPr>
                <w:b/>
                <w:color w:val="000000"/>
                <w:sz w:val="20"/>
                <w:szCs w:val="20"/>
              </w:rPr>
            </w:pPr>
            <w:r w:rsidRPr="00666914">
              <w:rPr>
                <w:b/>
                <w:color w:val="000000"/>
                <w:sz w:val="20"/>
                <w:szCs w:val="20"/>
              </w:rPr>
              <w:t>máj 2019</w:t>
            </w:r>
          </w:p>
        </w:tc>
        <w:tc>
          <w:tcPr>
            <w:tcW w:w="1647" w:type="dxa"/>
            <w:tcBorders>
              <w:top w:val="nil"/>
              <w:left w:val="nil"/>
              <w:bottom w:val="nil"/>
              <w:right w:val="nil"/>
            </w:tcBorders>
            <w:shd w:val="clear" w:color="auto" w:fill="auto"/>
            <w:vAlign w:val="center"/>
          </w:tcPr>
          <w:p w14:paraId="2BB707F5" w14:textId="77777777" w:rsidR="00386F6D" w:rsidRPr="00666914" w:rsidRDefault="00386F6D">
            <w:pPr>
              <w:spacing w:after="0"/>
              <w:jc w:val="center"/>
              <w:rPr>
                <w:color w:val="000000"/>
                <w:sz w:val="20"/>
                <w:szCs w:val="20"/>
              </w:rPr>
            </w:pPr>
            <w:r w:rsidRPr="00666914">
              <w:rPr>
                <w:color w:val="000000"/>
                <w:sz w:val="20"/>
                <w:szCs w:val="20"/>
              </w:rPr>
              <w:t>52 573</w:t>
            </w:r>
          </w:p>
        </w:tc>
        <w:tc>
          <w:tcPr>
            <w:tcW w:w="1647" w:type="dxa"/>
            <w:tcBorders>
              <w:top w:val="nil"/>
              <w:left w:val="nil"/>
              <w:bottom w:val="nil"/>
              <w:right w:val="nil"/>
            </w:tcBorders>
            <w:shd w:val="clear" w:color="auto" w:fill="auto"/>
            <w:vAlign w:val="center"/>
          </w:tcPr>
          <w:p w14:paraId="27B916D3" w14:textId="77777777" w:rsidR="00386F6D" w:rsidRPr="00666914" w:rsidRDefault="00386F6D">
            <w:pPr>
              <w:spacing w:after="0"/>
              <w:jc w:val="center"/>
              <w:rPr>
                <w:color w:val="000000"/>
                <w:sz w:val="20"/>
                <w:szCs w:val="20"/>
              </w:rPr>
            </w:pPr>
            <w:r w:rsidRPr="00666914">
              <w:rPr>
                <w:color w:val="000000"/>
                <w:sz w:val="20"/>
                <w:szCs w:val="20"/>
              </w:rPr>
              <w:t>47 509</w:t>
            </w:r>
          </w:p>
        </w:tc>
        <w:tc>
          <w:tcPr>
            <w:tcW w:w="1647" w:type="dxa"/>
            <w:tcBorders>
              <w:top w:val="nil"/>
              <w:left w:val="nil"/>
              <w:bottom w:val="nil"/>
              <w:right w:val="nil"/>
            </w:tcBorders>
            <w:shd w:val="clear" w:color="auto" w:fill="auto"/>
            <w:vAlign w:val="center"/>
          </w:tcPr>
          <w:p w14:paraId="02AD67CF" w14:textId="77777777" w:rsidR="00386F6D" w:rsidRPr="00666914" w:rsidRDefault="00386F6D">
            <w:pPr>
              <w:spacing w:after="0"/>
              <w:jc w:val="center"/>
              <w:rPr>
                <w:color w:val="000000"/>
                <w:sz w:val="20"/>
                <w:szCs w:val="20"/>
              </w:rPr>
            </w:pPr>
            <w:r w:rsidRPr="00666914">
              <w:rPr>
                <w:color w:val="000000"/>
                <w:sz w:val="20"/>
                <w:szCs w:val="20"/>
              </w:rPr>
              <w:t>90%</w:t>
            </w:r>
          </w:p>
        </w:tc>
      </w:tr>
      <w:tr w:rsidR="00386F6D" w:rsidRPr="00666914" w14:paraId="7D6A5449" w14:textId="77777777" w:rsidTr="00905BD2">
        <w:trPr>
          <w:trHeight w:val="259"/>
        </w:trPr>
        <w:tc>
          <w:tcPr>
            <w:tcW w:w="4158" w:type="dxa"/>
            <w:tcBorders>
              <w:top w:val="nil"/>
              <w:left w:val="nil"/>
              <w:bottom w:val="nil"/>
              <w:right w:val="nil"/>
            </w:tcBorders>
            <w:shd w:val="clear" w:color="auto" w:fill="auto"/>
            <w:vAlign w:val="center"/>
          </w:tcPr>
          <w:p w14:paraId="709A893C" w14:textId="77777777" w:rsidR="00386F6D" w:rsidRPr="00666914" w:rsidRDefault="00386F6D">
            <w:pPr>
              <w:spacing w:after="0"/>
              <w:jc w:val="left"/>
              <w:rPr>
                <w:b/>
                <w:color w:val="000000"/>
                <w:sz w:val="20"/>
                <w:szCs w:val="20"/>
              </w:rPr>
            </w:pPr>
            <w:r w:rsidRPr="00666914">
              <w:rPr>
                <w:b/>
                <w:color w:val="000000"/>
                <w:sz w:val="20"/>
                <w:szCs w:val="20"/>
              </w:rPr>
              <w:t>jún 2019</w:t>
            </w:r>
          </w:p>
        </w:tc>
        <w:tc>
          <w:tcPr>
            <w:tcW w:w="1647" w:type="dxa"/>
            <w:tcBorders>
              <w:top w:val="nil"/>
              <w:left w:val="nil"/>
              <w:bottom w:val="nil"/>
              <w:right w:val="nil"/>
            </w:tcBorders>
            <w:shd w:val="clear" w:color="auto" w:fill="auto"/>
            <w:vAlign w:val="center"/>
          </w:tcPr>
          <w:p w14:paraId="738FAB52" w14:textId="77777777" w:rsidR="00386F6D" w:rsidRPr="00666914" w:rsidRDefault="00386F6D">
            <w:pPr>
              <w:spacing w:after="0"/>
              <w:jc w:val="center"/>
              <w:rPr>
                <w:color w:val="000000"/>
                <w:sz w:val="20"/>
                <w:szCs w:val="20"/>
              </w:rPr>
            </w:pPr>
            <w:r w:rsidRPr="00666914">
              <w:rPr>
                <w:color w:val="000000"/>
                <w:sz w:val="20"/>
                <w:szCs w:val="20"/>
              </w:rPr>
              <w:t>37 144</w:t>
            </w:r>
          </w:p>
        </w:tc>
        <w:tc>
          <w:tcPr>
            <w:tcW w:w="1647" w:type="dxa"/>
            <w:tcBorders>
              <w:top w:val="nil"/>
              <w:left w:val="nil"/>
              <w:bottom w:val="nil"/>
              <w:right w:val="nil"/>
            </w:tcBorders>
            <w:shd w:val="clear" w:color="auto" w:fill="auto"/>
            <w:vAlign w:val="center"/>
          </w:tcPr>
          <w:p w14:paraId="69AC519D" w14:textId="77777777" w:rsidR="00386F6D" w:rsidRPr="00666914" w:rsidRDefault="00386F6D">
            <w:pPr>
              <w:spacing w:after="0"/>
              <w:jc w:val="center"/>
              <w:rPr>
                <w:color w:val="000000"/>
                <w:sz w:val="20"/>
                <w:szCs w:val="20"/>
              </w:rPr>
            </w:pPr>
            <w:r w:rsidRPr="00666914">
              <w:rPr>
                <w:color w:val="000000"/>
                <w:sz w:val="20"/>
                <w:szCs w:val="20"/>
              </w:rPr>
              <w:t>19 658</w:t>
            </w:r>
          </w:p>
        </w:tc>
        <w:tc>
          <w:tcPr>
            <w:tcW w:w="1647" w:type="dxa"/>
            <w:tcBorders>
              <w:top w:val="nil"/>
              <w:left w:val="nil"/>
              <w:bottom w:val="nil"/>
              <w:right w:val="nil"/>
            </w:tcBorders>
            <w:shd w:val="clear" w:color="auto" w:fill="auto"/>
            <w:vAlign w:val="center"/>
          </w:tcPr>
          <w:p w14:paraId="12C3D25F" w14:textId="77777777" w:rsidR="00386F6D" w:rsidRPr="00666914" w:rsidRDefault="00386F6D">
            <w:pPr>
              <w:spacing w:after="0"/>
              <w:jc w:val="center"/>
              <w:rPr>
                <w:color w:val="000000"/>
                <w:sz w:val="20"/>
                <w:szCs w:val="20"/>
              </w:rPr>
            </w:pPr>
            <w:r w:rsidRPr="00666914">
              <w:rPr>
                <w:color w:val="000000"/>
                <w:sz w:val="20"/>
                <w:szCs w:val="20"/>
              </w:rPr>
              <w:t>53%</w:t>
            </w:r>
          </w:p>
        </w:tc>
      </w:tr>
      <w:tr w:rsidR="00386F6D" w:rsidRPr="00666914" w14:paraId="5807E67B" w14:textId="77777777" w:rsidTr="00905BD2">
        <w:trPr>
          <w:trHeight w:val="259"/>
        </w:trPr>
        <w:tc>
          <w:tcPr>
            <w:tcW w:w="4158" w:type="dxa"/>
            <w:tcBorders>
              <w:top w:val="nil"/>
              <w:left w:val="nil"/>
              <w:bottom w:val="nil"/>
              <w:right w:val="nil"/>
            </w:tcBorders>
            <w:shd w:val="clear" w:color="auto" w:fill="auto"/>
            <w:vAlign w:val="center"/>
          </w:tcPr>
          <w:p w14:paraId="73306330" w14:textId="77777777" w:rsidR="00386F6D" w:rsidRPr="00666914" w:rsidRDefault="00386F6D">
            <w:pPr>
              <w:spacing w:after="0"/>
              <w:jc w:val="left"/>
              <w:rPr>
                <w:b/>
                <w:color w:val="000000"/>
                <w:sz w:val="20"/>
                <w:szCs w:val="20"/>
              </w:rPr>
            </w:pPr>
            <w:r w:rsidRPr="00666914">
              <w:rPr>
                <w:b/>
                <w:color w:val="000000"/>
                <w:sz w:val="20"/>
                <w:szCs w:val="20"/>
              </w:rPr>
              <w:t>júl 2019</w:t>
            </w:r>
          </w:p>
        </w:tc>
        <w:tc>
          <w:tcPr>
            <w:tcW w:w="1647" w:type="dxa"/>
            <w:tcBorders>
              <w:top w:val="nil"/>
              <w:left w:val="nil"/>
              <w:bottom w:val="nil"/>
              <w:right w:val="nil"/>
            </w:tcBorders>
            <w:shd w:val="clear" w:color="auto" w:fill="auto"/>
            <w:vAlign w:val="center"/>
          </w:tcPr>
          <w:p w14:paraId="225A0D38" w14:textId="77777777" w:rsidR="00386F6D" w:rsidRPr="00666914" w:rsidRDefault="00386F6D">
            <w:pPr>
              <w:spacing w:after="0"/>
              <w:jc w:val="center"/>
              <w:rPr>
                <w:color w:val="000000"/>
                <w:sz w:val="20"/>
                <w:szCs w:val="20"/>
              </w:rPr>
            </w:pPr>
            <w:r w:rsidRPr="00666914">
              <w:rPr>
                <w:color w:val="000000"/>
                <w:sz w:val="20"/>
                <w:szCs w:val="20"/>
              </w:rPr>
              <w:t>53 779</w:t>
            </w:r>
          </w:p>
        </w:tc>
        <w:tc>
          <w:tcPr>
            <w:tcW w:w="1647" w:type="dxa"/>
            <w:tcBorders>
              <w:top w:val="nil"/>
              <w:left w:val="nil"/>
              <w:bottom w:val="nil"/>
              <w:right w:val="nil"/>
            </w:tcBorders>
            <w:shd w:val="clear" w:color="auto" w:fill="auto"/>
            <w:vAlign w:val="center"/>
          </w:tcPr>
          <w:p w14:paraId="73B9DCA8" w14:textId="77777777" w:rsidR="00386F6D" w:rsidRPr="00666914" w:rsidRDefault="00386F6D">
            <w:pPr>
              <w:spacing w:after="0"/>
              <w:jc w:val="center"/>
              <w:rPr>
                <w:color w:val="000000"/>
                <w:sz w:val="20"/>
                <w:szCs w:val="20"/>
              </w:rPr>
            </w:pPr>
            <w:r w:rsidRPr="00666914">
              <w:rPr>
                <w:color w:val="000000"/>
                <w:sz w:val="20"/>
                <w:szCs w:val="20"/>
              </w:rPr>
              <w:t>45 147</w:t>
            </w:r>
          </w:p>
        </w:tc>
        <w:tc>
          <w:tcPr>
            <w:tcW w:w="1647" w:type="dxa"/>
            <w:tcBorders>
              <w:top w:val="nil"/>
              <w:left w:val="nil"/>
              <w:bottom w:val="nil"/>
              <w:right w:val="nil"/>
            </w:tcBorders>
            <w:shd w:val="clear" w:color="auto" w:fill="auto"/>
            <w:vAlign w:val="center"/>
          </w:tcPr>
          <w:p w14:paraId="3C530587" w14:textId="77777777" w:rsidR="00386F6D" w:rsidRPr="00666914" w:rsidRDefault="00386F6D">
            <w:pPr>
              <w:spacing w:after="0"/>
              <w:jc w:val="center"/>
              <w:rPr>
                <w:color w:val="000000"/>
                <w:sz w:val="20"/>
                <w:szCs w:val="20"/>
              </w:rPr>
            </w:pPr>
            <w:r w:rsidRPr="00666914">
              <w:rPr>
                <w:color w:val="000000"/>
                <w:sz w:val="20"/>
                <w:szCs w:val="20"/>
              </w:rPr>
              <w:t>84%</w:t>
            </w:r>
          </w:p>
        </w:tc>
      </w:tr>
      <w:tr w:rsidR="00386F6D" w:rsidRPr="00666914" w14:paraId="0E4BD67C" w14:textId="77777777" w:rsidTr="00905BD2">
        <w:trPr>
          <w:trHeight w:val="259"/>
        </w:trPr>
        <w:tc>
          <w:tcPr>
            <w:tcW w:w="4158" w:type="dxa"/>
            <w:tcBorders>
              <w:top w:val="nil"/>
              <w:left w:val="nil"/>
              <w:bottom w:val="nil"/>
              <w:right w:val="nil"/>
            </w:tcBorders>
            <w:shd w:val="clear" w:color="auto" w:fill="auto"/>
            <w:vAlign w:val="center"/>
          </w:tcPr>
          <w:p w14:paraId="4221DFBD" w14:textId="77777777" w:rsidR="00386F6D" w:rsidRPr="00666914" w:rsidRDefault="00386F6D">
            <w:pPr>
              <w:spacing w:after="0"/>
              <w:jc w:val="left"/>
              <w:rPr>
                <w:b/>
                <w:color w:val="000000"/>
                <w:sz w:val="20"/>
                <w:szCs w:val="20"/>
              </w:rPr>
            </w:pPr>
            <w:r w:rsidRPr="00666914">
              <w:rPr>
                <w:b/>
                <w:color w:val="000000"/>
                <w:sz w:val="20"/>
                <w:szCs w:val="20"/>
              </w:rPr>
              <w:t>august 2019</w:t>
            </w:r>
          </w:p>
        </w:tc>
        <w:tc>
          <w:tcPr>
            <w:tcW w:w="1647" w:type="dxa"/>
            <w:tcBorders>
              <w:top w:val="nil"/>
              <w:left w:val="nil"/>
              <w:bottom w:val="nil"/>
              <w:right w:val="nil"/>
            </w:tcBorders>
            <w:shd w:val="clear" w:color="auto" w:fill="auto"/>
            <w:vAlign w:val="center"/>
          </w:tcPr>
          <w:p w14:paraId="28913472" w14:textId="77777777" w:rsidR="00386F6D" w:rsidRPr="00666914" w:rsidRDefault="00386F6D">
            <w:pPr>
              <w:spacing w:after="0"/>
              <w:jc w:val="center"/>
              <w:rPr>
                <w:color w:val="000000"/>
                <w:sz w:val="20"/>
                <w:szCs w:val="20"/>
              </w:rPr>
            </w:pPr>
            <w:r w:rsidRPr="00666914">
              <w:rPr>
                <w:color w:val="000000"/>
                <w:sz w:val="20"/>
                <w:szCs w:val="20"/>
              </w:rPr>
              <w:t>47 304</w:t>
            </w:r>
          </w:p>
        </w:tc>
        <w:tc>
          <w:tcPr>
            <w:tcW w:w="1647" w:type="dxa"/>
            <w:tcBorders>
              <w:top w:val="nil"/>
              <w:left w:val="nil"/>
              <w:bottom w:val="nil"/>
              <w:right w:val="nil"/>
            </w:tcBorders>
            <w:shd w:val="clear" w:color="auto" w:fill="auto"/>
            <w:vAlign w:val="center"/>
          </w:tcPr>
          <w:p w14:paraId="6595CAA2" w14:textId="77777777" w:rsidR="00386F6D" w:rsidRPr="00666914" w:rsidRDefault="00386F6D">
            <w:pPr>
              <w:spacing w:after="0"/>
              <w:jc w:val="center"/>
              <w:rPr>
                <w:color w:val="000000"/>
                <w:sz w:val="20"/>
                <w:szCs w:val="20"/>
              </w:rPr>
            </w:pPr>
            <w:r w:rsidRPr="00666914">
              <w:rPr>
                <w:color w:val="000000"/>
                <w:sz w:val="20"/>
                <w:szCs w:val="20"/>
              </w:rPr>
              <w:t>33 870</w:t>
            </w:r>
          </w:p>
        </w:tc>
        <w:tc>
          <w:tcPr>
            <w:tcW w:w="1647" w:type="dxa"/>
            <w:tcBorders>
              <w:top w:val="nil"/>
              <w:left w:val="nil"/>
              <w:bottom w:val="nil"/>
              <w:right w:val="nil"/>
            </w:tcBorders>
            <w:shd w:val="clear" w:color="auto" w:fill="auto"/>
            <w:vAlign w:val="center"/>
          </w:tcPr>
          <w:p w14:paraId="3E8BA528" w14:textId="77777777" w:rsidR="00386F6D" w:rsidRPr="00666914" w:rsidRDefault="00386F6D">
            <w:pPr>
              <w:spacing w:after="0"/>
              <w:jc w:val="center"/>
              <w:rPr>
                <w:color w:val="000000"/>
                <w:sz w:val="20"/>
                <w:szCs w:val="20"/>
              </w:rPr>
            </w:pPr>
            <w:r w:rsidRPr="00666914">
              <w:rPr>
                <w:color w:val="000000"/>
                <w:sz w:val="20"/>
                <w:szCs w:val="20"/>
              </w:rPr>
              <w:t>72%</w:t>
            </w:r>
          </w:p>
        </w:tc>
      </w:tr>
      <w:tr w:rsidR="00386F6D" w:rsidRPr="00666914" w14:paraId="3CE3C274" w14:textId="77777777" w:rsidTr="00905BD2">
        <w:trPr>
          <w:trHeight w:val="259"/>
        </w:trPr>
        <w:tc>
          <w:tcPr>
            <w:tcW w:w="4158" w:type="dxa"/>
            <w:tcBorders>
              <w:top w:val="nil"/>
              <w:left w:val="nil"/>
              <w:bottom w:val="nil"/>
              <w:right w:val="nil"/>
            </w:tcBorders>
            <w:shd w:val="clear" w:color="auto" w:fill="auto"/>
            <w:vAlign w:val="center"/>
          </w:tcPr>
          <w:p w14:paraId="0E701C8E" w14:textId="77777777" w:rsidR="00386F6D" w:rsidRPr="00666914" w:rsidRDefault="00386F6D">
            <w:pPr>
              <w:spacing w:after="0"/>
              <w:jc w:val="left"/>
              <w:rPr>
                <w:b/>
                <w:color w:val="000000"/>
                <w:sz w:val="20"/>
                <w:szCs w:val="20"/>
              </w:rPr>
            </w:pPr>
            <w:r w:rsidRPr="00666914">
              <w:rPr>
                <w:b/>
                <w:color w:val="000000"/>
                <w:sz w:val="20"/>
                <w:szCs w:val="20"/>
              </w:rPr>
              <w:t>september 2019</w:t>
            </w:r>
          </w:p>
        </w:tc>
        <w:tc>
          <w:tcPr>
            <w:tcW w:w="1647" w:type="dxa"/>
            <w:tcBorders>
              <w:top w:val="nil"/>
              <w:left w:val="nil"/>
              <w:bottom w:val="nil"/>
              <w:right w:val="nil"/>
            </w:tcBorders>
            <w:shd w:val="clear" w:color="auto" w:fill="auto"/>
            <w:vAlign w:val="center"/>
          </w:tcPr>
          <w:p w14:paraId="7E042E54" w14:textId="77777777" w:rsidR="00386F6D" w:rsidRPr="00666914" w:rsidRDefault="00386F6D">
            <w:pPr>
              <w:spacing w:after="0"/>
              <w:jc w:val="center"/>
              <w:rPr>
                <w:color w:val="000000"/>
                <w:sz w:val="20"/>
                <w:szCs w:val="20"/>
              </w:rPr>
            </w:pPr>
            <w:r w:rsidRPr="00666914">
              <w:rPr>
                <w:color w:val="000000"/>
                <w:sz w:val="20"/>
                <w:szCs w:val="20"/>
              </w:rPr>
              <w:t>37 079</w:t>
            </w:r>
          </w:p>
        </w:tc>
        <w:tc>
          <w:tcPr>
            <w:tcW w:w="1647" w:type="dxa"/>
            <w:tcBorders>
              <w:top w:val="nil"/>
              <w:left w:val="nil"/>
              <w:bottom w:val="nil"/>
              <w:right w:val="nil"/>
            </w:tcBorders>
            <w:shd w:val="clear" w:color="auto" w:fill="auto"/>
            <w:vAlign w:val="center"/>
          </w:tcPr>
          <w:p w14:paraId="017235F2" w14:textId="77777777" w:rsidR="00386F6D" w:rsidRPr="00666914" w:rsidRDefault="00386F6D">
            <w:pPr>
              <w:spacing w:after="0"/>
              <w:jc w:val="center"/>
              <w:rPr>
                <w:color w:val="000000"/>
                <w:sz w:val="20"/>
                <w:szCs w:val="20"/>
              </w:rPr>
            </w:pPr>
            <w:r w:rsidRPr="00666914">
              <w:rPr>
                <w:color w:val="000000"/>
                <w:sz w:val="20"/>
                <w:szCs w:val="20"/>
              </w:rPr>
              <w:t>25 137</w:t>
            </w:r>
          </w:p>
        </w:tc>
        <w:tc>
          <w:tcPr>
            <w:tcW w:w="1647" w:type="dxa"/>
            <w:tcBorders>
              <w:top w:val="nil"/>
              <w:left w:val="nil"/>
              <w:bottom w:val="nil"/>
              <w:right w:val="nil"/>
            </w:tcBorders>
            <w:shd w:val="clear" w:color="auto" w:fill="auto"/>
            <w:vAlign w:val="center"/>
          </w:tcPr>
          <w:p w14:paraId="158C27E9" w14:textId="77777777" w:rsidR="00386F6D" w:rsidRPr="00666914" w:rsidRDefault="00386F6D">
            <w:pPr>
              <w:spacing w:after="0"/>
              <w:jc w:val="center"/>
              <w:rPr>
                <w:color w:val="000000"/>
                <w:sz w:val="20"/>
                <w:szCs w:val="20"/>
              </w:rPr>
            </w:pPr>
            <w:r w:rsidRPr="00666914">
              <w:rPr>
                <w:color w:val="000000"/>
                <w:sz w:val="20"/>
                <w:szCs w:val="20"/>
              </w:rPr>
              <w:t>68%</w:t>
            </w:r>
          </w:p>
        </w:tc>
      </w:tr>
      <w:tr w:rsidR="00386F6D" w:rsidRPr="00666914" w14:paraId="258BF346" w14:textId="77777777" w:rsidTr="00905BD2">
        <w:trPr>
          <w:trHeight w:val="259"/>
        </w:trPr>
        <w:tc>
          <w:tcPr>
            <w:tcW w:w="4158" w:type="dxa"/>
            <w:tcBorders>
              <w:top w:val="nil"/>
              <w:left w:val="nil"/>
              <w:bottom w:val="nil"/>
              <w:right w:val="nil"/>
            </w:tcBorders>
            <w:shd w:val="clear" w:color="auto" w:fill="auto"/>
            <w:vAlign w:val="center"/>
          </w:tcPr>
          <w:p w14:paraId="08A7B2F3" w14:textId="77777777" w:rsidR="00386F6D" w:rsidRPr="00666914" w:rsidRDefault="00386F6D">
            <w:pPr>
              <w:spacing w:after="0"/>
              <w:jc w:val="left"/>
              <w:rPr>
                <w:b/>
                <w:color w:val="000000"/>
                <w:sz w:val="20"/>
                <w:szCs w:val="20"/>
              </w:rPr>
            </w:pPr>
            <w:r w:rsidRPr="00666914">
              <w:rPr>
                <w:b/>
                <w:color w:val="000000"/>
                <w:sz w:val="20"/>
                <w:szCs w:val="20"/>
              </w:rPr>
              <w:t>október 2019</w:t>
            </w:r>
          </w:p>
        </w:tc>
        <w:tc>
          <w:tcPr>
            <w:tcW w:w="1647" w:type="dxa"/>
            <w:tcBorders>
              <w:top w:val="nil"/>
              <w:left w:val="nil"/>
              <w:bottom w:val="nil"/>
              <w:right w:val="nil"/>
            </w:tcBorders>
            <w:shd w:val="clear" w:color="auto" w:fill="auto"/>
            <w:vAlign w:val="center"/>
          </w:tcPr>
          <w:p w14:paraId="2488C522" w14:textId="77777777" w:rsidR="00386F6D" w:rsidRPr="00666914" w:rsidRDefault="00386F6D">
            <w:pPr>
              <w:spacing w:after="0"/>
              <w:jc w:val="center"/>
              <w:rPr>
                <w:color w:val="000000"/>
                <w:sz w:val="20"/>
                <w:szCs w:val="20"/>
              </w:rPr>
            </w:pPr>
            <w:r w:rsidRPr="00666914">
              <w:rPr>
                <w:color w:val="000000"/>
                <w:sz w:val="20"/>
                <w:szCs w:val="20"/>
              </w:rPr>
              <w:t>49 340</w:t>
            </w:r>
          </w:p>
        </w:tc>
        <w:tc>
          <w:tcPr>
            <w:tcW w:w="1647" w:type="dxa"/>
            <w:tcBorders>
              <w:top w:val="nil"/>
              <w:left w:val="nil"/>
              <w:bottom w:val="nil"/>
              <w:right w:val="nil"/>
            </w:tcBorders>
            <w:shd w:val="clear" w:color="auto" w:fill="auto"/>
            <w:vAlign w:val="center"/>
          </w:tcPr>
          <w:p w14:paraId="2DFF6D50" w14:textId="77777777" w:rsidR="00386F6D" w:rsidRPr="00666914" w:rsidRDefault="00386F6D">
            <w:pPr>
              <w:spacing w:after="0"/>
              <w:jc w:val="center"/>
              <w:rPr>
                <w:color w:val="000000"/>
                <w:sz w:val="20"/>
                <w:szCs w:val="20"/>
              </w:rPr>
            </w:pPr>
            <w:r w:rsidRPr="00666914">
              <w:rPr>
                <w:color w:val="000000"/>
                <w:sz w:val="20"/>
                <w:szCs w:val="20"/>
              </w:rPr>
              <w:t>32 890</w:t>
            </w:r>
          </w:p>
        </w:tc>
        <w:tc>
          <w:tcPr>
            <w:tcW w:w="1647" w:type="dxa"/>
            <w:tcBorders>
              <w:top w:val="nil"/>
              <w:left w:val="nil"/>
              <w:bottom w:val="nil"/>
              <w:right w:val="nil"/>
            </w:tcBorders>
            <w:shd w:val="clear" w:color="auto" w:fill="auto"/>
            <w:vAlign w:val="center"/>
          </w:tcPr>
          <w:p w14:paraId="3B11663D" w14:textId="77777777" w:rsidR="00386F6D" w:rsidRPr="00666914" w:rsidRDefault="00386F6D">
            <w:pPr>
              <w:spacing w:after="0"/>
              <w:jc w:val="center"/>
              <w:rPr>
                <w:color w:val="000000"/>
                <w:sz w:val="20"/>
                <w:szCs w:val="20"/>
              </w:rPr>
            </w:pPr>
            <w:r w:rsidRPr="00666914">
              <w:rPr>
                <w:color w:val="000000"/>
                <w:sz w:val="20"/>
                <w:szCs w:val="20"/>
              </w:rPr>
              <w:t>67%</w:t>
            </w:r>
          </w:p>
        </w:tc>
      </w:tr>
      <w:tr w:rsidR="00386F6D" w:rsidRPr="00666914" w14:paraId="4D00E8E2" w14:textId="77777777" w:rsidTr="00905BD2">
        <w:trPr>
          <w:trHeight w:val="259"/>
        </w:trPr>
        <w:tc>
          <w:tcPr>
            <w:tcW w:w="4158" w:type="dxa"/>
            <w:tcBorders>
              <w:top w:val="nil"/>
              <w:left w:val="nil"/>
              <w:right w:val="nil"/>
            </w:tcBorders>
            <w:shd w:val="clear" w:color="auto" w:fill="auto"/>
            <w:vAlign w:val="center"/>
          </w:tcPr>
          <w:p w14:paraId="0500985A" w14:textId="77777777" w:rsidR="00386F6D" w:rsidRPr="00666914" w:rsidRDefault="00386F6D">
            <w:pPr>
              <w:spacing w:after="0"/>
              <w:jc w:val="left"/>
              <w:rPr>
                <w:b/>
                <w:color w:val="000000"/>
                <w:sz w:val="20"/>
                <w:szCs w:val="20"/>
              </w:rPr>
            </w:pPr>
            <w:r w:rsidRPr="00666914">
              <w:rPr>
                <w:b/>
                <w:color w:val="000000"/>
                <w:sz w:val="20"/>
                <w:szCs w:val="20"/>
              </w:rPr>
              <w:t>november 2019</w:t>
            </w:r>
          </w:p>
        </w:tc>
        <w:tc>
          <w:tcPr>
            <w:tcW w:w="1647" w:type="dxa"/>
            <w:tcBorders>
              <w:top w:val="nil"/>
              <w:left w:val="nil"/>
              <w:right w:val="nil"/>
            </w:tcBorders>
            <w:shd w:val="clear" w:color="auto" w:fill="auto"/>
            <w:vAlign w:val="center"/>
          </w:tcPr>
          <w:p w14:paraId="02E178F6" w14:textId="77777777" w:rsidR="00386F6D" w:rsidRPr="00666914" w:rsidRDefault="00386F6D">
            <w:pPr>
              <w:spacing w:after="0"/>
              <w:jc w:val="center"/>
              <w:rPr>
                <w:color w:val="000000"/>
                <w:sz w:val="20"/>
                <w:szCs w:val="20"/>
              </w:rPr>
            </w:pPr>
            <w:r w:rsidRPr="00666914">
              <w:rPr>
                <w:color w:val="000000"/>
                <w:sz w:val="20"/>
                <w:szCs w:val="20"/>
              </w:rPr>
              <w:t>44 185</w:t>
            </w:r>
          </w:p>
        </w:tc>
        <w:tc>
          <w:tcPr>
            <w:tcW w:w="1647" w:type="dxa"/>
            <w:tcBorders>
              <w:top w:val="nil"/>
              <w:left w:val="nil"/>
              <w:right w:val="nil"/>
            </w:tcBorders>
            <w:shd w:val="clear" w:color="auto" w:fill="auto"/>
            <w:vAlign w:val="center"/>
          </w:tcPr>
          <w:p w14:paraId="1EEA14B1" w14:textId="77777777" w:rsidR="00386F6D" w:rsidRPr="00666914" w:rsidRDefault="00386F6D">
            <w:pPr>
              <w:spacing w:after="0"/>
              <w:jc w:val="center"/>
              <w:rPr>
                <w:color w:val="000000"/>
                <w:sz w:val="20"/>
                <w:szCs w:val="20"/>
              </w:rPr>
            </w:pPr>
            <w:r w:rsidRPr="00666914">
              <w:rPr>
                <w:color w:val="000000"/>
                <w:sz w:val="20"/>
                <w:szCs w:val="20"/>
              </w:rPr>
              <w:t>32 391</w:t>
            </w:r>
          </w:p>
        </w:tc>
        <w:tc>
          <w:tcPr>
            <w:tcW w:w="1647" w:type="dxa"/>
            <w:tcBorders>
              <w:top w:val="nil"/>
              <w:left w:val="nil"/>
              <w:right w:val="nil"/>
            </w:tcBorders>
            <w:shd w:val="clear" w:color="auto" w:fill="auto"/>
            <w:vAlign w:val="center"/>
          </w:tcPr>
          <w:p w14:paraId="15287AEF" w14:textId="77777777" w:rsidR="00386F6D" w:rsidRPr="00666914" w:rsidRDefault="00386F6D">
            <w:pPr>
              <w:spacing w:after="0"/>
              <w:jc w:val="center"/>
              <w:rPr>
                <w:color w:val="000000"/>
                <w:sz w:val="20"/>
                <w:szCs w:val="20"/>
              </w:rPr>
            </w:pPr>
            <w:r w:rsidRPr="00666914">
              <w:rPr>
                <w:color w:val="000000"/>
                <w:sz w:val="20"/>
                <w:szCs w:val="20"/>
              </w:rPr>
              <w:t>73%</w:t>
            </w:r>
          </w:p>
        </w:tc>
      </w:tr>
      <w:tr w:rsidR="00386F6D" w:rsidRPr="00666914" w14:paraId="1CE9B72A" w14:textId="77777777" w:rsidTr="00905BD2">
        <w:trPr>
          <w:trHeight w:val="259"/>
        </w:trPr>
        <w:tc>
          <w:tcPr>
            <w:tcW w:w="4158" w:type="dxa"/>
            <w:tcBorders>
              <w:top w:val="nil"/>
              <w:left w:val="nil"/>
              <w:right w:val="nil"/>
            </w:tcBorders>
            <w:shd w:val="clear" w:color="auto" w:fill="auto"/>
            <w:vAlign w:val="center"/>
          </w:tcPr>
          <w:p w14:paraId="36F2F993" w14:textId="77777777" w:rsidR="00386F6D" w:rsidRPr="00666914" w:rsidRDefault="00386F6D">
            <w:pPr>
              <w:spacing w:after="0"/>
              <w:jc w:val="left"/>
              <w:rPr>
                <w:b/>
                <w:color w:val="000000"/>
                <w:sz w:val="20"/>
                <w:szCs w:val="20"/>
              </w:rPr>
            </w:pPr>
            <w:r w:rsidRPr="00666914">
              <w:rPr>
                <w:b/>
                <w:color w:val="000000"/>
                <w:sz w:val="20"/>
                <w:szCs w:val="20"/>
              </w:rPr>
              <w:t>december 2019</w:t>
            </w:r>
          </w:p>
        </w:tc>
        <w:tc>
          <w:tcPr>
            <w:tcW w:w="1647" w:type="dxa"/>
            <w:tcBorders>
              <w:top w:val="nil"/>
              <w:left w:val="nil"/>
              <w:right w:val="nil"/>
            </w:tcBorders>
            <w:shd w:val="clear" w:color="auto" w:fill="auto"/>
            <w:vAlign w:val="center"/>
          </w:tcPr>
          <w:p w14:paraId="225D3D38" w14:textId="77777777" w:rsidR="00386F6D" w:rsidRPr="00666914" w:rsidRDefault="00386F6D">
            <w:pPr>
              <w:spacing w:after="0"/>
              <w:jc w:val="center"/>
              <w:rPr>
                <w:color w:val="000000"/>
                <w:sz w:val="20"/>
                <w:szCs w:val="20"/>
              </w:rPr>
            </w:pPr>
            <w:r w:rsidRPr="00666914">
              <w:rPr>
                <w:color w:val="000000"/>
                <w:sz w:val="20"/>
                <w:szCs w:val="20"/>
              </w:rPr>
              <w:t>31 101</w:t>
            </w:r>
          </w:p>
        </w:tc>
        <w:tc>
          <w:tcPr>
            <w:tcW w:w="1647" w:type="dxa"/>
            <w:tcBorders>
              <w:top w:val="nil"/>
              <w:left w:val="nil"/>
              <w:right w:val="nil"/>
            </w:tcBorders>
            <w:shd w:val="clear" w:color="auto" w:fill="auto"/>
            <w:vAlign w:val="center"/>
          </w:tcPr>
          <w:p w14:paraId="6E024563" w14:textId="77777777" w:rsidR="00386F6D" w:rsidRPr="00666914" w:rsidRDefault="00386F6D">
            <w:pPr>
              <w:spacing w:after="0"/>
              <w:jc w:val="center"/>
              <w:rPr>
                <w:color w:val="000000"/>
                <w:sz w:val="20"/>
                <w:szCs w:val="20"/>
              </w:rPr>
            </w:pPr>
            <w:r w:rsidRPr="00666914">
              <w:rPr>
                <w:color w:val="000000"/>
                <w:sz w:val="20"/>
                <w:szCs w:val="20"/>
              </w:rPr>
              <w:t>22 954</w:t>
            </w:r>
          </w:p>
        </w:tc>
        <w:tc>
          <w:tcPr>
            <w:tcW w:w="1647" w:type="dxa"/>
            <w:tcBorders>
              <w:top w:val="nil"/>
              <w:left w:val="nil"/>
              <w:right w:val="nil"/>
            </w:tcBorders>
            <w:shd w:val="clear" w:color="auto" w:fill="auto"/>
            <w:vAlign w:val="center"/>
          </w:tcPr>
          <w:p w14:paraId="682CE212" w14:textId="77777777" w:rsidR="00386F6D" w:rsidRPr="00666914" w:rsidRDefault="00386F6D">
            <w:pPr>
              <w:spacing w:after="0"/>
              <w:jc w:val="center"/>
              <w:rPr>
                <w:color w:val="000000"/>
                <w:sz w:val="20"/>
                <w:szCs w:val="20"/>
              </w:rPr>
            </w:pPr>
            <w:r w:rsidRPr="00666914">
              <w:rPr>
                <w:color w:val="000000"/>
                <w:sz w:val="20"/>
                <w:szCs w:val="20"/>
              </w:rPr>
              <w:t>74%</w:t>
            </w:r>
          </w:p>
        </w:tc>
      </w:tr>
      <w:tr w:rsidR="00386F6D" w:rsidRPr="00666914" w14:paraId="4842C3D9" w14:textId="77777777" w:rsidTr="00905BD2">
        <w:trPr>
          <w:trHeight w:val="259"/>
        </w:trPr>
        <w:tc>
          <w:tcPr>
            <w:tcW w:w="4158" w:type="dxa"/>
            <w:tcBorders>
              <w:left w:val="nil"/>
              <w:bottom w:val="single" w:sz="4" w:space="0" w:color="000000"/>
              <w:right w:val="nil"/>
            </w:tcBorders>
            <w:shd w:val="clear" w:color="auto" w:fill="F2F2F2"/>
            <w:vAlign w:val="center"/>
          </w:tcPr>
          <w:p w14:paraId="4D248BF1" w14:textId="77777777" w:rsidR="00386F6D" w:rsidRPr="00666914" w:rsidRDefault="00386F6D">
            <w:pPr>
              <w:spacing w:after="0"/>
              <w:jc w:val="left"/>
              <w:rPr>
                <w:b/>
                <w:color w:val="000000"/>
                <w:sz w:val="20"/>
                <w:szCs w:val="20"/>
              </w:rPr>
            </w:pPr>
            <w:r w:rsidRPr="00666914">
              <w:rPr>
                <w:b/>
                <w:color w:val="000000"/>
                <w:sz w:val="20"/>
                <w:szCs w:val="20"/>
              </w:rPr>
              <w:t>rok 2019</w:t>
            </w:r>
          </w:p>
        </w:tc>
        <w:tc>
          <w:tcPr>
            <w:tcW w:w="1647" w:type="dxa"/>
            <w:tcBorders>
              <w:left w:val="nil"/>
              <w:bottom w:val="single" w:sz="4" w:space="0" w:color="000000"/>
              <w:right w:val="nil"/>
            </w:tcBorders>
            <w:shd w:val="clear" w:color="auto" w:fill="F2F2F2"/>
            <w:vAlign w:val="center"/>
          </w:tcPr>
          <w:p w14:paraId="0E19738C" w14:textId="77777777" w:rsidR="00386F6D" w:rsidRPr="00666914" w:rsidRDefault="00386F6D">
            <w:pPr>
              <w:spacing w:after="0"/>
              <w:jc w:val="center"/>
              <w:rPr>
                <w:color w:val="000000"/>
                <w:sz w:val="20"/>
                <w:szCs w:val="20"/>
              </w:rPr>
            </w:pPr>
            <w:r w:rsidRPr="00666914">
              <w:rPr>
                <w:color w:val="000000"/>
                <w:sz w:val="20"/>
                <w:szCs w:val="20"/>
              </w:rPr>
              <w:t>538 360</w:t>
            </w:r>
          </w:p>
        </w:tc>
        <w:tc>
          <w:tcPr>
            <w:tcW w:w="1647" w:type="dxa"/>
            <w:tcBorders>
              <w:left w:val="nil"/>
              <w:bottom w:val="single" w:sz="4" w:space="0" w:color="000000"/>
              <w:right w:val="nil"/>
            </w:tcBorders>
            <w:shd w:val="clear" w:color="auto" w:fill="F2F2F2"/>
            <w:vAlign w:val="center"/>
          </w:tcPr>
          <w:p w14:paraId="017270EB" w14:textId="77777777" w:rsidR="00386F6D" w:rsidRPr="00666914" w:rsidRDefault="00386F6D">
            <w:pPr>
              <w:spacing w:after="0"/>
              <w:jc w:val="center"/>
              <w:rPr>
                <w:color w:val="000000"/>
                <w:sz w:val="20"/>
                <w:szCs w:val="20"/>
              </w:rPr>
            </w:pPr>
            <w:r w:rsidRPr="00666914">
              <w:rPr>
                <w:color w:val="000000"/>
                <w:sz w:val="20"/>
                <w:szCs w:val="20"/>
              </w:rPr>
              <w:t>402 711</w:t>
            </w:r>
          </w:p>
        </w:tc>
        <w:tc>
          <w:tcPr>
            <w:tcW w:w="1647" w:type="dxa"/>
            <w:tcBorders>
              <w:left w:val="nil"/>
              <w:bottom w:val="single" w:sz="4" w:space="0" w:color="000000"/>
              <w:right w:val="nil"/>
            </w:tcBorders>
            <w:shd w:val="clear" w:color="auto" w:fill="F2F2F2"/>
            <w:vAlign w:val="center"/>
          </w:tcPr>
          <w:p w14:paraId="1E629D8C" w14:textId="77777777" w:rsidR="00386F6D" w:rsidRPr="00666914" w:rsidRDefault="00386F6D">
            <w:pPr>
              <w:spacing w:after="0"/>
              <w:jc w:val="center"/>
              <w:rPr>
                <w:color w:val="000000"/>
                <w:sz w:val="20"/>
                <w:szCs w:val="20"/>
              </w:rPr>
            </w:pPr>
            <w:r w:rsidRPr="00666914">
              <w:rPr>
                <w:color w:val="000000"/>
                <w:sz w:val="20"/>
                <w:szCs w:val="20"/>
              </w:rPr>
              <w:t>75%</w:t>
            </w:r>
          </w:p>
        </w:tc>
      </w:tr>
    </w:tbl>
    <w:p w14:paraId="446045D1" w14:textId="77777777" w:rsidR="00386F6D" w:rsidRPr="00666914" w:rsidRDefault="00386F6D">
      <w:pPr>
        <w:spacing w:after="0"/>
        <w:jc w:val="right"/>
        <w:rPr>
          <w:i/>
          <w:sz w:val="18"/>
          <w:szCs w:val="18"/>
        </w:rPr>
      </w:pPr>
      <w:r w:rsidRPr="00666914">
        <w:rPr>
          <w:i/>
          <w:sz w:val="18"/>
          <w:szCs w:val="18"/>
        </w:rPr>
        <w:t xml:space="preserve">Zdroj: MV SR, spracovanie IJ  </w:t>
      </w:r>
    </w:p>
    <w:p w14:paraId="3C634D53" w14:textId="77777777" w:rsidR="00386F6D" w:rsidRPr="00666914" w:rsidRDefault="00386F6D">
      <w:pPr>
        <w:spacing w:after="0"/>
        <w:rPr>
          <w:rFonts w:ascii="Calibri" w:hAnsi="Calibri" w:cs="Calibri"/>
          <w:color w:val="000000"/>
        </w:rPr>
      </w:pPr>
    </w:p>
    <w:p w14:paraId="489A404B" w14:textId="75388CDE" w:rsidR="00386F6D" w:rsidRPr="00666914" w:rsidRDefault="00386F6D">
      <w:r w:rsidRPr="00666914">
        <w:rPr>
          <w:b/>
        </w:rPr>
        <w:t>Občanov plne vybavených na elektronickú komunikáciu so štátom je napriek automatickému vydávaniu BOK stále len 317 tis</w:t>
      </w:r>
      <w:r w:rsidRPr="00666914">
        <w:rPr>
          <w:b/>
          <w:vertAlign w:val="superscript"/>
        </w:rPr>
        <w:footnoteReference w:id="128"/>
      </w:r>
      <w:r w:rsidRPr="00666914">
        <w:rPr>
          <w:b/>
        </w:rPr>
        <w:t xml:space="preserve">. </w:t>
      </w:r>
      <w:r w:rsidRPr="00666914">
        <w:t>Na plné využitie všetkých elektronických služieb je okrem BOK potrebný aj nahratý kvalifikovaný elektronický podpis (KEP). Aktivácia KEP sa nedeje automaticky pri výdaji eID, bez aktivovaného KEP následne nemôže vlastník eID využiť 42 % služieb</w:t>
      </w:r>
      <w:r w:rsidRPr="00666914">
        <w:rPr>
          <w:vertAlign w:val="superscript"/>
        </w:rPr>
        <w:footnoteReference w:id="129"/>
      </w:r>
      <w:r w:rsidRPr="00666914">
        <w:t>, napr. nez</w:t>
      </w:r>
      <w:r w:rsidR="00CE0C4B">
        <w:t>íska</w:t>
      </w:r>
      <w:r w:rsidRPr="00666914">
        <w:t xml:space="preserve"> výpis z registra trestov alebo prídavky na dieťa. Možným riešením je tiež znižovanie potrebnej úrovne autorizácie jednotlivých úkonov. </w:t>
      </w:r>
    </w:p>
    <w:p w14:paraId="60A16099" w14:textId="44680AFE" w:rsidR="00745CEA" w:rsidRPr="00666914" w:rsidRDefault="00386F6D">
      <w:r w:rsidRPr="00666914">
        <w:rPr>
          <w:b/>
        </w:rPr>
        <w:t>V prípade nastavenia automatického vydávania elektronických podpisov sa mohol počet občanov schopných využívať všetky elektronické služby zvýšiť v roku 2019 o 270 tis</w:t>
      </w:r>
      <w:r w:rsidRPr="00666914">
        <w:rPr>
          <w:b/>
          <w:vertAlign w:val="superscript"/>
        </w:rPr>
        <w:footnoteReference w:id="130"/>
      </w:r>
      <w:r w:rsidRPr="00666914">
        <w:rPr>
          <w:b/>
        </w:rPr>
        <w:t xml:space="preserve">. </w:t>
      </w:r>
      <w:r w:rsidRPr="00666914">
        <w:t xml:space="preserve">Hoci eID vlastní už 3,1 mil. ľudí a 60 % (1,9 mil.) občianskych preukazov má aktivovaný BOK, certifikát ku KEP malo k 12/2019 nahratých len 317 tis. preukazov – teda len 10 % všetkých platných eID. Automatické vydávanie KEP za rovnakých podmienok ako je aktivovaný BOK by v roku 2019 umožnilo plne využívať elektronické služby ďalším 270 tis. občanom. </w:t>
      </w:r>
    </w:p>
    <w:p w14:paraId="667A8F1C" w14:textId="77777777" w:rsidR="00745CEA" w:rsidRPr="00666914" w:rsidRDefault="00745CEA">
      <w:pPr>
        <w:spacing w:after="0"/>
        <w:jc w:val="left"/>
      </w:pPr>
      <w:r w:rsidRPr="00666914">
        <w:br w:type="page"/>
      </w:r>
    </w:p>
    <w:p w14:paraId="2A03C83E" w14:textId="426EB304" w:rsidR="00386F6D" w:rsidRPr="00666914" w:rsidRDefault="001E2179">
      <w:pPr>
        <w:pBdr>
          <w:bottom w:val="single" w:sz="4" w:space="1" w:color="000000"/>
        </w:pBdr>
        <w:spacing w:after="0"/>
        <w:jc w:val="left"/>
        <w:rPr>
          <w:b/>
          <w:sz w:val="20"/>
          <w:szCs w:val="20"/>
        </w:rPr>
      </w:pPr>
      <w:bookmarkStart w:id="265" w:name="_Toc38390058"/>
      <w:r w:rsidRPr="00666914">
        <w:rPr>
          <w:b/>
          <w:sz w:val="20"/>
          <w:szCs w:val="20"/>
        </w:rPr>
        <w:lastRenderedPageBreak/>
        <w:t xml:space="preserve">Graf </w:t>
      </w:r>
      <w:r w:rsidRPr="00666914">
        <w:rPr>
          <w:b/>
          <w:sz w:val="20"/>
          <w:szCs w:val="20"/>
        </w:rPr>
        <w:fldChar w:fldCharType="begin"/>
      </w:r>
      <w:r w:rsidRPr="00666914">
        <w:rPr>
          <w:b/>
          <w:sz w:val="20"/>
          <w:szCs w:val="20"/>
        </w:rPr>
        <w:instrText xml:space="preserve"> SEQ Graf \* ARABIC   \* MERGEFORMAT </w:instrText>
      </w:r>
      <w:r w:rsidRPr="00666914">
        <w:rPr>
          <w:b/>
          <w:sz w:val="20"/>
          <w:szCs w:val="20"/>
        </w:rPr>
        <w:fldChar w:fldCharType="separate"/>
      </w:r>
      <w:r w:rsidR="005A7304">
        <w:rPr>
          <w:b/>
          <w:noProof/>
          <w:sz w:val="20"/>
          <w:szCs w:val="20"/>
        </w:rPr>
        <w:t>14</w:t>
      </w:r>
      <w:r w:rsidRPr="00666914">
        <w:rPr>
          <w:b/>
          <w:sz w:val="20"/>
          <w:szCs w:val="20"/>
        </w:rPr>
        <w:fldChar w:fldCharType="end"/>
      </w:r>
      <w:r w:rsidR="00386F6D" w:rsidRPr="00666914">
        <w:rPr>
          <w:b/>
          <w:sz w:val="20"/>
          <w:szCs w:val="20"/>
        </w:rPr>
        <w:t>: Vydané eID, BOK a KEP (2018-2019)</w:t>
      </w:r>
      <w:bookmarkEnd w:id="265"/>
    </w:p>
    <w:p w14:paraId="6E25B342" w14:textId="77777777" w:rsidR="00386F6D" w:rsidRPr="00666914" w:rsidRDefault="00386F6D">
      <w:pPr>
        <w:spacing w:after="0"/>
        <w:rPr>
          <w:b/>
        </w:rPr>
      </w:pPr>
      <w:r w:rsidRPr="00666914">
        <w:rPr>
          <w:noProof/>
          <w:lang w:eastAsia="sk-SK"/>
        </w:rPr>
        <w:drawing>
          <wp:inline distT="0" distB="0" distL="0" distR="0" wp14:anchorId="49421149" wp14:editId="6D037E5B">
            <wp:extent cx="5727700" cy="2546350"/>
            <wp:effectExtent l="0" t="0" r="6350" b="6350"/>
            <wp:docPr id="71" name="Graf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75AE8C8" w14:textId="77777777" w:rsidR="00386F6D" w:rsidRPr="00666914" w:rsidRDefault="00386F6D">
      <w:pPr>
        <w:pBdr>
          <w:top w:val="single" w:sz="4" w:space="1" w:color="000000"/>
        </w:pBdr>
        <w:spacing w:after="0"/>
        <w:jc w:val="right"/>
        <w:rPr>
          <w:i/>
          <w:sz w:val="18"/>
          <w:szCs w:val="18"/>
        </w:rPr>
      </w:pPr>
      <w:r w:rsidRPr="00666914">
        <w:rPr>
          <w:i/>
          <w:sz w:val="18"/>
          <w:szCs w:val="18"/>
        </w:rPr>
        <w:t>Zdroj: MV SR, spracovanie IJ</w:t>
      </w:r>
    </w:p>
    <w:p w14:paraId="7EB53AFD" w14:textId="77777777" w:rsidR="003B512A" w:rsidRPr="00666914" w:rsidRDefault="003B512A">
      <w:pPr>
        <w:spacing w:after="0"/>
        <w:rPr>
          <w:b/>
        </w:rPr>
      </w:pPr>
    </w:p>
    <w:p w14:paraId="35A11999" w14:textId="79CE6994" w:rsidR="00386F6D" w:rsidRPr="00666914" w:rsidRDefault="00386F6D">
      <w:pPr>
        <w:spacing w:after="0"/>
      </w:pPr>
      <w:r w:rsidRPr="00666914">
        <w:rPr>
          <w:b/>
        </w:rPr>
        <w:t xml:space="preserve">Skutočné využitie elektronických služieb štátu sa nevyhodnocuje, dostupné údaje v MetaIS sú na úrovni služieb nekompletné a málo dôveryhodné. </w:t>
      </w:r>
      <w:r w:rsidRPr="00666914">
        <w:t>Vplyv splnenia opatrení na používanie elektronických služieb nie je možné individuálne posúdiť. Údaje o používaní nie sú dostupné pre všetky služby, kvalita dostupných údajov je nízka. Podľa ŠU k ÚPVS</w:t>
      </w:r>
      <w:r w:rsidRPr="00666914">
        <w:rPr>
          <w:vertAlign w:val="superscript"/>
        </w:rPr>
        <w:footnoteReference w:id="131"/>
      </w:r>
      <w:r w:rsidRPr="00666914">
        <w:t xml:space="preserve"> malo v roku 2019 digitálne služby využívať 2 mil. občanov, skutočný počet užívateľov, ktorí využili elektronické služby aspoň raz nie je dostupný. Podľa počtu vydaných BOK k eID mohlo k 12/2019 využiť elektronické služby maximálne 1,9 mil. občanov. </w:t>
      </w:r>
    </w:p>
    <w:p w14:paraId="005FCD5D" w14:textId="77777777" w:rsidR="00386F6D" w:rsidRPr="00666914" w:rsidRDefault="00386F6D">
      <w:pPr>
        <w:spacing w:after="0"/>
      </w:pPr>
    </w:p>
    <w:p w14:paraId="765626E6" w14:textId="77777777" w:rsidR="00386F6D" w:rsidRPr="00666914" w:rsidRDefault="00386F6D">
      <w:pPr>
        <w:spacing w:after="0"/>
      </w:pPr>
      <w:r w:rsidRPr="00666914">
        <w:rPr>
          <w:b/>
        </w:rPr>
        <w:t xml:space="preserve">Elektronické schránky využívajú prevažne právnické osoby, miera ich aktivácie fyzickými osobami je nízka. </w:t>
      </w:r>
      <w:r w:rsidRPr="00666914">
        <w:t>Elektronická schránka aktivovaná na doručovanie je pritom ďalším z predpokladov na plnohodnotnú elektronickú komunikáciu so štátom s potenciálom zrýchliť a zlacniť verejné služby. Schránku má k 12/2019 aktivovanú na doručovanie takmer 330  tis. právnických osôb, fyzických osôb s aktívnou schránkou je len 106 tis. Ročný počet aktivovaných elektronických schránok sa ani v prípade PO ani FO výrazne nezvyšuje.</w:t>
      </w:r>
    </w:p>
    <w:p w14:paraId="621F35A6" w14:textId="77777777" w:rsidR="00386F6D" w:rsidRPr="00666914" w:rsidRDefault="00386F6D">
      <w:pPr>
        <w:spacing w:after="0" w:line="259" w:lineRule="auto"/>
        <w:jc w:val="left"/>
        <w:rPr>
          <w:b/>
          <w:sz w:val="20"/>
          <w:szCs w:val="20"/>
        </w:rPr>
      </w:pPr>
      <w:bookmarkStart w:id="266" w:name="_heading=h.35nkun2" w:colFirst="0" w:colLast="0"/>
      <w:bookmarkEnd w:id="266"/>
    </w:p>
    <w:p w14:paraId="6259FF57" w14:textId="1BDE977E" w:rsidR="00386F6D" w:rsidRPr="00666914" w:rsidRDefault="00DA6BB0">
      <w:pPr>
        <w:pBdr>
          <w:bottom w:val="single" w:sz="4" w:space="1" w:color="000000"/>
        </w:pBdr>
        <w:spacing w:after="0" w:line="259" w:lineRule="auto"/>
        <w:jc w:val="left"/>
        <w:rPr>
          <w:b/>
          <w:sz w:val="20"/>
          <w:szCs w:val="20"/>
        </w:rPr>
      </w:pPr>
      <w:bookmarkStart w:id="267" w:name="_Toc38447712"/>
      <w:r w:rsidRPr="00666914">
        <w:rPr>
          <w:b/>
          <w:sz w:val="20"/>
          <w:szCs w:val="20"/>
        </w:rPr>
        <w:t xml:space="preserve">Tabuľka </w:t>
      </w:r>
      <w:r w:rsidRPr="00666914">
        <w:rPr>
          <w:b/>
          <w:sz w:val="20"/>
        </w:rPr>
        <w:fldChar w:fldCharType="begin"/>
      </w:r>
      <w:r w:rsidRPr="00666914">
        <w:rPr>
          <w:b/>
          <w:sz w:val="20"/>
        </w:rPr>
        <w:instrText xml:space="preserve"> SEQ Tabuľka \* ARABIC \* MERGEFORMAT </w:instrText>
      </w:r>
      <w:r w:rsidRPr="00666914">
        <w:rPr>
          <w:b/>
          <w:sz w:val="20"/>
        </w:rPr>
        <w:fldChar w:fldCharType="separate"/>
      </w:r>
      <w:r w:rsidR="005A7304">
        <w:rPr>
          <w:b/>
          <w:noProof/>
          <w:sz w:val="20"/>
        </w:rPr>
        <w:t>51</w:t>
      </w:r>
      <w:r w:rsidRPr="00666914">
        <w:rPr>
          <w:b/>
          <w:sz w:val="20"/>
        </w:rPr>
        <w:fldChar w:fldCharType="end"/>
      </w:r>
      <w:r w:rsidR="00386F6D" w:rsidRPr="00666914">
        <w:rPr>
          <w:b/>
          <w:sz w:val="20"/>
          <w:szCs w:val="20"/>
        </w:rPr>
        <w:t>: Elektronické schránky aktivované na doručovanie</w:t>
      </w:r>
      <w:bookmarkEnd w:id="267"/>
    </w:p>
    <w:tbl>
      <w:tblPr>
        <w:tblW w:w="9229" w:type="dxa"/>
        <w:tblLayout w:type="fixed"/>
        <w:tblLook w:val="0400" w:firstRow="0" w:lastRow="0" w:firstColumn="0" w:lastColumn="0" w:noHBand="0" w:noVBand="1"/>
      </w:tblPr>
      <w:tblGrid>
        <w:gridCol w:w="3059"/>
        <w:gridCol w:w="1234"/>
        <w:gridCol w:w="1234"/>
        <w:gridCol w:w="1234"/>
        <w:gridCol w:w="1234"/>
        <w:gridCol w:w="1234"/>
      </w:tblGrid>
      <w:tr w:rsidR="00386F6D" w:rsidRPr="00666914" w14:paraId="1E325094" w14:textId="77777777" w:rsidTr="00074E42">
        <w:trPr>
          <w:trHeight w:val="337"/>
        </w:trPr>
        <w:tc>
          <w:tcPr>
            <w:tcW w:w="3059" w:type="dxa"/>
            <w:tcBorders>
              <w:top w:val="nil"/>
              <w:left w:val="nil"/>
              <w:bottom w:val="single" w:sz="8" w:space="0" w:color="000000"/>
              <w:right w:val="nil"/>
            </w:tcBorders>
            <w:shd w:val="clear" w:color="auto" w:fill="auto"/>
            <w:vAlign w:val="center"/>
          </w:tcPr>
          <w:p w14:paraId="31A584DF" w14:textId="77777777" w:rsidR="00386F6D" w:rsidRPr="00666914" w:rsidRDefault="00386F6D">
            <w:pPr>
              <w:spacing w:after="0"/>
              <w:jc w:val="left"/>
              <w:rPr>
                <w:color w:val="000000"/>
                <w:sz w:val="20"/>
                <w:szCs w:val="20"/>
              </w:rPr>
            </w:pPr>
            <w:r w:rsidRPr="00666914">
              <w:rPr>
                <w:color w:val="000000"/>
                <w:sz w:val="20"/>
                <w:szCs w:val="20"/>
              </w:rPr>
              <w:t> </w:t>
            </w:r>
          </w:p>
        </w:tc>
        <w:tc>
          <w:tcPr>
            <w:tcW w:w="1234" w:type="dxa"/>
            <w:tcBorders>
              <w:top w:val="nil"/>
              <w:left w:val="nil"/>
              <w:bottom w:val="single" w:sz="8" w:space="0" w:color="000000"/>
              <w:right w:val="nil"/>
            </w:tcBorders>
            <w:shd w:val="clear" w:color="auto" w:fill="auto"/>
            <w:vAlign w:val="center"/>
          </w:tcPr>
          <w:p w14:paraId="35E737CD" w14:textId="77777777" w:rsidR="00386F6D" w:rsidRPr="00666914" w:rsidRDefault="00386F6D">
            <w:pPr>
              <w:spacing w:after="0"/>
              <w:jc w:val="left"/>
              <w:rPr>
                <w:color w:val="000000"/>
                <w:sz w:val="20"/>
                <w:szCs w:val="20"/>
              </w:rPr>
            </w:pPr>
            <w:r w:rsidRPr="00666914">
              <w:rPr>
                <w:color w:val="000000"/>
                <w:sz w:val="20"/>
                <w:szCs w:val="20"/>
              </w:rPr>
              <w:t> </w:t>
            </w:r>
          </w:p>
        </w:tc>
        <w:tc>
          <w:tcPr>
            <w:tcW w:w="1234" w:type="dxa"/>
            <w:tcBorders>
              <w:top w:val="nil"/>
              <w:left w:val="nil"/>
              <w:bottom w:val="single" w:sz="8" w:space="0" w:color="000000"/>
              <w:right w:val="nil"/>
            </w:tcBorders>
            <w:shd w:val="clear" w:color="auto" w:fill="auto"/>
            <w:vAlign w:val="center"/>
          </w:tcPr>
          <w:p w14:paraId="025496AF" w14:textId="77777777" w:rsidR="00386F6D" w:rsidRPr="00666914" w:rsidRDefault="00386F6D">
            <w:pPr>
              <w:spacing w:after="0"/>
              <w:jc w:val="center"/>
              <w:rPr>
                <w:b/>
                <w:color w:val="000000"/>
                <w:sz w:val="20"/>
                <w:szCs w:val="20"/>
              </w:rPr>
            </w:pPr>
            <w:r w:rsidRPr="00666914">
              <w:rPr>
                <w:b/>
                <w:color w:val="000000"/>
                <w:sz w:val="20"/>
                <w:szCs w:val="20"/>
              </w:rPr>
              <w:t>2016</w:t>
            </w:r>
          </w:p>
        </w:tc>
        <w:tc>
          <w:tcPr>
            <w:tcW w:w="1234" w:type="dxa"/>
            <w:tcBorders>
              <w:top w:val="nil"/>
              <w:left w:val="nil"/>
              <w:bottom w:val="single" w:sz="8" w:space="0" w:color="000000"/>
              <w:right w:val="nil"/>
            </w:tcBorders>
            <w:shd w:val="clear" w:color="auto" w:fill="auto"/>
            <w:vAlign w:val="center"/>
          </w:tcPr>
          <w:p w14:paraId="02255793" w14:textId="77777777" w:rsidR="00386F6D" w:rsidRPr="00666914" w:rsidRDefault="00386F6D">
            <w:pPr>
              <w:spacing w:after="0"/>
              <w:jc w:val="center"/>
              <w:rPr>
                <w:b/>
                <w:color w:val="000000"/>
                <w:sz w:val="20"/>
                <w:szCs w:val="20"/>
              </w:rPr>
            </w:pPr>
            <w:r w:rsidRPr="00666914">
              <w:rPr>
                <w:b/>
                <w:color w:val="000000"/>
                <w:sz w:val="20"/>
                <w:szCs w:val="20"/>
              </w:rPr>
              <w:t>2017</w:t>
            </w:r>
          </w:p>
        </w:tc>
        <w:tc>
          <w:tcPr>
            <w:tcW w:w="1234" w:type="dxa"/>
            <w:tcBorders>
              <w:top w:val="nil"/>
              <w:left w:val="nil"/>
              <w:bottom w:val="single" w:sz="8" w:space="0" w:color="000000"/>
              <w:right w:val="nil"/>
            </w:tcBorders>
            <w:shd w:val="clear" w:color="auto" w:fill="auto"/>
            <w:vAlign w:val="center"/>
          </w:tcPr>
          <w:p w14:paraId="6D9D4505" w14:textId="77777777" w:rsidR="00386F6D" w:rsidRPr="00666914" w:rsidRDefault="00386F6D">
            <w:pPr>
              <w:spacing w:after="0"/>
              <w:jc w:val="center"/>
              <w:rPr>
                <w:b/>
                <w:color w:val="000000"/>
                <w:sz w:val="20"/>
                <w:szCs w:val="20"/>
              </w:rPr>
            </w:pPr>
            <w:r w:rsidRPr="00666914">
              <w:rPr>
                <w:b/>
                <w:color w:val="000000"/>
                <w:sz w:val="20"/>
                <w:szCs w:val="20"/>
              </w:rPr>
              <w:t>2018</w:t>
            </w:r>
          </w:p>
        </w:tc>
        <w:tc>
          <w:tcPr>
            <w:tcW w:w="1234" w:type="dxa"/>
            <w:tcBorders>
              <w:top w:val="nil"/>
              <w:left w:val="nil"/>
              <w:bottom w:val="single" w:sz="8" w:space="0" w:color="000000"/>
              <w:right w:val="nil"/>
            </w:tcBorders>
            <w:shd w:val="clear" w:color="auto" w:fill="auto"/>
            <w:vAlign w:val="center"/>
          </w:tcPr>
          <w:p w14:paraId="456DBE82" w14:textId="77777777" w:rsidR="00386F6D" w:rsidRPr="00666914" w:rsidRDefault="00386F6D">
            <w:pPr>
              <w:spacing w:after="0"/>
              <w:jc w:val="center"/>
              <w:rPr>
                <w:b/>
                <w:color w:val="000000"/>
                <w:sz w:val="20"/>
                <w:szCs w:val="20"/>
              </w:rPr>
            </w:pPr>
            <w:r w:rsidRPr="00666914">
              <w:rPr>
                <w:b/>
                <w:color w:val="000000"/>
                <w:sz w:val="20"/>
                <w:szCs w:val="20"/>
              </w:rPr>
              <w:t>2019</w:t>
            </w:r>
          </w:p>
        </w:tc>
      </w:tr>
      <w:tr w:rsidR="00386F6D" w:rsidRPr="00666914" w14:paraId="131F1363" w14:textId="77777777" w:rsidTr="00074E42">
        <w:trPr>
          <w:trHeight w:val="319"/>
        </w:trPr>
        <w:tc>
          <w:tcPr>
            <w:tcW w:w="3059" w:type="dxa"/>
            <w:vMerge w:val="restart"/>
            <w:tcBorders>
              <w:top w:val="nil"/>
              <w:left w:val="nil"/>
              <w:bottom w:val="single" w:sz="8" w:space="0" w:color="000000"/>
              <w:right w:val="nil"/>
            </w:tcBorders>
            <w:shd w:val="clear" w:color="auto" w:fill="auto"/>
            <w:vAlign w:val="center"/>
          </w:tcPr>
          <w:p w14:paraId="0B49FEF5" w14:textId="77777777" w:rsidR="00386F6D" w:rsidRPr="00666914" w:rsidRDefault="00386F6D">
            <w:pPr>
              <w:spacing w:after="0"/>
              <w:jc w:val="left"/>
              <w:rPr>
                <w:b/>
                <w:color w:val="000000"/>
                <w:sz w:val="20"/>
                <w:szCs w:val="20"/>
              </w:rPr>
            </w:pPr>
            <w:r w:rsidRPr="00666914">
              <w:rPr>
                <w:b/>
                <w:color w:val="000000"/>
                <w:sz w:val="20"/>
                <w:szCs w:val="20"/>
              </w:rPr>
              <w:t>aktivované schránky</w:t>
            </w:r>
          </w:p>
        </w:tc>
        <w:tc>
          <w:tcPr>
            <w:tcW w:w="1234" w:type="dxa"/>
            <w:tcBorders>
              <w:top w:val="nil"/>
              <w:left w:val="nil"/>
              <w:bottom w:val="nil"/>
              <w:right w:val="nil"/>
            </w:tcBorders>
            <w:shd w:val="clear" w:color="auto" w:fill="auto"/>
            <w:vAlign w:val="center"/>
          </w:tcPr>
          <w:p w14:paraId="30C6B188" w14:textId="77777777" w:rsidR="00386F6D" w:rsidRPr="00666914" w:rsidRDefault="00386F6D">
            <w:pPr>
              <w:spacing w:after="0"/>
              <w:jc w:val="left"/>
              <w:rPr>
                <w:b/>
                <w:color w:val="000000"/>
                <w:sz w:val="20"/>
                <w:szCs w:val="20"/>
              </w:rPr>
            </w:pPr>
            <w:r w:rsidRPr="00666914">
              <w:rPr>
                <w:b/>
                <w:color w:val="000000"/>
                <w:sz w:val="20"/>
                <w:szCs w:val="20"/>
              </w:rPr>
              <w:t xml:space="preserve">PO </w:t>
            </w:r>
          </w:p>
        </w:tc>
        <w:tc>
          <w:tcPr>
            <w:tcW w:w="1234" w:type="dxa"/>
            <w:tcBorders>
              <w:top w:val="nil"/>
              <w:left w:val="nil"/>
              <w:bottom w:val="nil"/>
              <w:right w:val="nil"/>
            </w:tcBorders>
            <w:shd w:val="clear" w:color="auto" w:fill="auto"/>
            <w:vAlign w:val="center"/>
          </w:tcPr>
          <w:p w14:paraId="51956E8B" w14:textId="77777777" w:rsidR="00386F6D" w:rsidRPr="00666914" w:rsidRDefault="00386F6D">
            <w:pPr>
              <w:spacing w:after="0"/>
              <w:jc w:val="center"/>
              <w:rPr>
                <w:color w:val="000000"/>
                <w:sz w:val="20"/>
                <w:szCs w:val="20"/>
              </w:rPr>
            </w:pPr>
            <w:r w:rsidRPr="00666914">
              <w:rPr>
                <w:color w:val="000000"/>
                <w:sz w:val="20"/>
                <w:szCs w:val="20"/>
              </w:rPr>
              <w:t>24 083</w:t>
            </w:r>
          </w:p>
        </w:tc>
        <w:tc>
          <w:tcPr>
            <w:tcW w:w="1234" w:type="dxa"/>
            <w:tcBorders>
              <w:top w:val="nil"/>
              <w:left w:val="nil"/>
              <w:bottom w:val="nil"/>
              <w:right w:val="nil"/>
            </w:tcBorders>
            <w:shd w:val="clear" w:color="auto" w:fill="auto"/>
            <w:vAlign w:val="center"/>
          </w:tcPr>
          <w:p w14:paraId="6CBEB6EA" w14:textId="77777777" w:rsidR="00386F6D" w:rsidRPr="00666914" w:rsidRDefault="00386F6D">
            <w:pPr>
              <w:spacing w:after="0"/>
              <w:jc w:val="center"/>
              <w:rPr>
                <w:color w:val="000000"/>
                <w:sz w:val="20"/>
                <w:szCs w:val="20"/>
              </w:rPr>
            </w:pPr>
            <w:r w:rsidRPr="00666914">
              <w:rPr>
                <w:color w:val="000000"/>
                <w:sz w:val="20"/>
                <w:szCs w:val="20"/>
              </w:rPr>
              <w:t>251 172</w:t>
            </w:r>
          </w:p>
        </w:tc>
        <w:tc>
          <w:tcPr>
            <w:tcW w:w="1234" w:type="dxa"/>
            <w:tcBorders>
              <w:top w:val="nil"/>
              <w:left w:val="nil"/>
              <w:bottom w:val="nil"/>
              <w:right w:val="nil"/>
            </w:tcBorders>
            <w:shd w:val="clear" w:color="auto" w:fill="auto"/>
            <w:vAlign w:val="center"/>
          </w:tcPr>
          <w:p w14:paraId="6B7C28D7" w14:textId="77777777" w:rsidR="00386F6D" w:rsidRPr="00666914" w:rsidRDefault="00386F6D">
            <w:pPr>
              <w:spacing w:after="0"/>
              <w:jc w:val="center"/>
              <w:rPr>
                <w:color w:val="000000"/>
                <w:sz w:val="20"/>
                <w:szCs w:val="20"/>
              </w:rPr>
            </w:pPr>
            <w:r w:rsidRPr="00666914">
              <w:rPr>
                <w:color w:val="000000"/>
                <w:sz w:val="20"/>
                <w:szCs w:val="20"/>
              </w:rPr>
              <w:t>26 895</w:t>
            </w:r>
          </w:p>
        </w:tc>
        <w:tc>
          <w:tcPr>
            <w:tcW w:w="1234" w:type="dxa"/>
            <w:tcBorders>
              <w:top w:val="nil"/>
              <w:left w:val="nil"/>
              <w:bottom w:val="nil"/>
              <w:right w:val="nil"/>
            </w:tcBorders>
            <w:shd w:val="clear" w:color="auto" w:fill="auto"/>
            <w:vAlign w:val="bottom"/>
          </w:tcPr>
          <w:p w14:paraId="1537A76F" w14:textId="77777777" w:rsidR="00386F6D" w:rsidRPr="00666914" w:rsidRDefault="00386F6D">
            <w:pPr>
              <w:spacing w:after="0"/>
              <w:jc w:val="center"/>
              <w:rPr>
                <w:color w:val="000000"/>
                <w:sz w:val="20"/>
                <w:szCs w:val="20"/>
              </w:rPr>
            </w:pPr>
            <w:r w:rsidRPr="00666914">
              <w:rPr>
                <w:color w:val="000000"/>
                <w:sz w:val="20"/>
                <w:szCs w:val="20"/>
              </w:rPr>
              <w:t>27 905</w:t>
            </w:r>
          </w:p>
        </w:tc>
      </w:tr>
      <w:tr w:rsidR="00386F6D" w:rsidRPr="00666914" w14:paraId="6F6A0626" w14:textId="77777777" w:rsidTr="00074E42">
        <w:trPr>
          <w:trHeight w:val="319"/>
        </w:trPr>
        <w:tc>
          <w:tcPr>
            <w:tcW w:w="3059" w:type="dxa"/>
            <w:vMerge/>
            <w:tcBorders>
              <w:top w:val="nil"/>
              <w:left w:val="nil"/>
              <w:bottom w:val="single" w:sz="8" w:space="0" w:color="000000"/>
              <w:right w:val="nil"/>
            </w:tcBorders>
            <w:shd w:val="clear" w:color="auto" w:fill="auto"/>
            <w:vAlign w:val="center"/>
          </w:tcPr>
          <w:p w14:paraId="2A376A13" w14:textId="77777777" w:rsidR="00386F6D" w:rsidRPr="00666914" w:rsidRDefault="00386F6D">
            <w:pPr>
              <w:widowControl w:val="0"/>
              <w:pBdr>
                <w:top w:val="nil"/>
                <w:left w:val="nil"/>
                <w:bottom w:val="nil"/>
                <w:right w:val="nil"/>
                <w:between w:val="nil"/>
              </w:pBdr>
              <w:spacing w:after="0" w:line="276" w:lineRule="auto"/>
              <w:jc w:val="left"/>
              <w:rPr>
                <w:color w:val="000000"/>
                <w:sz w:val="20"/>
                <w:szCs w:val="20"/>
              </w:rPr>
            </w:pPr>
          </w:p>
        </w:tc>
        <w:tc>
          <w:tcPr>
            <w:tcW w:w="1234" w:type="dxa"/>
            <w:tcBorders>
              <w:top w:val="nil"/>
              <w:left w:val="nil"/>
              <w:bottom w:val="nil"/>
              <w:right w:val="nil"/>
            </w:tcBorders>
            <w:shd w:val="clear" w:color="auto" w:fill="auto"/>
            <w:vAlign w:val="center"/>
          </w:tcPr>
          <w:p w14:paraId="2AED1BB8" w14:textId="77777777" w:rsidR="00386F6D" w:rsidRPr="00666914" w:rsidRDefault="00386F6D">
            <w:pPr>
              <w:spacing w:after="0"/>
              <w:jc w:val="left"/>
              <w:rPr>
                <w:b/>
                <w:color w:val="000000"/>
                <w:sz w:val="20"/>
                <w:szCs w:val="20"/>
              </w:rPr>
            </w:pPr>
            <w:r w:rsidRPr="00666914">
              <w:rPr>
                <w:b/>
                <w:color w:val="000000"/>
                <w:sz w:val="20"/>
                <w:szCs w:val="20"/>
              </w:rPr>
              <w:t>FO</w:t>
            </w:r>
          </w:p>
        </w:tc>
        <w:tc>
          <w:tcPr>
            <w:tcW w:w="1234" w:type="dxa"/>
            <w:tcBorders>
              <w:top w:val="nil"/>
              <w:left w:val="nil"/>
              <w:bottom w:val="nil"/>
              <w:right w:val="nil"/>
            </w:tcBorders>
            <w:shd w:val="clear" w:color="auto" w:fill="auto"/>
            <w:vAlign w:val="center"/>
          </w:tcPr>
          <w:p w14:paraId="654D19E3" w14:textId="77777777" w:rsidR="00386F6D" w:rsidRPr="00666914" w:rsidRDefault="00386F6D">
            <w:pPr>
              <w:spacing w:after="0"/>
              <w:jc w:val="center"/>
              <w:rPr>
                <w:color w:val="000000"/>
                <w:sz w:val="20"/>
                <w:szCs w:val="20"/>
              </w:rPr>
            </w:pPr>
            <w:r w:rsidRPr="00666914">
              <w:rPr>
                <w:color w:val="000000"/>
                <w:sz w:val="20"/>
                <w:szCs w:val="20"/>
              </w:rPr>
              <w:t>10 952</w:t>
            </w:r>
          </w:p>
        </w:tc>
        <w:tc>
          <w:tcPr>
            <w:tcW w:w="1234" w:type="dxa"/>
            <w:tcBorders>
              <w:top w:val="nil"/>
              <w:left w:val="nil"/>
              <w:bottom w:val="nil"/>
              <w:right w:val="nil"/>
            </w:tcBorders>
            <w:shd w:val="clear" w:color="auto" w:fill="auto"/>
            <w:vAlign w:val="center"/>
          </w:tcPr>
          <w:p w14:paraId="59E71492" w14:textId="77777777" w:rsidR="00386F6D" w:rsidRPr="00666914" w:rsidRDefault="00386F6D">
            <w:pPr>
              <w:spacing w:after="0"/>
              <w:jc w:val="center"/>
              <w:rPr>
                <w:color w:val="000000"/>
                <w:sz w:val="20"/>
                <w:szCs w:val="20"/>
              </w:rPr>
            </w:pPr>
            <w:r w:rsidRPr="00666914">
              <w:rPr>
                <w:color w:val="000000"/>
                <w:sz w:val="20"/>
                <w:szCs w:val="20"/>
              </w:rPr>
              <w:t>39 439</w:t>
            </w:r>
          </w:p>
        </w:tc>
        <w:tc>
          <w:tcPr>
            <w:tcW w:w="1234" w:type="dxa"/>
            <w:tcBorders>
              <w:top w:val="nil"/>
              <w:left w:val="nil"/>
              <w:bottom w:val="nil"/>
              <w:right w:val="nil"/>
            </w:tcBorders>
            <w:shd w:val="clear" w:color="auto" w:fill="auto"/>
            <w:vAlign w:val="center"/>
          </w:tcPr>
          <w:p w14:paraId="110D0F97" w14:textId="77777777" w:rsidR="00386F6D" w:rsidRPr="00666914" w:rsidRDefault="00386F6D">
            <w:pPr>
              <w:spacing w:after="0"/>
              <w:jc w:val="center"/>
              <w:rPr>
                <w:color w:val="000000"/>
                <w:sz w:val="20"/>
                <w:szCs w:val="20"/>
              </w:rPr>
            </w:pPr>
            <w:r w:rsidRPr="00666914">
              <w:rPr>
                <w:color w:val="000000"/>
                <w:sz w:val="20"/>
                <w:szCs w:val="20"/>
              </w:rPr>
              <w:t>23 072</w:t>
            </w:r>
          </w:p>
        </w:tc>
        <w:tc>
          <w:tcPr>
            <w:tcW w:w="1234" w:type="dxa"/>
            <w:tcBorders>
              <w:top w:val="nil"/>
              <w:left w:val="nil"/>
              <w:bottom w:val="nil"/>
              <w:right w:val="nil"/>
            </w:tcBorders>
            <w:shd w:val="clear" w:color="auto" w:fill="auto"/>
            <w:vAlign w:val="bottom"/>
          </w:tcPr>
          <w:p w14:paraId="3D1BD292" w14:textId="77777777" w:rsidR="00386F6D" w:rsidRPr="00666914" w:rsidRDefault="00386F6D">
            <w:pPr>
              <w:spacing w:after="0"/>
              <w:jc w:val="center"/>
              <w:rPr>
                <w:color w:val="000000"/>
                <w:sz w:val="20"/>
                <w:szCs w:val="20"/>
              </w:rPr>
            </w:pPr>
            <w:r w:rsidRPr="00666914">
              <w:rPr>
                <w:color w:val="000000"/>
                <w:sz w:val="20"/>
                <w:szCs w:val="20"/>
              </w:rPr>
              <w:t>23 013</w:t>
            </w:r>
          </w:p>
        </w:tc>
      </w:tr>
      <w:tr w:rsidR="00386F6D" w:rsidRPr="00666914" w14:paraId="79AD61DD" w14:textId="77777777" w:rsidTr="00074E42">
        <w:trPr>
          <w:trHeight w:val="337"/>
        </w:trPr>
        <w:tc>
          <w:tcPr>
            <w:tcW w:w="3059" w:type="dxa"/>
            <w:vMerge/>
            <w:tcBorders>
              <w:top w:val="nil"/>
              <w:left w:val="nil"/>
              <w:bottom w:val="single" w:sz="8" w:space="0" w:color="000000"/>
              <w:right w:val="nil"/>
            </w:tcBorders>
            <w:shd w:val="clear" w:color="auto" w:fill="auto"/>
            <w:vAlign w:val="center"/>
          </w:tcPr>
          <w:p w14:paraId="517ADB36" w14:textId="77777777" w:rsidR="00386F6D" w:rsidRPr="00666914" w:rsidRDefault="00386F6D">
            <w:pPr>
              <w:widowControl w:val="0"/>
              <w:pBdr>
                <w:top w:val="nil"/>
                <w:left w:val="nil"/>
                <w:bottom w:val="nil"/>
                <w:right w:val="nil"/>
                <w:between w:val="nil"/>
              </w:pBdr>
              <w:spacing w:after="0" w:line="276" w:lineRule="auto"/>
              <w:jc w:val="left"/>
              <w:rPr>
                <w:color w:val="000000"/>
                <w:sz w:val="20"/>
                <w:szCs w:val="20"/>
              </w:rPr>
            </w:pPr>
          </w:p>
        </w:tc>
        <w:tc>
          <w:tcPr>
            <w:tcW w:w="1234" w:type="dxa"/>
            <w:tcBorders>
              <w:top w:val="nil"/>
              <w:left w:val="nil"/>
              <w:bottom w:val="single" w:sz="8" w:space="0" w:color="000000"/>
              <w:right w:val="nil"/>
            </w:tcBorders>
            <w:shd w:val="clear" w:color="auto" w:fill="auto"/>
            <w:vAlign w:val="center"/>
          </w:tcPr>
          <w:p w14:paraId="713886BF" w14:textId="77777777" w:rsidR="00386F6D" w:rsidRPr="00666914" w:rsidRDefault="00386F6D">
            <w:pPr>
              <w:spacing w:after="0"/>
              <w:jc w:val="left"/>
              <w:rPr>
                <w:b/>
                <w:color w:val="000000"/>
                <w:sz w:val="20"/>
                <w:szCs w:val="20"/>
              </w:rPr>
            </w:pPr>
            <w:r w:rsidRPr="00666914">
              <w:rPr>
                <w:b/>
                <w:color w:val="000000"/>
                <w:sz w:val="20"/>
                <w:szCs w:val="20"/>
              </w:rPr>
              <w:t>Celkom</w:t>
            </w:r>
          </w:p>
        </w:tc>
        <w:tc>
          <w:tcPr>
            <w:tcW w:w="1234" w:type="dxa"/>
            <w:tcBorders>
              <w:top w:val="nil"/>
              <w:left w:val="nil"/>
              <w:bottom w:val="single" w:sz="8" w:space="0" w:color="000000"/>
              <w:right w:val="nil"/>
            </w:tcBorders>
            <w:shd w:val="clear" w:color="auto" w:fill="auto"/>
            <w:vAlign w:val="center"/>
          </w:tcPr>
          <w:p w14:paraId="20964F51" w14:textId="77777777" w:rsidR="00386F6D" w:rsidRPr="00666914" w:rsidRDefault="00386F6D">
            <w:pPr>
              <w:spacing w:after="0"/>
              <w:jc w:val="center"/>
              <w:rPr>
                <w:color w:val="000000"/>
                <w:sz w:val="20"/>
                <w:szCs w:val="20"/>
              </w:rPr>
            </w:pPr>
            <w:r w:rsidRPr="00666914">
              <w:rPr>
                <w:color w:val="000000"/>
                <w:sz w:val="20"/>
                <w:szCs w:val="20"/>
              </w:rPr>
              <w:t>41 622</w:t>
            </w:r>
          </w:p>
        </w:tc>
        <w:tc>
          <w:tcPr>
            <w:tcW w:w="1234" w:type="dxa"/>
            <w:tcBorders>
              <w:top w:val="nil"/>
              <w:left w:val="nil"/>
              <w:bottom w:val="single" w:sz="8" w:space="0" w:color="000000"/>
              <w:right w:val="nil"/>
            </w:tcBorders>
            <w:shd w:val="clear" w:color="auto" w:fill="auto"/>
            <w:vAlign w:val="center"/>
          </w:tcPr>
          <w:p w14:paraId="416D88B4" w14:textId="77777777" w:rsidR="00386F6D" w:rsidRPr="00666914" w:rsidRDefault="00386F6D">
            <w:pPr>
              <w:spacing w:after="0"/>
              <w:jc w:val="center"/>
              <w:rPr>
                <w:color w:val="000000"/>
                <w:sz w:val="20"/>
                <w:szCs w:val="20"/>
              </w:rPr>
            </w:pPr>
            <w:r w:rsidRPr="00666914">
              <w:rPr>
                <w:color w:val="000000"/>
                <w:sz w:val="20"/>
                <w:szCs w:val="20"/>
              </w:rPr>
              <w:t>298 912</w:t>
            </w:r>
          </w:p>
        </w:tc>
        <w:tc>
          <w:tcPr>
            <w:tcW w:w="1234" w:type="dxa"/>
            <w:tcBorders>
              <w:top w:val="nil"/>
              <w:left w:val="nil"/>
              <w:bottom w:val="single" w:sz="8" w:space="0" w:color="000000"/>
              <w:right w:val="nil"/>
            </w:tcBorders>
            <w:shd w:val="clear" w:color="auto" w:fill="auto"/>
            <w:vAlign w:val="center"/>
          </w:tcPr>
          <w:p w14:paraId="222236A9" w14:textId="77777777" w:rsidR="00386F6D" w:rsidRPr="00666914" w:rsidRDefault="00386F6D">
            <w:pPr>
              <w:spacing w:after="0"/>
              <w:jc w:val="center"/>
              <w:rPr>
                <w:color w:val="000000"/>
                <w:sz w:val="20"/>
                <w:szCs w:val="20"/>
              </w:rPr>
            </w:pPr>
            <w:r w:rsidRPr="00666914">
              <w:rPr>
                <w:color w:val="000000"/>
                <w:sz w:val="20"/>
                <w:szCs w:val="20"/>
              </w:rPr>
              <w:t>50 221</w:t>
            </w:r>
          </w:p>
        </w:tc>
        <w:tc>
          <w:tcPr>
            <w:tcW w:w="1234" w:type="dxa"/>
            <w:tcBorders>
              <w:top w:val="nil"/>
              <w:left w:val="nil"/>
              <w:bottom w:val="single" w:sz="8" w:space="0" w:color="000000"/>
              <w:right w:val="nil"/>
            </w:tcBorders>
            <w:shd w:val="clear" w:color="auto" w:fill="auto"/>
            <w:vAlign w:val="center"/>
          </w:tcPr>
          <w:p w14:paraId="1597BFFF" w14:textId="77777777" w:rsidR="00386F6D" w:rsidRPr="00666914" w:rsidRDefault="00386F6D">
            <w:pPr>
              <w:spacing w:after="0"/>
              <w:jc w:val="center"/>
              <w:rPr>
                <w:color w:val="000000"/>
                <w:sz w:val="20"/>
                <w:szCs w:val="20"/>
              </w:rPr>
            </w:pPr>
            <w:r w:rsidRPr="00666914">
              <w:rPr>
                <w:color w:val="000000"/>
                <w:sz w:val="20"/>
                <w:szCs w:val="20"/>
              </w:rPr>
              <w:t>51 075</w:t>
            </w:r>
          </w:p>
        </w:tc>
      </w:tr>
    </w:tbl>
    <w:p w14:paraId="0B905F63" w14:textId="77777777" w:rsidR="00386F6D" w:rsidRPr="00666914" w:rsidRDefault="00386F6D" w:rsidP="00905BD2">
      <w:pPr>
        <w:spacing w:after="0"/>
        <w:jc w:val="right"/>
        <w:rPr>
          <w:i/>
          <w:sz w:val="18"/>
          <w:szCs w:val="18"/>
        </w:rPr>
      </w:pPr>
      <w:r w:rsidRPr="00666914">
        <w:rPr>
          <w:i/>
          <w:sz w:val="18"/>
          <w:szCs w:val="18"/>
        </w:rPr>
        <w:t>Zdroj: NASES</w:t>
      </w:r>
    </w:p>
    <w:p w14:paraId="3CA8156F" w14:textId="77777777" w:rsidR="00386F6D" w:rsidRPr="00666914" w:rsidRDefault="00386F6D">
      <w:pPr>
        <w:spacing w:after="0"/>
        <w:rPr>
          <w:b/>
        </w:rPr>
      </w:pPr>
    </w:p>
    <w:p w14:paraId="174B0D35" w14:textId="77777777" w:rsidR="00386F6D" w:rsidRPr="00666914" w:rsidRDefault="00386F6D" w:rsidP="00131B23">
      <w:pPr>
        <w:numPr>
          <w:ilvl w:val="0"/>
          <w:numId w:val="16"/>
        </w:numPr>
        <w:spacing w:after="0" w:line="259" w:lineRule="auto"/>
        <w:rPr>
          <w:b/>
          <w:u w:val="single"/>
        </w:rPr>
      </w:pPr>
      <w:r w:rsidRPr="00666914">
        <w:rPr>
          <w:b/>
          <w:u w:val="single"/>
        </w:rPr>
        <w:t>Vytvoriť záväzný UX manuál pre vládne služby</w:t>
      </w:r>
    </w:p>
    <w:p w14:paraId="3546617A" w14:textId="77777777" w:rsidR="00386F6D" w:rsidRPr="00666914" w:rsidRDefault="00386F6D">
      <w:pPr>
        <w:spacing w:after="0"/>
        <w:rPr>
          <w:b/>
          <w:u w:val="single"/>
        </w:rPr>
      </w:pPr>
    </w:p>
    <w:p w14:paraId="68165A23" w14:textId="77777777" w:rsidR="00386F6D" w:rsidRPr="00666914" w:rsidRDefault="00386F6D">
      <w:pPr>
        <w:spacing w:after="0"/>
      </w:pPr>
      <w:r w:rsidRPr="00666914">
        <w:rPr>
          <w:b/>
        </w:rPr>
        <w:t xml:space="preserve">Opatrenie je k 12/2019 čiastočne splnené, dizajn manuál bol vytvorený, nie je ale záväzný pre všetky poskytované elektronické služby. </w:t>
      </w:r>
      <w:r w:rsidRPr="00666914">
        <w:t>Jednotný dizajn manuál elektronických služieb má zjednotiť požívateľské rozhrania a spôsob komunikácie s používateľom pri poskytovaní elektronických služieb štátu. Manuál bol vytvorený a zverejnený</w:t>
      </w:r>
      <w:r w:rsidRPr="00666914">
        <w:rPr>
          <w:vertAlign w:val="superscript"/>
        </w:rPr>
        <w:footnoteReference w:id="132"/>
      </w:r>
      <w:r w:rsidRPr="00666914">
        <w:t xml:space="preserve"> v roku 2018. Bol vydaný metodickým usmernením ÚPVII, má však len odporúčací charakter – </w:t>
      </w:r>
      <w:sdt>
        <w:sdtPr>
          <w:tag w:val="goog_rdk_22"/>
          <w:id w:val="-2057152294"/>
        </w:sdtPr>
        <w:sdtEndPr/>
        <w:sdtContent/>
      </w:sdt>
      <w:r w:rsidRPr="00666914">
        <w:t xml:space="preserve">jednotliví poskytovatelia služieb tak nie sú povinní sa manuálom pri dizajne nimi poskytovaných služieb riadiť. </w:t>
      </w:r>
    </w:p>
    <w:p w14:paraId="3C8CE23B" w14:textId="77777777" w:rsidR="00386F6D" w:rsidRPr="00666914" w:rsidRDefault="00386F6D">
      <w:pPr>
        <w:spacing w:after="0"/>
      </w:pPr>
    </w:p>
    <w:p w14:paraId="56C721D1" w14:textId="32D8131E" w:rsidR="00386F6D" w:rsidRPr="00666914" w:rsidRDefault="00386F6D" w:rsidP="003546A3">
      <w:r w:rsidRPr="00666914">
        <w:rPr>
          <w:b/>
        </w:rPr>
        <w:t>IJ odporúča, aby bol dizajn manuál pravidelne aktualizovaný na základe spätnej väzby od používateľov a používaný pre všetky poskytované služby štátu</w:t>
      </w:r>
      <w:r w:rsidRPr="00666914">
        <w:t xml:space="preserve">. Záväznosť manuálu je možné prijať napr. uznesením vlády </w:t>
      </w:r>
      <w:r w:rsidRPr="00666914">
        <w:lastRenderedPageBreak/>
        <w:t xml:space="preserve">s následným zverejnením služieb, ktoré nie sú v súlade s dizajn manuálom, či </w:t>
      </w:r>
      <w:sdt>
        <w:sdtPr>
          <w:tag w:val="goog_rdk_23"/>
          <w:id w:val="-943838265"/>
        </w:sdtPr>
        <w:sdtEndPr/>
        <w:sdtContent/>
      </w:sdt>
      <w:r w:rsidRPr="00666914">
        <w:t xml:space="preserve">zverejniť </w:t>
      </w:r>
      <w:sdt>
        <w:sdtPr>
          <w:tag w:val="goog_rdk_24"/>
          <w:id w:val="-1227750837"/>
        </w:sdtPr>
        <w:sdtEndPr/>
        <w:sdtContent/>
      </w:sdt>
      <w:r w:rsidRPr="00666914">
        <w:t xml:space="preserve">dashboard s hodnotením (zelená, červená) tých orgánov verejnej moci, ktorí sa týmto manuálom riadia, resp. neriadia a zmeny nerealizujú. </w:t>
      </w:r>
    </w:p>
    <w:p w14:paraId="30692073" w14:textId="77777777" w:rsidR="00386F6D" w:rsidRPr="00666914" w:rsidRDefault="00386F6D" w:rsidP="00131B23">
      <w:pPr>
        <w:numPr>
          <w:ilvl w:val="0"/>
          <w:numId w:val="16"/>
        </w:numPr>
        <w:spacing w:after="0" w:line="259" w:lineRule="auto"/>
        <w:rPr>
          <w:b/>
          <w:u w:val="single"/>
        </w:rPr>
      </w:pPr>
      <w:r w:rsidRPr="00666914">
        <w:rPr>
          <w:b/>
          <w:u w:val="single"/>
        </w:rPr>
        <w:t>Otvoriť eID podnikateľom sprístupnením API</w:t>
      </w:r>
    </w:p>
    <w:p w14:paraId="4C0EA73B" w14:textId="77777777" w:rsidR="00386F6D" w:rsidRPr="00666914" w:rsidRDefault="00386F6D">
      <w:pPr>
        <w:spacing w:after="0"/>
        <w:rPr>
          <w:b/>
          <w:u w:val="single"/>
        </w:rPr>
      </w:pPr>
    </w:p>
    <w:p w14:paraId="693258E6" w14:textId="77777777" w:rsidR="00386F6D" w:rsidRPr="00666914" w:rsidRDefault="00386F6D">
      <w:pPr>
        <w:spacing w:after="80"/>
        <w:rPr>
          <w:b/>
        </w:rPr>
      </w:pPr>
      <w:r w:rsidRPr="00666914">
        <w:t xml:space="preserve">Pri vytváraní eID bolo jedno z plánovaných využití nového elektronického občianskeho preukazu aj jeho využitie mimo služieb štátnej správy. Využitie v súkromnom sektore otváralo možnosti širšieho využitia eID napr. pri autentifikácii služieb finančných inštitúcií, autentifikáciu v online obchode či podpisovaní zmlúv. S týmto využitím počítal aj NP Elektronická identifikačná karta v rámci projektov OPIS. </w:t>
      </w:r>
    </w:p>
    <w:p w14:paraId="705810C1" w14:textId="4CF26234" w:rsidR="00386F6D" w:rsidRPr="00666914" w:rsidRDefault="00386F6D" w:rsidP="003546A3">
      <w:pPr>
        <w:shd w:val="clear" w:color="auto" w:fill="FFFFFF"/>
        <w:spacing w:before="80"/>
        <w:rPr>
          <w:b/>
        </w:rPr>
      </w:pPr>
      <w:r w:rsidRPr="00666914">
        <w:t>Projekt Elektronická identifikačná karta bol podporený v roku 2009 sumou 46,5 mil. eur</w:t>
      </w:r>
      <w:r w:rsidRPr="00666914">
        <w:rPr>
          <w:vertAlign w:val="superscript"/>
        </w:rPr>
        <w:footnoteReference w:id="133"/>
      </w:r>
      <w:r w:rsidRPr="00666914">
        <w:t xml:space="preserve">, pri jeho realizácii ale nedošlo k plnému sprístupneniu funkcionalít eID pre tretie strany. Integrácia eID na služby tretích strán je možná, podľa stanoviska MV SR ale nie je záujem na jej využitie. </w:t>
      </w:r>
      <w:r w:rsidRPr="00666914">
        <w:rPr>
          <w:b/>
        </w:rPr>
        <w:t>K sprístupneniu API eID nedošlo</w:t>
      </w:r>
      <w:r w:rsidRPr="00666914">
        <w:t>, podľa MV SR z dôvodu bezpečnosti a ochrany osobných údajov.</w:t>
      </w:r>
      <w:r w:rsidRPr="00666914">
        <w:rPr>
          <w:b/>
        </w:rPr>
        <w:t xml:space="preserve"> Opatrenie sa k 31.12.2019 neplní.</w:t>
      </w:r>
    </w:p>
    <w:p w14:paraId="7D879FD7" w14:textId="77777777" w:rsidR="00386F6D" w:rsidRPr="00666914" w:rsidRDefault="00386F6D" w:rsidP="00131B23">
      <w:pPr>
        <w:numPr>
          <w:ilvl w:val="0"/>
          <w:numId w:val="16"/>
        </w:numPr>
        <w:spacing w:after="0" w:line="259" w:lineRule="auto"/>
        <w:rPr>
          <w:b/>
          <w:u w:val="single"/>
        </w:rPr>
      </w:pPr>
      <w:r w:rsidRPr="00666914">
        <w:rPr>
          <w:b/>
          <w:u w:val="single"/>
        </w:rPr>
        <w:t>Preskúmať alternatívne spôsoby overenia identity</w:t>
      </w:r>
    </w:p>
    <w:p w14:paraId="570BF251" w14:textId="77777777" w:rsidR="00386F6D" w:rsidRPr="00666914" w:rsidRDefault="00386F6D">
      <w:pPr>
        <w:spacing w:after="0"/>
        <w:rPr>
          <w:b/>
          <w:u w:val="single"/>
        </w:rPr>
      </w:pPr>
    </w:p>
    <w:p w14:paraId="005BE6F8" w14:textId="77777777" w:rsidR="00386F6D" w:rsidRPr="00666914" w:rsidRDefault="00C45DA3">
      <w:pPr>
        <w:spacing w:after="0"/>
      </w:pPr>
      <w:sdt>
        <w:sdtPr>
          <w:tag w:val="goog_rdk_25"/>
          <w:id w:val="802967091"/>
        </w:sdtPr>
        <w:sdtEndPr/>
        <w:sdtContent/>
      </w:sdt>
      <w:r w:rsidR="00386F6D" w:rsidRPr="00666914">
        <w:rPr>
          <w:b/>
        </w:rPr>
        <w:t xml:space="preserve">Na vyhodnotenie opatrenia neboli napriek žiadosti IJ ÚV SR poskytnuté podklady, preto pokrok pri plnení opatrenia nie je možné vyhodnotiť. </w:t>
      </w:r>
      <w:r w:rsidR="00386F6D" w:rsidRPr="00666914">
        <w:t>IJ ÚV SR má k dispozícii prezentáciu projektu s plánovaným termínom realizácie prvej etapy v termíne 02/2020. Nie je jasné, prečo nebol uvedený termín splne</w:t>
      </w:r>
      <w:sdt>
        <w:sdtPr>
          <w:tag w:val="goog_rdk_26"/>
          <w:id w:val="-1646038889"/>
        </w:sdtPr>
        <w:sdtEndPr/>
        <w:sdtContent/>
      </w:sdt>
      <w:sdt>
        <w:sdtPr>
          <w:tag w:val="goog_rdk_27"/>
          <w:id w:val="-1691371958"/>
        </w:sdtPr>
        <w:sdtEndPr/>
        <w:sdtContent/>
      </w:sdt>
      <w:sdt>
        <w:sdtPr>
          <w:tag w:val="goog_rdk_28"/>
          <w:id w:val="-1819720179"/>
        </w:sdtPr>
        <w:sdtEndPr/>
        <w:sdtContent/>
      </w:sdt>
      <w:sdt>
        <w:sdtPr>
          <w:tag w:val="goog_rdk_29"/>
          <w:id w:val="-1490705984"/>
        </w:sdtPr>
        <w:sdtEndPr/>
        <w:sdtContent/>
      </w:sdt>
      <w:r w:rsidR="00386F6D" w:rsidRPr="00666914">
        <w:t>ný, známy nie je ani súčasný stav projektu. IJ ÚV SR žiadala o poskytnutie údajov NASES aj ÚPVII, podklady potrebné na vyhodnotenie neboli napriek tomu počas prípravy SIS 2019 poskytnuté.</w:t>
      </w:r>
    </w:p>
    <w:p w14:paraId="60B86DE4" w14:textId="77777777" w:rsidR="00386F6D" w:rsidRPr="00666914" w:rsidRDefault="00386F6D">
      <w:pPr>
        <w:spacing w:before="240" w:after="0"/>
      </w:pPr>
      <w:r w:rsidRPr="00666914">
        <w:t xml:space="preserve">Napriek tomu, že termín realizácie projektu bol podľa NKIVS stanovený na rok 2017, detaily projektu NASES niekoľkokrát zmenil a projekt sa nepodarilo realizovať ani do 12/2019. Ide pritom o dôležité riešenie na podporenie využívania elektronických služieb. Mobilné prihlasovanie by pri bežnom prihlasovaní nahrádzalo občiansky preukaz, čím by sa významne uľahčil prístup k elektronickým službám štátu. Prihlasovanie mobilnými zariadeniami pre rôzne elektronické služby je štandardom v súkromnom aj verejnom sektore. Okrem Estónska využíva mobilné ID napríklad aj </w:t>
      </w:r>
      <w:sdt>
        <w:sdtPr>
          <w:tag w:val="goog_rdk_30"/>
          <w:id w:val="1940405446"/>
        </w:sdtPr>
        <w:sdtEndPr/>
        <w:sdtContent/>
      </w:sdt>
      <w:r w:rsidRPr="00666914">
        <w:t xml:space="preserve">Rakúsko </w:t>
      </w:r>
      <w:sdt>
        <w:sdtPr>
          <w:tag w:val="goog_rdk_31"/>
          <w:id w:val="-1055310082"/>
        </w:sdtPr>
        <w:sdtEndPr/>
        <w:sdtContent/>
      </w:sdt>
      <w:r w:rsidRPr="00666914">
        <w:t>a dokonca Moldavsko</w:t>
      </w:r>
      <w:r w:rsidRPr="00666914">
        <w:rPr>
          <w:vertAlign w:val="superscript"/>
        </w:rPr>
        <w:footnoteReference w:id="134"/>
      </w:r>
      <w:r w:rsidRPr="00666914">
        <w:t>.</w:t>
      </w:r>
    </w:p>
    <w:p w14:paraId="1E5CADB5" w14:textId="77777777" w:rsidR="00386F6D" w:rsidRPr="00666914" w:rsidRDefault="00386F6D">
      <w:pPr>
        <w:spacing w:after="0" w:line="259" w:lineRule="auto"/>
        <w:jc w:val="left"/>
      </w:pPr>
    </w:p>
    <w:p w14:paraId="6480AD80" w14:textId="77777777" w:rsidR="00386F6D" w:rsidRPr="00666914" w:rsidRDefault="00386F6D" w:rsidP="009F7DB5">
      <w:pPr>
        <w:pStyle w:val="Nadpis2"/>
      </w:pPr>
      <w:bookmarkStart w:id="268" w:name="_heading=h.1ksv4uv" w:colFirst="0" w:colLast="0"/>
      <w:bookmarkStart w:id="269" w:name="_Toc38447599"/>
      <w:bookmarkEnd w:id="268"/>
      <w:r w:rsidRPr="00666914">
        <w:t>Riadenie</w:t>
      </w:r>
      <w:bookmarkEnd w:id="269"/>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36"/>
        <w:gridCol w:w="3035"/>
        <w:gridCol w:w="1449"/>
        <w:gridCol w:w="1013"/>
        <w:gridCol w:w="1013"/>
        <w:gridCol w:w="596"/>
        <w:gridCol w:w="594"/>
        <w:gridCol w:w="594"/>
        <w:gridCol w:w="582"/>
      </w:tblGrid>
      <w:tr w:rsidR="009E7092" w:rsidRPr="00666914" w14:paraId="4356D924" w14:textId="77777777" w:rsidTr="009E7092">
        <w:trPr>
          <w:trHeight w:val="554"/>
        </w:trPr>
        <w:tc>
          <w:tcPr>
            <w:tcW w:w="436" w:type="dxa"/>
            <w:shd w:val="clear" w:color="auto" w:fill="auto"/>
            <w:vAlign w:val="center"/>
          </w:tcPr>
          <w:p w14:paraId="378D02E8" w14:textId="77777777" w:rsidR="00386F6D" w:rsidRPr="00666914" w:rsidRDefault="00386F6D">
            <w:pPr>
              <w:spacing w:after="0"/>
              <w:jc w:val="center"/>
              <w:rPr>
                <w:color w:val="000000"/>
                <w:sz w:val="20"/>
                <w:szCs w:val="20"/>
              </w:rPr>
            </w:pPr>
            <w:r w:rsidRPr="00666914">
              <w:rPr>
                <w:color w:val="000000"/>
                <w:sz w:val="20"/>
                <w:szCs w:val="20"/>
              </w:rPr>
              <w:t> </w:t>
            </w:r>
          </w:p>
        </w:tc>
        <w:tc>
          <w:tcPr>
            <w:tcW w:w="3035" w:type="dxa"/>
            <w:shd w:val="clear" w:color="auto" w:fill="auto"/>
            <w:vAlign w:val="center"/>
          </w:tcPr>
          <w:p w14:paraId="37B55E57" w14:textId="77777777" w:rsidR="00386F6D" w:rsidRPr="00666914" w:rsidRDefault="00386F6D">
            <w:pPr>
              <w:spacing w:after="0"/>
              <w:jc w:val="center"/>
              <w:rPr>
                <w:b/>
                <w:color w:val="000000"/>
                <w:sz w:val="20"/>
                <w:szCs w:val="20"/>
              </w:rPr>
            </w:pPr>
            <w:r w:rsidRPr="00666914">
              <w:rPr>
                <w:b/>
                <w:color w:val="000000"/>
                <w:sz w:val="20"/>
                <w:szCs w:val="20"/>
              </w:rPr>
              <w:t>Opatrenie</w:t>
            </w:r>
          </w:p>
        </w:tc>
        <w:tc>
          <w:tcPr>
            <w:tcW w:w="1449" w:type="dxa"/>
            <w:shd w:val="clear" w:color="auto" w:fill="auto"/>
            <w:vAlign w:val="center"/>
          </w:tcPr>
          <w:p w14:paraId="43F10433" w14:textId="77777777" w:rsidR="00386F6D" w:rsidRPr="00666914" w:rsidRDefault="00386F6D">
            <w:pPr>
              <w:spacing w:after="0"/>
              <w:jc w:val="center"/>
              <w:rPr>
                <w:b/>
                <w:color w:val="000000"/>
                <w:sz w:val="20"/>
                <w:szCs w:val="20"/>
              </w:rPr>
            </w:pPr>
            <w:r w:rsidRPr="00666914">
              <w:rPr>
                <w:b/>
                <w:color w:val="000000"/>
                <w:sz w:val="20"/>
                <w:szCs w:val="20"/>
              </w:rPr>
              <w:t>Zodpovednosť</w:t>
            </w:r>
          </w:p>
        </w:tc>
        <w:tc>
          <w:tcPr>
            <w:tcW w:w="1013" w:type="dxa"/>
            <w:shd w:val="clear" w:color="auto" w:fill="auto"/>
            <w:vAlign w:val="center"/>
          </w:tcPr>
          <w:p w14:paraId="103AF524" w14:textId="77777777" w:rsidR="00386F6D" w:rsidRPr="00666914" w:rsidRDefault="00386F6D">
            <w:pPr>
              <w:spacing w:after="0"/>
              <w:jc w:val="center"/>
              <w:rPr>
                <w:b/>
                <w:color w:val="000000"/>
                <w:sz w:val="20"/>
                <w:szCs w:val="20"/>
              </w:rPr>
            </w:pPr>
            <w:r w:rsidRPr="00666914">
              <w:rPr>
                <w:b/>
                <w:color w:val="000000"/>
                <w:sz w:val="20"/>
                <w:szCs w:val="20"/>
              </w:rPr>
              <w:t>Termín plnenia</w:t>
            </w:r>
          </w:p>
        </w:tc>
        <w:tc>
          <w:tcPr>
            <w:tcW w:w="1013" w:type="dxa"/>
            <w:vAlign w:val="center"/>
          </w:tcPr>
          <w:p w14:paraId="40DB2D09" w14:textId="77777777" w:rsidR="00386F6D" w:rsidRPr="00666914" w:rsidRDefault="00386F6D">
            <w:pPr>
              <w:spacing w:after="0"/>
              <w:jc w:val="center"/>
              <w:rPr>
                <w:b/>
                <w:color w:val="000000"/>
                <w:sz w:val="20"/>
                <w:szCs w:val="20"/>
              </w:rPr>
            </w:pPr>
            <w:r w:rsidRPr="00666914">
              <w:rPr>
                <w:b/>
                <w:color w:val="000000"/>
                <w:sz w:val="20"/>
                <w:szCs w:val="20"/>
              </w:rPr>
              <w:t>Nový termín</w:t>
            </w:r>
          </w:p>
        </w:tc>
        <w:tc>
          <w:tcPr>
            <w:tcW w:w="596" w:type="dxa"/>
            <w:shd w:val="clear" w:color="auto" w:fill="auto"/>
            <w:vAlign w:val="center"/>
          </w:tcPr>
          <w:p w14:paraId="335B8CA2" w14:textId="77777777" w:rsidR="00386F6D" w:rsidRPr="00666914" w:rsidRDefault="00386F6D">
            <w:pPr>
              <w:spacing w:after="0"/>
              <w:jc w:val="center"/>
              <w:rPr>
                <w:b/>
                <w:color w:val="000000"/>
                <w:sz w:val="20"/>
                <w:szCs w:val="20"/>
              </w:rPr>
            </w:pPr>
            <w:r w:rsidRPr="00666914">
              <w:rPr>
                <w:b/>
                <w:color w:val="000000"/>
                <w:sz w:val="20"/>
                <w:szCs w:val="20"/>
              </w:rPr>
              <w:t>1Q 2019</w:t>
            </w:r>
          </w:p>
        </w:tc>
        <w:tc>
          <w:tcPr>
            <w:tcW w:w="594" w:type="dxa"/>
            <w:shd w:val="clear" w:color="auto" w:fill="auto"/>
            <w:vAlign w:val="center"/>
          </w:tcPr>
          <w:p w14:paraId="5A2EFEF0" w14:textId="77777777" w:rsidR="00386F6D" w:rsidRPr="00666914" w:rsidRDefault="00386F6D">
            <w:pPr>
              <w:spacing w:after="0"/>
              <w:jc w:val="center"/>
              <w:rPr>
                <w:b/>
                <w:color w:val="000000"/>
                <w:sz w:val="20"/>
                <w:szCs w:val="20"/>
              </w:rPr>
            </w:pPr>
            <w:r w:rsidRPr="00666914">
              <w:rPr>
                <w:b/>
                <w:color w:val="000000"/>
                <w:sz w:val="20"/>
                <w:szCs w:val="20"/>
              </w:rPr>
              <w:t>2Q 2019</w:t>
            </w:r>
          </w:p>
        </w:tc>
        <w:tc>
          <w:tcPr>
            <w:tcW w:w="594" w:type="dxa"/>
            <w:shd w:val="clear" w:color="auto" w:fill="auto"/>
            <w:vAlign w:val="center"/>
          </w:tcPr>
          <w:p w14:paraId="57F72017" w14:textId="77777777" w:rsidR="00386F6D" w:rsidRPr="00666914" w:rsidRDefault="00386F6D">
            <w:pPr>
              <w:spacing w:after="0"/>
              <w:jc w:val="center"/>
              <w:rPr>
                <w:b/>
                <w:color w:val="000000"/>
                <w:sz w:val="20"/>
                <w:szCs w:val="20"/>
              </w:rPr>
            </w:pPr>
            <w:r w:rsidRPr="00666914">
              <w:rPr>
                <w:b/>
                <w:color w:val="000000"/>
                <w:sz w:val="20"/>
                <w:szCs w:val="20"/>
              </w:rPr>
              <w:t>3Q 2019</w:t>
            </w:r>
          </w:p>
        </w:tc>
        <w:tc>
          <w:tcPr>
            <w:tcW w:w="582" w:type="dxa"/>
            <w:shd w:val="clear" w:color="auto" w:fill="auto"/>
            <w:vAlign w:val="center"/>
          </w:tcPr>
          <w:p w14:paraId="3E970991" w14:textId="77777777" w:rsidR="00386F6D" w:rsidRPr="00666914" w:rsidRDefault="00386F6D">
            <w:pPr>
              <w:spacing w:after="0"/>
              <w:jc w:val="center"/>
              <w:rPr>
                <w:b/>
                <w:color w:val="000000"/>
                <w:sz w:val="20"/>
                <w:szCs w:val="20"/>
              </w:rPr>
            </w:pPr>
            <w:r w:rsidRPr="00666914">
              <w:rPr>
                <w:b/>
                <w:color w:val="000000"/>
                <w:sz w:val="20"/>
                <w:szCs w:val="20"/>
              </w:rPr>
              <w:t>4Q 2019</w:t>
            </w:r>
          </w:p>
        </w:tc>
      </w:tr>
      <w:tr w:rsidR="009E7092" w:rsidRPr="00666914" w14:paraId="2A1A10F3" w14:textId="77777777" w:rsidTr="009E7092">
        <w:trPr>
          <w:trHeight w:val="334"/>
        </w:trPr>
        <w:tc>
          <w:tcPr>
            <w:tcW w:w="436" w:type="dxa"/>
            <w:shd w:val="clear" w:color="auto" w:fill="auto"/>
            <w:vAlign w:val="center"/>
          </w:tcPr>
          <w:p w14:paraId="75D50F45" w14:textId="77777777" w:rsidR="00386F6D" w:rsidRPr="00666914" w:rsidRDefault="00386F6D">
            <w:pPr>
              <w:spacing w:after="0"/>
              <w:jc w:val="center"/>
              <w:rPr>
                <w:color w:val="000000"/>
                <w:sz w:val="20"/>
                <w:szCs w:val="20"/>
              </w:rPr>
            </w:pPr>
            <w:r w:rsidRPr="00666914">
              <w:rPr>
                <w:color w:val="000000"/>
                <w:sz w:val="20"/>
                <w:szCs w:val="20"/>
              </w:rPr>
              <w:t>9</w:t>
            </w:r>
          </w:p>
        </w:tc>
        <w:tc>
          <w:tcPr>
            <w:tcW w:w="3035" w:type="dxa"/>
            <w:shd w:val="clear" w:color="auto" w:fill="auto"/>
            <w:vAlign w:val="center"/>
          </w:tcPr>
          <w:p w14:paraId="09B7B811" w14:textId="77777777" w:rsidR="00386F6D" w:rsidRPr="00666914" w:rsidRDefault="00386F6D">
            <w:pPr>
              <w:spacing w:after="0"/>
              <w:jc w:val="left"/>
              <w:rPr>
                <w:color w:val="000000"/>
                <w:sz w:val="20"/>
                <w:szCs w:val="20"/>
              </w:rPr>
            </w:pPr>
            <w:r w:rsidRPr="00666914">
              <w:rPr>
                <w:color w:val="000000"/>
                <w:sz w:val="20"/>
                <w:szCs w:val="20"/>
              </w:rPr>
              <w:t>Centrálne riadiť a nakupovať komoditné IT ako sú licencie</w:t>
            </w:r>
          </w:p>
        </w:tc>
        <w:tc>
          <w:tcPr>
            <w:tcW w:w="1449" w:type="dxa"/>
            <w:shd w:val="clear" w:color="auto" w:fill="auto"/>
            <w:vAlign w:val="center"/>
          </w:tcPr>
          <w:p w14:paraId="681D0A2A" w14:textId="77777777" w:rsidR="00386F6D" w:rsidRPr="00666914" w:rsidRDefault="00386F6D">
            <w:pPr>
              <w:spacing w:after="0"/>
              <w:jc w:val="center"/>
              <w:rPr>
                <w:color w:val="000000"/>
                <w:sz w:val="20"/>
                <w:szCs w:val="20"/>
              </w:rPr>
            </w:pPr>
            <w:r w:rsidRPr="00666914">
              <w:rPr>
                <w:color w:val="000000"/>
                <w:sz w:val="20"/>
                <w:szCs w:val="20"/>
              </w:rPr>
              <w:t xml:space="preserve">ÚPVII, MF SR </w:t>
            </w:r>
          </w:p>
        </w:tc>
        <w:tc>
          <w:tcPr>
            <w:tcW w:w="1013" w:type="dxa"/>
            <w:shd w:val="clear" w:color="auto" w:fill="auto"/>
            <w:vAlign w:val="center"/>
          </w:tcPr>
          <w:p w14:paraId="3D1BCA9E" w14:textId="77777777" w:rsidR="00386F6D" w:rsidRPr="00666914" w:rsidRDefault="00386F6D">
            <w:pPr>
              <w:spacing w:after="0"/>
              <w:jc w:val="center"/>
              <w:rPr>
                <w:color w:val="000000"/>
                <w:sz w:val="20"/>
                <w:szCs w:val="20"/>
              </w:rPr>
            </w:pPr>
            <w:r w:rsidRPr="00666914">
              <w:rPr>
                <w:color w:val="000000"/>
                <w:sz w:val="20"/>
                <w:szCs w:val="20"/>
              </w:rPr>
              <w:t>30.1.2018</w:t>
            </w:r>
          </w:p>
        </w:tc>
        <w:tc>
          <w:tcPr>
            <w:tcW w:w="1013" w:type="dxa"/>
            <w:vAlign w:val="center"/>
          </w:tcPr>
          <w:p w14:paraId="6E38F5AC" w14:textId="77777777" w:rsidR="00386F6D" w:rsidRPr="00666914" w:rsidRDefault="00386F6D">
            <w:pPr>
              <w:spacing w:after="0"/>
              <w:jc w:val="center"/>
              <w:rPr>
                <w:color w:val="000000"/>
                <w:sz w:val="20"/>
                <w:szCs w:val="20"/>
              </w:rPr>
            </w:pPr>
            <w:r w:rsidRPr="00666914">
              <w:rPr>
                <w:color w:val="000000"/>
                <w:sz w:val="20"/>
                <w:szCs w:val="20"/>
              </w:rPr>
              <w:t>30.6.2019</w:t>
            </w:r>
          </w:p>
        </w:tc>
        <w:tc>
          <w:tcPr>
            <w:tcW w:w="596" w:type="dxa"/>
            <w:shd w:val="clear" w:color="auto" w:fill="FF0000"/>
            <w:vAlign w:val="bottom"/>
          </w:tcPr>
          <w:p w14:paraId="1A35C55E" w14:textId="77777777" w:rsidR="00386F6D" w:rsidRPr="00666914" w:rsidRDefault="00386F6D">
            <w:pPr>
              <w:spacing w:after="0"/>
              <w:rPr>
                <w:color w:val="000000"/>
                <w:sz w:val="20"/>
                <w:szCs w:val="20"/>
              </w:rPr>
            </w:pPr>
            <w:r w:rsidRPr="00666914">
              <w:rPr>
                <w:color w:val="000000"/>
                <w:sz w:val="20"/>
                <w:szCs w:val="20"/>
              </w:rPr>
              <w:t> </w:t>
            </w:r>
          </w:p>
        </w:tc>
        <w:tc>
          <w:tcPr>
            <w:tcW w:w="594" w:type="dxa"/>
            <w:shd w:val="clear" w:color="auto" w:fill="FFC000"/>
            <w:vAlign w:val="bottom"/>
          </w:tcPr>
          <w:p w14:paraId="1BE1609F" w14:textId="77777777" w:rsidR="00386F6D" w:rsidRPr="00666914" w:rsidRDefault="00386F6D">
            <w:pPr>
              <w:spacing w:after="0"/>
              <w:rPr>
                <w:color w:val="000000"/>
                <w:sz w:val="20"/>
                <w:szCs w:val="20"/>
              </w:rPr>
            </w:pPr>
            <w:r w:rsidRPr="00666914">
              <w:rPr>
                <w:color w:val="000000"/>
                <w:sz w:val="20"/>
                <w:szCs w:val="20"/>
              </w:rPr>
              <w:t> </w:t>
            </w:r>
          </w:p>
        </w:tc>
        <w:tc>
          <w:tcPr>
            <w:tcW w:w="594" w:type="dxa"/>
            <w:shd w:val="clear" w:color="auto" w:fill="FFC000"/>
            <w:vAlign w:val="bottom"/>
          </w:tcPr>
          <w:p w14:paraId="30447374" w14:textId="77777777" w:rsidR="00386F6D" w:rsidRPr="00666914" w:rsidRDefault="00386F6D">
            <w:pPr>
              <w:spacing w:after="0"/>
              <w:rPr>
                <w:color w:val="000000"/>
                <w:sz w:val="20"/>
                <w:szCs w:val="20"/>
              </w:rPr>
            </w:pPr>
            <w:r w:rsidRPr="00666914">
              <w:rPr>
                <w:color w:val="000000"/>
                <w:sz w:val="20"/>
                <w:szCs w:val="20"/>
              </w:rPr>
              <w:t> </w:t>
            </w:r>
          </w:p>
        </w:tc>
        <w:tc>
          <w:tcPr>
            <w:tcW w:w="582" w:type="dxa"/>
            <w:shd w:val="clear" w:color="auto" w:fill="FFC000"/>
            <w:vAlign w:val="bottom"/>
          </w:tcPr>
          <w:p w14:paraId="4D0DEBC0" w14:textId="77777777" w:rsidR="00386F6D" w:rsidRPr="00666914" w:rsidRDefault="00386F6D">
            <w:pPr>
              <w:spacing w:after="0"/>
              <w:rPr>
                <w:color w:val="000000"/>
                <w:sz w:val="20"/>
                <w:szCs w:val="20"/>
              </w:rPr>
            </w:pPr>
            <w:r w:rsidRPr="00666914">
              <w:rPr>
                <w:color w:val="000000"/>
                <w:sz w:val="20"/>
                <w:szCs w:val="20"/>
              </w:rPr>
              <w:t> </w:t>
            </w:r>
          </w:p>
        </w:tc>
      </w:tr>
      <w:tr w:rsidR="009E7092" w:rsidRPr="00666914" w14:paraId="6CC23A59" w14:textId="77777777" w:rsidTr="009E7092">
        <w:trPr>
          <w:trHeight w:val="334"/>
        </w:trPr>
        <w:tc>
          <w:tcPr>
            <w:tcW w:w="436" w:type="dxa"/>
            <w:shd w:val="clear" w:color="auto" w:fill="auto"/>
            <w:vAlign w:val="center"/>
          </w:tcPr>
          <w:p w14:paraId="4508F8D8" w14:textId="77777777" w:rsidR="00386F6D" w:rsidRPr="00666914" w:rsidRDefault="00386F6D">
            <w:pPr>
              <w:spacing w:after="0"/>
              <w:jc w:val="center"/>
              <w:rPr>
                <w:color w:val="000000"/>
                <w:sz w:val="20"/>
                <w:szCs w:val="20"/>
              </w:rPr>
            </w:pPr>
            <w:r w:rsidRPr="00666914">
              <w:rPr>
                <w:color w:val="000000"/>
                <w:sz w:val="20"/>
                <w:szCs w:val="20"/>
              </w:rPr>
              <w:t>10</w:t>
            </w:r>
          </w:p>
        </w:tc>
        <w:tc>
          <w:tcPr>
            <w:tcW w:w="3035" w:type="dxa"/>
            <w:shd w:val="clear" w:color="auto" w:fill="auto"/>
            <w:vAlign w:val="center"/>
          </w:tcPr>
          <w:p w14:paraId="043F43A6" w14:textId="77777777" w:rsidR="00386F6D" w:rsidRPr="00666914" w:rsidRDefault="00386F6D">
            <w:pPr>
              <w:spacing w:after="0"/>
              <w:jc w:val="left"/>
              <w:rPr>
                <w:color w:val="000000"/>
                <w:sz w:val="20"/>
                <w:szCs w:val="20"/>
              </w:rPr>
            </w:pPr>
            <w:r w:rsidRPr="00666914">
              <w:rPr>
                <w:color w:val="000000"/>
                <w:sz w:val="20"/>
                <w:szCs w:val="20"/>
              </w:rPr>
              <w:t>Vytvoriť zásobník projektov a verejne ho odpočtovať</w:t>
            </w:r>
          </w:p>
        </w:tc>
        <w:tc>
          <w:tcPr>
            <w:tcW w:w="1449" w:type="dxa"/>
            <w:shd w:val="clear" w:color="auto" w:fill="auto"/>
            <w:vAlign w:val="center"/>
          </w:tcPr>
          <w:p w14:paraId="0A12EE3B" w14:textId="77777777" w:rsidR="00386F6D" w:rsidRPr="00666914" w:rsidRDefault="00386F6D">
            <w:pPr>
              <w:spacing w:after="0"/>
              <w:jc w:val="center"/>
              <w:rPr>
                <w:color w:val="000000"/>
                <w:sz w:val="20"/>
                <w:szCs w:val="20"/>
              </w:rPr>
            </w:pPr>
            <w:r w:rsidRPr="00666914">
              <w:rPr>
                <w:color w:val="000000"/>
                <w:sz w:val="20"/>
                <w:szCs w:val="20"/>
              </w:rPr>
              <w:t xml:space="preserve">ÚPVII </w:t>
            </w:r>
          </w:p>
        </w:tc>
        <w:tc>
          <w:tcPr>
            <w:tcW w:w="1013" w:type="dxa"/>
            <w:shd w:val="clear" w:color="auto" w:fill="auto"/>
            <w:vAlign w:val="center"/>
          </w:tcPr>
          <w:p w14:paraId="134A0662" w14:textId="77777777" w:rsidR="00386F6D" w:rsidRPr="00666914" w:rsidRDefault="00386F6D">
            <w:pPr>
              <w:spacing w:after="0"/>
              <w:jc w:val="center"/>
              <w:rPr>
                <w:color w:val="000000"/>
                <w:sz w:val="20"/>
                <w:szCs w:val="20"/>
              </w:rPr>
            </w:pPr>
            <w:r w:rsidRPr="00666914">
              <w:rPr>
                <w:color w:val="000000"/>
                <w:sz w:val="20"/>
                <w:szCs w:val="20"/>
              </w:rPr>
              <w:t>30.3.2017</w:t>
            </w:r>
          </w:p>
        </w:tc>
        <w:tc>
          <w:tcPr>
            <w:tcW w:w="1013" w:type="dxa"/>
            <w:vAlign w:val="center"/>
          </w:tcPr>
          <w:p w14:paraId="19E392E1" w14:textId="77777777" w:rsidR="00386F6D" w:rsidRPr="00666914" w:rsidRDefault="00386F6D">
            <w:pPr>
              <w:spacing w:after="0"/>
              <w:jc w:val="center"/>
              <w:rPr>
                <w:color w:val="000000"/>
                <w:sz w:val="20"/>
                <w:szCs w:val="20"/>
              </w:rPr>
            </w:pPr>
            <w:r w:rsidRPr="00666914">
              <w:rPr>
                <w:color w:val="000000"/>
                <w:sz w:val="20"/>
                <w:szCs w:val="20"/>
              </w:rPr>
              <w:t>priebežne</w:t>
            </w:r>
          </w:p>
        </w:tc>
        <w:tc>
          <w:tcPr>
            <w:tcW w:w="596" w:type="dxa"/>
            <w:shd w:val="clear" w:color="auto" w:fill="FFC000"/>
            <w:vAlign w:val="bottom"/>
          </w:tcPr>
          <w:p w14:paraId="4A867AD5" w14:textId="77777777" w:rsidR="00386F6D" w:rsidRPr="00666914" w:rsidRDefault="00386F6D">
            <w:pPr>
              <w:spacing w:after="0"/>
              <w:rPr>
                <w:color w:val="000000"/>
                <w:sz w:val="20"/>
                <w:szCs w:val="20"/>
              </w:rPr>
            </w:pPr>
          </w:p>
        </w:tc>
        <w:tc>
          <w:tcPr>
            <w:tcW w:w="594" w:type="dxa"/>
            <w:shd w:val="clear" w:color="auto" w:fill="FFC000"/>
            <w:vAlign w:val="bottom"/>
          </w:tcPr>
          <w:p w14:paraId="242326F4" w14:textId="77777777" w:rsidR="00386F6D" w:rsidRPr="00666914" w:rsidRDefault="00386F6D">
            <w:pPr>
              <w:spacing w:after="0"/>
              <w:rPr>
                <w:color w:val="000000"/>
                <w:sz w:val="20"/>
                <w:szCs w:val="20"/>
              </w:rPr>
            </w:pPr>
          </w:p>
        </w:tc>
        <w:tc>
          <w:tcPr>
            <w:tcW w:w="594" w:type="dxa"/>
            <w:shd w:val="clear" w:color="auto" w:fill="FFC000"/>
            <w:vAlign w:val="bottom"/>
          </w:tcPr>
          <w:p w14:paraId="739A35DB" w14:textId="77777777" w:rsidR="00386F6D" w:rsidRPr="00666914" w:rsidRDefault="00386F6D">
            <w:pPr>
              <w:spacing w:after="0"/>
              <w:rPr>
                <w:color w:val="000000"/>
                <w:sz w:val="20"/>
                <w:szCs w:val="20"/>
              </w:rPr>
            </w:pPr>
          </w:p>
        </w:tc>
        <w:tc>
          <w:tcPr>
            <w:tcW w:w="582" w:type="dxa"/>
            <w:shd w:val="clear" w:color="auto" w:fill="FFC000"/>
            <w:vAlign w:val="bottom"/>
          </w:tcPr>
          <w:p w14:paraId="7E10FCE1" w14:textId="77777777" w:rsidR="00386F6D" w:rsidRPr="00666914" w:rsidRDefault="00386F6D">
            <w:pPr>
              <w:spacing w:after="0"/>
              <w:rPr>
                <w:color w:val="000000"/>
                <w:sz w:val="20"/>
                <w:szCs w:val="20"/>
              </w:rPr>
            </w:pPr>
          </w:p>
        </w:tc>
      </w:tr>
      <w:tr w:rsidR="009E7092" w:rsidRPr="00666914" w14:paraId="6A82CA2B" w14:textId="77777777" w:rsidTr="009E7092">
        <w:trPr>
          <w:trHeight w:val="334"/>
        </w:trPr>
        <w:tc>
          <w:tcPr>
            <w:tcW w:w="436" w:type="dxa"/>
            <w:shd w:val="clear" w:color="auto" w:fill="auto"/>
            <w:vAlign w:val="center"/>
          </w:tcPr>
          <w:p w14:paraId="724556D9" w14:textId="77777777" w:rsidR="00386F6D" w:rsidRPr="00666914" w:rsidRDefault="00386F6D">
            <w:pPr>
              <w:spacing w:after="0"/>
              <w:jc w:val="center"/>
              <w:rPr>
                <w:color w:val="000000"/>
                <w:sz w:val="20"/>
                <w:szCs w:val="20"/>
              </w:rPr>
            </w:pPr>
            <w:r w:rsidRPr="00666914">
              <w:rPr>
                <w:color w:val="000000"/>
                <w:sz w:val="20"/>
                <w:szCs w:val="20"/>
              </w:rPr>
              <w:t>11</w:t>
            </w:r>
          </w:p>
        </w:tc>
        <w:tc>
          <w:tcPr>
            <w:tcW w:w="3035" w:type="dxa"/>
            <w:shd w:val="clear" w:color="auto" w:fill="auto"/>
            <w:vAlign w:val="center"/>
          </w:tcPr>
          <w:p w14:paraId="6921C009" w14:textId="77777777" w:rsidR="00386F6D" w:rsidRPr="00666914" w:rsidRDefault="00386F6D">
            <w:pPr>
              <w:spacing w:after="0"/>
              <w:jc w:val="left"/>
              <w:rPr>
                <w:color w:val="000000"/>
                <w:sz w:val="20"/>
                <w:szCs w:val="20"/>
              </w:rPr>
            </w:pPr>
            <w:r w:rsidRPr="00666914">
              <w:rPr>
                <w:color w:val="000000"/>
                <w:sz w:val="20"/>
                <w:szCs w:val="20"/>
              </w:rPr>
              <w:t>Vypracovať koncepciu riadenia informatizácie</w:t>
            </w:r>
          </w:p>
        </w:tc>
        <w:tc>
          <w:tcPr>
            <w:tcW w:w="1449" w:type="dxa"/>
            <w:shd w:val="clear" w:color="auto" w:fill="auto"/>
            <w:vAlign w:val="center"/>
          </w:tcPr>
          <w:p w14:paraId="4ED10730" w14:textId="77777777" w:rsidR="00386F6D" w:rsidRPr="00666914" w:rsidRDefault="00386F6D">
            <w:pPr>
              <w:spacing w:after="0"/>
              <w:jc w:val="center"/>
              <w:rPr>
                <w:color w:val="000000"/>
                <w:sz w:val="20"/>
                <w:szCs w:val="20"/>
              </w:rPr>
            </w:pPr>
            <w:r w:rsidRPr="00666914">
              <w:rPr>
                <w:color w:val="000000"/>
                <w:sz w:val="20"/>
                <w:szCs w:val="20"/>
              </w:rPr>
              <w:t xml:space="preserve">ÚPVII </w:t>
            </w:r>
          </w:p>
        </w:tc>
        <w:tc>
          <w:tcPr>
            <w:tcW w:w="1013" w:type="dxa"/>
            <w:shd w:val="clear" w:color="auto" w:fill="auto"/>
            <w:vAlign w:val="center"/>
          </w:tcPr>
          <w:p w14:paraId="440DA82F" w14:textId="77777777" w:rsidR="00386F6D" w:rsidRPr="00666914" w:rsidRDefault="00386F6D">
            <w:pPr>
              <w:spacing w:after="0"/>
              <w:jc w:val="center"/>
              <w:rPr>
                <w:color w:val="000000"/>
                <w:sz w:val="20"/>
                <w:szCs w:val="20"/>
              </w:rPr>
            </w:pPr>
            <w:r w:rsidRPr="00666914">
              <w:rPr>
                <w:color w:val="000000"/>
                <w:sz w:val="20"/>
                <w:szCs w:val="20"/>
              </w:rPr>
              <w:t>30.3.2017</w:t>
            </w:r>
          </w:p>
        </w:tc>
        <w:tc>
          <w:tcPr>
            <w:tcW w:w="1013" w:type="dxa"/>
            <w:vAlign w:val="center"/>
          </w:tcPr>
          <w:p w14:paraId="5AF9F48E" w14:textId="77777777" w:rsidR="00386F6D" w:rsidRPr="00666914" w:rsidRDefault="00386F6D">
            <w:pPr>
              <w:spacing w:after="0"/>
              <w:jc w:val="center"/>
              <w:rPr>
                <w:color w:val="000000"/>
                <w:sz w:val="20"/>
                <w:szCs w:val="20"/>
              </w:rPr>
            </w:pPr>
            <w:r w:rsidRPr="00666914">
              <w:rPr>
                <w:color w:val="000000"/>
                <w:sz w:val="20"/>
                <w:szCs w:val="20"/>
              </w:rPr>
              <w:t>30.6.2019</w:t>
            </w:r>
          </w:p>
        </w:tc>
        <w:tc>
          <w:tcPr>
            <w:tcW w:w="596" w:type="dxa"/>
            <w:shd w:val="clear" w:color="auto" w:fill="FF0000"/>
            <w:vAlign w:val="bottom"/>
          </w:tcPr>
          <w:p w14:paraId="4227D17D" w14:textId="77777777" w:rsidR="00386F6D" w:rsidRPr="00666914" w:rsidRDefault="00386F6D">
            <w:pPr>
              <w:spacing w:after="0"/>
              <w:rPr>
                <w:color w:val="000000"/>
                <w:sz w:val="20"/>
                <w:szCs w:val="20"/>
                <w:highlight w:val="red"/>
              </w:rPr>
            </w:pPr>
          </w:p>
        </w:tc>
        <w:tc>
          <w:tcPr>
            <w:tcW w:w="594" w:type="dxa"/>
            <w:shd w:val="clear" w:color="auto" w:fill="FF0000"/>
            <w:vAlign w:val="bottom"/>
          </w:tcPr>
          <w:p w14:paraId="0C9C8374" w14:textId="77777777" w:rsidR="00386F6D" w:rsidRPr="00666914" w:rsidRDefault="00386F6D">
            <w:pPr>
              <w:spacing w:after="0"/>
              <w:rPr>
                <w:color w:val="000000"/>
                <w:sz w:val="20"/>
                <w:szCs w:val="20"/>
                <w:highlight w:val="red"/>
              </w:rPr>
            </w:pPr>
          </w:p>
        </w:tc>
        <w:tc>
          <w:tcPr>
            <w:tcW w:w="594" w:type="dxa"/>
            <w:shd w:val="clear" w:color="auto" w:fill="FF0000"/>
            <w:vAlign w:val="bottom"/>
          </w:tcPr>
          <w:p w14:paraId="6B6BA0DA" w14:textId="77777777" w:rsidR="00386F6D" w:rsidRPr="00666914" w:rsidRDefault="00386F6D">
            <w:pPr>
              <w:spacing w:after="0"/>
              <w:rPr>
                <w:color w:val="000000"/>
                <w:sz w:val="20"/>
                <w:szCs w:val="20"/>
              </w:rPr>
            </w:pPr>
          </w:p>
        </w:tc>
        <w:tc>
          <w:tcPr>
            <w:tcW w:w="582" w:type="dxa"/>
            <w:shd w:val="clear" w:color="auto" w:fill="FF0000"/>
            <w:vAlign w:val="bottom"/>
          </w:tcPr>
          <w:p w14:paraId="1B06AF61" w14:textId="77777777" w:rsidR="00386F6D" w:rsidRPr="00666914" w:rsidRDefault="00386F6D">
            <w:pPr>
              <w:spacing w:after="0"/>
              <w:rPr>
                <w:color w:val="000000"/>
                <w:sz w:val="20"/>
                <w:szCs w:val="20"/>
              </w:rPr>
            </w:pPr>
          </w:p>
        </w:tc>
      </w:tr>
      <w:tr w:rsidR="009E7092" w:rsidRPr="00666914" w14:paraId="50ABBA59" w14:textId="77777777" w:rsidTr="009E7092">
        <w:trPr>
          <w:trHeight w:val="334"/>
        </w:trPr>
        <w:tc>
          <w:tcPr>
            <w:tcW w:w="436" w:type="dxa"/>
            <w:shd w:val="clear" w:color="auto" w:fill="auto"/>
            <w:vAlign w:val="center"/>
          </w:tcPr>
          <w:p w14:paraId="3692BAB9" w14:textId="77777777" w:rsidR="00386F6D" w:rsidRPr="00666914" w:rsidRDefault="00386F6D">
            <w:pPr>
              <w:spacing w:after="0"/>
              <w:jc w:val="center"/>
              <w:rPr>
                <w:color w:val="000000"/>
                <w:sz w:val="20"/>
                <w:szCs w:val="20"/>
              </w:rPr>
            </w:pPr>
            <w:r w:rsidRPr="00666914">
              <w:rPr>
                <w:color w:val="000000"/>
                <w:sz w:val="20"/>
                <w:szCs w:val="20"/>
              </w:rPr>
              <w:t>12</w:t>
            </w:r>
          </w:p>
        </w:tc>
        <w:tc>
          <w:tcPr>
            <w:tcW w:w="3035" w:type="dxa"/>
            <w:shd w:val="clear" w:color="auto" w:fill="auto"/>
            <w:vAlign w:val="center"/>
          </w:tcPr>
          <w:p w14:paraId="361222A6" w14:textId="77777777" w:rsidR="00386F6D" w:rsidRPr="00666914" w:rsidRDefault="00386F6D">
            <w:pPr>
              <w:spacing w:after="0"/>
              <w:jc w:val="left"/>
              <w:rPr>
                <w:color w:val="000000"/>
                <w:sz w:val="20"/>
                <w:szCs w:val="20"/>
              </w:rPr>
            </w:pPr>
            <w:r w:rsidRPr="00666914">
              <w:rPr>
                <w:color w:val="000000"/>
                <w:sz w:val="20"/>
                <w:szCs w:val="20"/>
              </w:rPr>
              <w:t>Vypracovať správu o stave štátneho IKT</w:t>
            </w:r>
          </w:p>
        </w:tc>
        <w:tc>
          <w:tcPr>
            <w:tcW w:w="1449" w:type="dxa"/>
            <w:shd w:val="clear" w:color="auto" w:fill="auto"/>
            <w:vAlign w:val="center"/>
          </w:tcPr>
          <w:p w14:paraId="70C8132B" w14:textId="77777777" w:rsidR="00386F6D" w:rsidRPr="00666914" w:rsidRDefault="00386F6D">
            <w:pPr>
              <w:spacing w:after="0"/>
              <w:jc w:val="center"/>
              <w:rPr>
                <w:color w:val="000000"/>
                <w:sz w:val="20"/>
                <w:szCs w:val="20"/>
              </w:rPr>
            </w:pPr>
            <w:r w:rsidRPr="00666914">
              <w:rPr>
                <w:color w:val="000000"/>
                <w:sz w:val="20"/>
                <w:szCs w:val="20"/>
              </w:rPr>
              <w:t xml:space="preserve">ÚPVII </w:t>
            </w:r>
          </w:p>
        </w:tc>
        <w:tc>
          <w:tcPr>
            <w:tcW w:w="1013" w:type="dxa"/>
            <w:shd w:val="clear" w:color="auto" w:fill="auto"/>
            <w:vAlign w:val="center"/>
          </w:tcPr>
          <w:p w14:paraId="469442CB" w14:textId="77777777" w:rsidR="00386F6D" w:rsidRPr="00666914" w:rsidRDefault="00386F6D">
            <w:pPr>
              <w:spacing w:after="0"/>
              <w:jc w:val="center"/>
              <w:rPr>
                <w:color w:val="000000"/>
                <w:sz w:val="20"/>
                <w:szCs w:val="20"/>
              </w:rPr>
            </w:pPr>
            <w:r w:rsidRPr="00666914">
              <w:rPr>
                <w:color w:val="000000"/>
                <w:sz w:val="20"/>
                <w:szCs w:val="20"/>
              </w:rPr>
              <w:t>30.6.2017</w:t>
            </w:r>
          </w:p>
        </w:tc>
        <w:tc>
          <w:tcPr>
            <w:tcW w:w="1013" w:type="dxa"/>
            <w:vAlign w:val="center"/>
          </w:tcPr>
          <w:p w14:paraId="40D34E6C" w14:textId="77777777" w:rsidR="00386F6D" w:rsidRPr="00666914" w:rsidRDefault="00386F6D">
            <w:pPr>
              <w:spacing w:after="0"/>
              <w:jc w:val="center"/>
              <w:rPr>
                <w:color w:val="000000"/>
                <w:sz w:val="20"/>
                <w:szCs w:val="20"/>
              </w:rPr>
            </w:pPr>
            <w:r w:rsidRPr="00666914">
              <w:rPr>
                <w:color w:val="000000"/>
                <w:sz w:val="20"/>
                <w:szCs w:val="20"/>
              </w:rPr>
              <w:t>30.6.2019</w:t>
            </w:r>
          </w:p>
        </w:tc>
        <w:tc>
          <w:tcPr>
            <w:tcW w:w="596" w:type="dxa"/>
            <w:shd w:val="clear" w:color="auto" w:fill="FFC000"/>
            <w:vAlign w:val="bottom"/>
          </w:tcPr>
          <w:p w14:paraId="05745590" w14:textId="77777777" w:rsidR="00386F6D" w:rsidRPr="00666914" w:rsidRDefault="00386F6D">
            <w:pPr>
              <w:spacing w:after="0"/>
              <w:rPr>
                <w:color w:val="000000"/>
                <w:sz w:val="20"/>
                <w:szCs w:val="20"/>
              </w:rPr>
            </w:pPr>
            <w:r w:rsidRPr="00666914">
              <w:rPr>
                <w:color w:val="000000"/>
                <w:sz w:val="20"/>
                <w:szCs w:val="20"/>
              </w:rPr>
              <w:t> </w:t>
            </w:r>
          </w:p>
        </w:tc>
        <w:tc>
          <w:tcPr>
            <w:tcW w:w="594" w:type="dxa"/>
            <w:shd w:val="clear" w:color="auto" w:fill="FFC000"/>
            <w:vAlign w:val="bottom"/>
          </w:tcPr>
          <w:p w14:paraId="5B031DFF" w14:textId="77777777" w:rsidR="00386F6D" w:rsidRPr="00666914" w:rsidRDefault="00386F6D">
            <w:pPr>
              <w:spacing w:after="0"/>
              <w:rPr>
                <w:color w:val="000000"/>
                <w:sz w:val="20"/>
                <w:szCs w:val="20"/>
              </w:rPr>
            </w:pPr>
            <w:r w:rsidRPr="00666914">
              <w:rPr>
                <w:color w:val="000000"/>
                <w:sz w:val="20"/>
                <w:szCs w:val="20"/>
              </w:rPr>
              <w:t> </w:t>
            </w:r>
          </w:p>
        </w:tc>
        <w:tc>
          <w:tcPr>
            <w:tcW w:w="594" w:type="dxa"/>
            <w:shd w:val="clear" w:color="auto" w:fill="FFC000"/>
            <w:vAlign w:val="bottom"/>
          </w:tcPr>
          <w:p w14:paraId="21A2B1AE" w14:textId="77777777" w:rsidR="00386F6D" w:rsidRPr="00666914" w:rsidRDefault="00386F6D">
            <w:pPr>
              <w:spacing w:after="0"/>
              <w:rPr>
                <w:color w:val="000000"/>
                <w:sz w:val="20"/>
                <w:szCs w:val="20"/>
              </w:rPr>
            </w:pPr>
            <w:r w:rsidRPr="00666914">
              <w:rPr>
                <w:color w:val="000000"/>
                <w:sz w:val="20"/>
                <w:szCs w:val="20"/>
              </w:rPr>
              <w:t> </w:t>
            </w:r>
          </w:p>
        </w:tc>
        <w:tc>
          <w:tcPr>
            <w:tcW w:w="582" w:type="dxa"/>
            <w:shd w:val="clear" w:color="auto" w:fill="FFC000"/>
            <w:vAlign w:val="bottom"/>
          </w:tcPr>
          <w:p w14:paraId="79872537" w14:textId="77777777" w:rsidR="00386F6D" w:rsidRPr="00666914" w:rsidRDefault="00386F6D">
            <w:pPr>
              <w:spacing w:after="0"/>
              <w:rPr>
                <w:color w:val="000000"/>
                <w:sz w:val="20"/>
                <w:szCs w:val="20"/>
              </w:rPr>
            </w:pPr>
            <w:r w:rsidRPr="00666914">
              <w:rPr>
                <w:color w:val="000000"/>
                <w:sz w:val="20"/>
                <w:szCs w:val="20"/>
              </w:rPr>
              <w:t> </w:t>
            </w:r>
          </w:p>
        </w:tc>
      </w:tr>
    </w:tbl>
    <w:p w14:paraId="6718BC79" w14:textId="5F173F84" w:rsidR="00745CEA" w:rsidRPr="00666914" w:rsidRDefault="00745CEA">
      <w:pPr>
        <w:spacing w:line="259" w:lineRule="auto"/>
        <w:jc w:val="left"/>
        <w:rPr>
          <w:b/>
          <w:u w:val="single"/>
        </w:rPr>
      </w:pPr>
    </w:p>
    <w:p w14:paraId="47B3FDAA" w14:textId="5189B962" w:rsidR="00386F6D" w:rsidRPr="00666914" w:rsidRDefault="00745CEA" w:rsidP="00905C95">
      <w:pPr>
        <w:spacing w:after="0"/>
        <w:jc w:val="left"/>
        <w:rPr>
          <w:b/>
          <w:u w:val="single"/>
        </w:rPr>
      </w:pPr>
      <w:r w:rsidRPr="00666914">
        <w:rPr>
          <w:b/>
          <w:u w:val="single"/>
        </w:rPr>
        <w:br w:type="page"/>
      </w:r>
    </w:p>
    <w:p w14:paraId="3B036D7C" w14:textId="77777777" w:rsidR="00386F6D" w:rsidRPr="00666914" w:rsidRDefault="00386F6D" w:rsidP="00131B23">
      <w:pPr>
        <w:numPr>
          <w:ilvl w:val="0"/>
          <w:numId w:val="16"/>
        </w:numPr>
        <w:spacing w:after="0" w:line="259" w:lineRule="auto"/>
        <w:rPr>
          <w:b/>
          <w:u w:val="single"/>
        </w:rPr>
      </w:pPr>
      <w:bookmarkStart w:id="270" w:name="_heading=h.44sinio" w:colFirst="0" w:colLast="0"/>
      <w:bookmarkEnd w:id="270"/>
      <w:r w:rsidRPr="00666914">
        <w:rPr>
          <w:b/>
          <w:u w:val="single"/>
        </w:rPr>
        <w:lastRenderedPageBreak/>
        <w:t>Centrálne riadiť a nakupovať komoditné IT ako sú licencie</w:t>
      </w:r>
    </w:p>
    <w:p w14:paraId="0D8C0DBC" w14:textId="77777777" w:rsidR="00386F6D" w:rsidRPr="00666914" w:rsidRDefault="00386F6D">
      <w:pPr>
        <w:spacing w:after="0"/>
        <w:rPr>
          <w:b/>
          <w:u w:val="single"/>
        </w:rPr>
      </w:pPr>
    </w:p>
    <w:p w14:paraId="50F7970C" w14:textId="77777777" w:rsidR="00386F6D" w:rsidRPr="00666914" w:rsidRDefault="00386F6D">
      <w:pPr>
        <w:spacing w:after="0"/>
      </w:pPr>
      <w:r w:rsidRPr="00666914">
        <w:rPr>
          <w:b/>
        </w:rPr>
        <w:t>Opatrenie sa k 12/2019 čiastočne plní, IJ ÚV SR pozitívne hodnotí prijatie uznesenia vlády zaväzujúceho orgány štátnej správy nakupovať licencie využitím centrálnych zmlúv</w:t>
      </w:r>
      <w:r w:rsidRPr="00666914">
        <w:t xml:space="preserve">. Technická </w:t>
      </w:r>
      <w:sdt>
        <w:sdtPr>
          <w:tag w:val="goog_rdk_32"/>
          <w:id w:val="-504284117"/>
        </w:sdtPr>
        <w:sdtEndPr/>
        <w:sdtContent/>
      </w:sdt>
      <w:r w:rsidRPr="00666914">
        <w:t>rovina pre realizáciu tohto opatrenia bola splnená. Uznesenie o povinnosti prednostne pristupovať k platným a účinným centrálnym IKT zmluvám bolo schválené vládou v 06/2019</w:t>
      </w:r>
      <w:r w:rsidRPr="00666914">
        <w:rPr>
          <w:vertAlign w:val="superscript"/>
        </w:rPr>
        <w:footnoteReference w:id="135"/>
      </w:r>
      <w:r w:rsidRPr="00666914">
        <w:t xml:space="preserve">. Povinnosť centrálneho nákupu licencií je základným predpokladom pre vytvorenie systému ich centrálneho riadenia. V súčasnosti ale ostáva otázne vynútenie zapojenia úradov do centrálnej zmluvy, keďže ÚPVII nedisponuje žiadnym mechanizmom na vynútenie využívania centrálnych licenčných zmlúv. </w:t>
      </w:r>
    </w:p>
    <w:p w14:paraId="456A9893" w14:textId="77777777" w:rsidR="00386F6D" w:rsidRPr="00666914" w:rsidRDefault="00386F6D">
      <w:pPr>
        <w:spacing w:after="0"/>
      </w:pPr>
    </w:p>
    <w:p w14:paraId="256C2ADA" w14:textId="77777777" w:rsidR="00386F6D" w:rsidRPr="00666914" w:rsidRDefault="00386F6D">
      <w:pPr>
        <w:spacing w:after="0"/>
      </w:pPr>
      <w:r w:rsidRPr="00666914">
        <w:t>Každú žiadosť o pristúpenie k centrálnej zmluve ÚPVII individuálne posudzuje, rovnako sa bude posudzovať aj skutočná potreba licencií pre jednotlivé organizácie. V rámci posudzovania spotreby licencií môže ÚPVII rozhodnúť aj o presunutí licencií na inú organizáciu.</w:t>
      </w:r>
    </w:p>
    <w:p w14:paraId="41B4B2CE" w14:textId="77777777" w:rsidR="00386F6D" w:rsidRPr="00666914" w:rsidRDefault="00386F6D">
      <w:pPr>
        <w:spacing w:after="0"/>
      </w:pPr>
    </w:p>
    <w:p w14:paraId="4229C976" w14:textId="536AAD07" w:rsidR="00386F6D" w:rsidRPr="00666914" w:rsidRDefault="00386F6D" w:rsidP="00C33E58">
      <w:r w:rsidRPr="00666914">
        <w:rPr>
          <w:b/>
        </w:rPr>
        <w:t>Centrálne riadenie licencií vyžaduje vypracovanie auditu licencií vo vlastníctve štátu a následné vytvorenie centrálnej evidencie licencií.</w:t>
      </w:r>
      <w:r w:rsidRPr="00666914">
        <w:t xml:space="preserve"> V súčasnosti nie sú dostupné údaje o počte vlastnených licencií jednotlivými úradmi </w:t>
      </w:r>
      <w:r w:rsidRPr="00666914">
        <w:rPr>
          <w:b/>
        </w:rPr>
        <w:t xml:space="preserve"> </w:t>
      </w:r>
      <w:r w:rsidRPr="00666914">
        <w:t>ani o ich skutočnom využívaní. Na nastavenie efektívneho systému riadenia spotreby licencií je potrebné vytvoriť takúto evidenciu licencií s údajmi o ich skutočnom využívaní a pravidelne ju aktualizovať.</w:t>
      </w:r>
    </w:p>
    <w:p w14:paraId="58229007" w14:textId="77777777" w:rsidR="00386F6D" w:rsidRPr="00666914" w:rsidRDefault="00386F6D" w:rsidP="00131B23">
      <w:pPr>
        <w:numPr>
          <w:ilvl w:val="0"/>
          <w:numId w:val="16"/>
        </w:numPr>
        <w:spacing w:after="0" w:line="259" w:lineRule="auto"/>
        <w:rPr>
          <w:b/>
          <w:u w:val="single"/>
        </w:rPr>
      </w:pPr>
      <w:r w:rsidRPr="00666914">
        <w:rPr>
          <w:b/>
          <w:u w:val="single"/>
        </w:rPr>
        <w:t>Vytvoriť zásobník projektov a verejne ho odpočtovať</w:t>
      </w:r>
    </w:p>
    <w:p w14:paraId="40FC466B" w14:textId="77777777" w:rsidR="00386F6D" w:rsidRPr="00666914" w:rsidRDefault="00386F6D">
      <w:pPr>
        <w:spacing w:after="0"/>
      </w:pPr>
    </w:p>
    <w:p w14:paraId="29264399" w14:textId="6A004A1C" w:rsidR="00386F6D" w:rsidRPr="00666914" w:rsidRDefault="00386F6D">
      <w:pPr>
        <w:spacing w:after="80"/>
      </w:pPr>
      <w:r w:rsidRPr="00666914">
        <w:rPr>
          <w:b/>
        </w:rPr>
        <w:t xml:space="preserve">Opatrenie sa k 12/2019 plní čiastočne, z dôvodu absencie projektov financovaných zo štátneho rozpočtu v zverejnenom zásobníku projektov. IJ odporúča čo najskôr </w:t>
      </w:r>
      <w:r w:rsidR="00472E2F" w:rsidRPr="00666914">
        <w:rPr>
          <w:b/>
        </w:rPr>
        <w:t xml:space="preserve">doplniť </w:t>
      </w:r>
      <w:r w:rsidRPr="00666914">
        <w:rPr>
          <w:b/>
        </w:rPr>
        <w:t>do zásobníka projekty financované zo ŠR.</w:t>
      </w:r>
      <w:r w:rsidRPr="00666914">
        <w:t xml:space="preserve"> Zásobník projektov bol síce vytvorený a zverejnený v roku 2018, stále však vykazuje nedostatky. Zásobník v súčasnej podobe neobsahuje všetky projekty, ale len projekty financované z OPII. Podľa stanoviska ÚPVII úrad nedisponuje informáciami o projektoch pripravovaných jednotlivými ministerstvami a financovanými zo štátneho rozpočtu. Nástrojom na vyriešenie tohto problému je podľa ÚPVII pripravovaná vyhláška o riadení projektov k Zákonu č. 95/2019 o ITVS, na základe ktorej budú evidované v zásobníku aj projekty financované zo štátneho rozpočtu s nákladmi vyššími ako 200 tis. eur. </w:t>
      </w:r>
    </w:p>
    <w:p w14:paraId="5227E6E8" w14:textId="6810CFC7" w:rsidR="00386F6D" w:rsidRPr="00666914" w:rsidRDefault="00386F6D" w:rsidP="00C33E58">
      <w:pPr>
        <w:spacing w:before="80"/>
      </w:pPr>
      <w:r w:rsidRPr="00666914">
        <w:t>IJ naďalej odporúča doplnenie prioritizácie projektov do existujúceho zásobníka, čo zlepší výber projektov na realizáciu a posilní verejnú kontrolu procesu. Zásobník sa bude aktualizovať minimálne každých 6 mesiacov a bude zverejňovaný na webovom sídle ÚPVII.</w:t>
      </w:r>
    </w:p>
    <w:p w14:paraId="5FD22BAB" w14:textId="77777777" w:rsidR="00386F6D" w:rsidRPr="00666914" w:rsidRDefault="00386F6D" w:rsidP="00131B23">
      <w:pPr>
        <w:numPr>
          <w:ilvl w:val="0"/>
          <w:numId w:val="16"/>
        </w:numPr>
        <w:spacing w:after="0" w:line="259" w:lineRule="auto"/>
        <w:rPr>
          <w:b/>
          <w:u w:val="single"/>
        </w:rPr>
      </w:pPr>
      <w:r w:rsidRPr="00666914">
        <w:rPr>
          <w:b/>
          <w:u w:val="single"/>
        </w:rPr>
        <w:t>Vypracovať koncepciu riadenia informatizácie</w:t>
      </w:r>
    </w:p>
    <w:p w14:paraId="1CE233B6" w14:textId="77777777" w:rsidR="00386F6D" w:rsidRPr="00666914" w:rsidRDefault="00386F6D">
      <w:pPr>
        <w:spacing w:after="0"/>
        <w:ind w:left="720"/>
        <w:rPr>
          <w:b/>
          <w:u w:val="single"/>
        </w:rPr>
      </w:pPr>
    </w:p>
    <w:p w14:paraId="2CE698DF" w14:textId="77777777" w:rsidR="00386F6D" w:rsidRPr="00666914" w:rsidRDefault="00386F6D">
      <w:pPr>
        <w:spacing w:after="0"/>
        <w:rPr>
          <w:b/>
        </w:rPr>
      </w:pPr>
      <w:r w:rsidRPr="00666914">
        <w:t>Koncepcia riadenia informatizácie verejnej správy bola ako strategický dokument riadenia informatizácie zverejnená v 10/2017</w:t>
      </w:r>
      <w:r w:rsidRPr="00666914">
        <w:rPr>
          <w:vertAlign w:val="superscript"/>
        </w:rPr>
        <w:footnoteReference w:id="136"/>
      </w:r>
      <w:r w:rsidRPr="00666914">
        <w:t xml:space="preserve">. Podľa IJ vykazuje Koncepcia riadenia informatizácie verejnej správy viacero nedostatkov, nedefinuje dostatočne merateľné ukazovatele na sledovanie pokroku v informatizácii a nie je v súlade s Revíziou výdavkov na informatizáciu. </w:t>
      </w:r>
    </w:p>
    <w:p w14:paraId="3E45C0CB" w14:textId="1DD8B638" w:rsidR="00386F6D" w:rsidRPr="00666914" w:rsidRDefault="00386F6D" w:rsidP="00C33E58">
      <w:pPr>
        <w:spacing w:before="240"/>
        <w:rPr>
          <w:b/>
        </w:rPr>
      </w:pPr>
      <w:r w:rsidRPr="00666914">
        <w:t xml:space="preserve">Podľa PIS 2018 malo dôjsť k aktualizácii koncepcie, resp. NKIVS v termíne do 31.12.2019. NKIVS nebola v tomto termíne aktualizovaná, podľa ÚPVII z dôvodu prípravy novej NKIVS pre účely nového programového obdobia kohéznej politiky 2021-2027. </w:t>
      </w:r>
      <w:r w:rsidRPr="00666914">
        <w:rPr>
          <w:b/>
        </w:rPr>
        <w:t>Opatrenie sa k 31.12.2019 neplní.</w:t>
      </w:r>
    </w:p>
    <w:p w14:paraId="15020045" w14:textId="77777777" w:rsidR="00386F6D" w:rsidRPr="00666914" w:rsidRDefault="00386F6D" w:rsidP="00131B23">
      <w:pPr>
        <w:numPr>
          <w:ilvl w:val="0"/>
          <w:numId w:val="16"/>
        </w:numPr>
        <w:spacing w:after="0" w:line="259" w:lineRule="auto"/>
        <w:rPr>
          <w:b/>
          <w:u w:val="single"/>
        </w:rPr>
      </w:pPr>
      <w:r w:rsidRPr="00666914">
        <w:rPr>
          <w:b/>
          <w:u w:val="single"/>
        </w:rPr>
        <w:t>Vypracovať správu o stave štátneho IKT</w:t>
      </w:r>
    </w:p>
    <w:p w14:paraId="08D1065A" w14:textId="77777777" w:rsidR="00386F6D" w:rsidRPr="00666914" w:rsidRDefault="00386F6D">
      <w:pPr>
        <w:spacing w:after="80"/>
        <w:rPr>
          <w:b/>
          <w:u w:val="single"/>
        </w:rPr>
      </w:pPr>
    </w:p>
    <w:p w14:paraId="55ED4F69" w14:textId="77777777" w:rsidR="00386F6D" w:rsidRPr="00666914" w:rsidRDefault="00386F6D">
      <w:pPr>
        <w:spacing w:before="80"/>
      </w:pPr>
      <w:r w:rsidRPr="00666914">
        <w:rPr>
          <w:b/>
        </w:rPr>
        <w:t xml:space="preserve">Stav a vývoj informatizácie sa nevyhodnocuje a nekomunikuje dostatočne zrozumiteľne a dostatočne kvalitne. </w:t>
      </w:r>
      <w:r w:rsidRPr="00666914">
        <w:t>ÚPVII každoročne pripravuje Informáciu o plnení NKIVS, ktorá vyhodnocuje plnenie NKIVS. Informácia sledujúca obdobie od 1.1.2018 do 31.12.2018 bola pripravená ÚPVII, vládou SR bola vzatá na vedomie 17.4.2019</w:t>
      </w:r>
      <w:r w:rsidRPr="00666914">
        <w:rPr>
          <w:vertAlign w:val="superscript"/>
        </w:rPr>
        <w:footnoteReference w:id="137"/>
      </w:r>
      <w:r w:rsidRPr="00666914">
        <w:t xml:space="preserve">. </w:t>
      </w:r>
      <w:r w:rsidRPr="00666914">
        <w:lastRenderedPageBreak/>
        <w:t>Pri vyhodnocovaní pokroku informatizácie verejnej správy chýba globálny indikátor sledujúci celkový vývoj štátneho IT (napr. eGov benchmark alebo DESI).</w:t>
      </w:r>
    </w:p>
    <w:p w14:paraId="0C0C4923" w14:textId="77777777" w:rsidR="00386F6D" w:rsidRPr="00666914" w:rsidRDefault="00386F6D">
      <w:pPr>
        <w:spacing w:before="240"/>
      </w:pPr>
      <w:r w:rsidRPr="00666914">
        <w:rPr>
          <w:b/>
        </w:rPr>
        <w:t>Informácia o plnení NKIVS má popisný charakter, neanalyzuje príčiny súčasného stavu ani neurčuje opatrenia na dosiahnutie cieľových hodnôt.</w:t>
      </w:r>
      <w:r w:rsidRPr="00666914">
        <w:t xml:space="preserve"> Informácia o plnení NKIVS vyhodnocuje 46 merateľných ukazovateľov, hodnota pre rok 2018 bola však vyplnená len pre 29 ukazovateľov. Hodnota v roku 2018 výrazne zaostáva za cieľovou hodnotou minimálne v prípade 12 ukazovateľov. Informácia o plnení NKIVS riziko nedosiahnutia cieľových hodnôt nijako nevysvetľuje, neidentifikuje ani opatrenia na zlepšenie súčasného stavu. </w:t>
      </w:r>
    </w:p>
    <w:p w14:paraId="4E5E7CF6" w14:textId="77777777" w:rsidR="00386F6D" w:rsidRPr="00666914" w:rsidRDefault="00C45DA3">
      <w:pPr>
        <w:spacing w:before="240" w:after="0"/>
      </w:pPr>
      <w:sdt>
        <w:sdtPr>
          <w:tag w:val="goog_rdk_33"/>
          <w:id w:val="-1947524390"/>
        </w:sdtPr>
        <w:sdtEndPr/>
        <w:sdtContent/>
      </w:sdt>
      <w:sdt>
        <w:sdtPr>
          <w:tag w:val="goog_rdk_34"/>
          <w:id w:val="1425454044"/>
        </w:sdtPr>
        <w:sdtEndPr/>
        <w:sdtContent/>
      </w:sdt>
      <w:r w:rsidR="00386F6D" w:rsidRPr="00666914">
        <w:rPr>
          <w:b/>
        </w:rPr>
        <w:t>Odporúčanie IJ: Definovať globálny indikátor na hodnotenie celkového pokroku v oblasti informatizácie</w:t>
      </w:r>
      <w:r w:rsidR="00386F6D" w:rsidRPr="00666914">
        <w:t>, stanoviť cieľovú hodnotu a prostredníctvom tohto ukazovateľa komunikovať stav a vývoj informatizácie.</w:t>
      </w:r>
    </w:p>
    <w:p w14:paraId="19ECBA84" w14:textId="7F4FF550" w:rsidR="00386F6D" w:rsidRPr="00666914" w:rsidRDefault="00386F6D">
      <w:pPr>
        <w:spacing w:line="259" w:lineRule="auto"/>
        <w:jc w:val="left"/>
      </w:pPr>
    </w:p>
    <w:p w14:paraId="29BC28EE" w14:textId="3FC82A3E" w:rsidR="00386F6D" w:rsidRPr="00666914" w:rsidRDefault="00386F6D" w:rsidP="009F7DB5">
      <w:pPr>
        <w:pStyle w:val="Nadpis2"/>
      </w:pPr>
      <w:bookmarkStart w:id="271" w:name="_heading=h.2jxsxqh" w:colFirst="0" w:colLast="0"/>
      <w:bookmarkStart w:id="272" w:name="_Toc38447600"/>
      <w:bookmarkEnd w:id="271"/>
      <w:r w:rsidRPr="00666914">
        <w:t>Dáta a metodika</w:t>
      </w:r>
      <w:bookmarkEnd w:id="272"/>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35"/>
        <w:gridCol w:w="2746"/>
        <w:gridCol w:w="1447"/>
        <w:gridCol w:w="1158"/>
        <w:gridCol w:w="1158"/>
        <w:gridCol w:w="596"/>
        <w:gridCol w:w="593"/>
        <w:gridCol w:w="593"/>
        <w:gridCol w:w="582"/>
      </w:tblGrid>
      <w:tr w:rsidR="00A76274" w:rsidRPr="00666914" w14:paraId="4970D035" w14:textId="77777777" w:rsidTr="00A76274">
        <w:trPr>
          <w:trHeight w:val="535"/>
        </w:trPr>
        <w:tc>
          <w:tcPr>
            <w:tcW w:w="435" w:type="dxa"/>
            <w:shd w:val="clear" w:color="auto" w:fill="auto"/>
            <w:vAlign w:val="center"/>
          </w:tcPr>
          <w:p w14:paraId="327AF72C" w14:textId="77777777" w:rsidR="00386F6D" w:rsidRPr="00666914" w:rsidRDefault="00386F6D">
            <w:pPr>
              <w:spacing w:after="0"/>
              <w:jc w:val="center"/>
              <w:rPr>
                <w:color w:val="000000"/>
                <w:sz w:val="20"/>
                <w:szCs w:val="20"/>
              </w:rPr>
            </w:pPr>
            <w:r w:rsidRPr="00666914">
              <w:rPr>
                <w:color w:val="000000"/>
                <w:sz w:val="20"/>
                <w:szCs w:val="20"/>
              </w:rPr>
              <w:t> </w:t>
            </w:r>
          </w:p>
        </w:tc>
        <w:tc>
          <w:tcPr>
            <w:tcW w:w="2746" w:type="dxa"/>
            <w:shd w:val="clear" w:color="auto" w:fill="auto"/>
            <w:vAlign w:val="center"/>
          </w:tcPr>
          <w:p w14:paraId="32691C1E" w14:textId="77777777" w:rsidR="00386F6D" w:rsidRPr="00666914" w:rsidRDefault="00386F6D">
            <w:pPr>
              <w:spacing w:after="0"/>
              <w:jc w:val="center"/>
              <w:rPr>
                <w:b/>
                <w:color w:val="000000"/>
                <w:sz w:val="20"/>
                <w:szCs w:val="20"/>
              </w:rPr>
            </w:pPr>
            <w:r w:rsidRPr="00666914">
              <w:rPr>
                <w:b/>
                <w:color w:val="000000"/>
                <w:sz w:val="20"/>
                <w:szCs w:val="20"/>
              </w:rPr>
              <w:t>Opatrenie</w:t>
            </w:r>
          </w:p>
        </w:tc>
        <w:tc>
          <w:tcPr>
            <w:tcW w:w="1447" w:type="dxa"/>
            <w:shd w:val="clear" w:color="auto" w:fill="auto"/>
            <w:vAlign w:val="center"/>
          </w:tcPr>
          <w:p w14:paraId="0568692B" w14:textId="77777777" w:rsidR="00386F6D" w:rsidRPr="00666914" w:rsidRDefault="00386F6D">
            <w:pPr>
              <w:spacing w:after="0"/>
              <w:jc w:val="center"/>
              <w:rPr>
                <w:b/>
                <w:color w:val="000000"/>
                <w:sz w:val="20"/>
                <w:szCs w:val="20"/>
              </w:rPr>
            </w:pPr>
            <w:r w:rsidRPr="00666914">
              <w:rPr>
                <w:b/>
                <w:color w:val="000000"/>
                <w:sz w:val="20"/>
                <w:szCs w:val="20"/>
              </w:rPr>
              <w:t>Zodpovednosť</w:t>
            </w:r>
          </w:p>
        </w:tc>
        <w:tc>
          <w:tcPr>
            <w:tcW w:w="1158" w:type="dxa"/>
            <w:shd w:val="clear" w:color="auto" w:fill="auto"/>
            <w:vAlign w:val="center"/>
          </w:tcPr>
          <w:p w14:paraId="119747ED" w14:textId="77777777" w:rsidR="00386F6D" w:rsidRPr="00666914" w:rsidRDefault="00386F6D">
            <w:pPr>
              <w:spacing w:after="0"/>
              <w:jc w:val="center"/>
              <w:rPr>
                <w:b/>
                <w:color w:val="000000"/>
                <w:sz w:val="20"/>
                <w:szCs w:val="20"/>
              </w:rPr>
            </w:pPr>
            <w:r w:rsidRPr="00666914">
              <w:rPr>
                <w:b/>
                <w:color w:val="000000"/>
                <w:sz w:val="20"/>
                <w:szCs w:val="20"/>
              </w:rPr>
              <w:t>Termín plnenia</w:t>
            </w:r>
          </w:p>
        </w:tc>
        <w:tc>
          <w:tcPr>
            <w:tcW w:w="1158" w:type="dxa"/>
            <w:vAlign w:val="center"/>
          </w:tcPr>
          <w:p w14:paraId="73AF1680" w14:textId="77777777" w:rsidR="00386F6D" w:rsidRPr="00666914" w:rsidRDefault="00386F6D">
            <w:pPr>
              <w:spacing w:after="0"/>
              <w:jc w:val="center"/>
              <w:rPr>
                <w:b/>
                <w:color w:val="000000"/>
                <w:sz w:val="20"/>
                <w:szCs w:val="20"/>
              </w:rPr>
            </w:pPr>
            <w:r w:rsidRPr="00666914">
              <w:rPr>
                <w:b/>
                <w:color w:val="000000"/>
                <w:sz w:val="20"/>
                <w:szCs w:val="20"/>
              </w:rPr>
              <w:t>Nový termín</w:t>
            </w:r>
          </w:p>
        </w:tc>
        <w:tc>
          <w:tcPr>
            <w:tcW w:w="596" w:type="dxa"/>
            <w:shd w:val="clear" w:color="auto" w:fill="auto"/>
            <w:vAlign w:val="center"/>
          </w:tcPr>
          <w:p w14:paraId="1EFF30AD" w14:textId="77777777" w:rsidR="00386F6D" w:rsidRPr="00666914" w:rsidRDefault="00386F6D">
            <w:pPr>
              <w:spacing w:after="0"/>
              <w:jc w:val="center"/>
              <w:rPr>
                <w:b/>
                <w:color w:val="000000"/>
                <w:sz w:val="20"/>
                <w:szCs w:val="20"/>
              </w:rPr>
            </w:pPr>
            <w:r w:rsidRPr="00666914">
              <w:rPr>
                <w:b/>
                <w:color w:val="000000"/>
                <w:sz w:val="20"/>
                <w:szCs w:val="20"/>
              </w:rPr>
              <w:t>1Q 2019</w:t>
            </w:r>
          </w:p>
        </w:tc>
        <w:tc>
          <w:tcPr>
            <w:tcW w:w="593" w:type="dxa"/>
            <w:shd w:val="clear" w:color="auto" w:fill="auto"/>
            <w:vAlign w:val="center"/>
          </w:tcPr>
          <w:p w14:paraId="3EFB2035" w14:textId="77777777" w:rsidR="00386F6D" w:rsidRPr="00666914" w:rsidRDefault="00386F6D">
            <w:pPr>
              <w:spacing w:after="0"/>
              <w:jc w:val="center"/>
              <w:rPr>
                <w:b/>
                <w:color w:val="000000"/>
                <w:sz w:val="20"/>
                <w:szCs w:val="20"/>
              </w:rPr>
            </w:pPr>
            <w:r w:rsidRPr="00666914">
              <w:rPr>
                <w:b/>
                <w:color w:val="000000"/>
                <w:sz w:val="20"/>
                <w:szCs w:val="20"/>
              </w:rPr>
              <w:t>2Q 2019</w:t>
            </w:r>
          </w:p>
        </w:tc>
        <w:tc>
          <w:tcPr>
            <w:tcW w:w="593" w:type="dxa"/>
            <w:shd w:val="clear" w:color="auto" w:fill="auto"/>
            <w:vAlign w:val="center"/>
          </w:tcPr>
          <w:p w14:paraId="430F7668" w14:textId="77777777" w:rsidR="00386F6D" w:rsidRPr="00666914" w:rsidRDefault="00386F6D">
            <w:pPr>
              <w:spacing w:after="0"/>
              <w:jc w:val="center"/>
              <w:rPr>
                <w:b/>
                <w:color w:val="000000"/>
                <w:sz w:val="20"/>
                <w:szCs w:val="20"/>
              </w:rPr>
            </w:pPr>
            <w:r w:rsidRPr="00666914">
              <w:rPr>
                <w:b/>
                <w:color w:val="000000"/>
                <w:sz w:val="20"/>
                <w:szCs w:val="20"/>
              </w:rPr>
              <w:t>3Q 2019</w:t>
            </w:r>
          </w:p>
        </w:tc>
        <w:tc>
          <w:tcPr>
            <w:tcW w:w="582" w:type="dxa"/>
            <w:shd w:val="clear" w:color="auto" w:fill="auto"/>
            <w:vAlign w:val="center"/>
          </w:tcPr>
          <w:p w14:paraId="433E55DD" w14:textId="77777777" w:rsidR="00386F6D" w:rsidRPr="00666914" w:rsidRDefault="00386F6D">
            <w:pPr>
              <w:spacing w:after="0"/>
              <w:jc w:val="center"/>
              <w:rPr>
                <w:b/>
                <w:color w:val="000000"/>
                <w:sz w:val="20"/>
                <w:szCs w:val="20"/>
              </w:rPr>
            </w:pPr>
            <w:r w:rsidRPr="00666914">
              <w:rPr>
                <w:b/>
                <w:color w:val="000000"/>
                <w:sz w:val="20"/>
                <w:szCs w:val="20"/>
              </w:rPr>
              <w:t>4Q 2019</w:t>
            </w:r>
          </w:p>
        </w:tc>
      </w:tr>
      <w:tr w:rsidR="00A76274" w:rsidRPr="00666914" w14:paraId="2C27593B" w14:textId="77777777" w:rsidTr="00A76274">
        <w:trPr>
          <w:trHeight w:val="322"/>
        </w:trPr>
        <w:tc>
          <w:tcPr>
            <w:tcW w:w="435" w:type="dxa"/>
            <w:shd w:val="clear" w:color="auto" w:fill="auto"/>
            <w:vAlign w:val="center"/>
          </w:tcPr>
          <w:p w14:paraId="07F061B1" w14:textId="77777777" w:rsidR="00386F6D" w:rsidRPr="00666914" w:rsidRDefault="00386F6D">
            <w:pPr>
              <w:spacing w:after="0"/>
              <w:jc w:val="center"/>
              <w:rPr>
                <w:color w:val="000000"/>
                <w:sz w:val="20"/>
                <w:szCs w:val="20"/>
              </w:rPr>
            </w:pPr>
            <w:r w:rsidRPr="00666914">
              <w:rPr>
                <w:color w:val="000000"/>
                <w:sz w:val="20"/>
                <w:szCs w:val="20"/>
              </w:rPr>
              <w:t>13</w:t>
            </w:r>
          </w:p>
        </w:tc>
        <w:tc>
          <w:tcPr>
            <w:tcW w:w="2746" w:type="dxa"/>
            <w:shd w:val="clear" w:color="auto" w:fill="auto"/>
            <w:vAlign w:val="center"/>
          </w:tcPr>
          <w:p w14:paraId="2BE06E03" w14:textId="77777777" w:rsidR="00386F6D" w:rsidRPr="00666914" w:rsidRDefault="00386F6D">
            <w:pPr>
              <w:spacing w:after="0"/>
              <w:rPr>
                <w:color w:val="000000"/>
                <w:sz w:val="20"/>
                <w:szCs w:val="20"/>
              </w:rPr>
            </w:pPr>
            <w:r w:rsidRPr="00666914">
              <w:rPr>
                <w:color w:val="000000"/>
                <w:sz w:val="20"/>
                <w:szCs w:val="20"/>
              </w:rPr>
              <w:t>Aktualizovať metodiku CBA pre OP II (PO 7)</w:t>
            </w:r>
          </w:p>
        </w:tc>
        <w:tc>
          <w:tcPr>
            <w:tcW w:w="1447" w:type="dxa"/>
            <w:shd w:val="clear" w:color="auto" w:fill="auto"/>
            <w:vAlign w:val="center"/>
          </w:tcPr>
          <w:p w14:paraId="5BE93118" w14:textId="77777777" w:rsidR="00386F6D" w:rsidRPr="00666914" w:rsidRDefault="00386F6D">
            <w:pPr>
              <w:spacing w:after="0"/>
              <w:jc w:val="center"/>
              <w:rPr>
                <w:color w:val="000000"/>
                <w:sz w:val="20"/>
                <w:szCs w:val="20"/>
              </w:rPr>
            </w:pPr>
            <w:r w:rsidRPr="00666914">
              <w:rPr>
                <w:color w:val="000000"/>
                <w:sz w:val="20"/>
                <w:szCs w:val="20"/>
              </w:rPr>
              <w:t>ÚPVII</w:t>
            </w:r>
          </w:p>
        </w:tc>
        <w:tc>
          <w:tcPr>
            <w:tcW w:w="1158" w:type="dxa"/>
            <w:shd w:val="clear" w:color="auto" w:fill="auto"/>
            <w:vAlign w:val="center"/>
          </w:tcPr>
          <w:p w14:paraId="1C0D54EA" w14:textId="77777777" w:rsidR="00386F6D" w:rsidRPr="00666914" w:rsidRDefault="00386F6D">
            <w:pPr>
              <w:spacing w:after="0"/>
              <w:jc w:val="center"/>
              <w:rPr>
                <w:color w:val="000000"/>
                <w:sz w:val="20"/>
                <w:szCs w:val="20"/>
              </w:rPr>
            </w:pPr>
            <w:r w:rsidRPr="00666914">
              <w:rPr>
                <w:color w:val="000000"/>
                <w:sz w:val="20"/>
                <w:szCs w:val="20"/>
              </w:rPr>
              <w:t>30.3.2017</w:t>
            </w:r>
          </w:p>
        </w:tc>
        <w:tc>
          <w:tcPr>
            <w:tcW w:w="1158" w:type="dxa"/>
            <w:vAlign w:val="center"/>
          </w:tcPr>
          <w:p w14:paraId="467F5DC3" w14:textId="77777777" w:rsidR="00386F6D" w:rsidRPr="00666914" w:rsidRDefault="00386F6D">
            <w:pPr>
              <w:spacing w:after="0"/>
              <w:jc w:val="center"/>
              <w:rPr>
                <w:color w:val="000000"/>
                <w:sz w:val="20"/>
                <w:szCs w:val="20"/>
              </w:rPr>
            </w:pPr>
            <w:r w:rsidRPr="00666914">
              <w:rPr>
                <w:color w:val="000000"/>
                <w:sz w:val="20"/>
                <w:szCs w:val="20"/>
              </w:rPr>
              <w:t>priebežne</w:t>
            </w:r>
          </w:p>
        </w:tc>
        <w:tc>
          <w:tcPr>
            <w:tcW w:w="596" w:type="dxa"/>
            <w:shd w:val="clear" w:color="auto" w:fill="92D050"/>
            <w:vAlign w:val="bottom"/>
          </w:tcPr>
          <w:p w14:paraId="1F3CE9FE" w14:textId="77777777" w:rsidR="00386F6D" w:rsidRPr="00666914" w:rsidRDefault="00386F6D">
            <w:pPr>
              <w:spacing w:after="0"/>
              <w:rPr>
                <w:color w:val="000000"/>
                <w:sz w:val="20"/>
                <w:szCs w:val="20"/>
              </w:rPr>
            </w:pPr>
            <w:r w:rsidRPr="00666914">
              <w:rPr>
                <w:color w:val="000000"/>
                <w:sz w:val="20"/>
                <w:szCs w:val="20"/>
              </w:rPr>
              <w:t> </w:t>
            </w:r>
          </w:p>
        </w:tc>
        <w:tc>
          <w:tcPr>
            <w:tcW w:w="593" w:type="dxa"/>
            <w:shd w:val="clear" w:color="auto" w:fill="92D050"/>
            <w:vAlign w:val="bottom"/>
          </w:tcPr>
          <w:p w14:paraId="7EE97B2E" w14:textId="77777777" w:rsidR="00386F6D" w:rsidRPr="00666914" w:rsidRDefault="00386F6D">
            <w:pPr>
              <w:spacing w:after="0"/>
              <w:rPr>
                <w:color w:val="000000"/>
                <w:sz w:val="20"/>
                <w:szCs w:val="20"/>
              </w:rPr>
            </w:pPr>
            <w:r w:rsidRPr="00666914">
              <w:rPr>
                <w:color w:val="000000"/>
                <w:sz w:val="20"/>
                <w:szCs w:val="20"/>
              </w:rPr>
              <w:t> </w:t>
            </w:r>
          </w:p>
        </w:tc>
        <w:tc>
          <w:tcPr>
            <w:tcW w:w="593" w:type="dxa"/>
            <w:shd w:val="clear" w:color="auto" w:fill="92D050"/>
            <w:vAlign w:val="bottom"/>
          </w:tcPr>
          <w:p w14:paraId="5E277F9B" w14:textId="77777777" w:rsidR="00386F6D" w:rsidRPr="00666914" w:rsidRDefault="00386F6D">
            <w:pPr>
              <w:spacing w:after="0"/>
              <w:rPr>
                <w:color w:val="000000"/>
                <w:sz w:val="20"/>
                <w:szCs w:val="20"/>
              </w:rPr>
            </w:pPr>
            <w:r w:rsidRPr="00666914">
              <w:rPr>
                <w:color w:val="000000"/>
                <w:sz w:val="20"/>
                <w:szCs w:val="20"/>
              </w:rPr>
              <w:t> </w:t>
            </w:r>
          </w:p>
        </w:tc>
        <w:tc>
          <w:tcPr>
            <w:tcW w:w="582" w:type="dxa"/>
            <w:shd w:val="clear" w:color="auto" w:fill="92D050"/>
            <w:vAlign w:val="bottom"/>
          </w:tcPr>
          <w:p w14:paraId="2C574CBA" w14:textId="77777777" w:rsidR="00386F6D" w:rsidRPr="00666914" w:rsidRDefault="00386F6D">
            <w:pPr>
              <w:spacing w:after="0"/>
              <w:rPr>
                <w:color w:val="000000"/>
                <w:sz w:val="20"/>
                <w:szCs w:val="20"/>
              </w:rPr>
            </w:pPr>
            <w:r w:rsidRPr="00666914">
              <w:rPr>
                <w:color w:val="000000"/>
                <w:sz w:val="20"/>
                <w:szCs w:val="20"/>
              </w:rPr>
              <w:t> </w:t>
            </w:r>
          </w:p>
        </w:tc>
      </w:tr>
      <w:tr w:rsidR="00A76274" w:rsidRPr="00666914" w14:paraId="66DD3183" w14:textId="77777777" w:rsidTr="00A76274">
        <w:trPr>
          <w:trHeight w:val="322"/>
        </w:trPr>
        <w:tc>
          <w:tcPr>
            <w:tcW w:w="435" w:type="dxa"/>
            <w:shd w:val="clear" w:color="auto" w:fill="auto"/>
            <w:vAlign w:val="center"/>
          </w:tcPr>
          <w:p w14:paraId="7C970838" w14:textId="77777777" w:rsidR="00386F6D" w:rsidRPr="00666914" w:rsidRDefault="00386F6D">
            <w:pPr>
              <w:spacing w:after="0"/>
              <w:jc w:val="center"/>
              <w:rPr>
                <w:color w:val="000000"/>
                <w:sz w:val="20"/>
                <w:szCs w:val="20"/>
              </w:rPr>
            </w:pPr>
            <w:r w:rsidRPr="00666914">
              <w:rPr>
                <w:color w:val="000000"/>
                <w:sz w:val="20"/>
                <w:szCs w:val="20"/>
              </w:rPr>
              <w:t>14</w:t>
            </w:r>
          </w:p>
        </w:tc>
        <w:tc>
          <w:tcPr>
            <w:tcW w:w="2746" w:type="dxa"/>
            <w:shd w:val="clear" w:color="auto" w:fill="auto"/>
            <w:vAlign w:val="center"/>
          </w:tcPr>
          <w:p w14:paraId="492339BD" w14:textId="77777777" w:rsidR="00386F6D" w:rsidRPr="00666914" w:rsidRDefault="00386F6D">
            <w:pPr>
              <w:spacing w:after="0"/>
              <w:jc w:val="left"/>
              <w:rPr>
                <w:color w:val="000000"/>
                <w:sz w:val="20"/>
                <w:szCs w:val="20"/>
              </w:rPr>
            </w:pPr>
            <w:r w:rsidRPr="00666914">
              <w:rPr>
                <w:color w:val="000000"/>
                <w:sz w:val="20"/>
                <w:szCs w:val="20"/>
              </w:rPr>
              <w:t>Vypracovať definíciu štandardizovaného miesta zamestnanca z pohľadu IT</w:t>
            </w:r>
          </w:p>
        </w:tc>
        <w:tc>
          <w:tcPr>
            <w:tcW w:w="1447" w:type="dxa"/>
            <w:shd w:val="clear" w:color="auto" w:fill="auto"/>
            <w:vAlign w:val="center"/>
          </w:tcPr>
          <w:p w14:paraId="676AE8FD" w14:textId="77777777" w:rsidR="00386F6D" w:rsidRPr="00666914" w:rsidRDefault="00386F6D">
            <w:pPr>
              <w:spacing w:after="0"/>
              <w:jc w:val="center"/>
              <w:rPr>
                <w:color w:val="000000"/>
                <w:sz w:val="20"/>
                <w:szCs w:val="20"/>
              </w:rPr>
            </w:pPr>
            <w:r w:rsidRPr="00666914">
              <w:rPr>
                <w:color w:val="000000"/>
                <w:sz w:val="20"/>
                <w:szCs w:val="20"/>
              </w:rPr>
              <w:t xml:space="preserve">ÚPVII </w:t>
            </w:r>
          </w:p>
        </w:tc>
        <w:tc>
          <w:tcPr>
            <w:tcW w:w="1158" w:type="dxa"/>
            <w:shd w:val="clear" w:color="auto" w:fill="auto"/>
            <w:vAlign w:val="center"/>
          </w:tcPr>
          <w:p w14:paraId="0B79303E" w14:textId="77777777" w:rsidR="00386F6D" w:rsidRPr="00666914" w:rsidRDefault="00386F6D">
            <w:pPr>
              <w:spacing w:after="0"/>
              <w:jc w:val="center"/>
              <w:rPr>
                <w:color w:val="000000"/>
                <w:sz w:val="20"/>
                <w:szCs w:val="20"/>
              </w:rPr>
            </w:pPr>
            <w:r w:rsidRPr="00666914">
              <w:rPr>
                <w:color w:val="000000"/>
                <w:sz w:val="20"/>
                <w:szCs w:val="20"/>
              </w:rPr>
              <w:t>30.1.2019</w:t>
            </w:r>
          </w:p>
        </w:tc>
        <w:tc>
          <w:tcPr>
            <w:tcW w:w="1158" w:type="dxa"/>
            <w:vAlign w:val="center"/>
          </w:tcPr>
          <w:p w14:paraId="433C7771" w14:textId="77777777" w:rsidR="00386F6D" w:rsidRPr="00666914" w:rsidRDefault="00386F6D">
            <w:pPr>
              <w:spacing w:after="0"/>
              <w:jc w:val="center"/>
              <w:rPr>
                <w:color w:val="000000"/>
                <w:sz w:val="20"/>
                <w:szCs w:val="20"/>
              </w:rPr>
            </w:pPr>
            <w:r w:rsidRPr="00666914">
              <w:rPr>
                <w:color w:val="000000"/>
                <w:sz w:val="20"/>
                <w:szCs w:val="20"/>
              </w:rPr>
              <w:t>31.12.2019</w:t>
            </w:r>
          </w:p>
        </w:tc>
        <w:tc>
          <w:tcPr>
            <w:tcW w:w="596" w:type="dxa"/>
            <w:shd w:val="clear" w:color="auto" w:fill="FF0000"/>
            <w:vAlign w:val="bottom"/>
          </w:tcPr>
          <w:p w14:paraId="01BEF762" w14:textId="77777777" w:rsidR="00386F6D" w:rsidRPr="00666914" w:rsidRDefault="00386F6D">
            <w:pPr>
              <w:spacing w:after="0"/>
              <w:rPr>
                <w:color w:val="000000"/>
                <w:sz w:val="20"/>
                <w:szCs w:val="20"/>
              </w:rPr>
            </w:pPr>
            <w:r w:rsidRPr="00666914">
              <w:rPr>
                <w:color w:val="000000"/>
                <w:sz w:val="20"/>
                <w:szCs w:val="20"/>
              </w:rPr>
              <w:t> </w:t>
            </w:r>
          </w:p>
        </w:tc>
        <w:tc>
          <w:tcPr>
            <w:tcW w:w="593" w:type="dxa"/>
            <w:shd w:val="clear" w:color="auto" w:fill="FF0000"/>
            <w:vAlign w:val="bottom"/>
          </w:tcPr>
          <w:p w14:paraId="1625091A" w14:textId="77777777" w:rsidR="00386F6D" w:rsidRPr="00666914" w:rsidRDefault="00386F6D">
            <w:pPr>
              <w:spacing w:after="0"/>
              <w:rPr>
                <w:color w:val="000000"/>
                <w:sz w:val="20"/>
                <w:szCs w:val="20"/>
              </w:rPr>
            </w:pPr>
            <w:r w:rsidRPr="00666914">
              <w:rPr>
                <w:color w:val="000000"/>
                <w:sz w:val="20"/>
                <w:szCs w:val="20"/>
              </w:rPr>
              <w:t> </w:t>
            </w:r>
          </w:p>
        </w:tc>
        <w:tc>
          <w:tcPr>
            <w:tcW w:w="593" w:type="dxa"/>
            <w:shd w:val="clear" w:color="auto" w:fill="FF0000"/>
            <w:vAlign w:val="bottom"/>
          </w:tcPr>
          <w:p w14:paraId="25DADB27" w14:textId="77777777" w:rsidR="00386F6D" w:rsidRPr="00666914" w:rsidRDefault="00386F6D">
            <w:pPr>
              <w:spacing w:after="0"/>
              <w:rPr>
                <w:color w:val="000000"/>
                <w:sz w:val="20"/>
                <w:szCs w:val="20"/>
              </w:rPr>
            </w:pPr>
            <w:r w:rsidRPr="00666914">
              <w:rPr>
                <w:color w:val="000000"/>
                <w:sz w:val="20"/>
                <w:szCs w:val="20"/>
              </w:rPr>
              <w:t> </w:t>
            </w:r>
          </w:p>
        </w:tc>
        <w:tc>
          <w:tcPr>
            <w:tcW w:w="582" w:type="dxa"/>
            <w:shd w:val="clear" w:color="auto" w:fill="FF0000"/>
            <w:vAlign w:val="bottom"/>
          </w:tcPr>
          <w:p w14:paraId="58163431" w14:textId="77777777" w:rsidR="00386F6D" w:rsidRPr="00666914" w:rsidRDefault="00386F6D">
            <w:pPr>
              <w:spacing w:after="0"/>
              <w:rPr>
                <w:color w:val="000000"/>
                <w:sz w:val="20"/>
                <w:szCs w:val="20"/>
              </w:rPr>
            </w:pPr>
            <w:r w:rsidRPr="00666914">
              <w:rPr>
                <w:color w:val="000000"/>
                <w:sz w:val="20"/>
                <w:szCs w:val="20"/>
              </w:rPr>
              <w:t> </w:t>
            </w:r>
          </w:p>
        </w:tc>
      </w:tr>
      <w:tr w:rsidR="00A76274" w:rsidRPr="00666914" w14:paraId="334A29E5" w14:textId="77777777" w:rsidTr="00A76274">
        <w:trPr>
          <w:trHeight w:val="322"/>
        </w:trPr>
        <w:tc>
          <w:tcPr>
            <w:tcW w:w="435" w:type="dxa"/>
            <w:shd w:val="clear" w:color="auto" w:fill="auto"/>
            <w:vAlign w:val="center"/>
          </w:tcPr>
          <w:p w14:paraId="4EC15624" w14:textId="77777777" w:rsidR="00386F6D" w:rsidRPr="00666914" w:rsidRDefault="00386F6D">
            <w:pPr>
              <w:spacing w:after="0"/>
              <w:jc w:val="center"/>
              <w:rPr>
                <w:color w:val="000000"/>
                <w:sz w:val="20"/>
                <w:szCs w:val="20"/>
              </w:rPr>
            </w:pPr>
            <w:r w:rsidRPr="00666914">
              <w:rPr>
                <w:color w:val="000000"/>
                <w:sz w:val="20"/>
                <w:szCs w:val="20"/>
              </w:rPr>
              <w:t>15</w:t>
            </w:r>
          </w:p>
        </w:tc>
        <w:tc>
          <w:tcPr>
            <w:tcW w:w="2746" w:type="dxa"/>
            <w:shd w:val="clear" w:color="auto" w:fill="auto"/>
            <w:vAlign w:val="center"/>
          </w:tcPr>
          <w:p w14:paraId="6A127DF7" w14:textId="77777777" w:rsidR="00386F6D" w:rsidRPr="00666914" w:rsidRDefault="00386F6D">
            <w:pPr>
              <w:spacing w:after="0"/>
              <w:rPr>
                <w:color w:val="000000"/>
                <w:sz w:val="20"/>
                <w:szCs w:val="20"/>
              </w:rPr>
            </w:pPr>
            <w:r w:rsidRPr="00666914">
              <w:rPr>
                <w:color w:val="000000"/>
                <w:sz w:val="20"/>
                <w:szCs w:val="20"/>
              </w:rPr>
              <w:t>Aktualizovať údaje o všetkých informačných systémoch verejnej správy v IS META IS</w:t>
            </w:r>
          </w:p>
        </w:tc>
        <w:tc>
          <w:tcPr>
            <w:tcW w:w="1447" w:type="dxa"/>
            <w:shd w:val="clear" w:color="auto" w:fill="auto"/>
            <w:vAlign w:val="center"/>
          </w:tcPr>
          <w:p w14:paraId="6277533B" w14:textId="77777777" w:rsidR="00386F6D" w:rsidRPr="00666914" w:rsidRDefault="00386F6D">
            <w:pPr>
              <w:spacing w:after="0"/>
              <w:jc w:val="center"/>
              <w:rPr>
                <w:color w:val="000000"/>
                <w:sz w:val="20"/>
                <w:szCs w:val="20"/>
              </w:rPr>
            </w:pPr>
            <w:r w:rsidRPr="00666914">
              <w:rPr>
                <w:color w:val="000000"/>
                <w:sz w:val="20"/>
                <w:szCs w:val="20"/>
              </w:rPr>
              <w:t xml:space="preserve">ÚPVII </w:t>
            </w:r>
          </w:p>
        </w:tc>
        <w:tc>
          <w:tcPr>
            <w:tcW w:w="1158" w:type="dxa"/>
            <w:shd w:val="clear" w:color="auto" w:fill="auto"/>
            <w:vAlign w:val="center"/>
          </w:tcPr>
          <w:p w14:paraId="16C0EADC" w14:textId="77777777" w:rsidR="00386F6D" w:rsidRPr="00666914" w:rsidRDefault="00386F6D">
            <w:pPr>
              <w:spacing w:after="0"/>
              <w:jc w:val="center"/>
              <w:rPr>
                <w:color w:val="000000"/>
                <w:sz w:val="20"/>
                <w:szCs w:val="20"/>
              </w:rPr>
            </w:pPr>
            <w:r w:rsidRPr="00666914">
              <w:rPr>
                <w:color w:val="000000"/>
                <w:sz w:val="20"/>
                <w:szCs w:val="20"/>
              </w:rPr>
              <w:t>31.12.2017</w:t>
            </w:r>
          </w:p>
        </w:tc>
        <w:tc>
          <w:tcPr>
            <w:tcW w:w="1158" w:type="dxa"/>
            <w:vAlign w:val="center"/>
          </w:tcPr>
          <w:p w14:paraId="01FEA708" w14:textId="77777777" w:rsidR="00386F6D" w:rsidRPr="00666914" w:rsidRDefault="00386F6D">
            <w:pPr>
              <w:spacing w:after="0"/>
              <w:jc w:val="center"/>
              <w:rPr>
                <w:color w:val="000000"/>
                <w:sz w:val="20"/>
                <w:szCs w:val="20"/>
              </w:rPr>
            </w:pPr>
            <w:r w:rsidRPr="00666914">
              <w:rPr>
                <w:color w:val="000000"/>
                <w:sz w:val="20"/>
                <w:szCs w:val="20"/>
              </w:rPr>
              <w:t>30.6.2019</w:t>
            </w:r>
          </w:p>
        </w:tc>
        <w:tc>
          <w:tcPr>
            <w:tcW w:w="596" w:type="dxa"/>
            <w:shd w:val="clear" w:color="auto" w:fill="C00000"/>
            <w:vAlign w:val="bottom"/>
          </w:tcPr>
          <w:p w14:paraId="215A9EB9" w14:textId="77777777" w:rsidR="00386F6D" w:rsidRPr="00666914" w:rsidRDefault="00386F6D">
            <w:pPr>
              <w:spacing w:after="0"/>
              <w:rPr>
                <w:color w:val="000000"/>
                <w:sz w:val="20"/>
                <w:szCs w:val="20"/>
              </w:rPr>
            </w:pPr>
          </w:p>
        </w:tc>
        <w:tc>
          <w:tcPr>
            <w:tcW w:w="593" w:type="dxa"/>
            <w:shd w:val="clear" w:color="auto" w:fill="C00000"/>
            <w:vAlign w:val="bottom"/>
          </w:tcPr>
          <w:p w14:paraId="2C87D742" w14:textId="77777777" w:rsidR="00386F6D" w:rsidRPr="00666914" w:rsidRDefault="00386F6D">
            <w:pPr>
              <w:spacing w:after="0"/>
              <w:rPr>
                <w:color w:val="000000"/>
                <w:sz w:val="20"/>
                <w:szCs w:val="20"/>
              </w:rPr>
            </w:pPr>
          </w:p>
        </w:tc>
        <w:tc>
          <w:tcPr>
            <w:tcW w:w="593" w:type="dxa"/>
            <w:shd w:val="clear" w:color="auto" w:fill="FFC000"/>
            <w:vAlign w:val="bottom"/>
          </w:tcPr>
          <w:p w14:paraId="7259C45B" w14:textId="77777777" w:rsidR="00386F6D" w:rsidRPr="00666914" w:rsidRDefault="00386F6D">
            <w:pPr>
              <w:spacing w:after="0"/>
              <w:jc w:val="center"/>
              <w:rPr>
                <w:color w:val="000000"/>
                <w:sz w:val="20"/>
                <w:szCs w:val="20"/>
              </w:rPr>
            </w:pPr>
          </w:p>
        </w:tc>
        <w:tc>
          <w:tcPr>
            <w:tcW w:w="582" w:type="dxa"/>
            <w:shd w:val="clear" w:color="auto" w:fill="FFC000"/>
            <w:vAlign w:val="bottom"/>
          </w:tcPr>
          <w:p w14:paraId="78CEDEE7" w14:textId="77777777" w:rsidR="00386F6D" w:rsidRPr="00666914" w:rsidRDefault="00386F6D">
            <w:pPr>
              <w:spacing w:after="0"/>
              <w:jc w:val="center"/>
              <w:rPr>
                <w:color w:val="000000"/>
                <w:sz w:val="20"/>
                <w:szCs w:val="20"/>
              </w:rPr>
            </w:pPr>
          </w:p>
        </w:tc>
      </w:tr>
      <w:tr w:rsidR="00A76274" w:rsidRPr="00666914" w14:paraId="0BD2C4E1" w14:textId="77777777" w:rsidTr="00A76274">
        <w:trPr>
          <w:trHeight w:val="322"/>
        </w:trPr>
        <w:tc>
          <w:tcPr>
            <w:tcW w:w="435" w:type="dxa"/>
            <w:shd w:val="clear" w:color="auto" w:fill="auto"/>
            <w:vAlign w:val="center"/>
          </w:tcPr>
          <w:p w14:paraId="3F361846" w14:textId="77777777" w:rsidR="00386F6D" w:rsidRPr="00666914" w:rsidRDefault="00386F6D">
            <w:pPr>
              <w:spacing w:after="0"/>
              <w:jc w:val="center"/>
              <w:rPr>
                <w:color w:val="000000"/>
                <w:sz w:val="20"/>
                <w:szCs w:val="20"/>
              </w:rPr>
            </w:pPr>
            <w:r w:rsidRPr="00666914">
              <w:rPr>
                <w:color w:val="000000"/>
                <w:sz w:val="20"/>
                <w:szCs w:val="20"/>
              </w:rPr>
              <w:t>16</w:t>
            </w:r>
          </w:p>
        </w:tc>
        <w:tc>
          <w:tcPr>
            <w:tcW w:w="2746" w:type="dxa"/>
            <w:shd w:val="clear" w:color="auto" w:fill="auto"/>
            <w:vAlign w:val="center"/>
          </w:tcPr>
          <w:p w14:paraId="194E065B" w14:textId="77777777" w:rsidR="00386F6D" w:rsidRPr="00666914" w:rsidRDefault="00386F6D">
            <w:pPr>
              <w:spacing w:after="0"/>
              <w:rPr>
                <w:color w:val="000000"/>
                <w:sz w:val="20"/>
                <w:szCs w:val="20"/>
              </w:rPr>
            </w:pPr>
            <w:r w:rsidRPr="00666914">
              <w:rPr>
                <w:color w:val="000000"/>
                <w:sz w:val="20"/>
                <w:szCs w:val="20"/>
              </w:rPr>
              <w:t>Navrhnúť zber dát v rezortných podprogramoch s registrom ISVS</w:t>
            </w:r>
          </w:p>
        </w:tc>
        <w:tc>
          <w:tcPr>
            <w:tcW w:w="1447" w:type="dxa"/>
            <w:shd w:val="clear" w:color="auto" w:fill="auto"/>
            <w:vAlign w:val="center"/>
          </w:tcPr>
          <w:p w14:paraId="61568B20" w14:textId="77777777" w:rsidR="00386F6D" w:rsidRPr="00666914" w:rsidRDefault="00386F6D">
            <w:pPr>
              <w:spacing w:after="0"/>
              <w:jc w:val="center"/>
              <w:rPr>
                <w:color w:val="000000"/>
                <w:sz w:val="20"/>
                <w:szCs w:val="20"/>
              </w:rPr>
            </w:pPr>
            <w:r w:rsidRPr="00666914">
              <w:rPr>
                <w:color w:val="000000"/>
                <w:sz w:val="20"/>
                <w:szCs w:val="20"/>
              </w:rPr>
              <w:t>ÚPVII, MF SR</w:t>
            </w:r>
          </w:p>
        </w:tc>
        <w:tc>
          <w:tcPr>
            <w:tcW w:w="1158" w:type="dxa"/>
            <w:shd w:val="clear" w:color="auto" w:fill="auto"/>
            <w:vAlign w:val="center"/>
          </w:tcPr>
          <w:p w14:paraId="5024420F" w14:textId="77777777" w:rsidR="00386F6D" w:rsidRPr="00666914" w:rsidRDefault="00386F6D">
            <w:pPr>
              <w:spacing w:after="0"/>
              <w:jc w:val="center"/>
              <w:rPr>
                <w:color w:val="000000"/>
                <w:sz w:val="20"/>
                <w:szCs w:val="20"/>
              </w:rPr>
            </w:pPr>
            <w:r w:rsidRPr="00666914">
              <w:rPr>
                <w:color w:val="000000"/>
                <w:sz w:val="20"/>
                <w:szCs w:val="20"/>
              </w:rPr>
              <w:t>30.3.2017</w:t>
            </w:r>
          </w:p>
        </w:tc>
        <w:tc>
          <w:tcPr>
            <w:tcW w:w="1158" w:type="dxa"/>
            <w:vAlign w:val="center"/>
          </w:tcPr>
          <w:p w14:paraId="1A0727D2" w14:textId="77777777" w:rsidR="00386F6D" w:rsidRPr="00666914" w:rsidRDefault="00386F6D">
            <w:pPr>
              <w:spacing w:after="0"/>
              <w:jc w:val="center"/>
              <w:rPr>
                <w:color w:val="000000"/>
                <w:sz w:val="20"/>
                <w:szCs w:val="20"/>
              </w:rPr>
            </w:pPr>
            <w:r w:rsidRPr="00666914">
              <w:rPr>
                <w:color w:val="000000"/>
                <w:sz w:val="20"/>
                <w:szCs w:val="20"/>
              </w:rPr>
              <w:t>30.6.2019</w:t>
            </w:r>
          </w:p>
        </w:tc>
        <w:tc>
          <w:tcPr>
            <w:tcW w:w="596" w:type="dxa"/>
            <w:shd w:val="clear" w:color="auto" w:fill="FFC000"/>
            <w:vAlign w:val="bottom"/>
          </w:tcPr>
          <w:p w14:paraId="1F8F6C1F" w14:textId="77777777" w:rsidR="00386F6D" w:rsidRPr="00666914" w:rsidRDefault="00386F6D">
            <w:pPr>
              <w:spacing w:after="0"/>
              <w:rPr>
                <w:color w:val="000000"/>
                <w:sz w:val="20"/>
                <w:szCs w:val="20"/>
              </w:rPr>
            </w:pPr>
          </w:p>
        </w:tc>
        <w:tc>
          <w:tcPr>
            <w:tcW w:w="593" w:type="dxa"/>
            <w:shd w:val="clear" w:color="auto" w:fill="FFC000"/>
            <w:vAlign w:val="bottom"/>
          </w:tcPr>
          <w:p w14:paraId="5C33AA04" w14:textId="77777777" w:rsidR="00386F6D" w:rsidRPr="00666914" w:rsidRDefault="00386F6D">
            <w:pPr>
              <w:spacing w:after="0"/>
              <w:rPr>
                <w:color w:val="000000"/>
                <w:sz w:val="20"/>
                <w:szCs w:val="20"/>
              </w:rPr>
            </w:pPr>
          </w:p>
        </w:tc>
        <w:tc>
          <w:tcPr>
            <w:tcW w:w="593" w:type="dxa"/>
            <w:shd w:val="clear" w:color="auto" w:fill="FFC000"/>
            <w:vAlign w:val="bottom"/>
          </w:tcPr>
          <w:p w14:paraId="450E439A" w14:textId="77777777" w:rsidR="00386F6D" w:rsidRPr="00666914" w:rsidRDefault="00386F6D">
            <w:pPr>
              <w:spacing w:after="0"/>
              <w:jc w:val="center"/>
              <w:rPr>
                <w:color w:val="000000"/>
                <w:sz w:val="20"/>
                <w:szCs w:val="20"/>
              </w:rPr>
            </w:pPr>
          </w:p>
        </w:tc>
        <w:tc>
          <w:tcPr>
            <w:tcW w:w="582" w:type="dxa"/>
            <w:shd w:val="clear" w:color="auto" w:fill="FFC000"/>
            <w:vAlign w:val="bottom"/>
          </w:tcPr>
          <w:p w14:paraId="4F445737" w14:textId="77777777" w:rsidR="00386F6D" w:rsidRPr="00666914" w:rsidRDefault="00386F6D">
            <w:pPr>
              <w:spacing w:after="0"/>
              <w:jc w:val="center"/>
              <w:rPr>
                <w:color w:val="000000"/>
                <w:sz w:val="20"/>
                <w:szCs w:val="20"/>
              </w:rPr>
            </w:pPr>
          </w:p>
        </w:tc>
      </w:tr>
      <w:tr w:rsidR="00A76274" w:rsidRPr="00666914" w14:paraId="619206FD" w14:textId="77777777" w:rsidTr="00A76274">
        <w:trPr>
          <w:trHeight w:val="322"/>
        </w:trPr>
        <w:tc>
          <w:tcPr>
            <w:tcW w:w="435" w:type="dxa"/>
            <w:shd w:val="clear" w:color="auto" w:fill="auto"/>
            <w:vAlign w:val="center"/>
          </w:tcPr>
          <w:p w14:paraId="2FD7B4CB" w14:textId="77777777" w:rsidR="00386F6D" w:rsidRPr="00666914" w:rsidRDefault="00386F6D">
            <w:pPr>
              <w:spacing w:after="0"/>
              <w:jc w:val="center"/>
              <w:rPr>
                <w:color w:val="000000"/>
                <w:sz w:val="20"/>
                <w:szCs w:val="20"/>
              </w:rPr>
            </w:pPr>
            <w:r w:rsidRPr="00666914">
              <w:rPr>
                <w:color w:val="000000"/>
                <w:sz w:val="20"/>
                <w:szCs w:val="20"/>
              </w:rPr>
              <w:t>17</w:t>
            </w:r>
          </w:p>
        </w:tc>
        <w:tc>
          <w:tcPr>
            <w:tcW w:w="2746" w:type="dxa"/>
            <w:shd w:val="clear" w:color="auto" w:fill="auto"/>
            <w:vAlign w:val="center"/>
          </w:tcPr>
          <w:p w14:paraId="013FAD69" w14:textId="77777777" w:rsidR="00386F6D" w:rsidRPr="00666914" w:rsidRDefault="00386F6D">
            <w:pPr>
              <w:spacing w:after="0"/>
              <w:jc w:val="left"/>
              <w:rPr>
                <w:color w:val="000000"/>
                <w:sz w:val="20"/>
                <w:szCs w:val="20"/>
              </w:rPr>
            </w:pPr>
            <w:r w:rsidRPr="00666914">
              <w:rPr>
                <w:color w:val="000000"/>
                <w:sz w:val="20"/>
                <w:szCs w:val="20"/>
              </w:rPr>
              <w:t>Návrh zberu dát za účelom benchmarkingu prevádzky výdavkov na IT</w:t>
            </w:r>
          </w:p>
        </w:tc>
        <w:tc>
          <w:tcPr>
            <w:tcW w:w="1447" w:type="dxa"/>
            <w:shd w:val="clear" w:color="auto" w:fill="auto"/>
            <w:vAlign w:val="center"/>
          </w:tcPr>
          <w:p w14:paraId="02EC4A93" w14:textId="77777777" w:rsidR="00386F6D" w:rsidRPr="00666914" w:rsidRDefault="00386F6D">
            <w:pPr>
              <w:spacing w:after="0"/>
              <w:jc w:val="center"/>
              <w:rPr>
                <w:color w:val="000000"/>
                <w:sz w:val="20"/>
                <w:szCs w:val="20"/>
              </w:rPr>
            </w:pPr>
            <w:r w:rsidRPr="00666914">
              <w:rPr>
                <w:color w:val="000000"/>
                <w:sz w:val="20"/>
                <w:szCs w:val="20"/>
              </w:rPr>
              <w:t>ÚPVII, MF SR</w:t>
            </w:r>
          </w:p>
        </w:tc>
        <w:tc>
          <w:tcPr>
            <w:tcW w:w="1158" w:type="dxa"/>
            <w:shd w:val="clear" w:color="auto" w:fill="auto"/>
            <w:vAlign w:val="center"/>
          </w:tcPr>
          <w:p w14:paraId="3DF58A13" w14:textId="77777777" w:rsidR="00386F6D" w:rsidRPr="00666914" w:rsidRDefault="00386F6D">
            <w:pPr>
              <w:spacing w:after="0"/>
              <w:jc w:val="center"/>
              <w:rPr>
                <w:color w:val="000000"/>
                <w:sz w:val="20"/>
                <w:szCs w:val="20"/>
              </w:rPr>
            </w:pPr>
            <w:r w:rsidRPr="00666914">
              <w:rPr>
                <w:color w:val="000000"/>
                <w:sz w:val="20"/>
                <w:szCs w:val="20"/>
              </w:rPr>
              <w:t>31.12.2017</w:t>
            </w:r>
          </w:p>
        </w:tc>
        <w:tc>
          <w:tcPr>
            <w:tcW w:w="1158" w:type="dxa"/>
            <w:vAlign w:val="center"/>
          </w:tcPr>
          <w:p w14:paraId="0FBEC160" w14:textId="77777777" w:rsidR="00386F6D" w:rsidRPr="00666914" w:rsidRDefault="00386F6D">
            <w:pPr>
              <w:spacing w:after="0"/>
              <w:jc w:val="center"/>
              <w:rPr>
                <w:color w:val="000000"/>
                <w:sz w:val="20"/>
                <w:szCs w:val="20"/>
              </w:rPr>
            </w:pPr>
            <w:r w:rsidRPr="00666914">
              <w:rPr>
                <w:color w:val="000000"/>
                <w:sz w:val="20"/>
                <w:szCs w:val="20"/>
              </w:rPr>
              <w:t>31.12.2019</w:t>
            </w:r>
          </w:p>
        </w:tc>
        <w:tc>
          <w:tcPr>
            <w:tcW w:w="596" w:type="dxa"/>
            <w:shd w:val="clear" w:color="auto" w:fill="FF0000"/>
            <w:vAlign w:val="bottom"/>
          </w:tcPr>
          <w:p w14:paraId="240D292A" w14:textId="77777777" w:rsidR="00386F6D" w:rsidRPr="00666914" w:rsidRDefault="00386F6D">
            <w:pPr>
              <w:spacing w:after="0"/>
              <w:rPr>
                <w:color w:val="000000"/>
                <w:sz w:val="20"/>
                <w:szCs w:val="20"/>
              </w:rPr>
            </w:pPr>
          </w:p>
        </w:tc>
        <w:tc>
          <w:tcPr>
            <w:tcW w:w="593" w:type="dxa"/>
            <w:shd w:val="clear" w:color="auto" w:fill="FF0000"/>
            <w:vAlign w:val="bottom"/>
          </w:tcPr>
          <w:p w14:paraId="27F0E6F5" w14:textId="77777777" w:rsidR="00386F6D" w:rsidRPr="00666914" w:rsidRDefault="00386F6D">
            <w:pPr>
              <w:spacing w:after="0"/>
              <w:rPr>
                <w:color w:val="000000"/>
                <w:sz w:val="20"/>
                <w:szCs w:val="20"/>
              </w:rPr>
            </w:pPr>
          </w:p>
        </w:tc>
        <w:tc>
          <w:tcPr>
            <w:tcW w:w="593" w:type="dxa"/>
            <w:shd w:val="clear" w:color="auto" w:fill="FF0000"/>
            <w:vAlign w:val="bottom"/>
          </w:tcPr>
          <w:p w14:paraId="5FD90F68" w14:textId="77777777" w:rsidR="00386F6D" w:rsidRPr="00666914" w:rsidRDefault="00386F6D">
            <w:pPr>
              <w:spacing w:after="0"/>
              <w:rPr>
                <w:color w:val="000000"/>
                <w:sz w:val="20"/>
                <w:szCs w:val="20"/>
              </w:rPr>
            </w:pPr>
          </w:p>
        </w:tc>
        <w:tc>
          <w:tcPr>
            <w:tcW w:w="582" w:type="dxa"/>
            <w:shd w:val="clear" w:color="auto" w:fill="FF0000"/>
            <w:vAlign w:val="bottom"/>
          </w:tcPr>
          <w:p w14:paraId="2530F0C9" w14:textId="77777777" w:rsidR="00386F6D" w:rsidRPr="00666914" w:rsidRDefault="00386F6D">
            <w:pPr>
              <w:spacing w:after="0"/>
              <w:rPr>
                <w:color w:val="000000"/>
                <w:sz w:val="20"/>
                <w:szCs w:val="20"/>
              </w:rPr>
            </w:pPr>
          </w:p>
        </w:tc>
      </w:tr>
    </w:tbl>
    <w:p w14:paraId="3A230C0D" w14:textId="77777777" w:rsidR="00386F6D" w:rsidRPr="00666914" w:rsidRDefault="00386F6D">
      <w:pPr>
        <w:spacing w:after="0" w:line="259" w:lineRule="auto"/>
        <w:jc w:val="left"/>
      </w:pPr>
    </w:p>
    <w:p w14:paraId="6D921707" w14:textId="77777777" w:rsidR="00386F6D" w:rsidRPr="00666914" w:rsidRDefault="00386F6D" w:rsidP="00131B23">
      <w:pPr>
        <w:numPr>
          <w:ilvl w:val="0"/>
          <w:numId w:val="16"/>
        </w:numPr>
        <w:spacing w:after="0" w:line="259" w:lineRule="auto"/>
        <w:rPr>
          <w:b/>
          <w:u w:val="single"/>
        </w:rPr>
      </w:pPr>
      <w:r w:rsidRPr="00666914">
        <w:rPr>
          <w:b/>
          <w:u w:val="single"/>
        </w:rPr>
        <w:t>Aktualizovať metodiku CBA pre OP II (PO 7)</w:t>
      </w:r>
    </w:p>
    <w:p w14:paraId="188A4C40" w14:textId="77777777" w:rsidR="00386F6D" w:rsidRPr="00666914" w:rsidRDefault="00386F6D">
      <w:pPr>
        <w:spacing w:after="0"/>
        <w:rPr>
          <w:b/>
          <w:u w:val="single"/>
        </w:rPr>
      </w:pPr>
    </w:p>
    <w:p w14:paraId="0C9BEB86" w14:textId="77777777" w:rsidR="00386F6D" w:rsidRPr="00666914" w:rsidRDefault="00386F6D">
      <w:pPr>
        <w:spacing w:after="0"/>
        <w:rPr>
          <w:b/>
        </w:rPr>
      </w:pPr>
      <w:r w:rsidRPr="00666914">
        <w:rPr>
          <w:b/>
        </w:rPr>
        <w:t>Splnením tohto opatrenia vzniká podľa IJ ÚV SR zásadný nástroj na zjednotenie pravidiel pre posudzovanie investičných projektov v IT do budúcnosti</w:t>
      </w:r>
      <w:r w:rsidRPr="00666914">
        <w:t>. Metodika CBA bola aktualizovaná v rámci Metodického pokynu</w:t>
      </w:r>
      <w:r w:rsidRPr="00666914">
        <w:rPr>
          <w:vertAlign w:val="superscript"/>
        </w:rPr>
        <w:footnoteReference w:id="138"/>
      </w:r>
      <w:r w:rsidRPr="00666914">
        <w:t xml:space="preserve"> v 3Q2018. Podľa aktualizovanej metodiky </w:t>
      </w:r>
      <w:sdt>
        <w:sdtPr>
          <w:tag w:val="goog_rdk_35"/>
          <w:id w:val="-1698614343"/>
        </w:sdtPr>
        <w:sdtEndPr/>
        <w:sdtContent/>
      </w:sdt>
      <w:r w:rsidRPr="00666914">
        <w:t>sú alternatívy hodnotené pomocou multikriteriálnej analýzy, následne vybrané varianty aj pomocou analýzy prínosov a nákladov. Rozpočet je dostupný v detaile na moduly, prínosy projektov sa neurčujú na základe expertného odhadu, ale meraním.</w:t>
      </w:r>
    </w:p>
    <w:p w14:paraId="54A736F7" w14:textId="77777777" w:rsidR="00386F6D" w:rsidRPr="00666914" w:rsidRDefault="00386F6D">
      <w:pPr>
        <w:spacing w:after="0"/>
        <w:rPr>
          <w:b/>
        </w:rPr>
      </w:pPr>
    </w:p>
    <w:p w14:paraId="17DC1A36" w14:textId="352F2688" w:rsidR="00386F6D" w:rsidRPr="00666914" w:rsidRDefault="00386F6D" w:rsidP="004A2B73">
      <w:r w:rsidRPr="00666914">
        <w:rPr>
          <w:b/>
        </w:rPr>
        <w:t xml:space="preserve">Podľa ÚHP MF SR prispela nová metodika k úspore nákladov na úrovni 15 % oproti prvotnému odhadu. </w:t>
      </w:r>
      <w:r w:rsidRPr="00666914">
        <w:t>Nedostatkom ale je časté nerešpektovanie Metodiky pri prvom predložení projektu (v súlade s ňou sú projekty dopracované až následne), či nedodanie rozpočtu na dostatočne detailnej úrovni (resp. jeho dodanie až po vyžiadaní), viď aj opatrenie 18.</w:t>
      </w:r>
    </w:p>
    <w:p w14:paraId="71E65A2A" w14:textId="77777777" w:rsidR="00386F6D" w:rsidRPr="00666914" w:rsidRDefault="00386F6D" w:rsidP="00131B23">
      <w:pPr>
        <w:numPr>
          <w:ilvl w:val="0"/>
          <w:numId w:val="16"/>
        </w:numPr>
        <w:spacing w:after="0" w:line="259" w:lineRule="auto"/>
        <w:rPr>
          <w:b/>
          <w:u w:val="single"/>
        </w:rPr>
      </w:pPr>
      <w:r w:rsidRPr="00666914">
        <w:rPr>
          <w:b/>
          <w:u w:val="single"/>
        </w:rPr>
        <w:t>Vypracovať definíciu štandardizovaného miesta zamestnanca z pohľadu IT</w:t>
      </w:r>
    </w:p>
    <w:p w14:paraId="2D1DE137" w14:textId="77777777" w:rsidR="00386F6D" w:rsidRPr="00666914" w:rsidRDefault="00386F6D">
      <w:pPr>
        <w:spacing w:after="0"/>
        <w:ind w:left="720"/>
        <w:rPr>
          <w:b/>
          <w:u w:val="single"/>
        </w:rPr>
      </w:pPr>
    </w:p>
    <w:p w14:paraId="6E55BA71" w14:textId="0802C6B2" w:rsidR="00386F6D" w:rsidRPr="00666914" w:rsidRDefault="00386F6D">
      <w:pPr>
        <w:spacing w:after="0"/>
      </w:pPr>
      <w:r w:rsidRPr="00666914">
        <w:rPr>
          <w:b/>
        </w:rPr>
        <w:t>Opatrenie sa ani k</w:t>
      </w:r>
      <w:r w:rsidR="00853F5B" w:rsidRPr="00666914">
        <w:rPr>
          <w:b/>
        </w:rPr>
        <w:t> 31.12.</w:t>
      </w:r>
      <w:r w:rsidRPr="00666914">
        <w:rPr>
          <w:b/>
        </w:rPr>
        <w:t>2019 neplní, nakoľko jeho plnenie nepatrilo medzi priority ÚPVII.</w:t>
      </w:r>
      <w:r w:rsidRPr="00666914">
        <w:t xml:space="preserve"> Termín na splnenie opatrenia bol určený na 30.1.2019, keďže ÚPVII nezačal na jeho splnení ani do 12/2019 pracovať, nepodarilo sa termín dodržať.  </w:t>
      </w:r>
    </w:p>
    <w:p w14:paraId="17341665" w14:textId="77777777" w:rsidR="00386F6D" w:rsidRPr="00666914" w:rsidRDefault="00386F6D">
      <w:pPr>
        <w:spacing w:after="0"/>
      </w:pPr>
      <w:r w:rsidRPr="00666914">
        <w:t xml:space="preserve">Bez definovania štandardizovaného miesta zamestnanca z pohľadu IT nie je jasné, na aký softvér a hardvér má zamestnanec štátnej správy nárok. Úrady tak môžu nakupovať IT produkty nad rámec reálnej potreby konkrétnych zamestnancov, ktorých praktické využitie je otázne.  </w:t>
      </w:r>
    </w:p>
    <w:p w14:paraId="2FAC3E0A" w14:textId="77777777" w:rsidR="00386F6D" w:rsidRPr="00666914" w:rsidRDefault="00386F6D" w:rsidP="00131B23">
      <w:pPr>
        <w:numPr>
          <w:ilvl w:val="0"/>
          <w:numId w:val="14"/>
        </w:numPr>
        <w:pBdr>
          <w:top w:val="nil"/>
          <w:left w:val="nil"/>
          <w:bottom w:val="nil"/>
          <w:right w:val="nil"/>
          <w:between w:val="nil"/>
        </w:pBdr>
        <w:spacing w:line="259" w:lineRule="auto"/>
        <w:rPr>
          <w:b/>
          <w:color w:val="000000"/>
          <w:u w:val="single"/>
        </w:rPr>
      </w:pPr>
      <w:bookmarkStart w:id="273" w:name="_heading=h.z337ya" w:colFirst="0" w:colLast="0"/>
      <w:bookmarkEnd w:id="273"/>
      <w:r w:rsidRPr="00666914">
        <w:rPr>
          <w:b/>
          <w:color w:val="000000"/>
          <w:u w:val="single"/>
        </w:rPr>
        <w:lastRenderedPageBreak/>
        <w:t>Aktualizovať údaje o všetkých informačných systémoch verejnej správy v IS META IS</w:t>
      </w:r>
    </w:p>
    <w:p w14:paraId="7DD4D4C1" w14:textId="77777777" w:rsidR="00386F6D" w:rsidRPr="00666914" w:rsidRDefault="00386F6D">
      <w:pPr>
        <w:spacing w:line="259" w:lineRule="auto"/>
      </w:pPr>
      <w:r w:rsidRPr="00666914">
        <w:rPr>
          <w:b/>
        </w:rPr>
        <w:t xml:space="preserve">Úroveň sledovania výdavkov na informačné systémy verejnej správy (IS VS) sa zlepšila, dostupné údaje ale stále nepokrývajú všetky IS VS. </w:t>
      </w:r>
      <w:r w:rsidRPr="00666914">
        <w:t>Podľa Metodického pokynu k medzirezortnému programu 0EK</w:t>
      </w:r>
      <w:r w:rsidRPr="00666914">
        <w:rPr>
          <w:vertAlign w:val="superscript"/>
        </w:rPr>
        <w:footnoteReference w:id="139"/>
      </w:r>
      <w:r w:rsidRPr="00666914">
        <w:t xml:space="preserve"> sa samostatne na úrovni špecializovaného prvku rozpočtujú informačné systémy s ročnými výdavkami nad 100 tis. eur, systémy s nižšími výdavkami a podporná infraštruktúra sa rozpočtujú na jeden zo všeobecných prvkov. Podľa dostupných údajov bolo vytvorených 74 špecializovaných prvkov. V MetaIS je definovaných 2 583 IS VS, na úrovni systému sa sledujú výdavky 3 % systémov, ktoré tvoria 52 % celkových výdavkov na IT (271 mil. eur). </w:t>
      </w:r>
    </w:p>
    <w:p w14:paraId="68F2E91F" w14:textId="77777777" w:rsidR="00386F6D" w:rsidRPr="00666914" w:rsidRDefault="00386F6D">
      <w:pPr>
        <w:spacing w:line="259" w:lineRule="auto"/>
      </w:pPr>
      <w:r w:rsidRPr="00666914">
        <w:rPr>
          <w:b/>
        </w:rPr>
        <w:t xml:space="preserve">Údaje o používaní jednotlivých IS VS sa sledujú len pre časť systémov, kvalita a hodnovernosť údajov je nízka. </w:t>
      </w:r>
      <w:r w:rsidRPr="00666914">
        <w:t xml:space="preserve">Podľa údajov dostupných z MetaIS sa sleduje využitie najmä u IS VS vytvorených v rámci programov financovaných </w:t>
      </w:r>
      <w:sdt>
        <w:sdtPr>
          <w:tag w:val="goog_rdk_36"/>
          <w:id w:val="-762609424"/>
        </w:sdtPr>
        <w:sdtEndPr/>
        <w:sdtContent/>
      </w:sdt>
      <w:r w:rsidRPr="00666914">
        <w:t xml:space="preserve">z eurofondov. Zo 74 IS VS s výdavkami nad 100 tis. eur má monitoring nastavený len 18 systémov (24 % IS VS nad 100 tis. eur). Kvalita a dôveryhodnosť dostupných údajov je nízka, napríklad až 315 monitorovaných služieb (30 % všetkých) podľa dostupnej evidencie za celý rok nikto nevyužil. Údaje sa tiež nenachádzajú v rámci MetaIS na jednom mieste a nie sú dostupné v užívateľsky priateľskej forme. </w:t>
      </w:r>
    </w:p>
    <w:p w14:paraId="1F0933D7" w14:textId="450C2372" w:rsidR="00386F6D" w:rsidRPr="00666914" w:rsidRDefault="00386F6D" w:rsidP="004A2B73">
      <w:pPr>
        <w:spacing w:line="259" w:lineRule="auto"/>
        <w:rPr>
          <w:b/>
        </w:rPr>
      </w:pPr>
      <w:r w:rsidRPr="00666914">
        <w:rPr>
          <w:b/>
        </w:rPr>
        <w:t>Cieľom opatrenia je sledovať výdavky a využitie IS VS, ktoré tvoria významnú časť IT výdavkov (80 %). Odporúčanie IJ:</w:t>
      </w:r>
      <w:r w:rsidRPr="00666914">
        <w:t xml:space="preserve"> Rozšíriť počet systémov evidovaných na úrovni prvku v RIS-e tak, aby bolo na úrovni systémov sledovaných 80 % výdavkov. Zároveň budú doplnené údaje o počte využití jednotlivých IS VS, prioritne pre systémy s najväčšími výdavkami, sledované v RIS-e.</w:t>
      </w:r>
    </w:p>
    <w:p w14:paraId="3F168B9C" w14:textId="77777777" w:rsidR="00386F6D" w:rsidRPr="00666914" w:rsidRDefault="00386F6D" w:rsidP="00131B23">
      <w:pPr>
        <w:numPr>
          <w:ilvl w:val="0"/>
          <w:numId w:val="13"/>
        </w:numPr>
        <w:spacing w:after="0" w:line="259" w:lineRule="auto"/>
        <w:rPr>
          <w:b/>
          <w:u w:val="single"/>
        </w:rPr>
      </w:pPr>
      <w:r w:rsidRPr="00666914">
        <w:rPr>
          <w:b/>
          <w:u w:val="single"/>
        </w:rPr>
        <w:t>Navrhnúť zber dát v rezortných podprogramoch s registrom ISVS</w:t>
      </w:r>
    </w:p>
    <w:p w14:paraId="5EF6A49B" w14:textId="77777777" w:rsidR="00386F6D" w:rsidRPr="00666914" w:rsidRDefault="00386F6D">
      <w:pPr>
        <w:spacing w:after="0"/>
        <w:rPr>
          <w:b/>
          <w:u w:val="single"/>
        </w:rPr>
      </w:pPr>
    </w:p>
    <w:p w14:paraId="3715AC58" w14:textId="77777777" w:rsidR="00386F6D" w:rsidRPr="00666914" w:rsidRDefault="00386F6D">
      <w:pPr>
        <w:spacing w:after="80"/>
        <w:rPr>
          <w:b/>
        </w:rPr>
      </w:pPr>
      <w:r w:rsidRPr="00666914">
        <w:rPr>
          <w:b/>
        </w:rPr>
        <w:t xml:space="preserve">Opatrenie sa čiastočne plní, ÚPVII pripravuje aktualizáciu metodiky EKRK </w:t>
      </w:r>
      <w:r w:rsidRPr="00666914">
        <w:t>tak, aby bolo zaistená porovnate</w:t>
      </w:r>
      <w:sdt>
        <w:sdtPr>
          <w:tag w:val="goog_rdk_38"/>
          <w:id w:val="-2064162485"/>
        </w:sdtPr>
        <w:sdtEndPr/>
        <w:sdtContent/>
      </w:sdt>
      <w:r w:rsidRPr="00666914">
        <w:t>ľnosť jednotlivých typov výdavkov medzi rezortami a informačnými systémami. Štruktúra a kvalita zbieraných údajov v súčasnosti takéto porovnanie neumožňujú</w:t>
      </w:r>
      <w:r w:rsidRPr="00666914">
        <w:rPr>
          <w:b/>
        </w:rPr>
        <w:t>.</w:t>
      </w:r>
    </w:p>
    <w:p w14:paraId="5581843C" w14:textId="77777777" w:rsidR="00386F6D" w:rsidRPr="00666914" w:rsidRDefault="00386F6D">
      <w:pPr>
        <w:spacing w:before="80"/>
        <w:rPr>
          <w:b/>
        </w:rPr>
      </w:pPr>
      <w:r w:rsidRPr="00666914">
        <w:t xml:space="preserve">IT výdavky sú evidované v medzirezortnom programe 0EK a sledované podľa ekonomickej klasifikácie. V súčasnom stave ale neumožňuje ekonomická klasifikácia dostatočne detailný prehľad výdavkov a nezahŕňa niektoré druhy výdavkov (napr. výdavky na ľudské zdroje v IT). </w:t>
      </w:r>
      <w:r w:rsidRPr="00666914">
        <w:rPr>
          <w:b/>
        </w:rPr>
        <w:t>Hodnoverné porovnanie výdavkov na informačné systémy preto nie je v súčasnosti možné. Problémom je aj nepresné používanie jednotlivých kategórií EKRK</w:t>
      </w:r>
      <w:r w:rsidRPr="00666914">
        <w:rPr>
          <w:b/>
          <w:vertAlign w:val="superscript"/>
        </w:rPr>
        <w:footnoteReference w:id="140"/>
      </w:r>
      <w:r w:rsidRPr="00666914">
        <w:rPr>
          <w:b/>
        </w:rPr>
        <w:t xml:space="preserve">. </w:t>
      </w:r>
    </w:p>
    <w:p w14:paraId="6CFABFB2" w14:textId="3B8E8612" w:rsidR="00386F6D" w:rsidRPr="00666914" w:rsidRDefault="00386F6D" w:rsidP="004A2B73">
      <w:pPr>
        <w:spacing w:before="120"/>
      </w:pPr>
      <w:r w:rsidRPr="00666914">
        <w:rPr>
          <w:b/>
        </w:rPr>
        <w:t>Odporúčanie IJ:</w:t>
      </w:r>
      <w:r w:rsidRPr="00666914">
        <w:t xml:space="preserve"> Definovať dodatočné údaje alebo upraviť existujúcu štruktúru tak, aby boli IT výdavky priamo porovnateľné medzi jednotlivými kapitolami a informačnými systémami.</w:t>
      </w:r>
    </w:p>
    <w:p w14:paraId="6A98FC62" w14:textId="77777777" w:rsidR="00386F6D" w:rsidRPr="00666914" w:rsidRDefault="00386F6D" w:rsidP="00131B23">
      <w:pPr>
        <w:numPr>
          <w:ilvl w:val="0"/>
          <w:numId w:val="13"/>
        </w:numPr>
        <w:spacing w:after="0" w:line="259" w:lineRule="auto"/>
        <w:rPr>
          <w:b/>
          <w:u w:val="single"/>
        </w:rPr>
      </w:pPr>
      <w:r w:rsidRPr="00666914">
        <w:rPr>
          <w:b/>
          <w:u w:val="single"/>
        </w:rPr>
        <w:t>Návrh zberu dát za účelom benchmarkingu prevádzky výdavkov na IT</w:t>
      </w:r>
    </w:p>
    <w:p w14:paraId="0A172B06" w14:textId="77777777" w:rsidR="00386F6D" w:rsidRPr="00666914" w:rsidRDefault="00386F6D">
      <w:pPr>
        <w:spacing w:after="0"/>
        <w:rPr>
          <w:b/>
          <w:u w:val="single"/>
        </w:rPr>
      </w:pPr>
    </w:p>
    <w:p w14:paraId="35DA3C7A" w14:textId="77777777" w:rsidR="00386F6D" w:rsidRPr="00666914" w:rsidRDefault="00386F6D">
      <w:pPr>
        <w:spacing w:after="0"/>
      </w:pPr>
      <w:r w:rsidRPr="00666914">
        <w:rPr>
          <w:b/>
        </w:rPr>
        <w:t>Opatrenie nebolo ani do konca roka 2019 splnené, ÚPVII nevykonáva systematické porovnávanie IT výdavkov.</w:t>
      </w:r>
      <w:r w:rsidRPr="00666914">
        <w:t xml:space="preserve"> Bez splnenia opatrení č.15 a 16, ktoré zlepšia zber údajov o IT výdavkoch nie je možné systematické porovnanie výdavkov uskutočniť. Porovnanie výdavkov na jednotlivé systémy v rámci štátu umožňuje identifikovať neefektívne výdavky a definovať oblasti s možnosťou zlepšenia. Súčasťou plnenia opatrenia bude definovanie postupu, ako ÚPVII zaistí porovnanie a hodnotenie aspoň 80 % celkových IT </w:t>
      </w:r>
      <w:sdt>
        <w:sdtPr>
          <w:tag w:val="goog_rdk_40"/>
          <w:id w:val="285242331"/>
        </w:sdtPr>
        <w:sdtEndPr/>
        <w:sdtContent/>
      </w:sdt>
      <w:r w:rsidRPr="00666914">
        <w:t>výdavkov (opatrenie č. 15).</w:t>
      </w:r>
    </w:p>
    <w:p w14:paraId="3F5E2934" w14:textId="141E56F0" w:rsidR="00386F6D" w:rsidRDefault="00472E2F" w:rsidP="00472E2F">
      <w:pPr>
        <w:spacing w:before="240" w:after="0"/>
      </w:pPr>
      <w:r w:rsidRPr="00666914">
        <w:rPr>
          <w:b/>
        </w:rPr>
        <w:t>Odporúčanie IJ:</w:t>
      </w:r>
      <w:r w:rsidR="00386F6D" w:rsidRPr="00666914">
        <w:t xml:space="preserve"> </w:t>
      </w:r>
      <w:r w:rsidRPr="00666914">
        <w:t>S</w:t>
      </w:r>
      <w:r w:rsidR="00386F6D" w:rsidRPr="00666914">
        <w:t>tanoviť postup na pravidelné porovnávanie a vyhodnocovanie podstatnej časti IT výdavkov, tzn. aspoň 80 % celkových výdavkov. Podmienkou pre plnohodnotné porovnávanie IT výdavkov je splnenie opatrení 15 a 16.</w:t>
      </w:r>
    </w:p>
    <w:p w14:paraId="6AF9E8F6" w14:textId="77777777" w:rsidR="004A2B73" w:rsidRPr="00666914" w:rsidRDefault="004A2B73" w:rsidP="00472E2F">
      <w:pPr>
        <w:spacing w:before="240" w:after="0"/>
      </w:pPr>
    </w:p>
    <w:p w14:paraId="5F530FAC" w14:textId="77777777" w:rsidR="00386F6D" w:rsidRPr="00666914" w:rsidRDefault="00386F6D" w:rsidP="00472E2F">
      <w:pPr>
        <w:pStyle w:val="Nadpis2"/>
        <w:spacing w:line="240" w:lineRule="auto"/>
      </w:pPr>
      <w:bookmarkStart w:id="274" w:name="_heading=h.3j2qqm3" w:colFirst="0" w:colLast="0"/>
      <w:bookmarkStart w:id="275" w:name="_Toc38447601"/>
      <w:bookmarkEnd w:id="274"/>
      <w:r w:rsidRPr="00666914">
        <w:lastRenderedPageBreak/>
        <w:t>Analytické úlohy</w:t>
      </w:r>
      <w:bookmarkEnd w:id="275"/>
    </w:p>
    <w:tbl>
      <w:tblPr>
        <w:tblW w:w="9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
        <w:gridCol w:w="2683"/>
        <w:gridCol w:w="1417"/>
        <w:gridCol w:w="1276"/>
        <w:gridCol w:w="1201"/>
        <w:gridCol w:w="601"/>
        <w:gridCol w:w="601"/>
        <w:gridCol w:w="601"/>
        <w:gridCol w:w="601"/>
      </w:tblGrid>
      <w:tr w:rsidR="00386F6D" w:rsidRPr="00666914" w14:paraId="7A79B01A" w14:textId="77777777" w:rsidTr="003E2457">
        <w:trPr>
          <w:trHeight w:val="549"/>
        </w:trPr>
        <w:tc>
          <w:tcPr>
            <w:tcW w:w="431" w:type="dxa"/>
            <w:shd w:val="clear" w:color="auto" w:fill="auto"/>
            <w:vAlign w:val="center"/>
          </w:tcPr>
          <w:p w14:paraId="108D1CC5" w14:textId="77777777" w:rsidR="00386F6D" w:rsidRPr="00666914" w:rsidRDefault="00386F6D">
            <w:pPr>
              <w:spacing w:after="0"/>
              <w:jc w:val="center"/>
              <w:rPr>
                <w:color w:val="000000"/>
                <w:sz w:val="20"/>
                <w:szCs w:val="20"/>
              </w:rPr>
            </w:pPr>
            <w:r w:rsidRPr="00666914">
              <w:rPr>
                <w:color w:val="000000"/>
                <w:sz w:val="20"/>
                <w:szCs w:val="20"/>
              </w:rPr>
              <w:t> </w:t>
            </w:r>
          </w:p>
        </w:tc>
        <w:tc>
          <w:tcPr>
            <w:tcW w:w="2683" w:type="dxa"/>
            <w:shd w:val="clear" w:color="auto" w:fill="auto"/>
            <w:vAlign w:val="center"/>
          </w:tcPr>
          <w:p w14:paraId="10955888" w14:textId="77777777" w:rsidR="00386F6D" w:rsidRPr="00666914" w:rsidRDefault="00386F6D">
            <w:pPr>
              <w:spacing w:after="0"/>
              <w:jc w:val="center"/>
              <w:rPr>
                <w:b/>
                <w:color w:val="000000"/>
                <w:sz w:val="20"/>
                <w:szCs w:val="20"/>
              </w:rPr>
            </w:pPr>
            <w:r w:rsidRPr="00666914">
              <w:rPr>
                <w:b/>
                <w:color w:val="000000"/>
                <w:sz w:val="20"/>
                <w:szCs w:val="20"/>
              </w:rPr>
              <w:t>Opatrenie</w:t>
            </w:r>
          </w:p>
        </w:tc>
        <w:tc>
          <w:tcPr>
            <w:tcW w:w="1417" w:type="dxa"/>
            <w:shd w:val="clear" w:color="auto" w:fill="auto"/>
            <w:vAlign w:val="center"/>
          </w:tcPr>
          <w:p w14:paraId="4C721E44" w14:textId="77777777" w:rsidR="00386F6D" w:rsidRPr="00666914" w:rsidRDefault="00386F6D">
            <w:pPr>
              <w:spacing w:after="0"/>
              <w:jc w:val="center"/>
              <w:rPr>
                <w:b/>
                <w:color w:val="000000"/>
                <w:sz w:val="20"/>
                <w:szCs w:val="20"/>
              </w:rPr>
            </w:pPr>
            <w:r w:rsidRPr="00666914">
              <w:rPr>
                <w:b/>
                <w:color w:val="000000"/>
                <w:sz w:val="20"/>
                <w:szCs w:val="20"/>
              </w:rPr>
              <w:t>Zodpovednosť</w:t>
            </w:r>
          </w:p>
        </w:tc>
        <w:tc>
          <w:tcPr>
            <w:tcW w:w="1276" w:type="dxa"/>
            <w:shd w:val="clear" w:color="auto" w:fill="auto"/>
            <w:vAlign w:val="center"/>
          </w:tcPr>
          <w:p w14:paraId="50FFEDC5" w14:textId="77777777" w:rsidR="00386F6D" w:rsidRPr="00666914" w:rsidRDefault="00386F6D">
            <w:pPr>
              <w:spacing w:after="0"/>
              <w:jc w:val="center"/>
              <w:rPr>
                <w:b/>
                <w:color w:val="000000"/>
                <w:sz w:val="20"/>
                <w:szCs w:val="20"/>
              </w:rPr>
            </w:pPr>
            <w:r w:rsidRPr="00666914">
              <w:rPr>
                <w:b/>
                <w:color w:val="000000"/>
                <w:sz w:val="20"/>
                <w:szCs w:val="20"/>
              </w:rPr>
              <w:t>Termín plnenia</w:t>
            </w:r>
          </w:p>
        </w:tc>
        <w:tc>
          <w:tcPr>
            <w:tcW w:w="1201" w:type="dxa"/>
            <w:vAlign w:val="center"/>
          </w:tcPr>
          <w:p w14:paraId="05517AF5" w14:textId="77777777" w:rsidR="00386F6D" w:rsidRPr="00666914" w:rsidRDefault="00386F6D">
            <w:pPr>
              <w:spacing w:after="0"/>
              <w:jc w:val="center"/>
              <w:rPr>
                <w:b/>
                <w:color w:val="000000"/>
                <w:sz w:val="20"/>
                <w:szCs w:val="20"/>
              </w:rPr>
            </w:pPr>
            <w:r w:rsidRPr="00666914">
              <w:rPr>
                <w:b/>
                <w:color w:val="000000"/>
                <w:sz w:val="20"/>
                <w:szCs w:val="20"/>
              </w:rPr>
              <w:t>Nový termín</w:t>
            </w:r>
          </w:p>
        </w:tc>
        <w:tc>
          <w:tcPr>
            <w:tcW w:w="601" w:type="dxa"/>
            <w:shd w:val="clear" w:color="auto" w:fill="auto"/>
            <w:vAlign w:val="center"/>
          </w:tcPr>
          <w:p w14:paraId="21E6BB0F" w14:textId="77777777" w:rsidR="00386F6D" w:rsidRPr="00666914" w:rsidRDefault="00386F6D">
            <w:pPr>
              <w:spacing w:after="0"/>
              <w:jc w:val="center"/>
              <w:rPr>
                <w:b/>
                <w:color w:val="000000"/>
                <w:sz w:val="20"/>
                <w:szCs w:val="20"/>
              </w:rPr>
            </w:pPr>
            <w:r w:rsidRPr="00666914">
              <w:rPr>
                <w:b/>
                <w:color w:val="000000"/>
                <w:sz w:val="20"/>
                <w:szCs w:val="20"/>
              </w:rPr>
              <w:t>1Q 2019</w:t>
            </w:r>
          </w:p>
        </w:tc>
        <w:tc>
          <w:tcPr>
            <w:tcW w:w="601" w:type="dxa"/>
            <w:shd w:val="clear" w:color="auto" w:fill="auto"/>
            <w:vAlign w:val="center"/>
          </w:tcPr>
          <w:p w14:paraId="2BA2EED0" w14:textId="77777777" w:rsidR="00386F6D" w:rsidRPr="00666914" w:rsidRDefault="00386F6D">
            <w:pPr>
              <w:spacing w:after="0"/>
              <w:jc w:val="center"/>
              <w:rPr>
                <w:b/>
                <w:color w:val="000000"/>
                <w:sz w:val="20"/>
                <w:szCs w:val="20"/>
              </w:rPr>
            </w:pPr>
            <w:r w:rsidRPr="00666914">
              <w:rPr>
                <w:b/>
                <w:color w:val="000000"/>
                <w:sz w:val="20"/>
                <w:szCs w:val="20"/>
              </w:rPr>
              <w:t>2Q 2019</w:t>
            </w:r>
          </w:p>
        </w:tc>
        <w:tc>
          <w:tcPr>
            <w:tcW w:w="601" w:type="dxa"/>
            <w:shd w:val="clear" w:color="auto" w:fill="auto"/>
            <w:vAlign w:val="center"/>
          </w:tcPr>
          <w:p w14:paraId="24B07C87" w14:textId="77777777" w:rsidR="00386F6D" w:rsidRPr="00666914" w:rsidRDefault="00386F6D">
            <w:pPr>
              <w:spacing w:after="0"/>
              <w:jc w:val="center"/>
              <w:rPr>
                <w:b/>
                <w:color w:val="000000"/>
                <w:sz w:val="20"/>
                <w:szCs w:val="20"/>
              </w:rPr>
            </w:pPr>
            <w:r w:rsidRPr="00666914">
              <w:rPr>
                <w:b/>
                <w:color w:val="000000"/>
                <w:sz w:val="20"/>
                <w:szCs w:val="20"/>
              </w:rPr>
              <w:t>3Q 2019</w:t>
            </w:r>
          </w:p>
        </w:tc>
        <w:tc>
          <w:tcPr>
            <w:tcW w:w="601" w:type="dxa"/>
            <w:shd w:val="clear" w:color="auto" w:fill="auto"/>
            <w:vAlign w:val="center"/>
          </w:tcPr>
          <w:p w14:paraId="21A60E27" w14:textId="77777777" w:rsidR="00386F6D" w:rsidRPr="00666914" w:rsidRDefault="00386F6D">
            <w:pPr>
              <w:spacing w:after="0"/>
              <w:jc w:val="center"/>
              <w:rPr>
                <w:b/>
                <w:color w:val="000000"/>
                <w:sz w:val="20"/>
                <w:szCs w:val="20"/>
              </w:rPr>
            </w:pPr>
            <w:r w:rsidRPr="00666914">
              <w:rPr>
                <w:b/>
                <w:color w:val="000000"/>
                <w:sz w:val="20"/>
                <w:szCs w:val="20"/>
              </w:rPr>
              <w:t>4Q 2019</w:t>
            </w:r>
          </w:p>
        </w:tc>
      </w:tr>
      <w:tr w:rsidR="00386F6D" w:rsidRPr="00666914" w14:paraId="234D86B3" w14:textId="77777777" w:rsidTr="003E2457">
        <w:trPr>
          <w:trHeight w:val="331"/>
        </w:trPr>
        <w:tc>
          <w:tcPr>
            <w:tcW w:w="431" w:type="dxa"/>
            <w:shd w:val="clear" w:color="auto" w:fill="auto"/>
            <w:vAlign w:val="center"/>
          </w:tcPr>
          <w:p w14:paraId="2965CFA8" w14:textId="77777777" w:rsidR="00386F6D" w:rsidRPr="00666914" w:rsidRDefault="00386F6D">
            <w:pPr>
              <w:spacing w:after="0"/>
              <w:jc w:val="center"/>
              <w:rPr>
                <w:color w:val="000000"/>
                <w:sz w:val="20"/>
                <w:szCs w:val="20"/>
              </w:rPr>
            </w:pPr>
            <w:r w:rsidRPr="00666914">
              <w:rPr>
                <w:color w:val="000000"/>
                <w:sz w:val="20"/>
                <w:szCs w:val="20"/>
              </w:rPr>
              <w:t>18</w:t>
            </w:r>
          </w:p>
        </w:tc>
        <w:tc>
          <w:tcPr>
            <w:tcW w:w="2683" w:type="dxa"/>
            <w:shd w:val="clear" w:color="auto" w:fill="auto"/>
            <w:vAlign w:val="center"/>
          </w:tcPr>
          <w:p w14:paraId="41DC1D66" w14:textId="77777777" w:rsidR="00386F6D" w:rsidRPr="00666914" w:rsidRDefault="00386F6D">
            <w:pPr>
              <w:spacing w:after="0"/>
              <w:rPr>
                <w:color w:val="000000"/>
                <w:sz w:val="20"/>
                <w:szCs w:val="20"/>
              </w:rPr>
            </w:pPr>
            <w:r w:rsidRPr="00666914">
              <w:rPr>
                <w:color w:val="000000"/>
                <w:sz w:val="20"/>
                <w:szCs w:val="20"/>
              </w:rPr>
              <w:t>Všetky budúce IT projekty nad 10 mil. eur podrobiť analýze nákladov a prínosov</w:t>
            </w:r>
          </w:p>
        </w:tc>
        <w:tc>
          <w:tcPr>
            <w:tcW w:w="1417" w:type="dxa"/>
            <w:shd w:val="clear" w:color="auto" w:fill="auto"/>
            <w:vAlign w:val="center"/>
          </w:tcPr>
          <w:p w14:paraId="3460A2D4" w14:textId="77777777" w:rsidR="00386F6D" w:rsidRPr="00666914" w:rsidRDefault="00386F6D">
            <w:pPr>
              <w:spacing w:after="0"/>
              <w:jc w:val="center"/>
              <w:rPr>
                <w:color w:val="000000"/>
                <w:sz w:val="20"/>
                <w:szCs w:val="20"/>
              </w:rPr>
            </w:pPr>
            <w:r w:rsidRPr="00666914">
              <w:rPr>
                <w:color w:val="000000"/>
                <w:sz w:val="20"/>
                <w:szCs w:val="20"/>
              </w:rPr>
              <w:t>MF SR, ÚPVII</w:t>
            </w:r>
          </w:p>
        </w:tc>
        <w:tc>
          <w:tcPr>
            <w:tcW w:w="1276" w:type="dxa"/>
            <w:shd w:val="clear" w:color="auto" w:fill="auto"/>
            <w:vAlign w:val="center"/>
          </w:tcPr>
          <w:p w14:paraId="7A537182" w14:textId="77777777" w:rsidR="00386F6D" w:rsidRPr="00666914" w:rsidRDefault="00386F6D">
            <w:pPr>
              <w:spacing w:after="0"/>
              <w:jc w:val="center"/>
              <w:rPr>
                <w:color w:val="000000"/>
                <w:sz w:val="20"/>
                <w:szCs w:val="20"/>
              </w:rPr>
            </w:pPr>
            <w:r w:rsidRPr="00666914">
              <w:rPr>
                <w:color w:val="000000"/>
                <w:sz w:val="20"/>
                <w:szCs w:val="20"/>
              </w:rPr>
              <w:t>Priebežne</w:t>
            </w:r>
          </w:p>
        </w:tc>
        <w:tc>
          <w:tcPr>
            <w:tcW w:w="1201" w:type="dxa"/>
            <w:vAlign w:val="center"/>
          </w:tcPr>
          <w:p w14:paraId="6E3687E7" w14:textId="77777777" w:rsidR="00386F6D" w:rsidRPr="00666914" w:rsidRDefault="00386F6D">
            <w:pPr>
              <w:spacing w:after="0"/>
              <w:jc w:val="center"/>
              <w:rPr>
                <w:color w:val="000000"/>
                <w:sz w:val="20"/>
                <w:szCs w:val="20"/>
              </w:rPr>
            </w:pPr>
            <w:r w:rsidRPr="00666914">
              <w:rPr>
                <w:color w:val="000000"/>
                <w:sz w:val="20"/>
                <w:szCs w:val="20"/>
              </w:rPr>
              <w:t>priebežne</w:t>
            </w:r>
          </w:p>
        </w:tc>
        <w:tc>
          <w:tcPr>
            <w:tcW w:w="601" w:type="dxa"/>
            <w:shd w:val="clear" w:color="auto" w:fill="92D050"/>
            <w:vAlign w:val="bottom"/>
          </w:tcPr>
          <w:p w14:paraId="3D08968A" w14:textId="77777777" w:rsidR="00386F6D" w:rsidRPr="00666914" w:rsidRDefault="00386F6D">
            <w:pPr>
              <w:spacing w:after="0"/>
              <w:rPr>
                <w:color w:val="000000"/>
                <w:sz w:val="20"/>
                <w:szCs w:val="20"/>
              </w:rPr>
            </w:pPr>
            <w:r w:rsidRPr="00666914">
              <w:rPr>
                <w:color w:val="000000"/>
                <w:sz w:val="20"/>
                <w:szCs w:val="20"/>
              </w:rPr>
              <w:t> </w:t>
            </w:r>
          </w:p>
        </w:tc>
        <w:tc>
          <w:tcPr>
            <w:tcW w:w="601" w:type="dxa"/>
            <w:shd w:val="clear" w:color="auto" w:fill="92D050"/>
            <w:vAlign w:val="bottom"/>
          </w:tcPr>
          <w:p w14:paraId="0D83FC16" w14:textId="77777777" w:rsidR="00386F6D" w:rsidRPr="00666914" w:rsidRDefault="00386F6D">
            <w:pPr>
              <w:spacing w:after="0"/>
              <w:rPr>
                <w:color w:val="000000"/>
                <w:sz w:val="20"/>
                <w:szCs w:val="20"/>
              </w:rPr>
            </w:pPr>
            <w:r w:rsidRPr="00666914">
              <w:rPr>
                <w:color w:val="000000"/>
                <w:sz w:val="20"/>
                <w:szCs w:val="20"/>
              </w:rPr>
              <w:t> </w:t>
            </w:r>
          </w:p>
        </w:tc>
        <w:tc>
          <w:tcPr>
            <w:tcW w:w="601" w:type="dxa"/>
            <w:shd w:val="clear" w:color="auto" w:fill="92D050"/>
            <w:vAlign w:val="bottom"/>
          </w:tcPr>
          <w:p w14:paraId="1B6A8434" w14:textId="77777777" w:rsidR="00386F6D" w:rsidRPr="00666914" w:rsidRDefault="00386F6D">
            <w:pPr>
              <w:spacing w:after="0"/>
              <w:rPr>
                <w:color w:val="000000"/>
                <w:sz w:val="20"/>
                <w:szCs w:val="20"/>
              </w:rPr>
            </w:pPr>
            <w:r w:rsidRPr="00666914">
              <w:rPr>
                <w:color w:val="000000"/>
                <w:sz w:val="20"/>
                <w:szCs w:val="20"/>
              </w:rPr>
              <w:t> </w:t>
            </w:r>
          </w:p>
        </w:tc>
        <w:tc>
          <w:tcPr>
            <w:tcW w:w="601" w:type="dxa"/>
            <w:shd w:val="clear" w:color="auto" w:fill="92D050"/>
            <w:vAlign w:val="bottom"/>
          </w:tcPr>
          <w:p w14:paraId="605E78CF" w14:textId="77777777" w:rsidR="00386F6D" w:rsidRPr="00666914" w:rsidRDefault="00386F6D">
            <w:pPr>
              <w:spacing w:after="0"/>
              <w:rPr>
                <w:color w:val="000000"/>
                <w:sz w:val="20"/>
                <w:szCs w:val="20"/>
              </w:rPr>
            </w:pPr>
            <w:r w:rsidRPr="00666914">
              <w:rPr>
                <w:color w:val="000000"/>
                <w:sz w:val="20"/>
                <w:szCs w:val="20"/>
              </w:rPr>
              <w:t> </w:t>
            </w:r>
          </w:p>
        </w:tc>
      </w:tr>
      <w:tr w:rsidR="00386F6D" w:rsidRPr="00666914" w14:paraId="4A62A011" w14:textId="77777777" w:rsidTr="003E2457">
        <w:trPr>
          <w:trHeight w:val="331"/>
        </w:trPr>
        <w:tc>
          <w:tcPr>
            <w:tcW w:w="431" w:type="dxa"/>
            <w:shd w:val="clear" w:color="auto" w:fill="auto"/>
            <w:vAlign w:val="center"/>
          </w:tcPr>
          <w:p w14:paraId="70355146" w14:textId="77777777" w:rsidR="00386F6D" w:rsidRPr="00666914" w:rsidRDefault="00386F6D">
            <w:pPr>
              <w:spacing w:after="0"/>
              <w:jc w:val="center"/>
              <w:rPr>
                <w:color w:val="000000"/>
                <w:sz w:val="20"/>
                <w:szCs w:val="20"/>
              </w:rPr>
            </w:pPr>
            <w:r w:rsidRPr="00666914">
              <w:rPr>
                <w:color w:val="000000"/>
                <w:sz w:val="20"/>
                <w:szCs w:val="20"/>
              </w:rPr>
              <w:t>19</w:t>
            </w:r>
          </w:p>
        </w:tc>
        <w:tc>
          <w:tcPr>
            <w:tcW w:w="2683" w:type="dxa"/>
            <w:shd w:val="clear" w:color="auto" w:fill="auto"/>
            <w:vAlign w:val="center"/>
          </w:tcPr>
          <w:p w14:paraId="487BD8E0" w14:textId="77777777" w:rsidR="00386F6D" w:rsidRPr="00666914" w:rsidRDefault="00386F6D">
            <w:pPr>
              <w:spacing w:after="0"/>
              <w:rPr>
                <w:color w:val="000000"/>
                <w:sz w:val="20"/>
                <w:szCs w:val="20"/>
              </w:rPr>
            </w:pPr>
            <w:r w:rsidRPr="00666914">
              <w:rPr>
                <w:color w:val="000000"/>
                <w:sz w:val="20"/>
                <w:szCs w:val="20"/>
              </w:rPr>
              <w:t>Pripraviť analýzu služieb pre prioritne elektronickú komunikáciu</w:t>
            </w:r>
          </w:p>
        </w:tc>
        <w:tc>
          <w:tcPr>
            <w:tcW w:w="1417" w:type="dxa"/>
            <w:shd w:val="clear" w:color="auto" w:fill="auto"/>
            <w:vAlign w:val="center"/>
          </w:tcPr>
          <w:p w14:paraId="523BD953" w14:textId="77777777" w:rsidR="00386F6D" w:rsidRPr="00666914" w:rsidRDefault="00386F6D">
            <w:pPr>
              <w:spacing w:after="0"/>
              <w:jc w:val="center"/>
              <w:rPr>
                <w:color w:val="000000"/>
                <w:sz w:val="20"/>
                <w:szCs w:val="20"/>
              </w:rPr>
            </w:pPr>
            <w:r w:rsidRPr="00666914">
              <w:rPr>
                <w:color w:val="000000"/>
                <w:sz w:val="20"/>
                <w:szCs w:val="20"/>
              </w:rPr>
              <w:t xml:space="preserve">ÚPVII </w:t>
            </w:r>
          </w:p>
        </w:tc>
        <w:tc>
          <w:tcPr>
            <w:tcW w:w="1276" w:type="dxa"/>
            <w:shd w:val="clear" w:color="auto" w:fill="auto"/>
            <w:vAlign w:val="center"/>
          </w:tcPr>
          <w:p w14:paraId="5D0D17B9" w14:textId="77777777" w:rsidR="00386F6D" w:rsidRPr="00666914" w:rsidRDefault="00386F6D">
            <w:pPr>
              <w:spacing w:after="0"/>
              <w:jc w:val="center"/>
              <w:rPr>
                <w:color w:val="000000"/>
                <w:sz w:val="20"/>
                <w:szCs w:val="20"/>
              </w:rPr>
            </w:pPr>
            <w:r w:rsidRPr="00666914">
              <w:rPr>
                <w:color w:val="000000"/>
                <w:sz w:val="20"/>
                <w:szCs w:val="20"/>
              </w:rPr>
              <w:t>30.6.2017</w:t>
            </w:r>
          </w:p>
        </w:tc>
        <w:tc>
          <w:tcPr>
            <w:tcW w:w="1201" w:type="dxa"/>
            <w:vAlign w:val="center"/>
          </w:tcPr>
          <w:p w14:paraId="5A53F47D" w14:textId="77777777" w:rsidR="00386F6D" w:rsidRPr="00666914" w:rsidRDefault="00386F6D">
            <w:pPr>
              <w:spacing w:after="0"/>
              <w:jc w:val="center"/>
              <w:rPr>
                <w:color w:val="000000"/>
                <w:sz w:val="20"/>
                <w:szCs w:val="20"/>
              </w:rPr>
            </w:pPr>
            <w:r w:rsidRPr="00666914">
              <w:rPr>
                <w:color w:val="000000"/>
                <w:sz w:val="20"/>
                <w:szCs w:val="20"/>
              </w:rPr>
              <w:t>30.6.2019</w:t>
            </w:r>
          </w:p>
        </w:tc>
        <w:tc>
          <w:tcPr>
            <w:tcW w:w="601" w:type="dxa"/>
            <w:tcBorders>
              <w:bottom w:val="single" w:sz="4" w:space="0" w:color="000000"/>
            </w:tcBorders>
            <w:shd w:val="clear" w:color="auto" w:fill="FF0000"/>
            <w:vAlign w:val="bottom"/>
          </w:tcPr>
          <w:p w14:paraId="61D748E8" w14:textId="77777777" w:rsidR="00386F6D" w:rsidRPr="00666914" w:rsidRDefault="00386F6D">
            <w:pPr>
              <w:spacing w:after="0"/>
              <w:rPr>
                <w:color w:val="000000"/>
                <w:sz w:val="20"/>
                <w:szCs w:val="20"/>
              </w:rPr>
            </w:pPr>
            <w:r w:rsidRPr="00666914">
              <w:rPr>
                <w:color w:val="000000"/>
                <w:sz w:val="20"/>
                <w:szCs w:val="20"/>
              </w:rPr>
              <w:t> </w:t>
            </w:r>
          </w:p>
        </w:tc>
        <w:tc>
          <w:tcPr>
            <w:tcW w:w="601" w:type="dxa"/>
            <w:tcBorders>
              <w:bottom w:val="single" w:sz="4" w:space="0" w:color="000000"/>
            </w:tcBorders>
            <w:shd w:val="clear" w:color="auto" w:fill="FF0000"/>
            <w:vAlign w:val="bottom"/>
          </w:tcPr>
          <w:p w14:paraId="1B14E2E5" w14:textId="77777777" w:rsidR="00386F6D" w:rsidRPr="00666914" w:rsidRDefault="00386F6D">
            <w:pPr>
              <w:spacing w:after="0"/>
              <w:rPr>
                <w:color w:val="000000"/>
                <w:sz w:val="20"/>
                <w:szCs w:val="20"/>
              </w:rPr>
            </w:pPr>
            <w:r w:rsidRPr="00666914">
              <w:rPr>
                <w:color w:val="000000"/>
                <w:sz w:val="20"/>
                <w:szCs w:val="20"/>
              </w:rPr>
              <w:t> </w:t>
            </w:r>
          </w:p>
        </w:tc>
        <w:tc>
          <w:tcPr>
            <w:tcW w:w="601" w:type="dxa"/>
            <w:shd w:val="clear" w:color="auto" w:fill="FF0000"/>
            <w:vAlign w:val="bottom"/>
          </w:tcPr>
          <w:p w14:paraId="0B513347" w14:textId="77777777" w:rsidR="00386F6D" w:rsidRPr="00666914" w:rsidRDefault="00386F6D">
            <w:pPr>
              <w:spacing w:after="0"/>
              <w:rPr>
                <w:color w:val="000000"/>
                <w:sz w:val="20"/>
                <w:szCs w:val="20"/>
              </w:rPr>
            </w:pPr>
            <w:r w:rsidRPr="00666914">
              <w:rPr>
                <w:color w:val="000000"/>
                <w:sz w:val="20"/>
                <w:szCs w:val="20"/>
              </w:rPr>
              <w:t> </w:t>
            </w:r>
          </w:p>
        </w:tc>
        <w:tc>
          <w:tcPr>
            <w:tcW w:w="601" w:type="dxa"/>
            <w:shd w:val="clear" w:color="auto" w:fill="FF0000"/>
            <w:vAlign w:val="bottom"/>
          </w:tcPr>
          <w:p w14:paraId="4528D43A" w14:textId="77777777" w:rsidR="00386F6D" w:rsidRPr="00666914" w:rsidRDefault="00386F6D">
            <w:pPr>
              <w:spacing w:after="0"/>
              <w:rPr>
                <w:color w:val="000000"/>
                <w:sz w:val="20"/>
                <w:szCs w:val="20"/>
              </w:rPr>
            </w:pPr>
            <w:r w:rsidRPr="00666914">
              <w:rPr>
                <w:color w:val="000000"/>
                <w:sz w:val="20"/>
                <w:szCs w:val="20"/>
              </w:rPr>
              <w:t> </w:t>
            </w:r>
          </w:p>
        </w:tc>
      </w:tr>
      <w:tr w:rsidR="00386F6D" w:rsidRPr="00666914" w14:paraId="66FDB1CF" w14:textId="77777777" w:rsidTr="003E2457">
        <w:trPr>
          <w:trHeight w:val="583"/>
        </w:trPr>
        <w:tc>
          <w:tcPr>
            <w:tcW w:w="431" w:type="dxa"/>
            <w:shd w:val="clear" w:color="auto" w:fill="auto"/>
            <w:vAlign w:val="center"/>
          </w:tcPr>
          <w:p w14:paraId="44A394B3" w14:textId="77777777" w:rsidR="00386F6D" w:rsidRPr="00666914" w:rsidRDefault="00386F6D">
            <w:pPr>
              <w:spacing w:after="0"/>
              <w:jc w:val="center"/>
              <w:rPr>
                <w:color w:val="000000"/>
                <w:sz w:val="20"/>
                <w:szCs w:val="20"/>
              </w:rPr>
            </w:pPr>
            <w:r w:rsidRPr="00666914">
              <w:rPr>
                <w:color w:val="000000"/>
                <w:sz w:val="20"/>
                <w:szCs w:val="20"/>
              </w:rPr>
              <w:t>20</w:t>
            </w:r>
          </w:p>
        </w:tc>
        <w:tc>
          <w:tcPr>
            <w:tcW w:w="2683" w:type="dxa"/>
            <w:shd w:val="clear" w:color="auto" w:fill="auto"/>
            <w:vAlign w:val="center"/>
          </w:tcPr>
          <w:p w14:paraId="528C7FC7" w14:textId="77777777" w:rsidR="00386F6D" w:rsidRPr="00666914" w:rsidRDefault="00386F6D">
            <w:pPr>
              <w:spacing w:after="0"/>
              <w:rPr>
                <w:color w:val="000000"/>
                <w:sz w:val="20"/>
                <w:szCs w:val="20"/>
              </w:rPr>
            </w:pPr>
            <w:r w:rsidRPr="00666914">
              <w:rPr>
                <w:color w:val="000000"/>
                <w:sz w:val="20"/>
                <w:szCs w:val="20"/>
              </w:rPr>
              <w:t>Vypracovať analýzu využívania a zabezpečenia softvérových licencií (Microsoft, Oracle, SAP)</w:t>
            </w:r>
          </w:p>
        </w:tc>
        <w:tc>
          <w:tcPr>
            <w:tcW w:w="1417" w:type="dxa"/>
            <w:shd w:val="clear" w:color="auto" w:fill="auto"/>
            <w:vAlign w:val="center"/>
          </w:tcPr>
          <w:p w14:paraId="730ECC95" w14:textId="77777777" w:rsidR="00386F6D" w:rsidRPr="00666914" w:rsidRDefault="00386F6D">
            <w:pPr>
              <w:spacing w:after="0"/>
              <w:jc w:val="center"/>
              <w:rPr>
                <w:color w:val="000000"/>
                <w:sz w:val="20"/>
                <w:szCs w:val="20"/>
              </w:rPr>
            </w:pPr>
            <w:r w:rsidRPr="00666914">
              <w:rPr>
                <w:color w:val="000000"/>
                <w:sz w:val="20"/>
                <w:szCs w:val="20"/>
              </w:rPr>
              <w:t xml:space="preserve">ÚPVII </w:t>
            </w:r>
          </w:p>
        </w:tc>
        <w:tc>
          <w:tcPr>
            <w:tcW w:w="1276" w:type="dxa"/>
            <w:shd w:val="clear" w:color="auto" w:fill="auto"/>
            <w:vAlign w:val="center"/>
          </w:tcPr>
          <w:p w14:paraId="19CB616C" w14:textId="77777777" w:rsidR="00386F6D" w:rsidRPr="00666914" w:rsidRDefault="00386F6D">
            <w:pPr>
              <w:spacing w:after="0"/>
              <w:jc w:val="center"/>
              <w:rPr>
                <w:color w:val="000000"/>
                <w:sz w:val="20"/>
                <w:szCs w:val="20"/>
              </w:rPr>
            </w:pPr>
            <w:r w:rsidRPr="00666914">
              <w:rPr>
                <w:color w:val="000000"/>
                <w:sz w:val="20"/>
                <w:szCs w:val="20"/>
              </w:rPr>
              <w:t>31.12.2017</w:t>
            </w:r>
          </w:p>
        </w:tc>
        <w:tc>
          <w:tcPr>
            <w:tcW w:w="1201" w:type="dxa"/>
            <w:vAlign w:val="center"/>
          </w:tcPr>
          <w:p w14:paraId="2A65384A" w14:textId="77777777" w:rsidR="00386F6D" w:rsidRPr="00666914" w:rsidRDefault="00386F6D">
            <w:pPr>
              <w:spacing w:after="0"/>
              <w:jc w:val="center"/>
              <w:rPr>
                <w:color w:val="000000"/>
                <w:sz w:val="20"/>
                <w:szCs w:val="20"/>
              </w:rPr>
            </w:pPr>
            <w:r w:rsidRPr="00666914">
              <w:rPr>
                <w:color w:val="000000"/>
                <w:sz w:val="20"/>
                <w:szCs w:val="20"/>
              </w:rPr>
              <w:t>30.6.2019</w:t>
            </w:r>
          </w:p>
        </w:tc>
        <w:tc>
          <w:tcPr>
            <w:tcW w:w="601" w:type="dxa"/>
            <w:tcBorders>
              <w:bottom w:val="single" w:sz="4" w:space="0" w:color="000000"/>
            </w:tcBorders>
            <w:shd w:val="clear" w:color="auto" w:fill="FF0000"/>
            <w:vAlign w:val="bottom"/>
          </w:tcPr>
          <w:p w14:paraId="082D3060" w14:textId="77777777" w:rsidR="00386F6D" w:rsidRPr="00666914" w:rsidRDefault="00386F6D">
            <w:pPr>
              <w:spacing w:after="0"/>
              <w:rPr>
                <w:color w:val="000000"/>
                <w:sz w:val="20"/>
                <w:szCs w:val="20"/>
              </w:rPr>
            </w:pPr>
          </w:p>
        </w:tc>
        <w:tc>
          <w:tcPr>
            <w:tcW w:w="601" w:type="dxa"/>
            <w:tcBorders>
              <w:bottom w:val="single" w:sz="4" w:space="0" w:color="000000"/>
            </w:tcBorders>
            <w:shd w:val="clear" w:color="auto" w:fill="FF0000"/>
            <w:vAlign w:val="bottom"/>
          </w:tcPr>
          <w:p w14:paraId="48A57CE9" w14:textId="77777777" w:rsidR="00386F6D" w:rsidRPr="00666914" w:rsidRDefault="00386F6D">
            <w:pPr>
              <w:spacing w:after="0"/>
              <w:rPr>
                <w:color w:val="000000"/>
                <w:sz w:val="20"/>
                <w:szCs w:val="20"/>
              </w:rPr>
            </w:pPr>
          </w:p>
        </w:tc>
        <w:tc>
          <w:tcPr>
            <w:tcW w:w="601" w:type="dxa"/>
            <w:shd w:val="clear" w:color="auto" w:fill="FFC000"/>
            <w:vAlign w:val="bottom"/>
          </w:tcPr>
          <w:p w14:paraId="0FB5CCAA" w14:textId="77777777" w:rsidR="00386F6D" w:rsidRPr="00666914" w:rsidRDefault="00386F6D">
            <w:pPr>
              <w:spacing w:after="0"/>
              <w:rPr>
                <w:color w:val="000000"/>
                <w:sz w:val="20"/>
                <w:szCs w:val="20"/>
              </w:rPr>
            </w:pPr>
          </w:p>
        </w:tc>
        <w:tc>
          <w:tcPr>
            <w:tcW w:w="601" w:type="dxa"/>
            <w:shd w:val="clear" w:color="auto" w:fill="FFC000"/>
            <w:vAlign w:val="bottom"/>
          </w:tcPr>
          <w:p w14:paraId="4C795D50" w14:textId="77777777" w:rsidR="00386F6D" w:rsidRPr="00666914" w:rsidRDefault="00386F6D">
            <w:pPr>
              <w:spacing w:after="0"/>
              <w:rPr>
                <w:color w:val="000000"/>
                <w:sz w:val="20"/>
                <w:szCs w:val="20"/>
              </w:rPr>
            </w:pPr>
          </w:p>
        </w:tc>
      </w:tr>
    </w:tbl>
    <w:p w14:paraId="31B1B393" w14:textId="77777777" w:rsidR="00386F6D" w:rsidRPr="00666914" w:rsidRDefault="00386F6D" w:rsidP="00472E2F">
      <w:pPr>
        <w:numPr>
          <w:ilvl w:val="0"/>
          <w:numId w:val="13"/>
        </w:numPr>
        <w:pBdr>
          <w:top w:val="nil"/>
          <w:left w:val="nil"/>
          <w:bottom w:val="nil"/>
          <w:right w:val="nil"/>
          <w:between w:val="nil"/>
        </w:pBdr>
        <w:spacing w:before="240" w:line="259" w:lineRule="auto"/>
        <w:rPr>
          <w:b/>
          <w:color w:val="000000"/>
          <w:u w:val="single"/>
        </w:rPr>
      </w:pPr>
      <w:r w:rsidRPr="00666914">
        <w:rPr>
          <w:b/>
          <w:color w:val="000000"/>
          <w:u w:val="single"/>
        </w:rPr>
        <w:t>Všetky budúce IT projekty nad 10 mil. eur podrobiť analýze nákladov a prínosov</w:t>
      </w:r>
    </w:p>
    <w:p w14:paraId="0942DC7B" w14:textId="5E0D102E" w:rsidR="00386F6D" w:rsidRPr="00666914" w:rsidRDefault="00386F6D">
      <w:pPr>
        <w:spacing w:after="0"/>
      </w:pPr>
      <w:r w:rsidRPr="00666914">
        <w:rPr>
          <w:b/>
        </w:rPr>
        <w:t xml:space="preserve">V roku 2019 ÚHP MF SR posúdil celkovo 23 IT projektov, ku ktorým publikoval stanovisko. </w:t>
      </w:r>
      <w:sdt>
        <w:sdtPr>
          <w:tag w:val="goog_rdk_41"/>
          <w:id w:val="-273714939"/>
        </w:sdtPr>
        <w:sdtEndPr/>
        <w:sdtContent/>
      </w:sdt>
      <w:sdt>
        <w:sdtPr>
          <w:tag w:val="goog_rdk_42"/>
          <w:id w:val="484984559"/>
        </w:sdtPr>
        <w:sdtEndPr/>
        <w:sdtContent/>
      </w:sdt>
      <w:r w:rsidRPr="00666914">
        <w:rPr>
          <w:b/>
        </w:rPr>
        <w:t xml:space="preserve">Opatrenie bolo k 31.12.2019 splnené. </w:t>
      </w:r>
      <w:r w:rsidRPr="00666914">
        <w:t xml:space="preserve">Od prijatia Revízie výdavkov na informatizáciu bolo spolu posúdených 56 </w:t>
      </w:r>
      <w:r w:rsidR="00853F5B" w:rsidRPr="00666914">
        <w:t>s celkovými nákladmi vo výške</w:t>
      </w:r>
      <w:r w:rsidRPr="00666914">
        <w:t xml:space="preserve"> 1,329 mld. eur.</w:t>
      </w:r>
    </w:p>
    <w:p w14:paraId="5BE5BAB8" w14:textId="0ABB1155" w:rsidR="00386F6D" w:rsidRPr="00666914" w:rsidRDefault="00DA6BB0" w:rsidP="00472E2F">
      <w:pPr>
        <w:pBdr>
          <w:top w:val="nil"/>
          <w:left w:val="nil"/>
          <w:bottom w:val="single" w:sz="4" w:space="1" w:color="000000"/>
          <w:right w:val="nil"/>
          <w:between w:val="nil"/>
        </w:pBdr>
        <w:spacing w:before="120" w:after="0"/>
        <w:jc w:val="left"/>
        <w:rPr>
          <w:b/>
          <w:color w:val="000000"/>
          <w:sz w:val="20"/>
          <w:szCs w:val="20"/>
        </w:rPr>
      </w:pPr>
      <w:bookmarkStart w:id="276" w:name="_heading=h.1y810tw" w:colFirst="0" w:colLast="0"/>
      <w:bookmarkStart w:id="277" w:name="_Toc38447713"/>
      <w:bookmarkEnd w:id="276"/>
      <w:r w:rsidRPr="00666914">
        <w:rPr>
          <w:b/>
          <w:color w:val="000000"/>
          <w:sz w:val="20"/>
          <w:szCs w:val="20"/>
        </w:rPr>
        <w:t xml:space="preserve">Tabuľka </w:t>
      </w:r>
      <w:r w:rsidRPr="00666914">
        <w:rPr>
          <w:b/>
          <w:sz w:val="20"/>
        </w:rPr>
        <w:fldChar w:fldCharType="begin"/>
      </w:r>
      <w:r w:rsidRPr="00666914">
        <w:rPr>
          <w:b/>
          <w:sz w:val="20"/>
        </w:rPr>
        <w:instrText xml:space="preserve"> SEQ Tabuľka \* ARABIC \* MERGEFORMAT </w:instrText>
      </w:r>
      <w:r w:rsidRPr="00666914">
        <w:rPr>
          <w:b/>
          <w:sz w:val="20"/>
        </w:rPr>
        <w:fldChar w:fldCharType="separate"/>
      </w:r>
      <w:r w:rsidR="005A7304">
        <w:rPr>
          <w:b/>
          <w:noProof/>
          <w:sz w:val="20"/>
        </w:rPr>
        <w:t>52</w:t>
      </w:r>
      <w:r w:rsidRPr="00666914">
        <w:rPr>
          <w:b/>
          <w:sz w:val="20"/>
        </w:rPr>
        <w:fldChar w:fldCharType="end"/>
      </w:r>
      <w:r w:rsidR="00386F6D" w:rsidRPr="00666914">
        <w:rPr>
          <w:b/>
          <w:color w:val="000000"/>
          <w:sz w:val="20"/>
          <w:szCs w:val="20"/>
        </w:rPr>
        <w:t>: Zoznam posúdených IT projektov</w:t>
      </w:r>
      <w:bookmarkEnd w:id="277"/>
      <w:r w:rsidR="00386F6D" w:rsidRPr="00666914">
        <w:rPr>
          <w:b/>
          <w:color w:val="000000"/>
          <w:sz w:val="20"/>
          <w:szCs w:val="20"/>
        </w:rPr>
        <w:t xml:space="preserve"> </w:t>
      </w:r>
    </w:p>
    <w:tbl>
      <w:tblPr>
        <w:tblW w:w="9200" w:type="dxa"/>
        <w:tblLayout w:type="fixed"/>
        <w:tblLook w:val="0400" w:firstRow="0" w:lastRow="0" w:firstColumn="0" w:lastColumn="0" w:noHBand="0" w:noVBand="1"/>
      </w:tblPr>
      <w:tblGrid>
        <w:gridCol w:w="1276"/>
        <w:gridCol w:w="4906"/>
        <w:gridCol w:w="1725"/>
        <w:gridCol w:w="1293"/>
      </w:tblGrid>
      <w:tr w:rsidR="00386F6D" w:rsidRPr="00666914" w14:paraId="05600160" w14:textId="77777777" w:rsidTr="007819ED">
        <w:trPr>
          <w:trHeight w:val="501"/>
        </w:trPr>
        <w:tc>
          <w:tcPr>
            <w:tcW w:w="1276" w:type="dxa"/>
            <w:tcBorders>
              <w:top w:val="nil"/>
              <w:left w:val="nil"/>
              <w:bottom w:val="single" w:sz="4" w:space="0" w:color="000000"/>
              <w:right w:val="nil"/>
            </w:tcBorders>
            <w:shd w:val="clear" w:color="auto" w:fill="auto"/>
            <w:vAlign w:val="center"/>
          </w:tcPr>
          <w:p w14:paraId="173904FB" w14:textId="77777777" w:rsidR="00386F6D" w:rsidRPr="00666914" w:rsidRDefault="00386F6D">
            <w:pPr>
              <w:spacing w:after="0"/>
              <w:jc w:val="left"/>
              <w:rPr>
                <w:b/>
                <w:color w:val="000000"/>
                <w:sz w:val="20"/>
                <w:szCs w:val="20"/>
              </w:rPr>
            </w:pPr>
            <w:r w:rsidRPr="00666914">
              <w:rPr>
                <w:b/>
                <w:color w:val="000000"/>
                <w:sz w:val="20"/>
                <w:szCs w:val="20"/>
              </w:rPr>
              <w:t>Žiadateľ</w:t>
            </w:r>
          </w:p>
        </w:tc>
        <w:tc>
          <w:tcPr>
            <w:tcW w:w="4906" w:type="dxa"/>
            <w:tcBorders>
              <w:top w:val="nil"/>
              <w:left w:val="nil"/>
              <w:bottom w:val="single" w:sz="4" w:space="0" w:color="000000"/>
              <w:right w:val="nil"/>
            </w:tcBorders>
            <w:shd w:val="clear" w:color="auto" w:fill="auto"/>
            <w:vAlign w:val="center"/>
          </w:tcPr>
          <w:p w14:paraId="0180C663" w14:textId="77777777" w:rsidR="00386F6D" w:rsidRPr="00666914" w:rsidRDefault="00386F6D">
            <w:pPr>
              <w:spacing w:after="0"/>
              <w:jc w:val="left"/>
              <w:rPr>
                <w:b/>
                <w:color w:val="000000"/>
                <w:sz w:val="20"/>
                <w:szCs w:val="20"/>
              </w:rPr>
            </w:pPr>
            <w:r w:rsidRPr="00666914">
              <w:rPr>
                <w:b/>
                <w:color w:val="000000"/>
                <w:sz w:val="20"/>
                <w:szCs w:val="20"/>
              </w:rPr>
              <w:t>Projekt</w:t>
            </w:r>
          </w:p>
        </w:tc>
        <w:tc>
          <w:tcPr>
            <w:tcW w:w="1725" w:type="dxa"/>
            <w:tcBorders>
              <w:top w:val="nil"/>
              <w:left w:val="nil"/>
              <w:bottom w:val="single" w:sz="4" w:space="0" w:color="000000"/>
              <w:right w:val="nil"/>
            </w:tcBorders>
            <w:shd w:val="clear" w:color="auto" w:fill="auto"/>
            <w:vAlign w:val="center"/>
          </w:tcPr>
          <w:p w14:paraId="44477618" w14:textId="77777777" w:rsidR="00386F6D" w:rsidRPr="00666914" w:rsidRDefault="00386F6D">
            <w:pPr>
              <w:spacing w:after="0"/>
              <w:jc w:val="center"/>
              <w:rPr>
                <w:b/>
                <w:color w:val="000000"/>
                <w:sz w:val="20"/>
                <w:szCs w:val="20"/>
              </w:rPr>
            </w:pPr>
            <w:r w:rsidRPr="00666914">
              <w:rPr>
                <w:b/>
                <w:color w:val="000000"/>
                <w:sz w:val="20"/>
                <w:szCs w:val="20"/>
              </w:rPr>
              <w:t xml:space="preserve">Investičné náklady </w:t>
            </w:r>
          </w:p>
          <w:p w14:paraId="048A3E0E" w14:textId="77777777" w:rsidR="00386F6D" w:rsidRPr="00666914" w:rsidRDefault="00386F6D">
            <w:pPr>
              <w:spacing w:after="0"/>
              <w:jc w:val="center"/>
              <w:rPr>
                <w:b/>
                <w:color w:val="000000"/>
                <w:sz w:val="20"/>
                <w:szCs w:val="20"/>
              </w:rPr>
            </w:pPr>
            <w:r w:rsidRPr="00666914">
              <w:rPr>
                <w:b/>
                <w:color w:val="000000"/>
                <w:sz w:val="20"/>
                <w:szCs w:val="20"/>
              </w:rPr>
              <w:t>(mil. eur)</w:t>
            </w:r>
          </w:p>
        </w:tc>
        <w:tc>
          <w:tcPr>
            <w:tcW w:w="1293" w:type="dxa"/>
            <w:tcBorders>
              <w:top w:val="nil"/>
              <w:left w:val="nil"/>
              <w:bottom w:val="single" w:sz="4" w:space="0" w:color="000000"/>
              <w:right w:val="nil"/>
            </w:tcBorders>
            <w:shd w:val="clear" w:color="auto" w:fill="auto"/>
            <w:vAlign w:val="center"/>
          </w:tcPr>
          <w:p w14:paraId="467B5B07" w14:textId="77777777" w:rsidR="00386F6D" w:rsidRPr="00666914" w:rsidRDefault="00386F6D">
            <w:pPr>
              <w:spacing w:after="0"/>
              <w:jc w:val="center"/>
              <w:rPr>
                <w:b/>
                <w:color w:val="000000"/>
                <w:sz w:val="20"/>
                <w:szCs w:val="20"/>
              </w:rPr>
            </w:pPr>
            <w:r w:rsidRPr="00666914">
              <w:rPr>
                <w:b/>
                <w:color w:val="000000"/>
                <w:sz w:val="20"/>
                <w:szCs w:val="20"/>
              </w:rPr>
              <w:t>Dátum publikácie</w:t>
            </w:r>
          </w:p>
        </w:tc>
      </w:tr>
      <w:tr w:rsidR="00386F6D" w:rsidRPr="00666914" w14:paraId="39EBE9C3" w14:textId="77777777" w:rsidTr="007819ED">
        <w:trPr>
          <w:trHeight w:val="250"/>
        </w:trPr>
        <w:tc>
          <w:tcPr>
            <w:tcW w:w="1276" w:type="dxa"/>
            <w:tcBorders>
              <w:top w:val="nil"/>
              <w:left w:val="nil"/>
              <w:bottom w:val="nil"/>
              <w:right w:val="nil"/>
            </w:tcBorders>
            <w:shd w:val="clear" w:color="auto" w:fill="auto"/>
            <w:vAlign w:val="bottom"/>
          </w:tcPr>
          <w:p w14:paraId="4F216D95" w14:textId="77777777" w:rsidR="00386F6D" w:rsidRPr="00666914" w:rsidRDefault="00386F6D">
            <w:pPr>
              <w:spacing w:after="0"/>
              <w:jc w:val="left"/>
              <w:rPr>
                <w:color w:val="000000"/>
                <w:sz w:val="20"/>
                <w:szCs w:val="20"/>
              </w:rPr>
            </w:pPr>
            <w:r w:rsidRPr="00666914">
              <w:rPr>
                <w:color w:val="000000"/>
                <w:sz w:val="20"/>
                <w:szCs w:val="20"/>
              </w:rPr>
              <w:t>ÚVO</w:t>
            </w:r>
          </w:p>
        </w:tc>
        <w:tc>
          <w:tcPr>
            <w:tcW w:w="4906" w:type="dxa"/>
            <w:tcBorders>
              <w:top w:val="nil"/>
              <w:left w:val="nil"/>
              <w:bottom w:val="nil"/>
              <w:right w:val="nil"/>
            </w:tcBorders>
            <w:shd w:val="clear" w:color="auto" w:fill="auto"/>
            <w:vAlign w:val="bottom"/>
          </w:tcPr>
          <w:p w14:paraId="5075BF53" w14:textId="77777777" w:rsidR="00386F6D" w:rsidRPr="00666914" w:rsidRDefault="00386F6D">
            <w:pPr>
              <w:spacing w:after="0"/>
              <w:jc w:val="left"/>
              <w:rPr>
                <w:color w:val="000000"/>
                <w:sz w:val="20"/>
                <w:szCs w:val="20"/>
              </w:rPr>
            </w:pPr>
            <w:r w:rsidRPr="00666914">
              <w:rPr>
                <w:color w:val="000000"/>
                <w:sz w:val="20"/>
                <w:szCs w:val="20"/>
              </w:rPr>
              <w:t>Systém verejného obstarávania</w:t>
            </w:r>
          </w:p>
        </w:tc>
        <w:tc>
          <w:tcPr>
            <w:tcW w:w="1725" w:type="dxa"/>
            <w:tcBorders>
              <w:top w:val="nil"/>
              <w:left w:val="nil"/>
              <w:bottom w:val="nil"/>
              <w:right w:val="nil"/>
            </w:tcBorders>
            <w:shd w:val="clear" w:color="auto" w:fill="auto"/>
            <w:vAlign w:val="bottom"/>
          </w:tcPr>
          <w:p w14:paraId="5039B6F5" w14:textId="77777777" w:rsidR="00386F6D" w:rsidRPr="00666914" w:rsidRDefault="00386F6D">
            <w:pPr>
              <w:spacing w:after="0"/>
              <w:jc w:val="center"/>
              <w:rPr>
                <w:color w:val="000000"/>
                <w:sz w:val="20"/>
                <w:szCs w:val="20"/>
              </w:rPr>
            </w:pPr>
            <w:r w:rsidRPr="00666914">
              <w:rPr>
                <w:color w:val="000000"/>
                <w:sz w:val="20"/>
                <w:szCs w:val="20"/>
              </w:rPr>
              <w:t>19,8</w:t>
            </w:r>
          </w:p>
        </w:tc>
        <w:tc>
          <w:tcPr>
            <w:tcW w:w="1293" w:type="dxa"/>
            <w:tcBorders>
              <w:top w:val="nil"/>
              <w:left w:val="nil"/>
              <w:bottom w:val="nil"/>
              <w:right w:val="nil"/>
            </w:tcBorders>
            <w:shd w:val="clear" w:color="auto" w:fill="auto"/>
            <w:vAlign w:val="bottom"/>
          </w:tcPr>
          <w:p w14:paraId="512CACBF" w14:textId="77777777" w:rsidR="00386F6D" w:rsidRPr="00666914" w:rsidRDefault="00386F6D">
            <w:pPr>
              <w:spacing w:after="0"/>
              <w:jc w:val="center"/>
              <w:rPr>
                <w:color w:val="000000"/>
                <w:sz w:val="20"/>
                <w:szCs w:val="20"/>
              </w:rPr>
            </w:pPr>
            <w:r w:rsidRPr="00666914">
              <w:rPr>
                <w:color w:val="000000"/>
                <w:sz w:val="20"/>
                <w:szCs w:val="20"/>
              </w:rPr>
              <w:t>21.01.2019</w:t>
            </w:r>
          </w:p>
        </w:tc>
      </w:tr>
      <w:tr w:rsidR="00386F6D" w:rsidRPr="00666914" w14:paraId="67329703" w14:textId="77777777" w:rsidTr="007819ED">
        <w:trPr>
          <w:trHeight w:val="250"/>
        </w:trPr>
        <w:tc>
          <w:tcPr>
            <w:tcW w:w="1276" w:type="dxa"/>
            <w:tcBorders>
              <w:top w:val="nil"/>
              <w:left w:val="nil"/>
              <w:bottom w:val="nil"/>
              <w:right w:val="nil"/>
            </w:tcBorders>
            <w:shd w:val="clear" w:color="auto" w:fill="auto"/>
            <w:vAlign w:val="bottom"/>
          </w:tcPr>
          <w:p w14:paraId="2A73B788" w14:textId="77777777" w:rsidR="00386F6D" w:rsidRPr="00666914" w:rsidRDefault="00386F6D">
            <w:pPr>
              <w:spacing w:after="0"/>
              <w:jc w:val="left"/>
              <w:rPr>
                <w:color w:val="000000"/>
                <w:sz w:val="20"/>
                <w:szCs w:val="20"/>
              </w:rPr>
            </w:pPr>
            <w:r w:rsidRPr="00666914">
              <w:rPr>
                <w:color w:val="000000"/>
                <w:sz w:val="20"/>
                <w:szCs w:val="20"/>
              </w:rPr>
              <w:t>PÚ SR</w:t>
            </w:r>
          </w:p>
        </w:tc>
        <w:tc>
          <w:tcPr>
            <w:tcW w:w="4906" w:type="dxa"/>
            <w:tcBorders>
              <w:top w:val="nil"/>
              <w:left w:val="nil"/>
              <w:bottom w:val="nil"/>
              <w:right w:val="nil"/>
            </w:tcBorders>
            <w:shd w:val="clear" w:color="auto" w:fill="auto"/>
            <w:vAlign w:val="bottom"/>
          </w:tcPr>
          <w:p w14:paraId="3454A024" w14:textId="77777777" w:rsidR="00386F6D" w:rsidRPr="00666914" w:rsidRDefault="00386F6D">
            <w:pPr>
              <w:spacing w:after="0"/>
              <w:jc w:val="left"/>
              <w:rPr>
                <w:color w:val="000000"/>
                <w:sz w:val="20"/>
                <w:szCs w:val="20"/>
              </w:rPr>
            </w:pPr>
            <w:r w:rsidRPr="00666914">
              <w:rPr>
                <w:color w:val="000000"/>
                <w:sz w:val="20"/>
                <w:szCs w:val="20"/>
              </w:rPr>
              <w:t>Pamiatkový informačný systém</w:t>
            </w:r>
          </w:p>
        </w:tc>
        <w:tc>
          <w:tcPr>
            <w:tcW w:w="1725" w:type="dxa"/>
            <w:tcBorders>
              <w:top w:val="nil"/>
              <w:left w:val="nil"/>
              <w:bottom w:val="nil"/>
              <w:right w:val="nil"/>
            </w:tcBorders>
            <w:shd w:val="clear" w:color="auto" w:fill="auto"/>
            <w:vAlign w:val="bottom"/>
          </w:tcPr>
          <w:p w14:paraId="2D9066B6" w14:textId="77777777" w:rsidR="00386F6D" w:rsidRPr="00666914" w:rsidRDefault="00386F6D">
            <w:pPr>
              <w:spacing w:after="0"/>
              <w:jc w:val="center"/>
              <w:rPr>
                <w:color w:val="000000"/>
                <w:sz w:val="20"/>
                <w:szCs w:val="20"/>
              </w:rPr>
            </w:pPr>
            <w:r w:rsidRPr="00666914">
              <w:rPr>
                <w:color w:val="000000"/>
                <w:sz w:val="20"/>
                <w:szCs w:val="20"/>
              </w:rPr>
              <w:t>12,5</w:t>
            </w:r>
          </w:p>
        </w:tc>
        <w:tc>
          <w:tcPr>
            <w:tcW w:w="1293" w:type="dxa"/>
            <w:tcBorders>
              <w:top w:val="nil"/>
              <w:left w:val="nil"/>
              <w:bottom w:val="nil"/>
              <w:right w:val="nil"/>
            </w:tcBorders>
            <w:shd w:val="clear" w:color="auto" w:fill="auto"/>
            <w:vAlign w:val="bottom"/>
          </w:tcPr>
          <w:p w14:paraId="17C12199" w14:textId="77777777" w:rsidR="00386F6D" w:rsidRPr="00666914" w:rsidRDefault="00386F6D">
            <w:pPr>
              <w:spacing w:after="0"/>
              <w:jc w:val="center"/>
              <w:rPr>
                <w:color w:val="000000"/>
                <w:sz w:val="20"/>
                <w:szCs w:val="20"/>
              </w:rPr>
            </w:pPr>
            <w:r w:rsidRPr="00666914">
              <w:rPr>
                <w:color w:val="000000"/>
                <w:sz w:val="20"/>
                <w:szCs w:val="20"/>
              </w:rPr>
              <w:t>21.01.2019</w:t>
            </w:r>
          </w:p>
        </w:tc>
      </w:tr>
      <w:tr w:rsidR="00386F6D" w:rsidRPr="00666914" w14:paraId="3AF67B6E" w14:textId="77777777" w:rsidTr="007819ED">
        <w:trPr>
          <w:trHeight w:val="250"/>
        </w:trPr>
        <w:tc>
          <w:tcPr>
            <w:tcW w:w="1276" w:type="dxa"/>
            <w:tcBorders>
              <w:top w:val="nil"/>
              <w:left w:val="nil"/>
              <w:bottom w:val="nil"/>
              <w:right w:val="nil"/>
            </w:tcBorders>
            <w:shd w:val="clear" w:color="auto" w:fill="auto"/>
            <w:vAlign w:val="bottom"/>
          </w:tcPr>
          <w:p w14:paraId="1AD84348" w14:textId="77777777" w:rsidR="00386F6D" w:rsidRPr="00666914" w:rsidRDefault="00386F6D">
            <w:pPr>
              <w:spacing w:after="0"/>
              <w:jc w:val="left"/>
              <w:rPr>
                <w:color w:val="000000"/>
                <w:sz w:val="20"/>
                <w:szCs w:val="20"/>
              </w:rPr>
            </w:pPr>
            <w:r w:rsidRPr="00666914">
              <w:rPr>
                <w:color w:val="000000"/>
                <w:sz w:val="20"/>
                <w:szCs w:val="20"/>
              </w:rPr>
              <w:t>ÚPVII</w:t>
            </w:r>
          </w:p>
        </w:tc>
        <w:tc>
          <w:tcPr>
            <w:tcW w:w="4906" w:type="dxa"/>
            <w:tcBorders>
              <w:top w:val="nil"/>
              <w:left w:val="nil"/>
              <w:bottom w:val="nil"/>
              <w:right w:val="nil"/>
            </w:tcBorders>
            <w:shd w:val="clear" w:color="auto" w:fill="auto"/>
            <w:vAlign w:val="bottom"/>
          </w:tcPr>
          <w:p w14:paraId="7599D7ED" w14:textId="77777777" w:rsidR="00386F6D" w:rsidRPr="00666914" w:rsidRDefault="00386F6D">
            <w:pPr>
              <w:spacing w:after="0"/>
              <w:jc w:val="left"/>
              <w:rPr>
                <w:color w:val="000000"/>
                <w:sz w:val="20"/>
                <w:szCs w:val="20"/>
              </w:rPr>
            </w:pPr>
            <w:r w:rsidRPr="00666914">
              <w:rPr>
                <w:color w:val="000000"/>
                <w:sz w:val="20"/>
                <w:szCs w:val="20"/>
              </w:rPr>
              <w:t>Digitálny ekosystém inklúzie</w:t>
            </w:r>
          </w:p>
        </w:tc>
        <w:tc>
          <w:tcPr>
            <w:tcW w:w="1725" w:type="dxa"/>
            <w:tcBorders>
              <w:top w:val="nil"/>
              <w:left w:val="nil"/>
              <w:bottom w:val="nil"/>
              <w:right w:val="nil"/>
            </w:tcBorders>
            <w:shd w:val="clear" w:color="auto" w:fill="auto"/>
            <w:vAlign w:val="bottom"/>
          </w:tcPr>
          <w:p w14:paraId="29FD96D6" w14:textId="77777777" w:rsidR="00386F6D" w:rsidRPr="00666914" w:rsidRDefault="00386F6D">
            <w:pPr>
              <w:spacing w:after="0"/>
              <w:jc w:val="center"/>
              <w:rPr>
                <w:color w:val="000000"/>
                <w:sz w:val="20"/>
                <w:szCs w:val="20"/>
              </w:rPr>
            </w:pPr>
            <w:r w:rsidRPr="00666914">
              <w:rPr>
                <w:color w:val="000000"/>
                <w:sz w:val="20"/>
                <w:szCs w:val="20"/>
              </w:rPr>
              <w:t>8,4</w:t>
            </w:r>
          </w:p>
        </w:tc>
        <w:tc>
          <w:tcPr>
            <w:tcW w:w="1293" w:type="dxa"/>
            <w:tcBorders>
              <w:top w:val="nil"/>
              <w:left w:val="nil"/>
              <w:bottom w:val="nil"/>
              <w:right w:val="nil"/>
            </w:tcBorders>
            <w:shd w:val="clear" w:color="auto" w:fill="auto"/>
            <w:vAlign w:val="bottom"/>
          </w:tcPr>
          <w:p w14:paraId="00904D6A" w14:textId="77777777" w:rsidR="00386F6D" w:rsidRPr="00666914" w:rsidRDefault="00386F6D">
            <w:pPr>
              <w:spacing w:after="0"/>
              <w:jc w:val="center"/>
              <w:rPr>
                <w:color w:val="000000"/>
                <w:sz w:val="20"/>
                <w:szCs w:val="20"/>
              </w:rPr>
            </w:pPr>
            <w:r w:rsidRPr="00666914">
              <w:rPr>
                <w:color w:val="000000"/>
                <w:sz w:val="20"/>
                <w:szCs w:val="20"/>
              </w:rPr>
              <w:t>21.01.2019</w:t>
            </w:r>
          </w:p>
        </w:tc>
      </w:tr>
      <w:tr w:rsidR="00386F6D" w:rsidRPr="00666914" w14:paraId="58411CD1" w14:textId="77777777" w:rsidTr="007819ED">
        <w:trPr>
          <w:trHeight w:val="250"/>
        </w:trPr>
        <w:tc>
          <w:tcPr>
            <w:tcW w:w="1276" w:type="dxa"/>
            <w:tcBorders>
              <w:top w:val="nil"/>
              <w:left w:val="nil"/>
              <w:bottom w:val="nil"/>
              <w:right w:val="nil"/>
            </w:tcBorders>
            <w:shd w:val="clear" w:color="auto" w:fill="auto"/>
            <w:vAlign w:val="bottom"/>
          </w:tcPr>
          <w:p w14:paraId="1CE9ECFA" w14:textId="77777777" w:rsidR="00386F6D" w:rsidRPr="00666914" w:rsidRDefault="00386F6D">
            <w:pPr>
              <w:spacing w:after="0"/>
              <w:jc w:val="left"/>
              <w:rPr>
                <w:color w:val="000000"/>
                <w:sz w:val="20"/>
                <w:szCs w:val="20"/>
              </w:rPr>
            </w:pPr>
            <w:r w:rsidRPr="00666914">
              <w:rPr>
                <w:color w:val="000000"/>
                <w:sz w:val="20"/>
                <w:szCs w:val="20"/>
              </w:rPr>
              <w:t>ÚPVII</w:t>
            </w:r>
          </w:p>
        </w:tc>
        <w:tc>
          <w:tcPr>
            <w:tcW w:w="4906" w:type="dxa"/>
            <w:tcBorders>
              <w:top w:val="nil"/>
              <w:left w:val="nil"/>
              <w:bottom w:val="nil"/>
              <w:right w:val="nil"/>
            </w:tcBorders>
            <w:shd w:val="clear" w:color="auto" w:fill="auto"/>
            <w:vAlign w:val="bottom"/>
          </w:tcPr>
          <w:p w14:paraId="5534F2BC" w14:textId="77777777" w:rsidR="00386F6D" w:rsidRPr="00666914" w:rsidRDefault="00386F6D">
            <w:pPr>
              <w:spacing w:after="0"/>
              <w:jc w:val="left"/>
              <w:rPr>
                <w:color w:val="000000"/>
                <w:sz w:val="20"/>
                <w:szCs w:val="20"/>
              </w:rPr>
            </w:pPr>
            <w:r w:rsidRPr="00666914">
              <w:rPr>
                <w:color w:val="000000"/>
                <w:sz w:val="20"/>
                <w:szCs w:val="20"/>
              </w:rPr>
              <w:t>Centrálna API manažment platforma</w:t>
            </w:r>
          </w:p>
        </w:tc>
        <w:tc>
          <w:tcPr>
            <w:tcW w:w="1725" w:type="dxa"/>
            <w:tcBorders>
              <w:top w:val="nil"/>
              <w:left w:val="nil"/>
              <w:bottom w:val="nil"/>
              <w:right w:val="nil"/>
            </w:tcBorders>
            <w:shd w:val="clear" w:color="auto" w:fill="auto"/>
            <w:vAlign w:val="bottom"/>
          </w:tcPr>
          <w:p w14:paraId="6B50EDD0" w14:textId="77777777" w:rsidR="00386F6D" w:rsidRPr="00666914" w:rsidRDefault="00386F6D">
            <w:pPr>
              <w:spacing w:after="0"/>
              <w:jc w:val="center"/>
              <w:rPr>
                <w:color w:val="000000"/>
                <w:sz w:val="20"/>
                <w:szCs w:val="20"/>
              </w:rPr>
            </w:pPr>
            <w:r w:rsidRPr="00666914">
              <w:rPr>
                <w:color w:val="000000"/>
                <w:sz w:val="20"/>
                <w:szCs w:val="20"/>
              </w:rPr>
              <w:t>7,5</w:t>
            </w:r>
          </w:p>
        </w:tc>
        <w:tc>
          <w:tcPr>
            <w:tcW w:w="1293" w:type="dxa"/>
            <w:tcBorders>
              <w:top w:val="nil"/>
              <w:left w:val="nil"/>
              <w:bottom w:val="nil"/>
              <w:right w:val="nil"/>
            </w:tcBorders>
            <w:shd w:val="clear" w:color="auto" w:fill="auto"/>
            <w:vAlign w:val="bottom"/>
          </w:tcPr>
          <w:p w14:paraId="1AC02466" w14:textId="77777777" w:rsidR="00386F6D" w:rsidRPr="00666914" w:rsidRDefault="00386F6D">
            <w:pPr>
              <w:spacing w:after="0"/>
              <w:jc w:val="center"/>
              <w:rPr>
                <w:color w:val="000000"/>
                <w:sz w:val="20"/>
                <w:szCs w:val="20"/>
              </w:rPr>
            </w:pPr>
            <w:r w:rsidRPr="00666914">
              <w:rPr>
                <w:color w:val="000000"/>
                <w:sz w:val="20"/>
                <w:szCs w:val="20"/>
              </w:rPr>
              <w:t>21.01.2019</w:t>
            </w:r>
          </w:p>
        </w:tc>
      </w:tr>
      <w:tr w:rsidR="00386F6D" w:rsidRPr="00666914" w14:paraId="7FAEFF91" w14:textId="77777777" w:rsidTr="007819ED">
        <w:trPr>
          <w:trHeight w:val="250"/>
        </w:trPr>
        <w:tc>
          <w:tcPr>
            <w:tcW w:w="1276" w:type="dxa"/>
            <w:tcBorders>
              <w:top w:val="nil"/>
              <w:left w:val="nil"/>
              <w:bottom w:val="nil"/>
              <w:right w:val="nil"/>
            </w:tcBorders>
            <w:shd w:val="clear" w:color="auto" w:fill="auto"/>
            <w:vAlign w:val="bottom"/>
          </w:tcPr>
          <w:p w14:paraId="54FB6DDE" w14:textId="77777777" w:rsidR="00386F6D" w:rsidRPr="00666914" w:rsidRDefault="00386F6D">
            <w:pPr>
              <w:spacing w:after="0"/>
              <w:jc w:val="left"/>
              <w:rPr>
                <w:color w:val="000000"/>
                <w:sz w:val="20"/>
                <w:szCs w:val="20"/>
              </w:rPr>
            </w:pPr>
            <w:r w:rsidRPr="00666914">
              <w:rPr>
                <w:color w:val="000000"/>
                <w:sz w:val="20"/>
                <w:szCs w:val="20"/>
              </w:rPr>
              <w:t>SIŽP</w:t>
            </w:r>
          </w:p>
        </w:tc>
        <w:tc>
          <w:tcPr>
            <w:tcW w:w="4906" w:type="dxa"/>
            <w:tcBorders>
              <w:top w:val="nil"/>
              <w:left w:val="nil"/>
              <w:bottom w:val="nil"/>
              <w:right w:val="nil"/>
            </w:tcBorders>
            <w:shd w:val="clear" w:color="auto" w:fill="auto"/>
            <w:vAlign w:val="bottom"/>
          </w:tcPr>
          <w:p w14:paraId="4CB2C5B9" w14:textId="77777777" w:rsidR="00386F6D" w:rsidRPr="00666914" w:rsidRDefault="00386F6D">
            <w:pPr>
              <w:spacing w:after="0"/>
              <w:jc w:val="left"/>
              <w:rPr>
                <w:color w:val="000000"/>
                <w:sz w:val="20"/>
                <w:szCs w:val="20"/>
              </w:rPr>
            </w:pPr>
            <w:r w:rsidRPr="00666914">
              <w:rPr>
                <w:color w:val="000000"/>
                <w:sz w:val="20"/>
                <w:szCs w:val="20"/>
              </w:rPr>
              <w:t>Zefektívnenie štátneho dozoru v starostlivosti o životné prostredie</w:t>
            </w:r>
          </w:p>
        </w:tc>
        <w:tc>
          <w:tcPr>
            <w:tcW w:w="1725" w:type="dxa"/>
            <w:tcBorders>
              <w:top w:val="nil"/>
              <w:left w:val="nil"/>
              <w:bottom w:val="nil"/>
              <w:right w:val="nil"/>
            </w:tcBorders>
            <w:shd w:val="clear" w:color="auto" w:fill="auto"/>
            <w:vAlign w:val="bottom"/>
          </w:tcPr>
          <w:p w14:paraId="01582F84" w14:textId="77777777" w:rsidR="00386F6D" w:rsidRPr="00666914" w:rsidRDefault="00386F6D">
            <w:pPr>
              <w:spacing w:after="0"/>
              <w:jc w:val="center"/>
              <w:rPr>
                <w:color w:val="000000"/>
                <w:sz w:val="20"/>
                <w:szCs w:val="20"/>
              </w:rPr>
            </w:pPr>
            <w:r w:rsidRPr="00666914">
              <w:rPr>
                <w:color w:val="000000"/>
                <w:sz w:val="20"/>
                <w:szCs w:val="20"/>
              </w:rPr>
              <w:t>8,7</w:t>
            </w:r>
          </w:p>
        </w:tc>
        <w:tc>
          <w:tcPr>
            <w:tcW w:w="1293" w:type="dxa"/>
            <w:tcBorders>
              <w:top w:val="nil"/>
              <w:left w:val="nil"/>
              <w:bottom w:val="nil"/>
              <w:right w:val="nil"/>
            </w:tcBorders>
            <w:shd w:val="clear" w:color="auto" w:fill="auto"/>
            <w:vAlign w:val="bottom"/>
          </w:tcPr>
          <w:p w14:paraId="2F237E3F" w14:textId="77777777" w:rsidR="00386F6D" w:rsidRPr="00666914" w:rsidRDefault="00386F6D">
            <w:pPr>
              <w:spacing w:after="0"/>
              <w:jc w:val="center"/>
              <w:rPr>
                <w:color w:val="000000"/>
                <w:sz w:val="20"/>
                <w:szCs w:val="20"/>
              </w:rPr>
            </w:pPr>
            <w:r w:rsidRPr="00666914">
              <w:rPr>
                <w:color w:val="000000"/>
                <w:sz w:val="20"/>
                <w:szCs w:val="20"/>
              </w:rPr>
              <w:t>21.01.2019</w:t>
            </w:r>
          </w:p>
        </w:tc>
      </w:tr>
      <w:tr w:rsidR="00386F6D" w:rsidRPr="00666914" w14:paraId="245334F6" w14:textId="77777777" w:rsidTr="007819ED">
        <w:trPr>
          <w:trHeight w:val="250"/>
        </w:trPr>
        <w:tc>
          <w:tcPr>
            <w:tcW w:w="1276" w:type="dxa"/>
            <w:tcBorders>
              <w:top w:val="nil"/>
              <w:left w:val="nil"/>
              <w:bottom w:val="nil"/>
              <w:right w:val="nil"/>
            </w:tcBorders>
            <w:shd w:val="clear" w:color="auto" w:fill="auto"/>
            <w:vAlign w:val="bottom"/>
          </w:tcPr>
          <w:p w14:paraId="778F4A5B" w14:textId="77777777" w:rsidR="00386F6D" w:rsidRPr="00666914" w:rsidRDefault="00386F6D">
            <w:pPr>
              <w:spacing w:after="0"/>
              <w:jc w:val="left"/>
              <w:rPr>
                <w:color w:val="000000"/>
                <w:sz w:val="20"/>
                <w:szCs w:val="20"/>
              </w:rPr>
            </w:pPr>
            <w:r w:rsidRPr="00666914">
              <w:rPr>
                <w:color w:val="000000"/>
                <w:sz w:val="20"/>
                <w:szCs w:val="20"/>
              </w:rPr>
              <w:t>FS SR</w:t>
            </w:r>
          </w:p>
        </w:tc>
        <w:tc>
          <w:tcPr>
            <w:tcW w:w="4906" w:type="dxa"/>
            <w:tcBorders>
              <w:top w:val="nil"/>
              <w:left w:val="nil"/>
              <w:bottom w:val="nil"/>
              <w:right w:val="nil"/>
            </w:tcBorders>
            <w:shd w:val="clear" w:color="auto" w:fill="auto"/>
            <w:vAlign w:val="bottom"/>
          </w:tcPr>
          <w:p w14:paraId="4F248436" w14:textId="77777777" w:rsidR="00386F6D" w:rsidRPr="00666914" w:rsidRDefault="00386F6D">
            <w:pPr>
              <w:spacing w:after="0"/>
              <w:jc w:val="left"/>
              <w:rPr>
                <w:color w:val="000000"/>
                <w:sz w:val="20"/>
                <w:szCs w:val="20"/>
              </w:rPr>
            </w:pPr>
            <w:r w:rsidRPr="00666914">
              <w:rPr>
                <w:color w:val="000000"/>
                <w:sz w:val="20"/>
                <w:szCs w:val="20"/>
              </w:rPr>
              <w:t>PKI e-Kasa</w:t>
            </w:r>
          </w:p>
        </w:tc>
        <w:tc>
          <w:tcPr>
            <w:tcW w:w="1725" w:type="dxa"/>
            <w:tcBorders>
              <w:top w:val="nil"/>
              <w:left w:val="nil"/>
              <w:bottom w:val="nil"/>
              <w:right w:val="nil"/>
            </w:tcBorders>
            <w:shd w:val="clear" w:color="auto" w:fill="auto"/>
            <w:vAlign w:val="bottom"/>
          </w:tcPr>
          <w:p w14:paraId="46F0EEE6" w14:textId="77777777" w:rsidR="00386F6D" w:rsidRPr="00666914" w:rsidRDefault="00386F6D">
            <w:pPr>
              <w:spacing w:after="0"/>
              <w:jc w:val="center"/>
              <w:rPr>
                <w:color w:val="000000"/>
                <w:sz w:val="20"/>
                <w:szCs w:val="20"/>
              </w:rPr>
            </w:pPr>
            <w:r w:rsidRPr="00666914">
              <w:rPr>
                <w:color w:val="000000"/>
                <w:sz w:val="20"/>
                <w:szCs w:val="20"/>
              </w:rPr>
              <w:t>18,0</w:t>
            </w:r>
          </w:p>
        </w:tc>
        <w:tc>
          <w:tcPr>
            <w:tcW w:w="1293" w:type="dxa"/>
            <w:tcBorders>
              <w:top w:val="nil"/>
              <w:left w:val="nil"/>
              <w:bottom w:val="nil"/>
              <w:right w:val="nil"/>
            </w:tcBorders>
            <w:shd w:val="clear" w:color="auto" w:fill="auto"/>
            <w:vAlign w:val="bottom"/>
          </w:tcPr>
          <w:p w14:paraId="2409BAE2" w14:textId="77777777" w:rsidR="00386F6D" w:rsidRPr="00666914" w:rsidRDefault="00386F6D">
            <w:pPr>
              <w:spacing w:after="0"/>
              <w:jc w:val="center"/>
              <w:rPr>
                <w:color w:val="000000"/>
                <w:sz w:val="20"/>
                <w:szCs w:val="20"/>
              </w:rPr>
            </w:pPr>
            <w:r w:rsidRPr="00666914">
              <w:rPr>
                <w:color w:val="000000"/>
                <w:sz w:val="20"/>
                <w:szCs w:val="20"/>
              </w:rPr>
              <w:t>08.04.2019</w:t>
            </w:r>
          </w:p>
        </w:tc>
      </w:tr>
      <w:tr w:rsidR="00386F6D" w:rsidRPr="00666914" w14:paraId="6BB93750" w14:textId="77777777" w:rsidTr="007819ED">
        <w:trPr>
          <w:trHeight w:val="250"/>
        </w:trPr>
        <w:tc>
          <w:tcPr>
            <w:tcW w:w="1276" w:type="dxa"/>
            <w:tcBorders>
              <w:top w:val="nil"/>
              <w:left w:val="nil"/>
              <w:bottom w:val="nil"/>
              <w:right w:val="nil"/>
            </w:tcBorders>
            <w:shd w:val="clear" w:color="auto" w:fill="auto"/>
            <w:vAlign w:val="center"/>
          </w:tcPr>
          <w:p w14:paraId="27239870" w14:textId="77777777" w:rsidR="00386F6D" w:rsidRPr="00666914" w:rsidRDefault="00386F6D">
            <w:pPr>
              <w:spacing w:after="0"/>
              <w:jc w:val="left"/>
              <w:rPr>
                <w:color w:val="000000"/>
                <w:sz w:val="20"/>
                <w:szCs w:val="20"/>
              </w:rPr>
            </w:pPr>
            <w:r w:rsidRPr="00666914">
              <w:rPr>
                <w:color w:val="000000"/>
                <w:sz w:val="20"/>
                <w:szCs w:val="20"/>
              </w:rPr>
              <w:t>FS SR</w:t>
            </w:r>
          </w:p>
        </w:tc>
        <w:tc>
          <w:tcPr>
            <w:tcW w:w="4906" w:type="dxa"/>
            <w:tcBorders>
              <w:top w:val="nil"/>
              <w:left w:val="nil"/>
              <w:bottom w:val="nil"/>
              <w:right w:val="nil"/>
            </w:tcBorders>
            <w:shd w:val="clear" w:color="auto" w:fill="auto"/>
            <w:vAlign w:val="bottom"/>
          </w:tcPr>
          <w:p w14:paraId="1B9BB6B7" w14:textId="77777777" w:rsidR="00386F6D" w:rsidRPr="00666914" w:rsidRDefault="00386F6D">
            <w:pPr>
              <w:spacing w:after="0"/>
              <w:jc w:val="left"/>
              <w:rPr>
                <w:color w:val="000000"/>
                <w:sz w:val="20"/>
                <w:szCs w:val="20"/>
              </w:rPr>
            </w:pPr>
            <w:r w:rsidRPr="00666914">
              <w:rPr>
                <w:color w:val="000000"/>
                <w:sz w:val="20"/>
                <w:szCs w:val="20"/>
              </w:rPr>
              <w:t>Dodávka služieb pre systém PKI a poskytovanie podpory a rozvoja systému PKI pre Finančnú správu</w:t>
            </w:r>
          </w:p>
        </w:tc>
        <w:tc>
          <w:tcPr>
            <w:tcW w:w="1725" w:type="dxa"/>
            <w:tcBorders>
              <w:top w:val="nil"/>
              <w:left w:val="nil"/>
              <w:bottom w:val="nil"/>
              <w:right w:val="nil"/>
            </w:tcBorders>
            <w:shd w:val="clear" w:color="auto" w:fill="auto"/>
            <w:vAlign w:val="bottom"/>
          </w:tcPr>
          <w:p w14:paraId="3FBD3C88" w14:textId="77777777" w:rsidR="00386F6D" w:rsidRPr="00666914" w:rsidRDefault="00386F6D">
            <w:pPr>
              <w:spacing w:after="0"/>
              <w:jc w:val="center"/>
              <w:rPr>
                <w:color w:val="000000"/>
                <w:sz w:val="20"/>
                <w:szCs w:val="20"/>
              </w:rPr>
            </w:pPr>
            <w:r w:rsidRPr="00666914">
              <w:rPr>
                <w:color w:val="000000"/>
                <w:sz w:val="20"/>
                <w:szCs w:val="20"/>
              </w:rPr>
              <w:t>14,4</w:t>
            </w:r>
          </w:p>
        </w:tc>
        <w:tc>
          <w:tcPr>
            <w:tcW w:w="1293" w:type="dxa"/>
            <w:tcBorders>
              <w:top w:val="nil"/>
              <w:left w:val="nil"/>
              <w:bottom w:val="nil"/>
              <w:right w:val="nil"/>
            </w:tcBorders>
            <w:shd w:val="clear" w:color="auto" w:fill="auto"/>
            <w:vAlign w:val="bottom"/>
          </w:tcPr>
          <w:p w14:paraId="59C81422" w14:textId="77777777" w:rsidR="00386F6D" w:rsidRPr="00666914" w:rsidRDefault="00386F6D">
            <w:pPr>
              <w:spacing w:after="0"/>
              <w:jc w:val="center"/>
              <w:rPr>
                <w:color w:val="000000"/>
                <w:sz w:val="20"/>
                <w:szCs w:val="20"/>
              </w:rPr>
            </w:pPr>
            <w:r w:rsidRPr="00666914">
              <w:rPr>
                <w:color w:val="000000"/>
                <w:sz w:val="20"/>
                <w:szCs w:val="20"/>
              </w:rPr>
              <w:t>08.04.2019</w:t>
            </w:r>
          </w:p>
        </w:tc>
      </w:tr>
      <w:tr w:rsidR="00386F6D" w:rsidRPr="00666914" w14:paraId="233763A2" w14:textId="77777777" w:rsidTr="007819ED">
        <w:trPr>
          <w:trHeight w:val="250"/>
        </w:trPr>
        <w:tc>
          <w:tcPr>
            <w:tcW w:w="1276" w:type="dxa"/>
            <w:tcBorders>
              <w:top w:val="nil"/>
              <w:left w:val="nil"/>
              <w:bottom w:val="nil"/>
              <w:right w:val="nil"/>
            </w:tcBorders>
            <w:shd w:val="clear" w:color="auto" w:fill="auto"/>
            <w:vAlign w:val="bottom"/>
          </w:tcPr>
          <w:p w14:paraId="3B8BE589" w14:textId="77777777" w:rsidR="00386F6D" w:rsidRPr="00666914" w:rsidRDefault="00386F6D">
            <w:pPr>
              <w:spacing w:after="0"/>
              <w:jc w:val="left"/>
              <w:rPr>
                <w:color w:val="000000"/>
                <w:sz w:val="20"/>
                <w:szCs w:val="20"/>
              </w:rPr>
            </w:pPr>
            <w:r w:rsidRPr="00666914">
              <w:rPr>
                <w:color w:val="000000"/>
                <w:sz w:val="20"/>
                <w:szCs w:val="20"/>
              </w:rPr>
              <w:t>SP</w:t>
            </w:r>
          </w:p>
        </w:tc>
        <w:tc>
          <w:tcPr>
            <w:tcW w:w="4906" w:type="dxa"/>
            <w:tcBorders>
              <w:top w:val="nil"/>
              <w:left w:val="nil"/>
              <w:bottom w:val="nil"/>
              <w:right w:val="nil"/>
            </w:tcBorders>
            <w:shd w:val="clear" w:color="auto" w:fill="auto"/>
            <w:vAlign w:val="bottom"/>
          </w:tcPr>
          <w:p w14:paraId="00F17AC9" w14:textId="77777777" w:rsidR="00386F6D" w:rsidRPr="00666914" w:rsidRDefault="00386F6D">
            <w:pPr>
              <w:spacing w:after="0"/>
              <w:jc w:val="left"/>
              <w:rPr>
                <w:color w:val="000000"/>
                <w:sz w:val="20"/>
                <w:szCs w:val="20"/>
              </w:rPr>
            </w:pPr>
            <w:r w:rsidRPr="00666914">
              <w:rPr>
                <w:color w:val="000000"/>
                <w:sz w:val="20"/>
                <w:szCs w:val="20"/>
              </w:rPr>
              <w:t>Modernizácia dávkových agend Sociálnej poisťovne (MODA SP)</w:t>
            </w:r>
          </w:p>
        </w:tc>
        <w:tc>
          <w:tcPr>
            <w:tcW w:w="1725" w:type="dxa"/>
            <w:tcBorders>
              <w:top w:val="nil"/>
              <w:left w:val="nil"/>
              <w:bottom w:val="nil"/>
              <w:right w:val="nil"/>
            </w:tcBorders>
            <w:shd w:val="clear" w:color="auto" w:fill="auto"/>
            <w:vAlign w:val="bottom"/>
          </w:tcPr>
          <w:p w14:paraId="4B002578" w14:textId="77777777" w:rsidR="00386F6D" w:rsidRPr="00666914" w:rsidRDefault="00386F6D">
            <w:pPr>
              <w:spacing w:after="0"/>
              <w:jc w:val="center"/>
              <w:rPr>
                <w:color w:val="000000"/>
                <w:sz w:val="20"/>
                <w:szCs w:val="20"/>
              </w:rPr>
            </w:pPr>
            <w:r w:rsidRPr="00666914">
              <w:rPr>
                <w:color w:val="000000"/>
                <w:sz w:val="20"/>
                <w:szCs w:val="20"/>
              </w:rPr>
              <w:t>18,0</w:t>
            </w:r>
          </w:p>
        </w:tc>
        <w:tc>
          <w:tcPr>
            <w:tcW w:w="1293" w:type="dxa"/>
            <w:tcBorders>
              <w:top w:val="nil"/>
              <w:left w:val="nil"/>
              <w:bottom w:val="nil"/>
              <w:right w:val="nil"/>
            </w:tcBorders>
            <w:shd w:val="clear" w:color="auto" w:fill="auto"/>
            <w:vAlign w:val="bottom"/>
          </w:tcPr>
          <w:p w14:paraId="5FAA4C20" w14:textId="77777777" w:rsidR="00386F6D" w:rsidRPr="00666914" w:rsidRDefault="00386F6D">
            <w:pPr>
              <w:spacing w:after="0"/>
              <w:jc w:val="center"/>
              <w:rPr>
                <w:color w:val="000000"/>
                <w:sz w:val="20"/>
                <w:szCs w:val="20"/>
              </w:rPr>
            </w:pPr>
            <w:r w:rsidRPr="00666914">
              <w:rPr>
                <w:color w:val="000000"/>
                <w:sz w:val="20"/>
                <w:szCs w:val="20"/>
              </w:rPr>
              <w:t>24.04.2019</w:t>
            </w:r>
          </w:p>
        </w:tc>
      </w:tr>
      <w:tr w:rsidR="00386F6D" w:rsidRPr="00666914" w14:paraId="37A02183" w14:textId="77777777" w:rsidTr="007819ED">
        <w:trPr>
          <w:trHeight w:val="250"/>
        </w:trPr>
        <w:tc>
          <w:tcPr>
            <w:tcW w:w="1276" w:type="dxa"/>
            <w:tcBorders>
              <w:top w:val="nil"/>
              <w:left w:val="nil"/>
              <w:bottom w:val="nil"/>
              <w:right w:val="nil"/>
            </w:tcBorders>
            <w:shd w:val="clear" w:color="auto" w:fill="auto"/>
            <w:vAlign w:val="bottom"/>
          </w:tcPr>
          <w:p w14:paraId="1EF608EF" w14:textId="77777777" w:rsidR="00386F6D" w:rsidRPr="00666914" w:rsidRDefault="00386F6D">
            <w:pPr>
              <w:spacing w:after="0"/>
              <w:jc w:val="left"/>
              <w:rPr>
                <w:color w:val="000000"/>
                <w:sz w:val="20"/>
                <w:szCs w:val="20"/>
              </w:rPr>
            </w:pPr>
            <w:r w:rsidRPr="00666914">
              <w:rPr>
                <w:color w:val="000000"/>
                <w:sz w:val="20"/>
                <w:szCs w:val="20"/>
              </w:rPr>
              <w:t>MŠVVaŠ SR</w:t>
            </w:r>
          </w:p>
        </w:tc>
        <w:tc>
          <w:tcPr>
            <w:tcW w:w="4906" w:type="dxa"/>
            <w:tcBorders>
              <w:top w:val="nil"/>
              <w:left w:val="nil"/>
              <w:bottom w:val="nil"/>
              <w:right w:val="nil"/>
            </w:tcBorders>
            <w:shd w:val="clear" w:color="auto" w:fill="auto"/>
            <w:vAlign w:val="bottom"/>
          </w:tcPr>
          <w:p w14:paraId="5FC16C73" w14:textId="77777777" w:rsidR="00386F6D" w:rsidRPr="00666914" w:rsidRDefault="00386F6D">
            <w:pPr>
              <w:spacing w:after="0"/>
              <w:jc w:val="left"/>
              <w:rPr>
                <w:color w:val="000000"/>
                <w:sz w:val="20"/>
                <w:szCs w:val="20"/>
              </w:rPr>
            </w:pPr>
            <w:r w:rsidRPr="00666914">
              <w:rPr>
                <w:color w:val="000000"/>
                <w:sz w:val="20"/>
                <w:szCs w:val="20"/>
              </w:rPr>
              <w:t>Elektronizácia služieb regionálneho a vysokého školstva SR</w:t>
            </w:r>
          </w:p>
        </w:tc>
        <w:tc>
          <w:tcPr>
            <w:tcW w:w="1725" w:type="dxa"/>
            <w:tcBorders>
              <w:top w:val="nil"/>
              <w:left w:val="nil"/>
              <w:bottom w:val="nil"/>
              <w:right w:val="nil"/>
            </w:tcBorders>
            <w:shd w:val="clear" w:color="auto" w:fill="auto"/>
            <w:vAlign w:val="bottom"/>
          </w:tcPr>
          <w:p w14:paraId="1A6A5763" w14:textId="77777777" w:rsidR="00386F6D" w:rsidRPr="00666914" w:rsidRDefault="00386F6D">
            <w:pPr>
              <w:spacing w:after="0"/>
              <w:jc w:val="center"/>
              <w:rPr>
                <w:color w:val="000000"/>
                <w:sz w:val="20"/>
                <w:szCs w:val="20"/>
              </w:rPr>
            </w:pPr>
            <w:r w:rsidRPr="00666914">
              <w:rPr>
                <w:color w:val="000000"/>
                <w:sz w:val="20"/>
                <w:szCs w:val="20"/>
              </w:rPr>
              <w:t>11,0</w:t>
            </w:r>
          </w:p>
        </w:tc>
        <w:tc>
          <w:tcPr>
            <w:tcW w:w="1293" w:type="dxa"/>
            <w:tcBorders>
              <w:top w:val="nil"/>
              <w:left w:val="nil"/>
              <w:bottom w:val="nil"/>
              <w:right w:val="nil"/>
            </w:tcBorders>
            <w:shd w:val="clear" w:color="auto" w:fill="auto"/>
            <w:vAlign w:val="bottom"/>
          </w:tcPr>
          <w:p w14:paraId="7CA7421C" w14:textId="77777777" w:rsidR="00386F6D" w:rsidRPr="00666914" w:rsidRDefault="00386F6D">
            <w:pPr>
              <w:spacing w:after="0"/>
              <w:jc w:val="center"/>
              <w:rPr>
                <w:color w:val="000000"/>
                <w:sz w:val="20"/>
                <w:szCs w:val="20"/>
              </w:rPr>
            </w:pPr>
            <w:r w:rsidRPr="00666914">
              <w:rPr>
                <w:color w:val="000000"/>
                <w:sz w:val="20"/>
                <w:szCs w:val="20"/>
              </w:rPr>
              <w:t>24.04.2019</w:t>
            </w:r>
          </w:p>
        </w:tc>
      </w:tr>
      <w:tr w:rsidR="00386F6D" w:rsidRPr="00666914" w14:paraId="11D15330" w14:textId="77777777" w:rsidTr="007819ED">
        <w:trPr>
          <w:trHeight w:val="250"/>
        </w:trPr>
        <w:tc>
          <w:tcPr>
            <w:tcW w:w="1276" w:type="dxa"/>
            <w:tcBorders>
              <w:top w:val="nil"/>
              <w:left w:val="nil"/>
              <w:bottom w:val="nil"/>
              <w:right w:val="nil"/>
            </w:tcBorders>
            <w:shd w:val="clear" w:color="auto" w:fill="auto"/>
            <w:vAlign w:val="bottom"/>
          </w:tcPr>
          <w:p w14:paraId="15326374" w14:textId="77777777" w:rsidR="00386F6D" w:rsidRPr="00666914" w:rsidRDefault="00386F6D">
            <w:pPr>
              <w:spacing w:after="0"/>
              <w:jc w:val="left"/>
              <w:rPr>
                <w:color w:val="000000"/>
                <w:sz w:val="20"/>
                <w:szCs w:val="20"/>
              </w:rPr>
            </w:pPr>
            <w:r w:rsidRPr="00666914">
              <w:rPr>
                <w:color w:val="000000"/>
                <w:sz w:val="20"/>
                <w:szCs w:val="20"/>
              </w:rPr>
              <w:t>ŽSR</w:t>
            </w:r>
          </w:p>
        </w:tc>
        <w:tc>
          <w:tcPr>
            <w:tcW w:w="4906" w:type="dxa"/>
            <w:tcBorders>
              <w:top w:val="nil"/>
              <w:left w:val="nil"/>
              <w:bottom w:val="nil"/>
              <w:right w:val="nil"/>
            </w:tcBorders>
            <w:shd w:val="clear" w:color="auto" w:fill="auto"/>
            <w:vAlign w:val="bottom"/>
          </w:tcPr>
          <w:p w14:paraId="491E09D8" w14:textId="77777777" w:rsidR="00386F6D" w:rsidRPr="00666914" w:rsidRDefault="00386F6D">
            <w:pPr>
              <w:spacing w:after="0"/>
              <w:jc w:val="left"/>
              <w:rPr>
                <w:color w:val="000000"/>
                <w:sz w:val="20"/>
                <w:szCs w:val="20"/>
              </w:rPr>
            </w:pPr>
            <w:r w:rsidRPr="00666914">
              <w:rPr>
                <w:color w:val="000000"/>
                <w:sz w:val="20"/>
                <w:szCs w:val="20"/>
              </w:rPr>
              <w:t xml:space="preserve">Modernizácia elektronickej komunikačnej siete ŽSR </w:t>
            </w:r>
          </w:p>
        </w:tc>
        <w:tc>
          <w:tcPr>
            <w:tcW w:w="1725" w:type="dxa"/>
            <w:tcBorders>
              <w:top w:val="nil"/>
              <w:left w:val="nil"/>
              <w:bottom w:val="nil"/>
              <w:right w:val="nil"/>
            </w:tcBorders>
            <w:shd w:val="clear" w:color="auto" w:fill="auto"/>
            <w:vAlign w:val="bottom"/>
          </w:tcPr>
          <w:p w14:paraId="206C7FDC" w14:textId="77777777" w:rsidR="00386F6D" w:rsidRPr="00666914" w:rsidRDefault="00386F6D">
            <w:pPr>
              <w:spacing w:after="0"/>
              <w:jc w:val="center"/>
              <w:rPr>
                <w:color w:val="000000"/>
                <w:sz w:val="20"/>
                <w:szCs w:val="20"/>
              </w:rPr>
            </w:pPr>
            <w:r w:rsidRPr="00666914">
              <w:rPr>
                <w:color w:val="000000"/>
                <w:sz w:val="20"/>
                <w:szCs w:val="20"/>
              </w:rPr>
              <w:t>42,2</w:t>
            </w:r>
          </w:p>
        </w:tc>
        <w:tc>
          <w:tcPr>
            <w:tcW w:w="1293" w:type="dxa"/>
            <w:tcBorders>
              <w:top w:val="nil"/>
              <w:left w:val="nil"/>
              <w:bottom w:val="nil"/>
              <w:right w:val="nil"/>
            </w:tcBorders>
            <w:shd w:val="clear" w:color="auto" w:fill="auto"/>
            <w:vAlign w:val="bottom"/>
          </w:tcPr>
          <w:p w14:paraId="7D71CCF8" w14:textId="77777777" w:rsidR="00386F6D" w:rsidRPr="00666914" w:rsidRDefault="00386F6D">
            <w:pPr>
              <w:spacing w:after="0"/>
              <w:jc w:val="center"/>
              <w:rPr>
                <w:color w:val="000000"/>
                <w:sz w:val="20"/>
                <w:szCs w:val="20"/>
              </w:rPr>
            </w:pPr>
            <w:r w:rsidRPr="00666914">
              <w:rPr>
                <w:color w:val="000000"/>
                <w:sz w:val="20"/>
                <w:szCs w:val="20"/>
              </w:rPr>
              <w:t>15.05.2019</w:t>
            </w:r>
          </w:p>
        </w:tc>
      </w:tr>
      <w:tr w:rsidR="00386F6D" w:rsidRPr="00666914" w14:paraId="4AB7A4A4" w14:textId="77777777" w:rsidTr="007819ED">
        <w:trPr>
          <w:trHeight w:val="250"/>
        </w:trPr>
        <w:tc>
          <w:tcPr>
            <w:tcW w:w="1276" w:type="dxa"/>
            <w:tcBorders>
              <w:top w:val="nil"/>
              <w:left w:val="nil"/>
              <w:bottom w:val="nil"/>
              <w:right w:val="nil"/>
            </w:tcBorders>
            <w:shd w:val="clear" w:color="auto" w:fill="auto"/>
            <w:vAlign w:val="bottom"/>
          </w:tcPr>
          <w:p w14:paraId="26710D1D" w14:textId="77777777" w:rsidR="00386F6D" w:rsidRPr="00666914" w:rsidRDefault="00386F6D">
            <w:pPr>
              <w:spacing w:after="0"/>
              <w:jc w:val="left"/>
              <w:rPr>
                <w:color w:val="000000"/>
                <w:sz w:val="20"/>
                <w:szCs w:val="20"/>
              </w:rPr>
            </w:pPr>
            <w:r w:rsidRPr="00666914">
              <w:rPr>
                <w:color w:val="000000"/>
                <w:sz w:val="20"/>
                <w:szCs w:val="20"/>
              </w:rPr>
              <w:t>ŠU</w:t>
            </w:r>
          </w:p>
        </w:tc>
        <w:tc>
          <w:tcPr>
            <w:tcW w:w="4906" w:type="dxa"/>
            <w:tcBorders>
              <w:top w:val="nil"/>
              <w:left w:val="nil"/>
              <w:bottom w:val="nil"/>
              <w:right w:val="nil"/>
            </w:tcBorders>
            <w:shd w:val="clear" w:color="auto" w:fill="auto"/>
            <w:vAlign w:val="bottom"/>
          </w:tcPr>
          <w:p w14:paraId="5A10DF9C" w14:textId="77777777" w:rsidR="00386F6D" w:rsidRPr="00666914" w:rsidRDefault="00386F6D">
            <w:pPr>
              <w:spacing w:after="0"/>
              <w:jc w:val="left"/>
              <w:rPr>
                <w:color w:val="000000"/>
                <w:sz w:val="20"/>
                <w:szCs w:val="20"/>
              </w:rPr>
            </w:pPr>
            <w:r w:rsidRPr="00666914">
              <w:rPr>
                <w:color w:val="000000"/>
                <w:sz w:val="20"/>
                <w:szCs w:val="20"/>
              </w:rPr>
              <w:t>Sčítanie obyvateľov dmoov a bytov 2021</w:t>
            </w:r>
          </w:p>
        </w:tc>
        <w:tc>
          <w:tcPr>
            <w:tcW w:w="1725" w:type="dxa"/>
            <w:tcBorders>
              <w:top w:val="nil"/>
              <w:left w:val="nil"/>
              <w:bottom w:val="nil"/>
              <w:right w:val="nil"/>
            </w:tcBorders>
            <w:shd w:val="clear" w:color="auto" w:fill="auto"/>
            <w:vAlign w:val="bottom"/>
          </w:tcPr>
          <w:p w14:paraId="545F47DA" w14:textId="77777777" w:rsidR="00386F6D" w:rsidRPr="00666914" w:rsidRDefault="00386F6D">
            <w:pPr>
              <w:spacing w:after="0"/>
              <w:jc w:val="center"/>
              <w:rPr>
                <w:color w:val="000000"/>
                <w:sz w:val="20"/>
                <w:szCs w:val="20"/>
              </w:rPr>
            </w:pPr>
            <w:r w:rsidRPr="00666914">
              <w:rPr>
                <w:color w:val="000000"/>
                <w:sz w:val="20"/>
                <w:szCs w:val="20"/>
              </w:rPr>
              <w:t>19,6</w:t>
            </w:r>
          </w:p>
        </w:tc>
        <w:tc>
          <w:tcPr>
            <w:tcW w:w="1293" w:type="dxa"/>
            <w:tcBorders>
              <w:top w:val="nil"/>
              <w:left w:val="nil"/>
              <w:bottom w:val="nil"/>
              <w:right w:val="nil"/>
            </w:tcBorders>
            <w:shd w:val="clear" w:color="auto" w:fill="auto"/>
            <w:vAlign w:val="bottom"/>
          </w:tcPr>
          <w:p w14:paraId="66544A6A" w14:textId="77777777" w:rsidR="00386F6D" w:rsidRPr="00666914" w:rsidRDefault="00386F6D">
            <w:pPr>
              <w:spacing w:after="0"/>
              <w:jc w:val="center"/>
              <w:rPr>
                <w:color w:val="000000"/>
                <w:sz w:val="20"/>
                <w:szCs w:val="20"/>
              </w:rPr>
            </w:pPr>
            <w:r w:rsidRPr="00666914">
              <w:rPr>
                <w:color w:val="000000"/>
                <w:sz w:val="20"/>
                <w:szCs w:val="20"/>
              </w:rPr>
              <w:t>16.05.2019</w:t>
            </w:r>
          </w:p>
        </w:tc>
      </w:tr>
      <w:tr w:rsidR="00386F6D" w:rsidRPr="00666914" w14:paraId="602155D6" w14:textId="77777777" w:rsidTr="007819ED">
        <w:trPr>
          <w:trHeight w:val="250"/>
        </w:trPr>
        <w:tc>
          <w:tcPr>
            <w:tcW w:w="1276" w:type="dxa"/>
            <w:tcBorders>
              <w:top w:val="nil"/>
              <w:left w:val="nil"/>
              <w:bottom w:val="nil"/>
              <w:right w:val="nil"/>
            </w:tcBorders>
            <w:shd w:val="clear" w:color="auto" w:fill="auto"/>
            <w:vAlign w:val="bottom"/>
          </w:tcPr>
          <w:p w14:paraId="02340325" w14:textId="77777777" w:rsidR="00386F6D" w:rsidRPr="00666914" w:rsidRDefault="00386F6D">
            <w:pPr>
              <w:spacing w:after="0"/>
              <w:jc w:val="left"/>
              <w:rPr>
                <w:color w:val="000000"/>
                <w:sz w:val="20"/>
                <w:szCs w:val="20"/>
              </w:rPr>
            </w:pPr>
            <w:r w:rsidRPr="00666914">
              <w:rPr>
                <w:color w:val="000000"/>
                <w:sz w:val="20"/>
                <w:szCs w:val="20"/>
              </w:rPr>
              <w:t>ŠU</w:t>
            </w:r>
          </w:p>
        </w:tc>
        <w:tc>
          <w:tcPr>
            <w:tcW w:w="4906" w:type="dxa"/>
            <w:tcBorders>
              <w:top w:val="nil"/>
              <w:left w:val="nil"/>
              <w:bottom w:val="nil"/>
              <w:right w:val="nil"/>
            </w:tcBorders>
            <w:shd w:val="clear" w:color="auto" w:fill="auto"/>
            <w:vAlign w:val="bottom"/>
          </w:tcPr>
          <w:p w14:paraId="20695492" w14:textId="77777777" w:rsidR="00386F6D" w:rsidRPr="00666914" w:rsidRDefault="00386F6D">
            <w:pPr>
              <w:spacing w:after="0"/>
              <w:jc w:val="left"/>
              <w:rPr>
                <w:color w:val="000000"/>
                <w:sz w:val="20"/>
                <w:szCs w:val="20"/>
              </w:rPr>
            </w:pPr>
            <w:r w:rsidRPr="00666914">
              <w:rPr>
                <w:color w:val="000000"/>
                <w:sz w:val="20"/>
                <w:szCs w:val="20"/>
              </w:rPr>
              <w:t>Jednotný informačný systém štatistických údajov</w:t>
            </w:r>
          </w:p>
        </w:tc>
        <w:tc>
          <w:tcPr>
            <w:tcW w:w="1725" w:type="dxa"/>
            <w:tcBorders>
              <w:top w:val="nil"/>
              <w:left w:val="nil"/>
              <w:bottom w:val="nil"/>
              <w:right w:val="nil"/>
            </w:tcBorders>
            <w:shd w:val="clear" w:color="auto" w:fill="auto"/>
            <w:vAlign w:val="bottom"/>
          </w:tcPr>
          <w:p w14:paraId="03DE2C61" w14:textId="77777777" w:rsidR="00386F6D" w:rsidRPr="00666914" w:rsidRDefault="00386F6D">
            <w:pPr>
              <w:spacing w:after="0"/>
              <w:jc w:val="center"/>
              <w:rPr>
                <w:color w:val="000000"/>
                <w:sz w:val="20"/>
                <w:szCs w:val="20"/>
              </w:rPr>
            </w:pPr>
            <w:r w:rsidRPr="00666914">
              <w:rPr>
                <w:color w:val="000000"/>
                <w:sz w:val="20"/>
                <w:szCs w:val="20"/>
              </w:rPr>
              <w:t>10,1</w:t>
            </w:r>
          </w:p>
        </w:tc>
        <w:tc>
          <w:tcPr>
            <w:tcW w:w="1293" w:type="dxa"/>
            <w:tcBorders>
              <w:top w:val="nil"/>
              <w:left w:val="nil"/>
              <w:bottom w:val="nil"/>
              <w:right w:val="nil"/>
            </w:tcBorders>
            <w:shd w:val="clear" w:color="auto" w:fill="auto"/>
            <w:vAlign w:val="bottom"/>
          </w:tcPr>
          <w:p w14:paraId="7D59265A" w14:textId="77777777" w:rsidR="00386F6D" w:rsidRPr="00666914" w:rsidRDefault="00386F6D">
            <w:pPr>
              <w:spacing w:after="0"/>
              <w:jc w:val="center"/>
              <w:rPr>
                <w:color w:val="000000"/>
                <w:sz w:val="20"/>
                <w:szCs w:val="20"/>
              </w:rPr>
            </w:pPr>
            <w:r w:rsidRPr="00666914">
              <w:rPr>
                <w:color w:val="000000"/>
                <w:sz w:val="20"/>
                <w:szCs w:val="20"/>
              </w:rPr>
              <w:t>11.06.2019</w:t>
            </w:r>
          </w:p>
        </w:tc>
      </w:tr>
      <w:tr w:rsidR="00386F6D" w:rsidRPr="00666914" w14:paraId="6E7633A4" w14:textId="77777777" w:rsidTr="007819ED">
        <w:trPr>
          <w:trHeight w:val="250"/>
        </w:trPr>
        <w:tc>
          <w:tcPr>
            <w:tcW w:w="1276" w:type="dxa"/>
            <w:tcBorders>
              <w:top w:val="nil"/>
              <w:left w:val="nil"/>
              <w:bottom w:val="nil"/>
              <w:right w:val="nil"/>
            </w:tcBorders>
            <w:shd w:val="clear" w:color="auto" w:fill="auto"/>
            <w:vAlign w:val="bottom"/>
          </w:tcPr>
          <w:p w14:paraId="79E6D86B" w14:textId="77777777" w:rsidR="00386F6D" w:rsidRPr="00666914" w:rsidRDefault="00386F6D">
            <w:pPr>
              <w:spacing w:after="0"/>
              <w:jc w:val="left"/>
              <w:rPr>
                <w:color w:val="000000"/>
                <w:sz w:val="20"/>
                <w:szCs w:val="20"/>
              </w:rPr>
            </w:pPr>
            <w:r w:rsidRPr="00666914">
              <w:rPr>
                <w:color w:val="000000"/>
                <w:sz w:val="20"/>
                <w:szCs w:val="20"/>
              </w:rPr>
              <w:t>UPVII</w:t>
            </w:r>
          </w:p>
        </w:tc>
        <w:tc>
          <w:tcPr>
            <w:tcW w:w="4906" w:type="dxa"/>
            <w:tcBorders>
              <w:top w:val="nil"/>
              <w:left w:val="nil"/>
              <w:bottom w:val="nil"/>
              <w:right w:val="nil"/>
            </w:tcBorders>
            <w:shd w:val="clear" w:color="auto" w:fill="auto"/>
            <w:vAlign w:val="bottom"/>
          </w:tcPr>
          <w:p w14:paraId="28096D5E" w14:textId="77777777" w:rsidR="00386F6D" w:rsidRPr="00666914" w:rsidRDefault="00386F6D">
            <w:pPr>
              <w:spacing w:after="0"/>
              <w:jc w:val="left"/>
              <w:rPr>
                <w:color w:val="000000"/>
                <w:sz w:val="20"/>
                <w:szCs w:val="20"/>
              </w:rPr>
            </w:pPr>
            <w:r w:rsidRPr="00666914">
              <w:rPr>
                <w:color w:val="000000"/>
                <w:sz w:val="20"/>
                <w:szCs w:val="20"/>
              </w:rPr>
              <w:t>Konsolidovaná analytická vrstva</w:t>
            </w:r>
          </w:p>
        </w:tc>
        <w:tc>
          <w:tcPr>
            <w:tcW w:w="1725" w:type="dxa"/>
            <w:tcBorders>
              <w:top w:val="nil"/>
              <w:left w:val="nil"/>
              <w:bottom w:val="nil"/>
              <w:right w:val="nil"/>
            </w:tcBorders>
            <w:shd w:val="clear" w:color="auto" w:fill="auto"/>
            <w:vAlign w:val="bottom"/>
          </w:tcPr>
          <w:p w14:paraId="0CB58997" w14:textId="77777777" w:rsidR="00386F6D" w:rsidRPr="00666914" w:rsidRDefault="00386F6D">
            <w:pPr>
              <w:spacing w:after="0"/>
              <w:jc w:val="center"/>
              <w:rPr>
                <w:color w:val="000000"/>
                <w:sz w:val="20"/>
                <w:szCs w:val="20"/>
              </w:rPr>
            </w:pPr>
            <w:r w:rsidRPr="00666914">
              <w:rPr>
                <w:color w:val="000000"/>
                <w:sz w:val="20"/>
                <w:szCs w:val="20"/>
              </w:rPr>
              <w:t>7,8</w:t>
            </w:r>
          </w:p>
        </w:tc>
        <w:tc>
          <w:tcPr>
            <w:tcW w:w="1293" w:type="dxa"/>
            <w:tcBorders>
              <w:top w:val="nil"/>
              <w:left w:val="nil"/>
              <w:bottom w:val="nil"/>
              <w:right w:val="nil"/>
            </w:tcBorders>
            <w:shd w:val="clear" w:color="auto" w:fill="auto"/>
            <w:vAlign w:val="bottom"/>
          </w:tcPr>
          <w:p w14:paraId="2B6C228D" w14:textId="77777777" w:rsidR="00386F6D" w:rsidRPr="00666914" w:rsidRDefault="00386F6D">
            <w:pPr>
              <w:spacing w:after="0"/>
              <w:jc w:val="center"/>
              <w:rPr>
                <w:color w:val="000000"/>
                <w:sz w:val="20"/>
                <w:szCs w:val="20"/>
              </w:rPr>
            </w:pPr>
            <w:r w:rsidRPr="00666914">
              <w:rPr>
                <w:color w:val="000000"/>
                <w:sz w:val="20"/>
                <w:szCs w:val="20"/>
              </w:rPr>
              <w:t>11.06.2019</w:t>
            </w:r>
          </w:p>
        </w:tc>
      </w:tr>
      <w:tr w:rsidR="00386F6D" w:rsidRPr="00666914" w14:paraId="4617E48B" w14:textId="77777777" w:rsidTr="007819ED">
        <w:trPr>
          <w:trHeight w:val="250"/>
        </w:trPr>
        <w:tc>
          <w:tcPr>
            <w:tcW w:w="1276" w:type="dxa"/>
            <w:tcBorders>
              <w:top w:val="nil"/>
              <w:left w:val="nil"/>
              <w:bottom w:val="nil"/>
              <w:right w:val="nil"/>
            </w:tcBorders>
            <w:shd w:val="clear" w:color="auto" w:fill="auto"/>
            <w:vAlign w:val="bottom"/>
          </w:tcPr>
          <w:p w14:paraId="47A8122A" w14:textId="77777777" w:rsidR="00386F6D" w:rsidRPr="00666914" w:rsidRDefault="00386F6D">
            <w:pPr>
              <w:spacing w:after="0"/>
              <w:jc w:val="left"/>
              <w:rPr>
                <w:color w:val="000000"/>
                <w:sz w:val="20"/>
                <w:szCs w:val="20"/>
              </w:rPr>
            </w:pPr>
            <w:r w:rsidRPr="00666914">
              <w:rPr>
                <w:color w:val="000000"/>
                <w:sz w:val="20"/>
                <w:szCs w:val="20"/>
              </w:rPr>
              <w:t>MV SR</w:t>
            </w:r>
          </w:p>
        </w:tc>
        <w:tc>
          <w:tcPr>
            <w:tcW w:w="4906" w:type="dxa"/>
            <w:tcBorders>
              <w:top w:val="nil"/>
              <w:left w:val="nil"/>
              <w:bottom w:val="nil"/>
              <w:right w:val="nil"/>
            </w:tcBorders>
            <w:shd w:val="clear" w:color="auto" w:fill="auto"/>
            <w:vAlign w:val="bottom"/>
          </w:tcPr>
          <w:p w14:paraId="15CDAB34" w14:textId="77777777" w:rsidR="00386F6D" w:rsidRPr="00666914" w:rsidRDefault="00386F6D">
            <w:pPr>
              <w:spacing w:after="0"/>
              <w:jc w:val="left"/>
              <w:rPr>
                <w:color w:val="000000"/>
                <w:sz w:val="20"/>
                <w:szCs w:val="20"/>
              </w:rPr>
            </w:pPr>
            <w:r w:rsidRPr="00666914">
              <w:rPr>
                <w:color w:val="000000"/>
                <w:sz w:val="20"/>
                <w:szCs w:val="20"/>
              </w:rPr>
              <w:t>Zvýšenie kapacity vládneho cloudu v Datacentre Kopčianska</w:t>
            </w:r>
          </w:p>
        </w:tc>
        <w:tc>
          <w:tcPr>
            <w:tcW w:w="1725" w:type="dxa"/>
            <w:tcBorders>
              <w:top w:val="nil"/>
              <w:left w:val="nil"/>
              <w:bottom w:val="nil"/>
              <w:right w:val="nil"/>
            </w:tcBorders>
            <w:shd w:val="clear" w:color="auto" w:fill="auto"/>
            <w:vAlign w:val="bottom"/>
          </w:tcPr>
          <w:p w14:paraId="0E2DAA7B" w14:textId="77777777" w:rsidR="00386F6D" w:rsidRPr="00666914" w:rsidRDefault="00386F6D">
            <w:pPr>
              <w:spacing w:after="0"/>
              <w:jc w:val="center"/>
              <w:rPr>
                <w:color w:val="000000"/>
                <w:sz w:val="20"/>
                <w:szCs w:val="20"/>
              </w:rPr>
            </w:pPr>
            <w:r w:rsidRPr="00666914">
              <w:rPr>
                <w:color w:val="000000"/>
                <w:sz w:val="20"/>
                <w:szCs w:val="20"/>
              </w:rPr>
              <w:t>37,9</w:t>
            </w:r>
          </w:p>
        </w:tc>
        <w:tc>
          <w:tcPr>
            <w:tcW w:w="1293" w:type="dxa"/>
            <w:tcBorders>
              <w:top w:val="nil"/>
              <w:left w:val="nil"/>
              <w:bottom w:val="nil"/>
              <w:right w:val="nil"/>
            </w:tcBorders>
            <w:shd w:val="clear" w:color="auto" w:fill="auto"/>
            <w:vAlign w:val="bottom"/>
          </w:tcPr>
          <w:p w14:paraId="08F1FA31" w14:textId="77777777" w:rsidR="00386F6D" w:rsidRPr="00666914" w:rsidRDefault="00386F6D">
            <w:pPr>
              <w:spacing w:after="0"/>
              <w:jc w:val="center"/>
              <w:rPr>
                <w:color w:val="000000"/>
                <w:sz w:val="20"/>
                <w:szCs w:val="20"/>
              </w:rPr>
            </w:pPr>
            <w:r w:rsidRPr="00666914">
              <w:rPr>
                <w:color w:val="000000"/>
                <w:sz w:val="20"/>
                <w:szCs w:val="20"/>
              </w:rPr>
              <w:t>11.06.2019</w:t>
            </w:r>
          </w:p>
        </w:tc>
      </w:tr>
      <w:tr w:rsidR="00386F6D" w:rsidRPr="00666914" w14:paraId="23F54DA9" w14:textId="77777777" w:rsidTr="007819ED">
        <w:trPr>
          <w:trHeight w:val="250"/>
        </w:trPr>
        <w:tc>
          <w:tcPr>
            <w:tcW w:w="1276" w:type="dxa"/>
            <w:tcBorders>
              <w:top w:val="nil"/>
              <w:left w:val="nil"/>
              <w:bottom w:val="nil"/>
              <w:right w:val="nil"/>
            </w:tcBorders>
            <w:shd w:val="clear" w:color="auto" w:fill="auto"/>
            <w:vAlign w:val="center"/>
          </w:tcPr>
          <w:p w14:paraId="1DA791EC" w14:textId="77777777" w:rsidR="00386F6D" w:rsidRPr="00666914" w:rsidRDefault="00386F6D">
            <w:pPr>
              <w:spacing w:after="0"/>
              <w:jc w:val="left"/>
              <w:rPr>
                <w:color w:val="000000"/>
                <w:sz w:val="20"/>
                <w:szCs w:val="20"/>
              </w:rPr>
            </w:pPr>
            <w:r w:rsidRPr="00666914">
              <w:rPr>
                <w:color w:val="000000"/>
                <w:sz w:val="20"/>
                <w:szCs w:val="20"/>
              </w:rPr>
              <w:t>NCZI</w:t>
            </w:r>
          </w:p>
        </w:tc>
        <w:tc>
          <w:tcPr>
            <w:tcW w:w="4906" w:type="dxa"/>
            <w:tcBorders>
              <w:top w:val="nil"/>
              <w:left w:val="nil"/>
              <w:bottom w:val="nil"/>
              <w:right w:val="nil"/>
            </w:tcBorders>
            <w:shd w:val="clear" w:color="auto" w:fill="auto"/>
            <w:vAlign w:val="bottom"/>
          </w:tcPr>
          <w:p w14:paraId="4095D404" w14:textId="77777777" w:rsidR="00386F6D" w:rsidRPr="00666914" w:rsidRDefault="00386F6D">
            <w:pPr>
              <w:spacing w:after="0"/>
              <w:jc w:val="left"/>
              <w:rPr>
                <w:color w:val="000000"/>
                <w:sz w:val="20"/>
                <w:szCs w:val="20"/>
              </w:rPr>
            </w:pPr>
            <w:r w:rsidRPr="00666914">
              <w:rPr>
                <w:color w:val="000000"/>
                <w:sz w:val="20"/>
                <w:szCs w:val="20"/>
              </w:rPr>
              <w:t>Rozšírenie portfólia služieb a inovácia služieb elektronického zdravotníctva</w:t>
            </w:r>
          </w:p>
        </w:tc>
        <w:tc>
          <w:tcPr>
            <w:tcW w:w="1725" w:type="dxa"/>
            <w:tcBorders>
              <w:top w:val="nil"/>
              <w:left w:val="nil"/>
              <w:bottom w:val="nil"/>
              <w:right w:val="nil"/>
            </w:tcBorders>
            <w:shd w:val="clear" w:color="auto" w:fill="auto"/>
            <w:vAlign w:val="bottom"/>
          </w:tcPr>
          <w:p w14:paraId="4EF369A8" w14:textId="77777777" w:rsidR="00386F6D" w:rsidRPr="00666914" w:rsidRDefault="00386F6D">
            <w:pPr>
              <w:spacing w:after="0"/>
              <w:jc w:val="center"/>
              <w:rPr>
                <w:color w:val="000000"/>
                <w:sz w:val="20"/>
                <w:szCs w:val="20"/>
              </w:rPr>
            </w:pPr>
            <w:r w:rsidRPr="00666914">
              <w:rPr>
                <w:color w:val="000000"/>
                <w:sz w:val="20"/>
                <w:szCs w:val="20"/>
              </w:rPr>
              <w:t>9,3</w:t>
            </w:r>
          </w:p>
        </w:tc>
        <w:tc>
          <w:tcPr>
            <w:tcW w:w="1293" w:type="dxa"/>
            <w:tcBorders>
              <w:top w:val="nil"/>
              <w:left w:val="nil"/>
              <w:bottom w:val="nil"/>
              <w:right w:val="nil"/>
            </w:tcBorders>
            <w:shd w:val="clear" w:color="auto" w:fill="auto"/>
            <w:vAlign w:val="bottom"/>
          </w:tcPr>
          <w:p w14:paraId="6B292174" w14:textId="77777777" w:rsidR="00386F6D" w:rsidRPr="00666914" w:rsidRDefault="00386F6D">
            <w:pPr>
              <w:spacing w:after="0"/>
              <w:jc w:val="center"/>
              <w:rPr>
                <w:color w:val="000000"/>
                <w:sz w:val="20"/>
                <w:szCs w:val="20"/>
              </w:rPr>
            </w:pPr>
            <w:r w:rsidRPr="00666914">
              <w:rPr>
                <w:color w:val="000000"/>
                <w:sz w:val="20"/>
                <w:szCs w:val="20"/>
              </w:rPr>
              <w:t>11.06.2019</w:t>
            </w:r>
          </w:p>
        </w:tc>
      </w:tr>
      <w:tr w:rsidR="00386F6D" w:rsidRPr="00666914" w14:paraId="47B502EC" w14:textId="77777777" w:rsidTr="007819ED">
        <w:trPr>
          <w:trHeight w:val="250"/>
        </w:trPr>
        <w:tc>
          <w:tcPr>
            <w:tcW w:w="1276" w:type="dxa"/>
            <w:tcBorders>
              <w:top w:val="nil"/>
              <w:left w:val="nil"/>
              <w:bottom w:val="nil"/>
              <w:right w:val="nil"/>
            </w:tcBorders>
            <w:shd w:val="clear" w:color="auto" w:fill="auto"/>
            <w:vAlign w:val="center"/>
          </w:tcPr>
          <w:p w14:paraId="14B1233D" w14:textId="77777777" w:rsidR="00386F6D" w:rsidRPr="00666914" w:rsidRDefault="00386F6D">
            <w:pPr>
              <w:spacing w:after="0"/>
              <w:jc w:val="left"/>
              <w:rPr>
                <w:color w:val="000000"/>
                <w:sz w:val="20"/>
                <w:szCs w:val="20"/>
              </w:rPr>
            </w:pPr>
            <w:r w:rsidRPr="00666914">
              <w:rPr>
                <w:color w:val="000000"/>
                <w:sz w:val="20"/>
                <w:szCs w:val="20"/>
              </w:rPr>
              <w:t>FS SR</w:t>
            </w:r>
          </w:p>
        </w:tc>
        <w:tc>
          <w:tcPr>
            <w:tcW w:w="4906" w:type="dxa"/>
            <w:tcBorders>
              <w:top w:val="nil"/>
              <w:left w:val="nil"/>
              <w:bottom w:val="nil"/>
              <w:right w:val="nil"/>
            </w:tcBorders>
            <w:shd w:val="clear" w:color="auto" w:fill="auto"/>
            <w:vAlign w:val="bottom"/>
          </w:tcPr>
          <w:p w14:paraId="6AA1A2A4" w14:textId="77777777" w:rsidR="00386F6D" w:rsidRPr="00666914" w:rsidRDefault="00386F6D">
            <w:pPr>
              <w:spacing w:after="0"/>
              <w:jc w:val="left"/>
              <w:rPr>
                <w:color w:val="000000"/>
                <w:sz w:val="20"/>
                <w:szCs w:val="20"/>
              </w:rPr>
            </w:pPr>
            <w:r w:rsidRPr="00666914">
              <w:rPr>
                <w:color w:val="000000"/>
                <w:sz w:val="20"/>
                <w:szCs w:val="20"/>
              </w:rPr>
              <w:t>Vybudovanie nosnej infraštruktúry bezpečného informačno-komunikačného systému FS SR</w:t>
            </w:r>
          </w:p>
        </w:tc>
        <w:tc>
          <w:tcPr>
            <w:tcW w:w="1725" w:type="dxa"/>
            <w:tcBorders>
              <w:top w:val="nil"/>
              <w:left w:val="nil"/>
              <w:bottom w:val="nil"/>
              <w:right w:val="nil"/>
            </w:tcBorders>
            <w:shd w:val="clear" w:color="auto" w:fill="auto"/>
            <w:vAlign w:val="bottom"/>
          </w:tcPr>
          <w:p w14:paraId="55E9525B" w14:textId="77777777" w:rsidR="00386F6D" w:rsidRPr="00666914" w:rsidRDefault="00386F6D">
            <w:pPr>
              <w:spacing w:after="0"/>
              <w:jc w:val="center"/>
              <w:rPr>
                <w:color w:val="000000"/>
                <w:sz w:val="20"/>
                <w:szCs w:val="20"/>
              </w:rPr>
            </w:pPr>
            <w:r w:rsidRPr="00666914">
              <w:rPr>
                <w:color w:val="000000"/>
                <w:sz w:val="20"/>
                <w:szCs w:val="20"/>
              </w:rPr>
              <w:t>43,4</w:t>
            </w:r>
          </w:p>
        </w:tc>
        <w:tc>
          <w:tcPr>
            <w:tcW w:w="1293" w:type="dxa"/>
            <w:tcBorders>
              <w:top w:val="nil"/>
              <w:left w:val="nil"/>
              <w:bottom w:val="nil"/>
              <w:right w:val="nil"/>
            </w:tcBorders>
            <w:shd w:val="clear" w:color="auto" w:fill="auto"/>
            <w:vAlign w:val="bottom"/>
          </w:tcPr>
          <w:p w14:paraId="730952A9" w14:textId="77777777" w:rsidR="00386F6D" w:rsidRPr="00666914" w:rsidRDefault="00386F6D">
            <w:pPr>
              <w:spacing w:after="0"/>
              <w:jc w:val="center"/>
              <w:rPr>
                <w:color w:val="000000"/>
                <w:sz w:val="20"/>
                <w:szCs w:val="20"/>
              </w:rPr>
            </w:pPr>
            <w:r w:rsidRPr="00666914">
              <w:rPr>
                <w:color w:val="000000"/>
                <w:sz w:val="20"/>
                <w:szCs w:val="20"/>
              </w:rPr>
              <w:t>11.06.2019</w:t>
            </w:r>
          </w:p>
        </w:tc>
      </w:tr>
      <w:tr w:rsidR="00386F6D" w:rsidRPr="00666914" w14:paraId="112E8454" w14:textId="77777777" w:rsidTr="007819ED">
        <w:trPr>
          <w:trHeight w:val="250"/>
        </w:trPr>
        <w:tc>
          <w:tcPr>
            <w:tcW w:w="1276" w:type="dxa"/>
            <w:tcBorders>
              <w:top w:val="nil"/>
              <w:left w:val="nil"/>
              <w:bottom w:val="nil"/>
              <w:right w:val="nil"/>
            </w:tcBorders>
            <w:shd w:val="clear" w:color="auto" w:fill="auto"/>
            <w:vAlign w:val="bottom"/>
          </w:tcPr>
          <w:p w14:paraId="063DF65F" w14:textId="77777777" w:rsidR="00386F6D" w:rsidRPr="00666914" w:rsidRDefault="00386F6D">
            <w:pPr>
              <w:spacing w:after="0"/>
              <w:jc w:val="left"/>
              <w:rPr>
                <w:color w:val="000000"/>
                <w:sz w:val="20"/>
                <w:szCs w:val="20"/>
              </w:rPr>
            </w:pPr>
            <w:r w:rsidRPr="00666914">
              <w:rPr>
                <w:color w:val="000000"/>
                <w:sz w:val="20"/>
                <w:szCs w:val="20"/>
              </w:rPr>
              <w:t>MS SR</w:t>
            </w:r>
          </w:p>
        </w:tc>
        <w:tc>
          <w:tcPr>
            <w:tcW w:w="4906" w:type="dxa"/>
            <w:tcBorders>
              <w:top w:val="nil"/>
              <w:left w:val="nil"/>
              <w:bottom w:val="nil"/>
              <w:right w:val="nil"/>
            </w:tcBorders>
            <w:shd w:val="clear" w:color="auto" w:fill="auto"/>
            <w:vAlign w:val="bottom"/>
          </w:tcPr>
          <w:p w14:paraId="12215DCD" w14:textId="77777777" w:rsidR="00386F6D" w:rsidRPr="00666914" w:rsidRDefault="00386F6D">
            <w:pPr>
              <w:spacing w:after="0"/>
              <w:jc w:val="left"/>
              <w:rPr>
                <w:color w:val="000000"/>
                <w:sz w:val="20"/>
                <w:szCs w:val="20"/>
              </w:rPr>
            </w:pPr>
            <w:r w:rsidRPr="00666914">
              <w:rPr>
                <w:color w:val="000000"/>
                <w:sz w:val="20"/>
                <w:szCs w:val="20"/>
              </w:rPr>
              <w:t>Centrálny systém súdneho riadenia</w:t>
            </w:r>
          </w:p>
        </w:tc>
        <w:tc>
          <w:tcPr>
            <w:tcW w:w="1725" w:type="dxa"/>
            <w:tcBorders>
              <w:top w:val="nil"/>
              <w:left w:val="nil"/>
              <w:bottom w:val="nil"/>
              <w:right w:val="nil"/>
            </w:tcBorders>
            <w:shd w:val="clear" w:color="auto" w:fill="auto"/>
            <w:vAlign w:val="bottom"/>
          </w:tcPr>
          <w:p w14:paraId="2518394C" w14:textId="77777777" w:rsidR="00386F6D" w:rsidRPr="00666914" w:rsidRDefault="00386F6D">
            <w:pPr>
              <w:spacing w:after="0"/>
              <w:jc w:val="center"/>
              <w:rPr>
                <w:color w:val="000000"/>
                <w:sz w:val="20"/>
                <w:szCs w:val="20"/>
              </w:rPr>
            </w:pPr>
            <w:r w:rsidRPr="00666914">
              <w:rPr>
                <w:color w:val="000000"/>
                <w:sz w:val="20"/>
                <w:szCs w:val="20"/>
              </w:rPr>
              <w:t>11,9</w:t>
            </w:r>
          </w:p>
        </w:tc>
        <w:tc>
          <w:tcPr>
            <w:tcW w:w="1293" w:type="dxa"/>
            <w:tcBorders>
              <w:top w:val="nil"/>
              <w:left w:val="nil"/>
              <w:bottom w:val="nil"/>
              <w:right w:val="nil"/>
            </w:tcBorders>
            <w:shd w:val="clear" w:color="auto" w:fill="auto"/>
            <w:vAlign w:val="bottom"/>
          </w:tcPr>
          <w:p w14:paraId="2D5AD873" w14:textId="77777777" w:rsidR="00386F6D" w:rsidRPr="00666914" w:rsidRDefault="00386F6D">
            <w:pPr>
              <w:spacing w:after="0"/>
              <w:jc w:val="center"/>
              <w:rPr>
                <w:color w:val="000000"/>
                <w:sz w:val="20"/>
                <w:szCs w:val="20"/>
              </w:rPr>
            </w:pPr>
            <w:r w:rsidRPr="00666914">
              <w:rPr>
                <w:color w:val="000000"/>
                <w:sz w:val="20"/>
                <w:szCs w:val="20"/>
              </w:rPr>
              <w:t>11.06.2019</w:t>
            </w:r>
          </w:p>
        </w:tc>
      </w:tr>
      <w:tr w:rsidR="00386F6D" w:rsidRPr="00666914" w14:paraId="4350AFE1" w14:textId="77777777" w:rsidTr="007819ED">
        <w:trPr>
          <w:trHeight w:val="250"/>
        </w:trPr>
        <w:tc>
          <w:tcPr>
            <w:tcW w:w="1276" w:type="dxa"/>
            <w:tcBorders>
              <w:top w:val="nil"/>
              <w:left w:val="nil"/>
              <w:bottom w:val="nil"/>
              <w:right w:val="nil"/>
            </w:tcBorders>
            <w:shd w:val="clear" w:color="auto" w:fill="auto"/>
            <w:vAlign w:val="center"/>
          </w:tcPr>
          <w:p w14:paraId="4097481B" w14:textId="77777777" w:rsidR="00386F6D" w:rsidRPr="00666914" w:rsidRDefault="00386F6D">
            <w:pPr>
              <w:spacing w:after="0"/>
              <w:jc w:val="left"/>
              <w:rPr>
                <w:color w:val="000000"/>
                <w:sz w:val="20"/>
                <w:szCs w:val="20"/>
              </w:rPr>
            </w:pPr>
            <w:r w:rsidRPr="00666914">
              <w:rPr>
                <w:color w:val="000000"/>
                <w:sz w:val="20"/>
                <w:szCs w:val="20"/>
              </w:rPr>
              <w:t>UPVII</w:t>
            </w:r>
          </w:p>
        </w:tc>
        <w:tc>
          <w:tcPr>
            <w:tcW w:w="4906" w:type="dxa"/>
            <w:tcBorders>
              <w:top w:val="nil"/>
              <w:left w:val="nil"/>
              <w:bottom w:val="nil"/>
              <w:right w:val="nil"/>
            </w:tcBorders>
            <w:shd w:val="clear" w:color="auto" w:fill="auto"/>
            <w:vAlign w:val="bottom"/>
          </w:tcPr>
          <w:p w14:paraId="06B6197D" w14:textId="77777777" w:rsidR="00386F6D" w:rsidRPr="00666914" w:rsidRDefault="00386F6D">
            <w:pPr>
              <w:spacing w:after="0"/>
              <w:jc w:val="left"/>
              <w:rPr>
                <w:color w:val="000000"/>
                <w:sz w:val="20"/>
                <w:szCs w:val="20"/>
              </w:rPr>
            </w:pPr>
            <w:r w:rsidRPr="00666914">
              <w:rPr>
                <w:color w:val="000000"/>
                <w:sz w:val="20"/>
                <w:szCs w:val="20"/>
              </w:rPr>
              <w:t>Vybudovanie Centra simulácie, výskumu a výuky kybernetických hrozieb a kybernetickej bezpečnosti</w:t>
            </w:r>
          </w:p>
        </w:tc>
        <w:tc>
          <w:tcPr>
            <w:tcW w:w="1725" w:type="dxa"/>
            <w:tcBorders>
              <w:top w:val="nil"/>
              <w:left w:val="nil"/>
              <w:bottom w:val="nil"/>
              <w:right w:val="nil"/>
            </w:tcBorders>
            <w:shd w:val="clear" w:color="auto" w:fill="auto"/>
            <w:vAlign w:val="bottom"/>
          </w:tcPr>
          <w:p w14:paraId="12FC968C" w14:textId="77777777" w:rsidR="00386F6D" w:rsidRPr="00666914" w:rsidRDefault="00386F6D">
            <w:pPr>
              <w:spacing w:after="0"/>
              <w:jc w:val="center"/>
              <w:rPr>
                <w:color w:val="000000"/>
                <w:sz w:val="20"/>
                <w:szCs w:val="20"/>
              </w:rPr>
            </w:pPr>
            <w:r w:rsidRPr="00666914">
              <w:rPr>
                <w:color w:val="000000"/>
                <w:sz w:val="20"/>
                <w:szCs w:val="20"/>
              </w:rPr>
              <w:t>19,2</w:t>
            </w:r>
          </w:p>
        </w:tc>
        <w:tc>
          <w:tcPr>
            <w:tcW w:w="1293" w:type="dxa"/>
            <w:tcBorders>
              <w:top w:val="nil"/>
              <w:left w:val="nil"/>
              <w:bottom w:val="nil"/>
              <w:right w:val="nil"/>
            </w:tcBorders>
            <w:shd w:val="clear" w:color="auto" w:fill="auto"/>
            <w:vAlign w:val="bottom"/>
          </w:tcPr>
          <w:p w14:paraId="7F282CEE" w14:textId="77777777" w:rsidR="00386F6D" w:rsidRPr="00666914" w:rsidRDefault="00386F6D">
            <w:pPr>
              <w:spacing w:after="0"/>
              <w:jc w:val="center"/>
              <w:rPr>
                <w:color w:val="000000"/>
                <w:sz w:val="20"/>
                <w:szCs w:val="20"/>
              </w:rPr>
            </w:pPr>
            <w:r w:rsidRPr="00666914">
              <w:rPr>
                <w:color w:val="000000"/>
                <w:sz w:val="20"/>
                <w:szCs w:val="20"/>
              </w:rPr>
              <w:t>11.06.2019</w:t>
            </w:r>
          </w:p>
        </w:tc>
      </w:tr>
      <w:tr w:rsidR="00386F6D" w:rsidRPr="00666914" w14:paraId="315AEC9E" w14:textId="77777777" w:rsidTr="007819ED">
        <w:trPr>
          <w:trHeight w:val="250"/>
        </w:trPr>
        <w:tc>
          <w:tcPr>
            <w:tcW w:w="1276" w:type="dxa"/>
            <w:tcBorders>
              <w:top w:val="nil"/>
              <w:left w:val="nil"/>
              <w:bottom w:val="nil"/>
              <w:right w:val="nil"/>
            </w:tcBorders>
            <w:shd w:val="clear" w:color="auto" w:fill="auto"/>
            <w:vAlign w:val="bottom"/>
          </w:tcPr>
          <w:p w14:paraId="097829AD" w14:textId="77777777" w:rsidR="00386F6D" w:rsidRPr="00666914" w:rsidRDefault="00386F6D">
            <w:pPr>
              <w:spacing w:after="0"/>
              <w:jc w:val="left"/>
              <w:rPr>
                <w:color w:val="000000"/>
                <w:sz w:val="20"/>
                <w:szCs w:val="20"/>
              </w:rPr>
            </w:pPr>
            <w:r w:rsidRPr="00666914">
              <w:rPr>
                <w:color w:val="000000"/>
                <w:sz w:val="20"/>
                <w:szCs w:val="20"/>
              </w:rPr>
              <w:t>MŽP SR</w:t>
            </w:r>
          </w:p>
        </w:tc>
        <w:tc>
          <w:tcPr>
            <w:tcW w:w="4906" w:type="dxa"/>
            <w:tcBorders>
              <w:top w:val="nil"/>
              <w:left w:val="nil"/>
              <w:bottom w:val="nil"/>
              <w:right w:val="nil"/>
            </w:tcBorders>
            <w:shd w:val="clear" w:color="auto" w:fill="auto"/>
            <w:vAlign w:val="bottom"/>
          </w:tcPr>
          <w:p w14:paraId="61E38AA4" w14:textId="77777777" w:rsidR="00386F6D" w:rsidRPr="00666914" w:rsidRDefault="00386F6D">
            <w:pPr>
              <w:spacing w:after="0"/>
              <w:jc w:val="left"/>
              <w:rPr>
                <w:color w:val="000000"/>
                <w:sz w:val="20"/>
                <w:szCs w:val="20"/>
              </w:rPr>
            </w:pPr>
            <w:r w:rsidRPr="00666914">
              <w:rPr>
                <w:color w:val="000000"/>
                <w:sz w:val="20"/>
                <w:szCs w:val="20"/>
              </w:rPr>
              <w:t>Atlas pasívnej infraštruktúry</w:t>
            </w:r>
          </w:p>
        </w:tc>
        <w:tc>
          <w:tcPr>
            <w:tcW w:w="1725" w:type="dxa"/>
            <w:tcBorders>
              <w:top w:val="nil"/>
              <w:left w:val="nil"/>
              <w:bottom w:val="nil"/>
              <w:right w:val="nil"/>
            </w:tcBorders>
            <w:shd w:val="clear" w:color="auto" w:fill="auto"/>
            <w:vAlign w:val="bottom"/>
          </w:tcPr>
          <w:p w14:paraId="714AA9A4" w14:textId="77777777" w:rsidR="00386F6D" w:rsidRPr="00666914" w:rsidRDefault="00386F6D">
            <w:pPr>
              <w:spacing w:after="0"/>
              <w:jc w:val="center"/>
              <w:rPr>
                <w:color w:val="000000"/>
                <w:sz w:val="20"/>
                <w:szCs w:val="20"/>
              </w:rPr>
            </w:pPr>
            <w:r w:rsidRPr="00666914">
              <w:rPr>
                <w:color w:val="000000"/>
                <w:sz w:val="20"/>
                <w:szCs w:val="20"/>
              </w:rPr>
              <w:t>18,2</w:t>
            </w:r>
          </w:p>
        </w:tc>
        <w:tc>
          <w:tcPr>
            <w:tcW w:w="1293" w:type="dxa"/>
            <w:tcBorders>
              <w:top w:val="nil"/>
              <w:left w:val="nil"/>
              <w:bottom w:val="nil"/>
              <w:right w:val="nil"/>
            </w:tcBorders>
            <w:shd w:val="clear" w:color="auto" w:fill="auto"/>
            <w:vAlign w:val="bottom"/>
          </w:tcPr>
          <w:p w14:paraId="585AE047" w14:textId="77777777" w:rsidR="00386F6D" w:rsidRPr="00666914" w:rsidRDefault="00386F6D">
            <w:pPr>
              <w:spacing w:after="0"/>
              <w:jc w:val="center"/>
              <w:rPr>
                <w:color w:val="000000"/>
                <w:sz w:val="20"/>
                <w:szCs w:val="20"/>
              </w:rPr>
            </w:pPr>
            <w:r w:rsidRPr="00666914">
              <w:rPr>
                <w:color w:val="000000"/>
                <w:sz w:val="20"/>
                <w:szCs w:val="20"/>
              </w:rPr>
              <w:t>11.06.2019</w:t>
            </w:r>
          </w:p>
        </w:tc>
      </w:tr>
      <w:tr w:rsidR="00386F6D" w:rsidRPr="00666914" w14:paraId="1F3E6146" w14:textId="77777777" w:rsidTr="007819ED">
        <w:trPr>
          <w:trHeight w:val="250"/>
        </w:trPr>
        <w:tc>
          <w:tcPr>
            <w:tcW w:w="1276" w:type="dxa"/>
            <w:tcBorders>
              <w:top w:val="nil"/>
              <w:left w:val="nil"/>
              <w:bottom w:val="nil"/>
              <w:right w:val="nil"/>
            </w:tcBorders>
            <w:shd w:val="clear" w:color="auto" w:fill="auto"/>
            <w:vAlign w:val="center"/>
          </w:tcPr>
          <w:p w14:paraId="083447A9" w14:textId="77777777" w:rsidR="00386F6D" w:rsidRPr="00666914" w:rsidRDefault="00386F6D">
            <w:pPr>
              <w:spacing w:after="0"/>
              <w:jc w:val="left"/>
              <w:rPr>
                <w:color w:val="000000"/>
                <w:sz w:val="20"/>
                <w:szCs w:val="20"/>
              </w:rPr>
            </w:pPr>
            <w:r w:rsidRPr="00666914">
              <w:rPr>
                <w:color w:val="000000"/>
                <w:sz w:val="20"/>
                <w:szCs w:val="20"/>
              </w:rPr>
              <w:t>MH SR</w:t>
            </w:r>
          </w:p>
        </w:tc>
        <w:tc>
          <w:tcPr>
            <w:tcW w:w="4906" w:type="dxa"/>
            <w:tcBorders>
              <w:top w:val="nil"/>
              <w:left w:val="nil"/>
              <w:bottom w:val="nil"/>
              <w:right w:val="nil"/>
            </w:tcBorders>
            <w:shd w:val="clear" w:color="auto" w:fill="auto"/>
            <w:vAlign w:val="bottom"/>
          </w:tcPr>
          <w:p w14:paraId="58ADE533" w14:textId="77777777" w:rsidR="00386F6D" w:rsidRPr="00666914" w:rsidRDefault="00386F6D">
            <w:pPr>
              <w:spacing w:after="0"/>
              <w:jc w:val="left"/>
              <w:rPr>
                <w:color w:val="000000"/>
                <w:sz w:val="20"/>
                <w:szCs w:val="20"/>
              </w:rPr>
            </w:pPr>
            <w:r w:rsidRPr="00666914">
              <w:rPr>
                <w:color w:val="000000"/>
                <w:sz w:val="20"/>
                <w:szCs w:val="20"/>
              </w:rPr>
              <w:t>Centrum ochrany kritickej infraštruktúry a podpora činností v oblasti krízového riadenia Slovenskej republiky v gescii MH SR</w:t>
            </w:r>
          </w:p>
        </w:tc>
        <w:tc>
          <w:tcPr>
            <w:tcW w:w="1725" w:type="dxa"/>
            <w:tcBorders>
              <w:top w:val="nil"/>
              <w:left w:val="nil"/>
              <w:bottom w:val="nil"/>
              <w:right w:val="nil"/>
            </w:tcBorders>
            <w:shd w:val="clear" w:color="auto" w:fill="auto"/>
            <w:vAlign w:val="bottom"/>
          </w:tcPr>
          <w:p w14:paraId="223EC852" w14:textId="77777777" w:rsidR="00386F6D" w:rsidRPr="00666914" w:rsidRDefault="00386F6D">
            <w:pPr>
              <w:spacing w:after="0"/>
              <w:jc w:val="center"/>
              <w:rPr>
                <w:color w:val="000000"/>
                <w:sz w:val="20"/>
                <w:szCs w:val="20"/>
              </w:rPr>
            </w:pPr>
            <w:r w:rsidRPr="00666914">
              <w:rPr>
                <w:color w:val="000000"/>
                <w:sz w:val="20"/>
                <w:szCs w:val="20"/>
              </w:rPr>
              <w:t>20,0</w:t>
            </w:r>
          </w:p>
        </w:tc>
        <w:tc>
          <w:tcPr>
            <w:tcW w:w="1293" w:type="dxa"/>
            <w:tcBorders>
              <w:top w:val="nil"/>
              <w:left w:val="nil"/>
              <w:bottom w:val="nil"/>
              <w:right w:val="nil"/>
            </w:tcBorders>
            <w:shd w:val="clear" w:color="auto" w:fill="auto"/>
            <w:vAlign w:val="bottom"/>
          </w:tcPr>
          <w:p w14:paraId="5D97AFC1" w14:textId="77777777" w:rsidR="00386F6D" w:rsidRPr="00666914" w:rsidRDefault="00386F6D">
            <w:pPr>
              <w:spacing w:after="0"/>
              <w:jc w:val="center"/>
              <w:rPr>
                <w:color w:val="000000"/>
                <w:sz w:val="20"/>
                <w:szCs w:val="20"/>
              </w:rPr>
            </w:pPr>
            <w:r w:rsidRPr="00666914">
              <w:rPr>
                <w:color w:val="000000"/>
                <w:sz w:val="20"/>
                <w:szCs w:val="20"/>
              </w:rPr>
              <w:t>01.07.2019</w:t>
            </w:r>
          </w:p>
        </w:tc>
      </w:tr>
      <w:tr w:rsidR="00386F6D" w:rsidRPr="00666914" w14:paraId="61968182" w14:textId="77777777" w:rsidTr="007819ED">
        <w:trPr>
          <w:trHeight w:val="250"/>
        </w:trPr>
        <w:tc>
          <w:tcPr>
            <w:tcW w:w="1276" w:type="dxa"/>
            <w:tcBorders>
              <w:top w:val="nil"/>
              <w:left w:val="nil"/>
              <w:bottom w:val="nil"/>
              <w:right w:val="nil"/>
            </w:tcBorders>
            <w:shd w:val="clear" w:color="auto" w:fill="auto"/>
            <w:vAlign w:val="bottom"/>
          </w:tcPr>
          <w:p w14:paraId="37266BF5" w14:textId="77777777" w:rsidR="00386F6D" w:rsidRPr="00666914" w:rsidRDefault="00386F6D">
            <w:pPr>
              <w:spacing w:after="0"/>
              <w:jc w:val="left"/>
              <w:rPr>
                <w:color w:val="000000"/>
                <w:sz w:val="20"/>
                <w:szCs w:val="20"/>
              </w:rPr>
            </w:pPr>
            <w:r w:rsidRPr="00666914">
              <w:rPr>
                <w:color w:val="000000"/>
                <w:sz w:val="20"/>
                <w:szCs w:val="20"/>
              </w:rPr>
              <w:t>NCZI</w:t>
            </w:r>
          </w:p>
        </w:tc>
        <w:tc>
          <w:tcPr>
            <w:tcW w:w="4906" w:type="dxa"/>
            <w:tcBorders>
              <w:top w:val="nil"/>
              <w:left w:val="nil"/>
              <w:bottom w:val="nil"/>
              <w:right w:val="nil"/>
            </w:tcBorders>
            <w:shd w:val="clear" w:color="auto" w:fill="auto"/>
            <w:vAlign w:val="bottom"/>
          </w:tcPr>
          <w:p w14:paraId="58087250" w14:textId="77777777" w:rsidR="00386F6D" w:rsidRPr="00666914" w:rsidRDefault="00386F6D">
            <w:pPr>
              <w:spacing w:after="0"/>
              <w:jc w:val="left"/>
              <w:rPr>
                <w:color w:val="000000"/>
                <w:sz w:val="20"/>
                <w:szCs w:val="20"/>
              </w:rPr>
            </w:pPr>
            <w:r w:rsidRPr="00666914">
              <w:rPr>
                <w:color w:val="000000"/>
                <w:sz w:val="20"/>
                <w:szCs w:val="20"/>
              </w:rPr>
              <w:t>Vládny cloud – rozšírenie o Komunitný zdravotnícky cloud</w:t>
            </w:r>
          </w:p>
        </w:tc>
        <w:tc>
          <w:tcPr>
            <w:tcW w:w="1725" w:type="dxa"/>
            <w:tcBorders>
              <w:top w:val="nil"/>
              <w:left w:val="nil"/>
              <w:bottom w:val="nil"/>
              <w:right w:val="nil"/>
            </w:tcBorders>
            <w:shd w:val="clear" w:color="auto" w:fill="auto"/>
            <w:vAlign w:val="bottom"/>
          </w:tcPr>
          <w:p w14:paraId="57165EDF" w14:textId="77777777" w:rsidR="00386F6D" w:rsidRPr="00666914" w:rsidRDefault="00386F6D">
            <w:pPr>
              <w:spacing w:after="0"/>
              <w:jc w:val="center"/>
              <w:rPr>
                <w:color w:val="000000"/>
                <w:sz w:val="20"/>
                <w:szCs w:val="20"/>
              </w:rPr>
            </w:pPr>
            <w:r w:rsidRPr="00666914">
              <w:rPr>
                <w:color w:val="000000"/>
                <w:sz w:val="20"/>
                <w:szCs w:val="20"/>
              </w:rPr>
              <w:t>46,6</w:t>
            </w:r>
          </w:p>
        </w:tc>
        <w:tc>
          <w:tcPr>
            <w:tcW w:w="1293" w:type="dxa"/>
            <w:tcBorders>
              <w:top w:val="nil"/>
              <w:left w:val="nil"/>
              <w:bottom w:val="nil"/>
              <w:right w:val="nil"/>
            </w:tcBorders>
            <w:shd w:val="clear" w:color="auto" w:fill="auto"/>
            <w:vAlign w:val="bottom"/>
          </w:tcPr>
          <w:p w14:paraId="10427BDD" w14:textId="77777777" w:rsidR="00386F6D" w:rsidRPr="00666914" w:rsidRDefault="00386F6D">
            <w:pPr>
              <w:spacing w:after="0"/>
              <w:jc w:val="center"/>
              <w:rPr>
                <w:color w:val="000000"/>
                <w:sz w:val="20"/>
                <w:szCs w:val="20"/>
              </w:rPr>
            </w:pPr>
            <w:r w:rsidRPr="00666914">
              <w:rPr>
                <w:color w:val="000000"/>
                <w:sz w:val="20"/>
                <w:szCs w:val="20"/>
              </w:rPr>
              <w:t>01.07.2019</w:t>
            </w:r>
          </w:p>
        </w:tc>
      </w:tr>
      <w:tr w:rsidR="00386F6D" w:rsidRPr="00666914" w14:paraId="17C8FA99" w14:textId="77777777" w:rsidTr="007819ED">
        <w:trPr>
          <w:trHeight w:val="250"/>
        </w:trPr>
        <w:tc>
          <w:tcPr>
            <w:tcW w:w="1276" w:type="dxa"/>
            <w:tcBorders>
              <w:top w:val="nil"/>
              <w:left w:val="nil"/>
              <w:bottom w:val="nil"/>
              <w:right w:val="nil"/>
            </w:tcBorders>
            <w:shd w:val="clear" w:color="auto" w:fill="auto"/>
            <w:vAlign w:val="bottom"/>
          </w:tcPr>
          <w:p w14:paraId="65F34937" w14:textId="77777777" w:rsidR="00386F6D" w:rsidRPr="00666914" w:rsidRDefault="00386F6D">
            <w:pPr>
              <w:spacing w:after="0"/>
              <w:jc w:val="left"/>
              <w:rPr>
                <w:color w:val="000000"/>
                <w:sz w:val="20"/>
                <w:szCs w:val="20"/>
              </w:rPr>
            </w:pPr>
            <w:r w:rsidRPr="00666914">
              <w:rPr>
                <w:color w:val="000000"/>
                <w:sz w:val="20"/>
                <w:szCs w:val="20"/>
              </w:rPr>
              <w:t>ZSSK</w:t>
            </w:r>
          </w:p>
        </w:tc>
        <w:tc>
          <w:tcPr>
            <w:tcW w:w="4906" w:type="dxa"/>
            <w:tcBorders>
              <w:top w:val="nil"/>
              <w:left w:val="nil"/>
              <w:bottom w:val="nil"/>
              <w:right w:val="nil"/>
            </w:tcBorders>
            <w:shd w:val="clear" w:color="auto" w:fill="auto"/>
            <w:vAlign w:val="bottom"/>
          </w:tcPr>
          <w:p w14:paraId="414CBFE3" w14:textId="77777777" w:rsidR="00386F6D" w:rsidRPr="00666914" w:rsidRDefault="00386F6D">
            <w:pPr>
              <w:spacing w:after="0"/>
              <w:jc w:val="left"/>
              <w:rPr>
                <w:color w:val="000000"/>
                <w:sz w:val="20"/>
                <w:szCs w:val="20"/>
              </w:rPr>
            </w:pPr>
            <w:r w:rsidRPr="00666914">
              <w:rPr>
                <w:color w:val="000000"/>
                <w:sz w:val="20"/>
                <w:szCs w:val="20"/>
              </w:rPr>
              <w:t>Informačný systém komplexného vybavenia cestujúcich</w:t>
            </w:r>
          </w:p>
        </w:tc>
        <w:tc>
          <w:tcPr>
            <w:tcW w:w="1725" w:type="dxa"/>
            <w:tcBorders>
              <w:top w:val="nil"/>
              <w:left w:val="nil"/>
              <w:bottom w:val="nil"/>
              <w:right w:val="nil"/>
            </w:tcBorders>
            <w:shd w:val="clear" w:color="auto" w:fill="auto"/>
            <w:vAlign w:val="bottom"/>
          </w:tcPr>
          <w:p w14:paraId="386A3970" w14:textId="77777777" w:rsidR="00386F6D" w:rsidRPr="00666914" w:rsidRDefault="00386F6D">
            <w:pPr>
              <w:spacing w:after="0"/>
              <w:jc w:val="center"/>
              <w:rPr>
                <w:color w:val="000000"/>
                <w:sz w:val="20"/>
                <w:szCs w:val="20"/>
              </w:rPr>
            </w:pPr>
            <w:r w:rsidRPr="00666914">
              <w:rPr>
                <w:color w:val="000000"/>
                <w:sz w:val="20"/>
                <w:szCs w:val="20"/>
              </w:rPr>
              <w:t>11,4</w:t>
            </w:r>
          </w:p>
        </w:tc>
        <w:tc>
          <w:tcPr>
            <w:tcW w:w="1293" w:type="dxa"/>
            <w:tcBorders>
              <w:top w:val="nil"/>
              <w:left w:val="nil"/>
              <w:bottom w:val="nil"/>
              <w:right w:val="nil"/>
            </w:tcBorders>
            <w:shd w:val="clear" w:color="auto" w:fill="auto"/>
            <w:vAlign w:val="bottom"/>
          </w:tcPr>
          <w:p w14:paraId="5E2A4C96" w14:textId="77777777" w:rsidR="00386F6D" w:rsidRPr="00666914" w:rsidRDefault="00386F6D">
            <w:pPr>
              <w:spacing w:after="0"/>
              <w:jc w:val="center"/>
              <w:rPr>
                <w:color w:val="000000"/>
                <w:sz w:val="20"/>
                <w:szCs w:val="20"/>
              </w:rPr>
            </w:pPr>
            <w:r w:rsidRPr="00666914">
              <w:rPr>
                <w:color w:val="000000"/>
                <w:sz w:val="20"/>
                <w:szCs w:val="20"/>
              </w:rPr>
              <w:t>19.08.2019</w:t>
            </w:r>
          </w:p>
        </w:tc>
      </w:tr>
      <w:tr w:rsidR="00386F6D" w:rsidRPr="00666914" w14:paraId="2060ADE1" w14:textId="77777777" w:rsidTr="007819ED">
        <w:trPr>
          <w:trHeight w:val="250"/>
        </w:trPr>
        <w:tc>
          <w:tcPr>
            <w:tcW w:w="1276" w:type="dxa"/>
            <w:tcBorders>
              <w:top w:val="nil"/>
              <w:left w:val="nil"/>
              <w:right w:val="nil"/>
            </w:tcBorders>
            <w:shd w:val="clear" w:color="auto" w:fill="auto"/>
            <w:vAlign w:val="bottom"/>
          </w:tcPr>
          <w:p w14:paraId="14428CD6" w14:textId="77777777" w:rsidR="00386F6D" w:rsidRPr="00666914" w:rsidRDefault="00386F6D">
            <w:pPr>
              <w:spacing w:after="0"/>
              <w:jc w:val="left"/>
              <w:rPr>
                <w:color w:val="000000"/>
                <w:sz w:val="20"/>
                <w:szCs w:val="20"/>
              </w:rPr>
            </w:pPr>
            <w:r w:rsidRPr="00666914">
              <w:rPr>
                <w:color w:val="000000"/>
                <w:sz w:val="20"/>
                <w:szCs w:val="20"/>
              </w:rPr>
              <w:t>MV SR</w:t>
            </w:r>
          </w:p>
        </w:tc>
        <w:tc>
          <w:tcPr>
            <w:tcW w:w="4906" w:type="dxa"/>
            <w:tcBorders>
              <w:top w:val="nil"/>
              <w:left w:val="nil"/>
              <w:right w:val="nil"/>
            </w:tcBorders>
            <w:shd w:val="clear" w:color="auto" w:fill="auto"/>
            <w:vAlign w:val="bottom"/>
          </w:tcPr>
          <w:p w14:paraId="5821ABA2" w14:textId="77777777" w:rsidR="00386F6D" w:rsidRPr="00666914" w:rsidRDefault="00386F6D">
            <w:pPr>
              <w:spacing w:after="0"/>
              <w:jc w:val="left"/>
              <w:rPr>
                <w:color w:val="000000"/>
                <w:sz w:val="20"/>
                <w:szCs w:val="20"/>
              </w:rPr>
            </w:pPr>
            <w:r w:rsidRPr="00666914">
              <w:rPr>
                <w:color w:val="000000"/>
                <w:sz w:val="20"/>
                <w:szCs w:val="20"/>
              </w:rPr>
              <w:t>Zvýšenie kapacity vládneho cloudu v Datacentre Tajov</w:t>
            </w:r>
          </w:p>
        </w:tc>
        <w:tc>
          <w:tcPr>
            <w:tcW w:w="1725" w:type="dxa"/>
            <w:tcBorders>
              <w:top w:val="nil"/>
              <w:left w:val="nil"/>
              <w:right w:val="nil"/>
            </w:tcBorders>
            <w:shd w:val="clear" w:color="auto" w:fill="auto"/>
            <w:vAlign w:val="bottom"/>
          </w:tcPr>
          <w:p w14:paraId="1EC2410B" w14:textId="77777777" w:rsidR="00386F6D" w:rsidRPr="00666914" w:rsidRDefault="00386F6D">
            <w:pPr>
              <w:spacing w:after="0"/>
              <w:jc w:val="center"/>
              <w:rPr>
                <w:color w:val="000000"/>
                <w:sz w:val="20"/>
                <w:szCs w:val="20"/>
              </w:rPr>
            </w:pPr>
            <w:r w:rsidRPr="00666914">
              <w:rPr>
                <w:color w:val="000000"/>
                <w:sz w:val="20"/>
                <w:szCs w:val="20"/>
              </w:rPr>
              <w:t>37,5</w:t>
            </w:r>
          </w:p>
        </w:tc>
        <w:tc>
          <w:tcPr>
            <w:tcW w:w="1293" w:type="dxa"/>
            <w:tcBorders>
              <w:top w:val="nil"/>
              <w:left w:val="nil"/>
              <w:right w:val="nil"/>
            </w:tcBorders>
            <w:shd w:val="clear" w:color="auto" w:fill="auto"/>
            <w:vAlign w:val="bottom"/>
          </w:tcPr>
          <w:p w14:paraId="1D45F8A6" w14:textId="77777777" w:rsidR="00386F6D" w:rsidRPr="00666914" w:rsidRDefault="00386F6D">
            <w:pPr>
              <w:spacing w:after="0"/>
              <w:jc w:val="center"/>
              <w:rPr>
                <w:color w:val="000000"/>
                <w:sz w:val="20"/>
                <w:szCs w:val="20"/>
              </w:rPr>
            </w:pPr>
            <w:r w:rsidRPr="00666914">
              <w:rPr>
                <w:color w:val="000000"/>
                <w:sz w:val="20"/>
                <w:szCs w:val="20"/>
              </w:rPr>
              <w:t>28.01.2020</w:t>
            </w:r>
          </w:p>
        </w:tc>
      </w:tr>
    </w:tbl>
    <w:p w14:paraId="37FB65B5" w14:textId="70DFC02E" w:rsidR="00BE7CDF" w:rsidRPr="00666914" w:rsidRDefault="00386F6D">
      <w:pPr>
        <w:pBdr>
          <w:top w:val="single" w:sz="4" w:space="1" w:color="000000"/>
        </w:pBdr>
        <w:spacing w:after="0"/>
        <w:jc w:val="right"/>
        <w:rPr>
          <w:i/>
          <w:sz w:val="18"/>
          <w:szCs w:val="18"/>
        </w:rPr>
      </w:pPr>
      <w:r w:rsidRPr="00666914">
        <w:rPr>
          <w:i/>
          <w:sz w:val="18"/>
          <w:szCs w:val="18"/>
        </w:rPr>
        <w:t>Zdroj: ÚHP MF SR</w:t>
      </w:r>
    </w:p>
    <w:p w14:paraId="52DC8ECF" w14:textId="77777777" w:rsidR="00BE7CDF" w:rsidRPr="00666914" w:rsidRDefault="00BE7CDF">
      <w:pPr>
        <w:spacing w:after="0"/>
        <w:jc w:val="left"/>
        <w:rPr>
          <w:i/>
          <w:sz w:val="18"/>
          <w:szCs w:val="18"/>
        </w:rPr>
      </w:pPr>
      <w:r w:rsidRPr="00666914">
        <w:rPr>
          <w:i/>
          <w:sz w:val="18"/>
          <w:szCs w:val="18"/>
        </w:rPr>
        <w:br w:type="page"/>
      </w:r>
    </w:p>
    <w:p w14:paraId="50759C2F" w14:textId="77777777" w:rsidR="00386F6D" w:rsidRPr="00666914" w:rsidRDefault="00386F6D" w:rsidP="00131B23">
      <w:pPr>
        <w:numPr>
          <w:ilvl w:val="0"/>
          <w:numId w:val="13"/>
        </w:numPr>
        <w:spacing w:after="0" w:line="259" w:lineRule="auto"/>
        <w:rPr>
          <w:b/>
          <w:u w:val="single"/>
        </w:rPr>
      </w:pPr>
      <w:r w:rsidRPr="00666914">
        <w:rPr>
          <w:b/>
          <w:u w:val="single"/>
        </w:rPr>
        <w:lastRenderedPageBreak/>
        <w:t>Pripraviť analýzu služieb pre prioritne elektronickú komunikáciu</w:t>
      </w:r>
    </w:p>
    <w:p w14:paraId="4AF59350" w14:textId="77777777" w:rsidR="00386F6D" w:rsidRPr="00666914" w:rsidRDefault="00386F6D">
      <w:pPr>
        <w:spacing w:after="0"/>
        <w:ind w:left="720"/>
        <w:rPr>
          <w:b/>
          <w:u w:val="single"/>
        </w:rPr>
      </w:pPr>
    </w:p>
    <w:p w14:paraId="47C443EE" w14:textId="77777777" w:rsidR="00076CFA" w:rsidRDefault="00386F6D" w:rsidP="00076CFA">
      <w:r w:rsidRPr="00666914">
        <w:rPr>
          <w:b/>
        </w:rPr>
        <w:t xml:space="preserve">Opatrenie </w:t>
      </w:r>
      <w:sdt>
        <w:sdtPr>
          <w:tag w:val="goog_rdk_43"/>
          <w:id w:val="-643497225"/>
        </w:sdtPr>
        <w:sdtEndPr/>
        <w:sdtContent/>
      </w:sdt>
      <w:r w:rsidRPr="00666914">
        <w:rPr>
          <w:b/>
        </w:rPr>
        <w:t xml:space="preserve">nebolo k 31.12.2019 splnené. </w:t>
      </w:r>
      <w:r w:rsidRPr="00666914">
        <w:t>Analýza služieb pre prioritne elektronickú komunikáciu mala byť vytvorená v roku 2017, prvý výstup bol IJ ÚV SR zaslaný na posúdenie až v 2H2019. Predložená analýza sa však nevenuje identifikovaniu prioritných služieb na elektronickú komunikáciu, ktoré by mali byť v budúcnosti primárne rozvíjané a podporované s ohľadom na ich najväčší potenciál zlepšiť využívanie e-governmentu. Analýza popisuje len elektronické výpisy, ktoré už občania nemusia predkladať úradom. Predložený materiál nie je plnením tohto opatrenia.</w:t>
      </w:r>
    </w:p>
    <w:p w14:paraId="10EE6449" w14:textId="56C462AC" w:rsidR="00386F6D" w:rsidRPr="00666914" w:rsidRDefault="00C45DA3" w:rsidP="00076CFA">
      <w:sdt>
        <w:sdtPr>
          <w:tag w:val="goog_rdk_44"/>
          <w:id w:val="129681387"/>
        </w:sdtPr>
        <w:sdtEndPr/>
        <w:sdtContent/>
      </w:sdt>
      <w:r w:rsidR="00386F6D" w:rsidRPr="00666914">
        <w:rPr>
          <w:b/>
        </w:rPr>
        <w:t>Odporúčanie IJ</w:t>
      </w:r>
      <w:r w:rsidR="00386F6D" w:rsidRPr="00666914">
        <w:t>: Vypracovať analýzu služieb pre prioritne elektronickú komunikáciu s ohľadom na početnosť interakcií občana resp. podnikateľa s verejnou správou</w:t>
      </w:r>
      <w:r w:rsidR="00386F6D" w:rsidRPr="00666914">
        <w:rPr>
          <w:vertAlign w:val="superscript"/>
        </w:rPr>
        <w:footnoteReference w:id="141"/>
      </w:r>
      <w:r w:rsidR="00386F6D" w:rsidRPr="00666914">
        <w:t>, digitalizáciu jednotlivých agend verejnej správy a oblasti monitorované v eGovernment Benchmark</w:t>
      </w:r>
      <w:r w:rsidR="00386F6D" w:rsidRPr="00666914">
        <w:rPr>
          <w:vertAlign w:val="superscript"/>
        </w:rPr>
        <w:footnoteReference w:id="142"/>
      </w:r>
      <w:r w:rsidR="00386F6D" w:rsidRPr="00666914">
        <w:t xml:space="preserve">. </w:t>
      </w:r>
    </w:p>
    <w:p w14:paraId="7678AF8B" w14:textId="77777777" w:rsidR="00386F6D" w:rsidRPr="00666914" w:rsidRDefault="00386F6D" w:rsidP="00131B23">
      <w:pPr>
        <w:numPr>
          <w:ilvl w:val="0"/>
          <w:numId w:val="13"/>
        </w:numPr>
        <w:spacing w:after="0" w:line="259" w:lineRule="auto"/>
        <w:rPr>
          <w:b/>
        </w:rPr>
      </w:pPr>
      <w:r w:rsidRPr="00666914">
        <w:rPr>
          <w:b/>
          <w:u w:val="single"/>
        </w:rPr>
        <w:t>Vypracovať analýzu využívania a zabezpečenia softvérových licencií (Microsoft, Oracle, SAP)</w:t>
      </w:r>
    </w:p>
    <w:p w14:paraId="0EF352B9" w14:textId="77777777" w:rsidR="00386F6D" w:rsidRPr="00666914" w:rsidRDefault="00386F6D">
      <w:pPr>
        <w:spacing w:after="0"/>
      </w:pPr>
    </w:p>
    <w:p w14:paraId="27B933FD" w14:textId="77777777" w:rsidR="00386F6D" w:rsidRPr="00666914" w:rsidRDefault="00386F6D">
      <w:r w:rsidRPr="00666914">
        <w:rPr>
          <w:b/>
        </w:rPr>
        <w:t xml:space="preserve">Opatrenie sa k 31.12.2019 čiastočne plní. </w:t>
      </w:r>
      <w:r w:rsidRPr="00666914">
        <w:t>Systém zberu dát, analýzy využívania a potreby licencií je čiastočne nastavený, podľa ÚPVII bude vykonaná analýza pre každú pripravovanú centrálnu licenčnú zmluvu</w:t>
      </w:r>
      <w:r w:rsidRPr="00666914">
        <w:rPr>
          <w:vertAlign w:val="superscript"/>
        </w:rPr>
        <w:footnoteReference w:id="143"/>
      </w:r>
      <w:r w:rsidRPr="00666914">
        <w:t xml:space="preserve">. </w:t>
      </w:r>
    </w:p>
    <w:p w14:paraId="070C2DE8" w14:textId="77777777" w:rsidR="00386F6D" w:rsidRPr="00666914" w:rsidRDefault="00386F6D">
      <w:r w:rsidRPr="00666914">
        <w:rPr>
          <w:b/>
        </w:rPr>
        <w:t>V minulosti sa posudzovanie využívania a potreby licencií nedialo vždy systematicky.</w:t>
      </w:r>
      <w:r w:rsidRPr="00666914">
        <w:t xml:space="preserve"> Zber dát pre centrálnu zmluvu na zabezpečenie podpory licencií SAP nebol pred uzatvorením zmluvy uskutočnený</w:t>
      </w:r>
      <w:r w:rsidRPr="00666914">
        <w:rPr>
          <w:vertAlign w:val="superscript"/>
        </w:rPr>
        <w:footnoteReference w:id="144"/>
      </w:r>
      <w:r w:rsidRPr="00666914">
        <w:t>. V prípade produktov Oracle bol zber údajov pre centrálny nákup produktov uskutočnený v roku 2017. V roku 2018 bola vypracovaná analýza využívania a zabezpečenia licencií Microsoft, ktorá slúži ako podklad pre pripravovanú centrálnu zmluvu.</w:t>
      </w:r>
    </w:p>
    <w:p w14:paraId="7949CB36" w14:textId="77777777" w:rsidR="00386F6D" w:rsidRPr="00666914" w:rsidRDefault="00386F6D">
      <w:r w:rsidRPr="00666914">
        <w:rPr>
          <w:b/>
        </w:rPr>
        <w:t>Prijatie uznesenia vlády č. 286/2019</w:t>
      </w:r>
      <w:r w:rsidRPr="00666914">
        <w:rPr>
          <w:b/>
          <w:vertAlign w:val="superscript"/>
        </w:rPr>
        <w:footnoteReference w:id="145"/>
      </w:r>
      <w:r w:rsidRPr="00666914">
        <w:rPr>
          <w:b/>
        </w:rPr>
        <w:t xml:space="preserve"> tento stav čiastočne zlepšilo.</w:t>
      </w:r>
      <w:r w:rsidRPr="00666914">
        <w:t xml:space="preserve"> Na základe textu vlastného materiálu ÚPVII stanovilo nevyhnutnosť vypracovania analýzy využívania a zabezpečenia softvérových licencií pri príprave centrálnych licenčných zmlúv. Text uznesenia však záväzok vypracovania analýzy neobsahuje.  Zároveň v texte vlastného materiálu nebola definovaná požadovaná kvalita analýzy a minimálne kritériá obsahu analýzy (napr. analýza vhodnosti jednotlivých licenčných a nákupných modelov).</w:t>
      </w:r>
    </w:p>
    <w:p w14:paraId="0DA1F112" w14:textId="394F0F6C" w:rsidR="00C12FE4" w:rsidRPr="00666914" w:rsidRDefault="00386F6D">
      <w:r w:rsidRPr="00666914">
        <w:t xml:space="preserve">Okrem povinnosti vypracovať ku každej novej centrálnej zmluve analýzu je pozitívom aj zapojenie väčšieho počtu organizácií do procesu zberu údajov. </w:t>
      </w:r>
      <w:sdt>
        <w:sdtPr>
          <w:tag w:val="goog_rdk_45"/>
          <w:id w:val="257488438"/>
        </w:sdtPr>
        <w:sdtEndPr/>
        <w:sdtContent/>
      </w:sdt>
      <w:r w:rsidRPr="00666914">
        <w:t xml:space="preserve">V 2H2019 sa v súlade s uznesením začalo so zberom údajov pre prípravu analýzy k produktom IBM a VMware. IJ má k dispozícii pracovné materiály k obom produktom, plnenie opatrenia opäť vyhodnotí po dokončení analýz. </w:t>
      </w:r>
    </w:p>
    <w:p w14:paraId="37B14FF0" w14:textId="77777777" w:rsidR="00C12FE4" w:rsidRPr="00666914" w:rsidRDefault="00386F6D">
      <w:r w:rsidRPr="00666914">
        <w:rPr>
          <w:b/>
        </w:rPr>
        <w:t xml:space="preserve">ÚPVII sa zároveň </w:t>
      </w:r>
      <w:sdt>
        <w:sdtPr>
          <w:tag w:val="goog_rdk_46"/>
          <w:id w:val="1411573611"/>
        </w:sdtPr>
        <w:sdtEndPr/>
        <w:sdtContent/>
      </w:sdt>
      <w:r w:rsidRPr="00666914">
        <w:rPr>
          <w:b/>
        </w:rPr>
        <w:t>zaväzuje vypracovať ku každej v budúcnosti pripravovanej centrálnej zmluve zber dát a následnú analýzu využívania a zabezpečenia licencií.</w:t>
      </w:r>
      <w:r w:rsidRPr="00666914">
        <w:t xml:space="preserve"> </w:t>
      </w:r>
    </w:p>
    <w:p w14:paraId="3A4C1349" w14:textId="56DDFD09" w:rsidR="00386F6D" w:rsidRPr="00666914" w:rsidRDefault="00C12FE4">
      <w:r w:rsidRPr="00666914">
        <w:rPr>
          <w:b/>
        </w:rPr>
        <w:t>Odporúčanie IJ:</w:t>
      </w:r>
      <w:r w:rsidRPr="00666914">
        <w:t xml:space="preserve"> D</w:t>
      </w:r>
      <w:r w:rsidR="00386F6D" w:rsidRPr="00666914">
        <w:t>efinovať minimálne kritéria pre vypracovanie analýzy zabezpečenia licencií.</w:t>
      </w:r>
    </w:p>
    <w:p w14:paraId="138CB063" w14:textId="77777777" w:rsidR="00386F6D" w:rsidRPr="00666914" w:rsidRDefault="00386F6D"/>
    <w:p w14:paraId="3A51981D" w14:textId="77777777" w:rsidR="00004CE4" w:rsidRPr="00666914" w:rsidRDefault="00004CE4" w:rsidP="00CD3917">
      <w:pPr>
        <w:contextualSpacing/>
        <w:rPr>
          <w:b/>
          <w:u w:val="single"/>
        </w:rPr>
      </w:pPr>
    </w:p>
    <w:p w14:paraId="674554F1" w14:textId="77777777" w:rsidR="006A4644" w:rsidRPr="00666914" w:rsidRDefault="006A4644" w:rsidP="006A4644"/>
    <w:p w14:paraId="69D89B88" w14:textId="77777777" w:rsidR="006A4644" w:rsidRPr="00666914" w:rsidRDefault="006A4644" w:rsidP="006A4644"/>
    <w:p w14:paraId="35D3A585" w14:textId="77777777" w:rsidR="00771BC8" w:rsidRPr="00666914" w:rsidRDefault="00771BC8">
      <w:pPr>
        <w:spacing w:line="259" w:lineRule="auto"/>
        <w:jc w:val="left"/>
      </w:pPr>
      <w:r w:rsidRPr="00666914">
        <w:br w:type="page"/>
      </w:r>
    </w:p>
    <w:p w14:paraId="18AD5367" w14:textId="77777777" w:rsidR="00E66F49" w:rsidRPr="00666914" w:rsidRDefault="00E66F49" w:rsidP="00E66F49">
      <w:pPr>
        <w:pStyle w:val="Nadpis1"/>
        <w:spacing w:line="240" w:lineRule="auto"/>
        <w:ind w:left="720"/>
      </w:pPr>
      <w:bookmarkStart w:id="278" w:name="_Toc38447602"/>
      <w:r w:rsidRPr="00666914">
        <w:lastRenderedPageBreak/>
        <w:t>Vzdelávanie</w:t>
      </w:r>
      <w:bookmarkEnd w:id="278"/>
    </w:p>
    <w:p w14:paraId="4C656804" w14:textId="77777777" w:rsidR="00E66F49" w:rsidRPr="00666914" w:rsidRDefault="00E66F49" w:rsidP="00E66F49">
      <w:pPr>
        <w:pStyle w:val="Nadpis2"/>
        <w:spacing w:line="240" w:lineRule="auto"/>
        <w:ind w:left="1070"/>
      </w:pPr>
      <w:bookmarkStart w:id="279" w:name="_Toc6321904"/>
      <w:bookmarkStart w:id="280" w:name="_Toc38447603"/>
      <w:r w:rsidRPr="00666914">
        <w:t>Zhrnutie</w:t>
      </w:r>
      <w:bookmarkEnd w:id="279"/>
      <w:bookmarkEnd w:id="280"/>
    </w:p>
    <w:p w14:paraId="695433DF" w14:textId="3096569E" w:rsidR="00E66F49" w:rsidRPr="00666914" w:rsidRDefault="00E66F49" w:rsidP="00D27F91">
      <w:pPr>
        <w:rPr>
          <w:b/>
        </w:rPr>
      </w:pPr>
      <w:r w:rsidRPr="00666914">
        <w:rPr>
          <w:b/>
        </w:rPr>
        <w:t>Revízia výdavkov na vzdelávanie identifikovala v roku 2017 na obdobie 2018</w:t>
      </w:r>
      <w:r w:rsidR="00657EE1" w:rsidRPr="00666914">
        <w:rPr>
          <w:b/>
        </w:rPr>
        <w:t xml:space="preserve"> </w:t>
      </w:r>
      <w:r w:rsidRPr="00666914">
        <w:rPr>
          <w:b/>
        </w:rPr>
        <w:t>-</w:t>
      </w:r>
      <w:r w:rsidR="00657EE1" w:rsidRPr="00666914">
        <w:rPr>
          <w:b/>
        </w:rPr>
        <w:t xml:space="preserve"> </w:t>
      </w:r>
      <w:r w:rsidRPr="00666914">
        <w:rPr>
          <w:b/>
        </w:rPr>
        <w:t xml:space="preserve">2020 tri úsporné opatrenia, ktorých implementáciou </w:t>
      </w:r>
      <w:r w:rsidR="00916219" w:rsidRPr="00666914">
        <w:rPr>
          <w:b/>
        </w:rPr>
        <w:t>mohla byť v roku 2019 dosiahnutá úspora 15 mil. eur</w:t>
      </w:r>
      <w:r w:rsidRPr="00666914">
        <w:rPr>
          <w:rStyle w:val="Odkaznapoznmkupodiarou"/>
          <w:b/>
        </w:rPr>
        <w:footnoteReference w:id="146"/>
      </w:r>
      <w:r w:rsidRPr="00666914">
        <w:rPr>
          <w:b/>
        </w:rPr>
        <w:t>. Ministerstvu sa podarilo zrealizovať hlavne opatrenia týkajúce sa zvýšenia platov</w:t>
      </w:r>
      <w:r w:rsidR="00657EE1" w:rsidRPr="00666914">
        <w:rPr>
          <w:b/>
        </w:rPr>
        <w:t>,</w:t>
      </w:r>
      <w:r w:rsidRPr="00666914">
        <w:rPr>
          <w:b/>
        </w:rPr>
        <w:t xml:space="preserve"> vrátane začínajúcich učiteľov. Vyhodnotenie ich prínosu k zvýšeniu atraktívnosti učiteľskej profesie si však vyžaduje dlhší časový horizont.</w:t>
      </w:r>
    </w:p>
    <w:p w14:paraId="5E56EAB8" w14:textId="3E5F075F" w:rsidR="00E66F49" w:rsidRPr="00666914" w:rsidRDefault="00E66F49" w:rsidP="00D27F91">
      <w:r w:rsidRPr="00666914">
        <w:rPr>
          <w:b/>
        </w:rPr>
        <w:t xml:space="preserve">Spôsob napĺňania opatrení podporujúcich racionalizáciu siete škôl je aj po 2 rokoch od schválenia revízie výdavkov nejasný, </w:t>
      </w:r>
      <w:r w:rsidR="00916219" w:rsidRPr="00666914">
        <w:rPr>
          <w:b/>
        </w:rPr>
        <w:t xml:space="preserve">ročná </w:t>
      </w:r>
      <w:r w:rsidRPr="00666914">
        <w:rPr>
          <w:b/>
        </w:rPr>
        <w:t xml:space="preserve">úspora </w:t>
      </w:r>
      <w:r w:rsidR="00916219" w:rsidRPr="00666914">
        <w:rPr>
          <w:b/>
        </w:rPr>
        <w:t>3</w:t>
      </w:r>
      <w:r w:rsidRPr="00666914">
        <w:rPr>
          <w:b/>
        </w:rPr>
        <w:t xml:space="preserve"> mil. eur nebola </w:t>
      </w:r>
      <w:r w:rsidR="00916219" w:rsidRPr="00666914">
        <w:rPr>
          <w:b/>
        </w:rPr>
        <w:t xml:space="preserve">v roku 2019 </w:t>
      </w:r>
      <w:r w:rsidRPr="00666914">
        <w:rPr>
          <w:b/>
        </w:rPr>
        <w:t xml:space="preserve">dosiahnutá. </w:t>
      </w:r>
      <w:r w:rsidRPr="00666914">
        <w:t>Ministerstvo neiniciovalo potrebnú legislatívnu úpravu, len požiadalo o odklad predloženia návrhu jedného zo zákonov do roku 2021</w:t>
      </w:r>
      <w:r w:rsidRPr="00666914">
        <w:rPr>
          <w:rStyle w:val="Odkaznapoznmkupodiarou"/>
        </w:rPr>
        <w:footnoteReference w:id="147"/>
      </w:r>
      <w:r w:rsidRPr="00666914">
        <w:t>. IJ preto vyzvala ministerstvo listom</w:t>
      </w:r>
      <w:r w:rsidR="00657EE1" w:rsidRPr="00666914">
        <w:t>, aby</w:t>
      </w:r>
      <w:r w:rsidRPr="00666914">
        <w:t xml:space="preserve"> </w:t>
      </w:r>
      <w:r w:rsidR="00657EE1" w:rsidRPr="00666914">
        <w:t xml:space="preserve">vytvorilo pracovnú skupinu </w:t>
      </w:r>
      <w:r w:rsidRPr="00666914">
        <w:t xml:space="preserve">k príprave plánu implementácie opatrení podporujúcich racionalizáciu siete škôl ešte pred parlamentnými voľbami, čo sa však neuskutočnilo. Podkladom pre návrh opatrení racionalizácie malo byť aj vyhodnotenie tzv. racionalizačných opatrení udelených v rámci dohodovacích konaní z roku 2013. IJ do 12/2019 nedostala ich kompletnú analýzu s jasnými závermi, len počty škôl, ktoré sa do procesu zapojili. Podľa vyjadrenia rezortu </w:t>
      </w:r>
      <w:r w:rsidR="00657EE1" w:rsidRPr="00666914">
        <w:t xml:space="preserve">bola </w:t>
      </w:r>
      <w:r w:rsidRPr="00666914">
        <w:t>efektivita opatrení nedostatočná a nenapĺňala podstatu racionalizačného procesu.</w:t>
      </w:r>
    </w:p>
    <w:p w14:paraId="47778696" w14:textId="14897AF6" w:rsidR="00E66F49" w:rsidRPr="00666914" w:rsidRDefault="00E66F49" w:rsidP="00D27F91">
      <w:r w:rsidRPr="00666914">
        <w:rPr>
          <w:b/>
        </w:rPr>
        <w:t xml:space="preserve">K posilneniu previazania odmeňovania učiteľov na kvalitu ich práce malo prispieť aj ukončenie schémy kreditových príplatkov a využitie ušetrených financií na dofinancovanie netarifných zložiek mzdy (odmien a osobných príplatkov). Zrušenie kreditových príplatkov mohlo priniesť rezortu </w:t>
      </w:r>
      <w:r w:rsidR="00916219" w:rsidRPr="00666914">
        <w:rPr>
          <w:b/>
        </w:rPr>
        <w:t>v roku 2019</w:t>
      </w:r>
      <w:r w:rsidRPr="00666914">
        <w:rPr>
          <w:b/>
        </w:rPr>
        <w:t xml:space="preserve"> úsporu 5 mil. eur</w:t>
      </w:r>
      <w:r w:rsidR="00657EE1" w:rsidRPr="00666914">
        <w:rPr>
          <w:b/>
        </w:rPr>
        <w:t>,</w:t>
      </w:r>
      <w:r w:rsidR="00916219" w:rsidRPr="00666914">
        <w:rPr>
          <w:b/>
        </w:rPr>
        <w:t xml:space="preserve"> táto zmena sa však neuskutočnila. </w:t>
      </w:r>
      <w:r w:rsidRPr="00666914">
        <w:t>Od 01/2018 bola platnosť kreditov neobmedzená. Aktuálne je</w:t>
      </w:r>
      <w:r w:rsidR="00657EE1" w:rsidRPr="00666914">
        <w:t>,</w:t>
      </w:r>
      <w:r w:rsidRPr="00666914">
        <w:t xml:space="preserve"> v súlade s novým zákonom o pedagogických zamestnancoch a odborných zamestnancoch</w:t>
      </w:r>
      <w:r w:rsidRPr="00666914">
        <w:rPr>
          <w:rStyle w:val="Odkaznapoznmkupodiarou"/>
        </w:rPr>
        <w:footnoteReference w:id="148"/>
      </w:r>
      <w:r w:rsidR="00657EE1" w:rsidRPr="00666914">
        <w:t>,</w:t>
      </w:r>
      <w:r w:rsidRPr="00666914">
        <w:t xml:space="preserve"> pôvodný kreditový príplatok od 09/2019 vyplácaný na obdobie 7 rokov ako príplatok za profesijný rozvoj. Finančná motivácia absolvovať určité typy vzdelávania ostáva naďalej platná a nemusí zaručiť zvýšenie kvality vzdelávania. Vzhľadom na platnosť príplatkov za profesijný rozvoj na 7 rokov</w:t>
      </w:r>
      <w:r w:rsidR="00657EE1" w:rsidRPr="00666914">
        <w:t xml:space="preserve"> nebude</w:t>
      </w:r>
      <w:r w:rsidRPr="00666914">
        <w:t xml:space="preserve"> minimálne do 08/2026 dosiahnutá žiadna úspora.</w:t>
      </w:r>
    </w:p>
    <w:p w14:paraId="4F72F7FE" w14:textId="1D5C4A4B" w:rsidR="00E66F49" w:rsidRPr="00666914" w:rsidRDefault="00916219" w:rsidP="00D27F91">
      <w:r w:rsidRPr="00666914">
        <w:rPr>
          <w:b/>
        </w:rPr>
        <w:t>Ú</w:t>
      </w:r>
      <w:r w:rsidR="00CB3410" w:rsidRPr="00666914">
        <w:rPr>
          <w:b/>
        </w:rPr>
        <w:t>s</w:t>
      </w:r>
      <w:r w:rsidRPr="00666914">
        <w:rPr>
          <w:b/>
        </w:rPr>
        <w:t>poru 7 mil. eur mohlo v roku 2019</w:t>
      </w:r>
      <w:r w:rsidR="00E66F49" w:rsidRPr="00666914">
        <w:rPr>
          <w:b/>
        </w:rPr>
        <w:t xml:space="preserve"> zabezpečiť zníženie podielu bakalárov pokračujúcich </w:t>
      </w:r>
      <w:r w:rsidR="00196FA3" w:rsidRPr="00666914">
        <w:rPr>
          <w:b/>
        </w:rPr>
        <w:t>v</w:t>
      </w:r>
      <w:r w:rsidR="00E66F49" w:rsidRPr="00666914">
        <w:rPr>
          <w:b/>
        </w:rPr>
        <w:t xml:space="preserve"> magisterskom štúdiu. </w:t>
      </w:r>
      <w:r w:rsidR="00E66F49" w:rsidRPr="00666914">
        <w:t>V roku 2019</w:t>
      </w:r>
      <w:r w:rsidR="00657EE1" w:rsidRPr="00666914">
        <w:t xml:space="preserve"> znížilo</w:t>
      </w:r>
      <w:r w:rsidR="00E66F49" w:rsidRPr="00666914">
        <w:t xml:space="preserve"> ministerstvo vysokým školám dotáciu vo výške 9,7 mil. eur  na podporu študentov na II. stupni a umožnilo im využiť ju na implementáciu iných tzv. štrukturálnych zmien. Možnosť podmieniť tieto zmeny priamo na znižovanie počtu pokračujúcich bakalárov ministerstvo nevyužilo, ostalo to na rozhodnutí samotných vysokých škôl. Vzhľadom na chýbajúce podrobnejšie podklady nebolo možné počas prípravy SIS 2019 vyhodnotiť možný vplyv takto upraveného financovania na plnenie opatrenia.</w:t>
      </w:r>
    </w:p>
    <w:p w14:paraId="08A09A67" w14:textId="50AEC057" w:rsidR="00E66F49" w:rsidRPr="00666914" w:rsidRDefault="00E66F49" w:rsidP="00D27F91">
      <w:r w:rsidRPr="00666914">
        <w:rPr>
          <w:b/>
        </w:rPr>
        <w:t>V oblasti mzdového ohodnotenia učiteľov došlo počas 2 rokov k pokroku.</w:t>
      </w:r>
      <w:r w:rsidRPr="00666914">
        <w:t xml:space="preserve"> Valorizácia v roku 2019 by mala zvýšiť platy pedagógov v regionálnom školstve medziročne o 0,8 p.b. na približne 66,8 % mzdy vysokoškolsky vzdelaných zamestnancov</w:t>
      </w:r>
      <w:r w:rsidRPr="00666914">
        <w:rPr>
          <w:rStyle w:val="Odkaznapoznmkupodiarou"/>
        </w:rPr>
        <w:footnoteReference w:id="149"/>
      </w:r>
      <w:r w:rsidRPr="00666914">
        <w:t>. K zvýšeniu atraktívnosti učiteľského povolania má okrem plošného zvýšenia platov prispieť aj schválená novela zákona o odmeňovaní</w:t>
      </w:r>
      <w:r w:rsidRPr="00666914">
        <w:rPr>
          <w:rStyle w:val="Odkaznapoznmkupodiarou"/>
        </w:rPr>
        <w:footnoteReference w:id="150"/>
      </w:r>
      <w:r w:rsidRPr="00666914">
        <w:t>, ktorá od 09/2019 zvýšila platové tarify učiteľov na začiatku kariéry v regionálnom aj vysokom školstve. Ďalším navýšením od 01/2020 by sa mala priemerná mzda učiteľov v regionálnom školstve zvýšiť o 4,2 p. b. na 71 % mzdy vysokoškolsky vzdelaných zamestnancov</w:t>
      </w:r>
      <w:r w:rsidRPr="00666914">
        <w:rPr>
          <w:rStyle w:val="Odkaznapoznmkupodiarou"/>
        </w:rPr>
        <w:footnoteReference w:id="151"/>
      </w:r>
      <w:r w:rsidRPr="00666914">
        <w:t>. Vzhľadom na stále nízku úroveň platov je ich zvyšovanie pre posilnenie atraktivity učiteľského povolania kľúčové, čo priamo potvrdzujú aj zverejnené výsledky kvalitatívneho prieskumu</w:t>
      </w:r>
      <w:r w:rsidRPr="00666914">
        <w:rPr>
          <w:rStyle w:val="Odkaznapoznmkupodiarou"/>
        </w:rPr>
        <w:footnoteReference w:id="152"/>
      </w:r>
      <w:r w:rsidRPr="00666914">
        <w:t>.</w:t>
      </w:r>
    </w:p>
    <w:p w14:paraId="14500DB4" w14:textId="64B4C821" w:rsidR="00E66F49" w:rsidRPr="00666914" w:rsidRDefault="00E66F49" w:rsidP="00D27F91">
      <w:r w:rsidRPr="00666914">
        <w:rPr>
          <w:b/>
        </w:rPr>
        <w:lastRenderedPageBreak/>
        <w:t xml:space="preserve">Pri ostatných hodnotových opatreniach došlo k čiastkovému pokroku. </w:t>
      </w:r>
      <w:r w:rsidRPr="00666914">
        <w:t>V oblasti regionálneho školstva by k zlepšeniu väzby medzi odmeňovaním a kvalitou práce učiteľov malo prispieť od 09/2019 zavedenie atestačného portfólia. Vzhľadom na termín účinnosti nového zákona o pedagogických a odborných zamestnancoch</w:t>
      </w:r>
      <w:r w:rsidR="001D6BE1" w:rsidRPr="00666914">
        <w:t>,</w:t>
      </w:r>
      <w:r w:rsidRPr="00666914">
        <w:t xml:space="preserve"> ako aj vydanie oprávnení na poskytovanie atestácií</w:t>
      </w:r>
      <w:r w:rsidRPr="00666914">
        <w:rPr>
          <w:rStyle w:val="Odkaznapoznmkupodiarou"/>
        </w:rPr>
        <w:footnoteReference w:id="153"/>
      </w:r>
      <w:r w:rsidR="001D6BE1" w:rsidRPr="00666914">
        <w:t>,</w:t>
      </w:r>
      <w:r w:rsidRPr="00666914">
        <w:t xml:space="preserve"> nebolo možné do konca roka 2019 zhodnotiť vplyv tejto zmeny. Nový zákon zaviedol aj systém hodnotenia kvality poskytovaného vzdelávania, metodika hodnotenia spokojnosti však zatiaľ nie je známa. Ministerstvo pripravilo pre tento účel návrh štandardizovaných dotazníkov hodnotenia spokojnosti, ktoré budú zverejnené koncom 2Q2020. K skvalitneniu prípravy budúcich pedagógov posilnením praxe by mala počas roka 2019</w:t>
      </w:r>
      <w:r w:rsidR="001D6BE1" w:rsidRPr="00666914">
        <w:t xml:space="preserve"> prispieť</w:t>
      </w:r>
      <w:r w:rsidRPr="00666914">
        <w:t xml:space="preserve"> vyhlásená eurofondová výzva</w:t>
      </w:r>
      <w:r w:rsidRPr="00666914">
        <w:rPr>
          <w:rStyle w:val="Odkaznapoznmkupodiarou"/>
        </w:rPr>
        <w:footnoteReference w:id="154"/>
      </w:r>
      <w:r w:rsidRPr="00666914">
        <w:t xml:space="preserve">. Dodatočné hodiny pedagogických praxí a stáží na univerzitách by sa mali </w:t>
      </w:r>
      <w:r w:rsidR="001D6BE1" w:rsidRPr="00666914">
        <w:t xml:space="preserve">podľa tejto výzvy </w:t>
      </w:r>
      <w:r w:rsidRPr="00666914">
        <w:t>začať realizovať od akademického roka 2020/2021.</w:t>
      </w:r>
    </w:p>
    <w:p w14:paraId="5E2A7347" w14:textId="21191589" w:rsidR="00E66F49" w:rsidRPr="00666914" w:rsidRDefault="00E66F49" w:rsidP="00D27F91">
      <w:r w:rsidRPr="00666914">
        <w:t>V oblasti vysokého školstva za začali od roka 2018</w:t>
      </w:r>
      <w:r w:rsidR="001D6BE1" w:rsidRPr="00666914">
        <w:t xml:space="preserve"> realizovať</w:t>
      </w:r>
      <w:r w:rsidRPr="00666914">
        <w:t xml:space="preserve"> jednotlivé kroky, ktoré sú nevyhnutným predpokladom zvýšenia kvality vysokoškolského vzdelávania</w:t>
      </w:r>
      <w:r w:rsidRPr="00666914">
        <w:rPr>
          <w:rStyle w:val="Odkaznapoznmkupodiarou"/>
        </w:rPr>
        <w:footnoteReference w:id="155"/>
      </w:r>
      <w:r w:rsidRPr="00666914">
        <w:t>. V rámci reformy akreditačného procesu nahradila od roku 2020 Akreditačnú komisiu nezávislá akreditačná agentúra, ktorá v 10/2019 zverejnila návrh nových akreditačných štandardov pre VŠ. Na základe schválenej novely zákona o vysokých školách má rezort do 2021 vypracovať aj nové záväzné pravidlá pre hodnotenie výskumnej činnosti vysokých škôl.</w:t>
      </w:r>
    </w:p>
    <w:p w14:paraId="1D95502C" w14:textId="1D24E38F" w:rsidR="00E66F49" w:rsidRPr="00666914" w:rsidRDefault="00E66F49" w:rsidP="00D27F91">
      <w:r w:rsidRPr="00666914">
        <w:rPr>
          <w:b/>
        </w:rPr>
        <w:t>Zefektívňovanie fungovania ministerstva vrátane priamo riadených organizácií sa začalo od roka 2018 len veľmi pomaly.</w:t>
      </w:r>
      <w:r w:rsidRPr="00666914">
        <w:t xml:space="preserve"> V súlade s vypracovaným plánom optimalizácie využitia priestorov sa postupne začínajú využívať voľné priestory ministerstva, odhadovaná úspora do roka 2024 predstavuje 2,3 mil. eur. Začiatkom roka 2019 rezort dokončil aj návrh centrálneho obstarávania vybraných komodít, ktoré však</w:t>
      </w:r>
      <w:r w:rsidR="00386F34" w:rsidRPr="00666914">
        <w:t xml:space="preserve"> </w:t>
      </w:r>
      <w:r w:rsidRPr="00666914">
        <w:t>do konca roka nebolo spustené. K zlepšeniu monitoringu výdavkov priamo riadených organizácii ministerstva</w:t>
      </w:r>
      <w:r w:rsidR="001D6BE1" w:rsidRPr="00666914">
        <w:t>,</w:t>
      </w:r>
      <w:r w:rsidRPr="00666914">
        <w:t xml:space="preserve"> ako aj efektívnejšej alokácii financií na prioritné úlohy</w:t>
      </w:r>
      <w:r w:rsidR="001D6BE1" w:rsidRPr="00666914">
        <w:t>,</w:t>
      </w:r>
      <w:r w:rsidRPr="00666914">
        <w:t xml:space="preserve"> malo prispieť priebežné hodnotenie ich úloh na štvrťročnej báze. Celoročné vyhodnotenie tohto monitoringu jednotlivých organizácií vrátane konkrétnych výsledkov rezort IJ nepredložil. </w:t>
      </w:r>
      <w:r w:rsidRPr="00666914">
        <w:rPr>
          <w:b/>
        </w:rPr>
        <w:t xml:space="preserve">Očakávané budúce prínosy zlúčenia NÚCŽV a ŠIOV </w:t>
      </w:r>
      <w:r w:rsidR="001D6BE1" w:rsidRPr="00666914">
        <w:rPr>
          <w:b/>
        </w:rPr>
        <w:t>(</w:t>
      </w:r>
      <w:r w:rsidRPr="00666914">
        <w:rPr>
          <w:b/>
        </w:rPr>
        <w:t>k 30.6.2019</w:t>
      </w:r>
      <w:r w:rsidR="001D6BE1" w:rsidRPr="00666914">
        <w:rPr>
          <w:b/>
        </w:rPr>
        <w:t>)</w:t>
      </w:r>
      <w:r w:rsidRPr="00666914">
        <w:rPr>
          <w:b/>
        </w:rPr>
        <w:t xml:space="preserve"> neboli do konca roka 2019 vyčíslené</w:t>
      </w:r>
      <w:r w:rsidRPr="00666914">
        <w:t>. Vzhľadom na dlhodobé záväzky NÚCŽV vo výške 13,9 mil. eur</w:t>
      </w:r>
      <w:r w:rsidRPr="00666914">
        <w:rPr>
          <w:rStyle w:val="Odkaznapoznmkupodiarou"/>
        </w:rPr>
        <w:footnoteReference w:id="156"/>
      </w:r>
      <w:r w:rsidRPr="00666914">
        <w:t xml:space="preserve"> a prekročený rozpočet za rok 2019 na 1,5-násobok pôvodnej sumy nebola ani do konca roka 2019 dosiahnutá žiadna úspora.</w:t>
      </w:r>
    </w:p>
    <w:p w14:paraId="0431789C" w14:textId="77777777" w:rsidR="00E66F49" w:rsidRPr="00666914" w:rsidRDefault="00E66F49" w:rsidP="00D27F91">
      <w:pPr>
        <w:pStyle w:val="Popis"/>
      </w:pPr>
      <w:bookmarkStart w:id="281" w:name="_Toc6322003"/>
    </w:p>
    <w:p w14:paraId="78ECBD3A" w14:textId="2876AC2B" w:rsidR="00E66F49" w:rsidRPr="00666914" w:rsidRDefault="00E66F49" w:rsidP="00D27F91">
      <w:pPr>
        <w:pStyle w:val="Popis"/>
      </w:pPr>
      <w:r w:rsidRPr="00666914">
        <w:br w:type="page"/>
      </w:r>
      <w:bookmarkStart w:id="282" w:name="_Toc38447714"/>
      <w:r w:rsidRPr="00666914">
        <w:lastRenderedPageBreak/>
        <w:t>Tabuľka</w:t>
      </w:r>
      <w:r w:rsidRPr="00666914">
        <w:rPr>
          <w:noProof/>
        </w:rPr>
        <w:t xml:space="preserve"> </w:t>
      </w:r>
      <w:r w:rsidRPr="00666914">
        <w:rPr>
          <w:noProof/>
        </w:rPr>
        <w:fldChar w:fldCharType="begin"/>
      </w:r>
      <w:r w:rsidRPr="00666914">
        <w:rPr>
          <w:noProof/>
        </w:rPr>
        <w:instrText xml:space="preserve"> SEQ Tabuľka \* ARABIC \* MERGEFORMAT </w:instrText>
      </w:r>
      <w:r w:rsidRPr="00666914">
        <w:rPr>
          <w:noProof/>
        </w:rPr>
        <w:fldChar w:fldCharType="separate"/>
      </w:r>
      <w:r w:rsidR="005A7304">
        <w:rPr>
          <w:noProof/>
        </w:rPr>
        <w:t>53</w:t>
      </w:r>
      <w:r w:rsidRPr="00666914">
        <w:rPr>
          <w:noProof/>
        </w:rPr>
        <w:fldChar w:fldCharType="end"/>
      </w:r>
      <w:r w:rsidRPr="00666914">
        <w:t>: Plnenie hlavných odporúčaní IJ ÚV SR pre MŠVVaŠ SR v Priebežnej implementačnej správe 2019</w:t>
      </w:r>
      <w:bookmarkEnd w:id="281"/>
      <w:bookmarkEnd w:id="282"/>
    </w:p>
    <w:tbl>
      <w:tblPr>
        <w:tblW w:w="5000" w:type="pct"/>
        <w:tblCellMar>
          <w:left w:w="70" w:type="dxa"/>
          <w:right w:w="70" w:type="dxa"/>
        </w:tblCellMar>
        <w:tblLook w:val="04A0" w:firstRow="1" w:lastRow="0" w:firstColumn="1" w:lastColumn="0" w:noHBand="0" w:noVBand="1"/>
      </w:tblPr>
      <w:tblGrid>
        <w:gridCol w:w="8637"/>
        <w:gridCol w:w="577"/>
      </w:tblGrid>
      <w:tr w:rsidR="00E66F49" w:rsidRPr="00666914" w14:paraId="34997651" w14:textId="77777777" w:rsidTr="00D27F91">
        <w:trPr>
          <w:trHeight w:val="560"/>
        </w:trPr>
        <w:tc>
          <w:tcPr>
            <w:tcW w:w="4401" w:type="pct"/>
            <w:tcBorders>
              <w:top w:val="single" w:sz="8" w:space="0" w:color="auto"/>
              <w:left w:val="nil"/>
              <w:bottom w:val="nil"/>
              <w:right w:val="nil"/>
            </w:tcBorders>
            <w:shd w:val="clear" w:color="auto" w:fill="auto"/>
            <w:noWrap/>
            <w:vAlign w:val="center"/>
            <w:hideMark/>
          </w:tcPr>
          <w:p w14:paraId="2D2461FE" w14:textId="77777777" w:rsidR="00E66F49" w:rsidRPr="00666914" w:rsidRDefault="00E66F49" w:rsidP="00D27F91">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 xml:space="preserve">Hlavné odporúčania IJ ÚV SR pre MŠVVaŠ SR do 6.11.2019: </w:t>
            </w:r>
          </w:p>
        </w:tc>
        <w:tc>
          <w:tcPr>
            <w:tcW w:w="599" w:type="pct"/>
            <w:tcBorders>
              <w:top w:val="single" w:sz="8" w:space="0" w:color="auto"/>
              <w:left w:val="nil"/>
              <w:bottom w:val="nil"/>
              <w:right w:val="nil"/>
            </w:tcBorders>
            <w:shd w:val="clear" w:color="auto" w:fill="auto"/>
            <w:noWrap/>
            <w:vAlign w:val="center"/>
            <w:hideMark/>
          </w:tcPr>
          <w:p w14:paraId="67D013EE" w14:textId="04E74292"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E66F49" w:rsidRPr="00666914" w14:paraId="2A4989EA" w14:textId="77777777" w:rsidTr="00D27F91">
        <w:trPr>
          <w:trHeight w:val="560"/>
        </w:trPr>
        <w:tc>
          <w:tcPr>
            <w:tcW w:w="4401" w:type="pct"/>
            <w:tcBorders>
              <w:top w:val="nil"/>
              <w:left w:val="nil"/>
              <w:bottom w:val="nil"/>
              <w:right w:val="nil"/>
            </w:tcBorders>
            <w:shd w:val="clear" w:color="auto" w:fill="auto"/>
            <w:noWrap/>
            <w:vAlign w:val="center"/>
            <w:hideMark/>
          </w:tcPr>
          <w:p w14:paraId="7E5CC7A1"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Predložiť na rokovanie vlády SR úpravu legislatívy, ktorá podporí racionalizáciu siete škôl</w:t>
            </w:r>
          </w:p>
        </w:tc>
        <w:tc>
          <w:tcPr>
            <w:tcW w:w="599" w:type="pct"/>
            <w:tcBorders>
              <w:top w:val="nil"/>
              <w:left w:val="nil"/>
              <w:bottom w:val="nil"/>
              <w:right w:val="nil"/>
            </w:tcBorders>
            <w:shd w:val="clear" w:color="auto" w:fill="auto"/>
            <w:noWrap/>
            <w:vAlign w:val="center"/>
            <w:hideMark/>
          </w:tcPr>
          <w:p w14:paraId="48637342"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noProof/>
                <w:color w:val="000000"/>
                <w:szCs w:val="20"/>
                <w:lang w:eastAsia="sk-SK"/>
              </w:rPr>
              <w:drawing>
                <wp:anchor distT="0" distB="0" distL="114300" distR="114300" simplePos="0" relativeHeight="251677696" behindDoc="0" locked="0" layoutInCell="1" allowOverlap="1" wp14:anchorId="30BE410D" wp14:editId="0DD24A65">
                  <wp:simplePos x="0" y="0"/>
                  <wp:positionH relativeFrom="column">
                    <wp:posOffset>30480</wp:posOffset>
                  </wp:positionH>
                  <wp:positionV relativeFrom="paragraph">
                    <wp:posOffset>-17780</wp:posOffset>
                  </wp:positionV>
                  <wp:extent cx="215900" cy="228600"/>
                  <wp:effectExtent l="0" t="0" r="0" b="0"/>
                  <wp:wrapSquare wrapText="bothSides"/>
                  <wp:docPr id="20" name="Obrázok 20"/>
                  <wp:cNvGraphicFramePr/>
                  <a:graphic xmlns:a="http://schemas.openxmlformats.org/drawingml/2006/main">
                    <a:graphicData uri="http://schemas.openxmlformats.org/drawingml/2006/picture">
                      <pic:pic xmlns:pic="http://schemas.openxmlformats.org/drawingml/2006/picture">
                        <pic:nvPicPr>
                          <pic:cNvPr id="5" name="Obrázok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00" cy="228600"/>
                          </a:xfrm>
                          <a:prstGeom prst="rect">
                            <a:avLst/>
                          </a:prstGeom>
                        </pic:spPr>
                      </pic:pic>
                    </a:graphicData>
                  </a:graphic>
                  <wp14:sizeRelH relativeFrom="margin">
                    <wp14:pctWidth>0</wp14:pctWidth>
                  </wp14:sizeRelH>
                  <wp14:sizeRelV relativeFrom="margin">
                    <wp14:pctHeight>0</wp14:pctHeight>
                  </wp14:sizeRelV>
                </wp:anchor>
              </w:drawing>
            </w:r>
          </w:p>
        </w:tc>
      </w:tr>
      <w:tr w:rsidR="00E66F49" w:rsidRPr="00666914" w14:paraId="3DE86979" w14:textId="77777777" w:rsidTr="00D27F91">
        <w:trPr>
          <w:trHeight w:val="560"/>
        </w:trPr>
        <w:tc>
          <w:tcPr>
            <w:tcW w:w="4401" w:type="pct"/>
            <w:tcBorders>
              <w:top w:val="nil"/>
              <w:left w:val="nil"/>
              <w:bottom w:val="nil"/>
              <w:right w:val="nil"/>
            </w:tcBorders>
            <w:shd w:val="clear" w:color="auto" w:fill="auto"/>
            <w:noWrap/>
            <w:vAlign w:val="center"/>
            <w:hideMark/>
          </w:tcPr>
          <w:p w14:paraId="623C8ECD" w14:textId="260BF59A" w:rsidR="00E66F49" w:rsidRPr="00666914" w:rsidRDefault="00E66F49" w:rsidP="00D27F91">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Hlavné odporúčania IJ</w:t>
            </w:r>
            <w:r w:rsidR="006E797E" w:rsidRPr="00666914">
              <w:rPr>
                <w:rFonts w:eastAsia="Times New Roman" w:cs="Calibri"/>
                <w:b/>
                <w:bCs/>
                <w:color w:val="000000"/>
                <w:sz w:val="20"/>
                <w:szCs w:val="20"/>
                <w:lang w:eastAsia="sk-SK"/>
              </w:rPr>
              <w:t xml:space="preserve"> ÚV SR</w:t>
            </w:r>
            <w:r w:rsidRPr="00666914">
              <w:rPr>
                <w:rFonts w:eastAsia="Times New Roman" w:cs="Calibri"/>
                <w:b/>
                <w:bCs/>
                <w:color w:val="000000"/>
                <w:sz w:val="20"/>
                <w:szCs w:val="20"/>
                <w:lang w:eastAsia="sk-SK"/>
              </w:rPr>
              <w:t xml:space="preserve"> pre MŠVVaŠ SR do 31.12.2019:</w:t>
            </w:r>
          </w:p>
        </w:tc>
        <w:tc>
          <w:tcPr>
            <w:tcW w:w="599" w:type="pct"/>
            <w:tcBorders>
              <w:top w:val="nil"/>
              <w:left w:val="nil"/>
              <w:bottom w:val="nil"/>
              <w:right w:val="nil"/>
            </w:tcBorders>
            <w:shd w:val="clear" w:color="auto" w:fill="auto"/>
            <w:noWrap/>
            <w:vAlign w:val="center"/>
            <w:hideMark/>
          </w:tcPr>
          <w:p w14:paraId="483F4289" w14:textId="0E85FE05" w:rsidR="00E66F49" w:rsidRPr="00666914" w:rsidRDefault="00E66F49" w:rsidP="00D27F91">
            <w:pPr>
              <w:spacing w:after="0"/>
              <w:rPr>
                <w:rFonts w:eastAsia="Times New Roman" w:cs="Calibri"/>
                <w:b/>
                <w:bCs/>
                <w:color w:val="000000"/>
                <w:sz w:val="20"/>
                <w:szCs w:val="20"/>
                <w:lang w:eastAsia="sk-SK"/>
              </w:rPr>
            </w:pPr>
          </w:p>
        </w:tc>
      </w:tr>
      <w:tr w:rsidR="00E66F49" w:rsidRPr="00666914" w14:paraId="4702DB29" w14:textId="77777777" w:rsidTr="00D27F91">
        <w:trPr>
          <w:trHeight w:val="560"/>
        </w:trPr>
        <w:tc>
          <w:tcPr>
            <w:tcW w:w="4401" w:type="pct"/>
            <w:tcBorders>
              <w:top w:val="nil"/>
              <w:left w:val="nil"/>
              <w:bottom w:val="nil"/>
              <w:right w:val="nil"/>
            </w:tcBorders>
            <w:shd w:val="clear" w:color="auto" w:fill="auto"/>
            <w:vAlign w:val="center"/>
            <w:hideMark/>
          </w:tcPr>
          <w:p w14:paraId="1823096C" w14:textId="4E2941A6"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xml:space="preserve">Pravidelne zverejňovať metodiku prideľovania financií prostredníctvom dohodovacích konaní vrátane kompletných výsledkov u všetkých zriaďovateľov, ktorí o dofinancovanie požiadali </w:t>
            </w:r>
          </w:p>
        </w:tc>
        <w:tc>
          <w:tcPr>
            <w:tcW w:w="599" w:type="pct"/>
            <w:tcBorders>
              <w:top w:val="nil"/>
              <w:left w:val="nil"/>
              <w:bottom w:val="nil"/>
              <w:right w:val="nil"/>
            </w:tcBorders>
            <w:shd w:val="clear" w:color="auto" w:fill="auto"/>
            <w:noWrap/>
            <w:vAlign w:val="center"/>
            <w:hideMark/>
          </w:tcPr>
          <w:p w14:paraId="132D2C22" w14:textId="00A52F6C" w:rsidR="00E66F49" w:rsidRPr="00666914" w:rsidRDefault="008F0BE4" w:rsidP="00D27F91">
            <w:pPr>
              <w:spacing w:after="0"/>
              <w:jc w:val="left"/>
              <w:rPr>
                <w:rFonts w:eastAsia="Times New Roman" w:cs="Calibri"/>
                <w:color w:val="000000"/>
                <w:sz w:val="20"/>
                <w:szCs w:val="20"/>
                <w:lang w:eastAsia="sk-SK"/>
              </w:rPr>
            </w:pPr>
            <w:r w:rsidRPr="00666914">
              <w:rPr>
                <w:b/>
                <w:noProof/>
                <w:lang w:eastAsia="sk-SK"/>
              </w:rPr>
              <w:drawing>
                <wp:anchor distT="0" distB="0" distL="114300" distR="114300" simplePos="0" relativeHeight="251711488" behindDoc="1" locked="0" layoutInCell="1" allowOverlap="1" wp14:anchorId="36B0A676" wp14:editId="6847F7E5">
                  <wp:simplePos x="0" y="0"/>
                  <wp:positionH relativeFrom="margin">
                    <wp:posOffset>39370</wp:posOffset>
                  </wp:positionH>
                  <wp:positionV relativeFrom="margin">
                    <wp:posOffset>-86360</wp:posOffset>
                  </wp:positionV>
                  <wp:extent cx="208280" cy="222250"/>
                  <wp:effectExtent l="0" t="0" r="1270" b="6350"/>
                  <wp:wrapNone/>
                  <wp:docPr id="58"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8280" cy="222250"/>
                          </a:xfrm>
                          <a:prstGeom prst="rect">
                            <a:avLst/>
                          </a:prstGeom>
                        </pic:spPr>
                      </pic:pic>
                    </a:graphicData>
                  </a:graphic>
                  <wp14:sizeRelH relativeFrom="page">
                    <wp14:pctWidth>0</wp14:pctWidth>
                  </wp14:sizeRelH>
                  <wp14:sizeRelV relativeFrom="page">
                    <wp14:pctHeight>0</wp14:pctHeight>
                  </wp14:sizeRelV>
                </wp:anchor>
              </w:drawing>
            </w:r>
          </w:p>
        </w:tc>
      </w:tr>
      <w:tr w:rsidR="00E66F49" w:rsidRPr="00666914" w14:paraId="5BFD970E" w14:textId="77777777" w:rsidTr="00D27F91">
        <w:trPr>
          <w:trHeight w:val="560"/>
        </w:trPr>
        <w:tc>
          <w:tcPr>
            <w:tcW w:w="4401" w:type="pct"/>
            <w:tcBorders>
              <w:top w:val="nil"/>
              <w:left w:val="nil"/>
              <w:bottom w:val="nil"/>
              <w:right w:val="nil"/>
            </w:tcBorders>
            <w:shd w:val="clear" w:color="auto" w:fill="auto"/>
            <w:noWrap/>
            <w:vAlign w:val="center"/>
            <w:hideMark/>
          </w:tcPr>
          <w:p w14:paraId="539E8052"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Vydať v súlade s platnou legislatívou štandardizované dotazníky na hodnotenie kvality uskutočňovaného vzdelávania</w:t>
            </w:r>
          </w:p>
        </w:tc>
        <w:tc>
          <w:tcPr>
            <w:tcW w:w="599" w:type="pct"/>
            <w:vMerge w:val="restart"/>
            <w:tcBorders>
              <w:top w:val="nil"/>
              <w:left w:val="nil"/>
              <w:bottom w:val="nil"/>
              <w:right w:val="nil"/>
            </w:tcBorders>
            <w:shd w:val="clear" w:color="auto" w:fill="auto"/>
            <w:noWrap/>
            <w:vAlign w:val="center"/>
            <w:hideMark/>
          </w:tcPr>
          <w:p w14:paraId="02ADAE1F"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noProof/>
                <w:color w:val="000000"/>
                <w:szCs w:val="20"/>
                <w:lang w:eastAsia="sk-SK"/>
              </w:rPr>
              <w:drawing>
                <wp:anchor distT="0" distB="0" distL="114300" distR="114300" simplePos="0" relativeHeight="251675648" behindDoc="0" locked="0" layoutInCell="1" allowOverlap="1" wp14:anchorId="636F770F" wp14:editId="463773C2">
                  <wp:simplePos x="0" y="0"/>
                  <wp:positionH relativeFrom="column">
                    <wp:posOffset>52070</wp:posOffset>
                  </wp:positionH>
                  <wp:positionV relativeFrom="paragraph">
                    <wp:posOffset>323215</wp:posOffset>
                  </wp:positionV>
                  <wp:extent cx="215900" cy="228600"/>
                  <wp:effectExtent l="0" t="0" r="0" b="0"/>
                  <wp:wrapSquare wrapText="bothSides"/>
                  <wp:docPr id="9" name="Obrázok 9"/>
                  <wp:cNvGraphicFramePr/>
                  <a:graphic xmlns:a="http://schemas.openxmlformats.org/drawingml/2006/main">
                    <a:graphicData uri="http://schemas.openxmlformats.org/drawingml/2006/picture">
                      <pic:pic xmlns:pic="http://schemas.openxmlformats.org/drawingml/2006/picture">
                        <pic:nvPicPr>
                          <pic:cNvPr id="5" name="Obrázok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00" cy="228600"/>
                          </a:xfrm>
                          <a:prstGeom prst="rect">
                            <a:avLst/>
                          </a:prstGeom>
                        </pic:spPr>
                      </pic:pic>
                    </a:graphicData>
                  </a:graphic>
                  <wp14:sizeRelH relativeFrom="margin">
                    <wp14:pctWidth>0</wp14:pctWidth>
                  </wp14:sizeRelH>
                  <wp14:sizeRelV relativeFrom="margin">
                    <wp14:pctHeight>0</wp14:pctHeight>
                  </wp14:sizeRelV>
                </wp:anchor>
              </w:drawing>
            </w:r>
            <w:r w:rsidRPr="00666914">
              <w:rPr>
                <w:rFonts w:eastAsia="Times New Roman" w:cs="Calibri"/>
                <w:noProof/>
                <w:color w:val="000000"/>
                <w:szCs w:val="20"/>
                <w:lang w:eastAsia="sk-SK"/>
              </w:rPr>
              <w:drawing>
                <wp:anchor distT="0" distB="0" distL="114300" distR="114300" simplePos="0" relativeHeight="251676672" behindDoc="0" locked="0" layoutInCell="1" allowOverlap="1" wp14:anchorId="5860B63D" wp14:editId="113C170F">
                  <wp:simplePos x="0" y="0"/>
                  <wp:positionH relativeFrom="column">
                    <wp:posOffset>49530</wp:posOffset>
                  </wp:positionH>
                  <wp:positionV relativeFrom="paragraph">
                    <wp:posOffset>7620</wp:posOffset>
                  </wp:positionV>
                  <wp:extent cx="215900" cy="228600"/>
                  <wp:effectExtent l="0" t="0" r="0" b="0"/>
                  <wp:wrapSquare wrapText="bothSides"/>
                  <wp:docPr id="10" name="Obrázok 10"/>
                  <wp:cNvGraphicFramePr/>
                  <a:graphic xmlns:a="http://schemas.openxmlformats.org/drawingml/2006/main">
                    <a:graphicData uri="http://schemas.openxmlformats.org/drawingml/2006/picture">
                      <pic:pic xmlns:pic="http://schemas.openxmlformats.org/drawingml/2006/picture">
                        <pic:nvPicPr>
                          <pic:cNvPr id="5" name="Obrázok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00" cy="228600"/>
                          </a:xfrm>
                          <a:prstGeom prst="rect">
                            <a:avLst/>
                          </a:prstGeom>
                        </pic:spPr>
                      </pic:pic>
                    </a:graphicData>
                  </a:graphic>
                  <wp14:sizeRelH relativeFrom="margin">
                    <wp14:pctWidth>0</wp14:pctWidth>
                  </wp14:sizeRelH>
                  <wp14:sizeRelV relativeFrom="margin">
                    <wp14:pctHeight>0</wp14:pctHeight>
                  </wp14:sizeRelV>
                </wp:anchor>
              </w:drawing>
            </w:r>
          </w:p>
        </w:tc>
      </w:tr>
      <w:tr w:rsidR="00E66F49" w:rsidRPr="00666914" w14:paraId="2CF4EC19" w14:textId="77777777" w:rsidTr="00D27F91">
        <w:trPr>
          <w:trHeight w:val="560"/>
        </w:trPr>
        <w:tc>
          <w:tcPr>
            <w:tcW w:w="4401" w:type="pct"/>
            <w:tcBorders>
              <w:top w:val="nil"/>
              <w:left w:val="nil"/>
              <w:bottom w:val="nil"/>
              <w:right w:val="nil"/>
            </w:tcBorders>
            <w:shd w:val="clear" w:color="auto" w:fill="auto"/>
            <w:noWrap/>
            <w:vAlign w:val="center"/>
            <w:hideMark/>
          </w:tcPr>
          <w:p w14:paraId="2A98CBFB"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Spustiť proces centrálneho obstarávania vybraných služieb</w:t>
            </w:r>
          </w:p>
        </w:tc>
        <w:tc>
          <w:tcPr>
            <w:tcW w:w="599" w:type="pct"/>
            <w:vMerge/>
            <w:tcBorders>
              <w:top w:val="nil"/>
              <w:left w:val="nil"/>
              <w:bottom w:val="nil"/>
              <w:right w:val="nil"/>
            </w:tcBorders>
            <w:vAlign w:val="center"/>
            <w:hideMark/>
          </w:tcPr>
          <w:p w14:paraId="42D62923" w14:textId="77777777" w:rsidR="00E66F49" w:rsidRPr="00666914" w:rsidRDefault="00E66F49" w:rsidP="00D27F91">
            <w:pPr>
              <w:spacing w:after="0"/>
              <w:jc w:val="left"/>
              <w:rPr>
                <w:rFonts w:eastAsia="Times New Roman" w:cs="Calibri"/>
                <w:color w:val="000000"/>
                <w:sz w:val="20"/>
                <w:szCs w:val="20"/>
                <w:lang w:eastAsia="sk-SK"/>
              </w:rPr>
            </w:pPr>
          </w:p>
        </w:tc>
      </w:tr>
      <w:tr w:rsidR="00E66F49" w:rsidRPr="00666914" w14:paraId="40A22021" w14:textId="77777777" w:rsidTr="00D27F91">
        <w:trPr>
          <w:trHeight w:val="560"/>
        </w:trPr>
        <w:tc>
          <w:tcPr>
            <w:tcW w:w="4401" w:type="pct"/>
            <w:tcBorders>
              <w:top w:val="nil"/>
              <w:left w:val="nil"/>
              <w:bottom w:val="single" w:sz="8" w:space="0" w:color="auto"/>
              <w:right w:val="nil"/>
            </w:tcBorders>
            <w:shd w:val="clear" w:color="auto" w:fill="auto"/>
            <w:noWrap/>
            <w:vAlign w:val="center"/>
            <w:hideMark/>
          </w:tcPr>
          <w:p w14:paraId="4B124064"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noProof/>
                <w:color w:val="000000"/>
                <w:szCs w:val="20"/>
                <w:lang w:eastAsia="sk-SK"/>
              </w:rPr>
              <w:drawing>
                <wp:anchor distT="0" distB="0" distL="114300" distR="114300" simplePos="0" relativeHeight="251674624" behindDoc="0" locked="0" layoutInCell="1" allowOverlap="1" wp14:anchorId="494D4635" wp14:editId="348B3C17">
                  <wp:simplePos x="0" y="0"/>
                  <wp:positionH relativeFrom="rightMargin">
                    <wp:posOffset>5219065</wp:posOffset>
                  </wp:positionH>
                  <wp:positionV relativeFrom="page">
                    <wp:posOffset>-32385</wp:posOffset>
                  </wp:positionV>
                  <wp:extent cx="215900" cy="222250"/>
                  <wp:effectExtent l="0" t="0" r="0" b="6350"/>
                  <wp:wrapNone/>
                  <wp:docPr id="21" name="Obrázok 21"/>
                  <wp:cNvGraphicFramePr/>
                  <a:graphic xmlns:a="http://schemas.openxmlformats.org/drawingml/2006/main">
                    <a:graphicData uri="http://schemas.openxmlformats.org/drawingml/2006/picture">
                      <pic:pic xmlns:pic="http://schemas.openxmlformats.org/drawingml/2006/picture">
                        <pic:nvPicPr>
                          <pic:cNvPr id="4" name="Obrázok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00" cy="222250"/>
                          </a:xfrm>
                          <a:prstGeom prst="rect">
                            <a:avLst/>
                          </a:prstGeom>
                        </pic:spPr>
                      </pic:pic>
                    </a:graphicData>
                  </a:graphic>
                  <wp14:sizeRelH relativeFrom="page">
                    <wp14:pctWidth>0</wp14:pctWidth>
                  </wp14:sizeRelH>
                  <wp14:sizeRelV relativeFrom="page">
                    <wp14:pctHeight>0</wp14:pctHeight>
                  </wp14:sizeRelV>
                </wp:anchor>
              </w:drawing>
            </w:r>
            <w:r w:rsidRPr="00666914">
              <w:rPr>
                <w:rFonts w:eastAsia="Times New Roman" w:cs="Calibri"/>
                <w:color w:val="000000"/>
                <w:sz w:val="20"/>
                <w:szCs w:val="20"/>
                <w:lang w:eastAsia="sk-SK"/>
              </w:rPr>
              <w:t xml:space="preserve">Pripraviť ročné vyhodnotenie kvartálnych odpočtov úloh PRO v súlade s uzatvorenými kontraktmi                               </w:t>
            </w:r>
          </w:p>
        </w:tc>
        <w:tc>
          <w:tcPr>
            <w:tcW w:w="599" w:type="pct"/>
            <w:tcBorders>
              <w:top w:val="nil"/>
              <w:left w:val="nil"/>
              <w:bottom w:val="single" w:sz="8" w:space="0" w:color="auto"/>
              <w:right w:val="nil"/>
            </w:tcBorders>
            <w:shd w:val="clear" w:color="auto" w:fill="auto"/>
            <w:noWrap/>
            <w:vAlign w:val="center"/>
            <w:hideMark/>
          </w:tcPr>
          <w:p w14:paraId="163D16D8"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noProof/>
                <w:color w:val="000000"/>
                <w:szCs w:val="20"/>
                <w:lang w:eastAsia="sk-SK"/>
              </w:rPr>
              <w:drawing>
                <wp:anchor distT="0" distB="0" distL="114300" distR="114300" simplePos="0" relativeHeight="251678720" behindDoc="0" locked="0" layoutInCell="1" allowOverlap="1" wp14:anchorId="5C8D1A37" wp14:editId="2C33A458">
                  <wp:simplePos x="0" y="0"/>
                  <wp:positionH relativeFrom="column">
                    <wp:posOffset>49530</wp:posOffset>
                  </wp:positionH>
                  <wp:positionV relativeFrom="paragraph">
                    <wp:posOffset>-38100</wp:posOffset>
                  </wp:positionV>
                  <wp:extent cx="215900" cy="228600"/>
                  <wp:effectExtent l="0" t="0" r="0" b="0"/>
                  <wp:wrapSquare wrapText="bothSides"/>
                  <wp:docPr id="22" name="Obrázok 22"/>
                  <wp:cNvGraphicFramePr/>
                  <a:graphic xmlns:a="http://schemas.openxmlformats.org/drawingml/2006/main">
                    <a:graphicData uri="http://schemas.openxmlformats.org/drawingml/2006/picture">
                      <pic:pic xmlns:pic="http://schemas.openxmlformats.org/drawingml/2006/picture">
                        <pic:nvPicPr>
                          <pic:cNvPr id="3" name="Obrázok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00" cy="228600"/>
                          </a:xfrm>
                          <a:prstGeom prst="rect">
                            <a:avLst/>
                          </a:prstGeom>
                        </pic:spPr>
                      </pic:pic>
                    </a:graphicData>
                  </a:graphic>
                  <wp14:sizeRelH relativeFrom="margin">
                    <wp14:pctWidth>0</wp14:pctWidth>
                  </wp14:sizeRelH>
                  <wp14:sizeRelV relativeFrom="margin">
                    <wp14:pctHeight>0</wp14:pctHeight>
                  </wp14:sizeRelV>
                </wp:anchor>
              </w:drawing>
            </w:r>
          </w:p>
        </w:tc>
      </w:tr>
      <w:tr w:rsidR="00E66F49" w:rsidRPr="00666914" w14:paraId="65D01443" w14:textId="77777777" w:rsidTr="00D27F91">
        <w:trPr>
          <w:trHeight w:val="260"/>
        </w:trPr>
        <w:tc>
          <w:tcPr>
            <w:tcW w:w="5000" w:type="pct"/>
            <w:gridSpan w:val="2"/>
            <w:tcBorders>
              <w:top w:val="nil"/>
              <w:left w:val="nil"/>
              <w:bottom w:val="nil"/>
              <w:right w:val="nil"/>
            </w:tcBorders>
            <w:shd w:val="clear" w:color="auto" w:fill="auto"/>
            <w:vAlign w:val="center"/>
            <w:hideMark/>
          </w:tcPr>
          <w:p w14:paraId="26B76CA7" w14:textId="77777777" w:rsidR="00E66F49" w:rsidRPr="00666914" w:rsidRDefault="00E66F49" w:rsidP="00D27F91">
            <w:pPr>
              <w:spacing w:after="0"/>
              <w:jc w:val="right"/>
              <w:rPr>
                <w:rFonts w:eastAsia="Times New Roman" w:cs="Calibri"/>
                <w:i/>
                <w:iCs/>
                <w:color w:val="000000"/>
                <w:sz w:val="18"/>
                <w:szCs w:val="18"/>
                <w:lang w:eastAsia="sk-SK"/>
              </w:rPr>
            </w:pPr>
            <w:r w:rsidRPr="00666914">
              <w:rPr>
                <w:rFonts w:eastAsia="Times New Roman" w:cs="Calibri"/>
                <w:i/>
                <w:iCs/>
                <w:color w:val="000000"/>
                <w:sz w:val="18"/>
                <w:szCs w:val="18"/>
                <w:lang w:eastAsia="sk-SK"/>
              </w:rPr>
              <w:t xml:space="preserve">Zdroj: IJ ÚV SR </w:t>
            </w:r>
          </w:p>
        </w:tc>
      </w:tr>
    </w:tbl>
    <w:p w14:paraId="7AA6471F" w14:textId="77777777" w:rsidR="00E66F49" w:rsidRPr="00666914" w:rsidRDefault="00E66F49" w:rsidP="00D27F91">
      <w:pPr>
        <w:rPr>
          <w:b/>
          <w:sz w:val="20"/>
        </w:rPr>
      </w:pPr>
      <w:r w:rsidRPr="00666914">
        <w:rPr>
          <w:b/>
          <w:noProof/>
          <w:lang w:eastAsia="sk-SK"/>
        </w:rPr>
        <mc:AlternateContent>
          <mc:Choice Requires="wps">
            <w:drawing>
              <wp:anchor distT="0" distB="0" distL="114300" distR="114300" simplePos="0" relativeHeight="251672576" behindDoc="0" locked="0" layoutInCell="1" allowOverlap="1" wp14:anchorId="5434A12E" wp14:editId="3E8CE31E">
                <wp:simplePos x="0" y="0"/>
                <wp:positionH relativeFrom="margin">
                  <wp:align>right</wp:align>
                </wp:positionH>
                <wp:positionV relativeFrom="paragraph">
                  <wp:posOffset>352425</wp:posOffset>
                </wp:positionV>
                <wp:extent cx="5735320" cy="2306955"/>
                <wp:effectExtent l="0" t="0" r="17780" b="17145"/>
                <wp:wrapThrough wrapText="bothSides">
                  <wp:wrapPolygon edited="0">
                    <wp:start x="0" y="0"/>
                    <wp:lineTo x="0" y="21582"/>
                    <wp:lineTo x="21595" y="21582"/>
                    <wp:lineTo x="21595" y="0"/>
                    <wp:lineTo x="0" y="0"/>
                  </wp:wrapPolygon>
                </wp:wrapThrough>
                <wp:docPr id="19" name="Textové pole 19"/>
                <wp:cNvGraphicFramePr/>
                <a:graphic xmlns:a="http://schemas.openxmlformats.org/drawingml/2006/main">
                  <a:graphicData uri="http://schemas.microsoft.com/office/word/2010/wordprocessingShape">
                    <wps:wsp>
                      <wps:cNvSpPr txBox="1"/>
                      <wps:spPr>
                        <a:xfrm>
                          <a:off x="0" y="0"/>
                          <a:ext cx="5735320" cy="2306955"/>
                        </a:xfrm>
                        <a:prstGeom prst="rect">
                          <a:avLst/>
                        </a:prstGeom>
                        <a:solidFill>
                          <a:srgbClr val="0070C0"/>
                        </a:solidFill>
                        <a:ln w="12700" cap="flat" cmpd="sng" algn="ctr">
                          <a:solidFill>
                            <a:srgbClr val="4472C4"/>
                          </a:solidFill>
                          <a:prstDash val="solid"/>
                          <a:miter lim="800000"/>
                        </a:ln>
                        <a:effectLst/>
                      </wps:spPr>
                      <wps:txbx>
                        <w:txbxContent>
                          <w:p w14:paraId="5F30EB49" w14:textId="77777777" w:rsidR="006C0687" w:rsidRPr="00DA64C8" w:rsidRDefault="006C0687" w:rsidP="00D27F91">
                            <w:pPr>
                              <w:spacing w:after="0" w:line="276" w:lineRule="auto"/>
                              <w:jc w:val="left"/>
                              <w:rPr>
                                <w:b/>
                                <w:color w:val="FFFFFF" w:themeColor="background1"/>
                                <w:u w:val="single"/>
                              </w:rPr>
                            </w:pPr>
                            <w:r w:rsidRPr="00DA64C8">
                              <w:rPr>
                                <w:b/>
                                <w:color w:val="FFFFFF" w:themeColor="background1"/>
                                <w:u w:val="single"/>
                              </w:rPr>
                              <w:t xml:space="preserve">Hlavné odporúčania IJ ÚV </w:t>
                            </w:r>
                            <w:r>
                              <w:rPr>
                                <w:b/>
                                <w:color w:val="FFFFFF" w:themeColor="background1"/>
                                <w:u w:val="single"/>
                              </w:rPr>
                              <w:t xml:space="preserve">SR </w:t>
                            </w:r>
                            <w:r w:rsidRPr="00DA64C8">
                              <w:rPr>
                                <w:b/>
                                <w:color w:val="FFFFFF" w:themeColor="background1"/>
                                <w:u w:val="single"/>
                              </w:rPr>
                              <w:t xml:space="preserve">pre MŠVVaŠ SR do </w:t>
                            </w:r>
                            <w:r>
                              <w:rPr>
                                <w:b/>
                                <w:color w:val="FFFFFF" w:themeColor="background1"/>
                                <w:u w:val="single"/>
                              </w:rPr>
                              <w:t>30.6.2020</w:t>
                            </w:r>
                            <w:r w:rsidRPr="00DA64C8">
                              <w:rPr>
                                <w:b/>
                                <w:color w:val="FFFFFF" w:themeColor="background1"/>
                                <w:u w:val="single"/>
                              </w:rPr>
                              <w:t>:</w:t>
                            </w:r>
                          </w:p>
                          <w:p w14:paraId="72BF320C" w14:textId="77777777" w:rsidR="006C0687" w:rsidRPr="00DA64C8" w:rsidRDefault="006C0687" w:rsidP="00E66F49">
                            <w:pPr>
                              <w:pStyle w:val="Odsekzoznamu"/>
                              <w:numPr>
                                <w:ilvl w:val="0"/>
                                <w:numId w:val="4"/>
                              </w:numPr>
                              <w:spacing w:after="0" w:line="276" w:lineRule="auto"/>
                              <w:jc w:val="left"/>
                              <w:rPr>
                                <w:color w:val="FFFFFF" w:themeColor="background1"/>
                              </w:rPr>
                            </w:pPr>
                            <w:r>
                              <w:rPr>
                                <w:color w:val="FFFFFF" w:themeColor="background1"/>
                              </w:rPr>
                              <w:t>Zverejniť</w:t>
                            </w:r>
                            <w:r w:rsidRPr="00DA64C8">
                              <w:rPr>
                                <w:color w:val="FFFFFF" w:themeColor="background1"/>
                              </w:rPr>
                              <w:t xml:space="preserve"> v súlade s platnou legislatívou </w:t>
                            </w:r>
                            <w:r>
                              <w:rPr>
                                <w:color w:val="FFFFFF" w:themeColor="background1"/>
                              </w:rPr>
                              <w:t xml:space="preserve">odporúčané </w:t>
                            </w:r>
                            <w:r w:rsidRPr="00DA64C8">
                              <w:rPr>
                                <w:color w:val="FFFFFF" w:themeColor="background1"/>
                              </w:rPr>
                              <w:t>štandardizované dotazníky na hodnotenie kvality uskutočňovaného vzdelávania</w:t>
                            </w:r>
                          </w:p>
                          <w:p w14:paraId="2BEFF118" w14:textId="77777777" w:rsidR="006C0687" w:rsidRDefault="006C0687" w:rsidP="00D27F91">
                            <w:pPr>
                              <w:spacing w:after="0" w:line="276" w:lineRule="auto"/>
                              <w:jc w:val="left"/>
                              <w:rPr>
                                <w:b/>
                                <w:color w:val="FFFFFF" w:themeColor="background1"/>
                                <w:u w:val="single"/>
                              </w:rPr>
                            </w:pPr>
                          </w:p>
                          <w:p w14:paraId="2F00ED94" w14:textId="77777777" w:rsidR="006C0687" w:rsidRPr="00DA64C8" w:rsidRDefault="006C0687" w:rsidP="00D27F91">
                            <w:pPr>
                              <w:spacing w:after="0" w:line="276" w:lineRule="auto"/>
                              <w:jc w:val="left"/>
                              <w:rPr>
                                <w:b/>
                                <w:color w:val="FFFFFF" w:themeColor="background1"/>
                                <w:u w:val="single"/>
                              </w:rPr>
                            </w:pPr>
                            <w:r w:rsidRPr="00DA64C8">
                              <w:rPr>
                                <w:b/>
                                <w:color w:val="FFFFFF" w:themeColor="background1"/>
                                <w:u w:val="single"/>
                              </w:rPr>
                              <w:t xml:space="preserve">Hlavné odporúčania IJ ÚV </w:t>
                            </w:r>
                            <w:r>
                              <w:rPr>
                                <w:b/>
                                <w:color w:val="FFFFFF" w:themeColor="background1"/>
                                <w:u w:val="single"/>
                              </w:rPr>
                              <w:t xml:space="preserve">SR </w:t>
                            </w:r>
                            <w:r w:rsidRPr="00DA64C8">
                              <w:rPr>
                                <w:b/>
                                <w:color w:val="FFFFFF" w:themeColor="background1"/>
                                <w:u w:val="single"/>
                              </w:rPr>
                              <w:t>pre MŠVVaŠ SR do 31.12.20</w:t>
                            </w:r>
                            <w:r>
                              <w:rPr>
                                <w:b/>
                                <w:color w:val="FFFFFF" w:themeColor="background1"/>
                                <w:u w:val="single"/>
                              </w:rPr>
                              <w:t>20</w:t>
                            </w:r>
                            <w:r w:rsidRPr="00DA64C8">
                              <w:rPr>
                                <w:b/>
                                <w:color w:val="FFFFFF" w:themeColor="background1"/>
                                <w:u w:val="single"/>
                              </w:rPr>
                              <w:t>:</w:t>
                            </w:r>
                          </w:p>
                          <w:p w14:paraId="51A701A9" w14:textId="77777777" w:rsidR="006C0687" w:rsidRDefault="006C0687" w:rsidP="00E66F49">
                            <w:pPr>
                              <w:pStyle w:val="Odsekzoznamu"/>
                              <w:numPr>
                                <w:ilvl w:val="0"/>
                                <w:numId w:val="4"/>
                              </w:numPr>
                              <w:spacing w:after="0" w:line="276" w:lineRule="auto"/>
                              <w:jc w:val="left"/>
                              <w:rPr>
                                <w:color w:val="FFFFFF" w:themeColor="background1"/>
                              </w:rPr>
                            </w:pPr>
                            <w:r w:rsidRPr="00DA64C8">
                              <w:rPr>
                                <w:color w:val="FFFFFF" w:themeColor="background1"/>
                              </w:rPr>
                              <w:t>Predložiť na rokovanie vlády SR úpravu legislatívy, ktorá podporí racionalizáciu siete škôl</w:t>
                            </w:r>
                          </w:p>
                          <w:p w14:paraId="0EF78165" w14:textId="77777777" w:rsidR="006C0687" w:rsidRPr="00CB782B" w:rsidRDefault="006C0687" w:rsidP="00E66F49">
                            <w:pPr>
                              <w:pStyle w:val="Odsekzoznamu"/>
                              <w:numPr>
                                <w:ilvl w:val="0"/>
                                <w:numId w:val="4"/>
                              </w:numPr>
                              <w:spacing w:after="0" w:line="276" w:lineRule="auto"/>
                              <w:jc w:val="left"/>
                              <w:rPr>
                                <w:color w:val="FFFFFF" w:themeColor="background1"/>
                              </w:rPr>
                            </w:pPr>
                            <w:r>
                              <w:rPr>
                                <w:color w:val="FFFFFF" w:themeColor="background1"/>
                              </w:rPr>
                              <w:t>V</w:t>
                            </w:r>
                            <w:r w:rsidRPr="00CB782B">
                              <w:rPr>
                                <w:color w:val="FFFFFF" w:themeColor="background1"/>
                              </w:rPr>
                              <w:t xml:space="preserve">yhodnotiť a zverejniť prínosy schváleného </w:t>
                            </w:r>
                            <w:r>
                              <w:rPr>
                                <w:color w:val="FFFFFF" w:themeColor="background1"/>
                              </w:rPr>
                              <w:t xml:space="preserve">nového zákona o pedagogických a odborných zamestnancoch ku zvýšeniu kvality poskytovaného vzdelávania </w:t>
                            </w:r>
                          </w:p>
                          <w:p w14:paraId="482BC0BB" w14:textId="77777777" w:rsidR="006C0687" w:rsidRPr="00DA64C8" w:rsidRDefault="006C0687" w:rsidP="00E66F49">
                            <w:pPr>
                              <w:pStyle w:val="Odsekzoznamu"/>
                              <w:numPr>
                                <w:ilvl w:val="0"/>
                                <w:numId w:val="4"/>
                              </w:numPr>
                              <w:spacing w:after="0" w:line="276" w:lineRule="auto"/>
                              <w:jc w:val="left"/>
                              <w:rPr>
                                <w:color w:val="FFFFFF" w:themeColor="background1"/>
                              </w:rPr>
                            </w:pPr>
                            <w:r w:rsidRPr="00DA64C8">
                              <w:rPr>
                                <w:color w:val="FFFFFF" w:themeColor="background1"/>
                              </w:rPr>
                              <w:t>Spustiť proces centrálneho obstarávania vybraných služieb</w:t>
                            </w:r>
                          </w:p>
                          <w:p w14:paraId="518D92E2" w14:textId="77777777" w:rsidR="006C0687" w:rsidRDefault="006C0687" w:rsidP="00E66F49">
                            <w:pPr>
                              <w:pStyle w:val="Odsekzoznamu"/>
                              <w:numPr>
                                <w:ilvl w:val="0"/>
                                <w:numId w:val="4"/>
                              </w:numPr>
                              <w:spacing w:after="0" w:line="276" w:lineRule="auto"/>
                              <w:jc w:val="left"/>
                              <w:rPr>
                                <w:color w:val="FFFFFF" w:themeColor="background1"/>
                              </w:rPr>
                            </w:pPr>
                            <w:r w:rsidRPr="00DA64C8">
                              <w:rPr>
                                <w:color w:val="FFFFFF" w:themeColor="background1"/>
                              </w:rPr>
                              <w:t>Zverejniť ročné vyhodnotenie kvartálnych odpočtov úloh PRO v súlade s uzatvorenými kontraktmi</w:t>
                            </w:r>
                          </w:p>
                          <w:p w14:paraId="3F48D6D9" w14:textId="77777777" w:rsidR="006C0687" w:rsidRPr="00DA64C8" w:rsidRDefault="006C0687" w:rsidP="00E66F49">
                            <w:pPr>
                              <w:pStyle w:val="Odsekzoznamu"/>
                              <w:numPr>
                                <w:ilvl w:val="0"/>
                                <w:numId w:val="4"/>
                              </w:numPr>
                              <w:spacing w:after="0" w:line="276" w:lineRule="auto"/>
                              <w:jc w:val="left"/>
                              <w:rPr>
                                <w:color w:val="FFFFFF" w:themeColor="background1"/>
                              </w:rPr>
                            </w:pPr>
                            <w:r>
                              <w:rPr>
                                <w:color w:val="FFFFFF" w:themeColor="background1"/>
                              </w:rPr>
                              <w:t>Predložiť IJ ÚV SR d</w:t>
                            </w:r>
                            <w:r w:rsidRPr="00C438CC">
                              <w:rPr>
                                <w:color w:val="FFFFFF" w:themeColor="background1"/>
                              </w:rPr>
                              <w:t>elimitačný protokol NÚCŽV a kalkuláciu očakávaných budúcich prínosov zlúčenia so ŠIOV</w:t>
                            </w:r>
                          </w:p>
                          <w:p w14:paraId="68670823" w14:textId="77777777" w:rsidR="006C0687" w:rsidRPr="00DA64C8" w:rsidRDefault="006C0687" w:rsidP="00A16A5C">
                            <w:pPr>
                              <w:pStyle w:val="Odsekzoznamu"/>
                              <w:spacing w:line="276" w:lineRule="auto"/>
                              <w:ind w:left="360"/>
                              <w:rPr>
                                <w:color w:val="FFFFFF" w:themeColor="background1"/>
                              </w:rPr>
                            </w:pPr>
                          </w:p>
                          <w:p w14:paraId="53B02797" w14:textId="77777777" w:rsidR="006C0687" w:rsidRPr="006060E7" w:rsidRDefault="006C0687" w:rsidP="00D938FC">
                            <w:pPr>
                              <w:spacing w:line="276" w:lineRule="auto"/>
                              <w:jc w:val="left"/>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434A12E" id="Textové pole 19" o:spid="_x0000_s1030" type="#_x0000_t202" style="position:absolute;left:0;text-align:left;margin-left:400.4pt;margin-top:27.75pt;width:451.6pt;height:181.6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" fillcolor="#0070c0" strokecolor="#4472c4" strokeweight="1pt">
                <v:textbox>
                  <w:txbxContent>
                    <w:p w14:paraId="5F30EB49" w14:textId="77777777" w:rsidR="006C0687" w:rsidRPr="00DA64C8" w:rsidRDefault="006C0687" w:rsidP="00D27F91">
                      <w:pPr>
                        <w:spacing w:after="0" w:line="276" w:lineRule="auto"/>
                        <w:jc w:val="left"/>
                        <w:rPr>
                          <w:b/>
                          <w:color w:val="FFFFFF" w:themeColor="background1"/>
                          <w:u w:val="single"/>
                        </w:rPr>
                      </w:pPr>
                      <w:r w:rsidRPr="00DA64C8">
                        <w:rPr>
                          <w:b/>
                          <w:color w:val="FFFFFF" w:themeColor="background1"/>
                          <w:u w:val="single"/>
                        </w:rPr>
                        <w:t xml:space="preserve">Hlavné odporúčania IJ ÚV </w:t>
                      </w:r>
                      <w:r>
                        <w:rPr>
                          <w:b/>
                          <w:color w:val="FFFFFF" w:themeColor="background1"/>
                          <w:u w:val="single"/>
                        </w:rPr>
                        <w:t xml:space="preserve">SR </w:t>
                      </w:r>
                      <w:r w:rsidRPr="00DA64C8">
                        <w:rPr>
                          <w:b/>
                          <w:color w:val="FFFFFF" w:themeColor="background1"/>
                          <w:u w:val="single"/>
                        </w:rPr>
                        <w:t xml:space="preserve">pre MŠVVaŠ SR do </w:t>
                      </w:r>
                      <w:r>
                        <w:rPr>
                          <w:b/>
                          <w:color w:val="FFFFFF" w:themeColor="background1"/>
                          <w:u w:val="single"/>
                        </w:rPr>
                        <w:t>30.6.2020</w:t>
                      </w:r>
                      <w:r w:rsidRPr="00DA64C8">
                        <w:rPr>
                          <w:b/>
                          <w:color w:val="FFFFFF" w:themeColor="background1"/>
                          <w:u w:val="single"/>
                        </w:rPr>
                        <w:t>:</w:t>
                      </w:r>
                    </w:p>
                    <w:p w14:paraId="72BF320C" w14:textId="77777777" w:rsidR="006C0687" w:rsidRPr="00DA64C8" w:rsidRDefault="006C0687" w:rsidP="00E66F49">
                      <w:pPr>
                        <w:pStyle w:val="Odsekzoznamu"/>
                        <w:numPr>
                          <w:ilvl w:val="0"/>
                          <w:numId w:val="4"/>
                        </w:numPr>
                        <w:spacing w:after="0" w:line="276" w:lineRule="auto"/>
                        <w:jc w:val="left"/>
                        <w:rPr>
                          <w:color w:val="FFFFFF" w:themeColor="background1"/>
                        </w:rPr>
                      </w:pPr>
                      <w:r>
                        <w:rPr>
                          <w:color w:val="FFFFFF" w:themeColor="background1"/>
                        </w:rPr>
                        <w:t>Zverejniť</w:t>
                      </w:r>
                      <w:r w:rsidRPr="00DA64C8">
                        <w:rPr>
                          <w:color w:val="FFFFFF" w:themeColor="background1"/>
                        </w:rPr>
                        <w:t xml:space="preserve"> v súlade s platnou legislatívou </w:t>
                      </w:r>
                      <w:r>
                        <w:rPr>
                          <w:color w:val="FFFFFF" w:themeColor="background1"/>
                        </w:rPr>
                        <w:t xml:space="preserve">odporúčané </w:t>
                      </w:r>
                      <w:r w:rsidRPr="00DA64C8">
                        <w:rPr>
                          <w:color w:val="FFFFFF" w:themeColor="background1"/>
                        </w:rPr>
                        <w:t>štandardizované dotazníky na hodnotenie kvality uskutočňovaného vzdelávania</w:t>
                      </w:r>
                    </w:p>
                    <w:p w14:paraId="2BEFF118" w14:textId="77777777" w:rsidR="006C0687" w:rsidRDefault="006C0687" w:rsidP="00D27F91">
                      <w:pPr>
                        <w:spacing w:after="0" w:line="276" w:lineRule="auto"/>
                        <w:jc w:val="left"/>
                        <w:rPr>
                          <w:b/>
                          <w:color w:val="FFFFFF" w:themeColor="background1"/>
                          <w:u w:val="single"/>
                        </w:rPr>
                      </w:pPr>
                    </w:p>
                    <w:p w14:paraId="2F00ED94" w14:textId="77777777" w:rsidR="006C0687" w:rsidRPr="00DA64C8" w:rsidRDefault="006C0687" w:rsidP="00D27F91">
                      <w:pPr>
                        <w:spacing w:after="0" w:line="276" w:lineRule="auto"/>
                        <w:jc w:val="left"/>
                        <w:rPr>
                          <w:b/>
                          <w:color w:val="FFFFFF" w:themeColor="background1"/>
                          <w:u w:val="single"/>
                        </w:rPr>
                      </w:pPr>
                      <w:r w:rsidRPr="00DA64C8">
                        <w:rPr>
                          <w:b/>
                          <w:color w:val="FFFFFF" w:themeColor="background1"/>
                          <w:u w:val="single"/>
                        </w:rPr>
                        <w:t xml:space="preserve">Hlavné odporúčania IJ ÚV </w:t>
                      </w:r>
                      <w:r>
                        <w:rPr>
                          <w:b/>
                          <w:color w:val="FFFFFF" w:themeColor="background1"/>
                          <w:u w:val="single"/>
                        </w:rPr>
                        <w:t xml:space="preserve">SR </w:t>
                      </w:r>
                      <w:r w:rsidRPr="00DA64C8">
                        <w:rPr>
                          <w:b/>
                          <w:color w:val="FFFFFF" w:themeColor="background1"/>
                          <w:u w:val="single"/>
                        </w:rPr>
                        <w:t>pre MŠVVaŠ SR do 31.12.20</w:t>
                      </w:r>
                      <w:r>
                        <w:rPr>
                          <w:b/>
                          <w:color w:val="FFFFFF" w:themeColor="background1"/>
                          <w:u w:val="single"/>
                        </w:rPr>
                        <w:t>20</w:t>
                      </w:r>
                      <w:r w:rsidRPr="00DA64C8">
                        <w:rPr>
                          <w:b/>
                          <w:color w:val="FFFFFF" w:themeColor="background1"/>
                          <w:u w:val="single"/>
                        </w:rPr>
                        <w:t>:</w:t>
                      </w:r>
                    </w:p>
                    <w:p w14:paraId="51A701A9" w14:textId="77777777" w:rsidR="006C0687" w:rsidRDefault="006C0687" w:rsidP="00E66F49">
                      <w:pPr>
                        <w:pStyle w:val="Odsekzoznamu"/>
                        <w:numPr>
                          <w:ilvl w:val="0"/>
                          <w:numId w:val="4"/>
                        </w:numPr>
                        <w:spacing w:after="0" w:line="276" w:lineRule="auto"/>
                        <w:jc w:val="left"/>
                        <w:rPr>
                          <w:color w:val="FFFFFF" w:themeColor="background1"/>
                        </w:rPr>
                      </w:pPr>
                      <w:r w:rsidRPr="00DA64C8">
                        <w:rPr>
                          <w:color w:val="FFFFFF" w:themeColor="background1"/>
                        </w:rPr>
                        <w:t>Predložiť na rokovanie vlády SR úpravu legislatívy, ktorá podporí racionalizáciu siete škôl</w:t>
                      </w:r>
                    </w:p>
                    <w:p w14:paraId="0EF78165" w14:textId="77777777" w:rsidR="006C0687" w:rsidRPr="00CB782B" w:rsidRDefault="006C0687" w:rsidP="00E66F49">
                      <w:pPr>
                        <w:pStyle w:val="Odsekzoznamu"/>
                        <w:numPr>
                          <w:ilvl w:val="0"/>
                          <w:numId w:val="4"/>
                        </w:numPr>
                        <w:spacing w:after="0" w:line="276" w:lineRule="auto"/>
                        <w:jc w:val="left"/>
                        <w:rPr>
                          <w:color w:val="FFFFFF" w:themeColor="background1"/>
                        </w:rPr>
                      </w:pPr>
                      <w:r>
                        <w:rPr>
                          <w:color w:val="FFFFFF" w:themeColor="background1"/>
                        </w:rPr>
                        <w:t>V</w:t>
                      </w:r>
                      <w:r w:rsidRPr="00CB782B">
                        <w:rPr>
                          <w:color w:val="FFFFFF" w:themeColor="background1"/>
                        </w:rPr>
                        <w:t xml:space="preserve">yhodnotiť a zverejniť prínosy schváleného </w:t>
                      </w:r>
                      <w:r>
                        <w:rPr>
                          <w:color w:val="FFFFFF" w:themeColor="background1"/>
                        </w:rPr>
                        <w:t xml:space="preserve">nového zákona o pedagogických a odborných zamestnancoch ku zvýšeniu kvality poskytovaného vzdelávania </w:t>
                      </w:r>
                    </w:p>
                    <w:p w14:paraId="482BC0BB" w14:textId="77777777" w:rsidR="006C0687" w:rsidRPr="00DA64C8" w:rsidRDefault="006C0687" w:rsidP="00E66F49">
                      <w:pPr>
                        <w:pStyle w:val="Odsekzoznamu"/>
                        <w:numPr>
                          <w:ilvl w:val="0"/>
                          <w:numId w:val="4"/>
                        </w:numPr>
                        <w:spacing w:after="0" w:line="276" w:lineRule="auto"/>
                        <w:jc w:val="left"/>
                        <w:rPr>
                          <w:color w:val="FFFFFF" w:themeColor="background1"/>
                        </w:rPr>
                      </w:pPr>
                      <w:r w:rsidRPr="00DA64C8">
                        <w:rPr>
                          <w:color w:val="FFFFFF" w:themeColor="background1"/>
                        </w:rPr>
                        <w:t>Spustiť proces centrálneho obstarávania vybraných služieb</w:t>
                      </w:r>
                    </w:p>
                    <w:p w14:paraId="518D92E2" w14:textId="77777777" w:rsidR="006C0687" w:rsidRDefault="006C0687" w:rsidP="00E66F49">
                      <w:pPr>
                        <w:pStyle w:val="Odsekzoznamu"/>
                        <w:numPr>
                          <w:ilvl w:val="0"/>
                          <w:numId w:val="4"/>
                        </w:numPr>
                        <w:spacing w:after="0" w:line="276" w:lineRule="auto"/>
                        <w:jc w:val="left"/>
                        <w:rPr>
                          <w:color w:val="FFFFFF" w:themeColor="background1"/>
                        </w:rPr>
                      </w:pPr>
                      <w:r w:rsidRPr="00DA64C8">
                        <w:rPr>
                          <w:color w:val="FFFFFF" w:themeColor="background1"/>
                        </w:rPr>
                        <w:t>Zverejniť ročné vyhodnotenie kvartálnych odpočtov úloh PRO v súlade s uzatvorenými kontraktmi</w:t>
                      </w:r>
                    </w:p>
                    <w:p w14:paraId="3F48D6D9" w14:textId="77777777" w:rsidR="006C0687" w:rsidRPr="00DA64C8" w:rsidRDefault="006C0687" w:rsidP="00E66F49">
                      <w:pPr>
                        <w:pStyle w:val="Odsekzoznamu"/>
                        <w:numPr>
                          <w:ilvl w:val="0"/>
                          <w:numId w:val="4"/>
                        </w:numPr>
                        <w:spacing w:after="0" w:line="276" w:lineRule="auto"/>
                        <w:jc w:val="left"/>
                        <w:rPr>
                          <w:color w:val="FFFFFF" w:themeColor="background1"/>
                        </w:rPr>
                      </w:pPr>
                      <w:r>
                        <w:rPr>
                          <w:color w:val="FFFFFF" w:themeColor="background1"/>
                        </w:rPr>
                        <w:t>Predložiť IJ ÚV SR d</w:t>
                      </w:r>
                      <w:r w:rsidRPr="00C438CC">
                        <w:rPr>
                          <w:color w:val="FFFFFF" w:themeColor="background1"/>
                        </w:rPr>
                        <w:t>elimitačný protokol NÚCŽV a kalkuláciu očakávaných budúcich prínosov zlúčenia so ŠIOV</w:t>
                      </w:r>
                    </w:p>
                    <w:p w14:paraId="68670823" w14:textId="77777777" w:rsidR="006C0687" w:rsidRPr="00DA64C8" w:rsidRDefault="006C0687" w:rsidP="00A16A5C">
                      <w:pPr>
                        <w:pStyle w:val="Odsekzoznamu"/>
                        <w:spacing w:line="276" w:lineRule="auto"/>
                        <w:ind w:left="360"/>
                        <w:rPr>
                          <w:color w:val="FFFFFF" w:themeColor="background1"/>
                        </w:rPr>
                      </w:pPr>
                    </w:p>
                    <w:p w14:paraId="53B02797" w14:textId="77777777" w:rsidR="006C0687" w:rsidRPr="006060E7" w:rsidRDefault="006C0687" w:rsidP="00D938FC">
                      <w:pPr>
                        <w:spacing w:line="276" w:lineRule="auto"/>
                        <w:jc w:val="left"/>
                        <w:rPr>
                          <w:b/>
                          <w:color w:val="FFFFFF" w:themeColor="background1"/>
                        </w:rPr>
                      </w:pPr>
                    </w:p>
                  </w:txbxContent>
                </v:textbox>
                <w10:wrap type="through" anchorx="margin"/>
              </v:shape>
            </w:pict>
          </mc:Fallback>
        </mc:AlternateContent>
      </w:r>
      <w:bookmarkStart w:id="283" w:name="_Toc523732858"/>
      <w:bookmarkStart w:id="284" w:name="_Toc6322004"/>
    </w:p>
    <w:p w14:paraId="580368F8" w14:textId="77777777" w:rsidR="00E66F49" w:rsidRPr="00666914" w:rsidRDefault="00E66F49" w:rsidP="00D27F91">
      <w:pPr>
        <w:spacing w:after="0"/>
        <w:jc w:val="left"/>
        <w:rPr>
          <w:b/>
          <w:sz w:val="20"/>
        </w:rPr>
      </w:pPr>
    </w:p>
    <w:p w14:paraId="15DEE3EA" w14:textId="77777777" w:rsidR="00E66F49" w:rsidRPr="00666914" w:rsidRDefault="00E66F49" w:rsidP="00D27F91">
      <w:pPr>
        <w:spacing w:after="0"/>
        <w:jc w:val="left"/>
        <w:rPr>
          <w:b/>
          <w:sz w:val="20"/>
        </w:rPr>
      </w:pPr>
    </w:p>
    <w:p w14:paraId="22DA381D" w14:textId="77777777" w:rsidR="00E66F49" w:rsidRPr="00666914" w:rsidRDefault="00E66F49" w:rsidP="00D27F91">
      <w:pPr>
        <w:spacing w:after="0"/>
        <w:jc w:val="left"/>
        <w:rPr>
          <w:b/>
          <w:sz w:val="20"/>
        </w:rPr>
      </w:pPr>
    </w:p>
    <w:p w14:paraId="28A77B8A" w14:textId="77777777" w:rsidR="00E66F49" w:rsidRPr="00666914" w:rsidRDefault="00E66F49" w:rsidP="00D27F91">
      <w:pPr>
        <w:spacing w:after="0"/>
        <w:jc w:val="left"/>
        <w:rPr>
          <w:b/>
          <w:sz w:val="20"/>
        </w:rPr>
      </w:pPr>
    </w:p>
    <w:p w14:paraId="3C3B3027" w14:textId="77777777" w:rsidR="00E66F49" w:rsidRPr="00666914" w:rsidRDefault="00E66F49" w:rsidP="00D27F91">
      <w:pPr>
        <w:spacing w:after="0"/>
        <w:jc w:val="left"/>
        <w:rPr>
          <w:b/>
          <w:sz w:val="20"/>
        </w:rPr>
      </w:pPr>
    </w:p>
    <w:p w14:paraId="45B32BE6" w14:textId="77777777" w:rsidR="00E66F49" w:rsidRPr="00666914" w:rsidRDefault="00E66F49" w:rsidP="00D27F91">
      <w:pPr>
        <w:spacing w:after="0"/>
        <w:jc w:val="left"/>
        <w:rPr>
          <w:b/>
          <w:sz w:val="20"/>
        </w:rPr>
      </w:pPr>
    </w:p>
    <w:p w14:paraId="05A7E755" w14:textId="77777777" w:rsidR="00E66F49" w:rsidRPr="00666914" w:rsidRDefault="00E66F49" w:rsidP="00D27F91">
      <w:pPr>
        <w:spacing w:after="0"/>
        <w:jc w:val="left"/>
        <w:rPr>
          <w:b/>
          <w:sz w:val="20"/>
        </w:rPr>
      </w:pPr>
    </w:p>
    <w:p w14:paraId="15625404" w14:textId="77777777" w:rsidR="00E66F49" w:rsidRPr="00666914" w:rsidRDefault="00E66F49" w:rsidP="00D27F91">
      <w:pPr>
        <w:spacing w:after="0"/>
        <w:jc w:val="left"/>
        <w:rPr>
          <w:b/>
          <w:sz w:val="20"/>
        </w:rPr>
      </w:pPr>
    </w:p>
    <w:p w14:paraId="783DD067" w14:textId="77777777" w:rsidR="00E66F49" w:rsidRPr="00666914" w:rsidRDefault="00E66F49" w:rsidP="00D27F91">
      <w:pPr>
        <w:spacing w:after="0"/>
        <w:jc w:val="left"/>
        <w:rPr>
          <w:b/>
          <w:sz w:val="20"/>
        </w:rPr>
      </w:pPr>
    </w:p>
    <w:p w14:paraId="7670ED09" w14:textId="77777777" w:rsidR="00E66F49" w:rsidRPr="00666914" w:rsidRDefault="00E66F49" w:rsidP="00D27F91">
      <w:pPr>
        <w:spacing w:after="0"/>
        <w:jc w:val="left"/>
        <w:rPr>
          <w:b/>
          <w:sz w:val="20"/>
        </w:rPr>
      </w:pPr>
    </w:p>
    <w:p w14:paraId="65426894" w14:textId="77777777" w:rsidR="00E66F49" w:rsidRPr="00666914" w:rsidRDefault="00E66F49" w:rsidP="00D27F91">
      <w:pPr>
        <w:spacing w:after="0"/>
        <w:jc w:val="left"/>
        <w:rPr>
          <w:b/>
          <w:sz w:val="20"/>
        </w:rPr>
      </w:pPr>
    </w:p>
    <w:p w14:paraId="3FB2EEC6" w14:textId="77777777" w:rsidR="00E66F49" w:rsidRPr="00666914" w:rsidRDefault="00E66F49" w:rsidP="00D27F91">
      <w:pPr>
        <w:spacing w:after="0"/>
        <w:jc w:val="left"/>
        <w:rPr>
          <w:b/>
          <w:sz w:val="20"/>
        </w:rPr>
      </w:pPr>
    </w:p>
    <w:p w14:paraId="4E7F092E" w14:textId="77777777" w:rsidR="00E66F49" w:rsidRPr="00666914" w:rsidRDefault="00E66F49" w:rsidP="00D27F91">
      <w:pPr>
        <w:spacing w:after="0"/>
        <w:jc w:val="left"/>
        <w:rPr>
          <w:b/>
          <w:sz w:val="20"/>
        </w:rPr>
      </w:pPr>
    </w:p>
    <w:p w14:paraId="7A900F16" w14:textId="77777777" w:rsidR="00E66F49" w:rsidRPr="00666914" w:rsidRDefault="00E66F49" w:rsidP="00D27F91">
      <w:pPr>
        <w:jc w:val="left"/>
        <w:rPr>
          <w:b/>
          <w:sz w:val="20"/>
        </w:rPr>
      </w:pPr>
      <w:r w:rsidRPr="00666914">
        <w:rPr>
          <w:b/>
          <w:sz w:val="20"/>
        </w:rPr>
        <w:br w:type="page"/>
      </w:r>
    </w:p>
    <w:p w14:paraId="039FB5FB" w14:textId="3F86B5E2" w:rsidR="00E66F49" w:rsidRPr="00666914" w:rsidRDefault="00E66F49" w:rsidP="00D27F91">
      <w:pPr>
        <w:spacing w:after="0"/>
        <w:jc w:val="left"/>
        <w:rPr>
          <w:b/>
          <w:sz w:val="20"/>
        </w:rPr>
      </w:pPr>
      <w:bookmarkStart w:id="285" w:name="_Toc38447715"/>
      <w:r w:rsidRPr="00666914">
        <w:rPr>
          <w:b/>
          <w:sz w:val="20"/>
        </w:rPr>
        <w:lastRenderedPageBreak/>
        <w:t xml:space="preserve">Tabuľka </w:t>
      </w:r>
      <w:r w:rsidRPr="00666914">
        <w:rPr>
          <w:b/>
          <w:sz w:val="20"/>
        </w:rPr>
        <w:fldChar w:fldCharType="begin"/>
      </w:r>
      <w:r w:rsidRPr="00666914">
        <w:rPr>
          <w:b/>
          <w:sz w:val="20"/>
        </w:rPr>
        <w:instrText xml:space="preserve"> SEQ Tabuľka \* ARABIC \* MERGEFORMAT </w:instrText>
      </w:r>
      <w:r w:rsidRPr="00666914">
        <w:rPr>
          <w:b/>
          <w:sz w:val="20"/>
        </w:rPr>
        <w:fldChar w:fldCharType="separate"/>
      </w:r>
      <w:r w:rsidR="005A7304">
        <w:rPr>
          <w:b/>
          <w:noProof/>
          <w:sz w:val="20"/>
        </w:rPr>
        <w:t>54</w:t>
      </w:r>
      <w:r w:rsidRPr="00666914">
        <w:rPr>
          <w:b/>
          <w:sz w:val="20"/>
        </w:rPr>
        <w:fldChar w:fldCharType="end"/>
      </w:r>
      <w:r w:rsidRPr="00666914">
        <w:rPr>
          <w:b/>
          <w:sz w:val="20"/>
        </w:rPr>
        <w:t xml:space="preserve">: Plnenie opatrení Revízie výdavkov na vzdelávanie </w:t>
      </w:r>
      <w:bookmarkEnd w:id="283"/>
      <w:r w:rsidRPr="00666914">
        <w:rPr>
          <w:b/>
          <w:sz w:val="20"/>
        </w:rPr>
        <w:t xml:space="preserve">v roku </w:t>
      </w:r>
      <w:bookmarkEnd w:id="284"/>
      <w:r w:rsidRPr="00666914">
        <w:rPr>
          <w:b/>
          <w:sz w:val="20"/>
        </w:rPr>
        <w:t>2019</w:t>
      </w:r>
      <w:bookmarkEnd w:id="285"/>
    </w:p>
    <w:tbl>
      <w:tblPr>
        <w:tblW w:w="53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3407"/>
        <w:gridCol w:w="1473"/>
        <w:gridCol w:w="1031"/>
        <w:gridCol w:w="1176"/>
        <w:gridCol w:w="608"/>
        <w:gridCol w:w="608"/>
        <w:gridCol w:w="608"/>
        <w:gridCol w:w="598"/>
      </w:tblGrid>
      <w:tr w:rsidR="00E66F49" w:rsidRPr="00666914" w14:paraId="69A96896" w14:textId="77777777" w:rsidTr="00D27F91">
        <w:trPr>
          <w:trHeight w:val="316"/>
          <w:tblHeader/>
        </w:trPr>
        <w:tc>
          <w:tcPr>
            <w:tcW w:w="212" w:type="pct"/>
            <w:shd w:val="clear" w:color="auto" w:fill="auto"/>
            <w:noWrap/>
            <w:vAlign w:val="center"/>
            <w:hideMark/>
          </w:tcPr>
          <w:p w14:paraId="211522BF" w14:textId="77777777" w:rsidR="00E66F49" w:rsidRPr="00666914" w:rsidRDefault="00E66F49" w:rsidP="00D27F91">
            <w:pPr>
              <w:spacing w:after="0"/>
              <w:jc w:val="center"/>
              <w:rPr>
                <w:rFonts w:eastAsia="Times New Roman"/>
                <w:b/>
                <w:bCs/>
                <w:color w:val="000000"/>
                <w:sz w:val="20"/>
                <w:szCs w:val="20"/>
                <w:lang w:eastAsia="sk-SK"/>
              </w:rPr>
            </w:pPr>
          </w:p>
        </w:tc>
        <w:tc>
          <w:tcPr>
            <w:tcW w:w="1716" w:type="pct"/>
            <w:shd w:val="clear" w:color="auto" w:fill="auto"/>
            <w:noWrap/>
            <w:vAlign w:val="center"/>
            <w:hideMark/>
          </w:tcPr>
          <w:p w14:paraId="42E2B495"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VZDELÁVANIE</w:t>
            </w:r>
          </w:p>
        </w:tc>
        <w:tc>
          <w:tcPr>
            <w:tcW w:w="742" w:type="pct"/>
            <w:shd w:val="clear" w:color="auto" w:fill="auto"/>
            <w:noWrap/>
            <w:vAlign w:val="center"/>
            <w:hideMark/>
          </w:tcPr>
          <w:p w14:paraId="0E367EA4"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Zodpovednosť</w:t>
            </w:r>
          </w:p>
        </w:tc>
        <w:tc>
          <w:tcPr>
            <w:tcW w:w="519" w:type="pct"/>
            <w:shd w:val="clear" w:color="auto" w:fill="auto"/>
            <w:noWrap/>
            <w:vAlign w:val="center"/>
            <w:hideMark/>
          </w:tcPr>
          <w:p w14:paraId="5BA50A21"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Termín plnenia</w:t>
            </w:r>
          </w:p>
        </w:tc>
        <w:tc>
          <w:tcPr>
            <w:tcW w:w="592" w:type="pct"/>
            <w:vAlign w:val="center"/>
          </w:tcPr>
          <w:p w14:paraId="658288CD"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Nový termín plnenia</w:t>
            </w:r>
            <w:r w:rsidRPr="00666914">
              <w:rPr>
                <w:rStyle w:val="Odkaznapoznmkupodiarou"/>
                <w:rFonts w:eastAsia="Times New Roman"/>
                <w:b/>
                <w:bCs/>
                <w:color w:val="000000"/>
                <w:sz w:val="20"/>
                <w:szCs w:val="20"/>
                <w:lang w:eastAsia="sk-SK"/>
              </w:rPr>
              <w:footnoteReference w:id="157"/>
            </w:r>
          </w:p>
        </w:tc>
        <w:tc>
          <w:tcPr>
            <w:tcW w:w="306" w:type="pct"/>
            <w:shd w:val="clear" w:color="auto" w:fill="auto"/>
            <w:noWrap/>
            <w:vAlign w:val="center"/>
            <w:hideMark/>
          </w:tcPr>
          <w:p w14:paraId="5BC70121"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1Q 2019</w:t>
            </w:r>
          </w:p>
        </w:tc>
        <w:tc>
          <w:tcPr>
            <w:tcW w:w="306" w:type="pct"/>
            <w:shd w:val="clear" w:color="auto" w:fill="auto"/>
            <w:noWrap/>
            <w:vAlign w:val="center"/>
            <w:hideMark/>
          </w:tcPr>
          <w:p w14:paraId="7C8334F6"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2Q 2019</w:t>
            </w:r>
          </w:p>
        </w:tc>
        <w:tc>
          <w:tcPr>
            <w:tcW w:w="306" w:type="pct"/>
            <w:shd w:val="clear" w:color="auto" w:fill="auto"/>
            <w:noWrap/>
            <w:vAlign w:val="center"/>
            <w:hideMark/>
          </w:tcPr>
          <w:p w14:paraId="5093C9BC"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3Q 2019</w:t>
            </w:r>
          </w:p>
        </w:tc>
        <w:tc>
          <w:tcPr>
            <w:tcW w:w="301" w:type="pct"/>
            <w:shd w:val="clear" w:color="auto" w:fill="auto"/>
            <w:noWrap/>
            <w:vAlign w:val="center"/>
            <w:hideMark/>
          </w:tcPr>
          <w:p w14:paraId="50AF219D"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4Q 2019</w:t>
            </w:r>
          </w:p>
        </w:tc>
      </w:tr>
      <w:tr w:rsidR="00E66F49" w:rsidRPr="00666914" w14:paraId="5992C81D" w14:textId="77777777" w:rsidTr="00D27F91">
        <w:trPr>
          <w:trHeight w:val="302"/>
        </w:trPr>
        <w:tc>
          <w:tcPr>
            <w:tcW w:w="5000" w:type="pct"/>
            <w:gridSpan w:val="9"/>
            <w:vAlign w:val="center"/>
          </w:tcPr>
          <w:p w14:paraId="231E398E" w14:textId="77777777" w:rsidR="00E66F49" w:rsidRPr="00666914" w:rsidRDefault="00E66F49" w:rsidP="00D27F91">
            <w:pPr>
              <w:spacing w:after="0"/>
              <w:jc w:val="center"/>
              <w:rPr>
                <w:rFonts w:eastAsia="Times New Roman"/>
                <w:b/>
                <w:color w:val="000000"/>
                <w:sz w:val="20"/>
                <w:szCs w:val="20"/>
                <w:lang w:eastAsia="sk-SK"/>
              </w:rPr>
            </w:pPr>
            <w:r w:rsidRPr="00666914">
              <w:rPr>
                <w:rFonts w:eastAsia="Times New Roman"/>
                <w:b/>
                <w:color w:val="000000"/>
                <w:sz w:val="20"/>
                <w:szCs w:val="20"/>
                <w:lang w:eastAsia="sk-SK"/>
              </w:rPr>
              <w:t>REGIONÁLNE ŠKOLSTVO</w:t>
            </w:r>
          </w:p>
        </w:tc>
      </w:tr>
      <w:tr w:rsidR="00E66F49" w:rsidRPr="00666914" w14:paraId="0DEEA638" w14:textId="77777777" w:rsidTr="00D27F91">
        <w:trPr>
          <w:trHeight w:val="302"/>
        </w:trPr>
        <w:tc>
          <w:tcPr>
            <w:tcW w:w="212" w:type="pct"/>
            <w:shd w:val="clear" w:color="auto" w:fill="auto"/>
            <w:vAlign w:val="center"/>
            <w:hideMark/>
          </w:tcPr>
          <w:p w14:paraId="6F13DDF8" w14:textId="77777777" w:rsidR="00E66F49" w:rsidRPr="00666914" w:rsidRDefault="00E66F49" w:rsidP="00D27F91">
            <w:pPr>
              <w:spacing w:after="0"/>
              <w:jc w:val="left"/>
              <w:rPr>
                <w:rFonts w:eastAsia="Times New Roman"/>
                <w:bCs/>
                <w:color w:val="000000"/>
                <w:sz w:val="20"/>
                <w:szCs w:val="20"/>
                <w:lang w:eastAsia="sk-SK"/>
              </w:rPr>
            </w:pPr>
            <w:r w:rsidRPr="00666914">
              <w:rPr>
                <w:rFonts w:eastAsia="Times New Roman"/>
                <w:bCs/>
                <w:color w:val="000000"/>
                <w:sz w:val="20"/>
                <w:szCs w:val="20"/>
                <w:lang w:eastAsia="sk-SK"/>
              </w:rPr>
              <w:t>1</w:t>
            </w:r>
          </w:p>
        </w:tc>
        <w:tc>
          <w:tcPr>
            <w:tcW w:w="1716" w:type="pct"/>
            <w:shd w:val="clear" w:color="auto" w:fill="auto"/>
            <w:vAlign w:val="center"/>
            <w:hideMark/>
          </w:tcPr>
          <w:p w14:paraId="68376056"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Prijať opatrenia na podporu racionalizácie siete základných škôl</w:t>
            </w:r>
          </w:p>
        </w:tc>
        <w:tc>
          <w:tcPr>
            <w:tcW w:w="742" w:type="pct"/>
            <w:shd w:val="clear" w:color="auto" w:fill="auto"/>
            <w:vAlign w:val="center"/>
            <w:hideMark/>
          </w:tcPr>
          <w:p w14:paraId="2F77BD27"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MŠVVaŠ SR</w:t>
            </w:r>
          </w:p>
        </w:tc>
        <w:tc>
          <w:tcPr>
            <w:tcW w:w="519" w:type="pct"/>
            <w:shd w:val="clear" w:color="auto" w:fill="auto"/>
            <w:vAlign w:val="center"/>
            <w:hideMark/>
          </w:tcPr>
          <w:p w14:paraId="1FA048F4"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2018-2020</w:t>
            </w:r>
          </w:p>
        </w:tc>
        <w:tc>
          <w:tcPr>
            <w:tcW w:w="592" w:type="pct"/>
            <w:vAlign w:val="center"/>
          </w:tcPr>
          <w:p w14:paraId="631B6C90" w14:textId="77777777" w:rsidR="00E66F49" w:rsidRPr="00666914" w:rsidRDefault="00E66F49" w:rsidP="00E66F49">
            <w:pPr>
              <w:pStyle w:val="Odsekzoznamu"/>
              <w:numPr>
                <w:ilvl w:val="0"/>
                <w:numId w:val="5"/>
              </w:numPr>
              <w:spacing w:after="0"/>
              <w:jc w:val="center"/>
              <w:rPr>
                <w:rFonts w:eastAsia="Times New Roman"/>
                <w:color w:val="000000" w:themeColor="text1"/>
                <w:sz w:val="20"/>
                <w:szCs w:val="20"/>
                <w:lang w:eastAsia="sk-SK"/>
              </w:rPr>
            </w:pPr>
          </w:p>
        </w:tc>
        <w:tc>
          <w:tcPr>
            <w:tcW w:w="306" w:type="pct"/>
            <w:shd w:val="clear" w:color="auto" w:fill="FF0000"/>
            <w:noWrap/>
            <w:vAlign w:val="bottom"/>
            <w:hideMark/>
          </w:tcPr>
          <w:p w14:paraId="2E20CBCC" w14:textId="77777777" w:rsidR="00E66F49" w:rsidRPr="00666914" w:rsidRDefault="00E66F49" w:rsidP="00D27F91">
            <w:pPr>
              <w:spacing w:after="0"/>
              <w:rPr>
                <w:rFonts w:eastAsia="Times New Roman"/>
                <w:color w:val="C00000"/>
                <w:sz w:val="20"/>
                <w:szCs w:val="20"/>
                <w:lang w:eastAsia="sk-SK"/>
              </w:rPr>
            </w:pPr>
            <w:r w:rsidRPr="00666914">
              <w:rPr>
                <w:rFonts w:eastAsia="Times New Roman"/>
                <w:color w:val="C00000"/>
                <w:sz w:val="20"/>
                <w:szCs w:val="20"/>
                <w:lang w:eastAsia="sk-SK"/>
              </w:rPr>
              <w:t> </w:t>
            </w:r>
          </w:p>
        </w:tc>
        <w:tc>
          <w:tcPr>
            <w:tcW w:w="306" w:type="pct"/>
            <w:shd w:val="clear" w:color="auto" w:fill="FF0000"/>
            <w:noWrap/>
            <w:vAlign w:val="bottom"/>
            <w:hideMark/>
          </w:tcPr>
          <w:p w14:paraId="3B3711C6" w14:textId="77777777" w:rsidR="00E66F49" w:rsidRPr="00666914" w:rsidRDefault="00E66F49" w:rsidP="00D27F91">
            <w:pPr>
              <w:spacing w:after="0"/>
              <w:rPr>
                <w:rFonts w:eastAsia="Times New Roman"/>
                <w:color w:val="FFFFFF" w:themeColor="background1"/>
                <w:sz w:val="20"/>
                <w:szCs w:val="20"/>
                <w:lang w:eastAsia="sk-SK"/>
              </w:rPr>
            </w:pPr>
            <w:r w:rsidRPr="00666914">
              <w:rPr>
                <w:rFonts w:eastAsia="Times New Roman"/>
                <w:color w:val="FFFFFF" w:themeColor="background1"/>
                <w:sz w:val="20"/>
                <w:szCs w:val="20"/>
                <w:lang w:eastAsia="sk-SK"/>
              </w:rPr>
              <w:t> </w:t>
            </w:r>
          </w:p>
        </w:tc>
        <w:tc>
          <w:tcPr>
            <w:tcW w:w="306" w:type="pct"/>
            <w:shd w:val="clear" w:color="auto" w:fill="FF0000"/>
            <w:noWrap/>
            <w:vAlign w:val="bottom"/>
            <w:hideMark/>
          </w:tcPr>
          <w:p w14:paraId="4AB1A967" w14:textId="77777777" w:rsidR="00E66F49" w:rsidRPr="00666914" w:rsidRDefault="00E66F49" w:rsidP="00D27F91">
            <w:pPr>
              <w:spacing w:after="0"/>
              <w:rPr>
                <w:rFonts w:eastAsia="Times New Roman"/>
                <w:color w:val="C00000"/>
                <w:sz w:val="20"/>
                <w:szCs w:val="20"/>
                <w:lang w:eastAsia="sk-SK"/>
              </w:rPr>
            </w:pPr>
            <w:r w:rsidRPr="00666914">
              <w:rPr>
                <w:rFonts w:eastAsia="Times New Roman"/>
                <w:color w:val="C00000"/>
                <w:sz w:val="20"/>
                <w:szCs w:val="20"/>
                <w:lang w:eastAsia="sk-SK"/>
              </w:rPr>
              <w:t> </w:t>
            </w:r>
          </w:p>
        </w:tc>
        <w:tc>
          <w:tcPr>
            <w:tcW w:w="301" w:type="pct"/>
            <w:shd w:val="clear" w:color="auto" w:fill="FF0000"/>
            <w:noWrap/>
            <w:vAlign w:val="bottom"/>
            <w:hideMark/>
          </w:tcPr>
          <w:p w14:paraId="1CBCB168" w14:textId="77777777" w:rsidR="00E66F49" w:rsidRPr="00666914" w:rsidRDefault="00E66F49" w:rsidP="00D27F91">
            <w:pPr>
              <w:spacing w:after="0"/>
              <w:rPr>
                <w:rFonts w:eastAsia="Times New Roman"/>
                <w:color w:val="C00000"/>
                <w:sz w:val="20"/>
                <w:szCs w:val="20"/>
                <w:lang w:eastAsia="sk-SK"/>
              </w:rPr>
            </w:pPr>
            <w:r w:rsidRPr="00666914">
              <w:rPr>
                <w:rFonts w:eastAsia="Times New Roman"/>
                <w:color w:val="C00000"/>
                <w:sz w:val="20"/>
                <w:szCs w:val="20"/>
                <w:lang w:eastAsia="sk-SK"/>
              </w:rPr>
              <w:t> </w:t>
            </w:r>
          </w:p>
        </w:tc>
      </w:tr>
      <w:tr w:rsidR="00E66F49" w:rsidRPr="00666914" w14:paraId="5C43980E" w14:textId="77777777" w:rsidTr="00D27F91">
        <w:trPr>
          <w:trHeight w:val="302"/>
        </w:trPr>
        <w:tc>
          <w:tcPr>
            <w:tcW w:w="212" w:type="pct"/>
            <w:shd w:val="clear" w:color="auto" w:fill="auto"/>
            <w:vAlign w:val="center"/>
            <w:hideMark/>
          </w:tcPr>
          <w:p w14:paraId="176B781B" w14:textId="77777777" w:rsidR="00E66F49" w:rsidRPr="00666914" w:rsidRDefault="00E66F49" w:rsidP="00D27F91">
            <w:pPr>
              <w:spacing w:after="0"/>
              <w:jc w:val="left"/>
              <w:rPr>
                <w:rFonts w:eastAsia="Times New Roman"/>
                <w:bCs/>
                <w:color w:val="000000"/>
                <w:sz w:val="20"/>
                <w:szCs w:val="20"/>
                <w:lang w:eastAsia="sk-SK"/>
              </w:rPr>
            </w:pPr>
            <w:r w:rsidRPr="00666914">
              <w:rPr>
                <w:rFonts w:eastAsia="Times New Roman"/>
                <w:bCs/>
                <w:color w:val="000000"/>
                <w:sz w:val="20"/>
                <w:szCs w:val="20"/>
                <w:lang w:eastAsia="sk-SK"/>
              </w:rPr>
              <w:t>2</w:t>
            </w:r>
          </w:p>
        </w:tc>
        <w:tc>
          <w:tcPr>
            <w:tcW w:w="1716" w:type="pct"/>
            <w:shd w:val="clear" w:color="auto" w:fill="auto"/>
            <w:vAlign w:val="center"/>
            <w:hideMark/>
          </w:tcPr>
          <w:p w14:paraId="10EB5B69"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Zrušiť možnosť získať kredity na kreditový</w:t>
            </w:r>
          </w:p>
          <w:p w14:paraId="301E7614"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príplatok</w:t>
            </w:r>
          </w:p>
        </w:tc>
        <w:tc>
          <w:tcPr>
            <w:tcW w:w="742" w:type="pct"/>
            <w:shd w:val="clear" w:color="auto" w:fill="auto"/>
            <w:vAlign w:val="center"/>
            <w:hideMark/>
          </w:tcPr>
          <w:p w14:paraId="1BA4BA2E"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MŠVVaŠ SR</w:t>
            </w:r>
          </w:p>
        </w:tc>
        <w:tc>
          <w:tcPr>
            <w:tcW w:w="519" w:type="pct"/>
            <w:shd w:val="clear" w:color="auto" w:fill="auto"/>
            <w:vAlign w:val="center"/>
            <w:hideMark/>
          </w:tcPr>
          <w:p w14:paraId="1987332E"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 xml:space="preserve"> 06/2018</w:t>
            </w:r>
          </w:p>
        </w:tc>
        <w:tc>
          <w:tcPr>
            <w:tcW w:w="592" w:type="pct"/>
            <w:vAlign w:val="center"/>
          </w:tcPr>
          <w:p w14:paraId="72C33596" w14:textId="77777777" w:rsidR="00E66F49" w:rsidRPr="00666914" w:rsidRDefault="00E66F49" w:rsidP="00D27F91">
            <w:pPr>
              <w:spacing w:after="0"/>
              <w:jc w:val="center"/>
              <w:rPr>
                <w:rFonts w:eastAsia="Times New Roman"/>
                <w:color w:val="000000" w:themeColor="text1"/>
                <w:sz w:val="20"/>
                <w:szCs w:val="20"/>
                <w:lang w:eastAsia="sk-SK"/>
              </w:rPr>
            </w:pPr>
            <w:r w:rsidRPr="00666914">
              <w:rPr>
                <w:rFonts w:eastAsia="Times New Roman"/>
                <w:color w:val="000000" w:themeColor="text1"/>
                <w:sz w:val="20"/>
                <w:szCs w:val="20"/>
                <w:lang w:eastAsia="sk-SK"/>
              </w:rPr>
              <w:t>06/2019</w:t>
            </w:r>
          </w:p>
        </w:tc>
        <w:tc>
          <w:tcPr>
            <w:tcW w:w="306" w:type="pct"/>
            <w:shd w:val="clear" w:color="auto" w:fill="FF0000"/>
            <w:noWrap/>
            <w:vAlign w:val="bottom"/>
            <w:hideMark/>
          </w:tcPr>
          <w:p w14:paraId="45EBBF71"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0000"/>
            <w:noWrap/>
            <w:vAlign w:val="bottom"/>
            <w:hideMark/>
          </w:tcPr>
          <w:p w14:paraId="001C26F3"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0000"/>
            <w:noWrap/>
            <w:vAlign w:val="bottom"/>
            <w:hideMark/>
          </w:tcPr>
          <w:p w14:paraId="530EE409"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1" w:type="pct"/>
            <w:shd w:val="clear" w:color="auto" w:fill="FF0000"/>
            <w:noWrap/>
            <w:vAlign w:val="bottom"/>
            <w:hideMark/>
          </w:tcPr>
          <w:p w14:paraId="7D4F0A1B"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E66F49" w:rsidRPr="00666914" w14:paraId="4E61FD5F" w14:textId="77777777" w:rsidTr="00D27F91">
        <w:trPr>
          <w:trHeight w:val="302"/>
        </w:trPr>
        <w:tc>
          <w:tcPr>
            <w:tcW w:w="212" w:type="pct"/>
            <w:shd w:val="clear" w:color="auto" w:fill="auto"/>
            <w:vAlign w:val="center"/>
            <w:hideMark/>
          </w:tcPr>
          <w:p w14:paraId="282D40CE" w14:textId="77777777" w:rsidR="00E66F49" w:rsidRPr="00666914" w:rsidRDefault="00E66F49" w:rsidP="00D27F91">
            <w:pPr>
              <w:spacing w:after="0"/>
              <w:jc w:val="left"/>
              <w:rPr>
                <w:rFonts w:eastAsia="Times New Roman"/>
                <w:bCs/>
                <w:color w:val="000000"/>
                <w:sz w:val="20"/>
                <w:szCs w:val="20"/>
                <w:lang w:eastAsia="sk-SK"/>
              </w:rPr>
            </w:pPr>
            <w:r w:rsidRPr="00666914">
              <w:rPr>
                <w:rFonts w:eastAsia="Times New Roman"/>
                <w:bCs/>
                <w:color w:val="000000"/>
                <w:sz w:val="20"/>
                <w:szCs w:val="20"/>
                <w:lang w:eastAsia="sk-SK"/>
              </w:rPr>
              <w:t>3</w:t>
            </w:r>
          </w:p>
        </w:tc>
        <w:tc>
          <w:tcPr>
            <w:tcW w:w="1716" w:type="pct"/>
            <w:shd w:val="clear" w:color="auto" w:fill="auto"/>
            <w:vAlign w:val="center"/>
            <w:hideMark/>
          </w:tcPr>
          <w:p w14:paraId="6B1BF201"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Výraznejšie zvýšiť platy pedagogických a odborných zamestnancov na začiatku kariéry úpravou zohľadňovania dĺžky praxe</w:t>
            </w:r>
          </w:p>
        </w:tc>
        <w:tc>
          <w:tcPr>
            <w:tcW w:w="742" w:type="pct"/>
            <w:shd w:val="clear" w:color="auto" w:fill="auto"/>
            <w:vAlign w:val="center"/>
            <w:hideMark/>
          </w:tcPr>
          <w:p w14:paraId="2A200208"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MŠVVaŠ SR</w:t>
            </w:r>
          </w:p>
        </w:tc>
        <w:tc>
          <w:tcPr>
            <w:tcW w:w="519" w:type="pct"/>
            <w:shd w:val="clear" w:color="auto" w:fill="auto"/>
            <w:vAlign w:val="center"/>
            <w:hideMark/>
          </w:tcPr>
          <w:p w14:paraId="28FAB583"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01/2018</w:t>
            </w:r>
          </w:p>
        </w:tc>
        <w:tc>
          <w:tcPr>
            <w:tcW w:w="592" w:type="pct"/>
            <w:vAlign w:val="center"/>
          </w:tcPr>
          <w:p w14:paraId="35123CCE" w14:textId="77777777" w:rsidR="00E66F49" w:rsidRPr="00666914" w:rsidRDefault="00E66F49" w:rsidP="00D27F91">
            <w:pPr>
              <w:spacing w:after="0"/>
              <w:jc w:val="center"/>
              <w:rPr>
                <w:rFonts w:eastAsia="Times New Roman"/>
                <w:color w:val="000000" w:themeColor="text1"/>
                <w:sz w:val="20"/>
                <w:szCs w:val="20"/>
                <w:lang w:eastAsia="sk-SK"/>
              </w:rPr>
            </w:pPr>
            <w:r w:rsidRPr="00666914">
              <w:rPr>
                <w:rFonts w:eastAsia="Times New Roman"/>
                <w:color w:val="000000" w:themeColor="text1"/>
                <w:sz w:val="20"/>
                <w:szCs w:val="20"/>
                <w:lang w:eastAsia="sk-SK"/>
              </w:rPr>
              <w:t>06/2019</w:t>
            </w:r>
          </w:p>
        </w:tc>
        <w:tc>
          <w:tcPr>
            <w:tcW w:w="306" w:type="pct"/>
            <w:shd w:val="clear" w:color="auto" w:fill="FF0000"/>
            <w:noWrap/>
            <w:vAlign w:val="bottom"/>
            <w:hideMark/>
          </w:tcPr>
          <w:p w14:paraId="17B378FD"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C000"/>
            <w:noWrap/>
            <w:vAlign w:val="bottom"/>
            <w:hideMark/>
          </w:tcPr>
          <w:p w14:paraId="5B3546B1"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C000"/>
            <w:noWrap/>
            <w:vAlign w:val="bottom"/>
            <w:hideMark/>
          </w:tcPr>
          <w:p w14:paraId="25E5EAC4"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1" w:type="pct"/>
            <w:shd w:val="clear" w:color="auto" w:fill="92D050"/>
            <w:noWrap/>
            <w:vAlign w:val="bottom"/>
            <w:hideMark/>
          </w:tcPr>
          <w:p w14:paraId="006C1B5A"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E66F49" w:rsidRPr="00666914" w14:paraId="65D47979" w14:textId="77777777" w:rsidTr="00D27F91">
        <w:trPr>
          <w:trHeight w:val="765"/>
        </w:trPr>
        <w:tc>
          <w:tcPr>
            <w:tcW w:w="212" w:type="pct"/>
            <w:shd w:val="clear" w:color="auto" w:fill="auto"/>
            <w:vAlign w:val="center"/>
            <w:hideMark/>
          </w:tcPr>
          <w:p w14:paraId="20420FC3" w14:textId="77777777" w:rsidR="00E66F49" w:rsidRPr="00666914" w:rsidRDefault="00E66F49" w:rsidP="00D27F91">
            <w:pPr>
              <w:spacing w:after="0"/>
              <w:jc w:val="left"/>
              <w:rPr>
                <w:rFonts w:eastAsia="Times New Roman"/>
                <w:bCs/>
                <w:color w:val="000000"/>
                <w:sz w:val="20"/>
                <w:szCs w:val="20"/>
                <w:lang w:eastAsia="sk-SK"/>
              </w:rPr>
            </w:pPr>
            <w:r w:rsidRPr="00666914">
              <w:rPr>
                <w:rFonts w:eastAsia="Times New Roman"/>
                <w:bCs/>
                <w:color w:val="000000"/>
                <w:sz w:val="20"/>
                <w:szCs w:val="20"/>
                <w:lang w:eastAsia="sk-SK"/>
              </w:rPr>
              <w:t>4</w:t>
            </w:r>
          </w:p>
        </w:tc>
        <w:tc>
          <w:tcPr>
            <w:tcW w:w="1716" w:type="pct"/>
            <w:shd w:val="clear" w:color="auto" w:fill="auto"/>
            <w:vAlign w:val="center"/>
            <w:hideMark/>
          </w:tcPr>
          <w:p w14:paraId="21638083"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Zvyšovať priemerné platy pedagogických a</w:t>
            </w:r>
          </w:p>
          <w:p w14:paraId="0145DECF"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odborných zamestnancov, resp. vysokoškolských učiteľov</w:t>
            </w:r>
          </w:p>
        </w:tc>
        <w:tc>
          <w:tcPr>
            <w:tcW w:w="742" w:type="pct"/>
            <w:shd w:val="clear" w:color="auto" w:fill="auto"/>
            <w:vAlign w:val="center"/>
            <w:hideMark/>
          </w:tcPr>
          <w:p w14:paraId="70816E08"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MŠVVŠ SR</w:t>
            </w:r>
          </w:p>
        </w:tc>
        <w:tc>
          <w:tcPr>
            <w:tcW w:w="519" w:type="pct"/>
            <w:shd w:val="clear" w:color="auto" w:fill="auto"/>
            <w:vAlign w:val="center"/>
            <w:hideMark/>
          </w:tcPr>
          <w:p w14:paraId="30672A03"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01/2021</w:t>
            </w:r>
          </w:p>
        </w:tc>
        <w:tc>
          <w:tcPr>
            <w:tcW w:w="592" w:type="pct"/>
            <w:vAlign w:val="center"/>
          </w:tcPr>
          <w:p w14:paraId="00C372E9" w14:textId="77777777" w:rsidR="00E66F49" w:rsidRPr="00666914" w:rsidRDefault="00E66F49" w:rsidP="00D27F91">
            <w:pPr>
              <w:spacing w:after="0"/>
              <w:jc w:val="center"/>
              <w:rPr>
                <w:rFonts w:eastAsia="Times New Roman"/>
                <w:color w:val="000000" w:themeColor="text1"/>
                <w:sz w:val="20"/>
                <w:szCs w:val="20"/>
                <w:lang w:eastAsia="sk-SK"/>
              </w:rPr>
            </w:pPr>
            <w:r w:rsidRPr="00666914">
              <w:rPr>
                <w:rFonts w:eastAsia="Times New Roman"/>
                <w:color w:val="000000" w:themeColor="text1"/>
                <w:sz w:val="20"/>
                <w:szCs w:val="20"/>
                <w:lang w:eastAsia="sk-SK"/>
              </w:rPr>
              <w:t>-</w:t>
            </w:r>
          </w:p>
        </w:tc>
        <w:tc>
          <w:tcPr>
            <w:tcW w:w="304" w:type="pct"/>
            <w:shd w:val="clear" w:color="auto" w:fill="92D050"/>
            <w:noWrap/>
            <w:vAlign w:val="bottom"/>
            <w:hideMark/>
          </w:tcPr>
          <w:p w14:paraId="651C0280"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5" w:type="pct"/>
            <w:shd w:val="clear" w:color="auto" w:fill="92D050"/>
            <w:vAlign w:val="bottom"/>
          </w:tcPr>
          <w:p w14:paraId="7E98C8A1"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5" w:type="pct"/>
            <w:shd w:val="clear" w:color="auto" w:fill="92D050"/>
            <w:vAlign w:val="bottom"/>
          </w:tcPr>
          <w:p w14:paraId="4655D5E1"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5" w:type="pct"/>
            <w:shd w:val="clear" w:color="auto" w:fill="92D050"/>
            <w:vAlign w:val="bottom"/>
          </w:tcPr>
          <w:p w14:paraId="65FAE949"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E66F49" w:rsidRPr="00666914" w14:paraId="5BCE12C5" w14:textId="77777777" w:rsidTr="00D27F91">
        <w:trPr>
          <w:trHeight w:val="302"/>
        </w:trPr>
        <w:tc>
          <w:tcPr>
            <w:tcW w:w="212" w:type="pct"/>
            <w:shd w:val="clear" w:color="auto" w:fill="auto"/>
            <w:vAlign w:val="center"/>
            <w:hideMark/>
          </w:tcPr>
          <w:p w14:paraId="2344FCA3" w14:textId="77777777" w:rsidR="00E66F49" w:rsidRPr="00666914" w:rsidRDefault="00E66F49" w:rsidP="00D27F91">
            <w:pPr>
              <w:spacing w:after="0"/>
              <w:jc w:val="left"/>
              <w:rPr>
                <w:rFonts w:eastAsia="Times New Roman"/>
                <w:bCs/>
                <w:color w:val="000000"/>
                <w:sz w:val="20"/>
                <w:szCs w:val="20"/>
                <w:lang w:eastAsia="sk-SK"/>
              </w:rPr>
            </w:pPr>
            <w:r w:rsidRPr="00666914">
              <w:rPr>
                <w:rFonts w:eastAsia="Times New Roman"/>
                <w:bCs/>
                <w:color w:val="000000"/>
                <w:sz w:val="20"/>
                <w:szCs w:val="20"/>
                <w:lang w:eastAsia="sk-SK"/>
              </w:rPr>
              <w:t>5</w:t>
            </w:r>
          </w:p>
        </w:tc>
        <w:tc>
          <w:tcPr>
            <w:tcW w:w="1716" w:type="pct"/>
            <w:shd w:val="clear" w:color="auto" w:fill="auto"/>
            <w:vAlign w:val="center"/>
          </w:tcPr>
          <w:p w14:paraId="289CBF59"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Úpravou atestačného konania zlepšiť väzbu medzi odmeňovaním a kvalitou pedagogických a odborných zamestnancov</w:t>
            </w:r>
          </w:p>
        </w:tc>
        <w:tc>
          <w:tcPr>
            <w:tcW w:w="742" w:type="pct"/>
            <w:shd w:val="clear" w:color="auto" w:fill="auto"/>
            <w:vAlign w:val="center"/>
          </w:tcPr>
          <w:p w14:paraId="206593C6"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MŠVVaŠ SR</w:t>
            </w:r>
          </w:p>
        </w:tc>
        <w:tc>
          <w:tcPr>
            <w:tcW w:w="519" w:type="pct"/>
            <w:shd w:val="clear" w:color="auto" w:fill="auto"/>
            <w:vAlign w:val="center"/>
          </w:tcPr>
          <w:p w14:paraId="73E2CF9E"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06/2018</w:t>
            </w:r>
          </w:p>
        </w:tc>
        <w:tc>
          <w:tcPr>
            <w:tcW w:w="592" w:type="pct"/>
            <w:vAlign w:val="center"/>
          </w:tcPr>
          <w:p w14:paraId="5F43E58B" w14:textId="77777777" w:rsidR="00E66F49" w:rsidRPr="00666914" w:rsidRDefault="00E66F49" w:rsidP="00D27F91">
            <w:pPr>
              <w:spacing w:after="0"/>
              <w:jc w:val="center"/>
              <w:rPr>
                <w:rFonts w:eastAsia="Times New Roman"/>
                <w:color w:val="000000" w:themeColor="text1"/>
                <w:sz w:val="20"/>
                <w:szCs w:val="20"/>
                <w:lang w:eastAsia="sk-SK"/>
              </w:rPr>
            </w:pPr>
            <w:r w:rsidRPr="00666914">
              <w:rPr>
                <w:rFonts w:eastAsia="Times New Roman"/>
                <w:color w:val="000000" w:themeColor="text1"/>
                <w:sz w:val="20"/>
                <w:szCs w:val="20"/>
                <w:lang w:eastAsia="sk-SK"/>
              </w:rPr>
              <w:t>06/2019</w:t>
            </w:r>
          </w:p>
        </w:tc>
        <w:tc>
          <w:tcPr>
            <w:tcW w:w="306" w:type="pct"/>
            <w:shd w:val="clear" w:color="auto" w:fill="FFC000"/>
            <w:noWrap/>
            <w:vAlign w:val="bottom"/>
            <w:hideMark/>
          </w:tcPr>
          <w:p w14:paraId="4AC9FD28" w14:textId="77777777" w:rsidR="00E66F49" w:rsidRPr="00666914" w:rsidRDefault="00E66F49" w:rsidP="00D27F91">
            <w:pPr>
              <w:spacing w:after="0"/>
              <w:rPr>
                <w:rFonts w:eastAsia="Times New Roman"/>
                <w:color w:val="C00000"/>
                <w:sz w:val="20"/>
                <w:szCs w:val="20"/>
                <w:lang w:eastAsia="sk-SK"/>
              </w:rPr>
            </w:pPr>
            <w:r w:rsidRPr="00666914">
              <w:rPr>
                <w:rFonts w:eastAsia="Times New Roman"/>
                <w:color w:val="C00000"/>
                <w:sz w:val="20"/>
                <w:szCs w:val="20"/>
                <w:lang w:eastAsia="sk-SK"/>
              </w:rPr>
              <w:t> </w:t>
            </w:r>
          </w:p>
        </w:tc>
        <w:tc>
          <w:tcPr>
            <w:tcW w:w="306" w:type="pct"/>
            <w:shd w:val="clear" w:color="auto" w:fill="FFC000"/>
            <w:noWrap/>
            <w:vAlign w:val="bottom"/>
            <w:hideMark/>
          </w:tcPr>
          <w:p w14:paraId="4201C471" w14:textId="77777777" w:rsidR="00E66F49" w:rsidRPr="00666914" w:rsidRDefault="00E66F49" w:rsidP="00D27F91">
            <w:pPr>
              <w:spacing w:after="0"/>
              <w:rPr>
                <w:rFonts w:eastAsia="Times New Roman"/>
                <w:color w:val="FF0000"/>
                <w:sz w:val="20"/>
                <w:szCs w:val="20"/>
                <w:lang w:eastAsia="sk-SK"/>
              </w:rPr>
            </w:pPr>
            <w:r w:rsidRPr="00666914">
              <w:rPr>
                <w:rFonts w:eastAsia="Times New Roman"/>
                <w:color w:val="FF0000"/>
                <w:sz w:val="20"/>
                <w:szCs w:val="20"/>
                <w:lang w:eastAsia="sk-SK"/>
              </w:rPr>
              <w:t> </w:t>
            </w:r>
          </w:p>
        </w:tc>
        <w:tc>
          <w:tcPr>
            <w:tcW w:w="306" w:type="pct"/>
            <w:shd w:val="clear" w:color="auto" w:fill="FFC000"/>
            <w:noWrap/>
            <w:vAlign w:val="bottom"/>
            <w:hideMark/>
          </w:tcPr>
          <w:p w14:paraId="58DA05E1"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1" w:type="pct"/>
            <w:shd w:val="clear" w:color="auto" w:fill="FFC000"/>
            <w:noWrap/>
            <w:vAlign w:val="bottom"/>
            <w:hideMark/>
          </w:tcPr>
          <w:p w14:paraId="3F2078FB" w14:textId="77777777" w:rsidR="00E66F49" w:rsidRPr="00666914" w:rsidRDefault="00E66F49" w:rsidP="00D27F91">
            <w:pPr>
              <w:spacing w:after="0"/>
              <w:rPr>
                <w:rFonts w:eastAsia="Times New Roman"/>
                <w:color w:val="C00000"/>
                <w:sz w:val="20"/>
                <w:szCs w:val="20"/>
                <w:lang w:eastAsia="sk-SK"/>
              </w:rPr>
            </w:pPr>
            <w:r w:rsidRPr="00666914">
              <w:rPr>
                <w:rFonts w:eastAsia="Times New Roman"/>
                <w:color w:val="C00000"/>
                <w:sz w:val="20"/>
                <w:szCs w:val="20"/>
                <w:lang w:eastAsia="sk-SK"/>
              </w:rPr>
              <w:t> </w:t>
            </w:r>
          </w:p>
        </w:tc>
      </w:tr>
      <w:tr w:rsidR="00E66F49" w:rsidRPr="00666914" w14:paraId="4267CB83" w14:textId="77777777" w:rsidTr="00D27F91">
        <w:trPr>
          <w:trHeight w:val="302"/>
        </w:trPr>
        <w:tc>
          <w:tcPr>
            <w:tcW w:w="212" w:type="pct"/>
            <w:shd w:val="clear" w:color="auto" w:fill="auto"/>
            <w:vAlign w:val="center"/>
            <w:hideMark/>
          </w:tcPr>
          <w:p w14:paraId="0BB2E464" w14:textId="77777777" w:rsidR="00E66F49" w:rsidRPr="00666914" w:rsidRDefault="00E66F49" w:rsidP="00D27F91">
            <w:pPr>
              <w:spacing w:after="0"/>
              <w:jc w:val="left"/>
              <w:rPr>
                <w:rFonts w:eastAsia="Times New Roman"/>
                <w:bCs/>
                <w:color w:val="000000"/>
                <w:sz w:val="20"/>
                <w:szCs w:val="20"/>
                <w:lang w:eastAsia="sk-SK"/>
              </w:rPr>
            </w:pPr>
            <w:r w:rsidRPr="00666914">
              <w:rPr>
                <w:rFonts w:eastAsia="Times New Roman"/>
                <w:bCs/>
                <w:color w:val="000000"/>
                <w:sz w:val="20"/>
                <w:szCs w:val="20"/>
                <w:lang w:eastAsia="sk-SK"/>
              </w:rPr>
              <w:t>6</w:t>
            </w:r>
          </w:p>
        </w:tc>
        <w:tc>
          <w:tcPr>
            <w:tcW w:w="1716" w:type="pct"/>
            <w:shd w:val="clear" w:color="auto" w:fill="auto"/>
            <w:vAlign w:val="center"/>
          </w:tcPr>
          <w:p w14:paraId="68F0751E"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Zvýšiť podiel odmien a osobného príplatku na celkovom plate pedagogických zamestnancov</w:t>
            </w:r>
          </w:p>
        </w:tc>
        <w:tc>
          <w:tcPr>
            <w:tcW w:w="742" w:type="pct"/>
            <w:shd w:val="clear" w:color="auto" w:fill="auto"/>
            <w:vAlign w:val="center"/>
          </w:tcPr>
          <w:p w14:paraId="6BC9E0DA"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 xml:space="preserve">MŠVVaŠ SR </w:t>
            </w:r>
          </w:p>
        </w:tc>
        <w:tc>
          <w:tcPr>
            <w:tcW w:w="519" w:type="pct"/>
            <w:shd w:val="clear" w:color="auto" w:fill="auto"/>
            <w:vAlign w:val="center"/>
          </w:tcPr>
          <w:p w14:paraId="3AC40D0C"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06/2018</w:t>
            </w:r>
          </w:p>
        </w:tc>
        <w:tc>
          <w:tcPr>
            <w:tcW w:w="592" w:type="pct"/>
            <w:vAlign w:val="center"/>
          </w:tcPr>
          <w:p w14:paraId="0E3556F6" w14:textId="77777777" w:rsidR="00E66F49" w:rsidRPr="00666914" w:rsidRDefault="00E66F49" w:rsidP="00D27F91">
            <w:pPr>
              <w:spacing w:after="0"/>
              <w:jc w:val="center"/>
              <w:rPr>
                <w:rFonts w:eastAsia="Times New Roman"/>
                <w:color w:val="000000" w:themeColor="text1"/>
                <w:sz w:val="20"/>
                <w:szCs w:val="20"/>
                <w:lang w:eastAsia="sk-SK"/>
              </w:rPr>
            </w:pPr>
            <w:r w:rsidRPr="00666914">
              <w:rPr>
                <w:rFonts w:eastAsia="Times New Roman"/>
                <w:color w:val="000000" w:themeColor="text1"/>
                <w:sz w:val="20"/>
                <w:szCs w:val="20"/>
                <w:lang w:eastAsia="sk-SK"/>
              </w:rPr>
              <w:t>12/2019</w:t>
            </w:r>
          </w:p>
        </w:tc>
        <w:tc>
          <w:tcPr>
            <w:tcW w:w="306" w:type="pct"/>
            <w:shd w:val="clear" w:color="auto" w:fill="A6A6A6" w:themeFill="background1" w:themeFillShade="A6"/>
            <w:noWrap/>
            <w:vAlign w:val="bottom"/>
            <w:hideMark/>
          </w:tcPr>
          <w:p w14:paraId="2F55C76D"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0000"/>
            <w:noWrap/>
            <w:vAlign w:val="bottom"/>
            <w:hideMark/>
          </w:tcPr>
          <w:p w14:paraId="08D072F3"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0000"/>
            <w:noWrap/>
            <w:vAlign w:val="bottom"/>
            <w:hideMark/>
          </w:tcPr>
          <w:p w14:paraId="3FD6794B"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1" w:type="pct"/>
            <w:shd w:val="clear" w:color="auto" w:fill="FF0000"/>
            <w:noWrap/>
            <w:vAlign w:val="bottom"/>
            <w:hideMark/>
          </w:tcPr>
          <w:p w14:paraId="21F801BF" w14:textId="77777777" w:rsidR="00E66F49" w:rsidRPr="00666914" w:rsidRDefault="00E66F49" w:rsidP="00D27F91">
            <w:pPr>
              <w:spacing w:after="0"/>
              <w:rPr>
                <w:rFonts w:eastAsia="Times New Roman"/>
                <w:color w:val="C00000"/>
                <w:sz w:val="20"/>
                <w:szCs w:val="20"/>
                <w:lang w:eastAsia="sk-SK"/>
              </w:rPr>
            </w:pPr>
            <w:r w:rsidRPr="00666914">
              <w:rPr>
                <w:rFonts w:eastAsia="Times New Roman"/>
                <w:color w:val="C00000"/>
                <w:sz w:val="20"/>
                <w:szCs w:val="20"/>
                <w:lang w:eastAsia="sk-SK"/>
              </w:rPr>
              <w:t> </w:t>
            </w:r>
          </w:p>
        </w:tc>
      </w:tr>
      <w:tr w:rsidR="00E66F49" w:rsidRPr="00666914" w14:paraId="5F9468B7" w14:textId="77777777" w:rsidTr="00D27F91">
        <w:trPr>
          <w:trHeight w:val="287"/>
        </w:trPr>
        <w:tc>
          <w:tcPr>
            <w:tcW w:w="212" w:type="pct"/>
            <w:shd w:val="clear" w:color="auto" w:fill="auto"/>
            <w:vAlign w:val="center"/>
            <w:hideMark/>
          </w:tcPr>
          <w:p w14:paraId="22F7333D" w14:textId="77777777" w:rsidR="00E66F49" w:rsidRPr="00666914" w:rsidRDefault="00E66F49" w:rsidP="00D27F91">
            <w:pPr>
              <w:spacing w:after="0"/>
              <w:jc w:val="left"/>
              <w:rPr>
                <w:rFonts w:eastAsia="Times New Roman"/>
                <w:bCs/>
                <w:color w:val="000000"/>
                <w:sz w:val="20"/>
                <w:szCs w:val="20"/>
                <w:lang w:eastAsia="sk-SK"/>
              </w:rPr>
            </w:pPr>
            <w:r w:rsidRPr="00666914">
              <w:rPr>
                <w:rFonts w:eastAsia="Times New Roman"/>
                <w:bCs/>
                <w:color w:val="000000"/>
                <w:sz w:val="20"/>
                <w:szCs w:val="20"/>
                <w:lang w:eastAsia="sk-SK"/>
              </w:rPr>
              <w:t>7</w:t>
            </w:r>
          </w:p>
        </w:tc>
        <w:tc>
          <w:tcPr>
            <w:tcW w:w="1716" w:type="pct"/>
            <w:shd w:val="clear" w:color="auto" w:fill="auto"/>
            <w:vAlign w:val="center"/>
          </w:tcPr>
          <w:p w14:paraId="00756C0D"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Prijať opatrenia na zvýšenie podielu praxe pri príprave budúcich pedagogických zamestnancov</w:t>
            </w:r>
          </w:p>
        </w:tc>
        <w:tc>
          <w:tcPr>
            <w:tcW w:w="742" w:type="pct"/>
            <w:shd w:val="clear" w:color="auto" w:fill="auto"/>
            <w:vAlign w:val="center"/>
          </w:tcPr>
          <w:p w14:paraId="33BEEDBD"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 xml:space="preserve">MŠVVaŠ SR </w:t>
            </w:r>
          </w:p>
        </w:tc>
        <w:tc>
          <w:tcPr>
            <w:tcW w:w="519" w:type="pct"/>
            <w:shd w:val="clear" w:color="auto" w:fill="auto"/>
            <w:vAlign w:val="center"/>
          </w:tcPr>
          <w:p w14:paraId="3EB33C49"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01/2019</w:t>
            </w:r>
          </w:p>
        </w:tc>
        <w:tc>
          <w:tcPr>
            <w:tcW w:w="592" w:type="pct"/>
            <w:vAlign w:val="center"/>
          </w:tcPr>
          <w:p w14:paraId="7D1C8C94" w14:textId="77777777" w:rsidR="00E66F49" w:rsidRPr="00666914" w:rsidRDefault="00E66F49" w:rsidP="00D27F91">
            <w:pPr>
              <w:spacing w:after="0"/>
              <w:jc w:val="center"/>
              <w:rPr>
                <w:rFonts w:eastAsia="Times New Roman"/>
                <w:color w:val="000000" w:themeColor="text1"/>
                <w:sz w:val="20"/>
                <w:szCs w:val="20"/>
                <w:lang w:eastAsia="sk-SK"/>
              </w:rPr>
            </w:pPr>
            <w:r w:rsidRPr="00666914">
              <w:rPr>
                <w:rFonts w:eastAsia="Times New Roman"/>
                <w:color w:val="000000" w:themeColor="text1"/>
                <w:sz w:val="20"/>
                <w:szCs w:val="20"/>
                <w:lang w:eastAsia="sk-SK"/>
              </w:rPr>
              <w:t>-</w:t>
            </w:r>
          </w:p>
        </w:tc>
        <w:tc>
          <w:tcPr>
            <w:tcW w:w="306" w:type="pct"/>
            <w:shd w:val="clear" w:color="auto" w:fill="FF0000"/>
            <w:noWrap/>
            <w:vAlign w:val="bottom"/>
            <w:hideMark/>
          </w:tcPr>
          <w:p w14:paraId="4B49FA02"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0000"/>
            <w:noWrap/>
            <w:vAlign w:val="bottom"/>
            <w:hideMark/>
          </w:tcPr>
          <w:p w14:paraId="7008FC76"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C000"/>
            <w:noWrap/>
            <w:vAlign w:val="bottom"/>
            <w:hideMark/>
          </w:tcPr>
          <w:p w14:paraId="23CA1DA0"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1" w:type="pct"/>
            <w:shd w:val="clear" w:color="auto" w:fill="FFC000"/>
            <w:noWrap/>
            <w:vAlign w:val="bottom"/>
            <w:hideMark/>
          </w:tcPr>
          <w:p w14:paraId="1BDF4630" w14:textId="77777777" w:rsidR="00E66F49" w:rsidRPr="00666914" w:rsidRDefault="00E66F49" w:rsidP="00D27F91">
            <w:pPr>
              <w:spacing w:after="0"/>
              <w:rPr>
                <w:rFonts w:eastAsia="Times New Roman"/>
                <w:color w:val="C00000"/>
                <w:sz w:val="20"/>
                <w:szCs w:val="20"/>
                <w:lang w:eastAsia="sk-SK"/>
              </w:rPr>
            </w:pPr>
            <w:r w:rsidRPr="00666914">
              <w:rPr>
                <w:rFonts w:eastAsia="Times New Roman"/>
                <w:color w:val="C00000"/>
                <w:sz w:val="20"/>
                <w:szCs w:val="20"/>
                <w:lang w:eastAsia="sk-SK"/>
              </w:rPr>
              <w:t> </w:t>
            </w:r>
          </w:p>
        </w:tc>
      </w:tr>
      <w:tr w:rsidR="00E66F49" w:rsidRPr="00666914" w14:paraId="59C2017D" w14:textId="77777777" w:rsidTr="00D27F91">
        <w:trPr>
          <w:trHeight w:val="302"/>
        </w:trPr>
        <w:tc>
          <w:tcPr>
            <w:tcW w:w="212" w:type="pct"/>
            <w:shd w:val="clear" w:color="auto" w:fill="auto"/>
            <w:vAlign w:val="center"/>
            <w:hideMark/>
          </w:tcPr>
          <w:p w14:paraId="5B82270B" w14:textId="77777777" w:rsidR="00E66F49" w:rsidRPr="00666914" w:rsidRDefault="00E66F49" w:rsidP="00D27F91">
            <w:pPr>
              <w:spacing w:after="0"/>
              <w:jc w:val="left"/>
              <w:rPr>
                <w:rFonts w:eastAsia="Times New Roman"/>
                <w:bCs/>
                <w:color w:val="000000"/>
                <w:sz w:val="20"/>
                <w:szCs w:val="20"/>
                <w:lang w:eastAsia="sk-SK"/>
              </w:rPr>
            </w:pPr>
            <w:r w:rsidRPr="00666914">
              <w:rPr>
                <w:rFonts w:eastAsia="Times New Roman"/>
                <w:bCs/>
                <w:color w:val="000000"/>
                <w:sz w:val="20"/>
                <w:szCs w:val="20"/>
                <w:lang w:eastAsia="sk-SK"/>
              </w:rPr>
              <w:t>8</w:t>
            </w:r>
          </w:p>
        </w:tc>
        <w:tc>
          <w:tcPr>
            <w:tcW w:w="1716" w:type="pct"/>
            <w:shd w:val="clear" w:color="auto" w:fill="auto"/>
            <w:vAlign w:val="center"/>
          </w:tcPr>
          <w:p w14:paraId="2B20C6C9"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Zvýšiť relevantnosť a objektívnosť externých testovaní a prostredníctvom testovaní na vzorkách hodnotiť vzdelávací systém</w:t>
            </w:r>
          </w:p>
        </w:tc>
        <w:tc>
          <w:tcPr>
            <w:tcW w:w="742" w:type="pct"/>
            <w:shd w:val="clear" w:color="auto" w:fill="auto"/>
            <w:vAlign w:val="center"/>
          </w:tcPr>
          <w:p w14:paraId="2376D52D"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MŠVVaŠ SR, NÚCEM</w:t>
            </w:r>
          </w:p>
        </w:tc>
        <w:tc>
          <w:tcPr>
            <w:tcW w:w="519" w:type="pct"/>
            <w:shd w:val="clear" w:color="auto" w:fill="auto"/>
            <w:vAlign w:val="center"/>
          </w:tcPr>
          <w:p w14:paraId="20DCF61E"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01/2019</w:t>
            </w:r>
          </w:p>
        </w:tc>
        <w:tc>
          <w:tcPr>
            <w:tcW w:w="592" w:type="pct"/>
            <w:vAlign w:val="center"/>
          </w:tcPr>
          <w:p w14:paraId="57DA9D69" w14:textId="77777777" w:rsidR="00E66F49" w:rsidRPr="00666914" w:rsidRDefault="00E66F49" w:rsidP="00D27F91">
            <w:pPr>
              <w:spacing w:after="0"/>
              <w:jc w:val="center"/>
              <w:rPr>
                <w:rFonts w:eastAsia="Times New Roman"/>
                <w:color w:val="000000" w:themeColor="text1"/>
                <w:sz w:val="20"/>
                <w:szCs w:val="20"/>
                <w:lang w:eastAsia="sk-SK"/>
              </w:rPr>
            </w:pPr>
            <w:r w:rsidRPr="00666914">
              <w:rPr>
                <w:rFonts w:eastAsia="Times New Roman"/>
                <w:color w:val="000000" w:themeColor="text1"/>
                <w:sz w:val="20"/>
                <w:szCs w:val="20"/>
                <w:lang w:eastAsia="sk-SK"/>
              </w:rPr>
              <w:t>-</w:t>
            </w:r>
          </w:p>
        </w:tc>
        <w:tc>
          <w:tcPr>
            <w:tcW w:w="306" w:type="pct"/>
            <w:shd w:val="clear" w:color="auto" w:fill="FF0000"/>
            <w:noWrap/>
            <w:vAlign w:val="bottom"/>
            <w:hideMark/>
          </w:tcPr>
          <w:p w14:paraId="78D5AE0A"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0000"/>
            <w:noWrap/>
            <w:vAlign w:val="bottom"/>
            <w:hideMark/>
          </w:tcPr>
          <w:p w14:paraId="3882C13A"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0000"/>
            <w:noWrap/>
            <w:vAlign w:val="bottom"/>
            <w:hideMark/>
          </w:tcPr>
          <w:p w14:paraId="0B3B90D6"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1" w:type="pct"/>
            <w:shd w:val="clear" w:color="auto" w:fill="FF0000"/>
            <w:noWrap/>
            <w:vAlign w:val="bottom"/>
            <w:hideMark/>
          </w:tcPr>
          <w:p w14:paraId="07300F27" w14:textId="77777777" w:rsidR="00E66F49" w:rsidRPr="00666914" w:rsidRDefault="00E66F49" w:rsidP="00D27F91">
            <w:pPr>
              <w:spacing w:after="0"/>
              <w:rPr>
                <w:rFonts w:eastAsia="Times New Roman"/>
                <w:color w:val="C00000"/>
                <w:sz w:val="20"/>
                <w:szCs w:val="20"/>
                <w:lang w:eastAsia="sk-SK"/>
              </w:rPr>
            </w:pPr>
            <w:r w:rsidRPr="00666914">
              <w:rPr>
                <w:rFonts w:eastAsia="Times New Roman"/>
                <w:color w:val="C00000"/>
                <w:sz w:val="20"/>
                <w:szCs w:val="20"/>
                <w:lang w:eastAsia="sk-SK"/>
              </w:rPr>
              <w:t> </w:t>
            </w:r>
          </w:p>
        </w:tc>
      </w:tr>
      <w:tr w:rsidR="00E66F49" w:rsidRPr="00666914" w14:paraId="6265012A" w14:textId="77777777" w:rsidTr="00D27F91">
        <w:trPr>
          <w:trHeight w:val="287"/>
        </w:trPr>
        <w:tc>
          <w:tcPr>
            <w:tcW w:w="212" w:type="pct"/>
            <w:shd w:val="clear" w:color="auto" w:fill="auto"/>
            <w:vAlign w:val="center"/>
            <w:hideMark/>
          </w:tcPr>
          <w:p w14:paraId="02C00CB4"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9</w:t>
            </w:r>
          </w:p>
        </w:tc>
        <w:tc>
          <w:tcPr>
            <w:tcW w:w="1716" w:type="pct"/>
            <w:shd w:val="clear" w:color="auto" w:fill="auto"/>
            <w:vAlign w:val="center"/>
          </w:tcPr>
          <w:p w14:paraId="1CB40546"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Posilniť a skvalitniť ponuku vzdelávacích aktivít pre pedagogických zamestnancov</w:t>
            </w:r>
          </w:p>
        </w:tc>
        <w:tc>
          <w:tcPr>
            <w:tcW w:w="742" w:type="pct"/>
            <w:shd w:val="clear" w:color="auto" w:fill="auto"/>
            <w:vAlign w:val="center"/>
          </w:tcPr>
          <w:p w14:paraId="413B0488"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MŠVVaŠ SR, MPC</w:t>
            </w:r>
          </w:p>
        </w:tc>
        <w:tc>
          <w:tcPr>
            <w:tcW w:w="519" w:type="pct"/>
            <w:shd w:val="clear" w:color="auto" w:fill="auto"/>
            <w:vAlign w:val="center"/>
          </w:tcPr>
          <w:p w14:paraId="1029A56F"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01/2019</w:t>
            </w:r>
          </w:p>
        </w:tc>
        <w:tc>
          <w:tcPr>
            <w:tcW w:w="592" w:type="pct"/>
            <w:vAlign w:val="center"/>
          </w:tcPr>
          <w:p w14:paraId="28BC4681" w14:textId="77777777" w:rsidR="00E66F49" w:rsidRPr="00666914" w:rsidRDefault="00E66F49" w:rsidP="00D27F91">
            <w:pPr>
              <w:spacing w:after="0"/>
              <w:jc w:val="center"/>
              <w:rPr>
                <w:rFonts w:eastAsia="Times New Roman"/>
                <w:color w:val="000000" w:themeColor="text1"/>
                <w:sz w:val="20"/>
                <w:szCs w:val="20"/>
                <w:lang w:eastAsia="sk-SK"/>
              </w:rPr>
            </w:pPr>
            <w:r w:rsidRPr="00666914">
              <w:rPr>
                <w:rFonts w:eastAsia="Times New Roman"/>
                <w:color w:val="000000" w:themeColor="text1"/>
                <w:sz w:val="20"/>
                <w:szCs w:val="20"/>
                <w:lang w:eastAsia="sk-SK"/>
              </w:rPr>
              <w:t>-</w:t>
            </w:r>
          </w:p>
        </w:tc>
        <w:tc>
          <w:tcPr>
            <w:tcW w:w="306" w:type="pct"/>
            <w:shd w:val="clear" w:color="auto" w:fill="A6A6A6" w:themeFill="background1" w:themeFillShade="A6"/>
            <w:noWrap/>
            <w:vAlign w:val="bottom"/>
            <w:hideMark/>
          </w:tcPr>
          <w:p w14:paraId="59E978A9"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0000"/>
            <w:noWrap/>
            <w:vAlign w:val="bottom"/>
            <w:hideMark/>
          </w:tcPr>
          <w:p w14:paraId="6CC6D544"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A6A6A6" w:themeFill="background1" w:themeFillShade="A6"/>
            <w:noWrap/>
            <w:vAlign w:val="bottom"/>
            <w:hideMark/>
          </w:tcPr>
          <w:p w14:paraId="22F084CC"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1" w:type="pct"/>
            <w:shd w:val="clear" w:color="auto" w:fill="FF0000"/>
            <w:noWrap/>
            <w:vAlign w:val="bottom"/>
            <w:hideMark/>
          </w:tcPr>
          <w:p w14:paraId="00233997"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E66F49" w:rsidRPr="00666914" w14:paraId="1303C708" w14:textId="77777777" w:rsidTr="00D27F91">
        <w:trPr>
          <w:trHeight w:val="302"/>
        </w:trPr>
        <w:tc>
          <w:tcPr>
            <w:tcW w:w="212" w:type="pct"/>
            <w:shd w:val="clear" w:color="auto" w:fill="auto"/>
            <w:vAlign w:val="center"/>
            <w:hideMark/>
          </w:tcPr>
          <w:p w14:paraId="57EA81A6"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10</w:t>
            </w:r>
          </w:p>
        </w:tc>
        <w:tc>
          <w:tcPr>
            <w:tcW w:w="1716" w:type="pct"/>
            <w:shd w:val="clear" w:color="auto" w:fill="auto"/>
            <w:vAlign w:val="center"/>
          </w:tcPr>
          <w:p w14:paraId="5A7C99EA"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Zreálniť personálnu a prevádzkovú náročnosť jednotlivých typov škôl</w:t>
            </w:r>
          </w:p>
        </w:tc>
        <w:tc>
          <w:tcPr>
            <w:tcW w:w="742" w:type="pct"/>
            <w:shd w:val="clear" w:color="auto" w:fill="auto"/>
            <w:vAlign w:val="center"/>
          </w:tcPr>
          <w:p w14:paraId="79299353"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MŠVVaŠ SR, ŠIOV</w:t>
            </w:r>
          </w:p>
        </w:tc>
        <w:tc>
          <w:tcPr>
            <w:tcW w:w="519" w:type="pct"/>
            <w:shd w:val="clear" w:color="auto" w:fill="auto"/>
            <w:vAlign w:val="center"/>
          </w:tcPr>
          <w:p w14:paraId="4B05D7E1"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12/2018</w:t>
            </w:r>
          </w:p>
        </w:tc>
        <w:tc>
          <w:tcPr>
            <w:tcW w:w="592" w:type="pct"/>
            <w:vAlign w:val="center"/>
          </w:tcPr>
          <w:p w14:paraId="3A37AEFA" w14:textId="77777777" w:rsidR="00E66F49" w:rsidRPr="00666914" w:rsidRDefault="00E66F49" w:rsidP="00D27F91">
            <w:pPr>
              <w:spacing w:after="0"/>
              <w:jc w:val="center"/>
              <w:rPr>
                <w:rFonts w:eastAsia="Times New Roman"/>
                <w:bCs/>
                <w:color w:val="000000" w:themeColor="text1"/>
                <w:sz w:val="20"/>
                <w:szCs w:val="20"/>
                <w:lang w:eastAsia="sk-SK"/>
              </w:rPr>
            </w:pPr>
            <w:r w:rsidRPr="00666914">
              <w:rPr>
                <w:rFonts w:eastAsia="Times New Roman"/>
                <w:bCs/>
                <w:color w:val="000000" w:themeColor="text1"/>
                <w:sz w:val="20"/>
                <w:szCs w:val="20"/>
                <w:lang w:eastAsia="sk-SK"/>
              </w:rPr>
              <w:t>06/2019</w:t>
            </w:r>
          </w:p>
        </w:tc>
        <w:tc>
          <w:tcPr>
            <w:tcW w:w="306" w:type="pct"/>
            <w:shd w:val="clear" w:color="auto" w:fill="FF0000"/>
            <w:noWrap/>
            <w:vAlign w:val="bottom"/>
            <w:hideMark/>
          </w:tcPr>
          <w:p w14:paraId="0540774E"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 </w:t>
            </w:r>
          </w:p>
        </w:tc>
        <w:tc>
          <w:tcPr>
            <w:tcW w:w="306" w:type="pct"/>
            <w:shd w:val="clear" w:color="auto" w:fill="FF0000"/>
            <w:noWrap/>
            <w:vAlign w:val="bottom"/>
            <w:hideMark/>
          </w:tcPr>
          <w:p w14:paraId="152D8D95"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 </w:t>
            </w:r>
          </w:p>
        </w:tc>
        <w:tc>
          <w:tcPr>
            <w:tcW w:w="306" w:type="pct"/>
            <w:shd w:val="clear" w:color="auto" w:fill="FF0000"/>
            <w:noWrap/>
            <w:vAlign w:val="bottom"/>
            <w:hideMark/>
          </w:tcPr>
          <w:p w14:paraId="0F9D40FC"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 </w:t>
            </w:r>
          </w:p>
        </w:tc>
        <w:tc>
          <w:tcPr>
            <w:tcW w:w="301" w:type="pct"/>
            <w:shd w:val="clear" w:color="auto" w:fill="FF0000"/>
            <w:noWrap/>
            <w:vAlign w:val="bottom"/>
            <w:hideMark/>
          </w:tcPr>
          <w:p w14:paraId="1ED2AB56"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 </w:t>
            </w:r>
          </w:p>
        </w:tc>
      </w:tr>
      <w:tr w:rsidR="00E66F49" w:rsidRPr="00666914" w14:paraId="2EB89F16" w14:textId="77777777" w:rsidTr="00D27F91">
        <w:trPr>
          <w:trHeight w:val="302"/>
        </w:trPr>
        <w:tc>
          <w:tcPr>
            <w:tcW w:w="5000" w:type="pct"/>
            <w:gridSpan w:val="9"/>
            <w:vAlign w:val="center"/>
          </w:tcPr>
          <w:p w14:paraId="12F727A5"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VYSOKÉ ŠKOLY A VEDA</w:t>
            </w:r>
          </w:p>
        </w:tc>
      </w:tr>
      <w:tr w:rsidR="00E66F49" w:rsidRPr="00666914" w14:paraId="70E9BB78" w14:textId="77777777" w:rsidTr="00D27F91">
        <w:trPr>
          <w:trHeight w:val="287"/>
        </w:trPr>
        <w:tc>
          <w:tcPr>
            <w:tcW w:w="212" w:type="pct"/>
            <w:shd w:val="clear" w:color="auto" w:fill="auto"/>
            <w:vAlign w:val="center"/>
            <w:hideMark/>
          </w:tcPr>
          <w:p w14:paraId="7BBBE708"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11</w:t>
            </w:r>
          </w:p>
        </w:tc>
        <w:tc>
          <w:tcPr>
            <w:tcW w:w="1716" w:type="pct"/>
            <w:shd w:val="clear" w:color="auto" w:fill="auto"/>
            <w:vAlign w:val="center"/>
          </w:tcPr>
          <w:p w14:paraId="729B0827"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Prijať opatrenia na zvýšenie podielu bakalárskych študentov, ktorí nepokračujú v magisterskom štúdiu</w:t>
            </w:r>
          </w:p>
        </w:tc>
        <w:tc>
          <w:tcPr>
            <w:tcW w:w="742" w:type="pct"/>
            <w:shd w:val="clear" w:color="auto" w:fill="auto"/>
            <w:vAlign w:val="center"/>
          </w:tcPr>
          <w:p w14:paraId="4094AFE3"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 xml:space="preserve">MŠVVaŠ SR </w:t>
            </w:r>
          </w:p>
        </w:tc>
        <w:tc>
          <w:tcPr>
            <w:tcW w:w="519" w:type="pct"/>
            <w:shd w:val="clear" w:color="auto" w:fill="auto"/>
            <w:vAlign w:val="center"/>
          </w:tcPr>
          <w:p w14:paraId="232C6AB6"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12/2018</w:t>
            </w:r>
          </w:p>
        </w:tc>
        <w:tc>
          <w:tcPr>
            <w:tcW w:w="592" w:type="pct"/>
            <w:vAlign w:val="center"/>
          </w:tcPr>
          <w:p w14:paraId="7A069A63" w14:textId="77777777" w:rsidR="00E66F49" w:rsidRPr="00666914" w:rsidRDefault="00E66F49" w:rsidP="00D27F91">
            <w:pPr>
              <w:spacing w:after="0"/>
              <w:jc w:val="center"/>
              <w:rPr>
                <w:rFonts w:eastAsia="Times New Roman"/>
                <w:bCs/>
                <w:color w:val="000000"/>
                <w:sz w:val="20"/>
                <w:szCs w:val="20"/>
                <w:lang w:eastAsia="sk-SK"/>
              </w:rPr>
            </w:pPr>
            <w:r w:rsidRPr="00666914">
              <w:rPr>
                <w:rFonts w:eastAsia="Times New Roman"/>
                <w:bCs/>
                <w:color w:val="000000"/>
                <w:sz w:val="20"/>
                <w:szCs w:val="20"/>
                <w:lang w:eastAsia="sk-SK"/>
              </w:rPr>
              <w:t>06/2019</w:t>
            </w:r>
          </w:p>
        </w:tc>
        <w:tc>
          <w:tcPr>
            <w:tcW w:w="306" w:type="pct"/>
            <w:shd w:val="clear" w:color="auto" w:fill="FF0000"/>
            <w:noWrap/>
            <w:vAlign w:val="bottom"/>
            <w:hideMark/>
          </w:tcPr>
          <w:p w14:paraId="6A5DB2BC"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 </w:t>
            </w:r>
          </w:p>
        </w:tc>
        <w:tc>
          <w:tcPr>
            <w:tcW w:w="306" w:type="pct"/>
            <w:shd w:val="clear" w:color="auto" w:fill="FF0000"/>
            <w:noWrap/>
            <w:vAlign w:val="bottom"/>
            <w:hideMark/>
          </w:tcPr>
          <w:p w14:paraId="279ED05B"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 </w:t>
            </w:r>
          </w:p>
        </w:tc>
        <w:tc>
          <w:tcPr>
            <w:tcW w:w="306" w:type="pct"/>
            <w:shd w:val="clear" w:color="auto" w:fill="FF0000"/>
            <w:noWrap/>
            <w:vAlign w:val="bottom"/>
            <w:hideMark/>
          </w:tcPr>
          <w:p w14:paraId="12AC08C8"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 </w:t>
            </w:r>
          </w:p>
        </w:tc>
        <w:tc>
          <w:tcPr>
            <w:tcW w:w="301" w:type="pct"/>
            <w:shd w:val="clear" w:color="auto" w:fill="FF0000"/>
            <w:noWrap/>
            <w:vAlign w:val="bottom"/>
            <w:hideMark/>
          </w:tcPr>
          <w:p w14:paraId="6CD98C56"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 </w:t>
            </w:r>
          </w:p>
        </w:tc>
      </w:tr>
      <w:tr w:rsidR="00E66F49" w:rsidRPr="00666914" w14:paraId="41C55AED" w14:textId="77777777" w:rsidTr="00D27F91">
        <w:trPr>
          <w:trHeight w:val="664"/>
        </w:trPr>
        <w:tc>
          <w:tcPr>
            <w:tcW w:w="212" w:type="pct"/>
            <w:shd w:val="clear" w:color="auto" w:fill="auto"/>
            <w:vAlign w:val="center"/>
            <w:hideMark/>
          </w:tcPr>
          <w:p w14:paraId="51C9F117"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12</w:t>
            </w:r>
          </w:p>
        </w:tc>
        <w:tc>
          <w:tcPr>
            <w:tcW w:w="1716" w:type="pct"/>
            <w:shd w:val="clear" w:color="auto" w:fill="auto"/>
            <w:vAlign w:val="center"/>
          </w:tcPr>
          <w:p w14:paraId="4B32DAFE"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Upraviť podmienky pre realizáciu profesijne orientovaných bakalárskych programov</w:t>
            </w:r>
          </w:p>
        </w:tc>
        <w:tc>
          <w:tcPr>
            <w:tcW w:w="742" w:type="pct"/>
            <w:shd w:val="clear" w:color="auto" w:fill="auto"/>
            <w:vAlign w:val="center"/>
          </w:tcPr>
          <w:p w14:paraId="790821BB"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 xml:space="preserve">MŠVVaŠ SR </w:t>
            </w:r>
          </w:p>
        </w:tc>
        <w:tc>
          <w:tcPr>
            <w:tcW w:w="519" w:type="pct"/>
            <w:shd w:val="clear" w:color="auto" w:fill="auto"/>
            <w:vAlign w:val="center"/>
          </w:tcPr>
          <w:p w14:paraId="4802EC82"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01/2019</w:t>
            </w:r>
          </w:p>
        </w:tc>
        <w:tc>
          <w:tcPr>
            <w:tcW w:w="592" w:type="pct"/>
            <w:vAlign w:val="center"/>
          </w:tcPr>
          <w:p w14:paraId="33380E85"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w:t>
            </w:r>
          </w:p>
        </w:tc>
        <w:tc>
          <w:tcPr>
            <w:tcW w:w="306" w:type="pct"/>
            <w:shd w:val="clear" w:color="auto" w:fill="FFC000"/>
            <w:noWrap/>
            <w:vAlign w:val="bottom"/>
            <w:hideMark/>
          </w:tcPr>
          <w:p w14:paraId="0891CF40"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C000"/>
            <w:noWrap/>
            <w:vAlign w:val="bottom"/>
            <w:hideMark/>
          </w:tcPr>
          <w:p w14:paraId="5CC86FF0"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C000"/>
            <w:noWrap/>
            <w:vAlign w:val="bottom"/>
            <w:hideMark/>
          </w:tcPr>
          <w:p w14:paraId="107B320B"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1" w:type="pct"/>
            <w:shd w:val="clear" w:color="auto" w:fill="FFC000"/>
            <w:noWrap/>
            <w:vAlign w:val="bottom"/>
            <w:hideMark/>
          </w:tcPr>
          <w:p w14:paraId="613B7A07"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E66F49" w:rsidRPr="00666914" w14:paraId="4BC7CEED" w14:textId="77777777" w:rsidTr="00D27F91">
        <w:trPr>
          <w:trHeight w:val="613"/>
        </w:trPr>
        <w:tc>
          <w:tcPr>
            <w:tcW w:w="212" w:type="pct"/>
            <w:shd w:val="clear" w:color="auto" w:fill="auto"/>
            <w:vAlign w:val="center"/>
            <w:hideMark/>
          </w:tcPr>
          <w:p w14:paraId="4B3DFDA7"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13</w:t>
            </w:r>
          </w:p>
        </w:tc>
        <w:tc>
          <w:tcPr>
            <w:tcW w:w="1716" w:type="pct"/>
            <w:shd w:val="clear" w:color="auto" w:fill="auto"/>
            <w:vAlign w:val="center"/>
          </w:tcPr>
          <w:p w14:paraId="2438DB6B"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Reformovať proces akreditácie a akreditačnú autoritu v súlade s ESG 2015</w:t>
            </w:r>
          </w:p>
        </w:tc>
        <w:tc>
          <w:tcPr>
            <w:tcW w:w="742" w:type="pct"/>
            <w:shd w:val="clear" w:color="auto" w:fill="auto"/>
            <w:vAlign w:val="center"/>
          </w:tcPr>
          <w:p w14:paraId="344652FE"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MŠVVaŠ SR</w:t>
            </w:r>
          </w:p>
        </w:tc>
        <w:tc>
          <w:tcPr>
            <w:tcW w:w="519" w:type="pct"/>
            <w:shd w:val="clear" w:color="auto" w:fill="auto"/>
            <w:vAlign w:val="center"/>
          </w:tcPr>
          <w:p w14:paraId="08EA99D1"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01/2018</w:t>
            </w:r>
            <w:r w:rsidRPr="00666914">
              <w:rPr>
                <w:rFonts w:eastAsia="Times New Roman"/>
                <w:color w:val="000000"/>
                <w:sz w:val="20"/>
                <w:szCs w:val="20"/>
                <w:lang w:eastAsia="sk-SK"/>
              </w:rPr>
              <w:br/>
            </w:r>
            <w:r w:rsidRPr="00666914">
              <w:rPr>
                <w:rFonts w:eastAsia="Times New Roman"/>
                <w:color w:val="000000"/>
                <w:sz w:val="18"/>
                <w:szCs w:val="20"/>
                <w:lang w:eastAsia="sk-SK"/>
              </w:rPr>
              <w:t>(proces akreditácie)</w:t>
            </w:r>
          </w:p>
          <w:p w14:paraId="2B1B9B9A"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01/2021</w:t>
            </w:r>
            <w:r w:rsidRPr="00666914">
              <w:rPr>
                <w:rFonts w:eastAsia="Times New Roman"/>
                <w:color w:val="000000"/>
                <w:sz w:val="20"/>
                <w:szCs w:val="20"/>
                <w:lang w:eastAsia="sk-SK"/>
              </w:rPr>
              <w:br/>
            </w:r>
            <w:r w:rsidRPr="00666914">
              <w:rPr>
                <w:rFonts w:eastAsia="Times New Roman"/>
                <w:color w:val="000000"/>
                <w:sz w:val="18"/>
                <w:szCs w:val="20"/>
                <w:lang w:eastAsia="sk-SK"/>
              </w:rPr>
              <w:t>(členstvo v ENQA)</w:t>
            </w:r>
          </w:p>
        </w:tc>
        <w:tc>
          <w:tcPr>
            <w:tcW w:w="592" w:type="pct"/>
            <w:vAlign w:val="center"/>
          </w:tcPr>
          <w:p w14:paraId="5D2D3105"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w:t>
            </w:r>
          </w:p>
        </w:tc>
        <w:tc>
          <w:tcPr>
            <w:tcW w:w="306" w:type="pct"/>
            <w:shd w:val="clear" w:color="auto" w:fill="A6A6A6" w:themeFill="background1" w:themeFillShade="A6"/>
            <w:noWrap/>
            <w:vAlign w:val="bottom"/>
            <w:hideMark/>
          </w:tcPr>
          <w:p w14:paraId="29BE70FF"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A6A6A6" w:themeFill="background1" w:themeFillShade="A6"/>
            <w:noWrap/>
            <w:vAlign w:val="bottom"/>
            <w:hideMark/>
          </w:tcPr>
          <w:p w14:paraId="0A01BADC"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A6A6A6" w:themeFill="background1" w:themeFillShade="A6"/>
            <w:noWrap/>
            <w:vAlign w:val="bottom"/>
            <w:hideMark/>
          </w:tcPr>
          <w:p w14:paraId="7F6A43B0"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1" w:type="pct"/>
            <w:shd w:val="clear" w:color="auto" w:fill="FFC000"/>
            <w:noWrap/>
            <w:vAlign w:val="bottom"/>
            <w:hideMark/>
          </w:tcPr>
          <w:p w14:paraId="2AB3B8DD"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E66F49" w:rsidRPr="00666914" w14:paraId="1BF077DE" w14:textId="77777777" w:rsidTr="00D27F91">
        <w:trPr>
          <w:trHeight w:val="577"/>
        </w:trPr>
        <w:tc>
          <w:tcPr>
            <w:tcW w:w="212" w:type="pct"/>
            <w:shd w:val="clear" w:color="auto" w:fill="auto"/>
            <w:vAlign w:val="center"/>
            <w:hideMark/>
          </w:tcPr>
          <w:p w14:paraId="4B5A2F5E"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14</w:t>
            </w:r>
          </w:p>
        </w:tc>
        <w:tc>
          <w:tcPr>
            <w:tcW w:w="1716" w:type="pct"/>
            <w:shd w:val="clear" w:color="auto" w:fill="auto"/>
            <w:vAlign w:val="center"/>
          </w:tcPr>
          <w:p w14:paraId="5DD7F7BF"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Zaviesť tzv. "informed peer review" hodnotenie tvorivej činnosti vysokých škôl</w:t>
            </w:r>
          </w:p>
        </w:tc>
        <w:tc>
          <w:tcPr>
            <w:tcW w:w="742" w:type="pct"/>
            <w:shd w:val="clear" w:color="auto" w:fill="auto"/>
            <w:vAlign w:val="center"/>
          </w:tcPr>
          <w:p w14:paraId="414848FB"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 xml:space="preserve">MŠVVaŠ SR </w:t>
            </w:r>
          </w:p>
        </w:tc>
        <w:tc>
          <w:tcPr>
            <w:tcW w:w="519" w:type="pct"/>
            <w:shd w:val="clear" w:color="auto" w:fill="auto"/>
            <w:vAlign w:val="center"/>
          </w:tcPr>
          <w:p w14:paraId="0D24A2EC"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01/2021</w:t>
            </w:r>
          </w:p>
        </w:tc>
        <w:tc>
          <w:tcPr>
            <w:tcW w:w="592" w:type="pct"/>
            <w:vAlign w:val="center"/>
          </w:tcPr>
          <w:p w14:paraId="518AF420"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w:t>
            </w:r>
          </w:p>
        </w:tc>
        <w:tc>
          <w:tcPr>
            <w:tcW w:w="306" w:type="pct"/>
            <w:shd w:val="clear" w:color="auto" w:fill="A6A6A6" w:themeFill="background1" w:themeFillShade="A6"/>
            <w:noWrap/>
            <w:vAlign w:val="bottom"/>
            <w:hideMark/>
          </w:tcPr>
          <w:p w14:paraId="5AC458E6"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A6A6A6" w:themeFill="background1" w:themeFillShade="A6"/>
            <w:noWrap/>
            <w:vAlign w:val="bottom"/>
            <w:hideMark/>
          </w:tcPr>
          <w:p w14:paraId="39935143"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A6A6A6" w:themeFill="background1" w:themeFillShade="A6"/>
            <w:noWrap/>
            <w:vAlign w:val="bottom"/>
            <w:hideMark/>
          </w:tcPr>
          <w:p w14:paraId="63A14BC8"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1" w:type="pct"/>
            <w:shd w:val="clear" w:color="auto" w:fill="FFC000"/>
            <w:noWrap/>
            <w:vAlign w:val="bottom"/>
            <w:hideMark/>
          </w:tcPr>
          <w:p w14:paraId="3DE52CB2"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E66F49" w:rsidRPr="00666914" w14:paraId="5E5592CC" w14:textId="77777777" w:rsidTr="00D27F91">
        <w:trPr>
          <w:trHeight w:val="953"/>
        </w:trPr>
        <w:tc>
          <w:tcPr>
            <w:tcW w:w="212" w:type="pct"/>
            <w:shd w:val="clear" w:color="auto" w:fill="auto"/>
            <w:vAlign w:val="center"/>
            <w:hideMark/>
          </w:tcPr>
          <w:p w14:paraId="733332E6"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15</w:t>
            </w:r>
          </w:p>
        </w:tc>
        <w:tc>
          <w:tcPr>
            <w:tcW w:w="1716" w:type="pct"/>
            <w:shd w:val="clear" w:color="auto" w:fill="auto"/>
            <w:vAlign w:val="center"/>
          </w:tcPr>
          <w:p w14:paraId="0E3484B0"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Zvýšiť podiel súťažných grantov (najmä APVV a VEGA) vo verejných výdavkoch na vedu</w:t>
            </w:r>
          </w:p>
        </w:tc>
        <w:tc>
          <w:tcPr>
            <w:tcW w:w="742" w:type="pct"/>
            <w:shd w:val="clear" w:color="auto" w:fill="auto"/>
            <w:vAlign w:val="center"/>
          </w:tcPr>
          <w:p w14:paraId="0FD31368"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 xml:space="preserve">MŠVVaŠ SR </w:t>
            </w:r>
          </w:p>
        </w:tc>
        <w:tc>
          <w:tcPr>
            <w:tcW w:w="519" w:type="pct"/>
            <w:shd w:val="clear" w:color="auto" w:fill="auto"/>
            <w:vAlign w:val="center"/>
          </w:tcPr>
          <w:p w14:paraId="2F9C2A7D"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12/2018</w:t>
            </w:r>
          </w:p>
        </w:tc>
        <w:tc>
          <w:tcPr>
            <w:tcW w:w="592" w:type="pct"/>
            <w:vAlign w:val="center"/>
          </w:tcPr>
          <w:p w14:paraId="1516CF9C"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12/2019</w:t>
            </w:r>
          </w:p>
        </w:tc>
        <w:tc>
          <w:tcPr>
            <w:tcW w:w="306" w:type="pct"/>
            <w:shd w:val="clear" w:color="auto" w:fill="A6A6A6" w:themeFill="background1" w:themeFillShade="A6"/>
            <w:noWrap/>
            <w:vAlign w:val="bottom"/>
            <w:hideMark/>
          </w:tcPr>
          <w:p w14:paraId="2727511D"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A6A6A6" w:themeFill="background1" w:themeFillShade="A6"/>
            <w:noWrap/>
            <w:vAlign w:val="bottom"/>
            <w:hideMark/>
          </w:tcPr>
          <w:p w14:paraId="2A5F9D47"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A6A6A6" w:themeFill="background1" w:themeFillShade="A6"/>
            <w:noWrap/>
            <w:vAlign w:val="bottom"/>
            <w:hideMark/>
          </w:tcPr>
          <w:p w14:paraId="31217B2B"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1" w:type="pct"/>
            <w:shd w:val="clear" w:color="auto" w:fill="92D050"/>
            <w:noWrap/>
            <w:vAlign w:val="bottom"/>
            <w:hideMark/>
          </w:tcPr>
          <w:p w14:paraId="6C7EFA4F"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E66F49" w:rsidRPr="00666914" w14:paraId="18FDAF81" w14:textId="77777777" w:rsidTr="00D27F91">
        <w:trPr>
          <w:trHeight w:val="287"/>
        </w:trPr>
        <w:tc>
          <w:tcPr>
            <w:tcW w:w="5000" w:type="pct"/>
            <w:gridSpan w:val="9"/>
            <w:vAlign w:val="center"/>
          </w:tcPr>
          <w:p w14:paraId="13ED7DBE"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INVESTÍCIE A VÝDAVKY</w:t>
            </w:r>
          </w:p>
        </w:tc>
      </w:tr>
      <w:tr w:rsidR="00E66F49" w:rsidRPr="00666914" w14:paraId="4214E90A" w14:textId="77777777" w:rsidTr="00D27F91">
        <w:trPr>
          <w:trHeight w:val="287"/>
        </w:trPr>
        <w:tc>
          <w:tcPr>
            <w:tcW w:w="212" w:type="pct"/>
            <w:shd w:val="clear" w:color="auto" w:fill="auto"/>
            <w:vAlign w:val="center"/>
            <w:hideMark/>
          </w:tcPr>
          <w:p w14:paraId="5742944B"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16</w:t>
            </w:r>
          </w:p>
        </w:tc>
        <w:tc>
          <w:tcPr>
            <w:tcW w:w="1716" w:type="pct"/>
            <w:shd w:val="clear" w:color="auto" w:fill="auto"/>
            <w:vAlign w:val="center"/>
          </w:tcPr>
          <w:p w14:paraId="303FF66F"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Vypracovať a zverejniť investičný plán rezortu školstva, bez ohľadu na zdroj financovania</w:t>
            </w:r>
          </w:p>
        </w:tc>
        <w:tc>
          <w:tcPr>
            <w:tcW w:w="742" w:type="pct"/>
            <w:shd w:val="clear" w:color="auto" w:fill="auto"/>
            <w:vAlign w:val="center"/>
          </w:tcPr>
          <w:p w14:paraId="20DDDD76"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 xml:space="preserve">MŠVVaŠ SR </w:t>
            </w:r>
          </w:p>
        </w:tc>
        <w:tc>
          <w:tcPr>
            <w:tcW w:w="519" w:type="pct"/>
            <w:shd w:val="clear" w:color="auto" w:fill="auto"/>
            <w:vAlign w:val="center"/>
          </w:tcPr>
          <w:p w14:paraId="7A85C93C"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10/2017</w:t>
            </w:r>
          </w:p>
        </w:tc>
        <w:tc>
          <w:tcPr>
            <w:tcW w:w="592" w:type="pct"/>
            <w:vAlign w:val="center"/>
          </w:tcPr>
          <w:p w14:paraId="79860D09"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priebežne</w:t>
            </w:r>
          </w:p>
        </w:tc>
        <w:tc>
          <w:tcPr>
            <w:tcW w:w="306" w:type="pct"/>
            <w:shd w:val="clear" w:color="auto" w:fill="A6A6A6" w:themeFill="background1" w:themeFillShade="A6"/>
            <w:noWrap/>
            <w:vAlign w:val="bottom"/>
            <w:hideMark/>
          </w:tcPr>
          <w:p w14:paraId="26AF176B" w14:textId="77777777" w:rsidR="00E66F49" w:rsidRPr="00666914" w:rsidRDefault="00E66F49" w:rsidP="00D27F91">
            <w:pPr>
              <w:spacing w:after="0"/>
              <w:jc w:val="center"/>
              <w:rPr>
                <w:rFonts w:eastAsia="Times New Roman"/>
                <w:color w:val="000000"/>
                <w:sz w:val="20"/>
                <w:szCs w:val="20"/>
                <w:lang w:eastAsia="sk-SK"/>
              </w:rPr>
            </w:pPr>
          </w:p>
        </w:tc>
        <w:tc>
          <w:tcPr>
            <w:tcW w:w="306" w:type="pct"/>
            <w:shd w:val="clear" w:color="auto" w:fill="92D050"/>
            <w:noWrap/>
            <w:vAlign w:val="bottom"/>
            <w:hideMark/>
          </w:tcPr>
          <w:p w14:paraId="2622352C"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A6A6A6" w:themeFill="background1" w:themeFillShade="A6"/>
            <w:noWrap/>
            <w:vAlign w:val="bottom"/>
            <w:hideMark/>
          </w:tcPr>
          <w:p w14:paraId="095E8F89"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1" w:type="pct"/>
            <w:shd w:val="clear" w:color="auto" w:fill="92D050"/>
            <w:noWrap/>
            <w:vAlign w:val="bottom"/>
            <w:hideMark/>
          </w:tcPr>
          <w:p w14:paraId="0BB5373D"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E66F49" w:rsidRPr="00666914" w14:paraId="314483C0" w14:textId="77777777" w:rsidTr="00D27F91">
        <w:trPr>
          <w:trHeight w:val="287"/>
        </w:trPr>
        <w:tc>
          <w:tcPr>
            <w:tcW w:w="212" w:type="pct"/>
            <w:shd w:val="clear" w:color="auto" w:fill="auto"/>
            <w:vAlign w:val="center"/>
            <w:hideMark/>
          </w:tcPr>
          <w:p w14:paraId="373D0238"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lastRenderedPageBreak/>
              <w:t>17</w:t>
            </w:r>
          </w:p>
        </w:tc>
        <w:tc>
          <w:tcPr>
            <w:tcW w:w="1716" w:type="pct"/>
            <w:shd w:val="clear" w:color="auto" w:fill="auto"/>
            <w:vAlign w:val="center"/>
          </w:tcPr>
          <w:p w14:paraId="3A8AF32A"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Rozpočtovať a následne aktualizovať všetky plánované investície na úrovni investičných akcií</w:t>
            </w:r>
          </w:p>
        </w:tc>
        <w:tc>
          <w:tcPr>
            <w:tcW w:w="742" w:type="pct"/>
            <w:shd w:val="clear" w:color="auto" w:fill="auto"/>
            <w:vAlign w:val="center"/>
          </w:tcPr>
          <w:p w14:paraId="7F9F5D68"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 xml:space="preserve">MŠVVaŠ SR </w:t>
            </w:r>
          </w:p>
        </w:tc>
        <w:tc>
          <w:tcPr>
            <w:tcW w:w="519" w:type="pct"/>
            <w:shd w:val="clear" w:color="auto" w:fill="auto"/>
            <w:vAlign w:val="center"/>
          </w:tcPr>
          <w:p w14:paraId="1FCF661B"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10/2017</w:t>
            </w:r>
          </w:p>
        </w:tc>
        <w:tc>
          <w:tcPr>
            <w:tcW w:w="592" w:type="pct"/>
            <w:vAlign w:val="center"/>
          </w:tcPr>
          <w:p w14:paraId="728CCF14"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priebežne</w:t>
            </w:r>
          </w:p>
        </w:tc>
        <w:tc>
          <w:tcPr>
            <w:tcW w:w="306" w:type="pct"/>
            <w:shd w:val="clear" w:color="auto" w:fill="FFC000"/>
            <w:noWrap/>
            <w:vAlign w:val="bottom"/>
            <w:hideMark/>
          </w:tcPr>
          <w:p w14:paraId="1EF13817"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C000"/>
            <w:noWrap/>
            <w:vAlign w:val="bottom"/>
            <w:hideMark/>
          </w:tcPr>
          <w:p w14:paraId="27018DB8"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C000"/>
            <w:noWrap/>
            <w:vAlign w:val="bottom"/>
            <w:hideMark/>
          </w:tcPr>
          <w:p w14:paraId="01A68AA3"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1" w:type="pct"/>
            <w:shd w:val="clear" w:color="auto" w:fill="FFC000"/>
            <w:noWrap/>
            <w:vAlign w:val="bottom"/>
            <w:hideMark/>
          </w:tcPr>
          <w:p w14:paraId="6D214AEE"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E66F49" w:rsidRPr="00666914" w14:paraId="0790FC0D" w14:textId="77777777" w:rsidTr="00D27F91">
        <w:trPr>
          <w:trHeight w:val="748"/>
        </w:trPr>
        <w:tc>
          <w:tcPr>
            <w:tcW w:w="212" w:type="pct"/>
            <w:shd w:val="clear" w:color="auto" w:fill="auto"/>
            <w:vAlign w:val="center"/>
            <w:hideMark/>
          </w:tcPr>
          <w:p w14:paraId="2C7F225C"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18</w:t>
            </w:r>
          </w:p>
        </w:tc>
        <w:tc>
          <w:tcPr>
            <w:tcW w:w="1716" w:type="pct"/>
            <w:shd w:val="clear" w:color="auto" w:fill="auto"/>
            <w:vAlign w:val="center"/>
          </w:tcPr>
          <w:p w14:paraId="2455F373"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Vypracovať rezortnú metodiku pre CBA, ktorá bude vychádzať z Rámca hodnotenia verejných investícií a špecifikuje parametre pre rezort školstva</w:t>
            </w:r>
          </w:p>
        </w:tc>
        <w:tc>
          <w:tcPr>
            <w:tcW w:w="742" w:type="pct"/>
            <w:shd w:val="clear" w:color="auto" w:fill="auto"/>
            <w:vAlign w:val="center"/>
          </w:tcPr>
          <w:p w14:paraId="106935F5"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 xml:space="preserve">MŠVVaŠ SR </w:t>
            </w:r>
          </w:p>
        </w:tc>
        <w:tc>
          <w:tcPr>
            <w:tcW w:w="519" w:type="pct"/>
            <w:shd w:val="clear" w:color="auto" w:fill="auto"/>
            <w:vAlign w:val="center"/>
          </w:tcPr>
          <w:p w14:paraId="2F47ADCE"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01/2018</w:t>
            </w:r>
          </w:p>
        </w:tc>
        <w:tc>
          <w:tcPr>
            <w:tcW w:w="592" w:type="pct"/>
            <w:vAlign w:val="center"/>
          </w:tcPr>
          <w:p w14:paraId="6BE37B58"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06/2019</w:t>
            </w:r>
          </w:p>
        </w:tc>
        <w:tc>
          <w:tcPr>
            <w:tcW w:w="306" w:type="pct"/>
            <w:shd w:val="clear" w:color="auto" w:fill="FF0000"/>
            <w:noWrap/>
            <w:vAlign w:val="bottom"/>
            <w:hideMark/>
          </w:tcPr>
          <w:p w14:paraId="10FFD210"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0000"/>
            <w:noWrap/>
            <w:vAlign w:val="bottom"/>
            <w:hideMark/>
          </w:tcPr>
          <w:p w14:paraId="412A634A"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0000"/>
            <w:noWrap/>
            <w:vAlign w:val="bottom"/>
            <w:hideMark/>
          </w:tcPr>
          <w:p w14:paraId="122FDF8F"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1" w:type="pct"/>
            <w:shd w:val="clear" w:color="auto" w:fill="FF0000"/>
            <w:noWrap/>
            <w:vAlign w:val="bottom"/>
            <w:hideMark/>
          </w:tcPr>
          <w:p w14:paraId="51A023FA"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E66F49" w:rsidRPr="00666914" w14:paraId="40A5F647" w14:textId="77777777" w:rsidTr="00D27F91">
        <w:trPr>
          <w:trHeight w:val="287"/>
        </w:trPr>
        <w:tc>
          <w:tcPr>
            <w:tcW w:w="212" w:type="pct"/>
            <w:shd w:val="clear" w:color="auto" w:fill="auto"/>
            <w:vAlign w:val="center"/>
            <w:hideMark/>
          </w:tcPr>
          <w:p w14:paraId="6022241C"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19</w:t>
            </w:r>
          </w:p>
        </w:tc>
        <w:tc>
          <w:tcPr>
            <w:tcW w:w="1716" w:type="pct"/>
            <w:shd w:val="clear" w:color="auto" w:fill="auto"/>
            <w:vAlign w:val="center"/>
          </w:tcPr>
          <w:p w14:paraId="18D03884"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Pre investície vypracovať a zverejniť štúdiu uskutočniteľnosti a analýzu CBA v súlade s platným Rámcom hodnotenia verejných investícií</w:t>
            </w:r>
          </w:p>
        </w:tc>
        <w:tc>
          <w:tcPr>
            <w:tcW w:w="742" w:type="pct"/>
            <w:shd w:val="clear" w:color="auto" w:fill="auto"/>
            <w:vAlign w:val="center"/>
          </w:tcPr>
          <w:p w14:paraId="0714DA7A"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 xml:space="preserve">MŠVVaŠ SR </w:t>
            </w:r>
          </w:p>
        </w:tc>
        <w:tc>
          <w:tcPr>
            <w:tcW w:w="519" w:type="pct"/>
            <w:shd w:val="clear" w:color="auto" w:fill="auto"/>
            <w:vAlign w:val="center"/>
          </w:tcPr>
          <w:p w14:paraId="460E287A"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06/2018</w:t>
            </w:r>
          </w:p>
        </w:tc>
        <w:tc>
          <w:tcPr>
            <w:tcW w:w="592" w:type="pct"/>
            <w:vAlign w:val="center"/>
          </w:tcPr>
          <w:p w14:paraId="2833A5F7"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priebežne</w:t>
            </w:r>
          </w:p>
        </w:tc>
        <w:tc>
          <w:tcPr>
            <w:tcW w:w="306" w:type="pct"/>
            <w:shd w:val="clear" w:color="auto" w:fill="A6A6A6" w:themeFill="background1" w:themeFillShade="A6"/>
            <w:noWrap/>
            <w:vAlign w:val="bottom"/>
            <w:hideMark/>
          </w:tcPr>
          <w:p w14:paraId="6072BFCF"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92D050"/>
            <w:noWrap/>
            <w:vAlign w:val="bottom"/>
            <w:hideMark/>
          </w:tcPr>
          <w:p w14:paraId="2D354231"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A6A6A6" w:themeFill="background1" w:themeFillShade="A6"/>
            <w:noWrap/>
            <w:vAlign w:val="bottom"/>
            <w:hideMark/>
          </w:tcPr>
          <w:p w14:paraId="6F390B0B"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1" w:type="pct"/>
            <w:shd w:val="clear" w:color="auto" w:fill="A6A6A6" w:themeFill="background1" w:themeFillShade="A6"/>
            <w:noWrap/>
            <w:vAlign w:val="bottom"/>
            <w:hideMark/>
          </w:tcPr>
          <w:p w14:paraId="7A699C81"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E66F49" w:rsidRPr="00666914" w14:paraId="5A6739CE" w14:textId="77777777" w:rsidTr="00D27F91">
        <w:trPr>
          <w:trHeight w:val="287"/>
        </w:trPr>
        <w:tc>
          <w:tcPr>
            <w:tcW w:w="212" w:type="pct"/>
            <w:shd w:val="clear" w:color="auto" w:fill="auto"/>
            <w:vAlign w:val="center"/>
            <w:hideMark/>
          </w:tcPr>
          <w:p w14:paraId="39E5CD8C"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20</w:t>
            </w:r>
          </w:p>
        </w:tc>
        <w:tc>
          <w:tcPr>
            <w:tcW w:w="1716" w:type="pct"/>
            <w:shd w:val="clear" w:color="auto" w:fill="auto"/>
            <w:vAlign w:val="center"/>
          </w:tcPr>
          <w:p w14:paraId="400B3FD6"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Posúdiť projekt Accord</w:t>
            </w:r>
          </w:p>
        </w:tc>
        <w:tc>
          <w:tcPr>
            <w:tcW w:w="742" w:type="pct"/>
            <w:shd w:val="clear" w:color="auto" w:fill="auto"/>
            <w:vAlign w:val="center"/>
          </w:tcPr>
          <w:p w14:paraId="0A9CD5A1"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MŠVVaŠ SR (predloženie) a MF SR (posudok)</w:t>
            </w:r>
          </w:p>
        </w:tc>
        <w:tc>
          <w:tcPr>
            <w:tcW w:w="519" w:type="pct"/>
            <w:shd w:val="clear" w:color="auto" w:fill="auto"/>
            <w:vAlign w:val="center"/>
          </w:tcPr>
          <w:p w14:paraId="3DBC2FA5"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V procese pripomienkovania JASPERS</w:t>
            </w:r>
            <w:r w:rsidRPr="00666914">
              <w:rPr>
                <w:rStyle w:val="Odkaznapoznmkupodiarou"/>
                <w:rFonts w:eastAsia="Times New Roman"/>
                <w:color w:val="000000"/>
                <w:sz w:val="20"/>
                <w:szCs w:val="20"/>
                <w:lang w:eastAsia="sk-SK"/>
              </w:rPr>
              <w:footnoteReference w:id="158"/>
            </w:r>
          </w:p>
        </w:tc>
        <w:tc>
          <w:tcPr>
            <w:tcW w:w="592" w:type="pct"/>
            <w:vAlign w:val="center"/>
          </w:tcPr>
          <w:p w14:paraId="777CA295"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12/2019</w:t>
            </w:r>
          </w:p>
        </w:tc>
        <w:tc>
          <w:tcPr>
            <w:tcW w:w="306" w:type="pct"/>
            <w:shd w:val="clear" w:color="auto" w:fill="FF0000"/>
            <w:noWrap/>
            <w:vAlign w:val="bottom"/>
            <w:hideMark/>
          </w:tcPr>
          <w:p w14:paraId="03761F93"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0000"/>
            <w:noWrap/>
            <w:vAlign w:val="bottom"/>
            <w:hideMark/>
          </w:tcPr>
          <w:p w14:paraId="65A5FE2D"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92D050"/>
            <w:noWrap/>
            <w:vAlign w:val="bottom"/>
            <w:hideMark/>
          </w:tcPr>
          <w:p w14:paraId="2C14F1E5"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1" w:type="pct"/>
            <w:shd w:val="clear" w:color="auto" w:fill="A6A6A6" w:themeFill="background1" w:themeFillShade="A6"/>
            <w:noWrap/>
            <w:vAlign w:val="bottom"/>
            <w:hideMark/>
          </w:tcPr>
          <w:p w14:paraId="3A90A719"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E66F49" w:rsidRPr="00666914" w14:paraId="52833ACE" w14:textId="77777777" w:rsidTr="00D27F91">
        <w:trPr>
          <w:trHeight w:val="302"/>
        </w:trPr>
        <w:tc>
          <w:tcPr>
            <w:tcW w:w="212" w:type="pct"/>
            <w:shd w:val="clear" w:color="auto" w:fill="auto"/>
            <w:vAlign w:val="center"/>
            <w:hideMark/>
          </w:tcPr>
          <w:p w14:paraId="452177DD"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21</w:t>
            </w:r>
          </w:p>
        </w:tc>
        <w:tc>
          <w:tcPr>
            <w:tcW w:w="1716" w:type="pct"/>
            <w:shd w:val="clear" w:color="auto" w:fill="auto"/>
            <w:vAlign w:val="center"/>
          </w:tcPr>
          <w:p w14:paraId="300045EF"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Stanoviť a sledovať nákladovosť a výkonnosť informačných systémov, vrátane podriadených organizácií rezortu</w:t>
            </w:r>
          </w:p>
        </w:tc>
        <w:tc>
          <w:tcPr>
            <w:tcW w:w="742" w:type="pct"/>
            <w:shd w:val="clear" w:color="auto" w:fill="auto"/>
            <w:vAlign w:val="center"/>
          </w:tcPr>
          <w:p w14:paraId="1587A3D7"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 xml:space="preserve">MŠVVaŠ SR </w:t>
            </w:r>
          </w:p>
        </w:tc>
        <w:tc>
          <w:tcPr>
            <w:tcW w:w="519" w:type="pct"/>
            <w:shd w:val="clear" w:color="auto" w:fill="auto"/>
            <w:vAlign w:val="center"/>
          </w:tcPr>
          <w:p w14:paraId="0FA5238F"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01/2019</w:t>
            </w:r>
          </w:p>
        </w:tc>
        <w:tc>
          <w:tcPr>
            <w:tcW w:w="592" w:type="pct"/>
            <w:vAlign w:val="center"/>
          </w:tcPr>
          <w:p w14:paraId="4D51DE1E"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w:t>
            </w:r>
          </w:p>
        </w:tc>
        <w:tc>
          <w:tcPr>
            <w:tcW w:w="306" w:type="pct"/>
            <w:shd w:val="clear" w:color="auto" w:fill="FF0000"/>
            <w:noWrap/>
            <w:vAlign w:val="bottom"/>
            <w:hideMark/>
          </w:tcPr>
          <w:p w14:paraId="58C31571"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C000"/>
            <w:noWrap/>
            <w:vAlign w:val="bottom"/>
            <w:hideMark/>
          </w:tcPr>
          <w:p w14:paraId="4F1A6325"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C000"/>
            <w:noWrap/>
            <w:vAlign w:val="bottom"/>
            <w:hideMark/>
          </w:tcPr>
          <w:p w14:paraId="425A6D24"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1" w:type="pct"/>
            <w:shd w:val="clear" w:color="auto" w:fill="FFC000"/>
            <w:noWrap/>
            <w:vAlign w:val="bottom"/>
            <w:hideMark/>
          </w:tcPr>
          <w:p w14:paraId="2219CABB"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E66F49" w:rsidRPr="00666914" w14:paraId="25D6A138" w14:textId="77777777" w:rsidTr="00D27F91">
        <w:trPr>
          <w:trHeight w:val="287"/>
        </w:trPr>
        <w:tc>
          <w:tcPr>
            <w:tcW w:w="212" w:type="pct"/>
            <w:shd w:val="clear" w:color="auto" w:fill="auto"/>
            <w:vAlign w:val="center"/>
            <w:hideMark/>
          </w:tcPr>
          <w:p w14:paraId="0F73C6A2"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22</w:t>
            </w:r>
          </w:p>
        </w:tc>
        <w:tc>
          <w:tcPr>
            <w:tcW w:w="1716" w:type="pct"/>
            <w:shd w:val="clear" w:color="auto" w:fill="auto"/>
            <w:vAlign w:val="center"/>
          </w:tcPr>
          <w:p w14:paraId="6797E780"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Vypracovať plán migrácie IS do vládneho cloudu</w:t>
            </w:r>
          </w:p>
        </w:tc>
        <w:tc>
          <w:tcPr>
            <w:tcW w:w="742" w:type="pct"/>
            <w:shd w:val="clear" w:color="auto" w:fill="auto"/>
            <w:vAlign w:val="center"/>
          </w:tcPr>
          <w:p w14:paraId="4999119C"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 xml:space="preserve">MŠVVaŠ SR </w:t>
            </w:r>
          </w:p>
        </w:tc>
        <w:tc>
          <w:tcPr>
            <w:tcW w:w="519" w:type="pct"/>
            <w:shd w:val="clear" w:color="auto" w:fill="auto"/>
            <w:vAlign w:val="center"/>
          </w:tcPr>
          <w:p w14:paraId="10456E08"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01/2018</w:t>
            </w:r>
          </w:p>
        </w:tc>
        <w:tc>
          <w:tcPr>
            <w:tcW w:w="592" w:type="pct"/>
            <w:vAlign w:val="center"/>
          </w:tcPr>
          <w:p w14:paraId="529AF302"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06/2019</w:t>
            </w:r>
          </w:p>
        </w:tc>
        <w:tc>
          <w:tcPr>
            <w:tcW w:w="306" w:type="pct"/>
            <w:shd w:val="clear" w:color="auto" w:fill="FFC000"/>
            <w:noWrap/>
            <w:vAlign w:val="bottom"/>
            <w:hideMark/>
          </w:tcPr>
          <w:p w14:paraId="1D698638"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C000"/>
            <w:noWrap/>
            <w:vAlign w:val="bottom"/>
            <w:hideMark/>
          </w:tcPr>
          <w:p w14:paraId="744EDACC"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C000"/>
            <w:noWrap/>
            <w:vAlign w:val="bottom"/>
            <w:hideMark/>
          </w:tcPr>
          <w:p w14:paraId="102CB6C1"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1" w:type="pct"/>
            <w:shd w:val="clear" w:color="auto" w:fill="FFC000"/>
            <w:noWrap/>
            <w:vAlign w:val="bottom"/>
            <w:hideMark/>
          </w:tcPr>
          <w:p w14:paraId="1E6BBA4B"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E66F49" w:rsidRPr="00666914" w14:paraId="2F34C4F5" w14:textId="77777777" w:rsidTr="00D27F91">
        <w:trPr>
          <w:trHeight w:val="287"/>
        </w:trPr>
        <w:tc>
          <w:tcPr>
            <w:tcW w:w="212" w:type="pct"/>
            <w:shd w:val="clear" w:color="auto" w:fill="auto"/>
            <w:vAlign w:val="center"/>
            <w:hideMark/>
          </w:tcPr>
          <w:p w14:paraId="35F3B03F"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23</w:t>
            </w:r>
          </w:p>
        </w:tc>
        <w:tc>
          <w:tcPr>
            <w:tcW w:w="1716" w:type="pct"/>
            <w:shd w:val="clear" w:color="auto" w:fill="auto"/>
            <w:vAlign w:val="center"/>
          </w:tcPr>
          <w:p w14:paraId="60BD1EA0"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Aktualizovať analýzu centralizácie podporných služieb a optimalizácie priestorov a podriadených organizácií rezortu</w:t>
            </w:r>
          </w:p>
        </w:tc>
        <w:tc>
          <w:tcPr>
            <w:tcW w:w="742" w:type="pct"/>
            <w:shd w:val="clear" w:color="auto" w:fill="auto"/>
            <w:vAlign w:val="center"/>
          </w:tcPr>
          <w:p w14:paraId="524CD3BD"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 xml:space="preserve">MŠVVaŠ SR </w:t>
            </w:r>
          </w:p>
        </w:tc>
        <w:tc>
          <w:tcPr>
            <w:tcW w:w="519" w:type="pct"/>
            <w:shd w:val="clear" w:color="auto" w:fill="auto"/>
            <w:vAlign w:val="center"/>
          </w:tcPr>
          <w:p w14:paraId="6863DDE9"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01/2018</w:t>
            </w:r>
          </w:p>
        </w:tc>
        <w:tc>
          <w:tcPr>
            <w:tcW w:w="592" w:type="pct"/>
            <w:vAlign w:val="center"/>
          </w:tcPr>
          <w:p w14:paraId="5A453532"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06/2019</w:t>
            </w:r>
          </w:p>
        </w:tc>
        <w:tc>
          <w:tcPr>
            <w:tcW w:w="306" w:type="pct"/>
            <w:shd w:val="clear" w:color="auto" w:fill="92D050"/>
            <w:noWrap/>
            <w:vAlign w:val="bottom"/>
            <w:hideMark/>
          </w:tcPr>
          <w:p w14:paraId="2C169B2D"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A6A6A6" w:themeFill="background1" w:themeFillShade="A6"/>
            <w:noWrap/>
            <w:vAlign w:val="bottom"/>
            <w:hideMark/>
          </w:tcPr>
          <w:p w14:paraId="7A4BE948"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A6A6A6" w:themeFill="background1" w:themeFillShade="A6"/>
            <w:noWrap/>
            <w:vAlign w:val="bottom"/>
            <w:hideMark/>
          </w:tcPr>
          <w:p w14:paraId="4D416A7D"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1" w:type="pct"/>
            <w:shd w:val="clear" w:color="auto" w:fill="A6A6A6" w:themeFill="background1" w:themeFillShade="A6"/>
            <w:noWrap/>
            <w:vAlign w:val="bottom"/>
            <w:hideMark/>
          </w:tcPr>
          <w:p w14:paraId="619F16A6"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E66F49" w:rsidRPr="00666914" w14:paraId="2A98CEF4" w14:textId="77777777" w:rsidTr="00D27F91">
        <w:trPr>
          <w:trHeight w:val="287"/>
        </w:trPr>
        <w:tc>
          <w:tcPr>
            <w:tcW w:w="212" w:type="pct"/>
            <w:shd w:val="clear" w:color="auto" w:fill="auto"/>
            <w:vAlign w:val="center"/>
            <w:hideMark/>
          </w:tcPr>
          <w:p w14:paraId="1674BF00"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24</w:t>
            </w:r>
          </w:p>
        </w:tc>
        <w:tc>
          <w:tcPr>
            <w:tcW w:w="1716" w:type="pct"/>
            <w:shd w:val="clear" w:color="auto" w:fill="auto"/>
            <w:vAlign w:val="center"/>
          </w:tcPr>
          <w:p w14:paraId="17D02E3B"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Optimalizovať štruktúru a činnosti priamo riadených organizácií</w:t>
            </w:r>
          </w:p>
        </w:tc>
        <w:tc>
          <w:tcPr>
            <w:tcW w:w="742" w:type="pct"/>
            <w:shd w:val="clear" w:color="auto" w:fill="auto"/>
            <w:vAlign w:val="center"/>
          </w:tcPr>
          <w:p w14:paraId="288A4EFF"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 xml:space="preserve">MŠVVaŠ SR </w:t>
            </w:r>
          </w:p>
        </w:tc>
        <w:tc>
          <w:tcPr>
            <w:tcW w:w="519" w:type="pct"/>
            <w:shd w:val="clear" w:color="auto" w:fill="auto"/>
            <w:vAlign w:val="center"/>
          </w:tcPr>
          <w:p w14:paraId="5D056400"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12/2018</w:t>
            </w:r>
          </w:p>
        </w:tc>
        <w:tc>
          <w:tcPr>
            <w:tcW w:w="592" w:type="pct"/>
            <w:vAlign w:val="center"/>
          </w:tcPr>
          <w:p w14:paraId="32DA4C43"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06/2019</w:t>
            </w:r>
          </w:p>
        </w:tc>
        <w:tc>
          <w:tcPr>
            <w:tcW w:w="306" w:type="pct"/>
            <w:shd w:val="clear" w:color="auto" w:fill="FFC000"/>
            <w:noWrap/>
            <w:vAlign w:val="bottom"/>
            <w:hideMark/>
          </w:tcPr>
          <w:p w14:paraId="7BAC6E45"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0000"/>
            <w:noWrap/>
            <w:vAlign w:val="bottom"/>
            <w:hideMark/>
          </w:tcPr>
          <w:p w14:paraId="210F354B"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0000"/>
            <w:noWrap/>
            <w:vAlign w:val="bottom"/>
            <w:hideMark/>
          </w:tcPr>
          <w:p w14:paraId="5F7C4B32"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1" w:type="pct"/>
            <w:shd w:val="clear" w:color="auto" w:fill="FF0000"/>
            <w:noWrap/>
            <w:vAlign w:val="bottom"/>
            <w:hideMark/>
          </w:tcPr>
          <w:p w14:paraId="3E5DABE9"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E66F49" w:rsidRPr="00666914" w14:paraId="45F85F31" w14:textId="77777777" w:rsidTr="00D27F91">
        <w:trPr>
          <w:trHeight w:val="287"/>
        </w:trPr>
        <w:tc>
          <w:tcPr>
            <w:tcW w:w="5000" w:type="pct"/>
            <w:gridSpan w:val="9"/>
            <w:vAlign w:val="center"/>
          </w:tcPr>
          <w:p w14:paraId="43484127"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DÁTA ANALÝZA</w:t>
            </w:r>
          </w:p>
        </w:tc>
      </w:tr>
      <w:tr w:rsidR="00E66F49" w:rsidRPr="00666914" w14:paraId="2CFDB1FC" w14:textId="77777777" w:rsidTr="00D27F91">
        <w:trPr>
          <w:trHeight w:val="287"/>
        </w:trPr>
        <w:tc>
          <w:tcPr>
            <w:tcW w:w="212" w:type="pct"/>
            <w:shd w:val="clear" w:color="auto" w:fill="auto"/>
            <w:vAlign w:val="center"/>
            <w:hideMark/>
          </w:tcPr>
          <w:p w14:paraId="6468B576"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25</w:t>
            </w:r>
          </w:p>
        </w:tc>
        <w:tc>
          <w:tcPr>
            <w:tcW w:w="1716" w:type="pct"/>
            <w:shd w:val="clear" w:color="auto" w:fill="auto"/>
            <w:vAlign w:val="center"/>
          </w:tcPr>
          <w:p w14:paraId="200667D4"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Zabezpečiť prepojenie administratívnych databáz o absolventoch stredných a vysokých škôl a pripraviť a realizovať absolventské a zamestnávateľské prieskumy</w:t>
            </w:r>
          </w:p>
        </w:tc>
        <w:tc>
          <w:tcPr>
            <w:tcW w:w="742" w:type="pct"/>
            <w:shd w:val="clear" w:color="auto" w:fill="auto"/>
            <w:vAlign w:val="center"/>
          </w:tcPr>
          <w:p w14:paraId="30CA0270"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MŠVVaŠ SR, SP, ÚPSVaR</w:t>
            </w:r>
          </w:p>
        </w:tc>
        <w:tc>
          <w:tcPr>
            <w:tcW w:w="519" w:type="pct"/>
            <w:shd w:val="clear" w:color="auto" w:fill="auto"/>
            <w:vAlign w:val="center"/>
          </w:tcPr>
          <w:p w14:paraId="50CC5508"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01/2019</w:t>
            </w:r>
          </w:p>
        </w:tc>
        <w:tc>
          <w:tcPr>
            <w:tcW w:w="592" w:type="pct"/>
            <w:vAlign w:val="center"/>
          </w:tcPr>
          <w:p w14:paraId="49E705A6"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w:t>
            </w:r>
          </w:p>
        </w:tc>
        <w:tc>
          <w:tcPr>
            <w:tcW w:w="306" w:type="pct"/>
            <w:shd w:val="clear" w:color="auto" w:fill="FF0000"/>
            <w:noWrap/>
            <w:vAlign w:val="bottom"/>
            <w:hideMark/>
          </w:tcPr>
          <w:p w14:paraId="3ED080CE"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0000"/>
            <w:noWrap/>
            <w:vAlign w:val="bottom"/>
            <w:hideMark/>
          </w:tcPr>
          <w:p w14:paraId="5FEA2DF5"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0000"/>
            <w:noWrap/>
            <w:vAlign w:val="bottom"/>
            <w:hideMark/>
          </w:tcPr>
          <w:p w14:paraId="35F20904"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1" w:type="pct"/>
            <w:shd w:val="clear" w:color="auto" w:fill="FFC000"/>
            <w:noWrap/>
            <w:vAlign w:val="bottom"/>
            <w:hideMark/>
          </w:tcPr>
          <w:p w14:paraId="21509F58"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bl>
    <w:p w14:paraId="1BA1E12C" w14:textId="77777777" w:rsidR="00E66F49" w:rsidRPr="00666914" w:rsidRDefault="00E66F49" w:rsidP="00D27F91">
      <w:pPr>
        <w:jc w:val="left"/>
      </w:pPr>
    </w:p>
    <w:p w14:paraId="2C48198C" w14:textId="58CC7E4C" w:rsidR="00E66F49" w:rsidRPr="00666914" w:rsidRDefault="00E66F49" w:rsidP="003E2457">
      <w:pPr>
        <w:pStyle w:val="tabulka"/>
        <w:pBdr>
          <w:bottom w:val="none" w:sz="0" w:space="0" w:color="auto"/>
        </w:pBdr>
      </w:pPr>
      <w:bookmarkStart w:id="286" w:name="_Toc21522812"/>
      <w:bookmarkStart w:id="287" w:name="_Toc38447716"/>
      <w:r w:rsidRPr="00666914">
        <w:t xml:space="preserve">Tabuľka </w:t>
      </w:r>
      <w:r w:rsidRPr="00666914">
        <w:rPr>
          <w:noProof/>
        </w:rPr>
        <w:fldChar w:fldCharType="begin"/>
      </w:r>
      <w:r w:rsidRPr="00666914">
        <w:rPr>
          <w:noProof/>
        </w:rPr>
        <w:instrText xml:space="preserve"> SEQ Tabuľka \* ARABIC \* MERGEFORMAT </w:instrText>
      </w:r>
      <w:r w:rsidRPr="00666914">
        <w:rPr>
          <w:noProof/>
        </w:rPr>
        <w:fldChar w:fldCharType="separate"/>
      </w:r>
      <w:r w:rsidR="005A7304">
        <w:rPr>
          <w:noProof/>
        </w:rPr>
        <w:t>55</w:t>
      </w:r>
      <w:r w:rsidRPr="00666914">
        <w:rPr>
          <w:noProof/>
        </w:rPr>
        <w:fldChar w:fldCharType="end"/>
      </w:r>
      <w:r w:rsidRPr="00666914">
        <w:t>: Opatrenia Revízie výdavkov na vzdelávanie splnené v roku 2018</w:t>
      </w:r>
      <w:bookmarkEnd w:id="286"/>
      <w:bookmarkEnd w:id="287"/>
    </w:p>
    <w:tbl>
      <w:tblPr>
        <w:tblW w:w="54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8"/>
        <w:gridCol w:w="3615"/>
        <w:gridCol w:w="1505"/>
        <w:gridCol w:w="904"/>
        <w:gridCol w:w="1205"/>
        <w:gridCol w:w="567"/>
        <w:gridCol w:w="568"/>
        <w:gridCol w:w="568"/>
        <w:gridCol w:w="568"/>
      </w:tblGrid>
      <w:tr w:rsidR="00243F98" w:rsidRPr="00666914" w14:paraId="711D2515" w14:textId="77777777" w:rsidTr="003E2457">
        <w:trPr>
          <w:trHeight w:val="510"/>
        </w:trPr>
        <w:tc>
          <w:tcPr>
            <w:tcW w:w="447" w:type="dxa"/>
            <w:shd w:val="clear" w:color="auto" w:fill="auto"/>
            <w:vAlign w:val="center"/>
          </w:tcPr>
          <w:p w14:paraId="6508CB0D" w14:textId="77777777" w:rsidR="00E66F49" w:rsidRPr="00666914" w:rsidRDefault="00E66F49" w:rsidP="00D27F91">
            <w:pPr>
              <w:spacing w:after="0"/>
              <w:jc w:val="left"/>
              <w:rPr>
                <w:rFonts w:eastAsia="Times New Roman"/>
                <w:bCs/>
                <w:color w:val="000000"/>
                <w:sz w:val="20"/>
                <w:szCs w:val="20"/>
                <w:lang w:eastAsia="sk-SK"/>
              </w:rPr>
            </w:pPr>
          </w:p>
        </w:tc>
        <w:tc>
          <w:tcPr>
            <w:tcW w:w="3615" w:type="dxa"/>
            <w:shd w:val="clear" w:color="auto" w:fill="auto"/>
            <w:vAlign w:val="center"/>
          </w:tcPr>
          <w:p w14:paraId="1D629E99" w14:textId="77777777" w:rsidR="00E66F49" w:rsidRPr="00666914" w:rsidRDefault="00E66F49" w:rsidP="00D27F91">
            <w:pPr>
              <w:spacing w:after="0"/>
              <w:jc w:val="center"/>
              <w:rPr>
                <w:rFonts w:eastAsia="Times New Roman"/>
                <w:b/>
                <w:bCs/>
                <w:color w:val="000000"/>
                <w:sz w:val="20"/>
                <w:szCs w:val="20"/>
                <w:lang w:eastAsia="sk-SK"/>
              </w:rPr>
            </w:pPr>
          </w:p>
          <w:p w14:paraId="6B6B0422"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Opatrenie</w:t>
            </w:r>
          </w:p>
          <w:p w14:paraId="038A812B" w14:textId="77777777" w:rsidR="00E66F49" w:rsidRPr="00666914" w:rsidRDefault="00E66F49" w:rsidP="00D27F91">
            <w:pPr>
              <w:spacing w:after="0"/>
              <w:jc w:val="left"/>
              <w:rPr>
                <w:rFonts w:eastAsia="Times New Roman"/>
                <w:color w:val="000000"/>
                <w:sz w:val="20"/>
                <w:szCs w:val="20"/>
                <w:lang w:eastAsia="sk-SK"/>
              </w:rPr>
            </w:pPr>
          </w:p>
        </w:tc>
        <w:tc>
          <w:tcPr>
            <w:tcW w:w="1505" w:type="dxa"/>
            <w:shd w:val="clear" w:color="auto" w:fill="auto"/>
            <w:vAlign w:val="center"/>
          </w:tcPr>
          <w:p w14:paraId="738A08FD"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b/>
                <w:bCs/>
                <w:color w:val="000000"/>
                <w:sz w:val="20"/>
                <w:szCs w:val="20"/>
                <w:lang w:eastAsia="sk-SK"/>
              </w:rPr>
              <w:t>Zodpovednosť</w:t>
            </w:r>
          </w:p>
        </w:tc>
        <w:tc>
          <w:tcPr>
            <w:tcW w:w="904" w:type="dxa"/>
            <w:shd w:val="clear" w:color="auto" w:fill="auto"/>
            <w:vAlign w:val="center"/>
          </w:tcPr>
          <w:p w14:paraId="1187BEDC"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b/>
                <w:bCs/>
                <w:color w:val="000000"/>
                <w:sz w:val="20"/>
                <w:szCs w:val="20"/>
                <w:lang w:eastAsia="sk-SK"/>
              </w:rPr>
              <w:t>Termín plnenia</w:t>
            </w:r>
          </w:p>
        </w:tc>
        <w:tc>
          <w:tcPr>
            <w:tcW w:w="1205" w:type="dxa"/>
            <w:shd w:val="clear" w:color="auto" w:fill="auto"/>
            <w:vAlign w:val="center"/>
          </w:tcPr>
          <w:p w14:paraId="1FB1B599"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Nový termín plnenia</w:t>
            </w:r>
          </w:p>
        </w:tc>
        <w:tc>
          <w:tcPr>
            <w:tcW w:w="567" w:type="dxa"/>
            <w:shd w:val="clear" w:color="auto" w:fill="auto"/>
            <w:noWrap/>
            <w:vAlign w:val="center"/>
          </w:tcPr>
          <w:p w14:paraId="7F90607B" w14:textId="77777777" w:rsidR="00E66F49" w:rsidRPr="00666914" w:rsidRDefault="00E66F49" w:rsidP="00D27F91">
            <w:pPr>
              <w:spacing w:after="0"/>
              <w:jc w:val="center"/>
              <w:rPr>
                <w:rFonts w:eastAsia="Times New Roman"/>
                <w:color w:val="C00000"/>
                <w:sz w:val="20"/>
                <w:szCs w:val="20"/>
                <w:lang w:eastAsia="sk-SK"/>
              </w:rPr>
            </w:pPr>
            <w:r w:rsidRPr="00666914">
              <w:rPr>
                <w:rFonts w:eastAsia="Times New Roman"/>
                <w:b/>
                <w:bCs/>
                <w:color w:val="000000"/>
                <w:sz w:val="20"/>
                <w:szCs w:val="20"/>
                <w:lang w:eastAsia="sk-SK"/>
              </w:rPr>
              <w:t>1Q 2018</w:t>
            </w:r>
          </w:p>
        </w:tc>
        <w:tc>
          <w:tcPr>
            <w:tcW w:w="568" w:type="dxa"/>
            <w:shd w:val="clear" w:color="auto" w:fill="auto"/>
            <w:noWrap/>
            <w:vAlign w:val="center"/>
          </w:tcPr>
          <w:p w14:paraId="60D24DD6" w14:textId="77777777" w:rsidR="00E66F49" w:rsidRPr="00666914" w:rsidRDefault="00E66F49" w:rsidP="00D27F91">
            <w:pPr>
              <w:spacing w:after="0"/>
              <w:jc w:val="center"/>
              <w:rPr>
                <w:rFonts w:eastAsia="Times New Roman"/>
                <w:color w:val="FFFFFF" w:themeColor="background1"/>
                <w:sz w:val="20"/>
                <w:szCs w:val="20"/>
                <w:lang w:eastAsia="sk-SK"/>
              </w:rPr>
            </w:pPr>
            <w:r w:rsidRPr="00666914">
              <w:rPr>
                <w:rFonts w:eastAsia="Times New Roman"/>
                <w:b/>
                <w:bCs/>
                <w:color w:val="000000"/>
                <w:sz w:val="20"/>
                <w:szCs w:val="20"/>
                <w:lang w:eastAsia="sk-SK"/>
              </w:rPr>
              <w:t>2Q 2018</w:t>
            </w:r>
          </w:p>
        </w:tc>
        <w:tc>
          <w:tcPr>
            <w:tcW w:w="568" w:type="dxa"/>
            <w:shd w:val="clear" w:color="auto" w:fill="auto"/>
            <w:noWrap/>
            <w:vAlign w:val="center"/>
          </w:tcPr>
          <w:p w14:paraId="7F00EE05" w14:textId="77777777" w:rsidR="00E66F49" w:rsidRPr="00666914" w:rsidRDefault="00E66F49" w:rsidP="00D27F91">
            <w:pPr>
              <w:spacing w:after="0"/>
              <w:jc w:val="center"/>
              <w:rPr>
                <w:rFonts w:eastAsia="Times New Roman"/>
                <w:color w:val="C00000"/>
                <w:sz w:val="20"/>
                <w:szCs w:val="20"/>
                <w:lang w:eastAsia="sk-SK"/>
              </w:rPr>
            </w:pPr>
            <w:r w:rsidRPr="00666914">
              <w:rPr>
                <w:rFonts w:eastAsia="Times New Roman"/>
                <w:b/>
                <w:bCs/>
                <w:color w:val="000000"/>
                <w:sz w:val="20"/>
                <w:szCs w:val="20"/>
                <w:lang w:eastAsia="sk-SK"/>
              </w:rPr>
              <w:t>3Q 2018</w:t>
            </w:r>
          </w:p>
        </w:tc>
        <w:tc>
          <w:tcPr>
            <w:tcW w:w="568" w:type="dxa"/>
            <w:shd w:val="clear" w:color="auto" w:fill="auto"/>
            <w:noWrap/>
            <w:vAlign w:val="center"/>
          </w:tcPr>
          <w:p w14:paraId="61B82981" w14:textId="77777777" w:rsidR="00E66F49" w:rsidRPr="00666914" w:rsidRDefault="00E66F49" w:rsidP="00D27F91">
            <w:pPr>
              <w:spacing w:after="0"/>
              <w:jc w:val="center"/>
              <w:rPr>
                <w:rFonts w:eastAsia="Times New Roman"/>
                <w:color w:val="C00000"/>
                <w:sz w:val="20"/>
                <w:szCs w:val="20"/>
                <w:lang w:eastAsia="sk-SK"/>
              </w:rPr>
            </w:pPr>
            <w:r w:rsidRPr="00666914">
              <w:rPr>
                <w:rFonts w:eastAsia="Times New Roman"/>
                <w:b/>
                <w:bCs/>
                <w:color w:val="000000"/>
                <w:sz w:val="20"/>
                <w:szCs w:val="20"/>
                <w:lang w:eastAsia="sk-SK"/>
              </w:rPr>
              <w:t>4Q 2018</w:t>
            </w:r>
          </w:p>
        </w:tc>
      </w:tr>
      <w:tr w:rsidR="00243F98" w:rsidRPr="00666914" w14:paraId="39CCF398" w14:textId="77777777" w:rsidTr="003E2457">
        <w:trPr>
          <w:trHeight w:val="302"/>
        </w:trPr>
        <w:tc>
          <w:tcPr>
            <w:tcW w:w="447" w:type="dxa"/>
            <w:shd w:val="clear" w:color="auto" w:fill="auto"/>
            <w:vAlign w:val="center"/>
            <w:hideMark/>
          </w:tcPr>
          <w:p w14:paraId="06249410" w14:textId="77777777" w:rsidR="00E66F49" w:rsidRPr="00666914" w:rsidRDefault="00E66F49" w:rsidP="00D27F91">
            <w:pPr>
              <w:spacing w:after="0"/>
              <w:jc w:val="left"/>
              <w:rPr>
                <w:rFonts w:eastAsia="Times New Roman"/>
                <w:bCs/>
                <w:color w:val="000000"/>
                <w:sz w:val="20"/>
                <w:szCs w:val="20"/>
                <w:lang w:eastAsia="sk-SK"/>
              </w:rPr>
            </w:pPr>
          </w:p>
        </w:tc>
        <w:tc>
          <w:tcPr>
            <w:tcW w:w="3615" w:type="dxa"/>
            <w:shd w:val="clear" w:color="auto" w:fill="auto"/>
            <w:vAlign w:val="center"/>
            <w:hideMark/>
          </w:tcPr>
          <w:p w14:paraId="4450DFFC"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Pri alokácii zdrojov školám zohľadňovať dĺžku praxe pedagogických zamestnancov</w:t>
            </w:r>
          </w:p>
        </w:tc>
        <w:tc>
          <w:tcPr>
            <w:tcW w:w="1505" w:type="dxa"/>
            <w:shd w:val="clear" w:color="auto" w:fill="auto"/>
            <w:vAlign w:val="center"/>
            <w:hideMark/>
          </w:tcPr>
          <w:p w14:paraId="6DADACE5"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MŠVVaŠ SR</w:t>
            </w:r>
          </w:p>
        </w:tc>
        <w:tc>
          <w:tcPr>
            <w:tcW w:w="904" w:type="dxa"/>
            <w:shd w:val="clear" w:color="auto" w:fill="auto"/>
            <w:vAlign w:val="center"/>
            <w:hideMark/>
          </w:tcPr>
          <w:p w14:paraId="3ACED20A"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12/2019</w:t>
            </w:r>
          </w:p>
        </w:tc>
        <w:tc>
          <w:tcPr>
            <w:tcW w:w="1205" w:type="dxa"/>
            <w:shd w:val="clear" w:color="auto" w:fill="auto"/>
            <w:vAlign w:val="center"/>
          </w:tcPr>
          <w:p w14:paraId="2B5CA56C" w14:textId="77777777" w:rsidR="00E66F49" w:rsidRPr="00666914" w:rsidRDefault="00E66F49" w:rsidP="00D27F91">
            <w:pPr>
              <w:spacing w:after="0"/>
              <w:jc w:val="center"/>
              <w:rPr>
                <w:rFonts w:eastAsia="Times New Roman"/>
                <w:sz w:val="20"/>
                <w:szCs w:val="20"/>
                <w:lang w:eastAsia="sk-SK"/>
              </w:rPr>
            </w:pPr>
            <w:r w:rsidRPr="00666914">
              <w:rPr>
                <w:rFonts w:eastAsia="Times New Roman"/>
                <w:sz w:val="20"/>
                <w:szCs w:val="20"/>
                <w:lang w:eastAsia="sk-SK"/>
              </w:rPr>
              <w:t>-</w:t>
            </w:r>
          </w:p>
        </w:tc>
        <w:tc>
          <w:tcPr>
            <w:tcW w:w="567" w:type="dxa"/>
            <w:shd w:val="clear" w:color="auto" w:fill="A6A6A6" w:themeFill="background1" w:themeFillShade="A6"/>
            <w:noWrap/>
            <w:vAlign w:val="bottom"/>
            <w:hideMark/>
          </w:tcPr>
          <w:p w14:paraId="1C42E745" w14:textId="77777777" w:rsidR="00E66F49" w:rsidRPr="00666914" w:rsidRDefault="00E66F49" w:rsidP="00D27F91">
            <w:pPr>
              <w:spacing w:after="0"/>
              <w:jc w:val="center"/>
              <w:rPr>
                <w:rFonts w:eastAsia="Times New Roman"/>
                <w:color w:val="C00000"/>
                <w:sz w:val="20"/>
                <w:szCs w:val="20"/>
                <w:lang w:eastAsia="sk-SK"/>
              </w:rPr>
            </w:pPr>
          </w:p>
        </w:tc>
        <w:tc>
          <w:tcPr>
            <w:tcW w:w="568" w:type="dxa"/>
            <w:shd w:val="clear" w:color="auto" w:fill="A6A6A6" w:themeFill="background1" w:themeFillShade="A6"/>
            <w:noWrap/>
            <w:vAlign w:val="bottom"/>
            <w:hideMark/>
          </w:tcPr>
          <w:p w14:paraId="4DAEFD09" w14:textId="77777777" w:rsidR="00E66F49" w:rsidRPr="00666914" w:rsidRDefault="00E66F49" w:rsidP="00D27F91">
            <w:pPr>
              <w:spacing w:after="0"/>
              <w:jc w:val="center"/>
              <w:rPr>
                <w:rFonts w:eastAsia="Times New Roman"/>
                <w:color w:val="FFFFFF" w:themeColor="background1"/>
                <w:sz w:val="20"/>
                <w:szCs w:val="20"/>
                <w:lang w:eastAsia="sk-SK"/>
              </w:rPr>
            </w:pPr>
          </w:p>
        </w:tc>
        <w:tc>
          <w:tcPr>
            <w:tcW w:w="568" w:type="dxa"/>
            <w:shd w:val="clear" w:color="auto" w:fill="A6A6A6" w:themeFill="background1" w:themeFillShade="A6"/>
            <w:noWrap/>
            <w:vAlign w:val="bottom"/>
            <w:hideMark/>
          </w:tcPr>
          <w:p w14:paraId="4D2E1A3C" w14:textId="77777777" w:rsidR="00E66F49" w:rsidRPr="00666914" w:rsidRDefault="00E66F49" w:rsidP="00D27F91">
            <w:pPr>
              <w:spacing w:after="0"/>
              <w:jc w:val="center"/>
              <w:rPr>
                <w:rFonts w:eastAsia="Times New Roman"/>
                <w:color w:val="C00000"/>
                <w:sz w:val="20"/>
                <w:szCs w:val="20"/>
                <w:lang w:eastAsia="sk-SK"/>
              </w:rPr>
            </w:pPr>
          </w:p>
        </w:tc>
        <w:tc>
          <w:tcPr>
            <w:tcW w:w="568" w:type="dxa"/>
            <w:shd w:val="clear" w:color="auto" w:fill="00B050"/>
            <w:noWrap/>
            <w:vAlign w:val="bottom"/>
            <w:hideMark/>
          </w:tcPr>
          <w:p w14:paraId="7CB15313" w14:textId="77777777" w:rsidR="00E66F49" w:rsidRPr="00666914" w:rsidRDefault="00E66F49" w:rsidP="00D27F91">
            <w:pPr>
              <w:spacing w:after="0"/>
              <w:jc w:val="center"/>
              <w:rPr>
                <w:rFonts w:eastAsia="Times New Roman"/>
                <w:color w:val="C00000"/>
                <w:sz w:val="20"/>
                <w:szCs w:val="20"/>
                <w:lang w:eastAsia="sk-SK"/>
              </w:rPr>
            </w:pPr>
          </w:p>
        </w:tc>
      </w:tr>
      <w:tr w:rsidR="00243F98" w:rsidRPr="00666914" w14:paraId="01585C46" w14:textId="77777777" w:rsidTr="003E2457">
        <w:trPr>
          <w:trHeight w:val="302"/>
        </w:trPr>
        <w:tc>
          <w:tcPr>
            <w:tcW w:w="447" w:type="dxa"/>
            <w:shd w:val="clear" w:color="auto" w:fill="auto"/>
            <w:vAlign w:val="center"/>
            <w:hideMark/>
          </w:tcPr>
          <w:p w14:paraId="06A9D315" w14:textId="77777777" w:rsidR="00E66F49" w:rsidRPr="00666914" w:rsidRDefault="00E66F49" w:rsidP="00D27F91">
            <w:pPr>
              <w:spacing w:after="0"/>
              <w:jc w:val="left"/>
              <w:rPr>
                <w:rFonts w:eastAsia="Times New Roman"/>
                <w:bCs/>
                <w:color w:val="000000"/>
                <w:sz w:val="20"/>
                <w:szCs w:val="20"/>
                <w:lang w:eastAsia="sk-SK"/>
              </w:rPr>
            </w:pPr>
          </w:p>
        </w:tc>
        <w:tc>
          <w:tcPr>
            <w:tcW w:w="3615" w:type="dxa"/>
            <w:shd w:val="clear" w:color="auto" w:fill="auto"/>
            <w:vAlign w:val="center"/>
            <w:hideMark/>
          </w:tcPr>
          <w:p w14:paraId="3C137D55"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Realizovať pilotný prieskum atraktivity učiteľskej profesie</w:t>
            </w:r>
          </w:p>
        </w:tc>
        <w:tc>
          <w:tcPr>
            <w:tcW w:w="1505" w:type="dxa"/>
            <w:shd w:val="clear" w:color="auto" w:fill="auto"/>
            <w:vAlign w:val="center"/>
            <w:hideMark/>
          </w:tcPr>
          <w:p w14:paraId="52BC0244"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 xml:space="preserve">MŠVVaŠ SR, </w:t>
            </w:r>
          </w:p>
          <w:p w14:paraId="11AFC31F"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MF SR</w:t>
            </w:r>
          </w:p>
        </w:tc>
        <w:tc>
          <w:tcPr>
            <w:tcW w:w="904" w:type="dxa"/>
            <w:shd w:val="clear" w:color="auto" w:fill="auto"/>
            <w:vAlign w:val="center"/>
            <w:hideMark/>
          </w:tcPr>
          <w:p w14:paraId="1EDD3CA1"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01/2018</w:t>
            </w:r>
          </w:p>
        </w:tc>
        <w:tc>
          <w:tcPr>
            <w:tcW w:w="1205" w:type="dxa"/>
            <w:shd w:val="clear" w:color="auto" w:fill="auto"/>
            <w:vAlign w:val="center"/>
          </w:tcPr>
          <w:p w14:paraId="286BA117"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w:t>
            </w:r>
          </w:p>
        </w:tc>
        <w:tc>
          <w:tcPr>
            <w:tcW w:w="567" w:type="dxa"/>
            <w:shd w:val="clear" w:color="auto" w:fill="FF0000"/>
            <w:noWrap/>
            <w:vAlign w:val="bottom"/>
            <w:hideMark/>
          </w:tcPr>
          <w:p w14:paraId="440FB676" w14:textId="77777777" w:rsidR="00E66F49" w:rsidRPr="00666914" w:rsidRDefault="00E66F49" w:rsidP="00D27F91">
            <w:pPr>
              <w:spacing w:after="0"/>
              <w:jc w:val="center"/>
              <w:rPr>
                <w:rFonts w:eastAsia="Times New Roman"/>
                <w:color w:val="C00000"/>
                <w:sz w:val="20"/>
                <w:szCs w:val="20"/>
                <w:lang w:eastAsia="sk-SK"/>
              </w:rPr>
            </w:pPr>
          </w:p>
        </w:tc>
        <w:tc>
          <w:tcPr>
            <w:tcW w:w="568" w:type="dxa"/>
            <w:shd w:val="clear" w:color="auto" w:fill="92D050"/>
            <w:noWrap/>
            <w:vAlign w:val="bottom"/>
            <w:hideMark/>
          </w:tcPr>
          <w:p w14:paraId="29D7B52B" w14:textId="77777777" w:rsidR="00E66F49" w:rsidRPr="00666914" w:rsidRDefault="00E66F49" w:rsidP="00D27F91">
            <w:pPr>
              <w:spacing w:after="0"/>
              <w:jc w:val="center"/>
              <w:rPr>
                <w:rFonts w:eastAsia="Times New Roman"/>
                <w:color w:val="000000"/>
                <w:sz w:val="20"/>
                <w:szCs w:val="20"/>
                <w:lang w:eastAsia="sk-SK"/>
              </w:rPr>
            </w:pPr>
          </w:p>
        </w:tc>
        <w:tc>
          <w:tcPr>
            <w:tcW w:w="568" w:type="dxa"/>
            <w:shd w:val="clear" w:color="auto" w:fill="92D050"/>
            <w:noWrap/>
            <w:vAlign w:val="bottom"/>
            <w:hideMark/>
          </w:tcPr>
          <w:p w14:paraId="534E0677" w14:textId="77777777" w:rsidR="00E66F49" w:rsidRPr="00666914" w:rsidRDefault="00E66F49" w:rsidP="00D27F91">
            <w:pPr>
              <w:spacing w:after="0"/>
              <w:jc w:val="center"/>
              <w:rPr>
                <w:rFonts w:eastAsia="Times New Roman"/>
                <w:color w:val="000000"/>
                <w:sz w:val="20"/>
                <w:szCs w:val="20"/>
                <w:lang w:eastAsia="sk-SK"/>
              </w:rPr>
            </w:pPr>
          </w:p>
        </w:tc>
        <w:tc>
          <w:tcPr>
            <w:tcW w:w="568" w:type="dxa"/>
            <w:shd w:val="clear" w:color="auto" w:fill="92D050"/>
            <w:noWrap/>
            <w:vAlign w:val="bottom"/>
            <w:hideMark/>
          </w:tcPr>
          <w:p w14:paraId="735AE6E2" w14:textId="77777777" w:rsidR="00E66F49" w:rsidRPr="00666914" w:rsidRDefault="00E66F49" w:rsidP="00D27F91">
            <w:pPr>
              <w:spacing w:after="0"/>
              <w:jc w:val="center"/>
              <w:rPr>
                <w:rFonts w:eastAsia="Times New Roman"/>
                <w:color w:val="000000"/>
                <w:sz w:val="20"/>
                <w:szCs w:val="20"/>
                <w:lang w:eastAsia="sk-SK"/>
              </w:rPr>
            </w:pPr>
          </w:p>
        </w:tc>
      </w:tr>
    </w:tbl>
    <w:p w14:paraId="35D899C2" w14:textId="77777777" w:rsidR="00E66F49" w:rsidRPr="00666914" w:rsidRDefault="00E66F49" w:rsidP="00D27F91">
      <w:pPr>
        <w:jc w:val="left"/>
      </w:pPr>
    </w:p>
    <w:p w14:paraId="518F8763" w14:textId="77777777" w:rsidR="00E66F49" w:rsidRPr="00666914" w:rsidRDefault="00E66F49" w:rsidP="00D27F91">
      <w:pPr>
        <w:jc w:val="left"/>
      </w:pPr>
    </w:p>
    <w:p w14:paraId="0A49B317" w14:textId="77777777" w:rsidR="00E66F49" w:rsidRPr="00666914" w:rsidRDefault="00E66F49" w:rsidP="00D27F91">
      <w:pPr>
        <w:jc w:val="left"/>
      </w:pPr>
      <w:r w:rsidRPr="00666914">
        <w:br w:type="page"/>
      </w:r>
    </w:p>
    <w:p w14:paraId="48682FD4" w14:textId="77777777" w:rsidR="00E66F49" w:rsidRPr="00666914" w:rsidRDefault="00E66F49" w:rsidP="00E66F49">
      <w:pPr>
        <w:pStyle w:val="Nadpis2"/>
        <w:spacing w:line="240" w:lineRule="auto"/>
        <w:ind w:left="1070"/>
      </w:pPr>
      <w:bookmarkStart w:id="288" w:name="_Toc6321905"/>
      <w:bookmarkStart w:id="289" w:name="_Toc38447604"/>
      <w:r w:rsidRPr="00666914">
        <w:lastRenderedPageBreak/>
        <w:t>Regionálne školstvo</w:t>
      </w:r>
      <w:bookmarkEnd w:id="288"/>
      <w:bookmarkEnd w:id="289"/>
    </w:p>
    <w:tbl>
      <w:tblPr>
        <w:tblW w:w="53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3405"/>
        <w:gridCol w:w="1303"/>
        <w:gridCol w:w="1030"/>
        <w:gridCol w:w="1180"/>
        <w:gridCol w:w="609"/>
        <w:gridCol w:w="609"/>
        <w:gridCol w:w="609"/>
        <w:gridCol w:w="591"/>
      </w:tblGrid>
      <w:tr w:rsidR="00B467BC" w:rsidRPr="00666914" w14:paraId="7369C571" w14:textId="77777777" w:rsidTr="003E2457">
        <w:trPr>
          <w:trHeight w:val="316"/>
          <w:tblHeader/>
        </w:trPr>
        <w:tc>
          <w:tcPr>
            <w:tcW w:w="215" w:type="pct"/>
            <w:shd w:val="clear" w:color="auto" w:fill="auto"/>
            <w:noWrap/>
            <w:vAlign w:val="center"/>
            <w:hideMark/>
          </w:tcPr>
          <w:p w14:paraId="5FFFB3E0" w14:textId="77777777" w:rsidR="00E66F49" w:rsidRPr="00666914" w:rsidRDefault="00E66F49" w:rsidP="00D27F91">
            <w:pPr>
              <w:spacing w:after="0"/>
              <w:jc w:val="center"/>
              <w:rPr>
                <w:rFonts w:eastAsia="Times New Roman"/>
                <w:b/>
                <w:bCs/>
                <w:color w:val="000000"/>
                <w:sz w:val="20"/>
                <w:szCs w:val="20"/>
                <w:lang w:eastAsia="sk-SK"/>
              </w:rPr>
            </w:pPr>
          </w:p>
        </w:tc>
        <w:tc>
          <w:tcPr>
            <w:tcW w:w="1745" w:type="pct"/>
            <w:shd w:val="clear" w:color="auto" w:fill="auto"/>
            <w:noWrap/>
            <w:vAlign w:val="center"/>
            <w:hideMark/>
          </w:tcPr>
          <w:p w14:paraId="6FA48CBC"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VZDELÁVANIE</w:t>
            </w:r>
          </w:p>
        </w:tc>
        <w:tc>
          <w:tcPr>
            <w:tcW w:w="668" w:type="pct"/>
            <w:shd w:val="clear" w:color="auto" w:fill="auto"/>
            <w:noWrap/>
            <w:vAlign w:val="center"/>
            <w:hideMark/>
          </w:tcPr>
          <w:p w14:paraId="16B80BE0"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Zodpovednosť</w:t>
            </w:r>
          </w:p>
        </w:tc>
        <w:tc>
          <w:tcPr>
            <w:tcW w:w="528" w:type="pct"/>
            <w:shd w:val="clear" w:color="auto" w:fill="auto"/>
            <w:noWrap/>
            <w:vAlign w:val="center"/>
            <w:hideMark/>
          </w:tcPr>
          <w:p w14:paraId="2DAC425B"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Termín plnenia</w:t>
            </w:r>
          </w:p>
        </w:tc>
        <w:tc>
          <w:tcPr>
            <w:tcW w:w="605" w:type="pct"/>
            <w:vAlign w:val="center"/>
          </w:tcPr>
          <w:p w14:paraId="447A5674" w14:textId="14C1E962" w:rsidR="00E66F49" w:rsidRPr="00666914" w:rsidRDefault="00E66F49" w:rsidP="007918C8">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Nový termín plnenia</w:t>
            </w:r>
          </w:p>
        </w:tc>
        <w:tc>
          <w:tcPr>
            <w:tcW w:w="312" w:type="pct"/>
            <w:shd w:val="clear" w:color="auto" w:fill="auto"/>
            <w:noWrap/>
            <w:vAlign w:val="center"/>
            <w:hideMark/>
          </w:tcPr>
          <w:p w14:paraId="24537F3A"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1Q 2019</w:t>
            </w:r>
          </w:p>
        </w:tc>
        <w:tc>
          <w:tcPr>
            <w:tcW w:w="312" w:type="pct"/>
            <w:shd w:val="clear" w:color="auto" w:fill="auto"/>
            <w:noWrap/>
            <w:vAlign w:val="center"/>
            <w:hideMark/>
          </w:tcPr>
          <w:p w14:paraId="32449ACE"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2Q 2019</w:t>
            </w:r>
          </w:p>
        </w:tc>
        <w:tc>
          <w:tcPr>
            <w:tcW w:w="312" w:type="pct"/>
            <w:shd w:val="clear" w:color="auto" w:fill="auto"/>
            <w:noWrap/>
            <w:vAlign w:val="center"/>
            <w:hideMark/>
          </w:tcPr>
          <w:p w14:paraId="0CF3964C"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3Q 2019</w:t>
            </w:r>
          </w:p>
        </w:tc>
        <w:tc>
          <w:tcPr>
            <w:tcW w:w="303" w:type="pct"/>
            <w:shd w:val="clear" w:color="auto" w:fill="auto"/>
            <w:noWrap/>
            <w:vAlign w:val="center"/>
            <w:hideMark/>
          </w:tcPr>
          <w:p w14:paraId="77D9A3B1"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4Q 2019</w:t>
            </w:r>
          </w:p>
        </w:tc>
      </w:tr>
      <w:tr w:rsidR="00B467BC" w:rsidRPr="00666914" w14:paraId="7AD1F860" w14:textId="77777777" w:rsidTr="003E2457">
        <w:trPr>
          <w:trHeight w:val="302"/>
        </w:trPr>
        <w:tc>
          <w:tcPr>
            <w:tcW w:w="215" w:type="pct"/>
            <w:shd w:val="clear" w:color="auto" w:fill="auto"/>
            <w:vAlign w:val="center"/>
            <w:hideMark/>
          </w:tcPr>
          <w:p w14:paraId="3C803660" w14:textId="77777777" w:rsidR="00E66F49" w:rsidRPr="00666914" w:rsidRDefault="00E66F49" w:rsidP="00D27F91">
            <w:pPr>
              <w:spacing w:after="0"/>
              <w:jc w:val="left"/>
              <w:rPr>
                <w:rFonts w:eastAsia="Times New Roman"/>
                <w:bCs/>
                <w:color w:val="000000"/>
                <w:sz w:val="20"/>
                <w:szCs w:val="20"/>
                <w:lang w:eastAsia="sk-SK"/>
              </w:rPr>
            </w:pPr>
            <w:r w:rsidRPr="00666914">
              <w:rPr>
                <w:rFonts w:eastAsia="Times New Roman"/>
                <w:bCs/>
                <w:color w:val="000000"/>
                <w:sz w:val="20"/>
                <w:szCs w:val="20"/>
                <w:lang w:eastAsia="sk-SK"/>
              </w:rPr>
              <w:t>1</w:t>
            </w:r>
          </w:p>
        </w:tc>
        <w:tc>
          <w:tcPr>
            <w:tcW w:w="1745" w:type="pct"/>
            <w:shd w:val="clear" w:color="auto" w:fill="auto"/>
            <w:vAlign w:val="center"/>
            <w:hideMark/>
          </w:tcPr>
          <w:p w14:paraId="1DB2D339"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Prijať opatrenia na podporu racionalizácie siete základných škôl</w:t>
            </w:r>
          </w:p>
        </w:tc>
        <w:tc>
          <w:tcPr>
            <w:tcW w:w="668" w:type="pct"/>
            <w:shd w:val="clear" w:color="auto" w:fill="auto"/>
            <w:vAlign w:val="center"/>
            <w:hideMark/>
          </w:tcPr>
          <w:p w14:paraId="705DFD15"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MŠVVaŠ SR</w:t>
            </w:r>
          </w:p>
        </w:tc>
        <w:tc>
          <w:tcPr>
            <w:tcW w:w="528" w:type="pct"/>
            <w:shd w:val="clear" w:color="auto" w:fill="auto"/>
            <w:vAlign w:val="center"/>
            <w:hideMark/>
          </w:tcPr>
          <w:p w14:paraId="60C3047D"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2018-2020</w:t>
            </w:r>
          </w:p>
        </w:tc>
        <w:tc>
          <w:tcPr>
            <w:tcW w:w="605" w:type="pct"/>
            <w:vAlign w:val="center"/>
          </w:tcPr>
          <w:p w14:paraId="349024F9" w14:textId="77777777" w:rsidR="00E66F49" w:rsidRPr="00666914" w:rsidRDefault="00E66F49" w:rsidP="00E66F49">
            <w:pPr>
              <w:pStyle w:val="Odsekzoznamu"/>
              <w:numPr>
                <w:ilvl w:val="0"/>
                <w:numId w:val="5"/>
              </w:numPr>
              <w:spacing w:after="0"/>
              <w:jc w:val="center"/>
              <w:rPr>
                <w:rFonts w:eastAsia="Times New Roman"/>
                <w:color w:val="000000" w:themeColor="text1"/>
                <w:sz w:val="20"/>
                <w:szCs w:val="20"/>
                <w:lang w:eastAsia="sk-SK"/>
              </w:rPr>
            </w:pPr>
          </w:p>
        </w:tc>
        <w:tc>
          <w:tcPr>
            <w:tcW w:w="312" w:type="pct"/>
            <w:shd w:val="clear" w:color="auto" w:fill="FF0000"/>
            <w:noWrap/>
            <w:vAlign w:val="bottom"/>
            <w:hideMark/>
          </w:tcPr>
          <w:p w14:paraId="18E73E13" w14:textId="77777777" w:rsidR="00E66F49" w:rsidRPr="00666914" w:rsidRDefault="00E66F49" w:rsidP="00D27F91">
            <w:pPr>
              <w:spacing w:after="0"/>
              <w:rPr>
                <w:rFonts w:eastAsia="Times New Roman"/>
                <w:color w:val="C00000"/>
                <w:sz w:val="20"/>
                <w:szCs w:val="20"/>
                <w:lang w:eastAsia="sk-SK"/>
              </w:rPr>
            </w:pPr>
            <w:r w:rsidRPr="00666914">
              <w:rPr>
                <w:rFonts w:eastAsia="Times New Roman"/>
                <w:color w:val="C00000"/>
                <w:sz w:val="20"/>
                <w:szCs w:val="20"/>
                <w:lang w:eastAsia="sk-SK"/>
              </w:rPr>
              <w:t> </w:t>
            </w:r>
          </w:p>
        </w:tc>
        <w:tc>
          <w:tcPr>
            <w:tcW w:w="312" w:type="pct"/>
            <w:shd w:val="clear" w:color="auto" w:fill="FF0000"/>
            <w:noWrap/>
            <w:vAlign w:val="bottom"/>
            <w:hideMark/>
          </w:tcPr>
          <w:p w14:paraId="7A451BAA" w14:textId="77777777" w:rsidR="00E66F49" w:rsidRPr="00666914" w:rsidRDefault="00E66F49" w:rsidP="00D27F91">
            <w:pPr>
              <w:spacing w:after="0"/>
              <w:rPr>
                <w:rFonts w:eastAsia="Times New Roman"/>
                <w:color w:val="FFFFFF" w:themeColor="background1"/>
                <w:sz w:val="20"/>
                <w:szCs w:val="20"/>
                <w:lang w:eastAsia="sk-SK"/>
              </w:rPr>
            </w:pPr>
            <w:r w:rsidRPr="00666914">
              <w:rPr>
                <w:rFonts w:eastAsia="Times New Roman"/>
                <w:color w:val="FFFFFF" w:themeColor="background1"/>
                <w:sz w:val="20"/>
                <w:szCs w:val="20"/>
                <w:lang w:eastAsia="sk-SK"/>
              </w:rPr>
              <w:t> </w:t>
            </w:r>
          </w:p>
        </w:tc>
        <w:tc>
          <w:tcPr>
            <w:tcW w:w="312" w:type="pct"/>
            <w:shd w:val="clear" w:color="auto" w:fill="FF0000"/>
            <w:noWrap/>
            <w:vAlign w:val="bottom"/>
            <w:hideMark/>
          </w:tcPr>
          <w:p w14:paraId="484354E0" w14:textId="77777777" w:rsidR="00E66F49" w:rsidRPr="00666914" w:rsidRDefault="00E66F49" w:rsidP="00D27F91">
            <w:pPr>
              <w:spacing w:after="0"/>
              <w:rPr>
                <w:rFonts w:eastAsia="Times New Roman"/>
                <w:color w:val="C00000"/>
                <w:sz w:val="20"/>
                <w:szCs w:val="20"/>
                <w:lang w:eastAsia="sk-SK"/>
              </w:rPr>
            </w:pPr>
            <w:r w:rsidRPr="00666914">
              <w:rPr>
                <w:rFonts w:eastAsia="Times New Roman"/>
                <w:color w:val="C00000"/>
                <w:sz w:val="20"/>
                <w:szCs w:val="20"/>
                <w:lang w:eastAsia="sk-SK"/>
              </w:rPr>
              <w:t> </w:t>
            </w:r>
          </w:p>
        </w:tc>
        <w:tc>
          <w:tcPr>
            <w:tcW w:w="303" w:type="pct"/>
            <w:shd w:val="clear" w:color="auto" w:fill="FF0000"/>
            <w:noWrap/>
            <w:vAlign w:val="bottom"/>
            <w:hideMark/>
          </w:tcPr>
          <w:p w14:paraId="5A1BE2A0" w14:textId="77777777" w:rsidR="00E66F49" w:rsidRPr="00666914" w:rsidRDefault="00E66F49" w:rsidP="00D27F91">
            <w:pPr>
              <w:spacing w:after="0"/>
              <w:rPr>
                <w:rFonts w:eastAsia="Times New Roman"/>
                <w:color w:val="C00000"/>
                <w:sz w:val="20"/>
                <w:szCs w:val="20"/>
                <w:lang w:eastAsia="sk-SK"/>
              </w:rPr>
            </w:pPr>
            <w:r w:rsidRPr="00666914">
              <w:rPr>
                <w:rFonts w:eastAsia="Times New Roman"/>
                <w:color w:val="C00000"/>
                <w:sz w:val="20"/>
                <w:szCs w:val="20"/>
                <w:lang w:eastAsia="sk-SK"/>
              </w:rPr>
              <w:t> </w:t>
            </w:r>
          </w:p>
        </w:tc>
      </w:tr>
      <w:tr w:rsidR="00B467BC" w:rsidRPr="00666914" w14:paraId="2583D0A1" w14:textId="77777777" w:rsidTr="003E2457">
        <w:trPr>
          <w:trHeight w:val="302"/>
        </w:trPr>
        <w:tc>
          <w:tcPr>
            <w:tcW w:w="215" w:type="pct"/>
            <w:shd w:val="clear" w:color="auto" w:fill="auto"/>
            <w:vAlign w:val="center"/>
            <w:hideMark/>
          </w:tcPr>
          <w:p w14:paraId="64327C6D" w14:textId="77777777" w:rsidR="00E66F49" w:rsidRPr="00666914" w:rsidRDefault="00E66F49" w:rsidP="00D27F91">
            <w:pPr>
              <w:spacing w:after="0"/>
              <w:jc w:val="left"/>
              <w:rPr>
                <w:rFonts w:eastAsia="Times New Roman"/>
                <w:bCs/>
                <w:color w:val="000000"/>
                <w:sz w:val="20"/>
                <w:szCs w:val="20"/>
                <w:lang w:eastAsia="sk-SK"/>
              </w:rPr>
            </w:pPr>
            <w:r w:rsidRPr="00666914">
              <w:rPr>
                <w:rFonts w:eastAsia="Times New Roman"/>
                <w:bCs/>
                <w:color w:val="000000"/>
                <w:sz w:val="20"/>
                <w:szCs w:val="20"/>
                <w:lang w:eastAsia="sk-SK"/>
              </w:rPr>
              <w:t>2</w:t>
            </w:r>
          </w:p>
        </w:tc>
        <w:tc>
          <w:tcPr>
            <w:tcW w:w="1745" w:type="pct"/>
            <w:shd w:val="clear" w:color="auto" w:fill="auto"/>
            <w:vAlign w:val="center"/>
            <w:hideMark/>
          </w:tcPr>
          <w:p w14:paraId="7FDC3DAE"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Zrušiť možnosť získať kredity na kreditový</w:t>
            </w:r>
          </w:p>
          <w:p w14:paraId="3F37457B"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príplatok</w:t>
            </w:r>
          </w:p>
        </w:tc>
        <w:tc>
          <w:tcPr>
            <w:tcW w:w="668" w:type="pct"/>
            <w:shd w:val="clear" w:color="auto" w:fill="auto"/>
            <w:vAlign w:val="center"/>
            <w:hideMark/>
          </w:tcPr>
          <w:p w14:paraId="46715088"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MŠVVaŠ SR</w:t>
            </w:r>
          </w:p>
        </w:tc>
        <w:tc>
          <w:tcPr>
            <w:tcW w:w="528" w:type="pct"/>
            <w:shd w:val="clear" w:color="auto" w:fill="auto"/>
            <w:vAlign w:val="center"/>
            <w:hideMark/>
          </w:tcPr>
          <w:p w14:paraId="042B4AE0"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 xml:space="preserve"> 06/2018</w:t>
            </w:r>
          </w:p>
        </w:tc>
        <w:tc>
          <w:tcPr>
            <w:tcW w:w="605" w:type="pct"/>
            <w:vAlign w:val="center"/>
          </w:tcPr>
          <w:p w14:paraId="0BE42235" w14:textId="77777777" w:rsidR="00E66F49" w:rsidRPr="00666914" w:rsidRDefault="00E66F49" w:rsidP="00D27F91">
            <w:pPr>
              <w:spacing w:after="0"/>
              <w:jc w:val="center"/>
              <w:rPr>
                <w:rFonts w:eastAsia="Times New Roman"/>
                <w:color w:val="000000" w:themeColor="text1"/>
                <w:sz w:val="20"/>
                <w:szCs w:val="20"/>
                <w:lang w:eastAsia="sk-SK"/>
              </w:rPr>
            </w:pPr>
            <w:r w:rsidRPr="00666914">
              <w:rPr>
                <w:rFonts w:eastAsia="Times New Roman"/>
                <w:color w:val="000000" w:themeColor="text1"/>
                <w:sz w:val="20"/>
                <w:szCs w:val="20"/>
                <w:lang w:eastAsia="sk-SK"/>
              </w:rPr>
              <w:t>06/2019</w:t>
            </w:r>
          </w:p>
        </w:tc>
        <w:tc>
          <w:tcPr>
            <w:tcW w:w="312" w:type="pct"/>
            <w:shd w:val="clear" w:color="auto" w:fill="FF0000"/>
            <w:noWrap/>
            <w:vAlign w:val="bottom"/>
            <w:hideMark/>
          </w:tcPr>
          <w:p w14:paraId="4A0112E3"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12" w:type="pct"/>
            <w:shd w:val="clear" w:color="auto" w:fill="FF0000"/>
            <w:noWrap/>
            <w:vAlign w:val="bottom"/>
            <w:hideMark/>
          </w:tcPr>
          <w:p w14:paraId="263E5AD2"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12" w:type="pct"/>
            <w:shd w:val="clear" w:color="auto" w:fill="FF0000"/>
            <w:noWrap/>
            <w:vAlign w:val="bottom"/>
            <w:hideMark/>
          </w:tcPr>
          <w:p w14:paraId="412EE149"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3" w:type="pct"/>
            <w:shd w:val="clear" w:color="auto" w:fill="FF0000"/>
            <w:noWrap/>
            <w:vAlign w:val="bottom"/>
            <w:hideMark/>
          </w:tcPr>
          <w:p w14:paraId="3E8593CC"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B467BC" w:rsidRPr="00666914" w14:paraId="1701B251" w14:textId="77777777" w:rsidTr="003E2457">
        <w:trPr>
          <w:trHeight w:val="302"/>
        </w:trPr>
        <w:tc>
          <w:tcPr>
            <w:tcW w:w="215" w:type="pct"/>
            <w:shd w:val="clear" w:color="auto" w:fill="auto"/>
            <w:vAlign w:val="center"/>
            <w:hideMark/>
          </w:tcPr>
          <w:p w14:paraId="4CE769F5" w14:textId="77777777" w:rsidR="00E66F49" w:rsidRPr="00666914" w:rsidRDefault="00E66F49" w:rsidP="00D27F91">
            <w:pPr>
              <w:spacing w:after="0"/>
              <w:jc w:val="left"/>
              <w:rPr>
                <w:rFonts w:eastAsia="Times New Roman"/>
                <w:bCs/>
                <w:color w:val="000000"/>
                <w:sz w:val="20"/>
                <w:szCs w:val="20"/>
                <w:lang w:eastAsia="sk-SK"/>
              </w:rPr>
            </w:pPr>
            <w:r w:rsidRPr="00666914">
              <w:rPr>
                <w:rFonts w:eastAsia="Times New Roman"/>
                <w:bCs/>
                <w:color w:val="000000"/>
                <w:sz w:val="20"/>
                <w:szCs w:val="20"/>
                <w:lang w:eastAsia="sk-SK"/>
              </w:rPr>
              <w:t>3</w:t>
            </w:r>
          </w:p>
        </w:tc>
        <w:tc>
          <w:tcPr>
            <w:tcW w:w="1745" w:type="pct"/>
            <w:shd w:val="clear" w:color="auto" w:fill="auto"/>
            <w:vAlign w:val="center"/>
            <w:hideMark/>
          </w:tcPr>
          <w:p w14:paraId="64D8C20E"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Výraznejšie zvýšiť platy pedagogických a odborných zamestnancov na začiatku kariéry úpravou zohľadňovania dĺžky praxe</w:t>
            </w:r>
          </w:p>
        </w:tc>
        <w:tc>
          <w:tcPr>
            <w:tcW w:w="668" w:type="pct"/>
            <w:shd w:val="clear" w:color="auto" w:fill="auto"/>
            <w:vAlign w:val="center"/>
            <w:hideMark/>
          </w:tcPr>
          <w:p w14:paraId="6A997C0F"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MŠVVaŠ SR</w:t>
            </w:r>
          </w:p>
        </w:tc>
        <w:tc>
          <w:tcPr>
            <w:tcW w:w="528" w:type="pct"/>
            <w:shd w:val="clear" w:color="auto" w:fill="auto"/>
            <w:vAlign w:val="center"/>
            <w:hideMark/>
          </w:tcPr>
          <w:p w14:paraId="1D3937A6"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01/2018</w:t>
            </w:r>
          </w:p>
        </w:tc>
        <w:tc>
          <w:tcPr>
            <w:tcW w:w="605" w:type="pct"/>
            <w:vAlign w:val="center"/>
          </w:tcPr>
          <w:p w14:paraId="371899DF" w14:textId="77777777" w:rsidR="00E66F49" w:rsidRPr="00666914" w:rsidRDefault="00E66F49" w:rsidP="00D27F91">
            <w:pPr>
              <w:spacing w:after="0"/>
              <w:jc w:val="center"/>
              <w:rPr>
                <w:rFonts w:eastAsia="Times New Roman"/>
                <w:color w:val="000000" w:themeColor="text1"/>
                <w:sz w:val="20"/>
                <w:szCs w:val="20"/>
                <w:lang w:eastAsia="sk-SK"/>
              </w:rPr>
            </w:pPr>
            <w:r w:rsidRPr="00666914">
              <w:rPr>
                <w:rFonts w:eastAsia="Times New Roman"/>
                <w:color w:val="000000" w:themeColor="text1"/>
                <w:sz w:val="20"/>
                <w:szCs w:val="20"/>
                <w:lang w:eastAsia="sk-SK"/>
              </w:rPr>
              <w:t>06/2019</w:t>
            </w:r>
          </w:p>
        </w:tc>
        <w:tc>
          <w:tcPr>
            <w:tcW w:w="312" w:type="pct"/>
            <w:shd w:val="clear" w:color="auto" w:fill="FF0000"/>
            <w:noWrap/>
            <w:vAlign w:val="bottom"/>
            <w:hideMark/>
          </w:tcPr>
          <w:p w14:paraId="45D3CD30"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12" w:type="pct"/>
            <w:shd w:val="clear" w:color="auto" w:fill="FFC000"/>
            <w:noWrap/>
            <w:vAlign w:val="bottom"/>
            <w:hideMark/>
          </w:tcPr>
          <w:p w14:paraId="697387B9"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12" w:type="pct"/>
            <w:shd w:val="clear" w:color="auto" w:fill="FFC000"/>
            <w:noWrap/>
            <w:vAlign w:val="bottom"/>
            <w:hideMark/>
          </w:tcPr>
          <w:p w14:paraId="102AA385"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3" w:type="pct"/>
            <w:shd w:val="clear" w:color="auto" w:fill="92D050"/>
            <w:noWrap/>
            <w:vAlign w:val="bottom"/>
            <w:hideMark/>
          </w:tcPr>
          <w:p w14:paraId="4ECFDA97"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B467BC" w:rsidRPr="00666914" w14:paraId="0C6C71E0" w14:textId="77777777" w:rsidTr="003E2457">
        <w:trPr>
          <w:trHeight w:val="765"/>
        </w:trPr>
        <w:tc>
          <w:tcPr>
            <w:tcW w:w="215" w:type="pct"/>
            <w:shd w:val="clear" w:color="auto" w:fill="auto"/>
            <w:vAlign w:val="center"/>
            <w:hideMark/>
          </w:tcPr>
          <w:p w14:paraId="372290A3" w14:textId="77777777" w:rsidR="00E66F49" w:rsidRPr="00666914" w:rsidRDefault="00E66F49" w:rsidP="00D27F91">
            <w:pPr>
              <w:spacing w:after="0"/>
              <w:jc w:val="left"/>
              <w:rPr>
                <w:rFonts w:eastAsia="Times New Roman"/>
                <w:bCs/>
                <w:color w:val="000000"/>
                <w:sz w:val="20"/>
                <w:szCs w:val="20"/>
                <w:lang w:eastAsia="sk-SK"/>
              </w:rPr>
            </w:pPr>
            <w:r w:rsidRPr="00666914">
              <w:rPr>
                <w:rFonts w:eastAsia="Times New Roman"/>
                <w:bCs/>
                <w:color w:val="000000"/>
                <w:sz w:val="20"/>
                <w:szCs w:val="20"/>
                <w:lang w:eastAsia="sk-SK"/>
              </w:rPr>
              <w:t>4</w:t>
            </w:r>
          </w:p>
        </w:tc>
        <w:tc>
          <w:tcPr>
            <w:tcW w:w="1745" w:type="pct"/>
            <w:shd w:val="clear" w:color="auto" w:fill="auto"/>
            <w:vAlign w:val="center"/>
            <w:hideMark/>
          </w:tcPr>
          <w:p w14:paraId="4413946E"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Zvyšovať priemerné platy pedagogických a</w:t>
            </w:r>
          </w:p>
          <w:p w14:paraId="3E322A49"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odborných zamestnancov, resp. vysokoškolských učiteľov</w:t>
            </w:r>
          </w:p>
        </w:tc>
        <w:tc>
          <w:tcPr>
            <w:tcW w:w="668" w:type="pct"/>
            <w:shd w:val="clear" w:color="auto" w:fill="auto"/>
            <w:vAlign w:val="center"/>
            <w:hideMark/>
          </w:tcPr>
          <w:p w14:paraId="258D02B2"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MŠVVŠ SR</w:t>
            </w:r>
          </w:p>
        </w:tc>
        <w:tc>
          <w:tcPr>
            <w:tcW w:w="528" w:type="pct"/>
            <w:shd w:val="clear" w:color="auto" w:fill="auto"/>
            <w:vAlign w:val="center"/>
            <w:hideMark/>
          </w:tcPr>
          <w:p w14:paraId="2DAD27C7"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01/2021</w:t>
            </w:r>
          </w:p>
        </w:tc>
        <w:tc>
          <w:tcPr>
            <w:tcW w:w="605" w:type="pct"/>
            <w:vAlign w:val="center"/>
          </w:tcPr>
          <w:p w14:paraId="66DBD136" w14:textId="77777777" w:rsidR="00E66F49" w:rsidRPr="00666914" w:rsidRDefault="00E66F49" w:rsidP="00D27F91">
            <w:pPr>
              <w:spacing w:after="0"/>
              <w:jc w:val="center"/>
              <w:rPr>
                <w:rFonts w:eastAsia="Times New Roman"/>
                <w:color w:val="000000" w:themeColor="text1"/>
                <w:sz w:val="20"/>
                <w:szCs w:val="20"/>
                <w:lang w:eastAsia="sk-SK"/>
              </w:rPr>
            </w:pPr>
            <w:r w:rsidRPr="00666914">
              <w:rPr>
                <w:rFonts w:eastAsia="Times New Roman"/>
                <w:color w:val="000000" w:themeColor="text1"/>
                <w:sz w:val="20"/>
                <w:szCs w:val="20"/>
                <w:lang w:eastAsia="sk-SK"/>
              </w:rPr>
              <w:t>-</w:t>
            </w:r>
          </w:p>
        </w:tc>
        <w:tc>
          <w:tcPr>
            <w:tcW w:w="312" w:type="pct"/>
            <w:shd w:val="clear" w:color="auto" w:fill="92D050"/>
            <w:noWrap/>
            <w:vAlign w:val="bottom"/>
            <w:hideMark/>
          </w:tcPr>
          <w:p w14:paraId="19F5EF3E"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12" w:type="pct"/>
            <w:shd w:val="clear" w:color="auto" w:fill="92D050"/>
            <w:vAlign w:val="bottom"/>
          </w:tcPr>
          <w:p w14:paraId="0AE7E336"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12" w:type="pct"/>
            <w:shd w:val="clear" w:color="auto" w:fill="92D050"/>
            <w:vAlign w:val="bottom"/>
          </w:tcPr>
          <w:p w14:paraId="7D043F3E"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3" w:type="pct"/>
            <w:shd w:val="clear" w:color="auto" w:fill="92D050"/>
            <w:vAlign w:val="bottom"/>
          </w:tcPr>
          <w:p w14:paraId="26FB294F"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B467BC" w:rsidRPr="00666914" w14:paraId="5BFB626B" w14:textId="77777777" w:rsidTr="003E2457">
        <w:trPr>
          <w:trHeight w:val="302"/>
        </w:trPr>
        <w:tc>
          <w:tcPr>
            <w:tcW w:w="215" w:type="pct"/>
            <w:shd w:val="clear" w:color="auto" w:fill="auto"/>
            <w:vAlign w:val="center"/>
            <w:hideMark/>
          </w:tcPr>
          <w:p w14:paraId="37595E5D" w14:textId="77777777" w:rsidR="00E66F49" w:rsidRPr="00666914" w:rsidRDefault="00E66F49" w:rsidP="00D27F91">
            <w:pPr>
              <w:spacing w:after="0"/>
              <w:jc w:val="left"/>
              <w:rPr>
                <w:rFonts w:eastAsia="Times New Roman"/>
                <w:bCs/>
                <w:color w:val="000000"/>
                <w:sz w:val="20"/>
                <w:szCs w:val="20"/>
                <w:lang w:eastAsia="sk-SK"/>
              </w:rPr>
            </w:pPr>
            <w:r w:rsidRPr="00666914">
              <w:rPr>
                <w:rFonts w:eastAsia="Times New Roman"/>
                <w:bCs/>
                <w:color w:val="000000"/>
                <w:sz w:val="20"/>
                <w:szCs w:val="20"/>
                <w:lang w:eastAsia="sk-SK"/>
              </w:rPr>
              <w:t>5</w:t>
            </w:r>
          </w:p>
        </w:tc>
        <w:tc>
          <w:tcPr>
            <w:tcW w:w="1745" w:type="pct"/>
            <w:shd w:val="clear" w:color="auto" w:fill="auto"/>
            <w:vAlign w:val="center"/>
          </w:tcPr>
          <w:p w14:paraId="7A85F444"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Úpravou atestačného konania zlepšiť väzbu medzi odmeňovaním a kvalitou pedagogických a odborných zamestnancov</w:t>
            </w:r>
          </w:p>
        </w:tc>
        <w:tc>
          <w:tcPr>
            <w:tcW w:w="668" w:type="pct"/>
            <w:shd w:val="clear" w:color="auto" w:fill="auto"/>
            <w:vAlign w:val="center"/>
          </w:tcPr>
          <w:p w14:paraId="7FF8D6C6"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MŠVVaŠ SR</w:t>
            </w:r>
          </w:p>
        </w:tc>
        <w:tc>
          <w:tcPr>
            <w:tcW w:w="528" w:type="pct"/>
            <w:shd w:val="clear" w:color="auto" w:fill="auto"/>
            <w:vAlign w:val="center"/>
          </w:tcPr>
          <w:p w14:paraId="085476B9"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06/2018</w:t>
            </w:r>
          </w:p>
        </w:tc>
        <w:tc>
          <w:tcPr>
            <w:tcW w:w="605" w:type="pct"/>
            <w:vAlign w:val="center"/>
          </w:tcPr>
          <w:p w14:paraId="2B5B5660" w14:textId="77777777" w:rsidR="00E66F49" w:rsidRPr="00666914" w:rsidRDefault="00E66F49" w:rsidP="00D27F91">
            <w:pPr>
              <w:spacing w:after="0"/>
              <w:jc w:val="center"/>
              <w:rPr>
                <w:rFonts w:eastAsia="Times New Roman"/>
                <w:color w:val="000000" w:themeColor="text1"/>
                <w:sz w:val="20"/>
                <w:szCs w:val="20"/>
                <w:lang w:eastAsia="sk-SK"/>
              </w:rPr>
            </w:pPr>
            <w:r w:rsidRPr="00666914">
              <w:rPr>
                <w:rFonts w:eastAsia="Times New Roman"/>
                <w:color w:val="000000" w:themeColor="text1"/>
                <w:sz w:val="20"/>
                <w:szCs w:val="20"/>
                <w:lang w:eastAsia="sk-SK"/>
              </w:rPr>
              <w:t>06/2019</w:t>
            </w:r>
          </w:p>
        </w:tc>
        <w:tc>
          <w:tcPr>
            <w:tcW w:w="312" w:type="pct"/>
            <w:shd w:val="clear" w:color="auto" w:fill="FFC000"/>
            <w:noWrap/>
            <w:vAlign w:val="bottom"/>
            <w:hideMark/>
          </w:tcPr>
          <w:p w14:paraId="6A0D5912" w14:textId="77777777" w:rsidR="00E66F49" w:rsidRPr="00666914" w:rsidRDefault="00E66F49" w:rsidP="00D27F91">
            <w:pPr>
              <w:spacing w:after="0"/>
              <w:rPr>
                <w:rFonts w:eastAsia="Times New Roman"/>
                <w:color w:val="C00000"/>
                <w:sz w:val="20"/>
                <w:szCs w:val="20"/>
                <w:lang w:eastAsia="sk-SK"/>
              </w:rPr>
            </w:pPr>
            <w:r w:rsidRPr="00666914">
              <w:rPr>
                <w:rFonts w:eastAsia="Times New Roman"/>
                <w:color w:val="C00000"/>
                <w:sz w:val="20"/>
                <w:szCs w:val="20"/>
                <w:lang w:eastAsia="sk-SK"/>
              </w:rPr>
              <w:t> </w:t>
            </w:r>
          </w:p>
        </w:tc>
        <w:tc>
          <w:tcPr>
            <w:tcW w:w="312" w:type="pct"/>
            <w:shd w:val="clear" w:color="auto" w:fill="FFC000"/>
            <w:noWrap/>
            <w:vAlign w:val="bottom"/>
            <w:hideMark/>
          </w:tcPr>
          <w:p w14:paraId="1D1EEA39" w14:textId="77777777" w:rsidR="00E66F49" w:rsidRPr="00666914" w:rsidRDefault="00E66F49" w:rsidP="00D27F91">
            <w:pPr>
              <w:spacing w:after="0"/>
              <w:rPr>
                <w:rFonts w:eastAsia="Times New Roman"/>
                <w:color w:val="FF0000"/>
                <w:sz w:val="20"/>
                <w:szCs w:val="20"/>
                <w:lang w:eastAsia="sk-SK"/>
              </w:rPr>
            </w:pPr>
            <w:r w:rsidRPr="00666914">
              <w:rPr>
                <w:rFonts w:eastAsia="Times New Roman"/>
                <w:color w:val="FF0000"/>
                <w:sz w:val="20"/>
                <w:szCs w:val="20"/>
                <w:lang w:eastAsia="sk-SK"/>
              </w:rPr>
              <w:t> </w:t>
            </w:r>
          </w:p>
        </w:tc>
        <w:tc>
          <w:tcPr>
            <w:tcW w:w="312" w:type="pct"/>
            <w:shd w:val="clear" w:color="auto" w:fill="FFC000"/>
            <w:noWrap/>
            <w:vAlign w:val="bottom"/>
            <w:hideMark/>
          </w:tcPr>
          <w:p w14:paraId="460C48A6"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3" w:type="pct"/>
            <w:shd w:val="clear" w:color="auto" w:fill="FFC000"/>
            <w:noWrap/>
            <w:vAlign w:val="bottom"/>
            <w:hideMark/>
          </w:tcPr>
          <w:p w14:paraId="604BEE21" w14:textId="77777777" w:rsidR="00E66F49" w:rsidRPr="00666914" w:rsidRDefault="00E66F49" w:rsidP="00D27F91">
            <w:pPr>
              <w:spacing w:after="0"/>
              <w:rPr>
                <w:rFonts w:eastAsia="Times New Roman"/>
                <w:color w:val="C00000"/>
                <w:sz w:val="20"/>
                <w:szCs w:val="20"/>
                <w:lang w:eastAsia="sk-SK"/>
              </w:rPr>
            </w:pPr>
            <w:r w:rsidRPr="00666914">
              <w:rPr>
                <w:rFonts w:eastAsia="Times New Roman"/>
                <w:color w:val="C00000"/>
                <w:sz w:val="20"/>
                <w:szCs w:val="20"/>
                <w:lang w:eastAsia="sk-SK"/>
              </w:rPr>
              <w:t> </w:t>
            </w:r>
          </w:p>
        </w:tc>
      </w:tr>
      <w:tr w:rsidR="00B467BC" w:rsidRPr="00666914" w14:paraId="544DC476" w14:textId="77777777" w:rsidTr="003E2457">
        <w:trPr>
          <w:trHeight w:val="302"/>
        </w:trPr>
        <w:tc>
          <w:tcPr>
            <w:tcW w:w="215" w:type="pct"/>
            <w:shd w:val="clear" w:color="auto" w:fill="auto"/>
            <w:vAlign w:val="center"/>
            <w:hideMark/>
          </w:tcPr>
          <w:p w14:paraId="55FB9B6E" w14:textId="77777777" w:rsidR="00E66F49" w:rsidRPr="00666914" w:rsidRDefault="00E66F49" w:rsidP="00D27F91">
            <w:pPr>
              <w:spacing w:after="0"/>
              <w:jc w:val="left"/>
              <w:rPr>
                <w:rFonts w:eastAsia="Times New Roman"/>
                <w:bCs/>
                <w:color w:val="000000"/>
                <w:sz w:val="20"/>
                <w:szCs w:val="20"/>
                <w:lang w:eastAsia="sk-SK"/>
              </w:rPr>
            </w:pPr>
            <w:r w:rsidRPr="00666914">
              <w:rPr>
                <w:rFonts w:eastAsia="Times New Roman"/>
                <w:bCs/>
                <w:color w:val="000000"/>
                <w:sz w:val="20"/>
                <w:szCs w:val="20"/>
                <w:lang w:eastAsia="sk-SK"/>
              </w:rPr>
              <w:t>6</w:t>
            </w:r>
          </w:p>
        </w:tc>
        <w:tc>
          <w:tcPr>
            <w:tcW w:w="1745" w:type="pct"/>
            <w:shd w:val="clear" w:color="auto" w:fill="auto"/>
            <w:vAlign w:val="center"/>
          </w:tcPr>
          <w:p w14:paraId="3086AEC4"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Zvýšiť podiel odmien a osobného príplatku na celkovom plate pedagogických zamestnancov</w:t>
            </w:r>
          </w:p>
        </w:tc>
        <w:tc>
          <w:tcPr>
            <w:tcW w:w="668" w:type="pct"/>
            <w:shd w:val="clear" w:color="auto" w:fill="auto"/>
            <w:vAlign w:val="center"/>
          </w:tcPr>
          <w:p w14:paraId="39EB6CF2"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 xml:space="preserve">MŠVVaŠ SR </w:t>
            </w:r>
          </w:p>
        </w:tc>
        <w:tc>
          <w:tcPr>
            <w:tcW w:w="528" w:type="pct"/>
            <w:shd w:val="clear" w:color="auto" w:fill="auto"/>
            <w:vAlign w:val="center"/>
          </w:tcPr>
          <w:p w14:paraId="17BF4E4B"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06/2018</w:t>
            </w:r>
          </w:p>
        </w:tc>
        <w:tc>
          <w:tcPr>
            <w:tcW w:w="605" w:type="pct"/>
            <w:vAlign w:val="center"/>
          </w:tcPr>
          <w:p w14:paraId="212B4693" w14:textId="77777777" w:rsidR="00E66F49" w:rsidRPr="00666914" w:rsidRDefault="00E66F49" w:rsidP="00D27F91">
            <w:pPr>
              <w:spacing w:after="0"/>
              <w:jc w:val="center"/>
              <w:rPr>
                <w:rFonts w:eastAsia="Times New Roman"/>
                <w:color w:val="000000" w:themeColor="text1"/>
                <w:sz w:val="20"/>
                <w:szCs w:val="20"/>
                <w:lang w:eastAsia="sk-SK"/>
              </w:rPr>
            </w:pPr>
            <w:r w:rsidRPr="00666914">
              <w:rPr>
                <w:rFonts w:eastAsia="Times New Roman"/>
                <w:color w:val="000000" w:themeColor="text1"/>
                <w:sz w:val="20"/>
                <w:szCs w:val="20"/>
                <w:lang w:eastAsia="sk-SK"/>
              </w:rPr>
              <w:t>12/2019</w:t>
            </w:r>
          </w:p>
        </w:tc>
        <w:tc>
          <w:tcPr>
            <w:tcW w:w="312" w:type="pct"/>
            <w:shd w:val="clear" w:color="auto" w:fill="A6A6A6" w:themeFill="background1" w:themeFillShade="A6"/>
            <w:noWrap/>
            <w:vAlign w:val="bottom"/>
            <w:hideMark/>
          </w:tcPr>
          <w:p w14:paraId="143F3924"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12" w:type="pct"/>
            <w:shd w:val="clear" w:color="auto" w:fill="FF0000"/>
            <w:noWrap/>
            <w:vAlign w:val="bottom"/>
            <w:hideMark/>
          </w:tcPr>
          <w:p w14:paraId="587FD558"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12" w:type="pct"/>
            <w:shd w:val="clear" w:color="auto" w:fill="FF0000"/>
            <w:noWrap/>
            <w:vAlign w:val="bottom"/>
            <w:hideMark/>
          </w:tcPr>
          <w:p w14:paraId="3B2884CF"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3" w:type="pct"/>
            <w:shd w:val="clear" w:color="auto" w:fill="FF0000"/>
            <w:noWrap/>
            <w:vAlign w:val="bottom"/>
            <w:hideMark/>
          </w:tcPr>
          <w:p w14:paraId="1C7BCBFF"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B467BC" w:rsidRPr="00666914" w14:paraId="25540024" w14:textId="77777777" w:rsidTr="003E2457">
        <w:trPr>
          <w:trHeight w:val="287"/>
        </w:trPr>
        <w:tc>
          <w:tcPr>
            <w:tcW w:w="215" w:type="pct"/>
            <w:shd w:val="clear" w:color="auto" w:fill="auto"/>
            <w:vAlign w:val="center"/>
            <w:hideMark/>
          </w:tcPr>
          <w:p w14:paraId="4676C001" w14:textId="77777777" w:rsidR="00E66F49" w:rsidRPr="00666914" w:rsidRDefault="00E66F49" w:rsidP="00D27F91">
            <w:pPr>
              <w:spacing w:after="0"/>
              <w:jc w:val="left"/>
              <w:rPr>
                <w:rFonts w:eastAsia="Times New Roman"/>
                <w:bCs/>
                <w:color w:val="000000"/>
                <w:sz w:val="20"/>
                <w:szCs w:val="20"/>
                <w:lang w:eastAsia="sk-SK"/>
              </w:rPr>
            </w:pPr>
            <w:r w:rsidRPr="00666914">
              <w:rPr>
                <w:rFonts w:eastAsia="Times New Roman"/>
                <w:bCs/>
                <w:color w:val="000000"/>
                <w:sz w:val="20"/>
                <w:szCs w:val="20"/>
                <w:lang w:eastAsia="sk-SK"/>
              </w:rPr>
              <w:t>7</w:t>
            </w:r>
          </w:p>
        </w:tc>
        <w:tc>
          <w:tcPr>
            <w:tcW w:w="1745" w:type="pct"/>
            <w:shd w:val="clear" w:color="auto" w:fill="auto"/>
            <w:vAlign w:val="center"/>
          </w:tcPr>
          <w:p w14:paraId="54B0B7BC"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Prijať opatrenia na zvýšenie podielu praxe pri príprave budúcich pedagogických zamestnancov</w:t>
            </w:r>
          </w:p>
        </w:tc>
        <w:tc>
          <w:tcPr>
            <w:tcW w:w="668" w:type="pct"/>
            <w:shd w:val="clear" w:color="auto" w:fill="auto"/>
            <w:vAlign w:val="center"/>
          </w:tcPr>
          <w:p w14:paraId="1A858B2E"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 xml:space="preserve">MŠVVaŠ SR </w:t>
            </w:r>
          </w:p>
        </w:tc>
        <w:tc>
          <w:tcPr>
            <w:tcW w:w="528" w:type="pct"/>
            <w:shd w:val="clear" w:color="auto" w:fill="auto"/>
            <w:vAlign w:val="center"/>
          </w:tcPr>
          <w:p w14:paraId="10391C0F"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01/2019</w:t>
            </w:r>
          </w:p>
        </w:tc>
        <w:tc>
          <w:tcPr>
            <w:tcW w:w="605" w:type="pct"/>
            <w:vAlign w:val="center"/>
          </w:tcPr>
          <w:p w14:paraId="79F635B3" w14:textId="77777777" w:rsidR="00E66F49" w:rsidRPr="00666914" w:rsidRDefault="00E66F49" w:rsidP="00D27F91">
            <w:pPr>
              <w:spacing w:after="0"/>
              <w:jc w:val="center"/>
              <w:rPr>
                <w:rFonts w:eastAsia="Times New Roman"/>
                <w:color w:val="000000" w:themeColor="text1"/>
                <w:sz w:val="20"/>
                <w:szCs w:val="20"/>
                <w:lang w:eastAsia="sk-SK"/>
              </w:rPr>
            </w:pPr>
            <w:r w:rsidRPr="00666914">
              <w:rPr>
                <w:rFonts w:eastAsia="Times New Roman"/>
                <w:color w:val="000000" w:themeColor="text1"/>
                <w:sz w:val="20"/>
                <w:szCs w:val="20"/>
                <w:lang w:eastAsia="sk-SK"/>
              </w:rPr>
              <w:t>-</w:t>
            </w:r>
          </w:p>
        </w:tc>
        <w:tc>
          <w:tcPr>
            <w:tcW w:w="312" w:type="pct"/>
            <w:shd w:val="clear" w:color="auto" w:fill="FF0000"/>
            <w:noWrap/>
            <w:vAlign w:val="bottom"/>
            <w:hideMark/>
          </w:tcPr>
          <w:p w14:paraId="75771474"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12" w:type="pct"/>
            <w:shd w:val="clear" w:color="auto" w:fill="FF0000"/>
            <w:noWrap/>
            <w:vAlign w:val="bottom"/>
            <w:hideMark/>
          </w:tcPr>
          <w:p w14:paraId="74588CDD"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12" w:type="pct"/>
            <w:shd w:val="clear" w:color="auto" w:fill="FFC000"/>
            <w:noWrap/>
            <w:vAlign w:val="bottom"/>
            <w:hideMark/>
          </w:tcPr>
          <w:p w14:paraId="0420FBB1"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3" w:type="pct"/>
            <w:shd w:val="clear" w:color="auto" w:fill="FFC000"/>
            <w:noWrap/>
            <w:vAlign w:val="bottom"/>
            <w:hideMark/>
          </w:tcPr>
          <w:p w14:paraId="00645D18"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B467BC" w:rsidRPr="00666914" w14:paraId="51B91BDD" w14:textId="77777777" w:rsidTr="003E2457">
        <w:trPr>
          <w:trHeight w:val="302"/>
        </w:trPr>
        <w:tc>
          <w:tcPr>
            <w:tcW w:w="215" w:type="pct"/>
            <w:shd w:val="clear" w:color="auto" w:fill="auto"/>
            <w:vAlign w:val="center"/>
            <w:hideMark/>
          </w:tcPr>
          <w:p w14:paraId="2296352E" w14:textId="77777777" w:rsidR="00E66F49" w:rsidRPr="00666914" w:rsidRDefault="00E66F49" w:rsidP="00D27F91">
            <w:pPr>
              <w:spacing w:after="0"/>
              <w:jc w:val="left"/>
              <w:rPr>
                <w:rFonts w:eastAsia="Times New Roman"/>
                <w:bCs/>
                <w:color w:val="000000"/>
                <w:sz w:val="20"/>
                <w:szCs w:val="20"/>
                <w:lang w:eastAsia="sk-SK"/>
              </w:rPr>
            </w:pPr>
            <w:r w:rsidRPr="00666914">
              <w:rPr>
                <w:rFonts w:eastAsia="Times New Roman"/>
                <w:bCs/>
                <w:color w:val="000000"/>
                <w:sz w:val="20"/>
                <w:szCs w:val="20"/>
                <w:lang w:eastAsia="sk-SK"/>
              </w:rPr>
              <w:t>8</w:t>
            </w:r>
          </w:p>
        </w:tc>
        <w:tc>
          <w:tcPr>
            <w:tcW w:w="1745" w:type="pct"/>
            <w:shd w:val="clear" w:color="auto" w:fill="auto"/>
            <w:vAlign w:val="center"/>
          </w:tcPr>
          <w:p w14:paraId="7782EE3D"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Zvýšiť relevantnosť a objektívnosť externých testovaní a prostredníctvom testovaní na vzorkách hodnotiť vzdelávací systém</w:t>
            </w:r>
          </w:p>
        </w:tc>
        <w:tc>
          <w:tcPr>
            <w:tcW w:w="668" w:type="pct"/>
            <w:shd w:val="clear" w:color="auto" w:fill="auto"/>
            <w:vAlign w:val="center"/>
          </w:tcPr>
          <w:p w14:paraId="74FA93C4"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MŠVVaŠ SR, NÚCEM</w:t>
            </w:r>
          </w:p>
        </w:tc>
        <w:tc>
          <w:tcPr>
            <w:tcW w:w="528" w:type="pct"/>
            <w:shd w:val="clear" w:color="auto" w:fill="auto"/>
            <w:vAlign w:val="center"/>
          </w:tcPr>
          <w:p w14:paraId="4C03BEEA"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01/2019</w:t>
            </w:r>
          </w:p>
        </w:tc>
        <w:tc>
          <w:tcPr>
            <w:tcW w:w="605" w:type="pct"/>
            <w:vAlign w:val="center"/>
          </w:tcPr>
          <w:p w14:paraId="46BFE276" w14:textId="77777777" w:rsidR="00E66F49" w:rsidRPr="00666914" w:rsidRDefault="00E66F49" w:rsidP="00D27F91">
            <w:pPr>
              <w:spacing w:after="0"/>
              <w:jc w:val="center"/>
              <w:rPr>
                <w:rFonts w:eastAsia="Times New Roman"/>
                <w:color w:val="000000" w:themeColor="text1"/>
                <w:sz w:val="20"/>
                <w:szCs w:val="20"/>
                <w:lang w:eastAsia="sk-SK"/>
              </w:rPr>
            </w:pPr>
            <w:r w:rsidRPr="00666914">
              <w:rPr>
                <w:rFonts w:eastAsia="Times New Roman"/>
                <w:color w:val="000000" w:themeColor="text1"/>
                <w:sz w:val="20"/>
                <w:szCs w:val="20"/>
                <w:lang w:eastAsia="sk-SK"/>
              </w:rPr>
              <w:t>-</w:t>
            </w:r>
          </w:p>
        </w:tc>
        <w:tc>
          <w:tcPr>
            <w:tcW w:w="312" w:type="pct"/>
            <w:shd w:val="clear" w:color="auto" w:fill="FF0000"/>
            <w:noWrap/>
            <w:vAlign w:val="bottom"/>
            <w:hideMark/>
          </w:tcPr>
          <w:p w14:paraId="4A5F9F56"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12" w:type="pct"/>
            <w:shd w:val="clear" w:color="auto" w:fill="FF0000"/>
            <w:noWrap/>
            <w:vAlign w:val="bottom"/>
            <w:hideMark/>
          </w:tcPr>
          <w:p w14:paraId="5170713F"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12" w:type="pct"/>
            <w:shd w:val="clear" w:color="auto" w:fill="FF0000"/>
            <w:noWrap/>
            <w:vAlign w:val="bottom"/>
            <w:hideMark/>
          </w:tcPr>
          <w:p w14:paraId="61B550E8"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3" w:type="pct"/>
            <w:shd w:val="clear" w:color="auto" w:fill="FF0000"/>
            <w:noWrap/>
            <w:vAlign w:val="bottom"/>
            <w:hideMark/>
          </w:tcPr>
          <w:p w14:paraId="03EDB804"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B467BC" w:rsidRPr="00666914" w14:paraId="27AC48B6" w14:textId="77777777" w:rsidTr="003E2457">
        <w:trPr>
          <w:trHeight w:val="287"/>
        </w:trPr>
        <w:tc>
          <w:tcPr>
            <w:tcW w:w="215" w:type="pct"/>
            <w:shd w:val="clear" w:color="auto" w:fill="auto"/>
            <w:vAlign w:val="center"/>
            <w:hideMark/>
          </w:tcPr>
          <w:p w14:paraId="456EBFC8"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9</w:t>
            </w:r>
          </w:p>
        </w:tc>
        <w:tc>
          <w:tcPr>
            <w:tcW w:w="1745" w:type="pct"/>
            <w:shd w:val="clear" w:color="auto" w:fill="auto"/>
            <w:vAlign w:val="center"/>
          </w:tcPr>
          <w:p w14:paraId="44C034F9"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Posilniť a skvalitniť ponuku vzdelávacích aktivít pre pedagogických zamestnancov</w:t>
            </w:r>
          </w:p>
        </w:tc>
        <w:tc>
          <w:tcPr>
            <w:tcW w:w="668" w:type="pct"/>
            <w:shd w:val="clear" w:color="auto" w:fill="auto"/>
            <w:vAlign w:val="center"/>
          </w:tcPr>
          <w:p w14:paraId="1CBCFBB7"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MŠVVaŠ SR, MPC</w:t>
            </w:r>
          </w:p>
        </w:tc>
        <w:tc>
          <w:tcPr>
            <w:tcW w:w="528" w:type="pct"/>
            <w:shd w:val="clear" w:color="auto" w:fill="auto"/>
            <w:vAlign w:val="center"/>
          </w:tcPr>
          <w:p w14:paraId="19116B5B"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01/2019</w:t>
            </w:r>
          </w:p>
        </w:tc>
        <w:tc>
          <w:tcPr>
            <w:tcW w:w="605" w:type="pct"/>
            <w:vAlign w:val="center"/>
          </w:tcPr>
          <w:p w14:paraId="4C504DA9" w14:textId="77777777" w:rsidR="00E66F49" w:rsidRPr="00666914" w:rsidRDefault="00E66F49" w:rsidP="00D27F91">
            <w:pPr>
              <w:spacing w:after="0"/>
              <w:jc w:val="center"/>
              <w:rPr>
                <w:rFonts w:eastAsia="Times New Roman"/>
                <w:color w:val="000000" w:themeColor="text1"/>
                <w:sz w:val="20"/>
                <w:szCs w:val="20"/>
                <w:lang w:eastAsia="sk-SK"/>
              </w:rPr>
            </w:pPr>
            <w:r w:rsidRPr="00666914">
              <w:rPr>
                <w:rFonts w:eastAsia="Times New Roman"/>
                <w:color w:val="000000" w:themeColor="text1"/>
                <w:sz w:val="20"/>
                <w:szCs w:val="20"/>
                <w:lang w:eastAsia="sk-SK"/>
              </w:rPr>
              <w:t>-</w:t>
            </w:r>
          </w:p>
        </w:tc>
        <w:tc>
          <w:tcPr>
            <w:tcW w:w="312" w:type="pct"/>
            <w:shd w:val="clear" w:color="auto" w:fill="A6A6A6" w:themeFill="background1" w:themeFillShade="A6"/>
            <w:noWrap/>
            <w:vAlign w:val="bottom"/>
            <w:hideMark/>
          </w:tcPr>
          <w:p w14:paraId="3FC030CC"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12" w:type="pct"/>
            <w:shd w:val="clear" w:color="auto" w:fill="FF0000"/>
            <w:noWrap/>
            <w:vAlign w:val="bottom"/>
            <w:hideMark/>
          </w:tcPr>
          <w:p w14:paraId="4B1CEB3C"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12" w:type="pct"/>
            <w:shd w:val="clear" w:color="auto" w:fill="A6A6A6" w:themeFill="background1" w:themeFillShade="A6"/>
            <w:noWrap/>
            <w:vAlign w:val="bottom"/>
            <w:hideMark/>
          </w:tcPr>
          <w:p w14:paraId="2F793091"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3" w:type="pct"/>
            <w:shd w:val="clear" w:color="auto" w:fill="FF0000"/>
            <w:noWrap/>
            <w:vAlign w:val="bottom"/>
            <w:hideMark/>
          </w:tcPr>
          <w:p w14:paraId="5749075C"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B467BC" w:rsidRPr="00666914" w14:paraId="403C9B9F" w14:textId="77777777" w:rsidTr="003E2457">
        <w:trPr>
          <w:trHeight w:val="302"/>
        </w:trPr>
        <w:tc>
          <w:tcPr>
            <w:tcW w:w="215" w:type="pct"/>
            <w:shd w:val="clear" w:color="auto" w:fill="auto"/>
            <w:vAlign w:val="center"/>
            <w:hideMark/>
          </w:tcPr>
          <w:p w14:paraId="176E445D"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10</w:t>
            </w:r>
          </w:p>
        </w:tc>
        <w:tc>
          <w:tcPr>
            <w:tcW w:w="1745" w:type="pct"/>
            <w:shd w:val="clear" w:color="auto" w:fill="auto"/>
            <w:vAlign w:val="center"/>
          </w:tcPr>
          <w:p w14:paraId="7C4159E1"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Zreálniť personálnu a prevádzkovú náročnosť jednotlivých typov škôl</w:t>
            </w:r>
          </w:p>
        </w:tc>
        <w:tc>
          <w:tcPr>
            <w:tcW w:w="668" w:type="pct"/>
            <w:shd w:val="clear" w:color="auto" w:fill="auto"/>
            <w:vAlign w:val="center"/>
          </w:tcPr>
          <w:p w14:paraId="7222127C"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MŠVVaŠ SR, ŠIOV</w:t>
            </w:r>
          </w:p>
        </w:tc>
        <w:tc>
          <w:tcPr>
            <w:tcW w:w="528" w:type="pct"/>
            <w:shd w:val="clear" w:color="auto" w:fill="auto"/>
            <w:vAlign w:val="center"/>
          </w:tcPr>
          <w:p w14:paraId="202C01BB"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12/2018</w:t>
            </w:r>
          </w:p>
        </w:tc>
        <w:tc>
          <w:tcPr>
            <w:tcW w:w="605" w:type="pct"/>
            <w:vAlign w:val="center"/>
          </w:tcPr>
          <w:p w14:paraId="534B1EF3" w14:textId="77777777" w:rsidR="00E66F49" w:rsidRPr="00666914" w:rsidRDefault="00E66F49" w:rsidP="00D27F91">
            <w:pPr>
              <w:spacing w:after="0"/>
              <w:jc w:val="center"/>
              <w:rPr>
                <w:rFonts w:eastAsia="Times New Roman"/>
                <w:bCs/>
                <w:color w:val="000000" w:themeColor="text1"/>
                <w:sz w:val="20"/>
                <w:szCs w:val="20"/>
                <w:lang w:eastAsia="sk-SK"/>
              </w:rPr>
            </w:pPr>
            <w:r w:rsidRPr="00666914">
              <w:rPr>
                <w:rFonts w:eastAsia="Times New Roman"/>
                <w:bCs/>
                <w:color w:val="000000" w:themeColor="text1"/>
                <w:sz w:val="20"/>
                <w:szCs w:val="20"/>
                <w:lang w:eastAsia="sk-SK"/>
              </w:rPr>
              <w:t>06/2019</w:t>
            </w:r>
          </w:p>
        </w:tc>
        <w:tc>
          <w:tcPr>
            <w:tcW w:w="312" w:type="pct"/>
            <w:shd w:val="clear" w:color="auto" w:fill="FF0000"/>
            <w:noWrap/>
            <w:vAlign w:val="bottom"/>
            <w:hideMark/>
          </w:tcPr>
          <w:p w14:paraId="03EF3D14"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 </w:t>
            </w:r>
          </w:p>
        </w:tc>
        <w:tc>
          <w:tcPr>
            <w:tcW w:w="312" w:type="pct"/>
            <w:shd w:val="clear" w:color="auto" w:fill="FF0000"/>
            <w:noWrap/>
            <w:vAlign w:val="bottom"/>
            <w:hideMark/>
          </w:tcPr>
          <w:p w14:paraId="0C06D1DB"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 </w:t>
            </w:r>
          </w:p>
        </w:tc>
        <w:tc>
          <w:tcPr>
            <w:tcW w:w="312" w:type="pct"/>
            <w:shd w:val="clear" w:color="auto" w:fill="FF0000"/>
            <w:noWrap/>
            <w:vAlign w:val="bottom"/>
            <w:hideMark/>
          </w:tcPr>
          <w:p w14:paraId="7CAD6AC3"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 </w:t>
            </w:r>
          </w:p>
        </w:tc>
        <w:tc>
          <w:tcPr>
            <w:tcW w:w="303" w:type="pct"/>
            <w:shd w:val="clear" w:color="auto" w:fill="FF0000"/>
            <w:noWrap/>
            <w:vAlign w:val="bottom"/>
            <w:hideMark/>
          </w:tcPr>
          <w:p w14:paraId="23E5C17D"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 </w:t>
            </w:r>
          </w:p>
        </w:tc>
      </w:tr>
    </w:tbl>
    <w:p w14:paraId="702AF9FA" w14:textId="77777777" w:rsidR="00E66F49" w:rsidRPr="00666914" w:rsidRDefault="00E66F49" w:rsidP="00D27F91">
      <w:pPr>
        <w:pStyle w:val="Odsekzoznamu"/>
        <w:jc w:val="left"/>
        <w:rPr>
          <w:b/>
          <w:u w:val="single"/>
        </w:rPr>
      </w:pPr>
    </w:p>
    <w:p w14:paraId="3BC4D625" w14:textId="77777777" w:rsidR="00E66F49" w:rsidRPr="00666914" w:rsidRDefault="00E66F49" w:rsidP="00E66F49">
      <w:pPr>
        <w:pStyle w:val="Odsekzoznamu"/>
        <w:numPr>
          <w:ilvl w:val="0"/>
          <w:numId w:val="2"/>
        </w:numPr>
        <w:spacing w:after="0"/>
        <w:jc w:val="left"/>
        <w:rPr>
          <w:b/>
          <w:u w:val="single"/>
        </w:rPr>
      </w:pPr>
      <w:r w:rsidRPr="00666914">
        <w:rPr>
          <w:b/>
          <w:u w:val="single"/>
        </w:rPr>
        <w:t>Prijať opatrenia na podporu racionalizácie siete základných škôl</w:t>
      </w:r>
    </w:p>
    <w:p w14:paraId="095819B1" w14:textId="77777777" w:rsidR="00E66F49" w:rsidRPr="00666914" w:rsidRDefault="00E66F49" w:rsidP="00D27F91">
      <w:pPr>
        <w:pStyle w:val="Odsekzoznamu"/>
        <w:spacing w:after="0"/>
        <w:ind w:left="360"/>
        <w:jc w:val="left"/>
        <w:rPr>
          <w:b/>
          <w:u w:val="single"/>
        </w:rPr>
      </w:pPr>
    </w:p>
    <w:p w14:paraId="13DE6363" w14:textId="610A1F81" w:rsidR="00E66F49" w:rsidRPr="00666914" w:rsidRDefault="00E66F49" w:rsidP="00D27F91">
      <w:r w:rsidRPr="00666914">
        <w:t>MŠVVaŠ SR začalo s cieľom podpory racionalizácie siete škôl už v roku 2018 pripravovať návrh nového zákona o správe v školstve</w:t>
      </w:r>
      <w:r w:rsidRPr="00666914">
        <w:rPr>
          <w:rStyle w:val="Odkaznapoznmkupodiarou"/>
        </w:rPr>
        <w:footnoteReference w:id="159"/>
      </w:r>
      <w:r w:rsidRPr="00666914">
        <w:t>, počas roka 2019 aj novelizáciu zákona č. 597/2003 Z. z. o financovaní základných škôl, stredných škôl a školských zariadení. Napriek týmto aktivitám nebol do 12/2019 iniciovaný ani v jednom prípade riadny legislatívny proces.</w:t>
      </w:r>
    </w:p>
    <w:p w14:paraId="55977666" w14:textId="6FBC4F12" w:rsidR="00E66F49" w:rsidRPr="00666914" w:rsidRDefault="00E66F49" w:rsidP="00D27F91">
      <w:pPr>
        <w:rPr>
          <w:b/>
        </w:rPr>
      </w:pPr>
      <w:r w:rsidRPr="00666914">
        <w:rPr>
          <w:b/>
        </w:rPr>
        <w:t>Racionalizácia siete škôl sa napriek medializovaným informáciám</w:t>
      </w:r>
      <w:r w:rsidRPr="00666914">
        <w:rPr>
          <w:rStyle w:val="Odkaznapoznmkupodiarou"/>
          <w:b/>
        </w:rPr>
        <w:footnoteReference w:id="160"/>
      </w:r>
      <w:r w:rsidRPr="00666914">
        <w:rPr>
          <w:b/>
        </w:rPr>
        <w:t xml:space="preserve"> pravdepodobne ani do 12/2020 nezrealizuje, úspora </w:t>
      </w:r>
      <w:r w:rsidR="00867687" w:rsidRPr="00666914">
        <w:rPr>
          <w:b/>
        </w:rPr>
        <w:t>3</w:t>
      </w:r>
      <w:r w:rsidRPr="00666914">
        <w:rPr>
          <w:b/>
        </w:rPr>
        <w:t xml:space="preserve"> mil. eur nebola </w:t>
      </w:r>
      <w:r w:rsidR="00867687" w:rsidRPr="00666914">
        <w:rPr>
          <w:b/>
        </w:rPr>
        <w:t xml:space="preserve">v roku 2019 </w:t>
      </w:r>
      <w:r w:rsidRPr="00666914">
        <w:rPr>
          <w:b/>
        </w:rPr>
        <w:t>dosiahnutá. Opatrenie sa k 31.12.2019 neplní.</w:t>
      </w:r>
    </w:p>
    <w:p w14:paraId="2EA6120E" w14:textId="1C9520B4" w:rsidR="00E66F49" w:rsidRPr="00666914" w:rsidRDefault="00E66F49" w:rsidP="00D27F91">
      <w:pPr>
        <w:spacing w:after="0"/>
      </w:pPr>
      <w:r w:rsidRPr="00666914">
        <w:t>V 09/2019 rezort požiadal predsedu vlády SR o posun termínu predloženia návrhu zákona o správe v školstve</w:t>
      </w:r>
      <w:r w:rsidRPr="00666914">
        <w:rPr>
          <w:rStyle w:val="Odkaznapoznmkupodiarou"/>
        </w:rPr>
        <w:footnoteReference w:id="161"/>
      </w:r>
      <w:r w:rsidRPr="00666914">
        <w:t xml:space="preserve"> na rok 2021. Predseda vlády SR odporučil zvážiť zrušenie tejto úlohy cez riadny legislatívny proces (MPK, schválenie vládou SR), čo sa do 12/2019 neuskutočnilo. Napriek meškaniu prípravy legislatívnych zmien by mal mať rezort pripravený plán opatrení, ktorými sa racionalizácia siete škôl uskutoční. IJ vyzvala koncom roka 2019 </w:t>
      </w:r>
      <w:r w:rsidR="00387FF9" w:rsidRPr="00666914">
        <w:t xml:space="preserve">listom </w:t>
      </w:r>
      <w:r w:rsidRPr="00666914">
        <w:t>ministerstvo k vytvoreniu pracovnej skupiny tak, aby pracovná skupina zahájila činnosť ešte pred parlamentnými voľbami, k čomu nedošlo.</w:t>
      </w:r>
    </w:p>
    <w:p w14:paraId="340F6540" w14:textId="77777777" w:rsidR="00E66F49" w:rsidRPr="00666914" w:rsidRDefault="00E66F49" w:rsidP="00D27F91">
      <w:pPr>
        <w:spacing w:after="0"/>
      </w:pPr>
    </w:p>
    <w:p w14:paraId="4DAC0AA3" w14:textId="6C266698" w:rsidR="00E66F49" w:rsidRPr="00666914" w:rsidRDefault="00E66F49" w:rsidP="00D27F91">
      <w:r w:rsidRPr="00666914">
        <w:rPr>
          <w:b/>
        </w:rPr>
        <w:t xml:space="preserve">Podkladom pre návrh opatrení na podporu racionalizácie malo byť aj vyhodnotenie udelenia tzv. racionalizačných opatrení v rámci dohodovacích konaní z roka 2013. IJ do 12/2019 neobdržala kompletnú analýzu s jasnými závermi. </w:t>
      </w:r>
      <w:r w:rsidRPr="00666914">
        <w:t xml:space="preserve">Rezort zaslal len informácie o počte škôl, ktorým bolo od roku 2013 umožnené postupne opäť sa zapojiť do dohodovacieho konania (bez potreby prijať racionalizačné opatrenie) a tých, ktorým boli </w:t>
      </w:r>
      <w:r w:rsidRPr="00666914">
        <w:lastRenderedPageBreak/>
        <w:t xml:space="preserve">racionalizačné opatrenia udelené. V roku 2019 </w:t>
      </w:r>
      <w:r w:rsidR="00387FF9" w:rsidRPr="00666914">
        <w:t xml:space="preserve">zároveň </w:t>
      </w:r>
      <w:r w:rsidRPr="00666914">
        <w:t>MŠVVaŠ SR rozhodlo o zrušení racionalizačných opatrení aj v prípade posledných obcí, ktorým boli v roku 2013 udelené</w:t>
      </w:r>
      <w:r w:rsidRPr="00666914">
        <w:rPr>
          <w:rStyle w:val="Odkaznapoznmkupodiarou"/>
        </w:rPr>
        <w:footnoteReference w:id="162"/>
      </w:r>
      <w:r w:rsidRPr="00666914">
        <w:t>. Na základe informácií z</w:t>
      </w:r>
      <w:r w:rsidR="001E7274" w:rsidRPr="00666914">
        <w:t xml:space="preserve"> </w:t>
      </w:r>
      <w:r w:rsidRPr="00666914">
        <w:t xml:space="preserve">ministerstva racionalizačné opatrenia prijaté v roku 2013 realizovalo len 19 škôl z celkového počtu 129. Podľa vyjadrenia rezortu </w:t>
      </w:r>
      <w:r w:rsidR="00387FF9" w:rsidRPr="00666914">
        <w:t xml:space="preserve">bola </w:t>
      </w:r>
      <w:r w:rsidRPr="00666914">
        <w:t>efektivita opatrení nedostatočná a nenapĺňala podstatu racionalizačného procesu.</w:t>
      </w:r>
    </w:p>
    <w:p w14:paraId="5C20E681" w14:textId="74458737" w:rsidR="00E66F49" w:rsidRPr="00666914" w:rsidRDefault="00E66F49" w:rsidP="00D27F91">
      <w:r w:rsidRPr="00666914">
        <w:rPr>
          <w:b/>
        </w:rPr>
        <w:t xml:space="preserve">Prideľovanie finančných prostriedkov prostredníctvom dohodovacích konaní nebolo do roku 2018 dostatočne transparentné. </w:t>
      </w:r>
      <w:r w:rsidRPr="00666914">
        <w:t>IJ preto už v SIS 2018 odporučila ministerstvu zverejňovať metodiku prideľovania financií</w:t>
      </w:r>
      <w:r w:rsidR="00387FF9" w:rsidRPr="00666914">
        <w:t>,</w:t>
      </w:r>
      <w:r w:rsidRPr="00666914">
        <w:t xml:space="preserve"> vrátane konkrétnych výsledkov u zriaďovateľov.</w:t>
      </w:r>
      <w:r w:rsidRPr="00666914">
        <w:rPr>
          <w:b/>
        </w:rPr>
        <w:t xml:space="preserve"> </w:t>
      </w:r>
      <w:r w:rsidRPr="00666914">
        <w:t>Počas roka 2019 ju MŠVVaŠ SR zverejňovalo spolu s dátovou prílohou o jednotlivých zriaďovateľoch</w:t>
      </w:r>
      <w:r w:rsidRPr="00666914">
        <w:rPr>
          <w:rStyle w:val="Odkaznapoznmkupodiarou"/>
        </w:rPr>
        <w:footnoteReference w:id="163"/>
      </w:r>
      <w:r w:rsidR="00387FF9" w:rsidRPr="00666914">
        <w:t xml:space="preserve"> na svojej stránke</w:t>
      </w:r>
      <w:r w:rsidRPr="00666914">
        <w:t xml:space="preserve">. </w:t>
      </w:r>
      <w:r w:rsidRPr="00666914">
        <w:rPr>
          <w:b/>
        </w:rPr>
        <w:t xml:space="preserve">Skupinu pôvodne označovanú ako </w:t>
      </w:r>
      <w:r w:rsidRPr="00666914">
        <w:rPr>
          <w:b/>
          <w:i/>
        </w:rPr>
        <w:t>ostatné výdavky</w:t>
      </w:r>
      <w:r w:rsidRPr="00666914">
        <w:rPr>
          <w:b/>
        </w:rPr>
        <w:t>, ktoré v roku 2019 tvorili 52 % všetkých výdavkov na dohodovacie konania (DK), rozdelilo ministerstvo na transfery, prevádzku a osobné náklady, čo sprehľadnilo štruktúru výdavkov financovaných cez DK.</w:t>
      </w:r>
      <w:r w:rsidRPr="00666914">
        <w:t xml:space="preserve"> Okrem bežných výdavkov bolo cez DK v roku 2019 financované aj navýšenie platov pre začínajúcich učiteľov, čo tvorilo 25 % z celkových výdavkov na dohodovacie konania.</w:t>
      </w:r>
    </w:p>
    <w:p w14:paraId="7537D427" w14:textId="0A817EE1" w:rsidR="00E66F49" w:rsidRPr="00666914" w:rsidRDefault="00E66F49" w:rsidP="00DF06BD">
      <w:pPr>
        <w:spacing w:after="0"/>
        <w:jc w:val="left"/>
        <w:rPr>
          <w:rFonts w:eastAsia="Times New Roman" w:cs="Calibri"/>
          <w:b/>
          <w:bCs/>
          <w:color w:val="000000"/>
          <w:sz w:val="20"/>
          <w:szCs w:val="20"/>
          <w:lang w:eastAsia="sk-SK"/>
        </w:rPr>
      </w:pPr>
      <w:bookmarkStart w:id="290" w:name="_Toc38390059"/>
      <w:r w:rsidRPr="00666914">
        <w:rPr>
          <w:rFonts w:eastAsia="Times New Roman" w:cs="Calibri"/>
          <w:b/>
          <w:bCs/>
          <w:color w:val="000000"/>
          <w:sz w:val="20"/>
          <w:szCs w:val="20"/>
          <w:lang w:eastAsia="sk-SK"/>
        </w:rPr>
        <w:t xml:space="preserve">Graf </w:t>
      </w:r>
      <w:r w:rsidRPr="00666914">
        <w:rPr>
          <w:rFonts w:eastAsia="Times New Roman" w:cs="Calibri"/>
          <w:b/>
          <w:bCs/>
          <w:color w:val="000000"/>
          <w:sz w:val="20"/>
          <w:szCs w:val="20"/>
          <w:lang w:eastAsia="sk-SK"/>
        </w:rPr>
        <w:fldChar w:fldCharType="begin"/>
      </w:r>
      <w:r w:rsidRPr="00666914">
        <w:rPr>
          <w:rFonts w:eastAsia="Times New Roman" w:cs="Calibri"/>
          <w:b/>
          <w:bCs/>
          <w:color w:val="000000"/>
          <w:sz w:val="20"/>
          <w:szCs w:val="20"/>
          <w:lang w:eastAsia="sk-SK"/>
        </w:rPr>
        <w:instrText xml:space="preserve"> SEQ Graf \* ARABIC \* MERGEFORMAT </w:instrText>
      </w:r>
      <w:r w:rsidRPr="00666914">
        <w:rPr>
          <w:rFonts w:eastAsia="Times New Roman" w:cs="Calibri"/>
          <w:b/>
          <w:bCs/>
          <w:color w:val="000000"/>
          <w:sz w:val="20"/>
          <w:szCs w:val="20"/>
          <w:lang w:eastAsia="sk-SK"/>
        </w:rPr>
        <w:fldChar w:fldCharType="separate"/>
      </w:r>
      <w:r w:rsidR="005A7304">
        <w:rPr>
          <w:rFonts w:eastAsia="Times New Roman" w:cs="Calibri"/>
          <w:b/>
          <w:bCs/>
          <w:noProof/>
          <w:color w:val="000000"/>
          <w:sz w:val="20"/>
          <w:szCs w:val="20"/>
          <w:lang w:eastAsia="sk-SK"/>
        </w:rPr>
        <w:t>15</w:t>
      </w:r>
      <w:r w:rsidRPr="00666914">
        <w:rPr>
          <w:rFonts w:eastAsia="Times New Roman" w:cs="Calibri"/>
          <w:b/>
          <w:bCs/>
          <w:color w:val="000000"/>
          <w:sz w:val="20"/>
          <w:szCs w:val="20"/>
          <w:lang w:eastAsia="sk-SK"/>
        </w:rPr>
        <w:fldChar w:fldCharType="end"/>
      </w:r>
      <w:r w:rsidRPr="00666914">
        <w:rPr>
          <w:rFonts w:eastAsia="Times New Roman" w:cs="Calibri"/>
          <w:b/>
          <w:bCs/>
          <w:color w:val="000000"/>
          <w:sz w:val="20"/>
          <w:szCs w:val="20"/>
          <w:lang w:eastAsia="sk-SK"/>
        </w:rPr>
        <w:t xml:space="preserve"> : Typy </w:t>
      </w:r>
      <w:r w:rsidRPr="00666914">
        <w:rPr>
          <w:rFonts w:eastAsia="Arial Narrow" w:cs="Arial Narrow"/>
          <w:b/>
          <w:sz w:val="20"/>
          <w:szCs w:val="20"/>
          <w:lang w:eastAsia="sk-SK"/>
        </w:rPr>
        <w:t>výdavkov</w:t>
      </w:r>
      <w:r w:rsidRPr="00666914">
        <w:rPr>
          <w:rFonts w:eastAsia="Times New Roman" w:cs="Calibri"/>
          <w:b/>
          <w:bCs/>
          <w:color w:val="000000"/>
          <w:sz w:val="20"/>
          <w:szCs w:val="20"/>
          <w:lang w:eastAsia="sk-SK"/>
        </w:rPr>
        <w:t xml:space="preserve"> financované cez DK za rok 2019 (v tis. eur)</w:t>
      </w:r>
      <w:bookmarkEnd w:id="290"/>
    </w:p>
    <w:p w14:paraId="79D2CE95" w14:textId="77777777" w:rsidR="00E66F49" w:rsidRPr="00666914" w:rsidRDefault="00E66F49" w:rsidP="00D27F91">
      <w:pPr>
        <w:pBdr>
          <w:top w:val="single" w:sz="4" w:space="1" w:color="auto"/>
          <w:bottom w:val="single" w:sz="4" w:space="1" w:color="auto"/>
        </w:pBdr>
        <w:spacing w:after="0"/>
        <w:rPr>
          <w:rFonts w:eastAsia="Times New Roman" w:cs="Calibri"/>
          <w:b/>
          <w:bCs/>
          <w:color w:val="000000"/>
          <w:sz w:val="20"/>
          <w:szCs w:val="20"/>
          <w:lang w:eastAsia="sk-SK"/>
        </w:rPr>
      </w:pPr>
      <w:r w:rsidRPr="00666914">
        <w:rPr>
          <w:noProof/>
          <w:lang w:eastAsia="sk-SK"/>
        </w:rPr>
        <w:drawing>
          <wp:inline distT="0" distB="0" distL="0" distR="0" wp14:anchorId="7677E47A" wp14:editId="708521C4">
            <wp:extent cx="6105525" cy="3476625"/>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74C120E" w14:textId="77777777" w:rsidR="00E66F49" w:rsidRPr="00666914" w:rsidRDefault="00E66F49" w:rsidP="00D27F91">
      <w:pPr>
        <w:jc w:val="right"/>
      </w:pPr>
      <w:r w:rsidRPr="00666914">
        <w:rPr>
          <w:i/>
          <w:sz w:val="18"/>
          <w:szCs w:val="18"/>
        </w:rPr>
        <w:t>Zdroj: Konečný upravený rozpočet na rok 2019, MŠVVaŠ SR, spracovanie IJ</w:t>
      </w:r>
    </w:p>
    <w:p w14:paraId="2C5D7A87" w14:textId="77777777" w:rsidR="00E66F49" w:rsidRPr="00666914" w:rsidRDefault="00E66F49" w:rsidP="00D27F91">
      <w:pPr>
        <w:rPr>
          <w:i/>
          <w:sz w:val="18"/>
          <w:szCs w:val="18"/>
        </w:rPr>
      </w:pPr>
      <w:r w:rsidRPr="00666914">
        <w:rPr>
          <w:color w:val="C45911" w:themeColor="accent2" w:themeShade="BF"/>
          <w:sz w:val="18"/>
          <w:szCs w:val="18"/>
        </w:rPr>
        <w:t xml:space="preserve">   </w:t>
      </w:r>
      <w:r w:rsidRPr="00666914">
        <w:rPr>
          <w:i/>
          <w:sz w:val="18"/>
          <w:szCs w:val="18"/>
        </w:rPr>
        <w:t>Pozn.: DKO = dohodovacie konanie ostatné</w:t>
      </w:r>
    </w:p>
    <w:p w14:paraId="56FDC699" w14:textId="2F3658FF" w:rsidR="00E66F49" w:rsidRPr="000230E0" w:rsidRDefault="00E66F49" w:rsidP="000230E0">
      <w:pPr>
        <w:jc w:val="left"/>
        <w:rPr>
          <w:i/>
          <w:sz w:val="18"/>
          <w:szCs w:val="18"/>
        </w:rPr>
      </w:pPr>
      <w:r w:rsidRPr="00666914">
        <w:rPr>
          <w:b/>
        </w:rPr>
        <w:t xml:space="preserve">Odporúčanie IJ: </w:t>
      </w:r>
      <w:r w:rsidRPr="00666914">
        <w:t xml:space="preserve">Do 12/2020 predložiť na rokovanie vlády SR úpravu legislatívy, ktorá podporí racionalizáciu siete škôl. V súlade s návrhom opatrení vyčísliť plánovanú úsporu. </w:t>
      </w:r>
    </w:p>
    <w:p w14:paraId="289367BA" w14:textId="77777777" w:rsidR="00E66F49" w:rsidRPr="00666914" w:rsidRDefault="00E66F49" w:rsidP="00E66F49">
      <w:pPr>
        <w:pStyle w:val="Odsekzoznamu"/>
        <w:numPr>
          <w:ilvl w:val="0"/>
          <w:numId w:val="2"/>
        </w:numPr>
        <w:rPr>
          <w:szCs w:val="24"/>
          <w:u w:val="single"/>
        </w:rPr>
      </w:pPr>
      <w:r w:rsidRPr="00666914">
        <w:rPr>
          <w:b/>
          <w:szCs w:val="24"/>
          <w:u w:val="single"/>
        </w:rPr>
        <w:t>Zrušiť možnosť získať kredity na kreditový príplatok</w:t>
      </w:r>
    </w:p>
    <w:p w14:paraId="39FF1D97" w14:textId="77777777" w:rsidR="00E66F49" w:rsidRPr="00666914" w:rsidRDefault="00E66F49" w:rsidP="00D27F91">
      <w:pPr>
        <w:pStyle w:val="Odsekzoznamu"/>
        <w:spacing w:after="0"/>
        <w:rPr>
          <w:rFonts w:eastAsia="Times New Roman"/>
          <w:color w:val="2E74B5" w:themeColor="accent1" w:themeShade="BF"/>
          <w:sz w:val="20"/>
          <w:szCs w:val="20"/>
          <w:u w:val="single"/>
          <w:lang w:eastAsia="sk-SK"/>
        </w:rPr>
      </w:pPr>
    </w:p>
    <w:p w14:paraId="0B1F0D97" w14:textId="7A8B9C5E" w:rsidR="00E66F49" w:rsidRPr="00666914" w:rsidRDefault="00E66F49" w:rsidP="00D27F91">
      <w:r w:rsidRPr="00666914">
        <w:t xml:space="preserve">Ukončenie schémy kreditových príplatkov do 06/2018 mohlo </w:t>
      </w:r>
      <w:r w:rsidR="00387FF9" w:rsidRPr="00666914">
        <w:t xml:space="preserve">podľa revízie výdavkov </w:t>
      </w:r>
      <w:r w:rsidRPr="00666914">
        <w:t xml:space="preserve">priniesť rezortu </w:t>
      </w:r>
      <w:r w:rsidR="00867687" w:rsidRPr="00666914">
        <w:t>v roku</w:t>
      </w:r>
      <w:r w:rsidRPr="00666914">
        <w:t xml:space="preserve"> 2019 odhadovanú úsporu 5 mil. eur</w:t>
      </w:r>
      <w:r w:rsidRPr="00666914">
        <w:rPr>
          <w:rStyle w:val="Odkaznapoznmkupodiarou"/>
        </w:rPr>
        <w:footnoteReference w:id="164"/>
      </w:r>
      <w:r w:rsidRPr="00666914">
        <w:t>.</w:t>
      </w:r>
    </w:p>
    <w:p w14:paraId="41590444" w14:textId="2845360C" w:rsidR="00E66F49" w:rsidRPr="00666914" w:rsidRDefault="00E66F49" w:rsidP="00D27F91">
      <w:r w:rsidRPr="00666914">
        <w:lastRenderedPageBreak/>
        <w:t>S účinnosťou od 01/2018 bola doba platnosti kreditov neobmedzená</w:t>
      </w:r>
      <w:r w:rsidRPr="00666914">
        <w:rPr>
          <w:rStyle w:val="Odkaznapoznmkupodiarou"/>
        </w:rPr>
        <w:footnoteReference w:id="165"/>
      </w:r>
      <w:r w:rsidRPr="00666914">
        <w:t>. Počas roka 2019 bol prijatý nový zákon o pedagogických zamestnancoch a odborných zamestnancoch</w:t>
      </w:r>
      <w:r w:rsidRPr="00666914">
        <w:rPr>
          <w:rStyle w:val="Odkaznapoznmkupodiarou"/>
        </w:rPr>
        <w:footnoteReference w:id="166"/>
      </w:r>
      <w:r w:rsidRPr="00666914">
        <w:t xml:space="preserve"> (zákon o PZ a OZ), na základe ktorého bol </w:t>
      </w:r>
      <w:r w:rsidR="00387FF9" w:rsidRPr="00666914">
        <w:t xml:space="preserve">od 09/2019 </w:t>
      </w:r>
      <w:r w:rsidRPr="00666914">
        <w:t xml:space="preserve">samotný kreditový systém zrušený. Čo sa však týka odmeňovania, kreditový príplatok priznaný do 08/2019 sa </w:t>
      </w:r>
      <w:r w:rsidR="00387FF9" w:rsidRPr="00666914">
        <w:t xml:space="preserve">od 09/2019 </w:t>
      </w:r>
      <w:r w:rsidRPr="00666914">
        <w:t>považuje za príplatok za profesijný rozvoj a bude vyplácaný do 08/2026</w:t>
      </w:r>
      <w:r w:rsidRPr="00666914">
        <w:rPr>
          <w:rStyle w:val="Odkaznapoznmkupodiarou"/>
        </w:rPr>
        <w:footnoteReference w:id="167"/>
      </w:r>
      <w:r w:rsidRPr="00666914">
        <w:t>.</w:t>
      </w:r>
    </w:p>
    <w:p w14:paraId="0F057734" w14:textId="7741528E" w:rsidR="00E66F49" w:rsidRPr="00666914" w:rsidRDefault="00E66F49" w:rsidP="00D27F91">
      <w:pPr>
        <w:rPr>
          <w:b/>
        </w:rPr>
      </w:pPr>
      <w:r w:rsidRPr="00666914">
        <w:rPr>
          <w:b/>
        </w:rPr>
        <w:t>IJ už v PIS 2019</w:t>
      </w:r>
      <w:r w:rsidRPr="00666914">
        <w:rPr>
          <w:rStyle w:val="Odkaznapoznmkupodiarou"/>
          <w:b/>
        </w:rPr>
        <w:footnoteReference w:id="168"/>
      </w:r>
      <w:r w:rsidRPr="00666914">
        <w:rPr>
          <w:b/>
        </w:rPr>
        <w:t xml:space="preserve"> upozornila, že prijatá legislatívna zmena v prechodnom období (do 08/2026) naďalej zachováva ako podmienku získania príplatku účasť pedagógov na vybraných typoch vzdelávania, čo nemusí zaručiť zvýšenie kvality vzdelávania žiakov.</w:t>
      </w:r>
    </w:p>
    <w:p w14:paraId="5FBAB8D7" w14:textId="1523D39A" w:rsidR="00E66F49" w:rsidRPr="00666914" w:rsidRDefault="00E66F49" w:rsidP="00D27F91">
      <w:r w:rsidRPr="00666914">
        <w:rPr>
          <w:b/>
        </w:rPr>
        <w:t>Opatrenie sa k 31.12.2019 neplní.</w:t>
      </w:r>
    </w:p>
    <w:p w14:paraId="797F9871" w14:textId="00127FC7" w:rsidR="00E66F49" w:rsidRPr="00666914" w:rsidRDefault="00E66F49" w:rsidP="00EB4DBA">
      <w:r w:rsidRPr="00666914">
        <w:rPr>
          <w:b/>
        </w:rPr>
        <w:t>Odporúčanie IJ:</w:t>
      </w:r>
      <w:r w:rsidRPr="00666914">
        <w:t xml:space="preserve"> Podľa vyjadrenia MŠVVaŠ SR sa prijatím nového zákona o PZ a OZ vytvoril zákonný priestor na podporu zvyšovania kvalifikovanosti poskytovaného vzdelávania, ako predpokladu zvýšenia kvality výchovy a vzdelávania. IJ preto odporúča rezortu do 12/2020 predbežne vyhodnotiť a zverejniť prínosy schváleného zákona v tejto oblasti.</w:t>
      </w:r>
    </w:p>
    <w:p w14:paraId="2F081905" w14:textId="77777777" w:rsidR="00E66F49" w:rsidRPr="00666914" w:rsidRDefault="00E66F49" w:rsidP="00E66F49">
      <w:pPr>
        <w:pStyle w:val="Odsekzoznamu"/>
        <w:numPr>
          <w:ilvl w:val="0"/>
          <w:numId w:val="2"/>
        </w:numPr>
        <w:jc w:val="left"/>
        <w:rPr>
          <w:b/>
          <w:u w:val="single"/>
        </w:rPr>
      </w:pPr>
      <w:r w:rsidRPr="00666914">
        <w:rPr>
          <w:b/>
          <w:u w:val="single"/>
        </w:rPr>
        <w:t>Výraznejšie zvýšiť platy pedagogických a odborných zamestnancov na začiatku kariéry úpravou zohľadňovania dĺžky praxe</w:t>
      </w:r>
      <w:r w:rsidRPr="00666914" w:rsidDel="005E5254">
        <w:rPr>
          <w:b/>
          <w:u w:val="single"/>
        </w:rPr>
        <w:t xml:space="preserve"> </w:t>
      </w:r>
    </w:p>
    <w:p w14:paraId="64B492EE" w14:textId="77777777" w:rsidR="00E66F49" w:rsidRPr="00666914" w:rsidRDefault="00E66F49" w:rsidP="00D27F91">
      <w:pPr>
        <w:pStyle w:val="Odsekzoznamu"/>
        <w:spacing w:after="0"/>
        <w:jc w:val="left"/>
        <w:rPr>
          <w:b/>
          <w:u w:val="single"/>
        </w:rPr>
      </w:pPr>
    </w:p>
    <w:p w14:paraId="7E75A48D" w14:textId="77777777" w:rsidR="00E66F49" w:rsidRPr="00666914" w:rsidRDefault="00E66F49" w:rsidP="00D27F91">
      <w:pPr>
        <w:rPr>
          <w:lang w:eastAsia="sk-SK"/>
        </w:rPr>
      </w:pPr>
      <w:r w:rsidRPr="00666914">
        <w:t xml:space="preserve">Adresné zvýšenie atraktívnosti učiteľského povolania na začiatku kariéry v oblasti RŠ ako aj VŠ má podporiť schválená novela zákona </w:t>
      </w:r>
      <w:r w:rsidRPr="00666914">
        <w:rPr>
          <w:lang w:eastAsia="sk-SK"/>
        </w:rPr>
        <w:t>č. 553/2003 Z. z. o odmeňovaní niektorých zamestnancov pri výkone práce vo verejnom záujme</w:t>
      </w:r>
      <w:r w:rsidRPr="00666914">
        <w:rPr>
          <w:rStyle w:val="Odkaznapoznmkupodiarou"/>
          <w:lang w:eastAsia="sk-SK"/>
        </w:rPr>
        <w:footnoteReference w:id="169"/>
      </w:r>
      <w:r w:rsidRPr="00666914">
        <w:rPr>
          <w:lang w:eastAsia="sk-SK"/>
        </w:rPr>
        <w:t>. Poslanecký návrh zákona bol schválený v 06/2019</w:t>
      </w:r>
      <w:r w:rsidRPr="00666914">
        <w:rPr>
          <w:rStyle w:val="Odkaznapoznmkupodiarou"/>
          <w:lang w:eastAsia="sk-SK"/>
        </w:rPr>
        <w:footnoteReference w:id="170"/>
      </w:r>
      <w:r w:rsidRPr="00666914">
        <w:rPr>
          <w:lang w:eastAsia="sk-SK"/>
        </w:rPr>
        <w:t>.</w:t>
      </w:r>
    </w:p>
    <w:p w14:paraId="0236AB3D" w14:textId="0802895B" w:rsidR="00E66F49" w:rsidRPr="00666914" w:rsidRDefault="00E66F49" w:rsidP="00D27F91">
      <w:r w:rsidRPr="00666914">
        <w:t>Prijatá novela zákona k 1.9.2019 zaviedla:</w:t>
      </w:r>
    </w:p>
    <w:p w14:paraId="0653F9F0" w14:textId="77777777" w:rsidR="00E66F49" w:rsidRPr="00666914" w:rsidRDefault="00E66F49" w:rsidP="00E66F49">
      <w:pPr>
        <w:pStyle w:val="Odsekzoznamu"/>
        <w:numPr>
          <w:ilvl w:val="0"/>
          <w:numId w:val="5"/>
        </w:numPr>
        <w:rPr>
          <w:lang w:eastAsia="sk-SK"/>
        </w:rPr>
      </w:pPr>
      <w:r w:rsidRPr="00666914">
        <w:t>zvýšenie platových taríf PZ a OZ na začiatku kariéry o 9,5 % a zvýšenie tarifných platov učiteľov VŠ, výskumných, vývojových zamestnancov a doktorandov v priemere o 8,7 %, (najväčší nárast nastal u doktorandov v dennej forme štúdia),</w:t>
      </w:r>
    </w:p>
    <w:p w14:paraId="5EA81732" w14:textId="6C6181E8" w:rsidR="00E66F49" w:rsidRPr="00666914" w:rsidRDefault="00E66F49" w:rsidP="00E66F49">
      <w:pPr>
        <w:pStyle w:val="Odsekzoznamu"/>
        <w:numPr>
          <w:ilvl w:val="0"/>
          <w:numId w:val="5"/>
        </w:numPr>
        <w:rPr>
          <w:lang w:eastAsia="sk-SK"/>
        </w:rPr>
      </w:pPr>
      <w:r w:rsidRPr="00666914">
        <w:t>zmenu v systéme zvyšovania platov v závislosti od dĺžky započítanej praxe</w:t>
      </w:r>
      <w:r w:rsidRPr="00666914">
        <w:rPr>
          <w:rStyle w:val="Odkaznapoznmkupodiarou"/>
        </w:rPr>
        <w:footnoteReference w:id="171"/>
      </w:r>
      <w:r w:rsidRPr="00666914">
        <w:t>,</w:t>
      </w:r>
    </w:p>
    <w:p w14:paraId="718ED409" w14:textId="77777777" w:rsidR="00E66F49" w:rsidRPr="00666914" w:rsidRDefault="00E66F49" w:rsidP="00E66F49">
      <w:pPr>
        <w:pStyle w:val="Odsekzoznamu"/>
        <w:numPr>
          <w:ilvl w:val="0"/>
          <w:numId w:val="5"/>
        </w:numPr>
        <w:rPr>
          <w:color w:val="C45911" w:themeColor="accent2" w:themeShade="BF"/>
          <w:lang w:eastAsia="sk-SK"/>
        </w:rPr>
      </w:pPr>
      <w:r w:rsidRPr="00666914">
        <w:rPr>
          <w:lang w:eastAsia="sk-SK"/>
        </w:rPr>
        <w:t>zmenu vo výške niektorých príplatkov PZ a OZ</w:t>
      </w:r>
      <w:r w:rsidRPr="00666914">
        <w:rPr>
          <w:rStyle w:val="Odkaznapoznmkupodiarou"/>
          <w:lang w:eastAsia="sk-SK"/>
        </w:rPr>
        <w:footnoteReference w:id="172"/>
      </w:r>
      <w:r w:rsidRPr="00666914">
        <w:rPr>
          <w:lang w:eastAsia="sk-SK"/>
        </w:rPr>
        <w:t>, pričom výška príplatku za riadenie, pre triedneho učiteľa, pre uvádzajúceho pedagogického zamestnanca a osobného príplatku vzhľadom na zvýšenie základnej tarify ostáva zachovaná.</w:t>
      </w:r>
    </w:p>
    <w:p w14:paraId="0F6949FE" w14:textId="36A0D3BD" w:rsidR="00E66F49" w:rsidRPr="00666914" w:rsidRDefault="00E66F49" w:rsidP="00D27F91">
      <w:pPr>
        <w:rPr>
          <w:b/>
          <w:lang w:eastAsia="sk-SK"/>
        </w:rPr>
      </w:pPr>
      <w:r w:rsidRPr="00666914">
        <w:rPr>
          <w:lang w:eastAsia="sk-SK"/>
        </w:rPr>
        <w:t>Nariadenia vlády SR, súvisiace so zmenami v novele, boli schválené počas 2H2019</w:t>
      </w:r>
      <w:r w:rsidRPr="00666914">
        <w:rPr>
          <w:rStyle w:val="Odkaznapoznmkupodiarou"/>
          <w:lang w:eastAsia="sk-SK"/>
        </w:rPr>
        <w:footnoteReference w:id="173"/>
      </w:r>
      <w:r w:rsidRPr="00666914">
        <w:rPr>
          <w:lang w:eastAsia="sk-SK"/>
        </w:rPr>
        <w:t xml:space="preserve">. </w:t>
      </w:r>
      <w:r w:rsidRPr="00666914">
        <w:rPr>
          <w:b/>
          <w:lang w:eastAsia="sk-SK"/>
        </w:rPr>
        <w:t>Opatrenie je k 31.12.2019 splnené</w:t>
      </w:r>
      <w:r w:rsidRPr="00666914">
        <w:rPr>
          <w:lang w:eastAsia="sk-SK"/>
        </w:rPr>
        <w:t>. IJ však odporúča rezortu nastaviť monitoring vplyvu splnenia úlohy na atraktivitu profesie učiteľa (zahrnuté pri odporúčaní úlohy č.4).</w:t>
      </w:r>
    </w:p>
    <w:p w14:paraId="54579A2D" w14:textId="77777777" w:rsidR="00E66F49" w:rsidRPr="00666914" w:rsidRDefault="00E66F49" w:rsidP="00E66F49">
      <w:pPr>
        <w:pStyle w:val="Odsekzoznamu"/>
        <w:numPr>
          <w:ilvl w:val="0"/>
          <w:numId w:val="2"/>
        </w:numPr>
        <w:jc w:val="left"/>
        <w:rPr>
          <w:b/>
          <w:u w:val="single"/>
        </w:rPr>
      </w:pPr>
      <w:r w:rsidRPr="00666914">
        <w:rPr>
          <w:b/>
          <w:u w:val="single"/>
        </w:rPr>
        <w:t>Zvyšovať priemerné platy pedagogických a odborných zamestnancov, resp. vysokoškolských učiteľov</w:t>
      </w:r>
    </w:p>
    <w:p w14:paraId="3FC28C23" w14:textId="77777777" w:rsidR="00E66F49" w:rsidRPr="00666914" w:rsidRDefault="00E66F49" w:rsidP="00D27F91">
      <w:pPr>
        <w:pStyle w:val="Odsekzoznamu"/>
        <w:spacing w:after="0"/>
        <w:jc w:val="left"/>
        <w:rPr>
          <w:b/>
          <w:u w:val="single"/>
        </w:rPr>
      </w:pPr>
    </w:p>
    <w:p w14:paraId="2586E1C0" w14:textId="16FE7566" w:rsidR="00E66F49" w:rsidRPr="00666914" w:rsidRDefault="00E66F49" w:rsidP="00D27F91">
      <w:pPr>
        <w:spacing w:after="0"/>
        <w:contextualSpacing/>
      </w:pPr>
      <w:r w:rsidRPr="00666914">
        <w:t xml:space="preserve">Zvýšenie platových taríf pedagogických, odborných zamestnancov, učiteľov vysokých škôl, výskumných a vývojových zamestnancov od 1.1.2019 o 10 % a od 1.1.2020 o ďalších 10 % sa uskutočnilo </w:t>
      </w:r>
      <w:r w:rsidR="00387FF9" w:rsidRPr="00666914">
        <w:t xml:space="preserve">v roku 2018 </w:t>
      </w:r>
      <w:r w:rsidRPr="00666914">
        <w:t>schválením novely zákona č. 553/2003 Z. z. o odmeňovaní niektorých zamestnancov pri výkone práce vo verejnom záujme</w:t>
      </w:r>
      <w:r w:rsidRPr="00666914">
        <w:rPr>
          <w:vertAlign w:val="superscript"/>
        </w:rPr>
        <w:footnoteReference w:id="174"/>
      </w:r>
      <w:r w:rsidRPr="00666914">
        <w:t xml:space="preserve"> . </w:t>
      </w:r>
      <w:r w:rsidRPr="00666914">
        <w:lastRenderedPageBreak/>
        <w:t>Na základe schválenej novely a Kolektívnej zmluvy vyššieho stupňa na roky 2019</w:t>
      </w:r>
      <w:r w:rsidR="00387FF9" w:rsidRPr="00666914">
        <w:t xml:space="preserve"> </w:t>
      </w:r>
      <w:r w:rsidRPr="00666914">
        <w:t>-</w:t>
      </w:r>
      <w:r w:rsidR="00387FF9" w:rsidRPr="00666914">
        <w:t xml:space="preserve"> </w:t>
      </w:r>
      <w:r w:rsidRPr="00666914">
        <w:t>2020</w:t>
      </w:r>
      <w:r w:rsidRPr="00666914">
        <w:rPr>
          <w:rStyle w:val="Odkaznapoznmkupodiarou"/>
        </w:rPr>
        <w:footnoteReference w:id="175"/>
      </w:r>
      <w:r w:rsidRPr="00666914">
        <w:t xml:space="preserve"> bolo v 12/2018 schválené nariadenie vlády SR</w:t>
      </w:r>
      <w:r w:rsidRPr="00666914">
        <w:rPr>
          <w:vertAlign w:val="superscript"/>
        </w:rPr>
        <w:footnoteReference w:id="176"/>
      </w:r>
      <w:r w:rsidRPr="00666914">
        <w:rPr>
          <w:vertAlign w:val="superscript"/>
        </w:rPr>
        <w:t xml:space="preserve"> </w:t>
      </w:r>
      <w:r w:rsidRPr="00666914">
        <w:t xml:space="preserve"> so zvýšenými stupnicami platových taríf pre oba roky.</w:t>
      </w:r>
    </w:p>
    <w:p w14:paraId="428F3DB8" w14:textId="77777777" w:rsidR="00E66F49" w:rsidRPr="00666914" w:rsidRDefault="00E66F49" w:rsidP="00D27F91">
      <w:pPr>
        <w:spacing w:after="0"/>
        <w:contextualSpacing/>
      </w:pPr>
    </w:p>
    <w:p w14:paraId="0C3F93D0" w14:textId="6EAABCC3" w:rsidR="00E66F49" w:rsidRPr="00666914" w:rsidRDefault="00E66F49" w:rsidP="00D27F91">
      <w:pPr>
        <w:spacing w:after="0"/>
        <w:contextualSpacing/>
      </w:pPr>
      <w:r w:rsidRPr="00666914">
        <w:t>Z dôvodu ďalšej novelizácie zákona č. 553/2003 Z. z. o odmeňovaní niektorých zamestnancov pri výkone práce vo verejnom záujme bolo Nariadenie vlády SR č. 388/2018 Z. z. od 09/2019 novelizované tak, aby vzhľadom na úpravu platov začínajúcich učiteľov (opatrenie č.</w:t>
      </w:r>
      <w:r w:rsidR="00387FF9" w:rsidRPr="00666914">
        <w:t xml:space="preserve"> </w:t>
      </w:r>
      <w:r w:rsidRPr="00666914">
        <w:t>3) bola dodržaná aj pre rok 2020 10 %-ná valorizácia.</w:t>
      </w:r>
    </w:p>
    <w:p w14:paraId="7E164F7A" w14:textId="77777777" w:rsidR="00E66F49" w:rsidRPr="00666914" w:rsidRDefault="00E66F49" w:rsidP="00D27F91">
      <w:pPr>
        <w:spacing w:after="0"/>
        <w:contextualSpacing/>
      </w:pPr>
    </w:p>
    <w:p w14:paraId="38F3EF03" w14:textId="0B1B23EF" w:rsidR="00E66F49" w:rsidRPr="00666914" w:rsidRDefault="00E66F49" w:rsidP="00D27F91">
      <w:r w:rsidRPr="00666914">
        <w:t>V regionálnom školstv</w:t>
      </w:r>
      <w:r w:rsidR="002E4A4D" w:rsidRPr="00666914">
        <w:t>e</w:t>
      </w:r>
      <w:r w:rsidRPr="00666914">
        <w:t xml:space="preserve"> bol </w:t>
      </w:r>
      <w:r w:rsidR="002E4A4D" w:rsidRPr="00666914">
        <w:t xml:space="preserve">v roku 2016 </w:t>
      </w:r>
      <w:r w:rsidRPr="00666914">
        <w:t xml:space="preserve">podľa OECD podiel priemernej mzdy učiteľa ku priemernej mzde vysokoškolsky vzdelaných zamestnancov 64 %. </w:t>
      </w:r>
      <w:r w:rsidRPr="00666914">
        <w:rPr>
          <w:b/>
        </w:rPr>
        <w:t>Valorizácia platov v roku 2019 by mala zvýšiť platy učiteľov na úroveň približne 66,8 % vysokoškolsky vzdelaných zamestnancov</w:t>
      </w:r>
      <w:r w:rsidRPr="00666914">
        <w:rPr>
          <w:rStyle w:val="Odkaznapoznmkupodiarou"/>
          <w:b/>
        </w:rPr>
        <w:footnoteReference w:id="177"/>
      </w:r>
      <w:r w:rsidRPr="00666914">
        <w:rPr>
          <w:b/>
        </w:rPr>
        <w:t>.</w:t>
      </w:r>
      <w:r w:rsidRPr="00666914">
        <w:t xml:space="preserve"> Ďalším navýšením od 01/2020 by mala ich priemerná mzda dosiahnuť úroveň 71 %</w:t>
      </w:r>
      <w:r w:rsidRPr="00666914">
        <w:rPr>
          <w:rStyle w:val="Odkaznapoznmkupodiarou"/>
        </w:rPr>
        <w:footnoteReference w:id="178"/>
      </w:r>
      <w:r w:rsidRPr="00666914">
        <w:t>.</w:t>
      </w:r>
    </w:p>
    <w:p w14:paraId="01250AF4" w14:textId="2E74C53C" w:rsidR="00E66F49" w:rsidRPr="00666914" w:rsidRDefault="00E66F49" w:rsidP="00D27F91">
      <w:pPr>
        <w:jc w:val="left"/>
        <w:rPr>
          <w:rFonts w:cs="Segoe UI"/>
          <w:b/>
          <w:shd w:val="clear" w:color="auto" w:fill="FFFFFF"/>
        </w:rPr>
      </w:pPr>
      <w:r w:rsidRPr="00666914">
        <w:rPr>
          <w:rFonts w:cs="Segoe UI"/>
          <w:b/>
          <w:shd w:val="clear" w:color="auto" w:fill="FFFFFF"/>
        </w:rPr>
        <w:t>Opatrenie je pre rok 2019 splnené.</w:t>
      </w:r>
    </w:p>
    <w:p w14:paraId="001B835C" w14:textId="2A96395C" w:rsidR="00E66F49" w:rsidRPr="00666914" w:rsidRDefault="00E66F49" w:rsidP="00C63D4B">
      <w:pPr>
        <w:rPr>
          <w:szCs w:val="24"/>
          <w:u w:val="single"/>
        </w:rPr>
      </w:pPr>
      <w:r w:rsidRPr="00666914">
        <w:rPr>
          <w:b/>
          <w:lang w:eastAsia="sk-SK"/>
        </w:rPr>
        <w:t xml:space="preserve">Odporúčanie IJ: </w:t>
      </w:r>
      <w:r w:rsidRPr="00666914">
        <w:rPr>
          <w:lang w:eastAsia="sk-SK"/>
        </w:rPr>
        <w:t>Do 12/2020 nastaviť monitoring vplyvu zvyšovania platov (vrátane mladých učiteľov) na atraktívnosť profesie učiteľov v regionálnom aj vysokom školstve.</w:t>
      </w:r>
    </w:p>
    <w:p w14:paraId="3A8B1DF9" w14:textId="77777777" w:rsidR="00E66F49" w:rsidRPr="00666914" w:rsidRDefault="00E66F49" w:rsidP="00E66F49">
      <w:pPr>
        <w:pStyle w:val="Odsekzoznamu"/>
        <w:numPr>
          <w:ilvl w:val="0"/>
          <w:numId w:val="2"/>
        </w:numPr>
        <w:jc w:val="left"/>
        <w:rPr>
          <w:szCs w:val="24"/>
          <w:u w:val="single"/>
        </w:rPr>
      </w:pPr>
      <w:r w:rsidRPr="00666914">
        <w:rPr>
          <w:b/>
          <w:u w:val="single"/>
        </w:rPr>
        <w:t>Úpravou</w:t>
      </w:r>
      <w:r w:rsidRPr="00666914">
        <w:rPr>
          <w:b/>
          <w:szCs w:val="24"/>
          <w:u w:val="single"/>
        </w:rPr>
        <w:t xml:space="preserve"> atestačného konania zlepšiť väzbu medzi odmeňovaním a kvalitou pedagogických a odborných zamestnancov</w:t>
      </w:r>
    </w:p>
    <w:p w14:paraId="0609A0D8" w14:textId="77777777" w:rsidR="00E66F49" w:rsidRPr="00666914" w:rsidRDefault="00E66F49" w:rsidP="00D27F91">
      <w:pPr>
        <w:pStyle w:val="Odsekzoznamu"/>
        <w:spacing w:after="0"/>
        <w:jc w:val="left"/>
        <w:rPr>
          <w:szCs w:val="24"/>
          <w:u w:val="single"/>
        </w:rPr>
      </w:pPr>
    </w:p>
    <w:p w14:paraId="3A6C4487" w14:textId="174B87BF" w:rsidR="00E66F49" w:rsidRPr="00666914" w:rsidRDefault="00E66F49" w:rsidP="00D27F91">
      <w:r w:rsidRPr="00666914">
        <w:t>Schválením nového zákona o PZ a OZ bol s účinnosťou od 09/2019 zavedený nový koncept atestácií, založený na obhajobe atestačného portfólia a vykonaní atestačnej skúšky</w:t>
      </w:r>
      <w:r w:rsidRPr="00666914">
        <w:rPr>
          <w:rStyle w:val="Odkaznapoznmkupodiarou"/>
        </w:rPr>
        <w:footnoteReference w:id="179"/>
      </w:r>
      <w:r w:rsidRPr="00666914">
        <w:t>. K zlepšeniu kvality práce PZ aj OZ má v budúcnosti prispieť aj podmienka dostatočnej praxe žiadateľov o atestáciu</w:t>
      </w:r>
      <w:r w:rsidRPr="00666914">
        <w:rPr>
          <w:rStyle w:val="Odkaznapoznmkupodiarou"/>
        </w:rPr>
        <w:footnoteReference w:id="180"/>
      </w:r>
      <w:r w:rsidRPr="00666914">
        <w:t>. Od 11/2019 je účinná aj vyhláška MŠVVaŠ SR o vzdelávaní v profesijnom rozvoji, ktorá určila formálny obsah posudku atestačného portfólia.</w:t>
      </w:r>
    </w:p>
    <w:p w14:paraId="668DC283" w14:textId="3CDCF548" w:rsidR="00E66F49" w:rsidRPr="00666914" w:rsidRDefault="00E66F49" w:rsidP="00D27F91">
      <w:r w:rsidRPr="00666914">
        <w:t>K 31.12.2019 bolo vydané oprávnenie na vykonávanie atestácií 2 organizáciám (MPC a Katolícka univerzita v Ružomberku)</w:t>
      </w:r>
      <w:r w:rsidRPr="00666914">
        <w:rPr>
          <w:rStyle w:val="Odkaznapoznmkupodiarou"/>
        </w:rPr>
        <w:footnoteReference w:id="181"/>
      </w:r>
      <w:r w:rsidRPr="00666914">
        <w:t>.</w:t>
      </w:r>
    </w:p>
    <w:p w14:paraId="676C02C4" w14:textId="0942266E" w:rsidR="00E66F49" w:rsidRPr="00666914" w:rsidRDefault="00E66F49" w:rsidP="00D27F91">
      <w:pPr>
        <w:rPr>
          <w:b/>
          <w:lang w:eastAsia="sk-SK"/>
        </w:rPr>
      </w:pPr>
      <w:r w:rsidRPr="00666914">
        <w:rPr>
          <w:lang w:eastAsia="sk-SK"/>
        </w:rPr>
        <w:t>Vzhľadom na termín zavedenia nového modelu atestácie ako aj vydanie oprávnení na ich poskytovanie nebolo možné do 12/2019 vyhodnotiť prínos tejto zmeny na kvalitu činnosti pedagógov a odborných zamestnancov.</w:t>
      </w:r>
      <w:r w:rsidRPr="00666914">
        <w:rPr>
          <w:b/>
          <w:lang w:eastAsia="sk-SK"/>
        </w:rPr>
        <w:t xml:space="preserve"> Opatrenie sa k 31.12.2019 plní čiastočne. </w:t>
      </w:r>
    </w:p>
    <w:p w14:paraId="7AA927B3" w14:textId="125CB442" w:rsidR="009F582A" w:rsidRPr="00666914" w:rsidRDefault="00E66F49" w:rsidP="00EB4DBA">
      <w:pPr>
        <w:rPr>
          <w:lang w:eastAsia="sk-SK"/>
        </w:rPr>
      </w:pPr>
      <w:r w:rsidRPr="00666914">
        <w:rPr>
          <w:b/>
          <w:lang w:eastAsia="sk-SK"/>
        </w:rPr>
        <w:t>Odporúčanie IJ:</w:t>
      </w:r>
      <w:r w:rsidRPr="00666914">
        <w:rPr>
          <w:lang w:eastAsia="sk-SK"/>
        </w:rPr>
        <w:t xml:space="preserve"> Podporiť zo strany MŠVVaŠ SR zavádzanie nového konceptu atestácií (napr. vypracovaním a zverejnením vzorového atestačného portfólia). Priebežne vyhodnocovať prínos zavedenia atestačného portfólia k zvýšeniu kvality pedagogickej činnosti.</w:t>
      </w:r>
    </w:p>
    <w:p w14:paraId="4FCCAF2F" w14:textId="77777777" w:rsidR="00E66F49" w:rsidRPr="00666914" w:rsidRDefault="00E66F49" w:rsidP="00E66F49">
      <w:pPr>
        <w:pStyle w:val="Odsekzoznamu"/>
        <w:numPr>
          <w:ilvl w:val="0"/>
          <w:numId w:val="2"/>
        </w:numPr>
        <w:jc w:val="left"/>
        <w:rPr>
          <w:b/>
          <w:szCs w:val="24"/>
          <w:u w:val="single"/>
        </w:rPr>
      </w:pPr>
      <w:r w:rsidRPr="00666914">
        <w:rPr>
          <w:b/>
          <w:szCs w:val="24"/>
          <w:u w:val="single"/>
        </w:rPr>
        <w:t>Zvýšiť podiel odmien a osobného príplatku na celkovom plate pedagogických zamestnancov</w:t>
      </w:r>
    </w:p>
    <w:p w14:paraId="7A697942" w14:textId="6F1F2F52" w:rsidR="00E66F49" w:rsidRPr="00666914" w:rsidRDefault="00E66F49" w:rsidP="00D27F91">
      <w:pPr>
        <w:spacing w:after="0"/>
        <w:rPr>
          <w:b/>
        </w:rPr>
      </w:pPr>
      <w:r w:rsidRPr="00666914">
        <w:t xml:space="preserve">Zdroj financií na zvýšenie netarifných zložiek mzdy (osobných príplatkov a odmien) mal byť podľa scenára revízie výdavkov alokovaný z úspory zo zrušenia príplatkov za kredity. Legislatívne úpravy účinné od 09/2019 neumožňujú dosiahnuť plánovanú úsporu ani do konca roka 2020. Toto opatrenie nie je preto bez dodatočných finančných prostriedkov do 08/2026 realizovateľné, pretože dovtedy existuje podľa aktuálne platnej legislatívy nárok na vyplácanie príplatku za profesijný rozvoj. </w:t>
      </w:r>
      <w:r w:rsidRPr="00666914">
        <w:rPr>
          <w:b/>
        </w:rPr>
        <w:t>Opatrenie sa k 31.12.2019 neplní.</w:t>
      </w:r>
    </w:p>
    <w:p w14:paraId="3B5DDB5A" w14:textId="77777777" w:rsidR="00E66F49" w:rsidRPr="00666914" w:rsidRDefault="00E66F49" w:rsidP="00D27F91">
      <w:pPr>
        <w:spacing w:after="0"/>
        <w:rPr>
          <w:szCs w:val="24"/>
        </w:rPr>
      </w:pPr>
    </w:p>
    <w:p w14:paraId="593D7F61" w14:textId="5C7F56DC" w:rsidR="00E66F49" w:rsidRPr="00666914" w:rsidRDefault="00E66F49" w:rsidP="00C63D4B">
      <w:pPr>
        <w:rPr>
          <w:rFonts w:cs="Calibri"/>
          <w:b/>
        </w:rPr>
      </w:pPr>
      <w:r w:rsidRPr="00666914">
        <w:rPr>
          <w:szCs w:val="24"/>
        </w:rPr>
        <w:lastRenderedPageBreak/>
        <w:t>Počas roka 2019 bola s účinnosťou od 01/2020 prijatá krížová novela Zákona č. 553/2003 Z. z. o odmeňovaní niektorých zamestnancov pri výkone práce vo verejnom záujme</w:t>
      </w:r>
      <w:r w:rsidRPr="00666914">
        <w:rPr>
          <w:rStyle w:val="Odkaznapoznmkupodiarou"/>
          <w:szCs w:val="24"/>
        </w:rPr>
        <w:footnoteReference w:id="182"/>
      </w:r>
      <w:r w:rsidRPr="00666914">
        <w:rPr>
          <w:szCs w:val="24"/>
        </w:rPr>
        <w:t>, ktorá upravuje postup v prípade zníženia alebo odobrania osobného príplatku. Zamestnávateľ je povinný takúto zmenu prerokovať so zástupcami zamestnancov (odborový orgán, zamestnanecká rada alebo zamestnanecký dôverník)</w:t>
      </w:r>
      <w:r w:rsidRPr="00666914">
        <w:rPr>
          <w:rStyle w:val="Odkaznapoznmkupodiarou"/>
          <w:szCs w:val="24"/>
        </w:rPr>
        <w:footnoteReference w:id="183"/>
      </w:r>
      <w:r w:rsidRPr="00666914">
        <w:rPr>
          <w:szCs w:val="24"/>
        </w:rPr>
        <w:t>.</w:t>
      </w:r>
    </w:p>
    <w:p w14:paraId="274C84F5" w14:textId="77777777" w:rsidR="00E66F49" w:rsidRPr="00666914" w:rsidRDefault="00E66F49" w:rsidP="00E66F49">
      <w:pPr>
        <w:pStyle w:val="Odsekzoznamu"/>
        <w:numPr>
          <w:ilvl w:val="0"/>
          <w:numId w:val="2"/>
        </w:numPr>
        <w:jc w:val="left"/>
        <w:rPr>
          <w:b/>
          <w:u w:val="single"/>
        </w:rPr>
      </w:pPr>
      <w:r w:rsidRPr="00666914">
        <w:rPr>
          <w:b/>
          <w:u w:val="single"/>
        </w:rPr>
        <w:t xml:space="preserve">Prijať </w:t>
      </w:r>
      <w:r w:rsidRPr="00666914">
        <w:rPr>
          <w:b/>
          <w:szCs w:val="24"/>
          <w:u w:val="single"/>
        </w:rPr>
        <w:t>opatrenia</w:t>
      </w:r>
      <w:r w:rsidRPr="00666914">
        <w:rPr>
          <w:b/>
          <w:u w:val="single"/>
        </w:rPr>
        <w:t xml:space="preserve"> na zvýšenie podielu praxe pri príprave budúcich pedagogických zamestnancov</w:t>
      </w:r>
    </w:p>
    <w:p w14:paraId="3D9560E1" w14:textId="77777777" w:rsidR="00E66F49" w:rsidRPr="00666914" w:rsidRDefault="00E66F49" w:rsidP="00D27F91">
      <w:pPr>
        <w:pStyle w:val="Odsekzoznamu"/>
        <w:spacing w:after="0"/>
        <w:jc w:val="left"/>
        <w:rPr>
          <w:b/>
          <w:u w:val="single"/>
        </w:rPr>
      </w:pPr>
    </w:p>
    <w:p w14:paraId="6B35AEAD" w14:textId="669DEB21" w:rsidR="00691CEF" w:rsidRPr="00666914" w:rsidRDefault="00E66F49" w:rsidP="00C63D4B">
      <w:pPr>
        <w:rPr>
          <w:bCs/>
        </w:rPr>
      </w:pPr>
      <w:r w:rsidRPr="00666914">
        <w:rPr>
          <w:bCs/>
        </w:rPr>
        <w:t>V oblasti regionálneho školstva prispela čiastočne k plneniu opatrenia aktualizácia štátneho vzdelávacieho programu (ŠVP) pre skupinu odborov 76 Učiteľstvo</w:t>
      </w:r>
      <w:r w:rsidRPr="00666914">
        <w:rPr>
          <w:rStyle w:val="Odkaznapoznmkupodiarou"/>
          <w:bCs/>
        </w:rPr>
        <w:footnoteReference w:id="184"/>
      </w:r>
      <w:r w:rsidRPr="00666914">
        <w:rPr>
          <w:bCs/>
        </w:rPr>
        <w:t>.</w:t>
      </w:r>
    </w:p>
    <w:p w14:paraId="246EC6F4" w14:textId="238C8CE9" w:rsidR="00E66F49" w:rsidRPr="00666914" w:rsidRDefault="00E66F49" w:rsidP="00D27F91">
      <w:pPr>
        <w:spacing w:after="0"/>
        <w:rPr>
          <w:iCs/>
        </w:rPr>
      </w:pPr>
      <w:r w:rsidRPr="00666914">
        <w:rPr>
          <w:bCs/>
        </w:rPr>
        <w:t>V oblasti vysokého školstva má k skvalitneniu prípravy budúcich pedagógov posilnením praxe prispieť</w:t>
      </w:r>
      <w:r w:rsidRPr="00666914">
        <w:rPr>
          <w:b/>
          <w:bCs/>
        </w:rPr>
        <w:t xml:space="preserve"> v 07/2019 vyhlásená výzva na predkladanie dopytovo-orientovaných projektov s alokáciou 7,3 mil. eur (zdroje EŠIF)</w:t>
      </w:r>
      <w:r w:rsidRPr="00666914">
        <w:rPr>
          <w:rStyle w:val="Odkaznapoznmkupodiarou"/>
          <w:b/>
          <w:bCs/>
        </w:rPr>
        <w:footnoteReference w:id="185"/>
      </w:r>
      <w:r w:rsidRPr="00666914">
        <w:rPr>
          <w:b/>
          <w:bCs/>
        </w:rPr>
        <w:t xml:space="preserve">. </w:t>
      </w:r>
      <w:r w:rsidRPr="00666914">
        <w:rPr>
          <w:bCs/>
        </w:rPr>
        <w:t xml:space="preserve">Do 09/2019 bolo uzavreté 1. hodnotiace kolo, v rámci ktorého boli </w:t>
      </w:r>
      <w:r w:rsidR="00691CEF" w:rsidRPr="00666914">
        <w:rPr>
          <w:bCs/>
        </w:rPr>
        <w:t xml:space="preserve">schválené </w:t>
      </w:r>
      <w:r w:rsidRPr="00666914">
        <w:rPr>
          <w:bCs/>
        </w:rPr>
        <w:t xml:space="preserve">4 ŽoNFP v celkovej sume 1,1 mil. eur (zdroj EŠIF). V rámci 2. hodnotiaceho kola s uzávierkou 30.10.2019 bolo predložených ďalších 5 ŽoNFP, ktoré </w:t>
      </w:r>
      <w:r w:rsidR="00691CEF" w:rsidRPr="00666914">
        <w:rPr>
          <w:bCs/>
        </w:rPr>
        <w:t xml:space="preserve">boli </w:t>
      </w:r>
      <w:r w:rsidRPr="00666914">
        <w:rPr>
          <w:bCs/>
        </w:rPr>
        <w:t>počas prípravy SIS 2019 predmetom odborného hodnotenia. Dodatočné hodiny pedagogických praxí a stáží na univerzitách by sa mohli začať realizovať</w:t>
      </w:r>
      <w:r w:rsidRPr="00666914">
        <w:rPr>
          <w:iCs/>
        </w:rPr>
        <w:t xml:space="preserve"> od akademického roka 2020/2021.</w:t>
      </w:r>
    </w:p>
    <w:p w14:paraId="48D3327E" w14:textId="77777777" w:rsidR="00E66F49" w:rsidRPr="00666914" w:rsidRDefault="00E66F49" w:rsidP="00D27F91">
      <w:pPr>
        <w:spacing w:after="0"/>
        <w:rPr>
          <w:iCs/>
        </w:rPr>
      </w:pPr>
    </w:p>
    <w:tbl>
      <w:tblPr>
        <w:tblW w:w="5000" w:type="pct"/>
        <w:tblCellMar>
          <w:left w:w="70" w:type="dxa"/>
          <w:right w:w="70" w:type="dxa"/>
        </w:tblCellMar>
        <w:tblLook w:val="04A0" w:firstRow="1" w:lastRow="0" w:firstColumn="1" w:lastColumn="0" w:noHBand="0" w:noVBand="1"/>
      </w:tblPr>
      <w:tblGrid>
        <w:gridCol w:w="1424"/>
        <w:gridCol w:w="2854"/>
        <w:gridCol w:w="1162"/>
        <w:gridCol w:w="952"/>
        <w:gridCol w:w="1588"/>
        <w:gridCol w:w="1234"/>
      </w:tblGrid>
      <w:tr w:rsidR="00E66F49" w:rsidRPr="00666914" w14:paraId="11691DE3" w14:textId="77777777" w:rsidTr="00D27F91">
        <w:trPr>
          <w:trHeight w:val="255"/>
        </w:trPr>
        <w:tc>
          <w:tcPr>
            <w:tcW w:w="5000" w:type="pct"/>
            <w:gridSpan w:val="6"/>
            <w:tcBorders>
              <w:top w:val="nil"/>
              <w:left w:val="nil"/>
              <w:bottom w:val="single" w:sz="4" w:space="0" w:color="auto"/>
              <w:right w:val="nil"/>
            </w:tcBorders>
            <w:shd w:val="clear" w:color="auto" w:fill="auto"/>
            <w:noWrap/>
            <w:vAlign w:val="bottom"/>
            <w:hideMark/>
          </w:tcPr>
          <w:p w14:paraId="6944D9EC" w14:textId="0F3D69BC" w:rsidR="00E66F49" w:rsidRPr="00666914" w:rsidRDefault="00E66F49" w:rsidP="00D27F91">
            <w:pPr>
              <w:spacing w:after="0"/>
              <w:jc w:val="left"/>
              <w:rPr>
                <w:rFonts w:eastAsia="Times New Roman" w:cs="Calibri"/>
                <w:b/>
                <w:bCs/>
                <w:color w:val="000000"/>
                <w:sz w:val="20"/>
                <w:szCs w:val="20"/>
                <w:lang w:eastAsia="sk-SK"/>
              </w:rPr>
            </w:pPr>
            <w:bookmarkStart w:id="291" w:name="_Toc38447717"/>
            <w:r w:rsidRPr="00666914">
              <w:rPr>
                <w:rFonts w:eastAsia="Times New Roman" w:cs="Calibri"/>
                <w:b/>
                <w:bCs/>
                <w:color w:val="000000"/>
                <w:sz w:val="20"/>
                <w:szCs w:val="20"/>
                <w:lang w:eastAsia="sk-SK"/>
              </w:rPr>
              <w:t xml:space="preserve">Tabuľka </w:t>
            </w:r>
            <w:r w:rsidRPr="00666914">
              <w:rPr>
                <w:rFonts w:eastAsia="Times New Roman" w:cs="Calibri"/>
                <w:b/>
                <w:bCs/>
                <w:color w:val="000000"/>
                <w:sz w:val="20"/>
                <w:szCs w:val="20"/>
                <w:lang w:eastAsia="sk-SK"/>
              </w:rPr>
              <w:fldChar w:fldCharType="begin"/>
            </w:r>
            <w:r w:rsidRPr="00666914">
              <w:rPr>
                <w:rFonts w:eastAsia="Times New Roman" w:cs="Calibri"/>
                <w:b/>
                <w:bCs/>
                <w:color w:val="000000"/>
                <w:sz w:val="20"/>
                <w:szCs w:val="20"/>
                <w:lang w:eastAsia="sk-SK"/>
              </w:rPr>
              <w:instrText xml:space="preserve"> SEQ Tabuľka \* ARABIC \* MERGEFORMAT </w:instrText>
            </w:r>
            <w:r w:rsidRPr="00666914">
              <w:rPr>
                <w:rFonts w:eastAsia="Times New Roman" w:cs="Calibri"/>
                <w:b/>
                <w:bCs/>
                <w:color w:val="000000"/>
                <w:sz w:val="20"/>
                <w:szCs w:val="20"/>
                <w:lang w:eastAsia="sk-SK"/>
              </w:rPr>
              <w:fldChar w:fldCharType="separate"/>
            </w:r>
            <w:r w:rsidR="005A7304">
              <w:rPr>
                <w:rFonts w:eastAsia="Times New Roman" w:cs="Calibri"/>
                <w:b/>
                <w:bCs/>
                <w:noProof/>
                <w:color w:val="000000"/>
                <w:sz w:val="20"/>
                <w:szCs w:val="20"/>
                <w:lang w:eastAsia="sk-SK"/>
              </w:rPr>
              <w:t>56</w:t>
            </w:r>
            <w:r w:rsidRPr="00666914">
              <w:rPr>
                <w:rFonts w:eastAsia="Times New Roman" w:cs="Calibri"/>
                <w:b/>
                <w:bCs/>
                <w:color w:val="000000"/>
                <w:sz w:val="20"/>
                <w:szCs w:val="20"/>
                <w:lang w:eastAsia="sk-SK"/>
              </w:rPr>
              <w:fldChar w:fldCharType="end"/>
            </w:r>
            <w:r w:rsidRPr="00666914">
              <w:rPr>
                <w:rFonts w:eastAsia="Times New Roman" w:cs="Calibri"/>
                <w:b/>
                <w:bCs/>
                <w:color w:val="000000"/>
                <w:sz w:val="20"/>
                <w:szCs w:val="20"/>
                <w:lang w:eastAsia="sk-SK"/>
              </w:rPr>
              <w:t>: Schválené žiadosti o nenávratný finančný príspevok (v eur)</w:t>
            </w:r>
            <w:bookmarkEnd w:id="291"/>
          </w:p>
        </w:tc>
      </w:tr>
      <w:tr w:rsidR="00E66F49" w:rsidRPr="00666914" w14:paraId="1EA16F7C" w14:textId="77777777" w:rsidTr="00D27F91">
        <w:trPr>
          <w:trHeight w:val="1200"/>
        </w:trPr>
        <w:tc>
          <w:tcPr>
            <w:tcW w:w="782" w:type="pct"/>
            <w:tcBorders>
              <w:top w:val="nil"/>
              <w:left w:val="nil"/>
              <w:bottom w:val="single" w:sz="4" w:space="0" w:color="auto"/>
              <w:right w:val="nil"/>
            </w:tcBorders>
            <w:shd w:val="clear" w:color="auto" w:fill="auto"/>
            <w:vAlign w:val="center"/>
            <w:hideMark/>
          </w:tcPr>
          <w:p w14:paraId="08AC3734"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Kód ŽoNFP</w:t>
            </w:r>
          </w:p>
        </w:tc>
        <w:tc>
          <w:tcPr>
            <w:tcW w:w="1558" w:type="pct"/>
            <w:tcBorders>
              <w:top w:val="nil"/>
              <w:left w:val="nil"/>
              <w:bottom w:val="single" w:sz="4" w:space="0" w:color="auto"/>
              <w:right w:val="nil"/>
            </w:tcBorders>
            <w:shd w:val="clear" w:color="auto" w:fill="auto"/>
            <w:vAlign w:val="center"/>
            <w:hideMark/>
          </w:tcPr>
          <w:p w14:paraId="51CE8009"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Meno univerzity (žiadateľ)</w:t>
            </w:r>
          </w:p>
        </w:tc>
        <w:tc>
          <w:tcPr>
            <w:tcW w:w="640" w:type="pct"/>
            <w:tcBorders>
              <w:top w:val="nil"/>
              <w:left w:val="nil"/>
              <w:bottom w:val="single" w:sz="4" w:space="0" w:color="auto"/>
              <w:right w:val="nil"/>
            </w:tcBorders>
            <w:shd w:val="clear" w:color="auto" w:fill="auto"/>
            <w:vAlign w:val="center"/>
            <w:hideMark/>
          </w:tcPr>
          <w:p w14:paraId="7A12B14F"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Schválená celková výška oprávnených výdavkov projektu</w:t>
            </w:r>
          </w:p>
        </w:tc>
        <w:tc>
          <w:tcPr>
            <w:tcW w:w="525" w:type="pct"/>
            <w:tcBorders>
              <w:top w:val="nil"/>
              <w:left w:val="nil"/>
              <w:bottom w:val="single" w:sz="4" w:space="0" w:color="auto"/>
              <w:right w:val="nil"/>
            </w:tcBorders>
            <w:shd w:val="clear" w:color="auto" w:fill="auto"/>
            <w:vAlign w:val="center"/>
            <w:hideMark/>
          </w:tcPr>
          <w:p w14:paraId="3A290DF3"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Schválená výška NFP</w:t>
            </w:r>
          </w:p>
        </w:tc>
        <w:tc>
          <w:tcPr>
            <w:tcW w:w="871" w:type="pct"/>
            <w:tcBorders>
              <w:top w:val="nil"/>
              <w:left w:val="nil"/>
              <w:bottom w:val="single" w:sz="4" w:space="0" w:color="auto"/>
              <w:right w:val="nil"/>
            </w:tcBorders>
            <w:shd w:val="clear" w:color="auto" w:fill="auto"/>
            <w:vAlign w:val="center"/>
            <w:hideMark/>
          </w:tcPr>
          <w:p w14:paraId="5408ECA2"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 xml:space="preserve">Schválená výška spolufinancovania </w:t>
            </w:r>
          </w:p>
        </w:tc>
        <w:tc>
          <w:tcPr>
            <w:tcW w:w="625" w:type="pct"/>
            <w:tcBorders>
              <w:top w:val="nil"/>
              <w:left w:val="nil"/>
              <w:bottom w:val="single" w:sz="4" w:space="0" w:color="auto"/>
              <w:right w:val="nil"/>
            </w:tcBorders>
            <w:shd w:val="clear" w:color="auto" w:fill="auto"/>
            <w:vAlign w:val="center"/>
            <w:hideMark/>
          </w:tcPr>
          <w:p w14:paraId="756AD605" w14:textId="3105AD44" w:rsidR="00E66F49" w:rsidRPr="00666914" w:rsidRDefault="00E66F49" w:rsidP="00691CEF">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Podiel na celkových vyčlenených finančných prostriedko</w:t>
            </w:r>
            <w:r w:rsidR="00691CEF" w:rsidRPr="00666914">
              <w:rPr>
                <w:rFonts w:eastAsia="Times New Roman" w:cs="Calibri"/>
                <w:b/>
                <w:bCs/>
                <w:color w:val="000000"/>
                <w:sz w:val="20"/>
                <w:szCs w:val="20"/>
                <w:lang w:eastAsia="sk-SK"/>
              </w:rPr>
              <w:t>ch</w:t>
            </w:r>
            <w:r w:rsidRPr="00666914">
              <w:rPr>
                <w:rFonts w:eastAsia="Times New Roman" w:cs="Calibri"/>
                <w:b/>
                <w:bCs/>
                <w:color w:val="000000"/>
                <w:sz w:val="20"/>
                <w:szCs w:val="20"/>
                <w:lang w:eastAsia="sk-SK"/>
              </w:rPr>
              <w:t xml:space="preserve"> z EÚ</w:t>
            </w:r>
          </w:p>
        </w:tc>
      </w:tr>
      <w:tr w:rsidR="00E66F49" w:rsidRPr="00666914" w14:paraId="1BC6C3E4" w14:textId="77777777" w:rsidTr="00D27F91">
        <w:trPr>
          <w:trHeight w:val="255"/>
        </w:trPr>
        <w:tc>
          <w:tcPr>
            <w:tcW w:w="782" w:type="pct"/>
            <w:tcBorders>
              <w:top w:val="nil"/>
              <w:left w:val="nil"/>
              <w:bottom w:val="nil"/>
              <w:right w:val="nil"/>
            </w:tcBorders>
            <w:shd w:val="clear" w:color="auto" w:fill="auto"/>
            <w:noWrap/>
            <w:vAlign w:val="center"/>
            <w:hideMark/>
          </w:tcPr>
          <w:p w14:paraId="323EB0A7"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NFP312010Z171</w:t>
            </w:r>
          </w:p>
        </w:tc>
        <w:tc>
          <w:tcPr>
            <w:tcW w:w="1558" w:type="pct"/>
            <w:tcBorders>
              <w:top w:val="nil"/>
              <w:left w:val="nil"/>
              <w:bottom w:val="nil"/>
              <w:right w:val="nil"/>
            </w:tcBorders>
            <w:shd w:val="clear" w:color="auto" w:fill="auto"/>
            <w:vAlign w:val="center"/>
            <w:hideMark/>
          </w:tcPr>
          <w:p w14:paraId="2A0BD0E2"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Prešovská univerzita v Prešove</w:t>
            </w:r>
          </w:p>
        </w:tc>
        <w:tc>
          <w:tcPr>
            <w:tcW w:w="640" w:type="pct"/>
            <w:tcBorders>
              <w:top w:val="nil"/>
              <w:left w:val="nil"/>
              <w:bottom w:val="nil"/>
              <w:right w:val="nil"/>
            </w:tcBorders>
            <w:shd w:val="clear" w:color="auto" w:fill="auto"/>
            <w:noWrap/>
            <w:vAlign w:val="center"/>
            <w:hideMark/>
          </w:tcPr>
          <w:p w14:paraId="22593C41"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375 951</w:t>
            </w:r>
          </w:p>
        </w:tc>
        <w:tc>
          <w:tcPr>
            <w:tcW w:w="525" w:type="pct"/>
            <w:tcBorders>
              <w:top w:val="nil"/>
              <w:left w:val="nil"/>
              <w:bottom w:val="nil"/>
              <w:right w:val="nil"/>
            </w:tcBorders>
            <w:shd w:val="clear" w:color="auto" w:fill="auto"/>
            <w:noWrap/>
            <w:vAlign w:val="center"/>
            <w:hideMark/>
          </w:tcPr>
          <w:p w14:paraId="54694E66"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357 153</w:t>
            </w:r>
          </w:p>
        </w:tc>
        <w:tc>
          <w:tcPr>
            <w:tcW w:w="871" w:type="pct"/>
            <w:tcBorders>
              <w:top w:val="nil"/>
              <w:left w:val="nil"/>
              <w:bottom w:val="nil"/>
              <w:right w:val="nil"/>
            </w:tcBorders>
            <w:shd w:val="clear" w:color="auto" w:fill="auto"/>
            <w:noWrap/>
            <w:vAlign w:val="center"/>
            <w:hideMark/>
          </w:tcPr>
          <w:p w14:paraId="66F16F27"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18 798</w:t>
            </w:r>
          </w:p>
        </w:tc>
        <w:tc>
          <w:tcPr>
            <w:tcW w:w="625" w:type="pct"/>
            <w:tcBorders>
              <w:top w:val="nil"/>
              <w:left w:val="nil"/>
              <w:bottom w:val="nil"/>
              <w:right w:val="nil"/>
            </w:tcBorders>
            <w:shd w:val="clear" w:color="auto" w:fill="auto"/>
            <w:vAlign w:val="center"/>
            <w:hideMark/>
          </w:tcPr>
          <w:p w14:paraId="57420BAD" w14:textId="315FEC19"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5</w:t>
            </w:r>
            <w:r w:rsidR="00691CEF" w:rsidRPr="00666914">
              <w:rPr>
                <w:rFonts w:eastAsia="Times New Roman" w:cs="Calibri"/>
                <w:color w:val="000000"/>
                <w:sz w:val="20"/>
                <w:szCs w:val="20"/>
                <w:lang w:eastAsia="sk-SK"/>
              </w:rPr>
              <w:t xml:space="preserve"> </w:t>
            </w:r>
            <w:r w:rsidRPr="00666914">
              <w:rPr>
                <w:rFonts w:eastAsia="Times New Roman" w:cs="Calibri"/>
                <w:color w:val="000000"/>
                <w:sz w:val="20"/>
                <w:szCs w:val="20"/>
                <w:lang w:eastAsia="sk-SK"/>
              </w:rPr>
              <w:t>%</w:t>
            </w:r>
          </w:p>
        </w:tc>
      </w:tr>
      <w:tr w:rsidR="00E66F49" w:rsidRPr="00666914" w14:paraId="76C77EB0" w14:textId="77777777" w:rsidTr="00D27F91">
        <w:trPr>
          <w:trHeight w:val="255"/>
        </w:trPr>
        <w:tc>
          <w:tcPr>
            <w:tcW w:w="782" w:type="pct"/>
            <w:tcBorders>
              <w:top w:val="nil"/>
              <w:left w:val="nil"/>
              <w:bottom w:val="nil"/>
              <w:right w:val="nil"/>
            </w:tcBorders>
            <w:shd w:val="clear" w:color="auto" w:fill="auto"/>
            <w:noWrap/>
            <w:vAlign w:val="center"/>
            <w:hideMark/>
          </w:tcPr>
          <w:p w14:paraId="3355C5B7"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NFP312010Z205</w:t>
            </w:r>
          </w:p>
        </w:tc>
        <w:tc>
          <w:tcPr>
            <w:tcW w:w="1558" w:type="pct"/>
            <w:tcBorders>
              <w:top w:val="nil"/>
              <w:left w:val="nil"/>
              <w:bottom w:val="nil"/>
              <w:right w:val="nil"/>
            </w:tcBorders>
            <w:shd w:val="clear" w:color="auto" w:fill="auto"/>
            <w:vAlign w:val="center"/>
            <w:hideMark/>
          </w:tcPr>
          <w:p w14:paraId="7C8EC6AF"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UNIVERZITA J. SELYEHO</w:t>
            </w:r>
          </w:p>
        </w:tc>
        <w:tc>
          <w:tcPr>
            <w:tcW w:w="640" w:type="pct"/>
            <w:tcBorders>
              <w:top w:val="nil"/>
              <w:left w:val="nil"/>
              <w:bottom w:val="nil"/>
              <w:right w:val="nil"/>
            </w:tcBorders>
            <w:shd w:val="clear" w:color="auto" w:fill="auto"/>
            <w:noWrap/>
            <w:vAlign w:val="center"/>
            <w:hideMark/>
          </w:tcPr>
          <w:p w14:paraId="0C69132D"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262 453</w:t>
            </w:r>
          </w:p>
        </w:tc>
        <w:tc>
          <w:tcPr>
            <w:tcW w:w="525" w:type="pct"/>
            <w:tcBorders>
              <w:top w:val="nil"/>
              <w:left w:val="nil"/>
              <w:bottom w:val="nil"/>
              <w:right w:val="nil"/>
            </w:tcBorders>
            <w:shd w:val="clear" w:color="auto" w:fill="auto"/>
            <w:noWrap/>
            <w:vAlign w:val="center"/>
            <w:hideMark/>
          </w:tcPr>
          <w:p w14:paraId="36115288"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249 330</w:t>
            </w:r>
          </w:p>
        </w:tc>
        <w:tc>
          <w:tcPr>
            <w:tcW w:w="871" w:type="pct"/>
            <w:tcBorders>
              <w:top w:val="nil"/>
              <w:left w:val="nil"/>
              <w:bottom w:val="nil"/>
              <w:right w:val="nil"/>
            </w:tcBorders>
            <w:shd w:val="clear" w:color="auto" w:fill="auto"/>
            <w:noWrap/>
            <w:vAlign w:val="center"/>
            <w:hideMark/>
          </w:tcPr>
          <w:p w14:paraId="5197F330"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13 123</w:t>
            </w:r>
          </w:p>
        </w:tc>
        <w:tc>
          <w:tcPr>
            <w:tcW w:w="625" w:type="pct"/>
            <w:tcBorders>
              <w:top w:val="nil"/>
              <w:left w:val="nil"/>
              <w:bottom w:val="nil"/>
              <w:right w:val="nil"/>
            </w:tcBorders>
            <w:shd w:val="clear" w:color="auto" w:fill="auto"/>
            <w:vAlign w:val="center"/>
            <w:hideMark/>
          </w:tcPr>
          <w:p w14:paraId="4D5952BA" w14:textId="63303A4E"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w:t>
            </w:r>
            <w:r w:rsidR="00691CEF" w:rsidRPr="00666914">
              <w:rPr>
                <w:rFonts w:eastAsia="Times New Roman" w:cs="Calibri"/>
                <w:color w:val="000000"/>
                <w:sz w:val="20"/>
                <w:szCs w:val="20"/>
                <w:lang w:eastAsia="sk-SK"/>
              </w:rPr>
              <w:t xml:space="preserve"> </w:t>
            </w:r>
            <w:r w:rsidRPr="00666914">
              <w:rPr>
                <w:rFonts w:eastAsia="Times New Roman" w:cs="Calibri"/>
                <w:color w:val="000000"/>
                <w:sz w:val="20"/>
                <w:szCs w:val="20"/>
                <w:lang w:eastAsia="sk-SK"/>
              </w:rPr>
              <w:t>%</w:t>
            </w:r>
          </w:p>
        </w:tc>
      </w:tr>
      <w:tr w:rsidR="00E66F49" w:rsidRPr="00666914" w14:paraId="6D2C7AA9" w14:textId="77777777" w:rsidTr="00D27F91">
        <w:trPr>
          <w:trHeight w:val="255"/>
        </w:trPr>
        <w:tc>
          <w:tcPr>
            <w:tcW w:w="782" w:type="pct"/>
            <w:tcBorders>
              <w:top w:val="nil"/>
              <w:left w:val="nil"/>
              <w:bottom w:val="nil"/>
              <w:right w:val="nil"/>
            </w:tcBorders>
            <w:shd w:val="clear" w:color="auto" w:fill="auto"/>
            <w:noWrap/>
            <w:vAlign w:val="center"/>
            <w:hideMark/>
          </w:tcPr>
          <w:p w14:paraId="5E540CF6"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NFP312010Z219</w:t>
            </w:r>
          </w:p>
        </w:tc>
        <w:tc>
          <w:tcPr>
            <w:tcW w:w="1558" w:type="pct"/>
            <w:tcBorders>
              <w:top w:val="nil"/>
              <w:left w:val="nil"/>
              <w:bottom w:val="nil"/>
              <w:right w:val="nil"/>
            </w:tcBorders>
            <w:shd w:val="clear" w:color="auto" w:fill="auto"/>
            <w:vAlign w:val="center"/>
            <w:hideMark/>
          </w:tcPr>
          <w:p w14:paraId="59823047"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Katolícka univerzita v Ružomberku</w:t>
            </w:r>
          </w:p>
        </w:tc>
        <w:tc>
          <w:tcPr>
            <w:tcW w:w="640" w:type="pct"/>
            <w:tcBorders>
              <w:top w:val="nil"/>
              <w:left w:val="nil"/>
              <w:bottom w:val="nil"/>
              <w:right w:val="nil"/>
            </w:tcBorders>
            <w:shd w:val="clear" w:color="auto" w:fill="auto"/>
            <w:noWrap/>
            <w:vAlign w:val="center"/>
            <w:hideMark/>
          </w:tcPr>
          <w:p w14:paraId="7282F7BF"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159 635</w:t>
            </w:r>
          </w:p>
        </w:tc>
        <w:tc>
          <w:tcPr>
            <w:tcW w:w="525" w:type="pct"/>
            <w:tcBorders>
              <w:top w:val="nil"/>
              <w:left w:val="nil"/>
              <w:bottom w:val="nil"/>
              <w:right w:val="nil"/>
            </w:tcBorders>
            <w:shd w:val="clear" w:color="auto" w:fill="auto"/>
            <w:noWrap/>
            <w:vAlign w:val="center"/>
            <w:hideMark/>
          </w:tcPr>
          <w:p w14:paraId="25674011"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151 653</w:t>
            </w:r>
          </w:p>
        </w:tc>
        <w:tc>
          <w:tcPr>
            <w:tcW w:w="871" w:type="pct"/>
            <w:tcBorders>
              <w:top w:val="nil"/>
              <w:left w:val="nil"/>
              <w:bottom w:val="nil"/>
              <w:right w:val="nil"/>
            </w:tcBorders>
            <w:shd w:val="clear" w:color="auto" w:fill="auto"/>
            <w:noWrap/>
            <w:vAlign w:val="center"/>
            <w:hideMark/>
          </w:tcPr>
          <w:p w14:paraId="05119263"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7 982</w:t>
            </w:r>
          </w:p>
        </w:tc>
        <w:tc>
          <w:tcPr>
            <w:tcW w:w="625" w:type="pct"/>
            <w:tcBorders>
              <w:top w:val="nil"/>
              <w:left w:val="nil"/>
              <w:bottom w:val="nil"/>
              <w:right w:val="nil"/>
            </w:tcBorders>
            <w:shd w:val="clear" w:color="auto" w:fill="auto"/>
            <w:vAlign w:val="center"/>
            <w:hideMark/>
          </w:tcPr>
          <w:p w14:paraId="0E299B03" w14:textId="5B5CE782"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w:t>
            </w:r>
            <w:r w:rsidR="00691CEF" w:rsidRPr="00666914">
              <w:rPr>
                <w:rFonts w:eastAsia="Times New Roman" w:cs="Calibri"/>
                <w:color w:val="000000"/>
                <w:sz w:val="20"/>
                <w:szCs w:val="20"/>
                <w:lang w:eastAsia="sk-SK"/>
              </w:rPr>
              <w:t xml:space="preserve"> </w:t>
            </w:r>
            <w:r w:rsidRPr="00666914">
              <w:rPr>
                <w:rFonts w:eastAsia="Times New Roman" w:cs="Calibri"/>
                <w:color w:val="000000"/>
                <w:sz w:val="20"/>
                <w:szCs w:val="20"/>
                <w:lang w:eastAsia="sk-SK"/>
              </w:rPr>
              <w:t>%</w:t>
            </w:r>
          </w:p>
        </w:tc>
      </w:tr>
      <w:tr w:rsidR="00E66F49" w:rsidRPr="00666914" w14:paraId="095405E3" w14:textId="77777777" w:rsidTr="00D27F91">
        <w:trPr>
          <w:trHeight w:val="255"/>
        </w:trPr>
        <w:tc>
          <w:tcPr>
            <w:tcW w:w="782" w:type="pct"/>
            <w:tcBorders>
              <w:top w:val="nil"/>
              <w:left w:val="nil"/>
              <w:bottom w:val="nil"/>
              <w:right w:val="nil"/>
            </w:tcBorders>
            <w:shd w:val="clear" w:color="auto" w:fill="auto"/>
            <w:noWrap/>
            <w:vAlign w:val="center"/>
            <w:hideMark/>
          </w:tcPr>
          <w:p w14:paraId="5E6A848D"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NFP312010Z178</w:t>
            </w:r>
          </w:p>
        </w:tc>
        <w:tc>
          <w:tcPr>
            <w:tcW w:w="1558" w:type="pct"/>
            <w:tcBorders>
              <w:top w:val="nil"/>
              <w:left w:val="nil"/>
              <w:bottom w:val="nil"/>
              <w:right w:val="nil"/>
            </w:tcBorders>
            <w:shd w:val="clear" w:color="auto" w:fill="auto"/>
            <w:vAlign w:val="center"/>
            <w:hideMark/>
          </w:tcPr>
          <w:p w14:paraId="376C0970"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Trnavská univerzita v Trnave</w:t>
            </w:r>
          </w:p>
        </w:tc>
        <w:tc>
          <w:tcPr>
            <w:tcW w:w="640" w:type="pct"/>
            <w:tcBorders>
              <w:top w:val="nil"/>
              <w:left w:val="nil"/>
              <w:bottom w:val="nil"/>
              <w:right w:val="nil"/>
            </w:tcBorders>
            <w:shd w:val="clear" w:color="auto" w:fill="auto"/>
            <w:noWrap/>
            <w:vAlign w:val="center"/>
            <w:hideMark/>
          </w:tcPr>
          <w:p w14:paraId="46B2DCF6"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321 974</w:t>
            </w:r>
          </w:p>
        </w:tc>
        <w:tc>
          <w:tcPr>
            <w:tcW w:w="525" w:type="pct"/>
            <w:tcBorders>
              <w:top w:val="nil"/>
              <w:left w:val="nil"/>
              <w:bottom w:val="nil"/>
              <w:right w:val="nil"/>
            </w:tcBorders>
            <w:shd w:val="clear" w:color="auto" w:fill="auto"/>
            <w:noWrap/>
            <w:vAlign w:val="center"/>
            <w:hideMark/>
          </w:tcPr>
          <w:p w14:paraId="56D3A9F3"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305 875</w:t>
            </w:r>
          </w:p>
        </w:tc>
        <w:tc>
          <w:tcPr>
            <w:tcW w:w="871" w:type="pct"/>
            <w:tcBorders>
              <w:top w:val="nil"/>
              <w:left w:val="nil"/>
              <w:bottom w:val="nil"/>
              <w:right w:val="nil"/>
            </w:tcBorders>
            <w:shd w:val="clear" w:color="auto" w:fill="auto"/>
            <w:noWrap/>
            <w:vAlign w:val="center"/>
            <w:hideMark/>
          </w:tcPr>
          <w:p w14:paraId="112BAE4A"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16 099</w:t>
            </w:r>
          </w:p>
        </w:tc>
        <w:tc>
          <w:tcPr>
            <w:tcW w:w="625" w:type="pct"/>
            <w:tcBorders>
              <w:top w:val="nil"/>
              <w:left w:val="nil"/>
              <w:bottom w:val="nil"/>
              <w:right w:val="nil"/>
            </w:tcBorders>
            <w:shd w:val="clear" w:color="auto" w:fill="auto"/>
            <w:vAlign w:val="center"/>
            <w:hideMark/>
          </w:tcPr>
          <w:p w14:paraId="53CA0CA5" w14:textId="5D049AD5"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4</w:t>
            </w:r>
            <w:r w:rsidR="00691CEF" w:rsidRPr="00666914">
              <w:rPr>
                <w:rFonts w:eastAsia="Times New Roman" w:cs="Calibri"/>
                <w:color w:val="000000"/>
                <w:sz w:val="20"/>
                <w:szCs w:val="20"/>
                <w:lang w:eastAsia="sk-SK"/>
              </w:rPr>
              <w:t xml:space="preserve"> </w:t>
            </w:r>
            <w:r w:rsidRPr="00666914">
              <w:rPr>
                <w:rFonts w:eastAsia="Times New Roman" w:cs="Calibri"/>
                <w:color w:val="000000"/>
                <w:sz w:val="20"/>
                <w:szCs w:val="20"/>
                <w:lang w:eastAsia="sk-SK"/>
              </w:rPr>
              <w:t>%</w:t>
            </w:r>
          </w:p>
        </w:tc>
      </w:tr>
      <w:tr w:rsidR="00E66F49" w:rsidRPr="00666914" w14:paraId="2E52D190" w14:textId="77777777" w:rsidTr="00D27F91">
        <w:trPr>
          <w:trHeight w:val="255"/>
        </w:trPr>
        <w:tc>
          <w:tcPr>
            <w:tcW w:w="782" w:type="pct"/>
            <w:tcBorders>
              <w:top w:val="single" w:sz="4" w:space="0" w:color="auto"/>
              <w:left w:val="nil"/>
              <w:bottom w:val="single" w:sz="4" w:space="0" w:color="auto"/>
              <w:right w:val="nil"/>
            </w:tcBorders>
            <w:shd w:val="clear" w:color="auto" w:fill="auto"/>
            <w:noWrap/>
            <w:vAlign w:val="center"/>
            <w:hideMark/>
          </w:tcPr>
          <w:p w14:paraId="7772972D"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 xml:space="preserve">Spolu </w:t>
            </w:r>
          </w:p>
        </w:tc>
        <w:tc>
          <w:tcPr>
            <w:tcW w:w="1558" w:type="pct"/>
            <w:tcBorders>
              <w:top w:val="single" w:sz="4" w:space="0" w:color="auto"/>
              <w:left w:val="nil"/>
              <w:bottom w:val="single" w:sz="4" w:space="0" w:color="auto"/>
              <w:right w:val="nil"/>
            </w:tcBorders>
            <w:shd w:val="clear" w:color="auto" w:fill="auto"/>
            <w:vAlign w:val="center"/>
            <w:hideMark/>
          </w:tcPr>
          <w:p w14:paraId="021E7EA8"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c>
          <w:tcPr>
            <w:tcW w:w="640" w:type="pct"/>
            <w:tcBorders>
              <w:top w:val="single" w:sz="4" w:space="0" w:color="auto"/>
              <w:left w:val="nil"/>
              <w:bottom w:val="single" w:sz="4" w:space="0" w:color="auto"/>
              <w:right w:val="nil"/>
            </w:tcBorders>
            <w:shd w:val="clear" w:color="auto" w:fill="auto"/>
            <w:noWrap/>
            <w:vAlign w:val="center"/>
            <w:hideMark/>
          </w:tcPr>
          <w:p w14:paraId="66ED9652"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1 120 012</w:t>
            </w:r>
          </w:p>
        </w:tc>
        <w:tc>
          <w:tcPr>
            <w:tcW w:w="525" w:type="pct"/>
            <w:tcBorders>
              <w:top w:val="single" w:sz="4" w:space="0" w:color="auto"/>
              <w:left w:val="nil"/>
              <w:bottom w:val="single" w:sz="4" w:space="0" w:color="auto"/>
              <w:right w:val="nil"/>
            </w:tcBorders>
            <w:shd w:val="clear" w:color="auto" w:fill="auto"/>
            <w:noWrap/>
            <w:vAlign w:val="center"/>
            <w:hideMark/>
          </w:tcPr>
          <w:p w14:paraId="43ACB6D6"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1 064 011</w:t>
            </w:r>
          </w:p>
        </w:tc>
        <w:tc>
          <w:tcPr>
            <w:tcW w:w="871" w:type="pct"/>
            <w:tcBorders>
              <w:top w:val="single" w:sz="4" w:space="0" w:color="auto"/>
              <w:left w:val="nil"/>
              <w:bottom w:val="single" w:sz="4" w:space="0" w:color="auto"/>
              <w:right w:val="nil"/>
            </w:tcBorders>
            <w:shd w:val="clear" w:color="auto" w:fill="auto"/>
            <w:noWrap/>
            <w:vAlign w:val="center"/>
            <w:hideMark/>
          </w:tcPr>
          <w:p w14:paraId="53EF0190"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56 001</w:t>
            </w:r>
          </w:p>
        </w:tc>
        <w:tc>
          <w:tcPr>
            <w:tcW w:w="625" w:type="pct"/>
            <w:tcBorders>
              <w:top w:val="single" w:sz="4" w:space="0" w:color="auto"/>
              <w:left w:val="nil"/>
              <w:bottom w:val="single" w:sz="4" w:space="0" w:color="auto"/>
              <w:right w:val="nil"/>
            </w:tcBorders>
            <w:shd w:val="clear" w:color="auto" w:fill="auto"/>
            <w:noWrap/>
            <w:vAlign w:val="center"/>
            <w:hideMark/>
          </w:tcPr>
          <w:p w14:paraId="131BD8A4" w14:textId="5A677E19"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15</w:t>
            </w:r>
            <w:r w:rsidR="00691CEF" w:rsidRPr="00666914">
              <w:rPr>
                <w:rFonts w:eastAsia="Times New Roman" w:cs="Calibri"/>
                <w:b/>
                <w:bCs/>
                <w:color w:val="000000"/>
                <w:sz w:val="20"/>
                <w:szCs w:val="20"/>
                <w:lang w:eastAsia="sk-SK"/>
              </w:rPr>
              <w:t xml:space="preserve"> </w:t>
            </w:r>
            <w:r w:rsidRPr="00666914">
              <w:rPr>
                <w:rFonts w:eastAsia="Times New Roman" w:cs="Calibri"/>
                <w:b/>
                <w:bCs/>
                <w:color w:val="000000"/>
                <w:sz w:val="20"/>
                <w:szCs w:val="20"/>
                <w:lang w:eastAsia="sk-SK"/>
              </w:rPr>
              <w:t>%</w:t>
            </w:r>
          </w:p>
        </w:tc>
      </w:tr>
      <w:tr w:rsidR="00E66F49" w:rsidRPr="00666914" w14:paraId="033C0FDD" w14:textId="77777777" w:rsidTr="00D27F91">
        <w:trPr>
          <w:trHeight w:val="255"/>
        </w:trPr>
        <w:tc>
          <w:tcPr>
            <w:tcW w:w="5000" w:type="pct"/>
            <w:gridSpan w:val="6"/>
            <w:tcBorders>
              <w:top w:val="nil"/>
              <w:left w:val="nil"/>
              <w:bottom w:val="nil"/>
              <w:right w:val="nil"/>
            </w:tcBorders>
            <w:shd w:val="clear" w:color="auto" w:fill="auto"/>
            <w:noWrap/>
            <w:vAlign w:val="center"/>
            <w:hideMark/>
          </w:tcPr>
          <w:p w14:paraId="3A3E4DD1" w14:textId="77777777" w:rsidR="00E66F49" w:rsidRPr="00666914" w:rsidRDefault="00E66F49" w:rsidP="00D27F91">
            <w:pPr>
              <w:spacing w:after="0"/>
              <w:jc w:val="right"/>
              <w:rPr>
                <w:rFonts w:eastAsia="Times New Roman" w:cs="Calibri"/>
                <w:i/>
                <w:iCs/>
                <w:color w:val="000000"/>
                <w:sz w:val="18"/>
                <w:szCs w:val="18"/>
                <w:lang w:eastAsia="sk-SK"/>
              </w:rPr>
            </w:pPr>
            <w:r w:rsidRPr="00666914">
              <w:rPr>
                <w:rFonts w:eastAsia="Times New Roman" w:cs="Calibri"/>
                <w:i/>
                <w:iCs/>
                <w:color w:val="000000"/>
                <w:sz w:val="18"/>
                <w:szCs w:val="18"/>
                <w:lang w:eastAsia="sk-SK"/>
              </w:rPr>
              <w:t>Zdroj: itms2014.sk</w:t>
            </w:r>
          </w:p>
        </w:tc>
      </w:tr>
    </w:tbl>
    <w:p w14:paraId="323948F5" w14:textId="77777777" w:rsidR="00E66F49" w:rsidRPr="00666914" w:rsidRDefault="00E66F49" w:rsidP="00D27F91">
      <w:pPr>
        <w:spacing w:after="0"/>
        <w:rPr>
          <w:iCs/>
        </w:rPr>
      </w:pPr>
    </w:p>
    <w:p w14:paraId="5AB0B745" w14:textId="77777777" w:rsidR="00E66F49" w:rsidRPr="00666914" w:rsidRDefault="00E66F49" w:rsidP="00D27F91">
      <w:pPr>
        <w:spacing w:after="0"/>
        <w:rPr>
          <w:iCs/>
        </w:rPr>
      </w:pPr>
      <w:r w:rsidRPr="00666914">
        <w:rPr>
          <w:iCs/>
        </w:rPr>
        <w:t>K definovaniu ďalších spôsobov zvýšenia praktickej prípravy budúcich učiteľov by mohla prispieť analýza slabých a silných stránok prípravy budúcich učiteľov v porovnaní so zahraničím, ktorú mal rezort podľa NPR 2019 vypracovať do 12/2019</w:t>
      </w:r>
      <w:r w:rsidRPr="00666914">
        <w:rPr>
          <w:rStyle w:val="Odkaznapoznmkupodiarou"/>
          <w:iCs/>
        </w:rPr>
        <w:footnoteReference w:id="186"/>
      </w:r>
      <w:r w:rsidRPr="00666914">
        <w:rPr>
          <w:iCs/>
        </w:rPr>
        <w:t>. Ministerstvo ju plánuje zverejniť v 06/2020.</w:t>
      </w:r>
    </w:p>
    <w:p w14:paraId="4873C1DC" w14:textId="77777777" w:rsidR="00E66F49" w:rsidRPr="00666914" w:rsidRDefault="00E66F49" w:rsidP="00D27F91">
      <w:pPr>
        <w:spacing w:after="0"/>
        <w:rPr>
          <w:bCs/>
          <w:color w:val="C45911" w:themeColor="accent2" w:themeShade="BF"/>
        </w:rPr>
      </w:pPr>
    </w:p>
    <w:p w14:paraId="178EBBBD" w14:textId="717DDAB2" w:rsidR="005A44DD" w:rsidRDefault="00E66F49" w:rsidP="00C63D4B">
      <w:pPr>
        <w:rPr>
          <w:rFonts w:cs="Calibri"/>
          <w:b/>
        </w:rPr>
      </w:pPr>
      <w:r w:rsidRPr="00666914">
        <w:rPr>
          <w:rFonts w:cs="Calibri"/>
          <w:b/>
        </w:rPr>
        <w:t xml:space="preserve">Zdroje z EŠIF predstavujú len dočasné riešenie problému nedostatočnej praxe </w:t>
      </w:r>
      <w:r w:rsidR="00691CEF" w:rsidRPr="00666914">
        <w:rPr>
          <w:rFonts w:cs="Calibri"/>
          <w:b/>
        </w:rPr>
        <w:t xml:space="preserve">pri </w:t>
      </w:r>
      <w:r w:rsidRPr="00666914">
        <w:rPr>
          <w:rFonts w:cs="Calibri"/>
          <w:b/>
        </w:rPr>
        <w:t>príprav</w:t>
      </w:r>
      <w:r w:rsidR="00691CEF" w:rsidRPr="00666914">
        <w:rPr>
          <w:rFonts w:cs="Calibri"/>
          <w:b/>
        </w:rPr>
        <w:t>e</w:t>
      </w:r>
      <w:r w:rsidRPr="00666914">
        <w:rPr>
          <w:rFonts w:cs="Calibri"/>
          <w:b/>
        </w:rPr>
        <w:t xml:space="preserve"> pedagógov, pričom dodatočné hodiny praxe budú zavedené až od akademického roka 2020/2021. </w:t>
      </w:r>
      <w:r w:rsidRPr="00666914">
        <w:rPr>
          <w:rFonts w:cs="Calibri"/>
        </w:rPr>
        <w:t>Z pohľadu dlhodobej udržateľnosti je preto potrebné hľadať komplexné riešenie aj z prostriedkov ŠR.</w:t>
      </w:r>
      <w:r w:rsidRPr="00666914">
        <w:rPr>
          <w:rFonts w:cs="Calibri"/>
          <w:b/>
        </w:rPr>
        <w:t xml:space="preserve"> Opatrenie sa k 31.12.2019 plní čiastočne.</w:t>
      </w:r>
    </w:p>
    <w:p w14:paraId="043BD953" w14:textId="47F88AE2" w:rsidR="00C63D4B" w:rsidRDefault="00C63D4B" w:rsidP="00C63D4B">
      <w:pPr>
        <w:rPr>
          <w:rFonts w:cs="Calibri"/>
          <w:b/>
        </w:rPr>
      </w:pPr>
    </w:p>
    <w:p w14:paraId="24F4CDF4" w14:textId="5E4D1945" w:rsidR="00C63D4B" w:rsidRDefault="00C63D4B" w:rsidP="00C63D4B">
      <w:pPr>
        <w:rPr>
          <w:rFonts w:cs="Calibri"/>
          <w:b/>
        </w:rPr>
      </w:pPr>
    </w:p>
    <w:p w14:paraId="4ECF43BB" w14:textId="77777777" w:rsidR="00C63D4B" w:rsidRPr="00666914" w:rsidRDefault="00C63D4B" w:rsidP="00C63D4B">
      <w:pPr>
        <w:rPr>
          <w:rFonts w:cs="Calibri"/>
          <w:b/>
        </w:rPr>
      </w:pPr>
    </w:p>
    <w:p w14:paraId="754CA28A" w14:textId="77777777" w:rsidR="00E66F49" w:rsidRPr="00666914" w:rsidRDefault="00E66F49" w:rsidP="00E66F49">
      <w:pPr>
        <w:pStyle w:val="Odsekzoznamu"/>
        <w:numPr>
          <w:ilvl w:val="0"/>
          <w:numId w:val="2"/>
        </w:numPr>
        <w:jc w:val="left"/>
        <w:rPr>
          <w:b/>
          <w:u w:val="single"/>
        </w:rPr>
      </w:pPr>
      <w:r w:rsidRPr="00666914">
        <w:rPr>
          <w:b/>
          <w:u w:val="single"/>
        </w:rPr>
        <w:lastRenderedPageBreak/>
        <w:t>Zvýšiť relevantnosť a objektívnosť externých testovaní a prostredníctvom testovaní na vzorkách hodnotiť vzdelávací systém</w:t>
      </w:r>
    </w:p>
    <w:p w14:paraId="18047E39" w14:textId="77777777" w:rsidR="00E66F49" w:rsidRPr="00666914" w:rsidRDefault="00E66F49" w:rsidP="00D27F91">
      <w:pPr>
        <w:pStyle w:val="Odsekzoznamu"/>
        <w:spacing w:after="0"/>
        <w:jc w:val="left"/>
        <w:rPr>
          <w:b/>
          <w:u w:val="single"/>
        </w:rPr>
      </w:pPr>
    </w:p>
    <w:p w14:paraId="7F6B0E5F" w14:textId="550D6045" w:rsidR="00E66F49" w:rsidRPr="00666914" w:rsidRDefault="00E66F49" w:rsidP="00D27F91">
      <w:pPr>
        <w:rPr>
          <w:b/>
        </w:rPr>
      </w:pPr>
      <w:r w:rsidRPr="00666914">
        <w:rPr>
          <w:b/>
        </w:rPr>
        <w:t>K zvýšeniu objektívnosti testovania mali prispieť navrhované legislatívne úpravy (nový zákon o PZ a OZ a úprava školského zákona), k zlepšeniu externého hodnotenia dosiahnutých vedomostí u žiakov realizácia projektu NÚCEM.</w:t>
      </w:r>
    </w:p>
    <w:p w14:paraId="49133F28" w14:textId="14FDA2E4" w:rsidR="00E66F49" w:rsidRPr="00666914" w:rsidRDefault="00E66F49" w:rsidP="00D27F91">
      <w:r w:rsidRPr="00666914">
        <w:t>Počas roka 2019 sa rozšírila cieľová skupina testovania deviatakov (T9) aj o žiakov 4. ročníka osemročných gymnázií. V oblasti legislatívy</w:t>
      </w:r>
      <w:r w:rsidR="00691CEF" w:rsidRPr="00666914">
        <w:t xml:space="preserve"> rozšíril</w:t>
      </w:r>
      <w:r w:rsidRPr="00666914">
        <w:t xml:space="preserve"> schválený zákon o PZ a OZ od 09/2019 povinnosti učiteľov o dozor v triedach počas T5, T9 a externej časti maturitnej skúšky. K posilneniu externého dozoru počas písomných maturít</w:t>
      </w:r>
      <w:r w:rsidRPr="00666914">
        <w:rPr>
          <w:rStyle w:val="Odkaznapoznmkupodiarou"/>
        </w:rPr>
        <w:footnoteReference w:id="187"/>
      </w:r>
      <w:r w:rsidRPr="00666914">
        <w:t xml:space="preserve"> mala prispieť novela školského zákona, ktorú však rezort do 12/2019 do riadneho legislatívneho procesu nepredložil.</w:t>
      </w:r>
    </w:p>
    <w:p w14:paraId="026ACA0F" w14:textId="7B9846B1" w:rsidR="00E66F49" w:rsidRPr="00666914" w:rsidRDefault="00E66F49" w:rsidP="00D27F91">
      <w:pPr>
        <w:pStyle w:val="box"/>
      </w:pPr>
      <w:bookmarkStart w:id="292" w:name="_Toc526757870"/>
      <w:bookmarkStart w:id="293" w:name="_Toc6322049"/>
      <w:bookmarkStart w:id="294" w:name="_Toc21522749"/>
      <w:bookmarkStart w:id="295" w:name="_Toc38390075"/>
      <w:r w:rsidRPr="00666914">
        <w:t xml:space="preserve">Box </w:t>
      </w:r>
      <w:r w:rsidR="00032A13">
        <w:rPr>
          <w:noProof/>
        </w:rPr>
        <w:fldChar w:fldCharType="begin"/>
      </w:r>
      <w:r w:rsidR="00032A13">
        <w:rPr>
          <w:noProof/>
        </w:rPr>
        <w:instrText xml:space="preserve"> SEQ Box \* ARABIC \* MERGEFORMAT </w:instrText>
      </w:r>
      <w:r w:rsidR="00032A13">
        <w:rPr>
          <w:noProof/>
        </w:rPr>
        <w:fldChar w:fldCharType="separate"/>
      </w:r>
      <w:r w:rsidR="005A7304">
        <w:rPr>
          <w:noProof/>
        </w:rPr>
        <w:t>1</w:t>
      </w:r>
      <w:r w:rsidR="00032A13">
        <w:rPr>
          <w:noProof/>
        </w:rPr>
        <w:fldChar w:fldCharType="end"/>
      </w:r>
      <w:r w:rsidRPr="00666914">
        <w:t>: Projekt NÚCEM - zavedenie externých overovacích testovaní</w:t>
      </w:r>
      <w:bookmarkEnd w:id="292"/>
      <w:bookmarkEnd w:id="293"/>
      <w:bookmarkEnd w:id="294"/>
      <w:bookmarkEnd w:id="295"/>
    </w:p>
    <w:tbl>
      <w:tblPr>
        <w:tblStyle w:val="Mriekatabuky3"/>
        <w:tblW w:w="5000" w:type="pct"/>
        <w:shd w:val="clear" w:color="auto" w:fill="D9D9D9" w:themeFill="background1" w:themeFillShade="D9"/>
        <w:tblLook w:val="04A0" w:firstRow="1" w:lastRow="0" w:firstColumn="1" w:lastColumn="0" w:noHBand="0" w:noVBand="1"/>
      </w:tblPr>
      <w:tblGrid>
        <w:gridCol w:w="9204"/>
      </w:tblGrid>
      <w:tr w:rsidR="00E66F49" w:rsidRPr="00666914" w14:paraId="5D3ED10B" w14:textId="77777777" w:rsidTr="00D27F91">
        <w:trPr>
          <w:trHeight w:val="566"/>
        </w:trPr>
        <w:tc>
          <w:tcPr>
            <w:tcW w:w="5000" w:type="pct"/>
            <w:shd w:val="clear" w:color="auto" w:fill="D9D9D9" w:themeFill="background1" w:themeFillShade="D9"/>
          </w:tcPr>
          <w:p w14:paraId="55D663D6" w14:textId="376AAC35" w:rsidR="00E66F49" w:rsidRPr="00666914" w:rsidRDefault="00E66F49" w:rsidP="00D27F91">
            <w:pPr>
              <w:rPr>
                <w:rFonts w:eastAsiaTheme="majorEastAsia" w:cstheme="minorHAnsi"/>
                <w:bCs/>
                <w:iCs/>
              </w:rPr>
            </w:pPr>
            <w:r w:rsidRPr="00666914">
              <w:rPr>
                <w:rFonts w:eastAsiaTheme="majorEastAsia" w:cstheme="minorHAnsi"/>
                <w:bCs/>
                <w:iCs/>
              </w:rPr>
              <w:t xml:space="preserve">V roku 2018 inicioval NÚCEM spustenie projektu </w:t>
            </w:r>
            <w:r w:rsidR="00691CEF" w:rsidRPr="00666914">
              <w:rPr>
                <w:rFonts w:eastAsiaTheme="majorEastAsia" w:cstheme="minorHAnsi"/>
                <w:bCs/>
                <w:i/>
                <w:iCs/>
              </w:rPr>
              <w:t>V</w:t>
            </w:r>
            <w:r w:rsidRPr="00666914">
              <w:rPr>
                <w:rFonts w:eastAsiaTheme="majorEastAsia" w:cstheme="minorHAnsi"/>
                <w:bCs/>
                <w:i/>
                <w:iCs/>
              </w:rPr>
              <w:t>ytvorenia koncepcie zavedenia externých overovacích testovaní</w:t>
            </w:r>
            <w:r w:rsidRPr="00666914">
              <w:rPr>
                <w:rFonts w:eastAsiaTheme="majorEastAsia" w:cstheme="minorHAnsi"/>
                <w:bCs/>
                <w:iCs/>
              </w:rPr>
              <w:t>, ktorého cieľom je zvýšiť relevantnosť externého hodnotenia vedomostí žiakov</w:t>
            </w:r>
            <w:r w:rsidRPr="00666914">
              <w:rPr>
                <w:rFonts w:eastAsiaTheme="majorEastAsia" w:cstheme="minorHAnsi"/>
                <w:bCs/>
                <w:iCs/>
                <w:vertAlign w:val="superscript"/>
              </w:rPr>
              <w:footnoteReference w:id="188"/>
            </w:r>
            <w:r w:rsidRPr="00666914">
              <w:rPr>
                <w:rFonts w:eastAsiaTheme="majorEastAsia" w:cstheme="minorHAnsi"/>
                <w:bCs/>
                <w:iCs/>
              </w:rPr>
              <w:t>. Projekt sa bude realizovať do roku 2021 a jeho cieľom je s pomocou zahraničných expertov zaškoliť domácich odborníkov na metodiku tvorby nových testov.</w:t>
            </w:r>
          </w:p>
          <w:p w14:paraId="1CC0E00A" w14:textId="65C12832" w:rsidR="00E66F49" w:rsidRPr="00666914" w:rsidRDefault="00E66F49" w:rsidP="00D27F91">
            <w:pPr>
              <w:rPr>
                <w:rFonts w:eastAsiaTheme="majorEastAsia" w:cstheme="minorHAnsi"/>
                <w:bCs/>
                <w:iCs/>
              </w:rPr>
            </w:pPr>
            <w:r w:rsidRPr="00666914">
              <w:rPr>
                <w:rFonts w:eastAsiaTheme="majorEastAsia" w:cstheme="minorHAnsi"/>
                <w:bCs/>
                <w:iCs/>
              </w:rPr>
              <w:t>Vzhľadom na predĺženie prípravnej fázy projektu súvisiacej s uzatvorením zmluvy medzi EK a zahraničnými partnermi (Univerzita Stuttgart a Innove) sa realizačná fáza posunula z roka 2018 na začiatok 2019. Počas roka 2019 sa uskutočnili 2 odborné workshopy. V 06/2019 bol prvý z nich zameraný na tvorbu špecifikačného rámca testov, na druhom workshope v 09/2019 sa projektový tím zameral najmä na metodiku tvorby overovacích (kriteriálnych) testov. Zahraniční odborníci predstavili postup a vysvetlili najdôležitejšie princípy, ako vytvárať úlohy a zostavovať overovacie testy na základe rámca pre príslušný predmet</w:t>
            </w:r>
            <w:r w:rsidRPr="00666914">
              <w:rPr>
                <w:rStyle w:val="Odkaznapoznmkupodiarou"/>
                <w:rFonts w:eastAsiaTheme="majorEastAsia" w:cstheme="minorHAnsi"/>
                <w:bCs/>
                <w:iCs/>
              </w:rPr>
              <w:footnoteReference w:id="189"/>
            </w:r>
            <w:r w:rsidRPr="00666914">
              <w:rPr>
                <w:rFonts w:eastAsiaTheme="majorEastAsia" w:cstheme="minorHAnsi"/>
                <w:bCs/>
                <w:iCs/>
              </w:rPr>
              <w:t>. Začiatkom roka 2020 sa už pod dohľadom zahraničných expertov vytvárali vzorové testy.</w:t>
            </w:r>
            <w:r w:rsidRPr="00666914">
              <w:t xml:space="preserve"> </w:t>
            </w:r>
            <w:r w:rsidRPr="00666914">
              <w:rPr>
                <w:rFonts w:eastAsiaTheme="majorEastAsia" w:cstheme="minorHAnsi"/>
                <w:bCs/>
                <w:iCs/>
              </w:rPr>
              <w:t>Ich pilotné overenie na vzorke škôl by malo prebiehať v 4Q2020.</w:t>
            </w:r>
          </w:p>
          <w:p w14:paraId="2213660D" w14:textId="44230ED6" w:rsidR="00E66F49" w:rsidRPr="00666914" w:rsidRDefault="00E66F49" w:rsidP="00D27F91">
            <w:pPr>
              <w:rPr>
                <w:rFonts w:eastAsiaTheme="majorEastAsia" w:cstheme="minorHAnsi"/>
                <w:bCs/>
                <w:iCs/>
                <w:sz w:val="16"/>
                <w:szCs w:val="16"/>
              </w:rPr>
            </w:pPr>
            <w:r w:rsidRPr="00666914">
              <w:rPr>
                <w:rFonts w:eastAsiaTheme="majorEastAsia" w:cstheme="minorHAnsi"/>
                <w:bCs/>
                <w:iCs/>
              </w:rPr>
              <w:t xml:space="preserve">Projekt je </w:t>
            </w:r>
            <w:r w:rsidR="00691CEF" w:rsidRPr="00666914">
              <w:rPr>
                <w:rFonts w:eastAsiaTheme="majorEastAsia" w:cstheme="minorHAnsi"/>
                <w:bCs/>
                <w:iCs/>
              </w:rPr>
              <w:t xml:space="preserve">síce </w:t>
            </w:r>
            <w:r w:rsidRPr="00666914">
              <w:rPr>
                <w:rFonts w:eastAsiaTheme="majorEastAsia" w:cstheme="minorHAnsi"/>
                <w:bCs/>
                <w:iCs/>
              </w:rPr>
              <w:t>realizovaný v rámci Programu na podporu štrukturálnych reforiem EÚ (SRSP), výdavky NÚCEM súvisiace s implementáciou (približne 14 tis. eur ročne) je však potrebné hradiť z rozpočtu. V roku 2019 ani v rámci schváleného rozpočtu na rok 2020</w:t>
            </w:r>
            <w:r w:rsidR="00691CEF" w:rsidRPr="00666914">
              <w:rPr>
                <w:rFonts w:eastAsiaTheme="majorEastAsia" w:cstheme="minorHAnsi"/>
                <w:bCs/>
                <w:iCs/>
              </w:rPr>
              <w:t xml:space="preserve"> </w:t>
            </w:r>
            <w:r w:rsidRPr="00666914">
              <w:rPr>
                <w:rFonts w:eastAsiaTheme="majorEastAsia" w:cstheme="minorHAnsi"/>
                <w:bCs/>
                <w:iCs/>
              </w:rPr>
              <w:t>-</w:t>
            </w:r>
            <w:r w:rsidR="00691CEF" w:rsidRPr="00666914">
              <w:rPr>
                <w:rFonts w:eastAsiaTheme="majorEastAsia" w:cstheme="minorHAnsi"/>
                <w:bCs/>
                <w:iCs/>
              </w:rPr>
              <w:t xml:space="preserve"> </w:t>
            </w:r>
            <w:r w:rsidRPr="00666914">
              <w:rPr>
                <w:rFonts w:eastAsiaTheme="majorEastAsia" w:cstheme="minorHAnsi"/>
                <w:bCs/>
                <w:iCs/>
              </w:rPr>
              <w:t>2022 neboli tieto financie zo ŠR zabezpečené, čo predstavuje riziko dosiahnutia očakávaných finálnych výstupov projektu.</w:t>
            </w:r>
          </w:p>
        </w:tc>
      </w:tr>
    </w:tbl>
    <w:p w14:paraId="4DE68868" w14:textId="77777777" w:rsidR="00E66F49" w:rsidRPr="00666914" w:rsidRDefault="00E66F49" w:rsidP="00D27F91">
      <w:pPr>
        <w:spacing w:after="0"/>
        <w:jc w:val="right"/>
        <w:rPr>
          <w:rFonts w:eastAsiaTheme="majorEastAsia" w:cstheme="minorHAnsi"/>
          <w:bCs/>
          <w:i/>
          <w:iCs/>
          <w:sz w:val="18"/>
        </w:rPr>
      </w:pPr>
      <w:r w:rsidRPr="00666914">
        <w:rPr>
          <w:rFonts w:eastAsiaTheme="majorEastAsia" w:cstheme="minorHAnsi"/>
          <w:bCs/>
          <w:i/>
          <w:iCs/>
          <w:color w:val="C45911" w:themeColor="accent2" w:themeShade="BF"/>
          <w:sz w:val="18"/>
        </w:rPr>
        <w:t xml:space="preserve"> </w:t>
      </w:r>
      <w:r w:rsidRPr="00666914">
        <w:rPr>
          <w:rFonts w:eastAsiaTheme="majorEastAsia" w:cstheme="minorHAnsi"/>
          <w:bCs/>
          <w:i/>
          <w:iCs/>
          <w:sz w:val="18"/>
        </w:rPr>
        <w:t xml:space="preserve">Zdroj: NÚCEM, spracovanie IJ </w:t>
      </w:r>
    </w:p>
    <w:p w14:paraId="200BEFD3" w14:textId="77777777" w:rsidR="00E66F49" w:rsidRPr="00666914" w:rsidRDefault="00E66F49" w:rsidP="00D27F91">
      <w:pPr>
        <w:spacing w:after="0"/>
        <w:rPr>
          <w:rFonts w:eastAsia="Times New Roman"/>
          <w:i/>
          <w:lang w:eastAsia="sk-SK"/>
        </w:rPr>
      </w:pPr>
    </w:p>
    <w:p w14:paraId="04FC36AA" w14:textId="7E1F80FA" w:rsidR="00E66F49" w:rsidRPr="00666914" w:rsidRDefault="00E66F49" w:rsidP="00D27F91">
      <w:pPr>
        <w:autoSpaceDE w:val="0"/>
        <w:autoSpaceDN w:val="0"/>
        <w:adjustRightInd w:val="0"/>
        <w:spacing w:after="0"/>
        <w:rPr>
          <w:rFonts w:eastAsia="Times New Roman"/>
          <w:lang w:eastAsia="sk-SK"/>
        </w:rPr>
      </w:pPr>
      <w:r w:rsidRPr="00666914">
        <w:rPr>
          <w:rFonts w:cs="Arial Narrow"/>
          <w:b/>
        </w:rPr>
        <w:t>Objektivitu testovania a hlavne minimalizáciu chybovosti by mohlo v budúcnosti zabezpečiť aj plošné nastavenie on-line testovania</w:t>
      </w:r>
      <w:r w:rsidRPr="00666914">
        <w:rPr>
          <w:rFonts w:cs="Arial Narrow"/>
        </w:rPr>
        <w:t xml:space="preserve">. NÚCEM po dohode s IJ ÚV SR odskúšal v 04/2019 počas náhradného termínu </w:t>
      </w:r>
      <w:r w:rsidRPr="00666914">
        <w:rPr>
          <w:rFonts w:eastAsia="Times New Roman"/>
          <w:lang w:eastAsia="sk-SK"/>
        </w:rPr>
        <w:t>externej časti a písomnej formy internej časti maturitnej skúšky</w:t>
      </w:r>
      <w:r w:rsidRPr="00666914">
        <w:rPr>
          <w:rFonts w:cs="Arial Narrow"/>
        </w:rPr>
        <w:t xml:space="preserve"> tzv. </w:t>
      </w:r>
      <w:r w:rsidRPr="00666914">
        <w:rPr>
          <w:rFonts w:cs="Arial Narrow"/>
          <w:i/>
        </w:rPr>
        <w:t>koncept testovacích centier</w:t>
      </w:r>
      <w:r w:rsidRPr="00666914">
        <w:rPr>
          <w:rStyle w:val="Odkaznapoznmkupodiarou"/>
          <w:rFonts w:eastAsia="Times New Roman"/>
          <w:i/>
          <w:lang w:eastAsia="sk-SK"/>
        </w:rPr>
        <w:footnoteReference w:id="190"/>
      </w:r>
      <w:r w:rsidRPr="00666914">
        <w:rPr>
          <w:rFonts w:eastAsia="Times New Roman"/>
          <w:lang w:eastAsia="sk-SK"/>
        </w:rPr>
        <w:t>. Žiaci absolvovali testovanie z predmetov matematika a slovenský jazyk a literatúra (SJL) elektronickou formou. Z celkového počtu 80 žiakov sa ho zúčastnilo 76 %</w:t>
      </w:r>
      <w:r w:rsidRPr="00666914">
        <w:rPr>
          <w:rStyle w:val="Odkaznapoznmkupodiarou"/>
          <w:rFonts w:eastAsia="Times New Roman"/>
          <w:lang w:eastAsia="sk-SK"/>
        </w:rPr>
        <w:footnoteReference w:id="191"/>
      </w:r>
      <w:r w:rsidRPr="00666914">
        <w:rPr>
          <w:rFonts w:eastAsia="Times New Roman"/>
          <w:lang w:eastAsia="sk-SK"/>
        </w:rPr>
        <w:t xml:space="preserve">. </w:t>
      </w:r>
    </w:p>
    <w:p w14:paraId="5AC9D666" w14:textId="77777777" w:rsidR="00E66F49" w:rsidRPr="00666914" w:rsidRDefault="00E66F49" w:rsidP="00D27F91">
      <w:pPr>
        <w:spacing w:after="0"/>
        <w:rPr>
          <w:rFonts w:eastAsia="Times New Roman"/>
          <w:lang w:eastAsia="sk-SK"/>
        </w:rPr>
      </w:pPr>
    </w:p>
    <w:p w14:paraId="0C32DB34" w14:textId="704428CF" w:rsidR="00E66F49" w:rsidRPr="00666914" w:rsidRDefault="00E66F49" w:rsidP="00D27F91">
      <w:pPr>
        <w:spacing w:after="0"/>
        <w:rPr>
          <w:rFonts w:eastAsia="Times New Roman"/>
          <w:lang w:eastAsia="sk-SK"/>
        </w:rPr>
      </w:pPr>
      <w:r w:rsidRPr="00666914">
        <w:rPr>
          <w:rFonts w:eastAsia="Times New Roman"/>
          <w:lang w:eastAsia="sk-SK"/>
        </w:rPr>
        <w:t xml:space="preserve">Na základe týchto skúseností </w:t>
      </w:r>
      <w:r w:rsidR="00691CEF" w:rsidRPr="00666914">
        <w:rPr>
          <w:rFonts w:eastAsia="Times New Roman"/>
          <w:lang w:eastAsia="sk-SK"/>
        </w:rPr>
        <w:t xml:space="preserve">odporúča </w:t>
      </w:r>
      <w:r w:rsidRPr="00666914">
        <w:rPr>
          <w:rFonts w:eastAsia="Times New Roman"/>
          <w:lang w:eastAsia="sk-SK"/>
        </w:rPr>
        <w:t>NÚCEM pre zefektívnenie využívania elektronického testovania v testovacích centrách:</w:t>
      </w:r>
    </w:p>
    <w:p w14:paraId="16100CB2" w14:textId="77777777" w:rsidR="00E66F49" w:rsidRPr="00666914" w:rsidRDefault="00E66F49" w:rsidP="00E66F49">
      <w:pPr>
        <w:pStyle w:val="Odsekzoznamu"/>
        <w:numPr>
          <w:ilvl w:val="0"/>
          <w:numId w:val="5"/>
        </w:numPr>
      </w:pPr>
      <w:r w:rsidRPr="00666914">
        <w:t>zlepšiť technické vybavenie učební pre realizáciu elektronického testovania na školách, ktoré by aj pre nasledujúce roky plnili úlohu testovacích centier,</w:t>
      </w:r>
    </w:p>
    <w:p w14:paraId="00C3C1FD" w14:textId="77777777" w:rsidR="00E66F49" w:rsidRPr="00666914" w:rsidRDefault="00E66F49" w:rsidP="00E66F49">
      <w:pPr>
        <w:pStyle w:val="Odsekzoznamu"/>
        <w:numPr>
          <w:ilvl w:val="0"/>
          <w:numId w:val="5"/>
        </w:numPr>
      </w:pPr>
      <w:r w:rsidRPr="00666914">
        <w:t>vyškoliť/aktualizovať školenia personálu testovacích centier,</w:t>
      </w:r>
    </w:p>
    <w:p w14:paraId="70F5B8A9" w14:textId="77777777" w:rsidR="00E66F49" w:rsidRPr="00666914" w:rsidRDefault="00E66F49" w:rsidP="00E66F49">
      <w:pPr>
        <w:pStyle w:val="Odsekzoznamu"/>
        <w:numPr>
          <w:ilvl w:val="0"/>
          <w:numId w:val="5"/>
        </w:numPr>
      </w:pPr>
      <w:r w:rsidRPr="00666914">
        <w:t>zrealizovať úpravy v elektronickom testovacom systéme E-Test s dôrazom na rozšírenie jeho využiteľnosti pre testovanie žiakov so zdravotným znevýhodnením,</w:t>
      </w:r>
    </w:p>
    <w:p w14:paraId="1DBA1C9D" w14:textId="77777777" w:rsidR="00E66F49" w:rsidRPr="00666914" w:rsidRDefault="00E66F49" w:rsidP="00E66F49">
      <w:pPr>
        <w:pStyle w:val="Odsekzoznamu"/>
        <w:numPr>
          <w:ilvl w:val="0"/>
          <w:numId w:val="5"/>
        </w:numPr>
      </w:pPr>
      <w:r w:rsidRPr="00666914">
        <w:t>legislatívne doriešiť povinnosť absolvovať testovanie elektronickou formou v prípade, že je dostupná.</w:t>
      </w:r>
    </w:p>
    <w:p w14:paraId="28FE1217" w14:textId="51A78B01" w:rsidR="00E66F49" w:rsidRPr="00666914" w:rsidRDefault="00E66F49" w:rsidP="00C63D4B">
      <w:pPr>
        <w:rPr>
          <w:rFonts w:eastAsiaTheme="majorEastAsia" w:cstheme="minorHAnsi"/>
          <w:b/>
          <w:bCs/>
          <w:iCs/>
        </w:rPr>
      </w:pPr>
      <w:r w:rsidRPr="00666914">
        <w:rPr>
          <w:rFonts w:eastAsiaTheme="majorEastAsia" w:cstheme="minorHAnsi"/>
          <w:b/>
          <w:bCs/>
          <w:iCs/>
        </w:rPr>
        <w:lastRenderedPageBreak/>
        <w:t>K zvýšeniu objektívnosti prispela prijatá legislatíva len čiastočne, pilotné overenie vypracovaných testov na vzorke škôl sa uskutoční pravdepodobne až koncom roka 2020. Opatrenie sa k 31.12.2019 neplní.</w:t>
      </w:r>
    </w:p>
    <w:p w14:paraId="0939AE6E" w14:textId="77777777" w:rsidR="00E66F49" w:rsidRPr="00666914" w:rsidRDefault="00E66F49" w:rsidP="00131B23">
      <w:pPr>
        <w:pStyle w:val="Odsekzoznamu"/>
        <w:numPr>
          <w:ilvl w:val="0"/>
          <w:numId w:val="10"/>
        </w:numPr>
        <w:jc w:val="left"/>
        <w:rPr>
          <w:b/>
          <w:szCs w:val="24"/>
          <w:u w:val="single"/>
        </w:rPr>
      </w:pPr>
      <w:r w:rsidRPr="00666914">
        <w:rPr>
          <w:b/>
          <w:szCs w:val="24"/>
          <w:u w:val="single"/>
        </w:rPr>
        <w:t xml:space="preserve">Posilniť a skvalitniť </w:t>
      </w:r>
      <w:r w:rsidRPr="00666914">
        <w:rPr>
          <w:b/>
          <w:u w:val="single"/>
        </w:rPr>
        <w:t>ponuku</w:t>
      </w:r>
      <w:r w:rsidRPr="00666914">
        <w:rPr>
          <w:b/>
          <w:szCs w:val="24"/>
          <w:u w:val="single"/>
        </w:rPr>
        <w:t xml:space="preserve"> vzdelávacích aktivít pre pedagogických zamestnancov</w:t>
      </w:r>
    </w:p>
    <w:p w14:paraId="04E567B0" w14:textId="77777777" w:rsidR="00E66F49" w:rsidRPr="00666914" w:rsidRDefault="00E66F49" w:rsidP="00D27F91">
      <w:pPr>
        <w:pStyle w:val="Odsekzoznamu"/>
        <w:spacing w:after="0"/>
        <w:jc w:val="left"/>
        <w:rPr>
          <w:b/>
          <w:szCs w:val="24"/>
          <w:u w:val="single"/>
        </w:rPr>
      </w:pPr>
    </w:p>
    <w:p w14:paraId="54A54A88" w14:textId="32EF67F3" w:rsidR="00E66F49" w:rsidRPr="00666914" w:rsidRDefault="00E66F49" w:rsidP="00491D15">
      <w:pPr>
        <w:spacing w:after="0"/>
        <w:rPr>
          <w:szCs w:val="24"/>
        </w:rPr>
      </w:pPr>
      <w:r w:rsidRPr="00666914">
        <w:rPr>
          <w:szCs w:val="24"/>
        </w:rPr>
        <w:t>Schválením nového zákona o PZ a OZ bol od 09/2019 zavedený nový proces schvaľovania programu alebo modulu programu vzdelávania, vydávanie oprávnenia na poskytovanie inovačného vzdelávania a organizovanie atestácií.</w:t>
      </w:r>
      <w:r w:rsidR="00491D15" w:rsidRPr="00666914">
        <w:rPr>
          <w:szCs w:val="24"/>
        </w:rPr>
        <w:t xml:space="preserve"> </w:t>
      </w:r>
      <w:r w:rsidRPr="00666914">
        <w:rPr>
          <w:b/>
          <w:szCs w:val="24"/>
        </w:rPr>
        <w:t>Zákon zaviedol aj systém hodnotenia kvality poskytovaného vzdelávania. Medzi hlavné prínosy patrí povinnosť poskytovateľov vzdelávania a atestačných organizácií zverejňovať hodnotenie uskutočneného vzdelávania na vlastnom webovom sídle.</w:t>
      </w:r>
      <w:r w:rsidRPr="00666914">
        <w:rPr>
          <w:szCs w:val="24"/>
        </w:rPr>
        <w:t xml:space="preserve"> Keďže MPC získalo oprávnenie na poskytovanie inovačného vzdelávania a atestácií až v 4Q2019, vplyv prijatých zmien na skvalitnenie ponuky vzdelávania nebolo možné do 12/2019 vyhodnotiť.</w:t>
      </w:r>
    </w:p>
    <w:p w14:paraId="401EA4CC" w14:textId="77777777" w:rsidR="00225174" w:rsidRPr="00666914" w:rsidRDefault="00225174" w:rsidP="00491D15">
      <w:pPr>
        <w:spacing w:after="0"/>
        <w:rPr>
          <w:szCs w:val="24"/>
        </w:rPr>
      </w:pPr>
    </w:p>
    <w:p w14:paraId="64291CF2" w14:textId="16602D46" w:rsidR="00E66F49" w:rsidRPr="00666914" w:rsidRDefault="00E66F49" w:rsidP="00D27F91">
      <w:r w:rsidRPr="00666914">
        <w:rPr>
          <w:b/>
        </w:rPr>
        <w:t>Nový zákon o PZ a OZ síce zavádza zverejňovanie hodnotenia uskutočneného vzdelávania, metodika hodnotenia však nie je známa.</w:t>
      </w:r>
      <w:r w:rsidRPr="00666914">
        <w:t xml:space="preserve"> Za účelom nastavenia jasných a porovnateľných kritérií odporučila IJ v PIS 2019 MŠVVaŠ SR vydať do 12/2019 štandardizované dotazníky hodnotenia spokojnosti absolventov vzdelávania. Podľa vyjadrenia rezortu</w:t>
      </w:r>
      <w:r w:rsidR="00225174" w:rsidRPr="00666914">
        <w:t xml:space="preserve"> nemá</w:t>
      </w:r>
      <w:r w:rsidRPr="00666914">
        <w:t xml:space="preserve"> ministerstvo priamu oporu v zákone a dotazníky budú vydané ako odporúčanie. Počas 3Q2019 rezort pripravil návrh, koncom roka 2019 bol zaslaný na posúdenie na katedry andragogiky jednotlivých VŠ. Ich zverejnenie je plánované do konca 2Q2020.</w:t>
      </w:r>
    </w:p>
    <w:p w14:paraId="18484C14" w14:textId="77777777" w:rsidR="00E66F49" w:rsidRPr="00666914" w:rsidRDefault="00E66F49" w:rsidP="00D27F91">
      <w:r w:rsidRPr="00666914">
        <w:t>MPC uskutočňuje hodnotenie spokojnosti od 09/2018 na základe internej metodiky a výsledky za rok 2019 sú zverejnené v správe o činnosti MPC za rok 2019.</w:t>
      </w:r>
    </w:p>
    <w:p w14:paraId="289B5EC7" w14:textId="4516073B" w:rsidR="00E66F49" w:rsidRPr="00666914" w:rsidRDefault="00E66F49" w:rsidP="00D27F91">
      <w:pPr>
        <w:rPr>
          <w:szCs w:val="24"/>
        </w:rPr>
      </w:pPr>
      <w:r w:rsidRPr="00666914">
        <w:rPr>
          <w:szCs w:val="24"/>
        </w:rPr>
        <w:t xml:space="preserve">Do 12/2019 </w:t>
      </w:r>
      <w:r w:rsidR="00225174" w:rsidRPr="00666914">
        <w:rPr>
          <w:szCs w:val="24"/>
        </w:rPr>
        <w:t xml:space="preserve">vydalo </w:t>
      </w:r>
      <w:r w:rsidRPr="00666914">
        <w:rPr>
          <w:szCs w:val="24"/>
        </w:rPr>
        <w:t>MŠVVaŠ SR oprávnenie na poskytovanie inovačného vzdelávania 8 subjektom a 2 organizáciám oprávnenie na poskytovanie atestácií</w:t>
      </w:r>
      <w:r w:rsidRPr="00666914">
        <w:rPr>
          <w:rStyle w:val="Odkaznapoznmkupodiarou"/>
          <w:szCs w:val="24"/>
        </w:rPr>
        <w:footnoteReference w:id="192"/>
      </w:r>
      <w:r w:rsidRPr="00666914">
        <w:rPr>
          <w:szCs w:val="24"/>
        </w:rPr>
        <w:t>.</w:t>
      </w:r>
    </w:p>
    <w:p w14:paraId="6B8FC504" w14:textId="0BE49174" w:rsidR="00E66F49" w:rsidRPr="00666914" w:rsidRDefault="00E66F49" w:rsidP="00D27F91">
      <w:pPr>
        <w:rPr>
          <w:szCs w:val="24"/>
        </w:rPr>
      </w:pPr>
      <w:r w:rsidRPr="00666914">
        <w:rPr>
          <w:szCs w:val="24"/>
        </w:rPr>
        <w:t>Posilnenie a skvalitnenie ponuky vzdelávania sa sleduje pomocou 3 parametrov:</w:t>
      </w:r>
    </w:p>
    <w:p w14:paraId="05862AA9" w14:textId="77777777" w:rsidR="00E66F49" w:rsidRPr="00666914" w:rsidRDefault="00E66F49" w:rsidP="00131B23">
      <w:pPr>
        <w:numPr>
          <w:ilvl w:val="0"/>
          <w:numId w:val="11"/>
        </w:numPr>
        <w:contextualSpacing/>
        <w:rPr>
          <w:u w:val="single"/>
        </w:rPr>
      </w:pPr>
      <w:r w:rsidRPr="00666914">
        <w:rPr>
          <w:u w:val="single"/>
        </w:rPr>
        <w:t xml:space="preserve">Podiel účastníkov kontinuálneho vzdelávania MPC </w:t>
      </w:r>
    </w:p>
    <w:p w14:paraId="071F40C8" w14:textId="77777777" w:rsidR="00E66F49" w:rsidRPr="00666914" w:rsidRDefault="00E66F49" w:rsidP="00D27F91">
      <w:pPr>
        <w:contextualSpacing/>
        <w:rPr>
          <w:u w:val="single"/>
        </w:rPr>
      </w:pPr>
    </w:p>
    <w:p w14:paraId="0A530A0F" w14:textId="40E340DE" w:rsidR="00E66F49" w:rsidRPr="00666914" w:rsidRDefault="00E66F49" w:rsidP="00282F76">
      <w:pPr>
        <w:rPr>
          <w:b/>
          <w:sz w:val="20"/>
        </w:rPr>
      </w:pPr>
      <w:r w:rsidRPr="00666914">
        <w:rPr>
          <w:b/>
          <w:szCs w:val="24"/>
        </w:rPr>
        <w:t xml:space="preserve">Štruktúru foriem poskytovaného vzdelávania MPC v roku 2019 ovplyvnil nový zákon o PZ a OZ </w:t>
      </w:r>
      <w:r w:rsidRPr="00666914">
        <w:rPr>
          <w:szCs w:val="24"/>
        </w:rPr>
        <w:t>(tabuľka 5</w:t>
      </w:r>
      <w:r w:rsidR="00EB2C64" w:rsidRPr="00666914">
        <w:rPr>
          <w:szCs w:val="24"/>
        </w:rPr>
        <w:t>7</w:t>
      </w:r>
      <w:r w:rsidRPr="00666914">
        <w:rPr>
          <w:szCs w:val="24"/>
        </w:rPr>
        <w:t>). Do 08/2019 realizovalo MPC vzdelávanie v súlade s dovtedy platným zákonom</w:t>
      </w:r>
      <w:r w:rsidRPr="00666914">
        <w:rPr>
          <w:rStyle w:val="Odkaznapoznmkupodiarou"/>
          <w:szCs w:val="24"/>
        </w:rPr>
        <w:footnoteReference w:id="193"/>
      </w:r>
      <w:r w:rsidRPr="00666914">
        <w:rPr>
          <w:szCs w:val="24"/>
        </w:rPr>
        <w:t>. Aktualizačné vzdelávacie programy tvorili v roku 2019 približne 84 % celkovej ponuky vzdelávacích programov. Od 09/2019 nie je MPC už poskytovateľom aktualizačného vzdelávania</w:t>
      </w:r>
      <w:r w:rsidRPr="00666914">
        <w:rPr>
          <w:rStyle w:val="Odkaznapoznmkupodiarou"/>
          <w:szCs w:val="24"/>
        </w:rPr>
        <w:footnoteReference w:id="194"/>
      </w:r>
      <w:r w:rsidRPr="00666914">
        <w:rPr>
          <w:szCs w:val="24"/>
        </w:rPr>
        <w:t>. Potvrdenie o oprávnení na poskytovanie inovačného vzdelávania získalo až v 11/2019</w:t>
      </w:r>
      <w:r w:rsidRPr="00666914">
        <w:rPr>
          <w:rStyle w:val="Odkaznapoznmkupodiarou"/>
          <w:szCs w:val="24"/>
        </w:rPr>
        <w:footnoteReference w:id="195"/>
      </w:r>
      <w:r w:rsidRPr="00666914">
        <w:rPr>
          <w:szCs w:val="24"/>
        </w:rPr>
        <w:t>.</w:t>
      </w:r>
      <w:r w:rsidR="00282F76">
        <w:rPr>
          <w:szCs w:val="24"/>
        </w:rPr>
        <w:t xml:space="preserve"> </w:t>
      </w:r>
      <w:bookmarkStart w:id="296" w:name="_Toc21522813"/>
      <w:r w:rsidRPr="00666914">
        <w:br w:type="page"/>
      </w:r>
    </w:p>
    <w:p w14:paraId="2EB5A9E8" w14:textId="11FDCFFC" w:rsidR="00E66F49" w:rsidRPr="00666914" w:rsidRDefault="00E66F49" w:rsidP="00011841">
      <w:pPr>
        <w:pStyle w:val="tabulka"/>
        <w:pBdr>
          <w:bottom w:val="none" w:sz="0" w:space="0" w:color="auto"/>
        </w:pBdr>
      </w:pPr>
      <w:bookmarkStart w:id="297" w:name="_Toc38447718"/>
      <w:r w:rsidRPr="00666914">
        <w:lastRenderedPageBreak/>
        <w:t xml:space="preserve">Tabuľka </w:t>
      </w:r>
      <w:r w:rsidR="00032A13">
        <w:rPr>
          <w:noProof/>
        </w:rPr>
        <w:fldChar w:fldCharType="begin"/>
      </w:r>
      <w:r w:rsidR="00032A13">
        <w:rPr>
          <w:noProof/>
        </w:rPr>
        <w:instrText xml:space="preserve"> SEQ Tabuľka \* ARABIC \* MERGEFORMAT </w:instrText>
      </w:r>
      <w:r w:rsidR="00032A13">
        <w:rPr>
          <w:noProof/>
        </w:rPr>
        <w:fldChar w:fldCharType="separate"/>
      </w:r>
      <w:r w:rsidR="005A7304">
        <w:rPr>
          <w:noProof/>
        </w:rPr>
        <w:t>57</w:t>
      </w:r>
      <w:r w:rsidR="00032A13">
        <w:rPr>
          <w:noProof/>
        </w:rPr>
        <w:fldChar w:fldCharType="end"/>
      </w:r>
      <w:r w:rsidRPr="00666914">
        <w:t>: Akreditované vzdelávacie programy (AVP)</w:t>
      </w:r>
      <w:bookmarkEnd w:id="296"/>
      <w:r w:rsidRPr="00666914">
        <w:t xml:space="preserve"> v MPC</w:t>
      </w:r>
      <w:bookmarkEnd w:id="297"/>
    </w:p>
    <w:tbl>
      <w:tblPr>
        <w:tblW w:w="0" w:type="auto"/>
        <w:tblCellMar>
          <w:left w:w="70" w:type="dxa"/>
          <w:right w:w="70" w:type="dxa"/>
        </w:tblCellMar>
        <w:tblLook w:val="04A0" w:firstRow="1" w:lastRow="0" w:firstColumn="1" w:lastColumn="0" w:noHBand="0" w:noVBand="1"/>
      </w:tblPr>
      <w:tblGrid>
        <w:gridCol w:w="1894"/>
        <w:gridCol w:w="901"/>
        <w:gridCol w:w="929"/>
        <w:gridCol w:w="901"/>
        <w:gridCol w:w="929"/>
        <w:gridCol w:w="901"/>
        <w:gridCol w:w="929"/>
        <w:gridCol w:w="901"/>
        <w:gridCol w:w="929"/>
      </w:tblGrid>
      <w:tr w:rsidR="00E66F49" w:rsidRPr="00666914" w14:paraId="1E624EA4" w14:textId="77777777" w:rsidTr="00D27F91">
        <w:trPr>
          <w:trHeight w:val="255"/>
        </w:trPr>
        <w:tc>
          <w:tcPr>
            <w:tcW w:w="0" w:type="auto"/>
            <w:tcBorders>
              <w:top w:val="single" w:sz="4" w:space="0" w:color="auto"/>
              <w:left w:val="nil"/>
              <w:bottom w:val="single" w:sz="4" w:space="0" w:color="auto"/>
              <w:right w:val="nil"/>
            </w:tcBorders>
            <w:shd w:val="clear" w:color="auto" w:fill="auto"/>
            <w:noWrap/>
            <w:vAlign w:val="center"/>
            <w:hideMark/>
          </w:tcPr>
          <w:p w14:paraId="0A43F590"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Rok</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6C304557"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2016</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12E10502"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2017</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5D89CE81"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2018</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0AC40E39" w14:textId="77777777" w:rsidR="00E66F49" w:rsidRPr="00666914" w:rsidRDefault="00E66F49" w:rsidP="00D27F91">
            <w:pPr>
              <w:spacing w:after="0"/>
              <w:jc w:val="right"/>
              <w:rPr>
                <w:rFonts w:eastAsia="Times New Roman" w:cs="Calibri"/>
                <w:b/>
                <w:bCs/>
                <w:sz w:val="20"/>
                <w:szCs w:val="20"/>
                <w:lang w:eastAsia="sk-SK"/>
              </w:rPr>
            </w:pPr>
            <w:r w:rsidRPr="00666914">
              <w:rPr>
                <w:rFonts w:eastAsia="Times New Roman" w:cs="Calibri"/>
                <w:b/>
                <w:bCs/>
                <w:sz w:val="20"/>
                <w:szCs w:val="20"/>
                <w:lang w:eastAsia="sk-SK"/>
              </w:rPr>
              <w:t>2019</w:t>
            </w:r>
          </w:p>
        </w:tc>
      </w:tr>
      <w:tr w:rsidR="00E66F49" w:rsidRPr="00666914" w14:paraId="6C3D04EF" w14:textId="77777777" w:rsidTr="00D27F91">
        <w:trPr>
          <w:trHeight w:val="510"/>
        </w:trPr>
        <w:tc>
          <w:tcPr>
            <w:tcW w:w="0" w:type="auto"/>
            <w:tcBorders>
              <w:top w:val="nil"/>
              <w:left w:val="nil"/>
              <w:bottom w:val="nil"/>
              <w:right w:val="nil"/>
            </w:tcBorders>
            <w:shd w:val="clear" w:color="auto" w:fill="auto"/>
            <w:noWrap/>
            <w:vAlign w:val="center"/>
            <w:hideMark/>
          </w:tcPr>
          <w:p w14:paraId="3C6FAA51" w14:textId="77777777" w:rsidR="00E66F49" w:rsidRPr="00666914" w:rsidRDefault="00E66F49" w:rsidP="00D27F91">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 xml:space="preserve">Druh vzdelávania </w:t>
            </w:r>
          </w:p>
        </w:tc>
        <w:tc>
          <w:tcPr>
            <w:tcW w:w="0" w:type="auto"/>
            <w:tcBorders>
              <w:top w:val="nil"/>
              <w:left w:val="nil"/>
              <w:bottom w:val="nil"/>
              <w:right w:val="nil"/>
            </w:tcBorders>
            <w:shd w:val="clear" w:color="auto" w:fill="auto"/>
            <w:noWrap/>
            <w:vAlign w:val="bottom"/>
            <w:hideMark/>
          </w:tcPr>
          <w:p w14:paraId="22E5BCDF"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program (počet)</w:t>
            </w:r>
          </w:p>
        </w:tc>
        <w:tc>
          <w:tcPr>
            <w:tcW w:w="0" w:type="auto"/>
            <w:tcBorders>
              <w:top w:val="nil"/>
              <w:left w:val="nil"/>
              <w:bottom w:val="nil"/>
              <w:right w:val="nil"/>
            </w:tcBorders>
            <w:shd w:val="clear" w:color="auto" w:fill="auto"/>
            <w:noWrap/>
            <w:vAlign w:val="bottom"/>
            <w:hideMark/>
          </w:tcPr>
          <w:p w14:paraId="628B6983"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účastníci (počet)</w:t>
            </w:r>
          </w:p>
        </w:tc>
        <w:tc>
          <w:tcPr>
            <w:tcW w:w="0" w:type="auto"/>
            <w:tcBorders>
              <w:top w:val="nil"/>
              <w:left w:val="nil"/>
              <w:bottom w:val="nil"/>
              <w:right w:val="nil"/>
            </w:tcBorders>
            <w:shd w:val="clear" w:color="auto" w:fill="auto"/>
            <w:noWrap/>
            <w:vAlign w:val="bottom"/>
            <w:hideMark/>
          </w:tcPr>
          <w:p w14:paraId="195BB0C4"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program (počet)</w:t>
            </w:r>
          </w:p>
        </w:tc>
        <w:tc>
          <w:tcPr>
            <w:tcW w:w="0" w:type="auto"/>
            <w:tcBorders>
              <w:top w:val="nil"/>
              <w:left w:val="nil"/>
              <w:bottom w:val="nil"/>
              <w:right w:val="nil"/>
            </w:tcBorders>
            <w:shd w:val="clear" w:color="auto" w:fill="auto"/>
            <w:noWrap/>
            <w:vAlign w:val="bottom"/>
            <w:hideMark/>
          </w:tcPr>
          <w:p w14:paraId="6D991170"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účastníci (počet)</w:t>
            </w:r>
          </w:p>
        </w:tc>
        <w:tc>
          <w:tcPr>
            <w:tcW w:w="0" w:type="auto"/>
            <w:tcBorders>
              <w:top w:val="nil"/>
              <w:left w:val="nil"/>
              <w:bottom w:val="nil"/>
              <w:right w:val="nil"/>
            </w:tcBorders>
            <w:shd w:val="clear" w:color="auto" w:fill="auto"/>
            <w:noWrap/>
            <w:vAlign w:val="bottom"/>
            <w:hideMark/>
          </w:tcPr>
          <w:p w14:paraId="243EE568"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program (počet)</w:t>
            </w:r>
          </w:p>
        </w:tc>
        <w:tc>
          <w:tcPr>
            <w:tcW w:w="0" w:type="auto"/>
            <w:tcBorders>
              <w:top w:val="nil"/>
              <w:left w:val="nil"/>
              <w:bottom w:val="nil"/>
              <w:right w:val="nil"/>
            </w:tcBorders>
            <w:shd w:val="clear" w:color="auto" w:fill="auto"/>
            <w:noWrap/>
            <w:vAlign w:val="bottom"/>
            <w:hideMark/>
          </w:tcPr>
          <w:p w14:paraId="1BF39A07"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účastníci (počet)</w:t>
            </w:r>
          </w:p>
        </w:tc>
        <w:tc>
          <w:tcPr>
            <w:tcW w:w="0" w:type="auto"/>
            <w:tcBorders>
              <w:top w:val="nil"/>
              <w:left w:val="nil"/>
              <w:bottom w:val="nil"/>
              <w:right w:val="nil"/>
            </w:tcBorders>
            <w:shd w:val="clear" w:color="auto" w:fill="auto"/>
            <w:noWrap/>
            <w:vAlign w:val="bottom"/>
            <w:hideMark/>
          </w:tcPr>
          <w:p w14:paraId="6B68D0D0" w14:textId="77777777" w:rsidR="00E66F49" w:rsidRPr="00666914" w:rsidRDefault="00E66F49" w:rsidP="00D27F91">
            <w:pPr>
              <w:spacing w:after="0"/>
              <w:jc w:val="right"/>
              <w:rPr>
                <w:rFonts w:eastAsia="Times New Roman" w:cs="Calibri"/>
                <w:b/>
                <w:bCs/>
                <w:sz w:val="20"/>
                <w:szCs w:val="20"/>
                <w:lang w:eastAsia="sk-SK"/>
              </w:rPr>
            </w:pPr>
            <w:r w:rsidRPr="00666914">
              <w:rPr>
                <w:rFonts w:eastAsia="Times New Roman" w:cs="Calibri"/>
                <w:b/>
                <w:bCs/>
                <w:sz w:val="20"/>
                <w:szCs w:val="20"/>
                <w:lang w:eastAsia="sk-SK"/>
              </w:rPr>
              <w:t>program (počet)</w:t>
            </w:r>
          </w:p>
        </w:tc>
        <w:tc>
          <w:tcPr>
            <w:tcW w:w="0" w:type="auto"/>
            <w:tcBorders>
              <w:top w:val="nil"/>
              <w:left w:val="nil"/>
              <w:bottom w:val="nil"/>
              <w:right w:val="nil"/>
            </w:tcBorders>
            <w:shd w:val="clear" w:color="auto" w:fill="auto"/>
            <w:noWrap/>
            <w:vAlign w:val="bottom"/>
            <w:hideMark/>
          </w:tcPr>
          <w:p w14:paraId="2F1FA656" w14:textId="77777777" w:rsidR="00E66F49" w:rsidRPr="00666914" w:rsidRDefault="00E66F49" w:rsidP="00D27F91">
            <w:pPr>
              <w:spacing w:after="0"/>
              <w:jc w:val="right"/>
              <w:rPr>
                <w:rFonts w:eastAsia="Times New Roman" w:cs="Calibri"/>
                <w:b/>
                <w:bCs/>
                <w:sz w:val="20"/>
                <w:szCs w:val="20"/>
                <w:lang w:eastAsia="sk-SK"/>
              </w:rPr>
            </w:pPr>
            <w:r w:rsidRPr="00666914">
              <w:rPr>
                <w:rFonts w:eastAsia="Times New Roman" w:cs="Calibri"/>
                <w:b/>
                <w:bCs/>
                <w:sz w:val="20"/>
                <w:szCs w:val="20"/>
                <w:lang w:eastAsia="sk-SK"/>
              </w:rPr>
              <w:t>účastníci (počet)</w:t>
            </w:r>
          </w:p>
        </w:tc>
      </w:tr>
      <w:tr w:rsidR="00E66F49" w:rsidRPr="00666914" w14:paraId="4BEBECCB" w14:textId="77777777" w:rsidTr="00D27F91">
        <w:trPr>
          <w:trHeight w:val="255"/>
        </w:trPr>
        <w:tc>
          <w:tcPr>
            <w:tcW w:w="0" w:type="auto"/>
            <w:tcBorders>
              <w:top w:val="nil"/>
              <w:left w:val="nil"/>
              <w:bottom w:val="nil"/>
              <w:right w:val="nil"/>
            </w:tcBorders>
            <w:shd w:val="clear" w:color="auto" w:fill="auto"/>
            <w:noWrap/>
            <w:vAlign w:val="center"/>
            <w:hideMark/>
          </w:tcPr>
          <w:p w14:paraId="7BF340E7"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aktualizačné</w:t>
            </w:r>
          </w:p>
        </w:tc>
        <w:tc>
          <w:tcPr>
            <w:tcW w:w="0" w:type="auto"/>
            <w:tcBorders>
              <w:top w:val="nil"/>
              <w:left w:val="nil"/>
              <w:bottom w:val="nil"/>
              <w:right w:val="nil"/>
            </w:tcBorders>
            <w:shd w:val="clear" w:color="auto" w:fill="auto"/>
            <w:noWrap/>
            <w:vAlign w:val="center"/>
            <w:hideMark/>
          </w:tcPr>
          <w:p w14:paraId="3E0DD654"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93</w:t>
            </w:r>
          </w:p>
        </w:tc>
        <w:tc>
          <w:tcPr>
            <w:tcW w:w="0" w:type="auto"/>
            <w:tcBorders>
              <w:top w:val="nil"/>
              <w:left w:val="nil"/>
              <w:bottom w:val="nil"/>
              <w:right w:val="nil"/>
            </w:tcBorders>
            <w:shd w:val="clear" w:color="auto" w:fill="auto"/>
            <w:noWrap/>
            <w:vAlign w:val="center"/>
            <w:hideMark/>
          </w:tcPr>
          <w:p w14:paraId="33E42A76"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5 143</w:t>
            </w:r>
          </w:p>
        </w:tc>
        <w:tc>
          <w:tcPr>
            <w:tcW w:w="0" w:type="auto"/>
            <w:tcBorders>
              <w:top w:val="nil"/>
              <w:left w:val="nil"/>
              <w:bottom w:val="nil"/>
              <w:right w:val="nil"/>
            </w:tcBorders>
            <w:shd w:val="clear" w:color="auto" w:fill="auto"/>
            <w:noWrap/>
            <w:vAlign w:val="center"/>
            <w:hideMark/>
          </w:tcPr>
          <w:p w14:paraId="533DB174"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102</w:t>
            </w:r>
          </w:p>
        </w:tc>
        <w:tc>
          <w:tcPr>
            <w:tcW w:w="0" w:type="auto"/>
            <w:tcBorders>
              <w:top w:val="nil"/>
              <w:left w:val="nil"/>
              <w:bottom w:val="nil"/>
              <w:right w:val="nil"/>
            </w:tcBorders>
            <w:shd w:val="clear" w:color="auto" w:fill="auto"/>
            <w:noWrap/>
            <w:vAlign w:val="center"/>
            <w:hideMark/>
          </w:tcPr>
          <w:p w14:paraId="00CD9F03"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6 005</w:t>
            </w:r>
          </w:p>
        </w:tc>
        <w:tc>
          <w:tcPr>
            <w:tcW w:w="0" w:type="auto"/>
            <w:tcBorders>
              <w:top w:val="nil"/>
              <w:left w:val="nil"/>
              <w:bottom w:val="nil"/>
              <w:right w:val="nil"/>
            </w:tcBorders>
            <w:shd w:val="clear" w:color="auto" w:fill="auto"/>
            <w:noWrap/>
            <w:vAlign w:val="center"/>
            <w:hideMark/>
          </w:tcPr>
          <w:p w14:paraId="6B59F0D5"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106</w:t>
            </w:r>
          </w:p>
        </w:tc>
        <w:tc>
          <w:tcPr>
            <w:tcW w:w="0" w:type="auto"/>
            <w:tcBorders>
              <w:top w:val="nil"/>
              <w:left w:val="nil"/>
              <w:bottom w:val="nil"/>
              <w:right w:val="nil"/>
            </w:tcBorders>
            <w:shd w:val="clear" w:color="auto" w:fill="auto"/>
            <w:noWrap/>
            <w:vAlign w:val="center"/>
            <w:hideMark/>
          </w:tcPr>
          <w:p w14:paraId="747904CD"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6 781</w:t>
            </w:r>
          </w:p>
        </w:tc>
        <w:tc>
          <w:tcPr>
            <w:tcW w:w="0" w:type="auto"/>
            <w:tcBorders>
              <w:top w:val="nil"/>
              <w:left w:val="nil"/>
              <w:bottom w:val="nil"/>
              <w:right w:val="nil"/>
            </w:tcBorders>
            <w:shd w:val="clear" w:color="auto" w:fill="auto"/>
            <w:noWrap/>
            <w:vAlign w:val="center"/>
            <w:hideMark/>
          </w:tcPr>
          <w:p w14:paraId="61BA27BA" w14:textId="77777777" w:rsidR="00E66F49" w:rsidRPr="00666914" w:rsidRDefault="00E66F49" w:rsidP="00D27F91">
            <w:pPr>
              <w:spacing w:after="0"/>
              <w:jc w:val="right"/>
              <w:rPr>
                <w:rFonts w:eastAsia="Times New Roman" w:cs="Calibri"/>
                <w:sz w:val="20"/>
                <w:szCs w:val="20"/>
                <w:lang w:eastAsia="sk-SK"/>
              </w:rPr>
            </w:pPr>
            <w:r w:rsidRPr="00666914">
              <w:rPr>
                <w:rFonts w:eastAsia="Times New Roman" w:cs="Calibri"/>
                <w:sz w:val="20"/>
                <w:szCs w:val="20"/>
                <w:lang w:eastAsia="sk-SK"/>
              </w:rPr>
              <w:t>90</w:t>
            </w:r>
          </w:p>
        </w:tc>
        <w:tc>
          <w:tcPr>
            <w:tcW w:w="0" w:type="auto"/>
            <w:tcBorders>
              <w:top w:val="nil"/>
              <w:left w:val="nil"/>
              <w:bottom w:val="nil"/>
              <w:right w:val="nil"/>
            </w:tcBorders>
            <w:shd w:val="clear" w:color="auto" w:fill="auto"/>
            <w:noWrap/>
            <w:vAlign w:val="center"/>
            <w:hideMark/>
          </w:tcPr>
          <w:p w14:paraId="3D930321" w14:textId="77777777" w:rsidR="00E66F49" w:rsidRPr="00666914" w:rsidRDefault="00E66F49" w:rsidP="00D27F91">
            <w:pPr>
              <w:spacing w:after="0"/>
              <w:jc w:val="right"/>
              <w:rPr>
                <w:rFonts w:eastAsia="Times New Roman" w:cs="Calibri"/>
                <w:sz w:val="20"/>
                <w:szCs w:val="20"/>
                <w:lang w:eastAsia="sk-SK"/>
              </w:rPr>
            </w:pPr>
            <w:r w:rsidRPr="00666914">
              <w:rPr>
                <w:rFonts w:eastAsia="Times New Roman" w:cs="Calibri"/>
                <w:sz w:val="20"/>
                <w:szCs w:val="20"/>
                <w:lang w:eastAsia="sk-SK"/>
              </w:rPr>
              <w:t>3 895</w:t>
            </w:r>
          </w:p>
        </w:tc>
      </w:tr>
      <w:tr w:rsidR="00E66F49" w:rsidRPr="00666914" w14:paraId="751ED7E6" w14:textId="77777777" w:rsidTr="00D27F91">
        <w:trPr>
          <w:trHeight w:val="255"/>
        </w:trPr>
        <w:tc>
          <w:tcPr>
            <w:tcW w:w="0" w:type="auto"/>
            <w:tcBorders>
              <w:top w:val="nil"/>
              <w:left w:val="nil"/>
              <w:bottom w:val="nil"/>
              <w:right w:val="nil"/>
            </w:tcBorders>
            <w:shd w:val="clear" w:color="auto" w:fill="auto"/>
            <w:noWrap/>
            <w:vAlign w:val="center"/>
            <w:hideMark/>
          </w:tcPr>
          <w:p w14:paraId="34E7FF7D"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špecializačné</w:t>
            </w:r>
          </w:p>
        </w:tc>
        <w:tc>
          <w:tcPr>
            <w:tcW w:w="0" w:type="auto"/>
            <w:tcBorders>
              <w:top w:val="nil"/>
              <w:left w:val="nil"/>
              <w:bottom w:val="nil"/>
              <w:right w:val="nil"/>
            </w:tcBorders>
            <w:shd w:val="clear" w:color="auto" w:fill="auto"/>
            <w:noWrap/>
            <w:vAlign w:val="center"/>
            <w:hideMark/>
          </w:tcPr>
          <w:p w14:paraId="43412CC9"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2</w:t>
            </w:r>
          </w:p>
        </w:tc>
        <w:tc>
          <w:tcPr>
            <w:tcW w:w="0" w:type="auto"/>
            <w:tcBorders>
              <w:top w:val="nil"/>
              <w:left w:val="nil"/>
              <w:bottom w:val="nil"/>
              <w:right w:val="nil"/>
            </w:tcBorders>
            <w:shd w:val="clear" w:color="auto" w:fill="auto"/>
            <w:noWrap/>
            <w:vAlign w:val="center"/>
            <w:hideMark/>
          </w:tcPr>
          <w:p w14:paraId="365FF4B6"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107</w:t>
            </w:r>
          </w:p>
        </w:tc>
        <w:tc>
          <w:tcPr>
            <w:tcW w:w="0" w:type="auto"/>
            <w:tcBorders>
              <w:top w:val="nil"/>
              <w:left w:val="nil"/>
              <w:bottom w:val="nil"/>
              <w:right w:val="nil"/>
            </w:tcBorders>
            <w:shd w:val="clear" w:color="auto" w:fill="auto"/>
            <w:noWrap/>
            <w:vAlign w:val="center"/>
            <w:hideMark/>
          </w:tcPr>
          <w:p w14:paraId="1A3BADDB"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5</w:t>
            </w:r>
          </w:p>
        </w:tc>
        <w:tc>
          <w:tcPr>
            <w:tcW w:w="0" w:type="auto"/>
            <w:tcBorders>
              <w:top w:val="nil"/>
              <w:left w:val="nil"/>
              <w:bottom w:val="nil"/>
              <w:right w:val="nil"/>
            </w:tcBorders>
            <w:shd w:val="clear" w:color="auto" w:fill="auto"/>
            <w:noWrap/>
            <w:vAlign w:val="center"/>
            <w:hideMark/>
          </w:tcPr>
          <w:p w14:paraId="7E8965D3"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147</w:t>
            </w:r>
          </w:p>
        </w:tc>
        <w:tc>
          <w:tcPr>
            <w:tcW w:w="0" w:type="auto"/>
            <w:tcBorders>
              <w:top w:val="nil"/>
              <w:left w:val="nil"/>
              <w:bottom w:val="nil"/>
              <w:right w:val="nil"/>
            </w:tcBorders>
            <w:shd w:val="clear" w:color="auto" w:fill="auto"/>
            <w:noWrap/>
            <w:vAlign w:val="center"/>
            <w:hideMark/>
          </w:tcPr>
          <w:p w14:paraId="7814437D"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4</w:t>
            </w:r>
          </w:p>
        </w:tc>
        <w:tc>
          <w:tcPr>
            <w:tcW w:w="0" w:type="auto"/>
            <w:tcBorders>
              <w:top w:val="nil"/>
              <w:left w:val="nil"/>
              <w:bottom w:val="nil"/>
              <w:right w:val="nil"/>
            </w:tcBorders>
            <w:shd w:val="clear" w:color="auto" w:fill="auto"/>
            <w:noWrap/>
            <w:vAlign w:val="center"/>
            <w:hideMark/>
          </w:tcPr>
          <w:p w14:paraId="3C6E0BB8"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271</w:t>
            </w:r>
          </w:p>
        </w:tc>
        <w:tc>
          <w:tcPr>
            <w:tcW w:w="0" w:type="auto"/>
            <w:tcBorders>
              <w:top w:val="nil"/>
              <w:left w:val="nil"/>
              <w:bottom w:val="nil"/>
              <w:right w:val="nil"/>
            </w:tcBorders>
            <w:shd w:val="clear" w:color="auto" w:fill="auto"/>
            <w:noWrap/>
            <w:vAlign w:val="center"/>
            <w:hideMark/>
          </w:tcPr>
          <w:p w14:paraId="64C46EAE" w14:textId="77777777" w:rsidR="00E66F49" w:rsidRPr="00666914" w:rsidRDefault="00E66F49" w:rsidP="00D27F91">
            <w:pPr>
              <w:spacing w:after="0"/>
              <w:jc w:val="right"/>
              <w:rPr>
                <w:rFonts w:eastAsia="Times New Roman" w:cs="Calibri"/>
                <w:sz w:val="20"/>
                <w:szCs w:val="20"/>
                <w:lang w:eastAsia="sk-SK"/>
              </w:rPr>
            </w:pPr>
            <w:r w:rsidRPr="00666914">
              <w:rPr>
                <w:rFonts w:eastAsia="Times New Roman" w:cs="Calibri"/>
                <w:sz w:val="20"/>
                <w:szCs w:val="20"/>
                <w:lang w:eastAsia="sk-SK"/>
              </w:rPr>
              <w:t>3</w:t>
            </w:r>
          </w:p>
        </w:tc>
        <w:tc>
          <w:tcPr>
            <w:tcW w:w="0" w:type="auto"/>
            <w:tcBorders>
              <w:top w:val="nil"/>
              <w:left w:val="nil"/>
              <w:bottom w:val="nil"/>
              <w:right w:val="nil"/>
            </w:tcBorders>
            <w:shd w:val="clear" w:color="auto" w:fill="auto"/>
            <w:noWrap/>
            <w:vAlign w:val="center"/>
            <w:hideMark/>
          </w:tcPr>
          <w:p w14:paraId="5ED6E512" w14:textId="77777777" w:rsidR="00E66F49" w:rsidRPr="00666914" w:rsidRDefault="00E66F49" w:rsidP="00D27F91">
            <w:pPr>
              <w:spacing w:after="0"/>
              <w:jc w:val="right"/>
              <w:rPr>
                <w:rFonts w:eastAsia="Times New Roman" w:cs="Calibri"/>
                <w:sz w:val="20"/>
                <w:szCs w:val="20"/>
                <w:lang w:eastAsia="sk-SK"/>
              </w:rPr>
            </w:pPr>
            <w:r w:rsidRPr="00666914">
              <w:rPr>
                <w:rFonts w:eastAsia="Times New Roman" w:cs="Calibri"/>
                <w:sz w:val="20"/>
                <w:szCs w:val="20"/>
                <w:lang w:eastAsia="sk-SK"/>
              </w:rPr>
              <w:t>241</w:t>
            </w:r>
          </w:p>
        </w:tc>
      </w:tr>
      <w:tr w:rsidR="00E66F49" w:rsidRPr="00666914" w14:paraId="6E2AD272" w14:textId="77777777" w:rsidTr="00D27F91">
        <w:trPr>
          <w:trHeight w:val="255"/>
        </w:trPr>
        <w:tc>
          <w:tcPr>
            <w:tcW w:w="0" w:type="auto"/>
            <w:tcBorders>
              <w:top w:val="nil"/>
              <w:left w:val="nil"/>
              <w:bottom w:val="nil"/>
              <w:right w:val="nil"/>
            </w:tcBorders>
            <w:shd w:val="clear" w:color="auto" w:fill="auto"/>
            <w:noWrap/>
            <w:vAlign w:val="center"/>
            <w:hideMark/>
          </w:tcPr>
          <w:p w14:paraId="3B4D9621"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xml:space="preserve">funkčné / funkčné inovačné vzdelávanie </w:t>
            </w:r>
          </w:p>
        </w:tc>
        <w:tc>
          <w:tcPr>
            <w:tcW w:w="0" w:type="auto"/>
            <w:tcBorders>
              <w:top w:val="nil"/>
              <w:left w:val="nil"/>
              <w:bottom w:val="nil"/>
              <w:right w:val="nil"/>
            </w:tcBorders>
            <w:shd w:val="clear" w:color="auto" w:fill="auto"/>
            <w:noWrap/>
            <w:vAlign w:val="center"/>
            <w:hideMark/>
          </w:tcPr>
          <w:p w14:paraId="2A854855"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8</w:t>
            </w:r>
          </w:p>
        </w:tc>
        <w:tc>
          <w:tcPr>
            <w:tcW w:w="0" w:type="auto"/>
            <w:tcBorders>
              <w:top w:val="nil"/>
              <w:left w:val="nil"/>
              <w:bottom w:val="nil"/>
              <w:right w:val="nil"/>
            </w:tcBorders>
            <w:shd w:val="clear" w:color="auto" w:fill="auto"/>
            <w:noWrap/>
            <w:vAlign w:val="center"/>
            <w:hideMark/>
          </w:tcPr>
          <w:p w14:paraId="56349E46"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2 000</w:t>
            </w:r>
          </w:p>
        </w:tc>
        <w:tc>
          <w:tcPr>
            <w:tcW w:w="0" w:type="auto"/>
            <w:tcBorders>
              <w:top w:val="nil"/>
              <w:left w:val="nil"/>
              <w:bottom w:val="nil"/>
              <w:right w:val="nil"/>
            </w:tcBorders>
            <w:shd w:val="clear" w:color="auto" w:fill="auto"/>
            <w:noWrap/>
            <w:vAlign w:val="center"/>
            <w:hideMark/>
          </w:tcPr>
          <w:p w14:paraId="3BA8C284"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10</w:t>
            </w:r>
          </w:p>
        </w:tc>
        <w:tc>
          <w:tcPr>
            <w:tcW w:w="0" w:type="auto"/>
            <w:tcBorders>
              <w:top w:val="nil"/>
              <w:left w:val="nil"/>
              <w:bottom w:val="nil"/>
              <w:right w:val="nil"/>
            </w:tcBorders>
            <w:shd w:val="clear" w:color="auto" w:fill="auto"/>
            <w:noWrap/>
            <w:vAlign w:val="center"/>
            <w:hideMark/>
          </w:tcPr>
          <w:p w14:paraId="543B08AF"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2 784</w:t>
            </w:r>
          </w:p>
        </w:tc>
        <w:tc>
          <w:tcPr>
            <w:tcW w:w="0" w:type="auto"/>
            <w:tcBorders>
              <w:top w:val="nil"/>
              <w:left w:val="nil"/>
              <w:bottom w:val="nil"/>
              <w:right w:val="nil"/>
            </w:tcBorders>
            <w:shd w:val="clear" w:color="auto" w:fill="auto"/>
            <w:noWrap/>
            <w:vAlign w:val="center"/>
            <w:hideMark/>
          </w:tcPr>
          <w:p w14:paraId="77C90D65"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9</w:t>
            </w:r>
          </w:p>
        </w:tc>
        <w:tc>
          <w:tcPr>
            <w:tcW w:w="0" w:type="auto"/>
            <w:tcBorders>
              <w:top w:val="nil"/>
              <w:left w:val="nil"/>
              <w:bottom w:val="nil"/>
              <w:right w:val="nil"/>
            </w:tcBorders>
            <w:shd w:val="clear" w:color="auto" w:fill="auto"/>
            <w:noWrap/>
            <w:vAlign w:val="center"/>
            <w:hideMark/>
          </w:tcPr>
          <w:p w14:paraId="7713C423"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3 045</w:t>
            </w:r>
          </w:p>
        </w:tc>
        <w:tc>
          <w:tcPr>
            <w:tcW w:w="0" w:type="auto"/>
            <w:tcBorders>
              <w:top w:val="nil"/>
              <w:left w:val="nil"/>
              <w:bottom w:val="nil"/>
              <w:right w:val="nil"/>
            </w:tcBorders>
            <w:shd w:val="clear" w:color="auto" w:fill="auto"/>
            <w:noWrap/>
            <w:vAlign w:val="center"/>
            <w:hideMark/>
          </w:tcPr>
          <w:p w14:paraId="4C587B02" w14:textId="77777777" w:rsidR="00E66F49" w:rsidRPr="00666914" w:rsidRDefault="00E66F49" w:rsidP="00D27F91">
            <w:pPr>
              <w:spacing w:after="0"/>
              <w:jc w:val="right"/>
              <w:rPr>
                <w:rFonts w:eastAsia="Times New Roman" w:cs="Calibri"/>
                <w:sz w:val="20"/>
                <w:szCs w:val="20"/>
                <w:lang w:eastAsia="sk-SK"/>
              </w:rPr>
            </w:pPr>
            <w:r w:rsidRPr="00666914">
              <w:rPr>
                <w:rFonts w:eastAsia="Times New Roman" w:cs="Calibri"/>
                <w:sz w:val="20"/>
                <w:szCs w:val="20"/>
                <w:lang w:eastAsia="sk-SK"/>
              </w:rPr>
              <w:t>5</w:t>
            </w:r>
          </w:p>
        </w:tc>
        <w:tc>
          <w:tcPr>
            <w:tcW w:w="0" w:type="auto"/>
            <w:tcBorders>
              <w:top w:val="nil"/>
              <w:left w:val="nil"/>
              <w:bottom w:val="nil"/>
              <w:right w:val="nil"/>
            </w:tcBorders>
            <w:shd w:val="clear" w:color="auto" w:fill="auto"/>
            <w:noWrap/>
            <w:vAlign w:val="center"/>
            <w:hideMark/>
          </w:tcPr>
          <w:p w14:paraId="7973E526" w14:textId="77777777" w:rsidR="00E66F49" w:rsidRPr="00666914" w:rsidRDefault="00E66F49" w:rsidP="00D27F91">
            <w:pPr>
              <w:spacing w:after="0"/>
              <w:jc w:val="right"/>
              <w:rPr>
                <w:rFonts w:eastAsia="Times New Roman" w:cs="Calibri"/>
                <w:sz w:val="20"/>
                <w:szCs w:val="20"/>
                <w:lang w:eastAsia="sk-SK"/>
              </w:rPr>
            </w:pPr>
            <w:r w:rsidRPr="00666914">
              <w:rPr>
                <w:rFonts w:eastAsia="Times New Roman" w:cs="Calibri"/>
                <w:sz w:val="20"/>
                <w:szCs w:val="20"/>
                <w:lang w:eastAsia="sk-SK"/>
              </w:rPr>
              <w:t>2 630</w:t>
            </w:r>
          </w:p>
        </w:tc>
      </w:tr>
      <w:tr w:rsidR="00E66F49" w:rsidRPr="00666914" w14:paraId="4CBB61B6" w14:textId="77777777" w:rsidTr="00D27F91">
        <w:trPr>
          <w:trHeight w:val="255"/>
        </w:trPr>
        <w:tc>
          <w:tcPr>
            <w:tcW w:w="0" w:type="auto"/>
            <w:tcBorders>
              <w:top w:val="nil"/>
              <w:left w:val="nil"/>
              <w:bottom w:val="nil"/>
              <w:right w:val="nil"/>
            </w:tcBorders>
            <w:shd w:val="clear" w:color="auto" w:fill="auto"/>
            <w:noWrap/>
            <w:vAlign w:val="center"/>
            <w:hideMark/>
          </w:tcPr>
          <w:p w14:paraId="7BD85220"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xml:space="preserve">inovačné </w:t>
            </w:r>
          </w:p>
        </w:tc>
        <w:tc>
          <w:tcPr>
            <w:tcW w:w="0" w:type="auto"/>
            <w:tcBorders>
              <w:top w:val="nil"/>
              <w:left w:val="nil"/>
              <w:bottom w:val="nil"/>
              <w:right w:val="nil"/>
            </w:tcBorders>
            <w:shd w:val="clear" w:color="auto" w:fill="auto"/>
            <w:noWrap/>
            <w:vAlign w:val="center"/>
            <w:hideMark/>
          </w:tcPr>
          <w:p w14:paraId="34D3996D"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25</w:t>
            </w:r>
          </w:p>
        </w:tc>
        <w:tc>
          <w:tcPr>
            <w:tcW w:w="0" w:type="auto"/>
            <w:tcBorders>
              <w:top w:val="nil"/>
              <w:left w:val="nil"/>
              <w:bottom w:val="nil"/>
              <w:right w:val="nil"/>
            </w:tcBorders>
            <w:shd w:val="clear" w:color="auto" w:fill="auto"/>
            <w:noWrap/>
            <w:vAlign w:val="center"/>
            <w:hideMark/>
          </w:tcPr>
          <w:p w14:paraId="34B1B18E"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1 611</w:t>
            </w:r>
          </w:p>
        </w:tc>
        <w:tc>
          <w:tcPr>
            <w:tcW w:w="0" w:type="auto"/>
            <w:tcBorders>
              <w:top w:val="nil"/>
              <w:left w:val="nil"/>
              <w:bottom w:val="nil"/>
              <w:right w:val="nil"/>
            </w:tcBorders>
            <w:shd w:val="clear" w:color="auto" w:fill="auto"/>
            <w:noWrap/>
            <w:vAlign w:val="center"/>
            <w:hideMark/>
          </w:tcPr>
          <w:p w14:paraId="1FF56EF4"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32</w:t>
            </w:r>
          </w:p>
        </w:tc>
        <w:tc>
          <w:tcPr>
            <w:tcW w:w="0" w:type="auto"/>
            <w:tcBorders>
              <w:top w:val="nil"/>
              <w:left w:val="nil"/>
              <w:bottom w:val="nil"/>
              <w:right w:val="nil"/>
            </w:tcBorders>
            <w:shd w:val="clear" w:color="auto" w:fill="auto"/>
            <w:noWrap/>
            <w:vAlign w:val="center"/>
            <w:hideMark/>
          </w:tcPr>
          <w:p w14:paraId="25AE3C5E"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2 016</w:t>
            </w:r>
          </w:p>
        </w:tc>
        <w:tc>
          <w:tcPr>
            <w:tcW w:w="0" w:type="auto"/>
            <w:tcBorders>
              <w:top w:val="nil"/>
              <w:left w:val="nil"/>
              <w:bottom w:val="nil"/>
              <w:right w:val="nil"/>
            </w:tcBorders>
            <w:shd w:val="clear" w:color="auto" w:fill="auto"/>
            <w:noWrap/>
            <w:vAlign w:val="center"/>
            <w:hideMark/>
          </w:tcPr>
          <w:p w14:paraId="284E9EB1"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23</w:t>
            </w:r>
          </w:p>
        </w:tc>
        <w:tc>
          <w:tcPr>
            <w:tcW w:w="0" w:type="auto"/>
            <w:tcBorders>
              <w:top w:val="nil"/>
              <w:left w:val="nil"/>
              <w:bottom w:val="nil"/>
              <w:right w:val="nil"/>
            </w:tcBorders>
            <w:shd w:val="clear" w:color="auto" w:fill="auto"/>
            <w:noWrap/>
            <w:vAlign w:val="center"/>
            <w:hideMark/>
          </w:tcPr>
          <w:p w14:paraId="6B2ABD25"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1 058</w:t>
            </w:r>
          </w:p>
        </w:tc>
        <w:tc>
          <w:tcPr>
            <w:tcW w:w="0" w:type="auto"/>
            <w:tcBorders>
              <w:top w:val="nil"/>
              <w:left w:val="nil"/>
              <w:bottom w:val="nil"/>
              <w:right w:val="nil"/>
            </w:tcBorders>
            <w:shd w:val="clear" w:color="auto" w:fill="auto"/>
            <w:noWrap/>
            <w:vAlign w:val="center"/>
            <w:hideMark/>
          </w:tcPr>
          <w:p w14:paraId="61A73444" w14:textId="77777777" w:rsidR="00E66F49" w:rsidRPr="00666914" w:rsidRDefault="00E66F49" w:rsidP="00D27F91">
            <w:pPr>
              <w:spacing w:after="0"/>
              <w:jc w:val="right"/>
              <w:rPr>
                <w:rFonts w:eastAsia="Times New Roman" w:cs="Calibri"/>
                <w:sz w:val="20"/>
                <w:szCs w:val="20"/>
                <w:lang w:eastAsia="sk-SK"/>
              </w:rPr>
            </w:pPr>
            <w:r w:rsidRPr="00666914">
              <w:rPr>
                <w:rFonts w:eastAsia="Times New Roman" w:cs="Calibri"/>
                <w:sz w:val="20"/>
                <w:szCs w:val="20"/>
                <w:lang w:eastAsia="sk-SK"/>
              </w:rPr>
              <w:t>15</w:t>
            </w:r>
          </w:p>
        </w:tc>
        <w:tc>
          <w:tcPr>
            <w:tcW w:w="0" w:type="auto"/>
            <w:tcBorders>
              <w:top w:val="nil"/>
              <w:left w:val="nil"/>
              <w:bottom w:val="nil"/>
              <w:right w:val="nil"/>
            </w:tcBorders>
            <w:shd w:val="clear" w:color="auto" w:fill="auto"/>
            <w:noWrap/>
            <w:vAlign w:val="center"/>
            <w:hideMark/>
          </w:tcPr>
          <w:p w14:paraId="668D1068" w14:textId="77777777" w:rsidR="00E66F49" w:rsidRPr="00666914" w:rsidRDefault="00E66F49" w:rsidP="00D27F91">
            <w:pPr>
              <w:spacing w:after="0"/>
              <w:jc w:val="right"/>
              <w:rPr>
                <w:rFonts w:eastAsia="Times New Roman" w:cs="Calibri"/>
                <w:sz w:val="20"/>
                <w:szCs w:val="20"/>
                <w:lang w:eastAsia="sk-SK"/>
              </w:rPr>
            </w:pPr>
            <w:r w:rsidRPr="00666914">
              <w:rPr>
                <w:rFonts w:eastAsia="Times New Roman" w:cs="Calibri"/>
                <w:sz w:val="20"/>
                <w:szCs w:val="20"/>
                <w:lang w:eastAsia="sk-SK"/>
              </w:rPr>
              <w:t>485</w:t>
            </w:r>
          </w:p>
        </w:tc>
      </w:tr>
      <w:tr w:rsidR="00E66F49" w:rsidRPr="00666914" w14:paraId="2E7F81D9" w14:textId="77777777" w:rsidTr="00D27F91">
        <w:trPr>
          <w:trHeight w:val="255"/>
        </w:trPr>
        <w:tc>
          <w:tcPr>
            <w:tcW w:w="0" w:type="auto"/>
            <w:tcBorders>
              <w:top w:val="nil"/>
              <w:left w:val="nil"/>
              <w:bottom w:val="nil"/>
              <w:right w:val="nil"/>
            </w:tcBorders>
            <w:shd w:val="clear" w:color="auto" w:fill="auto"/>
            <w:noWrap/>
            <w:vAlign w:val="center"/>
            <w:hideMark/>
          </w:tcPr>
          <w:p w14:paraId="4BA06D97"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xml:space="preserve">prípravné atestačné vzdelávanie </w:t>
            </w:r>
          </w:p>
        </w:tc>
        <w:tc>
          <w:tcPr>
            <w:tcW w:w="0" w:type="auto"/>
            <w:tcBorders>
              <w:top w:val="nil"/>
              <w:left w:val="nil"/>
              <w:bottom w:val="nil"/>
              <w:right w:val="nil"/>
            </w:tcBorders>
            <w:shd w:val="clear" w:color="auto" w:fill="auto"/>
            <w:noWrap/>
            <w:vAlign w:val="center"/>
            <w:hideMark/>
          </w:tcPr>
          <w:p w14:paraId="649917F7"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7</w:t>
            </w:r>
          </w:p>
        </w:tc>
        <w:tc>
          <w:tcPr>
            <w:tcW w:w="0" w:type="auto"/>
            <w:tcBorders>
              <w:top w:val="nil"/>
              <w:left w:val="nil"/>
              <w:bottom w:val="nil"/>
              <w:right w:val="nil"/>
            </w:tcBorders>
            <w:shd w:val="clear" w:color="auto" w:fill="auto"/>
            <w:noWrap/>
            <w:vAlign w:val="center"/>
            <w:hideMark/>
          </w:tcPr>
          <w:p w14:paraId="60393DF6"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3 890</w:t>
            </w:r>
          </w:p>
        </w:tc>
        <w:tc>
          <w:tcPr>
            <w:tcW w:w="0" w:type="auto"/>
            <w:tcBorders>
              <w:top w:val="nil"/>
              <w:left w:val="nil"/>
              <w:bottom w:val="nil"/>
              <w:right w:val="nil"/>
            </w:tcBorders>
            <w:shd w:val="clear" w:color="auto" w:fill="auto"/>
            <w:noWrap/>
            <w:vAlign w:val="center"/>
            <w:hideMark/>
          </w:tcPr>
          <w:p w14:paraId="0F0B0167"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9</w:t>
            </w:r>
          </w:p>
        </w:tc>
        <w:tc>
          <w:tcPr>
            <w:tcW w:w="0" w:type="auto"/>
            <w:tcBorders>
              <w:top w:val="nil"/>
              <w:left w:val="nil"/>
              <w:bottom w:val="nil"/>
              <w:right w:val="nil"/>
            </w:tcBorders>
            <w:shd w:val="clear" w:color="auto" w:fill="auto"/>
            <w:noWrap/>
            <w:vAlign w:val="center"/>
            <w:hideMark/>
          </w:tcPr>
          <w:p w14:paraId="344189A3"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2 093</w:t>
            </w:r>
          </w:p>
        </w:tc>
        <w:tc>
          <w:tcPr>
            <w:tcW w:w="0" w:type="auto"/>
            <w:tcBorders>
              <w:top w:val="nil"/>
              <w:left w:val="nil"/>
              <w:bottom w:val="nil"/>
              <w:right w:val="nil"/>
            </w:tcBorders>
            <w:shd w:val="clear" w:color="auto" w:fill="auto"/>
            <w:noWrap/>
            <w:vAlign w:val="center"/>
            <w:hideMark/>
          </w:tcPr>
          <w:p w14:paraId="5149F50D"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8</w:t>
            </w:r>
          </w:p>
        </w:tc>
        <w:tc>
          <w:tcPr>
            <w:tcW w:w="0" w:type="auto"/>
            <w:tcBorders>
              <w:top w:val="nil"/>
              <w:left w:val="nil"/>
              <w:bottom w:val="nil"/>
              <w:right w:val="nil"/>
            </w:tcBorders>
            <w:shd w:val="clear" w:color="auto" w:fill="auto"/>
            <w:noWrap/>
            <w:vAlign w:val="center"/>
            <w:hideMark/>
          </w:tcPr>
          <w:p w14:paraId="1D4ACE77"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2 468</w:t>
            </w:r>
          </w:p>
        </w:tc>
        <w:tc>
          <w:tcPr>
            <w:tcW w:w="0" w:type="auto"/>
            <w:tcBorders>
              <w:top w:val="nil"/>
              <w:left w:val="nil"/>
              <w:bottom w:val="nil"/>
              <w:right w:val="nil"/>
            </w:tcBorders>
            <w:shd w:val="clear" w:color="auto" w:fill="auto"/>
            <w:noWrap/>
            <w:vAlign w:val="center"/>
            <w:hideMark/>
          </w:tcPr>
          <w:p w14:paraId="59DF5D6E" w14:textId="77777777" w:rsidR="00E66F49" w:rsidRPr="00666914" w:rsidRDefault="00E66F49" w:rsidP="00D27F91">
            <w:pPr>
              <w:spacing w:after="0"/>
              <w:jc w:val="right"/>
              <w:rPr>
                <w:rFonts w:eastAsia="Times New Roman" w:cs="Calibri"/>
                <w:sz w:val="20"/>
                <w:szCs w:val="20"/>
                <w:lang w:eastAsia="sk-SK"/>
              </w:rPr>
            </w:pPr>
            <w:r w:rsidRPr="00666914">
              <w:rPr>
                <w:rFonts w:eastAsia="Times New Roman" w:cs="Calibri"/>
                <w:sz w:val="20"/>
                <w:szCs w:val="20"/>
                <w:lang w:eastAsia="sk-SK"/>
              </w:rPr>
              <w:t>6</w:t>
            </w:r>
          </w:p>
        </w:tc>
        <w:tc>
          <w:tcPr>
            <w:tcW w:w="0" w:type="auto"/>
            <w:tcBorders>
              <w:top w:val="nil"/>
              <w:left w:val="nil"/>
              <w:bottom w:val="nil"/>
              <w:right w:val="nil"/>
            </w:tcBorders>
            <w:shd w:val="clear" w:color="auto" w:fill="auto"/>
            <w:noWrap/>
            <w:vAlign w:val="center"/>
            <w:hideMark/>
          </w:tcPr>
          <w:p w14:paraId="6910399F" w14:textId="77777777" w:rsidR="00E66F49" w:rsidRPr="00666914" w:rsidRDefault="00E66F49" w:rsidP="00D27F91">
            <w:pPr>
              <w:spacing w:after="0"/>
              <w:jc w:val="right"/>
              <w:rPr>
                <w:rFonts w:eastAsia="Times New Roman" w:cs="Calibri"/>
                <w:sz w:val="20"/>
                <w:szCs w:val="20"/>
                <w:lang w:eastAsia="sk-SK"/>
              </w:rPr>
            </w:pPr>
            <w:r w:rsidRPr="00666914">
              <w:rPr>
                <w:rFonts w:eastAsia="Times New Roman" w:cs="Calibri"/>
                <w:sz w:val="20"/>
                <w:szCs w:val="20"/>
                <w:lang w:eastAsia="sk-SK"/>
              </w:rPr>
              <w:t>901</w:t>
            </w:r>
          </w:p>
        </w:tc>
      </w:tr>
      <w:tr w:rsidR="00E66F49" w:rsidRPr="00666914" w14:paraId="6BAE3F68" w14:textId="77777777" w:rsidTr="00D27F91">
        <w:trPr>
          <w:trHeight w:val="255"/>
        </w:trPr>
        <w:tc>
          <w:tcPr>
            <w:tcW w:w="0" w:type="auto"/>
            <w:tcBorders>
              <w:top w:val="single" w:sz="4" w:space="0" w:color="auto"/>
              <w:left w:val="nil"/>
              <w:bottom w:val="single" w:sz="4" w:space="0" w:color="auto"/>
              <w:right w:val="nil"/>
            </w:tcBorders>
            <w:shd w:val="clear" w:color="auto" w:fill="auto"/>
            <w:noWrap/>
            <w:vAlign w:val="center"/>
            <w:hideMark/>
          </w:tcPr>
          <w:p w14:paraId="6CA529B0" w14:textId="77777777" w:rsidR="00E66F49" w:rsidRPr="00666914" w:rsidRDefault="00E66F49" w:rsidP="00D27F91">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 xml:space="preserve">SPOLU </w:t>
            </w:r>
          </w:p>
        </w:tc>
        <w:tc>
          <w:tcPr>
            <w:tcW w:w="0" w:type="auto"/>
            <w:tcBorders>
              <w:top w:val="single" w:sz="4" w:space="0" w:color="auto"/>
              <w:left w:val="nil"/>
              <w:bottom w:val="single" w:sz="4" w:space="0" w:color="auto"/>
              <w:right w:val="nil"/>
            </w:tcBorders>
            <w:shd w:val="clear" w:color="auto" w:fill="auto"/>
            <w:noWrap/>
            <w:vAlign w:val="center"/>
            <w:hideMark/>
          </w:tcPr>
          <w:p w14:paraId="173D2632"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135</w:t>
            </w:r>
          </w:p>
        </w:tc>
        <w:tc>
          <w:tcPr>
            <w:tcW w:w="0" w:type="auto"/>
            <w:tcBorders>
              <w:top w:val="single" w:sz="4" w:space="0" w:color="auto"/>
              <w:left w:val="nil"/>
              <w:bottom w:val="single" w:sz="4" w:space="0" w:color="auto"/>
              <w:right w:val="nil"/>
            </w:tcBorders>
            <w:shd w:val="clear" w:color="auto" w:fill="auto"/>
            <w:noWrap/>
            <w:vAlign w:val="center"/>
            <w:hideMark/>
          </w:tcPr>
          <w:p w14:paraId="1FEF1D50"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12 751</w:t>
            </w:r>
          </w:p>
        </w:tc>
        <w:tc>
          <w:tcPr>
            <w:tcW w:w="0" w:type="auto"/>
            <w:tcBorders>
              <w:top w:val="single" w:sz="4" w:space="0" w:color="auto"/>
              <w:left w:val="nil"/>
              <w:bottom w:val="single" w:sz="4" w:space="0" w:color="auto"/>
              <w:right w:val="nil"/>
            </w:tcBorders>
            <w:shd w:val="clear" w:color="auto" w:fill="auto"/>
            <w:noWrap/>
            <w:vAlign w:val="center"/>
            <w:hideMark/>
          </w:tcPr>
          <w:p w14:paraId="3344550A"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158</w:t>
            </w:r>
          </w:p>
        </w:tc>
        <w:tc>
          <w:tcPr>
            <w:tcW w:w="0" w:type="auto"/>
            <w:tcBorders>
              <w:top w:val="single" w:sz="4" w:space="0" w:color="auto"/>
              <w:left w:val="nil"/>
              <w:bottom w:val="single" w:sz="4" w:space="0" w:color="auto"/>
              <w:right w:val="nil"/>
            </w:tcBorders>
            <w:shd w:val="clear" w:color="auto" w:fill="auto"/>
            <w:noWrap/>
            <w:vAlign w:val="center"/>
            <w:hideMark/>
          </w:tcPr>
          <w:p w14:paraId="5F7F2557"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13 045</w:t>
            </w:r>
          </w:p>
        </w:tc>
        <w:tc>
          <w:tcPr>
            <w:tcW w:w="0" w:type="auto"/>
            <w:tcBorders>
              <w:top w:val="single" w:sz="4" w:space="0" w:color="auto"/>
              <w:left w:val="nil"/>
              <w:bottom w:val="single" w:sz="4" w:space="0" w:color="auto"/>
              <w:right w:val="nil"/>
            </w:tcBorders>
            <w:shd w:val="clear" w:color="auto" w:fill="auto"/>
            <w:noWrap/>
            <w:vAlign w:val="center"/>
            <w:hideMark/>
          </w:tcPr>
          <w:p w14:paraId="2BC86A1A"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150</w:t>
            </w:r>
          </w:p>
        </w:tc>
        <w:tc>
          <w:tcPr>
            <w:tcW w:w="0" w:type="auto"/>
            <w:tcBorders>
              <w:top w:val="single" w:sz="4" w:space="0" w:color="auto"/>
              <w:left w:val="nil"/>
              <w:bottom w:val="single" w:sz="4" w:space="0" w:color="auto"/>
              <w:right w:val="nil"/>
            </w:tcBorders>
            <w:shd w:val="clear" w:color="auto" w:fill="auto"/>
            <w:noWrap/>
            <w:vAlign w:val="center"/>
            <w:hideMark/>
          </w:tcPr>
          <w:p w14:paraId="429B25B6"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13 623</w:t>
            </w:r>
          </w:p>
        </w:tc>
        <w:tc>
          <w:tcPr>
            <w:tcW w:w="0" w:type="auto"/>
            <w:tcBorders>
              <w:top w:val="single" w:sz="4" w:space="0" w:color="auto"/>
              <w:left w:val="nil"/>
              <w:bottom w:val="single" w:sz="4" w:space="0" w:color="auto"/>
              <w:right w:val="nil"/>
            </w:tcBorders>
            <w:shd w:val="clear" w:color="auto" w:fill="auto"/>
            <w:noWrap/>
            <w:vAlign w:val="center"/>
            <w:hideMark/>
          </w:tcPr>
          <w:p w14:paraId="55028EC8" w14:textId="77777777" w:rsidR="00E66F49" w:rsidRPr="00666914" w:rsidRDefault="00E66F49" w:rsidP="00D27F91">
            <w:pPr>
              <w:spacing w:after="0"/>
              <w:jc w:val="right"/>
              <w:rPr>
                <w:rFonts w:eastAsia="Times New Roman" w:cs="Calibri"/>
                <w:b/>
                <w:bCs/>
                <w:sz w:val="20"/>
                <w:szCs w:val="20"/>
                <w:lang w:eastAsia="sk-SK"/>
              </w:rPr>
            </w:pPr>
            <w:r w:rsidRPr="00666914">
              <w:rPr>
                <w:rFonts w:eastAsia="Times New Roman" w:cs="Calibri"/>
                <w:b/>
                <w:bCs/>
                <w:sz w:val="20"/>
                <w:szCs w:val="20"/>
                <w:lang w:eastAsia="sk-SK"/>
              </w:rPr>
              <w:t>119</w:t>
            </w:r>
          </w:p>
        </w:tc>
        <w:tc>
          <w:tcPr>
            <w:tcW w:w="0" w:type="auto"/>
            <w:tcBorders>
              <w:top w:val="single" w:sz="4" w:space="0" w:color="auto"/>
              <w:left w:val="nil"/>
              <w:bottom w:val="single" w:sz="4" w:space="0" w:color="auto"/>
              <w:right w:val="nil"/>
            </w:tcBorders>
            <w:shd w:val="clear" w:color="auto" w:fill="auto"/>
            <w:noWrap/>
            <w:vAlign w:val="center"/>
            <w:hideMark/>
          </w:tcPr>
          <w:p w14:paraId="5E2C7C6D" w14:textId="77777777" w:rsidR="00E66F49" w:rsidRPr="00666914" w:rsidRDefault="00E66F49" w:rsidP="00D27F91">
            <w:pPr>
              <w:spacing w:after="0"/>
              <w:jc w:val="right"/>
              <w:rPr>
                <w:rFonts w:eastAsia="Times New Roman" w:cs="Calibri"/>
                <w:b/>
                <w:bCs/>
                <w:sz w:val="20"/>
                <w:szCs w:val="20"/>
                <w:lang w:eastAsia="sk-SK"/>
              </w:rPr>
            </w:pPr>
            <w:r w:rsidRPr="00666914">
              <w:rPr>
                <w:rFonts w:eastAsia="Times New Roman" w:cs="Calibri"/>
                <w:b/>
                <w:bCs/>
                <w:sz w:val="20"/>
                <w:szCs w:val="20"/>
                <w:lang w:eastAsia="sk-SK"/>
              </w:rPr>
              <w:t>8 152</w:t>
            </w:r>
          </w:p>
        </w:tc>
      </w:tr>
      <w:tr w:rsidR="00E66F49" w:rsidRPr="00666914" w14:paraId="426991E1" w14:textId="77777777" w:rsidTr="00D27F91">
        <w:trPr>
          <w:trHeight w:val="255"/>
        </w:trPr>
        <w:tc>
          <w:tcPr>
            <w:tcW w:w="0" w:type="auto"/>
            <w:tcBorders>
              <w:top w:val="nil"/>
              <w:left w:val="nil"/>
              <w:bottom w:val="single" w:sz="4" w:space="0" w:color="auto"/>
              <w:right w:val="nil"/>
            </w:tcBorders>
            <w:shd w:val="clear" w:color="auto" w:fill="auto"/>
            <w:noWrap/>
            <w:vAlign w:val="center"/>
            <w:hideMark/>
          </w:tcPr>
          <w:p w14:paraId="16C36282" w14:textId="77777777" w:rsidR="00E66F49" w:rsidRPr="00666914" w:rsidRDefault="00E66F49" w:rsidP="00D27F91">
            <w:pPr>
              <w:spacing w:after="0"/>
              <w:jc w:val="right"/>
              <w:rPr>
                <w:rFonts w:eastAsia="Times New Roman" w:cs="Calibri"/>
                <w:b/>
                <w:bCs/>
                <w:sz w:val="20"/>
                <w:szCs w:val="20"/>
                <w:lang w:eastAsia="sk-SK"/>
              </w:rPr>
            </w:pPr>
          </w:p>
        </w:tc>
        <w:tc>
          <w:tcPr>
            <w:tcW w:w="0" w:type="auto"/>
            <w:tcBorders>
              <w:top w:val="nil"/>
              <w:left w:val="nil"/>
              <w:bottom w:val="single" w:sz="4" w:space="0" w:color="auto"/>
              <w:right w:val="nil"/>
            </w:tcBorders>
            <w:shd w:val="clear" w:color="auto" w:fill="auto"/>
            <w:noWrap/>
            <w:vAlign w:val="bottom"/>
            <w:hideMark/>
          </w:tcPr>
          <w:p w14:paraId="60A6D417" w14:textId="77777777" w:rsidR="00E66F49" w:rsidRPr="00666914" w:rsidRDefault="00E66F49" w:rsidP="00D27F91">
            <w:pPr>
              <w:spacing w:after="0"/>
              <w:jc w:val="left"/>
              <w:rPr>
                <w:rFonts w:ascii="Times New Roman" w:eastAsia="Times New Roman" w:hAnsi="Times New Roman"/>
                <w:sz w:val="20"/>
                <w:szCs w:val="20"/>
                <w:lang w:eastAsia="sk-SK"/>
              </w:rPr>
            </w:pPr>
          </w:p>
        </w:tc>
        <w:tc>
          <w:tcPr>
            <w:tcW w:w="0" w:type="auto"/>
            <w:tcBorders>
              <w:top w:val="nil"/>
              <w:left w:val="nil"/>
              <w:bottom w:val="single" w:sz="4" w:space="0" w:color="auto"/>
              <w:right w:val="nil"/>
            </w:tcBorders>
            <w:shd w:val="clear" w:color="auto" w:fill="auto"/>
            <w:noWrap/>
            <w:vAlign w:val="bottom"/>
            <w:hideMark/>
          </w:tcPr>
          <w:p w14:paraId="7B235F67" w14:textId="77777777" w:rsidR="00E66F49" w:rsidRPr="00666914" w:rsidRDefault="00E66F49" w:rsidP="00D27F91">
            <w:pPr>
              <w:spacing w:after="0"/>
              <w:jc w:val="left"/>
              <w:rPr>
                <w:rFonts w:ascii="Times New Roman" w:eastAsia="Times New Roman" w:hAnsi="Times New Roman"/>
                <w:sz w:val="20"/>
                <w:szCs w:val="20"/>
                <w:lang w:eastAsia="sk-SK"/>
              </w:rPr>
            </w:pPr>
          </w:p>
        </w:tc>
        <w:tc>
          <w:tcPr>
            <w:tcW w:w="0" w:type="auto"/>
            <w:tcBorders>
              <w:top w:val="nil"/>
              <w:left w:val="nil"/>
              <w:bottom w:val="single" w:sz="4" w:space="0" w:color="auto"/>
              <w:right w:val="nil"/>
            </w:tcBorders>
            <w:shd w:val="clear" w:color="auto" w:fill="auto"/>
            <w:noWrap/>
            <w:vAlign w:val="bottom"/>
            <w:hideMark/>
          </w:tcPr>
          <w:p w14:paraId="170FE596" w14:textId="77777777" w:rsidR="00E66F49" w:rsidRPr="00666914" w:rsidRDefault="00E66F49" w:rsidP="00D27F91">
            <w:pPr>
              <w:spacing w:after="0"/>
              <w:jc w:val="left"/>
              <w:rPr>
                <w:rFonts w:ascii="Times New Roman" w:eastAsia="Times New Roman" w:hAnsi="Times New Roman"/>
                <w:sz w:val="20"/>
                <w:szCs w:val="20"/>
                <w:lang w:eastAsia="sk-SK"/>
              </w:rPr>
            </w:pPr>
          </w:p>
        </w:tc>
        <w:tc>
          <w:tcPr>
            <w:tcW w:w="0" w:type="auto"/>
            <w:tcBorders>
              <w:top w:val="nil"/>
              <w:left w:val="nil"/>
              <w:bottom w:val="single" w:sz="4" w:space="0" w:color="auto"/>
              <w:right w:val="nil"/>
            </w:tcBorders>
            <w:shd w:val="clear" w:color="auto" w:fill="auto"/>
            <w:noWrap/>
            <w:vAlign w:val="bottom"/>
            <w:hideMark/>
          </w:tcPr>
          <w:p w14:paraId="57E76603" w14:textId="77777777" w:rsidR="00E66F49" w:rsidRPr="00666914" w:rsidRDefault="00E66F49" w:rsidP="00D27F91">
            <w:pPr>
              <w:spacing w:after="0"/>
              <w:jc w:val="left"/>
              <w:rPr>
                <w:rFonts w:ascii="Times New Roman" w:eastAsia="Times New Roman" w:hAnsi="Times New Roman"/>
                <w:sz w:val="20"/>
                <w:szCs w:val="20"/>
                <w:lang w:eastAsia="sk-SK"/>
              </w:rPr>
            </w:pPr>
          </w:p>
        </w:tc>
        <w:tc>
          <w:tcPr>
            <w:tcW w:w="0" w:type="auto"/>
            <w:tcBorders>
              <w:top w:val="nil"/>
              <w:left w:val="nil"/>
              <w:bottom w:val="single" w:sz="4" w:space="0" w:color="auto"/>
              <w:right w:val="nil"/>
            </w:tcBorders>
            <w:shd w:val="clear" w:color="auto" w:fill="auto"/>
            <w:noWrap/>
            <w:vAlign w:val="bottom"/>
            <w:hideMark/>
          </w:tcPr>
          <w:p w14:paraId="6341559B" w14:textId="77777777" w:rsidR="00E66F49" w:rsidRPr="00666914" w:rsidRDefault="00E66F49" w:rsidP="00D27F91">
            <w:pPr>
              <w:spacing w:after="0"/>
              <w:jc w:val="left"/>
              <w:rPr>
                <w:rFonts w:ascii="Times New Roman" w:eastAsia="Times New Roman" w:hAnsi="Times New Roman"/>
                <w:sz w:val="20"/>
                <w:szCs w:val="20"/>
                <w:lang w:eastAsia="sk-SK"/>
              </w:rPr>
            </w:pPr>
          </w:p>
        </w:tc>
        <w:tc>
          <w:tcPr>
            <w:tcW w:w="0" w:type="auto"/>
            <w:tcBorders>
              <w:top w:val="nil"/>
              <w:left w:val="nil"/>
              <w:bottom w:val="single" w:sz="4" w:space="0" w:color="auto"/>
              <w:right w:val="nil"/>
            </w:tcBorders>
            <w:shd w:val="clear" w:color="auto" w:fill="auto"/>
            <w:noWrap/>
            <w:vAlign w:val="center"/>
            <w:hideMark/>
          </w:tcPr>
          <w:p w14:paraId="5C7E1750" w14:textId="77777777" w:rsidR="00E66F49" w:rsidRPr="00666914" w:rsidRDefault="00E66F49" w:rsidP="00D27F91">
            <w:pPr>
              <w:spacing w:after="0"/>
              <w:jc w:val="left"/>
              <w:rPr>
                <w:rFonts w:ascii="Times New Roman" w:eastAsia="Times New Roman" w:hAnsi="Times New Roman"/>
                <w:sz w:val="20"/>
                <w:szCs w:val="20"/>
                <w:lang w:eastAsia="sk-SK"/>
              </w:rPr>
            </w:pPr>
          </w:p>
        </w:tc>
        <w:tc>
          <w:tcPr>
            <w:tcW w:w="0" w:type="auto"/>
            <w:tcBorders>
              <w:top w:val="nil"/>
              <w:left w:val="nil"/>
              <w:bottom w:val="single" w:sz="4" w:space="0" w:color="auto"/>
              <w:right w:val="nil"/>
            </w:tcBorders>
            <w:shd w:val="clear" w:color="auto" w:fill="auto"/>
            <w:noWrap/>
            <w:vAlign w:val="bottom"/>
            <w:hideMark/>
          </w:tcPr>
          <w:p w14:paraId="6C514980" w14:textId="77777777" w:rsidR="00E66F49" w:rsidRPr="00666914" w:rsidRDefault="00E66F49" w:rsidP="00D27F91">
            <w:pPr>
              <w:spacing w:after="0"/>
              <w:jc w:val="left"/>
              <w:rPr>
                <w:rFonts w:ascii="Times New Roman" w:eastAsia="Times New Roman" w:hAnsi="Times New Roman"/>
                <w:sz w:val="20"/>
                <w:szCs w:val="20"/>
                <w:lang w:eastAsia="sk-SK"/>
              </w:rPr>
            </w:pPr>
          </w:p>
        </w:tc>
        <w:tc>
          <w:tcPr>
            <w:tcW w:w="0" w:type="auto"/>
            <w:tcBorders>
              <w:top w:val="nil"/>
              <w:left w:val="nil"/>
              <w:bottom w:val="single" w:sz="4" w:space="0" w:color="auto"/>
              <w:right w:val="nil"/>
            </w:tcBorders>
            <w:shd w:val="clear" w:color="auto" w:fill="auto"/>
            <w:noWrap/>
            <w:vAlign w:val="center"/>
            <w:hideMark/>
          </w:tcPr>
          <w:p w14:paraId="057DB3DB" w14:textId="77777777" w:rsidR="00E66F49" w:rsidRPr="00666914" w:rsidRDefault="00E66F49" w:rsidP="00D27F91">
            <w:pPr>
              <w:spacing w:after="0"/>
              <w:jc w:val="left"/>
              <w:rPr>
                <w:rFonts w:ascii="Times New Roman" w:eastAsia="Times New Roman" w:hAnsi="Times New Roman"/>
                <w:sz w:val="20"/>
                <w:szCs w:val="20"/>
                <w:lang w:eastAsia="sk-SK"/>
              </w:rPr>
            </w:pPr>
          </w:p>
        </w:tc>
      </w:tr>
      <w:tr w:rsidR="00E66F49" w:rsidRPr="00666914" w14:paraId="46893185" w14:textId="77777777" w:rsidTr="00D27F91">
        <w:trPr>
          <w:trHeight w:val="255"/>
        </w:trPr>
        <w:tc>
          <w:tcPr>
            <w:tcW w:w="0" w:type="auto"/>
            <w:gridSpan w:val="2"/>
            <w:tcBorders>
              <w:top w:val="single" w:sz="4" w:space="0" w:color="auto"/>
              <w:left w:val="nil"/>
              <w:bottom w:val="single" w:sz="4" w:space="0" w:color="auto"/>
              <w:right w:val="nil"/>
            </w:tcBorders>
            <w:shd w:val="clear" w:color="auto" w:fill="auto"/>
            <w:noWrap/>
            <w:vAlign w:val="center"/>
            <w:hideMark/>
          </w:tcPr>
          <w:p w14:paraId="670E3CDA"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podiel účastníkov  (% z počtu ped. zam.)</w:t>
            </w:r>
          </w:p>
        </w:tc>
        <w:tc>
          <w:tcPr>
            <w:tcW w:w="0" w:type="auto"/>
            <w:tcBorders>
              <w:top w:val="single" w:sz="4" w:space="0" w:color="auto"/>
              <w:left w:val="nil"/>
              <w:bottom w:val="single" w:sz="4" w:space="0" w:color="auto"/>
              <w:right w:val="nil"/>
            </w:tcBorders>
            <w:shd w:val="clear" w:color="auto" w:fill="auto"/>
            <w:noWrap/>
            <w:vAlign w:val="center"/>
            <w:hideMark/>
          </w:tcPr>
          <w:p w14:paraId="2841686A" w14:textId="00BFC64F"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17,80</w:t>
            </w:r>
            <w:r w:rsidR="00225174" w:rsidRPr="00666914">
              <w:rPr>
                <w:rFonts w:eastAsia="Times New Roman" w:cs="Calibri"/>
                <w:b/>
                <w:bCs/>
                <w:color w:val="000000"/>
                <w:sz w:val="20"/>
                <w:szCs w:val="20"/>
                <w:lang w:eastAsia="sk-SK"/>
              </w:rPr>
              <w:t xml:space="preserve"> </w:t>
            </w:r>
            <w:r w:rsidRPr="00666914">
              <w:rPr>
                <w:rFonts w:eastAsia="Times New Roman" w:cs="Calibri"/>
                <w:b/>
                <w:bCs/>
                <w:color w:val="000000"/>
                <w:sz w:val="20"/>
                <w:szCs w:val="20"/>
                <w:lang w:eastAsia="sk-SK"/>
              </w:rPr>
              <w:t>%</w:t>
            </w:r>
          </w:p>
        </w:tc>
        <w:tc>
          <w:tcPr>
            <w:tcW w:w="0" w:type="auto"/>
            <w:tcBorders>
              <w:top w:val="single" w:sz="4" w:space="0" w:color="auto"/>
              <w:left w:val="nil"/>
              <w:bottom w:val="single" w:sz="4" w:space="0" w:color="auto"/>
              <w:right w:val="nil"/>
            </w:tcBorders>
            <w:shd w:val="clear" w:color="auto" w:fill="auto"/>
            <w:noWrap/>
            <w:vAlign w:val="center"/>
            <w:hideMark/>
          </w:tcPr>
          <w:p w14:paraId="704F6F97"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c>
          <w:tcPr>
            <w:tcW w:w="0" w:type="auto"/>
            <w:tcBorders>
              <w:top w:val="single" w:sz="4" w:space="0" w:color="auto"/>
              <w:left w:val="nil"/>
              <w:bottom w:val="single" w:sz="4" w:space="0" w:color="auto"/>
              <w:right w:val="nil"/>
            </w:tcBorders>
            <w:shd w:val="clear" w:color="auto" w:fill="auto"/>
            <w:noWrap/>
            <w:vAlign w:val="center"/>
            <w:hideMark/>
          </w:tcPr>
          <w:p w14:paraId="3278DFD4" w14:textId="5A427ADE"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18,10</w:t>
            </w:r>
            <w:r w:rsidR="00225174" w:rsidRPr="00666914">
              <w:rPr>
                <w:rFonts w:eastAsia="Times New Roman" w:cs="Calibri"/>
                <w:b/>
                <w:bCs/>
                <w:color w:val="000000"/>
                <w:sz w:val="20"/>
                <w:szCs w:val="20"/>
                <w:lang w:eastAsia="sk-SK"/>
              </w:rPr>
              <w:t xml:space="preserve"> </w:t>
            </w:r>
            <w:r w:rsidRPr="00666914">
              <w:rPr>
                <w:rFonts w:eastAsia="Times New Roman" w:cs="Calibri"/>
                <w:b/>
                <w:bCs/>
                <w:color w:val="000000"/>
                <w:sz w:val="20"/>
                <w:szCs w:val="20"/>
                <w:lang w:eastAsia="sk-SK"/>
              </w:rPr>
              <w:t>%</w:t>
            </w:r>
          </w:p>
        </w:tc>
        <w:tc>
          <w:tcPr>
            <w:tcW w:w="0" w:type="auto"/>
            <w:tcBorders>
              <w:top w:val="single" w:sz="4" w:space="0" w:color="auto"/>
              <w:left w:val="nil"/>
              <w:bottom w:val="single" w:sz="4" w:space="0" w:color="auto"/>
              <w:right w:val="nil"/>
            </w:tcBorders>
            <w:shd w:val="clear" w:color="auto" w:fill="auto"/>
            <w:noWrap/>
            <w:vAlign w:val="center"/>
            <w:hideMark/>
          </w:tcPr>
          <w:p w14:paraId="622F981D"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c>
          <w:tcPr>
            <w:tcW w:w="0" w:type="auto"/>
            <w:tcBorders>
              <w:top w:val="single" w:sz="4" w:space="0" w:color="auto"/>
              <w:left w:val="nil"/>
              <w:bottom w:val="single" w:sz="4" w:space="0" w:color="auto"/>
              <w:right w:val="nil"/>
            </w:tcBorders>
            <w:shd w:val="clear" w:color="auto" w:fill="auto"/>
            <w:noWrap/>
            <w:vAlign w:val="center"/>
            <w:hideMark/>
          </w:tcPr>
          <w:p w14:paraId="56EB710B" w14:textId="76C68554"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18,90</w:t>
            </w:r>
            <w:r w:rsidR="00225174" w:rsidRPr="00666914">
              <w:rPr>
                <w:rFonts w:eastAsia="Times New Roman" w:cs="Calibri"/>
                <w:b/>
                <w:bCs/>
                <w:color w:val="000000"/>
                <w:sz w:val="20"/>
                <w:szCs w:val="20"/>
                <w:lang w:eastAsia="sk-SK"/>
              </w:rPr>
              <w:t xml:space="preserve"> </w:t>
            </w:r>
            <w:r w:rsidRPr="00666914">
              <w:rPr>
                <w:rFonts w:eastAsia="Times New Roman" w:cs="Calibri"/>
                <w:b/>
                <w:bCs/>
                <w:color w:val="000000"/>
                <w:sz w:val="20"/>
                <w:szCs w:val="20"/>
                <w:lang w:eastAsia="sk-SK"/>
              </w:rPr>
              <w:t>%</w:t>
            </w:r>
          </w:p>
        </w:tc>
        <w:tc>
          <w:tcPr>
            <w:tcW w:w="0" w:type="auto"/>
            <w:tcBorders>
              <w:top w:val="single" w:sz="4" w:space="0" w:color="auto"/>
              <w:left w:val="nil"/>
              <w:bottom w:val="single" w:sz="4" w:space="0" w:color="auto"/>
              <w:right w:val="nil"/>
            </w:tcBorders>
            <w:shd w:val="clear" w:color="auto" w:fill="auto"/>
            <w:noWrap/>
            <w:vAlign w:val="center"/>
            <w:hideMark/>
          </w:tcPr>
          <w:p w14:paraId="215C8B0A" w14:textId="77777777" w:rsidR="00E66F49" w:rsidRPr="00666914" w:rsidRDefault="00E66F49" w:rsidP="00D27F91">
            <w:pPr>
              <w:spacing w:after="0"/>
              <w:jc w:val="right"/>
              <w:rPr>
                <w:rFonts w:eastAsia="Times New Roman" w:cs="Calibri"/>
                <w:b/>
                <w:bCs/>
                <w:sz w:val="20"/>
                <w:szCs w:val="20"/>
                <w:lang w:eastAsia="sk-SK"/>
              </w:rPr>
            </w:pPr>
            <w:r w:rsidRPr="00666914">
              <w:rPr>
                <w:rFonts w:eastAsia="Times New Roman" w:cs="Calibri"/>
                <w:b/>
                <w:bCs/>
                <w:sz w:val="20"/>
                <w:szCs w:val="20"/>
                <w:lang w:eastAsia="sk-SK"/>
              </w:rPr>
              <w:t> </w:t>
            </w:r>
          </w:p>
        </w:tc>
        <w:tc>
          <w:tcPr>
            <w:tcW w:w="0" w:type="auto"/>
            <w:tcBorders>
              <w:top w:val="single" w:sz="4" w:space="0" w:color="auto"/>
              <w:left w:val="nil"/>
              <w:bottom w:val="single" w:sz="4" w:space="0" w:color="auto"/>
              <w:right w:val="nil"/>
            </w:tcBorders>
            <w:shd w:val="clear" w:color="auto" w:fill="auto"/>
            <w:noWrap/>
            <w:vAlign w:val="center"/>
            <w:hideMark/>
          </w:tcPr>
          <w:p w14:paraId="764EC284" w14:textId="34ADFDAB" w:rsidR="00E66F49" w:rsidRPr="00666914" w:rsidRDefault="00E66F49" w:rsidP="00D27F91">
            <w:pPr>
              <w:spacing w:after="0"/>
              <w:jc w:val="right"/>
              <w:rPr>
                <w:rFonts w:eastAsia="Times New Roman" w:cs="Calibri"/>
                <w:b/>
                <w:bCs/>
                <w:sz w:val="20"/>
                <w:szCs w:val="20"/>
                <w:lang w:eastAsia="sk-SK"/>
              </w:rPr>
            </w:pPr>
            <w:r w:rsidRPr="00666914">
              <w:rPr>
                <w:rFonts w:eastAsia="Times New Roman" w:cs="Calibri"/>
                <w:b/>
                <w:bCs/>
                <w:sz w:val="20"/>
                <w:szCs w:val="20"/>
                <w:lang w:eastAsia="sk-SK"/>
              </w:rPr>
              <w:t>11,20</w:t>
            </w:r>
            <w:r w:rsidR="00225174" w:rsidRPr="00666914">
              <w:rPr>
                <w:rFonts w:eastAsia="Times New Roman" w:cs="Calibri"/>
                <w:b/>
                <w:bCs/>
                <w:sz w:val="20"/>
                <w:szCs w:val="20"/>
                <w:lang w:eastAsia="sk-SK"/>
              </w:rPr>
              <w:t xml:space="preserve"> </w:t>
            </w:r>
            <w:r w:rsidRPr="00666914">
              <w:rPr>
                <w:rFonts w:eastAsia="Times New Roman" w:cs="Calibri"/>
                <w:b/>
                <w:bCs/>
                <w:sz w:val="20"/>
                <w:szCs w:val="20"/>
                <w:lang w:eastAsia="sk-SK"/>
              </w:rPr>
              <w:t>%</w:t>
            </w:r>
          </w:p>
        </w:tc>
      </w:tr>
      <w:tr w:rsidR="00E66F49" w:rsidRPr="00666914" w14:paraId="233025CB" w14:textId="77777777" w:rsidTr="00D27F91">
        <w:trPr>
          <w:trHeight w:val="270"/>
        </w:trPr>
        <w:tc>
          <w:tcPr>
            <w:tcW w:w="0" w:type="auto"/>
            <w:tcBorders>
              <w:top w:val="single" w:sz="4" w:space="0" w:color="auto"/>
              <w:left w:val="nil"/>
              <w:bottom w:val="nil"/>
              <w:right w:val="nil"/>
            </w:tcBorders>
            <w:shd w:val="clear" w:color="auto" w:fill="auto"/>
            <w:noWrap/>
            <w:vAlign w:val="center"/>
            <w:hideMark/>
          </w:tcPr>
          <w:p w14:paraId="183DA6FE" w14:textId="77777777" w:rsidR="00E66F49" w:rsidRPr="00666914" w:rsidRDefault="00E66F49" w:rsidP="00D27F91">
            <w:pPr>
              <w:spacing w:after="0"/>
              <w:jc w:val="right"/>
              <w:rPr>
                <w:rFonts w:eastAsia="Times New Roman" w:cs="Calibri"/>
                <w:b/>
                <w:bCs/>
                <w:sz w:val="20"/>
                <w:szCs w:val="20"/>
                <w:lang w:eastAsia="sk-SK"/>
              </w:rPr>
            </w:pPr>
          </w:p>
        </w:tc>
        <w:tc>
          <w:tcPr>
            <w:tcW w:w="0" w:type="auto"/>
            <w:tcBorders>
              <w:top w:val="single" w:sz="4" w:space="0" w:color="auto"/>
              <w:left w:val="nil"/>
              <w:bottom w:val="nil"/>
              <w:right w:val="nil"/>
            </w:tcBorders>
            <w:shd w:val="clear" w:color="auto" w:fill="auto"/>
            <w:noWrap/>
            <w:vAlign w:val="center"/>
            <w:hideMark/>
          </w:tcPr>
          <w:p w14:paraId="103C126D" w14:textId="77777777" w:rsidR="00E66F49" w:rsidRPr="00666914" w:rsidRDefault="00E66F49" w:rsidP="00D27F91">
            <w:pPr>
              <w:spacing w:after="0"/>
              <w:jc w:val="left"/>
              <w:rPr>
                <w:rFonts w:ascii="Times New Roman" w:eastAsia="Times New Roman" w:hAnsi="Times New Roman"/>
                <w:sz w:val="20"/>
                <w:szCs w:val="20"/>
                <w:lang w:eastAsia="sk-SK"/>
              </w:rPr>
            </w:pPr>
          </w:p>
        </w:tc>
        <w:tc>
          <w:tcPr>
            <w:tcW w:w="0" w:type="auto"/>
            <w:tcBorders>
              <w:top w:val="single" w:sz="4" w:space="0" w:color="auto"/>
              <w:left w:val="nil"/>
              <w:bottom w:val="nil"/>
              <w:right w:val="nil"/>
            </w:tcBorders>
            <w:shd w:val="clear" w:color="auto" w:fill="auto"/>
            <w:noWrap/>
            <w:vAlign w:val="center"/>
            <w:hideMark/>
          </w:tcPr>
          <w:p w14:paraId="6B9BA341" w14:textId="77777777" w:rsidR="00E66F49" w:rsidRPr="00666914" w:rsidRDefault="00E66F49" w:rsidP="00D27F91">
            <w:pPr>
              <w:spacing w:after="0"/>
              <w:jc w:val="left"/>
              <w:rPr>
                <w:rFonts w:ascii="Times New Roman" w:eastAsia="Times New Roman" w:hAnsi="Times New Roman"/>
                <w:sz w:val="20"/>
                <w:szCs w:val="20"/>
                <w:lang w:eastAsia="sk-SK"/>
              </w:rPr>
            </w:pPr>
          </w:p>
        </w:tc>
        <w:tc>
          <w:tcPr>
            <w:tcW w:w="0" w:type="auto"/>
            <w:tcBorders>
              <w:top w:val="single" w:sz="4" w:space="0" w:color="auto"/>
              <w:left w:val="nil"/>
              <w:bottom w:val="nil"/>
              <w:right w:val="nil"/>
            </w:tcBorders>
            <w:shd w:val="clear" w:color="auto" w:fill="auto"/>
            <w:noWrap/>
            <w:vAlign w:val="center"/>
            <w:hideMark/>
          </w:tcPr>
          <w:p w14:paraId="4CD2F5A4" w14:textId="77777777" w:rsidR="00E66F49" w:rsidRPr="00666914" w:rsidRDefault="00E66F49" w:rsidP="00D27F91">
            <w:pPr>
              <w:spacing w:after="0"/>
              <w:jc w:val="left"/>
              <w:rPr>
                <w:rFonts w:ascii="Times New Roman" w:eastAsia="Times New Roman" w:hAnsi="Times New Roman"/>
                <w:sz w:val="20"/>
                <w:szCs w:val="20"/>
                <w:lang w:eastAsia="sk-SK"/>
              </w:rPr>
            </w:pPr>
          </w:p>
        </w:tc>
        <w:tc>
          <w:tcPr>
            <w:tcW w:w="0" w:type="auto"/>
            <w:tcBorders>
              <w:top w:val="single" w:sz="4" w:space="0" w:color="auto"/>
              <w:left w:val="nil"/>
              <w:bottom w:val="nil"/>
              <w:right w:val="nil"/>
            </w:tcBorders>
            <w:shd w:val="clear" w:color="auto" w:fill="auto"/>
            <w:noWrap/>
            <w:vAlign w:val="center"/>
            <w:hideMark/>
          </w:tcPr>
          <w:p w14:paraId="54266653" w14:textId="77777777" w:rsidR="00E66F49" w:rsidRPr="00666914" w:rsidRDefault="00E66F49" w:rsidP="00D27F91">
            <w:pPr>
              <w:spacing w:after="0"/>
              <w:jc w:val="left"/>
              <w:rPr>
                <w:rFonts w:ascii="Times New Roman" w:eastAsia="Times New Roman" w:hAnsi="Times New Roman"/>
                <w:sz w:val="20"/>
                <w:szCs w:val="20"/>
                <w:lang w:eastAsia="sk-SK"/>
              </w:rPr>
            </w:pPr>
          </w:p>
        </w:tc>
        <w:tc>
          <w:tcPr>
            <w:tcW w:w="0" w:type="auto"/>
            <w:gridSpan w:val="2"/>
            <w:tcBorders>
              <w:top w:val="single" w:sz="4" w:space="0" w:color="auto"/>
              <w:left w:val="nil"/>
              <w:bottom w:val="nil"/>
              <w:right w:val="nil"/>
            </w:tcBorders>
            <w:shd w:val="clear" w:color="auto" w:fill="auto"/>
            <w:noWrap/>
            <w:vAlign w:val="center"/>
            <w:hideMark/>
          </w:tcPr>
          <w:p w14:paraId="60305E82" w14:textId="77777777" w:rsidR="00E66F49" w:rsidRPr="00666914" w:rsidRDefault="00E66F49" w:rsidP="00D27F91">
            <w:pPr>
              <w:spacing w:after="0"/>
              <w:jc w:val="left"/>
              <w:rPr>
                <w:rFonts w:ascii="Times New Roman" w:eastAsia="Times New Roman" w:hAnsi="Times New Roman"/>
                <w:sz w:val="20"/>
                <w:szCs w:val="20"/>
                <w:lang w:eastAsia="sk-SK"/>
              </w:rPr>
            </w:pPr>
          </w:p>
        </w:tc>
        <w:tc>
          <w:tcPr>
            <w:tcW w:w="0" w:type="auto"/>
            <w:gridSpan w:val="2"/>
            <w:tcBorders>
              <w:top w:val="single" w:sz="4" w:space="0" w:color="auto"/>
              <w:left w:val="nil"/>
              <w:bottom w:val="nil"/>
              <w:right w:val="nil"/>
            </w:tcBorders>
            <w:shd w:val="clear" w:color="auto" w:fill="auto"/>
            <w:noWrap/>
            <w:vAlign w:val="center"/>
            <w:hideMark/>
          </w:tcPr>
          <w:p w14:paraId="3AA691B2" w14:textId="77777777" w:rsidR="00E66F49" w:rsidRPr="00666914" w:rsidRDefault="00E66F49" w:rsidP="00D27F91">
            <w:pPr>
              <w:spacing w:after="0"/>
              <w:jc w:val="right"/>
              <w:rPr>
                <w:rFonts w:eastAsia="Times New Roman" w:cs="Calibri"/>
                <w:i/>
                <w:iCs/>
                <w:color w:val="000000"/>
                <w:sz w:val="18"/>
                <w:szCs w:val="18"/>
                <w:lang w:eastAsia="sk-SK"/>
              </w:rPr>
            </w:pPr>
            <w:r w:rsidRPr="00666914">
              <w:rPr>
                <w:rFonts w:eastAsia="Times New Roman" w:cs="Calibri"/>
                <w:i/>
                <w:iCs/>
                <w:color w:val="000000"/>
                <w:sz w:val="18"/>
                <w:szCs w:val="18"/>
                <w:lang w:eastAsia="sk-SK"/>
              </w:rPr>
              <w:t xml:space="preserve">Zdroj: MPC </w:t>
            </w:r>
          </w:p>
        </w:tc>
      </w:tr>
    </w:tbl>
    <w:p w14:paraId="0926A535" w14:textId="77777777" w:rsidR="00E66F49" w:rsidRPr="00666914" w:rsidRDefault="00E66F49" w:rsidP="00D27F91">
      <w:pPr>
        <w:spacing w:after="0"/>
        <w:rPr>
          <w:i/>
          <w:sz w:val="18"/>
          <w:szCs w:val="18"/>
        </w:rPr>
      </w:pPr>
      <w:r w:rsidRPr="00666914">
        <w:rPr>
          <w:i/>
          <w:sz w:val="18"/>
          <w:szCs w:val="18"/>
        </w:rPr>
        <w:t>Pozn: Podiel účastníkov v roku 2019 je počítaný z počtu učiteľov v šk. roku 2018/2019.</w:t>
      </w:r>
      <w:r w:rsidRPr="00666914">
        <w:rPr>
          <w:i/>
          <w:sz w:val="18"/>
          <w:szCs w:val="18"/>
        </w:rPr>
        <w:tab/>
      </w:r>
    </w:p>
    <w:p w14:paraId="2A9C882B" w14:textId="77777777" w:rsidR="00E66F49" w:rsidRPr="00666914" w:rsidRDefault="00E66F49" w:rsidP="00D27F91">
      <w:pPr>
        <w:spacing w:after="0"/>
        <w:rPr>
          <w:i/>
          <w:sz w:val="18"/>
          <w:szCs w:val="18"/>
        </w:rPr>
      </w:pPr>
    </w:p>
    <w:p w14:paraId="5220B003" w14:textId="67425743" w:rsidR="00E66F49" w:rsidRPr="00666914" w:rsidRDefault="00E66F49" w:rsidP="00D27F91">
      <w:pPr>
        <w:spacing w:after="0"/>
        <w:rPr>
          <w:szCs w:val="24"/>
        </w:rPr>
      </w:pPr>
      <w:r w:rsidRPr="00666914">
        <w:rPr>
          <w:szCs w:val="24"/>
        </w:rPr>
        <w:t xml:space="preserve">Čo sa týka neakreditovaných foriem vzdelávania, medziročný nárast počtu účastníkov o 28 % (tabuľka </w:t>
      </w:r>
      <w:r w:rsidR="00225174" w:rsidRPr="00666914">
        <w:rPr>
          <w:szCs w:val="24"/>
        </w:rPr>
        <w:t>5</w:t>
      </w:r>
      <w:r w:rsidR="00EB2C64" w:rsidRPr="00666914">
        <w:rPr>
          <w:szCs w:val="24"/>
        </w:rPr>
        <w:t>8</w:t>
      </w:r>
      <w:r w:rsidRPr="00666914">
        <w:rPr>
          <w:szCs w:val="24"/>
        </w:rPr>
        <w:t>) v roku 2019 bol spôsobený hlavne poskytovaním vzdelávacích podujatí pre vedúcich pedagógov v 4Q2019, ktoré boli zamerané na uplatnenie nových legislatívnych predpisov do procesov školy.</w:t>
      </w:r>
    </w:p>
    <w:p w14:paraId="4B0D4D7D" w14:textId="77777777" w:rsidR="00E66F49" w:rsidRPr="00666914" w:rsidRDefault="00E66F49" w:rsidP="00D27F91">
      <w:pPr>
        <w:spacing w:after="0"/>
        <w:rPr>
          <w:b/>
        </w:rPr>
      </w:pPr>
      <w:r w:rsidRPr="00666914">
        <w:rPr>
          <w:b/>
        </w:rPr>
        <w:tab/>
      </w:r>
      <w:r w:rsidRPr="00666914">
        <w:rPr>
          <w:b/>
        </w:rPr>
        <w:tab/>
      </w:r>
      <w:r w:rsidRPr="00666914">
        <w:rPr>
          <w:b/>
        </w:rPr>
        <w:tab/>
      </w:r>
    </w:p>
    <w:p w14:paraId="58628B8D" w14:textId="053F00F9" w:rsidR="00E66F49" w:rsidRPr="00666914" w:rsidRDefault="00E66F49" w:rsidP="00011841">
      <w:pPr>
        <w:pStyle w:val="tabulka"/>
        <w:pBdr>
          <w:bottom w:val="none" w:sz="0" w:space="0" w:color="auto"/>
        </w:pBdr>
      </w:pPr>
      <w:bookmarkStart w:id="298" w:name="_Toc21522814"/>
      <w:bookmarkStart w:id="299" w:name="_Toc38447719"/>
      <w:r w:rsidRPr="00666914">
        <w:t xml:space="preserve">Tabuľka </w:t>
      </w:r>
      <w:r w:rsidR="00032A13">
        <w:rPr>
          <w:noProof/>
        </w:rPr>
        <w:fldChar w:fldCharType="begin"/>
      </w:r>
      <w:r w:rsidR="00032A13">
        <w:rPr>
          <w:noProof/>
        </w:rPr>
        <w:instrText xml:space="preserve"> SEQ Tabuľka \* ARABIC \* MERGEFORMAT </w:instrText>
      </w:r>
      <w:r w:rsidR="00032A13">
        <w:rPr>
          <w:noProof/>
        </w:rPr>
        <w:fldChar w:fldCharType="separate"/>
      </w:r>
      <w:r w:rsidR="005A7304">
        <w:rPr>
          <w:noProof/>
        </w:rPr>
        <w:t>58</w:t>
      </w:r>
      <w:r w:rsidR="00032A13">
        <w:rPr>
          <w:noProof/>
        </w:rPr>
        <w:fldChar w:fldCharType="end"/>
      </w:r>
      <w:r w:rsidRPr="00666914">
        <w:t>: Neakreditované formy vzdelávania (NFV)</w:t>
      </w:r>
      <w:bookmarkEnd w:id="298"/>
      <w:r w:rsidRPr="00666914">
        <w:t xml:space="preserve"> v MPC</w:t>
      </w:r>
      <w:bookmarkEnd w:id="299"/>
    </w:p>
    <w:tbl>
      <w:tblPr>
        <w:tblW w:w="0" w:type="auto"/>
        <w:tblInd w:w="-5" w:type="dxa"/>
        <w:tblCellMar>
          <w:left w:w="70" w:type="dxa"/>
          <w:right w:w="70" w:type="dxa"/>
        </w:tblCellMar>
        <w:tblLook w:val="04A0" w:firstRow="1" w:lastRow="0" w:firstColumn="1" w:lastColumn="0" w:noHBand="0" w:noVBand="1"/>
      </w:tblPr>
      <w:tblGrid>
        <w:gridCol w:w="557"/>
        <w:gridCol w:w="667"/>
        <w:gridCol w:w="1372"/>
        <w:gridCol w:w="815"/>
        <w:gridCol w:w="1372"/>
        <w:gridCol w:w="815"/>
        <w:gridCol w:w="1343"/>
        <w:gridCol w:w="799"/>
        <w:gridCol w:w="1372"/>
      </w:tblGrid>
      <w:tr w:rsidR="00E66F49" w:rsidRPr="00666914" w14:paraId="795BE6EF" w14:textId="77777777" w:rsidTr="00D27F91">
        <w:trPr>
          <w:trHeight w:val="255"/>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08394" w14:textId="77777777" w:rsidR="00E66F49" w:rsidRPr="00666914" w:rsidRDefault="00E66F49" w:rsidP="00D27F91">
            <w:pPr>
              <w:spacing w:after="0"/>
              <w:jc w:val="left"/>
              <w:rPr>
                <w:rFonts w:eastAsia="Times New Roman" w:cs="Calibri"/>
                <w:b/>
                <w:bCs/>
                <w:sz w:val="20"/>
                <w:szCs w:val="20"/>
                <w:lang w:eastAsia="sk-SK"/>
              </w:rPr>
            </w:pPr>
            <w:r w:rsidRPr="00666914">
              <w:rPr>
                <w:rFonts w:eastAsia="Times New Roman" w:cs="Calibri"/>
                <w:b/>
                <w:bCs/>
                <w:sz w:val="20"/>
                <w:szCs w:val="20"/>
                <w:lang w:eastAsia="sk-SK"/>
              </w:rPr>
              <w:t xml:space="preserve">Rok </w:t>
            </w:r>
          </w:p>
        </w:tc>
        <w:tc>
          <w:tcPr>
            <w:tcW w:w="2028" w:type="dxa"/>
            <w:gridSpan w:val="2"/>
            <w:tcBorders>
              <w:top w:val="single" w:sz="4" w:space="0" w:color="auto"/>
              <w:left w:val="nil"/>
              <w:bottom w:val="nil"/>
              <w:right w:val="single" w:sz="4" w:space="0" w:color="auto"/>
            </w:tcBorders>
            <w:shd w:val="clear" w:color="auto" w:fill="auto"/>
            <w:noWrap/>
            <w:vAlign w:val="center"/>
            <w:hideMark/>
          </w:tcPr>
          <w:p w14:paraId="5E14990F" w14:textId="77777777" w:rsidR="00E66F49" w:rsidRPr="00666914" w:rsidRDefault="00E66F49" w:rsidP="00D27F91">
            <w:pPr>
              <w:spacing w:after="0"/>
              <w:jc w:val="center"/>
              <w:rPr>
                <w:rFonts w:eastAsia="Times New Roman" w:cs="Calibri"/>
                <w:b/>
                <w:bCs/>
                <w:sz w:val="20"/>
                <w:szCs w:val="20"/>
                <w:lang w:eastAsia="sk-SK"/>
              </w:rPr>
            </w:pPr>
            <w:r w:rsidRPr="00666914">
              <w:rPr>
                <w:rFonts w:eastAsia="Times New Roman" w:cs="Calibri"/>
                <w:b/>
                <w:bCs/>
                <w:sz w:val="20"/>
                <w:szCs w:val="20"/>
                <w:lang w:eastAsia="sk-SK"/>
              </w:rPr>
              <w:t>2016</w:t>
            </w:r>
          </w:p>
        </w:tc>
        <w:tc>
          <w:tcPr>
            <w:tcW w:w="0" w:type="auto"/>
            <w:gridSpan w:val="2"/>
            <w:tcBorders>
              <w:top w:val="single" w:sz="4" w:space="0" w:color="auto"/>
              <w:left w:val="nil"/>
              <w:bottom w:val="nil"/>
              <w:right w:val="single" w:sz="4" w:space="0" w:color="auto"/>
            </w:tcBorders>
            <w:shd w:val="clear" w:color="auto" w:fill="auto"/>
            <w:noWrap/>
            <w:vAlign w:val="center"/>
            <w:hideMark/>
          </w:tcPr>
          <w:p w14:paraId="5740BB8D" w14:textId="77777777" w:rsidR="00E66F49" w:rsidRPr="00666914" w:rsidRDefault="00E66F49" w:rsidP="00D27F91">
            <w:pPr>
              <w:spacing w:after="0"/>
              <w:jc w:val="center"/>
              <w:rPr>
                <w:rFonts w:eastAsia="Times New Roman" w:cs="Calibri"/>
                <w:b/>
                <w:bCs/>
                <w:sz w:val="20"/>
                <w:szCs w:val="20"/>
                <w:lang w:eastAsia="sk-SK"/>
              </w:rPr>
            </w:pPr>
            <w:r w:rsidRPr="00666914">
              <w:rPr>
                <w:rFonts w:eastAsia="Times New Roman" w:cs="Calibri"/>
                <w:b/>
                <w:bCs/>
                <w:sz w:val="20"/>
                <w:szCs w:val="20"/>
                <w:lang w:eastAsia="sk-SK"/>
              </w:rPr>
              <w:t>2017</w:t>
            </w:r>
          </w:p>
        </w:tc>
        <w:tc>
          <w:tcPr>
            <w:tcW w:w="2152" w:type="dxa"/>
            <w:gridSpan w:val="2"/>
            <w:tcBorders>
              <w:top w:val="single" w:sz="4" w:space="0" w:color="auto"/>
              <w:left w:val="nil"/>
              <w:bottom w:val="nil"/>
              <w:right w:val="single" w:sz="4" w:space="0" w:color="auto"/>
            </w:tcBorders>
            <w:shd w:val="clear" w:color="auto" w:fill="auto"/>
            <w:noWrap/>
            <w:vAlign w:val="center"/>
            <w:hideMark/>
          </w:tcPr>
          <w:p w14:paraId="6967E7A9" w14:textId="77777777" w:rsidR="00E66F49" w:rsidRPr="00666914" w:rsidRDefault="00E66F49" w:rsidP="00D27F91">
            <w:pPr>
              <w:spacing w:after="0"/>
              <w:jc w:val="center"/>
              <w:rPr>
                <w:rFonts w:eastAsia="Times New Roman" w:cs="Calibri"/>
                <w:b/>
                <w:bCs/>
                <w:sz w:val="20"/>
                <w:szCs w:val="20"/>
                <w:lang w:eastAsia="sk-SK"/>
              </w:rPr>
            </w:pPr>
            <w:r w:rsidRPr="00666914">
              <w:rPr>
                <w:rFonts w:eastAsia="Times New Roman" w:cs="Calibri"/>
                <w:b/>
                <w:bCs/>
                <w:sz w:val="20"/>
                <w:szCs w:val="20"/>
                <w:lang w:eastAsia="sk-SK"/>
              </w:rPr>
              <w:t>2018</w:t>
            </w:r>
          </w:p>
        </w:tc>
        <w:tc>
          <w:tcPr>
            <w:tcW w:w="2160" w:type="dxa"/>
            <w:gridSpan w:val="2"/>
            <w:tcBorders>
              <w:top w:val="single" w:sz="4" w:space="0" w:color="auto"/>
              <w:left w:val="nil"/>
              <w:bottom w:val="nil"/>
              <w:right w:val="single" w:sz="4" w:space="0" w:color="auto"/>
            </w:tcBorders>
            <w:shd w:val="clear" w:color="auto" w:fill="auto"/>
            <w:noWrap/>
            <w:vAlign w:val="center"/>
            <w:hideMark/>
          </w:tcPr>
          <w:p w14:paraId="522F3D9F" w14:textId="77777777" w:rsidR="00E66F49" w:rsidRPr="00666914" w:rsidRDefault="00E66F49" w:rsidP="00D27F91">
            <w:pPr>
              <w:spacing w:after="0"/>
              <w:jc w:val="center"/>
              <w:rPr>
                <w:rFonts w:eastAsia="Times New Roman" w:cs="Calibri"/>
                <w:b/>
                <w:bCs/>
                <w:sz w:val="20"/>
                <w:szCs w:val="20"/>
                <w:lang w:eastAsia="sk-SK"/>
              </w:rPr>
            </w:pPr>
            <w:r w:rsidRPr="00666914">
              <w:rPr>
                <w:rFonts w:eastAsia="Times New Roman" w:cs="Calibri"/>
                <w:b/>
                <w:bCs/>
                <w:sz w:val="20"/>
                <w:szCs w:val="20"/>
                <w:lang w:eastAsia="sk-SK"/>
              </w:rPr>
              <w:t>2019</w:t>
            </w:r>
          </w:p>
        </w:tc>
      </w:tr>
      <w:tr w:rsidR="00E66F49" w:rsidRPr="00666914" w14:paraId="2955C9A6" w14:textId="77777777" w:rsidTr="00D27F91">
        <w:trPr>
          <w:trHeight w:val="255"/>
        </w:trPr>
        <w:tc>
          <w:tcPr>
            <w:tcW w:w="557" w:type="dxa"/>
            <w:vMerge w:val="restart"/>
            <w:tcBorders>
              <w:top w:val="nil"/>
              <w:left w:val="single" w:sz="4" w:space="0" w:color="auto"/>
              <w:bottom w:val="single" w:sz="4" w:space="0" w:color="000000"/>
              <w:right w:val="nil"/>
            </w:tcBorders>
            <w:shd w:val="clear" w:color="auto" w:fill="auto"/>
            <w:noWrap/>
            <w:vAlign w:val="center"/>
            <w:hideMark/>
          </w:tcPr>
          <w:p w14:paraId="55B7476C" w14:textId="77777777" w:rsidR="00E66F49" w:rsidRPr="00666914" w:rsidRDefault="00E66F49" w:rsidP="00D27F91">
            <w:pPr>
              <w:spacing w:after="0"/>
              <w:jc w:val="center"/>
              <w:rPr>
                <w:rFonts w:eastAsia="Times New Roman" w:cs="Calibri"/>
                <w:sz w:val="20"/>
                <w:szCs w:val="20"/>
                <w:lang w:eastAsia="sk-SK"/>
              </w:rPr>
            </w:pPr>
            <w:r w:rsidRPr="00666914">
              <w:rPr>
                <w:rFonts w:eastAsia="Times New Roman" w:cs="Calibri"/>
                <w:sz w:val="20"/>
                <w:szCs w:val="20"/>
                <w:lang w:eastAsia="sk-SK"/>
              </w:rPr>
              <w:t> </w:t>
            </w:r>
          </w:p>
        </w:tc>
        <w:tc>
          <w:tcPr>
            <w:tcW w:w="667" w:type="dxa"/>
            <w:tcBorders>
              <w:top w:val="single" w:sz="4" w:space="0" w:color="auto"/>
              <w:left w:val="single" w:sz="4" w:space="0" w:color="auto"/>
              <w:bottom w:val="nil"/>
              <w:right w:val="nil"/>
            </w:tcBorders>
            <w:shd w:val="clear" w:color="auto" w:fill="auto"/>
            <w:noWrap/>
            <w:vAlign w:val="center"/>
            <w:hideMark/>
          </w:tcPr>
          <w:p w14:paraId="733BE9F3" w14:textId="77777777" w:rsidR="00E66F49" w:rsidRPr="00666914" w:rsidRDefault="00E66F49" w:rsidP="00D27F91">
            <w:pPr>
              <w:spacing w:after="0"/>
              <w:jc w:val="center"/>
              <w:rPr>
                <w:rFonts w:eastAsia="Times New Roman" w:cs="Calibri"/>
                <w:sz w:val="20"/>
                <w:szCs w:val="20"/>
                <w:lang w:eastAsia="sk-SK"/>
              </w:rPr>
            </w:pPr>
            <w:r w:rsidRPr="00666914">
              <w:rPr>
                <w:rFonts w:eastAsia="Times New Roman" w:cs="Calibri"/>
                <w:sz w:val="20"/>
                <w:szCs w:val="20"/>
                <w:lang w:eastAsia="sk-SK"/>
              </w:rPr>
              <w:t xml:space="preserve">počet dní </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5C8B08CF" w14:textId="77777777" w:rsidR="00E66F49" w:rsidRPr="00666914" w:rsidRDefault="00E66F49" w:rsidP="00D27F91">
            <w:pPr>
              <w:spacing w:after="0"/>
              <w:jc w:val="center"/>
              <w:rPr>
                <w:rFonts w:eastAsia="Times New Roman" w:cs="Calibri"/>
                <w:sz w:val="20"/>
                <w:szCs w:val="20"/>
                <w:lang w:eastAsia="sk-SK"/>
              </w:rPr>
            </w:pPr>
            <w:r w:rsidRPr="00666914">
              <w:rPr>
                <w:rFonts w:eastAsia="Times New Roman" w:cs="Calibri"/>
                <w:sz w:val="20"/>
                <w:szCs w:val="20"/>
                <w:lang w:eastAsia="sk-SK"/>
              </w:rPr>
              <w:t xml:space="preserve">počet účastníkov </w:t>
            </w:r>
          </w:p>
        </w:tc>
        <w:tc>
          <w:tcPr>
            <w:tcW w:w="0" w:type="auto"/>
            <w:tcBorders>
              <w:top w:val="single" w:sz="4" w:space="0" w:color="auto"/>
              <w:left w:val="nil"/>
              <w:bottom w:val="nil"/>
              <w:right w:val="nil"/>
            </w:tcBorders>
            <w:shd w:val="clear" w:color="auto" w:fill="auto"/>
            <w:noWrap/>
            <w:vAlign w:val="center"/>
            <w:hideMark/>
          </w:tcPr>
          <w:p w14:paraId="5CDDDF04" w14:textId="77777777" w:rsidR="00E66F49" w:rsidRPr="00666914" w:rsidRDefault="00E66F49" w:rsidP="00D27F91">
            <w:pPr>
              <w:spacing w:after="0"/>
              <w:jc w:val="center"/>
              <w:rPr>
                <w:rFonts w:eastAsia="Times New Roman" w:cs="Calibri"/>
                <w:sz w:val="20"/>
                <w:szCs w:val="20"/>
                <w:lang w:eastAsia="sk-SK"/>
              </w:rPr>
            </w:pPr>
            <w:r w:rsidRPr="00666914">
              <w:rPr>
                <w:rFonts w:eastAsia="Times New Roman" w:cs="Calibri"/>
                <w:sz w:val="20"/>
                <w:szCs w:val="20"/>
                <w:lang w:eastAsia="sk-SK"/>
              </w:rPr>
              <w:t xml:space="preserve">počet dní </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46C172EC" w14:textId="77777777" w:rsidR="00E66F49" w:rsidRPr="00666914" w:rsidRDefault="00E66F49" w:rsidP="00D27F91">
            <w:pPr>
              <w:spacing w:after="0"/>
              <w:jc w:val="center"/>
              <w:rPr>
                <w:rFonts w:eastAsia="Times New Roman" w:cs="Calibri"/>
                <w:sz w:val="20"/>
                <w:szCs w:val="20"/>
                <w:lang w:eastAsia="sk-SK"/>
              </w:rPr>
            </w:pPr>
            <w:r w:rsidRPr="00666914">
              <w:rPr>
                <w:rFonts w:eastAsia="Times New Roman" w:cs="Calibri"/>
                <w:sz w:val="20"/>
                <w:szCs w:val="20"/>
                <w:lang w:eastAsia="sk-SK"/>
              </w:rPr>
              <w:t xml:space="preserve">počet účastníkov </w:t>
            </w:r>
          </w:p>
        </w:tc>
        <w:tc>
          <w:tcPr>
            <w:tcW w:w="0" w:type="auto"/>
            <w:tcBorders>
              <w:top w:val="single" w:sz="4" w:space="0" w:color="auto"/>
              <w:left w:val="nil"/>
              <w:bottom w:val="nil"/>
              <w:right w:val="nil"/>
            </w:tcBorders>
            <w:shd w:val="clear" w:color="auto" w:fill="auto"/>
            <w:noWrap/>
            <w:vAlign w:val="center"/>
            <w:hideMark/>
          </w:tcPr>
          <w:p w14:paraId="066292BE" w14:textId="77777777" w:rsidR="00E66F49" w:rsidRPr="00666914" w:rsidRDefault="00E66F49" w:rsidP="00D27F91">
            <w:pPr>
              <w:spacing w:after="0"/>
              <w:jc w:val="center"/>
              <w:rPr>
                <w:rFonts w:eastAsia="Times New Roman" w:cs="Calibri"/>
                <w:sz w:val="20"/>
                <w:szCs w:val="20"/>
                <w:lang w:eastAsia="sk-SK"/>
              </w:rPr>
            </w:pPr>
            <w:r w:rsidRPr="00666914">
              <w:rPr>
                <w:rFonts w:eastAsia="Times New Roman" w:cs="Calibri"/>
                <w:sz w:val="20"/>
                <w:szCs w:val="20"/>
                <w:lang w:eastAsia="sk-SK"/>
              </w:rPr>
              <w:t xml:space="preserve">počet dní </w:t>
            </w:r>
          </w:p>
        </w:tc>
        <w:tc>
          <w:tcPr>
            <w:tcW w:w="1343" w:type="dxa"/>
            <w:tcBorders>
              <w:top w:val="single" w:sz="4" w:space="0" w:color="auto"/>
              <w:left w:val="single" w:sz="4" w:space="0" w:color="auto"/>
              <w:bottom w:val="nil"/>
              <w:right w:val="single" w:sz="4" w:space="0" w:color="auto"/>
            </w:tcBorders>
            <w:shd w:val="clear" w:color="auto" w:fill="auto"/>
            <w:noWrap/>
            <w:vAlign w:val="center"/>
            <w:hideMark/>
          </w:tcPr>
          <w:p w14:paraId="0EA42FAF" w14:textId="77777777" w:rsidR="00E66F49" w:rsidRPr="00666914" w:rsidRDefault="00E66F49" w:rsidP="00D27F91">
            <w:pPr>
              <w:spacing w:after="0"/>
              <w:jc w:val="center"/>
              <w:rPr>
                <w:rFonts w:eastAsia="Times New Roman" w:cs="Calibri"/>
                <w:sz w:val="20"/>
                <w:szCs w:val="20"/>
                <w:lang w:eastAsia="sk-SK"/>
              </w:rPr>
            </w:pPr>
            <w:r w:rsidRPr="00666914">
              <w:rPr>
                <w:rFonts w:eastAsia="Times New Roman" w:cs="Calibri"/>
                <w:sz w:val="20"/>
                <w:szCs w:val="20"/>
                <w:lang w:eastAsia="sk-SK"/>
              </w:rPr>
              <w:t xml:space="preserve">počet účastníkov </w:t>
            </w:r>
          </w:p>
        </w:tc>
        <w:tc>
          <w:tcPr>
            <w:tcW w:w="799" w:type="dxa"/>
            <w:tcBorders>
              <w:top w:val="single" w:sz="4" w:space="0" w:color="auto"/>
              <w:left w:val="nil"/>
              <w:bottom w:val="nil"/>
              <w:right w:val="nil"/>
            </w:tcBorders>
            <w:shd w:val="clear" w:color="auto" w:fill="auto"/>
            <w:noWrap/>
            <w:vAlign w:val="center"/>
            <w:hideMark/>
          </w:tcPr>
          <w:p w14:paraId="4BC609F1" w14:textId="77777777" w:rsidR="00E66F49" w:rsidRPr="00666914" w:rsidRDefault="00E66F49" w:rsidP="00D27F91">
            <w:pPr>
              <w:spacing w:after="0"/>
              <w:jc w:val="center"/>
              <w:rPr>
                <w:rFonts w:eastAsia="Times New Roman" w:cs="Calibri"/>
                <w:sz w:val="20"/>
                <w:szCs w:val="20"/>
                <w:lang w:eastAsia="sk-SK"/>
              </w:rPr>
            </w:pPr>
            <w:r w:rsidRPr="00666914">
              <w:rPr>
                <w:rFonts w:eastAsia="Times New Roman" w:cs="Calibri"/>
                <w:sz w:val="20"/>
                <w:szCs w:val="20"/>
                <w:lang w:eastAsia="sk-SK"/>
              </w:rPr>
              <w:t xml:space="preserve">počet dní </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07783354" w14:textId="77777777" w:rsidR="00E66F49" w:rsidRPr="00666914" w:rsidRDefault="00E66F49" w:rsidP="00D27F91">
            <w:pPr>
              <w:spacing w:after="0"/>
              <w:jc w:val="center"/>
              <w:rPr>
                <w:rFonts w:eastAsia="Times New Roman" w:cs="Calibri"/>
                <w:sz w:val="20"/>
                <w:szCs w:val="20"/>
                <w:lang w:eastAsia="sk-SK"/>
              </w:rPr>
            </w:pPr>
            <w:r w:rsidRPr="00666914">
              <w:rPr>
                <w:rFonts w:eastAsia="Times New Roman" w:cs="Calibri"/>
                <w:sz w:val="20"/>
                <w:szCs w:val="20"/>
                <w:lang w:eastAsia="sk-SK"/>
              </w:rPr>
              <w:t xml:space="preserve">počet účastníkov </w:t>
            </w:r>
          </w:p>
        </w:tc>
      </w:tr>
      <w:tr w:rsidR="00E66F49" w:rsidRPr="00666914" w14:paraId="70AB5AB0" w14:textId="77777777" w:rsidTr="00D27F91">
        <w:trPr>
          <w:trHeight w:val="255"/>
        </w:trPr>
        <w:tc>
          <w:tcPr>
            <w:tcW w:w="557" w:type="dxa"/>
            <w:vMerge/>
            <w:tcBorders>
              <w:top w:val="nil"/>
              <w:left w:val="single" w:sz="4" w:space="0" w:color="auto"/>
              <w:bottom w:val="single" w:sz="4" w:space="0" w:color="000000"/>
              <w:right w:val="nil"/>
            </w:tcBorders>
            <w:vAlign w:val="center"/>
            <w:hideMark/>
          </w:tcPr>
          <w:p w14:paraId="5B25BE9E" w14:textId="77777777" w:rsidR="00E66F49" w:rsidRPr="00666914" w:rsidRDefault="00E66F49" w:rsidP="00D27F91">
            <w:pPr>
              <w:spacing w:after="0"/>
              <w:jc w:val="left"/>
              <w:rPr>
                <w:rFonts w:eastAsia="Times New Roman" w:cs="Calibri"/>
                <w:sz w:val="20"/>
                <w:szCs w:val="20"/>
                <w:lang w:eastAsia="sk-SK"/>
              </w:rPr>
            </w:pPr>
          </w:p>
        </w:tc>
        <w:tc>
          <w:tcPr>
            <w:tcW w:w="667" w:type="dxa"/>
            <w:tcBorders>
              <w:top w:val="nil"/>
              <w:left w:val="single" w:sz="4" w:space="0" w:color="auto"/>
              <w:bottom w:val="single" w:sz="4" w:space="0" w:color="auto"/>
              <w:right w:val="nil"/>
            </w:tcBorders>
            <w:shd w:val="clear" w:color="auto" w:fill="auto"/>
            <w:noWrap/>
            <w:vAlign w:val="center"/>
            <w:hideMark/>
          </w:tcPr>
          <w:p w14:paraId="520EA105" w14:textId="77777777" w:rsidR="00E66F49" w:rsidRPr="00666914" w:rsidRDefault="00E66F49" w:rsidP="00D27F91">
            <w:pPr>
              <w:spacing w:after="0"/>
              <w:jc w:val="center"/>
              <w:rPr>
                <w:rFonts w:eastAsia="Times New Roman" w:cs="Calibri"/>
                <w:sz w:val="20"/>
                <w:szCs w:val="20"/>
                <w:lang w:eastAsia="sk-SK"/>
              </w:rPr>
            </w:pPr>
            <w:r w:rsidRPr="00666914">
              <w:rPr>
                <w:rFonts w:eastAsia="Times New Roman" w:cs="Calibri"/>
                <w:sz w:val="20"/>
                <w:szCs w:val="20"/>
                <w:lang w:eastAsia="sk-SK"/>
              </w:rPr>
              <w:t>147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440CB1" w14:textId="77777777" w:rsidR="00E66F49" w:rsidRPr="00666914" w:rsidRDefault="00E66F49" w:rsidP="00D27F91">
            <w:pPr>
              <w:spacing w:after="0"/>
              <w:jc w:val="center"/>
              <w:rPr>
                <w:rFonts w:eastAsia="Times New Roman" w:cs="Calibri"/>
                <w:sz w:val="20"/>
                <w:szCs w:val="20"/>
                <w:lang w:eastAsia="sk-SK"/>
              </w:rPr>
            </w:pPr>
            <w:r w:rsidRPr="00666914">
              <w:rPr>
                <w:rFonts w:eastAsia="Times New Roman" w:cs="Calibri"/>
                <w:sz w:val="20"/>
                <w:szCs w:val="20"/>
                <w:lang w:eastAsia="sk-SK"/>
              </w:rPr>
              <w:t>4 724</w:t>
            </w:r>
          </w:p>
        </w:tc>
        <w:tc>
          <w:tcPr>
            <w:tcW w:w="0" w:type="auto"/>
            <w:tcBorders>
              <w:top w:val="nil"/>
              <w:left w:val="nil"/>
              <w:bottom w:val="single" w:sz="4" w:space="0" w:color="auto"/>
              <w:right w:val="nil"/>
            </w:tcBorders>
            <w:shd w:val="clear" w:color="auto" w:fill="auto"/>
            <w:noWrap/>
            <w:vAlign w:val="center"/>
            <w:hideMark/>
          </w:tcPr>
          <w:p w14:paraId="4BA7ADE7" w14:textId="77777777" w:rsidR="00E66F49" w:rsidRPr="00666914" w:rsidRDefault="00E66F49" w:rsidP="00D27F91">
            <w:pPr>
              <w:spacing w:after="0"/>
              <w:jc w:val="center"/>
              <w:rPr>
                <w:rFonts w:eastAsia="Times New Roman" w:cs="Calibri"/>
                <w:sz w:val="20"/>
                <w:szCs w:val="20"/>
                <w:lang w:eastAsia="sk-SK"/>
              </w:rPr>
            </w:pPr>
            <w:r w:rsidRPr="00666914">
              <w:rPr>
                <w:rFonts w:eastAsia="Times New Roman" w:cs="Calibri"/>
                <w:sz w:val="20"/>
                <w:szCs w:val="20"/>
                <w:lang w:eastAsia="sk-SK"/>
              </w:rPr>
              <w:t>170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C75B52" w14:textId="77777777" w:rsidR="00E66F49" w:rsidRPr="00666914" w:rsidRDefault="00E66F49" w:rsidP="00D27F91">
            <w:pPr>
              <w:spacing w:after="0"/>
              <w:jc w:val="center"/>
              <w:rPr>
                <w:rFonts w:eastAsia="Times New Roman" w:cs="Calibri"/>
                <w:sz w:val="20"/>
                <w:szCs w:val="20"/>
                <w:lang w:eastAsia="sk-SK"/>
              </w:rPr>
            </w:pPr>
            <w:r w:rsidRPr="00666914">
              <w:rPr>
                <w:rFonts w:eastAsia="Times New Roman" w:cs="Calibri"/>
                <w:sz w:val="20"/>
                <w:szCs w:val="20"/>
                <w:lang w:eastAsia="sk-SK"/>
              </w:rPr>
              <w:t>5 190</w:t>
            </w:r>
          </w:p>
        </w:tc>
        <w:tc>
          <w:tcPr>
            <w:tcW w:w="0" w:type="auto"/>
            <w:tcBorders>
              <w:top w:val="nil"/>
              <w:left w:val="nil"/>
              <w:bottom w:val="single" w:sz="4" w:space="0" w:color="auto"/>
              <w:right w:val="nil"/>
            </w:tcBorders>
            <w:shd w:val="clear" w:color="auto" w:fill="auto"/>
            <w:noWrap/>
            <w:vAlign w:val="center"/>
            <w:hideMark/>
          </w:tcPr>
          <w:p w14:paraId="4D0741EA" w14:textId="77777777" w:rsidR="00E66F49" w:rsidRPr="00666914" w:rsidRDefault="00E66F49" w:rsidP="00D27F91">
            <w:pPr>
              <w:spacing w:after="0"/>
              <w:jc w:val="center"/>
              <w:rPr>
                <w:rFonts w:eastAsia="Times New Roman" w:cs="Calibri"/>
                <w:sz w:val="20"/>
                <w:szCs w:val="20"/>
                <w:lang w:eastAsia="sk-SK"/>
              </w:rPr>
            </w:pPr>
            <w:r w:rsidRPr="00666914">
              <w:rPr>
                <w:rFonts w:eastAsia="Times New Roman" w:cs="Calibri"/>
                <w:sz w:val="20"/>
                <w:szCs w:val="20"/>
                <w:lang w:eastAsia="sk-SK"/>
              </w:rPr>
              <w:t>173</w:t>
            </w:r>
          </w:p>
        </w:tc>
        <w:tc>
          <w:tcPr>
            <w:tcW w:w="1343" w:type="dxa"/>
            <w:tcBorders>
              <w:top w:val="nil"/>
              <w:left w:val="single" w:sz="4" w:space="0" w:color="auto"/>
              <w:bottom w:val="single" w:sz="4" w:space="0" w:color="auto"/>
              <w:right w:val="single" w:sz="4" w:space="0" w:color="auto"/>
            </w:tcBorders>
            <w:shd w:val="clear" w:color="auto" w:fill="auto"/>
            <w:noWrap/>
            <w:vAlign w:val="center"/>
            <w:hideMark/>
          </w:tcPr>
          <w:p w14:paraId="2A7881DB" w14:textId="77777777" w:rsidR="00E66F49" w:rsidRPr="00666914" w:rsidRDefault="00E66F49" w:rsidP="00D27F91">
            <w:pPr>
              <w:spacing w:after="0"/>
              <w:jc w:val="center"/>
              <w:rPr>
                <w:rFonts w:eastAsia="Times New Roman" w:cs="Calibri"/>
                <w:sz w:val="20"/>
                <w:szCs w:val="20"/>
                <w:lang w:eastAsia="sk-SK"/>
              </w:rPr>
            </w:pPr>
            <w:r w:rsidRPr="00666914">
              <w:rPr>
                <w:rFonts w:eastAsia="Times New Roman" w:cs="Calibri"/>
                <w:sz w:val="20"/>
                <w:szCs w:val="20"/>
                <w:lang w:eastAsia="sk-SK"/>
              </w:rPr>
              <w:t>5 490</w:t>
            </w:r>
          </w:p>
        </w:tc>
        <w:tc>
          <w:tcPr>
            <w:tcW w:w="799" w:type="dxa"/>
            <w:tcBorders>
              <w:top w:val="nil"/>
              <w:left w:val="nil"/>
              <w:bottom w:val="single" w:sz="4" w:space="0" w:color="auto"/>
              <w:right w:val="nil"/>
            </w:tcBorders>
            <w:shd w:val="clear" w:color="auto" w:fill="auto"/>
            <w:noWrap/>
            <w:vAlign w:val="center"/>
            <w:hideMark/>
          </w:tcPr>
          <w:p w14:paraId="6C1A6BD9" w14:textId="77777777" w:rsidR="00E66F49" w:rsidRPr="00666914" w:rsidRDefault="00E66F49" w:rsidP="00D27F91">
            <w:pPr>
              <w:spacing w:after="0"/>
              <w:jc w:val="center"/>
              <w:rPr>
                <w:rFonts w:eastAsia="Times New Roman" w:cs="Calibri"/>
                <w:sz w:val="20"/>
                <w:szCs w:val="20"/>
                <w:lang w:eastAsia="sk-SK"/>
              </w:rPr>
            </w:pPr>
            <w:r w:rsidRPr="00666914">
              <w:rPr>
                <w:rFonts w:eastAsia="Times New Roman" w:cs="Calibri"/>
                <w:sz w:val="20"/>
                <w:szCs w:val="20"/>
                <w:lang w:eastAsia="sk-SK"/>
              </w:rPr>
              <w:t>256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A85400" w14:textId="77777777" w:rsidR="00E66F49" w:rsidRPr="00666914" w:rsidRDefault="00E66F49" w:rsidP="00D27F91">
            <w:pPr>
              <w:spacing w:after="0"/>
              <w:jc w:val="center"/>
              <w:rPr>
                <w:rFonts w:eastAsia="Times New Roman" w:cs="Calibri"/>
                <w:sz w:val="20"/>
                <w:szCs w:val="20"/>
                <w:lang w:eastAsia="sk-SK"/>
              </w:rPr>
            </w:pPr>
            <w:r w:rsidRPr="00666914">
              <w:rPr>
                <w:rFonts w:eastAsia="Times New Roman" w:cs="Calibri"/>
                <w:sz w:val="20"/>
                <w:szCs w:val="20"/>
                <w:lang w:eastAsia="sk-SK"/>
              </w:rPr>
              <w:t>7 002</w:t>
            </w:r>
          </w:p>
        </w:tc>
      </w:tr>
      <w:tr w:rsidR="00E66F49" w:rsidRPr="00666914" w14:paraId="00AC000C" w14:textId="77777777" w:rsidTr="00D27F91">
        <w:trPr>
          <w:trHeight w:val="270"/>
        </w:trPr>
        <w:tc>
          <w:tcPr>
            <w:tcW w:w="557" w:type="dxa"/>
            <w:tcBorders>
              <w:top w:val="nil"/>
              <w:left w:val="nil"/>
              <w:bottom w:val="nil"/>
              <w:right w:val="nil"/>
            </w:tcBorders>
            <w:shd w:val="clear" w:color="auto" w:fill="auto"/>
            <w:noWrap/>
            <w:vAlign w:val="center"/>
            <w:hideMark/>
          </w:tcPr>
          <w:p w14:paraId="78C31835" w14:textId="77777777" w:rsidR="00E66F49" w:rsidRPr="00666914" w:rsidRDefault="00E66F49" w:rsidP="00D27F91">
            <w:pPr>
              <w:spacing w:after="0"/>
              <w:jc w:val="center"/>
              <w:rPr>
                <w:rFonts w:eastAsia="Times New Roman" w:cs="Calibri"/>
                <w:sz w:val="20"/>
                <w:szCs w:val="20"/>
                <w:lang w:eastAsia="sk-SK"/>
              </w:rPr>
            </w:pPr>
          </w:p>
        </w:tc>
        <w:tc>
          <w:tcPr>
            <w:tcW w:w="667" w:type="dxa"/>
            <w:tcBorders>
              <w:top w:val="nil"/>
              <w:left w:val="nil"/>
              <w:bottom w:val="nil"/>
              <w:right w:val="nil"/>
            </w:tcBorders>
            <w:shd w:val="clear" w:color="auto" w:fill="auto"/>
            <w:noWrap/>
            <w:vAlign w:val="bottom"/>
            <w:hideMark/>
          </w:tcPr>
          <w:p w14:paraId="6F849646" w14:textId="77777777" w:rsidR="00E66F49" w:rsidRPr="00666914" w:rsidRDefault="00E66F49" w:rsidP="00D27F91">
            <w:pPr>
              <w:spacing w:after="0"/>
              <w:jc w:val="left"/>
              <w:rPr>
                <w:rFonts w:ascii="Times New Roman" w:eastAsia="Times New Roman" w:hAnsi="Times New Roman"/>
                <w:sz w:val="20"/>
                <w:szCs w:val="20"/>
                <w:lang w:eastAsia="sk-SK"/>
              </w:rPr>
            </w:pPr>
          </w:p>
        </w:tc>
        <w:tc>
          <w:tcPr>
            <w:tcW w:w="0" w:type="auto"/>
            <w:tcBorders>
              <w:top w:val="nil"/>
              <w:left w:val="nil"/>
              <w:bottom w:val="nil"/>
              <w:right w:val="nil"/>
            </w:tcBorders>
            <w:shd w:val="clear" w:color="auto" w:fill="auto"/>
            <w:noWrap/>
            <w:vAlign w:val="bottom"/>
            <w:hideMark/>
          </w:tcPr>
          <w:p w14:paraId="4C85E05C" w14:textId="77777777" w:rsidR="00E66F49" w:rsidRPr="00666914" w:rsidRDefault="00E66F49" w:rsidP="00D27F91">
            <w:pPr>
              <w:spacing w:after="0"/>
              <w:jc w:val="left"/>
              <w:rPr>
                <w:rFonts w:ascii="Times New Roman" w:eastAsia="Times New Roman" w:hAnsi="Times New Roman"/>
                <w:sz w:val="20"/>
                <w:szCs w:val="20"/>
                <w:lang w:eastAsia="sk-SK"/>
              </w:rPr>
            </w:pPr>
          </w:p>
        </w:tc>
        <w:tc>
          <w:tcPr>
            <w:tcW w:w="0" w:type="auto"/>
            <w:tcBorders>
              <w:top w:val="nil"/>
              <w:left w:val="nil"/>
              <w:bottom w:val="nil"/>
              <w:right w:val="nil"/>
            </w:tcBorders>
            <w:shd w:val="clear" w:color="auto" w:fill="auto"/>
            <w:noWrap/>
            <w:vAlign w:val="bottom"/>
            <w:hideMark/>
          </w:tcPr>
          <w:p w14:paraId="46FCF6AC" w14:textId="77777777" w:rsidR="00E66F49" w:rsidRPr="00666914" w:rsidRDefault="00E66F49" w:rsidP="00D27F91">
            <w:pPr>
              <w:spacing w:after="0"/>
              <w:jc w:val="left"/>
              <w:rPr>
                <w:rFonts w:ascii="Times New Roman" w:eastAsia="Times New Roman" w:hAnsi="Times New Roman"/>
                <w:sz w:val="20"/>
                <w:szCs w:val="20"/>
                <w:lang w:eastAsia="sk-SK"/>
              </w:rPr>
            </w:pPr>
          </w:p>
        </w:tc>
        <w:tc>
          <w:tcPr>
            <w:tcW w:w="0" w:type="auto"/>
            <w:tcBorders>
              <w:top w:val="nil"/>
              <w:left w:val="nil"/>
              <w:bottom w:val="nil"/>
              <w:right w:val="nil"/>
            </w:tcBorders>
            <w:shd w:val="clear" w:color="auto" w:fill="auto"/>
            <w:noWrap/>
            <w:vAlign w:val="bottom"/>
            <w:hideMark/>
          </w:tcPr>
          <w:p w14:paraId="719008BC" w14:textId="77777777" w:rsidR="00E66F49" w:rsidRPr="00666914" w:rsidRDefault="00E66F49" w:rsidP="00D27F91">
            <w:pPr>
              <w:spacing w:after="0"/>
              <w:jc w:val="left"/>
              <w:rPr>
                <w:rFonts w:ascii="Times New Roman" w:eastAsia="Times New Roman" w:hAnsi="Times New Roman"/>
                <w:sz w:val="20"/>
                <w:szCs w:val="20"/>
                <w:lang w:eastAsia="sk-SK"/>
              </w:rPr>
            </w:pPr>
          </w:p>
        </w:tc>
        <w:tc>
          <w:tcPr>
            <w:tcW w:w="0" w:type="auto"/>
            <w:tcBorders>
              <w:top w:val="nil"/>
              <w:left w:val="nil"/>
              <w:bottom w:val="nil"/>
              <w:right w:val="nil"/>
            </w:tcBorders>
            <w:shd w:val="clear" w:color="auto" w:fill="auto"/>
            <w:noWrap/>
            <w:vAlign w:val="bottom"/>
            <w:hideMark/>
          </w:tcPr>
          <w:p w14:paraId="3DAC15D9" w14:textId="77777777" w:rsidR="00E66F49" w:rsidRPr="00666914" w:rsidRDefault="00E66F49" w:rsidP="00D27F91">
            <w:pPr>
              <w:spacing w:after="0"/>
              <w:jc w:val="left"/>
              <w:rPr>
                <w:rFonts w:ascii="Times New Roman" w:eastAsia="Times New Roman" w:hAnsi="Times New Roman"/>
                <w:sz w:val="20"/>
                <w:szCs w:val="20"/>
                <w:lang w:eastAsia="sk-SK"/>
              </w:rPr>
            </w:pPr>
          </w:p>
        </w:tc>
        <w:tc>
          <w:tcPr>
            <w:tcW w:w="1343" w:type="dxa"/>
            <w:tcBorders>
              <w:top w:val="nil"/>
              <w:left w:val="nil"/>
              <w:bottom w:val="nil"/>
              <w:right w:val="nil"/>
            </w:tcBorders>
            <w:shd w:val="clear" w:color="auto" w:fill="auto"/>
            <w:noWrap/>
            <w:vAlign w:val="bottom"/>
            <w:hideMark/>
          </w:tcPr>
          <w:p w14:paraId="0DCF01EC" w14:textId="77777777" w:rsidR="00E66F49" w:rsidRPr="00666914" w:rsidRDefault="00E66F49" w:rsidP="00D27F91">
            <w:pPr>
              <w:spacing w:after="0"/>
              <w:jc w:val="left"/>
              <w:rPr>
                <w:rFonts w:ascii="Times New Roman" w:eastAsia="Times New Roman" w:hAnsi="Times New Roman"/>
                <w:sz w:val="20"/>
                <w:szCs w:val="20"/>
                <w:lang w:eastAsia="sk-SK"/>
              </w:rPr>
            </w:pPr>
          </w:p>
        </w:tc>
        <w:tc>
          <w:tcPr>
            <w:tcW w:w="799" w:type="dxa"/>
            <w:tcBorders>
              <w:top w:val="nil"/>
              <w:left w:val="nil"/>
              <w:bottom w:val="nil"/>
              <w:right w:val="nil"/>
            </w:tcBorders>
            <w:shd w:val="clear" w:color="auto" w:fill="auto"/>
            <w:noWrap/>
            <w:vAlign w:val="bottom"/>
            <w:hideMark/>
          </w:tcPr>
          <w:p w14:paraId="59897746" w14:textId="77777777" w:rsidR="00E66F49" w:rsidRPr="00666914" w:rsidRDefault="00E66F49" w:rsidP="00D27F91">
            <w:pPr>
              <w:spacing w:after="0"/>
              <w:jc w:val="left"/>
              <w:rPr>
                <w:rFonts w:ascii="Times New Roman" w:eastAsia="Times New Roman" w:hAnsi="Times New Roman"/>
                <w:sz w:val="20"/>
                <w:szCs w:val="20"/>
                <w:lang w:eastAsia="sk-SK"/>
              </w:rPr>
            </w:pPr>
          </w:p>
        </w:tc>
        <w:tc>
          <w:tcPr>
            <w:tcW w:w="0" w:type="auto"/>
            <w:tcBorders>
              <w:top w:val="nil"/>
              <w:left w:val="nil"/>
              <w:bottom w:val="nil"/>
              <w:right w:val="nil"/>
            </w:tcBorders>
            <w:shd w:val="clear" w:color="auto" w:fill="auto"/>
            <w:noWrap/>
            <w:vAlign w:val="center"/>
            <w:hideMark/>
          </w:tcPr>
          <w:p w14:paraId="09B1AFA5" w14:textId="77777777" w:rsidR="00E66F49" w:rsidRPr="00666914" w:rsidRDefault="00E66F49" w:rsidP="00D27F91">
            <w:pPr>
              <w:spacing w:after="0"/>
              <w:jc w:val="right"/>
              <w:rPr>
                <w:rFonts w:eastAsia="Times New Roman" w:cs="Calibri"/>
                <w:i/>
                <w:iCs/>
                <w:sz w:val="18"/>
                <w:szCs w:val="18"/>
                <w:lang w:eastAsia="sk-SK"/>
              </w:rPr>
            </w:pPr>
            <w:r w:rsidRPr="00666914">
              <w:rPr>
                <w:rFonts w:eastAsia="Times New Roman" w:cs="Calibri"/>
                <w:i/>
                <w:iCs/>
                <w:sz w:val="18"/>
                <w:szCs w:val="18"/>
                <w:lang w:eastAsia="sk-SK"/>
              </w:rPr>
              <w:t xml:space="preserve">Zdroj: MPC </w:t>
            </w:r>
          </w:p>
        </w:tc>
      </w:tr>
    </w:tbl>
    <w:p w14:paraId="618A7B30" w14:textId="77777777" w:rsidR="00E66F49" w:rsidRPr="00666914" w:rsidRDefault="00E66F49" w:rsidP="00D27F91">
      <w:pPr>
        <w:spacing w:after="0"/>
        <w:rPr>
          <w:i/>
          <w:sz w:val="18"/>
          <w:szCs w:val="18"/>
        </w:rPr>
      </w:pPr>
      <w:r w:rsidRPr="00666914">
        <w:rPr>
          <w:i/>
          <w:sz w:val="18"/>
          <w:szCs w:val="18"/>
        </w:rPr>
        <w:t>Pozn.: Počet účastníkov v roku 2019 zahŕňa aj vzdelávanie v rámci NP Škola otvorená všetkým</w:t>
      </w:r>
    </w:p>
    <w:p w14:paraId="18A4CE70" w14:textId="77777777" w:rsidR="00E66F49" w:rsidRPr="00666914" w:rsidRDefault="00E66F49" w:rsidP="00D27F91">
      <w:pPr>
        <w:spacing w:after="0"/>
        <w:rPr>
          <w:i/>
          <w:sz w:val="18"/>
          <w:szCs w:val="18"/>
        </w:rPr>
      </w:pPr>
    </w:p>
    <w:p w14:paraId="05905025" w14:textId="77777777" w:rsidR="00E66F49" w:rsidRPr="00666914" w:rsidRDefault="00E66F49" w:rsidP="00D27F91">
      <w:pPr>
        <w:rPr>
          <w:u w:val="single"/>
        </w:rPr>
      </w:pPr>
      <w:r w:rsidRPr="00666914">
        <w:t>b)</w:t>
      </w:r>
      <w:r w:rsidRPr="00666914">
        <w:tab/>
      </w:r>
      <w:r w:rsidRPr="00666914">
        <w:rPr>
          <w:u w:val="single"/>
        </w:rPr>
        <w:t xml:space="preserve">Podiel účastníkov vzdelávaných priamo v školách  </w:t>
      </w:r>
    </w:p>
    <w:p w14:paraId="0C5F4A6D" w14:textId="233E07F8" w:rsidR="00E66F49" w:rsidRPr="00666914" w:rsidRDefault="00E66F49" w:rsidP="00D27F91">
      <w:pPr>
        <w:rPr>
          <w:b/>
        </w:rPr>
      </w:pPr>
      <w:r w:rsidRPr="00666914">
        <w:rPr>
          <w:b/>
        </w:rPr>
        <w:t>Tento údaj začalo MPC vyhodnocovať až od roku 2018</w:t>
      </w:r>
      <w:r w:rsidRPr="00666914">
        <w:t xml:space="preserve">, kedy sa z celkového počtu účastníkov AVP v MPC vzdelávalo priamo v školách 9,1 % pedagógov. </w:t>
      </w:r>
      <w:r w:rsidRPr="00666914">
        <w:rPr>
          <w:b/>
        </w:rPr>
        <w:t>Počas roka 2019 sa tento podiel zvýšil na 10,9 % pedagogických zamestnancov.</w:t>
      </w:r>
    </w:p>
    <w:p w14:paraId="3EB6E6CE" w14:textId="77777777" w:rsidR="00E66F49" w:rsidRPr="00666914" w:rsidRDefault="00E66F49" w:rsidP="00D27F91">
      <w:pPr>
        <w:rPr>
          <w:u w:val="single"/>
        </w:rPr>
      </w:pPr>
      <w:r w:rsidRPr="00666914">
        <w:t>c)</w:t>
      </w:r>
      <w:r w:rsidRPr="00666914">
        <w:tab/>
      </w:r>
      <w:r w:rsidRPr="00666914">
        <w:rPr>
          <w:u w:val="single"/>
        </w:rPr>
        <w:t>Podiel účastníkov spokojných s kvalitou</w:t>
      </w:r>
    </w:p>
    <w:p w14:paraId="09C130F3" w14:textId="4436DBA6" w:rsidR="00E66F49" w:rsidRPr="00666914" w:rsidRDefault="00E66F49" w:rsidP="00D27F91">
      <w:r w:rsidRPr="00666914">
        <w:t xml:space="preserve">Spokojnosť s kvalitou poskytovaného vzdelávania meria MPC od 09/2018 prostredníctvom dotazníkov v rámci Centrálneho informačného systému (CIS). </w:t>
      </w:r>
      <w:r w:rsidRPr="00666914">
        <w:rPr>
          <w:b/>
        </w:rPr>
        <w:t xml:space="preserve">Očakávaná cieľová hodnota návratnosti dotazníkov </w:t>
      </w:r>
      <w:r w:rsidR="00225174" w:rsidRPr="00666914">
        <w:rPr>
          <w:b/>
        </w:rPr>
        <w:t xml:space="preserve">predstavovala </w:t>
      </w:r>
      <w:r w:rsidRPr="00666914">
        <w:rPr>
          <w:b/>
        </w:rPr>
        <w:t xml:space="preserve">k 31.12.2019 </w:t>
      </w:r>
      <w:r w:rsidR="00225174" w:rsidRPr="00666914">
        <w:rPr>
          <w:b/>
        </w:rPr>
        <w:t xml:space="preserve">podiel </w:t>
      </w:r>
      <w:r w:rsidRPr="00666914">
        <w:rPr>
          <w:b/>
        </w:rPr>
        <w:t>80 % z celkového počtu absolventov.</w:t>
      </w:r>
    </w:p>
    <w:p w14:paraId="537F9206" w14:textId="22C9D857" w:rsidR="00E66F49" w:rsidRPr="00666914" w:rsidRDefault="00E66F49" w:rsidP="00011841">
      <w:pPr>
        <w:pStyle w:val="tabulka"/>
        <w:pBdr>
          <w:bottom w:val="none" w:sz="0" w:space="0" w:color="auto"/>
        </w:pBdr>
      </w:pPr>
      <w:bookmarkStart w:id="300" w:name="_Toc21522815"/>
      <w:bookmarkStart w:id="301" w:name="_Toc38447720"/>
      <w:r w:rsidRPr="00666914">
        <w:t xml:space="preserve">Tabuľka </w:t>
      </w:r>
      <w:r w:rsidR="00032A13">
        <w:rPr>
          <w:noProof/>
        </w:rPr>
        <w:fldChar w:fldCharType="begin"/>
      </w:r>
      <w:r w:rsidR="00032A13">
        <w:rPr>
          <w:noProof/>
        </w:rPr>
        <w:instrText xml:space="preserve"> SEQ Tabuľka \* ARABIC \* MERGEFORMAT </w:instrText>
      </w:r>
      <w:r w:rsidR="00032A13">
        <w:rPr>
          <w:noProof/>
        </w:rPr>
        <w:fldChar w:fldCharType="separate"/>
      </w:r>
      <w:r w:rsidR="005A7304">
        <w:rPr>
          <w:noProof/>
        </w:rPr>
        <w:t>59</w:t>
      </w:r>
      <w:r w:rsidR="00032A13">
        <w:rPr>
          <w:noProof/>
        </w:rPr>
        <w:fldChar w:fldCharType="end"/>
      </w:r>
      <w:r w:rsidRPr="00666914">
        <w:t>:</w:t>
      </w:r>
      <w:r w:rsidRPr="00666914">
        <w:rPr>
          <w:rFonts w:eastAsia="Times New Roman"/>
          <w:bCs/>
        </w:rPr>
        <w:t xml:space="preserve"> </w:t>
      </w:r>
      <w:r w:rsidRPr="00666914">
        <w:t>Spokojnosť účastníkov vzdelávania</w:t>
      </w:r>
      <w:bookmarkEnd w:id="300"/>
      <w:bookmarkEnd w:id="301"/>
      <w:r w:rsidRPr="00666914">
        <w:t xml:space="preserve"> </w:t>
      </w:r>
    </w:p>
    <w:tbl>
      <w:tblPr>
        <w:tblW w:w="9209" w:type="dxa"/>
        <w:tblLayout w:type="fixed"/>
        <w:tblCellMar>
          <w:left w:w="70" w:type="dxa"/>
          <w:right w:w="70" w:type="dxa"/>
        </w:tblCellMar>
        <w:tblLook w:val="04A0" w:firstRow="1" w:lastRow="0" w:firstColumn="1" w:lastColumn="0" w:noHBand="0" w:noVBand="1"/>
      </w:tblPr>
      <w:tblGrid>
        <w:gridCol w:w="521"/>
        <w:gridCol w:w="1089"/>
        <w:gridCol w:w="1929"/>
        <w:gridCol w:w="1276"/>
        <w:gridCol w:w="1158"/>
        <w:gridCol w:w="1960"/>
        <w:gridCol w:w="1276"/>
      </w:tblGrid>
      <w:tr w:rsidR="00C751D8" w:rsidRPr="00666914" w14:paraId="47EFA44C" w14:textId="77777777" w:rsidTr="00011841">
        <w:trPr>
          <w:trHeight w:val="255"/>
        </w:trPr>
        <w:tc>
          <w:tcPr>
            <w:tcW w:w="521" w:type="dxa"/>
            <w:tcBorders>
              <w:top w:val="single" w:sz="4" w:space="0" w:color="auto"/>
              <w:left w:val="single" w:sz="4" w:space="0" w:color="auto"/>
              <w:bottom w:val="nil"/>
              <w:right w:val="nil"/>
            </w:tcBorders>
            <w:shd w:val="clear" w:color="auto" w:fill="auto"/>
            <w:noWrap/>
            <w:vAlign w:val="center"/>
            <w:hideMark/>
          </w:tcPr>
          <w:p w14:paraId="6011CF69" w14:textId="77777777" w:rsidR="00E66F49" w:rsidRPr="00666914" w:rsidRDefault="00E66F49" w:rsidP="00D27F91">
            <w:pPr>
              <w:spacing w:after="0"/>
              <w:jc w:val="left"/>
              <w:rPr>
                <w:rFonts w:eastAsia="Times New Roman" w:cs="Calibri"/>
                <w:b/>
                <w:bCs/>
                <w:sz w:val="20"/>
                <w:szCs w:val="20"/>
                <w:lang w:eastAsia="sk-SK"/>
              </w:rPr>
            </w:pPr>
            <w:r w:rsidRPr="00666914">
              <w:rPr>
                <w:rFonts w:eastAsia="Times New Roman" w:cs="Calibri"/>
                <w:b/>
                <w:bCs/>
                <w:sz w:val="20"/>
                <w:szCs w:val="20"/>
                <w:lang w:eastAsia="sk-SK"/>
              </w:rPr>
              <w:t xml:space="preserve">Rok </w:t>
            </w:r>
          </w:p>
        </w:tc>
        <w:tc>
          <w:tcPr>
            <w:tcW w:w="4294" w:type="dxa"/>
            <w:gridSpan w:val="3"/>
            <w:tcBorders>
              <w:top w:val="single" w:sz="4" w:space="0" w:color="auto"/>
              <w:left w:val="single" w:sz="4" w:space="0" w:color="auto"/>
              <w:bottom w:val="nil"/>
              <w:right w:val="single" w:sz="4" w:space="0" w:color="000000"/>
            </w:tcBorders>
            <w:shd w:val="clear" w:color="auto" w:fill="auto"/>
            <w:noWrap/>
            <w:vAlign w:val="center"/>
            <w:hideMark/>
          </w:tcPr>
          <w:p w14:paraId="264EEA2E" w14:textId="77777777" w:rsidR="00E66F49" w:rsidRPr="00666914" w:rsidRDefault="00E66F49" w:rsidP="00D27F91">
            <w:pPr>
              <w:spacing w:after="0"/>
              <w:jc w:val="center"/>
              <w:rPr>
                <w:rFonts w:eastAsia="Times New Roman" w:cs="Calibri"/>
                <w:b/>
                <w:bCs/>
                <w:sz w:val="20"/>
                <w:szCs w:val="20"/>
                <w:lang w:eastAsia="sk-SK"/>
              </w:rPr>
            </w:pPr>
            <w:r w:rsidRPr="00666914">
              <w:rPr>
                <w:rFonts w:eastAsia="Times New Roman" w:cs="Calibri"/>
                <w:b/>
                <w:bCs/>
                <w:sz w:val="20"/>
                <w:szCs w:val="20"/>
                <w:lang w:eastAsia="sk-SK"/>
              </w:rPr>
              <w:t>09-12/2018</w:t>
            </w:r>
          </w:p>
        </w:tc>
        <w:tc>
          <w:tcPr>
            <w:tcW w:w="4394" w:type="dxa"/>
            <w:gridSpan w:val="3"/>
            <w:tcBorders>
              <w:top w:val="single" w:sz="4" w:space="0" w:color="auto"/>
              <w:left w:val="nil"/>
              <w:bottom w:val="nil"/>
              <w:right w:val="single" w:sz="4" w:space="0" w:color="000000"/>
            </w:tcBorders>
            <w:shd w:val="clear" w:color="auto" w:fill="auto"/>
            <w:noWrap/>
            <w:vAlign w:val="center"/>
            <w:hideMark/>
          </w:tcPr>
          <w:p w14:paraId="3C7AA3EE" w14:textId="77777777" w:rsidR="00E66F49" w:rsidRPr="00666914" w:rsidRDefault="00E66F49" w:rsidP="00D27F91">
            <w:pPr>
              <w:spacing w:after="0"/>
              <w:jc w:val="center"/>
              <w:rPr>
                <w:rFonts w:eastAsia="Times New Roman" w:cs="Calibri"/>
                <w:b/>
                <w:bCs/>
                <w:sz w:val="20"/>
                <w:szCs w:val="20"/>
                <w:lang w:eastAsia="sk-SK"/>
              </w:rPr>
            </w:pPr>
            <w:r w:rsidRPr="00666914">
              <w:rPr>
                <w:rFonts w:eastAsia="Times New Roman" w:cs="Calibri"/>
                <w:b/>
                <w:bCs/>
                <w:sz w:val="20"/>
                <w:szCs w:val="20"/>
                <w:lang w:eastAsia="sk-SK"/>
              </w:rPr>
              <w:t>01-12/2019</w:t>
            </w:r>
          </w:p>
        </w:tc>
      </w:tr>
      <w:tr w:rsidR="00C751D8" w:rsidRPr="00666914" w14:paraId="2B35F3EB" w14:textId="77777777" w:rsidTr="00011841">
        <w:trPr>
          <w:trHeight w:val="255"/>
        </w:trPr>
        <w:tc>
          <w:tcPr>
            <w:tcW w:w="521" w:type="dxa"/>
            <w:tcBorders>
              <w:top w:val="single" w:sz="4" w:space="0" w:color="auto"/>
              <w:left w:val="single" w:sz="4" w:space="0" w:color="auto"/>
              <w:bottom w:val="nil"/>
              <w:right w:val="nil"/>
            </w:tcBorders>
            <w:shd w:val="clear" w:color="auto" w:fill="auto"/>
            <w:noWrap/>
            <w:vAlign w:val="center"/>
            <w:hideMark/>
          </w:tcPr>
          <w:p w14:paraId="4F7ED259" w14:textId="77777777" w:rsidR="00E66F49" w:rsidRPr="00666914" w:rsidRDefault="00E66F49" w:rsidP="00D27F91">
            <w:pPr>
              <w:spacing w:after="0"/>
              <w:jc w:val="left"/>
              <w:rPr>
                <w:rFonts w:eastAsia="Times New Roman" w:cs="Calibri"/>
                <w:sz w:val="20"/>
                <w:szCs w:val="20"/>
                <w:lang w:eastAsia="sk-SK"/>
              </w:rPr>
            </w:pPr>
            <w:r w:rsidRPr="00666914">
              <w:rPr>
                <w:rFonts w:eastAsia="Times New Roman" w:cs="Calibri"/>
                <w:sz w:val="20"/>
                <w:szCs w:val="20"/>
                <w:lang w:eastAsia="sk-SK"/>
              </w:rPr>
              <w:t> </w:t>
            </w:r>
          </w:p>
        </w:tc>
        <w:tc>
          <w:tcPr>
            <w:tcW w:w="1089" w:type="dxa"/>
            <w:tcBorders>
              <w:top w:val="single" w:sz="4" w:space="0" w:color="auto"/>
              <w:left w:val="single" w:sz="4" w:space="0" w:color="auto"/>
              <w:bottom w:val="nil"/>
              <w:right w:val="nil"/>
            </w:tcBorders>
            <w:shd w:val="clear" w:color="auto" w:fill="auto"/>
            <w:noWrap/>
            <w:vAlign w:val="center"/>
            <w:hideMark/>
          </w:tcPr>
          <w:p w14:paraId="4F5878E6" w14:textId="77777777" w:rsidR="00E66F49" w:rsidRPr="00666914" w:rsidRDefault="00E66F49" w:rsidP="00D27F91">
            <w:pPr>
              <w:spacing w:after="0"/>
              <w:jc w:val="center"/>
              <w:rPr>
                <w:rFonts w:eastAsia="Times New Roman" w:cs="Calibri"/>
                <w:sz w:val="20"/>
                <w:szCs w:val="20"/>
                <w:lang w:eastAsia="sk-SK"/>
              </w:rPr>
            </w:pPr>
            <w:r w:rsidRPr="00666914">
              <w:rPr>
                <w:rFonts w:eastAsia="Times New Roman" w:cs="Calibri"/>
                <w:sz w:val="20"/>
                <w:szCs w:val="20"/>
                <w:lang w:eastAsia="sk-SK"/>
              </w:rPr>
              <w:t>počet absolventov</w:t>
            </w:r>
          </w:p>
        </w:tc>
        <w:tc>
          <w:tcPr>
            <w:tcW w:w="1929" w:type="dxa"/>
            <w:tcBorders>
              <w:top w:val="single" w:sz="4" w:space="0" w:color="auto"/>
              <w:left w:val="nil"/>
              <w:bottom w:val="nil"/>
              <w:right w:val="nil"/>
            </w:tcBorders>
            <w:shd w:val="clear" w:color="auto" w:fill="auto"/>
            <w:noWrap/>
            <w:vAlign w:val="center"/>
            <w:hideMark/>
          </w:tcPr>
          <w:p w14:paraId="1022DDDC" w14:textId="77777777" w:rsidR="00E66F49" w:rsidRPr="00666914" w:rsidRDefault="00E66F49" w:rsidP="00D27F91">
            <w:pPr>
              <w:spacing w:after="0"/>
              <w:jc w:val="center"/>
              <w:rPr>
                <w:rFonts w:eastAsia="Times New Roman" w:cs="Calibri"/>
                <w:b/>
                <w:bCs/>
                <w:sz w:val="20"/>
                <w:szCs w:val="20"/>
                <w:lang w:eastAsia="sk-SK"/>
              </w:rPr>
            </w:pPr>
            <w:r w:rsidRPr="00666914">
              <w:rPr>
                <w:rFonts w:eastAsia="Times New Roman" w:cs="Calibri"/>
                <w:b/>
                <w:bCs/>
                <w:sz w:val="20"/>
                <w:szCs w:val="20"/>
                <w:lang w:eastAsia="sk-SK"/>
              </w:rPr>
              <w:t>podiel z celkového počtu</w:t>
            </w:r>
          </w:p>
        </w:tc>
        <w:tc>
          <w:tcPr>
            <w:tcW w:w="1276" w:type="dxa"/>
            <w:tcBorders>
              <w:top w:val="single" w:sz="4" w:space="0" w:color="auto"/>
              <w:left w:val="nil"/>
              <w:bottom w:val="nil"/>
              <w:right w:val="single" w:sz="4" w:space="0" w:color="auto"/>
            </w:tcBorders>
            <w:shd w:val="clear" w:color="auto" w:fill="auto"/>
            <w:noWrap/>
            <w:vAlign w:val="center"/>
            <w:hideMark/>
          </w:tcPr>
          <w:p w14:paraId="24A5ED48" w14:textId="77777777" w:rsidR="00E66F49" w:rsidRPr="00666914" w:rsidRDefault="00E66F49" w:rsidP="00D27F91">
            <w:pPr>
              <w:spacing w:after="0"/>
              <w:jc w:val="center"/>
              <w:rPr>
                <w:rFonts w:eastAsia="Times New Roman" w:cs="Calibri"/>
                <w:sz w:val="20"/>
                <w:szCs w:val="20"/>
                <w:lang w:eastAsia="sk-SK"/>
              </w:rPr>
            </w:pPr>
            <w:r w:rsidRPr="00666914">
              <w:rPr>
                <w:rFonts w:eastAsia="Times New Roman" w:cs="Calibri"/>
                <w:sz w:val="20"/>
                <w:szCs w:val="20"/>
                <w:lang w:eastAsia="sk-SK"/>
              </w:rPr>
              <w:t>miera spokojnosti</w:t>
            </w:r>
          </w:p>
        </w:tc>
        <w:tc>
          <w:tcPr>
            <w:tcW w:w="1158" w:type="dxa"/>
            <w:tcBorders>
              <w:top w:val="single" w:sz="4" w:space="0" w:color="auto"/>
              <w:left w:val="nil"/>
              <w:bottom w:val="nil"/>
              <w:right w:val="nil"/>
            </w:tcBorders>
            <w:shd w:val="clear" w:color="auto" w:fill="auto"/>
            <w:noWrap/>
            <w:vAlign w:val="center"/>
            <w:hideMark/>
          </w:tcPr>
          <w:p w14:paraId="0C8CAB04" w14:textId="77777777" w:rsidR="00E66F49" w:rsidRPr="00666914" w:rsidRDefault="00E66F49" w:rsidP="00D27F91">
            <w:pPr>
              <w:spacing w:after="0"/>
              <w:jc w:val="center"/>
              <w:rPr>
                <w:rFonts w:eastAsia="Times New Roman" w:cs="Calibri"/>
                <w:sz w:val="20"/>
                <w:szCs w:val="20"/>
                <w:lang w:eastAsia="sk-SK"/>
              </w:rPr>
            </w:pPr>
            <w:r w:rsidRPr="00666914">
              <w:rPr>
                <w:rFonts w:eastAsia="Times New Roman" w:cs="Calibri"/>
                <w:sz w:val="20"/>
                <w:szCs w:val="20"/>
                <w:lang w:eastAsia="sk-SK"/>
              </w:rPr>
              <w:t>počet absolventov</w:t>
            </w:r>
          </w:p>
        </w:tc>
        <w:tc>
          <w:tcPr>
            <w:tcW w:w="1960" w:type="dxa"/>
            <w:tcBorders>
              <w:top w:val="single" w:sz="4" w:space="0" w:color="auto"/>
              <w:left w:val="nil"/>
              <w:bottom w:val="nil"/>
              <w:right w:val="nil"/>
            </w:tcBorders>
            <w:shd w:val="clear" w:color="auto" w:fill="auto"/>
            <w:noWrap/>
            <w:vAlign w:val="center"/>
            <w:hideMark/>
          </w:tcPr>
          <w:p w14:paraId="0B89735A" w14:textId="77777777" w:rsidR="00E66F49" w:rsidRPr="00666914" w:rsidRDefault="00E66F49" w:rsidP="00D27F91">
            <w:pPr>
              <w:spacing w:after="0"/>
              <w:jc w:val="center"/>
              <w:rPr>
                <w:rFonts w:eastAsia="Times New Roman" w:cs="Calibri"/>
                <w:b/>
                <w:bCs/>
                <w:sz w:val="20"/>
                <w:szCs w:val="20"/>
                <w:lang w:eastAsia="sk-SK"/>
              </w:rPr>
            </w:pPr>
            <w:r w:rsidRPr="00666914">
              <w:rPr>
                <w:rFonts w:eastAsia="Times New Roman" w:cs="Calibri"/>
                <w:b/>
                <w:bCs/>
                <w:sz w:val="20"/>
                <w:szCs w:val="20"/>
                <w:lang w:eastAsia="sk-SK"/>
              </w:rPr>
              <w:t>podiel z celkového počtu</w:t>
            </w:r>
          </w:p>
        </w:tc>
        <w:tc>
          <w:tcPr>
            <w:tcW w:w="1276" w:type="dxa"/>
            <w:tcBorders>
              <w:top w:val="single" w:sz="4" w:space="0" w:color="auto"/>
              <w:left w:val="nil"/>
              <w:bottom w:val="nil"/>
              <w:right w:val="single" w:sz="4" w:space="0" w:color="auto"/>
            </w:tcBorders>
            <w:shd w:val="clear" w:color="auto" w:fill="auto"/>
            <w:noWrap/>
            <w:vAlign w:val="center"/>
            <w:hideMark/>
          </w:tcPr>
          <w:p w14:paraId="331AEE55" w14:textId="77777777" w:rsidR="00E66F49" w:rsidRPr="00666914" w:rsidRDefault="00E66F49" w:rsidP="00D27F91">
            <w:pPr>
              <w:spacing w:after="0"/>
              <w:jc w:val="center"/>
              <w:rPr>
                <w:rFonts w:eastAsia="Times New Roman" w:cs="Calibri"/>
                <w:sz w:val="20"/>
                <w:szCs w:val="20"/>
                <w:lang w:eastAsia="sk-SK"/>
              </w:rPr>
            </w:pPr>
            <w:r w:rsidRPr="00666914">
              <w:rPr>
                <w:rFonts w:eastAsia="Times New Roman" w:cs="Calibri"/>
                <w:sz w:val="20"/>
                <w:szCs w:val="20"/>
                <w:lang w:eastAsia="sk-SK"/>
              </w:rPr>
              <w:t>miera spokojnosti</w:t>
            </w:r>
          </w:p>
        </w:tc>
      </w:tr>
      <w:tr w:rsidR="00C751D8" w:rsidRPr="00666914" w14:paraId="699EE50F" w14:textId="77777777" w:rsidTr="00011841">
        <w:trPr>
          <w:trHeight w:val="255"/>
        </w:trPr>
        <w:tc>
          <w:tcPr>
            <w:tcW w:w="521" w:type="dxa"/>
            <w:tcBorders>
              <w:top w:val="nil"/>
              <w:left w:val="single" w:sz="4" w:space="0" w:color="auto"/>
              <w:bottom w:val="single" w:sz="4" w:space="0" w:color="auto"/>
              <w:right w:val="nil"/>
            </w:tcBorders>
            <w:shd w:val="clear" w:color="auto" w:fill="auto"/>
            <w:noWrap/>
            <w:vAlign w:val="center"/>
            <w:hideMark/>
          </w:tcPr>
          <w:p w14:paraId="4FDB4B52" w14:textId="77777777" w:rsidR="00E66F49" w:rsidRPr="00666914" w:rsidRDefault="00E66F49" w:rsidP="00D27F91">
            <w:pPr>
              <w:spacing w:after="0"/>
              <w:jc w:val="left"/>
              <w:rPr>
                <w:rFonts w:eastAsia="Times New Roman" w:cs="Calibri"/>
                <w:sz w:val="20"/>
                <w:szCs w:val="20"/>
                <w:lang w:eastAsia="sk-SK"/>
              </w:rPr>
            </w:pPr>
            <w:r w:rsidRPr="00666914">
              <w:rPr>
                <w:rFonts w:eastAsia="Times New Roman" w:cs="Calibri"/>
                <w:sz w:val="20"/>
                <w:szCs w:val="20"/>
                <w:lang w:eastAsia="sk-SK"/>
              </w:rPr>
              <w:t> </w:t>
            </w:r>
          </w:p>
        </w:tc>
        <w:tc>
          <w:tcPr>
            <w:tcW w:w="1089" w:type="dxa"/>
            <w:tcBorders>
              <w:top w:val="nil"/>
              <w:left w:val="single" w:sz="4" w:space="0" w:color="auto"/>
              <w:bottom w:val="single" w:sz="4" w:space="0" w:color="auto"/>
              <w:right w:val="nil"/>
            </w:tcBorders>
            <w:shd w:val="clear" w:color="auto" w:fill="auto"/>
            <w:noWrap/>
            <w:vAlign w:val="center"/>
            <w:hideMark/>
          </w:tcPr>
          <w:p w14:paraId="2AE57789" w14:textId="77777777" w:rsidR="00E66F49" w:rsidRPr="00666914" w:rsidRDefault="00E66F49" w:rsidP="00D27F91">
            <w:pPr>
              <w:spacing w:after="0"/>
              <w:jc w:val="center"/>
              <w:rPr>
                <w:rFonts w:eastAsia="Times New Roman" w:cs="Calibri"/>
                <w:sz w:val="20"/>
                <w:szCs w:val="20"/>
                <w:lang w:eastAsia="sk-SK"/>
              </w:rPr>
            </w:pPr>
            <w:r w:rsidRPr="00666914">
              <w:rPr>
                <w:rFonts w:eastAsia="Times New Roman" w:cs="Calibri"/>
                <w:sz w:val="20"/>
                <w:szCs w:val="20"/>
                <w:lang w:eastAsia="sk-SK"/>
              </w:rPr>
              <w:t>784</w:t>
            </w:r>
          </w:p>
        </w:tc>
        <w:tc>
          <w:tcPr>
            <w:tcW w:w="1929" w:type="dxa"/>
            <w:tcBorders>
              <w:top w:val="nil"/>
              <w:left w:val="nil"/>
              <w:bottom w:val="single" w:sz="4" w:space="0" w:color="auto"/>
              <w:right w:val="nil"/>
            </w:tcBorders>
            <w:shd w:val="clear" w:color="auto" w:fill="auto"/>
            <w:noWrap/>
            <w:vAlign w:val="center"/>
            <w:hideMark/>
          </w:tcPr>
          <w:p w14:paraId="40278814" w14:textId="7EE6AA24" w:rsidR="00E66F49" w:rsidRPr="00666914" w:rsidRDefault="00E66F49" w:rsidP="00D27F91">
            <w:pPr>
              <w:spacing w:after="0"/>
              <w:jc w:val="center"/>
              <w:rPr>
                <w:rFonts w:eastAsia="Times New Roman" w:cs="Calibri"/>
                <w:b/>
                <w:bCs/>
                <w:sz w:val="20"/>
                <w:szCs w:val="20"/>
                <w:lang w:eastAsia="sk-SK"/>
              </w:rPr>
            </w:pPr>
            <w:r w:rsidRPr="00666914">
              <w:rPr>
                <w:rFonts w:eastAsia="Times New Roman" w:cs="Calibri"/>
                <w:b/>
                <w:bCs/>
                <w:sz w:val="20"/>
                <w:szCs w:val="20"/>
                <w:lang w:eastAsia="sk-SK"/>
              </w:rPr>
              <w:t>52</w:t>
            </w:r>
            <w:r w:rsidR="00225174" w:rsidRPr="00666914">
              <w:rPr>
                <w:rFonts w:eastAsia="Times New Roman" w:cs="Calibri"/>
                <w:b/>
                <w:bCs/>
                <w:sz w:val="20"/>
                <w:szCs w:val="20"/>
                <w:lang w:eastAsia="sk-SK"/>
              </w:rPr>
              <w:t xml:space="preserve"> </w:t>
            </w:r>
            <w:r w:rsidRPr="00666914">
              <w:rPr>
                <w:rFonts w:eastAsia="Times New Roman" w:cs="Calibri"/>
                <w:b/>
                <w:bCs/>
                <w:sz w:val="20"/>
                <w:szCs w:val="20"/>
                <w:lang w:eastAsia="sk-SK"/>
              </w:rPr>
              <w:t>%</w:t>
            </w:r>
          </w:p>
        </w:tc>
        <w:tc>
          <w:tcPr>
            <w:tcW w:w="1276" w:type="dxa"/>
            <w:tcBorders>
              <w:top w:val="nil"/>
              <w:left w:val="nil"/>
              <w:bottom w:val="single" w:sz="4" w:space="0" w:color="auto"/>
              <w:right w:val="single" w:sz="4" w:space="0" w:color="auto"/>
            </w:tcBorders>
            <w:shd w:val="clear" w:color="auto" w:fill="auto"/>
            <w:noWrap/>
            <w:vAlign w:val="center"/>
            <w:hideMark/>
          </w:tcPr>
          <w:p w14:paraId="479C41C7" w14:textId="4661D8D2" w:rsidR="00E66F49" w:rsidRPr="00666914" w:rsidRDefault="00E66F49" w:rsidP="00D27F91">
            <w:pPr>
              <w:spacing w:after="0"/>
              <w:jc w:val="center"/>
              <w:rPr>
                <w:rFonts w:eastAsia="Times New Roman" w:cs="Calibri"/>
                <w:sz w:val="20"/>
                <w:szCs w:val="20"/>
                <w:lang w:eastAsia="sk-SK"/>
              </w:rPr>
            </w:pPr>
            <w:r w:rsidRPr="00666914">
              <w:rPr>
                <w:rFonts w:eastAsia="Times New Roman" w:cs="Calibri"/>
                <w:sz w:val="20"/>
                <w:szCs w:val="20"/>
                <w:lang w:eastAsia="sk-SK"/>
              </w:rPr>
              <w:t>98</w:t>
            </w:r>
            <w:r w:rsidR="00225174" w:rsidRPr="00666914">
              <w:rPr>
                <w:rFonts w:eastAsia="Times New Roman" w:cs="Calibri"/>
                <w:sz w:val="20"/>
                <w:szCs w:val="20"/>
                <w:lang w:eastAsia="sk-SK"/>
              </w:rPr>
              <w:t xml:space="preserve"> </w:t>
            </w:r>
            <w:r w:rsidRPr="00666914">
              <w:rPr>
                <w:rFonts w:eastAsia="Times New Roman" w:cs="Calibri"/>
                <w:sz w:val="20"/>
                <w:szCs w:val="20"/>
                <w:lang w:eastAsia="sk-SK"/>
              </w:rPr>
              <w:t>%</w:t>
            </w:r>
          </w:p>
        </w:tc>
        <w:tc>
          <w:tcPr>
            <w:tcW w:w="1158" w:type="dxa"/>
            <w:tcBorders>
              <w:top w:val="nil"/>
              <w:left w:val="nil"/>
              <w:bottom w:val="single" w:sz="4" w:space="0" w:color="auto"/>
              <w:right w:val="nil"/>
            </w:tcBorders>
            <w:shd w:val="clear" w:color="auto" w:fill="auto"/>
            <w:noWrap/>
            <w:vAlign w:val="center"/>
            <w:hideMark/>
          </w:tcPr>
          <w:p w14:paraId="50945951" w14:textId="77777777" w:rsidR="00E66F49" w:rsidRPr="00666914" w:rsidRDefault="00E66F49" w:rsidP="00D27F91">
            <w:pPr>
              <w:spacing w:after="0"/>
              <w:jc w:val="center"/>
              <w:rPr>
                <w:rFonts w:eastAsia="Times New Roman" w:cs="Calibri"/>
                <w:sz w:val="20"/>
                <w:szCs w:val="20"/>
                <w:lang w:eastAsia="sk-SK"/>
              </w:rPr>
            </w:pPr>
            <w:r w:rsidRPr="00666914">
              <w:rPr>
                <w:rFonts w:eastAsia="Times New Roman" w:cs="Calibri"/>
                <w:sz w:val="20"/>
                <w:szCs w:val="20"/>
                <w:lang w:eastAsia="sk-SK"/>
              </w:rPr>
              <w:t>5 690</w:t>
            </w:r>
          </w:p>
        </w:tc>
        <w:tc>
          <w:tcPr>
            <w:tcW w:w="1960" w:type="dxa"/>
            <w:tcBorders>
              <w:top w:val="nil"/>
              <w:left w:val="nil"/>
              <w:bottom w:val="single" w:sz="4" w:space="0" w:color="auto"/>
              <w:right w:val="nil"/>
            </w:tcBorders>
            <w:shd w:val="clear" w:color="auto" w:fill="auto"/>
            <w:noWrap/>
            <w:vAlign w:val="center"/>
            <w:hideMark/>
          </w:tcPr>
          <w:p w14:paraId="66335316" w14:textId="4A5DF37F" w:rsidR="00E66F49" w:rsidRPr="00666914" w:rsidRDefault="00E66F49" w:rsidP="00D27F91">
            <w:pPr>
              <w:spacing w:after="0"/>
              <w:jc w:val="center"/>
              <w:rPr>
                <w:rFonts w:eastAsia="Times New Roman" w:cs="Calibri"/>
                <w:b/>
                <w:bCs/>
                <w:sz w:val="20"/>
                <w:szCs w:val="20"/>
                <w:lang w:eastAsia="sk-SK"/>
              </w:rPr>
            </w:pPr>
            <w:r w:rsidRPr="00666914">
              <w:rPr>
                <w:rFonts w:eastAsia="Times New Roman" w:cs="Calibri"/>
                <w:b/>
                <w:bCs/>
                <w:sz w:val="20"/>
                <w:szCs w:val="20"/>
                <w:lang w:eastAsia="sk-SK"/>
              </w:rPr>
              <w:t>73</w:t>
            </w:r>
            <w:r w:rsidR="00225174" w:rsidRPr="00666914">
              <w:rPr>
                <w:rFonts w:eastAsia="Times New Roman" w:cs="Calibri"/>
                <w:b/>
                <w:bCs/>
                <w:sz w:val="20"/>
                <w:szCs w:val="20"/>
                <w:lang w:eastAsia="sk-SK"/>
              </w:rPr>
              <w:t xml:space="preserve"> </w:t>
            </w:r>
            <w:r w:rsidRPr="00666914">
              <w:rPr>
                <w:rFonts w:eastAsia="Times New Roman" w:cs="Calibri"/>
                <w:b/>
                <w:bCs/>
                <w:sz w:val="20"/>
                <w:szCs w:val="20"/>
                <w:lang w:eastAsia="sk-SK"/>
              </w:rPr>
              <w:t>%</w:t>
            </w:r>
          </w:p>
        </w:tc>
        <w:tc>
          <w:tcPr>
            <w:tcW w:w="1276" w:type="dxa"/>
            <w:tcBorders>
              <w:top w:val="nil"/>
              <w:left w:val="nil"/>
              <w:bottom w:val="single" w:sz="4" w:space="0" w:color="auto"/>
              <w:right w:val="single" w:sz="4" w:space="0" w:color="auto"/>
            </w:tcBorders>
            <w:shd w:val="clear" w:color="auto" w:fill="auto"/>
            <w:noWrap/>
            <w:vAlign w:val="center"/>
            <w:hideMark/>
          </w:tcPr>
          <w:p w14:paraId="5A076AF3" w14:textId="6510FCEC" w:rsidR="00E66F49" w:rsidRPr="00666914" w:rsidRDefault="00E66F49" w:rsidP="00D27F91">
            <w:pPr>
              <w:spacing w:after="0"/>
              <w:jc w:val="center"/>
              <w:rPr>
                <w:rFonts w:eastAsia="Times New Roman" w:cs="Calibri"/>
                <w:sz w:val="20"/>
                <w:szCs w:val="20"/>
                <w:lang w:eastAsia="sk-SK"/>
              </w:rPr>
            </w:pPr>
            <w:r w:rsidRPr="00666914">
              <w:rPr>
                <w:rFonts w:eastAsia="Times New Roman" w:cs="Calibri"/>
                <w:sz w:val="20"/>
                <w:szCs w:val="20"/>
                <w:lang w:eastAsia="sk-SK"/>
              </w:rPr>
              <w:t>95</w:t>
            </w:r>
            <w:r w:rsidR="00225174" w:rsidRPr="00666914">
              <w:rPr>
                <w:rFonts w:eastAsia="Times New Roman" w:cs="Calibri"/>
                <w:sz w:val="20"/>
                <w:szCs w:val="20"/>
                <w:lang w:eastAsia="sk-SK"/>
              </w:rPr>
              <w:t xml:space="preserve"> </w:t>
            </w:r>
            <w:r w:rsidRPr="00666914">
              <w:rPr>
                <w:rFonts w:eastAsia="Times New Roman" w:cs="Calibri"/>
                <w:sz w:val="20"/>
                <w:szCs w:val="20"/>
                <w:lang w:eastAsia="sk-SK"/>
              </w:rPr>
              <w:t>%</w:t>
            </w:r>
          </w:p>
        </w:tc>
      </w:tr>
      <w:tr w:rsidR="00C751D8" w:rsidRPr="00666914" w14:paraId="225B67CC" w14:textId="77777777" w:rsidTr="00011841">
        <w:trPr>
          <w:trHeight w:val="270"/>
        </w:trPr>
        <w:tc>
          <w:tcPr>
            <w:tcW w:w="521" w:type="dxa"/>
            <w:tcBorders>
              <w:top w:val="nil"/>
              <w:left w:val="nil"/>
              <w:bottom w:val="nil"/>
              <w:right w:val="nil"/>
            </w:tcBorders>
            <w:shd w:val="clear" w:color="auto" w:fill="auto"/>
            <w:noWrap/>
            <w:vAlign w:val="center"/>
            <w:hideMark/>
          </w:tcPr>
          <w:p w14:paraId="0FC66929" w14:textId="77777777" w:rsidR="00E66F49" w:rsidRPr="00666914" w:rsidRDefault="00E66F49" w:rsidP="00D27F91">
            <w:pPr>
              <w:spacing w:after="0"/>
              <w:jc w:val="center"/>
              <w:rPr>
                <w:rFonts w:eastAsia="Times New Roman" w:cs="Calibri"/>
                <w:sz w:val="20"/>
                <w:szCs w:val="20"/>
                <w:lang w:eastAsia="sk-SK"/>
              </w:rPr>
            </w:pPr>
          </w:p>
        </w:tc>
        <w:tc>
          <w:tcPr>
            <w:tcW w:w="1089" w:type="dxa"/>
            <w:tcBorders>
              <w:top w:val="nil"/>
              <w:left w:val="nil"/>
              <w:bottom w:val="nil"/>
              <w:right w:val="nil"/>
            </w:tcBorders>
            <w:shd w:val="clear" w:color="auto" w:fill="auto"/>
            <w:noWrap/>
            <w:vAlign w:val="bottom"/>
            <w:hideMark/>
          </w:tcPr>
          <w:p w14:paraId="49BD1546" w14:textId="77777777" w:rsidR="00E66F49" w:rsidRPr="00666914" w:rsidRDefault="00E66F49" w:rsidP="00D27F91">
            <w:pPr>
              <w:spacing w:after="0"/>
              <w:jc w:val="left"/>
              <w:rPr>
                <w:rFonts w:ascii="Times New Roman" w:eastAsia="Times New Roman" w:hAnsi="Times New Roman"/>
                <w:sz w:val="20"/>
                <w:szCs w:val="20"/>
                <w:lang w:eastAsia="sk-SK"/>
              </w:rPr>
            </w:pPr>
          </w:p>
        </w:tc>
        <w:tc>
          <w:tcPr>
            <w:tcW w:w="1929" w:type="dxa"/>
            <w:tcBorders>
              <w:top w:val="nil"/>
              <w:left w:val="nil"/>
              <w:bottom w:val="nil"/>
              <w:right w:val="nil"/>
            </w:tcBorders>
            <w:shd w:val="clear" w:color="auto" w:fill="auto"/>
            <w:noWrap/>
            <w:vAlign w:val="bottom"/>
            <w:hideMark/>
          </w:tcPr>
          <w:p w14:paraId="75E5EDED" w14:textId="77777777" w:rsidR="00E66F49" w:rsidRPr="00666914" w:rsidRDefault="00E66F49" w:rsidP="00D27F91">
            <w:pPr>
              <w:spacing w:after="0"/>
              <w:jc w:val="left"/>
              <w:rPr>
                <w:rFonts w:ascii="Times New Roman" w:eastAsia="Times New Roman" w:hAnsi="Times New Roman"/>
                <w:sz w:val="20"/>
                <w:szCs w:val="20"/>
                <w:lang w:eastAsia="sk-SK"/>
              </w:rPr>
            </w:pPr>
          </w:p>
        </w:tc>
        <w:tc>
          <w:tcPr>
            <w:tcW w:w="1276" w:type="dxa"/>
            <w:tcBorders>
              <w:top w:val="nil"/>
              <w:left w:val="nil"/>
              <w:bottom w:val="nil"/>
              <w:right w:val="nil"/>
            </w:tcBorders>
            <w:shd w:val="clear" w:color="auto" w:fill="auto"/>
            <w:noWrap/>
            <w:vAlign w:val="bottom"/>
            <w:hideMark/>
          </w:tcPr>
          <w:p w14:paraId="10E59297" w14:textId="77777777" w:rsidR="00E66F49" w:rsidRPr="00666914" w:rsidRDefault="00E66F49" w:rsidP="00D27F91">
            <w:pPr>
              <w:spacing w:after="0"/>
              <w:jc w:val="left"/>
              <w:rPr>
                <w:rFonts w:ascii="Times New Roman" w:eastAsia="Times New Roman" w:hAnsi="Times New Roman"/>
                <w:sz w:val="20"/>
                <w:szCs w:val="20"/>
                <w:lang w:eastAsia="sk-SK"/>
              </w:rPr>
            </w:pPr>
          </w:p>
        </w:tc>
        <w:tc>
          <w:tcPr>
            <w:tcW w:w="1158" w:type="dxa"/>
            <w:tcBorders>
              <w:top w:val="nil"/>
              <w:left w:val="nil"/>
              <w:bottom w:val="nil"/>
              <w:right w:val="nil"/>
            </w:tcBorders>
            <w:shd w:val="clear" w:color="auto" w:fill="auto"/>
            <w:noWrap/>
            <w:vAlign w:val="bottom"/>
            <w:hideMark/>
          </w:tcPr>
          <w:p w14:paraId="52355723" w14:textId="77777777" w:rsidR="00E66F49" w:rsidRPr="00666914" w:rsidRDefault="00E66F49" w:rsidP="00D27F91">
            <w:pPr>
              <w:spacing w:after="0"/>
              <w:jc w:val="left"/>
              <w:rPr>
                <w:rFonts w:ascii="Times New Roman" w:eastAsia="Times New Roman" w:hAnsi="Times New Roman"/>
                <w:sz w:val="20"/>
                <w:szCs w:val="20"/>
                <w:lang w:eastAsia="sk-SK"/>
              </w:rPr>
            </w:pPr>
          </w:p>
        </w:tc>
        <w:tc>
          <w:tcPr>
            <w:tcW w:w="1960" w:type="dxa"/>
            <w:tcBorders>
              <w:top w:val="nil"/>
              <w:left w:val="nil"/>
              <w:bottom w:val="nil"/>
              <w:right w:val="nil"/>
            </w:tcBorders>
            <w:shd w:val="clear" w:color="auto" w:fill="auto"/>
            <w:noWrap/>
            <w:vAlign w:val="bottom"/>
            <w:hideMark/>
          </w:tcPr>
          <w:p w14:paraId="635CC0F7" w14:textId="77777777" w:rsidR="00E66F49" w:rsidRPr="00666914" w:rsidRDefault="00E66F49" w:rsidP="00D27F91">
            <w:pPr>
              <w:spacing w:after="0"/>
              <w:jc w:val="left"/>
              <w:rPr>
                <w:rFonts w:ascii="Times New Roman" w:eastAsia="Times New Roman" w:hAnsi="Times New Roman"/>
                <w:sz w:val="20"/>
                <w:szCs w:val="20"/>
                <w:lang w:eastAsia="sk-SK"/>
              </w:rPr>
            </w:pPr>
          </w:p>
        </w:tc>
        <w:tc>
          <w:tcPr>
            <w:tcW w:w="1276" w:type="dxa"/>
            <w:tcBorders>
              <w:top w:val="nil"/>
              <w:left w:val="nil"/>
              <w:bottom w:val="nil"/>
              <w:right w:val="nil"/>
            </w:tcBorders>
            <w:shd w:val="clear" w:color="auto" w:fill="auto"/>
            <w:noWrap/>
            <w:vAlign w:val="center"/>
            <w:hideMark/>
          </w:tcPr>
          <w:p w14:paraId="7863A91B" w14:textId="77777777" w:rsidR="00E66F49" w:rsidRPr="00666914" w:rsidRDefault="00E66F49" w:rsidP="00D27F91">
            <w:pPr>
              <w:spacing w:after="0"/>
              <w:jc w:val="right"/>
              <w:rPr>
                <w:rFonts w:eastAsia="Times New Roman" w:cs="Calibri"/>
                <w:i/>
                <w:iCs/>
                <w:sz w:val="18"/>
                <w:szCs w:val="18"/>
                <w:lang w:eastAsia="sk-SK"/>
              </w:rPr>
            </w:pPr>
            <w:r w:rsidRPr="00666914">
              <w:rPr>
                <w:rFonts w:eastAsia="Times New Roman" w:cs="Calibri"/>
                <w:i/>
                <w:iCs/>
                <w:sz w:val="18"/>
                <w:szCs w:val="18"/>
                <w:lang w:eastAsia="sk-SK"/>
              </w:rPr>
              <w:t xml:space="preserve">Zdroj: MPC </w:t>
            </w:r>
          </w:p>
        </w:tc>
      </w:tr>
    </w:tbl>
    <w:p w14:paraId="27A9C1AC" w14:textId="77777777" w:rsidR="00E66F49" w:rsidRPr="00666914" w:rsidRDefault="00E66F49" w:rsidP="00BA0CC2">
      <w:pPr>
        <w:spacing w:after="0"/>
        <w:rPr>
          <w:b/>
        </w:rPr>
      </w:pPr>
    </w:p>
    <w:p w14:paraId="36779EAE" w14:textId="27225D8A" w:rsidR="00E66F49" w:rsidRPr="00666914" w:rsidRDefault="00E66F49" w:rsidP="00D27F91">
      <w:r w:rsidRPr="00666914">
        <w:rPr>
          <w:b/>
        </w:rPr>
        <w:t>K 31.12.2019 dosiahla návratnosť dotazníkov 73 % z celkového počtu absolventov</w:t>
      </w:r>
      <w:r w:rsidRPr="00666914">
        <w:t xml:space="preserve">, výsledky sú dostupné v CIS. Na základe tejto spätnej väzby vyhodnotilo </w:t>
      </w:r>
      <w:r w:rsidR="00C16487" w:rsidRPr="00666914">
        <w:t xml:space="preserve">95 % z nich </w:t>
      </w:r>
      <w:r w:rsidRPr="00666914">
        <w:t>spokojnosť so vzdelávaním ako celku (hodnotami 1 – veľká spokojnosť a 2 – spokojnosť). V súvislosti so zavedenou legislatívnou zmenou od 09/2019 pripravuje MPC prechod na tzv. CIS 2. Zmeny sa týkajú hlavne dokumentácie ohľadne atestácií</w:t>
      </w:r>
      <w:r w:rsidRPr="00666914">
        <w:rPr>
          <w:rStyle w:val="Odkaznapoznmkupodiarou"/>
        </w:rPr>
        <w:footnoteReference w:id="196"/>
      </w:r>
      <w:r w:rsidRPr="00666914">
        <w:t xml:space="preserve"> ako aj všeobecne procesu </w:t>
      </w:r>
      <w:r w:rsidRPr="00666914">
        <w:lastRenderedPageBreak/>
        <w:t>vzdelávania</w:t>
      </w:r>
      <w:r w:rsidRPr="00666914">
        <w:rPr>
          <w:rStyle w:val="Odkaznapoznmkupodiarou"/>
        </w:rPr>
        <w:footnoteReference w:id="197"/>
      </w:r>
      <w:r w:rsidRPr="00666914">
        <w:t xml:space="preserve">. V CIS 2 bude zároveň pre pedagógov </w:t>
      </w:r>
      <w:r w:rsidR="00C16487" w:rsidRPr="00666914">
        <w:t xml:space="preserve">existovať </w:t>
      </w:r>
      <w:r w:rsidRPr="00666914">
        <w:t>aj možnosť zasielať vedúcemu zamestnancovi pripomienky, postrehy a návrhy, týkajúce sa kvality vzdelávania.</w:t>
      </w:r>
    </w:p>
    <w:p w14:paraId="260F3FB8" w14:textId="79BD39B1" w:rsidR="00E66F49" w:rsidRPr="00666914" w:rsidRDefault="00E66F49" w:rsidP="00D27F91">
      <w:r w:rsidRPr="00666914">
        <w:rPr>
          <w:b/>
        </w:rPr>
        <w:t>Relevantné hodnotenie opatrenia vyžaduje jasné a transparentné nastavenie cieľových hodnôt</w:t>
      </w:r>
      <w:r w:rsidRPr="00666914">
        <w:t>, ktoré dokážu preukázať mieru posilnenia ponuky vzdelávania. Keďže MPC nie je jediným poskytovateľom vzdelávacích aktivít, IJ odporučila v PIS 2019 určiť cieľové hodnoty vzhľadom na personálne kapacity MPC. MPC poskytlo IJ len jeden merateľný ukazovateľ, ktorý stanovuje MŠVVaŠ SR. Ide o počet zapojených PZ a OZ do vzdelávania, vrátane počtu žiadateľov o vykonanie atestácií.</w:t>
      </w:r>
    </w:p>
    <w:p w14:paraId="320C4CC3" w14:textId="332E1CC5" w:rsidR="00E66F49" w:rsidRPr="00666914" w:rsidRDefault="00E66F49" w:rsidP="00D27F91">
      <w:r w:rsidRPr="00666914">
        <w:t>K zvýšeniu kvality výchovno-vzdelávacieho procesu v školách prostredníctvom podpory profesijného rozvoja PZ a OZ by mal prispieť aj v 10/2019 schválený zámer NP „Profesijný rozvoj učiteľov“ (TEACHERS), ktorého prijímateľom bude MPC</w:t>
      </w:r>
      <w:r w:rsidRPr="00666914">
        <w:rPr>
          <w:rStyle w:val="Odkaznapoznmkupodiarou"/>
        </w:rPr>
        <w:footnoteReference w:id="198"/>
      </w:r>
      <w:r w:rsidRPr="00666914">
        <w:t>. Projekt by mal trvať približne 3,5 roka s celkovou alokáciou 6,8 mil. eur (</w:t>
      </w:r>
      <w:r w:rsidR="00C16487" w:rsidRPr="00666914">
        <w:t xml:space="preserve">EŠIF </w:t>
      </w:r>
      <w:r w:rsidRPr="00666914">
        <w:t>vrátane ŠR). Výzva bola zverejnená v 02/2020</w:t>
      </w:r>
      <w:r w:rsidRPr="00666914">
        <w:rPr>
          <w:rStyle w:val="Odkaznapoznmkupodiarou"/>
        </w:rPr>
        <w:footnoteReference w:id="199"/>
      </w:r>
      <w:r w:rsidRPr="00666914">
        <w:t>.</w:t>
      </w:r>
    </w:p>
    <w:p w14:paraId="1CE9A34B" w14:textId="59357DC5" w:rsidR="00E66F49" w:rsidRPr="00666914" w:rsidRDefault="00E66F49" w:rsidP="00D27F91">
      <w:r w:rsidRPr="00666914">
        <w:rPr>
          <w:b/>
        </w:rPr>
        <w:t>Odporúčanie IJ</w:t>
      </w:r>
      <w:r w:rsidRPr="00666914">
        <w:t xml:space="preserve">: </w:t>
      </w:r>
      <w:r w:rsidR="00C16487" w:rsidRPr="00666914">
        <w:rPr>
          <w:b/>
        </w:rPr>
        <w:t>V</w:t>
      </w:r>
      <w:r w:rsidRPr="00666914">
        <w:rPr>
          <w:b/>
        </w:rPr>
        <w:t xml:space="preserve"> súlade s platnou legislatívou </w:t>
      </w:r>
      <w:r w:rsidR="00C16487" w:rsidRPr="00666914">
        <w:rPr>
          <w:b/>
        </w:rPr>
        <w:t xml:space="preserve">vydať </w:t>
      </w:r>
      <w:r w:rsidRPr="00666914">
        <w:rPr>
          <w:b/>
        </w:rPr>
        <w:t>odporúčané štandardizované dotazníky na hodnotenie uskutočneného vzdelávania.</w:t>
      </w:r>
      <w:r w:rsidRPr="00666914">
        <w:t xml:space="preserve"> </w:t>
      </w:r>
      <w:r w:rsidRPr="00666914">
        <w:rPr>
          <w:b/>
        </w:rPr>
        <w:t>Do 06/2020 dosiahnuť 80 % návratnosť dotazníkov účastníkov vzdelávania v MPC.</w:t>
      </w:r>
      <w:r w:rsidRPr="00666914">
        <w:t xml:space="preserve"> Určiť transparentným spôsobom cieľové hodnoty ostatných indikátorov ponuky vzdelávania, zohľadňujúcich personálne kapacity MPC</w:t>
      </w:r>
      <w:r w:rsidR="00C16487" w:rsidRPr="00666914">
        <w:t>,</w:t>
      </w:r>
      <w:r w:rsidRPr="00666914">
        <w:t xml:space="preserve"> ako aj prijaté legislatívne zmeny v roku 2019.</w:t>
      </w:r>
    </w:p>
    <w:p w14:paraId="4F484A1C" w14:textId="77777777" w:rsidR="00E66F49" w:rsidRPr="00666914" w:rsidRDefault="00E66F49" w:rsidP="00E66F49">
      <w:pPr>
        <w:pStyle w:val="Odsekzoznamu"/>
        <w:numPr>
          <w:ilvl w:val="0"/>
          <w:numId w:val="2"/>
        </w:numPr>
        <w:jc w:val="left"/>
        <w:rPr>
          <w:b/>
          <w:szCs w:val="24"/>
          <w:u w:val="single"/>
        </w:rPr>
      </w:pPr>
      <w:r w:rsidRPr="00666914">
        <w:rPr>
          <w:b/>
          <w:szCs w:val="24"/>
          <w:u w:val="single"/>
        </w:rPr>
        <w:t xml:space="preserve">Zreálniť </w:t>
      </w:r>
      <w:r w:rsidRPr="00666914">
        <w:rPr>
          <w:b/>
          <w:u w:val="single"/>
        </w:rPr>
        <w:t>personálnu</w:t>
      </w:r>
      <w:r w:rsidRPr="00666914">
        <w:rPr>
          <w:b/>
          <w:szCs w:val="24"/>
          <w:u w:val="single"/>
        </w:rPr>
        <w:t xml:space="preserve"> a prevádzkovú náročnosť jednotlivých typov škôl</w:t>
      </w:r>
    </w:p>
    <w:p w14:paraId="234FF62E" w14:textId="77777777" w:rsidR="00E66F49" w:rsidRPr="00666914" w:rsidRDefault="00E66F49" w:rsidP="00D27F91">
      <w:pPr>
        <w:pStyle w:val="Odsekzoznamu"/>
        <w:spacing w:after="0"/>
        <w:jc w:val="left"/>
        <w:rPr>
          <w:b/>
          <w:szCs w:val="24"/>
          <w:u w:val="single"/>
        </w:rPr>
      </w:pPr>
    </w:p>
    <w:p w14:paraId="4DA40CAA" w14:textId="142DCB3B" w:rsidR="00E66F49" w:rsidRPr="00666914" w:rsidRDefault="00E66F49" w:rsidP="00D27F91">
      <w:r w:rsidRPr="00666914">
        <w:rPr>
          <w:b/>
        </w:rPr>
        <w:t>Pre zreálnenie personálnej a prevádzkovej náročnosti škôl je nevyhnutné aktualizovať mzdový aj prevádzkový normatív.</w:t>
      </w:r>
      <w:r w:rsidRPr="00666914">
        <w:t xml:space="preserve"> V roku 2018 bolo s účinnosťou od 01/2019 odstránené znevýhodnenie SOŠ poskytujúcich praktické vyučovanie v systéme duálneho vzdelávania z dôvodu krátenia normatívu na praktické vyučovanie</w:t>
      </w:r>
      <w:r w:rsidRPr="00666914">
        <w:rPr>
          <w:rStyle w:val="Odkaznapoznmkupodiarou"/>
        </w:rPr>
        <w:footnoteReference w:id="200"/>
      </w:r>
      <w:r w:rsidRPr="00666914">
        <w:t>. Napriek tomu, že rozdiely v normatívoch medzi niektorými kategóriami SOŠ sú zanedbateľné, zníženie počtu 15 kategórií SOŠ rezort zatiaľ neplánuje.</w:t>
      </w:r>
    </w:p>
    <w:p w14:paraId="2986BA50" w14:textId="567CFABB" w:rsidR="00E66F49" w:rsidRPr="00666914" w:rsidRDefault="00E66F49" w:rsidP="00D27F91">
      <w:r w:rsidRPr="00666914">
        <w:t xml:space="preserve">Za účelom skvalitnenia vzdelávacieho procesu a následne zreálnenia ekonomickej náročnosti jednotlivých študijných odborov </w:t>
      </w:r>
      <w:r w:rsidR="00C16487" w:rsidRPr="00666914">
        <w:t xml:space="preserve">schválilo </w:t>
      </w:r>
      <w:r w:rsidRPr="00666914">
        <w:t>MŠVVaŠ SR v 12/2018 23 dodatkov k štátnemu vzdelávaciemu programu (ŠVP) pre odborné vzdelávanie a prípravu (OVP). V 09/2019 boli schválené ďalšie 2 nové ŠVP pre OVP</w:t>
      </w:r>
      <w:r w:rsidRPr="00666914">
        <w:rPr>
          <w:rStyle w:val="Odkaznapoznmkupodiarou"/>
        </w:rPr>
        <w:footnoteReference w:id="201"/>
      </w:r>
      <w:r w:rsidRPr="00666914">
        <w:t>. Všetky dodatky vrátane nových ŠVP boli schválené s účinnosťou od 1.9.2020. MŠVVaŠ SR následne pripravilo úpravu koeficientov personálnej a prevádzkovej náročnosti, ktorá mala byť zapracovaná do úpravy nariadenia vlády SR č. 630/2008 Z. z. s účinnosťou od 1.1.2020</w:t>
      </w:r>
      <w:r w:rsidRPr="00666914">
        <w:rPr>
          <w:rStyle w:val="Odkaznapoznmkupodiarou"/>
        </w:rPr>
        <w:footnoteReference w:id="202"/>
      </w:r>
      <w:r w:rsidRPr="00666914">
        <w:t xml:space="preserve">. Vzhľadom na vysoké nároky na štátny rozpočet (odhad rezortu na výdavky ŠR v prípade úpravy mzdového normatívu bol 24 mil. eur, v prípade prevádzkového približne 50 mil. eur.) </w:t>
      </w:r>
      <w:r w:rsidR="00C16487" w:rsidRPr="00666914">
        <w:t xml:space="preserve">nebolo </w:t>
      </w:r>
      <w:r w:rsidRPr="00666914">
        <w:t>nariadenie vlády SR k 01/2020 novelizované. Navrhovaná aktualizácia normatívov nie je pre rok 2020 finančne krytá, MŠVVaŠ SR preto v 10/2019 schválilo posun účinnosti dodatkov k ŠVP z 1.9.2020 na 1.9.2021</w:t>
      </w:r>
      <w:r w:rsidRPr="00666914">
        <w:rPr>
          <w:rStyle w:val="Odkaznapoznmkupodiarou"/>
        </w:rPr>
        <w:footnoteReference w:id="203"/>
      </w:r>
      <w:r w:rsidRPr="00666914">
        <w:t>.</w:t>
      </w:r>
    </w:p>
    <w:p w14:paraId="30A65FC3" w14:textId="2AE325AC" w:rsidR="00E66F49" w:rsidRPr="00666914" w:rsidRDefault="00E66F49" w:rsidP="00D27F91">
      <w:r w:rsidRPr="00666914">
        <w:rPr>
          <w:b/>
        </w:rPr>
        <w:t xml:space="preserve">V PIS 2019 poukázala </w:t>
      </w:r>
      <w:r w:rsidR="00C16487" w:rsidRPr="00666914">
        <w:rPr>
          <w:b/>
        </w:rPr>
        <w:t xml:space="preserve">IJ </w:t>
      </w:r>
      <w:r w:rsidRPr="00666914">
        <w:rPr>
          <w:b/>
        </w:rPr>
        <w:t>na netransparentný postup úpravy, resp. tvorby nových rámcových učebných plánov (RUP).</w:t>
      </w:r>
      <w:r w:rsidRPr="00666914">
        <w:t xml:space="preserve"> Tie sú podkladom pre určenie personálnej náročnosti pre zaradenie študijných a učebných odborov do 15 kategórií SOŠ a na kalkuláciu dodatočných personálnych nákladov úpravou koeficientov personálnej náročnosti. Počas prípravy SIS 2019 nedostala IJ informácie o úprave procesu s cieľom preukázať jasnú metodiku schvaľovania úprav RUP.</w:t>
      </w:r>
    </w:p>
    <w:p w14:paraId="79B4875D" w14:textId="17AF6785" w:rsidR="00E66F49" w:rsidRPr="00666914" w:rsidRDefault="00E66F49" w:rsidP="00D27F91">
      <w:pPr>
        <w:rPr>
          <w:b/>
        </w:rPr>
      </w:pPr>
      <w:r w:rsidRPr="00666914">
        <w:rPr>
          <w:b/>
        </w:rPr>
        <w:t>Proces úprav RUP je naďalej netransparentný, personálna a prevádzková náročnosť škôl nebola ani od roka 2020 zreálnená. Opatrenie sa k 31.12.2019 neplní.</w:t>
      </w:r>
    </w:p>
    <w:p w14:paraId="1DB9FE96" w14:textId="77777777" w:rsidR="00E66F49" w:rsidRPr="00666914" w:rsidRDefault="00E66F49" w:rsidP="00E66F49">
      <w:pPr>
        <w:pStyle w:val="Nadpis2"/>
        <w:spacing w:line="240" w:lineRule="auto"/>
        <w:ind w:left="1070"/>
      </w:pPr>
      <w:bookmarkStart w:id="302" w:name="_Toc517709878"/>
      <w:bookmarkStart w:id="303" w:name="_Toc6321906"/>
      <w:bookmarkStart w:id="304" w:name="_Toc38447605"/>
      <w:r w:rsidRPr="00666914">
        <w:lastRenderedPageBreak/>
        <w:t>Vysoké školy a veda</w:t>
      </w:r>
      <w:bookmarkEnd w:id="302"/>
      <w:bookmarkEnd w:id="303"/>
      <w:bookmarkEnd w:id="304"/>
      <w:r w:rsidRPr="00666914">
        <w:t xml:space="preserve"> </w:t>
      </w:r>
    </w:p>
    <w:tbl>
      <w:tblPr>
        <w:tblW w:w="53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3"/>
        <w:gridCol w:w="3408"/>
        <w:gridCol w:w="1473"/>
        <w:gridCol w:w="1031"/>
        <w:gridCol w:w="1176"/>
        <w:gridCol w:w="608"/>
        <w:gridCol w:w="608"/>
        <w:gridCol w:w="608"/>
        <w:gridCol w:w="604"/>
      </w:tblGrid>
      <w:tr w:rsidR="00E66F49" w:rsidRPr="00666914" w14:paraId="75DDE060" w14:textId="77777777" w:rsidTr="00812751">
        <w:trPr>
          <w:trHeight w:val="316"/>
          <w:tblHeader/>
        </w:trPr>
        <w:tc>
          <w:tcPr>
            <w:tcW w:w="208" w:type="pct"/>
            <w:shd w:val="clear" w:color="auto" w:fill="auto"/>
            <w:noWrap/>
            <w:vAlign w:val="center"/>
            <w:hideMark/>
          </w:tcPr>
          <w:p w14:paraId="03688774" w14:textId="77777777" w:rsidR="00E66F49" w:rsidRPr="00666914" w:rsidRDefault="00E66F49" w:rsidP="00D27F91">
            <w:pPr>
              <w:spacing w:after="0"/>
              <w:jc w:val="center"/>
              <w:rPr>
                <w:rFonts w:eastAsia="Times New Roman"/>
                <w:b/>
                <w:bCs/>
                <w:color w:val="000000"/>
                <w:sz w:val="20"/>
                <w:szCs w:val="20"/>
                <w:lang w:eastAsia="sk-SK"/>
              </w:rPr>
            </w:pPr>
          </w:p>
        </w:tc>
        <w:tc>
          <w:tcPr>
            <w:tcW w:w="1716" w:type="pct"/>
            <w:shd w:val="clear" w:color="auto" w:fill="auto"/>
            <w:noWrap/>
            <w:vAlign w:val="center"/>
            <w:hideMark/>
          </w:tcPr>
          <w:p w14:paraId="5C212124"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VZDELÁVANIE</w:t>
            </w:r>
          </w:p>
        </w:tc>
        <w:tc>
          <w:tcPr>
            <w:tcW w:w="742" w:type="pct"/>
            <w:shd w:val="clear" w:color="auto" w:fill="auto"/>
            <w:noWrap/>
            <w:vAlign w:val="center"/>
            <w:hideMark/>
          </w:tcPr>
          <w:p w14:paraId="7E013E29"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Zodpovednosť</w:t>
            </w:r>
          </w:p>
        </w:tc>
        <w:tc>
          <w:tcPr>
            <w:tcW w:w="519" w:type="pct"/>
            <w:shd w:val="clear" w:color="auto" w:fill="auto"/>
            <w:noWrap/>
            <w:vAlign w:val="center"/>
            <w:hideMark/>
          </w:tcPr>
          <w:p w14:paraId="10BAB42B"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Termín plnenia</w:t>
            </w:r>
          </w:p>
        </w:tc>
        <w:tc>
          <w:tcPr>
            <w:tcW w:w="592" w:type="pct"/>
            <w:vAlign w:val="center"/>
          </w:tcPr>
          <w:p w14:paraId="659E801A" w14:textId="5598CC61" w:rsidR="00E66F49" w:rsidRPr="00666914" w:rsidRDefault="00E66F49" w:rsidP="00AE282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Nový termín plnenia</w:t>
            </w:r>
          </w:p>
        </w:tc>
        <w:tc>
          <w:tcPr>
            <w:tcW w:w="306" w:type="pct"/>
            <w:shd w:val="clear" w:color="auto" w:fill="auto"/>
            <w:noWrap/>
            <w:vAlign w:val="center"/>
            <w:hideMark/>
          </w:tcPr>
          <w:p w14:paraId="0CA56547"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1Q 2019</w:t>
            </w:r>
          </w:p>
        </w:tc>
        <w:tc>
          <w:tcPr>
            <w:tcW w:w="306" w:type="pct"/>
            <w:shd w:val="clear" w:color="auto" w:fill="auto"/>
            <w:noWrap/>
            <w:vAlign w:val="center"/>
            <w:hideMark/>
          </w:tcPr>
          <w:p w14:paraId="402B03A0"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2Q 2019</w:t>
            </w:r>
          </w:p>
        </w:tc>
        <w:tc>
          <w:tcPr>
            <w:tcW w:w="306" w:type="pct"/>
            <w:shd w:val="clear" w:color="auto" w:fill="auto"/>
            <w:noWrap/>
            <w:vAlign w:val="center"/>
            <w:hideMark/>
          </w:tcPr>
          <w:p w14:paraId="4D36D8C2"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3Q 2019</w:t>
            </w:r>
          </w:p>
        </w:tc>
        <w:tc>
          <w:tcPr>
            <w:tcW w:w="304" w:type="pct"/>
            <w:shd w:val="clear" w:color="auto" w:fill="auto"/>
            <w:noWrap/>
            <w:vAlign w:val="center"/>
            <w:hideMark/>
          </w:tcPr>
          <w:p w14:paraId="4C2656D4"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4Q 2019</w:t>
            </w:r>
          </w:p>
        </w:tc>
      </w:tr>
      <w:tr w:rsidR="00E66F49" w:rsidRPr="00666914" w14:paraId="36C6EDAD" w14:textId="77777777" w:rsidTr="00812751">
        <w:trPr>
          <w:trHeight w:val="287"/>
        </w:trPr>
        <w:tc>
          <w:tcPr>
            <w:tcW w:w="208" w:type="pct"/>
            <w:shd w:val="clear" w:color="auto" w:fill="auto"/>
            <w:vAlign w:val="center"/>
            <w:hideMark/>
          </w:tcPr>
          <w:p w14:paraId="5F943D47"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11</w:t>
            </w:r>
          </w:p>
        </w:tc>
        <w:tc>
          <w:tcPr>
            <w:tcW w:w="1716" w:type="pct"/>
            <w:shd w:val="clear" w:color="auto" w:fill="auto"/>
            <w:vAlign w:val="center"/>
          </w:tcPr>
          <w:p w14:paraId="54FFAEB9"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Prijať opatrenia na zvýšenie podielu bakalárskych študentov, ktorí nepokračujú v magisterskom štúdiu</w:t>
            </w:r>
          </w:p>
        </w:tc>
        <w:tc>
          <w:tcPr>
            <w:tcW w:w="742" w:type="pct"/>
            <w:shd w:val="clear" w:color="auto" w:fill="auto"/>
            <w:vAlign w:val="center"/>
          </w:tcPr>
          <w:p w14:paraId="6FDED88E"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 xml:space="preserve">MŠVVaŠ SR </w:t>
            </w:r>
          </w:p>
        </w:tc>
        <w:tc>
          <w:tcPr>
            <w:tcW w:w="519" w:type="pct"/>
            <w:shd w:val="clear" w:color="auto" w:fill="auto"/>
            <w:vAlign w:val="center"/>
          </w:tcPr>
          <w:p w14:paraId="5326A843"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12/2018</w:t>
            </w:r>
          </w:p>
        </w:tc>
        <w:tc>
          <w:tcPr>
            <w:tcW w:w="592" w:type="pct"/>
            <w:vAlign w:val="center"/>
          </w:tcPr>
          <w:p w14:paraId="0D11E2BE" w14:textId="77777777" w:rsidR="00E66F49" w:rsidRPr="00666914" w:rsidRDefault="00E66F49" w:rsidP="00D27F91">
            <w:pPr>
              <w:spacing w:after="0"/>
              <w:jc w:val="center"/>
              <w:rPr>
                <w:rFonts w:eastAsia="Times New Roman"/>
                <w:bCs/>
                <w:color w:val="000000"/>
                <w:sz w:val="20"/>
                <w:szCs w:val="20"/>
                <w:lang w:eastAsia="sk-SK"/>
              </w:rPr>
            </w:pPr>
            <w:r w:rsidRPr="00666914">
              <w:rPr>
                <w:rFonts w:eastAsia="Times New Roman"/>
                <w:bCs/>
                <w:color w:val="000000"/>
                <w:sz w:val="20"/>
                <w:szCs w:val="20"/>
                <w:lang w:eastAsia="sk-SK"/>
              </w:rPr>
              <w:t>06/2019</w:t>
            </w:r>
          </w:p>
        </w:tc>
        <w:tc>
          <w:tcPr>
            <w:tcW w:w="306" w:type="pct"/>
            <w:shd w:val="clear" w:color="auto" w:fill="FF0000"/>
            <w:noWrap/>
            <w:vAlign w:val="bottom"/>
            <w:hideMark/>
          </w:tcPr>
          <w:p w14:paraId="023442AF"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 </w:t>
            </w:r>
          </w:p>
        </w:tc>
        <w:tc>
          <w:tcPr>
            <w:tcW w:w="306" w:type="pct"/>
            <w:shd w:val="clear" w:color="auto" w:fill="FF0000"/>
            <w:noWrap/>
            <w:vAlign w:val="bottom"/>
            <w:hideMark/>
          </w:tcPr>
          <w:p w14:paraId="29EED4C5"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 </w:t>
            </w:r>
          </w:p>
        </w:tc>
        <w:tc>
          <w:tcPr>
            <w:tcW w:w="306" w:type="pct"/>
            <w:shd w:val="clear" w:color="auto" w:fill="FF0000"/>
            <w:noWrap/>
            <w:vAlign w:val="bottom"/>
            <w:hideMark/>
          </w:tcPr>
          <w:p w14:paraId="4A654EF4"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 </w:t>
            </w:r>
          </w:p>
        </w:tc>
        <w:tc>
          <w:tcPr>
            <w:tcW w:w="304" w:type="pct"/>
            <w:shd w:val="clear" w:color="auto" w:fill="FF0000"/>
            <w:noWrap/>
            <w:vAlign w:val="bottom"/>
            <w:hideMark/>
          </w:tcPr>
          <w:p w14:paraId="2B92B8C3"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 </w:t>
            </w:r>
          </w:p>
        </w:tc>
      </w:tr>
      <w:tr w:rsidR="00E66F49" w:rsidRPr="00666914" w14:paraId="7E529E72" w14:textId="77777777" w:rsidTr="00812751">
        <w:trPr>
          <w:trHeight w:val="664"/>
        </w:trPr>
        <w:tc>
          <w:tcPr>
            <w:tcW w:w="208" w:type="pct"/>
            <w:shd w:val="clear" w:color="auto" w:fill="auto"/>
            <w:vAlign w:val="center"/>
            <w:hideMark/>
          </w:tcPr>
          <w:p w14:paraId="0898E1B7"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12</w:t>
            </w:r>
          </w:p>
        </w:tc>
        <w:tc>
          <w:tcPr>
            <w:tcW w:w="1716" w:type="pct"/>
            <w:shd w:val="clear" w:color="auto" w:fill="auto"/>
            <w:vAlign w:val="center"/>
          </w:tcPr>
          <w:p w14:paraId="6C17D11D"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Upraviť podmienky pre realizáciu profesijne orientovaných bakalárskych programov</w:t>
            </w:r>
          </w:p>
        </w:tc>
        <w:tc>
          <w:tcPr>
            <w:tcW w:w="742" w:type="pct"/>
            <w:shd w:val="clear" w:color="auto" w:fill="auto"/>
            <w:vAlign w:val="center"/>
          </w:tcPr>
          <w:p w14:paraId="68BE491B"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 xml:space="preserve">MŠVVaŠ SR </w:t>
            </w:r>
          </w:p>
        </w:tc>
        <w:tc>
          <w:tcPr>
            <w:tcW w:w="519" w:type="pct"/>
            <w:shd w:val="clear" w:color="auto" w:fill="auto"/>
            <w:vAlign w:val="center"/>
          </w:tcPr>
          <w:p w14:paraId="67078F83"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01/2019</w:t>
            </w:r>
          </w:p>
        </w:tc>
        <w:tc>
          <w:tcPr>
            <w:tcW w:w="592" w:type="pct"/>
            <w:vAlign w:val="center"/>
          </w:tcPr>
          <w:p w14:paraId="2819745A"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w:t>
            </w:r>
          </w:p>
        </w:tc>
        <w:tc>
          <w:tcPr>
            <w:tcW w:w="306" w:type="pct"/>
            <w:shd w:val="clear" w:color="auto" w:fill="FFC000"/>
            <w:noWrap/>
            <w:vAlign w:val="bottom"/>
            <w:hideMark/>
          </w:tcPr>
          <w:p w14:paraId="7391596A"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C000"/>
            <w:noWrap/>
            <w:vAlign w:val="bottom"/>
            <w:hideMark/>
          </w:tcPr>
          <w:p w14:paraId="2A20249B"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C000"/>
            <w:noWrap/>
            <w:vAlign w:val="bottom"/>
            <w:hideMark/>
          </w:tcPr>
          <w:p w14:paraId="2E2913C5"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4" w:type="pct"/>
            <w:shd w:val="clear" w:color="auto" w:fill="FFC000"/>
            <w:noWrap/>
            <w:vAlign w:val="bottom"/>
            <w:hideMark/>
          </w:tcPr>
          <w:p w14:paraId="78E82EA6"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E66F49" w:rsidRPr="00666914" w14:paraId="7B2BF123" w14:textId="77777777" w:rsidTr="00812751">
        <w:trPr>
          <w:trHeight w:val="613"/>
        </w:trPr>
        <w:tc>
          <w:tcPr>
            <w:tcW w:w="208" w:type="pct"/>
            <w:shd w:val="clear" w:color="auto" w:fill="auto"/>
            <w:vAlign w:val="center"/>
            <w:hideMark/>
          </w:tcPr>
          <w:p w14:paraId="42957D44"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13</w:t>
            </w:r>
          </w:p>
        </w:tc>
        <w:tc>
          <w:tcPr>
            <w:tcW w:w="1716" w:type="pct"/>
            <w:shd w:val="clear" w:color="auto" w:fill="auto"/>
            <w:vAlign w:val="center"/>
          </w:tcPr>
          <w:p w14:paraId="7BF36B4C"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Reformovať proces akreditácie a akreditačnú autoritu v súlade s ESG 2015</w:t>
            </w:r>
          </w:p>
        </w:tc>
        <w:tc>
          <w:tcPr>
            <w:tcW w:w="742" w:type="pct"/>
            <w:shd w:val="clear" w:color="auto" w:fill="auto"/>
            <w:vAlign w:val="center"/>
          </w:tcPr>
          <w:p w14:paraId="44683B65"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MŠVVaŠ SR</w:t>
            </w:r>
          </w:p>
        </w:tc>
        <w:tc>
          <w:tcPr>
            <w:tcW w:w="519" w:type="pct"/>
            <w:shd w:val="clear" w:color="auto" w:fill="auto"/>
            <w:vAlign w:val="center"/>
          </w:tcPr>
          <w:p w14:paraId="6DBB6409"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01/2018</w:t>
            </w:r>
            <w:r w:rsidRPr="00666914">
              <w:rPr>
                <w:rFonts w:eastAsia="Times New Roman"/>
                <w:color w:val="000000"/>
                <w:sz w:val="20"/>
                <w:szCs w:val="20"/>
                <w:lang w:eastAsia="sk-SK"/>
              </w:rPr>
              <w:br/>
            </w:r>
            <w:r w:rsidRPr="00666914">
              <w:rPr>
                <w:rFonts w:eastAsia="Times New Roman"/>
                <w:color w:val="000000"/>
                <w:sz w:val="18"/>
                <w:szCs w:val="20"/>
                <w:lang w:eastAsia="sk-SK"/>
              </w:rPr>
              <w:t>(proces akreditácie)</w:t>
            </w:r>
          </w:p>
          <w:p w14:paraId="48F99F03"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01/2021</w:t>
            </w:r>
            <w:r w:rsidRPr="00666914">
              <w:rPr>
                <w:rFonts w:eastAsia="Times New Roman"/>
                <w:color w:val="000000"/>
                <w:sz w:val="20"/>
                <w:szCs w:val="20"/>
                <w:lang w:eastAsia="sk-SK"/>
              </w:rPr>
              <w:br/>
            </w:r>
            <w:r w:rsidRPr="00666914">
              <w:rPr>
                <w:rFonts w:eastAsia="Times New Roman"/>
                <w:color w:val="000000"/>
                <w:sz w:val="18"/>
                <w:szCs w:val="20"/>
                <w:lang w:eastAsia="sk-SK"/>
              </w:rPr>
              <w:t>(členstvo v ENQA)</w:t>
            </w:r>
          </w:p>
        </w:tc>
        <w:tc>
          <w:tcPr>
            <w:tcW w:w="592" w:type="pct"/>
            <w:vAlign w:val="center"/>
          </w:tcPr>
          <w:p w14:paraId="2B5605BD"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w:t>
            </w:r>
          </w:p>
        </w:tc>
        <w:tc>
          <w:tcPr>
            <w:tcW w:w="306" w:type="pct"/>
            <w:shd w:val="clear" w:color="auto" w:fill="A6A6A6" w:themeFill="background1" w:themeFillShade="A6"/>
            <w:noWrap/>
            <w:vAlign w:val="bottom"/>
            <w:hideMark/>
          </w:tcPr>
          <w:p w14:paraId="1E2700B9"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A6A6A6" w:themeFill="background1" w:themeFillShade="A6"/>
            <w:noWrap/>
            <w:vAlign w:val="bottom"/>
            <w:hideMark/>
          </w:tcPr>
          <w:p w14:paraId="5953839C"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A6A6A6" w:themeFill="background1" w:themeFillShade="A6"/>
            <w:noWrap/>
            <w:vAlign w:val="bottom"/>
            <w:hideMark/>
          </w:tcPr>
          <w:p w14:paraId="73ECDFAB"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4" w:type="pct"/>
            <w:shd w:val="clear" w:color="auto" w:fill="FFC000"/>
            <w:noWrap/>
            <w:vAlign w:val="bottom"/>
            <w:hideMark/>
          </w:tcPr>
          <w:p w14:paraId="614DA7D1"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E66F49" w:rsidRPr="00666914" w14:paraId="362E9AFC" w14:textId="77777777" w:rsidTr="00812751">
        <w:trPr>
          <w:trHeight w:val="577"/>
        </w:trPr>
        <w:tc>
          <w:tcPr>
            <w:tcW w:w="208" w:type="pct"/>
            <w:shd w:val="clear" w:color="auto" w:fill="auto"/>
            <w:vAlign w:val="center"/>
            <w:hideMark/>
          </w:tcPr>
          <w:p w14:paraId="5FCEC15A"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14</w:t>
            </w:r>
          </w:p>
        </w:tc>
        <w:tc>
          <w:tcPr>
            <w:tcW w:w="1716" w:type="pct"/>
            <w:shd w:val="clear" w:color="auto" w:fill="auto"/>
            <w:vAlign w:val="center"/>
          </w:tcPr>
          <w:p w14:paraId="19DC7A6E"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Zaviesť tzv. "informed peer review" hodnotenie tvorivej činnosti vysokých škôl</w:t>
            </w:r>
          </w:p>
        </w:tc>
        <w:tc>
          <w:tcPr>
            <w:tcW w:w="742" w:type="pct"/>
            <w:shd w:val="clear" w:color="auto" w:fill="auto"/>
            <w:vAlign w:val="center"/>
          </w:tcPr>
          <w:p w14:paraId="3A51948B"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 xml:space="preserve">MŠVVaŠ SR </w:t>
            </w:r>
          </w:p>
        </w:tc>
        <w:tc>
          <w:tcPr>
            <w:tcW w:w="519" w:type="pct"/>
            <w:shd w:val="clear" w:color="auto" w:fill="auto"/>
            <w:vAlign w:val="center"/>
          </w:tcPr>
          <w:p w14:paraId="66BC7661"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01/2021</w:t>
            </w:r>
          </w:p>
        </w:tc>
        <w:tc>
          <w:tcPr>
            <w:tcW w:w="592" w:type="pct"/>
            <w:vAlign w:val="center"/>
          </w:tcPr>
          <w:p w14:paraId="671657EE"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w:t>
            </w:r>
          </w:p>
        </w:tc>
        <w:tc>
          <w:tcPr>
            <w:tcW w:w="306" w:type="pct"/>
            <w:shd w:val="clear" w:color="auto" w:fill="A6A6A6" w:themeFill="background1" w:themeFillShade="A6"/>
            <w:noWrap/>
            <w:vAlign w:val="bottom"/>
            <w:hideMark/>
          </w:tcPr>
          <w:p w14:paraId="5F38267E"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A6A6A6" w:themeFill="background1" w:themeFillShade="A6"/>
            <w:noWrap/>
            <w:vAlign w:val="bottom"/>
            <w:hideMark/>
          </w:tcPr>
          <w:p w14:paraId="0829923C"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A6A6A6" w:themeFill="background1" w:themeFillShade="A6"/>
            <w:noWrap/>
            <w:vAlign w:val="bottom"/>
            <w:hideMark/>
          </w:tcPr>
          <w:p w14:paraId="3DDBAED6"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4" w:type="pct"/>
            <w:shd w:val="clear" w:color="auto" w:fill="FFC000"/>
            <w:noWrap/>
            <w:vAlign w:val="bottom"/>
            <w:hideMark/>
          </w:tcPr>
          <w:p w14:paraId="2FCF1392"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E66F49" w:rsidRPr="00666914" w14:paraId="2C1474CF" w14:textId="77777777" w:rsidTr="00812751">
        <w:trPr>
          <w:trHeight w:val="953"/>
        </w:trPr>
        <w:tc>
          <w:tcPr>
            <w:tcW w:w="208" w:type="pct"/>
            <w:shd w:val="clear" w:color="auto" w:fill="auto"/>
            <w:vAlign w:val="center"/>
            <w:hideMark/>
          </w:tcPr>
          <w:p w14:paraId="34FC924F"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15</w:t>
            </w:r>
          </w:p>
        </w:tc>
        <w:tc>
          <w:tcPr>
            <w:tcW w:w="1716" w:type="pct"/>
            <w:shd w:val="clear" w:color="auto" w:fill="auto"/>
            <w:vAlign w:val="center"/>
          </w:tcPr>
          <w:p w14:paraId="5885B598"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Zvýšiť podiel súťažných grantov (najmä APVV a VEGA) vo verejných výdavkoch na vedu</w:t>
            </w:r>
          </w:p>
        </w:tc>
        <w:tc>
          <w:tcPr>
            <w:tcW w:w="742" w:type="pct"/>
            <w:shd w:val="clear" w:color="auto" w:fill="auto"/>
            <w:vAlign w:val="center"/>
          </w:tcPr>
          <w:p w14:paraId="1C945A58"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 xml:space="preserve">MŠVVaŠ SR </w:t>
            </w:r>
          </w:p>
        </w:tc>
        <w:tc>
          <w:tcPr>
            <w:tcW w:w="519" w:type="pct"/>
            <w:shd w:val="clear" w:color="auto" w:fill="auto"/>
            <w:vAlign w:val="center"/>
          </w:tcPr>
          <w:p w14:paraId="025A9872"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12/2018</w:t>
            </w:r>
          </w:p>
        </w:tc>
        <w:tc>
          <w:tcPr>
            <w:tcW w:w="592" w:type="pct"/>
            <w:vAlign w:val="center"/>
          </w:tcPr>
          <w:p w14:paraId="689702E9"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12/2019</w:t>
            </w:r>
          </w:p>
        </w:tc>
        <w:tc>
          <w:tcPr>
            <w:tcW w:w="306" w:type="pct"/>
            <w:shd w:val="clear" w:color="auto" w:fill="A6A6A6" w:themeFill="background1" w:themeFillShade="A6"/>
            <w:noWrap/>
            <w:vAlign w:val="bottom"/>
            <w:hideMark/>
          </w:tcPr>
          <w:p w14:paraId="04579904"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A6A6A6" w:themeFill="background1" w:themeFillShade="A6"/>
            <w:noWrap/>
            <w:vAlign w:val="bottom"/>
            <w:hideMark/>
          </w:tcPr>
          <w:p w14:paraId="2F95D5F1"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A6A6A6" w:themeFill="background1" w:themeFillShade="A6"/>
            <w:noWrap/>
            <w:vAlign w:val="bottom"/>
            <w:hideMark/>
          </w:tcPr>
          <w:p w14:paraId="223D4DD4"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4" w:type="pct"/>
            <w:shd w:val="clear" w:color="auto" w:fill="92D050"/>
            <w:noWrap/>
            <w:vAlign w:val="bottom"/>
            <w:hideMark/>
          </w:tcPr>
          <w:p w14:paraId="24DF783D"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bl>
    <w:p w14:paraId="27D1E8F7" w14:textId="77777777" w:rsidR="00E66F49" w:rsidRPr="00666914" w:rsidRDefault="00E66F49" w:rsidP="00432502">
      <w:pPr>
        <w:spacing w:after="0"/>
        <w:jc w:val="left"/>
      </w:pPr>
    </w:p>
    <w:p w14:paraId="3AE31550" w14:textId="77777777" w:rsidR="00E66F49" w:rsidRPr="00666914" w:rsidRDefault="00E66F49" w:rsidP="00E66F49">
      <w:pPr>
        <w:pStyle w:val="Odsekzoznamu"/>
        <w:numPr>
          <w:ilvl w:val="0"/>
          <w:numId w:val="2"/>
        </w:numPr>
        <w:jc w:val="left"/>
      </w:pPr>
      <w:r w:rsidRPr="00666914">
        <w:rPr>
          <w:b/>
          <w:u w:val="single"/>
        </w:rPr>
        <w:t>Prijať opatrenia na zvýšenie podielu bakalárskych študentov, ktorí nepokračujú v magisterskom štúdiu</w:t>
      </w:r>
    </w:p>
    <w:p w14:paraId="34B55FC7" w14:textId="77777777" w:rsidR="00E66F49" w:rsidRPr="00666914" w:rsidRDefault="00E66F49" w:rsidP="00D27F91">
      <w:pPr>
        <w:pStyle w:val="Odsekzoznamu"/>
        <w:spacing w:after="0"/>
      </w:pPr>
    </w:p>
    <w:p w14:paraId="2D28143C" w14:textId="04CBB48B" w:rsidR="00E66F49" w:rsidRPr="00666914" w:rsidRDefault="00E66F49" w:rsidP="00D27F91">
      <w:r w:rsidRPr="00666914">
        <w:t>Prijatím opatrení podporujúcich zvýšenie podielu študentov s ukončeným bakalárskym vzdelaním, ktorí nepokračujú na magisterskom štúdiu</w:t>
      </w:r>
      <w:r w:rsidR="00C16487" w:rsidRPr="00666914">
        <w:t>,</w:t>
      </w:r>
      <w:r w:rsidRPr="00666914">
        <w:t xml:space="preserve"> sa podľa revízie výdavkov mohla </w:t>
      </w:r>
      <w:r w:rsidR="00D335B2" w:rsidRPr="00666914">
        <w:t>v roku 2019</w:t>
      </w:r>
      <w:r w:rsidRPr="00666914">
        <w:t xml:space="preserve"> dosiahnuť úspora </w:t>
      </w:r>
      <w:r w:rsidR="00D335B2" w:rsidRPr="00666914">
        <w:t>7</w:t>
      </w:r>
      <w:r w:rsidRPr="00666914">
        <w:t xml:space="preserve"> mil. eur.</w:t>
      </w:r>
    </w:p>
    <w:p w14:paraId="759D0B73" w14:textId="372EFFB4" w:rsidR="00E66F49" w:rsidRPr="00666914" w:rsidRDefault="00E66F49" w:rsidP="00D27F91">
      <w:r w:rsidRPr="00666914">
        <w:t xml:space="preserve">V rámci </w:t>
      </w:r>
      <w:r w:rsidRPr="00666914">
        <w:rPr>
          <w:i/>
        </w:rPr>
        <w:t>Metodiky rozpisu dotácie zo štátneho rozpočtu pre verejné vysoké školy na rok 2019</w:t>
      </w:r>
      <w:r w:rsidRPr="00666914">
        <w:rPr>
          <w:rStyle w:val="Odkaznapoznmkupodiarou"/>
        </w:rPr>
        <w:footnoteReference w:id="204"/>
      </w:r>
      <w:r w:rsidRPr="00666914">
        <w:t xml:space="preserve"> </w:t>
      </w:r>
      <w:r w:rsidR="00C16487" w:rsidRPr="00666914">
        <w:t xml:space="preserve">znížilo </w:t>
      </w:r>
      <w:r w:rsidRPr="00666914">
        <w:t>ministerstvo školám celkovú dotáciu (o 9,7 mil. eur) na absolventov bakalárskych programov, ktorí pokračujú na druhom stupni štúdia. Zároveň umožnilo školám využiť tieto finančné prostriedky na iné štrukturálne opatrenia (na roky 2019</w:t>
      </w:r>
      <w:r w:rsidR="00C16487" w:rsidRPr="00666914">
        <w:t xml:space="preserve"> </w:t>
      </w:r>
      <w:r w:rsidRPr="00666914">
        <w:t>-</w:t>
      </w:r>
      <w:r w:rsidR="00C16487" w:rsidRPr="00666914">
        <w:t xml:space="preserve"> </w:t>
      </w:r>
      <w:r w:rsidRPr="00666914">
        <w:t xml:space="preserve">2021), podľa priorít jednotlivých vysokých škôl. </w:t>
      </w:r>
      <w:r w:rsidRPr="00666914">
        <w:rPr>
          <w:b/>
        </w:rPr>
        <w:t xml:space="preserve">Ministerstvo nevyužilo možnosť podmieniť realokáciu týchto prostriedkov priamo na znižovanie počtu pokračujúcich bakalárov, ostalo to na rozhodnutí samotných vysokých škôl. </w:t>
      </w:r>
      <w:r w:rsidRPr="00666914">
        <w:t>Vzhľadom na chýbajúce podrobnejšie podklady nebolo počas prípravy SIS 2019</w:t>
      </w:r>
      <w:r w:rsidR="00C16487" w:rsidRPr="00666914">
        <w:t xml:space="preserve"> možné</w:t>
      </w:r>
      <w:r w:rsidRPr="00666914">
        <w:t xml:space="preserve"> vyhodnotiť vplyv navrhovaných opatrení VŠ na znižovanie podielu študentov na II. stupni VŠ štúdia. Vyhodnotenie plnenia štrukturálnych opatrení VŠ rezort vypracuje v roku 2022.</w:t>
      </w:r>
    </w:p>
    <w:p w14:paraId="24CD29D3" w14:textId="3D1B46EC" w:rsidR="00E66F49" w:rsidRPr="00666914" w:rsidRDefault="00E66F49" w:rsidP="00D27F91">
      <w:pPr>
        <w:rPr>
          <w:b/>
        </w:rPr>
      </w:pPr>
      <w:r w:rsidRPr="00666914">
        <w:rPr>
          <w:b/>
        </w:rPr>
        <w:t>Z dôvodu chýbajúcich podrobnejších údajov nie je možné vyhodnotiť vplyv takto upraveného financovania na motiváciu VŠ zvyšovať podiel študentov s ukončeným bakalárskym štúdiom. Opatrenie sa k 31.12.2019 neplní.</w:t>
      </w:r>
    </w:p>
    <w:p w14:paraId="6DCA3E9E" w14:textId="616E7AC8" w:rsidR="00E66F49" w:rsidRPr="00666914" w:rsidRDefault="00E66F49" w:rsidP="00D27F91">
      <w:r w:rsidRPr="00666914">
        <w:t>V návrhu metodiky rozpisu dotácií na rok 2020</w:t>
      </w:r>
      <w:r w:rsidRPr="00666914">
        <w:rPr>
          <w:rStyle w:val="Odkaznapoznmkupodiarou"/>
        </w:rPr>
        <w:footnoteReference w:id="205"/>
      </w:r>
      <w:r w:rsidRPr="00666914">
        <w:t xml:space="preserve"> </w:t>
      </w:r>
      <w:r w:rsidR="00C16487" w:rsidRPr="00666914">
        <w:t xml:space="preserve">upravil </w:t>
      </w:r>
      <w:r w:rsidRPr="00666914">
        <w:t>rezort financovanie absolventov bakalárskeho štúdia, ktorí pokračujú na II. stupni VŠ z plnej váhy na desatinnú. Takto ušetrené peniaze majú byť v súlade s metodikou alokované zasa na rozvojové projekty. Nie je však známe, či majú podporovať napr. profiláciu jednotlivých škôl.</w:t>
      </w:r>
    </w:p>
    <w:p w14:paraId="02D131BB" w14:textId="0A6022C9" w:rsidR="00E66F49" w:rsidRPr="00666914" w:rsidRDefault="00E66F49" w:rsidP="00D27F91">
      <w:pPr>
        <w:spacing w:after="0"/>
      </w:pPr>
      <w:r w:rsidRPr="00666914">
        <w:t>Podľa vyjadrenia ministerky školstva by k zvýšeniu podielu študentov, ktorí nebudú pokračovať na II. stupni VŠ štúdia mala prispieť aj novozaložená Slovenská akreditačná agentúra pre vysoké školstvo</w:t>
      </w:r>
      <w:r w:rsidRPr="00666914">
        <w:rPr>
          <w:rStyle w:val="Odkaznapoznmkupodiarou"/>
        </w:rPr>
        <w:footnoteReference w:id="206"/>
      </w:r>
      <w:r w:rsidRPr="00666914">
        <w:t>. Presný spôsob však nebol uvedený.</w:t>
      </w:r>
    </w:p>
    <w:p w14:paraId="2E6D9000" w14:textId="77777777" w:rsidR="00E66F49" w:rsidRPr="00666914" w:rsidRDefault="00E66F49" w:rsidP="00D27F91">
      <w:pPr>
        <w:spacing w:after="0"/>
        <w:rPr>
          <w:color w:val="C45911" w:themeColor="accent2" w:themeShade="BF"/>
        </w:rPr>
      </w:pPr>
    </w:p>
    <w:p w14:paraId="1E9AA353" w14:textId="362F7C91" w:rsidR="00E66F49" w:rsidRPr="00666914" w:rsidRDefault="00E66F49" w:rsidP="00D945A7">
      <w:pPr>
        <w:rPr>
          <w:color w:val="FF0000"/>
        </w:rPr>
      </w:pPr>
      <w:r w:rsidRPr="00666914">
        <w:rPr>
          <w:b/>
        </w:rPr>
        <w:lastRenderedPageBreak/>
        <w:t>Odporúčanie IJ:</w:t>
      </w:r>
      <w:r w:rsidRPr="00666914">
        <w:t xml:space="preserve"> </w:t>
      </w:r>
      <w:r w:rsidRPr="00666914">
        <w:rPr>
          <w:b/>
        </w:rPr>
        <w:t>Komplexn</w:t>
      </w:r>
      <w:r w:rsidR="00AE0944" w:rsidRPr="00666914">
        <w:rPr>
          <w:b/>
        </w:rPr>
        <w:t>e</w:t>
      </w:r>
      <w:r w:rsidRPr="00666914">
        <w:rPr>
          <w:b/>
        </w:rPr>
        <w:t xml:space="preserve"> príst</w:t>
      </w:r>
      <w:r w:rsidR="00AE0944" w:rsidRPr="00666914">
        <w:rPr>
          <w:b/>
        </w:rPr>
        <w:t>ú</w:t>
      </w:r>
      <w:r w:rsidRPr="00666914">
        <w:rPr>
          <w:b/>
        </w:rPr>
        <w:t>p</w:t>
      </w:r>
      <w:r w:rsidR="00AE0944" w:rsidRPr="00666914">
        <w:rPr>
          <w:b/>
        </w:rPr>
        <w:t>iť</w:t>
      </w:r>
      <w:r w:rsidRPr="00666914">
        <w:rPr>
          <w:b/>
        </w:rPr>
        <w:t xml:space="preserve"> k analýze systému financovania VŠ za účelom adresnejšej podpory bakalárskych študentov</w:t>
      </w:r>
      <w:r w:rsidRPr="00666914">
        <w:t>, prípadne naviazať v budúcnosti štrukturálne zmeny VŠ priamo na podporu znižovania podielu bakalárskych študentov pokračujúcich v magisterskom štúdiu.</w:t>
      </w:r>
    </w:p>
    <w:p w14:paraId="014FF517" w14:textId="77777777" w:rsidR="00E66F49" w:rsidRPr="00666914" w:rsidRDefault="00E66F49" w:rsidP="00E66F49">
      <w:pPr>
        <w:pStyle w:val="Odsekzoznamu"/>
        <w:numPr>
          <w:ilvl w:val="0"/>
          <w:numId w:val="2"/>
        </w:numPr>
        <w:jc w:val="left"/>
      </w:pPr>
      <w:r w:rsidRPr="00666914">
        <w:t xml:space="preserve"> </w:t>
      </w:r>
      <w:r w:rsidRPr="00666914">
        <w:rPr>
          <w:b/>
          <w:u w:val="single"/>
        </w:rPr>
        <w:t>Upraviť podmienky pre realizáciu profesijne orientovaných bakalárskych programov</w:t>
      </w:r>
    </w:p>
    <w:p w14:paraId="737A227C" w14:textId="77777777" w:rsidR="00E66F49" w:rsidRPr="00666914" w:rsidRDefault="00E66F49" w:rsidP="00D27F91">
      <w:pPr>
        <w:pStyle w:val="Odsekzoznamu"/>
        <w:spacing w:after="0"/>
        <w:jc w:val="left"/>
      </w:pPr>
    </w:p>
    <w:p w14:paraId="2F89D28E" w14:textId="6D2AEFFB" w:rsidR="00E66F49" w:rsidRPr="00666914" w:rsidRDefault="00E66F49" w:rsidP="00D27F91">
      <w:r w:rsidRPr="00666914">
        <w:t>Úpravu podmienok podporujúcich profesijne orientované bakalárske študijné programy iniciovalo MŠVVaŠ SR v roku 2018 schválením kritérií ich akreditácie</w:t>
      </w:r>
      <w:r w:rsidRPr="00666914">
        <w:rPr>
          <w:rStyle w:val="Odkaznapoznmkupodiarou"/>
        </w:rPr>
        <w:footnoteReference w:id="207"/>
      </w:r>
      <w:r w:rsidRPr="00666914">
        <w:t>. Ďalšiu formu podpory predstavovalo v 12/2018 vyhlásenie výzvy na predkladanie žiadostí o poskytnutie NFP</w:t>
      </w:r>
      <w:r w:rsidRPr="00666914">
        <w:rPr>
          <w:rStyle w:val="Odkaznapoznmkupodiarou"/>
        </w:rPr>
        <w:footnoteReference w:id="208"/>
      </w:r>
      <w:r w:rsidRPr="00666914">
        <w:t xml:space="preserve"> s celkovou alokáciou 15 mil. eur. </w:t>
      </w:r>
      <w:r w:rsidRPr="00666914">
        <w:rPr>
          <w:b/>
        </w:rPr>
        <w:t xml:space="preserve">Prvá fáza je zameraná na podporu VŠ pri tvorbe profesijne orientovaných bakalárskych študijných programov. </w:t>
      </w:r>
      <w:r w:rsidRPr="00666914">
        <w:t>Do 12/2019 bolo v rámci prvého a druhého hodnotiaceho kola výzvy predložených 32 projektov v hodnote 6,8 mil. eur (len zdroje EŠIF). Napriek tomu sa odborné hodnotenie projektov do 12/2019 neuskutočnilo. Dôvodom je pretrvávajúci nedostatok odborných hodnotiteľov</w:t>
      </w:r>
      <w:r w:rsidRPr="00666914">
        <w:rPr>
          <w:rStyle w:val="Odkaznapoznmkupodiarou"/>
        </w:rPr>
        <w:footnoteReference w:id="209"/>
      </w:r>
      <w:r w:rsidRPr="00666914">
        <w:t xml:space="preserve">. MŠVVaŠ SR </w:t>
      </w:r>
      <w:r w:rsidR="006F2A97" w:rsidRPr="00666914">
        <w:t xml:space="preserve">realizuje už od roku 2019 </w:t>
      </w:r>
      <w:r w:rsidRPr="00666914">
        <w:t>za účelom doplnenia databázy odborných hodnotiteľov proaktívne opatrenia</w:t>
      </w:r>
      <w:r w:rsidRPr="00666914">
        <w:rPr>
          <w:rStyle w:val="Odkaznapoznmkupodiarou"/>
        </w:rPr>
        <w:footnoteReference w:id="210"/>
      </w:r>
      <w:r w:rsidRPr="00666914">
        <w:t>. Aktuálne pristupuje ministerstvo dokonca k zvýšeniu hodinovej sadzby za hodnotenie projektov predložených v rámci tejto výzvy</w:t>
      </w:r>
      <w:r w:rsidRPr="00666914">
        <w:rPr>
          <w:rStyle w:val="Odkaznapoznmkupodiarou"/>
        </w:rPr>
        <w:footnoteReference w:id="211"/>
      </w:r>
      <w:r w:rsidRPr="00666914">
        <w:t>.</w:t>
      </w:r>
    </w:p>
    <w:p w14:paraId="555F58FE" w14:textId="77777777" w:rsidR="00E66F49" w:rsidRPr="00666914" w:rsidRDefault="00E66F49" w:rsidP="00D27F91">
      <w:r w:rsidRPr="00666914">
        <w:rPr>
          <w:b/>
        </w:rPr>
        <w:t>V akademickom roku 2019/2020 študovalo v profesijne orientovanom bakalárskom programe STU 31 študentov</w:t>
      </w:r>
      <w:r w:rsidRPr="00666914">
        <w:rPr>
          <w:rStyle w:val="Odkaznapoznmkupodiarou"/>
        </w:rPr>
        <w:footnoteReference w:id="212"/>
      </w:r>
      <w:r w:rsidRPr="00666914">
        <w:t>. Počas roka 2019 pribudlo ďalších deväť študijných programov so začiatkom výučby v akademickom roku 2020/2021</w:t>
      </w:r>
      <w:r w:rsidRPr="00666914">
        <w:rPr>
          <w:rStyle w:val="Odkaznapoznmkupodiarou"/>
        </w:rPr>
        <w:footnoteReference w:id="213"/>
      </w:r>
      <w:r w:rsidRPr="00666914">
        <w:t>.</w:t>
      </w:r>
    </w:p>
    <w:p w14:paraId="45E5E615" w14:textId="63640E5A" w:rsidR="00E66F49" w:rsidRPr="00666914" w:rsidRDefault="00E66F49" w:rsidP="00D27F91">
      <w:r w:rsidRPr="00666914">
        <w:t xml:space="preserve">V metodike rozpisu dotácií pre VŠ na rok 2020 </w:t>
      </w:r>
      <w:r w:rsidR="006F2A97" w:rsidRPr="00666914">
        <w:t xml:space="preserve">posilnilo </w:t>
      </w:r>
      <w:r w:rsidRPr="00666914">
        <w:t>ministerstvo rozvíjanie profesijne orientovaných bakalárskych študijných programov nastavením osobitnej váhy</w:t>
      </w:r>
      <w:r w:rsidRPr="00666914">
        <w:rPr>
          <w:rStyle w:val="Odkaznapoznmkupodiarou"/>
        </w:rPr>
        <w:footnoteReference w:id="214"/>
      </w:r>
      <w:r w:rsidRPr="00666914">
        <w:t>.</w:t>
      </w:r>
      <w:r w:rsidRPr="00666914">
        <w:rPr>
          <w:color w:val="00B050"/>
        </w:rPr>
        <w:t xml:space="preserve"> </w:t>
      </w:r>
    </w:p>
    <w:p w14:paraId="1FB89D5B" w14:textId="219BE8FF" w:rsidR="00E66F49" w:rsidRPr="00666914" w:rsidRDefault="00E66F49" w:rsidP="00D27F91">
      <w:r w:rsidRPr="00666914">
        <w:rPr>
          <w:b/>
        </w:rPr>
        <w:t xml:space="preserve">V 07/2019 bola zavedená možnosť finančnej motivácie </w:t>
      </w:r>
      <w:r w:rsidR="003A0B86" w:rsidRPr="00666914">
        <w:rPr>
          <w:b/>
        </w:rPr>
        <w:t xml:space="preserve">na </w:t>
      </w:r>
      <w:r w:rsidRPr="00666914">
        <w:rPr>
          <w:b/>
        </w:rPr>
        <w:t xml:space="preserve">štúdium vybraných študijných programov </w:t>
      </w:r>
      <w:r w:rsidR="003A0B86" w:rsidRPr="00666914">
        <w:rPr>
          <w:b/>
        </w:rPr>
        <w:t xml:space="preserve">prostredníctvom </w:t>
      </w:r>
      <w:r w:rsidRPr="00666914">
        <w:rPr>
          <w:b/>
        </w:rPr>
        <w:t>podnikových štipendií</w:t>
      </w:r>
      <w:r w:rsidRPr="00666914">
        <w:rPr>
          <w:rStyle w:val="Odkaznapoznmkupodiarou"/>
          <w:b/>
        </w:rPr>
        <w:footnoteReference w:id="215"/>
      </w:r>
      <w:r w:rsidRPr="00666914">
        <w:rPr>
          <w:b/>
        </w:rPr>
        <w:t>.</w:t>
      </w:r>
      <w:r w:rsidRPr="00666914">
        <w:t xml:space="preserve"> Napriek tomu, že novela zakazovala podmieňovanie poskytnutia štipendia dodatočnými požiadavkami či povinnosťami, koncom roka 2019 bola schválená ďalšia úprava zákona o VŠ, ktorá od 01/2020 zaviedla po ukončení štúdia možnosť uzatvárania pracovnoprávnych vzťahov (s rovnakými podmienkami ako u zamestnancov s rovnakou náplňou práce)</w:t>
      </w:r>
      <w:r w:rsidRPr="00666914">
        <w:rPr>
          <w:rStyle w:val="Odkaznapoznmkupodiarou"/>
        </w:rPr>
        <w:footnoteReference w:id="216"/>
      </w:r>
      <w:r w:rsidRPr="00666914">
        <w:t xml:space="preserve">. Prínos týchto legislatívnych úprav k zvýšeniu atraktívnosti profesijne orientovaných bakalárskych študijných programov malo MŠVVaŠ SR posúdiť na základe údajov o štipendiách, zverejňovaných v Centrálnom registri študentov VŠ. Počas prípravy SIS 2019 rezort </w:t>
      </w:r>
      <w:r w:rsidR="003A0B86" w:rsidRPr="00666914">
        <w:t xml:space="preserve">neposkytol </w:t>
      </w:r>
      <w:r w:rsidRPr="00666914">
        <w:t xml:space="preserve">tieto údaje IJ. </w:t>
      </w:r>
    </w:p>
    <w:p w14:paraId="08796ADA" w14:textId="55D9466C" w:rsidR="00C45695" w:rsidRDefault="00E66F49" w:rsidP="00D27F91">
      <w:pPr>
        <w:rPr>
          <w:b/>
        </w:rPr>
      </w:pPr>
      <w:r w:rsidRPr="00666914">
        <w:rPr>
          <w:b/>
        </w:rPr>
        <w:t>Opatrenie sa k 31.12.2019 plní čiastočne.</w:t>
      </w:r>
    </w:p>
    <w:p w14:paraId="0B6F8D55" w14:textId="1008F7B9" w:rsidR="00DE708D" w:rsidRDefault="00DE708D" w:rsidP="00D27F91">
      <w:pPr>
        <w:rPr>
          <w:b/>
        </w:rPr>
      </w:pPr>
    </w:p>
    <w:p w14:paraId="14E7EE9D" w14:textId="77777777" w:rsidR="00DE708D" w:rsidRDefault="00DE708D" w:rsidP="00DE708D">
      <w:pPr>
        <w:pStyle w:val="Odsekzoznamu"/>
        <w:spacing w:after="0"/>
        <w:jc w:val="left"/>
        <w:rPr>
          <w:b/>
          <w:u w:val="single"/>
        </w:rPr>
      </w:pPr>
    </w:p>
    <w:p w14:paraId="186829EF" w14:textId="4A680DD8" w:rsidR="00E66F49" w:rsidRPr="00666914" w:rsidRDefault="00E66F49" w:rsidP="00E66F49">
      <w:pPr>
        <w:pStyle w:val="Odsekzoznamu"/>
        <w:numPr>
          <w:ilvl w:val="0"/>
          <w:numId w:val="2"/>
        </w:numPr>
        <w:spacing w:after="0"/>
        <w:jc w:val="left"/>
        <w:rPr>
          <w:b/>
          <w:u w:val="single"/>
        </w:rPr>
      </w:pPr>
      <w:r w:rsidRPr="00666914">
        <w:rPr>
          <w:b/>
          <w:u w:val="single"/>
        </w:rPr>
        <w:lastRenderedPageBreak/>
        <w:t>Reformovať proces akreditácie a akreditačnú autoritu v súlade s ESG 2015</w:t>
      </w:r>
    </w:p>
    <w:p w14:paraId="6F1D6FE4" w14:textId="77777777" w:rsidR="00E66F49" w:rsidRPr="00666914" w:rsidRDefault="00E66F49" w:rsidP="00D27F91">
      <w:pPr>
        <w:pStyle w:val="Odsekzoznamu"/>
        <w:spacing w:after="0"/>
        <w:jc w:val="left"/>
        <w:rPr>
          <w:b/>
          <w:u w:val="single"/>
        </w:rPr>
      </w:pPr>
    </w:p>
    <w:p w14:paraId="445179DC" w14:textId="45A09FE5" w:rsidR="00E66F49" w:rsidRPr="00666914" w:rsidRDefault="00E66F49" w:rsidP="00633B45">
      <w:r w:rsidRPr="00666914">
        <w:rPr>
          <w:rFonts w:cs="Arial"/>
        </w:rPr>
        <w:t>K reforme akreditačného procesu, ktorá prispeje k zvýšeniu kvality vysokého školstva</w:t>
      </w:r>
      <w:r w:rsidR="003A0B86" w:rsidRPr="00666914">
        <w:rPr>
          <w:rFonts w:cs="Arial"/>
        </w:rPr>
        <w:t>,</w:t>
      </w:r>
      <w:r w:rsidRPr="00666914">
        <w:rPr>
          <w:rFonts w:cs="Arial"/>
        </w:rPr>
        <w:t xml:space="preserve"> má prispieť aj v roku 2018 prijatý zákon o zabezpečovaní kvality vysokoškolského vzdelávania</w:t>
      </w:r>
      <w:r w:rsidRPr="00666914">
        <w:rPr>
          <w:rStyle w:val="Odkaznapoznmkupodiarou"/>
          <w:rFonts w:cs="Arial"/>
        </w:rPr>
        <w:footnoteReference w:id="217"/>
      </w:r>
      <w:r w:rsidRPr="00666914">
        <w:rPr>
          <w:rFonts w:cs="Arial"/>
        </w:rPr>
        <w:t>. Pôvodnú Akreditačnú komisiu, ktorá nespĺňala medzinárodné požiadavky, nahradila od roku 2020 Slovenská akreditačná agentúra pre vysoké školstvo (SAAVS)</w:t>
      </w:r>
      <w:r w:rsidRPr="00666914">
        <w:rPr>
          <w:rStyle w:val="Odkaznapoznmkupodiarou"/>
          <w:rFonts w:cs="Arial"/>
        </w:rPr>
        <w:footnoteReference w:id="218"/>
      </w:r>
      <w:r w:rsidRPr="00666914">
        <w:rPr>
          <w:rFonts w:cs="Arial"/>
        </w:rPr>
        <w:t xml:space="preserve">. </w:t>
      </w:r>
      <w:r w:rsidRPr="00666914">
        <w:t>V 10/2019 zverejnila návrh nových akreditačných štandardov VŠ</w:t>
      </w:r>
      <w:r w:rsidRPr="00666914">
        <w:rPr>
          <w:rStyle w:val="Odkaznapoznmkupodiarou"/>
        </w:rPr>
        <w:footnoteReference w:id="219"/>
      </w:r>
      <w:r w:rsidRPr="00666914">
        <w:rPr>
          <w:rFonts w:cs="Arial"/>
        </w:rPr>
        <w:t>, na základe ktorých by mali byť školy v budúcnosti akreditované. Návrh bol vypracovaný v súlade so schváleným zákonom a riadi sa ustanoveniami ESG 2015</w:t>
      </w:r>
      <w:r w:rsidRPr="00666914">
        <w:t xml:space="preserve"> (Európske štandardy vysokoškolského vzdelávania). </w:t>
      </w:r>
      <w:r w:rsidRPr="00666914">
        <w:rPr>
          <w:rFonts w:cs="Arial"/>
        </w:rPr>
        <w:t>Do 5.12.2019 prijala SAAVS k štandardom zo strany verejnosti 1 200 pripomienok. Agentúra ich vyhodnotí a schválenú verziu zverejní pravdepodobne počas 2Q2020.</w:t>
      </w:r>
      <w:r w:rsidR="00D27ADE" w:rsidRPr="00666914">
        <w:rPr>
          <w:rFonts w:cs="Arial"/>
        </w:rPr>
        <w:t xml:space="preserve"> </w:t>
      </w:r>
      <w:r w:rsidRPr="00666914">
        <w:rPr>
          <w:rFonts w:cs="Arial"/>
        </w:rPr>
        <w:t>Podrobné postupy, kritériá a ukazovatele na vyhodnocovanie štandardov budú následne vypracované v </w:t>
      </w:r>
      <w:r w:rsidRPr="00666914">
        <w:rPr>
          <w:rFonts w:cs="Arial"/>
          <w:i/>
        </w:rPr>
        <w:t>Metodike na vyhodnocovanie štandardov.</w:t>
      </w:r>
    </w:p>
    <w:p w14:paraId="04BCC3B1" w14:textId="77777777" w:rsidR="00E66F49" w:rsidRPr="00666914" w:rsidRDefault="00E66F49" w:rsidP="00D27F91">
      <w:pPr>
        <w:spacing w:after="120"/>
        <w:rPr>
          <w:rFonts w:cs="Arial"/>
        </w:rPr>
      </w:pPr>
      <w:r w:rsidRPr="00666914">
        <w:rPr>
          <w:rFonts w:cs="Arial"/>
        </w:rPr>
        <w:t xml:space="preserve">Do 31.12.2022 je SAAVS povinná požiadať o členstvo v ENQA (The European Association for Quality Assurance in Higher Education). </w:t>
      </w:r>
    </w:p>
    <w:p w14:paraId="58A59D18" w14:textId="297DFEFE" w:rsidR="00E66F49" w:rsidRPr="00666914" w:rsidRDefault="00E66F49" w:rsidP="00926B9D">
      <w:r w:rsidRPr="00666914">
        <w:rPr>
          <w:rFonts w:eastAsia="Times New Roman"/>
          <w:lang w:eastAsia="sk-SK"/>
        </w:rPr>
        <w:t xml:space="preserve">Vzhľadom na prijatú legislatívu, návrh štandardov a termín žiadosti SAAVS o členstvo v ENQA sa </w:t>
      </w:r>
      <w:r w:rsidRPr="00666914">
        <w:rPr>
          <w:rFonts w:eastAsia="Times New Roman"/>
          <w:b/>
          <w:lang w:eastAsia="sk-SK"/>
        </w:rPr>
        <w:t>opatrenie plní k 31.12.2019 čiastočne.</w:t>
      </w:r>
    </w:p>
    <w:p w14:paraId="64888AC4" w14:textId="77777777" w:rsidR="00E66F49" w:rsidRPr="00666914" w:rsidRDefault="00E66F49" w:rsidP="00E66F49">
      <w:pPr>
        <w:pStyle w:val="Odsekzoznamu"/>
        <w:numPr>
          <w:ilvl w:val="0"/>
          <w:numId w:val="2"/>
        </w:numPr>
        <w:jc w:val="left"/>
        <w:rPr>
          <w:b/>
          <w:u w:val="single"/>
        </w:rPr>
      </w:pPr>
      <w:r w:rsidRPr="00666914">
        <w:rPr>
          <w:b/>
          <w:u w:val="single"/>
        </w:rPr>
        <w:t>Zaviesť tzv. "informed peer review" hodnotenie tvorivej činnosti vysokých škôl</w:t>
      </w:r>
    </w:p>
    <w:p w14:paraId="6540745E" w14:textId="77777777" w:rsidR="00E66F49" w:rsidRPr="00666914" w:rsidRDefault="00E66F49" w:rsidP="00D27F91">
      <w:pPr>
        <w:pStyle w:val="Odsekzoznamu"/>
        <w:spacing w:after="0"/>
        <w:jc w:val="left"/>
        <w:rPr>
          <w:b/>
          <w:u w:val="single"/>
        </w:rPr>
      </w:pPr>
    </w:p>
    <w:p w14:paraId="74BD1AF4" w14:textId="4DED914B" w:rsidR="00E66F49" w:rsidRPr="00666914" w:rsidRDefault="00E66F49" w:rsidP="00D27F91">
      <w:pPr>
        <w:spacing w:after="0"/>
        <w:rPr>
          <w:rFonts w:eastAsia="Times New Roman"/>
          <w:lang w:eastAsia="sk-SK"/>
        </w:rPr>
      </w:pPr>
      <w:r w:rsidRPr="00666914">
        <w:rPr>
          <w:rFonts w:eastAsia="Times New Roman"/>
          <w:lang w:eastAsia="sk-SK"/>
        </w:rPr>
        <w:t xml:space="preserve">Predpokladom zavedenia nových pravidiel hodnotenia tvorivej činnosti VŠ bolo v roku 2018 schválenie novely zákona č. </w:t>
      </w:r>
      <w:r w:rsidRPr="00666914">
        <w:t>131/2002 Z. z. o vysokých školách</w:t>
      </w:r>
      <w:r w:rsidRPr="00666914">
        <w:rPr>
          <w:rStyle w:val="Odkaznapoznmkupodiarou"/>
        </w:rPr>
        <w:footnoteReference w:id="220"/>
      </w:r>
      <w:r w:rsidRPr="00666914">
        <w:t xml:space="preserve">. Na základe prijatej legislatívnej úpravy </w:t>
      </w:r>
      <w:r w:rsidR="00FD7105" w:rsidRPr="00666914">
        <w:t xml:space="preserve">plánuje </w:t>
      </w:r>
      <w:r w:rsidRPr="00666914">
        <w:t xml:space="preserve">MŠVVaŠ SR počas roka 2020 vypracovať metodiku nových záväzných pravidiel </w:t>
      </w:r>
      <w:r w:rsidRPr="00666914">
        <w:rPr>
          <w:rFonts w:eastAsia="Times New Roman"/>
          <w:lang w:eastAsia="sk-SK"/>
        </w:rPr>
        <w:t xml:space="preserve">pre hodnotenie výskumnej činnosti vysokých škôl. </w:t>
      </w:r>
    </w:p>
    <w:p w14:paraId="00627F6E" w14:textId="3BD23D39" w:rsidR="00E66F49" w:rsidRPr="00666914" w:rsidRDefault="00E66F49" w:rsidP="00D27F91">
      <w:pPr>
        <w:spacing w:after="0"/>
        <w:rPr>
          <w:rFonts w:eastAsia="Times New Roman"/>
          <w:lang w:eastAsia="sk-SK"/>
        </w:rPr>
      </w:pPr>
      <w:r w:rsidRPr="00666914">
        <w:rPr>
          <w:rFonts w:eastAsia="Times New Roman"/>
          <w:lang w:eastAsia="sk-SK"/>
        </w:rPr>
        <w:t xml:space="preserve">Opatrenie </w:t>
      </w:r>
      <w:r w:rsidR="00FD7105" w:rsidRPr="00666914">
        <w:rPr>
          <w:rFonts w:eastAsia="Times New Roman"/>
          <w:lang w:eastAsia="sk-SK"/>
        </w:rPr>
        <w:t xml:space="preserve">sa </w:t>
      </w:r>
      <w:r w:rsidRPr="00666914">
        <w:rPr>
          <w:rFonts w:eastAsia="Times New Roman"/>
          <w:lang w:eastAsia="sk-SK"/>
        </w:rPr>
        <w:t xml:space="preserve">na základe prijatia potrebnej legislatívy </w:t>
      </w:r>
      <w:r w:rsidRPr="00666914">
        <w:rPr>
          <w:rFonts w:eastAsia="Times New Roman"/>
          <w:b/>
          <w:lang w:eastAsia="sk-SK"/>
        </w:rPr>
        <w:t>k 31.12.2019 čiastočne pln</w:t>
      </w:r>
      <w:r w:rsidR="00FD7105" w:rsidRPr="00666914">
        <w:rPr>
          <w:rFonts w:eastAsia="Times New Roman"/>
          <w:b/>
          <w:lang w:eastAsia="sk-SK"/>
        </w:rPr>
        <w:t>í</w:t>
      </w:r>
      <w:r w:rsidRPr="00666914">
        <w:rPr>
          <w:rFonts w:eastAsia="Times New Roman"/>
          <w:lang w:eastAsia="sk-SK"/>
        </w:rPr>
        <w:t>.</w:t>
      </w:r>
    </w:p>
    <w:p w14:paraId="5DBF4A45" w14:textId="77777777" w:rsidR="00E66F49" w:rsidRPr="00666914" w:rsidRDefault="00E66F49" w:rsidP="00D27F91">
      <w:pPr>
        <w:spacing w:after="0"/>
        <w:rPr>
          <w:rFonts w:eastAsia="Times New Roman"/>
          <w:lang w:eastAsia="sk-SK"/>
        </w:rPr>
      </w:pPr>
    </w:p>
    <w:p w14:paraId="74383E00" w14:textId="278724DF" w:rsidR="00DF07FA" w:rsidRPr="00666914" w:rsidRDefault="00E66F49" w:rsidP="00926B9D">
      <w:pPr>
        <w:rPr>
          <w:b/>
        </w:rPr>
      </w:pPr>
      <w:r w:rsidRPr="00666914">
        <w:rPr>
          <w:b/>
        </w:rPr>
        <w:t xml:space="preserve">Odporúčanie IJ: </w:t>
      </w:r>
      <w:r w:rsidRPr="00666914">
        <w:t>Za účelom splnenia opatrenia do termínu 01/2021 definovanom v revízii výdavkov, predložiť IJ do 06/2020 návrh metodiky.</w:t>
      </w:r>
    </w:p>
    <w:p w14:paraId="0C056400" w14:textId="77777777" w:rsidR="00E66F49" w:rsidRPr="00666914" w:rsidRDefault="00E66F49" w:rsidP="00E66F49">
      <w:pPr>
        <w:pStyle w:val="Odsekzoznamu"/>
        <w:numPr>
          <w:ilvl w:val="0"/>
          <w:numId w:val="2"/>
        </w:numPr>
        <w:spacing w:after="0"/>
        <w:jc w:val="left"/>
        <w:rPr>
          <w:b/>
          <w:u w:val="single"/>
        </w:rPr>
      </w:pPr>
      <w:r w:rsidRPr="00666914">
        <w:rPr>
          <w:b/>
          <w:u w:val="single"/>
        </w:rPr>
        <w:t>Zvýšiť podiel súťažných grantov (najmä APVV a VEGA) vo verejných výdavkoch na vedu</w:t>
      </w:r>
    </w:p>
    <w:p w14:paraId="45DA10C4" w14:textId="77777777" w:rsidR="00E66F49" w:rsidRPr="00666914" w:rsidRDefault="00E66F49" w:rsidP="00D27F91">
      <w:pPr>
        <w:pStyle w:val="Odsekzoznamu"/>
        <w:spacing w:after="0"/>
        <w:jc w:val="left"/>
        <w:rPr>
          <w:b/>
          <w:u w:val="single"/>
        </w:rPr>
      </w:pPr>
    </w:p>
    <w:p w14:paraId="59C214F4" w14:textId="1C3125F4" w:rsidR="00E66F49" w:rsidRPr="00666914" w:rsidRDefault="00E66F49" w:rsidP="00D27F91">
      <w:pPr>
        <w:spacing w:after="0"/>
        <w:rPr>
          <w:b/>
        </w:rPr>
      </w:pPr>
      <w:r w:rsidRPr="00666914">
        <w:rPr>
          <w:b/>
        </w:rPr>
        <w:t>Celková suma alokovaná na súťažné granty (VEGA, KEGA a APVV) od roka 2016 medziročne rastie.</w:t>
      </w:r>
      <w:r w:rsidRPr="00666914">
        <w:t xml:space="preserve"> Podiel súťažných grantov vo verejných výdavkoch na vedu vzrástol v roku 2019 v porovnaní s rokom 2016 o 4,7</w:t>
      </w:r>
      <w:r w:rsidR="00DF07FA" w:rsidRPr="00666914">
        <w:t xml:space="preserve"> p. b</w:t>
      </w:r>
      <w:r w:rsidRPr="00666914">
        <w:t xml:space="preserve">. </w:t>
      </w:r>
      <w:r w:rsidRPr="00666914">
        <w:rPr>
          <w:b/>
        </w:rPr>
        <w:t>Opatrenie sa k 31.12.2019 plní.</w:t>
      </w:r>
      <w:r w:rsidRPr="00666914">
        <w:t xml:space="preserve"> </w:t>
      </w:r>
    </w:p>
    <w:p w14:paraId="05AAC81C" w14:textId="77777777" w:rsidR="00E66F49" w:rsidRPr="00666914" w:rsidRDefault="00E66F49" w:rsidP="00D27F91">
      <w:pPr>
        <w:spacing w:after="0"/>
        <w:rPr>
          <w:b/>
          <w:color w:val="C45911" w:themeColor="accent2" w:themeShade="BF"/>
        </w:rPr>
      </w:pPr>
    </w:p>
    <w:p w14:paraId="327ED10E" w14:textId="2C31B867" w:rsidR="00E66F49" w:rsidRPr="00666914" w:rsidRDefault="00E66F49" w:rsidP="00D27F91">
      <w:pPr>
        <w:spacing w:after="0"/>
        <w:rPr>
          <w:rFonts w:eastAsia="Times New Roman" w:cs="Calibri"/>
          <w:b/>
          <w:bCs/>
          <w:color w:val="000000"/>
          <w:sz w:val="20"/>
          <w:szCs w:val="20"/>
          <w:lang w:eastAsia="sk-SK"/>
        </w:rPr>
      </w:pPr>
      <w:bookmarkStart w:id="305" w:name="_Toc38447721"/>
      <w:r w:rsidRPr="00666914">
        <w:rPr>
          <w:rFonts w:eastAsia="Times New Roman" w:cs="Calibri"/>
          <w:b/>
          <w:bCs/>
          <w:color w:val="000000"/>
          <w:sz w:val="20"/>
          <w:szCs w:val="20"/>
          <w:lang w:eastAsia="sk-SK"/>
        </w:rPr>
        <w:t xml:space="preserve">Tabuľka </w:t>
      </w:r>
      <w:r w:rsidRPr="00666914">
        <w:rPr>
          <w:rFonts w:eastAsia="Times New Roman" w:cs="Calibri"/>
          <w:b/>
          <w:bCs/>
          <w:color w:val="000000"/>
          <w:sz w:val="20"/>
          <w:szCs w:val="20"/>
          <w:lang w:eastAsia="sk-SK"/>
        </w:rPr>
        <w:fldChar w:fldCharType="begin"/>
      </w:r>
      <w:r w:rsidRPr="00666914">
        <w:rPr>
          <w:rFonts w:eastAsia="Times New Roman" w:cs="Calibri"/>
          <w:b/>
          <w:bCs/>
          <w:color w:val="000000"/>
          <w:sz w:val="20"/>
          <w:szCs w:val="20"/>
          <w:lang w:eastAsia="sk-SK"/>
        </w:rPr>
        <w:instrText xml:space="preserve"> SEQ Tabuľka \* ARABIC \* MERGEFORMAT </w:instrText>
      </w:r>
      <w:r w:rsidRPr="00666914">
        <w:rPr>
          <w:rFonts w:eastAsia="Times New Roman" w:cs="Calibri"/>
          <w:b/>
          <w:bCs/>
          <w:color w:val="000000"/>
          <w:sz w:val="20"/>
          <w:szCs w:val="20"/>
          <w:lang w:eastAsia="sk-SK"/>
        </w:rPr>
        <w:fldChar w:fldCharType="separate"/>
      </w:r>
      <w:r w:rsidR="005A7304">
        <w:rPr>
          <w:rFonts w:eastAsia="Times New Roman" w:cs="Calibri"/>
          <w:b/>
          <w:bCs/>
          <w:noProof/>
          <w:color w:val="000000"/>
          <w:sz w:val="20"/>
          <w:szCs w:val="20"/>
          <w:lang w:eastAsia="sk-SK"/>
        </w:rPr>
        <w:t>60</w:t>
      </w:r>
      <w:r w:rsidRPr="00666914">
        <w:rPr>
          <w:rFonts w:eastAsia="Times New Roman" w:cs="Calibri"/>
          <w:b/>
          <w:bCs/>
          <w:color w:val="000000"/>
          <w:sz w:val="20"/>
          <w:szCs w:val="20"/>
          <w:lang w:eastAsia="sk-SK"/>
        </w:rPr>
        <w:fldChar w:fldCharType="end"/>
      </w:r>
      <w:r w:rsidRPr="00666914">
        <w:rPr>
          <w:rFonts w:eastAsia="Times New Roman" w:cs="Calibri"/>
          <w:b/>
          <w:bCs/>
          <w:color w:val="000000"/>
          <w:sz w:val="20"/>
          <w:szCs w:val="20"/>
          <w:lang w:eastAsia="sk-SK"/>
        </w:rPr>
        <w:t>: Financovanie vysokoškolskej vedy a techniky (v mil. eur)</w:t>
      </w:r>
      <w:r w:rsidR="00F1110D">
        <w:rPr>
          <w:rStyle w:val="Odkaznapoznmkupodiarou"/>
          <w:rFonts w:eastAsia="Times New Roman" w:cs="Calibri"/>
          <w:b/>
          <w:bCs/>
          <w:color w:val="000000"/>
          <w:sz w:val="20"/>
          <w:szCs w:val="20"/>
          <w:lang w:eastAsia="sk-SK"/>
        </w:rPr>
        <w:footnoteReference w:id="221"/>
      </w:r>
      <w:bookmarkEnd w:id="305"/>
    </w:p>
    <w:tbl>
      <w:tblPr>
        <w:tblW w:w="5000" w:type="pct"/>
        <w:tblCellMar>
          <w:left w:w="70" w:type="dxa"/>
          <w:right w:w="70" w:type="dxa"/>
        </w:tblCellMar>
        <w:tblLook w:val="04A0" w:firstRow="1" w:lastRow="0" w:firstColumn="1" w:lastColumn="0" w:noHBand="0" w:noVBand="1"/>
      </w:tblPr>
      <w:tblGrid>
        <w:gridCol w:w="3952"/>
        <w:gridCol w:w="1052"/>
        <w:gridCol w:w="1052"/>
        <w:gridCol w:w="1052"/>
        <w:gridCol w:w="1052"/>
        <w:gridCol w:w="1054"/>
      </w:tblGrid>
      <w:tr w:rsidR="00E66F49" w:rsidRPr="00666914" w14:paraId="5E840316" w14:textId="77777777" w:rsidTr="00DE708D">
        <w:trPr>
          <w:trHeight w:val="255"/>
        </w:trPr>
        <w:tc>
          <w:tcPr>
            <w:tcW w:w="2144" w:type="pct"/>
            <w:tcBorders>
              <w:top w:val="single" w:sz="4" w:space="0" w:color="auto"/>
              <w:left w:val="nil"/>
              <w:bottom w:val="single" w:sz="4" w:space="0" w:color="auto"/>
              <w:right w:val="nil"/>
            </w:tcBorders>
            <w:shd w:val="clear" w:color="auto" w:fill="auto"/>
            <w:noWrap/>
            <w:vAlign w:val="center"/>
            <w:hideMark/>
          </w:tcPr>
          <w:p w14:paraId="4626E159"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c>
          <w:tcPr>
            <w:tcW w:w="571" w:type="pct"/>
            <w:tcBorders>
              <w:top w:val="single" w:sz="4" w:space="0" w:color="auto"/>
              <w:left w:val="nil"/>
              <w:bottom w:val="single" w:sz="4" w:space="0" w:color="auto"/>
              <w:right w:val="nil"/>
            </w:tcBorders>
            <w:shd w:val="clear" w:color="auto" w:fill="auto"/>
            <w:noWrap/>
            <w:vAlign w:val="center"/>
            <w:hideMark/>
          </w:tcPr>
          <w:p w14:paraId="5C9FF650"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2016</w:t>
            </w:r>
          </w:p>
        </w:tc>
        <w:tc>
          <w:tcPr>
            <w:tcW w:w="571" w:type="pct"/>
            <w:tcBorders>
              <w:top w:val="single" w:sz="4" w:space="0" w:color="auto"/>
              <w:left w:val="nil"/>
              <w:bottom w:val="single" w:sz="4" w:space="0" w:color="auto"/>
              <w:right w:val="nil"/>
            </w:tcBorders>
            <w:shd w:val="clear" w:color="auto" w:fill="auto"/>
            <w:noWrap/>
            <w:vAlign w:val="center"/>
            <w:hideMark/>
          </w:tcPr>
          <w:p w14:paraId="7FB932E0"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2017</w:t>
            </w:r>
          </w:p>
        </w:tc>
        <w:tc>
          <w:tcPr>
            <w:tcW w:w="571" w:type="pct"/>
            <w:tcBorders>
              <w:top w:val="single" w:sz="4" w:space="0" w:color="auto"/>
              <w:left w:val="nil"/>
              <w:bottom w:val="single" w:sz="4" w:space="0" w:color="auto"/>
              <w:right w:val="nil"/>
            </w:tcBorders>
            <w:shd w:val="clear" w:color="auto" w:fill="auto"/>
            <w:noWrap/>
            <w:vAlign w:val="center"/>
            <w:hideMark/>
          </w:tcPr>
          <w:p w14:paraId="7EE1B714"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2018</w:t>
            </w:r>
          </w:p>
        </w:tc>
        <w:tc>
          <w:tcPr>
            <w:tcW w:w="571" w:type="pct"/>
            <w:tcBorders>
              <w:top w:val="single" w:sz="4" w:space="0" w:color="auto"/>
              <w:left w:val="nil"/>
              <w:bottom w:val="single" w:sz="4" w:space="0" w:color="auto"/>
              <w:right w:val="nil"/>
            </w:tcBorders>
            <w:shd w:val="clear" w:color="auto" w:fill="auto"/>
            <w:noWrap/>
            <w:vAlign w:val="center"/>
            <w:hideMark/>
          </w:tcPr>
          <w:p w14:paraId="34397646"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2019</w:t>
            </w:r>
          </w:p>
        </w:tc>
        <w:tc>
          <w:tcPr>
            <w:tcW w:w="572" w:type="pct"/>
            <w:tcBorders>
              <w:top w:val="single" w:sz="4" w:space="0" w:color="auto"/>
              <w:left w:val="nil"/>
              <w:bottom w:val="single" w:sz="4" w:space="0" w:color="auto"/>
              <w:right w:val="nil"/>
            </w:tcBorders>
            <w:shd w:val="clear" w:color="auto" w:fill="auto"/>
            <w:noWrap/>
            <w:vAlign w:val="center"/>
            <w:hideMark/>
          </w:tcPr>
          <w:p w14:paraId="1B7B2696"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2020</w:t>
            </w:r>
          </w:p>
        </w:tc>
      </w:tr>
      <w:tr w:rsidR="00E66F49" w:rsidRPr="00666914" w14:paraId="64568C71" w14:textId="77777777" w:rsidTr="00DE708D">
        <w:trPr>
          <w:trHeight w:val="289"/>
        </w:trPr>
        <w:tc>
          <w:tcPr>
            <w:tcW w:w="2144" w:type="pct"/>
            <w:tcBorders>
              <w:top w:val="nil"/>
              <w:left w:val="nil"/>
              <w:bottom w:val="nil"/>
              <w:right w:val="nil"/>
            </w:tcBorders>
            <w:shd w:val="clear" w:color="auto" w:fill="auto"/>
            <w:noWrap/>
            <w:vAlign w:val="center"/>
            <w:hideMark/>
          </w:tcPr>
          <w:p w14:paraId="09773E7C" w14:textId="77777777" w:rsidR="00E66F49" w:rsidRPr="00666914" w:rsidRDefault="00E66F49" w:rsidP="007918C8">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VEGA</w:t>
            </w:r>
          </w:p>
        </w:tc>
        <w:tc>
          <w:tcPr>
            <w:tcW w:w="571" w:type="pct"/>
            <w:tcBorders>
              <w:top w:val="nil"/>
              <w:left w:val="nil"/>
              <w:bottom w:val="nil"/>
              <w:right w:val="nil"/>
            </w:tcBorders>
            <w:shd w:val="clear" w:color="auto" w:fill="auto"/>
            <w:noWrap/>
            <w:vAlign w:val="center"/>
            <w:hideMark/>
          </w:tcPr>
          <w:p w14:paraId="3EA4C635" w14:textId="77777777" w:rsidR="00E66F49" w:rsidRPr="00666914" w:rsidRDefault="00E66F49" w:rsidP="007918C8">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9</w:t>
            </w:r>
          </w:p>
        </w:tc>
        <w:tc>
          <w:tcPr>
            <w:tcW w:w="571" w:type="pct"/>
            <w:tcBorders>
              <w:top w:val="nil"/>
              <w:left w:val="nil"/>
              <w:bottom w:val="nil"/>
              <w:right w:val="nil"/>
            </w:tcBorders>
            <w:shd w:val="clear" w:color="auto" w:fill="auto"/>
            <w:noWrap/>
            <w:vAlign w:val="center"/>
            <w:hideMark/>
          </w:tcPr>
          <w:p w14:paraId="5254AAB5" w14:textId="77777777" w:rsidR="00E66F49" w:rsidRPr="00666914" w:rsidRDefault="00E66F49" w:rsidP="005C16C0">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10</w:t>
            </w:r>
          </w:p>
        </w:tc>
        <w:tc>
          <w:tcPr>
            <w:tcW w:w="571" w:type="pct"/>
            <w:tcBorders>
              <w:top w:val="nil"/>
              <w:left w:val="nil"/>
              <w:bottom w:val="nil"/>
              <w:right w:val="nil"/>
            </w:tcBorders>
            <w:shd w:val="clear" w:color="auto" w:fill="auto"/>
            <w:noWrap/>
            <w:vAlign w:val="center"/>
            <w:hideMark/>
          </w:tcPr>
          <w:p w14:paraId="1525B839" w14:textId="77777777" w:rsidR="00E66F49" w:rsidRPr="00666914" w:rsidRDefault="00E66F49" w:rsidP="00543D4C">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11</w:t>
            </w:r>
          </w:p>
        </w:tc>
        <w:tc>
          <w:tcPr>
            <w:tcW w:w="571" w:type="pct"/>
            <w:tcBorders>
              <w:top w:val="nil"/>
              <w:left w:val="nil"/>
              <w:bottom w:val="nil"/>
              <w:right w:val="nil"/>
            </w:tcBorders>
            <w:shd w:val="clear" w:color="auto" w:fill="auto"/>
            <w:noWrap/>
            <w:vAlign w:val="center"/>
            <w:hideMark/>
          </w:tcPr>
          <w:p w14:paraId="63192DB5" w14:textId="77777777" w:rsidR="00E66F49" w:rsidRPr="00666914" w:rsidRDefault="00E66F49">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12</w:t>
            </w:r>
          </w:p>
        </w:tc>
        <w:tc>
          <w:tcPr>
            <w:tcW w:w="572" w:type="pct"/>
            <w:tcBorders>
              <w:top w:val="nil"/>
              <w:left w:val="nil"/>
              <w:bottom w:val="nil"/>
              <w:right w:val="nil"/>
            </w:tcBorders>
            <w:shd w:val="clear" w:color="auto" w:fill="auto"/>
            <w:noWrap/>
            <w:vAlign w:val="center"/>
            <w:hideMark/>
          </w:tcPr>
          <w:p w14:paraId="57FB7223" w14:textId="77777777" w:rsidR="00E66F49" w:rsidRPr="00666914" w:rsidRDefault="00E66F49">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12</w:t>
            </w:r>
          </w:p>
        </w:tc>
      </w:tr>
      <w:tr w:rsidR="00E66F49" w:rsidRPr="00666914" w14:paraId="0067DEE8" w14:textId="77777777" w:rsidTr="00DE708D">
        <w:trPr>
          <w:trHeight w:val="255"/>
        </w:trPr>
        <w:tc>
          <w:tcPr>
            <w:tcW w:w="2144" w:type="pct"/>
            <w:tcBorders>
              <w:top w:val="nil"/>
              <w:left w:val="nil"/>
              <w:bottom w:val="nil"/>
              <w:right w:val="nil"/>
            </w:tcBorders>
            <w:shd w:val="clear" w:color="auto" w:fill="auto"/>
            <w:noWrap/>
            <w:vAlign w:val="center"/>
            <w:hideMark/>
          </w:tcPr>
          <w:p w14:paraId="6756C22F" w14:textId="77777777" w:rsidR="00E66F49" w:rsidRPr="00666914" w:rsidRDefault="00E66F49" w:rsidP="007918C8">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xml:space="preserve">KEGA </w:t>
            </w:r>
          </w:p>
        </w:tc>
        <w:tc>
          <w:tcPr>
            <w:tcW w:w="571" w:type="pct"/>
            <w:tcBorders>
              <w:top w:val="nil"/>
              <w:left w:val="nil"/>
              <w:bottom w:val="nil"/>
              <w:right w:val="nil"/>
            </w:tcBorders>
            <w:shd w:val="clear" w:color="auto" w:fill="auto"/>
            <w:noWrap/>
            <w:vAlign w:val="center"/>
            <w:hideMark/>
          </w:tcPr>
          <w:p w14:paraId="06647DF0" w14:textId="77777777" w:rsidR="00E66F49" w:rsidRPr="00666914" w:rsidRDefault="00E66F49" w:rsidP="007918C8">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3</w:t>
            </w:r>
          </w:p>
        </w:tc>
        <w:tc>
          <w:tcPr>
            <w:tcW w:w="571" w:type="pct"/>
            <w:tcBorders>
              <w:top w:val="nil"/>
              <w:left w:val="nil"/>
              <w:bottom w:val="nil"/>
              <w:right w:val="nil"/>
            </w:tcBorders>
            <w:shd w:val="clear" w:color="auto" w:fill="auto"/>
            <w:noWrap/>
            <w:vAlign w:val="center"/>
            <w:hideMark/>
          </w:tcPr>
          <w:p w14:paraId="58401323" w14:textId="77777777" w:rsidR="00E66F49" w:rsidRPr="00666914" w:rsidRDefault="00E66F49" w:rsidP="005C16C0">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3</w:t>
            </w:r>
          </w:p>
        </w:tc>
        <w:tc>
          <w:tcPr>
            <w:tcW w:w="571" w:type="pct"/>
            <w:tcBorders>
              <w:top w:val="nil"/>
              <w:left w:val="nil"/>
              <w:bottom w:val="nil"/>
              <w:right w:val="nil"/>
            </w:tcBorders>
            <w:shd w:val="clear" w:color="auto" w:fill="auto"/>
            <w:noWrap/>
            <w:vAlign w:val="center"/>
            <w:hideMark/>
          </w:tcPr>
          <w:p w14:paraId="2D2B1356" w14:textId="77777777" w:rsidR="00E66F49" w:rsidRPr="00666914" w:rsidRDefault="00E66F49" w:rsidP="00543D4C">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3</w:t>
            </w:r>
          </w:p>
        </w:tc>
        <w:tc>
          <w:tcPr>
            <w:tcW w:w="571" w:type="pct"/>
            <w:tcBorders>
              <w:top w:val="nil"/>
              <w:left w:val="nil"/>
              <w:bottom w:val="nil"/>
              <w:right w:val="nil"/>
            </w:tcBorders>
            <w:shd w:val="clear" w:color="auto" w:fill="auto"/>
            <w:noWrap/>
            <w:vAlign w:val="center"/>
            <w:hideMark/>
          </w:tcPr>
          <w:p w14:paraId="68919A1D" w14:textId="77777777" w:rsidR="00E66F49" w:rsidRPr="00666914" w:rsidRDefault="00E66F49">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4</w:t>
            </w:r>
          </w:p>
        </w:tc>
        <w:tc>
          <w:tcPr>
            <w:tcW w:w="572" w:type="pct"/>
            <w:tcBorders>
              <w:top w:val="nil"/>
              <w:left w:val="nil"/>
              <w:bottom w:val="nil"/>
              <w:right w:val="nil"/>
            </w:tcBorders>
            <w:shd w:val="clear" w:color="auto" w:fill="auto"/>
            <w:noWrap/>
            <w:vAlign w:val="center"/>
            <w:hideMark/>
          </w:tcPr>
          <w:p w14:paraId="34D23C81" w14:textId="77777777" w:rsidR="00E66F49" w:rsidRPr="00666914" w:rsidRDefault="00E66F49">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4</w:t>
            </w:r>
          </w:p>
        </w:tc>
      </w:tr>
      <w:tr w:rsidR="00E66F49" w:rsidRPr="00666914" w14:paraId="57BF36B2" w14:textId="77777777" w:rsidTr="00DE708D">
        <w:trPr>
          <w:trHeight w:val="495"/>
        </w:trPr>
        <w:tc>
          <w:tcPr>
            <w:tcW w:w="2144" w:type="pct"/>
            <w:tcBorders>
              <w:top w:val="nil"/>
              <w:left w:val="nil"/>
              <w:right w:val="nil"/>
            </w:tcBorders>
            <w:shd w:val="clear" w:color="auto" w:fill="auto"/>
            <w:noWrap/>
            <w:vAlign w:val="center"/>
            <w:hideMark/>
          </w:tcPr>
          <w:p w14:paraId="2BDF2D0B" w14:textId="77777777" w:rsidR="00E66F49" w:rsidRPr="00666914" w:rsidRDefault="00E66F49" w:rsidP="007918C8">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xml:space="preserve">prevádzka a rozvoj infraštruktúry pre výskum a vývoj </w:t>
            </w:r>
          </w:p>
        </w:tc>
        <w:tc>
          <w:tcPr>
            <w:tcW w:w="571" w:type="pct"/>
            <w:tcBorders>
              <w:top w:val="nil"/>
              <w:left w:val="nil"/>
              <w:right w:val="nil"/>
            </w:tcBorders>
            <w:shd w:val="clear" w:color="auto" w:fill="auto"/>
            <w:noWrap/>
            <w:vAlign w:val="center"/>
            <w:hideMark/>
          </w:tcPr>
          <w:p w14:paraId="2BCFD2C5" w14:textId="77777777" w:rsidR="00E66F49" w:rsidRPr="00666914" w:rsidRDefault="00E66F49" w:rsidP="007918C8">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145</w:t>
            </w:r>
          </w:p>
        </w:tc>
        <w:tc>
          <w:tcPr>
            <w:tcW w:w="571" w:type="pct"/>
            <w:tcBorders>
              <w:top w:val="nil"/>
              <w:left w:val="nil"/>
              <w:right w:val="nil"/>
            </w:tcBorders>
            <w:shd w:val="clear" w:color="auto" w:fill="auto"/>
            <w:noWrap/>
            <w:vAlign w:val="center"/>
            <w:hideMark/>
          </w:tcPr>
          <w:p w14:paraId="5ED59446" w14:textId="77777777" w:rsidR="00E66F49" w:rsidRPr="00666914" w:rsidRDefault="00E66F49" w:rsidP="005C16C0">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144</w:t>
            </w:r>
          </w:p>
        </w:tc>
        <w:tc>
          <w:tcPr>
            <w:tcW w:w="571" w:type="pct"/>
            <w:tcBorders>
              <w:top w:val="nil"/>
              <w:left w:val="nil"/>
              <w:right w:val="nil"/>
            </w:tcBorders>
            <w:shd w:val="clear" w:color="auto" w:fill="auto"/>
            <w:noWrap/>
            <w:vAlign w:val="center"/>
            <w:hideMark/>
          </w:tcPr>
          <w:p w14:paraId="42A630EC" w14:textId="77777777" w:rsidR="00E66F49" w:rsidRPr="00666914" w:rsidRDefault="00E66F49" w:rsidP="00543D4C">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150</w:t>
            </w:r>
          </w:p>
        </w:tc>
        <w:tc>
          <w:tcPr>
            <w:tcW w:w="571" w:type="pct"/>
            <w:tcBorders>
              <w:top w:val="nil"/>
              <w:left w:val="nil"/>
              <w:right w:val="nil"/>
            </w:tcBorders>
            <w:shd w:val="clear" w:color="auto" w:fill="auto"/>
            <w:noWrap/>
            <w:vAlign w:val="center"/>
            <w:hideMark/>
          </w:tcPr>
          <w:p w14:paraId="7CAFB25C" w14:textId="77777777" w:rsidR="00E66F49" w:rsidRPr="00666914" w:rsidRDefault="00E66F49">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154</w:t>
            </w:r>
          </w:p>
        </w:tc>
        <w:tc>
          <w:tcPr>
            <w:tcW w:w="572" w:type="pct"/>
            <w:tcBorders>
              <w:top w:val="nil"/>
              <w:left w:val="nil"/>
              <w:right w:val="nil"/>
            </w:tcBorders>
            <w:shd w:val="clear" w:color="auto" w:fill="auto"/>
            <w:noWrap/>
            <w:vAlign w:val="center"/>
            <w:hideMark/>
          </w:tcPr>
          <w:p w14:paraId="7B5A7173" w14:textId="77777777" w:rsidR="00E66F49" w:rsidRPr="00666914" w:rsidRDefault="00E66F49">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168</w:t>
            </w:r>
          </w:p>
        </w:tc>
      </w:tr>
      <w:tr w:rsidR="00E66F49" w:rsidRPr="00666914" w14:paraId="34CA8E10" w14:textId="77777777" w:rsidTr="00DE708D">
        <w:trPr>
          <w:trHeight w:val="255"/>
        </w:trPr>
        <w:tc>
          <w:tcPr>
            <w:tcW w:w="2144" w:type="pct"/>
            <w:tcBorders>
              <w:top w:val="nil"/>
              <w:left w:val="nil"/>
              <w:bottom w:val="single" w:sz="4" w:space="0" w:color="auto"/>
              <w:right w:val="nil"/>
            </w:tcBorders>
            <w:shd w:val="clear" w:color="auto" w:fill="auto"/>
            <w:noWrap/>
            <w:vAlign w:val="center"/>
            <w:hideMark/>
          </w:tcPr>
          <w:p w14:paraId="5DA2367C" w14:textId="77777777" w:rsidR="00E66F49" w:rsidRPr="00666914" w:rsidRDefault="00E66F49" w:rsidP="007918C8">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xml:space="preserve">APVV </w:t>
            </w:r>
          </w:p>
        </w:tc>
        <w:tc>
          <w:tcPr>
            <w:tcW w:w="571" w:type="pct"/>
            <w:tcBorders>
              <w:top w:val="nil"/>
              <w:left w:val="nil"/>
              <w:bottom w:val="single" w:sz="4" w:space="0" w:color="auto"/>
              <w:right w:val="nil"/>
            </w:tcBorders>
            <w:shd w:val="clear" w:color="auto" w:fill="auto"/>
            <w:noWrap/>
            <w:vAlign w:val="center"/>
            <w:hideMark/>
          </w:tcPr>
          <w:p w14:paraId="33111B7F" w14:textId="77777777" w:rsidR="00E66F49" w:rsidRPr="00666914" w:rsidRDefault="00E66F49" w:rsidP="007918C8">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15</w:t>
            </w:r>
          </w:p>
        </w:tc>
        <w:tc>
          <w:tcPr>
            <w:tcW w:w="571" w:type="pct"/>
            <w:tcBorders>
              <w:top w:val="nil"/>
              <w:left w:val="nil"/>
              <w:bottom w:val="single" w:sz="4" w:space="0" w:color="auto"/>
              <w:right w:val="nil"/>
            </w:tcBorders>
            <w:shd w:val="clear" w:color="auto" w:fill="auto"/>
            <w:noWrap/>
            <w:vAlign w:val="center"/>
            <w:hideMark/>
          </w:tcPr>
          <w:p w14:paraId="3258B8EB" w14:textId="77777777" w:rsidR="00E66F49" w:rsidRPr="00666914" w:rsidRDefault="00E66F49" w:rsidP="005C16C0">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19</w:t>
            </w:r>
          </w:p>
        </w:tc>
        <w:tc>
          <w:tcPr>
            <w:tcW w:w="571" w:type="pct"/>
            <w:tcBorders>
              <w:top w:val="nil"/>
              <w:left w:val="nil"/>
              <w:bottom w:val="single" w:sz="4" w:space="0" w:color="auto"/>
              <w:right w:val="nil"/>
            </w:tcBorders>
            <w:shd w:val="clear" w:color="auto" w:fill="auto"/>
            <w:noWrap/>
            <w:vAlign w:val="center"/>
            <w:hideMark/>
          </w:tcPr>
          <w:p w14:paraId="10BAEAC9" w14:textId="77777777" w:rsidR="00E66F49" w:rsidRPr="00666914" w:rsidRDefault="00E66F49" w:rsidP="00543D4C">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21</w:t>
            </w:r>
          </w:p>
        </w:tc>
        <w:tc>
          <w:tcPr>
            <w:tcW w:w="571" w:type="pct"/>
            <w:tcBorders>
              <w:top w:val="nil"/>
              <w:left w:val="nil"/>
              <w:bottom w:val="single" w:sz="4" w:space="0" w:color="auto"/>
              <w:right w:val="nil"/>
            </w:tcBorders>
            <w:shd w:val="clear" w:color="auto" w:fill="auto"/>
            <w:noWrap/>
            <w:vAlign w:val="center"/>
            <w:hideMark/>
          </w:tcPr>
          <w:p w14:paraId="6DCDEB92" w14:textId="77777777" w:rsidR="00E66F49" w:rsidRPr="00666914" w:rsidRDefault="00E66F49">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24</w:t>
            </w:r>
          </w:p>
        </w:tc>
        <w:tc>
          <w:tcPr>
            <w:tcW w:w="572" w:type="pct"/>
            <w:tcBorders>
              <w:top w:val="nil"/>
              <w:left w:val="nil"/>
              <w:bottom w:val="single" w:sz="4" w:space="0" w:color="auto"/>
              <w:right w:val="nil"/>
            </w:tcBorders>
            <w:shd w:val="clear" w:color="auto" w:fill="auto"/>
            <w:noWrap/>
            <w:vAlign w:val="center"/>
            <w:hideMark/>
          </w:tcPr>
          <w:p w14:paraId="0FD335FB" w14:textId="77777777" w:rsidR="00E66F49" w:rsidRPr="00666914" w:rsidRDefault="00E66F49">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12</w:t>
            </w:r>
          </w:p>
        </w:tc>
      </w:tr>
      <w:tr w:rsidR="00E66F49" w:rsidRPr="00666914" w14:paraId="725744D9" w14:textId="77777777" w:rsidTr="00DE708D">
        <w:trPr>
          <w:trHeight w:val="255"/>
        </w:trPr>
        <w:tc>
          <w:tcPr>
            <w:tcW w:w="2144" w:type="pct"/>
            <w:tcBorders>
              <w:top w:val="single" w:sz="4" w:space="0" w:color="auto"/>
              <w:left w:val="nil"/>
              <w:bottom w:val="nil"/>
              <w:right w:val="nil"/>
            </w:tcBorders>
            <w:shd w:val="clear" w:color="auto" w:fill="auto"/>
            <w:noWrap/>
            <w:vAlign w:val="center"/>
            <w:hideMark/>
          </w:tcPr>
          <w:p w14:paraId="59B8D846" w14:textId="77777777" w:rsidR="00E66F49" w:rsidRPr="00666914" w:rsidRDefault="00E66F49" w:rsidP="00633B45">
            <w:pPr>
              <w:spacing w:after="0"/>
              <w:jc w:val="left"/>
              <w:rPr>
                <w:rFonts w:eastAsia="Times New Roman" w:cs="Calibri"/>
                <w:color w:val="000000"/>
                <w:sz w:val="20"/>
                <w:szCs w:val="20"/>
                <w:lang w:eastAsia="sk-SK"/>
              </w:rPr>
            </w:pPr>
          </w:p>
        </w:tc>
        <w:tc>
          <w:tcPr>
            <w:tcW w:w="571" w:type="pct"/>
            <w:tcBorders>
              <w:top w:val="single" w:sz="4" w:space="0" w:color="auto"/>
              <w:left w:val="nil"/>
              <w:bottom w:val="nil"/>
              <w:right w:val="nil"/>
            </w:tcBorders>
            <w:shd w:val="clear" w:color="auto" w:fill="auto"/>
            <w:noWrap/>
            <w:vAlign w:val="center"/>
            <w:hideMark/>
          </w:tcPr>
          <w:p w14:paraId="234DD4D1" w14:textId="77777777" w:rsidR="00E66F49" w:rsidRPr="00666914" w:rsidRDefault="00E66F49" w:rsidP="00633B45">
            <w:pPr>
              <w:spacing w:after="0"/>
              <w:jc w:val="right"/>
              <w:rPr>
                <w:rFonts w:ascii="Times New Roman" w:eastAsia="Times New Roman" w:hAnsi="Times New Roman"/>
                <w:sz w:val="20"/>
                <w:szCs w:val="20"/>
                <w:lang w:eastAsia="sk-SK"/>
              </w:rPr>
            </w:pPr>
          </w:p>
        </w:tc>
        <w:tc>
          <w:tcPr>
            <w:tcW w:w="571" w:type="pct"/>
            <w:tcBorders>
              <w:top w:val="single" w:sz="4" w:space="0" w:color="auto"/>
              <w:left w:val="nil"/>
              <w:bottom w:val="nil"/>
              <w:right w:val="nil"/>
            </w:tcBorders>
            <w:shd w:val="clear" w:color="auto" w:fill="auto"/>
            <w:noWrap/>
            <w:vAlign w:val="center"/>
            <w:hideMark/>
          </w:tcPr>
          <w:p w14:paraId="7BEA122A" w14:textId="77777777" w:rsidR="00E66F49" w:rsidRPr="00666914" w:rsidRDefault="00E66F49" w:rsidP="007918C8">
            <w:pPr>
              <w:spacing w:after="0"/>
              <w:jc w:val="right"/>
              <w:rPr>
                <w:rFonts w:ascii="Times New Roman" w:eastAsia="Times New Roman" w:hAnsi="Times New Roman"/>
                <w:sz w:val="20"/>
                <w:szCs w:val="20"/>
                <w:lang w:eastAsia="sk-SK"/>
              </w:rPr>
            </w:pPr>
          </w:p>
        </w:tc>
        <w:tc>
          <w:tcPr>
            <w:tcW w:w="571" w:type="pct"/>
            <w:tcBorders>
              <w:top w:val="single" w:sz="4" w:space="0" w:color="auto"/>
              <w:left w:val="nil"/>
              <w:bottom w:val="nil"/>
              <w:right w:val="nil"/>
            </w:tcBorders>
            <w:shd w:val="clear" w:color="auto" w:fill="auto"/>
            <w:noWrap/>
            <w:vAlign w:val="center"/>
            <w:hideMark/>
          </w:tcPr>
          <w:p w14:paraId="5DC7D6F5" w14:textId="77777777" w:rsidR="00E66F49" w:rsidRPr="00666914" w:rsidRDefault="00E66F49" w:rsidP="005C16C0">
            <w:pPr>
              <w:spacing w:after="0"/>
              <w:jc w:val="right"/>
              <w:rPr>
                <w:rFonts w:ascii="Times New Roman" w:eastAsia="Times New Roman" w:hAnsi="Times New Roman"/>
                <w:sz w:val="20"/>
                <w:szCs w:val="20"/>
                <w:lang w:eastAsia="sk-SK"/>
              </w:rPr>
            </w:pPr>
          </w:p>
        </w:tc>
        <w:tc>
          <w:tcPr>
            <w:tcW w:w="571" w:type="pct"/>
            <w:tcBorders>
              <w:top w:val="single" w:sz="4" w:space="0" w:color="auto"/>
              <w:left w:val="nil"/>
              <w:bottom w:val="nil"/>
              <w:right w:val="nil"/>
            </w:tcBorders>
            <w:shd w:val="clear" w:color="auto" w:fill="auto"/>
            <w:noWrap/>
            <w:vAlign w:val="center"/>
            <w:hideMark/>
          </w:tcPr>
          <w:p w14:paraId="568E5F07" w14:textId="77777777" w:rsidR="00E66F49" w:rsidRPr="00666914" w:rsidRDefault="00E66F49" w:rsidP="00543D4C">
            <w:pPr>
              <w:spacing w:after="0"/>
              <w:jc w:val="right"/>
              <w:rPr>
                <w:rFonts w:ascii="Times New Roman" w:eastAsia="Times New Roman" w:hAnsi="Times New Roman"/>
                <w:sz w:val="20"/>
                <w:szCs w:val="20"/>
                <w:lang w:eastAsia="sk-SK"/>
              </w:rPr>
            </w:pPr>
          </w:p>
        </w:tc>
        <w:tc>
          <w:tcPr>
            <w:tcW w:w="572" w:type="pct"/>
            <w:tcBorders>
              <w:top w:val="single" w:sz="4" w:space="0" w:color="auto"/>
              <w:left w:val="nil"/>
              <w:bottom w:val="nil"/>
              <w:right w:val="nil"/>
            </w:tcBorders>
            <w:shd w:val="clear" w:color="auto" w:fill="auto"/>
            <w:noWrap/>
            <w:vAlign w:val="center"/>
            <w:hideMark/>
          </w:tcPr>
          <w:p w14:paraId="2EE06A35" w14:textId="77777777" w:rsidR="00E66F49" w:rsidRPr="00666914" w:rsidRDefault="00E66F49" w:rsidP="00633B45">
            <w:pPr>
              <w:spacing w:after="0"/>
              <w:jc w:val="right"/>
              <w:rPr>
                <w:rFonts w:ascii="Times New Roman" w:eastAsia="Times New Roman" w:hAnsi="Times New Roman"/>
                <w:sz w:val="20"/>
                <w:szCs w:val="20"/>
                <w:lang w:eastAsia="sk-SK"/>
              </w:rPr>
            </w:pPr>
          </w:p>
        </w:tc>
      </w:tr>
      <w:tr w:rsidR="00E66F49" w:rsidRPr="00666914" w14:paraId="4F279AD5" w14:textId="77777777" w:rsidTr="00DE708D">
        <w:trPr>
          <w:trHeight w:val="255"/>
        </w:trPr>
        <w:tc>
          <w:tcPr>
            <w:tcW w:w="2144" w:type="pct"/>
            <w:tcBorders>
              <w:top w:val="nil"/>
              <w:left w:val="nil"/>
              <w:bottom w:val="nil"/>
              <w:right w:val="nil"/>
            </w:tcBorders>
            <w:shd w:val="clear" w:color="auto" w:fill="auto"/>
            <w:noWrap/>
            <w:vAlign w:val="center"/>
            <w:hideMark/>
          </w:tcPr>
          <w:p w14:paraId="18F9319F" w14:textId="77777777" w:rsidR="00E66F49" w:rsidRPr="00666914" w:rsidRDefault="00E66F49" w:rsidP="007918C8">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VEGA+KEGA+APVV</w:t>
            </w:r>
          </w:p>
        </w:tc>
        <w:tc>
          <w:tcPr>
            <w:tcW w:w="571" w:type="pct"/>
            <w:tcBorders>
              <w:top w:val="nil"/>
              <w:left w:val="nil"/>
              <w:bottom w:val="nil"/>
              <w:right w:val="nil"/>
            </w:tcBorders>
            <w:shd w:val="clear" w:color="auto" w:fill="auto"/>
            <w:noWrap/>
            <w:vAlign w:val="center"/>
            <w:hideMark/>
          </w:tcPr>
          <w:p w14:paraId="2AF14CBF" w14:textId="77777777" w:rsidR="00E66F49" w:rsidRPr="00666914" w:rsidRDefault="00E66F49" w:rsidP="007918C8">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27</w:t>
            </w:r>
          </w:p>
        </w:tc>
        <w:tc>
          <w:tcPr>
            <w:tcW w:w="571" w:type="pct"/>
            <w:tcBorders>
              <w:top w:val="nil"/>
              <w:left w:val="nil"/>
              <w:bottom w:val="nil"/>
              <w:right w:val="nil"/>
            </w:tcBorders>
            <w:shd w:val="clear" w:color="auto" w:fill="auto"/>
            <w:noWrap/>
            <w:vAlign w:val="center"/>
            <w:hideMark/>
          </w:tcPr>
          <w:p w14:paraId="061A06C5" w14:textId="77777777" w:rsidR="00E66F49" w:rsidRPr="00666914" w:rsidRDefault="00E66F49" w:rsidP="005C16C0">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33</w:t>
            </w:r>
          </w:p>
        </w:tc>
        <w:tc>
          <w:tcPr>
            <w:tcW w:w="571" w:type="pct"/>
            <w:tcBorders>
              <w:top w:val="nil"/>
              <w:left w:val="nil"/>
              <w:bottom w:val="nil"/>
              <w:right w:val="nil"/>
            </w:tcBorders>
            <w:shd w:val="clear" w:color="auto" w:fill="auto"/>
            <w:noWrap/>
            <w:vAlign w:val="center"/>
            <w:hideMark/>
          </w:tcPr>
          <w:p w14:paraId="2F825CB4" w14:textId="77777777" w:rsidR="00E66F49" w:rsidRPr="00666914" w:rsidRDefault="00E66F49" w:rsidP="00543D4C">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35</w:t>
            </w:r>
          </w:p>
        </w:tc>
        <w:tc>
          <w:tcPr>
            <w:tcW w:w="571" w:type="pct"/>
            <w:tcBorders>
              <w:top w:val="nil"/>
              <w:left w:val="nil"/>
              <w:bottom w:val="nil"/>
              <w:right w:val="nil"/>
            </w:tcBorders>
            <w:shd w:val="clear" w:color="auto" w:fill="auto"/>
            <w:noWrap/>
            <w:vAlign w:val="center"/>
            <w:hideMark/>
          </w:tcPr>
          <w:p w14:paraId="372B3484" w14:textId="77777777" w:rsidR="00E66F49" w:rsidRPr="00666914" w:rsidRDefault="00E66F49">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39</w:t>
            </w:r>
          </w:p>
        </w:tc>
        <w:tc>
          <w:tcPr>
            <w:tcW w:w="572" w:type="pct"/>
            <w:tcBorders>
              <w:top w:val="nil"/>
              <w:left w:val="nil"/>
              <w:bottom w:val="nil"/>
              <w:right w:val="nil"/>
            </w:tcBorders>
            <w:shd w:val="clear" w:color="auto" w:fill="auto"/>
            <w:noWrap/>
            <w:vAlign w:val="center"/>
            <w:hideMark/>
          </w:tcPr>
          <w:p w14:paraId="0F8A7E9A" w14:textId="77777777" w:rsidR="00E66F49" w:rsidRPr="00666914" w:rsidRDefault="00E66F49">
            <w:pPr>
              <w:spacing w:after="0"/>
              <w:jc w:val="right"/>
              <w:rPr>
                <w:rFonts w:eastAsia="Times New Roman" w:cs="Calibri"/>
                <w:color w:val="000000"/>
                <w:sz w:val="20"/>
                <w:szCs w:val="20"/>
                <w:lang w:eastAsia="sk-SK"/>
              </w:rPr>
            </w:pPr>
          </w:p>
        </w:tc>
      </w:tr>
      <w:tr w:rsidR="00E66F49" w:rsidRPr="00666914" w14:paraId="0AC90481" w14:textId="77777777" w:rsidTr="00DE708D">
        <w:trPr>
          <w:trHeight w:val="510"/>
        </w:trPr>
        <w:tc>
          <w:tcPr>
            <w:tcW w:w="2144" w:type="pct"/>
            <w:tcBorders>
              <w:top w:val="nil"/>
              <w:left w:val="nil"/>
              <w:bottom w:val="nil"/>
              <w:right w:val="nil"/>
            </w:tcBorders>
            <w:shd w:val="clear" w:color="auto" w:fill="auto"/>
            <w:noWrap/>
            <w:vAlign w:val="center"/>
            <w:hideMark/>
          </w:tcPr>
          <w:p w14:paraId="3D6BC2C2" w14:textId="77777777" w:rsidR="00E66F49" w:rsidRPr="00666914" w:rsidRDefault="00E66F49" w:rsidP="007918C8">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xml:space="preserve">celková podpora výskumu a vývoja </w:t>
            </w:r>
          </w:p>
        </w:tc>
        <w:tc>
          <w:tcPr>
            <w:tcW w:w="571" w:type="pct"/>
            <w:tcBorders>
              <w:top w:val="nil"/>
              <w:left w:val="nil"/>
              <w:bottom w:val="nil"/>
              <w:right w:val="nil"/>
            </w:tcBorders>
            <w:shd w:val="clear" w:color="auto" w:fill="auto"/>
            <w:noWrap/>
            <w:vAlign w:val="center"/>
            <w:hideMark/>
          </w:tcPr>
          <w:p w14:paraId="6A1B5D19" w14:textId="77777777" w:rsidR="00E66F49" w:rsidRPr="00666914" w:rsidRDefault="00E66F49" w:rsidP="007918C8">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171</w:t>
            </w:r>
          </w:p>
        </w:tc>
        <w:tc>
          <w:tcPr>
            <w:tcW w:w="571" w:type="pct"/>
            <w:tcBorders>
              <w:top w:val="nil"/>
              <w:left w:val="nil"/>
              <w:bottom w:val="nil"/>
              <w:right w:val="nil"/>
            </w:tcBorders>
            <w:shd w:val="clear" w:color="auto" w:fill="auto"/>
            <w:noWrap/>
            <w:vAlign w:val="center"/>
            <w:hideMark/>
          </w:tcPr>
          <w:p w14:paraId="36CF7301" w14:textId="77777777" w:rsidR="00E66F49" w:rsidRPr="00666914" w:rsidRDefault="00E66F49" w:rsidP="005C16C0">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177</w:t>
            </w:r>
          </w:p>
        </w:tc>
        <w:tc>
          <w:tcPr>
            <w:tcW w:w="571" w:type="pct"/>
            <w:tcBorders>
              <w:top w:val="nil"/>
              <w:left w:val="nil"/>
              <w:bottom w:val="nil"/>
              <w:right w:val="nil"/>
            </w:tcBorders>
            <w:shd w:val="clear" w:color="auto" w:fill="auto"/>
            <w:noWrap/>
            <w:vAlign w:val="center"/>
            <w:hideMark/>
          </w:tcPr>
          <w:p w14:paraId="4F7BCEEB" w14:textId="77777777" w:rsidR="00E66F49" w:rsidRPr="00666914" w:rsidRDefault="00E66F49" w:rsidP="00543D4C">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185</w:t>
            </w:r>
          </w:p>
        </w:tc>
        <w:tc>
          <w:tcPr>
            <w:tcW w:w="571" w:type="pct"/>
            <w:tcBorders>
              <w:top w:val="nil"/>
              <w:left w:val="nil"/>
              <w:bottom w:val="nil"/>
              <w:right w:val="nil"/>
            </w:tcBorders>
            <w:shd w:val="clear" w:color="auto" w:fill="auto"/>
            <w:noWrap/>
            <w:vAlign w:val="center"/>
            <w:hideMark/>
          </w:tcPr>
          <w:p w14:paraId="5BBDFA3E" w14:textId="77777777" w:rsidR="00E66F49" w:rsidRPr="00666914" w:rsidRDefault="00E66F49">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193</w:t>
            </w:r>
          </w:p>
        </w:tc>
        <w:tc>
          <w:tcPr>
            <w:tcW w:w="572" w:type="pct"/>
            <w:tcBorders>
              <w:top w:val="nil"/>
              <w:left w:val="nil"/>
              <w:bottom w:val="nil"/>
              <w:right w:val="nil"/>
            </w:tcBorders>
            <w:shd w:val="clear" w:color="auto" w:fill="auto"/>
            <w:noWrap/>
            <w:vAlign w:val="center"/>
            <w:hideMark/>
          </w:tcPr>
          <w:p w14:paraId="2235F371" w14:textId="77777777" w:rsidR="00E66F49" w:rsidRPr="00666914" w:rsidRDefault="00E66F49">
            <w:pPr>
              <w:spacing w:after="0"/>
              <w:jc w:val="right"/>
              <w:rPr>
                <w:rFonts w:eastAsia="Times New Roman" w:cs="Calibri"/>
                <w:color w:val="000000"/>
                <w:sz w:val="20"/>
                <w:szCs w:val="20"/>
                <w:lang w:eastAsia="sk-SK"/>
              </w:rPr>
            </w:pPr>
          </w:p>
        </w:tc>
      </w:tr>
      <w:tr w:rsidR="00E66F49" w:rsidRPr="00666914" w14:paraId="1B4D94B1" w14:textId="77777777" w:rsidTr="00DE708D">
        <w:trPr>
          <w:trHeight w:val="255"/>
        </w:trPr>
        <w:tc>
          <w:tcPr>
            <w:tcW w:w="2144" w:type="pct"/>
            <w:tcBorders>
              <w:top w:val="single" w:sz="4" w:space="0" w:color="auto"/>
              <w:left w:val="nil"/>
              <w:bottom w:val="single" w:sz="4" w:space="0" w:color="auto"/>
              <w:right w:val="nil"/>
            </w:tcBorders>
            <w:shd w:val="clear" w:color="auto" w:fill="auto"/>
            <w:noWrap/>
            <w:vAlign w:val="center"/>
            <w:hideMark/>
          </w:tcPr>
          <w:p w14:paraId="5CBE8328"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 xml:space="preserve">podiel súťažných grantov </w:t>
            </w:r>
          </w:p>
        </w:tc>
        <w:tc>
          <w:tcPr>
            <w:tcW w:w="571" w:type="pct"/>
            <w:tcBorders>
              <w:top w:val="single" w:sz="4" w:space="0" w:color="auto"/>
              <w:left w:val="nil"/>
              <w:bottom w:val="single" w:sz="4" w:space="0" w:color="auto"/>
              <w:right w:val="nil"/>
            </w:tcBorders>
            <w:shd w:val="clear" w:color="auto" w:fill="auto"/>
            <w:noWrap/>
            <w:vAlign w:val="center"/>
            <w:hideMark/>
          </w:tcPr>
          <w:p w14:paraId="13BA7B83" w14:textId="093F75D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15,5</w:t>
            </w:r>
            <w:r w:rsidR="000E00B6" w:rsidRPr="00666914">
              <w:rPr>
                <w:rFonts w:eastAsia="Times New Roman" w:cs="Calibri"/>
                <w:b/>
                <w:bCs/>
                <w:color w:val="000000"/>
                <w:sz w:val="20"/>
                <w:szCs w:val="20"/>
                <w:lang w:eastAsia="sk-SK"/>
              </w:rPr>
              <w:t xml:space="preserve"> </w:t>
            </w:r>
            <w:r w:rsidRPr="00666914">
              <w:rPr>
                <w:rFonts w:eastAsia="Times New Roman" w:cs="Calibri"/>
                <w:b/>
                <w:bCs/>
                <w:color w:val="000000"/>
                <w:sz w:val="20"/>
                <w:szCs w:val="20"/>
                <w:lang w:eastAsia="sk-SK"/>
              </w:rPr>
              <w:t>%</w:t>
            </w:r>
          </w:p>
        </w:tc>
        <w:tc>
          <w:tcPr>
            <w:tcW w:w="571" w:type="pct"/>
            <w:tcBorders>
              <w:top w:val="single" w:sz="4" w:space="0" w:color="auto"/>
              <w:left w:val="nil"/>
              <w:bottom w:val="single" w:sz="4" w:space="0" w:color="auto"/>
              <w:right w:val="nil"/>
            </w:tcBorders>
            <w:shd w:val="clear" w:color="auto" w:fill="auto"/>
            <w:noWrap/>
            <w:vAlign w:val="center"/>
            <w:hideMark/>
          </w:tcPr>
          <w:p w14:paraId="74210C3B" w14:textId="3F57CC65"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18,4</w:t>
            </w:r>
            <w:r w:rsidR="000E00B6" w:rsidRPr="00666914">
              <w:rPr>
                <w:rFonts w:eastAsia="Times New Roman" w:cs="Calibri"/>
                <w:b/>
                <w:bCs/>
                <w:color w:val="000000"/>
                <w:sz w:val="20"/>
                <w:szCs w:val="20"/>
                <w:lang w:eastAsia="sk-SK"/>
              </w:rPr>
              <w:t xml:space="preserve"> </w:t>
            </w:r>
            <w:r w:rsidRPr="00666914">
              <w:rPr>
                <w:rFonts w:eastAsia="Times New Roman" w:cs="Calibri"/>
                <w:b/>
                <w:bCs/>
                <w:color w:val="000000"/>
                <w:sz w:val="20"/>
                <w:szCs w:val="20"/>
                <w:lang w:eastAsia="sk-SK"/>
              </w:rPr>
              <w:t>%</w:t>
            </w:r>
          </w:p>
        </w:tc>
        <w:tc>
          <w:tcPr>
            <w:tcW w:w="571" w:type="pct"/>
            <w:tcBorders>
              <w:top w:val="single" w:sz="4" w:space="0" w:color="auto"/>
              <w:left w:val="nil"/>
              <w:bottom w:val="single" w:sz="4" w:space="0" w:color="auto"/>
              <w:right w:val="nil"/>
            </w:tcBorders>
            <w:shd w:val="clear" w:color="auto" w:fill="auto"/>
            <w:noWrap/>
            <w:vAlign w:val="center"/>
            <w:hideMark/>
          </w:tcPr>
          <w:p w14:paraId="32DF23C1" w14:textId="7715CF15"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19,1</w:t>
            </w:r>
            <w:r w:rsidR="000E00B6" w:rsidRPr="00666914">
              <w:rPr>
                <w:rFonts w:eastAsia="Times New Roman" w:cs="Calibri"/>
                <w:b/>
                <w:bCs/>
                <w:color w:val="000000"/>
                <w:sz w:val="20"/>
                <w:szCs w:val="20"/>
                <w:lang w:eastAsia="sk-SK"/>
              </w:rPr>
              <w:t xml:space="preserve"> </w:t>
            </w:r>
            <w:r w:rsidRPr="00666914">
              <w:rPr>
                <w:rFonts w:eastAsia="Times New Roman" w:cs="Calibri"/>
                <w:b/>
                <w:bCs/>
                <w:color w:val="000000"/>
                <w:sz w:val="20"/>
                <w:szCs w:val="20"/>
                <w:lang w:eastAsia="sk-SK"/>
              </w:rPr>
              <w:t>%</w:t>
            </w:r>
          </w:p>
        </w:tc>
        <w:tc>
          <w:tcPr>
            <w:tcW w:w="571" w:type="pct"/>
            <w:tcBorders>
              <w:top w:val="single" w:sz="4" w:space="0" w:color="auto"/>
              <w:left w:val="nil"/>
              <w:bottom w:val="single" w:sz="4" w:space="0" w:color="auto"/>
              <w:right w:val="nil"/>
            </w:tcBorders>
            <w:shd w:val="clear" w:color="auto" w:fill="auto"/>
            <w:noWrap/>
            <w:vAlign w:val="center"/>
            <w:hideMark/>
          </w:tcPr>
          <w:p w14:paraId="356B6161" w14:textId="22974D2B"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20,3</w:t>
            </w:r>
            <w:r w:rsidR="000E00B6" w:rsidRPr="00666914">
              <w:rPr>
                <w:rFonts w:eastAsia="Times New Roman" w:cs="Calibri"/>
                <w:b/>
                <w:bCs/>
                <w:color w:val="000000"/>
                <w:sz w:val="20"/>
                <w:szCs w:val="20"/>
                <w:lang w:eastAsia="sk-SK"/>
              </w:rPr>
              <w:t xml:space="preserve"> </w:t>
            </w:r>
            <w:r w:rsidRPr="00666914">
              <w:rPr>
                <w:rFonts w:eastAsia="Times New Roman" w:cs="Calibri"/>
                <w:b/>
                <w:bCs/>
                <w:color w:val="000000"/>
                <w:sz w:val="20"/>
                <w:szCs w:val="20"/>
                <w:lang w:eastAsia="sk-SK"/>
              </w:rPr>
              <w:t>%</w:t>
            </w:r>
          </w:p>
        </w:tc>
        <w:tc>
          <w:tcPr>
            <w:tcW w:w="572" w:type="pct"/>
            <w:tcBorders>
              <w:top w:val="single" w:sz="4" w:space="0" w:color="auto"/>
              <w:left w:val="nil"/>
              <w:bottom w:val="single" w:sz="4" w:space="0" w:color="auto"/>
              <w:right w:val="nil"/>
            </w:tcBorders>
            <w:shd w:val="clear" w:color="auto" w:fill="auto"/>
            <w:noWrap/>
            <w:vAlign w:val="center"/>
            <w:hideMark/>
          </w:tcPr>
          <w:p w14:paraId="73839DE7"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r>
      <w:tr w:rsidR="00E66F49" w:rsidRPr="00666914" w14:paraId="6DA8C5FB" w14:textId="77777777" w:rsidTr="00D27F91">
        <w:trPr>
          <w:trHeight w:val="300"/>
        </w:trPr>
        <w:tc>
          <w:tcPr>
            <w:tcW w:w="5000" w:type="pct"/>
            <w:gridSpan w:val="6"/>
            <w:tcBorders>
              <w:top w:val="nil"/>
              <w:left w:val="nil"/>
              <w:bottom w:val="nil"/>
              <w:right w:val="nil"/>
            </w:tcBorders>
            <w:shd w:val="clear" w:color="auto" w:fill="auto"/>
            <w:noWrap/>
            <w:vAlign w:val="bottom"/>
            <w:hideMark/>
          </w:tcPr>
          <w:p w14:paraId="0A4E01D4" w14:textId="77777777" w:rsidR="00E66F49" w:rsidRPr="00666914" w:rsidRDefault="00E66F49" w:rsidP="00D27F91">
            <w:pPr>
              <w:spacing w:after="0"/>
              <w:jc w:val="right"/>
              <w:rPr>
                <w:rFonts w:eastAsia="Times New Roman" w:cs="Calibri"/>
                <w:i/>
                <w:iCs/>
                <w:color w:val="000000"/>
                <w:sz w:val="18"/>
                <w:szCs w:val="18"/>
                <w:lang w:eastAsia="sk-SK"/>
              </w:rPr>
            </w:pPr>
            <w:r w:rsidRPr="00666914">
              <w:rPr>
                <w:rFonts w:eastAsia="Times New Roman" w:cs="Calibri"/>
                <w:i/>
                <w:iCs/>
                <w:color w:val="000000"/>
                <w:sz w:val="18"/>
                <w:szCs w:val="18"/>
                <w:lang w:eastAsia="sk-SK"/>
              </w:rPr>
              <w:t xml:space="preserve">Zdroj: RIS (skutočnosť), MŠVVaŠ SR </w:t>
            </w:r>
          </w:p>
        </w:tc>
      </w:tr>
    </w:tbl>
    <w:p w14:paraId="5FF8C31D" w14:textId="0ADACA47" w:rsidR="00E66F49" w:rsidRPr="00666914" w:rsidRDefault="00E66F49" w:rsidP="00D27F91">
      <w:pPr>
        <w:spacing w:after="0"/>
        <w:rPr>
          <w:b/>
        </w:rPr>
      </w:pPr>
      <w:r w:rsidRPr="00666914">
        <w:lastRenderedPageBreak/>
        <w:t>V schválenej metodike rozpisu dotácií na rok 2020</w:t>
      </w:r>
      <w:r w:rsidRPr="00666914">
        <w:rPr>
          <w:rStyle w:val="Odkaznapoznmkupodiarou"/>
        </w:rPr>
        <w:footnoteReference w:id="222"/>
      </w:r>
      <w:r w:rsidRPr="00666914">
        <w:t xml:space="preserve"> </w:t>
      </w:r>
      <w:r w:rsidR="0088141B" w:rsidRPr="00666914">
        <w:t xml:space="preserve">predpokladá </w:t>
      </w:r>
      <w:r w:rsidRPr="00666914">
        <w:t xml:space="preserve">rezort </w:t>
      </w:r>
      <w:r w:rsidR="0088141B" w:rsidRPr="00666914">
        <w:t xml:space="preserve">ďalšie navýšenie </w:t>
      </w:r>
      <w:r w:rsidRPr="00666914">
        <w:t xml:space="preserve">prostriedkov pre VEGA a KEGA </w:t>
      </w:r>
      <w:r w:rsidR="0088141B" w:rsidRPr="00666914">
        <w:t xml:space="preserve"> oproti </w:t>
      </w:r>
      <w:r w:rsidRPr="00666914">
        <w:t xml:space="preserve">roku 2019 o 7 %. </w:t>
      </w:r>
    </w:p>
    <w:p w14:paraId="65620926" w14:textId="77777777" w:rsidR="00E66F49" w:rsidRPr="00666914" w:rsidRDefault="00E66F49" w:rsidP="00D27F91">
      <w:pPr>
        <w:spacing w:after="0"/>
        <w:jc w:val="left"/>
        <w:rPr>
          <w:b/>
          <w:u w:val="single"/>
        </w:rPr>
      </w:pPr>
    </w:p>
    <w:p w14:paraId="18A57A05" w14:textId="77777777" w:rsidR="00E66F49" w:rsidRPr="00666914" w:rsidRDefault="00E66F49" w:rsidP="00E66F49">
      <w:pPr>
        <w:pStyle w:val="Nadpis2"/>
        <w:spacing w:line="240" w:lineRule="auto"/>
        <w:ind w:left="1070"/>
      </w:pPr>
      <w:bookmarkStart w:id="306" w:name="_Toc517709879"/>
      <w:bookmarkStart w:id="307" w:name="_Toc6321907"/>
      <w:bookmarkStart w:id="308" w:name="_Toc38447606"/>
      <w:r w:rsidRPr="00666914">
        <w:t>Investície a výdavky</w:t>
      </w:r>
      <w:bookmarkEnd w:id="306"/>
      <w:bookmarkEnd w:id="307"/>
      <w:bookmarkEnd w:id="308"/>
    </w:p>
    <w:tbl>
      <w:tblPr>
        <w:tblW w:w="53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5"/>
        <w:gridCol w:w="3408"/>
        <w:gridCol w:w="1473"/>
        <w:gridCol w:w="1031"/>
        <w:gridCol w:w="1176"/>
        <w:gridCol w:w="608"/>
        <w:gridCol w:w="608"/>
        <w:gridCol w:w="608"/>
        <w:gridCol w:w="602"/>
      </w:tblGrid>
      <w:tr w:rsidR="00E66F49" w:rsidRPr="00666914" w14:paraId="16A23862" w14:textId="77777777" w:rsidTr="0039476D">
        <w:trPr>
          <w:trHeight w:val="316"/>
          <w:tblHeader/>
        </w:trPr>
        <w:tc>
          <w:tcPr>
            <w:tcW w:w="209" w:type="pct"/>
            <w:shd w:val="clear" w:color="auto" w:fill="auto"/>
            <w:noWrap/>
            <w:vAlign w:val="center"/>
            <w:hideMark/>
          </w:tcPr>
          <w:p w14:paraId="1F46CFB6" w14:textId="77777777" w:rsidR="00E66F49" w:rsidRPr="00666914" w:rsidRDefault="00E66F49" w:rsidP="00D27F91">
            <w:pPr>
              <w:spacing w:after="0"/>
              <w:jc w:val="center"/>
              <w:rPr>
                <w:rFonts w:eastAsia="Times New Roman"/>
                <w:b/>
                <w:bCs/>
                <w:color w:val="000000"/>
                <w:sz w:val="20"/>
                <w:szCs w:val="20"/>
                <w:lang w:eastAsia="sk-SK"/>
              </w:rPr>
            </w:pPr>
          </w:p>
        </w:tc>
        <w:tc>
          <w:tcPr>
            <w:tcW w:w="1716" w:type="pct"/>
            <w:shd w:val="clear" w:color="auto" w:fill="auto"/>
            <w:noWrap/>
            <w:vAlign w:val="center"/>
            <w:hideMark/>
          </w:tcPr>
          <w:p w14:paraId="7A9B2DF0"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VZDELÁVANIE</w:t>
            </w:r>
          </w:p>
        </w:tc>
        <w:tc>
          <w:tcPr>
            <w:tcW w:w="742" w:type="pct"/>
            <w:shd w:val="clear" w:color="auto" w:fill="auto"/>
            <w:noWrap/>
            <w:vAlign w:val="center"/>
            <w:hideMark/>
          </w:tcPr>
          <w:p w14:paraId="2E3E5290"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Zodpovednosť</w:t>
            </w:r>
          </w:p>
        </w:tc>
        <w:tc>
          <w:tcPr>
            <w:tcW w:w="519" w:type="pct"/>
            <w:shd w:val="clear" w:color="auto" w:fill="auto"/>
            <w:noWrap/>
            <w:vAlign w:val="center"/>
            <w:hideMark/>
          </w:tcPr>
          <w:p w14:paraId="27F23A40"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Termín plnenia</w:t>
            </w:r>
          </w:p>
        </w:tc>
        <w:tc>
          <w:tcPr>
            <w:tcW w:w="592" w:type="pct"/>
            <w:vAlign w:val="center"/>
          </w:tcPr>
          <w:p w14:paraId="12B17E39" w14:textId="1621D614" w:rsidR="00E66F49" w:rsidRPr="00666914" w:rsidRDefault="00E66F49" w:rsidP="00AE282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Nový termín plnenia</w:t>
            </w:r>
          </w:p>
        </w:tc>
        <w:tc>
          <w:tcPr>
            <w:tcW w:w="306" w:type="pct"/>
            <w:shd w:val="clear" w:color="auto" w:fill="auto"/>
            <w:noWrap/>
            <w:vAlign w:val="center"/>
            <w:hideMark/>
          </w:tcPr>
          <w:p w14:paraId="3E44036F"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1Q 2019</w:t>
            </w:r>
          </w:p>
        </w:tc>
        <w:tc>
          <w:tcPr>
            <w:tcW w:w="306" w:type="pct"/>
            <w:shd w:val="clear" w:color="auto" w:fill="auto"/>
            <w:noWrap/>
            <w:vAlign w:val="center"/>
            <w:hideMark/>
          </w:tcPr>
          <w:p w14:paraId="5244920A"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2Q 2019</w:t>
            </w:r>
          </w:p>
        </w:tc>
        <w:tc>
          <w:tcPr>
            <w:tcW w:w="306" w:type="pct"/>
            <w:shd w:val="clear" w:color="auto" w:fill="auto"/>
            <w:noWrap/>
            <w:vAlign w:val="center"/>
            <w:hideMark/>
          </w:tcPr>
          <w:p w14:paraId="2BA365DF"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3Q 2019</w:t>
            </w:r>
          </w:p>
        </w:tc>
        <w:tc>
          <w:tcPr>
            <w:tcW w:w="303" w:type="pct"/>
            <w:shd w:val="clear" w:color="auto" w:fill="auto"/>
            <w:noWrap/>
            <w:vAlign w:val="center"/>
            <w:hideMark/>
          </w:tcPr>
          <w:p w14:paraId="3687E67E"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4Q 2019</w:t>
            </w:r>
          </w:p>
        </w:tc>
      </w:tr>
      <w:tr w:rsidR="00E66F49" w:rsidRPr="00666914" w14:paraId="7DDFEFD3" w14:textId="77777777" w:rsidTr="0039476D">
        <w:trPr>
          <w:trHeight w:val="287"/>
        </w:trPr>
        <w:tc>
          <w:tcPr>
            <w:tcW w:w="209" w:type="pct"/>
            <w:shd w:val="clear" w:color="auto" w:fill="auto"/>
            <w:vAlign w:val="center"/>
            <w:hideMark/>
          </w:tcPr>
          <w:p w14:paraId="22B24508"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16</w:t>
            </w:r>
          </w:p>
        </w:tc>
        <w:tc>
          <w:tcPr>
            <w:tcW w:w="1716" w:type="pct"/>
            <w:shd w:val="clear" w:color="auto" w:fill="auto"/>
            <w:vAlign w:val="center"/>
          </w:tcPr>
          <w:p w14:paraId="2C0F1402"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Vypracovať a zverejniť investičný plán rezortu školstva, bez ohľadu na zdroj financovania</w:t>
            </w:r>
          </w:p>
        </w:tc>
        <w:tc>
          <w:tcPr>
            <w:tcW w:w="742" w:type="pct"/>
            <w:shd w:val="clear" w:color="auto" w:fill="auto"/>
            <w:vAlign w:val="center"/>
          </w:tcPr>
          <w:p w14:paraId="597F4ADF"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 xml:space="preserve">MŠVVaŠ SR </w:t>
            </w:r>
          </w:p>
        </w:tc>
        <w:tc>
          <w:tcPr>
            <w:tcW w:w="519" w:type="pct"/>
            <w:shd w:val="clear" w:color="auto" w:fill="auto"/>
            <w:vAlign w:val="center"/>
          </w:tcPr>
          <w:p w14:paraId="0368250E"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10/2017</w:t>
            </w:r>
          </w:p>
        </w:tc>
        <w:tc>
          <w:tcPr>
            <w:tcW w:w="592" w:type="pct"/>
            <w:vAlign w:val="center"/>
          </w:tcPr>
          <w:p w14:paraId="4D624DF8"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priebežne</w:t>
            </w:r>
          </w:p>
        </w:tc>
        <w:tc>
          <w:tcPr>
            <w:tcW w:w="306" w:type="pct"/>
            <w:shd w:val="clear" w:color="auto" w:fill="A6A6A6" w:themeFill="background1" w:themeFillShade="A6"/>
            <w:noWrap/>
            <w:vAlign w:val="bottom"/>
            <w:hideMark/>
          </w:tcPr>
          <w:p w14:paraId="4F5612A9" w14:textId="77777777" w:rsidR="00E66F49" w:rsidRPr="00666914" w:rsidRDefault="00E66F49" w:rsidP="00D27F91">
            <w:pPr>
              <w:spacing w:after="0"/>
              <w:jc w:val="center"/>
              <w:rPr>
                <w:rFonts w:eastAsia="Times New Roman"/>
                <w:color w:val="000000"/>
                <w:sz w:val="20"/>
                <w:szCs w:val="20"/>
                <w:lang w:eastAsia="sk-SK"/>
              </w:rPr>
            </w:pPr>
          </w:p>
        </w:tc>
        <w:tc>
          <w:tcPr>
            <w:tcW w:w="306" w:type="pct"/>
            <w:shd w:val="clear" w:color="auto" w:fill="92D050"/>
            <w:noWrap/>
            <w:vAlign w:val="bottom"/>
            <w:hideMark/>
          </w:tcPr>
          <w:p w14:paraId="3416C8FE"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A6A6A6" w:themeFill="background1" w:themeFillShade="A6"/>
            <w:noWrap/>
            <w:vAlign w:val="bottom"/>
            <w:hideMark/>
          </w:tcPr>
          <w:p w14:paraId="69298BD1"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3" w:type="pct"/>
            <w:shd w:val="clear" w:color="auto" w:fill="92D050"/>
            <w:noWrap/>
            <w:vAlign w:val="bottom"/>
            <w:hideMark/>
          </w:tcPr>
          <w:p w14:paraId="79E5BF11"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E66F49" w:rsidRPr="00666914" w14:paraId="2DBA54EF" w14:textId="77777777" w:rsidTr="0039476D">
        <w:trPr>
          <w:trHeight w:val="287"/>
        </w:trPr>
        <w:tc>
          <w:tcPr>
            <w:tcW w:w="209" w:type="pct"/>
            <w:shd w:val="clear" w:color="auto" w:fill="auto"/>
            <w:vAlign w:val="center"/>
            <w:hideMark/>
          </w:tcPr>
          <w:p w14:paraId="13006D36"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17</w:t>
            </w:r>
          </w:p>
        </w:tc>
        <w:tc>
          <w:tcPr>
            <w:tcW w:w="1716" w:type="pct"/>
            <w:shd w:val="clear" w:color="auto" w:fill="auto"/>
            <w:vAlign w:val="center"/>
          </w:tcPr>
          <w:p w14:paraId="126A7854"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Rozpočtovať a následne aktualizovať všetky plánované investície na úrovni investičných akcií</w:t>
            </w:r>
          </w:p>
        </w:tc>
        <w:tc>
          <w:tcPr>
            <w:tcW w:w="742" w:type="pct"/>
            <w:shd w:val="clear" w:color="auto" w:fill="auto"/>
            <w:vAlign w:val="center"/>
          </w:tcPr>
          <w:p w14:paraId="1996DB7A"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 xml:space="preserve">MŠVVaŠ SR </w:t>
            </w:r>
          </w:p>
        </w:tc>
        <w:tc>
          <w:tcPr>
            <w:tcW w:w="519" w:type="pct"/>
            <w:shd w:val="clear" w:color="auto" w:fill="auto"/>
            <w:vAlign w:val="center"/>
          </w:tcPr>
          <w:p w14:paraId="4B6E8A32"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10/2017</w:t>
            </w:r>
          </w:p>
        </w:tc>
        <w:tc>
          <w:tcPr>
            <w:tcW w:w="592" w:type="pct"/>
            <w:vAlign w:val="center"/>
          </w:tcPr>
          <w:p w14:paraId="6AB886D0"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priebežne</w:t>
            </w:r>
          </w:p>
        </w:tc>
        <w:tc>
          <w:tcPr>
            <w:tcW w:w="306" w:type="pct"/>
            <w:shd w:val="clear" w:color="auto" w:fill="FFC000"/>
            <w:noWrap/>
            <w:vAlign w:val="bottom"/>
            <w:hideMark/>
          </w:tcPr>
          <w:p w14:paraId="4418D3EC"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C000"/>
            <w:noWrap/>
            <w:vAlign w:val="bottom"/>
            <w:hideMark/>
          </w:tcPr>
          <w:p w14:paraId="0786CFF7"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C000"/>
            <w:noWrap/>
            <w:vAlign w:val="bottom"/>
            <w:hideMark/>
          </w:tcPr>
          <w:p w14:paraId="59E4F84B"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3" w:type="pct"/>
            <w:shd w:val="clear" w:color="auto" w:fill="FFC000"/>
            <w:noWrap/>
            <w:vAlign w:val="bottom"/>
            <w:hideMark/>
          </w:tcPr>
          <w:p w14:paraId="40162C9D"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E66F49" w:rsidRPr="00666914" w14:paraId="00DB6E59" w14:textId="77777777" w:rsidTr="0039476D">
        <w:trPr>
          <w:trHeight w:val="748"/>
        </w:trPr>
        <w:tc>
          <w:tcPr>
            <w:tcW w:w="209" w:type="pct"/>
            <w:shd w:val="clear" w:color="auto" w:fill="auto"/>
            <w:vAlign w:val="center"/>
            <w:hideMark/>
          </w:tcPr>
          <w:p w14:paraId="60591CC1"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18</w:t>
            </w:r>
          </w:p>
        </w:tc>
        <w:tc>
          <w:tcPr>
            <w:tcW w:w="1716" w:type="pct"/>
            <w:shd w:val="clear" w:color="auto" w:fill="auto"/>
            <w:vAlign w:val="center"/>
          </w:tcPr>
          <w:p w14:paraId="55B10056"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Vypracovať rezortnú metodiku pre CBA, ktorá bude vychádzať z Rámca hodnotenia verejných investícií a špecifikuje parametre pre rezort školstva</w:t>
            </w:r>
          </w:p>
        </w:tc>
        <w:tc>
          <w:tcPr>
            <w:tcW w:w="742" w:type="pct"/>
            <w:shd w:val="clear" w:color="auto" w:fill="auto"/>
            <w:vAlign w:val="center"/>
          </w:tcPr>
          <w:p w14:paraId="0266D67C"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 xml:space="preserve">MŠVVaŠ SR </w:t>
            </w:r>
          </w:p>
        </w:tc>
        <w:tc>
          <w:tcPr>
            <w:tcW w:w="519" w:type="pct"/>
            <w:shd w:val="clear" w:color="auto" w:fill="auto"/>
            <w:vAlign w:val="center"/>
          </w:tcPr>
          <w:p w14:paraId="3E3F1476"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01/2018</w:t>
            </w:r>
          </w:p>
        </w:tc>
        <w:tc>
          <w:tcPr>
            <w:tcW w:w="592" w:type="pct"/>
            <w:vAlign w:val="center"/>
          </w:tcPr>
          <w:p w14:paraId="1500BC4D"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06/2019</w:t>
            </w:r>
          </w:p>
        </w:tc>
        <w:tc>
          <w:tcPr>
            <w:tcW w:w="306" w:type="pct"/>
            <w:shd w:val="clear" w:color="auto" w:fill="FF0000"/>
            <w:noWrap/>
            <w:vAlign w:val="bottom"/>
            <w:hideMark/>
          </w:tcPr>
          <w:p w14:paraId="5844A0C0"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0000"/>
            <w:noWrap/>
            <w:vAlign w:val="bottom"/>
            <w:hideMark/>
          </w:tcPr>
          <w:p w14:paraId="5BD7CA3A"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0000"/>
            <w:noWrap/>
            <w:vAlign w:val="bottom"/>
            <w:hideMark/>
          </w:tcPr>
          <w:p w14:paraId="0076032B"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3" w:type="pct"/>
            <w:shd w:val="clear" w:color="auto" w:fill="FF0000"/>
            <w:noWrap/>
            <w:vAlign w:val="bottom"/>
            <w:hideMark/>
          </w:tcPr>
          <w:p w14:paraId="4A6431E8"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E66F49" w:rsidRPr="00666914" w14:paraId="48000872" w14:textId="77777777" w:rsidTr="0039476D">
        <w:trPr>
          <w:trHeight w:val="287"/>
        </w:trPr>
        <w:tc>
          <w:tcPr>
            <w:tcW w:w="209" w:type="pct"/>
            <w:shd w:val="clear" w:color="auto" w:fill="auto"/>
            <w:vAlign w:val="center"/>
            <w:hideMark/>
          </w:tcPr>
          <w:p w14:paraId="7D24FBD5"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19</w:t>
            </w:r>
          </w:p>
        </w:tc>
        <w:tc>
          <w:tcPr>
            <w:tcW w:w="1716" w:type="pct"/>
            <w:shd w:val="clear" w:color="auto" w:fill="auto"/>
            <w:vAlign w:val="center"/>
          </w:tcPr>
          <w:p w14:paraId="0EDE20BB"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Pre investície vypracovať a zverejniť štúdiu uskutočniteľnosti a analýzu CBA v súlade s platným Rámcom hodnotenia verejných investícií</w:t>
            </w:r>
          </w:p>
        </w:tc>
        <w:tc>
          <w:tcPr>
            <w:tcW w:w="742" w:type="pct"/>
            <w:shd w:val="clear" w:color="auto" w:fill="auto"/>
            <w:vAlign w:val="center"/>
          </w:tcPr>
          <w:p w14:paraId="7A9A58CF"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 xml:space="preserve">MŠVVaŠ SR </w:t>
            </w:r>
          </w:p>
        </w:tc>
        <w:tc>
          <w:tcPr>
            <w:tcW w:w="519" w:type="pct"/>
            <w:shd w:val="clear" w:color="auto" w:fill="auto"/>
            <w:vAlign w:val="center"/>
          </w:tcPr>
          <w:p w14:paraId="0E4DE3DB"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06/2018</w:t>
            </w:r>
          </w:p>
        </w:tc>
        <w:tc>
          <w:tcPr>
            <w:tcW w:w="592" w:type="pct"/>
            <w:vAlign w:val="center"/>
          </w:tcPr>
          <w:p w14:paraId="5D2AF657"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priebežne</w:t>
            </w:r>
          </w:p>
        </w:tc>
        <w:tc>
          <w:tcPr>
            <w:tcW w:w="306" w:type="pct"/>
            <w:shd w:val="clear" w:color="auto" w:fill="A6A6A6" w:themeFill="background1" w:themeFillShade="A6"/>
            <w:noWrap/>
            <w:vAlign w:val="bottom"/>
            <w:hideMark/>
          </w:tcPr>
          <w:p w14:paraId="543940C5"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92D050"/>
            <w:noWrap/>
            <w:vAlign w:val="bottom"/>
            <w:hideMark/>
          </w:tcPr>
          <w:p w14:paraId="3376A540"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A6A6A6" w:themeFill="background1" w:themeFillShade="A6"/>
            <w:noWrap/>
            <w:vAlign w:val="bottom"/>
            <w:hideMark/>
          </w:tcPr>
          <w:p w14:paraId="69AE605D"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3" w:type="pct"/>
            <w:shd w:val="clear" w:color="auto" w:fill="A6A6A6" w:themeFill="background1" w:themeFillShade="A6"/>
            <w:noWrap/>
            <w:vAlign w:val="bottom"/>
            <w:hideMark/>
          </w:tcPr>
          <w:p w14:paraId="61B3C100"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E66F49" w:rsidRPr="00666914" w14:paraId="13CD12C5" w14:textId="77777777" w:rsidTr="0039476D">
        <w:trPr>
          <w:trHeight w:val="287"/>
        </w:trPr>
        <w:tc>
          <w:tcPr>
            <w:tcW w:w="209" w:type="pct"/>
            <w:shd w:val="clear" w:color="auto" w:fill="auto"/>
            <w:vAlign w:val="center"/>
            <w:hideMark/>
          </w:tcPr>
          <w:p w14:paraId="4450E963"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20</w:t>
            </w:r>
          </w:p>
        </w:tc>
        <w:tc>
          <w:tcPr>
            <w:tcW w:w="1716" w:type="pct"/>
            <w:shd w:val="clear" w:color="auto" w:fill="auto"/>
            <w:vAlign w:val="center"/>
          </w:tcPr>
          <w:p w14:paraId="6F164AFC"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Posúdiť projekt Accord</w:t>
            </w:r>
          </w:p>
        </w:tc>
        <w:tc>
          <w:tcPr>
            <w:tcW w:w="742" w:type="pct"/>
            <w:shd w:val="clear" w:color="auto" w:fill="auto"/>
            <w:vAlign w:val="center"/>
          </w:tcPr>
          <w:p w14:paraId="4547A573"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MŠVVaŠ SR (predloženie) a MF SR (posudok)</w:t>
            </w:r>
          </w:p>
        </w:tc>
        <w:tc>
          <w:tcPr>
            <w:tcW w:w="519" w:type="pct"/>
            <w:shd w:val="clear" w:color="auto" w:fill="auto"/>
            <w:vAlign w:val="center"/>
          </w:tcPr>
          <w:p w14:paraId="68A30903"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V procese pripomienkovania JASPERS</w:t>
            </w:r>
            <w:r w:rsidRPr="00666914">
              <w:rPr>
                <w:rStyle w:val="Odkaznapoznmkupodiarou"/>
                <w:rFonts w:eastAsia="Times New Roman"/>
                <w:color w:val="000000"/>
                <w:sz w:val="20"/>
                <w:szCs w:val="20"/>
                <w:lang w:eastAsia="sk-SK"/>
              </w:rPr>
              <w:footnoteReference w:id="223"/>
            </w:r>
          </w:p>
        </w:tc>
        <w:tc>
          <w:tcPr>
            <w:tcW w:w="592" w:type="pct"/>
            <w:vAlign w:val="center"/>
          </w:tcPr>
          <w:p w14:paraId="519DA8EE"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12/2019</w:t>
            </w:r>
          </w:p>
        </w:tc>
        <w:tc>
          <w:tcPr>
            <w:tcW w:w="306" w:type="pct"/>
            <w:shd w:val="clear" w:color="auto" w:fill="FF0000"/>
            <w:noWrap/>
            <w:vAlign w:val="bottom"/>
            <w:hideMark/>
          </w:tcPr>
          <w:p w14:paraId="2866A16E"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0000"/>
            <w:noWrap/>
            <w:vAlign w:val="bottom"/>
            <w:hideMark/>
          </w:tcPr>
          <w:p w14:paraId="044BD32E"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92D050"/>
            <w:noWrap/>
            <w:vAlign w:val="bottom"/>
            <w:hideMark/>
          </w:tcPr>
          <w:p w14:paraId="6BF1337F"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3" w:type="pct"/>
            <w:shd w:val="clear" w:color="auto" w:fill="A6A6A6" w:themeFill="background1" w:themeFillShade="A6"/>
            <w:noWrap/>
            <w:vAlign w:val="bottom"/>
            <w:hideMark/>
          </w:tcPr>
          <w:p w14:paraId="1F517A49"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E66F49" w:rsidRPr="00666914" w14:paraId="24C3773E" w14:textId="77777777" w:rsidTr="0039476D">
        <w:trPr>
          <w:trHeight w:val="302"/>
        </w:trPr>
        <w:tc>
          <w:tcPr>
            <w:tcW w:w="209" w:type="pct"/>
            <w:shd w:val="clear" w:color="auto" w:fill="auto"/>
            <w:vAlign w:val="center"/>
            <w:hideMark/>
          </w:tcPr>
          <w:p w14:paraId="3D55D7A6"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21</w:t>
            </w:r>
          </w:p>
        </w:tc>
        <w:tc>
          <w:tcPr>
            <w:tcW w:w="1716" w:type="pct"/>
            <w:shd w:val="clear" w:color="auto" w:fill="auto"/>
            <w:vAlign w:val="center"/>
          </w:tcPr>
          <w:p w14:paraId="213ECB1B"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Stanoviť a sledovať nákladovosť a výkonnosť informačných systémov, vrátane podriadených organizácií rezortu</w:t>
            </w:r>
          </w:p>
        </w:tc>
        <w:tc>
          <w:tcPr>
            <w:tcW w:w="742" w:type="pct"/>
            <w:shd w:val="clear" w:color="auto" w:fill="auto"/>
            <w:vAlign w:val="center"/>
          </w:tcPr>
          <w:p w14:paraId="01028F72"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 xml:space="preserve">MŠVVaŠ SR </w:t>
            </w:r>
          </w:p>
        </w:tc>
        <w:tc>
          <w:tcPr>
            <w:tcW w:w="519" w:type="pct"/>
            <w:shd w:val="clear" w:color="auto" w:fill="auto"/>
            <w:vAlign w:val="center"/>
          </w:tcPr>
          <w:p w14:paraId="5A45CA93"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01/2019</w:t>
            </w:r>
          </w:p>
        </w:tc>
        <w:tc>
          <w:tcPr>
            <w:tcW w:w="592" w:type="pct"/>
            <w:vAlign w:val="center"/>
          </w:tcPr>
          <w:p w14:paraId="42795227"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w:t>
            </w:r>
          </w:p>
        </w:tc>
        <w:tc>
          <w:tcPr>
            <w:tcW w:w="306" w:type="pct"/>
            <w:shd w:val="clear" w:color="auto" w:fill="FF0000"/>
            <w:noWrap/>
            <w:vAlign w:val="bottom"/>
            <w:hideMark/>
          </w:tcPr>
          <w:p w14:paraId="435184EC"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C000"/>
            <w:noWrap/>
            <w:vAlign w:val="bottom"/>
            <w:hideMark/>
          </w:tcPr>
          <w:p w14:paraId="29653B03"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C000"/>
            <w:noWrap/>
            <w:vAlign w:val="bottom"/>
            <w:hideMark/>
          </w:tcPr>
          <w:p w14:paraId="2B959D6F"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3" w:type="pct"/>
            <w:shd w:val="clear" w:color="auto" w:fill="FFC000"/>
            <w:noWrap/>
            <w:vAlign w:val="bottom"/>
            <w:hideMark/>
          </w:tcPr>
          <w:p w14:paraId="25C57FC5" w14:textId="77777777" w:rsidR="00E66F49" w:rsidRPr="00666914" w:rsidRDefault="00E66F49" w:rsidP="00D27F91">
            <w:pPr>
              <w:spacing w:after="0"/>
              <w:rPr>
                <w:rFonts w:eastAsia="Times New Roman"/>
                <w:color w:val="000000"/>
                <w:sz w:val="20"/>
                <w:szCs w:val="20"/>
                <w:lang w:eastAsia="sk-SK"/>
              </w:rPr>
            </w:pPr>
          </w:p>
        </w:tc>
      </w:tr>
      <w:tr w:rsidR="00E66F49" w:rsidRPr="00666914" w14:paraId="7A79B193" w14:textId="77777777" w:rsidTr="0039476D">
        <w:trPr>
          <w:trHeight w:val="287"/>
        </w:trPr>
        <w:tc>
          <w:tcPr>
            <w:tcW w:w="209" w:type="pct"/>
            <w:shd w:val="clear" w:color="auto" w:fill="auto"/>
            <w:vAlign w:val="center"/>
            <w:hideMark/>
          </w:tcPr>
          <w:p w14:paraId="79C254B8"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22</w:t>
            </w:r>
          </w:p>
        </w:tc>
        <w:tc>
          <w:tcPr>
            <w:tcW w:w="1716" w:type="pct"/>
            <w:shd w:val="clear" w:color="auto" w:fill="auto"/>
            <w:vAlign w:val="center"/>
          </w:tcPr>
          <w:p w14:paraId="2F3916D3"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Vypracovať plán migrácie IS do vládneho cloudu</w:t>
            </w:r>
          </w:p>
        </w:tc>
        <w:tc>
          <w:tcPr>
            <w:tcW w:w="742" w:type="pct"/>
            <w:shd w:val="clear" w:color="auto" w:fill="auto"/>
            <w:vAlign w:val="center"/>
          </w:tcPr>
          <w:p w14:paraId="3C2D596B"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 xml:space="preserve">MŠVVaŠ SR </w:t>
            </w:r>
          </w:p>
        </w:tc>
        <w:tc>
          <w:tcPr>
            <w:tcW w:w="519" w:type="pct"/>
            <w:shd w:val="clear" w:color="auto" w:fill="auto"/>
            <w:vAlign w:val="center"/>
          </w:tcPr>
          <w:p w14:paraId="32CC43A0"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01/2018</w:t>
            </w:r>
          </w:p>
        </w:tc>
        <w:tc>
          <w:tcPr>
            <w:tcW w:w="592" w:type="pct"/>
            <w:vAlign w:val="center"/>
          </w:tcPr>
          <w:p w14:paraId="614B1E39"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06/2019</w:t>
            </w:r>
          </w:p>
        </w:tc>
        <w:tc>
          <w:tcPr>
            <w:tcW w:w="306" w:type="pct"/>
            <w:shd w:val="clear" w:color="auto" w:fill="FFC000"/>
            <w:noWrap/>
            <w:vAlign w:val="bottom"/>
            <w:hideMark/>
          </w:tcPr>
          <w:p w14:paraId="19D36D64"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C000"/>
            <w:noWrap/>
            <w:vAlign w:val="bottom"/>
            <w:hideMark/>
          </w:tcPr>
          <w:p w14:paraId="5F185265"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C000"/>
            <w:noWrap/>
            <w:vAlign w:val="bottom"/>
            <w:hideMark/>
          </w:tcPr>
          <w:p w14:paraId="431DC7F4"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3" w:type="pct"/>
            <w:shd w:val="clear" w:color="auto" w:fill="FFC000"/>
            <w:noWrap/>
            <w:vAlign w:val="bottom"/>
            <w:hideMark/>
          </w:tcPr>
          <w:p w14:paraId="688CBE9E"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E66F49" w:rsidRPr="00666914" w14:paraId="07AF2CB2" w14:textId="77777777" w:rsidTr="0039476D">
        <w:trPr>
          <w:trHeight w:val="287"/>
        </w:trPr>
        <w:tc>
          <w:tcPr>
            <w:tcW w:w="209" w:type="pct"/>
            <w:shd w:val="clear" w:color="auto" w:fill="auto"/>
            <w:vAlign w:val="center"/>
            <w:hideMark/>
          </w:tcPr>
          <w:p w14:paraId="299E501C"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23</w:t>
            </w:r>
          </w:p>
        </w:tc>
        <w:tc>
          <w:tcPr>
            <w:tcW w:w="1716" w:type="pct"/>
            <w:shd w:val="clear" w:color="auto" w:fill="auto"/>
            <w:vAlign w:val="center"/>
          </w:tcPr>
          <w:p w14:paraId="397417D1"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Aktualizovať analýzu centralizácie podporných služieb a optimalizácie priestorov a podriadených organizácií rezortu</w:t>
            </w:r>
          </w:p>
        </w:tc>
        <w:tc>
          <w:tcPr>
            <w:tcW w:w="742" w:type="pct"/>
            <w:shd w:val="clear" w:color="auto" w:fill="auto"/>
            <w:vAlign w:val="center"/>
          </w:tcPr>
          <w:p w14:paraId="35C27801"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 xml:space="preserve">MŠVVaŠ SR </w:t>
            </w:r>
          </w:p>
        </w:tc>
        <w:tc>
          <w:tcPr>
            <w:tcW w:w="519" w:type="pct"/>
            <w:shd w:val="clear" w:color="auto" w:fill="auto"/>
            <w:vAlign w:val="center"/>
          </w:tcPr>
          <w:p w14:paraId="0082985B"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01/2018</w:t>
            </w:r>
          </w:p>
        </w:tc>
        <w:tc>
          <w:tcPr>
            <w:tcW w:w="592" w:type="pct"/>
            <w:vAlign w:val="center"/>
          </w:tcPr>
          <w:p w14:paraId="2D1B944E"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06/2019</w:t>
            </w:r>
          </w:p>
        </w:tc>
        <w:tc>
          <w:tcPr>
            <w:tcW w:w="306" w:type="pct"/>
            <w:shd w:val="clear" w:color="auto" w:fill="92D050"/>
            <w:noWrap/>
            <w:vAlign w:val="bottom"/>
            <w:hideMark/>
          </w:tcPr>
          <w:p w14:paraId="1615457D"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A6A6A6" w:themeFill="background1" w:themeFillShade="A6"/>
            <w:noWrap/>
            <w:vAlign w:val="bottom"/>
            <w:hideMark/>
          </w:tcPr>
          <w:p w14:paraId="49178086"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A6A6A6" w:themeFill="background1" w:themeFillShade="A6"/>
            <w:noWrap/>
            <w:vAlign w:val="bottom"/>
            <w:hideMark/>
          </w:tcPr>
          <w:p w14:paraId="25AA680A"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3" w:type="pct"/>
            <w:shd w:val="clear" w:color="auto" w:fill="A6A6A6" w:themeFill="background1" w:themeFillShade="A6"/>
            <w:noWrap/>
            <w:vAlign w:val="bottom"/>
            <w:hideMark/>
          </w:tcPr>
          <w:p w14:paraId="15661137"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r w:rsidR="00E66F49" w:rsidRPr="00666914" w14:paraId="60962344" w14:textId="77777777" w:rsidTr="0039476D">
        <w:trPr>
          <w:trHeight w:val="287"/>
        </w:trPr>
        <w:tc>
          <w:tcPr>
            <w:tcW w:w="209" w:type="pct"/>
            <w:shd w:val="clear" w:color="auto" w:fill="auto"/>
            <w:vAlign w:val="center"/>
            <w:hideMark/>
          </w:tcPr>
          <w:p w14:paraId="6652679A"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24</w:t>
            </w:r>
          </w:p>
        </w:tc>
        <w:tc>
          <w:tcPr>
            <w:tcW w:w="1716" w:type="pct"/>
            <w:shd w:val="clear" w:color="auto" w:fill="auto"/>
            <w:vAlign w:val="center"/>
          </w:tcPr>
          <w:p w14:paraId="025D6EF8"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Optimalizovať štruktúru a činnosti priamo riadených organizácií</w:t>
            </w:r>
          </w:p>
        </w:tc>
        <w:tc>
          <w:tcPr>
            <w:tcW w:w="742" w:type="pct"/>
            <w:shd w:val="clear" w:color="auto" w:fill="auto"/>
            <w:vAlign w:val="center"/>
          </w:tcPr>
          <w:p w14:paraId="5576C269"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 xml:space="preserve">MŠVVaŠ SR </w:t>
            </w:r>
          </w:p>
        </w:tc>
        <w:tc>
          <w:tcPr>
            <w:tcW w:w="519" w:type="pct"/>
            <w:shd w:val="clear" w:color="auto" w:fill="auto"/>
            <w:vAlign w:val="center"/>
          </w:tcPr>
          <w:p w14:paraId="480D1754"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12/2018</w:t>
            </w:r>
          </w:p>
        </w:tc>
        <w:tc>
          <w:tcPr>
            <w:tcW w:w="592" w:type="pct"/>
            <w:vAlign w:val="center"/>
          </w:tcPr>
          <w:p w14:paraId="3944D28C"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06/2019</w:t>
            </w:r>
          </w:p>
        </w:tc>
        <w:tc>
          <w:tcPr>
            <w:tcW w:w="306" w:type="pct"/>
            <w:shd w:val="clear" w:color="auto" w:fill="FFC000"/>
            <w:noWrap/>
            <w:vAlign w:val="bottom"/>
            <w:hideMark/>
          </w:tcPr>
          <w:p w14:paraId="204E2751"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0000"/>
            <w:noWrap/>
            <w:vAlign w:val="bottom"/>
            <w:hideMark/>
          </w:tcPr>
          <w:p w14:paraId="71471BD3"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0000"/>
            <w:noWrap/>
            <w:vAlign w:val="bottom"/>
            <w:hideMark/>
          </w:tcPr>
          <w:p w14:paraId="50035FD8"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3" w:type="pct"/>
            <w:shd w:val="clear" w:color="auto" w:fill="FF0000"/>
            <w:noWrap/>
            <w:vAlign w:val="bottom"/>
            <w:hideMark/>
          </w:tcPr>
          <w:p w14:paraId="2C80B46A"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bl>
    <w:p w14:paraId="7AD3E2F5" w14:textId="77777777" w:rsidR="00E66F49" w:rsidRPr="00666914" w:rsidRDefault="00E66F49" w:rsidP="00437756">
      <w:pPr>
        <w:spacing w:after="0"/>
        <w:jc w:val="left"/>
        <w:rPr>
          <w:b/>
          <w:u w:val="single"/>
        </w:rPr>
      </w:pPr>
    </w:p>
    <w:p w14:paraId="2DB6C97D" w14:textId="77777777" w:rsidR="00E66F49" w:rsidRPr="00666914" w:rsidRDefault="00E66F49" w:rsidP="00E66F49">
      <w:pPr>
        <w:pStyle w:val="Odsekzoznamu"/>
        <w:numPr>
          <w:ilvl w:val="0"/>
          <w:numId w:val="2"/>
        </w:numPr>
        <w:spacing w:after="0"/>
        <w:jc w:val="left"/>
      </w:pPr>
      <w:r w:rsidRPr="00666914">
        <w:rPr>
          <w:b/>
          <w:u w:val="single"/>
        </w:rPr>
        <w:t>Vypracovať a zverejniť investičný plán rezortu školstva, bez ohľadu na zdroj financovania</w:t>
      </w:r>
    </w:p>
    <w:p w14:paraId="585C9D3F" w14:textId="77777777" w:rsidR="00E66F49" w:rsidRPr="00666914" w:rsidRDefault="00E66F49" w:rsidP="00D27F91">
      <w:pPr>
        <w:pStyle w:val="Odsekzoznamu"/>
        <w:spacing w:after="0"/>
        <w:jc w:val="left"/>
      </w:pPr>
    </w:p>
    <w:p w14:paraId="252B74C1" w14:textId="03CA850B" w:rsidR="00E66F49" w:rsidRDefault="00E66F49" w:rsidP="00926B9D">
      <w:pPr>
        <w:pStyle w:val="Odsekzoznamu"/>
        <w:ind w:left="0"/>
      </w:pPr>
      <w:r w:rsidRPr="00666914">
        <w:t>MŠVVaŠ SR malo počas roka 2-krát zverejniť aktualizovaný investičný plán. K 30.6. aj k 31.12.2019 bol na stránke ministerstva zverejnený</w:t>
      </w:r>
      <w:r w:rsidRPr="00666914">
        <w:rPr>
          <w:rStyle w:val="Odkaznapoznmkupodiarou"/>
        </w:rPr>
        <w:footnoteReference w:id="224"/>
      </w:r>
      <w:r w:rsidRPr="00666914">
        <w:t xml:space="preserve">, </w:t>
      </w:r>
      <w:r w:rsidRPr="00666914">
        <w:rPr>
          <w:b/>
        </w:rPr>
        <w:t>opatrenie bolo počas roka aj k 31.12.2019 splnené</w:t>
      </w:r>
      <w:r w:rsidRPr="00666914">
        <w:t>.</w:t>
      </w:r>
    </w:p>
    <w:p w14:paraId="0B5EA754" w14:textId="77777777" w:rsidR="00926B9D" w:rsidRPr="00666914" w:rsidRDefault="00926B9D" w:rsidP="00926B9D">
      <w:pPr>
        <w:pStyle w:val="Odsekzoznamu"/>
        <w:ind w:left="0"/>
      </w:pPr>
    </w:p>
    <w:p w14:paraId="0F2AC70A" w14:textId="77777777" w:rsidR="00E66F49" w:rsidRPr="00666914" w:rsidRDefault="00E66F49" w:rsidP="00E66F49">
      <w:pPr>
        <w:pStyle w:val="Odsekzoznamu"/>
        <w:numPr>
          <w:ilvl w:val="0"/>
          <w:numId w:val="2"/>
        </w:numPr>
        <w:jc w:val="left"/>
        <w:rPr>
          <w:b/>
          <w:u w:val="single"/>
        </w:rPr>
      </w:pPr>
      <w:r w:rsidRPr="00666914">
        <w:rPr>
          <w:b/>
          <w:u w:val="single"/>
        </w:rPr>
        <w:t>Rozpočtovať a následne aktualizovať všetky plánované investície na úrovni investičných akcií</w:t>
      </w:r>
    </w:p>
    <w:p w14:paraId="77228393" w14:textId="13EF22EA" w:rsidR="00E66F49" w:rsidRPr="00666914" w:rsidRDefault="00E66F49" w:rsidP="00D27F91">
      <w:r w:rsidRPr="00666914">
        <w:t xml:space="preserve">Kapitálové výdavky financované zo ŠR boli počas všetkých štvrťrokov v 2019 definované na úrovni investičných akcií. V prípade výdavkov financovaných z EŠIF boli od 3Q2019 </w:t>
      </w:r>
      <w:r w:rsidR="00985C42" w:rsidRPr="00666914">
        <w:t xml:space="preserve">postupne </w:t>
      </w:r>
      <w:r w:rsidRPr="00666914">
        <w:t>vytvárané investičné akcie na nové projekty, na ktoré boli uzatvorené zmluvy o NFP</w:t>
      </w:r>
      <w:r w:rsidRPr="00666914">
        <w:rPr>
          <w:rStyle w:val="Odkaznapoznmkupodiarou"/>
        </w:rPr>
        <w:footnoteReference w:id="225"/>
      </w:r>
      <w:r w:rsidRPr="00666914">
        <w:t>. Kapitálové výdavky plánované v rokoch 2020</w:t>
      </w:r>
      <w:r w:rsidR="00985C42" w:rsidRPr="00666914">
        <w:t xml:space="preserve"> </w:t>
      </w:r>
      <w:r w:rsidRPr="00666914">
        <w:t>-</w:t>
      </w:r>
      <w:r w:rsidR="00985C42" w:rsidRPr="00666914">
        <w:t xml:space="preserve"> </w:t>
      </w:r>
      <w:r w:rsidRPr="00666914">
        <w:t>2022 z EŠIF boli definované len na úrovni prioritných osí.</w:t>
      </w:r>
    </w:p>
    <w:p w14:paraId="021EA068" w14:textId="77777777" w:rsidR="00E66F49" w:rsidRPr="00666914" w:rsidRDefault="00E66F49" w:rsidP="00D27F91">
      <w:pPr>
        <w:rPr>
          <w:b/>
        </w:rPr>
      </w:pPr>
      <w:r w:rsidRPr="00666914">
        <w:rPr>
          <w:b/>
        </w:rPr>
        <w:t xml:space="preserve">Opatrenie sa k 31.12.2019 plní čiastočne. </w:t>
      </w:r>
    </w:p>
    <w:p w14:paraId="4E3950D2" w14:textId="77777777" w:rsidR="00E66F49" w:rsidRPr="00666914" w:rsidRDefault="00E66F49" w:rsidP="00E66F49">
      <w:pPr>
        <w:pStyle w:val="Odsekzoznamu"/>
        <w:numPr>
          <w:ilvl w:val="0"/>
          <w:numId w:val="2"/>
        </w:numPr>
        <w:rPr>
          <w:b/>
          <w:u w:val="single"/>
        </w:rPr>
      </w:pPr>
      <w:r w:rsidRPr="00666914">
        <w:rPr>
          <w:b/>
          <w:u w:val="single"/>
        </w:rPr>
        <w:lastRenderedPageBreak/>
        <w:t>Vypracovať rezortnú metodiku pre CBA, ktorá bude vychádzať z Rámca hodnotenia verejných investícií a špecifikuje parametre pre rezort školstva</w:t>
      </w:r>
    </w:p>
    <w:p w14:paraId="07DE7277" w14:textId="77777777" w:rsidR="00E66F49" w:rsidRPr="00666914" w:rsidRDefault="00E66F49" w:rsidP="00D27F91">
      <w:pPr>
        <w:pStyle w:val="Odsekzoznamu"/>
        <w:spacing w:after="0"/>
        <w:rPr>
          <w:b/>
          <w:u w:val="single"/>
        </w:rPr>
      </w:pPr>
    </w:p>
    <w:p w14:paraId="7BDA0177" w14:textId="667C7F43" w:rsidR="00E66F49" w:rsidRPr="00666914" w:rsidRDefault="00E66F49" w:rsidP="00D27F91">
      <w:pPr>
        <w:rPr>
          <w:b/>
        </w:rPr>
      </w:pPr>
      <w:r w:rsidRPr="00666914">
        <w:t xml:space="preserve">Ani do 12/2019 rezort nepredložil IJ vypracovanú rezortnú metodiku pre CBA. </w:t>
      </w:r>
      <w:r w:rsidRPr="00666914">
        <w:rPr>
          <w:b/>
        </w:rPr>
        <w:t>Opatrenie sa k 31.12.2019 neplní.</w:t>
      </w:r>
    </w:p>
    <w:p w14:paraId="757721F2" w14:textId="77777777" w:rsidR="00E66F49" w:rsidRPr="00666914" w:rsidRDefault="00E66F49" w:rsidP="00D27F91">
      <w:pPr>
        <w:spacing w:after="0"/>
      </w:pPr>
      <w:r w:rsidRPr="00666914">
        <w:rPr>
          <w:b/>
        </w:rPr>
        <w:t>Odporúčanie IJ:</w:t>
      </w:r>
      <w:r w:rsidRPr="00666914">
        <w:t xml:space="preserve"> Čo najskôr vypracovať metodiku pre CBA.</w:t>
      </w:r>
    </w:p>
    <w:p w14:paraId="17F7F907" w14:textId="77777777" w:rsidR="00E66F49" w:rsidRPr="00666914" w:rsidRDefault="00E66F49" w:rsidP="00D27F91">
      <w:pPr>
        <w:spacing w:after="0"/>
        <w:rPr>
          <w:u w:val="single"/>
        </w:rPr>
      </w:pPr>
    </w:p>
    <w:p w14:paraId="1F194D00" w14:textId="77777777" w:rsidR="00E66F49" w:rsidRPr="00666914" w:rsidRDefault="00E66F49" w:rsidP="00E66F49">
      <w:pPr>
        <w:pStyle w:val="Odsekzoznamu"/>
        <w:numPr>
          <w:ilvl w:val="0"/>
          <w:numId w:val="2"/>
        </w:numPr>
        <w:jc w:val="left"/>
        <w:rPr>
          <w:b/>
          <w:u w:val="single"/>
        </w:rPr>
      </w:pPr>
      <w:r w:rsidRPr="00666914">
        <w:rPr>
          <w:b/>
          <w:u w:val="single"/>
        </w:rPr>
        <w:t>Pre investície vypracovať a zverejniť štúdiu uskutočniteľnosti a analýzu CBA v súlade s platným Rámcom hodnotenia verejných investícií</w:t>
      </w:r>
    </w:p>
    <w:p w14:paraId="28ABA91B" w14:textId="77777777" w:rsidR="00E66F49" w:rsidRPr="00666914" w:rsidRDefault="00E66F49" w:rsidP="00D27F91">
      <w:pPr>
        <w:pStyle w:val="Odsekzoznamu"/>
        <w:spacing w:after="0"/>
        <w:jc w:val="left"/>
        <w:rPr>
          <w:b/>
          <w:u w:val="single"/>
        </w:rPr>
      </w:pPr>
    </w:p>
    <w:p w14:paraId="5C833BCF" w14:textId="47E049A1" w:rsidR="00E66F49" w:rsidRPr="00666914" w:rsidRDefault="00E66F49" w:rsidP="00D27F91">
      <w:r w:rsidRPr="00666914">
        <w:t xml:space="preserve">V súlade s Rámcom na hodnotenie verejných investičných projektov má MŠVVaŠ SR v prípade IT investície presahujúcej 10 mil. eur alebo iných </w:t>
      </w:r>
      <w:r w:rsidR="00985C42" w:rsidRPr="00666914">
        <w:t xml:space="preserve">investičných </w:t>
      </w:r>
      <w:r w:rsidRPr="00666914">
        <w:t>projektov nad 40 mil. eur vypracovať a zverejniť CBA (projekt Accord je predmetom samostatného opatrenia č. 20).</w:t>
      </w:r>
    </w:p>
    <w:p w14:paraId="319A6D96" w14:textId="06699178" w:rsidR="00E66F49" w:rsidRPr="00666914" w:rsidRDefault="00E66F49" w:rsidP="00D27F91">
      <w:r w:rsidRPr="00666914">
        <w:t xml:space="preserve">Počas roka bola vypracovaná ŠU pre projekt </w:t>
      </w:r>
      <w:r w:rsidRPr="00666914">
        <w:rPr>
          <w:i/>
        </w:rPr>
        <w:t xml:space="preserve">Elektronizácia služieb regionálneho a vysokého školstva SR </w:t>
      </w:r>
      <w:r w:rsidRPr="00666914">
        <w:t>s odhadovanou výškou investície 13 mil. eur. V 04/2019 vydal ÚHP MF SR k projektu kladné stanovisko</w:t>
      </w:r>
      <w:r w:rsidRPr="00666914">
        <w:rPr>
          <w:rStyle w:val="Odkaznapoznmkupodiarou"/>
        </w:rPr>
        <w:footnoteReference w:id="226"/>
      </w:r>
      <w:r w:rsidRPr="00666914">
        <w:t xml:space="preserve">. Ďalšie projekty s povinným vypracovaním CBA </w:t>
      </w:r>
      <w:r w:rsidR="00985C42" w:rsidRPr="00666914">
        <w:t xml:space="preserve">rezort </w:t>
      </w:r>
      <w:r w:rsidRPr="00666914">
        <w:t xml:space="preserve">do 12/2019 nerealizoval.  </w:t>
      </w:r>
    </w:p>
    <w:p w14:paraId="78DB58B1" w14:textId="6D580211" w:rsidR="00E66F49" w:rsidRPr="00666914" w:rsidRDefault="00E66F49" w:rsidP="00926B9D">
      <w:pPr>
        <w:rPr>
          <w:rFonts w:eastAsia="Times New Roman"/>
          <w:lang w:eastAsia="sk-SK"/>
        </w:rPr>
      </w:pPr>
      <w:r w:rsidRPr="00666914">
        <w:t>Opatrenie bolo k 30.6.2019 na základe hodnotenia ÚHP MF SR splnené,</w:t>
      </w:r>
      <w:r w:rsidRPr="00666914">
        <w:rPr>
          <w:b/>
        </w:rPr>
        <w:t xml:space="preserve"> k 31.12.2019 sa nehodnotilo. </w:t>
      </w:r>
    </w:p>
    <w:p w14:paraId="11E6772A" w14:textId="77777777" w:rsidR="00E66F49" w:rsidRPr="00666914" w:rsidRDefault="00E66F49" w:rsidP="00E66F49">
      <w:pPr>
        <w:pStyle w:val="Odsekzoznamu"/>
        <w:numPr>
          <w:ilvl w:val="0"/>
          <w:numId w:val="2"/>
        </w:numPr>
        <w:spacing w:after="0"/>
        <w:jc w:val="left"/>
        <w:rPr>
          <w:b/>
          <w:u w:val="single"/>
        </w:rPr>
      </w:pPr>
      <w:r w:rsidRPr="00666914">
        <w:rPr>
          <w:b/>
          <w:u w:val="single"/>
        </w:rPr>
        <w:t>Posúdiť projekt Accord</w:t>
      </w:r>
    </w:p>
    <w:p w14:paraId="51763949" w14:textId="77777777" w:rsidR="00E66F49" w:rsidRPr="00666914" w:rsidRDefault="00E66F49" w:rsidP="00D27F91">
      <w:pPr>
        <w:spacing w:after="0"/>
        <w:ind w:left="708"/>
        <w:rPr>
          <w:b/>
          <w:u w:val="single"/>
        </w:rPr>
      </w:pPr>
    </w:p>
    <w:p w14:paraId="3F8073BF" w14:textId="5E3D19F9" w:rsidR="00E66F49" w:rsidRPr="00666914" w:rsidRDefault="00E66F49" w:rsidP="00D27F91">
      <w:pPr>
        <w:spacing w:after="0"/>
      </w:pPr>
      <w:r w:rsidRPr="00666914">
        <w:t>Počas roka 2019 posudzovala projekt ACCORD iniciatíva JASPERS (Spoločná pomoc na podporu projektov v európskych regiónoch) ako aj ÚHP MF SR</w:t>
      </w:r>
      <w:r w:rsidRPr="00666914">
        <w:rPr>
          <w:rStyle w:val="Odkaznapoznmkupodiarou"/>
        </w:rPr>
        <w:footnoteReference w:id="227"/>
      </w:r>
      <w:r w:rsidRPr="00666914">
        <w:t>. V rámci procesu IQR (Independent Quality Review) vydal JASPERS v 07/2019 stanovisko potvrdzujúce relevantnosť projektu, efektívnosť výdavkov a udržateľnosť výsledkov. ÚHP MF SR zverejnil svoje súhlasné stanovisko k CBA a rozpočtu projektu v 09/2019</w:t>
      </w:r>
      <w:r w:rsidRPr="00666914">
        <w:rPr>
          <w:rStyle w:val="Odkaznapoznmkupodiarou"/>
        </w:rPr>
        <w:footnoteReference w:id="228"/>
      </w:r>
      <w:r w:rsidRPr="00666914">
        <w:t>. Na základe stanovísk obidvoch organizácií</w:t>
      </w:r>
      <w:r w:rsidR="00985C42" w:rsidRPr="00666914">
        <w:t>,</w:t>
      </w:r>
      <w:r w:rsidRPr="00666914">
        <w:t xml:space="preserve"> ako aj výsledku odborného hodnotenia</w:t>
      </w:r>
      <w:r w:rsidR="00985C42" w:rsidRPr="00666914">
        <w:t>,</w:t>
      </w:r>
      <w:r w:rsidRPr="00666914">
        <w:t xml:space="preserve"> bola v 10/2019 uzatvorená Zmluva o NFP</w:t>
      </w:r>
      <w:r w:rsidRPr="00666914">
        <w:rPr>
          <w:rStyle w:val="Odkaznapoznmkupodiarou"/>
        </w:rPr>
        <w:footnoteReference w:id="229"/>
      </w:r>
      <w:r w:rsidRPr="00666914">
        <w:t>.</w:t>
      </w:r>
    </w:p>
    <w:p w14:paraId="3DE53224" w14:textId="77777777" w:rsidR="00E66F49" w:rsidRPr="00666914" w:rsidRDefault="00E66F49" w:rsidP="00D27F91">
      <w:pPr>
        <w:spacing w:after="0"/>
      </w:pPr>
    </w:p>
    <w:p w14:paraId="6197E69C" w14:textId="57A5ED09" w:rsidR="00E66F49" w:rsidRPr="00666914" w:rsidRDefault="00E66F49" w:rsidP="00926B9D">
      <w:pPr>
        <w:rPr>
          <w:rFonts w:eastAsia="Times New Roman"/>
          <w:color w:val="2E74B5" w:themeColor="accent1" w:themeShade="BF"/>
          <w:sz w:val="20"/>
          <w:szCs w:val="20"/>
          <w:lang w:eastAsia="sk-SK"/>
        </w:rPr>
      </w:pPr>
      <w:r w:rsidRPr="00666914">
        <w:rPr>
          <w:b/>
        </w:rPr>
        <w:t xml:space="preserve">Opatrenie bolo k 30.9.2019 splnené </w:t>
      </w:r>
      <w:r w:rsidRPr="00666914">
        <w:t>a nebude už predmetom hodnotenia v roku 2020.</w:t>
      </w:r>
    </w:p>
    <w:p w14:paraId="1B76EAAE" w14:textId="77777777" w:rsidR="00E66F49" w:rsidRPr="00666914" w:rsidRDefault="00E66F49" w:rsidP="00E66F49">
      <w:pPr>
        <w:pStyle w:val="Odsekzoznamu"/>
        <w:numPr>
          <w:ilvl w:val="0"/>
          <w:numId w:val="2"/>
        </w:numPr>
        <w:jc w:val="left"/>
        <w:rPr>
          <w:b/>
          <w:u w:val="single"/>
        </w:rPr>
      </w:pPr>
      <w:r w:rsidRPr="00666914">
        <w:rPr>
          <w:b/>
          <w:u w:val="single"/>
        </w:rPr>
        <w:t>Stanoviť a sledovať nákladovosť a výkonnosť informačných systémov, vrátane podriadených organizácií rezortu</w:t>
      </w:r>
    </w:p>
    <w:p w14:paraId="3C15E04A" w14:textId="77777777" w:rsidR="00E66F49" w:rsidRPr="00666914" w:rsidRDefault="00E66F49" w:rsidP="00D27F91">
      <w:pPr>
        <w:pStyle w:val="Odsekzoznamu"/>
        <w:spacing w:after="0"/>
        <w:jc w:val="left"/>
        <w:rPr>
          <w:b/>
          <w:u w:val="single"/>
        </w:rPr>
      </w:pPr>
    </w:p>
    <w:p w14:paraId="2E4A50E0" w14:textId="485867D9" w:rsidR="00E66F49" w:rsidRPr="00666914" w:rsidRDefault="00E66F49" w:rsidP="00D27F91">
      <w:r w:rsidRPr="00666914">
        <w:t>Komplexná úprava IS VS vrátane monitoringu bola počas roka 2019 schválená prijatím zákona o</w:t>
      </w:r>
      <w:r w:rsidR="008B54C1" w:rsidRPr="00666914">
        <w:t xml:space="preserve"> </w:t>
      </w:r>
      <w:r w:rsidRPr="00666914">
        <w:t>informačných technológiách vo verejnej správe</w:t>
      </w:r>
      <w:r w:rsidRPr="00666914">
        <w:rPr>
          <w:vertAlign w:val="superscript"/>
        </w:rPr>
        <w:footnoteReference w:id="230"/>
      </w:r>
      <w:r w:rsidRPr="00666914">
        <w:t xml:space="preserve">. V 1H2019 </w:t>
      </w:r>
      <w:r w:rsidR="00985C42" w:rsidRPr="00666914">
        <w:t xml:space="preserve">identifikoval </w:t>
      </w:r>
      <w:r w:rsidRPr="00666914">
        <w:t xml:space="preserve">rezort 6 IS VS, ktorých nákladovosť a výkonnosť má byť </w:t>
      </w:r>
      <w:r w:rsidR="00985C42" w:rsidRPr="00666914">
        <w:t xml:space="preserve">sledovaná </w:t>
      </w:r>
      <w:r w:rsidRPr="00666914">
        <w:t>v súlade s metodickým pokynom ÚPVII</w:t>
      </w:r>
      <w:r w:rsidRPr="00666914">
        <w:rPr>
          <w:rStyle w:val="Odkaznapoznmkupodiarou"/>
        </w:rPr>
        <w:footnoteReference w:id="231"/>
      </w:r>
      <w:r w:rsidRPr="00666914">
        <w:t>. Presné parametre v zmysle stanovených KPI pre monitorované informačné systémy rezortu boli počas roka 2019 schválené zástupcami ÚPVII.</w:t>
      </w:r>
    </w:p>
    <w:p w14:paraId="740D5A9E" w14:textId="3EDCA4E6" w:rsidR="00E66F49" w:rsidRPr="00666914" w:rsidRDefault="00E66F49" w:rsidP="00D27F91">
      <w:r w:rsidRPr="00666914">
        <w:t>K 31.12.2019 sledovalo MŠVVaŠ SR v MetaIS a RIS nákladovosť 5 IS</w:t>
      </w:r>
      <w:r w:rsidRPr="00666914">
        <w:rPr>
          <w:rStyle w:val="Odkaznapoznmkupodiarou"/>
        </w:rPr>
        <w:t xml:space="preserve"> </w:t>
      </w:r>
      <w:r w:rsidRPr="00666914">
        <w:rPr>
          <w:rStyle w:val="Odkaznapoznmkupodiarou"/>
        </w:rPr>
        <w:footnoteReference w:id="232"/>
      </w:r>
      <w:r w:rsidRPr="00666914">
        <w:t>, monitoring využitia koncových služieb rezort zabezpečil v prípade všetkých 6 IS.</w:t>
      </w:r>
    </w:p>
    <w:p w14:paraId="3F5A56E9" w14:textId="77777777" w:rsidR="00E66F49" w:rsidRPr="00666914" w:rsidRDefault="00E66F49" w:rsidP="00D27F91">
      <w:pPr>
        <w:rPr>
          <w:b/>
        </w:rPr>
      </w:pPr>
      <w:r w:rsidRPr="00666914">
        <w:t xml:space="preserve">Opatrenie sa </w:t>
      </w:r>
      <w:r w:rsidRPr="00666914">
        <w:rPr>
          <w:b/>
        </w:rPr>
        <w:t>k 31.12.2019 plní čiastočne.</w:t>
      </w:r>
    </w:p>
    <w:p w14:paraId="07C4F7B3" w14:textId="38EC76FD" w:rsidR="00E66F49" w:rsidRPr="00666914" w:rsidRDefault="00E66F49" w:rsidP="00D27F91">
      <w:r w:rsidRPr="00666914">
        <w:rPr>
          <w:b/>
        </w:rPr>
        <w:lastRenderedPageBreak/>
        <w:t xml:space="preserve">Odporúčanie IJ: V spolupráci s ÚPVII definovať pre rok 2020 ďalšie IS VS, ktorých nákladovosť ako aj výkonnosť by bolo možné sledovať. </w:t>
      </w:r>
      <w:r w:rsidRPr="00666914">
        <w:t>Do 12/2020 definovať a nastaviť v RISe (Rozpočtovom informačnom systéme) KPI pre monitorované IS VS.</w:t>
      </w:r>
    </w:p>
    <w:p w14:paraId="21417BFB" w14:textId="77777777" w:rsidR="00E66F49" w:rsidRPr="00666914" w:rsidRDefault="00E66F49" w:rsidP="00E66F49">
      <w:pPr>
        <w:pStyle w:val="Odsekzoznamu"/>
        <w:numPr>
          <w:ilvl w:val="0"/>
          <w:numId w:val="2"/>
        </w:numPr>
        <w:jc w:val="left"/>
        <w:rPr>
          <w:b/>
          <w:u w:val="single"/>
        </w:rPr>
      </w:pPr>
      <w:r w:rsidRPr="00666914">
        <w:rPr>
          <w:b/>
          <w:u w:val="single"/>
        </w:rPr>
        <w:t>Vypracovať plán migrácie IS do vládneho cloudu</w:t>
      </w:r>
    </w:p>
    <w:p w14:paraId="683E0AD2" w14:textId="77777777" w:rsidR="00E66F49" w:rsidRPr="00666914" w:rsidRDefault="00E66F49" w:rsidP="00D27F91">
      <w:pPr>
        <w:pStyle w:val="Odsekzoznamu"/>
        <w:spacing w:after="0"/>
        <w:jc w:val="left"/>
        <w:rPr>
          <w:b/>
          <w:u w:val="single"/>
        </w:rPr>
      </w:pPr>
    </w:p>
    <w:p w14:paraId="2F3214CC" w14:textId="4EF3C9B6" w:rsidR="00E66F49" w:rsidRPr="00666914" w:rsidRDefault="00E66F49" w:rsidP="00D27F91">
      <w:r w:rsidRPr="00666914">
        <w:t>Už v roku 2018 predložilo MŠVVaŠ SR IJ ÚV SR plán migrácie IS, pričom v súlade s uznesením vlády SR č. 247/2014</w:t>
      </w:r>
      <w:r w:rsidRPr="00666914">
        <w:rPr>
          <w:rStyle w:val="Odkaznapoznmkupodiarou"/>
        </w:rPr>
        <w:footnoteReference w:id="233"/>
      </w:r>
      <w:r w:rsidRPr="00666914">
        <w:t xml:space="preserve"> ho raz ročne aktualizuje. Okrem vypracovania plánu migrácie mal rezort predložiť aj odhadovanú úsporu IT výdavkov súvisiacu s migráciou. Odhad priemerných úspor, vrátane skutočnej úspory za roky 2017</w:t>
      </w:r>
      <w:r w:rsidR="006D09A0" w:rsidRPr="00666914">
        <w:t xml:space="preserve"> </w:t>
      </w:r>
      <w:r w:rsidRPr="00666914">
        <w:t>-</w:t>
      </w:r>
      <w:r w:rsidR="006D09A0" w:rsidRPr="00666914">
        <w:t xml:space="preserve"> </w:t>
      </w:r>
      <w:r w:rsidRPr="00666914">
        <w:t>2018, preposlalo MŠVVaŠ SR v 1H2019 na posúdenie ÚPVII. Do 12/2019 rezort nedostal žiadne stanovisko.</w:t>
      </w:r>
    </w:p>
    <w:p w14:paraId="2F54AF46" w14:textId="77777777" w:rsidR="00E66F49" w:rsidRPr="00666914" w:rsidRDefault="00E66F49" w:rsidP="00D27F91">
      <w:pPr>
        <w:spacing w:after="0"/>
      </w:pPr>
      <w:r w:rsidRPr="00666914">
        <w:rPr>
          <w:b/>
        </w:rPr>
        <w:t xml:space="preserve">Odporúčanie IJ: </w:t>
      </w:r>
      <w:r w:rsidRPr="00666914">
        <w:t>Vyžiadať ku kalkulácii úspory stanovisko ÚPVII.</w:t>
      </w:r>
    </w:p>
    <w:p w14:paraId="5ED4F01D" w14:textId="77777777" w:rsidR="00E66F49" w:rsidRPr="00666914" w:rsidRDefault="00E66F49" w:rsidP="00D27F91">
      <w:pPr>
        <w:spacing w:after="0"/>
      </w:pPr>
    </w:p>
    <w:p w14:paraId="37E4B186" w14:textId="272A9956" w:rsidR="00E66F49" w:rsidRPr="00666914" w:rsidRDefault="00E66F49" w:rsidP="00926B9D">
      <w:r w:rsidRPr="00666914">
        <w:rPr>
          <w:b/>
        </w:rPr>
        <w:t>Opatrenie sa k 31.12.2019 plní čiastočne.</w:t>
      </w:r>
      <w:r w:rsidRPr="00666914">
        <w:t xml:space="preserve">                                                                                                                                                                                                    </w:t>
      </w:r>
    </w:p>
    <w:p w14:paraId="5B7B26C3" w14:textId="77777777" w:rsidR="00E66F49" w:rsidRPr="00666914" w:rsidRDefault="00E66F49" w:rsidP="00E66F49">
      <w:pPr>
        <w:pStyle w:val="Odsekzoznamu"/>
        <w:numPr>
          <w:ilvl w:val="0"/>
          <w:numId w:val="2"/>
        </w:numPr>
        <w:spacing w:after="0"/>
        <w:jc w:val="left"/>
        <w:rPr>
          <w:b/>
          <w:u w:val="single"/>
        </w:rPr>
      </w:pPr>
      <w:r w:rsidRPr="00666914">
        <w:rPr>
          <w:b/>
          <w:u w:val="single"/>
        </w:rPr>
        <w:t>Aktualizovať analýzu centralizácie podporných služieb a optimalizácie priestorov a podriadených organizácií rezortu</w:t>
      </w:r>
    </w:p>
    <w:p w14:paraId="1E8AF2D0" w14:textId="77777777" w:rsidR="00E66F49" w:rsidRPr="00666914" w:rsidRDefault="00E66F49" w:rsidP="00D27F91">
      <w:pPr>
        <w:spacing w:after="0"/>
        <w:jc w:val="left"/>
        <w:rPr>
          <w:color w:val="2E74B5" w:themeColor="accent1" w:themeShade="BF"/>
        </w:rPr>
      </w:pPr>
    </w:p>
    <w:p w14:paraId="5391E596" w14:textId="1EC1711F" w:rsidR="00E66F49" w:rsidRPr="00666914" w:rsidRDefault="00E66F49" w:rsidP="00D27F91">
      <w:pPr>
        <w:rPr>
          <w:b/>
        </w:rPr>
      </w:pPr>
      <w:r w:rsidRPr="00666914">
        <w:rPr>
          <w:b/>
        </w:rPr>
        <w:t xml:space="preserve">Návrh optimalizácie priestorov jednotlivých </w:t>
      </w:r>
      <w:r w:rsidR="00B34FB4" w:rsidRPr="00666914">
        <w:rPr>
          <w:b/>
        </w:rPr>
        <w:t>priamo riadených organizácií</w:t>
      </w:r>
      <w:r w:rsidRPr="00666914">
        <w:rPr>
          <w:b/>
        </w:rPr>
        <w:t xml:space="preserve"> vypracoval rezort koncom roka 2018.</w:t>
      </w:r>
      <w:r w:rsidRPr="00666914">
        <w:t xml:space="preserve"> V súlade s vypracovaným harmonogramom sťahovania sa uskutočnilo počas roka 2019 sťahovanie viacerých PRO, vrátane revitalizácie vybraných priestorov. Počas roka 2019 sa však sťahovanie APVV do voľných priestorov po zlúčení NÚCŽV posunulo z 12/2019 na 03/2020. Prázdne priestory v IUVENTE z dôvodu stále prebiehajúcej rekonštrukcie budú k dispozícii až koncom roka 2020. </w:t>
      </w:r>
    </w:p>
    <w:p w14:paraId="1F218509" w14:textId="78D8AADA" w:rsidR="00E66F49" w:rsidRPr="00666914" w:rsidRDefault="00E66F49" w:rsidP="00D27F91">
      <w:r w:rsidRPr="00666914">
        <w:rPr>
          <w:b/>
        </w:rPr>
        <w:t>Vypracovanie analýzy centralizácie podporných služieb MŠVVaŠ SR začalo v roku 2018</w:t>
      </w:r>
      <w:r w:rsidR="007C602A" w:rsidRPr="00666914">
        <w:rPr>
          <w:b/>
        </w:rPr>
        <w:t xml:space="preserve"> a</w:t>
      </w:r>
      <w:r w:rsidRPr="00666914">
        <w:rPr>
          <w:b/>
        </w:rPr>
        <w:t xml:space="preserve"> počas 1Q2019 bola doplnená o oblasť ľudských zdrojov</w:t>
      </w:r>
      <w:r w:rsidRPr="00666914">
        <w:t>. Cieľom analýzy bolo hlavne zefektívnenie prevádzkových nákladov zavedením spoločného procesu verejného obstarávania</w:t>
      </w:r>
      <w:r w:rsidRPr="00666914">
        <w:rPr>
          <w:rStyle w:val="Odkaznapoznmkupodiarou"/>
        </w:rPr>
        <w:footnoteReference w:id="234"/>
      </w:r>
      <w:r w:rsidR="007C602A" w:rsidRPr="00666914">
        <w:t>,</w:t>
      </w:r>
      <w:r w:rsidRPr="00666914">
        <w:t xml:space="preserve"> s potenciálom úspory 4,4 mil. eur v horizonte 5 rokov. </w:t>
      </w:r>
    </w:p>
    <w:p w14:paraId="70E7560C" w14:textId="703478CE" w:rsidR="00E66F49" w:rsidRPr="00666914" w:rsidRDefault="00E66F49" w:rsidP="00926B9D">
      <w:pPr>
        <w:rPr>
          <w:color w:val="833C0B" w:themeColor="accent2" w:themeShade="80"/>
        </w:rPr>
      </w:pPr>
      <w:r w:rsidRPr="00666914">
        <w:rPr>
          <w:b/>
        </w:rPr>
        <w:t xml:space="preserve">Opatrenie bolo k 31.3.2019 vyhodnotené ako splnené </w:t>
      </w:r>
      <w:r w:rsidRPr="00666914">
        <w:t>a do konca roka 2019 už nebolo predmetom hodnotenia.</w:t>
      </w:r>
    </w:p>
    <w:p w14:paraId="75DCFD72" w14:textId="77777777" w:rsidR="00E66F49" w:rsidRPr="00666914" w:rsidRDefault="00E66F49" w:rsidP="00E66F49">
      <w:pPr>
        <w:pStyle w:val="Odsekzoznamu"/>
        <w:numPr>
          <w:ilvl w:val="0"/>
          <w:numId w:val="2"/>
        </w:numPr>
        <w:jc w:val="left"/>
        <w:rPr>
          <w:b/>
          <w:u w:val="single"/>
        </w:rPr>
      </w:pPr>
      <w:r w:rsidRPr="00666914">
        <w:rPr>
          <w:b/>
          <w:u w:val="single"/>
        </w:rPr>
        <w:t>Optimalizovať štruktúru a činnosti priamo riadených organizácií</w:t>
      </w:r>
    </w:p>
    <w:p w14:paraId="39F3FE9E" w14:textId="77777777" w:rsidR="00E66F49" w:rsidRPr="00666914" w:rsidRDefault="00E66F49" w:rsidP="00D27F91">
      <w:pPr>
        <w:pStyle w:val="Odsekzoznamu"/>
        <w:spacing w:after="0"/>
        <w:jc w:val="left"/>
        <w:rPr>
          <w:b/>
          <w:u w:val="single"/>
        </w:rPr>
      </w:pPr>
    </w:p>
    <w:p w14:paraId="607BC525" w14:textId="5FCE9605" w:rsidR="00E66F49" w:rsidRPr="00666914" w:rsidRDefault="00E66F49" w:rsidP="00D27F91">
      <w:pPr>
        <w:rPr>
          <w:rFonts w:eastAsia="Times New Roman"/>
          <w:color w:val="833C0B" w:themeColor="accent2" w:themeShade="80"/>
          <w:lang w:eastAsia="sk-SK"/>
        </w:rPr>
      </w:pPr>
      <w:r w:rsidRPr="00666914">
        <w:rPr>
          <w:rFonts w:eastAsia="Times New Roman"/>
          <w:lang w:eastAsia="sk-SK"/>
        </w:rPr>
        <w:t>K optimalizácii činnosti jednotlivých PRO mala počas roka 2019 prispieť nová forma kontraktov s presnejším vymedzením personálnej aj finančnej náročnosti úloh vybraných PRO</w:t>
      </w:r>
      <w:r w:rsidRPr="00666914">
        <w:rPr>
          <w:rStyle w:val="Odkaznapoznmkupodiarou"/>
          <w:rFonts w:eastAsia="Times New Roman"/>
          <w:lang w:eastAsia="sk-SK"/>
        </w:rPr>
        <w:footnoteReference w:id="235"/>
      </w:r>
      <w:r w:rsidRPr="00666914">
        <w:rPr>
          <w:rFonts w:eastAsia="Times New Roman"/>
          <w:lang w:eastAsia="sk-SK"/>
        </w:rPr>
        <w:t xml:space="preserve">. Počas roka </w:t>
      </w:r>
      <w:r w:rsidR="007C602A" w:rsidRPr="00666914">
        <w:rPr>
          <w:rFonts w:eastAsia="Times New Roman"/>
          <w:lang w:eastAsia="sk-SK"/>
        </w:rPr>
        <w:t xml:space="preserve">realizoval </w:t>
      </w:r>
      <w:r w:rsidRPr="00666914">
        <w:rPr>
          <w:rFonts w:eastAsia="Times New Roman"/>
          <w:lang w:eastAsia="sk-SK"/>
        </w:rPr>
        <w:t>rezort priebežné hodnotenie úloh formou pravidelných štvrťročných stretnutí. Zápisnice zo stretnutí počas 1Q a 2Q2019 rezort predložil</w:t>
      </w:r>
      <w:r w:rsidR="007C602A" w:rsidRPr="00666914">
        <w:rPr>
          <w:rFonts w:eastAsia="Times New Roman"/>
          <w:lang w:eastAsia="sk-SK"/>
        </w:rPr>
        <w:t xml:space="preserve"> IJ</w:t>
      </w:r>
      <w:r w:rsidRPr="00666914">
        <w:rPr>
          <w:rFonts w:eastAsia="Times New Roman"/>
          <w:lang w:eastAsia="sk-SK"/>
        </w:rPr>
        <w:t xml:space="preserve">, správy o plnení úloh vybraných PRO za 3Q a 4Q2019 boli IJ poskytnuté len vo formálnej podobe. Zaslaný materiál obsahoval len zoznamy uskutočnených stretnutí, počty úloh jednotlivých PRO a ich požiadavky na dofinancovanie. Oficiálne záverečné vyhodnotenie kontraktov za rok 2019 vrátane preukázaných konkrétnych výsledkov malo byť vypracované do 02/2020. Rezort zaslal IJ len všeobecné závery, bez relevantných podkladov a preukázaných prínosov. Konkrétne opatrenia na zlepšenie a optimálnejšie fungovanie PRO nenavrhol. </w:t>
      </w:r>
    </w:p>
    <w:p w14:paraId="0746FCCE" w14:textId="107BB831" w:rsidR="00437756" w:rsidRPr="00666914" w:rsidRDefault="00E66F49" w:rsidP="00D27F91">
      <w:pPr>
        <w:rPr>
          <w:rFonts w:eastAsia="Times New Roman"/>
          <w:lang w:eastAsia="sk-SK"/>
        </w:rPr>
      </w:pPr>
      <w:r w:rsidRPr="00666914">
        <w:rPr>
          <w:rFonts w:eastAsia="Times New Roman"/>
          <w:b/>
          <w:lang w:eastAsia="sk-SK"/>
        </w:rPr>
        <w:t>Dlhodobú stratégiu zlučovania ostatných PRO (po ukončení udržateľnosti eurofondových projektov) MŠVVaŠ SR ani do konca roka 2019 nevypracovalo.</w:t>
      </w:r>
      <w:r w:rsidRPr="00666914">
        <w:rPr>
          <w:rFonts w:eastAsia="Times New Roman"/>
          <w:lang w:eastAsia="sk-SK"/>
        </w:rPr>
        <w:t xml:space="preserve"> Posunutie sťahovania APVV ako aj rekonštrukcia priestorov IUVENTY (viď  opatrenie č. 23) spôsobila zníženie očakávanej úspory do roku 2024 z pôvodných 3,2 mil. eur na 2,3 mil. eur (tabuľka </w:t>
      </w:r>
      <w:r w:rsidR="007C602A" w:rsidRPr="00666914">
        <w:rPr>
          <w:rFonts w:eastAsia="Times New Roman"/>
          <w:lang w:eastAsia="sk-SK"/>
        </w:rPr>
        <w:t>6</w:t>
      </w:r>
      <w:r w:rsidR="00EB2C64" w:rsidRPr="00666914">
        <w:rPr>
          <w:rFonts w:eastAsia="Times New Roman"/>
          <w:lang w:eastAsia="sk-SK"/>
        </w:rPr>
        <w:t>1</w:t>
      </w:r>
      <w:r w:rsidRPr="00666914">
        <w:rPr>
          <w:rFonts w:eastAsia="Times New Roman"/>
          <w:lang w:eastAsia="sk-SK"/>
        </w:rPr>
        <w:t>).</w:t>
      </w:r>
    </w:p>
    <w:p w14:paraId="359FBDF9" w14:textId="77777777" w:rsidR="00437756" w:rsidRPr="00666914" w:rsidRDefault="00437756">
      <w:pPr>
        <w:spacing w:after="0"/>
        <w:jc w:val="left"/>
        <w:rPr>
          <w:rFonts w:eastAsia="Times New Roman"/>
          <w:lang w:eastAsia="sk-SK"/>
        </w:rPr>
      </w:pPr>
      <w:r w:rsidRPr="00666914">
        <w:rPr>
          <w:rFonts w:eastAsia="Times New Roman"/>
          <w:lang w:eastAsia="sk-SK"/>
        </w:rPr>
        <w:br w:type="page"/>
      </w:r>
    </w:p>
    <w:tbl>
      <w:tblPr>
        <w:tblW w:w="5000" w:type="pct"/>
        <w:tblCellMar>
          <w:left w:w="70" w:type="dxa"/>
          <w:right w:w="70" w:type="dxa"/>
        </w:tblCellMar>
        <w:tblLook w:val="04A0" w:firstRow="1" w:lastRow="0" w:firstColumn="1" w:lastColumn="0" w:noHBand="0" w:noVBand="1"/>
      </w:tblPr>
      <w:tblGrid>
        <w:gridCol w:w="4543"/>
        <w:gridCol w:w="505"/>
        <w:gridCol w:w="505"/>
        <w:gridCol w:w="732"/>
        <w:gridCol w:w="732"/>
        <w:gridCol w:w="732"/>
        <w:gridCol w:w="732"/>
        <w:gridCol w:w="733"/>
      </w:tblGrid>
      <w:tr w:rsidR="00E66F49" w:rsidRPr="00666914" w14:paraId="07165DA0" w14:textId="77777777" w:rsidTr="00437756">
        <w:trPr>
          <w:trHeight w:val="255"/>
        </w:trPr>
        <w:tc>
          <w:tcPr>
            <w:tcW w:w="3014" w:type="pct"/>
            <w:gridSpan w:val="3"/>
            <w:tcBorders>
              <w:top w:val="nil"/>
              <w:left w:val="nil"/>
              <w:bottom w:val="nil"/>
              <w:right w:val="nil"/>
            </w:tcBorders>
            <w:shd w:val="clear" w:color="auto" w:fill="auto"/>
            <w:noWrap/>
            <w:vAlign w:val="bottom"/>
            <w:hideMark/>
          </w:tcPr>
          <w:p w14:paraId="495D0E94" w14:textId="723190AB" w:rsidR="00E66F49" w:rsidRPr="00666914" w:rsidRDefault="00E66F49" w:rsidP="00D27F91">
            <w:pPr>
              <w:spacing w:after="0"/>
              <w:jc w:val="left"/>
              <w:rPr>
                <w:rFonts w:eastAsia="Times New Roman" w:cs="Calibri"/>
                <w:b/>
                <w:bCs/>
                <w:color w:val="000000"/>
                <w:sz w:val="20"/>
                <w:szCs w:val="20"/>
                <w:lang w:eastAsia="sk-SK"/>
              </w:rPr>
            </w:pPr>
            <w:bookmarkStart w:id="309" w:name="_Toc38447722"/>
            <w:r w:rsidRPr="00666914">
              <w:rPr>
                <w:rFonts w:eastAsia="Times New Roman" w:cs="Calibri"/>
                <w:b/>
                <w:bCs/>
                <w:color w:val="000000"/>
                <w:sz w:val="20"/>
                <w:szCs w:val="20"/>
                <w:lang w:eastAsia="sk-SK"/>
              </w:rPr>
              <w:lastRenderedPageBreak/>
              <w:t xml:space="preserve">Tabuľka </w:t>
            </w:r>
            <w:r w:rsidRPr="00666914">
              <w:rPr>
                <w:rFonts w:eastAsia="Times New Roman" w:cs="Calibri"/>
                <w:b/>
                <w:bCs/>
                <w:color w:val="000000"/>
                <w:sz w:val="20"/>
                <w:szCs w:val="20"/>
                <w:lang w:eastAsia="sk-SK"/>
              </w:rPr>
              <w:fldChar w:fldCharType="begin"/>
            </w:r>
            <w:r w:rsidRPr="00666914">
              <w:rPr>
                <w:rFonts w:eastAsia="Times New Roman" w:cs="Calibri"/>
                <w:b/>
                <w:bCs/>
                <w:color w:val="000000"/>
                <w:sz w:val="20"/>
                <w:szCs w:val="20"/>
                <w:lang w:eastAsia="sk-SK"/>
              </w:rPr>
              <w:instrText xml:space="preserve"> SEQ Tabuľka \* ARABIC \* MERGEFORMAT </w:instrText>
            </w:r>
            <w:r w:rsidRPr="00666914">
              <w:rPr>
                <w:rFonts w:eastAsia="Times New Roman" w:cs="Calibri"/>
                <w:b/>
                <w:bCs/>
                <w:color w:val="000000"/>
                <w:sz w:val="20"/>
                <w:szCs w:val="20"/>
                <w:lang w:eastAsia="sk-SK"/>
              </w:rPr>
              <w:fldChar w:fldCharType="separate"/>
            </w:r>
            <w:r w:rsidR="005A7304">
              <w:rPr>
                <w:rFonts w:eastAsia="Times New Roman" w:cs="Calibri"/>
                <w:b/>
                <w:bCs/>
                <w:noProof/>
                <w:color w:val="000000"/>
                <w:sz w:val="20"/>
                <w:szCs w:val="20"/>
                <w:lang w:eastAsia="sk-SK"/>
              </w:rPr>
              <w:t>61</w:t>
            </w:r>
            <w:r w:rsidRPr="00666914">
              <w:rPr>
                <w:rFonts w:eastAsia="Times New Roman" w:cs="Calibri"/>
                <w:b/>
                <w:bCs/>
                <w:color w:val="000000"/>
                <w:sz w:val="20"/>
                <w:szCs w:val="20"/>
                <w:lang w:eastAsia="sk-SK"/>
              </w:rPr>
              <w:fldChar w:fldCharType="end"/>
            </w:r>
            <w:r w:rsidRPr="00666914">
              <w:rPr>
                <w:rFonts w:eastAsia="Times New Roman" w:cs="Calibri"/>
                <w:b/>
                <w:bCs/>
                <w:color w:val="000000"/>
                <w:sz w:val="20"/>
                <w:szCs w:val="20"/>
                <w:lang w:eastAsia="sk-SK"/>
              </w:rPr>
              <w:t>: Celkové vyčíslenie prínosu optimalizácie (v mil. eur)</w:t>
            </w:r>
            <w:bookmarkEnd w:id="309"/>
          </w:p>
        </w:tc>
        <w:tc>
          <w:tcPr>
            <w:tcW w:w="397" w:type="pct"/>
            <w:tcBorders>
              <w:top w:val="nil"/>
              <w:left w:val="nil"/>
              <w:bottom w:val="nil"/>
              <w:right w:val="nil"/>
            </w:tcBorders>
            <w:shd w:val="clear" w:color="auto" w:fill="auto"/>
            <w:noWrap/>
            <w:vAlign w:val="bottom"/>
            <w:hideMark/>
          </w:tcPr>
          <w:p w14:paraId="12050FE5" w14:textId="77777777" w:rsidR="00E66F49" w:rsidRPr="00666914" w:rsidRDefault="00E66F49" w:rsidP="00D27F91">
            <w:pPr>
              <w:spacing w:after="0"/>
              <w:jc w:val="left"/>
              <w:rPr>
                <w:rFonts w:eastAsia="Times New Roman" w:cs="Calibri"/>
                <w:b/>
                <w:bCs/>
                <w:color w:val="000000"/>
                <w:sz w:val="20"/>
                <w:szCs w:val="20"/>
                <w:lang w:eastAsia="sk-SK"/>
              </w:rPr>
            </w:pPr>
          </w:p>
        </w:tc>
        <w:tc>
          <w:tcPr>
            <w:tcW w:w="397" w:type="pct"/>
            <w:tcBorders>
              <w:top w:val="nil"/>
              <w:left w:val="nil"/>
              <w:bottom w:val="nil"/>
              <w:right w:val="nil"/>
            </w:tcBorders>
            <w:shd w:val="clear" w:color="auto" w:fill="auto"/>
            <w:noWrap/>
            <w:vAlign w:val="bottom"/>
            <w:hideMark/>
          </w:tcPr>
          <w:p w14:paraId="673F8CA5" w14:textId="77777777" w:rsidR="00E66F49" w:rsidRPr="00666914" w:rsidRDefault="00E66F49" w:rsidP="00D27F91">
            <w:pPr>
              <w:spacing w:after="0"/>
              <w:jc w:val="left"/>
              <w:rPr>
                <w:rFonts w:ascii="Times New Roman" w:eastAsia="Times New Roman" w:hAnsi="Times New Roman"/>
                <w:sz w:val="20"/>
                <w:szCs w:val="20"/>
                <w:lang w:eastAsia="sk-SK"/>
              </w:rPr>
            </w:pPr>
          </w:p>
        </w:tc>
        <w:tc>
          <w:tcPr>
            <w:tcW w:w="397" w:type="pct"/>
            <w:tcBorders>
              <w:top w:val="nil"/>
              <w:left w:val="nil"/>
              <w:bottom w:val="nil"/>
              <w:right w:val="nil"/>
            </w:tcBorders>
            <w:shd w:val="clear" w:color="auto" w:fill="auto"/>
            <w:noWrap/>
            <w:vAlign w:val="bottom"/>
            <w:hideMark/>
          </w:tcPr>
          <w:p w14:paraId="0C038896" w14:textId="77777777" w:rsidR="00E66F49" w:rsidRPr="00666914" w:rsidRDefault="00E66F49" w:rsidP="00D27F91">
            <w:pPr>
              <w:spacing w:after="0"/>
              <w:jc w:val="left"/>
              <w:rPr>
                <w:rFonts w:ascii="Times New Roman" w:eastAsia="Times New Roman" w:hAnsi="Times New Roman"/>
                <w:sz w:val="20"/>
                <w:szCs w:val="20"/>
                <w:lang w:eastAsia="sk-SK"/>
              </w:rPr>
            </w:pPr>
          </w:p>
        </w:tc>
        <w:tc>
          <w:tcPr>
            <w:tcW w:w="397" w:type="pct"/>
            <w:tcBorders>
              <w:top w:val="nil"/>
              <w:left w:val="nil"/>
              <w:bottom w:val="nil"/>
              <w:right w:val="nil"/>
            </w:tcBorders>
            <w:shd w:val="clear" w:color="auto" w:fill="auto"/>
            <w:noWrap/>
            <w:vAlign w:val="bottom"/>
            <w:hideMark/>
          </w:tcPr>
          <w:p w14:paraId="7E9B9285" w14:textId="77777777" w:rsidR="00E66F49" w:rsidRPr="00666914" w:rsidRDefault="00E66F49" w:rsidP="00D27F91">
            <w:pPr>
              <w:spacing w:after="0"/>
              <w:jc w:val="left"/>
              <w:rPr>
                <w:rFonts w:ascii="Times New Roman" w:eastAsia="Times New Roman" w:hAnsi="Times New Roman"/>
                <w:sz w:val="20"/>
                <w:szCs w:val="20"/>
                <w:lang w:eastAsia="sk-SK"/>
              </w:rPr>
            </w:pPr>
          </w:p>
        </w:tc>
        <w:tc>
          <w:tcPr>
            <w:tcW w:w="397" w:type="pct"/>
            <w:tcBorders>
              <w:top w:val="nil"/>
              <w:left w:val="nil"/>
              <w:bottom w:val="nil"/>
              <w:right w:val="nil"/>
            </w:tcBorders>
            <w:shd w:val="clear" w:color="auto" w:fill="auto"/>
            <w:noWrap/>
            <w:vAlign w:val="bottom"/>
            <w:hideMark/>
          </w:tcPr>
          <w:p w14:paraId="3150E2B7" w14:textId="77777777" w:rsidR="00E66F49" w:rsidRPr="00666914" w:rsidRDefault="00E66F49" w:rsidP="00D27F91">
            <w:pPr>
              <w:spacing w:after="0"/>
              <w:jc w:val="left"/>
              <w:rPr>
                <w:rFonts w:ascii="Times New Roman" w:eastAsia="Times New Roman" w:hAnsi="Times New Roman"/>
                <w:sz w:val="20"/>
                <w:szCs w:val="20"/>
                <w:lang w:eastAsia="sk-SK"/>
              </w:rPr>
            </w:pPr>
          </w:p>
        </w:tc>
      </w:tr>
      <w:tr w:rsidR="00E66F49" w:rsidRPr="00666914" w14:paraId="6C53469C" w14:textId="77777777" w:rsidTr="00437756">
        <w:trPr>
          <w:trHeight w:val="255"/>
        </w:trPr>
        <w:tc>
          <w:tcPr>
            <w:tcW w:w="2466" w:type="pct"/>
            <w:tcBorders>
              <w:top w:val="single" w:sz="4" w:space="0" w:color="auto"/>
              <w:left w:val="nil"/>
              <w:bottom w:val="single" w:sz="4" w:space="0" w:color="auto"/>
              <w:right w:val="nil"/>
            </w:tcBorders>
            <w:shd w:val="clear" w:color="auto" w:fill="auto"/>
            <w:noWrap/>
            <w:vAlign w:val="center"/>
            <w:hideMark/>
          </w:tcPr>
          <w:p w14:paraId="0012801F"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c>
          <w:tcPr>
            <w:tcW w:w="274" w:type="pct"/>
            <w:tcBorders>
              <w:top w:val="single" w:sz="4" w:space="0" w:color="auto"/>
              <w:left w:val="nil"/>
              <w:bottom w:val="single" w:sz="4" w:space="0" w:color="auto"/>
              <w:right w:val="nil"/>
            </w:tcBorders>
            <w:shd w:val="clear" w:color="auto" w:fill="auto"/>
            <w:noWrap/>
            <w:vAlign w:val="center"/>
            <w:hideMark/>
          </w:tcPr>
          <w:p w14:paraId="60C9D331"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2018</w:t>
            </w:r>
          </w:p>
        </w:tc>
        <w:tc>
          <w:tcPr>
            <w:tcW w:w="274" w:type="pct"/>
            <w:tcBorders>
              <w:top w:val="single" w:sz="4" w:space="0" w:color="auto"/>
              <w:left w:val="nil"/>
              <w:bottom w:val="single" w:sz="4" w:space="0" w:color="auto"/>
              <w:right w:val="nil"/>
            </w:tcBorders>
            <w:shd w:val="clear" w:color="auto" w:fill="auto"/>
            <w:noWrap/>
            <w:vAlign w:val="center"/>
            <w:hideMark/>
          </w:tcPr>
          <w:p w14:paraId="39B7E5E7"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2019</w:t>
            </w:r>
          </w:p>
        </w:tc>
        <w:tc>
          <w:tcPr>
            <w:tcW w:w="397" w:type="pct"/>
            <w:tcBorders>
              <w:top w:val="single" w:sz="4" w:space="0" w:color="auto"/>
              <w:left w:val="nil"/>
              <w:bottom w:val="single" w:sz="4" w:space="0" w:color="auto"/>
              <w:right w:val="nil"/>
            </w:tcBorders>
            <w:shd w:val="clear" w:color="auto" w:fill="auto"/>
            <w:noWrap/>
            <w:vAlign w:val="center"/>
            <w:hideMark/>
          </w:tcPr>
          <w:p w14:paraId="5EFBB3FF"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2020</w:t>
            </w:r>
          </w:p>
        </w:tc>
        <w:tc>
          <w:tcPr>
            <w:tcW w:w="397" w:type="pct"/>
            <w:tcBorders>
              <w:top w:val="single" w:sz="4" w:space="0" w:color="auto"/>
              <w:left w:val="nil"/>
              <w:bottom w:val="single" w:sz="4" w:space="0" w:color="auto"/>
              <w:right w:val="nil"/>
            </w:tcBorders>
            <w:shd w:val="clear" w:color="auto" w:fill="auto"/>
            <w:noWrap/>
            <w:vAlign w:val="center"/>
            <w:hideMark/>
          </w:tcPr>
          <w:p w14:paraId="793518BF"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2021</w:t>
            </w:r>
          </w:p>
        </w:tc>
        <w:tc>
          <w:tcPr>
            <w:tcW w:w="397" w:type="pct"/>
            <w:tcBorders>
              <w:top w:val="single" w:sz="4" w:space="0" w:color="auto"/>
              <w:left w:val="nil"/>
              <w:bottom w:val="single" w:sz="4" w:space="0" w:color="auto"/>
              <w:right w:val="nil"/>
            </w:tcBorders>
            <w:shd w:val="clear" w:color="auto" w:fill="auto"/>
            <w:noWrap/>
            <w:vAlign w:val="center"/>
            <w:hideMark/>
          </w:tcPr>
          <w:p w14:paraId="050352CC"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2022</w:t>
            </w:r>
          </w:p>
        </w:tc>
        <w:tc>
          <w:tcPr>
            <w:tcW w:w="397" w:type="pct"/>
            <w:tcBorders>
              <w:top w:val="single" w:sz="4" w:space="0" w:color="auto"/>
              <w:left w:val="nil"/>
              <w:bottom w:val="single" w:sz="4" w:space="0" w:color="auto"/>
              <w:right w:val="nil"/>
            </w:tcBorders>
            <w:shd w:val="clear" w:color="auto" w:fill="auto"/>
            <w:noWrap/>
            <w:vAlign w:val="center"/>
            <w:hideMark/>
          </w:tcPr>
          <w:p w14:paraId="6B8C15E0"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2023</w:t>
            </w:r>
          </w:p>
        </w:tc>
        <w:tc>
          <w:tcPr>
            <w:tcW w:w="397" w:type="pct"/>
            <w:tcBorders>
              <w:top w:val="single" w:sz="4" w:space="0" w:color="auto"/>
              <w:left w:val="nil"/>
              <w:bottom w:val="single" w:sz="4" w:space="0" w:color="auto"/>
              <w:right w:val="nil"/>
            </w:tcBorders>
            <w:shd w:val="clear" w:color="auto" w:fill="auto"/>
            <w:noWrap/>
            <w:vAlign w:val="center"/>
            <w:hideMark/>
          </w:tcPr>
          <w:p w14:paraId="7830344C"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2024</w:t>
            </w:r>
          </w:p>
        </w:tc>
      </w:tr>
      <w:tr w:rsidR="00E66F49" w:rsidRPr="00666914" w14:paraId="5B521A3E" w14:textId="77777777" w:rsidTr="00437756">
        <w:trPr>
          <w:trHeight w:val="255"/>
        </w:trPr>
        <w:tc>
          <w:tcPr>
            <w:tcW w:w="2466" w:type="pct"/>
            <w:tcBorders>
              <w:top w:val="nil"/>
              <w:left w:val="nil"/>
              <w:bottom w:val="nil"/>
              <w:right w:val="nil"/>
            </w:tcBorders>
            <w:shd w:val="clear" w:color="auto" w:fill="auto"/>
            <w:noWrap/>
            <w:vAlign w:val="center"/>
            <w:hideMark/>
          </w:tcPr>
          <w:p w14:paraId="51C8CA61"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PRÍNOSY</w:t>
            </w:r>
          </w:p>
        </w:tc>
        <w:tc>
          <w:tcPr>
            <w:tcW w:w="274" w:type="pct"/>
            <w:tcBorders>
              <w:top w:val="nil"/>
              <w:left w:val="nil"/>
              <w:bottom w:val="nil"/>
              <w:right w:val="nil"/>
            </w:tcBorders>
            <w:shd w:val="clear" w:color="auto" w:fill="auto"/>
            <w:noWrap/>
            <w:vAlign w:val="center"/>
            <w:hideMark/>
          </w:tcPr>
          <w:p w14:paraId="1F08C0E2"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c>
          <w:tcPr>
            <w:tcW w:w="274" w:type="pct"/>
            <w:tcBorders>
              <w:top w:val="nil"/>
              <w:left w:val="nil"/>
              <w:bottom w:val="nil"/>
              <w:right w:val="nil"/>
            </w:tcBorders>
            <w:shd w:val="clear" w:color="auto" w:fill="auto"/>
            <w:noWrap/>
            <w:vAlign w:val="center"/>
            <w:hideMark/>
          </w:tcPr>
          <w:p w14:paraId="2DDC692E"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c>
          <w:tcPr>
            <w:tcW w:w="397" w:type="pct"/>
            <w:tcBorders>
              <w:top w:val="nil"/>
              <w:left w:val="nil"/>
              <w:bottom w:val="nil"/>
              <w:right w:val="nil"/>
            </w:tcBorders>
            <w:shd w:val="clear" w:color="auto" w:fill="auto"/>
            <w:noWrap/>
            <w:vAlign w:val="center"/>
            <w:hideMark/>
          </w:tcPr>
          <w:p w14:paraId="7BBBE3B2"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c>
          <w:tcPr>
            <w:tcW w:w="397" w:type="pct"/>
            <w:tcBorders>
              <w:top w:val="nil"/>
              <w:left w:val="nil"/>
              <w:bottom w:val="nil"/>
              <w:right w:val="nil"/>
            </w:tcBorders>
            <w:shd w:val="clear" w:color="auto" w:fill="auto"/>
            <w:noWrap/>
            <w:vAlign w:val="center"/>
            <w:hideMark/>
          </w:tcPr>
          <w:p w14:paraId="721B29A2"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c>
          <w:tcPr>
            <w:tcW w:w="397" w:type="pct"/>
            <w:tcBorders>
              <w:top w:val="nil"/>
              <w:left w:val="nil"/>
              <w:bottom w:val="nil"/>
              <w:right w:val="nil"/>
            </w:tcBorders>
            <w:shd w:val="clear" w:color="auto" w:fill="auto"/>
            <w:noWrap/>
            <w:vAlign w:val="center"/>
            <w:hideMark/>
          </w:tcPr>
          <w:p w14:paraId="1719235D"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c>
          <w:tcPr>
            <w:tcW w:w="397" w:type="pct"/>
            <w:tcBorders>
              <w:top w:val="nil"/>
              <w:left w:val="nil"/>
              <w:bottom w:val="nil"/>
              <w:right w:val="nil"/>
            </w:tcBorders>
            <w:shd w:val="clear" w:color="auto" w:fill="auto"/>
            <w:noWrap/>
            <w:vAlign w:val="center"/>
            <w:hideMark/>
          </w:tcPr>
          <w:p w14:paraId="3A6E75D6"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c>
          <w:tcPr>
            <w:tcW w:w="397" w:type="pct"/>
            <w:tcBorders>
              <w:top w:val="nil"/>
              <w:left w:val="nil"/>
              <w:bottom w:val="nil"/>
              <w:right w:val="nil"/>
            </w:tcBorders>
            <w:shd w:val="clear" w:color="auto" w:fill="auto"/>
            <w:noWrap/>
            <w:vAlign w:val="center"/>
            <w:hideMark/>
          </w:tcPr>
          <w:p w14:paraId="3AAB5E6C"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r>
      <w:tr w:rsidR="00E66F49" w:rsidRPr="00666914" w14:paraId="79AF6737" w14:textId="77777777" w:rsidTr="00437756">
        <w:trPr>
          <w:trHeight w:val="510"/>
        </w:trPr>
        <w:tc>
          <w:tcPr>
            <w:tcW w:w="2466" w:type="pct"/>
            <w:tcBorders>
              <w:top w:val="nil"/>
              <w:left w:val="nil"/>
              <w:bottom w:val="nil"/>
              <w:right w:val="nil"/>
            </w:tcBorders>
            <w:shd w:val="clear" w:color="auto" w:fill="auto"/>
            <w:noWrap/>
            <w:vAlign w:val="center"/>
            <w:hideMark/>
          </w:tcPr>
          <w:p w14:paraId="77C5A186"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xml:space="preserve">Postupné sťahovanie vybraných PRO do voľných priestorov </w:t>
            </w:r>
          </w:p>
        </w:tc>
        <w:tc>
          <w:tcPr>
            <w:tcW w:w="274" w:type="pct"/>
            <w:tcBorders>
              <w:top w:val="nil"/>
              <w:left w:val="nil"/>
              <w:bottom w:val="nil"/>
              <w:right w:val="nil"/>
            </w:tcBorders>
            <w:shd w:val="clear" w:color="auto" w:fill="auto"/>
            <w:noWrap/>
            <w:vAlign w:val="center"/>
            <w:hideMark/>
          </w:tcPr>
          <w:p w14:paraId="73D28C2F"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0,2</w:t>
            </w:r>
          </w:p>
        </w:tc>
        <w:tc>
          <w:tcPr>
            <w:tcW w:w="274" w:type="pct"/>
            <w:tcBorders>
              <w:top w:val="nil"/>
              <w:left w:val="nil"/>
              <w:bottom w:val="nil"/>
              <w:right w:val="nil"/>
            </w:tcBorders>
            <w:shd w:val="clear" w:color="auto" w:fill="auto"/>
            <w:noWrap/>
            <w:vAlign w:val="center"/>
            <w:hideMark/>
          </w:tcPr>
          <w:p w14:paraId="6F58E6AD"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0,3</w:t>
            </w:r>
          </w:p>
        </w:tc>
        <w:tc>
          <w:tcPr>
            <w:tcW w:w="397" w:type="pct"/>
            <w:tcBorders>
              <w:top w:val="nil"/>
              <w:left w:val="nil"/>
              <w:bottom w:val="nil"/>
              <w:right w:val="nil"/>
            </w:tcBorders>
            <w:shd w:val="clear" w:color="auto" w:fill="auto"/>
            <w:noWrap/>
            <w:vAlign w:val="center"/>
            <w:hideMark/>
          </w:tcPr>
          <w:p w14:paraId="40966193"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0,4</w:t>
            </w:r>
          </w:p>
        </w:tc>
        <w:tc>
          <w:tcPr>
            <w:tcW w:w="397" w:type="pct"/>
            <w:tcBorders>
              <w:top w:val="nil"/>
              <w:left w:val="nil"/>
              <w:bottom w:val="nil"/>
              <w:right w:val="nil"/>
            </w:tcBorders>
            <w:shd w:val="clear" w:color="auto" w:fill="auto"/>
            <w:noWrap/>
            <w:vAlign w:val="center"/>
            <w:hideMark/>
          </w:tcPr>
          <w:p w14:paraId="642A1F70"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0,5</w:t>
            </w:r>
          </w:p>
        </w:tc>
        <w:tc>
          <w:tcPr>
            <w:tcW w:w="397" w:type="pct"/>
            <w:tcBorders>
              <w:top w:val="nil"/>
              <w:left w:val="nil"/>
              <w:bottom w:val="nil"/>
              <w:right w:val="nil"/>
            </w:tcBorders>
            <w:shd w:val="clear" w:color="auto" w:fill="auto"/>
            <w:noWrap/>
            <w:vAlign w:val="center"/>
            <w:hideMark/>
          </w:tcPr>
          <w:p w14:paraId="3F050020"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0,5</w:t>
            </w:r>
          </w:p>
        </w:tc>
        <w:tc>
          <w:tcPr>
            <w:tcW w:w="397" w:type="pct"/>
            <w:tcBorders>
              <w:top w:val="nil"/>
              <w:left w:val="nil"/>
              <w:bottom w:val="nil"/>
              <w:right w:val="nil"/>
            </w:tcBorders>
            <w:shd w:val="clear" w:color="auto" w:fill="auto"/>
            <w:noWrap/>
            <w:vAlign w:val="center"/>
            <w:hideMark/>
          </w:tcPr>
          <w:p w14:paraId="3DE2AFCE"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0,5</w:t>
            </w:r>
          </w:p>
        </w:tc>
        <w:tc>
          <w:tcPr>
            <w:tcW w:w="397" w:type="pct"/>
            <w:tcBorders>
              <w:top w:val="nil"/>
              <w:left w:val="nil"/>
              <w:bottom w:val="nil"/>
              <w:right w:val="nil"/>
            </w:tcBorders>
            <w:shd w:val="clear" w:color="auto" w:fill="auto"/>
            <w:noWrap/>
            <w:vAlign w:val="center"/>
            <w:hideMark/>
          </w:tcPr>
          <w:p w14:paraId="3C7F460E"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0,6</w:t>
            </w:r>
          </w:p>
        </w:tc>
      </w:tr>
      <w:tr w:rsidR="00E66F49" w:rsidRPr="00666914" w14:paraId="464757FE" w14:textId="77777777" w:rsidTr="00437756">
        <w:trPr>
          <w:trHeight w:val="255"/>
        </w:trPr>
        <w:tc>
          <w:tcPr>
            <w:tcW w:w="2466" w:type="pct"/>
            <w:tcBorders>
              <w:top w:val="nil"/>
              <w:left w:val="nil"/>
              <w:bottom w:val="nil"/>
              <w:right w:val="nil"/>
            </w:tcBorders>
            <w:shd w:val="clear" w:color="auto" w:fill="auto"/>
            <w:noWrap/>
            <w:vAlign w:val="center"/>
            <w:hideMark/>
          </w:tcPr>
          <w:p w14:paraId="5917AAE8"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Využitie prázdnych priestorov v IUVENTE*</w:t>
            </w:r>
          </w:p>
        </w:tc>
        <w:tc>
          <w:tcPr>
            <w:tcW w:w="274" w:type="pct"/>
            <w:tcBorders>
              <w:top w:val="nil"/>
              <w:left w:val="nil"/>
              <w:bottom w:val="nil"/>
              <w:right w:val="nil"/>
            </w:tcBorders>
            <w:shd w:val="clear" w:color="auto" w:fill="auto"/>
            <w:noWrap/>
            <w:vAlign w:val="center"/>
            <w:hideMark/>
          </w:tcPr>
          <w:p w14:paraId="7C045EEB"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0</w:t>
            </w:r>
          </w:p>
        </w:tc>
        <w:tc>
          <w:tcPr>
            <w:tcW w:w="274" w:type="pct"/>
            <w:tcBorders>
              <w:top w:val="nil"/>
              <w:left w:val="nil"/>
              <w:bottom w:val="nil"/>
              <w:right w:val="nil"/>
            </w:tcBorders>
            <w:shd w:val="clear" w:color="auto" w:fill="auto"/>
            <w:noWrap/>
            <w:vAlign w:val="center"/>
            <w:hideMark/>
          </w:tcPr>
          <w:p w14:paraId="4EBA5901"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0,0</w:t>
            </w:r>
          </w:p>
        </w:tc>
        <w:tc>
          <w:tcPr>
            <w:tcW w:w="397" w:type="pct"/>
            <w:tcBorders>
              <w:top w:val="nil"/>
              <w:left w:val="nil"/>
              <w:bottom w:val="nil"/>
              <w:right w:val="nil"/>
            </w:tcBorders>
            <w:shd w:val="clear" w:color="auto" w:fill="auto"/>
            <w:noWrap/>
            <w:vAlign w:val="center"/>
            <w:hideMark/>
          </w:tcPr>
          <w:p w14:paraId="5DF54A1D"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0,2</w:t>
            </w:r>
          </w:p>
        </w:tc>
        <w:tc>
          <w:tcPr>
            <w:tcW w:w="397" w:type="pct"/>
            <w:tcBorders>
              <w:top w:val="nil"/>
              <w:left w:val="nil"/>
              <w:bottom w:val="nil"/>
              <w:right w:val="nil"/>
            </w:tcBorders>
            <w:shd w:val="clear" w:color="auto" w:fill="auto"/>
            <w:noWrap/>
            <w:vAlign w:val="center"/>
            <w:hideMark/>
          </w:tcPr>
          <w:p w14:paraId="262910B4"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0,4</w:t>
            </w:r>
          </w:p>
        </w:tc>
        <w:tc>
          <w:tcPr>
            <w:tcW w:w="397" w:type="pct"/>
            <w:tcBorders>
              <w:top w:val="nil"/>
              <w:left w:val="nil"/>
              <w:bottom w:val="nil"/>
              <w:right w:val="nil"/>
            </w:tcBorders>
            <w:shd w:val="clear" w:color="auto" w:fill="auto"/>
            <w:noWrap/>
            <w:vAlign w:val="center"/>
            <w:hideMark/>
          </w:tcPr>
          <w:p w14:paraId="10729EE3"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0,4</w:t>
            </w:r>
          </w:p>
        </w:tc>
        <w:tc>
          <w:tcPr>
            <w:tcW w:w="397" w:type="pct"/>
            <w:tcBorders>
              <w:top w:val="nil"/>
              <w:left w:val="nil"/>
              <w:bottom w:val="nil"/>
              <w:right w:val="nil"/>
            </w:tcBorders>
            <w:shd w:val="clear" w:color="auto" w:fill="auto"/>
            <w:noWrap/>
            <w:vAlign w:val="center"/>
            <w:hideMark/>
          </w:tcPr>
          <w:p w14:paraId="1846279C"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0,4</w:t>
            </w:r>
          </w:p>
        </w:tc>
        <w:tc>
          <w:tcPr>
            <w:tcW w:w="397" w:type="pct"/>
            <w:tcBorders>
              <w:top w:val="nil"/>
              <w:left w:val="nil"/>
              <w:bottom w:val="nil"/>
              <w:right w:val="nil"/>
            </w:tcBorders>
            <w:shd w:val="clear" w:color="auto" w:fill="auto"/>
            <w:noWrap/>
            <w:vAlign w:val="center"/>
            <w:hideMark/>
          </w:tcPr>
          <w:p w14:paraId="566A478A"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0,4</w:t>
            </w:r>
          </w:p>
        </w:tc>
      </w:tr>
      <w:tr w:rsidR="00E66F49" w:rsidRPr="00666914" w14:paraId="772F341B" w14:textId="77777777" w:rsidTr="00437756">
        <w:trPr>
          <w:trHeight w:val="255"/>
        </w:trPr>
        <w:tc>
          <w:tcPr>
            <w:tcW w:w="2466" w:type="pct"/>
            <w:tcBorders>
              <w:top w:val="nil"/>
              <w:left w:val="nil"/>
              <w:bottom w:val="single" w:sz="4" w:space="0" w:color="auto"/>
              <w:right w:val="nil"/>
            </w:tcBorders>
            <w:shd w:val="clear" w:color="auto" w:fill="auto"/>
            <w:noWrap/>
            <w:vAlign w:val="center"/>
            <w:hideMark/>
          </w:tcPr>
          <w:p w14:paraId="3A078377" w14:textId="77777777" w:rsidR="00E66F49" w:rsidRPr="00666914" w:rsidRDefault="00E66F49" w:rsidP="00D27F91">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CELKOM</w:t>
            </w:r>
          </w:p>
        </w:tc>
        <w:tc>
          <w:tcPr>
            <w:tcW w:w="274" w:type="pct"/>
            <w:tcBorders>
              <w:top w:val="nil"/>
              <w:left w:val="nil"/>
              <w:bottom w:val="single" w:sz="4" w:space="0" w:color="auto"/>
              <w:right w:val="nil"/>
            </w:tcBorders>
            <w:shd w:val="clear" w:color="auto" w:fill="auto"/>
            <w:noWrap/>
            <w:vAlign w:val="center"/>
            <w:hideMark/>
          </w:tcPr>
          <w:p w14:paraId="4D4B3E0D"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0,2</w:t>
            </w:r>
          </w:p>
        </w:tc>
        <w:tc>
          <w:tcPr>
            <w:tcW w:w="274" w:type="pct"/>
            <w:tcBorders>
              <w:top w:val="nil"/>
              <w:left w:val="nil"/>
              <w:bottom w:val="single" w:sz="4" w:space="0" w:color="auto"/>
              <w:right w:val="nil"/>
            </w:tcBorders>
            <w:shd w:val="clear" w:color="auto" w:fill="auto"/>
            <w:noWrap/>
            <w:vAlign w:val="center"/>
            <w:hideMark/>
          </w:tcPr>
          <w:p w14:paraId="5A98600C"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0,3</w:t>
            </w:r>
          </w:p>
        </w:tc>
        <w:tc>
          <w:tcPr>
            <w:tcW w:w="397" w:type="pct"/>
            <w:tcBorders>
              <w:top w:val="nil"/>
              <w:left w:val="nil"/>
              <w:bottom w:val="single" w:sz="4" w:space="0" w:color="auto"/>
              <w:right w:val="nil"/>
            </w:tcBorders>
            <w:shd w:val="clear" w:color="auto" w:fill="auto"/>
            <w:noWrap/>
            <w:vAlign w:val="center"/>
            <w:hideMark/>
          </w:tcPr>
          <w:p w14:paraId="22A998B5"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0,6</w:t>
            </w:r>
          </w:p>
        </w:tc>
        <w:tc>
          <w:tcPr>
            <w:tcW w:w="397" w:type="pct"/>
            <w:tcBorders>
              <w:top w:val="nil"/>
              <w:left w:val="nil"/>
              <w:bottom w:val="single" w:sz="4" w:space="0" w:color="auto"/>
              <w:right w:val="nil"/>
            </w:tcBorders>
            <w:shd w:val="clear" w:color="auto" w:fill="auto"/>
            <w:noWrap/>
            <w:vAlign w:val="center"/>
            <w:hideMark/>
          </w:tcPr>
          <w:p w14:paraId="5F542441"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0,9</w:t>
            </w:r>
          </w:p>
        </w:tc>
        <w:tc>
          <w:tcPr>
            <w:tcW w:w="397" w:type="pct"/>
            <w:tcBorders>
              <w:top w:val="nil"/>
              <w:left w:val="nil"/>
              <w:bottom w:val="single" w:sz="4" w:space="0" w:color="auto"/>
              <w:right w:val="nil"/>
            </w:tcBorders>
            <w:shd w:val="clear" w:color="auto" w:fill="auto"/>
            <w:noWrap/>
            <w:vAlign w:val="center"/>
            <w:hideMark/>
          </w:tcPr>
          <w:p w14:paraId="39FFBCE9"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0,9</w:t>
            </w:r>
          </w:p>
        </w:tc>
        <w:tc>
          <w:tcPr>
            <w:tcW w:w="397" w:type="pct"/>
            <w:tcBorders>
              <w:top w:val="nil"/>
              <w:left w:val="nil"/>
              <w:bottom w:val="single" w:sz="4" w:space="0" w:color="auto"/>
              <w:right w:val="nil"/>
            </w:tcBorders>
            <w:shd w:val="clear" w:color="auto" w:fill="auto"/>
            <w:noWrap/>
            <w:vAlign w:val="center"/>
            <w:hideMark/>
          </w:tcPr>
          <w:p w14:paraId="22FF14AE"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0,9</w:t>
            </w:r>
          </w:p>
        </w:tc>
        <w:tc>
          <w:tcPr>
            <w:tcW w:w="397" w:type="pct"/>
            <w:tcBorders>
              <w:top w:val="nil"/>
              <w:left w:val="nil"/>
              <w:bottom w:val="single" w:sz="4" w:space="0" w:color="auto"/>
              <w:right w:val="nil"/>
            </w:tcBorders>
            <w:shd w:val="clear" w:color="auto" w:fill="auto"/>
            <w:noWrap/>
            <w:vAlign w:val="center"/>
            <w:hideMark/>
          </w:tcPr>
          <w:p w14:paraId="2EC92F7A"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1,0</w:t>
            </w:r>
          </w:p>
        </w:tc>
      </w:tr>
      <w:tr w:rsidR="00E66F49" w:rsidRPr="00666914" w14:paraId="287FDCEF" w14:textId="77777777" w:rsidTr="00437756">
        <w:trPr>
          <w:trHeight w:val="255"/>
        </w:trPr>
        <w:tc>
          <w:tcPr>
            <w:tcW w:w="2466" w:type="pct"/>
            <w:tcBorders>
              <w:top w:val="nil"/>
              <w:left w:val="nil"/>
              <w:bottom w:val="nil"/>
              <w:right w:val="nil"/>
            </w:tcBorders>
            <w:shd w:val="clear" w:color="auto" w:fill="auto"/>
            <w:noWrap/>
            <w:vAlign w:val="center"/>
            <w:hideMark/>
          </w:tcPr>
          <w:p w14:paraId="68EEF960"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NÁKLADY</w:t>
            </w:r>
          </w:p>
        </w:tc>
        <w:tc>
          <w:tcPr>
            <w:tcW w:w="274" w:type="pct"/>
            <w:tcBorders>
              <w:top w:val="nil"/>
              <w:left w:val="nil"/>
              <w:bottom w:val="nil"/>
              <w:right w:val="nil"/>
            </w:tcBorders>
            <w:shd w:val="clear" w:color="auto" w:fill="auto"/>
            <w:noWrap/>
            <w:vAlign w:val="center"/>
            <w:hideMark/>
          </w:tcPr>
          <w:p w14:paraId="32E1C499" w14:textId="77777777" w:rsidR="00E66F49" w:rsidRPr="00666914" w:rsidRDefault="00E66F49" w:rsidP="00D27F91">
            <w:pPr>
              <w:spacing w:after="0"/>
              <w:jc w:val="left"/>
              <w:rPr>
                <w:rFonts w:eastAsia="Times New Roman" w:cs="Calibri"/>
                <w:b/>
                <w:bCs/>
                <w:color w:val="000000"/>
                <w:sz w:val="20"/>
                <w:szCs w:val="20"/>
                <w:lang w:eastAsia="sk-SK"/>
              </w:rPr>
            </w:pPr>
          </w:p>
        </w:tc>
        <w:tc>
          <w:tcPr>
            <w:tcW w:w="274" w:type="pct"/>
            <w:tcBorders>
              <w:top w:val="nil"/>
              <w:left w:val="nil"/>
              <w:bottom w:val="nil"/>
              <w:right w:val="nil"/>
            </w:tcBorders>
            <w:shd w:val="clear" w:color="auto" w:fill="auto"/>
            <w:noWrap/>
            <w:vAlign w:val="center"/>
            <w:hideMark/>
          </w:tcPr>
          <w:p w14:paraId="1A3FEA91" w14:textId="77777777" w:rsidR="00E66F49" w:rsidRPr="00666914" w:rsidRDefault="00E66F49" w:rsidP="00D27F91">
            <w:pPr>
              <w:spacing w:after="0"/>
              <w:jc w:val="right"/>
              <w:rPr>
                <w:rFonts w:ascii="Times New Roman" w:eastAsia="Times New Roman" w:hAnsi="Times New Roman"/>
                <w:sz w:val="20"/>
                <w:szCs w:val="20"/>
                <w:lang w:eastAsia="sk-SK"/>
              </w:rPr>
            </w:pPr>
          </w:p>
        </w:tc>
        <w:tc>
          <w:tcPr>
            <w:tcW w:w="397" w:type="pct"/>
            <w:tcBorders>
              <w:top w:val="nil"/>
              <w:left w:val="nil"/>
              <w:bottom w:val="nil"/>
              <w:right w:val="nil"/>
            </w:tcBorders>
            <w:shd w:val="clear" w:color="auto" w:fill="auto"/>
            <w:noWrap/>
            <w:vAlign w:val="center"/>
            <w:hideMark/>
          </w:tcPr>
          <w:p w14:paraId="21166D02" w14:textId="77777777" w:rsidR="00E66F49" w:rsidRPr="00666914" w:rsidRDefault="00E66F49" w:rsidP="00D27F91">
            <w:pPr>
              <w:spacing w:after="0"/>
              <w:jc w:val="left"/>
              <w:rPr>
                <w:rFonts w:ascii="Times New Roman" w:eastAsia="Times New Roman" w:hAnsi="Times New Roman"/>
                <w:sz w:val="20"/>
                <w:szCs w:val="20"/>
                <w:lang w:eastAsia="sk-SK"/>
              </w:rPr>
            </w:pPr>
          </w:p>
        </w:tc>
        <w:tc>
          <w:tcPr>
            <w:tcW w:w="397" w:type="pct"/>
            <w:tcBorders>
              <w:top w:val="nil"/>
              <w:left w:val="nil"/>
              <w:bottom w:val="nil"/>
              <w:right w:val="nil"/>
            </w:tcBorders>
            <w:shd w:val="clear" w:color="auto" w:fill="auto"/>
            <w:noWrap/>
            <w:vAlign w:val="center"/>
            <w:hideMark/>
          </w:tcPr>
          <w:p w14:paraId="74609F45" w14:textId="77777777" w:rsidR="00E66F49" w:rsidRPr="00666914" w:rsidRDefault="00E66F49" w:rsidP="00D27F91">
            <w:pPr>
              <w:spacing w:after="0"/>
              <w:jc w:val="left"/>
              <w:rPr>
                <w:rFonts w:ascii="Times New Roman" w:eastAsia="Times New Roman" w:hAnsi="Times New Roman"/>
                <w:sz w:val="20"/>
                <w:szCs w:val="20"/>
                <w:lang w:eastAsia="sk-SK"/>
              </w:rPr>
            </w:pPr>
          </w:p>
        </w:tc>
        <w:tc>
          <w:tcPr>
            <w:tcW w:w="397" w:type="pct"/>
            <w:tcBorders>
              <w:top w:val="nil"/>
              <w:left w:val="nil"/>
              <w:bottom w:val="nil"/>
              <w:right w:val="nil"/>
            </w:tcBorders>
            <w:shd w:val="clear" w:color="auto" w:fill="auto"/>
            <w:noWrap/>
            <w:vAlign w:val="center"/>
            <w:hideMark/>
          </w:tcPr>
          <w:p w14:paraId="39CB0716" w14:textId="77777777" w:rsidR="00E66F49" w:rsidRPr="00666914" w:rsidRDefault="00E66F49" w:rsidP="00D27F91">
            <w:pPr>
              <w:spacing w:after="0"/>
              <w:jc w:val="left"/>
              <w:rPr>
                <w:rFonts w:ascii="Times New Roman" w:eastAsia="Times New Roman" w:hAnsi="Times New Roman"/>
                <w:sz w:val="20"/>
                <w:szCs w:val="20"/>
                <w:lang w:eastAsia="sk-SK"/>
              </w:rPr>
            </w:pPr>
          </w:p>
        </w:tc>
        <w:tc>
          <w:tcPr>
            <w:tcW w:w="397" w:type="pct"/>
            <w:tcBorders>
              <w:top w:val="nil"/>
              <w:left w:val="nil"/>
              <w:bottom w:val="nil"/>
              <w:right w:val="nil"/>
            </w:tcBorders>
            <w:shd w:val="clear" w:color="auto" w:fill="auto"/>
            <w:noWrap/>
            <w:vAlign w:val="center"/>
            <w:hideMark/>
          </w:tcPr>
          <w:p w14:paraId="3CDBBBEC" w14:textId="77777777" w:rsidR="00E66F49" w:rsidRPr="00666914" w:rsidRDefault="00E66F49" w:rsidP="00D27F91">
            <w:pPr>
              <w:spacing w:after="0"/>
              <w:jc w:val="left"/>
              <w:rPr>
                <w:rFonts w:ascii="Times New Roman" w:eastAsia="Times New Roman" w:hAnsi="Times New Roman"/>
                <w:sz w:val="20"/>
                <w:szCs w:val="20"/>
                <w:lang w:eastAsia="sk-SK"/>
              </w:rPr>
            </w:pPr>
          </w:p>
        </w:tc>
        <w:tc>
          <w:tcPr>
            <w:tcW w:w="397" w:type="pct"/>
            <w:tcBorders>
              <w:top w:val="nil"/>
              <w:left w:val="nil"/>
              <w:bottom w:val="nil"/>
              <w:right w:val="nil"/>
            </w:tcBorders>
            <w:shd w:val="clear" w:color="auto" w:fill="auto"/>
            <w:noWrap/>
            <w:vAlign w:val="center"/>
            <w:hideMark/>
          </w:tcPr>
          <w:p w14:paraId="54C519E9" w14:textId="77777777" w:rsidR="00E66F49" w:rsidRPr="00666914" w:rsidRDefault="00E66F49" w:rsidP="00D27F91">
            <w:pPr>
              <w:spacing w:after="0"/>
              <w:jc w:val="left"/>
              <w:rPr>
                <w:rFonts w:ascii="Times New Roman" w:eastAsia="Times New Roman" w:hAnsi="Times New Roman"/>
                <w:sz w:val="20"/>
                <w:szCs w:val="20"/>
                <w:lang w:eastAsia="sk-SK"/>
              </w:rPr>
            </w:pPr>
          </w:p>
        </w:tc>
      </w:tr>
      <w:tr w:rsidR="00E66F49" w:rsidRPr="00666914" w14:paraId="6085A3D5" w14:textId="77777777" w:rsidTr="00437756">
        <w:trPr>
          <w:trHeight w:val="255"/>
        </w:trPr>
        <w:tc>
          <w:tcPr>
            <w:tcW w:w="2466" w:type="pct"/>
            <w:tcBorders>
              <w:top w:val="nil"/>
              <w:left w:val="nil"/>
              <w:bottom w:val="single" w:sz="4" w:space="0" w:color="auto"/>
              <w:right w:val="nil"/>
            </w:tcBorders>
            <w:shd w:val="clear" w:color="auto" w:fill="auto"/>
            <w:noWrap/>
            <w:vAlign w:val="bottom"/>
            <w:hideMark/>
          </w:tcPr>
          <w:p w14:paraId="4C4B75C5"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 xml:space="preserve">CELKOM </w:t>
            </w:r>
          </w:p>
        </w:tc>
        <w:tc>
          <w:tcPr>
            <w:tcW w:w="274" w:type="pct"/>
            <w:tcBorders>
              <w:top w:val="nil"/>
              <w:left w:val="nil"/>
              <w:bottom w:val="single" w:sz="4" w:space="0" w:color="auto"/>
              <w:right w:val="nil"/>
            </w:tcBorders>
            <w:shd w:val="clear" w:color="auto" w:fill="auto"/>
            <w:noWrap/>
            <w:vAlign w:val="bottom"/>
            <w:hideMark/>
          </w:tcPr>
          <w:p w14:paraId="05F1E235"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0</w:t>
            </w:r>
          </w:p>
        </w:tc>
        <w:tc>
          <w:tcPr>
            <w:tcW w:w="274" w:type="pct"/>
            <w:tcBorders>
              <w:top w:val="nil"/>
              <w:left w:val="nil"/>
              <w:bottom w:val="single" w:sz="4" w:space="0" w:color="auto"/>
              <w:right w:val="nil"/>
            </w:tcBorders>
            <w:shd w:val="clear" w:color="auto" w:fill="auto"/>
            <w:noWrap/>
            <w:vAlign w:val="center"/>
            <w:hideMark/>
          </w:tcPr>
          <w:p w14:paraId="2B7FC45A"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2,5</w:t>
            </w:r>
          </w:p>
        </w:tc>
        <w:tc>
          <w:tcPr>
            <w:tcW w:w="397" w:type="pct"/>
            <w:tcBorders>
              <w:top w:val="nil"/>
              <w:left w:val="nil"/>
              <w:bottom w:val="single" w:sz="4" w:space="0" w:color="auto"/>
              <w:right w:val="nil"/>
            </w:tcBorders>
            <w:shd w:val="clear" w:color="auto" w:fill="auto"/>
            <w:noWrap/>
            <w:vAlign w:val="center"/>
            <w:hideMark/>
          </w:tcPr>
          <w:p w14:paraId="5F9C73E8"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0,0</w:t>
            </w:r>
          </w:p>
        </w:tc>
        <w:tc>
          <w:tcPr>
            <w:tcW w:w="397" w:type="pct"/>
            <w:tcBorders>
              <w:top w:val="nil"/>
              <w:left w:val="nil"/>
              <w:bottom w:val="single" w:sz="4" w:space="0" w:color="auto"/>
              <w:right w:val="nil"/>
            </w:tcBorders>
            <w:shd w:val="clear" w:color="auto" w:fill="auto"/>
            <w:noWrap/>
            <w:vAlign w:val="center"/>
            <w:hideMark/>
          </w:tcPr>
          <w:p w14:paraId="10176280"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0,0</w:t>
            </w:r>
          </w:p>
        </w:tc>
        <w:tc>
          <w:tcPr>
            <w:tcW w:w="397" w:type="pct"/>
            <w:tcBorders>
              <w:top w:val="nil"/>
              <w:left w:val="nil"/>
              <w:bottom w:val="single" w:sz="4" w:space="0" w:color="auto"/>
              <w:right w:val="nil"/>
            </w:tcBorders>
            <w:shd w:val="clear" w:color="auto" w:fill="auto"/>
            <w:noWrap/>
            <w:vAlign w:val="center"/>
            <w:hideMark/>
          </w:tcPr>
          <w:p w14:paraId="6C2A8C75"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0,0</w:t>
            </w:r>
          </w:p>
        </w:tc>
        <w:tc>
          <w:tcPr>
            <w:tcW w:w="397" w:type="pct"/>
            <w:tcBorders>
              <w:top w:val="nil"/>
              <w:left w:val="nil"/>
              <w:bottom w:val="single" w:sz="4" w:space="0" w:color="auto"/>
              <w:right w:val="nil"/>
            </w:tcBorders>
            <w:shd w:val="clear" w:color="auto" w:fill="auto"/>
            <w:noWrap/>
            <w:vAlign w:val="center"/>
            <w:hideMark/>
          </w:tcPr>
          <w:p w14:paraId="375B5B0B"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0,0</w:t>
            </w:r>
          </w:p>
        </w:tc>
        <w:tc>
          <w:tcPr>
            <w:tcW w:w="397" w:type="pct"/>
            <w:tcBorders>
              <w:top w:val="nil"/>
              <w:left w:val="nil"/>
              <w:bottom w:val="single" w:sz="4" w:space="0" w:color="auto"/>
              <w:right w:val="nil"/>
            </w:tcBorders>
            <w:shd w:val="clear" w:color="auto" w:fill="auto"/>
            <w:noWrap/>
            <w:vAlign w:val="center"/>
            <w:hideMark/>
          </w:tcPr>
          <w:p w14:paraId="46C07642"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0,0</w:t>
            </w:r>
          </w:p>
        </w:tc>
      </w:tr>
      <w:tr w:rsidR="00E66F49" w:rsidRPr="00666914" w14:paraId="30227346" w14:textId="77777777" w:rsidTr="00D27F91">
        <w:trPr>
          <w:trHeight w:val="255"/>
        </w:trPr>
        <w:tc>
          <w:tcPr>
            <w:tcW w:w="5000" w:type="pct"/>
            <w:gridSpan w:val="8"/>
            <w:tcBorders>
              <w:top w:val="single" w:sz="4" w:space="0" w:color="auto"/>
              <w:left w:val="nil"/>
              <w:bottom w:val="nil"/>
              <w:right w:val="nil"/>
            </w:tcBorders>
            <w:shd w:val="clear" w:color="auto" w:fill="auto"/>
            <w:noWrap/>
            <w:vAlign w:val="center"/>
            <w:hideMark/>
          </w:tcPr>
          <w:p w14:paraId="01EB04C4"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E66F49" w:rsidRPr="00666914" w14:paraId="7557E7E5" w14:textId="77777777" w:rsidTr="00437756">
        <w:trPr>
          <w:trHeight w:val="255"/>
        </w:trPr>
        <w:tc>
          <w:tcPr>
            <w:tcW w:w="2466" w:type="pct"/>
            <w:tcBorders>
              <w:top w:val="single" w:sz="4" w:space="0" w:color="auto"/>
              <w:left w:val="nil"/>
              <w:bottom w:val="single" w:sz="4" w:space="0" w:color="auto"/>
              <w:right w:val="nil"/>
            </w:tcBorders>
            <w:shd w:val="clear" w:color="000000" w:fill="D9D9D9"/>
            <w:noWrap/>
            <w:vAlign w:val="bottom"/>
            <w:hideMark/>
          </w:tcPr>
          <w:p w14:paraId="34AD1462"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CELKOVÝ PRÍNOS</w:t>
            </w:r>
          </w:p>
        </w:tc>
        <w:tc>
          <w:tcPr>
            <w:tcW w:w="274" w:type="pct"/>
            <w:tcBorders>
              <w:top w:val="single" w:sz="4" w:space="0" w:color="auto"/>
              <w:left w:val="nil"/>
              <w:bottom w:val="single" w:sz="4" w:space="0" w:color="auto"/>
              <w:right w:val="nil"/>
            </w:tcBorders>
            <w:shd w:val="clear" w:color="000000" w:fill="D9D9D9"/>
            <w:noWrap/>
            <w:vAlign w:val="bottom"/>
            <w:hideMark/>
          </w:tcPr>
          <w:p w14:paraId="6EF3B6CF"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0,2</w:t>
            </w:r>
          </w:p>
        </w:tc>
        <w:tc>
          <w:tcPr>
            <w:tcW w:w="274" w:type="pct"/>
            <w:tcBorders>
              <w:top w:val="single" w:sz="4" w:space="0" w:color="auto"/>
              <w:left w:val="nil"/>
              <w:bottom w:val="single" w:sz="4" w:space="0" w:color="auto"/>
              <w:right w:val="nil"/>
            </w:tcBorders>
            <w:shd w:val="clear" w:color="000000" w:fill="D9D9D9"/>
            <w:noWrap/>
            <w:vAlign w:val="bottom"/>
            <w:hideMark/>
          </w:tcPr>
          <w:p w14:paraId="16B920C8"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-2,0</w:t>
            </w:r>
          </w:p>
        </w:tc>
        <w:tc>
          <w:tcPr>
            <w:tcW w:w="397" w:type="pct"/>
            <w:tcBorders>
              <w:top w:val="single" w:sz="4" w:space="0" w:color="auto"/>
              <w:left w:val="nil"/>
              <w:bottom w:val="single" w:sz="4" w:space="0" w:color="auto"/>
              <w:right w:val="nil"/>
            </w:tcBorders>
            <w:shd w:val="clear" w:color="000000" w:fill="D9D9D9"/>
            <w:noWrap/>
            <w:vAlign w:val="bottom"/>
            <w:hideMark/>
          </w:tcPr>
          <w:p w14:paraId="572B5C9D"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-1,4</w:t>
            </w:r>
          </w:p>
        </w:tc>
        <w:tc>
          <w:tcPr>
            <w:tcW w:w="397" w:type="pct"/>
            <w:tcBorders>
              <w:top w:val="single" w:sz="4" w:space="0" w:color="auto"/>
              <w:left w:val="nil"/>
              <w:bottom w:val="single" w:sz="4" w:space="0" w:color="auto"/>
              <w:right w:val="nil"/>
            </w:tcBorders>
            <w:shd w:val="clear" w:color="000000" w:fill="D9D9D9"/>
            <w:noWrap/>
            <w:vAlign w:val="bottom"/>
            <w:hideMark/>
          </w:tcPr>
          <w:p w14:paraId="358CE993"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-0,5</w:t>
            </w:r>
          </w:p>
        </w:tc>
        <w:tc>
          <w:tcPr>
            <w:tcW w:w="397" w:type="pct"/>
            <w:tcBorders>
              <w:top w:val="single" w:sz="4" w:space="0" w:color="auto"/>
              <w:left w:val="nil"/>
              <w:bottom w:val="single" w:sz="4" w:space="0" w:color="auto"/>
              <w:right w:val="nil"/>
            </w:tcBorders>
            <w:shd w:val="clear" w:color="000000" w:fill="D9D9D9"/>
            <w:noWrap/>
            <w:vAlign w:val="bottom"/>
            <w:hideMark/>
          </w:tcPr>
          <w:p w14:paraId="79E96D83"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0,4</w:t>
            </w:r>
          </w:p>
        </w:tc>
        <w:tc>
          <w:tcPr>
            <w:tcW w:w="397" w:type="pct"/>
            <w:tcBorders>
              <w:top w:val="single" w:sz="4" w:space="0" w:color="auto"/>
              <w:left w:val="nil"/>
              <w:bottom w:val="single" w:sz="4" w:space="0" w:color="auto"/>
              <w:right w:val="nil"/>
            </w:tcBorders>
            <w:shd w:val="clear" w:color="000000" w:fill="D9D9D9"/>
            <w:noWrap/>
            <w:vAlign w:val="bottom"/>
            <w:hideMark/>
          </w:tcPr>
          <w:p w14:paraId="0B1B34E0"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1,3</w:t>
            </w:r>
          </w:p>
        </w:tc>
        <w:tc>
          <w:tcPr>
            <w:tcW w:w="397" w:type="pct"/>
            <w:tcBorders>
              <w:top w:val="single" w:sz="4" w:space="0" w:color="auto"/>
              <w:left w:val="nil"/>
              <w:bottom w:val="single" w:sz="4" w:space="0" w:color="auto"/>
              <w:right w:val="nil"/>
            </w:tcBorders>
            <w:shd w:val="clear" w:color="000000" w:fill="D9D9D9"/>
            <w:noWrap/>
            <w:vAlign w:val="bottom"/>
            <w:hideMark/>
          </w:tcPr>
          <w:p w14:paraId="2DC839A3"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2,3</w:t>
            </w:r>
          </w:p>
        </w:tc>
      </w:tr>
      <w:tr w:rsidR="00E66F49" w:rsidRPr="00666914" w14:paraId="6174855A" w14:textId="77777777" w:rsidTr="00437756">
        <w:trPr>
          <w:trHeight w:val="187"/>
        </w:trPr>
        <w:tc>
          <w:tcPr>
            <w:tcW w:w="5000" w:type="pct"/>
            <w:gridSpan w:val="8"/>
            <w:tcBorders>
              <w:top w:val="single" w:sz="4" w:space="0" w:color="auto"/>
              <w:left w:val="nil"/>
              <w:bottom w:val="nil"/>
              <w:right w:val="nil"/>
            </w:tcBorders>
            <w:shd w:val="clear" w:color="auto" w:fill="auto"/>
            <w:noWrap/>
            <w:vAlign w:val="bottom"/>
            <w:hideMark/>
          </w:tcPr>
          <w:p w14:paraId="4868398C" w14:textId="77777777" w:rsidR="00E66F49" w:rsidRPr="00666914" w:rsidRDefault="00E66F49" w:rsidP="00D27F91">
            <w:pPr>
              <w:spacing w:after="0"/>
              <w:jc w:val="right"/>
              <w:rPr>
                <w:rFonts w:eastAsia="Times New Roman" w:cs="Calibri"/>
                <w:i/>
                <w:iCs/>
                <w:color w:val="000000"/>
                <w:sz w:val="18"/>
                <w:szCs w:val="18"/>
                <w:lang w:eastAsia="sk-SK"/>
              </w:rPr>
            </w:pPr>
            <w:r w:rsidRPr="00666914">
              <w:rPr>
                <w:rFonts w:eastAsia="Times New Roman" w:cs="Calibri"/>
                <w:i/>
                <w:iCs/>
                <w:color w:val="000000"/>
                <w:sz w:val="18"/>
                <w:szCs w:val="18"/>
                <w:lang w:eastAsia="sk-SK"/>
              </w:rPr>
              <w:t xml:space="preserve">Zdroj: MŠVVaŠ SR </w:t>
            </w:r>
          </w:p>
        </w:tc>
      </w:tr>
    </w:tbl>
    <w:p w14:paraId="4E2CB133" w14:textId="77777777" w:rsidR="00E66F49" w:rsidRPr="00666914" w:rsidRDefault="00E66F49" w:rsidP="00D27F91">
      <w:pPr>
        <w:spacing w:after="0"/>
        <w:rPr>
          <w:rFonts w:eastAsia="Times New Roman"/>
          <w:lang w:eastAsia="sk-SK"/>
        </w:rPr>
      </w:pPr>
    </w:p>
    <w:p w14:paraId="2396D3C3" w14:textId="70D5BE4A" w:rsidR="00E66F49" w:rsidRPr="00666914" w:rsidRDefault="00E66F49" w:rsidP="00D27F91">
      <w:pPr>
        <w:rPr>
          <w:rFonts w:eastAsia="Times New Roman"/>
          <w:lang w:eastAsia="sk-SK"/>
        </w:rPr>
      </w:pPr>
      <w:r w:rsidRPr="00666914">
        <w:rPr>
          <w:rFonts w:eastAsia="Times New Roman"/>
          <w:lang w:eastAsia="sk-SK"/>
        </w:rPr>
        <w:t>Napriek vyjadreniam ministerstva o možnom zlúčení Slovenskej pedagogickej knižnice (SPgK) s CVTI neboli prínosy relevantným spôsobom vyčíslené.</w:t>
      </w:r>
    </w:p>
    <w:p w14:paraId="6C469855" w14:textId="24818850" w:rsidR="00E66F49" w:rsidRPr="00666914" w:rsidRDefault="00E66F49" w:rsidP="00D27F91">
      <w:pPr>
        <w:rPr>
          <w:b/>
        </w:rPr>
      </w:pPr>
      <w:r w:rsidRPr="00666914">
        <w:rPr>
          <w:rFonts w:eastAsia="Times New Roman"/>
          <w:b/>
          <w:lang w:eastAsia="sk-SK"/>
        </w:rPr>
        <w:t>K zefektívneniu procesov v rámci PRO malo prispieť aj spustenie procesu centrálneho obstarávania vybraných komodít</w:t>
      </w:r>
      <w:r w:rsidRPr="00666914">
        <w:rPr>
          <w:rFonts w:eastAsia="Times New Roman"/>
          <w:lang w:eastAsia="sk-SK"/>
        </w:rPr>
        <w:t xml:space="preserve"> (ako výstup analýzy uvedenej v opatrení č. 23), </w:t>
      </w:r>
      <w:r w:rsidRPr="00666914">
        <w:rPr>
          <w:rFonts w:eastAsia="Times New Roman"/>
          <w:b/>
          <w:lang w:eastAsia="sk-SK"/>
        </w:rPr>
        <w:t>rezort ho však ani do 12/2019 neinicioval.</w:t>
      </w:r>
    </w:p>
    <w:p w14:paraId="6B4EF36E" w14:textId="407C4739" w:rsidR="00E66F49" w:rsidRPr="00666914" w:rsidRDefault="00E66F49" w:rsidP="00D27F91">
      <w:pPr>
        <w:rPr>
          <w:rFonts w:eastAsia="Times New Roman"/>
          <w:lang w:eastAsia="sk-SK"/>
        </w:rPr>
      </w:pPr>
      <w:r w:rsidRPr="00666914">
        <w:rPr>
          <w:rFonts w:eastAsia="Times New Roman"/>
          <w:b/>
          <w:lang w:eastAsia="sk-SK"/>
        </w:rPr>
        <w:t>Zlúčenie NÚCŽV so ŠIOV k 30.6.2019</w:t>
      </w:r>
      <w:r w:rsidRPr="00666914">
        <w:rPr>
          <w:rStyle w:val="Odkaznapoznmkupodiarou"/>
          <w:rFonts w:eastAsia="Times New Roman"/>
          <w:lang w:eastAsia="sk-SK"/>
        </w:rPr>
        <w:footnoteReference w:id="236"/>
      </w:r>
      <w:r w:rsidRPr="00666914">
        <w:rPr>
          <w:rFonts w:eastAsia="Times New Roman"/>
          <w:b/>
          <w:lang w:eastAsia="sk-SK"/>
        </w:rPr>
        <w:t xml:space="preserve"> </w:t>
      </w:r>
      <w:r w:rsidR="007C602A" w:rsidRPr="00666914">
        <w:rPr>
          <w:rFonts w:eastAsia="Times New Roman"/>
          <w:b/>
          <w:lang w:eastAsia="sk-SK"/>
        </w:rPr>
        <w:t xml:space="preserve">neprispelo </w:t>
      </w:r>
      <w:r w:rsidRPr="00666914">
        <w:rPr>
          <w:rFonts w:eastAsia="Times New Roman"/>
          <w:b/>
          <w:lang w:eastAsia="sk-SK"/>
        </w:rPr>
        <w:t>k optimalizácii a efektívnejšiemu fungovaniu PRO v roku 2019.</w:t>
      </w:r>
      <w:r w:rsidRPr="00666914">
        <w:rPr>
          <w:rFonts w:eastAsia="Times New Roman"/>
          <w:lang w:eastAsia="sk-SK"/>
        </w:rPr>
        <w:t xml:space="preserve"> Kvôli navýšeniu rozpočtu NÚCŽV v roku 2019 na viac ako 1,5 násobok pôvodnej výšky (tabuľka </w:t>
      </w:r>
      <w:r w:rsidR="007C602A" w:rsidRPr="00666914">
        <w:rPr>
          <w:rFonts w:eastAsia="Times New Roman"/>
          <w:lang w:eastAsia="sk-SK"/>
        </w:rPr>
        <w:t>6</w:t>
      </w:r>
      <w:r w:rsidR="00EB2C64" w:rsidRPr="00666914">
        <w:rPr>
          <w:rFonts w:eastAsia="Times New Roman"/>
          <w:lang w:eastAsia="sk-SK"/>
        </w:rPr>
        <w:t>2</w:t>
      </w:r>
      <w:r w:rsidRPr="00666914">
        <w:rPr>
          <w:rFonts w:eastAsia="Times New Roman"/>
          <w:lang w:eastAsia="sk-SK"/>
        </w:rPr>
        <w:t>) a nevysporiadaným dlhodobým záväzkom vo výške 13,9 mil. eur</w:t>
      </w:r>
      <w:r w:rsidRPr="00666914">
        <w:rPr>
          <w:rStyle w:val="Odkaznapoznmkupodiarou"/>
          <w:rFonts w:eastAsia="Times New Roman"/>
          <w:lang w:eastAsia="sk-SK"/>
        </w:rPr>
        <w:footnoteReference w:id="237"/>
      </w:r>
      <w:r w:rsidRPr="00666914">
        <w:rPr>
          <w:rFonts w:eastAsia="Times New Roman"/>
          <w:lang w:eastAsia="sk-SK"/>
        </w:rPr>
        <w:t xml:space="preserve"> nedošlo do 12/2019 k žiadnej úspore. Napriek dátumu zostavenia mimoriadnej účtovnej závierky NÚCŽV dňa 15.7.2019, </w:t>
      </w:r>
      <w:r w:rsidR="007C602A" w:rsidRPr="00666914">
        <w:rPr>
          <w:rFonts w:eastAsia="Times New Roman"/>
          <w:lang w:eastAsia="sk-SK"/>
        </w:rPr>
        <w:t xml:space="preserve">bola </w:t>
      </w:r>
      <w:r w:rsidRPr="00666914">
        <w:rPr>
          <w:rFonts w:eastAsia="Times New Roman"/>
          <w:lang w:eastAsia="sk-SK"/>
        </w:rPr>
        <w:t>na stránke registra účtovných závierok zverejnená až 12.3.2020. Rezort IJ nepredložil ani kalkuláciu očakávaných prínosov zlúčenia a delimitačný protokol, ktorý definuje podrobný sumár celkových záväzkov prechádzajúcich na ŠIOV.</w:t>
      </w:r>
    </w:p>
    <w:tbl>
      <w:tblPr>
        <w:tblW w:w="5000" w:type="pct"/>
        <w:tblCellMar>
          <w:left w:w="70" w:type="dxa"/>
          <w:right w:w="70" w:type="dxa"/>
        </w:tblCellMar>
        <w:tblLook w:val="04A0" w:firstRow="1" w:lastRow="0" w:firstColumn="1" w:lastColumn="0" w:noHBand="0" w:noVBand="1"/>
      </w:tblPr>
      <w:tblGrid>
        <w:gridCol w:w="2895"/>
        <w:gridCol w:w="3308"/>
        <w:gridCol w:w="3011"/>
      </w:tblGrid>
      <w:tr w:rsidR="00E66F49" w:rsidRPr="00666914" w14:paraId="2B6441B7" w14:textId="77777777" w:rsidTr="00D27F91">
        <w:trPr>
          <w:trHeight w:val="300"/>
        </w:trPr>
        <w:tc>
          <w:tcPr>
            <w:tcW w:w="5000" w:type="pct"/>
            <w:gridSpan w:val="3"/>
            <w:tcBorders>
              <w:top w:val="nil"/>
              <w:left w:val="nil"/>
              <w:bottom w:val="single" w:sz="4" w:space="0" w:color="auto"/>
              <w:right w:val="nil"/>
            </w:tcBorders>
            <w:shd w:val="clear" w:color="auto" w:fill="auto"/>
            <w:noWrap/>
            <w:vAlign w:val="center"/>
            <w:hideMark/>
          </w:tcPr>
          <w:p w14:paraId="4EDDBB38" w14:textId="634D820A" w:rsidR="00E66F49" w:rsidRPr="00666914" w:rsidRDefault="00E66F49" w:rsidP="00D27F91">
            <w:pPr>
              <w:spacing w:after="0"/>
              <w:jc w:val="left"/>
              <w:rPr>
                <w:rFonts w:eastAsia="Times New Roman" w:cs="Calibri"/>
                <w:b/>
                <w:bCs/>
                <w:color w:val="000000"/>
                <w:sz w:val="20"/>
                <w:szCs w:val="20"/>
                <w:lang w:eastAsia="sk-SK"/>
              </w:rPr>
            </w:pPr>
            <w:bookmarkStart w:id="310" w:name="RANGE!A1"/>
            <w:bookmarkStart w:id="311" w:name="_Toc38447723"/>
            <w:r w:rsidRPr="00666914">
              <w:rPr>
                <w:rFonts w:eastAsia="Times New Roman" w:cs="Calibri"/>
                <w:b/>
                <w:bCs/>
                <w:color w:val="000000"/>
                <w:sz w:val="20"/>
                <w:szCs w:val="20"/>
                <w:lang w:eastAsia="sk-SK"/>
              </w:rPr>
              <w:t xml:space="preserve">Tabuľka </w:t>
            </w:r>
            <w:r w:rsidRPr="00666914">
              <w:rPr>
                <w:rFonts w:eastAsia="Times New Roman" w:cs="Calibri"/>
                <w:b/>
                <w:bCs/>
                <w:color w:val="000000"/>
                <w:sz w:val="20"/>
                <w:szCs w:val="20"/>
                <w:lang w:eastAsia="sk-SK"/>
              </w:rPr>
              <w:fldChar w:fldCharType="begin"/>
            </w:r>
            <w:r w:rsidRPr="00666914">
              <w:rPr>
                <w:rFonts w:eastAsia="Times New Roman" w:cs="Calibri"/>
                <w:b/>
                <w:bCs/>
                <w:color w:val="000000"/>
                <w:sz w:val="20"/>
                <w:szCs w:val="20"/>
                <w:lang w:eastAsia="sk-SK"/>
              </w:rPr>
              <w:instrText xml:space="preserve"> SEQ Tabuľka \* ARABIC \* MERGEFORMAT </w:instrText>
            </w:r>
            <w:r w:rsidRPr="00666914">
              <w:rPr>
                <w:rFonts w:eastAsia="Times New Roman" w:cs="Calibri"/>
                <w:b/>
                <w:bCs/>
                <w:color w:val="000000"/>
                <w:sz w:val="20"/>
                <w:szCs w:val="20"/>
                <w:lang w:eastAsia="sk-SK"/>
              </w:rPr>
              <w:fldChar w:fldCharType="separate"/>
            </w:r>
            <w:r w:rsidR="005A7304">
              <w:rPr>
                <w:rFonts w:eastAsia="Times New Roman" w:cs="Calibri"/>
                <w:b/>
                <w:bCs/>
                <w:noProof/>
                <w:color w:val="000000"/>
                <w:sz w:val="20"/>
                <w:szCs w:val="20"/>
                <w:lang w:eastAsia="sk-SK"/>
              </w:rPr>
              <w:t>62</w:t>
            </w:r>
            <w:r w:rsidRPr="00666914">
              <w:rPr>
                <w:rFonts w:eastAsia="Times New Roman" w:cs="Calibri"/>
                <w:b/>
                <w:bCs/>
                <w:color w:val="000000"/>
                <w:sz w:val="20"/>
                <w:szCs w:val="20"/>
                <w:lang w:eastAsia="sk-SK"/>
              </w:rPr>
              <w:fldChar w:fldCharType="end"/>
            </w:r>
            <w:r w:rsidRPr="00666914">
              <w:rPr>
                <w:rFonts w:eastAsia="Times New Roman" w:cs="Calibri"/>
                <w:b/>
                <w:bCs/>
                <w:color w:val="000000"/>
                <w:sz w:val="20"/>
                <w:szCs w:val="20"/>
                <w:lang w:eastAsia="sk-SK"/>
              </w:rPr>
              <w:t>: Rozpočet NÚCŽV z kapitoly MŠVVaŠ SR (v eur)</w:t>
            </w:r>
            <w:bookmarkEnd w:id="310"/>
            <w:bookmarkEnd w:id="311"/>
          </w:p>
        </w:tc>
      </w:tr>
      <w:tr w:rsidR="00E66F49" w:rsidRPr="00666914" w14:paraId="18D19E2D" w14:textId="77777777" w:rsidTr="00D27F91">
        <w:trPr>
          <w:trHeight w:val="300"/>
        </w:trPr>
        <w:tc>
          <w:tcPr>
            <w:tcW w:w="1571" w:type="pct"/>
            <w:tcBorders>
              <w:top w:val="nil"/>
              <w:left w:val="nil"/>
              <w:bottom w:val="single" w:sz="4" w:space="0" w:color="auto"/>
              <w:right w:val="nil"/>
            </w:tcBorders>
            <w:shd w:val="clear" w:color="auto" w:fill="auto"/>
            <w:noWrap/>
            <w:vAlign w:val="center"/>
            <w:hideMark/>
          </w:tcPr>
          <w:p w14:paraId="4039D250"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Schválený rozpočet 2019</w:t>
            </w:r>
          </w:p>
        </w:tc>
        <w:tc>
          <w:tcPr>
            <w:tcW w:w="1795" w:type="pct"/>
            <w:tcBorders>
              <w:top w:val="nil"/>
              <w:left w:val="nil"/>
              <w:bottom w:val="single" w:sz="4" w:space="0" w:color="auto"/>
              <w:right w:val="nil"/>
            </w:tcBorders>
            <w:shd w:val="clear" w:color="auto" w:fill="auto"/>
            <w:noWrap/>
            <w:vAlign w:val="center"/>
            <w:hideMark/>
          </w:tcPr>
          <w:p w14:paraId="05460FD2"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Odhad výdavkov k 30.6.2019</w:t>
            </w:r>
          </w:p>
        </w:tc>
        <w:tc>
          <w:tcPr>
            <w:tcW w:w="1634" w:type="pct"/>
            <w:tcBorders>
              <w:top w:val="nil"/>
              <w:left w:val="nil"/>
              <w:bottom w:val="single" w:sz="4" w:space="0" w:color="auto"/>
              <w:right w:val="nil"/>
            </w:tcBorders>
            <w:shd w:val="clear" w:color="auto" w:fill="auto"/>
            <w:noWrap/>
            <w:vAlign w:val="center"/>
            <w:hideMark/>
          </w:tcPr>
          <w:p w14:paraId="6BD9AD13"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Skutočnosť k 31.12.2019</w:t>
            </w:r>
            <w:r w:rsidRPr="00666914">
              <w:rPr>
                <w:rStyle w:val="Odkaznapoznmkupodiarou"/>
                <w:rFonts w:eastAsia="Times New Roman" w:cs="Calibri"/>
                <w:b/>
                <w:bCs/>
                <w:color w:val="000000"/>
                <w:sz w:val="20"/>
                <w:szCs w:val="20"/>
                <w:lang w:eastAsia="sk-SK"/>
              </w:rPr>
              <w:footnoteReference w:id="238"/>
            </w:r>
          </w:p>
        </w:tc>
      </w:tr>
      <w:tr w:rsidR="00E66F49" w:rsidRPr="00666914" w14:paraId="3B3C1BDE" w14:textId="77777777" w:rsidTr="00D27F91">
        <w:trPr>
          <w:trHeight w:val="300"/>
        </w:trPr>
        <w:tc>
          <w:tcPr>
            <w:tcW w:w="1571" w:type="pct"/>
            <w:tcBorders>
              <w:top w:val="nil"/>
              <w:left w:val="nil"/>
              <w:bottom w:val="single" w:sz="4" w:space="0" w:color="auto"/>
              <w:right w:val="nil"/>
            </w:tcBorders>
            <w:shd w:val="clear" w:color="auto" w:fill="auto"/>
            <w:noWrap/>
            <w:vAlign w:val="center"/>
            <w:hideMark/>
          </w:tcPr>
          <w:p w14:paraId="3CADE9F5"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301 407</w:t>
            </w:r>
          </w:p>
        </w:tc>
        <w:tc>
          <w:tcPr>
            <w:tcW w:w="1795" w:type="pct"/>
            <w:tcBorders>
              <w:top w:val="nil"/>
              <w:left w:val="nil"/>
              <w:bottom w:val="single" w:sz="4" w:space="0" w:color="auto"/>
              <w:right w:val="nil"/>
            </w:tcBorders>
            <w:shd w:val="clear" w:color="auto" w:fill="auto"/>
            <w:noWrap/>
            <w:vAlign w:val="center"/>
            <w:hideMark/>
          </w:tcPr>
          <w:p w14:paraId="76F52C06"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70 029</w:t>
            </w:r>
          </w:p>
        </w:tc>
        <w:tc>
          <w:tcPr>
            <w:tcW w:w="1634" w:type="pct"/>
            <w:tcBorders>
              <w:top w:val="nil"/>
              <w:left w:val="nil"/>
              <w:bottom w:val="single" w:sz="4" w:space="0" w:color="auto"/>
              <w:right w:val="nil"/>
            </w:tcBorders>
            <w:shd w:val="clear" w:color="auto" w:fill="auto"/>
            <w:noWrap/>
            <w:vAlign w:val="center"/>
            <w:hideMark/>
          </w:tcPr>
          <w:p w14:paraId="36A6E215"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492 137</w:t>
            </w:r>
          </w:p>
        </w:tc>
      </w:tr>
      <w:tr w:rsidR="00E66F49" w:rsidRPr="00666914" w14:paraId="79B1816E" w14:textId="77777777" w:rsidTr="00D27F91">
        <w:trPr>
          <w:trHeight w:val="300"/>
        </w:trPr>
        <w:tc>
          <w:tcPr>
            <w:tcW w:w="1571" w:type="pct"/>
            <w:tcBorders>
              <w:top w:val="nil"/>
              <w:left w:val="nil"/>
              <w:bottom w:val="nil"/>
              <w:right w:val="nil"/>
            </w:tcBorders>
            <w:shd w:val="clear" w:color="auto" w:fill="auto"/>
            <w:noWrap/>
            <w:vAlign w:val="bottom"/>
            <w:hideMark/>
          </w:tcPr>
          <w:p w14:paraId="0C05DE21" w14:textId="77777777" w:rsidR="00E66F49" w:rsidRPr="00666914" w:rsidRDefault="00E66F49" w:rsidP="00D27F91">
            <w:pPr>
              <w:spacing w:after="0"/>
              <w:jc w:val="center"/>
              <w:rPr>
                <w:rFonts w:eastAsia="Times New Roman" w:cs="Calibri"/>
                <w:b/>
                <w:bCs/>
                <w:color w:val="000000"/>
                <w:sz w:val="20"/>
                <w:szCs w:val="20"/>
                <w:lang w:eastAsia="sk-SK"/>
              </w:rPr>
            </w:pPr>
          </w:p>
        </w:tc>
        <w:tc>
          <w:tcPr>
            <w:tcW w:w="3429" w:type="pct"/>
            <w:gridSpan w:val="2"/>
            <w:tcBorders>
              <w:top w:val="nil"/>
              <w:left w:val="nil"/>
              <w:bottom w:val="nil"/>
              <w:right w:val="nil"/>
            </w:tcBorders>
            <w:shd w:val="clear" w:color="auto" w:fill="auto"/>
            <w:noWrap/>
            <w:vAlign w:val="center"/>
            <w:hideMark/>
          </w:tcPr>
          <w:p w14:paraId="58276098" w14:textId="0E1A8134" w:rsidR="00E66F49" w:rsidRPr="00666914" w:rsidRDefault="00E66F49" w:rsidP="007C602A">
            <w:pPr>
              <w:spacing w:after="0"/>
              <w:jc w:val="right"/>
              <w:rPr>
                <w:rFonts w:eastAsia="Times New Roman" w:cs="Calibri"/>
                <w:i/>
                <w:iCs/>
                <w:color w:val="000000"/>
                <w:sz w:val="18"/>
                <w:szCs w:val="18"/>
                <w:lang w:eastAsia="sk-SK"/>
              </w:rPr>
            </w:pPr>
            <w:r w:rsidRPr="00666914">
              <w:rPr>
                <w:rFonts w:eastAsia="Times New Roman" w:cs="Calibri"/>
                <w:i/>
                <w:iCs/>
                <w:color w:val="000000"/>
                <w:sz w:val="18"/>
                <w:szCs w:val="18"/>
                <w:lang w:eastAsia="sk-SK"/>
              </w:rPr>
              <w:t>Zdroj: RIS (Rozpočtový informačný systém)</w:t>
            </w:r>
          </w:p>
        </w:tc>
      </w:tr>
    </w:tbl>
    <w:p w14:paraId="29BF4D7A" w14:textId="77777777" w:rsidR="00E66F49" w:rsidRPr="00666914" w:rsidRDefault="00E66F49" w:rsidP="000661EC">
      <w:pPr>
        <w:spacing w:after="0"/>
        <w:rPr>
          <w:rFonts w:eastAsia="Times New Roman"/>
          <w:b/>
          <w:lang w:eastAsia="sk-SK"/>
        </w:rPr>
      </w:pPr>
    </w:p>
    <w:p w14:paraId="2B0C062E" w14:textId="71C06EDF" w:rsidR="00E66F49" w:rsidRPr="00666914" w:rsidRDefault="00E66F49" w:rsidP="000661EC">
      <w:pPr>
        <w:spacing w:after="0"/>
        <w:rPr>
          <w:rFonts w:eastAsia="Times New Roman"/>
          <w:lang w:eastAsia="sk-SK"/>
        </w:rPr>
      </w:pPr>
      <w:r w:rsidRPr="00666914">
        <w:rPr>
          <w:rFonts w:eastAsia="Times New Roman"/>
          <w:b/>
          <w:lang w:eastAsia="sk-SK"/>
        </w:rPr>
        <w:t xml:space="preserve">Stratégia zlučovania PRO a ich efektívnejšieho fungovania nie je stále známa, centrálne obstarávanie vybraných komodít sa zatiaľ neuskutočnilo. Budúce prínosy zlúčenia NÚCŽV so ŠIOV rezort do 12/2019 nevyčíslil, žiadna úspora </w:t>
      </w:r>
      <w:r w:rsidR="007C602A" w:rsidRPr="00666914">
        <w:rPr>
          <w:rFonts w:eastAsia="Times New Roman"/>
          <w:b/>
          <w:lang w:eastAsia="sk-SK"/>
        </w:rPr>
        <w:t xml:space="preserve">nebola </w:t>
      </w:r>
      <w:r w:rsidRPr="00666914">
        <w:rPr>
          <w:rFonts w:eastAsia="Times New Roman"/>
          <w:b/>
          <w:lang w:eastAsia="sk-SK"/>
        </w:rPr>
        <w:t xml:space="preserve">zatiaľ dosiahnutá. </w:t>
      </w:r>
      <w:r w:rsidRPr="00666914">
        <w:rPr>
          <w:rFonts w:eastAsia="Times New Roman"/>
          <w:lang w:eastAsia="sk-SK"/>
        </w:rPr>
        <w:t>Začiatkom roka 2020 vznikla naopak ďalšia spoločnosť NŠ a.s.</w:t>
      </w:r>
      <w:r w:rsidRPr="00666914">
        <w:rPr>
          <w:rStyle w:val="Odkaznapoznmkupodiarou"/>
          <w:rFonts w:eastAsia="Times New Roman"/>
          <w:lang w:eastAsia="sk-SK"/>
        </w:rPr>
        <w:footnoteReference w:id="239"/>
      </w:r>
      <w:r w:rsidRPr="00666914">
        <w:rPr>
          <w:rFonts w:eastAsia="Times New Roman"/>
          <w:lang w:eastAsia="sk-SK"/>
        </w:rPr>
        <w:t>, ktorej plánované výdavky neboli počas prípravy SIS 2019 známe.</w:t>
      </w:r>
    </w:p>
    <w:p w14:paraId="0755E9C8" w14:textId="77777777" w:rsidR="00E66F49" w:rsidRPr="00666914" w:rsidRDefault="00E66F49" w:rsidP="00D27F91">
      <w:pPr>
        <w:spacing w:after="0"/>
        <w:rPr>
          <w:rFonts w:eastAsia="Times New Roman"/>
          <w:lang w:eastAsia="sk-SK"/>
        </w:rPr>
      </w:pPr>
    </w:p>
    <w:p w14:paraId="05F653AF" w14:textId="77777777" w:rsidR="00E66F49" w:rsidRPr="00666914" w:rsidRDefault="00E66F49" w:rsidP="00D27F91">
      <w:pPr>
        <w:spacing w:after="0"/>
        <w:rPr>
          <w:rFonts w:eastAsia="Times New Roman"/>
          <w:color w:val="833C0B" w:themeColor="accent2" w:themeShade="80"/>
          <w:highlight w:val="yellow"/>
          <w:lang w:eastAsia="sk-SK"/>
        </w:rPr>
      </w:pPr>
      <w:r w:rsidRPr="00666914">
        <w:rPr>
          <w:rFonts w:eastAsia="Times New Roman"/>
          <w:b/>
          <w:lang w:eastAsia="sk-SK"/>
        </w:rPr>
        <w:t xml:space="preserve">Opatrenie sa k 31.12.2019 neplní. </w:t>
      </w:r>
    </w:p>
    <w:p w14:paraId="55F512A0" w14:textId="77777777" w:rsidR="00E66F49" w:rsidRPr="00666914" w:rsidRDefault="00E66F49" w:rsidP="00D27F91">
      <w:pPr>
        <w:spacing w:after="0"/>
        <w:rPr>
          <w:rFonts w:eastAsia="Times New Roman"/>
          <w:color w:val="833C0B" w:themeColor="accent2" w:themeShade="80"/>
          <w:lang w:eastAsia="sk-SK"/>
        </w:rPr>
      </w:pPr>
    </w:p>
    <w:p w14:paraId="35D86ADA" w14:textId="77777777" w:rsidR="00E66F49" w:rsidRPr="00666914" w:rsidRDefault="00E66F49" w:rsidP="00D27F91">
      <w:pPr>
        <w:spacing w:after="0"/>
        <w:rPr>
          <w:rFonts w:eastAsia="Times New Roman"/>
          <w:lang w:eastAsia="sk-SK"/>
        </w:rPr>
      </w:pPr>
      <w:r w:rsidRPr="00666914">
        <w:rPr>
          <w:rFonts w:cstheme="minorHAnsi"/>
          <w:b/>
        </w:rPr>
        <w:t>Odporúčanie IJ:</w:t>
      </w:r>
      <w:r w:rsidRPr="00666914">
        <w:rPr>
          <w:rFonts w:cstheme="minorHAnsi"/>
        </w:rPr>
        <w:t xml:space="preserve"> </w:t>
      </w:r>
      <w:r w:rsidRPr="00666914">
        <w:rPr>
          <w:rFonts w:eastAsia="Times New Roman"/>
          <w:lang w:eastAsia="sk-SK"/>
        </w:rPr>
        <w:t xml:space="preserve">Vypracovať a zverejniť záverečné vyhodnotenie kontraktov za rok 2019, vrátane prínosov samotných kvartálnych odpočtov úloh PRO. Pripraviť plán ďalších krokov vedúcich k zefektívňovaniu fungovania PRO (napr. centralizáciou podporných činností rezortu). </w:t>
      </w:r>
      <w:r w:rsidRPr="00666914">
        <w:rPr>
          <w:rFonts w:cstheme="minorHAnsi"/>
        </w:rPr>
        <w:t xml:space="preserve">Predložiť IJ delimitačný protokol NÚCŽV a </w:t>
      </w:r>
      <w:r w:rsidRPr="00666914">
        <w:rPr>
          <w:rFonts w:eastAsia="Times New Roman"/>
          <w:lang w:eastAsia="sk-SK"/>
        </w:rPr>
        <w:t xml:space="preserve">kalkuláciu očakávaných budúcich prínosov zlúčenia so ŠIOV. </w:t>
      </w:r>
    </w:p>
    <w:p w14:paraId="4A880828" w14:textId="77777777" w:rsidR="00E66F49" w:rsidRPr="00666914" w:rsidRDefault="00E66F49" w:rsidP="00D27F91">
      <w:pPr>
        <w:spacing w:after="0"/>
        <w:jc w:val="left"/>
        <w:rPr>
          <w:color w:val="FF0000"/>
        </w:rPr>
      </w:pPr>
    </w:p>
    <w:p w14:paraId="5FADD400" w14:textId="77777777" w:rsidR="00E66F49" w:rsidRPr="00666914" w:rsidRDefault="00E66F49" w:rsidP="00E66F49">
      <w:pPr>
        <w:pStyle w:val="Nadpis2"/>
        <w:spacing w:line="240" w:lineRule="auto"/>
        <w:ind w:left="1070"/>
      </w:pPr>
      <w:bookmarkStart w:id="312" w:name="_Toc6321908"/>
      <w:bookmarkStart w:id="313" w:name="_Toc38447607"/>
      <w:r w:rsidRPr="00666914">
        <w:lastRenderedPageBreak/>
        <w:t>Dáta a analýza</w:t>
      </w:r>
      <w:bookmarkEnd w:id="312"/>
      <w:bookmarkEnd w:id="313"/>
    </w:p>
    <w:tbl>
      <w:tblPr>
        <w:tblW w:w="53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
        <w:gridCol w:w="3408"/>
        <w:gridCol w:w="1473"/>
        <w:gridCol w:w="1031"/>
        <w:gridCol w:w="1176"/>
        <w:gridCol w:w="608"/>
        <w:gridCol w:w="608"/>
        <w:gridCol w:w="608"/>
        <w:gridCol w:w="606"/>
      </w:tblGrid>
      <w:tr w:rsidR="00E66F49" w:rsidRPr="00666914" w14:paraId="7D10F326" w14:textId="77777777" w:rsidTr="005D5FE5">
        <w:trPr>
          <w:trHeight w:val="316"/>
          <w:tblHeader/>
        </w:trPr>
        <w:tc>
          <w:tcPr>
            <w:tcW w:w="207" w:type="pct"/>
            <w:shd w:val="clear" w:color="auto" w:fill="auto"/>
            <w:noWrap/>
            <w:vAlign w:val="center"/>
            <w:hideMark/>
          </w:tcPr>
          <w:p w14:paraId="2AAAEC4D" w14:textId="77777777" w:rsidR="00E66F49" w:rsidRPr="00666914" w:rsidRDefault="00E66F49" w:rsidP="00D27F91">
            <w:pPr>
              <w:spacing w:after="0"/>
              <w:jc w:val="center"/>
              <w:rPr>
                <w:rFonts w:eastAsia="Times New Roman"/>
                <w:b/>
                <w:bCs/>
                <w:color w:val="000000"/>
                <w:sz w:val="20"/>
                <w:szCs w:val="20"/>
                <w:lang w:eastAsia="sk-SK"/>
              </w:rPr>
            </w:pPr>
          </w:p>
        </w:tc>
        <w:tc>
          <w:tcPr>
            <w:tcW w:w="1716" w:type="pct"/>
            <w:shd w:val="clear" w:color="auto" w:fill="auto"/>
            <w:noWrap/>
            <w:vAlign w:val="center"/>
            <w:hideMark/>
          </w:tcPr>
          <w:p w14:paraId="7A3819D0"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VZDELÁVANIE</w:t>
            </w:r>
          </w:p>
        </w:tc>
        <w:tc>
          <w:tcPr>
            <w:tcW w:w="742" w:type="pct"/>
            <w:shd w:val="clear" w:color="auto" w:fill="auto"/>
            <w:noWrap/>
            <w:vAlign w:val="center"/>
            <w:hideMark/>
          </w:tcPr>
          <w:p w14:paraId="55434A94"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Zodpovednosť</w:t>
            </w:r>
          </w:p>
        </w:tc>
        <w:tc>
          <w:tcPr>
            <w:tcW w:w="519" w:type="pct"/>
            <w:shd w:val="clear" w:color="auto" w:fill="auto"/>
            <w:noWrap/>
            <w:vAlign w:val="center"/>
            <w:hideMark/>
          </w:tcPr>
          <w:p w14:paraId="11910016"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Termín plnenia</w:t>
            </w:r>
          </w:p>
        </w:tc>
        <w:tc>
          <w:tcPr>
            <w:tcW w:w="592" w:type="pct"/>
            <w:vAlign w:val="center"/>
          </w:tcPr>
          <w:p w14:paraId="02BD0A30" w14:textId="3B8484DD" w:rsidR="00E66F49" w:rsidRPr="00666914" w:rsidRDefault="00E66F49" w:rsidP="00AE282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Nový termín plnenia</w:t>
            </w:r>
          </w:p>
        </w:tc>
        <w:tc>
          <w:tcPr>
            <w:tcW w:w="306" w:type="pct"/>
            <w:shd w:val="clear" w:color="auto" w:fill="auto"/>
            <w:noWrap/>
            <w:vAlign w:val="center"/>
            <w:hideMark/>
          </w:tcPr>
          <w:p w14:paraId="293C7DC6"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1Q 2019</w:t>
            </w:r>
          </w:p>
        </w:tc>
        <w:tc>
          <w:tcPr>
            <w:tcW w:w="306" w:type="pct"/>
            <w:shd w:val="clear" w:color="auto" w:fill="auto"/>
            <w:noWrap/>
            <w:vAlign w:val="center"/>
            <w:hideMark/>
          </w:tcPr>
          <w:p w14:paraId="10B1E077"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2Q 2019</w:t>
            </w:r>
          </w:p>
        </w:tc>
        <w:tc>
          <w:tcPr>
            <w:tcW w:w="306" w:type="pct"/>
            <w:shd w:val="clear" w:color="auto" w:fill="auto"/>
            <w:noWrap/>
            <w:vAlign w:val="center"/>
            <w:hideMark/>
          </w:tcPr>
          <w:p w14:paraId="12FCDCF2"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3Q 2019</w:t>
            </w:r>
          </w:p>
        </w:tc>
        <w:tc>
          <w:tcPr>
            <w:tcW w:w="305" w:type="pct"/>
            <w:shd w:val="clear" w:color="auto" w:fill="auto"/>
            <w:noWrap/>
            <w:vAlign w:val="center"/>
            <w:hideMark/>
          </w:tcPr>
          <w:p w14:paraId="09B4EDBC" w14:textId="77777777" w:rsidR="00E66F49" w:rsidRPr="00666914" w:rsidRDefault="00E66F49" w:rsidP="00D27F91">
            <w:pPr>
              <w:spacing w:after="0"/>
              <w:jc w:val="center"/>
              <w:rPr>
                <w:rFonts w:eastAsia="Times New Roman"/>
                <w:b/>
                <w:bCs/>
                <w:color w:val="000000"/>
                <w:sz w:val="20"/>
                <w:szCs w:val="20"/>
                <w:lang w:eastAsia="sk-SK"/>
              </w:rPr>
            </w:pPr>
            <w:r w:rsidRPr="00666914">
              <w:rPr>
                <w:rFonts w:eastAsia="Times New Roman"/>
                <w:b/>
                <w:bCs/>
                <w:color w:val="000000"/>
                <w:sz w:val="20"/>
                <w:szCs w:val="20"/>
                <w:lang w:eastAsia="sk-SK"/>
              </w:rPr>
              <w:t>4Q 2019</w:t>
            </w:r>
          </w:p>
        </w:tc>
      </w:tr>
      <w:tr w:rsidR="00E66F49" w:rsidRPr="00666914" w14:paraId="06D3BE2C" w14:textId="77777777" w:rsidTr="005D5FE5">
        <w:trPr>
          <w:trHeight w:val="287"/>
        </w:trPr>
        <w:tc>
          <w:tcPr>
            <w:tcW w:w="207" w:type="pct"/>
            <w:shd w:val="clear" w:color="auto" w:fill="auto"/>
            <w:vAlign w:val="center"/>
            <w:hideMark/>
          </w:tcPr>
          <w:p w14:paraId="65B62821"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25</w:t>
            </w:r>
          </w:p>
        </w:tc>
        <w:tc>
          <w:tcPr>
            <w:tcW w:w="1716" w:type="pct"/>
            <w:shd w:val="clear" w:color="auto" w:fill="auto"/>
            <w:vAlign w:val="center"/>
          </w:tcPr>
          <w:p w14:paraId="182E6391" w14:textId="77777777" w:rsidR="00E66F49" w:rsidRPr="00666914" w:rsidRDefault="00E66F49" w:rsidP="00D27F91">
            <w:pPr>
              <w:spacing w:after="0"/>
              <w:jc w:val="left"/>
              <w:rPr>
                <w:rFonts w:eastAsia="Times New Roman"/>
                <w:color w:val="000000"/>
                <w:sz w:val="20"/>
                <w:szCs w:val="20"/>
                <w:lang w:eastAsia="sk-SK"/>
              </w:rPr>
            </w:pPr>
            <w:r w:rsidRPr="00666914">
              <w:rPr>
                <w:rFonts w:eastAsia="Times New Roman"/>
                <w:color w:val="000000"/>
                <w:sz w:val="20"/>
                <w:szCs w:val="20"/>
                <w:lang w:eastAsia="sk-SK"/>
              </w:rPr>
              <w:t>Zabezpečiť prepojenie administratívnych databáz o absolventoch stredných a vysokých škôl a pripraviť a realizovať absolventské a zamestnávateľské prieskumy</w:t>
            </w:r>
          </w:p>
        </w:tc>
        <w:tc>
          <w:tcPr>
            <w:tcW w:w="742" w:type="pct"/>
            <w:shd w:val="clear" w:color="auto" w:fill="auto"/>
            <w:vAlign w:val="center"/>
          </w:tcPr>
          <w:p w14:paraId="46AE6287"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 xml:space="preserve">MŠVVaŠ SR, SP, MPSVR SR </w:t>
            </w:r>
          </w:p>
        </w:tc>
        <w:tc>
          <w:tcPr>
            <w:tcW w:w="519" w:type="pct"/>
            <w:shd w:val="clear" w:color="auto" w:fill="auto"/>
            <w:vAlign w:val="center"/>
          </w:tcPr>
          <w:p w14:paraId="2B06BF5E"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01/2019</w:t>
            </w:r>
          </w:p>
        </w:tc>
        <w:tc>
          <w:tcPr>
            <w:tcW w:w="592" w:type="pct"/>
            <w:vAlign w:val="center"/>
          </w:tcPr>
          <w:p w14:paraId="3CE84952" w14:textId="77777777" w:rsidR="00E66F49" w:rsidRPr="00666914" w:rsidRDefault="00E66F49" w:rsidP="00D27F91">
            <w:pPr>
              <w:spacing w:after="0"/>
              <w:jc w:val="center"/>
              <w:rPr>
                <w:rFonts w:eastAsia="Times New Roman"/>
                <w:color w:val="000000"/>
                <w:sz w:val="20"/>
                <w:szCs w:val="20"/>
                <w:lang w:eastAsia="sk-SK"/>
              </w:rPr>
            </w:pPr>
            <w:r w:rsidRPr="00666914">
              <w:rPr>
                <w:rFonts w:eastAsia="Times New Roman"/>
                <w:color w:val="000000"/>
                <w:sz w:val="20"/>
                <w:szCs w:val="20"/>
                <w:lang w:eastAsia="sk-SK"/>
              </w:rPr>
              <w:t>-</w:t>
            </w:r>
          </w:p>
        </w:tc>
        <w:tc>
          <w:tcPr>
            <w:tcW w:w="306" w:type="pct"/>
            <w:shd w:val="clear" w:color="auto" w:fill="FF0000"/>
            <w:noWrap/>
            <w:vAlign w:val="bottom"/>
            <w:hideMark/>
          </w:tcPr>
          <w:p w14:paraId="3651B644"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0000"/>
            <w:noWrap/>
            <w:vAlign w:val="bottom"/>
            <w:hideMark/>
          </w:tcPr>
          <w:p w14:paraId="77CA229F"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6" w:type="pct"/>
            <w:shd w:val="clear" w:color="auto" w:fill="FF0000"/>
            <w:noWrap/>
            <w:vAlign w:val="bottom"/>
            <w:hideMark/>
          </w:tcPr>
          <w:p w14:paraId="209F1863"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c>
          <w:tcPr>
            <w:tcW w:w="305" w:type="pct"/>
            <w:shd w:val="clear" w:color="auto" w:fill="FFC000"/>
            <w:noWrap/>
            <w:vAlign w:val="bottom"/>
            <w:hideMark/>
          </w:tcPr>
          <w:p w14:paraId="127753BA" w14:textId="77777777" w:rsidR="00E66F49" w:rsidRPr="00666914" w:rsidRDefault="00E66F49" w:rsidP="00D27F91">
            <w:pPr>
              <w:spacing w:after="0"/>
              <w:rPr>
                <w:rFonts w:eastAsia="Times New Roman"/>
                <w:color w:val="000000"/>
                <w:sz w:val="20"/>
                <w:szCs w:val="20"/>
                <w:lang w:eastAsia="sk-SK"/>
              </w:rPr>
            </w:pPr>
            <w:r w:rsidRPr="00666914">
              <w:rPr>
                <w:rFonts w:eastAsia="Times New Roman"/>
                <w:color w:val="000000"/>
                <w:sz w:val="20"/>
                <w:szCs w:val="20"/>
                <w:lang w:eastAsia="sk-SK"/>
              </w:rPr>
              <w:t> </w:t>
            </w:r>
          </w:p>
        </w:tc>
      </w:tr>
    </w:tbl>
    <w:p w14:paraId="043348EC" w14:textId="77777777" w:rsidR="00E66F49" w:rsidRPr="00666914" w:rsidRDefault="00E66F49" w:rsidP="00D27F91">
      <w:pPr>
        <w:spacing w:after="0"/>
        <w:jc w:val="left"/>
        <w:rPr>
          <w:b/>
          <w:u w:val="single"/>
        </w:rPr>
      </w:pPr>
    </w:p>
    <w:p w14:paraId="3E813C48" w14:textId="77777777" w:rsidR="00E66F49" w:rsidRPr="00666914" w:rsidRDefault="00E66F49" w:rsidP="00E66F49">
      <w:pPr>
        <w:pStyle w:val="Odsekzoznamu"/>
        <w:numPr>
          <w:ilvl w:val="0"/>
          <w:numId w:val="2"/>
        </w:numPr>
        <w:jc w:val="left"/>
        <w:rPr>
          <w:b/>
          <w:u w:val="single"/>
        </w:rPr>
      </w:pPr>
      <w:r w:rsidRPr="00666914">
        <w:rPr>
          <w:b/>
          <w:u w:val="single"/>
        </w:rPr>
        <w:t>Zabezpečiť prepojenie administratívnych databáz o absolventoch stredných a vysokých škôl a pripraviť a realizovať absolventské a zamestnávateľské prieskumy</w:t>
      </w:r>
    </w:p>
    <w:p w14:paraId="7EF278FC" w14:textId="77777777" w:rsidR="00E66F49" w:rsidRPr="00666914" w:rsidRDefault="00E66F49" w:rsidP="00D27F91">
      <w:pPr>
        <w:pStyle w:val="Odsekzoznamu"/>
        <w:spacing w:after="0"/>
        <w:jc w:val="left"/>
        <w:rPr>
          <w:b/>
          <w:u w:val="single"/>
        </w:rPr>
      </w:pPr>
    </w:p>
    <w:p w14:paraId="37184BCA" w14:textId="55624594" w:rsidR="00E66F49" w:rsidRPr="00666914" w:rsidRDefault="00E66F49" w:rsidP="00D27F91">
      <w:r w:rsidRPr="00666914">
        <w:t>Počas roka 2019 boli na základe spolupráce MŠVVaŠ SR a Cedefop (Európskeho centra pre rozvoj odborného vzdelávania) vypracované návrhy dátovej infraštruktúry nastavenia systému riadenia zručností na trhu práce. Konkrétne výstupy rezort ani počas prípravy SIS 2019 IJ nezaslal.</w:t>
      </w:r>
    </w:p>
    <w:p w14:paraId="3A20621E" w14:textId="6394F473" w:rsidR="00E66F49" w:rsidRPr="00666914" w:rsidRDefault="00E66F49" w:rsidP="00D27F91">
      <w:r w:rsidRPr="00666914">
        <w:rPr>
          <w:b/>
        </w:rPr>
        <w:t xml:space="preserve">Na základe </w:t>
      </w:r>
      <w:r w:rsidRPr="00666914">
        <w:rPr>
          <w:b/>
          <w:i/>
        </w:rPr>
        <w:t>Rámcovej dohody o poskytovaní údajov z informačných systémov</w:t>
      </w:r>
      <w:r w:rsidRPr="00666914">
        <w:rPr>
          <w:rStyle w:val="Odkaznapoznmkupodiarou"/>
          <w:b/>
        </w:rPr>
        <w:footnoteReference w:id="240"/>
      </w:r>
      <w:r w:rsidR="00343A0E" w:rsidRPr="00666914">
        <w:rPr>
          <w:b/>
          <w:i/>
        </w:rPr>
        <w:t>,</w:t>
      </w:r>
      <w:r w:rsidRPr="00666914">
        <w:rPr>
          <w:b/>
          <w:i/>
        </w:rPr>
        <w:t xml:space="preserve"> </w:t>
      </w:r>
      <w:r w:rsidRPr="00666914">
        <w:rPr>
          <w:b/>
        </w:rPr>
        <w:t>zverejnenej v 08/2019</w:t>
      </w:r>
      <w:r w:rsidR="00343A0E" w:rsidRPr="00666914">
        <w:rPr>
          <w:b/>
        </w:rPr>
        <w:t>,</w:t>
      </w:r>
      <w:r w:rsidRPr="00666914">
        <w:rPr>
          <w:b/>
        </w:rPr>
        <w:t xml:space="preserve"> sa uskutočnilo prepojenie databáz o absolventoch SŠ</w:t>
      </w:r>
      <w:r w:rsidRPr="00666914">
        <w:rPr>
          <w:rStyle w:val="Odkaznapoznmkupodiarou"/>
          <w:b/>
        </w:rPr>
        <w:footnoteReference w:id="241"/>
      </w:r>
      <w:r w:rsidRPr="00666914">
        <w:rPr>
          <w:b/>
        </w:rPr>
        <w:t xml:space="preserve"> a VŠ</w:t>
      </w:r>
      <w:r w:rsidRPr="00666914">
        <w:rPr>
          <w:rStyle w:val="Odkaznapoznmkupodiarou"/>
          <w:b/>
        </w:rPr>
        <w:footnoteReference w:id="242"/>
      </w:r>
      <w:r w:rsidRPr="00666914">
        <w:rPr>
          <w:b/>
          <w:i/>
        </w:rPr>
        <w:t>.</w:t>
      </w:r>
      <w:r w:rsidRPr="00666914">
        <w:rPr>
          <w:i/>
        </w:rPr>
        <w:t xml:space="preserve"> </w:t>
      </w:r>
      <w:r w:rsidRPr="00666914">
        <w:t>Údaje o absolventoch ŠŠ využilo MŠVVaŠ SR a samosprávne kraje pri vyhodnotení kritérií na určovanie najvyššieho počtu žiakov 1. ročníka SŠ pre školský rok 2020/2021</w:t>
      </w:r>
      <w:r w:rsidRPr="00666914">
        <w:rPr>
          <w:rStyle w:val="Odkaznapoznmkupodiarou"/>
        </w:rPr>
        <w:footnoteReference w:id="243"/>
      </w:r>
      <w:r w:rsidRPr="00666914">
        <w:t>. Koncom roka 2019 sa zrealizovalo aj prepojenie údajov o absolventoch VŠ, školy majú dostupné údaje o absolventoch, vedených v registri uchádzačov o zamestnanie. Ministerstvo využilo tieto údaje pri príprave rozpisu dotácií verejným vysokým školám na rok 2020</w:t>
      </w:r>
      <w:r w:rsidRPr="00666914">
        <w:rPr>
          <w:rStyle w:val="Odkaznapoznmkupodiarou"/>
        </w:rPr>
        <w:footnoteReference w:id="244"/>
      </w:r>
      <w:r w:rsidRPr="00666914">
        <w:t>.</w:t>
      </w:r>
    </w:p>
    <w:p w14:paraId="0760FBA8" w14:textId="77777777" w:rsidR="00E66F49" w:rsidRPr="00666914" w:rsidRDefault="00E66F49" w:rsidP="00D27F91">
      <w:pPr>
        <w:rPr>
          <w:b/>
        </w:rPr>
      </w:pPr>
      <w:r w:rsidRPr="00666914">
        <w:rPr>
          <w:b/>
        </w:rPr>
        <w:t>Absolventské a zamestnávateľské prieskumy</w:t>
      </w:r>
    </w:p>
    <w:p w14:paraId="2EA31EF2" w14:textId="1E3F9A36" w:rsidR="00E66F49" w:rsidRPr="00666914" w:rsidRDefault="00E66F49" w:rsidP="00D27F91">
      <w:pPr>
        <w:pStyle w:val="Obyajntext"/>
        <w:jc w:val="both"/>
        <w:rPr>
          <w:rFonts w:ascii="Arial Narrow" w:hAnsi="Arial Narrow"/>
          <w:szCs w:val="22"/>
        </w:rPr>
      </w:pPr>
      <w:r w:rsidRPr="00666914">
        <w:rPr>
          <w:rFonts w:ascii="Arial Narrow" w:hAnsi="Arial Narrow"/>
          <w:szCs w:val="22"/>
        </w:rPr>
        <w:t xml:space="preserve">Počas 1H2019 pripravovalo CVTI realizáciu </w:t>
      </w:r>
      <w:r w:rsidRPr="00666914">
        <w:rPr>
          <w:rFonts w:ascii="Arial Narrow" w:hAnsi="Arial Narrow"/>
          <w:b/>
          <w:szCs w:val="22"/>
        </w:rPr>
        <w:t>prieskumu o uplatnení absolventov VŠ</w:t>
      </w:r>
      <w:r w:rsidRPr="00666914">
        <w:rPr>
          <w:rFonts w:ascii="Arial Narrow" w:hAnsi="Arial Narrow"/>
          <w:szCs w:val="22"/>
        </w:rPr>
        <w:t xml:space="preserve"> na trhu práce, zber údajov bol spustený v 11/2019</w:t>
      </w:r>
      <w:r w:rsidRPr="00666914">
        <w:rPr>
          <w:rStyle w:val="Odkaznapoznmkupodiarou"/>
          <w:rFonts w:ascii="Arial Narrow" w:hAnsi="Arial Narrow"/>
          <w:szCs w:val="22"/>
        </w:rPr>
        <w:footnoteReference w:id="245"/>
      </w:r>
      <w:r w:rsidRPr="00666914">
        <w:rPr>
          <w:rFonts w:ascii="Arial Narrow" w:hAnsi="Arial Narrow"/>
          <w:szCs w:val="22"/>
        </w:rPr>
        <w:t xml:space="preserve">. Cieľom je zistiť podmienky a možnosti uplatnenia absolventov ako aj zmapovať potreby a bariéry ich zamestnávania z pohľadu zamestnávateľov. V rámci projektu sa bude okrem prieskumu na absolventoch VŠ realizovať aj </w:t>
      </w:r>
      <w:r w:rsidRPr="00666914">
        <w:rPr>
          <w:rFonts w:ascii="Arial Narrow" w:hAnsi="Arial Narrow"/>
          <w:b/>
          <w:szCs w:val="22"/>
        </w:rPr>
        <w:t>zamestnávateľský prieskum</w:t>
      </w:r>
      <w:r w:rsidRPr="00666914">
        <w:rPr>
          <w:rFonts w:ascii="Arial Narrow" w:hAnsi="Arial Narrow"/>
          <w:szCs w:val="22"/>
        </w:rPr>
        <w:t>.</w:t>
      </w:r>
    </w:p>
    <w:p w14:paraId="42E6E542" w14:textId="7697A4DE" w:rsidR="00E66F49" w:rsidRPr="00666914" w:rsidRDefault="00E66F49" w:rsidP="00D27F91">
      <w:pPr>
        <w:pStyle w:val="Obyajntext"/>
        <w:jc w:val="both"/>
        <w:rPr>
          <w:rFonts w:ascii="Arial Narrow" w:hAnsi="Arial Narrow"/>
          <w:szCs w:val="22"/>
        </w:rPr>
      </w:pPr>
      <w:r w:rsidRPr="00666914">
        <w:rPr>
          <w:rFonts w:ascii="Arial Narrow" w:hAnsi="Arial Narrow"/>
          <w:szCs w:val="22"/>
        </w:rPr>
        <w:t>Pôvodne vypracovaný projektový zámer CVTI z roku 2018</w:t>
      </w:r>
      <w:r w:rsidRPr="00666914">
        <w:rPr>
          <w:rStyle w:val="Odkaznapoznmkupodiarou"/>
          <w:rFonts w:ascii="Arial Narrow" w:hAnsi="Arial Narrow"/>
          <w:szCs w:val="22"/>
        </w:rPr>
        <w:footnoteReference w:id="246"/>
      </w:r>
      <w:r w:rsidRPr="00666914">
        <w:rPr>
          <w:rFonts w:ascii="Arial Narrow" w:hAnsi="Arial Narrow"/>
          <w:szCs w:val="22"/>
        </w:rPr>
        <w:t xml:space="preserve"> mal nastaviť aj pravidelný </w:t>
      </w:r>
      <w:r w:rsidRPr="00666914">
        <w:rPr>
          <w:rFonts w:ascii="Arial Narrow" w:hAnsi="Arial Narrow"/>
          <w:b/>
          <w:szCs w:val="22"/>
        </w:rPr>
        <w:t>monitoring o uplatnení absolventov SŠ</w:t>
      </w:r>
      <w:r w:rsidRPr="00666914">
        <w:rPr>
          <w:rFonts w:ascii="Arial Narrow" w:hAnsi="Arial Narrow"/>
          <w:szCs w:val="22"/>
        </w:rPr>
        <w:t>. Do 12/2019 sa však nezrealizoval.</w:t>
      </w:r>
    </w:p>
    <w:p w14:paraId="2EF5E96C" w14:textId="77777777" w:rsidR="00E66F49" w:rsidRPr="00666914" w:rsidRDefault="00E66F49" w:rsidP="00D27F91">
      <w:pPr>
        <w:pStyle w:val="Obyajntext"/>
        <w:jc w:val="both"/>
        <w:rPr>
          <w:rFonts w:ascii="Arial Narrow" w:hAnsi="Arial Narrow"/>
          <w:szCs w:val="22"/>
        </w:rPr>
      </w:pPr>
    </w:p>
    <w:p w14:paraId="2B08A2E9" w14:textId="5315A694" w:rsidR="000661EC" w:rsidRPr="00666914" w:rsidRDefault="00E66F49" w:rsidP="00D27F91">
      <w:pPr>
        <w:pStyle w:val="Obyajntext"/>
        <w:jc w:val="both"/>
        <w:rPr>
          <w:rFonts w:ascii="Arial Narrow" w:hAnsi="Arial Narrow"/>
          <w:szCs w:val="22"/>
        </w:rPr>
      </w:pPr>
      <w:r w:rsidRPr="00666914">
        <w:rPr>
          <w:rFonts w:ascii="Arial Narrow" w:hAnsi="Arial Narrow"/>
          <w:b/>
          <w:szCs w:val="22"/>
        </w:rPr>
        <w:t xml:space="preserve">K lepšej informovanosti verejnosti o uplatnení absolventov SŠ ako aj VŠ má prispieť aj projekt </w:t>
      </w:r>
      <w:r w:rsidRPr="00666914">
        <w:rPr>
          <w:rFonts w:ascii="Arial Narrow" w:hAnsi="Arial Narrow"/>
          <w:b/>
          <w:i/>
          <w:szCs w:val="22"/>
        </w:rPr>
        <w:t>Stopa absolventa</w:t>
      </w:r>
      <w:r w:rsidRPr="00666914">
        <w:rPr>
          <w:rFonts w:ascii="Arial Narrow" w:hAnsi="Arial Narrow"/>
          <w:b/>
          <w:szCs w:val="22"/>
        </w:rPr>
        <w:t xml:space="preserve">. </w:t>
      </w:r>
      <w:r w:rsidRPr="00666914">
        <w:rPr>
          <w:rFonts w:ascii="Arial Narrow" w:hAnsi="Arial Narrow"/>
          <w:szCs w:val="22"/>
        </w:rPr>
        <w:t>Ide o spoluprácu MPSVR SR so spoločnosťou TREXIMA Bratislava, spol. s r. o.</w:t>
      </w:r>
      <w:r w:rsidRPr="00666914">
        <w:rPr>
          <w:rStyle w:val="Odkaznapoznmkupodiarou"/>
          <w:rFonts w:ascii="Arial Narrow" w:hAnsi="Arial Narrow"/>
          <w:szCs w:val="22"/>
        </w:rPr>
        <w:footnoteReference w:id="247"/>
      </w:r>
      <w:r w:rsidRPr="00666914">
        <w:rPr>
          <w:rFonts w:ascii="Arial Narrow" w:hAnsi="Arial Narrow"/>
          <w:szCs w:val="22"/>
        </w:rPr>
        <w:t>. Pilotné overenie komplexného systému sledovania absolventov prebehlo už počas roka 2018</w:t>
      </w:r>
      <w:r w:rsidR="00343A0E" w:rsidRPr="00666914">
        <w:rPr>
          <w:rFonts w:ascii="Arial Narrow" w:hAnsi="Arial Narrow"/>
          <w:szCs w:val="22"/>
        </w:rPr>
        <w:t xml:space="preserve"> a</w:t>
      </w:r>
      <w:r w:rsidRPr="00666914">
        <w:rPr>
          <w:rFonts w:ascii="Arial Narrow" w:hAnsi="Arial Narrow"/>
          <w:szCs w:val="22"/>
        </w:rPr>
        <w:t xml:space="preserve"> vyplynulo z odporúčania riešiteľského tímu v rámci aktivity č. 3 NP „Prognózy vývoja na trhu práce v SR II“. V 02/2020 bol spustený portál uplatnenie.sk. </w:t>
      </w:r>
    </w:p>
    <w:p w14:paraId="22AE5D82" w14:textId="77777777" w:rsidR="000661EC" w:rsidRPr="00666914" w:rsidRDefault="000661EC">
      <w:pPr>
        <w:spacing w:after="0"/>
        <w:jc w:val="left"/>
      </w:pPr>
      <w:r w:rsidRPr="00666914">
        <w:br w:type="page"/>
      </w:r>
    </w:p>
    <w:p w14:paraId="185A9F16" w14:textId="79FD030B" w:rsidR="00E66F49" w:rsidRPr="00666914" w:rsidRDefault="00E66F49" w:rsidP="00D27F91">
      <w:pPr>
        <w:pStyle w:val="box"/>
      </w:pPr>
      <w:bookmarkStart w:id="314" w:name="_Toc21522750"/>
      <w:bookmarkStart w:id="315" w:name="_Toc38390076"/>
      <w:r w:rsidRPr="00666914">
        <w:lastRenderedPageBreak/>
        <w:t xml:space="preserve">Box </w:t>
      </w:r>
      <w:r w:rsidR="00032A13">
        <w:rPr>
          <w:noProof/>
        </w:rPr>
        <w:fldChar w:fldCharType="begin"/>
      </w:r>
      <w:r w:rsidR="00032A13">
        <w:rPr>
          <w:noProof/>
        </w:rPr>
        <w:instrText xml:space="preserve"> SEQ Box \* ARABIC \* MERGEFORMAT </w:instrText>
      </w:r>
      <w:r w:rsidR="00032A13">
        <w:rPr>
          <w:noProof/>
        </w:rPr>
        <w:fldChar w:fldCharType="separate"/>
      </w:r>
      <w:r w:rsidR="005A7304">
        <w:rPr>
          <w:noProof/>
        </w:rPr>
        <w:t>2</w:t>
      </w:r>
      <w:r w:rsidR="00032A13">
        <w:rPr>
          <w:noProof/>
        </w:rPr>
        <w:fldChar w:fldCharType="end"/>
      </w:r>
      <w:r w:rsidRPr="00666914">
        <w:t xml:space="preserve">: </w:t>
      </w:r>
      <w:bookmarkEnd w:id="314"/>
      <w:r w:rsidRPr="00666914">
        <w:t>Projekt Stopa absolventa</w:t>
      </w:r>
      <w:bookmarkEnd w:id="315"/>
    </w:p>
    <w:tbl>
      <w:tblPr>
        <w:tblStyle w:val="Mriekatabuky3"/>
        <w:tblW w:w="5000" w:type="pct"/>
        <w:shd w:val="clear" w:color="auto" w:fill="D9D9D9" w:themeFill="background1" w:themeFillShade="D9"/>
        <w:tblLook w:val="04A0" w:firstRow="1" w:lastRow="0" w:firstColumn="1" w:lastColumn="0" w:noHBand="0" w:noVBand="1"/>
      </w:tblPr>
      <w:tblGrid>
        <w:gridCol w:w="9204"/>
      </w:tblGrid>
      <w:tr w:rsidR="00E66F49" w:rsidRPr="00666914" w14:paraId="4E0F8B4E" w14:textId="77777777" w:rsidTr="00D27F91">
        <w:trPr>
          <w:trHeight w:val="567"/>
        </w:trPr>
        <w:tc>
          <w:tcPr>
            <w:tcW w:w="5000" w:type="pct"/>
            <w:shd w:val="clear" w:color="auto" w:fill="D9D9D9" w:themeFill="background1" w:themeFillShade="D9"/>
          </w:tcPr>
          <w:p w14:paraId="6795CBC2" w14:textId="335BC063" w:rsidR="00E66F49" w:rsidRPr="00666914" w:rsidRDefault="00E66F49" w:rsidP="00D27F91">
            <w:r w:rsidRPr="00666914">
              <w:t>Portál uplatnenie.sk. umožňuje sledovať kariérnu cestu absolventov všetkých slovenských SŠ a VŠ podľa absolvovaného odboru vzdelania. V súčasnosti obsahuje dáta o absolventoch, ktorí ukončili školu v roku 2018. Údaje budú každoročne k 1.9. aktualizované a dopĺňané aj o dáta týkajúce sa nových absolventov.</w:t>
            </w:r>
          </w:p>
          <w:p w14:paraId="78B6B73A" w14:textId="475F5B93" w:rsidR="00E66F49" w:rsidRPr="00666914" w:rsidRDefault="00E66F49" w:rsidP="00D27F91">
            <w:r w:rsidRPr="00666914">
              <w:t>Systém obsahuje údaje z informačného systému o cene práce (ISCP), informačného systému rezortu školstva, informačného systému služieb zamestnanosti (ISSZ) a IS Sociálnej poisťovne. Cieľom MPSVaR je doplniť do systému postupne aj informácie od zdravotných poisťovní</w:t>
            </w:r>
            <w:r w:rsidRPr="00666914">
              <w:rPr>
                <w:rStyle w:val="Odkaznapoznmkupodiarou"/>
              </w:rPr>
              <w:footnoteReference w:id="248"/>
            </w:r>
            <w:r w:rsidRPr="00666914">
              <w:t>.</w:t>
            </w:r>
          </w:p>
          <w:p w14:paraId="14A01F8A" w14:textId="77777777" w:rsidR="00E66F49" w:rsidRPr="00666914" w:rsidRDefault="00E66F49" w:rsidP="00D27F91">
            <w:r w:rsidRPr="00666914">
              <w:t>V rámci webu má používateľ možnosť vyhľadať si školu alebo konkrétny odbor a dozvedieť sa informácie o uplatnení absolventov za daný rok v nasledujúcej štruktúre:</w:t>
            </w:r>
          </w:p>
          <w:p w14:paraId="5DE6A129" w14:textId="77777777" w:rsidR="00E66F49" w:rsidRPr="00666914" w:rsidRDefault="00E66F49" w:rsidP="00131B23">
            <w:pPr>
              <w:pStyle w:val="Odsekzoznamu"/>
              <w:numPr>
                <w:ilvl w:val="0"/>
                <w:numId w:val="12"/>
              </w:numPr>
              <w:spacing w:after="0"/>
              <w:jc w:val="left"/>
            </w:pPr>
            <w:r w:rsidRPr="00666914">
              <w:t>počet absolventov, z toho percentuálne zastúpenie mužov a žien,</w:t>
            </w:r>
          </w:p>
          <w:p w14:paraId="73C18C4A" w14:textId="77777777" w:rsidR="00E66F49" w:rsidRPr="00666914" w:rsidRDefault="00E66F49" w:rsidP="00131B23">
            <w:pPr>
              <w:pStyle w:val="Odsekzoznamu"/>
              <w:numPr>
                <w:ilvl w:val="0"/>
                <w:numId w:val="12"/>
              </w:numPr>
              <w:spacing w:after="0"/>
              <w:jc w:val="left"/>
            </w:pPr>
            <w:r w:rsidRPr="00666914">
              <w:t>štruktúra absolventov podľa ich uplatnenia na trhu práce (napr. zamestnaní, pracujúci na dohodu, nezamestnaní, pokračujúci v štúdiu),</w:t>
            </w:r>
          </w:p>
          <w:p w14:paraId="632FF063" w14:textId="77777777" w:rsidR="00E66F49" w:rsidRPr="00666914" w:rsidRDefault="00E66F49" w:rsidP="00131B23">
            <w:pPr>
              <w:pStyle w:val="Odsekzoznamu"/>
              <w:numPr>
                <w:ilvl w:val="0"/>
                <w:numId w:val="12"/>
              </w:numPr>
              <w:spacing w:after="0"/>
              <w:jc w:val="left"/>
            </w:pPr>
            <w:r w:rsidRPr="00666914">
              <w:t>regionálne členenie pracujúcich absolventov, z toho percento absolventov, ktorí sa uplatnili v odbore vzdelania,</w:t>
            </w:r>
          </w:p>
          <w:p w14:paraId="4125E965" w14:textId="77777777" w:rsidR="00E66F49" w:rsidRPr="00666914" w:rsidRDefault="00E66F49" w:rsidP="00131B23">
            <w:pPr>
              <w:pStyle w:val="Odsekzoznamu"/>
              <w:numPr>
                <w:ilvl w:val="0"/>
                <w:numId w:val="12"/>
              </w:numPr>
              <w:spacing w:after="0"/>
              <w:jc w:val="left"/>
            </w:pPr>
            <w:r w:rsidRPr="00666914">
              <w:t>mediánová a priemerná mzda absolventov,</w:t>
            </w:r>
          </w:p>
          <w:p w14:paraId="6677A2F4" w14:textId="77777777" w:rsidR="00E66F49" w:rsidRPr="00666914" w:rsidRDefault="00E66F49" w:rsidP="00131B23">
            <w:pPr>
              <w:pStyle w:val="Odsekzoznamu"/>
              <w:numPr>
                <w:ilvl w:val="0"/>
                <w:numId w:val="12"/>
              </w:numPr>
              <w:spacing w:after="0"/>
              <w:jc w:val="left"/>
            </w:pPr>
            <w:r w:rsidRPr="00666914">
              <w:t>top 3 odvetvia a top 3 zamestnania, v ktorých absolventi pracovali,</w:t>
            </w:r>
          </w:p>
          <w:p w14:paraId="16B34DA0" w14:textId="77777777" w:rsidR="00E66F49" w:rsidRPr="00666914" w:rsidRDefault="00E66F49" w:rsidP="00131B23">
            <w:pPr>
              <w:pStyle w:val="Odsekzoznamu"/>
              <w:numPr>
                <w:ilvl w:val="0"/>
                <w:numId w:val="12"/>
              </w:numPr>
              <w:spacing w:after="0"/>
              <w:jc w:val="left"/>
            </w:pPr>
            <w:r w:rsidRPr="00666914">
              <w:t>miera nezamestnanosti,</w:t>
            </w:r>
          </w:p>
          <w:p w14:paraId="77B5A493" w14:textId="77777777" w:rsidR="00E66F49" w:rsidRPr="00666914" w:rsidRDefault="00E66F49" w:rsidP="00131B23">
            <w:pPr>
              <w:pStyle w:val="Odsekzoznamu"/>
              <w:numPr>
                <w:ilvl w:val="0"/>
                <w:numId w:val="12"/>
              </w:numPr>
              <w:spacing w:after="0"/>
              <w:jc w:val="left"/>
            </w:pPr>
            <w:r w:rsidRPr="00666914">
              <w:t>počet dní koľko v priemere trvalo zamestnaným absolventom nájsť si prvú prácu na TPP,</w:t>
            </w:r>
          </w:p>
          <w:p w14:paraId="0E77971D" w14:textId="77777777" w:rsidR="00E66F49" w:rsidRPr="00666914" w:rsidRDefault="00E66F49" w:rsidP="00131B23">
            <w:pPr>
              <w:pStyle w:val="Odsekzoznamu"/>
              <w:numPr>
                <w:ilvl w:val="0"/>
                <w:numId w:val="12"/>
              </w:numPr>
              <w:spacing w:after="0"/>
              <w:jc w:val="left"/>
            </w:pPr>
            <w:r w:rsidRPr="00666914">
              <w:t>priemerný počet zamestnávateľov, u ktorých pracoval absolvent po ukončení štúdia.</w:t>
            </w:r>
          </w:p>
          <w:p w14:paraId="1CECE2D1" w14:textId="6B2F71C0" w:rsidR="00E66F49" w:rsidRPr="00666914" w:rsidRDefault="00E66F49" w:rsidP="00D27F91">
            <w:r w:rsidRPr="00666914">
              <w:t>Tieto údaje však nie sú k dispozícií pri každom študijnom odbore</w:t>
            </w:r>
            <w:r w:rsidRPr="00666914">
              <w:rPr>
                <w:rStyle w:val="Odkaznapoznmkupodiarou"/>
              </w:rPr>
              <w:footnoteReference w:id="249"/>
            </w:r>
            <w:r w:rsidRPr="00666914">
              <w:t>. Pri väčšine údajov je možné si zobraziť ich grafický vývoj v čase.</w:t>
            </w:r>
          </w:p>
          <w:p w14:paraId="46C63701" w14:textId="77777777" w:rsidR="00E66F49" w:rsidRPr="00666914" w:rsidRDefault="00E66F49" w:rsidP="00D27F91">
            <w:r w:rsidRPr="00666914">
              <w:t>Web ponúka funkcionalitu Rebríčky, ktorá informuje o najvyššej mediánovej mzde a najnižšej miere nezamestnanosti za konkrétne odbory alebo školy.</w:t>
            </w:r>
          </w:p>
          <w:p w14:paraId="3D38FB5A" w14:textId="77777777" w:rsidR="00E66F49" w:rsidRPr="00666914" w:rsidRDefault="00E66F49" w:rsidP="00D27F91">
            <w:r w:rsidRPr="00666914">
              <w:t>Poslednou funkcionalitou webu je porovnanie dvoch škôl alebo odborov. Štruktúra porovnávaných informácií je rovnaká ako pri vyhľadávaní uplatnenia absolventov</w:t>
            </w:r>
            <w:r w:rsidRPr="00666914">
              <w:rPr>
                <w:rStyle w:val="Odkaznapoznmkupodiarou"/>
              </w:rPr>
              <w:footnoteReference w:id="250"/>
            </w:r>
            <w:r w:rsidRPr="00666914">
              <w:t>.</w:t>
            </w:r>
          </w:p>
        </w:tc>
      </w:tr>
    </w:tbl>
    <w:p w14:paraId="4560007C" w14:textId="77777777" w:rsidR="00E66F49" w:rsidRPr="00666914" w:rsidRDefault="00E66F49" w:rsidP="00D27F91">
      <w:pPr>
        <w:spacing w:after="0"/>
        <w:jc w:val="center"/>
        <w:rPr>
          <w:rFonts w:eastAsiaTheme="majorEastAsia" w:cstheme="minorHAnsi"/>
          <w:bCs/>
          <w:i/>
          <w:iCs/>
          <w:sz w:val="18"/>
        </w:rPr>
      </w:pPr>
      <w:r w:rsidRPr="00666914">
        <w:rPr>
          <w:rFonts w:eastAsiaTheme="majorEastAsia" w:cstheme="minorHAnsi"/>
          <w:bCs/>
          <w:i/>
          <w:iCs/>
          <w:sz w:val="18"/>
        </w:rPr>
        <w:t xml:space="preserve">                                                                                                                                       Zdroj: verejne dostupné informácie, spracovanie IJ </w:t>
      </w:r>
    </w:p>
    <w:p w14:paraId="0EFF6406" w14:textId="77777777" w:rsidR="00E66F49" w:rsidRPr="00666914" w:rsidRDefault="00E66F49" w:rsidP="00D27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14:paraId="76ACFEE3" w14:textId="6448F075" w:rsidR="00E66F49" w:rsidRPr="00666914" w:rsidRDefault="00E66F49" w:rsidP="00D27F91">
      <w:pPr>
        <w:spacing w:after="0"/>
        <w:rPr>
          <w:b/>
        </w:rPr>
      </w:pPr>
      <w:r w:rsidRPr="00666914">
        <w:rPr>
          <w:b/>
        </w:rPr>
        <w:t xml:space="preserve">Aktuálna úroveň prepojenia databáz o absolventoch SŠ a VŠ je pre súčasné potreby MŠVVaŠ SR postačujúca. K návrhu optimálnej štruktúry údajov o absolventoch mal prispieť aj v roku 2018 zrealizovaný projekt MŠVVaŠ SR a Cedefop </w:t>
      </w:r>
      <w:r w:rsidRPr="00666914">
        <w:t>(Európskeho centra pre rozvoj odborného vzdelávania)</w:t>
      </w:r>
      <w:r w:rsidRPr="00666914">
        <w:rPr>
          <w:b/>
        </w:rPr>
        <w:t>, výstupy záverečnej konferencie k projektu z 04/2019 nie sú doteraz známe. V prípade prieskumov</w:t>
      </w:r>
      <w:r w:rsidR="00343A0E" w:rsidRPr="00666914">
        <w:rPr>
          <w:b/>
        </w:rPr>
        <w:t xml:space="preserve"> boli</w:t>
      </w:r>
      <w:r w:rsidRPr="00666914">
        <w:rPr>
          <w:b/>
        </w:rPr>
        <w:t xml:space="preserve"> do 12/2019 spustené absolventské prieskumy len pre VŠ. Opatrenie sa k 31.12.2019 plní čiastočne.</w:t>
      </w:r>
    </w:p>
    <w:p w14:paraId="65BB39F5" w14:textId="77777777" w:rsidR="00E66F49" w:rsidRPr="00666914" w:rsidRDefault="00E66F49" w:rsidP="00D27F91">
      <w:pPr>
        <w:spacing w:after="0"/>
        <w:rPr>
          <w:b/>
          <w:color w:val="833C0B" w:themeColor="accent2" w:themeShade="80"/>
        </w:rPr>
      </w:pPr>
    </w:p>
    <w:p w14:paraId="5AAB50A2" w14:textId="77777777" w:rsidR="00E66F49" w:rsidRPr="00666914" w:rsidRDefault="00E66F49" w:rsidP="00D27F91">
      <w:pPr>
        <w:spacing w:after="0"/>
      </w:pPr>
      <w:r w:rsidRPr="00666914">
        <w:rPr>
          <w:b/>
        </w:rPr>
        <w:t>Odporúčanie IJ:</w:t>
      </w:r>
      <w:r w:rsidRPr="00666914">
        <w:t xml:space="preserve"> Zverejniť výstupy a odporúčania projektu Cedefop. Do 09/2020 zverejniť výsledky zamestnávateľského prieskumu a prieskumu absolventov VŠ. Zrealizovať prieskumy o absolventoch SŠ. </w:t>
      </w:r>
    </w:p>
    <w:p w14:paraId="506A9C3C" w14:textId="403FAF33" w:rsidR="00CD1EC8" w:rsidRPr="00666914" w:rsidRDefault="005D57F4" w:rsidP="005D57F4">
      <w:pPr>
        <w:spacing w:after="0"/>
        <w:jc w:val="left"/>
        <w:rPr>
          <w:rFonts w:eastAsia="Times New Roman"/>
          <w:color w:val="2E74B5"/>
          <w:sz w:val="32"/>
          <w:szCs w:val="32"/>
        </w:rPr>
      </w:pPr>
      <w:r w:rsidRPr="00666914">
        <w:br w:type="page"/>
      </w:r>
    </w:p>
    <w:p w14:paraId="2F39378D" w14:textId="77777777" w:rsidR="008E7D9E" w:rsidRPr="00666914" w:rsidRDefault="008E7D9E" w:rsidP="008E7D9E">
      <w:pPr>
        <w:pStyle w:val="Nadpis1"/>
        <w:rPr>
          <w:rFonts w:eastAsia="Arial Narrow"/>
        </w:rPr>
      </w:pPr>
      <w:bookmarkStart w:id="316" w:name="_Toc38447608"/>
      <w:bookmarkStart w:id="317" w:name="_Toc523732845"/>
      <w:r w:rsidRPr="00666914">
        <w:rPr>
          <w:rFonts w:eastAsia="Arial Narrow"/>
        </w:rPr>
        <w:lastRenderedPageBreak/>
        <w:t>Životné prostredie</w:t>
      </w:r>
      <w:bookmarkEnd w:id="316"/>
      <w:r w:rsidRPr="00666914">
        <w:rPr>
          <w:rFonts w:eastAsia="Arial Narrow"/>
        </w:rPr>
        <w:t xml:space="preserve"> </w:t>
      </w:r>
    </w:p>
    <w:p w14:paraId="4114EB1F" w14:textId="77777777" w:rsidR="008E7D9E" w:rsidRPr="00666914" w:rsidRDefault="008E7D9E" w:rsidP="008E7D9E">
      <w:pPr>
        <w:pStyle w:val="Nadpis2"/>
        <w:rPr>
          <w:rFonts w:eastAsia="Arial Narrow"/>
        </w:rPr>
      </w:pPr>
      <w:bookmarkStart w:id="318" w:name="_Toc38447609"/>
      <w:r w:rsidRPr="00666914">
        <w:rPr>
          <w:rFonts w:eastAsia="Arial Narrow"/>
        </w:rPr>
        <w:t>Zhrnutie</w:t>
      </w:r>
      <w:bookmarkEnd w:id="318"/>
    </w:p>
    <w:p w14:paraId="5A8CE85D" w14:textId="33D8EB9C" w:rsidR="008E7D9E" w:rsidRPr="00666914" w:rsidRDefault="008E7D9E">
      <w:pPr>
        <w:keepNext/>
        <w:keepLines/>
        <w:spacing w:before="40" w:after="240" w:line="276" w:lineRule="auto"/>
        <w:rPr>
          <w:rFonts w:eastAsia="Arial Narrow" w:cs="Arial Narrow"/>
        </w:rPr>
      </w:pPr>
      <w:r w:rsidRPr="00666914">
        <w:rPr>
          <w:rFonts w:eastAsia="Arial Narrow" w:cs="Arial Narrow"/>
          <w:b/>
        </w:rPr>
        <w:t xml:space="preserve">Úsporné opatrenia </w:t>
      </w:r>
      <w:r w:rsidR="00BD1507" w:rsidRPr="00666914">
        <w:rPr>
          <w:rFonts w:eastAsia="Arial Narrow" w:cs="Arial Narrow"/>
          <w:b/>
        </w:rPr>
        <w:t xml:space="preserve">s potenciálom </w:t>
      </w:r>
      <w:r w:rsidRPr="00666914">
        <w:rPr>
          <w:rFonts w:eastAsia="Arial Narrow" w:cs="Arial Narrow"/>
          <w:b/>
        </w:rPr>
        <w:t xml:space="preserve">vo výške </w:t>
      </w:r>
      <w:r w:rsidR="00D60954" w:rsidRPr="00666914">
        <w:rPr>
          <w:rFonts w:eastAsia="Arial Narrow" w:cs="Arial Narrow"/>
          <w:b/>
        </w:rPr>
        <w:t xml:space="preserve">115 </w:t>
      </w:r>
      <w:r w:rsidRPr="00666914">
        <w:rPr>
          <w:rFonts w:eastAsia="Arial Narrow" w:cs="Arial Narrow"/>
          <w:b/>
        </w:rPr>
        <w:t>mil. eur v rezorte životného prostredia sa od schválenia Revízie výdavkov na životné prostredie v roku 2017 nepodarilo dosiahnuť.</w:t>
      </w:r>
      <w:r w:rsidRPr="00666914">
        <w:rPr>
          <w:rFonts w:eastAsia="Arial Narrow" w:cs="Arial Narrow"/>
        </w:rPr>
        <w:t xml:space="preserve"> </w:t>
      </w:r>
      <w:r w:rsidRPr="00666914">
        <w:rPr>
          <w:rFonts w:eastAsia="Arial Narrow" w:cs="Arial Narrow"/>
          <w:b/>
        </w:rPr>
        <w:t xml:space="preserve">Z plánovanej úspory vo výške </w:t>
      </w:r>
      <w:r w:rsidR="00651B45" w:rsidRPr="00666914">
        <w:rPr>
          <w:rFonts w:eastAsia="Arial Narrow" w:cs="Arial Narrow"/>
          <w:b/>
        </w:rPr>
        <w:t>91</w:t>
      </w:r>
      <w:r w:rsidRPr="00666914">
        <w:rPr>
          <w:rFonts w:eastAsia="Arial Narrow" w:cs="Arial Narrow"/>
          <w:b/>
        </w:rPr>
        <w:t xml:space="preserve"> mil. eur sa v životnom prostredí podarilo v roku 2019 </w:t>
      </w:r>
      <w:sdt>
        <w:sdtPr>
          <w:tag w:val="goog_rdk_0"/>
          <w:id w:val="-1906907400"/>
        </w:sdtPr>
        <w:sdtEndPr/>
        <w:sdtContent/>
      </w:sdt>
      <w:r w:rsidRPr="00666914">
        <w:rPr>
          <w:rFonts w:eastAsia="Arial Narrow" w:cs="Arial Narrow"/>
          <w:b/>
        </w:rPr>
        <w:t xml:space="preserve">ušetriť len </w:t>
      </w:r>
      <w:r w:rsidR="00651B45" w:rsidRPr="00666914">
        <w:rPr>
          <w:rFonts w:eastAsia="Arial Narrow" w:cs="Arial Narrow"/>
          <w:b/>
        </w:rPr>
        <w:t>4,</w:t>
      </w:r>
      <w:r w:rsidR="00D05A77" w:rsidRPr="00666914">
        <w:rPr>
          <w:rFonts w:eastAsia="Arial Narrow" w:cs="Arial Narrow"/>
          <w:b/>
        </w:rPr>
        <w:t>2</w:t>
      </w:r>
      <w:r w:rsidRPr="00666914">
        <w:rPr>
          <w:rFonts w:eastAsia="Arial Narrow" w:cs="Arial Narrow"/>
          <w:b/>
        </w:rPr>
        <w:t xml:space="preserve"> mil. eur. </w:t>
      </w:r>
      <w:r w:rsidRPr="00666914">
        <w:rPr>
          <w:rFonts w:eastAsia="Arial Narrow" w:cs="Arial Narrow"/>
        </w:rPr>
        <w:t>Zo štyroch úsporných opatrení, schválených v Revízii výdavkov na životné prostredie, sa podarilo realizovať len jedno, a to zvýšenie poplatkov za skládkovanie.</w:t>
      </w:r>
    </w:p>
    <w:p w14:paraId="6ABB2B66" w14:textId="235B537D" w:rsidR="008E7D9E" w:rsidRPr="00666914" w:rsidRDefault="008E7D9E" w:rsidP="008E7D9E">
      <w:pPr>
        <w:spacing w:after="0"/>
        <w:rPr>
          <w:rFonts w:eastAsia="Arial Narrow" w:cs="Arial Narrow"/>
          <w:b/>
          <w:sz w:val="20"/>
          <w:szCs w:val="20"/>
        </w:rPr>
      </w:pPr>
      <w:bookmarkStart w:id="319" w:name="_Toc38447724"/>
      <w:r w:rsidRPr="00666914">
        <w:rPr>
          <w:rFonts w:eastAsia="Arial Narrow" w:cs="Arial Narrow"/>
          <w:b/>
          <w:sz w:val="20"/>
          <w:szCs w:val="20"/>
        </w:rPr>
        <w:t xml:space="preserve">Tabuľka </w:t>
      </w:r>
      <w:r w:rsidRPr="00666914">
        <w:rPr>
          <w:rFonts w:eastAsia="Arial Narrow" w:cs="Arial Narrow"/>
          <w:b/>
          <w:sz w:val="20"/>
          <w:szCs w:val="20"/>
        </w:rPr>
        <w:fldChar w:fldCharType="begin"/>
      </w:r>
      <w:r w:rsidRPr="00666914">
        <w:rPr>
          <w:rFonts w:eastAsia="Arial Narrow" w:cs="Arial Narrow"/>
          <w:b/>
          <w:sz w:val="20"/>
          <w:szCs w:val="20"/>
        </w:rPr>
        <w:instrText xml:space="preserve"> SEQ Tabuľka \* ARABIC \* MERGEFORMAT </w:instrText>
      </w:r>
      <w:r w:rsidRPr="00666914">
        <w:rPr>
          <w:rFonts w:eastAsia="Arial Narrow" w:cs="Arial Narrow"/>
          <w:b/>
          <w:sz w:val="20"/>
          <w:szCs w:val="20"/>
        </w:rPr>
        <w:fldChar w:fldCharType="separate"/>
      </w:r>
      <w:r w:rsidR="005A7304">
        <w:rPr>
          <w:rFonts w:eastAsia="Arial Narrow" w:cs="Arial Narrow"/>
          <w:b/>
          <w:noProof/>
          <w:sz w:val="20"/>
          <w:szCs w:val="20"/>
        </w:rPr>
        <w:t>63</w:t>
      </w:r>
      <w:r w:rsidRPr="00666914">
        <w:rPr>
          <w:rFonts w:eastAsia="Arial Narrow" w:cs="Arial Narrow"/>
          <w:b/>
          <w:sz w:val="20"/>
          <w:szCs w:val="20"/>
        </w:rPr>
        <w:fldChar w:fldCharType="end"/>
      </w:r>
      <w:r w:rsidRPr="00666914">
        <w:rPr>
          <w:rFonts w:eastAsia="Arial Narrow" w:cs="Arial Narrow"/>
          <w:b/>
          <w:sz w:val="20"/>
          <w:szCs w:val="20"/>
        </w:rPr>
        <w:t xml:space="preserve">: Úsporné opatrenia MŽP SR </w:t>
      </w:r>
      <w:r w:rsidR="002124E4" w:rsidRPr="00666914">
        <w:rPr>
          <w:rFonts w:eastAsia="Arial Narrow" w:cs="Arial Narrow"/>
          <w:b/>
          <w:sz w:val="20"/>
          <w:szCs w:val="20"/>
        </w:rPr>
        <w:t xml:space="preserve">v roku 2019 </w:t>
      </w:r>
      <w:r w:rsidRPr="00666914">
        <w:rPr>
          <w:rFonts w:eastAsia="Arial Narrow" w:cs="Arial Narrow"/>
          <w:b/>
          <w:sz w:val="20"/>
          <w:szCs w:val="20"/>
        </w:rPr>
        <w:t>(v mil. eur)</w:t>
      </w:r>
      <w:bookmarkEnd w:id="319"/>
    </w:p>
    <w:tbl>
      <w:tblPr>
        <w:tblW w:w="5040" w:type="pct"/>
        <w:tblLayout w:type="fixed"/>
        <w:tblCellMar>
          <w:left w:w="70" w:type="dxa"/>
          <w:right w:w="70" w:type="dxa"/>
        </w:tblCellMar>
        <w:tblLook w:val="04A0" w:firstRow="1" w:lastRow="0" w:firstColumn="1" w:lastColumn="0" w:noHBand="0" w:noVBand="1"/>
      </w:tblPr>
      <w:tblGrid>
        <w:gridCol w:w="5389"/>
        <w:gridCol w:w="1415"/>
        <w:gridCol w:w="994"/>
        <w:gridCol w:w="567"/>
        <w:gridCol w:w="923"/>
      </w:tblGrid>
      <w:tr w:rsidR="00011D14" w:rsidRPr="00666914" w14:paraId="4B1DB611" w14:textId="77777777" w:rsidTr="00011D14">
        <w:trPr>
          <w:trHeight w:val="295"/>
        </w:trPr>
        <w:tc>
          <w:tcPr>
            <w:tcW w:w="2901" w:type="pct"/>
            <w:tcBorders>
              <w:top w:val="single" w:sz="8" w:space="0" w:color="auto"/>
              <w:left w:val="nil"/>
              <w:bottom w:val="single" w:sz="8" w:space="0" w:color="auto"/>
              <w:right w:val="nil"/>
            </w:tcBorders>
            <w:shd w:val="clear" w:color="auto" w:fill="auto"/>
            <w:noWrap/>
            <w:vAlign w:val="center"/>
            <w:hideMark/>
          </w:tcPr>
          <w:p w14:paraId="0FE68DC3" w14:textId="77777777" w:rsidR="002C38F8" w:rsidRPr="00666914" w:rsidRDefault="002C38F8" w:rsidP="002C38F8">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762" w:type="pct"/>
            <w:tcBorders>
              <w:top w:val="single" w:sz="8" w:space="0" w:color="auto"/>
              <w:left w:val="nil"/>
              <w:bottom w:val="single" w:sz="8" w:space="0" w:color="auto"/>
              <w:right w:val="nil"/>
            </w:tcBorders>
            <w:shd w:val="clear" w:color="auto" w:fill="auto"/>
            <w:vAlign w:val="center"/>
            <w:hideMark/>
          </w:tcPr>
          <w:p w14:paraId="1AD92252" w14:textId="77777777" w:rsidR="002C38F8" w:rsidRPr="00666914" w:rsidRDefault="002C38F8" w:rsidP="002C38F8">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Zodpovednosť</w:t>
            </w:r>
          </w:p>
        </w:tc>
        <w:tc>
          <w:tcPr>
            <w:tcW w:w="535" w:type="pct"/>
            <w:tcBorders>
              <w:top w:val="single" w:sz="8" w:space="0" w:color="auto"/>
              <w:left w:val="nil"/>
              <w:bottom w:val="single" w:sz="8" w:space="0" w:color="auto"/>
              <w:right w:val="nil"/>
            </w:tcBorders>
            <w:shd w:val="clear" w:color="auto" w:fill="auto"/>
            <w:vAlign w:val="center"/>
            <w:hideMark/>
          </w:tcPr>
          <w:p w14:paraId="17066B46" w14:textId="77777777" w:rsidR="002C38F8" w:rsidRPr="00666914" w:rsidRDefault="002C38F8" w:rsidP="002C38F8">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Potenciál</w:t>
            </w:r>
          </w:p>
        </w:tc>
        <w:tc>
          <w:tcPr>
            <w:tcW w:w="305" w:type="pct"/>
            <w:tcBorders>
              <w:top w:val="single" w:sz="8" w:space="0" w:color="auto"/>
              <w:left w:val="nil"/>
              <w:bottom w:val="single" w:sz="8" w:space="0" w:color="auto"/>
              <w:right w:val="nil"/>
            </w:tcBorders>
            <w:shd w:val="clear" w:color="auto" w:fill="auto"/>
            <w:vAlign w:val="center"/>
            <w:hideMark/>
          </w:tcPr>
          <w:p w14:paraId="6C4E1AD8" w14:textId="77777777" w:rsidR="002C38F8" w:rsidRPr="00666914" w:rsidRDefault="002C38F8" w:rsidP="002C38F8">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Plán</w:t>
            </w:r>
          </w:p>
        </w:tc>
        <w:tc>
          <w:tcPr>
            <w:tcW w:w="497" w:type="pct"/>
            <w:tcBorders>
              <w:top w:val="single" w:sz="8" w:space="0" w:color="auto"/>
              <w:left w:val="nil"/>
              <w:bottom w:val="single" w:sz="8" w:space="0" w:color="auto"/>
              <w:right w:val="nil"/>
            </w:tcBorders>
            <w:shd w:val="clear" w:color="auto" w:fill="auto"/>
            <w:vAlign w:val="center"/>
            <w:hideMark/>
          </w:tcPr>
          <w:p w14:paraId="0B68B613" w14:textId="77777777" w:rsidR="002C38F8" w:rsidRPr="00666914" w:rsidRDefault="002C38F8" w:rsidP="002C38F8">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Plnenie</w:t>
            </w:r>
          </w:p>
        </w:tc>
      </w:tr>
      <w:tr w:rsidR="00011D14" w:rsidRPr="00666914" w14:paraId="6D3473AF" w14:textId="77777777" w:rsidTr="00011D14">
        <w:trPr>
          <w:trHeight w:val="281"/>
        </w:trPr>
        <w:tc>
          <w:tcPr>
            <w:tcW w:w="2901" w:type="pct"/>
            <w:tcBorders>
              <w:top w:val="nil"/>
              <w:left w:val="nil"/>
              <w:bottom w:val="nil"/>
              <w:right w:val="nil"/>
            </w:tcBorders>
            <w:shd w:val="clear" w:color="auto" w:fill="auto"/>
            <w:noWrap/>
            <w:vAlign w:val="center"/>
            <w:hideMark/>
          </w:tcPr>
          <w:p w14:paraId="4DDE88BC" w14:textId="77777777" w:rsidR="002C38F8" w:rsidRPr="00666914" w:rsidRDefault="002C38F8" w:rsidP="002C38F8">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Postupne implementovať opatrenia na zefektívnenie prevádzky podľa auditu BCG</w:t>
            </w:r>
          </w:p>
        </w:tc>
        <w:tc>
          <w:tcPr>
            <w:tcW w:w="762" w:type="pct"/>
            <w:tcBorders>
              <w:top w:val="nil"/>
              <w:left w:val="nil"/>
              <w:bottom w:val="nil"/>
              <w:right w:val="nil"/>
            </w:tcBorders>
            <w:shd w:val="clear" w:color="auto" w:fill="auto"/>
            <w:vAlign w:val="center"/>
            <w:hideMark/>
          </w:tcPr>
          <w:p w14:paraId="6D3076FA" w14:textId="77777777" w:rsidR="002C38F8" w:rsidRPr="00666914" w:rsidRDefault="002C38F8" w:rsidP="002C38F8">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MŽP SR</w:t>
            </w:r>
          </w:p>
        </w:tc>
        <w:tc>
          <w:tcPr>
            <w:tcW w:w="535" w:type="pct"/>
            <w:tcBorders>
              <w:top w:val="nil"/>
              <w:left w:val="nil"/>
              <w:bottom w:val="nil"/>
              <w:right w:val="nil"/>
            </w:tcBorders>
            <w:shd w:val="clear" w:color="auto" w:fill="auto"/>
            <w:noWrap/>
            <w:vAlign w:val="center"/>
            <w:hideMark/>
          </w:tcPr>
          <w:p w14:paraId="77513720" w14:textId="77777777" w:rsidR="002C38F8" w:rsidRPr="00666914" w:rsidRDefault="002C38F8" w:rsidP="002C38F8">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20</w:t>
            </w:r>
          </w:p>
        </w:tc>
        <w:tc>
          <w:tcPr>
            <w:tcW w:w="305" w:type="pct"/>
            <w:tcBorders>
              <w:top w:val="nil"/>
              <w:left w:val="nil"/>
              <w:bottom w:val="nil"/>
              <w:right w:val="nil"/>
            </w:tcBorders>
            <w:shd w:val="clear" w:color="auto" w:fill="auto"/>
            <w:noWrap/>
            <w:vAlign w:val="center"/>
            <w:hideMark/>
          </w:tcPr>
          <w:p w14:paraId="01BCAC75" w14:textId="77777777" w:rsidR="002C38F8" w:rsidRPr="00666914" w:rsidRDefault="002C38F8" w:rsidP="002C38F8">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14</w:t>
            </w:r>
          </w:p>
        </w:tc>
        <w:tc>
          <w:tcPr>
            <w:tcW w:w="497" w:type="pct"/>
            <w:tcBorders>
              <w:top w:val="nil"/>
              <w:left w:val="nil"/>
              <w:bottom w:val="nil"/>
              <w:right w:val="nil"/>
            </w:tcBorders>
            <w:shd w:val="clear" w:color="auto" w:fill="auto"/>
            <w:noWrap/>
            <w:vAlign w:val="center"/>
            <w:hideMark/>
          </w:tcPr>
          <w:p w14:paraId="3E30B249" w14:textId="77777777" w:rsidR="002C38F8" w:rsidRPr="00666914" w:rsidRDefault="002C38F8" w:rsidP="002C38F8">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w:t>
            </w:r>
          </w:p>
        </w:tc>
      </w:tr>
      <w:tr w:rsidR="00011D14" w:rsidRPr="00666914" w14:paraId="3730A01E" w14:textId="77777777" w:rsidTr="00011D14">
        <w:trPr>
          <w:trHeight w:val="281"/>
        </w:trPr>
        <w:tc>
          <w:tcPr>
            <w:tcW w:w="2901" w:type="pct"/>
            <w:tcBorders>
              <w:top w:val="nil"/>
              <w:left w:val="nil"/>
              <w:bottom w:val="nil"/>
              <w:right w:val="nil"/>
            </w:tcBorders>
            <w:shd w:val="clear" w:color="auto" w:fill="auto"/>
            <w:vAlign w:val="center"/>
            <w:hideMark/>
          </w:tcPr>
          <w:p w14:paraId="1046F744" w14:textId="77777777" w:rsidR="002C38F8" w:rsidRPr="00666914" w:rsidRDefault="002C38F8" w:rsidP="002C38F8">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Postupne zvýšiť poplatky za skládkovanie a zaviesť povinný množstvový zber</w:t>
            </w:r>
          </w:p>
        </w:tc>
        <w:tc>
          <w:tcPr>
            <w:tcW w:w="762" w:type="pct"/>
            <w:tcBorders>
              <w:top w:val="nil"/>
              <w:left w:val="nil"/>
              <w:bottom w:val="nil"/>
              <w:right w:val="nil"/>
            </w:tcBorders>
            <w:shd w:val="clear" w:color="auto" w:fill="auto"/>
            <w:vAlign w:val="center"/>
            <w:hideMark/>
          </w:tcPr>
          <w:p w14:paraId="0D889465" w14:textId="77777777" w:rsidR="002C38F8" w:rsidRPr="00666914" w:rsidRDefault="002C38F8" w:rsidP="002C38F8">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MŽP SR</w:t>
            </w:r>
          </w:p>
        </w:tc>
        <w:tc>
          <w:tcPr>
            <w:tcW w:w="535" w:type="pct"/>
            <w:tcBorders>
              <w:top w:val="nil"/>
              <w:left w:val="nil"/>
              <w:bottom w:val="nil"/>
              <w:right w:val="nil"/>
            </w:tcBorders>
            <w:shd w:val="clear" w:color="auto" w:fill="auto"/>
            <w:noWrap/>
            <w:vAlign w:val="center"/>
            <w:hideMark/>
          </w:tcPr>
          <w:p w14:paraId="4BB18C01" w14:textId="77777777" w:rsidR="002C38F8" w:rsidRPr="00666914" w:rsidRDefault="002C38F8" w:rsidP="002C38F8">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24</w:t>
            </w:r>
          </w:p>
        </w:tc>
        <w:tc>
          <w:tcPr>
            <w:tcW w:w="305" w:type="pct"/>
            <w:tcBorders>
              <w:top w:val="nil"/>
              <w:left w:val="nil"/>
              <w:bottom w:val="nil"/>
              <w:right w:val="nil"/>
            </w:tcBorders>
            <w:shd w:val="clear" w:color="auto" w:fill="auto"/>
            <w:noWrap/>
            <w:vAlign w:val="center"/>
            <w:hideMark/>
          </w:tcPr>
          <w:p w14:paraId="7554EDBC" w14:textId="77777777" w:rsidR="002C38F8" w:rsidRPr="00666914" w:rsidRDefault="002C38F8" w:rsidP="002C38F8">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6</w:t>
            </w:r>
          </w:p>
        </w:tc>
        <w:tc>
          <w:tcPr>
            <w:tcW w:w="497" w:type="pct"/>
            <w:tcBorders>
              <w:top w:val="nil"/>
              <w:left w:val="nil"/>
              <w:bottom w:val="nil"/>
              <w:right w:val="nil"/>
            </w:tcBorders>
            <w:shd w:val="clear" w:color="auto" w:fill="auto"/>
            <w:noWrap/>
            <w:vAlign w:val="center"/>
            <w:hideMark/>
          </w:tcPr>
          <w:p w14:paraId="56312A4D" w14:textId="77777777" w:rsidR="002C38F8" w:rsidRPr="00666914" w:rsidRDefault="002C38F8" w:rsidP="002C38F8">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4</w:t>
            </w:r>
          </w:p>
        </w:tc>
      </w:tr>
      <w:tr w:rsidR="00011D14" w:rsidRPr="00666914" w14:paraId="71332DF7" w14:textId="77777777" w:rsidTr="00011D14">
        <w:trPr>
          <w:trHeight w:val="281"/>
        </w:trPr>
        <w:tc>
          <w:tcPr>
            <w:tcW w:w="2901" w:type="pct"/>
            <w:tcBorders>
              <w:top w:val="nil"/>
              <w:left w:val="nil"/>
              <w:bottom w:val="nil"/>
              <w:right w:val="nil"/>
            </w:tcBorders>
            <w:shd w:val="clear" w:color="auto" w:fill="auto"/>
            <w:vAlign w:val="center"/>
            <w:hideMark/>
          </w:tcPr>
          <w:p w14:paraId="5F7B7810" w14:textId="77777777" w:rsidR="002C38F8" w:rsidRPr="00666914" w:rsidRDefault="002C38F8" w:rsidP="002C38F8">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Zrušiť fakultatívne oslobodenia v spotrebných daniach (uhlie, elektrina, plyn)</w:t>
            </w:r>
          </w:p>
        </w:tc>
        <w:tc>
          <w:tcPr>
            <w:tcW w:w="762" w:type="pct"/>
            <w:tcBorders>
              <w:top w:val="nil"/>
              <w:left w:val="nil"/>
              <w:bottom w:val="nil"/>
              <w:right w:val="nil"/>
            </w:tcBorders>
            <w:shd w:val="clear" w:color="auto" w:fill="auto"/>
            <w:vAlign w:val="center"/>
            <w:hideMark/>
          </w:tcPr>
          <w:p w14:paraId="1EB9DD80" w14:textId="77777777" w:rsidR="002C38F8" w:rsidRPr="00666914" w:rsidRDefault="002C38F8" w:rsidP="002C38F8">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MF SR</w:t>
            </w:r>
          </w:p>
        </w:tc>
        <w:tc>
          <w:tcPr>
            <w:tcW w:w="535" w:type="pct"/>
            <w:tcBorders>
              <w:top w:val="nil"/>
              <w:left w:val="nil"/>
              <w:bottom w:val="nil"/>
              <w:right w:val="nil"/>
            </w:tcBorders>
            <w:shd w:val="clear" w:color="auto" w:fill="auto"/>
            <w:noWrap/>
            <w:vAlign w:val="center"/>
            <w:hideMark/>
          </w:tcPr>
          <w:p w14:paraId="5B732940" w14:textId="77777777" w:rsidR="002C38F8" w:rsidRPr="00666914" w:rsidRDefault="002C38F8" w:rsidP="002C38F8">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65</w:t>
            </w:r>
          </w:p>
        </w:tc>
        <w:tc>
          <w:tcPr>
            <w:tcW w:w="305" w:type="pct"/>
            <w:tcBorders>
              <w:top w:val="nil"/>
              <w:left w:val="nil"/>
              <w:bottom w:val="nil"/>
              <w:right w:val="nil"/>
            </w:tcBorders>
            <w:shd w:val="clear" w:color="auto" w:fill="auto"/>
            <w:noWrap/>
            <w:vAlign w:val="center"/>
            <w:hideMark/>
          </w:tcPr>
          <w:p w14:paraId="6C026D77" w14:textId="77777777" w:rsidR="002C38F8" w:rsidRPr="00666914" w:rsidRDefault="002C38F8" w:rsidP="002C38F8">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65</w:t>
            </w:r>
          </w:p>
        </w:tc>
        <w:tc>
          <w:tcPr>
            <w:tcW w:w="497" w:type="pct"/>
            <w:tcBorders>
              <w:top w:val="nil"/>
              <w:left w:val="nil"/>
              <w:bottom w:val="nil"/>
              <w:right w:val="nil"/>
            </w:tcBorders>
            <w:shd w:val="clear" w:color="auto" w:fill="auto"/>
            <w:noWrap/>
            <w:vAlign w:val="center"/>
            <w:hideMark/>
          </w:tcPr>
          <w:p w14:paraId="342E59AE" w14:textId="77777777" w:rsidR="002C38F8" w:rsidRPr="00666914" w:rsidRDefault="002C38F8" w:rsidP="002C38F8">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w:t>
            </w:r>
          </w:p>
        </w:tc>
      </w:tr>
      <w:tr w:rsidR="00011D14" w:rsidRPr="00666914" w14:paraId="3FC890DC" w14:textId="77777777" w:rsidTr="00011D14">
        <w:trPr>
          <w:trHeight w:val="281"/>
        </w:trPr>
        <w:tc>
          <w:tcPr>
            <w:tcW w:w="2901" w:type="pct"/>
            <w:tcBorders>
              <w:top w:val="nil"/>
              <w:left w:val="nil"/>
              <w:bottom w:val="single" w:sz="4" w:space="0" w:color="auto"/>
              <w:right w:val="nil"/>
            </w:tcBorders>
            <w:shd w:val="clear" w:color="auto" w:fill="auto"/>
            <w:vAlign w:val="center"/>
            <w:hideMark/>
          </w:tcPr>
          <w:p w14:paraId="5377610E" w14:textId="77777777" w:rsidR="002C38F8" w:rsidRPr="00666914" w:rsidRDefault="002C38F8" w:rsidP="002C38F8">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Zaviesť inovatívne formy financovania ochrany prírody</w:t>
            </w:r>
          </w:p>
        </w:tc>
        <w:tc>
          <w:tcPr>
            <w:tcW w:w="762" w:type="pct"/>
            <w:tcBorders>
              <w:top w:val="nil"/>
              <w:left w:val="nil"/>
              <w:bottom w:val="single" w:sz="4" w:space="0" w:color="auto"/>
              <w:right w:val="nil"/>
            </w:tcBorders>
            <w:shd w:val="clear" w:color="auto" w:fill="auto"/>
            <w:vAlign w:val="center"/>
            <w:hideMark/>
          </w:tcPr>
          <w:p w14:paraId="25D32789" w14:textId="77777777" w:rsidR="002C38F8" w:rsidRPr="00666914" w:rsidRDefault="002C38F8" w:rsidP="002C38F8">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MŽP SR</w:t>
            </w:r>
          </w:p>
        </w:tc>
        <w:tc>
          <w:tcPr>
            <w:tcW w:w="535" w:type="pct"/>
            <w:tcBorders>
              <w:top w:val="nil"/>
              <w:left w:val="nil"/>
              <w:bottom w:val="single" w:sz="4" w:space="0" w:color="auto"/>
              <w:right w:val="nil"/>
            </w:tcBorders>
            <w:shd w:val="clear" w:color="auto" w:fill="auto"/>
            <w:noWrap/>
            <w:vAlign w:val="center"/>
            <w:hideMark/>
          </w:tcPr>
          <w:p w14:paraId="30A07741" w14:textId="77777777" w:rsidR="002C38F8" w:rsidRPr="00666914" w:rsidRDefault="002C38F8" w:rsidP="002C38F8">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6</w:t>
            </w:r>
          </w:p>
        </w:tc>
        <w:tc>
          <w:tcPr>
            <w:tcW w:w="305" w:type="pct"/>
            <w:tcBorders>
              <w:top w:val="nil"/>
              <w:left w:val="nil"/>
              <w:bottom w:val="single" w:sz="4" w:space="0" w:color="auto"/>
              <w:right w:val="nil"/>
            </w:tcBorders>
            <w:shd w:val="clear" w:color="auto" w:fill="auto"/>
            <w:noWrap/>
            <w:vAlign w:val="center"/>
            <w:hideMark/>
          </w:tcPr>
          <w:p w14:paraId="170BD334" w14:textId="77777777" w:rsidR="002C38F8" w:rsidRPr="00666914" w:rsidRDefault="002C38F8" w:rsidP="002C38F8">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6</w:t>
            </w:r>
          </w:p>
        </w:tc>
        <w:tc>
          <w:tcPr>
            <w:tcW w:w="497" w:type="pct"/>
            <w:tcBorders>
              <w:top w:val="nil"/>
              <w:left w:val="nil"/>
              <w:bottom w:val="single" w:sz="4" w:space="0" w:color="auto"/>
              <w:right w:val="nil"/>
            </w:tcBorders>
            <w:shd w:val="clear" w:color="auto" w:fill="auto"/>
            <w:noWrap/>
            <w:vAlign w:val="center"/>
            <w:hideMark/>
          </w:tcPr>
          <w:p w14:paraId="3BB23C85" w14:textId="77777777" w:rsidR="002C38F8" w:rsidRPr="00666914" w:rsidRDefault="002C38F8" w:rsidP="002C38F8">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0,2</w:t>
            </w:r>
          </w:p>
        </w:tc>
      </w:tr>
      <w:tr w:rsidR="00011D14" w:rsidRPr="00666914" w14:paraId="1000F95C" w14:textId="77777777" w:rsidTr="00011D14">
        <w:trPr>
          <w:trHeight w:val="295"/>
        </w:trPr>
        <w:tc>
          <w:tcPr>
            <w:tcW w:w="2901" w:type="pct"/>
            <w:tcBorders>
              <w:top w:val="nil"/>
              <w:left w:val="nil"/>
              <w:bottom w:val="single" w:sz="8" w:space="0" w:color="auto"/>
              <w:right w:val="nil"/>
            </w:tcBorders>
            <w:shd w:val="clear" w:color="auto" w:fill="auto"/>
            <w:vAlign w:val="center"/>
            <w:hideMark/>
          </w:tcPr>
          <w:p w14:paraId="0C6A19E6" w14:textId="77777777" w:rsidR="002C38F8" w:rsidRPr="00666914" w:rsidRDefault="002C38F8" w:rsidP="002C38F8">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Spolu</w:t>
            </w:r>
          </w:p>
        </w:tc>
        <w:tc>
          <w:tcPr>
            <w:tcW w:w="762" w:type="pct"/>
            <w:tcBorders>
              <w:top w:val="nil"/>
              <w:left w:val="nil"/>
              <w:bottom w:val="single" w:sz="8" w:space="0" w:color="auto"/>
              <w:right w:val="nil"/>
            </w:tcBorders>
            <w:shd w:val="clear" w:color="auto" w:fill="auto"/>
            <w:noWrap/>
            <w:vAlign w:val="bottom"/>
            <w:hideMark/>
          </w:tcPr>
          <w:p w14:paraId="5D703517" w14:textId="77777777" w:rsidR="002C38F8" w:rsidRPr="00666914" w:rsidRDefault="002C38F8" w:rsidP="002C38F8">
            <w:pPr>
              <w:spacing w:after="0"/>
              <w:jc w:val="left"/>
              <w:rPr>
                <w:rFonts w:ascii="Calibri" w:eastAsia="Times New Roman" w:hAnsi="Calibri" w:cs="Calibri"/>
                <w:b/>
                <w:bCs/>
                <w:color w:val="000000"/>
                <w:lang w:eastAsia="sk-SK"/>
              </w:rPr>
            </w:pPr>
            <w:r w:rsidRPr="00666914">
              <w:rPr>
                <w:rFonts w:ascii="Calibri" w:eastAsia="Times New Roman" w:hAnsi="Calibri" w:cs="Calibri"/>
                <w:b/>
                <w:bCs/>
                <w:color w:val="000000"/>
                <w:lang w:eastAsia="sk-SK"/>
              </w:rPr>
              <w:t> </w:t>
            </w:r>
          </w:p>
        </w:tc>
        <w:tc>
          <w:tcPr>
            <w:tcW w:w="535" w:type="pct"/>
            <w:tcBorders>
              <w:top w:val="nil"/>
              <w:left w:val="nil"/>
              <w:bottom w:val="single" w:sz="8" w:space="0" w:color="auto"/>
              <w:right w:val="nil"/>
            </w:tcBorders>
            <w:shd w:val="clear" w:color="auto" w:fill="auto"/>
            <w:noWrap/>
            <w:vAlign w:val="center"/>
            <w:hideMark/>
          </w:tcPr>
          <w:p w14:paraId="34B19776" w14:textId="77777777" w:rsidR="002C38F8" w:rsidRPr="00666914" w:rsidRDefault="002C38F8" w:rsidP="002C38F8">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115</w:t>
            </w:r>
          </w:p>
        </w:tc>
        <w:tc>
          <w:tcPr>
            <w:tcW w:w="305" w:type="pct"/>
            <w:tcBorders>
              <w:top w:val="nil"/>
              <w:left w:val="nil"/>
              <w:bottom w:val="single" w:sz="8" w:space="0" w:color="auto"/>
              <w:right w:val="nil"/>
            </w:tcBorders>
            <w:shd w:val="clear" w:color="auto" w:fill="auto"/>
            <w:noWrap/>
            <w:vAlign w:val="center"/>
            <w:hideMark/>
          </w:tcPr>
          <w:p w14:paraId="1C0C571F" w14:textId="77777777" w:rsidR="002C38F8" w:rsidRPr="00666914" w:rsidRDefault="002C38F8" w:rsidP="002C38F8">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91</w:t>
            </w:r>
          </w:p>
        </w:tc>
        <w:tc>
          <w:tcPr>
            <w:tcW w:w="497" w:type="pct"/>
            <w:tcBorders>
              <w:top w:val="nil"/>
              <w:left w:val="nil"/>
              <w:bottom w:val="single" w:sz="8" w:space="0" w:color="auto"/>
              <w:right w:val="nil"/>
            </w:tcBorders>
            <w:shd w:val="clear" w:color="auto" w:fill="auto"/>
            <w:noWrap/>
            <w:vAlign w:val="center"/>
            <w:hideMark/>
          </w:tcPr>
          <w:p w14:paraId="2076FE28" w14:textId="77777777" w:rsidR="002C38F8" w:rsidRPr="00666914" w:rsidRDefault="002C38F8" w:rsidP="002C38F8">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4,2</w:t>
            </w:r>
          </w:p>
        </w:tc>
      </w:tr>
    </w:tbl>
    <w:p w14:paraId="65579E0A" w14:textId="03112487" w:rsidR="008E7D9E" w:rsidRPr="00666914" w:rsidRDefault="002124E4">
      <w:pPr>
        <w:jc w:val="right"/>
        <w:rPr>
          <w:rFonts w:eastAsia="Arial Narrow" w:cs="Arial Narrow"/>
          <w:i/>
          <w:sz w:val="18"/>
          <w:szCs w:val="18"/>
        </w:rPr>
      </w:pPr>
      <w:r w:rsidRPr="00666914">
        <w:rPr>
          <w:rFonts w:eastAsia="Arial Narrow" w:cs="Arial Narrow"/>
          <w:i/>
          <w:sz w:val="18"/>
          <w:szCs w:val="18"/>
        </w:rPr>
        <w:t xml:space="preserve"> </w:t>
      </w:r>
      <w:r w:rsidR="008E7D9E" w:rsidRPr="00666914">
        <w:rPr>
          <w:rFonts w:eastAsia="Arial Narrow" w:cs="Arial Narrow"/>
          <w:i/>
          <w:sz w:val="18"/>
          <w:szCs w:val="18"/>
        </w:rPr>
        <w:t>Zdroj: IJ, MŽP SR</w:t>
      </w:r>
    </w:p>
    <w:p w14:paraId="6D56CFCE" w14:textId="3482DB97" w:rsidR="008E7D9E" w:rsidRPr="00666914" w:rsidRDefault="008E7D9E">
      <w:pPr>
        <w:rPr>
          <w:rFonts w:eastAsia="Arial Narrow" w:cs="Arial Narrow"/>
        </w:rPr>
      </w:pPr>
      <w:r w:rsidRPr="00666914">
        <w:rPr>
          <w:rFonts w:eastAsia="Arial Narrow" w:cs="Arial Narrow"/>
          <w:b/>
        </w:rPr>
        <w:t xml:space="preserve">Zvýšené poplatky za skládkovanie vygenerovali Environmentálnemu fondu v roku 2019 vyšší </w:t>
      </w:r>
      <w:r w:rsidR="001B7535" w:rsidRPr="00666914">
        <w:rPr>
          <w:rFonts w:eastAsia="Arial Narrow" w:cs="Arial Narrow"/>
          <w:b/>
        </w:rPr>
        <w:t xml:space="preserve">ročný </w:t>
      </w:r>
      <w:r w:rsidRPr="00666914">
        <w:rPr>
          <w:rFonts w:eastAsia="Arial Narrow" w:cs="Arial Narrow"/>
          <w:b/>
        </w:rPr>
        <w:t>výnos o </w:t>
      </w:r>
      <w:r w:rsidR="002A781E" w:rsidRPr="00666914">
        <w:rPr>
          <w:rFonts w:eastAsia="Arial Narrow" w:cs="Arial Narrow"/>
          <w:b/>
        </w:rPr>
        <w:t>4</w:t>
      </w:r>
      <w:r w:rsidRPr="00666914">
        <w:rPr>
          <w:rFonts w:eastAsia="Arial Narrow" w:cs="Arial Narrow"/>
          <w:b/>
        </w:rPr>
        <w:t xml:space="preserve"> mil. eur.</w:t>
      </w:r>
      <w:r w:rsidRPr="00666914">
        <w:rPr>
          <w:rFonts w:eastAsia="Arial Narrow" w:cs="Arial Narrow"/>
        </w:rPr>
        <w:t xml:space="preserve"> Zákon o poplatkoch za uloženie odpadov</w:t>
      </w:r>
      <w:r w:rsidRPr="00666914">
        <w:rPr>
          <w:rFonts w:eastAsia="Arial Narrow" w:cs="Arial Narrow"/>
          <w:vertAlign w:val="superscript"/>
        </w:rPr>
        <w:footnoteReference w:id="251"/>
      </w:r>
      <w:r w:rsidRPr="00666914">
        <w:rPr>
          <w:rFonts w:eastAsia="Arial Narrow" w:cs="Arial Narrow"/>
          <w:b/>
        </w:rPr>
        <w:t>,</w:t>
      </w:r>
      <w:r w:rsidRPr="00666914">
        <w:rPr>
          <w:rFonts w:eastAsia="Arial Narrow" w:cs="Arial Narrow"/>
        </w:rPr>
        <w:t xml:space="preserve"> rovnako ako aj nariadenie vlády </w:t>
      </w:r>
      <w:sdt>
        <w:sdtPr>
          <w:tag w:val="goog_rdk_1"/>
          <w:id w:val="47185378"/>
        </w:sdtPr>
        <w:sdtEndPr/>
        <w:sdtContent/>
      </w:sdt>
      <w:r w:rsidRPr="00666914">
        <w:rPr>
          <w:rFonts w:eastAsia="Arial Narrow" w:cs="Arial Narrow"/>
        </w:rPr>
        <w:t>Slovenskej republiky</w:t>
      </w:r>
      <w:r w:rsidRPr="00666914">
        <w:rPr>
          <w:rFonts w:eastAsia="Arial Narrow" w:cs="Arial Narrow"/>
          <w:vertAlign w:val="superscript"/>
        </w:rPr>
        <w:footnoteReference w:id="252"/>
      </w:r>
      <w:r w:rsidRPr="00666914">
        <w:rPr>
          <w:rFonts w:eastAsia="Arial Narrow" w:cs="Arial Narrow"/>
        </w:rPr>
        <w:t xml:space="preserve">, ktorým sa ustanovuje výška nových sadzieb poplatkov za uloženie odpadov, sú účinné od 01/2019. Implementačný plán pre rok 2019 predpokladal </w:t>
      </w:r>
      <w:r w:rsidR="001B7535" w:rsidRPr="00666914">
        <w:rPr>
          <w:rFonts w:eastAsia="Arial Narrow" w:cs="Arial Narrow"/>
        </w:rPr>
        <w:t xml:space="preserve">celkový </w:t>
      </w:r>
      <w:r w:rsidRPr="00666914">
        <w:rPr>
          <w:rFonts w:eastAsia="Arial Narrow" w:cs="Arial Narrow"/>
        </w:rPr>
        <w:t>výnos z komunálne</w:t>
      </w:r>
      <w:r w:rsidR="005B3577" w:rsidRPr="00666914">
        <w:rPr>
          <w:rFonts w:eastAsia="Arial Narrow" w:cs="Arial Narrow"/>
        </w:rPr>
        <w:t>ho odpadu vo výške 15 mil. eur.</w:t>
      </w:r>
    </w:p>
    <w:p w14:paraId="366EFA70" w14:textId="551997A7" w:rsidR="008E7D9E" w:rsidRPr="00666914" w:rsidRDefault="008E7D9E">
      <w:pPr>
        <w:rPr>
          <w:rFonts w:eastAsia="Arial Narrow" w:cs="Arial Narrow"/>
        </w:rPr>
      </w:pPr>
      <w:r w:rsidRPr="00666914">
        <w:rPr>
          <w:rFonts w:eastAsia="Arial Narrow" w:cs="Arial Narrow"/>
          <w:b/>
        </w:rPr>
        <w:t xml:space="preserve">Na základe politického rozhodnutia (ministrov MF SR a MH SR) sa odhadovaná ročná úspora zo zrušenia fakultatívnych oslobodení (uhlie, elektrina, plyn) vo výške 65 mil. eur do konca roka 2019 </w:t>
      </w:r>
      <w:sdt>
        <w:sdtPr>
          <w:tag w:val="goog_rdk_2"/>
          <w:id w:val="1312519828"/>
        </w:sdtPr>
        <w:sdtEndPr/>
        <w:sdtContent/>
      </w:sdt>
      <w:sdt>
        <w:sdtPr>
          <w:tag w:val="goog_rdk_3"/>
          <w:id w:val="1577244697"/>
        </w:sdtPr>
        <w:sdtEndPr/>
        <w:sdtContent/>
      </w:sdt>
      <w:r w:rsidRPr="00666914">
        <w:rPr>
          <w:rFonts w:eastAsia="Arial Narrow" w:cs="Arial Narrow"/>
          <w:b/>
        </w:rPr>
        <w:t>nezrealizovala.</w:t>
      </w:r>
      <w:r w:rsidRPr="00666914">
        <w:rPr>
          <w:rFonts w:eastAsia="Arial Narrow" w:cs="Arial Narrow"/>
        </w:rPr>
        <w:t xml:space="preserve"> Aj</w:t>
      </w:r>
      <w:r w:rsidRPr="00666914">
        <w:rPr>
          <w:rFonts w:eastAsia="Arial Narrow" w:cs="Arial Narrow"/>
          <w:b/>
        </w:rPr>
        <w:t xml:space="preserve"> </w:t>
      </w:r>
      <w:r w:rsidRPr="00666914">
        <w:rPr>
          <w:rFonts w:eastAsia="Arial Narrow" w:cs="Arial Narrow"/>
        </w:rPr>
        <w:t>napriek hlavnému odporúčaniu IJ, aby MF SR do 11/2019 predložilo na rokovanie vlády novelu zákona o spotrebnej dani z elektriny, uhlia a zemného plynu</w:t>
      </w:r>
      <w:r w:rsidRPr="00666914">
        <w:rPr>
          <w:rFonts w:eastAsia="Arial Narrow" w:cs="Arial Narrow"/>
          <w:vertAlign w:val="superscript"/>
        </w:rPr>
        <w:footnoteReference w:id="253"/>
      </w:r>
      <w:r w:rsidRPr="00666914">
        <w:rPr>
          <w:rFonts w:eastAsia="Arial Narrow" w:cs="Arial Narrow"/>
        </w:rPr>
        <w:t xml:space="preserve">, zavádzajúcu zrušenie fakultatívnych oslobodení, sa tak neudialo. Hoci v priebehu roka 2019 bola do MPK predložená </w:t>
      </w:r>
      <w:sdt>
        <w:sdtPr>
          <w:tag w:val="goog_rdk_4"/>
          <w:id w:val="-831757037"/>
        </w:sdtPr>
        <w:sdtEndPr/>
        <w:sdtContent/>
      </w:sdt>
      <w:r w:rsidRPr="00666914">
        <w:rPr>
          <w:rFonts w:eastAsia="Arial Narrow" w:cs="Arial Narrow"/>
        </w:rPr>
        <w:t>novela zákona č. 609/2007</w:t>
      </w:r>
      <w:r w:rsidRPr="00666914">
        <w:rPr>
          <w:rFonts w:eastAsia="Arial Narrow" w:cs="Arial Narrow"/>
          <w:vertAlign w:val="superscript"/>
        </w:rPr>
        <w:footnoteReference w:id="254"/>
      </w:r>
      <w:r w:rsidRPr="00666914">
        <w:rPr>
          <w:rFonts w:eastAsia="Arial Narrow" w:cs="Arial Narrow"/>
        </w:rPr>
        <w:t xml:space="preserve"> o spotrebnej dani z elektriny, uhlia a zemného plynu, realizované zmeny boli bez ustanovení týkajúcich sa zmeny fakultatívnych oslobodení. Po skončení platnosti štátnej pomoci tak existuje od 06/2018 právne vákuum v neprospech SR, keďže SR nemá odsúhla</w:t>
      </w:r>
      <w:r w:rsidR="005B3577" w:rsidRPr="00666914">
        <w:rPr>
          <w:rFonts w:eastAsia="Arial Narrow" w:cs="Arial Narrow"/>
        </w:rPr>
        <w:t>senú štátnu pomoc zo strany EÚ.</w:t>
      </w:r>
    </w:p>
    <w:p w14:paraId="0A2CCD2C" w14:textId="3676A4C5" w:rsidR="008E7D9E" w:rsidRPr="00666914" w:rsidRDefault="008E7D9E" w:rsidP="00D937F7">
      <w:pPr>
        <w:spacing w:before="240"/>
        <w:rPr>
          <w:rFonts w:eastAsia="Arial Narrow" w:cs="Arial Narrow"/>
          <w:b/>
        </w:rPr>
      </w:pPr>
      <w:r w:rsidRPr="00666914">
        <w:rPr>
          <w:rFonts w:eastAsia="Arial Narrow" w:cs="Arial Narrow"/>
          <w:b/>
        </w:rPr>
        <w:t xml:space="preserve">Od ukončenia auditu BCG v SVP š.p. v roku 2017, po identifikovaní úsporných opatrení a následne schválenej Revízii výdavkov na životné prostredie, sa SVP š.p. nedarí napĺňať odporúčania auditu a generovať úspory. Úspora 14 mil. eur nebola do konca roka 2019 </w:t>
      </w:r>
      <w:sdt>
        <w:sdtPr>
          <w:tag w:val="goog_rdk_5"/>
          <w:id w:val="1834952636"/>
        </w:sdtPr>
        <w:sdtEndPr/>
        <w:sdtContent/>
      </w:sdt>
      <w:r w:rsidRPr="00666914">
        <w:rPr>
          <w:rFonts w:eastAsia="Arial Narrow" w:cs="Arial Narrow"/>
          <w:b/>
        </w:rPr>
        <w:t>dosiahnutá.</w:t>
      </w:r>
      <w:r w:rsidRPr="00666914">
        <w:rPr>
          <w:rFonts w:eastAsia="Arial Narrow" w:cs="Arial Narrow"/>
        </w:rPr>
        <w:t xml:space="preserve"> Naopak, naďalej sa  prehlbuje strata</w:t>
      </w:r>
      <w:r w:rsidRPr="00666914">
        <w:rPr>
          <w:rFonts w:eastAsia="Arial Narrow" w:cs="Arial Narrow"/>
          <w:vertAlign w:val="superscript"/>
        </w:rPr>
        <w:footnoteReference w:id="255"/>
      </w:r>
      <w:r w:rsidRPr="00666914">
        <w:rPr>
          <w:rFonts w:eastAsia="Arial Narrow" w:cs="Arial Narrow"/>
        </w:rPr>
        <w:t xml:space="preserve"> podniku. IJ preto v priebehu roka 2019 začala spolupracovať s SVP š.p. a MŽP SR na vypracovaní Implementačného plánu SVP š.p., ako pokračovanie projektu Efektivita (audit BCG). IJ identifikovala, že SVP š. p. má priestor na zlepšenie svojho hospodárenia, predovšetkým efektívnejším nákupom tovarov a služieb, centralizáciou podporných činností a zefektívnením výkonu zamestnancov na technicko-prevádzkovom a inžinierskom aparáte. Ide o administratívno-podporné procesy, ktoré dokážu redistribuovať verejné zdroje v prospech hlavnej činnosti v celkovej hodnote 18 mil. eur. Dodatočné prostriedky môže podnik získať aj predajom nepotrebného majetku. </w:t>
      </w:r>
      <w:r w:rsidRPr="00666914">
        <w:rPr>
          <w:rFonts w:eastAsia="Arial Narrow" w:cs="Arial Narrow"/>
          <w:b/>
        </w:rPr>
        <w:t xml:space="preserve">IJ identifikovala postupnú potenciálnu finančnú úsporu vo výške 18 mil. eur ročne, </w:t>
      </w:r>
      <w:r w:rsidRPr="00666914">
        <w:rPr>
          <w:rFonts w:eastAsia="Arial Narrow" w:cs="Arial Narrow"/>
          <w:b/>
        </w:rPr>
        <w:lastRenderedPageBreak/>
        <w:t>predaj majetku prinesie jednorazovo minimálne ďalších 4,1 mil. eur. Na základe analytických prepočtov považuje IJ úsporu vo výške 14 mil. eur pre rok 2019 za realistickú.</w:t>
      </w:r>
    </w:p>
    <w:p w14:paraId="4F9B0DA1" w14:textId="47E5ED5C" w:rsidR="008E7D9E" w:rsidRPr="00666914" w:rsidRDefault="008E7D9E" w:rsidP="00D937F7">
      <w:pPr>
        <w:rPr>
          <w:rFonts w:eastAsia="Arial Narrow" w:cs="Arial Narrow"/>
        </w:rPr>
      </w:pPr>
      <w:r w:rsidRPr="00666914">
        <w:rPr>
          <w:rFonts w:eastAsia="Arial Narrow" w:cs="Arial Narrow"/>
          <w:b/>
        </w:rPr>
        <w:t xml:space="preserve">Zavedenie inovatívnych foriem financovania Štátnej ochrany prírody SR (ŠOP SR) s očakávanou ročnou </w:t>
      </w:r>
      <w:sdt>
        <w:sdtPr>
          <w:tag w:val="goog_rdk_6"/>
          <w:id w:val="-1593235703"/>
        </w:sdtPr>
        <w:sdtEndPr/>
        <w:sdtContent/>
      </w:sdt>
      <w:sdt>
        <w:sdtPr>
          <w:tag w:val="goog_rdk_7"/>
          <w:id w:val="-527487292"/>
        </w:sdtPr>
        <w:sdtEndPr/>
        <w:sdtContent/>
      </w:sdt>
      <w:r w:rsidRPr="00666914">
        <w:rPr>
          <w:rFonts w:eastAsia="Arial Narrow" w:cs="Arial Narrow"/>
          <w:b/>
        </w:rPr>
        <w:t xml:space="preserve">úsporou 6 mil. eur, prinieslo v roku 2019 úsporu iba 195 tis. eur. Viaceré odporúčané opatrenia revízie v tomto smere neboli zavedené. </w:t>
      </w:r>
      <w:r w:rsidRPr="00666914">
        <w:rPr>
          <w:rFonts w:eastAsia="Arial Narrow" w:cs="Arial Narrow"/>
        </w:rPr>
        <w:t>Jednou z možností, ktorá dokáže pravidelné dodatočné príjmy ŠOP SR vygenerovať, je spoplatnenie vstupu do národných parkov. Novela zákona č. 543/2002 Z.z. o ochrane prírody a krajiny</w:t>
      </w:r>
      <w:r w:rsidRPr="00666914">
        <w:rPr>
          <w:rFonts w:eastAsia="Arial Narrow" w:cs="Arial Narrow"/>
          <w:vertAlign w:val="superscript"/>
        </w:rPr>
        <w:footnoteReference w:id="256"/>
      </w:r>
      <w:r w:rsidRPr="00666914">
        <w:rPr>
          <w:rFonts w:eastAsia="Arial Narrow" w:cs="Arial Narrow"/>
        </w:rPr>
        <w:t xml:space="preserve"> vstúpila do platnosti v roku 2020. V rámci nej došlo k zefektívneniu procesu pri uplatnení predkupného práva </w:t>
      </w:r>
      <w:sdt>
        <w:sdtPr>
          <w:tag w:val="goog_rdk_8"/>
          <w:id w:val="-1379773946"/>
        </w:sdtPr>
        <w:sdtEndPr/>
        <w:sdtContent/>
      </w:sdt>
      <w:sdt>
        <w:sdtPr>
          <w:tag w:val="goog_rdk_9"/>
          <w:id w:val="297886072"/>
        </w:sdtPr>
        <w:sdtEndPr/>
        <w:sdtContent/>
      </w:sdt>
      <w:r w:rsidRPr="00666914">
        <w:rPr>
          <w:rFonts w:eastAsia="Arial Narrow" w:cs="Arial Narrow"/>
        </w:rPr>
        <w:t>štátu</w:t>
      </w:r>
      <w:r w:rsidRPr="00666914">
        <w:rPr>
          <w:rFonts w:eastAsia="Arial Narrow" w:cs="Arial Narrow"/>
          <w:vertAlign w:val="superscript"/>
        </w:rPr>
        <w:footnoteReference w:id="257"/>
      </w:r>
      <w:r w:rsidRPr="00666914">
        <w:rPr>
          <w:rFonts w:eastAsia="Arial Narrow" w:cs="Arial Narrow"/>
        </w:rPr>
        <w:t>. Presun správy v 3. - 5. stupni na ŠOP SR však z dôvodu nesúhlasu MPRV SR neprešiel</w:t>
      </w:r>
      <w:r w:rsidR="00D53B0A" w:rsidRPr="00666914">
        <w:rPr>
          <w:rFonts w:eastAsia="Arial Narrow" w:cs="Arial Narrow"/>
        </w:rPr>
        <w:t>,</w:t>
      </w:r>
      <w:r w:rsidRPr="00666914">
        <w:rPr>
          <w:rFonts w:eastAsia="Arial Narrow" w:cs="Arial Narrow"/>
        </w:rPr>
        <w:t xml:space="preserve"> a preto nie je možné zaviesť vstupné do národných parkov okamžite. </w:t>
      </w:r>
      <w:r w:rsidRPr="00666914">
        <w:rPr>
          <w:rFonts w:eastAsia="Arial Narrow" w:cs="Arial Narrow"/>
          <w:b/>
        </w:rPr>
        <w:t xml:space="preserve">Podľa názoru IJ je potrebné uvažovať </w:t>
      </w:r>
      <w:sdt>
        <w:sdtPr>
          <w:tag w:val="goog_rdk_10"/>
          <w:id w:val="-1159914395"/>
        </w:sdtPr>
        <w:sdtEndPr/>
        <w:sdtContent/>
      </w:sdt>
      <w:sdt>
        <w:sdtPr>
          <w:tag w:val="goog_rdk_11"/>
          <w:id w:val="-1814547788"/>
        </w:sdtPr>
        <w:sdtEndPr/>
        <w:sdtContent/>
      </w:sdt>
      <w:r w:rsidRPr="00666914">
        <w:rPr>
          <w:rFonts w:eastAsia="Arial Narrow" w:cs="Arial Narrow"/>
          <w:b/>
        </w:rPr>
        <w:t>nad zavedením spoplatnenia vstupu aj na pozemkoch, ktoré sú v správe súkromných vlastníkov alebo štátu.</w:t>
      </w:r>
      <w:r w:rsidRPr="00666914">
        <w:rPr>
          <w:rFonts w:eastAsia="Arial Narrow" w:cs="Arial Narrow"/>
        </w:rPr>
        <w:t xml:space="preserve"> Je však potrebné si dané pozemky od iných vlastníkov prenajať a dohodnúť podmienky využitia vyzbieraných finančných prostriedkov zo vstupného. V NP Slovenský raj </w:t>
      </w:r>
      <w:sdt>
        <w:sdtPr>
          <w:tag w:val="goog_rdk_12"/>
          <w:id w:val="1810369490"/>
        </w:sdtPr>
        <w:sdtEndPr/>
        <w:sdtContent/>
      </w:sdt>
      <w:r w:rsidRPr="00666914">
        <w:rPr>
          <w:rFonts w:eastAsia="Arial Narrow" w:cs="Arial Narrow"/>
        </w:rPr>
        <w:t>začali rokovania o prenájme technických zariadení v území od obcí, ktoré ich vlastnia a v súčasnosti vyberajú poplatok za ich využívanie, ktorý by mal byť využitý aj na údržbu uvedených technických zariadení. V prípade prenájmu týchto zariadení, po odpočítaní finančných prostriedkov nevyhnutných</w:t>
      </w:r>
      <w:sdt>
        <w:sdtPr>
          <w:tag w:val="goog_rdk_13"/>
          <w:id w:val="-864514602"/>
        </w:sdtPr>
        <w:sdtEndPr/>
        <w:sdtContent/>
      </w:sdt>
      <w:r w:rsidRPr="00666914">
        <w:rPr>
          <w:rFonts w:eastAsia="Arial Narrow" w:cs="Arial Narrow"/>
        </w:rPr>
        <w:t xml:space="preserve"> na údržbu a nájom zariadení, by ostatné finančné prostriedky získané z tejto činnosti mohli byť zdrojom inovatívneho financovania ŠOP SR. Je však potrebné, aby ŠOP SR a MŽP SR okrem tejto možnosti hľadali aj i</w:t>
      </w:r>
      <w:r w:rsidR="005B3577" w:rsidRPr="00666914">
        <w:rPr>
          <w:rFonts w:eastAsia="Arial Narrow" w:cs="Arial Narrow"/>
        </w:rPr>
        <w:t>né zdroje inovatívnych príjmov.</w:t>
      </w:r>
    </w:p>
    <w:p w14:paraId="0A66ACBD" w14:textId="3522B270" w:rsidR="005019FB" w:rsidRPr="00666914" w:rsidRDefault="008E7D9E" w:rsidP="00CC1C9B">
      <w:pPr>
        <w:keepNext/>
        <w:keepLines/>
        <w:spacing w:before="40" w:after="240"/>
        <w:rPr>
          <w:rFonts w:eastAsia="Arial Narrow" w:cs="Arial Narrow"/>
        </w:rPr>
      </w:pPr>
      <w:r w:rsidRPr="00666914">
        <w:rPr>
          <w:rFonts w:eastAsia="Arial Narrow" w:cs="Arial Narrow"/>
          <w:b/>
        </w:rPr>
        <w:t>Z piatich hodnotových opatrení v rezorte životného prostredia sa do konca roku 2019 nepodarilo ú</w:t>
      </w:r>
      <w:sdt>
        <w:sdtPr>
          <w:tag w:val="goog_rdk_14"/>
          <w:id w:val="1607078401"/>
        </w:sdtPr>
        <w:sdtEndPr/>
        <w:sdtContent/>
      </w:sdt>
      <w:r w:rsidRPr="00666914">
        <w:rPr>
          <w:rFonts w:eastAsia="Arial Narrow" w:cs="Arial Narrow"/>
          <w:b/>
        </w:rPr>
        <w:t>plne implementovať žiadne.</w:t>
      </w:r>
      <w:r w:rsidRPr="00666914">
        <w:rPr>
          <w:rFonts w:eastAsia="Arial Narrow" w:cs="Arial Narrow"/>
        </w:rPr>
        <w:t xml:space="preserve"> Z opatrení, ktoré majú pomôcť znížiť znečistenie ovzdušia, výrazne napreduje len podpora výmeny efektívnejších spaľovacích zariadení pre domácnosti (kotlíkové dotácie), kde už bola vyhlásená výzva zameraná na náhradu zastaraných spaľovacích zariadení v domácnostiach za nízkoemisné</w:t>
      </w:r>
      <w:r w:rsidRPr="00666914">
        <w:rPr>
          <w:rFonts w:eastAsia="Arial Narrow" w:cs="Arial Narrow"/>
          <w:vertAlign w:val="superscript"/>
        </w:rPr>
        <w:footnoteReference w:id="258"/>
      </w:r>
      <w:r w:rsidRPr="00666914">
        <w:rPr>
          <w:rFonts w:eastAsia="Arial Narrow" w:cs="Arial Narrow"/>
        </w:rPr>
        <w:t>. Opatreniam, ktoré majú za cieľ zvýšiť pripojenosť obyvateľstva na verejnú kanalizáciu, pomôže k plneniu vládou schválený Národný plán kanalizácií</w:t>
      </w:r>
      <w:r w:rsidRPr="00666914">
        <w:rPr>
          <w:rFonts w:eastAsia="Arial Narrow" w:cs="Arial Narrow"/>
          <w:vertAlign w:val="superscript"/>
        </w:rPr>
        <w:footnoteReference w:id="259"/>
      </w:r>
      <w:r w:rsidRPr="00666914">
        <w:rPr>
          <w:rFonts w:eastAsia="Arial Narrow" w:cs="Arial Narrow"/>
        </w:rPr>
        <w:t>, kde už Environmentálny fond vyhlásil prvú výzvu na predloženie žiadostí na poskytnutie dotácií</w:t>
      </w:r>
      <w:r w:rsidRPr="00666914">
        <w:rPr>
          <w:rFonts w:eastAsia="Arial Narrow" w:cs="Arial Narrow"/>
          <w:vertAlign w:val="superscript"/>
        </w:rPr>
        <w:footnoteReference w:id="260"/>
      </w:r>
      <w:r w:rsidRPr="00666914">
        <w:rPr>
          <w:rFonts w:eastAsia="Arial Narrow" w:cs="Arial Narrow"/>
        </w:rPr>
        <w:t>.</w:t>
      </w:r>
    </w:p>
    <w:p w14:paraId="0F245200" w14:textId="77777777" w:rsidR="005019FB" w:rsidRPr="00666914" w:rsidRDefault="005019FB">
      <w:pPr>
        <w:spacing w:after="0"/>
        <w:jc w:val="left"/>
        <w:rPr>
          <w:rFonts w:eastAsia="Arial Narrow" w:cs="Arial Narrow"/>
        </w:rPr>
      </w:pPr>
      <w:r w:rsidRPr="00666914">
        <w:rPr>
          <w:rFonts w:eastAsia="Arial Narrow" w:cs="Arial Narrow"/>
        </w:rPr>
        <w:br w:type="page"/>
      </w:r>
    </w:p>
    <w:p w14:paraId="5A53F773" w14:textId="40E9D7F2" w:rsidR="008E7D9E" w:rsidRPr="00666914" w:rsidRDefault="008E7D9E" w:rsidP="00DF06BD">
      <w:pPr>
        <w:spacing w:after="0"/>
        <w:rPr>
          <w:rFonts w:eastAsia="Arial Narrow" w:cs="Arial Narrow"/>
          <w:b/>
          <w:sz w:val="20"/>
          <w:szCs w:val="20"/>
        </w:rPr>
      </w:pPr>
      <w:bookmarkStart w:id="320" w:name="_Toc38447725"/>
      <w:r w:rsidRPr="00666914">
        <w:rPr>
          <w:rFonts w:eastAsia="Arial Narrow" w:cs="Arial Narrow"/>
          <w:b/>
          <w:sz w:val="20"/>
          <w:szCs w:val="20"/>
        </w:rPr>
        <w:lastRenderedPageBreak/>
        <w:t xml:space="preserve">Tabuľka </w:t>
      </w:r>
      <w:r w:rsidRPr="00666914">
        <w:rPr>
          <w:rFonts w:eastAsia="Arial Narrow" w:cs="Arial Narrow"/>
          <w:b/>
          <w:sz w:val="20"/>
          <w:szCs w:val="20"/>
        </w:rPr>
        <w:fldChar w:fldCharType="begin"/>
      </w:r>
      <w:r w:rsidRPr="00666914">
        <w:rPr>
          <w:rFonts w:eastAsia="Arial Narrow" w:cs="Arial Narrow"/>
          <w:b/>
          <w:sz w:val="20"/>
          <w:szCs w:val="20"/>
        </w:rPr>
        <w:instrText xml:space="preserve"> SEQ Tabuľka \* ARABIC \* MERGEFORMAT </w:instrText>
      </w:r>
      <w:r w:rsidRPr="00666914">
        <w:rPr>
          <w:rFonts w:eastAsia="Arial Narrow" w:cs="Arial Narrow"/>
          <w:b/>
          <w:sz w:val="20"/>
          <w:szCs w:val="20"/>
        </w:rPr>
        <w:fldChar w:fldCharType="separate"/>
      </w:r>
      <w:r w:rsidR="005A7304">
        <w:rPr>
          <w:rFonts w:eastAsia="Arial Narrow" w:cs="Arial Narrow"/>
          <w:b/>
          <w:noProof/>
          <w:sz w:val="20"/>
          <w:szCs w:val="20"/>
        </w:rPr>
        <w:t>64</w:t>
      </w:r>
      <w:r w:rsidRPr="00666914">
        <w:rPr>
          <w:rFonts w:eastAsia="Arial Narrow" w:cs="Arial Narrow"/>
          <w:b/>
          <w:sz w:val="20"/>
          <w:szCs w:val="20"/>
        </w:rPr>
        <w:fldChar w:fldCharType="end"/>
      </w:r>
      <w:r w:rsidRPr="00666914">
        <w:rPr>
          <w:rFonts w:eastAsia="Arial Narrow" w:cs="Arial Narrow"/>
          <w:b/>
          <w:sz w:val="20"/>
          <w:szCs w:val="20"/>
        </w:rPr>
        <w:t xml:space="preserve">: Plnenie hlavných odporúčaní IJ </w:t>
      </w:r>
      <w:r w:rsidR="005B3577" w:rsidRPr="00666914">
        <w:rPr>
          <w:rFonts w:eastAsia="Arial Narrow" w:cs="Arial Narrow"/>
          <w:b/>
          <w:sz w:val="20"/>
          <w:szCs w:val="20"/>
        </w:rPr>
        <w:t xml:space="preserve">ÚV SR </w:t>
      </w:r>
      <w:r w:rsidRPr="00666914">
        <w:rPr>
          <w:rFonts w:eastAsia="Arial Narrow" w:cs="Arial Narrow"/>
          <w:b/>
          <w:sz w:val="20"/>
          <w:szCs w:val="20"/>
        </w:rPr>
        <w:t>pre MŽP SR v Priebežnej implementačnej správe 2019</w:t>
      </w:r>
      <w:bookmarkEnd w:id="320"/>
    </w:p>
    <w:tbl>
      <w:tblPr>
        <w:tblW w:w="9072" w:type="dxa"/>
        <w:tblLayout w:type="fixed"/>
        <w:tblLook w:val="0400" w:firstRow="0" w:lastRow="0" w:firstColumn="0" w:lastColumn="0" w:noHBand="0" w:noVBand="1"/>
      </w:tblPr>
      <w:tblGrid>
        <w:gridCol w:w="7372"/>
        <w:gridCol w:w="1700"/>
      </w:tblGrid>
      <w:tr w:rsidR="008E7D9E" w:rsidRPr="00666914" w14:paraId="3E12AA01" w14:textId="77777777">
        <w:trPr>
          <w:trHeight w:val="680"/>
        </w:trPr>
        <w:tc>
          <w:tcPr>
            <w:tcW w:w="7372" w:type="dxa"/>
            <w:tcBorders>
              <w:top w:val="single" w:sz="4" w:space="0" w:color="000000"/>
              <w:left w:val="nil"/>
              <w:bottom w:val="nil"/>
              <w:right w:val="nil"/>
            </w:tcBorders>
            <w:shd w:val="clear" w:color="auto" w:fill="auto"/>
            <w:vAlign w:val="center"/>
          </w:tcPr>
          <w:p w14:paraId="6248CA65" w14:textId="77777777" w:rsidR="008E7D9E" w:rsidRPr="00666914" w:rsidRDefault="008E7D9E">
            <w:pPr>
              <w:spacing w:after="0"/>
              <w:rPr>
                <w:rFonts w:eastAsia="Arial Narrow" w:cs="Arial Narrow"/>
                <w:sz w:val="20"/>
                <w:szCs w:val="20"/>
              </w:rPr>
            </w:pPr>
            <w:r w:rsidRPr="00666914">
              <w:rPr>
                <w:rFonts w:eastAsia="Arial Narrow" w:cs="Arial Narrow"/>
                <w:sz w:val="20"/>
                <w:szCs w:val="20"/>
              </w:rPr>
              <w:t>Implementovať opatrenia auditu BCG zo strany SVP š. p. na základe príkazu ministra životného prostredia</w:t>
            </w:r>
          </w:p>
        </w:tc>
        <w:tc>
          <w:tcPr>
            <w:tcW w:w="1700" w:type="dxa"/>
            <w:tcBorders>
              <w:top w:val="single" w:sz="4" w:space="0" w:color="000000"/>
              <w:left w:val="nil"/>
              <w:bottom w:val="nil"/>
              <w:right w:val="nil"/>
            </w:tcBorders>
            <w:shd w:val="clear" w:color="auto" w:fill="auto"/>
            <w:vAlign w:val="center"/>
          </w:tcPr>
          <w:p w14:paraId="1D8979CF" w14:textId="77777777" w:rsidR="008E7D9E" w:rsidRPr="00666914" w:rsidRDefault="008E7D9E">
            <w:pPr>
              <w:spacing w:after="0"/>
              <w:rPr>
                <w:rFonts w:eastAsia="Arial Narrow" w:cs="Arial Narrow"/>
                <w:sz w:val="20"/>
                <w:szCs w:val="20"/>
              </w:rPr>
            </w:pPr>
            <w:r w:rsidRPr="00666914">
              <w:rPr>
                <w:noProof/>
                <w:lang w:eastAsia="sk-SK"/>
              </w:rPr>
              <w:drawing>
                <wp:anchor distT="0" distB="0" distL="114300" distR="114300" simplePos="0" relativeHeight="251686912" behindDoc="0" locked="0" layoutInCell="1" hidden="0" allowOverlap="1" wp14:anchorId="5264BCD6" wp14:editId="7DAD4058">
                  <wp:simplePos x="0" y="0"/>
                  <wp:positionH relativeFrom="column">
                    <wp:posOffset>695325</wp:posOffset>
                  </wp:positionH>
                  <wp:positionV relativeFrom="paragraph">
                    <wp:posOffset>-148587</wp:posOffset>
                  </wp:positionV>
                  <wp:extent cx="215900" cy="215900"/>
                  <wp:effectExtent l="0" t="0" r="0" b="0"/>
                  <wp:wrapSquare wrapText="bothSides" distT="0" distB="0" distL="114300" distR="114300"/>
                  <wp:docPr id="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1"/>
                          <a:srcRect/>
                          <a:stretch>
                            <a:fillRect/>
                          </a:stretch>
                        </pic:blipFill>
                        <pic:spPr>
                          <a:xfrm>
                            <a:off x="0" y="0"/>
                            <a:ext cx="215900" cy="215900"/>
                          </a:xfrm>
                          <a:prstGeom prst="rect">
                            <a:avLst/>
                          </a:prstGeom>
                          <a:ln/>
                        </pic:spPr>
                      </pic:pic>
                    </a:graphicData>
                  </a:graphic>
                </wp:anchor>
              </w:drawing>
            </w:r>
          </w:p>
        </w:tc>
      </w:tr>
      <w:tr w:rsidR="008E7D9E" w:rsidRPr="00666914" w14:paraId="44356E0B" w14:textId="77777777">
        <w:trPr>
          <w:trHeight w:val="680"/>
        </w:trPr>
        <w:tc>
          <w:tcPr>
            <w:tcW w:w="7372" w:type="dxa"/>
            <w:tcBorders>
              <w:top w:val="nil"/>
              <w:left w:val="nil"/>
              <w:bottom w:val="nil"/>
              <w:right w:val="nil"/>
            </w:tcBorders>
            <w:shd w:val="clear" w:color="auto" w:fill="auto"/>
            <w:vAlign w:val="center"/>
          </w:tcPr>
          <w:p w14:paraId="6D10BDDB" w14:textId="77777777" w:rsidR="008E7D9E" w:rsidRPr="00666914" w:rsidRDefault="008E7D9E">
            <w:pPr>
              <w:spacing w:after="0"/>
              <w:rPr>
                <w:rFonts w:eastAsia="Arial Narrow" w:cs="Arial Narrow"/>
                <w:sz w:val="20"/>
                <w:szCs w:val="20"/>
              </w:rPr>
            </w:pPr>
            <w:r w:rsidRPr="00666914">
              <w:rPr>
                <w:rFonts w:eastAsia="Arial Narrow" w:cs="Arial Narrow"/>
                <w:sz w:val="20"/>
                <w:szCs w:val="20"/>
              </w:rPr>
              <w:t>Upraviť váhy kritérií v špecifikáciách podpory EF formou dotácie v súlade s odporučeniami IEP</w:t>
            </w:r>
          </w:p>
        </w:tc>
        <w:tc>
          <w:tcPr>
            <w:tcW w:w="1700" w:type="dxa"/>
            <w:tcBorders>
              <w:top w:val="nil"/>
              <w:left w:val="nil"/>
              <w:bottom w:val="nil"/>
              <w:right w:val="nil"/>
            </w:tcBorders>
            <w:shd w:val="clear" w:color="auto" w:fill="auto"/>
            <w:vAlign w:val="center"/>
          </w:tcPr>
          <w:p w14:paraId="36505E10" w14:textId="77777777" w:rsidR="008E7D9E" w:rsidRPr="00666914" w:rsidRDefault="008E7D9E">
            <w:pPr>
              <w:spacing w:after="0"/>
              <w:ind w:left="20" w:hanging="34"/>
              <w:rPr>
                <w:rFonts w:eastAsia="Arial Narrow" w:cs="Arial Narrow"/>
                <w:sz w:val="20"/>
                <w:szCs w:val="20"/>
              </w:rPr>
            </w:pPr>
            <w:r w:rsidRPr="00666914">
              <w:rPr>
                <w:noProof/>
                <w:lang w:eastAsia="sk-SK"/>
              </w:rPr>
              <w:drawing>
                <wp:anchor distT="0" distB="0" distL="0" distR="0" simplePos="0" relativeHeight="251687936" behindDoc="0" locked="0" layoutInCell="1" hidden="0" allowOverlap="1" wp14:anchorId="7A8A71AB" wp14:editId="2C379725">
                  <wp:simplePos x="0" y="0"/>
                  <wp:positionH relativeFrom="column">
                    <wp:posOffset>709295</wp:posOffset>
                  </wp:positionH>
                  <wp:positionV relativeFrom="paragraph">
                    <wp:posOffset>0</wp:posOffset>
                  </wp:positionV>
                  <wp:extent cx="208280" cy="222250"/>
                  <wp:effectExtent l="0" t="0" r="0" b="0"/>
                  <wp:wrapSquare wrapText="bothSides" distT="0" distB="0" distL="0" distR="0"/>
                  <wp:docPr id="10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2"/>
                          <a:srcRect/>
                          <a:stretch>
                            <a:fillRect/>
                          </a:stretch>
                        </pic:blipFill>
                        <pic:spPr>
                          <a:xfrm>
                            <a:off x="0" y="0"/>
                            <a:ext cx="208280" cy="222250"/>
                          </a:xfrm>
                          <a:prstGeom prst="rect">
                            <a:avLst/>
                          </a:prstGeom>
                          <a:ln/>
                        </pic:spPr>
                      </pic:pic>
                    </a:graphicData>
                  </a:graphic>
                </wp:anchor>
              </w:drawing>
            </w:r>
          </w:p>
        </w:tc>
      </w:tr>
      <w:tr w:rsidR="008E7D9E" w:rsidRPr="00666914" w14:paraId="70AAC692" w14:textId="77777777">
        <w:trPr>
          <w:trHeight w:val="680"/>
        </w:trPr>
        <w:tc>
          <w:tcPr>
            <w:tcW w:w="7372" w:type="dxa"/>
            <w:tcBorders>
              <w:top w:val="nil"/>
              <w:left w:val="nil"/>
              <w:right w:val="nil"/>
            </w:tcBorders>
            <w:shd w:val="clear" w:color="auto" w:fill="auto"/>
            <w:vAlign w:val="center"/>
          </w:tcPr>
          <w:p w14:paraId="50CB7ADB" w14:textId="77777777" w:rsidR="008E7D9E" w:rsidRPr="00666914" w:rsidRDefault="008E7D9E">
            <w:pPr>
              <w:spacing w:after="0"/>
              <w:rPr>
                <w:rFonts w:eastAsia="Arial Narrow" w:cs="Arial Narrow"/>
                <w:sz w:val="20"/>
                <w:szCs w:val="20"/>
              </w:rPr>
            </w:pPr>
            <w:r w:rsidRPr="00666914">
              <w:rPr>
                <w:rFonts w:eastAsia="Arial Narrow" w:cs="Arial Narrow"/>
                <w:sz w:val="20"/>
                <w:szCs w:val="20"/>
              </w:rPr>
              <w:t>Dôsledne dodržiavať prioritizáciu stanovenú v PMPR pre nové protipovodňové opatrenia zo strany SVP</w:t>
            </w:r>
          </w:p>
        </w:tc>
        <w:tc>
          <w:tcPr>
            <w:tcW w:w="1700" w:type="dxa"/>
            <w:tcBorders>
              <w:top w:val="nil"/>
              <w:left w:val="nil"/>
              <w:right w:val="nil"/>
            </w:tcBorders>
            <w:shd w:val="clear" w:color="auto" w:fill="auto"/>
            <w:vAlign w:val="center"/>
          </w:tcPr>
          <w:p w14:paraId="2934FBC0" w14:textId="77777777" w:rsidR="008E7D9E" w:rsidRPr="00666914" w:rsidRDefault="008E7D9E">
            <w:pPr>
              <w:spacing w:after="0"/>
              <w:ind w:left="20" w:hanging="34"/>
              <w:jc w:val="right"/>
              <w:rPr>
                <w:rFonts w:eastAsia="Arial Narrow" w:cs="Arial Narrow"/>
                <w:sz w:val="20"/>
                <w:szCs w:val="20"/>
              </w:rPr>
            </w:pPr>
            <w:r w:rsidRPr="00666914">
              <w:rPr>
                <w:noProof/>
                <w:lang w:eastAsia="sk-SK"/>
              </w:rPr>
              <w:drawing>
                <wp:anchor distT="0" distB="0" distL="114300" distR="114300" simplePos="0" relativeHeight="251688960" behindDoc="0" locked="0" layoutInCell="1" hidden="0" allowOverlap="1" wp14:anchorId="6BAE412D" wp14:editId="17075A47">
                  <wp:simplePos x="0" y="0"/>
                  <wp:positionH relativeFrom="column">
                    <wp:posOffset>690880</wp:posOffset>
                  </wp:positionH>
                  <wp:positionV relativeFrom="paragraph">
                    <wp:posOffset>-123821</wp:posOffset>
                  </wp:positionV>
                  <wp:extent cx="215900" cy="215900"/>
                  <wp:effectExtent l="0" t="0" r="0" b="0"/>
                  <wp:wrapSquare wrapText="bothSides" distT="0" distB="0" distL="114300" distR="114300"/>
                  <wp:docPr id="1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1"/>
                          <a:srcRect/>
                          <a:stretch>
                            <a:fillRect/>
                          </a:stretch>
                        </pic:blipFill>
                        <pic:spPr>
                          <a:xfrm>
                            <a:off x="0" y="0"/>
                            <a:ext cx="215900" cy="215900"/>
                          </a:xfrm>
                          <a:prstGeom prst="rect">
                            <a:avLst/>
                          </a:prstGeom>
                          <a:ln/>
                        </pic:spPr>
                      </pic:pic>
                    </a:graphicData>
                  </a:graphic>
                </wp:anchor>
              </w:drawing>
            </w:r>
          </w:p>
        </w:tc>
      </w:tr>
      <w:tr w:rsidR="008E7D9E" w:rsidRPr="00666914" w14:paraId="61BDE9D4" w14:textId="77777777">
        <w:trPr>
          <w:trHeight w:val="680"/>
        </w:trPr>
        <w:tc>
          <w:tcPr>
            <w:tcW w:w="7372" w:type="dxa"/>
            <w:tcBorders>
              <w:top w:val="nil"/>
              <w:left w:val="nil"/>
              <w:bottom w:val="single" w:sz="4" w:space="0" w:color="000000"/>
              <w:right w:val="nil"/>
            </w:tcBorders>
            <w:shd w:val="clear" w:color="auto" w:fill="auto"/>
            <w:vAlign w:val="center"/>
          </w:tcPr>
          <w:p w14:paraId="6290B65D" w14:textId="77777777" w:rsidR="008E7D9E" w:rsidRPr="00666914" w:rsidRDefault="008E7D9E">
            <w:pPr>
              <w:spacing w:after="0"/>
              <w:rPr>
                <w:rFonts w:eastAsia="Arial Narrow" w:cs="Arial Narrow"/>
                <w:sz w:val="20"/>
                <w:szCs w:val="20"/>
              </w:rPr>
            </w:pPr>
            <w:r w:rsidRPr="00666914">
              <w:rPr>
                <w:rFonts w:eastAsia="Arial Narrow" w:cs="Arial Narrow"/>
                <w:sz w:val="20"/>
                <w:szCs w:val="20"/>
              </w:rPr>
              <w:t>Každoročne, v spolupráci s MDV SR, realizovať zber údajov o kontrolách žúmp a udelených pokutách</w:t>
            </w:r>
          </w:p>
          <w:p w14:paraId="64B0FA34" w14:textId="77777777" w:rsidR="008E7D9E" w:rsidRPr="00666914" w:rsidRDefault="008E7D9E">
            <w:pPr>
              <w:spacing w:after="0"/>
              <w:rPr>
                <w:rFonts w:eastAsia="Arial Narrow" w:cs="Arial Narrow"/>
                <w:sz w:val="20"/>
                <w:szCs w:val="20"/>
              </w:rPr>
            </w:pPr>
          </w:p>
          <w:p w14:paraId="747B96B9" w14:textId="77777777" w:rsidR="008E7D9E" w:rsidRPr="00666914" w:rsidRDefault="008E7D9E">
            <w:pPr>
              <w:spacing w:after="0"/>
              <w:rPr>
                <w:rFonts w:eastAsia="Arial Narrow" w:cs="Arial Narrow"/>
                <w:sz w:val="20"/>
                <w:szCs w:val="20"/>
              </w:rPr>
            </w:pPr>
            <w:r w:rsidRPr="00666914">
              <w:rPr>
                <w:rFonts w:eastAsia="Arial Narrow" w:cs="Arial Narrow"/>
                <w:sz w:val="20"/>
                <w:szCs w:val="20"/>
              </w:rPr>
              <w:t>Zanalyzovať a pripraviť návrhy riešenia zavedenia vstupného do národných parkov aj na pozemkoch, ktoré ŠOP nespravuje</w:t>
            </w:r>
          </w:p>
          <w:p w14:paraId="44521E62" w14:textId="77777777" w:rsidR="008E7D9E" w:rsidRPr="00666914" w:rsidRDefault="008E7D9E">
            <w:pPr>
              <w:spacing w:after="0"/>
              <w:rPr>
                <w:rFonts w:eastAsia="Arial Narrow" w:cs="Arial Narrow"/>
                <w:sz w:val="20"/>
                <w:szCs w:val="20"/>
              </w:rPr>
            </w:pPr>
          </w:p>
          <w:p w14:paraId="1D647417" w14:textId="77777777" w:rsidR="008E7D9E" w:rsidRPr="00666914" w:rsidRDefault="008E7D9E">
            <w:pPr>
              <w:spacing w:after="0"/>
              <w:rPr>
                <w:rFonts w:eastAsia="Arial Narrow" w:cs="Arial Narrow"/>
                <w:sz w:val="20"/>
                <w:szCs w:val="20"/>
              </w:rPr>
            </w:pPr>
            <w:r w:rsidRPr="00666914">
              <w:rPr>
                <w:rFonts w:eastAsia="Arial Narrow" w:cs="Arial Narrow"/>
                <w:sz w:val="20"/>
                <w:szCs w:val="20"/>
              </w:rPr>
              <w:t>Vypracovať analýzu vplyvov množstvového zberu</w:t>
            </w:r>
          </w:p>
        </w:tc>
        <w:tc>
          <w:tcPr>
            <w:tcW w:w="1700" w:type="dxa"/>
            <w:tcBorders>
              <w:top w:val="nil"/>
              <w:left w:val="nil"/>
              <w:bottom w:val="single" w:sz="4" w:space="0" w:color="000000"/>
              <w:right w:val="nil"/>
            </w:tcBorders>
            <w:shd w:val="clear" w:color="auto" w:fill="auto"/>
            <w:vAlign w:val="center"/>
          </w:tcPr>
          <w:p w14:paraId="31C64BB5" w14:textId="77777777" w:rsidR="008E7D9E" w:rsidRPr="00666914" w:rsidRDefault="008E7D9E">
            <w:pPr>
              <w:spacing w:after="0"/>
              <w:ind w:left="20" w:hanging="34"/>
              <w:jc w:val="right"/>
              <w:rPr>
                <w:rFonts w:eastAsia="Arial Narrow" w:cs="Arial Narrow"/>
                <w:sz w:val="20"/>
                <w:szCs w:val="20"/>
              </w:rPr>
            </w:pPr>
            <w:r w:rsidRPr="00666914">
              <w:rPr>
                <w:noProof/>
                <w:lang w:eastAsia="sk-SK"/>
              </w:rPr>
              <w:drawing>
                <wp:anchor distT="0" distB="0" distL="0" distR="0" simplePos="0" relativeHeight="251689984" behindDoc="0" locked="0" layoutInCell="1" hidden="0" allowOverlap="1" wp14:anchorId="101F243F" wp14:editId="15BE3F2F">
                  <wp:simplePos x="0" y="0"/>
                  <wp:positionH relativeFrom="column">
                    <wp:posOffset>699135</wp:posOffset>
                  </wp:positionH>
                  <wp:positionV relativeFrom="paragraph">
                    <wp:posOffset>763270</wp:posOffset>
                  </wp:positionV>
                  <wp:extent cx="208280" cy="222250"/>
                  <wp:effectExtent l="0" t="0" r="0" b="0"/>
                  <wp:wrapSquare wrapText="bothSides" distT="0" distB="0" distL="0" distR="0"/>
                  <wp:docPr id="9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2"/>
                          <a:srcRect/>
                          <a:stretch>
                            <a:fillRect/>
                          </a:stretch>
                        </pic:blipFill>
                        <pic:spPr>
                          <a:xfrm>
                            <a:off x="0" y="0"/>
                            <a:ext cx="208280" cy="222250"/>
                          </a:xfrm>
                          <a:prstGeom prst="rect">
                            <a:avLst/>
                          </a:prstGeom>
                          <a:ln/>
                        </pic:spPr>
                      </pic:pic>
                    </a:graphicData>
                  </a:graphic>
                </wp:anchor>
              </w:drawing>
            </w:r>
            <w:r w:rsidRPr="00666914">
              <w:rPr>
                <w:noProof/>
                <w:lang w:eastAsia="sk-SK"/>
              </w:rPr>
              <w:drawing>
                <wp:anchor distT="0" distB="0" distL="114300" distR="114300" simplePos="0" relativeHeight="251691008" behindDoc="0" locked="0" layoutInCell="1" hidden="0" allowOverlap="1" wp14:anchorId="3E8AADB0" wp14:editId="69361AF1">
                  <wp:simplePos x="0" y="0"/>
                  <wp:positionH relativeFrom="column">
                    <wp:posOffset>701675</wp:posOffset>
                  </wp:positionH>
                  <wp:positionV relativeFrom="paragraph">
                    <wp:posOffset>0</wp:posOffset>
                  </wp:positionV>
                  <wp:extent cx="215900" cy="215900"/>
                  <wp:effectExtent l="0" t="0" r="0" b="0"/>
                  <wp:wrapSquare wrapText="bothSides" distT="0" distB="0" distL="114300" distR="114300"/>
                  <wp:docPr id="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6"/>
                          <a:srcRect/>
                          <a:stretch>
                            <a:fillRect/>
                          </a:stretch>
                        </pic:blipFill>
                        <pic:spPr>
                          <a:xfrm>
                            <a:off x="0" y="0"/>
                            <a:ext cx="215900" cy="215900"/>
                          </a:xfrm>
                          <a:prstGeom prst="rect">
                            <a:avLst/>
                          </a:prstGeom>
                          <a:ln/>
                        </pic:spPr>
                      </pic:pic>
                    </a:graphicData>
                  </a:graphic>
                </wp:anchor>
              </w:drawing>
            </w:r>
          </w:p>
          <w:p w14:paraId="1F531ED2" w14:textId="77777777" w:rsidR="008E7D9E" w:rsidRPr="00666914" w:rsidRDefault="008E7D9E">
            <w:pPr>
              <w:rPr>
                <w:rFonts w:eastAsia="Arial Narrow" w:cs="Arial Narrow"/>
                <w:sz w:val="20"/>
                <w:szCs w:val="20"/>
              </w:rPr>
            </w:pPr>
            <w:r w:rsidRPr="00666914">
              <w:rPr>
                <w:noProof/>
                <w:lang w:eastAsia="sk-SK"/>
              </w:rPr>
              <w:drawing>
                <wp:anchor distT="0" distB="0" distL="114300" distR="114300" simplePos="0" relativeHeight="251692032" behindDoc="0" locked="0" layoutInCell="1" hidden="0" allowOverlap="1" wp14:anchorId="5BB47FDE" wp14:editId="369A4C34">
                  <wp:simplePos x="0" y="0"/>
                  <wp:positionH relativeFrom="column">
                    <wp:posOffset>697230</wp:posOffset>
                  </wp:positionH>
                  <wp:positionV relativeFrom="paragraph">
                    <wp:posOffset>213359</wp:posOffset>
                  </wp:positionV>
                  <wp:extent cx="215900" cy="215900"/>
                  <wp:effectExtent l="0" t="0" r="0" b="0"/>
                  <wp:wrapSquare wrapText="bothSides" distT="0" distB="0" distL="114300" distR="114300"/>
                  <wp:docPr id="9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1"/>
                          <a:srcRect/>
                          <a:stretch>
                            <a:fillRect/>
                          </a:stretch>
                        </pic:blipFill>
                        <pic:spPr>
                          <a:xfrm>
                            <a:off x="0" y="0"/>
                            <a:ext cx="215900" cy="215900"/>
                          </a:xfrm>
                          <a:prstGeom prst="rect">
                            <a:avLst/>
                          </a:prstGeom>
                          <a:ln/>
                        </pic:spPr>
                      </pic:pic>
                    </a:graphicData>
                  </a:graphic>
                </wp:anchor>
              </w:drawing>
            </w:r>
          </w:p>
          <w:p w14:paraId="52D21D61" w14:textId="77777777" w:rsidR="008E7D9E" w:rsidRPr="00666914" w:rsidRDefault="008E7D9E">
            <w:pPr>
              <w:rPr>
                <w:rFonts w:eastAsia="Arial Narrow" w:cs="Arial Narrow"/>
                <w:sz w:val="20"/>
                <w:szCs w:val="20"/>
              </w:rPr>
            </w:pPr>
          </w:p>
        </w:tc>
      </w:tr>
      <w:tr w:rsidR="008E7D9E" w:rsidRPr="00666914" w14:paraId="40DD11E8" w14:textId="77777777">
        <w:trPr>
          <w:trHeight w:val="202"/>
        </w:trPr>
        <w:tc>
          <w:tcPr>
            <w:tcW w:w="7372" w:type="dxa"/>
            <w:tcBorders>
              <w:top w:val="single" w:sz="4" w:space="0" w:color="000000"/>
              <w:left w:val="nil"/>
              <w:bottom w:val="nil"/>
              <w:right w:val="nil"/>
            </w:tcBorders>
            <w:shd w:val="clear" w:color="auto" w:fill="auto"/>
            <w:vAlign w:val="center"/>
          </w:tcPr>
          <w:p w14:paraId="4DC050D1" w14:textId="77777777" w:rsidR="008E7D9E" w:rsidRPr="00666914" w:rsidRDefault="008E7D9E">
            <w:pPr>
              <w:spacing w:after="0"/>
              <w:rPr>
                <w:rFonts w:eastAsia="Arial Narrow" w:cs="Arial Narrow"/>
                <w:sz w:val="20"/>
                <w:szCs w:val="20"/>
              </w:rPr>
            </w:pPr>
          </w:p>
        </w:tc>
        <w:tc>
          <w:tcPr>
            <w:tcW w:w="1700" w:type="dxa"/>
            <w:tcBorders>
              <w:top w:val="single" w:sz="4" w:space="0" w:color="000000"/>
              <w:left w:val="nil"/>
              <w:bottom w:val="nil"/>
              <w:right w:val="nil"/>
            </w:tcBorders>
            <w:shd w:val="clear" w:color="auto" w:fill="auto"/>
            <w:vAlign w:val="center"/>
          </w:tcPr>
          <w:p w14:paraId="65E943DB" w14:textId="77777777" w:rsidR="008E7D9E" w:rsidRPr="00666914" w:rsidRDefault="00C45DA3">
            <w:pPr>
              <w:spacing w:after="0"/>
              <w:ind w:left="20" w:hanging="34"/>
              <w:jc w:val="right"/>
              <w:rPr>
                <w:rFonts w:eastAsia="Arial Narrow" w:cs="Arial Narrow"/>
                <w:i/>
                <w:sz w:val="18"/>
                <w:szCs w:val="18"/>
              </w:rPr>
            </w:pPr>
            <w:sdt>
              <w:sdtPr>
                <w:tag w:val="goog_rdk_15"/>
                <w:id w:val="242382398"/>
              </w:sdtPr>
              <w:sdtEndPr/>
              <w:sdtContent/>
            </w:sdt>
            <w:r w:rsidR="008E7D9E" w:rsidRPr="00666914">
              <w:rPr>
                <w:rFonts w:eastAsia="Arial Narrow" w:cs="Arial Narrow"/>
                <w:i/>
                <w:sz w:val="18"/>
                <w:szCs w:val="18"/>
              </w:rPr>
              <w:t>Zdroj: IJ ÚV SR</w:t>
            </w:r>
          </w:p>
        </w:tc>
      </w:tr>
    </w:tbl>
    <w:p w14:paraId="7C04D9F4" w14:textId="77777777" w:rsidR="008E7D9E" w:rsidRPr="00666914" w:rsidRDefault="008E7D9E">
      <w:pPr>
        <w:pBdr>
          <w:bottom w:val="single" w:sz="4" w:space="1" w:color="000000"/>
        </w:pBdr>
        <w:spacing w:after="0"/>
        <w:rPr>
          <w:rFonts w:eastAsia="Arial Narrow" w:cs="Arial Narrow"/>
          <w:b/>
          <w:sz w:val="20"/>
          <w:szCs w:val="20"/>
          <w:highlight w:val="yellow"/>
        </w:rPr>
      </w:pPr>
    </w:p>
    <w:p w14:paraId="612A5C53" w14:textId="6B71E1CD" w:rsidR="008E7D9E" w:rsidRPr="00666914" w:rsidRDefault="008E7D9E">
      <w:pPr>
        <w:pBdr>
          <w:bottom w:val="single" w:sz="4" w:space="1" w:color="000000"/>
        </w:pBdr>
        <w:spacing w:after="0"/>
        <w:rPr>
          <w:rFonts w:eastAsia="Arial Narrow" w:cs="Arial Narrow"/>
          <w:b/>
          <w:sz w:val="20"/>
          <w:szCs w:val="20"/>
        </w:rPr>
      </w:pPr>
      <w:bookmarkStart w:id="321" w:name="_Toc38447726"/>
      <w:r w:rsidRPr="00666914">
        <w:rPr>
          <w:rFonts w:eastAsia="Arial Narrow" w:cs="Arial Narrow"/>
          <w:b/>
          <w:sz w:val="20"/>
          <w:szCs w:val="20"/>
        </w:rPr>
        <w:t xml:space="preserve">Tabuľka </w:t>
      </w:r>
      <w:r w:rsidRPr="00666914">
        <w:rPr>
          <w:rFonts w:eastAsia="Arial Narrow" w:cs="Arial Narrow"/>
          <w:b/>
          <w:sz w:val="20"/>
          <w:szCs w:val="20"/>
        </w:rPr>
        <w:fldChar w:fldCharType="begin"/>
      </w:r>
      <w:r w:rsidRPr="00666914">
        <w:rPr>
          <w:rFonts w:eastAsia="Arial Narrow" w:cs="Arial Narrow"/>
          <w:b/>
          <w:sz w:val="20"/>
          <w:szCs w:val="20"/>
        </w:rPr>
        <w:instrText xml:space="preserve"> SEQ Tabuľka \* ARABIC \* MERGEFORMAT </w:instrText>
      </w:r>
      <w:r w:rsidRPr="00666914">
        <w:rPr>
          <w:rFonts w:eastAsia="Arial Narrow" w:cs="Arial Narrow"/>
          <w:b/>
          <w:sz w:val="20"/>
          <w:szCs w:val="20"/>
        </w:rPr>
        <w:fldChar w:fldCharType="separate"/>
      </w:r>
      <w:r w:rsidR="005A7304">
        <w:rPr>
          <w:rFonts w:eastAsia="Arial Narrow" w:cs="Arial Narrow"/>
          <w:b/>
          <w:noProof/>
          <w:sz w:val="20"/>
          <w:szCs w:val="20"/>
        </w:rPr>
        <w:t>65</w:t>
      </w:r>
      <w:r w:rsidRPr="00666914">
        <w:rPr>
          <w:rFonts w:eastAsia="Arial Narrow" w:cs="Arial Narrow"/>
          <w:b/>
          <w:sz w:val="20"/>
          <w:szCs w:val="20"/>
        </w:rPr>
        <w:fldChar w:fldCharType="end"/>
      </w:r>
      <w:r w:rsidRPr="00666914">
        <w:rPr>
          <w:rFonts w:eastAsia="Arial Narrow" w:cs="Arial Narrow"/>
          <w:b/>
          <w:sz w:val="20"/>
          <w:szCs w:val="20"/>
        </w:rPr>
        <w:t>:</w:t>
      </w:r>
      <w:r w:rsidR="002E5FF9" w:rsidRPr="00666914">
        <w:rPr>
          <w:rFonts w:eastAsia="Arial Narrow" w:cs="Arial Narrow"/>
          <w:b/>
          <w:sz w:val="20"/>
          <w:szCs w:val="20"/>
        </w:rPr>
        <w:t xml:space="preserve"> </w:t>
      </w:r>
      <w:r w:rsidRPr="00666914">
        <w:rPr>
          <w:rFonts w:eastAsia="Arial Narrow" w:cs="Arial Narrow"/>
          <w:b/>
          <w:sz w:val="20"/>
          <w:szCs w:val="20"/>
        </w:rPr>
        <w:t xml:space="preserve">Plnenie hlavného odporúčania IJ </w:t>
      </w:r>
      <w:r w:rsidR="005B3577" w:rsidRPr="00666914">
        <w:rPr>
          <w:rFonts w:eastAsia="Arial Narrow" w:cs="Arial Narrow"/>
          <w:b/>
          <w:sz w:val="20"/>
          <w:szCs w:val="20"/>
        </w:rPr>
        <w:t xml:space="preserve">ÚV SR </w:t>
      </w:r>
      <w:r w:rsidRPr="00666914">
        <w:rPr>
          <w:rFonts w:eastAsia="Arial Narrow" w:cs="Arial Narrow"/>
          <w:b/>
          <w:sz w:val="20"/>
          <w:szCs w:val="20"/>
        </w:rPr>
        <w:t>pre MF SR v Priebežnej implementačnej správe 2019</w:t>
      </w:r>
      <w:bookmarkEnd w:id="321"/>
    </w:p>
    <w:tbl>
      <w:tblPr>
        <w:tblW w:w="9072" w:type="dxa"/>
        <w:tblLayout w:type="fixed"/>
        <w:tblLook w:val="0400" w:firstRow="0" w:lastRow="0" w:firstColumn="0" w:lastColumn="0" w:noHBand="0" w:noVBand="1"/>
      </w:tblPr>
      <w:tblGrid>
        <w:gridCol w:w="7372"/>
        <w:gridCol w:w="1700"/>
      </w:tblGrid>
      <w:tr w:rsidR="008E7D9E" w:rsidRPr="00666914" w14:paraId="49BE2F11" w14:textId="77777777" w:rsidTr="00DF06BD">
        <w:trPr>
          <w:trHeight w:val="680"/>
        </w:trPr>
        <w:tc>
          <w:tcPr>
            <w:tcW w:w="7372" w:type="dxa"/>
            <w:tcBorders>
              <w:left w:val="nil"/>
              <w:bottom w:val="single" w:sz="4" w:space="0" w:color="000000"/>
              <w:right w:val="nil"/>
            </w:tcBorders>
            <w:shd w:val="clear" w:color="auto" w:fill="auto"/>
            <w:vAlign w:val="center"/>
          </w:tcPr>
          <w:p w14:paraId="3124D191" w14:textId="77777777" w:rsidR="008E7D9E" w:rsidRPr="00666914" w:rsidRDefault="008E7D9E">
            <w:pPr>
              <w:spacing w:after="0"/>
              <w:rPr>
                <w:rFonts w:eastAsia="Arial Narrow" w:cs="Arial Narrow"/>
                <w:sz w:val="20"/>
                <w:szCs w:val="20"/>
              </w:rPr>
            </w:pPr>
            <w:r w:rsidRPr="00666914">
              <w:rPr>
                <w:rFonts w:eastAsia="Arial Narrow" w:cs="Arial Narrow"/>
                <w:sz w:val="20"/>
                <w:szCs w:val="20"/>
              </w:rPr>
              <w:t>Predložiť novelu zákona o spotrebnej dani z elektriny, uhlia a zemného plynu č. 609/2007 Z. z., v ktorom bude uvedené zrušenie fakultatívnych oslobodení, na rokovanie vlády SR</w:t>
            </w:r>
          </w:p>
        </w:tc>
        <w:tc>
          <w:tcPr>
            <w:tcW w:w="1700" w:type="dxa"/>
            <w:tcBorders>
              <w:left w:val="nil"/>
              <w:bottom w:val="single" w:sz="4" w:space="0" w:color="000000"/>
              <w:right w:val="nil"/>
            </w:tcBorders>
            <w:shd w:val="clear" w:color="auto" w:fill="auto"/>
            <w:vAlign w:val="center"/>
          </w:tcPr>
          <w:p w14:paraId="6C88735A" w14:textId="77777777" w:rsidR="008E7D9E" w:rsidRPr="00666914" w:rsidRDefault="008E7D9E">
            <w:pPr>
              <w:spacing w:after="0"/>
              <w:rPr>
                <w:rFonts w:eastAsia="Arial Narrow" w:cs="Arial Narrow"/>
                <w:sz w:val="20"/>
                <w:szCs w:val="20"/>
              </w:rPr>
            </w:pPr>
            <w:r w:rsidRPr="00666914">
              <w:rPr>
                <w:noProof/>
                <w:lang w:eastAsia="sk-SK"/>
              </w:rPr>
              <w:drawing>
                <wp:anchor distT="0" distB="0" distL="114300" distR="114300" simplePos="0" relativeHeight="251693056" behindDoc="0" locked="0" layoutInCell="1" hidden="0" allowOverlap="1" wp14:anchorId="586A3796" wp14:editId="7DE36761">
                  <wp:simplePos x="0" y="0"/>
                  <wp:positionH relativeFrom="column">
                    <wp:posOffset>699770</wp:posOffset>
                  </wp:positionH>
                  <wp:positionV relativeFrom="paragraph">
                    <wp:posOffset>0</wp:posOffset>
                  </wp:positionV>
                  <wp:extent cx="215900" cy="215900"/>
                  <wp:effectExtent l="0" t="0" r="0" b="0"/>
                  <wp:wrapSquare wrapText="bothSides" distT="0" distB="0" distL="114300" distR="114300"/>
                  <wp:docPr id="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6"/>
                          <a:srcRect/>
                          <a:stretch>
                            <a:fillRect/>
                          </a:stretch>
                        </pic:blipFill>
                        <pic:spPr>
                          <a:xfrm>
                            <a:off x="0" y="0"/>
                            <a:ext cx="215900" cy="215900"/>
                          </a:xfrm>
                          <a:prstGeom prst="rect">
                            <a:avLst/>
                          </a:prstGeom>
                          <a:ln/>
                        </pic:spPr>
                      </pic:pic>
                    </a:graphicData>
                  </a:graphic>
                </wp:anchor>
              </w:drawing>
            </w:r>
          </w:p>
        </w:tc>
      </w:tr>
      <w:tr w:rsidR="008E7D9E" w:rsidRPr="00666914" w14:paraId="03E9909E" w14:textId="77777777" w:rsidTr="00DF06BD">
        <w:trPr>
          <w:trHeight w:val="202"/>
        </w:trPr>
        <w:tc>
          <w:tcPr>
            <w:tcW w:w="7372" w:type="dxa"/>
            <w:tcBorders>
              <w:top w:val="single" w:sz="4" w:space="0" w:color="000000"/>
              <w:left w:val="nil"/>
              <w:bottom w:val="nil"/>
              <w:right w:val="nil"/>
            </w:tcBorders>
            <w:shd w:val="clear" w:color="auto" w:fill="auto"/>
            <w:vAlign w:val="center"/>
          </w:tcPr>
          <w:p w14:paraId="20208442" w14:textId="77777777" w:rsidR="008E7D9E" w:rsidRPr="00666914" w:rsidRDefault="008E7D9E">
            <w:pPr>
              <w:spacing w:after="0"/>
              <w:rPr>
                <w:rFonts w:eastAsia="Arial Narrow" w:cs="Arial Narrow"/>
                <w:sz w:val="20"/>
                <w:szCs w:val="20"/>
              </w:rPr>
            </w:pPr>
          </w:p>
        </w:tc>
        <w:tc>
          <w:tcPr>
            <w:tcW w:w="1700" w:type="dxa"/>
            <w:tcBorders>
              <w:top w:val="single" w:sz="4" w:space="0" w:color="000000"/>
              <w:left w:val="nil"/>
              <w:bottom w:val="nil"/>
              <w:right w:val="nil"/>
            </w:tcBorders>
            <w:shd w:val="clear" w:color="auto" w:fill="auto"/>
            <w:vAlign w:val="center"/>
          </w:tcPr>
          <w:p w14:paraId="1A7E8CBB" w14:textId="77777777" w:rsidR="008E7D9E" w:rsidRPr="00666914" w:rsidRDefault="008E7D9E">
            <w:pPr>
              <w:spacing w:after="0"/>
              <w:ind w:left="20" w:hanging="34"/>
              <w:jc w:val="right"/>
              <w:rPr>
                <w:rFonts w:eastAsia="Arial Narrow" w:cs="Arial Narrow"/>
                <w:i/>
                <w:sz w:val="18"/>
                <w:szCs w:val="18"/>
              </w:rPr>
            </w:pPr>
            <w:r w:rsidRPr="00666914">
              <w:rPr>
                <w:rFonts w:eastAsia="Arial Narrow" w:cs="Arial Narrow"/>
                <w:i/>
                <w:sz w:val="18"/>
                <w:szCs w:val="18"/>
              </w:rPr>
              <w:t>Zdroj: IJ ÚV SR</w:t>
            </w:r>
          </w:p>
        </w:tc>
      </w:tr>
    </w:tbl>
    <w:p w14:paraId="325DB718" w14:textId="77777777" w:rsidR="008E7D9E" w:rsidRPr="00666914" w:rsidRDefault="008E7D9E" w:rsidP="005019FB">
      <w:pPr>
        <w:spacing w:after="0"/>
        <w:rPr>
          <w:rFonts w:eastAsia="Arial Narrow" w:cs="Arial Narrow"/>
          <w:b/>
          <w:sz w:val="20"/>
          <w:szCs w:val="20"/>
          <w:highlight w:val="yellow"/>
        </w:rPr>
      </w:pPr>
    </w:p>
    <w:p w14:paraId="5045E850" w14:textId="77777777" w:rsidR="008E7D9E" w:rsidRPr="00666914" w:rsidRDefault="008E7D9E" w:rsidP="005019FB">
      <w:pPr>
        <w:spacing w:after="0"/>
        <w:rPr>
          <w:rFonts w:eastAsia="Arial Narrow" w:cs="Arial Narrow"/>
          <w:b/>
          <w:sz w:val="20"/>
          <w:szCs w:val="20"/>
          <w:highlight w:val="yellow"/>
        </w:rPr>
      </w:pPr>
      <w:r w:rsidRPr="00666914">
        <w:rPr>
          <w:b/>
          <w:noProof/>
          <w:sz w:val="36"/>
          <w:szCs w:val="36"/>
          <w:lang w:eastAsia="sk-SK"/>
        </w:rPr>
        <mc:AlternateContent>
          <mc:Choice Requires="wps">
            <w:drawing>
              <wp:anchor distT="0" distB="0" distL="114300" distR="114300" simplePos="0" relativeHeight="251694080" behindDoc="0" locked="0" layoutInCell="1" allowOverlap="1" wp14:anchorId="1801F80A" wp14:editId="2B488A48">
                <wp:simplePos x="0" y="0"/>
                <wp:positionH relativeFrom="margin">
                  <wp:posOffset>-21590</wp:posOffset>
                </wp:positionH>
                <wp:positionV relativeFrom="paragraph">
                  <wp:posOffset>153035</wp:posOffset>
                </wp:positionV>
                <wp:extent cx="5829300" cy="3448050"/>
                <wp:effectExtent l="0" t="0" r="19050" b="19050"/>
                <wp:wrapThrough wrapText="bothSides">
                  <wp:wrapPolygon edited="0">
                    <wp:start x="0" y="0"/>
                    <wp:lineTo x="0" y="21600"/>
                    <wp:lineTo x="21600" y="21600"/>
                    <wp:lineTo x="21600" y="0"/>
                    <wp:lineTo x="0" y="0"/>
                  </wp:wrapPolygon>
                </wp:wrapThrough>
                <wp:docPr id="59" name="Textové pole 6"/>
                <wp:cNvGraphicFramePr/>
                <a:graphic xmlns:a="http://schemas.openxmlformats.org/drawingml/2006/main">
                  <a:graphicData uri="http://schemas.microsoft.com/office/word/2010/wordprocessingShape">
                    <wps:wsp>
                      <wps:cNvSpPr txBox="1"/>
                      <wps:spPr>
                        <a:xfrm>
                          <a:off x="0" y="0"/>
                          <a:ext cx="5829300" cy="3448050"/>
                        </a:xfrm>
                        <a:prstGeom prst="rect">
                          <a:avLst/>
                        </a:prstGeom>
                        <a:solidFill>
                          <a:srgbClr val="0070C0"/>
                        </a:solidFill>
                        <a:ln w="12700" cap="flat" cmpd="sng" algn="ctr">
                          <a:solidFill>
                            <a:srgbClr val="4472C4"/>
                          </a:solidFill>
                          <a:prstDash val="solid"/>
                          <a:miter lim="800000"/>
                        </a:ln>
                        <a:effectLst/>
                      </wps:spPr>
                      <wps:txbx>
                        <w:txbxContent>
                          <w:p w14:paraId="222BD916" w14:textId="664135C8" w:rsidR="006C0687" w:rsidRPr="0061659E" w:rsidRDefault="006C0687" w:rsidP="00F64B85">
                            <w:pPr>
                              <w:spacing w:after="0"/>
                              <w:rPr>
                                <w:b/>
                                <w:bCs/>
                                <w:color w:val="FFFFFF" w:themeColor="background1"/>
                                <w:sz w:val="24"/>
                                <w:szCs w:val="24"/>
                                <w:u w:val="single"/>
                              </w:rPr>
                            </w:pPr>
                            <w:r w:rsidRPr="0061659E">
                              <w:rPr>
                                <w:b/>
                                <w:bCs/>
                                <w:color w:val="FFFFFF" w:themeColor="background1"/>
                                <w:sz w:val="24"/>
                                <w:szCs w:val="24"/>
                                <w:u w:val="single"/>
                              </w:rPr>
                              <w:t xml:space="preserve">Hlavné odporúčania IJ </w:t>
                            </w:r>
                            <w:r>
                              <w:rPr>
                                <w:b/>
                                <w:bCs/>
                                <w:color w:val="FFFFFF" w:themeColor="background1"/>
                                <w:sz w:val="24"/>
                                <w:szCs w:val="24"/>
                                <w:u w:val="single"/>
                              </w:rPr>
                              <w:t xml:space="preserve">ÚV SR </w:t>
                            </w:r>
                            <w:r w:rsidRPr="0061659E">
                              <w:rPr>
                                <w:b/>
                                <w:bCs/>
                                <w:color w:val="FFFFFF" w:themeColor="background1"/>
                                <w:sz w:val="24"/>
                                <w:szCs w:val="24"/>
                                <w:u w:val="single"/>
                              </w:rPr>
                              <w:t>pre MŽP SR do 31.12.20</w:t>
                            </w:r>
                            <w:r>
                              <w:rPr>
                                <w:b/>
                                <w:bCs/>
                                <w:color w:val="FFFFFF" w:themeColor="background1"/>
                                <w:sz w:val="24"/>
                                <w:szCs w:val="24"/>
                                <w:u w:val="single"/>
                              </w:rPr>
                              <w:t>20</w:t>
                            </w:r>
                            <w:r w:rsidRPr="0061659E">
                              <w:rPr>
                                <w:b/>
                                <w:bCs/>
                                <w:color w:val="FFFFFF" w:themeColor="background1"/>
                                <w:sz w:val="24"/>
                                <w:szCs w:val="24"/>
                                <w:u w:val="single"/>
                              </w:rPr>
                              <w:t>:</w:t>
                            </w:r>
                          </w:p>
                          <w:p w14:paraId="0733E063" w14:textId="77777777" w:rsidR="006C0687" w:rsidRPr="0061659E" w:rsidRDefault="006C0687" w:rsidP="00F64B85">
                            <w:pPr>
                              <w:spacing w:after="0"/>
                              <w:rPr>
                                <w:b/>
                                <w:bCs/>
                                <w:color w:val="FFFFFF" w:themeColor="background1"/>
                                <w:sz w:val="24"/>
                                <w:szCs w:val="24"/>
                                <w:u w:val="single"/>
                              </w:rPr>
                            </w:pPr>
                          </w:p>
                          <w:p w14:paraId="6C33DCB3" w14:textId="77777777" w:rsidR="006C0687" w:rsidRPr="0061659E" w:rsidRDefault="006C0687" w:rsidP="00131B23">
                            <w:pPr>
                              <w:pStyle w:val="Odsekzoznamu"/>
                              <w:numPr>
                                <w:ilvl w:val="0"/>
                                <w:numId w:val="6"/>
                              </w:numPr>
                              <w:spacing w:line="276" w:lineRule="auto"/>
                              <w:rPr>
                                <w:bCs/>
                                <w:color w:val="FFFFFF" w:themeColor="background1"/>
                              </w:rPr>
                            </w:pPr>
                            <w:r>
                              <w:rPr>
                                <w:bCs/>
                                <w:color w:val="FFFFFF" w:themeColor="background1"/>
                              </w:rPr>
                              <w:t>Realizovať</w:t>
                            </w:r>
                            <w:r w:rsidRPr="0061659E">
                              <w:rPr>
                                <w:bCs/>
                                <w:color w:val="FFFFFF" w:themeColor="background1"/>
                              </w:rPr>
                              <w:t xml:space="preserve"> opatrenia auditu BCG zo strany SVP š. p. na</w:t>
                            </w:r>
                            <w:r>
                              <w:rPr>
                                <w:bCs/>
                                <w:color w:val="FFFFFF" w:themeColor="background1"/>
                              </w:rPr>
                              <w:t xml:space="preserve"> základe</w:t>
                            </w:r>
                            <w:r w:rsidRPr="0061659E">
                              <w:rPr>
                                <w:bCs/>
                                <w:color w:val="FFFFFF" w:themeColor="background1"/>
                              </w:rPr>
                              <w:t xml:space="preserve"> </w:t>
                            </w:r>
                            <w:r>
                              <w:rPr>
                                <w:bCs/>
                                <w:color w:val="FFFFFF" w:themeColor="background1"/>
                              </w:rPr>
                              <w:t xml:space="preserve">Implementačného plánu SVP, š.p. </w:t>
                            </w:r>
                          </w:p>
                          <w:p w14:paraId="1CA6BBB6" w14:textId="77777777" w:rsidR="006C0687" w:rsidRDefault="006C0687" w:rsidP="00131B23">
                            <w:pPr>
                              <w:pStyle w:val="Odsekzoznamu"/>
                              <w:numPr>
                                <w:ilvl w:val="0"/>
                                <w:numId w:val="6"/>
                              </w:numPr>
                              <w:spacing w:line="276" w:lineRule="auto"/>
                              <w:rPr>
                                <w:bCs/>
                                <w:color w:val="FFFFFF" w:themeColor="background1"/>
                              </w:rPr>
                            </w:pPr>
                            <w:r w:rsidRPr="0061659E">
                              <w:rPr>
                                <w:bCs/>
                                <w:color w:val="FFFFFF" w:themeColor="background1"/>
                              </w:rPr>
                              <w:t>Dôsledne dodržiavať prioritizáciu stanovenú v PMPR pre nové protipovodňové opatrenia zo strany SVP</w:t>
                            </w:r>
                          </w:p>
                          <w:p w14:paraId="437BF22F" w14:textId="77777777" w:rsidR="006C0687" w:rsidRPr="0061659E" w:rsidRDefault="006C0687" w:rsidP="00131B23">
                            <w:pPr>
                              <w:pStyle w:val="Odsekzoznamu"/>
                              <w:numPr>
                                <w:ilvl w:val="0"/>
                                <w:numId w:val="6"/>
                              </w:numPr>
                              <w:spacing w:line="276" w:lineRule="auto"/>
                              <w:rPr>
                                <w:bCs/>
                                <w:color w:val="FFFFFF" w:themeColor="background1"/>
                              </w:rPr>
                            </w:pPr>
                            <w:r w:rsidRPr="0061659E">
                              <w:rPr>
                                <w:bCs/>
                                <w:color w:val="FFFFFF" w:themeColor="background1"/>
                              </w:rPr>
                              <w:t xml:space="preserve">Každoročne, v spolupráci s MDV SR, realizovať zber údajov o kontrolách žúmp a udelených pokutách </w:t>
                            </w:r>
                          </w:p>
                          <w:p w14:paraId="0506D057" w14:textId="77777777" w:rsidR="006C0687" w:rsidRPr="0061659E" w:rsidRDefault="006C0687" w:rsidP="00131B23">
                            <w:pPr>
                              <w:pStyle w:val="Odsekzoznamu"/>
                              <w:numPr>
                                <w:ilvl w:val="0"/>
                                <w:numId w:val="6"/>
                              </w:numPr>
                              <w:spacing w:line="276" w:lineRule="auto"/>
                              <w:rPr>
                                <w:bCs/>
                                <w:color w:val="FFFFFF" w:themeColor="background1"/>
                              </w:rPr>
                            </w:pPr>
                            <w:r w:rsidRPr="00585EA3">
                              <w:rPr>
                                <w:bCs/>
                                <w:color w:val="FFFFFF" w:themeColor="background1"/>
                              </w:rPr>
                              <w:t>Dopracovať viacročnú stratégiu podpory pre ostatné oblasti EF (okrem vodohospodárskej infraštruktúry)</w:t>
                            </w:r>
                          </w:p>
                          <w:p w14:paraId="71735638" w14:textId="77777777" w:rsidR="006C0687" w:rsidRDefault="006C0687" w:rsidP="00131B23">
                            <w:pPr>
                              <w:pStyle w:val="Odsekzoznamu"/>
                              <w:numPr>
                                <w:ilvl w:val="0"/>
                                <w:numId w:val="6"/>
                              </w:numPr>
                              <w:spacing w:line="276" w:lineRule="auto"/>
                              <w:rPr>
                                <w:bCs/>
                                <w:color w:val="FFFFFF" w:themeColor="background1"/>
                              </w:rPr>
                            </w:pPr>
                            <w:r>
                              <w:rPr>
                                <w:bCs/>
                                <w:color w:val="FFFFFF" w:themeColor="background1"/>
                              </w:rPr>
                              <w:t>S</w:t>
                            </w:r>
                            <w:r w:rsidRPr="00156F83">
                              <w:rPr>
                                <w:bCs/>
                                <w:color w:val="FFFFFF" w:themeColor="background1"/>
                              </w:rPr>
                              <w:t xml:space="preserve">pustiť </w:t>
                            </w:r>
                            <w:r>
                              <w:rPr>
                                <w:bCs/>
                                <w:color w:val="FFFFFF" w:themeColor="background1"/>
                              </w:rPr>
                              <w:t xml:space="preserve">do 30.9.2020 </w:t>
                            </w:r>
                            <w:r w:rsidRPr="00156F83">
                              <w:rPr>
                                <w:bCs/>
                                <w:color w:val="FFFFFF" w:themeColor="background1"/>
                              </w:rPr>
                              <w:t>pilotný program výberu vstupného v NP Slovenský raj a následne do 12/2020 vyhodnotiť jeho výsledky</w:t>
                            </w:r>
                          </w:p>
                          <w:p w14:paraId="70BFA085" w14:textId="5B7DFF9F" w:rsidR="006C0687" w:rsidRPr="0061659E" w:rsidRDefault="006C0687" w:rsidP="00F64B85">
                            <w:pPr>
                              <w:spacing w:after="0" w:line="276" w:lineRule="auto"/>
                              <w:rPr>
                                <w:b/>
                                <w:bCs/>
                                <w:color w:val="FFFFFF" w:themeColor="background1"/>
                                <w:sz w:val="24"/>
                                <w:szCs w:val="24"/>
                                <w:u w:val="single"/>
                              </w:rPr>
                            </w:pPr>
                            <w:r w:rsidRPr="0061659E">
                              <w:rPr>
                                <w:b/>
                                <w:bCs/>
                                <w:color w:val="FFFFFF" w:themeColor="background1"/>
                                <w:sz w:val="24"/>
                                <w:szCs w:val="24"/>
                                <w:u w:val="single"/>
                              </w:rPr>
                              <w:t xml:space="preserve">Hlavné odporúčanie IJ </w:t>
                            </w:r>
                            <w:r>
                              <w:rPr>
                                <w:b/>
                                <w:bCs/>
                                <w:color w:val="FFFFFF" w:themeColor="background1"/>
                                <w:sz w:val="24"/>
                                <w:szCs w:val="24"/>
                                <w:u w:val="single"/>
                              </w:rPr>
                              <w:t xml:space="preserve">ÚV SR </w:t>
                            </w:r>
                            <w:r w:rsidRPr="0061659E">
                              <w:rPr>
                                <w:b/>
                                <w:bCs/>
                                <w:color w:val="FFFFFF" w:themeColor="background1"/>
                                <w:sz w:val="24"/>
                                <w:szCs w:val="24"/>
                                <w:u w:val="single"/>
                              </w:rPr>
                              <w:t xml:space="preserve">pre MF SR do </w:t>
                            </w:r>
                            <w:r>
                              <w:rPr>
                                <w:b/>
                                <w:bCs/>
                                <w:color w:val="FFFFFF" w:themeColor="background1"/>
                                <w:sz w:val="24"/>
                                <w:szCs w:val="24"/>
                                <w:u w:val="single"/>
                              </w:rPr>
                              <w:t>31</w:t>
                            </w:r>
                            <w:r w:rsidRPr="0061659E">
                              <w:rPr>
                                <w:b/>
                                <w:bCs/>
                                <w:color w:val="FFFFFF" w:themeColor="background1"/>
                                <w:sz w:val="24"/>
                                <w:szCs w:val="24"/>
                                <w:u w:val="single"/>
                              </w:rPr>
                              <w:t>.1</w:t>
                            </w:r>
                            <w:r>
                              <w:rPr>
                                <w:b/>
                                <w:bCs/>
                                <w:color w:val="FFFFFF" w:themeColor="background1"/>
                                <w:sz w:val="24"/>
                                <w:szCs w:val="24"/>
                                <w:u w:val="single"/>
                              </w:rPr>
                              <w:t>2</w:t>
                            </w:r>
                            <w:r w:rsidRPr="0061659E">
                              <w:rPr>
                                <w:b/>
                                <w:bCs/>
                                <w:color w:val="FFFFFF" w:themeColor="background1"/>
                                <w:sz w:val="24"/>
                                <w:szCs w:val="24"/>
                                <w:u w:val="single"/>
                              </w:rPr>
                              <w:t>.20</w:t>
                            </w:r>
                            <w:r>
                              <w:rPr>
                                <w:b/>
                                <w:bCs/>
                                <w:color w:val="FFFFFF" w:themeColor="background1"/>
                                <w:sz w:val="24"/>
                                <w:szCs w:val="24"/>
                                <w:u w:val="single"/>
                              </w:rPr>
                              <w:t>20</w:t>
                            </w:r>
                            <w:r w:rsidRPr="0061659E">
                              <w:rPr>
                                <w:b/>
                                <w:bCs/>
                                <w:color w:val="FFFFFF" w:themeColor="background1"/>
                                <w:sz w:val="24"/>
                                <w:szCs w:val="24"/>
                                <w:u w:val="single"/>
                              </w:rPr>
                              <w:t>:</w:t>
                            </w:r>
                          </w:p>
                          <w:p w14:paraId="027E0A07" w14:textId="77777777" w:rsidR="006C0687" w:rsidRPr="00ED2691" w:rsidRDefault="006C0687" w:rsidP="00131B23">
                            <w:pPr>
                              <w:pStyle w:val="Odsekzoznamu"/>
                              <w:numPr>
                                <w:ilvl w:val="0"/>
                                <w:numId w:val="6"/>
                              </w:numPr>
                              <w:spacing w:line="276" w:lineRule="auto"/>
                            </w:pPr>
                            <w:r w:rsidRPr="0061659E">
                              <w:rPr>
                                <w:bCs/>
                                <w:color w:val="FFFFFF" w:themeColor="background1"/>
                              </w:rPr>
                              <w:t>Predložiť novelu zákona o spotrebnej dani z elektriny, uhlia a zemného plynu č. 609/2007 Z. z., ktor</w:t>
                            </w:r>
                            <w:r>
                              <w:rPr>
                                <w:bCs/>
                                <w:color w:val="FFFFFF" w:themeColor="background1"/>
                              </w:rPr>
                              <w:t>ou</w:t>
                            </w:r>
                            <w:r w:rsidRPr="0061659E">
                              <w:rPr>
                                <w:bCs/>
                                <w:color w:val="FFFFFF" w:themeColor="background1"/>
                              </w:rPr>
                              <w:t xml:space="preserve"> bude </w:t>
                            </w:r>
                            <w:r>
                              <w:rPr>
                                <w:bCs/>
                                <w:color w:val="FFFFFF" w:themeColor="background1"/>
                              </w:rPr>
                              <w:t>za</w:t>
                            </w:r>
                            <w:r w:rsidRPr="0061659E">
                              <w:rPr>
                                <w:bCs/>
                                <w:color w:val="FFFFFF" w:themeColor="background1"/>
                              </w:rPr>
                              <w:t>vedené zrušenie fakultatívnych oslobodení, na rokovanie vlády SR</w:t>
                            </w:r>
                          </w:p>
                          <w:p w14:paraId="38535DD3" w14:textId="13F2F695" w:rsidR="006C0687" w:rsidRPr="00ED2691" w:rsidRDefault="006C0687" w:rsidP="00F64B85">
                            <w:pPr>
                              <w:spacing w:after="0" w:line="276" w:lineRule="auto"/>
                              <w:rPr>
                                <w:b/>
                                <w:bCs/>
                                <w:color w:val="FFFFFF" w:themeColor="background1"/>
                                <w:sz w:val="24"/>
                                <w:szCs w:val="24"/>
                                <w:u w:val="single"/>
                              </w:rPr>
                            </w:pPr>
                            <w:r w:rsidRPr="00ED2691">
                              <w:rPr>
                                <w:b/>
                                <w:bCs/>
                                <w:color w:val="FFFFFF" w:themeColor="background1"/>
                                <w:sz w:val="24"/>
                                <w:szCs w:val="24"/>
                                <w:u w:val="single"/>
                              </w:rPr>
                              <w:t>Hlavné odporúčanie IJ</w:t>
                            </w:r>
                            <w:r>
                              <w:rPr>
                                <w:b/>
                                <w:bCs/>
                                <w:color w:val="FFFFFF" w:themeColor="background1"/>
                                <w:sz w:val="24"/>
                                <w:szCs w:val="24"/>
                                <w:u w:val="single"/>
                              </w:rPr>
                              <w:t xml:space="preserve"> ÚV SR</w:t>
                            </w:r>
                            <w:r w:rsidRPr="00ED2691">
                              <w:rPr>
                                <w:b/>
                                <w:bCs/>
                                <w:color w:val="FFFFFF" w:themeColor="background1"/>
                                <w:sz w:val="24"/>
                                <w:szCs w:val="24"/>
                                <w:u w:val="single"/>
                              </w:rPr>
                              <w:t xml:space="preserve"> pre </w:t>
                            </w:r>
                            <w:r>
                              <w:rPr>
                                <w:b/>
                                <w:bCs/>
                                <w:color w:val="FFFFFF" w:themeColor="background1"/>
                                <w:sz w:val="24"/>
                                <w:szCs w:val="24"/>
                                <w:u w:val="single"/>
                              </w:rPr>
                              <w:t>ÚPVII</w:t>
                            </w:r>
                            <w:r w:rsidRPr="00ED2691">
                              <w:rPr>
                                <w:b/>
                                <w:bCs/>
                                <w:color w:val="FFFFFF" w:themeColor="background1"/>
                                <w:sz w:val="24"/>
                                <w:szCs w:val="24"/>
                                <w:u w:val="single"/>
                              </w:rPr>
                              <w:t xml:space="preserve"> do 31.12.2020:</w:t>
                            </w:r>
                          </w:p>
                          <w:p w14:paraId="714332BB" w14:textId="77777777" w:rsidR="006C0687" w:rsidRPr="0061659E" w:rsidRDefault="006C0687" w:rsidP="00131B23">
                            <w:pPr>
                              <w:pStyle w:val="Odsekzoznamu"/>
                              <w:numPr>
                                <w:ilvl w:val="0"/>
                                <w:numId w:val="6"/>
                              </w:numPr>
                              <w:spacing w:line="276" w:lineRule="auto"/>
                              <w:rPr>
                                <w:bCs/>
                                <w:color w:val="FFFFFF" w:themeColor="background1"/>
                              </w:rPr>
                            </w:pPr>
                            <w:r>
                              <w:rPr>
                                <w:bCs/>
                                <w:color w:val="FFFFFF" w:themeColor="background1"/>
                              </w:rPr>
                              <w:t xml:space="preserve">Pri </w:t>
                            </w:r>
                            <w:r w:rsidRPr="004D7D63">
                              <w:rPr>
                                <w:bCs/>
                                <w:color w:val="FFFFFF" w:themeColor="background1"/>
                              </w:rPr>
                              <w:t>aktualizácii zásobník</w:t>
                            </w:r>
                            <w:r>
                              <w:rPr>
                                <w:bCs/>
                                <w:color w:val="FFFFFF" w:themeColor="background1"/>
                              </w:rPr>
                              <w:t>a</w:t>
                            </w:r>
                            <w:r w:rsidRPr="004D7D63">
                              <w:rPr>
                                <w:bCs/>
                                <w:color w:val="FFFFFF" w:themeColor="background1"/>
                              </w:rPr>
                              <w:t xml:space="preserve"> projektov</w:t>
                            </w:r>
                            <w:r w:rsidRPr="004D7D63">
                              <w:t xml:space="preserve"> </w:t>
                            </w:r>
                            <w:r w:rsidRPr="00BE7F34">
                              <w:rPr>
                                <w:color w:val="FFFFFF" w:themeColor="background1"/>
                              </w:rPr>
                              <w:t>Akčn</w:t>
                            </w:r>
                            <w:r>
                              <w:rPr>
                                <w:color w:val="FFFFFF" w:themeColor="background1"/>
                              </w:rPr>
                              <w:t>ého</w:t>
                            </w:r>
                            <w:r w:rsidRPr="00BE7F34">
                              <w:rPr>
                                <w:color w:val="FFFFFF" w:themeColor="background1"/>
                              </w:rPr>
                              <w:t xml:space="preserve"> plán</w:t>
                            </w:r>
                            <w:r>
                              <w:rPr>
                                <w:color w:val="FFFFFF" w:themeColor="background1"/>
                              </w:rPr>
                              <w:t>u</w:t>
                            </w:r>
                            <w:r w:rsidRPr="00BE7F34">
                              <w:rPr>
                                <w:color w:val="FFFFFF" w:themeColor="background1"/>
                              </w:rPr>
                              <w:t xml:space="preserve"> transformácie regiónu horná Nitra</w:t>
                            </w:r>
                            <w:r>
                              <w:rPr>
                                <w:color w:val="FFFFFF" w:themeColor="background1"/>
                              </w:rPr>
                              <w:t xml:space="preserve"> </w:t>
                            </w:r>
                            <w:r w:rsidRPr="004D7D63">
                              <w:rPr>
                                <w:bCs/>
                                <w:color w:val="FFFFFF" w:themeColor="background1"/>
                              </w:rPr>
                              <w:t>realizova</w:t>
                            </w:r>
                            <w:r>
                              <w:rPr>
                                <w:bCs/>
                                <w:color w:val="FFFFFF" w:themeColor="background1"/>
                              </w:rPr>
                              <w:t>ť</w:t>
                            </w:r>
                            <w:r w:rsidRPr="004D7D63">
                              <w:rPr>
                                <w:bCs/>
                                <w:color w:val="FFFFFF" w:themeColor="background1"/>
                              </w:rPr>
                              <w:t xml:space="preserve"> selekci</w:t>
                            </w:r>
                            <w:r>
                              <w:rPr>
                                <w:bCs/>
                                <w:color w:val="FFFFFF" w:themeColor="background1"/>
                              </w:rPr>
                              <w:t>u projektov</w:t>
                            </w:r>
                            <w:r w:rsidRPr="004D7D63">
                              <w:rPr>
                                <w:bCs/>
                                <w:color w:val="FFFFFF" w:themeColor="background1"/>
                              </w:rPr>
                              <w:t xml:space="preserve"> na základe stratégií alebo dokumentov prioritizácie projektov</w:t>
                            </w:r>
                            <w:r>
                              <w:rPr>
                                <w:bCs/>
                                <w:color w:val="FFFFFF" w:themeColor="background1"/>
                              </w:rPr>
                              <w:t xml:space="preserve"> </w:t>
                            </w:r>
                            <w:r w:rsidRPr="004D7D63">
                              <w:rPr>
                                <w:bCs/>
                                <w:color w:val="FFFFFF" w:themeColor="background1"/>
                              </w:rPr>
                              <w:t>ministerstiev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801F80A" id="_x0000_s1031" type="#_x0000_t202" style="position:absolute;left:0;text-align:left;margin-left:-1.7pt;margin-top:12.05pt;width:459pt;height:271.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" fillcolor="#0070c0" strokecolor="#4472c4" strokeweight="1pt">
                <v:textbox>
                  <w:txbxContent>
                    <w:p w14:paraId="222BD916" w14:textId="664135C8" w:rsidR="006C0687" w:rsidRPr="0061659E" w:rsidRDefault="006C0687" w:rsidP="00F64B85">
                      <w:pPr>
                        <w:spacing w:after="0"/>
                        <w:rPr>
                          <w:b/>
                          <w:bCs/>
                          <w:color w:val="FFFFFF" w:themeColor="background1"/>
                          <w:sz w:val="24"/>
                          <w:szCs w:val="24"/>
                          <w:u w:val="single"/>
                        </w:rPr>
                      </w:pPr>
                      <w:r w:rsidRPr="0061659E">
                        <w:rPr>
                          <w:b/>
                          <w:bCs/>
                          <w:color w:val="FFFFFF" w:themeColor="background1"/>
                          <w:sz w:val="24"/>
                          <w:szCs w:val="24"/>
                          <w:u w:val="single"/>
                        </w:rPr>
                        <w:t xml:space="preserve">Hlavné odporúčania IJ </w:t>
                      </w:r>
                      <w:r>
                        <w:rPr>
                          <w:b/>
                          <w:bCs/>
                          <w:color w:val="FFFFFF" w:themeColor="background1"/>
                          <w:sz w:val="24"/>
                          <w:szCs w:val="24"/>
                          <w:u w:val="single"/>
                        </w:rPr>
                        <w:t xml:space="preserve">ÚV SR </w:t>
                      </w:r>
                      <w:r w:rsidRPr="0061659E">
                        <w:rPr>
                          <w:b/>
                          <w:bCs/>
                          <w:color w:val="FFFFFF" w:themeColor="background1"/>
                          <w:sz w:val="24"/>
                          <w:szCs w:val="24"/>
                          <w:u w:val="single"/>
                        </w:rPr>
                        <w:t>pre MŽP SR do 31.12.20</w:t>
                      </w:r>
                      <w:r>
                        <w:rPr>
                          <w:b/>
                          <w:bCs/>
                          <w:color w:val="FFFFFF" w:themeColor="background1"/>
                          <w:sz w:val="24"/>
                          <w:szCs w:val="24"/>
                          <w:u w:val="single"/>
                        </w:rPr>
                        <w:t>20</w:t>
                      </w:r>
                      <w:r w:rsidRPr="0061659E">
                        <w:rPr>
                          <w:b/>
                          <w:bCs/>
                          <w:color w:val="FFFFFF" w:themeColor="background1"/>
                          <w:sz w:val="24"/>
                          <w:szCs w:val="24"/>
                          <w:u w:val="single"/>
                        </w:rPr>
                        <w:t>:</w:t>
                      </w:r>
                    </w:p>
                    <w:p w14:paraId="0733E063" w14:textId="77777777" w:rsidR="006C0687" w:rsidRPr="0061659E" w:rsidRDefault="006C0687" w:rsidP="00F64B85">
                      <w:pPr>
                        <w:spacing w:after="0"/>
                        <w:rPr>
                          <w:b/>
                          <w:bCs/>
                          <w:color w:val="FFFFFF" w:themeColor="background1"/>
                          <w:sz w:val="24"/>
                          <w:szCs w:val="24"/>
                          <w:u w:val="single"/>
                        </w:rPr>
                      </w:pPr>
                    </w:p>
                    <w:p w14:paraId="6C33DCB3" w14:textId="77777777" w:rsidR="006C0687" w:rsidRPr="0061659E" w:rsidRDefault="006C0687" w:rsidP="00131B23">
                      <w:pPr>
                        <w:pStyle w:val="Odsekzoznamu"/>
                        <w:numPr>
                          <w:ilvl w:val="0"/>
                          <w:numId w:val="6"/>
                        </w:numPr>
                        <w:spacing w:line="276" w:lineRule="auto"/>
                        <w:rPr>
                          <w:bCs/>
                          <w:color w:val="FFFFFF" w:themeColor="background1"/>
                        </w:rPr>
                      </w:pPr>
                      <w:r>
                        <w:rPr>
                          <w:bCs/>
                          <w:color w:val="FFFFFF" w:themeColor="background1"/>
                        </w:rPr>
                        <w:t>Realizovať</w:t>
                      </w:r>
                      <w:r w:rsidRPr="0061659E">
                        <w:rPr>
                          <w:bCs/>
                          <w:color w:val="FFFFFF" w:themeColor="background1"/>
                        </w:rPr>
                        <w:t xml:space="preserve"> opatrenia auditu BCG zo strany SVP š. p. na</w:t>
                      </w:r>
                      <w:r>
                        <w:rPr>
                          <w:bCs/>
                          <w:color w:val="FFFFFF" w:themeColor="background1"/>
                        </w:rPr>
                        <w:t xml:space="preserve"> základe</w:t>
                      </w:r>
                      <w:r w:rsidRPr="0061659E">
                        <w:rPr>
                          <w:bCs/>
                          <w:color w:val="FFFFFF" w:themeColor="background1"/>
                        </w:rPr>
                        <w:t xml:space="preserve"> </w:t>
                      </w:r>
                      <w:r>
                        <w:rPr>
                          <w:bCs/>
                          <w:color w:val="FFFFFF" w:themeColor="background1"/>
                        </w:rPr>
                        <w:t xml:space="preserve">Implementačného plánu SVP, š.p. </w:t>
                      </w:r>
                    </w:p>
                    <w:p w14:paraId="1CA6BBB6" w14:textId="77777777" w:rsidR="006C0687" w:rsidRDefault="006C0687" w:rsidP="00131B23">
                      <w:pPr>
                        <w:pStyle w:val="Odsekzoznamu"/>
                        <w:numPr>
                          <w:ilvl w:val="0"/>
                          <w:numId w:val="6"/>
                        </w:numPr>
                        <w:spacing w:line="276" w:lineRule="auto"/>
                        <w:rPr>
                          <w:bCs/>
                          <w:color w:val="FFFFFF" w:themeColor="background1"/>
                        </w:rPr>
                      </w:pPr>
                      <w:r w:rsidRPr="0061659E">
                        <w:rPr>
                          <w:bCs/>
                          <w:color w:val="FFFFFF" w:themeColor="background1"/>
                        </w:rPr>
                        <w:t>Dôsledne dodržiavať prioritizáciu stanovenú v PMPR pre nové protipovodňové opatrenia zo strany SVP</w:t>
                      </w:r>
                    </w:p>
                    <w:p w14:paraId="437BF22F" w14:textId="77777777" w:rsidR="006C0687" w:rsidRPr="0061659E" w:rsidRDefault="006C0687" w:rsidP="00131B23">
                      <w:pPr>
                        <w:pStyle w:val="Odsekzoznamu"/>
                        <w:numPr>
                          <w:ilvl w:val="0"/>
                          <w:numId w:val="6"/>
                        </w:numPr>
                        <w:spacing w:line="276" w:lineRule="auto"/>
                        <w:rPr>
                          <w:bCs/>
                          <w:color w:val="FFFFFF" w:themeColor="background1"/>
                        </w:rPr>
                      </w:pPr>
                      <w:r w:rsidRPr="0061659E">
                        <w:rPr>
                          <w:bCs/>
                          <w:color w:val="FFFFFF" w:themeColor="background1"/>
                        </w:rPr>
                        <w:t xml:space="preserve">Každoročne, v spolupráci s MDV SR, realizovať zber údajov o kontrolách žúmp a udelených pokutách </w:t>
                      </w:r>
                    </w:p>
                    <w:p w14:paraId="0506D057" w14:textId="77777777" w:rsidR="006C0687" w:rsidRPr="0061659E" w:rsidRDefault="006C0687" w:rsidP="00131B23">
                      <w:pPr>
                        <w:pStyle w:val="Odsekzoznamu"/>
                        <w:numPr>
                          <w:ilvl w:val="0"/>
                          <w:numId w:val="6"/>
                        </w:numPr>
                        <w:spacing w:line="276" w:lineRule="auto"/>
                        <w:rPr>
                          <w:bCs/>
                          <w:color w:val="FFFFFF" w:themeColor="background1"/>
                        </w:rPr>
                      </w:pPr>
                      <w:r w:rsidRPr="00585EA3">
                        <w:rPr>
                          <w:bCs/>
                          <w:color w:val="FFFFFF" w:themeColor="background1"/>
                        </w:rPr>
                        <w:t>Dopracovať viacročnú stratégiu podpory pre ostatné oblasti EF (okrem vodohospodárskej infraštruktúry)</w:t>
                      </w:r>
                    </w:p>
                    <w:p w14:paraId="71735638" w14:textId="77777777" w:rsidR="006C0687" w:rsidRDefault="006C0687" w:rsidP="00131B23">
                      <w:pPr>
                        <w:pStyle w:val="Odsekzoznamu"/>
                        <w:numPr>
                          <w:ilvl w:val="0"/>
                          <w:numId w:val="6"/>
                        </w:numPr>
                        <w:spacing w:line="276" w:lineRule="auto"/>
                        <w:rPr>
                          <w:bCs/>
                          <w:color w:val="FFFFFF" w:themeColor="background1"/>
                        </w:rPr>
                      </w:pPr>
                      <w:r>
                        <w:rPr>
                          <w:bCs/>
                          <w:color w:val="FFFFFF" w:themeColor="background1"/>
                        </w:rPr>
                        <w:t>S</w:t>
                      </w:r>
                      <w:r w:rsidRPr="00156F83">
                        <w:rPr>
                          <w:bCs/>
                          <w:color w:val="FFFFFF" w:themeColor="background1"/>
                        </w:rPr>
                        <w:t xml:space="preserve">pustiť </w:t>
                      </w:r>
                      <w:r>
                        <w:rPr>
                          <w:bCs/>
                          <w:color w:val="FFFFFF" w:themeColor="background1"/>
                        </w:rPr>
                        <w:t xml:space="preserve">do 30.9.2020 </w:t>
                      </w:r>
                      <w:r w:rsidRPr="00156F83">
                        <w:rPr>
                          <w:bCs/>
                          <w:color w:val="FFFFFF" w:themeColor="background1"/>
                        </w:rPr>
                        <w:t>pilotný program výberu vstupného v NP Slovenský raj a následne do 12/2020 vyhodnotiť jeho výsledky</w:t>
                      </w:r>
                    </w:p>
                    <w:p w14:paraId="70BFA085" w14:textId="5B7DFF9F" w:rsidR="006C0687" w:rsidRPr="0061659E" w:rsidRDefault="006C0687" w:rsidP="00F64B85">
                      <w:pPr>
                        <w:spacing w:after="0" w:line="276" w:lineRule="auto"/>
                        <w:rPr>
                          <w:b/>
                          <w:bCs/>
                          <w:color w:val="FFFFFF" w:themeColor="background1"/>
                          <w:sz w:val="24"/>
                          <w:szCs w:val="24"/>
                          <w:u w:val="single"/>
                        </w:rPr>
                      </w:pPr>
                      <w:r w:rsidRPr="0061659E">
                        <w:rPr>
                          <w:b/>
                          <w:bCs/>
                          <w:color w:val="FFFFFF" w:themeColor="background1"/>
                          <w:sz w:val="24"/>
                          <w:szCs w:val="24"/>
                          <w:u w:val="single"/>
                        </w:rPr>
                        <w:t xml:space="preserve">Hlavné odporúčanie IJ </w:t>
                      </w:r>
                      <w:r>
                        <w:rPr>
                          <w:b/>
                          <w:bCs/>
                          <w:color w:val="FFFFFF" w:themeColor="background1"/>
                          <w:sz w:val="24"/>
                          <w:szCs w:val="24"/>
                          <w:u w:val="single"/>
                        </w:rPr>
                        <w:t xml:space="preserve">ÚV SR </w:t>
                      </w:r>
                      <w:r w:rsidRPr="0061659E">
                        <w:rPr>
                          <w:b/>
                          <w:bCs/>
                          <w:color w:val="FFFFFF" w:themeColor="background1"/>
                          <w:sz w:val="24"/>
                          <w:szCs w:val="24"/>
                          <w:u w:val="single"/>
                        </w:rPr>
                        <w:t xml:space="preserve">pre MF SR do </w:t>
                      </w:r>
                      <w:r>
                        <w:rPr>
                          <w:b/>
                          <w:bCs/>
                          <w:color w:val="FFFFFF" w:themeColor="background1"/>
                          <w:sz w:val="24"/>
                          <w:szCs w:val="24"/>
                          <w:u w:val="single"/>
                        </w:rPr>
                        <w:t>31</w:t>
                      </w:r>
                      <w:r w:rsidRPr="0061659E">
                        <w:rPr>
                          <w:b/>
                          <w:bCs/>
                          <w:color w:val="FFFFFF" w:themeColor="background1"/>
                          <w:sz w:val="24"/>
                          <w:szCs w:val="24"/>
                          <w:u w:val="single"/>
                        </w:rPr>
                        <w:t>.1</w:t>
                      </w:r>
                      <w:r>
                        <w:rPr>
                          <w:b/>
                          <w:bCs/>
                          <w:color w:val="FFFFFF" w:themeColor="background1"/>
                          <w:sz w:val="24"/>
                          <w:szCs w:val="24"/>
                          <w:u w:val="single"/>
                        </w:rPr>
                        <w:t>2</w:t>
                      </w:r>
                      <w:r w:rsidRPr="0061659E">
                        <w:rPr>
                          <w:b/>
                          <w:bCs/>
                          <w:color w:val="FFFFFF" w:themeColor="background1"/>
                          <w:sz w:val="24"/>
                          <w:szCs w:val="24"/>
                          <w:u w:val="single"/>
                        </w:rPr>
                        <w:t>.20</w:t>
                      </w:r>
                      <w:r>
                        <w:rPr>
                          <w:b/>
                          <w:bCs/>
                          <w:color w:val="FFFFFF" w:themeColor="background1"/>
                          <w:sz w:val="24"/>
                          <w:szCs w:val="24"/>
                          <w:u w:val="single"/>
                        </w:rPr>
                        <w:t>20</w:t>
                      </w:r>
                      <w:r w:rsidRPr="0061659E">
                        <w:rPr>
                          <w:b/>
                          <w:bCs/>
                          <w:color w:val="FFFFFF" w:themeColor="background1"/>
                          <w:sz w:val="24"/>
                          <w:szCs w:val="24"/>
                          <w:u w:val="single"/>
                        </w:rPr>
                        <w:t>:</w:t>
                      </w:r>
                    </w:p>
                    <w:p w14:paraId="027E0A07" w14:textId="77777777" w:rsidR="006C0687" w:rsidRPr="00ED2691" w:rsidRDefault="006C0687" w:rsidP="00131B23">
                      <w:pPr>
                        <w:pStyle w:val="Odsekzoznamu"/>
                        <w:numPr>
                          <w:ilvl w:val="0"/>
                          <w:numId w:val="6"/>
                        </w:numPr>
                        <w:spacing w:line="276" w:lineRule="auto"/>
                      </w:pPr>
                      <w:r w:rsidRPr="0061659E">
                        <w:rPr>
                          <w:bCs/>
                          <w:color w:val="FFFFFF" w:themeColor="background1"/>
                        </w:rPr>
                        <w:t>Predložiť novelu zákona o spotrebnej dani z elektriny, uhlia a zemného plynu č. 609/2007 Z. z., ktor</w:t>
                      </w:r>
                      <w:r>
                        <w:rPr>
                          <w:bCs/>
                          <w:color w:val="FFFFFF" w:themeColor="background1"/>
                        </w:rPr>
                        <w:t>ou</w:t>
                      </w:r>
                      <w:r w:rsidRPr="0061659E">
                        <w:rPr>
                          <w:bCs/>
                          <w:color w:val="FFFFFF" w:themeColor="background1"/>
                        </w:rPr>
                        <w:t xml:space="preserve"> bude </w:t>
                      </w:r>
                      <w:r>
                        <w:rPr>
                          <w:bCs/>
                          <w:color w:val="FFFFFF" w:themeColor="background1"/>
                        </w:rPr>
                        <w:t>za</w:t>
                      </w:r>
                      <w:r w:rsidRPr="0061659E">
                        <w:rPr>
                          <w:bCs/>
                          <w:color w:val="FFFFFF" w:themeColor="background1"/>
                        </w:rPr>
                        <w:t>vedené zrušenie fakultatívnych oslobodení, na rokovanie vlády SR</w:t>
                      </w:r>
                    </w:p>
                    <w:p w14:paraId="38535DD3" w14:textId="13F2F695" w:rsidR="006C0687" w:rsidRPr="00ED2691" w:rsidRDefault="006C0687" w:rsidP="00F64B85">
                      <w:pPr>
                        <w:spacing w:after="0" w:line="276" w:lineRule="auto"/>
                        <w:rPr>
                          <w:b/>
                          <w:bCs/>
                          <w:color w:val="FFFFFF" w:themeColor="background1"/>
                          <w:sz w:val="24"/>
                          <w:szCs w:val="24"/>
                          <w:u w:val="single"/>
                        </w:rPr>
                      </w:pPr>
                      <w:r w:rsidRPr="00ED2691">
                        <w:rPr>
                          <w:b/>
                          <w:bCs/>
                          <w:color w:val="FFFFFF" w:themeColor="background1"/>
                          <w:sz w:val="24"/>
                          <w:szCs w:val="24"/>
                          <w:u w:val="single"/>
                        </w:rPr>
                        <w:t>Hlavné odporúčanie IJ</w:t>
                      </w:r>
                      <w:r>
                        <w:rPr>
                          <w:b/>
                          <w:bCs/>
                          <w:color w:val="FFFFFF" w:themeColor="background1"/>
                          <w:sz w:val="24"/>
                          <w:szCs w:val="24"/>
                          <w:u w:val="single"/>
                        </w:rPr>
                        <w:t xml:space="preserve"> ÚV SR</w:t>
                      </w:r>
                      <w:r w:rsidRPr="00ED2691">
                        <w:rPr>
                          <w:b/>
                          <w:bCs/>
                          <w:color w:val="FFFFFF" w:themeColor="background1"/>
                          <w:sz w:val="24"/>
                          <w:szCs w:val="24"/>
                          <w:u w:val="single"/>
                        </w:rPr>
                        <w:t xml:space="preserve"> pre </w:t>
                      </w:r>
                      <w:r>
                        <w:rPr>
                          <w:b/>
                          <w:bCs/>
                          <w:color w:val="FFFFFF" w:themeColor="background1"/>
                          <w:sz w:val="24"/>
                          <w:szCs w:val="24"/>
                          <w:u w:val="single"/>
                        </w:rPr>
                        <w:t>ÚPVII</w:t>
                      </w:r>
                      <w:r w:rsidRPr="00ED2691">
                        <w:rPr>
                          <w:b/>
                          <w:bCs/>
                          <w:color w:val="FFFFFF" w:themeColor="background1"/>
                          <w:sz w:val="24"/>
                          <w:szCs w:val="24"/>
                          <w:u w:val="single"/>
                        </w:rPr>
                        <w:t xml:space="preserve"> do 31.12.2020:</w:t>
                      </w:r>
                    </w:p>
                    <w:p w14:paraId="714332BB" w14:textId="77777777" w:rsidR="006C0687" w:rsidRPr="0061659E" w:rsidRDefault="006C0687" w:rsidP="00131B23">
                      <w:pPr>
                        <w:pStyle w:val="Odsekzoznamu"/>
                        <w:numPr>
                          <w:ilvl w:val="0"/>
                          <w:numId w:val="6"/>
                        </w:numPr>
                        <w:spacing w:line="276" w:lineRule="auto"/>
                        <w:rPr>
                          <w:bCs/>
                          <w:color w:val="FFFFFF" w:themeColor="background1"/>
                        </w:rPr>
                      </w:pPr>
                      <w:r>
                        <w:rPr>
                          <w:bCs/>
                          <w:color w:val="FFFFFF" w:themeColor="background1"/>
                        </w:rPr>
                        <w:t xml:space="preserve">Pri </w:t>
                      </w:r>
                      <w:r w:rsidRPr="004D7D63">
                        <w:rPr>
                          <w:bCs/>
                          <w:color w:val="FFFFFF" w:themeColor="background1"/>
                        </w:rPr>
                        <w:t>aktualizácii zásobník</w:t>
                      </w:r>
                      <w:r>
                        <w:rPr>
                          <w:bCs/>
                          <w:color w:val="FFFFFF" w:themeColor="background1"/>
                        </w:rPr>
                        <w:t>a</w:t>
                      </w:r>
                      <w:r w:rsidRPr="004D7D63">
                        <w:rPr>
                          <w:bCs/>
                          <w:color w:val="FFFFFF" w:themeColor="background1"/>
                        </w:rPr>
                        <w:t xml:space="preserve"> projektov</w:t>
                      </w:r>
                      <w:r w:rsidRPr="004D7D63">
                        <w:t xml:space="preserve"> </w:t>
                      </w:r>
                      <w:r w:rsidRPr="00BE7F34">
                        <w:rPr>
                          <w:color w:val="FFFFFF" w:themeColor="background1"/>
                        </w:rPr>
                        <w:t>Akčn</w:t>
                      </w:r>
                      <w:r>
                        <w:rPr>
                          <w:color w:val="FFFFFF" w:themeColor="background1"/>
                        </w:rPr>
                        <w:t>ého</w:t>
                      </w:r>
                      <w:r w:rsidRPr="00BE7F34">
                        <w:rPr>
                          <w:color w:val="FFFFFF" w:themeColor="background1"/>
                        </w:rPr>
                        <w:t xml:space="preserve"> plán</w:t>
                      </w:r>
                      <w:r>
                        <w:rPr>
                          <w:color w:val="FFFFFF" w:themeColor="background1"/>
                        </w:rPr>
                        <w:t>u</w:t>
                      </w:r>
                      <w:r w:rsidRPr="00BE7F34">
                        <w:rPr>
                          <w:color w:val="FFFFFF" w:themeColor="background1"/>
                        </w:rPr>
                        <w:t xml:space="preserve"> transformácie regiónu horná Nitra</w:t>
                      </w:r>
                      <w:r>
                        <w:rPr>
                          <w:color w:val="FFFFFF" w:themeColor="background1"/>
                        </w:rPr>
                        <w:t xml:space="preserve"> </w:t>
                      </w:r>
                      <w:r w:rsidRPr="004D7D63">
                        <w:rPr>
                          <w:bCs/>
                          <w:color w:val="FFFFFF" w:themeColor="background1"/>
                        </w:rPr>
                        <w:t>realizova</w:t>
                      </w:r>
                      <w:r>
                        <w:rPr>
                          <w:bCs/>
                          <w:color w:val="FFFFFF" w:themeColor="background1"/>
                        </w:rPr>
                        <w:t>ť</w:t>
                      </w:r>
                      <w:r w:rsidRPr="004D7D63">
                        <w:rPr>
                          <w:bCs/>
                          <w:color w:val="FFFFFF" w:themeColor="background1"/>
                        </w:rPr>
                        <w:t xml:space="preserve"> selekci</w:t>
                      </w:r>
                      <w:r>
                        <w:rPr>
                          <w:bCs/>
                          <w:color w:val="FFFFFF" w:themeColor="background1"/>
                        </w:rPr>
                        <w:t>u projektov</w:t>
                      </w:r>
                      <w:r w:rsidRPr="004D7D63">
                        <w:rPr>
                          <w:bCs/>
                          <w:color w:val="FFFFFF" w:themeColor="background1"/>
                        </w:rPr>
                        <w:t xml:space="preserve"> na základe stratégií alebo dokumentov prioritizácie projektov</w:t>
                      </w:r>
                      <w:r>
                        <w:rPr>
                          <w:bCs/>
                          <w:color w:val="FFFFFF" w:themeColor="background1"/>
                        </w:rPr>
                        <w:t xml:space="preserve"> </w:t>
                      </w:r>
                      <w:r w:rsidRPr="004D7D63">
                        <w:rPr>
                          <w:bCs/>
                          <w:color w:val="FFFFFF" w:themeColor="background1"/>
                        </w:rPr>
                        <w:t>ministerstiev</w:t>
                      </w:r>
                    </w:p>
                  </w:txbxContent>
                </v:textbox>
                <w10:wrap type="through" anchorx="margin"/>
              </v:shape>
            </w:pict>
          </mc:Fallback>
        </mc:AlternateContent>
      </w:r>
    </w:p>
    <w:p w14:paraId="35B9FD42" w14:textId="77777777" w:rsidR="005019FB" w:rsidRPr="00666914" w:rsidRDefault="005019FB">
      <w:pPr>
        <w:spacing w:after="0"/>
        <w:jc w:val="left"/>
        <w:rPr>
          <w:rFonts w:eastAsia="Arial Narrow" w:cs="Arial Narrow"/>
          <w:b/>
          <w:sz w:val="20"/>
          <w:szCs w:val="20"/>
        </w:rPr>
      </w:pPr>
      <w:r w:rsidRPr="00666914">
        <w:rPr>
          <w:rFonts w:eastAsia="Arial Narrow" w:cs="Arial Narrow"/>
          <w:b/>
          <w:sz w:val="20"/>
          <w:szCs w:val="20"/>
        </w:rPr>
        <w:br w:type="page"/>
      </w:r>
    </w:p>
    <w:p w14:paraId="1053E406" w14:textId="5920E934" w:rsidR="008E7D9E" w:rsidRPr="00666914" w:rsidRDefault="008E7D9E" w:rsidP="00905E4E">
      <w:pPr>
        <w:spacing w:after="0"/>
        <w:rPr>
          <w:rFonts w:eastAsia="Arial Narrow" w:cs="Arial Narrow"/>
          <w:b/>
          <w:sz w:val="20"/>
          <w:szCs w:val="20"/>
        </w:rPr>
      </w:pPr>
      <w:bookmarkStart w:id="322" w:name="_Toc38447727"/>
      <w:r w:rsidRPr="00666914">
        <w:rPr>
          <w:rFonts w:eastAsia="Arial Narrow" w:cs="Arial Narrow"/>
          <w:b/>
          <w:sz w:val="20"/>
          <w:szCs w:val="20"/>
        </w:rPr>
        <w:lastRenderedPageBreak/>
        <w:t xml:space="preserve">Tabuľka </w:t>
      </w:r>
      <w:r w:rsidRPr="00666914">
        <w:rPr>
          <w:rFonts w:eastAsia="Arial Narrow" w:cs="Arial Narrow"/>
          <w:b/>
          <w:sz w:val="20"/>
          <w:szCs w:val="20"/>
        </w:rPr>
        <w:fldChar w:fldCharType="begin"/>
      </w:r>
      <w:r w:rsidRPr="00666914">
        <w:rPr>
          <w:rFonts w:eastAsia="Arial Narrow" w:cs="Arial Narrow"/>
          <w:b/>
          <w:sz w:val="20"/>
          <w:szCs w:val="20"/>
        </w:rPr>
        <w:instrText xml:space="preserve"> SEQ Tabuľka \* ARABIC \* MERGEFORMAT </w:instrText>
      </w:r>
      <w:r w:rsidRPr="00666914">
        <w:rPr>
          <w:rFonts w:eastAsia="Arial Narrow" w:cs="Arial Narrow"/>
          <w:b/>
          <w:sz w:val="20"/>
          <w:szCs w:val="20"/>
        </w:rPr>
        <w:fldChar w:fldCharType="separate"/>
      </w:r>
      <w:r w:rsidR="005A7304">
        <w:rPr>
          <w:rFonts w:eastAsia="Arial Narrow" w:cs="Arial Narrow"/>
          <w:b/>
          <w:noProof/>
          <w:sz w:val="20"/>
          <w:szCs w:val="20"/>
        </w:rPr>
        <w:t>66</w:t>
      </w:r>
      <w:r w:rsidRPr="00666914">
        <w:rPr>
          <w:rFonts w:eastAsia="Arial Narrow" w:cs="Arial Narrow"/>
          <w:b/>
          <w:sz w:val="20"/>
          <w:szCs w:val="20"/>
        </w:rPr>
        <w:fldChar w:fldCharType="end"/>
      </w:r>
      <w:r w:rsidRPr="00666914">
        <w:rPr>
          <w:rFonts w:eastAsia="Arial Narrow" w:cs="Arial Narrow"/>
          <w:b/>
          <w:sz w:val="20"/>
          <w:szCs w:val="20"/>
        </w:rPr>
        <w:t>: Plnenie opatrení Revízie výdavkov na životné prostredie v roku 2019</w:t>
      </w:r>
      <w:bookmarkEnd w:id="322"/>
    </w:p>
    <w:tbl>
      <w:tblPr>
        <w:tblW w:w="9351" w:type="dxa"/>
        <w:tblLayout w:type="fixed"/>
        <w:tblLook w:val="0400" w:firstRow="0" w:lastRow="0" w:firstColumn="0" w:lastColumn="0" w:noHBand="0" w:noVBand="1"/>
      </w:tblPr>
      <w:tblGrid>
        <w:gridCol w:w="416"/>
        <w:gridCol w:w="151"/>
        <w:gridCol w:w="2972"/>
        <w:gridCol w:w="1418"/>
        <w:gridCol w:w="850"/>
        <w:gridCol w:w="992"/>
        <w:gridCol w:w="638"/>
        <w:gridCol w:w="638"/>
        <w:gridCol w:w="638"/>
        <w:gridCol w:w="638"/>
      </w:tblGrid>
      <w:tr w:rsidR="008E7D9E" w:rsidRPr="00666914" w14:paraId="681DBB90" w14:textId="77777777" w:rsidTr="00ED49C2">
        <w:trPr>
          <w:trHeight w:val="306"/>
        </w:trPr>
        <w:tc>
          <w:tcPr>
            <w:tcW w:w="416" w:type="dxa"/>
            <w:tcBorders>
              <w:top w:val="single" w:sz="4" w:space="0" w:color="000000"/>
              <w:left w:val="single" w:sz="4" w:space="0" w:color="000000"/>
              <w:bottom w:val="single" w:sz="8" w:space="0" w:color="000000"/>
            </w:tcBorders>
            <w:shd w:val="clear" w:color="auto" w:fill="auto"/>
            <w:vAlign w:val="bottom"/>
          </w:tcPr>
          <w:p w14:paraId="7D5F7E70" w14:textId="77777777" w:rsidR="008E7D9E" w:rsidRPr="00666914" w:rsidRDefault="008E7D9E">
            <w:pPr>
              <w:spacing w:after="0"/>
              <w:jc w:val="center"/>
              <w:rPr>
                <w:rFonts w:eastAsia="Arial Narrow" w:cs="Arial Narrow"/>
                <w:b/>
                <w:color w:val="000000"/>
                <w:sz w:val="20"/>
                <w:szCs w:val="20"/>
              </w:rPr>
            </w:pPr>
            <w:bookmarkStart w:id="323" w:name="bookmark=id.3dy6vkm" w:colFirst="0" w:colLast="0"/>
            <w:bookmarkEnd w:id="323"/>
            <w:r w:rsidRPr="00666914">
              <w:rPr>
                <w:rFonts w:eastAsia="Arial Narrow" w:cs="Arial Narrow"/>
                <w:b/>
                <w:color w:val="000000"/>
                <w:sz w:val="20"/>
                <w:szCs w:val="20"/>
              </w:rPr>
              <w:t> </w:t>
            </w:r>
          </w:p>
        </w:tc>
        <w:tc>
          <w:tcPr>
            <w:tcW w:w="3123" w:type="dxa"/>
            <w:gridSpan w:val="2"/>
            <w:tcBorders>
              <w:top w:val="single" w:sz="4" w:space="0" w:color="000000"/>
              <w:bottom w:val="single" w:sz="8" w:space="0" w:color="000000"/>
              <w:right w:val="single" w:sz="4" w:space="0" w:color="000000"/>
            </w:tcBorders>
            <w:shd w:val="clear" w:color="auto" w:fill="auto"/>
            <w:vAlign w:val="center"/>
          </w:tcPr>
          <w:p w14:paraId="53827ABC"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ŽIVOTNÉ PROSTREDIE</w:t>
            </w:r>
          </w:p>
        </w:tc>
        <w:tc>
          <w:tcPr>
            <w:tcW w:w="1418" w:type="dxa"/>
            <w:tcBorders>
              <w:top w:val="single" w:sz="4" w:space="0" w:color="000000"/>
              <w:left w:val="nil"/>
              <w:bottom w:val="single" w:sz="8" w:space="0" w:color="000000"/>
              <w:right w:val="single" w:sz="4" w:space="0" w:color="000000"/>
            </w:tcBorders>
            <w:shd w:val="clear" w:color="auto" w:fill="auto"/>
            <w:vAlign w:val="center"/>
          </w:tcPr>
          <w:p w14:paraId="4FAB5570"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Zodpovednosť</w:t>
            </w:r>
          </w:p>
        </w:tc>
        <w:tc>
          <w:tcPr>
            <w:tcW w:w="850" w:type="dxa"/>
            <w:tcBorders>
              <w:top w:val="single" w:sz="4" w:space="0" w:color="000000"/>
              <w:left w:val="nil"/>
              <w:bottom w:val="single" w:sz="8" w:space="0" w:color="000000"/>
              <w:right w:val="single" w:sz="4" w:space="0" w:color="000000"/>
            </w:tcBorders>
            <w:shd w:val="clear" w:color="auto" w:fill="auto"/>
            <w:vAlign w:val="center"/>
          </w:tcPr>
          <w:p w14:paraId="7AF98D0A"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Termín plnenia</w:t>
            </w:r>
          </w:p>
        </w:tc>
        <w:tc>
          <w:tcPr>
            <w:tcW w:w="992" w:type="dxa"/>
            <w:tcBorders>
              <w:top w:val="single" w:sz="4" w:space="0" w:color="000000"/>
              <w:left w:val="nil"/>
              <w:bottom w:val="single" w:sz="8" w:space="0" w:color="000000"/>
              <w:right w:val="single" w:sz="4" w:space="0" w:color="000000"/>
            </w:tcBorders>
          </w:tcPr>
          <w:p w14:paraId="52A4B34A"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Nový termín plnenia</w:t>
            </w:r>
            <w:r w:rsidRPr="00666914">
              <w:rPr>
                <w:rFonts w:eastAsia="Arial Narrow" w:cs="Arial Narrow"/>
                <w:b/>
                <w:color w:val="000000"/>
                <w:sz w:val="20"/>
                <w:szCs w:val="20"/>
                <w:vertAlign w:val="superscript"/>
              </w:rPr>
              <w:footnoteReference w:id="261"/>
            </w:r>
          </w:p>
        </w:tc>
        <w:tc>
          <w:tcPr>
            <w:tcW w:w="638" w:type="dxa"/>
            <w:tcBorders>
              <w:top w:val="single" w:sz="4" w:space="0" w:color="000000"/>
              <w:left w:val="single" w:sz="4" w:space="0" w:color="000000"/>
              <w:bottom w:val="single" w:sz="8" w:space="0" w:color="000000"/>
              <w:right w:val="single" w:sz="4" w:space="0" w:color="000000"/>
            </w:tcBorders>
            <w:shd w:val="clear" w:color="auto" w:fill="auto"/>
            <w:vAlign w:val="center"/>
          </w:tcPr>
          <w:p w14:paraId="137F0510"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1Q 2019</w:t>
            </w:r>
          </w:p>
        </w:tc>
        <w:tc>
          <w:tcPr>
            <w:tcW w:w="638" w:type="dxa"/>
            <w:tcBorders>
              <w:top w:val="single" w:sz="4" w:space="0" w:color="000000"/>
              <w:left w:val="nil"/>
              <w:bottom w:val="single" w:sz="8" w:space="0" w:color="000000"/>
              <w:right w:val="single" w:sz="4" w:space="0" w:color="000000"/>
            </w:tcBorders>
            <w:shd w:val="clear" w:color="auto" w:fill="auto"/>
            <w:vAlign w:val="center"/>
          </w:tcPr>
          <w:p w14:paraId="0AF1EEDD"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2Q 2019</w:t>
            </w:r>
          </w:p>
        </w:tc>
        <w:tc>
          <w:tcPr>
            <w:tcW w:w="638" w:type="dxa"/>
            <w:tcBorders>
              <w:top w:val="single" w:sz="4" w:space="0" w:color="000000"/>
              <w:left w:val="nil"/>
              <w:bottom w:val="single" w:sz="8" w:space="0" w:color="000000"/>
              <w:right w:val="single" w:sz="4" w:space="0" w:color="000000"/>
            </w:tcBorders>
            <w:shd w:val="clear" w:color="auto" w:fill="auto"/>
            <w:vAlign w:val="center"/>
          </w:tcPr>
          <w:p w14:paraId="7E6542AA"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3Q 2019</w:t>
            </w:r>
          </w:p>
        </w:tc>
        <w:tc>
          <w:tcPr>
            <w:tcW w:w="638" w:type="dxa"/>
            <w:tcBorders>
              <w:top w:val="single" w:sz="4" w:space="0" w:color="000000"/>
              <w:left w:val="nil"/>
              <w:bottom w:val="single" w:sz="8" w:space="0" w:color="000000"/>
              <w:right w:val="single" w:sz="4" w:space="0" w:color="000000"/>
            </w:tcBorders>
            <w:shd w:val="clear" w:color="auto" w:fill="auto"/>
            <w:vAlign w:val="center"/>
          </w:tcPr>
          <w:p w14:paraId="0DBB5E4F"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4Q 2019</w:t>
            </w:r>
          </w:p>
        </w:tc>
      </w:tr>
      <w:tr w:rsidR="008E7D9E" w:rsidRPr="00666914" w14:paraId="56CB734C" w14:textId="77777777">
        <w:trPr>
          <w:trHeight w:val="443"/>
        </w:trPr>
        <w:tc>
          <w:tcPr>
            <w:tcW w:w="567" w:type="dxa"/>
            <w:gridSpan w:val="2"/>
            <w:tcBorders>
              <w:top w:val="single" w:sz="8" w:space="0" w:color="000000"/>
              <w:left w:val="single" w:sz="4" w:space="0" w:color="000000"/>
              <w:bottom w:val="single" w:sz="4" w:space="0" w:color="000000"/>
            </w:tcBorders>
          </w:tcPr>
          <w:p w14:paraId="57B16C5C" w14:textId="77777777" w:rsidR="008E7D9E" w:rsidRPr="00666914" w:rsidRDefault="008E7D9E">
            <w:pPr>
              <w:spacing w:after="0"/>
              <w:jc w:val="center"/>
              <w:rPr>
                <w:rFonts w:eastAsia="Arial Narrow" w:cs="Arial Narrow"/>
                <w:b/>
                <w:color w:val="000000"/>
                <w:sz w:val="20"/>
                <w:szCs w:val="20"/>
              </w:rPr>
            </w:pPr>
          </w:p>
        </w:tc>
        <w:tc>
          <w:tcPr>
            <w:tcW w:w="8784" w:type="dxa"/>
            <w:gridSpan w:val="8"/>
            <w:tcBorders>
              <w:top w:val="single" w:sz="8" w:space="0" w:color="000000"/>
              <w:bottom w:val="single" w:sz="4" w:space="0" w:color="000000"/>
              <w:right w:val="single" w:sz="4" w:space="0" w:color="000000"/>
            </w:tcBorders>
            <w:shd w:val="clear" w:color="auto" w:fill="auto"/>
            <w:vAlign w:val="center"/>
          </w:tcPr>
          <w:p w14:paraId="4C96F896"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ÚSPORA</w:t>
            </w:r>
          </w:p>
        </w:tc>
      </w:tr>
      <w:tr w:rsidR="008E7D9E" w:rsidRPr="00666914" w14:paraId="6106BE58" w14:textId="77777777" w:rsidTr="00ED49C2">
        <w:trPr>
          <w:trHeight w:val="573"/>
        </w:trPr>
        <w:tc>
          <w:tcPr>
            <w:tcW w:w="416" w:type="dxa"/>
            <w:tcBorders>
              <w:top w:val="nil"/>
              <w:left w:val="single" w:sz="8" w:space="0" w:color="000000"/>
              <w:bottom w:val="single" w:sz="4" w:space="0" w:color="000000"/>
              <w:right w:val="single" w:sz="4" w:space="0" w:color="000000"/>
            </w:tcBorders>
            <w:shd w:val="clear" w:color="auto" w:fill="auto"/>
            <w:vAlign w:val="center"/>
          </w:tcPr>
          <w:p w14:paraId="56131E86"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1</w:t>
            </w:r>
          </w:p>
        </w:tc>
        <w:tc>
          <w:tcPr>
            <w:tcW w:w="3123" w:type="dxa"/>
            <w:gridSpan w:val="2"/>
            <w:tcBorders>
              <w:top w:val="nil"/>
              <w:left w:val="nil"/>
              <w:bottom w:val="single" w:sz="4" w:space="0" w:color="000000"/>
              <w:right w:val="single" w:sz="4" w:space="0" w:color="000000"/>
            </w:tcBorders>
            <w:shd w:val="clear" w:color="auto" w:fill="auto"/>
            <w:vAlign w:val="center"/>
          </w:tcPr>
          <w:p w14:paraId="3686D472"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Postupne implementovať opatrenia na zefektívnenie prevádzky podľa auditu BCG</w:t>
            </w:r>
          </w:p>
        </w:tc>
        <w:tc>
          <w:tcPr>
            <w:tcW w:w="1418" w:type="dxa"/>
            <w:tcBorders>
              <w:top w:val="nil"/>
              <w:left w:val="nil"/>
              <w:bottom w:val="single" w:sz="4" w:space="0" w:color="000000"/>
              <w:right w:val="single" w:sz="4" w:space="0" w:color="000000"/>
            </w:tcBorders>
            <w:shd w:val="clear" w:color="auto" w:fill="auto"/>
            <w:vAlign w:val="center"/>
          </w:tcPr>
          <w:p w14:paraId="6D90E41D"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SVP</w:t>
            </w:r>
          </w:p>
        </w:tc>
        <w:tc>
          <w:tcPr>
            <w:tcW w:w="850" w:type="dxa"/>
            <w:tcBorders>
              <w:top w:val="nil"/>
              <w:left w:val="nil"/>
              <w:bottom w:val="single" w:sz="4" w:space="0" w:color="000000"/>
              <w:right w:val="single" w:sz="4" w:space="0" w:color="000000"/>
            </w:tcBorders>
            <w:shd w:val="clear" w:color="auto" w:fill="auto"/>
            <w:vAlign w:val="center"/>
          </w:tcPr>
          <w:p w14:paraId="6A8C3068" w14:textId="77777777" w:rsidR="008E7D9E" w:rsidRPr="00666914" w:rsidRDefault="008E7D9E">
            <w:pPr>
              <w:spacing w:after="0"/>
              <w:ind w:left="-91"/>
              <w:jc w:val="center"/>
              <w:rPr>
                <w:rFonts w:eastAsia="Arial Narrow" w:cs="Arial Narrow"/>
                <w:color w:val="000000"/>
                <w:sz w:val="20"/>
                <w:szCs w:val="20"/>
              </w:rPr>
            </w:pPr>
            <w:r w:rsidRPr="00666914">
              <w:rPr>
                <w:rFonts w:eastAsia="Arial Narrow" w:cs="Arial Narrow"/>
                <w:color w:val="000000"/>
                <w:sz w:val="20"/>
                <w:szCs w:val="20"/>
              </w:rPr>
              <w:t>2018-2020</w:t>
            </w:r>
          </w:p>
        </w:tc>
        <w:tc>
          <w:tcPr>
            <w:tcW w:w="992" w:type="dxa"/>
            <w:tcBorders>
              <w:top w:val="nil"/>
              <w:left w:val="nil"/>
              <w:bottom w:val="single" w:sz="4" w:space="0" w:color="000000"/>
              <w:right w:val="single" w:sz="4" w:space="0" w:color="000000"/>
            </w:tcBorders>
            <w:vAlign w:val="center"/>
          </w:tcPr>
          <w:p w14:paraId="1F29F9FF"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w:t>
            </w:r>
          </w:p>
        </w:tc>
        <w:tc>
          <w:tcPr>
            <w:tcW w:w="638" w:type="dxa"/>
            <w:tcBorders>
              <w:top w:val="nil"/>
              <w:left w:val="single" w:sz="4" w:space="0" w:color="000000"/>
              <w:bottom w:val="single" w:sz="4" w:space="0" w:color="000000"/>
              <w:right w:val="single" w:sz="4" w:space="0" w:color="000000"/>
            </w:tcBorders>
            <w:shd w:val="clear" w:color="auto" w:fill="C00000"/>
            <w:vAlign w:val="bottom"/>
          </w:tcPr>
          <w:p w14:paraId="28687AEA"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FF0000"/>
            <w:vAlign w:val="bottom"/>
          </w:tcPr>
          <w:p w14:paraId="4B401D3A"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FF0000"/>
            <w:vAlign w:val="bottom"/>
          </w:tcPr>
          <w:p w14:paraId="75AE1914"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8" w:space="0" w:color="000000"/>
            </w:tcBorders>
            <w:shd w:val="clear" w:color="auto" w:fill="FF0000"/>
            <w:vAlign w:val="bottom"/>
          </w:tcPr>
          <w:p w14:paraId="3304FA65"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19B8CEF3" w14:textId="77777777" w:rsidTr="00ED49C2">
        <w:trPr>
          <w:trHeight w:val="286"/>
        </w:trPr>
        <w:tc>
          <w:tcPr>
            <w:tcW w:w="416" w:type="dxa"/>
            <w:tcBorders>
              <w:top w:val="nil"/>
              <w:left w:val="single" w:sz="8" w:space="0" w:color="000000"/>
              <w:bottom w:val="single" w:sz="4" w:space="0" w:color="000000"/>
              <w:right w:val="single" w:sz="4" w:space="0" w:color="000000"/>
            </w:tcBorders>
            <w:shd w:val="clear" w:color="auto" w:fill="auto"/>
            <w:vAlign w:val="center"/>
          </w:tcPr>
          <w:p w14:paraId="5AC12503"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2</w:t>
            </w:r>
          </w:p>
        </w:tc>
        <w:tc>
          <w:tcPr>
            <w:tcW w:w="3123" w:type="dxa"/>
            <w:gridSpan w:val="2"/>
            <w:tcBorders>
              <w:top w:val="nil"/>
              <w:left w:val="nil"/>
              <w:bottom w:val="single" w:sz="4" w:space="0" w:color="000000"/>
              <w:right w:val="single" w:sz="4" w:space="0" w:color="000000"/>
            </w:tcBorders>
            <w:shd w:val="clear" w:color="auto" w:fill="auto"/>
            <w:vAlign w:val="center"/>
          </w:tcPr>
          <w:p w14:paraId="3EB5C546"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Postupne zvýšiť poplatky za skládkovanie a zaviesť povinný množstvový zber</w:t>
            </w:r>
          </w:p>
        </w:tc>
        <w:tc>
          <w:tcPr>
            <w:tcW w:w="1418" w:type="dxa"/>
            <w:tcBorders>
              <w:top w:val="nil"/>
              <w:left w:val="nil"/>
              <w:bottom w:val="single" w:sz="4" w:space="0" w:color="000000"/>
              <w:right w:val="single" w:sz="4" w:space="0" w:color="000000"/>
            </w:tcBorders>
            <w:shd w:val="clear" w:color="auto" w:fill="auto"/>
            <w:vAlign w:val="center"/>
          </w:tcPr>
          <w:p w14:paraId="5E5DD875"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w:t>
            </w:r>
          </w:p>
        </w:tc>
        <w:tc>
          <w:tcPr>
            <w:tcW w:w="850" w:type="dxa"/>
            <w:tcBorders>
              <w:top w:val="nil"/>
              <w:left w:val="nil"/>
              <w:bottom w:val="single" w:sz="4" w:space="0" w:color="000000"/>
              <w:right w:val="single" w:sz="4" w:space="0" w:color="000000"/>
            </w:tcBorders>
            <w:shd w:val="clear" w:color="auto" w:fill="auto"/>
            <w:vAlign w:val="center"/>
          </w:tcPr>
          <w:p w14:paraId="5145EC06"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2019-2023</w:t>
            </w:r>
          </w:p>
        </w:tc>
        <w:tc>
          <w:tcPr>
            <w:tcW w:w="992" w:type="dxa"/>
            <w:tcBorders>
              <w:top w:val="single" w:sz="4" w:space="0" w:color="000000"/>
              <w:left w:val="nil"/>
              <w:bottom w:val="single" w:sz="4" w:space="0" w:color="000000"/>
              <w:right w:val="single" w:sz="4" w:space="0" w:color="000000"/>
            </w:tcBorders>
            <w:vAlign w:val="center"/>
          </w:tcPr>
          <w:p w14:paraId="027C9520" w14:textId="1DFDF1AB" w:rsidR="00ED49C2" w:rsidRPr="00666914" w:rsidRDefault="00ED49C2" w:rsidP="00ED49C2">
            <w:pPr>
              <w:spacing w:after="0"/>
              <w:jc w:val="center"/>
              <w:rPr>
                <w:rFonts w:eastAsia="Arial Narrow" w:cs="Arial Narrow"/>
                <w:color w:val="000000"/>
                <w:sz w:val="20"/>
                <w:szCs w:val="20"/>
              </w:rPr>
            </w:pPr>
            <w:r w:rsidRPr="00666914">
              <w:rPr>
                <w:rFonts w:eastAsia="Arial Narrow" w:cs="Arial Narrow"/>
                <w:color w:val="000000"/>
                <w:sz w:val="20"/>
                <w:szCs w:val="20"/>
              </w:rPr>
              <w:t>-</w:t>
            </w:r>
          </w:p>
        </w:tc>
        <w:tc>
          <w:tcPr>
            <w:tcW w:w="638" w:type="dxa"/>
            <w:tcBorders>
              <w:top w:val="nil"/>
              <w:left w:val="single" w:sz="4" w:space="0" w:color="000000"/>
              <w:bottom w:val="single" w:sz="4" w:space="0" w:color="000000"/>
              <w:right w:val="single" w:sz="4" w:space="0" w:color="000000"/>
            </w:tcBorders>
            <w:shd w:val="clear" w:color="auto" w:fill="FFC000"/>
            <w:vAlign w:val="bottom"/>
          </w:tcPr>
          <w:p w14:paraId="0071922B"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FFC000"/>
            <w:vAlign w:val="bottom"/>
          </w:tcPr>
          <w:p w14:paraId="20012F2D"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FFC000"/>
            <w:vAlign w:val="bottom"/>
          </w:tcPr>
          <w:p w14:paraId="687B9A9F"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8" w:space="0" w:color="000000"/>
            </w:tcBorders>
            <w:shd w:val="clear" w:color="auto" w:fill="FFC000"/>
            <w:vAlign w:val="bottom"/>
          </w:tcPr>
          <w:p w14:paraId="68E7A52E"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67C8D03D" w14:textId="77777777" w:rsidTr="00ED49C2">
        <w:trPr>
          <w:trHeight w:val="286"/>
        </w:trPr>
        <w:tc>
          <w:tcPr>
            <w:tcW w:w="416" w:type="dxa"/>
            <w:tcBorders>
              <w:top w:val="nil"/>
              <w:left w:val="single" w:sz="8" w:space="0" w:color="000000"/>
              <w:bottom w:val="single" w:sz="4" w:space="0" w:color="000000"/>
              <w:right w:val="single" w:sz="4" w:space="0" w:color="000000"/>
            </w:tcBorders>
            <w:shd w:val="clear" w:color="auto" w:fill="auto"/>
            <w:vAlign w:val="center"/>
          </w:tcPr>
          <w:p w14:paraId="61E7EFB5"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3</w:t>
            </w:r>
          </w:p>
        </w:tc>
        <w:tc>
          <w:tcPr>
            <w:tcW w:w="3123" w:type="dxa"/>
            <w:gridSpan w:val="2"/>
            <w:tcBorders>
              <w:top w:val="nil"/>
              <w:left w:val="nil"/>
              <w:bottom w:val="single" w:sz="4" w:space="0" w:color="000000"/>
              <w:right w:val="single" w:sz="4" w:space="0" w:color="000000"/>
            </w:tcBorders>
            <w:shd w:val="clear" w:color="auto" w:fill="auto"/>
            <w:vAlign w:val="center"/>
          </w:tcPr>
          <w:p w14:paraId="19E3CBC5"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Zrušiť fakultatívne oslobodenia v spotrebných daniach (uhlie, elektrina, plyn)</w:t>
            </w:r>
          </w:p>
        </w:tc>
        <w:tc>
          <w:tcPr>
            <w:tcW w:w="1418" w:type="dxa"/>
            <w:tcBorders>
              <w:top w:val="nil"/>
              <w:left w:val="nil"/>
              <w:bottom w:val="single" w:sz="4" w:space="0" w:color="000000"/>
              <w:right w:val="single" w:sz="4" w:space="0" w:color="000000"/>
            </w:tcBorders>
            <w:shd w:val="clear" w:color="auto" w:fill="auto"/>
            <w:vAlign w:val="center"/>
          </w:tcPr>
          <w:p w14:paraId="530D1650"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MF SR</w:t>
            </w:r>
          </w:p>
        </w:tc>
        <w:tc>
          <w:tcPr>
            <w:tcW w:w="850" w:type="dxa"/>
            <w:tcBorders>
              <w:top w:val="nil"/>
              <w:left w:val="nil"/>
              <w:bottom w:val="single" w:sz="4" w:space="0" w:color="000000"/>
              <w:right w:val="single" w:sz="4" w:space="0" w:color="000000"/>
            </w:tcBorders>
            <w:shd w:val="clear" w:color="auto" w:fill="auto"/>
            <w:vAlign w:val="center"/>
          </w:tcPr>
          <w:p w14:paraId="381DDB6C"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2018-2019</w:t>
            </w:r>
          </w:p>
        </w:tc>
        <w:tc>
          <w:tcPr>
            <w:tcW w:w="992" w:type="dxa"/>
            <w:tcBorders>
              <w:top w:val="single" w:sz="4" w:space="0" w:color="000000"/>
              <w:left w:val="nil"/>
              <w:bottom w:val="single" w:sz="4" w:space="0" w:color="000000"/>
              <w:right w:val="single" w:sz="4" w:space="0" w:color="000000"/>
            </w:tcBorders>
            <w:vAlign w:val="center"/>
          </w:tcPr>
          <w:p w14:paraId="6C778856"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12/2019</w:t>
            </w:r>
          </w:p>
        </w:tc>
        <w:tc>
          <w:tcPr>
            <w:tcW w:w="638" w:type="dxa"/>
            <w:tcBorders>
              <w:top w:val="nil"/>
              <w:left w:val="single" w:sz="4" w:space="0" w:color="000000"/>
              <w:bottom w:val="single" w:sz="4" w:space="0" w:color="000000"/>
              <w:right w:val="single" w:sz="4" w:space="0" w:color="000000"/>
            </w:tcBorders>
            <w:shd w:val="clear" w:color="auto" w:fill="FF0000"/>
            <w:vAlign w:val="bottom"/>
          </w:tcPr>
          <w:p w14:paraId="40B63DBC"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FF0000"/>
            <w:vAlign w:val="bottom"/>
          </w:tcPr>
          <w:p w14:paraId="2A6B1DC1"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FF0000"/>
            <w:vAlign w:val="bottom"/>
          </w:tcPr>
          <w:p w14:paraId="6A614163"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8" w:space="0" w:color="000000"/>
            </w:tcBorders>
            <w:shd w:val="clear" w:color="auto" w:fill="FF0000"/>
            <w:vAlign w:val="bottom"/>
          </w:tcPr>
          <w:p w14:paraId="30166FB9"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3C28DD0C" w14:textId="77777777" w:rsidTr="00ED49C2">
        <w:trPr>
          <w:trHeight w:val="286"/>
        </w:trPr>
        <w:tc>
          <w:tcPr>
            <w:tcW w:w="416" w:type="dxa"/>
            <w:tcBorders>
              <w:top w:val="nil"/>
              <w:left w:val="single" w:sz="8" w:space="0" w:color="000000"/>
              <w:bottom w:val="single" w:sz="4" w:space="0" w:color="000000"/>
              <w:right w:val="single" w:sz="4" w:space="0" w:color="000000"/>
            </w:tcBorders>
            <w:shd w:val="clear" w:color="auto" w:fill="auto"/>
            <w:vAlign w:val="center"/>
          </w:tcPr>
          <w:p w14:paraId="1DE9B1AB"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4</w:t>
            </w:r>
          </w:p>
        </w:tc>
        <w:tc>
          <w:tcPr>
            <w:tcW w:w="3123" w:type="dxa"/>
            <w:gridSpan w:val="2"/>
            <w:tcBorders>
              <w:top w:val="nil"/>
              <w:left w:val="nil"/>
              <w:bottom w:val="single" w:sz="4" w:space="0" w:color="000000"/>
              <w:right w:val="single" w:sz="4" w:space="0" w:color="000000"/>
            </w:tcBorders>
            <w:shd w:val="clear" w:color="auto" w:fill="auto"/>
            <w:vAlign w:val="center"/>
          </w:tcPr>
          <w:p w14:paraId="2951AA1D"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Zaviesť inovatívne formy financovania ochrany prírody</w:t>
            </w:r>
          </w:p>
        </w:tc>
        <w:tc>
          <w:tcPr>
            <w:tcW w:w="1418" w:type="dxa"/>
            <w:tcBorders>
              <w:top w:val="nil"/>
              <w:left w:val="nil"/>
              <w:bottom w:val="single" w:sz="4" w:space="0" w:color="000000"/>
              <w:right w:val="single" w:sz="4" w:space="0" w:color="000000"/>
            </w:tcBorders>
            <w:shd w:val="clear" w:color="auto" w:fill="auto"/>
            <w:vAlign w:val="center"/>
          </w:tcPr>
          <w:p w14:paraId="3CF7EED4"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 ŠOP SR</w:t>
            </w:r>
          </w:p>
        </w:tc>
        <w:tc>
          <w:tcPr>
            <w:tcW w:w="850" w:type="dxa"/>
            <w:tcBorders>
              <w:top w:val="nil"/>
              <w:left w:val="nil"/>
              <w:bottom w:val="single" w:sz="4" w:space="0" w:color="000000"/>
              <w:right w:val="single" w:sz="4" w:space="0" w:color="000000"/>
            </w:tcBorders>
            <w:shd w:val="clear" w:color="auto" w:fill="auto"/>
            <w:vAlign w:val="center"/>
          </w:tcPr>
          <w:p w14:paraId="0E92221F"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w:t>
            </w:r>
          </w:p>
        </w:tc>
        <w:tc>
          <w:tcPr>
            <w:tcW w:w="992" w:type="dxa"/>
            <w:tcBorders>
              <w:top w:val="single" w:sz="4" w:space="0" w:color="000000"/>
              <w:left w:val="nil"/>
              <w:bottom w:val="single" w:sz="4" w:space="0" w:color="000000"/>
              <w:right w:val="single" w:sz="4" w:space="0" w:color="000000"/>
            </w:tcBorders>
            <w:vAlign w:val="center"/>
          </w:tcPr>
          <w:p w14:paraId="1733B058"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12/2019</w:t>
            </w:r>
          </w:p>
        </w:tc>
        <w:tc>
          <w:tcPr>
            <w:tcW w:w="638" w:type="dxa"/>
            <w:tcBorders>
              <w:top w:val="nil"/>
              <w:left w:val="single" w:sz="4" w:space="0" w:color="000000"/>
              <w:bottom w:val="single" w:sz="4" w:space="0" w:color="000000"/>
              <w:right w:val="single" w:sz="4" w:space="0" w:color="000000"/>
            </w:tcBorders>
            <w:shd w:val="clear" w:color="auto" w:fill="FF0000"/>
            <w:vAlign w:val="bottom"/>
          </w:tcPr>
          <w:p w14:paraId="3500D279"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xml:space="preserve">  </w:t>
            </w:r>
          </w:p>
        </w:tc>
        <w:tc>
          <w:tcPr>
            <w:tcW w:w="638" w:type="dxa"/>
            <w:tcBorders>
              <w:top w:val="nil"/>
              <w:left w:val="nil"/>
              <w:bottom w:val="single" w:sz="4" w:space="0" w:color="000000"/>
              <w:right w:val="single" w:sz="4" w:space="0" w:color="000000"/>
            </w:tcBorders>
            <w:shd w:val="clear" w:color="auto" w:fill="FF0000"/>
            <w:vAlign w:val="bottom"/>
          </w:tcPr>
          <w:p w14:paraId="7B972FC4"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FF0000"/>
            <w:vAlign w:val="bottom"/>
          </w:tcPr>
          <w:p w14:paraId="72105ACD"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8" w:space="0" w:color="000000"/>
            </w:tcBorders>
            <w:shd w:val="clear" w:color="auto" w:fill="FF0000"/>
            <w:vAlign w:val="bottom"/>
          </w:tcPr>
          <w:p w14:paraId="78785A30"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1108A5DB" w14:textId="77777777">
        <w:trPr>
          <w:trHeight w:val="362"/>
        </w:trPr>
        <w:tc>
          <w:tcPr>
            <w:tcW w:w="567" w:type="dxa"/>
            <w:gridSpan w:val="2"/>
            <w:tcBorders>
              <w:top w:val="nil"/>
              <w:left w:val="single" w:sz="8" w:space="0" w:color="000000"/>
              <w:bottom w:val="single" w:sz="4" w:space="0" w:color="000000"/>
            </w:tcBorders>
          </w:tcPr>
          <w:p w14:paraId="06B4E7B6" w14:textId="77777777" w:rsidR="008E7D9E" w:rsidRPr="00666914" w:rsidRDefault="008E7D9E">
            <w:pPr>
              <w:spacing w:after="0"/>
              <w:jc w:val="center"/>
              <w:rPr>
                <w:rFonts w:eastAsia="Arial Narrow" w:cs="Arial Narrow"/>
                <w:b/>
                <w:color w:val="000000"/>
                <w:sz w:val="20"/>
                <w:szCs w:val="20"/>
              </w:rPr>
            </w:pPr>
          </w:p>
        </w:tc>
        <w:tc>
          <w:tcPr>
            <w:tcW w:w="8784" w:type="dxa"/>
            <w:gridSpan w:val="8"/>
            <w:tcBorders>
              <w:top w:val="nil"/>
              <w:bottom w:val="single" w:sz="4" w:space="0" w:color="000000"/>
              <w:right w:val="single" w:sz="4" w:space="0" w:color="000000"/>
            </w:tcBorders>
            <w:shd w:val="clear" w:color="auto" w:fill="auto"/>
            <w:vAlign w:val="center"/>
          </w:tcPr>
          <w:p w14:paraId="6529D621"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HODNOTA</w:t>
            </w:r>
          </w:p>
        </w:tc>
      </w:tr>
      <w:tr w:rsidR="008E7D9E" w:rsidRPr="00666914" w14:paraId="1ADC1717" w14:textId="77777777" w:rsidTr="00ED49C2">
        <w:trPr>
          <w:trHeight w:val="573"/>
        </w:trPr>
        <w:tc>
          <w:tcPr>
            <w:tcW w:w="416" w:type="dxa"/>
            <w:tcBorders>
              <w:top w:val="nil"/>
              <w:left w:val="single" w:sz="8" w:space="0" w:color="000000"/>
              <w:bottom w:val="single" w:sz="4" w:space="0" w:color="000000"/>
              <w:right w:val="single" w:sz="4" w:space="0" w:color="000000"/>
            </w:tcBorders>
            <w:shd w:val="clear" w:color="auto" w:fill="auto"/>
            <w:vAlign w:val="center"/>
          </w:tcPr>
          <w:p w14:paraId="13CF6B53"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5</w:t>
            </w:r>
          </w:p>
        </w:tc>
        <w:tc>
          <w:tcPr>
            <w:tcW w:w="3123" w:type="dxa"/>
            <w:gridSpan w:val="2"/>
            <w:tcBorders>
              <w:top w:val="nil"/>
              <w:left w:val="nil"/>
              <w:bottom w:val="single" w:sz="4" w:space="0" w:color="000000"/>
              <w:right w:val="single" w:sz="4" w:space="0" w:color="000000"/>
            </w:tcBorders>
            <w:shd w:val="clear" w:color="auto" w:fill="auto"/>
            <w:vAlign w:val="center"/>
          </w:tcPr>
          <w:p w14:paraId="1754FB70"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Znížiť znečistenie ovzdušia podporou výmeny efektívnejších spaľovacích zariadení pre domácnosti (napr. 40 mil. eur)</w:t>
            </w:r>
          </w:p>
        </w:tc>
        <w:tc>
          <w:tcPr>
            <w:tcW w:w="1418" w:type="dxa"/>
            <w:tcBorders>
              <w:top w:val="nil"/>
              <w:left w:val="nil"/>
              <w:bottom w:val="single" w:sz="4" w:space="0" w:color="000000"/>
              <w:right w:val="single" w:sz="4" w:space="0" w:color="000000"/>
            </w:tcBorders>
            <w:shd w:val="clear" w:color="auto" w:fill="auto"/>
            <w:vAlign w:val="center"/>
          </w:tcPr>
          <w:p w14:paraId="323EB894"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MF SR / MŽP SR</w:t>
            </w:r>
          </w:p>
        </w:tc>
        <w:tc>
          <w:tcPr>
            <w:tcW w:w="850" w:type="dxa"/>
            <w:tcBorders>
              <w:top w:val="nil"/>
              <w:left w:val="nil"/>
              <w:bottom w:val="single" w:sz="4" w:space="0" w:color="000000"/>
              <w:right w:val="single" w:sz="4" w:space="0" w:color="000000"/>
            </w:tcBorders>
            <w:shd w:val="clear" w:color="auto" w:fill="auto"/>
            <w:vAlign w:val="center"/>
          </w:tcPr>
          <w:p w14:paraId="2B3BC4C8"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w:t>
            </w:r>
          </w:p>
        </w:tc>
        <w:tc>
          <w:tcPr>
            <w:tcW w:w="992" w:type="dxa"/>
            <w:tcBorders>
              <w:top w:val="nil"/>
              <w:left w:val="nil"/>
              <w:bottom w:val="single" w:sz="4" w:space="0" w:color="000000"/>
              <w:right w:val="single" w:sz="4" w:space="0" w:color="000000"/>
            </w:tcBorders>
            <w:vAlign w:val="center"/>
          </w:tcPr>
          <w:p w14:paraId="2EF8FD48"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12/2019</w:t>
            </w:r>
          </w:p>
        </w:tc>
        <w:tc>
          <w:tcPr>
            <w:tcW w:w="638" w:type="dxa"/>
            <w:tcBorders>
              <w:top w:val="nil"/>
              <w:left w:val="single" w:sz="4" w:space="0" w:color="000000"/>
              <w:bottom w:val="single" w:sz="4" w:space="0" w:color="000000"/>
              <w:right w:val="single" w:sz="4" w:space="0" w:color="000000"/>
            </w:tcBorders>
            <w:shd w:val="clear" w:color="auto" w:fill="FFC000"/>
            <w:vAlign w:val="bottom"/>
          </w:tcPr>
          <w:p w14:paraId="211977B8"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FFC000"/>
            <w:vAlign w:val="bottom"/>
          </w:tcPr>
          <w:p w14:paraId="69128909"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FFC000"/>
            <w:vAlign w:val="bottom"/>
          </w:tcPr>
          <w:p w14:paraId="07200B25"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8" w:space="0" w:color="000000"/>
            </w:tcBorders>
            <w:shd w:val="clear" w:color="auto" w:fill="FFC000"/>
            <w:vAlign w:val="bottom"/>
          </w:tcPr>
          <w:p w14:paraId="73583AFE"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4FBC9A4F" w14:textId="77777777" w:rsidTr="00ED49C2">
        <w:trPr>
          <w:trHeight w:val="573"/>
        </w:trPr>
        <w:tc>
          <w:tcPr>
            <w:tcW w:w="416" w:type="dxa"/>
            <w:tcBorders>
              <w:top w:val="nil"/>
              <w:left w:val="single" w:sz="8" w:space="0" w:color="000000"/>
              <w:bottom w:val="single" w:sz="4" w:space="0" w:color="000000"/>
              <w:right w:val="single" w:sz="4" w:space="0" w:color="000000"/>
            </w:tcBorders>
            <w:shd w:val="clear" w:color="auto" w:fill="auto"/>
            <w:vAlign w:val="center"/>
          </w:tcPr>
          <w:p w14:paraId="086E87BA"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6</w:t>
            </w:r>
          </w:p>
        </w:tc>
        <w:tc>
          <w:tcPr>
            <w:tcW w:w="3123" w:type="dxa"/>
            <w:gridSpan w:val="2"/>
            <w:tcBorders>
              <w:top w:val="nil"/>
              <w:left w:val="nil"/>
              <w:bottom w:val="single" w:sz="4" w:space="0" w:color="000000"/>
              <w:right w:val="single" w:sz="4" w:space="0" w:color="000000"/>
            </w:tcBorders>
            <w:shd w:val="clear" w:color="auto" w:fill="auto"/>
            <w:vAlign w:val="center"/>
          </w:tcPr>
          <w:p w14:paraId="1359B128"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xml:space="preserve">Postupné utlmenie výroby elektriny z uhlia </w:t>
            </w:r>
          </w:p>
        </w:tc>
        <w:tc>
          <w:tcPr>
            <w:tcW w:w="1418" w:type="dxa"/>
            <w:tcBorders>
              <w:top w:val="nil"/>
              <w:left w:val="nil"/>
              <w:bottom w:val="single" w:sz="4" w:space="0" w:color="000000"/>
              <w:right w:val="single" w:sz="4" w:space="0" w:color="000000"/>
            </w:tcBorders>
            <w:shd w:val="clear" w:color="auto" w:fill="auto"/>
            <w:vAlign w:val="center"/>
          </w:tcPr>
          <w:p w14:paraId="72EE030D"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MH SR</w:t>
            </w:r>
          </w:p>
        </w:tc>
        <w:tc>
          <w:tcPr>
            <w:tcW w:w="850" w:type="dxa"/>
            <w:tcBorders>
              <w:top w:val="nil"/>
              <w:left w:val="nil"/>
              <w:bottom w:val="single" w:sz="4" w:space="0" w:color="000000"/>
              <w:right w:val="single" w:sz="4" w:space="0" w:color="000000"/>
            </w:tcBorders>
            <w:shd w:val="clear" w:color="auto" w:fill="auto"/>
            <w:vAlign w:val="center"/>
          </w:tcPr>
          <w:p w14:paraId="2FF7FA6B"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N/A</w:t>
            </w:r>
          </w:p>
        </w:tc>
        <w:tc>
          <w:tcPr>
            <w:tcW w:w="992" w:type="dxa"/>
            <w:tcBorders>
              <w:top w:val="single" w:sz="4" w:space="0" w:color="000000"/>
              <w:left w:val="nil"/>
              <w:bottom w:val="single" w:sz="4" w:space="0" w:color="000000"/>
              <w:right w:val="single" w:sz="4" w:space="0" w:color="000000"/>
            </w:tcBorders>
            <w:vAlign w:val="center"/>
          </w:tcPr>
          <w:p w14:paraId="574E958A"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2023</w:t>
            </w:r>
          </w:p>
        </w:tc>
        <w:tc>
          <w:tcPr>
            <w:tcW w:w="638" w:type="dxa"/>
            <w:tcBorders>
              <w:top w:val="nil"/>
              <w:left w:val="single" w:sz="4" w:space="0" w:color="000000"/>
              <w:bottom w:val="single" w:sz="4" w:space="0" w:color="000000"/>
              <w:right w:val="single" w:sz="4" w:space="0" w:color="000000"/>
            </w:tcBorders>
            <w:shd w:val="clear" w:color="auto" w:fill="FF0000"/>
            <w:vAlign w:val="bottom"/>
          </w:tcPr>
          <w:p w14:paraId="7CCBB196"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FF0000"/>
            <w:vAlign w:val="bottom"/>
          </w:tcPr>
          <w:p w14:paraId="2D68BB42"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FF0000"/>
            <w:vAlign w:val="bottom"/>
          </w:tcPr>
          <w:p w14:paraId="25E49EE1"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8" w:space="0" w:color="000000"/>
            </w:tcBorders>
            <w:shd w:val="clear" w:color="auto" w:fill="FF0000"/>
            <w:vAlign w:val="bottom"/>
          </w:tcPr>
          <w:p w14:paraId="4EAFF7A7"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6898C901" w14:textId="77777777" w:rsidTr="00ED49C2">
        <w:trPr>
          <w:trHeight w:val="286"/>
        </w:trPr>
        <w:tc>
          <w:tcPr>
            <w:tcW w:w="416" w:type="dxa"/>
            <w:tcBorders>
              <w:top w:val="nil"/>
              <w:left w:val="single" w:sz="8" w:space="0" w:color="000000"/>
              <w:bottom w:val="single" w:sz="4" w:space="0" w:color="000000"/>
              <w:right w:val="single" w:sz="4" w:space="0" w:color="000000"/>
            </w:tcBorders>
            <w:shd w:val="clear" w:color="auto" w:fill="auto"/>
            <w:vAlign w:val="center"/>
          </w:tcPr>
          <w:p w14:paraId="11789DF9"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7</w:t>
            </w:r>
          </w:p>
        </w:tc>
        <w:tc>
          <w:tcPr>
            <w:tcW w:w="3123" w:type="dxa"/>
            <w:gridSpan w:val="2"/>
            <w:tcBorders>
              <w:top w:val="nil"/>
              <w:left w:val="nil"/>
              <w:bottom w:val="single" w:sz="4" w:space="0" w:color="000000"/>
              <w:right w:val="single" w:sz="4" w:space="0" w:color="000000"/>
            </w:tcBorders>
            <w:shd w:val="clear" w:color="auto" w:fill="auto"/>
            <w:vAlign w:val="center"/>
          </w:tcPr>
          <w:p w14:paraId="5B5101B1"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Prijímať opatrenia na lepšie dodržiavanie existujúcej prioritizácie pre nové protipovodňové projekty</w:t>
            </w:r>
          </w:p>
        </w:tc>
        <w:tc>
          <w:tcPr>
            <w:tcW w:w="1418" w:type="dxa"/>
            <w:tcBorders>
              <w:top w:val="nil"/>
              <w:left w:val="nil"/>
              <w:bottom w:val="single" w:sz="4" w:space="0" w:color="000000"/>
              <w:right w:val="single" w:sz="4" w:space="0" w:color="000000"/>
            </w:tcBorders>
            <w:shd w:val="clear" w:color="auto" w:fill="auto"/>
            <w:vAlign w:val="center"/>
          </w:tcPr>
          <w:p w14:paraId="4DBAD1E5"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 SVP</w:t>
            </w:r>
          </w:p>
        </w:tc>
        <w:tc>
          <w:tcPr>
            <w:tcW w:w="850" w:type="dxa"/>
            <w:tcBorders>
              <w:top w:val="nil"/>
              <w:left w:val="nil"/>
              <w:bottom w:val="single" w:sz="4" w:space="0" w:color="000000"/>
              <w:right w:val="single" w:sz="4" w:space="0" w:color="000000"/>
            </w:tcBorders>
            <w:shd w:val="clear" w:color="auto" w:fill="auto"/>
            <w:vAlign w:val="center"/>
          </w:tcPr>
          <w:p w14:paraId="13131BEE"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2020</w:t>
            </w:r>
          </w:p>
        </w:tc>
        <w:tc>
          <w:tcPr>
            <w:tcW w:w="992" w:type="dxa"/>
            <w:tcBorders>
              <w:top w:val="single" w:sz="4" w:space="0" w:color="000000"/>
              <w:left w:val="nil"/>
              <w:bottom w:val="single" w:sz="4" w:space="0" w:color="000000"/>
              <w:right w:val="single" w:sz="4" w:space="0" w:color="000000"/>
            </w:tcBorders>
            <w:vAlign w:val="center"/>
          </w:tcPr>
          <w:p w14:paraId="5F2335DA" w14:textId="1E7536E6" w:rsidR="008E7D9E" w:rsidRPr="00666914" w:rsidRDefault="00ED49C2" w:rsidP="00ED49C2">
            <w:pPr>
              <w:spacing w:after="0"/>
              <w:jc w:val="center"/>
              <w:rPr>
                <w:rFonts w:eastAsia="Arial Narrow" w:cs="Arial Narrow"/>
                <w:color w:val="000000"/>
                <w:sz w:val="20"/>
                <w:szCs w:val="20"/>
              </w:rPr>
            </w:pPr>
            <w:r w:rsidRPr="00666914">
              <w:rPr>
                <w:rFonts w:eastAsia="Arial Narrow" w:cs="Arial Narrow"/>
                <w:color w:val="000000"/>
                <w:sz w:val="20"/>
                <w:szCs w:val="20"/>
              </w:rPr>
              <w:t>-</w:t>
            </w:r>
          </w:p>
        </w:tc>
        <w:tc>
          <w:tcPr>
            <w:tcW w:w="638" w:type="dxa"/>
            <w:tcBorders>
              <w:top w:val="nil"/>
              <w:left w:val="single" w:sz="4" w:space="0" w:color="000000"/>
              <w:bottom w:val="single" w:sz="4" w:space="0" w:color="000000"/>
              <w:right w:val="single" w:sz="4" w:space="0" w:color="000000"/>
            </w:tcBorders>
            <w:shd w:val="clear" w:color="auto" w:fill="C00000"/>
            <w:vAlign w:val="bottom"/>
          </w:tcPr>
          <w:p w14:paraId="64D5D578"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FF0000"/>
            <w:vAlign w:val="bottom"/>
          </w:tcPr>
          <w:p w14:paraId="7A6B3E4C"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FF0000"/>
            <w:vAlign w:val="bottom"/>
          </w:tcPr>
          <w:p w14:paraId="7F41E46A"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8" w:space="0" w:color="000000"/>
            </w:tcBorders>
            <w:shd w:val="clear" w:color="auto" w:fill="FFC000"/>
            <w:vAlign w:val="bottom"/>
          </w:tcPr>
          <w:p w14:paraId="1DE4ABA0"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125D13AB" w14:textId="77777777" w:rsidTr="00ED49C2">
        <w:trPr>
          <w:trHeight w:val="573"/>
        </w:trPr>
        <w:tc>
          <w:tcPr>
            <w:tcW w:w="416" w:type="dxa"/>
            <w:tcBorders>
              <w:top w:val="nil"/>
              <w:left w:val="single" w:sz="8" w:space="0" w:color="000000"/>
              <w:bottom w:val="single" w:sz="4" w:space="0" w:color="000000"/>
              <w:right w:val="single" w:sz="4" w:space="0" w:color="000000"/>
            </w:tcBorders>
            <w:shd w:val="clear" w:color="auto" w:fill="auto"/>
            <w:vAlign w:val="center"/>
          </w:tcPr>
          <w:p w14:paraId="486407D3"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8</w:t>
            </w:r>
          </w:p>
        </w:tc>
        <w:tc>
          <w:tcPr>
            <w:tcW w:w="3123" w:type="dxa"/>
            <w:gridSpan w:val="2"/>
            <w:tcBorders>
              <w:top w:val="nil"/>
              <w:left w:val="nil"/>
              <w:bottom w:val="single" w:sz="4" w:space="0" w:color="000000"/>
              <w:right w:val="single" w:sz="4" w:space="0" w:color="000000"/>
            </w:tcBorders>
            <w:shd w:val="clear" w:color="auto" w:fill="auto"/>
            <w:vAlign w:val="center"/>
          </w:tcPr>
          <w:p w14:paraId="408D0909"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Zabezpečiť kontrolu správneho nakladania s odpadom a udeľovať pokuty</w:t>
            </w:r>
          </w:p>
        </w:tc>
        <w:tc>
          <w:tcPr>
            <w:tcW w:w="1418" w:type="dxa"/>
            <w:tcBorders>
              <w:top w:val="nil"/>
              <w:left w:val="nil"/>
              <w:bottom w:val="single" w:sz="4" w:space="0" w:color="000000"/>
              <w:right w:val="single" w:sz="4" w:space="0" w:color="000000"/>
            </w:tcBorders>
            <w:shd w:val="clear" w:color="auto" w:fill="auto"/>
            <w:vAlign w:val="center"/>
          </w:tcPr>
          <w:p w14:paraId="7DA080DF"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w:t>
            </w:r>
          </w:p>
        </w:tc>
        <w:tc>
          <w:tcPr>
            <w:tcW w:w="850" w:type="dxa"/>
            <w:tcBorders>
              <w:top w:val="nil"/>
              <w:left w:val="nil"/>
              <w:bottom w:val="single" w:sz="4" w:space="0" w:color="000000"/>
              <w:right w:val="single" w:sz="4" w:space="0" w:color="000000"/>
            </w:tcBorders>
            <w:shd w:val="clear" w:color="auto" w:fill="auto"/>
            <w:vAlign w:val="center"/>
          </w:tcPr>
          <w:p w14:paraId="117CECB7"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2020</w:t>
            </w:r>
          </w:p>
        </w:tc>
        <w:tc>
          <w:tcPr>
            <w:tcW w:w="992" w:type="dxa"/>
            <w:tcBorders>
              <w:top w:val="single" w:sz="4" w:space="0" w:color="000000"/>
              <w:left w:val="nil"/>
              <w:bottom w:val="single" w:sz="4" w:space="0" w:color="000000"/>
              <w:right w:val="single" w:sz="4" w:space="0" w:color="000000"/>
            </w:tcBorders>
            <w:vAlign w:val="center"/>
          </w:tcPr>
          <w:p w14:paraId="0091EC25" w14:textId="4BE01FBE" w:rsidR="008E7D9E" w:rsidRPr="00666914" w:rsidRDefault="00ED49C2" w:rsidP="00ED49C2">
            <w:pPr>
              <w:spacing w:after="0"/>
              <w:jc w:val="center"/>
              <w:rPr>
                <w:rFonts w:eastAsia="Arial Narrow" w:cs="Arial Narrow"/>
                <w:color w:val="000000"/>
                <w:sz w:val="20"/>
                <w:szCs w:val="20"/>
              </w:rPr>
            </w:pPr>
            <w:r w:rsidRPr="00666914">
              <w:rPr>
                <w:rFonts w:eastAsia="Arial Narrow" w:cs="Arial Narrow"/>
                <w:color w:val="000000"/>
                <w:sz w:val="20"/>
                <w:szCs w:val="20"/>
              </w:rPr>
              <w:t>-</w:t>
            </w:r>
          </w:p>
        </w:tc>
        <w:tc>
          <w:tcPr>
            <w:tcW w:w="638" w:type="dxa"/>
            <w:tcBorders>
              <w:top w:val="nil"/>
              <w:left w:val="single" w:sz="4" w:space="0" w:color="000000"/>
              <w:bottom w:val="single" w:sz="4" w:space="0" w:color="000000"/>
              <w:right w:val="single" w:sz="4" w:space="0" w:color="000000"/>
            </w:tcBorders>
            <w:shd w:val="clear" w:color="auto" w:fill="FFC000"/>
            <w:vAlign w:val="bottom"/>
          </w:tcPr>
          <w:p w14:paraId="791CFBBD"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FFC000"/>
            <w:vAlign w:val="bottom"/>
          </w:tcPr>
          <w:p w14:paraId="67F2799F"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FFC000"/>
            <w:vAlign w:val="bottom"/>
          </w:tcPr>
          <w:p w14:paraId="5C30A6CC"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8" w:space="0" w:color="000000"/>
            </w:tcBorders>
            <w:shd w:val="clear" w:color="auto" w:fill="FFC000"/>
            <w:vAlign w:val="bottom"/>
          </w:tcPr>
          <w:p w14:paraId="517BB860"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2E7D211F" w14:textId="77777777" w:rsidTr="00ED49C2">
        <w:trPr>
          <w:trHeight w:val="286"/>
        </w:trPr>
        <w:tc>
          <w:tcPr>
            <w:tcW w:w="416" w:type="dxa"/>
            <w:tcBorders>
              <w:top w:val="nil"/>
              <w:left w:val="single" w:sz="8" w:space="0" w:color="000000"/>
              <w:bottom w:val="single" w:sz="4" w:space="0" w:color="000000"/>
              <w:right w:val="single" w:sz="4" w:space="0" w:color="000000"/>
            </w:tcBorders>
            <w:shd w:val="clear" w:color="auto" w:fill="auto"/>
            <w:vAlign w:val="center"/>
          </w:tcPr>
          <w:p w14:paraId="17C843F7"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9</w:t>
            </w:r>
          </w:p>
        </w:tc>
        <w:tc>
          <w:tcPr>
            <w:tcW w:w="3123" w:type="dxa"/>
            <w:gridSpan w:val="2"/>
            <w:tcBorders>
              <w:top w:val="nil"/>
              <w:left w:val="nil"/>
              <w:bottom w:val="single" w:sz="4" w:space="0" w:color="000000"/>
              <w:right w:val="single" w:sz="4" w:space="0" w:color="000000"/>
            </w:tcBorders>
            <w:shd w:val="clear" w:color="auto" w:fill="auto"/>
            <w:vAlign w:val="center"/>
          </w:tcPr>
          <w:p w14:paraId="78E42116"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Dotácie v manažmente odpadových vôd a zabezpečovanie pitnou vodou zamerať na ucelené projekty</w:t>
            </w:r>
          </w:p>
        </w:tc>
        <w:tc>
          <w:tcPr>
            <w:tcW w:w="1418" w:type="dxa"/>
            <w:tcBorders>
              <w:top w:val="nil"/>
              <w:left w:val="nil"/>
              <w:bottom w:val="single" w:sz="4" w:space="0" w:color="000000"/>
              <w:right w:val="single" w:sz="4" w:space="0" w:color="000000"/>
            </w:tcBorders>
            <w:shd w:val="clear" w:color="auto" w:fill="auto"/>
            <w:vAlign w:val="center"/>
          </w:tcPr>
          <w:p w14:paraId="62D63855"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EF</w:t>
            </w:r>
          </w:p>
        </w:tc>
        <w:tc>
          <w:tcPr>
            <w:tcW w:w="850" w:type="dxa"/>
            <w:tcBorders>
              <w:top w:val="nil"/>
              <w:left w:val="nil"/>
              <w:bottom w:val="single" w:sz="4" w:space="0" w:color="000000"/>
              <w:right w:val="single" w:sz="4" w:space="0" w:color="000000"/>
            </w:tcBorders>
            <w:shd w:val="clear" w:color="auto" w:fill="auto"/>
            <w:vAlign w:val="center"/>
          </w:tcPr>
          <w:p w14:paraId="4F3C1215"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w:t>
            </w:r>
          </w:p>
        </w:tc>
        <w:tc>
          <w:tcPr>
            <w:tcW w:w="992" w:type="dxa"/>
            <w:tcBorders>
              <w:top w:val="single" w:sz="4" w:space="0" w:color="000000"/>
              <w:left w:val="nil"/>
              <w:bottom w:val="single" w:sz="4" w:space="0" w:color="000000"/>
              <w:right w:val="single" w:sz="4" w:space="0" w:color="000000"/>
            </w:tcBorders>
            <w:vAlign w:val="center"/>
          </w:tcPr>
          <w:p w14:paraId="4E8E9D79"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priebežne</w:t>
            </w:r>
          </w:p>
        </w:tc>
        <w:tc>
          <w:tcPr>
            <w:tcW w:w="638" w:type="dxa"/>
            <w:tcBorders>
              <w:top w:val="nil"/>
              <w:left w:val="single" w:sz="4" w:space="0" w:color="000000"/>
              <w:bottom w:val="single" w:sz="4" w:space="0" w:color="000000"/>
              <w:right w:val="single" w:sz="4" w:space="0" w:color="000000"/>
            </w:tcBorders>
            <w:shd w:val="clear" w:color="auto" w:fill="FF0000"/>
            <w:vAlign w:val="bottom"/>
          </w:tcPr>
          <w:p w14:paraId="503C0FBC"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FF0000"/>
            <w:vAlign w:val="bottom"/>
          </w:tcPr>
          <w:p w14:paraId="2B3484E7"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FF0000"/>
            <w:vAlign w:val="bottom"/>
          </w:tcPr>
          <w:p w14:paraId="18DB5116"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8" w:space="0" w:color="000000"/>
            </w:tcBorders>
            <w:shd w:val="clear" w:color="auto" w:fill="FF0000"/>
            <w:vAlign w:val="bottom"/>
          </w:tcPr>
          <w:p w14:paraId="30C27131"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554824EA" w14:textId="77777777">
        <w:trPr>
          <w:trHeight w:val="366"/>
        </w:trPr>
        <w:tc>
          <w:tcPr>
            <w:tcW w:w="567" w:type="dxa"/>
            <w:gridSpan w:val="2"/>
            <w:tcBorders>
              <w:top w:val="nil"/>
              <w:left w:val="single" w:sz="8" w:space="0" w:color="000000"/>
              <w:bottom w:val="single" w:sz="4" w:space="0" w:color="000000"/>
            </w:tcBorders>
          </w:tcPr>
          <w:p w14:paraId="116C5E35" w14:textId="77777777" w:rsidR="008E7D9E" w:rsidRPr="00666914" w:rsidRDefault="008E7D9E">
            <w:pPr>
              <w:spacing w:after="0"/>
              <w:jc w:val="center"/>
              <w:rPr>
                <w:rFonts w:eastAsia="Arial Narrow" w:cs="Arial Narrow"/>
                <w:b/>
                <w:color w:val="000000"/>
                <w:sz w:val="20"/>
                <w:szCs w:val="20"/>
              </w:rPr>
            </w:pPr>
          </w:p>
        </w:tc>
        <w:tc>
          <w:tcPr>
            <w:tcW w:w="8784" w:type="dxa"/>
            <w:gridSpan w:val="8"/>
            <w:tcBorders>
              <w:top w:val="nil"/>
              <w:bottom w:val="single" w:sz="4" w:space="0" w:color="000000"/>
              <w:right w:val="single" w:sz="8" w:space="0" w:color="000000"/>
            </w:tcBorders>
            <w:shd w:val="clear" w:color="auto" w:fill="auto"/>
            <w:vAlign w:val="center"/>
          </w:tcPr>
          <w:p w14:paraId="0566D6B9"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RIADENIE</w:t>
            </w:r>
          </w:p>
        </w:tc>
      </w:tr>
      <w:tr w:rsidR="008E7D9E" w:rsidRPr="00666914" w14:paraId="13A15E3F" w14:textId="77777777" w:rsidTr="00ED49C2">
        <w:trPr>
          <w:trHeight w:val="573"/>
        </w:trPr>
        <w:tc>
          <w:tcPr>
            <w:tcW w:w="416" w:type="dxa"/>
            <w:tcBorders>
              <w:top w:val="nil"/>
              <w:left w:val="single" w:sz="8" w:space="0" w:color="000000"/>
              <w:bottom w:val="single" w:sz="4" w:space="0" w:color="000000"/>
              <w:right w:val="single" w:sz="4" w:space="0" w:color="000000"/>
            </w:tcBorders>
            <w:shd w:val="clear" w:color="auto" w:fill="auto"/>
            <w:vAlign w:val="center"/>
          </w:tcPr>
          <w:p w14:paraId="4BBCF734"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10</w:t>
            </w:r>
          </w:p>
        </w:tc>
        <w:tc>
          <w:tcPr>
            <w:tcW w:w="3123" w:type="dxa"/>
            <w:gridSpan w:val="2"/>
            <w:tcBorders>
              <w:top w:val="nil"/>
              <w:left w:val="nil"/>
              <w:bottom w:val="single" w:sz="4" w:space="0" w:color="000000"/>
              <w:right w:val="single" w:sz="4" w:space="0" w:color="000000"/>
            </w:tcBorders>
            <w:shd w:val="clear" w:color="auto" w:fill="auto"/>
            <w:vAlign w:val="center"/>
          </w:tcPr>
          <w:p w14:paraId="2B6469B2"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Zlepšiť strategické riadenie so zameraním na výsledky:</w:t>
            </w:r>
          </w:p>
          <w:p w14:paraId="4637A968"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vytvoriť viacročnú stratégiu podpory na základe prioritizácie cieľových oblastí a projektov</w:t>
            </w:r>
          </w:p>
          <w:p w14:paraId="606AC928"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zvýšiť využívanie úverov vo fonde</w:t>
            </w:r>
          </w:p>
          <w:p w14:paraId="7BB3DD38"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zlepšiť analytické hodnotenie, vrátane preorientovania výberových kritérií na výsledkové</w:t>
            </w:r>
          </w:p>
        </w:tc>
        <w:tc>
          <w:tcPr>
            <w:tcW w:w="1418" w:type="dxa"/>
            <w:tcBorders>
              <w:top w:val="nil"/>
              <w:left w:val="nil"/>
              <w:bottom w:val="single" w:sz="4" w:space="0" w:color="000000"/>
              <w:right w:val="single" w:sz="4" w:space="0" w:color="000000"/>
            </w:tcBorders>
            <w:shd w:val="clear" w:color="auto" w:fill="auto"/>
            <w:vAlign w:val="center"/>
          </w:tcPr>
          <w:p w14:paraId="3E3A9771"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 / EF</w:t>
            </w:r>
          </w:p>
        </w:tc>
        <w:tc>
          <w:tcPr>
            <w:tcW w:w="850" w:type="dxa"/>
            <w:tcBorders>
              <w:top w:val="nil"/>
              <w:left w:val="nil"/>
              <w:bottom w:val="single" w:sz="4" w:space="0" w:color="000000"/>
              <w:right w:val="single" w:sz="4" w:space="0" w:color="000000"/>
            </w:tcBorders>
            <w:shd w:val="clear" w:color="auto" w:fill="auto"/>
            <w:vAlign w:val="center"/>
          </w:tcPr>
          <w:p w14:paraId="68D0ABAE"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w:t>
            </w:r>
          </w:p>
        </w:tc>
        <w:tc>
          <w:tcPr>
            <w:tcW w:w="992" w:type="dxa"/>
            <w:tcBorders>
              <w:top w:val="nil"/>
              <w:left w:val="nil"/>
              <w:bottom w:val="single" w:sz="4" w:space="0" w:color="000000"/>
              <w:right w:val="single" w:sz="4" w:space="0" w:color="000000"/>
            </w:tcBorders>
          </w:tcPr>
          <w:p w14:paraId="2857260D" w14:textId="77777777" w:rsidR="008E7D9E" w:rsidRPr="00666914" w:rsidRDefault="008E7D9E">
            <w:pPr>
              <w:spacing w:after="0"/>
              <w:rPr>
                <w:rFonts w:eastAsia="Arial Narrow" w:cs="Arial Narrow"/>
                <w:color w:val="000000"/>
                <w:sz w:val="20"/>
                <w:szCs w:val="20"/>
              </w:rPr>
            </w:pPr>
          </w:p>
          <w:p w14:paraId="325B9385" w14:textId="77777777" w:rsidR="008E7D9E" w:rsidRPr="00666914" w:rsidRDefault="008E7D9E">
            <w:pPr>
              <w:spacing w:after="0"/>
              <w:rPr>
                <w:rFonts w:eastAsia="Arial Narrow" w:cs="Arial Narrow"/>
                <w:color w:val="000000"/>
                <w:sz w:val="20"/>
                <w:szCs w:val="20"/>
              </w:rPr>
            </w:pPr>
          </w:p>
          <w:p w14:paraId="7E372423"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06/2019</w:t>
            </w:r>
          </w:p>
          <w:p w14:paraId="24725637" w14:textId="77777777" w:rsidR="008E7D9E" w:rsidRPr="00666914" w:rsidRDefault="008E7D9E">
            <w:pPr>
              <w:spacing w:after="0"/>
              <w:rPr>
                <w:rFonts w:eastAsia="Arial Narrow" w:cs="Arial Narrow"/>
                <w:color w:val="000000"/>
                <w:sz w:val="20"/>
                <w:szCs w:val="20"/>
              </w:rPr>
            </w:pPr>
          </w:p>
          <w:p w14:paraId="51624D6D"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priebežne</w:t>
            </w:r>
          </w:p>
          <w:p w14:paraId="43413972" w14:textId="77777777" w:rsidR="008E7D9E" w:rsidRPr="00666914" w:rsidRDefault="008E7D9E">
            <w:pPr>
              <w:spacing w:after="0"/>
              <w:rPr>
                <w:rFonts w:eastAsia="Arial Narrow" w:cs="Arial Narrow"/>
                <w:color w:val="000000"/>
                <w:sz w:val="20"/>
                <w:szCs w:val="20"/>
              </w:rPr>
            </w:pPr>
          </w:p>
          <w:p w14:paraId="3845A501"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06/2019</w:t>
            </w:r>
          </w:p>
        </w:tc>
        <w:tc>
          <w:tcPr>
            <w:tcW w:w="638" w:type="dxa"/>
            <w:tcBorders>
              <w:top w:val="nil"/>
              <w:left w:val="single" w:sz="4" w:space="0" w:color="000000"/>
              <w:bottom w:val="single" w:sz="4" w:space="0" w:color="000000"/>
              <w:right w:val="single" w:sz="4" w:space="0" w:color="000000"/>
            </w:tcBorders>
            <w:shd w:val="clear" w:color="auto" w:fill="FF0000"/>
            <w:vAlign w:val="bottom"/>
          </w:tcPr>
          <w:p w14:paraId="62D7E1FD"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FF0000"/>
            <w:vAlign w:val="bottom"/>
          </w:tcPr>
          <w:p w14:paraId="0F05A3D2"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FF0000"/>
            <w:vAlign w:val="bottom"/>
          </w:tcPr>
          <w:p w14:paraId="666A5AE5"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8" w:space="0" w:color="000000"/>
            </w:tcBorders>
            <w:shd w:val="clear" w:color="auto" w:fill="FFC000"/>
            <w:vAlign w:val="bottom"/>
          </w:tcPr>
          <w:p w14:paraId="192DF875"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75867C5F" w14:textId="77777777" w:rsidTr="00ED49C2">
        <w:trPr>
          <w:trHeight w:val="573"/>
        </w:trPr>
        <w:tc>
          <w:tcPr>
            <w:tcW w:w="416" w:type="dxa"/>
            <w:tcBorders>
              <w:top w:val="nil"/>
              <w:left w:val="single" w:sz="8" w:space="0" w:color="000000"/>
              <w:bottom w:val="single" w:sz="4" w:space="0" w:color="000000"/>
              <w:right w:val="single" w:sz="4" w:space="0" w:color="000000"/>
            </w:tcBorders>
            <w:shd w:val="clear" w:color="auto" w:fill="auto"/>
            <w:vAlign w:val="center"/>
          </w:tcPr>
          <w:p w14:paraId="30A96424"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11</w:t>
            </w:r>
          </w:p>
        </w:tc>
        <w:tc>
          <w:tcPr>
            <w:tcW w:w="3123" w:type="dxa"/>
            <w:gridSpan w:val="2"/>
            <w:tcBorders>
              <w:top w:val="nil"/>
              <w:left w:val="nil"/>
              <w:bottom w:val="single" w:sz="4" w:space="0" w:color="000000"/>
              <w:right w:val="single" w:sz="4" w:space="0" w:color="000000"/>
            </w:tcBorders>
            <w:shd w:val="clear" w:color="auto" w:fill="auto"/>
            <w:vAlign w:val="center"/>
          </w:tcPr>
          <w:p w14:paraId="6D7376F7"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Zefektívniť rozpočtovací proces:</w:t>
            </w:r>
          </w:p>
          <w:p w14:paraId="01A7E349"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zmenu rozpočtovania príjmov spojiť s lepším plánovaním výdavkov</w:t>
            </w:r>
          </w:p>
          <w:p w14:paraId="20C71D3F"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rozhodnúť o pevnom percente príjmov z aukcií emisných kvót použitých na poskytovanie dotácií a úverov</w:t>
            </w:r>
          </w:p>
        </w:tc>
        <w:tc>
          <w:tcPr>
            <w:tcW w:w="1418" w:type="dxa"/>
            <w:tcBorders>
              <w:top w:val="nil"/>
              <w:left w:val="nil"/>
              <w:bottom w:val="single" w:sz="4" w:space="0" w:color="000000"/>
              <w:right w:val="single" w:sz="4" w:space="0" w:color="000000"/>
            </w:tcBorders>
            <w:shd w:val="clear" w:color="auto" w:fill="auto"/>
            <w:vAlign w:val="center"/>
          </w:tcPr>
          <w:p w14:paraId="11B9B66F"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MF SR/MŽP SR/EF</w:t>
            </w:r>
          </w:p>
        </w:tc>
        <w:tc>
          <w:tcPr>
            <w:tcW w:w="850" w:type="dxa"/>
            <w:tcBorders>
              <w:top w:val="nil"/>
              <w:left w:val="nil"/>
              <w:bottom w:val="single" w:sz="4" w:space="0" w:color="000000"/>
              <w:right w:val="single" w:sz="4" w:space="0" w:color="000000"/>
            </w:tcBorders>
            <w:shd w:val="clear" w:color="auto" w:fill="auto"/>
            <w:vAlign w:val="center"/>
          </w:tcPr>
          <w:p w14:paraId="1C987650"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w:t>
            </w:r>
          </w:p>
        </w:tc>
        <w:tc>
          <w:tcPr>
            <w:tcW w:w="992" w:type="dxa"/>
            <w:tcBorders>
              <w:top w:val="single" w:sz="4" w:space="0" w:color="000000"/>
              <w:left w:val="nil"/>
              <w:bottom w:val="single" w:sz="4" w:space="0" w:color="000000"/>
              <w:right w:val="single" w:sz="4" w:space="0" w:color="000000"/>
            </w:tcBorders>
            <w:vAlign w:val="center"/>
          </w:tcPr>
          <w:p w14:paraId="1FFF9CD0"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priebežne</w:t>
            </w:r>
          </w:p>
        </w:tc>
        <w:tc>
          <w:tcPr>
            <w:tcW w:w="638" w:type="dxa"/>
            <w:tcBorders>
              <w:top w:val="nil"/>
              <w:left w:val="single" w:sz="4" w:space="0" w:color="000000"/>
              <w:bottom w:val="single" w:sz="4" w:space="0" w:color="000000"/>
              <w:right w:val="single" w:sz="4" w:space="0" w:color="000000"/>
            </w:tcBorders>
            <w:shd w:val="clear" w:color="auto" w:fill="FF0000"/>
            <w:vAlign w:val="bottom"/>
          </w:tcPr>
          <w:p w14:paraId="2C2FAD2B"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FFC000"/>
            <w:vAlign w:val="bottom"/>
          </w:tcPr>
          <w:p w14:paraId="3C132566"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FFC000"/>
            <w:vAlign w:val="bottom"/>
          </w:tcPr>
          <w:p w14:paraId="458E82EC"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8" w:space="0" w:color="000000"/>
            </w:tcBorders>
            <w:shd w:val="clear" w:color="auto" w:fill="FFC000"/>
            <w:vAlign w:val="bottom"/>
          </w:tcPr>
          <w:p w14:paraId="07417732"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6BF15D2C" w14:textId="77777777" w:rsidTr="00ED49C2">
        <w:trPr>
          <w:trHeight w:val="847"/>
        </w:trPr>
        <w:tc>
          <w:tcPr>
            <w:tcW w:w="416" w:type="dxa"/>
            <w:tcBorders>
              <w:top w:val="nil"/>
              <w:left w:val="single" w:sz="8" w:space="0" w:color="000000"/>
              <w:bottom w:val="single" w:sz="4" w:space="0" w:color="auto"/>
              <w:right w:val="single" w:sz="4" w:space="0" w:color="000000"/>
            </w:tcBorders>
            <w:shd w:val="clear" w:color="auto" w:fill="auto"/>
            <w:vAlign w:val="center"/>
          </w:tcPr>
          <w:p w14:paraId="435E4617"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12</w:t>
            </w:r>
          </w:p>
        </w:tc>
        <w:tc>
          <w:tcPr>
            <w:tcW w:w="3123" w:type="dxa"/>
            <w:gridSpan w:val="2"/>
            <w:tcBorders>
              <w:top w:val="nil"/>
              <w:left w:val="nil"/>
              <w:bottom w:val="single" w:sz="4" w:space="0" w:color="auto"/>
              <w:right w:val="single" w:sz="4" w:space="0" w:color="000000"/>
            </w:tcBorders>
            <w:shd w:val="clear" w:color="auto" w:fill="auto"/>
            <w:vAlign w:val="center"/>
          </w:tcPr>
          <w:p w14:paraId="12B3CAAF"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Prioritizovať podporu chránených území a opatrenia v jednotlivých dokumentoch starostlivosti chránených území</w:t>
            </w:r>
          </w:p>
        </w:tc>
        <w:tc>
          <w:tcPr>
            <w:tcW w:w="1418" w:type="dxa"/>
            <w:tcBorders>
              <w:top w:val="nil"/>
              <w:left w:val="nil"/>
              <w:bottom w:val="single" w:sz="4" w:space="0" w:color="auto"/>
              <w:right w:val="single" w:sz="4" w:space="0" w:color="000000"/>
            </w:tcBorders>
            <w:shd w:val="clear" w:color="auto" w:fill="auto"/>
            <w:vAlign w:val="center"/>
          </w:tcPr>
          <w:p w14:paraId="16734563"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SR/ŠOP SR</w:t>
            </w:r>
          </w:p>
        </w:tc>
        <w:tc>
          <w:tcPr>
            <w:tcW w:w="850" w:type="dxa"/>
            <w:tcBorders>
              <w:top w:val="nil"/>
              <w:left w:val="nil"/>
              <w:bottom w:val="single" w:sz="4" w:space="0" w:color="auto"/>
              <w:right w:val="single" w:sz="4" w:space="0" w:color="000000"/>
            </w:tcBorders>
            <w:shd w:val="clear" w:color="auto" w:fill="auto"/>
            <w:vAlign w:val="center"/>
          </w:tcPr>
          <w:p w14:paraId="5F39A813"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w:t>
            </w:r>
          </w:p>
        </w:tc>
        <w:tc>
          <w:tcPr>
            <w:tcW w:w="992" w:type="dxa"/>
            <w:tcBorders>
              <w:top w:val="single" w:sz="4" w:space="0" w:color="000000"/>
              <w:left w:val="nil"/>
              <w:bottom w:val="single" w:sz="4" w:space="0" w:color="auto"/>
              <w:right w:val="single" w:sz="4" w:space="0" w:color="000000"/>
            </w:tcBorders>
            <w:vAlign w:val="center"/>
          </w:tcPr>
          <w:p w14:paraId="41F1DB2F"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06/2019</w:t>
            </w:r>
          </w:p>
        </w:tc>
        <w:tc>
          <w:tcPr>
            <w:tcW w:w="638" w:type="dxa"/>
            <w:tcBorders>
              <w:top w:val="nil"/>
              <w:left w:val="single" w:sz="4" w:space="0" w:color="000000"/>
              <w:bottom w:val="single" w:sz="4" w:space="0" w:color="auto"/>
              <w:right w:val="single" w:sz="4" w:space="0" w:color="000000"/>
            </w:tcBorders>
            <w:shd w:val="clear" w:color="auto" w:fill="FF0000"/>
            <w:vAlign w:val="bottom"/>
          </w:tcPr>
          <w:p w14:paraId="767284B2"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auto"/>
              <w:right w:val="single" w:sz="4" w:space="0" w:color="000000"/>
            </w:tcBorders>
            <w:shd w:val="clear" w:color="auto" w:fill="FFC000"/>
            <w:vAlign w:val="bottom"/>
          </w:tcPr>
          <w:p w14:paraId="22598CB6"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auto"/>
              <w:right w:val="single" w:sz="4" w:space="0" w:color="000000"/>
            </w:tcBorders>
            <w:shd w:val="clear" w:color="auto" w:fill="FFC000"/>
            <w:vAlign w:val="bottom"/>
          </w:tcPr>
          <w:p w14:paraId="6077F942"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auto"/>
              <w:right w:val="single" w:sz="8" w:space="0" w:color="000000"/>
            </w:tcBorders>
            <w:shd w:val="clear" w:color="auto" w:fill="FFC000"/>
            <w:vAlign w:val="bottom"/>
          </w:tcPr>
          <w:p w14:paraId="75A23C54"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0D3FB555" w14:textId="77777777" w:rsidTr="00ED49C2">
        <w:trPr>
          <w:trHeight w:val="573"/>
        </w:trPr>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2590482A"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lastRenderedPageBreak/>
              <w:t>13</w:t>
            </w:r>
          </w:p>
        </w:tc>
        <w:tc>
          <w:tcPr>
            <w:tcW w:w="3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2D2B61"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Dobudovať sústavu Natura 2000 na Slovensku</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EE603F2"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 / ŠOP SR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93267B4"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2020</w:t>
            </w:r>
          </w:p>
        </w:tc>
        <w:tc>
          <w:tcPr>
            <w:tcW w:w="992" w:type="dxa"/>
            <w:tcBorders>
              <w:top w:val="single" w:sz="4" w:space="0" w:color="auto"/>
              <w:left w:val="single" w:sz="4" w:space="0" w:color="auto"/>
              <w:bottom w:val="single" w:sz="4" w:space="0" w:color="auto"/>
              <w:right w:val="single" w:sz="4" w:space="0" w:color="auto"/>
            </w:tcBorders>
            <w:vAlign w:val="center"/>
          </w:tcPr>
          <w:p w14:paraId="7DC149EA" w14:textId="345CA2FC" w:rsidR="008E7D9E" w:rsidRPr="00666914" w:rsidRDefault="00ED49C2" w:rsidP="00ED49C2">
            <w:pPr>
              <w:spacing w:after="0"/>
              <w:jc w:val="center"/>
              <w:rPr>
                <w:rFonts w:eastAsia="Arial Narrow" w:cs="Arial Narrow"/>
                <w:color w:val="000000"/>
                <w:sz w:val="20"/>
                <w:szCs w:val="20"/>
              </w:rPr>
            </w:pPr>
            <w:r w:rsidRPr="00666914">
              <w:rPr>
                <w:rFonts w:eastAsia="Arial Narrow" w:cs="Arial Narrow"/>
                <w:color w:val="000000"/>
                <w:sz w:val="20"/>
                <w:szCs w:val="20"/>
              </w:rPr>
              <w:t>-</w:t>
            </w:r>
          </w:p>
        </w:tc>
        <w:tc>
          <w:tcPr>
            <w:tcW w:w="638" w:type="dxa"/>
            <w:tcBorders>
              <w:top w:val="single" w:sz="4" w:space="0" w:color="auto"/>
              <w:left w:val="single" w:sz="4" w:space="0" w:color="auto"/>
              <w:bottom w:val="single" w:sz="4" w:space="0" w:color="auto"/>
              <w:right w:val="single" w:sz="4" w:space="0" w:color="auto"/>
            </w:tcBorders>
            <w:shd w:val="clear" w:color="auto" w:fill="FFC000"/>
            <w:vAlign w:val="bottom"/>
          </w:tcPr>
          <w:p w14:paraId="7B3D9AED"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single" w:sz="4" w:space="0" w:color="auto"/>
              <w:left w:val="single" w:sz="4" w:space="0" w:color="auto"/>
              <w:bottom w:val="single" w:sz="4" w:space="0" w:color="auto"/>
              <w:right w:val="single" w:sz="4" w:space="0" w:color="auto"/>
            </w:tcBorders>
            <w:shd w:val="clear" w:color="auto" w:fill="FFC000"/>
            <w:vAlign w:val="bottom"/>
          </w:tcPr>
          <w:p w14:paraId="056D7F4C"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single" w:sz="4" w:space="0" w:color="auto"/>
              <w:left w:val="single" w:sz="4" w:space="0" w:color="auto"/>
              <w:bottom w:val="single" w:sz="4" w:space="0" w:color="auto"/>
              <w:right w:val="single" w:sz="4" w:space="0" w:color="auto"/>
            </w:tcBorders>
            <w:shd w:val="clear" w:color="auto" w:fill="FFC000"/>
            <w:vAlign w:val="bottom"/>
          </w:tcPr>
          <w:p w14:paraId="54B92A33"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single" w:sz="4" w:space="0" w:color="auto"/>
              <w:left w:val="single" w:sz="4" w:space="0" w:color="auto"/>
              <w:bottom w:val="single" w:sz="4" w:space="0" w:color="auto"/>
              <w:right w:val="single" w:sz="4" w:space="0" w:color="auto"/>
            </w:tcBorders>
            <w:shd w:val="clear" w:color="auto" w:fill="FFC000"/>
            <w:vAlign w:val="bottom"/>
          </w:tcPr>
          <w:p w14:paraId="5E94CB14"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46C22A36" w14:textId="77777777" w:rsidTr="00ED49C2">
        <w:trPr>
          <w:trHeight w:val="573"/>
        </w:trPr>
        <w:tc>
          <w:tcPr>
            <w:tcW w:w="416" w:type="dxa"/>
            <w:tcBorders>
              <w:top w:val="single" w:sz="4" w:space="0" w:color="auto"/>
              <w:left w:val="single" w:sz="8" w:space="0" w:color="000000"/>
              <w:bottom w:val="single" w:sz="4" w:space="0" w:color="000000"/>
              <w:right w:val="single" w:sz="4" w:space="0" w:color="000000"/>
            </w:tcBorders>
            <w:shd w:val="clear" w:color="auto" w:fill="auto"/>
            <w:vAlign w:val="center"/>
          </w:tcPr>
          <w:p w14:paraId="601C230B"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14</w:t>
            </w:r>
          </w:p>
        </w:tc>
        <w:tc>
          <w:tcPr>
            <w:tcW w:w="3123" w:type="dxa"/>
            <w:gridSpan w:val="2"/>
            <w:tcBorders>
              <w:top w:val="single" w:sz="4" w:space="0" w:color="auto"/>
              <w:left w:val="nil"/>
              <w:bottom w:val="single" w:sz="4" w:space="0" w:color="000000"/>
              <w:right w:val="single" w:sz="4" w:space="0" w:color="000000"/>
            </w:tcBorders>
            <w:shd w:val="clear" w:color="auto" w:fill="auto"/>
            <w:vAlign w:val="center"/>
          </w:tcPr>
          <w:p w14:paraId="32793A6F"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Vypracovať a zverejniť investičný plán MŽP, bez ohľadu na zdroj financovania</w:t>
            </w:r>
          </w:p>
        </w:tc>
        <w:tc>
          <w:tcPr>
            <w:tcW w:w="1418" w:type="dxa"/>
            <w:tcBorders>
              <w:top w:val="single" w:sz="4" w:space="0" w:color="auto"/>
              <w:left w:val="nil"/>
              <w:bottom w:val="single" w:sz="4" w:space="0" w:color="000000"/>
              <w:right w:val="single" w:sz="4" w:space="0" w:color="000000"/>
            </w:tcBorders>
            <w:shd w:val="clear" w:color="auto" w:fill="auto"/>
            <w:vAlign w:val="center"/>
          </w:tcPr>
          <w:p w14:paraId="6FC37B34"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w:t>
            </w:r>
          </w:p>
        </w:tc>
        <w:tc>
          <w:tcPr>
            <w:tcW w:w="850" w:type="dxa"/>
            <w:tcBorders>
              <w:top w:val="single" w:sz="4" w:space="0" w:color="auto"/>
              <w:left w:val="nil"/>
              <w:bottom w:val="single" w:sz="4" w:space="0" w:color="000000"/>
              <w:right w:val="single" w:sz="4" w:space="0" w:color="000000"/>
            </w:tcBorders>
            <w:shd w:val="clear" w:color="auto" w:fill="auto"/>
            <w:vAlign w:val="center"/>
          </w:tcPr>
          <w:p w14:paraId="395A73A6"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w:t>
            </w:r>
          </w:p>
        </w:tc>
        <w:tc>
          <w:tcPr>
            <w:tcW w:w="992" w:type="dxa"/>
            <w:tcBorders>
              <w:top w:val="single" w:sz="4" w:space="0" w:color="auto"/>
              <w:left w:val="nil"/>
              <w:bottom w:val="single" w:sz="4" w:space="0" w:color="000000"/>
              <w:right w:val="single" w:sz="4" w:space="0" w:color="000000"/>
            </w:tcBorders>
            <w:vAlign w:val="center"/>
          </w:tcPr>
          <w:p w14:paraId="5E138796"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priebežne</w:t>
            </w:r>
          </w:p>
        </w:tc>
        <w:tc>
          <w:tcPr>
            <w:tcW w:w="638" w:type="dxa"/>
            <w:tcBorders>
              <w:top w:val="single" w:sz="4" w:space="0" w:color="auto"/>
              <w:left w:val="single" w:sz="4" w:space="0" w:color="000000"/>
              <w:bottom w:val="single" w:sz="4" w:space="0" w:color="000000"/>
              <w:right w:val="single" w:sz="4" w:space="0" w:color="000000"/>
            </w:tcBorders>
            <w:shd w:val="clear" w:color="auto" w:fill="92D050"/>
            <w:vAlign w:val="bottom"/>
          </w:tcPr>
          <w:p w14:paraId="2E456EFE"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single" w:sz="4" w:space="0" w:color="auto"/>
              <w:left w:val="nil"/>
              <w:bottom w:val="single" w:sz="4" w:space="0" w:color="000000"/>
              <w:right w:val="single" w:sz="4" w:space="0" w:color="000000"/>
            </w:tcBorders>
            <w:shd w:val="clear" w:color="auto" w:fill="A6A6A6"/>
            <w:vAlign w:val="bottom"/>
          </w:tcPr>
          <w:p w14:paraId="38BFD686"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single" w:sz="4" w:space="0" w:color="auto"/>
              <w:left w:val="nil"/>
              <w:bottom w:val="single" w:sz="4" w:space="0" w:color="000000"/>
              <w:right w:val="single" w:sz="4" w:space="0" w:color="000000"/>
            </w:tcBorders>
            <w:shd w:val="clear" w:color="auto" w:fill="92D050"/>
            <w:vAlign w:val="bottom"/>
          </w:tcPr>
          <w:p w14:paraId="32959AC3"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single" w:sz="4" w:space="0" w:color="auto"/>
              <w:left w:val="nil"/>
              <w:bottom w:val="single" w:sz="4" w:space="0" w:color="000000"/>
              <w:right w:val="single" w:sz="8" w:space="0" w:color="000000"/>
            </w:tcBorders>
            <w:shd w:val="clear" w:color="auto" w:fill="AEAAAA"/>
            <w:vAlign w:val="bottom"/>
          </w:tcPr>
          <w:p w14:paraId="305EFAA4"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134679FD" w14:textId="77777777" w:rsidTr="00ED49C2">
        <w:trPr>
          <w:trHeight w:val="1008"/>
        </w:trPr>
        <w:tc>
          <w:tcPr>
            <w:tcW w:w="416" w:type="dxa"/>
            <w:tcBorders>
              <w:top w:val="single" w:sz="4" w:space="0" w:color="000000"/>
              <w:left w:val="single" w:sz="8" w:space="0" w:color="000000"/>
              <w:bottom w:val="single" w:sz="4" w:space="0" w:color="000000"/>
              <w:right w:val="single" w:sz="4" w:space="0" w:color="000000"/>
            </w:tcBorders>
            <w:shd w:val="clear" w:color="auto" w:fill="auto"/>
            <w:vAlign w:val="center"/>
          </w:tcPr>
          <w:p w14:paraId="21DA4225"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15</w:t>
            </w:r>
          </w:p>
        </w:tc>
        <w:tc>
          <w:tcPr>
            <w:tcW w:w="3123" w:type="dxa"/>
            <w:gridSpan w:val="2"/>
            <w:tcBorders>
              <w:top w:val="single" w:sz="4" w:space="0" w:color="000000"/>
              <w:left w:val="nil"/>
              <w:bottom w:val="single" w:sz="4" w:space="0" w:color="000000"/>
              <w:right w:val="single" w:sz="4" w:space="0" w:color="000000"/>
            </w:tcBorders>
            <w:shd w:val="clear" w:color="auto" w:fill="auto"/>
            <w:vAlign w:val="center"/>
          </w:tcPr>
          <w:p w14:paraId="4D2847D4"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Pre všetky investície nad 30 mil. eur (nad 10 mil. eur v informatizácii) vypracovať štúdiu uskutočniteľnosti a analýzu nákladov a prínosov. Zverejňovať štúdie uskutočniteľnosti pred schválením významných investícií</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1D58674F"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w:t>
            </w:r>
          </w:p>
        </w:tc>
        <w:tc>
          <w:tcPr>
            <w:tcW w:w="850" w:type="dxa"/>
            <w:tcBorders>
              <w:top w:val="single" w:sz="4" w:space="0" w:color="000000"/>
              <w:left w:val="nil"/>
              <w:bottom w:val="single" w:sz="4" w:space="0" w:color="000000"/>
              <w:right w:val="single" w:sz="4" w:space="0" w:color="000000"/>
            </w:tcBorders>
            <w:shd w:val="clear" w:color="auto" w:fill="auto"/>
            <w:vAlign w:val="center"/>
          </w:tcPr>
          <w:p w14:paraId="63800CA0"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w:t>
            </w:r>
          </w:p>
        </w:tc>
        <w:tc>
          <w:tcPr>
            <w:tcW w:w="992" w:type="dxa"/>
            <w:tcBorders>
              <w:top w:val="single" w:sz="4" w:space="0" w:color="000000"/>
              <w:left w:val="nil"/>
              <w:bottom w:val="single" w:sz="4" w:space="0" w:color="000000"/>
              <w:right w:val="single" w:sz="4" w:space="0" w:color="000000"/>
            </w:tcBorders>
            <w:vAlign w:val="center"/>
          </w:tcPr>
          <w:p w14:paraId="4271488A"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priebežne</w:t>
            </w:r>
          </w:p>
        </w:tc>
        <w:tc>
          <w:tcPr>
            <w:tcW w:w="638" w:type="dxa"/>
            <w:tcBorders>
              <w:top w:val="single" w:sz="4" w:space="0" w:color="000000"/>
              <w:left w:val="single" w:sz="4" w:space="0" w:color="000000"/>
              <w:bottom w:val="single" w:sz="4" w:space="0" w:color="000000"/>
              <w:right w:val="single" w:sz="4" w:space="0" w:color="000000"/>
            </w:tcBorders>
            <w:shd w:val="clear" w:color="auto" w:fill="92D050"/>
            <w:vAlign w:val="bottom"/>
          </w:tcPr>
          <w:p w14:paraId="0EF8BDFD"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single" w:sz="4" w:space="0" w:color="000000"/>
              <w:left w:val="nil"/>
              <w:bottom w:val="single" w:sz="4" w:space="0" w:color="000000"/>
              <w:right w:val="single" w:sz="4" w:space="0" w:color="000000"/>
            </w:tcBorders>
            <w:shd w:val="clear" w:color="auto" w:fill="92D050"/>
            <w:vAlign w:val="bottom"/>
          </w:tcPr>
          <w:p w14:paraId="779D3CF1"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single" w:sz="4" w:space="0" w:color="000000"/>
              <w:left w:val="nil"/>
              <w:bottom w:val="single" w:sz="4" w:space="0" w:color="000000"/>
              <w:right w:val="single" w:sz="4" w:space="0" w:color="000000"/>
            </w:tcBorders>
            <w:shd w:val="clear" w:color="auto" w:fill="AEAAAA"/>
            <w:vAlign w:val="bottom"/>
          </w:tcPr>
          <w:p w14:paraId="6637E5EE"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single" w:sz="4" w:space="0" w:color="000000"/>
              <w:left w:val="nil"/>
              <w:bottom w:val="single" w:sz="4" w:space="0" w:color="000000"/>
              <w:right w:val="single" w:sz="8" w:space="0" w:color="000000"/>
            </w:tcBorders>
            <w:shd w:val="clear" w:color="auto" w:fill="AEAAAA"/>
            <w:vAlign w:val="bottom"/>
          </w:tcPr>
          <w:p w14:paraId="097CC962"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4536AF88" w14:textId="77777777" w:rsidTr="00ED49C2">
        <w:trPr>
          <w:trHeight w:val="860"/>
        </w:trPr>
        <w:tc>
          <w:tcPr>
            <w:tcW w:w="416" w:type="dxa"/>
            <w:tcBorders>
              <w:top w:val="nil"/>
              <w:left w:val="single" w:sz="8" w:space="0" w:color="000000"/>
              <w:bottom w:val="single" w:sz="4" w:space="0" w:color="000000"/>
              <w:right w:val="single" w:sz="4" w:space="0" w:color="000000"/>
            </w:tcBorders>
            <w:shd w:val="clear" w:color="auto" w:fill="auto"/>
            <w:vAlign w:val="center"/>
          </w:tcPr>
          <w:p w14:paraId="11C29A08"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16</w:t>
            </w:r>
          </w:p>
        </w:tc>
        <w:tc>
          <w:tcPr>
            <w:tcW w:w="3123" w:type="dxa"/>
            <w:gridSpan w:val="2"/>
            <w:tcBorders>
              <w:top w:val="nil"/>
              <w:left w:val="nil"/>
              <w:bottom w:val="single" w:sz="4" w:space="0" w:color="000000"/>
              <w:right w:val="single" w:sz="4" w:space="0" w:color="000000"/>
            </w:tcBorders>
            <w:shd w:val="clear" w:color="auto" w:fill="auto"/>
            <w:vAlign w:val="center"/>
          </w:tcPr>
          <w:p w14:paraId="719BE471"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Riadiť sa pri spracovaní analýz nákladov a prínosov platným Rámcom hodnotenia verejných investícií</w:t>
            </w:r>
          </w:p>
        </w:tc>
        <w:tc>
          <w:tcPr>
            <w:tcW w:w="1418" w:type="dxa"/>
            <w:tcBorders>
              <w:top w:val="nil"/>
              <w:left w:val="nil"/>
              <w:bottom w:val="single" w:sz="4" w:space="0" w:color="000000"/>
              <w:right w:val="single" w:sz="4" w:space="0" w:color="000000"/>
            </w:tcBorders>
            <w:shd w:val="clear" w:color="auto" w:fill="auto"/>
            <w:vAlign w:val="center"/>
          </w:tcPr>
          <w:p w14:paraId="0497C475"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w:t>
            </w:r>
          </w:p>
        </w:tc>
        <w:tc>
          <w:tcPr>
            <w:tcW w:w="850" w:type="dxa"/>
            <w:tcBorders>
              <w:top w:val="nil"/>
              <w:left w:val="nil"/>
              <w:bottom w:val="single" w:sz="4" w:space="0" w:color="000000"/>
              <w:right w:val="single" w:sz="4" w:space="0" w:color="000000"/>
            </w:tcBorders>
            <w:shd w:val="clear" w:color="auto" w:fill="auto"/>
            <w:vAlign w:val="center"/>
          </w:tcPr>
          <w:p w14:paraId="4D58644A"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w:t>
            </w:r>
          </w:p>
        </w:tc>
        <w:tc>
          <w:tcPr>
            <w:tcW w:w="992" w:type="dxa"/>
            <w:tcBorders>
              <w:top w:val="single" w:sz="4" w:space="0" w:color="000000"/>
              <w:left w:val="nil"/>
              <w:bottom w:val="single" w:sz="4" w:space="0" w:color="000000"/>
              <w:right w:val="single" w:sz="4" w:space="0" w:color="000000"/>
            </w:tcBorders>
            <w:vAlign w:val="center"/>
          </w:tcPr>
          <w:p w14:paraId="530C5608"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priebežne</w:t>
            </w:r>
          </w:p>
        </w:tc>
        <w:tc>
          <w:tcPr>
            <w:tcW w:w="638" w:type="dxa"/>
            <w:tcBorders>
              <w:top w:val="nil"/>
              <w:left w:val="single" w:sz="4" w:space="0" w:color="000000"/>
              <w:bottom w:val="single" w:sz="4" w:space="0" w:color="000000"/>
              <w:right w:val="single" w:sz="4" w:space="0" w:color="000000"/>
            </w:tcBorders>
            <w:shd w:val="clear" w:color="auto" w:fill="92D050"/>
            <w:vAlign w:val="bottom"/>
          </w:tcPr>
          <w:p w14:paraId="1B4D4102"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92D050"/>
            <w:vAlign w:val="bottom"/>
          </w:tcPr>
          <w:p w14:paraId="7DC3A3DE"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AEAAAA"/>
            <w:vAlign w:val="bottom"/>
          </w:tcPr>
          <w:p w14:paraId="55727A0D"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8" w:space="0" w:color="000000"/>
            </w:tcBorders>
            <w:shd w:val="clear" w:color="auto" w:fill="AEAAAA"/>
            <w:vAlign w:val="bottom"/>
          </w:tcPr>
          <w:p w14:paraId="23C12F0C"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5C48CFF6" w14:textId="77777777" w:rsidTr="00ED49C2">
        <w:trPr>
          <w:trHeight w:val="573"/>
        </w:trPr>
        <w:tc>
          <w:tcPr>
            <w:tcW w:w="416" w:type="dxa"/>
            <w:tcBorders>
              <w:top w:val="nil"/>
              <w:left w:val="single" w:sz="8" w:space="0" w:color="000000"/>
              <w:bottom w:val="single" w:sz="4" w:space="0" w:color="000000"/>
              <w:right w:val="single" w:sz="4" w:space="0" w:color="000000"/>
            </w:tcBorders>
            <w:shd w:val="clear" w:color="auto" w:fill="auto"/>
            <w:vAlign w:val="center"/>
          </w:tcPr>
          <w:p w14:paraId="5DF8DBE1"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17</w:t>
            </w:r>
          </w:p>
        </w:tc>
        <w:tc>
          <w:tcPr>
            <w:tcW w:w="3123" w:type="dxa"/>
            <w:gridSpan w:val="2"/>
            <w:tcBorders>
              <w:top w:val="nil"/>
              <w:left w:val="nil"/>
              <w:bottom w:val="single" w:sz="4" w:space="0" w:color="000000"/>
              <w:right w:val="single" w:sz="4" w:space="0" w:color="000000"/>
            </w:tcBorders>
            <w:shd w:val="clear" w:color="auto" w:fill="auto"/>
            <w:vAlign w:val="center"/>
          </w:tcPr>
          <w:p w14:paraId="2F184106"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Stanoviť a sledovať nákladovosť a výkonnosť informačných systémov, vrátane podriadených organizácií</w:t>
            </w:r>
          </w:p>
        </w:tc>
        <w:tc>
          <w:tcPr>
            <w:tcW w:w="1418" w:type="dxa"/>
            <w:tcBorders>
              <w:top w:val="nil"/>
              <w:left w:val="nil"/>
              <w:bottom w:val="single" w:sz="4" w:space="0" w:color="000000"/>
              <w:right w:val="single" w:sz="4" w:space="0" w:color="000000"/>
            </w:tcBorders>
            <w:shd w:val="clear" w:color="auto" w:fill="auto"/>
            <w:vAlign w:val="center"/>
          </w:tcPr>
          <w:p w14:paraId="50834770"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w:t>
            </w:r>
          </w:p>
        </w:tc>
        <w:tc>
          <w:tcPr>
            <w:tcW w:w="850" w:type="dxa"/>
            <w:tcBorders>
              <w:top w:val="nil"/>
              <w:left w:val="nil"/>
              <w:bottom w:val="single" w:sz="4" w:space="0" w:color="000000"/>
              <w:right w:val="single" w:sz="4" w:space="0" w:color="000000"/>
            </w:tcBorders>
            <w:shd w:val="clear" w:color="auto" w:fill="auto"/>
            <w:vAlign w:val="center"/>
          </w:tcPr>
          <w:p w14:paraId="57587FBC"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12/2017</w:t>
            </w:r>
          </w:p>
        </w:tc>
        <w:tc>
          <w:tcPr>
            <w:tcW w:w="992" w:type="dxa"/>
            <w:tcBorders>
              <w:top w:val="single" w:sz="4" w:space="0" w:color="000000"/>
              <w:left w:val="nil"/>
              <w:bottom w:val="single" w:sz="4" w:space="0" w:color="000000"/>
              <w:right w:val="single" w:sz="4" w:space="0" w:color="000000"/>
            </w:tcBorders>
            <w:vAlign w:val="center"/>
          </w:tcPr>
          <w:p w14:paraId="79292649"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06/2019</w:t>
            </w:r>
          </w:p>
        </w:tc>
        <w:tc>
          <w:tcPr>
            <w:tcW w:w="638" w:type="dxa"/>
            <w:tcBorders>
              <w:top w:val="nil"/>
              <w:left w:val="single" w:sz="4" w:space="0" w:color="000000"/>
              <w:bottom w:val="single" w:sz="4" w:space="0" w:color="000000"/>
              <w:right w:val="single" w:sz="4" w:space="0" w:color="000000"/>
            </w:tcBorders>
            <w:shd w:val="clear" w:color="auto" w:fill="92D050"/>
            <w:vAlign w:val="bottom"/>
          </w:tcPr>
          <w:p w14:paraId="3AAEBA4D"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92D050"/>
            <w:vAlign w:val="bottom"/>
          </w:tcPr>
          <w:p w14:paraId="5C2DF882"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92D050"/>
            <w:vAlign w:val="bottom"/>
          </w:tcPr>
          <w:p w14:paraId="6AA37994"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8" w:space="0" w:color="000000"/>
            </w:tcBorders>
            <w:shd w:val="clear" w:color="auto" w:fill="92D050"/>
            <w:vAlign w:val="bottom"/>
          </w:tcPr>
          <w:p w14:paraId="1C7C0141"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0AF07204" w14:textId="77777777" w:rsidTr="00ED49C2">
        <w:trPr>
          <w:trHeight w:val="573"/>
        </w:trPr>
        <w:tc>
          <w:tcPr>
            <w:tcW w:w="416" w:type="dxa"/>
            <w:tcBorders>
              <w:top w:val="nil"/>
              <w:left w:val="single" w:sz="8" w:space="0" w:color="000000"/>
              <w:bottom w:val="single" w:sz="4" w:space="0" w:color="000000"/>
              <w:right w:val="single" w:sz="4" w:space="0" w:color="000000"/>
            </w:tcBorders>
            <w:shd w:val="clear" w:color="auto" w:fill="auto"/>
            <w:vAlign w:val="center"/>
          </w:tcPr>
          <w:p w14:paraId="705EF6CB"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18</w:t>
            </w:r>
          </w:p>
        </w:tc>
        <w:tc>
          <w:tcPr>
            <w:tcW w:w="3123" w:type="dxa"/>
            <w:gridSpan w:val="2"/>
            <w:tcBorders>
              <w:top w:val="nil"/>
              <w:left w:val="nil"/>
              <w:bottom w:val="single" w:sz="4" w:space="0" w:color="000000"/>
              <w:right w:val="single" w:sz="4" w:space="0" w:color="000000"/>
            </w:tcBorders>
            <w:shd w:val="clear" w:color="auto" w:fill="auto"/>
            <w:vAlign w:val="center"/>
          </w:tcPr>
          <w:p w14:paraId="062EAF34"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Vypracovať plán migrácie IS do vládneho cloudu</w:t>
            </w:r>
          </w:p>
        </w:tc>
        <w:tc>
          <w:tcPr>
            <w:tcW w:w="1418" w:type="dxa"/>
            <w:tcBorders>
              <w:top w:val="nil"/>
              <w:left w:val="nil"/>
              <w:bottom w:val="single" w:sz="4" w:space="0" w:color="000000"/>
              <w:right w:val="single" w:sz="4" w:space="0" w:color="000000"/>
            </w:tcBorders>
            <w:shd w:val="clear" w:color="auto" w:fill="auto"/>
            <w:vAlign w:val="center"/>
          </w:tcPr>
          <w:p w14:paraId="48040F45"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w:t>
            </w:r>
          </w:p>
        </w:tc>
        <w:tc>
          <w:tcPr>
            <w:tcW w:w="850" w:type="dxa"/>
            <w:tcBorders>
              <w:top w:val="nil"/>
              <w:left w:val="nil"/>
              <w:bottom w:val="single" w:sz="4" w:space="0" w:color="000000"/>
              <w:right w:val="single" w:sz="4" w:space="0" w:color="000000"/>
            </w:tcBorders>
            <w:shd w:val="clear" w:color="auto" w:fill="auto"/>
            <w:vAlign w:val="center"/>
          </w:tcPr>
          <w:p w14:paraId="5ECA9871"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12/2017</w:t>
            </w:r>
          </w:p>
        </w:tc>
        <w:tc>
          <w:tcPr>
            <w:tcW w:w="992" w:type="dxa"/>
            <w:tcBorders>
              <w:top w:val="single" w:sz="4" w:space="0" w:color="000000"/>
              <w:left w:val="nil"/>
              <w:bottom w:val="single" w:sz="4" w:space="0" w:color="000000"/>
              <w:right w:val="single" w:sz="4" w:space="0" w:color="000000"/>
            </w:tcBorders>
            <w:vAlign w:val="center"/>
          </w:tcPr>
          <w:p w14:paraId="1D4700BE"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06/2019</w:t>
            </w:r>
          </w:p>
        </w:tc>
        <w:tc>
          <w:tcPr>
            <w:tcW w:w="638" w:type="dxa"/>
            <w:tcBorders>
              <w:top w:val="nil"/>
              <w:left w:val="single" w:sz="4" w:space="0" w:color="000000"/>
              <w:bottom w:val="single" w:sz="4" w:space="0" w:color="000000"/>
              <w:right w:val="single" w:sz="4" w:space="0" w:color="000000"/>
            </w:tcBorders>
            <w:shd w:val="clear" w:color="auto" w:fill="FFC000"/>
            <w:vAlign w:val="bottom"/>
          </w:tcPr>
          <w:p w14:paraId="47F43CC2"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FFC000"/>
            <w:vAlign w:val="bottom"/>
          </w:tcPr>
          <w:p w14:paraId="7FCBC01B"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FFC000"/>
            <w:vAlign w:val="bottom"/>
          </w:tcPr>
          <w:p w14:paraId="4695BFA6"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8" w:space="0" w:color="000000"/>
            </w:tcBorders>
            <w:shd w:val="clear" w:color="auto" w:fill="FFC000"/>
            <w:vAlign w:val="bottom"/>
          </w:tcPr>
          <w:p w14:paraId="79E6163F"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64CB6ABD" w14:textId="77777777">
        <w:trPr>
          <w:trHeight w:val="398"/>
        </w:trPr>
        <w:tc>
          <w:tcPr>
            <w:tcW w:w="567" w:type="dxa"/>
            <w:gridSpan w:val="2"/>
            <w:tcBorders>
              <w:top w:val="nil"/>
              <w:left w:val="single" w:sz="8" w:space="0" w:color="000000"/>
              <w:bottom w:val="single" w:sz="4" w:space="0" w:color="000000"/>
            </w:tcBorders>
          </w:tcPr>
          <w:p w14:paraId="4552B222" w14:textId="77777777" w:rsidR="008E7D9E" w:rsidRPr="00666914" w:rsidRDefault="008E7D9E">
            <w:pPr>
              <w:spacing w:after="0"/>
              <w:jc w:val="center"/>
              <w:rPr>
                <w:rFonts w:eastAsia="Arial Narrow" w:cs="Arial Narrow"/>
                <w:b/>
                <w:color w:val="000000"/>
                <w:sz w:val="20"/>
                <w:szCs w:val="20"/>
              </w:rPr>
            </w:pPr>
          </w:p>
        </w:tc>
        <w:tc>
          <w:tcPr>
            <w:tcW w:w="8784" w:type="dxa"/>
            <w:gridSpan w:val="8"/>
            <w:tcBorders>
              <w:top w:val="nil"/>
              <w:bottom w:val="single" w:sz="4" w:space="0" w:color="000000"/>
              <w:right w:val="single" w:sz="8" w:space="0" w:color="000000"/>
            </w:tcBorders>
            <w:shd w:val="clear" w:color="auto" w:fill="auto"/>
            <w:vAlign w:val="center"/>
          </w:tcPr>
          <w:p w14:paraId="1088A26A"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DÁTA A METODIKA</w:t>
            </w:r>
          </w:p>
        </w:tc>
      </w:tr>
      <w:tr w:rsidR="008E7D9E" w:rsidRPr="00666914" w14:paraId="4780C6C0" w14:textId="77777777" w:rsidTr="00ED49C2">
        <w:trPr>
          <w:trHeight w:val="573"/>
        </w:trPr>
        <w:tc>
          <w:tcPr>
            <w:tcW w:w="416" w:type="dxa"/>
            <w:tcBorders>
              <w:top w:val="nil"/>
              <w:left w:val="single" w:sz="8" w:space="0" w:color="000000"/>
              <w:bottom w:val="single" w:sz="4" w:space="0" w:color="000000"/>
              <w:right w:val="single" w:sz="4" w:space="0" w:color="000000"/>
            </w:tcBorders>
            <w:shd w:val="clear" w:color="auto" w:fill="auto"/>
            <w:vAlign w:val="center"/>
          </w:tcPr>
          <w:p w14:paraId="6ACAB145"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19</w:t>
            </w:r>
          </w:p>
        </w:tc>
        <w:tc>
          <w:tcPr>
            <w:tcW w:w="3123" w:type="dxa"/>
            <w:gridSpan w:val="2"/>
            <w:tcBorders>
              <w:top w:val="nil"/>
              <w:left w:val="nil"/>
              <w:bottom w:val="single" w:sz="4" w:space="0" w:color="000000"/>
              <w:right w:val="single" w:sz="4" w:space="0" w:color="000000"/>
            </w:tcBorders>
            <w:shd w:val="clear" w:color="auto" w:fill="auto"/>
            <w:vAlign w:val="center"/>
          </w:tcPr>
          <w:p w14:paraId="7CFF9162"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Upraviť metodiku prioritizácie environmentálnych záťaží najmä na základe vplyvov na obyvateľstvo a životné prostredie</w:t>
            </w:r>
          </w:p>
        </w:tc>
        <w:tc>
          <w:tcPr>
            <w:tcW w:w="1418" w:type="dxa"/>
            <w:tcBorders>
              <w:top w:val="nil"/>
              <w:left w:val="nil"/>
              <w:bottom w:val="single" w:sz="4" w:space="0" w:color="000000"/>
              <w:right w:val="single" w:sz="4" w:space="0" w:color="000000"/>
            </w:tcBorders>
            <w:shd w:val="clear" w:color="auto" w:fill="auto"/>
            <w:vAlign w:val="center"/>
          </w:tcPr>
          <w:p w14:paraId="73795D67"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w:t>
            </w:r>
          </w:p>
        </w:tc>
        <w:tc>
          <w:tcPr>
            <w:tcW w:w="850" w:type="dxa"/>
            <w:tcBorders>
              <w:top w:val="nil"/>
              <w:left w:val="nil"/>
              <w:bottom w:val="single" w:sz="4" w:space="0" w:color="000000"/>
              <w:right w:val="single" w:sz="4" w:space="0" w:color="000000"/>
            </w:tcBorders>
            <w:shd w:val="clear" w:color="auto" w:fill="auto"/>
            <w:vAlign w:val="center"/>
          </w:tcPr>
          <w:p w14:paraId="12011B8D"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w:t>
            </w:r>
          </w:p>
        </w:tc>
        <w:tc>
          <w:tcPr>
            <w:tcW w:w="992" w:type="dxa"/>
            <w:tcBorders>
              <w:top w:val="nil"/>
              <w:left w:val="nil"/>
              <w:bottom w:val="single" w:sz="4" w:space="0" w:color="000000"/>
              <w:right w:val="single" w:sz="4" w:space="0" w:color="000000"/>
            </w:tcBorders>
            <w:vAlign w:val="center"/>
          </w:tcPr>
          <w:p w14:paraId="4F8AAFB0"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06/2019</w:t>
            </w:r>
          </w:p>
        </w:tc>
        <w:tc>
          <w:tcPr>
            <w:tcW w:w="638" w:type="dxa"/>
            <w:tcBorders>
              <w:top w:val="nil"/>
              <w:left w:val="single" w:sz="4" w:space="0" w:color="000000"/>
              <w:bottom w:val="single" w:sz="4" w:space="0" w:color="000000"/>
              <w:right w:val="single" w:sz="4" w:space="0" w:color="000000"/>
            </w:tcBorders>
            <w:shd w:val="clear" w:color="auto" w:fill="FF0000"/>
            <w:vAlign w:val="bottom"/>
          </w:tcPr>
          <w:p w14:paraId="1682C703"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92D050"/>
            <w:vAlign w:val="bottom"/>
          </w:tcPr>
          <w:p w14:paraId="321969ED"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AEAAAA"/>
            <w:vAlign w:val="bottom"/>
          </w:tcPr>
          <w:p w14:paraId="1401668B"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8" w:space="0" w:color="000000"/>
            </w:tcBorders>
            <w:shd w:val="clear" w:color="auto" w:fill="AEAAAA"/>
            <w:vAlign w:val="bottom"/>
          </w:tcPr>
          <w:p w14:paraId="14C793E0"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2BFB8675" w14:textId="77777777" w:rsidTr="00ED49C2">
        <w:trPr>
          <w:trHeight w:val="573"/>
        </w:trPr>
        <w:tc>
          <w:tcPr>
            <w:tcW w:w="416" w:type="dxa"/>
            <w:tcBorders>
              <w:top w:val="nil"/>
              <w:left w:val="single" w:sz="8" w:space="0" w:color="000000"/>
              <w:bottom w:val="single" w:sz="4" w:space="0" w:color="000000"/>
              <w:right w:val="single" w:sz="4" w:space="0" w:color="000000"/>
            </w:tcBorders>
            <w:shd w:val="clear" w:color="auto" w:fill="auto"/>
            <w:vAlign w:val="center"/>
          </w:tcPr>
          <w:p w14:paraId="32558D71"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20</w:t>
            </w:r>
          </w:p>
        </w:tc>
        <w:tc>
          <w:tcPr>
            <w:tcW w:w="3123" w:type="dxa"/>
            <w:gridSpan w:val="2"/>
            <w:tcBorders>
              <w:top w:val="nil"/>
              <w:left w:val="nil"/>
              <w:bottom w:val="single" w:sz="4" w:space="0" w:color="000000"/>
              <w:right w:val="single" w:sz="4" w:space="0" w:color="000000"/>
            </w:tcBorders>
            <w:shd w:val="clear" w:color="auto" w:fill="auto"/>
            <w:vAlign w:val="center"/>
          </w:tcPr>
          <w:p w14:paraId="171FEBCA"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Zvýšiť počet monitorovacích staníc, skvalitniť metodiku výpočtu množstva jednotlivých znečisťujúcich látok, zlepšiť monitoring kvality a znečistenia ovzdušia</w:t>
            </w:r>
          </w:p>
        </w:tc>
        <w:tc>
          <w:tcPr>
            <w:tcW w:w="1418" w:type="dxa"/>
            <w:tcBorders>
              <w:top w:val="nil"/>
              <w:left w:val="nil"/>
              <w:bottom w:val="single" w:sz="4" w:space="0" w:color="000000"/>
              <w:right w:val="single" w:sz="4" w:space="0" w:color="000000"/>
            </w:tcBorders>
            <w:shd w:val="clear" w:color="auto" w:fill="auto"/>
            <w:vAlign w:val="center"/>
          </w:tcPr>
          <w:p w14:paraId="3EA55FA7"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SHMÚ</w:t>
            </w:r>
          </w:p>
        </w:tc>
        <w:tc>
          <w:tcPr>
            <w:tcW w:w="850" w:type="dxa"/>
            <w:tcBorders>
              <w:top w:val="nil"/>
              <w:left w:val="nil"/>
              <w:bottom w:val="single" w:sz="4" w:space="0" w:color="000000"/>
              <w:right w:val="single" w:sz="4" w:space="0" w:color="000000"/>
            </w:tcBorders>
            <w:shd w:val="clear" w:color="auto" w:fill="auto"/>
            <w:vAlign w:val="center"/>
          </w:tcPr>
          <w:p w14:paraId="69535724"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2018-2020</w:t>
            </w:r>
          </w:p>
        </w:tc>
        <w:tc>
          <w:tcPr>
            <w:tcW w:w="992" w:type="dxa"/>
            <w:tcBorders>
              <w:top w:val="single" w:sz="4" w:space="0" w:color="000000"/>
              <w:left w:val="nil"/>
              <w:bottom w:val="single" w:sz="4" w:space="0" w:color="000000"/>
              <w:right w:val="single" w:sz="4" w:space="0" w:color="000000"/>
            </w:tcBorders>
            <w:vAlign w:val="center"/>
          </w:tcPr>
          <w:p w14:paraId="3D42F93D" w14:textId="4C82F566" w:rsidR="008E7D9E" w:rsidRPr="00666914" w:rsidRDefault="00ED49C2" w:rsidP="00ED49C2">
            <w:pPr>
              <w:spacing w:after="0"/>
              <w:jc w:val="center"/>
              <w:rPr>
                <w:rFonts w:eastAsia="Arial Narrow" w:cs="Arial Narrow"/>
                <w:color w:val="000000"/>
                <w:sz w:val="20"/>
                <w:szCs w:val="20"/>
              </w:rPr>
            </w:pPr>
            <w:r w:rsidRPr="00666914">
              <w:rPr>
                <w:rFonts w:eastAsia="Arial Narrow" w:cs="Arial Narrow"/>
                <w:color w:val="000000"/>
                <w:sz w:val="20"/>
                <w:szCs w:val="20"/>
              </w:rPr>
              <w:t>-</w:t>
            </w:r>
          </w:p>
        </w:tc>
        <w:tc>
          <w:tcPr>
            <w:tcW w:w="638" w:type="dxa"/>
            <w:tcBorders>
              <w:top w:val="nil"/>
              <w:left w:val="single" w:sz="4" w:space="0" w:color="000000"/>
              <w:bottom w:val="single" w:sz="4" w:space="0" w:color="000000"/>
              <w:right w:val="single" w:sz="4" w:space="0" w:color="000000"/>
            </w:tcBorders>
            <w:shd w:val="clear" w:color="auto" w:fill="FFC000"/>
            <w:vAlign w:val="bottom"/>
          </w:tcPr>
          <w:p w14:paraId="4D6067FC"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FF0000"/>
            <w:vAlign w:val="bottom"/>
          </w:tcPr>
          <w:p w14:paraId="06820BB0"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FF0000"/>
            <w:vAlign w:val="bottom"/>
          </w:tcPr>
          <w:p w14:paraId="460709F2"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8" w:space="0" w:color="000000"/>
            </w:tcBorders>
            <w:shd w:val="clear" w:color="auto" w:fill="FFC000"/>
            <w:vAlign w:val="bottom"/>
          </w:tcPr>
          <w:p w14:paraId="17156CCC"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6A1ACF62" w14:textId="77777777" w:rsidTr="00ED49C2">
        <w:trPr>
          <w:trHeight w:val="573"/>
        </w:trPr>
        <w:tc>
          <w:tcPr>
            <w:tcW w:w="416" w:type="dxa"/>
            <w:tcBorders>
              <w:top w:val="nil"/>
              <w:left w:val="single" w:sz="8" w:space="0" w:color="000000"/>
              <w:bottom w:val="single" w:sz="4" w:space="0" w:color="000000"/>
              <w:right w:val="single" w:sz="4" w:space="0" w:color="000000"/>
            </w:tcBorders>
            <w:shd w:val="clear" w:color="auto" w:fill="auto"/>
            <w:vAlign w:val="center"/>
          </w:tcPr>
          <w:p w14:paraId="6B6200C1"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21</w:t>
            </w:r>
          </w:p>
        </w:tc>
        <w:tc>
          <w:tcPr>
            <w:tcW w:w="3123" w:type="dxa"/>
            <w:gridSpan w:val="2"/>
            <w:tcBorders>
              <w:top w:val="nil"/>
              <w:left w:val="nil"/>
              <w:bottom w:val="single" w:sz="4" w:space="0" w:color="000000"/>
              <w:right w:val="single" w:sz="4" w:space="0" w:color="000000"/>
            </w:tcBorders>
            <w:shd w:val="clear" w:color="auto" w:fill="auto"/>
          </w:tcPr>
          <w:p w14:paraId="29C3EC8B"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Upraviť existujúcu prioritizáciu projektov na základe kvantifikácie čo najväčšieho množstva hodnotiacich kritérií</w:t>
            </w:r>
          </w:p>
        </w:tc>
        <w:tc>
          <w:tcPr>
            <w:tcW w:w="1418" w:type="dxa"/>
            <w:tcBorders>
              <w:top w:val="nil"/>
              <w:left w:val="nil"/>
              <w:bottom w:val="single" w:sz="4" w:space="0" w:color="000000"/>
              <w:right w:val="single" w:sz="4" w:space="0" w:color="000000"/>
            </w:tcBorders>
            <w:shd w:val="clear" w:color="auto" w:fill="auto"/>
          </w:tcPr>
          <w:p w14:paraId="5C5650DC" w14:textId="77777777" w:rsidR="008E7D9E" w:rsidRPr="00666914" w:rsidRDefault="008E7D9E">
            <w:pPr>
              <w:spacing w:after="0"/>
              <w:jc w:val="center"/>
              <w:rPr>
                <w:rFonts w:eastAsia="Arial Narrow" w:cs="Arial Narrow"/>
                <w:color w:val="000000"/>
                <w:sz w:val="20"/>
                <w:szCs w:val="20"/>
              </w:rPr>
            </w:pPr>
          </w:p>
          <w:p w14:paraId="7668E2E2"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SVP / VÚVH</w:t>
            </w:r>
          </w:p>
        </w:tc>
        <w:tc>
          <w:tcPr>
            <w:tcW w:w="850" w:type="dxa"/>
            <w:tcBorders>
              <w:top w:val="nil"/>
              <w:left w:val="nil"/>
              <w:bottom w:val="single" w:sz="4" w:space="0" w:color="000000"/>
              <w:right w:val="single" w:sz="4" w:space="0" w:color="000000"/>
            </w:tcBorders>
            <w:shd w:val="clear" w:color="auto" w:fill="auto"/>
          </w:tcPr>
          <w:p w14:paraId="30D4E593" w14:textId="77777777" w:rsidR="008E7D9E" w:rsidRPr="00666914" w:rsidRDefault="008E7D9E">
            <w:pPr>
              <w:spacing w:after="0"/>
              <w:jc w:val="center"/>
              <w:rPr>
                <w:rFonts w:eastAsia="Arial Narrow" w:cs="Arial Narrow"/>
              </w:rPr>
            </w:pPr>
          </w:p>
          <w:p w14:paraId="7277FA69"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2020</w:t>
            </w:r>
          </w:p>
        </w:tc>
        <w:tc>
          <w:tcPr>
            <w:tcW w:w="992" w:type="dxa"/>
            <w:tcBorders>
              <w:top w:val="single" w:sz="4" w:space="0" w:color="000000"/>
              <w:left w:val="nil"/>
              <w:bottom w:val="single" w:sz="4" w:space="0" w:color="000000"/>
              <w:right w:val="single" w:sz="4" w:space="0" w:color="000000"/>
            </w:tcBorders>
            <w:vAlign w:val="center"/>
          </w:tcPr>
          <w:p w14:paraId="7FCE8F51"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w:t>
            </w:r>
          </w:p>
        </w:tc>
        <w:tc>
          <w:tcPr>
            <w:tcW w:w="638" w:type="dxa"/>
            <w:tcBorders>
              <w:top w:val="nil"/>
              <w:left w:val="single" w:sz="4" w:space="0" w:color="000000"/>
              <w:bottom w:val="single" w:sz="4" w:space="0" w:color="000000"/>
              <w:right w:val="single" w:sz="4" w:space="0" w:color="000000"/>
            </w:tcBorders>
            <w:shd w:val="clear" w:color="auto" w:fill="A6A6A6"/>
            <w:vAlign w:val="bottom"/>
          </w:tcPr>
          <w:p w14:paraId="325D1C53"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FF0000"/>
            <w:vAlign w:val="bottom"/>
          </w:tcPr>
          <w:p w14:paraId="39146668"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FF0000"/>
            <w:vAlign w:val="bottom"/>
          </w:tcPr>
          <w:p w14:paraId="5EA97DD8"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8" w:space="0" w:color="000000"/>
            </w:tcBorders>
            <w:shd w:val="clear" w:color="auto" w:fill="FF0000"/>
            <w:vAlign w:val="bottom"/>
          </w:tcPr>
          <w:p w14:paraId="274DAE0C"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64A790B4" w14:textId="77777777" w:rsidTr="00ED49C2">
        <w:trPr>
          <w:trHeight w:val="855"/>
        </w:trPr>
        <w:tc>
          <w:tcPr>
            <w:tcW w:w="416" w:type="dxa"/>
            <w:tcBorders>
              <w:top w:val="nil"/>
              <w:left w:val="single" w:sz="8" w:space="0" w:color="000000"/>
              <w:bottom w:val="single" w:sz="4" w:space="0" w:color="000000"/>
              <w:right w:val="single" w:sz="4" w:space="0" w:color="000000"/>
            </w:tcBorders>
            <w:shd w:val="clear" w:color="auto" w:fill="auto"/>
            <w:vAlign w:val="center"/>
          </w:tcPr>
          <w:p w14:paraId="2192D851"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22</w:t>
            </w:r>
          </w:p>
        </w:tc>
        <w:tc>
          <w:tcPr>
            <w:tcW w:w="3123" w:type="dxa"/>
            <w:gridSpan w:val="2"/>
            <w:tcBorders>
              <w:top w:val="nil"/>
              <w:left w:val="nil"/>
              <w:bottom w:val="single" w:sz="4" w:space="0" w:color="000000"/>
              <w:right w:val="single" w:sz="4" w:space="0" w:color="000000"/>
            </w:tcBorders>
            <w:shd w:val="clear" w:color="auto" w:fill="auto"/>
            <w:vAlign w:val="center"/>
          </w:tcPr>
          <w:p w14:paraId="19815C9E"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Elektronicky zbierať dáta o spracovateľských zariadeniach a zberných dvoroch s pravidelnou aktualizáciou (kapacita, množstvo odpadu)</w:t>
            </w:r>
          </w:p>
        </w:tc>
        <w:tc>
          <w:tcPr>
            <w:tcW w:w="1418" w:type="dxa"/>
            <w:tcBorders>
              <w:top w:val="nil"/>
              <w:left w:val="nil"/>
              <w:bottom w:val="single" w:sz="4" w:space="0" w:color="000000"/>
              <w:right w:val="single" w:sz="4" w:space="0" w:color="000000"/>
            </w:tcBorders>
            <w:shd w:val="clear" w:color="auto" w:fill="auto"/>
            <w:vAlign w:val="center"/>
          </w:tcPr>
          <w:p w14:paraId="12CACDED"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w:t>
            </w:r>
          </w:p>
        </w:tc>
        <w:tc>
          <w:tcPr>
            <w:tcW w:w="850" w:type="dxa"/>
            <w:tcBorders>
              <w:top w:val="nil"/>
              <w:left w:val="nil"/>
              <w:bottom w:val="single" w:sz="4" w:space="0" w:color="000000"/>
              <w:right w:val="single" w:sz="4" w:space="0" w:color="000000"/>
            </w:tcBorders>
            <w:shd w:val="clear" w:color="auto" w:fill="auto"/>
            <w:vAlign w:val="center"/>
          </w:tcPr>
          <w:p w14:paraId="094ABD3D"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w:t>
            </w:r>
          </w:p>
        </w:tc>
        <w:tc>
          <w:tcPr>
            <w:tcW w:w="992" w:type="dxa"/>
            <w:tcBorders>
              <w:top w:val="single" w:sz="4" w:space="0" w:color="000000"/>
              <w:left w:val="nil"/>
              <w:bottom w:val="single" w:sz="4" w:space="0" w:color="000000"/>
              <w:right w:val="single" w:sz="4" w:space="0" w:color="000000"/>
            </w:tcBorders>
            <w:vAlign w:val="center"/>
          </w:tcPr>
          <w:p w14:paraId="134A9339"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12/2019</w:t>
            </w:r>
          </w:p>
        </w:tc>
        <w:tc>
          <w:tcPr>
            <w:tcW w:w="638" w:type="dxa"/>
            <w:tcBorders>
              <w:top w:val="nil"/>
              <w:left w:val="single" w:sz="4" w:space="0" w:color="000000"/>
              <w:bottom w:val="single" w:sz="4" w:space="0" w:color="000000"/>
              <w:right w:val="single" w:sz="4" w:space="0" w:color="000000"/>
            </w:tcBorders>
            <w:shd w:val="clear" w:color="auto" w:fill="FFC000"/>
            <w:vAlign w:val="bottom"/>
          </w:tcPr>
          <w:p w14:paraId="2EFE9ED1"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FFC000"/>
            <w:vAlign w:val="bottom"/>
          </w:tcPr>
          <w:p w14:paraId="791F78BC"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FFC000"/>
            <w:vAlign w:val="bottom"/>
          </w:tcPr>
          <w:p w14:paraId="4767C912"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8" w:space="0" w:color="000000"/>
            </w:tcBorders>
            <w:shd w:val="clear" w:color="auto" w:fill="FFC000"/>
            <w:vAlign w:val="bottom"/>
          </w:tcPr>
          <w:p w14:paraId="73998C48"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604E58E4" w14:textId="77777777" w:rsidTr="00ED49C2">
        <w:trPr>
          <w:trHeight w:val="573"/>
        </w:trPr>
        <w:tc>
          <w:tcPr>
            <w:tcW w:w="416" w:type="dxa"/>
            <w:tcBorders>
              <w:top w:val="nil"/>
              <w:left w:val="single" w:sz="8" w:space="0" w:color="000000"/>
              <w:bottom w:val="single" w:sz="4" w:space="0" w:color="000000"/>
              <w:right w:val="single" w:sz="4" w:space="0" w:color="000000"/>
            </w:tcBorders>
            <w:shd w:val="clear" w:color="auto" w:fill="auto"/>
            <w:vAlign w:val="center"/>
          </w:tcPr>
          <w:p w14:paraId="0B672E9F"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23</w:t>
            </w:r>
          </w:p>
        </w:tc>
        <w:tc>
          <w:tcPr>
            <w:tcW w:w="3123" w:type="dxa"/>
            <w:gridSpan w:val="2"/>
            <w:tcBorders>
              <w:top w:val="nil"/>
              <w:left w:val="nil"/>
              <w:bottom w:val="single" w:sz="4" w:space="0" w:color="000000"/>
              <w:right w:val="single" w:sz="4" w:space="0" w:color="000000"/>
            </w:tcBorders>
            <w:shd w:val="clear" w:color="auto" w:fill="auto"/>
            <w:vAlign w:val="center"/>
          </w:tcPr>
          <w:p w14:paraId="10744C73"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Aktualizovať metodiku CBA z OP ŽP, aby bola v súlade s Rámcom hodnotenia verejných financií, bola záväzná pre všetky investície bez ohľadu na zdroj financovania a špecifikovala parametre pre sektor životného prostredia</w:t>
            </w:r>
          </w:p>
        </w:tc>
        <w:tc>
          <w:tcPr>
            <w:tcW w:w="1418" w:type="dxa"/>
            <w:tcBorders>
              <w:top w:val="nil"/>
              <w:left w:val="nil"/>
              <w:bottom w:val="single" w:sz="4" w:space="0" w:color="000000"/>
              <w:right w:val="single" w:sz="4" w:space="0" w:color="000000"/>
            </w:tcBorders>
            <w:shd w:val="clear" w:color="auto" w:fill="auto"/>
            <w:vAlign w:val="center"/>
          </w:tcPr>
          <w:p w14:paraId="58A5A494"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w:t>
            </w:r>
          </w:p>
        </w:tc>
        <w:tc>
          <w:tcPr>
            <w:tcW w:w="850" w:type="dxa"/>
            <w:tcBorders>
              <w:top w:val="nil"/>
              <w:left w:val="nil"/>
              <w:bottom w:val="single" w:sz="4" w:space="0" w:color="000000"/>
              <w:right w:val="single" w:sz="4" w:space="0" w:color="000000"/>
            </w:tcBorders>
            <w:shd w:val="clear" w:color="auto" w:fill="auto"/>
            <w:vAlign w:val="center"/>
          </w:tcPr>
          <w:p w14:paraId="65A7A292"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w:t>
            </w:r>
          </w:p>
        </w:tc>
        <w:tc>
          <w:tcPr>
            <w:tcW w:w="992" w:type="dxa"/>
            <w:tcBorders>
              <w:top w:val="single" w:sz="4" w:space="0" w:color="000000"/>
              <w:left w:val="nil"/>
              <w:bottom w:val="single" w:sz="4" w:space="0" w:color="000000"/>
              <w:right w:val="single" w:sz="4" w:space="0" w:color="000000"/>
            </w:tcBorders>
            <w:vAlign w:val="center"/>
          </w:tcPr>
          <w:p w14:paraId="6B14AEF3"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06/2019</w:t>
            </w:r>
          </w:p>
        </w:tc>
        <w:tc>
          <w:tcPr>
            <w:tcW w:w="638" w:type="dxa"/>
            <w:tcBorders>
              <w:top w:val="nil"/>
              <w:left w:val="single" w:sz="4" w:space="0" w:color="000000"/>
              <w:bottom w:val="single" w:sz="4" w:space="0" w:color="000000"/>
              <w:right w:val="single" w:sz="4" w:space="0" w:color="000000"/>
            </w:tcBorders>
            <w:shd w:val="clear" w:color="auto" w:fill="FFC000"/>
            <w:vAlign w:val="bottom"/>
          </w:tcPr>
          <w:p w14:paraId="1388A068"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92D050"/>
            <w:vAlign w:val="bottom"/>
          </w:tcPr>
          <w:p w14:paraId="7B7E80A2"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AEAAAA"/>
            <w:vAlign w:val="bottom"/>
          </w:tcPr>
          <w:p w14:paraId="3F19B24D"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8" w:space="0" w:color="000000"/>
            </w:tcBorders>
            <w:shd w:val="clear" w:color="auto" w:fill="AEAAAA"/>
            <w:vAlign w:val="bottom"/>
          </w:tcPr>
          <w:p w14:paraId="57D9F9BB"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4686CE9F" w14:textId="77777777">
        <w:trPr>
          <w:trHeight w:val="475"/>
        </w:trPr>
        <w:tc>
          <w:tcPr>
            <w:tcW w:w="567" w:type="dxa"/>
            <w:gridSpan w:val="2"/>
            <w:tcBorders>
              <w:top w:val="nil"/>
              <w:left w:val="single" w:sz="8" w:space="0" w:color="000000"/>
              <w:bottom w:val="single" w:sz="4" w:space="0" w:color="000000"/>
            </w:tcBorders>
          </w:tcPr>
          <w:p w14:paraId="38B51A7D" w14:textId="77777777" w:rsidR="008E7D9E" w:rsidRPr="00666914" w:rsidRDefault="008E7D9E">
            <w:pPr>
              <w:spacing w:after="0"/>
              <w:jc w:val="center"/>
              <w:rPr>
                <w:rFonts w:eastAsia="Arial Narrow" w:cs="Arial Narrow"/>
                <w:b/>
                <w:color w:val="000000"/>
                <w:sz w:val="20"/>
                <w:szCs w:val="20"/>
              </w:rPr>
            </w:pPr>
          </w:p>
        </w:tc>
        <w:tc>
          <w:tcPr>
            <w:tcW w:w="8784" w:type="dxa"/>
            <w:gridSpan w:val="8"/>
            <w:tcBorders>
              <w:top w:val="nil"/>
              <w:bottom w:val="single" w:sz="4" w:space="0" w:color="000000"/>
              <w:right w:val="single" w:sz="8" w:space="0" w:color="000000"/>
            </w:tcBorders>
            <w:shd w:val="clear" w:color="auto" w:fill="auto"/>
            <w:vAlign w:val="center"/>
          </w:tcPr>
          <w:p w14:paraId="16C60A53"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ANALYTICKÉ ÚLOHY</w:t>
            </w:r>
          </w:p>
        </w:tc>
      </w:tr>
      <w:tr w:rsidR="008E7D9E" w:rsidRPr="00666914" w14:paraId="582924D9" w14:textId="77777777" w:rsidTr="00ED49C2">
        <w:trPr>
          <w:trHeight w:val="573"/>
        </w:trPr>
        <w:tc>
          <w:tcPr>
            <w:tcW w:w="416" w:type="dxa"/>
            <w:tcBorders>
              <w:top w:val="nil"/>
              <w:left w:val="single" w:sz="8" w:space="0" w:color="000000"/>
              <w:bottom w:val="single" w:sz="4" w:space="0" w:color="000000"/>
              <w:right w:val="single" w:sz="4" w:space="0" w:color="000000"/>
            </w:tcBorders>
            <w:shd w:val="clear" w:color="auto" w:fill="auto"/>
            <w:vAlign w:val="center"/>
          </w:tcPr>
          <w:p w14:paraId="3CB173A4"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24</w:t>
            </w:r>
          </w:p>
        </w:tc>
        <w:tc>
          <w:tcPr>
            <w:tcW w:w="3123" w:type="dxa"/>
            <w:gridSpan w:val="2"/>
            <w:tcBorders>
              <w:top w:val="nil"/>
              <w:left w:val="nil"/>
              <w:bottom w:val="single" w:sz="4" w:space="0" w:color="000000"/>
              <w:right w:val="single" w:sz="4" w:space="0" w:color="000000"/>
            </w:tcBorders>
            <w:shd w:val="clear" w:color="auto" w:fill="auto"/>
            <w:vAlign w:val="center"/>
          </w:tcPr>
          <w:p w14:paraId="7EAE3829"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EF - Vypracovať benchmarky pre jednotlivé oblasti podpory</w:t>
            </w:r>
          </w:p>
        </w:tc>
        <w:tc>
          <w:tcPr>
            <w:tcW w:w="1418" w:type="dxa"/>
            <w:tcBorders>
              <w:top w:val="nil"/>
              <w:left w:val="nil"/>
              <w:bottom w:val="single" w:sz="4" w:space="0" w:color="000000"/>
              <w:right w:val="single" w:sz="4" w:space="0" w:color="000000"/>
            </w:tcBorders>
            <w:shd w:val="clear" w:color="auto" w:fill="auto"/>
            <w:vAlign w:val="center"/>
          </w:tcPr>
          <w:p w14:paraId="7CAD7813"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SR/EF</w:t>
            </w:r>
          </w:p>
          <w:p w14:paraId="25E4626C"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IEP</w:t>
            </w:r>
          </w:p>
        </w:tc>
        <w:tc>
          <w:tcPr>
            <w:tcW w:w="850" w:type="dxa"/>
            <w:tcBorders>
              <w:top w:val="nil"/>
              <w:left w:val="nil"/>
              <w:bottom w:val="single" w:sz="4" w:space="0" w:color="000000"/>
              <w:right w:val="single" w:sz="4" w:space="0" w:color="000000"/>
            </w:tcBorders>
            <w:shd w:val="clear" w:color="auto" w:fill="auto"/>
            <w:vAlign w:val="center"/>
          </w:tcPr>
          <w:p w14:paraId="45A083E7"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w:t>
            </w:r>
          </w:p>
        </w:tc>
        <w:tc>
          <w:tcPr>
            <w:tcW w:w="992" w:type="dxa"/>
            <w:tcBorders>
              <w:top w:val="nil"/>
              <w:left w:val="nil"/>
              <w:bottom w:val="single" w:sz="4" w:space="0" w:color="000000"/>
              <w:right w:val="single" w:sz="4" w:space="0" w:color="000000"/>
            </w:tcBorders>
            <w:vAlign w:val="center"/>
          </w:tcPr>
          <w:p w14:paraId="39F11760"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06/2019</w:t>
            </w:r>
          </w:p>
        </w:tc>
        <w:tc>
          <w:tcPr>
            <w:tcW w:w="638" w:type="dxa"/>
            <w:tcBorders>
              <w:top w:val="nil"/>
              <w:left w:val="single" w:sz="4" w:space="0" w:color="000000"/>
              <w:bottom w:val="single" w:sz="4" w:space="0" w:color="000000"/>
              <w:right w:val="single" w:sz="4" w:space="0" w:color="000000"/>
            </w:tcBorders>
            <w:shd w:val="clear" w:color="auto" w:fill="92D050"/>
            <w:vAlign w:val="bottom"/>
          </w:tcPr>
          <w:p w14:paraId="711A8B46"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92D050"/>
            <w:vAlign w:val="bottom"/>
          </w:tcPr>
          <w:p w14:paraId="225DEE9F"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AEAAAA"/>
            <w:vAlign w:val="bottom"/>
          </w:tcPr>
          <w:p w14:paraId="08981CB6"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8" w:space="0" w:color="000000"/>
            </w:tcBorders>
            <w:shd w:val="clear" w:color="auto" w:fill="AEAAAA"/>
            <w:vAlign w:val="bottom"/>
          </w:tcPr>
          <w:p w14:paraId="4E922884"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5C0EE7EF" w14:textId="77777777" w:rsidTr="00ED49C2">
        <w:trPr>
          <w:trHeight w:val="394"/>
        </w:trPr>
        <w:tc>
          <w:tcPr>
            <w:tcW w:w="416" w:type="dxa"/>
            <w:tcBorders>
              <w:top w:val="nil"/>
              <w:left w:val="single" w:sz="8" w:space="0" w:color="000000"/>
              <w:bottom w:val="single" w:sz="4" w:space="0" w:color="000000"/>
              <w:right w:val="single" w:sz="4" w:space="0" w:color="000000"/>
            </w:tcBorders>
            <w:shd w:val="clear" w:color="auto" w:fill="auto"/>
            <w:vAlign w:val="center"/>
          </w:tcPr>
          <w:p w14:paraId="3D776AF4"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25</w:t>
            </w:r>
          </w:p>
        </w:tc>
        <w:tc>
          <w:tcPr>
            <w:tcW w:w="3123" w:type="dxa"/>
            <w:gridSpan w:val="2"/>
            <w:tcBorders>
              <w:top w:val="nil"/>
              <w:left w:val="nil"/>
              <w:bottom w:val="single" w:sz="4" w:space="0" w:color="000000"/>
              <w:right w:val="single" w:sz="4" w:space="0" w:color="000000"/>
            </w:tcBorders>
            <w:shd w:val="clear" w:color="auto" w:fill="auto"/>
            <w:vAlign w:val="center"/>
          </w:tcPr>
          <w:p w14:paraId="294EEF7A"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Vykonať audit VV, š.p.</w:t>
            </w:r>
          </w:p>
        </w:tc>
        <w:tc>
          <w:tcPr>
            <w:tcW w:w="1418" w:type="dxa"/>
            <w:tcBorders>
              <w:top w:val="nil"/>
              <w:left w:val="nil"/>
              <w:bottom w:val="single" w:sz="4" w:space="0" w:color="000000"/>
              <w:right w:val="single" w:sz="4" w:space="0" w:color="000000"/>
            </w:tcBorders>
            <w:shd w:val="clear" w:color="auto" w:fill="auto"/>
            <w:vAlign w:val="center"/>
          </w:tcPr>
          <w:p w14:paraId="5445F72E"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w:t>
            </w:r>
          </w:p>
        </w:tc>
        <w:tc>
          <w:tcPr>
            <w:tcW w:w="850" w:type="dxa"/>
            <w:tcBorders>
              <w:top w:val="nil"/>
              <w:left w:val="nil"/>
              <w:bottom w:val="single" w:sz="4" w:space="0" w:color="000000"/>
              <w:right w:val="single" w:sz="4" w:space="0" w:color="000000"/>
            </w:tcBorders>
            <w:shd w:val="clear" w:color="auto" w:fill="auto"/>
            <w:vAlign w:val="center"/>
          </w:tcPr>
          <w:p w14:paraId="1B289414"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w:t>
            </w:r>
          </w:p>
        </w:tc>
        <w:tc>
          <w:tcPr>
            <w:tcW w:w="992" w:type="dxa"/>
            <w:tcBorders>
              <w:top w:val="single" w:sz="4" w:space="0" w:color="000000"/>
              <w:left w:val="nil"/>
              <w:bottom w:val="single" w:sz="4" w:space="0" w:color="000000"/>
              <w:right w:val="single" w:sz="4" w:space="0" w:color="000000"/>
            </w:tcBorders>
            <w:vAlign w:val="center"/>
          </w:tcPr>
          <w:p w14:paraId="7EC57A1C"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12/2019</w:t>
            </w:r>
          </w:p>
        </w:tc>
        <w:tc>
          <w:tcPr>
            <w:tcW w:w="638" w:type="dxa"/>
            <w:tcBorders>
              <w:top w:val="nil"/>
              <w:left w:val="single" w:sz="4" w:space="0" w:color="000000"/>
              <w:bottom w:val="single" w:sz="4" w:space="0" w:color="000000"/>
              <w:right w:val="single" w:sz="4" w:space="0" w:color="000000"/>
            </w:tcBorders>
            <w:shd w:val="clear" w:color="auto" w:fill="FF0000"/>
            <w:vAlign w:val="bottom"/>
          </w:tcPr>
          <w:p w14:paraId="78EA82DF"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FF0000"/>
            <w:vAlign w:val="bottom"/>
          </w:tcPr>
          <w:p w14:paraId="57ABAB35"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C00000"/>
            <w:vAlign w:val="bottom"/>
          </w:tcPr>
          <w:p w14:paraId="6FD3F661"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8" w:space="0" w:color="000000"/>
            </w:tcBorders>
            <w:shd w:val="clear" w:color="auto" w:fill="92D050"/>
            <w:vAlign w:val="bottom"/>
          </w:tcPr>
          <w:p w14:paraId="319FD72F"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1C511038" w14:textId="77777777" w:rsidTr="00ED49C2">
        <w:trPr>
          <w:trHeight w:val="573"/>
        </w:trPr>
        <w:tc>
          <w:tcPr>
            <w:tcW w:w="416" w:type="dxa"/>
            <w:tcBorders>
              <w:top w:val="nil"/>
              <w:left w:val="single" w:sz="8" w:space="0" w:color="000000"/>
              <w:bottom w:val="single" w:sz="4" w:space="0" w:color="000000"/>
              <w:right w:val="single" w:sz="4" w:space="0" w:color="000000"/>
            </w:tcBorders>
            <w:shd w:val="clear" w:color="auto" w:fill="auto"/>
            <w:vAlign w:val="center"/>
          </w:tcPr>
          <w:p w14:paraId="42E4AF10"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26</w:t>
            </w:r>
          </w:p>
        </w:tc>
        <w:tc>
          <w:tcPr>
            <w:tcW w:w="3123" w:type="dxa"/>
            <w:gridSpan w:val="2"/>
            <w:tcBorders>
              <w:top w:val="nil"/>
              <w:left w:val="nil"/>
              <w:bottom w:val="single" w:sz="4" w:space="0" w:color="000000"/>
              <w:right w:val="single" w:sz="4" w:space="0" w:color="000000"/>
            </w:tcBorders>
            <w:shd w:val="clear" w:color="auto" w:fill="auto"/>
            <w:vAlign w:val="center"/>
          </w:tcPr>
          <w:p w14:paraId="5A1CE096"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Analyzovať príčiny povodní</w:t>
            </w:r>
          </w:p>
        </w:tc>
        <w:tc>
          <w:tcPr>
            <w:tcW w:w="1418" w:type="dxa"/>
            <w:tcBorders>
              <w:top w:val="nil"/>
              <w:left w:val="nil"/>
              <w:bottom w:val="single" w:sz="4" w:space="0" w:color="000000"/>
              <w:right w:val="single" w:sz="4" w:space="0" w:color="000000"/>
            </w:tcBorders>
            <w:shd w:val="clear" w:color="auto" w:fill="auto"/>
            <w:vAlign w:val="center"/>
          </w:tcPr>
          <w:p w14:paraId="20E0CA4A"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w:t>
            </w:r>
          </w:p>
          <w:p w14:paraId="6ABD2CA8"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SVP, SHMÚ, VÚVH</w:t>
            </w:r>
          </w:p>
        </w:tc>
        <w:tc>
          <w:tcPr>
            <w:tcW w:w="850" w:type="dxa"/>
            <w:tcBorders>
              <w:top w:val="nil"/>
              <w:left w:val="nil"/>
              <w:bottom w:val="single" w:sz="4" w:space="0" w:color="000000"/>
              <w:right w:val="single" w:sz="4" w:space="0" w:color="000000"/>
            </w:tcBorders>
            <w:shd w:val="clear" w:color="auto" w:fill="auto"/>
            <w:vAlign w:val="center"/>
          </w:tcPr>
          <w:p w14:paraId="76671693"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2020</w:t>
            </w:r>
          </w:p>
        </w:tc>
        <w:tc>
          <w:tcPr>
            <w:tcW w:w="992" w:type="dxa"/>
            <w:tcBorders>
              <w:top w:val="single" w:sz="4" w:space="0" w:color="000000"/>
              <w:left w:val="nil"/>
              <w:bottom w:val="single" w:sz="4" w:space="0" w:color="000000"/>
              <w:right w:val="single" w:sz="4" w:space="0" w:color="000000"/>
            </w:tcBorders>
            <w:vAlign w:val="center"/>
          </w:tcPr>
          <w:p w14:paraId="6BD9F4AB" w14:textId="445B5E75" w:rsidR="008E7D9E" w:rsidRPr="00666914" w:rsidRDefault="00ED49C2" w:rsidP="00ED49C2">
            <w:pPr>
              <w:spacing w:after="0"/>
              <w:jc w:val="center"/>
              <w:rPr>
                <w:rFonts w:eastAsia="Arial Narrow" w:cs="Arial Narrow"/>
                <w:color w:val="000000"/>
                <w:sz w:val="20"/>
                <w:szCs w:val="20"/>
              </w:rPr>
            </w:pPr>
            <w:r w:rsidRPr="00666914">
              <w:rPr>
                <w:rFonts w:eastAsia="Arial Narrow" w:cs="Arial Narrow"/>
                <w:color w:val="000000"/>
                <w:sz w:val="20"/>
                <w:szCs w:val="20"/>
              </w:rPr>
              <w:t>-</w:t>
            </w:r>
          </w:p>
        </w:tc>
        <w:tc>
          <w:tcPr>
            <w:tcW w:w="638" w:type="dxa"/>
            <w:tcBorders>
              <w:top w:val="nil"/>
              <w:left w:val="single" w:sz="4" w:space="0" w:color="000000"/>
              <w:bottom w:val="single" w:sz="4" w:space="0" w:color="000000"/>
              <w:right w:val="single" w:sz="4" w:space="0" w:color="000000"/>
            </w:tcBorders>
            <w:shd w:val="clear" w:color="auto" w:fill="A6A6A6"/>
            <w:vAlign w:val="bottom"/>
          </w:tcPr>
          <w:p w14:paraId="238C3A49"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FF0000"/>
            <w:vAlign w:val="bottom"/>
          </w:tcPr>
          <w:p w14:paraId="55A4C73A"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4" w:space="0" w:color="000000"/>
            </w:tcBorders>
            <w:shd w:val="clear" w:color="auto" w:fill="AEAAAA"/>
            <w:vAlign w:val="bottom"/>
          </w:tcPr>
          <w:p w14:paraId="2D7BEB91"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000000"/>
              <w:right w:val="single" w:sz="8" w:space="0" w:color="000000"/>
            </w:tcBorders>
            <w:shd w:val="clear" w:color="auto" w:fill="FF0000"/>
            <w:vAlign w:val="bottom"/>
          </w:tcPr>
          <w:p w14:paraId="0608D7F2"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6B88840A" w14:textId="77777777" w:rsidTr="00ED49C2">
        <w:trPr>
          <w:trHeight w:val="480"/>
        </w:trPr>
        <w:tc>
          <w:tcPr>
            <w:tcW w:w="416" w:type="dxa"/>
            <w:tcBorders>
              <w:top w:val="nil"/>
              <w:left w:val="single" w:sz="8" w:space="0" w:color="000000"/>
              <w:bottom w:val="single" w:sz="4" w:space="0" w:color="auto"/>
              <w:right w:val="single" w:sz="4" w:space="0" w:color="000000"/>
            </w:tcBorders>
            <w:shd w:val="clear" w:color="auto" w:fill="auto"/>
            <w:vAlign w:val="center"/>
          </w:tcPr>
          <w:p w14:paraId="6CE7FBBF"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27</w:t>
            </w:r>
          </w:p>
        </w:tc>
        <w:tc>
          <w:tcPr>
            <w:tcW w:w="3123" w:type="dxa"/>
            <w:gridSpan w:val="2"/>
            <w:tcBorders>
              <w:top w:val="nil"/>
              <w:left w:val="nil"/>
              <w:bottom w:val="single" w:sz="4" w:space="0" w:color="auto"/>
              <w:right w:val="single" w:sz="4" w:space="0" w:color="000000"/>
            </w:tcBorders>
            <w:shd w:val="clear" w:color="auto" w:fill="auto"/>
            <w:vAlign w:val="center"/>
          </w:tcPr>
          <w:p w14:paraId="1AB1D290"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Vyhodnotiť vplyvy jednotlivých typov zelených a sivých opatrení na protipovodňové a iné funkcie v krajine</w:t>
            </w:r>
          </w:p>
        </w:tc>
        <w:tc>
          <w:tcPr>
            <w:tcW w:w="1418" w:type="dxa"/>
            <w:tcBorders>
              <w:top w:val="nil"/>
              <w:left w:val="nil"/>
              <w:bottom w:val="single" w:sz="4" w:space="0" w:color="auto"/>
              <w:right w:val="single" w:sz="4" w:space="0" w:color="000000"/>
            </w:tcBorders>
            <w:shd w:val="clear" w:color="auto" w:fill="auto"/>
            <w:vAlign w:val="center"/>
          </w:tcPr>
          <w:p w14:paraId="32E7A1AD"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w:t>
            </w:r>
          </w:p>
        </w:tc>
        <w:tc>
          <w:tcPr>
            <w:tcW w:w="850" w:type="dxa"/>
            <w:tcBorders>
              <w:top w:val="nil"/>
              <w:left w:val="nil"/>
              <w:bottom w:val="single" w:sz="4" w:space="0" w:color="auto"/>
              <w:right w:val="single" w:sz="4" w:space="0" w:color="000000"/>
            </w:tcBorders>
            <w:shd w:val="clear" w:color="auto" w:fill="auto"/>
            <w:vAlign w:val="center"/>
          </w:tcPr>
          <w:p w14:paraId="7B3228A2"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2020</w:t>
            </w:r>
          </w:p>
        </w:tc>
        <w:tc>
          <w:tcPr>
            <w:tcW w:w="992" w:type="dxa"/>
            <w:tcBorders>
              <w:top w:val="single" w:sz="4" w:space="0" w:color="000000"/>
              <w:left w:val="nil"/>
              <w:bottom w:val="single" w:sz="4" w:space="0" w:color="auto"/>
              <w:right w:val="single" w:sz="4" w:space="0" w:color="000000"/>
            </w:tcBorders>
            <w:vAlign w:val="center"/>
          </w:tcPr>
          <w:p w14:paraId="4E4DD74C"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w:t>
            </w:r>
          </w:p>
        </w:tc>
        <w:tc>
          <w:tcPr>
            <w:tcW w:w="638" w:type="dxa"/>
            <w:tcBorders>
              <w:top w:val="nil"/>
              <w:left w:val="single" w:sz="4" w:space="0" w:color="000000"/>
              <w:bottom w:val="single" w:sz="4" w:space="0" w:color="auto"/>
              <w:right w:val="single" w:sz="4" w:space="0" w:color="000000"/>
            </w:tcBorders>
            <w:shd w:val="clear" w:color="auto" w:fill="A6A6A6"/>
            <w:vAlign w:val="bottom"/>
          </w:tcPr>
          <w:p w14:paraId="1B494F9C"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auto"/>
              <w:right w:val="single" w:sz="4" w:space="0" w:color="000000"/>
            </w:tcBorders>
            <w:shd w:val="clear" w:color="auto" w:fill="FF0000"/>
            <w:vAlign w:val="bottom"/>
          </w:tcPr>
          <w:p w14:paraId="667FD4B5"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auto"/>
              <w:right w:val="single" w:sz="4" w:space="0" w:color="000000"/>
            </w:tcBorders>
            <w:shd w:val="clear" w:color="auto" w:fill="AEAAAA"/>
            <w:vAlign w:val="bottom"/>
          </w:tcPr>
          <w:p w14:paraId="51101711"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nil"/>
              <w:left w:val="nil"/>
              <w:bottom w:val="single" w:sz="4" w:space="0" w:color="auto"/>
              <w:right w:val="single" w:sz="8" w:space="0" w:color="000000"/>
            </w:tcBorders>
            <w:shd w:val="clear" w:color="auto" w:fill="FF0000"/>
            <w:vAlign w:val="bottom"/>
          </w:tcPr>
          <w:p w14:paraId="7151D5EB"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4A7F1C18" w14:textId="77777777" w:rsidTr="00ED49C2">
        <w:trPr>
          <w:trHeight w:val="591"/>
        </w:trPr>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14:paraId="6F3E7495"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lastRenderedPageBreak/>
              <w:t>28</w:t>
            </w:r>
          </w:p>
        </w:tc>
        <w:tc>
          <w:tcPr>
            <w:tcW w:w="3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0B6932"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Vypracovať analýzu negatívnych externalít a ich monetizácie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2CF80C0"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w:t>
            </w:r>
          </w:p>
          <w:p w14:paraId="5D8B1A91"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IEP</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C871E31"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w:t>
            </w:r>
          </w:p>
        </w:tc>
        <w:tc>
          <w:tcPr>
            <w:tcW w:w="992" w:type="dxa"/>
            <w:tcBorders>
              <w:top w:val="single" w:sz="4" w:space="0" w:color="auto"/>
              <w:left w:val="single" w:sz="4" w:space="0" w:color="auto"/>
              <w:bottom w:val="single" w:sz="4" w:space="0" w:color="auto"/>
              <w:right w:val="single" w:sz="4" w:space="0" w:color="auto"/>
            </w:tcBorders>
            <w:vAlign w:val="center"/>
          </w:tcPr>
          <w:p w14:paraId="269E1EC3"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06/2019</w:t>
            </w:r>
          </w:p>
        </w:tc>
        <w:tc>
          <w:tcPr>
            <w:tcW w:w="638" w:type="dxa"/>
            <w:tcBorders>
              <w:top w:val="single" w:sz="4" w:space="0" w:color="auto"/>
              <w:left w:val="single" w:sz="4" w:space="0" w:color="auto"/>
              <w:bottom w:val="single" w:sz="4" w:space="0" w:color="auto"/>
              <w:right w:val="single" w:sz="4" w:space="0" w:color="auto"/>
            </w:tcBorders>
            <w:shd w:val="clear" w:color="auto" w:fill="FF0000"/>
            <w:vAlign w:val="bottom"/>
          </w:tcPr>
          <w:p w14:paraId="1B0ED3F7"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single" w:sz="4" w:space="0" w:color="auto"/>
              <w:left w:val="single" w:sz="4" w:space="0" w:color="auto"/>
              <w:bottom w:val="single" w:sz="4" w:space="0" w:color="auto"/>
              <w:right w:val="single" w:sz="4" w:space="0" w:color="auto"/>
            </w:tcBorders>
            <w:shd w:val="clear" w:color="auto" w:fill="FFC000"/>
            <w:vAlign w:val="bottom"/>
          </w:tcPr>
          <w:p w14:paraId="22E67C41"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single" w:sz="4" w:space="0" w:color="auto"/>
              <w:left w:val="single" w:sz="4" w:space="0" w:color="auto"/>
              <w:bottom w:val="single" w:sz="4" w:space="0" w:color="auto"/>
              <w:right w:val="single" w:sz="4" w:space="0" w:color="auto"/>
            </w:tcBorders>
            <w:shd w:val="clear" w:color="auto" w:fill="FFC000"/>
            <w:vAlign w:val="bottom"/>
          </w:tcPr>
          <w:p w14:paraId="7F399510"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single" w:sz="4" w:space="0" w:color="auto"/>
              <w:left w:val="single" w:sz="4" w:space="0" w:color="auto"/>
              <w:bottom w:val="single" w:sz="4" w:space="0" w:color="auto"/>
              <w:right w:val="single" w:sz="4" w:space="0" w:color="auto"/>
            </w:tcBorders>
            <w:shd w:val="clear" w:color="auto" w:fill="92D050"/>
            <w:vAlign w:val="bottom"/>
          </w:tcPr>
          <w:p w14:paraId="5F1883A4"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7BD789A9" w14:textId="77777777" w:rsidTr="00ED49C2">
        <w:trPr>
          <w:trHeight w:val="1312"/>
        </w:trPr>
        <w:tc>
          <w:tcPr>
            <w:tcW w:w="416" w:type="dxa"/>
            <w:tcBorders>
              <w:top w:val="single" w:sz="4" w:space="0" w:color="auto"/>
              <w:left w:val="single" w:sz="8" w:space="0" w:color="000000"/>
              <w:bottom w:val="single" w:sz="4" w:space="0" w:color="000000"/>
              <w:right w:val="single" w:sz="4" w:space="0" w:color="000000"/>
            </w:tcBorders>
            <w:shd w:val="clear" w:color="auto" w:fill="auto"/>
            <w:vAlign w:val="center"/>
          </w:tcPr>
          <w:p w14:paraId="0965A5AE"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29</w:t>
            </w:r>
          </w:p>
        </w:tc>
        <w:tc>
          <w:tcPr>
            <w:tcW w:w="3123" w:type="dxa"/>
            <w:gridSpan w:val="2"/>
            <w:tcBorders>
              <w:top w:val="single" w:sz="4" w:space="0" w:color="auto"/>
              <w:left w:val="nil"/>
              <w:bottom w:val="single" w:sz="4" w:space="0" w:color="000000"/>
              <w:right w:val="single" w:sz="4" w:space="0" w:color="000000"/>
            </w:tcBorders>
            <w:shd w:val="clear" w:color="auto" w:fill="auto"/>
            <w:vAlign w:val="center"/>
          </w:tcPr>
          <w:p w14:paraId="1B91B956"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Vypracovať štúdiu alternatívnych systémov odvádzania a čistenia odpadových vôd (nákladovo efektívnejších oproti klasickým) v podmienkach SR</w:t>
            </w:r>
          </w:p>
        </w:tc>
        <w:tc>
          <w:tcPr>
            <w:tcW w:w="1418" w:type="dxa"/>
            <w:tcBorders>
              <w:top w:val="single" w:sz="4" w:space="0" w:color="auto"/>
              <w:left w:val="nil"/>
              <w:bottom w:val="single" w:sz="4" w:space="0" w:color="000000"/>
              <w:right w:val="single" w:sz="4" w:space="0" w:color="000000"/>
            </w:tcBorders>
            <w:shd w:val="clear" w:color="auto" w:fill="auto"/>
            <w:vAlign w:val="center"/>
          </w:tcPr>
          <w:p w14:paraId="407FE9C4"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 SAŽP, EF, VÚVH</w:t>
            </w:r>
          </w:p>
        </w:tc>
        <w:tc>
          <w:tcPr>
            <w:tcW w:w="850" w:type="dxa"/>
            <w:tcBorders>
              <w:top w:val="single" w:sz="4" w:space="0" w:color="auto"/>
              <w:left w:val="nil"/>
              <w:bottom w:val="single" w:sz="4" w:space="0" w:color="000000"/>
              <w:right w:val="single" w:sz="4" w:space="0" w:color="000000"/>
            </w:tcBorders>
            <w:shd w:val="clear" w:color="auto" w:fill="auto"/>
            <w:vAlign w:val="center"/>
          </w:tcPr>
          <w:p w14:paraId="0637CFA9"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2019</w:t>
            </w:r>
          </w:p>
        </w:tc>
        <w:tc>
          <w:tcPr>
            <w:tcW w:w="992" w:type="dxa"/>
            <w:tcBorders>
              <w:top w:val="single" w:sz="4" w:space="0" w:color="auto"/>
              <w:left w:val="nil"/>
              <w:bottom w:val="single" w:sz="4" w:space="0" w:color="000000"/>
              <w:right w:val="single" w:sz="4" w:space="0" w:color="000000"/>
            </w:tcBorders>
            <w:vAlign w:val="center"/>
          </w:tcPr>
          <w:p w14:paraId="26263680" w14:textId="326296AA" w:rsidR="008E7D9E" w:rsidRPr="00666914" w:rsidRDefault="00ED49C2" w:rsidP="00ED49C2">
            <w:pPr>
              <w:spacing w:after="0"/>
              <w:jc w:val="center"/>
              <w:rPr>
                <w:rFonts w:eastAsia="Arial Narrow" w:cs="Arial Narrow"/>
                <w:color w:val="000000"/>
                <w:sz w:val="20"/>
                <w:szCs w:val="20"/>
              </w:rPr>
            </w:pPr>
            <w:r w:rsidRPr="00666914">
              <w:rPr>
                <w:rFonts w:eastAsia="Arial Narrow" w:cs="Arial Narrow"/>
                <w:color w:val="000000"/>
                <w:sz w:val="20"/>
                <w:szCs w:val="20"/>
              </w:rPr>
              <w:t>-</w:t>
            </w:r>
          </w:p>
        </w:tc>
        <w:tc>
          <w:tcPr>
            <w:tcW w:w="638" w:type="dxa"/>
            <w:tcBorders>
              <w:top w:val="single" w:sz="4" w:space="0" w:color="auto"/>
              <w:left w:val="single" w:sz="4" w:space="0" w:color="000000"/>
              <w:bottom w:val="single" w:sz="4" w:space="0" w:color="000000"/>
              <w:right w:val="single" w:sz="4" w:space="0" w:color="000000"/>
            </w:tcBorders>
            <w:shd w:val="clear" w:color="auto" w:fill="A6A6A6"/>
            <w:vAlign w:val="bottom"/>
          </w:tcPr>
          <w:p w14:paraId="23059781"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single" w:sz="4" w:space="0" w:color="auto"/>
              <w:left w:val="nil"/>
              <w:bottom w:val="single" w:sz="4" w:space="0" w:color="000000"/>
              <w:right w:val="single" w:sz="4" w:space="0" w:color="000000"/>
            </w:tcBorders>
            <w:shd w:val="clear" w:color="auto" w:fill="FF0000"/>
            <w:vAlign w:val="bottom"/>
          </w:tcPr>
          <w:p w14:paraId="289202E3"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single" w:sz="4" w:space="0" w:color="auto"/>
              <w:left w:val="nil"/>
              <w:bottom w:val="single" w:sz="4" w:space="0" w:color="000000"/>
              <w:right w:val="single" w:sz="4" w:space="0" w:color="000000"/>
            </w:tcBorders>
            <w:shd w:val="clear" w:color="auto" w:fill="AEAAAA"/>
            <w:vAlign w:val="bottom"/>
          </w:tcPr>
          <w:p w14:paraId="04857BD6"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single" w:sz="4" w:space="0" w:color="auto"/>
              <w:left w:val="nil"/>
              <w:bottom w:val="single" w:sz="4" w:space="0" w:color="000000"/>
              <w:right w:val="single" w:sz="8" w:space="0" w:color="000000"/>
            </w:tcBorders>
            <w:shd w:val="clear" w:color="auto" w:fill="FFC000"/>
            <w:vAlign w:val="bottom"/>
          </w:tcPr>
          <w:p w14:paraId="0FEC6B28"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7EE82D8B" w14:textId="77777777" w:rsidTr="00ED49C2">
        <w:trPr>
          <w:trHeight w:val="659"/>
        </w:trPr>
        <w:tc>
          <w:tcPr>
            <w:tcW w:w="416" w:type="dxa"/>
            <w:tcBorders>
              <w:top w:val="single" w:sz="4" w:space="0" w:color="auto"/>
              <w:left w:val="single" w:sz="8" w:space="0" w:color="000000"/>
              <w:bottom w:val="single" w:sz="4" w:space="0" w:color="000000"/>
              <w:right w:val="single" w:sz="4" w:space="0" w:color="000000"/>
            </w:tcBorders>
            <w:shd w:val="clear" w:color="auto" w:fill="auto"/>
            <w:vAlign w:val="center"/>
          </w:tcPr>
          <w:p w14:paraId="16C91813"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30</w:t>
            </w:r>
          </w:p>
        </w:tc>
        <w:tc>
          <w:tcPr>
            <w:tcW w:w="3123" w:type="dxa"/>
            <w:gridSpan w:val="2"/>
            <w:tcBorders>
              <w:top w:val="single" w:sz="4" w:space="0" w:color="auto"/>
              <w:left w:val="nil"/>
              <w:bottom w:val="single" w:sz="4" w:space="0" w:color="000000"/>
              <w:right w:val="single" w:sz="4" w:space="0" w:color="000000"/>
            </w:tcBorders>
            <w:shd w:val="clear" w:color="auto" w:fill="auto"/>
            <w:vAlign w:val="center"/>
          </w:tcPr>
          <w:p w14:paraId="3BAD5829"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Nájsť alternatívy financovania výstavby verejných kanalizácií: analýza cien vodného a stočného, PPP projekty, financovanie pomocou úverov</w:t>
            </w:r>
          </w:p>
        </w:tc>
        <w:tc>
          <w:tcPr>
            <w:tcW w:w="1418" w:type="dxa"/>
            <w:tcBorders>
              <w:top w:val="single" w:sz="4" w:space="0" w:color="auto"/>
              <w:left w:val="nil"/>
              <w:bottom w:val="single" w:sz="4" w:space="0" w:color="000000"/>
              <w:right w:val="single" w:sz="4" w:space="0" w:color="000000"/>
            </w:tcBorders>
            <w:shd w:val="clear" w:color="auto" w:fill="auto"/>
            <w:vAlign w:val="center"/>
          </w:tcPr>
          <w:p w14:paraId="041BECC6"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 VÚVH,</w:t>
            </w:r>
          </w:p>
          <w:p w14:paraId="3E570D2B"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IEP</w:t>
            </w:r>
          </w:p>
        </w:tc>
        <w:tc>
          <w:tcPr>
            <w:tcW w:w="850" w:type="dxa"/>
            <w:tcBorders>
              <w:top w:val="single" w:sz="4" w:space="0" w:color="auto"/>
              <w:left w:val="nil"/>
              <w:bottom w:val="single" w:sz="4" w:space="0" w:color="000000"/>
              <w:right w:val="single" w:sz="4" w:space="0" w:color="000000"/>
            </w:tcBorders>
            <w:shd w:val="clear" w:color="auto" w:fill="auto"/>
            <w:vAlign w:val="center"/>
          </w:tcPr>
          <w:p w14:paraId="2CA10F07"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2019</w:t>
            </w:r>
          </w:p>
        </w:tc>
        <w:tc>
          <w:tcPr>
            <w:tcW w:w="992" w:type="dxa"/>
            <w:tcBorders>
              <w:top w:val="single" w:sz="4" w:space="0" w:color="auto"/>
              <w:left w:val="nil"/>
              <w:bottom w:val="single" w:sz="4" w:space="0" w:color="000000"/>
              <w:right w:val="single" w:sz="4" w:space="0" w:color="000000"/>
            </w:tcBorders>
            <w:vAlign w:val="center"/>
          </w:tcPr>
          <w:p w14:paraId="39CA424E" w14:textId="48338775" w:rsidR="008E7D9E" w:rsidRPr="00666914" w:rsidRDefault="00ED49C2" w:rsidP="00ED49C2">
            <w:pPr>
              <w:spacing w:after="0"/>
              <w:jc w:val="center"/>
              <w:rPr>
                <w:rFonts w:eastAsia="Arial Narrow" w:cs="Arial Narrow"/>
                <w:color w:val="000000"/>
                <w:sz w:val="20"/>
                <w:szCs w:val="20"/>
              </w:rPr>
            </w:pPr>
            <w:r w:rsidRPr="00666914">
              <w:rPr>
                <w:rFonts w:eastAsia="Arial Narrow" w:cs="Arial Narrow"/>
                <w:color w:val="000000"/>
                <w:sz w:val="20"/>
                <w:szCs w:val="20"/>
              </w:rPr>
              <w:t>-</w:t>
            </w:r>
          </w:p>
        </w:tc>
        <w:tc>
          <w:tcPr>
            <w:tcW w:w="638" w:type="dxa"/>
            <w:tcBorders>
              <w:top w:val="single" w:sz="4" w:space="0" w:color="auto"/>
              <w:left w:val="single" w:sz="4" w:space="0" w:color="000000"/>
              <w:bottom w:val="single" w:sz="4" w:space="0" w:color="000000"/>
              <w:right w:val="single" w:sz="4" w:space="0" w:color="000000"/>
            </w:tcBorders>
            <w:shd w:val="clear" w:color="auto" w:fill="92D050"/>
            <w:vAlign w:val="bottom"/>
          </w:tcPr>
          <w:p w14:paraId="1F5E7E1C"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single" w:sz="4" w:space="0" w:color="auto"/>
              <w:left w:val="nil"/>
              <w:bottom w:val="single" w:sz="4" w:space="0" w:color="000000"/>
              <w:right w:val="single" w:sz="4" w:space="0" w:color="000000"/>
            </w:tcBorders>
            <w:shd w:val="clear" w:color="auto" w:fill="A6A6A6"/>
            <w:vAlign w:val="bottom"/>
          </w:tcPr>
          <w:p w14:paraId="0718AE80"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single" w:sz="4" w:space="0" w:color="auto"/>
              <w:left w:val="nil"/>
              <w:bottom w:val="single" w:sz="4" w:space="0" w:color="000000"/>
              <w:right w:val="single" w:sz="4" w:space="0" w:color="000000"/>
            </w:tcBorders>
            <w:shd w:val="clear" w:color="auto" w:fill="AEAAAA"/>
            <w:vAlign w:val="bottom"/>
          </w:tcPr>
          <w:p w14:paraId="58EB0C10"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38" w:type="dxa"/>
            <w:tcBorders>
              <w:top w:val="single" w:sz="4" w:space="0" w:color="auto"/>
              <w:left w:val="nil"/>
              <w:bottom w:val="single" w:sz="4" w:space="0" w:color="000000"/>
              <w:right w:val="single" w:sz="8" w:space="0" w:color="000000"/>
            </w:tcBorders>
            <w:shd w:val="clear" w:color="auto" w:fill="A6A6A6"/>
            <w:vAlign w:val="bottom"/>
          </w:tcPr>
          <w:p w14:paraId="4C3A980E"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bl>
    <w:p w14:paraId="2C28333F" w14:textId="1369C5D3" w:rsidR="008E7D9E" w:rsidRPr="00666914" w:rsidRDefault="008E7D9E">
      <w:pPr>
        <w:spacing w:after="0"/>
        <w:rPr>
          <w:rFonts w:eastAsia="Arial Narrow" w:cs="Arial Narrow"/>
          <w:b/>
          <w:sz w:val="20"/>
          <w:szCs w:val="20"/>
          <w:highlight w:val="yellow"/>
        </w:rPr>
      </w:pPr>
    </w:p>
    <w:p w14:paraId="5BD6F077" w14:textId="77777777" w:rsidR="00E36754" w:rsidRPr="00666914" w:rsidRDefault="00E36754">
      <w:pPr>
        <w:spacing w:after="0"/>
        <w:rPr>
          <w:rFonts w:eastAsia="Arial Narrow" w:cs="Arial Narrow"/>
          <w:b/>
          <w:sz w:val="20"/>
          <w:szCs w:val="20"/>
          <w:highlight w:val="yellow"/>
        </w:rPr>
      </w:pPr>
    </w:p>
    <w:p w14:paraId="1D42B435" w14:textId="1BDCDA36" w:rsidR="008E7D9E" w:rsidRPr="00666914" w:rsidRDefault="008E7D9E" w:rsidP="002E5FF9">
      <w:pPr>
        <w:spacing w:after="0"/>
        <w:rPr>
          <w:rFonts w:eastAsia="Arial Narrow" w:cs="Arial Narrow"/>
          <w:b/>
          <w:sz w:val="20"/>
          <w:szCs w:val="20"/>
        </w:rPr>
      </w:pPr>
      <w:r w:rsidRPr="00666914">
        <w:rPr>
          <w:rFonts w:eastAsia="Arial Narrow" w:cs="Arial Narrow"/>
          <w:b/>
          <w:sz w:val="20"/>
          <w:szCs w:val="20"/>
        </w:rPr>
        <w:t xml:space="preserve"> </w:t>
      </w:r>
      <w:bookmarkStart w:id="324" w:name="_Toc38447728"/>
      <w:r w:rsidRPr="00666914">
        <w:rPr>
          <w:rFonts w:eastAsia="Arial Narrow" w:cs="Arial Narrow"/>
          <w:b/>
          <w:sz w:val="20"/>
          <w:szCs w:val="20"/>
        </w:rPr>
        <w:t xml:space="preserve">Tabuľka </w:t>
      </w:r>
      <w:r w:rsidRPr="00666914">
        <w:rPr>
          <w:rFonts w:eastAsia="Arial Narrow" w:cs="Arial Narrow"/>
          <w:b/>
          <w:sz w:val="20"/>
          <w:szCs w:val="20"/>
        </w:rPr>
        <w:fldChar w:fldCharType="begin"/>
      </w:r>
      <w:r w:rsidRPr="00666914">
        <w:rPr>
          <w:rFonts w:eastAsia="Arial Narrow" w:cs="Arial Narrow"/>
          <w:b/>
          <w:sz w:val="20"/>
          <w:szCs w:val="20"/>
        </w:rPr>
        <w:instrText xml:space="preserve"> SEQ Tabuľka \* ARABIC \* MERGEFORMAT </w:instrText>
      </w:r>
      <w:r w:rsidRPr="00666914">
        <w:rPr>
          <w:rFonts w:eastAsia="Arial Narrow" w:cs="Arial Narrow"/>
          <w:b/>
          <w:sz w:val="20"/>
          <w:szCs w:val="20"/>
        </w:rPr>
        <w:fldChar w:fldCharType="separate"/>
      </w:r>
      <w:r w:rsidR="005A7304">
        <w:rPr>
          <w:rFonts w:eastAsia="Arial Narrow" w:cs="Arial Narrow"/>
          <w:b/>
          <w:noProof/>
          <w:sz w:val="20"/>
          <w:szCs w:val="20"/>
        </w:rPr>
        <w:t>67</w:t>
      </w:r>
      <w:r w:rsidRPr="00666914">
        <w:rPr>
          <w:rFonts w:eastAsia="Arial Narrow" w:cs="Arial Narrow"/>
          <w:b/>
          <w:sz w:val="20"/>
          <w:szCs w:val="20"/>
        </w:rPr>
        <w:fldChar w:fldCharType="end"/>
      </w:r>
      <w:r w:rsidRPr="00666914">
        <w:rPr>
          <w:rFonts w:eastAsia="Arial Narrow" w:cs="Arial Narrow"/>
          <w:b/>
          <w:sz w:val="20"/>
          <w:szCs w:val="20"/>
        </w:rPr>
        <w:t>: Opatrenia Revízie výdavkov na životné prostredie splnené v roku 2018</w:t>
      </w:r>
      <w:bookmarkEnd w:id="324"/>
    </w:p>
    <w:tbl>
      <w:tblPr>
        <w:tblW w:w="9349" w:type="dxa"/>
        <w:tblInd w:w="-5" w:type="dxa"/>
        <w:tblLayout w:type="fixed"/>
        <w:tblLook w:val="0400" w:firstRow="0" w:lastRow="0" w:firstColumn="0" w:lastColumn="0" w:noHBand="0" w:noVBand="1"/>
      </w:tblPr>
      <w:tblGrid>
        <w:gridCol w:w="3119"/>
        <w:gridCol w:w="1414"/>
        <w:gridCol w:w="1298"/>
        <w:gridCol w:w="1115"/>
        <w:gridCol w:w="600"/>
        <w:gridCol w:w="601"/>
        <w:gridCol w:w="601"/>
        <w:gridCol w:w="601"/>
      </w:tblGrid>
      <w:tr w:rsidR="008E7D9E" w:rsidRPr="00666914" w14:paraId="3350BD2C" w14:textId="77777777" w:rsidTr="00ED49C2">
        <w:trPr>
          <w:trHeight w:val="296"/>
        </w:trPr>
        <w:tc>
          <w:tcPr>
            <w:tcW w:w="3119" w:type="dxa"/>
            <w:tcBorders>
              <w:top w:val="single" w:sz="8" w:space="0" w:color="000000"/>
              <w:left w:val="single" w:sz="4" w:space="0" w:color="000000"/>
              <w:bottom w:val="single" w:sz="8" w:space="0" w:color="000000"/>
              <w:right w:val="single" w:sz="4" w:space="0" w:color="000000"/>
            </w:tcBorders>
            <w:vAlign w:val="center"/>
          </w:tcPr>
          <w:p w14:paraId="23081133" w14:textId="77777777" w:rsidR="008E7D9E" w:rsidRPr="00666914" w:rsidRDefault="008E7D9E">
            <w:pPr>
              <w:spacing w:after="0"/>
              <w:ind w:left="-396" w:firstLine="396"/>
              <w:jc w:val="center"/>
              <w:rPr>
                <w:rFonts w:eastAsia="Arial Narrow" w:cs="Arial Narrow"/>
                <w:b/>
                <w:color w:val="000000"/>
                <w:sz w:val="20"/>
                <w:szCs w:val="20"/>
              </w:rPr>
            </w:pPr>
          </w:p>
        </w:tc>
        <w:tc>
          <w:tcPr>
            <w:tcW w:w="1414" w:type="dxa"/>
            <w:tcBorders>
              <w:top w:val="single" w:sz="8" w:space="0" w:color="000000"/>
              <w:left w:val="nil"/>
              <w:bottom w:val="single" w:sz="4" w:space="0" w:color="000000"/>
              <w:right w:val="single" w:sz="4" w:space="0" w:color="000000"/>
            </w:tcBorders>
            <w:vAlign w:val="center"/>
          </w:tcPr>
          <w:p w14:paraId="078890FF"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Zodpovednosť</w:t>
            </w:r>
          </w:p>
        </w:tc>
        <w:tc>
          <w:tcPr>
            <w:tcW w:w="1298" w:type="dxa"/>
            <w:tcBorders>
              <w:top w:val="single" w:sz="8" w:space="0" w:color="000000"/>
              <w:left w:val="nil"/>
              <w:bottom w:val="single" w:sz="4" w:space="0" w:color="000000"/>
              <w:right w:val="single" w:sz="4" w:space="0" w:color="000000"/>
            </w:tcBorders>
            <w:vAlign w:val="center"/>
          </w:tcPr>
          <w:p w14:paraId="1D2F3458"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Termín</w:t>
            </w:r>
          </w:p>
        </w:tc>
        <w:tc>
          <w:tcPr>
            <w:tcW w:w="1115" w:type="dxa"/>
            <w:tcBorders>
              <w:top w:val="single" w:sz="8" w:space="0" w:color="000000"/>
              <w:left w:val="nil"/>
              <w:bottom w:val="single" w:sz="4" w:space="0" w:color="000000"/>
              <w:right w:val="single" w:sz="4" w:space="0" w:color="000000"/>
            </w:tcBorders>
            <w:vAlign w:val="center"/>
          </w:tcPr>
          <w:p w14:paraId="36F7E62A"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Nový termín</w:t>
            </w:r>
          </w:p>
        </w:tc>
        <w:tc>
          <w:tcPr>
            <w:tcW w:w="600" w:type="dxa"/>
            <w:tcBorders>
              <w:top w:val="single" w:sz="8" w:space="0" w:color="000000"/>
              <w:left w:val="nil"/>
              <w:bottom w:val="single" w:sz="4" w:space="0" w:color="000000"/>
              <w:right w:val="single" w:sz="4" w:space="0" w:color="000000"/>
            </w:tcBorders>
            <w:vAlign w:val="center"/>
          </w:tcPr>
          <w:p w14:paraId="5F45BD10"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 xml:space="preserve">1Q </w:t>
            </w:r>
          </w:p>
          <w:p w14:paraId="1172E68F"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2018</w:t>
            </w:r>
          </w:p>
        </w:tc>
        <w:tc>
          <w:tcPr>
            <w:tcW w:w="601" w:type="dxa"/>
            <w:tcBorders>
              <w:top w:val="single" w:sz="8" w:space="0" w:color="000000"/>
              <w:left w:val="nil"/>
              <w:bottom w:val="single" w:sz="4" w:space="0" w:color="000000"/>
              <w:right w:val="single" w:sz="4" w:space="0" w:color="000000"/>
            </w:tcBorders>
            <w:vAlign w:val="center"/>
          </w:tcPr>
          <w:p w14:paraId="0003A3F7"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 xml:space="preserve">2Q </w:t>
            </w:r>
          </w:p>
          <w:p w14:paraId="26B5EE0F"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2018</w:t>
            </w:r>
          </w:p>
        </w:tc>
        <w:tc>
          <w:tcPr>
            <w:tcW w:w="601" w:type="dxa"/>
            <w:tcBorders>
              <w:top w:val="single" w:sz="8" w:space="0" w:color="000000"/>
              <w:left w:val="nil"/>
              <w:bottom w:val="single" w:sz="4" w:space="0" w:color="000000"/>
              <w:right w:val="single" w:sz="4" w:space="0" w:color="000000"/>
            </w:tcBorders>
            <w:vAlign w:val="center"/>
          </w:tcPr>
          <w:p w14:paraId="2C7A7930"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 xml:space="preserve">3Q </w:t>
            </w:r>
          </w:p>
          <w:p w14:paraId="7187EF87"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2018</w:t>
            </w:r>
          </w:p>
        </w:tc>
        <w:tc>
          <w:tcPr>
            <w:tcW w:w="601" w:type="dxa"/>
            <w:tcBorders>
              <w:top w:val="single" w:sz="8" w:space="0" w:color="000000"/>
              <w:left w:val="nil"/>
              <w:bottom w:val="single" w:sz="4" w:space="0" w:color="000000"/>
              <w:right w:val="single" w:sz="8" w:space="0" w:color="000000"/>
            </w:tcBorders>
            <w:vAlign w:val="center"/>
          </w:tcPr>
          <w:p w14:paraId="06FD025F"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4Q 2018</w:t>
            </w:r>
          </w:p>
        </w:tc>
      </w:tr>
      <w:tr w:rsidR="008E7D9E" w:rsidRPr="00666914" w14:paraId="1DDB06EB" w14:textId="77777777" w:rsidTr="00ED49C2">
        <w:trPr>
          <w:trHeight w:val="296"/>
        </w:trPr>
        <w:tc>
          <w:tcPr>
            <w:tcW w:w="3119" w:type="dxa"/>
            <w:tcBorders>
              <w:top w:val="single" w:sz="8" w:space="0" w:color="000000"/>
              <w:left w:val="single" w:sz="4" w:space="0" w:color="000000"/>
              <w:bottom w:val="single" w:sz="8" w:space="0" w:color="000000"/>
              <w:right w:val="single" w:sz="4" w:space="0" w:color="000000"/>
            </w:tcBorders>
            <w:vAlign w:val="center"/>
          </w:tcPr>
          <w:p w14:paraId="3B75FF7A"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Zabezpečiť evidenciu výdavkov ŠOP SR, ktorá umožní porovnávanie na základe hodnoty za peniaze</w:t>
            </w:r>
          </w:p>
        </w:tc>
        <w:tc>
          <w:tcPr>
            <w:tcW w:w="1414" w:type="dxa"/>
            <w:tcBorders>
              <w:top w:val="single" w:sz="8" w:space="0" w:color="000000"/>
              <w:left w:val="nil"/>
              <w:bottom w:val="single" w:sz="4" w:space="0" w:color="000000"/>
              <w:right w:val="single" w:sz="4" w:space="0" w:color="000000"/>
            </w:tcBorders>
            <w:vAlign w:val="center"/>
          </w:tcPr>
          <w:p w14:paraId="38D6B187"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ŠOP</w:t>
            </w:r>
          </w:p>
        </w:tc>
        <w:tc>
          <w:tcPr>
            <w:tcW w:w="1298" w:type="dxa"/>
            <w:tcBorders>
              <w:top w:val="single" w:sz="8" w:space="0" w:color="000000"/>
              <w:left w:val="nil"/>
              <w:bottom w:val="single" w:sz="4" w:space="0" w:color="000000"/>
              <w:right w:val="single" w:sz="4" w:space="0" w:color="000000"/>
            </w:tcBorders>
            <w:vAlign w:val="center"/>
          </w:tcPr>
          <w:p w14:paraId="1F656974"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w:t>
            </w:r>
          </w:p>
        </w:tc>
        <w:tc>
          <w:tcPr>
            <w:tcW w:w="1115" w:type="dxa"/>
            <w:tcBorders>
              <w:top w:val="single" w:sz="8" w:space="0" w:color="000000"/>
              <w:left w:val="nil"/>
              <w:bottom w:val="single" w:sz="4" w:space="0" w:color="000000"/>
              <w:right w:val="single" w:sz="4" w:space="0" w:color="000000"/>
            </w:tcBorders>
            <w:vAlign w:val="center"/>
          </w:tcPr>
          <w:p w14:paraId="108B3FB7"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06/2019</w:t>
            </w:r>
          </w:p>
        </w:tc>
        <w:tc>
          <w:tcPr>
            <w:tcW w:w="600" w:type="dxa"/>
            <w:tcBorders>
              <w:top w:val="single" w:sz="8" w:space="0" w:color="000000"/>
              <w:left w:val="nil"/>
              <w:bottom w:val="single" w:sz="4" w:space="0" w:color="000000"/>
              <w:right w:val="single" w:sz="4" w:space="0" w:color="000000"/>
            </w:tcBorders>
            <w:shd w:val="clear" w:color="auto" w:fill="FFC000"/>
            <w:vAlign w:val="center"/>
          </w:tcPr>
          <w:p w14:paraId="49180847" w14:textId="77777777" w:rsidR="008E7D9E" w:rsidRPr="00666914" w:rsidRDefault="008E7D9E">
            <w:pPr>
              <w:spacing w:after="0"/>
              <w:jc w:val="center"/>
              <w:rPr>
                <w:rFonts w:eastAsia="Arial Narrow" w:cs="Arial Narrow"/>
                <w:color w:val="000000"/>
                <w:sz w:val="20"/>
                <w:szCs w:val="20"/>
              </w:rPr>
            </w:pPr>
          </w:p>
        </w:tc>
        <w:tc>
          <w:tcPr>
            <w:tcW w:w="601" w:type="dxa"/>
            <w:tcBorders>
              <w:top w:val="single" w:sz="8" w:space="0" w:color="000000"/>
              <w:left w:val="nil"/>
              <w:bottom w:val="single" w:sz="4" w:space="0" w:color="000000"/>
              <w:right w:val="single" w:sz="4" w:space="0" w:color="000000"/>
            </w:tcBorders>
            <w:shd w:val="clear" w:color="auto" w:fill="FFC000"/>
            <w:vAlign w:val="center"/>
          </w:tcPr>
          <w:p w14:paraId="3A02597F" w14:textId="77777777" w:rsidR="008E7D9E" w:rsidRPr="00666914" w:rsidRDefault="008E7D9E">
            <w:pPr>
              <w:spacing w:after="0"/>
              <w:jc w:val="center"/>
              <w:rPr>
                <w:rFonts w:eastAsia="Arial Narrow" w:cs="Arial Narrow"/>
                <w:color w:val="000000"/>
                <w:sz w:val="20"/>
                <w:szCs w:val="20"/>
              </w:rPr>
            </w:pPr>
          </w:p>
        </w:tc>
        <w:tc>
          <w:tcPr>
            <w:tcW w:w="601" w:type="dxa"/>
            <w:tcBorders>
              <w:top w:val="single" w:sz="8" w:space="0" w:color="000000"/>
              <w:left w:val="nil"/>
              <w:bottom w:val="single" w:sz="4" w:space="0" w:color="000000"/>
              <w:right w:val="single" w:sz="4" w:space="0" w:color="000000"/>
            </w:tcBorders>
            <w:shd w:val="clear" w:color="auto" w:fill="FFC000"/>
            <w:vAlign w:val="center"/>
          </w:tcPr>
          <w:p w14:paraId="07301E7A" w14:textId="77777777" w:rsidR="008E7D9E" w:rsidRPr="00666914" w:rsidRDefault="008E7D9E">
            <w:pPr>
              <w:spacing w:after="0"/>
              <w:jc w:val="center"/>
              <w:rPr>
                <w:rFonts w:eastAsia="Arial Narrow" w:cs="Arial Narrow"/>
                <w:color w:val="000000"/>
                <w:sz w:val="20"/>
                <w:szCs w:val="20"/>
              </w:rPr>
            </w:pPr>
          </w:p>
        </w:tc>
        <w:tc>
          <w:tcPr>
            <w:tcW w:w="601" w:type="dxa"/>
            <w:tcBorders>
              <w:top w:val="single" w:sz="8" w:space="0" w:color="000000"/>
              <w:left w:val="nil"/>
              <w:bottom w:val="single" w:sz="4" w:space="0" w:color="000000"/>
              <w:right w:val="single" w:sz="8" w:space="0" w:color="000000"/>
            </w:tcBorders>
            <w:shd w:val="clear" w:color="auto" w:fill="92D050"/>
            <w:vAlign w:val="center"/>
          </w:tcPr>
          <w:p w14:paraId="5C0DF0C8" w14:textId="77777777" w:rsidR="008E7D9E" w:rsidRPr="00666914" w:rsidRDefault="008E7D9E">
            <w:pPr>
              <w:spacing w:after="0"/>
              <w:jc w:val="center"/>
              <w:rPr>
                <w:rFonts w:eastAsia="Arial Narrow" w:cs="Arial Narrow"/>
                <w:color w:val="000000"/>
                <w:sz w:val="20"/>
                <w:szCs w:val="20"/>
              </w:rPr>
            </w:pPr>
          </w:p>
        </w:tc>
      </w:tr>
      <w:tr w:rsidR="008E7D9E" w:rsidRPr="00666914" w14:paraId="50E714BC" w14:textId="77777777" w:rsidTr="00ED49C2">
        <w:trPr>
          <w:trHeight w:val="508"/>
        </w:trPr>
        <w:tc>
          <w:tcPr>
            <w:tcW w:w="3119" w:type="dxa"/>
            <w:tcBorders>
              <w:top w:val="single" w:sz="8" w:space="0" w:color="000000"/>
              <w:left w:val="single" w:sz="4" w:space="0" w:color="000000"/>
              <w:bottom w:val="single" w:sz="8" w:space="0" w:color="000000"/>
              <w:right w:val="single" w:sz="4" w:space="0" w:color="000000"/>
            </w:tcBorders>
            <w:vAlign w:val="bottom"/>
          </w:tcPr>
          <w:p w14:paraId="76A52C2D"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SIŽP - Vykonať procesný audit (adaptácia smerníc, analýzy vzoriek, zjednotenie kompetencií a pravidiel kontrol jednotlivých úsekov)</w:t>
            </w:r>
          </w:p>
        </w:tc>
        <w:tc>
          <w:tcPr>
            <w:tcW w:w="1414" w:type="dxa"/>
            <w:tcBorders>
              <w:top w:val="single" w:sz="8" w:space="0" w:color="000000"/>
              <w:left w:val="nil"/>
              <w:bottom w:val="single" w:sz="8" w:space="0" w:color="000000"/>
              <w:right w:val="single" w:sz="4" w:space="0" w:color="000000"/>
            </w:tcBorders>
            <w:vAlign w:val="bottom"/>
          </w:tcPr>
          <w:p w14:paraId="399CAD23"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 / kancelária GTSÚ</w:t>
            </w:r>
          </w:p>
        </w:tc>
        <w:tc>
          <w:tcPr>
            <w:tcW w:w="1298" w:type="dxa"/>
            <w:tcBorders>
              <w:top w:val="single" w:sz="8" w:space="0" w:color="000000"/>
              <w:left w:val="nil"/>
              <w:bottom w:val="single" w:sz="8" w:space="0" w:color="000000"/>
              <w:right w:val="single" w:sz="4" w:space="0" w:color="000000"/>
            </w:tcBorders>
            <w:vAlign w:val="center"/>
          </w:tcPr>
          <w:p w14:paraId="4AAAFC0B" w14:textId="77777777" w:rsidR="008E7D9E" w:rsidRPr="00666914" w:rsidRDefault="008E7D9E">
            <w:pPr>
              <w:spacing w:after="0"/>
              <w:ind w:right="51"/>
              <w:jc w:val="center"/>
              <w:rPr>
                <w:rFonts w:eastAsia="Arial Narrow" w:cs="Arial Narrow"/>
                <w:color w:val="000000"/>
                <w:sz w:val="20"/>
                <w:szCs w:val="20"/>
              </w:rPr>
            </w:pPr>
            <w:r w:rsidRPr="00666914">
              <w:rPr>
                <w:rFonts w:eastAsia="Arial Narrow" w:cs="Arial Narrow"/>
                <w:color w:val="000000"/>
                <w:sz w:val="20"/>
                <w:szCs w:val="20"/>
              </w:rPr>
              <w:t>2018</w:t>
            </w:r>
          </w:p>
        </w:tc>
        <w:tc>
          <w:tcPr>
            <w:tcW w:w="1115" w:type="dxa"/>
            <w:tcBorders>
              <w:top w:val="single" w:sz="8" w:space="0" w:color="000000"/>
              <w:left w:val="nil"/>
              <w:bottom w:val="single" w:sz="8" w:space="0" w:color="000000"/>
              <w:right w:val="single" w:sz="4" w:space="0" w:color="000000"/>
            </w:tcBorders>
            <w:vAlign w:val="center"/>
          </w:tcPr>
          <w:p w14:paraId="1C941428"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06/2019</w:t>
            </w:r>
          </w:p>
        </w:tc>
        <w:tc>
          <w:tcPr>
            <w:tcW w:w="600" w:type="dxa"/>
            <w:tcBorders>
              <w:top w:val="single" w:sz="8" w:space="0" w:color="000000"/>
              <w:left w:val="nil"/>
              <w:bottom w:val="single" w:sz="8" w:space="0" w:color="000000"/>
              <w:right w:val="single" w:sz="4" w:space="0" w:color="000000"/>
            </w:tcBorders>
            <w:shd w:val="clear" w:color="auto" w:fill="FFC000"/>
          </w:tcPr>
          <w:p w14:paraId="77D5F40E" w14:textId="77777777" w:rsidR="008E7D9E" w:rsidRPr="00666914" w:rsidRDefault="008E7D9E">
            <w:pPr>
              <w:spacing w:after="0"/>
              <w:jc w:val="center"/>
              <w:rPr>
                <w:rFonts w:eastAsia="Arial Narrow" w:cs="Arial Narrow"/>
                <w:color w:val="000000"/>
                <w:sz w:val="20"/>
                <w:szCs w:val="20"/>
              </w:rPr>
            </w:pPr>
          </w:p>
        </w:tc>
        <w:tc>
          <w:tcPr>
            <w:tcW w:w="601" w:type="dxa"/>
            <w:tcBorders>
              <w:top w:val="single" w:sz="8" w:space="0" w:color="000000"/>
              <w:left w:val="nil"/>
              <w:bottom w:val="single" w:sz="8" w:space="0" w:color="000000"/>
              <w:right w:val="single" w:sz="4" w:space="0" w:color="000000"/>
            </w:tcBorders>
            <w:shd w:val="clear" w:color="auto" w:fill="FFC000"/>
          </w:tcPr>
          <w:p w14:paraId="6600BFC2" w14:textId="77777777" w:rsidR="008E7D9E" w:rsidRPr="00666914" w:rsidRDefault="008E7D9E">
            <w:pPr>
              <w:spacing w:after="0"/>
              <w:jc w:val="center"/>
              <w:rPr>
                <w:rFonts w:eastAsia="Arial Narrow" w:cs="Arial Narrow"/>
                <w:b/>
                <w:color w:val="000000"/>
                <w:sz w:val="20"/>
                <w:szCs w:val="20"/>
              </w:rPr>
            </w:pPr>
          </w:p>
        </w:tc>
        <w:tc>
          <w:tcPr>
            <w:tcW w:w="601" w:type="dxa"/>
            <w:tcBorders>
              <w:top w:val="single" w:sz="8" w:space="0" w:color="000000"/>
              <w:left w:val="nil"/>
              <w:bottom w:val="single" w:sz="8" w:space="0" w:color="000000"/>
              <w:right w:val="single" w:sz="4" w:space="0" w:color="000000"/>
            </w:tcBorders>
            <w:shd w:val="clear" w:color="auto" w:fill="FFC000"/>
          </w:tcPr>
          <w:p w14:paraId="45C96D49" w14:textId="77777777" w:rsidR="008E7D9E" w:rsidRPr="00666914" w:rsidRDefault="008E7D9E">
            <w:pPr>
              <w:spacing w:after="0"/>
              <w:jc w:val="center"/>
              <w:rPr>
                <w:rFonts w:eastAsia="Arial Narrow" w:cs="Arial Narrow"/>
                <w:b/>
                <w:color w:val="000000"/>
                <w:sz w:val="20"/>
                <w:szCs w:val="20"/>
              </w:rPr>
            </w:pPr>
          </w:p>
        </w:tc>
        <w:tc>
          <w:tcPr>
            <w:tcW w:w="601" w:type="dxa"/>
            <w:tcBorders>
              <w:top w:val="single" w:sz="8" w:space="0" w:color="000000"/>
              <w:left w:val="nil"/>
              <w:bottom w:val="single" w:sz="8" w:space="0" w:color="000000"/>
              <w:right w:val="single" w:sz="8" w:space="0" w:color="000000"/>
            </w:tcBorders>
            <w:shd w:val="clear" w:color="auto" w:fill="92D050"/>
          </w:tcPr>
          <w:p w14:paraId="5B72745E" w14:textId="77777777" w:rsidR="008E7D9E" w:rsidRPr="00666914" w:rsidRDefault="008E7D9E">
            <w:pPr>
              <w:spacing w:after="0"/>
              <w:jc w:val="center"/>
              <w:rPr>
                <w:rFonts w:eastAsia="Arial Narrow" w:cs="Arial Narrow"/>
                <w:b/>
                <w:color w:val="000000"/>
                <w:sz w:val="20"/>
                <w:szCs w:val="20"/>
              </w:rPr>
            </w:pPr>
          </w:p>
        </w:tc>
      </w:tr>
    </w:tbl>
    <w:p w14:paraId="4C13614A" w14:textId="23794FEB" w:rsidR="005019FB" w:rsidRPr="00666914" w:rsidRDefault="005019FB">
      <w:pPr>
        <w:rPr>
          <w:rFonts w:eastAsia="Arial Narrow" w:cs="Arial Narrow"/>
        </w:rPr>
      </w:pPr>
    </w:p>
    <w:p w14:paraId="7FFBAAF5" w14:textId="77777777" w:rsidR="005019FB" w:rsidRPr="00666914" w:rsidRDefault="005019FB">
      <w:pPr>
        <w:spacing w:after="0"/>
        <w:jc w:val="left"/>
        <w:rPr>
          <w:rFonts w:eastAsia="Arial Narrow" w:cs="Arial Narrow"/>
        </w:rPr>
      </w:pPr>
      <w:r w:rsidRPr="00666914">
        <w:rPr>
          <w:rFonts w:eastAsia="Arial Narrow" w:cs="Arial Narrow"/>
        </w:rPr>
        <w:br w:type="page"/>
      </w:r>
    </w:p>
    <w:p w14:paraId="1E882A6D" w14:textId="77777777" w:rsidR="008E7D9E" w:rsidRPr="00666914" w:rsidRDefault="008E7D9E" w:rsidP="008E7D9E">
      <w:pPr>
        <w:pStyle w:val="Nadpis2"/>
        <w:rPr>
          <w:rFonts w:eastAsia="Arial Narrow"/>
        </w:rPr>
      </w:pPr>
      <w:bookmarkStart w:id="325" w:name="_Toc38447610"/>
      <w:r w:rsidRPr="00666914">
        <w:rPr>
          <w:rFonts w:eastAsia="Arial Narrow"/>
        </w:rPr>
        <w:lastRenderedPageBreak/>
        <w:t>Úspora</w:t>
      </w:r>
      <w:bookmarkEnd w:id="325"/>
    </w:p>
    <w:tbl>
      <w:tblPr>
        <w:tblW w:w="9520" w:type="dxa"/>
        <w:tblLayout w:type="fixed"/>
        <w:tblLook w:val="0400" w:firstRow="0" w:lastRow="0" w:firstColumn="0" w:lastColumn="0" w:noHBand="0" w:noVBand="1"/>
      </w:tblPr>
      <w:tblGrid>
        <w:gridCol w:w="436"/>
        <w:gridCol w:w="3515"/>
        <w:gridCol w:w="1417"/>
        <w:gridCol w:w="890"/>
        <w:gridCol w:w="890"/>
        <w:gridCol w:w="593"/>
        <w:gridCol w:w="593"/>
        <w:gridCol w:w="593"/>
        <w:gridCol w:w="593"/>
      </w:tblGrid>
      <w:tr w:rsidR="008E7D9E" w:rsidRPr="00666914" w14:paraId="4DEC3A51" w14:textId="77777777" w:rsidTr="00ED49C2">
        <w:trPr>
          <w:trHeight w:val="306"/>
        </w:trPr>
        <w:tc>
          <w:tcPr>
            <w:tcW w:w="4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D06991"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 </w:t>
            </w:r>
          </w:p>
        </w:tc>
        <w:tc>
          <w:tcPr>
            <w:tcW w:w="3515" w:type="dxa"/>
            <w:tcBorders>
              <w:top w:val="single" w:sz="4" w:space="0" w:color="000000"/>
              <w:left w:val="nil"/>
              <w:bottom w:val="single" w:sz="4" w:space="0" w:color="000000"/>
              <w:right w:val="single" w:sz="4" w:space="0" w:color="000000"/>
            </w:tcBorders>
            <w:shd w:val="clear" w:color="auto" w:fill="auto"/>
            <w:vAlign w:val="center"/>
          </w:tcPr>
          <w:p w14:paraId="1E6ED4F1"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Opatrenie</w:t>
            </w: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1CEBDF4B"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Zodpovednosť</w:t>
            </w:r>
          </w:p>
        </w:tc>
        <w:tc>
          <w:tcPr>
            <w:tcW w:w="890" w:type="dxa"/>
            <w:tcBorders>
              <w:top w:val="single" w:sz="4" w:space="0" w:color="000000"/>
              <w:left w:val="nil"/>
              <w:bottom w:val="single" w:sz="4" w:space="0" w:color="000000"/>
              <w:right w:val="single" w:sz="4" w:space="0" w:color="000000"/>
            </w:tcBorders>
            <w:shd w:val="clear" w:color="auto" w:fill="auto"/>
            <w:vAlign w:val="center"/>
          </w:tcPr>
          <w:p w14:paraId="1FE20D80"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Termín plnenia</w:t>
            </w:r>
          </w:p>
        </w:tc>
        <w:tc>
          <w:tcPr>
            <w:tcW w:w="890" w:type="dxa"/>
            <w:tcBorders>
              <w:top w:val="single" w:sz="4" w:space="0" w:color="000000"/>
              <w:left w:val="nil"/>
              <w:bottom w:val="single" w:sz="4" w:space="0" w:color="000000"/>
              <w:right w:val="single" w:sz="4" w:space="0" w:color="000000"/>
            </w:tcBorders>
          </w:tcPr>
          <w:p w14:paraId="3E2CA564"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Nový termín plnenia</w:t>
            </w:r>
          </w:p>
        </w:tc>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1C884"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1Q 2019</w:t>
            </w:r>
          </w:p>
        </w:tc>
        <w:tc>
          <w:tcPr>
            <w:tcW w:w="593" w:type="dxa"/>
            <w:tcBorders>
              <w:top w:val="single" w:sz="4" w:space="0" w:color="000000"/>
              <w:left w:val="nil"/>
              <w:bottom w:val="single" w:sz="4" w:space="0" w:color="000000"/>
              <w:right w:val="single" w:sz="4" w:space="0" w:color="000000"/>
            </w:tcBorders>
            <w:shd w:val="clear" w:color="auto" w:fill="auto"/>
            <w:vAlign w:val="center"/>
          </w:tcPr>
          <w:p w14:paraId="78064BF6"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2Q 2019</w:t>
            </w:r>
          </w:p>
        </w:tc>
        <w:tc>
          <w:tcPr>
            <w:tcW w:w="593" w:type="dxa"/>
            <w:tcBorders>
              <w:top w:val="single" w:sz="4" w:space="0" w:color="000000"/>
              <w:left w:val="nil"/>
              <w:bottom w:val="single" w:sz="4" w:space="0" w:color="000000"/>
              <w:right w:val="single" w:sz="4" w:space="0" w:color="000000"/>
            </w:tcBorders>
            <w:shd w:val="clear" w:color="auto" w:fill="auto"/>
            <w:vAlign w:val="center"/>
          </w:tcPr>
          <w:p w14:paraId="249D1EAB"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3Q 2019</w:t>
            </w:r>
          </w:p>
        </w:tc>
        <w:tc>
          <w:tcPr>
            <w:tcW w:w="593" w:type="dxa"/>
            <w:tcBorders>
              <w:top w:val="single" w:sz="4" w:space="0" w:color="000000"/>
              <w:left w:val="nil"/>
              <w:bottom w:val="single" w:sz="4" w:space="0" w:color="000000"/>
              <w:right w:val="single" w:sz="4" w:space="0" w:color="000000"/>
            </w:tcBorders>
            <w:shd w:val="clear" w:color="auto" w:fill="auto"/>
            <w:vAlign w:val="center"/>
          </w:tcPr>
          <w:p w14:paraId="3AAE5B2A"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4Q 2019</w:t>
            </w:r>
          </w:p>
        </w:tc>
      </w:tr>
      <w:tr w:rsidR="008E7D9E" w:rsidRPr="00666914" w14:paraId="5E187BE0" w14:textId="77777777" w:rsidTr="00ED49C2">
        <w:trPr>
          <w:trHeight w:val="573"/>
        </w:trPr>
        <w:tc>
          <w:tcPr>
            <w:tcW w:w="436" w:type="dxa"/>
            <w:tcBorders>
              <w:top w:val="nil"/>
              <w:left w:val="single" w:sz="8" w:space="0" w:color="000000"/>
              <w:bottom w:val="single" w:sz="4" w:space="0" w:color="000000"/>
              <w:right w:val="single" w:sz="4" w:space="0" w:color="000000"/>
            </w:tcBorders>
            <w:shd w:val="clear" w:color="auto" w:fill="auto"/>
            <w:vAlign w:val="center"/>
          </w:tcPr>
          <w:p w14:paraId="7A860A04"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1</w:t>
            </w:r>
          </w:p>
        </w:tc>
        <w:tc>
          <w:tcPr>
            <w:tcW w:w="3515" w:type="dxa"/>
            <w:tcBorders>
              <w:top w:val="nil"/>
              <w:left w:val="nil"/>
              <w:bottom w:val="single" w:sz="4" w:space="0" w:color="000000"/>
              <w:right w:val="single" w:sz="4" w:space="0" w:color="000000"/>
            </w:tcBorders>
            <w:shd w:val="clear" w:color="auto" w:fill="auto"/>
            <w:vAlign w:val="center"/>
          </w:tcPr>
          <w:p w14:paraId="033B3E6F"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Postupne implementovať opatrenia na zefektívnenie prevádzky podľa auditu BCG</w:t>
            </w:r>
          </w:p>
        </w:tc>
        <w:tc>
          <w:tcPr>
            <w:tcW w:w="1417" w:type="dxa"/>
            <w:tcBorders>
              <w:top w:val="nil"/>
              <w:left w:val="nil"/>
              <w:bottom w:val="single" w:sz="4" w:space="0" w:color="000000"/>
              <w:right w:val="single" w:sz="4" w:space="0" w:color="000000"/>
            </w:tcBorders>
            <w:shd w:val="clear" w:color="auto" w:fill="auto"/>
            <w:vAlign w:val="center"/>
          </w:tcPr>
          <w:p w14:paraId="12D6C8EC"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SVP</w:t>
            </w:r>
          </w:p>
        </w:tc>
        <w:tc>
          <w:tcPr>
            <w:tcW w:w="890" w:type="dxa"/>
            <w:tcBorders>
              <w:top w:val="nil"/>
              <w:left w:val="nil"/>
              <w:bottom w:val="single" w:sz="4" w:space="0" w:color="000000"/>
              <w:right w:val="single" w:sz="4" w:space="0" w:color="000000"/>
            </w:tcBorders>
            <w:shd w:val="clear" w:color="auto" w:fill="auto"/>
            <w:vAlign w:val="center"/>
          </w:tcPr>
          <w:p w14:paraId="54E6B9BC" w14:textId="77777777" w:rsidR="008E7D9E" w:rsidRPr="00666914" w:rsidRDefault="008E7D9E">
            <w:pPr>
              <w:spacing w:after="0"/>
              <w:ind w:left="-91"/>
              <w:jc w:val="center"/>
              <w:rPr>
                <w:rFonts w:eastAsia="Arial Narrow" w:cs="Arial Narrow"/>
                <w:color w:val="000000"/>
                <w:sz w:val="20"/>
                <w:szCs w:val="20"/>
              </w:rPr>
            </w:pPr>
            <w:r w:rsidRPr="00666914">
              <w:rPr>
                <w:rFonts w:eastAsia="Arial Narrow" w:cs="Arial Narrow"/>
                <w:color w:val="000000"/>
                <w:sz w:val="20"/>
                <w:szCs w:val="20"/>
              </w:rPr>
              <w:t>2018-2020</w:t>
            </w:r>
          </w:p>
        </w:tc>
        <w:tc>
          <w:tcPr>
            <w:tcW w:w="890" w:type="dxa"/>
            <w:tcBorders>
              <w:top w:val="single" w:sz="4" w:space="0" w:color="000000"/>
              <w:left w:val="nil"/>
              <w:bottom w:val="single" w:sz="4" w:space="0" w:color="000000"/>
              <w:right w:val="single" w:sz="4" w:space="0" w:color="000000"/>
            </w:tcBorders>
            <w:vAlign w:val="center"/>
          </w:tcPr>
          <w:p w14:paraId="32705463" w14:textId="3421200F" w:rsidR="008E7D9E" w:rsidRPr="00666914" w:rsidRDefault="00ED49C2" w:rsidP="00ED49C2">
            <w:pPr>
              <w:spacing w:after="0"/>
              <w:jc w:val="center"/>
              <w:rPr>
                <w:rFonts w:eastAsia="Arial Narrow" w:cs="Arial Narrow"/>
                <w:color w:val="000000"/>
                <w:sz w:val="20"/>
                <w:szCs w:val="20"/>
              </w:rPr>
            </w:pPr>
            <w:r w:rsidRPr="00666914">
              <w:rPr>
                <w:rFonts w:eastAsia="Arial Narrow" w:cs="Arial Narrow"/>
                <w:color w:val="000000"/>
                <w:sz w:val="20"/>
                <w:szCs w:val="20"/>
              </w:rPr>
              <w:t>-</w:t>
            </w:r>
          </w:p>
        </w:tc>
        <w:tc>
          <w:tcPr>
            <w:tcW w:w="593" w:type="dxa"/>
            <w:tcBorders>
              <w:top w:val="nil"/>
              <w:left w:val="single" w:sz="4" w:space="0" w:color="000000"/>
              <w:bottom w:val="single" w:sz="4" w:space="0" w:color="000000"/>
              <w:right w:val="single" w:sz="4" w:space="0" w:color="000000"/>
            </w:tcBorders>
            <w:shd w:val="clear" w:color="auto" w:fill="C00000"/>
            <w:vAlign w:val="bottom"/>
          </w:tcPr>
          <w:p w14:paraId="1A6233CE"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593" w:type="dxa"/>
            <w:tcBorders>
              <w:top w:val="nil"/>
              <w:left w:val="nil"/>
              <w:bottom w:val="single" w:sz="4" w:space="0" w:color="000000"/>
              <w:right w:val="single" w:sz="4" w:space="0" w:color="000000"/>
            </w:tcBorders>
            <w:shd w:val="clear" w:color="auto" w:fill="FF0000"/>
            <w:vAlign w:val="bottom"/>
          </w:tcPr>
          <w:p w14:paraId="446A3782"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593" w:type="dxa"/>
            <w:tcBorders>
              <w:top w:val="nil"/>
              <w:left w:val="nil"/>
              <w:bottom w:val="single" w:sz="4" w:space="0" w:color="000000"/>
              <w:right w:val="single" w:sz="4" w:space="0" w:color="000000"/>
            </w:tcBorders>
            <w:shd w:val="clear" w:color="auto" w:fill="FF0000"/>
            <w:vAlign w:val="bottom"/>
          </w:tcPr>
          <w:p w14:paraId="39E04F9E"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593" w:type="dxa"/>
            <w:tcBorders>
              <w:top w:val="nil"/>
              <w:left w:val="nil"/>
              <w:bottom w:val="single" w:sz="4" w:space="0" w:color="000000"/>
              <w:right w:val="single" w:sz="8" w:space="0" w:color="000000"/>
            </w:tcBorders>
            <w:shd w:val="clear" w:color="auto" w:fill="FF0000"/>
            <w:vAlign w:val="bottom"/>
          </w:tcPr>
          <w:p w14:paraId="6D5B2E9F"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2B971F50" w14:textId="77777777" w:rsidTr="00ED49C2">
        <w:trPr>
          <w:trHeight w:val="286"/>
        </w:trPr>
        <w:tc>
          <w:tcPr>
            <w:tcW w:w="436" w:type="dxa"/>
            <w:tcBorders>
              <w:top w:val="nil"/>
              <w:left w:val="single" w:sz="8" w:space="0" w:color="000000"/>
              <w:bottom w:val="single" w:sz="4" w:space="0" w:color="000000"/>
              <w:right w:val="single" w:sz="4" w:space="0" w:color="000000"/>
            </w:tcBorders>
            <w:shd w:val="clear" w:color="auto" w:fill="auto"/>
            <w:vAlign w:val="center"/>
          </w:tcPr>
          <w:p w14:paraId="6C5532CA"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2</w:t>
            </w:r>
          </w:p>
        </w:tc>
        <w:tc>
          <w:tcPr>
            <w:tcW w:w="3515" w:type="dxa"/>
            <w:tcBorders>
              <w:top w:val="nil"/>
              <w:left w:val="nil"/>
              <w:bottom w:val="single" w:sz="4" w:space="0" w:color="000000"/>
              <w:right w:val="single" w:sz="4" w:space="0" w:color="000000"/>
            </w:tcBorders>
            <w:shd w:val="clear" w:color="auto" w:fill="auto"/>
            <w:vAlign w:val="center"/>
          </w:tcPr>
          <w:p w14:paraId="1B8A573C"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Postupne zvýšiť poplatky za skládkovanie a zaviesť povinný množstvový zber</w:t>
            </w:r>
          </w:p>
        </w:tc>
        <w:tc>
          <w:tcPr>
            <w:tcW w:w="1417" w:type="dxa"/>
            <w:tcBorders>
              <w:top w:val="nil"/>
              <w:left w:val="nil"/>
              <w:bottom w:val="single" w:sz="4" w:space="0" w:color="000000"/>
              <w:right w:val="single" w:sz="4" w:space="0" w:color="000000"/>
            </w:tcBorders>
            <w:shd w:val="clear" w:color="auto" w:fill="auto"/>
            <w:vAlign w:val="center"/>
          </w:tcPr>
          <w:p w14:paraId="25416959"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w:t>
            </w:r>
          </w:p>
        </w:tc>
        <w:tc>
          <w:tcPr>
            <w:tcW w:w="890" w:type="dxa"/>
            <w:tcBorders>
              <w:top w:val="nil"/>
              <w:left w:val="nil"/>
              <w:bottom w:val="single" w:sz="4" w:space="0" w:color="000000"/>
              <w:right w:val="single" w:sz="4" w:space="0" w:color="000000"/>
            </w:tcBorders>
            <w:shd w:val="clear" w:color="auto" w:fill="auto"/>
            <w:vAlign w:val="center"/>
          </w:tcPr>
          <w:p w14:paraId="597338EC"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2019-2023</w:t>
            </w:r>
          </w:p>
        </w:tc>
        <w:tc>
          <w:tcPr>
            <w:tcW w:w="890" w:type="dxa"/>
            <w:tcBorders>
              <w:top w:val="single" w:sz="4" w:space="0" w:color="000000"/>
              <w:left w:val="nil"/>
              <w:bottom w:val="single" w:sz="4" w:space="0" w:color="000000"/>
              <w:right w:val="single" w:sz="4" w:space="0" w:color="000000"/>
            </w:tcBorders>
            <w:vAlign w:val="center"/>
          </w:tcPr>
          <w:p w14:paraId="345B9B6A" w14:textId="31D732CA" w:rsidR="008E7D9E" w:rsidRPr="00666914" w:rsidRDefault="00ED49C2" w:rsidP="00ED49C2">
            <w:pPr>
              <w:spacing w:after="0"/>
              <w:jc w:val="center"/>
              <w:rPr>
                <w:rFonts w:eastAsia="Arial Narrow" w:cs="Arial Narrow"/>
                <w:color w:val="000000"/>
                <w:sz w:val="20"/>
                <w:szCs w:val="20"/>
              </w:rPr>
            </w:pPr>
            <w:r w:rsidRPr="00666914">
              <w:rPr>
                <w:rFonts w:eastAsia="Arial Narrow" w:cs="Arial Narrow"/>
                <w:color w:val="000000"/>
                <w:sz w:val="20"/>
                <w:szCs w:val="20"/>
              </w:rPr>
              <w:t>-</w:t>
            </w:r>
          </w:p>
        </w:tc>
        <w:tc>
          <w:tcPr>
            <w:tcW w:w="593" w:type="dxa"/>
            <w:tcBorders>
              <w:top w:val="nil"/>
              <w:left w:val="single" w:sz="4" w:space="0" w:color="000000"/>
              <w:bottom w:val="single" w:sz="4" w:space="0" w:color="000000"/>
              <w:right w:val="single" w:sz="4" w:space="0" w:color="000000"/>
            </w:tcBorders>
            <w:shd w:val="clear" w:color="auto" w:fill="FFC000"/>
            <w:vAlign w:val="bottom"/>
          </w:tcPr>
          <w:p w14:paraId="3965F7A4"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593" w:type="dxa"/>
            <w:tcBorders>
              <w:top w:val="nil"/>
              <w:left w:val="nil"/>
              <w:bottom w:val="single" w:sz="4" w:space="0" w:color="000000"/>
              <w:right w:val="single" w:sz="4" w:space="0" w:color="000000"/>
            </w:tcBorders>
            <w:shd w:val="clear" w:color="auto" w:fill="FFC000"/>
            <w:vAlign w:val="bottom"/>
          </w:tcPr>
          <w:p w14:paraId="17DA2905"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593" w:type="dxa"/>
            <w:tcBorders>
              <w:top w:val="nil"/>
              <w:left w:val="nil"/>
              <w:bottom w:val="single" w:sz="4" w:space="0" w:color="000000"/>
              <w:right w:val="single" w:sz="4" w:space="0" w:color="000000"/>
            </w:tcBorders>
            <w:shd w:val="clear" w:color="auto" w:fill="FFC000"/>
            <w:vAlign w:val="bottom"/>
          </w:tcPr>
          <w:p w14:paraId="27646183"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593" w:type="dxa"/>
            <w:tcBorders>
              <w:top w:val="nil"/>
              <w:left w:val="nil"/>
              <w:bottom w:val="single" w:sz="4" w:space="0" w:color="000000"/>
              <w:right w:val="single" w:sz="8" w:space="0" w:color="000000"/>
            </w:tcBorders>
            <w:shd w:val="clear" w:color="auto" w:fill="FFC000"/>
            <w:vAlign w:val="bottom"/>
          </w:tcPr>
          <w:p w14:paraId="50FD9703"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73C899BF" w14:textId="77777777" w:rsidTr="00ED49C2">
        <w:trPr>
          <w:trHeight w:val="286"/>
        </w:trPr>
        <w:tc>
          <w:tcPr>
            <w:tcW w:w="436" w:type="dxa"/>
            <w:tcBorders>
              <w:top w:val="nil"/>
              <w:left w:val="single" w:sz="8" w:space="0" w:color="000000"/>
              <w:bottom w:val="single" w:sz="4" w:space="0" w:color="000000"/>
              <w:right w:val="single" w:sz="4" w:space="0" w:color="000000"/>
            </w:tcBorders>
            <w:shd w:val="clear" w:color="auto" w:fill="auto"/>
            <w:vAlign w:val="center"/>
          </w:tcPr>
          <w:p w14:paraId="5F991601"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3</w:t>
            </w:r>
          </w:p>
        </w:tc>
        <w:tc>
          <w:tcPr>
            <w:tcW w:w="3515" w:type="dxa"/>
            <w:tcBorders>
              <w:top w:val="nil"/>
              <w:left w:val="nil"/>
              <w:bottom w:val="single" w:sz="4" w:space="0" w:color="000000"/>
              <w:right w:val="single" w:sz="4" w:space="0" w:color="000000"/>
            </w:tcBorders>
            <w:shd w:val="clear" w:color="auto" w:fill="auto"/>
            <w:vAlign w:val="center"/>
          </w:tcPr>
          <w:p w14:paraId="0EEE0B51"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Zrušiť fakultatívne oslobodenia v spotrebných daniach (uhlie, elektrina, plyn)</w:t>
            </w:r>
          </w:p>
        </w:tc>
        <w:tc>
          <w:tcPr>
            <w:tcW w:w="1417" w:type="dxa"/>
            <w:tcBorders>
              <w:top w:val="nil"/>
              <w:left w:val="nil"/>
              <w:bottom w:val="single" w:sz="4" w:space="0" w:color="000000"/>
              <w:right w:val="single" w:sz="4" w:space="0" w:color="000000"/>
            </w:tcBorders>
            <w:shd w:val="clear" w:color="auto" w:fill="auto"/>
            <w:vAlign w:val="center"/>
          </w:tcPr>
          <w:p w14:paraId="5D34EBEE"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MF SR</w:t>
            </w:r>
          </w:p>
        </w:tc>
        <w:tc>
          <w:tcPr>
            <w:tcW w:w="890" w:type="dxa"/>
            <w:tcBorders>
              <w:top w:val="nil"/>
              <w:left w:val="nil"/>
              <w:bottom w:val="single" w:sz="4" w:space="0" w:color="000000"/>
              <w:right w:val="single" w:sz="4" w:space="0" w:color="000000"/>
            </w:tcBorders>
            <w:shd w:val="clear" w:color="auto" w:fill="auto"/>
            <w:vAlign w:val="center"/>
          </w:tcPr>
          <w:p w14:paraId="524BEA91"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2018-2019</w:t>
            </w:r>
          </w:p>
        </w:tc>
        <w:tc>
          <w:tcPr>
            <w:tcW w:w="890" w:type="dxa"/>
            <w:tcBorders>
              <w:top w:val="single" w:sz="4" w:space="0" w:color="000000"/>
              <w:left w:val="nil"/>
              <w:bottom w:val="single" w:sz="4" w:space="0" w:color="000000"/>
              <w:right w:val="single" w:sz="4" w:space="0" w:color="000000"/>
            </w:tcBorders>
            <w:vAlign w:val="center"/>
          </w:tcPr>
          <w:p w14:paraId="4572A61A"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12/2019</w:t>
            </w:r>
          </w:p>
        </w:tc>
        <w:tc>
          <w:tcPr>
            <w:tcW w:w="593" w:type="dxa"/>
            <w:tcBorders>
              <w:top w:val="nil"/>
              <w:left w:val="single" w:sz="4" w:space="0" w:color="000000"/>
              <w:bottom w:val="single" w:sz="4" w:space="0" w:color="000000"/>
              <w:right w:val="single" w:sz="4" w:space="0" w:color="000000"/>
            </w:tcBorders>
            <w:shd w:val="clear" w:color="auto" w:fill="FF0000"/>
            <w:vAlign w:val="bottom"/>
          </w:tcPr>
          <w:p w14:paraId="5A5AFCB9"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593" w:type="dxa"/>
            <w:tcBorders>
              <w:top w:val="nil"/>
              <w:left w:val="nil"/>
              <w:bottom w:val="single" w:sz="4" w:space="0" w:color="000000"/>
              <w:right w:val="single" w:sz="4" w:space="0" w:color="000000"/>
            </w:tcBorders>
            <w:shd w:val="clear" w:color="auto" w:fill="FF0000"/>
            <w:vAlign w:val="bottom"/>
          </w:tcPr>
          <w:p w14:paraId="6F9E37C5"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593" w:type="dxa"/>
            <w:tcBorders>
              <w:top w:val="nil"/>
              <w:left w:val="nil"/>
              <w:bottom w:val="single" w:sz="4" w:space="0" w:color="000000"/>
              <w:right w:val="single" w:sz="4" w:space="0" w:color="000000"/>
            </w:tcBorders>
            <w:shd w:val="clear" w:color="auto" w:fill="FF0000"/>
            <w:vAlign w:val="bottom"/>
          </w:tcPr>
          <w:p w14:paraId="23CE765B"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593" w:type="dxa"/>
            <w:tcBorders>
              <w:top w:val="nil"/>
              <w:left w:val="nil"/>
              <w:bottom w:val="single" w:sz="4" w:space="0" w:color="000000"/>
              <w:right w:val="single" w:sz="8" w:space="0" w:color="000000"/>
            </w:tcBorders>
            <w:shd w:val="clear" w:color="auto" w:fill="FF0000"/>
            <w:vAlign w:val="bottom"/>
          </w:tcPr>
          <w:p w14:paraId="429F4937"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244B1BCF" w14:textId="77777777" w:rsidTr="00ED49C2">
        <w:trPr>
          <w:trHeight w:val="286"/>
        </w:trPr>
        <w:tc>
          <w:tcPr>
            <w:tcW w:w="436" w:type="dxa"/>
            <w:tcBorders>
              <w:top w:val="nil"/>
              <w:left w:val="single" w:sz="8" w:space="0" w:color="000000"/>
              <w:bottom w:val="single" w:sz="4" w:space="0" w:color="000000"/>
              <w:right w:val="single" w:sz="4" w:space="0" w:color="000000"/>
            </w:tcBorders>
            <w:shd w:val="clear" w:color="auto" w:fill="auto"/>
            <w:vAlign w:val="center"/>
          </w:tcPr>
          <w:p w14:paraId="71BF1B43"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4</w:t>
            </w:r>
          </w:p>
        </w:tc>
        <w:tc>
          <w:tcPr>
            <w:tcW w:w="3515" w:type="dxa"/>
            <w:tcBorders>
              <w:top w:val="nil"/>
              <w:left w:val="nil"/>
              <w:bottom w:val="single" w:sz="4" w:space="0" w:color="000000"/>
              <w:right w:val="single" w:sz="4" w:space="0" w:color="000000"/>
            </w:tcBorders>
            <w:shd w:val="clear" w:color="auto" w:fill="auto"/>
            <w:vAlign w:val="center"/>
          </w:tcPr>
          <w:p w14:paraId="4B85C250"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Zaviesť inovatívne formy financovania ochrany prírody</w:t>
            </w:r>
          </w:p>
        </w:tc>
        <w:tc>
          <w:tcPr>
            <w:tcW w:w="1417" w:type="dxa"/>
            <w:tcBorders>
              <w:top w:val="nil"/>
              <w:left w:val="nil"/>
              <w:bottom w:val="single" w:sz="4" w:space="0" w:color="000000"/>
              <w:right w:val="single" w:sz="4" w:space="0" w:color="000000"/>
            </w:tcBorders>
            <w:shd w:val="clear" w:color="auto" w:fill="auto"/>
            <w:vAlign w:val="center"/>
          </w:tcPr>
          <w:p w14:paraId="657C6355"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 ŠOP SR</w:t>
            </w:r>
          </w:p>
        </w:tc>
        <w:tc>
          <w:tcPr>
            <w:tcW w:w="890" w:type="dxa"/>
            <w:tcBorders>
              <w:top w:val="nil"/>
              <w:left w:val="nil"/>
              <w:bottom w:val="single" w:sz="4" w:space="0" w:color="000000"/>
              <w:right w:val="single" w:sz="4" w:space="0" w:color="000000"/>
            </w:tcBorders>
            <w:shd w:val="clear" w:color="auto" w:fill="auto"/>
            <w:vAlign w:val="center"/>
          </w:tcPr>
          <w:p w14:paraId="6FFB9FC6"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w:t>
            </w:r>
          </w:p>
        </w:tc>
        <w:tc>
          <w:tcPr>
            <w:tcW w:w="890" w:type="dxa"/>
            <w:tcBorders>
              <w:top w:val="single" w:sz="4" w:space="0" w:color="000000"/>
              <w:left w:val="nil"/>
              <w:bottom w:val="single" w:sz="4" w:space="0" w:color="000000"/>
              <w:right w:val="single" w:sz="4" w:space="0" w:color="000000"/>
            </w:tcBorders>
            <w:vAlign w:val="center"/>
          </w:tcPr>
          <w:p w14:paraId="232D5E5A"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12/2019</w:t>
            </w:r>
          </w:p>
        </w:tc>
        <w:tc>
          <w:tcPr>
            <w:tcW w:w="593" w:type="dxa"/>
            <w:tcBorders>
              <w:top w:val="nil"/>
              <w:left w:val="single" w:sz="4" w:space="0" w:color="000000"/>
              <w:bottom w:val="single" w:sz="4" w:space="0" w:color="000000"/>
              <w:right w:val="single" w:sz="4" w:space="0" w:color="000000"/>
            </w:tcBorders>
            <w:shd w:val="clear" w:color="auto" w:fill="FF0000"/>
            <w:vAlign w:val="bottom"/>
          </w:tcPr>
          <w:p w14:paraId="1E895A12"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593" w:type="dxa"/>
            <w:tcBorders>
              <w:top w:val="nil"/>
              <w:left w:val="nil"/>
              <w:bottom w:val="single" w:sz="4" w:space="0" w:color="000000"/>
              <w:right w:val="single" w:sz="4" w:space="0" w:color="000000"/>
            </w:tcBorders>
            <w:shd w:val="clear" w:color="auto" w:fill="FF0000"/>
            <w:vAlign w:val="bottom"/>
          </w:tcPr>
          <w:p w14:paraId="165120EF"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593" w:type="dxa"/>
            <w:tcBorders>
              <w:top w:val="nil"/>
              <w:left w:val="nil"/>
              <w:bottom w:val="single" w:sz="4" w:space="0" w:color="000000"/>
              <w:right w:val="single" w:sz="4" w:space="0" w:color="000000"/>
            </w:tcBorders>
            <w:shd w:val="clear" w:color="auto" w:fill="FF0000"/>
            <w:vAlign w:val="bottom"/>
          </w:tcPr>
          <w:p w14:paraId="416933BC"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593" w:type="dxa"/>
            <w:tcBorders>
              <w:top w:val="nil"/>
              <w:left w:val="nil"/>
              <w:bottom w:val="single" w:sz="4" w:space="0" w:color="000000"/>
              <w:right w:val="single" w:sz="8" w:space="0" w:color="000000"/>
            </w:tcBorders>
            <w:shd w:val="clear" w:color="auto" w:fill="FF0000"/>
            <w:vAlign w:val="bottom"/>
          </w:tcPr>
          <w:p w14:paraId="7BF29500"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bl>
    <w:p w14:paraId="7076A2F2" w14:textId="77777777" w:rsidR="008E7D9E" w:rsidRPr="00666914" w:rsidRDefault="008E7D9E">
      <w:pPr>
        <w:spacing w:after="0"/>
        <w:ind w:left="720"/>
        <w:rPr>
          <w:rFonts w:eastAsia="Arial Narrow" w:cs="Arial Narrow"/>
          <w:b/>
          <w:u w:val="single"/>
        </w:rPr>
      </w:pPr>
    </w:p>
    <w:p w14:paraId="12561A73" w14:textId="36396840" w:rsidR="008E7D9E" w:rsidRPr="00666914" w:rsidRDefault="008E7D9E" w:rsidP="00131B23">
      <w:pPr>
        <w:numPr>
          <w:ilvl w:val="0"/>
          <w:numId w:val="25"/>
        </w:numPr>
        <w:spacing w:after="80"/>
        <w:rPr>
          <w:rFonts w:eastAsia="Arial Narrow" w:cs="Arial Narrow"/>
          <w:b/>
          <w:u w:val="single"/>
        </w:rPr>
      </w:pPr>
      <w:r w:rsidRPr="00666914">
        <w:rPr>
          <w:rFonts w:eastAsia="Arial Narrow" w:cs="Arial Narrow"/>
          <w:b/>
          <w:u w:val="single"/>
        </w:rPr>
        <w:t>Postupne implementovať opatrenia na zefektívnenie prevádzky podľa auditu BCG</w:t>
      </w:r>
    </w:p>
    <w:p w14:paraId="53613198" w14:textId="77777777" w:rsidR="002E5FF9" w:rsidRPr="00666914" w:rsidRDefault="002E5FF9" w:rsidP="002E5FF9">
      <w:pPr>
        <w:spacing w:after="80"/>
        <w:ind w:left="720"/>
        <w:rPr>
          <w:rFonts w:eastAsia="Arial Narrow" w:cs="Arial Narrow"/>
          <w:b/>
          <w:u w:val="single"/>
        </w:rPr>
      </w:pPr>
    </w:p>
    <w:p w14:paraId="0C415D10" w14:textId="77777777" w:rsidR="008E7D9E" w:rsidRPr="00666914" w:rsidRDefault="008E7D9E">
      <w:pPr>
        <w:spacing w:before="80" w:after="0"/>
        <w:rPr>
          <w:rFonts w:eastAsia="Arial Narrow" w:cs="Arial Narrow"/>
          <w:b/>
        </w:rPr>
      </w:pPr>
      <w:r w:rsidRPr="00666914">
        <w:rPr>
          <w:rFonts w:eastAsia="Arial Narrow" w:cs="Arial Narrow"/>
          <w:b/>
        </w:rPr>
        <w:t xml:space="preserve">Od ukončenia auditu BCG v SVP š.p. v roku 2017 a následne schválenej Revízii výdavkov na životné prostredie, sa SVP š.p. nedarí napĺňať odporúčania auditu, plánovaná úspora 14 mil. eur nebola do roka 2019 dosiahnutá. </w:t>
      </w:r>
      <w:r w:rsidRPr="00666914">
        <w:rPr>
          <w:rFonts w:eastAsia="Arial Narrow" w:cs="Arial Narrow"/>
        </w:rPr>
        <w:t>Naopak, naďalej sa prehlbuje strata podniku</w:t>
      </w:r>
      <w:r w:rsidRPr="00666914">
        <w:rPr>
          <w:rFonts w:eastAsia="Arial Narrow" w:cs="Arial Narrow"/>
          <w:vertAlign w:val="superscript"/>
        </w:rPr>
        <w:footnoteReference w:id="262"/>
      </w:r>
      <w:r w:rsidRPr="00666914">
        <w:rPr>
          <w:rFonts w:eastAsia="Arial Narrow" w:cs="Arial Narrow"/>
        </w:rPr>
        <w:t xml:space="preserve">. IJ preto v 07/2019 začala spolupracovať s SVP š.p. na vypracovaní Implementačného plánu SVP š.p., ako pokračovanie projektu Efektivita (audit BCG). IJ identifikovala, že SVP š. p. má priestor na zlepšenie svojho hospodárenia, predovšetkým efektívnejším nákupom tovarov a služieb, centralizáciou podporných činností a zefektívnením výkonu zamestnancov na technicko-prevádzkovom a inžinierskom aparáte. Ide o administratívno-podporné procesy, ktoré dokážu redistribuovať verejné zdroje v prospech hlavnej činnosti – v celkovej hodnote 18 mil. eur ročne. </w:t>
      </w:r>
      <w:r w:rsidRPr="00666914">
        <w:rPr>
          <w:rFonts w:eastAsia="Arial Narrow" w:cs="Arial Narrow"/>
          <w:b/>
        </w:rPr>
        <w:t>Na základe analytických prepočtov považuje IJ úsporu vo výške 14 mil. eur pre rok 2019 za realistickú.</w:t>
      </w:r>
    </w:p>
    <w:p w14:paraId="429BD387" w14:textId="77777777" w:rsidR="008E7D9E" w:rsidRPr="00666914" w:rsidRDefault="008E7D9E">
      <w:pPr>
        <w:spacing w:after="0"/>
        <w:rPr>
          <w:rFonts w:eastAsia="Arial Narrow" w:cs="Arial Narrow"/>
          <w:b/>
        </w:rPr>
      </w:pPr>
    </w:p>
    <w:p w14:paraId="6F0EBC08" w14:textId="2EF277BD" w:rsidR="002E5FF9" w:rsidRPr="00666914" w:rsidRDefault="00C45DA3">
      <w:pPr>
        <w:rPr>
          <w:rFonts w:eastAsia="Arial Narrow" w:cs="Arial Narrow"/>
          <w:b/>
        </w:rPr>
      </w:pPr>
      <w:sdt>
        <w:sdtPr>
          <w:tag w:val="goog_rdk_16"/>
          <w:id w:val="1873887977"/>
        </w:sdtPr>
        <w:sdtEndPr/>
        <w:sdtContent/>
      </w:sdt>
      <w:r w:rsidR="008E7D9E" w:rsidRPr="00666914">
        <w:rPr>
          <w:rFonts w:eastAsia="Arial Narrow" w:cs="Arial Narrow"/>
        </w:rPr>
        <w:t>V rámci výstupov projektu boli pripravené dva č</w:t>
      </w:r>
      <w:sdt>
        <w:sdtPr>
          <w:tag w:val="goog_rdk_17"/>
          <w:id w:val="1222408594"/>
        </w:sdtPr>
        <w:sdtEndPr/>
        <w:sdtContent/>
      </w:sdt>
      <w:sdt>
        <w:sdtPr>
          <w:tag w:val="goog_rdk_18"/>
          <w:id w:val="1009252186"/>
        </w:sdtPr>
        <w:sdtEndPr/>
        <w:sdtContent/>
      </w:sdt>
      <w:sdt>
        <w:sdtPr>
          <w:tag w:val="goog_rdk_19"/>
          <w:id w:val="-1674949086"/>
        </w:sdtPr>
        <w:sdtEndPr/>
        <w:sdtContent/>
      </w:sdt>
      <w:r w:rsidR="008E7D9E" w:rsidRPr="00666914">
        <w:rPr>
          <w:rFonts w:eastAsia="Arial Narrow" w:cs="Arial Narrow"/>
        </w:rPr>
        <w:t xml:space="preserve">iastkové výstupy pre MŽP SR a SVP, š.p. v 08/2019 a 10/2019. </w:t>
      </w:r>
      <w:r w:rsidR="008E7D9E" w:rsidRPr="00666914">
        <w:rPr>
          <w:rFonts w:eastAsia="Arial Narrow" w:cs="Arial Narrow"/>
          <w:b/>
        </w:rPr>
        <w:t>IJ ÚV SR identifikovala postupnú potenciálnu finančnú úsporu vo výške 18 mil. eur ročne, pričom predaj majetku môže zabezpečiť jednorazovo minimálne ďalších 4,1 mil. eur.</w:t>
      </w:r>
    </w:p>
    <w:p w14:paraId="26E85119" w14:textId="77777777" w:rsidR="002E5FF9" w:rsidRPr="00666914" w:rsidRDefault="002E5FF9">
      <w:pPr>
        <w:spacing w:after="0"/>
        <w:jc w:val="left"/>
        <w:rPr>
          <w:rFonts w:eastAsia="Arial Narrow" w:cs="Arial Narrow"/>
          <w:b/>
        </w:rPr>
      </w:pPr>
      <w:r w:rsidRPr="00666914">
        <w:rPr>
          <w:rFonts w:eastAsia="Arial Narrow" w:cs="Arial Narrow"/>
          <w:b/>
        </w:rPr>
        <w:br w:type="page"/>
      </w:r>
    </w:p>
    <w:p w14:paraId="5D46BF19" w14:textId="5C9A8E6F" w:rsidR="008E7D9E" w:rsidRPr="00666914" w:rsidRDefault="008E7D9E" w:rsidP="002E5FF9">
      <w:pPr>
        <w:spacing w:after="0"/>
        <w:rPr>
          <w:rFonts w:eastAsia="Arial Narrow" w:cs="Arial Narrow"/>
          <w:b/>
          <w:sz w:val="20"/>
          <w:szCs w:val="20"/>
        </w:rPr>
      </w:pPr>
      <w:bookmarkStart w:id="326" w:name="_Toc38447729"/>
      <w:r w:rsidRPr="00666914">
        <w:rPr>
          <w:rFonts w:eastAsia="Arial Narrow" w:cs="Arial Narrow"/>
          <w:b/>
          <w:sz w:val="20"/>
          <w:szCs w:val="20"/>
        </w:rPr>
        <w:lastRenderedPageBreak/>
        <w:t xml:space="preserve">Tabuľka </w:t>
      </w:r>
      <w:r w:rsidRPr="00666914">
        <w:rPr>
          <w:rFonts w:eastAsia="Arial Narrow" w:cs="Arial Narrow"/>
          <w:b/>
          <w:sz w:val="20"/>
          <w:szCs w:val="20"/>
        </w:rPr>
        <w:fldChar w:fldCharType="begin"/>
      </w:r>
      <w:r w:rsidRPr="00666914">
        <w:rPr>
          <w:rFonts w:eastAsia="Arial Narrow" w:cs="Arial Narrow"/>
          <w:b/>
          <w:sz w:val="20"/>
          <w:szCs w:val="20"/>
        </w:rPr>
        <w:instrText xml:space="preserve"> SEQ Tabuľka \* ARABIC \* MERGEFORMAT </w:instrText>
      </w:r>
      <w:r w:rsidRPr="00666914">
        <w:rPr>
          <w:rFonts w:eastAsia="Arial Narrow" w:cs="Arial Narrow"/>
          <w:b/>
          <w:sz w:val="20"/>
          <w:szCs w:val="20"/>
        </w:rPr>
        <w:fldChar w:fldCharType="separate"/>
      </w:r>
      <w:r w:rsidR="005A7304">
        <w:rPr>
          <w:rFonts w:eastAsia="Arial Narrow" w:cs="Arial Narrow"/>
          <w:b/>
          <w:noProof/>
          <w:sz w:val="20"/>
          <w:szCs w:val="20"/>
        </w:rPr>
        <w:t>68</w:t>
      </w:r>
      <w:r w:rsidRPr="00666914">
        <w:rPr>
          <w:rFonts w:eastAsia="Arial Narrow" w:cs="Arial Narrow"/>
          <w:b/>
          <w:sz w:val="20"/>
          <w:szCs w:val="20"/>
        </w:rPr>
        <w:fldChar w:fldCharType="end"/>
      </w:r>
      <w:r w:rsidRPr="00666914">
        <w:rPr>
          <w:rFonts w:eastAsia="Arial Narrow" w:cs="Arial Narrow"/>
          <w:b/>
          <w:sz w:val="20"/>
          <w:szCs w:val="20"/>
        </w:rPr>
        <w:t>: Potenciál navrhovaných úspor</w:t>
      </w:r>
      <w:bookmarkEnd w:id="326"/>
      <w:r w:rsidRPr="00666914">
        <w:rPr>
          <w:rFonts w:eastAsia="Arial Narrow" w:cs="Arial Narrow"/>
          <w:b/>
          <w:sz w:val="20"/>
          <w:szCs w:val="20"/>
        </w:rPr>
        <w:t xml:space="preserve"> </w:t>
      </w:r>
    </w:p>
    <w:tbl>
      <w:tblPr>
        <w:tblW w:w="9194" w:type="dxa"/>
        <w:tblLayout w:type="fixed"/>
        <w:tblLook w:val="0400" w:firstRow="0" w:lastRow="0" w:firstColumn="0" w:lastColumn="0" w:noHBand="0" w:noVBand="1"/>
      </w:tblPr>
      <w:tblGrid>
        <w:gridCol w:w="2694"/>
        <w:gridCol w:w="991"/>
        <w:gridCol w:w="850"/>
        <w:gridCol w:w="3403"/>
        <w:gridCol w:w="616"/>
        <w:gridCol w:w="640"/>
      </w:tblGrid>
      <w:tr w:rsidR="008E7D9E" w:rsidRPr="00666914" w14:paraId="298618AF" w14:textId="77777777" w:rsidTr="00254A5B">
        <w:trPr>
          <w:trHeight w:val="330"/>
        </w:trPr>
        <w:tc>
          <w:tcPr>
            <w:tcW w:w="2694" w:type="dxa"/>
            <w:vMerge w:val="restart"/>
            <w:tcBorders>
              <w:top w:val="single" w:sz="4" w:space="0" w:color="000000"/>
              <w:left w:val="nil"/>
              <w:bottom w:val="single" w:sz="4" w:space="0" w:color="000000"/>
              <w:right w:val="nil"/>
            </w:tcBorders>
            <w:shd w:val="clear" w:color="auto" w:fill="auto"/>
            <w:vAlign w:val="center"/>
          </w:tcPr>
          <w:p w14:paraId="7E1E176B"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Návrh opatrení BCG</w:t>
            </w:r>
          </w:p>
        </w:tc>
        <w:tc>
          <w:tcPr>
            <w:tcW w:w="1841" w:type="dxa"/>
            <w:gridSpan w:val="2"/>
            <w:tcBorders>
              <w:top w:val="single" w:sz="4" w:space="0" w:color="000000"/>
              <w:left w:val="nil"/>
              <w:bottom w:val="single" w:sz="4" w:space="0" w:color="000000"/>
              <w:right w:val="nil"/>
            </w:tcBorders>
            <w:shd w:val="clear" w:color="auto" w:fill="auto"/>
            <w:vAlign w:val="bottom"/>
          </w:tcPr>
          <w:p w14:paraId="63754EF1"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Úspora</w:t>
            </w:r>
          </w:p>
        </w:tc>
        <w:tc>
          <w:tcPr>
            <w:tcW w:w="3403" w:type="dxa"/>
            <w:tcBorders>
              <w:top w:val="single" w:sz="4" w:space="0" w:color="000000"/>
              <w:left w:val="single" w:sz="4" w:space="0" w:color="000000"/>
              <w:right w:val="nil"/>
            </w:tcBorders>
            <w:shd w:val="clear" w:color="auto" w:fill="auto"/>
            <w:vAlign w:val="bottom"/>
          </w:tcPr>
          <w:p w14:paraId="2662631F" w14:textId="77777777" w:rsidR="008E7D9E" w:rsidRPr="00666914" w:rsidRDefault="008E7D9E">
            <w:pPr>
              <w:spacing w:after="0"/>
              <w:jc w:val="center"/>
              <w:rPr>
                <w:rFonts w:eastAsia="Arial Narrow" w:cs="Arial Narrow"/>
                <w:b/>
                <w:color w:val="000000"/>
                <w:sz w:val="20"/>
                <w:szCs w:val="20"/>
              </w:rPr>
            </w:pPr>
          </w:p>
        </w:tc>
        <w:tc>
          <w:tcPr>
            <w:tcW w:w="1256" w:type="dxa"/>
            <w:gridSpan w:val="2"/>
            <w:tcBorders>
              <w:top w:val="single" w:sz="4" w:space="0" w:color="000000"/>
              <w:left w:val="nil"/>
              <w:bottom w:val="single" w:sz="4" w:space="0" w:color="000000"/>
              <w:right w:val="nil"/>
            </w:tcBorders>
            <w:shd w:val="clear" w:color="auto" w:fill="auto"/>
            <w:vAlign w:val="bottom"/>
          </w:tcPr>
          <w:p w14:paraId="2781617F"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Úspora</w:t>
            </w:r>
          </w:p>
        </w:tc>
      </w:tr>
      <w:tr w:rsidR="008E7D9E" w:rsidRPr="00666914" w14:paraId="0B5B2060" w14:textId="77777777" w:rsidTr="00254A5B">
        <w:trPr>
          <w:trHeight w:val="330"/>
        </w:trPr>
        <w:tc>
          <w:tcPr>
            <w:tcW w:w="2694" w:type="dxa"/>
            <w:vMerge/>
            <w:tcBorders>
              <w:top w:val="single" w:sz="4" w:space="0" w:color="000000"/>
              <w:left w:val="nil"/>
              <w:bottom w:val="single" w:sz="4" w:space="0" w:color="000000"/>
              <w:right w:val="nil"/>
            </w:tcBorders>
            <w:shd w:val="clear" w:color="auto" w:fill="auto"/>
            <w:vAlign w:val="center"/>
          </w:tcPr>
          <w:p w14:paraId="186DB95C" w14:textId="77777777" w:rsidR="008E7D9E" w:rsidRPr="00666914" w:rsidRDefault="008E7D9E">
            <w:pPr>
              <w:widowControl w:val="0"/>
              <w:pBdr>
                <w:top w:val="nil"/>
                <w:left w:val="nil"/>
                <w:bottom w:val="nil"/>
                <w:right w:val="nil"/>
                <w:between w:val="nil"/>
              </w:pBdr>
              <w:spacing w:after="0" w:line="276" w:lineRule="auto"/>
              <w:rPr>
                <w:rFonts w:eastAsia="Arial Narrow" w:cs="Arial Narrow"/>
                <w:b/>
                <w:color w:val="000000"/>
                <w:sz w:val="20"/>
                <w:szCs w:val="20"/>
              </w:rPr>
            </w:pPr>
          </w:p>
        </w:tc>
        <w:tc>
          <w:tcPr>
            <w:tcW w:w="991" w:type="dxa"/>
            <w:tcBorders>
              <w:top w:val="nil"/>
              <w:left w:val="nil"/>
              <w:bottom w:val="nil"/>
              <w:right w:val="nil"/>
            </w:tcBorders>
            <w:shd w:val="clear" w:color="auto" w:fill="auto"/>
            <w:vAlign w:val="bottom"/>
          </w:tcPr>
          <w:p w14:paraId="446CB259"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FTE</w:t>
            </w:r>
          </w:p>
        </w:tc>
        <w:tc>
          <w:tcPr>
            <w:tcW w:w="850" w:type="dxa"/>
            <w:tcBorders>
              <w:top w:val="nil"/>
              <w:left w:val="nil"/>
              <w:bottom w:val="nil"/>
              <w:right w:val="single" w:sz="4" w:space="0" w:color="000000"/>
            </w:tcBorders>
            <w:shd w:val="clear" w:color="auto" w:fill="auto"/>
            <w:vAlign w:val="bottom"/>
          </w:tcPr>
          <w:p w14:paraId="1902D574"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mil. eur</w:t>
            </w:r>
          </w:p>
        </w:tc>
        <w:tc>
          <w:tcPr>
            <w:tcW w:w="3403" w:type="dxa"/>
            <w:tcBorders>
              <w:left w:val="single" w:sz="4" w:space="0" w:color="000000"/>
              <w:bottom w:val="single" w:sz="4" w:space="0" w:color="000000"/>
              <w:right w:val="nil"/>
            </w:tcBorders>
          </w:tcPr>
          <w:p w14:paraId="1CC383CE"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Návrh úspor IJ</w:t>
            </w:r>
          </w:p>
        </w:tc>
        <w:tc>
          <w:tcPr>
            <w:tcW w:w="616" w:type="dxa"/>
            <w:tcBorders>
              <w:top w:val="nil"/>
              <w:left w:val="nil"/>
              <w:bottom w:val="nil"/>
              <w:right w:val="nil"/>
            </w:tcBorders>
            <w:shd w:val="clear" w:color="auto" w:fill="auto"/>
            <w:vAlign w:val="bottom"/>
          </w:tcPr>
          <w:p w14:paraId="13A44650"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FTE</w:t>
            </w:r>
          </w:p>
        </w:tc>
        <w:tc>
          <w:tcPr>
            <w:tcW w:w="640" w:type="dxa"/>
            <w:tcBorders>
              <w:top w:val="nil"/>
              <w:left w:val="nil"/>
              <w:bottom w:val="nil"/>
              <w:right w:val="nil"/>
            </w:tcBorders>
            <w:shd w:val="clear" w:color="auto" w:fill="auto"/>
            <w:vAlign w:val="bottom"/>
          </w:tcPr>
          <w:p w14:paraId="202A21B0"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mil. eur</w:t>
            </w:r>
          </w:p>
        </w:tc>
      </w:tr>
      <w:tr w:rsidR="008E7D9E" w:rsidRPr="00666914" w14:paraId="05841CBA" w14:textId="77777777" w:rsidTr="00254A5B">
        <w:trPr>
          <w:trHeight w:val="510"/>
        </w:trPr>
        <w:tc>
          <w:tcPr>
            <w:tcW w:w="2694" w:type="dxa"/>
            <w:tcBorders>
              <w:top w:val="nil"/>
              <w:left w:val="nil"/>
              <w:bottom w:val="nil"/>
              <w:right w:val="nil"/>
            </w:tcBorders>
            <w:shd w:val="clear" w:color="auto" w:fill="auto"/>
          </w:tcPr>
          <w:p w14:paraId="41F5C8A2"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Centralizácia činností</w:t>
            </w:r>
          </w:p>
        </w:tc>
        <w:tc>
          <w:tcPr>
            <w:tcW w:w="991" w:type="dxa"/>
            <w:tcBorders>
              <w:top w:val="single" w:sz="4" w:space="0" w:color="000000"/>
              <w:left w:val="nil"/>
              <w:bottom w:val="nil"/>
              <w:right w:val="nil"/>
            </w:tcBorders>
            <w:shd w:val="clear" w:color="auto" w:fill="auto"/>
          </w:tcPr>
          <w:p w14:paraId="0D1ECCD1"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323</w:t>
            </w:r>
          </w:p>
        </w:tc>
        <w:tc>
          <w:tcPr>
            <w:tcW w:w="850" w:type="dxa"/>
            <w:tcBorders>
              <w:top w:val="single" w:sz="4" w:space="0" w:color="000000"/>
              <w:left w:val="nil"/>
              <w:bottom w:val="nil"/>
              <w:right w:val="single" w:sz="4" w:space="0" w:color="000000"/>
            </w:tcBorders>
            <w:shd w:val="clear" w:color="auto" w:fill="auto"/>
          </w:tcPr>
          <w:p w14:paraId="71A418DB"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4,4</w:t>
            </w:r>
          </w:p>
        </w:tc>
        <w:tc>
          <w:tcPr>
            <w:tcW w:w="3403" w:type="dxa"/>
            <w:tcBorders>
              <w:top w:val="nil"/>
              <w:left w:val="nil"/>
              <w:bottom w:val="nil"/>
              <w:right w:val="nil"/>
            </w:tcBorders>
            <w:shd w:val="clear" w:color="auto" w:fill="auto"/>
          </w:tcPr>
          <w:p w14:paraId="3F5A8CD5"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xml:space="preserve">Návrh úspory pre podporné činnosti - Financie, Nákup, Ľudské zdroje </w:t>
            </w:r>
          </w:p>
        </w:tc>
        <w:tc>
          <w:tcPr>
            <w:tcW w:w="616" w:type="dxa"/>
            <w:tcBorders>
              <w:top w:val="single" w:sz="4" w:space="0" w:color="000000"/>
              <w:left w:val="nil"/>
              <w:bottom w:val="single" w:sz="4" w:space="0" w:color="000000"/>
              <w:right w:val="nil"/>
            </w:tcBorders>
            <w:shd w:val="clear" w:color="auto" w:fill="auto"/>
          </w:tcPr>
          <w:p w14:paraId="0FD9AA36"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208</w:t>
            </w:r>
          </w:p>
        </w:tc>
        <w:tc>
          <w:tcPr>
            <w:tcW w:w="640" w:type="dxa"/>
            <w:tcBorders>
              <w:top w:val="single" w:sz="4" w:space="0" w:color="000000"/>
              <w:left w:val="nil"/>
              <w:bottom w:val="single" w:sz="4" w:space="0" w:color="000000"/>
              <w:right w:val="nil"/>
            </w:tcBorders>
            <w:shd w:val="clear" w:color="auto" w:fill="auto"/>
          </w:tcPr>
          <w:p w14:paraId="2C63A37F"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4,0</w:t>
            </w:r>
          </w:p>
        </w:tc>
      </w:tr>
      <w:tr w:rsidR="008E7D9E" w:rsidRPr="00666914" w14:paraId="418B2612" w14:textId="77777777" w:rsidTr="00254A5B">
        <w:trPr>
          <w:trHeight w:val="330"/>
        </w:trPr>
        <w:tc>
          <w:tcPr>
            <w:tcW w:w="2694" w:type="dxa"/>
            <w:tcBorders>
              <w:top w:val="nil"/>
              <w:left w:val="nil"/>
              <w:bottom w:val="nil"/>
              <w:right w:val="nil"/>
            </w:tcBorders>
            <w:shd w:val="clear" w:color="auto" w:fill="auto"/>
          </w:tcPr>
          <w:p w14:paraId="384EBA07" w14:textId="77777777" w:rsidR="008E7D9E" w:rsidRPr="00666914" w:rsidRDefault="008E7D9E">
            <w:pPr>
              <w:spacing w:after="0"/>
              <w:jc w:val="center"/>
              <w:rPr>
                <w:rFonts w:eastAsia="Arial Narrow" w:cs="Arial Narrow"/>
                <w:color w:val="000000"/>
                <w:sz w:val="20"/>
                <w:szCs w:val="20"/>
              </w:rPr>
            </w:pPr>
          </w:p>
        </w:tc>
        <w:tc>
          <w:tcPr>
            <w:tcW w:w="991" w:type="dxa"/>
            <w:tcBorders>
              <w:top w:val="nil"/>
              <w:left w:val="nil"/>
              <w:bottom w:val="nil"/>
              <w:right w:val="nil"/>
            </w:tcBorders>
            <w:shd w:val="clear" w:color="auto" w:fill="auto"/>
          </w:tcPr>
          <w:p w14:paraId="3F4369B2"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38</w:t>
            </w:r>
          </w:p>
        </w:tc>
        <w:tc>
          <w:tcPr>
            <w:tcW w:w="850" w:type="dxa"/>
            <w:tcBorders>
              <w:top w:val="nil"/>
              <w:left w:val="nil"/>
              <w:bottom w:val="nil"/>
              <w:right w:val="single" w:sz="4" w:space="0" w:color="000000"/>
            </w:tcBorders>
            <w:shd w:val="clear" w:color="auto" w:fill="auto"/>
          </w:tcPr>
          <w:p w14:paraId="183AB2A0"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0,6</w:t>
            </w:r>
          </w:p>
        </w:tc>
        <w:tc>
          <w:tcPr>
            <w:tcW w:w="3403" w:type="dxa"/>
            <w:tcBorders>
              <w:top w:val="single" w:sz="4" w:space="0" w:color="000000"/>
              <w:left w:val="nil"/>
              <w:bottom w:val="single" w:sz="4" w:space="0" w:color="000000"/>
              <w:right w:val="nil"/>
            </w:tcBorders>
            <w:shd w:val="clear" w:color="auto" w:fill="auto"/>
          </w:tcPr>
          <w:p w14:paraId="1EE35940"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Centralizácia laboratórií - zatiaľ neodporúčame</w:t>
            </w:r>
          </w:p>
        </w:tc>
        <w:tc>
          <w:tcPr>
            <w:tcW w:w="616" w:type="dxa"/>
            <w:tcBorders>
              <w:top w:val="nil"/>
              <w:left w:val="nil"/>
              <w:bottom w:val="single" w:sz="4" w:space="0" w:color="000000"/>
              <w:right w:val="nil"/>
            </w:tcBorders>
            <w:shd w:val="clear" w:color="auto" w:fill="auto"/>
          </w:tcPr>
          <w:p w14:paraId="12E3BDC6"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0</w:t>
            </w:r>
          </w:p>
        </w:tc>
        <w:tc>
          <w:tcPr>
            <w:tcW w:w="640" w:type="dxa"/>
            <w:tcBorders>
              <w:top w:val="nil"/>
              <w:left w:val="nil"/>
              <w:bottom w:val="single" w:sz="4" w:space="0" w:color="000000"/>
              <w:right w:val="nil"/>
            </w:tcBorders>
            <w:shd w:val="clear" w:color="auto" w:fill="auto"/>
          </w:tcPr>
          <w:p w14:paraId="45F42062"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0,0</w:t>
            </w:r>
          </w:p>
        </w:tc>
      </w:tr>
      <w:tr w:rsidR="008E7D9E" w:rsidRPr="00666914" w14:paraId="4BE5ED02" w14:textId="77777777" w:rsidTr="00254A5B">
        <w:trPr>
          <w:trHeight w:val="765"/>
        </w:trPr>
        <w:tc>
          <w:tcPr>
            <w:tcW w:w="2694" w:type="dxa"/>
            <w:tcBorders>
              <w:top w:val="nil"/>
              <w:left w:val="nil"/>
              <w:bottom w:val="single" w:sz="4" w:space="0" w:color="000000"/>
              <w:right w:val="nil"/>
            </w:tcBorders>
            <w:shd w:val="clear" w:color="auto" w:fill="auto"/>
          </w:tcPr>
          <w:p w14:paraId="12404B8C"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991" w:type="dxa"/>
            <w:tcBorders>
              <w:top w:val="nil"/>
              <w:left w:val="nil"/>
              <w:bottom w:val="single" w:sz="4" w:space="0" w:color="000000"/>
              <w:right w:val="nil"/>
            </w:tcBorders>
            <w:shd w:val="clear" w:color="auto" w:fill="auto"/>
          </w:tcPr>
          <w:p w14:paraId="479EE684"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88</w:t>
            </w:r>
          </w:p>
        </w:tc>
        <w:tc>
          <w:tcPr>
            <w:tcW w:w="850" w:type="dxa"/>
            <w:tcBorders>
              <w:top w:val="nil"/>
              <w:left w:val="nil"/>
              <w:bottom w:val="single" w:sz="4" w:space="0" w:color="000000"/>
              <w:right w:val="single" w:sz="4" w:space="0" w:color="000000"/>
            </w:tcBorders>
            <w:shd w:val="clear" w:color="auto" w:fill="auto"/>
          </w:tcPr>
          <w:p w14:paraId="35FE39AF"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1,3</w:t>
            </w:r>
          </w:p>
        </w:tc>
        <w:tc>
          <w:tcPr>
            <w:tcW w:w="3403" w:type="dxa"/>
            <w:tcBorders>
              <w:top w:val="nil"/>
              <w:left w:val="nil"/>
              <w:bottom w:val="nil"/>
              <w:right w:val="nil"/>
            </w:tcBorders>
            <w:shd w:val="clear" w:color="auto" w:fill="auto"/>
          </w:tcPr>
          <w:p w14:paraId="74F7BF58"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Manažérska centralizácia a zefektívnenie výkonu inžinierskych činností, vyjadrovacej činnosti, odboru THR a THP a odboru THP a dispečingu</w:t>
            </w:r>
          </w:p>
        </w:tc>
        <w:tc>
          <w:tcPr>
            <w:tcW w:w="616" w:type="dxa"/>
            <w:tcBorders>
              <w:top w:val="nil"/>
              <w:left w:val="nil"/>
              <w:bottom w:val="single" w:sz="4" w:space="0" w:color="000000"/>
              <w:right w:val="nil"/>
            </w:tcBorders>
            <w:shd w:val="clear" w:color="auto" w:fill="auto"/>
          </w:tcPr>
          <w:p w14:paraId="5F748BD4"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105</w:t>
            </w:r>
          </w:p>
        </w:tc>
        <w:tc>
          <w:tcPr>
            <w:tcW w:w="640" w:type="dxa"/>
            <w:tcBorders>
              <w:top w:val="nil"/>
              <w:left w:val="nil"/>
              <w:bottom w:val="single" w:sz="4" w:space="0" w:color="000000"/>
              <w:right w:val="nil"/>
            </w:tcBorders>
            <w:shd w:val="clear" w:color="auto" w:fill="auto"/>
          </w:tcPr>
          <w:p w14:paraId="15251D68"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2,5</w:t>
            </w:r>
          </w:p>
        </w:tc>
      </w:tr>
      <w:tr w:rsidR="008E7D9E" w:rsidRPr="00666914" w14:paraId="5F88F05E" w14:textId="77777777" w:rsidTr="00254A5B">
        <w:trPr>
          <w:trHeight w:val="300"/>
        </w:trPr>
        <w:tc>
          <w:tcPr>
            <w:tcW w:w="2694" w:type="dxa"/>
            <w:tcBorders>
              <w:top w:val="nil"/>
              <w:left w:val="nil"/>
              <w:bottom w:val="nil"/>
              <w:right w:val="nil"/>
            </w:tcBorders>
            <w:shd w:val="clear" w:color="auto" w:fill="auto"/>
            <w:vAlign w:val="center"/>
          </w:tcPr>
          <w:p w14:paraId="4EC2317A"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Zvýšenie efektivity výkonu</w:t>
            </w:r>
          </w:p>
        </w:tc>
        <w:tc>
          <w:tcPr>
            <w:tcW w:w="991" w:type="dxa"/>
            <w:tcBorders>
              <w:top w:val="nil"/>
              <w:left w:val="nil"/>
              <w:bottom w:val="nil"/>
              <w:right w:val="nil"/>
            </w:tcBorders>
            <w:shd w:val="clear" w:color="auto" w:fill="auto"/>
            <w:vAlign w:val="center"/>
          </w:tcPr>
          <w:p w14:paraId="0AF107AA"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408</w:t>
            </w:r>
          </w:p>
        </w:tc>
        <w:tc>
          <w:tcPr>
            <w:tcW w:w="850" w:type="dxa"/>
            <w:tcBorders>
              <w:top w:val="nil"/>
              <w:left w:val="nil"/>
              <w:bottom w:val="nil"/>
              <w:right w:val="nil"/>
            </w:tcBorders>
            <w:shd w:val="clear" w:color="auto" w:fill="auto"/>
            <w:vAlign w:val="center"/>
          </w:tcPr>
          <w:p w14:paraId="5BBFBF47"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6,5</w:t>
            </w:r>
          </w:p>
        </w:tc>
        <w:tc>
          <w:tcPr>
            <w:tcW w:w="3403" w:type="dxa"/>
            <w:tcBorders>
              <w:top w:val="single" w:sz="4" w:space="0" w:color="000000"/>
              <w:left w:val="single" w:sz="4" w:space="0" w:color="000000"/>
              <w:bottom w:val="nil"/>
              <w:right w:val="nil"/>
            </w:tcBorders>
            <w:shd w:val="clear" w:color="auto" w:fill="auto"/>
            <w:vAlign w:val="center"/>
          </w:tcPr>
          <w:p w14:paraId="6619DB4F"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Zvýšenie efektivity výkonu - field</w:t>
            </w:r>
          </w:p>
        </w:tc>
        <w:tc>
          <w:tcPr>
            <w:tcW w:w="616" w:type="dxa"/>
            <w:tcBorders>
              <w:top w:val="single" w:sz="4" w:space="0" w:color="000000"/>
              <w:left w:val="nil"/>
              <w:bottom w:val="nil"/>
              <w:right w:val="nil"/>
            </w:tcBorders>
            <w:shd w:val="clear" w:color="auto" w:fill="auto"/>
            <w:vAlign w:val="center"/>
          </w:tcPr>
          <w:p w14:paraId="08FF61B6"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197</w:t>
            </w:r>
          </w:p>
        </w:tc>
        <w:tc>
          <w:tcPr>
            <w:tcW w:w="640" w:type="dxa"/>
            <w:tcBorders>
              <w:top w:val="single" w:sz="4" w:space="0" w:color="000000"/>
              <w:left w:val="nil"/>
              <w:bottom w:val="nil"/>
              <w:right w:val="nil"/>
            </w:tcBorders>
            <w:shd w:val="clear" w:color="auto" w:fill="auto"/>
            <w:vAlign w:val="center"/>
          </w:tcPr>
          <w:p w14:paraId="485427D5"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2,5</w:t>
            </w:r>
          </w:p>
        </w:tc>
      </w:tr>
      <w:tr w:rsidR="008E7D9E" w:rsidRPr="00666914" w14:paraId="1C6C83EC" w14:textId="77777777" w:rsidTr="00254A5B">
        <w:trPr>
          <w:trHeight w:val="330"/>
        </w:trPr>
        <w:tc>
          <w:tcPr>
            <w:tcW w:w="2694" w:type="dxa"/>
            <w:tcBorders>
              <w:top w:val="single" w:sz="4" w:space="0" w:color="000000"/>
              <w:left w:val="nil"/>
              <w:bottom w:val="single" w:sz="4" w:space="0" w:color="000000"/>
              <w:right w:val="nil"/>
            </w:tcBorders>
            <w:shd w:val="clear" w:color="auto" w:fill="auto"/>
          </w:tcPr>
          <w:p w14:paraId="237A25C2"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Optimalizácia nákupu</w:t>
            </w:r>
          </w:p>
        </w:tc>
        <w:tc>
          <w:tcPr>
            <w:tcW w:w="991" w:type="dxa"/>
            <w:tcBorders>
              <w:top w:val="single" w:sz="4" w:space="0" w:color="000000"/>
              <w:left w:val="nil"/>
              <w:bottom w:val="single" w:sz="4" w:space="0" w:color="000000"/>
              <w:right w:val="nil"/>
            </w:tcBorders>
            <w:shd w:val="clear" w:color="auto" w:fill="auto"/>
          </w:tcPr>
          <w:p w14:paraId="200754A0"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n/a</w:t>
            </w:r>
          </w:p>
        </w:tc>
        <w:tc>
          <w:tcPr>
            <w:tcW w:w="850" w:type="dxa"/>
            <w:tcBorders>
              <w:top w:val="single" w:sz="4" w:space="0" w:color="000000"/>
              <w:left w:val="nil"/>
              <w:bottom w:val="single" w:sz="4" w:space="0" w:color="000000"/>
              <w:right w:val="single" w:sz="4" w:space="0" w:color="000000"/>
            </w:tcBorders>
            <w:shd w:val="clear" w:color="auto" w:fill="auto"/>
          </w:tcPr>
          <w:p w14:paraId="54464D19"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7,0</w:t>
            </w:r>
          </w:p>
        </w:tc>
        <w:tc>
          <w:tcPr>
            <w:tcW w:w="3403" w:type="dxa"/>
            <w:tcBorders>
              <w:top w:val="single" w:sz="4" w:space="0" w:color="000000"/>
              <w:left w:val="nil"/>
              <w:bottom w:val="single" w:sz="4" w:space="0" w:color="000000"/>
              <w:right w:val="nil"/>
            </w:tcBorders>
            <w:shd w:val="clear" w:color="auto" w:fill="auto"/>
          </w:tcPr>
          <w:p w14:paraId="2808A328"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Nákup služieb a tovarov - príliš drahý</w:t>
            </w:r>
          </w:p>
        </w:tc>
        <w:tc>
          <w:tcPr>
            <w:tcW w:w="616" w:type="dxa"/>
            <w:tcBorders>
              <w:top w:val="single" w:sz="4" w:space="0" w:color="000000"/>
              <w:left w:val="nil"/>
              <w:bottom w:val="single" w:sz="4" w:space="0" w:color="000000"/>
              <w:right w:val="nil"/>
            </w:tcBorders>
            <w:shd w:val="clear" w:color="auto" w:fill="auto"/>
          </w:tcPr>
          <w:p w14:paraId="6E67FEA9"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 </w:t>
            </w:r>
          </w:p>
        </w:tc>
        <w:tc>
          <w:tcPr>
            <w:tcW w:w="640" w:type="dxa"/>
            <w:tcBorders>
              <w:top w:val="single" w:sz="4" w:space="0" w:color="000000"/>
              <w:left w:val="nil"/>
              <w:bottom w:val="single" w:sz="4" w:space="0" w:color="000000"/>
              <w:right w:val="nil"/>
            </w:tcBorders>
            <w:shd w:val="clear" w:color="auto" w:fill="auto"/>
          </w:tcPr>
          <w:p w14:paraId="26A17E06"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6,7</w:t>
            </w:r>
          </w:p>
        </w:tc>
      </w:tr>
      <w:tr w:rsidR="008E7D9E" w:rsidRPr="00666914" w14:paraId="496E0EA5" w14:textId="77777777" w:rsidTr="00254A5B">
        <w:trPr>
          <w:trHeight w:val="300"/>
        </w:trPr>
        <w:tc>
          <w:tcPr>
            <w:tcW w:w="2694" w:type="dxa"/>
            <w:tcBorders>
              <w:top w:val="nil"/>
              <w:left w:val="nil"/>
              <w:bottom w:val="nil"/>
              <w:right w:val="nil"/>
            </w:tcBorders>
            <w:shd w:val="clear" w:color="auto" w:fill="auto"/>
            <w:vAlign w:val="bottom"/>
          </w:tcPr>
          <w:p w14:paraId="0A0DC31D"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Racionalizácia flotily mechanizmov</w:t>
            </w:r>
          </w:p>
        </w:tc>
        <w:tc>
          <w:tcPr>
            <w:tcW w:w="991" w:type="dxa"/>
            <w:tcBorders>
              <w:top w:val="nil"/>
              <w:left w:val="nil"/>
              <w:bottom w:val="nil"/>
              <w:right w:val="nil"/>
            </w:tcBorders>
            <w:shd w:val="clear" w:color="auto" w:fill="auto"/>
            <w:vAlign w:val="bottom"/>
          </w:tcPr>
          <w:p w14:paraId="4D02E2DC"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130</w:t>
            </w:r>
          </w:p>
        </w:tc>
        <w:tc>
          <w:tcPr>
            <w:tcW w:w="850" w:type="dxa"/>
            <w:tcBorders>
              <w:top w:val="nil"/>
              <w:left w:val="nil"/>
              <w:bottom w:val="nil"/>
              <w:right w:val="nil"/>
            </w:tcBorders>
            <w:shd w:val="clear" w:color="auto" w:fill="auto"/>
            <w:vAlign w:val="bottom"/>
          </w:tcPr>
          <w:p w14:paraId="02C5FC06"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6,0</w:t>
            </w:r>
          </w:p>
        </w:tc>
        <w:tc>
          <w:tcPr>
            <w:tcW w:w="3403" w:type="dxa"/>
            <w:tcBorders>
              <w:top w:val="nil"/>
              <w:left w:val="single" w:sz="4" w:space="0" w:color="000000"/>
              <w:bottom w:val="nil"/>
              <w:right w:val="nil"/>
            </w:tcBorders>
            <w:shd w:val="clear" w:color="auto" w:fill="auto"/>
            <w:vAlign w:val="center"/>
          </w:tcPr>
          <w:p w14:paraId="00622D74"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Využitie flotily mechanizmov</w:t>
            </w:r>
          </w:p>
        </w:tc>
        <w:tc>
          <w:tcPr>
            <w:tcW w:w="616" w:type="dxa"/>
            <w:tcBorders>
              <w:top w:val="nil"/>
              <w:left w:val="nil"/>
              <w:bottom w:val="nil"/>
              <w:right w:val="nil"/>
            </w:tcBorders>
            <w:shd w:val="clear" w:color="auto" w:fill="auto"/>
            <w:vAlign w:val="bottom"/>
          </w:tcPr>
          <w:p w14:paraId="51766241"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52</w:t>
            </w:r>
          </w:p>
        </w:tc>
        <w:tc>
          <w:tcPr>
            <w:tcW w:w="640" w:type="dxa"/>
            <w:tcBorders>
              <w:top w:val="nil"/>
              <w:left w:val="nil"/>
              <w:bottom w:val="nil"/>
              <w:right w:val="nil"/>
            </w:tcBorders>
            <w:shd w:val="clear" w:color="auto" w:fill="auto"/>
            <w:vAlign w:val="bottom"/>
          </w:tcPr>
          <w:p w14:paraId="45A44168"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1,1</w:t>
            </w:r>
          </w:p>
        </w:tc>
      </w:tr>
      <w:tr w:rsidR="008E7D9E" w:rsidRPr="00666914" w14:paraId="63905827" w14:textId="77777777" w:rsidTr="00254A5B">
        <w:trPr>
          <w:trHeight w:val="510"/>
        </w:trPr>
        <w:tc>
          <w:tcPr>
            <w:tcW w:w="2694" w:type="dxa"/>
            <w:tcBorders>
              <w:top w:val="single" w:sz="4" w:space="0" w:color="000000"/>
              <w:left w:val="nil"/>
              <w:bottom w:val="single" w:sz="4" w:space="0" w:color="000000"/>
              <w:right w:val="nil"/>
            </w:tcBorders>
            <w:shd w:val="clear" w:color="auto" w:fill="auto"/>
          </w:tcPr>
          <w:p w14:paraId="1E349DF2" w14:textId="57245330"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Eliminácia nepotrebných činností a vyšší outsourci</w:t>
            </w:r>
            <w:r w:rsidR="00E53D9D" w:rsidRPr="00666914">
              <w:rPr>
                <w:rFonts w:eastAsia="Arial Narrow" w:cs="Arial Narrow"/>
                <w:color w:val="000000"/>
                <w:sz w:val="20"/>
                <w:szCs w:val="20"/>
              </w:rPr>
              <w:t>n</w:t>
            </w:r>
            <w:r w:rsidRPr="00666914">
              <w:rPr>
                <w:rFonts w:eastAsia="Arial Narrow" w:cs="Arial Narrow"/>
                <w:color w:val="000000"/>
                <w:sz w:val="20"/>
                <w:szCs w:val="20"/>
              </w:rPr>
              <w:t>g</w:t>
            </w:r>
          </w:p>
        </w:tc>
        <w:tc>
          <w:tcPr>
            <w:tcW w:w="991" w:type="dxa"/>
            <w:tcBorders>
              <w:top w:val="single" w:sz="4" w:space="0" w:color="000000"/>
              <w:left w:val="nil"/>
              <w:bottom w:val="single" w:sz="4" w:space="0" w:color="000000"/>
              <w:right w:val="nil"/>
            </w:tcBorders>
            <w:shd w:val="clear" w:color="auto" w:fill="auto"/>
          </w:tcPr>
          <w:p w14:paraId="639C03C2"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264</w:t>
            </w:r>
          </w:p>
        </w:tc>
        <w:tc>
          <w:tcPr>
            <w:tcW w:w="850" w:type="dxa"/>
            <w:tcBorders>
              <w:top w:val="single" w:sz="4" w:space="0" w:color="000000"/>
              <w:left w:val="nil"/>
              <w:bottom w:val="single" w:sz="4" w:space="0" w:color="000000"/>
              <w:right w:val="single" w:sz="4" w:space="0" w:color="000000"/>
            </w:tcBorders>
            <w:shd w:val="clear" w:color="auto" w:fill="auto"/>
          </w:tcPr>
          <w:p w14:paraId="7349282D"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1,9</w:t>
            </w:r>
          </w:p>
        </w:tc>
        <w:tc>
          <w:tcPr>
            <w:tcW w:w="3403" w:type="dxa"/>
            <w:tcBorders>
              <w:top w:val="single" w:sz="4" w:space="0" w:color="000000"/>
              <w:left w:val="nil"/>
              <w:bottom w:val="single" w:sz="4" w:space="0" w:color="000000"/>
              <w:right w:val="nil"/>
            </w:tcBorders>
            <w:shd w:val="clear" w:color="auto" w:fill="auto"/>
          </w:tcPr>
          <w:p w14:paraId="58974C78"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xml:space="preserve">Eliminácia nepotrebných činností - </w:t>
            </w:r>
            <w:r w:rsidRPr="00666914">
              <w:rPr>
                <w:rFonts w:eastAsia="Arial Narrow" w:cs="Arial Narrow"/>
                <w:i/>
                <w:color w:val="000000"/>
                <w:sz w:val="20"/>
                <w:szCs w:val="20"/>
              </w:rPr>
              <w:t>domovník, upratovač, pracovník ochrany majetku (field)</w:t>
            </w:r>
          </w:p>
        </w:tc>
        <w:tc>
          <w:tcPr>
            <w:tcW w:w="616" w:type="dxa"/>
            <w:tcBorders>
              <w:top w:val="single" w:sz="4" w:space="0" w:color="000000"/>
              <w:left w:val="nil"/>
              <w:bottom w:val="single" w:sz="4" w:space="0" w:color="000000"/>
              <w:right w:val="nil"/>
            </w:tcBorders>
            <w:shd w:val="clear" w:color="auto" w:fill="auto"/>
          </w:tcPr>
          <w:p w14:paraId="3F5D76D4"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42</w:t>
            </w:r>
          </w:p>
        </w:tc>
        <w:tc>
          <w:tcPr>
            <w:tcW w:w="640" w:type="dxa"/>
            <w:tcBorders>
              <w:top w:val="single" w:sz="4" w:space="0" w:color="000000"/>
              <w:left w:val="nil"/>
              <w:bottom w:val="single" w:sz="4" w:space="0" w:color="000000"/>
              <w:right w:val="nil"/>
            </w:tcBorders>
            <w:shd w:val="clear" w:color="auto" w:fill="auto"/>
          </w:tcPr>
          <w:p w14:paraId="7FA477AE"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0,5</w:t>
            </w:r>
          </w:p>
        </w:tc>
      </w:tr>
      <w:tr w:rsidR="00D621D2" w:rsidRPr="00666914" w14:paraId="22A2A796" w14:textId="77777777" w:rsidTr="00254A5B">
        <w:trPr>
          <w:trHeight w:val="330"/>
        </w:trPr>
        <w:tc>
          <w:tcPr>
            <w:tcW w:w="2694" w:type="dxa"/>
            <w:tcBorders>
              <w:top w:val="nil"/>
              <w:left w:val="nil"/>
              <w:bottom w:val="nil"/>
              <w:right w:val="nil"/>
            </w:tcBorders>
            <w:shd w:val="clear" w:color="auto" w:fill="auto"/>
          </w:tcPr>
          <w:p w14:paraId="3392B971" w14:textId="77777777" w:rsidR="00D621D2" w:rsidRPr="00666914" w:rsidRDefault="00D621D2">
            <w:pPr>
              <w:spacing w:after="0"/>
              <w:rPr>
                <w:rFonts w:eastAsia="Arial Narrow" w:cs="Arial Narrow"/>
                <w:color w:val="000000"/>
                <w:sz w:val="20"/>
                <w:szCs w:val="20"/>
              </w:rPr>
            </w:pPr>
            <w:r w:rsidRPr="00666914">
              <w:rPr>
                <w:rFonts w:eastAsia="Arial Narrow" w:cs="Arial Narrow"/>
                <w:color w:val="000000"/>
                <w:sz w:val="20"/>
                <w:szCs w:val="20"/>
              </w:rPr>
              <w:t>Racionalizácia využitia nehnuteľností</w:t>
            </w:r>
          </w:p>
        </w:tc>
        <w:tc>
          <w:tcPr>
            <w:tcW w:w="991" w:type="dxa"/>
            <w:tcBorders>
              <w:top w:val="nil"/>
              <w:left w:val="nil"/>
              <w:bottom w:val="nil"/>
              <w:right w:val="nil"/>
            </w:tcBorders>
            <w:shd w:val="clear" w:color="auto" w:fill="auto"/>
          </w:tcPr>
          <w:p w14:paraId="1EE105C2" w14:textId="77777777" w:rsidR="00D621D2" w:rsidRPr="00666914" w:rsidRDefault="00D621D2">
            <w:pPr>
              <w:spacing w:after="0"/>
              <w:jc w:val="center"/>
              <w:rPr>
                <w:rFonts w:eastAsia="Arial Narrow" w:cs="Arial Narrow"/>
                <w:color w:val="000000"/>
                <w:sz w:val="20"/>
                <w:szCs w:val="20"/>
              </w:rPr>
            </w:pPr>
            <w:r w:rsidRPr="00666914">
              <w:rPr>
                <w:rFonts w:eastAsia="Arial Narrow" w:cs="Arial Narrow"/>
                <w:color w:val="000000"/>
                <w:sz w:val="20"/>
                <w:szCs w:val="20"/>
              </w:rPr>
              <w:t>28</w:t>
            </w:r>
          </w:p>
        </w:tc>
        <w:tc>
          <w:tcPr>
            <w:tcW w:w="850" w:type="dxa"/>
            <w:tcBorders>
              <w:top w:val="nil"/>
              <w:left w:val="nil"/>
              <w:bottom w:val="nil"/>
              <w:right w:val="single" w:sz="4" w:space="0" w:color="000000"/>
            </w:tcBorders>
            <w:shd w:val="clear" w:color="auto" w:fill="auto"/>
          </w:tcPr>
          <w:p w14:paraId="39A6B7EC" w14:textId="77777777" w:rsidR="00D621D2" w:rsidRPr="00666914" w:rsidRDefault="00D621D2">
            <w:pPr>
              <w:spacing w:after="0"/>
              <w:jc w:val="center"/>
              <w:rPr>
                <w:rFonts w:eastAsia="Arial Narrow" w:cs="Arial Narrow"/>
                <w:color w:val="000000"/>
                <w:sz w:val="20"/>
                <w:szCs w:val="20"/>
              </w:rPr>
            </w:pPr>
            <w:r w:rsidRPr="00666914">
              <w:rPr>
                <w:rFonts w:eastAsia="Arial Narrow" w:cs="Arial Narrow"/>
                <w:color w:val="000000"/>
                <w:sz w:val="20"/>
                <w:szCs w:val="20"/>
              </w:rPr>
              <w:t>1,2</w:t>
            </w:r>
          </w:p>
        </w:tc>
        <w:tc>
          <w:tcPr>
            <w:tcW w:w="3403" w:type="dxa"/>
            <w:tcBorders>
              <w:top w:val="single" w:sz="4" w:space="0" w:color="000000"/>
              <w:left w:val="nil"/>
              <w:bottom w:val="nil"/>
              <w:right w:val="nil"/>
            </w:tcBorders>
            <w:shd w:val="clear" w:color="auto" w:fill="auto"/>
          </w:tcPr>
          <w:p w14:paraId="229357A3" w14:textId="77777777" w:rsidR="00D621D2" w:rsidRPr="00666914" w:rsidRDefault="00D621D2">
            <w:pPr>
              <w:spacing w:after="0"/>
              <w:rPr>
                <w:rFonts w:eastAsia="Arial Narrow" w:cs="Arial Narrow"/>
                <w:color w:val="000000"/>
                <w:sz w:val="20"/>
                <w:szCs w:val="20"/>
              </w:rPr>
            </w:pPr>
            <w:r w:rsidRPr="00666914">
              <w:rPr>
                <w:rFonts w:eastAsia="Arial Narrow" w:cs="Arial Narrow"/>
                <w:color w:val="000000"/>
                <w:sz w:val="20"/>
                <w:szCs w:val="20"/>
              </w:rPr>
              <w:t>Odpredaj rekreačných zariadení, bytov, strážnych domov bez zamestnancov</w:t>
            </w:r>
          </w:p>
        </w:tc>
        <w:tc>
          <w:tcPr>
            <w:tcW w:w="616" w:type="dxa"/>
            <w:tcBorders>
              <w:top w:val="single" w:sz="4" w:space="0" w:color="000000"/>
              <w:left w:val="nil"/>
              <w:bottom w:val="nil"/>
              <w:right w:val="nil"/>
            </w:tcBorders>
            <w:shd w:val="clear" w:color="auto" w:fill="auto"/>
          </w:tcPr>
          <w:p w14:paraId="4BEAA769" w14:textId="477D0771" w:rsidR="00D621D2" w:rsidRPr="00666914" w:rsidRDefault="00D621D2">
            <w:pPr>
              <w:spacing w:after="0"/>
              <w:rPr>
                <w:rFonts w:eastAsia="Arial Narrow" w:cs="Arial Narrow"/>
                <w:color w:val="000000"/>
                <w:sz w:val="20"/>
                <w:szCs w:val="20"/>
              </w:rPr>
            </w:pPr>
          </w:p>
        </w:tc>
        <w:tc>
          <w:tcPr>
            <w:tcW w:w="640" w:type="dxa"/>
            <w:tcBorders>
              <w:top w:val="nil"/>
              <w:left w:val="nil"/>
              <w:bottom w:val="nil"/>
              <w:right w:val="nil"/>
            </w:tcBorders>
            <w:shd w:val="clear" w:color="auto" w:fill="auto"/>
          </w:tcPr>
          <w:p w14:paraId="04253659" w14:textId="77777777" w:rsidR="00D621D2" w:rsidRPr="00666914" w:rsidRDefault="00D621D2">
            <w:pPr>
              <w:spacing w:after="0"/>
              <w:jc w:val="center"/>
              <w:rPr>
                <w:rFonts w:eastAsia="Arial Narrow" w:cs="Arial Narrow"/>
                <w:color w:val="000000"/>
                <w:sz w:val="20"/>
                <w:szCs w:val="20"/>
              </w:rPr>
            </w:pPr>
            <w:r w:rsidRPr="00666914">
              <w:rPr>
                <w:rFonts w:eastAsia="Arial Narrow" w:cs="Arial Narrow"/>
                <w:color w:val="000000"/>
                <w:sz w:val="20"/>
                <w:szCs w:val="20"/>
              </w:rPr>
              <w:t>0,6</w:t>
            </w:r>
          </w:p>
        </w:tc>
      </w:tr>
      <w:tr w:rsidR="008E7D9E" w:rsidRPr="00666914" w14:paraId="1061CB9F" w14:textId="77777777" w:rsidTr="00254A5B">
        <w:trPr>
          <w:trHeight w:val="510"/>
        </w:trPr>
        <w:tc>
          <w:tcPr>
            <w:tcW w:w="2694" w:type="dxa"/>
            <w:tcBorders>
              <w:top w:val="single" w:sz="4" w:space="0" w:color="000000"/>
              <w:left w:val="nil"/>
              <w:bottom w:val="nil"/>
              <w:right w:val="nil"/>
            </w:tcBorders>
            <w:shd w:val="clear" w:color="auto" w:fill="auto"/>
          </w:tcPr>
          <w:p w14:paraId="5503E242"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Optimalizácia rozsahu riadenia a regionálneho usporiadania</w:t>
            </w:r>
          </w:p>
        </w:tc>
        <w:tc>
          <w:tcPr>
            <w:tcW w:w="991" w:type="dxa"/>
            <w:tcBorders>
              <w:top w:val="single" w:sz="4" w:space="0" w:color="000000"/>
              <w:left w:val="nil"/>
              <w:bottom w:val="nil"/>
              <w:right w:val="nil"/>
            </w:tcBorders>
            <w:shd w:val="clear" w:color="auto" w:fill="auto"/>
          </w:tcPr>
          <w:p w14:paraId="110BE3BB"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91</w:t>
            </w:r>
          </w:p>
        </w:tc>
        <w:tc>
          <w:tcPr>
            <w:tcW w:w="850" w:type="dxa"/>
            <w:tcBorders>
              <w:top w:val="single" w:sz="4" w:space="0" w:color="000000"/>
              <w:left w:val="nil"/>
              <w:bottom w:val="nil"/>
              <w:right w:val="single" w:sz="4" w:space="0" w:color="000000"/>
            </w:tcBorders>
            <w:shd w:val="clear" w:color="auto" w:fill="auto"/>
          </w:tcPr>
          <w:p w14:paraId="102C4A0A"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1,4</w:t>
            </w:r>
          </w:p>
        </w:tc>
        <w:tc>
          <w:tcPr>
            <w:tcW w:w="3403" w:type="dxa"/>
            <w:tcBorders>
              <w:top w:val="single" w:sz="4" w:space="0" w:color="000000"/>
              <w:left w:val="nil"/>
              <w:bottom w:val="nil"/>
              <w:right w:val="nil"/>
            </w:tcBorders>
            <w:shd w:val="clear" w:color="auto" w:fill="auto"/>
          </w:tcPr>
          <w:p w14:paraId="0E211197"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Príprava scenárov regionálneho usporiadania - budova PR v Banskej Štiavnici a budova ROZ v BB - možné odpredať</w:t>
            </w:r>
          </w:p>
        </w:tc>
        <w:tc>
          <w:tcPr>
            <w:tcW w:w="616" w:type="dxa"/>
            <w:tcBorders>
              <w:top w:val="single" w:sz="4" w:space="0" w:color="000000"/>
              <w:left w:val="nil"/>
              <w:bottom w:val="nil"/>
              <w:right w:val="nil"/>
            </w:tcBorders>
            <w:shd w:val="clear" w:color="auto" w:fill="auto"/>
          </w:tcPr>
          <w:p w14:paraId="25AC8AED"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 </w:t>
            </w:r>
          </w:p>
        </w:tc>
        <w:tc>
          <w:tcPr>
            <w:tcW w:w="640" w:type="dxa"/>
            <w:tcBorders>
              <w:top w:val="single" w:sz="4" w:space="0" w:color="000000"/>
              <w:left w:val="nil"/>
              <w:bottom w:val="nil"/>
              <w:right w:val="nil"/>
            </w:tcBorders>
            <w:shd w:val="clear" w:color="auto" w:fill="auto"/>
          </w:tcPr>
          <w:p w14:paraId="675A5AFF"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0,1</w:t>
            </w:r>
          </w:p>
        </w:tc>
      </w:tr>
      <w:tr w:rsidR="008E7D9E" w:rsidRPr="00666914" w14:paraId="6971301B" w14:textId="77777777" w:rsidTr="00254A5B">
        <w:trPr>
          <w:trHeight w:val="270"/>
        </w:trPr>
        <w:tc>
          <w:tcPr>
            <w:tcW w:w="2694" w:type="dxa"/>
            <w:tcBorders>
              <w:top w:val="single" w:sz="4" w:space="0" w:color="000000"/>
              <w:left w:val="nil"/>
              <w:bottom w:val="single" w:sz="8" w:space="0" w:color="000000"/>
              <w:right w:val="nil"/>
            </w:tcBorders>
            <w:shd w:val="clear" w:color="auto" w:fill="auto"/>
            <w:vAlign w:val="bottom"/>
          </w:tcPr>
          <w:p w14:paraId="12CD4438" w14:textId="77777777" w:rsidR="008E7D9E" w:rsidRPr="00666914" w:rsidRDefault="008E7D9E">
            <w:pPr>
              <w:spacing w:after="0"/>
              <w:rPr>
                <w:rFonts w:eastAsia="Arial Narrow" w:cs="Arial Narrow"/>
                <w:b/>
                <w:color w:val="000000"/>
                <w:sz w:val="20"/>
                <w:szCs w:val="20"/>
              </w:rPr>
            </w:pPr>
            <w:r w:rsidRPr="00666914">
              <w:rPr>
                <w:rFonts w:eastAsia="Arial Narrow" w:cs="Arial Narrow"/>
                <w:b/>
                <w:color w:val="000000"/>
                <w:sz w:val="20"/>
                <w:szCs w:val="20"/>
              </w:rPr>
              <w:t>Spolu</w:t>
            </w:r>
          </w:p>
        </w:tc>
        <w:tc>
          <w:tcPr>
            <w:tcW w:w="991" w:type="dxa"/>
            <w:tcBorders>
              <w:top w:val="single" w:sz="4" w:space="0" w:color="000000"/>
              <w:left w:val="nil"/>
              <w:bottom w:val="single" w:sz="8" w:space="0" w:color="000000"/>
              <w:right w:val="nil"/>
            </w:tcBorders>
            <w:shd w:val="clear" w:color="auto" w:fill="auto"/>
            <w:vAlign w:val="bottom"/>
          </w:tcPr>
          <w:p w14:paraId="67BEC752"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1 370</w:t>
            </w:r>
          </w:p>
        </w:tc>
        <w:tc>
          <w:tcPr>
            <w:tcW w:w="850" w:type="dxa"/>
            <w:tcBorders>
              <w:top w:val="single" w:sz="4" w:space="0" w:color="000000"/>
              <w:left w:val="nil"/>
              <w:bottom w:val="single" w:sz="8" w:space="0" w:color="000000"/>
              <w:right w:val="nil"/>
            </w:tcBorders>
            <w:shd w:val="clear" w:color="auto" w:fill="auto"/>
            <w:vAlign w:val="bottom"/>
          </w:tcPr>
          <w:p w14:paraId="1CF190B9"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30,3</w:t>
            </w:r>
            <w:r w:rsidRPr="00666914">
              <w:rPr>
                <w:rFonts w:eastAsia="Arial Narrow" w:cs="Arial Narrow"/>
                <w:b/>
                <w:color w:val="000000"/>
                <w:sz w:val="20"/>
                <w:szCs w:val="20"/>
                <w:vertAlign w:val="superscript"/>
              </w:rPr>
              <w:footnoteReference w:id="263"/>
            </w:r>
          </w:p>
        </w:tc>
        <w:tc>
          <w:tcPr>
            <w:tcW w:w="3403" w:type="dxa"/>
            <w:tcBorders>
              <w:top w:val="single" w:sz="4" w:space="0" w:color="000000"/>
              <w:left w:val="nil"/>
              <w:bottom w:val="single" w:sz="8" w:space="0" w:color="000000"/>
              <w:right w:val="nil"/>
            </w:tcBorders>
            <w:shd w:val="clear" w:color="auto" w:fill="auto"/>
            <w:vAlign w:val="bottom"/>
          </w:tcPr>
          <w:p w14:paraId="7A49CD50" w14:textId="77777777" w:rsidR="008E7D9E" w:rsidRPr="00666914" w:rsidRDefault="008E7D9E">
            <w:pPr>
              <w:spacing w:after="0"/>
              <w:rPr>
                <w:rFonts w:eastAsia="Arial Narrow" w:cs="Arial Narrow"/>
                <w:b/>
                <w:color w:val="000000"/>
                <w:sz w:val="20"/>
                <w:szCs w:val="20"/>
              </w:rPr>
            </w:pPr>
            <w:r w:rsidRPr="00666914">
              <w:rPr>
                <w:rFonts w:eastAsia="Arial Narrow" w:cs="Arial Narrow"/>
                <w:b/>
                <w:color w:val="000000"/>
                <w:sz w:val="20"/>
                <w:szCs w:val="20"/>
              </w:rPr>
              <w:t>Spolu</w:t>
            </w:r>
          </w:p>
        </w:tc>
        <w:tc>
          <w:tcPr>
            <w:tcW w:w="616" w:type="dxa"/>
            <w:tcBorders>
              <w:top w:val="single" w:sz="4" w:space="0" w:color="000000"/>
              <w:left w:val="nil"/>
              <w:bottom w:val="single" w:sz="8" w:space="0" w:color="000000"/>
              <w:right w:val="nil"/>
            </w:tcBorders>
            <w:shd w:val="clear" w:color="auto" w:fill="auto"/>
            <w:vAlign w:val="bottom"/>
          </w:tcPr>
          <w:p w14:paraId="7C567A88"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604</w:t>
            </w:r>
          </w:p>
        </w:tc>
        <w:tc>
          <w:tcPr>
            <w:tcW w:w="640" w:type="dxa"/>
            <w:tcBorders>
              <w:top w:val="single" w:sz="4" w:space="0" w:color="000000"/>
              <w:left w:val="nil"/>
              <w:bottom w:val="single" w:sz="8" w:space="0" w:color="000000"/>
              <w:right w:val="nil"/>
            </w:tcBorders>
            <w:shd w:val="clear" w:color="auto" w:fill="auto"/>
            <w:vAlign w:val="bottom"/>
          </w:tcPr>
          <w:p w14:paraId="1CA7B902"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18,0</w:t>
            </w:r>
          </w:p>
        </w:tc>
      </w:tr>
    </w:tbl>
    <w:p w14:paraId="364F665C" w14:textId="77777777" w:rsidR="008E7D9E" w:rsidRPr="00666914" w:rsidRDefault="008E7D9E">
      <w:pPr>
        <w:pBdr>
          <w:top w:val="nil"/>
          <w:left w:val="nil"/>
          <w:bottom w:val="nil"/>
          <w:right w:val="nil"/>
          <w:between w:val="nil"/>
        </w:pBdr>
        <w:spacing w:after="0"/>
        <w:ind w:left="720" w:hanging="720"/>
        <w:jc w:val="right"/>
        <w:rPr>
          <w:rFonts w:eastAsia="Arial Narrow" w:cs="Arial Narrow"/>
          <w:i/>
          <w:color w:val="000000"/>
          <w:sz w:val="18"/>
          <w:szCs w:val="18"/>
        </w:rPr>
      </w:pPr>
      <w:r w:rsidRPr="00666914">
        <w:rPr>
          <w:rFonts w:eastAsia="Arial Narrow" w:cs="Arial Narrow"/>
          <w:i/>
          <w:color w:val="000000"/>
          <w:sz w:val="18"/>
          <w:szCs w:val="18"/>
        </w:rPr>
        <w:t>Zdroj: IJ, BCG, dáta SVP</w:t>
      </w:r>
    </w:p>
    <w:p w14:paraId="1F169624" w14:textId="77777777" w:rsidR="008E7D9E" w:rsidRPr="00666914" w:rsidRDefault="008E7D9E">
      <w:pPr>
        <w:pBdr>
          <w:top w:val="nil"/>
          <w:left w:val="nil"/>
          <w:bottom w:val="nil"/>
          <w:right w:val="nil"/>
          <w:between w:val="nil"/>
        </w:pBdr>
        <w:spacing w:after="0"/>
        <w:ind w:left="720" w:hanging="720"/>
        <w:rPr>
          <w:rFonts w:eastAsia="Arial Narrow" w:cs="Arial Narrow"/>
          <w:color w:val="000000"/>
        </w:rPr>
      </w:pPr>
    </w:p>
    <w:p w14:paraId="408A97D4" w14:textId="1E09F48C" w:rsidR="008E7D9E" w:rsidRPr="00666914" w:rsidRDefault="008E7D9E">
      <w:pPr>
        <w:spacing w:after="0"/>
        <w:rPr>
          <w:rFonts w:eastAsia="Arial Narrow" w:cs="Arial Narrow"/>
        </w:rPr>
      </w:pPr>
      <w:r w:rsidRPr="00666914">
        <w:rPr>
          <w:rFonts w:eastAsia="Arial Narrow" w:cs="Arial Narrow"/>
        </w:rPr>
        <w:t>V 09/2019 bol vydaný Príkaz ministra životného prostredia Slovenskej republiky č. 5/2019 – 1.13 na dosiahnutie efektívneho a hospodárneho vynakladania s finančnými prostriedkami, ako aj úspor pre SVP. Tento príkaz vychádzal z prvého výstupu IJ z 08/2019. Príkaz bol rozpracovaný do úrovne opatrení, ktoré sú súča</w:t>
      </w:r>
      <w:r w:rsidR="000644F2" w:rsidRPr="00666914">
        <w:rPr>
          <w:rFonts w:eastAsia="Arial Narrow" w:cs="Arial Narrow"/>
        </w:rPr>
        <w:t>sťou Implementačného plánu SVP.</w:t>
      </w:r>
    </w:p>
    <w:p w14:paraId="1FEF7510" w14:textId="77777777" w:rsidR="008E7D9E" w:rsidRPr="00666914" w:rsidRDefault="008E7D9E">
      <w:pPr>
        <w:spacing w:after="0"/>
        <w:rPr>
          <w:rFonts w:eastAsia="Arial Narrow" w:cs="Arial Narrow"/>
        </w:rPr>
      </w:pPr>
    </w:p>
    <w:p w14:paraId="406AA082" w14:textId="77777777" w:rsidR="008E7D9E" w:rsidRPr="00666914" w:rsidRDefault="008E7D9E">
      <w:pPr>
        <w:spacing w:after="0"/>
        <w:rPr>
          <w:rFonts w:eastAsia="Arial Narrow" w:cs="Arial Narrow"/>
        </w:rPr>
      </w:pPr>
      <w:r w:rsidRPr="00666914">
        <w:rPr>
          <w:rFonts w:eastAsia="Arial Narrow" w:cs="Arial Narrow"/>
          <w:b/>
        </w:rPr>
        <w:t>V 2H2019 začal SVP na základe príkazu ministra realizovať postupne vybrané opatrenia, týkajúce sa najmä prehodnotenia nevýhodných zmlúv na nákup tovarov a služieb.</w:t>
      </w:r>
      <w:r w:rsidRPr="00666914">
        <w:rPr>
          <w:rFonts w:eastAsia="Arial Narrow" w:cs="Arial Narrow"/>
        </w:rPr>
        <w:t xml:space="preserve"> Ide o zmluvy na nákup softvéru, kopírky a tlačiarne. Pri opatrení na prehodnotenie potreby zabezpečovania strážnych služieb na všetkých objektoch, ktoré sú v súčasnosti strážené, nedošlo k posunu.</w:t>
      </w:r>
    </w:p>
    <w:p w14:paraId="559C6FD2" w14:textId="77777777" w:rsidR="008E7D9E" w:rsidRPr="00666914" w:rsidRDefault="008E7D9E">
      <w:pPr>
        <w:spacing w:after="0"/>
        <w:rPr>
          <w:rFonts w:eastAsia="Arial Narrow" w:cs="Arial Narrow"/>
        </w:rPr>
      </w:pPr>
    </w:p>
    <w:p w14:paraId="6D7AA7E6" w14:textId="77777777" w:rsidR="008E7D9E" w:rsidRPr="00666914" w:rsidRDefault="008E7D9E">
      <w:pPr>
        <w:spacing w:after="0"/>
        <w:rPr>
          <w:rFonts w:eastAsia="Arial Narrow" w:cs="Arial Narrow"/>
          <w:b/>
        </w:rPr>
      </w:pPr>
      <w:r w:rsidRPr="00666914">
        <w:rPr>
          <w:rFonts w:eastAsia="Arial Narrow" w:cs="Arial Narrow"/>
          <w:b/>
        </w:rPr>
        <w:t>SVP š</w:t>
      </w:r>
      <w:sdt>
        <w:sdtPr>
          <w:tag w:val="goog_rdk_24"/>
          <w:id w:val="1129907370"/>
        </w:sdtPr>
        <w:sdtEndPr/>
        <w:sdtContent/>
      </w:sdt>
      <w:sdt>
        <w:sdtPr>
          <w:tag w:val="goog_rdk_25"/>
          <w:id w:val="1158817603"/>
        </w:sdtPr>
        <w:sdtEndPr/>
        <w:sdtContent/>
      </w:sdt>
      <w:r w:rsidRPr="00666914">
        <w:rPr>
          <w:rFonts w:eastAsia="Arial Narrow" w:cs="Arial Narrow"/>
          <w:b/>
        </w:rPr>
        <w:t xml:space="preserve">. p. v roku 2019 nezrealizoval žiadnu úsporu z naplánovaných 14 mil. eur. Celkové výdavky naopak medziročne o 20 mil. eur vzrástli. </w:t>
      </w:r>
      <w:r w:rsidRPr="00666914">
        <w:rPr>
          <w:rFonts w:eastAsia="Arial Narrow" w:cs="Arial Narrow"/>
        </w:rPr>
        <w:t xml:space="preserve">IJ bude v roku 2020 na základe IP vyhodnocovať úroveň dosiahnutých úspor, ku ktorým sa SVP zaviazal. </w:t>
      </w:r>
      <w:r w:rsidRPr="00666914">
        <w:rPr>
          <w:rFonts w:eastAsia="Arial Narrow" w:cs="Arial Narrow"/>
          <w:b/>
        </w:rPr>
        <w:t>Opatrenie sa k 31.12.2019 neplní.</w:t>
      </w:r>
    </w:p>
    <w:p w14:paraId="15880FE1" w14:textId="77777777" w:rsidR="008E7D9E" w:rsidRPr="00666914" w:rsidRDefault="008E7D9E">
      <w:pPr>
        <w:spacing w:after="0"/>
        <w:rPr>
          <w:rFonts w:eastAsia="Arial Narrow" w:cs="Arial Narrow"/>
        </w:rPr>
      </w:pPr>
    </w:p>
    <w:p w14:paraId="1FD5DED1" w14:textId="6DF335C5" w:rsidR="008E7D9E" w:rsidRPr="00666914" w:rsidRDefault="008E7D9E">
      <w:pPr>
        <w:pBdr>
          <w:bottom w:val="single" w:sz="4" w:space="1" w:color="000000"/>
        </w:pBdr>
        <w:spacing w:after="0"/>
        <w:rPr>
          <w:rFonts w:eastAsia="Arial Narrow" w:cs="Arial Narrow"/>
          <w:b/>
          <w:sz w:val="20"/>
          <w:szCs w:val="20"/>
        </w:rPr>
      </w:pPr>
      <w:bookmarkStart w:id="327" w:name="_Toc38447730"/>
      <w:r w:rsidRPr="00666914">
        <w:rPr>
          <w:rFonts w:eastAsia="Arial Narrow" w:cs="Arial Narrow"/>
          <w:b/>
          <w:sz w:val="20"/>
          <w:szCs w:val="20"/>
        </w:rPr>
        <w:t xml:space="preserve">Tabuľka </w:t>
      </w:r>
      <w:r w:rsidRPr="00666914">
        <w:rPr>
          <w:rFonts w:eastAsia="Arial Narrow" w:cs="Arial Narrow"/>
          <w:b/>
          <w:sz w:val="20"/>
          <w:szCs w:val="20"/>
        </w:rPr>
        <w:fldChar w:fldCharType="begin"/>
      </w:r>
      <w:r w:rsidRPr="00666914">
        <w:rPr>
          <w:rFonts w:eastAsia="Arial Narrow" w:cs="Arial Narrow"/>
          <w:b/>
          <w:sz w:val="20"/>
          <w:szCs w:val="20"/>
        </w:rPr>
        <w:instrText xml:space="preserve"> SEQ Tabuľka \* ARABIC \* MERGEFORMAT </w:instrText>
      </w:r>
      <w:r w:rsidRPr="00666914">
        <w:rPr>
          <w:rFonts w:eastAsia="Arial Narrow" w:cs="Arial Narrow"/>
          <w:b/>
          <w:sz w:val="20"/>
          <w:szCs w:val="20"/>
        </w:rPr>
        <w:fldChar w:fldCharType="separate"/>
      </w:r>
      <w:r w:rsidR="005A7304">
        <w:rPr>
          <w:rFonts w:eastAsia="Arial Narrow" w:cs="Arial Narrow"/>
          <w:b/>
          <w:noProof/>
          <w:sz w:val="20"/>
          <w:szCs w:val="20"/>
        </w:rPr>
        <w:t>69</w:t>
      </w:r>
      <w:r w:rsidRPr="00666914">
        <w:rPr>
          <w:rFonts w:eastAsia="Arial Narrow" w:cs="Arial Narrow"/>
          <w:b/>
          <w:sz w:val="20"/>
          <w:szCs w:val="20"/>
        </w:rPr>
        <w:fldChar w:fldCharType="end"/>
      </w:r>
      <w:r w:rsidRPr="00666914">
        <w:rPr>
          <w:rFonts w:eastAsia="Arial Narrow" w:cs="Arial Narrow"/>
          <w:b/>
          <w:sz w:val="20"/>
          <w:szCs w:val="20"/>
        </w:rPr>
        <w:t>: Celkové náklady SVP, š.p.</w:t>
      </w:r>
      <w:bookmarkEnd w:id="327"/>
    </w:p>
    <w:tbl>
      <w:tblPr>
        <w:tblW w:w="9245" w:type="dxa"/>
        <w:tblLayout w:type="fixed"/>
        <w:tblLook w:val="0400" w:firstRow="0" w:lastRow="0" w:firstColumn="0" w:lastColumn="0" w:noHBand="0" w:noVBand="1"/>
      </w:tblPr>
      <w:tblGrid>
        <w:gridCol w:w="2184"/>
        <w:gridCol w:w="1069"/>
        <w:gridCol w:w="1069"/>
        <w:gridCol w:w="1069"/>
        <w:gridCol w:w="1716"/>
        <w:gridCol w:w="1069"/>
        <w:gridCol w:w="1069"/>
      </w:tblGrid>
      <w:tr w:rsidR="008E7D9E" w:rsidRPr="00666914" w14:paraId="5C765E4D" w14:textId="77777777" w:rsidTr="0021135B">
        <w:trPr>
          <w:trHeight w:val="360"/>
        </w:trPr>
        <w:tc>
          <w:tcPr>
            <w:tcW w:w="2184" w:type="dxa"/>
            <w:tcBorders>
              <w:top w:val="nil"/>
              <w:left w:val="nil"/>
              <w:bottom w:val="single" w:sz="4" w:space="0" w:color="000000"/>
              <w:right w:val="nil"/>
            </w:tcBorders>
            <w:shd w:val="clear" w:color="auto" w:fill="auto"/>
            <w:vAlign w:val="bottom"/>
          </w:tcPr>
          <w:p w14:paraId="6AD1B49E"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1069" w:type="dxa"/>
            <w:tcBorders>
              <w:top w:val="nil"/>
              <w:left w:val="nil"/>
              <w:bottom w:val="single" w:sz="4" w:space="0" w:color="000000"/>
              <w:right w:val="nil"/>
            </w:tcBorders>
            <w:shd w:val="clear" w:color="auto" w:fill="auto"/>
            <w:vAlign w:val="bottom"/>
          </w:tcPr>
          <w:p w14:paraId="0A0AF030"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2015</w:t>
            </w:r>
          </w:p>
        </w:tc>
        <w:tc>
          <w:tcPr>
            <w:tcW w:w="1069" w:type="dxa"/>
            <w:tcBorders>
              <w:top w:val="nil"/>
              <w:left w:val="nil"/>
              <w:bottom w:val="single" w:sz="4" w:space="0" w:color="000000"/>
              <w:right w:val="nil"/>
            </w:tcBorders>
            <w:shd w:val="clear" w:color="auto" w:fill="auto"/>
            <w:vAlign w:val="bottom"/>
          </w:tcPr>
          <w:p w14:paraId="60AD0C5F"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2016</w:t>
            </w:r>
          </w:p>
        </w:tc>
        <w:tc>
          <w:tcPr>
            <w:tcW w:w="1069" w:type="dxa"/>
            <w:tcBorders>
              <w:top w:val="nil"/>
              <w:left w:val="nil"/>
              <w:bottom w:val="single" w:sz="4" w:space="0" w:color="000000"/>
              <w:right w:val="nil"/>
            </w:tcBorders>
            <w:shd w:val="clear" w:color="auto" w:fill="auto"/>
            <w:vAlign w:val="bottom"/>
          </w:tcPr>
          <w:p w14:paraId="69C0756C"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2017</w:t>
            </w:r>
          </w:p>
        </w:tc>
        <w:tc>
          <w:tcPr>
            <w:tcW w:w="1716" w:type="dxa"/>
            <w:tcBorders>
              <w:top w:val="nil"/>
              <w:left w:val="nil"/>
              <w:bottom w:val="single" w:sz="4" w:space="0" w:color="000000"/>
              <w:right w:val="nil"/>
            </w:tcBorders>
            <w:shd w:val="clear" w:color="auto" w:fill="auto"/>
            <w:vAlign w:val="bottom"/>
          </w:tcPr>
          <w:p w14:paraId="17659311"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Priemer 2015-2017</w:t>
            </w:r>
          </w:p>
        </w:tc>
        <w:tc>
          <w:tcPr>
            <w:tcW w:w="1069" w:type="dxa"/>
            <w:tcBorders>
              <w:top w:val="nil"/>
              <w:left w:val="nil"/>
              <w:bottom w:val="single" w:sz="4" w:space="0" w:color="000000"/>
              <w:right w:val="nil"/>
            </w:tcBorders>
            <w:shd w:val="clear" w:color="auto" w:fill="auto"/>
            <w:vAlign w:val="bottom"/>
          </w:tcPr>
          <w:p w14:paraId="2EC7BD0E"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2018</w:t>
            </w:r>
          </w:p>
        </w:tc>
        <w:tc>
          <w:tcPr>
            <w:tcW w:w="1069" w:type="dxa"/>
            <w:tcBorders>
              <w:top w:val="nil"/>
              <w:left w:val="nil"/>
              <w:bottom w:val="single" w:sz="4" w:space="0" w:color="000000"/>
              <w:right w:val="nil"/>
            </w:tcBorders>
            <w:shd w:val="clear" w:color="auto" w:fill="auto"/>
            <w:vAlign w:val="bottom"/>
          </w:tcPr>
          <w:p w14:paraId="3FAC9FAC"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2019</w:t>
            </w:r>
          </w:p>
        </w:tc>
      </w:tr>
      <w:tr w:rsidR="008E7D9E" w:rsidRPr="00666914" w14:paraId="2CD81F3F" w14:textId="77777777" w:rsidTr="0021135B">
        <w:trPr>
          <w:trHeight w:val="360"/>
        </w:trPr>
        <w:tc>
          <w:tcPr>
            <w:tcW w:w="2184" w:type="dxa"/>
            <w:tcBorders>
              <w:top w:val="single" w:sz="4" w:space="0" w:color="000000"/>
              <w:left w:val="nil"/>
              <w:bottom w:val="single" w:sz="4" w:space="0" w:color="auto"/>
              <w:right w:val="nil"/>
            </w:tcBorders>
            <w:shd w:val="clear" w:color="auto" w:fill="auto"/>
            <w:vAlign w:val="bottom"/>
          </w:tcPr>
          <w:p w14:paraId="440CA17D"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celkové náklady (mil. eur)</w:t>
            </w:r>
          </w:p>
        </w:tc>
        <w:tc>
          <w:tcPr>
            <w:tcW w:w="1069" w:type="dxa"/>
            <w:tcBorders>
              <w:top w:val="single" w:sz="4" w:space="0" w:color="000000"/>
              <w:left w:val="nil"/>
              <w:bottom w:val="single" w:sz="4" w:space="0" w:color="auto"/>
              <w:right w:val="nil"/>
            </w:tcBorders>
            <w:shd w:val="clear" w:color="auto" w:fill="auto"/>
            <w:vAlign w:val="bottom"/>
          </w:tcPr>
          <w:p w14:paraId="339C195E"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115,7</w:t>
            </w:r>
          </w:p>
        </w:tc>
        <w:tc>
          <w:tcPr>
            <w:tcW w:w="1069" w:type="dxa"/>
            <w:tcBorders>
              <w:top w:val="single" w:sz="4" w:space="0" w:color="000000"/>
              <w:left w:val="nil"/>
              <w:bottom w:val="single" w:sz="4" w:space="0" w:color="auto"/>
              <w:right w:val="nil"/>
            </w:tcBorders>
            <w:shd w:val="clear" w:color="auto" w:fill="auto"/>
            <w:vAlign w:val="bottom"/>
          </w:tcPr>
          <w:p w14:paraId="068606A4"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115,4</w:t>
            </w:r>
          </w:p>
        </w:tc>
        <w:tc>
          <w:tcPr>
            <w:tcW w:w="1069" w:type="dxa"/>
            <w:tcBorders>
              <w:top w:val="single" w:sz="4" w:space="0" w:color="000000"/>
              <w:left w:val="nil"/>
              <w:bottom w:val="single" w:sz="4" w:space="0" w:color="auto"/>
              <w:right w:val="nil"/>
            </w:tcBorders>
            <w:shd w:val="clear" w:color="auto" w:fill="auto"/>
            <w:vAlign w:val="bottom"/>
          </w:tcPr>
          <w:p w14:paraId="5EB96CBC"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135,2</w:t>
            </w:r>
          </w:p>
        </w:tc>
        <w:tc>
          <w:tcPr>
            <w:tcW w:w="1716" w:type="dxa"/>
            <w:tcBorders>
              <w:top w:val="single" w:sz="4" w:space="0" w:color="000000"/>
              <w:left w:val="nil"/>
              <w:bottom w:val="single" w:sz="4" w:space="0" w:color="auto"/>
              <w:right w:val="nil"/>
            </w:tcBorders>
            <w:shd w:val="clear" w:color="auto" w:fill="auto"/>
            <w:vAlign w:val="bottom"/>
          </w:tcPr>
          <w:p w14:paraId="0A8D5A1E"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122,1</w:t>
            </w:r>
          </w:p>
        </w:tc>
        <w:tc>
          <w:tcPr>
            <w:tcW w:w="1069" w:type="dxa"/>
            <w:tcBorders>
              <w:top w:val="single" w:sz="4" w:space="0" w:color="000000"/>
              <w:left w:val="nil"/>
              <w:bottom w:val="single" w:sz="4" w:space="0" w:color="auto"/>
              <w:right w:val="nil"/>
            </w:tcBorders>
            <w:shd w:val="clear" w:color="auto" w:fill="auto"/>
            <w:vAlign w:val="bottom"/>
          </w:tcPr>
          <w:p w14:paraId="6BC6E100"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138,8</w:t>
            </w:r>
          </w:p>
        </w:tc>
        <w:tc>
          <w:tcPr>
            <w:tcW w:w="1069" w:type="dxa"/>
            <w:tcBorders>
              <w:top w:val="single" w:sz="4" w:space="0" w:color="000000"/>
              <w:left w:val="nil"/>
              <w:bottom w:val="single" w:sz="4" w:space="0" w:color="auto"/>
              <w:right w:val="nil"/>
            </w:tcBorders>
            <w:shd w:val="clear" w:color="auto" w:fill="auto"/>
            <w:vAlign w:val="bottom"/>
          </w:tcPr>
          <w:p w14:paraId="47B2AE5E"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158,0</w:t>
            </w:r>
          </w:p>
        </w:tc>
      </w:tr>
    </w:tbl>
    <w:p w14:paraId="7A337838" w14:textId="77777777" w:rsidR="008E7D9E" w:rsidRPr="00666914" w:rsidRDefault="008E7D9E">
      <w:pPr>
        <w:spacing w:after="0"/>
        <w:jc w:val="right"/>
        <w:rPr>
          <w:rFonts w:eastAsia="Arial Narrow" w:cs="Arial Narrow"/>
        </w:rPr>
      </w:pPr>
      <w:r w:rsidRPr="00666914">
        <w:rPr>
          <w:rFonts w:eastAsia="Arial Narrow" w:cs="Arial Narrow"/>
          <w:i/>
          <w:sz w:val="18"/>
          <w:szCs w:val="18"/>
        </w:rPr>
        <w:t xml:space="preserve">        Zdroj: SVP</w:t>
      </w:r>
    </w:p>
    <w:p w14:paraId="2397EF5C" w14:textId="77777777" w:rsidR="008E7D9E" w:rsidRPr="00666914" w:rsidRDefault="008E7D9E">
      <w:pPr>
        <w:spacing w:after="0"/>
        <w:rPr>
          <w:rFonts w:eastAsia="Arial Narrow" w:cs="Arial Narrow"/>
        </w:rPr>
      </w:pPr>
    </w:p>
    <w:p w14:paraId="16C66F5F" w14:textId="431C4DA9" w:rsidR="002E5FF9" w:rsidRPr="00666914" w:rsidRDefault="008E7D9E">
      <w:pPr>
        <w:spacing w:after="0"/>
        <w:rPr>
          <w:rFonts w:eastAsia="Arial Narrow" w:cs="Arial Narrow"/>
        </w:rPr>
      </w:pPr>
      <w:r w:rsidRPr="00666914">
        <w:rPr>
          <w:rFonts w:eastAsia="Arial Narrow" w:cs="Arial Narrow"/>
          <w:b/>
        </w:rPr>
        <w:t>Odporúčanie IJ:</w:t>
      </w:r>
      <w:r w:rsidRPr="00666914">
        <w:rPr>
          <w:rFonts w:eastAsia="Arial Narrow" w:cs="Arial Narrow"/>
        </w:rPr>
        <w:t xml:space="preserve"> Napĺňať úsporné opatrenia IP SVP na rok 2020.</w:t>
      </w:r>
    </w:p>
    <w:p w14:paraId="0E60F765" w14:textId="77777777" w:rsidR="002E5FF9" w:rsidRPr="00666914" w:rsidRDefault="002E5FF9">
      <w:pPr>
        <w:spacing w:after="0"/>
        <w:jc w:val="left"/>
        <w:rPr>
          <w:rFonts w:eastAsia="Arial Narrow" w:cs="Arial Narrow"/>
        </w:rPr>
      </w:pPr>
      <w:r w:rsidRPr="00666914">
        <w:rPr>
          <w:rFonts w:eastAsia="Arial Narrow" w:cs="Arial Narrow"/>
        </w:rPr>
        <w:br w:type="page"/>
      </w:r>
    </w:p>
    <w:p w14:paraId="26A5D08A" w14:textId="77777777" w:rsidR="008E7D9E" w:rsidRPr="00666914" w:rsidRDefault="008E7D9E" w:rsidP="00131B23">
      <w:pPr>
        <w:numPr>
          <w:ilvl w:val="0"/>
          <w:numId w:val="25"/>
        </w:numPr>
        <w:spacing w:after="0"/>
        <w:rPr>
          <w:rFonts w:eastAsia="Arial Narrow" w:cs="Arial Narrow"/>
        </w:rPr>
      </w:pPr>
      <w:r w:rsidRPr="00666914">
        <w:rPr>
          <w:rFonts w:eastAsia="Arial Narrow" w:cs="Arial Narrow"/>
          <w:b/>
          <w:u w:val="single"/>
        </w:rPr>
        <w:lastRenderedPageBreak/>
        <w:t>Postupne zvýšiť poplatky za skládkovanie a zaviesť povinný množstvový zber</w:t>
      </w:r>
    </w:p>
    <w:p w14:paraId="423E1041" w14:textId="77777777" w:rsidR="008E7D9E" w:rsidRPr="00666914" w:rsidRDefault="008E7D9E">
      <w:pPr>
        <w:spacing w:after="0"/>
        <w:rPr>
          <w:rFonts w:eastAsia="Arial Narrow" w:cs="Arial Narrow"/>
        </w:rPr>
      </w:pPr>
    </w:p>
    <w:p w14:paraId="62026A73" w14:textId="0DB8CEFF" w:rsidR="008E7D9E" w:rsidRPr="00666914" w:rsidRDefault="008E7D9E">
      <w:pPr>
        <w:spacing w:after="0"/>
        <w:rPr>
          <w:rFonts w:eastAsia="Arial Narrow" w:cs="Arial Narrow"/>
        </w:rPr>
      </w:pPr>
      <w:r w:rsidRPr="00666914">
        <w:rPr>
          <w:rFonts w:eastAsia="Arial Narrow" w:cs="Arial Narrow"/>
          <w:b/>
        </w:rPr>
        <w:t>Na základe záverov Revízie výdavkov na životné prostredie sú poplatky za uloženie komunálneho odpadu na skládku na Slovensku jedny z najnižších v EÚ.</w:t>
      </w:r>
      <w:r w:rsidRPr="00666914">
        <w:rPr>
          <w:rFonts w:eastAsia="Arial Narrow" w:cs="Arial Narrow"/>
        </w:rPr>
        <w:t xml:space="preserve"> Na zníženie miery skládkovania odporúča revízia zvýšenie ich poplatkov, ako aj povinn</w:t>
      </w:r>
      <w:r w:rsidR="000644F2" w:rsidRPr="00666914">
        <w:rPr>
          <w:rFonts w:eastAsia="Arial Narrow" w:cs="Arial Narrow"/>
        </w:rPr>
        <w:t>é zavedenie množstvového zberu.</w:t>
      </w:r>
    </w:p>
    <w:p w14:paraId="11BA99A5" w14:textId="77777777" w:rsidR="008E7D9E" w:rsidRPr="00666914" w:rsidRDefault="008E7D9E">
      <w:pPr>
        <w:spacing w:after="0"/>
        <w:rPr>
          <w:rFonts w:eastAsia="Arial Narrow" w:cs="Arial Narrow"/>
        </w:rPr>
      </w:pPr>
    </w:p>
    <w:p w14:paraId="3EA4F694" w14:textId="3FCF13B7" w:rsidR="008E7D9E" w:rsidRPr="00666914" w:rsidRDefault="008E7D9E">
      <w:pPr>
        <w:spacing w:after="0"/>
        <w:rPr>
          <w:rFonts w:eastAsia="Arial Narrow" w:cs="Arial Narrow"/>
          <w:b/>
        </w:rPr>
      </w:pPr>
      <w:r w:rsidRPr="00666914">
        <w:rPr>
          <w:rFonts w:eastAsia="Arial Narrow" w:cs="Arial Narrow"/>
          <w:b/>
        </w:rPr>
        <w:t xml:space="preserve">V roku 2019 bol dosiahnutý vyšší príjem obcí zo zvýšenia poplatkov za uloženie komunálnych odpadov na skládku a zavedenie povinného množstvového zberu vo výške </w:t>
      </w:r>
      <w:r w:rsidR="00311901" w:rsidRPr="00666914">
        <w:rPr>
          <w:rFonts w:eastAsia="Arial Narrow" w:cs="Arial Narrow"/>
          <w:b/>
        </w:rPr>
        <w:t>4</w:t>
      </w:r>
      <w:r w:rsidRPr="00666914">
        <w:rPr>
          <w:rFonts w:eastAsia="Arial Narrow" w:cs="Arial Narrow"/>
          <w:b/>
        </w:rPr>
        <w:t xml:space="preserve"> mil. eur. </w:t>
      </w:r>
      <w:r w:rsidR="00311901" w:rsidRPr="00666914">
        <w:rPr>
          <w:rFonts w:eastAsia="Arial Narrow" w:cs="Arial Narrow"/>
          <w:b/>
        </w:rPr>
        <w:t>Celkový v</w:t>
      </w:r>
      <w:r w:rsidRPr="00666914">
        <w:rPr>
          <w:rFonts w:eastAsia="Arial Narrow" w:cs="Arial Narrow"/>
          <w:b/>
        </w:rPr>
        <w:t xml:space="preserve">ýnos </w:t>
      </w:r>
      <w:r w:rsidR="00311901" w:rsidRPr="00666914">
        <w:rPr>
          <w:rFonts w:eastAsia="Arial Narrow" w:cs="Arial Narrow"/>
          <w:b/>
        </w:rPr>
        <w:t xml:space="preserve">z poplatkov za uloženie komunálnych odpadov vo výške 11,1 mil. eur za rok 2019 </w:t>
      </w:r>
      <w:r w:rsidRPr="00666914">
        <w:rPr>
          <w:rFonts w:eastAsia="Arial Narrow" w:cs="Arial Narrow"/>
          <w:b/>
        </w:rPr>
        <w:t xml:space="preserve">je na úrovni 74 % plánovaného odhadu v IP 2019 (15 mil. eur za rok 2019). </w:t>
      </w:r>
      <w:r w:rsidRPr="00666914">
        <w:rPr>
          <w:rFonts w:eastAsia="Arial Narrow" w:cs="Arial Narrow"/>
        </w:rPr>
        <w:t>Zákon o poplatkoch za uloženie odpadov</w:t>
      </w:r>
      <w:r w:rsidRPr="00666914">
        <w:t xml:space="preserve"> č. </w:t>
      </w:r>
      <w:r w:rsidRPr="00666914">
        <w:rPr>
          <w:rFonts w:eastAsia="Arial Narrow" w:cs="Arial Narrow"/>
        </w:rPr>
        <w:t>329/2018 Z. z.</w:t>
      </w:r>
      <w:r w:rsidRPr="00666914">
        <w:rPr>
          <w:rFonts w:eastAsia="Arial Narrow" w:cs="Arial Narrow"/>
          <w:vertAlign w:val="superscript"/>
        </w:rPr>
        <w:footnoteReference w:id="264"/>
      </w:r>
      <w:r w:rsidRPr="00666914">
        <w:rPr>
          <w:rFonts w:eastAsia="Arial Narrow" w:cs="Arial Narrow"/>
        </w:rPr>
        <w:t xml:space="preserve"> a Nariadenie vlády Slovenskej republiky, ktorým sa ustanovuje výška sadzieb poplatkov za uloženie odpadov č. 330/2018 Z. </w:t>
      </w:r>
      <w:sdt>
        <w:sdtPr>
          <w:tag w:val="goog_rdk_27"/>
          <w:id w:val="1403412436"/>
        </w:sdtPr>
        <w:sdtEndPr/>
        <w:sdtContent/>
      </w:sdt>
      <w:r w:rsidRPr="00666914">
        <w:rPr>
          <w:rFonts w:eastAsia="Arial Narrow" w:cs="Arial Narrow"/>
        </w:rPr>
        <w:t xml:space="preserve">z. </w:t>
      </w:r>
      <w:r w:rsidRPr="00666914">
        <w:rPr>
          <w:rFonts w:eastAsia="Arial Narrow" w:cs="Arial Narrow"/>
          <w:vertAlign w:val="superscript"/>
        </w:rPr>
        <w:footnoteReference w:id="265"/>
      </w:r>
      <w:r w:rsidRPr="00666914">
        <w:rPr>
          <w:rFonts w:eastAsia="Arial Narrow" w:cs="Arial Narrow"/>
        </w:rPr>
        <w:t>, sú účinné od 01/2019. Uvedený zákon zavádza postupné zvyšovanie poplatkov za skládkovanie odpadov na skládkach odpadov a odkaliskách, pričom výška sadzby poplatku za uloženie komunálnych odpadov na skládku odpadov sa odvíja v závislosti od úrovne vytriedenia komunálnych odpadov v obci. Čím vyššia je úroveň vytriedeného odpadu, tým viac sa znižu</w:t>
      </w:r>
      <w:r w:rsidR="000644F2" w:rsidRPr="00666914">
        <w:rPr>
          <w:rFonts w:eastAsia="Arial Narrow" w:cs="Arial Narrow"/>
        </w:rPr>
        <w:t>je poplatok za uloženie odpadu.</w:t>
      </w:r>
    </w:p>
    <w:p w14:paraId="599468FA" w14:textId="77777777" w:rsidR="008E7D9E" w:rsidRPr="00666914" w:rsidRDefault="008E7D9E">
      <w:pPr>
        <w:spacing w:after="0"/>
        <w:rPr>
          <w:rFonts w:eastAsia="Arial Narrow" w:cs="Arial Narrow"/>
        </w:rPr>
      </w:pPr>
    </w:p>
    <w:p w14:paraId="646FCACE" w14:textId="77777777" w:rsidR="008E7D9E" w:rsidRPr="00666914" w:rsidRDefault="008E7D9E">
      <w:pPr>
        <w:spacing w:after="0"/>
        <w:rPr>
          <w:rFonts w:eastAsia="Arial Narrow" w:cs="Arial Narrow"/>
        </w:rPr>
      </w:pPr>
      <w:r w:rsidRPr="00666914">
        <w:rPr>
          <w:rFonts w:eastAsia="Arial Narrow" w:cs="Arial Narrow"/>
          <w:b/>
        </w:rPr>
        <w:t xml:space="preserve">Ďalším opatrením na obmedzenie skládkovania je množstvový zber. </w:t>
      </w:r>
      <w:r w:rsidRPr="00666914">
        <w:rPr>
          <w:rFonts w:eastAsia="Arial Narrow" w:cs="Arial Narrow"/>
        </w:rPr>
        <w:t>Podľa zákona o poplatkoch za uloženie odpadov je obec povinná zriadiť množstvový zber komunálneho odpadu pre právnické osoby pôsobiace na jej území, pre fyzické osoby to však bude len dobrovoľné. Vláda SR schválila v 02/2019 Program predchádzania vzniku odpadov na roky 2019 - 2025</w:t>
      </w:r>
      <w:r w:rsidRPr="00666914">
        <w:rPr>
          <w:vertAlign w:val="superscript"/>
        </w:rPr>
        <w:footnoteReference w:id="266"/>
      </w:r>
      <w:r w:rsidRPr="00666914">
        <w:rPr>
          <w:rFonts w:eastAsia="Arial Narrow" w:cs="Arial Narrow"/>
        </w:rPr>
        <w:t>, v ktorom sú okrem iného navrhnuté aj opatrenia zamerané práve na podporu a zavedenie povinného množstvového zberu komunálneho odpadu aj pre FO, napr.:</w:t>
      </w:r>
    </w:p>
    <w:p w14:paraId="2FC43E44" w14:textId="766B8FD9" w:rsidR="008E7D9E" w:rsidRPr="00666914" w:rsidRDefault="008E7D9E" w:rsidP="00131B23">
      <w:pPr>
        <w:numPr>
          <w:ilvl w:val="0"/>
          <w:numId w:val="27"/>
        </w:numPr>
        <w:pBdr>
          <w:top w:val="nil"/>
          <w:left w:val="nil"/>
          <w:bottom w:val="nil"/>
          <w:right w:val="nil"/>
          <w:between w:val="nil"/>
        </w:pBdr>
        <w:spacing w:after="0"/>
        <w:rPr>
          <w:rFonts w:eastAsia="Arial Narrow" w:cs="Arial Narrow"/>
          <w:color w:val="000000"/>
        </w:rPr>
      </w:pPr>
      <w:r w:rsidRPr="00666914">
        <w:rPr>
          <w:rFonts w:eastAsia="Arial Narrow" w:cs="Arial Narrow"/>
          <w:color w:val="000000"/>
        </w:rPr>
        <w:t>vypracovanie analýzy vplyvov zavedenia zberu odpadov „od dverí k dverám“ a množstv</w:t>
      </w:r>
      <w:r w:rsidR="000644F2" w:rsidRPr="00666914">
        <w:rPr>
          <w:rFonts w:eastAsia="Arial Narrow" w:cs="Arial Narrow"/>
          <w:color w:val="000000"/>
        </w:rPr>
        <w:t>ového zberu – koniec roku 2024,</w:t>
      </w:r>
    </w:p>
    <w:p w14:paraId="16959318" w14:textId="77777777" w:rsidR="008E7D9E" w:rsidRPr="00666914" w:rsidRDefault="008E7D9E" w:rsidP="00131B23">
      <w:pPr>
        <w:numPr>
          <w:ilvl w:val="0"/>
          <w:numId w:val="27"/>
        </w:numPr>
        <w:pBdr>
          <w:top w:val="nil"/>
          <w:left w:val="nil"/>
          <w:bottom w:val="nil"/>
          <w:right w:val="nil"/>
          <w:between w:val="nil"/>
        </w:pBdr>
        <w:spacing w:after="0"/>
        <w:rPr>
          <w:rFonts w:eastAsia="Arial Narrow" w:cs="Arial Narrow"/>
          <w:color w:val="000000"/>
        </w:rPr>
      </w:pPr>
      <w:r w:rsidRPr="00666914">
        <w:rPr>
          <w:rFonts w:eastAsia="Arial Narrow" w:cs="Arial Narrow"/>
          <w:color w:val="000000"/>
        </w:rPr>
        <w:t>zavedenie povinného množstvového zberu komunálneho odpadu - k novele zákona o odpadoch a zákona o miestnych daniach a miestnom poplatku.</w:t>
      </w:r>
    </w:p>
    <w:p w14:paraId="0338B1C6" w14:textId="77777777" w:rsidR="008E7D9E" w:rsidRPr="00666914" w:rsidRDefault="008E7D9E">
      <w:pPr>
        <w:spacing w:after="0"/>
        <w:ind w:firstLine="708"/>
        <w:rPr>
          <w:rFonts w:eastAsia="Arial Narrow" w:cs="Arial Narrow"/>
        </w:rPr>
      </w:pPr>
      <w:r w:rsidRPr="00666914">
        <w:rPr>
          <w:rFonts w:eastAsia="Arial Narrow" w:cs="Arial Narrow"/>
        </w:rPr>
        <w:t xml:space="preserve"> </w:t>
      </w:r>
    </w:p>
    <w:p w14:paraId="3108B94B" w14:textId="77777777" w:rsidR="008E7D9E" w:rsidRPr="00666914" w:rsidRDefault="008E7D9E">
      <w:pPr>
        <w:spacing w:after="0"/>
        <w:rPr>
          <w:rFonts w:eastAsia="Arial Narrow" w:cs="Arial Narrow"/>
        </w:rPr>
      </w:pPr>
      <w:r w:rsidRPr="00666914">
        <w:rPr>
          <w:rFonts w:eastAsia="Arial Narrow" w:cs="Arial Narrow"/>
        </w:rPr>
        <w:t>Na základe odporúčania IJ v SIS 2018 „Po schválení Programu začať pripravovať analýzu zavedenia množstvového zberu“, vypracoval IEP v 4Q2019 štúdiu „Spravodlivé odpady“</w:t>
      </w:r>
      <w:r w:rsidRPr="00666914">
        <w:rPr>
          <w:rFonts w:eastAsia="Arial Narrow" w:cs="Arial Narrow"/>
          <w:vertAlign w:val="superscript"/>
        </w:rPr>
        <w:footnoteReference w:id="267"/>
      </w:r>
      <w:r w:rsidRPr="00666914">
        <w:rPr>
          <w:rFonts w:eastAsia="Arial Narrow" w:cs="Arial Narrow"/>
        </w:rPr>
        <w:t>.</w:t>
      </w:r>
    </w:p>
    <w:p w14:paraId="36B94D36" w14:textId="77777777" w:rsidR="008E7D9E" w:rsidRPr="00666914" w:rsidRDefault="008E7D9E">
      <w:pPr>
        <w:spacing w:after="0"/>
        <w:rPr>
          <w:rFonts w:eastAsia="Arial Narrow" w:cs="Arial Narrow"/>
        </w:rPr>
      </w:pPr>
    </w:p>
    <w:p w14:paraId="467A34CE" w14:textId="67BC0047" w:rsidR="008E7D9E" w:rsidRPr="00666914" w:rsidRDefault="008E7D9E" w:rsidP="00D937F7">
      <w:pPr>
        <w:rPr>
          <w:rFonts w:eastAsia="Arial Narrow" w:cs="Arial Narrow"/>
        </w:rPr>
      </w:pPr>
      <w:r w:rsidRPr="00666914">
        <w:rPr>
          <w:rFonts w:eastAsia="Arial Narrow" w:cs="Arial Narrow"/>
          <w:b/>
        </w:rPr>
        <w:t>Opatrenie sa k 31.12.2019 plní čiastočne z dôvodu nižšieho</w:t>
      </w:r>
      <w:r w:rsidR="001B7535" w:rsidRPr="00666914">
        <w:rPr>
          <w:rFonts w:eastAsia="Arial Narrow" w:cs="Arial Narrow"/>
          <w:b/>
        </w:rPr>
        <w:t xml:space="preserve"> celkového</w:t>
      </w:r>
      <w:r w:rsidRPr="00666914">
        <w:rPr>
          <w:rFonts w:eastAsia="Arial Narrow" w:cs="Arial Narrow"/>
          <w:b/>
        </w:rPr>
        <w:t xml:space="preserve"> výnosu </w:t>
      </w:r>
      <w:r w:rsidR="00D60954" w:rsidRPr="00666914">
        <w:rPr>
          <w:rFonts w:eastAsia="Arial Narrow" w:cs="Arial Narrow"/>
          <w:b/>
        </w:rPr>
        <w:t>z poplatkov za uloženie komunálnych odpadov</w:t>
      </w:r>
      <w:r w:rsidR="001B7535" w:rsidRPr="00666914">
        <w:rPr>
          <w:rFonts w:eastAsia="Arial Narrow" w:cs="Arial Narrow"/>
          <w:b/>
        </w:rPr>
        <w:t xml:space="preserve"> </w:t>
      </w:r>
      <w:r w:rsidRPr="00666914">
        <w:rPr>
          <w:rFonts w:eastAsia="Arial Narrow" w:cs="Arial Narrow"/>
          <w:b/>
        </w:rPr>
        <w:t>a</w:t>
      </w:r>
      <w:r w:rsidR="000644F2" w:rsidRPr="00666914">
        <w:rPr>
          <w:rFonts w:eastAsia="Arial Narrow" w:cs="Arial Narrow"/>
          <w:b/>
        </w:rPr>
        <w:t>ko bol predpokladaný v IP 2019.</w:t>
      </w:r>
    </w:p>
    <w:p w14:paraId="59489794" w14:textId="2D4D4486" w:rsidR="008E7D9E" w:rsidRPr="00666914" w:rsidRDefault="008E7D9E" w:rsidP="00131B23">
      <w:pPr>
        <w:numPr>
          <w:ilvl w:val="0"/>
          <w:numId w:val="25"/>
        </w:numPr>
        <w:spacing w:after="0"/>
        <w:rPr>
          <w:rFonts w:eastAsia="Arial Narrow" w:cs="Arial Narrow"/>
          <w:b/>
          <w:u w:val="single"/>
        </w:rPr>
      </w:pPr>
      <w:r w:rsidRPr="00666914">
        <w:rPr>
          <w:rFonts w:eastAsia="Arial Narrow" w:cs="Arial Narrow"/>
          <w:b/>
          <w:u w:val="single"/>
        </w:rPr>
        <w:t>Zrušiť fakultatívne oslobodenia v spotrebných daniach (uhlie, elektrina, plyn)</w:t>
      </w:r>
    </w:p>
    <w:p w14:paraId="084A964F" w14:textId="77777777" w:rsidR="00376C54" w:rsidRPr="00666914" w:rsidRDefault="00376C54" w:rsidP="00376C54">
      <w:pPr>
        <w:spacing w:after="0"/>
        <w:ind w:left="720"/>
        <w:rPr>
          <w:rFonts w:eastAsia="Arial Narrow" w:cs="Arial Narrow"/>
          <w:b/>
          <w:u w:val="single"/>
        </w:rPr>
      </w:pPr>
    </w:p>
    <w:p w14:paraId="50EBF350" w14:textId="77777777" w:rsidR="008E7D9E" w:rsidRPr="00666914" w:rsidRDefault="008E7D9E">
      <w:pPr>
        <w:spacing w:after="0"/>
        <w:ind w:left="720"/>
        <w:rPr>
          <w:rFonts w:eastAsia="Arial Narrow" w:cs="Arial Narrow"/>
          <w:b/>
          <w:sz w:val="10"/>
          <w:szCs w:val="10"/>
          <w:u w:val="single"/>
        </w:rPr>
      </w:pPr>
    </w:p>
    <w:p w14:paraId="06E22925" w14:textId="77777777" w:rsidR="008E7D9E" w:rsidRPr="00666914" w:rsidRDefault="008E7D9E">
      <w:pPr>
        <w:spacing w:after="0"/>
        <w:rPr>
          <w:rFonts w:eastAsia="Arial Narrow" w:cs="Arial Narrow"/>
        </w:rPr>
      </w:pPr>
      <w:r w:rsidRPr="00666914">
        <w:rPr>
          <w:rFonts w:eastAsia="Arial Narrow" w:cs="Arial Narrow"/>
          <w:b/>
        </w:rPr>
        <w:t xml:space="preserve">Z pohľadu hodnoty za peniaze je dané opatrenie jedno z prioritných v boji proti klimatickým zmenám. </w:t>
      </w:r>
      <w:r w:rsidRPr="00666914">
        <w:rPr>
          <w:rFonts w:eastAsia="Arial Narrow" w:cs="Arial Narrow"/>
        </w:rPr>
        <w:t>Zvýšenie environmentálnych daní, prípadne obmedzenie existujúcich výnimiek by prispelo k motivácii využívať energiu efektívnejšie.</w:t>
      </w:r>
    </w:p>
    <w:p w14:paraId="2D512531" w14:textId="77777777" w:rsidR="008E7D9E" w:rsidRPr="00666914" w:rsidRDefault="008E7D9E">
      <w:pPr>
        <w:spacing w:after="0"/>
        <w:rPr>
          <w:rFonts w:eastAsia="Arial Narrow" w:cs="Arial Narrow"/>
          <w:b/>
        </w:rPr>
      </w:pPr>
    </w:p>
    <w:p w14:paraId="1D0C9DD9" w14:textId="5A0CC438" w:rsidR="008E7D9E" w:rsidRPr="00666914" w:rsidRDefault="008E7D9E">
      <w:pPr>
        <w:spacing w:after="0"/>
        <w:rPr>
          <w:rFonts w:eastAsia="Arial Narrow" w:cs="Arial Narrow"/>
        </w:rPr>
      </w:pPr>
      <w:r w:rsidRPr="00666914">
        <w:rPr>
          <w:rFonts w:eastAsia="Arial Narrow" w:cs="Arial Narrow"/>
          <w:b/>
        </w:rPr>
        <w:t>Hlavné odporúčanie IJ v PIS 2019, aby MF SR predložilo novelu zákona o spotrebnej dani z elektriny, uhlia a zemného plynu č. 609/2007 Z. z s návrhom na zrušenie fakultatívnych oslobodení, nebolo splnené ani v roku 2019.</w:t>
      </w:r>
      <w:r w:rsidRPr="00666914">
        <w:rPr>
          <w:b/>
        </w:rPr>
        <w:t xml:space="preserve"> </w:t>
      </w:r>
      <w:r w:rsidRPr="00666914">
        <w:rPr>
          <w:rFonts w:eastAsia="Arial Narrow" w:cs="Arial Narrow"/>
        </w:rPr>
        <w:t xml:space="preserve">Revízia výdavkov identifikovala, že implicitná daň z využívania energií je na Slovensku 2. najnižšia v rámci EÚ a menej ako 50 % oproti priemeru EÚ. Zvýšenie (rozšírenie) environmentálnych daní, prípadne obmedzenie existujúcich výnimiek (napr. oslobodenie spotreby palív v domácnostiach) by prispelo k motivácii </w:t>
      </w:r>
      <w:r w:rsidR="000644F2" w:rsidRPr="00666914">
        <w:rPr>
          <w:rFonts w:eastAsia="Arial Narrow" w:cs="Arial Narrow"/>
        </w:rPr>
        <w:t>využívať energiu efektívnejšie.</w:t>
      </w:r>
    </w:p>
    <w:p w14:paraId="08104788" w14:textId="77777777" w:rsidR="008E7D9E" w:rsidRPr="00666914" w:rsidRDefault="008E7D9E">
      <w:pPr>
        <w:spacing w:after="0"/>
        <w:rPr>
          <w:rFonts w:eastAsia="Arial Narrow" w:cs="Arial Narrow"/>
        </w:rPr>
      </w:pPr>
    </w:p>
    <w:p w14:paraId="4380A3A9" w14:textId="2490B178" w:rsidR="00376C54" w:rsidRPr="00666914" w:rsidRDefault="008E7D9E" w:rsidP="00376C54">
      <w:pPr>
        <w:rPr>
          <w:rFonts w:eastAsia="Arial Narrow" w:cs="Arial Narrow"/>
          <w:b/>
        </w:rPr>
      </w:pPr>
      <w:r w:rsidRPr="00666914">
        <w:rPr>
          <w:rFonts w:eastAsia="Arial Narrow" w:cs="Arial Narrow"/>
          <w:b/>
        </w:rPr>
        <w:t>V 11/2019 vstúpila do platnosti novela zákona č. 609/2007</w:t>
      </w:r>
      <w:r w:rsidRPr="00666914">
        <w:rPr>
          <w:rFonts w:eastAsia="Arial Narrow" w:cs="Arial Narrow"/>
          <w:vertAlign w:val="superscript"/>
        </w:rPr>
        <w:footnoteReference w:id="268"/>
      </w:r>
      <w:r w:rsidRPr="00666914">
        <w:rPr>
          <w:rFonts w:eastAsia="Arial Narrow" w:cs="Arial Narrow"/>
          <w:b/>
        </w:rPr>
        <w:t xml:space="preserve"> o spotrebnej dani z elektriny, uhlia a zemného plynu, avšak na základe politického rozhodnutia MF SR a MH SR bez ustanovení týkajúcich sa zmeny </w:t>
      </w:r>
      <w:r w:rsidRPr="00666914">
        <w:rPr>
          <w:rFonts w:eastAsia="Arial Narrow" w:cs="Arial Narrow"/>
          <w:b/>
        </w:rPr>
        <w:lastRenderedPageBreak/>
        <w:t>fakultatívnych oslobodení.</w:t>
      </w:r>
      <w:r w:rsidRPr="00666914">
        <w:rPr>
          <w:rFonts w:eastAsia="Arial Narrow" w:cs="Arial Narrow"/>
        </w:rPr>
        <w:t xml:space="preserve"> </w:t>
      </w:r>
      <w:r w:rsidRPr="00666914">
        <w:rPr>
          <w:rFonts w:eastAsia="Arial Narrow" w:cs="Arial Narrow"/>
          <w:b/>
        </w:rPr>
        <w:t>Plánovaná úspora vo výške 65 mil. eur nebola dosiahnutá v roku 2019 a nebude ani v roku 2020.</w:t>
      </w:r>
      <w:r w:rsidRPr="00666914">
        <w:rPr>
          <w:rFonts w:eastAsia="Arial Narrow" w:cs="Arial Narrow"/>
        </w:rPr>
        <w:t xml:space="preserve"> Po skončení platnosti štátnej pomoci vzniklo od 06/2018 právne vákuum v neprospech SR, keďže SR nemá odsúhlasenú štátnu pomoc zo strany EÚ. </w:t>
      </w:r>
      <w:r w:rsidRPr="00666914">
        <w:rPr>
          <w:rFonts w:eastAsia="Arial Narrow" w:cs="Arial Narrow"/>
          <w:b/>
        </w:rPr>
        <w:t>Opatrenie sa k 31.12.2019 neplní.</w:t>
      </w:r>
    </w:p>
    <w:p w14:paraId="30947BD4" w14:textId="77777777" w:rsidR="008E7D9E" w:rsidRPr="00666914" w:rsidRDefault="008E7D9E" w:rsidP="00131B23">
      <w:pPr>
        <w:numPr>
          <w:ilvl w:val="0"/>
          <w:numId w:val="25"/>
        </w:numPr>
        <w:spacing w:after="0"/>
        <w:rPr>
          <w:rFonts w:eastAsia="Arial Narrow" w:cs="Arial Narrow"/>
          <w:b/>
        </w:rPr>
      </w:pPr>
      <w:r w:rsidRPr="00666914">
        <w:rPr>
          <w:rFonts w:eastAsia="Arial Narrow" w:cs="Arial Narrow"/>
          <w:b/>
          <w:u w:val="single"/>
        </w:rPr>
        <w:t>Zaviesť inovatívne formy financovania ochrany prírody</w:t>
      </w:r>
    </w:p>
    <w:p w14:paraId="4B5F3AF9" w14:textId="77777777" w:rsidR="008E7D9E" w:rsidRPr="00666914" w:rsidRDefault="008E7D9E">
      <w:pPr>
        <w:spacing w:after="0"/>
        <w:rPr>
          <w:rFonts w:eastAsia="Arial Narrow" w:cs="Arial Narrow"/>
        </w:rPr>
      </w:pPr>
    </w:p>
    <w:p w14:paraId="1F663CD3" w14:textId="041D2D75" w:rsidR="008E7D9E" w:rsidRPr="00666914" w:rsidRDefault="008E7D9E">
      <w:pPr>
        <w:spacing w:after="0"/>
        <w:rPr>
          <w:rFonts w:eastAsia="Arial Narrow" w:cs="Arial Narrow"/>
        </w:rPr>
      </w:pPr>
      <w:r w:rsidRPr="00666914">
        <w:rPr>
          <w:rFonts w:eastAsia="Arial Narrow" w:cs="Arial Narrow"/>
        </w:rPr>
        <w:t>ŠOP SR je príspevková organizácia MŽP SR, ktorá viaceré svoje činnosti v oblasti ochrany prírody financuje prostredníctvom eurofondov, a to nielen kapitálové, ale často aj bežné výdavky. Z dlhodobého hľadiska je potrebné vytvoriť udržateľný systém financovania ochrany prírody, ktorý bude využívať aj zdroje mimo štátneho rozpočtu a EÚ</w:t>
      </w:r>
      <w:r w:rsidRPr="00666914">
        <w:rPr>
          <w:vertAlign w:val="superscript"/>
        </w:rPr>
        <w:footnoteReference w:id="269"/>
      </w:r>
      <w:r w:rsidRPr="00666914">
        <w:rPr>
          <w:rFonts w:eastAsia="Arial Narrow" w:cs="Arial Narrow"/>
        </w:rPr>
        <w:t>. Jednou z možností zvýšenia príjmov ŠOP SR, navrhovaných v revízii výdavkov, je spoplatne</w:t>
      </w:r>
      <w:r w:rsidR="000644F2" w:rsidRPr="00666914">
        <w:rPr>
          <w:rFonts w:eastAsia="Arial Narrow" w:cs="Arial Narrow"/>
        </w:rPr>
        <w:t>nie vstupu do národných parkov.</w:t>
      </w:r>
    </w:p>
    <w:p w14:paraId="30382061" w14:textId="77777777" w:rsidR="008E7D9E" w:rsidRPr="00666914" w:rsidRDefault="008E7D9E">
      <w:pPr>
        <w:spacing w:after="0"/>
        <w:rPr>
          <w:rFonts w:eastAsia="Arial Narrow" w:cs="Arial Narrow"/>
        </w:rPr>
      </w:pPr>
    </w:p>
    <w:p w14:paraId="743EE5C7" w14:textId="77777777" w:rsidR="008E7D9E" w:rsidRPr="00666914" w:rsidRDefault="008E7D9E">
      <w:pPr>
        <w:spacing w:after="0"/>
        <w:rPr>
          <w:rFonts w:eastAsia="Arial Narrow" w:cs="Arial Narrow"/>
        </w:rPr>
      </w:pPr>
      <w:r w:rsidRPr="00666914">
        <w:rPr>
          <w:rFonts w:eastAsia="Arial Narrow" w:cs="Arial Narrow"/>
          <w:b/>
        </w:rPr>
        <w:t>Príjmy z inovatívneho financovania sa zásadne nezvýšili a ŠOP SR nedosiahla v roku 2019 stanovenú ročnú výšku 6 mil. eur. Na základe údajov od ŠOP SR a Národnej ZOO Bojnice sa v roku 2019 týmto spôsobom do ich rozpočtov dostalo iba 195 tis. eur.</w:t>
      </w:r>
      <w:r w:rsidRPr="00666914">
        <w:rPr>
          <w:rFonts w:eastAsia="Arial Narrow" w:cs="Arial Narrow"/>
        </w:rPr>
        <w:t xml:space="preserve"> Pre zavedenie vstupného do náro</w:t>
      </w:r>
      <w:sdt>
        <w:sdtPr>
          <w:tag w:val="goog_rdk_28"/>
          <w:id w:val="1016656838"/>
        </w:sdtPr>
        <w:sdtEndPr/>
        <w:sdtContent/>
      </w:sdt>
      <w:r w:rsidRPr="00666914">
        <w:rPr>
          <w:rFonts w:eastAsia="Arial Narrow" w:cs="Arial Narrow"/>
        </w:rPr>
        <w:t>dných parkov bola potrebná legislatívna úprava zákona č. 543/2002 Z. z.</w:t>
      </w:r>
      <w:r w:rsidRPr="00666914">
        <w:t xml:space="preserve"> </w:t>
      </w:r>
      <w:r w:rsidRPr="00666914">
        <w:rPr>
          <w:rFonts w:eastAsia="Arial Narrow" w:cs="Arial Narrow"/>
        </w:rPr>
        <w:t xml:space="preserve">o ochrane prírody a krajiny. S návrhom novely zákona, podľa ktorej by správa pozemkov v národných parkoch v 3. - 5. stupni ochrany prešla pod ŠOP SR, MPRV SR nesúhlasilo. Preto je potrebné, aby MŽP SR a ŠOP SR podnikli ďalšie kroky na zvýšenie príjmov z inovatívneho </w:t>
      </w:r>
      <w:sdt>
        <w:sdtPr>
          <w:tag w:val="goog_rdk_29"/>
          <w:id w:val="-1185435144"/>
        </w:sdtPr>
        <w:sdtEndPr/>
        <w:sdtContent/>
      </w:sdt>
      <w:r w:rsidRPr="00666914">
        <w:rPr>
          <w:rFonts w:eastAsia="Arial Narrow" w:cs="Arial Narrow"/>
        </w:rPr>
        <w:t>financovania.</w:t>
      </w:r>
    </w:p>
    <w:p w14:paraId="2C01FA81" w14:textId="77777777" w:rsidR="008E7D9E" w:rsidRPr="00666914" w:rsidRDefault="008E7D9E">
      <w:pPr>
        <w:pBdr>
          <w:bottom w:val="single" w:sz="4" w:space="1" w:color="000000"/>
        </w:pBdr>
        <w:spacing w:after="0"/>
        <w:rPr>
          <w:b/>
          <w:sz w:val="20"/>
          <w:szCs w:val="20"/>
        </w:rPr>
      </w:pPr>
    </w:p>
    <w:p w14:paraId="62F40067" w14:textId="710E2322" w:rsidR="008E7D9E" w:rsidRPr="00666914" w:rsidRDefault="008E7D9E">
      <w:pPr>
        <w:pBdr>
          <w:bottom w:val="single" w:sz="4" w:space="1" w:color="000000"/>
        </w:pBdr>
        <w:spacing w:after="0"/>
        <w:rPr>
          <w:rFonts w:eastAsia="Arial Narrow" w:cs="Arial Narrow"/>
          <w:b/>
          <w:sz w:val="20"/>
          <w:szCs w:val="20"/>
        </w:rPr>
      </w:pPr>
      <w:bookmarkStart w:id="328" w:name="_Toc38447731"/>
      <w:r w:rsidRPr="00666914">
        <w:rPr>
          <w:rFonts w:eastAsia="Arial Narrow" w:cs="Arial Narrow"/>
          <w:b/>
          <w:sz w:val="20"/>
          <w:szCs w:val="20"/>
        </w:rPr>
        <w:t xml:space="preserve">Tabuľka </w:t>
      </w:r>
      <w:r w:rsidRPr="00666914">
        <w:rPr>
          <w:rFonts w:eastAsia="Arial Narrow" w:cs="Arial Narrow"/>
          <w:b/>
          <w:sz w:val="20"/>
          <w:szCs w:val="20"/>
        </w:rPr>
        <w:fldChar w:fldCharType="begin"/>
      </w:r>
      <w:r w:rsidRPr="00666914">
        <w:rPr>
          <w:rFonts w:eastAsia="Arial Narrow" w:cs="Arial Narrow"/>
          <w:b/>
          <w:sz w:val="20"/>
          <w:szCs w:val="20"/>
        </w:rPr>
        <w:instrText xml:space="preserve"> SEQ Tabuľka \* ARABIC \* MERGEFORMAT </w:instrText>
      </w:r>
      <w:r w:rsidRPr="00666914">
        <w:rPr>
          <w:rFonts w:eastAsia="Arial Narrow" w:cs="Arial Narrow"/>
          <w:b/>
          <w:sz w:val="20"/>
          <w:szCs w:val="20"/>
        </w:rPr>
        <w:fldChar w:fldCharType="separate"/>
      </w:r>
      <w:r w:rsidR="005A7304">
        <w:rPr>
          <w:rFonts w:eastAsia="Arial Narrow" w:cs="Arial Narrow"/>
          <w:b/>
          <w:noProof/>
          <w:sz w:val="20"/>
          <w:szCs w:val="20"/>
        </w:rPr>
        <w:t>70</w:t>
      </w:r>
      <w:r w:rsidRPr="00666914">
        <w:rPr>
          <w:rFonts w:eastAsia="Arial Narrow" w:cs="Arial Narrow"/>
          <w:b/>
          <w:sz w:val="20"/>
          <w:szCs w:val="20"/>
        </w:rPr>
        <w:fldChar w:fldCharType="end"/>
      </w:r>
      <w:r w:rsidRPr="00666914">
        <w:rPr>
          <w:rFonts w:eastAsia="Arial Narrow" w:cs="Arial Narrow"/>
          <w:b/>
          <w:sz w:val="20"/>
          <w:szCs w:val="20"/>
        </w:rPr>
        <w:t>: Príjmy ŠOP SR a Národne</w:t>
      </w:r>
      <w:sdt>
        <w:sdtPr>
          <w:tag w:val="goog_rdk_30"/>
          <w:id w:val="629975461"/>
        </w:sdtPr>
        <w:sdtEndPr/>
        <w:sdtContent/>
      </w:sdt>
      <w:sdt>
        <w:sdtPr>
          <w:tag w:val="goog_rdk_31"/>
          <w:id w:val="-2126682761"/>
        </w:sdtPr>
        <w:sdtEndPr/>
        <w:sdtContent/>
      </w:sdt>
      <w:r w:rsidRPr="00666914">
        <w:rPr>
          <w:rFonts w:eastAsia="Arial Narrow" w:cs="Arial Narrow"/>
          <w:b/>
          <w:sz w:val="20"/>
          <w:szCs w:val="20"/>
        </w:rPr>
        <w:t>j ZOO Bojnice z inovatívnych foriem financovania v roku 2019</w:t>
      </w:r>
      <w:bookmarkEnd w:id="328"/>
    </w:p>
    <w:tbl>
      <w:tblPr>
        <w:tblW w:w="9072" w:type="dxa"/>
        <w:tblLayout w:type="fixed"/>
        <w:tblLook w:val="0400" w:firstRow="0" w:lastRow="0" w:firstColumn="0" w:lastColumn="0" w:noHBand="0" w:noVBand="1"/>
      </w:tblPr>
      <w:tblGrid>
        <w:gridCol w:w="7158"/>
        <w:gridCol w:w="1914"/>
      </w:tblGrid>
      <w:tr w:rsidR="008E7D9E" w:rsidRPr="00666914" w14:paraId="5CA89E4E" w14:textId="77777777">
        <w:trPr>
          <w:trHeight w:val="260"/>
        </w:trPr>
        <w:tc>
          <w:tcPr>
            <w:tcW w:w="7158" w:type="dxa"/>
            <w:tcBorders>
              <w:top w:val="nil"/>
              <w:left w:val="nil"/>
              <w:bottom w:val="nil"/>
              <w:right w:val="nil"/>
            </w:tcBorders>
            <w:shd w:val="clear" w:color="auto" w:fill="auto"/>
            <w:vAlign w:val="bottom"/>
          </w:tcPr>
          <w:p w14:paraId="45C04B94"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Deklarácia Natura2000/ Envirofond</w:t>
            </w:r>
          </w:p>
        </w:tc>
        <w:tc>
          <w:tcPr>
            <w:tcW w:w="1914" w:type="dxa"/>
            <w:tcBorders>
              <w:top w:val="nil"/>
              <w:left w:val="nil"/>
              <w:bottom w:val="nil"/>
              <w:right w:val="nil"/>
            </w:tcBorders>
            <w:shd w:val="clear" w:color="auto" w:fill="auto"/>
            <w:vAlign w:val="bottom"/>
          </w:tcPr>
          <w:p w14:paraId="7D2056A3" w14:textId="77777777" w:rsidR="008E7D9E" w:rsidRPr="00666914" w:rsidRDefault="008E7D9E">
            <w:pPr>
              <w:spacing w:after="0"/>
              <w:jc w:val="right"/>
              <w:rPr>
                <w:rFonts w:eastAsia="Arial Narrow" w:cs="Arial Narrow"/>
                <w:color w:val="000000"/>
                <w:sz w:val="20"/>
                <w:szCs w:val="20"/>
              </w:rPr>
            </w:pPr>
            <w:r w:rsidRPr="00666914">
              <w:rPr>
                <w:rFonts w:eastAsia="Arial Narrow" w:cs="Arial Narrow"/>
                <w:color w:val="000000"/>
                <w:sz w:val="20"/>
                <w:szCs w:val="20"/>
              </w:rPr>
              <w:t>37 009</w:t>
            </w:r>
          </w:p>
        </w:tc>
      </w:tr>
      <w:tr w:rsidR="008E7D9E" w:rsidRPr="00666914" w14:paraId="776A5934" w14:textId="77777777">
        <w:trPr>
          <w:trHeight w:val="260"/>
        </w:trPr>
        <w:tc>
          <w:tcPr>
            <w:tcW w:w="7158" w:type="dxa"/>
            <w:tcBorders>
              <w:top w:val="nil"/>
              <w:left w:val="nil"/>
              <w:bottom w:val="nil"/>
              <w:right w:val="nil"/>
            </w:tcBorders>
            <w:shd w:val="clear" w:color="auto" w:fill="auto"/>
            <w:vAlign w:val="bottom"/>
          </w:tcPr>
          <w:p w14:paraId="4BCDF02D"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Potvrdenia pre Podporu rozvoja vidieka</w:t>
            </w:r>
          </w:p>
        </w:tc>
        <w:tc>
          <w:tcPr>
            <w:tcW w:w="1914" w:type="dxa"/>
            <w:tcBorders>
              <w:top w:val="nil"/>
              <w:left w:val="nil"/>
              <w:bottom w:val="nil"/>
              <w:right w:val="nil"/>
            </w:tcBorders>
            <w:shd w:val="clear" w:color="auto" w:fill="auto"/>
            <w:vAlign w:val="bottom"/>
          </w:tcPr>
          <w:p w14:paraId="3683C005" w14:textId="77777777" w:rsidR="008E7D9E" w:rsidRPr="00666914" w:rsidRDefault="008E7D9E">
            <w:pPr>
              <w:spacing w:after="0"/>
              <w:jc w:val="right"/>
              <w:rPr>
                <w:rFonts w:eastAsia="Arial Narrow" w:cs="Arial Narrow"/>
                <w:color w:val="000000"/>
                <w:sz w:val="20"/>
                <w:szCs w:val="20"/>
              </w:rPr>
            </w:pPr>
            <w:r w:rsidRPr="00666914">
              <w:rPr>
                <w:rFonts w:eastAsia="Arial Narrow" w:cs="Arial Narrow"/>
                <w:color w:val="000000"/>
                <w:sz w:val="20"/>
                <w:szCs w:val="20"/>
              </w:rPr>
              <w:t>840</w:t>
            </w:r>
          </w:p>
        </w:tc>
      </w:tr>
      <w:tr w:rsidR="008E7D9E" w:rsidRPr="00666914" w14:paraId="72FA5AA9" w14:textId="77777777">
        <w:trPr>
          <w:trHeight w:val="260"/>
        </w:trPr>
        <w:tc>
          <w:tcPr>
            <w:tcW w:w="7158" w:type="dxa"/>
            <w:tcBorders>
              <w:top w:val="nil"/>
              <w:left w:val="nil"/>
              <w:bottom w:val="nil"/>
              <w:right w:val="nil"/>
            </w:tcBorders>
            <w:shd w:val="clear" w:color="auto" w:fill="auto"/>
            <w:vAlign w:val="bottom"/>
          </w:tcPr>
          <w:p w14:paraId="45ED147B"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Stanoviská</w:t>
            </w:r>
          </w:p>
        </w:tc>
        <w:tc>
          <w:tcPr>
            <w:tcW w:w="1914" w:type="dxa"/>
            <w:tcBorders>
              <w:top w:val="nil"/>
              <w:left w:val="nil"/>
              <w:bottom w:val="nil"/>
              <w:right w:val="nil"/>
            </w:tcBorders>
            <w:shd w:val="clear" w:color="auto" w:fill="auto"/>
            <w:vAlign w:val="bottom"/>
          </w:tcPr>
          <w:p w14:paraId="33377E70" w14:textId="77777777" w:rsidR="008E7D9E" w:rsidRPr="00666914" w:rsidRDefault="008E7D9E">
            <w:pPr>
              <w:spacing w:after="0"/>
              <w:jc w:val="right"/>
              <w:rPr>
                <w:rFonts w:eastAsia="Arial Narrow" w:cs="Arial Narrow"/>
                <w:color w:val="000000"/>
                <w:sz w:val="20"/>
                <w:szCs w:val="20"/>
              </w:rPr>
            </w:pPr>
            <w:r w:rsidRPr="00666914">
              <w:rPr>
                <w:rFonts w:eastAsia="Arial Narrow" w:cs="Arial Narrow"/>
                <w:color w:val="000000"/>
                <w:sz w:val="20"/>
                <w:szCs w:val="20"/>
              </w:rPr>
              <w:t>21 141</w:t>
            </w:r>
          </w:p>
        </w:tc>
      </w:tr>
      <w:tr w:rsidR="008E7D9E" w:rsidRPr="00666914" w14:paraId="4FDCA898" w14:textId="77777777">
        <w:trPr>
          <w:trHeight w:val="260"/>
        </w:trPr>
        <w:tc>
          <w:tcPr>
            <w:tcW w:w="7158" w:type="dxa"/>
            <w:tcBorders>
              <w:top w:val="nil"/>
              <w:left w:val="nil"/>
              <w:bottom w:val="nil"/>
              <w:right w:val="nil"/>
            </w:tcBorders>
            <w:shd w:val="clear" w:color="auto" w:fill="auto"/>
            <w:vAlign w:val="bottom"/>
          </w:tcPr>
          <w:p w14:paraId="09750CA5"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Spoločenská hodnota</w:t>
            </w:r>
          </w:p>
        </w:tc>
        <w:tc>
          <w:tcPr>
            <w:tcW w:w="1914" w:type="dxa"/>
            <w:tcBorders>
              <w:top w:val="nil"/>
              <w:left w:val="nil"/>
              <w:bottom w:val="nil"/>
              <w:right w:val="nil"/>
            </w:tcBorders>
            <w:shd w:val="clear" w:color="auto" w:fill="auto"/>
            <w:vAlign w:val="bottom"/>
          </w:tcPr>
          <w:p w14:paraId="6A72C42B" w14:textId="77777777" w:rsidR="008E7D9E" w:rsidRPr="00666914" w:rsidRDefault="008E7D9E">
            <w:pPr>
              <w:spacing w:after="0"/>
              <w:jc w:val="right"/>
              <w:rPr>
                <w:rFonts w:eastAsia="Arial Narrow" w:cs="Arial Narrow"/>
                <w:color w:val="000000"/>
                <w:sz w:val="20"/>
                <w:szCs w:val="20"/>
              </w:rPr>
            </w:pPr>
            <w:r w:rsidRPr="00666914">
              <w:rPr>
                <w:rFonts w:eastAsia="Arial Narrow" w:cs="Arial Narrow"/>
                <w:color w:val="000000"/>
                <w:sz w:val="20"/>
                <w:szCs w:val="20"/>
              </w:rPr>
              <w:t>1 050</w:t>
            </w:r>
          </w:p>
        </w:tc>
      </w:tr>
      <w:tr w:rsidR="008E7D9E" w:rsidRPr="00666914" w14:paraId="51F9E839" w14:textId="77777777">
        <w:trPr>
          <w:trHeight w:val="260"/>
        </w:trPr>
        <w:tc>
          <w:tcPr>
            <w:tcW w:w="7158" w:type="dxa"/>
            <w:tcBorders>
              <w:top w:val="nil"/>
              <w:left w:val="nil"/>
              <w:bottom w:val="nil"/>
              <w:right w:val="nil"/>
            </w:tcBorders>
            <w:shd w:val="clear" w:color="auto" w:fill="auto"/>
            <w:vAlign w:val="bottom"/>
          </w:tcPr>
          <w:p w14:paraId="5F3CBC8A"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Štúdia, expertízy</w:t>
            </w:r>
          </w:p>
        </w:tc>
        <w:tc>
          <w:tcPr>
            <w:tcW w:w="1914" w:type="dxa"/>
            <w:tcBorders>
              <w:top w:val="nil"/>
              <w:left w:val="nil"/>
              <w:bottom w:val="nil"/>
              <w:right w:val="nil"/>
            </w:tcBorders>
            <w:shd w:val="clear" w:color="auto" w:fill="auto"/>
            <w:vAlign w:val="bottom"/>
          </w:tcPr>
          <w:p w14:paraId="3819D47F" w14:textId="77777777" w:rsidR="008E7D9E" w:rsidRPr="00666914" w:rsidRDefault="008E7D9E">
            <w:pPr>
              <w:spacing w:after="0"/>
              <w:jc w:val="right"/>
              <w:rPr>
                <w:rFonts w:eastAsia="Arial Narrow" w:cs="Arial Narrow"/>
                <w:color w:val="000000"/>
                <w:sz w:val="20"/>
                <w:szCs w:val="20"/>
              </w:rPr>
            </w:pPr>
            <w:r w:rsidRPr="00666914">
              <w:rPr>
                <w:rFonts w:eastAsia="Arial Narrow" w:cs="Arial Narrow"/>
                <w:color w:val="000000"/>
                <w:sz w:val="20"/>
                <w:szCs w:val="20"/>
              </w:rPr>
              <w:t>5 562</w:t>
            </w:r>
          </w:p>
        </w:tc>
      </w:tr>
      <w:tr w:rsidR="008E7D9E" w:rsidRPr="00666914" w14:paraId="53B96FA4" w14:textId="77777777">
        <w:trPr>
          <w:trHeight w:val="260"/>
        </w:trPr>
        <w:tc>
          <w:tcPr>
            <w:tcW w:w="7158" w:type="dxa"/>
            <w:tcBorders>
              <w:top w:val="nil"/>
              <w:left w:val="nil"/>
              <w:bottom w:val="nil"/>
              <w:right w:val="nil"/>
            </w:tcBorders>
            <w:shd w:val="clear" w:color="auto" w:fill="auto"/>
            <w:vAlign w:val="bottom"/>
          </w:tcPr>
          <w:p w14:paraId="7B4EB59C"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Obhliadka domov</w:t>
            </w:r>
          </w:p>
        </w:tc>
        <w:tc>
          <w:tcPr>
            <w:tcW w:w="1914" w:type="dxa"/>
            <w:tcBorders>
              <w:top w:val="nil"/>
              <w:left w:val="nil"/>
              <w:bottom w:val="nil"/>
              <w:right w:val="nil"/>
            </w:tcBorders>
            <w:shd w:val="clear" w:color="auto" w:fill="auto"/>
            <w:vAlign w:val="bottom"/>
          </w:tcPr>
          <w:p w14:paraId="159A18E3" w14:textId="77777777" w:rsidR="008E7D9E" w:rsidRPr="00666914" w:rsidRDefault="008E7D9E">
            <w:pPr>
              <w:spacing w:after="0"/>
              <w:jc w:val="right"/>
              <w:rPr>
                <w:rFonts w:eastAsia="Arial Narrow" w:cs="Arial Narrow"/>
                <w:color w:val="000000"/>
                <w:sz w:val="20"/>
                <w:szCs w:val="20"/>
              </w:rPr>
            </w:pPr>
            <w:r w:rsidRPr="00666914">
              <w:rPr>
                <w:rFonts w:eastAsia="Arial Narrow" w:cs="Arial Narrow"/>
                <w:color w:val="000000"/>
                <w:sz w:val="20"/>
                <w:szCs w:val="20"/>
              </w:rPr>
              <w:t>1 660</w:t>
            </w:r>
          </w:p>
        </w:tc>
      </w:tr>
      <w:tr w:rsidR="008E7D9E" w:rsidRPr="00666914" w14:paraId="5AB2727F" w14:textId="77777777">
        <w:trPr>
          <w:trHeight w:val="260"/>
        </w:trPr>
        <w:tc>
          <w:tcPr>
            <w:tcW w:w="7158" w:type="dxa"/>
            <w:tcBorders>
              <w:top w:val="nil"/>
              <w:left w:val="nil"/>
              <w:bottom w:val="nil"/>
              <w:right w:val="nil"/>
            </w:tcBorders>
            <w:shd w:val="clear" w:color="auto" w:fill="auto"/>
            <w:vAlign w:val="bottom"/>
          </w:tcPr>
          <w:p w14:paraId="0BFCC2BE"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Ubytovania</w:t>
            </w:r>
          </w:p>
        </w:tc>
        <w:tc>
          <w:tcPr>
            <w:tcW w:w="1914" w:type="dxa"/>
            <w:tcBorders>
              <w:top w:val="nil"/>
              <w:left w:val="nil"/>
              <w:bottom w:val="nil"/>
              <w:right w:val="nil"/>
            </w:tcBorders>
            <w:shd w:val="clear" w:color="auto" w:fill="auto"/>
            <w:vAlign w:val="bottom"/>
          </w:tcPr>
          <w:p w14:paraId="7AC7B688" w14:textId="77777777" w:rsidR="008E7D9E" w:rsidRPr="00666914" w:rsidRDefault="008E7D9E">
            <w:pPr>
              <w:spacing w:after="0"/>
              <w:jc w:val="right"/>
              <w:rPr>
                <w:rFonts w:eastAsia="Arial Narrow" w:cs="Arial Narrow"/>
                <w:color w:val="000000"/>
                <w:sz w:val="20"/>
                <w:szCs w:val="20"/>
              </w:rPr>
            </w:pPr>
            <w:r w:rsidRPr="00666914">
              <w:rPr>
                <w:rFonts w:eastAsia="Arial Narrow" w:cs="Arial Narrow"/>
                <w:color w:val="000000"/>
                <w:sz w:val="20"/>
                <w:szCs w:val="20"/>
              </w:rPr>
              <w:t>4 437</w:t>
            </w:r>
          </w:p>
        </w:tc>
      </w:tr>
      <w:tr w:rsidR="008E7D9E" w:rsidRPr="00666914" w14:paraId="4BC4C62A" w14:textId="77777777">
        <w:trPr>
          <w:trHeight w:val="260"/>
        </w:trPr>
        <w:tc>
          <w:tcPr>
            <w:tcW w:w="7158" w:type="dxa"/>
            <w:tcBorders>
              <w:top w:val="nil"/>
              <w:left w:val="nil"/>
              <w:bottom w:val="nil"/>
              <w:right w:val="nil"/>
            </w:tcBorders>
            <w:shd w:val="clear" w:color="auto" w:fill="auto"/>
            <w:vAlign w:val="bottom"/>
          </w:tcPr>
          <w:p w14:paraId="0ADF4BFB"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Speleoterapia</w:t>
            </w:r>
          </w:p>
        </w:tc>
        <w:tc>
          <w:tcPr>
            <w:tcW w:w="1914" w:type="dxa"/>
            <w:tcBorders>
              <w:top w:val="nil"/>
              <w:left w:val="nil"/>
              <w:bottom w:val="nil"/>
              <w:right w:val="nil"/>
            </w:tcBorders>
            <w:shd w:val="clear" w:color="auto" w:fill="auto"/>
            <w:vAlign w:val="bottom"/>
          </w:tcPr>
          <w:p w14:paraId="3372877E" w14:textId="77777777" w:rsidR="008E7D9E" w:rsidRPr="00666914" w:rsidRDefault="008E7D9E">
            <w:pPr>
              <w:spacing w:after="0"/>
              <w:jc w:val="right"/>
              <w:rPr>
                <w:rFonts w:eastAsia="Arial Narrow" w:cs="Arial Narrow"/>
                <w:color w:val="000000"/>
                <w:sz w:val="20"/>
                <w:szCs w:val="20"/>
              </w:rPr>
            </w:pPr>
            <w:r w:rsidRPr="00666914">
              <w:rPr>
                <w:rFonts w:eastAsia="Arial Narrow" w:cs="Arial Narrow"/>
                <w:color w:val="000000"/>
                <w:sz w:val="20"/>
                <w:szCs w:val="20"/>
              </w:rPr>
              <w:t>13 632</w:t>
            </w:r>
          </w:p>
        </w:tc>
      </w:tr>
      <w:tr w:rsidR="008E7D9E" w:rsidRPr="00666914" w14:paraId="07CCE374" w14:textId="77777777">
        <w:trPr>
          <w:trHeight w:val="260"/>
        </w:trPr>
        <w:tc>
          <w:tcPr>
            <w:tcW w:w="7158" w:type="dxa"/>
            <w:tcBorders>
              <w:top w:val="nil"/>
              <w:left w:val="nil"/>
              <w:bottom w:val="nil"/>
              <w:right w:val="nil"/>
            </w:tcBorders>
            <w:shd w:val="clear" w:color="auto" w:fill="auto"/>
            <w:vAlign w:val="bottom"/>
          </w:tcPr>
          <w:p w14:paraId="56F3077B"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Slovenský raj - splav Hornádu</w:t>
            </w:r>
          </w:p>
        </w:tc>
        <w:tc>
          <w:tcPr>
            <w:tcW w:w="1914" w:type="dxa"/>
            <w:tcBorders>
              <w:top w:val="nil"/>
              <w:left w:val="nil"/>
              <w:bottom w:val="nil"/>
              <w:right w:val="nil"/>
            </w:tcBorders>
            <w:shd w:val="clear" w:color="auto" w:fill="auto"/>
            <w:vAlign w:val="bottom"/>
          </w:tcPr>
          <w:p w14:paraId="4472EBCD" w14:textId="77777777" w:rsidR="008E7D9E" w:rsidRPr="00666914" w:rsidRDefault="008E7D9E">
            <w:pPr>
              <w:spacing w:after="0"/>
              <w:jc w:val="right"/>
              <w:rPr>
                <w:rFonts w:eastAsia="Arial Narrow" w:cs="Arial Narrow"/>
                <w:color w:val="000000"/>
                <w:sz w:val="20"/>
                <w:szCs w:val="20"/>
              </w:rPr>
            </w:pPr>
            <w:r w:rsidRPr="00666914">
              <w:rPr>
                <w:rFonts w:eastAsia="Arial Narrow" w:cs="Arial Narrow"/>
                <w:color w:val="000000"/>
                <w:sz w:val="20"/>
                <w:szCs w:val="20"/>
              </w:rPr>
              <w:t>10 490</w:t>
            </w:r>
          </w:p>
        </w:tc>
      </w:tr>
      <w:tr w:rsidR="008E7D9E" w:rsidRPr="00666914" w14:paraId="5C7E7CA6" w14:textId="77777777">
        <w:trPr>
          <w:trHeight w:val="260"/>
        </w:trPr>
        <w:tc>
          <w:tcPr>
            <w:tcW w:w="7158" w:type="dxa"/>
            <w:tcBorders>
              <w:top w:val="nil"/>
              <w:left w:val="nil"/>
              <w:bottom w:val="nil"/>
              <w:right w:val="nil"/>
            </w:tcBorders>
            <w:shd w:val="clear" w:color="auto" w:fill="auto"/>
            <w:vAlign w:val="bottom"/>
          </w:tcPr>
          <w:p w14:paraId="5A3E93A9"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Slovenský raj - Ferrata Kýseľ</w:t>
            </w:r>
          </w:p>
        </w:tc>
        <w:tc>
          <w:tcPr>
            <w:tcW w:w="1914" w:type="dxa"/>
            <w:tcBorders>
              <w:top w:val="nil"/>
              <w:left w:val="nil"/>
              <w:bottom w:val="nil"/>
              <w:right w:val="nil"/>
            </w:tcBorders>
            <w:shd w:val="clear" w:color="auto" w:fill="auto"/>
            <w:vAlign w:val="bottom"/>
          </w:tcPr>
          <w:p w14:paraId="2DB38EEA" w14:textId="77777777" w:rsidR="008E7D9E" w:rsidRPr="00666914" w:rsidRDefault="008E7D9E">
            <w:pPr>
              <w:spacing w:after="0"/>
              <w:jc w:val="right"/>
              <w:rPr>
                <w:rFonts w:eastAsia="Arial Narrow" w:cs="Arial Narrow"/>
                <w:color w:val="000000"/>
                <w:sz w:val="20"/>
                <w:szCs w:val="20"/>
              </w:rPr>
            </w:pPr>
            <w:r w:rsidRPr="00666914">
              <w:rPr>
                <w:rFonts w:eastAsia="Arial Narrow" w:cs="Arial Narrow"/>
                <w:color w:val="000000"/>
                <w:sz w:val="20"/>
                <w:szCs w:val="20"/>
              </w:rPr>
              <w:t>23 139</w:t>
            </w:r>
          </w:p>
        </w:tc>
      </w:tr>
      <w:tr w:rsidR="008E7D9E" w:rsidRPr="00666914" w14:paraId="1F78BC90" w14:textId="77777777">
        <w:trPr>
          <w:trHeight w:val="260"/>
        </w:trPr>
        <w:tc>
          <w:tcPr>
            <w:tcW w:w="7158" w:type="dxa"/>
            <w:tcBorders>
              <w:top w:val="nil"/>
              <w:left w:val="nil"/>
              <w:bottom w:val="nil"/>
              <w:right w:val="nil"/>
            </w:tcBorders>
            <w:shd w:val="clear" w:color="auto" w:fill="auto"/>
            <w:vAlign w:val="bottom"/>
          </w:tcPr>
          <w:p w14:paraId="7B80DDBE"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xml:space="preserve">Ornitologické krúžky CITES </w:t>
            </w:r>
          </w:p>
        </w:tc>
        <w:tc>
          <w:tcPr>
            <w:tcW w:w="1914" w:type="dxa"/>
            <w:tcBorders>
              <w:top w:val="nil"/>
              <w:left w:val="nil"/>
              <w:bottom w:val="nil"/>
              <w:right w:val="nil"/>
            </w:tcBorders>
            <w:shd w:val="clear" w:color="auto" w:fill="auto"/>
            <w:vAlign w:val="bottom"/>
          </w:tcPr>
          <w:p w14:paraId="19C7C261" w14:textId="77777777" w:rsidR="008E7D9E" w:rsidRPr="00666914" w:rsidRDefault="008E7D9E">
            <w:pPr>
              <w:spacing w:after="0"/>
              <w:jc w:val="right"/>
              <w:rPr>
                <w:rFonts w:eastAsia="Arial Narrow" w:cs="Arial Narrow"/>
                <w:color w:val="000000"/>
                <w:sz w:val="20"/>
                <w:szCs w:val="20"/>
              </w:rPr>
            </w:pPr>
            <w:r w:rsidRPr="00666914">
              <w:rPr>
                <w:rFonts w:eastAsia="Arial Narrow" w:cs="Arial Narrow"/>
                <w:color w:val="000000"/>
                <w:sz w:val="20"/>
                <w:szCs w:val="20"/>
              </w:rPr>
              <w:t>7 633</w:t>
            </w:r>
          </w:p>
        </w:tc>
      </w:tr>
      <w:tr w:rsidR="008E7D9E" w:rsidRPr="00666914" w14:paraId="705D3510" w14:textId="77777777">
        <w:trPr>
          <w:trHeight w:val="260"/>
        </w:trPr>
        <w:tc>
          <w:tcPr>
            <w:tcW w:w="7158" w:type="dxa"/>
            <w:tcBorders>
              <w:top w:val="nil"/>
              <w:left w:val="nil"/>
              <w:bottom w:val="nil"/>
              <w:right w:val="nil"/>
            </w:tcBorders>
            <w:shd w:val="clear" w:color="auto" w:fill="auto"/>
            <w:vAlign w:val="bottom"/>
          </w:tcPr>
          <w:p w14:paraId="75E69210"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Nájom</w:t>
            </w:r>
          </w:p>
        </w:tc>
        <w:tc>
          <w:tcPr>
            <w:tcW w:w="1914" w:type="dxa"/>
            <w:tcBorders>
              <w:top w:val="nil"/>
              <w:left w:val="nil"/>
              <w:bottom w:val="nil"/>
              <w:right w:val="nil"/>
            </w:tcBorders>
            <w:shd w:val="clear" w:color="auto" w:fill="auto"/>
            <w:vAlign w:val="bottom"/>
          </w:tcPr>
          <w:p w14:paraId="297E6108" w14:textId="77777777" w:rsidR="008E7D9E" w:rsidRPr="00666914" w:rsidRDefault="008E7D9E">
            <w:pPr>
              <w:spacing w:after="0"/>
              <w:jc w:val="right"/>
              <w:rPr>
                <w:rFonts w:eastAsia="Arial Narrow" w:cs="Arial Narrow"/>
                <w:color w:val="000000"/>
                <w:sz w:val="20"/>
                <w:szCs w:val="20"/>
              </w:rPr>
            </w:pPr>
            <w:r w:rsidRPr="00666914">
              <w:rPr>
                <w:rFonts w:eastAsia="Arial Narrow" w:cs="Arial Narrow"/>
                <w:color w:val="000000"/>
                <w:sz w:val="20"/>
                <w:szCs w:val="20"/>
              </w:rPr>
              <w:t>2 060</w:t>
            </w:r>
          </w:p>
        </w:tc>
      </w:tr>
      <w:tr w:rsidR="008E7D9E" w:rsidRPr="00666914" w14:paraId="17C92C1C" w14:textId="77777777">
        <w:trPr>
          <w:trHeight w:val="260"/>
        </w:trPr>
        <w:tc>
          <w:tcPr>
            <w:tcW w:w="7158" w:type="dxa"/>
            <w:tcBorders>
              <w:top w:val="nil"/>
              <w:left w:val="nil"/>
              <w:bottom w:val="single" w:sz="4" w:space="0" w:color="000000"/>
              <w:right w:val="nil"/>
            </w:tcBorders>
            <w:shd w:val="clear" w:color="auto" w:fill="auto"/>
            <w:vAlign w:val="bottom"/>
          </w:tcPr>
          <w:p w14:paraId="42C999C1"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ostatné</w:t>
            </w:r>
          </w:p>
        </w:tc>
        <w:tc>
          <w:tcPr>
            <w:tcW w:w="1914" w:type="dxa"/>
            <w:tcBorders>
              <w:top w:val="nil"/>
              <w:left w:val="nil"/>
              <w:bottom w:val="single" w:sz="4" w:space="0" w:color="000000"/>
              <w:right w:val="nil"/>
            </w:tcBorders>
            <w:shd w:val="clear" w:color="auto" w:fill="auto"/>
            <w:vAlign w:val="bottom"/>
          </w:tcPr>
          <w:p w14:paraId="4B1C4D2A" w14:textId="77777777" w:rsidR="008E7D9E" w:rsidRPr="00666914" w:rsidRDefault="008E7D9E">
            <w:pPr>
              <w:spacing w:after="0"/>
              <w:jc w:val="right"/>
              <w:rPr>
                <w:rFonts w:eastAsia="Arial Narrow" w:cs="Arial Narrow"/>
                <w:color w:val="000000"/>
                <w:sz w:val="20"/>
                <w:szCs w:val="20"/>
              </w:rPr>
            </w:pPr>
            <w:r w:rsidRPr="00666914">
              <w:rPr>
                <w:rFonts w:eastAsia="Arial Narrow" w:cs="Arial Narrow"/>
                <w:color w:val="000000"/>
                <w:sz w:val="20"/>
                <w:szCs w:val="20"/>
              </w:rPr>
              <w:t>6 364</w:t>
            </w:r>
          </w:p>
        </w:tc>
      </w:tr>
      <w:tr w:rsidR="008E7D9E" w:rsidRPr="00666914" w14:paraId="4FF7F001" w14:textId="77777777">
        <w:trPr>
          <w:trHeight w:val="260"/>
        </w:trPr>
        <w:tc>
          <w:tcPr>
            <w:tcW w:w="7158" w:type="dxa"/>
            <w:tcBorders>
              <w:top w:val="nil"/>
              <w:left w:val="nil"/>
              <w:bottom w:val="single" w:sz="4" w:space="0" w:color="000000"/>
              <w:right w:val="nil"/>
            </w:tcBorders>
            <w:shd w:val="clear" w:color="auto" w:fill="auto"/>
            <w:vAlign w:val="bottom"/>
          </w:tcPr>
          <w:p w14:paraId="1BADFE93" w14:textId="77777777" w:rsidR="008E7D9E" w:rsidRPr="00666914" w:rsidRDefault="008E7D9E">
            <w:pPr>
              <w:spacing w:after="0"/>
              <w:rPr>
                <w:rFonts w:eastAsia="Arial Narrow" w:cs="Arial Narrow"/>
                <w:i/>
                <w:color w:val="000000"/>
                <w:sz w:val="20"/>
                <w:szCs w:val="20"/>
              </w:rPr>
            </w:pPr>
            <w:r w:rsidRPr="00666914">
              <w:rPr>
                <w:rFonts w:eastAsia="Arial Narrow" w:cs="Arial Narrow"/>
                <w:i/>
                <w:color w:val="000000"/>
                <w:sz w:val="20"/>
                <w:szCs w:val="20"/>
              </w:rPr>
              <w:t>Inovatívne financovanie Národnej ZOO Bojnice</w:t>
            </w:r>
          </w:p>
        </w:tc>
        <w:tc>
          <w:tcPr>
            <w:tcW w:w="1914" w:type="dxa"/>
            <w:tcBorders>
              <w:top w:val="nil"/>
              <w:left w:val="nil"/>
              <w:bottom w:val="single" w:sz="4" w:space="0" w:color="000000"/>
              <w:right w:val="nil"/>
            </w:tcBorders>
            <w:shd w:val="clear" w:color="auto" w:fill="auto"/>
            <w:vAlign w:val="bottom"/>
          </w:tcPr>
          <w:p w14:paraId="7D0BFD0E"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4C570F9C" w14:textId="77777777">
        <w:trPr>
          <w:trHeight w:val="260"/>
        </w:trPr>
        <w:tc>
          <w:tcPr>
            <w:tcW w:w="7158" w:type="dxa"/>
            <w:tcBorders>
              <w:top w:val="nil"/>
              <w:left w:val="nil"/>
              <w:bottom w:val="nil"/>
              <w:right w:val="nil"/>
            </w:tcBorders>
            <w:shd w:val="clear" w:color="auto" w:fill="auto"/>
            <w:vAlign w:val="bottom"/>
          </w:tcPr>
          <w:p w14:paraId="75BF422F"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xml:space="preserve">Tržby za vlastné výrobky </w:t>
            </w:r>
          </w:p>
        </w:tc>
        <w:tc>
          <w:tcPr>
            <w:tcW w:w="1914" w:type="dxa"/>
            <w:tcBorders>
              <w:top w:val="nil"/>
              <w:left w:val="nil"/>
              <w:bottom w:val="nil"/>
              <w:right w:val="nil"/>
            </w:tcBorders>
            <w:shd w:val="clear" w:color="auto" w:fill="auto"/>
            <w:vAlign w:val="bottom"/>
          </w:tcPr>
          <w:p w14:paraId="455AED86" w14:textId="77777777" w:rsidR="008E7D9E" w:rsidRPr="00666914" w:rsidRDefault="008E7D9E">
            <w:pPr>
              <w:spacing w:after="0"/>
              <w:jc w:val="right"/>
              <w:rPr>
                <w:rFonts w:eastAsia="Arial Narrow" w:cs="Arial Narrow"/>
                <w:color w:val="000000"/>
                <w:sz w:val="20"/>
                <w:szCs w:val="20"/>
              </w:rPr>
            </w:pPr>
            <w:r w:rsidRPr="00666914">
              <w:rPr>
                <w:rFonts w:eastAsia="Arial Narrow" w:cs="Arial Narrow"/>
                <w:color w:val="000000"/>
                <w:sz w:val="20"/>
                <w:szCs w:val="20"/>
              </w:rPr>
              <w:t>820</w:t>
            </w:r>
          </w:p>
        </w:tc>
      </w:tr>
      <w:tr w:rsidR="008E7D9E" w:rsidRPr="00666914" w14:paraId="24911F19" w14:textId="77777777">
        <w:trPr>
          <w:trHeight w:val="260"/>
        </w:trPr>
        <w:tc>
          <w:tcPr>
            <w:tcW w:w="7158" w:type="dxa"/>
            <w:tcBorders>
              <w:top w:val="nil"/>
              <w:left w:val="nil"/>
              <w:bottom w:val="nil"/>
              <w:right w:val="nil"/>
            </w:tcBorders>
            <w:shd w:val="clear" w:color="auto" w:fill="auto"/>
            <w:vAlign w:val="bottom"/>
          </w:tcPr>
          <w:p w14:paraId="42FEBD05"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xml:space="preserve">Prenájom </w:t>
            </w:r>
          </w:p>
        </w:tc>
        <w:tc>
          <w:tcPr>
            <w:tcW w:w="1914" w:type="dxa"/>
            <w:tcBorders>
              <w:top w:val="nil"/>
              <w:left w:val="nil"/>
              <w:bottom w:val="nil"/>
              <w:right w:val="nil"/>
            </w:tcBorders>
            <w:shd w:val="clear" w:color="auto" w:fill="auto"/>
            <w:vAlign w:val="bottom"/>
          </w:tcPr>
          <w:p w14:paraId="41A6517E" w14:textId="77777777" w:rsidR="008E7D9E" w:rsidRPr="00666914" w:rsidRDefault="008E7D9E">
            <w:pPr>
              <w:spacing w:after="0"/>
              <w:jc w:val="right"/>
              <w:rPr>
                <w:rFonts w:eastAsia="Arial Narrow" w:cs="Arial Narrow"/>
                <w:color w:val="000000"/>
                <w:sz w:val="20"/>
                <w:szCs w:val="20"/>
              </w:rPr>
            </w:pPr>
            <w:r w:rsidRPr="00666914">
              <w:rPr>
                <w:rFonts w:eastAsia="Arial Narrow" w:cs="Arial Narrow"/>
                <w:color w:val="000000"/>
                <w:sz w:val="20"/>
                <w:szCs w:val="20"/>
              </w:rPr>
              <w:t>54 760</w:t>
            </w:r>
          </w:p>
        </w:tc>
      </w:tr>
      <w:tr w:rsidR="008E7D9E" w:rsidRPr="00666914" w14:paraId="2748E511" w14:textId="77777777">
        <w:trPr>
          <w:trHeight w:val="260"/>
        </w:trPr>
        <w:tc>
          <w:tcPr>
            <w:tcW w:w="7158" w:type="dxa"/>
            <w:tcBorders>
              <w:top w:val="nil"/>
              <w:left w:val="nil"/>
              <w:bottom w:val="single" w:sz="4" w:space="0" w:color="000000"/>
              <w:right w:val="nil"/>
            </w:tcBorders>
            <w:shd w:val="clear" w:color="auto" w:fill="auto"/>
            <w:vAlign w:val="bottom"/>
          </w:tcPr>
          <w:p w14:paraId="6E62D121"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xml:space="preserve">Sponzorstvo </w:t>
            </w:r>
          </w:p>
        </w:tc>
        <w:tc>
          <w:tcPr>
            <w:tcW w:w="1914" w:type="dxa"/>
            <w:tcBorders>
              <w:top w:val="nil"/>
              <w:left w:val="nil"/>
              <w:bottom w:val="single" w:sz="4" w:space="0" w:color="000000"/>
              <w:right w:val="nil"/>
            </w:tcBorders>
            <w:shd w:val="clear" w:color="auto" w:fill="auto"/>
            <w:vAlign w:val="bottom"/>
          </w:tcPr>
          <w:p w14:paraId="5FFDD107" w14:textId="77777777" w:rsidR="008E7D9E" w:rsidRPr="00666914" w:rsidRDefault="008E7D9E">
            <w:pPr>
              <w:spacing w:after="0"/>
              <w:jc w:val="right"/>
              <w:rPr>
                <w:rFonts w:eastAsia="Arial Narrow" w:cs="Arial Narrow"/>
                <w:color w:val="000000"/>
                <w:sz w:val="20"/>
                <w:szCs w:val="20"/>
              </w:rPr>
            </w:pPr>
            <w:r w:rsidRPr="00666914">
              <w:rPr>
                <w:rFonts w:eastAsia="Arial Narrow" w:cs="Arial Narrow"/>
                <w:color w:val="000000"/>
                <w:sz w:val="20"/>
                <w:szCs w:val="20"/>
              </w:rPr>
              <w:t>4 719</w:t>
            </w:r>
          </w:p>
        </w:tc>
      </w:tr>
      <w:tr w:rsidR="008E7D9E" w:rsidRPr="00666914" w14:paraId="5BDDDC5E" w14:textId="77777777">
        <w:trPr>
          <w:trHeight w:val="260"/>
        </w:trPr>
        <w:tc>
          <w:tcPr>
            <w:tcW w:w="7158" w:type="dxa"/>
            <w:tcBorders>
              <w:top w:val="nil"/>
              <w:left w:val="nil"/>
              <w:bottom w:val="nil"/>
              <w:right w:val="nil"/>
            </w:tcBorders>
            <w:shd w:val="clear" w:color="auto" w:fill="auto"/>
            <w:vAlign w:val="bottom"/>
          </w:tcPr>
          <w:p w14:paraId="328889C1" w14:textId="77777777" w:rsidR="008E7D9E" w:rsidRPr="00666914" w:rsidRDefault="008E7D9E">
            <w:pPr>
              <w:spacing w:after="0"/>
              <w:rPr>
                <w:rFonts w:eastAsia="Arial Narrow" w:cs="Arial Narrow"/>
                <w:b/>
                <w:color w:val="000000"/>
                <w:sz w:val="20"/>
                <w:szCs w:val="20"/>
              </w:rPr>
            </w:pPr>
            <w:r w:rsidRPr="00666914">
              <w:rPr>
                <w:rFonts w:eastAsia="Arial Narrow" w:cs="Arial Narrow"/>
                <w:b/>
                <w:color w:val="000000"/>
                <w:sz w:val="20"/>
                <w:szCs w:val="20"/>
              </w:rPr>
              <w:t>Spolu</w:t>
            </w:r>
          </w:p>
        </w:tc>
        <w:tc>
          <w:tcPr>
            <w:tcW w:w="1914" w:type="dxa"/>
            <w:tcBorders>
              <w:top w:val="nil"/>
              <w:left w:val="nil"/>
              <w:bottom w:val="nil"/>
              <w:right w:val="nil"/>
            </w:tcBorders>
            <w:shd w:val="clear" w:color="auto" w:fill="auto"/>
            <w:vAlign w:val="bottom"/>
          </w:tcPr>
          <w:p w14:paraId="3B197D04" w14:textId="77777777" w:rsidR="008E7D9E" w:rsidRPr="00666914" w:rsidRDefault="008E7D9E">
            <w:pPr>
              <w:spacing w:after="0"/>
              <w:jc w:val="right"/>
              <w:rPr>
                <w:rFonts w:eastAsia="Arial Narrow" w:cs="Arial Narrow"/>
                <w:b/>
                <w:color w:val="000000"/>
                <w:sz w:val="20"/>
                <w:szCs w:val="20"/>
              </w:rPr>
            </w:pPr>
            <w:r w:rsidRPr="00666914">
              <w:rPr>
                <w:rFonts w:eastAsia="Arial Narrow" w:cs="Arial Narrow"/>
                <w:b/>
                <w:color w:val="000000"/>
                <w:sz w:val="20"/>
                <w:szCs w:val="20"/>
              </w:rPr>
              <w:t>195 314</w:t>
            </w:r>
          </w:p>
        </w:tc>
      </w:tr>
    </w:tbl>
    <w:p w14:paraId="695BDAC9" w14:textId="77777777" w:rsidR="008E7D9E" w:rsidRPr="00666914" w:rsidRDefault="008E7D9E" w:rsidP="00376C54">
      <w:pPr>
        <w:pBdr>
          <w:top w:val="single" w:sz="4" w:space="1" w:color="auto"/>
        </w:pBdr>
        <w:spacing w:after="0"/>
        <w:jc w:val="right"/>
        <w:rPr>
          <w:rFonts w:eastAsia="Arial Narrow" w:cs="Arial Narrow"/>
          <w:i/>
          <w:sz w:val="18"/>
          <w:szCs w:val="18"/>
        </w:rPr>
      </w:pPr>
      <w:r w:rsidRPr="00666914">
        <w:rPr>
          <w:rFonts w:eastAsia="Arial Narrow" w:cs="Arial Narrow"/>
          <w:i/>
          <w:sz w:val="18"/>
          <w:szCs w:val="18"/>
        </w:rPr>
        <w:t>Zdroj: ŠOP SR, Národná ZOO Bojnice</w:t>
      </w:r>
    </w:p>
    <w:p w14:paraId="03E54CA8" w14:textId="77777777" w:rsidR="008E7D9E" w:rsidRPr="00666914" w:rsidRDefault="008E7D9E">
      <w:pPr>
        <w:spacing w:after="0"/>
        <w:rPr>
          <w:rFonts w:eastAsia="Arial Narrow" w:cs="Arial Narrow"/>
        </w:rPr>
      </w:pPr>
    </w:p>
    <w:p w14:paraId="0EBA7145" w14:textId="78677E4F" w:rsidR="008E7D9E" w:rsidRPr="00666914" w:rsidRDefault="008E7D9E">
      <w:pPr>
        <w:spacing w:after="0"/>
        <w:rPr>
          <w:rFonts w:eastAsia="Arial Narrow" w:cs="Arial Narrow"/>
        </w:rPr>
      </w:pPr>
      <w:r w:rsidRPr="00666914">
        <w:rPr>
          <w:rFonts w:eastAsia="Arial Narrow" w:cs="Arial Narrow"/>
          <w:b/>
        </w:rPr>
        <w:t xml:space="preserve">Podľa názoru IJ a iných odborníkov z IEP a ŠOP SR je možné uvažovať </w:t>
      </w:r>
      <w:sdt>
        <w:sdtPr>
          <w:tag w:val="goog_rdk_32"/>
          <w:id w:val="-226295147"/>
        </w:sdtPr>
        <w:sdtEndPr/>
        <w:sdtContent/>
      </w:sdt>
      <w:r w:rsidRPr="00666914">
        <w:rPr>
          <w:rFonts w:eastAsia="Arial Narrow" w:cs="Arial Narrow"/>
          <w:b/>
        </w:rPr>
        <w:t>nad zavedením spoplatnenia vstupu aj na pozemkoch, ktoré sú v správe súkromných vlastníkov alebo štátu.</w:t>
      </w:r>
      <w:r w:rsidRPr="00666914">
        <w:rPr>
          <w:rFonts w:eastAsia="Arial Narrow" w:cs="Arial Narrow"/>
        </w:rPr>
        <w:t xml:space="preserve"> Je však potrebné si dané pozemky od iných vlastníkov prenajať a dohodnúť podmienky využitia vyzbieraných finančných prostriedkov zo vstupného. Na Slovensku takýto model nebol plne implementovaný. V Slovenskom raji je na úrovni niektorých obcí v niektorých lokalitách vyberaný poplatok za použitie technických zariadení, nakoľko tieto im štát v minulosti delimitoval do majetku. V súčasnom období je v týchto lokalitách problém so zabezpečením udržateľného spôsobu vyberania týchto poplatkov a prevádzkovania zariadení (obce častokrát neinvestujú prostriedky do obnovy technických zariadení, ich stav sa zhoršuje a následne dochádza až k ich uzavretiu). Z tohto dôvodu začala ŠOP SR v 2019 rokovať o možnosti nájmu, resp. odkúpenia týchto technických zariadení s možnosťou jednotného výberu poplatkov v týchto lokalitách. </w:t>
      </w:r>
      <w:r w:rsidRPr="00666914">
        <w:rPr>
          <w:rFonts w:eastAsia="Arial Narrow" w:cs="Arial Narrow"/>
          <w:b/>
        </w:rPr>
        <w:t>V 01/2020 vypracovala ŠOP SR zároveň štúdiu inovatívneho financovania</w:t>
      </w:r>
      <w:r w:rsidRPr="00666914">
        <w:rPr>
          <w:rFonts w:eastAsia="Arial Narrow" w:cs="Arial Narrow"/>
          <w:b/>
          <w:vertAlign w:val="superscript"/>
        </w:rPr>
        <w:footnoteReference w:id="270"/>
      </w:r>
      <w:r w:rsidRPr="00666914">
        <w:rPr>
          <w:rFonts w:eastAsia="Arial Narrow" w:cs="Arial Narrow"/>
          <w:b/>
        </w:rPr>
        <w:t xml:space="preserve">, ktorá obsahuje </w:t>
      </w:r>
      <w:sdt>
        <w:sdtPr>
          <w:tag w:val="goog_rdk_33"/>
          <w:id w:val="-1033269851"/>
        </w:sdtPr>
        <w:sdtEndPr/>
        <w:sdtContent/>
      </w:sdt>
      <w:r w:rsidRPr="00666914">
        <w:rPr>
          <w:rFonts w:eastAsia="Arial Narrow" w:cs="Arial Narrow"/>
          <w:b/>
        </w:rPr>
        <w:t xml:space="preserve">aj analýzu </w:t>
      </w:r>
      <w:r w:rsidRPr="00666914">
        <w:rPr>
          <w:rFonts w:eastAsia="Arial Narrow" w:cs="Arial Narrow"/>
          <w:b/>
        </w:rPr>
        <w:lastRenderedPageBreak/>
        <w:t>možného zavedenia poplatkov za vstup do národných parkov aj bez vlastníctva pozemkov.</w:t>
      </w:r>
      <w:r w:rsidRPr="00666914">
        <w:rPr>
          <w:rFonts w:eastAsia="Arial Narrow" w:cs="Arial Narrow"/>
        </w:rPr>
        <w:t xml:space="preserve"> Jedným z riešení navrhovaných v analýze je pilotný program. V rámci neho začali rokovania v NP Slovenský raj o prenájme technických zariadení v území od obcí, ktoré ich vlastnia a v súčasnosti vyberajú poplatok za ich využívanie, ktorý by mal byť využitý aj na údržbu uvedených technických zariadení. V prípade prenájmu týchto zariadení, po odpočítaní finančných prostriedkov nevyhnutných na údržbu zariadení a nájmu zariadení, by ostatné finančné prostriedky získané z tejto činnosti mohli byť zdrojom inovatívneho financovania ŠOP SR. Rovnako plánuje ŠOP SR postu</w:t>
      </w:r>
      <w:r w:rsidR="000644F2" w:rsidRPr="00666914">
        <w:rPr>
          <w:rFonts w:eastAsia="Arial Narrow" w:cs="Arial Narrow"/>
        </w:rPr>
        <w:t>povať aj v TANAP a NP Poloniny.</w:t>
      </w:r>
    </w:p>
    <w:p w14:paraId="21982C4D" w14:textId="77777777" w:rsidR="008E7D9E" w:rsidRPr="00666914" w:rsidRDefault="008E7D9E">
      <w:pPr>
        <w:spacing w:after="0"/>
        <w:rPr>
          <w:rFonts w:eastAsia="Arial Narrow" w:cs="Arial Narrow"/>
        </w:rPr>
      </w:pPr>
      <w:r w:rsidRPr="00666914">
        <w:rPr>
          <w:rFonts w:eastAsia="Arial Narrow" w:cs="Arial Narrow"/>
        </w:rPr>
        <w:t xml:space="preserve">   </w:t>
      </w:r>
    </w:p>
    <w:p w14:paraId="65E83D58" w14:textId="36EB4DE8" w:rsidR="008E7D9E" w:rsidRPr="00666914" w:rsidRDefault="008E7D9E">
      <w:pPr>
        <w:spacing w:after="0"/>
        <w:rPr>
          <w:rFonts w:eastAsia="Arial Narrow" w:cs="Arial Narrow"/>
        </w:rPr>
      </w:pPr>
      <w:r w:rsidRPr="00666914">
        <w:rPr>
          <w:rFonts w:eastAsia="Arial Narrow" w:cs="Arial Narrow"/>
          <w:b/>
        </w:rPr>
        <w:t>V 4Q2019 MŽP SR predložilo na MPK návrh Koncepcie ochrany prírody a krajiny do roku 2030</w:t>
      </w:r>
      <w:r w:rsidRPr="00666914">
        <w:rPr>
          <w:rFonts w:eastAsia="Arial Narrow" w:cs="Arial Narrow"/>
          <w:b/>
          <w:vertAlign w:val="superscript"/>
        </w:rPr>
        <w:footnoteReference w:id="271"/>
      </w:r>
      <w:r w:rsidRPr="00666914">
        <w:rPr>
          <w:rFonts w:eastAsia="Arial Narrow" w:cs="Arial Narrow"/>
          <w:b/>
        </w:rPr>
        <w:t>.</w:t>
      </w:r>
      <w:r w:rsidRPr="00666914">
        <w:rPr>
          <w:rFonts w:eastAsia="Arial Narrow" w:cs="Arial Narrow"/>
        </w:rPr>
        <w:t xml:space="preserve"> Súčasťou návrhu koncepcie je aj vypracovanie analýzy existujúcich finančných mechanizmov v rámci ŠOP SR a navrhnutie inovatívnych finančných zdrojov financovania ŠOP SR do roku 2022. Na základe dohody medzi IJ ÚV SR a MŽP SR bol rok pre vypracovanie analýzy existujúcich finančných mechanizmov v rámci ŠOP SR v návrhu </w:t>
      </w:r>
      <w:r w:rsidR="000644F2" w:rsidRPr="00666914">
        <w:rPr>
          <w:rFonts w:eastAsia="Arial Narrow" w:cs="Arial Narrow"/>
        </w:rPr>
        <w:t>koncepcie upravený na rok 2020.</w:t>
      </w:r>
    </w:p>
    <w:p w14:paraId="19863BBA" w14:textId="77777777" w:rsidR="008E7D9E" w:rsidRPr="00666914" w:rsidRDefault="008E7D9E">
      <w:pPr>
        <w:spacing w:after="0"/>
        <w:rPr>
          <w:rFonts w:eastAsia="Arial Narrow" w:cs="Arial Narrow"/>
        </w:rPr>
      </w:pPr>
    </w:p>
    <w:p w14:paraId="4DAE117B" w14:textId="77777777" w:rsidR="008E7D9E" w:rsidRPr="00666914" w:rsidRDefault="008E7D9E">
      <w:pPr>
        <w:spacing w:after="0"/>
        <w:rPr>
          <w:rFonts w:eastAsia="Arial Narrow" w:cs="Arial Narrow"/>
          <w:b/>
        </w:rPr>
      </w:pPr>
      <w:r w:rsidRPr="00666914">
        <w:rPr>
          <w:rFonts w:eastAsia="Arial Narrow" w:cs="Arial Narrow"/>
        </w:rPr>
        <w:t xml:space="preserve">K zavedeniu nových inovatívnych foriem financovania ŠOP do 12/2019 nedošlo a inovatívne príjmy boli v roku 2019 na úrovni 2,2 % plánu. </w:t>
      </w:r>
      <w:r w:rsidRPr="00666914">
        <w:rPr>
          <w:rFonts w:eastAsia="Arial Narrow" w:cs="Arial Narrow"/>
          <w:b/>
        </w:rPr>
        <w:t>Opatrenie sa k 31.12.2019 neplní.</w:t>
      </w:r>
    </w:p>
    <w:p w14:paraId="29E17D64" w14:textId="77777777" w:rsidR="008E7D9E" w:rsidRPr="00666914" w:rsidRDefault="008E7D9E">
      <w:pPr>
        <w:spacing w:after="0"/>
        <w:rPr>
          <w:rFonts w:eastAsia="Arial Narrow" w:cs="Arial Narrow"/>
          <w:b/>
        </w:rPr>
      </w:pPr>
    </w:p>
    <w:p w14:paraId="4A9439C6" w14:textId="77777777" w:rsidR="008E7D9E" w:rsidRPr="00666914" w:rsidRDefault="008E7D9E">
      <w:pPr>
        <w:spacing w:after="0"/>
        <w:rPr>
          <w:rFonts w:eastAsia="Arial Narrow" w:cs="Arial Narrow"/>
        </w:rPr>
      </w:pPr>
      <w:r w:rsidRPr="00666914">
        <w:rPr>
          <w:rFonts w:eastAsia="Arial Narrow" w:cs="Arial Narrow"/>
          <w:b/>
        </w:rPr>
        <w:t xml:space="preserve">Odporúčanie IJ: </w:t>
      </w:r>
      <w:r w:rsidRPr="00666914">
        <w:rPr>
          <w:rFonts w:eastAsia="Arial Narrow" w:cs="Arial Narrow"/>
        </w:rPr>
        <w:t>Spustiť pilotný program výberu vstupného v NP Slovenský raj v nadväznosti na rokovania o možnom prenájme technických zariadení od obci do 09/2020 a následne do 12/2020 vyhodnotiť jeho výsledky.</w:t>
      </w:r>
    </w:p>
    <w:p w14:paraId="33792F9B" w14:textId="77777777" w:rsidR="008E7D9E" w:rsidRPr="00666914" w:rsidRDefault="008E7D9E">
      <w:pPr>
        <w:spacing w:after="0"/>
        <w:rPr>
          <w:rFonts w:eastAsia="Arial Narrow" w:cs="Arial Narrow"/>
          <w:b/>
        </w:rPr>
      </w:pPr>
    </w:p>
    <w:p w14:paraId="4B241C82" w14:textId="77777777" w:rsidR="008E7D9E" w:rsidRPr="00666914" w:rsidRDefault="008E7D9E" w:rsidP="008E7D9E">
      <w:pPr>
        <w:pStyle w:val="Nadpis2"/>
        <w:rPr>
          <w:rFonts w:eastAsia="Arial Narrow"/>
        </w:rPr>
      </w:pPr>
      <w:bookmarkStart w:id="329" w:name="_Toc38447611"/>
      <w:r w:rsidRPr="00666914">
        <w:rPr>
          <w:rFonts w:eastAsia="Arial Narrow"/>
        </w:rPr>
        <w:t>Hodnota</w:t>
      </w:r>
      <w:bookmarkEnd w:id="329"/>
    </w:p>
    <w:tbl>
      <w:tblPr>
        <w:tblW w:w="9073" w:type="dxa"/>
        <w:tblLayout w:type="fixed"/>
        <w:tblLook w:val="0400" w:firstRow="0" w:lastRow="0" w:firstColumn="0" w:lastColumn="0" w:noHBand="0" w:noVBand="1"/>
      </w:tblPr>
      <w:tblGrid>
        <w:gridCol w:w="237"/>
        <w:gridCol w:w="2538"/>
        <w:gridCol w:w="1523"/>
        <w:gridCol w:w="913"/>
        <w:gridCol w:w="964"/>
        <w:gridCol w:w="724"/>
        <w:gridCol w:w="725"/>
        <w:gridCol w:w="724"/>
        <w:gridCol w:w="725"/>
      </w:tblGrid>
      <w:tr w:rsidR="008E7D9E" w:rsidRPr="00666914" w14:paraId="29B50C8D" w14:textId="77777777" w:rsidTr="00254A5B">
        <w:trPr>
          <w:trHeight w:val="306"/>
        </w:trPr>
        <w:tc>
          <w:tcPr>
            <w:tcW w:w="2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6680D7"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 </w:t>
            </w:r>
          </w:p>
        </w:tc>
        <w:tc>
          <w:tcPr>
            <w:tcW w:w="2538" w:type="dxa"/>
            <w:tcBorders>
              <w:top w:val="single" w:sz="4" w:space="0" w:color="000000"/>
              <w:left w:val="nil"/>
              <w:bottom w:val="single" w:sz="4" w:space="0" w:color="000000"/>
              <w:right w:val="single" w:sz="4" w:space="0" w:color="000000"/>
            </w:tcBorders>
            <w:shd w:val="clear" w:color="auto" w:fill="auto"/>
            <w:vAlign w:val="center"/>
          </w:tcPr>
          <w:p w14:paraId="4E699B3C"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Opatrenie</w:t>
            </w:r>
          </w:p>
        </w:tc>
        <w:tc>
          <w:tcPr>
            <w:tcW w:w="1523" w:type="dxa"/>
            <w:tcBorders>
              <w:top w:val="single" w:sz="4" w:space="0" w:color="000000"/>
              <w:left w:val="nil"/>
              <w:bottom w:val="single" w:sz="4" w:space="0" w:color="000000"/>
              <w:right w:val="single" w:sz="4" w:space="0" w:color="000000"/>
            </w:tcBorders>
            <w:shd w:val="clear" w:color="auto" w:fill="auto"/>
            <w:vAlign w:val="center"/>
          </w:tcPr>
          <w:p w14:paraId="4475328D"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Zodpovednosť</w:t>
            </w:r>
          </w:p>
        </w:tc>
        <w:tc>
          <w:tcPr>
            <w:tcW w:w="913" w:type="dxa"/>
            <w:tcBorders>
              <w:top w:val="single" w:sz="4" w:space="0" w:color="000000"/>
              <w:left w:val="nil"/>
              <w:bottom w:val="single" w:sz="4" w:space="0" w:color="000000"/>
              <w:right w:val="single" w:sz="4" w:space="0" w:color="000000"/>
            </w:tcBorders>
            <w:shd w:val="clear" w:color="auto" w:fill="auto"/>
            <w:vAlign w:val="center"/>
          </w:tcPr>
          <w:p w14:paraId="5F211853"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Termín plnenia</w:t>
            </w:r>
          </w:p>
        </w:tc>
        <w:tc>
          <w:tcPr>
            <w:tcW w:w="964" w:type="dxa"/>
            <w:tcBorders>
              <w:top w:val="single" w:sz="4" w:space="0" w:color="000000"/>
              <w:left w:val="nil"/>
              <w:bottom w:val="single" w:sz="4" w:space="0" w:color="000000"/>
              <w:right w:val="single" w:sz="4" w:space="0" w:color="000000"/>
            </w:tcBorders>
          </w:tcPr>
          <w:p w14:paraId="13AEFE79"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Nový termín plnenia</w:t>
            </w:r>
          </w:p>
        </w:tc>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52506"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1Q 2019</w:t>
            </w:r>
          </w:p>
        </w:tc>
        <w:tc>
          <w:tcPr>
            <w:tcW w:w="725" w:type="dxa"/>
            <w:tcBorders>
              <w:top w:val="single" w:sz="4" w:space="0" w:color="000000"/>
              <w:left w:val="nil"/>
              <w:bottom w:val="single" w:sz="4" w:space="0" w:color="000000"/>
              <w:right w:val="single" w:sz="4" w:space="0" w:color="000000"/>
            </w:tcBorders>
            <w:shd w:val="clear" w:color="auto" w:fill="auto"/>
            <w:vAlign w:val="center"/>
          </w:tcPr>
          <w:p w14:paraId="324A3272"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2Q 2019</w:t>
            </w:r>
          </w:p>
        </w:tc>
        <w:tc>
          <w:tcPr>
            <w:tcW w:w="724" w:type="dxa"/>
            <w:tcBorders>
              <w:top w:val="single" w:sz="4" w:space="0" w:color="000000"/>
              <w:left w:val="nil"/>
              <w:bottom w:val="single" w:sz="4" w:space="0" w:color="000000"/>
              <w:right w:val="single" w:sz="4" w:space="0" w:color="000000"/>
            </w:tcBorders>
            <w:shd w:val="clear" w:color="auto" w:fill="auto"/>
            <w:vAlign w:val="center"/>
          </w:tcPr>
          <w:p w14:paraId="637DFC07"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3Q 2019</w:t>
            </w:r>
          </w:p>
        </w:tc>
        <w:tc>
          <w:tcPr>
            <w:tcW w:w="725" w:type="dxa"/>
            <w:tcBorders>
              <w:top w:val="single" w:sz="4" w:space="0" w:color="000000"/>
              <w:left w:val="nil"/>
              <w:bottom w:val="single" w:sz="4" w:space="0" w:color="000000"/>
              <w:right w:val="single" w:sz="4" w:space="0" w:color="000000"/>
            </w:tcBorders>
            <w:shd w:val="clear" w:color="auto" w:fill="auto"/>
            <w:vAlign w:val="center"/>
          </w:tcPr>
          <w:p w14:paraId="733A96B8"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4Q 2019</w:t>
            </w:r>
          </w:p>
        </w:tc>
      </w:tr>
      <w:tr w:rsidR="008E7D9E" w:rsidRPr="00666914" w14:paraId="2B76B835" w14:textId="77777777" w:rsidTr="00254A5B">
        <w:trPr>
          <w:trHeight w:val="286"/>
        </w:trPr>
        <w:tc>
          <w:tcPr>
            <w:tcW w:w="237" w:type="dxa"/>
            <w:tcBorders>
              <w:top w:val="nil"/>
              <w:left w:val="single" w:sz="8" w:space="0" w:color="000000"/>
              <w:bottom w:val="single" w:sz="4" w:space="0" w:color="000000"/>
              <w:right w:val="single" w:sz="4" w:space="0" w:color="000000"/>
            </w:tcBorders>
            <w:shd w:val="clear" w:color="auto" w:fill="auto"/>
            <w:vAlign w:val="center"/>
          </w:tcPr>
          <w:p w14:paraId="21AF52DE"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5</w:t>
            </w:r>
          </w:p>
        </w:tc>
        <w:tc>
          <w:tcPr>
            <w:tcW w:w="2538" w:type="dxa"/>
            <w:tcBorders>
              <w:top w:val="nil"/>
              <w:left w:val="nil"/>
              <w:bottom w:val="single" w:sz="4" w:space="0" w:color="000000"/>
              <w:right w:val="single" w:sz="4" w:space="0" w:color="000000"/>
            </w:tcBorders>
            <w:shd w:val="clear" w:color="auto" w:fill="auto"/>
            <w:vAlign w:val="center"/>
          </w:tcPr>
          <w:p w14:paraId="5E0AD9BA"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Znížiť znečistenie ovzdušia podporou výmeny efektívnejších spaľovacích zariadení pre domácnosti (napr. 40 mil. eur)</w:t>
            </w:r>
          </w:p>
        </w:tc>
        <w:tc>
          <w:tcPr>
            <w:tcW w:w="1523" w:type="dxa"/>
            <w:tcBorders>
              <w:top w:val="nil"/>
              <w:left w:val="nil"/>
              <w:bottom w:val="single" w:sz="4" w:space="0" w:color="000000"/>
              <w:right w:val="single" w:sz="4" w:space="0" w:color="000000"/>
            </w:tcBorders>
            <w:shd w:val="clear" w:color="auto" w:fill="auto"/>
            <w:vAlign w:val="center"/>
          </w:tcPr>
          <w:p w14:paraId="614F8E8F"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MF SR / MŽP SR</w:t>
            </w:r>
          </w:p>
        </w:tc>
        <w:tc>
          <w:tcPr>
            <w:tcW w:w="913" w:type="dxa"/>
            <w:tcBorders>
              <w:top w:val="nil"/>
              <w:left w:val="nil"/>
              <w:bottom w:val="single" w:sz="4" w:space="0" w:color="000000"/>
              <w:right w:val="single" w:sz="4" w:space="0" w:color="000000"/>
            </w:tcBorders>
            <w:shd w:val="clear" w:color="auto" w:fill="auto"/>
            <w:vAlign w:val="center"/>
          </w:tcPr>
          <w:p w14:paraId="441CE38F"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w:t>
            </w:r>
          </w:p>
        </w:tc>
        <w:tc>
          <w:tcPr>
            <w:tcW w:w="964" w:type="dxa"/>
            <w:tcBorders>
              <w:top w:val="single" w:sz="4" w:space="0" w:color="000000"/>
              <w:left w:val="nil"/>
              <w:bottom w:val="single" w:sz="4" w:space="0" w:color="000000"/>
              <w:right w:val="single" w:sz="4" w:space="0" w:color="000000"/>
            </w:tcBorders>
            <w:vAlign w:val="center"/>
          </w:tcPr>
          <w:p w14:paraId="2352B619" w14:textId="77777777" w:rsidR="008E7D9E" w:rsidRPr="00666914" w:rsidRDefault="008E7D9E" w:rsidP="00853F5B">
            <w:pPr>
              <w:spacing w:after="0"/>
              <w:jc w:val="center"/>
              <w:rPr>
                <w:rFonts w:eastAsia="Arial Narrow" w:cs="Arial Narrow"/>
                <w:color w:val="000000"/>
                <w:sz w:val="20"/>
                <w:szCs w:val="20"/>
              </w:rPr>
            </w:pPr>
            <w:r w:rsidRPr="00666914">
              <w:rPr>
                <w:rFonts w:eastAsia="Arial Narrow" w:cs="Arial Narrow"/>
                <w:color w:val="000000"/>
                <w:sz w:val="20"/>
                <w:szCs w:val="20"/>
              </w:rPr>
              <w:t>12/2019</w:t>
            </w:r>
          </w:p>
          <w:p w14:paraId="3720AC0F" w14:textId="77777777" w:rsidR="008E7D9E" w:rsidRPr="00666914" w:rsidRDefault="008E7D9E">
            <w:pPr>
              <w:spacing w:after="0"/>
              <w:jc w:val="center"/>
              <w:rPr>
                <w:rFonts w:eastAsia="Arial Narrow" w:cs="Arial Narrow"/>
                <w:color w:val="000000"/>
                <w:sz w:val="20"/>
                <w:szCs w:val="20"/>
              </w:rPr>
            </w:pPr>
          </w:p>
        </w:tc>
        <w:tc>
          <w:tcPr>
            <w:tcW w:w="724" w:type="dxa"/>
            <w:tcBorders>
              <w:top w:val="nil"/>
              <w:left w:val="single" w:sz="4" w:space="0" w:color="000000"/>
              <w:bottom w:val="single" w:sz="4" w:space="0" w:color="000000"/>
              <w:right w:val="single" w:sz="4" w:space="0" w:color="000000"/>
            </w:tcBorders>
            <w:shd w:val="clear" w:color="auto" w:fill="FFC000"/>
            <w:vAlign w:val="bottom"/>
          </w:tcPr>
          <w:p w14:paraId="7B758028"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725" w:type="dxa"/>
            <w:tcBorders>
              <w:top w:val="nil"/>
              <w:left w:val="nil"/>
              <w:bottom w:val="single" w:sz="4" w:space="0" w:color="000000"/>
              <w:right w:val="single" w:sz="4" w:space="0" w:color="000000"/>
            </w:tcBorders>
            <w:shd w:val="clear" w:color="auto" w:fill="FFC000"/>
            <w:vAlign w:val="bottom"/>
          </w:tcPr>
          <w:p w14:paraId="65C26E06"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724" w:type="dxa"/>
            <w:tcBorders>
              <w:top w:val="nil"/>
              <w:left w:val="nil"/>
              <w:bottom w:val="single" w:sz="4" w:space="0" w:color="000000"/>
              <w:right w:val="single" w:sz="4" w:space="0" w:color="000000"/>
            </w:tcBorders>
            <w:shd w:val="clear" w:color="auto" w:fill="FFC000"/>
            <w:vAlign w:val="bottom"/>
          </w:tcPr>
          <w:p w14:paraId="6F03C0CE"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725" w:type="dxa"/>
            <w:tcBorders>
              <w:top w:val="nil"/>
              <w:left w:val="nil"/>
              <w:bottom w:val="single" w:sz="4" w:space="0" w:color="000000"/>
              <w:right w:val="single" w:sz="8" w:space="0" w:color="000000"/>
            </w:tcBorders>
            <w:shd w:val="clear" w:color="auto" w:fill="FFC000"/>
            <w:vAlign w:val="bottom"/>
          </w:tcPr>
          <w:p w14:paraId="7E089CDD"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4EB3F615" w14:textId="77777777" w:rsidTr="00254A5B">
        <w:trPr>
          <w:trHeight w:val="286"/>
        </w:trPr>
        <w:tc>
          <w:tcPr>
            <w:tcW w:w="237" w:type="dxa"/>
            <w:tcBorders>
              <w:top w:val="nil"/>
              <w:left w:val="single" w:sz="8" w:space="0" w:color="000000"/>
              <w:bottom w:val="single" w:sz="4" w:space="0" w:color="000000"/>
              <w:right w:val="single" w:sz="4" w:space="0" w:color="000000"/>
            </w:tcBorders>
            <w:shd w:val="clear" w:color="auto" w:fill="auto"/>
            <w:vAlign w:val="center"/>
          </w:tcPr>
          <w:p w14:paraId="04858EB7"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6</w:t>
            </w:r>
          </w:p>
        </w:tc>
        <w:tc>
          <w:tcPr>
            <w:tcW w:w="2538" w:type="dxa"/>
            <w:tcBorders>
              <w:top w:val="nil"/>
              <w:left w:val="nil"/>
              <w:bottom w:val="single" w:sz="4" w:space="0" w:color="000000"/>
              <w:right w:val="single" w:sz="4" w:space="0" w:color="000000"/>
            </w:tcBorders>
            <w:shd w:val="clear" w:color="auto" w:fill="auto"/>
            <w:vAlign w:val="center"/>
          </w:tcPr>
          <w:p w14:paraId="12C0C492"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Postupné utlmenie výroby elektriny z uhlia</w:t>
            </w:r>
          </w:p>
        </w:tc>
        <w:tc>
          <w:tcPr>
            <w:tcW w:w="1523" w:type="dxa"/>
            <w:tcBorders>
              <w:top w:val="nil"/>
              <w:left w:val="nil"/>
              <w:bottom w:val="single" w:sz="4" w:space="0" w:color="000000"/>
              <w:right w:val="single" w:sz="4" w:space="0" w:color="000000"/>
            </w:tcBorders>
            <w:shd w:val="clear" w:color="auto" w:fill="auto"/>
            <w:vAlign w:val="center"/>
          </w:tcPr>
          <w:p w14:paraId="0841D076"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MH SR</w:t>
            </w:r>
          </w:p>
        </w:tc>
        <w:tc>
          <w:tcPr>
            <w:tcW w:w="913" w:type="dxa"/>
            <w:tcBorders>
              <w:top w:val="nil"/>
              <w:left w:val="nil"/>
              <w:bottom w:val="single" w:sz="4" w:space="0" w:color="000000"/>
              <w:right w:val="single" w:sz="4" w:space="0" w:color="000000"/>
            </w:tcBorders>
            <w:shd w:val="clear" w:color="auto" w:fill="auto"/>
            <w:vAlign w:val="center"/>
          </w:tcPr>
          <w:p w14:paraId="5FE6F3EA"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N/A</w:t>
            </w:r>
          </w:p>
        </w:tc>
        <w:tc>
          <w:tcPr>
            <w:tcW w:w="964" w:type="dxa"/>
            <w:tcBorders>
              <w:top w:val="single" w:sz="4" w:space="0" w:color="000000"/>
              <w:left w:val="nil"/>
              <w:bottom w:val="single" w:sz="4" w:space="0" w:color="000000"/>
              <w:right w:val="single" w:sz="4" w:space="0" w:color="000000"/>
            </w:tcBorders>
            <w:vAlign w:val="center"/>
          </w:tcPr>
          <w:p w14:paraId="3A2848ED"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2023</w:t>
            </w:r>
          </w:p>
        </w:tc>
        <w:tc>
          <w:tcPr>
            <w:tcW w:w="724" w:type="dxa"/>
            <w:tcBorders>
              <w:top w:val="nil"/>
              <w:left w:val="single" w:sz="4" w:space="0" w:color="000000"/>
              <w:bottom w:val="single" w:sz="4" w:space="0" w:color="000000"/>
              <w:right w:val="single" w:sz="4" w:space="0" w:color="000000"/>
            </w:tcBorders>
            <w:shd w:val="clear" w:color="auto" w:fill="FF0000"/>
            <w:vAlign w:val="bottom"/>
          </w:tcPr>
          <w:p w14:paraId="36827BAC" w14:textId="77777777" w:rsidR="008E7D9E" w:rsidRPr="00666914" w:rsidRDefault="008E7D9E">
            <w:pPr>
              <w:spacing w:after="0"/>
              <w:rPr>
                <w:rFonts w:eastAsia="Arial Narrow" w:cs="Arial Narrow"/>
                <w:color w:val="000000"/>
                <w:sz w:val="20"/>
                <w:szCs w:val="20"/>
              </w:rPr>
            </w:pPr>
          </w:p>
        </w:tc>
        <w:tc>
          <w:tcPr>
            <w:tcW w:w="725" w:type="dxa"/>
            <w:tcBorders>
              <w:top w:val="nil"/>
              <w:left w:val="nil"/>
              <w:bottom w:val="single" w:sz="4" w:space="0" w:color="000000"/>
              <w:right w:val="single" w:sz="4" w:space="0" w:color="000000"/>
            </w:tcBorders>
            <w:shd w:val="clear" w:color="auto" w:fill="FF0000"/>
            <w:vAlign w:val="bottom"/>
          </w:tcPr>
          <w:p w14:paraId="46CF4B94" w14:textId="77777777" w:rsidR="008E7D9E" w:rsidRPr="00666914" w:rsidRDefault="008E7D9E">
            <w:pPr>
              <w:spacing w:after="0"/>
              <w:rPr>
                <w:rFonts w:eastAsia="Arial Narrow" w:cs="Arial Narrow"/>
                <w:color w:val="000000"/>
                <w:sz w:val="20"/>
                <w:szCs w:val="20"/>
              </w:rPr>
            </w:pPr>
          </w:p>
        </w:tc>
        <w:tc>
          <w:tcPr>
            <w:tcW w:w="724" w:type="dxa"/>
            <w:tcBorders>
              <w:top w:val="nil"/>
              <w:left w:val="nil"/>
              <w:bottom w:val="single" w:sz="4" w:space="0" w:color="000000"/>
              <w:right w:val="single" w:sz="4" w:space="0" w:color="000000"/>
            </w:tcBorders>
            <w:shd w:val="clear" w:color="auto" w:fill="FF0000"/>
            <w:vAlign w:val="bottom"/>
          </w:tcPr>
          <w:p w14:paraId="19933B4B" w14:textId="77777777" w:rsidR="008E7D9E" w:rsidRPr="00666914" w:rsidRDefault="008E7D9E">
            <w:pPr>
              <w:spacing w:after="0"/>
              <w:rPr>
                <w:rFonts w:eastAsia="Arial Narrow" w:cs="Arial Narrow"/>
                <w:color w:val="000000"/>
                <w:sz w:val="20"/>
                <w:szCs w:val="20"/>
              </w:rPr>
            </w:pPr>
          </w:p>
        </w:tc>
        <w:tc>
          <w:tcPr>
            <w:tcW w:w="725" w:type="dxa"/>
            <w:tcBorders>
              <w:top w:val="nil"/>
              <w:left w:val="nil"/>
              <w:bottom w:val="single" w:sz="4" w:space="0" w:color="000000"/>
              <w:right w:val="single" w:sz="8" w:space="0" w:color="000000"/>
            </w:tcBorders>
            <w:shd w:val="clear" w:color="auto" w:fill="FF0000"/>
            <w:vAlign w:val="bottom"/>
          </w:tcPr>
          <w:p w14:paraId="40566D82" w14:textId="77777777" w:rsidR="008E7D9E" w:rsidRPr="00666914" w:rsidRDefault="008E7D9E">
            <w:pPr>
              <w:spacing w:after="0"/>
              <w:rPr>
                <w:rFonts w:eastAsia="Arial Narrow" w:cs="Arial Narrow"/>
                <w:color w:val="000000"/>
                <w:sz w:val="20"/>
                <w:szCs w:val="20"/>
              </w:rPr>
            </w:pPr>
          </w:p>
        </w:tc>
      </w:tr>
      <w:tr w:rsidR="008E7D9E" w:rsidRPr="00666914" w14:paraId="259A82BF" w14:textId="77777777" w:rsidTr="00254A5B">
        <w:trPr>
          <w:trHeight w:val="286"/>
        </w:trPr>
        <w:tc>
          <w:tcPr>
            <w:tcW w:w="237" w:type="dxa"/>
            <w:tcBorders>
              <w:top w:val="nil"/>
              <w:left w:val="single" w:sz="8" w:space="0" w:color="000000"/>
              <w:bottom w:val="single" w:sz="4" w:space="0" w:color="000000"/>
              <w:right w:val="single" w:sz="4" w:space="0" w:color="000000"/>
            </w:tcBorders>
            <w:shd w:val="clear" w:color="auto" w:fill="auto"/>
            <w:vAlign w:val="center"/>
          </w:tcPr>
          <w:p w14:paraId="68F46602"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7</w:t>
            </w:r>
          </w:p>
        </w:tc>
        <w:tc>
          <w:tcPr>
            <w:tcW w:w="2538" w:type="dxa"/>
            <w:tcBorders>
              <w:top w:val="nil"/>
              <w:left w:val="nil"/>
              <w:bottom w:val="single" w:sz="4" w:space="0" w:color="000000"/>
              <w:right w:val="single" w:sz="4" w:space="0" w:color="000000"/>
            </w:tcBorders>
            <w:shd w:val="clear" w:color="auto" w:fill="auto"/>
            <w:vAlign w:val="center"/>
          </w:tcPr>
          <w:p w14:paraId="02FA4787"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Prijímať opatrenia na lepšie dodržiavanie existujúcej prioritizácie pre nové protipovodňové projekty</w:t>
            </w:r>
          </w:p>
        </w:tc>
        <w:tc>
          <w:tcPr>
            <w:tcW w:w="1523" w:type="dxa"/>
            <w:tcBorders>
              <w:top w:val="nil"/>
              <w:left w:val="nil"/>
              <w:bottom w:val="single" w:sz="4" w:space="0" w:color="000000"/>
              <w:right w:val="single" w:sz="4" w:space="0" w:color="000000"/>
            </w:tcBorders>
            <w:shd w:val="clear" w:color="auto" w:fill="auto"/>
            <w:vAlign w:val="center"/>
          </w:tcPr>
          <w:p w14:paraId="5696AFA1"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 SVP</w:t>
            </w:r>
          </w:p>
        </w:tc>
        <w:tc>
          <w:tcPr>
            <w:tcW w:w="913" w:type="dxa"/>
            <w:tcBorders>
              <w:top w:val="nil"/>
              <w:left w:val="nil"/>
              <w:bottom w:val="single" w:sz="4" w:space="0" w:color="000000"/>
              <w:right w:val="single" w:sz="4" w:space="0" w:color="000000"/>
            </w:tcBorders>
            <w:shd w:val="clear" w:color="auto" w:fill="auto"/>
            <w:vAlign w:val="center"/>
          </w:tcPr>
          <w:p w14:paraId="6DDC860F"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2020</w:t>
            </w:r>
          </w:p>
        </w:tc>
        <w:tc>
          <w:tcPr>
            <w:tcW w:w="964" w:type="dxa"/>
            <w:tcBorders>
              <w:top w:val="single" w:sz="4" w:space="0" w:color="000000"/>
              <w:left w:val="nil"/>
              <w:bottom w:val="single" w:sz="4" w:space="0" w:color="000000"/>
              <w:right w:val="single" w:sz="4" w:space="0" w:color="000000"/>
            </w:tcBorders>
            <w:vAlign w:val="center"/>
          </w:tcPr>
          <w:p w14:paraId="400FE4BC"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w:t>
            </w:r>
          </w:p>
        </w:tc>
        <w:tc>
          <w:tcPr>
            <w:tcW w:w="724" w:type="dxa"/>
            <w:tcBorders>
              <w:top w:val="nil"/>
              <w:left w:val="single" w:sz="4" w:space="0" w:color="000000"/>
              <w:bottom w:val="single" w:sz="4" w:space="0" w:color="000000"/>
              <w:right w:val="single" w:sz="4" w:space="0" w:color="000000"/>
            </w:tcBorders>
            <w:shd w:val="clear" w:color="auto" w:fill="C00000"/>
            <w:vAlign w:val="bottom"/>
          </w:tcPr>
          <w:p w14:paraId="3CC6E0BB" w14:textId="77777777" w:rsidR="008E7D9E" w:rsidRPr="00666914" w:rsidRDefault="008E7D9E">
            <w:pPr>
              <w:spacing w:after="0"/>
              <w:rPr>
                <w:rFonts w:eastAsia="Arial Narrow" w:cs="Arial Narrow"/>
                <w:color w:val="000000"/>
                <w:sz w:val="20"/>
                <w:szCs w:val="20"/>
              </w:rPr>
            </w:pPr>
          </w:p>
        </w:tc>
        <w:tc>
          <w:tcPr>
            <w:tcW w:w="725" w:type="dxa"/>
            <w:tcBorders>
              <w:top w:val="nil"/>
              <w:left w:val="nil"/>
              <w:bottom w:val="single" w:sz="4" w:space="0" w:color="000000"/>
              <w:right w:val="single" w:sz="4" w:space="0" w:color="000000"/>
            </w:tcBorders>
            <w:shd w:val="clear" w:color="auto" w:fill="FF0000"/>
            <w:vAlign w:val="bottom"/>
          </w:tcPr>
          <w:p w14:paraId="34A83702" w14:textId="77777777" w:rsidR="008E7D9E" w:rsidRPr="00666914" w:rsidRDefault="008E7D9E">
            <w:pPr>
              <w:spacing w:after="0"/>
              <w:rPr>
                <w:rFonts w:eastAsia="Arial Narrow" w:cs="Arial Narrow"/>
                <w:color w:val="000000"/>
                <w:sz w:val="20"/>
                <w:szCs w:val="20"/>
              </w:rPr>
            </w:pPr>
          </w:p>
        </w:tc>
        <w:tc>
          <w:tcPr>
            <w:tcW w:w="724" w:type="dxa"/>
            <w:tcBorders>
              <w:top w:val="nil"/>
              <w:left w:val="nil"/>
              <w:bottom w:val="single" w:sz="4" w:space="0" w:color="000000"/>
              <w:right w:val="single" w:sz="4" w:space="0" w:color="000000"/>
            </w:tcBorders>
            <w:shd w:val="clear" w:color="auto" w:fill="FF0000"/>
            <w:vAlign w:val="bottom"/>
          </w:tcPr>
          <w:p w14:paraId="34530FBC" w14:textId="77777777" w:rsidR="008E7D9E" w:rsidRPr="00666914" w:rsidRDefault="008E7D9E">
            <w:pPr>
              <w:spacing w:after="0"/>
              <w:rPr>
                <w:rFonts w:eastAsia="Arial Narrow" w:cs="Arial Narrow"/>
                <w:color w:val="000000"/>
                <w:sz w:val="20"/>
                <w:szCs w:val="20"/>
              </w:rPr>
            </w:pPr>
          </w:p>
        </w:tc>
        <w:tc>
          <w:tcPr>
            <w:tcW w:w="725" w:type="dxa"/>
            <w:tcBorders>
              <w:top w:val="nil"/>
              <w:left w:val="nil"/>
              <w:bottom w:val="single" w:sz="4" w:space="0" w:color="000000"/>
              <w:right w:val="single" w:sz="8" w:space="0" w:color="000000"/>
            </w:tcBorders>
            <w:shd w:val="clear" w:color="auto" w:fill="FFC000"/>
            <w:vAlign w:val="bottom"/>
          </w:tcPr>
          <w:p w14:paraId="718F6820" w14:textId="77777777" w:rsidR="008E7D9E" w:rsidRPr="00666914" w:rsidRDefault="008E7D9E">
            <w:pPr>
              <w:spacing w:after="0"/>
              <w:rPr>
                <w:rFonts w:eastAsia="Arial Narrow" w:cs="Arial Narrow"/>
                <w:color w:val="000000"/>
                <w:sz w:val="20"/>
                <w:szCs w:val="20"/>
              </w:rPr>
            </w:pPr>
          </w:p>
        </w:tc>
      </w:tr>
      <w:tr w:rsidR="008E7D9E" w:rsidRPr="00666914" w14:paraId="0F5CAFDE" w14:textId="77777777" w:rsidTr="00254A5B">
        <w:trPr>
          <w:trHeight w:val="286"/>
        </w:trPr>
        <w:tc>
          <w:tcPr>
            <w:tcW w:w="237" w:type="dxa"/>
            <w:tcBorders>
              <w:top w:val="nil"/>
              <w:left w:val="single" w:sz="8" w:space="0" w:color="000000"/>
              <w:bottom w:val="single" w:sz="4" w:space="0" w:color="000000"/>
              <w:right w:val="single" w:sz="4" w:space="0" w:color="000000"/>
            </w:tcBorders>
            <w:shd w:val="clear" w:color="auto" w:fill="auto"/>
            <w:vAlign w:val="center"/>
          </w:tcPr>
          <w:p w14:paraId="33969B40"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8</w:t>
            </w:r>
          </w:p>
        </w:tc>
        <w:tc>
          <w:tcPr>
            <w:tcW w:w="2538" w:type="dxa"/>
            <w:tcBorders>
              <w:top w:val="nil"/>
              <w:left w:val="nil"/>
              <w:bottom w:val="single" w:sz="4" w:space="0" w:color="000000"/>
              <w:right w:val="single" w:sz="4" w:space="0" w:color="000000"/>
            </w:tcBorders>
            <w:shd w:val="clear" w:color="auto" w:fill="auto"/>
            <w:vAlign w:val="center"/>
          </w:tcPr>
          <w:p w14:paraId="33CEB321"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Zabezpečiť kontrolu správneho nakladania s odpadom a udeľovať pokuty</w:t>
            </w:r>
          </w:p>
        </w:tc>
        <w:tc>
          <w:tcPr>
            <w:tcW w:w="1523" w:type="dxa"/>
            <w:tcBorders>
              <w:top w:val="nil"/>
              <w:left w:val="nil"/>
              <w:bottom w:val="single" w:sz="4" w:space="0" w:color="000000"/>
              <w:right w:val="single" w:sz="4" w:space="0" w:color="000000"/>
            </w:tcBorders>
            <w:shd w:val="clear" w:color="auto" w:fill="auto"/>
            <w:vAlign w:val="center"/>
          </w:tcPr>
          <w:p w14:paraId="1BBABA67"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w:t>
            </w:r>
          </w:p>
        </w:tc>
        <w:tc>
          <w:tcPr>
            <w:tcW w:w="913" w:type="dxa"/>
            <w:tcBorders>
              <w:top w:val="nil"/>
              <w:left w:val="nil"/>
              <w:bottom w:val="single" w:sz="4" w:space="0" w:color="000000"/>
              <w:right w:val="single" w:sz="4" w:space="0" w:color="000000"/>
            </w:tcBorders>
            <w:shd w:val="clear" w:color="auto" w:fill="auto"/>
            <w:vAlign w:val="center"/>
          </w:tcPr>
          <w:p w14:paraId="658DCAD9"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2020</w:t>
            </w:r>
          </w:p>
        </w:tc>
        <w:tc>
          <w:tcPr>
            <w:tcW w:w="964" w:type="dxa"/>
            <w:tcBorders>
              <w:top w:val="single" w:sz="4" w:space="0" w:color="000000"/>
              <w:left w:val="nil"/>
              <w:bottom w:val="single" w:sz="4" w:space="0" w:color="000000"/>
              <w:right w:val="single" w:sz="4" w:space="0" w:color="000000"/>
            </w:tcBorders>
            <w:vAlign w:val="center"/>
          </w:tcPr>
          <w:p w14:paraId="0BABC0F9"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w:t>
            </w:r>
          </w:p>
        </w:tc>
        <w:tc>
          <w:tcPr>
            <w:tcW w:w="724" w:type="dxa"/>
            <w:tcBorders>
              <w:top w:val="nil"/>
              <w:left w:val="single" w:sz="4" w:space="0" w:color="000000"/>
              <w:bottom w:val="single" w:sz="4" w:space="0" w:color="000000"/>
              <w:right w:val="single" w:sz="4" w:space="0" w:color="000000"/>
            </w:tcBorders>
            <w:shd w:val="clear" w:color="auto" w:fill="FFC000"/>
            <w:vAlign w:val="bottom"/>
          </w:tcPr>
          <w:p w14:paraId="5716D7A3"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725" w:type="dxa"/>
            <w:tcBorders>
              <w:top w:val="nil"/>
              <w:left w:val="nil"/>
              <w:bottom w:val="single" w:sz="4" w:space="0" w:color="000000"/>
              <w:right w:val="single" w:sz="4" w:space="0" w:color="000000"/>
            </w:tcBorders>
            <w:shd w:val="clear" w:color="auto" w:fill="FFC000"/>
            <w:vAlign w:val="bottom"/>
          </w:tcPr>
          <w:p w14:paraId="225B777C"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724" w:type="dxa"/>
            <w:tcBorders>
              <w:top w:val="nil"/>
              <w:left w:val="nil"/>
              <w:bottom w:val="single" w:sz="4" w:space="0" w:color="000000"/>
              <w:right w:val="single" w:sz="4" w:space="0" w:color="000000"/>
            </w:tcBorders>
            <w:shd w:val="clear" w:color="auto" w:fill="FFC000"/>
            <w:vAlign w:val="bottom"/>
          </w:tcPr>
          <w:p w14:paraId="2A039FC6"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725" w:type="dxa"/>
            <w:tcBorders>
              <w:top w:val="nil"/>
              <w:left w:val="nil"/>
              <w:bottom w:val="single" w:sz="4" w:space="0" w:color="000000"/>
              <w:right w:val="single" w:sz="8" w:space="0" w:color="000000"/>
            </w:tcBorders>
            <w:shd w:val="clear" w:color="auto" w:fill="FFC000"/>
            <w:vAlign w:val="bottom"/>
          </w:tcPr>
          <w:p w14:paraId="68152C98"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02960F0E" w14:textId="77777777" w:rsidTr="00254A5B">
        <w:trPr>
          <w:trHeight w:val="286"/>
        </w:trPr>
        <w:tc>
          <w:tcPr>
            <w:tcW w:w="237" w:type="dxa"/>
            <w:tcBorders>
              <w:top w:val="nil"/>
              <w:left w:val="single" w:sz="8" w:space="0" w:color="000000"/>
              <w:bottom w:val="single" w:sz="4" w:space="0" w:color="000000"/>
              <w:right w:val="single" w:sz="4" w:space="0" w:color="000000"/>
            </w:tcBorders>
            <w:shd w:val="clear" w:color="auto" w:fill="auto"/>
            <w:vAlign w:val="center"/>
          </w:tcPr>
          <w:p w14:paraId="71D399A8"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9</w:t>
            </w:r>
          </w:p>
        </w:tc>
        <w:tc>
          <w:tcPr>
            <w:tcW w:w="2538" w:type="dxa"/>
            <w:tcBorders>
              <w:top w:val="nil"/>
              <w:left w:val="nil"/>
              <w:bottom w:val="single" w:sz="4" w:space="0" w:color="000000"/>
              <w:right w:val="single" w:sz="4" w:space="0" w:color="000000"/>
            </w:tcBorders>
            <w:shd w:val="clear" w:color="auto" w:fill="auto"/>
            <w:vAlign w:val="center"/>
          </w:tcPr>
          <w:p w14:paraId="5DBAC335"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Dotácie v manažmente odpadových vôd a zabezpečovanie pitnou vodou zamerať na ucelené projekty</w:t>
            </w:r>
          </w:p>
        </w:tc>
        <w:tc>
          <w:tcPr>
            <w:tcW w:w="1523" w:type="dxa"/>
            <w:tcBorders>
              <w:top w:val="nil"/>
              <w:left w:val="nil"/>
              <w:bottom w:val="single" w:sz="4" w:space="0" w:color="000000"/>
              <w:right w:val="single" w:sz="4" w:space="0" w:color="000000"/>
            </w:tcBorders>
            <w:shd w:val="clear" w:color="auto" w:fill="auto"/>
            <w:vAlign w:val="center"/>
          </w:tcPr>
          <w:p w14:paraId="60DFA7C9"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EF</w:t>
            </w:r>
          </w:p>
        </w:tc>
        <w:tc>
          <w:tcPr>
            <w:tcW w:w="913" w:type="dxa"/>
            <w:tcBorders>
              <w:top w:val="nil"/>
              <w:left w:val="nil"/>
              <w:bottom w:val="single" w:sz="4" w:space="0" w:color="000000"/>
              <w:right w:val="single" w:sz="4" w:space="0" w:color="000000"/>
            </w:tcBorders>
            <w:shd w:val="clear" w:color="auto" w:fill="auto"/>
            <w:vAlign w:val="center"/>
          </w:tcPr>
          <w:p w14:paraId="7F34BA8F"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w:t>
            </w:r>
          </w:p>
        </w:tc>
        <w:tc>
          <w:tcPr>
            <w:tcW w:w="964" w:type="dxa"/>
            <w:tcBorders>
              <w:top w:val="single" w:sz="4" w:space="0" w:color="000000"/>
              <w:left w:val="nil"/>
              <w:bottom w:val="single" w:sz="4" w:space="0" w:color="000000"/>
              <w:right w:val="single" w:sz="4" w:space="0" w:color="000000"/>
            </w:tcBorders>
            <w:vAlign w:val="center"/>
          </w:tcPr>
          <w:p w14:paraId="24E5F969"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priebežne</w:t>
            </w:r>
          </w:p>
        </w:tc>
        <w:tc>
          <w:tcPr>
            <w:tcW w:w="724" w:type="dxa"/>
            <w:tcBorders>
              <w:top w:val="nil"/>
              <w:left w:val="single" w:sz="4" w:space="0" w:color="000000"/>
              <w:bottom w:val="single" w:sz="4" w:space="0" w:color="000000"/>
              <w:right w:val="single" w:sz="4" w:space="0" w:color="000000"/>
            </w:tcBorders>
            <w:shd w:val="clear" w:color="auto" w:fill="FF0000"/>
            <w:vAlign w:val="bottom"/>
          </w:tcPr>
          <w:p w14:paraId="259DF58E"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725" w:type="dxa"/>
            <w:tcBorders>
              <w:top w:val="nil"/>
              <w:left w:val="nil"/>
              <w:bottom w:val="single" w:sz="4" w:space="0" w:color="000000"/>
              <w:right w:val="single" w:sz="4" w:space="0" w:color="000000"/>
            </w:tcBorders>
            <w:shd w:val="clear" w:color="auto" w:fill="FF0000"/>
            <w:vAlign w:val="bottom"/>
          </w:tcPr>
          <w:p w14:paraId="37E21C35"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724" w:type="dxa"/>
            <w:tcBorders>
              <w:top w:val="nil"/>
              <w:left w:val="nil"/>
              <w:bottom w:val="single" w:sz="4" w:space="0" w:color="000000"/>
              <w:right w:val="single" w:sz="4" w:space="0" w:color="000000"/>
            </w:tcBorders>
            <w:shd w:val="clear" w:color="auto" w:fill="FF0000"/>
            <w:vAlign w:val="bottom"/>
          </w:tcPr>
          <w:p w14:paraId="7860EC00"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725" w:type="dxa"/>
            <w:tcBorders>
              <w:top w:val="nil"/>
              <w:left w:val="nil"/>
              <w:bottom w:val="single" w:sz="4" w:space="0" w:color="000000"/>
              <w:right w:val="single" w:sz="8" w:space="0" w:color="000000"/>
            </w:tcBorders>
            <w:shd w:val="clear" w:color="auto" w:fill="FF0000"/>
            <w:vAlign w:val="bottom"/>
          </w:tcPr>
          <w:p w14:paraId="394AB888"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bl>
    <w:p w14:paraId="51CC30CD" w14:textId="2E4951FB" w:rsidR="00376C54" w:rsidRPr="00666914" w:rsidRDefault="00376C54">
      <w:pPr>
        <w:spacing w:after="0"/>
        <w:rPr>
          <w:rFonts w:eastAsia="Arial Narrow" w:cs="Arial Narrow"/>
          <w:b/>
          <w:u w:val="single"/>
        </w:rPr>
      </w:pPr>
    </w:p>
    <w:p w14:paraId="4DDAE0E0" w14:textId="77777777" w:rsidR="00376C54" w:rsidRPr="00666914" w:rsidRDefault="00376C54">
      <w:pPr>
        <w:spacing w:after="0"/>
        <w:jc w:val="left"/>
        <w:rPr>
          <w:rFonts w:eastAsia="Arial Narrow" w:cs="Arial Narrow"/>
          <w:b/>
          <w:u w:val="single"/>
        </w:rPr>
      </w:pPr>
      <w:r w:rsidRPr="00666914">
        <w:rPr>
          <w:rFonts w:eastAsia="Arial Narrow" w:cs="Arial Narrow"/>
          <w:b/>
          <w:u w:val="single"/>
        </w:rPr>
        <w:br w:type="page"/>
      </w:r>
    </w:p>
    <w:p w14:paraId="21790277" w14:textId="77777777" w:rsidR="008E7D9E" w:rsidRPr="00666914" w:rsidRDefault="008E7D9E" w:rsidP="00131B23">
      <w:pPr>
        <w:numPr>
          <w:ilvl w:val="0"/>
          <w:numId w:val="25"/>
        </w:numPr>
        <w:spacing w:after="0"/>
        <w:rPr>
          <w:rFonts w:eastAsia="Arial Narrow" w:cs="Arial Narrow"/>
          <w:b/>
          <w:u w:val="single"/>
        </w:rPr>
      </w:pPr>
      <w:r w:rsidRPr="00666914">
        <w:rPr>
          <w:rFonts w:eastAsia="Arial Narrow" w:cs="Arial Narrow"/>
          <w:b/>
          <w:u w:val="single"/>
        </w:rPr>
        <w:lastRenderedPageBreak/>
        <w:t>Znížiť znečistenie ovzdušia podporou výmeny efektívnejších spaľovacích zariadení pre domácnosti (napr. 40 mil. eur)</w:t>
      </w:r>
    </w:p>
    <w:p w14:paraId="3A605F7B" w14:textId="77777777" w:rsidR="008E7D9E" w:rsidRPr="00666914" w:rsidRDefault="008E7D9E">
      <w:pPr>
        <w:spacing w:after="0"/>
        <w:ind w:left="360"/>
        <w:rPr>
          <w:rFonts w:eastAsia="Arial Narrow" w:cs="Arial Narrow"/>
          <w:b/>
          <w:u w:val="single"/>
        </w:rPr>
      </w:pPr>
    </w:p>
    <w:p w14:paraId="1E3BB9C4" w14:textId="1A1A4FB9" w:rsidR="008E7D9E" w:rsidRPr="00666914" w:rsidRDefault="008E7D9E">
      <w:pPr>
        <w:spacing w:after="0"/>
        <w:rPr>
          <w:rFonts w:eastAsia="Arial Narrow" w:cs="Arial Narrow"/>
        </w:rPr>
      </w:pPr>
      <w:r w:rsidRPr="00666914">
        <w:rPr>
          <w:rFonts w:eastAsia="Arial Narrow" w:cs="Arial Narrow"/>
        </w:rPr>
        <w:t xml:space="preserve">Plnenie opatrenia prostredníctvom výmeny spaľovacích zariadení pre domácnosti za ekologickejšie je inšpirované tzv. kotlíkovými dotáciami v ČR. </w:t>
      </w:r>
      <w:r w:rsidRPr="00666914">
        <w:rPr>
          <w:rFonts w:eastAsia="Arial Narrow" w:cs="Arial Narrow"/>
          <w:b/>
        </w:rPr>
        <w:t xml:space="preserve">MŽP SR pripravilo návrh zmeny OP KŽP v rámci prioritnej osi 1. Cieľom je podporiť výmenu spaľovacích zariadení pre domácnosti z kotlov na tuhé palivo za kotly na nízkoemisné palivo – zemný plyn. </w:t>
      </w:r>
      <w:r w:rsidRPr="00666914">
        <w:rPr>
          <w:rFonts w:eastAsia="Arial Narrow" w:cs="Arial Narrow"/>
        </w:rPr>
        <w:t>Do OP bola pridaná nová podaktivita (špecifický cieľ 1.4.1) zameraná na náhradu zastaraných spaľovacích zariadení v domácnostiach nízkoemisnými spaľovacími zariadeniami. V 2Q2019 bol návrh zmeny OP KŽP schválený vykonávacím rozhodnutím Európskej komisie</w:t>
      </w:r>
      <w:r w:rsidRPr="00666914">
        <w:rPr>
          <w:rFonts w:eastAsia="Arial Narrow" w:cs="Arial Narrow"/>
          <w:vertAlign w:val="superscript"/>
        </w:rPr>
        <w:footnoteReference w:id="272"/>
      </w:r>
      <w:r w:rsidRPr="00666914">
        <w:rPr>
          <w:rFonts w:eastAsia="Arial Narrow" w:cs="Arial Narrow"/>
        </w:rPr>
        <w:t>. Keďže k problematickému vykurovaniu domácností tuhým palivom v nevhodných kotloch dochádza na celom území SR, oprávnené na podporu bude celé územie SR. Na výzvu</w:t>
      </w:r>
      <w:r w:rsidRPr="00666914">
        <w:rPr>
          <w:rFonts w:eastAsia="Arial Narrow" w:cs="Arial Narrow"/>
          <w:vertAlign w:val="superscript"/>
        </w:rPr>
        <w:footnoteReference w:id="273"/>
      </w:r>
      <w:r w:rsidRPr="00666914">
        <w:rPr>
          <w:rFonts w:eastAsia="Arial Narrow" w:cs="Arial Narrow"/>
        </w:rPr>
        <w:t xml:space="preserve"> vyhlásenú v 09/2019 predložil žiadosť s názvom „Výmena kotlov v domácnostiach pre lepšie ovzdušie“ vo výške NFP 34,96 mil. eur len jeden záujemca – Slovenská agentúra životného prostredia</w:t>
      </w:r>
      <w:r w:rsidR="00654C17" w:rsidRPr="00666914">
        <w:rPr>
          <w:rFonts w:eastAsia="Arial Narrow" w:cs="Arial Narrow"/>
        </w:rPr>
        <w:t xml:space="preserve"> (SAŽP)</w:t>
      </w:r>
      <w:r w:rsidRPr="00666914">
        <w:rPr>
          <w:rFonts w:eastAsia="Arial Narrow" w:cs="Arial Narrow"/>
        </w:rPr>
        <w:t>. Táto žiadosť je počas prípravy SIS 2019 predmetom hodnotenia. Presné parametre si budú nastavovať žiadatelia (resp. žiadateľ, pokiaľ bude žiadosť SAŽP schválená). Predpokladaná výška podpory na jednu domácnosť by podľa M</w:t>
      </w:r>
      <w:r w:rsidR="000644F2" w:rsidRPr="00666914">
        <w:rPr>
          <w:rFonts w:eastAsia="Arial Narrow" w:cs="Arial Narrow"/>
        </w:rPr>
        <w:t>ŽP SR mala dosiahnuť 3 000 eur.</w:t>
      </w:r>
    </w:p>
    <w:p w14:paraId="74526400" w14:textId="77777777" w:rsidR="008E7D9E" w:rsidRPr="00666914" w:rsidRDefault="008E7D9E">
      <w:pPr>
        <w:spacing w:after="0"/>
        <w:rPr>
          <w:rFonts w:eastAsia="Arial Narrow" w:cs="Arial Narrow"/>
        </w:rPr>
      </w:pPr>
    </w:p>
    <w:p w14:paraId="1E24A52A" w14:textId="591C70E2" w:rsidR="008E7D9E" w:rsidRPr="00666914" w:rsidRDefault="008E7D9E" w:rsidP="00D937F7">
      <w:pPr>
        <w:rPr>
          <w:rFonts w:eastAsia="Arial Narrow" w:cs="Arial Narrow"/>
        </w:rPr>
      </w:pPr>
      <w:r w:rsidRPr="00666914">
        <w:rPr>
          <w:rFonts w:eastAsia="Arial Narrow" w:cs="Arial Narrow"/>
          <w:b/>
        </w:rPr>
        <w:t>Keďže samotná výmena kotlov ešte nebola spustená, opatrenie sa k 31.12.2019 plní čiastočne.</w:t>
      </w:r>
    </w:p>
    <w:p w14:paraId="7EE0FEA4" w14:textId="77777777" w:rsidR="008E7D9E" w:rsidRPr="00666914" w:rsidRDefault="008E7D9E" w:rsidP="00131B23">
      <w:pPr>
        <w:numPr>
          <w:ilvl w:val="0"/>
          <w:numId w:val="25"/>
        </w:numPr>
        <w:spacing w:after="0"/>
        <w:rPr>
          <w:rFonts w:eastAsia="Arial Narrow" w:cs="Arial Narrow"/>
          <w:b/>
          <w:u w:val="single"/>
        </w:rPr>
      </w:pPr>
      <w:r w:rsidRPr="00666914">
        <w:rPr>
          <w:rFonts w:eastAsia="Arial Narrow" w:cs="Arial Narrow"/>
          <w:b/>
          <w:u w:val="single"/>
        </w:rPr>
        <w:t>Postupné utlmenie výroby elektriny z uhlia</w:t>
      </w:r>
    </w:p>
    <w:p w14:paraId="1895D73C" w14:textId="5746FE5C" w:rsidR="008E7D9E" w:rsidRPr="00666914" w:rsidRDefault="008E7D9E">
      <w:pPr>
        <w:spacing w:before="240" w:after="0"/>
        <w:rPr>
          <w:rFonts w:eastAsia="Arial Narrow" w:cs="Arial Narrow"/>
        </w:rPr>
      </w:pPr>
      <w:r w:rsidRPr="00666914">
        <w:rPr>
          <w:rFonts w:eastAsia="Arial Narrow" w:cs="Arial Narrow"/>
        </w:rPr>
        <w:t>Výroba elektrickej energie v elektrárni Nováky sa v priebehu rokov pomaly utlmuje. Avšak ide len o mierny útlm z dôvodu technických možnosti elektrárne a prirodzeného vývoja na trhu s elektrinou a nie z pohľadu napĺňania dohody s Európskou komisiou a súvisiace s plne</w:t>
      </w:r>
      <w:r w:rsidR="000644F2" w:rsidRPr="00666914">
        <w:rPr>
          <w:rFonts w:eastAsia="Arial Narrow" w:cs="Arial Narrow"/>
        </w:rPr>
        <w:t>ním opatrenia revízie výdavkov.</w:t>
      </w:r>
    </w:p>
    <w:p w14:paraId="476EE3CD" w14:textId="77777777" w:rsidR="008E7D9E" w:rsidRPr="00666914" w:rsidRDefault="008E7D9E">
      <w:pPr>
        <w:spacing w:after="0"/>
        <w:rPr>
          <w:rFonts w:eastAsia="Arial Narrow" w:cs="Arial Narrow"/>
        </w:rPr>
      </w:pPr>
    </w:p>
    <w:p w14:paraId="0426027F" w14:textId="5729996A" w:rsidR="008E7D9E" w:rsidRPr="00666914" w:rsidRDefault="008E7D9E">
      <w:pPr>
        <w:pBdr>
          <w:bottom w:val="single" w:sz="4" w:space="1" w:color="000000"/>
        </w:pBdr>
        <w:spacing w:after="0"/>
        <w:rPr>
          <w:rFonts w:eastAsia="Arial Narrow" w:cs="Arial Narrow"/>
          <w:b/>
          <w:sz w:val="20"/>
          <w:szCs w:val="20"/>
        </w:rPr>
      </w:pPr>
      <w:bookmarkStart w:id="330" w:name="_Toc38390060"/>
      <w:r w:rsidRPr="00666914">
        <w:rPr>
          <w:rFonts w:eastAsia="Arial Narrow" w:cs="Arial Narrow"/>
          <w:b/>
          <w:sz w:val="20"/>
          <w:szCs w:val="20"/>
        </w:rPr>
        <w:t xml:space="preserve">Graf </w:t>
      </w:r>
      <w:r w:rsidRPr="00666914">
        <w:rPr>
          <w:rFonts w:eastAsia="Arial Narrow" w:cs="Arial Narrow"/>
          <w:b/>
          <w:sz w:val="20"/>
          <w:szCs w:val="20"/>
        </w:rPr>
        <w:fldChar w:fldCharType="begin"/>
      </w:r>
      <w:r w:rsidRPr="00666914">
        <w:rPr>
          <w:rFonts w:eastAsia="Arial Narrow" w:cs="Arial Narrow"/>
          <w:b/>
          <w:sz w:val="20"/>
          <w:szCs w:val="20"/>
        </w:rPr>
        <w:instrText xml:space="preserve"> SEQ Graf \* ARABIC \* MERGEFORMAT </w:instrText>
      </w:r>
      <w:r w:rsidRPr="00666914">
        <w:rPr>
          <w:rFonts w:eastAsia="Arial Narrow" w:cs="Arial Narrow"/>
          <w:b/>
          <w:sz w:val="20"/>
          <w:szCs w:val="20"/>
        </w:rPr>
        <w:fldChar w:fldCharType="separate"/>
      </w:r>
      <w:r w:rsidR="005A7304">
        <w:rPr>
          <w:rFonts w:eastAsia="Arial Narrow" w:cs="Arial Narrow"/>
          <w:b/>
          <w:noProof/>
          <w:sz w:val="20"/>
          <w:szCs w:val="20"/>
        </w:rPr>
        <w:t>16</w:t>
      </w:r>
      <w:r w:rsidRPr="00666914">
        <w:rPr>
          <w:rFonts w:eastAsia="Arial Narrow" w:cs="Arial Narrow"/>
          <w:b/>
          <w:sz w:val="20"/>
          <w:szCs w:val="20"/>
        </w:rPr>
        <w:fldChar w:fldCharType="end"/>
      </w:r>
      <w:r w:rsidRPr="00666914">
        <w:rPr>
          <w:rFonts w:eastAsia="Arial Narrow" w:cs="Arial Narrow"/>
          <w:b/>
          <w:sz w:val="20"/>
          <w:szCs w:val="20"/>
        </w:rPr>
        <w:t>: Výroba a dodávka elektrickej energie</w:t>
      </w:r>
      <w:bookmarkEnd w:id="330"/>
      <w:r w:rsidRPr="00666914">
        <w:rPr>
          <w:rFonts w:eastAsia="Arial Narrow" w:cs="Arial Narrow"/>
          <w:b/>
          <w:sz w:val="20"/>
          <w:szCs w:val="20"/>
        </w:rPr>
        <w:t xml:space="preserve"> </w:t>
      </w:r>
    </w:p>
    <w:p w14:paraId="413A7F81" w14:textId="495B7071" w:rsidR="008E7D9E" w:rsidRPr="00666914" w:rsidRDefault="00AF58E6">
      <w:pPr>
        <w:spacing w:after="0"/>
        <w:rPr>
          <w:rFonts w:eastAsia="Arial Narrow" w:cs="Arial Narrow"/>
          <w:b/>
          <w:sz w:val="20"/>
          <w:szCs w:val="20"/>
        </w:rPr>
      </w:pPr>
      <w:r w:rsidRPr="00666914">
        <w:rPr>
          <w:noProof/>
          <w:lang w:eastAsia="sk-SK"/>
        </w:rPr>
        <w:drawing>
          <wp:inline distT="0" distB="0" distL="0" distR="0" wp14:anchorId="53F57DC2" wp14:editId="08472C4A">
            <wp:extent cx="5857875" cy="3124200"/>
            <wp:effectExtent l="0" t="0" r="0" b="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30167B6" w14:textId="77777777" w:rsidR="008E7D9E" w:rsidRPr="00666914" w:rsidRDefault="008E7D9E" w:rsidP="00AF58E6">
      <w:pPr>
        <w:pBdr>
          <w:top w:val="single" w:sz="4" w:space="1" w:color="auto"/>
        </w:pBdr>
        <w:spacing w:after="0"/>
        <w:jc w:val="right"/>
        <w:rPr>
          <w:rFonts w:eastAsia="Arial Narrow" w:cs="Arial Narrow"/>
          <w:i/>
          <w:sz w:val="18"/>
          <w:szCs w:val="18"/>
        </w:rPr>
      </w:pPr>
      <w:r w:rsidRPr="00666914">
        <w:rPr>
          <w:rFonts w:eastAsia="Arial Narrow" w:cs="Arial Narrow"/>
          <w:i/>
          <w:sz w:val="18"/>
          <w:szCs w:val="18"/>
        </w:rPr>
        <w:t>Zdroj: MH SR</w:t>
      </w:r>
    </w:p>
    <w:p w14:paraId="47F48A82" w14:textId="3E88124D" w:rsidR="008E7D9E" w:rsidRPr="00666914" w:rsidRDefault="008E7D9E">
      <w:pPr>
        <w:spacing w:before="240"/>
        <w:rPr>
          <w:rFonts w:eastAsia="Arial Narrow" w:cs="Arial Narrow"/>
        </w:rPr>
      </w:pPr>
      <w:r w:rsidRPr="00666914">
        <w:rPr>
          <w:rFonts w:eastAsia="Arial Narrow" w:cs="Arial Narrow"/>
        </w:rPr>
        <w:t>Vláda SR schválila v 12/2018 materiál „Návrh problemat</w:t>
      </w:r>
      <w:sdt>
        <w:sdtPr>
          <w:tag w:val="goog_rdk_34"/>
          <w:id w:val="-745721876"/>
        </w:sdtPr>
        <w:sdtEndPr/>
        <w:sdtContent/>
      </w:sdt>
      <w:r w:rsidRPr="00666914">
        <w:rPr>
          <w:rFonts w:eastAsia="Arial Narrow" w:cs="Arial Narrow"/>
        </w:rPr>
        <w:t>iky transformácie regiónu horná Nitra v súvislosti s návrhom všeobecného hospodárskeho záujmu na zabezpečenie bezpečnosti dodávok elektriny“</w:t>
      </w:r>
      <w:r w:rsidRPr="00666914">
        <w:rPr>
          <w:rFonts w:eastAsia="Arial Narrow" w:cs="Arial Narrow"/>
          <w:vertAlign w:val="superscript"/>
        </w:rPr>
        <w:footnoteReference w:id="274"/>
      </w:r>
      <w:r w:rsidRPr="00666914">
        <w:rPr>
          <w:rFonts w:eastAsia="Arial Narrow" w:cs="Arial Narrow"/>
        </w:rPr>
        <w:t xml:space="preserve">, ktorým </w:t>
      </w:r>
      <w:r w:rsidRPr="00666914">
        <w:rPr>
          <w:rFonts w:eastAsia="Arial Narrow" w:cs="Arial Narrow"/>
          <w:b/>
        </w:rPr>
        <w:t xml:space="preserve">schválila tepelnej </w:t>
      </w:r>
      <w:r w:rsidRPr="00666914">
        <w:rPr>
          <w:rFonts w:eastAsia="Arial Narrow" w:cs="Arial Narrow"/>
          <w:b/>
        </w:rPr>
        <w:lastRenderedPageBreak/>
        <w:t>elektrárni Nováky povinnosť zabezpečiť vo všeobecnom hospodárskom záujme</w:t>
      </w:r>
      <w:r w:rsidRPr="00666914">
        <w:rPr>
          <w:rFonts w:eastAsia="Arial Narrow" w:cs="Arial Narrow"/>
        </w:rPr>
        <w:t xml:space="preserve"> </w:t>
      </w:r>
      <w:r w:rsidRPr="00666914">
        <w:rPr>
          <w:rFonts w:eastAsia="Arial Narrow" w:cs="Arial Narrow"/>
          <w:b/>
        </w:rPr>
        <w:t>výrobu a dodávky elektriny do elektrizačnej sústavy v uzlovej oblasti Bystričany najneskôr do 12/2023.</w:t>
      </w:r>
    </w:p>
    <w:p w14:paraId="0B726B75" w14:textId="5777883A" w:rsidR="008E7D9E" w:rsidRPr="00666914" w:rsidRDefault="008E7D9E">
      <w:pPr>
        <w:rPr>
          <w:rFonts w:eastAsia="Arial Narrow" w:cs="Arial Narrow"/>
        </w:rPr>
      </w:pPr>
      <w:r w:rsidRPr="00666914">
        <w:rPr>
          <w:rFonts w:eastAsia="Arial Narrow" w:cs="Arial Narrow"/>
          <w:b/>
        </w:rPr>
        <w:t>V súvislosti so skrátením všeobecného hospodárskeho záujmu na výrobu elektriny v Novákoch</w:t>
      </w:r>
      <w:r w:rsidRPr="00666914">
        <w:rPr>
          <w:rFonts w:eastAsia="Arial Narrow" w:cs="Arial Narrow"/>
        </w:rPr>
        <w:t>, na ktorú je naviazaná ťažba uhlia v Hornonitrian</w:t>
      </w:r>
      <w:sdt>
        <w:sdtPr>
          <w:tag w:val="goog_rdk_35"/>
          <w:id w:val="-855032170"/>
        </w:sdtPr>
        <w:sdtEndPr/>
        <w:sdtContent/>
      </w:sdt>
      <w:sdt>
        <w:sdtPr>
          <w:tag w:val="goog_rdk_36"/>
          <w:id w:val="1112019377"/>
        </w:sdtPr>
        <w:sdtEndPr/>
        <w:sdtContent/>
      </w:sdt>
      <w:sdt>
        <w:sdtPr>
          <w:tag w:val="goog_rdk_37"/>
          <w:id w:val="-222454935"/>
        </w:sdtPr>
        <w:sdtEndPr/>
        <w:sdtContent/>
      </w:sdt>
      <w:r w:rsidRPr="00666914">
        <w:rPr>
          <w:rFonts w:eastAsia="Arial Narrow" w:cs="Arial Narrow"/>
        </w:rPr>
        <w:t xml:space="preserve">skych baniach Prievidza, </w:t>
      </w:r>
      <w:r w:rsidRPr="00666914">
        <w:rPr>
          <w:rFonts w:eastAsia="Arial Narrow" w:cs="Arial Narrow"/>
          <w:b/>
        </w:rPr>
        <w:t xml:space="preserve">dôjde aj k útlmu banskej činnosti. </w:t>
      </w:r>
      <w:r w:rsidRPr="00666914">
        <w:rPr>
          <w:rFonts w:eastAsia="Arial Narrow" w:cs="Arial Narrow"/>
        </w:rPr>
        <w:t xml:space="preserve">Poradenská spoločnosť </w:t>
      </w:r>
      <w:r w:rsidRPr="00666914">
        <w:rPr>
          <w:rFonts w:eastAsia="Arial Narrow" w:cs="Arial Narrow"/>
          <w:b/>
        </w:rPr>
        <w:t xml:space="preserve">PricewaterhouseCoopers na základe kontraktu s EK pripravila Akčný plán transformácie regiónu horná Nitra. </w:t>
      </w:r>
      <w:r w:rsidRPr="00666914">
        <w:rPr>
          <w:rFonts w:eastAsia="Arial Narrow" w:cs="Arial Narrow"/>
        </w:rPr>
        <w:t xml:space="preserve">Materiál schválila v 07/2019 vláda SR </w:t>
      </w:r>
      <w:r w:rsidRPr="00666914">
        <w:rPr>
          <w:rFonts w:eastAsia="Arial Narrow" w:cs="Arial Narrow"/>
          <w:vertAlign w:val="superscript"/>
        </w:rPr>
        <w:footnoteReference w:id="275"/>
      </w:r>
      <w:r w:rsidRPr="00666914">
        <w:rPr>
          <w:rFonts w:eastAsia="Arial Narrow" w:cs="Arial Narrow"/>
        </w:rPr>
        <w:t xml:space="preserve"> a bud</w:t>
      </w:r>
      <w:r w:rsidR="000644F2" w:rsidRPr="00666914">
        <w:rPr>
          <w:rFonts w:eastAsia="Arial Narrow" w:cs="Arial Narrow"/>
        </w:rPr>
        <w:t>e aktualizovaný na ročnej báze.</w:t>
      </w:r>
    </w:p>
    <w:p w14:paraId="3F910CE5" w14:textId="4893A1AE" w:rsidR="008E7D9E" w:rsidRPr="00666914" w:rsidRDefault="008E7D9E">
      <w:pPr>
        <w:rPr>
          <w:rFonts w:eastAsia="Arial Narrow" w:cs="Arial Narrow"/>
        </w:rPr>
      </w:pPr>
      <w:r w:rsidRPr="00666914">
        <w:rPr>
          <w:rFonts w:eastAsia="Arial Narrow" w:cs="Arial Narrow"/>
          <w:b/>
        </w:rPr>
        <w:t>Akčný plán je spracovaný v 4 častiach („pilieroch“):</w:t>
      </w:r>
    </w:p>
    <w:p w14:paraId="3AA8792B" w14:textId="111F8830" w:rsidR="008E7D9E" w:rsidRPr="00666914" w:rsidRDefault="000644F2" w:rsidP="00131B23">
      <w:pPr>
        <w:numPr>
          <w:ilvl w:val="0"/>
          <w:numId w:val="27"/>
        </w:numPr>
        <w:pBdr>
          <w:top w:val="nil"/>
          <w:left w:val="nil"/>
          <w:bottom w:val="nil"/>
          <w:right w:val="nil"/>
          <w:between w:val="nil"/>
        </w:pBdr>
        <w:spacing w:after="0"/>
      </w:pPr>
      <w:r w:rsidRPr="00666914">
        <w:rPr>
          <w:rFonts w:eastAsia="Arial Narrow" w:cs="Arial Narrow"/>
          <w:color w:val="000000"/>
        </w:rPr>
        <w:t>Mobilita a prepojenosť regiónu,</w:t>
      </w:r>
    </w:p>
    <w:p w14:paraId="6C3D4780" w14:textId="26ACB930" w:rsidR="008E7D9E" w:rsidRPr="00666914" w:rsidRDefault="008E7D9E" w:rsidP="00131B23">
      <w:pPr>
        <w:numPr>
          <w:ilvl w:val="0"/>
          <w:numId w:val="27"/>
        </w:numPr>
        <w:pBdr>
          <w:top w:val="nil"/>
          <w:left w:val="nil"/>
          <w:bottom w:val="nil"/>
          <w:right w:val="nil"/>
          <w:between w:val="nil"/>
        </w:pBdr>
        <w:spacing w:after="0"/>
      </w:pPr>
      <w:r w:rsidRPr="00666914">
        <w:rPr>
          <w:rFonts w:eastAsia="Arial Narrow" w:cs="Arial Narrow"/>
          <w:color w:val="000000"/>
        </w:rPr>
        <w:t>Ek</w:t>
      </w:r>
      <w:r w:rsidR="000644F2" w:rsidRPr="00666914">
        <w:rPr>
          <w:rFonts w:eastAsia="Arial Narrow" w:cs="Arial Narrow"/>
          <w:color w:val="000000"/>
        </w:rPr>
        <w:t>onomika, podnikanie a inovácie,</w:t>
      </w:r>
    </w:p>
    <w:p w14:paraId="05ECF463" w14:textId="2BFE769D" w:rsidR="008E7D9E" w:rsidRPr="00666914" w:rsidRDefault="000644F2" w:rsidP="00131B23">
      <w:pPr>
        <w:numPr>
          <w:ilvl w:val="0"/>
          <w:numId w:val="27"/>
        </w:numPr>
        <w:pBdr>
          <w:top w:val="nil"/>
          <w:left w:val="nil"/>
          <w:bottom w:val="nil"/>
          <w:right w:val="nil"/>
          <w:between w:val="nil"/>
        </w:pBdr>
        <w:spacing w:after="0"/>
      </w:pPr>
      <w:r w:rsidRPr="00666914">
        <w:rPr>
          <w:rFonts w:eastAsia="Arial Narrow" w:cs="Arial Narrow"/>
          <w:color w:val="000000"/>
        </w:rPr>
        <w:t>Udržateľné životné prostredie,</w:t>
      </w:r>
    </w:p>
    <w:p w14:paraId="6E68293E" w14:textId="6F24619B" w:rsidR="008E7D9E" w:rsidRPr="00666914" w:rsidRDefault="008E7D9E" w:rsidP="00131B23">
      <w:pPr>
        <w:numPr>
          <w:ilvl w:val="0"/>
          <w:numId w:val="27"/>
        </w:numPr>
        <w:pBdr>
          <w:top w:val="nil"/>
          <w:left w:val="nil"/>
          <w:bottom w:val="nil"/>
          <w:right w:val="nil"/>
          <w:between w:val="nil"/>
        </w:pBdr>
      </w:pPr>
      <w:r w:rsidRPr="00666914">
        <w:rPr>
          <w:rFonts w:eastAsia="Arial Narrow" w:cs="Arial Narrow"/>
          <w:color w:val="000000"/>
        </w:rPr>
        <w:t>Kvalita ži</w:t>
      </w:r>
      <w:r w:rsidR="000644F2" w:rsidRPr="00666914">
        <w:rPr>
          <w:rFonts w:eastAsia="Arial Narrow" w:cs="Arial Narrow"/>
          <w:color w:val="000000"/>
        </w:rPr>
        <w:t>vota a sociálna infraštruktúra.</w:t>
      </w:r>
    </w:p>
    <w:p w14:paraId="2D0320F7" w14:textId="11834738" w:rsidR="008E7D9E" w:rsidRPr="00666914" w:rsidRDefault="008E7D9E">
      <w:pPr>
        <w:rPr>
          <w:rFonts w:eastAsia="Arial Narrow" w:cs="Arial Narrow"/>
        </w:rPr>
      </w:pPr>
      <w:r w:rsidRPr="00666914">
        <w:rPr>
          <w:rFonts w:eastAsia="Arial Narrow" w:cs="Arial Narrow"/>
        </w:rPr>
        <w:t xml:space="preserve">Každý z pilierov je ďalej členený na priority a následne opatrenia. Financovanie jednotlivých opatrení bude kombináciou EŠIF (súčasné programové obdobie 2014-2020 ako aj nasledujúce 2021-2027), komunitárnych programov EÚ (napr. LIFE, Horizont 2000 alebo COSME), </w:t>
      </w:r>
      <w:sdt>
        <w:sdtPr>
          <w:tag w:val="goog_rdk_38"/>
          <w:id w:val="651410956"/>
        </w:sdtPr>
        <w:sdtEndPr/>
        <w:sdtContent/>
      </w:sdt>
      <w:r w:rsidRPr="00666914">
        <w:rPr>
          <w:rFonts w:eastAsia="Arial Narrow" w:cs="Arial Narrow"/>
        </w:rPr>
        <w:t>štátneho rozpočtu (napr. Envirofond, programy SBA a rozpočty mini</w:t>
      </w:r>
      <w:r w:rsidR="000644F2" w:rsidRPr="00666914">
        <w:rPr>
          <w:rFonts w:eastAsia="Arial Narrow" w:cs="Arial Narrow"/>
        </w:rPr>
        <w:t>sterstiev) a prostriedkoch EIB.</w:t>
      </w:r>
    </w:p>
    <w:p w14:paraId="6C147DDE" w14:textId="2EC7928C" w:rsidR="008E7D9E" w:rsidRPr="00666914" w:rsidRDefault="008E7D9E">
      <w:pPr>
        <w:rPr>
          <w:rFonts w:eastAsia="Arial Narrow" w:cs="Arial Narrow"/>
          <w:b/>
        </w:rPr>
      </w:pPr>
      <w:r w:rsidRPr="00666914">
        <w:rPr>
          <w:rFonts w:eastAsia="Arial Narrow" w:cs="Arial Narrow"/>
          <w:b/>
        </w:rPr>
        <w:t xml:space="preserve">Súčasťou AP je aj zásobník indikatívnych projektov. </w:t>
      </w:r>
      <w:r w:rsidRPr="00666914">
        <w:rPr>
          <w:rFonts w:eastAsia="Arial Narrow" w:cs="Arial Narrow"/>
        </w:rPr>
        <w:t xml:space="preserve">V roku 2019 bolo </w:t>
      </w:r>
      <w:sdt>
        <w:sdtPr>
          <w:tag w:val="goog_rdk_39"/>
          <w:id w:val="1463611660"/>
        </w:sdtPr>
        <w:sdtEndPr/>
        <w:sdtContent/>
      </w:sdt>
      <w:sdt>
        <w:sdtPr>
          <w:tag w:val="goog_rdk_40"/>
          <w:id w:val="-1257210168"/>
        </w:sdtPr>
        <w:sdtEndPr/>
        <w:sdtContent/>
      </w:sdt>
      <w:r w:rsidRPr="00666914">
        <w:rPr>
          <w:rFonts w:eastAsia="Arial Narrow" w:cs="Arial Narrow"/>
        </w:rPr>
        <w:t>vyzbieraných 217 projektov v celkovej sume 2,9 mld. eur.</w:t>
      </w:r>
      <w:r w:rsidRPr="00666914">
        <w:rPr>
          <w:rFonts w:eastAsia="Arial Narrow" w:cs="Arial Narrow"/>
          <w:b/>
        </w:rPr>
        <w:t xml:space="preserve"> </w:t>
      </w:r>
      <w:r w:rsidRPr="00666914">
        <w:rPr>
          <w:rFonts w:eastAsia="Arial Narrow" w:cs="Arial Narrow"/>
        </w:rPr>
        <w:t xml:space="preserve">Každoročne k 30.6. budú projekty v rámci aktualizácie AP do zásobníku opäť nanovo vyberané. </w:t>
      </w:r>
      <w:r w:rsidRPr="00666914">
        <w:rPr>
          <w:rFonts w:eastAsia="Arial Narrow" w:cs="Arial Narrow"/>
          <w:b/>
        </w:rPr>
        <w:t xml:space="preserve">Zber projektov bol realizovaný bez ohľadu na stratégie ministerstiev alebo dokumentov prioritizácie projektov (napr. projektov cestnej infraštruktúry). IJ preto odporúča, aby pri aktualizácii zásobníka projektov bol tento výber s ohľadom na existujúce prioritizácie projektov zrealizovaný. </w:t>
      </w:r>
      <w:r w:rsidRPr="00666914">
        <w:rPr>
          <w:rFonts w:eastAsia="Arial Narrow" w:cs="Arial Narrow"/>
        </w:rPr>
        <w:t xml:space="preserve">Koncom roka 2019 vybral ÚPVII 8 projektových zámerov, ktoré bude posudzovať Jaspers. Tieto by mali vytvoriť 700 pracovných miest a tvoriť vyššiu pridanú hodnotu. Ide o projekty zamerané najmä na výskum a vývoj a výrobu a opravy železničných vagónov. Polovica projektov je predložená spoločnosťou </w:t>
      </w:r>
      <w:r w:rsidR="00654C17" w:rsidRPr="00666914">
        <w:rPr>
          <w:rFonts w:eastAsia="Arial Narrow" w:cs="Arial Narrow"/>
          <w:color w:val="000000"/>
        </w:rPr>
        <w:t>Ho</w:t>
      </w:r>
      <w:sdt>
        <w:sdtPr>
          <w:tag w:val="goog_rdk_43"/>
          <w:id w:val="857930807"/>
        </w:sdtPr>
        <w:sdtEndPr/>
        <w:sdtContent/>
      </w:sdt>
      <w:sdt>
        <w:sdtPr>
          <w:tag w:val="goog_rdk_44"/>
          <w:id w:val="1057438812"/>
        </w:sdtPr>
        <w:sdtEndPr/>
        <w:sdtContent/>
      </w:sdt>
      <w:sdt>
        <w:sdtPr>
          <w:tag w:val="goog_rdk_45"/>
          <w:id w:val="-226695323"/>
        </w:sdtPr>
        <w:sdtEndPr/>
        <w:sdtContent/>
      </w:sdt>
      <w:r w:rsidR="00654C17" w:rsidRPr="00666914">
        <w:rPr>
          <w:rFonts w:eastAsia="Arial Narrow" w:cs="Arial Narrow"/>
          <w:color w:val="000000"/>
        </w:rPr>
        <w:t>rnonitrianske bane Prievidza (</w:t>
      </w:r>
      <w:r w:rsidRPr="00666914">
        <w:rPr>
          <w:rFonts w:eastAsia="Arial Narrow" w:cs="Arial Narrow"/>
        </w:rPr>
        <w:t>HBP</w:t>
      </w:r>
      <w:r w:rsidR="00654C17" w:rsidRPr="00666914">
        <w:rPr>
          <w:rFonts w:eastAsia="Arial Narrow" w:cs="Arial Narrow"/>
        </w:rPr>
        <w:t>)</w:t>
      </w:r>
      <w:r w:rsidRPr="00666914">
        <w:rPr>
          <w:rFonts w:eastAsia="Arial Narrow" w:cs="Arial Narrow"/>
        </w:rPr>
        <w:t xml:space="preserve"> a.s.</w:t>
      </w:r>
    </w:p>
    <w:p w14:paraId="692D9B31" w14:textId="5744FAB5" w:rsidR="00376C54" w:rsidRPr="00666914" w:rsidRDefault="008E7D9E">
      <w:pPr>
        <w:rPr>
          <w:rFonts w:eastAsia="Arial Narrow" w:cs="Arial Narrow"/>
          <w:color w:val="000000"/>
        </w:rPr>
      </w:pPr>
      <w:r w:rsidRPr="00666914">
        <w:rPr>
          <w:rFonts w:eastAsia="Arial Narrow" w:cs="Arial Narrow"/>
          <w:b/>
          <w:color w:val="000000"/>
        </w:rPr>
        <w:t xml:space="preserve">HBP mala povinnosť vytvárať rezervy na rekultiváciu pozemkov dotknutých banskou činnosťou, na náhrady škôd, na likvidáciu hlavných banských diel a asanácie </w:t>
      </w:r>
      <w:sdt>
        <w:sdtPr>
          <w:tag w:val="goog_rdk_41"/>
          <w:id w:val="-1854105254"/>
        </w:sdtPr>
        <w:sdtEndPr/>
        <w:sdtContent/>
      </w:sdt>
      <w:sdt>
        <w:sdtPr>
          <w:tag w:val="goog_rdk_42"/>
          <w:id w:val="1678926527"/>
        </w:sdtPr>
        <w:sdtEndPr/>
        <w:sdtContent/>
      </w:sdt>
      <w:r w:rsidRPr="00666914">
        <w:rPr>
          <w:rFonts w:eastAsia="Arial Narrow" w:cs="Arial Narrow"/>
          <w:b/>
          <w:color w:val="000000"/>
        </w:rPr>
        <w:t xml:space="preserve">budov v oblastiach dotknutých banskou činnosťou. Tieto však dosahujú výšku len 17 mil. eur, pričom na ukončenie ťažby je podľa AP potrebných 110 mil. eur. SR preto do roku 2027 poskytne HBP štátnu pomoc vo výške 92,5 mil. eur. </w:t>
      </w:r>
      <w:r w:rsidRPr="00666914">
        <w:rPr>
          <w:rFonts w:eastAsia="Arial Narrow" w:cs="Arial Narrow"/>
          <w:color w:val="000000"/>
        </w:rPr>
        <w:t xml:space="preserve">Štátna pomoc pre HBP, a.s. bola notifikovaná Európskou komisiou a schválená rozhodnutím Komisie z 28.11.2019 </w:t>
      </w:r>
      <w:r w:rsidRPr="00666914">
        <w:rPr>
          <w:rFonts w:eastAsia="Arial Narrow" w:cs="Arial Narrow"/>
        </w:rPr>
        <w:t>pod</w:t>
      </w:r>
      <w:r w:rsidRPr="00666914">
        <w:rPr>
          <w:rFonts w:eastAsia="Arial Narrow" w:cs="Arial Narrow"/>
          <w:color w:val="000000"/>
        </w:rPr>
        <w:t xml:space="preserve"> číslom SA 55038 (2019/N)</w:t>
      </w:r>
      <w:r w:rsidRPr="00666914">
        <w:rPr>
          <w:rFonts w:eastAsia="Arial Narrow" w:cs="Arial Narrow"/>
          <w:color w:val="000000"/>
          <w:vertAlign w:val="superscript"/>
        </w:rPr>
        <w:footnoteReference w:id="276"/>
      </w:r>
      <w:r w:rsidRPr="00666914">
        <w:rPr>
          <w:rFonts w:eastAsia="Arial Narrow" w:cs="Arial Narrow"/>
          <w:color w:val="000000"/>
        </w:rPr>
        <w:t>: „Pomoc na pokrytie mimoriadnych nákladov spoločnosti Ho</w:t>
      </w:r>
      <w:sdt>
        <w:sdtPr>
          <w:tag w:val="goog_rdk_43"/>
          <w:id w:val="-144445980"/>
        </w:sdtPr>
        <w:sdtEndPr/>
        <w:sdtContent/>
      </w:sdt>
      <w:sdt>
        <w:sdtPr>
          <w:tag w:val="goog_rdk_44"/>
          <w:id w:val="-1248641837"/>
        </w:sdtPr>
        <w:sdtEndPr/>
        <w:sdtContent/>
      </w:sdt>
      <w:sdt>
        <w:sdtPr>
          <w:tag w:val="goog_rdk_45"/>
          <w:id w:val="-825811775"/>
        </w:sdtPr>
        <w:sdtEndPr/>
        <w:sdtContent/>
      </w:sdt>
      <w:r w:rsidRPr="00666914">
        <w:rPr>
          <w:rFonts w:eastAsia="Arial Narrow" w:cs="Arial Narrow"/>
          <w:color w:val="000000"/>
        </w:rPr>
        <w:t>rnonitrianske bane Prievidza (HBP) v súvislosti s ukončením ťažby“. Ide o štátnu pomoc súvisiacu s likvidáciou a uzatváraním jednotlivých ťažobných polí v dobývacích priestoroch HBP, kde harmonogram predpokladá postupné uzatváranie baní do konca r</w:t>
      </w:r>
      <w:r w:rsidR="000644F2" w:rsidRPr="00666914">
        <w:rPr>
          <w:rFonts w:eastAsia="Arial Narrow" w:cs="Arial Narrow"/>
          <w:color w:val="000000"/>
        </w:rPr>
        <w:t>oku 2027.</w:t>
      </w:r>
    </w:p>
    <w:p w14:paraId="74BB4601" w14:textId="77777777" w:rsidR="00376C54" w:rsidRPr="00666914" w:rsidRDefault="00376C54">
      <w:pPr>
        <w:spacing w:after="0"/>
        <w:jc w:val="left"/>
        <w:rPr>
          <w:rFonts w:eastAsia="Arial Narrow" w:cs="Arial Narrow"/>
          <w:color w:val="000000"/>
        </w:rPr>
      </w:pPr>
      <w:r w:rsidRPr="00666914">
        <w:rPr>
          <w:rFonts w:eastAsia="Arial Narrow" w:cs="Arial Narrow"/>
          <w:color w:val="000000"/>
        </w:rPr>
        <w:br w:type="page"/>
      </w:r>
    </w:p>
    <w:p w14:paraId="15A79639" w14:textId="7D038594" w:rsidR="008E7D9E" w:rsidRPr="00666914" w:rsidRDefault="008E7D9E">
      <w:pPr>
        <w:pBdr>
          <w:bottom w:val="single" w:sz="4" w:space="1" w:color="000000"/>
        </w:pBdr>
        <w:spacing w:after="0"/>
        <w:rPr>
          <w:rFonts w:eastAsia="Arial Narrow" w:cs="Arial Narrow"/>
          <w:b/>
          <w:sz w:val="20"/>
          <w:szCs w:val="20"/>
        </w:rPr>
      </w:pPr>
      <w:bookmarkStart w:id="331" w:name="_Toc38390069"/>
      <w:r w:rsidRPr="00666914">
        <w:rPr>
          <w:rFonts w:eastAsia="Arial Narrow" w:cs="Arial Narrow"/>
          <w:b/>
          <w:sz w:val="20"/>
          <w:szCs w:val="20"/>
        </w:rPr>
        <w:lastRenderedPageBreak/>
        <w:t xml:space="preserve">Obrázok </w:t>
      </w:r>
      <w:r w:rsidRPr="00666914">
        <w:rPr>
          <w:rFonts w:eastAsia="Arial Narrow" w:cs="Arial Narrow"/>
          <w:b/>
          <w:sz w:val="20"/>
          <w:szCs w:val="20"/>
        </w:rPr>
        <w:fldChar w:fldCharType="begin"/>
      </w:r>
      <w:r w:rsidRPr="00666914">
        <w:rPr>
          <w:rFonts w:eastAsia="Arial Narrow" w:cs="Arial Narrow"/>
          <w:b/>
          <w:sz w:val="20"/>
          <w:szCs w:val="20"/>
        </w:rPr>
        <w:instrText xml:space="preserve"> SEQ Obrázok \* ARABIC \* MERGEFORMAT </w:instrText>
      </w:r>
      <w:r w:rsidRPr="00666914">
        <w:rPr>
          <w:rFonts w:eastAsia="Arial Narrow" w:cs="Arial Narrow"/>
          <w:b/>
          <w:sz w:val="20"/>
          <w:szCs w:val="20"/>
        </w:rPr>
        <w:fldChar w:fldCharType="separate"/>
      </w:r>
      <w:r w:rsidR="005A7304">
        <w:rPr>
          <w:rFonts w:eastAsia="Arial Narrow" w:cs="Arial Narrow"/>
          <w:b/>
          <w:noProof/>
          <w:sz w:val="20"/>
          <w:szCs w:val="20"/>
        </w:rPr>
        <w:t>1</w:t>
      </w:r>
      <w:r w:rsidRPr="00666914">
        <w:rPr>
          <w:rFonts w:eastAsia="Arial Narrow" w:cs="Arial Narrow"/>
          <w:b/>
          <w:sz w:val="20"/>
          <w:szCs w:val="20"/>
        </w:rPr>
        <w:fldChar w:fldCharType="end"/>
      </w:r>
      <w:r w:rsidRPr="00666914">
        <w:rPr>
          <w:rFonts w:eastAsia="Arial Narrow" w:cs="Arial Narrow"/>
          <w:b/>
          <w:sz w:val="20"/>
          <w:szCs w:val="20"/>
        </w:rPr>
        <w:t>: Harmonogram ukončenia ťažby a uzatvárania ťažobných polí baní Handlová a Nováky</w:t>
      </w:r>
      <w:bookmarkEnd w:id="331"/>
    </w:p>
    <w:p w14:paraId="593AC001" w14:textId="77777777" w:rsidR="008E7D9E" w:rsidRPr="00666914" w:rsidRDefault="008E7D9E">
      <w:pPr>
        <w:rPr>
          <w:rFonts w:eastAsia="Arial Narrow" w:cs="Arial Narrow"/>
          <w:color w:val="000000"/>
        </w:rPr>
      </w:pPr>
      <w:r w:rsidRPr="00666914">
        <w:rPr>
          <w:rFonts w:eastAsia="Arial Narrow" w:cs="Arial Narrow"/>
          <w:noProof/>
          <w:color w:val="000000"/>
          <w:lang w:eastAsia="sk-SK"/>
        </w:rPr>
        <w:drawing>
          <wp:inline distT="0" distB="0" distL="0" distR="0" wp14:anchorId="235B07DE" wp14:editId="7649A07E">
            <wp:extent cx="5760720" cy="2661285"/>
            <wp:effectExtent l="0" t="0" r="0" b="0"/>
            <wp:docPr id="9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4"/>
                    <a:srcRect/>
                    <a:stretch>
                      <a:fillRect/>
                    </a:stretch>
                  </pic:blipFill>
                  <pic:spPr>
                    <a:xfrm>
                      <a:off x="0" y="0"/>
                      <a:ext cx="5760720" cy="2661285"/>
                    </a:xfrm>
                    <a:prstGeom prst="rect">
                      <a:avLst/>
                    </a:prstGeom>
                    <a:ln/>
                  </pic:spPr>
                </pic:pic>
              </a:graphicData>
            </a:graphic>
          </wp:inline>
        </w:drawing>
      </w:r>
    </w:p>
    <w:p w14:paraId="3DE4C227" w14:textId="77777777" w:rsidR="008E7D9E" w:rsidRPr="00666914" w:rsidRDefault="008E7D9E">
      <w:pPr>
        <w:pBdr>
          <w:top w:val="single" w:sz="4" w:space="1" w:color="000000"/>
        </w:pBdr>
        <w:jc w:val="right"/>
        <w:rPr>
          <w:rFonts w:eastAsia="Arial Narrow" w:cs="Arial Narrow"/>
          <w:i/>
          <w:color w:val="000000"/>
          <w:sz w:val="18"/>
          <w:szCs w:val="18"/>
        </w:rPr>
      </w:pPr>
      <w:r w:rsidRPr="00666914">
        <w:rPr>
          <w:rFonts w:eastAsia="Arial Narrow" w:cs="Arial Narrow"/>
          <w:i/>
          <w:color w:val="000000"/>
          <w:sz w:val="18"/>
          <w:szCs w:val="18"/>
        </w:rPr>
        <w:t>Zdroj: Európska komisia, štátna pomoc SA 55038 (2019/N)</w:t>
      </w:r>
      <w:r w:rsidRPr="00666914">
        <w:rPr>
          <w:rFonts w:eastAsia="Arial Narrow" w:cs="Arial Narrow"/>
          <w:i/>
          <w:color w:val="000000"/>
          <w:sz w:val="14"/>
          <w:szCs w:val="14"/>
        </w:rPr>
        <w:t xml:space="preserve"> </w:t>
      </w:r>
    </w:p>
    <w:p w14:paraId="0BF91934" w14:textId="595AADAF" w:rsidR="008E7D9E" w:rsidRPr="00666914" w:rsidRDefault="008E7D9E">
      <w:pPr>
        <w:pBdr>
          <w:top w:val="single" w:sz="4" w:space="1" w:color="000000"/>
        </w:pBdr>
        <w:rPr>
          <w:rFonts w:eastAsia="Arial Narrow" w:cs="Arial Narrow"/>
          <w:color w:val="000000"/>
        </w:rPr>
      </w:pPr>
      <w:r w:rsidRPr="00666914">
        <w:rPr>
          <w:rFonts w:eastAsia="Arial Narrow" w:cs="Arial Narrow"/>
          <w:color w:val="000000"/>
        </w:rPr>
        <w:t>Na podporu transformácie hornonitrianskeho regiónu má slúžiť aj nový Fond pre spravodlivú transformáciu</w:t>
      </w:r>
      <w:r w:rsidRPr="00666914">
        <w:rPr>
          <w:rFonts w:eastAsia="Arial Narrow" w:cs="Arial Narrow"/>
          <w:color w:val="000000"/>
          <w:vertAlign w:val="superscript"/>
        </w:rPr>
        <w:footnoteReference w:id="277"/>
      </w:r>
      <w:r w:rsidRPr="00666914">
        <w:rPr>
          <w:rFonts w:eastAsia="Arial Narrow" w:cs="Arial Narrow"/>
          <w:color w:val="000000"/>
        </w:rPr>
        <w:t>, ktorý schválila Európska komisia v 01/2020. Pre SR bude v rámci</w:t>
      </w:r>
      <w:r w:rsidR="000644F2" w:rsidRPr="00666914">
        <w:rPr>
          <w:rFonts w:eastAsia="Arial Narrow" w:cs="Arial Narrow"/>
          <w:color w:val="000000"/>
        </w:rPr>
        <w:t xml:space="preserve"> neho alokovaných 162 mil. eur.</w:t>
      </w:r>
    </w:p>
    <w:p w14:paraId="6E489ADB" w14:textId="77777777" w:rsidR="008E7D9E" w:rsidRPr="00666914" w:rsidRDefault="008E7D9E">
      <w:pPr>
        <w:pBdr>
          <w:top w:val="single" w:sz="4" w:space="1" w:color="000000"/>
        </w:pBdr>
        <w:rPr>
          <w:rFonts w:eastAsia="Arial Narrow" w:cs="Arial Narrow"/>
          <w:b/>
          <w:color w:val="000000"/>
        </w:rPr>
      </w:pPr>
      <w:r w:rsidRPr="00666914">
        <w:rPr>
          <w:rFonts w:eastAsia="Arial Narrow" w:cs="Arial Narrow"/>
          <w:b/>
          <w:color w:val="000000"/>
        </w:rPr>
        <w:t xml:space="preserve">Opatrenie sa k 31.12.2019 neplní.    </w:t>
      </w:r>
    </w:p>
    <w:p w14:paraId="7269C1E3" w14:textId="77777777" w:rsidR="008E7D9E" w:rsidRPr="00666914" w:rsidRDefault="008E7D9E" w:rsidP="00131B23">
      <w:pPr>
        <w:numPr>
          <w:ilvl w:val="0"/>
          <w:numId w:val="25"/>
        </w:numPr>
        <w:spacing w:after="0"/>
        <w:rPr>
          <w:rFonts w:eastAsia="Arial Narrow" w:cs="Arial Narrow"/>
          <w:b/>
        </w:rPr>
      </w:pPr>
      <w:r w:rsidRPr="00666914">
        <w:rPr>
          <w:rFonts w:eastAsia="Arial Narrow" w:cs="Arial Narrow"/>
          <w:b/>
          <w:u w:val="single"/>
        </w:rPr>
        <w:t xml:space="preserve">Prijímať opatrenia na lepšie dodržiavanie existujúcej prioritizácie pre nové protipovodňové projekty </w:t>
      </w:r>
    </w:p>
    <w:p w14:paraId="5E4004E5" w14:textId="77777777" w:rsidR="008E7D9E" w:rsidRPr="00666914" w:rsidRDefault="008E7D9E">
      <w:pPr>
        <w:spacing w:after="0"/>
        <w:rPr>
          <w:rFonts w:eastAsia="Arial Narrow" w:cs="Arial Narrow"/>
        </w:rPr>
      </w:pPr>
    </w:p>
    <w:p w14:paraId="5908A087" w14:textId="4F4573F6" w:rsidR="00376C54" w:rsidRPr="00666914" w:rsidRDefault="008E7D9E">
      <w:pPr>
        <w:spacing w:after="0"/>
        <w:rPr>
          <w:rFonts w:eastAsia="Arial Narrow" w:cs="Arial Narrow"/>
          <w:b/>
        </w:rPr>
      </w:pPr>
      <w:r w:rsidRPr="00666914">
        <w:rPr>
          <w:rFonts w:eastAsia="Arial Narrow" w:cs="Arial Narrow"/>
          <w:b/>
        </w:rPr>
        <w:t xml:space="preserve">Na základe odporúčania IJ ako aj z dôvodu prehlbujúcej sa </w:t>
      </w:r>
      <w:sdt>
        <w:sdtPr>
          <w:tag w:val="goog_rdk_46"/>
          <w:id w:val="-1843621098"/>
        </w:sdtPr>
        <w:sdtEndPr/>
        <w:sdtContent/>
      </w:sdt>
      <w:r w:rsidRPr="00666914">
        <w:rPr>
          <w:rFonts w:eastAsia="Arial Narrow" w:cs="Arial Narrow"/>
          <w:b/>
        </w:rPr>
        <w:t>straty</w:t>
      </w:r>
      <w:r w:rsidRPr="00666914">
        <w:rPr>
          <w:rFonts w:eastAsia="Arial Narrow" w:cs="Arial Narrow"/>
          <w:vertAlign w:val="superscript"/>
        </w:rPr>
        <w:footnoteReference w:id="278"/>
      </w:r>
      <w:r w:rsidRPr="00666914">
        <w:rPr>
          <w:rFonts w:eastAsia="Arial Narrow" w:cs="Arial Narrow"/>
        </w:rPr>
        <w:t xml:space="preserve"> </w:t>
      </w:r>
      <w:r w:rsidRPr="00666914">
        <w:rPr>
          <w:rFonts w:eastAsia="Arial Narrow" w:cs="Arial Narrow"/>
          <w:b/>
        </w:rPr>
        <w:t>SVP, vydal podnik Príkaz generálneho riaditeľa č. 2/2019</w:t>
      </w:r>
      <w:r w:rsidRPr="00666914">
        <w:rPr>
          <w:rFonts w:eastAsia="Arial Narrow" w:cs="Arial Narrow"/>
          <w:b/>
          <w:vertAlign w:val="superscript"/>
        </w:rPr>
        <w:footnoteReference w:id="279"/>
      </w:r>
      <w:r w:rsidRPr="00666914">
        <w:rPr>
          <w:rFonts w:eastAsia="Arial Narrow" w:cs="Arial Narrow"/>
          <w:b/>
        </w:rPr>
        <w:t xml:space="preserve"> </w:t>
      </w:r>
      <w:r w:rsidRPr="00666914">
        <w:rPr>
          <w:rFonts w:eastAsia="Arial Narrow" w:cs="Arial Narrow"/>
        </w:rPr>
        <w:t>na zrýchlenie prípravy stavieb preventívnych opatrení zo zdrojov EŠIF a zo štátneho rozpočtu.</w:t>
      </w:r>
      <w:r w:rsidRPr="00666914">
        <w:rPr>
          <w:rFonts w:eastAsia="Arial Narrow" w:cs="Arial Narrow"/>
          <w:b/>
        </w:rPr>
        <w:t xml:space="preserve"> </w:t>
      </w:r>
      <w:r w:rsidRPr="00666914">
        <w:rPr>
          <w:rFonts w:eastAsia="Arial Narrow" w:cs="Arial Narrow"/>
        </w:rPr>
        <w:t>Cieľom je d</w:t>
      </w:r>
      <w:sdt>
        <w:sdtPr>
          <w:tag w:val="goog_rdk_47"/>
          <w:id w:val="-653063127"/>
        </w:sdtPr>
        <w:sdtEndPr/>
        <w:sdtContent/>
      </w:sdt>
      <w:sdt>
        <w:sdtPr>
          <w:tag w:val="goog_rdk_48"/>
          <w:id w:val="-637498529"/>
        </w:sdtPr>
        <w:sdtEndPr/>
        <w:sdtContent/>
      </w:sdt>
      <w:r w:rsidRPr="00666914">
        <w:rPr>
          <w:rFonts w:eastAsia="Arial Narrow" w:cs="Arial Narrow"/>
        </w:rPr>
        <w:t xml:space="preserve">o 06/2020 pripraviť čo najviac projektov s právoplatným stavebným povolením. V 01/2020 SVP smernicu aktualizoval a počet stavieb v nej znížil z 27 na 10. Všetky projekty v aktualizovanom zozname stavieb sú v PMPR a okrem 2 sú všetky z 1. priority. </w:t>
      </w:r>
      <w:r w:rsidRPr="00666914">
        <w:rPr>
          <w:rFonts w:eastAsia="Arial Narrow" w:cs="Arial Narrow"/>
          <w:b/>
        </w:rPr>
        <w:t>IJ oceňuje, že SVP plánuje sústrediť svoje kapacity na realizáciu menšieho množstva projektov, rovnako ako to, že zoznam obsahuje prevažne projekty s najvyššou prioritou.</w:t>
      </w:r>
    </w:p>
    <w:p w14:paraId="367E87DF" w14:textId="31FD1475" w:rsidR="00376C54" w:rsidRPr="00666914" w:rsidRDefault="00376C54">
      <w:pPr>
        <w:spacing w:after="0"/>
        <w:jc w:val="left"/>
        <w:rPr>
          <w:rFonts w:eastAsia="Arial Narrow" w:cs="Arial Narrow"/>
          <w:b/>
        </w:rPr>
      </w:pPr>
    </w:p>
    <w:p w14:paraId="077A97F9" w14:textId="461D2E1F" w:rsidR="008E7D9E" w:rsidRPr="00666914" w:rsidRDefault="008E7D9E" w:rsidP="00376C54">
      <w:pPr>
        <w:pBdr>
          <w:bottom w:val="single" w:sz="4" w:space="1" w:color="auto"/>
        </w:pBdr>
        <w:spacing w:after="0"/>
        <w:rPr>
          <w:rFonts w:eastAsia="Arial Narrow" w:cs="Arial Narrow"/>
          <w:b/>
          <w:sz w:val="20"/>
          <w:szCs w:val="20"/>
        </w:rPr>
      </w:pPr>
      <w:bookmarkStart w:id="332" w:name="_Toc38447732"/>
      <w:r w:rsidRPr="00666914">
        <w:rPr>
          <w:rFonts w:eastAsia="Arial Narrow" w:cs="Arial Narrow"/>
          <w:b/>
          <w:sz w:val="20"/>
          <w:szCs w:val="20"/>
        </w:rPr>
        <w:t xml:space="preserve">Tabuľka </w:t>
      </w:r>
      <w:r w:rsidRPr="00666914">
        <w:rPr>
          <w:rFonts w:eastAsia="Arial Narrow" w:cs="Arial Narrow"/>
          <w:b/>
          <w:sz w:val="20"/>
          <w:szCs w:val="20"/>
        </w:rPr>
        <w:fldChar w:fldCharType="begin"/>
      </w:r>
      <w:r w:rsidRPr="00666914">
        <w:rPr>
          <w:rFonts w:eastAsia="Arial Narrow" w:cs="Arial Narrow"/>
          <w:b/>
          <w:sz w:val="20"/>
          <w:szCs w:val="20"/>
        </w:rPr>
        <w:instrText xml:space="preserve"> SEQ Tabuľka \* ARABIC \* MERGEFORMAT </w:instrText>
      </w:r>
      <w:r w:rsidRPr="00666914">
        <w:rPr>
          <w:rFonts w:eastAsia="Arial Narrow" w:cs="Arial Narrow"/>
          <w:b/>
          <w:sz w:val="20"/>
          <w:szCs w:val="20"/>
        </w:rPr>
        <w:fldChar w:fldCharType="separate"/>
      </w:r>
      <w:r w:rsidR="005A7304">
        <w:rPr>
          <w:rFonts w:eastAsia="Arial Narrow" w:cs="Arial Narrow"/>
          <w:b/>
          <w:noProof/>
          <w:sz w:val="20"/>
          <w:szCs w:val="20"/>
        </w:rPr>
        <w:t>71</w:t>
      </w:r>
      <w:r w:rsidRPr="00666914">
        <w:rPr>
          <w:rFonts w:eastAsia="Arial Narrow" w:cs="Arial Narrow"/>
          <w:b/>
          <w:sz w:val="20"/>
          <w:szCs w:val="20"/>
        </w:rPr>
        <w:fldChar w:fldCharType="end"/>
      </w:r>
      <w:r w:rsidRPr="00666914">
        <w:rPr>
          <w:rFonts w:eastAsia="Arial Narrow" w:cs="Arial Narrow"/>
          <w:b/>
          <w:sz w:val="20"/>
          <w:szCs w:val="20"/>
        </w:rPr>
        <w:t>: Aktualizovaný zoznam projektov protipovodňovej ochrany určených na zrýchlenie prípravy</w:t>
      </w:r>
      <w:bookmarkEnd w:id="332"/>
    </w:p>
    <w:tbl>
      <w:tblPr>
        <w:tblW w:w="9205" w:type="dxa"/>
        <w:tblLayout w:type="fixed"/>
        <w:tblLook w:val="0400" w:firstRow="0" w:lastRow="0" w:firstColumn="0" w:lastColumn="0" w:noHBand="0" w:noVBand="1"/>
      </w:tblPr>
      <w:tblGrid>
        <w:gridCol w:w="2922"/>
        <w:gridCol w:w="1211"/>
        <w:gridCol w:w="1272"/>
        <w:gridCol w:w="1316"/>
        <w:gridCol w:w="1105"/>
        <w:gridCol w:w="1379"/>
      </w:tblGrid>
      <w:tr w:rsidR="008E7D9E" w:rsidRPr="00666914" w14:paraId="383C5058" w14:textId="77777777" w:rsidTr="00376C54">
        <w:trPr>
          <w:trHeight w:val="333"/>
        </w:trPr>
        <w:tc>
          <w:tcPr>
            <w:tcW w:w="2922" w:type="dxa"/>
            <w:tcBorders>
              <w:top w:val="nil"/>
              <w:left w:val="nil"/>
              <w:bottom w:val="nil"/>
              <w:right w:val="nil"/>
            </w:tcBorders>
            <w:shd w:val="clear" w:color="auto" w:fill="auto"/>
            <w:vAlign w:val="bottom"/>
          </w:tcPr>
          <w:p w14:paraId="0524DAD1" w14:textId="77777777" w:rsidR="008E7D9E" w:rsidRPr="00666914" w:rsidRDefault="008E7D9E">
            <w:pPr>
              <w:spacing w:after="0"/>
              <w:rPr>
                <w:rFonts w:ascii="Times New Roman" w:eastAsia="Times New Roman" w:hAnsi="Times New Roman"/>
                <w:sz w:val="20"/>
                <w:szCs w:val="20"/>
              </w:rPr>
            </w:pPr>
          </w:p>
        </w:tc>
        <w:tc>
          <w:tcPr>
            <w:tcW w:w="1211" w:type="dxa"/>
            <w:vMerge w:val="restart"/>
            <w:tcBorders>
              <w:top w:val="nil"/>
              <w:left w:val="nil"/>
              <w:bottom w:val="single" w:sz="4" w:space="0" w:color="000000"/>
              <w:right w:val="nil"/>
            </w:tcBorders>
            <w:shd w:val="clear" w:color="auto" w:fill="auto"/>
            <w:vAlign w:val="bottom"/>
          </w:tcPr>
          <w:p w14:paraId="71EB2F9B" w14:textId="77777777" w:rsidR="008E7D9E" w:rsidRPr="00666914" w:rsidRDefault="008E7D9E">
            <w:pPr>
              <w:spacing w:after="0"/>
              <w:jc w:val="center"/>
              <w:rPr>
                <w:rFonts w:eastAsia="Arial Narrow" w:cs="Arial Narrow"/>
                <w:b/>
                <w:sz w:val="20"/>
                <w:szCs w:val="20"/>
              </w:rPr>
            </w:pPr>
            <w:r w:rsidRPr="00666914">
              <w:rPr>
                <w:rFonts w:eastAsia="Arial Narrow" w:cs="Arial Narrow"/>
                <w:b/>
                <w:sz w:val="20"/>
                <w:szCs w:val="20"/>
              </w:rPr>
              <w:t>Celkové náklady (mil. eur)</w:t>
            </w:r>
          </w:p>
        </w:tc>
        <w:tc>
          <w:tcPr>
            <w:tcW w:w="2588" w:type="dxa"/>
            <w:gridSpan w:val="2"/>
            <w:tcBorders>
              <w:top w:val="nil"/>
              <w:left w:val="nil"/>
              <w:bottom w:val="single" w:sz="4" w:space="0" w:color="000000"/>
              <w:right w:val="nil"/>
            </w:tcBorders>
            <w:shd w:val="clear" w:color="auto" w:fill="auto"/>
            <w:vAlign w:val="bottom"/>
          </w:tcPr>
          <w:p w14:paraId="668E498A" w14:textId="77777777" w:rsidR="008E7D9E" w:rsidRPr="00666914" w:rsidRDefault="008E7D9E">
            <w:pPr>
              <w:spacing w:after="0"/>
              <w:jc w:val="center"/>
              <w:rPr>
                <w:rFonts w:eastAsia="Arial Narrow" w:cs="Arial Narrow"/>
                <w:b/>
                <w:sz w:val="20"/>
                <w:szCs w:val="20"/>
              </w:rPr>
            </w:pPr>
            <w:r w:rsidRPr="00666914">
              <w:rPr>
                <w:rFonts w:eastAsia="Arial Narrow" w:cs="Arial Narrow"/>
                <w:b/>
                <w:sz w:val="20"/>
                <w:szCs w:val="20"/>
              </w:rPr>
              <w:t>Očakávané prínosy</w:t>
            </w:r>
          </w:p>
        </w:tc>
        <w:tc>
          <w:tcPr>
            <w:tcW w:w="1105" w:type="dxa"/>
            <w:tcBorders>
              <w:top w:val="nil"/>
              <w:left w:val="nil"/>
              <w:bottom w:val="nil"/>
              <w:right w:val="nil"/>
            </w:tcBorders>
            <w:shd w:val="clear" w:color="auto" w:fill="auto"/>
            <w:vAlign w:val="bottom"/>
          </w:tcPr>
          <w:p w14:paraId="7BA81343" w14:textId="77777777" w:rsidR="008E7D9E" w:rsidRPr="00666914" w:rsidRDefault="008E7D9E">
            <w:pPr>
              <w:spacing w:after="0"/>
              <w:jc w:val="center"/>
              <w:rPr>
                <w:rFonts w:eastAsia="Arial Narrow" w:cs="Arial Narrow"/>
                <w:b/>
                <w:sz w:val="20"/>
                <w:szCs w:val="20"/>
              </w:rPr>
            </w:pPr>
          </w:p>
        </w:tc>
        <w:tc>
          <w:tcPr>
            <w:tcW w:w="1379" w:type="dxa"/>
            <w:tcBorders>
              <w:top w:val="nil"/>
              <w:left w:val="nil"/>
              <w:bottom w:val="nil"/>
              <w:right w:val="nil"/>
            </w:tcBorders>
            <w:shd w:val="clear" w:color="auto" w:fill="auto"/>
            <w:vAlign w:val="bottom"/>
          </w:tcPr>
          <w:p w14:paraId="79F7F343" w14:textId="77777777" w:rsidR="008E7D9E" w:rsidRPr="00666914" w:rsidRDefault="008E7D9E">
            <w:pPr>
              <w:spacing w:after="0"/>
              <w:rPr>
                <w:rFonts w:ascii="Times New Roman" w:eastAsia="Times New Roman" w:hAnsi="Times New Roman"/>
                <w:sz w:val="20"/>
                <w:szCs w:val="20"/>
              </w:rPr>
            </w:pPr>
          </w:p>
        </w:tc>
      </w:tr>
      <w:tr w:rsidR="008E7D9E" w:rsidRPr="00666914" w14:paraId="775ADB3A" w14:textId="77777777" w:rsidTr="00376C54">
        <w:trPr>
          <w:trHeight w:val="333"/>
        </w:trPr>
        <w:tc>
          <w:tcPr>
            <w:tcW w:w="2922" w:type="dxa"/>
            <w:tcBorders>
              <w:top w:val="nil"/>
              <w:left w:val="nil"/>
              <w:bottom w:val="single" w:sz="4" w:space="0" w:color="000000"/>
              <w:right w:val="nil"/>
            </w:tcBorders>
            <w:shd w:val="clear" w:color="auto" w:fill="auto"/>
            <w:vAlign w:val="bottom"/>
          </w:tcPr>
          <w:p w14:paraId="7CE3154F" w14:textId="77777777" w:rsidR="008E7D9E" w:rsidRPr="00666914" w:rsidRDefault="008E7D9E">
            <w:pPr>
              <w:spacing w:after="0"/>
              <w:rPr>
                <w:rFonts w:eastAsia="Arial Narrow" w:cs="Arial Narrow"/>
                <w:b/>
                <w:sz w:val="20"/>
                <w:szCs w:val="20"/>
              </w:rPr>
            </w:pPr>
            <w:r w:rsidRPr="00666914">
              <w:rPr>
                <w:rFonts w:eastAsia="Arial Narrow" w:cs="Arial Narrow"/>
                <w:b/>
                <w:sz w:val="20"/>
                <w:szCs w:val="20"/>
              </w:rPr>
              <w:t>Názov projektu</w:t>
            </w:r>
          </w:p>
        </w:tc>
        <w:tc>
          <w:tcPr>
            <w:tcW w:w="1211" w:type="dxa"/>
            <w:vMerge/>
            <w:tcBorders>
              <w:top w:val="nil"/>
              <w:left w:val="nil"/>
              <w:bottom w:val="single" w:sz="4" w:space="0" w:color="000000"/>
              <w:right w:val="nil"/>
            </w:tcBorders>
            <w:shd w:val="clear" w:color="auto" w:fill="auto"/>
            <w:vAlign w:val="bottom"/>
          </w:tcPr>
          <w:p w14:paraId="2EB573A2" w14:textId="77777777" w:rsidR="008E7D9E" w:rsidRPr="00666914" w:rsidRDefault="008E7D9E">
            <w:pPr>
              <w:widowControl w:val="0"/>
              <w:pBdr>
                <w:top w:val="nil"/>
                <w:left w:val="nil"/>
                <w:bottom w:val="nil"/>
                <w:right w:val="nil"/>
                <w:between w:val="nil"/>
              </w:pBdr>
              <w:spacing w:after="0" w:line="276" w:lineRule="auto"/>
              <w:rPr>
                <w:rFonts w:eastAsia="Arial Narrow" w:cs="Arial Narrow"/>
                <w:b/>
                <w:sz w:val="20"/>
                <w:szCs w:val="20"/>
              </w:rPr>
            </w:pPr>
          </w:p>
        </w:tc>
        <w:tc>
          <w:tcPr>
            <w:tcW w:w="1272" w:type="dxa"/>
            <w:tcBorders>
              <w:top w:val="nil"/>
              <w:left w:val="nil"/>
              <w:bottom w:val="single" w:sz="4" w:space="0" w:color="000000"/>
              <w:right w:val="nil"/>
            </w:tcBorders>
            <w:shd w:val="clear" w:color="auto" w:fill="auto"/>
            <w:vAlign w:val="bottom"/>
          </w:tcPr>
          <w:p w14:paraId="0221D21E" w14:textId="77777777" w:rsidR="008E7D9E" w:rsidRPr="00666914" w:rsidRDefault="008E7D9E">
            <w:pPr>
              <w:spacing w:after="0"/>
              <w:rPr>
                <w:rFonts w:eastAsia="Arial Narrow" w:cs="Arial Narrow"/>
                <w:b/>
                <w:sz w:val="20"/>
                <w:szCs w:val="20"/>
              </w:rPr>
            </w:pPr>
            <w:r w:rsidRPr="00666914">
              <w:rPr>
                <w:rFonts w:eastAsia="Arial Narrow" w:cs="Arial Narrow"/>
                <w:b/>
                <w:sz w:val="20"/>
                <w:szCs w:val="20"/>
              </w:rPr>
              <w:t>Počet ochránených obyvateľov</w:t>
            </w:r>
          </w:p>
        </w:tc>
        <w:tc>
          <w:tcPr>
            <w:tcW w:w="1316" w:type="dxa"/>
            <w:tcBorders>
              <w:top w:val="nil"/>
              <w:left w:val="nil"/>
              <w:bottom w:val="single" w:sz="4" w:space="0" w:color="000000"/>
              <w:right w:val="nil"/>
            </w:tcBorders>
            <w:shd w:val="clear" w:color="auto" w:fill="auto"/>
            <w:vAlign w:val="bottom"/>
          </w:tcPr>
          <w:p w14:paraId="66866837" w14:textId="77777777" w:rsidR="008E7D9E" w:rsidRPr="00666914" w:rsidRDefault="008E7D9E">
            <w:pPr>
              <w:spacing w:after="0"/>
              <w:rPr>
                <w:rFonts w:eastAsia="Arial Narrow" w:cs="Arial Narrow"/>
                <w:b/>
                <w:sz w:val="20"/>
                <w:szCs w:val="20"/>
              </w:rPr>
            </w:pPr>
            <w:r w:rsidRPr="00666914">
              <w:rPr>
                <w:rFonts w:eastAsia="Arial Narrow" w:cs="Arial Narrow"/>
                <w:b/>
                <w:sz w:val="20"/>
                <w:szCs w:val="20"/>
              </w:rPr>
              <w:t>Výška zabránených škôd (mil. eur)</w:t>
            </w:r>
          </w:p>
        </w:tc>
        <w:tc>
          <w:tcPr>
            <w:tcW w:w="1105" w:type="dxa"/>
            <w:tcBorders>
              <w:top w:val="nil"/>
              <w:left w:val="nil"/>
              <w:bottom w:val="single" w:sz="4" w:space="0" w:color="000000"/>
              <w:right w:val="nil"/>
            </w:tcBorders>
            <w:shd w:val="clear" w:color="auto" w:fill="auto"/>
            <w:vAlign w:val="bottom"/>
          </w:tcPr>
          <w:p w14:paraId="4D590356" w14:textId="77777777" w:rsidR="008E7D9E" w:rsidRPr="00666914" w:rsidRDefault="008E7D9E">
            <w:pPr>
              <w:spacing w:after="0"/>
              <w:rPr>
                <w:rFonts w:eastAsia="Arial Narrow" w:cs="Arial Narrow"/>
                <w:b/>
                <w:sz w:val="20"/>
                <w:szCs w:val="20"/>
              </w:rPr>
            </w:pPr>
            <w:r w:rsidRPr="00666914">
              <w:rPr>
                <w:rFonts w:eastAsia="Arial Narrow" w:cs="Arial Narrow"/>
                <w:b/>
                <w:sz w:val="20"/>
                <w:szCs w:val="20"/>
              </w:rPr>
              <w:t>Priorita v PMPR</w:t>
            </w:r>
          </w:p>
        </w:tc>
        <w:tc>
          <w:tcPr>
            <w:tcW w:w="1379" w:type="dxa"/>
            <w:tcBorders>
              <w:top w:val="nil"/>
              <w:left w:val="nil"/>
              <w:bottom w:val="single" w:sz="4" w:space="0" w:color="000000"/>
              <w:right w:val="nil"/>
            </w:tcBorders>
            <w:shd w:val="clear" w:color="auto" w:fill="auto"/>
            <w:vAlign w:val="bottom"/>
          </w:tcPr>
          <w:p w14:paraId="6AE1E6A9" w14:textId="77777777" w:rsidR="008E7D9E" w:rsidRPr="00666914" w:rsidRDefault="008E7D9E">
            <w:pPr>
              <w:spacing w:after="0"/>
              <w:rPr>
                <w:rFonts w:eastAsia="Arial Narrow" w:cs="Arial Narrow"/>
                <w:b/>
                <w:sz w:val="20"/>
                <w:szCs w:val="20"/>
              </w:rPr>
            </w:pPr>
            <w:r w:rsidRPr="00666914">
              <w:rPr>
                <w:rFonts w:eastAsia="Arial Narrow" w:cs="Arial Narrow"/>
                <w:b/>
                <w:sz w:val="20"/>
                <w:szCs w:val="20"/>
              </w:rPr>
              <w:t>Pomer škôd ku nákladom</w:t>
            </w:r>
          </w:p>
        </w:tc>
      </w:tr>
      <w:tr w:rsidR="008E7D9E" w:rsidRPr="00666914" w14:paraId="567F1613" w14:textId="77777777" w:rsidTr="00376C54">
        <w:trPr>
          <w:trHeight w:val="666"/>
        </w:trPr>
        <w:tc>
          <w:tcPr>
            <w:tcW w:w="2922" w:type="dxa"/>
            <w:tcBorders>
              <w:top w:val="nil"/>
              <w:left w:val="nil"/>
              <w:bottom w:val="nil"/>
              <w:right w:val="nil"/>
            </w:tcBorders>
            <w:shd w:val="clear" w:color="auto" w:fill="auto"/>
            <w:vAlign w:val="center"/>
          </w:tcPr>
          <w:p w14:paraId="73992765" w14:textId="77777777" w:rsidR="008E7D9E" w:rsidRPr="00666914" w:rsidRDefault="008E7D9E">
            <w:pPr>
              <w:spacing w:after="0"/>
              <w:rPr>
                <w:rFonts w:eastAsia="Arial Narrow" w:cs="Arial Narrow"/>
                <w:sz w:val="20"/>
                <w:szCs w:val="20"/>
              </w:rPr>
            </w:pPr>
            <w:r w:rsidRPr="00666914">
              <w:rPr>
                <w:rFonts w:eastAsia="Arial Narrow" w:cs="Arial Narrow"/>
                <w:sz w:val="20"/>
                <w:szCs w:val="20"/>
              </w:rPr>
              <w:t>Tornaľa – Gemer, protipovodňové opatrenia na toku Slaná – rekonštrukcia</w:t>
            </w:r>
          </w:p>
        </w:tc>
        <w:tc>
          <w:tcPr>
            <w:tcW w:w="1211" w:type="dxa"/>
            <w:tcBorders>
              <w:top w:val="nil"/>
              <w:left w:val="nil"/>
              <w:bottom w:val="nil"/>
              <w:right w:val="nil"/>
            </w:tcBorders>
            <w:shd w:val="clear" w:color="auto" w:fill="auto"/>
            <w:vAlign w:val="center"/>
          </w:tcPr>
          <w:p w14:paraId="55893A1D"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1,41</w:t>
            </w:r>
          </w:p>
        </w:tc>
        <w:tc>
          <w:tcPr>
            <w:tcW w:w="1272" w:type="dxa"/>
            <w:tcBorders>
              <w:top w:val="nil"/>
              <w:left w:val="nil"/>
              <w:bottom w:val="nil"/>
              <w:right w:val="nil"/>
            </w:tcBorders>
            <w:shd w:val="clear" w:color="auto" w:fill="auto"/>
            <w:vAlign w:val="center"/>
          </w:tcPr>
          <w:p w14:paraId="0C873E15"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376</w:t>
            </w:r>
          </w:p>
        </w:tc>
        <w:tc>
          <w:tcPr>
            <w:tcW w:w="1316" w:type="dxa"/>
            <w:tcBorders>
              <w:top w:val="nil"/>
              <w:left w:val="nil"/>
              <w:bottom w:val="nil"/>
              <w:right w:val="nil"/>
            </w:tcBorders>
            <w:shd w:val="clear" w:color="auto" w:fill="auto"/>
            <w:vAlign w:val="center"/>
          </w:tcPr>
          <w:p w14:paraId="3B657369"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25,7</w:t>
            </w:r>
          </w:p>
        </w:tc>
        <w:tc>
          <w:tcPr>
            <w:tcW w:w="1105" w:type="dxa"/>
            <w:tcBorders>
              <w:top w:val="nil"/>
              <w:left w:val="nil"/>
              <w:bottom w:val="nil"/>
              <w:right w:val="nil"/>
            </w:tcBorders>
            <w:shd w:val="clear" w:color="auto" w:fill="auto"/>
            <w:vAlign w:val="center"/>
          </w:tcPr>
          <w:p w14:paraId="3E095D6F"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1</w:t>
            </w:r>
          </w:p>
        </w:tc>
        <w:tc>
          <w:tcPr>
            <w:tcW w:w="1379" w:type="dxa"/>
            <w:tcBorders>
              <w:top w:val="nil"/>
              <w:left w:val="nil"/>
              <w:bottom w:val="nil"/>
              <w:right w:val="nil"/>
            </w:tcBorders>
            <w:shd w:val="clear" w:color="auto" w:fill="auto"/>
            <w:vAlign w:val="center"/>
          </w:tcPr>
          <w:p w14:paraId="08524072"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18,23</w:t>
            </w:r>
          </w:p>
        </w:tc>
      </w:tr>
      <w:tr w:rsidR="008E7D9E" w:rsidRPr="00666914" w14:paraId="36E126A7" w14:textId="77777777" w:rsidTr="00376C54">
        <w:trPr>
          <w:trHeight w:val="666"/>
        </w:trPr>
        <w:tc>
          <w:tcPr>
            <w:tcW w:w="2922" w:type="dxa"/>
            <w:tcBorders>
              <w:top w:val="nil"/>
              <w:left w:val="nil"/>
              <w:bottom w:val="nil"/>
              <w:right w:val="nil"/>
            </w:tcBorders>
            <w:shd w:val="clear" w:color="auto" w:fill="auto"/>
            <w:vAlign w:val="center"/>
          </w:tcPr>
          <w:p w14:paraId="647ECDBD" w14:textId="77777777" w:rsidR="008E7D9E" w:rsidRPr="00666914" w:rsidRDefault="008E7D9E">
            <w:pPr>
              <w:spacing w:after="0"/>
              <w:rPr>
                <w:rFonts w:eastAsia="Arial Narrow" w:cs="Arial Narrow"/>
                <w:sz w:val="20"/>
                <w:szCs w:val="20"/>
              </w:rPr>
            </w:pPr>
            <w:r w:rsidRPr="00666914">
              <w:rPr>
                <w:rFonts w:eastAsia="Arial Narrow" w:cs="Arial Narrow"/>
                <w:sz w:val="20"/>
                <w:szCs w:val="20"/>
              </w:rPr>
              <w:t>Moldava nad Bodvou – protipovodňové opatrenia v intraviláne mesta</w:t>
            </w:r>
          </w:p>
        </w:tc>
        <w:tc>
          <w:tcPr>
            <w:tcW w:w="1211" w:type="dxa"/>
            <w:tcBorders>
              <w:top w:val="nil"/>
              <w:left w:val="nil"/>
              <w:bottom w:val="nil"/>
              <w:right w:val="nil"/>
            </w:tcBorders>
            <w:shd w:val="clear" w:color="auto" w:fill="auto"/>
            <w:vAlign w:val="center"/>
          </w:tcPr>
          <w:p w14:paraId="6FA7A8A5"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5,54</w:t>
            </w:r>
          </w:p>
        </w:tc>
        <w:tc>
          <w:tcPr>
            <w:tcW w:w="1272" w:type="dxa"/>
            <w:tcBorders>
              <w:top w:val="nil"/>
              <w:left w:val="nil"/>
              <w:bottom w:val="nil"/>
              <w:right w:val="nil"/>
            </w:tcBorders>
            <w:shd w:val="clear" w:color="auto" w:fill="auto"/>
            <w:vAlign w:val="center"/>
          </w:tcPr>
          <w:p w14:paraId="0DFDABBE"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2 360</w:t>
            </w:r>
          </w:p>
        </w:tc>
        <w:tc>
          <w:tcPr>
            <w:tcW w:w="1316" w:type="dxa"/>
            <w:tcBorders>
              <w:top w:val="nil"/>
              <w:left w:val="nil"/>
              <w:bottom w:val="nil"/>
              <w:right w:val="nil"/>
            </w:tcBorders>
            <w:shd w:val="clear" w:color="auto" w:fill="auto"/>
            <w:vAlign w:val="center"/>
          </w:tcPr>
          <w:p w14:paraId="57B25DC8"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21,3</w:t>
            </w:r>
          </w:p>
        </w:tc>
        <w:tc>
          <w:tcPr>
            <w:tcW w:w="1105" w:type="dxa"/>
            <w:tcBorders>
              <w:top w:val="nil"/>
              <w:left w:val="nil"/>
              <w:bottom w:val="nil"/>
              <w:right w:val="nil"/>
            </w:tcBorders>
            <w:shd w:val="clear" w:color="auto" w:fill="auto"/>
            <w:vAlign w:val="center"/>
          </w:tcPr>
          <w:p w14:paraId="70C49F9D"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1</w:t>
            </w:r>
          </w:p>
        </w:tc>
        <w:tc>
          <w:tcPr>
            <w:tcW w:w="1379" w:type="dxa"/>
            <w:tcBorders>
              <w:top w:val="nil"/>
              <w:left w:val="nil"/>
              <w:bottom w:val="nil"/>
              <w:right w:val="nil"/>
            </w:tcBorders>
            <w:shd w:val="clear" w:color="auto" w:fill="auto"/>
            <w:vAlign w:val="center"/>
          </w:tcPr>
          <w:p w14:paraId="422C41B2"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3,85</w:t>
            </w:r>
          </w:p>
        </w:tc>
      </w:tr>
      <w:tr w:rsidR="008E7D9E" w:rsidRPr="00666914" w14:paraId="15101C21" w14:textId="77777777" w:rsidTr="00376C54">
        <w:trPr>
          <w:trHeight w:val="333"/>
        </w:trPr>
        <w:tc>
          <w:tcPr>
            <w:tcW w:w="2922" w:type="dxa"/>
            <w:tcBorders>
              <w:top w:val="nil"/>
              <w:left w:val="nil"/>
              <w:bottom w:val="nil"/>
              <w:right w:val="nil"/>
            </w:tcBorders>
            <w:shd w:val="clear" w:color="auto" w:fill="auto"/>
            <w:vAlign w:val="center"/>
          </w:tcPr>
          <w:p w14:paraId="7694981A" w14:textId="77777777" w:rsidR="008E7D9E" w:rsidRPr="00666914" w:rsidRDefault="008E7D9E">
            <w:pPr>
              <w:spacing w:after="0"/>
              <w:rPr>
                <w:rFonts w:eastAsia="Arial Narrow" w:cs="Arial Narrow"/>
                <w:sz w:val="20"/>
                <w:szCs w:val="20"/>
              </w:rPr>
            </w:pPr>
            <w:r w:rsidRPr="00666914">
              <w:rPr>
                <w:rFonts w:eastAsia="Arial Narrow" w:cs="Arial Narrow"/>
                <w:sz w:val="20"/>
                <w:szCs w:val="20"/>
              </w:rPr>
              <w:t>Podolínec – protipovodňové opatrenia mesta</w:t>
            </w:r>
          </w:p>
        </w:tc>
        <w:tc>
          <w:tcPr>
            <w:tcW w:w="1211" w:type="dxa"/>
            <w:tcBorders>
              <w:top w:val="nil"/>
              <w:left w:val="nil"/>
              <w:bottom w:val="nil"/>
              <w:right w:val="nil"/>
            </w:tcBorders>
            <w:shd w:val="clear" w:color="auto" w:fill="auto"/>
            <w:vAlign w:val="center"/>
          </w:tcPr>
          <w:p w14:paraId="3D9C0991"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3,76</w:t>
            </w:r>
          </w:p>
        </w:tc>
        <w:tc>
          <w:tcPr>
            <w:tcW w:w="1272" w:type="dxa"/>
            <w:tcBorders>
              <w:top w:val="nil"/>
              <w:left w:val="nil"/>
              <w:bottom w:val="nil"/>
              <w:right w:val="nil"/>
            </w:tcBorders>
            <w:shd w:val="clear" w:color="auto" w:fill="auto"/>
            <w:vAlign w:val="center"/>
          </w:tcPr>
          <w:p w14:paraId="2627DDB6"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136</w:t>
            </w:r>
          </w:p>
        </w:tc>
        <w:tc>
          <w:tcPr>
            <w:tcW w:w="1316" w:type="dxa"/>
            <w:tcBorders>
              <w:top w:val="nil"/>
              <w:left w:val="nil"/>
              <w:bottom w:val="nil"/>
              <w:right w:val="nil"/>
            </w:tcBorders>
            <w:shd w:val="clear" w:color="auto" w:fill="auto"/>
            <w:vAlign w:val="center"/>
          </w:tcPr>
          <w:p w14:paraId="62716762"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64,3</w:t>
            </w:r>
          </w:p>
        </w:tc>
        <w:tc>
          <w:tcPr>
            <w:tcW w:w="1105" w:type="dxa"/>
            <w:tcBorders>
              <w:top w:val="nil"/>
              <w:left w:val="nil"/>
              <w:bottom w:val="nil"/>
              <w:right w:val="nil"/>
            </w:tcBorders>
            <w:shd w:val="clear" w:color="auto" w:fill="auto"/>
            <w:vAlign w:val="center"/>
          </w:tcPr>
          <w:p w14:paraId="3397F365"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1</w:t>
            </w:r>
          </w:p>
        </w:tc>
        <w:tc>
          <w:tcPr>
            <w:tcW w:w="1379" w:type="dxa"/>
            <w:tcBorders>
              <w:top w:val="nil"/>
              <w:left w:val="nil"/>
              <w:bottom w:val="nil"/>
              <w:right w:val="nil"/>
            </w:tcBorders>
            <w:shd w:val="clear" w:color="auto" w:fill="auto"/>
            <w:vAlign w:val="center"/>
          </w:tcPr>
          <w:p w14:paraId="67612688"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17,10</w:t>
            </w:r>
          </w:p>
        </w:tc>
      </w:tr>
      <w:tr w:rsidR="008E7D9E" w:rsidRPr="00666914" w14:paraId="210F58F0" w14:textId="77777777" w:rsidTr="00376C54">
        <w:trPr>
          <w:trHeight w:val="666"/>
        </w:trPr>
        <w:tc>
          <w:tcPr>
            <w:tcW w:w="2922" w:type="dxa"/>
            <w:tcBorders>
              <w:top w:val="nil"/>
              <w:left w:val="nil"/>
              <w:bottom w:val="nil"/>
              <w:right w:val="nil"/>
            </w:tcBorders>
            <w:shd w:val="clear" w:color="auto" w:fill="auto"/>
            <w:vAlign w:val="center"/>
          </w:tcPr>
          <w:p w14:paraId="2613E6F8" w14:textId="77777777" w:rsidR="008E7D9E" w:rsidRPr="00666914" w:rsidRDefault="008E7D9E">
            <w:pPr>
              <w:spacing w:after="0"/>
              <w:rPr>
                <w:rFonts w:eastAsia="Arial Narrow" w:cs="Arial Narrow"/>
                <w:sz w:val="20"/>
                <w:szCs w:val="20"/>
              </w:rPr>
            </w:pPr>
            <w:r w:rsidRPr="00666914">
              <w:rPr>
                <w:rFonts w:eastAsia="Arial Narrow" w:cs="Arial Narrow"/>
                <w:sz w:val="20"/>
                <w:szCs w:val="20"/>
              </w:rPr>
              <w:t>Zvolenská Slatina, ochranné opatrenia na toku Slatina</w:t>
            </w:r>
          </w:p>
        </w:tc>
        <w:tc>
          <w:tcPr>
            <w:tcW w:w="1211" w:type="dxa"/>
            <w:tcBorders>
              <w:top w:val="nil"/>
              <w:left w:val="nil"/>
              <w:bottom w:val="nil"/>
              <w:right w:val="nil"/>
            </w:tcBorders>
            <w:shd w:val="clear" w:color="auto" w:fill="auto"/>
            <w:vAlign w:val="center"/>
          </w:tcPr>
          <w:p w14:paraId="64908EC9"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0,22</w:t>
            </w:r>
          </w:p>
        </w:tc>
        <w:tc>
          <w:tcPr>
            <w:tcW w:w="1272" w:type="dxa"/>
            <w:tcBorders>
              <w:top w:val="nil"/>
              <w:left w:val="nil"/>
              <w:bottom w:val="nil"/>
              <w:right w:val="nil"/>
            </w:tcBorders>
            <w:shd w:val="clear" w:color="auto" w:fill="auto"/>
            <w:vAlign w:val="center"/>
          </w:tcPr>
          <w:p w14:paraId="18C294EE"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51</w:t>
            </w:r>
          </w:p>
        </w:tc>
        <w:tc>
          <w:tcPr>
            <w:tcW w:w="1316" w:type="dxa"/>
            <w:tcBorders>
              <w:top w:val="nil"/>
              <w:left w:val="nil"/>
              <w:bottom w:val="nil"/>
              <w:right w:val="nil"/>
            </w:tcBorders>
            <w:shd w:val="clear" w:color="auto" w:fill="auto"/>
            <w:vAlign w:val="center"/>
          </w:tcPr>
          <w:p w14:paraId="7BD8351D"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2,748</w:t>
            </w:r>
          </w:p>
        </w:tc>
        <w:tc>
          <w:tcPr>
            <w:tcW w:w="1105" w:type="dxa"/>
            <w:tcBorders>
              <w:top w:val="nil"/>
              <w:left w:val="nil"/>
              <w:bottom w:val="nil"/>
              <w:right w:val="nil"/>
            </w:tcBorders>
            <w:shd w:val="clear" w:color="auto" w:fill="auto"/>
            <w:vAlign w:val="center"/>
          </w:tcPr>
          <w:p w14:paraId="307AA4C1"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1</w:t>
            </w:r>
          </w:p>
        </w:tc>
        <w:tc>
          <w:tcPr>
            <w:tcW w:w="1379" w:type="dxa"/>
            <w:tcBorders>
              <w:top w:val="nil"/>
              <w:left w:val="nil"/>
              <w:bottom w:val="nil"/>
              <w:right w:val="nil"/>
            </w:tcBorders>
            <w:shd w:val="clear" w:color="auto" w:fill="auto"/>
            <w:vAlign w:val="center"/>
          </w:tcPr>
          <w:p w14:paraId="6C0F4678"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12,61</w:t>
            </w:r>
          </w:p>
        </w:tc>
      </w:tr>
      <w:tr w:rsidR="008E7D9E" w:rsidRPr="00666914" w14:paraId="613C53C0" w14:textId="77777777" w:rsidTr="00376C54">
        <w:trPr>
          <w:trHeight w:val="333"/>
        </w:trPr>
        <w:tc>
          <w:tcPr>
            <w:tcW w:w="2922" w:type="dxa"/>
            <w:tcBorders>
              <w:top w:val="nil"/>
              <w:left w:val="nil"/>
              <w:bottom w:val="nil"/>
              <w:right w:val="nil"/>
            </w:tcBorders>
            <w:shd w:val="clear" w:color="auto" w:fill="auto"/>
            <w:vAlign w:val="center"/>
          </w:tcPr>
          <w:p w14:paraId="64D3C607" w14:textId="77777777" w:rsidR="008E7D9E" w:rsidRPr="00666914" w:rsidRDefault="008E7D9E">
            <w:pPr>
              <w:spacing w:after="0"/>
              <w:rPr>
                <w:rFonts w:eastAsia="Arial Narrow" w:cs="Arial Narrow"/>
                <w:sz w:val="20"/>
                <w:szCs w:val="20"/>
              </w:rPr>
            </w:pPr>
            <w:r w:rsidRPr="00666914">
              <w:rPr>
                <w:rFonts w:eastAsia="Arial Narrow" w:cs="Arial Narrow"/>
                <w:sz w:val="20"/>
                <w:szCs w:val="20"/>
              </w:rPr>
              <w:lastRenderedPageBreak/>
              <w:t>Polder Čechy</w:t>
            </w:r>
          </w:p>
        </w:tc>
        <w:tc>
          <w:tcPr>
            <w:tcW w:w="1211" w:type="dxa"/>
            <w:tcBorders>
              <w:top w:val="nil"/>
              <w:left w:val="nil"/>
              <w:bottom w:val="nil"/>
              <w:right w:val="nil"/>
            </w:tcBorders>
            <w:shd w:val="clear" w:color="auto" w:fill="auto"/>
            <w:vAlign w:val="center"/>
          </w:tcPr>
          <w:p w14:paraId="2B60E864"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0,93</w:t>
            </w:r>
          </w:p>
        </w:tc>
        <w:tc>
          <w:tcPr>
            <w:tcW w:w="1272" w:type="dxa"/>
            <w:tcBorders>
              <w:top w:val="nil"/>
              <w:left w:val="nil"/>
              <w:bottom w:val="nil"/>
              <w:right w:val="nil"/>
            </w:tcBorders>
            <w:shd w:val="clear" w:color="auto" w:fill="auto"/>
            <w:vAlign w:val="center"/>
          </w:tcPr>
          <w:p w14:paraId="3FC002BE"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20</w:t>
            </w:r>
          </w:p>
        </w:tc>
        <w:tc>
          <w:tcPr>
            <w:tcW w:w="1316" w:type="dxa"/>
            <w:tcBorders>
              <w:top w:val="nil"/>
              <w:left w:val="nil"/>
              <w:bottom w:val="nil"/>
              <w:right w:val="nil"/>
            </w:tcBorders>
            <w:shd w:val="clear" w:color="auto" w:fill="auto"/>
            <w:vAlign w:val="center"/>
          </w:tcPr>
          <w:p w14:paraId="443618A0"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0,874</w:t>
            </w:r>
          </w:p>
        </w:tc>
        <w:tc>
          <w:tcPr>
            <w:tcW w:w="1105" w:type="dxa"/>
            <w:tcBorders>
              <w:top w:val="nil"/>
              <w:left w:val="nil"/>
              <w:bottom w:val="nil"/>
              <w:right w:val="nil"/>
            </w:tcBorders>
            <w:shd w:val="clear" w:color="auto" w:fill="auto"/>
            <w:vAlign w:val="center"/>
          </w:tcPr>
          <w:p w14:paraId="6A5B97A7"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2</w:t>
            </w:r>
          </w:p>
        </w:tc>
        <w:tc>
          <w:tcPr>
            <w:tcW w:w="1379" w:type="dxa"/>
            <w:tcBorders>
              <w:top w:val="nil"/>
              <w:left w:val="nil"/>
              <w:bottom w:val="nil"/>
              <w:right w:val="nil"/>
            </w:tcBorders>
            <w:shd w:val="clear" w:color="auto" w:fill="auto"/>
            <w:vAlign w:val="center"/>
          </w:tcPr>
          <w:p w14:paraId="56D5C03A"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0,94</w:t>
            </w:r>
          </w:p>
        </w:tc>
      </w:tr>
      <w:tr w:rsidR="008E7D9E" w:rsidRPr="00666914" w14:paraId="54584E97" w14:textId="77777777" w:rsidTr="00376C54">
        <w:trPr>
          <w:trHeight w:val="666"/>
        </w:trPr>
        <w:tc>
          <w:tcPr>
            <w:tcW w:w="2922" w:type="dxa"/>
            <w:tcBorders>
              <w:top w:val="nil"/>
              <w:left w:val="nil"/>
              <w:bottom w:val="nil"/>
              <w:right w:val="nil"/>
            </w:tcBorders>
            <w:shd w:val="clear" w:color="auto" w:fill="auto"/>
            <w:vAlign w:val="center"/>
          </w:tcPr>
          <w:p w14:paraId="6265CF0E" w14:textId="77777777" w:rsidR="008E7D9E" w:rsidRPr="00666914" w:rsidRDefault="008E7D9E">
            <w:pPr>
              <w:spacing w:after="0"/>
              <w:rPr>
                <w:rFonts w:eastAsia="Arial Narrow" w:cs="Arial Narrow"/>
                <w:sz w:val="20"/>
                <w:szCs w:val="20"/>
              </w:rPr>
            </w:pPr>
            <w:r w:rsidRPr="00666914">
              <w:rPr>
                <w:rFonts w:eastAsia="Arial Narrow" w:cs="Arial Narrow"/>
                <w:sz w:val="20"/>
                <w:szCs w:val="20"/>
              </w:rPr>
              <w:t>Prenčov - Potok Štiavnica, protipovodňová ochrana</w:t>
            </w:r>
          </w:p>
        </w:tc>
        <w:tc>
          <w:tcPr>
            <w:tcW w:w="1211" w:type="dxa"/>
            <w:tcBorders>
              <w:top w:val="nil"/>
              <w:left w:val="nil"/>
              <w:bottom w:val="nil"/>
              <w:right w:val="nil"/>
            </w:tcBorders>
            <w:shd w:val="clear" w:color="auto" w:fill="auto"/>
            <w:vAlign w:val="center"/>
          </w:tcPr>
          <w:p w14:paraId="76C531E9"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3,02</w:t>
            </w:r>
          </w:p>
        </w:tc>
        <w:tc>
          <w:tcPr>
            <w:tcW w:w="1272" w:type="dxa"/>
            <w:tcBorders>
              <w:top w:val="nil"/>
              <w:left w:val="nil"/>
              <w:bottom w:val="nil"/>
              <w:right w:val="nil"/>
            </w:tcBorders>
            <w:shd w:val="clear" w:color="auto" w:fill="auto"/>
            <w:vAlign w:val="center"/>
          </w:tcPr>
          <w:p w14:paraId="0618B215"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8</w:t>
            </w:r>
          </w:p>
        </w:tc>
        <w:tc>
          <w:tcPr>
            <w:tcW w:w="1316" w:type="dxa"/>
            <w:tcBorders>
              <w:top w:val="nil"/>
              <w:left w:val="nil"/>
              <w:bottom w:val="nil"/>
              <w:right w:val="nil"/>
            </w:tcBorders>
            <w:shd w:val="clear" w:color="auto" w:fill="auto"/>
            <w:vAlign w:val="center"/>
          </w:tcPr>
          <w:p w14:paraId="7C747B9C"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2,2</w:t>
            </w:r>
          </w:p>
        </w:tc>
        <w:tc>
          <w:tcPr>
            <w:tcW w:w="1105" w:type="dxa"/>
            <w:tcBorders>
              <w:top w:val="nil"/>
              <w:left w:val="nil"/>
              <w:bottom w:val="nil"/>
              <w:right w:val="nil"/>
            </w:tcBorders>
            <w:shd w:val="clear" w:color="auto" w:fill="auto"/>
            <w:vAlign w:val="center"/>
          </w:tcPr>
          <w:p w14:paraId="1BB7016A"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3</w:t>
            </w:r>
          </w:p>
        </w:tc>
        <w:tc>
          <w:tcPr>
            <w:tcW w:w="1379" w:type="dxa"/>
            <w:tcBorders>
              <w:top w:val="nil"/>
              <w:left w:val="nil"/>
              <w:bottom w:val="nil"/>
              <w:right w:val="nil"/>
            </w:tcBorders>
            <w:shd w:val="clear" w:color="auto" w:fill="auto"/>
            <w:vAlign w:val="center"/>
          </w:tcPr>
          <w:p w14:paraId="56BE0F28"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0,73</w:t>
            </w:r>
          </w:p>
        </w:tc>
      </w:tr>
      <w:tr w:rsidR="008E7D9E" w:rsidRPr="00666914" w14:paraId="0692B8E5" w14:textId="77777777" w:rsidTr="00376C54">
        <w:trPr>
          <w:trHeight w:val="333"/>
        </w:trPr>
        <w:tc>
          <w:tcPr>
            <w:tcW w:w="2922" w:type="dxa"/>
            <w:tcBorders>
              <w:top w:val="nil"/>
              <w:left w:val="nil"/>
              <w:bottom w:val="nil"/>
              <w:right w:val="nil"/>
            </w:tcBorders>
            <w:shd w:val="clear" w:color="auto" w:fill="auto"/>
            <w:vAlign w:val="center"/>
          </w:tcPr>
          <w:p w14:paraId="5ACBE79F" w14:textId="77777777" w:rsidR="008E7D9E" w:rsidRPr="00666914" w:rsidRDefault="008E7D9E">
            <w:pPr>
              <w:spacing w:after="0"/>
              <w:rPr>
                <w:rFonts w:eastAsia="Arial Narrow" w:cs="Arial Narrow"/>
                <w:sz w:val="20"/>
                <w:szCs w:val="20"/>
              </w:rPr>
            </w:pPr>
            <w:r w:rsidRPr="00666914">
              <w:rPr>
                <w:rFonts w:eastAsia="Arial Narrow" w:cs="Arial Narrow"/>
                <w:sz w:val="20"/>
                <w:szCs w:val="20"/>
              </w:rPr>
              <w:t>Svidník - PPO mesta, Ladomírka</w:t>
            </w:r>
          </w:p>
        </w:tc>
        <w:tc>
          <w:tcPr>
            <w:tcW w:w="1211" w:type="dxa"/>
            <w:tcBorders>
              <w:top w:val="nil"/>
              <w:left w:val="nil"/>
              <w:bottom w:val="nil"/>
              <w:right w:val="nil"/>
            </w:tcBorders>
            <w:shd w:val="clear" w:color="auto" w:fill="auto"/>
            <w:vAlign w:val="center"/>
          </w:tcPr>
          <w:p w14:paraId="5B81A6C3"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2,60</w:t>
            </w:r>
          </w:p>
        </w:tc>
        <w:tc>
          <w:tcPr>
            <w:tcW w:w="1272" w:type="dxa"/>
            <w:tcBorders>
              <w:top w:val="nil"/>
              <w:left w:val="nil"/>
              <w:bottom w:val="nil"/>
              <w:right w:val="nil"/>
            </w:tcBorders>
            <w:shd w:val="clear" w:color="auto" w:fill="auto"/>
            <w:vAlign w:val="center"/>
          </w:tcPr>
          <w:p w14:paraId="17E7652D"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3 507</w:t>
            </w:r>
          </w:p>
        </w:tc>
        <w:tc>
          <w:tcPr>
            <w:tcW w:w="1316" w:type="dxa"/>
            <w:tcBorders>
              <w:top w:val="nil"/>
              <w:left w:val="nil"/>
              <w:bottom w:val="nil"/>
              <w:right w:val="nil"/>
            </w:tcBorders>
            <w:shd w:val="clear" w:color="auto" w:fill="auto"/>
            <w:vAlign w:val="center"/>
          </w:tcPr>
          <w:p w14:paraId="23213D20"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18,8</w:t>
            </w:r>
          </w:p>
        </w:tc>
        <w:tc>
          <w:tcPr>
            <w:tcW w:w="1105" w:type="dxa"/>
            <w:tcBorders>
              <w:top w:val="nil"/>
              <w:left w:val="nil"/>
              <w:bottom w:val="nil"/>
              <w:right w:val="nil"/>
            </w:tcBorders>
            <w:shd w:val="clear" w:color="auto" w:fill="auto"/>
            <w:vAlign w:val="center"/>
          </w:tcPr>
          <w:p w14:paraId="4D32BCEE"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1</w:t>
            </w:r>
          </w:p>
        </w:tc>
        <w:tc>
          <w:tcPr>
            <w:tcW w:w="1379" w:type="dxa"/>
            <w:tcBorders>
              <w:top w:val="nil"/>
              <w:left w:val="nil"/>
              <w:bottom w:val="nil"/>
              <w:right w:val="nil"/>
            </w:tcBorders>
            <w:shd w:val="clear" w:color="auto" w:fill="auto"/>
            <w:vAlign w:val="center"/>
          </w:tcPr>
          <w:p w14:paraId="2E86DB2A"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7,23</w:t>
            </w:r>
          </w:p>
        </w:tc>
      </w:tr>
      <w:tr w:rsidR="008E7D9E" w:rsidRPr="00666914" w14:paraId="7AF7E588" w14:textId="77777777" w:rsidTr="00376C54">
        <w:trPr>
          <w:trHeight w:val="333"/>
        </w:trPr>
        <w:tc>
          <w:tcPr>
            <w:tcW w:w="2922" w:type="dxa"/>
            <w:tcBorders>
              <w:top w:val="nil"/>
              <w:left w:val="nil"/>
              <w:bottom w:val="nil"/>
              <w:right w:val="nil"/>
            </w:tcBorders>
            <w:shd w:val="clear" w:color="auto" w:fill="auto"/>
            <w:vAlign w:val="center"/>
          </w:tcPr>
          <w:p w14:paraId="45CBEC7A" w14:textId="77777777" w:rsidR="008E7D9E" w:rsidRPr="00666914" w:rsidRDefault="008E7D9E">
            <w:pPr>
              <w:spacing w:after="0"/>
              <w:rPr>
                <w:rFonts w:eastAsia="Arial Narrow" w:cs="Arial Narrow"/>
                <w:sz w:val="20"/>
                <w:szCs w:val="20"/>
              </w:rPr>
            </w:pPr>
            <w:r w:rsidRPr="00666914">
              <w:rPr>
                <w:rFonts w:eastAsia="Arial Narrow" w:cs="Arial Narrow"/>
                <w:sz w:val="20"/>
                <w:szCs w:val="20"/>
              </w:rPr>
              <w:t>Plaveč, Poprad PPO</w:t>
            </w:r>
          </w:p>
        </w:tc>
        <w:tc>
          <w:tcPr>
            <w:tcW w:w="1211" w:type="dxa"/>
            <w:tcBorders>
              <w:top w:val="nil"/>
              <w:left w:val="nil"/>
              <w:bottom w:val="nil"/>
              <w:right w:val="nil"/>
            </w:tcBorders>
            <w:shd w:val="clear" w:color="auto" w:fill="auto"/>
            <w:vAlign w:val="center"/>
          </w:tcPr>
          <w:p w14:paraId="3B3BE281"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1,60</w:t>
            </w:r>
          </w:p>
        </w:tc>
        <w:tc>
          <w:tcPr>
            <w:tcW w:w="1272" w:type="dxa"/>
            <w:tcBorders>
              <w:top w:val="nil"/>
              <w:left w:val="nil"/>
              <w:bottom w:val="nil"/>
              <w:right w:val="nil"/>
            </w:tcBorders>
            <w:shd w:val="clear" w:color="auto" w:fill="auto"/>
            <w:vAlign w:val="center"/>
          </w:tcPr>
          <w:p w14:paraId="036D5512"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466</w:t>
            </w:r>
          </w:p>
        </w:tc>
        <w:tc>
          <w:tcPr>
            <w:tcW w:w="1316" w:type="dxa"/>
            <w:tcBorders>
              <w:top w:val="nil"/>
              <w:left w:val="nil"/>
              <w:bottom w:val="nil"/>
              <w:right w:val="nil"/>
            </w:tcBorders>
            <w:shd w:val="clear" w:color="auto" w:fill="auto"/>
            <w:vAlign w:val="center"/>
          </w:tcPr>
          <w:p w14:paraId="14653DBA"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66,2</w:t>
            </w:r>
          </w:p>
        </w:tc>
        <w:tc>
          <w:tcPr>
            <w:tcW w:w="1105" w:type="dxa"/>
            <w:tcBorders>
              <w:top w:val="nil"/>
              <w:left w:val="nil"/>
              <w:bottom w:val="nil"/>
              <w:right w:val="nil"/>
            </w:tcBorders>
            <w:shd w:val="clear" w:color="auto" w:fill="auto"/>
            <w:vAlign w:val="center"/>
          </w:tcPr>
          <w:p w14:paraId="0AFDC62A"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1</w:t>
            </w:r>
          </w:p>
        </w:tc>
        <w:tc>
          <w:tcPr>
            <w:tcW w:w="1379" w:type="dxa"/>
            <w:tcBorders>
              <w:top w:val="nil"/>
              <w:left w:val="nil"/>
              <w:bottom w:val="nil"/>
              <w:right w:val="nil"/>
            </w:tcBorders>
            <w:shd w:val="clear" w:color="auto" w:fill="auto"/>
            <w:vAlign w:val="center"/>
          </w:tcPr>
          <w:p w14:paraId="44A7F892"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41,38</w:t>
            </w:r>
          </w:p>
        </w:tc>
      </w:tr>
      <w:tr w:rsidR="008E7D9E" w:rsidRPr="00666914" w14:paraId="2E7D5DA0" w14:textId="77777777" w:rsidTr="00376C54">
        <w:trPr>
          <w:trHeight w:val="666"/>
        </w:trPr>
        <w:tc>
          <w:tcPr>
            <w:tcW w:w="2922" w:type="dxa"/>
            <w:tcBorders>
              <w:top w:val="nil"/>
              <w:left w:val="nil"/>
              <w:bottom w:val="nil"/>
              <w:right w:val="nil"/>
            </w:tcBorders>
            <w:shd w:val="clear" w:color="auto" w:fill="auto"/>
            <w:vAlign w:val="center"/>
          </w:tcPr>
          <w:p w14:paraId="132D9336" w14:textId="77777777" w:rsidR="008E7D9E" w:rsidRPr="00666914" w:rsidRDefault="008E7D9E">
            <w:pPr>
              <w:spacing w:after="0"/>
              <w:rPr>
                <w:rFonts w:eastAsia="Arial Narrow" w:cs="Arial Narrow"/>
                <w:sz w:val="20"/>
                <w:szCs w:val="20"/>
              </w:rPr>
            </w:pPr>
            <w:r w:rsidRPr="00666914">
              <w:rPr>
                <w:rFonts w:eastAsia="Arial Narrow" w:cs="Arial Narrow"/>
                <w:sz w:val="20"/>
                <w:szCs w:val="20"/>
              </w:rPr>
              <w:t>Zvolen, PMPR - protipovodňové opatrenia na toku Slatina, rkm 0,000 - 4,900</w:t>
            </w:r>
          </w:p>
        </w:tc>
        <w:tc>
          <w:tcPr>
            <w:tcW w:w="1211" w:type="dxa"/>
            <w:tcBorders>
              <w:top w:val="nil"/>
              <w:left w:val="nil"/>
              <w:bottom w:val="nil"/>
              <w:right w:val="nil"/>
            </w:tcBorders>
            <w:shd w:val="clear" w:color="auto" w:fill="auto"/>
            <w:vAlign w:val="center"/>
          </w:tcPr>
          <w:p w14:paraId="56753B62"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6,82</w:t>
            </w:r>
          </w:p>
        </w:tc>
        <w:tc>
          <w:tcPr>
            <w:tcW w:w="1272" w:type="dxa"/>
            <w:tcBorders>
              <w:top w:val="nil"/>
              <w:left w:val="nil"/>
              <w:bottom w:val="nil"/>
              <w:right w:val="nil"/>
            </w:tcBorders>
            <w:shd w:val="clear" w:color="auto" w:fill="auto"/>
            <w:vAlign w:val="center"/>
          </w:tcPr>
          <w:p w14:paraId="6A74045A"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603</w:t>
            </w:r>
          </w:p>
        </w:tc>
        <w:tc>
          <w:tcPr>
            <w:tcW w:w="1316" w:type="dxa"/>
            <w:tcBorders>
              <w:top w:val="nil"/>
              <w:left w:val="nil"/>
              <w:bottom w:val="nil"/>
              <w:right w:val="nil"/>
            </w:tcBorders>
            <w:shd w:val="clear" w:color="auto" w:fill="auto"/>
            <w:vAlign w:val="center"/>
          </w:tcPr>
          <w:p w14:paraId="7FD7E428"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15,8</w:t>
            </w:r>
          </w:p>
        </w:tc>
        <w:tc>
          <w:tcPr>
            <w:tcW w:w="1105" w:type="dxa"/>
            <w:tcBorders>
              <w:top w:val="nil"/>
              <w:left w:val="nil"/>
              <w:bottom w:val="nil"/>
              <w:right w:val="nil"/>
            </w:tcBorders>
            <w:shd w:val="clear" w:color="auto" w:fill="auto"/>
            <w:vAlign w:val="center"/>
          </w:tcPr>
          <w:p w14:paraId="1858CF37"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1</w:t>
            </w:r>
          </w:p>
        </w:tc>
        <w:tc>
          <w:tcPr>
            <w:tcW w:w="1379" w:type="dxa"/>
            <w:tcBorders>
              <w:top w:val="nil"/>
              <w:left w:val="nil"/>
              <w:bottom w:val="nil"/>
              <w:right w:val="nil"/>
            </w:tcBorders>
            <w:shd w:val="clear" w:color="auto" w:fill="auto"/>
            <w:vAlign w:val="center"/>
          </w:tcPr>
          <w:p w14:paraId="22122E0D"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2,32</w:t>
            </w:r>
          </w:p>
        </w:tc>
      </w:tr>
      <w:tr w:rsidR="008E7D9E" w:rsidRPr="00666914" w14:paraId="30565021" w14:textId="77777777" w:rsidTr="00376C54">
        <w:trPr>
          <w:trHeight w:val="666"/>
        </w:trPr>
        <w:tc>
          <w:tcPr>
            <w:tcW w:w="2922" w:type="dxa"/>
            <w:tcBorders>
              <w:top w:val="nil"/>
              <w:left w:val="nil"/>
              <w:bottom w:val="nil"/>
              <w:right w:val="nil"/>
            </w:tcBorders>
            <w:shd w:val="clear" w:color="auto" w:fill="auto"/>
            <w:vAlign w:val="center"/>
          </w:tcPr>
          <w:p w14:paraId="1A7D7FBF" w14:textId="77777777" w:rsidR="008E7D9E" w:rsidRPr="00666914" w:rsidRDefault="008E7D9E">
            <w:pPr>
              <w:spacing w:after="0"/>
              <w:rPr>
                <w:rFonts w:eastAsia="Arial Narrow" w:cs="Arial Narrow"/>
                <w:sz w:val="20"/>
                <w:szCs w:val="20"/>
              </w:rPr>
            </w:pPr>
            <w:r w:rsidRPr="00666914">
              <w:rPr>
                <w:rFonts w:eastAsia="Arial Narrow" w:cs="Arial Narrow"/>
                <w:sz w:val="20"/>
                <w:szCs w:val="20"/>
              </w:rPr>
              <w:t>Zvolen, protipovodňové opatrenia na toku Hron, rkm 153,00 - 159,00</w:t>
            </w:r>
          </w:p>
        </w:tc>
        <w:tc>
          <w:tcPr>
            <w:tcW w:w="1211" w:type="dxa"/>
            <w:tcBorders>
              <w:top w:val="nil"/>
              <w:left w:val="nil"/>
              <w:bottom w:val="nil"/>
              <w:right w:val="nil"/>
            </w:tcBorders>
            <w:shd w:val="clear" w:color="auto" w:fill="auto"/>
            <w:vAlign w:val="center"/>
          </w:tcPr>
          <w:p w14:paraId="5B9A73D7"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2,40</w:t>
            </w:r>
          </w:p>
        </w:tc>
        <w:tc>
          <w:tcPr>
            <w:tcW w:w="1272" w:type="dxa"/>
            <w:tcBorders>
              <w:top w:val="nil"/>
              <w:left w:val="nil"/>
              <w:bottom w:val="nil"/>
              <w:right w:val="nil"/>
            </w:tcBorders>
            <w:shd w:val="clear" w:color="auto" w:fill="auto"/>
            <w:vAlign w:val="center"/>
          </w:tcPr>
          <w:p w14:paraId="4F5AD473"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453</w:t>
            </w:r>
          </w:p>
        </w:tc>
        <w:tc>
          <w:tcPr>
            <w:tcW w:w="1316" w:type="dxa"/>
            <w:tcBorders>
              <w:top w:val="nil"/>
              <w:left w:val="nil"/>
              <w:bottom w:val="nil"/>
              <w:right w:val="nil"/>
            </w:tcBorders>
            <w:shd w:val="clear" w:color="auto" w:fill="auto"/>
            <w:vAlign w:val="center"/>
          </w:tcPr>
          <w:p w14:paraId="6A951558"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34,2</w:t>
            </w:r>
          </w:p>
        </w:tc>
        <w:tc>
          <w:tcPr>
            <w:tcW w:w="1105" w:type="dxa"/>
            <w:tcBorders>
              <w:top w:val="nil"/>
              <w:left w:val="nil"/>
              <w:bottom w:val="nil"/>
              <w:right w:val="nil"/>
            </w:tcBorders>
            <w:shd w:val="clear" w:color="auto" w:fill="auto"/>
            <w:vAlign w:val="center"/>
          </w:tcPr>
          <w:p w14:paraId="7460BB70"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1</w:t>
            </w:r>
          </w:p>
        </w:tc>
        <w:tc>
          <w:tcPr>
            <w:tcW w:w="1379" w:type="dxa"/>
            <w:tcBorders>
              <w:top w:val="nil"/>
              <w:left w:val="nil"/>
              <w:bottom w:val="nil"/>
              <w:right w:val="nil"/>
            </w:tcBorders>
            <w:shd w:val="clear" w:color="auto" w:fill="auto"/>
            <w:vAlign w:val="center"/>
          </w:tcPr>
          <w:p w14:paraId="3E03BC29"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14,25</w:t>
            </w:r>
          </w:p>
        </w:tc>
      </w:tr>
      <w:tr w:rsidR="008E7D9E" w:rsidRPr="00666914" w14:paraId="126A2854" w14:textId="77777777" w:rsidTr="00376C54">
        <w:trPr>
          <w:trHeight w:val="333"/>
        </w:trPr>
        <w:tc>
          <w:tcPr>
            <w:tcW w:w="2922" w:type="dxa"/>
            <w:tcBorders>
              <w:top w:val="nil"/>
              <w:left w:val="nil"/>
              <w:bottom w:val="single" w:sz="4" w:space="0" w:color="000000"/>
              <w:right w:val="nil"/>
            </w:tcBorders>
            <w:shd w:val="clear" w:color="auto" w:fill="auto"/>
            <w:vAlign w:val="center"/>
          </w:tcPr>
          <w:p w14:paraId="7A4CD6A7" w14:textId="77777777" w:rsidR="008E7D9E" w:rsidRPr="00666914" w:rsidRDefault="008E7D9E">
            <w:pPr>
              <w:spacing w:after="0"/>
              <w:rPr>
                <w:rFonts w:eastAsia="Arial Narrow" w:cs="Arial Narrow"/>
                <w:sz w:val="20"/>
                <w:szCs w:val="20"/>
              </w:rPr>
            </w:pPr>
            <w:r w:rsidRPr="00666914">
              <w:rPr>
                <w:rFonts w:eastAsia="Arial Narrow" w:cs="Arial Narrow"/>
                <w:sz w:val="20"/>
                <w:szCs w:val="20"/>
              </w:rPr>
              <w:t>Varín - úprava toku Varínka</w:t>
            </w:r>
          </w:p>
        </w:tc>
        <w:tc>
          <w:tcPr>
            <w:tcW w:w="1211" w:type="dxa"/>
            <w:tcBorders>
              <w:top w:val="nil"/>
              <w:left w:val="nil"/>
              <w:bottom w:val="single" w:sz="4" w:space="0" w:color="000000"/>
              <w:right w:val="nil"/>
            </w:tcBorders>
            <w:shd w:val="clear" w:color="auto" w:fill="auto"/>
            <w:vAlign w:val="center"/>
          </w:tcPr>
          <w:p w14:paraId="70D3CE9C"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2,64</w:t>
            </w:r>
          </w:p>
        </w:tc>
        <w:tc>
          <w:tcPr>
            <w:tcW w:w="1272" w:type="dxa"/>
            <w:tcBorders>
              <w:top w:val="nil"/>
              <w:left w:val="nil"/>
              <w:bottom w:val="single" w:sz="4" w:space="0" w:color="000000"/>
              <w:right w:val="nil"/>
            </w:tcBorders>
            <w:shd w:val="clear" w:color="auto" w:fill="auto"/>
            <w:vAlign w:val="center"/>
          </w:tcPr>
          <w:p w14:paraId="08AA1FF3"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405</w:t>
            </w:r>
          </w:p>
        </w:tc>
        <w:tc>
          <w:tcPr>
            <w:tcW w:w="1316" w:type="dxa"/>
            <w:tcBorders>
              <w:top w:val="nil"/>
              <w:left w:val="nil"/>
              <w:bottom w:val="single" w:sz="4" w:space="0" w:color="000000"/>
              <w:right w:val="nil"/>
            </w:tcBorders>
            <w:shd w:val="clear" w:color="auto" w:fill="auto"/>
            <w:vAlign w:val="center"/>
          </w:tcPr>
          <w:p w14:paraId="019868B3"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21,7</w:t>
            </w:r>
          </w:p>
        </w:tc>
        <w:tc>
          <w:tcPr>
            <w:tcW w:w="1105" w:type="dxa"/>
            <w:tcBorders>
              <w:top w:val="nil"/>
              <w:left w:val="nil"/>
              <w:bottom w:val="single" w:sz="4" w:space="0" w:color="000000"/>
              <w:right w:val="nil"/>
            </w:tcBorders>
            <w:shd w:val="clear" w:color="auto" w:fill="auto"/>
            <w:vAlign w:val="center"/>
          </w:tcPr>
          <w:p w14:paraId="4EF55013"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1</w:t>
            </w:r>
          </w:p>
        </w:tc>
        <w:tc>
          <w:tcPr>
            <w:tcW w:w="1379" w:type="dxa"/>
            <w:tcBorders>
              <w:top w:val="nil"/>
              <w:left w:val="nil"/>
              <w:bottom w:val="single" w:sz="4" w:space="0" w:color="000000"/>
              <w:right w:val="nil"/>
            </w:tcBorders>
            <w:shd w:val="clear" w:color="auto" w:fill="auto"/>
            <w:vAlign w:val="center"/>
          </w:tcPr>
          <w:p w14:paraId="340DD9D2" w14:textId="77777777" w:rsidR="008E7D9E" w:rsidRPr="00666914" w:rsidRDefault="008E7D9E">
            <w:pPr>
              <w:spacing w:after="0"/>
              <w:jc w:val="center"/>
              <w:rPr>
                <w:rFonts w:eastAsia="Arial Narrow" w:cs="Arial Narrow"/>
                <w:sz w:val="20"/>
                <w:szCs w:val="20"/>
              </w:rPr>
            </w:pPr>
            <w:r w:rsidRPr="00666914">
              <w:rPr>
                <w:rFonts w:eastAsia="Arial Narrow" w:cs="Arial Narrow"/>
                <w:sz w:val="20"/>
                <w:szCs w:val="20"/>
              </w:rPr>
              <w:t>8,22</w:t>
            </w:r>
          </w:p>
        </w:tc>
      </w:tr>
      <w:tr w:rsidR="008E7D9E" w:rsidRPr="00666914" w14:paraId="293360E2" w14:textId="77777777" w:rsidTr="00376C54">
        <w:trPr>
          <w:trHeight w:val="333"/>
        </w:trPr>
        <w:tc>
          <w:tcPr>
            <w:tcW w:w="2922" w:type="dxa"/>
            <w:tcBorders>
              <w:top w:val="nil"/>
              <w:left w:val="nil"/>
              <w:bottom w:val="nil"/>
              <w:right w:val="nil"/>
            </w:tcBorders>
            <w:shd w:val="clear" w:color="auto" w:fill="auto"/>
            <w:vAlign w:val="center"/>
          </w:tcPr>
          <w:p w14:paraId="0D99EC98" w14:textId="77777777" w:rsidR="008E7D9E" w:rsidRPr="00666914" w:rsidRDefault="008E7D9E">
            <w:pPr>
              <w:spacing w:after="0"/>
              <w:rPr>
                <w:rFonts w:eastAsia="Arial Narrow" w:cs="Arial Narrow"/>
                <w:b/>
                <w:color w:val="000000"/>
                <w:sz w:val="20"/>
                <w:szCs w:val="20"/>
              </w:rPr>
            </w:pPr>
            <w:r w:rsidRPr="00666914">
              <w:rPr>
                <w:rFonts w:eastAsia="Arial Narrow" w:cs="Arial Narrow"/>
                <w:b/>
                <w:color w:val="000000"/>
                <w:sz w:val="20"/>
                <w:szCs w:val="20"/>
              </w:rPr>
              <w:t>Spolu</w:t>
            </w:r>
          </w:p>
        </w:tc>
        <w:tc>
          <w:tcPr>
            <w:tcW w:w="1211" w:type="dxa"/>
            <w:tcBorders>
              <w:top w:val="nil"/>
              <w:left w:val="nil"/>
              <w:bottom w:val="nil"/>
              <w:right w:val="nil"/>
            </w:tcBorders>
            <w:shd w:val="clear" w:color="auto" w:fill="auto"/>
            <w:vAlign w:val="center"/>
          </w:tcPr>
          <w:p w14:paraId="65164108"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30,94</w:t>
            </w:r>
          </w:p>
        </w:tc>
        <w:tc>
          <w:tcPr>
            <w:tcW w:w="1272" w:type="dxa"/>
            <w:tcBorders>
              <w:top w:val="nil"/>
              <w:left w:val="nil"/>
              <w:bottom w:val="nil"/>
              <w:right w:val="nil"/>
            </w:tcBorders>
            <w:shd w:val="clear" w:color="auto" w:fill="auto"/>
            <w:vAlign w:val="center"/>
          </w:tcPr>
          <w:p w14:paraId="21C9CA7E"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8 385</w:t>
            </w:r>
          </w:p>
        </w:tc>
        <w:tc>
          <w:tcPr>
            <w:tcW w:w="1316" w:type="dxa"/>
            <w:tcBorders>
              <w:top w:val="nil"/>
              <w:left w:val="nil"/>
              <w:bottom w:val="nil"/>
              <w:right w:val="nil"/>
            </w:tcBorders>
            <w:shd w:val="clear" w:color="auto" w:fill="auto"/>
            <w:vAlign w:val="center"/>
          </w:tcPr>
          <w:p w14:paraId="5569FD8B"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274</w:t>
            </w:r>
          </w:p>
        </w:tc>
        <w:tc>
          <w:tcPr>
            <w:tcW w:w="1105" w:type="dxa"/>
            <w:tcBorders>
              <w:top w:val="nil"/>
              <w:left w:val="nil"/>
              <w:bottom w:val="nil"/>
              <w:right w:val="nil"/>
            </w:tcBorders>
            <w:shd w:val="clear" w:color="auto" w:fill="auto"/>
            <w:vAlign w:val="center"/>
          </w:tcPr>
          <w:p w14:paraId="5E30990F" w14:textId="77777777" w:rsidR="008E7D9E" w:rsidRPr="00666914" w:rsidRDefault="008E7D9E">
            <w:pPr>
              <w:spacing w:after="0"/>
              <w:jc w:val="center"/>
              <w:rPr>
                <w:rFonts w:eastAsia="Arial Narrow" w:cs="Arial Narrow"/>
                <w:b/>
                <w:color w:val="000000"/>
                <w:sz w:val="20"/>
                <w:szCs w:val="20"/>
              </w:rPr>
            </w:pPr>
          </w:p>
        </w:tc>
        <w:tc>
          <w:tcPr>
            <w:tcW w:w="1379" w:type="dxa"/>
            <w:tcBorders>
              <w:top w:val="nil"/>
              <w:left w:val="nil"/>
              <w:bottom w:val="nil"/>
              <w:right w:val="nil"/>
            </w:tcBorders>
            <w:shd w:val="clear" w:color="auto" w:fill="auto"/>
            <w:vAlign w:val="center"/>
          </w:tcPr>
          <w:p w14:paraId="096CACF1" w14:textId="77777777" w:rsidR="008E7D9E" w:rsidRPr="00666914" w:rsidRDefault="008E7D9E">
            <w:pPr>
              <w:spacing w:after="0"/>
              <w:jc w:val="center"/>
              <w:rPr>
                <w:rFonts w:eastAsia="Arial Narrow" w:cs="Arial Narrow"/>
                <w:b/>
                <w:sz w:val="20"/>
                <w:szCs w:val="20"/>
              </w:rPr>
            </w:pPr>
            <w:r w:rsidRPr="00666914">
              <w:rPr>
                <w:rFonts w:eastAsia="Arial Narrow" w:cs="Arial Narrow"/>
                <w:b/>
                <w:sz w:val="20"/>
                <w:szCs w:val="20"/>
              </w:rPr>
              <w:t>8,85</w:t>
            </w:r>
          </w:p>
        </w:tc>
      </w:tr>
    </w:tbl>
    <w:p w14:paraId="331894F2" w14:textId="77777777" w:rsidR="008E7D9E" w:rsidRPr="00666914" w:rsidRDefault="008E7D9E" w:rsidP="00376C54">
      <w:pPr>
        <w:pBdr>
          <w:top w:val="single" w:sz="4" w:space="6" w:color="auto"/>
        </w:pBdr>
        <w:spacing w:after="0"/>
        <w:jc w:val="right"/>
        <w:rPr>
          <w:rFonts w:eastAsia="Arial Narrow" w:cs="Arial Narrow"/>
          <w:i/>
          <w:sz w:val="18"/>
          <w:szCs w:val="18"/>
        </w:rPr>
      </w:pPr>
      <w:r w:rsidRPr="00666914">
        <w:rPr>
          <w:rFonts w:eastAsia="Arial Narrow" w:cs="Arial Narrow"/>
          <w:i/>
          <w:sz w:val="18"/>
          <w:szCs w:val="18"/>
        </w:rPr>
        <w:t>Zdroj: SVP, š.p.</w:t>
      </w:r>
    </w:p>
    <w:p w14:paraId="5116CF65" w14:textId="77777777" w:rsidR="008E7D9E" w:rsidRPr="00666914" w:rsidRDefault="008E7D9E">
      <w:pPr>
        <w:spacing w:after="0"/>
        <w:rPr>
          <w:rFonts w:eastAsia="Arial Narrow" w:cs="Arial Narrow"/>
          <w:b/>
        </w:rPr>
      </w:pPr>
    </w:p>
    <w:p w14:paraId="731F3A78" w14:textId="3E9BEF61" w:rsidR="008E7D9E" w:rsidRPr="00666914" w:rsidRDefault="008E7D9E">
      <w:pPr>
        <w:spacing w:after="0"/>
        <w:rPr>
          <w:rFonts w:eastAsia="Arial Narrow" w:cs="Arial Narrow"/>
        </w:rPr>
      </w:pPr>
      <w:r w:rsidRPr="00666914">
        <w:rPr>
          <w:rFonts w:eastAsia="Arial Narrow" w:cs="Arial Narrow"/>
          <w:b/>
        </w:rPr>
        <w:t>Naďalej sa však medzi projektami s najvyššou prioritou realizácie v roku 2020 nachádzajú aj projekty s veľmi nízkym pomerom zabránených škôd ku celkovým nákladom, čo neprináša najvyššiu hodnotu za peniaze v protipovodňovej ochrane.</w:t>
      </w:r>
      <w:r w:rsidRPr="00666914">
        <w:rPr>
          <w:rFonts w:eastAsia="Arial Narrow" w:cs="Arial Narrow"/>
        </w:rPr>
        <w:t xml:space="preserve"> Od schválenia revízie výdavkov IJ pravidelne upozorňuje SVP, š.p. na potrebu prípravy jednotlivých stavieb v rámci protipovodňových opatrení v súlade so schvál</w:t>
      </w:r>
      <w:sdt>
        <w:sdtPr>
          <w:tag w:val="goog_rdk_49"/>
          <w:id w:val="-1273852778"/>
        </w:sdtPr>
        <w:sdtEndPr/>
        <w:sdtContent/>
      </w:sdt>
      <w:sdt>
        <w:sdtPr>
          <w:tag w:val="goog_rdk_50"/>
          <w:id w:val="-1534267563"/>
        </w:sdtPr>
        <w:sdtEndPr/>
        <w:sdtContent/>
      </w:sdt>
      <w:r w:rsidRPr="00666914">
        <w:rPr>
          <w:rFonts w:eastAsia="Arial Narrow" w:cs="Arial Narrow"/>
        </w:rPr>
        <w:t>enou prioritizáciou v PMPR, čiže nepripravovať stavb</w:t>
      </w:r>
      <w:r w:rsidR="000644F2" w:rsidRPr="00666914">
        <w:rPr>
          <w:rFonts w:eastAsia="Arial Narrow" w:cs="Arial Narrow"/>
        </w:rPr>
        <w:t>y v 2. a 3. prioritnej skupine.</w:t>
      </w:r>
    </w:p>
    <w:p w14:paraId="1012F333" w14:textId="77777777" w:rsidR="008E7D9E" w:rsidRPr="00666914" w:rsidRDefault="008E7D9E">
      <w:pPr>
        <w:spacing w:after="0"/>
        <w:rPr>
          <w:rFonts w:eastAsia="Arial Narrow" w:cs="Arial Narrow"/>
        </w:rPr>
      </w:pPr>
    </w:p>
    <w:p w14:paraId="618926DC" w14:textId="0AA7E3EE" w:rsidR="008E7D9E" w:rsidRPr="00666914" w:rsidRDefault="008E7D9E" w:rsidP="00D937F7">
      <w:pPr>
        <w:rPr>
          <w:rFonts w:eastAsia="Arial Narrow" w:cs="Arial Narrow"/>
        </w:rPr>
      </w:pPr>
      <w:r w:rsidRPr="00666914">
        <w:rPr>
          <w:rFonts w:eastAsia="Arial Narrow" w:cs="Arial Narrow"/>
        </w:rPr>
        <w:t>K optimalizácii došlo aj pri stavbách, ktoré plánuje SVP, š.p. financovať z vlastného rozpočtu – v roku 2020 plánuje SVP realizovať zo štátneho rozpočtu financované stavby v celkovej sume 5,5 mil. eur a z vlastných zdrojov vo výške 538 tis. eur. V porovnaní s plánom na rok 2019 ide o zníženie financovania investíci</w:t>
      </w:r>
      <w:r w:rsidR="000644F2" w:rsidRPr="00666914">
        <w:rPr>
          <w:rFonts w:eastAsia="Arial Narrow" w:cs="Arial Narrow"/>
        </w:rPr>
        <w:t>í mimo eurofondov až o tretinu.</w:t>
      </w:r>
    </w:p>
    <w:p w14:paraId="78E4FE40" w14:textId="596D3055" w:rsidR="008E7D9E" w:rsidRPr="00666914" w:rsidRDefault="008E7D9E" w:rsidP="00D937F7">
      <w:pPr>
        <w:rPr>
          <w:rFonts w:eastAsia="Arial Narrow" w:cs="Arial Narrow"/>
        </w:rPr>
      </w:pPr>
      <w:r w:rsidRPr="00666914">
        <w:rPr>
          <w:rFonts w:eastAsia="Arial Narrow" w:cs="Arial Narrow"/>
          <w:b/>
        </w:rPr>
        <w:t>Opatrenie sa k 31.12.2019 plní čiastočne.</w:t>
      </w:r>
    </w:p>
    <w:p w14:paraId="03FAC315" w14:textId="77777777" w:rsidR="008E7D9E" w:rsidRPr="00666914" w:rsidRDefault="008E7D9E" w:rsidP="00131B23">
      <w:pPr>
        <w:numPr>
          <w:ilvl w:val="0"/>
          <w:numId w:val="25"/>
        </w:numPr>
        <w:spacing w:after="0"/>
        <w:rPr>
          <w:rFonts w:eastAsia="Arial Narrow" w:cs="Arial Narrow"/>
          <w:b/>
          <w:u w:val="single"/>
        </w:rPr>
      </w:pPr>
      <w:r w:rsidRPr="00666914">
        <w:rPr>
          <w:rFonts w:eastAsia="Arial Narrow" w:cs="Arial Narrow"/>
          <w:b/>
          <w:u w:val="single"/>
        </w:rPr>
        <w:t>Zabezpečiť kontrolu správneho nakladania s odpadom a udeľovať pokuty</w:t>
      </w:r>
    </w:p>
    <w:p w14:paraId="461AAA69" w14:textId="77777777" w:rsidR="008E7D9E" w:rsidRPr="00666914" w:rsidRDefault="008E7D9E">
      <w:pPr>
        <w:spacing w:after="0"/>
        <w:rPr>
          <w:rFonts w:eastAsia="Arial Narrow" w:cs="Arial Narrow"/>
          <w:b/>
          <w:u w:val="single"/>
        </w:rPr>
      </w:pPr>
    </w:p>
    <w:p w14:paraId="08085750" w14:textId="4CA7B69B" w:rsidR="00376C54" w:rsidRPr="00666914" w:rsidRDefault="008E7D9E">
      <w:pPr>
        <w:rPr>
          <w:rFonts w:eastAsia="Arial Narrow" w:cs="Arial Narrow"/>
          <w:b/>
        </w:rPr>
      </w:pPr>
      <w:r w:rsidRPr="00666914">
        <w:rPr>
          <w:rFonts w:eastAsia="Arial Narrow" w:cs="Arial Narrow"/>
          <w:b/>
        </w:rPr>
        <w:t xml:space="preserve">V roku 2018 dosiahla pripojenosť obyvateľov SR na verejnú kanalizáciu 68,4 %, oproti roku 2017 sa zvýšila o necelé 1 p.b. </w:t>
      </w:r>
      <w:r w:rsidRPr="00666914">
        <w:rPr>
          <w:rFonts w:eastAsia="Arial Narrow" w:cs="Arial Narrow"/>
        </w:rPr>
        <w:t xml:space="preserve">Prekážkou výraznejšieho zvýšenia pripojenosti je neochota niektorých obyvateľov pripojiť sa k vybudovanej kanalizácii najmä z ekonomických dôvodov, </w:t>
      </w:r>
      <w:sdt>
        <w:sdtPr>
          <w:tag w:val="goog_rdk_51"/>
          <w:id w:val="669456307"/>
        </w:sdtPr>
        <w:sdtEndPr/>
        <w:sdtContent/>
      </w:sdt>
      <w:sdt>
        <w:sdtPr>
          <w:tag w:val="goog_rdk_52"/>
          <w:id w:val="1933470808"/>
        </w:sdtPr>
        <w:sdtEndPr/>
        <w:sdtContent/>
      </w:sdt>
      <w:r w:rsidRPr="00666914">
        <w:rPr>
          <w:rFonts w:eastAsia="Arial Narrow" w:cs="Arial Narrow"/>
        </w:rPr>
        <w:t>keďže proj</w:t>
      </w:r>
      <w:sdt>
        <w:sdtPr>
          <w:tag w:val="goog_rdk_53"/>
          <w:id w:val="1252082718"/>
        </w:sdtPr>
        <w:sdtEndPr/>
        <w:sdtContent/>
      </w:sdt>
      <w:sdt>
        <w:sdtPr>
          <w:tag w:val="goog_rdk_54"/>
          <w:id w:val="-1997714065"/>
        </w:sdtPr>
        <w:sdtEndPr/>
        <w:sdtContent/>
      </w:sdt>
      <w:r w:rsidRPr="00666914">
        <w:rPr>
          <w:rFonts w:eastAsia="Arial Narrow" w:cs="Arial Narrow"/>
        </w:rPr>
        <w:t>ektovú dokumentáciu ako aj realizáciu projektu prípojky si zabezpečujú a financujú sami</w:t>
      </w:r>
      <w:r w:rsidRPr="00666914">
        <w:rPr>
          <w:rFonts w:eastAsia="Arial Narrow" w:cs="Arial Narrow"/>
          <w:b/>
        </w:rPr>
        <w:t>.</w:t>
      </w:r>
      <w:r w:rsidRPr="00666914">
        <w:rPr>
          <w:rFonts w:eastAsia="Arial Narrow" w:cs="Arial Narrow"/>
        </w:rPr>
        <w:t xml:space="preserve"> Novela zákona č. 442/2002 o verejných vodovodoch a verejných kanalizáciách</w:t>
      </w:r>
      <w:r w:rsidRPr="00666914">
        <w:rPr>
          <w:rFonts w:eastAsia="Arial Narrow" w:cs="Arial Narrow"/>
          <w:vertAlign w:val="superscript"/>
        </w:rPr>
        <w:footnoteReference w:id="280"/>
      </w:r>
      <w:r w:rsidRPr="00666914">
        <w:rPr>
          <w:rFonts w:eastAsia="Arial Narrow" w:cs="Arial Narrow"/>
        </w:rPr>
        <w:t>, účinná od 03/2018, upravila povinnosť pripojiť sa k verejnej kanalizácii vlastníkovi pozemku alebo stavby, ak nemá povolenie na iný spôsob nakladania s odpadovými vodami, v termíne do 12/2021. V 06/2018 predložilo MŽP SR</w:t>
      </w:r>
      <w:r w:rsidRPr="00666914">
        <w:rPr>
          <w:rFonts w:eastAsia="Arial Narrow" w:cs="Arial Narrow"/>
          <w:sz w:val="44"/>
          <w:szCs w:val="44"/>
        </w:rPr>
        <w:t xml:space="preserve"> </w:t>
      </w:r>
      <w:r w:rsidRPr="00666914">
        <w:rPr>
          <w:rFonts w:eastAsia="Arial Narrow" w:cs="Arial Narrow"/>
        </w:rPr>
        <w:t>do MPK</w:t>
      </w:r>
      <w:r w:rsidRPr="00666914">
        <w:rPr>
          <w:rFonts w:eastAsia="Arial Narrow" w:cs="Arial Narrow"/>
          <w:vertAlign w:val="superscript"/>
        </w:rPr>
        <w:footnoteReference w:id="281"/>
      </w:r>
      <w:r w:rsidRPr="00666914">
        <w:rPr>
          <w:rFonts w:eastAsia="Arial Narrow" w:cs="Arial Narrow"/>
        </w:rPr>
        <w:t xml:space="preserve"> ďalšiu novelu </w:t>
      </w:r>
      <w:sdt>
        <w:sdtPr>
          <w:tag w:val="goog_rdk_55"/>
          <w:id w:val="561145048"/>
        </w:sdtPr>
        <w:sdtEndPr/>
        <w:sdtContent/>
      </w:sdt>
      <w:r w:rsidRPr="00666914">
        <w:rPr>
          <w:rFonts w:eastAsia="Arial Narrow" w:cs="Arial Narrow"/>
        </w:rPr>
        <w:t>tohto zákona, ktorou sa má upraviť minimálna výška sankcie</w:t>
      </w:r>
      <w:r w:rsidRPr="00666914">
        <w:rPr>
          <w:rFonts w:eastAsia="Arial Narrow" w:cs="Arial Narrow"/>
          <w:vertAlign w:val="superscript"/>
        </w:rPr>
        <w:footnoteReference w:id="282"/>
      </w:r>
      <w:r w:rsidRPr="00666914">
        <w:rPr>
          <w:rFonts w:eastAsia="Arial Narrow" w:cs="Arial Narrow"/>
        </w:rPr>
        <w:t xml:space="preserve">. </w:t>
      </w:r>
      <w:r w:rsidRPr="00666914">
        <w:rPr>
          <w:rFonts w:eastAsia="Arial Narrow" w:cs="Arial Narrow"/>
          <w:b/>
        </w:rPr>
        <w:t xml:space="preserve">Vplyvom záujmových skupín (ZMOS + AVS) a neochoty sankcionovať pri riešení povinnosti vlastníkov verejných vodovodov a verejných kanalizácií, sa finalizácia návrhu novely zákona výrazne posúva. MŽP </w:t>
      </w:r>
      <w:sdt>
        <w:sdtPr>
          <w:tag w:val="goog_rdk_56"/>
          <w:id w:val="1977015430"/>
        </w:sdtPr>
        <w:sdtEndPr/>
        <w:sdtContent/>
      </w:sdt>
      <w:sdt>
        <w:sdtPr>
          <w:tag w:val="goog_rdk_57"/>
          <w:id w:val="1830945515"/>
        </w:sdtPr>
        <w:sdtEndPr/>
        <w:sdtContent/>
      </w:sdt>
      <w:r w:rsidRPr="00666914">
        <w:rPr>
          <w:rFonts w:eastAsia="Arial Narrow" w:cs="Arial Narrow"/>
          <w:b/>
        </w:rPr>
        <w:t xml:space="preserve">SR predpokladá predloženie návrhu na schválenie vládou </w:t>
      </w:r>
      <w:r w:rsidR="000644F2" w:rsidRPr="00666914">
        <w:rPr>
          <w:rFonts w:eastAsia="Arial Narrow" w:cs="Arial Narrow"/>
          <w:b/>
        </w:rPr>
        <w:t>SR v 12/2020.</w:t>
      </w:r>
    </w:p>
    <w:p w14:paraId="1E5F9D90" w14:textId="77777777" w:rsidR="00376C54" w:rsidRPr="00666914" w:rsidRDefault="00376C54">
      <w:pPr>
        <w:spacing w:after="0"/>
        <w:jc w:val="left"/>
        <w:rPr>
          <w:rFonts w:eastAsia="Arial Narrow" w:cs="Arial Narrow"/>
          <w:b/>
        </w:rPr>
      </w:pPr>
      <w:r w:rsidRPr="00666914">
        <w:rPr>
          <w:rFonts w:eastAsia="Arial Narrow" w:cs="Arial Narrow"/>
          <w:b/>
        </w:rPr>
        <w:br w:type="page"/>
      </w:r>
    </w:p>
    <w:p w14:paraId="430A5162" w14:textId="62AFCED3" w:rsidR="008E7D9E" w:rsidRPr="00666914" w:rsidRDefault="008E7D9E">
      <w:pPr>
        <w:pBdr>
          <w:bottom w:val="single" w:sz="4" w:space="1" w:color="000000"/>
        </w:pBdr>
        <w:spacing w:after="0"/>
        <w:rPr>
          <w:rFonts w:eastAsia="Arial Narrow" w:cs="Arial Narrow"/>
          <w:b/>
          <w:sz w:val="20"/>
          <w:szCs w:val="20"/>
        </w:rPr>
      </w:pPr>
      <w:bookmarkStart w:id="333" w:name="_Toc38390061"/>
      <w:r w:rsidRPr="00666914">
        <w:rPr>
          <w:rFonts w:eastAsia="Arial Narrow" w:cs="Arial Narrow"/>
          <w:b/>
          <w:sz w:val="20"/>
          <w:szCs w:val="20"/>
        </w:rPr>
        <w:lastRenderedPageBreak/>
        <w:t xml:space="preserve">Graf </w:t>
      </w:r>
      <w:r w:rsidRPr="00666914">
        <w:rPr>
          <w:rFonts w:eastAsia="Arial Narrow" w:cs="Arial Narrow"/>
          <w:b/>
          <w:sz w:val="20"/>
          <w:szCs w:val="20"/>
        </w:rPr>
        <w:fldChar w:fldCharType="begin"/>
      </w:r>
      <w:r w:rsidRPr="00666914">
        <w:rPr>
          <w:rFonts w:eastAsia="Arial Narrow" w:cs="Arial Narrow"/>
          <w:b/>
          <w:sz w:val="20"/>
          <w:szCs w:val="20"/>
        </w:rPr>
        <w:instrText xml:space="preserve"> SEQ Graf \* ARABIC \* MERGEFORMAT </w:instrText>
      </w:r>
      <w:r w:rsidRPr="00666914">
        <w:rPr>
          <w:rFonts w:eastAsia="Arial Narrow" w:cs="Arial Narrow"/>
          <w:b/>
          <w:sz w:val="20"/>
          <w:szCs w:val="20"/>
        </w:rPr>
        <w:fldChar w:fldCharType="separate"/>
      </w:r>
      <w:r w:rsidR="005A7304">
        <w:rPr>
          <w:rFonts w:eastAsia="Arial Narrow" w:cs="Arial Narrow"/>
          <w:b/>
          <w:noProof/>
          <w:sz w:val="20"/>
          <w:szCs w:val="20"/>
        </w:rPr>
        <w:t>17</w:t>
      </w:r>
      <w:r w:rsidRPr="00666914">
        <w:rPr>
          <w:rFonts w:eastAsia="Arial Narrow" w:cs="Arial Narrow"/>
          <w:b/>
          <w:sz w:val="20"/>
          <w:szCs w:val="20"/>
        </w:rPr>
        <w:fldChar w:fldCharType="end"/>
      </w:r>
      <w:r w:rsidRPr="00666914">
        <w:rPr>
          <w:rFonts w:eastAsia="Arial Narrow" w:cs="Arial Narrow"/>
          <w:b/>
          <w:sz w:val="20"/>
          <w:szCs w:val="20"/>
        </w:rPr>
        <w:t>: Napojenie obyvateľstva na verejnú kanalizáciu</w:t>
      </w:r>
      <w:bookmarkEnd w:id="333"/>
    </w:p>
    <w:p w14:paraId="7DE0F4B7" w14:textId="77777777" w:rsidR="008E7D9E" w:rsidRPr="00666914" w:rsidRDefault="008E7D9E">
      <w:pPr>
        <w:jc w:val="center"/>
        <w:rPr>
          <w:b/>
          <w:u w:val="single"/>
        </w:rPr>
      </w:pPr>
      <w:r w:rsidRPr="00666914">
        <w:rPr>
          <w:noProof/>
          <w:lang w:eastAsia="sk-SK"/>
        </w:rPr>
        <w:drawing>
          <wp:inline distT="0" distB="0" distL="0" distR="0" wp14:anchorId="019F019B" wp14:editId="2D7AB786">
            <wp:extent cx="5810250" cy="2828925"/>
            <wp:effectExtent l="0" t="0" r="0" b="0"/>
            <wp:docPr id="90" name="Graf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A1901B3" w14:textId="77777777" w:rsidR="008E7D9E" w:rsidRPr="00666914" w:rsidRDefault="008E7D9E">
      <w:pPr>
        <w:pBdr>
          <w:top w:val="single" w:sz="4" w:space="1" w:color="000000"/>
        </w:pBdr>
        <w:jc w:val="right"/>
        <w:rPr>
          <w:rFonts w:eastAsia="Arial Narrow" w:cs="Arial Narrow"/>
          <w:i/>
          <w:sz w:val="18"/>
          <w:szCs w:val="18"/>
        </w:rPr>
      </w:pPr>
      <w:r w:rsidRPr="00666914">
        <w:rPr>
          <w:rFonts w:eastAsia="Arial Narrow" w:cs="Arial Narrow"/>
          <w:i/>
          <w:sz w:val="18"/>
          <w:szCs w:val="18"/>
        </w:rPr>
        <w:t>Zdroj: VÚVH</w:t>
      </w:r>
    </w:p>
    <w:p w14:paraId="6C62F52F" w14:textId="7E59B331" w:rsidR="008E7D9E" w:rsidRPr="00666914" w:rsidRDefault="008E7D9E">
      <w:pPr>
        <w:rPr>
          <w:rFonts w:eastAsia="Arial Narrow" w:cs="Arial Narrow"/>
          <w:b/>
        </w:rPr>
      </w:pPr>
      <w:r w:rsidRPr="00666914">
        <w:rPr>
          <w:rFonts w:eastAsia="Arial Narrow" w:cs="Arial Narrow"/>
          <w:b/>
        </w:rPr>
        <w:t xml:space="preserve">K motivovaniu obyvateľov pripojiť sa na kanalizáciu má prispieť aj povinnosť každého vlastníka žumpy odkladať si od 09/2018 </w:t>
      </w:r>
      <w:r w:rsidRPr="00666914">
        <w:rPr>
          <w:rFonts w:eastAsia="Arial Narrow" w:cs="Arial Narrow"/>
          <w:b/>
          <w:color w:val="000000"/>
        </w:rPr>
        <w:t xml:space="preserve">doklad o vývoze odpadových vôd. </w:t>
      </w:r>
      <w:r w:rsidRPr="00666914">
        <w:rPr>
          <w:rFonts w:eastAsia="Arial Narrow" w:cs="Arial Narrow"/>
        </w:rPr>
        <w:t>Okresné úrady a obce majú povinno</w:t>
      </w:r>
      <w:sdt>
        <w:sdtPr>
          <w:tag w:val="goog_rdk_58"/>
          <w:id w:val="1207605203"/>
        </w:sdtPr>
        <w:sdtEndPr/>
        <w:sdtContent/>
      </w:sdt>
      <w:sdt>
        <w:sdtPr>
          <w:tag w:val="goog_rdk_59"/>
          <w:id w:val="-497044797"/>
        </w:sdtPr>
        <w:sdtEndPr/>
        <w:sdtContent/>
      </w:sdt>
      <w:r w:rsidRPr="00666914">
        <w:rPr>
          <w:rFonts w:eastAsia="Arial Narrow" w:cs="Arial Narrow"/>
        </w:rPr>
        <w:t xml:space="preserve">sť kontrolovať potvrdenia o vývoze odpadových vôd zo žúmp. MŽP SR požiadalo tieto úrady o vykonanie kontrol v roku 2020 najmä v obciach, kde bola verejná kanalizácia vybudovaná z OP ŽP a OP KŽP. Čiastočne tak dôjde k plneniu hlavného odporúčania IJ v PIS 2019 „Každoročne, v spolupráci s MDV SR, realizovať zber údajov o kontrolách žúmp a udelených pokutách“. </w:t>
      </w:r>
      <w:r w:rsidRPr="00666914">
        <w:rPr>
          <w:rFonts w:eastAsia="Arial Narrow" w:cs="Arial Narrow"/>
          <w:b/>
        </w:rPr>
        <w:t>Je však potrebné pravidelne kontrolovať všetky obce s vybudovanou verejnou kanalizáciou, nielen tie, kde na vybudovanie kanalizácie boli použité eurofondy.</w:t>
      </w:r>
    </w:p>
    <w:p w14:paraId="2B64FF04" w14:textId="10D481C0" w:rsidR="008E7D9E" w:rsidRPr="00666914" w:rsidRDefault="008E7D9E">
      <w:pPr>
        <w:rPr>
          <w:rFonts w:eastAsia="Arial Narrow" w:cs="Arial Narrow"/>
        </w:rPr>
      </w:pPr>
      <w:r w:rsidRPr="00666914">
        <w:rPr>
          <w:rFonts w:eastAsia="Arial Narrow" w:cs="Arial Narrow"/>
          <w:b/>
        </w:rPr>
        <w:t xml:space="preserve">V 10/2019 vláda schválila materiál „Financovanie rozvoja verejných vodovodov a verejných </w:t>
      </w:r>
      <w:sdt>
        <w:sdtPr>
          <w:tag w:val="goog_rdk_60"/>
          <w:id w:val="1942722600"/>
        </w:sdtPr>
        <w:sdtEndPr/>
        <w:sdtContent/>
      </w:sdt>
      <w:r w:rsidRPr="00666914">
        <w:rPr>
          <w:rFonts w:eastAsia="Arial Narrow" w:cs="Arial Narrow"/>
          <w:b/>
        </w:rPr>
        <w:t>kanalizácií“</w:t>
      </w:r>
      <w:r w:rsidRPr="00666914">
        <w:rPr>
          <w:rFonts w:eastAsia="Arial Narrow" w:cs="Arial Narrow"/>
          <w:vertAlign w:val="superscript"/>
        </w:rPr>
        <w:footnoteReference w:id="283"/>
      </w:r>
      <w:r w:rsidRPr="00666914">
        <w:rPr>
          <w:rFonts w:eastAsia="Arial Narrow" w:cs="Arial Narrow"/>
          <w:b/>
        </w:rPr>
        <w:t xml:space="preserve">, ktorý je finančným plánom na dofinancovanie výstavby verejných vodovodov a kanalizácií. </w:t>
      </w:r>
      <w:r w:rsidRPr="00666914">
        <w:rPr>
          <w:rFonts w:eastAsia="Arial Narrow" w:cs="Arial Narrow"/>
        </w:rPr>
        <w:t xml:space="preserve">Na dofinancovanie výstavby vodohospodárskej infraštruktúry v SR je na základe tohto materiálu potrebných 2,9 mld. eur. </w:t>
      </w:r>
      <w:r w:rsidR="000644F2" w:rsidRPr="00666914">
        <w:rPr>
          <w:rFonts w:eastAsia="Arial Narrow" w:cs="Arial Narrow"/>
        </w:rPr>
        <w:t>Zdroje financovania majú byť 3:</w:t>
      </w:r>
    </w:p>
    <w:p w14:paraId="5C980881" w14:textId="77777777" w:rsidR="008E7D9E" w:rsidRPr="00666914" w:rsidRDefault="00C45DA3" w:rsidP="00131B23">
      <w:pPr>
        <w:numPr>
          <w:ilvl w:val="0"/>
          <w:numId w:val="27"/>
        </w:numPr>
        <w:pBdr>
          <w:top w:val="nil"/>
          <w:left w:val="nil"/>
          <w:bottom w:val="nil"/>
          <w:right w:val="nil"/>
          <w:between w:val="nil"/>
        </w:pBdr>
        <w:spacing w:after="0"/>
      </w:pPr>
      <w:sdt>
        <w:sdtPr>
          <w:tag w:val="goog_rdk_61"/>
          <w:id w:val="-426493904"/>
        </w:sdtPr>
        <w:sdtEndPr/>
        <w:sdtContent/>
      </w:sdt>
      <w:r w:rsidR="008E7D9E" w:rsidRPr="00666914">
        <w:rPr>
          <w:rFonts w:eastAsia="Arial Narrow" w:cs="Arial Narrow"/>
          <w:color w:val="000000"/>
        </w:rPr>
        <w:t>Environmentálny fond (príjmy z predaja emisných kvót vo výške 50 mil. eur/rok),</w:t>
      </w:r>
    </w:p>
    <w:p w14:paraId="4F8B24B7" w14:textId="0E1977A0" w:rsidR="008E7D9E" w:rsidRPr="00666914" w:rsidRDefault="008E7D9E" w:rsidP="00131B23">
      <w:pPr>
        <w:numPr>
          <w:ilvl w:val="0"/>
          <w:numId w:val="27"/>
        </w:numPr>
        <w:pBdr>
          <w:top w:val="nil"/>
          <w:left w:val="nil"/>
          <w:bottom w:val="nil"/>
          <w:right w:val="nil"/>
          <w:between w:val="nil"/>
        </w:pBdr>
        <w:spacing w:after="0"/>
      </w:pPr>
      <w:r w:rsidRPr="00666914">
        <w:rPr>
          <w:rFonts w:eastAsia="Arial Narrow" w:cs="Arial Narrow"/>
          <w:color w:val="000000"/>
        </w:rPr>
        <w:t>eurofondy 2021-20</w:t>
      </w:r>
      <w:r w:rsidR="000644F2" w:rsidRPr="00666914">
        <w:rPr>
          <w:rFonts w:eastAsia="Arial Narrow" w:cs="Arial Narrow"/>
          <w:color w:val="000000"/>
        </w:rPr>
        <w:t>27,</w:t>
      </w:r>
    </w:p>
    <w:p w14:paraId="280C50E1" w14:textId="0A1D56CA" w:rsidR="008E7D9E" w:rsidRPr="00666914" w:rsidRDefault="008E7D9E" w:rsidP="00131B23">
      <w:pPr>
        <w:numPr>
          <w:ilvl w:val="0"/>
          <w:numId w:val="27"/>
        </w:numPr>
        <w:pBdr>
          <w:top w:val="nil"/>
          <w:left w:val="nil"/>
          <w:bottom w:val="nil"/>
          <w:right w:val="nil"/>
          <w:between w:val="nil"/>
        </w:pBdr>
      </w:pPr>
      <w:r w:rsidRPr="00666914">
        <w:rPr>
          <w:rFonts w:eastAsia="Arial Narrow" w:cs="Arial Narrow"/>
          <w:color w:val="000000"/>
        </w:rPr>
        <w:t>príp</w:t>
      </w:r>
      <w:r w:rsidR="000644F2" w:rsidRPr="00666914">
        <w:rPr>
          <w:rFonts w:eastAsia="Arial Narrow" w:cs="Arial Narrow"/>
          <w:color w:val="000000"/>
        </w:rPr>
        <w:t>adne Európska investičná banka.</w:t>
      </w:r>
    </w:p>
    <w:p w14:paraId="7B879DC1" w14:textId="10327947" w:rsidR="008E7D9E" w:rsidRPr="00666914" w:rsidRDefault="008E7D9E">
      <w:pPr>
        <w:rPr>
          <w:rFonts w:eastAsia="Arial Narrow" w:cs="Arial Narrow"/>
        </w:rPr>
      </w:pPr>
      <w:r w:rsidRPr="00666914">
        <w:rPr>
          <w:rFonts w:eastAsia="Arial Narrow" w:cs="Arial Narrow"/>
        </w:rPr>
        <w:t>V pláne kanalizácií je navrhnutá prioritizácia financovania výstavby vodohospodárskej infraštruktúry na základe úrovne rozostavanosti. Rovnako sa budú pri výbere projektov dodržiavať princípy hodnoty za peniaze a hodnotenie na základe ben</w:t>
      </w:r>
      <w:r w:rsidR="000644F2" w:rsidRPr="00666914">
        <w:rPr>
          <w:rFonts w:eastAsia="Arial Narrow" w:cs="Arial Narrow"/>
        </w:rPr>
        <w:t>chmarkov, ktoré vypracoval IEP.</w:t>
      </w:r>
    </w:p>
    <w:p w14:paraId="1CBBE309" w14:textId="3AFAA514" w:rsidR="008E7D9E" w:rsidRPr="00666914" w:rsidRDefault="008E7D9E">
      <w:pPr>
        <w:rPr>
          <w:rFonts w:eastAsia="Arial Narrow" w:cs="Arial Narrow"/>
        </w:rPr>
      </w:pPr>
      <w:r w:rsidRPr="00666914">
        <w:rPr>
          <w:rFonts w:eastAsia="Arial Narrow" w:cs="Arial Narrow"/>
          <w:b/>
        </w:rPr>
        <w:t>Na základe pripomienok IJ sa materiál rozšíril aj o merateľné ukazovatele, použitie benchmarkov či pravidelné zverejňovanie podporených projektov na web stránke EF.</w:t>
      </w:r>
      <w:r w:rsidRPr="00666914">
        <w:rPr>
          <w:rFonts w:eastAsia="Arial Narrow" w:cs="Arial Narrow"/>
        </w:rPr>
        <w:t xml:space="preserve"> Na základe schváleného materiálu sa v najbližších 10 rokoch podpora výstavby vodohospodárskej infraštruktúry zo strany EF zvýši o 50 mil. eur ročne. EF</w:t>
      </w:r>
      <w:r w:rsidRPr="00666914">
        <w:rPr>
          <w:rFonts w:eastAsia="Arial Narrow" w:cs="Arial Narrow"/>
          <w:color w:val="000000"/>
        </w:rPr>
        <w:t xml:space="preserve"> v 11/2019 zverejnil „Výzvu na predloženie žiadostí o poskytnutie dotácie na podporné programové aktivity“</w:t>
      </w:r>
      <w:r w:rsidRPr="00666914">
        <w:rPr>
          <w:rFonts w:eastAsia="Arial Narrow" w:cs="Arial Narrow"/>
          <w:color w:val="000000"/>
          <w:vertAlign w:val="superscript"/>
        </w:rPr>
        <w:footnoteReference w:id="284"/>
      </w:r>
      <w:r w:rsidRPr="00666914">
        <w:rPr>
          <w:rFonts w:eastAsia="Arial Narrow" w:cs="Arial Narrow"/>
          <w:color w:val="000000"/>
        </w:rPr>
        <w:t>. Výška dotácie je medzi 217 tis</w:t>
      </w:r>
      <w:r w:rsidR="000644F2" w:rsidRPr="00666914">
        <w:rPr>
          <w:rFonts w:eastAsia="Arial Narrow" w:cs="Arial Narrow"/>
          <w:color w:val="000000"/>
        </w:rPr>
        <w:t>. a 5 mil. eur.</w:t>
      </w:r>
    </w:p>
    <w:p w14:paraId="6F0195BA" w14:textId="77777777" w:rsidR="008E7D9E" w:rsidRPr="00666914" w:rsidRDefault="008E7D9E">
      <w:pPr>
        <w:spacing w:before="160" w:after="0"/>
        <w:rPr>
          <w:rFonts w:eastAsia="Arial Narrow" w:cs="Arial Narrow"/>
        </w:rPr>
      </w:pPr>
      <w:r w:rsidRPr="00666914">
        <w:rPr>
          <w:rFonts w:eastAsia="Arial Narrow" w:cs="Arial Narrow"/>
          <w:b/>
        </w:rPr>
        <w:t>Opatrenie sa k 31.12.2019 plní čiastočne.</w:t>
      </w:r>
    </w:p>
    <w:p w14:paraId="2AD9E906" w14:textId="77777777" w:rsidR="008E7D9E" w:rsidRPr="00666914" w:rsidRDefault="008E7D9E">
      <w:pPr>
        <w:spacing w:after="0"/>
        <w:rPr>
          <w:rFonts w:eastAsia="Arial Narrow" w:cs="Arial Narrow"/>
          <w:b/>
        </w:rPr>
      </w:pPr>
    </w:p>
    <w:p w14:paraId="04CD46C0" w14:textId="29DAF168" w:rsidR="008E7D9E" w:rsidRPr="00666914" w:rsidRDefault="008E7D9E">
      <w:pPr>
        <w:spacing w:after="0"/>
        <w:rPr>
          <w:rFonts w:eastAsia="Arial Narrow" w:cs="Arial Narrow"/>
        </w:rPr>
      </w:pPr>
      <w:r w:rsidRPr="00666914">
        <w:rPr>
          <w:rFonts w:eastAsia="Arial Narrow" w:cs="Arial Narrow"/>
          <w:b/>
        </w:rPr>
        <w:t>Odporúčanie IJ:</w:t>
      </w:r>
      <w:r w:rsidRPr="00666914">
        <w:rPr>
          <w:rFonts w:eastAsia="Arial Narrow" w:cs="Arial Narrow"/>
        </w:rPr>
        <w:t xml:space="preserve"> Rozšíriť povinnosť kontrolovania vývozu žúmp na všetky obce s vyb</w:t>
      </w:r>
      <w:r w:rsidR="000644F2" w:rsidRPr="00666914">
        <w:rPr>
          <w:rFonts w:eastAsia="Arial Narrow" w:cs="Arial Narrow"/>
        </w:rPr>
        <w:t>udovanou verejnou kanalizáciou.</w:t>
      </w:r>
    </w:p>
    <w:p w14:paraId="2F4972F9" w14:textId="77777777" w:rsidR="008E7D9E" w:rsidRPr="00666914" w:rsidRDefault="008E7D9E" w:rsidP="00131B23">
      <w:pPr>
        <w:numPr>
          <w:ilvl w:val="0"/>
          <w:numId w:val="25"/>
        </w:numPr>
        <w:spacing w:after="0"/>
        <w:rPr>
          <w:rFonts w:eastAsia="Arial Narrow" w:cs="Arial Narrow"/>
          <w:b/>
          <w:u w:val="single"/>
        </w:rPr>
      </w:pPr>
      <w:r w:rsidRPr="00666914">
        <w:rPr>
          <w:rFonts w:eastAsia="Arial Narrow" w:cs="Arial Narrow"/>
          <w:b/>
          <w:u w:val="single"/>
        </w:rPr>
        <w:lastRenderedPageBreak/>
        <w:t xml:space="preserve">Dotácie v manažmente odpadových vôd a zabezpečovanie pitnou vodou zamerať na ucelené projekty </w:t>
      </w:r>
    </w:p>
    <w:p w14:paraId="2FCC8AC8" w14:textId="77777777" w:rsidR="008E7D9E" w:rsidRPr="00666914" w:rsidRDefault="008E7D9E">
      <w:pPr>
        <w:spacing w:after="0"/>
        <w:rPr>
          <w:rFonts w:eastAsia="Arial Narrow" w:cs="Arial Narrow"/>
        </w:rPr>
      </w:pPr>
    </w:p>
    <w:p w14:paraId="54F4E9B4" w14:textId="68012152" w:rsidR="008E7D9E" w:rsidRPr="00666914" w:rsidRDefault="008E7D9E">
      <w:pPr>
        <w:spacing w:after="0"/>
        <w:rPr>
          <w:rFonts w:eastAsia="Arial Narrow" w:cs="Arial Narrow"/>
          <w:b/>
        </w:rPr>
      </w:pPr>
      <w:r w:rsidRPr="00666914">
        <w:rPr>
          <w:rFonts w:eastAsia="Arial Narrow" w:cs="Arial Narrow"/>
        </w:rPr>
        <w:t>V 2H2019 prijal EF 582 žiadostí o poskytnutie dotácie na výstavbu vodohospodárskej infraštruktúry. Len 7,7 % projektov, na ktoré obce žiadali dotáciu z EF, sa nachádzalo vo finálnej fáze rozostavanosti.</w:t>
      </w:r>
    </w:p>
    <w:p w14:paraId="52B6906E" w14:textId="77777777" w:rsidR="008E7D9E" w:rsidRPr="00666914" w:rsidRDefault="008E7D9E">
      <w:pPr>
        <w:spacing w:after="0"/>
        <w:rPr>
          <w:rFonts w:eastAsia="Arial Narrow" w:cs="Arial Narrow"/>
          <w:b/>
        </w:rPr>
      </w:pPr>
    </w:p>
    <w:p w14:paraId="40CFB755" w14:textId="7FE1F457" w:rsidR="008E7D9E" w:rsidRPr="00666914" w:rsidRDefault="008E7D9E">
      <w:pPr>
        <w:spacing w:after="0"/>
        <w:rPr>
          <w:rFonts w:eastAsia="Arial Narrow" w:cs="Arial Narrow"/>
        </w:rPr>
      </w:pPr>
      <w:r w:rsidRPr="00666914">
        <w:rPr>
          <w:rFonts w:eastAsia="Arial Narrow" w:cs="Arial Narrow"/>
          <w:b/>
        </w:rPr>
        <w:t xml:space="preserve">Počas roka 2019 podporil EF </w:t>
      </w:r>
      <w:sdt>
        <w:sdtPr>
          <w:tag w:val="goog_rdk_62"/>
          <w:id w:val="-755982304"/>
        </w:sdtPr>
        <w:sdtEndPr/>
        <w:sdtContent/>
      </w:sdt>
      <w:r w:rsidRPr="00666914">
        <w:rPr>
          <w:rFonts w:eastAsia="Arial Narrow" w:cs="Arial Narrow"/>
          <w:b/>
        </w:rPr>
        <w:t xml:space="preserve">spolu 194 žiadostí o dotáciu na projekty vodohospodárskej infraštruktúry v celkovej výške 26 mil. eur. </w:t>
      </w:r>
      <w:r w:rsidRPr="00666914">
        <w:rPr>
          <w:rFonts w:eastAsia="Arial Narrow" w:cs="Arial Narrow"/>
        </w:rPr>
        <w:t xml:space="preserve">Z týchto dotácií vybudovali obce 75 km vodovodov a kanalizácií. Vo finálnej fáze (s rozostavanosťou nad 80 %) bolo podporených 18 projektov, z ktorých boli 4 po ukončení výstavby aj sfinalizované. Najvyšší podiel podporených projektov bol však naďalej zo </w:t>
      </w:r>
      <w:r w:rsidR="000644F2" w:rsidRPr="00666914">
        <w:rPr>
          <w:rFonts w:eastAsia="Arial Narrow" w:cs="Arial Narrow"/>
        </w:rPr>
        <w:t>skupiny úplne nových projektov.</w:t>
      </w:r>
    </w:p>
    <w:p w14:paraId="7BB91CE1" w14:textId="77777777" w:rsidR="008E7D9E" w:rsidRPr="00666914" w:rsidRDefault="008E7D9E">
      <w:pPr>
        <w:spacing w:after="0"/>
        <w:rPr>
          <w:rFonts w:eastAsia="Arial Narrow" w:cs="Arial Narrow"/>
          <w:b/>
        </w:rPr>
      </w:pPr>
    </w:p>
    <w:p w14:paraId="0795DE40" w14:textId="0D91B684" w:rsidR="008E7D9E" w:rsidRPr="00666914" w:rsidRDefault="008E7D9E">
      <w:pPr>
        <w:spacing w:after="0"/>
        <w:rPr>
          <w:rFonts w:eastAsia="Arial Narrow" w:cs="Arial Narrow"/>
          <w:b/>
          <w:sz w:val="20"/>
          <w:szCs w:val="20"/>
        </w:rPr>
      </w:pPr>
      <w:bookmarkStart w:id="334" w:name="_Toc38447733"/>
      <w:r w:rsidRPr="00666914">
        <w:rPr>
          <w:rFonts w:eastAsia="Arial Narrow" w:cs="Arial Narrow"/>
          <w:b/>
          <w:sz w:val="20"/>
          <w:szCs w:val="20"/>
        </w:rPr>
        <w:t xml:space="preserve">Tabuľka </w:t>
      </w:r>
      <w:r w:rsidRPr="00666914">
        <w:rPr>
          <w:rFonts w:eastAsia="Arial Narrow" w:cs="Arial Narrow"/>
          <w:b/>
          <w:sz w:val="20"/>
          <w:szCs w:val="20"/>
        </w:rPr>
        <w:fldChar w:fldCharType="begin"/>
      </w:r>
      <w:r w:rsidRPr="00666914">
        <w:rPr>
          <w:rFonts w:eastAsia="Arial Narrow" w:cs="Arial Narrow"/>
          <w:b/>
          <w:sz w:val="20"/>
          <w:szCs w:val="20"/>
        </w:rPr>
        <w:instrText xml:space="preserve"> SEQ Tabuľka \* ARABIC \* MERGEFORMAT </w:instrText>
      </w:r>
      <w:r w:rsidRPr="00666914">
        <w:rPr>
          <w:rFonts w:eastAsia="Arial Narrow" w:cs="Arial Narrow"/>
          <w:b/>
          <w:sz w:val="20"/>
          <w:szCs w:val="20"/>
        </w:rPr>
        <w:fldChar w:fldCharType="separate"/>
      </w:r>
      <w:r w:rsidR="005A7304">
        <w:rPr>
          <w:rFonts w:eastAsia="Arial Narrow" w:cs="Arial Narrow"/>
          <w:b/>
          <w:noProof/>
          <w:sz w:val="20"/>
          <w:szCs w:val="20"/>
        </w:rPr>
        <w:t>72</w:t>
      </w:r>
      <w:r w:rsidRPr="00666914">
        <w:rPr>
          <w:rFonts w:eastAsia="Arial Narrow" w:cs="Arial Narrow"/>
          <w:b/>
          <w:sz w:val="20"/>
          <w:szCs w:val="20"/>
        </w:rPr>
        <w:fldChar w:fldCharType="end"/>
      </w:r>
      <w:r w:rsidRPr="00666914">
        <w:rPr>
          <w:rFonts w:eastAsia="Arial Narrow" w:cs="Arial Narrow"/>
          <w:b/>
          <w:sz w:val="20"/>
          <w:szCs w:val="20"/>
        </w:rPr>
        <w:t>: Čerpanie dotácií podľa roz</w:t>
      </w:r>
      <w:sdt>
        <w:sdtPr>
          <w:tag w:val="goog_rdk_63"/>
          <w:id w:val="1096062539"/>
        </w:sdtPr>
        <w:sdtEndPr/>
        <w:sdtContent/>
      </w:sdt>
      <w:sdt>
        <w:sdtPr>
          <w:tag w:val="goog_rdk_64"/>
          <w:id w:val="239998936"/>
        </w:sdtPr>
        <w:sdtEndPr/>
        <w:sdtContent/>
      </w:sdt>
      <w:sdt>
        <w:sdtPr>
          <w:tag w:val="goog_rdk_65"/>
          <w:id w:val="7182960"/>
        </w:sdtPr>
        <w:sdtEndPr/>
        <w:sdtContent/>
      </w:sdt>
      <w:r w:rsidRPr="00666914">
        <w:rPr>
          <w:rFonts w:eastAsia="Arial Narrow" w:cs="Arial Narrow"/>
          <w:b/>
          <w:sz w:val="20"/>
          <w:szCs w:val="20"/>
        </w:rPr>
        <w:t>ostavanosti v roku 2019</w:t>
      </w:r>
      <w:bookmarkEnd w:id="334"/>
    </w:p>
    <w:tbl>
      <w:tblPr>
        <w:tblW w:w="9235" w:type="dxa"/>
        <w:tblLayout w:type="fixed"/>
        <w:tblLook w:val="0400" w:firstRow="0" w:lastRow="0" w:firstColumn="0" w:lastColumn="0" w:noHBand="0" w:noVBand="1"/>
      </w:tblPr>
      <w:tblGrid>
        <w:gridCol w:w="1624"/>
        <w:gridCol w:w="2040"/>
        <w:gridCol w:w="1875"/>
        <w:gridCol w:w="1549"/>
        <w:gridCol w:w="2147"/>
      </w:tblGrid>
      <w:tr w:rsidR="008E7D9E" w:rsidRPr="00666914" w14:paraId="5762BBD7" w14:textId="77777777" w:rsidTr="00DE4F8D">
        <w:trPr>
          <w:trHeight w:val="808"/>
        </w:trPr>
        <w:tc>
          <w:tcPr>
            <w:tcW w:w="1624" w:type="dxa"/>
            <w:tcBorders>
              <w:top w:val="single" w:sz="4" w:space="0" w:color="000000"/>
              <w:left w:val="nil"/>
              <w:bottom w:val="single" w:sz="4" w:space="0" w:color="000000"/>
              <w:right w:val="nil"/>
            </w:tcBorders>
            <w:shd w:val="clear" w:color="auto" w:fill="auto"/>
            <w:vAlign w:val="center"/>
          </w:tcPr>
          <w:p w14:paraId="1B7BF021" w14:textId="1469B6FD" w:rsidR="008E7D9E" w:rsidRPr="00666914" w:rsidRDefault="008E7D9E" w:rsidP="00DE4F8D">
            <w:pPr>
              <w:spacing w:after="0"/>
              <w:jc w:val="center"/>
              <w:rPr>
                <w:rFonts w:eastAsia="Arial Narrow" w:cs="Arial Narrow"/>
                <w:b/>
                <w:color w:val="000000"/>
                <w:sz w:val="20"/>
                <w:szCs w:val="20"/>
              </w:rPr>
            </w:pPr>
            <w:r w:rsidRPr="00666914">
              <w:rPr>
                <w:rFonts w:eastAsia="Arial Narrow" w:cs="Arial Narrow"/>
                <w:b/>
                <w:color w:val="000000"/>
                <w:sz w:val="20"/>
                <w:szCs w:val="20"/>
              </w:rPr>
              <w:t>% rozostavanosti v danom roku</w:t>
            </w:r>
          </w:p>
        </w:tc>
        <w:tc>
          <w:tcPr>
            <w:tcW w:w="2040" w:type="dxa"/>
            <w:tcBorders>
              <w:top w:val="single" w:sz="4" w:space="0" w:color="000000"/>
              <w:left w:val="nil"/>
              <w:bottom w:val="single" w:sz="4" w:space="0" w:color="000000"/>
              <w:right w:val="nil"/>
            </w:tcBorders>
            <w:shd w:val="clear" w:color="auto" w:fill="auto"/>
            <w:vAlign w:val="center"/>
          </w:tcPr>
          <w:p w14:paraId="7CB7E246" w14:textId="77777777" w:rsidR="008E7D9E" w:rsidRPr="00666914" w:rsidRDefault="008E7D9E" w:rsidP="00DE4F8D">
            <w:pPr>
              <w:spacing w:after="0"/>
              <w:jc w:val="center"/>
              <w:rPr>
                <w:rFonts w:eastAsia="Arial Narrow" w:cs="Arial Narrow"/>
                <w:b/>
                <w:color w:val="000000"/>
                <w:sz w:val="20"/>
                <w:szCs w:val="20"/>
              </w:rPr>
            </w:pPr>
            <w:r w:rsidRPr="00666914">
              <w:rPr>
                <w:rFonts w:eastAsia="Arial Narrow" w:cs="Arial Narrow"/>
                <w:b/>
                <w:color w:val="000000"/>
                <w:sz w:val="20"/>
                <w:szCs w:val="20"/>
              </w:rPr>
              <w:t>počet podporených projektov</w:t>
            </w:r>
          </w:p>
        </w:tc>
        <w:tc>
          <w:tcPr>
            <w:tcW w:w="1875" w:type="dxa"/>
            <w:tcBorders>
              <w:top w:val="single" w:sz="4" w:space="0" w:color="000000"/>
              <w:left w:val="nil"/>
              <w:bottom w:val="single" w:sz="4" w:space="0" w:color="000000"/>
              <w:right w:val="nil"/>
            </w:tcBorders>
            <w:shd w:val="clear" w:color="auto" w:fill="auto"/>
            <w:vAlign w:val="center"/>
          </w:tcPr>
          <w:p w14:paraId="357091CA" w14:textId="77777777" w:rsidR="008E7D9E" w:rsidRPr="00666914" w:rsidRDefault="008E7D9E" w:rsidP="00DE4F8D">
            <w:pPr>
              <w:spacing w:after="0"/>
              <w:jc w:val="center"/>
              <w:rPr>
                <w:rFonts w:eastAsia="Arial Narrow" w:cs="Arial Narrow"/>
                <w:b/>
                <w:color w:val="000000"/>
                <w:sz w:val="20"/>
                <w:szCs w:val="20"/>
              </w:rPr>
            </w:pPr>
            <w:r w:rsidRPr="00666914">
              <w:rPr>
                <w:rFonts w:eastAsia="Arial Narrow" w:cs="Arial Narrow"/>
                <w:b/>
                <w:color w:val="000000"/>
                <w:sz w:val="20"/>
                <w:szCs w:val="20"/>
              </w:rPr>
              <w:t>priemerná požadovaná dotácia (tis. eur)</w:t>
            </w:r>
          </w:p>
        </w:tc>
        <w:tc>
          <w:tcPr>
            <w:tcW w:w="1549" w:type="dxa"/>
            <w:tcBorders>
              <w:top w:val="single" w:sz="4" w:space="0" w:color="000000"/>
              <w:left w:val="nil"/>
              <w:bottom w:val="single" w:sz="4" w:space="0" w:color="000000"/>
              <w:right w:val="nil"/>
            </w:tcBorders>
            <w:shd w:val="clear" w:color="auto" w:fill="auto"/>
            <w:vAlign w:val="center"/>
          </w:tcPr>
          <w:p w14:paraId="3A95BDB0" w14:textId="77777777" w:rsidR="008E7D9E" w:rsidRPr="00666914" w:rsidRDefault="008E7D9E" w:rsidP="00DE4F8D">
            <w:pPr>
              <w:spacing w:after="0"/>
              <w:jc w:val="center"/>
              <w:rPr>
                <w:rFonts w:eastAsia="Arial Narrow" w:cs="Arial Narrow"/>
                <w:b/>
                <w:color w:val="000000"/>
                <w:sz w:val="20"/>
                <w:szCs w:val="20"/>
              </w:rPr>
            </w:pPr>
            <w:r w:rsidRPr="00666914">
              <w:rPr>
                <w:rFonts w:eastAsia="Arial Narrow" w:cs="Arial Narrow"/>
                <w:b/>
                <w:color w:val="000000"/>
                <w:sz w:val="20"/>
                <w:szCs w:val="20"/>
              </w:rPr>
              <w:t>celková schválená dotácia (mil. eur)</w:t>
            </w:r>
          </w:p>
        </w:tc>
        <w:tc>
          <w:tcPr>
            <w:tcW w:w="2147" w:type="dxa"/>
            <w:tcBorders>
              <w:top w:val="single" w:sz="4" w:space="0" w:color="000000"/>
              <w:left w:val="nil"/>
              <w:bottom w:val="single" w:sz="4" w:space="0" w:color="000000"/>
              <w:right w:val="nil"/>
            </w:tcBorders>
            <w:shd w:val="clear" w:color="auto" w:fill="auto"/>
            <w:vAlign w:val="center"/>
          </w:tcPr>
          <w:p w14:paraId="1D9AD178" w14:textId="77777777" w:rsidR="008E7D9E" w:rsidRPr="00666914" w:rsidRDefault="008E7D9E" w:rsidP="00DE4F8D">
            <w:pPr>
              <w:spacing w:after="0"/>
              <w:jc w:val="center"/>
              <w:rPr>
                <w:rFonts w:eastAsia="Arial Narrow" w:cs="Arial Narrow"/>
                <w:b/>
                <w:color w:val="000000"/>
                <w:sz w:val="20"/>
                <w:szCs w:val="20"/>
              </w:rPr>
            </w:pPr>
            <w:r w:rsidRPr="00666914">
              <w:rPr>
                <w:rFonts w:eastAsia="Arial Narrow" w:cs="Arial Narrow"/>
                <w:b/>
                <w:color w:val="000000"/>
                <w:sz w:val="20"/>
                <w:szCs w:val="20"/>
              </w:rPr>
              <w:t>vybudovaná kanalizácia/vodovod (tis. m)</w:t>
            </w:r>
          </w:p>
        </w:tc>
      </w:tr>
      <w:tr w:rsidR="008E7D9E" w:rsidRPr="00666914" w14:paraId="596C23ED" w14:textId="77777777" w:rsidTr="00DE4F8D">
        <w:trPr>
          <w:trHeight w:val="310"/>
        </w:trPr>
        <w:tc>
          <w:tcPr>
            <w:tcW w:w="1624" w:type="dxa"/>
            <w:tcBorders>
              <w:top w:val="nil"/>
              <w:left w:val="nil"/>
              <w:bottom w:val="nil"/>
              <w:right w:val="nil"/>
            </w:tcBorders>
            <w:shd w:val="clear" w:color="auto" w:fill="auto"/>
            <w:vAlign w:val="bottom"/>
          </w:tcPr>
          <w:p w14:paraId="01CCF961"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0%</w:t>
            </w:r>
          </w:p>
        </w:tc>
        <w:tc>
          <w:tcPr>
            <w:tcW w:w="2040" w:type="dxa"/>
            <w:tcBorders>
              <w:top w:val="nil"/>
              <w:left w:val="nil"/>
              <w:bottom w:val="nil"/>
              <w:right w:val="nil"/>
            </w:tcBorders>
            <w:shd w:val="clear" w:color="auto" w:fill="auto"/>
            <w:vAlign w:val="bottom"/>
          </w:tcPr>
          <w:p w14:paraId="2F87C2A6"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50</w:t>
            </w:r>
          </w:p>
        </w:tc>
        <w:tc>
          <w:tcPr>
            <w:tcW w:w="1875" w:type="dxa"/>
            <w:tcBorders>
              <w:top w:val="nil"/>
              <w:left w:val="nil"/>
              <w:bottom w:val="nil"/>
              <w:right w:val="nil"/>
            </w:tcBorders>
            <w:shd w:val="clear" w:color="auto" w:fill="auto"/>
            <w:vAlign w:val="bottom"/>
          </w:tcPr>
          <w:p w14:paraId="06432DEE"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118,06</w:t>
            </w:r>
          </w:p>
        </w:tc>
        <w:tc>
          <w:tcPr>
            <w:tcW w:w="1549" w:type="dxa"/>
            <w:tcBorders>
              <w:top w:val="nil"/>
              <w:left w:val="nil"/>
              <w:bottom w:val="nil"/>
              <w:right w:val="nil"/>
            </w:tcBorders>
            <w:shd w:val="clear" w:color="auto" w:fill="auto"/>
            <w:vAlign w:val="bottom"/>
          </w:tcPr>
          <w:p w14:paraId="5A45C2D9"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5,90</w:t>
            </w:r>
          </w:p>
        </w:tc>
        <w:tc>
          <w:tcPr>
            <w:tcW w:w="2147" w:type="dxa"/>
            <w:tcBorders>
              <w:top w:val="nil"/>
              <w:left w:val="nil"/>
              <w:bottom w:val="nil"/>
              <w:right w:val="nil"/>
            </w:tcBorders>
            <w:shd w:val="clear" w:color="auto" w:fill="auto"/>
            <w:vAlign w:val="bottom"/>
          </w:tcPr>
          <w:p w14:paraId="4150F24C"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18,60</w:t>
            </w:r>
          </w:p>
        </w:tc>
      </w:tr>
      <w:tr w:rsidR="008E7D9E" w:rsidRPr="00666914" w14:paraId="51600B37" w14:textId="77777777" w:rsidTr="00DE4F8D">
        <w:trPr>
          <w:trHeight w:val="310"/>
        </w:trPr>
        <w:tc>
          <w:tcPr>
            <w:tcW w:w="1624" w:type="dxa"/>
            <w:tcBorders>
              <w:top w:val="nil"/>
              <w:left w:val="nil"/>
              <w:bottom w:val="nil"/>
              <w:right w:val="nil"/>
            </w:tcBorders>
            <w:shd w:val="clear" w:color="auto" w:fill="auto"/>
            <w:vAlign w:val="bottom"/>
          </w:tcPr>
          <w:p w14:paraId="24AB1E88"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0-20%</w:t>
            </w:r>
          </w:p>
        </w:tc>
        <w:tc>
          <w:tcPr>
            <w:tcW w:w="2040" w:type="dxa"/>
            <w:tcBorders>
              <w:top w:val="nil"/>
              <w:left w:val="nil"/>
              <w:bottom w:val="nil"/>
              <w:right w:val="nil"/>
            </w:tcBorders>
            <w:shd w:val="clear" w:color="auto" w:fill="auto"/>
            <w:vAlign w:val="bottom"/>
          </w:tcPr>
          <w:p w14:paraId="53BEFC4E"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23</w:t>
            </w:r>
          </w:p>
        </w:tc>
        <w:tc>
          <w:tcPr>
            <w:tcW w:w="1875" w:type="dxa"/>
            <w:tcBorders>
              <w:top w:val="nil"/>
              <w:left w:val="nil"/>
              <w:bottom w:val="nil"/>
              <w:right w:val="nil"/>
            </w:tcBorders>
            <w:shd w:val="clear" w:color="auto" w:fill="auto"/>
            <w:vAlign w:val="bottom"/>
          </w:tcPr>
          <w:p w14:paraId="60E21F51"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153,04</w:t>
            </w:r>
          </w:p>
        </w:tc>
        <w:tc>
          <w:tcPr>
            <w:tcW w:w="1549" w:type="dxa"/>
            <w:tcBorders>
              <w:top w:val="nil"/>
              <w:left w:val="nil"/>
              <w:bottom w:val="nil"/>
              <w:right w:val="nil"/>
            </w:tcBorders>
            <w:shd w:val="clear" w:color="auto" w:fill="auto"/>
            <w:vAlign w:val="bottom"/>
          </w:tcPr>
          <w:p w14:paraId="5DD83E3E"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3,52</w:t>
            </w:r>
          </w:p>
        </w:tc>
        <w:tc>
          <w:tcPr>
            <w:tcW w:w="2147" w:type="dxa"/>
            <w:tcBorders>
              <w:top w:val="nil"/>
              <w:left w:val="nil"/>
              <w:bottom w:val="nil"/>
              <w:right w:val="nil"/>
            </w:tcBorders>
            <w:shd w:val="clear" w:color="auto" w:fill="auto"/>
            <w:vAlign w:val="bottom"/>
          </w:tcPr>
          <w:p w14:paraId="4BD8A5DE"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10,60</w:t>
            </w:r>
          </w:p>
        </w:tc>
      </w:tr>
      <w:tr w:rsidR="008E7D9E" w:rsidRPr="00666914" w14:paraId="6B1C52A5" w14:textId="77777777" w:rsidTr="00DE4F8D">
        <w:trPr>
          <w:trHeight w:val="310"/>
        </w:trPr>
        <w:tc>
          <w:tcPr>
            <w:tcW w:w="1624" w:type="dxa"/>
            <w:tcBorders>
              <w:top w:val="nil"/>
              <w:left w:val="nil"/>
              <w:bottom w:val="nil"/>
              <w:right w:val="nil"/>
            </w:tcBorders>
            <w:shd w:val="clear" w:color="auto" w:fill="auto"/>
            <w:vAlign w:val="bottom"/>
          </w:tcPr>
          <w:p w14:paraId="6C9B2774"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20-40%</w:t>
            </w:r>
          </w:p>
        </w:tc>
        <w:tc>
          <w:tcPr>
            <w:tcW w:w="2040" w:type="dxa"/>
            <w:tcBorders>
              <w:top w:val="nil"/>
              <w:left w:val="nil"/>
              <w:bottom w:val="nil"/>
              <w:right w:val="nil"/>
            </w:tcBorders>
            <w:shd w:val="clear" w:color="auto" w:fill="auto"/>
            <w:vAlign w:val="bottom"/>
          </w:tcPr>
          <w:p w14:paraId="17456B41"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39</w:t>
            </w:r>
          </w:p>
        </w:tc>
        <w:tc>
          <w:tcPr>
            <w:tcW w:w="1875" w:type="dxa"/>
            <w:tcBorders>
              <w:top w:val="nil"/>
              <w:left w:val="nil"/>
              <w:bottom w:val="nil"/>
              <w:right w:val="nil"/>
            </w:tcBorders>
            <w:shd w:val="clear" w:color="auto" w:fill="auto"/>
            <w:vAlign w:val="bottom"/>
          </w:tcPr>
          <w:p w14:paraId="5D30557B"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142,43</w:t>
            </w:r>
          </w:p>
        </w:tc>
        <w:tc>
          <w:tcPr>
            <w:tcW w:w="1549" w:type="dxa"/>
            <w:tcBorders>
              <w:top w:val="nil"/>
              <w:left w:val="nil"/>
              <w:bottom w:val="nil"/>
              <w:right w:val="nil"/>
            </w:tcBorders>
            <w:shd w:val="clear" w:color="auto" w:fill="auto"/>
            <w:vAlign w:val="bottom"/>
          </w:tcPr>
          <w:p w14:paraId="224C4AB8"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5,55</w:t>
            </w:r>
          </w:p>
        </w:tc>
        <w:tc>
          <w:tcPr>
            <w:tcW w:w="2147" w:type="dxa"/>
            <w:tcBorders>
              <w:top w:val="nil"/>
              <w:left w:val="nil"/>
              <w:bottom w:val="nil"/>
              <w:right w:val="nil"/>
            </w:tcBorders>
            <w:shd w:val="clear" w:color="auto" w:fill="auto"/>
            <w:vAlign w:val="bottom"/>
          </w:tcPr>
          <w:p w14:paraId="63DB320F"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14,30</w:t>
            </w:r>
          </w:p>
        </w:tc>
      </w:tr>
      <w:tr w:rsidR="008E7D9E" w:rsidRPr="00666914" w14:paraId="1BF27182" w14:textId="77777777" w:rsidTr="00DE4F8D">
        <w:trPr>
          <w:trHeight w:val="310"/>
        </w:trPr>
        <w:tc>
          <w:tcPr>
            <w:tcW w:w="1624" w:type="dxa"/>
            <w:tcBorders>
              <w:top w:val="nil"/>
              <w:left w:val="nil"/>
              <w:bottom w:val="nil"/>
              <w:right w:val="nil"/>
            </w:tcBorders>
            <w:shd w:val="clear" w:color="auto" w:fill="auto"/>
            <w:vAlign w:val="bottom"/>
          </w:tcPr>
          <w:p w14:paraId="389B850B"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40-60%</w:t>
            </w:r>
          </w:p>
        </w:tc>
        <w:tc>
          <w:tcPr>
            <w:tcW w:w="2040" w:type="dxa"/>
            <w:tcBorders>
              <w:top w:val="nil"/>
              <w:left w:val="nil"/>
              <w:bottom w:val="nil"/>
              <w:right w:val="nil"/>
            </w:tcBorders>
            <w:shd w:val="clear" w:color="auto" w:fill="auto"/>
            <w:vAlign w:val="bottom"/>
          </w:tcPr>
          <w:p w14:paraId="414BCFA3"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31</w:t>
            </w:r>
          </w:p>
        </w:tc>
        <w:tc>
          <w:tcPr>
            <w:tcW w:w="1875" w:type="dxa"/>
            <w:tcBorders>
              <w:top w:val="nil"/>
              <w:left w:val="nil"/>
              <w:bottom w:val="nil"/>
              <w:right w:val="nil"/>
            </w:tcBorders>
            <w:shd w:val="clear" w:color="auto" w:fill="auto"/>
            <w:vAlign w:val="bottom"/>
          </w:tcPr>
          <w:p w14:paraId="1469757C"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147,63</w:t>
            </w:r>
          </w:p>
        </w:tc>
        <w:tc>
          <w:tcPr>
            <w:tcW w:w="1549" w:type="dxa"/>
            <w:tcBorders>
              <w:top w:val="nil"/>
              <w:left w:val="nil"/>
              <w:bottom w:val="nil"/>
              <w:right w:val="nil"/>
            </w:tcBorders>
            <w:shd w:val="clear" w:color="auto" w:fill="auto"/>
            <w:vAlign w:val="bottom"/>
          </w:tcPr>
          <w:p w14:paraId="2CCCE4A6"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4,57</w:t>
            </w:r>
          </w:p>
        </w:tc>
        <w:tc>
          <w:tcPr>
            <w:tcW w:w="2147" w:type="dxa"/>
            <w:tcBorders>
              <w:top w:val="nil"/>
              <w:left w:val="nil"/>
              <w:bottom w:val="nil"/>
              <w:right w:val="nil"/>
            </w:tcBorders>
            <w:shd w:val="clear" w:color="auto" w:fill="auto"/>
            <w:vAlign w:val="bottom"/>
          </w:tcPr>
          <w:p w14:paraId="4B6C7C89"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15,45</w:t>
            </w:r>
          </w:p>
        </w:tc>
      </w:tr>
      <w:tr w:rsidR="008E7D9E" w:rsidRPr="00666914" w14:paraId="21D184AA" w14:textId="77777777" w:rsidTr="00DE4F8D">
        <w:trPr>
          <w:trHeight w:val="310"/>
        </w:trPr>
        <w:tc>
          <w:tcPr>
            <w:tcW w:w="1624" w:type="dxa"/>
            <w:tcBorders>
              <w:top w:val="nil"/>
              <w:left w:val="nil"/>
              <w:bottom w:val="nil"/>
              <w:right w:val="nil"/>
            </w:tcBorders>
            <w:shd w:val="clear" w:color="auto" w:fill="auto"/>
            <w:vAlign w:val="bottom"/>
          </w:tcPr>
          <w:p w14:paraId="3EF9449F"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60-80%</w:t>
            </w:r>
          </w:p>
        </w:tc>
        <w:tc>
          <w:tcPr>
            <w:tcW w:w="2040" w:type="dxa"/>
            <w:tcBorders>
              <w:top w:val="nil"/>
              <w:left w:val="nil"/>
              <w:bottom w:val="nil"/>
              <w:right w:val="nil"/>
            </w:tcBorders>
            <w:shd w:val="clear" w:color="auto" w:fill="auto"/>
            <w:vAlign w:val="bottom"/>
          </w:tcPr>
          <w:p w14:paraId="7BCA4AAB"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35</w:t>
            </w:r>
          </w:p>
        </w:tc>
        <w:tc>
          <w:tcPr>
            <w:tcW w:w="1875" w:type="dxa"/>
            <w:tcBorders>
              <w:top w:val="nil"/>
              <w:left w:val="nil"/>
              <w:bottom w:val="nil"/>
              <w:right w:val="nil"/>
            </w:tcBorders>
            <w:shd w:val="clear" w:color="auto" w:fill="auto"/>
            <w:vAlign w:val="bottom"/>
          </w:tcPr>
          <w:p w14:paraId="1A9F8A32"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136,02</w:t>
            </w:r>
          </w:p>
        </w:tc>
        <w:tc>
          <w:tcPr>
            <w:tcW w:w="1549" w:type="dxa"/>
            <w:tcBorders>
              <w:top w:val="nil"/>
              <w:left w:val="nil"/>
              <w:bottom w:val="nil"/>
              <w:right w:val="nil"/>
            </w:tcBorders>
            <w:shd w:val="clear" w:color="auto" w:fill="auto"/>
            <w:vAlign w:val="bottom"/>
          </w:tcPr>
          <w:p w14:paraId="75854E3E"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4,76</w:t>
            </w:r>
          </w:p>
        </w:tc>
        <w:tc>
          <w:tcPr>
            <w:tcW w:w="2147" w:type="dxa"/>
            <w:tcBorders>
              <w:top w:val="nil"/>
              <w:left w:val="nil"/>
              <w:bottom w:val="nil"/>
              <w:right w:val="nil"/>
            </w:tcBorders>
            <w:shd w:val="clear" w:color="auto" w:fill="auto"/>
            <w:vAlign w:val="bottom"/>
          </w:tcPr>
          <w:p w14:paraId="16179590"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12,43</w:t>
            </w:r>
          </w:p>
        </w:tc>
      </w:tr>
      <w:tr w:rsidR="008E7D9E" w:rsidRPr="00666914" w14:paraId="64CFEDA2" w14:textId="77777777" w:rsidTr="00DE4F8D">
        <w:trPr>
          <w:trHeight w:val="310"/>
        </w:trPr>
        <w:tc>
          <w:tcPr>
            <w:tcW w:w="1624" w:type="dxa"/>
            <w:tcBorders>
              <w:top w:val="nil"/>
              <w:left w:val="nil"/>
              <w:bottom w:val="single" w:sz="4" w:space="0" w:color="000000"/>
              <w:right w:val="nil"/>
            </w:tcBorders>
            <w:shd w:val="clear" w:color="auto" w:fill="auto"/>
            <w:vAlign w:val="bottom"/>
          </w:tcPr>
          <w:p w14:paraId="7DDB2EF1"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80-100%</w:t>
            </w:r>
          </w:p>
        </w:tc>
        <w:tc>
          <w:tcPr>
            <w:tcW w:w="2040" w:type="dxa"/>
            <w:tcBorders>
              <w:top w:val="nil"/>
              <w:left w:val="nil"/>
              <w:bottom w:val="single" w:sz="4" w:space="0" w:color="000000"/>
              <w:right w:val="nil"/>
            </w:tcBorders>
            <w:shd w:val="clear" w:color="auto" w:fill="auto"/>
            <w:vAlign w:val="bottom"/>
          </w:tcPr>
          <w:p w14:paraId="5CA4D4CD"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18</w:t>
            </w:r>
          </w:p>
        </w:tc>
        <w:tc>
          <w:tcPr>
            <w:tcW w:w="1875" w:type="dxa"/>
            <w:tcBorders>
              <w:top w:val="nil"/>
              <w:left w:val="nil"/>
              <w:bottom w:val="single" w:sz="4" w:space="0" w:color="000000"/>
              <w:right w:val="nil"/>
            </w:tcBorders>
            <w:shd w:val="clear" w:color="auto" w:fill="auto"/>
            <w:vAlign w:val="bottom"/>
          </w:tcPr>
          <w:p w14:paraId="3A84A30D"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88,76</w:t>
            </w:r>
          </w:p>
        </w:tc>
        <w:tc>
          <w:tcPr>
            <w:tcW w:w="1549" w:type="dxa"/>
            <w:tcBorders>
              <w:top w:val="nil"/>
              <w:left w:val="nil"/>
              <w:bottom w:val="single" w:sz="4" w:space="0" w:color="000000"/>
              <w:right w:val="nil"/>
            </w:tcBorders>
            <w:shd w:val="clear" w:color="auto" w:fill="auto"/>
            <w:vAlign w:val="bottom"/>
          </w:tcPr>
          <w:p w14:paraId="0D6FF6C1"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1,60</w:t>
            </w:r>
          </w:p>
        </w:tc>
        <w:tc>
          <w:tcPr>
            <w:tcW w:w="2147" w:type="dxa"/>
            <w:tcBorders>
              <w:top w:val="nil"/>
              <w:left w:val="nil"/>
              <w:bottom w:val="single" w:sz="4" w:space="0" w:color="000000"/>
              <w:right w:val="nil"/>
            </w:tcBorders>
            <w:shd w:val="clear" w:color="auto" w:fill="auto"/>
            <w:vAlign w:val="bottom"/>
          </w:tcPr>
          <w:p w14:paraId="1B59F31A"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3,55</w:t>
            </w:r>
          </w:p>
        </w:tc>
      </w:tr>
    </w:tbl>
    <w:p w14:paraId="17DC3ABE" w14:textId="77777777" w:rsidR="008E7D9E" w:rsidRPr="00666914" w:rsidRDefault="008E7D9E">
      <w:pPr>
        <w:keepNext/>
        <w:keepLines/>
        <w:spacing w:before="40" w:after="240" w:line="276" w:lineRule="auto"/>
        <w:jc w:val="right"/>
        <w:rPr>
          <w:rFonts w:eastAsia="Arial Narrow" w:cs="Arial Narrow"/>
          <w:i/>
          <w:sz w:val="18"/>
          <w:szCs w:val="18"/>
        </w:rPr>
      </w:pPr>
      <w:r w:rsidRPr="00666914">
        <w:rPr>
          <w:rFonts w:eastAsia="Arial Narrow" w:cs="Arial Narrow"/>
          <w:i/>
          <w:sz w:val="18"/>
          <w:szCs w:val="18"/>
        </w:rPr>
        <w:t>Zdroj: EF</w:t>
      </w:r>
    </w:p>
    <w:p w14:paraId="76C64B29" w14:textId="77777777" w:rsidR="008E7D9E" w:rsidRPr="00666914" w:rsidRDefault="008E7D9E" w:rsidP="00F64B85">
      <w:pPr>
        <w:widowControl w:val="0"/>
        <w:pBdr>
          <w:top w:val="nil"/>
          <w:left w:val="nil"/>
          <w:bottom w:val="nil"/>
          <w:right w:val="nil"/>
          <w:between w:val="nil"/>
        </w:pBdr>
        <w:spacing w:after="0"/>
        <w:rPr>
          <w:rFonts w:eastAsia="Arial Narrow" w:cs="Arial Narrow"/>
        </w:rPr>
      </w:pPr>
      <w:r w:rsidRPr="00666914">
        <w:rPr>
          <w:rFonts w:eastAsia="Arial Narrow" w:cs="Arial Narrow"/>
        </w:rPr>
        <w:t>Tieto žiadosti o dotáciu boli posudzované ešte podľa pôvodných kritérií. Od roku 2020 by však už mali byť posudzované na základe výberových kritérií s použitím benchmarkov, ktoré vypracoval IEP. Dotácie do vodohospodárskej infraštruktúry za roky 2017-2019 podľa okresov sú zobrazené v mape.</w:t>
      </w:r>
    </w:p>
    <w:p w14:paraId="303E5051" w14:textId="4FD20104" w:rsidR="008E7D9E" w:rsidRPr="00666914" w:rsidRDefault="008E7D9E" w:rsidP="00376C54">
      <w:pPr>
        <w:spacing w:after="0"/>
        <w:rPr>
          <w:rFonts w:eastAsia="Arial Narrow" w:cs="Arial Narrow"/>
        </w:rPr>
      </w:pPr>
    </w:p>
    <w:p w14:paraId="619C06F8" w14:textId="6DB7F7BE" w:rsidR="008E7D9E" w:rsidRPr="00666914" w:rsidRDefault="008E7D9E" w:rsidP="00F64B85">
      <w:pPr>
        <w:pBdr>
          <w:bottom w:val="single" w:sz="4" w:space="1" w:color="auto"/>
        </w:pBdr>
        <w:spacing w:after="0"/>
        <w:rPr>
          <w:rFonts w:eastAsia="Arial Narrow" w:cs="Arial Narrow"/>
          <w:b/>
          <w:sz w:val="20"/>
          <w:szCs w:val="20"/>
        </w:rPr>
      </w:pPr>
      <w:bookmarkStart w:id="335" w:name="_Toc38390070"/>
      <w:r w:rsidRPr="00666914">
        <w:rPr>
          <w:rFonts w:eastAsia="Arial Narrow" w:cs="Arial Narrow"/>
          <w:b/>
          <w:sz w:val="20"/>
          <w:szCs w:val="20"/>
        </w:rPr>
        <w:t xml:space="preserve">Obrázok </w:t>
      </w:r>
      <w:r w:rsidRPr="00666914">
        <w:rPr>
          <w:rFonts w:eastAsia="Arial Narrow" w:cs="Arial Narrow"/>
          <w:b/>
          <w:sz w:val="20"/>
          <w:szCs w:val="20"/>
        </w:rPr>
        <w:fldChar w:fldCharType="begin"/>
      </w:r>
      <w:r w:rsidRPr="00666914">
        <w:rPr>
          <w:rFonts w:eastAsia="Arial Narrow" w:cs="Arial Narrow"/>
          <w:b/>
          <w:sz w:val="20"/>
          <w:szCs w:val="20"/>
        </w:rPr>
        <w:instrText xml:space="preserve"> SEQ Obrázok \* ARABIC \* MERGEFORMAT </w:instrText>
      </w:r>
      <w:r w:rsidRPr="00666914">
        <w:rPr>
          <w:rFonts w:eastAsia="Arial Narrow" w:cs="Arial Narrow"/>
          <w:b/>
          <w:sz w:val="20"/>
          <w:szCs w:val="20"/>
        </w:rPr>
        <w:fldChar w:fldCharType="separate"/>
      </w:r>
      <w:r w:rsidR="005A7304">
        <w:rPr>
          <w:rFonts w:eastAsia="Arial Narrow" w:cs="Arial Narrow"/>
          <w:b/>
          <w:noProof/>
          <w:sz w:val="20"/>
          <w:szCs w:val="20"/>
        </w:rPr>
        <w:t>2</w:t>
      </w:r>
      <w:r w:rsidRPr="00666914">
        <w:rPr>
          <w:rFonts w:eastAsia="Arial Narrow" w:cs="Arial Narrow"/>
          <w:b/>
          <w:sz w:val="20"/>
          <w:szCs w:val="20"/>
        </w:rPr>
        <w:fldChar w:fldCharType="end"/>
      </w:r>
      <w:r w:rsidRPr="00666914">
        <w:rPr>
          <w:rFonts w:eastAsia="Arial Narrow" w:cs="Arial Narrow"/>
          <w:b/>
          <w:sz w:val="20"/>
          <w:szCs w:val="20"/>
        </w:rPr>
        <w:t>: Podporené okresy dotáciami z EF v období od 2017-2019</w:t>
      </w:r>
      <w:bookmarkEnd w:id="335"/>
    </w:p>
    <w:p w14:paraId="39C4463D" w14:textId="77777777" w:rsidR="008E7D9E" w:rsidRPr="00666914" w:rsidRDefault="008E7D9E">
      <w:pPr>
        <w:pBdr>
          <w:bottom w:val="single" w:sz="4" w:space="1" w:color="000000"/>
        </w:pBdr>
        <w:spacing w:after="0"/>
        <w:rPr>
          <w:rFonts w:eastAsia="Arial Narrow" w:cs="Arial Narrow"/>
          <w:b/>
        </w:rPr>
      </w:pPr>
      <w:r w:rsidRPr="00666914">
        <w:rPr>
          <w:rFonts w:eastAsia="Arial Narrow" w:cs="Arial Narrow"/>
          <w:b/>
          <w:noProof/>
          <w:lang w:eastAsia="sk-SK"/>
        </w:rPr>
        <w:drawing>
          <wp:inline distT="0" distB="0" distL="0" distR="0" wp14:anchorId="344E5A74" wp14:editId="3CF0E3B7">
            <wp:extent cx="5666568" cy="3532860"/>
            <wp:effectExtent l="0" t="0" r="0" b="0"/>
            <wp:docPr id="9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6"/>
                    <a:srcRect/>
                    <a:stretch>
                      <a:fillRect/>
                    </a:stretch>
                  </pic:blipFill>
                  <pic:spPr>
                    <a:xfrm>
                      <a:off x="0" y="0"/>
                      <a:ext cx="5666568" cy="3532860"/>
                    </a:xfrm>
                    <a:prstGeom prst="rect">
                      <a:avLst/>
                    </a:prstGeom>
                    <a:ln/>
                  </pic:spPr>
                </pic:pic>
              </a:graphicData>
            </a:graphic>
          </wp:inline>
        </w:drawing>
      </w:r>
    </w:p>
    <w:p w14:paraId="39C76C73" w14:textId="77777777" w:rsidR="008E7D9E" w:rsidRPr="00666914" w:rsidRDefault="008E7D9E">
      <w:pPr>
        <w:spacing w:after="0"/>
        <w:jc w:val="right"/>
        <w:rPr>
          <w:rFonts w:eastAsia="Arial Narrow" w:cs="Arial Narrow"/>
          <w:i/>
          <w:sz w:val="18"/>
          <w:szCs w:val="18"/>
        </w:rPr>
      </w:pPr>
      <w:r w:rsidRPr="00666914">
        <w:rPr>
          <w:rFonts w:eastAsia="Arial Narrow" w:cs="Arial Narrow"/>
          <w:i/>
          <w:sz w:val="18"/>
          <w:szCs w:val="18"/>
        </w:rPr>
        <w:t>Z</w:t>
      </w:r>
      <w:sdt>
        <w:sdtPr>
          <w:tag w:val="goog_rdk_66"/>
          <w:id w:val="-1241097496"/>
        </w:sdtPr>
        <w:sdtEndPr/>
        <w:sdtContent/>
      </w:sdt>
      <w:sdt>
        <w:sdtPr>
          <w:tag w:val="goog_rdk_67"/>
          <w:id w:val="-958487783"/>
        </w:sdtPr>
        <w:sdtEndPr/>
        <w:sdtContent/>
      </w:sdt>
      <w:r w:rsidRPr="00666914">
        <w:rPr>
          <w:rFonts w:eastAsia="Arial Narrow" w:cs="Arial Narrow"/>
          <w:i/>
          <w:sz w:val="18"/>
          <w:szCs w:val="18"/>
        </w:rPr>
        <w:t>droj: EF</w:t>
      </w:r>
    </w:p>
    <w:p w14:paraId="32984CE6" w14:textId="77777777" w:rsidR="008E7D9E" w:rsidRPr="00666914" w:rsidRDefault="008E7D9E">
      <w:pPr>
        <w:spacing w:after="0"/>
        <w:rPr>
          <w:rFonts w:eastAsia="Arial Narrow" w:cs="Arial Narrow"/>
          <w:b/>
        </w:rPr>
      </w:pPr>
    </w:p>
    <w:p w14:paraId="17CAD438" w14:textId="77777777" w:rsidR="008E7D9E" w:rsidRPr="00666914" w:rsidRDefault="008E7D9E">
      <w:pPr>
        <w:spacing w:after="0"/>
        <w:rPr>
          <w:rFonts w:eastAsia="Arial Narrow" w:cs="Arial Narrow"/>
        </w:rPr>
      </w:pPr>
      <w:r w:rsidRPr="00666914">
        <w:rPr>
          <w:rFonts w:eastAsia="Arial Narrow" w:cs="Arial Narrow"/>
          <w:b/>
        </w:rPr>
        <w:t>V nadväznosti na vládou schválený materiál „Financovanie rozvoja verejných vodovodov</w:t>
      </w:r>
      <w:r w:rsidRPr="00666914">
        <w:rPr>
          <w:rFonts w:eastAsia="Arial Narrow" w:cs="Arial Narrow"/>
        </w:rPr>
        <w:t xml:space="preserve"> (s dôrazom pre obce do 2 000 obyvateľov</w:t>
      </w:r>
      <w:r w:rsidRPr="00666914">
        <w:rPr>
          <w:rFonts w:eastAsia="Arial Narrow" w:cs="Arial Narrow"/>
          <w:b/>
        </w:rPr>
        <w:t>) a verejných kanalizácií</w:t>
      </w:r>
      <w:r w:rsidRPr="00666914">
        <w:rPr>
          <w:rFonts w:eastAsia="Arial Narrow" w:cs="Arial Narrow"/>
        </w:rPr>
        <w:t xml:space="preserve"> (s dôrazom pre obce v aglomeráciách do 2 000 ekvivalentných obyvateľov) </w:t>
      </w:r>
      <w:r w:rsidRPr="00666914">
        <w:rPr>
          <w:rFonts w:eastAsia="Arial Narrow" w:cs="Arial Narrow"/>
          <w:b/>
        </w:rPr>
        <w:t>v Slovenskej republike pre roky 2020 – 2030</w:t>
      </w:r>
      <w:r w:rsidRPr="00666914">
        <w:rPr>
          <w:rFonts w:eastAsia="Arial Narrow" w:cs="Arial Narrow"/>
        </w:rPr>
        <w:t>“</w:t>
      </w:r>
      <w:r w:rsidRPr="00666914">
        <w:rPr>
          <w:rFonts w:eastAsia="Arial Narrow" w:cs="Arial Narrow"/>
          <w:vertAlign w:val="superscript"/>
        </w:rPr>
        <w:footnoteReference w:id="285"/>
      </w:r>
      <w:r w:rsidRPr="00666914">
        <w:rPr>
          <w:rFonts w:eastAsia="Arial Narrow" w:cs="Arial Narrow"/>
        </w:rPr>
        <w:t xml:space="preserve"> vyhlásil EF novú výzvu</w:t>
      </w:r>
      <w:r w:rsidRPr="00666914">
        <w:rPr>
          <w:rFonts w:eastAsia="Arial Narrow" w:cs="Arial Narrow"/>
          <w:vertAlign w:val="superscript"/>
        </w:rPr>
        <w:footnoteReference w:id="286"/>
      </w:r>
      <w:r w:rsidRPr="00666914">
        <w:rPr>
          <w:rFonts w:eastAsia="Arial Narrow" w:cs="Arial Narrow"/>
        </w:rPr>
        <w:t>. V nej do konca roku 2019 prijal 155 žiadostí na výstavbu vodohospodárskej infraštruktúry v celkovej požadovanej výške 189 mil. eur. Priemerná žiadosť o dotáciu je vo výške 1,2 mil. eur. V čase prípravy SIS 2019 neboli žiadosti ešte vyhodnotené.</w:t>
      </w:r>
    </w:p>
    <w:p w14:paraId="5B3C38D1" w14:textId="77777777" w:rsidR="008E7D9E" w:rsidRPr="00666914" w:rsidRDefault="008E7D9E">
      <w:pPr>
        <w:spacing w:after="0"/>
        <w:rPr>
          <w:rFonts w:eastAsia="Arial Narrow" w:cs="Arial Narrow"/>
          <w:b/>
          <w:sz w:val="20"/>
          <w:szCs w:val="20"/>
        </w:rPr>
      </w:pPr>
      <w:bookmarkStart w:id="336" w:name="_heading=h.4i7ojhp" w:colFirst="0" w:colLast="0"/>
      <w:bookmarkEnd w:id="336"/>
    </w:p>
    <w:p w14:paraId="305C86EA" w14:textId="721DF903" w:rsidR="008E7D9E" w:rsidRPr="00666914" w:rsidRDefault="008E7D9E">
      <w:pPr>
        <w:spacing w:after="0"/>
        <w:rPr>
          <w:rFonts w:eastAsia="Arial Narrow" w:cs="Arial Narrow"/>
          <w:b/>
          <w:sz w:val="20"/>
          <w:szCs w:val="20"/>
        </w:rPr>
      </w:pPr>
      <w:r w:rsidRPr="00666914">
        <w:rPr>
          <w:rFonts w:eastAsia="Arial Narrow" w:cs="Arial Narrow"/>
          <w:b/>
        </w:rPr>
        <w:t>Z dôvodu naďalej nedostatočnej podpory projektov vo finálnej fáze sa</w:t>
      </w:r>
      <w:r w:rsidR="000644F2" w:rsidRPr="00666914">
        <w:rPr>
          <w:rFonts w:eastAsia="Arial Narrow" w:cs="Arial Narrow"/>
          <w:b/>
        </w:rPr>
        <w:t xml:space="preserve"> opatrenie k 31.12.2019 neplní.</w:t>
      </w:r>
    </w:p>
    <w:p w14:paraId="68B08271" w14:textId="77777777" w:rsidR="008E7D9E" w:rsidRPr="00666914" w:rsidRDefault="008E7D9E">
      <w:pPr>
        <w:spacing w:after="0"/>
        <w:rPr>
          <w:rFonts w:eastAsia="Arial Narrow" w:cs="Arial Narrow"/>
          <w:b/>
          <w:sz w:val="20"/>
          <w:szCs w:val="20"/>
        </w:rPr>
      </w:pPr>
    </w:p>
    <w:p w14:paraId="5689152C" w14:textId="77777777" w:rsidR="008E7D9E" w:rsidRPr="00666914" w:rsidRDefault="008E7D9E" w:rsidP="008E7D9E">
      <w:pPr>
        <w:pStyle w:val="Nadpis2"/>
        <w:rPr>
          <w:rFonts w:eastAsia="Arial Narrow"/>
        </w:rPr>
      </w:pPr>
      <w:bookmarkStart w:id="337" w:name="_heading=h.2xcytpi" w:colFirst="0" w:colLast="0"/>
      <w:bookmarkStart w:id="338" w:name="_Toc38447612"/>
      <w:bookmarkEnd w:id="337"/>
      <w:r w:rsidRPr="00666914">
        <w:rPr>
          <w:rFonts w:eastAsia="Arial Narrow"/>
        </w:rPr>
        <w:t>Riadenie</w:t>
      </w:r>
      <w:bookmarkEnd w:id="338"/>
    </w:p>
    <w:tbl>
      <w:tblPr>
        <w:tblW w:w="9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
        <w:gridCol w:w="2335"/>
        <w:gridCol w:w="1456"/>
        <w:gridCol w:w="1311"/>
        <w:gridCol w:w="1019"/>
        <w:gridCol w:w="655"/>
        <w:gridCol w:w="655"/>
        <w:gridCol w:w="655"/>
        <w:gridCol w:w="655"/>
      </w:tblGrid>
      <w:tr w:rsidR="008E7D9E" w:rsidRPr="00666914" w14:paraId="6A7775F1" w14:textId="77777777" w:rsidTr="00254A5B">
        <w:trPr>
          <w:trHeight w:val="307"/>
        </w:trPr>
        <w:tc>
          <w:tcPr>
            <w:tcW w:w="427" w:type="dxa"/>
            <w:shd w:val="clear" w:color="auto" w:fill="auto"/>
            <w:vAlign w:val="bottom"/>
          </w:tcPr>
          <w:p w14:paraId="63FE16F1"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 </w:t>
            </w:r>
          </w:p>
        </w:tc>
        <w:tc>
          <w:tcPr>
            <w:tcW w:w="2335" w:type="dxa"/>
            <w:shd w:val="clear" w:color="auto" w:fill="auto"/>
            <w:vAlign w:val="center"/>
          </w:tcPr>
          <w:p w14:paraId="25C31337"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Opatrenie</w:t>
            </w:r>
          </w:p>
        </w:tc>
        <w:tc>
          <w:tcPr>
            <w:tcW w:w="1456" w:type="dxa"/>
            <w:shd w:val="clear" w:color="auto" w:fill="auto"/>
            <w:vAlign w:val="center"/>
          </w:tcPr>
          <w:p w14:paraId="47C4DB87"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Zodpovednosť</w:t>
            </w:r>
          </w:p>
        </w:tc>
        <w:tc>
          <w:tcPr>
            <w:tcW w:w="1311" w:type="dxa"/>
            <w:shd w:val="clear" w:color="auto" w:fill="auto"/>
            <w:vAlign w:val="center"/>
          </w:tcPr>
          <w:p w14:paraId="6626ACDF"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Termín plnenia</w:t>
            </w:r>
          </w:p>
        </w:tc>
        <w:tc>
          <w:tcPr>
            <w:tcW w:w="1019" w:type="dxa"/>
          </w:tcPr>
          <w:p w14:paraId="74C2D740"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Nový termín plnenia</w:t>
            </w:r>
          </w:p>
        </w:tc>
        <w:tc>
          <w:tcPr>
            <w:tcW w:w="655" w:type="dxa"/>
            <w:shd w:val="clear" w:color="auto" w:fill="auto"/>
            <w:vAlign w:val="center"/>
          </w:tcPr>
          <w:p w14:paraId="71C8B632"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1Q 2019</w:t>
            </w:r>
          </w:p>
        </w:tc>
        <w:tc>
          <w:tcPr>
            <w:tcW w:w="655" w:type="dxa"/>
            <w:shd w:val="clear" w:color="auto" w:fill="auto"/>
            <w:vAlign w:val="center"/>
          </w:tcPr>
          <w:p w14:paraId="3C02976C"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2Q 2019</w:t>
            </w:r>
          </w:p>
        </w:tc>
        <w:tc>
          <w:tcPr>
            <w:tcW w:w="655" w:type="dxa"/>
            <w:shd w:val="clear" w:color="auto" w:fill="auto"/>
            <w:vAlign w:val="center"/>
          </w:tcPr>
          <w:p w14:paraId="4A77DC6E"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3Q 2019</w:t>
            </w:r>
          </w:p>
        </w:tc>
        <w:tc>
          <w:tcPr>
            <w:tcW w:w="655" w:type="dxa"/>
            <w:shd w:val="clear" w:color="auto" w:fill="auto"/>
            <w:vAlign w:val="center"/>
          </w:tcPr>
          <w:p w14:paraId="73504BC3"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4Q 2019</w:t>
            </w:r>
          </w:p>
        </w:tc>
      </w:tr>
      <w:tr w:rsidR="008E7D9E" w:rsidRPr="00666914" w14:paraId="13817FDC" w14:textId="77777777" w:rsidTr="00254A5B">
        <w:trPr>
          <w:trHeight w:val="287"/>
        </w:trPr>
        <w:tc>
          <w:tcPr>
            <w:tcW w:w="427" w:type="dxa"/>
            <w:shd w:val="clear" w:color="auto" w:fill="auto"/>
            <w:vAlign w:val="center"/>
          </w:tcPr>
          <w:p w14:paraId="03F4935E"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10</w:t>
            </w:r>
          </w:p>
        </w:tc>
        <w:tc>
          <w:tcPr>
            <w:tcW w:w="2335" w:type="dxa"/>
            <w:shd w:val="clear" w:color="auto" w:fill="auto"/>
            <w:vAlign w:val="center"/>
          </w:tcPr>
          <w:p w14:paraId="58C63771"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Zlepšiť strategické riadenie so zameraním na výsledky:</w:t>
            </w:r>
          </w:p>
          <w:p w14:paraId="4749D007"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vytvoriť viacročnú stratégiu podpory na základe prioritizácie cieľových oblastí a projektov</w:t>
            </w:r>
          </w:p>
          <w:p w14:paraId="75BE7E8C"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zvýšiť využívanie úverov vo fonde</w:t>
            </w:r>
          </w:p>
          <w:p w14:paraId="2809B12E"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zlepšiť analytické hodnotenie, vrátane preorientovania výberových kritérií na výsledkové</w:t>
            </w:r>
          </w:p>
        </w:tc>
        <w:tc>
          <w:tcPr>
            <w:tcW w:w="1456" w:type="dxa"/>
            <w:shd w:val="clear" w:color="auto" w:fill="auto"/>
            <w:vAlign w:val="center"/>
          </w:tcPr>
          <w:p w14:paraId="16DEEFFB"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SR/EF</w:t>
            </w:r>
          </w:p>
        </w:tc>
        <w:tc>
          <w:tcPr>
            <w:tcW w:w="1311" w:type="dxa"/>
            <w:shd w:val="clear" w:color="auto" w:fill="auto"/>
            <w:vAlign w:val="center"/>
          </w:tcPr>
          <w:p w14:paraId="01A9217E"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w:t>
            </w:r>
          </w:p>
        </w:tc>
        <w:tc>
          <w:tcPr>
            <w:tcW w:w="1019" w:type="dxa"/>
            <w:vAlign w:val="center"/>
          </w:tcPr>
          <w:p w14:paraId="50767FD1"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06/2019</w:t>
            </w:r>
          </w:p>
          <w:p w14:paraId="6D1252BC" w14:textId="77777777" w:rsidR="008E7D9E" w:rsidRPr="00666914" w:rsidRDefault="008E7D9E">
            <w:pPr>
              <w:spacing w:after="0"/>
              <w:jc w:val="center"/>
              <w:rPr>
                <w:rFonts w:eastAsia="Arial Narrow" w:cs="Arial Narrow"/>
                <w:color w:val="000000"/>
                <w:sz w:val="20"/>
                <w:szCs w:val="20"/>
              </w:rPr>
            </w:pPr>
          </w:p>
          <w:p w14:paraId="72FCEB7B" w14:textId="77777777" w:rsidR="008E7D9E" w:rsidRPr="00666914" w:rsidRDefault="008E7D9E">
            <w:pPr>
              <w:spacing w:after="0"/>
              <w:jc w:val="center"/>
              <w:rPr>
                <w:rFonts w:eastAsia="Arial Narrow" w:cs="Arial Narrow"/>
                <w:color w:val="000000"/>
                <w:sz w:val="20"/>
                <w:szCs w:val="20"/>
              </w:rPr>
            </w:pPr>
          </w:p>
          <w:p w14:paraId="6BE2D12E"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priebežne</w:t>
            </w:r>
          </w:p>
          <w:p w14:paraId="777FC985" w14:textId="77777777" w:rsidR="008E7D9E" w:rsidRPr="00666914" w:rsidRDefault="008E7D9E">
            <w:pPr>
              <w:spacing w:after="0"/>
              <w:jc w:val="center"/>
              <w:rPr>
                <w:rFonts w:eastAsia="Arial Narrow" w:cs="Arial Narrow"/>
                <w:color w:val="000000"/>
                <w:sz w:val="20"/>
                <w:szCs w:val="20"/>
              </w:rPr>
            </w:pPr>
          </w:p>
          <w:p w14:paraId="7C62DE3C" w14:textId="77777777" w:rsidR="008E7D9E" w:rsidRPr="00666914" w:rsidRDefault="008E7D9E">
            <w:pPr>
              <w:spacing w:after="0"/>
              <w:jc w:val="center"/>
              <w:rPr>
                <w:rFonts w:eastAsia="Arial Narrow" w:cs="Arial Narrow"/>
                <w:color w:val="000000"/>
                <w:sz w:val="20"/>
                <w:szCs w:val="20"/>
              </w:rPr>
            </w:pPr>
          </w:p>
          <w:p w14:paraId="77F4ABCA"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06/2019</w:t>
            </w:r>
          </w:p>
          <w:p w14:paraId="006F584D" w14:textId="77777777" w:rsidR="008E7D9E" w:rsidRPr="00666914" w:rsidRDefault="008E7D9E">
            <w:pPr>
              <w:spacing w:after="0"/>
              <w:jc w:val="center"/>
              <w:rPr>
                <w:rFonts w:eastAsia="Arial Narrow" w:cs="Arial Narrow"/>
                <w:color w:val="000000"/>
                <w:sz w:val="20"/>
                <w:szCs w:val="20"/>
              </w:rPr>
            </w:pPr>
          </w:p>
        </w:tc>
        <w:tc>
          <w:tcPr>
            <w:tcW w:w="655" w:type="dxa"/>
            <w:shd w:val="clear" w:color="auto" w:fill="FF0000"/>
            <w:vAlign w:val="bottom"/>
          </w:tcPr>
          <w:p w14:paraId="4A9B3573"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55" w:type="dxa"/>
            <w:shd w:val="clear" w:color="auto" w:fill="FF0000"/>
            <w:vAlign w:val="bottom"/>
          </w:tcPr>
          <w:p w14:paraId="3F5E4E73"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55" w:type="dxa"/>
            <w:shd w:val="clear" w:color="auto" w:fill="FF0000"/>
            <w:vAlign w:val="bottom"/>
          </w:tcPr>
          <w:p w14:paraId="1FF476A2"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55" w:type="dxa"/>
            <w:shd w:val="clear" w:color="auto" w:fill="FFC000"/>
            <w:vAlign w:val="bottom"/>
          </w:tcPr>
          <w:p w14:paraId="0077EB10"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786E1A6D" w14:textId="77777777" w:rsidTr="00254A5B">
        <w:trPr>
          <w:trHeight w:val="287"/>
        </w:trPr>
        <w:tc>
          <w:tcPr>
            <w:tcW w:w="427" w:type="dxa"/>
            <w:shd w:val="clear" w:color="auto" w:fill="auto"/>
            <w:vAlign w:val="center"/>
          </w:tcPr>
          <w:p w14:paraId="6A12D37E"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11</w:t>
            </w:r>
          </w:p>
        </w:tc>
        <w:tc>
          <w:tcPr>
            <w:tcW w:w="2335" w:type="dxa"/>
            <w:shd w:val="clear" w:color="auto" w:fill="auto"/>
            <w:vAlign w:val="center"/>
          </w:tcPr>
          <w:p w14:paraId="6F48736E"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Zefektívniť rozpočtovací proces:</w:t>
            </w:r>
          </w:p>
          <w:p w14:paraId="498145A3"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zmenu rozpočtovania príjmov spojiť s lepším plánovaním výdavkov</w:t>
            </w:r>
          </w:p>
          <w:p w14:paraId="7F594FA9"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rozhodnúť o pevnom percente príjmov z aukcií emisných kvót použitých na poskytovanie dotácií a úverov</w:t>
            </w:r>
          </w:p>
        </w:tc>
        <w:tc>
          <w:tcPr>
            <w:tcW w:w="1456" w:type="dxa"/>
            <w:shd w:val="clear" w:color="auto" w:fill="auto"/>
            <w:vAlign w:val="center"/>
          </w:tcPr>
          <w:p w14:paraId="2051F13F"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MF SR/MŽP SR/EF</w:t>
            </w:r>
          </w:p>
        </w:tc>
        <w:tc>
          <w:tcPr>
            <w:tcW w:w="1311" w:type="dxa"/>
            <w:shd w:val="clear" w:color="auto" w:fill="auto"/>
            <w:vAlign w:val="center"/>
          </w:tcPr>
          <w:p w14:paraId="02A0B244"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w:t>
            </w:r>
          </w:p>
        </w:tc>
        <w:tc>
          <w:tcPr>
            <w:tcW w:w="1019" w:type="dxa"/>
            <w:vAlign w:val="center"/>
          </w:tcPr>
          <w:p w14:paraId="69E38CE7"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priebežne</w:t>
            </w:r>
          </w:p>
        </w:tc>
        <w:tc>
          <w:tcPr>
            <w:tcW w:w="655" w:type="dxa"/>
            <w:shd w:val="clear" w:color="auto" w:fill="FF0000"/>
            <w:vAlign w:val="bottom"/>
          </w:tcPr>
          <w:p w14:paraId="59A16E95" w14:textId="77777777" w:rsidR="008E7D9E" w:rsidRPr="00666914" w:rsidRDefault="008E7D9E">
            <w:pPr>
              <w:spacing w:after="0"/>
              <w:rPr>
                <w:rFonts w:eastAsia="Arial Narrow" w:cs="Arial Narrow"/>
                <w:color w:val="000000"/>
                <w:sz w:val="20"/>
                <w:szCs w:val="20"/>
              </w:rPr>
            </w:pPr>
          </w:p>
        </w:tc>
        <w:tc>
          <w:tcPr>
            <w:tcW w:w="655" w:type="dxa"/>
            <w:shd w:val="clear" w:color="auto" w:fill="FFC000"/>
            <w:vAlign w:val="bottom"/>
          </w:tcPr>
          <w:p w14:paraId="211C33DB" w14:textId="77777777" w:rsidR="008E7D9E" w:rsidRPr="00666914" w:rsidRDefault="008E7D9E">
            <w:pPr>
              <w:spacing w:after="0"/>
              <w:rPr>
                <w:rFonts w:eastAsia="Arial Narrow" w:cs="Arial Narrow"/>
                <w:color w:val="000000"/>
                <w:sz w:val="20"/>
                <w:szCs w:val="20"/>
              </w:rPr>
            </w:pPr>
          </w:p>
        </w:tc>
        <w:tc>
          <w:tcPr>
            <w:tcW w:w="655" w:type="dxa"/>
            <w:shd w:val="clear" w:color="auto" w:fill="FFC000"/>
            <w:vAlign w:val="bottom"/>
          </w:tcPr>
          <w:p w14:paraId="51FE1759" w14:textId="77777777" w:rsidR="008E7D9E" w:rsidRPr="00666914" w:rsidRDefault="008E7D9E">
            <w:pPr>
              <w:spacing w:after="0"/>
              <w:rPr>
                <w:rFonts w:eastAsia="Arial Narrow" w:cs="Arial Narrow"/>
                <w:color w:val="000000"/>
                <w:sz w:val="20"/>
                <w:szCs w:val="20"/>
              </w:rPr>
            </w:pPr>
          </w:p>
        </w:tc>
        <w:tc>
          <w:tcPr>
            <w:tcW w:w="655" w:type="dxa"/>
            <w:shd w:val="clear" w:color="auto" w:fill="FFC000"/>
            <w:vAlign w:val="bottom"/>
          </w:tcPr>
          <w:p w14:paraId="1BD2936A" w14:textId="77777777" w:rsidR="008E7D9E" w:rsidRPr="00666914" w:rsidRDefault="008E7D9E">
            <w:pPr>
              <w:spacing w:after="0"/>
              <w:rPr>
                <w:rFonts w:eastAsia="Arial Narrow" w:cs="Arial Narrow"/>
                <w:color w:val="000000"/>
                <w:sz w:val="20"/>
                <w:szCs w:val="20"/>
              </w:rPr>
            </w:pPr>
          </w:p>
        </w:tc>
      </w:tr>
      <w:tr w:rsidR="008E7D9E" w:rsidRPr="00666914" w14:paraId="698558B1" w14:textId="77777777" w:rsidTr="00254A5B">
        <w:trPr>
          <w:trHeight w:val="287"/>
        </w:trPr>
        <w:tc>
          <w:tcPr>
            <w:tcW w:w="427" w:type="dxa"/>
            <w:shd w:val="clear" w:color="auto" w:fill="auto"/>
            <w:vAlign w:val="center"/>
          </w:tcPr>
          <w:p w14:paraId="32F8CE65"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12</w:t>
            </w:r>
          </w:p>
        </w:tc>
        <w:tc>
          <w:tcPr>
            <w:tcW w:w="2335" w:type="dxa"/>
            <w:shd w:val="clear" w:color="auto" w:fill="auto"/>
            <w:vAlign w:val="center"/>
          </w:tcPr>
          <w:p w14:paraId="0E12C9D8"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Prioritizovať podporu chránených území a opatrenia v jednotlivých dokumentoch starostlivosti chránených území</w:t>
            </w:r>
          </w:p>
        </w:tc>
        <w:tc>
          <w:tcPr>
            <w:tcW w:w="1456" w:type="dxa"/>
            <w:shd w:val="clear" w:color="auto" w:fill="auto"/>
            <w:vAlign w:val="center"/>
          </w:tcPr>
          <w:p w14:paraId="01D60C16"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SR/ŠOP SR</w:t>
            </w:r>
          </w:p>
        </w:tc>
        <w:tc>
          <w:tcPr>
            <w:tcW w:w="1311" w:type="dxa"/>
            <w:shd w:val="clear" w:color="auto" w:fill="auto"/>
            <w:vAlign w:val="center"/>
          </w:tcPr>
          <w:p w14:paraId="0B9A4657"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w:t>
            </w:r>
          </w:p>
        </w:tc>
        <w:tc>
          <w:tcPr>
            <w:tcW w:w="1019" w:type="dxa"/>
            <w:vAlign w:val="center"/>
          </w:tcPr>
          <w:p w14:paraId="388940BD"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06/2019</w:t>
            </w:r>
          </w:p>
        </w:tc>
        <w:tc>
          <w:tcPr>
            <w:tcW w:w="655" w:type="dxa"/>
            <w:shd w:val="clear" w:color="auto" w:fill="FF0000"/>
            <w:vAlign w:val="bottom"/>
          </w:tcPr>
          <w:p w14:paraId="048567EC" w14:textId="77777777" w:rsidR="008E7D9E" w:rsidRPr="00666914" w:rsidRDefault="008E7D9E">
            <w:pPr>
              <w:spacing w:after="0"/>
              <w:rPr>
                <w:rFonts w:eastAsia="Arial Narrow" w:cs="Arial Narrow"/>
                <w:color w:val="000000"/>
                <w:sz w:val="20"/>
                <w:szCs w:val="20"/>
              </w:rPr>
            </w:pPr>
          </w:p>
        </w:tc>
        <w:tc>
          <w:tcPr>
            <w:tcW w:w="655" w:type="dxa"/>
            <w:shd w:val="clear" w:color="auto" w:fill="FFC000"/>
            <w:vAlign w:val="bottom"/>
          </w:tcPr>
          <w:p w14:paraId="0CF0880D" w14:textId="77777777" w:rsidR="008E7D9E" w:rsidRPr="00666914" w:rsidRDefault="008E7D9E">
            <w:pPr>
              <w:spacing w:after="0"/>
              <w:rPr>
                <w:rFonts w:eastAsia="Arial Narrow" w:cs="Arial Narrow"/>
                <w:color w:val="000000"/>
                <w:sz w:val="20"/>
                <w:szCs w:val="20"/>
              </w:rPr>
            </w:pPr>
          </w:p>
        </w:tc>
        <w:tc>
          <w:tcPr>
            <w:tcW w:w="655" w:type="dxa"/>
            <w:shd w:val="clear" w:color="auto" w:fill="FFC000"/>
            <w:vAlign w:val="bottom"/>
          </w:tcPr>
          <w:p w14:paraId="02A020DC" w14:textId="77777777" w:rsidR="008E7D9E" w:rsidRPr="00666914" w:rsidRDefault="008E7D9E">
            <w:pPr>
              <w:spacing w:after="0"/>
              <w:rPr>
                <w:rFonts w:eastAsia="Arial Narrow" w:cs="Arial Narrow"/>
                <w:color w:val="000000"/>
                <w:sz w:val="20"/>
                <w:szCs w:val="20"/>
              </w:rPr>
            </w:pPr>
          </w:p>
        </w:tc>
        <w:tc>
          <w:tcPr>
            <w:tcW w:w="655" w:type="dxa"/>
            <w:shd w:val="clear" w:color="auto" w:fill="FFC000"/>
            <w:vAlign w:val="bottom"/>
          </w:tcPr>
          <w:p w14:paraId="54194BFF" w14:textId="77777777" w:rsidR="008E7D9E" w:rsidRPr="00666914" w:rsidRDefault="008E7D9E">
            <w:pPr>
              <w:spacing w:after="0"/>
              <w:rPr>
                <w:rFonts w:eastAsia="Arial Narrow" w:cs="Arial Narrow"/>
                <w:color w:val="000000"/>
                <w:sz w:val="20"/>
                <w:szCs w:val="20"/>
              </w:rPr>
            </w:pPr>
          </w:p>
        </w:tc>
      </w:tr>
      <w:tr w:rsidR="008E7D9E" w:rsidRPr="00666914" w14:paraId="6B73AB94" w14:textId="77777777" w:rsidTr="00254A5B">
        <w:trPr>
          <w:trHeight w:val="287"/>
        </w:trPr>
        <w:tc>
          <w:tcPr>
            <w:tcW w:w="427" w:type="dxa"/>
            <w:shd w:val="clear" w:color="auto" w:fill="auto"/>
            <w:vAlign w:val="center"/>
          </w:tcPr>
          <w:p w14:paraId="3BA87417"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13</w:t>
            </w:r>
          </w:p>
        </w:tc>
        <w:tc>
          <w:tcPr>
            <w:tcW w:w="2335" w:type="dxa"/>
            <w:shd w:val="clear" w:color="auto" w:fill="auto"/>
            <w:vAlign w:val="center"/>
          </w:tcPr>
          <w:p w14:paraId="487A5E83"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Dobudovať sústavu Natura 2000 na Slovensku</w:t>
            </w:r>
          </w:p>
        </w:tc>
        <w:tc>
          <w:tcPr>
            <w:tcW w:w="1456" w:type="dxa"/>
            <w:shd w:val="clear" w:color="auto" w:fill="auto"/>
            <w:vAlign w:val="center"/>
          </w:tcPr>
          <w:p w14:paraId="19889E5C"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SR/ŠOP SR</w:t>
            </w:r>
          </w:p>
        </w:tc>
        <w:tc>
          <w:tcPr>
            <w:tcW w:w="1311" w:type="dxa"/>
            <w:shd w:val="clear" w:color="auto" w:fill="auto"/>
            <w:vAlign w:val="center"/>
          </w:tcPr>
          <w:p w14:paraId="292FEFF0"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2020</w:t>
            </w:r>
          </w:p>
        </w:tc>
        <w:tc>
          <w:tcPr>
            <w:tcW w:w="1019" w:type="dxa"/>
            <w:vAlign w:val="center"/>
          </w:tcPr>
          <w:p w14:paraId="2F148CBA"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w:t>
            </w:r>
          </w:p>
        </w:tc>
        <w:tc>
          <w:tcPr>
            <w:tcW w:w="655" w:type="dxa"/>
            <w:shd w:val="clear" w:color="auto" w:fill="FFC000"/>
            <w:vAlign w:val="bottom"/>
          </w:tcPr>
          <w:p w14:paraId="42677A6F" w14:textId="77777777" w:rsidR="008E7D9E" w:rsidRPr="00666914" w:rsidRDefault="008E7D9E">
            <w:pPr>
              <w:spacing w:after="0"/>
              <w:rPr>
                <w:rFonts w:eastAsia="Arial Narrow" w:cs="Arial Narrow"/>
                <w:color w:val="000000"/>
                <w:sz w:val="20"/>
                <w:szCs w:val="20"/>
              </w:rPr>
            </w:pPr>
          </w:p>
        </w:tc>
        <w:tc>
          <w:tcPr>
            <w:tcW w:w="655" w:type="dxa"/>
            <w:shd w:val="clear" w:color="auto" w:fill="FFC000"/>
            <w:vAlign w:val="bottom"/>
          </w:tcPr>
          <w:p w14:paraId="16D0DD60" w14:textId="77777777" w:rsidR="008E7D9E" w:rsidRPr="00666914" w:rsidRDefault="008E7D9E">
            <w:pPr>
              <w:spacing w:after="0"/>
              <w:rPr>
                <w:rFonts w:eastAsia="Arial Narrow" w:cs="Arial Narrow"/>
                <w:color w:val="000000"/>
                <w:sz w:val="20"/>
                <w:szCs w:val="20"/>
              </w:rPr>
            </w:pPr>
          </w:p>
        </w:tc>
        <w:tc>
          <w:tcPr>
            <w:tcW w:w="655" w:type="dxa"/>
            <w:shd w:val="clear" w:color="auto" w:fill="FFC000"/>
            <w:vAlign w:val="bottom"/>
          </w:tcPr>
          <w:p w14:paraId="65C978AD" w14:textId="77777777" w:rsidR="008E7D9E" w:rsidRPr="00666914" w:rsidRDefault="008E7D9E">
            <w:pPr>
              <w:spacing w:after="0"/>
              <w:rPr>
                <w:rFonts w:eastAsia="Arial Narrow" w:cs="Arial Narrow"/>
                <w:color w:val="000000"/>
                <w:sz w:val="20"/>
                <w:szCs w:val="20"/>
              </w:rPr>
            </w:pPr>
          </w:p>
        </w:tc>
        <w:tc>
          <w:tcPr>
            <w:tcW w:w="655" w:type="dxa"/>
            <w:shd w:val="clear" w:color="auto" w:fill="FFC000"/>
            <w:vAlign w:val="bottom"/>
          </w:tcPr>
          <w:p w14:paraId="7D2765A7" w14:textId="77777777" w:rsidR="008E7D9E" w:rsidRPr="00666914" w:rsidRDefault="008E7D9E">
            <w:pPr>
              <w:spacing w:after="0"/>
              <w:rPr>
                <w:rFonts w:eastAsia="Arial Narrow" w:cs="Arial Narrow"/>
                <w:color w:val="000000"/>
                <w:sz w:val="20"/>
                <w:szCs w:val="20"/>
              </w:rPr>
            </w:pPr>
          </w:p>
        </w:tc>
      </w:tr>
      <w:tr w:rsidR="008E7D9E" w:rsidRPr="00666914" w14:paraId="7B5E0F90" w14:textId="77777777" w:rsidTr="00254A5B">
        <w:trPr>
          <w:trHeight w:val="287"/>
        </w:trPr>
        <w:tc>
          <w:tcPr>
            <w:tcW w:w="427" w:type="dxa"/>
            <w:shd w:val="clear" w:color="auto" w:fill="auto"/>
            <w:vAlign w:val="center"/>
          </w:tcPr>
          <w:p w14:paraId="4F8A4CF8"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14</w:t>
            </w:r>
          </w:p>
        </w:tc>
        <w:tc>
          <w:tcPr>
            <w:tcW w:w="2335" w:type="dxa"/>
            <w:shd w:val="clear" w:color="auto" w:fill="auto"/>
            <w:vAlign w:val="center"/>
          </w:tcPr>
          <w:p w14:paraId="07B797D8"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Vypracovať a zverejniť investičný plán MŽP, bez ohľadu na zdroj financovania</w:t>
            </w:r>
          </w:p>
        </w:tc>
        <w:tc>
          <w:tcPr>
            <w:tcW w:w="1456" w:type="dxa"/>
            <w:shd w:val="clear" w:color="auto" w:fill="auto"/>
            <w:vAlign w:val="center"/>
          </w:tcPr>
          <w:p w14:paraId="2948F377"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w:t>
            </w:r>
          </w:p>
        </w:tc>
        <w:tc>
          <w:tcPr>
            <w:tcW w:w="1311" w:type="dxa"/>
            <w:shd w:val="clear" w:color="auto" w:fill="auto"/>
            <w:vAlign w:val="center"/>
          </w:tcPr>
          <w:p w14:paraId="6EB0E655"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w:t>
            </w:r>
          </w:p>
        </w:tc>
        <w:tc>
          <w:tcPr>
            <w:tcW w:w="1019" w:type="dxa"/>
            <w:vAlign w:val="center"/>
          </w:tcPr>
          <w:p w14:paraId="13813D5F"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priebežne</w:t>
            </w:r>
          </w:p>
        </w:tc>
        <w:tc>
          <w:tcPr>
            <w:tcW w:w="655" w:type="dxa"/>
            <w:shd w:val="clear" w:color="auto" w:fill="92D050"/>
            <w:vAlign w:val="bottom"/>
          </w:tcPr>
          <w:p w14:paraId="601C2DF7" w14:textId="77777777" w:rsidR="008E7D9E" w:rsidRPr="00666914" w:rsidRDefault="008E7D9E">
            <w:pPr>
              <w:spacing w:after="0"/>
              <w:rPr>
                <w:rFonts w:eastAsia="Arial Narrow" w:cs="Arial Narrow"/>
                <w:color w:val="000000"/>
                <w:sz w:val="20"/>
                <w:szCs w:val="20"/>
              </w:rPr>
            </w:pPr>
          </w:p>
        </w:tc>
        <w:tc>
          <w:tcPr>
            <w:tcW w:w="655" w:type="dxa"/>
            <w:shd w:val="clear" w:color="auto" w:fill="A6A6A6"/>
            <w:vAlign w:val="bottom"/>
          </w:tcPr>
          <w:p w14:paraId="341C4F5F" w14:textId="77777777" w:rsidR="008E7D9E" w:rsidRPr="00666914" w:rsidRDefault="008E7D9E">
            <w:pPr>
              <w:spacing w:after="0"/>
              <w:rPr>
                <w:rFonts w:eastAsia="Arial Narrow" w:cs="Arial Narrow"/>
                <w:color w:val="000000"/>
                <w:sz w:val="20"/>
                <w:szCs w:val="20"/>
              </w:rPr>
            </w:pPr>
          </w:p>
        </w:tc>
        <w:tc>
          <w:tcPr>
            <w:tcW w:w="655" w:type="dxa"/>
            <w:shd w:val="clear" w:color="auto" w:fill="92D050"/>
            <w:vAlign w:val="bottom"/>
          </w:tcPr>
          <w:p w14:paraId="3D1DC5E8" w14:textId="77777777" w:rsidR="008E7D9E" w:rsidRPr="00666914" w:rsidRDefault="008E7D9E">
            <w:pPr>
              <w:spacing w:after="0"/>
              <w:rPr>
                <w:rFonts w:eastAsia="Arial Narrow" w:cs="Arial Narrow"/>
                <w:color w:val="000000"/>
                <w:sz w:val="20"/>
                <w:szCs w:val="20"/>
              </w:rPr>
            </w:pPr>
          </w:p>
        </w:tc>
        <w:tc>
          <w:tcPr>
            <w:tcW w:w="655" w:type="dxa"/>
            <w:shd w:val="clear" w:color="auto" w:fill="AEAAAA"/>
            <w:vAlign w:val="bottom"/>
          </w:tcPr>
          <w:p w14:paraId="3A3E1951" w14:textId="77777777" w:rsidR="008E7D9E" w:rsidRPr="00666914" w:rsidRDefault="008E7D9E">
            <w:pPr>
              <w:spacing w:after="0"/>
              <w:rPr>
                <w:rFonts w:eastAsia="Arial Narrow" w:cs="Arial Narrow"/>
                <w:color w:val="000000"/>
                <w:sz w:val="20"/>
                <w:szCs w:val="20"/>
              </w:rPr>
            </w:pPr>
          </w:p>
        </w:tc>
      </w:tr>
      <w:tr w:rsidR="008E7D9E" w:rsidRPr="00666914" w14:paraId="63709C1A" w14:textId="77777777" w:rsidTr="00254A5B">
        <w:trPr>
          <w:trHeight w:val="287"/>
        </w:trPr>
        <w:tc>
          <w:tcPr>
            <w:tcW w:w="427" w:type="dxa"/>
            <w:shd w:val="clear" w:color="auto" w:fill="auto"/>
            <w:vAlign w:val="center"/>
          </w:tcPr>
          <w:p w14:paraId="62881107"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15</w:t>
            </w:r>
          </w:p>
        </w:tc>
        <w:tc>
          <w:tcPr>
            <w:tcW w:w="2335" w:type="dxa"/>
            <w:shd w:val="clear" w:color="auto" w:fill="auto"/>
            <w:vAlign w:val="center"/>
          </w:tcPr>
          <w:p w14:paraId="1902345A"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xml:space="preserve">Pre všetky investície nad 30 mil. eur (nad 10 mil. eur v informatizácii) vypracovať štúdiu uskutočniteľnosti a analýzu nákladov a prínosov. Zverejňovať štúdie uskutočniteľnosti pred </w:t>
            </w:r>
            <w:r w:rsidRPr="00666914">
              <w:rPr>
                <w:rFonts w:eastAsia="Arial Narrow" w:cs="Arial Narrow"/>
                <w:color w:val="000000"/>
                <w:sz w:val="20"/>
                <w:szCs w:val="20"/>
              </w:rPr>
              <w:lastRenderedPageBreak/>
              <w:t>schválením významných investícií</w:t>
            </w:r>
          </w:p>
        </w:tc>
        <w:tc>
          <w:tcPr>
            <w:tcW w:w="1456" w:type="dxa"/>
            <w:shd w:val="clear" w:color="auto" w:fill="auto"/>
            <w:vAlign w:val="center"/>
          </w:tcPr>
          <w:p w14:paraId="049F2F60"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lastRenderedPageBreak/>
              <w:t>MŽP SR</w:t>
            </w:r>
          </w:p>
        </w:tc>
        <w:tc>
          <w:tcPr>
            <w:tcW w:w="1311" w:type="dxa"/>
            <w:shd w:val="clear" w:color="auto" w:fill="auto"/>
            <w:vAlign w:val="center"/>
          </w:tcPr>
          <w:p w14:paraId="69E91EB5"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w:t>
            </w:r>
          </w:p>
        </w:tc>
        <w:tc>
          <w:tcPr>
            <w:tcW w:w="1019" w:type="dxa"/>
            <w:vAlign w:val="center"/>
          </w:tcPr>
          <w:p w14:paraId="2F4C05BC"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priebežne</w:t>
            </w:r>
          </w:p>
        </w:tc>
        <w:tc>
          <w:tcPr>
            <w:tcW w:w="655" w:type="dxa"/>
            <w:shd w:val="clear" w:color="auto" w:fill="92D050"/>
            <w:vAlign w:val="bottom"/>
          </w:tcPr>
          <w:p w14:paraId="1284BA11" w14:textId="77777777" w:rsidR="008E7D9E" w:rsidRPr="00666914" w:rsidRDefault="008E7D9E">
            <w:pPr>
              <w:spacing w:after="0"/>
              <w:rPr>
                <w:rFonts w:eastAsia="Arial Narrow" w:cs="Arial Narrow"/>
                <w:color w:val="000000"/>
                <w:sz w:val="20"/>
                <w:szCs w:val="20"/>
              </w:rPr>
            </w:pPr>
          </w:p>
        </w:tc>
        <w:tc>
          <w:tcPr>
            <w:tcW w:w="655" w:type="dxa"/>
            <w:shd w:val="clear" w:color="auto" w:fill="92D050"/>
            <w:vAlign w:val="bottom"/>
          </w:tcPr>
          <w:p w14:paraId="08E2DD92" w14:textId="77777777" w:rsidR="008E7D9E" w:rsidRPr="00666914" w:rsidRDefault="008E7D9E">
            <w:pPr>
              <w:spacing w:after="0"/>
              <w:rPr>
                <w:rFonts w:eastAsia="Arial Narrow" w:cs="Arial Narrow"/>
                <w:color w:val="000000"/>
                <w:sz w:val="20"/>
                <w:szCs w:val="20"/>
              </w:rPr>
            </w:pPr>
          </w:p>
        </w:tc>
        <w:tc>
          <w:tcPr>
            <w:tcW w:w="655" w:type="dxa"/>
            <w:shd w:val="clear" w:color="auto" w:fill="AEAAAA"/>
            <w:vAlign w:val="bottom"/>
          </w:tcPr>
          <w:p w14:paraId="025AD0C8" w14:textId="77777777" w:rsidR="008E7D9E" w:rsidRPr="00666914" w:rsidRDefault="008E7D9E">
            <w:pPr>
              <w:spacing w:after="0"/>
              <w:rPr>
                <w:rFonts w:eastAsia="Arial Narrow" w:cs="Arial Narrow"/>
                <w:color w:val="000000"/>
                <w:sz w:val="20"/>
                <w:szCs w:val="20"/>
              </w:rPr>
            </w:pPr>
          </w:p>
        </w:tc>
        <w:tc>
          <w:tcPr>
            <w:tcW w:w="655" w:type="dxa"/>
            <w:shd w:val="clear" w:color="auto" w:fill="AEAAAA"/>
            <w:vAlign w:val="bottom"/>
          </w:tcPr>
          <w:p w14:paraId="7108389C" w14:textId="77777777" w:rsidR="008E7D9E" w:rsidRPr="00666914" w:rsidRDefault="008E7D9E">
            <w:pPr>
              <w:spacing w:after="0"/>
              <w:rPr>
                <w:rFonts w:eastAsia="Arial Narrow" w:cs="Arial Narrow"/>
                <w:color w:val="000000"/>
                <w:sz w:val="20"/>
                <w:szCs w:val="20"/>
              </w:rPr>
            </w:pPr>
          </w:p>
        </w:tc>
      </w:tr>
      <w:tr w:rsidR="008E7D9E" w:rsidRPr="00666914" w14:paraId="3DEC7261" w14:textId="77777777" w:rsidTr="00254A5B">
        <w:trPr>
          <w:trHeight w:val="287"/>
        </w:trPr>
        <w:tc>
          <w:tcPr>
            <w:tcW w:w="427" w:type="dxa"/>
            <w:shd w:val="clear" w:color="auto" w:fill="auto"/>
            <w:vAlign w:val="center"/>
          </w:tcPr>
          <w:p w14:paraId="722183B5"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16</w:t>
            </w:r>
          </w:p>
        </w:tc>
        <w:tc>
          <w:tcPr>
            <w:tcW w:w="2335" w:type="dxa"/>
            <w:shd w:val="clear" w:color="auto" w:fill="auto"/>
            <w:vAlign w:val="center"/>
          </w:tcPr>
          <w:p w14:paraId="0AC6B709"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Riadiť sa pri spracovaní analýz nákladov a prínosov platným Rámcom hodnotenia verejných investícií</w:t>
            </w:r>
          </w:p>
        </w:tc>
        <w:tc>
          <w:tcPr>
            <w:tcW w:w="1456" w:type="dxa"/>
            <w:shd w:val="clear" w:color="auto" w:fill="auto"/>
            <w:vAlign w:val="center"/>
          </w:tcPr>
          <w:p w14:paraId="0468868D"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w:t>
            </w:r>
          </w:p>
        </w:tc>
        <w:tc>
          <w:tcPr>
            <w:tcW w:w="1311" w:type="dxa"/>
            <w:shd w:val="clear" w:color="auto" w:fill="auto"/>
            <w:vAlign w:val="center"/>
          </w:tcPr>
          <w:p w14:paraId="38FE7E21"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w:t>
            </w:r>
          </w:p>
        </w:tc>
        <w:tc>
          <w:tcPr>
            <w:tcW w:w="1019" w:type="dxa"/>
            <w:vAlign w:val="center"/>
          </w:tcPr>
          <w:p w14:paraId="16398697"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priebežne</w:t>
            </w:r>
          </w:p>
        </w:tc>
        <w:tc>
          <w:tcPr>
            <w:tcW w:w="655" w:type="dxa"/>
            <w:shd w:val="clear" w:color="auto" w:fill="92D050"/>
            <w:vAlign w:val="bottom"/>
          </w:tcPr>
          <w:p w14:paraId="37ED1716" w14:textId="77777777" w:rsidR="008E7D9E" w:rsidRPr="00666914" w:rsidRDefault="008E7D9E">
            <w:pPr>
              <w:spacing w:after="0"/>
              <w:rPr>
                <w:rFonts w:eastAsia="Arial Narrow" w:cs="Arial Narrow"/>
                <w:color w:val="000000"/>
                <w:sz w:val="20"/>
                <w:szCs w:val="20"/>
              </w:rPr>
            </w:pPr>
          </w:p>
        </w:tc>
        <w:tc>
          <w:tcPr>
            <w:tcW w:w="655" w:type="dxa"/>
            <w:shd w:val="clear" w:color="auto" w:fill="92D050"/>
            <w:vAlign w:val="bottom"/>
          </w:tcPr>
          <w:p w14:paraId="1D9B84BB" w14:textId="77777777" w:rsidR="008E7D9E" w:rsidRPr="00666914" w:rsidRDefault="008E7D9E">
            <w:pPr>
              <w:spacing w:after="0"/>
              <w:rPr>
                <w:rFonts w:eastAsia="Arial Narrow" w:cs="Arial Narrow"/>
                <w:color w:val="000000"/>
                <w:sz w:val="20"/>
                <w:szCs w:val="20"/>
              </w:rPr>
            </w:pPr>
          </w:p>
        </w:tc>
        <w:tc>
          <w:tcPr>
            <w:tcW w:w="655" w:type="dxa"/>
            <w:shd w:val="clear" w:color="auto" w:fill="AEAAAA"/>
            <w:vAlign w:val="bottom"/>
          </w:tcPr>
          <w:p w14:paraId="723FB653" w14:textId="77777777" w:rsidR="008E7D9E" w:rsidRPr="00666914" w:rsidRDefault="008E7D9E">
            <w:pPr>
              <w:spacing w:after="0"/>
              <w:rPr>
                <w:rFonts w:eastAsia="Arial Narrow" w:cs="Arial Narrow"/>
                <w:color w:val="000000"/>
                <w:sz w:val="20"/>
                <w:szCs w:val="20"/>
              </w:rPr>
            </w:pPr>
          </w:p>
        </w:tc>
        <w:tc>
          <w:tcPr>
            <w:tcW w:w="655" w:type="dxa"/>
            <w:shd w:val="clear" w:color="auto" w:fill="AEAAAA"/>
            <w:vAlign w:val="bottom"/>
          </w:tcPr>
          <w:p w14:paraId="1142776E" w14:textId="77777777" w:rsidR="008E7D9E" w:rsidRPr="00666914" w:rsidRDefault="008E7D9E">
            <w:pPr>
              <w:spacing w:after="0"/>
              <w:rPr>
                <w:rFonts w:eastAsia="Arial Narrow" w:cs="Arial Narrow"/>
                <w:color w:val="000000"/>
                <w:sz w:val="20"/>
                <w:szCs w:val="20"/>
              </w:rPr>
            </w:pPr>
          </w:p>
        </w:tc>
      </w:tr>
      <w:tr w:rsidR="008E7D9E" w:rsidRPr="00666914" w14:paraId="29661D6E" w14:textId="77777777" w:rsidTr="00254A5B">
        <w:trPr>
          <w:trHeight w:val="287"/>
        </w:trPr>
        <w:tc>
          <w:tcPr>
            <w:tcW w:w="427" w:type="dxa"/>
            <w:shd w:val="clear" w:color="auto" w:fill="auto"/>
            <w:vAlign w:val="center"/>
          </w:tcPr>
          <w:p w14:paraId="32ECCEA7"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17</w:t>
            </w:r>
          </w:p>
        </w:tc>
        <w:tc>
          <w:tcPr>
            <w:tcW w:w="2335" w:type="dxa"/>
            <w:shd w:val="clear" w:color="auto" w:fill="auto"/>
            <w:vAlign w:val="center"/>
          </w:tcPr>
          <w:p w14:paraId="41C0A739"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Stanoviť a sledovať nákladovosť a výkonnosť informačných systémov, vrátane podriadených organizácií</w:t>
            </w:r>
          </w:p>
        </w:tc>
        <w:tc>
          <w:tcPr>
            <w:tcW w:w="1456" w:type="dxa"/>
            <w:shd w:val="clear" w:color="auto" w:fill="auto"/>
            <w:vAlign w:val="center"/>
          </w:tcPr>
          <w:p w14:paraId="16DC0549"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w:t>
            </w:r>
          </w:p>
        </w:tc>
        <w:tc>
          <w:tcPr>
            <w:tcW w:w="1311" w:type="dxa"/>
            <w:shd w:val="clear" w:color="auto" w:fill="auto"/>
            <w:vAlign w:val="center"/>
          </w:tcPr>
          <w:p w14:paraId="11C37141"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12/2017</w:t>
            </w:r>
          </w:p>
        </w:tc>
        <w:tc>
          <w:tcPr>
            <w:tcW w:w="1019" w:type="dxa"/>
            <w:vAlign w:val="center"/>
          </w:tcPr>
          <w:p w14:paraId="11DC72C7"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06/2019</w:t>
            </w:r>
          </w:p>
        </w:tc>
        <w:tc>
          <w:tcPr>
            <w:tcW w:w="655" w:type="dxa"/>
            <w:shd w:val="clear" w:color="auto" w:fill="92D050"/>
            <w:vAlign w:val="bottom"/>
          </w:tcPr>
          <w:p w14:paraId="512BFD8E" w14:textId="77777777" w:rsidR="008E7D9E" w:rsidRPr="00666914" w:rsidRDefault="008E7D9E">
            <w:pPr>
              <w:spacing w:after="0"/>
              <w:rPr>
                <w:rFonts w:eastAsia="Arial Narrow" w:cs="Arial Narrow"/>
                <w:color w:val="000000"/>
                <w:sz w:val="20"/>
                <w:szCs w:val="20"/>
              </w:rPr>
            </w:pPr>
          </w:p>
        </w:tc>
        <w:tc>
          <w:tcPr>
            <w:tcW w:w="655" w:type="dxa"/>
            <w:shd w:val="clear" w:color="auto" w:fill="92D050"/>
            <w:vAlign w:val="bottom"/>
          </w:tcPr>
          <w:p w14:paraId="1FAB1272" w14:textId="77777777" w:rsidR="008E7D9E" w:rsidRPr="00666914" w:rsidRDefault="008E7D9E">
            <w:pPr>
              <w:spacing w:after="0"/>
              <w:rPr>
                <w:rFonts w:eastAsia="Arial Narrow" w:cs="Arial Narrow"/>
                <w:color w:val="92D050"/>
                <w:sz w:val="20"/>
                <w:szCs w:val="20"/>
              </w:rPr>
            </w:pPr>
          </w:p>
        </w:tc>
        <w:tc>
          <w:tcPr>
            <w:tcW w:w="655" w:type="dxa"/>
            <w:shd w:val="clear" w:color="auto" w:fill="92D050"/>
            <w:vAlign w:val="bottom"/>
          </w:tcPr>
          <w:p w14:paraId="00EF5B70" w14:textId="77777777" w:rsidR="008E7D9E" w:rsidRPr="00666914" w:rsidRDefault="008E7D9E">
            <w:pPr>
              <w:spacing w:after="0"/>
              <w:rPr>
                <w:rFonts w:eastAsia="Arial Narrow" w:cs="Arial Narrow"/>
                <w:color w:val="000000"/>
                <w:sz w:val="20"/>
                <w:szCs w:val="20"/>
              </w:rPr>
            </w:pPr>
          </w:p>
        </w:tc>
        <w:tc>
          <w:tcPr>
            <w:tcW w:w="655" w:type="dxa"/>
            <w:shd w:val="clear" w:color="auto" w:fill="92D050"/>
            <w:vAlign w:val="bottom"/>
          </w:tcPr>
          <w:p w14:paraId="799377C1" w14:textId="77777777" w:rsidR="008E7D9E" w:rsidRPr="00666914" w:rsidRDefault="008E7D9E">
            <w:pPr>
              <w:spacing w:after="0"/>
              <w:rPr>
                <w:rFonts w:eastAsia="Arial Narrow" w:cs="Arial Narrow"/>
                <w:color w:val="000000"/>
                <w:sz w:val="20"/>
                <w:szCs w:val="20"/>
              </w:rPr>
            </w:pPr>
          </w:p>
        </w:tc>
      </w:tr>
      <w:tr w:rsidR="008E7D9E" w:rsidRPr="00666914" w14:paraId="0D8E36F1" w14:textId="77777777" w:rsidTr="00254A5B">
        <w:trPr>
          <w:trHeight w:val="287"/>
        </w:trPr>
        <w:tc>
          <w:tcPr>
            <w:tcW w:w="427" w:type="dxa"/>
            <w:shd w:val="clear" w:color="auto" w:fill="auto"/>
            <w:vAlign w:val="center"/>
          </w:tcPr>
          <w:p w14:paraId="4D83BCC8"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18</w:t>
            </w:r>
          </w:p>
        </w:tc>
        <w:tc>
          <w:tcPr>
            <w:tcW w:w="2335" w:type="dxa"/>
            <w:shd w:val="clear" w:color="auto" w:fill="auto"/>
            <w:vAlign w:val="center"/>
          </w:tcPr>
          <w:p w14:paraId="51EE2ADC"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Vypracovať plán migrácie IS do vládneho cloudu</w:t>
            </w:r>
          </w:p>
        </w:tc>
        <w:tc>
          <w:tcPr>
            <w:tcW w:w="1456" w:type="dxa"/>
            <w:shd w:val="clear" w:color="auto" w:fill="auto"/>
            <w:vAlign w:val="center"/>
          </w:tcPr>
          <w:p w14:paraId="38EF0A78"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w:t>
            </w:r>
          </w:p>
        </w:tc>
        <w:tc>
          <w:tcPr>
            <w:tcW w:w="1311" w:type="dxa"/>
            <w:shd w:val="clear" w:color="auto" w:fill="auto"/>
            <w:vAlign w:val="center"/>
          </w:tcPr>
          <w:p w14:paraId="4571818C"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12/2017</w:t>
            </w:r>
          </w:p>
        </w:tc>
        <w:tc>
          <w:tcPr>
            <w:tcW w:w="1019" w:type="dxa"/>
            <w:vAlign w:val="center"/>
          </w:tcPr>
          <w:p w14:paraId="2E83BD8A"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06/2019</w:t>
            </w:r>
          </w:p>
        </w:tc>
        <w:tc>
          <w:tcPr>
            <w:tcW w:w="655" w:type="dxa"/>
            <w:shd w:val="clear" w:color="auto" w:fill="FFC000"/>
            <w:vAlign w:val="bottom"/>
          </w:tcPr>
          <w:p w14:paraId="0F0B1D45"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55" w:type="dxa"/>
            <w:shd w:val="clear" w:color="auto" w:fill="FFC000"/>
            <w:vAlign w:val="bottom"/>
          </w:tcPr>
          <w:p w14:paraId="386E9424"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55" w:type="dxa"/>
            <w:shd w:val="clear" w:color="auto" w:fill="FFC000"/>
            <w:vAlign w:val="bottom"/>
          </w:tcPr>
          <w:p w14:paraId="05360C23"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655" w:type="dxa"/>
            <w:shd w:val="clear" w:color="auto" w:fill="FFC000"/>
            <w:vAlign w:val="bottom"/>
          </w:tcPr>
          <w:p w14:paraId="057C5324"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bl>
    <w:p w14:paraId="23DE6B22" w14:textId="77777777" w:rsidR="008E7D9E" w:rsidRPr="00666914" w:rsidRDefault="008E7D9E">
      <w:pPr>
        <w:spacing w:after="0"/>
        <w:rPr>
          <w:rFonts w:eastAsia="Arial Narrow" w:cs="Arial Narrow"/>
        </w:rPr>
      </w:pPr>
    </w:p>
    <w:p w14:paraId="26C0B7F1" w14:textId="77777777" w:rsidR="008E7D9E" w:rsidRPr="00666914" w:rsidRDefault="008E7D9E" w:rsidP="00131B23">
      <w:pPr>
        <w:numPr>
          <w:ilvl w:val="0"/>
          <w:numId w:val="25"/>
        </w:numPr>
        <w:spacing w:after="0"/>
        <w:rPr>
          <w:rFonts w:eastAsia="Arial Narrow" w:cs="Arial Narrow"/>
          <w:b/>
          <w:u w:val="single"/>
        </w:rPr>
      </w:pPr>
      <w:r w:rsidRPr="00666914">
        <w:rPr>
          <w:rFonts w:eastAsia="Arial Narrow" w:cs="Arial Narrow"/>
          <w:b/>
          <w:u w:val="single"/>
        </w:rPr>
        <w:t>Zlepšiť strategické riadenie so zameraním na výsledky</w:t>
      </w:r>
    </w:p>
    <w:p w14:paraId="4A5D620E" w14:textId="77777777" w:rsidR="008E7D9E" w:rsidRPr="00666914" w:rsidRDefault="008E7D9E">
      <w:pPr>
        <w:spacing w:after="0"/>
        <w:rPr>
          <w:rFonts w:eastAsia="Arial Narrow" w:cs="Arial Narrow"/>
        </w:rPr>
      </w:pPr>
    </w:p>
    <w:p w14:paraId="7B879431" w14:textId="7B5C32DB" w:rsidR="008E7D9E" w:rsidRPr="00666914" w:rsidRDefault="008E7D9E">
      <w:pPr>
        <w:spacing w:after="0"/>
        <w:rPr>
          <w:rFonts w:eastAsia="Arial Narrow" w:cs="Arial Narrow"/>
        </w:rPr>
      </w:pPr>
      <w:r w:rsidRPr="00666914">
        <w:rPr>
          <w:rFonts w:eastAsia="Arial Narrow" w:cs="Arial Narrow"/>
          <w:b/>
        </w:rPr>
        <w:t>EF naďalej nemá vytvorenú viacročnú komplexnú stratégiu podpory na základe prioritizácie cieľových oblastí a projektov.</w:t>
      </w:r>
      <w:r w:rsidRPr="00666914">
        <w:rPr>
          <w:rFonts w:eastAsia="Arial Narrow" w:cs="Arial Narrow"/>
        </w:rPr>
        <w:t xml:space="preserve"> Prijatím materiálu „Financovanie rozvoja verejných vodovodov (s dôrazom pre obce do 2 000 obyvateľov) a verejných kanalizácií (s dôrazom pre obce v aglomeráciách do 2 000 ekvivalentných obyvateľov) v Slovenskej republike pre roky 2020 – 2030“ vládou SR v 10/2019 má od roku 2020 schválenú stratégiu pre oblasť vodohospodárskej infraštruktúry. Pre ostatné oblast</w:t>
      </w:r>
      <w:r w:rsidR="000644F2" w:rsidRPr="00666914">
        <w:rPr>
          <w:rFonts w:eastAsia="Arial Narrow" w:cs="Arial Narrow"/>
        </w:rPr>
        <w:t>i však stratégia naďalej chýba.</w:t>
      </w:r>
    </w:p>
    <w:p w14:paraId="1B4D053A" w14:textId="77777777" w:rsidR="008E7D9E" w:rsidRPr="00666914" w:rsidRDefault="008E7D9E">
      <w:pPr>
        <w:spacing w:after="0"/>
        <w:rPr>
          <w:rFonts w:eastAsia="Arial Narrow" w:cs="Arial Narrow"/>
        </w:rPr>
      </w:pPr>
    </w:p>
    <w:p w14:paraId="74CE4B6C" w14:textId="70E814BE" w:rsidR="008E7D9E" w:rsidRPr="00666914" w:rsidRDefault="008E7D9E">
      <w:pPr>
        <w:spacing w:after="0"/>
        <w:rPr>
          <w:rFonts w:eastAsia="Arial Narrow" w:cs="Arial Narrow"/>
        </w:rPr>
      </w:pPr>
      <w:r w:rsidRPr="00666914">
        <w:rPr>
          <w:rFonts w:eastAsia="Arial Narrow" w:cs="Arial Narrow"/>
          <w:b/>
        </w:rPr>
        <w:t>O využívanie úveru na financovanie aktivít podporovaných EF nie je napriek stále výhodnejším podmienkam záujem.</w:t>
      </w:r>
      <w:r w:rsidRPr="00666914">
        <w:rPr>
          <w:rFonts w:eastAsia="Arial Narrow" w:cs="Arial Narrow"/>
        </w:rPr>
        <w:t xml:space="preserve"> Jednou z možností ako </w:t>
      </w:r>
      <w:r w:rsidRPr="00666914">
        <w:rPr>
          <w:rFonts w:eastAsia="Arial Narrow" w:cs="Arial Narrow"/>
          <w:b/>
        </w:rPr>
        <w:t>výraznejšie zvýšiť využívanie úverov by mohlo byť podmienenie získania dotácie zobratím úveru na časť požadovanej sumy (napr. 90 % dotácia a 10 % úver).</w:t>
      </w:r>
      <w:r w:rsidRPr="00666914">
        <w:rPr>
          <w:rFonts w:eastAsia="Arial Narrow" w:cs="Arial Narrow"/>
        </w:rPr>
        <w:t xml:space="preserve"> Špecifikácia činností na úvery pre rok 2020</w:t>
      </w:r>
      <w:r w:rsidRPr="00666914">
        <w:rPr>
          <w:rFonts w:eastAsia="Arial Narrow" w:cs="Arial Narrow"/>
          <w:vertAlign w:val="superscript"/>
        </w:rPr>
        <w:footnoteReference w:id="287"/>
      </w:r>
      <w:r w:rsidRPr="00666914">
        <w:rPr>
          <w:rFonts w:eastAsia="Arial Narrow" w:cs="Arial Narrow"/>
        </w:rPr>
        <w:t xml:space="preserve"> upravuje podmienky a znižuje úrokovú sadzbu na 0,1 % p. a. a zavádza ručenie za úver od 100 % z hodnoty žiadaného úveru. Pri čerpaní úveru na 5 % spolufinancovanie oprávnených nákladov projektu je úroková sadzba na úrovni 0,01 % p.a. </w:t>
      </w:r>
      <w:sdt>
        <w:sdtPr>
          <w:tag w:val="goog_rdk_68"/>
          <w:id w:val="996234470"/>
        </w:sdtPr>
        <w:sdtEndPr/>
        <w:sdtContent/>
      </w:sdt>
      <w:sdt>
        <w:sdtPr>
          <w:tag w:val="goog_rdk_69"/>
          <w:id w:val="1291091330"/>
        </w:sdtPr>
        <w:sdtEndPr/>
        <w:sdtContent/>
      </w:sdt>
      <w:r w:rsidRPr="00666914">
        <w:rPr>
          <w:rFonts w:eastAsia="Arial Narrow" w:cs="Arial Narrow"/>
        </w:rPr>
        <w:t>Ani výhodné podmienky na čerpanie úveru v roku 2019 (úroková sadzba na úrovni 0,5 % p.a. a ručenie za úver od 120 % z hodnoty úveru) nemotivovali žiadateľov, aby sa o túto možnosť výraznejšie uchádzali. Za rok 2019 prijal EF len 3 žiadosti o úver v celkovej požadovanej výške na úrovni 5,2 mil. eur, pričom 1 žiadateľ ž</w:t>
      </w:r>
      <w:r w:rsidR="000644F2" w:rsidRPr="00666914">
        <w:rPr>
          <w:rFonts w:eastAsia="Arial Narrow" w:cs="Arial Narrow"/>
        </w:rPr>
        <w:t>iadosť v priebehu roka stiahol.</w:t>
      </w:r>
    </w:p>
    <w:p w14:paraId="293067C5" w14:textId="77777777" w:rsidR="008E7D9E" w:rsidRPr="00666914" w:rsidRDefault="008E7D9E">
      <w:pPr>
        <w:spacing w:after="0"/>
        <w:rPr>
          <w:rFonts w:eastAsia="Arial Narrow" w:cs="Arial Narrow"/>
        </w:rPr>
      </w:pPr>
    </w:p>
    <w:p w14:paraId="4109BC05" w14:textId="77777777" w:rsidR="008E7D9E" w:rsidRPr="00666914" w:rsidRDefault="008E7D9E">
      <w:pPr>
        <w:spacing w:after="0"/>
        <w:rPr>
          <w:rFonts w:eastAsia="Arial Narrow" w:cs="Arial Narrow"/>
          <w:b/>
        </w:rPr>
      </w:pPr>
      <w:r w:rsidRPr="00666914">
        <w:rPr>
          <w:rFonts w:eastAsia="Arial Narrow" w:cs="Arial Narrow"/>
          <w:b/>
        </w:rPr>
        <w:t xml:space="preserve">EF v spolupráci s IEP postupne zavádza do procesu hodnotenia žiadostí o podporu formou dotácie výberové kritériá s použitím benchmarkov a zvyšovaním váhy kvalitatívnych kritérií. </w:t>
      </w:r>
      <w:r w:rsidRPr="00666914">
        <w:rPr>
          <w:rFonts w:eastAsia="Arial Narrow" w:cs="Arial Narrow"/>
        </w:rPr>
        <w:t>V roku 2019 nastala zmena v kritériách pre oblasť Elektromobilita a Zvyšovanie energetickej úč</w:t>
      </w:r>
      <w:sdt>
        <w:sdtPr>
          <w:tag w:val="goog_rdk_70"/>
          <w:id w:val="-1662392524"/>
        </w:sdtPr>
        <w:sdtEndPr/>
        <w:sdtContent/>
      </w:sdt>
      <w:r w:rsidRPr="00666914">
        <w:rPr>
          <w:rFonts w:eastAsia="Arial Narrow" w:cs="Arial Narrow"/>
        </w:rPr>
        <w:t xml:space="preserve">innosti existujúcich verejných budov vrátane zatepľovania. Na základe odporúčania IJ v PIS 2019 pripravil EF na základe benchmarkov od IEP výberové kritéria pre oblasť kanalizácií. </w:t>
      </w:r>
      <w:r w:rsidRPr="00666914">
        <w:rPr>
          <w:rFonts w:eastAsia="Arial Narrow" w:cs="Arial Narrow"/>
          <w:b/>
        </w:rPr>
        <w:t>Opatrenie sa k 31.12.2019 plní čiastočne.</w:t>
      </w:r>
    </w:p>
    <w:p w14:paraId="2D7EE249" w14:textId="77777777" w:rsidR="008E7D9E" w:rsidRPr="00666914" w:rsidRDefault="008E7D9E">
      <w:pPr>
        <w:spacing w:after="0"/>
        <w:rPr>
          <w:rFonts w:eastAsia="Arial Narrow" w:cs="Arial Narrow"/>
          <w:b/>
        </w:rPr>
      </w:pPr>
    </w:p>
    <w:p w14:paraId="7BFB48B2" w14:textId="7E07351C" w:rsidR="008E7D9E" w:rsidRPr="00666914" w:rsidRDefault="008E7D9E" w:rsidP="00D937F7">
      <w:pPr>
        <w:rPr>
          <w:rFonts w:eastAsia="Arial Narrow" w:cs="Arial Narrow"/>
        </w:rPr>
      </w:pPr>
      <w:r w:rsidRPr="00666914">
        <w:rPr>
          <w:rFonts w:eastAsia="Arial Narrow" w:cs="Arial Narrow"/>
          <w:b/>
        </w:rPr>
        <w:t>Odporúčanie IJ:</w:t>
      </w:r>
      <w:r w:rsidRPr="00666914">
        <w:rPr>
          <w:rFonts w:eastAsia="Arial Narrow" w:cs="Arial Narrow"/>
        </w:rPr>
        <w:t xml:space="preserve"> Dopracovať do 12/2020 viacročnú stratégiu podpory pre ostatné oblasti EF (okrem vodohospodárskej infraštruktúry).</w:t>
      </w:r>
    </w:p>
    <w:p w14:paraId="7220DEC1" w14:textId="77777777" w:rsidR="008E7D9E" w:rsidRPr="00666914" w:rsidRDefault="008E7D9E" w:rsidP="00131B23">
      <w:pPr>
        <w:numPr>
          <w:ilvl w:val="0"/>
          <w:numId w:val="25"/>
        </w:numPr>
        <w:spacing w:after="0"/>
        <w:rPr>
          <w:rFonts w:eastAsia="Arial Narrow" w:cs="Arial Narrow"/>
          <w:b/>
          <w:u w:val="single"/>
        </w:rPr>
      </w:pPr>
      <w:r w:rsidRPr="00666914">
        <w:rPr>
          <w:rFonts w:eastAsia="Arial Narrow" w:cs="Arial Narrow"/>
          <w:b/>
          <w:u w:val="single"/>
        </w:rPr>
        <w:t>Zefektívniť rozpočtovací proces</w:t>
      </w:r>
    </w:p>
    <w:p w14:paraId="720E8952" w14:textId="77777777" w:rsidR="008E7D9E" w:rsidRPr="00666914" w:rsidRDefault="008E7D9E">
      <w:pPr>
        <w:spacing w:after="0"/>
        <w:rPr>
          <w:rFonts w:eastAsia="Arial Narrow" w:cs="Arial Narrow"/>
          <w:b/>
        </w:rPr>
      </w:pPr>
    </w:p>
    <w:p w14:paraId="788D5574" w14:textId="7C449818" w:rsidR="00800915" w:rsidRPr="00666914" w:rsidRDefault="008E7D9E">
      <w:pPr>
        <w:spacing w:after="0"/>
        <w:rPr>
          <w:rFonts w:eastAsia="Arial Narrow" w:cs="Arial Narrow"/>
        </w:rPr>
      </w:pPr>
      <w:r w:rsidRPr="00666914">
        <w:rPr>
          <w:rFonts w:eastAsia="Arial Narrow" w:cs="Arial Narrow"/>
          <w:b/>
        </w:rPr>
        <w:t>Príjmy z obchodovania s emisnými kvótami sú jedným z hlavných zdrojov príjmov rozpočtu EF.</w:t>
      </w:r>
      <w:r w:rsidRPr="00666914">
        <w:rPr>
          <w:rFonts w:eastAsia="Arial Narrow" w:cs="Arial Narrow"/>
        </w:rPr>
        <w:t xml:space="preserve"> V rokoch 2016</w:t>
      </w:r>
      <w:r w:rsidR="00B06DE7" w:rsidRPr="00666914">
        <w:rPr>
          <w:rFonts w:eastAsia="Arial Narrow" w:cs="Arial Narrow"/>
        </w:rPr>
        <w:t xml:space="preserve"> </w:t>
      </w:r>
      <w:r w:rsidRPr="00666914">
        <w:rPr>
          <w:rFonts w:eastAsia="Arial Narrow" w:cs="Arial Narrow"/>
        </w:rPr>
        <w:t>-</w:t>
      </w:r>
      <w:r w:rsidR="00B06DE7" w:rsidRPr="00666914">
        <w:rPr>
          <w:rFonts w:eastAsia="Arial Narrow" w:cs="Arial Narrow"/>
        </w:rPr>
        <w:t xml:space="preserve"> </w:t>
      </w:r>
      <w:r w:rsidRPr="00666914">
        <w:rPr>
          <w:rFonts w:eastAsia="Arial Narrow" w:cs="Arial Narrow"/>
        </w:rPr>
        <w:t xml:space="preserve">2018 boli tieto príjmy v rozpočte EF každoročne plánované na rovnakej úrovni (cca 117 mil. </w:t>
      </w:r>
      <w:sdt>
        <w:sdtPr>
          <w:tag w:val="goog_rdk_71"/>
          <w:id w:val="355237503"/>
        </w:sdtPr>
        <w:sdtEndPr/>
        <w:sdtContent/>
      </w:sdt>
      <w:r w:rsidRPr="00666914">
        <w:rPr>
          <w:rFonts w:eastAsia="Arial Narrow" w:cs="Arial Narrow"/>
        </w:rPr>
        <w:t xml:space="preserve">eur), pričom skutočný príjem bol výrazne odlišný. Od roku 2018 sa príjmy z predaja emisných kvót formou dražby výrazne zvýšili, keďže stúpla cena emisných kvót. </w:t>
      </w:r>
      <w:sdt>
        <w:sdtPr>
          <w:tag w:val="goog_rdk_72"/>
          <w:id w:val="-1306623304"/>
        </w:sdtPr>
        <w:sdtEndPr/>
        <w:sdtContent/>
      </w:sdt>
      <w:r w:rsidRPr="00666914">
        <w:rPr>
          <w:rFonts w:eastAsia="Arial Narrow" w:cs="Arial Narrow"/>
        </w:rPr>
        <w:t>V roku 2019 bol, napriek vyššiemu schválenému rozpočtu, na úrovni 178 % dosiahnutých príjmov za celý rok 2019 opro</w:t>
      </w:r>
      <w:sdt>
        <w:sdtPr>
          <w:tag w:val="goog_rdk_73"/>
          <w:id w:val="565534699"/>
        </w:sdtPr>
        <w:sdtEndPr/>
        <w:sdtContent/>
      </w:sdt>
      <w:sdt>
        <w:sdtPr>
          <w:tag w:val="goog_rdk_74"/>
          <w:id w:val="173850998"/>
        </w:sdtPr>
        <w:sdtEndPr/>
        <w:sdtContent/>
      </w:sdt>
      <w:sdt>
        <w:sdtPr>
          <w:tag w:val="goog_rdk_75"/>
          <w:id w:val="913285549"/>
        </w:sdtPr>
        <w:sdtEndPr/>
        <w:sdtContent/>
      </w:sdt>
      <w:r w:rsidRPr="00666914">
        <w:rPr>
          <w:rFonts w:eastAsia="Arial Narrow" w:cs="Arial Narrow"/>
        </w:rPr>
        <w:t>ti rozpočtovanej výške príjmov na uvedenej položke</w:t>
      </w:r>
      <w:r w:rsidRPr="00666914">
        <w:rPr>
          <w:rFonts w:eastAsia="Arial Narrow" w:cs="Arial Narrow"/>
          <w:b/>
        </w:rPr>
        <w:t>. V návrhu rozpočtu na roky 2020</w:t>
      </w:r>
      <w:r w:rsidR="00B06DE7" w:rsidRPr="00666914">
        <w:rPr>
          <w:rFonts w:eastAsia="Arial Narrow" w:cs="Arial Narrow"/>
          <w:b/>
        </w:rPr>
        <w:t xml:space="preserve"> </w:t>
      </w:r>
      <w:r w:rsidRPr="00666914">
        <w:rPr>
          <w:rFonts w:eastAsia="Arial Narrow" w:cs="Arial Narrow"/>
          <w:b/>
        </w:rPr>
        <w:t>-</w:t>
      </w:r>
      <w:r w:rsidR="00B06DE7" w:rsidRPr="00666914">
        <w:rPr>
          <w:rFonts w:eastAsia="Arial Narrow" w:cs="Arial Narrow"/>
          <w:b/>
        </w:rPr>
        <w:t xml:space="preserve"> </w:t>
      </w:r>
      <w:r w:rsidRPr="00666914">
        <w:rPr>
          <w:rFonts w:eastAsia="Arial Narrow" w:cs="Arial Narrow"/>
          <w:b/>
        </w:rPr>
        <w:t>2022 už došlo k zreálneniu príjmov z predaja emisných kvót na priemernú cenu 30 eur/tonu CO</w:t>
      </w:r>
      <w:r w:rsidRPr="00666914">
        <w:rPr>
          <w:rFonts w:eastAsia="Arial Narrow" w:cs="Arial Narrow"/>
          <w:b/>
          <w:vertAlign w:val="superscript"/>
        </w:rPr>
        <w:t>2</w:t>
      </w:r>
      <w:r w:rsidRPr="00666914">
        <w:rPr>
          <w:rFonts w:eastAsia="Arial Narrow" w:cs="Arial Narrow"/>
          <w:b/>
        </w:rPr>
        <w:t>.</w:t>
      </w:r>
      <w:r w:rsidRPr="00666914">
        <w:rPr>
          <w:rFonts w:eastAsia="Arial Narrow" w:cs="Arial Narrow"/>
        </w:rPr>
        <w:t xml:space="preserve"> To predstavuje odhadovaný príjem EF v roku 2020 vo výške 292 mil. eur, pre rok 2021 sumu 196 mil. eur </w:t>
      </w:r>
      <w:r w:rsidRPr="00666914">
        <w:rPr>
          <w:rFonts w:eastAsia="Arial Narrow" w:cs="Arial Narrow"/>
          <w:color w:val="000000"/>
        </w:rPr>
        <w:t xml:space="preserve">(zníženie v dôsledku presunu prostriedkov do Modernizačného fondu v období rokov 2021 - 2030) </w:t>
      </w:r>
      <w:r w:rsidRPr="00666914">
        <w:rPr>
          <w:rFonts w:eastAsia="Arial Narrow" w:cs="Arial Narrow"/>
        </w:rPr>
        <w:t>a v roku 2022 objem 297 mil. eur.</w:t>
      </w:r>
    </w:p>
    <w:p w14:paraId="5DFE8007" w14:textId="134588BB" w:rsidR="00800915" w:rsidRPr="00666914" w:rsidRDefault="00800915">
      <w:pPr>
        <w:spacing w:after="0"/>
        <w:jc w:val="left"/>
        <w:rPr>
          <w:rFonts w:eastAsia="Arial Narrow" w:cs="Arial Narrow"/>
        </w:rPr>
      </w:pPr>
    </w:p>
    <w:p w14:paraId="3A0C109D" w14:textId="79332136" w:rsidR="008E7D9E" w:rsidRPr="00666914" w:rsidRDefault="008E7D9E" w:rsidP="00800915">
      <w:pPr>
        <w:pBdr>
          <w:bottom w:val="single" w:sz="4" w:space="1" w:color="auto"/>
        </w:pBdr>
        <w:rPr>
          <w:rFonts w:eastAsia="Arial Narrow" w:cs="Arial Narrow"/>
          <w:b/>
          <w:sz w:val="20"/>
          <w:szCs w:val="20"/>
        </w:rPr>
      </w:pPr>
      <w:bookmarkStart w:id="339" w:name="_heading=h.1ci93xb" w:colFirst="0" w:colLast="0"/>
      <w:bookmarkStart w:id="340" w:name="_Toc38447734"/>
      <w:bookmarkEnd w:id="339"/>
      <w:r w:rsidRPr="00666914">
        <w:rPr>
          <w:rFonts w:eastAsia="Arial Narrow" w:cs="Arial Narrow"/>
          <w:b/>
          <w:sz w:val="20"/>
          <w:szCs w:val="20"/>
        </w:rPr>
        <w:t xml:space="preserve">Tabuľka </w:t>
      </w:r>
      <w:r w:rsidRPr="00666914">
        <w:rPr>
          <w:rFonts w:eastAsia="Arial Narrow" w:cs="Arial Narrow"/>
          <w:b/>
          <w:sz w:val="20"/>
          <w:szCs w:val="20"/>
        </w:rPr>
        <w:fldChar w:fldCharType="begin"/>
      </w:r>
      <w:r w:rsidRPr="00666914">
        <w:rPr>
          <w:rFonts w:eastAsia="Arial Narrow" w:cs="Arial Narrow"/>
          <w:b/>
          <w:sz w:val="20"/>
          <w:szCs w:val="20"/>
        </w:rPr>
        <w:instrText xml:space="preserve"> SEQ Tabuľka \* ARABIC \* MERGEFORMAT </w:instrText>
      </w:r>
      <w:r w:rsidRPr="00666914">
        <w:rPr>
          <w:rFonts w:eastAsia="Arial Narrow" w:cs="Arial Narrow"/>
          <w:b/>
          <w:sz w:val="20"/>
          <w:szCs w:val="20"/>
        </w:rPr>
        <w:fldChar w:fldCharType="separate"/>
      </w:r>
      <w:r w:rsidR="005A7304">
        <w:rPr>
          <w:rFonts w:eastAsia="Arial Narrow" w:cs="Arial Narrow"/>
          <w:b/>
          <w:noProof/>
          <w:sz w:val="20"/>
          <w:szCs w:val="20"/>
        </w:rPr>
        <w:t>73</w:t>
      </w:r>
      <w:r w:rsidRPr="00666914">
        <w:rPr>
          <w:rFonts w:eastAsia="Arial Narrow" w:cs="Arial Narrow"/>
          <w:b/>
          <w:sz w:val="20"/>
          <w:szCs w:val="20"/>
        </w:rPr>
        <w:fldChar w:fldCharType="end"/>
      </w:r>
      <w:r w:rsidRPr="00666914">
        <w:rPr>
          <w:rFonts w:eastAsia="Arial Narrow" w:cs="Arial Narrow"/>
          <w:b/>
          <w:sz w:val="20"/>
          <w:szCs w:val="20"/>
        </w:rPr>
        <w:t>: Prehľad rozpočtových požiadaviek EF a schváleného rozpočtu (mil. eur)</w:t>
      </w:r>
      <w:bookmarkEnd w:id="340"/>
    </w:p>
    <w:tbl>
      <w:tblPr>
        <w:tblW w:w="9279" w:type="dxa"/>
        <w:tblLayout w:type="fixed"/>
        <w:tblLook w:val="0400" w:firstRow="0" w:lastRow="0" w:firstColumn="0" w:lastColumn="0" w:noHBand="0" w:noVBand="1"/>
      </w:tblPr>
      <w:tblGrid>
        <w:gridCol w:w="709"/>
        <w:gridCol w:w="1758"/>
        <w:gridCol w:w="2810"/>
        <w:gridCol w:w="2106"/>
        <w:gridCol w:w="1896"/>
      </w:tblGrid>
      <w:tr w:rsidR="008E7D9E" w:rsidRPr="00666914" w14:paraId="29BB97E6" w14:textId="77777777" w:rsidTr="001E703F">
        <w:trPr>
          <w:trHeight w:val="667"/>
        </w:trPr>
        <w:tc>
          <w:tcPr>
            <w:tcW w:w="709" w:type="dxa"/>
            <w:tcBorders>
              <w:top w:val="nil"/>
              <w:left w:val="nil"/>
              <w:bottom w:val="single" w:sz="4" w:space="0" w:color="000000"/>
              <w:right w:val="nil"/>
            </w:tcBorders>
            <w:shd w:val="clear" w:color="auto" w:fill="auto"/>
          </w:tcPr>
          <w:p w14:paraId="7BE61FA3" w14:textId="77777777" w:rsidR="008E7D9E" w:rsidRPr="00666914" w:rsidRDefault="008E7D9E" w:rsidP="00800915">
            <w:pPr>
              <w:spacing w:after="0"/>
              <w:jc w:val="center"/>
              <w:rPr>
                <w:rFonts w:eastAsia="Arial Narrow" w:cs="Arial Narrow"/>
                <w:b/>
                <w:color w:val="000000"/>
                <w:sz w:val="20"/>
                <w:szCs w:val="20"/>
              </w:rPr>
            </w:pPr>
            <w:r w:rsidRPr="00666914">
              <w:rPr>
                <w:rFonts w:eastAsia="Arial Narrow" w:cs="Arial Narrow"/>
                <w:b/>
                <w:color w:val="000000"/>
                <w:sz w:val="20"/>
                <w:szCs w:val="20"/>
              </w:rPr>
              <w:t>Rok</w:t>
            </w:r>
          </w:p>
        </w:tc>
        <w:tc>
          <w:tcPr>
            <w:tcW w:w="1758" w:type="dxa"/>
            <w:tcBorders>
              <w:top w:val="nil"/>
              <w:left w:val="nil"/>
              <w:bottom w:val="single" w:sz="4" w:space="0" w:color="000000"/>
              <w:right w:val="nil"/>
            </w:tcBorders>
            <w:shd w:val="clear" w:color="auto" w:fill="auto"/>
          </w:tcPr>
          <w:p w14:paraId="4658B0CB" w14:textId="77777777" w:rsidR="008E7D9E" w:rsidRPr="00666914" w:rsidRDefault="008E7D9E" w:rsidP="00800915">
            <w:pPr>
              <w:spacing w:after="0"/>
              <w:jc w:val="center"/>
              <w:rPr>
                <w:rFonts w:eastAsia="Arial Narrow" w:cs="Arial Narrow"/>
                <w:b/>
                <w:color w:val="000000"/>
                <w:sz w:val="20"/>
                <w:szCs w:val="20"/>
              </w:rPr>
            </w:pPr>
            <w:r w:rsidRPr="00666914">
              <w:rPr>
                <w:rFonts w:eastAsia="Arial Narrow" w:cs="Arial Narrow"/>
                <w:b/>
                <w:color w:val="000000"/>
                <w:sz w:val="20"/>
                <w:szCs w:val="20"/>
              </w:rPr>
              <w:t>Návrh východísk rozpočtu z EF</w:t>
            </w:r>
          </w:p>
        </w:tc>
        <w:tc>
          <w:tcPr>
            <w:tcW w:w="2810" w:type="dxa"/>
            <w:tcBorders>
              <w:top w:val="nil"/>
              <w:left w:val="nil"/>
              <w:bottom w:val="single" w:sz="4" w:space="0" w:color="000000"/>
              <w:right w:val="nil"/>
            </w:tcBorders>
            <w:shd w:val="clear" w:color="auto" w:fill="auto"/>
          </w:tcPr>
          <w:p w14:paraId="538329E5" w14:textId="77777777" w:rsidR="008E7D9E" w:rsidRPr="00666914" w:rsidRDefault="008E7D9E" w:rsidP="00800915">
            <w:pPr>
              <w:spacing w:after="0"/>
              <w:jc w:val="center"/>
              <w:rPr>
                <w:rFonts w:eastAsia="Arial Narrow" w:cs="Arial Narrow"/>
                <w:b/>
                <w:color w:val="000000"/>
                <w:sz w:val="20"/>
                <w:szCs w:val="20"/>
              </w:rPr>
            </w:pPr>
            <w:r w:rsidRPr="00666914">
              <w:rPr>
                <w:rFonts w:eastAsia="Arial Narrow" w:cs="Arial Narrow"/>
                <w:b/>
                <w:color w:val="000000"/>
                <w:sz w:val="20"/>
                <w:szCs w:val="20"/>
              </w:rPr>
              <w:t>Návrh limitov príjmov a výdavkov pre EF zaslaný z MF SR</w:t>
            </w:r>
          </w:p>
        </w:tc>
        <w:tc>
          <w:tcPr>
            <w:tcW w:w="2106" w:type="dxa"/>
            <w:tcBorders>
              <w:top w:val="nil"/>
              <w:left w:val="nil"/>
              <w:bottom w:val="single" w:sz="4" w:space="0" w:color="000000"/>
              <w:right w:val="nil"/>
            </w:tcBorders>
            <w:shd w:val="clear" w:color="auto" w:fill="auto"/>
          </w:tcPr>
          <w:p w14:paraId="69EB2156" w14:textId="77777777" w:rsidR="008E7D9E" w:rsidRPr="00666914" w:rsidRDefault="008E7D9E" w:rsidP="00800915">
            <w:pPr>
              <w:spacing w:after="0"/>
              <w:jc w:val="center"/>
              <w:rPr>
                <w:rFonts w:eastAsia="Arial Narrow" w:cs="Arial Narrow"/>
                <w:b/>
                <w:color w:val="000000"/>
                <w:sz w:val="20"/>
                <w:szCs w:val="20"/>
              </w:rPr>
            </w:pPr>
            <w:r w:rsidRPr="00666914">
              <w:rPr>
                <w:rFonts w:eastAsia="Arial Narrow" w:cs="Arial Narrow"/>
                <w:b/>
                <w:color w:val="000000"/>
                <w:sz w:val="20"/>
                <w:szCs w:val="20"/>
              </w:rPr>
              <w:t>Schválený rozpočet na príslušný rozp. rok</w:t>
            </w:r>
          </w:p>
        </w:tc>
        <w:tc>
          <w:tcPr>
            <w:tcW w:w="1896" w:type="dxa"/>
            <w:tcBorders>
              <w:top w:val="nil"/>
              <w:left w:val="nil"/>
              <w:bottom w:val="single" w:sz="4" w:space="0" w:color="000000"/>
              <w:right w:val="nil"/>
            </w:tcBorders>
            <w:shd w:val="clear" w:color="auto" w:fill="auto"/>
          </w:tcPr>
          <w:p w14:paraId="7C6AD6B3" w14:textId="77777777" w:rsidR="008E7D9E" w:rsidRPr="00666914" w:rsidRDefault="008E7D9E" w:rsidP="00800915">
            <w:pPr>
              <w:spacing w:after="0"/>
              <w:jc w:val="center"/>
              <w:rPr>
                <w:rFonts w:eastAsia="Arial Narrow" w:cs="Arial Narrow"/>
                <w:b/>
                <w:color w:val="000000"/>
                <w:sz w:val="20"/>
                <w:szCs w:val="20"/>
              </w:rPr>
            </w:pPr>
            <w:r w:rsidRPr="00666914">
              <w:rPr>
                <w:rFonts w:eastAsia="Arial Narrow" w:cs="Arial Narrow"/>
                <w:b/>
                <w:color w:val="000000"/>
                <w:sz w:val="20"/>
                <w:szCs w:val="20"/>
              </w:rPr>
              <w:t>Skutočný príjem na položke</w:t>
            </w:r>
          </w:p>
        </w:tc>
      </w:tr>
      <w:tr w:rsidR="008E7D9E" w:rsidRPr="00666914" w14:paraId="55485EA5" w14:textId="77777777" w:rsidTr="001E703F">
        <w:trPr>
          <w:trHeight w:val="333"/>
        </w:trPr>
        <w:tc>
          <w:tcPr>
            <w:tcW w:w="709" w:type="dxa"/>
            <w:tcBorders>
              <w:top w:val="nil"/>
              <w:left w:val="nil"/>
              <w:bottom w:val="nil"/>
              <w:right w:val="nil"/>
            </w:tcBorders>
            <w:shd w:val="clear" w:color="auto" w:fill="auto"/>
            <w:vAlign w:val="center"/>
          </w:tcPr>
          <w:p w14:paraId="1CBF2A99"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2012</w:t>
            </w:r>
          </w:p>
        </w:tc>
        <w:tc>
          <w:tcPr>
            <w:tcW w:w="1758" w:type="dxa"/>
            <w:tcBorders>
              <w:top w:val="nil"/>
              <w:left w:val="nil"/>
              <w:bottom w:val="nil"/>
              <w:right w:val="nil"/>
            </w:tcBorders>
            <w:shd w:val="clear" w:color="auto" w:fill="auto"/>
            <w:vAlign w:val="center"/>
          </w:tcPr>
          <w:p w14:paraId="6CD1F377"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100</w:t>
            </w:r>
          </w:p>
        </w:tc>
        <w:tc>
          <w:tcPr>
            <w:tcW w:w="2810" w:type="dxa"/>
            <w:tcBorders>
              <w:top w:val="nil"/>
              <w:left w:val="nil"/>
              <w:bottom w:val="nil"/>
              <w:right w:val="nil"/>
            </w:tcBorders>
            <w:shd w:val="clear" w:color="auto" w:fill="auto"/>
            <w:vAlign w:val="center"/>
          </w:tcPr>
          <w:p w14:paraId="4D760BCC"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27 </w:t>
            </w:r>
          </w:p>
        </w:tc>
        <w:tc>
          <w:tcPr>
            <w:tcW w:w="2106" w:type="dxa"/>
            <w:tcBorders>
              <w:top w:val="nil"/>
              <w:left w:val="nil"/>
              <w:bottom w:val="nil"/>
              <w:right w:val="nil"/>
            </w:tcBorders>
            <w:shd w:val="clear" w:color="auto" w:fill="auto"/>
            <w:vAlign w:val="center"/>
          </w:tcPr>
          <w:p w14:paraId="44AF7CC8"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27 </w:t>
            </w:r>
          </w:p>
        </w:tc>
        <w:tc>
          <w:tcPr>
            <w:tcW w:w="1896" w:type="dxa"/>
            <w:tcBorders>
              <w:top w:val="nil"/>
              <w:left w:val="nil"/>
              <w:bottom w:val="nil"/>
              <w:right w:val="nil"/>
            </w:tcBorders>
            <w:shd w:val="clear" w:color="auto" w:fill="auto"/>
            <w:vAlign w:val="center"/>
          </w:tcPr>
          <w:p w14:paraId="1B52DF2C"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12,2</w:t>
            </w:r>
          </w:p>
        </w:tc>
      </w:tr>
      <w:tr w:rsidR="008E7D9E" w:rsidRPr="00666914" w14:paraId="64759300" w14:textId="77777777" w:rsidTr="001E703F">
        <w:trPr>
          <w:trHeight w:val="333"/>
        </w:trPr>
        <w:tc>
          <w:tcPr>
            <w:tcW w:w="709" w:type="dxa"/>
            <w:tcBorders>
              <w:top w:val="nil"/>
              <w:left w:val="nil"/>
              <w:bottom w:val="nil"/>
              <w:right w:val="nil"/>
            </w:tcBorders>
            <w:shd w:val="clear" w:color="auto" w:fill="auto"/>
            <w:vAlign w:val="center"/>
          </w:tcPr>
          <w:p w14:paraId="5463BA9B"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2013</w:t>
            </w:r>
          </w:p>
        </w:tc>
        <w:tc>
          <w:tcPr>
            <w:tcW w:w="1758" w:type="dxa"/>
            <w:tcBorders>
              <w:top w:val="nil"/>
              <w:left w:val="nil"/>
              <w:bottom w:val="nil"/>
              <w:right w:val="nil"/>
            </w:tcBorders>
            <w:shd w:val="clear" w:color="auto" w:fill="auto"/>
            <w:vAlign w:val="center"/>
          </w:tcPr>
          <w:p w14:paraId="10FA9DE9"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0</w:t>
            </w:r>
          </w:p>
        </w:tc>
        <w:tc>
          <w:tcPr>
            <w:tcW w:w="2810" w:type="dxa"/>
            <w:tcBorders>
              <w:top w:val="nil"/>
              <w:left w:val="nil"/>
              <w:bottom w:val="nil"/>
              <w:right w:val="nil"/>
            </w:tcBorders>
            <w:shd w:val="clear" w:color="auto" w:fill="auto"/>
            <w:vAlign w:val="center"/>
          </w:tcPr>
          <w:p w14:paraId="79889FB3"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105</w:t>
            </w:r>
          </w:p>
        </w:tc>
        <w:tc>
          <w:tcPr>
            <w:tcW w:w="2106" w:type="dxa"/>
            <w:tcBorders>
              <w:top w:val="nil"/>
              <w:left w:val="nil"/>
              <w:bottom w:val="nil"/>
              <w:right w:val="nil"/>
            </w:tcBorders>
            <w:shd w:val="clear" w:color="auto" w:fill="auto"/>
            <w:vAlign w:val="center"/>
          </w:tcPr>
          <w:p w14:paraId="09638EBE"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105</w:t>
            </w:r>
          </w:p>
        </w:tc>
        <w:tc>
          <w:tcPr>
            <w:tcW w:w="1896" w:type="dxa"/>
            <w:tcBorders>
              <w:top w:val="nil"/>
              <w:left w:val="nil"/>
              <w:bottom w:val="nil"/>
              <w:right w:val="nil"/>
            </w:tcBorders>
            <w:shd w:val="clear" w:color="auto" w:fill="auto"/>
            <w:vAlign w:val="center"/>
          </w:tcPr>
          <w:p w14:paraId="4B67B41D"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12,4</w:t>
            </w:r>
          </w:p>
        </w:tc>
      </w:tr>
      <w:tr w:rsidR="008E7D9E" w:rsidRPr="00666914" w14:paraId="02B6F0AD" w14:textId="77777777" w:rsidTr="001E703F">
        <w:trPr>
          <w:trHeight w:val="333"/>
        </w:trPr>
        <w:tc>
          <w:tcPr>
            <w:tcW w:w="709" w:type="dxa"/>
            <w:tcBorders>
              <w:top w:val="nil"/>
              <w:left w:val="nil"/>
              <w:bottom w:val="nil"/>
              <w:right w:val="nil"/>
            </w:tcBorders>
            <w:shd w:val="clear" w:color="auto" w:fill="auto"/>
            <w:vAlign w:val="center"/>
          </w:tcPr>
          <w:p w14:paraId="0D95585F"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2014</w:t>
            </w:r>
          </w:p>
        </w:tc>
        <w:tc>
          <w:tcPr>
            <w:tcW w:w="1758" w:type="dxa"/>
            <w:tcBorders>
              <w:top w:val="nil"/>
              <w:left w:val="nil"/>
              <w:bottom w:val="nil"/>
              <w:right w:val="nil"/>
            </w:tcBorders>
            <w:shd w:val="clear" w:color="auto" w:fill="auto"/>
            <w:vAlign w:val="center"/>
          </w:tcPr>
          <w:p w14:paraId="356BE12C"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105 </w:t>
            </w:r>
          </w:p>
        </w:tc>
        <w:tc>
          <w:tcPr>
            <w:tcW w:w="2810" w:type="dxa"/>
            <w:tcBorders>
              <w:top w:val="nil"/>
              <w:left w:val="nil"/>
              <w:bottom w:val="nil"/>
              <w:right w:val="nil"/>
            </w:tcBorders>
            <w:shd w:val="clear" w:color="auto" w:fill="auto"/>
            <w:vAlign w:val="center"/>
          </w:tcPr>
          <w:p w14:paraId="06AA125B"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105 </w:t>
            </w:r>
          </w:p>
        </w:tc>
        <w:tc>
          <w:tcPr>
            <w:tcW w:w="2106" w:type="dxa"/>
            <w:tcBorders>
              <w:top w:val="nil"/>
              <w:left w:val="nil"/>
              <w:bottom w:val="nil"/>
              <w:right w:val="nil"/>
            </w:tcBorders>
            <w:shd w:val="clear" w:color="auto" w:fill="auto"/>
            <w:vAlign w:val="center"/>
          </w:tcPr>
          <w:p w14:paraId="458ED778"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23,3</w:t>
            </w:r>
          </w:p>
        </w:tc>
        <w:tc>
          <w:tcPr>
            <w:tcW w:w="1896" w:type="dxa"/>
            <w:tcBorders>
              <w:top w:val="nil"/>
              <w:left w:val="nil"/>
              <w:bottom w:val="nil"/>
              <w:right w:val="nil"/>
            </w:tcBorders>
            <w:shd w:val="clear" w:color="auto" w:fill="auto"/>
            <w:vAlign w:val="center"/>
          </w:tcPr>
          <w:p w14:paraId="13ECE918"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17,3</w:t>
            </w:r>
          </w:p>
        </w:tc>
      </w:tr>
      <w:tr w:rsidR="008E7D9E" w:rsidRPr="00666914" w14:paraId="5196234C" w14:textId="77777777" w:rsidTr="001E703F">
        <w:trPr>
          <w:trHeight w:val="333"/>
        </w:trPr>
        <w:tc>
          <w:tcPr>
            <w:tcW w:w="709" w:type="dxa"/>
            <w:tcBorders>
              <w:top w:val="nil"/>
              <w:left w:val="nil"/>
              <w:bottom w:val="nil"/>
              <w:right w:val="nil"/>
            </w:tcBorders>
            <w:shd w:val="clear" w:color="auto" w:fill="auto"/>
            <w:vAlign w:val="center"/>
          </w:tcPr>
          <w:p w14:paraId="3F3BBDBE"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2015</w:t>
            </w:r>
          </w:p>
        </w:tc>
        <w:tc>
          <w:tcPr>
            <w:tcW w:w="1758" w:type="dxa"/>
            <w:tcBorders>
              <w:top w:val="nil"/>
              <w:left w:val="nil"/>
              <w:bottom w:val="nil"/>
              <w:right w:val="nil"/>
            </w:tcBorders>
            <w:shd w:val="clear" w:color="auto" w:fill="auto"/>
            <w:vAlign w:val="center"/>
          </w:tcPr>
          <w:p w14:paraId="71EAF1E6"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23,3</w:t>
            </w:r>
          </w:p>
        </w:tc>
        <w:tc>
          <w:tcPr>
            <w:tcW w:w="2810" w:type="dxa"/>
            <w:tcBorders>
              <w:top w:val="nil"/>
              <w:left w:val="nil"/>
              <w:bottom w:val="nil"/>
              <w:right w:val="nil"/>
            </w:tcBorders>
            <w:shd w:val="clear" w:color="auto" w:fill="auto"/>
            <w:vAlign w:val="center"/>
          </w:tcPr>
          <w:p w14:paraId="5D4EE729"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116,7</w:t>
            </w:r>
          </w:p>
        </w:tc>
        <w:tc>
          <w:tcPr>
            <w:tcW w:w="2106" w:type="dxa"/>
            <w:tcBorders>
              <w:top w:val="nil"/>
              <w:left w:val="nil"/>
              <w:bottom w:val="nil"/>
              <w:right w:val="nil"/>
            </w:tcBorders>
            <w:shd w:val="clear" w:color="auto" w:fill="auto"/>
            <w:vAlign w:val="center"/>
          </w:tcPr>
          <w:p w14:paraId="3706EB3C"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116,7</w:t>
            </w:r>
          </w:p>
        </w:tc>
        <w:tc>
          <w:tcPr>
            <w:tcW w:w="1896" w:type="dxa"/>
            <w:tcBorders>
              <w:top w:val="nil"/>
              <w:left w:val="nil"/>
              <w:bottom w:val="nil"/>
              <w:right w:val="nil"/>
            </w:tcBorders>
            <w:shd w:val="clear" w:color="auto" w:fill="auto"/>
            <w:vAlign w:val="center"/>
          </w:tcPr>
          <w:p w14:paraId="1F7B2062"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84,4</w:t>
            </w:r>
          </w:p>
        </w:tc>
      </w:tr>
      <w:tr w:rsidR="008E7D9E" w:rsidRPr="00666914" w14:paraId="4C38579D" w14:textId="77777777" w:rsidTr="001E703F">
        <w:trPr>
          <w:trHeight w:val="333"/>
        </w:trPr>
        <w:tc>
          <w:tcPr>
            <w:tcW w:w="709" w:type="dxa"/>
            <w:tcBorders>
              <w:top w:val="nil"/>
              <w:left w:val="nil"/>
              <w:bottom w:val="nil"/>
              <w:right w:val="nil"/>
            </w:tcBorders>
            <w:shd w:val="clear" w:color="auto" w:fill="auto"/>
            <w:vAlign w:val="center"/>
          </w:tcPr>
          <w:p w14:paraId="07D4F055"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2016</w:t>
            </w:r>
          </w:p>
        </w:tc>
        <w:tc>
          <w:tcPr>
            <w:tcW w:w="1758" w:type="dxa"/>
            <w:tcBorders>
              <w:top w:val="nil"/>
              <w:left w:val="nil"/>
              <w:bottom w:val="nil"/>
              <w:right w:val="nil"/>
            </w:tcBorders>
            <w:shd w:val="clear" w:color="auto" w:fill="auto"/>
            <w:vAlign w:val="center"/>
          </w:tcPr>
          <w:p w14:paraId="0F149891"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116,7</w:t>
            </w:r>
          </w:p>
        </w:tc>
        <w:tc>
          <w:tcPr>
            <w:tcW w:w="2810" w:type="dxa"/>
            <w:tcBorders>
              <w:top w:val="nil"/>
              <w:left w:val="nil"/>
              <w:bottom w:val="nil"/>
              <w:right w:val="nil"/>
            </w:tcBorders>
            <w:shd w:val="clear" w:color="auto" w:fill="auto"/>
            <w:vAlign w:val="center"/>
          </w:tcPr>
          <w:p w14:paraId="242DA22F"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116,7</w:t>
            </w:r>
          </w:p>
        </w:tc>
        <w:tc>
          <w:tcPr>
            <w:tcW w:w="2106" w:type="dxa"/>
            <w:tcBorders>
              <w:top w:val="nil"/>
              <w:left w:val="nil"/>
              <w:bottom w:val="nil"/>
              <w:right w:val="nil"/>
            </w:tcBorders>
            <w:shd w:val="clear" w:color="auto" w:fill="auto"/>
            <w:vAlign w:val="center"/>
          </w:tcPr>
          <w:p w14:paraId="05B39EB3"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116,7</w:t>
            </w:r>
          </w:p>
        </w:tc>
        <w:tc>
          <w:tcPr>
            <w:tcW w:w="1896" w:type="dxa"/>
            <w:tcBorders>
              <w:top w:val="nil"/>
              <w:left w:val="nil"/>
              <w:bottom w:val="nil"/>
              <w:right w:val="nil"/>
            </w:tcBorders>
            <w:shd w:val="clear" w:color="auto" w:fill="auto"/>
            <w:vAlign w:val="center"/>
          </w:tcPr>
          <w:p w14:paraId="56DBE04A"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65</w:t>
            </w:r>
          </w:p>
        </w:tc>
      </w:tr>
      <w:tr w:rsidR="008E7D9E" w:rsidRPr="00666914" w14:paraId="767B4885" w14:textId="77777777" w:rsidTr="001E703F">
        <w:trPr>
          <w:trHeight w:val="333"/>
        </w:trPr>
        <w:tc>
          <w:tcPr>
            <w:tcW w:w="709" w:type="dxa"/>
            <w:tcBorders>
              <w:top w:val="nil"/>
              <w:left w:val="nil"/>
              <w:bottom w:val="nil"/>
              <w:right w:val="nil"/>
            </w:tcBorders>
            <w:shd w:val="clear" w:color="auto" w:fill="auto"/>
            <w:vAlign w:val="center"/>
          </w:tcPr>
          <w:p w14:paraId="28860EFC"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2017</w:t>
            </w:r>
          </w:p>
        </w:tc>
        <w:tc>
          <w:tcPr>
            <w:tcW w:w="1758" w:type="dxa"/>
            <w:tcBorders>
              <w:top w:val="nil"/>
              <w:left w:val="nil"/>
              <w:bottom w:val="nil"/>
              <w:right w:val="nil"/>
            </w:tcBorders>
            <w:shd w:val="clear" w:color="auto" w:fill="auto"/>
            <w:vAlign w:val="center"/>
          </w:tcPr>
          <w:p w14:paraId="39F99112"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116,7</w:t>
            </w:r>
          </w:p>
        </w:tc>
        <w:tc>
          <w:tcPr>
            <w:tcW w:w="2810" w:type="dxa"/>
            <w:tcBorders>
              <w:top w:val="nil"/>
              <w:left w:val="nil"/>
              <w:bottom w:val="nil"/>
              <w:right w:val="nil"/>
            </w:tcBorders>
            <w:shd w:val="clear" w:color="auto" w:fill="auto"/>
            <w:vAlign w:val="center"/>
          </w:tcPr>
          <w:p w14:paraId="363F29DE"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116,7</w:t>
            </w:r>
          </w:p>
        </w:tc>
        <w:tc>
          <w:tcPr>
            <w:tcW w:w="2106" w:type="dxa"/>
            <w:tcBorders>
              <w:top w:val="nil"/>
              <w:left w:val="nil"/>
              <w:bottom w:val="nil"/>
              <w:right w:val="nil"/>
            </w:tcBorders>
            <w:shd w:val="clear" w:color="auto" w:fill="auto"/>
            <w:vAlign w:val="center"/>
          </w:tcPr>
          <w:p w14:paraId="30360AAF"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116,7</w:t>
            </w:r>
          </w:p>
        </w:tc>
        <w:tc>
          <w:tcPr>
            <w:tcW w:w="1896" w:type="dxa"/>
            <w:tcBorders>
              <w:top w:val="nil"/>
              <w:left w:val="nil"/>
              <w:bottom w:val="nil"/>
              <w:right w:val="nil"/>
            </w:tcBorders>
            <w:shd w:val="clear" w:color="auto" w:fill="auto"/>
            <w:vAlign w:val="center"/>
          </w:tcPr>
          <w:p w14:paraId="244497AB"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87</w:t>
            </w:r>
          </w:p>
        </w:tc>
      </w:tr>
      <w:tr w:rsidR="008E7D9E" w:rsidRPr="00666914" w14:paraId="5291AA93" w14:textId="77777777" w:rsidTr="001E703F">
        <w:trPr>
          <w:trHeight w:val="333"/>
        </w:trPr>
        <w:tc>
          <w:tcPr>
            <w:tcW w:w="709" w:type="dxa"/>
            <w:tcBorders>
              <w:top w:val="nil"/>
              <w:left w:val="nil"/>
              <w:bottom w:val="nil"/>
              <w:right w:val="nil"/>
            </w:tcBorders>
            <w:shd w:val="clear" w:color="auto" w:fill="auto"/>
            <w:vAlign w:val="center"/>
          </w:tcPr>
          <w:p w14:paraId="729A0881"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w:t>
            </w:r>
          </w:p>
        </w:tc>
        <w:tc>
          <w:tcPr>
            <w:tcW w:w="1758" w:type="dxa"/>
            <w:tcBorders>
              <w:top w:val="nil"/>
              <w:left w:val="nil"/>
              <w:bottom w:val="nil"/>
              <w:right w:val="nil"/>
            </w:tcBorders>
            <w:shd w:val="clear" w:color="auto" w:fill="auto"/>
            <w:vAlign w:val="center"/>
          </w:tcPr>
          <w:p w14:paraId="1A45362D"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90</w:t>
            </w:r>
          </w:p>
        </w:tc>
        <w:tc>
          <w:tcPr>
            <w:tcW w:w="2810" w:type="dxa"/>
            <w:tcBorders>
              <w:top w:val="nil"/>
              <w:left w:val="nil"/>
              <w:bottom w:val="nil"/>
              <w:right w:val="nil"/>
            </w:tcBorders>
            <w:shd w:val="clear" w:color="auto" w:fill="auto"/>
            <w:vAlign w:val="center"/>
          </w:tcPr>
          <w:p w14:paraId="6C3C12D1"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116,7</w:t>
            </w:r>
          </w:p>
        </w:tc>
        <w:tc>
          <w:tcPr>
            <w:tcW w:w="2106" w:type="dxa"/>
            <w:tcBorders>
              <w:top w:val="nil"/>
              <w:left w:val="nil"/>
              <w:bottom w:val="nil"/>
              <w:right w:val="nil"/>
            </w:tcBorders>
            <w:shd w:val="clear" w:color="auto" w:fill="auto"/>
            <w:vAlign w:val="center"/>
          </w:tcPr>
          <w:p w14:paraId="57AADE26"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116,7</w:t>
            </w:r>
          </w:p>
        </w:tc>
        <w:tc>
          <w:tcPr>
            <w:tcW w:w="1896" w:type="dxa"/>
            <w:tcBorders>
              <w:top w:val="nil"/>
              <w:left w:val="nil"/>
              <w:bottom w:val="nil"/>
              <w:right w:val="nil"/>
            </w:tcBorders>
            <w:shd w:val="clear" w:color="auto" w:fill="auto"/>
            <w:vAlign w:val="center"/>
          </w:tcPr>
          <w:p w14:paraId="51194C51"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229,7</w:t>
            </w:r>
          </w:p>
        </w:tc>
      </w:tr>
      <w:tr w:rsidR="008E7D9E" w:rsidRPr="00666914" w14:paraId="689FA390" w14:textId="77777777" w:rsidTr="001E703F">
        <w:trPr>
          <w:trHeight w:val="333"/>
        </w:trPr>
        <w:tc>
          <w:tcPr>
            <w:tcW w:w="709" w:type="dxa"/>
            <w:tcBorders>
              <w:top w:val="nil"/>
              <w:left w:val="nil"/>
              <w:bottom w:val="nil"/>
              <w:right w:val="nil"/>
            </w:tcBorders>
            <w:shd w:val="clear" w:color="auto" w:fill="auto"/>
            <w:vAlign w:val="center"/>
          </w:tcPr>
          <w:p w14:paraId="39499980"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2019</w:t>
            </w:r>
          </w:p>
        </w:tc>
        <w:tc>
          <w:tcPr>
            <w:tcW w:w="1758" w:type="dxa"/>
            <w:tcBorders>
              <w:top w:val="nil"/>
              <w:left w:val="nil"/>
              <w:bottom w:val="nil"/>
              <w:right w:val="nil"/>
            </w:tcBorders>
            <w:shd w:val="clear" w:color="auto" w:fill="auto"/>
            <w:vAlign w:val="center"/>
          </w:tcPr>
          <w:p w14:paraId="5792A402"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130 </w:t>
            </w:r>
          </w:p>
        </w:tc>
        <w:tc>
          <w:tcPr>
            <w:tcW w:w="2810" w:type="dxa"/>
            <w:tcBorders>
              <w:top w:val="nil"/>
              <w:left w:val="nil"/>
              <w:bottom w:val="nil"/>
              <w:right w:val="nil"/>
            </w:tcBorders>
            <w:shd w:val="clear" w:color="auto" w:fill="auto"/>
            <w:vAlign w:val="center"/>
          </w:tcPr>
          <w:p w14:paraId="2FAAB8C5"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136,7</w:t>
            </w:r>
          </w:p>
        </w:tc>
        <w:tc>
          <w:tcPr>
            <w:tcW w:w="2106" w:type="dxa"/>
            <w:tcBorders>
              <w:top w:val="nil"/>
              <w:left w:val="nil"/>
              <w:bottom w:val="nil"/>
              <w:right w:val="nil"/>
            </w:tcBorders>
            <w:shd w:val="clear" w:color="auto" w:fill="auto"/>
            <w:vAlign w:val="center"/>
          </w:tcPr>
          <w:p w14:paraId="437F2174"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136,7</w:t>
            </w:r>
          </w:p>
        </w:tc>
        <w:tc>
          <w:tcPr>
            <w:tcW w:w="1896" w:type="dxa"/>
            <w:tcBorders>
              <w:top w:val="nil"/>
              <w:left w:val="nil"/>
              <w:bottom w:val="nil"/>
              <w:right w:val="nil"/>
            </w:tcBorders>
            <w:shd w:val="clear" w:color="auto" w:fill="auto"/>
            <w:vAlign w:val="center"/>
          </w:tcPr>
          <w:p w14:paraId="7F332858"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244</w:t>
            </w:r>
          </w:p>
        </w:tc>
      </w:tr>
      <w:tr w:rsidR="008E7D9E" w:rsidRPr="00666914" w14:paraId="30A15A11" w14:textId="77777777" w:rsidTr="001E703F">
        <w:trPr>
          <w:trHeight w:val="333"/>
        </w:trPr>
        <w:tc>
          <w:tcPr>
            <w:tcW w:w="709" w:type="dxa"/>
            <w:tcBorders>
              <w:top w:val="nil"/>
              <w:left w:val="nil"/>
              <w:bottom w:val="single" w:sz="4" w:space="0" w:color="000000"/>
              <w:right w:val="nil"/>
            </w:tcBorders>
            <w:shd w:val="clear" w:color="auto" w:fill="auto"/>
            <w:vAlign w:val="center"/>
          </w:tcPr>
          <w:p w14:paraId="4F52C538"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2020</w:t>
            </w:r>
          </w:p>
        </w:tc>
        <w:tc>
          <w:tcPr>
            <w:tcW w:w="1758" w:type="dxa"/>
            <w:tcBorders>
              <w:top w:val="nil"/>
              <w:left w:val="nil"/>
              <w:bottom w:val="single" w:sz="4" w:space="0" w:color="000000"/>
              <w:right w:val="nil"/>
            </w:tcBorders>
            <w:shd w:val="clear" w:color="auto" w:fill="auto"/>
            <w:vAlign w:val="center"/>
          </w:tcPr>
          <w:p w14:paraId="3564E37D"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146,2</w:t>
            </w:r>
          </w:p>
        </w:tc>
        <w:tc>
          <w:tcPr>
            <w:tcW w:w="2810" w:type="dxa"/>
            <w:tcBorders>
              <w:top w:val="nil"/>
              <w:left w:val="nil"/>
              <w:bottom w:val="single" w:sz="4" w:space="0" w:color="000000"/>
              <w:right w:val="nil"/>
            </w:tcBorders>
            <w:shd w:val="clear" w:color="auto" w:fill="auto"/>
            <w:vAlign w:val="center"/>
          </w:tcPr>
          <w:p w14:paraId="7A780CB2"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292,4</w:t>
            </w:r>
          </w:p>
        </w:tc>
        <w:tc>
          <w:tcPr>
            <w:tcW w:w="2106" w:type="dxa"/>
            <w:tcBorders>
              <w:top w:val="nil"/>
              <w:left w:val="nil"/>
              <w:bottom w:val="single" w:sz="4" w:space="0" w:color="000000"/>
              <w:right w:val="nil"/>
            </w:tcBorders>
            <w:shd w:val="clear" w:color="auto" w:fill="auto"/>
            <w:vAlign w:val="center"/>
          </w:tcPr>
          <w:p w14:paraId="6A8C0425"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292,4</w:t>
            </w:r>
          </w:p>
        </w:tc>
        <w:tc>
          <w:tcPr>
            <w:tcW w:w="1896" w:type="dxa"/>
            <w:tcBorders>
              <w:top w:val="nil"/>
              <w:left w:val="nil"/>
              <w:bottom w:val="single" w:sz="4" w:space="0" w:color="000000"/>
              <w:right w:val="nil"/>
            </w:tcBorders>
            <w:shd w:val="clear" w:color="auto" w:fill="auto"/>
            <w:vAlign w:val="center"/>
          </w:tcPr>
          <w:p w14:paraId="1887E678"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w:t>
            </w:r>
          </w:p>
        </w:tc>
      </w:tr>
    </w:tbl>
    <w:p w14:paraId="39091B2A" w14:textId="77777777" w:rsidR="008E7D9E" w:rsidRPr="00666914" w:rsidRDefault="008E7D9E">
      <w:pPr>
        <w:spacing w:after="0"/>
        <w:jc w:val="right"/>
        <w:rPr>
          <w:rFonts w:eastAsia="Arial Narrow" w:cs="Arial Narrow"/>
          <w:i/>
          <w:sz w:val="18"/>
          <w:szCs w:val="18"/>
        </w:rPr>
      </w:pPr>
      <w:r w:rsidRPr="00666914">
        <w:rPr>
          <w:rFonts w:eastAsia="Arial Narrow" w:cs="Arial Narrow"/>
          <w:i/>
          <w:sz w:val="18"/>
          <w:szCs w:val="18"/>
        </w:rPr>
        <w:t>Zdroj: EF, MF SR</w:t>
      </w:r>
    </w:p>
    <w:p w14:paraId="2D63DDB2" w14:textId="77777777" w:rsidR="008E7D9E" w:rsidRPr="00666914" w:rsidRDefault="008E7D9E">
      <w:pPr>
        <w:spacing w:after="0"/>
        <w:rPr>
          <w:rFonts w:eastAsia="Arial Narrow" w:cs="Arial Narrow"/>
        </w:rPr>
      </w:pPr>
    </w:p>
    <w:p w14:paraId="6B3CBB6C" w14:textId="665BD1DB" w:rsidR="00800915" w:rsidRPr="00666914" w:rsidRDefault="008E7D9E">
      <w:pPr>
        <w:spacing w:after="0"/>
        <w:rPr>
          <w:rFonts w:eastAsia="Arial Narrow" w:cs="Arial Narrow"/>
        </w:rPr>
      </w:pPr>
      <w:r w:rsidRPr="00666914">
        <w:rPr>
          <w:rFonts w:eastAsia="Arial Narrow" w:cs="Arial Narrow"/>
          <w:b/>
        </w:rPr>
        <w:t xml:space="preserve">Na základe údajov zo spoločnej aukcie členských štátov EÚ je dôvodom výrazného nárastu príjmov z predaja emisných kvót prudké zvýšenie ich ceny (viď graf </w:t>
      </w:r>
      <w:r w:rsidR="00B06DE7" w:rsidRPr="00666914">
        <w:rPr>
          <w:rFonts w:eastAsia="Arial Narrow" w:cs="Arial Narrow"/>
          <w:b/>
        </w:rPr>
        <w:t>18</w:t>
      </w:r>
      <w:r w:rsidRPr="00666914">
        <w:rPr>
          <w:rFonts w:eastAsia="Arial Narrow" w:cs="Arial Narrow"/>
          <w:b/>
        </w:rPr>
        <w:t>).</w:t>
      </w:r>
      <w:r w:rsidRPr="00666914">
        <w:rPr>
          <w:rFonts w:eastAsia="Arial Narrow" w:cs="Arial Narrow"/>
        </w:rPr>
        <w:t xml:space="preserve"> Ide o dôsledok reformy Európskeho systému obchodovania s emisnými kvótami skleníkových plynov (ďalej len „EU ETS“) z roku 2015, kedy sa v roku 2018 vytvorila takzvaná trhová stabilizačná rezerva, do ktorej boli prvýkrát v roku 2019 odložené prebytočné kvóty</w:t>
      </w:r>
      <w:r w:rsidRPr="00666914">
        <w:rPr>
          <w:rFonts w:eastAsia="Arial Narrow" w:cs="Arial Narrow"/>
          <w:vertAlign w:val="superscript"/>
        </w:rPr>
        <w:footnoteReference w:id="288"/>
      </w:r>
      <w:r w:rsidRPr="00666914">
        <w:rPr>
          <w:rFonts w:eastAsia="Arial Narrow" w:cs="Arial Narrow"/>
        </w:rPr>
        <w:t>. Dôvodom bola existencia veľkého prebytku emisných kvót v obehu, ktorý znižoval cenu emisných kvót a obmedzoval stimuly na investície do nízkouhlíkových technológií. Zavedenie rezervy je opatrenie na regulovanie optimálneho množstva emisných kvót v obehu, pričom zníženie ich ponuky na trhu emisných kvót  tlačí na rast ich cien. Ceny pokračovali v raste aj v roku 2019.</w:t>
      </w:r>
    </w:p>
    <w:p w14:paraId="510A01E8" w14:textId="77777777" w:rsidR="00800915" w:rsidRPr="00666914" w:rsidRDefault="00800915">
      <w:pPr>
        <w:spacing w:after="0"/>
        <w:jc w:val="left"/>
        <w:rPr>
          <w:rFonts w:eastAsia="Arial Narrow" w:cs="Arial Narrow"/>
        </w:rPr>
      </w:pPr>
      <w:r w:rsidRPr="00666914">
        <w:rPr>
          <w:rFonts w:eastAsia="Arial Narrow" w:cs="Arial Narrow"/>
        </w:rPr>
        <w:br w:type="page"/>
      </w:r>
    </w:p>
    <w:p w14:paraId="524DDB9C" w14:textId="2785F6EE" w:rsidR="008E7D9E" w:rsidRPr="00666914" w:rsidRDefault="008E7D9E" w:rsidP="00F64B85">
      <w:pPr>
        <w:pBdr>
          <w:bottom w:val="single" w:sz="4" w:space="1" w:color="auto"/>
        </w:pBdr>
        <w:spacing w:after="0"/>
        <w:rPr>
          <w:rFonts w:eastAsia="Arial Narrow" w:cs="Arial Narrow"/>
          <w:b/>
          <w:sz w:val="20"/>
          <w:szCs w:val="20"/>
        </w:rPr>
      </w:pPr>
      <w:bookmarkStart w:id="341" w:name="_heading=h.3whwml4" w:colFirst="0" w:colLast="0"/>
      <w:bookmarkStart w:id="342" w:name="_Toc38390062"/>
      <w:bookmarkEnd w:id="341"/>
      <w:r w:rsidRPr="00666914">
        <w:rPr>
          <w:rFonts w:eastAsia="Arial Narrow" w:cs="Arial Narrow"/>
          <w:b/>
          <w:sz w:val="20"/>
          <w:szCs w:val="20"/>
        </w:rPr>
        <w:lastRenderedPageBreak/>
        <w:t xml:space="preserve">Graf </w:t>
      </w:r>
      <w:r w:rsidRPr="00666914">
        <w:rPr>
          <w:rFonts w:eastAsia="Arial Narrow" w:cs="Arial Narrow"/>
          <w:b/>
          <w:sz w:val="20"/>
          <w:szCs w:val="20"/>
        </w:rPr>
        <w:fldChar w:fldCharType="begin"/>
      </w:r>
      <w:r w:rsidRPr="00666914">
        <w:rPr>
          <w:rFonts w:eastAsia="Arial Narrow" w:cs="Arial Narrow"/>
          <w:b/>
          <w:sz w:val="20"/>
          <w:szCs w:val="20"/>
        </w:rPr>
        <w:instrText xml:space="preserve"> SEQ Graf \* ARABIC \* MERGEFORMAT </w:instrText>
      </w:r>
      <w:r w:rsidRPr="00666914">
        <w:rPr>
          <w:rFonts w:eastAsia="Arial Narrow" w:cs="Arial Narrow"/>
          <w:b/>
          <w:sz w:val="20"/>
          <w:szCs w:val="20"/>
        </w:rPr>
        <w:fldChar w:fldCharType="separate"/>
      </w:r>
      <w:r w:rsidR="005A7304">
        <w:rPr>
          <w:rFonts w:eastAsia="Arial Narrow" w:cs="Arial Narrow"/>
          <w:b/>
          <w:noProof/>
          <w:sz w:val="20"/>
          <w:szCs w:val="20"/>
        </w:rPr>
        <w:t>18</w:t>
      </w:r>
      <w:r w:rsidRPr="00666914">
        <w:rPr>
          <w:rFonts w:eastAsia="Arial Narrow" w:cs="Arial Narrow"/>
          <w:b/>
          <w:sz w:val="20"/>
          <w:szCs w:val="20"/>
        </w:rPr>
        <w:fldChar w:fldCharType="end"/>
      </w:r>
      <w:r w:rsidRPr="00666914">
        <w:rPr>
          <w:rFonts w:eastAsia="Arial Narrow" w:cs="Arial Narrow"/>
          <w:b/>
          <w:sz w:val="20"/>
          <w:szCs w:val="20"/>
        </w:rPr>
        <w:t>: Priemerné mesačné výsledky aukcií EUA za Slovenskú republiku</w:t>
      </w:r>
      <w:bookmarkEnd w:id="342"/>
    </w:p>
    <w:p w14:paraId="0FEEDA86" w14:textId="5732A577" w:rsidR="008E7D9E" w:rsidRPr="00666914" w:rsidRDefault="00312B0A" w:rsidP="00312B0A">
      <w:pPr>
        <w:spacing w:after="0"/>
        <w:jc w:val="center"/>
        <w:rPr>
          <w:rFonts w:eastAsia="Arial Narrow" w:cs="Arial Narrow"/>
          <w:b/>
          <w:sz w:val="20"/>
          <w:szCs w:val="20"/>
        </w:rPr>
      </w:pPr>
      <w:r w:rsidRPr="00666914">
        <w:rPr>
          <w:noProof/>
          <w:lang w:eastAsia="sk-SK"/>
        </w:rPr>
        <w:drawing>
          <wp:inline distT="0" distB="0" distL="0" distR="0" wp14:anchorId="4D02A95C" wp14:editId="6558F33F">
            <wp:extent cx="5838825" cy="3047365"/>
            <wp:effectExtent l="0" t="0" r="0" b="635"/>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941FAE7" w14:textId="77777777" w:rsidR="008E7D9E" w:rsidRPr="00666914" w:rsidRDefault="008E7D9E" w:rsidP="00F64B85">
      <w:pPr>
        <w:pBdr>
          <w:top w:val="single" w:sz="4" w:space="1" w:color="auto"/>
        </w:pBdr>
        <w:spacing w:after="0"/>
        <w:jc w:val="right"/>
        <w:rPr>
          <w:rFonts w:eastAsia="Arial Narrow" w:cs="Arial Narrow"/>
          <w:i/>
          <w:sz w:val="18"/>
          <w:szCs w:val="18"/>
        </w:rPr>
      </w:pPr>
      <w:r w:rsidRPr="00666914">
        <w:rPr>
          <w:rFonts w:eastAsia="Arial Narrow" w:cs="Arial Narrow"/>
          <w:i/>
          <w:sz w:val="18"/>
          <w:szCs w:val="18"/>
        </w:rPr>
        <w:t>Zdroj: EEX</w:t>
      </w:r>
    </w:p>
    <w:p w14:paraId="534360E9" w14:textId="77777777" w:rsidR="008E7D9E" w:rsidRPr="00666914" w:rsidRDefault="008E7D9E">
      <w:pPr>
        <w:rPr>
          <w:rFonts w:eastAsia="Arial Narrow" w:cs="Arial Narrow"/>
          <w:color w:val="000000"/>
        </w:rPr>
      </w:pPr>
    </w:p>
    <w:p w14:paraId="5AE9A12F" w14:textId="77777777" w:rsidR="008E7D9E" w:rsidRPr="00666914" w:rsidRDefault="008E7D9E">
      <w:pPr>
        <w:rPr>
          <w:rFonts w:eastAsia="Arial Narrow" w:cs="Arial Narrow"/>
          <w:color w:val="000000"/>
        </w:rPr>
      </w:pPr>
      <w:r w:rsidRPr="00666914">
        <w:rPr>
          <w:rFonts w:eastAsia="Arial Narrow" w:cs="Arial Narrow"/>
          <w:color w:val="000000"/>
        </w:rPr>
        <w:t>Podiel dotácií na ročnom príjme z EUA je určený percentuálnym podielom z výnosov získaných z dražieb emisných kvót a jeho výška je určená zákonom č. 414/2012 Z. z. o obchodovaní s emisnými kvótami a o zmene a doplnení niektorých zákonov v znení neskorších predpisov.</w:t>
      </w:r>
    </w:p>
    <w:p w14:paraId="4FD98069" w14:textId="007572AF" w:rsidR="008E7D9E" w:rsidRPr="00666914" w:rsidRDefault="008E7D9E" w:rsidP="00800915">
      <w:pPr>
        <w:spacing w:after="0"/>
        <w:rPr>
          <w:rFonts w:eastAsia="Arial Narrow" w:cs="Arial Narrow"/>
          <w:b/>
          <w:sz w:val="20"/>
          <w:szCs w:val="20"/>
        </w:rPr>
      </w:pPr>
      <w:bookmarkStart w:id="343" w:name="_Toc38447735"/>
      <w:r w:rsidRPr="00666914">
        <w:rPr>
          <w:rFonts w:eastAsia="Arial Narrow" w:cs="Arial Narrow"/>
          <w:b/>
          <w:sz w:val="20"/>
          <w:szCs w:val="20"/>
        </w:rPr>
        <w:t xml:space="preserve">Tabuľka </w:t>
      </w:r>
      <w:r w:rsidRPr="00666914">
        <w:rPr>
          <w:rFonts w:eastAsia="Arial Narrow" w:cs="Arial Narrow"/>
          <w:b/>
          <w:sz w:val="20"/>
          <w:szCs w:val="20"/>
        </w:rPr>
        <w:fldChar w:fldCharType="begin"/>
      </w:r>
      <w:r w:rsidRPr="00666914">
        <w:rPr>
          <w:rFonts w:eastAsia="Arial Narrow" w:cs="Arial Narrow"/>
          <w:b/>
          <w:sz w:val="20"/>
          <w:szCs w:val="20"/>
        </w:rPr>
        <w:instrText xml:space="preserve"> SEQ Tabuľka \* ARABIC \* MERGEFORMAT </w:instrText>
      </w:r>
      <w:r w:rsidRPr="00666914">
        <w:rPr>
          <w:rFonts w:eastAsia="Arial Narrow" w:cs="Arial Narrow"/>
          <w:b/>
          <w:sz w:val="20"/>
          <w:szCs w:val="20"/>
        </w:rPr>
        <w:fldChar w:fldCharType="separate"/>
      </w:r>
      <w:r w:rsidR="005A7304">
        <w:rPr>
          <w:rFonts w:eastAsia="Arial Narrow" w:cs="Arial Narrow"/>
          <w:b/>
          <w:noProof/>
          <w:sz w:val="20"/>
          <w:szCs w:val="20"/>
        </w:rPr>
        <w:t>74</w:t>
      </w:r>
      <w:r w:rsidRPr="00666914">
        <w:rPr>
          <w:rFonts w:eastAsia="Arial Narrow" w:cs="Arial Narrow"/>
          <w:b/>
          <w:sz w:val="20"/>
          <w:szCs w:val="20"/>
        </w:rPr>
        <w:fldChar w:fldCharType="end"/>
      </w:r>
      <w:r w:rsidRPr="00666914">
        <w:rPr>
          <w:rFonts w:eastAsia="Arial Narrow" w:cs="Arial Narrow"/>
          <w:b/>
          <w:sz w:val="20"/>
          <w:szCs w:val="20"/>
        </w:rPr>
        <w:t xml:space="preserve">: </w:t>
      </w:r>
      <w:r w:rsidRPr="00666914">
        <w:rPr>
          <w:rFonts w:eastAsia="Arial Narrow" w:cs="Arial Narrow"/>
          <w:b/>
          <w:color w:val="000000"/>
          <w:sz w:val="20"/>
          <w:szCs w:val="20"/>
        </w:rPr>
        <w:t>Podiel dotácií na príjmoch EF (%)</w:t>
      </w:r>
      <w:bookmarkEnd w:id="343"/>
    </w:p>
    <w:tbl>
      <w:tblPr>
        <w:tblW w:w="9204" w:type="dxa"/>
        <w:tblLayout w:type="fixed"/>
        <w:tblLook w:val="0400" w:firstRow="0" w:lastRow="0" w:firstColumn="0" w:lastColumn="0" w:noHBand="0" w:noVBand="1"/>
      </w:tblPr>
      <w:tblGrid>
        <w:gridCol w:w="2323"/>
        <w:gridCol w:w="983"/>
        <w:gridCol w:w="983"/>
        <w:gridCol w:w="983"/>
        <w:gridCol w:w="983"/>
        <w:gridCol w:w="983"/>
        <w:gridCol w:w="983"/>
        <w:gridCol w:w="983"/>
      </w:tblGrid>
      <w:tr w:rsidR="008E7D9E" w:rsidRPr="00666914" w14:paraId="3BAB76A1" w14:textId="77777777" w:rsidTr="00800915">
        <w:trPr>
          <w:trHeight w:val="265"/>
        </w:trPr>
        <w:tc>
          <w:tcPr>
            <w:tcW w:w="2323" w:type="dxa"/>
            <w:tcBorders>
              <w:top w:val="single" w:sz="4" w:space="0" w:color="000000"/>
              <w:left w:val="nil"/>
              <w:bottom w:val="single" w:sz="4" w:space="0" w:color="000000"/>
            </w:tcBorders>
            <w:shd w:val="clear" w:color="auto" w:fill="auto"/>
            <w:vAlign w:val="center"/>
          </w:tcPr>
          <w:p w14:paraId="66200B0B"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Rok</w:t>
            </w:r>
          </w:p>
        </w:tc>
        <w:tc>
          <w:tcPr>
            <w:tcW w:w="983" w:type="dxa"/>
            <w:tcBorders>
              <w:top w:val="single" w:sz="4" w:space="0" w:color="000000"/>
              <w:left w:val="nil"/>
              <w:bottom w:val="single" w:sz="4" w:space="0" w:color="000000"/>
              <w:right w:val="nil"/>
            </w:tcBorders>
            <w:shd w:val="clear" w:color="auto" w:fill="auto"/>
            <w:vAlign w:val="center"/>
          </w:tcPr>
          <w:p w14:paraId="76548919"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2013</w:t>
            </w:r>
          </w:p>
        </w:tc>
        <w:tc>
          <w:tcPr>
            <w:tcW w:w="983" w:type="dxa"/>
            <w:tcBorders>
              <w:top w:val="single" w:sz="4" w:space="0" w:color="000000"/>
              <w:left w:val="nil"/>
              <w:bottom w:val="single" w:sz="4" w:space="0" w:color="000000"/>
              <w:right w:val="nil"/>
            </w:tcBorders>
            <w:shd w:val="clear" w:color="auto" w:fill="auto"/>
            <w:vAlign w:val="center"/>
          </w:tcPr>
          <w:p w14:paraId="241C77B3"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2014</w:t>
            </w:r>
          </w:p>
        </w:tc>
        <w:tc>
          <w:tcPr>
            <w:tcW w:w="983" w:type="dxa"/>
            <w:tcBorders>
              <w:top w:val="single" w:sz="4" w:space="0" w:color="000000"/>
              <w:left w:val="nil"/>
              <w:bottom w:val="single" w:sz="4" w:space="0" w:color="000000"/>
              <w:right w:val="nil"/>
            </w:tcBorders>
            <w:shd w:val="clear" w:color="auto" w:fill="auto"/>
            <w:vAlign w:val="center"/>
          </w:tcPr>
          <w:p w14:paraId="7328CBFE"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2015</w:t>
            </w:r>
          </w:p>
        </w:tc>
        <w:tc>
          <w:tcPr>
            <w:tcW w:w="983" w:type="dxa"/>
            <w:tcBorders>
              <w:top w:val="single" w:sz="4" w:space="0" w:color="000000"/>
              <w:left w:val="nil"/>
              <w:bottom w:val="single" w:sz="4" w:space="0" w:color="000000"/>
              <w:right w:val="nil"/>
            </w:tcBorders>
            <w:shd w:val="clear" w:color="auto" w:fill="auto"/>
            <w:vAlign w:val="center"/>
          </w:tcPr>
          <w:p w14:paraId="7F26B16D"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2016</w:t>
            </w:r>
          </w:p>
        </w:tc>
        <w:tc>
          <w:tcPr>
            <w:tcW w:w="983" w:type="dxa"/>
            <w:tcBorders>
              <w:top w:val="single" w:sz="4" w:space="0" w:color="000000"/>
              <w:left w:val="nil"/>
              <w:bottom w:val="single" w:sz="4" w:space="0" w:color="000000"/>
              <w:right w:val="nil"/>
            </w:tcBorders>
            <w:shd w:val="clear" w:color="auto" w:fill="auto"/>
            <w:vAlign w:val="center"/>
          </w:tcPr>
          <w:p w14:paraId="0A71A101"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2017</w:t>
            </w:r>
          </w:p>
        </w:tc>
        <w:tc>
          <w:tcPr>
            <w:tcW w:w="983" w:type="dxa"/>
            <w:tcBorders>
              <w:top w:val="single" w:sz="4" w:space="0" w:color="000000"/>
              <w:left w:val="nil"/>
              <w:bottom w:val="single" w:sz="4" w:space="0" w:color="000000"/>
              <w:right w:val="nil"/>
            </w:tcBorders>
            <w:shd w:val="clear" w:color="auto" w:fill="auto"/>
            <w:vAlign w:val="center"/>
          </w:tcPr>
          <w:p w14:paraId="443A6753"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2018</w:t>
            </w:r>
          </w:p>
        </w:tc>
        <w:tc>
          <w:tcPr>
            <w:tcW w:w="983" w:type="dxa"/>
            <w:tcBorders>
              <w:top w:val="single" w:sz="4" w:space="0" w:color="000000"/>
              <w:left w:val="nil"/>
              <w:bottom w:val="single" w:sz="4" w:space="0" w:color="000000"/>
              <w:right w:val="nil"/>
            </w:tcBorders>
            <w:shd w:val="clear" w:color="auto" w:fill="auto"/>
            <w:vAlign w:val="center"/>
          </w:tcPr>
          <w:p w14:paraId="0F9AAB54"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2019</w:t>
            </w:r>
          </w:p>
        </w:tc>
      </w:tr>
      <w:tr w:rsidR="008E7D9E" w:rsidRPr="00666914" w14:paraId="7C39ED70" w14:textId="77777777" w:rsidTr="00800915">
        <w:trPr>
          <w:trHeight w:val="455"/>
        </w:trPr>
        <w:tc>
          <w:tcPr>
            <w:tcW w:w="2323" w:type="dxa"/>
            <w:tcBorders>
              <w:top w:val="single" w:sz="4" w:space="0" w:color="000000"/>
              <w:left w:val="nil"/>
              <w:bottom w:val="single" w:sz="4" w:space="0" w:color="000000"/>
            </w:tcBorders>
            <w:shd w:val="clear" w:color="auto" w:fill="auto"/>
            <w:vAlign w:val="center"/>
          </w:tcPr>
          <w:p w14:paraId="3BF2D269"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Dotácie</w:t>
            </w:r>
          </w:p>
        </w:tc>
        <w:tc>
          <w:tcPr>
            <w:tcW w:w="983" w:type="dxa"/>
            <w:tcBorders>
              <w:top w:val="nil"/>
              <w:left w:val="nil"/>
              <w:bottom w:val="single" w:sz="4" w:space="0" w:color="000000"/>
              <w:right w:val="nil"/>
            </w:tcBorders>
            <w:shd w:val="clear" w:color="auto" w:fill="auto"/>
            <w:vAlign w:val="center"/>
          </w:tcPr>
          <w:p w14:paraId="6D7ECA67"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50,</w:t>
            </w:r>
            <w:sdt>
              <w:sdtPr>
                <w:tag w:val="goog_rdk_76"/>
                <w:id w:val="376980992"/>
              </w:sdtPr>
              <w:sdtEndPr/>
              <w:sdtContent/>
            </w:sdt>
            <w:r w:rsidRPr="00666914">
              <w:rPr>
                <w:rFonts w:eastAsia="Arial Narrow" w:cs="Arial Narrow"/>
                <w:color w:val="000000"/>
                <w:sz w:val="20"/>
                <w:szCs w:val="20"/>
              </w:rPr>
              <w:t>2</w:t>
            </w:r>
          </w:p>
        </w:tc>
        <w:tc>
          <w:tcPr>
            <w:tcW w:w="983" w:type="dxa"/>
            <w:tcBorders>
              <w:top w:val="nil"/>
              <w:left w:val="nil"/>
              <w:bottom w:val="single" w:sz="4" w:space="0" w:color="000000"/>
              <w:right w:val="nil"/>
            </w:tcBorders>
            <w:shd w:val="clear" w:color="auto" w:fill="auto"/>
            <w:vAlign w:val="center"/>
          </w:tcPr>
          <w:p w14:paraId="3427BD77"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69,2</w:t>
            </w:r>
          </w:p>
        </w:tc>
        <w:tc>
          <w:tcPr>
            <w:tcW w:w="983" w:type="dxa"/>
            <w:tcBorders>
              <w:top w:val="nil"/>
              <w:left w:val="nil"/>
              <w:bottom w:val="single" w:sz="4" w:space="0" w:color="000000"/>
              <w:right w:val="nil"/>
            </w:tcBorders>
            <w:shd w:val="clear" w:color="auto" w:fill="auto"/>
            <w:vAlign w:val="center"/>
          </w:tcPr>
          <w:p w14:paraId="739C555F"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39,4</w:t>
            </w:r>
          </w:p>
        </w:tc>
        <w:tc>
          <w:tcPr>
            <w:tcW w:w="983" w:type="dxa"/>
            <w:tcBorders>
              <w:top w:val="nil"/>
              <w:left w:val="nil"/>
              <w:bottom w:val="single" w:sz="4" w:space="0" w:color="000000"/>
              <w:right w:val="nil"/>
            </w:tcBorders>
            <w:shd w:val="clear" w:color="auto" w:fill="auto"/>
            <w:vAlign w:val="center"/>
          </w:tcPr>
          <w:p w14:paraId="4F8400DE"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57,2</w:t>
            </w:r>
          </w:p>
        </w:tc>
        <w:tc>
          <w:tcPr>
            <w:tcW w:w="983" w:type="dxa"/>
            <w:tcBorders>
              <w:top w:val="nil"/>
              <w:left w:val="nil"/>
              <w:bottom w:val="single" w:sz="4" w:space="0" w:color="000000"/>
              <w:right w:val="nil"/>
            </w:tcBorders>
            <w:shd w:val="clear" w:color="auto" w:fill="auto"/>
            <w:vAlign w:val="center"/>
          </w:tcPr>
          <w:p w14:paraId="16221918"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22,6</w:t>
            </w:r>
          </w:p>
        </w:tc>
        <w:tc>
          <w:tcPr>
            <w:tcW w:w="983" w:type="dxa"/>
            <w:tcBorders>
              <w:top w:val="nil"/>
              <w:left w:val="nil"/>
              <w:bottom w:val="single" w:sz="4" w:space="0" w:color="000000"/>
              <w:right w:val="nil"/>
            </w:tcBorders>
            <w:shd w:val="clear" w:color="auto" w:fill="auto"/>
            <w:vAlign w:val="center"/>
          </w:tcPr>
          <w:p w14:paraId="35297C65"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10,3</w:t>
            </w:r>
          </w:p>
        </w:tc>
        <w:tc>
          <w:tcPr>
            <w:tcW w:w="983" w:type="dxa"/>
            <w:tcBorders>
              <w:top w:val="nil"/>
              <w:left w:val="nil"/>
              <w:bottom w:val="single" w:sz="4" w:space="0" w:color="000000"/>
              <w:right w:val="nil"/>
            </w:tcBorders>
            <w:shd w:val="clear" w:color="auto" w:fill="auto"/>
            <w:vAlign w:val="center"/>
          </w:tcPr>
          <w:p w14:paraId="1395FDE5"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13,4</w:t>
            </w:r>
          </w:p>
        </w:tc>
      </w:tr>
    </w:tbl>
    <w:p w14:paraId="5556EB2E" w14:textId="77777777" w:rsidR="008E7D9E" w:rsidRPr="00666914" w:rsidRDefault="008E7D9E">
      <w:pPr>
        <w:spacing w:after="0"/>
        <w:jc w:val="right"/>
        <w:rPr>
          <w:rFonts w:eastAsia="Arial Narrow" w:cs="Arial Narrow"/>
          <w:i/>
          <w:color w:val="000000"/>
          <w:sz w:val="18"/>
          <w:szCs w:val="18"/>
        </w:rPr>
      </w:pPr>
      <w:r w:rsidRPr="00666914">
        <w:rPr>
          <w:rFonts w:eastAsia="Arial Narrow" w:cs="Arial Narrow"/>
          <w:i/>
          <w:color w:val="000000"/>
          <w:sz w:val="18"/>
          <w:szCs w:val="18"/>
        </w:rPr>
        <w:t>Zdroj: EF</w:t>
      </w:r>
    </w:p>
    <w:p w14:paraId="0289298B" w14:textId="77777777" w:rsidR="008E7D9E" w:rsidRPr="00666914" w:rsidRDefault="008E7D9E">
      <w:pPr>
        <w:spacing w:after="0"/>
        <w:rPr>
          <w:rFonts w:eastAsia="Arial Narrow" w:cs="Arial Narrow"/>
          <w:color w:val="000000"/>
        </w:rPr>
      </w:pPr>
    </w:p>
    <w:p w14:paraId="630B6733" w14:textId="58A54125" w:rsidR="008E7D9E" w:rsidRPr="00666914" w:rsidRDefault="008E7D9E">
      <w:pPr>
        <w:spacing w:after="0"/>
        <w:rPr>
          <w:rFonts w:eastAsia="Arial Narrow" w:cs="Arial Narrow"/>
          <w:color w:val="000000"/>
        </w:rPr>
      </w:pPr>
      <w:r w:rsidRPr="00666914">
        <w:rPr>
          <w:rFonts w:eastAsia="Arial Narrow" w:cs="Arial Narrow"/>
          <w:b/>
          <w:color w:val="000000"/>
        </w:rPr>
        <w:t>Podiel dotácií poskytnutých Environmentálnym fondom za rok 2019 predstavoval 13,4 %. V IP 2019 bol stanovený cieľ pre rok 2019 na úrovni 42,8 %.</w:t>
      </w:r>
      <w:r w:rsidRPr="00666914">
        <w:rPr>
          <w:rFonts w:eastAsia="Arial Narrow" w:cs="Arial Narrow"/>
          <w:color w:val="000000"/>
        </w:rPr>
        <w:t xml:space="preserve"> Od roku 2018 došlo k výraznému poklesu percentuálneho podielu poskytnutých dotácií z príjmu EUA, dôvodom bol podľa MŽP SR výrazne vyšší objem dosiahnutých príjmov na predmetnej položke oproti plánovanej výške príjmov z predaja emisných kvót. Podľa novely zákona č. 414/2012 Z. z. o obchodovaní s emisnými kvótami z 09/2019 sa výška použiteľného výnosu z dražieb kvót určí na základe dohody MŽP SR a MF SR. Výsledok dohody nemôže byť nižší ako 30 %</w:t>
      </w:r>
      <w:r w:rsidR="000644F2" w:rsidRPr="00666914">
        <w:rPr>
          <w:rFonts w:eastAsia="Arial Narrow" w:cs="Arial Narrow"/>
          <w:color w:val="000000"/>
        </w:rPr>
        <w:t xml:space="preserve"> ročného výnosu z dražieb kvót.</w:t>
      </w:r>
    </w:p>
    <w:p w14:paraId="47830817" w14:textId="77777777" w:rsidR="008E7D9E" w:rsidRPr="00666914" w:rsidRDefault="008E7D9E">
      <w:pPr>
        <w:spacing w:after="0"/>
        <w:rPr>
          <w:rFonts w:eastAsia="Arial Narrow" w:cs="Arial Narrow"/>
          <w:color w:val="000000"/>
        </w:rPr>
      </w:pPr>
    </w:p>
    <w:p w14:paraId="35423D26" w14:textId="5B030AD2" w:rsidR="008E7D9E" w:rsidRPr="00666914" w:rsidRDefault="008E7D9E" w:rsidP="00D937F7">
      <w:pPr>
        <w:rPr>
          <w:rFonts w:eastAsia="Arial Narrow" w:cs="Arial Narrow"/>
          <w:b/>
          <w:sz w:val="20"/>
          <w:szCs w:val="20"/>
        </w:rPr>
      </w:pPr>
      <w:r w:rsidRPr="00666914">
        <w:rPr>
          <w:rFonts w:eastAsia="Arial Narrow" w:cs="Arial Narrow"/>
          <w:b/>
        </w:rPr>
        <w:t>Opatrenie sa k 31.12.2019 plní len čiastočne z dôvodu nesplnenia cieľa pre podiel dotácií poskytnutých EF na jeho príjmoch.</w:t>
      </w:r>
    </w:p>
    <w:p w14:paraId="4930AA01" w14:textId="77777777" w:rsidR="008E7D9E" w:rsidRPr="00666914" w:rsidRDefault="008E7D9E" w:rsidP="00131B23">
      <w:pPr>
        <w:numPr>
          <w:ilvl w:val="0"/>
          <w:numId w:val="25"/>
        </w:numPr>
        <w:spacing w:after="0"/>
        <w:rPr>
          <w:rFonts w:eastAsia="Arial Narrow" w:cs="Arial Narrow"/>
          <w:b/>
          <w:u w:val="single"/>
        </w:rPr>
      </w:pPr>
      <w:r w:rsidRPr="00666914">
        <w:rPr>
          <w:rFonts w:eastAsia="Arial Narrow" w:cs="Arial Narrow"/>
          <w:b/>
          <w:u w:val="single"/>
        </w:rPr>
        <w:t>Prioritizovať podporu chránených území a opatrenia v jednotlivých dokumentoch starostlivosti chránených území</w:t>
      </w:r>
    </w:p>
    <w:p w14:paraId="6AF6C1FA" w14:textId="77777777" w:rsidR="008E7D9E" w:rsidRPr="00666914" w:rsidRDefault="008E7D9E">
      <w:pPr>
        <w:spacing w:after="0"/>
        <w:rPr>
          <w:rFonts w:eastAsia="Arial Narrow" w:cs="Arial Narrow"/>
          <w:b/>
          <w:u w:val="single"/>
        </w:rPr>
      </w:pPr>
    </w:p>
    <w:p w14:paraId="177C76F4" w14:textId="5E8405BA" w:rsidR="008E7D9E" w:rsidRPr="00666914" w:rsidRDefault="008E7D9E">
      <w:pPr>
        <w:spacing w:after="0"/>
        <w:rPr>
          <w:rFonts w:eastAsia="Arial Narrow" w:cs="Arial Narrow"/>
        </w:rPr>
      </w:pPr>
      <w:r w:rsidRPr="00666914">
        <w:rPr>
          <w:rFonts w:eastAsia="Arial Narrow" w:cs="Arial Narrow"/>
          <w:b/>
        </w:rPr>
        <w:t>Počet chránených území európskeho významu (CHVÚ), ktoré majú vládou schválené programy starostlivosti (PS), sa v roku 2019 zvýšil na 18, čo tvorí 43 % celkového počtu CHVÚ.</w:t>
      </w:r>
      <w:r w:rsidRPr="00666914">
        <w:rPr>
          <w:rFonts w:eastAsia="Arial Narrow" w:cs="Arial Narrow"/>
        </w:rPr>
        <w:t xml:space="preserve"> V roku 2019 bolo vládou SR schválených 5 nových PS o CHVÚ na roky 2019-2048, a to pre: Poľanu</w:t>
      </w:r>
      <w:r w:rsidRPr="00666914">
        <w:rPr>
          <w:rFonts w:eastAsia="Arial Narrow" w:cs="Arial Narrow"/>
          <w:vertAlign w:val="superscript"/>
        </w:rPr>
        <w:footnoteReference w:id="289"/>
      </w:r>
      <w:r w:rsidRPr="00666914">
        <w:rPr>
          <w:rFonts w:eastAsia="Arial Narrow" w:cs="Arial Narrow"/>
        </w:rPr>
        <w:t>, Slovenský raj</w:t>
      </w:r>
      <w:r w:rsidRPr="00666914">
        <w:rPr>
          <w:rFonts w:eastAsia="Arial Narrow" w:cs="Arial Narrow"/>
          <w:vertAlign w:val="superscript"/>
        </w:rPr>
        <w:footnoteReference w:id="290"/>
      </w:r>
      <w:r w:rsidRPr="00666914">
        <w:rPr>
          <w:rFonts w:eastAsia="Arial Narrow" w:cs="Arial Narrow"/>
        </w:rPr>
        <w:t>, Chočské vrchy</w:t>
      </w:r>
      <w:r w:rsidRPr="00666914">
        <w:rPr>
          <w:vertAlign w:val="superscript"/>
        </w:rPr>
        <w:footnoteReference w:id="291"/>
      </w:r>
      <w:r w:rsidRPr="00666914">
        <w:rPr>
          <w:rFonts w:eastAsia="Arial Narrow" w:cs="Arial Narrow"/>
        </w:rPr>
        <w:t>, Čergov</w:t>
      </w:r>
      <w:r w:rsidRPr="00666914">
        <w:rPr>
          <w:rFonts w:eastAsia="Arial Narrow" w:cs="Arial Narrow"/>
          <w:vertAlign w:val="superscript"/>
        </w:rPr>
        <w:footnoteReference w:id="292"/>
      </w:r>
      <w:r w:rsidRPr="00666914">
        <w:rPr>
          <w:rFonts w:eastAsia="Arial Narrow" w:cs="Arial Narrow"/>
        </w:rPr>
        <w:t xml:space="preserve"> a </w:t>
      </w:r>
      <w:r w:rsidRPr="00666914">
        <w:rPr>
          <w:rFonts w:eastAsia="Arial Narrow" w:cs="Arial Narrow"/>
        </w:rPr>
        <w:lastRenderedPageBreak/>
        <w:t>Strážovské vrchy</w:t>
      </w:r>
      <w:r w:rsidRPr="00666914">
        <w:rPr>
          <w:rFonts w:eastAsia="Arial Narrow" w:cs="Arial Narrow"/>
          <w:vertAlign w:val="superscript"/>
        </w:rPr>
        <w:footnoteReference w:id="293"/>
      </w:r>
      <w:r w:rsidRPr="00666914">
        <w:rPr>
          <w:rFonts w:eastAsia="Arial Narrow" w:cs="Arial Narrow"/>
        </w:rPr>
        <w:t>. V 2H2019 boli dopracované odborné návrhy PS o ďalšie 3 CHVÚ (Sysľovské polia</w:t>
      </w:r>
      <w:r w:rsidRPr="00666914">
        <w:rPr>
          <w:rFonts w:eastAsia="Arial Narrow" w:cs="Arial Narrow"/>
          <w:vertAlign w:val="superscript"/>
        </w:rPr>
        <w:footnoteReference w:id="294"/>
      </w:r>
      <w:r w:rsidRPr="00666914">
        <w:rPr>
          <w:rFonts w:eastAsia="Arial Narrow" w:cs="Arial Narrow"/>
        </w:rPr>
        <w:t>, Žitavský luh</w:t>
      </w:r>
      <w:r w:rsidRPr="00666914">
        <w:rPr>
          <w:rFonts w:eastAsia="Arial Narrow" w:cs="Arial Narrow"/>
          <w:vertAlign w:val="superscript"/>
        </w:rPr>
        <w:footnoteReference w:id="295"/>
      </w:r>
      <w:r w:rsidRPr="00666914">
        <w:rPr>
          <w:rFonts w:eastAsia="Arial Narrow" w:cs="Arial Narrow"/>
        </w:rPr>
        <w:t xml:space="preserve"> a Muránska planina – Stolica - tento spoločne s návrhom zonácie) a prvé dva dokumenty bo</w:t>
      </w:r>
      <w:r w:rsidR="000644F2" w:rsidRPr="00666914">
        <w:rPr>
          <w:rFonts w:eastAsia="Arial Narrow" w:cs="Arial Narrow"/>
        </w:rPr>
        <w:t>li v 01/2020 predložené na MPK.</w:t>
      </w:r>
    </w:p>
    <w:p w14:paraId="1CEC2E1B" w14:textId="77777777" w:rsidR="008E7D9E" w:rsidRPr="00666914" w:rsidRDefault="008E7D9E">
      <w:pPr>
        <w:spacing w:after="0"/>
        <w:rPr>
          <w:rFonts w:eastAsia="Arial Narrow" w:cs="Arial Narrow"/>
        </w:rPr>
      </w:pPr>
    </w:p>
    <w:p w14:paraId="2BB195E1" w14:textId="138871D4" w:rsidR="008E7D9E" w:rsidRPr="00666914" w:rsidRDefault="008E7D9E" w:rsidP="00800915">
      <w:pPr>
        <w:pBdr>
          <w:bottom w:val="single" w:sz="4" w:space="1" w:color="auto"/>
        </w:pBdr>
        <w:spacing w:after="0"/>
        <w:rPr>
          <w:rFonts w:eastAsia="Arial Narrow" w:cs="Arial Narrow"/>
          <w:b/>
          <w:sz w:val="20"/>
          <w:szCs w:val="20"/>
        </w:rPr>
      </w:pPr>
      <w:bookmarkStart w:id="344" w:name="_heading=h.2bn6wsx" w:colFirst="0" w:colLast="0"/>
      <w:bookmarkStart w:id="345" w:name="_Toc38447736"/>
      <w:bookmarkEnd w:id="344"/>
      <w:r w:rsidRPr="00666914">
        <w:rPr>
          <w:rFonts w:eastAsia="Arial Narrow" w:cs="Arial Narrow"/>
          <w:b/>
          <w:sz w:val="20"/>
          <w:szCs w:val="20"/>
        </w:rPr>
        <w:t xml:space="preserve">Tabuľka </w:t>
      </w:r>
      <w:r w:rsidRPr="00666914">
        <w:rPr>
          <w:rFonts w:eastAsia="Arial Narrow" w:cs="Arial Narrow"/>
          <w:b/>
          <w:sz w:val="20"/>
          <w:szCs w:val="20"/>
        </w:rPr>
        <w:fldChar w:fldCharType="begin"/>
      </w:r>
      <w:r w:rsidRPr="00666914">
        <w:rPr>
          <w:rFonts w:eastAsia="Arial Narrow" w:cs="Arial Narrow"/>
          <w:b/>
          <w:sz w:val="20"/>
          <w:szCs w:val="20"/>
        </w:rPr>
        <w:instrText xml:space="preserve"> SEQ Tabuľka \* ARABIC \* MERGEFORMAT </w:instrText>
      </w:r>
      <w:r w:rsidRPr="00666914">
        <w:rPr>
          <w:rFonts w:eastAsia="Arial Narrow" w:cs="Arial Narrow"/>
          <w:b/>
          <w:sz w:val="20"/>
          <w:szCs w:val="20"/>
        </w:rPr>
        <w:fldChar w:fldCharType="separate"/>
      </w:r>
      <w:r w:rsidR="005A7304">
        <w:rPr>
          <w:rFonts w:eastAsia="Arial Narrow" w:cs="Arial Narrow"/>
          <w:b/>
          <w:noProof/>
          <w:sz w:val="20"/>
          <w:szCs w:val="20"/>
        </w:rPr>
        <w:t>75</w:t>
      </w:r>
      <w:r w:rsidRPr="00666914">
        <w:rPr>
          <w:rFonts w:eastAsia="Arial Narrow" w:cs="Arial Narrow"/>
          <w:b/>
          <w:sz w:val="20"/>
          <w:szCs w:val="20"/>
        </w:rPr>
        <w:fldChar w:fldCharType="end"/>
      </w:r>
      <w:r w:rsidRPr="00666914">
        <w:rPr>
          <w:rFonts w:eastAsia="Arial Narrow" w:cs="Arial Narrow"/>
          <w:b/>
          <w:sz w:val="20"/>
          <w:szCs w:val="20"/>
        </w:rPr>
        <w:t>: Rozdelenie priorít v najnovších programoch starostlivosti o CHVÚ</w:t>
      </w:r>
      <w:bookmarkEnd w:id="345"/>
      <w:r w:rsidRPr="00666914">
        <w:rPr>
          <w:rFonts w:eastAsia="Arial Narrow" w:cs="Arial Narrow"/>
          <w:b/>
          <w:sz w:val="20"/>
          <w:szCs w:val="20"/>
        </w:rPr>
        <w:t xml:space="preserve"> </w:t>
      </w:r>
    </w:p>
    <w:tbl>
      <w:tblPr>
        <w:tblW w:w="9030" w:type="dxa"/>
        <w:tblLayout w:type="fixed"/>
        <w:tblLook w:val="0400" w:firstRow="0" w:lastRow="0" w:firstColumn="0" w:lastColumn="0" w:noHBand="0" w:noVBand="1"/>
      </w:tblPr>
      <w:tblGrid>
        <w:gridCol w:w="1278"/>
        <w:gridCol w:w="1133"/>
        <w:gridCol w:w="1321"/>
        <w:gridCol w:w="1145"/>
        <w:gridCol w:w="935"/>
        <w:gridCol w:w="710"/>
        <w:gridCol w:w="991"/>
        <w:gridCol w:w="1517"/>
      </w:tblGrid>
      <w:tr w:rsidR="008E7D9E" w:rsidRPr="00666914" w14:paraId="5A2DA707" w14:textId="77777777" w:rsidTr="00953002">
        <w:trPr>
          <w:trHeight w:val="300"/>
        </w:trPr>
        <w:tc>
          <w:tcPr>
            <w:tcW w:w="1278" w:type="dxa"/>
            <w:tcBorders>
              <w:top w:val="nil"/>
              <w:left w:val="nil"/>
              <w:bottom w:val="single" w:sz="4" w:space="0" w:color="000000"/>
              <w:right w:val="nil"/>
            </w:tcBorders>
            <w:shd w:val="clear" w:color="auto" w:fill="auto"/>
            <w:vAlign w:val="bottom"/>
          </w:tcPr>
          <w:p w14:paraId="56CFAAEF" w14:textId="77777777" w:rsidR="008E7D9E" w:rsidRPr="00666914" w:rsidRDefault="008E7D9E">
            <w:pPr>
              <w:spacing w:after="0"/>
              <w:rPr>
                <w:rFonts w:eastAsia="Arial Narrow" w:cs="Arial Narrow"/>
                <w:b/>
                <w:color w:val="000000"/>
                <w:sz w:val="20"/>
                <w:szCs w:val="20"/>
              </w:rPr>
            </w:pPr>
            <w:r w:rsidRPr="00666914">
              <w:rPr>
                <w:rFonts w:eastAsia="Arial Narrow" w:cs="Arial Narrow"/>
                <w:b/>
                <w:color w:val="000000"/>
                <w:sz w:val="20"/>
                <w:szCs w:val="20"/>
              </w:rPr>
              <w:t> </w:t>
            </w:r>
          </w:p>
        </w:tc>
        <w:tc>
          <w:tcPr>
            <w:tcW w:w="1133" w:type="dxa"/>
            <w:tcBorders>
              <w:top w:val="nil"/>
              <w:left w:val="nil"/>
              <w:bottom w:val="single" w:sz="4" w:space="0" w:color="000000"/>
              <w:right w:val="nil"/>
            </w:tcBorders>
            <w:shd w:val="clear" w:color="auto" w:fill="auto"/>
            <w:vAlign w:val="center"/>
          </w:tcPr>
          <w:p w14:paraId="77DD76A0" w14:textId="77777777" w:rsidR="008E7D9E" w:rsidRPr="00666914" w:rsidRDefault="008E7D9E" w:rsidP="00953002">
            <w:pPr>
              <w:spacing w:after="0"/>
              <w:jc w:val="center"/>
              <w:rPr>
                <w:rFonts w:eastAsia="Arial Narrow" w:cs="Arial Narrow"/>
                <w:b/>
                <w:color w:val="000000"/>
                <w:sz w:val="20"/>
                <w:szCs w:val="20"/>
              </w:rPr>
            </w:pPr>
            <w:r w:rsidRPr="00666914">
              <w:rPr>
                <w:rFonts w:eastAsia="Arial Narrow" w:cs="Arial Narrow"/>
                <w:b/>
                <w:color w:val="000000"/>
                <w:sz w:val="20"/>
                <w:szCs w:val="20"/>
              </w:rPr>
              <w:t>Vysoká priorita</w:t>
            </w:r>
          </w:p>
        </w:tc>
        <w:tc>
          <w:tcPr>
            <w:tcW w:w="1321" w:type="dxa"/>
            <w:tcBorders>
              <w:top w:val="nil"/>
              <w:left w:val="nil"/>
              <w:bottom w:val="single" w:sz="4" w:space="0" w:color="000000"/>
              <w:right w:val="nil"/>
            </w:tcBorders>
            <w:shd w:val="clear" w:color="auto" w:fill="auto"/>
            <w:vAlign w:val="center"/>
          </w:tcPr>
          <w:p w14:paraId="061CD63C" w14:textId="77777777" w:rsidR="008E7D9E" w:rsidRPr="00666914" w:rsidRDefault="008E7D9E" w:rsidP="00953002">
            <w:pPr>
              <w:spacing w:after="0"/>
              <w:jc w:val="center"/>
              <w:rPr>
                <w:rFonts w:eastAsia="Arial Narrow" w:cs="Arial Narrow"/>
                <w:b/>
                <w:color w:val="000000"/>
                <w:sz w:val="20"/>
                <w:szCs w:val="20"/>
              </w:rPr>
            </w:pPr>
            <w:r w:rsidRPr="00666914">
              <w:rPr>
                <w:rFonts w:eastAsia="Arial Narrow" w:cs="Arial Narrow"/>
                <w:b/>
                <w:color w:val="000000"/>
                <w:sz w:val="20"/>
                <w:szCs w:val="20"/>
              </w:rPr>
              <w:t>Stredná priorita</w:t>
            </w:r>
          </w:p>
        </w:tc>
        <w:tc>
          <w:tcPr>
            <w:tcW w:w="1145" w:type="dxa"/>
            <w:tcBorders>
              <w:top w:val="nil"/>
              <w:left w:val="nil"/>
              <w:bottom w:val="single" w:sz="4" w:space="0" w:color="000000"/>
              <w:right w:val="nil"/>
            </w:tcBorders>
            <w:shd w:val="clear" w:color="auto" w:fill="auto"/>
            <w:vAlign w:val="center"/>
          </w:tcPr>
          <w:p w14:paraId="1B5363E3" w14:textId="77777777" w:rsidR="008E7D9E" w:rsidRPr="00666914" w:rsidRDefault="008E7D9E" w:rsidP="00953002">
            <w:pPr>
              <w:spacing w:after="0"/>
              <w:jc w:val="center"/>
              <w:rPr>
                <w:rFonts w:eastAsia="Arial Narrow" w:cs="Arial Narrow"/>
                <w:b/>
                <w:color w:val="000000"/>
                <w:sz w:val="20"/>
                <w:szCs w:val="20"/>
              </w:rPr>
            </w:pPr>
            <w:r w:rsidRPr="00666914">
              <w:rPr>
                <w:rFonts w:eastAsia="Arial Narrow" w:cs="Arial Narrow"/>
                <w:b/>
                <w:color w:val="000000"/>
                <w:sz w:val="20"/>
                <w:szCs w:val="20"/>
              </w:rPr>
              <w:t>Nízka priorita</w:t>
            </w:r>
          </w:p>
        </w:tc>
        <w:tc>
          <w:tcPr>
            <w:tcW w:w="935" w:type="dxa"/>
            <w:tcBorders>
              <w:top w:val="nil"/>
              <w:left w:val="nil"/>
              <w:bottom w:val="single" w:sz="4" w:space="0" w:color="000000"/>
              <w:right w:val="nil"/>
            </w:tcBorders>
            <w:shd w:val="clear" w:color="auto" w:fill="auto"/>
            <w:vAlign w:val="center"/>
          </w:tcPr>
          <w:p w14:paraId="692BB5C2" w14:textId="77777777" w:rsidR="008E7D9E" w:rsidRPr="00666914" w:rsidRDefault="008E7D9E" w:rsidP="00953002">
            <w:pPr>
              <w:spacing w:after="0"/>
              <w:jc w:val="center"/>
              <w:rPr>
                <w:rFonts w:eastAsia="Arial Narrow" w:cs="Arial Narrow"/>
                <w:b/>
                <w:color w:val="000000"/>
                <w:sz w:val="20"/>
                <w:szCs w:val="20"/>
              </w:rPr>
            </w:pPr>
            <w:r w:rsidRPr="00666914">
              <w:rPr>
                <w:rFonts w:eastAsia="Arial Narrow" w:cs="Arial Narrow"/>
                <w:b/>
                <w:color w:val="000000"/>
                <w:sz w:val="20"/>
                <w:szCs w:val="20"/>
              </w:rPr>
              <w:t>Bez priority</w:t>
            </w:r>
          </w:p>
        </w:tc>
        <w:tc>
          <w:tcPr>
            <w:tcW w:w="710" w:type="dxa"/>
            <w:tcBorders>
              <w:top w:val="nil"/>
              <w:left w:val="nil"/>
              <w:bottom w:val="single" w:sz="4" w:space="0" w:color="000000"/>
              <w:right w:val="nil"/>
            </w:tcBorders>
            <w:shd w:val="clear" w:color="auto" w:fill="auto"/>
            <w:vAlign w:val="center"/>
          </w:tcPr>
          <w:p w14:paraId="4CE8B974" w14:textId="77777777" w:rsidR="008E7D9E" w:rsidRPr="00666914" w:rsidRDefault="008E7D9E" w:rsidP="00953002">
            <w:pPr>
              <w:spacing w:after="0"/>
              <w:jc w:val="center"/>
              <w:rPr>
                <w:rFonts w:eastAsia="Arial Narrow" w:cs="Arial Narrow"/>
                <w:b/>
                <w:color w:val="000000"/>
                <w:sz w:val="20"/>
                <w:szCs w:val="20"/>
              </w:rPr>
            </w:pPr>
            <w:r w:rsidRPr="00666914">
              <w:rPr>
                <w:rFonts w:eastAsia="Arial Narrow" w:cs="Arial Narrow"/>
                <w:b/>
                <w:color w:val="000000"/>
                <w:sz w:val="20"/>
                <w:szCs w:val="20"/>
              </w:rPr>
              <w:t>Spolu</w:t>
            </w:r>
          </w:p>
        </w:tc>
        <w:tc>
          <w:tcPr>
            <w:tcW w:w="991" w:type="dxa"/>
            <w:tcBorders>
              <w:top w:val="nil"/>
              <w:left w:val="nil"/>
              <w:bottom w:val="single" w:sz="4" w:space="0" w:color="000000"/>
              <w:right w:val="nil"/>
            </w:tcBorders>
            <w:shd w:val="clear" w:color="auto" w:fill="auto"/>
            <w:vAlign w:val="center"/>
          </w:tcPr>
          <w:p w14:paraId="171F7926" w14:textId="77777777" w:rsidR="008E7D9E" w:rsidRPr="00666914" w:rsidRDefault="008E7D9E" w:rsidP="00953002">
            <w:pPr>
              <w:spacing w:after="0"/>
              <w:jc w:val="center"/>
              <w:rPr>
                <w:rFonts w:eastAsia="Arial Narrow" w:cs="Arial Narrow"/>
                <w:b/>
                <w:color w:val="000000"/>
                <w:sz w:val="20"/>
                <w:szCs w:val="20"/>
              </w:rPr>
            </w:pPr>
            <w:r w:rsidRPr="00666914">
              <w:rPr>
                <w:rFonts w:eastAsia="Arial Narrow" w:cs="Arial Narrow"/>
                <w:b/>
                <w:color w:val="000000"/>
                <w:sz w:val="20"/>
                <w:szCs w:val="20"/>
              </w:rPr>
              <w:t>Podiel vysokých priorít</w:t>
            </w:r>
          </w:p>
        </w:tc>
        <w:tc>
          <w:tcPr>
            <w:tcW w:w="1517" w:type="dxa"/>
            <w:tcBorders>
              <w:top w:val="nil"/>
              <w:left w:val="nil"/>
              <w:bottom w:val="single" w:sz="4" w:space="0" w:color="000000"/>
              <w:right w:val="nil"/>
            </w:tcBorders>
            <w:shd w:val="clear" w:color="auto" w:fill="auto"/>
            <w:vAlign w:val="center"/>
          </w:tcPr>
          <w:p w14:paraId="2D7770C3" w14:textId="77777777" w:rsidR="008E7D9E" w:rsidRPr="00666914" w:rsidRDefault="008E7D9E" w:rsidP="00953002">
            <w:pPr>
              <w:spacing w:after="0"/>
              <w:jc w:val="center"/>
              <w:rPr>
                <w:rFonts w:eastAsia="Arial Narrow" w:cs="Arial Narrow"/>
                <w:b/>
                <w:color w:val="000000"/>
                <w:sz w:val="20"/>
                <w:szCs w:val="20"/>
              </w:rPr>
            </w:pPr>
            <w:r w:rsidRPr="00666914">
              <w:rPr>
                <w:rFonts w:eastAsia="Arial Narrow" w:cs="Arial Narrow"/>
                <w:b/>
                <w:color w:val="000000"/>
                <w:sz w:val="20"/>
                <w:szCs w:val="20"/>
              </w:rPr>
              <w:t>Podiel bez priority</w:t>
            </w:r>
          </w:p>
        </w:tc>
      </w:tr>
      <w:tr w:rsidR="008E7D9E" w:rsidRPr="00666914" w14:paraId="5035F836" w14:textId="77777777" w:rsidTr="0077174C">
        <w:trPr>
          <w:trHeight w:val="300"/>
        </w:trPr>
        <w:tc>
          <w:tcPr>
            <w:tcW w:w="1278" w:type="dxa"/>
            <w:tcBorders>
              <w:top w:val="nil"/>
              <w:left w:val="nil"/>
              <w:bottom w:val="nil"/>
              <w:right w:val="nil"/>
            </w:tcBorders>
            <w:shd w:val="clear" w:color="auto" w:fill="auto"/>
            <w:vAlign w:val="center"/>
          </w:tcPr>
          <w:p w14:paraId="246DAE9B" w14:textId="77777777" w:rsidR="008E7D9E" w:rsidRPr="00666914" w:rsidRDefault="008E7D9E" w:rsidP="0077174C">
            <w:pPr>
              <w:spacing w:after="0"/>
              <w:jc w:val="left"/>
              <w:rPr>
                <w:rFonts w:eastAsia="Arial Narrow" w:cs="Arial Narrow"/>
                <w:color w:val="000000"/>
                <w:sz w:val="20"/>
                <w:szCs w:val="20"/>
              </w:rPr>
            </w:pPr>
            <w:r w:rsidRPr="00666914">
              <w:rPr>
                <w:rFonts w:eastAsia="Arial Narrow" w:cs="Arial Narrow"/>
                <w:color w:val="000000"/>
                <w:sz w:val="20"/>
                <w:szCs w:val="20"/>
              </w:rPr>
              <w:t>Strážovské vrchy</w:t>
            </w:r>
          </w:p>
        </w:tc>
        <w:tc>
          <w:tcPr>
            <w:tcW w:w="1133" w:type="dxa"/>
            <w:tcBorders>
              <w:top w:val="nil"/>
              <w:left w:val="nil"/>
              <w:bottom w:val="nil"/>
              <w:right w:val="nil"/>
            </w:tcBorders>
            <w:shd w:val="clear" w:color="auto" w:fill="auto"/>
            <w:vAlign w:val="center"/>
          </w:tcPr>
          <w:p w14:paraId="1ED03BD7"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58</w:t>
            </w:r>
          </w:p>
        </w:tc>
        <w:tc>
          <w:tcPr>
            <w:tcW w:w="1321" w:type="dxa"/>
            <w:tcBorders>
              <w:top w:val="nil"/>
              <w:left w:val="nil"/>
              <w:bottom w:val="nil"/>
              <w:right w:val="nil"/>
            </w:tcBorders>
            <w:shd w:val="clear" w:color="auto" w:fill="auto"/>
            <w:vAlign w:val="center"/>
          </w:tcPr>
          <w:p w14:paraId="35945E2E"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88</w:t>
            </w:r>
          </w:p>
        </w:tc>
        <w:tc>
          <w:tcPr>
            <w:tcW w:w="1145" w:type="dxa"/>
            <w:tcBorders>
              <w:top w:val="nil"/>
              <w:left w:val="nil"/>
              <w:bottom w:val="nil"/>
              <w:right w:val="nil"/>
            </w:tcBorders>
            <w:shd w:val="clear" w:color="auto" w:fill="auto"/>
            <w:vAlign w:val="center"/>
          </w:tcPr>
          <w:p w14:paraId="17EDD199"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33</w:t>
            </w:r>
          </w:p>
        </w:tc>
        <w:tc>
          <w:tcPr>
            <w:tcW w:w="935" w:type="dxa"/>
            <w:tcBorders>
              <w:top w:val="nil"/>
              <w:left w:val="nil"/>
              <w:bottom w:val="nil"/>
              <w:right w:val="nil"/>
            </w:tcBorders>
            <w:shd w:val="clear" w:color="auto" w:fill="auto"/>
            <w:vAlign w:val="center"/>
          </w:tcPr>
          <w:p w14:paraId="198E879E"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28</w:t>
            </w:r>
          </w:p>
        </w:tc>
        <w:tc>
          <w:tcPr>
            <w:tcW w:w="710" w:type="dxa"/>
            <w:tcBorders>
              <w:top w:val="nil"/>
              <w:left w:val="nil"/>
              <w:bottom w:val="nil"/>
              <w:right w:val="nil"/>
            </w:tcBorders>
            <w:shd w:val="clear" w:color="auto" w:fill="auto"/>
            <w:vAlign w:val="center"/>
          </w:tcPr>
          <w:p w14:paraId="0BF5723F"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207</w:t>
            </w:r>
          </w:p>
        </w:tc>
        <w:tc>
          <w:tcPr>
            <w:tcW w:w="991" w:type="dxa"/>
            <w:tcBorders>
              <w:top w:val="nil"/>
              <w:left w:val="nil"/>
              <w:bottom w:val="nil"/>
              <w:right w:val="nil"/>
            </w:tcBorders>
            <w:shd w:val="clear" w:color="auto" w:fill="auto"/>
            <w:vAlign w:val="center"/>
          </w:tcPr>
          <w:p w14:paraId="622C970D"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28%</w:t>
            </w:r>
          </w:p>
        </w:tc>
        <w:tc>
          <w:tcPr>
            <w:tcW w:w="1517" w:type="dxa"/>
            <w:tcBorders>
              <w:top w:val="nil"/>
              <w:left w:val="nil"/>
              <w:bottom w:val="nil"/>
              <w:right w:val="nil"/>
            </w:tcBorders>
            <w:shd w:val="clear" w:color="auto" w:fill="auto"/>
            <w:vAlign w:val="center"/>
          </w:tcPr>
          <w:p w14:paraId="63ABC874"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14%</w:t>
            </w:r>
          </w:p>
        </w:tc>
      </w:tr>
      <w:tr w:rsidR="008E7D9E" w:rsidRPr="00666914" w14:paraId="54A65698" w14:textId="77777777" w:rsidTr="0077174C">
        <w:trPr>
          <w:trHeight w:val="300"/>
        </w:trPr>
        <w:tc>
          <w:tcPr>
            <w:tcW w:w="1278" w:type="dxa"/>
            <w:tcBorders>
              <w:top w:val="nil"/>
              <w:left w:val="nil"/>
              <w:bottom w:val="nil"/>
              <w:right w:val="nil"/>
            </w:tcBorders>
            <w:shd w:val="clear" w:color="auto" w:fill="auto"/>
            <w:vAlign w:val="center"/>
          </w:tcPr>
          <w:p w14:paraId="418002F0" w14:textId="77777777" w:rsidR="008E7D9E" w:rsidRPr="00666914" w:rsidRDefault="008E7D9E" w:rsidP="0077174C">
            <w:pPr>
              <w:spacing w:after="0"/>
              <w:jc w:val="left"/>
              <w:rPr>
                <w:rFonts w:eastAsia="Arial Narrow" w:cs="Arial Narrow"/>
                <w:color w:val="000000"/>
                <w:sz w:val="20"/>
                <w:szCs w:val="20"/>
              </w:rPr>
            </w:pPr>
            <w:r w:rsidRPr="00666914">
              <w:rPr>
                <w:rFonts w:eastAsia="Arial Narrow" w:cs="Arial Narrow"/>
                <w:color w:val="000000"/>
                <w:sz w:val="20"/>
                <w:szCs w:val="20"/>
              </w:rPr>
              <w:t>Slovenský raj</w:t>
            </w:r>
          </w:p>
        </w:tc>
        <w:tc>
          <w:tcPr>
            <w:tcW w:w="1133" w:type="dxa"/>
            <w:tcBorders>
              <w:top w:val="nil"/>
              <w:left w:val="nil"/>
              <w:bottom w:val="nil"/>
              <w:right w:val="nil"/>
            </w:tcBorders>
            <w:shd w:val="clear" w:color="auto" w:fill="auto"/>
            <w:vAlign w:val="center"/>
          </w:tcPr>
          <w:p w14:paraId="66FD8A6D"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45</w:t>
            </w:r>
          </w:p>
        </w:tc>
        <w:tc>
          <w:tcPr>
            <w:tcW w:w="1321" w:type="dxa"/>
            <w:tcBorders>
              <w:top w:val="nil"/>
              <w:left w:val="nil"/>
              <w:bottom w:val="nil"/>
              <w:right w:val="nil"/>
            </w:tcBorders>
            <w:shd w:val="clear" w:color="auto" w:fill="auto"/>
            <w:vAlign w:val="center"/>
          </w:tcPr>
          <w:p w14:paraId="27B45E40"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51</w:t>
            </w:r>
          </w:p>
        </w:tc>
        <w:tc>
          <w:tcPr>
            <w:tcW w:w="1145" w:type="dxa"/>
            <w:tcBorders>
              <w:top w:val="nil"/>
              <w:left w:val="nil"/>
              <w:bottom w:val="nil"/>
              <w:right w:val="nil"/>
            </w:tcBorders>
            <w:shd w:val="clear" w:color="auto" w:fill="auto"/>
            <w:vAlign w:val="center"/>
          </w:tcPr>
          <w:p w14:paraId="4D90913E"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8</w:t>
            </w:r>
          </w:p>
        </w:tc>
        <w:tc>
          <w:tcPr>
            <w:tcW w:w="935" w:type="dxa"/>
            <w:tcBorders>
              <w:top w:val="nil"/>
              <w:left w:val="nil"/>
              <w:bottom w:val="nil"/>
              <w:right w:val="nil"/>
            </w:tcBorders>
            <w:shd w:val="clear" w:color="auto" w:fill="auto"/>
            <w:vAlign w:val="center"/>
          </w:tcPr>
          <w:p w14:paraId="3E20E91D"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32</w:t>
            </w:r>
          </w:p>
        </w:tc>
        <w:tc>
          <w:tcPr>
            <w:tcW w:w="710" w:type="dxa"/>
            <w:tcBorders>
              <w:top w:val="nil"/>
              <w:left w:val="nil"/>
              <w:bottom w:val="nil"/>
              <w:right w:val="nil"/>
            </w:tcBorders>
            <w:shd w:val="clear" w:color="auto" w:fill="auto"/>
            <w:vAlign w:val="center"/>
          </w:tcPr>
          <w:p w14:paraId="0F9BE577"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136</w:t>
            </w:r>
          </w:p>
        </w:tc>
        <w:tc>
          <w:tcPr>
            <w:tcW w:w="991" w:type="dxa"/>
            <w:tcBorders>
              <w:top w:val="nil"/>
              <w:left w:val="nil"/>
              <w:bottom w:val="nil"/>
              <w:right w:val="nil"/>
            </w:tcBorders>
            <w:shd w:val="clear" w:color="auto" w:fill="auto"/>
            <w:vAlign w:val="center"/>
          </w:tcPr>
          <w:p w14:paraId="6ABEB73B"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33%</w:t>
            </w:r>
          </w:p>
        </w:tc>
        <w:tc>
          <w:tcPr>
            <w:tcW w:w="1517" w:type="dxa"/>
            <w:tcBorders>
              <w:top w:val="nil"/>
              <w:left w:val="nil"/>
              <w:bottom w:val="nil"/>
              <w:right w:val="nil"/>
            </w:tcBorders>
            <w:shd w:val="clear" w:color="auto" w:fill="auto"/>
            <w:vAlign w:val="center"/>
          </w:tcPr>
          <w:p w14:paraId="31884AB2"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24%</w:t>
            </w:r>
          </w:p>
        </w:tc>
      </w:tr>
      <w:tr w:rsidR="008E7D9E" w:rsidRPr="00666914" w14:paraId="6E830E0A" w14:textId="77777777" w:rsidTr="0077174C">
        <w:trPr>
          <w:trHeight w:val="300"/>
        </w:trPr>
        <w:tc>
          <w:tcPr>
            <w:tcW w:w="1278" w:type="dxa"/>
            <w:tcBorders>
              <w:top w:val="nil"/>
              <w:left w:val="nil"/>
              <w:bottom w:val="nil"/>
              <w:right w:val="nil"/>
            </w:tcBorders>
            <w:shd w:val="clear" w:color="auto" w:fill="auto"/>
            <w:vAlign w:val="center"/>
          </w:tcPr>
          <w:p w14:paraId="0C54ED73" w14:textId="77777777" w:rsidR="008E7D9E" w:rsidRPr="00666914" w:rsidRDefault="008E7D9E" w:rsidP="0077174C">
            <w:pPr>
              <w:spacing w:after="0"/>
              <w:jc w:val="left"/>
              <w:rPr>
                <w:rFonts w:eastAsia="Arial Narrow" w:cs="Arial Narrow"/>
                <w:color w:val="000000"/>
                <w:sz w:val="20"/>
                <w:szCs w:val="20"/>
              </w:rPr>
            </w:pPr>
            <w:r w:rsidRPr="00666914">
              <w:rPr>
                <w:rFonts w:eastAsia="Arial Narrow" w:cs="Arial Narrow"/>
                <w:color w:val="000000"/>
                <w:sz w:val="20"/>
                <w:szCs w:val="20"/>
              </w:rPr>
              <w:t>Poľana</w:t>
            </w:r>
          </w:p>
        </w:tc>
        <w:tc>
          <w:tcPr>
            <w:tcW w:w="1133" w:type="dxa"/>
            <w:tcBorders>
              <w:top w:val="nil"/>
              <w:left w:val="nil"/>
              <w:bottom w:val="nil"/>
              <w:right w:val="nil"/>
            </w:tcBorders>
            <w:shd w:val="clear" w:color="auto" w:fill="auto"/>
            <w:vAlign w:val="center"/>
          </w:tcPr>
          <w:p w14:paraId="3125FB4B"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137</w:t>
            </w:r>
          </w:p>
        </w:tc>
        <w:tc>
          <w:tcPr>
            <w:tcW w:w="1321" w:type="dxa"/>
            <w:tcBorders>
              <w:top w:val="nil"/>
              <w:left w:val="nil"/>
              <w:bottom w:val="nil"/>
              <w:right w:val="nil"/>
            </w:tcBorders>
            <w:shd w:val="clear" w:color="auto" w:fill="auto"/>
            <w:vAlign w:val="center"/>
          </w:tcPr>
          <w:p w14:paraId="19262DA9"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29</w:t>
            </w:r>
          </w:p>
        </w:tc>
        <w:tc>
          <w:tcPr>
            <w:tcW w:w="1145" w:type="dxa"/>
            <w:tcBorders>
              <w:top w:val="nil"/>
              <w:left w:val="nil"/>
              <w:bottom w:val="nil"/>
              <w:right w:val="nil"/>
            </w:tcBorders>
            <w:shd w:val="clear" w:color="auto" w:fill="auto"/>
            <w:vAlign w:val="center"/>
          </w:tcPr>
          <w:p w14:paraId="68B275D2"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10</w:t>
            </w:r>
          </w:p>
        </w:tc>
        <w:tc>
          <w:tcPr>
            <w:tcW w:w="935" w:type="dxa"/>
            <w:tcBorders>
              <w:top w:val="nil"/>
              <w:left w:val="nil"/>
              <w:bottom w:val="nil"/>
              <w:right w:val="nil"/>
            </w:tcBorders>
            <w:shd w:val="clear" w:color="auto" w:fill="auto"/>
            <w:vAlign w:val="center"/>
          </w:tcPr>
          <w:p w14:paraId="215EF9CB"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8</w:t>
            </w:r>
          </w:p>
        </w:tc>
        <w:tc>
          <w:tcPr>
            <w:tcW w:w="710" w:type="dxa"/>
            <w:tcBorders>
              <w:top w:val="nil"/>
              <w:left w:val="nil"/>
              <w:bottom w:val="nil"/>
              <w:right w:val="nil"/>
            </w:tcBorders>
            <w:shd w:val="clear" w:color="auto" w:fill="auto"/>
            <w:vAlign w:val="center"/>
          </w:tcPr>
          <w:p w14:paraId="53A1A7ED"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184</w:t>
            </w:r>
          </w:p>
        </w:tc>
        <w:tc>
          <w:tcPr>
            <w:tcW w:w="991" w:type="dxa"/>
            <w:tcBorders>
              <w:top w:val="nil"/>
              <w:left w:val="nil"/>
              <w:bottom w:val="nil"/>
              <w:right w:val="nil"/>
            </w:tcBorders>
            <w:shd w:val="clear" w:color="auto" w:fill="auto"/>
            <w:vAlign w:val="center"/>
          </w:tcPr>
          <w:p w14:paraId="7BB41E5D"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74%</w:t>
            </w:r>
          </w:p>
        </w:tc>
        <w:tc>
          <w:tcPr>
            <w:tcW w:w="1517" w:type="dxa"/>
            <w:tcBorders>
              <w:top w:val="nil"/>
              <w:left w:val="nil"/>
              <w:bottom w:val="nil"/>
              <w:right w:val="nil"/>
            </w:tcBorders>
            <w:shd w:val="clear" w:color="auto" w:fill="auto"/>
            <w:vAlign w:val="center"/>
          </w:tcPr>
          <w:p w14:paraId="47FDCBDF"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4%</w:t>
            </w:r>
          </w:p>
        </w:tc>
      </w:tr>
      <w:tr w:rsidR="008E7D9E" w:rsidRPr="00666914" w14:paraId="2FC377FE" w14:textId="77777777" w:rsidTr="0077174C">
        <w:trPr>
          <w:trHeight w:val="300"/>
        </w:trPr>
        <w:tc>
          <w:tcPr>
            <w:tcW w:w="1278" w:type="dxa"/>
            <w:tcBorders>
              <w:top w:val="nil"/>
              <w:left w:val="nil"/>
              <w:bottom w:val="nil"/>
              <w:right w:val="nil"/>
            </w:tcBorders>
            <w:shd w:val="clear" w:color="auto" w:fill="auto"/>
            <w:vAlign w:val="center"/>
          </w:tcPr>
          <w:p w14:paraId="34BE8248" w14:textId="77777777" w:rsidR="008E7D9E" w:rsidRPr="00666914" w:rsidRDefault="008E7D9E" w:rsidP="0077174C">
            <w:pPr>
              <w:spacing w:after="0"/>
              <w:jc w:val="left"/>
              <w:rPr>
                <w:rFonts w:eastAsia="Arial Narrow" w:cs="Arial Narrow"/>
                <w:color w:val="000000"/>
                <w:sz w:val="20"/>
                <w:szCs w:val="20"/>
              </w:rPr>
            </w:pPr>
            <w:r w:rsidRPr="00666914">
              <w:rPr>
                <w:rFonts w:eastAsia="Arial Narrow" w:cs="Arial Narrow"/>
                <w:color w:val="000000"/>
                <w:sz w:val="20"/>
                <w:szCs w:val="20"/>
              </w:rPr>
              <w:t>Čergov</w:t>
            </w:r>
          </w:p>
        </w:tc>
        <w:tc>
          <w:tcPr>
            <w:tcW w:w="1133" w:type="dxa"/>
            <w:tcBorders>
              <w:top w:val="nil"/>
              <w:left w:val="nil"/>
              <w:bottom w:val="nil"/>
              <w:right w:val="nil"/>
            </w:tcBorders>
            <w:shd w:val="clear" w:color="auto" w:fill="auto"/>
            <w:vAlign w:val="center"/>
          </w:tcPr>
          <w:p w14:paraId="0B98C652"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117</w:t>
            </w:r>
          </w:p>
        </w:tc>
        <w:tc>
          <w:tcPr>
            <w:tcW w:w="1321" w:type="dxa"/>
            <w:tcBorders>
              <w:top w:val="nil"/>
              <w:left w:val="nil"/>
              <w:bottom w:val="nil"/>
              <w:right w:val="nil"/>
            </w:tcBorders>
            <w:shd w:val="clear" w:color="auto" w:fill="auto"/>
            <w:vAlign w:val="center"/>
          </w:tcPr>
          <w:p w14:paraId="7EFCFA2C"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48</w:t>
            </w:r>
          </w:p>
        </w:tc>
        <w:tc>
          <w:tcPr>
            <w:tcW w:w="1145" w:type="dxa"/>
            <w:tcBorders>
              <w:top w:val="nil"/>
              <w:left w:val="nil"/>
              <w:bottom w:val="nil"/>
              <w:right w:val="nil"/>
            </w:tcBorders>
            <w:shd w:val="clear" w:color="auto" w:fill="auto"/>
            <w:vAlign w:val="center"/>
          </w:tcPr>
          <w:p w14:paraId="4A1667A4"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10</w:t>
            </w:r>
          </w:p>
        </w:tc>
        <w:tc>
          <w:tcPr>
            <w:tcW w:w="935" w:type="dxa"/>
            <w:tcBorders>
              <w:top w:val="nil"/>
              <w:left w:val="nil"/>
              <w:bottom w:val="nil"/>
              <w:right w:val="nil"/>
            </w:tcBorders>
            <w:shd w:val="clear" w:color="auto" w:fill="auto"/>
            <w:vAlign w:val="center"/>
          </w:tcPr>
          <w:p w14:paraId="5892C995"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12</w:t>
            </w:r>
          </w:p>
        </w:tc>
        <w:tc>
          <w:tcPr>
            <w:tcW w:w="710" w:type="dxa"/>
            <w:tcBorders>
              <w:top w:val="nil"/>
              <w:left w:val="nil"/>
              <w:bottom w:val="nil"/>
              <w:right w:val="nil"/>
            </w:tcBorders>
            <w:shd w:val="clear" w:color="auto" w:fill="auto"/>
            <w:vAlign w:val="center"/>
          </w:tcPr>
          <w:p w14:paraId="124C2C27"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187</w:t>
            </w:r>
          </w:p>
        </w:tc>
        <w:tc>
          <w:tcPr>
            <w:tcW w:w="991" w:type="dxa"/>
            <w:tcBorders>
              <w:top w:val="nil"/>
              <w:left w:val="nil"/>
              <w:bottom w:val="nil"/>
              <w:right w:val="nil"/>
            </w:tcBorders>
            <w:shd w:val="clear" w:color="auto" w:fill="auto"/>
            <w:vAlign w:val="center"/>
          </w:tcPr>
          <w:p w14:paraId="0F46918A"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63%</w:t>
            </w:r>
          </w:p>
        </w:tc>
        <w:tc>
          <w:tcPr>
            <w:tcW w:w="1517" w:type="dxa"/>
            <w:tcBorders>
              <w:top w:val="nil"/>
              <w:left w:val="nil"/>
              <w:bottom w:val="nil"/>
              <w:right w:val="nil"/>
            </w:tcBorders>
            <w:shd w:val="clear" w:color="auto" w:fill="auto"/>
            <w:vAlign w:val="center"/>
          </w:tcPr>
          <w:p w14:paraId="214A058B"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6%</w:t>
            </w:r>
          </w:p>
        </w:tc>
      </w:tr>
      <w:tr w:rsidR="008E7D9E" w:rsidRPr="00666914" w14:paraId="74510B3B" w14:textId="77777777" w:rsidTr="0077174C">
        <w:trPr>
          <w:trHeight w:val="300"/>
        </w:trPr>
        <w:tc>
          <w:tcPr>
            <w:tcW w:w="1278" w:type="dxa"/>
            <w:tcBorders>
              <w:top w:val="nil"/>
              <w:left w:val="nil"/>
              <w:bottom w:val="nil"/>
              <w:right w:val="nil"/>
            </w:tcBorders>
            <w:shd w:val="clear" w:color="auto" w:fill="auto"/>
            <w:vAlign w:val="center"/>
          </w:tcPr>
          <w:p w14:paraId="78DF2496" w14:textId="77777777" w:rsidR="008E7D9E" w:rsidRPr="00666914" w:rsidRDefault="008E7D9E" w:rsidP="0077174C">
            <w:pPr>
              <w:spacing w:after="0"/>
              <w:jc w:val="left"/>
              <w:rPr>
                <w:rFonts w:eastAsia="Arial Narrow" w:cs="Arial Narrow"/>
                <w:color w:val="000000"/>
                <w:sz w:val="20"/>
                <w:szCs w:val="20"/>
              </w:rPr>
            </w:pPr>
            <w:r w:rsidRPr="00666914">
              <w:rPr>
                <w:rFonts w:eastAsia="Arial Narrow" w:cs="Arial Narrow"/>
                <w:color w:val="000000"/>
                <w:sz w:val="20"/>
                <w:szCs w:val="20"/>
              </w:rPr>
              <w:t>Chočské vrchy</w:t>
            </w:r>
          </w:p>
        </w:tc>
        <w:tc>
          <w:tcPr>
            <w:tcW w:w="1133" w:type="dxa"/>
            <w:tcBorders>
              <w:top w:val="nil"/>
              <w:left w:val="nil"/>
              <w:bottom w:val="nil"/>
              <w:right w:val="nil"/>
            </w:tcBorders>
            <w:shd w:val="clear" w:color="auto" w:fill="auto"/>
            <w:vAlign w:val="center"/>
          </w:tcPr>
          <w:p w14:paraId="238B7C1D"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52</w:t>
            </w:r>
          </w:p>
        </w:tc>
        <w:tc>
          <w:tcPr>
            <w:tcW w:w="1321" w:type="dxa"/>
            <w:tcBorders>
              <w:top w:val="nil"/>
              <w:left w:val="nil"/>
              <w:bottom w:val="nil"/>
              <w:right w:val="nil"/>
            </w:tcBorders>
            <w:shd w:val="clear" w:color="auto" w:fill="auto"/>
            <w:vAlign w:val="center"/>
          </w:tcPr>
          <w:p w14:paraId="3925347C"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33</w:t>
            </w:r>
          </w:p>
        </w:tc>
        <w:tc>
          <w:tcPr>
            <w:tcW w:w="1145" w:type="dxa"/>
            <w:tcBorders>
              <w:top w:val="nil"/>
              <w:left w:val="nil"/>
              <w:bottom w:val="nil"/>
              <w:right w:val="nil"/>
            </w:tcBorders>
            <w:shd w:val="clear" w:color="auto" w:fill="auto"/>
            <w:vAlign w:val="center"/>
          </w:tcPr>
          <w:p w14:paraId="635B4B9E"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7</w:t>
            </w:r>
          </w:p>
        </w:tc>
        <w:tc>
          <w:tcPr>
            <w:tcW w:w="935" w:type="dxa"/>
            <w:tcBorders>
              <w:top w:val="nil"/>
              <w:left w:val="nil"/>
              <w:bottom w:val="nil"/>
              <w:right w:val="nil"/>
            </w:tcBorders>
            <w:shd w:val="clear" w:color="auto" w:fill="auto"/>
            <w:vAlign w:val="center"/>
          </w:tcPr>
          <w:p w14:paraId="4070CCAE"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3</w:t>
            </w:r>
          </w:p>
        </w:tc>
        <w:tc>
          <w:tcPr>
            <w:tcW w:w="710" w:type="dxa"/>
            <w:tcBorders>
              <w:top w:val="nil"/>
              <w:left w:val="nil"/>
              <w:bottom w:val="nil"/>
              <w:right w:val="nil"/>
            </w:tcBorders>
            <w:shd w:val="clear" w:color="auto" w:fill="auto"/>
            <w:vAlign w:val="center"/>
          </w:tcPr>
          <w:p w14:paraId="426918B6"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95</w:t>
            </w:r>
          </w:p>
        </w:tc>
        <w:tc>
          <w:tcPr>
            <w:tcW w:w="991" w:type="dxa"/>
            <w:tcBorders>
              <w:top w:val="nil"/>
              <w:left w:val="nil"/>
              <w:bottom w:val="nil"/>
              <w:right w:val="nil"/>
            </w:tcBorders>
            <w:shd w:val="clear" w:color="auto" w:fill="auto"/>
            <w:vAlign w:val="center"/>
          </w:tcPr>
          <w:p w14:paraId="54E5CE5D"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55%</w:t>
            </w:r>
          </w:p>
        </w:tc>
        <w:tc>
          <w:tcPr>
            <w:tcW w:w="1517" w:type="dxa"/>
            <w:tcBorders>
              <w:top w:val="nil"/>
              <w:left w:val="nil"/>
              <w:bottom w:val="nil"/>
              <w:right w:val="nil"/>
            </w:tcBorders>
            <w:shd w:val="clear" w:color="auto" w:fill="auto"/>
            <w:vAlign w:val="center"/>
          </w:tcPr>
          <w:p w14:paraId="0F2AB43C"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3%</w:t>
            </w:r>
          </w:p>
        </w:tc>
      </w:tr>
      <w:tr w:rsidR="008E7D9E" w:rsidRPr="00666914" w14:paraId="3C12AA31" w14:textId="77777777" w:rsidTr="0077174C">
        <w:trPr>
          <w:trHeight w:val="300"/>
        </w:trPr>
        <w:tc>
          <w:tcPr>
            <w:tcW w:w="1278" w:type="dxa"/>
            <w:tcBorders>
              <w:top w:val="nil"/>
              <w:left w:val="nil"/>
              <w:bottom w:val="nil"/>
              <w:right w:val="nil"/>
            </w:tcBorders>
            <w:shd w:val="clear" w:color="auto" w:fill="auto"/>
            <w:vAlign w:val="center"/>
          </w:tcPr>
          <w:p w14:paraId="6428C16E" w14:textId="77777777" w:rsidR="008E7D9E" w:rsidRPr="00666914" w:rsidRDefault="008E7D9E" w:rsidP="0077174C">
            <w:pPr>
              <w:spacing w:after="0"/>
              <w:jc w:val="left"/>
              <w:rPr>
                <w:rFonts w:eastAsia="Arial Narrow" w:cs="Arial Narrow"/>
                <w:color w:val="000000"/>
                <w:sz w:val="20"/>
                <w:szCs w:val="20"/>
              </w:rPr>
            </w:pPr>
            <w:r w:rsidRPr="00666914">
              <w:rPr>
                <w:rFonts w:eastAsia="Arial Narrow" w:cs="Arial Narrow"/>
                <w:color w:val="000000"/>
                <w:sz w:val="20"/>
                <w:szCs w:val="20"/>
              </w:rPr>
              <w:t>Sysľovské polia</w:t>
            </w:r>
          </w:p>
        </w:tc>
        <w:tc>
          <w:tcPr>
            <w:tcW w:w="1133" w:type="dxa"/>
            <w:tcBorders>
              <w:top w:val="nil"/>
              <w:left w:val="nil"/>
              <w:bottom w:val="nil"/>
              <w:right w:val="nil"/>
            </w:tcBorders>
            <w:shd w:val="clear" w:color="auto" w:fill="auto"/>
            <w:vAlign w:val="center"/>
          </w:tcPr>
          <w:p w14:paraId="0A91817D"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4</w:t>
            </w:r>
          </w:p>
        </w:tc>
        <w:tc>
          <w:tcPr>
            <w:tcW w:w="1321" w:type="dxa"/>
            <w:tcBorders>
              <w:top w:val="nil"/>
              <w:left w:val="nil"/>
              <w:bottom w:val="nil"/>
              <w:right w:val="nil"/>
            </w:tcBorders>
            <w:shd w:val="clear" w:color="auto" w:fill="auto"/>
            <w:vAlign w:val="center"/>
          </w:tcPr>
          <w:p w14:paraId="0B215ACD"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19</w:t>
            </w:r>
          </w:p>
        </w:tc>
        <w:tc>
          <w:tcPr>
            <w:tcW w:w="1145" w:type="dxa"/>
            <w:tcBorders>
              <w:top w:val="nil"/>
              <w:left w:val="nil"/>
              <w:bottom w:val="nil"/>
              <w:right w:val="nil"/>
            </w:tcBorders>
            <w:shd w:val="clear" w:color="auto" w:fill="auto"/>
            <w:vAlign w:val="center"/>
          </w:tcPr>
          <w:p w14:paraId="19A51B67"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5</w:t>
            </w:r>
          </w:p>
        </w:tc>
        <w:tc>
          <w:tcPr>
            <w:tcW w:w="935" w:type="dxa"/>
            <w:tcBorders>
              <w:top w:val="nil"/>
              <w:left w:val="nil"/>
              <w:bottom w:val="nil"/>
              <w:right w:val="nil"/>
            </w:tcBorders>
            <w:shd w:val="clear" w:color="auto" w:fill="auto"/>
            <w:vAlign w:val="center"/>
          </w:tcPr>
          <w:p w14:paraId="6E190958"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25</w:t>
            </w:r>
          </w:p>
        </w:tc>
        <w:tc>
          <w:tcPr>
            <w:tcW w:w="710" w:type="dxa"/>
            <w:tcBorders>
              <w:top w:val="nil"/>
              <w:left w:val="nil"/>
              <w:bottom w:val="nil"/>
              <w:right w:val="nil"/>
            </w:tcBorders>
            <w:shd w:val="clear" w:color="auto" w:fill="auto"/>
            <w:vAlign w:val="center"/>
          </w:tcPr>
          <w:p w14:paraId="51886762"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53</w:t>
            </w:r>
          </w:p>
        </w:tc>
        <w:tc>
          <w:tcPr>
            <w:tcW w:w="991" w:type="dxa"/>
            <w:tcBorders>
              <w:top w:val="nil"/>
              <w:left w:val="nil"/>
              <w:bottom w:val="nil"/>
              <w:right w:val="nil"/>
            </w:tcBorders>
            <w:shd w:val="clear" w:color="auto" w:fill="auto"/>
            <w:vAlign w:val="center"/>
          </w:tcPr>
          <w:p w14:paraId="78F30286"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8%</w:t>
            </w:r>
          </w:p>
        </w:tc>
        <w:tc>
          <w:tcPr>
            <w:tcW w:w="1517" w:type="dxa"/>
            <w:tcBorders>
              <w:top w:val="nil"/>
              <w:left w:val="nil"/>
              <w:bottom w:val="nil"/>
              <w:right w:val="nil"/>
            </w:tcBorders>
            <w:shd w:val="clear" w:color="auto" w:fill="auto"/>
            <w:vAlign w:val="center"/>
          </w:tcPr>
          <w:p w14:paraId="1DB4CC69"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47%</w:t>
            </w:r>
          </w:p>
        </w:tc>
      </w:tr>
      <w:tr w:rsidR="008E7D9E" w:rsidRPr="00666914" w14:paraId="4A75E248" w14:textId="77777777" w:rsidTr="0077174C">
        <w:trPr>
          <w:trHeight w:val="300"/>
        </w:trPr>
        <w:tc>
          <w:tcPr>
            <w:tcW w:w="1278" w:type="dxa"/>
            <w:tcBorders>
              <w:top w:val="nil"/>
              <w:left w:val="nil"/>
              <w:bottom w:val="nil"/>
              <w:right w:val="nil"/>
            </w:tcBorders>
            <w:shd w:val="clear" w:color="auto" w:fill="auto"/>
            <w:vAlign w:val="center"/>
          </w:tcPr>
          <w:p w14:paraId="3317EFAB" w14:textId="77777777" w:rsidR="008E7D9E" w:rsidRPr="00666914" w:rsidRDefault="008E7D9E" w:rsidP="0077174C">
            <w:pPr>
              <w:spacing w:after="0"/>
              <w:jc w:val="left"/>
              <w:rPr>
                <w:rFonts w:eastAsia="Arial Narrow" w:cs="Arial Narrow"/>
                <w:color w:val="000000"/>
                <w:sz w:val="20"/>
                <w:szCs w:val="20"/>
              </w:rPr>
            </w:pPr>
            <w:r w:rsidRPr="00666914">
              <w:rPr>
                <w:rFonts w:eastAsia="Arial Narrow" w:cs="Arial Narrow"/>
                <w:color w:val="000000"/>
                <w:sz w:val="20"/>
                <w:szCs w:val="20"/>
              </w:rPr>
              <w:t>Žitavský luh</w:t>
            </w:r>
          </w:p>
        </w:tc>
        <w:tc>
          <w:tcPr>
            <w:tcW w:w="1133" w:type="dxa"/>
            <w:tcBorders>
              <w:top w:val="nil"/>
              <w:left w:val="nil"/>
              <w:bottom w:val="nil"/>
              <w:right w:val="nil"/>
            </w:tcBorders>
            <w:shd w:val="clear" w:color="auto" w:fill="auto"/>
            <w:vAlign w:val="center"/>
          </w:tcPr>
          <w:p w14:paraId="3852531B"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20</w:t>
            </w:r>
          </w:p>
        </w:tc>
        <w:tc>
          <w:tcPr>
            <w:tcW w:w="1321" w:type="dxa"/>
            <w:tcBorders>
              <w:top w:val="nil"/>
              <w:left w:val="nil"/>
              <w:bottom w:val="nil"/>
              <w:right w:val="nil"/>
            </w:tcBorders>
            <w:shd w:val="clear" w:color="auto" w:fill="auto"/>
            <w:vAlign w:val="center"/>
          </w:tcPr>
          <w:p w14:paraId="494B006F"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24</w:t>
            </w:r>
          </w:p>
        </w:tc>
        <w:tc>
          <w:tcPr>
            <w:tcW w:w="1145" w:type="dxa"/>
            <w:tcBorders>
              <w:top w:val="nil"/>
              <w:left w:val="nil"/>
              <w:bottom w:val="nil"/>
              <w:right w:val="nil"/>
            </w:tcBorders>
            <w:shd w:val="clear" w:color="auto" w:fill="auto"/>
            <w:vAlign w:val="center"/>
          </w:tcPr>
          <w:p w14:paraId="5D5C830E"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0</w:t>
            </w:r>
          </w:p>
        </w:tc>
        <w:tc>
          <w:tcPr>
            <w:tcW w:w="935" w:type="dxa"/>
            <w:tcBorders>
              <w:top w:val="nil"/>
              <w:left w:val="nil"/>
              <w:bottom w:val="nil"/>
              <w:right w:val="nil"/>
            </w:tcBorders>
            <w:shd w:val="clear" w:color="auto" w:fill="auto"/>
            <w:vAlign w:val="center"/>
          </w:tcPr>
          <w:p w14:paraId="411C9D08"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1</w:t>
            </w:r>
          </w:p>
        </w:tc>
        <w:tc>
          <w:tcPr>
            <w:tcW w:w="710" w:type="dxa"/>
            <w:tcBorders>
              <w:top w:val="nil"/>
              <w:left w:val="nil"/>
              <w:bottom w:val="nil"/>
              <w:right w:val="nil"/>
            </w:tcBorders>
            <w:shd w:val="clear" w:color="auto" w:fill="auto"/>
            <w:vAlign w:val="center"/>
          </w:tcPr>
          <w:p w14:paraId="01C119CC"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45</w:t>
            </w:r>
          </w:p>
        </w:tc>
        <w:tc>
          <w:tcPr>
            <w:tcW w:w="991" w:type="dxa"/>
            <w:tcBorders>
              <w:top w:val="nil"/>
              <w:left w:val="nil"/>
              <w:bottom w:val="nil"/>
              <w:right w:val="nil"/>
            </w:tcBorders>
            <w:shd w:val="clear" w:color="auto" w:fill="auto"/>
            <w:vAlign w:val="center"/>
          </w:tcPr>
          <w:p w14:paraId="68074B13"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44%</w:t>
            </w:r>
          </w:p>
        </w:tc>
        <w:tc>
          <w:tcPr>
            <w:tcW w:w="1517" w:type="dxa"/>
            <w:tcBorders>
              <w:top w:val="nil"/>
              <w:left w:val="nil"/>
              <w:bottom w:val="nil"/>
              <w:right w:val="nil"/>
            </w:tcBorders>
            <w:shd w:val="clear" w:color="auto" w:fill="auto"/>
            <w:vAlign w:val="center"/>
          </w:tcPr>
          <w:p w14:paraId="7AD7F8EF"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2%</w:t>
            </w:r>
          </w:p>
        </w:tc>
      </w:tr>
      <w:tr w:rsidR="008E7D9E" w:rsidRPr="00666914" w14:paraId="60B1481A" w14:textId="77777777" w:rsidTr="0077174C">
        <w:trPr>
          <w:trHeight w:val="300"/>
        </w:trPr>
        <w:tc>
          <w:tcPr>
            <w:tcW w:w="1278" w:type="dxa"/>
            <w:tcBorders>
              <w:top w:val="single" w:sz="4" w:space="0" w:color="000000"/>
              <w:left w:val="nil"/>
              <w:bottom w:val="single" w:sz="4" w:space="0" w:color="000000"/>
              <w:right w:val="nil"/>
            </w:tcBorders>
            <w:shd w:val="clear" w:color="auto" w:fill="auto"/>
            <w:vAlign w:val="center"/>
          </w:tcPr>
          <w:p w14:paraId="2776CEEE" w14:textId="77777777" w:rsidR="008E7D9E" w:rsidRPr="00666914" w:rsidRDefault="008E7D9E" w:rsidP="0077174C">
            <w:pPr>
              <w:spacing w:after="0"/>
              <w:jc w:val="left"/>
              <w:rPr>
                <w:rFonts w:eastAsia="Arial Narrow" w:cs="Arial Narrow"/>
                <w:b/>
                <w:color w:val="000000"/>
                <w:sz w:val="20"/>
                <w:szCs w:val="20"/>
              </w:rPr>
            </w:pPr>
            <w:r w:rsidRPr="00666914">
              <w:rPr>
                <w:rFonts w:eastAsia="Arial Narrow" w:cs="Arial Narrow"/>
                <w:b/>
                <w:color w:val="000000"/>
                <w:sz w:val="20"/>
                <w:szCs w:val="20"/>
              </w:rPr>
              <w:t>Spolu</w:t>
            </w:r>
          </w:p>
        </w:tc>
        <w:tc>
          <w:tcPr>
            <w:tcW w:w="1133" w:type="dxa"/>
            <w:tcBorders>
              <w:top w:val="single" w:sz="4" w:space="0" w:color="000000"/>
              <w:left w:val="nil"/>
              <w:bottom w:val="single" w:sz="4" w:space="0" w:color="000000"/>
              <w:right w:val="nil"/>
            </w:tcBorders>
            <w:shd w:val="clear" w:color="auto" w:fill="auto"/>
            <w:vAlign w:val="center"/>
          </w:tcPr>
          <w:p w14:paraId="13ED5415" w14:textId="77777777" w:rsidR="008E7D9E" w:rsidRPr="00666914" w:rsidRDefault="008E7D9E" w:rsidP="0077174C">
            <w:pPr>
              <w:spacing w:after="0"/>
              <w:jc w:val="center"/>
              <w:rPr>
                <w:rFonts w:eastAsia="Arial Narrow" w:cs="Arial Narrow"/>
                <w:b/>
                <w:color w:val="000000"/>
                <w:sz w:val="20"/>
                <w:szCs w:val="20"/>
              </w:rPr>
            </w:pPr>
            <w:r w:rsidRPr="00666914">
              <w:rPr>
                <w:rFonts w:eastAsia="Arial Narrow" w:cs="Arial Narrow"/>
                <w:b/>
                <w:color w:val="000000"/>
                <w:sz w:val="20"/>
                <w:szCs w:val="20"/>
              </w:rPr>
              <w:t>433</w:t>
            </w:r>
          </w:p>
        </w:tc>
        <w:tc>
          <w:tcPr>
            <w:tcW w:w="1321" w:type="dxa"/>
            <w:tcBorders>
              <w:top w:val="single" w:sz="4" w:space="0" w:color="000000"/>
              <w:left w:val="nil"/>
              <w:bottom w:val="single" w:sz="4" w:space="0" w:color="000000"/>
              <w:right w:val="nil"/>
            </w:tcBorders>
            <w:shd w:val="clear" w:color="auto" w:fill="auto"/>
            <w:vAlign w:val="center"/>
          </w:tcPr>
          <w:p w14:paraId="12BF7862" w14:textId="77777777" w:rsidR="008E7D9E" w:rsidRPr="00666914" w:rsidRDefault="008E7D9E" w:rsidP="0077174C">
            <w:pPr>
              <w:spacing w:after="0"/>
              <w:jc w:val="center"/>
              <w:rPr>
                <w:rFonts w:eastAsia="Arial Narrow" w:cs="Arial Narrow"/>
                <w:b/>
                <w:color w:val="000000"/>
                <w:sz w:val="20"/>
                <w:szCs w:val="20"/>
              </w:rPr>
            </w:pPr>
            <w:r w:rsidRPr="00666914">
              <w:rPr>
                <w:rFonts w:eastAsia="Arial Narrow" w:cs="Arial Narrow"/>
                <w:b/>
                <w:color w:val="000000"/>
                <w:sz w:val="20"/>
                <w:szCs w:val="20"/>
              </w:rPr>
              <w:t>292</w:t>
            </w:r>
          </w:p>
        </w:tc>
        <w:tc>
          <w:tcPr>
            <w:tcW w:w="1145" w:type="dxa"/>
            <w:tcBorders>
              <w:top w:val="single" w:sz="4" w:space="0" w:color="000000"/>
              <w:left w:val="nil"/>
              <w:bottom w:val="single" w:sz="4" w:space="0" w:color="000000"/>
              <w:right w:val="nil"/>
            </w:tcBorders>
            <w:shd w:val="clear" w:color="auto" w:fill="auto"/>
            <w:vAlign w:val="center"/>
          </w:tcPr>
          <w:p w14:paraId="5679F768" w14:textId="77777777" w:rsidR="008E7D9E" w:rsidRPr="00666914" w:rsidRDefault="008E7D9E" w:rsidP="0077174C">
            <w:pPr>
              <w:spacing w:after="0"/>
              <w:jc w:val="center"/>
              <w:rPr>
                <w:rFonts w:eastAsia="Arial Narrow" w:cs="Arial Narrow"/>
                <w:b/>
                <w:color w:val="000000"/>
                <w:sz w:val="20"/>
                <w:szCs w:val="20"/>
              </w:rPr>
            </w:pPr>
            <w:r w:rsidRPr="00666914">
              <w:rPr>
                <w:rFonts w:eastAsia="Arial Narrow" w:cs="Arial Narrow"/>
                <w:b/>
                <w:color w:val="000000"/>
                <w:sz w:val="20"/>
                <w:szCs w:val="20"/>
              </w:rPr>
              <w:t>73</w:t>
            </w:r>
          </w:p>
        </w:tc>
        <w:tc>
          <w:tcPr>
            <w:tcW w:w="935" w:type="dxa"/>
            <w:tcBorders>
              <w:top w:val="single" w:sz="4" w:space="0" w:color="000000"/>
              <w:left w:val="nil"/>
              <w:bottom w:val="single" w:sz="4" w:space="0" w:color="000000"/>
              <w:right w:val="nil"/>
            </w:tcBorders>
            <w:shd w:val="clear" w:color="auto" w:fill="auto"/>
            <w:vAlign w:val="center"/>
          </w:tcPr>
          <w:p w14:paraId="20152647" w14:textId="77777777" w:rsidR="008E7D9E" w:rsidRPr="00666914" w:rsidRDefault="008E7D9E" w:rsidP="0077174C">
            <w:pPr>
              <w:spacing w:after="0"/>
              <w:jc w:val="center"/>
              <w:rPr>
                <w:rFonts w:eastAsia="Arial Narrow" w:cs="Arial Narrow"/>
                <w:b/>
                <w:color w:val="000000"/>
                <w:sz w:val="20"/>
                <w:szCs w:val="20"/>
              </w:rPr>
            </w:pPr>
            <w:r w:rsidRPr="00666914">
              <w:rPr>
                <w:rFonts w:eastAsia="Arial Narrow" w:cs="Arial Narrow"/>
                <w:b/>
                <w:color w:val="000000"/>
                <w:sz w:val="20"/>
                <w:szCs w:val="20"/>
              </w:rPr>
              <w:t>109</w:t>
            </w:r>
          </w:p>
        </w:tc>
        <w:tc>
          <w:tcPr>
            <w:tcW w:w="710" w:type="dxa"/>
            <w:tcBorders>
              <w:top w:val="single" w:sz="4" w:space="0" w:color="000000"/>
              <w:left w:val="nil"/>
              <w:bottom w:val="single" w:sz="4" w:space="0" w:color="000000"/>
              <w:right w:val="nil"/>
            </w:tcBorders>
            <w:shd w:val="clear" w:color="auto" w:fill="auto"/>
            <w:vAlign w:val="center"/>
          </w:tcPr>
          <w:p w14:paraId="666A2EEF" w14:textId="77777777" w:rsidR="008E7D9E" w:rsidRPr="00666914" w:rsidRDefault="008E7D9E" w:rsidP="0077174C">
            <w:pPr>
              <w:spacing w:after="0"/>
              <w:jc w:val="center"/>
              <w:rPr>
                <w:rFonts w:eastAsia="Arial Narrow" w:cs="Arial Narrow"/>
                <w:b/>
                <w:color w:val="000000"/>
                <w:sz w:val="20"/>
                <w:szCs w:val="20"/>
              </w:rPr>
            </w:pPr>
            <w:r w:rsidRPr="00666914">
              <w:rPr>
                <w:rFonts w:eastAsia="Arial Narrow" w:cs="Arial Narrow"/>
                <w:b/>
                <w:color w:val="000000"/>
                <w:sz w:val="20"/>
                <w:szCs w:val="20"/>
              </w:rPr>
              <w:t>907</w:t>
            </w:r>
          </w:p>
        </w:tc>
        <w:tc>
          <w:tcPr>
            <w:tcW w:w="991" w:type="dxa"/>
            <w:tcBorders>
              <w:top w:val="single" w:sz="4" w:space="0" w:color="000000"/>
              <w:left w:val="nil"/>
              <w:bottom w:val="single" w:sz="4" w:space="0" w:color="000000"/>
              <w:right w:val="nil"/>
            </w:tcBorders>
            <w:shd w:val="clear" w:color="auto" w:fill="auto"/>
            <w:vAlign w:val="center"/>
          </w:tcPr>
          <w:p w14:paraId="1297690F" w14:textId="77777777" w:rsidR="008E7D9E" w:rsidRPr="00666914" w:rsidRDefault="008E7D9E" w:rsidP="0077174C">
            <w:pPr>
              <w:spacing w:after="0"/>
              <w:jc w:val="center"/>
              <w:rPr>
                <w:rFonts w:eastAsia="Arial Narrow" w:cs="Arial Narrow"/>
                <w:b/>
                <w:color w:val="000000"/>
                <w:sz w:val="20"/>
                <w:szCs w:val="20"/>
              </w:rPr>
            </w:pPr>
            <w:r w:rsidRPr="00666914">
              <w:rPr>
                <w:rFonts w:eastAsia="Arial Narrow" w:cs="Arial Narrow"/>
                <w:b/>
                <w:color w:val="000000"/>
                <w:sz w:val="20"/>
                <w:szCs w:val="20"/>
              </w:rPr>
              <w:t>48%</w:t>
            </w:r>
          </w:p>
        </w:tc>
        <w:tc>
          <w:tcPr>
            <w:tcW w:w="1517" w:type="dxa"/>
            <w:tcBorders>
              <w:top w:val="single" w:sz="4" w:space="0" w:color="000000"/>
              <w:left w:val="nil"/>
              <w:bottom w:val="single" w:sz="4" w:space="0" w:color="000000"/>
              <w:right w:val="nil"/>
            </w:tcBorders>
            <w:shd w:val="clear" w:color="auto" w:fill="auto"/>
            <w:vAlign w:val="center"/>
          </w:tcPr>
          <w:p w14:paraId="55A61CF2" w14:textId="77777777" w:rsidR="008E7D9E" w:rsidRPr="00666914" w:rsidRDefault="008E7D9E" w:rsidP="0077174C">
            <w:pPr>
              <w:spacing w:after="0"/>
              <w:jc w:val="center"/>
              <w:rPr>
                <w:rFonts w:eastAsia="Arial Narrow" w:cs="Arial Narrow"/>
                <w:b/>
                <w:color w:val="000000"/>
                <w:sz w:val="20"/>
                <w:szCs w:val="20"/>
              </w:rPr>
            </w:pPr>
            <w:r w:rsidRPr="00666914">
              <w:rPr>
                <w:rFonts w:eastAsia="Arial Narrow" w:cs="Arial Narrow"/>
                <w:b/>
                <w:color w:val="000000"/>
                <w:sz w:val="20"/>
                <w:szCs w:val="20"/>
              </w:rPr>
              <w:t>12%</w:t>
            </w:r>
          </w:p>
        </w:tc>
      </w:tr>
    </w:tbl>
    <w:p w14:paraId="0C2805A2" w14:textId="77777777" w:rsidR="008E7D9E" w:rsidRPr="00666914" w:rsidRDefault="008E7D9E">
      <w:pPr>
        <w:spacing w:after="0"/>
        <w:jc w:val="right"/>
        <w:rPr>
          <w:rFonts w:eastAsia="Arial Narrow" w:cs="Arial Narrow"/>
          <w:i/>
          <w:sz w:val="20"/>
          <w:szCs w:val="20"/>
        </w:rPr>
      </w:pPr>
      <w:r w:rsidRPr="00666914">
        <w:rPr>
          <w:rFonts w:eastAsia="Arial Narrow" w:cs="Arial Narrow"/>
          <w:i/>
          <w:sz w:val="20"/>
          <w:szCs w:val="20"/>
        </w:rPr>
        <w:t>Zdroj: IJ podľa podkladov MŽP SR</w:t>
      </w:r>
    </w:p>
    <w:p w14:paraId="766CD8D0" w14:textId="77777777" w:rsidR="008E7D9E" w:rsidRPr="00666914" w:rsidRDefault="008E7D9E">
      <w:pPr>
        <w:spacing w:after="0"/>
        <w:rPr>
          <w:rFonts w:eastAsia="Arial Narrow" w:cs="Arial Narrow"/>
        </w:rPr>
      </w:pPr>
    </w:p>
    <w:p w14:paraId="48C68FE9" w14:textId="77777777" w:rsidR="008E7D9E" w:rsidRPr="00666914" w:rsidRDefault="008E7D9E">
      <w:pPr>
        <w:spacing w:after="0"/>
        <w:rPr>
          <w:rFonts w:eastAsia="Arial Narrow" w:cs="Arial Narrow"/>
        </w:rPr>
      </w:pPr>
      <w:r w:rsidRPr="00666914">
        <w:rPr>
          <w:rFonts w:eastAsia="Arial Narrow" w:cs="Arial Narrow"/>
          <w:b/>
        </w:rPr>
        <w:t xml:space="preserve">V porovnaní s predchádzajúcimi programami starostlivosti o CHVÚ, došlo u väčšiny programov k zmene prioritizácie jednotlivých </w:t>
      </w:r>
      <w:sdt>
        <w:sdtPr>
          <w:tag w:val="goog_rdk_77"/>
          <w:id w:val="-807852281"/>
        </w:sdtPr>
        <w:sdtEndPr/>
        <w:sdtContent/>
      </w:sdt>
      <w:r w:rsidRPr="00666914">
        <w:rPr>
          <w:rFonts w:eastAsia="Arial Narrow" w:cs="Arial Narrow"/>
          <w:b/>
        </w:rPr>
        <w:t xml:space="preserve">opatrení v prospech zníženia podielu opatrení s vysokou prioritou. </w:t>
      </w:r>
      <w:r w:rsidRPr="00666914">
        <w:rPr>
          <w:rFonts w:eastAsia="Arial Narrow" w:cs="Arial Narrow"/>
        </w:rPr>
        <w:t>IJ oceňuje prehodnotenie, ktoré je aj v súlade s odporúčaniami revízie výdavkov, ako aj odporúčaním IJ v PIS 2018 a SIS 2018. Celková zmena prioritizácie PS o CHVÚ súvisí aj s infringementom č. 2018/4076</w:t>
      </w:r>
      <w:r w:rsidRPr="00666914">
        <w:rPr>
          <w:vertAlign w:val="superscript"/>
        </w:rPr>
        <w:footnoteReference w:id="296"/>
      </w:r>
      <w:r w:rsidRPr="00666914">
        <w:t>,</w:t>
      </w:r>
      <w:r w:rsidRPr="00666914">
        <w:rPr>
          <w:rFonts w:eastAsia="Arial Narrow" w:cs="Arial Narrow"/>
        </w:rPr>
        <w:t xml:space="preserve"> ktorý sa týka nedostatočnej ochrany biotopov hlucháňa hôrneho na Slovensku. V rámci tohto konania bolo v 01/2019 zaslané SR odôvodnené stanovisko, v ktorom vytýkané nedostatky boli následne zapracované do nových programov starostlivosti. MŽP SR a ŠOP SR už predtým presunuli prioritu na dopracovanie dokumentov pre CHVÚ, kde je predmetom ochrany aj hlucháň hôrny. Napriek tomu je stále podiel vysokých priorít v niektorých PS veľký (napr. PS Poľana, Čergov a Chočské vrchy).</w:t>
      </w:r>
    </w:p>
    <w:p w14:paraId="048BAA4D" w14:textId="77777777" w:rsidR="008E7D9E" w:rsidRPr="00666914" w:rsidRDefault="008E7D9E">
      <w:pPr>
        <w:spacing w:after="0"/>
        <w:rPr>
          <w:rFonts w:eastAsia="Arial Narrow" w:cs="Arial Narrow"/>
        </w:rPr>
      </w:pPr>
    </w:p>
    <w:p w14:paraId="7D10F87A" w14:textId="408CD2B0" w:rsidR="008E7D9E" w:rsidRPr="00666914" w:rsidRDefault="008E7D9E">
      <w:pPr>
        <w:spacing w:after="0"/>
        <w:rPr>
          <w:rFonts w:eastAsia="Arial Narrow" w:cs="Arial Narrow"/>
        </w:rPr>
      </w:pPr>
      <w:r w:rsidRPr="00666914">
        <w:rPr>
          <w:rFonts w:eastAsia="Arial Narrow" w:cs="Arial Narrow"/>
          <w:b/>
        </w:rPr>
        <w:t>MŽP SR predložilo v 4Q2019 na MPK návrh Koncepcie ochrany prírody a krajiny do roku 2030, v ktorej je otázka prioritizácie jej jednotlivých cieľov vyriešená.</w:t>
      </w:r>
      <w:r w:rsidRPr="00666914">
        <w:rPr>
          <w:rFonts w:eastAsia="Arial Narrow" w:cs="Arial Narrow"/>
        </w:rPr>
        <w:t xml:space="preserve"> IJ k materiálu predložilo zásadnú pripomienku, týkajúcu sa prioritizácie jednotlivých cieľov a opatrení koncepcie, keďže 53 % opatrení má termín plnenia už rok 2025. MŽP SR túto pripomienku akceptovalo </w:t>
      </w:r>
      <w:sdt>
        <w:sdtPr>
          <w:tag w:val="goog_rdk_78"/>
          <w:id w:val="198825951"/>
        </w:sdtPr>
        <w:sdtEndPr/>
        <w:sdtContent/>
      </w:sdt>
      <w:r w:rsidRPr="00666914">
        <w:rPr>
          <w:rFonts w:eastAsia="Arial Narrow" w:cs="Arial Narrow"/>
        </w:rPr>
        <w:t>a prioritizáciu</w:t>
      </w:r>
      <w:r w:rsidR="000644F2" w:rsidRPr="00666914">
        <w:rPr>
          <w:rFonts w:eastAsia="Arial Narrow" w:cs="Arial Narrow"/>
        </w:rPr>
        <w:t xml:space="preserve"> upravilo v zmysle pripomienky.</w:t>
      </w:r>
    </w:p>
    <w:p w14:paraId="0F195C7B" w14:textId="77777777" w:rsidR="008E7D9E" w:rsidRPr="00666914" w:rsidRDefault="008E7D9E">
      <w:pPr>
        <w:spacing w:after="0"/>
        <w:rPr>
          <w:rFonts w:eastAsia="Arial Narrow" w:cs="Arial Narrow"/>
        </w:rPr>
      </w:pPr>
    </w:p>
    <w:p w14:paraId="4C26CDDC" w14:textId="758C909D" w:rsidR="008E7D9E" w:rsidRPr="00666914" w:rsidRDefault="008E7D9E" w:rsidP="00D937F7">
      <w:pPr>
        <w:rPr>
          <w:rFonts w:eastAsia="Arial Narrow" w:cs="Arial Narrow"/>
        </w:rPr>
      </w:pPr>
      <w:r w:rsidRPr="00666914">
        <w:rPr>
          <w:rFonts w:eastAsia="Arial Narrow" w:cs="Arial Narrow"/>
          <w:b/>
        </w:rPr>
        <w:t>Opatrenie sa k 31.12.2019 plní čiastočne.</w:t>
      </w:r>
      <w:r w:rsidRPr="00666914">
        <w:rPr>
          <w:rFonts w:eastAsia="Arial Narrow" w:cs="Arial Narrow"/>
        </w:rPr>
        <w:t xml:space="preserve"> </w:t>
      </w:r>
    </w:p>
    <w:p w14:paraId="07B44D2A" w14:textId="77777777" w:rsidR="008E7D9E" w:rsidRPr="00666914" w:rsidRDefault="008E7D9E" w:rsidP="00131B23">
      <w:pPr>
        <w:numPr>
          <w:ilvl w:val="0"/>
          <w:numId w:val="25"/>
        </w:numPr>
        <w:spacing w:after="0"/>
        <w:rPr>
          <w:rFonts w:eastAsia="Arial Narrow" w:cs="Arial Narrow"/>
          <w:b/>
          <w:u w:val="single"/>
        </w:rPr>
      </w:pPr>
      <w:r w:rsidRPr="00666914">
        <w:rPr>
          <w:rFonts w:eastAsia="Arial Narrow" w:cs="Arial Narrow"/>
          <w:b/>
          <w:u w:val="single"/>
        </w:rPr>
        <w:t>Dobudovať sústavu Natura 2000 na Slovensku</w:t>
      </w:r>
    </w:p>
    <w:p w14:paraId="2B00E860" w14:textId="77777777" w:rsidR="008E7D9E" w:rsidRPr="00666914" w:rsidRDefault="008E7D9E">
      <w:pPr>
        <w:spacing w:before="240" w:after="0"/>
        <w:rPr>
          <w:rFonts w:eastAsia="Arial Narrow" w:cs="Arial Narrow"/>
        </w:rPr>
      </w:pPr>
      <w:r w:rsidRPr="00666914">
        <w:rPr>
          <w:rFonts w:eastAsia="Arial Narrow" w:cs="Arial Narrow"/>
        </w:rPr>
        <w:t>Dobudovanie sústavy Natura 2000 sa týka len území európskeho významu (ÚEV), nakoľko národný zoznam CHVÚ je dostatočný a všetky CHVÚ sú aj vyhlásené. V priebehu roka 2018 sa uskutočnili bilaterálne rokovania s EK, na ktorých bola podrobne prerokovaná dostatočnosť národného zoznamu území európskeho významu. Dostatočnosť sa v roku 2018 zvýšila zo 75 % (r. 2012) na 91 %. V 07/2019 však EK zaslala Slovensku odôvodnené stanovisko a poskytla 2 mesiace na vysvetlenie, prečo nerozšírilo svoju sústavu Natura 2000 a nedodržiavalo tak povinnosti, ktoré mu vyplývajú zo smernice o biotopoch</w:t>
      </w:r>
      <w:r w:rsidRPr="00666914">
        <w:rPr>
          <w:rFonts w:eastAsia="Arial Narrow" w:cs="Arial Narrow"/>
          <w:sz w:val="24"/>
          <w:szCs w:val="24"/>
        </w:rPr>
        <w:t xml:space="preserve"> </w:t>
      </w:r>
      <w:r w:rsidRPr="00666914">
        <w:rPr>
          <w:rFonts w:eastAsia="Arial Narrow" w:cs="Arial Narrow"/>
        </w:rPr>
        <w:t>(smernica Rady 92/43/EHS</w:t>
      </w:r>
      <w:r w:rsidRPr="00666914">
        <w:rPr>
          <w:vertAlign w:val="superscript"/>
        </w:rPr>
        <w:footnoteReference w:id="297"/>
      </w:r>
      <w:r w:rsidRPr="00666914">
        <w:rPr>
          <w:rFonts w:eastAsia="Arial Narrow" w:cs="Arial Narrow"/>
        </w:rPr>
        <w:t xml:space="preserve">) pre všetky biotopy a druhy európskeho významu, ktoré EK považuje za nedostatočne zastúpené v národnom zozname ÚEV. SR odpovedala v 09/2019 a </w:t>
      </w:r>
      <w:r w:rsidRPr="00666914">
        <w:rPr>
          <w:rFonts w:eastAsia="Arial Narrow" w:cs="Arial Narrow"/>
        </w:rPr>
        <w:lastRenderedPageBreak/>
        <w:t xml:space="preserve">zaviazala sa časť nedostatkov odstrániť pri aktualizácii databázy Natura 2000 v 10/2019. V 11-12/2019 sa  konali rokovania s EK, odsúhlasenie záverov sa predpokladá v 1Q2020. </w:t>
      </w:r>
      <w:r w:rsidRPr="00666914">
        <w:rPr>
          <w:rFonts w:eastAsia="Arial Narrow" w:cs="Arial Narrow"/>
          <w:b/>
        </w:rPr>
        <w:t>Opatrenie je k 31.12.2019 čiastočne splnené.</w:t>
      </w:r>
    </w:p>
    <w:p w14:paraId="5CDF737B" w14:textId="77777777" w:rsidR="008E7D9E" w:rsidRPr="00666914" w:rsidRDefault="008E7D9E">
      <w:pPr>
        <w:spacing w:after="0"/>
        <w:rPr>
          <w:rFonts w:eastAsia="Arial Narrow" w:cs="Arial Narrow"/>
        </w:rPr>
      </w:pPr>
    </w:p>
    <w:p w14:paraId="035E0FE7" w14:textId="6118D0D4" w:rsidR="008E7D9E" w:rsidRPr="00666914" w:rsidRDefault="008E7D9E" w:rsidP="0012150E">
      <w:pPr>
        <w:spacing w:after="0"/>
        <w:rPr>
          <w:rFonts w:eastAsia="Arial Narrow" w:cs="Arial Narrow"/>
          <w:b/>
          <w:color w:val="000000"/>
          <w:sz w:val="20"/>
          <w:szCs w:val="20"/>
        </w:rPr>
      </w:pPr>
      <w:bookmarkStart w:id="346" w:name="_heading=h.qsh70q" w:colFirst="0" w:colLast="0"/>
      <w:bookmarkStart w:id="347" w:name="_Toc38447737"/>
      <w:bookmarkEnd w:id="346"/>
      <w:r w:rsidRPr="00666914">
        <w:rPr>
          <w:rFonts w:eastAsia="Arial Narrow" w:cs="Arial Narrow"/>
          <w:b/>
          <w:color w:val="000000"/>
          <w:sz w:val="20"/>
          <w:szCs w:val="20"/>
        </w:rPr>
        <w:t xml:space="preserve">Tabuľka </w:t>
      </w:r>
      <w:r w:rsidRPr="00666914">
        <w:rPr>
          <w:rFonts w:eastAsia="Arial Narrow" w:cs="Arial Narrow"/>
          <w:b/>
          <w:sz w:val="20"/>
          <w:szCs w:val="20"/>
        </w:rPr>
        <w:fldChar w:fldCharType="begin"/>
      </w:r>
      <w:r w:rsidRPr="00666914">
        <w:rPr>
          <w:rFonts w:eastAsia="Arial Narrow" w:cs="Arial Narrow"/>
          <w:b/>
          <w:sz w:val="20"/>
          <w:szCs w:val="20"/>
        </w:rPr>
        <w:instrText xml:space="preserve"> SEQ Tabuľka \* ARABIC \* MERGEFORMAT </w:instrText>
      </w:r>
      <w:r w:rsidRPr="00666914">
        <w:rPr>
          <w:rFonts w:eastAsia="Arial Narrow" w:cs="Arial Narrow"/>
          <w:b/>
          <w:sz w:val="20"/>
          <w:szCs w:val="20"/>
        </w:rPr>
        <w:fldChar w:fldCharType="separate"/>
      </w:r>
      <w:r w:rsidR="005A7304">
        <w:rPr>
          <w:rFonts w:eastAsia="Arial Narrow" w:cs="Arial Narrow"/>
          <w:b/>
          <w:noProof/>
          <w:sz w:val="20"/>
          <w:szCs w:val="20"/>
        </w:rPr>
        <w:t>76</w:t>
      </w:r>
      <w:r w:rsidRPr="00666914">
        <w:rPr>
          <w:rFonts w:eastAsia="Arial Narrow" w:cs="Arial Narrow"/>
          <w:b/>
          <w:sz w:val="20"/>
          <w:szCs w:val="20"/>
        </w:rPr>
        <w:fldChar w:fldCharType="end"/>
      </w:r>
      <w:r w:rsidRPr="00666914">
        <w:rPr>
          <w:rFonts w:eastAsia="Arial Narrow" w:cs="Arial Narrow"/>
          <w:b/>
          <w:color w:val="000000"/>
          <w:sz w:val="20"/>
          <w:szCs w:val="20"/>
        </w:rPr>
        <w:t>: Celková dostatočnosť národného zoznamu ÚEV podľa rokov</w:t>
      </w:r>
      <w:bookmarkEnd w:id="347"/>
    </w:p>
    <w:tbl>
      <w:tblPr>
        <w:tblW w:w="9072" w:type="dxa"/>
        <w:tblLayout w:type="fixed"/>
        <w:tblLook w:val="0400" w:firstRow="0" w:lastRow="0" w:firstColumn="0" w:lastColumn="0" w:noHBand="0" w:noVBand="1"/>
      </w:tblPr>
      <w:tblGrid>
        <w:gridCol w:w="9072"/>
      </w:tblGrid>
      <w:tr w:rsidR="008E7D9E" w:rsidRPr="00666914" w14:paraId="3E4F4D57" w14:textId="77777777">
        <w:trPr>
          <w:trHeight w:val="480"/>
        </w:trPr>
        <w:tc>
          <w:tcPr>
            <w:tcW w:w="9072" w:type="dxa"/>
            <w:tcBorders>
              <w:top w:val="nil"/>
              <w:left w:val="nil"/>
              <w:right w:val="nil"/>
            </w:tcBorders>
            <w:shd w:val="clear" w:color="auto" w:fill="auto"/>
            <w:vAlign w:val="bottom"/>
          </w:tcPr>
          <w:tbl>
            <w:tblPr>
              <w:tblW w:w="8932" w:type="dxa"/>
              <w:tblLayout w:type="fixed"/>
              <w:tblLook w:val="0400" w:firstRow="0" w:lastRow="0" w:firstColumn="0" w:lastColumn="0" w:noHBand="0" w:noVBand="1"/>
            </w:tblPr>
            <w:tblGrid>
              <w:gridCol w:w="7696"/>
              <w:gridCol w:w="1236"/>
            </w:tblGrid>
            <w:tr w:rsidR="008E7D9E" w:rsidRPr="00666914" w14:paraId="1D4219F2" w14:textId="77777777" w:rsidTr="00604631">
              <w:trPr>
                <w:trHeight w:val="225"/>
              </w:trPr>
              <w:tc>
                <w:tcPr>
                  <w:tcW w:w="7696" w:type="dxa"/>
                  <w:tcBorders>
                    <w:top w:val="single" w:sz="4" w:space="0" w:color="000000"/>
                    <w:left w:val="nil"/>
                    <w:bottom w:val="single" w:sz="4" w:space="0" w:color="000000"/>
                    <w:right w:val="nil"/>
                  </w:tcBorders>
                  <w:shd w:val="clear" w:color="auto" w:fill="auto"/>
                  <w:vAlign w:val="bottom"/>
                </w:tcPr>
                <w:p w14:paraId="467EBC8A" w14:textId="77777777" w:rsidR="008E7D9E" w:rsidRPr="00666914" w:rsidRDefault="008E7D9E">
                  <w:pPr>
                    <w:spacing w:after="0"/>
                    <w:rPr>
                      <w:rFonts w:eastAsia="Arial Narrow" w:cs="Arial Narrow"/>
                      <w:b/>
                      <w:sz w:val="20"/>
                      <w:szCs w:val="20"/>
                    </w:rPr>
                  </w:pPr>
                  <w:r w:rsidRPr="00666914">
                    <w:rPr>
                      <w:rFonts w:eastAsia="Arial Narrow" w:cs="Arial Narrow"/>
                      <w:b/>
                      <w:color w:val="000000"/>
                      <w:sz w:val="20"/>
                      <w:szCs w:val="20"/>
                    </w:rPr>
                    <w:t>Rok</w:t>
                  </w:r>
                </w:p>
              </w:tc>
              <w:tc>
                <w:tcPr>
                  <w:tcW w:w="1236" w:type="dxa"/>
                  <w:tcBorders>
                    <w:top w:val="single" w:sz="4" w:space="0" w:color="000000"/>
                    <w:left w:val="nil"/>
                    <w:bottom w:val="single" w:sz="4" w:space="0" w:color="000000"/>
                    <w:right w:val="nil"/>
                  </w:tcBorders>
                  <w:shd w:val="clear" w:color="auto" w:fill="auto"/>
                  <w:vAlign w:val="bottom"/>
                </w:tcPr>
                <w:p w14:paraId="0713CA3C"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Podiel</w:t>
                  </w:r>
                </w:p>
              </w:tc>
            </w:tr>
            <w:tr w:rsidR="008E7D9E" w:rsidRPr="00666914" w14:paraId="57C02E03" w14:textId="77777777" w:rsidTr="00604631">
              <w:trPr>
                <w:trHeight w:val="306"/>
              </w:trPr>
              <w:tc>
                <w:tcPr>
                  <w:tcW w:w="7696" w:type="dxa"/>
                  <w:tcBorders>
                    <w:top w:val="single" w:sz="4" w:space="0" w:color="000000"/>
                    <w:left w:val="nil"/>
                    <w:bottom w:val="nil"/>
                    <w:right w:val="nil"/>
                  </w:tcBorders>
                  <w:shd w:val="clear" w:color="auto" w:fill="auto"/>
                  <w:vAlign w:val="center"/>
                </w:tcPr>
                <w:p w14:paraId="0BEA0A98" w14:textId="33D387F5" w:rsidR="008E7D9E" w:rsidRPr="00666914" w:rsidRDefault="008E7D9E" w:rsidP="0077174C">
                  <w:pPr>
                    <w:spacing w:after="0"/>
                    <w:jc w:val="left"/>
                    <w:rPr>
                      <w:rFonts w:eastAsia="Arial Narrow" w:cs="Arial Narrow"/>
                      <w:color w:val="000000"/>
                      <w:sz w:val="20"/>
                      <w:szCs w:val="20"/>
                    </w:rPr>
                  </w:pPr>
                  <w:r w:rsidRPr="00666914">
                    <w:rPr>
                      <w:rFonts w:eastAsia="Arial Narrow" w:cs="Arial Narrow"/>
                      <w:color w:val="000000"/>
                      <w:sz w:val="20"/>
                      <w:szCs w:val="20"/>
                    </w:rPr>
                    <w:t>2005</w:t>
                  </w:r>
                </w:p>
              </w:tc>
              <w:tc>
                <w:tcPr>
                  <w:tcW w:w="1236" w:type="dxa"/>
                  <w:tcBorders>
                    <w:top w:val="nil"/>
                    <w:left w:val="nil"/>
                    <w:bottom w:val="nil"/>
                    <w:right w:val="nil"/>
                  </w:tcBorders>
                  <w:shd w:val="clear" w:color="auto" w:fill="auto"/>
                  <w:vAlign w:val="center"/>
                </w:tcPr>
                <w:p w14:paraId="2CA52D1B"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56 %</w:t>
                  </w:r>
                </w:p>
              </w:tc>
            </w:tr>
            <w:tr w:rsidR="008E7D9E" w:rsidRPr="00666914" w14:paraId="4C8497D5" w14:textId="77777777" w:rsidTr="00604631">
              <w:trPr>
                <w:trHeight w:val="306"/>
              </w:trPr>
              <w:tc>
                <w:tcPr>
                  <w:tcW w:w="7696" w:type="dxa"/>
                  <w:tcBorders>
                    <w:top w:val="nil"/>
                    <w:left w:val="nil"/>
                    <w:right w:val="nil"/>
                  </w:tcBorders>
                  <w:shd w:val="clear" w:color="auto" w:fill="auto"/>
                  <w:vAlign w:val="center"/>
                </w:tcPr>
                <w:p w14:paraId="02B214B1" w14:textId="55139E3D" w:rsidR="008E7D9E" w:rsidRPr="00666914" w:rsidRDefault="008E7D9E" w:rsidP="0077174C">
                  <w:pPr>
                    <w:spacing w:after="0"/>
                    <w:jc w:val="left"/>
                    <w:rPr>
                      <w:rFonts w:eastAsia="Arial Narrow" w:cs="Arial Narrow"/>
                      <w:color w:val="000000"/>
                      <w:sz w:val="20"/>
                      <w:szCs w:val="20"/>
                    </w:rPr>
                  </w:pPr>
                  <w:r w:rsidRPr="00666914">
                    <w:rPr>
                      <w:rFonts w:eastAsia="Arial Narrow" w:cs="Arial Narrow"/>
                      <w:color w:val="000000"/>
                      <w:sz w:val="20"/>
                      <w:szCs w:val="20"/>
                    </w:rPr>
                    <w:t>2012</w:t>
                  </w:r>
                </w:p>
              </w:tc>
              <w:tc>
                <w:tcPr>
                  <w:tcW w:w="1236" w:type="dxa"/>
                  <w:tcBorders>
                    <w:top w:val="nil"/>
                    <w:left w:val="nil"/>
                    <w:right w:val="nil"/>
                  </w:tcBorders>
                  <w:shd w:val="clear" w:color="auto" w:fill="auto"/>
                  <w:vAlign w:val="center"/>
                </w:tcPr>
                <w:p w14:paraId="04D0777D"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75 %</w:t>
                  </w:r>
                </w:p>
              </w:tc>
            </w:tr>
            <w:tr w:rsidR="008E7D9E" w:rsidRPr="00666914" w14:paraId="39667F6A" w14:textId="77777777" w:rsidTr="00604631">
              <w:trPr>
                <w:trHeight w:val="306"/>
              </w:trPr>
              <w:tc>
                <w:tcPr>
                  <w:tcW w:w="7696" w:type="dxa"/>
                  <w:tcBorders>
                    <w:top w:val="nil"/>
                    <w:left w:val="nil"/>
                    <w:bottom w:val="single" w:sz="4" w:space="0" w:color="000000"/>
                    <w:right w:val="nil"/>
                  </w:tcBorders>
                  <w:shd w:val="clear" w:color="auto" w:fill="auto"/>
                  <w:vAlign w:val="center"/>
                </w:tcPr>
                <w:p w14:paraId="15C1914D" w14:textId="6CAA7B00" w:rsidR="008E7D9E" w:rsidRPr="00666914" w:rsidRDefault="008E7D9E" w:rsidP="0077174C">
                  <w:pPr>
                    <w:spacing w:after="0"/>
                    <w:jc w:val="left"/>
                    <w:rPr>
                      <w:rFonts w:eastAsia="Arial Narrow" w:cs="Arial Narrow"/>
                      <w:color w:val="000000"/>
                      <w:sz w:val="20"/>
                      <w:szCs w:val="20"/>
                    </w:rPr>
                  </w:pPr>
                  <w:r w:rsidRPr="00666914">
                    <w:rPr>
                      <w:rFonts w:eastAsia="Arial Narrow" w:cs="Arial Narrow"/>
                      <w:color w:val="000000"/>
                      <w:sz w:val="20"/>
                      <w:szCs w:val="20"/>
                    </w:rPr>
                    <w:t>2018</w:t>
                  </w:r>
                </w:p>
              </w:tc>
              <w:tc>
                <w:tcPr>
                  <w:tcW w:w="1236" w:type="dxa"/>
                  <w:tcBorders>
                    <w:top w:val="nil"/>
                    <w:left w:val="nil"/>
                    <w:bottom w:val="single" w:sz="4" w:space="0" w:color="000000"/>
                    <w:right w:val="nil"/>
                  </w:tcBorders>
                  <w:shd w:val="clear" w:color="auto" w:fill="auto"/>
                  <w:vAlign w:val="center"/>
                </w:tcPr>
                <w:p w14:paraId="3DEFF3BD" w14:textId="77777777" w:rsidR="008E7D9E" w:rsidRPr="00666914" w:rsidRDefault="008E7D9E" w:rsidP="0077174C">
                  <w:pPr>
                    <w:spacing w:after="0"/>
                    <w:jc w:val="center"/>
                    <w:rPr>
                      <w:rFonts w:eastAsia="Arial Narrow" w:cs="Arial Narrow"/>
                      <w:color w:val="000000"/>
                      <w:sz w:val="20"/>
                      <w:szCs w:val="20"/>
                    </w:rPr>
                  </w:pPr>
                  <w:r w:rsidRPr="00666914">
                    <w:rPr>
                      <w:rFonts w:eastAsia="Arial Narrow" w:cs="Arial Narrow"/>
                      <w:color w:val="000000"/>
                      <w:sz w:val="20"/>
                      <w:szCs w:val="20"/>
                    </w:rPr>
                    <w:t>91 %</w:t>
                  </w:r>
                </w:p>
              </w:tc>
            </w:tr>
          </w:tbl>
          <w:p w14:paraId="2C32D29C" w14:textId="77777777" w:rsidR="008E7D9E" w:rsidRPr="00666914" w:rsidRDefault="008E7D9E">
            <w:pPr>
              <w:spacing w:after="0"/>
              <w:jc w:val="right"/>
              <w:rPr>
                <w:rFonts w:eastAsia="Arial Narrow" w:cs="Arial Narrow"/>
                <w:b/>
                <w:i/>
                <w:sz w:val="18"/>
                <w:szCs w:val="18"/>
              </w:rPr>
            </w:pPr>
            <w:r w:rsidRPr="00666914">
              <w:rPr>
                <w:rFonts w:eastAsia="Arial Narrow" w:cs="Arial Narrow"/>
                <w:i/>
                <w:sz w:val="18"/>
                <w:szCs w:val="18"/>
              </w:rPr>
              <w:t xml:space="preserve">Zdroj: ŠOP SR </w:t>
            </w:r>
          </w:p>
          <w:p w14:paraId="34C680FE" w14:textId="77777777" w:rsidR="008E7D9E" w:rsidRPr="00666914" w:rsidRDefault="008E7D9E">
            <w:pPr>
              <w:spacing w:after="0"/>
              <w:rPr>
                <w:rFonts w:eastAsia="Arial Narrow" w:cs="Arial Narrow"/>
                <w:b/>
                <w:sz w:val="20"/>
                <w:szCs w:val="20"/>
              </w:rPr>
            </w:pPr>
          </w:p>
        </w:tc>
      </w:tr>
    </w:tbl>
    <w:p w14:paraId="368A70A1" w14:textId="77777777" w:rsidR="008E7D9E" w:rsidRPr="00666914" w:rsidRDefault="008E7D9E" w:rsidP="00131B23">
      <w:pPr>
        <w:numPr>
          <w:ilvl w:val="0"/>
          <w:numId w:val="25"/>
        </w:numPr>
        <w:spacing w:after="0"/>
        <w:rPr>
          <w:rFonts w:eastAsia="Arial Narrow" w:cs="Arial Narrow"/>
          <w:b/>
          <w:u w:val="single"/>
        </w:rPr>
      </w:pPr>
      <w:r w:rsidRPr="00666914">
        <w:rPr>
          <w:rFonts w:eastAsia="Arial Narrow" w:cs="Arial Narrow"/>
          <w:b/>
          <w:u w:val="single"/>
        </w:rPr>
        <w:t>Vypracovať a zverejniť investičný plán MŽP, bez ohľadu na zdroj financovania</w:t>
      </w:r>
    </w:p>
    <w:p w14:paraId="780FA84D" w14:textId="77777777" w:rsidR="008E7D9E" w:rsidRPr="00666914" w:rsidRDefault="008E7D9E">
      <w:pPr>
        <w:spacing w:after="0"/>
        <w:ind w:left="720"/>
        <w:rPr>
          <w:rFonts w:eastAsia="Arial Narrow" w:cs="Arial Narrow"/>
          <w:b/>
          <w:u w:val="single"/>
        </w:rPr>
      </w:pPr>
    </w:p>
    <w:p w14:paraId="422021DB" w14:textId="6ED43E61" w:rsidR="008E7D9E" w:rsidRPr="00666914" w:rsidRDefault="008E7D9E" w:rsidP="00D77DE4">
      <w:pPr>
        <w:rPr>
          <w:rFonts w:eastAsia="Arial Narrow" w:cs="Arial Narrow"/>
          <w:b/>
          <w:u w:val="single"/>
        </w:rPr>
      </w:pPr>
      <w:r w:rsidRPr="00666914">
        <w:rPr>
          <w:rFonts w:eastAsia="Arial Narrow" w:cs="Arial Narrow"/>
        </w:rPr>
        <w:t xml:space="preserve">Aktualizácia investičného plánu kapitoly MŽP SR na roky 2019 až 2021 ku 30.9.2019 bola zverejnená na </w:t>
      </w:r>
      <w:sdt>
        <w:sdtPr>
          <w:tag w:val="goog_rdk_79"/>
          <w:id w:val="656188893"/>
        </w:sdtPr>
        <w:sdtEndPr/>
        <w:sdtContent/>
      </w:sdt>
      <w:r w:rsidRPr="00666914">
        <w:rPr>
          <w:rFonts w:eastAsia="Arial Narrow" w:cs="Arial Narrow"/>
        </w:rPr>
        <w:t>webovej stránke MŽP SR</w:t>
      </w:r>
      <w:r w:rsidRPr="00666914">
        <w:rPr>
          <w:rFonts w:eastAsia="Arial Narrow" w:cs="Arial Narrow"/>
          <w:vertAlign w:val="superscript"/>
        </w:rPr>
        <w:footnoteReference w:id="298"/>
      </w:r>
      <w:r w:rsidRPr="00666914">
        <w:rPr>
          <w:rFonts w:eastAsia="Arial Narrow" w:cs="Arial Narrow"/>
        </w:rPr>
        <w:t xml:space="preserve">. </w:t>
      </w:r>
      <w:r w:rsidRPr="00666914">
        <w:rPr>
          <w:rFonts w:eastAsia="Arial Narrow" w:cs="Arial Narrow"/>
          <w:b/>
        </w:rPr>
        <w:t>Opatrenie sa 31.12.2019 nevyhodnocuje.</w:t>
      </w:r>
    </w:p>
    <w:p w14:paraId="65BF99A3" w14:textId="77777777" w:rsidR="008E7D9E" w:rsidRPr="00666914" w:rsidRDefault="008E7D9E" w:rsidP="00131B23">
      <w:pPr>
        <w:numPr>
          <w:ilvl w:val="0"/>
          <w:numId w:val="25"/>
        </w:numPr>
        <w:spacing w:after="80" w:line="276" w:lineRule="auto"/>
        <w:rPr>
          <w:rFonts w:eastAsia="Arial Narrow" w:cs="Arial Narrow"/>
          <w:b/>
          <w:u w:val="single"/>
        </w:rPr>
      </w:pPr>
      <w:r w:rsidRPr="00666914">
        <w:rPr>
          <w:rFonts w:eastAsia="Arial Narrow" w:cs="Arial Narrow"/>
          <w:b/>
          <w:u w:val="single"/>
        </w:rPr>
        <w:t>Pre všetky investície nad 30 mil. eur (nad 10 mil. eur v informatizácii) vypracovať štúdiu uskutočniteľnosti a analýzu nákladov a prínosov. Zverejňovať štúdie uskutočniteľnosti pred schválením významných investícií</w:t>
      </w:r>
    </w:p>
    <w:p w14:paraId="7E8D967F" w14:textId="2CCAF5E2" w:rsidR="008E7D9E" w:rsidRPr="00666914" w:rsidRDefault="008E7D9E" w:rsidP="00FA139E">
      <w:pPr>
        <w:spacing w:before="80" w:line="276" w:lineRule="auto"/>
        <w:rPr>
          <w:rFonts w:eastAsia="Arial Narrow" w:cs="Arial Narrow"/>
        </w:rPr>
      </w:pPr>
      <w:r w:rsidRPr="00666914">
        <w:rPr>
          <w:rFonts w:eastAsia="Arial Narrow" w:cs="Arial Narrow"/>
        </w:rPr>
        <w:t>MŽP SR nemalo v 2H 2019 investičné aktivity nad 30 mil. eur (nad</w:t>
      </w:r>
      <w:r w:rsidR="000644F2" w:rsidRPr="00666914">
        <w:rPr>
          <w:rFonts w:eastAsia="Arial Narrow" w:cs="Arial Narrow"/>
        </w:rPr>
        <w:t xml:space="preserve"> 10 mil. eur v informatizácii).</w:t>
      </w:r>
    </w:p>
    <w:p w14:paraId="18D37DA7" w14:textId="77777777" w:rsidR="008E7D9E" w:rsidRPr="00666914" w:rsidRDefault="008E7D9E" w:rsidP="00131B23">
      <w:pPr>
        <w:numPr>
          <w:ilvl w:val="0"/>
          <w:numId w:val="25"/>
        </w:numPr>
        <w:spacing w:after="80" w:line="276" w:lineRule="auto"/>
        <w:rPr>
          <w:rFonts w:eastAsia="Arial Narrow" w:cs="Arial Narrow"/>
          <w:b/>
          <w:u w:val="single"/>
        </w:rPr>
      </w:pPr>
      <w:r w:rsidRPr="00666914">
        <w:rPr>
          <w:rFonts w:eastAsia="Arial Narrow" w:cs="Arial Narrow"/>
          <w:b/>
          <w:u w:val="single"/>
        </w:rPr>
        <w:t xml:space="preserve">Riadiť sa pri spracovaní analýz nákladov a prínosov platným Rámcom hodnotenia verejných investícií </w:t>
      </w:r>
    </w:p>
    <w:p w14:paraId="778ABF29" w14:textId="7E9BCEC3" w:rsidR="008E7D9E" w:rsidRPr="00666914" w:rsidRDefault="008E7D9E" w:rsidP="00FA139E">
      <w:pPr>
        <w:spacing w:before="80" w:line="276" w:lineRule="auto"/>
        <w:rPr>
          <w:rFonts w:eastAsia="Arial Narrow" w:cs="Arial Narrow"/>
          <w:b/>
        </w:rPr>
      </w:pPr>
      <w:r w:rsidRPr="00666914">
        <w:rPr>
          <w:rFonts w:eastAsia="Arial Narrow" w:cs="Arial Narrow"/>
        </w:rPr>
        <w:t>MŽP SR nemalo v 2H 2019 investičné aktivity nad 30 mil. eur (nad</w:t>
      </w:r>
      <w:r w:rsidR="000644F2" w:rsidRPr="00666914">
        <w:rPr>
          <w:rFonts w:eastAsia="Arial Narrow" w:cs="Arial Narrow"/>
        </w:rPr>
        <w:t xml:space="preserve"> 10 mil. eur v informatizácii).</w:t>
      </w:r>
    </w:p>
    <w:p w14:paraId="20D47837" w14:textId="77777777" w:rsidR="008E7D9E" w:rsidRPr="00666914" w:rsidRDefault="008E7D9E" w:rsidP="00131B23">
      <w:pPr>
        <w:numPr>
          <w:ilvl w:val="0"/>
          <w:numId w:val="25"/>
        </w:numPr>
        <w:spacing w:after="0"/>
        <w:rPr>
          <w:rFonts w:eastAsia="Arial Narrow" w:cs="Arial Narrow"/>
          <w:b/>
          <w:u w:val="single"/>
        </w:rPr>
      </w:pPr>
      <w:r w:rsidRPr="00666914">
        <w:rPr>
          <w:rFonts w:eastAsia="Arial Narrow" w:cs="Arial Narrow"/>
          <w:b/>
          <w:u w:val="single"/>
        </w:rPr>
        <w:t>Stanoviť a sledovať nákladovosť a výkonnosť informačných systémov, vrátane podriadených organizácií</w:t>
      </w:r>
    </w:p>
    <w:p w14:paraId="3A880C8E" w14:textId="7C17F7D9" w:rsidR="008E7D9E" w:rsidRPr="00666914" w:rsidRDefault="008E7D9E" w:rsidP="00FA139E">
      <w:pPr>
        <w:spacing w:before="240"/>
        <w:rPr>
          <w:rFonts w:eastAsia="Arial Narrow" w:cs="Arial Narrow"/>
        </w:rPr>
      </w:pPr>
      <w:r w:rsidRPr="00666914">
        <w:rPr>
          <w:rFonts w:eastAsia="Arial Narrow" w:cs="Arial Narrow"/>
        </w:rPr>
        <w:t xml:space="preserve">MŽP SR sleduje a zasiela IJ nákladovosť informačných systémov v rezorte na kvartálnej báze. V rovnakej periodicite sleduje vybrané KPI (ako napr. dostupnosť IS alebo počet užívateľov) k daným informačným systémom. </w:t>
      </w:r>
      <w:r w:rsidRPr="00666914">
        <w:rPr>
          <w:rFonts w:eastAsia="Arial Narrow" w:cs="Arial Narrow"/>
          <w:b/>
        </w:rPr>
        <w:t>Opatrenie sa k 31.12.2019 plní.</w:t>
      </w:r>
    </w:p>
    <w:p w14:paraId="10566AFF" w14:textId="77777777" w:rsidR="008E7D9E" w:rsidRPr="00666914" w:rsidRDefault="008E7D9E" w:rsidP="00131B23">
      <w:pPr>
        <w:numPr>
          <w:ilvl w:val="0"/>
          <w:numId w:val="25"/>
        </w:numPr>
        <w:spacing w:after="0"/>
        <w:rPr>
          <w:rFonts w:eastAsia="Arial Narrow" w:cs="Arial Narrow"/>
          <w:b/>
          <w:u w:val="single"/>
        </w:rPr>
      </w:pPr>
      <w:r w:rsidRPr="00666914">
        <w:rPr>
          <w:rFonts w:eastAsia="Arial Narrow" w:cs="Arial Narrow"/>
          <w:b/>
          <w:u w:val="single"/>
        </w:rPr>
        <w:t>Vypracovať plán migrácie IS do vládneho cloudu</w:t>
      </w:r>
    </w:p>
    <w:p w14:paraId="5E537015" w14:textId="77777777" w:rsidR="008E7D9E" w:rsidRPr="00666914" w:rsidRDefault="008E7D9E">
      <w:pPr>
        <w:spacing w:after="0"/>
        <w:rPr>
          <w:rFonts w:eastAsia="Arial Narrow" w:cs="Arial Narrow"/>
        </w:rPr>
      </w:pPr>
    </w:p>
    <w:p w14:paraId="41FFBF5A" w14:textId="7448FA0A" w:rsidR="002578F1" w:rsidRPr="00666914" w:rsidRDefault="008E7D9E">
      <w:pPr>
        <w:spacing w:after="0"/>
        <w:rPr>
          <w:rFonts w:eastAsia="Arial Narrow" w:cs="Arial Narrow"/>
          <w:b/>
        </w:rPr>
      </w:pPr>
      <w:r w:rsidRPr="00666914">
        <w:rPr>
          <w:rFonts w:eastAsia="Arial Narrow" w:cs="Arial Narrow"/>
        </w:rPr>
        <w:t xml:space="preserve">MŽP SR zaslalo v roku 2019 materiál „Plán migrácie informačných systémov rezortu Ministerstva životného prostredia do prostredia vládneho cloudu“. Daný plán migrácie obsahuje informácie o informačných systémoch, ako aj časový harmonogram migrácie, neodzrkadľoval však finančnú náročnosť migrácie týchto systémov. Náklady informačných systémov sleduje MŽP SR na kvartálnej báze v opatrení č. 17. Plán migrácie MŽP SR bol koncom roka 2019 zaslaný aj na ÚPVII, avšak zatiaľ nedostal rezort žiadnu informáciu o akceptovaní plánu migrácie od ÚPVII. </w:t>
      </w:r>
      <w:r w:rsidRPr="00666914">
        <w:rPr>
          <w:rFonts w:eastAsia="Arial Narrow" w:cs="Arial Narrow"/>
          <w:b/>
        </w:rPr>
        <w:t>Opatrenie je z dôvodu chýbajúcemu vyčísleniu finančnej náročnosti migrácie IS k 31.12.2019 splnené čiastočne.</w:t>
      </w:r>
    </w:p>
    <w:p w14:paraId="2EAD3CDB" w14:textId="77777777" w:rsidR="002578F1" w:rsidRPr="00666914" w:rsidRDefault="002578F1">
      <w:pPr>
        <w:spacing w:after="0"/>
        <w:jc w:val="left"/>
        <w:rPr>
          <w:rFonts w:eastAsia="Arial Narrow" w:cs="Arial Narrow"/>
          <w:b/>
        </w:rPr>
      </w:pPr>
      <w:r w:rsidRPr="00666914">
        <w:rPr>
          <w:rFonts w:eastAsia="Arial Narrow" w:cs="Arial Narrow"/>
          <w:b/>
        </w:rPr>
        <w:br w:type="page"/>
      </w:r>
    </w:p>
    <w:p w14:paraId="00F89AEB" w14:textId="77777777" w:rsidR="008E7D9E" w:rsidRPr="00666914" w:rsidRDefault="008E7D9E" w:rsidP="008E7D9E">
      <w:pPr>
        <w:pStyle w:val="Nadpis2"/>
        <w:rPr>
          <w:rFonts w:eastAsia="Arial Narrow"/>
        </w:rPr>
      </w:pPr>
      <w:bookmarkStart w:id="348" w:name="_heading=h.3as4poj" w:colFirst="0" w:colLast="0"/>
      <w:bookmarkStart w:id="349" w:name="_Toc38447613"/>
      <w:bookmarkEnd w:id="348"/>
      <w:r w:rsidRPr="00666914">
        <w:rPr>
          <w:rFonts w:eastAsia="Arial Narrow"/>
        </w:rPr>
        <w:lastRenderedPageBreak/>
        <w:t>Dáta a metodika</w:t>
      </w:r>
      <w:bookmarkEnd w:id="349"/>
    </w:p>
    <w:tbl>
      <w:tblPr>
        <w:tblW w:w="9403" w:type="dxa"/>
        <w:tblLayout w:type="fixed"/>
        <w:tblLook w:val="0400" w:firstRow="0" w:lastRow="0" w:firstColumn="0" w:lastColumn="0" w:noHBand="0" w:noVBand="1"/>
      </w:tblPr>
      <w:tblGrid>
        <w:gridCol w:w="416"/>
        <w:gridCol w:w="3402"/>
        <w:gridCol w:w="1417"/>
        <w:gridCol w:w="850"/>
        <w:gridCol w:w="993"/>
        <w:gridCol w:w="581"/>
        <w:gridCol w:w="581"/>
        <w:gridCol w:w="581"/>
        <w:gridCol w:w="582"/>
      </w:tblGrid>
      <w:tr w:rsidR="008E7D9E" w:rsidRPr="00666914" w14:paraId="052BD51C" w14:textId="77777777" w:rsidTr="00254A5B">
        <w:trPr>
          <w:trHeight w:val="306"/>
        </w:trPr>
        <w:tc>
          <w:tcPr>
            <w:tcW w:w="4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5BD3EE"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 </w:t>
            </w:r>
          </w:p>
        </w:tc>
        <w:tc>
          <w:tcPr>
            <w:tcW w:w="3402" w:type="dxa"/>
            <w:tcBorders>
              <w:top w:val="single" w:sz="4" w:space="0" w:color="000000"/>
              <w:left w:val="nil"/>
              <w:bottom w:val="single" w:sz="4" w:space="0" w:color="000000"/>
              <w:right w:val="single" w:sz="4" w:space="0" w:color="000000"/>
            </w:tcBorders>
            <w:shd w:val="clear" w:color="auto" w:fill="auto"/>
            <w:vAlign w:val="center"/>
          </w:tcPr>
          <w:p w14:paraId="49DE31E5"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Opatrenie</w:t>
            </w: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6C2CFABA"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Zodpovednosť</w:t>
            </w:r>
          </w:p>
        </w:tc>
        <w:tc>
          <w:tcPr>
            <w:tcW w:w="850" w:type="dxa"/>
            <w:tcBorders>
              <w:top w:val="single" w:sz="4" w:space="0" w:color="000000"/>
              <w:left w:val="nil"/>
              <w:bottom w:val="single" w:sz="4" w:space="0" w:color="000000"/>
              <w:right w:val="single" w:sz="4" w:space="0" w:color="000000"/>
            </w:tcBorders>
            <w:shd w:val="clear" w:color="auto" w:fill="auto"/>
            <w:vAlign w:val="center"/>
          </w:tcPr>
          <w:p w14:paraId="149B97ED"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Termín plnenia</w:t>
            </w:r>
          </w:p>
        </w:tc>
        <w:tc>
          <w:tcPr>
            <w:tcW w:w="993" w:type="dxa"/>
            <w:tcBorders>
              <w:top w:val="single" w:sz="4" w:space="0" w:color="000000"/>
              <w:left w:val="nil"/>
              <w:bottom w:val="single" w:sz="4" w:space="0" w:color="000000"/>
              <w:right w:val="single" w:sz="4" w:space="0" w:color="000000"/>
            </w:tcBorders>
          </w:tcPr>
          <w:p w14:paraId="3020175F"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Nový termín plnenia</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D5ACC"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1Q 2019</w:t>
            </w:r>
          </w:p>
        </w:tc>
        <w:tc>
          <w:tcPr>
            <w:tcW w:w="581" w:type="dxa"/>
            <w:tcBorders>
              <w:top w:val="single" w:sz="4" w:space="0" w:color="000000"/>
              <w:left w:val="nil"/>
              <w:bottom w:val="single" w:sz="4" w:space="0" w:color="000000"/>
              <w:right w:val="single" w:sz="4" w:space="0" w:color="000000"/>
            </w:tcBorders>
            <w:shd w:val="clear" w:color="auto" w:fill="auto"/>
            <w:vAlign w:val="center"/>
          </w:tcPr>
          <w:p w14:paraId="1901224C"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2Q 2019</w:t>
            </w:r>
          </w:p>
        </w:tc>
        <w:tc>
          <w:tcPr>
            <w:tcW w:w="581" w:type="dxa"/>
            <w:tcBorders>
              <w:top w:val="single" w:sz="4" w:space="0" w:color="000000"/>
              <w:left w:val="nil"/>
              <w:bottom w:val="single" w:sz="4" w:space="0" w:color="000000"/>
              <w:right w:val="single" w:sz="4" w:space="0" w:color="000000"/>
            </w:tcBorders>
            <w:shd w:val="clear" w:color="auto" w:fill="auto"/>
            <w:vAlign w:val="center"/>
          </w:tcPr>
          <w:p w14:paraId="5B8D7D72"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3Q 2019</w:t>
            </w:r>
          </w:p>
        </w:tc>
        <w:tc>
          <w:tcPr>
            <w:tcW w:w="582" w:type="dxa"/>
            <w:tcBorders>
              <w:top w:val="single" w:sz="4" w:space="0" w:color="000000"/>
              <w:left w:val="nil"/>
              <w:bottom w:val="single" w:sz="4" w:space="0" w:color="000000"/>
              <w:right w:val="single" w:sz="4" w:space="0" w:color="000000"/>
            </w:tcBorders>
            <w:shd w:val="clear" w:color="auto" w:fill="auto"/>
            <w:vAlign w:val="center"/>
          </w:tcPr>
          <w:p w14:paraId="5E127553"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4Q 2019</w:t>
            </w:r>
          </w:p>
        </w:tc>
      </w:tr>
      <w:tr w:rsidR="008E7D9E" w:rsidRPr="00666914" w14:paraId="522C96D8" w14:textId="77777777" w:rsidTr="00254A5B">
        <w:trPr>
          <w:trHeight w:val="286"/>
        </w:trPr>
        <w:tc>
          <w:tcPr>
            <w:tcW w:w="416" w:type="dxa"/>
            <w:tcBorders>
              <w:top w:val="nil"/>
              <w:left w:val="single" w:sz="8" w:space="0" w:color="000000"/>
              <w:bottom w:val="single" w:sz="4" w:space="0" w:color="000000"/>
              <w:right w:val="single" w:sz="4" w:space="0" w:color="000000"/>
            </w:tcBorders>
            <w:shd w:val="clear" w:color="auto" w:fill="auto"/>
            <w:vAlign w:val="center"/>
          </w:tcPr>
          <w:p w14:paraId="7D9B527C"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19</w:t>
            </w:r>
          </w:p>
        </w:tc>
        <w:tc>
          <w:tcPr>
            <w:tcW w:w="3402" w:type="dxa"/>
            <w:tcBorders>
              <w:top w:val="nil"/>
              <w:left w:val="nil"/>
              <w:bottom w:val="single" w:sz="4" w:space="0" w:color="000000"/>
              <w:right w:val="single" w:sz="4" w:space="0" w:color="000000"/>
            </w:tcBorders>
            <w:shd w:val="clear" w:color="auto" w:fill="auto"/>
            <w:vAlign w:val="center"/>
          </w:tcPr>
          <w:p w14:paraId="4AB84B8B"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Upraviť metodiku prioritizácie environmentálnych záťaží najmä na základe vplyvov na obyvateľstvo a životné prostredie</w:t>
            </w:r>
          </w:p>
        </w:tc>
        <w:tc>
          <w:tcPr>
            <w:tcW w:w="1417" w:type="dxa"/>
            <w:tcBorders>
              <w:top w:val="nil"/>
              <w:left w:val="nil"/>
              <w:bottom w:val="single" w:sz="4" w:space="0" w:color="000000"/>
              <w:right w:val="single" w:sz="4" w:space="0" w:color="000000"/>
            </w:tcBorders>
            <w:shd w:val="clear" w:color="auto" w:fill="auto"/>
            <w:vAlign w:val="center"/>
          </w:tcPr>
          <w:p w14:paraId="1B36EDF0"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w:t>
            </w:r>
          </w:p>
        </w:tc>
        <w:tc>
          <w:tcPr>
            <w:tcW w:w="850" w:type="dxa"/>
            <w:tcBorders>
              <w:top w:val="nil"/>
              <w:left w:val="nil"/>
              <w:bottom w:val="single" w:sz="4" w:space="0" w:color="000000"/>
              <w:right w:val="single" w:sz="4" w:space="0" w:color="000000"/>
            </w:tcBorders>
            <w:shd w:val="clear" w:color="auto" w:fill="auto"/>
            <w:vAlign w:val="center"/>
          </w:tcPr>
          <w:p w14:paraId="2552CCE2"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w:t>
            </w:r>
          </w:p>
        </w:tc>
        <w:tc>
          <w:tcPr>
            <w:tcW w:w="993" w:type="dxa"/>
            <w:tcBorders>
              <w:top w:val="single" w:sz="4" w:space="0" w:color="000000"/>
              <w:left w:val="nil"/>
              <w:bottom w:val="single" w:sz="4" w:space="0" w:color="000000"/>
              <w:right w:val="single" w:sz="4" w:space="0" w:color="000000"/>
            </w:tcBorders>
            <w:vAlign w:val="center"/>
          </w:tcPr>
          <w:p w14:paraId="748AB285"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06/2019</w:t>
            </w:r>
          </w:p>
        </w:tc>
        <w:tc>
          <w:tcPr>
            <w:tcW w:w="581" w:type="dxa"/>
            <w:tcBorders>
              <w:top w:val="nil"/>
              <w:left w:val="single" w:sz="4" w:space="0" w:color="000000"/>
              <w:bottom w:val="single" w:sz="4" w:space="0" w:color="000000"/>
              <w:right w:val="single" w:sz="4" w:space="0" w:color="000000"/>
            </w:tcBorders>
            <w:shd w:val="clear" w:color="auto" w:fill="FF0000"/>
            <w:vAlign w:val="bottom"/>
          </w:tcPr>
          <w:p w14:paraId="07EF8FE8"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581" w:type="dxa"/>
            <w:tcBorders>
              <w:top w:val="nil"/>
              <w:left w:val="nil"/>
              <w:bottom w:val="single" w:sz="4" w:space="0" w:color="000000"/>
              <w:right w:val="single" w:sz="4" w:space="0" w:color="000000"/>
            </w:tcBorders>
            <w:shd w:val="clear" w:color="auto" w:fill="92D050"/>
            <w:vAlign w:val="bottom"/>
          </w:tcPr>
          <w:p w14:paraId="0C7066DD"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581" w:type="dxa"/>
            <w:tcBorders>
              <w:top w:val="nil"/>
              <w:left w:val="nil"/>
              <w:bottom w:val="single" w:sz="4" w:space="0" w:color="000000"/>
              <w:right w:val="single" w:sz="4" w:space="0" w:color="000000"/>
            </w:tcBorders>
            <w:shd w:val="clear" w:color="auto" w:fill="AEAAAA"/>
            <w:vAlign w:val="bottom"/>
          </w:tcPr>
          <w:p w14:paraId="4F26ECDF"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582" w:type="dxa"/>
            <w:tcBorders>
              <w:top w:val="nil"/>
              <w:left w:val="nil"/>
              <w:bottom w:val="single" w:sz="4" w:space="0" w:color="000000"/>
              <w:right w:val="single" w:sz="8" w:space="0" w:color="000000"/>
            </w:tcBorders>
            <w:shd w:val="clear" w:color="auto" w:fill="AEAAAA"/>
            <w:vAlign w:val="bottom"/>
          </w:tcPr>
          <w:p w14:paraId="235A16E2"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43886423" w14:textId="77777777" w:rsidTr="00254A5B">
        <w:trPr>
          <w:trHeight w:val="286"/>
        </w:trPr>
        <w:tc>
          <w:tcPr>
            <w:tcW w:w="416" w:type="dxa"/>
            <w:tcBorders>
              <w:top w:val="nil"/>
              <w:left w:val="single" w:sz="8" w:space="0" w:color="000000"/>
              <w:bottom w:val="single" w:sz="4" w:space="0" w:color="000000"/>
              <w:right w:val="single" w:sz="4" w:space="0" w:color="000000"/>
            </w:tcBorders>
            <w:shd w:val="clear" w:color="auto" w:fill="auto"/>
            <w:vAlign w:val="center"/>
          </w:tcPr>
          <w:p w14:paraId="13A3C5E5"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20</w:t>
            </w:r>
          </w:p>
        </w:tc>
        <w:tc>
          <w:tcPr>
            <w:tcW w:w="3402" w:type="dxa"/>
            <w:tcBorders>
              <w:top w:val="nil"/>
              <w:left w:val="nil"/>
              <w:bottom w:val="single" w:sz="4" w:space="0" w:color="000000"/>
              <w:right w:val="single" w:sz="4" w:space="0" w:color="000000"/>
            </w:tcBorders>
            <w:shd w:val="clear" w:color="auto" w:fill="auto"/>
            <w:vAlign w:val="center"/>
          </w:tcPr>
          <w:p w14:paraId="0CEBAB7A"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Zvýšiť počet monitorovacích staníc, skvalitniť metodiku výpočtu množstva jednotlivých znečisťujúcich látok, zlepšiť monitoring kvality a znečistenia ovzdušia</w:t>
            </w:r>
          </w:p>
        </w:tc>
        <w:tc>
          <w:tcPr>
            <w:tcW w:w="1417" w:type="dxa"/>
            <w:tcBorders>
              <w:top w:val="nil"/>
              <w:left w:val="nil"/>
              <w:bottom w:val="single" w:sz="4" w:space="0" w:color="000000"/>
              <w:right w:val="single" w:sz="4" w:space="0" w:color="000000"/>
            </w:tcBorders>
            <w:shd w:val="clear" w:color="auto" w:fill="auto"/>
            <w:vAlign w:val="center"/>
          </w:tcPr>
          <w:p w14:paraId="481E0D29"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SHMÚ</w:t>
            </w:r>
          </w:p>
        </w:tc>
        <w:tc>
          <w:tcPr>
            <w:tcW w:w="850" w:type="dxa"/>
            <w:tcBorders>
              <w:top w:val="nil"/>
              <w:left w:val="nil"/>
              <w:bottom w:val="single" w:sz="4" w:space="0" w:color="000000"/>
              <w:right w:val="single" w:sz="4" w:space="0" w:color="000000"/>
            </w:tcBorders>
            <w:shd w:val="clear" w:color="auto" w:fill="auto"/>
            <w:vAlign w:val="center"/>
          </w:tcPr>
          <w:p w14:paraId="43EBAD52"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2018-2020</w:t>
            </w:r>
          </w:p>
        </w:tc>
        <w:tc>
          <w:tcPr>
            <w:tcW w:w="993" w:type="dxa"/>
            <w:tcBorders>
              <w:top w:val="single" w:sz="4" w:space="0" w:color="000000"/>
              <w:left w:val="nil"/>
              <w:bottom w:val="single" w:sz="4" w:space="0" w:color="000000"/>
              <w:right w:val="single" w:sz="4" w:space="0" w:color="000000"/>
            </w:tcBorders>
            <w:vAlign w:val="center"/>
          </w:tcPr>
          <w:p w14:paraId="4364EAF2"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w:t>
            </w:r>
          </w:p>
        </w:tc>
        <w:tc>
          <w:tcPr>
            <w:tcW w:w="581" w:type="dxa"/>
            <w:tcBorders>
              <w:top w:val="nil"/>
              <w:left w:val="single" w:sz="4" w:space="0" w:color="000000"/>
              <w:bottom w:val="single" w:sz="4" w:space="0" w:color="000000"/>
              <w:right w:val="single" w:sz="4" w:space="0" w:color="000000"/>
            </w:tcBorders>
            <w:shd w:val="clear" w:color="auto" w:fill="FFC000"/>
            <w:vAlign w:val="bottom"/>
          </w:tcPr>
          <w:p w14:paraId="11961CAF" w14:textId="77777777" w:rsidR="008E7D9E" w:rsidRPr="00666914" w:rsidRDefault="008E7D9E">
            <w:pPr>
              <w:spacing w:after="0"/>
              <w:rPr>
                <w:rFonts w:eastAsia="Arial Narrow" w:cs="Arial Narrow"/>
                <w:color w:val="000000"/>
                <w:sz w:val="20"/>
                <w:szCs w:val="20"/>
              </w:rPr>
            </w:pPr>
          </w:p>
        </w:tc>
        <w:tc>
          <w:tcPr>
            <w:tcW w:w="581" w:type="dxa"/>
            <w:tcBorders>
              <w:top w:val="nil"/>
              <w:left w:val="nil"/>
              <w:bottom w:val="single" w:sz="4" w:space="0" w:color="000000"/>
              <w:right w:val="single" w:sz="4" w:space="0" w:color="000000"/>
            </w:tcBorders>
            <w:shd w:val="clear" w:color="auto" w:fill="FF0000"/>
            <w:vAlign w:val="bottom"/>
          </w:tcPr>
          <w:p w14:paraId="46D72616" w14:textId="77777777" w:rsidR="008E7D9E" w:rsidRPr="00666914" w:rsidRDefault="008E7D9E">
            <w:pPr>
              <w:spacing w:after="0"/>
              <w:rPr>
                <w:rFonts w:eastAsia="Arial Narrow" w:cs="Arial Narrow"/>
                <w:color w:val="000000"/>
                <w:sz w:val="20"/>
                <w:szCs w:val="20"/>
              </w:rPr>
            </w:pPr>
          </w:p>
        </w:tc>
        <w:tc>
          <w:tcPr>
            <w:tcW w:w="581" w:type="dxa"/>
            <w:tcBorders>
              <w:top w:val="nil"/>
              <w:left w:val="nil"/>
              <w:bottom w:val="single" w:sz="4" w:space="0" w:color="000000"/>
              <w:right w:val="single" w:sz="4" w:space="0" w:color="000000"/>
            </w:tcBorders>
            <w:shd w:val="clear" w:color="auto" w:fill="FF0000"/>
            <w:vAlign w:val="bottom"/>
          </w:tcPr>
          <w:p w14:paraId="46DD02E4" w14:textId="77777777" w:rsidR="008E7D9E" w:rsidRPr="00666914" w:rsidRDefault="008E7D9E">
            <w:pPr>
              <w:spacing w:after="0"/>
              <w:rPr>
                <w:rFonts w:eastAsia="Arial Narrow" w:cs="Arial Narrow"/>
                <w:color w:val="000000"/>
                <w:sz w:val="20"/>
                <w:szCs w:val="20"/>
              </w:rPr>
            </w:pPr>
          </w:p>
        </w:tc>
        <w:tc>
          <w:tcPr>
            <w:tcW w:w="582" w:type="dxa"/>
            <w:tcBorders>
              <w:top w:val="nil"/>
              <w:left w:val="nil"/>
              <w:bottom w:val="single" w:sz="4" w:space="0" w:color="000000"/>
              <w:right w:val="single" w:sz="8" w:space="0" w:color="000000"/>
            </w:tcBorders>
            <w:shd w:val="clear" w:color="auto" w:fill="FFC000"/>
            <w:vAlign w:val="bottom"/>
          </w:tcPr>
          <w:p w14:paraId="27C4CA0F" w14:textId="77777777" w:rsidR="008E7D9E" w:rsidRPr="00666914" w:rsidRDefault="008E7D9E">
            <w:pPr>
              <w:spacing w:after="0"/>
              <w:rPr>
                <w:rFonts w:eastAsia="Arial Narrow" w:cs="Arial Narrow"/>
                <w:color w:val="000000"/>
                <w:sz w:val="20"/>
                <w:szCs w:val="20"/>
              </w:rPr>
            </w:pPr>
          </w:p>
        </w:tc>
      </w:tr>
      <w:tr w:rsidR="008E7D9E" w:rsidRPr="00666914" w14:paraId="60AF6B72" w14:textId="77777777" w:rsidTr="00254A5B">
        <w:trPr>
          <w:trHeight w:val="286"/>
        </w:trPr>
        <w:tc>
          <w:tcPr>
            <w:tcW w:w="416" w:type="dxa"/>
            <w:tcBorders>
              <w:top w:val="nil"/>
              <w:left w:val="single" w:sz="8" w:space="0" w:color="000000"/>
              <w:bottom w:val="single" w:sz="4" w:space="0" w:color="000000"/>
              <w:right w:val="single" w:sz="4" w:space="0" w:color="000000"/>
            </w:tcBorders>
            <w:shd w:val="clear" w:color="auto" w:fill="auto"/>
            <w:vAlign w:val="center"/>
          </w:tcPr>
          <w:p w14:paraId="62765F84"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21</w:t>
            </w:r>
          </w:p>
        </w:tc>
        <w:tc>
          <w:tcPr>
            <w:tcW w:w="3402" w:type="dxa"/>
            <w:tcBorders>
              <w:top w:val="nil"/>
              <w:left w:val="nil"/>
              <w:bottom w:val="single" w:sz="4" w:space="0" w:color="000000"/>
              <w:right w:val="single" w:sz="4" w:space="0" w:color="000000"/>
            </w:tcBorders>
            <w:shd w:val="clear" w:color="auto" w:fill="auto"/>
            <w:vAlign w:val="center"/>
          </w:tcPr>
          <w:p w14:paraId="723B2BC2"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Upraviť existujúcu prioritizáciu projektov na základe kvantifikácie čo najväčšieho množstva hodnotiacich kritérií</w:t>
            </w:r>
          </w:p>
        </w:tc>
        <w:tc>
          <w:tcPr>
            <w:tcW w:w="1417" w:type="dxa"/>
            <w:tcBorders>
              <w:top w:val="nil"/>
              <w:left w:val="nil"/>
              <w:bottom w:val="single" w:sz="4" w:space="0" w:color="000000"/>
              <w:right w:val="single" w:sz="4" w:space="0" w:color="000000"/>
            </w:tcBorders>
            <w:shd w:val="clear" w:color="auto" w:fill="auto"/>
            <w:vAlign w:val="center"/>
          </w:tcPr>
          <w:p w14:paraId="630AA564"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SVP / VÚVH</w:t>
            </w:r>
          </w:p>
        </w:tc>
        <w:tc>
          <w:tcPr>
            <w:tcW w:w="850" w:type="dxa"/>
            <w:tcBorders>
              <w:top w:val="nil"/>
              <w:left w:val="nil"/>
              <w:bottom w:val="single" w:sz="4" w:space="0" w:color="000000"/>
              <w:right w:val="single" w:sz="4" w:space="0" w:color="000000"/>
            </w:tcBorders>
            <w:shd w:val="clear" w:color="auto" w:fill="auto"/>
            <w:vAlign w:val="center"/>
          </w:tcPr>
          <w:p w14:paraId="2A77C72B"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2020</w:t>
            </w:r>
          </w:p>
        </w:tc>
        <w:tc>
          <w:tcPr>
            <w:tcW w:w="993" w:type="dxa"/>
            <w:tcBorders>
              <w:top w:val="single" w:sz="4" w:space="0" w:color="000000"/>
              <w:left w:val="nil"/>
              <w:bottom w:val="single" w:sz="4" w:space="0" w:color="000000"/>
              <w:right w:val="single" w:sz="4" w:space="0" w:color="000000"/>
            </w:tcBorders>
            <w:vAlign w:val="center"/>
          </w:tcPr>
          <w:p w14:paraId="50208E4B" w14:textId="77777777" w:rsidR="008E7D9E" w:rsidRPr="00666914" w:rsidRDefault="008E7D9E" w:rsidP="00131B23">
            <w:pPr>
              <w:numPr>
                <w:ilvl w:val="0"/>
                <w:numId w:val="26"/>
              </w:numPr>
              <w:spacing w:after="0"/>
              <w:jc w:val="center"/>
              <w:rPr>
                <w:rFonts w:eastAsia="Arial Narrow" w:cs="Arial Narrow"/>
                <w:color w:val="000000"/>
                <w:sz w:val="20"/>
                <w:szCs w:val="20"/>
              </w:rPr>
            </w:pPr>
          </w:p>
        </w:tc>
        <w:tc>
          <w:tcPr>
            <w:tcW w:w="581" w:type="dxa"/>
            <w:tcBorders>
              <w:top w:val="nil"/>
              <w:left w:val="single" w:sz="4" w:space="0" w:color="000000"/>
              <w:bottom w:val="single" w:sz="4" w:space="0" w:color="000000"/>
              <w:right w:val="single" w:sz="4" w:space="0" w:color="000000"/>
            </w:tcBorders>
            <w:shd w:val="clear" w:color="auto" w:fill="A6A6A6"/>
            <w:vAlign w:val="bottom"/>
          </w:tcPr>
          <w:p w14:paraId="0BFFACA4" w14:textId="77777777" w:rsidR="008E7D9E" w:rsidRPr="00666914" w:rsidRDefault="008E7D9E">
            <w:pPr>
              <w:spacing w:after="0"/>
              <w:rPr>
                <w:rFonts w:eastAsia="Arial Narrow" w:cs="Arial Narrow"/>
                <w:color w:val="000000"/>
                <w:sz w:val="20"/>
                <w:szCs w:val="20"/>
              </w:rPr>
            </w:pPr>
          </w:p>
        </w:tc>
        <w:tc>
          <w:tcPr>
            <w:tcW w:w="581" w:type="dxa"/>
            <w:tcBorders>
              <w:top w:val="nil"/>
              <w:left w:val="nil"/>
              <w:bottom w:val="single" w:sz="4" w:space="0" w:color="000000"/>
              <w:right w:val="single" w:sz="4" w:space="0" w:color="000000"/>
            </w:tcBorders>
            <w:shd w:val="clear" w:color="auto" w:fill="FF0000"/>
            <w:vAlign w:val="bottom"/>
          </w:tcPr>
          <w:p w14:paraId="6A8EB770" w14:textId="77777777" w:rsidR="008E7D9E" w:rsidRPr="00666914" w:rsidRDefault="008E7D9E">
            <w:pPr>
              <w:spacing w:after="0"/>
              <w:rPr>
                <w:rFonts w:eastAsia="Arial Narrow" w:cs="Arial Narrow"/>
                <w:color w:val="000000"/>
                <w:sz w:val="20"/>
                <w:szCs w:val="20"/>
              </w:rPr>
            </w:pPr>
          </w:p>
        </w:tc>
        <w:tc>
          <w:tcPr>
            <w:tcW w:w="581" w:type="dxa"/>
            <w:tcBorders>
              <w:top w:val="nil"/>
              <w:left w:val="nil"/>
              <w:bottom w:val="single" w:sz="4" w:space="0" w:color="000000"/>
              <w:right w:val="single" w:sz="4" w:space="0" w:color="000000"/>
            </w:tcBorders>
            <w:shd w:val="clear" w:color="auto" w:fill="FF0000"/>
            <w:vAlign w:val="bottom"/>
          </w:tcPr>
          <w:p w14:paraId="002035CF" w14:textId="77777777" w:rsidR="008E7D9E" w:rsidRPr="00666914" w:rsidRDefault="008E7D9E">
            <w:pPr>
              <w:spacing w:after="0"/>
              <w:rPr>
                <w:rFonts w:eastAsia="Arial Narrow" w:cs="Arial Narrow"/>
                <w:color w:val="000000"/>
                <w:sz w:val="20"/>
                <w:szCs w:val="20"/>
              </w:rPr>
            </w:pPr>
          </w:p>
        </w:tc>
        <w:tc>
          <w:tcPr>
            <w:tcW w:w="582" w:type="dxa"/>
            <w:tcBorders>
              <w:top w:val="nil"/>
              <w:left w:val="nil"/>
              <w:bottom w:val="single" w:sz="4" w:space="0" w:color="000000"/>
              <w:right w:val="single" w:sz="8" w:space="0" w:color="000000"/>
            </w:tcBorders>
            <w:shd w:val="clear" w:color="auto" w:fill="FF0000"/>
            <w:vAlign w:val="bottom"/>
          </w:tcPr>
          <w:p w14:paraId="6EBCEBD0" w14:textId="77777777" w:rsidR="008E7D9E" w:rsidRPr="00666914" w:rsidRDefault="008E7D9E">
            <w:pPr>
              <w:spacing w:after="0"/>
              <w:rPr>
                <w:rFonts w:eastAsia="Arial Narrow" w:cs="Arial Narrow"/>
                <w:color w:val="000000"/>
                <w:sz w:val="20"/>
                <w:szCs w:val="20"/>
              </w:rPr>
            </w:pPr>
          </w:p>
        </w:tc>
      </w:tr>
      <w:tr w:rsidR="008E7D9E" w:rsidRPr="00666914" w14:paraId="333CCBA8" w14:textId="77777777" w:rsidTr="00254A5B">
        <w:trPr>
          <w:trHeight w:val="286"/>
        </w:trPr>
        <w:tc>
          <w:tcPr>
            <w:tcW w:w="416" w:type="dxa"/>
            <w:tcBorders>
              <w:top w:val="nil"/>
              <w:left w:val="single" w:sz="8" w:space="0" w:color="000000"/>
              <w:bottom w:val="single" w:sz="4" w:space="0" w:color="000000"/>
              <w:right w:val="single" w:sz="4" w:space="0" w:color="000000"/>
            </w:tcBorders>
            <w:shd w:val="clear" w:color="auto" w:fill="auto"/>
            <w:vAlign w:val="center"/>
          </w:tcPr>
          <w:p w14:paraId="44B9D765"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22</w:t>
            </w:r>
          </w:p>
        </w:tc>
        <w:tc>
          <w:tcPr>
            <w:tcW w:w="3402" w:type="dxa"/>
            <w:tcBorders>
              <w:top w:val="nil"/>
              <w:left w:val="nil"/>
              <w:bottom w:val="single" w:sz="4" w:space="0" w:color="000000"/>
              <w:right w:val="single" w:sz="4" w:space="0" w:color="000000"/>
            </w:tcBorders>
            <w:shd w:val="clear" w:color="auto" w:fill="auto"/>
            <w:vAlign w:val="center"/>
          </w:tcPr>
          <w:p w14:paraId="28891582"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Elektronicky zbierať dáta o spracovateľských zariadeniach a zberných dvoroch s pravidelnou aktualizáciou (kapacita, množstvo odpadu)</w:t>
            </w:r>
          </w:p>
        </w:tc>
        <w:tc>
          <w:tcPr>
            <w:tcW w:w="1417" w:type="dxa"/>
            <w:tcBorders>
              <w:top w:val="nil"/>
              <w:left w:val="nil"/>
              <w:bottom w:val="single" w:sz="4" w:space="0" w:color="000000"/>
              <w:right w:val="single" w:sz="4" w:space="0" w:color="000000"/>
            </w:tcBorders>
            <w:shd w:val="clear" w:color="auto" w:fill="auto"/>
            <w:vAlign w:val="center"/>
          </w:tcPr>
          <w:p w14:paraId="2E0AF192"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w:t>
            </w:r>
          </w:p>
        </w:tc>
        <w:tc>
          <w:tcPr>
            <w:tcW w:w="850" w:type="dxa"/>
            <w:tcBorders>
              <w:top w:val="nil"/>
              <w:left w:val="nil"/>
              <w:bottom w:val="single" w:sz="4" w:space="0" w:color="000000"/>
              <w:right w:val="single" w:sz="4" w:space="0" w:color="000000"/>
            </w:tcBorders>
            <w:shd w:val="clear" w:color="auto" w:fill="auto"/>
            <w:vAlign w:val="center"/>
          </w:tcPr>
          <w:p w14:paraId="74E2439B"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w:t>
            </w:r>
          </w:p>
        </w:tc>
        <w:tc>
          <w:tcPr>
            <w:tcW w:w="993" w:type="dxa"/>
            <w:tcBorders>
              <w:top w:val="single" w:sz="4" w:space="0" w:color="000000"/>
              <w:left w:val="nil"/>
              <w:bottom w:val="single" w:sz="4" w:space="0" w:color="000000"/>
              <w:right w:val="single" w:sz="4" w:space="0" w:color="000000"/>
            </w:tcBorders>
            <w:vAlign w:val="center"/>
          </w:tcPr>
          <w:p w14:paraId="27487BC9"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12/2019</w:t>
            </w:r>
          </w:p>
        </w:tc>
        <w:tc>
          <w:tcPr>
            <w:tcW w:w="581" w:type="dxa"/>
            <w:tcBorders>
              <w:top w:val="nil"/>
              <w:left w:val="single" w:sz="4" w:space="0" w:color="000000"/>
              <w:bottom w:val="single" w:sz="4" w:space="0" w:color="000000"/>
              <w:right w:val="single" w:sz="4" w:space="0" w:color="000000"/>
            </w:tcBorders>
            <w:shd w:val="clear" w:color="auto" w:fill="FFC000"/>
            <w:vAlign w:val="bottom"/>
          </w:tcPr>
          <w:p w14:paraId="22C185D8" w14:textId="77777777" w:rsidR="008E7D9E" w:rsidRPr="00666914" w:rsidRDefault="008E7D9E">
            <w:pPr>
              <w:spacing w:after="0"/>
              <w:rPr>
                <w:rFonts w:eastAsia="Arial Narrow" w:cs="Arial Narrow"/>
                <w:color w:val="000000"/>
                <w:sz w:val="20"/>
                <w:szCs w:val="20"/>
              </w:rPr>
            </w:pPr>
          </w:p>
        </w:tc>
        <w:tc>
          <w:tcPr>
            <w:tcW w:w="581" w:type="dxa"/>
            <w:tcBorders>
              <w:top w:val="nil"/>
              <w:left w:val="nil"/>
              <w:bottom w:val="single" w:sz="4" w:space="0" w:color="000000"/>
              <w:right w:val="single" w:sz="4" w:space="0" w:color="000000"/>
            </w:tcBorders>
            <w:shd w:val="clear" w:color="auto" w:fill="FFC000"/>
            <w:vAlign w:val="bottom"/>
          </w:tcPr>
          <w:p w14:paraId="75386F4E" w14:textId="77777777" w:rsidR="008E7D9E" w:rsidRPr="00666914" w:rsidRDefault="008E7D9E">
            <w:pPr>
              <w:spacing w:after="0"/>
              <w:rPr>
                <w:rFonts w:eastAsia="Arial Narrow" w:cs="Arial Narrow"/>
                <w:color w:val="000000"/>
                <w:sz w:val="20"/>
                <w:szCs w:val="20"/>
              </w:rPr>
            </w:pPr>
          </w:p>
        </w:tc>
        <w:tc>
          <w:tcPr>
            <w:tcW w:w="581" w:type="dxa"/>
            <w:tcBorders>
              <w:top w:val="nil"/>
              <w:left w:val="nil"/>
              <w:bottom w:val="single" w:sz="4" w:space="0" w:color="000000"/>
              <w:right w:val="single" w:sz="4" w:space="0" w:color="000000"/>
            </w:tcBorders>
            <w:shd w:val="clear" w:color="auto" w:fill="FFC000"/>
            <w:vAlign w:val="bottom"/>
          </w:tcPr>
          <w:p w14:paraId="1112FA40" w14:textId="77777777" w:rsidR="008E7D9E" w:rsidRPr="00666914" w:rsidRDefault="008E7D9E">
            <w:pPr>
              <w:spacing w:after="0"/>
              <w:rPr>
                <w:rFonts w:eastAsia="Arial Narrow" w:cs="Arial Narrow"/>
                <w:color w:val="000000"/>
                <w:sz w:val="20"/>
                <w:szCs w:val="20"/>
              </w:rPr>
            </w:pPr>
          </w:p>
        </w:tc>
        <w:tc>
          <w:tcPr>
            <w:tcW w:w="582" w:type="dxa"/>
            <w:tcBorders>
              <w:top w:val="nil"/>
              <w:left w:val="nil"/>
              <w:bottom w:val="single" w:sz="4" w:space="0" w:color="000000"/>
              <w:right w:val="single" w:sz="8" w:space="0" w:color="000000"/>
            </w:tcBorders>
            <w:shd w:val="clear" w:color="auto" w:fill="FFC000"/>
            <w:vAlign w:val="bottom"/>
          </w:tcPr>
          <w:p w14:paraId="201726EB" w14:textId="77777777" w:rsidR="008E7D9E" w:rsidRPr="00666914" w:rsidRDefault="008E7D9E">
            <w:pPr>
              <w:spacing w:after="0"/>
              <w:rPr>
                <w:rFonts w:eastAsia="Arial Narrow" w:cs="Arial Narrow"/>
                <w:color w:val="000000"/>
                <w:sz w:val="20"/>
                <w:szCs w:val="20"/>
              </w:rPr>
            </w:pPr>
          </w:p>
        </w:tc>
      </w:tr>
      <w:tr w:rsidR="008E7D9E" w:rsidRPr="00666914" w14:paraId="53315B62" w14:textId="77777777" w:rsidTr="00254A5B">
        <w:trPr>
          <w:trHeight w:val="286"/>
        </w:trPr>
        <w:tc>
          <w:tcPr>
            <w:tcW w:w="416" w:type="dxa"/>
            <w:tcBorders>
              <w:top w:val="nil"/>
              <w:left w:val="single" w:sz="8" w:space="0" w:color="000000"/>
              <w:bottom w:val="single" w:sz="4" w:space="0" w:color="000000"/>
              <w:right w:val="single" w:sz="4" w:space="0" w:color="000000"/>
            </w:tcBorders>
            <w:shd w:val="clear" w:color="auto" w:fill="auto"/>
            <w:vAlign w:val="center"/>
          </w:tcPr>
          <w:p w14:paraId="3E5DAE0B"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23</w:t>
            </w:r>
          </w:p>
        </w:tc>
        <w:tc>
          <w:tcPr>
            <w:tcW w:w="3402" w:type="dxa"/>
            <w:tcBorders>
              <w:top w:val="nil"/>
              <w:left w:val="nil"/>
              <w:bottom w:val="single" w:sz="4" w:space="0" w:color="000000"/>
              <w:right w:val="single" w:sz="4" w:space="0" w:color="000000"/>
            </w:tcBorders>
            <w:shd w:val="clear" w:color="auto" w:fill="auto"/>
            <w:vAlign w:val="center"/>
          </w:tcPr>
          <w:p w14:paraId="2AEAB6D0"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Aktualizovať metodiku CBA z OP ŽP, aby bola v súlade s Rámcom hodnotenia verejných financií, bola záväzná pre všetky investície bez ohľadu na zdroj financovania a špecifikovala parametre pre sektor životného prostredia</w:t>
            </w:r>
          </w:p>
        </w:tc>
        <w:tc>
          <w:tcPr>
            <w:tcW w:w="1417" w:type="dxa"/>
            <w:tcBorders>
              <w:top w:val="nil"/>
              <w:left w:val="nil"/>
              <w:bottom w:val="single" w:sz="4" w:space="0" w:color="000000"/>
              <w:right w:val="single" w:sz="4" w:space="0" w:color="000000"/>
            </w:tcBorders>
            <w:shd w:val="clear" w:color="auto" w:fill="auto"/>
            <w:vAlign w:val="center"/>
          </w:tcPr>
          <w:p w14:paraId="097402BD"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w:t>
            </w:r>
          </w:p>
        </w:tc>
        <w:tc>
          <w:tcPr>
            <w:tcW w:w="850" w:type="dxa"/>
            <w:tcBorders>
              <w:top w:val="nil"/>
              <w:left w:val="nil"/>
              <w:bottom w:val="single" w:sz="4" w:space="0" w:color="000000"/>
              <w:right w:val="single" w:sz="4" w:space="0" w:color="000000"/>
            </w:tcBorders>
            <w:shd w:val="clear" w:color="auto" w:fill="auto"/>
            <w:vAlign w:val="center"/>
          </w:tcPr>
          <w:p w14:paraId="4299B07A"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w:t>
            </w:r>
          </w:p>
        </w:tc>
        <w:tc>
          <w:tcPr>
            <w:tcW w:w="993" w:type="dxa"/>
            <w:tcBorders>
              <w:top w:val="single" w:sz="4" w:space="0" w:color="000000"/>
              <w:left w:val="nil"/>
              <w:bottom w:val="single" w:sz="4" w:space="0" w:color="000000"/>
              <w:right w:val="single" w:sz="4" w:space="0" w:color="000000"/>
            </w:tcBorders>
            <w:vAlign w:val="center"/>
          </w:tcPr>
          <w:p w14:paraId="1D140B6B"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06/2019</w:t>
            </w:r>
          </w:p>
        </w:tc>
        <w:tc>
          <w:tcPr>
            <w:tcW w:w="581" w:type="dxa"/>
            <w:tcBorders>
              <w:top w:val="nil"/>
              <w:left w:val="single" w:sz="4" w:space="0" w:color="000000"/>
              <w:bottom w:val="single" w:sz="4" w:space="0" w:color="000000"/>
              <w:right w:val="single" w:sz="4" w:space="0" w:color="000000"/>
            </w:tcBorders>
            <w:shd w:val="clear" w:color="auto" w:fill="FFC000"/>
            <w:vAlign w:val="bottom"/>
          </w:tcPr>
          <w:p w14:paraId="2506CC35" w14:textId="77777777" w:rsidR="008E7D9E" w:rsidRPr="00666914" w:rsidRDefault="008E7D9E">
            <w:pPr>
              <w:spacing w:after="0"/>
              <w:rPr>
                <w:rFonts w:eastAsia="Arial Narrow" w:cs="Arial Narrow"/>
                <w:color w:val="000000"/>
                <w:sz w:val="20"/>
                <w:szCs w:val="20"/>
              </w:rPr>
            </w:pPr>
          </w:p>
        </w:tc>
        <w:tc>
          <w:tcPr>
            <w:tcW w:w="581" w:type="dxa"/>
            <w:tcBorders>
              <w:top w:val="nil"/>
              <w:left w:val="nil"/>
              <w:bottom w:val="single" w:sz="4" w:space="0" w:color="000000"/>
              <w:right w:val="single" w:sz="4" w:space="0" w:color="000000"/>
            </w:tcBorders>
            <w:shd w:val="clear" w:color="auto" w:fill="92D050"/>
            <w:vAlign w:val="bottom"/>
          </w:tcPr>
          <w:p w14:paraId="10D4D9E9" w14:textId="77777777" w:rsidR="008E7D9E" w:rsidRPr="00666914" w:rsidRDefault="008E7D9E">
            <w:pPr>
              <w:spacing w:after="0"/>
              <w:rPr>
                <w:rFonts w:eastAsia="Arial Narrow" w:cs="Arial Narrow"/>
                <w:color w:val="000000"/>
                <w:sz w:val="20"/>
                <w:szCs w:val="20"/>
              </w:rPr>
            </w:pPr>
          </w:p>
        </w:tc>
        <w:tc>
          <w:tcPr>
            <w:tcW w:w="581" w:type="dxa"/>
            <w:tcBorders>
              <w:top w:val="nil"/>
              <w:left w:val="nil"/>
              <w:bottom w:val="single" w:sz="4" w:space="0" w:color="000000"/>
              <w:right w:val="single" w:sz="4" w:space="0" w:color="000000"/>
            </w:tcBorders>
            <w:shd w:val="clear" w:color="auto" w:fill="AEAAAA"/>
            <w:vAlign w:val="bottom"/>
          </w:tcPr>
          <w:p w14:paraId="50B86C27" w14:textId="77777777" w:rsidR="008E7D9E" w:rsidRPr="00666914" w:rsidRDefault="008E7D9E">
            <w:pPr>
              <w:spacing w:after="0"/>
              <w:rPr>
                <w:rFonts w:eastAsia="Arial Narrow" w:cs="Arial Narrow"/>
                <w:color w:val="000000"/>
                <w:sz w:val="20"/>
                <w:szCs w:val="20"/>
              </w:rPr>
            </w:pPr>
          </w:p>
        </w:tc>
        <w:tc>
          <w:tcPr>
            <w:tcW w:w="582" w:type="dxa"/>
            <w:tcBorders>
              <w:top w:val="nil"/>
              <w:left w:val="nil"/>
              <w:bottom w:val="single" w:sz="4" w:space="0" w:color="000000"/>
              <w:right w:val="single" w:sz="8" w:space="0" w:color="000000"/>
            </w:tcBorders>
            <w:shd w:val="clear" w:color="auto" w:fill="AEAAAA"/>
            <w:vAlign w:val="bottom"/>
          </w:tcPr>
          <w:p w14:paraId="4E19E9F6" w14:textId="77777777" w:rsidR="008E7D9E" w:rsidRPr="00666914" w:rsidRDefault="008E7D9E">
            <w:pPr>
              <w:spacing w:after="0"/>
              <w:rPr>
                <w:rFonts w:eastAsia="Arial Narrow" w:cs="Arial Narrow"/>
                <w:color w:val="000000"/>
                <w:sz w:val="20"/>
                <w:szCs w:val="20"/>
              </w:rPr>
            </w:pPr>
          </w:p>
        </w:tc>
      </w:tr>
    </w:tbl>
    <w:p w14:paraId="278B905A" w14:textId="77777777" w:rsidR="008E7D9E" w:rsidRPr="00666914" w:rsidRDefault="008E7D9E">
      <w:pPr>
        <w:spacing w:after="0"/>
        <w:rPr>
          <w:rFonts w:eastAsia="Arial Narrow" w:cs="Arial Narrow"/>
        </w:rPr>
      </w:pPr>
    </w:p>
    <w:p w14:paraId="302D86B1" w14:textId="77777777" w:rsidR="008E7D9E" w:rsidRPr="00666914" w:rsidRDefault="008E7D9E" w:rsidP="00131B23">
      <w:pPr>
        <w:numPr>
          <w:ilvl w:val="0"/>
          <w:numId w:val="25"/>
        </w:numPr>
        <w:spacing w:after="0"/>
        <w:rPr>
          <w:rFonts w:eastAsia="Arial Narrow" w:cs="Arial Narrow"/>
        </w:rPr>
      </w:pPr>
      <w:r w:rsidRPr="00666914">
        <w:rPr>
          <w:rFonts w:eastAsia="Arial Narrow" w:cs="Arial Narrow"/>
          <w:b/>
          <w:u w:val="single"/>
        </w:rPr>
        <w:t>Upraviť metodiku prioritizácie environmentálnych záťaží najmä na základe vplyvov na obyvateľstvo a životné prostredie</w:t>
      </w:r>
    </w:p>
    <w:p w14:paraId="5D94FE67" w14:textId="77777777" w:rsidR="008E7D9E" w:rsidRPr="00666914" w:rsidRDefault="008E7D9E">
      <w:pPr>
        <w:spacing w:after="0"/>
        <w:ind w:left="360"/>
      </w:pPr>
    </w:p>
    <w:p w14:paraId="37F0A7E9" w14:textId="77777777" w:rsidR="008E7D9E" w:rsidRPr="00666914" w:rsidRDefault="008E7D9E">
      <w:pPr>
        <w:spacing w:after="0"/>
        <w:rPr>
          <w:rFonts w:eastAsia="Arial Narrow" w:cs="Arial Narrow"/>
          <w:b/>
        </w:rPr>
      </w:pPr>
      <w:r w:rsidRPr="00666914">
        <w:rPr>
          <w:rFonts w:eastAsia="Arial Narrow" w:cs="Arial Narrow"/>
        </w:rPr>
        <w:t>IEP pripravil v 2Q2019 na základe údajov od SAŽP prehľadnú tabuľku so zoznamom všetkých pravdepodobných, potvrdených ako aj sanovaných environmentálnych záťaží, spolu s popisom a lokalitou. Tabuľka je zverejnená</w:t>
      </w:r>
      <w:r w:rsidRPr="00666914">
        <w:rPr>
          <w:rFonts w:eastAsia="Arial Narrow" w:cs="Arial Narrow"/>
          <w:vertAlign w:val="superscript"/>
        </w:rPr>
        <w:footnoteReference w:id="299"/>
      </w:r>
      <w:r w:rsidRPr="00666914">
        <w:rPr>
          <w:rFonts w:eastAsia="Arial Narrow" w:cs="Arial Narrow"/>
        </w:rPr>
        <w:t xml:space="preserve"> a bude každoročne aktualizovaná. Na základe odporúčania IJ v PIS 2019 má byť tabuľka pravidelne ročne aktualizovaná.</w:t>
      </w:r>
      <w:r w:rsidRPr="00666914">
        <w:t xml:space="preserve"> </w:t>
      </w:r>
      <w:r w:rsidRPr="00666914">
        <w:rPr>
          <w:rFonts w:eastAsia="Arial Narrow" w:cs="Arial Narrow"/>
          <w:b/>
        </w:rPr>
        <w:t>Opatrenie je k 30.6.2019 splnené a nebude už predmetom hodnotenia v roku 2020.</w:t>
      </w:r>
    </w:p>
    <w:p w14:paraId="26665E1A" w14:textId="77777777" w:rsidR="008E7D9E" w:rsidRPr="00666914" w:rsidRDefault="008E7D9E">
      <w:pPr>
        <w:spacing w:after="0"/>
        <w:rPr>
          <w:rFonts w:eastAsia="Arial Narrow" w:cs="Arial Narrow"/>
          <w:b/>
        </w:rPr>
      </w:pPr>
    </w:p>
    <w:p w14:paraId="4644AA99" w14:textId="324BEE0E" w:rsidR="008E7D9E" w:rsidRPr="00666914" w:rsidRDefault="008E7D9E" w:rsidP="00E10E38">
      <w:pPr>
        <w:rPr>
          <w:rFonts w:eastAsia="Arial Narrow" w:cs="Arial Narrow"/>
        </w:rPr>
      </w:pPr>
      <w:r w:rsidRPr="00666914">
        <w:rPr>
          <w:rFonts w:eastAsia="Arial Narrow" w:cs="Arial Narrow"/>
        </w:rPr>
        <w:t xml:space="preserve">V nasledujúcom programovom období IJ tiež odporúča nastaviť prioritizáciu prieskumu a sanáciu environmentálnych záťaží na základe rozšírenej klasifikácie, ktorá bude určovať prioritu aj na základe zdravotného ohrozenia obyvateľstva a výšky spôsobených škôd. Zverejňované údaje by mali byť nielen pravidelne aktualizované, ale mali by obsahovať aj informáciu o nákladoch na prieskumy, sanáciu </w:t>
      </w:r>
      <w:r w:rsidR="000644F2" w:rsidRPr="00666914">
        <w:rPr>
          <w:rFonts w:eastAsia="Arial Narrow" w:cs="Arial Narrow"/>
        </w:rPr>
        <w:t>a monitoring.</w:t>
      </w:r>
    </w:p>
    <w:p w14:paraId="535199FB" w14:textId="77777777" w:rsidR="008E7D9E" w:rsidRPr="00666914" w:rsidRDefault="008E7D9E" w:rsidP="00131B23">
      <w:pPr>
        <w:numPr>
          <w:ilvl w:val="0"/>
          <w:numId w:val="25"/>
        </w:numPr>
        <w:spacing w:after="0"/>
        <w:rPr>
          <w:rFonts w:eastAsia="Arial Narrow" w:cs="Arial Narrow"/>
          <w:b/>
          <w:u w:val="single"/>
        </w:rPr>
      </w:pPr>
      <w:r w:rsidRPr="00666914">
        <w:rPr>
          <w:rFonts w:eastAsia="Arial Narrow" w:cs="Arial Narrow"/>
          <w:b/>
          <w:u w:val="single"/>
        </w:rPr>
        <w:t>Zvýšiť počet monitorovacích staníc, skvalitniť metodiku výpočtu množstva jednotlivých znečisťujúcich látok, zlepšiť monitoring kvality a znečistenia ovzdušia</w:t>
      </w:r>
    </w:p>
    <w:p w14:paraId="7C8D0952" w14:textId="77777777" w:rsidR="008E7D9E" w:rsidRPr="00666914" w:rsidRDefault="008E7D9E">
      <w:pPr>
        <w:spacing w:after="0"/>
        <w:rPr>
          <w:rFonts w:eastAsia="Arial Narrow" w:cs="Arial Narrow"/>
        </w:rPr>
      </w:pPr>
    </w:p>
    <w:p w14:paraId="570687AB" w14:textId="4E79BEB6" w:rsidR="008E7D9E" w:rsidRPr="00666914" w:rsidRDefault="008E7D9E">
      <w:pPr>
        <w:spacing w:after="0"/>
        <w:rPr>
          <w:rFonts w:eastAsia="Arial Narrow" w:cs="Arial Narrow"/>
        </w:rPr>
      </w:pPr>
      <w:r w:rsidRPr="00666914">
        <w:rPr>
          <w:rFonts w:eastAsia="Arial Narrow" w:cs="Arial Narrow"/>
          <w:b/>
        </w:rPr>
        <w:t xml:space="preserve">SHMÚ spustil v roku 2017 v rámci projektu „Skvalitnenie Národnej monitorovacej siete kvality ovzdušia“ verejné obstarávanie na 14 nových monitorovacích staníc. </w:t>
      </w:r>
      <w:r w:rsidRPr="00666914">
        <w:rPr>
          <w:rFonts w:eastAsia="Arial Narrow" w:cs="Arial Narrow"/>
        </w:rPr>
        <w:t>V 2Q2019 bola s úspešným uchádzačom (Združenie PRAGOLAB &amp; ENVItech) podpísaná zmluva na dodávku zariadení a technológií</w:t>
      </w:r>
      <w:r w:rsidRPr="00666914">
        <w:rPr>
          <w:rFonts w:eastAsia="Arial Narrow" w:cs="Arial Narrow"/>
          <w:vertAlign w:val="superscript"/>
        </w:rPr>
        <w:footnoteReference w:id="300"/>
      </w:r>
      <w:r w:rsidRPr="00666914">
        <w:rPr>
          <w:rFonts w:eastAsia="Arial Narrow" w:cs="Arial Narrow"/>
        </w:rPr>
        <w:t xml:space="preserve"> v celkovej hodnote 18,7 mil. eur. Dodávky zariadení a technológií sú plánované do 06/2020. Napĺňanie projektových merateľných ukazovateľov v oblasti rozširovania a obnovy infraštruktúry automatizovaných monitorovacích staníc bude po dodávke a inštalácii </w:t>
      </w:r>
      <w:r w:rsidR="006C0391" w:rsidRPr="00666914">
        <w:rPr>
          <w:rFonts w:cs="Arial"/>
          <w:iCs/>
          <w:szCs w:val="20"/>
        </w:rPr>
        <w:t>zariadení previazané na proces akreditácie.</w:t>
      </w:r>
    </w:p>
    <w:p w14:paraId="2F962F2C" w14:textId="77777777" w:rsidR="006C0391" w:rsidRPr="00666914" w:rsidRDefault="006C0391">
      <w:pPr>
        <w:spacing w:after="0"/>
        <w:rPr>
          <w:rFonts w:eastAsia="Arial Narrow" w:cs="Arial Narrow"/>
        </w:rPr>
      </w:pPr>
    </w:p>
    <w:p w14:paraId="308FA029" w14:textId="4333E06F" w:rsidR="008E7D9E" w:rsidRPr="00666914" w:rsidRDefault="008E7D9E">
      <w:pPr>
        <w:spacing w:after="0"/>
        <w:rPr>
          <w:rFonts w:eastAsia="Arial Narrow" w:cs="Arial Narrow"/>
        </w:rPr>
      </w:pPr>
      <w:r w:rsidRPr="00666914">
        <w:rPr>
          <w:rFonts w:eastAsia="Arial Narrow" w:cs="Arial Narrow"/>
          <w:b/>
        </w:rPr>
        <w:lastRenderedPageBreak/>
        <w:t>V rámci zlepšenia monitorovania kvality ovzdušia bol podaný projekt „Komplexný systém modelovania kvality ovzdušia v SR“ vo výške 7,2 mil. eur</w:t>
      </w:r>
      <w:r w:rsidRPr="00666914">
        <w:rPr>
          <w:rFonts w:eastAsia="Arial Narrow" w:cs="Arial Narrow"/>
        </w:rPr>
        <w:t>, v 4Q2018 bola podpísaná zmluva o NFP</w:t>
      </w:r>
      <w:r w:rsidRPr="00666914">
        <w:rPr>
          <w:rFonts w:eastAsia="Arial Narrow" w:cs="Arial Narrow"/>
          <w:vertAlign w:val="superscript"/>
        </w:rPr>
        <w:footnoteReference w:id="301"/>
      </w:r>
      <w:r w:rsidRPr="00666914">
        <w:rPr>
          <w:rFonts w:eastAsia="Arial Narrow" w:cs="Arial Narrow"/>
        </w:rPr>
        <w:t>. V rámc</w:t>
      </w:r>
      <w:r w:rsidR="000644F2" w:rsidRPr="00666914">
        <w:rPr>
          <w:rFonts w:eastAsia="Arial Narrow" w:cs="Arial Narrow"/>
        </w:rPr>
        <w:t>i projektu prebieha viacero VO:</w:t>
      </w:r>
    </w:p>
    <w:p w14:paraId="11001419" w14:textId="77777777" w:rsidR="008E7D9E" w:rsidRPr="00666914" w:rsidRDefault="008E7D9E" w:rsidP="00131B23">
      <w:pPr>
        <w:numPr>
          <w:ilvl w:val="0"/>
          <w:numId w:val="26"/>
        </w:numPr>
        <w:pBdr>
          <w:top w:val="nil"/>
          <w:left w:val="nil"/>
          <w:bottom w:val="nil"/>
          <w:right w:val="nil"/>
          <w:between w:val="nil"/>
        </w:pBdr>
        <w:spacing w:after="0"/>
      </w:pPr>
      <w:r w:rsidRPr="00666914">
        <w:rPr>
          <w:rFonts w:eastAsia="Arial Narrow" w:cs="Arial Narrow"/>
          <w:color w:val="000000"/>
        </w:rPr>
        <w:t>Emisné dáta z dopravy - VO ukončené a podpísaná zmluva</w:t>
      </w:r>
      <w:r w:rsidRPr="00666914">
        <w:rPr>
          <w:rFonts w:eastAsia="Arial Narrow" w:cs="Arial Narrow"/>
          <w:color w:val="000000"/>
          <w:vertAlign w:val="superscript"/>
        </w:rPr>
        <w:footnoteReference w:id="302"/>
      </w:r>
      <w:r w:rsidRPr="00666914">
        <w:rPr>
          <w:rFonts w:eastAsia="Arial Narrow" w:cs="Arial Narrow"/>
          <w:color w:val="000000"/>
        </w:rPr>
        <w:t>,</w:t>
      </w:r>
    </w:p>
    <w:p w14:paraId="4B0FB655" w14:textId="77777777" w:rsidR="008E7D9E" w:rsidRPr="00666914" w:rsidRDefault="008E7D9E" w:rsidP="00131B23">
      <w:pPr>
        <w:numPr>
          <w:ilvl w:val="0"/>
          <w:numId w:val="26"/>
        </w:numPr>
        <w:pBdr>
          <w:top w:val="nil"/>
          <w:left w:val="nil"/>
          <w:bottom w:val="nil"/>
          <w:right w:val="nil"/>
          <w:between w:val="nil"/>
        </w:pBdr>
        <w:spacing w:after="0"/>
      </w:pPr>
      <w:r w:rsidRPr="00666914">
        <w:rPr>
          <w:rFonts w:eastAsia="Arial Narrow" w:cs="Arial Narrow"/>
          <w:color w:val="000000"/>
        </w:rPr>
        <w:t>Nákup ceilometrov so softvérom – VO ukončené a podpísaná zmluva</w:t>
      </w:r>
      <w:r w:rsidRPr="00666914">
        <w:rPr>
          <w:rFonts w:eastAsia="Arial Narrow" w:cs="Arial Narrow"/>
          <w:color w:val="000000"/>
          <w:vertAlign w:val="superscript"/>
        </w:rPr>
        <w:footnoteReference w:id="303"/>
      </w:r>
      <w:r w:rsidRPr="00666914">
        <w:rPr>
          <w:rFonts w:eastAsia="Arial Narrow" w:cs="Arial Narrow"/>
          <w:color w:val="000000"/>
        </w:rPr>
        <w:t>,</w:t>
      </w:r>
    </w:p>
    <w:p w14:paraId="34D2BE03" w14:textId="77777777" w:rsidR="008E7D9E" w:rsidRPr="00666914" w:rsidRDefault="008E7D9E" w:rsidP="00131B23">
      <w:pPr>
        <w:numPr>
          <w:ilvl w:val="0"/>
          <w:numId w:val="26"/>
        </w:numPr>
        <w:pBdr>
          <w:top w:val="nil"/>
          <w:left w:val="nil"/>
          <w:bottom w:val="nil"/>
          <w:right w:val="nil"/>
          <w:between w:val="nil"/>
        </w:pBdr>
        <w:spacing w:after="0"/>
      </w:pPr>
      <w:r w:rsidRPr="00666914">
        <w:rPr>
          <w:rFonts w:eastAsia="Arial Narrow" w:cs="Arial Narrow"/>
          <w:color w:val="000000"/>
        </w:rPr>
        <w:t>Nákup vysokovýkonného výpočtového systému a jeho implementácia do infraštruktúry SHMÚ – VO ukončené a podpísaná zmluva</w:t>
      </w:r>
      <w:r w:rsidRPr="00666914">
        <w:rPr>
          <w:rFonts w:eastAsia="Arial Narrow" w:cs="Arial Narrow"/>
          <w:color w:val="000000"/>
          <w:vertAlign w:val="superscript"/>
        </w:rPr>
        <w:footnoteReference w:id="304"/>
      </w:r>
      <w:r w:rsidRPr="00666914">
        <w:rPr>
          <w:rFonts w:eastAsia="Arial Narrow" w:cs="Arial Narrow"/>
          <w:color w:val="000000"/>
        </w:rPr>
        <w:t>, následne prebiehala ex post kontrola nákupu</w:t>
      </w:r>
    </w:p>
    <w:p w14:paraId="13D0387B" w14:textId="77777777" w:rsidR="008E7D9E" w:rsidRPr="00666914" w:rsidRDefault="008E7D9E" w:rsidP="00131B23">
      <w:pPr>
        <w:numPr>
          <w:ilvl w:val="0"/>
          <w:numId w:val="26"/>
        </w:numPr>
        <w:pBdr>
          <w:top w:val="nil"/>
          <w:left w:val="nil"/>
          <w:bottom w:val="nil"/>
          <w:right w:val="nil"/>
          <w:between w:val="nil"/>
        </w:pBdr>
        <w:spacing w:after="0"/>
      </w:pPr>
      <w:r w:rsidRPr="00666914">
        <w:rPr>
          <w:rFonts w:eastAsia="Arial Narrow" w:cs="Arial Narrow"/>
          <w:color w:val="000000"/>
        </w:rPr>
        <w:t>Návrh a implementácia komplexného multiškálového modelovacieho systému na predpoveď a hodnotenie kvality ovzdušia – VO ukončené a podpísaná zmluva</w:t>
      </w:r>
      <w:r w:rsidRPr="00666914">
        <w:rPr>
          <w:rFonts w:eastAsia="Arial Narrow" w:cs="Arial Narrow"/>
          <w:color w:val="000000"/>
          <w:vertAlign w:val="superscript"/>
        </w:rPr>
        <w:footnoteReference w:id="305"/>
      </w:r>
      <w:r w:rsidRPr="00666914">
        <w:rPr>
          <w:rFonts w:eastAsia="Arial Narrow" w:cs="Arial Narrow"/>
          <w:color w:val="000000"/>
        </w:rPr>
        <w:t>,</w:t>
      </w:r>
    </w:p>
    <w:p w14:paraId="361393C9" w14:textId="77777777" w:rsidR="008E7D9E" w:rsidRPr="00666914" w:rsidRDefault="008E7D9E" w:rsidP="00131B23">
      <w:pPr>
        <w:numPr>
          <w:ilvl w:val="0"/>
          <w:numId w:val="26"/>
        </w:numPr>
        <w:pBdr>
          <w:top w:val="nil"/>
          <w:left w:val="nil"/>
          <w:bottom w:val="nil"/>
          <w:right w:val="nil"/>
          <w:between w:val="nil"/>
        </w:pBdr>
        <w:spacing w:after="0"/>
      </w:pPr>
      <w:r w:rsidRPr="00666914">
        <w:rPr>
          <w:rFonts w:eastAsia="Arial Narrow" w:cs="Arial Narrow"/>
          <w:color w:val="000000"/>
        </w:rPr>
        <w:t>Systém pre zálohovanie a archiváciu dát - VO ukončené a podpísaná zmluva</w:t>
      </w:r>
      <w:r w:rsidRPr="00666914">
        <w:rPr>
          <w:rFonts w:eastAsia="Arial Narrow" w:cs="Arial Narrow"/>
          <w:color w:val="000000"/>
          <w:vertAlign w:val="superscript"/>
        </w:rPr>
        <w:footnoteReference w:id="306"/>
      </w:r>
      <w:r w:rsidRPr="00666914">
        <w:rPr>
          <w:rFonts w:eastAsia="Arial Narrow" w:cs="Arial Narrow"/>
          <w:color w:val="000000"/>
        </w:rPr>
        <w:t>, nákup uskutočnený a finančné prostriedky refundované.</w:t>
      </w:r>
    </w:p>
    <w:p w14:paraId="28195C57" w14:textId="77777777" w:rsidR="008E7D9E" w:rsidRPr="00666914" w:rsidRDefault="008E7D9E">
      <w:pPr>
        <w:spacing w:after="0"/>
        <w:rPr>
          <w:rFonts w:eastAsia="Arial Narrow" w:cs="Arial Narrow"/>
          <w:b/>
        </w:rPr>
      </w:pPr>
    </w:p>
    <w:p w14:paraId="1FBCCBC0" w14:textId="1D8616B4" w:rsidR="008E7D9E" w:rsidRPr="00666914" w:rsidRDefault="008E7D9E" w:rsidP="00E10E38">
      <w:pPr>
        <w:rPr>
          <w:rFonts w:eastAsia="Arial Narrow" w:cs="Arial Narrow"/>
        </w:rPr>
      </w:pPr>
      <w:r w:rsidRPr="00666914">
        <w:rPr>
          <w:rFonts w:eastAsia="Arial Narrow" w:cs="Arial Narrow"/>
          <w:b/>
        </w:rPr>
        <w:t>Opatrenie sa z dôvodu meškania dodávky zariadení a technológie ako aj zlepšenia monitorovania ovzdušia k 31.12.2019 plní čiastočne.</w:t>
      </w:r>
    </w:p>
    <w:p w14:paraId="28E14185" w14:textId="77777777" w:rsidR="008E7D9E" w:rsidRPr="00666914" w:rsidRDefault="008E7D9E" w:rsidP="00131B23">
      <w:pPr>
        <w:numPr>
          <w:ilvl w:val="0"/>
          <w:numId w:val="25"/>
        </w:numPr>
        <w:spacing w:after="0"/>
        <w:rPr>
          <w:rFonts w:eastAsia="Arial Narrow" w:cs="Arial Narrow"/>
          <w:b/>
          <w:u w:val="single"/>
        </w:rPr>
      </w:pPr>
      <w:r w:rsidRPr="00666914">
        <w:rPr>
          <w:rFonts w:eastAsia="Arial Narrow" w:cs="Arial Narrow"/>
          <w:b/>
          <w:u w:val="single"/>
        </w:rPr>
        <w:t xml:space="preserve">Upraviť existujúcu prioritizáciu projektov na základe kvantifikácie čo najväčšieho množstva hodnotiacich kritérií </w:t>
      </w:r>
    </w:p>
    <w:p w14:paraId="348DCEDB" w14:textId="43A61E8D" w:rsidR="008E7D9E" w:rsidRPr="00666914" w:rsidRDefault="008E7D9E" w:rsidP="00E10E38">
      <w:pPr>
        <w:spacing w:before="240"/>
        <w:rPr>
          <w:rFonts w:eastAsia="Arial Narrow" w:cs="Arial Narrow"/>
        </w:rPr>
      </w:pPr>
      <w:r w:rsidRPr="00666914">
        <w:rPr>
          <w:rFonts w:eastAsia="Arial Narrow" w:cs="Arial Narrow"/>
        </w:rPr>
        <w:t>Opatrenie začalo MŽP SR realizovať koncom roku 2018 vypracovaním Predbežného hodnotenia povodňového rizika</w:t>
      </w:r>
      <w:r w:rsidRPr="00666914">
        <w:rPr>
          <w:rFonts w:eastAsia="Arial Narrow" w:cs="Arial Narrow"/>
          <w:vertAlign w:val="superscript"/>
        </w:rPr>
        <w:footnoteReference w:id="307"/>
      </w:r>
      <w:r w:rsidRPr="00666914">
        <w:rPr>
          <w:rFonts w:eastAsia="Arial Narrow" w:cs="Arial Narrow"/>
        </w:rPr>
        <w:t>. Následne budú aktualizované mapy povodňového rizika a povodňového ohrozenia. Podľa vyjadrenia SVP je aktualizácia prioritizácie predmetom zadania prípravy samotných PMPR v rámci nového plánovacieho obdobia 2021</w:t>
      </w:r>
      <w:r w:rsidR="006C0391" w:rsidRPr="00666914">
        <w:rPr>
          <w:rFonts w:eastAsia="Arial Narrow" w:cs="Arial Narrow"/>
        </w:rPr>
        <w:t xml:space="preserve"> </w:t>
      </w:r>
      <w:r w:rsidRPr="00666914">
        <w:rPr>
          <w:rFonts w:eastAsia="Arial Narrow" w:cs="Arial Narrow"/>
        </w:rPr>
        <w:t>-</w:t>
      </w:r>
      <w:r w:rsidR="006C0391" w:rsidRPr="00666914">
        <w:rPr>
          <w:rFonts w:eastAsia="Arial Narrow" w:cs="Arial Narrow"/>
        </w:rPr>
        <w:t xml:space="preserve"> </w:t>
      </w:r>
      <w:r w:rsidRPr="00666914">
        <w:rPr>
          <w:rFonts w:eastAsia="Arial Narrow" w:cs="Arial Narrow"/>
        </w:rPr>
        <w:t>2027. Výber zhotoviteľa projektu „Hodnotenie</w:t>
      </w:r>
      <w:r w:rsidRPr="00666914">
        <w:t xml:space="preserve"> </w:t>
      </w:r>
      <w:r w:rsidRPr="00666914">
        <w:rPr>
          <w:rFonts w:eastAsia="Arial Narrow" w:cs="Arial Narrow"/>
        </w:rPr>
        <w:t>a manažment povodňového rizika - aktualizácia 2021“</w:t>
      </w:r>
      <w:r w:rsidRPr="00666914">
        <w:rPr>
          <w:rFonts w:eastAsia="Arial Narrow" w:cs="Arial Narrow"/>
          <w:vertAlign w:val="superscript"/>
        </w:rPr>
        <w:footnoteReference w:id="308"/>
      </w:r>
      <w:r w:rsidRPr="00666914">
        <w:rPr>
          <w:rFonts w:eastAsia="Arial Narrow" w:cs="Arial Narrow"/>
        </w:rPr>
        <w:t xml:space="preserve"> za 12 mil. eur v súčasnosti prebieha. </w:t>
      </w:r>
      <w:r w:rsidRPr="00666914">
        <w:rPr>
          <w:rFonts w:eastAsia="Arial Narrow" w:cs="Arial Narrow"/>
          <w:b/>
        </w:rPr>
        <w:t>Opatrenie nie je k 31.12.2019 splnené.</w:t>
      </w:r>
      <w:r w:rsidRPr="00666914">
        <w:rPr>
          <w:rFonts w:eastAsia="Arial Narrow" w:cs="Arial Narrow"/>
        </w:rPr>
        <w:tab/>
      </w:r>
    </w:p>
    <w:p w14:paraId="3F457DE0" w14:textId="19BB3A6C" w:rsidR="008E7D9E" w:rsidRPr="00666914" w:rsidRDefault="008E7D9E">
      <w:pPr>
        <w:spacing w:after="0"/>
        <w:rPr>
          <w:rFonts w:eastAsia="Arial Narrow" w:cs="Arial Narrow"/>
        </w:rPr>
      </w:pPr>
      <w:r w:rsidRPr="00666914">
        <w:rPr>
          <w:rFonts w:eastAsia="Arial Narrow" w:cs="Arial Narrow"/>
          <w:b/>
        </w:rPr>
        <w:t>Odporúčanie IJ:</w:t>
      </w:r>
      <w:r w:rsidRPr="00666914">
        <w:rPr>
          <w:rFonts w:eastAsia="Arial Narrow" w:cs="Arial Narrow"/>
        </w:rPr>
        <w:t xml:space="preserve"> Pri vypracovaní novej metodiky prioritizácie projektov v protipovodňovej ochrane vychádzať z dostupných metodík (napr. od VÚVH, MŽP ČR</w:t>
      </w:r>
      <w:r w:rsidRPr="00666914">
        <w:rPr>
          <w:rFonts w:eastAsia="Arial Narrow" w:cs="Arial Narrow"/>
          <w:vertAlign w:val="superscript"/>
        </w:rPr>
        <w:footnoteReference w:id="309"/>
      </w:r>
      <w:r w:rsidR="000644F2" w:rsidRPr="00666914">
        <w:rPr>
          <w:rFonts w:eastAsia="Arial Narrow" w:cs="Arial Narrow"/>
        </w:rPr>
        <w:t>).</w:t>
      </w:r>
    </w:p>
    <w:p w14:paraId="67FADDCD" w14:textId="77777777" w:rsidR="008E7D9E" w:rsidRPr="00666914" w:rsidRDefault="008E7D9E">
      <w:pPr>
        <w:spacing w:after="0"/>
        <w:ind w:left="720"/>
        <w:rPr>
          <w:rFonts w:eastAsia="Arial Narrow" w:cs="Arial Narrow"/>
          <w:b/>
          <w:u w:val="single"/>
        </w:rPr>
      </w:pPr>
    </w:p>
    <w:p w14:paraId="1E1C031A" w14:textId="77777777" w:rsidR="008E7D9E" w:rsidRPr="00666914" w:rsidRDefault="008E7D9E" w:rsidP="00131B23">
      <w:pPr>
        <w:numPr>
          <w:ilvl w:val="0"/>
          <w:numId w:val="25"/>
        </w:numPr>
        <w:spacing w:after="80"/>
        <w:rPr>
          <w:rFonts w:eastAsia="Arial Narrow" w:cs="Arial Narrow"/>
          <w:b/>
          <w:u w:val="single"/>
        </w:rPr>
      </w:pPr>
      <w:r w:rsidRPr="00666914">
        <w:rPr>
          <w:rFonts w:eastAsia="Arial Narrow" w:cs="Arial Narrow"/>
          <w:b/>
          <w:u w:val="single"/>
        </w:rPr>
        <w:t xml:space="preserve">Elektronicky zbierať dáta o spracovateľských zariadeniach a zberných dvoroch s pravidelnou aktualizáciou (kapacita, množstvo odpadu) </w:t>
      </w:r>
    </w:p>
    <w:p w14:paraId="775B72A0" w14:textId="601978F7" w:rsidR="008E7D9E" w:rsidRPr="00666914" w:rsidRDefault="008E7D9E" w:rsidP="00E10E38">
      <w:pPr>
        <w:spacing w:before="80"/>
        <w:rPr>
          <w:rFonts w:eastAsia="Arial Narrow" w:cs="Arial Narrow"/>
          <w:b/>
          <w:u w:val="single"/>
        </w:rPr>
      </w:pPr>
      <w:r w:rsidRPr="00666914">
        <w:rPr>
          <w:rFonts w:eastAsia="Arial Narrow" w:cs="Arial Narrow"/>
        </w:rPr>
        <w:t xml:space="preserve">Zmluvu o dielo na projekt „Informačný systém odpadového hospodárstva“ v hodnote 15,3 mil. eur podpísalo MŽP SR v 11/2017 a projekt má byť zrealizovaný do roku 2020. Pôjde o elektronický portál, v ktorom budú sledované údaje na základe hlásení od výrobcov o množstve tovaru uvedeného na trh v jednotlivých kategóriách (obaly, neobaly, elektrozariadenia, pneumatiky, batérie a akumulátory, vozidlá) ako aj údaje o množstve zozbieraného a zhodnoteného odpadu podľa kategórií. </w:t>
      </w:r>
      <w:r w:rsidRPr="00666914">
        <w:rPr>
          <w:rFonts w:eastAsia="Arial Narrow" w:cs="Arial Narrow"/>
          <w:b/>
        </w:rPr>
        <w:t>Opatrenie sa k 31.12.2019 plní čiastočne.</w:t>
      </w:r>
    </w:p>
    <w:p w14:paraId="0A495FD6" w14:textId="77777777" w:rsidR="008E7D9E" w:rsidRPr="00666914" w:rsidRDefault="008E7D9E" w:rsidP="00131B23">
      <w:pPr>
        <w:numPr>
          <w:ilvl w:val="0"/>
          <w:numId w:val="25"/>
        </w:numPr>
        <w:spacing w:after="0"/>
        <w:rPr>
          <w:rFonts w:eastAsia="Arial Narrow" w:cs="Arial Narrow"/>
          <w:b/>
          <w:u w:val="single"/>
        </w:rPr>
      </w:pPr>
      <w:r w:rsidRPr="00666914">
        <w:rPr>
          <w:rFonts w:eastAsia="Arial Narrow" w:cs="Arial Narrow"/>
          <w:b/>
          <w:u w:val="single"/>
        </w:rPr>
        <w:t xml:space="preserve">Aktualizovať metodiku CBA z OP ŽP, aby bola v súlade s Rámcom hodnotenia verejných financií, bola záväzná pre všetky investície bez ohľadu na zdroj financovania a špecifikovala parametre pre sektor životného prostredia </w:t>
      </w:r>
    </w:p>
    <w:p w14:paraId="3BEE4406" w14:textId="77777777" w:rsidR="008E7D9E" w:rsidRPr="00666914" w:rsidRDefault="008E7D9E">
      <w:pPr>
        <w:spacing w:after="0"/>
        <w:rPr>
          <w:rFonts w:eastAsia="Arial Narrow" w:cs="Arial Narrow"/>
          <w:b/>
          <w:u w:val="single"/>
        </w:rPr>
      </w:pPr>
    </w:p>
    <w:p w14:paraId="3EB46542" w14:textId="77777777" w:rsidR="008E7D9E" w:rsidRPr="00666914" w:rsidRDefault="008E7D9E">
      <w:pPr>
        <w:spacing w:after="0"/>
        <w:rPr>
          <w:rFonts w:eastAsia="Arial Narrow" w:cs="Arial Narrow"/>
        </w:rPr>
      </w:pPr>
      <w:r w:rsidRPr="00666914">
        <w:rPr>
          <w:rFonts w:eastAsia="Arial Narrow" w:cs="Arial Narrow"/>
        </w:rPr>
        <w:t>Metodika CBA z OP ŽP bola v 06/2019 zo strany MŽP SR schválená a zverejnená na stránke ministerstva</w:t>
      </w:r>
      <w:r w:rsidRPr="00666914">
        <w:rPr>
          <w:vertAlign w:val="superscript"/>
        </w:rPr>
        <w:footnoteReference w:id="310"/>
      </w:r>
      <w:r w:rsidRPr="00666914">
        <w:rPr>
          <w:rFonts w:eastAsia="Arial Narrow" w:cs="Arial Narrow"/>
        </w:rPr>
        <w:t xml:space="preserve">. Všetky investičné projekty z oblasti životného prostredia, ktoré budú od tohto dátumu vypracované, sa budú riadiť touto metodikou. </w:t>
      </w:r>
      <w:r w:rsidRPr="00666914">
        <w:rPr>
          <w:rFonts w:eastAsia="Arial Narrow" w:cs="Arial Narrow"/>
          <w:b/>
        </w:rPr>
        <w:t>Opatrenie je k 30.6.2019 splnené a nebude už predmetom hodnotenia v roku 2020.</w:t>
      </w:r>
    </w:p>
    <w:p w14:paraId="299D6EF8" w14:textId="77777777" w:rsidR="008E7D9E" w:rsidRPr="00666914" w:rsidRDefault="008E7D9E">
      <w:pPr>
        <w:spacing w:after="0"/>
        <w:rPr>
          <w:rFonts w:eastAsia="Arial Narrow" w:cs="Arial Narrow"/>
        </w:rPr>
      </w:pPr>
    </w:p>
    <w:p w14:paraId="17B6D957" w14:textId="77777777" w:rsidR="008E7D9E" w:rsidRPr="00666914" w:rsidRDefault="008E7D9E" w:rsidP="008E7D9E">
      <w:pPr>
        <w:pStyle w:val="Nadpis2"/>
        <w:rPr>
          <w:rFonts w:eastAsia="Arial Narrow"/>
        </w:rPr>
      </w:pPr>
      <w:bookmarkStart w:id="350" w:name="_heading=h.1pxezwc" w:colFirst="0" w:colLast="0"/>
      <w:bookmarkStart w:id="351" w:name="_Toc38447614"/>
      <w:bookmarkEnd w:id="350"/>
      <w:r w:rsidRPr="00666914">
        <w:rPr>
          <w:rFonts w:eastAsia="Arial Narrow"/>
        </w:rPr>
        <w:lastRenderedPageBreak/>
        <w:t>Analytické úlohy</w:t>
      </w:r>
      <w:bookmarkEnd w:id="351"/>
    </w:p>
    <w:tbl>
      <w:tblPr>
        <w:tblW w:w="9288" w:type="dxa"/>
        <w:tblLayout w:type="fixed"/>
        <w:tblLook w:val="0400" w:firstRow="0" w:lastRow="0" w:firstColumn="0" w:lastColumn="0" w:noHBand="0" w:noVBand="1"/>
      </w:tblPr>
      <w:tblGrid>
        <w:gridCol w:w="416"/>
        <w:gridCol w:w="3288"/>
        <w:gridCol w:w="1417"/>
        <w:gridCol w:w="850"/>
        <w:gridCol w:w="992"/>
        <w:gridCol w:w="581"/>
        <w:gridCol w:w="581"/>
        <w:gridCol w:w="581"/>
        <w:gridCol w:w="582"/>
      </w:tblGrid>
      <w:tr w:rsidR="008E7D9E" w:rsidRPr="00666914" w14:paraId="6F39246E" w14:textId="77777777" w:rsidTr="00254A5B">
        <w:trPr>
          <w:trHeight w:val="306"/>
        </w:trPr>
        <w:tc>
          <w:tcPr>
            <w:tcW w:w="4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BCAFC0"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 </w:t>
            </w:r>
          </w:p>
        </w:tc>
        <w:tc>
          <w:tcPr>
            <w:tcW w:w="3288" w:type="dxa"/>
            <w:tcBorders>
              <w:top w:val="single" w:sz="4" w:space="0" w:color="000000"/>
              <w:left w:val="nil"/>
              <w:bottom w:val="single" w:sz="4" w:space="0" w:color="000000"/>
              <w:right w:val="single" w:sz="4" w:space="0" w:color="000000"/>
            </w:tcBorders>
            <w:shd w:val="clear" w:color="auto" w:fill="auto"/>
            <w:vAlign w:val="center"/>
          </w:tcPr>
          <w:p w14:paraId="4DAF4E16"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Opatrenie</w:t>
            </w: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59538D10"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Zodpovednosť</w:t>
            </w:r>
          </w:p>
        </w:tc>
        <w:tc>
          <w:tcPr>
            <w:tcW w:w="850" w:type="dxa"/>
            <w:tcBorders>
              <w:top w:val="single" w:sz="4" w:space="0" w:color="000000"/>
              <w:left w:val="nil"/>
              <w:bottom w:val="single" w:sz="4" w:space="0" w:color="000000"/>
              <w:right w:val="single" w:sz="4" w:space="0" w:color="000000"/>
            </w:tcBorders>
            <w:shd w:val="clear" w:color="auto" w:fill="auto"/>
            <w:vAlign w:val="center"/>
          </w:tcPr>
          <w:p w14:paraId="75578E4E"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Termín plnenia</w:t>
            </w:r>
          </w:p>
        </w:tc>
        <w:tc>
          <w:tcPr>
            <w:tcW w:w="992" w:type="dxa"/>
            <w:tcBorders>
              <w:top w:val="single" w:sz="4" w:space="0" w:color="000000"/>
              <w:left w:val="nil"/>
              <w:bottom w:val="single" w:sz="4" w:space="0" w:color="000000"/>
              <w:right w:val="single" w:sz="4" w:space="0" w:color="000000"/>
            </w:tcBorders>
          </w:tcPr>
          <w:p w14:paraId="3AFB2AF7"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Nový termín plnenia</w:t>
            </w:r>
          </w:p>
        </w:tc>
        <w:tc>
          <w:tcPr>
            <w:tcW w:w="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C1D79"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1Q 2019</w:t>
            </w:r>
          </w:p>
        </w:tc>
        <w:tc>
          <w:tcPr>
            <w:tcW w:w="581" w:type="dxa"/>
            <w:tcBorders>
              <w:top w:val="single" w:sz="4" w:space="0" w:color="000000"/>
              <w:left w:val="nil"/>
              <w:bottom w:val="single" w:sz="4" w:space="0" w:color="000000"/>
              <w:right w:val="single" w:sz="4" w:space="0" w:color="000000"/>
            </w:tcBorders>
            <w:shd w:val="clear" w:color="auto" w:fill="auto"/>
            <w:vAlign w:val="center"/>
          </w:tcPr>
          <w:p w14:paraId="75F37954"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2Q 2019</w:t>
            </w:r>
          </w:p>
        </w:tc>
        <w:tc>
          <w:tcPr>
            <w:tcW w:w="581" w:type="dxa"/>
            <w:tcBorders>
              <w:top w:val="single" w:sz="4" w:space="0" w:color="000000"/>
              <w:left w:val="nil"/>
              <w:bottom w:val="single" w:sz="4" w:space="0" w:color="000000"/>
              <w:right w:val="single" w:sz="4" w:space="0" w:color="000000"/>
            </w:tcBorders>
            <w:shd w:val="clear" w:color="auto" w:fill="auto"/>
            <w:vAlign w:val="center"/>
          </w:tcPr>
          <w:p w14:paraId="18828B92"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3Q 2019</w:t>
            </w:r>
          </w:p>
        </w:tc>
        <w:tc>
          <w:tcPr>
            <w:tcW w:w="582" w:type="dxa"/>
            <w:tcBorders>
              <w:top w:val="single" w:sz="4" w:space="0" w:color="000000"/>
              <w:left w:val="nil"/>
              <w:bottom w:val="single" w:sz="4" w:space="0" w:color="000000"/>
              <w:right w:val="single" w:sz="4" w:space="0" w:color="000000"/>
            </w:tcBorders>
            <w:shd w:val="clear" w:color="auto" w:fill="auto"/>
            <w:vAlign w:val="center"/>
          </w:tcPr>
          <w:p w14:paraId="633123D9" w14:textId="77777777" w:rsidR="008E7D9E" w:rsidRPr="00666914" w:rsidRDefault="008E7D9E">
            <w:pPr>
              <w:spacing w:after="0"/>
              <w:jc w:val="center"/>
              <w:rPr>
                <w:rFonts w:eastAsia="Arial Narrow" w:cs="Arial Narrow"/>
                <w:b/>
                <w:color w:val="000000"/>
                <w:sz w:val="20"/>
                <w:szCs w:val="20"/>
              </w:rPr>
            </w:pPr>
            <w:r w:rsidRPr="00666914">
              <w:rPr>
                <w:rFonts w:eastAsia="Arial Narrow" w:cs="Arial Narrow"/>
                <w:b/>
                <w:color w:val="000000"/>
                <w:sz w:val="20"/>
                <w:szCs w:val="20"/>
              </w:rPr>
              <w:t>4Q 2019</w:t>
            </w:r>
          </w:p>
        </w:tc>
      </w:tr>
      <w:tr w:rsidR="008E7D9E" w:rsidRPr="00666914" w14:paraId="0D9F8EEF" w14:textId="77777777" w:rsidTr="00254A5B">
        <w:trPr>
          <w:trHeight w:val="286"/>
        </w:trPr>
        <w:tc>
          <w:tcPr>
            <w:tcW w:w="416" w:type="dxa"/>
            <w:tcBorders>
              <w:top w:val="nil"/>
              <w:left w:val="single" w:sz="8" w:space="0" w:color="000000"/>
              <w:bottom w:val="single" w:sz="4" w:space="0" w:color="000000"/>
              <w:right w:val="single" w:sz="4" w:space="0" w:color="000000"/>
            </w:tcBorders>
            <w:shd w:val="clear" w:color="auto" w:fill="auto"/>
            <w:vAlign w:val="center"/>
          </w:tcPr>
          <w:p w14:paraId="7E377FAD"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24</w:t>
            </w:r>
          </w:p>
        </w:tc>
        <w:tc>
          <w:tcPr>
            <w:tcW w:w="3288" w:type="dxa"/>
            <w:tcBorders>
              <w:top w:val="nil"/>
              <w:left w:val="nil"/>
              <w:bottom w:val="single" w:sz="4" w:space="0" w:color="000000"/>
              <w:right w:val="single" w:sz="4" w:space="0" w:color="000000"/>
            </w:tcBorders>
            <w:shd w:val="clear" w:color="auto" w:fill="auto"/>
            <w:vAlign w:val="center"/>
          </w:tcPr>
          <w:p w14:paraId="322A0975"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EF - Vypracovať benchmarky pre jednotlivé oblasti podpory</w:t>
            </w:r>
          </w:p>
        </w:tc>
        <w:tc>
          <w:tcPr>
            <w:tcW w:w="1417" w:type="dxa"/>
            <w:tcBorders>
              <w:top w:val="nil"/>
              <w:left w:val="nil"/>
              <w:bottom w:val="single" w:sz="4" w:space="0" w:color="000000"/>
              <w:right w:val="single" w:sz="4" w:space="0" w:color="000000"/>
            </w:tcBorders>
            <w:shd w:val="clear" w:color="auto" w:fill="auto"/>
            <w:vAlign w:val="center"/>
          </w:tcPr>
          <w:p w14:paraId="11B99FDA"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SR/EF</w:t>
            </w:r>
          </w:p>
          <w:p w14:paraId="19363993"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IEP</w:t>
            </w:r>
          </w:p>
        </w:tc>
        <w:tc>
          <w:tcPr>
            <w:tcW w:w="850" w:type="dxa"/>
            <w:tcBorders>
              <w:top w:val="nil"/>
              <w:left w:val="nil"/>
              <w:bottom w:val="single" w:sz="4" w:space="0" w:color="000000"/>
              <w:right w:val="single" w:sz="4" w:space="0" w:color="000000"/>
            </w:tcBorders>
            <w:shd w:val="clear" w:color="auto" w:fill="auto"/>
            <w:vAlign w:val="center"/>
          </w:tcPr>
          <w:p w14:paraId="504B8BE7"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w:t>
            </w:r>
          </w:p>
        </w:tc>
        <w:tc>
          <w:tcPr>
            <w:tcW w:w="992" w:type="dxa"/>
            <w:tcBorders>
              <w:top w:val="single" w:sz="4" w:space="0" w:color="000000"/>
              <w:left w:val="nil"/>
              <w:bottom w:val="single" w:sz="4" w:space="0" w:color="000000"/>
              <w:right w:val="single" w:sz="4" w:space="0" w:color="000000"/>
            </w:tcBorders>
            <w:vAlign w:val="center"/>
          </w:tcPr>
          <w:p w14:paraId="7D42EC0A"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06/2019</w:t>
            </w:r>
          </w:p>
        </w:tc>
        <w:tc>
          <w:tcPr>
            <w:tcW w:w="581" w:type="dxa"/>
            <w:tcBorders>
              <w:top w:val="nil"/>
              <w:left w:val="single" w:sz="4" w:space="0" w:color="000000"/>
              <w:bottom w:val="single" w:sz="4" w:space="0" w:color="000000"/>
              <w:right w:val="single" w:sz="4" w:space="0" w:color="000000"/>
            </w:tcBorders>
            <w:shd w:val="clear" w:color="auto" w:fill="92D050"/>
            <w:vAlign w:val="bottom"/>
          </w:tcPr>
          <w:p w14:paraId="0B6634A5"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581" w:type="dxa"/>
            <w:tcBorders>
              <w:top w:val="nil"/>
              <w:left w:val="nil"/>
              <w:bottom w:val="single" w:sz="4" w:space="0" w:color="000000"/>
              <w:right w:val="single" w:sz="4" w:space="0" w:color="000000"/>
            </w:tcBorders>
            <w:shd w:val="clear" w:color="auto" w:fill="92D050"/>
            <w:vAlign w:val="bottom"/>
          </w:tcPr>
          <w:p w14:paraId="6AFE5EE7"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581" w:type="dxa"/>
            <w:tcBorders>
              <w:top w:val="nil"/>
              <w:left w:val="nil"/>
              <w:bottom w:val="single" w:sz="4" w:space="0" w:color="000000"/>
              <w:right w:val="single" w:sz="4" w:space="0" w:color="000000"/>
            </w:tcBorders>
            <w:shd w:val="clear" w:color="auto" w:fill="AEAAAA"/>
            <w:vAlign w:val="bottom"/>
          </w:tcPr>
          <w:p w14:paraId="3B8BB044"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c>
          <w:tcPr>
            <w:tcW w:w="582" w:type="dxa"/>
            <w:tcBorders>
              <w:top w:val="nil"/>
              <w:left w:val="nil"/>
              <w:bottom w:val="single" w:sz="4" w:space="0" w:color="000000"/>
              <w:right w:val="single" w:sz="8" w:space="0" w:color="000000"/>
            </w:tcBorders>
            <w:shd w:val="clear" w:color="auto" w:fill="AEAAAA"/>
            <w:vAlign w:val="bottom"/>
          </w:tcPr>
          <w:p w14:paraId="78F5ED5A"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 </w:t>
            </w:r>
          </w:p>
        </w:tc>
      </w:tr>
      <w:tr w:rsidR="008E7D9E" w:rsidRPr="00666914" w14:paraId="63015B8D" w14:textId="77777777" w:rsidTr="00254A5B">
        <w:trPr>
          <w:trHeight w:val="286"/>
        </w:trPr>
        <w:tc>
          <w:tcPr>
            <w:tcW w:w="416" w:type="dxa"/>
            <w:tcBorders>
              <w:top w:val="nil"/>
              <w:left w:val="single" w:sz="8" w:space="0" w:color="000000"/>
              <w:bottom w:val="single" w:sz="4" w:space="0" w:color="000000"/>
              <w:right w:val="single" w:sz="4" w:space="0" w:color="000000"/>
            </w:tcBorders>
            <w:shd w:val="clear" w:color="auto" w:fill="auto"/>
            <w:vAlign w:val="center"/>
          </w:tcPr>
          <w:p w14:paraId="3D3B1667"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25</w:t>
            </w:r>
          </w:p>
        </w:tc>
        <w:tc>
          <w:tcPr>
            <w:tcW w:w="3288" w:type="dxa"/>
            <w:tcBorders>
              <w:top w:val="nil"/>
              <w:left w:val="nil"/>
              <w:bottom w:val="single" w:sz="4" w:space="0" w:color="000000"/>
              <w:right w:val="single" w:sz="4" w:space="0" w:color="000000"/>
            </w:tcBorders>
            <w:shd w:val="clear" w:color="auto" w:fill="auto"/>
            <w:vAlign w:val="center"/>
          </w:tcPr>
          <w:p w14:paraId="1ED7545F"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Vykonať audit VV, š.p.</w:t>
            </w:r>
          </w:p>
        </w:tc>
        <w:tc>
          <w:tcPr>
            <w:tcW w:w="1417" w:type="dxa"/>
            <w:tcBorders>
              <w:top w:val="nil"/>
              <w:left w:val="nil"/>
              <w:bottom w:val="single" w:sz="4" w:space="0" w:color="000000"/>
              <w:right w:val="single" w:sz="4" w:space="0" w:color="000000"/>
            </w:tcBorders>
            <w:shd w:val="clear" w:color="auto" w:fill="auto"/>
            <w:vAlign w:val="center"/>
          </w:tcPr>
          <w:p w14:paraId="45CC8A04"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w:t>
            </w:r>
          </w:p>
        </w:tc>
        <w:tc>
          <w:tcPr>
            <w:tcW w:w="850" w:type="dxa"/>
            <w:tcBorders>
              <w:top w:val="nil"/>
              <w:left w:val="nil"/>
              <w:bottom w:val="single" w:sz="4" w:space="0" w:color="000000"/>
              <w:right w:val="single" w:sz="4" w:space="0" w:color="000000"/>
            </w:tcBorders>
            <w:shd w:val="clear" w:color="auto" w:fill="auto"/>
            <w:vAlign w:val="center"/>
          </w:tcPr>
          <w:p w14:paraId="52D79C8F"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w:t>
            </w:r>
          </w:p>
        </w:tc>
        <w:tc>
          <w:tcPr>
            <w:tcW w:w="992" w:type="dxa"/>
            <w:tcBorders>
              <w:top w:val="single" w:sz="4" w:space="0" w:color="000000"/>
              <w:left w:val="nil"/>
              <w:bottom w:val="single" w:sz="4" w:space="0" w:color="000000"/>
              <w:right w:val="single" w:sz="4" w:space="0" w:color="000000"/>
            </w:tcBorders>
            <w:vAlign w:val="center"/>
          </w:tcPr>
          <w:p w14:paraId="349E0360"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12/2019</w:t>
            </w:r>
          </w:p>
        </w:tc>
        <w:tc>
          <w:tcPr>
            <w:tcW w:w="581" w:type="dxa"/>
            <w:tcBorders>
              <w:top w:val="nil"/>
              <w:left w:val="single" w:sz="4" w:space="0" w:color="000000"/>
              <w:bottom w:val="single" w:sz="4" w:space="0" w:color="000000"/>
              <w:right w:val="single" w:sz="4" w:space="0" w:color="000000"/>
            </w:tcBorders>
            <w:shd w:val="clear" w:color="auto" w:fill="FF0000"/>
            <w:vAlign w:val="bottom"/>
          </w:tcPr>
          <w:p w14:paraId="2CF44328" w14:textId="77777777" w:rsidR="008E7D9E" w:rsidRPr="00666914" w:rsidRDefault="008E7D9E">
            <w:pPr>
              <w:spacing w:after="0"/>
              <w:rPr>
                <w:rFonts w:eastAsia="Arial Narrow" w:cs="Arial Narrow"/>
                <w:color w:val="000000"/>
                <w:sz w:val="20"/>
                <w:szCs w:val="20"/>
              </w:rPr>
            </w:pPr>
          </w:p>
        </w:tc>
        <w:tc>
          <w:tcPr>
            <w:tcW w:w="581" w:type="dxa"/>
            <w:tcBorders>
              <w:top w:val="nil"/>
              <w:left w:val="nil"/>
              <w:bottom w:val="single" w:sz="4" w:space="0" w:color="000000"/>
              <w:right w:val="single" w:sz="4" w:space="0" w:color="000000"/>
            </w:tcBorders>
            <w:shd w:val="clear" w:color="auto" w:fill="FF0000"/>
            <w:vAlign w:val="bottom"/>
          </w:tcPr>
          <w:p w14:paraId="31C121BC" w14:textId="77777777" w:rsidR="008E7D9E" w:rsidRPr="00666914" w:rsidRDefault="008E7D9E">
            <w:pPr>
              <w:spacing w:after="0"/>
              <w:rPr>
                <w:rFonts w:eastAsia="Arial Narrow" w:cs="Arial Narrow"/>
                <w:color w:val="000000"/>
                <w:sz w:val="20"/>
                <w:szCs w:val="20"/>
              </w:rPr>
            </w:pPr>
          </w:p>
        </w:tc>
        <w:tc>
          <w:tcPr>
            <w:tcW w:w="581" w:type="dxa"/>
            <w:tcBorders>
              <w:top w:val="nil"/>
              <w:left w:val="nil"/>
              <w:bottom w:val="single" w:sz="4" w:space="0" w:color="000000"/>
              <w:right w:val="single" w:sz="4" w:space="0" w:color="000000"/>
            </w:tcBorders>
            <w:shd w:val="clear" w:color="auto" w:fill="C00000"/>
            <w:vAlign w:val="bottom"/>
          </w:tcPr>
          <w:p w14:paraId="5937F8B8" w14:textId="77777777" w:rsidR="008E7D9E" w:rsidRPr="00666914" w:rsidRDefault="008E7D9E">
            <w:pPr>
              <w:spacing w:after="0"/>
              <w:rPr>
                <w:rFonts w:eastAsia="Arial Narrow" w:cs="Arial Narrow"/>
                <w:color w:val="000000"/>
                <w:sz w:val="20"/>
                <w:szCs w:val="20"/>
              </w:rPr>
            </w:pPr>
          </w:p>
        </w:tc>
        <w:tc>
          <w:tcPr>
            <w:tcW w:w="582" w:type="dxa"/>
            <w:tcBorders>
              <w:top w:val="nil"/>
              <w:left w:val="nil"/>
              <w:bottom w:val="single" w:sz="4" w:space="0" w:color="000000"/>
              <w:right w:val="single" w:sz="8" w:space="0" w:color="000000"/>
            </w:tcBorders>
            <w:shd w:val="clear" w:color="auto" w:fill="92D050"/>
            <w:vAlign w:val="bottom"/>
          </w:tcPr>
          <w:p w14:paraId="534D995D" w14:textId="77777777" w:rsidR="008E7D9E" w:rsidRPr="00666914" w:rsidRDefault="008E7D9E">
            <w:pPr>
              <w:spacing w:after="0"/>
              <w:rPr>
                <w:rFonts w:eastAsia="Arial Narrow" w:cs="Arial Narrow"/>
                <w:color w:val="000000"/>
                <w:sz w:val="20"/>
                <w:szCs w:val="20"/>
              </w:rPr>
            </w:pPr>
          </w:p>
        </w:tc>
      </w:tr>
      <w:tr w:rsidR="008E7D9E" w:rsidRPr="00666914" w14:paraId="7E8D1A77" w14:textId="77777777" w:rsidTr="00254A5B">
        <w:trPr>
          <w:trHeight w:val="286"/>
        </w:trPr>
        <w:tc>
          <w:tcPr>
            <w:tcW w:w="416" w:type="dxa"/>
            <w:tcBorders>
              <w:top w:val="nil"/>
              <w:left w:val="single" w:sz="8" w:space="0" w:color="000000"/>
              <w:bottom w:val="single" w:sz="4" w:space="0" w:color="000000"/>
              <w:right w:val="single" w:sz="4" w:space="0" w:color="000000"/>
            </w:tcBorders>
            <w:shd w:val="clear" w:color="auto" w:fill="auto"/>
            <w:vAlign w:val="center"/>
          </w:tcPr>
          <w:p w14:paraId="46221719"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26</w:t>
            </w:r>
          </w:p>
        </w:tc>
        <w:tc>
          <w:tcPr>
            <w:tcW w:w="3288" w:type="dxa"/>
            <w:tcBorders>
              <w:top w:val="nil"/>
              <w:left w:val="nil"/>
              <w:bottom w:val="single" w:sz="4" w:space="0" w:color="000000"/>
              <w:right w:val="single" w:sz="4" w:space="0" w:color="000000"/>
            </w:tcBorders>
            <w:shd w:val="clear" w:color="auto" w:fill="auto"/>
            <w:vAlign w:val="center"/>
          </w:tcPr>
          <w:p w14:paraId="24DD02FC"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Analyzovať príčiny povodní</w:t>
            </w:r>
          </w:p>
        </w:tc>
        <w:tc>
          <w:tcPr>
            <w:tcW w:w="1417" w:type="dxa"/>
            <w:tcBorders>
              <w:top w:val="nil"/>
              <w:left w:val="nil"/>
              <w:bottom w:val="single" w:sz="4" w:space="0" w:color="000000"/>
              <w:right w:val="single" w:sz="4" w:space="0" w:color="000000"/>
            </w:tcBorders>
            <w:shd w:val="clear" w:color="auto" w:fill="auto"/>
            <w:vAlign w:val="center"/>
          </w:tcPr>
          <w:p w14:paraId="4DC83C69"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w:t>
            </w:r>
          </w:p>
          <w:p w14:paraId="15C27132"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SVP, SHMÚ, VÚVH</w:t>
            </w:r>
          </w:p>
        </w:tc>
        <w:tc>
          <w:tcPr>
            <w:tcW w:w="850" w:type="dxa"/>
            <w:tcBorders>
              <w:top w:val="nil"/>
              <w:left w:val="nil"/>
              <w:bottom w:val="single" w:sz="4" w:space="0" w:color="000000"/>
              <w:right w:val="single" w:sz="4" w:space="0" w:color="000000"/>
            </w:tcBorders>
            <w:shd w:val="clear" w:color="auto" w:fill="auto"/>
            <w:vAlign w:val="center"/>
          </w:tcPr>
          <w:p w14:paraId="5F7D57F7"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2020</w:t>
            </w:r>
          </w:p>
        </w:tc>
        <w:tc>
          <w:tcPr>
            <w:tcW w:w="992" w:type="dxa"/>
            <w:tcBorders>
              <w:top w:val="single" w:sz="4" w:space="0" w:color="000000"/>
              <w:left w:val="nil"/>
              <w:bottom w:val="single" w:sz="4" w:space="0" w:color="000000"/>
              <w:right w:val="single" w:sz="4" w:space="0" w:color="000000"/>
            </w:tcBorders>
            <w:vAlign w:val="center"/>
          </w:tcPr>
          <w:p w14:paraId="66A47F89"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w:t>
            </w:r>
          </w:p>
        </w:tc>
        <w:tc>
          <w:tcPr>
            <w:tcW w:w="581" w:type="dxa"/>
            <w:tcBorders>
              <w:top w:val="nil"/>
              <w:left w:val="single" w:sz="4" w:space="0" w:color="000000"/>
              <w:bottom w:val="single" w:sz="4" w:space="0" w:color="000000"/>
              <w:right w:val="single" w:sz="4" w:space="0" w:color="000000"/>
            </w:tcBorders>
            <w:shd w:val="clear" w:color="auto" w:fill="A6A6A6"/>
            <w:vAlign w:val="bottom"/>
          </w:tcPr>
          <w:p w14:paraId="4FBD9EAF" w14:textId="77777777" w:rsidR="008E7D9E" w:rsidRPr="00666914" w:rsidRDefault="008E7D9E">
            <w:pPr>
              <w:spacing w:after="0"/>
              <w:rPr>
                <w:rFonts w:eastAsia="Arial Narrow" w:cs="Arial Narrow"/>
                <w:color w:val="000000"/>
                <w:sz w:val="20"/>
                <w:szCs w:val="20"/>
              </w:rPr>
            </w:pPr>
          </w:p>
        </w:tc>
        <w:tc>
          <w:tcPr>
            <w:tcW w:w="581" w:type="dxa"/>
            <w:tcBorders>
              <w:top w:val="nil"/>
              <w:left w:val="nil"/>
              <w:bottom w:val="single" w:sz="4" w:space="0" w:color="000000"/>
              <w:right w:val="single" w:sz="4" w:space="0" w:color="000000"/>
            </w:tcBorders>
            <w:shd w:val="clear" w:color="auto" w:fill="FF0000"/>
            <w:vAlign w:val="bottom"/>
          </w:tcPr>
          <w:p w14:paraId="387D7957" w14:textId="77777777" w:rsidR="008E7D9E" w:rsidRPr="00666914" w:rsidRDefault="008E7D9E">
            <w:pPr>
              <w:spacing w:after="0"/>
              <w:rPr>
                <w:rFonts w:eastAsia="Arial Narrow" w:cs="Arial Narrow"/>
                <w:color w:val="000000"/>
                <w:sz w:val="20"/>
                <w:szCs w:val="20"/>
              </w:rPr>
            </w:pPr>
          </w:p>
        </w:tc>
        <w:tc>
          <w:tcPr>
            <w:tcW w:w="581" w:type="dxa"/>
            <w:tcBorders>
              <w:top w:val="nil"/>
              <w:left w:val="nil"/>
              <w:bottom w:val="single" w:sz="4" w:space="0" w:color="000000"/>
              <w:right w:val="single" w:sz="4" w:space="0" w:color="000000"/>
            </w:tcBorders>
            <w:shd w:val="clear" w:color="auto" w:fill="AEAAAA"/>
            <w:vAlign w:val="bottom"/>
          </w:tcPr>
          <w:p w14:paraId="40A4C94F" w14:textId="77777777" w:rsidR="008E7D9E" w:rsidRPr="00666914" w:rsidRDefault="008E7D9E">
            <w:pPr>
              <w:spacing w:after="0"/>
              <w:rPr>
                <w:rFonts w:eastAsia="Arial Narrow" w:cs="Arial Narrow"/>
                <w:color w:val="000000"/>
                <w:sz w:val="20"/>
                <w:szCs w:val="20"/>
              </w:rPr>
            </w:pPr>
          </w:p>
        </w:tc>
        <w:tc>
          <w:tcPr>
            <w:tcW w:w="582" w:type="dxa"/>
            <w:tcBorders>
              <w:top w:val="nil"/>
              <w:left w:val="nil"/>
              <w:bottom w:val="single" w:sz="4" w:space="0" w:color="000000"/>
              <w:right w:val="single" w:sz="8" w:space="0" w:color="000000"/>
            </w:tcBorders>
            <w:shd w:val="clear" w:color="auto" w:fill="FF0000"/>
            <w:vAlign w:val="bottom"/>
          </w:tcPr>
          <w:p w14:paraId="0CCBB937" w14:textId="77777777" w:rsidR="008E7D9E" w:rsidRPr="00666914" w:rsidRDefault="008E7D9E">
            <w:pPr>
              <w:spacing w:after="0"/>
              <w:rPr>
                <w:rFonts w:eastAsia="Arial Narrow" w:cs="Arial Narrow"/>
                <w:color w:val="000000"/>
                <w:sz w:val="20"/>
                <w:szCs w:val="20"/>
              </w:rPr>
            </w:pPr>
          </w:p>
        </w:tc>
      </w:tr>
      <w:tr w:rsidR="008E7D9E" w:rsidRPr="00666914" w14:paraId="6C91595A" w14:textId="77777777" w:rsidTr="00254A5B">
        <w:trPr>
          <w:trHeight w:val="286"/>
        </w:trPr>
        <w:tc>
          <w:tcPr>
            <w:tcW w:w="416" w:type="dxa"/>
            <w:tcBorders>
              <w:top w:val="nil"/>
              <w:left w:val="single" w:sz="8" w:space="0" w:color="000000"/>
              <w:bottom w:val="single" w:sz="4" w:space="0" w:color="000000"/>
              <w:right w:val="single" w:sz="4" w:space="0" w:color="000000"/>
            </w:tcBorders>
            <w:shd w:val="clear" w:color="auto" w:fill="auto"/>
            <w:vAlign w:val="center"/>
          </w:tcPr>
          <w:p w14:paraId="063D3CDF"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27</w:t>
            </w:r>
          </w:p>
        </w:tc>
        <w:tc>
          <w:tcPr>
            <w:tcW w:w="3288" w:type="dxa"/>
            <w:tcBorders>
              <w:top w:val="nil"/>
              <w:left w:val="nil"/>
              <w:bottom w:val="single" w:sz="4" w:space="0" w:color="000000"/>
              <w:right w:val="single" w:sz="4" w:space="0" w:color="000000"/>
            </w:tcBorders>
            <w:shd w:val="clear" w:color="auto" w:fill="auto"/>
            <w:vAlign w:val="center"/>
          </w:tcPr>
          <w:p w14:paraId="7654F161"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Vyhodnotiť vplyvy jednotlivých typov zelených a sivých opatrení na protipovodňové a iné funkcie v krajine</w:t>
            </w:r>
          </w:p>
        </w:tc>
        <w:tc>
          <w:tcPr>
            <w:tcW w:w="1417" w:type="dxa"/>
            <w:tcBorders>
              <w:top w:val="nil"/>
              <w:left w:val="nil"/>
              <w:bottom w:val="single" w:sz="4" w:space="0" w:color="000000"/>
              <w:right w:val="single" w:sz="4" w:space="0" w:color="000000"/>
            </w:tcBorders>
            <w:shd w:val="clear" w:color="auto" w:fill="auto"/>
            <w:vAlign w:val="center"/>
          </w:tcPr>
          <w:p w14:paraId="33BD032F"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w:t>
            </w:r>
          </w:p>
        </w:tc>
        <w:tc>
          <w:tcPr>
            <w:tcW w:w="850" w:type="dxa"/>
            <w:tcBorders>
              <w:top w:val="nil"/>
              <w:left w:val="nil"/>
              <w:bottom w:val="single" w:sz="4" w:space="0" w:color="000000"/>
              <w:right w:val="single" w:sz="4" w:space="0" w:color="000000"/>
            </w:tcBorders>
            <w:shd w:val="clear" w:color="auto" w:fill="auto"/>
            <w:vAlign w:val="center"/>
          </w:tcPr>
          <w:p w14:paraId="7530001B"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2020</w:t>
            </w:r>
          </w:p>
        </w:tc>
        <w:tc>
          <w:tcPr>
            <w:tcW w:w="992" w:type="dxa"/>
            <w:tcBorders>
              <w:top w:val="single" w:sz="4" w:space="0" w:color="000000"/>
              <w:left w:val="nil"/>
              <w:bottom w:val="single" w:sz="4" w:space="0" w:color="000000"/>
              <w:right w:val="single" w:sz="4" w:space="0" w:color="000000"/>
            </w:tcBorders>
            <w:vAlign w:val="center"/>
          </w:tcPr>
          <w:p w14:paraId="4D810A70" w14:textId="77777777" w:rsidR="008E7D9E" w:rsidRPr="00666914" w:rsidRDefault="008E7D9E" w:rsidP="00131B23">
            <w:pPr>
              <w:numPr>
                <w:ilvl w:val="0"/>
                <w:numId w:val="26"/>
              </w:numPr>
              <w:spacing w:after="0"/>
              <w:jc w:val="center"/>
              <w:rPr>
                <w:rFonts w:eastAsia="Arial Narrow" w:cs="Arial Narrow"/>
                <w:color w:val="000000"/>
                <w:sz w:val="20"/>
                <w:szCs w:val="20"/>
              </w:rPr>
            </w:pPr>
          </w:p>
        </w:tc>
        <w:tc>
          <w:tcPr>
            <w:tcW w:w="581" w:type="dxa"/>
            <w:tcBorders>
              <w:top w:val="nil"/>
              <w:left w:val="single" w:sz="4" w:space="0" w:color="000000"/>
              <w:bottom w:val="single" w:sz="4" w:space="0" w:color="000000"/>
              <w:right w:val="single" w:sz="4" w:space="0" w:color="000000"/>
            </w:tcBorders>
            <w:shd w:val="clear" w:color="auto" w:fill="A6A6A6"/>
            <w:vAlign w:val="bottom"/>
          </w:tcPr>
          <w:p w14:paraId="6A7A43A0" w14:textId="77777777" w:rsidR="008E7D9E" w:rsidRPr="00666914" w:rsidRDefault="008E7D9E">
            <w:pPr>
              <w:spacing w:after="0"/>
              <w:rPr>
                <w:rFonts w:eastAsia="Arial Narrow" w:cs="Arial Narrow"/>
                <w:color w:val="000000"/>
                <w:sz w:val="20"/>
                <w:szCs w:val="20"/>
              </w:rPr>
            </w:pPr>
          </w:p>
        </w:tc>
        <w:tc>
          <w:tcPr>
            <w:tcW w:w="581" w:type="dxa"/>
            <w:tcBorders>
              <w:top w:val="nil"/>
              <w:left w:val="nil"/>
              <w:bottom w:val="single" w:sz="4" w:space="0" w:color="000000"/>
              <w:right w:val="single" w:sz="4" w:space="0" w:color="000000"/>
            </w:tcBorders>
            <w:shd w:val="clear" w:color="auto" w:fill="FF0000"/>
            <w:vAlign w:val="bottom"/>
          </w:tcPr>
          <w:p w14:paraId="6F814244" w14:textId="77777777" w:rsidR="008E7D9E" w:rsidRPr="00666914" w:rsidRDefault="008E7D9E">
            <w:pPr>
              <w:spacing w:after="0"/>
              <w:rPr>
                <w:rFonts w:eastAsia="Arial Narrow" w:cs="Arial Narrow"/>
                <w:color w:val="000000"/>
                <w:sz w:val="20"/>
                <w:szCs w:val="20"/>
              </w:rPr>
            </w:pPr>
          </w:p>
        </w:tc>
        <w:tc>
          <w:tcPr>
            <w:tcW w:w="581" w:type="dxa"/>
            <w:tcBorders>
              <w:top w:val="nil"/>
              <w:left w:val="nil"/>
              <w:bottom w:val="single" w:sz="4" w:space="0" w:color="000000"/>
              <w:right w:val="single" w:sz="4" w:space="0" w:color="000000"/>
            </w:tcBorders>
            <w:shd w:val="clear" w:color="auto" w:fill="AEAAAA"/>
            <w:vAlign w:val="bottom"/>
          </w:tcPr>
          <w:p w14:paraId="4CD80F2E" w14:textId="77777777" w:rsidR="008E7D9E" w:rsidRPr="00666914" w:rsidRDefault="008E7D9E">
            <w:pPr>
              <w:spacing w:after="0"/>
              <w:rPr>
                <w:rFonts w:eastAsia="Arial Narrow" w:cs="Arial Narrow"/>
                <w:color w:val="000000"/>
                <w:sz w:val="20"/>
                <w:szCs w:val="20"/>
              </w:rPr>
            </w:pPr>
          </w:p>
        </w:tc>
        <w:tc>
          <w:tcPr>
            <w:tcW w:w="582" w:type="dxa"/>
            <w:tcBorders>
              <w:top w:val="nil"/>
              <w:left w:val="nil"/>
              <w:bottom w:val="single" w:sz="4" w:space="0" w:color="000000"/>
              <w:right w:val="single" w:sz="8" w:space="0" w:color="000000"/>
            </w:tcBorders>
            <w:shd w:val="clear" w:color="auto" w:fill="FF0000"/>
            <w:vAlign w:val="bottom"/>
          </w:tcPr>
          <w:p w14:paraId="17CB47E2" w14:textId="77777777" w:rsidR="008E7D9E" w:rsidRPr="00666914" w:rsidRDefault="008E7D9E">
            <w:pPr>
              <w:spacing w:after="0"/>
              <w:rPr>
                <w:rFonts w:eastAsia="Arial Narrow" w:cs="Arial Narrow"/>
                <w:color w:val="000000"/>
                <w:sz w:val="20"/>
                <w:szCs w:val="20"/>
              </w:rPr>
            </w:pPr>
          </w:p>
        </w:tc>
      </w:tr>
      <w:tr w:rsidR="008E7D9E" w:rsidRPr="00666914" w14:paraId="4CC02BF1" w14:textId="77777777" w:rsidTr="00254A5B">
        <w:trPr>
          <w:trHeight w:val="286"/>
        </w:trPr>
        <w:tc>
          <w:tcPr>
            <w:tcW w:w="416" w:type="dxa"/>
            <w:tcBorders>
              <w:top w:val="nil"/>
              <w:left w:val="single" w:sz="8" w:space="0" w:color="000000"/>
              <w:bottom w:val="single" w:sz="4" w:space="0" w:color="000000"/>
              <w:right w:val="single" w:sz="4" w:space="0" w:color="000000"/>
            </w:tcBorders>
            <w:shd w:val="clear" w:color="auto" w:fill="auto"/>
            <w:vAlign w:val="center"/>
          </w:tcPr>
          <w:p w14:paraId="1F1DD100"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28</w:t>
            </w:r>
          </w:p>
        </w:tc>
        <w:tc>
          <w:tcPr>
            <w:tcW w:w="3288" w:type="dxa"/>
            <w:tcBorders>
              <w:top w:val="nil"/>
              <w:left w:val="nil"/>
              <w:bottom w:val="single" w:sz="4" w:space="0" w:color="000000"/>
              <w:right w:val="single" w:sz="4" w:space="0" w:color="000000"/>
            </w:tcBorders>
            <w:shd w:val="clear" w:color="auto" w:fill="auto"/>
            <w:vAlign w:val="center"/>
          </w:tcPr>
          <w:p w14:paraId="55E7B7DA"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Vypracovať analýzu negatívnych externalít a ich monetizácie</w:t>
            </w:r>
          </w:p>
        </w:tc>
        <w:tc>
          <w:tcPr>
            <w:tcW w:w="1417" w:type="dxa"/>
            <w:tcBorders>
              <w:top w:val="nil"/>
              <w:left w:val="nil"/>
              <w:bottom w:val="single" w:sz="4" w:space="0" w:color="000000"/>
              <w:right w:val="single" w:sz="4" w:space="0" w:color="000000"/>
            </w:tcBorders>
            <w:shd w:val="clear" w:color="auto" w:fill="auto"/>
            <w:vAlign w:val="center"/>
          </w:tcPr>
          <w:p w14:paraId="358511A5"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w:t>
            </w:r>
          </w:p>
          <w:p w14:paraId="4D02AC8D"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IEP</w:t>
            </w:r>
          </w:p>
        </w:tc>
        <w:tc>
          <w:tcPr>
            <w:tcW w:w="850" w:type="dxa"/>
            <w:tcBorders>
              <w:top w:val="nil"/>
              <w:left w:val="nil"/>
              <w:bottom w:val="single" w:sz="4" w:space="0" w:color="000000"/>
              <w:right w:val="single" w:sz="4" w:space="0" w:color="000000"/>
            </w:tcBorders>
            <w:shd w:val="clear" w:color="auto" w:fill="auto"/>
            <w:vAlign w:val="center"/>
          </w:tcPr>
          <w:p w14:paraId="7AA26D3E"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2018</w:t>
            </w:r>
          </w:p>
        </w:tc>
        <w:tc>
          <w:tcPr>
            <w:tcW w:w="992" w:type="dxa"/>
            <w:tcBorders>
              <w:top w:val="single" w:sz="4" w:space="0" w:color="000000"/>
              <w:left w:val="nil"/>
              <w:bottom w:val="single" w:sz="4" w:space="0" w:color="000000"/>
              <w:right w:val="single" w:sz="4" w:space="0" w:color="000000"/>
            </w:tcBorders>
            <w:vAlign w:val="center"/>
          </w:tcPr>
          <w:p w14:paraId="4445E36D"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06/2019</w:t>
            </w:r>
          </w:p>
        </w:tc>
        <w:tc>
          <w:tcPr>
            <w:tcW w:w="581" w:type="dxa"/>
            <w:tcBorders>
              <w:top w:val="nil"/>
              <w:left w:val="single" w:sz="4" w:space="0" w:color="000000"/>
              <w:bottom w:val="single" w:sz="4" w:space="0" w:color="000000"/>
              <w:right w:val="single" w:sz="4" w:space="0" w:color="000000"/>
            </w:tcBorders>
            <w:shd w:val="clear" w:color="auto" w:fill="FF0000"/>
            <w:vAlign w:val="bottom"/>
          </w:tcPr>
          <w:p w14:paraId="4832A8D6" w14:textId="77777777" w:rsidR="008E7D9E" w:rsidRPr="00666914" w:rsidRDefault="008E7D9E">
            <w:pPr>
              <w:spacing w:after="0"/>
              <w:rPr>
                <w:rFonts w:eastAsia="Arial Narrow" w:cs="Arial Narrow"/>
                <w:color w:val="000000"/>
                <w:sz w:val="20"/>
                <w:szCs w:val="20"/>
              </w:rPr>
            </w:pPr>
          </w:p>
        </w:tc>
        <w:tc>
          <w:tcPr>
            <w:tcW w:w="581" w:type="dxa"/>
            <w:tcBorders>
              <w:top w:val="nil"/>
              <w:left w:val="nil"/>
              <w:bottom w:val="single" w:sz="4" w:space="0" w:color="000000"/>
              <w:right w:val="single" w:sz="4" w:space="0" w:color="000000"/>
            </w:tcBorders>
            <w:shd w:val="clear" w:color="auto" w:fill="FFC000"/>
            <w:vAlign w:val="bottom"/>
          </w:tcPr>
          <w:p w14:paraId="5A83E438" w14:textId="77777777" w:rsidR="008E7D9E" w:rsidRPr="00666914" w:rsidRDefault="008E7D9E">
            <w:pPr>
              <w:spacing w:after="0"/>
              <w:rPr>
                <w:rFonts w:eastAsia="Arial Narrow" w:cs="Arial Narrow"/>
                <w:color w:val="000000"/>
                <w:sz w:val="20"/>
                <w:szCs w:val="20"/>
              </w:rPr>
            </w:pPr>
          </w:p>
        </w:tc>
        <w:tc>
          <w:tcPr>
            <w:tcW w:w="581" w:type="dxa"/>
            <w:tcBorders>
              <w:top w:val="nil"/>
              <w:left w:val="nil"/>
              <w:bottom w:val="single" w:sz="4" w:space="0" w:color="000000"/>
              <w:right w:val="single" w:sz="4" w:space="0" w:color="000000"/>
            </w:tcBorders>
            <w:shd w:val="clear" w:color="auto" w:fill="FFC000"/>
            <w:vAlign w:val="bottom"/>
          </w:tcPr>
          <w:p w14:paraId="10D72751" w14:textId="77777777" w:rsidR="008E7D9E" w:rsidRPr="00666914" w:rsidRDefault="008E7D9E">
            <w:pPr>
              <w:spacing w:after="0"/>
              <w:rPr>
                <w:rFonts w:eastAsia="Arial Narrow" w:cs="Arial Narrow"/>
                <w:color w:val="000000"/>
                <w:sz w:val="20"/>
                <w:szCs w:val="20"/>
              </w:rPr>
            </w:pPr>
          </w:p>
        </w:tc>
        <w:tc>
          <w:tcPr>
            <w:tcW w:w="582" w:type="dxa"/>
            <w:tcBorders>
              <w:top w:val="nil"/>
              <w:left w:val="nil"/>
              <w:bottom w:val="single" w:sz="4" w:space="0" w:color="000000"/>
              <w:right w:val="single" w:sz="8" w:space="0" w:color="000000"/>
            </w:tcBorders>
            <w:shd w:val="clear" w:color="auto" w:fill="92D050"/>
            <w:vAlign w:val="bottom"/>
          </w:tcPr>
          <w:p w14:paraId="290C0247" w14:textId="77777777" w:rsidR="008E7D9E" w:rsidRPr="00666914" w:rsidRDefault="008E7D9E">
            <w:pPr>
              <w:spacing w:after="0"/>
              <w:rPr>
                <w:rFonts w:eastAsia="Arial Narrow" w:cs="Arial Narrow"/>
                <w:color w:val="000000"/>
                <w:sz w:val="20"/>
                <w:szCs w:val="20"/>
              </w:rPr>
            </w:pPr>
          </w:p>
        </w:tc>
      </w:tr>
      <w:tr w:rsidR="008E7D9E" w:rsidRPr="00666914" w14:paraId="0794E83C" w14:textId="77777777" w:rsidTr="00254A5B">
        <w:trPr>
          <w:trHeight w:val="286"/>
        </w:trPr>
        <w:tc>
          <w:tcPr>
            <w:tcW w:w="416" w:type="dxa"/>
            <w:tcBorders>
              <w:top w:val="nil"/>
              <w:left w:val="single" w:sz="8" w:space="0" w:color="000000"/>
              <w:bottom w:val="single" w:sz="4" w:space="0" w:color="000000"/>
              <w:right w:val="single" w:sz="4" w:space="0" w:color="000000"/>
            </w:tcBorders>
            <w:shd w:val="clear" w:color="auto" w:fill="auto"/>
            <w:vAlign w:val="center"/>
          </w:tcPr>
          <w:p w14:paraId="0362A7B4"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29</w:t>
            </w:r>
          </w:p>
        </w:tc>
        <w:tc>
          <w:tcPr>
            <w:tcW w:w="3288" w:type="dxa"/>
            <w:tcBorders>
              <w:top w:val="nil"/>
              <w:left w:val="nil"/>
              <w:bottom w:val="single" w:sz="4" w:space="0" w:color="000000"/>
              <w:right w:val="single" w:sz="4" w:space="0" w:color="000000"/>
            </w:tcBorders>
            <w:shd w:val="clear" w:color="auto" w:fill="auto"/>
            <w:vAlign w:val="center"/>
          </w:tcPr>
          <w:p w14:paraId="7AC84E1F"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Vypracovať štúdiu alternatívnych systémov odvádzania a čistenia odpadových vôd (nákladovo efektívnejších oproti klasickým) v podmienkach SR</w:t>
            </w:r>
          </w:p>
        </w:tc>
        <w:tc>
          <w:tcPr>
            <w:tcW w:w="1417" w:type="dxa"/>
            <w:tcBorders>
              <w:top w:val="nil"/>
              <w:left w:val="nil"/>
              <w:bottom w:val="single" w:sz="4" w:space="0" w:color="000000"/>
              <w:right w:val="single" w:sz="4" w:space="0" w:color="000000"/>
            </w:tcBorders>
            <w:shd w:val="clear" w:color="auto" w:fill="auto"/>
            <w:vAlign w:val="center"/>
          </w:tcPr>
          <w:p w14:paraId="716A0221"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 SAŽP, EF, VÚVH</w:t>
            </w:r>
          </w:p>
        </w:tc>
        <w:tc>
          <w:tcPr>
            <w:tcW w:w="850" w:type="dxa"/>
            <w:tcBorders>
              <w:top w:val="nil"/>
              <w:left w:val="nil"/>
              <w:bottom w:val="single" w:sz="4" w:space="0" w:color="000000"/>
              <w:right w:val="single" w:sz="4" w:space="0" w:color="000000"/>
            </w:tcBorders>
            <w:shd w:val="clear" w:color="auto" w:fill="auto"/>
            <w:vAlign w:val="center"/>
          </w:tcPr>
          <w:p w14:paraId="0AE0AA65"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2019</w:t>
            </w:r>
          </w:p>
        </w:tc>
        <w:tc>
          <w:tcPr>
            <w:tcW w:w="992" w:type="dxa"/>
            <w:tcBorders>
              <w:top w:val="single" w:sz="4" w:space="0" w:color="000000"/>
              <w:left w:val="nil"/>
              <w:bottom w:val="single" w:sz="4" w:space="0" w:color="000000"/>
              <w:right w:val="single" w:sz="4" w:space="0" w:color="000000"/>
            </w:tcBorders>
            <w:vAlign w:val="center"/>
          </w:tcPr>
          <w:p w14:paraId="67F5A8A6" w14:textId="77777777" w:rsidR="008E7D9E" w:rsidRPr="00666914" w:rsidRDefault="008E7D9E" w:rsidP="00131B23">
            <w:pPr>
              <w:numPr>
                <w:ilvl w:val="0"/>
                <w:numId w:val="26"/>
              </w:numPr>
              <w:spacing w:after="0"/>
              <w:jc w:val="center"/>
              <w:rPr>
                <w:rFonts w:eastAsia="Arial Narrow" w:cs="Arial Narrow"/>
                <w:color w:val="000000"/>
                <w:sz w:val="20"/>
                <w:szCs w:val="20"/>
              </w:rPr>
            </w:pPr>
          </w:p>
        </w:tc>
        <w:tc>
          <w:tcPr>
            <w:tcW w:w="581" w:type="dxa"/>
            <w:tcBorders>
              <w:top w:val="nil"/>
              <w:left w:val="single" w:sz="4" w:space="0" w:color="000000"/>
              <w:bottom w:val="single" w:sz="4" w:space="0" w:color="000000"/>
              <w:right w:val="single" w:sz="4" w:space="0" w:color="000000"/>
            </w:tcBorders>
            <w:shd w:val="clear" w:color="auto" w:fill="A6A6A6"/>
            <w:vAlign w:val="bottom"/>
          </w:tcPr>
          <w:p w14:paraId="5653DED7" w14:textId="77777777" w:rsidR="008E7D9E" w:rsidRPr="00666914" w:rsidRDefault="008E7D9E">
            <w:pPr>
              <w:spacing w:after="0"/>
              <w:rPr>
                <w:rFonts w:eastAsia="Arial Narrow" w:cs="Arial Narrow"/>
                <w:color w:val="000000"/>
                <w:sz w:val="20"/>
                <w:szCs w:val="20"/>
              </w:rPr>
            </w:pPr>
          </w:p>
        </w:tc>
        <w:tc>
          <w:tcPr>
            <w:tcW w:w="581" w:type="dxa"/>
            <w:tcBorders>
              <w:top w:val="nil"/>
              <w:left w:val="nil"/>
              <w:bottom w:val="single" w:sz="4" w:space="0" w:color="000000"/>
              <w:right w:val="single" w:sz="4" w:space="0" w:color="000000"/>
            </w:tcBorders>
            <w:shd w:val="clear" w:color="auto" w:fill="FF0000"/>
            <w:vAlign w:val="bottom"/>
          </w:tcPr>
          <w:p w14:paraId="6A98C594" w14:textId="77777777" w:rsidR="008E7D9E" w:rsidRPr="00666914" w:rsidRDefault="008E7D9E">
            <w:pPr>
              <w:spacing w:after="0"/>
              <w:rPr>
                <w:rFonts w:eastAsia="Arial Narrow" w:cs="Arial Narrow"/>
                <w:color w:val="000000"/>
                <w:sz w:val="20"/>
                <w:szCs w:val="20"/>
              </w:rPr>
            </w:pPr>
          </w:p>
        </w:tc>
        <w:tc>
          <w:tcPr>
            <w:tcW w:w="581" w:type="dxa"/>
            <w:tcBorders>
              <w:top w:val="nil"/>
              <w:left w:val="nil"/>
              <w:bottom w:val="single" w:sz="4" w:space="0" w:color="000000"/>
              <w:right w:val="single" w:sz="4" w:space="0" w:color="000000"/>
            </w:tcBorders>
            <w:shd w:val="clear" w:color="auto" w:fill="AEAAAA"/>
            <w:vAlign w:val="bottom"/>
          </w:tcPr>
          <w:p w14:paraId="01E0B90D" w14:textId="77777777" w:rsidR="008E7D9E" w:rsidRPr="00666914" w:rsidRDefault="008E7D9E">
            <w:pPr>
              <w:spacing w:after="0"/>
              <w:rPr>
                <w:rFonts w:eastAsia="Arial Narrow" w:cs="Arial Narrow"/>
                <w:color w:val="000000"/>
                <w:sz w:val="20"/>
                <w:szCs w:val="20"/>
              </w:rPr>
            </w:pPr>
          </w:p>
        </w:tc>
        <w:tc>
          <w:tcPr>
            <w:tcW w:w="582" w:type="dxa"/>
            <w:tcBorders>
              <w:top w:val="nil"/>
              <w:left w:val="nil"/>
              <w:bottom w:val="single" w:sz="4" w:space="0" w:color="000000"/>
              <w:right w:val="single" w:sz="8" w:space="0" w:color="000000"/>
            </w:tcBorders>
            <w:shd w:val="clear" w:color="auto" w:fill="FFC000"/>
            <w:vAlign w:val="bottom"/>
          </w:tcPr>
          <w:p w14:paraId="2527EBFC" w14:textId="77777777" w:rsidR="008E7D9E" w:rsidRPr="00666914" w:rsidRDefault="008E7D9E">
            <w:pPr>
              <w:spacing w:after="0"/>
              <w:rPr>
                <w:rFonts w:eastAsia="Arial Narrow" w:cs="Arial Narrow"/>
                <w:color w:val="000000"/>
                <w:sz w:val="20"/>
                <w:szCs w:val="20"/>
              </w:rPr>
            </w:pPr>
          </w:p>
        </w:tc>
      </w:tr>
      <w:tr w:rsidR="008E7D9E" w:rsidRPr="00666914" w14:paraId="4F39B733" w14:textId="77777777" w:rsidTr="00254A5B">
        <w:trPr>
          <w:trHeight w:val="286"/>
        </w:trPr>
        <w:tc>
          <w:tcPr>
            <w:tcW w:w="416" w:type="dxa"/>
            <w:tcBorders>
              <w:top w:val="nil"/>
              <w:left w:val="single" w:sz="8" w:space="0" w:color="000000"/>
              <w:bottom w:val="single" w:sz="4" w:space="0" w:color="000000"/>
              <w:right w:val="single" w:sz="4" w:space="0" w:color="000000"/>
            </w:tcBorders>
            <w:shd w:val="clear" w:color="auto" w:fill="auto"/>
            <w:vAlign w:val="center"/>
          </w:tcPr>
          <w:p w14:paraId="769E0D6D"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30</w:t>
            </w:r>
          </w:p>
        </w:tc>
        <w:tc>
          <w:tcPr>
            <w:tcW w:w="3288" w:type="dxa"/>
            <w:tcBorders>
              <w:top w:val="nil"/>
              <w:left w:val="nil"/>
              <w:bottom w:val="single" w:sz="4" w:space="0" w:color="000000"/>
              <w:right w:val="single" w:sz="4" w:space="0" w:color="000000"/>
            </w:tcBorders>
            <w:shd w:val="clear" w:color="auto" w:fill="auto"/>
            <w:vAlign w:val="center"/>
          </w:tcPr>
          <w:p w14:paraId="28760151" w14:textId="77777777" w:rsidR="008E7D9E" w:rsidRPr="00666914" w:rsidRDefault="008E7D9E">
            <w:pPr>
              <w:spacing w:after="0"/>
              <w:rPr>
                <w:rFonts w:eastAsia="Arial Narrow" w:cs="Arial Narrow"/>
                <w:color w:val="000000"/>
                <w:sz w:val="20"/>
                <w:szCs w:val="20"/>
              </w:rPr>
            </w:pPr>
            <w:r w:rsidRPr="00666914">
              <w:rPr>
                <w:rFonts w:eastAsia="Arial Narrow" w:cs="Arial Narrow"/>
                <w:color w:val="000000"/>
                <w:sz w:val="20"/>
                <w:szCs w:val="20"/>
              </w:rPr>
              <w:t>Nájsť alternatívy financovania výstavby verejných kanalizácií: analýza cien vodného a stočného, PPP projekty, financovanie pomocou úverov</w:t>
            </w:r>
          </w:p>
        </w:tc>
        <w:tc>
          <w:tcPr>
            <w:tcW w:w="1417" w:type="dxa"/>
            <w:tcBorders>
              <w:top w:val="nil"/>
              <w:left w:val="nil"/>
              <w:bottom w:val="single" w:sz="4" w:space="0" w:color="000000"/>
              <w:right w:val="single" w:sz="4" w:space="0" w:color="000000"/>
            </w:tcBorders>
            <w:shd w:val="clear" w:color="auto" w:fill="auto"/>
            <w:vAlign w:val="center"/>
          </w:tcPr>
          <w:p w14:paraId="521D377F"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MŽP SR, VÚVH,</w:t>
            </w:r>
          </w:p>
          <w:p w14:paraId="45E6F062"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IEP</w:t>
            </w:r>
          </w:p>
        </w:tc>
        <w:tc>
          <w:tcPr>
            <w:tcW w:w="850" w:type="dxa"/>
            <w:tcBorders>
              <w:top w:val="nil"/>
              <w:left w:val="nil"/>
              <w:bottom w:val="single" w:sz="4" w:space="0" w:color="000000"/>
              <w:right w:val="single" w:sz="4" w:space="0" w:color="000000"/>
            </w:tcBorders>
            <w:shd w:val="clear" w:color="auto" w:fill="auto"/>
            <w:vAlign w:val="center"/>
          </w:tcPr>
          <w:p w14:paraId="47A0B2FF"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2019</w:t>
            </w:r>
          </w:p>
        </w:tc>
        <w:tc>
          <w:tcPr>
            <w:tcW w:w="992" w:type="dxa"/>
            <w:tcBorders>
              <w:top w:val="single" w:sz="4" w:space="0" w:color="000000"/>
              <w:left w:val="nil"/>
              <w:bottom w:val="single" w:sz="4" w:space="0" w:color="000000"/>
              <w:right w:val="single" w:sz="4" w:space="0" w:color="000000"/>
            </w:tcBorders>
            <w:vAlign w:val="center"/>
          </w:tcPr>
          <w:p w14:paraId="7AFFC0D7" w14:textId="77777777" w:rsidR="008E7D9E" w:rsidRPr="00666914" w:rsidRDefault="008E7D9E">
            <w:pPr>
              <w:spacing w:after="0"/>
              <w:jc w:val="center"/>
              <w:rPr>
                <w:rFonts w:eastAsia="Arial Narrow" w:cs="Arial Narrow"/>
                <w:color w:val="000000"/>
                <w:sz w:val="20"/>
                <w:szCs w:val="20"/>
              </w:rPr>
            </w:pPr>
            <w:r w:rsidRPr="00666914">
              <w:rPr>
                <w:rFonts w:eastAsia="Arial Narrow" w:cs="Arial Narrow"/>
                <w:color w:val="000000"/>
                <w:sz w:val="20"/>
                <w:szCs w:val="20"/>
              </w:rPr>
              <w:t>-</w:t>
            </w:r>
          </w:p>
        </w:tc>
        <w:tc>
          <w:tcPr>
            <w:tcW w:w="581" w:type="dxa"/>
            <w:tcBorders>
              <w:top w:val="nil"/>
              <w:left w:val="single" w:sz="4" w:space="0" w:color="000000"/>
              <w:bottom w:val="single" w:sz="4" w:space="0" w:color="000000"/>
              <w:right w:val="single" w:sz="4" w:space="0" w:color="000000"/>
            </w:tcBorders>
            <w:shd w:val="clear" w:color="auto" w:fill="92D050"/>
            <w:vAlign w:val="bottom"/>
          </w:tcPr>
          <w:p w14:paraId="40960100" w14:textId="77777777" w:rsidR="008E7D9E" w:rsidRPr="00666914" w:rsidRDefault="008E7D9E">
            <w:pPr>
              <w:spacing w:after="0"/>
              <w:rPr>
                <w:rFonts w:eastAsia="Arial Narrow" w:cs="Arial Narrow"/>
                <w:color w:val="000000"/>
                <w:sz w:val="20"/>
                <w:szCs w:val="20"/>
              </w:rPr>
            </w:pPr>
          </w:p>
        </w:tc>
        <w:tc>
          <w:tcPr>
            <w:tcW w:w="581" w:type="dxa"/>
            <w:tcBorders>
              <w:top w:val="nil"/>
              <w:left w:val="nil"/>
              <w:bottom w:val="single" w:sz="4" w:space="0" w:color="000000"/>
              <w:right w:val="single" w:sz="4" w:space="0" w:color="000000"/>
            </w:tcBorders>
            <w:shd w:val="clear" w:color="auto" w:fill="A6A6A6"/>
            <w:vAlign w:val="bottom"/>
          </w:tcPr>
          <w:p w14:paraId="55B13171" w14:textId="77777777" w:rsidR="008E7D9E" w:rsidRPr="00666914" w:rsidRDefault="008E7D9E">
            <w:pPr>
              <w:spacing w:after="0"/>
              <w:rPr>
                <w:rFonts w:eastAsia="Arial Narrow" w:cs="Arial Narrow"/>
                <w:color w:val="000000"/>
                <w:sz w:val="20"/>
                <w:szCs w:val="20"/>
              </w:rPr>
            </w:pPr>
          </w:p>
        </w:tc>
        <w:tc>
          <w:tcPr>
            <w:tcW w:w="581" w:type="dxa"/>
            <w:tcBorders>
              <w:top w:val="nil"/>
              <w:left w:val="nil"/>
              <w:bottom w:val="single" w:sz="4" w:space="0" w:color="000000"/>
              <w:right w:val="single" w:sz="4" w:space="0" w:color="000000"/>
            </w:tcBorders>
            <w:shd w:val="clear" w:color="auto" w:fill="AEAAAA"/>
            <w:vAlign w:val="bottom"/>
          </w:tcPr>
          <w:p w14:paraId="09C2B118" w14:textId="77777777" w:rsidR="008E7D9E" w:rsidRPr="00666914" w:rsidRDefault="008E7D9E">
            <w:pPr>
              <w:spacing w:after="0"/>
              <w:rPr>
                <w:rFonts w:eastAsia="Arial Narrow" w:cs="Arial Narrow"/>
                <w:color w:val="000000"/>
                <w:sz w:val="20"/>
                <w:szCs w:val="20"/>
              </w:rPr>
            </w:pPr>
          </w:p>
        </w:tc>
        <w:tc>
          <w:tcPr>
            <w:tcW w:w="582" w:type="dxa"/>
            <w:tcBorders>
              <w:top w:val="nil"/>
              <w:left w:val="nil"/>
              <w:bottom w:val="single" w:sz="4" w:space="0" w:color="000000"/>
              <w:right w:val="single" w:sz="8" w:space="0" w:color="000000"/>
            </w:tcBorders>
            <w:shd w:val="clear" w:color="auto" w:fill="A6A6A6"/>
            <w:vAlign w:val="bottom"/>
          </w:tcPr>
          <w:p w14:paraId="0D108E8F" w14:textId="77777777" w:rsidR="008E7D9E" w:rsidRPr="00666914" w:rsidRDefault="008E7D9E">
            <w:pPr>
              <w:spacing w:after="0"/>
              <w:rPr>
                <w:rFonts w:eastAsia="Arial Narrow" w:cs="Arial Narrow"/>
                <w:color w:val="000000"/>
                <w:sz w:val="20"/>
                <w:szCs w:val="20"/>
              </w:rPr>
            </w:pPr>
          </w:p>
        </w:tc>
      </w:tr>
    </w:tbl>
    <w:p w14:paraId="743602A8" w14:textId="77777777" w:rsidR="008E7D9E" w:rsidRPr="00666914" w:rsidRDefault="008E7D9E">
      <w:pPr>
        <w:spacing w:after="0"/>
        <w:rPr>
          <w:rFonts w:eastAsia="Arial Narrow" w:cs="Arial Narrow"/>
        </w:rPr>
      </w:pPr>
    </w:p>
    <w:p w14:paraId="5710CCC8" w14:textId="0C2E8961" w:rsidR="008E7D9E" w:rsidRDefault="008E7D9E" w:rsidP="005E2A79">
      <w:pPr>
        <w:numPr>
          <w:ilvl w:val="0"/>
          <w:numId w:val="25"/>
        </w:numPr>
        <w:spacing w:after="0"/>
        <w:rPr>
          <w:rFonts w:eastAsia="Arial Narrow" w:cs="Arial Narrow"/>
          <w:b/>
          <w:u w:val="single"/>
        </w:rPr>
      </w:pPr>
      <w:r w:rsidRPr="00666914">
        <w:rPr>
          <w:rFonts w:eastAsia="Arial Narrow" w:cs="Arial Narrow"/>
          <w:b/>
          <w:u w:val="single"/>
        </w:rPr>
        <w:t>EF – Vypracovať benchmarky pre jednotlivé oblasti podpory</w:t>
      </w:r>
    </w:p>
    <w:p w14:paraId="7058FE0A" w14:textId="77777777" w:rsidR="005E2A79" w:rsidRPr="00666914" w:rsidRDefault="005E2A79" w:rsidP="005E2A79">
      <w:pPr>
        <w:spacing w:after="0"/>
        <w:ind w:left="720"/>
        <w:rPr>
          <w:rFonts w:eastAsia="Arial Narrow" w:cs="Arial Narrow"/>
          <w:b/>
          <w:u w:val="single"/>
        </w:rPr>
      </w:pPr>
    </w:p>
    <w:p w14:paraId="3A8D0845" w14:textId="77777777" w:rsidR="008E7D9E" w:rsidRPr="00666914" w:rsidRDefault="008E7D9E" w:rsidP="005E2A79">
      <w:pPr>
        <w:rPr>
          <w:rFonts w:eastAsia="Arial Narrow" w:cs="Arial Narrow"/>
          <w:b/>
        </w:rPr>
      </w:pPr>
      <w:r w:rsidRPr="00666914">
        <w:rPr>
          <w:rFonts w:eastAsia="Arial Narrow" w:cs="Arial Narrow"/>
        </w:rPr>
        <w:t>V roku 2018 boli vypracované benchmarky na najvyužívanejšie oblasti podpory formou dotácie z Envirofondu – projekty vodohospodárskej infraštruktúry</w:t>
      </w:r>
      <w:r w:rsidRPr="00666914">
        <w:rPr>
          <w:rFonts w:eastAsia="Arial Narrow" w:cs="Arial Narrow"/>
          <w:vertAlign w:val="superscript"/>
        </w:rPr>
        <w:footnoteReference w:id="311"/>
      </w:r>
      <w:r w:rsidRPr="00666914">
        <w:rPr>
          <w:rFonts w:eastAsia="Arial Narrow" w:cs="Arial Narrow"/>
        </w:rPr>
        <w:t>. V 1Q2019 sfinalizoval IEP MŽP SR benchmarky pre oblasť elektromobility a v 2Q2019 vyhlásil Envirofond výzvu na prekladanie žiadostí o dotáciu pre príslušnú oblasť podpory</w:t>
      </w:r>
      <w:r w:rsidRPr="00666914">
        <w:rPr>
          <w:rFonts w:eastAsia="Arial Narrow" w:cs="Arial Narrow"/>
          <w:vertAlign w:val="superscript"/>
        </w:rPr>
        <w:footnoteReference w:id="312"/>
      </w:r>
      <w:r w:rsidRPr="00666914">
        <w:rPr>
          <w:rFonts w:eastAsia="Arial Narrow" w:cs="Arial Narrow"/>
        </w:rPr>
        <w:t>. Spracovanie benchmarkov pre ostatné oblasti podpory</w:t>
      </w:r>
      <w:r w:rsidRPr="00666914">
        <w:rPr>
          <w:rFonts w:eastAsia="Arial Narrow" w:cs="Arial Narrow"/>
          <w:vertAlign w:val="superscript"/>
        </w:rPr>
        <w:footnoteReference w:id="313"/>
      </w:r>
      <w:r w:rsidRPr="00666914">
        <w:rPr>
          <w:rFonts w:eastAsia="Arial Narrow" w:cs="Arial Narrow"/>
        </w:rPr>
        <w:t xml:space="preserve"> je problematické z dôvodu rôzneho technického riešenia projektov v jednotlivých oblastiach ako aj z dôvodu malého počtu projektov, </w:t>
      </w:r>
      <w:sdt>
        <w:sdtPr>
          <w:tag w:val="goog_rdk_80"/>
          <w:id w:val="1204592877"/>
        </w:sdtPr>
        <w:sdtEndPr/>
        <w:sdtContent/>
      </w:sdt>
      <w:r w:rsidRPr="00666914">
        <w:rPr>
          <w:rFonts w:eastAsia="Arial Narrow" w:cs="Arial Narrow"/>
        </w:rPr>
        <w:t xml:space="preserve">ktoré sú v ostatných oblastiach (na vypracovanie benchmarku je potrebných niekoľko desiatok až stoviek pozorovaní). </w:t>
      </w:r>
      <w:r w:rsidRPr="00666914">
        <w:rPr>
          <w:rFonts w:eastAsia="Arial Narrow" w:cs="Arial Narrow"/>
          <w:b/>
        </w:rPr>
        <w:t xml:space="preserve">Opatrenie je </w:t>
      </w:r>
      <w:sdt>
        <w:sdtPr>
          <w:tag w:val="goog_rdk_81"/>
          <w:id w:val="-577137654"/>
        </w:sdtPr>
        <w:sdtEndPr/>
        <w:sdtContent/>
      </w:sdt>
      <w:r w:rsidRPr="00666914">
        <w:rPr>
          <w:rFonts w:eastAsia="Arial Narrow" w:cs="Arial Narrow"/>
          <w:b/>
        </w:rPr>
        <w:t>k 30.6.2019 splnené a nebude už predmetom hodnotenia v roku 2020.</w:t>
      </w:r>
    </w:p>
    <w:p w14:paraId="4F832352" w14:textId="77777777" w:rsidR="008E7D9E" w:rsidRPr="00666914" w:rsidRDefault="008E7D9E" w:rsidP="00131B23">
      <w:pPr>
        <w:numPr>
          <w:ilvl w:val="0"/>
          <w:numId w:val="25"/>
        </w:numPr>
        <w:spacing w:before="160" w:after="0"/>
        <w:rPr>
          <w:rFonts w:eastAsia="Arial Narrow" w:cs="Arial Narrow"/>
          <w:b/>
          <w:u w:val="single"/>
        </w:rPr>
      </w:pPr>
      <w:r w:rsidRPr="00666914">
        <w:rPr>
          <w:rFonts w:eastAsia="Arial Narrow" w:cs="Arial Narrow"/>
          <w:b/>
          <w:u w:val="single"/>
        </w:rPr>
        <w:t>Vykonať audit VV, š.p.</w:t>
      </w:r>
    </w:p>
    <w:p w14:paraId="74EEDBF9" w14:textId="77777777" w:rsidR="008E7D9E" w:rsidRPr="00666914" w:rsidRDefault="008E7D9E">
      <w:pPr>
        <w:spacing w:before="240"/>
        <w:rPr>
          <w:rFonts w:eastAsia="Arial Narrow" w:cs="Arial Narrow"/>
          <w:b/>
        </w:rPr>
      </w:pPr>
      <w:r w:rsidRPr="00666914">
        <w:rPr>
          <w:rFonts w:eastAsia="Arial Narrow" w:cs="Arial Narrow"/>
        </w:rPr>
        <w:t>Vodohospodárska výstavba š.p. podpísala v 2Q2019 s audítorskou spoločnosťou Ernst&amp;Young zmluvu o výkone auditu</w:t>
      </w:r>
      <w:r w:rsidRPr="00666914">
        <w:rPr>
          <w:rFonts w:eastAsia="Arial Narrow" w:cs="Arial Narrow"/>
          <w:vertAlign w:val="superscript"/>
        </w:rPr>
        <w:footnoteReference w:id="314"/>
      </w:r>
      <w:r w:rsidRPr="00666914">
        <w:rPr>
          <w:rFonts w:eastAsia="Arial Narrow" w:cs="Arial Narrow"/>
        </w:rPr>
        <w:t xml:space="preserve"> s názvom „Audit a identifikácia možností a príležitostí efektívneho fungovania a hospodárenia podniku VV, š.p.“ Audit sa podľa vyjadrenia VV uskutočnil v 3Q2019 a IJ bola z</w:t>
      </w:r>
      <w:sdt>
        <w:sdtPr>
          <w:tag w:val="goog_rdk_82"/>
          <w:id w:val="1267736104"/>
        </w:sdtPr>
        <w:sdtEndPr/>
        <w:sdtContent/>
      </w:sdt>
      <w:sdt>
        <w:sdtPr>
          <w:tag w:val="goog_rdk_83"/>
          <w:id w:val="815156234"/>
        </w:sdtPr>
        <w:sdtEndPr/>
        <w:sdtContent/>
      </w:sdt>
      <w:r w:rsidRPr="00666914">
        <w:rPr>
          <w:rFonts w:eastAsia="Arial Narrow" w:cs="Arial Narrow"/>
        </w:rPr>
        <w:t xml:space="preserve">aslaná jeho záverečná správa. </w:t>
      </w:r>
      <w:r w:rsidRPr="00666914">
        <w:rPr>
          <w:rFonts w:eastAsia="Arial Narrow" w:cs="Arial Narrow"/>
          <w:b/>
        </w:rPr>
        <w:t>Opatrenie je k 31.12.2019 splnené a nebude už predmetom hodnotenia v roku 2020.</w:t>
      </w:r>
    </w:p>
    <w:p w14:paraId="0A79E1D6" w14:textId="0AE516B7" w:rsidR="002578F1" w:rsidRPr="00666914" w:rsidRDefault="008E7D9E">
      <w:pPr>
        <w:spacing w:before="240"/>
        <w:rPr>
          <w:rFonts w:eastAsia="Arial Narrow" w:cs="Arial Narrow"/>
        </w:rPr>
      </w:pPr>
      <w:r w:rsidRPr="00666914">
        <w:rPr>
          <w:rFonts w:eastAsia="Arial Narrow" w:cs="Arial Narrow"/>
        </w:rPr>
        <w:t>Výstupom auditu je zoznam odporúčaní na zefektívnenie fungovania a hospodárenia podniku. Opatrenia sú zaradené do priorít, nie je však navrhnutý časový harmonogram ani vypočítané ekonomické a finančné dopady ich realizácie. IJ nemá vedomosť o tom, či VV, š.p. už začal jednotlivé opatrenia realizovať.</w:t>
      </w:r>
    </w:p>
    <w:p w14:paraId="21109AAD" w14:textId="77777777" w:rsidR="002578F1" w:rsidRPr="00666914" w:rsidRDefault="002578F1">
      <w:pPr>
        <w:spacing w:after="0"/>
        <w:jc w:val="left"/>
        <w:rPr>
          <w:rFonts w:eastAsia="Arial Narrow" w:cs="Arial Narrow"/>
        </w:rPr>
      </w:pPr>
      <w:r w:rsidRPr="00666914">
        <w:rPr>
          <w:rFonts w:eastAsia="Arial Narrow" w:cs="Arial Narrow"/>
        </w:rPr>
        <w:br w:type="page"/>
      </w:r>
    </w:p>
    <w:p w14:paraId="00D98452" w14:textId="77777777" w:rsidR="008E7D9E" w:rsidRPr="00666914" w:rsidRDefault="008E7D9E" w:rsidP="00131B23">
      <w:pPr>
        <w:numPr>
          <w:ilvl w:val="0"/>
          <w:numId w:val="25"/>
        </w:numPr>
        <w:spacing w:before="160" w:after="0"/>
        <w:rPr>
          <w:rFonts w:eastAsia="Arial Narrow" w:cs="Arial Narrow"/>
          <w:b/>
          <w:u w:val="single"/>
        </w:rPr>
      </w:pPr>
      <w:r w:rsidRPr="00666914">
        <w:rPr>
          <w:rFonts w:eastAsia="Arial Narrow" w:cs="Arial Narrow"/>
          <w:b/>
          <w:u w:val="single"/>
        </w:rPr>
        <w:lastRenderedPageBreak/>
        <w:t>Analyzovať príčiny povodní</w:t>
      </w:r>
    </w:p>
    <w:p w14:paraId="33B5EC65" w14:textId="77777777" w:rsidR="008E7D9E" w:rsidRPr="00666914" w:rsidRDefault="008E7D9E">
      <w:pPr>
        <w:spacing w:after="0"/>
        <w:rPr>
          <w:rFonts w:eastAsia="Arial Narrow" w:cs="Arial Narrow"/>
        </w:rPr>
      </w:pPr>
      <w:r w:rsidRPr="00666914">
        <w:rPr>
          <w:rFonts w:eastAsia="Arial Narrow" w:cs="Arial Narrow"/>
          <w:b/>
          <w:u w:val="single"/>
        </w:rPr>
        <w:t xml:space="preserve"> </w:t>
      </w:r>
    </w:p>
    <w:p w14:paraId="653AB7C8" w14:textId="00217689" w:rsidR="008E7D9E" w:rsidRPr="00666914" w:rsidRDefault="008E7D9E" w:rsidP="00F64B85">
      <w:r w:rsidRPr="00666914">
        <w:rPr>
          <w:b/>
          <w:bCs/>
        </w:rPr>
        <w:t>SHMÚ vypracoval v roku 2019 pravidelnú ročnú „Správu o povodniach za rok 2018</w:t>
      </w:r>
      <w:r w:rsidRPr="00666914">
        <w:rPr>
          <w:rStyle w:val="Odkaznapoznmkupodiarou"/>
          <w:b/>
          <w:bCs/>
        </w:rPr>
        <w:footnoteReference w:id="315"/>
      </w:r>
      <w:r w:rsidRPr="00666914">
        <w:rPr>
          <w:b/>
          <w:bCs/>
        </w:rPr>
        <w:t xml:space="preserve">“. </w:t>
      </w:r>
      <w:r w:rsidRPr="00666914">
        <w:t xml:space="preserve">Okrem toho SHMÚ zasiela každý polrok podklady do Správ o priebehu a následkoch povodní na území Slovenskej republiky, ktoré sú schvaľované vládou. </w:t>
      </w:r>
      <w:r w:rsidRPr="00666914">
        <w:rPr>
          <w:color w:val="000000"/>
        </w:rPr>
        <w:t xml:space="preserve">Napriek rozšíreniu informácií aj z údajov od MV SR, správy SHMÚ a podklady, resp. samotné Správy o priebehu a následkoch povodní na území Slovenskej republiky stále </w:t>
      </w:r>
      <w:r w:rsidRPr="00666914">
        <w:t>nie sú štruktúrované podľa povodňových situácií.</w:t>
      </w:r>
      <w:r w:rsidRPr="00666914">
        <w:rPr>
          <w:color w:val="1F497D"/>
        </w:rPr>
        <w:t xml:space="preserve"> </w:t>
      </w:r>
      <w:r w:rsidRPr="00666914">
        <w:rPr>
          <w:b/>
          <w:bCs/>
        </w:rPr>
        <w:t xml:space="preserve">Pri jednotlivých povodňových udalostiach nie je možnosť jednoducho analyzovať príčinu, resp. odstrániteľný </w:t>
      </w:r>
      <w:r w:rsidRPr="00666914">
        <w:rPr>
          <w:b/>
          <w:bCs/>
          <w:color w:val="000000"/>
        </w:rPr>
        <w:t>nedostatok, keďže podklady k nim sa nachádzajú u rôznych inštitúcií.</w:t>
      </w:r>
      <w:r w:rsidRPr="00666914">
        <w:rPr>
          <w:color w:val="000000"/>
        </w:rPr>
        <w:t xml:space="preserve"> </w:t>
      </w:r>
      <w:r w:rsidRPr="00666914">
        <w:t xml:space="preserve">Začiatkom roka 2020 zaslal SHMÚ MŽP SR podklady do Správy o priebehu a následkoch povodní na území Slovenskej republiky v období od 07/219 do 12/2019. Po prvý raz boli štruktúrované podľa povodí na Slovensku a okrem meteorologicko-hydrologických informácií založených na výsledkoch meraní zo staníc SHMÚ do nich zahrnuli aj dostupné informácie z denných situačných správ Sekcie krízového riadenia MV SR o výskyte mimoriadnych situácií a </w:t>
      </w:r>
      <w:r w:rsidR="000644F2" w:rsidRPr="00666914">
        <w:t>udalostí spôsobených povodňami.</w:t>
      </w:r>
    </w:p>
    <w:p w14:paraId="18A957E0" w14:textId="5E85EA69" w:rsidR="008E7D9E" w:rsidRPr="00666914" w:rsidRDefault="008E7D9E" w:rsidP="00F64B85">
      <w:r w:rsidRPr="00666914">
        <w:t xml:space="preserve">Sekcia vôd MŽP SR navrhla nastavenie elektronického zberu dát o povodniach, po ktorého dokončení mali byť dáta dostupné pre ďalšie analýzy v požadovanom rozsahu, a vybrané dáta by boli sprístupnené na webovej stránke MŽP SR. V PIS 2019 na základe zaslanej štúdie realizovateľnosti IJ uviedla, že vytvorenie samostatnej elektronickej služby v rámci projektu elektronizácie MŽP SR na zber údajov o povodniach neprináša najvyššiu hodnotu za peniaze. </w:t>
      </w:r>
      <w:r w:rsidRPr="00666914">
        <w:rPr>
          <w:b/>
          <w:bCs/>
        </w:rPr>
        <w:t>Odporúčanie IJ bolo zbierať štatistické údaje o povodniach v dostupných tabuľkových procesoroch (ako napr. MS Excel), rovnako ich tam analyzovať a výstupy zverejňovať v prehľadnom formáte na web</w:t>
      </w:r>
      <w:r w:rsidR="006C0391" w:rsidRPr="00666914">
        <w:rPr>
          <w:b/>
          <w:bCs/>
        </w:rPr>
        <w:t xml:space="preserve">ovej </w:t>
      </w:r>
      <w:r w:rsidRPr="00666914">
        <w:rPr>
          <w:b/>
          <w:bCs/>
        </w:rPr>
        <w:t>stránke MŽP SR.</w:t>
      </w:r>
      <w:r w:rsidRPr="00666914">
        <w:t xml:space="preserve"> Sekcia informatiky MŽP SR nakoniec od zámeru elektronizácie zberu údajov o povodniach prostredníctvom samostatného informačného systému ustúpi</w:t>
      </w:r>
      <w:r w:rsidR="000644F2" w:rsidRPr="00666914">
        <w:t>la.</w:t>
      </w:r>
    </w:p>
    <w:p w14:paraId="339CF0DC" w14:textId="29D73012" w:rsidR="008E7D9E" w:rsidRPr="00666914" w:rsidRDefault="008E7D9E" w:rsidP="00F64B85">
      <w:r w:rsidRPr="00666914">
        <w:rPr>
          <w:b/>
          <w:bCs/>
        </w:rPr>
        <w:t xml:space="preserve">Opatrenie revízie výdavkov však predpokladá priebežné dopĺňanie databázy povodňových udalostí v užívateľsky vhodnom formáte. </w:t>
      </w:r>
      <w:r w:rsidRPr="00666914">
        <w:t>Databáza by mala vychádzať z návrhu IEP, prezentovaného koncom roka 2018. Obsahom databázy by mimo iné bola aj integrovaná informácia o príčinách/nedostatkoch ku každej povodni samostatne. Momentálne sa tieto informácie zbierajú, ale nie sú integrované na jednom mieste (Povodňové správy od SHMÚ</w:t>
      </w:r>
      <w:r w:rsidRPr="00666914">
        <w:rPr>
          <w:color w:val="000000"/>
        </w:rPr>
        <w:t xml:space="preserve">, priebežné správy  o povodňovej situácii a súhrnné správy o priebehu povodní, ich následkoch a vykonaných opatreniach za jednotlivé povodňové situácie vypracované obcami, okresnými  úradmi a ďalšími subjektami podľa zákona č. 7/2010 Z.z. a vyhlášky č. 252/2010 Z.z.) </w:t>
      </w:r>
      <w:r w:rsidRPr="00666914">
        <w:t xml:space="preserve">alebo sú agregované na celé územie SR (Správy o priebehu a následkoch povodní na území SR od Sekcie vôd). Informácie ku každej povodni </w:t>
      </w:r>
      <w:r w:rsidRPr="00666914">
        <w:rPr>
          <w:color w:val="000000"/>
        </w:rPr>
        <w:t xml:space="preserve">zvlášť zo všetkých </w:t>
      </w:r>
      <w:r w:rsidRPr="00666914">
        <w:t>zdrojov je potrebné integrovať do jedne</w:t>
      </w:r>
      <w:r w:rsidR="000644F2" w:rsidRPr="00666914">
        <w:t>j priebežne dopĺňanej databázy.</w:t>
      </w:r>
    </w:p>
    <w:p w14:paraId="26D10283" w14:textId="77777777" w:rsidR="008E7D9E" w:rsidRPr="00666914" w:rsidRDefault="008E7D9E" w:rsidP="00F64B85">
      <w:pPr>
        <w:rPr>
          <w:rStyle w:val="Odkaznakomentr"/>
          <w:b/>
          <w:bCs/>
          <w:sz w:val="44"/>
        </w:rPr>
      </w:pPr>
      <w:r w:rsidRPr="00666914">
        <w:rPr>
          <w:rStyle w:val="Odkaznakomentr"/>
          <w:b/>
          <w:bCs/>
          <w:sz w:val="22"/>
        </w:rPr>
        <w:t>Opatrenie nie je k 31.12.2019 splnené.</w:t>
      </w:r>
    </w:p>
    <w:p w14:paraId="0C7908E4" w14:textId="26FB6015" w:rsidR="008E7D9E" w:rsidRPr="00666914" w:rsidRDefault="008E7D9E" w:rsidP="007B5DAF">
      <w:pPr>
        <w:rPr>
          <w:rFonts w:eastAsia="Arial Narrow" w:cs="Arial Narrow"/>
        </w:rPr>
      </w:pPr>
      <w:r w:rsidRPr="00666914">
        <w:rPr>
          <w:rStyle w:val="Odkaznakomentr"/>
          <w:b/>
          <w:bCs/>
          <w:sz w:val="22"/>
        </w:rPr>
        <w:t xml:space="preserve">Odporúčanie IJ: </w:t>
      </w:r>
      <w:r w:rsidRPr="00666914">
        <w:rPr>
          <w:rStyle w:val="Odkaznakomentr"/>
          <w:sz w:val="22"/>
        </w:rPr>
        <w:t>V spolupráci s IEP navrhnúť</w:t>
      </w:r>
      <w:r w:rsidRPr="00666914">
        <w:rPr>
          <w:sz w:val="32"/>
        </w:rPr>
        <w:t xml:space="preserve"> </w:t>
      </w:r>
      <w:r w:rsidRPr="00666914">
        <w:t xml:space="preserve">spôsob plnenia opatrenia pomocou integrovanej databázy. Čo najskôr nastaviť </w:t>
      </w:r>
      <w:r w:rsidRPr="00666914">
        <w:rPr>
          <w:color w:val="000000"/>
        </w:rPr>
        <w:t xml:space="preserve">upravené </w:t>
      </w:r>
      <w:r w:rsidRPr="00666914">
        <w:t>pravidelné komplexné vyhodnocovanie povodňových udalostí.</w:t>
      </w:r>
    </w:p>
    <w:p w14:paraId="1A56BE70" w14:textId="77777777" w:rsidR="008E7D9E" w:rsidRPr="00666914" w:rsidRDefault="008E7D9E" w:rsidP="00131B23">
      <w:pPr>
        <w:numPr>
          <w:ilvl w:val="0"/>
          <w:numId w:val="25"/>
        </w:numPr>
        <w:spacing w:after="0"/>
        <w:rPr>
          <w:rFonts w:eastAsia="Arial Narrow" w:cs="Arial Narrow"/>
          <w:b/>
          <w:u w:val="single"/>
        </w:rPr>
      </w:pPr>
      <w:r w:rsidRPr="00666914">
        <w:rPr>
          <w:rFonts w:eastAsia="Arial Narrow" w:cs="Arial Narrow"/>
          <w:b/>
          <w:u w:val="single"/>
        </w:rPr>
        <w:t>Vyhodnotiť vplyvy jednotlivých typov zelených a sivých opatrení na protipovodňové a iné funkcie v krajine</w:t>
      </w:r>
    </w:p>
    <w:p w14:paraId="0CD49D97" w14:textId="77777777" w:rsidR="008E7D9E" w:rsidRPr="00666914" w:rsidRDefault="008E7D9E">
      <w:pPr>
        <w:spacing w:after="0"/>
        <w:rPr>
          <w:rFonts w:eastAsia="Arial Narrow" w:cs="Arial Narrow"/>
        </w:rPr>
      </w:pPr>
    </w:p>
    <w:p w14:paraId="53AE6798" w14:textId="72822E01" w:rsidR="002578F1" w:rsidRPr="00666914" w:rsidRDefault="008E7D9E">
      <w:pPr>
        <w:spacing w:after="0"/>
        <w:rPr>
          <w:rFonts w:eastAsia="Arial Narrow" w:cs="Arial Narrow"/>
          <w:b/>
        </w:rPr>
      </w:pPr>
      <w:r w:rsidRPr="00666914">
        <w:rPr>
          <w:rFonts w:eastAsia="Arial Narrow" w:cs="Arial Narrow"/>
        </w:rPr>
        <w:t xml:space="preserve">V roku 2019 VÚVH pracoval na úlohe „Pasportizácie a posúdenie stavu vodozádržných objektov vybudovaných v rámci projektu „Revitalizácia krajiny a integrovaného manažmentu povodia“. VÚVH navrhlo metodiku pre posúdenie funkčnosti jednotlivých vodozádržných objektov a ich stavu, kde sa hodnotí prínos daného opatrenia v rámci programu, a postupne sa posudzujú všetky obce, v ktorých boli realizované a vybudované vodozádržné opatrenia. Za rok 2019 bolo posúdených približne 40 % všetkých objektov. Finalizácia opatrenia sa plánuje až v roku 2020. MŽP SR je tiež zapojené do medzinárodného projektu FramWat, ktorého cieľom je posilniť spoločný regionálny rámec pre zmiernenie následkov povodní, sucha a znečistenia zvýšením absorpčnej kapacity krajiny. </w:t>
      </w:r>
      <w:sdt>
        <w:sdtPr>
          <w:tag w:val="goog_rdk_86"/>
          <w:id w:val="-195470175"/>
        </w:sdtPr>
        <w:sdtEndPr/>
        <w:sdtContent/>
      </w:sdt>
      <w:r w:rsidRPr="00666914">
        <w:rPr>
          <w:rFonts w:eastAsia="Arial Narrow" w:cs="Arial Narrow"/>
          <w:b/>
        </w:rPr>
        <w:t>Opatrenie nie je k 31.12.2019 splnené.</w:t>
      </w:r>
    </w:p>
    <w:p w14:paraId="072BC963" w14:textId="77777777" w:rsidR="002578F1" w:rsidRPr="00666914" w:rsidRDefault="002578F1">
      <w:pPr>
        <w:spacing w:after="0"/>
        <w:jc w:val="left"/>
        <w:rPr>
          <w:rFonts w:eastAsia="Arial Narrow" w:cs="Arial Narrow"/>
          <w:b/>
        </w:rPr>
      </w:pPr>
      <w:r w:rsidRPr="00666914">
        <w:rPr>
          <w:rFonts w:eastAsia="Arial Narrow" w:cs="Arial Narrow"/>
          <w:b/>
        </w:rPr>
        <w:br w:type="page"/>
      </w:r>
    </w:p>
    <w:p w14:paraId="13BD40A3" w14:textId="77777777" w:rsidR="008E7D9E" w:rsidRPr="00666914" w:rsidRDefault="008E7D9E" w:rsidP="00131B23">
      <w:pPr>
        <w:numPr>
          <w:ilvl w:val="0"/>
          <w:numId w:val="25"/>
        </w:numPr>
        <w:spacing w:after="0"/>
        <w:rPr>
          <w:rFonts w:eastAsia="Arial Narrow" w:cs="Arial Narrow"/>
          <w:b/>
          <w:u w:val="single"/>
        </w:rPr>
      </w:pPr>
      <w:r w:rsidRPr="00666914">
        <w:rPr>
          <w:rFonts w:eastAsia="Arial Narrow" w:cs="Arial Narrow"/>
          <w:b/>
          <w:u w:val="single"/>
        </w:rPr>
        <w:lastRenderedPageBreak/>
        <w:t>Vypracovať analýzu negatívnych externalít a ich monetizácie</w:t>
      </w:r>
    </w:p>
    <w:p w14:paraId="5E65620A" w14:textId="77777777" w:rsidR="008E7D9E" w:rsidRPr="00666914" w:rsidRDefault="008E7D9E">
      <w:pPr>
        <w:spacing w:after="0"/>
        <w:rPr>
          <w:rFonts w:eastAsia="Arial Narrow" w:cs="Arial Narrow"/>
        </w:rPr>
      </w:pPr>
    </w:p>
    <w:p w14:paraId="25D296E1" w14:textId="164599FF" w:rsidR="008E7D9E" w:rsidRPr="00666914" w:rsidRDefault="008E7D9E" w:rsidP="007B5DAF">
      <w:pPr>
        <w:rPr>
          <w:rFonts w:eastAsia="Arial Narrow" w:cs="Arial Narrow"/>
          <w:b/>
          <w:u w:val="single"/>
        </w:rPr>
      </w:pPr>
      <w:r w:rsidRPr="00666914">
        <w:rPr>
          <w:rFonts w:eastAsia="Arial Narrow" w:cs="Arial Narrow"/>
        </w:rPr>
        <w:t>MŽP SR spolupracuje na tejto analýze s OECD. V 07/2019 bola štúdia</w:t>
      </w:r>
      <w:r w:rsidRPr="00666914">
        <w:t xml:space="preserve"> „</w:t>
      </w:r>
      <w:r w:rsidRPr="00666914">
        <w:rPr>
          <w:rFonts w:eastAsia="Arial Narrow" w:cs="Arial Narrow"/>
        </w:rPr>
        <w:t xml:space="preserve">Towards a green fiscal reform in the Slovak Republic. Proposals for strengthening the role of market-based environmental policy instruments“ sfinalizovaná a zaslaná na schválenie OECD. Následne bude zverejnená. </w:t>
      </w:r>
      <w:r w:rsidRPr="00666914">
        <w:rPr>
          <w:rFonts w:eastAsia="Arial Narrow" w:cs="Arial Narrow"/>
          <w:b/>
        </w:rPr>
        <w:t>Opatrenie je k 31.12.2019 splnené.</w:t>
      </w:r>
    </w:p>
    <w:p w14:paraId="1AF30AC9" w14:textId="77777777" w:rsidR="008E7D9E" w:rsidRPr="00666914" w:rsidRDefault="008E7D9E" w:rsidP="00131B23">
      <w:pPr>
        <w:numPr>
          <w:ilvl w:val="0"/>
          <w:numId w:val="25"/>
        </w:numPr>
        <w:spacing w:after="0"/>
        <w:rPr>
          <w:rFonts w:eastAsia="Arial Narrow" w:cs="Arial Narrow"/>
          <w:b/>
          <w:u w:val="single"/>
        </w:rPr>
      </w:pPr>
      <w:r w:rsidRPr="00666914">
        <w:rPr>
          <w:rFonts w:eastAsia="Arial Narrow" w:cs="Arial Narrow"/>
          <w:b/>
          <w:u w:val="single"/>
        </w:rPr>
        <w:t>Vypracovať štúdiu alternatívnych systémov odvádzania a čistenia odpadových vôd (nákladovo efektívnejších oproti klasickým) v podmienkach SR</w:t>
      </w:r>
    </w:p>
    <w:p w14:paraId="78F17AB6" w14:textId="77777777" w:rsidR="008E7D9E" w:rsidRPr="00666914" w:rsidRDefault="008E7D9E">
      <w:pPr>
        <w:spacing w:after="0"/>
        <w:rPr>
          <w:rFonts w:eastAsia="Arial Narrow" w:cs="Arial Narrow"/>
        </w:rPr>
      </w:pPr>
    </w:p>
    <w:p w14:paraId="35001C97" w14:textId="67AF5679" w:rsidR="008E7D9E" w:rsidRPr="00666914" w:rsidRDefault="008E7D9E" w:rsidP="007B5DAF">
      <w:pPr>
        <w:rPr>
          <w:rFonts w:eastAsia="Arial Narrow" w:cs="Arial Narrow"/>
        </w:rPr>
      </w:pPr>
      <w:r w:rsidRPr="00666914">
        <w:rPr>
          <w:rFonts w:eastAsia="Arial Narrow" w:cs="Arial Narrow"/>
        </w:rPr>
        <w:t>IEP zrealizoval prvé kroky, smerujúce k plneniu úlohy v roku 2019 a v 4Q2019 vypracoval komentár s názvom „Späť ku koreňom. Zhodnotenie alternatív čistenia odpadových vôd so zameraním na koreňové systémy</w:t>
      </w:r>
      <w:r w:rsidRPr="00666914">
        <w:rPr>
          <w:rFonts w:eastAsia="Arial Narrow" w:cs="Arial Narrow"/>
          <w:vertAlign w:val="superscript"/>
        </w:rPr>
        <w:footnoteReference w:id="316"/>
      </w:r>
      <w:r w:rsidRPr="00666914">
        <w:rPr>
          <w:rFonts w:eastAsia="Arial Narrow" w:cs="Arial Narrow"/>
        </w:rPr>
        <w:t>“, ktorý zaslal ako podklad pre štúdiu VÚVH. K 12/2019 vypracoval  VÚVH štúdiu „Alternatívne spôsoby čistenia odpadových vôd na Slovensku“, ktorá je podkladom pre plnenie opatrenia. V 01/2020 bola zaslaná na pripomienkovanie a na prípadné doplnenie kolegom z IEP. Po ukončení obdobia hodnotenia bola štúdia sfinalizovaná (02/2020).</w:t>
      </w:r>
      <w:r w:rsidRPr="00666914">
        <w:rPr>
          <w:color w:val="1F497D"/>
        </w:rPr>
        <w:t xml:space="preserve"> </w:t>
      </w:r>
      <w:r w:rsidRPr="00666914">
        <w:rPr>
          <w:rFonts w:eastAsia="Arial Narrow" w:cs="Arial Narrow"/>
          <w:b/>
        </w:rPr>
        <w:t>Opatrenie sa k 31.12.2019 plní čiastočne.</w:t>
      </w:r>
    </w:p>
    <w:p w14:paraId="60559AC7" w14:textId="77777777" w:rsidR="008E7D9E" w:rsidRPr="00666914" w:rsidRDefault="008E7D9E" w:rsidP="00131B23">
      <w:pPr>
        <w:numPr>
          <w:ilvl w:val="0"/>
          <w:numId w:val="25"/>
        </w:numPr>
        <w:spacing w:after="0"/>
        <w:rPr>
          <w:rFonts w:eastAsia="Arial Narrow" w:cs="Arial Narrow"/>
          <w:b/>
          <w:u w:val="single"/>
        </w:rPr>
      </w:pPr>
      <w:r w:rsidRPr="00666914">
        <w:rPr>
          <w:rFonts w:eastAsia="Arial Narrow" w:cs="Arial Narrow"/>
          <w:b/>
          <w:u w:val="single"/>
        </w:rPr>
        <w:t>Nájsť alternatívy financovania výstavby verejných kanalizácií: analýza cien vodného a stočného, PPP projekty, financovanie pomocou úverov</w:t>
      </w:r>
    </w:p>
    <w:p w14:paraId="4F1FC0E6" w14:textId="5524E599" w:rsidR="008E7D9E" w:rsidRPr="00666914" w:rsidRDefault="008E7D9E">
      <w:pPr>
        <w:spacing w:before="240"/>
        <w:rPr>
          <w:rFonts w:eastAsia="Arial Narrow" w:cs="Arial Narrow"/>
        </w:rPr>
      </w:pPr>
      <w:r w:rsidRPr="00666914">
        <w:rPr>
          <w:rFonts w:eastAsia="Arial Narrow" w:cs="Arial Narrow"/>
        </w:rPr>
        <w:t xml:space="preserve">V 1Q2019 pripravil IEP MŽP SR finálnu verziu analýzy „Bez dotácií a predsa úspešne“, ktorá hodnotí rôzne typy financovania výstavby a rekonštrukcie verejných kanalizácií používaných v iných krajinách. Obsahuje tiež sadu odporúčaní ako pristupovať k financovaniu kanalizácií na Slovensku. Analýza pre interné účely a jej odporúčania majú byť súčasťou budúcich stratégií MŽP SR. </w:t>
      </w:r>
      <w:sdt>
        <w:sdtPr>
          <w:tag w:val="goog_rdk_87"/>
          <w:id w:val="678467434"/>
        </w:sdtPr>
        <w:sdtEndPr/>
        <w:sdtContent/>
      </w:sdt>
      <w:r w:rsidRPr="00666914">
        <w:rPr>
          <w:rFonts w:eastAsia="Arial Narrow" w:cs="Arial Narrow"/>
          <w:b/>
        </w:rPr>
        <w:t>Opatrenie je k 31.3.2019 splnené a nebude už predmetom hodnotenia v roku 2020.</w:t>
      </w:r>
    </w:p>
    <w:p w14:paraId="10381405" w14:textId="77777777" w:rsidR="008E7D9E" w:rsidRPr="00666914" w:rsidRDefault="008E7D9E">
      <w:pPr>
        <w:spacing w:after="0"/>
        <w:rPr>
          <w:rFonts w:eastAsia="Arial Narrow" w:cs="Arial Narrow"/>
          <w:b/>
          <w:u w:val="single"/>
        </w:rPr>
      </w:pPr>
    </w:p>
    <w:p w14:paraId="512B5F60" w14:textId="77777777" w:rsidR="005D57F4" w:rsidRPr="00666914" w:rsidRDefault="005D57F4">
      <w:pPr>
        <w:spacing w:after="0"/>
        <w:jc w:val="left"/>
        <w:rPr>
          <w:rFonts w:eastAsia="Times New Roman"/>
          <w:color w:val="2E74B5"/>
          <w:sz w:val="32"/>
          <w:szCs w:val="32"/>
        </w:rPr>
      </w:pPr>
      <w:r w:rsidRPr="00666914">
        <w:br w:type="page"/>
      </w:r>
    </w:p>
    <w:p w14:paraId="18133BF2" w14:textId="77777777" w:rsidR="00E66F49" w:rsidRPr="00666914" w:rsidRDefault="00E66F49" w:rsidP="00E66F49">
      <w:pPr>
        <w:pStyle w:val="Nadpis1"/>
        <w:ind w:left="720"/>
      </w:pPr>
      <w:bookmarkStart w:id="352" w:name="_Trh_práce_a"/>
      <w:bookmarkStart w:id="353" w:name="_Toc6321916"/>
      <w:bookmarkStart w:id="354" w:name="_Toc38447615"/>
      <w:bookmarkStart w:id="355" w:name="_Toc522861644"/>
      <w:bookmarkEnd w:id="317"/>
      <w:bookmarkEnd w:id="352"/>
      <w:r w:rsidRPr="00666914">
        <w:lastRenderedPageBreak/>
        <w:t>Trh práce a sociálne politiky</w:t>
      </w:r>
      <w:bookmarkEnd w:id="353"/>
      <w:bookmarkEnd w:id="354"/>
      <w:r w:rsidRPr="00666914">
        <w:t xml:space="preserve"> </w:t>
      </w:r>
      <w:bookmarkEnd w:id="355"/>
    </w:p>
    <w:p w14:paraId="34EF6F4F" w14:textId="77777777" w:rsidR="00E66F49" w:rsidRPr="00666914" w:rsidRDefault="00E66F49" w:rsidP="00D2605E">
      <w:pPr>
        <w:pStyle w:val="Nadpis2"/>
      </w:pPr>
      <w:bookmarkStart w:id="356" w:name="_Toc6321917"/>
      <w:bookmarkStart w:id="357" w:name="_Toc38447616"/>
      <w:r w:rsidRPr="00666914">
        <w:t>Zhrnutie</w:t>
      </w:r>
      <w:bookmarkEnd w:id="356"/>
      <w:bookmarkEnd w:id="357"/>
    </w:p>
    <w:p w14:paraId="608DEC9C" w14:textId="7BA5418C" w:rsidR="00E66F49" w:rsidRPr="00666914" w:rsidRDefault="00E66F49" w:rsidP="00D27F91">
      <w:pPr>
        <w:rPr>
          <w:b/>
        </w:rPr>
      </w:pPr>
      <w:r w:rsidRPr="00666914">
        <w:rPr>
          <w:b/>
        </w:rPr>
        <w:t>Revízia výdavkov v roku 2017 definovala potenciálnu celkovú úsporu 59 mil. eur,</w:t>
      </w:r>
      <w:r w:rsidR="005C16C0" w:rsidRPr="00666914">
        <w:rPr>
          <w:b/>
        </w:rPr>
        <w:t xml:space="preserve"> </w:t>
      </w:r>
      <w:r w:rsidRPr="00666914">
        <w:rPr>
          <w:b/>
        </w:rPr>
        <w:t>do 12/2019 nebola dosiahnutá. Okrem úsporných opatrení patrí medzi priority aj oblasť dôchodkov, sociálnych služieb a dlhodobej starostlivosti, kde je doterajší pokrok zatiaľ nedostatočný.</w:t>
      </w:r>
    </w:p>
    <w:p w14:paraId="3FBAFE61" w14:textId="55908DED" w:rsidR="00E66F49" w:rsidRPr="00666914" w:rsidRDefault="00E66F49" w:rsidP="00D27F91">
      <w:r w:rsidRPr="00666914">
        <w:rPr>
          <w:b/>
        </w:rPr>
        <w:t>Úsporu 49 mil. eur ročne malo priniesť zavedenie ročného zúčtovania sociálneho poistenia (RZ SP) v roku 2018</w:t>
      </w:r>
      <w:r w:rsidRPr="00666914">
        <w:rPr>
          <w:rStyle w:val="Odkaznapoznmkupodiarou"/>
          <w:b/>
        </w:rPr>
        <w:footnoteReference w:id="317"/>
      </w:r>
      <w:r w:rsidRPr="00666914">
        <w:rPr>
          <w:b/>
        </w:rPr>
        <w:t>. Zavedené však bude až od roku 2023, pričom tento posun predstavuje v porovnaní so scenárom revízie výdavkov odhadovaný výpadok prínosov do štátneho rozpočtu za roky 2019</w:t>
      </w:r>
      <w:r w:rsidR="00953FE8" w:rsidRPr="00666914">
        <w:rPr>
          <w:b/>
        </w:rPr>
        <w:t xml:space="preserve"> </w:t>
      </w:r>
      <w:r w:rsidRPr="00666914">
        <w:rPr>
          <w:b/>
        </w:rPr>
        <w:t>-</w:t>
      </w:r>
      <w:r w:rsidR="00953FE8" w:rsidRPr="00666914">
        <w:rPr>
          <w:b/>
        </w:rPr>
        <w:t xml:space="preserve"> </w:t>
      </w:r>
      <w:r w:rsidRPr="00666914">
        <w:rPr>
          <w:b/>
        </w:rPr>
        <w:t>2022 viac ako 200 mil. eur</w:t>
      </w:r>
      <w:r w:rsidRPr="00666914">
        <w:rPr>
          <w:rStyle w:val="Odkaznapoznmkupodiarou"/>
          <w:b/>
        </w:rPr>
        <w:footnoteReference w:id="318"/>
      </w:r>
      <w:r w:rsidRPr="00666914">
        <w:rPr>
          <w:b/>
        </w:rPr>
        <w:t>.</w:t>
      </w:r>
      <w:r w:rsidRPr="00666914">
        <w:t xml:space="preserve"> Novela zákona o sociálnom poistení, prijatá v roku 2018</w:t>
      </w:r>
      <w:r w:rsidRPr="00666914">
        <w:rPr>
          <w:rStyle w:val="Odkaznapoznmkupodiarou"/>
        </w:rPr>
        <w:footnoteReference w:id="319"/>
      </w:r>
      <w:r w:rsidRPr="00666914">
        <w:t>, mala zaviesť ročné zúčtovanie od roku 2022. Koncom roka 2019 bol však schválením poslaneckého návrhu novely zákona</w:t>
      </w:r>
      <w:r w:rsidRPr="00666914">
        <w:rPr>
          <w:rStyle w:val="Odkaznapoznmkupodiarou"/>
        </w:rPr>
        <w:footnoteReference w:id="320"/>
      </w:r>
      <w:r w:rsidRPr="00666914">
        <w:t xml:space="preserve"> termín posunutý na rok 2023.</w:t>
      </w:r>
    </w:p>
    <w:p w14:paraId="03BDA3B0" w14:textId="1F7F35DA" w:rsidR="00E66F49" w:rsidRPr="00666914" w:rsidRDefault="00E66F49" w:rsidP="00D27F91">
      <w:r w:rsidRPr="00666914">
        <w:rPr>
          <w:b/>
        </w:rPr>
        <w:t xml:space="preserve">Sociálna poisťovňa má do konca roka 2020 zvýšením efektívnosti </w:t>
      </w:r>
      <w:r w:rsidR="00953FE8" w:rsidRPr="00666914">
        <w:rPr>
          <w:b/>
        </w:rPr>
        <w:t xml:space="preserve">svojho </w:t>
      </w:r>
      <w:r w:rsidRPr="00666914">
        <w:rPr>
          <w:b/>
        </w:rPr>
        <w:t xml:space="preserve">fungovania usporiť 10 mil. eur. Do konca roka 2019 k žiadnej úspore nedošlo. V roku 2018 SP prezentovala IJ ÚV SR systém hodnotenia fungovania pobočiek, k optimalizácii procesov však zatiaľ neprispel. </w:t>
      </w:r>
      <w:r w:rsidRPr="00666914">
        <w:t xml:space="preserve">Napriek vyjadreniam o pravidelnom monitoringu </w:t>
      </w:r>
      <w:r w:rsidR="00953FE8" w:rsidRPr="00666914">
        <w:t xml:space="preserve">neposkytla </w:t>
      </w:r>
      <w:r w:rsidRPr="00666914">
        <w:t>SP IJ</w:t>
      </w:r>
      <w:r w:rsidRPr="00666914" w:rsidDel="000E636A">
        <w:t xml:space="preserve"> </w:t>
      </w:r>
      <w:r w:rsidRPr="00666914">
        <w:t xml:space="preserve">ÚV SR konkrétne celoročné výsledky a ich vplyv na zlepšenie fungovania pobočiek. IJ ÚV SR do konca roka 2019 nedostala ani implementačný plán opatrení vyplývajúcich z projektu optimalizácie procesov realizovanom v roku 2018. Investičný plán síce aktualizovaný bol, SP ho však </w:t>
      </w:r>
      <w:r w:rsidR="00383268" w:rsidRPr="00666914">
        <w:t xml:space="preserve">aj naďalej </w:t>
      </w:r>
      <w:r w:rsidRPr="00666914">
        <w:t>odmieta zverejniť.</w:t>
      </w:r>
    </w:p>
    <w:p w14:paraId="1D3D3F40" w14:textId="475597F5" w:rsidR="00E66F49" w:rsidRPr="00666914" w:rsidRDefault="00E66F49" w:rsidP="00D27F91">
      <w:r w:rsidRPr="00666914">
        <w:rPr>
          <w:b/>
        </w:rPr>
        <w:t xml:space="preserve">V oblasti rodinnej politiky nie je stále jasná stratégia rezortu. </w:t>
      </w:r>
      <w:r w:rsidRPr="00666914">
        <w:t>Napriek absencii priorít ministerstva a jasného plánu boli počas roka 2019 podmienky podpory rodín upravené (napr. zavedenie možnosti čerpania materskej obidvoma rodičmi od 01/2019</w:t>
      </w:r>
      <w:r w:rsidRPr="00666914">
        <w:rPr>
          <w:rStyle w:val="Odkaznapoznmkupodiarou"/>
        </w:rPr>
        <w:footnoteReference w:id="321"/>
      </w:r>
      <w:r w:rsidRPr="00666914">
        <w:t>, schválenie konceptu dvojúrovňového rodičovského príspevku</w:t>
      </w:r>
      <w:r w:rsidRPr="00666914">
        <w:rPr>
          <w:rStyle w:val="Odkaznapoznmkupodiarou"/>
        </w:rPr>
        <w:footnoteReference w:id="322"/>
      </w:r>
      <w:r w:rsidRPr="00666914">
        <w:t>). K možnosti zavedenia flexibilného poberania rodičovského príspevku nedalo MPSVR SR ani po dvoch rokoch hodnotenia implementácie opatrení IJ ÚV SR jasné stanovisko.</w:t>
      </w:r>
    </w:p>
    <w:p w14:paraId="51B04973" w14:textId="5B42BDD8" w:rsidR="00E66F49" w:rsidRPr="00666914" w:rsidRDefault="00E66F49" w:rsidP="00D27F91">
      <w:r w:rsidRPr="00666914">
        <w:rPr>
          <w:b/>
        </w:rPr>
        <w:t xml:space="preserve">K nastaveniu efektívnejšieho poskytovania pomoci uchádzačom o zamestnanie zatiaľ nedošlo. </w:t>
      </w:r>
      <w:r w:rsidRPr="00666914">
        <w:t>Tzv. profilácia klientov mala byť zavedená do konca roka 2019 spustením Národného projektu ESKO2</w:t>
      </w:r>
      <w:r w:rsidRPr="00666914">
        <w:rPr>
          <w:rStyle w:val="Odkaznapoznmkupodiarou"/>
        </w:rPr>
        <w:footnoteReference w:id="323"/>
      </w:r>
      <w:r w:rsidRPr="00666914">
        <w:t>. Počas 2H2019 ešte len prebiehal proces verejného obstarávania jednotlivých aktivít projektu, spustenie profilácie sa podľa vyjadrenia rezortu očakáva koncom roka 2020.</w:t>
      </w:r>
    </w:p>
    <w:p w14:paraId="72FE9A64" w14:textId="7B8F4529" w:rsidR="00E66F49" w:rsidRPr="00666914" w:rsidRDefault="00E66F49" w:rsidP="00D27F91">
      <w:pPr>
        <w:rPr>
          <w:strike/>
        </w:rPr>
      </w:pPr>
      <w:r w:rsidRPr="00666914">
        <w:rPr>
          <w:b/>
        </w:rPr>
        <w:t>Implementácia zmien v oblasti dôchodkového sporenia je zatiaľ nedostatočná, očakávané legislatívne úpravy neboli do konca roka 2019 schválené</w:t>
      </w:r>
      <w:r w:rsidRPr="00666914">
        <w:rPr>
          <w:rStyle w:val="Odkaznapoznmkupodiarou"/>
          <w:b/>
        </w:rPr>
        <w:footnoteReference w:id="324"/>
      </w:r>
      <w:r w:rsidRPr="00666914">
        <w:rPr>
          <w:b/>
        </w:rPr>
        <w:t xml:space="preserve">. </w:t>
      </w:r>
      <w:r w:rsidRPr="00666914">
        <w:t>Po vypracovaní analýzy opatrení, podporujúcich zvýšenie efektivity dôchodkového sporenia, sa rezort v roku 2019 zameral len na zlepšenie informovanosti sporiteľov.  Ďalšie legislatívne úpravy bude MPSVR SR predkladať kontinuálne so zavádzaním regulácie PEPP</w:t>
      </w:r>
      <w:r w:rsidRPr="00666914">
        <w:rPr>
          <w:rStyle w:val="Odkaznapoznmkupodiarou"/>
        </w:rPr>
        <w:footnoteReference w:id="325"/>
      </w:r>
      <w:r w:rsidRPr="00666914">
        <w:t xml:space="preserve"> počas roka 2020. Koncom roka 2020 by mala byť zavedená aj predvolená sporiaca stratégia pre sporiteľov v II. pilieri. Na základe posunu implementácie pripravovaných zmien minimálne o rok je možné očakávať vplyv opatrení na zvýšenie výnosnosti fondov v II. a III. pilieri najskôr od roku 2021.</w:t>
      </w:r>
    </w:p>
    <w:p w14:paraId="2C75D176" w14:textId="258D869B" w:rsidR="00E66F49" w:rsidRPr="00666914" w:rsidRDefault="00E66F49" w:rsidP="00D27F91">
      <w:r w:rsidRPr="00666914">
        <w:rPr>
          <w:b/>
        </w:rPr>
        <w:t xml:space="preserve">V oblasti sociálnych služieb je pokrok v plnení opatrení počas 2 rokov nedostatočný, jednou z príčin je aj nízka kvalita údajov o poskytovaných službách. </w:t>
      </w:r>
      <w:r w:rsidRPr="00666914">
        <w:t>K zefektívneniu celkového manažmentu údajov vrátane zvýšenia kvality má prispieť aj v 3Q2019 schválená novela zákona o sociálnych službách</w:t>
      </w:r>
      <w:r w:rsidRPr="00666914">
        <w:rPr>
          <w:rStyle w:val="Odkaznapoznmkupodiarou"/>
        </w:rPr>
        <w:footnoteReference w:id="326"/>
      </w:r>
      <w:r w:rsidRPr="00666914">
        <w:t xml:space="preserve">, podľa ktorej má byť od roku 2021 </w:t>
      </w:r>
      <w:r w:rsidRPr="00666914">
        <w:lastRenderedPageBreak/>
        <w:t>zavedený jednotný informačný systém sociálnych služieb. Podrobný rozpočet a hlavne harmonogram implementácie systému však rezort IJ ÚV SR neposkytol. K hlbšej analýze problematiky sociálnych služieb aj vo vzťahu k zdravotníctvu by mala napomôcť revízia výdavkov na dlhodobú starostlivosť pripravovaná počas roka 2020.</w:t>
      </w:r>
    </w:p>
    <w:tbl>
      <w:tblPr>
        <w:tblW w:w="9406" w:type="dxa"/>
        <w:tblCellMar>
          <w:left w:w="70" w:type="dxa"/>
          <w:right w:w="70" w:type="dxa"/>
        </w:tblCellMar>
        <w:tblLook w:val="04A0" w:firstRow="1" w:lastRow="0" w:firstColumn="1" w:lastColumn="0" w:noHBand="0" w:noVBand="1"/>
      </w:tblPr>
      <w:tblGrid>
        <w:gridCol w:w="8057"/>
        <w:gridCol w:w="1349"/>
      </w:tblGrid>
      <w:tr w:rsidR="00E66F49" w:rsidRPr="00666914" w14:paraId="4C499FF3" w14:textId="77777777" w:rsidTr="00D27F91">
        <w:trPr>
          <w:trHeight w:val="270"/>
        </w:trPr>
        <w:tc>
          <w:tcPr>
            <w:tcW w:w="9406" w:type="dxa"/>
            <w:gridSpan w:val="2"/>
            <w:tcBorders>
              <w:top w:val="nil"/>
              <w:left w:val="nil"/>
              <w:bottom w:val="nil"/>
              <w:right w:val="nil"/>
            </w:tcBorders>
            <w:shd w:val="clear" w:color="auto" w:fill="auto"/>
            <w:noWrap/>
            <w:vAlign w:val="bottom"/>
            <w:hideMark/>
          </w:tcPr>
          <w:p w14:paraId="3EF15B55" w14:textId="31D08C92" w:rsidR="00E66F49" w:rsidRPr="00666914" w:rsidRDefault="00E66F49" w:rsidP="00D27F91">
            <w:pPr>
              <w:spacing w:after="0"/>
              <w:jc w:val="left"/>
              <w:rPr>
                <w:rFonts w:eastAsia="Times New Roman" w:cs="Calibri"/>
                <w:b/>
                <w:bCs/>
                <w:color w:val="000000"/>
                <w:sz w:val="20"/>
                <w:szCs w:val="20"/>
                <w:lang w:eastAsia="sk-SK"/>
              </w:rPr>
            </w:pPr>
            <w:bookmarkStart w:id="358" w:name="_Toc38447738"/>
            <w:r w:rsidRPr="00666914">
              <w:rPr>
                <w:rFonts w:eastAsia="Times New Roman" w:cs="Calibri"/>
                <w:b/>
                <w:bCs/>
                <w:color w:val="000000"/>
                <w:sz w:val="20"/>
                <w:szCs w:val="20"/>
                <w:lang w:eastAsia="sk-SK"/>
              </w:rPr>
              <w:t xml:space="preserve">Tabuľka </w:t>
            </w:r>
            <w:r w:rsidRPr="00666914">
              <w:rPr>
                <w:rFonts w:eastAsia="Times New Roman" w:cs="Calibri"/>
                <w:b/>
                <w:bCs/>
                <w:color w:val="000000"/>
                <w:sz w:val="20"/>
                <w:szCs w:val="20"/>
                <w:lang w:eastAsia="sk-SK"/>
              </w:rPr>
              <w:fldChar w:fldCharType="begin"/>
            </w:r>
            <w:r w:rsidRPr="00666914">
              <w:rPr>
                <w:rFonts w:eastAsia="Times New Roman" w:cs="Calibri"/>
                <w:b/>
                <w:bCs/>
                <w:color w:val="000000"/>
                <w:sz w:val="20"/>
                <w:szCs w:val="20"/>
                <w:lang w:eastAsia="sk-SK"/>
              </w:rPr>
              <w:instrText xml:space="preserve"> SEQ Tabuľka \* ARABIC \* MERGEFORMAT </w:instrText>
            </w:r>
            <w:r w:rsidRPr="00666914">
              <w:rPr>
                <w:rFonts w:eastAsia="Times New Roman" w:cs="Calibri"/>
                <w:b/>
                <w:bCs/>
                <w:color w:val="000000"/>
                <w:sz w:val="20"/>
                <w:szCs w:val="20"/>
                <w:lang w:eastAsia="sk-SK"/>
              </w:rPr>
              <w:fldChar w:fldCharType="separate"/>
            </w:r>
            <w:r w:rsidR="005A7304">
              <w:rPr>
                <w:rFonts w:eastAsia="Times New Roman" w:cs="Calibri"/>
                <w:b/>
                <w:bCs/>
                <w:noProof/>
                <w:color w:val="000000"/>
                <w:sz w:val="20"/>
                <w:szCs w:val="20"/>
                <w:lang w:eastAsia="sk-SK"/>
              </w:rPr>
              <w:t>77</w:t>
            </w:r>
            <w:r w:rsidRPr="00666914">
              <w:rPr>
                <w:rFonts w:eastAsia="Times New Roman" w:cs="Calibri"/>
                <w:b/>
                <w:bCs/>
                <w:color w:val="000000"/>
                <w:sz w:val="20"/>
                <w:szCs w:val="20"/>
                <w:lang w:eastAsia="sk-SK"/>
              </w:rPr>
              <w:fldChar w:fldCharType="end"/>
            </w:r>
            <w:r w:rsidRPr="00666914">
              <w:rPr>
                <w:rFonts w:eastAsia="Times New Roman" w:cs="Calibri"/>
                <w:b/>
                <w:bCs/>
                <w:color w:val="000000"/>
                <w:sz w:val="20"/>
                <w:szCs w:val="20"/>
                <w:lang w:eastAsia="sk-SK"/>
              </w:rPr>
              <w:t>: Plnenie hlavných odporúčaní IJ</w:t>
            </w:r>
            <w:r w:rsidR="00173DD5" w:rsidRPr="00666914">
              <w:rPr>
                <w:rFonts w:eastAsia="Times New Roman" w:cs="Calibri"/>
                <w:b/>
                <w:bCs/>
                <w:color w:val="000000"/>
                <w:sz w:val="20"/>
                <w:szCs w:val="20"/>
                <w:lang w:eastAsia="sk-SK"/>
              </w:rPr>
              <w:t xml:space="preserve"> ÚV SR pre MPSVR SR, SP a MF SR</w:t>
            </w:r>
            <w:r w:rsidRPr="00666914">
              <w:rPr>
                <w:rFonts w:eastAsia="Times New Roman" w:cs="Calibri"/>
                <w:b/>
                <w:bCs/>
                <w:color w:val="000000"/>
                <w:sz w:val="20"/>
                <w:szCs w:val="20"/>
                <w:lang w:eastAsia="sk-SK"/>
              </w:rPr>
              <w:t xml:space="preserve"> v Priebežnej implementačnej správe 2019</w:t>
            </w:r>
            <w:bookmarkEnd w:id="358"/>
          </w:p>
        </w:tc>
      </w:tr>
      <w:tr w:rsidR="00E66F49" w:rsidRPr="00666914" w14:paraId="15C91895" w14:textId="77777777" w:rsidTr="00D27F91">
        <w:trPr>
          <w:trHeight w:val="559"/>
        </w:trPr>
        <w:tc>
          <w:tcPr>
            <w:tcW w:w="8057" w:type="dxa"/>
            <w:tcBorders>
              <w:top w:val="single" w:sz="8" w:space="0" w:color="auto"/>
              <w:left w:val="nil"/>
              <w:bottom w:val="nil"/>
              <w:right w:val="nil"/>
            </w:tcBorders>
            <w:shd w:val="clear" w:color="auto" w:fill="auto"/>
            <w:noWrap/>
            <w:vAlign w:val="center"/>
            <w:hideMark/>
          </w:tcPr>
          <w:p w14:paraId="3F89FF79" w14:textId="77777777" w:rsidR="00E66F49" w:rsidRPr="00666914" w:rsidRDefault="00E66F49" w:rsidP="00D27F91">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 xml:space="preserve">Hlavné odporúčania IJ ÚV SR pre MPSVR SR do 6.11.2019: </w:t>
            </w:r>
          </w:p>
        </w:tc>
        <w:tc>
          <w:tcPr>
            <w:tcW w:w="1349" w:type="dxa"/>
            <w:tcBorders>
              <w:top w:val="single" w:sz="8" w:space="0" w:color="auto"/>
              <w:left w:val="nil"/>
              <w:bottom w:val="nil"/>
              <w:right w:val="nil"/>
            </w:tcBorders>
            <w:shd w:val="clear" w:color="auto" w:fill="auto"/>
            <w:noWrap/>
            <w:vAlign w:val="center"/>
            <w:hideMark/>
          </w:tcPr>
          <w:p w14:paraId="2C1AA8C3"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E66F49" w:rsidRPr="00666914" w14:paraId="2903EB53" w14:textId="77777777" w:rsidTr="00D27F91">
        <w:trPr>
          <w:trHeight w:val="559"/>
        </w:trPr>
        <w:tc>
          <w:tcPr>
            <w:tcW w:w="8057" w:type="dxa"/>
            <w:tcBorders>
              <w:top w:val="nil"/>
              <w:left w:val="nil"/>
              <w:bottom w:val="nil"/>
              <w:right w:val="nil"/>
            </w:tcBorders>
            <w:shd w:val="clear" w:color="auto" w:fill="auto"/>
            <w:noWrap/>
            <w:vAlign w:val="center"/>
            <w:hideMark/>
          </w:tcPr>
          <w:p w14:paraId="5EC0DA81"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Predložiť na rokovanie vlády SR návrh úpravy aktuálnej legislatívy, ktorá bude reflektovať definované opatrenia, vedúce k zvýšeniu efektívnosti dôchodkového sporenia</w:t>
            </w:r>
          </w:p>
        </w:tc>
        <w:tc>
          <w:tcPr>
            <w:tcW w:w="1349" w:type="dxa"/>
            <w:tcBorders>
              <w:top w:val="nil"/>
              <w:left w:val="nil"/>
              <w:bottom w:val="nil"/>
              <w:right w:val="nil"/>
            </w:tcBorders>
            <w:shd w:val="clear" w:color="auto" w:fill="auto"/>
            <w:noWrap/>
            <w:vAlign w:val="center"/>
            <w:hideMark/>
          </w:tcPr>
          <w:p w14:paraId="278B608E"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noProof/>
                <w:color w:val="000000"/>
                <w:sz w:val="20"/>
                <w:szCs w:val="20"/>
                <w:lang w:eastAsia="sk-SK"/>
              </w:rPr>
              <w:drawing>
                <wp:anchor distT="0" distB="0" distL="114300" distR="114300" simplePos="0" relativeHeight="251681792" behindDoc="0" locked="0" layoutInCell="1" allowOverlap="1" wp14:anchorId="07D08DE3" wp14:editId="66DFF8BB">
                  <wp:simplePos x="0" y="0"/>
                  <wp:positionH relativeFrom="column">
                    <wp:posOffset>372110</wp:posOffset>
                  </wp:positionH>
                  <wp:positionV relativeFrom="paragraph">
                    <wp:posOffset>17780</wp:posOffset>
                  </wp:positionV>
                  <wp:extent cx="219075" cy="228600"/>
                  <wp:effectExtent l="0" t="0" r="9525" b="0"/>
                  <wp:wrapNone/>
                  <wp:docPr id="24" name="Obrázok 24"/>
                  <wp:cNvGraphicFramePr/>
                  <a:graphic xmlns:a="http://schemas.openxmlformats.org/drawingml/2006/main">
                    <a:graphicData uri="http://schemas.openxmlformats.org/drawingml/2006/picture">
                      <pic:pic xmlns:pic="http://schemas.openxmlformats.org/drawingml/2006/picture">
                        <pic:nvPicPr>
                          <pic:cNvPr id="2" name="Obrázok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075" cy="228600"/>
                          </a:xfrm>
                          <a:prstGeom prst="rect">
                            <a:avLst/>
                          </a:prstGeom>
                        </pic:spPr>
                      </pic:pic>
                    </a:graphicData>
                  </a:graphic>
                  <wp14:sizeRelH relativeFrom="page">
                    <wp14:pctWidth>0</wp14:pctWidth>
                  </wp14:sizeRelH>
                  <wp14:sizeRelV relativeFrom="page">
                    <wp14:pctHeight>0</wp14:pctHeight>
                  </wp14:sizeRelV>
                </wp:anchor>
              </w:drawing>
            </w:r>
          </w:p>
        </w:tc>
      </w:tr>
      <w:tr w:rsidR="00E66F49" w:rsidRPr="00666914" w14:paraId="4044FEEA" w14:textId="77777777" w:rsidTr="00D27F91">
        <w:trPr>
          <w:trHeight w:val="559"/>
        </w:trPr>
        <w:tc>
          <w:tcPr>
            <w:tcW w:w="8057" w:type="dxa"/>
            <w:tcBorders>
              <w:top w:val="nil"/>
              <w:left w:val="nil"/>
              <w:bottom w:val="nil"/>
              <w:right w:val="nil"/>
            </w:tcBorders>
            <w:shd w:val="clear" w:color="auto" w:fill="auto"/>
            <w:noWrap/>
            <w:vAlign w:val="center"/>
            <w:hideMark/>
          </w:tcPr>
          <w:p w14:paraId="16678A6C" w14:textId="77777777" w:rsidR="00E66F49" w:rsidRPr="00666914" w:rsidRDefault="00E66F49" w:rsidP="00D27F91">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Hlavné odporúčania IJ ÚV SR pre SP do 31.12.2019</w:t>
            </w:r>
          </w:p>
        </w:tc>
        <w:tc>
          <w:tcPr>
            <w:tcW w:w="1349" w:type="dxa"/>
            <w:tcBorders>
              <w:top w:val="nil"/>
              <w:left w:val="nil"/>
              <w:bottom w:val="nil"/>
              <w:right w:val="nil"/>
            </w:tcBorders>
            <w:shd w:val="clear" w:color="auto" w:fill="auto"/>
            <w:noWrap/>
            <w:vAlign w:val="center"/>
            <w:hideMark/>
          </w:tcPr>
          <w:p w14:paraId="1D361EB6" w14:textId="77777777" w:rsidR="00E66F49" w:rsidRPr="00666914" w:rsidRDefault="00E66F49" w:rsidP="00D27F91">
            <w:pPr>
              <w:spacing w:after="0"/>
              <w:rPr>
                <w:rFonts w:eastAsia="Times New Roman" w:cs="Calibri"/>
                <w:b/>
                <w:bCs/>
                <w:color w:val="000000"/>
                <w:sz w:val="20"/>
                <w:szCs w:val="20"/>
                <w:lang w:eastAsia="sk-SK"/>
              </w:rPr>
            </w:pPr>
          </w:p>
        </w:tc>
      </w:tr>
      <w:tr w:rsidR="00E66F49" w:rsidRPr="00666914" w14:paraId="33174E54" w14:textId="77777777" w:rsidTr="00D27F91">
        <w:trPr>
          <w:trHeight w:val="559"/>
        </w:trPr>
        <w:tc>
          <w:tcPr>
            <w:tcW w:w="8057" w:type="dxa"/>
            <w:tcBorders>
              <w:top w:val="nil"/>
              <w:left w:val="nil"/>
              <w:bottom w:val="nil"/>
              <w:right w:val="nil"/>
            </w:tcBorders>
            <w:shd w:val="clear" w:color="auto" w:fill="auto"/>
            <w:noWrap/>
            <w:vAlign w:val="center"/>
            <w:hideMark/>
          </w:tcPr>
          <w:p w14:paraId="31F425D5"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Zverejniť investičný plán Sociálnej poisťovne</w:t>
            </w:r>
          </w:p>
        </w:tc>
        <w:tc>
          <w:tcPr>
            <w:tcW w:w="1349" w:type="dxa"/>
            <w:tcBorders>
              <w:top w:val="nil"/>
              <w:left w:val="nil"/>
              <w:bottom w:val="nil"/>
              <w:right w:val="nil"/>
            </w:tcBorders>
            <w:shd w:val="clear" w:color="auto" w:fill="auto"/>
            <w:noWrap/>
            <w:vAlign w:val="center"/>
            <w:hideMark/>
          </w:tcPr>
          <w:p w14:paraId="7E5C3983"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noProof/>
                <w:color w:val="000000"/>
                <w:sz w:val="20"/>
                <w:szCs w:val="20"/>
                <w:lang w:eastAsia="sk-SK"/>
              </w:rPr>
              <w:drawing>
                <wp:anchor distT="0" distB="0" distL="114300" distR="114300" simplePos="0" relativeHeight="251682816" behindDoc="0" locked="0" layoutInCell="1" allowOverlap="1" wp14:anchorId="395611C6" wp14:editId="35F4ABBA">
                  <wp:simplePos x="0" y="0"/>
                  <wp:positionH relativeFrom="column">
                    <wp:posOffset>354965</wp:posOffset>
                  </wp:positionH>
                  <wp:positionV relativeFrom="paragraph">
                    <wp:posOffset>21590</wp:posOffset>
                  </wp:positionV>
                  <wp:extent cx="219075" cy="228600"/>
                  <wp:effectExtent l="0" t="0" r="9525" b="0"/>
                  <wp:wrapNone/>
                  <wp:docPr id="26" name="Obrázok 26"/>
                  <wp:cNvGraphicFramePr/>
                  <a:graphic xmlns:a="http://schemas.openxmlformats.org/drawingml/2006/main">
                    <a:graphicData uri="http://schemas.openxmlformats.org/drawingml/2006/picture">
                      <pic:pic xmlns:pic="http://schemas.openxmlformats.org/drawingml/2006/picture">
                        <pic:nvPicPr>
                          <pic:cNvPr id="3" name="Obrázok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075" cy="228600"/>
                          </a:xfrm>
                          <a:prstGeom prst="rect">
                            <a:avLst/>
                          </a:prstGeom>
                        </pic:spPr>
                      </pic:pic>
                    </a:graphicData>
                  </a:graphic>
                  <wp14:sizeRelH relativeFrom="page">
                    <wp14:pctWidth>0</wp14:pctWidth>
                  </wp14:sizeRelH>
                  <wp14:sizeRelV relativeFrom="page">
                    <wp14:pctHeight>0</wp14:pctHeight>
                  </wp14:sizeRelV>
                </wp:anchor>
              </w:drawing>
            </w:r>
          </w:p>
        </w:tc>
      </w:tr>
      <w:tr w:rsidR="00E66F49" w:rsidRPr="00666914" w14:paraId="069EF270" w14:textId="77777777" w:rsidTr="00D27F91">
        <w:trPr>
          <w:trHeight w:val="559"/>
        </w:trPr>
        <w:tc>
          <w:tcPr>
            <w:tcW w:w="8057" w:type="dxa"/>
            <w:tcBorders>
              <w:top w:val="nil"/>
              <w:left w:val="nil"/>
              <w:bottom w:val="nil"/>
              <w:right w:val="nil"/>
            </w:tcBorders>
            <w:shd w:val="clear" w:color="auto" w:fill="auto"/>
            <w:vAlign w:val="center"/>
            <w:hideMark/>
          </w:tcPr>
          <w:p w14:paraId="2024AA2F"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xml:space="preserve">Definovať a predložiť IJ implementačný plán optimalizačných opatrení pre roky 2019-2020 vrátane vyčíslenia odhadovanej úspory </w:t>
            </w:r>
          </w:p>
        </w:tc>
        <w:tc>
          <w:tcPr>
            <w:tcW w:w="1349" w:type="dxa"/>
            <w:tcBorders>
              <w:top w:val="nil"/>
              <w:left w:val="nil"/>
              <w:bottom w:val="nil"/>
              <w:right w:val="nil"/>
            </w:tcBorders>
            <w:shd w:val="clear" w:color="auto" w:fill="auto"/>
            <w:noWrap/>
            <w:vAlign w:val="center"/>
            <w:hideMark/>
          </w:tcPr>
          <w:p w14:paraId="39A1935C"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noProof/>
                <w:color w:val="000000"/>
                <w:sz w:val="20"/>
                <w:szCs w:val="20"/>
                <w:lang w:eastAsia="sk-SK"/>
              </w:rPr>
              <w:drawing>
                <wp:anchor distT="0" distB="0" distL="114300" distR="114300" simplePos="0" relativeHeight="251683840" behindDoc="0" locked="0" layoutInCell="1" allowOverlap="1" wp14:anchorId="066CCD66" wp14:editId="171078D5">
                  <wp:simplePos x="0" y="0"/>
                  <wp:positionH relativeFrom="column">
                    <wp:posOffset>354330</wp:posOffset>
                  </wp:positionH>
                  <wp:positionV relativeFrom="paragraph">
                    <wp:posOffset>8890</wp:posOffset>
                  </wp:positionV>
                  <wp:extent cx="219075" cy="228600"/>
                  <wp:effectExtent l="0" t="0" r="9525" b="0"/>
                  <wp:wrapNone/>
                  <wp:docPr id="27" name="Obrázok 27"/>
                  <wp:cNvGraphicFramePr/>
                  <a:graphic xmlns:a="http://schemas.openxmlformats.org/drawingml/2006/main">
                    <a:graphicData uri="http://schemas.openxmlformats.org/drawingml/2006/picture">
                      <pic:pic xmlns:pic="http://schemas.openxmlformats.org/drawingml/2006/picture">
                        <pic:nvPicPr>
                          <pic:cNvPr id="4" name="Obrázok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075" cy="228600"/>
                          </a:xfrm>
                          <a:prstGeom prst="rect">
                            <a:avLst/>
                          </a:prstGeom>
                        </pic:spPr>
                      </pic:pic>
                    </a:graphicData>
                  </a:graphic>
                  <wp14:sizeRelH relativeFrom="page">
                    <wp14:pctWidth>0</wp14:pctWidth>
                  </wp14:sizeRelH>
                  <wp14:sizeRelV relativeFrom="page">
                    <wp14:pctHeight>0</wp14:pctHeight>
                  </wp14:sizeRelV>
                </wp:anchor>
              </w:drawing>
            </w:r>
          </w:p>
        </w:tc>
      </w:tr>
      <w:tr w:rsidR="00E66F49" w:rsidRPr="00666914" w14:paraId="37BA266E" w14:textId="77777777" w:rsidTr="00D27F91">
        <w:trPr>
          <w:trHeight w:val="559"/>
        </w:trPr>
        <w:tc>
          <w:tcPr>
            <w:tcW w:w="8057" w:type="dxa"/>
            <w:tcBorders>
              <w:top w:val="nil"/>
              <w:left w:val="nil"/>
              <w:bottom w:val="nil"/>
              <w:right w:val="nil"/>
            </w:tcBorders>
            <w:shd w:val="clear" w:color="auto" w:fill="auto"/>
            <w:noWrap/>
            <w:vAlign w:val="center"/>
            <w:hideMark/>
          </w:tcPr>
          <w:p w14:paraId="1AC76724" w14:textId="77777777" w:rsidR="00E66F49" w:rsidRPr="00666914" w:rsidRDefault="00E66F49" w:rsidP="00D27F91">
            <w:pPr>
              <w:spacing w:after="0"/>
              <w:rPr>
                <w:rFonts w:eastAsia="Times New Roman" w:cs="Calibri"/>
                <w:b/>
                <w:bCs/>
                <w:color w:val="000000"/>
                <w:sz w:val="20"/>
                <w:szCs w:val="20"/>
                <w:lang w:eastAsia="sk-SK"/>
              </w:rPr>
            </w:pPr>
            <w:r w:rsidRPr="00666914">
              <w:rPr>
                <w:rFonts w:eastAsia="Times New Roman" w:cs="Calibri"/>
                <w:b/>
                <w:bCs/>
                <w:color w:val="000000"/>
                <w:sz w:val="20"/>
                <w:szCs w:val="20"/>
                <w:lang w:eastAsia="sk-SK"/>
              </w:rPr>
              <w:t>Hlavné odporúčania IJ ÚV SR pre MF SR do 31.12.2019:</w:t>
            </w:r>
          </w:p>
        </w:tc>
        <w:tc>
          <w:tcPr>
            <w:tcW w:w="1349" w:type="dxa"/>
            <w:tcBorders>
              <w:top w:val="nil"/>
              <w:left w:val="nil"/>
              <w:bottom w:val="nil"/>
              <w:right w:val="nil"/>
            </w:tcBorders>
            <w:shd w:val="clear" w:color="auto" w:fill="auto"/>
            <w:noWrap/>
            <w:vAlign w:val="center"/>
            <w:hideMark/>
          </w:tcPr>
          <w:p w14:paraId="6ECC893F" w14:textId="77777777" w:rsidR="00E66F49" w:rsidRPr="00666914" w:rsidRDefault="00E66F49" w:rsidP="00D27F91">
            <w:pPr>
              <w:spacing w:after="0"/>
              <w:rPr>
                <w:rFonts w:eastAsia="Times New Roman" w:cs="Calibri"/>
                <w:b/>
                <w:bCs/>
                <w:color w:val="000000"/>
                <w:sz w:val="20"/>
                <w:szCs w:val="20"/>
                <w:lang w:eastAsia="sk-SK"/>
              </w:rPr>
            </w:pPr>
          </w:p>
        </w:tc>
      </w:tr>
      <w:tr w:rsidR="00E66F49" w:rsidRPr="00666914" w14:paraId="3B469B9A" w14:textId="77777777" w:rsidTr="00D27F91">
        <w:trPr>
          <w:trHeight w:val="559"/>
        </w:trPr>
        <w:tc>
          <w:tcPr>
            <w:tcW w:w="8057" w:type="dxa"/>
            <w:tcBorders>
              <w:top w:val="nil"/>
              <w:left w:val="nil"/>
              <w:bottom w:val="single" w:sz="8" w:space="0" w:color="auto"/>
              <w:right w:val="nil"/>
            </w:tcBorders>
            <w:shd w:val="clear" w:color="auto" w:fill="auto"/>
            <w:vAlign w:val="center"/>
            <w:hideMark/>
          </w:tcPr>
          <w:p w14:paraId="7B611D34"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Vypracovať revíziu výdavkov na dlhodobú starostlivosť vrátane odporúčaní úprav aktuálnej legislatívy</w:t>
            </w:r>
          </w:p>
        </w:tc>
        <w:tc>
          <w:tcPr>
            <w:tcW w:w="1349" w:type="dxa"/>
            <w:tcBorders>
              <w:top w:val="nil"/>
              <w:left w:val="nil"/>
              <w:bottom w:val="single" w:sz="8" w:space="0" w:color="auto"/>
              <w:right w:val="nil"/>
            </w:tcBorders>
            <w:shd w:val="clear" w:color="auto" w:fill="auto"/>
            <w:noWrap/>
            <w:vAlign w:val="center"/>
            <w:hideMark/>
          </w:tcPr>
          <w:p w14:paraId="57AA4C86"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noProof/>
                <w:color w:val="000000"/>
                <w:sz w:val="20"/>
                <w:szCs w:val="20"/>
                <w:lang w:eastAsia="sk-SK"/>
              </w:rPr>
              <w:drawing>
                <wp:anchor distT="0" distB="0" distL="114300" distR="114300" simplePos="0" relativeHeight="251684864" behindDoc="0" locked="0" layoutInCell="1" allowOverlap="1" wp14:anchorId="6DF82E63" wp14:editId="65186FD8">
                  <wp:simplePos x="0" y="0"/>
                  <wp:positionH relativeFrom="column">
                    <wp:posOffset>362585</wp:posOffset>
                  </wp:positionH>
                  <wp:positionV relativeFrom="paragraph">
                    <wp:posOffset>25400</wp:posOffset>
                  </wp:positionV>
                  <wp:extent cx="219075" cy="219075"/>
                  <wp:effectExtent l="0" t="0" r="9525" b="9525"/>
                  <wp:wrapNone/>
                  <wp:docPr id="5" name="Obrázok 5"/>
                  <wp:cNvGraphicFramePr/>
                  <a:graphic xmlns:a="http://schemas.openxmlformats.org/drawingml/2006/main">
                    <a:graphicData uri="http://schemas.openxmlformats.org/drawingml/2006/picture">
                      <pic:pic xmlns:pic="http://schemas.openxmlformats.org/drawingml/2006/picture">
                        <pic:nvPicPr>
                          <pic:cNvPr id="5" name="Obrázok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14:sizeRelH relativeFrom="page">
                    <wp14:pctWidth>0</wp14:pctWidth>
                  </wp14:sizeRelH>
                  <wp14:sizeRelV relativeFrom="page">
                    <wp14:pctHeight>0</wp14:pctHeight>
                  </wp14:sizeRelV>
                </wp:anchor>
              </w:drawing>
            </w:r>
          </w:p>
        </w:tc>
      </w:tr>
      <w:tr w:rsidR="00E66F49" w:rsidRPr="00666914" w14:paraId="725C466D" w14:textId="77777777" w:rsidTr="00D27F91">
        <w:trPr>
          <w:trHeight w:val="270"/>
        </w:trPr>
        <w:tc>
          <w:tcPr>
            <w:tcW w:w="8057" w:type="dxa"/>
            <w:tcBorders>
              <w:top w:val="nil"/>
              <w:left w:val="nil"/>
              <w:bottom w:val="nil"/>
              <w:right w:val="nil"/>
            </w:tcBorders>
            <w:shd w:val="clear" w:color="auto" w:fill="auto"/>
            <w:vAlign w:val="center"/>
            <w:hideMark/>
          </w:tcPr>
          <w:p w14:paraId="1ECC4481" w14:textId="77777777" w:rsidR="00E66F49" w:rsidRPr="00666914" w:rsidRDefault="00E66F49" w:rsidP="00D27F91">
            <w:pPr>
              <w:spacing w:after="0"/>
              <w:jc w:val="left"/>
              <w:rPr>
                <w:rFonts w:eastAsia="Times New Roman" w:cs="Calibri"/>
                <w:color w:val="000000"/>
                <w:sz w:val="20"/>
                <w:szCs w:val="20"/>
                <w:lang w:eastAsia="sk-SK"/>
              </w:rPr>
            </w:pPr>
          </w:p>
        </w:tc>
        <w:tc>
          <w:tcPr>
            <w:tcW w:w="1349" w:type="dxa"/>
            <w:tcBorders>
              <w:top w:val="nil"/>
              <w:left w:val="nil"/>
              <w:bottom w:val="nil"/>
              <w:right w:val="nil"/>
            </w:tcBorders>
            <w:shd w:val="clear" w:color="auto" w:fill="auto"/>
            <w:noWrap/>
            <w:vAlign w:val="center"/>
            <w:hideMark/>
          </w:tcPr>
          <w:p w14:paraId="1D6CCF60" w14:textId="77777777" w:rsidR="00E66F49" w:rsidRPr="00666914" w:rsidRDefault="00E66F49" w:rsidP="00D27F91">
            <w:pPr>
              <w:spacing w:after="0"/>
              <w:jc w:val="right"/>
              <w:rPr>
                <w:rFonts w:eastAsia="Times New Roman" w:cs="Calibri"/>
                <w:i/>
                <w:iCs/>
                <w:color w:val="000000"/>
                <w:sz w:val="18"/>
                <w:szCs w:val="18"/>
                <w:lang w:eastAsia="sk-SK"/>
              </w:rPr>
            </w:pPr>
            <w:r w:rsidRPr="00666914">
              <w:rPr>
                <w:rFonts w:eastAsia="Times New Roman" w:cs="Calibri"/>
                <w:i/>
                <w:iCs/>
                <w:color w:val="000000"/>
                <w:sz w:val="18"/>
                <w:szCs w:val="18"/>
                <w:lang w:eastAsia="sk-SK"/>
              </w:rPr>
              <w:t>Zdroj: IJ ÚV SR</w:t>
            </w:r>
          </w:p>
        </w:tc>
      </w:tr>
    </w:tbl>
    <w:bookmarkStart w:id="359" w:name="_Toc517709860"/>
    <w:p w14:paraId="533501D3" w14:textId="45A6A357" w:rsidR="00E66F49" w:rsidRPr="00666914" w:rsidRDefault="00E66F49" w:rsidP="00173DD5">
      <w:pPr>
        <w:pStyle w:val="Popis"/>
      </w:pPr>
      <w:r w:rsidRPr="00666914">
        <w:rPr>
          <w:noProof/>
          <w:lang w:eastAsia="sk-SK"/>
        </w:rPr>
        <mc:AlternateContent>
          <mc:Choice Requires="wps">
            <w:drawing>
              <wp:anchor distT="0" distB="0" distL="114300" distR="114300" simplePos="0" relativeHeight="251680768" behindDoc="0" locked="0" layoutInCell="1" allowOverlap="1" wp14:anchorId="75879040" wp14:editId="2891133B">
                <wp:simplePos x="0" y="0"/>
                <wp:positionH relativeFrom="margin">
                  <wp:align>left</wp:align>
                </wp:positionH>
                <wp:positionV relativeFrom="paragraph">
                  <wp:posOffset>250190</wp:posOffset>
                </wp:positionV>
                <wp:extent cx="6000750" cy="3075305"/>
                <wp:effectExtent l="0" t="0" r="19050" b="10795"/>
                <wp:wrapSquare wrapText="bothSides"/>
                <wp:docPr id="23" name="Textové pole 26"/>
                <wp:cNvGraphicFramePr/>
                <a:graphic xmlns:a="http://schemas.openxmlformats.org/drawingml/2006/main">
                  <a:graphicData uri="http://schemas.microsoft.com/office/word/2010/wordprocessingShape">
                    <wps:wsp>
                      <wps:cNvSpPr txBox="1"/>
                      <wps:spPr>
                        <a:xfrm>
                          <a:off x="0" y="0"/>
                          <a:ext cx="6000750" cy="3075305"/>
                        </a:xfrm>
                        <a:prstGeom prst="rect">
                          <a:avLst/>
                        </a:prstGeom>
                        <a:solidFill>
                          <a:srgbClr val="0070C0"/>
                        </a:solidFill>
                        <a:ln w="12700">
                          <a:solidFill>
                            <a:srgbClr val="4472C4"/>
                          </a:solidFill>
                        </a:ln>
                      </wps:spPr>
                      <wps:txbx>
                        <w:txbxContent>
                          <w:p w14:paraId="14799A6A" w14:textId="77777777" w:rsidR="006C0687" w:rsidRPr="0061360E" w:rsidRDefault="006C0687" w:rsidP="00D27F91">
                            <w:pPr>
                              <w:pStyle w:val="Obsahrmca"/>
                              <w:spacing w:after="0"/>
                              <w:rPr>
                                <w:b/>
                                <w:color w:val="FFFFFF" w:themeColor="background1"/>
                                <w:u w:val="single"/>
                              </w:rPr>
                            </w:pPr>
                            <w:r w:rsidRPr="0061360E">
                              <w:rPr>
                                <w:b/>
                                <w:color w:val="FFFFFF" w:themeColor="background1"/>
                                <w:u w:val="single"/>
                              </w:rPr>
                              <w:t xml:space="preserve">Hlavné odporúčania IJ </w:t>
                            </w:r>
                            <w:r>
                              <w:rPr>
                                <w:b/>
                                <w:color w:val="FFFFFF" w:themeColor="background1"/>
                                <w:u w:val="single"/>
                              </w:rPr>
                              <w:t xml:space="preserve">ÚV SR </w:t>
                            </w:r>
                            <w:r w:rsidRPr="0061360E">
                              <w:rPr>
                                <w:b/>
                                <w:color w:val="FFFFFF" w:themeColor="background1"/>
                                <w:u w:val="single"/>
                              </w:rPr>
                              <w:t xml:space="preserve">pre MPSVR SR do </w:t>
                            </w:r>
                            <w:r>
                              <w:rPr>
                                <w:b/>
                                <w:color w:val="FFFFFF" w:themeColor="background1"/>
                                <w:u w:val="single"/>
                              </w:rPr>
                              <w:t>30.6.2020</w:t>
                            </w:r>
                            <w:r w:rsidRPr="0061360E">
                              <w:rPr>
                                <w:b/>
                                <w:color w:val="FFFFFF" w:themeColor="background1"/>
                                <w:u w:val="single"/>
                              </w:rPr>
                              <w:t>:</w:t>
                            </w:r>
                          </w:p>
                          <w:p w14:paraId="1825A402" w14:textId="77777777" w:rsidR="006C0687" w:rsidRDefault="006C0687" w:rsidP="00CD4715">
                            <w:pPr>
                              <w:pStyle w:val="Obsahrmca"/>
                              <w:spacing w:after="0"/>
                              <w:rPr>
                                <w:b/>
                                <w:color w:val="FFFFFF" w:themeColor="background1"/>
                                <w:u w:val="single"/>
                              </w:rPr>
                            </w:pPr>
                          </w:p>
                          <w:p w14:paraId="7711AFD9" w14:textId="77777777" w:rsidR="006C0687" w:rsidRPr="001E6646" w:rsidRDefault="006C0687" w:rsidP="00131B23">
                            <w:pPr>
                              <w:pStyle w:val="Obsahrmca"/>
                              <w:numPr>
                                <w:ilvl w:val="0"/>
                                <w:numId w:val="21"/>
                              </w:numPr>
                              <w:spacing w:after="0"/>
                              <w:rPr>
                                <w:color w:val="FFFFFF" w:themeColor="background1"/>
                              </w:rPr>
                            </w:pPr>
                            <w:r>
                              <w:rPr>
                                <w:color w:val="FFFFFF" w:themeColor="background1"/>
                              </w:rPr>
                              <w:t>P</w:t>
                            </w:r>
                            <w:r w:rsidRPr="001E6646">
                              <w:rPr>
                                <w:color w:val="FFFFFF" w:themeColor="background1"/>
                              </w:rPr>
                              <w:t xml:space="preserve">redložiť IJ </w:t>
                            </w:r>
                            <w:r>
                              <w:rPr>
                                <w:color w:val="FFFFFF" w:themeColor="background1"/>
                              </w:rPr>
                              <w:t>ÚV SR</w:t>
                            </w:r>
                            <w:r w:rsidRPr="001E6646">
                              <w:rPr>
                                <w:color w:val="FFFFFF" w:themeColor="background1"/>
                              </w:rPr>
                              <w:t xml:space="preserve"> podrobný rozpočet a ha</w:t>
                            </w:r>
                            <w:r>
                              <w:rPr>
                                <w:color w:val="FFFFFF" w:themeColor="background1"/>
                              </w:rPr>
                              <w:t>rmonogram  implementácie informačného systému sociálnych služieb</w:t>
                            </w:r>
                          </w:p>
                          <w:p w14:paraId="7C9410D6" w14:textId="77777777" w:rsidR="006C0687" w:rsidRPr="0061360E" w:rsidRDefault="006C0687" w:rsidP="00D27F91">
                            <w:pPr>
                              <w:pStyle w:val="Obsahrmca"/>
                              <w:spacing w:after="0"/>
                              <w:rPr>
                                <w:b/>
                                <w:color w:val="FFFFFF" w:themeColor="background1"/>
                                <w:u w:val="single"/>
                              </w:rPr>
                            </w:pPr>
                          </w:p>
                          <w:p w14:paraId="5756EF6E" w14:textId="77777777" w:rsidR="006C0687" w:rsidRPr="0061360E" w:rsidRDefault="006C0687" w:rsidP="00CD4715">
                            <w:pPr>
                              <w:pStyle w:val="Obsahrmca"/>
                              <w:spacing w:after="0"/>
                              <w:rPr>
                                <w:b/>
                                <w:color w:val="FFFFFF" w:themeColor="background1"/>
                                <w:u w:val="single"/>
                              </w:rPr>
                            </w:pPr>
                            <w:r w:rsidRPr="0061360E">
                              <w:rPr>
                                <w:b/>
                                <w:color w:val="FFFFFF" w:themeColor="background1"/>
                                <w:u w:val="single"/>
                              </w:rPr>
                              <w:t xml:space="preserve">Hlavné odporúčania IJ </w:t>
                            </w:r>
                            <w:r>
                              <w:rPr>
                                <w:b/>
                                <w:color w:val="FFFFFF" w:themeColor="background1"/>
                                <w:u w:val="single"/>
                              </w:rPr>
                              <w:t xml:space="preserve">ÚV SR </w:t>
                            </w:r>
                            <w:r w:rsidRPr="0061360E">
                              <w:rPr>
                                <w:b/>
                                <w:color w:val="FFFFFF" w:themeColor="background1"/>
                                <w:u w:val="single"/>
                              </w:rPr>
                              <w:t xml:space="preserve">pre MPSVR SR a MF SR do </w:t>
                            </w:r>
                            <w:r>
                              <w:rPr>
                                <w:b/>
                                <w:color w:val="FFFFFF" w:themeColor="background1"/>
                                <w:u w:val="single"/>
                              </w:rPr>
                              <w:t>31.12.2020</w:t>
                            </w:r>
                            <w:r w:rsidRPr="0061360E">
                              <w:rPr>
                                <w:b/>
                                <w:color w:val="FFFFFF" w:themeColor="background1"/>
                                <w:u w:val="single"/>
                              </w:rPr>
                              <w:t>:</w:t>
                            </w:r>
                          </w:p>
                          <w:p w14:paraId="3D2C3B62" w14:textId="77777777" w:rsidR="006C0687" w:rsidRPr="0061360E" w:rsidRDefault="006C0687" w:rsidP="00CD4715">
                            <w:pPr>
                              <w:pStyle w:val="Obsahrmca"/>
                              <w:spacing w:after="0"/>
                              <w:rPr>
                                <w:b/>
                                <w:color w:val="FFFFFF" w:themeColor="background1"/>
                                <w:u w:val="single"/>
                              </w:rPr>
                            </w:pPr>
                          </w:p>
                          <w:p w14:paraId="64EEF212" w14:textId="77777777" w:rsidR="006C0687" w:rsidRPr="00AC09D7" w:rsidRDefault="006C0687" w:rsidP="00131B23">
                            <w:pPr>
                              <w:pStyle w:val="Obsahrmca"/>
                              <w:numPr>
                                <w:ilvl w:val="0"/>
                                <w:numId w:val="21"/>
                              </w:numPr>
                              <w:spacing w:after="0"/>
                              <w:rPr>
                                <w:color w:val="FFFFFF" w:themeColor="background1"/>
                              </w:rPr>
                            </w:pPr>
                            <w:r w:rsidRPr="009B3E06">
                              <w:rPr>
                                <w:rFonts w:cs="Calibri"/>
                                <w:color w:val="FFFFFF" w:themeColor="background1"/>
                              </w:rPr>
                              <w:t xml:space="preserve">Predložiť na rokovanie vlády SR návrh úpravy aktuálnej legislatívy, ktorá bude reflektovať definované opatrenia, vedúce k zvýšeniu efektívnosti dôchodkového sporenia </w:t>
                            </w:r>
                          </w:p>
                          <w:p w14:paraId="3DC983B7" w14:textId="77777777" w:rsidR="006C0687" w:rsidRPr="009B3E06" w:rsidRDefault="006C0687" w:rsidP="00D27F91">
                            <w:pPr>
                              <w:pStyle w:val="Obsahrmca"/>
                              <w:spacing w:after="0"/>
                              <w:ind w:left="720"/>
                              <w:rPr>
                                <w:color w:val="FFFFFF" w:themeColor="background1"/>
                              </w:rPr>
                            </w:pPr>
                          </w:p>
                          <w:p w14:paraId="76CEE1E3" w14:textId="77777777" w:rsidR="006C0687" w:rsidRPr="0061360E" w:rsidRDefault="006C0687" w:rsidP="00CD4715">
                            <w:pPr>
                              <w:pStyle w:val="Obsahrmca"/>
                              <w:spacing w:after="0"/>
                              <w:rPr>
                                <w:b/>
                                <w:color w:val="FFFFFF" w:themeColor="background1"/>
                                <w:u w:val="single"/>
                              </w:rPr>
                            </w:pPr>
                            <w:r w:rsidRPr="0061360E">
                              <w:rPr>
                                <w:b/>
                                <w:color w:val="FFFFFF" w:themeColor="background1"/>
                                <w:u w:val="single"/>
                              </w:rPr>
                              <w:t xml:space="preserve">Hlavné odporúčania IJ </w:t>
                            </w:r>
                            <w:r>
                              <w:rPr>
                                <w:b/>
                                <w:color w:val="FFFFFF" w:themeColor="background1"/>
                                <w:u w:val="single"/>
                              </w:rPr>
                              <w:t xml:space="preserve">ÚV SR </w:t>
                            </w:r>
                            <w:r w:rsidRPr="0061360E">
                              <w:rPr>
                                <w:b/>
                                <w:color w:val="FFFFFF" w:themeColor="background1"/>
                                <w:u w:val="single"/>
                              </w:rPr>
                              <w:t>pre SP do 31.12.2020:</w:t>
                            </w:r>
                          </w:p>
                          <w:p w14:paraId="79BCBC92" w14:textId="77777777" w:rsidR="006C0687" w:rsidRPr="0061360E" w:rsidRDefault="006C0687" w:rsidP="00CD4715">
                            <w:pPr>
                              <w:pStyle w:val="Obsahrmca"/>
                              <w:spacing w:after="0"/>
                              <w:rPr>
                                <w:b/>
                                <w:color w:val="FFFFFF" w:themeColor="background1"/>
                                <w:u w:val="single"/>
                              </w:rPr>
                            </w:pPr>
                          </w:p>
                          <w:p w14:paraId="589B17A9" w14:textId="77777777" w:rsidR="006C0687" w:rsidRPr="0061360E" w:rsidRDefault="006C0687" w:rsidP="00131B23">
                            <w:pPr>
                              <w:pStyle w:val="Obsahrmca"/>
                              <w:numPr>
                                <w:ilvl w:val="0"/>
                                <w:numId w:val="9"/>
                              </w:numPr>
                              <w:spacing w:after="0"/>
                              <w:rPr>
                                <w:rFonts w:cs="Calibri"/>
                                <w:color w:val="FFFFFF" w:themeColor="background1"/>
                              </w:rPr>
                            </w:pPr>
                            <w:r w:rsidRPr="0061360E">
                              <w:rPr>
                                <w:rFonts w:cs="Calibri"/>
                                <w:color w:val="FFFFFF" w:themeColor="background1"/>
                              </w:rPr>
                              <w:t xml:space="preserve">Zverejniť a pravidelne aktualizovať investičný plán </w:t>
                            </w:r>
                          </w:p>
                          <w:p w14:paraId="50E79A84" w14:textId="77777777" w:rsidR="006C0687" w:rsidRDefault="006C0687" w:rsidP="00131B23">
                            <w:pPr>
                              <w:pStyle w:val="Obsahrmca"/>
                              <w:numPr>
                                <w:ilvl w:val="0"/>
                                <w:numId w:val="9"/>
                              </w:numPr>
                              <w:rPr>
                                <w:rFonts w:cs="Calibri"/>
                                <w:color w:val="FFFFFF" w:themeColor="background1"/>
                              </w:rPr>
                            </w:pPr>
                            <w:r>
                              <w:rPr>
                                <w:rFonts w:cs="Calibri"/>
                                <w:color w:val="FFFFFF" w:themeColor="background1"/>
                              </w:rPr>
                              <w:t xml:space="preserve">Predložiť IJ ÚV SR </w:t>
                            </w:r>
                            <w:r w:rsidRPr="0061360E">
                              <w:rPr>
                                <w:rFonts w:cs="Calibri"/>
                                <w:color w:val="FFFFFF" w:themeColor="background1"/>
                              </w:rPr>
                              <w:t xml:space="preserve">implementačný plán optimalizačných opatrení pre roky 2019-2020 vrátane vyčíslenia </w:t>
                            </w:r>
                            <w:r>
                              <w:rPr>
                                <w:rFonts w:cs="Calibri"/>
                                <w:color w:val="FFFFFF" w:themeColor="background1"/>
                              </w:rPr>
                              <w:t xml:space="preserve">dosiahnutej </w:t>
                            </w:r>
                            <w:r w:rsidRPr="0061360E">
                              <w:rPr>
                                <w:rFonts w:cs="Calibri"/>
                                <w:color w:val="FFFFFF" w:themeColor="background1"/>
                              </w:rPr>
                              <w:t xml:space="preserve">úspory </w:t>
                            </w:r>
                          </w:p>
                          <w:p w14:paraId="601F97E9" w14:textId="77777777" w:rsidR="006C0687" w:rsidRPr="0061360E" w:rsidRDefault="006C0687" w:rsidP="00CD4715">
                            <w:pPr>
                              <w:pStyle w:val="Obsahrmca"/>
                              <w:spacing w:after="0"/>
                              <w:rPr>
                                <w:b/>
                                <w:color w:val="FFFFFF" w:themeColor="background1"/>
                                <w:u w:val="single"/>
                              </w:rPr>
                            </w:pPr>
                            <w:r w:rsidRPr="0061360E">
                              <w:rPr>
                                <w:b/>
                                <w:color w:val="FFFFFF" w:themeColor="background1"/>
                                <w:u w:val="single"/>
                              </w:rPr>
                              <w:t>Hlavné odporú</w:t>
                            </w:r>
                            <w:r>
                              <w:rPr>
                                <w:b/>
                                <w:color w:val="FFFFFF" w:themeColor="background1"/>
                                <w:u w:val="single"/>
                              </w:rPr>
                              <w:t>čania IJ ÚV SR pre MF SR do 31.12.2020</w:t>
                            </w:r>
                            <w:r w:rsidRPr="0061360E">
                              <w:rPr>
                                <w:b/>
                                <w:color w:val="FFFFFF" w:themeColor="background1"/>
                                <w:u w:val="single"/>
                              </w:rPr>
                              <w:t>:</w:t>
                            </w:r>
                          </w:p>
                          <w:p w14:paraId="3713BD4E" w14:textId="77777777" w:rsidR="006C0687" w:rsidRPr="0061360E" w:rsidRDefault="006C0687" w:rsidP="00CD4715">
                            <w:pPr>
                              <w:pStyle w:val="Obsahrmca"/>
                              <w:spacing w:after="0"/>
                              <w:rPr>
                                <w:color w:val="FFFFFF" w:themeColor="background1"/>
                              </w:rPr>
                            </w:pPr>
                          </w:p>
                          <w:p w14:paraId="0B523640" w14:textId="77777777" w:rsidR="006C0687" w:rsidRPr="0061360E" w:rsidRDefault="006C0687" w:rsidP="00131B23">
                            <w:pPr>
                              <w:pStyle w:val="Obsahrmca"/>
                              <w:numPr>
                                <w:ilvl w:val="0"/>
                                <w:numId w:val="21"/>
                              </w:numPr>
                              <w:spacing w:after="0"/>
                              <w:rPr>
                                <w:rFonts w:cs="Calibri"/>
                                <w:color w:val="FFFFFF" w:themeColor="background1"/>
                              </w:rPr>
                            </w:pPr>
                            <w:r w:rsidRPr="0061360E">
                              <w:rPr>
                                <w:rFonts w:cs="Calibri"/>
                                <w:color w:val="FFFFFF" w:themeColor="background1"/>
                              </w:rPr>
                              <w:t xml:space="preserve">Vypracovať revíziu výdavkov na dlhodobú starostlivosť </w:t>
                            </w:r>
                          </w:p>
                          <w:p w14:paraId="6BF7F1B7" w14:textId="77777777" w:rsidR="006C0687" w:rsidRPr="0061360E" w:rsidRDefault="006C0687" w:rsidP="00CD4715">
                            <w:pPr>
                              <w:pStyle w:val="Odsekzoznamu"/>
                              <w:rPr>
                                <w:b/>
                                <w:bCs/>
                                <w:color w:val="FFFFFF" w:themeColor="background1"/>
                                <w:sz w:val="24"/>
                                <w:szCs w:val="24"/>
                              </w:rPr>
                            </w:pP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5879040" id="Textové pole 26" o:spid="_x0000_s1032" type="#_x0000_t202" style="position:absolute;left:0;text-align:left;margin-left:0;margin-top:19.7pt;width:472.5pt;height:242.1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" fillcolor="#0070c0" strokecolor="#4472c4" strokeweight="1pt">
                <v:textbox>
                  <w:txbxContent>
                    <w:p w14:paraId="14799A6A" w14:textId="77777777" w:rsidR="006C0687" w:rsidRPr="0061360E" w:rsidRDefault="006C0687" w:rsidP="00D27F91">
                      <w:pPr>
                        <w:pStyle w:val="Obsahrmca"/>
                        <w:spacing w:after="0"/>
                        <w:rPr>
                          <w:b/>
                          <w:color w:val="FFFFFF" w:themeColor="background1"/>
                          <w:u w:val="single"/>
                        </w:rPr>
                      </w:pPr>
                      <w:r w:rsidRPr="0061360E">
                        <w:rPr>
                          <w:b/>
                          <w:color w:val="FFFFFF" w:themeColor="background1"/>
                          <w:u w:val="single"/>
                        </w:rPr>
                        <w:t xml:space="preserve">Hlavné odporúčania IJ </w:t>
                      </w:r>
                      <w:r>
                        <w:rPr>
                          <w:b/>
                          <w:color w:val="FFFFFF" w:themeColor="background1"/>
                          <w:u w:val="single"/>
                        </w:rPr>
                        <w:t xml:space="preserve">ÚV SR </w:t>
                      </w:r>
                      <w:r w:rsidRPr="0061360E">
                        <w:rPr>
                          <w:b/>
                          <w:color w:val="FFFFFF" w:themeColor="background1"/>
                          <w:u w:val="single"/>
                        </w:rPr>
                        <w:t xml:space="preserve">pre MPSVR SR do </w:t>
                      </w:r>
                      <w:r>
                        <w:rPr>
                          <w:b/>
                          <w:color w:val="FFFFFF" w:themeColor="background1"/>
                          <w:u w:val="single"/>
                        </w:rPr>
                        <w:t>30.6.2020</w:t>
                      </w:r>
                      <w:r w:rsidRPr="0061360E">
                        <w:rPr>
                          <w:b/>
                          <w:color w:val="FFFFFF" w:themeColor="background1"/>
                          <w:u w:val="single"/>
                        </w:rPr>
                        <w:t>:</w:t>
                      </w:r>
                    </w:p>
                    <w:p w14:paraId="1825A402" w14:textId="77777777" w:rsidR="006C0687" w:rsidRDefault="006C0687" w:rsidP="00CD4715">
                      <w:pPr>
                        <w:pStyle w:val="Obsahrmca"/>
                        <w:spacing w:after="0"/>
                        <w:rPr>
                          <w:b/>
                          <w:color w:val="FFFFFF" w:themeColor="background1"/>
                          <w:u w:val="single"/>
                        </w:rPr>
                      </w:pPr>
                    </w:p>
                    <w:p w14:paraId="7711AFD9" w14:textId="77777777" w:rsidR="006C0687" w:rsidRPr="001E6646" w:rsidRDefault="006C0687" w:rsidP="00131B23">
                      <w:pPr>
                        <w:pStyle w:val="Obsahrmca"/>
                        <w:numPr>
                          <w:ilvl w:val="0"/>
                          <w:numId w:val="21"/>
                        </w:numPr>
                        <w:spacing w:after="0"/>
                        <w:rPr>
                          <w:color w:val="FFFFFF" w:themeColor="background1"/>
                        </w:rPr>
                      </w:pPr>
                      <w:r>
                        <w:rPr>
                          <w:color w:val="FFFFFF" w:themeColor="background1"/>
                        </w:rPr>
                        <w:t>P</w:t>
                      </w:r>
                      <w:r w:rsidRPr="001E6646">
                        <w:rPr>
                          <w:color w:val="FFFFFF" w:themeColor="background1"/>
                        </w:rPr>
                        <w:t xml:space="preserve">redložiť IJ </w:t>
                      </w:r>
                      <w:r>
                        <w:rPr>
                          <w:color w:val="FFFFFF" w:themeColor="background1"/>
                        </w:rPr>
                        <w:t>ÚV SR</w:t>
                      </w:r>
                      <w:r w:rsidRPr="001E6646">
                        <w:rPr>
                          <w:color w:val="FFFFFF" w:themeColor="background1"/>
                        </w:rPr>
                        <w:t xml:space="preserve"> podrobný rozpočet a ha</w:t>
                      </w:r>
                      <w:r>
                        <w:rPr>
                          <w:color w:val="FFFFFF" w:themeColor="background1"/>
                        </w:rPr>
                        <w:t>rmonogram  implementácie informačného systému sociálnych služieb</w:t>
                      </w:r>
                    </w:p>
                    <w:p w14:paraId="7C9410D6" w14:textId="77777777" w:rsidR="006C0687" w:rsidRPr="0061360E" w:rsidRDefault="006C0687" w:rsidP="00D27F91">
                      <w:pPr>
                        <w:pStyle w:val="Obsahrmca"/>
                        <w:spacing w:after="0"/>
                        <w:rPr>
                          <w:b/>
                          <w:color w:val="FFFFFF" w:themeColor="background1"/>
                          <w:u w:val="single"/>
                        </w:rPr>
                      </w:pPr>
                    </w:p>
                    <w:p w14:paraId="5756EF6E" w14:textId="77777777" w:rsidR="006C0687" w:rsidRPr="0061360E" w:rsidRDefault="006C0687" w:rsidP="00CD4715">
                      <w:pPr>
                        <w:pStyle w:val="Obsahrmca"/>
                        <w:spacing w:after="0"/>
                        <w:rPr>
                          <w:b/>
                          <w:color w:val="FFFFFF" w:themeColor="background1"/>
                          <w:u w:val="single"/>
                        </w:rPr>
                      </w:pPr>
                      <w:r w:rsidRPr="0061360E">
                        <w:rPr>
                          <w:b/>
                          <w:color w:val="FFFFFF" w:themeColor="background1"/>
                          <w:u w:val="single"/>
                        </w:rPr>
                        <w:t xml:space="preserve">Hlavné odporúčania IJ </w:t>
                      </w:r>
                      <w:r>
                        <w:rPr>
                          <w:b/>
                          <w:color w:val="FFFFFF" w:themeColor="background1"/>
                          <w:u w:val="single"/>
                        </w:rPr>
                        <w:t xml:space="preserve">ÚV SR </w:t>
                      </w:r>
                      <w:r w:rsidRPr="0061360E">
                        <w:rPr>
                          <w:b/>
                          <w:color w:val="FFFFFF" w:themeColor="background1"/>
                          <w:u w:val="single"/>
                        </w:rPr>
                        <w:t xml:space="preserve">pre MPSVR SR a MF SR do </w:t>
                      </w:r>
                      <w:r>
                        <w:rPr>
                          <w:b/>
                          <w:color w:val="FFFFFF" w:themeColor="background1"/>
                          <w:u w:val="single"/>
                        </w:rPr>
                        <w:t>31.12.2020</w:t>
                      </w:r>
                      <w:r w:rsidRPr="0061360E">
                        <w:rPr>
                          <w:b/>
                          <w:color w:val="FFFFFF" w:themeColor="background1"/>
                          <w:u w:val="single"/>
                        </w:rPr>
                        <w:t>:</w:t>
                      </w:r>
                    </w:p>
                    <w:p w14:paraId="3D2C3B62" w14:textId="77777777" w:rsidR="006C0687" w:rsidRPr="0061360E" w:rsidRDefault="006C0687" w:rsidP="00CD4715">
                      <w:pPr>
                        <w:pStyle w:val="Obsahrmca"/>
                        <w:spacing w:after="0"/>
                        <w:rPr>
                          <w:b/>
                          <w:color w:val="FFFFFF" w:themeColor="background1"/>
                          <w:u w:val="single"/>
                        </w:rPr>
                      </w:pPr>
                    </w:p>
                    <w:p w14:paraId="64EEF212" w14:textId="77777777" w:rsidR="006C0687" w:rsidRPr="00AC09D7" w:rsidRDefault="006C0687" w:rsidP="00131B23">
                      <w:pPr>
                        <w:pStyle w:val="Obsahrmca"/>
                        <w:numPr>
                          <w:ilvl w:val="0"/>
                          <w:numId w:val="21"/>
                        </w:numPr>
                        <w:spacing w:after="0"/>
                        <w:rPr>
                          <w:color w:val="FFFFFF" w:themeColor="background1"/>
                        </w:rPr>
                      </w:pPr>
                      <w:r w:rsidRPr="009B3E06">
                        <w:rPr>
                          <w:rFonts w:cs="Calibri"/>
                          <w:color w:val="FFFFFF" w:themeColor="background1"/>
                        </w:rPr>
                        <w:t xml:space="preserve">Predložiť na rokovanie vlády SR návrh úpravy aktuálnej legislatívy, ktorá bude reflektovať definované opatrenia, vedúce k zvýšeniu efektívnosti dôchodkového sporenia </w:t>
                      </w:r>
                    </w:p>
                    <w:p w14:paraId="3DC983B7" w14:textId="77777777" w:rsidR="006C0687" w:rsidRPr="009B3E06" w:rsidRDefault="006C0687" w:rsidP="00D27F91">
                      <w:pPr>
                        <w:pStyle w:val="Obsahrmca"/>
                        <w:spacing w:after="0"/>
                        <w:ind w:left="720"/>
                        <w:rPr>
                          <w:color w:val="FFFFFF" w:themeColor="background1"/>
                        </w:rPr>
                      </w:pPr>
                    </w:p>
                    <w:p w14:paraId="76CEE1E3" w14:textId="77777777" w:rsidR="006C0687" w:rsidRPr="0061360E" w:rsidRDefault="006C0687" w:rsidP="00CD4715">
                      <w:pPr>
                        <w:pStyle w:val="Obsahrmca"/>
                        <w:spacing w:after="0"/>
                        <w:rPr>
                          <w:b/>
                          <w:color w:val="FFFFFF" w:themeColor="background1"/>
                          <w:u w:val="single"/>
                        </w:rPr>
                      </w:pPr>
                      <w:r w:rsidRPr="0061360E">
                        <w:rPr>
                          <w:b/>
                          <w:color w:val="FFFFFF" w:themeColor="background1"/>
                          <w:u w:val="single"/>
                        </w:rPr>
                        <w:t xml:space="preserve">Hlavné odporúčania IJ </w:t>
                      </w:r>
                      <w:r>
                        <w:rPr>
                          <w:b/>
                          <w:color w:val="FFFFFF" w:themeColor="background1"/>
                          <w:u w:val="single"/>
                        </w:rPr>
                        <w:t xml:space="preserve">ÚV SR </w:t>
                      </w:r>
                      <w:r w:rsidRPr="0061360E">
                        <w:rPr>
                          <w:b/>
                          <w:color w:val="FFFFFF" w:themeColor="background1"/>
                          <w:u w:val="single"/>
                        </w:rPr>
                        <w:t>pre SP do 31.12.2020:</w:t>
                      </w:r>
                    </w:p>
                    <w:p w14:paraId="79BCBC92" w14:textId="77777777" w:rsidR="006C0687" w:rsidRPr="0061360E" w:rsidRDefault="006C0687" w:rsidP="00CD4715">
                      <w:pPr>
                        <w:pStyle w:val="Obsahrmca"/>
                        <w:spacing w:after="0"/>
                        <w:rPr>
                          <w:b/>
                          <w:color w:val="FFFFFF" w:themeColor="background1"/>
                          <w:u w:val="single"/>
                        </w:rPr>
                      </w:pPr>
                    </w:p>
                    <w:p w14:paraId="589B17A9" w14:textId="77777777" w:rsidR="006C0687" w:rsidRPr="0061360E" w:rsidRDefault="006C0687" w:rsidP="00131B23">
                      <w:pPr>
                        <w:pStyle w:val="Obsahrmca"/>
                        <w:numPr>
                          <w:ilvl w:val="0"/>
                          <w:numId w:val="9"/>
                        </w:numPr>
                        <w:spacing w:after="0"/>
                        <w:rPr>
                          <w:rFonts w:cs="Calibri"/>
                          <w:color w:val="FFFFFF" w:themeColor="background1"/>
                        </w:rPr>
                      </w:pPr>
                      <w:r w:rsidRPr="0061360E">
                        <w:rPr>
                          <w:rFonts w:cs="Calibri"/>
                          <w:color w:val="FFFFFF" w:themeColor="background1"/>
                        </w:rPr>
                        <w:t xml:space="preserve">Zverejniť a pravidelne aktualizovať investičný plán </w:t>
                      </w:r>
                    </w:p>
                    <w:p w14:paraId="50E79A84" w14:textId="77777777" w:rsidR="006C0687" w:rsidRDefault="006C0687" w:rsidP="00131B23">
                      <w:pPr>
                        <w:pStyle w:val="Obsahrmca"/>
                        <w:numPr>
                          <w:ilvl w:val="0"/>
                          <w:numId w:val="9"/>
                        </w:numPr>
                        <w:rPr>
                          <w:rFonts w:cs="Calibri"/>
                          <w:color w:val="FFFFFF" w:themeColor="background1"/>
                        </w:rPr>
                      </w:pPr>
                      <w:r>
                        <w:rPr>
                          <w:rFonts w:cs="Calibri"/>
                          <w:color w:val="FFFFFF" w:themeColor="background1"/>
                        </w:rPr>
                        <w:t xml:space="preserve">Predložiť IJ ÚV SR </w:t>
                      </w:r>
                      <w:r w:rsidRPr="0061360E">
                        <w:rPr>
                          <w:rFonts w:cs="Calibri"/>
                          <w:color w:val="FFFFFF" w:themeColor="background1"/>
                        </w:rPr>
                        <w:t xml:space="preserve">implementačný plán optimalizačných opatrení pre roky 2019-2020 vrátane vyčíslenia </w:t>
                      </w:r>
                      <w:r>
                        <w:rPr>
                          <w:rFonts w:cs="Calibri"/>
                          <w:color w:val="FFFFFF" w:themeColor="background1"/>
                        </w:rPr>
                        <w:t xml:space="preserve">dosiahnutej </w:t>
                      </w:r>
                      <w:r w:rsidRPr="0061360E">
                        <w:rPr>
                          <w:rFonts w:cs="Calibri"/>
                          <w:color w:val="FFFFFF" w:themeColor="background1"/>
                        </w:rPr>
                        <w:t xml:space="preserve">úspory </w:t>
                      </w:r>
                    </w:p>
                    <w:p w14:paraId="601F97E9" w14:textId="77777777" w:rsidR="006C0687" w:rsidRPr="0061360E" w:rsidRDefault="006C0687" w:rsidP="00CD4715">
                      <w:pPr>
                        <w:pStyle w:val="Obsahrmca"/>
                        <w:spacing w:after="0"/>
                        <w:rPr>
                          <w:b/>
                          <w:color w:val="FFFFFF" w:themeColor="background1"/>
                          <w:u w:val="single"/>
                        </w:rPr>
                      </w:pPr>
                      <w:r w:rsidRPr="0061360E">
                        <w:rPr>
                          <w:b/>
                          <w:color w:val="FFFFFF" w:themeColor="background1"/>
                          <w:u w:val="single"/>
                        </w:rPr>
                        <w:t>Hlavné odporú</w:t>
                      </w:r>
                      <w:r>
                        <w:rPr>
                          <w:b/>
                          <w:color w:val="FFFFFF" w:themeColor="background1"/>
                          <w:u w:val="single"/>
                        </w:rPr>
                        <w:t>čania IJ ÚV SR pre MF SR do 31.12.2020</w:t>
                      </w:r>
                      <w:r w:rsidRPr="0061360E">
                        <w:rPr>
                          <w:b/>
                          <w:color w:val="FFFFFF" w:themeColor="background1"/>
                          <w:u w:val="single"/>
                        </w:rPr>
                        <w:t>:</w:t>
                      </w:r>
                    </w:p>
                    <w:p w14:paraId="3713BD4E" w14:textId="77777777" w:rsidR="006C0687" w:rsidRPr="0061360E" w:rsidRDefault="006C0687" w:rsidP="00CD4715">
                      <w:pPr>
                        <w:pStyle w:val="Obsahrmca"/>
                        <w:spacing w:after="0"/>
                        <w:rPr>
                          <w:color w:val="FFFFFF" w:themeColor="background1"/>
                        </w:rPr>
                      </w:pPr>
                    </w:p>
                    <w:p w14:paraId="0B523640" w14:textId="77777777" w:rsidR="006C0687" w:rsidRPr="0061360E" w:rsidRDefault="006C0687" w:rsidP="00131B23">
                      <w:pPr>
                        <w:pStyle w:val="Obsahrmca"/>
                        <w:numPr>
                          <w:ilvl w:val="0"/>
                          <w:numId w:val="21"/>
                        </w:numPr>
                        <w:spacing w:after="0"/>
                        <w:rPr>
                          <w:rFonts w:cs="Calibri"/>
                          <w:color w:val="FFFFFF" w:themeColor="background1"/>
                        </w:rPr>
                      </w:pPr>
                      <w:r w:rsidRPr="0061360E">
                        <w:rPr>
                          <w:rFonts w:cs="Calibri"/>
                          <w:color w:val="FFFFFF" w:themeColor="background1"/>
                        </w:rPr>
                        <w:t xml:space="preserve">Vypracovať revíziu výdavkov na dlhodobú starostlivosť </w:t>
                      </w:r>
                    </w:p>
                    <w:p w14:paraId="6BF7F1B7" w14:textId="77777777" w:rsidR="006C0687" w:rsidRPr="0061360E" w:rsidRDefault="006C0687" w:rsidP="00CD4715">
                      <w:pPr>
                        <w:pStyle w:val="Odsekzoznamu"/>
                        <w:rPr>
                          <w:b/>
                          <w:bCs/>
                          <w:color w:val="FFFFFF" w:themeColor="background1"/>
                          <w:sz w:val="24"/>
                          <w:szCs w:val="24"/>
                        </w:rPr>
                      </w:pPr>
                    </w:p>
                  </w:txbxContent>
                </v:textbox>
                <w10:wrap type="square" anchorx="margin"/>
              </v:shape>
            </w:pict>
          </mc:Fallback>
        </mc:AlternateContent>
      </w:r>
      <w:bookmarkStart w:id="360" w:name="_Toc535322753"/>
      <w:bookmarkStart w:id="361" w:name="_Toc6322034"/>
    </w:p>
    <w:p w14:paraId="3393D3EB" w14:textId="77777777" w:rsidR="00E66F49" w:rsidRPr="00666914" w:rsidRDefault="00E66F49" w:rsidP="00D27F91"/>
    <w:p w14:paraId="4935B729" w14:textId="77777777" w:rsidR="00E66F49" w:rsidRPr="00666914" w:rsidRDefault="00E66F49" w:rsidP="00D27F91"/>
    <w:p w14:paraId="2CC0831A" w14:textId="77777777" w:rsidR="00E66F49" w:rsidRPr="00666914" w:rsidRDefault="00E66F49" w:rsidP="00D27F91"/>
    <w:p w14:paraId="707242CD" w14:textId="77777777" w:rsidR="00E66F49" w:rsidRPr="00666914" w:rsidRDefault="00E66F49">
      <w:pPr>
        <w:spacing w:line="259" w:lineRule="auto"/>
        <w:jc w:val="left"/>
        <w:rPr>
          <w:b/>
          <w:sz w:val="20"/>
        </w:rPr>
      </w:pPr>
      <w:r w:rsidRPr="00666914">
        <w:br w:type="page"/>
      </w:r>
    </w:p>
    <w:p w14:paraId="6A79A1D0" w14:textId="17D20D76" w:rsidR="00E66F49" w:rsidRPr="00666914" w:rsidRDefault="00E66F49" w:rsidP="00CD4715">
      <w:pPr>
        <w:pStyle w:val="Popis"/>
      </w:pPr>
      <w:bookmarkStart w:id="362" w:name="_Toc38447739"/>
      <w:r w:rsidRPr="00666914">
        <w:lastRenderedPageBreak/>
        <w:t xml:space="preserve">Tabuľka </w:t>
      </w:r>
      <w:r w:rsidR="00032A13">
        <w:rPr>
          <w:noProof/>
        </w:rPr>
        <w:fldChar w:fldCharType="begin"/>
      </w:r>
      <w:r w:rsidR="00032A13">
        <w:rPr>
          <w:noProof/>
        </w:rPr>
        <w:instrText xml:space="preserve"> SEQ Tabuľka \* ARABIC \* MERGEFORMAT </w:instrText>
      </w:r>
      <w:r w:rsidR="00032A13">
        <w:rPr>
          <w:noProof/>
        </w:rPr>
        <w:fldChar w:fldCharType="separate"/>
      </w:r>
      <w:r w:rsidR="005A7304">
        <w:rPr>
          <w:noProof/>
        </w:rPr>
        <w:t>78</w:t>
      </w:r>
      <w:r w:rsidR="00032A13">
        <w:rPr>
          <w:noProof/>
        </w:rPr>
        <w:fldChar w:fldCharType="end"/>
      </w:r>
      <w:r w:rsidRPr="00666914">
        <w:t>: Plnenie opatrení Revízie výdavkov na politiky trhu práce a sociálne politiky v roku 201</w:t>
      </w:r>
      <w:bookmarkEnd w:id="359"/>
      <w:bookmarkEnd w:id="360"/>
      <w:bookmarkEnd w:id="361"/>
      <w:r w:rsidRPr="00666914">
        <w:t>9</w:t>
      </w:r>
      <w:bookmarkEnd w:id="362"/>
    </w:p>
    <w:tbl>
      <w:tblPr>
        <w:tblW w:w="5000" w:type="pct"/>
        <w:tblLayout w:type="fixed"/>
        <w:tblCellMar>
          <w:left w:w="70" w:type="dxa"/>
          <w:right w:w="70" w:type="dxa"/>
        </w:tblCellMar>
        <w:tblLook w:val="04A0" w:firstRow="1" w:lastRow="0" w:firstColumn="1" w:lastColumn="0" w:noHBand="0" w:noVBand="1"/>
      </w:tblPr>
      <w:tblGrid>
        <w:gridCol w:w="424"/>
        <w:gridCol w:w="2794"/>
        <w:gridCol w:w="1316"/>
        <w:gridCol w:w="884"/>
        <w:gridCol w:w="972"/>
        <w:gridCol w:w="703"/>
        <w:gridCol w:w="703"/>
        <w:gridCol w:w="703"/>
        <w:gridCol w:w="705"/>
      </w:tblGrid>
      <w:tr w:rsidR="00E66F49" w:rsidRPr="00666914" w14:paraId="2276295D" w14:textId="77777777" w:rsidTr="00125230">
        <w:trPr>
          <w:trHeight w:val="33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41A5C4"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1518" w:type="pct"/>
            <w:tcBorders>
              <w:top w:val="single" w:sz="4" w:space="0" w:color="auto"/>
              <w:left w:val="nil"/>
              <w:bottom w:val="single" w:sz="4" w:space="0" w:color="auto"/>
              <w:right w:val="single" w:sz="4" w:space="0" w:color="auto"/>
            </w:tcBorders>
            <w:shd w:val="clear" w:color="auto" w:fill="auto"/>
            <w:noWrap/>
            <w:vAlign w:val="center"/>
            <w:hideMark/>
          </w:tcPr>
          <w:p w14:paraId="0C813E0D"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TRH PRÁCE A SOCIÁLNE POLITIKY</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55363723"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Zodpovednosť</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14:paraId="1BEE1F52"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Termín plnenia</w:t>
            </w:r>
          </w:p>
        </w:tc>
        <w:tc>
          <w:tcPr>
            <w:tcW w:w="528" w:type="pct"/>
            <w:tcBorders>
              <w:top w:val="single" w:sz="4" w:space="0" w:color="auto"/>
              <w:left w:val="nil"/>
              <w:bottom w:val="single" w:sz="4" w:space="0" w:color="auto"/>
              <w:right w:val="single" w:sz="4" w:space="0" w:color="auto"/>
            </w:tcBorders>
          </w:tcPr>
          <w:p w14:paraId="19344BF5"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Nový termín plnenia</w:t>
            </w:r>
            <w:r w:rsidRPr="00666914">
              <w:rPr>
                <w:rStyle w:val="Odkaznapoznmkupodiarou"/>
                <w:rFonts w:eastAsia="Times New Roman" w:cs="Calibri"/>
                <w:b/>
                <w:bCs/>
                <w:color w:val="000000"/>
                <w:sz w:val="20"/>
                <w:szCs w:val="20"/>
                <w:lang w:eastAsia="sk-SK"/>
              </w:rPr>
              <w:footnoteReference w:id="327"/>
            </w:r>
            <w:r w:rsidRPr="00666914">
              <w:rPr>
                <w:rFonts w:eastAsia="Times New Roman" w:cs="Calibri"/>
                <w:b/>
                <w:bCs/>
                <w:color w:val="000000"/>
                <w:sz w:val="20"/>
                <w:szCs w:val="20"/>
                <w:lang w:eastAsia="sk-SK"/>
              </w:rPr>
              <w:t xml:space="preserve"> </w:t>
            </w:r>
          </w:p>
        </w:tc>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2AE34"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1Q 2019</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14:paraId="2CF1BD36"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2Q 2019</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14:paraId="50F47C8F"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3Q 2019</w:t>
            </w: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14:paraId="4E5B5FC7"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4Q 2019</w:t>
            </w:r>
          </w:p>
        </w:tc>
      </w:tr>
      <w:tr w:rsidR="00E66F49" w:rsidRPr="00666914" w14:paraId="4E9BCEFD" w14:textId="77777777" w:rsidTr="00125230">
        <w:trPr>
          <w:trHeight w:val="33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2A1DA6FC"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RODINNÁ POLITIKA</w:t>
            </w:r>
          </w:p>
        </w:tc>
      </w:tr>
      <w:tr w:rsidR="00E66F49" w:rsidRPr="00666914" w14:paraId="1A069BB3" w14:textId="77777777" w:rsidTr="00125230">
        <w:trPr>
          <w:trHeight w:val="30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6097A7"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1</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76A6B00A"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Preskúmanie možností lepšieho cielenia rodinných dávok</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3BC6FAF"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p w14:paraId="1F1576C0"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MF SR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15796611"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12/2018</w:t>
            </w:r>
          </w:p>
        </w:tc>
        <w:tc>
          <w:tcPr>
            <w:tcW w:w="528" w:type="pct"/>
            <w:tcBorders>
              <w:top w:val="single" w:sz="4" w:space="0" w:color="auto"/>
              <w:left w:val="single" w:sz="4" w:space="0" w:color="auto"/>
              <w:bottom w:val="single" w:sz="4" w:space="0" w:color="auto"/>
              <w:right w:val="single" w:sz="4" w:space="0" w:color="auto"/>
            </w:tcBorders>
            <w:vAlign w:val="center"/>
          </w:tcPr>
          <w:p w14:paraId="6D4D4422"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06/2019</w:t>
            </w:r>
          </w:p>
        </w:tc>
        <w:tc>
          <w:tcPr>
            <w:tcW w:w="382"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483BC1C4"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378547F5"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0F264DFC"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3" w:type="pct"/>
            <w:tcBorders>
              <w:top w:val="single" w:sz="4" w:space="0" w:color="auto"/>
              <w:left w:val="nil"/>
              <w:bottom w:val="single" w:sz="4" w:space="0" w:color="auto"/>
              <w:right w:val="single" w:sz="4" w:space="0" w:color="auto"/>
            </w:tcBorders>
            <w:shd w:val="clear" w:color="auto" w:fill="FF0000"/>
            <w:noWrap/>
            <w:vAlign w:val="bottom"/>
            <w:hideMark/>
          </w:tcPr>
          <w:p w14:paraId="4B8A7711"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E66F49" w:rsidRPr="00666914" w14:paraId="5E36B852" w14:textId="77777777" w:rsidTr="00125230">
        <w:trPr>
          <w:trHeight w:val="30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8FD150"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2</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4A5D8EC7"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Zváženie zavedenia flexibilného čerpania rodičovského príspevku s možnosťou voliť si dĺžku jeho poberania</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023B4249"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366AA3C4"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12/2018</w:t>
            </w:r>
          </w:p>
        </w:tc>
        <w:tc>
          <w:tcPr>
            <w:tcW w:w="528" w:type="pct"/>
            <w:tcBorders>
              <w:top w:val="single" w:sz="4" w:space="0" w:color="auto"/>
              <w:left w:val="single" w:sz="4" w:space="0" w:color="auto"/>
              <w:bottom w:val="single" w:sz="4" w:space="0" w:color="auto"/>
              <w:right w:val="single" w:sz="4" w:space="0" w:color="auto"/>
            </w:tcBorders>
            <w:vAlign w:val="center"/>
          </w:tcPr>
          <w:p w14:paraId="3419675B"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06/2019</w:t>
            </w:r>
          </w:p>
        </w:tc>
        <w:tc>
          <w:tcPr>
            <w:tcW w:w="382"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4D9ECDAC"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6045217D"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5722A8BA"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3" w:type="pct"/>
            <w:tcBorders>
              <w:top w:val="single" w:sz="4" w:space="0" w:color="auto"/>
              <w:left w:val="nil"/>
              <w:bottom w:val="single" w:sz="4" w:space="0" w:color="auto"/>
              <w:right w:val="single" w:sz="4" w:space="0" w:color="auto"/>
            </w:tcBorders>
            <w:shd w:val="clear" w:color="auto" w:fill="FFC000"/>
            <w:noWrap/>
            <w:vAlign w:val="bottom"/>
            <w:hideMark/>
          </w:tcPr>
          <w:p w14:paraId="67AFCC1F"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E66F49" w:rsidRPr="00666914" w14:paraId="21B58935" w14:textId="77777777" w:rsidTr="00125230">
        <w:trPr>
          <w:trHeight w:val="315"/>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4A13AD"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3</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58E1D7A5"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Deinštitucionalizácia náhradnej starostlivosti vykonávaná prioritne v náhradných rodinách</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6B1AC242"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7C9B5EB3"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12/2018</w:t>
            </w:r>
          </w:p>
        </w:tc>
        <w:tc>
          <w:tcPr>
            <w:tcW w:w="528" w:type="pct"/>
            <w:tcBorders>
              <w:top w:val="single" w:sz="4" w:space="0" w:color="auto"/>
              <w:left w:val="single" w:sz="4" w:space="0" w:color="auto"/>
              <w:bottom w:val="single" w:sz="4" w:space="0" w:color="auto"/>
              <w:right w:val="single" w:sz="4" w:space="0" w:color="auto"/>
            </w:tcBorders>
            <w:vAlign w:val="center"/>
          </w:tcPr>
          <w:p w14:paraId="6F8CFBA0"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priebežne</w:t>
            </w: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0E9E1A0C"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6259E7A5"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2E188201"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3" w:type="pct"/>
            <w:tcBorders>
              <w:top w:val="single" w:sz="4" w:space="0" w:color="auto"/>
              <w:left w:val="nil"/>
              <w:bottom w:val="single" w:sz="4" w:space="0" w:color="auto"/>
              <w:right w:val="single" w:sz="4" w:space="0" w:color="auto"/>
            </w:tcBorders>
            <w:shd w:val="clear" w:color="auto" w:fill="FFC000"/>
            <w:noWrap/>
            <w:vAlign w:val="bottom"/>
            <w:hideMark/>
          </w:tcPr>
          <w:p w14:paraId="7D402AC3"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E66F49" w:rsidRPr="00666914" w14:paraId="337C94A9" w14:textId="77777777" w:rsidTr="00125230">
        <w:trPr>
          <w:trHeight w:val="30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5D6E3A"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4</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375A74D9"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Včasná intervencia detí s ťažkým zdravotným postihnutím a ich integrácia do normálneho vzdelávacieho procesu (NP Každé dieťa sa počíta)</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24417124"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7D9E306A"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12/2018</w:t>
            </w:r>
          </w:p>
        </w:tc>
        <w:tc>
          <w:tcPr>
            <w:tcW w:w="528" w:type="pct"/>
            <w:tcBorders>
              <w:top w:val="single" w:sz="4" w:space="0" w:color="auto"/>
              <w:left w:val="single" w:sz="4" w:space="0" w:color="auto"/>
              <w:bottom w:val="single" w:sz="4" w:space="0" w:color="auto"/>
              <w:right w:val="single" w:sz="4" w:space="0" w:color="auto"/>
            </w:tcBorders>
            <w:vAlign w:val="center"/>
          </w:tcPr>
          <w:p w14:paraId="38B45782"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color w:val="000000"/>
                <w:sz w:val="20"/>
                <w:szCs w:val="20"/>
                <w:lang w:eastAsia="sk-SK"/>
              </w:rPr>
              <w:t>12/2019</w:t>
            </w: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798DD995"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51E134A5"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47AD802C"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c>
          <w:tcPr>
            <w:tcW w:w="383" w:type="pct"/>
            <w:tcBorders>
              <w:top w:val="single" w:sz="4" w:space="0" w:color="auto"/>
              <w:left w:val="nil"/>
              <w:bottom w:val="single" w:sz="4" w:space="0" w:color="auto"/>
              <w:right w:val="single" w:sz="4" w:space="0" w:color="auto"/>
            </w:tcBorders>
            <w:shd w:val="clear" w:color="auto" w:fill="FFC000"/>
            <w:noWrap/>
            <w:vAlign w:val="bottom"/>
            <w:hideMark/>
          </w:tcPr>
          <w:p w14:paraId="661AF6D7"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color w:val="000000"/>
                <w:sz w:val="20"/>
                <w:szCs w:val="20"/>
                <w:lang w:eastAsia="sk-SK"/>
              </w:rPr>
              <w:t> </w:t>
            </w:r>
          </w:p>
        </w:tc>
      </w:tr>
      <w:tr w:rsidR="00E66F49" w:rsidRPr="00666914" w14:paraId="55780B51" w14:textId="77777777" w:rsidTr="00125230">
        <w:trPr>
          <w:trHeight w:val="30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4D5FE937"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5</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7382CA4E"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Revízia výdavkov na skupiny osôb ohrozených sociálnym vylúčením</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B97FEAE"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MF SR, MPSVR SR, MŠVVaŠ, MV SR / Úrad splnomocnenca vlády SR pre rómske komunity</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11124C3B"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12/2018</w:t>
            </w:r>
          </w:p>
        </w:tc>
        <w:tc>
          <w:tcPr>
            <w:tcW w:w="528" w:type="pct"/>
            <w:tcBorders>
              <w:top w:val="single" w:sz="4" w:space="0" w:color="auto"/>
              <w:left w:val="single" w:sz="4" w:space="0" w:color="auto"/>
              <w:bottom w:val="single" w:sz="4" w:space="0" w:color="auto"/>
              <w:right w:val="single" w:sz="4" w:space="0" w:color="auto"/>
            </w:tcBorders>
            <w:vAlign w:val="center"/>
          </w:tcPr>
          <w:p w14:paraId="06032005"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03/2019</w:t>
            </w:r>
          </w:p>
        </w:tc>
        <w:tc>
          <w:tcPr>
            <w:tcW w:w="382"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40F01637" w14:textId="77777777" w:rsidR="00E66F49" w:rsidRPr="00666914" w:rsidRDefault="00E66F49" w:rsidP="00D27F91">
            <w:pPr>
              <w:spacing w:after="0"/>
              <w:jc w:val="center"/>
              <w:rPr>
                <w:rFonts w:eastAsia="Times New Roman" w:cs="Calibri"/>
                <w:b/>
                <w:bCs/>
                <w:color w:val="000000"/>
                <w:sz w:val="20"/>
                <w:szCs w:val="20"/>
                <w:lang w:eastAsia="sk-SK"/>
              </w:rPr>
            </w:pPr>
          </w:p>
        </w:tc>
        <w:tc>
          <w:tcPr>
            <w:tcW w:w="382" w:type="pct"/>
            <w:tcBorders>
              <w:top w:val="single" w:sz="4" w:space="0" w:color="auto"/>
              <w:left w:val="single" w:sz="4" w:space="0" w:color="auto"/>
              <w:bottom w:val="single" w:sz="4" w:space="0" w:color="auto"/>
              <w:right w:val="single" w:sz="4" w:space="0" w:color="auto"/>
            </w:tcBorders>
            <w:shd w:val="clear" w:color="auto" w:fill="FFC000"/>
            <w:noWrap/>
            <w:vAlign w:val="bottom"/>
          </w:tcPr>
          <w:p w14:paraId="559110E0" w14:textId="77777777" w:rsidR="00E66F49" w:rsidRPr="00666914" w:rsidRDefault="00E66F49" w:rsidP="00D27F91">
            <w:pPr>
              <w:spacing w:after="0"/>
              <w:jc w:val="center"/>
              <w:rPr>
                <w:rFonts w:eastAsia="Times New Roman" w:cs="Calibri"/>
                <w:b/>
                <w:bCs/>
                <w:color w:val="000000"/>
                <w:sz w:val="20"/>
                <w:szCs w:val="20"/>
                <w:lang w:eastAsia="sk-SK"/>
              </w:rPr>
            </w:pPr>
          </w:p>
        </w:tc>
        <w:tc>
          <w:tcPr>
            <w:tcW w:w="382" w:type="pct"/>
            <w:tcBorders>
              <w:top w:val="single" w:sz="4" w:space="0" w:color="auto"/>
              <w:left w:val="single" w:sz="4" w:space="0" w:color="auto"/>
              <w:bottom w:val="single" w:sz="4" w:space="0" w:color="auto"/>
              <w:right w:val="single" w:sz="4" w:space="0" w:color="auto"/>
            </w:tcBorders>
            <w:shd w:val="clear" w:color="auto" w:fill="FFC000"/>
            <w:noWrap/>
            <w:vAlign w:val="bottom"/>
          </w:tcPr>
          <w:p w14:paraId="3941337F" w14:textId="77777777" w:rsidR="00E66F49" w:rsidRPr="00666914" w:rsidRDefault="00E66F49" w:rsidP="00D27F91">
            <w:pPr>
              <w:spacing w:after="0"/>
              <w:jc w:val="center"/>
              <w:rPr>
                <w:rFonts w:eastAsia="Times New Roman" w:cs="Calibri"/>
                <w:b/>
                <w:bCs/>
                <w:color w:val="000000"/>
                <w:sz w:val="20"/>
                <w:szCs w:val="20"/>
                <w:lang w:eastAsia="sk-SK"/>
              </w:rPr>
            </w:pPr>
          </w:p>
        </w:tc>
        <w:tc>
          <w:tcPr>
            <w:tcW w:w="383" w:type="pct"/>
            <w:tcBorders>
              <w:top w:val="single" w:sz="4" w:space="0" w:color="auto"/>
              <w:left w:val="nil"/>
              <w:bottom w:val="single" w:sz="4" w:space="0" w:color="auto"/>
              <w:right w:val="single" w:sz="4" w:space="0" w:color="auto"/>
            </w:tcBorders>
            <w:shd w:val="clear" w:color="auto" w:fill="FFC000"/>
            <w:noWrap/>
            <w:vAlign w:val="bottom"/>
          </w:tcPr>
          <w:p w14:paraId="15616BFA" w14:textId="77777777" w:rsidR="00E66F49" w:rsidRPr="00666914" w:rsidRDefault="00E66F49" w:rsidP="00D27F91">
            <w:pPr>
              <w:spacing w:after="0"/>
              <w:jc w:val="center"/>
              <w:rPr>
                <w:rFonts w:eastAsia="Times New Roman" w:cs="Calibri"/>
                <w:b/>
                <w:bCs/>
                <w:color w:val="000000"/>
                <w:sz w:val="20"/>
                <w:szCs w:val="20"/>
                <w:lang w:eastAsia="sk-SK"/>
              </w:rPr>
            </w:pPr>
          </w:p>
        </w:tc>
      </w:tr>
      <w:tr w:rsidR="00E66F49" w:rsidRPr="00666914" w14:paraId="1D122099" w14:textId="77777777" w:rsidTr="00125230">
        <w:trPr>
          <w:trHeight w:val="282"/>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95716C9"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POLITIKA ZAMESTNANOSTI</w:t>
            </w:r>
          </w:p>
        </w:tc>
      </w:tr>
      <w:tr w:rsidR="00E66F49" w:rsidRPr="00666914" w14:paraId="5ADAB2A4" w14:textId="77777777" w:rsidTr="00125230">
        <w:trPr>
          <w:trHeight w:val="30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793F8F"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6</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558830B5"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Efektívne poskytovanie AOTP podľa profilu nezamestnanej osoby a lepšie umiestňovanie uchádzačov o zamestnanie na trh práce</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64C16ED6"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 (ÚPSVaR)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6BC5F4D6"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12/2019</w:t>
            </w:r>
          </w:p>
        </w:tc>
        <w:tc>
          <w:tcPr>
            <w:tcW w:w="528" w:type="pct"/>
            <w:tcBorders>
              <w:top w:val="single" w:sz="4" w:space="0" w:color="auto"/>
              <w:left w:val="single" w:sz="4" w:space="0" w:color="auto"/>
              <w:bottom w:val="single" w:sz="4" w:space="0" w:color="auto"/>
              <w:right w:val="single" w:sz="4" w:space="0" w:color="auto"/>
            </w:tcBorders>
            <w:vAlign w:val="center"/>
          </w:tcPr>
          <w:p w14:paraId="244EA191"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82"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7798F9D6"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42B56F7E"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45830C37"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3" w:type="pct"/>
            <w:tcBorders>
              <w:top w:val="single" w:sz="4" w:space="0" w:color="auto"/>
              <w:left w:val="nil"/>
              <w:bottom w:val="single" w:sz="4" w:space="0" w:color="auto"/>
              <w:right w:val="single" w:sz="4" w:space="0" w:color="auto"/>
            </w:tcBorders>
            <w:shd w:val="clear" w:color="auto" w:fill="FF0000"/>
            <w:noWrap/>
            <w:vAlign w:val="bottom"/>
            <w:hideMark/>
          </w:tcPr>
          <w:p w14:paraId="4F7872D8"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E66F49" w:rsidRPr="00666914" w14:paraId="19B3C04D" w14:textId="77777777" w:rsidTr="00125230">
        <w:trPr>
          <w:trHeight w:val="30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04262E"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7</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21397C11"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Zváženie rozšírenia daňového bonusu (DB) na nízke príjmy a malé úväzky</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35596B59" w14:textId="77777777" w:rsidR="00E66F49" w:rsidRPr="00666914" w:rsidRDefault="00E66F49" w:rsidP="00D27F91">
            <w:pPr>
              <w:spacing w:after="0"/>
              <w:jc w:val="center"/>
              <w:rPr>
                <w:rFonts w:eastAsia="Times New Roman" w:cs="Calibri"/>
                <w:color w:val="000000"/>
                <w:sz w:val="20"/>
                <w:szCs w:val="20"/>
                <w:lang w:eastAsia="sk-SK"/>
              </w:rPr>
            </w:pPr>
          </w:p>
          <w:p w14:paraId="427800A3"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MF SR,</w:t>
            </w:r>
          </w:p>
          <w:p w14:paraId="10BD35C0"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p w14:paraId="45C3B3A2" w14:textId="77777777" w:rsidR="00E66F49" w:rsidRPr="00666914" w:rsidRDefault="00E66F49" w:rsidP="00D27F91">
            <w:pPr>
              <w:spacing w:after="0"/>
              <w:jc w:val="center"/>
              <w:rPr>
                <w:rFonts w:eastAsia="Times New Roman" w:cs="Calibri"/>
                <w:color w:val="000000"/>
                <w:sz w:val="20"/>
                <w:szCs w:val="20"/>
                <w:lang w:eastAsia="sk-SK"/>
              </w:rPr>
            </w:pP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7FCF201F"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12/2018</w:t>
            </w:r>
          </w:p>
        </w:tc>
        <w:tc>
          <w:tcPr>
            <w:tcW w:w="528" w:type="pct"/>
            <w:tcBorders>
              <w:top w:val="single" w:sz="4" w:space="0" w:color="auto"/>
              <w:left w:val="single" w:sz="4" w:space="0" w:color="auto"/>
              <w:bottom w:val="single" w:sz="4" w:space="0" w:color="auto"/>
              <w:right w:val="single" w:sz="4" w:space="0" w:color="auto"/>
            </w:tcBorders>
            <w:vAlign w:val="center"/>
          </w:tcPr>
          <w:p w14:paraId="48103009"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06/2019</w:t>
            </w:r>
          </w:p>
        </w:tc>
        <w:tc>
          <w:tcPr>
            <w:tcW w:w="382"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300F9CF7"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62058572"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08DD5ED4"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3"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2F8B9A86"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E66F49" w:rsidRPr="00666914" w14:paraId="2F43FF9E" w14:textId="77777777" w:rsidTr="00125230">
        <w:trPr>
          <w:trHeight w:val="30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E5179A"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8</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32C72951"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Zváženie rozšírenia osobitného príspevku na nízke príjmy a malé úväzky</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D88CF03"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247A5D9D"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12/2018</w:t>
            </w:r>
          </w:p>
        </w:tc>
        <w:tc>
          <w:tcPr>
            <w:tcW w:w="528" w:type="pct"/>
            <w:tcBorders>
              <w:top w:val="single" w:sz="4" w:space="0" w:color="auto"/>
              <w:left w:val="single" w:sz="4" w:space="0" w:color="auto"/>
              <w:bottom w:val="single" w:sz="4" w:space="0" w:color="auto"/>
              <w:right w:val="single" w:sz="4" w:space="0" w:color="auto"/>
            </w:tcBorders>
            <w:vAlign w:val="center"/>
          </w:tcPr>
          <w:p w14:paraId="05661A5E"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06/2019</w:t>
            </w:r>
          </w:p>
        </w:tc>
        <w:tc>
          <w:tcPr>
            <w:tcW w:w="382"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390E42D1"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73262E61"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1ACE3301"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3"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73877943"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E66F49" w:rsidRPr="00666914" w14:paraId="6174F8CA" w14:textId="77777777" w:rsidTr="00125230">
        <w:trPr>
          <w:trHeight w:val="30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B22909"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9</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73DD39E6"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Zlepšenie individuálneho prístupu k uchádzačom o zamestnanie s vyhodnocovaním kompetencií a možností uchádzača</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09032185"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 (ÚPSVaR)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5829B39F"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12/2018</w:t>
            </w:r>
          </w:p>
        </w:tc>
        <w:tc>
          <w:tcPr>
            <w:tcW w:w="528" w:type="pct"/>
            <w:tcBorders>
              <w:top w:val="single" w:sz="4" w:space="0" w:color="auto"/>
              <w:left w:val="single" w:sz="4" w:space="0" w:color="auto"/>
              <w:bottom w:val="single" w:sz="4" w:space="0" w:color="auto"/>
              <w:right w:val="single" w:sz="4" w:space="0" w:color="auto"/>
            </w:tcBorders>
            <w:vAlign w:val="center"/>
          </w:tcPr>
          <w:p w14:paraId="52DCBF77"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priebežne</w:t>
            </w: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79AA16DD"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0D3C05F0"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52BC8028"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3"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248D72AC"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E66F49" w:rsidRPr="00666914" w14:paraId="131644A6" w14:textId="77777777" w:rsidTr="00125230">
        <w:trPr>
          <w:trHeight w:val="30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794216"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10</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49E924A0"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Vyhodnocovanie účinnosti AOTP</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02EF7C7"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74E4451D" w14:textId="77777777" w:rsidR="00E66F49" w:rsidRPr="00666914" w:rsidRDefault="00E66F49" w:rsidP="00D27F91">
            <w:pPr>
              <w:spacing w:after="0"/>
              <w:jc w:val="center"/>
              <w:rPr>
                <w:rFonts w:eastAsia="Times New Roman" w:cs="Calibri"/>
                <w:b/>
                <w:color w:val="FF0000"/>
                <w:sz w:val="20"/>
                <w:szCs w:val="20"/>
                <w:lang w:eastAsia="sk-SK"/>
              </w:rPr>
            </w:pPr>
            <w:r w:rsidRPr="00666914">
              <w:rPr>
                <w:rFonts w:eastAsia="Times New Roman" w:cs="Calibri"/>
                <w:color w:val="000000"/>
                <w:sz w:val="20"/>
                <w:szCs w:val="20"/>
                <w:lang w:eastAsia="sk-SK"/>
              </w:rPr>
              <w:t>priebežne</w:t>
            </w:r>
          </w:p>
        </w:tc>
        <w:tc>
          <w:tcPr>
            <w:tcW w:w="528" w:type="pct"/>
            <w:tcBorders>
              <w:top w:val="single" w:sz="4" w:space="0" w:color="auto"/>
              <w:left w:val="single" w:sz="4" w:space="0" w:color="auto"/>
              <w:bottom w:val="single" w:sz="4" w:space="0" w:color="auto"/>
              <w:right w:val="single" w:sz="4" w:space="0" w:color="auto"/>
            </w:tcBorders>
            <w:vAlign w:val="center"/>
          </w:tcPr>
          <w:p w14:paraId="743C4FBC"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48CBD635"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4EE59348"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58501DCD"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3"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149429DA"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E66F49" w:rsidRPr="00666914" w14:paraId="0802AD23" w14:textId="77777777" w:rsidTr="00125230">
        <w:trPr>
          <w:trHeight w:val="30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544D79"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11</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352D0B80"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Vyhodnocovanie AOTP pre osoby s ŤZP</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C1F0099"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p w14:paraId="6C66B1EA"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(ÚPSVaR)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3AC45106"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priebežne</w:t>
            </w:r>
          </w:p>
        </w:tc>
        <w:tc>
          <w:tcPr>
            <w:tcW w:w="528" w:type="pct"/>
            <w:tcBorders>
              <w:top w:val="single" w:sz="4" w:space="0" w:color="auto"/>
              <w:left w:val="single" w:sz="4" w:space="0" w:color="auto"/>
              <w:bottom w:val="single" w:sz="4" w:space="0" w:color="auto"/>
              <w:right w:val="single" w:sz="4" w:space="0" w:color="auto"/>
            </w:tcBorders>
            <w:vAlign w:val="center"/>
          </w:tcPr>
          <w:p w14:paraId="18652621"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7B747662"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3DEE88DC"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0305321F"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3"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79608CB3"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E66F49" w:rsidRPr="00666914" w14:paraId="7312948E" w14:textId="77777777" w:rsidTr="00125230">
        <w:trPr>
          <w:trHeight w:val="322"/>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9B8D6BA"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SOCIÁLNE POISTENIE A DÔCHODKY</w:t>
            </w:r>
          </w:p>
        </w:tc>
      </w:tr>
      <w:tr w:rsidR="00E66F49" w:rsidRPr="00666914" w14:paraId="354A1517" w14:textId="77777777" w:rsidTr="00125230">
        <w:trPr>
          <w:trHeight w:val="30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D9F683"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12</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06D2BADD"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Zavedenie ročného zúčtovania sociálneho poistenia</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5D575765"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 MF SR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7AC0B6D9"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12/2018</w:t>
            </w:r>
          </w:p>
        </w:tc>
        <w:tc>
          <w:tcPr>
            <w:tcW w:w="528" w:type="pct"/>
            <w:tcBorders>
              <w:top w:val="single" w:sz="4" w:space="0" w:color="auto"/>
              <w:left w:val="single" w:sz="4" w:space="0" w:color="auto"/>
              <w:bottom w:val="single" w:sz="4" w:space="0" w:color="auto"/>
              <w:right w:val="single" w:sz="4" w:space="0" w:color="auto"/>
            </w:tcBorders>
            <w:vAlign w:val="center"/>
          </w:tcPr>
          <w:p w14:paraId="4E339805"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12/2022</w:t>
            </w: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2C5BD4F4"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5A056603"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1C2764F9"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3"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2E595CCE"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E66F49" w:rsidRPr="00666914" w14:paraId="7BEBE870" w14:textId="77777777" w:rsidTr="00125230">
        <w:trPr>
          <w:trHeight w:val="30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17ED6B"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13</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0EFC0874"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Zavedenie indexového fondu v III. pilieri dôchodkového sporenia</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5DCF0E0"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3811BE0E"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12/2019</w:t>
            </w:r>
          </w:p>
        </w:tc>
        <w:tc>
          <w:tcPr>
            <w:tcW w:w="528" w:type="pct"/>
            <w:tcBorders>
              <w:top w:val="single" w:sz="4" w:space="0" w:color="auto"/>
              <w:left w:val="single" w:sz="4" w:space="0" w:color="auto"/>
              <w:bottom w:val="single" w:sz="4" w:space="0" w:color="auto"/>
              <w:right w:val="single" w:sz="4" w:space="0" w:color="auto"/>
            </w:tcBorders>
            <w:vAlign w:val="center"/>
          </w:tcPr>
          <w:p w14:paraId="1BB50285" w14:textId="77777777" w:rsidR="00E66F49" w:rsidRPr="00666914" w:rsidRDefault="00E66F49" w:rsidP="00D27F91">
            <w:pPr>
              <w:spacing w:after="0"/>
              <w:jc w:val="center"/>
              <w:rPr>
                <w:rFonts w:eastAsia="Times New Roman" w:cs="Calibri"/>
                <w:bCs/>
                <w:color w:val="000000"/>
                <w:sz w:val="20"/>
                <w:szCs w:val="20"/>
                <w:lang w:eastAsia="sk-SK"/>
              </w:rPr>
            </w:pPr>
            <w:r w:rsidRPr="00666914">
              <w:rPr>
                <w:rFonts w:eastAsia="Times New Roman" w:cs="Calibri"/>
                <w:bCs/>
                <w:color w:val="000000"/>
                <w:sz w:val="20"/>
                <w:szCs w:val="20"/>
                <w:lang w:eastAsia="sk-SK"/>
              </w:rPr>
              <w:t>-</w:t>
            </w: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0A2E5D38"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2FBAE9F6" w14:textId="77777777" w:rsidR="00E66F49" w:rsidRPr="00666914" w:rsidRDefault="00E66F49" w:rsidP="00D27F91">
            <w:pPr>
              <w:spacing w:after="0"/>
              <w:jc w:val="center"/>
              <w:rPr>
                <w:rFonts w:eastAsia="Times New Roman" w:cs="Calibri"/>
                <w:b/>
                <w:bCs/>
                <w:color w:val="FF0000"/>
                <w:sz w:val="20"/>
                <w:szCs w:val="20"/>
                <w:lang w:eastAsia="sk-SK"/>
              </w:rPr>
            </w:pPr>
            <w:r w:rsidRPr="00666914">
              <w:rPr>
                <w:rFonts w:eastAsia="Times New Roman" w:cs="Calibri"/>
                <w:b/>
                <w:bCs/>
                <w:color w:val="FF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30AE5A2F"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c>
          <w:tcPr>
            <w:tcW w:w="383"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2BC6926B"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FF0000"/>
                <w:sz w:val="20"/>
                <w:szCs w:val="20"/>
                <w:lang w:eastAsia="sk-SK"/>
              </w:rPr>
              <w:t> </w:t>
            </w:r>
          </w:p>
        </w:tc>
      </w:tr>
      <w:tr w:rsidR="00E66F49" w:rsidRPr="00666914" w14:paraId="6E7C7AD6" w14:textId="77777777" w:rsidTr="00125230">
        <w:trPr>
          <w:trHeight w:val="30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40FB2A"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14</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6BF03214"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xml:space="preserve">Zvýšenie atraktívnosti dobrovoľného dôchodkového sporenia </w:t>
            </w:r>
            <w:r w:rsidRPr="00666914">
              <w:rPr>
                <w:rFonts w:eastAsia="Times New Roman" w:cs="Calibri"/>
                <w:color w:val="000000"/>
                <w:sz w:val="20"/>
                <w:szCs w:val="20"/>
                <w:lang w:eastAsia="sk-SK"/>
              </w:rPr>
              <w:lastRenderedPageBreak/>
              <w:t>prostredníctvom mixu politík, vrátane posilnenia konkurencie</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8BE0F77"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lastRenderedPageBreak/>
              <w:t>MPSVR SR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2E643F25"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12/2019</w:t>
            </w:r>
          </w:p>
        </w:tc>
        <w:tc>
          <w:tcPr>
            <w:tcW w:w="528" w:type="pct"/>
            <w:tcBorders>
              <w:top w:val="single" w:sz="4" w:space="0" w:color="auto"/>
              <w:left w:val="single" w:sz="4" w:space="0" w:color="auto"/>
              <w:bottom w:val="single" w:sz="4" w:space="0" w:color="auto"/>
              <w:right w:val="single" w:sz="4" w:space="0" w:color="auto"/>
            </w:tcBorders>
            <w:vAlign w:val="center"/>
          </w:tcPr>
          <w:p w14:paraId="56D72C1B"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17C3F475"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5385EE84"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541C18C4"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3"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54EEF6BC"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E66F49" w:rsidRPr="00666914" w14:paraId="0D128118" w14:textId="77777777" w:rsidTr="001F4630">
        <w:trPr>
          <w:trHeight w:val="13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815D34"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15</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55E1584D"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Povinné zosúladenie investičnej stratégie II. piliera aktuálnych sporiteľov s časovým</w:t>
            </w:r>
          </w:p>
          <w:p w14:paraId="41055598"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horizontom ich sporenia</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04B176F9"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272DDE43"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12/2019</w:t>
            </w:r>
          </w:p>
        </w:tc>
        <w:tc>
          <w:tcPr>
            <w:tcW w:w="528" w:type="pct"/>
            <w:tcBorders>
              <w:top w:val="single" w:sz="4" w:space="0" w:color="auto"/>
              <w:left w:val="single" w:sz="4" w:space="0" w:color="auto"/>
              <w:bottom w:val="single" w:sz="4" w:space="0" w:color="auto"/>
              <w:right w:val="single" w:sz="4" w:space="0" w:color="auto"/>
            </w:tcBorders>
            <w:vAlign w:val="center"/>
          </w:tcPr>
          <w:p w14:paraId="25B485D6"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197F1FE3"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3CF70355"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6B47B2BC"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3"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38A0D4DA"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E66F49" w:rsidRPr="00666914" w14:paraId="65851221" w14:textId="77777777" w:rsidTr="00125230">
        <w:trPr>
          <w:trHeight w:val="30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EF3DA7"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16</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0A1CF189"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Úprava odplát sprostredkovateľom, ktorá by výraznejšie motivovala sprostredkovateľov poskytovať klientom II. a III. piliera presnejšie a adekvátnejšie odporúčania</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36ABB49"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009FA0F0"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12/2019</w:t>
            </w:r>
          </w:p>
        </w:tc>
        <w:tc>
          <w:tcPr>
            <w:tcW w:w="528" w:type="pct"/>
            <w:tcBorders>
              <w:top w:val="single" w:sz="4" w:space="0" w:color="auto"/>
              <w:left w:val="single" w:sz="4" w:space="0" w:color="auto"/>
              <w:bottom w:val="single" w:sz="4" w:space="0" w:color="auto"/>
              <w:right w:val="single" w:sz="4" w:space="0" w:color="auto"/>
            </w:tcBorders>
            <w:vAlign w:val="center"/>
          </w:tcPr>
          <w:p w14:paraId="06EDBA42"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690F29C0"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05C1A3CD" w14:textId="77777777" w:rsidR="00E66F49" w:rsidRPr="00666914" w:rsidRDefault="00E66F49" w:rsidP="00D27F91">
            <w:pPr>
              <w:spacing w:after="0"/>
              <w:rPr>
                <w:rFonts w:eastAsia="Times New Roman" w:cs="Calibri"/>
                <w:color w:val="000000"/>
                <w:sz w:val="20"/>
                <w:szCs w:val="20"/>
                <w:lang w:eastAsia="sk-SK"/>
              </w:rPr>
            </w:pP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70B5A09F"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3"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02DFF9F6" w14:textId="77777777" w:rsidR="00E66F49" w:rsidRPr="00666914" w:rsidRDefault="00E66F49" w:rsidP="00D27F91">
            <w:pPr>
              <w:spacing w:after="0"/>
              <w:jc w:val="center"/>
              <w:rPr>
                <w:rFonts w:eastAsia="Times New Roman" w:cs="Calibri"/>
                <w:color w:val="000000"/>
                <w:sz w:val="20"/>
                <w:szCs w:val="20"/>
                <w:lang w:eastAsia="sk-SK"/>
              </w:rPr>
            </w:pPr>
          </w:p>
        </w:tc>
      </w:tr>
      <w:tr w:rsidR="00E66F49" w:rsidRPr="00666914" w14:paraId="01A1C044" w14:textId="77777777" w:rsidTr="00125230">
        <w:trPr>
          <w:trHeight w:val="30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156BEF"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17</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79DA8889"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Zlepšenie informovanosti klientov II. a III. piliera o výnosoch, výnosoch v iných fondoch, rozloženia úspor vo fondoch, porovnanie so zahraničnými fondmi</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FB4F25E"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6BC2F110"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12/2019</w:t>
            </w:r>
          </w:p>
        </w:tc>
        <w:tc>
          <w:tcPr>
            <w:tcW w:w="528" w:type="pct"/>
            <w:tcBorders>
              <w:top w:val="single" w:sz="4" w:space="0" w:color="auto"/>
              <w:left w:val="single" w:sz="4" w:space="0" w:color="auto"/>
              <w:bottom w:val="single" w:sz="4" w:space="0" w:color="auto"/>
              <w:right w:val="single" w:sz="4" w:space="0" w:color="auto"/>
            </w:tcBorders>
            <w:vAlign w:val="center"/>
          </w:tcPr>
          <w:p w14:paraId="30A6E8C0"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0E3BE3FF"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2AA663BD"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4C4D02AE"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3"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416CAFD1"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E66F49" w:rsidRPr="00666914" w14:paraId="04CD58F9" w14:textId="77777777" w:rsidTr="00125230">
        <w:trPr>
          <w:trHeight w:val="30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59B44A"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18</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4D664E94"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Zmena prerozdelenia odplaty správcom dôchodkových účtov s presunom k vyššiemu podielu odplaty naviazanej na výkon v jednotlivých fondoch</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68E164FC"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29EBF835"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12/2019</w:t>
            </w:r>
          </w:p>
        </w:tc>
        <w:tc>
          <w:tcPr>
            <w:tcW w:w="528" w:type="pct"/>
            <w:tcBorders>
              <w:top w:val="single" w:sz="4" w:space="0" w:color="auto"/>
              <w:left w:val="single" w:sz="4" w:space="0" w:color="auto"/>
              <w:bottom w:val="single" w:sz="4" w:space="0" w:color="auto"/>
              <w:right w:val="single" w:sz="4" w:space="0" w:color="auto"/>
            </w:tcBorders>
            <w:vAlign w:val="center"/>
          </w:tcPr>
          <w:p w14:paraId="5C9DC8DE"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2C2FCEA8"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4117CCFC"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491FC41A"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3"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62B2EA24"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E66F49" w:rsidRPr="00666914" w14:paraId="7089CB49" w14:textId="77777777" w:rsidTr="00125230">
        <w:trPr>
          <w:trHeight w:val="340"/>
        </w:trPr>
        <w:tc>
          <w:tcPr>
            <w:tcW w:w="5000" w:type="pct"/>
            <w:gridSpan w:val="9"/>
            <w:tcBorders>
              <w:top w:val="single" w:sz="4" w:space="0" w:color="auto"/>
              <w:left w:val="single" w:sz="4" w:space="0" w:color="auto"/>
              <w:bottom w:val="single" w:sz="4" w:space="0" w:color="auto"/>
              <w:right w:val="single" w:sz="4" w:space="0" w:color="auto"/>
            </w:tcBorders>
            <w:vAlign w:val="center"/>
          </w:tcPr>
          <w:p w14:paraId="54DAFF87" w14:textId="77777777" w:rsidR="00E66F49" w:rsidRPr="00666914" w:rsidRDefault="00E66F49" w:rsidP="00D27F91">
            <w:pPr>
              <w:spacing w:after="0"/>
              <w:jc w:val="center"/>
              <w:rPr>
                <w:rFonts w:eastAsia="Times New Roman" w:cs="Calibri"/>
                <w:b/>
                <w:color w:val="000000"/>
                <w:sz w:val="20"/>
                <w:szCs w:val="20"/>
                <w:lang w:eastAsia="sk-SK"/>
              </w:rPr>
            </w:pPr>
            <w:r w:rsidRPr="00666914">
              <w:rPr>
                <w:rFonts w:eastAsia="Times New Roman" w:cs="Calibri"/>
                <w:b/>
                <w:color w:val="000000"/>
                <w:sz w:val="20"/>
                <w:szCs w:val="20"/>
                <w:lang w:eastAsia="sk-SK"/>
              </w:rPr>
              <w:t>SOCIÁLNE SLUŽBY</w:t>
            </w:r>
          </w:p>
        </w:tc>
      </w:tr>
      <w:tr w:rsidR="00E66F49" w:rsidRPr="00666914" w14:paraId="073ADBD9" w14:textId="77777777" w:rsidTr="00125230">
        <w:trPr>
          <w:trHeight w:val="30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48A946"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19</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0B92E914"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Posúdenie efektívnosti a nákladovosti sociálnych služieb</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E04677B"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 MF SR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2A028A8A"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12/2018</w:t>
            </w:r>
          </w:p>
        </w:tc>
        <w:tc>
          <w:tcPr>
            <w:tcW w:w="528" w:type="pct"/>
            <w:tcBorders>
              <w:top w:val="single" w:sz="4" w:space="0" w:color="auto"/>
              <w:left w:val="single" w:sz="4" w:space="0" w:color="auto"/>
              <w:bottom w:val="single" w:sz="4" w:space="0" w:color="auto"/>
              <w:right w:val="single" w:sz="4" w:space="0" w:color="auto"/>
            </w:tcBorders>
            <w:vAlign w:val="center"/>
          </w:tcPr>
          <w:p w14:paraId="3E899418"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06/2019</w:t>
            </w:r>
          </w:p>
        </w:tc>
        <w:tc>
          <w:tcPr>
            <w:tcW w:w="382"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3F032CE4"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77DE0E4D"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1CD79A42"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3" w:type="pct"/>
            <w:tcBorders>
              <w:top w:val="single" w:sz="4" w:space="0" w:color="auto"/>
              <w:left w:val="nil"/>
              <w:bottom w:val="single" w:sz="4" w:space="0" w:color="auto"/>
              <w:right w:val="single" w:sz="4" w:space="0" w:color="auto"/>
            </w:tcBorders>
            <w:shd w:val="clear" w:color="auto" w:fill="FF0000"/>
            <w:noWrap/>
            <w:vAlign w:val="bottom"/>
            <w:hideMark/>
          </w:tcPr>
          <w:p w14:paraId="16459A3D"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E66F49" w:rsidRPr="00666914" w14:paraId="06FDD102" w14:textId="77777777" w:rsidTr="00125230">
        <w:trPr>
          <w:trHeight w:val="315"/>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10C475"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20</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364DB849"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Zjednotenie metodiky a výkazov pri zbere údajov o poskytovaných sociálnych službách</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5EA3A50E"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  (ÚPSVaR),</w:t>
            </w:r>
          </w:p>
          <w:p w14:paraId="46FFF070"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ŠÚ SR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63B7D72C"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12/2018</w:t>
            </w:r>
          </w:p>
        </w:tc>
        <w:tc>
          <w:tcPr>
            <w:tcW w:w="528" w:type="pct"/>
            <w:tcBorders>
              <w:top w:val="single" w:sz="4" w:space="0" w:color="auto"/>
              <w:left w:val="single" w:sz="4" w:space="0" w:color="auto"/>
              <w:bottom w:val="single" w:sz="4" w:space="0" w:color="auto"/>
              <w:right w:val="single" w:sz="4" w:space="0" w:color="auto"/>
            </w:tcBorders>
            <w:vAlign w:val="center"/>
          </w:tcPr>
          <w:p w14:paraId="1EC68EB3"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06/2019</w:t>
            </w:r>
          </w:p>
        </w:tc>
        <w:tc>
          <w:tcPr>
            <w:tcW w:w="382"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425D2917"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0AFE3CD0"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566FA8CA"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3" w:type="pct"/>
            <w:tcBorders>
              <w:top w:val="single" w:sz="4" w:space="0" w:color="auto"/>
              <w:left w:val="nil"/>
              <w:bottom w:val="single" w:sz="4" w:space="0" w:color="auto"/>
              <w:right w:val="single" w:sz="4" w:space="0" w:color="auto"/>
            </w:tcBorders>
            <w:shd w:val="clear" w:color="auto" w:fill="FFC000"/>
            <w:noWrap/>
            <w:vAlign w:val="bottom"/>
            <w:hideMark/>
          </w:tcPr>
          <w:p w14:paraId="14AB3430"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E66F49" w:rsidRPr="00666914" w14:paraId="17B6A92E" w14:textId="77777777" w:rsidTr="00125230">
        <w:trPr>
          <w:trHeight w:val="30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47FCB6"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21</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2EB6BACB"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Revízia výdavkov na dlhodobú starostlivosť</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3328CE12"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MF SR, MPSVR SR,</w:t>
            </w:r>
          </w:p>
          <w:p w14:paraId="3F765797"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MZ SR, MV SR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3A0B0789"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12/2019</w:t>
            </w:r>
          </w:p>
        </w:tc>
        <w:tc>
          <w:tcPr>
            <w:tcW w:w="528" w:type="pct"/>
            <w:tcBorders>
              <w:top w:val="single" w:sz="4" w:space="0" w:color="auto"/>
              <w:left w:val="single" w:sz="4" w:space="0" w:color="auto"/>
              <w:bottom w:val="single" w:sz="4" w:space="0" w:color="auto"/>
              <w:right w:val="single" w:sz="4" w:space="0" w:color="auto"/>
            </w:tcBorders>
            <w:vAlign w:val="center"/>
          </w:tcPr>
          <w:p w14:paraId="542CD7C7"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575ED24C"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6BB681C0"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539CA247"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3" w:type="pct"/>
            <w:tcBorders>
              <w:top w:val="single" w:sz="4" w:space="0" w:color="auto"/>
              <w:left w:val="nil"/>
              <w:bottom w:val="single" w:sz="4" w:space="0" w:color="auto"/>
              <w:right w:val="single" w:sz="4" w:space="0" w:color="auto"/>
            </w:tcBorders>
            <w:shd w:val="clear" w:color="auto" w:fill="FF0000"/>
            <w:noWrap/>
            <w:vAlign w:val="bottom"/>
            <w:hideMark/>
          </w:tcPr>
          <w:p w14:paraId="3B0A5DA0"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E66F49" w:rsidRPr="00666914" w14:paraId="6C3691FC" w14:textId="77777777" w:rsidTr="00125230">
        <w:trPr>
          <w:trHeight w:val="431"/>
        </w:trPr>
        <w:tc>
          <w:tcPr>
            <w:tcW w:w="5000" w:type="pct"/>
            <w:gridSpan w:val="9"/>
            <w:tcBorders>
              <w:top w:val="single" w:sz="4" w:space="0" w:color="auto"/>
              <w:left w:val="single" w:sz="4" w:space="0" w:color="auto"/>
              <w:bottom w:val="single" w:sz="4" w:space="0" w:color="auto"/>
              <w:right w:val="single" w:sz="4" w:space="0" w:color="auto"/>
            </w:tcBorders>
            <w:vAlign w:val="center"/>
          </w:tcPr>
          <w:p w14:paraId="55850C52" w14:textId="77777777" w:rsidR="00E66F49" w:rsidRPr="00666914" w:rsidRDefault="00E66F49" w:rsidP="00D27F91">
            <w:pPr>
              <w:spacing w:after="0"/>
              <w:jc w:val="center"/>
              <w:rPr>
                <w:rFonts w:eastAsia="Times New Roman" w:cs="Calibri"/>
                <w:b/>
                <w:color w:val="000000"/>
                <w:sz w:val="20"/>
                <w:szCs w:val="20"/>
                <w:lang w:eastAsia="sk-SK"/>
              </w:rPr>
            </w:pPr>
            <w:r w:rsidRPr="00666914">
              <w:rPr>
                <w:rFonts w:eastAsia="Times New Roman" w:cs="Calibri"/>
                <w:b/>
                <w:color w:val="000000"/>
                <w:sz w:val="20"/>
                <w:szCs w:val="20"/>
                <w:lang w:eastAsia="sk-SK"/>
              </w:rPr>
              <w:t>INVESTÍCIE A VÝDAVKY V OBLASTI SOCIÁLNEHO ZABEZPEČENIA</w:t>
            </w:r>
          </w:p>
        </w:tc>
      </w:tr>
      <w:tr w:rsidR="00E66F49" w:rsidRPr="00666914" w14:paraId="3A64EECC" w14:textId="77777777" w:rsidTr="00125230">
        <w:trPr>
          <w:trHeight w:val="315"/>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8B557B"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22</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705AF692"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Zvýšenie efektívnosti pobočiek Sociálnej poisťovne</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6CB2234A"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SP</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0900CF96"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12/2020</w:t>
            </w:r>
          </w:p>
        </w:tc>
        <w:tc>
          <w:tcPr>
            <w:tcW w:w="528" w:type="pct"/>
            <w:tcBorders>
              <w:top w:val="single" w:sz="4" w:space="0" w:color="auto"/>
              <w:left w:val="single" w:sz="4" w:space="0" w:color="auto"/>
              <w:bottom w:val="single" w:sz="4" w:space="0" w:color="auto"/>
              <w:right w:val="single" w:sz="4" w:space="0" w:color="auto"/>
            </w:tcBorders>
            <w:vAlign w:val="center"/>
          </w:tcPr>
          <w:p w14:paraId="7F287126"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82"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4D89BFD5"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38912020" w14:textId="77777777" w:rsidR="00E66F49" w:rsidRPr="00666914" w:rsidRDefault="00E66F49" w:rsidP="00D27F91">
            <w:pPr>
              <w:spacing w:after="0"/>
              <w:rPr>
                <w:rFonts w:eastAsia="Times New Roman" w:cs="Calibri"/>
                <w:color w:val="FF0000"/>
                <w:sz w:val="20"/>
                <w:szCs w:val="20"/>
                <w:lang w:eastAsia="sk-SK"/>
              </w:rPr>
            </w:pPr>
            <w:r w:rsidRPr="00666914">
              <w:rPr>
                <w:rFonts w:eastAsia="Times New Roman" w:cs="Calibri"/>
                <w:color w:val="FF0000"/>
                <w:sz w:val="20"/>
                <w:szCs w:val="20"/>
                <w:lang w:eastAsia="sk-SK"/>
              </w:rPr>
              <w:t> </w:t>
            </w:r>
          </w:p>
        </w:tc>
        <w:tc>
          <w:tcPr>
            <w:tcW w:w="382"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328A4BFC" w14:textId="77777777" w:rsidR="00E66F49" w:rsidRPr="00666914" w:rsidRDefault="00E66F49" w:rsidP="00D27F91">
            <w:pPr>
              <w:spacing w:after="0"/>
              <w:rPr>
                <w:rFonts w:eastAsia="Times New Roman" w:cs="Calibri"/>
                <w:color w:val="FF0000"/>
                <w:sz w:val="20"/>
                <w:szCs w:val="20"/>
                <w:lang w:eastAsia="sk-SK"/>
              </w:rPr>
            </w:pPr>
            <w:r w:rsidRPr="00666914">
              <w:rPr>
                <w:rFonts w:eastAsia="Times New Roman" w:cs="Calibri"/>
                <w:color w:val="FF0000"/>
                <w:sz w:val="20"/>
                <w:szCs w:val="20"/>
                <w:lang w:eastAsia="sk-SK"/>
              </w:rPr>
              <w:t> </w:t>
            </w:r>
          </w:p>
        </w:tc>
        <w:tc>
          <w:tcPr>
            <w:tcW w:w="383"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7E91CCA6" w14:textId="77777777" w:rsidR="00E66F49" w:rsidRPr="00666914" w:rsidRDefault="00E66F49" w:rsidP="00D27F91">
            <w:pPr>
              <w:spacing w:after="0"/>
              <w:jc w:val="center"/>
              <w:rPr>
                <w:rFonts w:eastAsia="Times New Roman" w:cs="Calibri"/>
                <w:color w:val="FF0000"/>
                <w:sz w:val="20"/>
                <w:szCs w:val="20"/>
                <w:lang w:eastAsia="sk-SK"/>
              </w:rPr>
            </w:pPr>
            <w:r w:rsidRPr="00666914">
              <w:rPr>
                <w:rFonts w:eastAsia="Times New Roman" w:cs="Calibri"/>
                <w:color w:val="FF0000"/>
                <w:sz w:val="20"/>
                <w:szCs w:val="20"/>
                <w:lang w:eastAsia="sk-SK"/>
              </w:rPr>
              <w:t> </w:t>
            </w:r>
          </w:p>
        </w:tc>
      </w:tr>
      <w:tr w:rsidR="00E66F49" w:rsidRPr="00666914" w14:paraId="07D24284" w14:textId="77777777" w:rsidTr="00125230">
        <w:trPr>
          <w:trHeight w:val="315"/>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4D29D091"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23</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583316F4"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Zvýšenie efektívnosti pobočiek ÚPSVaR</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3B046509"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 (ÚPSVaR)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32A4CE4E"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12/2018</w:t>
            </w:r>
          </w:p>
        </w:tc>
        <w:tc>
          <w:tcPr>
            <w:tcW w:w="528" w:type="pct"/>
            <w:tcBorders>
              <w:top w:val="single" w:sz="4" w:space="0" w:color="auto"/>
              <w:left w:val="single" w:sz="4" w:space="0" w:color="auto"/>
              <w:bottom w:val="single" w:sz="4" w:space="0" w:color="auto"/>
              <w:right w:val="single" w:sz="4" w:space="0" w:color="auto"/>
            </w:tcBorders>
            <w:vAlign w:val="center"/>
          </w:tcPr>
          <w:p w14:paraId="778B5D79"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12/2019</w:t>
            </w:r>
          </w:p>
        </w:tc>
        <w:tc>
          <w:tcPr>
            <w:tcW w:w="382" w:type="pct"/>
            <w:tcBorders>
              <w:top w:val="single" w:sz="4" w:space="0" w:color="auto"/>
              <w:left w:val="single" w:sz="4" w:space="0" w:color="auto"/>
              <w:bottom w:val="single" w:sz="4" w:space="0" w:color="auto"/>
              <w:right w:val="single" w:sz="4" w:space="0" w:color="auto"/>
            </w:tcBorders>
            <w:shd w:val="clear" w:color="auto" w:fill="FFC000"/>
            <w:noWrap/>
            <w:vAlign w:val="bottom"/>
          </w:tcPr>
          <w:p w14:paraId="388DF4AD" w14:textId="77777777" w:rsidR="00E66F49" w:rsidRPr="00666914" w:rsidRDefault="00E66F49" w:rsidP="00D27F91">
            <w:pPr>
              <w:spacing w:after="0"/>
              <w:rPr>
                <w:rFonts w:eastAsia="Times New Roman" w:cs="Calibri"/>
                <w:color w:val="000000"/>
                <w:sz w:val="20"/>
                <w:szCs w:val="20"/>
                <w:lang w:eastAsia="sk-SK"/>
              </w:rPr>
            </w:pPr>
          </w:p>
        </w:tc>
        <w:tc>
          <w:tcPr>
            <w:tcW w:w="382"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38F0654B" w14:textId="77777777" w:rsidR="00E66F49" w:rsidRPr="00666914" w:rsidRDefault="00E66F49" w:rsidP="00D27F91">
            <w:pPr>
              <w:spacing w:after="0"/>
              <w:rPr>
                <w:rFonts w:eastAsia="Times New Roman" w:cs="Calibri"/>
                <w:color w:val="FF0000"/>
                <w:sz w:val="20"/>
                <w:szCs w:val="20"/>
                <w:lang w:eastAsia="sk-SK"/>
              </w:rPr>
            </w:pPr>
          </w:p>
        </w:tc>
        <w:tc>
          <w:tcPr>
            <w:tcW w:w="382"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796ABCEB" w14:textId="77777777" w:rsidR="00E66F49" w:rsidRPr="00666914" w:rsidRDefault="00E66F49" w:rsidP="00D27F91">
            <w:pPr>
              <w:spacing w:after="0"/>
              <w:rPr>
                <w:rFonts w:eastAsia="Times New Roman" w:cs="Calibri"/>
                <w:color w:val="FF0000"/>
                <w:sz w:val="20"/>
                <w:szCs w:val="20"/>
                <w:lang w:eastAsia="sk-SK"/>
              </w:rPr>
            </w:pPr>
          </w:p>
        </w:tc>
        <w:tc>
          <w:tcPr>
            <w:tcW w:w="383"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0EDE78F0" w14:textId="77777777" w:rsidR="00E66F49" w:rsidRPr="00666914" w:rsidRDefault="00E66F49" w:rsidP="00D27F91">
            <w:pPr>
              <w:spacing w:after="0"/>
              <w:jc w:val="center"/>
              <w:rPr>
                <w:rFonts w:eastAsia="Times New Roman" w:cs="Calibri"/>
                <w:color w:val="FF0000"/>
                <w:sz w:val="20"/>
                <w:szCs w:val="20"/>
                <w:lang w:eastAsia="sk-SK"/>
              </w:rPr>
            </w:pPr>
          </w:p>
        </w:tc>
      </w:tr>
      <w:tr w:rsidR="00E66F49" w:rsidRPr="00666914" w14:paraId="76FD9EC0" w14:textId="77777777" w:rsidTr="00125230">
        <w:trPr>
          <w:trHeight w:val="315"/>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284E85B1"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24</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676B9291"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xml:space="preserve">Zvýšenie efektívnosti IT výdavkov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24E2B884"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 MF SR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28CD72C0"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12/2017</w:t>
            </w:r>
          </w:p>
        </w:tc>
        <w:tc>
          <w:tcPr>
            <w:tcW w:w="528" w:type="pct"/>
            <w:tcBorders>
              <w:top w:val="single" w:sz="4" w:space="0" w:color="auto"/>
              <w:left w:val="single" w:sz="4" w:space="0" w:color="auto"/>
              <w:bottom w:val="single" w:sz="4" w:space="0" w:color="auto"/>
              <w:right w:val="single" w:sz="4" w:space="0" w:color="auto"/>
            </w:tcBorders>
            <w:vAlign w:val="center"/>
          </w:tcPr>
          <w:p w14:paraId="6CB7FE92"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06/2019</w:t>
            </w:r>
          </w:p>
        </w:tc>
        <w:tc>
          <w:tcPr>
            <w:tcW w:w="382"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69AE2A89" w14:textId="77777777" w:rsidR="00E66F49" w:rsidRPr="00666914" w:rsidRDefault="00E66F49" w:rsidP="00D27F91">
            <w:pPr>
              <w:spacing w:after="0"/>
              <w:rPr>
                <w:rFonts w:eastAsia="Times New Roman" w:cs="Calibri"/>
                <w:color w:val="000000"/>
                <w:sz w:val="20"/>
                <w:szCs w:val="20"/>
                <w:lang w:eastAsia="sk-SK"/>
              </w:rPr>
            </w:pPr>
          </w:p>
        </w:tc>
        <w:tc>
          <w:tcPr>
            <w:tcW w:w="382"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59A2C194" w14:textId="77777777" w:rsidR="00E66F49" w:rsidRPr="00666914" w:rsidRDefault="00E66F49" w:rsidP="00D27F91">
            <w:pPr>
              <w:spacing w:after="0"/>
              <w:rPr>
                <w:rFonts w:eastAsia="Times New Roman" w:cs="Calibri"/>
                <w:color w:val="FF0000"/>
                <w:sz w:val="20"/>
                <w:szCs w:val="20"/>
                <w:lang w:eastAsia="sk-SK"/>
              </w:rPr>
            </w:pPr>
          </w:p>
        </w:tc>
        <w:tc>
          <w:tcPr>
            <w:tcW w:w="382"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53E9359D" w14:textId="77777777" w:rsidR="00E66F49" w:rsidRPr="00666914" w:rsidRDefault="00E66F49" w:rsidP="00D27F91">
            <w:pPr>
              <w:spacing w:after="0"/>
              <w:rPr>
                <w:rFonts w:eastAsia="Times New Roman" w:cs="Calibri"/>
                <w:color w:val="FF0000"/>
                <w:sz w:val="20"/>
                <w:szCs w:val="20"/>
                <w:lang w:eastAsia="sk-SK"/>
              </w:rPr>
            </w:pPr>
          </w:p>
        </w:tc>
        <w:tc>
          <w:tcPr>
            <w:tcW w:w="383"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34BAA2A0" w14:textId="77777777" w:rsidR="00E66F49" w:rsidRPr="00666914" w:rsidRDefault="00E66F49" w:rsidP="00D27F91">
            <w:pPr>
              <w:spacing w:after="0"/>
              <w:jc w:val="center"/>
              <w:rPr>
                <w:rFonts w:eastAsia="Times New Roman" w:cs="Calibri"/>
                <w:color w:val="FF0000"/>
                <w:sz w:val="20"/>
                <w:szCs w:val="20"/>
                <w:lang w:eastAsia="sk-SK"/>
              </w:rPr>
            </w:pPr>
          </w:p>
        </w:tc>
      </w:tr>
      <w:tr w:rsidR="00E66F49" w:rsidRPr="00666914" w14:paraId="202E189F" w14:textId="77777777" w:rsidTr="00125230">
        <w:trPr>
          <w:trHeight w:val="315"/>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AC028A7"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25</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38E48714"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Vypracovanie a zverejnenie investičného plánu MPSVR SR, bez ohľadu na zdroj financovania</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321EE036"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658C3834"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12/2018</w:t>
            </w:r>
          </w:p>
        </w:tc>
        <w:tc>
          <w:tcPr>
            <w:tcW w:w="528" w:type="pct"/>
            <w:tcBorders>
              <w:top w:val="single" w:sz="4" w:space="0" w:color="auto"/>
              <w:left w:val="single" w:sz="4" w:space="0" w:color="auto"/>
              <w:bottom w:val="single" w:sz="4" w:space="0" w:color="auto"/>
              <w:right w:val="single" w:sz="4" w:space="0" w:color="auto"/>
            </w:tcBorders>
            <w:vAlign w:val="center"/>
          </w:tcPr>
          <w:p w14:paraId="4F5512C2"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priebežne</w:t>
            </w: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0DBD7D96" w14:textId="77777777" w:rsidR="00E66F49" w:rsidRPr="00666914" w:rsidRDefault="00E66F49" w:rsidP="00D27F91">
            <w:pPr>
              <w:spacing w:after="0"/>
              <w:rPr>
                <w:rFonts w:eastAsia="Times New Roman" w:cs="Calibri"/>
                <w:color w:val="000000"/>
                <w:sz w:val="20"/>
                <w:szCs w:val="20"/>
                <w:lang w:eastAsia="sk-SK"/>
              </w:rPr>
            </w:pPr>
          </w:p>
        </w:tc>
        <w:tc>
          <w:tcPr>
            <w:tcW w:w="382" w:type="pct"/>
            <w:tcBorders>
              <w:top w:val="single" w:sz="4" w:space="0" w:color="auto"/>
              <w:left w:val="single" w:sz="4" w:space="0" w:color="auto"/>
              <w:bottom w:val="single" w:sz="4" w:space="0" w:color="auto"/>
              <w:right w:val="single" w:sz="4" w:space="0" w:color="auto"/>
            </w:tcBorders>
            <w:shd w:val="clear" w:color="auto" w:fill="92D050"/>
            <w:noWrap/>
            <w:vAlign w:val="bottom"/>
          </w:tcPr>
          <w:p w14:paraId="3987A68E" w14:textId="77777777" w:rsidR="00E66F49" w:rsidRPr="00666914" w:rsidRDefault="00E66F49" w:rsidP="00D27F91">
            <w:pPr>
              <w:spacing w:after="0"/>
              <w:rPr>
                <w:rFonts w:eastAsia="Times New Roman" w:cs="Calibri"/>
                <w:color w:val="FF0000"/>
                <w:sz w:val="20"/>
                <w:szCs w:val="20"/>
                <w:lang w:eastAsia="sk-SK"/>
              </w:rPr>
            </w:pP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240D5EDE" w14:textId="77777777" w:rsidR="00E66F49" w:rsidRPr="00666914" w:rsidRDefault="00E66F49" w:rsidP="00D27F91">
            <w:pPr>
              <w:spacing w:after="0"/>
              <w:rPr>
                <w:rFonts w:eastAsia="Times New Roman" w:cs="Calibri"/>
                <w:color w:val="FF0000"/>
                <w:sz w:val="20"/>
                <w:szCs w:val="20"/>
                <w:lang w:eastAsia="sk-SK"/>
              </w:rPr>
            </w:pPr>
          </w:p>
        </w:tc>
        <w:tc>
          <w:tcPr>
            <w:tcW w:w="383" w:type="pct"/>
            <w:tcBorders>
              <w:top w:val="single" w:sz="4" w:space="0" w:color="auto"/>
              <w:left w:val="single" w:sz="4" w:space="0" w:color="auto"/>
              <w:bottom w:val="single" w:sz="4" w:space="0" w:color="auto"/>
              <w:right w:val="single" w:sz="4" w:space="0" w:color="auto"/>
            </w:tcBorders>
            <w:shd w:val="clear" w:color="auto" w:fill="92D050"/>
            <w:noWrap/>
            <w:vAlign w:val="bottom"/>
          </w:tcPr>
          <w:p w14:paraId="2FFD36DA" w14:textId="77777777" w:rsidR="00E66F49" w:rsidRPr="00666914" w:rsidRDefault="00E66F49" w:rsidP="00D27F91">
            <w:pPr>
              <w:spacing w:after="0"/>
              <w:jc w:val="center"/>
              <w:rPr>
                <w:rFonts w:eastAsia="Times New Roman" w:cs="Calibri"/>
                <w:color w:val="FF0000"/>
                <w:sz w:val="20"/>
                <w:szCs w:val="20"/>
                <w:lang w:eastAsia="sk-SK"/>
              </w:rPr>
            </w:pPr>
          </w:p>
        </w:tc>
      </w:tr>
      <w:tr w:rsidR="00E66F49" w:rsidRPr="00666914" w14:paraId="4E47E0AC" w14:textId="77777777" w:rsidTr="00125230">
        <w:trPr>
          <w:trHeight w:val="315"/>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237353EB"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25</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1A673524"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Vypracovanie a zverejnenie investičného plánu SP, bez ohľadu na zdroj financovania</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046E6698"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SP</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1A6297C2"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12/2018</w:t>
            </w:r>
          </w:p>
        </w:tc>
        <w:tc>
          <w:tcPr>
            <w:tcW w:w="528" w:type="pct"/>
            <w:tcBorders>
              <w:top w:val="single" w:sz="4" w:space="0" w:color="auto"/>
              <w:left w:val="single" w:sz="4" w:space="0" w:color="auto"/>
              <w:bottom w:val="single" w:sz="4" w:space="0" w:color="auto"/>
              <w:right w:val="single" w:sz="4" w:space="0" w:color="auto"/>
            </w:tcBorders>
            <w:vAlign w:val="center"/>
          </w:tcPr>
          <w:p w14:paraId="5364AC57"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priebežne</w:t>
            </w:r>
          </w:p>
        </w:tc>
        <w:tc>
          <w:tcPr>
            <w:tcW w:w="382" w:type="pct"/>
            <w:tcBorders>
              <w:top w:val="single" w:sz="4" w:space="0" w:color="auto"/>
              <w:left w:val="single" w:sz="4" w:space="0" w:color="auto"/>
              <w:bottom w:val="single" w:sz="4" w:space="0" w:color="auto"/>
              <w:right w:val="single" w:sz="4" w:space="0" w:color="auto"/>
            </w:tcBorders>
            <w:shd w:val="clear" w:color="auto" w:fill="FFC000"/>
            <w:noWrap/>
            <w:vAlign w:val="bottom"/>
          </w:tcPr>
          <w:p w14:paraId="58346EA7" w14:textId="77777777" w:rsidR="00E66F49" w:rsidRPr="00666914" w:rsidRDefault="00E66F49" w:rsidP="00D27F91">
            <w:pPr>
              <w:spacing w:after="0"/>
              <w:rPr>
                <w:rFonts w:eastAsia="Times New Roman" w:cs="Calibri"/>
                <w:color w:val="000000"/>
                <w:sz w:val="20"/>
                <w:szCs w:val="20"/>
                <w:lang w:eastAsia="sk-SK"/>
              </w:rPr>
            </w:pPr>
          </w:p>
        </w:tc>
        <w:tc>
          <w:tcPr>
            <w:tcW w:w="382" w:type="pct"/>
            <w:tcBorders>
              <w:top w:val="single" w:sz="4" w:space="0" w:color="auto"/>
              <w:left w:val="single" w:sz="4" w:space="0" w:color="auto"/>
              <w:bottom w:val="single" w:sz="4" w:space="0" w:color="auto"/>
              <w:right w:val="single" w:sz="4" w:space="0" w:color="auto"/>
            </w:tcBorders>
            <w:shd w:val="clear" w:color="auto" w:fill="FFC000"/>
            <w:noWrap/>
            <w:vAlign w:val="bottom"/>
          </w:tcPr>
          <w:p w14:paraId="6E85EFD5" w14:textId="77777777" w:rsidR="00E66F49" w:rsidRPr="00666914" w:rsidRDefault="00E66F49" w:rsidP="00D27F91">
            <w:pPr>
              <w:spacing w:after="0"/>
              <w:rPr>
                <w:rFonts w:eastAsia="Times New Roman" w:cs="Calibri"/>
                <w:color w:val="FF0000"/>
                <w:sz w:val="20"/>
                <w:szCs w:val="20"/>
                <w:lang w:eastAsia="sk-SK"/>
              </w:rPr>
            </w:pPr>
          </w:p>
        </w:tc>
        <w:tc>
          <w:tcPr>
            <w:tcW w:w="382" w:type="pct"/>
            <w:tcBorders>
              <w:top w:val="single" w:sz="4" w:space="0" w:color="auto"/>
              <w:left w:val="single" w:sz="4" w:space="0" w:color="auto"/>
              <w:bottom w:val="single" w:sz="4" w:space="0" w:color="auto"/>
              <w:right w:val="single" w:sz="4" w:space="0" w:color="auto"/>
            </w:tcBorders>
            <w:shd w:val="clear" w:color="auto" w:fill="FFC000"/>
            <w:noWrap/>
            <w:vAlign w:val="bottom"/>
          </w:tcPr>
          <w:p w14:paraId="234E9F30" w14:textId="77777777" w:rsidR="00E66F49" w:rsidRPr="00666914" w:rsidRDefault="00E66F49" w:rsidP="00D27F91">
            <w:pPr>
              <w:spacing w:after="0"/>
              <w:rPr>
                <w:rFonts w:eastAsia="Times New Roman" w:cs="Calibri"/>
                <w:color w:val="FF0000"/>
                <w:sz w:val="20"/>
                <w:szCs w:val="20"/>
                <w:lang w:eastAsia="sk-SK"/>
              </w:rPr>
            </w:pPr>
          </w:p>
        </w:tc>
        <w:tc>
          <w:tcPr>
            <w:tcW w:w="383" w:type="pct"/>
            <w:tcBorders>
              <w:top w:val="single" w:sz="4" w:space="0" w:color="auto"/>
              <w:left w:val="single" w:sz="4" w:space="0" w:color="auto"/>
              <w:bottom w:val="single" w:sz="4" w:space="0" w:color="auto"/>
              <w:right w:val="single" w:sz="4" w:space="0" w:color="auto"/>
            </w:tcBorders>
            <w:shd w:val="clear" w:color="auto" w:fill="FFC000"/>
            <w:noWrap/>
            <w:vAlign w:val="bottom"/>
          </w:tcPr>
          <w:p w14:paraId="1A3DC1FE" w14:textId="77777777" w:rsidR="00E66F49" w:rsidRPr="00666914" w:rsidRDefault="00E66F49" w:rsidP="00D27F91">
            <w:pPr>
              <w:spacing w:after="0"/>
              <w:jc w:val="center"/>
              <w:rPr>
                <w:rFonts w:eastAsia="Times New Roman" w:cs="Calibri"/>
                <w:color w:val="FF0000"/>
                <w:sz w:val="20"/>
                <w:szCs w:val="20"/>
                <w:lang w:eastAsia="sk-SK"/>
              </w:rPr>
            </w:pPr>
          </w:p>
        </w:tc>
      </w:tr>
      <w:tr w:rsidR="00E66F49" w:rsidRPr="00666914" w14:paraId="3F6947C0" w14:textId="77777777" w:rsidTr="00125230">
        <w:trPr>
          <w:trHeight w:val="315"/>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3683178D"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26</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5E2B59BB"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Všetky plánované investície rozpočtovať na úrovni investičných akcií</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01E4F26"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65CF3414"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priebežne</w:t>
            </w:r>
          </w:p>
        </w:tc>
        <w:tc>
          <w:tcPr>
            <w:tcW w:w="528" w:type="pct"/>
            <w:tcBorders>
              <w:top w:val="single" w:sz="4" w:space="0" w:color="auto"/>
              <w:left w:val="single" w:sz="4" w:space="0" w:color="auto"/>
              <w:bottom w:val="single" w:sz="4" w:space="0" w:color="auto"/>
              <w:right w:val="single" w:sz="4" w:space="0" w:color="auto"/>
            </w:tcBorders>
            <w:vAlign w:val="center"/>
          </w:tcPr>
          <w:p w14:paraId="590DC3D9"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82" w:type="pct"/>
            <w:tcBorders>
              <w:top w:val="single" w:sz="4" w:space="0" w:color="auto"/>
              <w:left w:val="single" w:sz="4" w:space="0" w:color="auto"/>
              <w:bottom w:val="single" w:sz="4" w:space="0" w:color="auto"/>
              <w:right w:val="single" w:sz="4" w:space="0" w:color="auto"/>
            </w:tcBorders>
            <w:shd w:val="clear" w:color="auto" w:fill="92D050"/>
            <w:noWrap/>
            <w:vAlign w:val="bottom"/>
          </w:tcPr>
          <w:p w14:paraId="001F3AD8" w14:textId="77777777" w:rsidR="00E66F49" w:rsidRPr="00666914" w:rsidRDefault="00E66F49" w:rsidP="00D27F91">
            <w:pPr>
              <w:spacing w:after="0"/>
              <w:rPr>
                <w:rFonts w:eastAsia="Times New Roman" w:cs="Calibri"/>
                <w:color w:val="000000"/>
                <w:sz w:val="20"/>
                <w:szCs w:val="20"/>
                <w:lang w:eastAsia="sk-SK"/>
              </w:rPr>
            </w:pPr>
          </w:p>
        </w:tc>
        <w:tc>
          <w:tcPr>
            <w:tcW w:w="382" w:type="pct"/>
            <w:tcBorders>
              <w:top w:val="single" w:sz="4" w:space="0" w:color="auto"/>
              <w:left w:val="single" w:sz="4" w:space="0" w:color="auto"/>
              <w:bottom w:val="single" w:sz="4" w:space="0" w:color="auto"/>
              <w:right w:val="single" w:sz="4" w:space="0" w:color="auto"/>
            </w:tcBorders>
            <w:shd w:val="clear" w:color="auto" w:fill="92D050"/>
            <w:noWrap/>
            <w:vAlign w:val="bottom"/>
          </w:tcPr>
          <w:p w14:paraId="4921303C" w14:textId="77777777" w:rsidR="00E66F49" w:rsidRPr="00666914" w:rsidRDefault="00E66F49" w:rsidP="00D27F91">
            <w:pPr>
              <w:spacing w:after="0"/>
              <w:rPr>
                <w:rFonts w:eastAsia="Times New Roman" w:cs="Calibri"/>
                <w:color w:val="FF0000"/>
                <w:sz w:val="20"/>
                <w:szCs w:val="20"/>
                <w:lang w:eastAsia="sk-SK"/>
              </w:rPr>
            </w:pPr>
          </w:p>
        </w:tc>
        <w:tc>
          <w:tcPr>
            <w:tcW w:w="382" w:type="pct"/>
            <w:tcBorders>
              <w:top w:val="single" w:sz="4" w:space="0" w:color="auto"/>
              <w:left w:val="single" w:sz="4" w:space="0" w:color="auto"/>
              <w:bottom w:val="single" w:sz="4" w:space="0" w:color="auto"/>
              <w:right w:val="single" w:sz="4" w:space="0" w:color="auto"/>
            </w:tcBorders>
            <w:shd w:val="clear" w:color="auto" w:fill="92D050"/>
            <w:noWrap/>
            <w:vAlign w:val="bottom"/>
          </w:tcPr>
          <w:p w14:paraId="19443761" w14:textId="77777777" w:rsidR="00E66F49" w:rsidRPr="00666914" w:rsidRDefault="00E66F49" w:rsidP="00D27F91">
            <w:pPr>
              <w:spacing w:after="0"/>
              <w:rPr>
                <w:rFonts w:eastAsia="Times New Roman" w:cs="Calibri"/>
                <w:color w:val="FF0000"/>
                <w:sz w:val="20"/>
                <w:szCs w:val="20"/>
                <w:lang w:eastAsia="sk-SK"/>
              </w:rPr>
            </w:pPr>
          </w:p>
        </w:tc>
        <w:tc>
          <w:tcPr>
            <w:tcW w:w="383" w:type="pct"/>
            <w:tcBorders>
              <w:top w:val="single" w:sz="4" w:space="0" w:color="auto"/>
              <w:left w:val="nil"/>
              <w:bottom w:val="single" w:sz="4" w:space="0" w:color="auto"/>
              <w:right w:val="single" w:sz="4" w:space="0" w:color="auto"/>
            </w:tcBorders>
            <w:shd w:val="clear" w:color="auto" w:fill="92D050"/>
            <w:noWrap/>
            <w:vAlign w:val="bottom"/>
          </w:tcPr>
          <w:p w14:paraId="690D5456" w14:textId="77777777" w:rsidR="00E66F49" w:rsidRPr="00666914" w:rsidRDefault="00E66F49" w:rsidP="00D27F91">
            <w:pPr>
              <w:spacing w:after="0"/>
              <w:jc w:val="center"/>
              <w:rPr>
                <w:rFonts w:eastAsia="Times New Roman" w:cs="Calibri"/>
                <w:color w:val="FF0000"/>
                <w:sz w:val="20"/>
                <w:szCs w:val="20"/>
                <w:lang w:eastAsia="sk-SK"/>
              </w:rPr>
            </w:pPr>
          </w:p>
        </w:tc>
      </w:tr>
      <w:tr w:rsidR="00E66F49" w:rsidRPr="00666914" w14:paraId="0FE7DD00" w14:textId="77777777" w:rsidTr="00125230">
        <w:trPr>
          <w:trHeight w:val="315"/>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44F268CA"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26</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22AAF7A2"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Všetky plánované investície rozpočtovať na úrovni investičných akcií</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3EACB0F"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SP</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317CC3AF"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priebežne</w:t>
            </w:r>
          </w:p>
        </w:tc>
        <w:tc>
          <w:tcPr>
            <w:tcW w:w="528" w:type="pct"/>
            <w:tcBorders>
              <w:top w:val="single" w:sz="4" w:space="0" w:color="auto"/>
              <w:left w:val="single" w:sz="4" w:space="0" w:color="auto"/>
              <w:bottom w:val="single" w:sz="4" w:space="0" w:color="auto"/>
              <w:right w:val="single" w:sz="4" w:space="0" w:color="auto"/>
            </w:tcBorders>
            <w:vAlign w:val="center"/>
          </w:tcPr>
          <w:p w14:paraId="1A6BE41F"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82"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381B410B" w14:textId="77777777" w:rsidR="00E66F49" w:rsidRPr="00666914" w:rsidRDefault="00E66F49" w:rsidP="00D27F91">
            <w:pPr>
              <w:spacing w:after="0"/>
              <w:rPr>
                <w:rFonts w:eastAsia="Times New Roman" w:cs="Calibri"/>
                <w:color w:val="000000"/>
                <w:sz w:val="20"/>
                <w:szCs w:val="20"/>
                <w:lang w:eastAsia="sk-SK"/>
              </w:rPr>
            </w:pP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089B1D4A" w14:textId="77777777" w:rsidR="00E66F49" w:rsidRPr="00666914" w:rsidRDefault="00E66F49" w:rsidP="00D27F91">
            <w:pPr>
              <w:spacing w:after="0"/>
              <w:rPr>
                <w:rFonts w:eastAsia="Times New Roman" w:cs="Calibri"/>
                <w:color w:val="FF0000"/>
                <w:sz w:val="20"/>
                <w:szCs w:val="20"/>
                <w:lang w:eastAsia="sk-SK"/>
              </w:rPr>
            </w:pP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41BF4EA3" w14:textId="77777777" w:rsidR="00E66F49" w:rsidRPr="00666914" w:rsidRDefault="00E66F49" w:rsidP="00D27F91">
            <w:pPr>
              <w:spacing w:after="0"/>
              <w:rPr>
                <w:rFonts w:eastAsia="Times New Roman" w:cs="Calibri"/>
                <w:color w:val="FF0000"/>
                <w:sz w:val="20"/>
                <w:szCs w:val="20"/>
                <w:lang w:eastAsia="sk-SK"/>
              </w:rPr>
            </w:pPr>
          </w:p>
        </w:tc>
        <w:tc>
          <w:tcPr>
            <w:tcW w:w="383"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6338AA3D" w14:textId="77777777" w:rsidR="00E66F49" w:rsidRPr="00666914" w:rsidRDefault="00E66F49" w:rsidP="00D27F91">
            <w:pPr>
              <w:spacing w:after="0"/>
              <w:jc w:val="center"/>
              <w:rPr>
                <w:rFonts w:eastAsia="Times New Roman" w:cs="Calibri"/>
                <w:color w:val="FF0000"/>
                <w:sz w:val="20"/>
                <w:szCs w:val="20"/>
                <w:lang w:eastAsia="sk-SK"/>
              </w:rPr>
            </w:pPr>
          </w:p>
        </w:tc>
      </w:tr>
      <w:tr w:rsidR="00E66F49" w:rsidRPr="00666914" w14:paraId="315D2987" w14:textId="77777777" w:rsidTr="00125230">
        <w:trPr>
          <w:trHeight w:val="315"/>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4D15FF9F"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27</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5FFC608F"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Pri spracovaní CBA riadiť sa platným Rámcom hodnotenia verejných investícií</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0113A11"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5FEDA27F"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priebežne</w:t>
            </w:r>
          </w:p>
        </w:tc>
        <w:tc>
          <w:tcPr>
            <w:tcW w:w="528" w:type="pct"/>
            <w:tcBorders>
              <w:top w:val="single" w:sz="4" w:space="0" w:color="auto"/>
              <w:left w:val="single" w:sz="4" w:space="0" w:color="auto"/>
              <w:bottom w:val="single" w:sz="4" w:space="0" w:color="auto"/>
              <w:right w:val="single" w:sz="4" w:space="0" w:color="auto"/>
            </w:tcBorders>
            <w:vAlign w:val="center"/>
          </w:tcPr>
          <w:p w14:paraId="3A7FD9F3"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82"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55D903C3" w14:textId="77777777" w:rsidR="00E66F49" w:rsidRPr="00666914" w:rsidRDefault="00E66F49" w:rsidP="00D27F91">
            <w:pPr>
              <w:spacing w:after="0"/>
              <w:rPr>
                <w:rFonts w:eastAsia="Times New Roman" w:cs="Calibri"/>
                <w:color w:val="000000"/>
                <w:sz w:val="20"/>
                <w:szCs w:val="20"/>
                <w:lang w:eastAsia="sk-SK"/>
              </w:rPr>
            </w:pPr>
          </w:p>
        </w:tc>
        <w:tc>
          <w:tcPr>
            <w:tcW w:w="382"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01722A6F" w14:textId="77777777" w:rsidR="00E66F49" w:rsidRPr="00666914" w:rsidRDefault="00E66F49" w:rsidP="00D27F91">
            <w:pPr>
              <w:spacing w:after="0"/>
              <w:rPr>
                <w:rFonts w:eastAsia="Times New Roman" w:cs="Calibri"/>
                <w:color w:val="FF0000"/>
                <w:sz w:val="20"/>
                <w:szCs w:val="20"/>
                <w:lang w:eastAsia="sk-SK"/>
              </w:rPr>
            </w:pP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13D28898" w14:textId="77777777" w:rsidR="00E66F49" w:rsidRPr="00666914" w:rsidRDefault="00E66F49" w:rsidP="00D27F91">
            <w:pPr>
              <w:spacing w:after="0"/>
              <w:rPr>
                <w:rFonts w:eastAsia="Times New Roman" w:cs="Calibri"/>
                <w:color w:val="FF0000"/>
                <w:sz w:val="20"/>
                <w:szCs w:val="20"/>
                <w:lang w:eastAsia="sk-SK"/>
              </w:rPr>
            </w:pPr>
          </w:p>
        </w:tc>
        <w:tc>
          <w:tcPr>
            <w:tcW w:w="383"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0ECEDF67" w14:textId="77777777" w:rsidR="00E66F49" w:rsidRPr="00666914" w:rsidRDefault="00E66F49" w:rsidP="00D27F91">
            <w:pPr>
              <w:spacing w:after="0"/>
              <w:jc w:val="center"/>
              <w:rPr>
                <w:rFonts w:eastAsia="Times New Roman" w:cs="Calibri"/>
                <w:color w:val="FF0000"/>
                <w:sz w:val="20"/>
                <w:szCs w:val="20"/>
                <w:lang w:eastAsia="sk-SK"/>
              </w:rPr>
            </w:pPr>
          </w:p>
        </w:tc>
      </w:tr>
      <w:tr w:rsidR="00E66F49" w:rsidRPr="00666914" w14:paraId="0E2FC916" w14:textId="77777777" w:rsidTr="00125230">
        <w:trPr>
          <w:trHeight w:val="315"/>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5E0EFD97"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27</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00236E60"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Pri spracovaní CBA riadiť sa platným Rámcom hodnotenia verejných investícií</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6A4E12DE"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SP</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5036BF1E"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priebežne</w:t>
            </w:r>
          </w:p>
        </w:tc>
        <w:tc>
          <w:tcPr>
            <w:tcW w:w="528" w:type="pct"/>
            <w:tcBorders>
              <w:top w:val="single" w:sz="4" w:space="0" w:color="auto"/>
              <w:left w:val="single" w:sz="4" w:space="0" w:color="auto"/>
              <w:bottom w:val="single" w:sz="4" w:space="0" w:color="auto"/>
              <w:right w:val="single" w:sz="4" w:space="0" w:color="auto"/>
            </w:tcBorders>
            <w:vAlign w:val="center"/>
          </w:tcPr>
          <w:p w14:paraId="5F4EBC69"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6A9EF22A" w14:textId="77777777" w:rsidR="00E66F49" w:rsidRPr="00666914" w:rsidRDefault="00E66F49" w:rsidP="00D27F91">
            <w:pPr>
              <w:spacing w:after="0"/>
              <w:rPr>
                <w:rFonts w:eastAsia="Times New Roman" w:cs="Calibri"/>
                <w:color w:val="000000"/>
                <w:sz w:val="20"/>
                <w:szCs w:val="20"/>
                <w:lang w:eastAsia="sk-SK"/>
              </w:rPr>
            </w:pPr>
          </w:p>
        </w:tc>
        <w:tc>
          <w:tcPr>
            <w:tcW w:w="382" w:type="pct"/>
            <w:tcBorders>
              <w:top w:val="single" w:sz="4" w:space="0" w:color="auto"/>
              <w:left w:val="single" w:sz="4" w:space="0" w:color="auto"/>
              <w:bottom w:val="single" w:sz="4" w:space="0" w:color="auto"/>
              <w:right w:val="single" w:sz="4" w:space="0" w:color="auto"/>
            </w:tcBorders>
            <w:shd w:val="clear" w:color="auto" w:fill="92D050"/>
            <w:noWrap/>
            <w:vAlign w:val="bottom"/>
          </w:tcPr>
          <w:p w14:paraId="6EBD3648" w14:textId="77777777" w:rsidR="00E66F49" w:rsidRPr="00666914" w:rsidRDefault="00E66F49" w:rsidP="00D27F91">
            <w:pPr>
              <w:spacing w:after="0"/>
              <w:rPr>
                <w:rFonts w:eastAsia="Times New Roman" w:cs="Calibri"/>
                <w:color w:val="FF0000"/>
                <w:sz w:val="20"/>
                <w:szCs w:val="20"/>
                <w:lang w:eastAsia="sk-SK"/>
              </w:rPr>
            </w:pP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6BD8601D" w14:textId="77777777" w:rsidR="00E66F49" w:rsidRPr="00666914" w:rsidRDefault="00E66F49" w:rsidP="00D27F91">
            <w:pPr>
              <w:spacing w:after="0"/>
              <w:rPr>
                <w:rFonts w:eastAsia="Times New Roman" w:cs="Calibri"/>
                <w:color w:val="FF0000"/>
                <w:sz w:val="20"/>
                <w:szCs w:val="20"/>
                <w:lang w:eastAsia="sk-SK"/>
              </w:rPr>
            </w:pPr>
          </w:p>
        </w:tc>
        <w:tc>
          <w:tcPr>
            <w:tcW w:w="383"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66EC3164" w14:textId="77777777" w:rsidR="00E66F49" w:rsidRPr="00666914" w:rsidRDefault="00E66F49" w:rsidP="00D27F91">
            <w:pPr>
              <w:spacing w:after="0"/>
              <w:jc w:val="center"/>
              <w:rPr>
                <w:rFonts w:eastAsia="Times New Roman" w:cs="Calibri"/>
                <w:color w:val="FF0000"/>
                <w:sz w:val="20"/>
                <w:szCs w:val="20"/>
                <w:lang w:eastAsia="sk-SK"/>
              </w:rPr>
            </w:pPr>
          </w:p>
        </w:tc>
      </w:tr>
      <w:tr w:rsidR="00E66F49" w:rsidRPr="00666914" w14:paraId="0014F596" w14:textId="77777777" w:rsidTr="001F4630">
        <w:trPr>
          <w:trHeight w:val="315"/>
        </w:trPr>
        <w:tc>
          <w:tcPr>
            <w:tcW w:w="230" w:type="pct"/>
            <w:tcBorders>
              <w:top w:val="single" w:sz="4" w:space="0" w:color="auto"/>
              <w:left w:val="single" w:sz="8" w:space="0" w:color="auto"/>
              <w:bottom w:val="single" w:sz="4" w:space="0" w:color="auto"/>
              <w:right w:val="single" w:sz="4" w:space="0" w:color="auto"/>
            </w:tcBorders>
            <w:shd w:val="clear" w:color="auto" w:fill="auto"/>
            <w:vAlign w:val="center"/>
          </w:tcPr>
          <w:p w14:paraId="5A41F8DA"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lastRenderedPageBreak/>
              <w:t>28</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2FF4B550"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Pre všetky investície nad 40 mil. eur vypracovať a zverejniť štúdiu uskutočniteľnosti a analýzu nákladov a prínosov</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59DC8A0A"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7CA88283"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priebežne</w:t>
            </w:r>
          </w:p>
        </w:tc>
        <w:tc>
          <w:tcPr>
            <w:tcW w:w="528" w:type="pct"/>
            <w:tcBorders>
              <w:top w:val="single" w:sz="4" w:space="0" w:color="auto"/>
              <w:left w:val="single" w:sz="4" w:space="0" w:color="auto"/>
              <w:bottom w:val="single" w:sz="4" w:space="0" w:color="auto"/>
              <w:right w:val="single" w:sz="4" w:space="0" w:color="auto"/>
            </w:tcBorders>
            <w:vAlign w:val="center"/>
          </w:tcPr>
          <w:p w14:paraId="67A3D678"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1367B59A" w14:textId="77777777" w:rsidR="00E66F49" w:rsidRPr="00666914" w:rsidRDefault="00E66F49" w:rsidP="00D27F91">
            <w:pPr>
              <w:spacing w:after="0"/>
              <w:rPr>
                <w:rFonts w:eastAsia="Times New Roman" w:cs="Calibri"/>
                <w:color w:val="000000"/>
                <w:sz w:val="20"/>
                <w:szCs w:val="20"/>
                <w:lang w:eastAsia="sk-SK"/>
              </w:rPr>
            </w:pP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0CAEA007" w14:textId="77777777" w:rsidR="00E66F49" w:rsidRPr="00666914" w:rsidRDefault="00E66F49" w:rsidP="00D27F91">
            <w:pPr>
              <w:spacing w:after="0"/>
              <w:rPr>
                <w:rFonts w:eastAsia="Times New Roman" w:cs="Calibri"/>
                <w:color w:val="FF0000"/>
                <w:sz w:val="20"/>
                <w:szCs w:val="20"/>
                <w:lang w:eastAsia="sk-SK"/>
              </w:rPr>
            </w:pP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223DE02C" w14:textId="77777777" w:rsidR="00E66F49" w:rsidRPr="00666914" w:rsidRDefault="00E66F49" w:rsidP="00D27F91">
            <w:pPr>
              <w:spacing w:after="0"/>
              <w:rPr>
                <w:rFonts w:eastAsia="Times New Roman" w:cs="Calibri"/>
                <w:color w:val="FF0000"/>
                <w:sz w:val="20"/>
                <w:szCs w:val="20"/>
                <w:lang w:eastAsia="sk-SK"/>
              </w:rPr>
            </w:pP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3ACDB13B" w14:textId="77777777" w:rsidR="00E66F49" w:rsidRPr="00666914" w:rsidRDefault="00E66F49" w:rsidP="00D27F91">
            <w:pPr>
              <w:spacing w:after="0"/>
              <w:jc w:val="center"/>
              <w:rPr>
                <w:rFonts w:eastAsia="Times New Roman" w:cs="Calibri"/>
                <w:color w:val="FF0000"/>
                <w:sz w:val="20"/>
                <w:szCs w:val="20"/>
                <w:lang w:eastAsia="sk-SK"/>
              </w:rPr>
            </w:pPr>
          </w:p>
        </w:tc>
      </w:tr>
      <w:tr w:rsidR="00E66F49" w:rsidRPr="00666914" w14:paraId="42AEDF31" w14:textId="77777777" w:rsidTr="001F4630">
        <w:trPr>
          <w:trHeight w:val="315"/>
        </w:trPr>
        <w:tc>
          <w:tcPr>
            <w:tcW w:w="230" w:type="pct"/>
            <w:tcBorders>
              <w:top w:val="single" w:sz="4" w:space="0" w:color="auto"/>
              <w:left w:val="single" w:sz="8" w:space="0" w:color="auto"/>
              <w:bottom w:val="single" w:sz="4" w:space="0" w:color="auto"/>
              <w:right w:val="single" w:sz="4" w:space="0" w:color="auto"/>
            </w:tcBorders>
            <w:shd w:val="clear" w:color="auto" w:fill="auto"/>
            <w:vAlign w:val="center"/>
          </w:tcPr>
          <w:p w14:paraId="3F1E241B"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28</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025BE486"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Pre všetky investície nad 40 mil. eur vypracovať a zverejniť štúdiu uskutočniteľnosti a analýzu nákladov a prínosov</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A5A9916"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SP</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20AFA183"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priebežne</w:t>
            </w:r>
          </w:p>
        </w:tc>
        <w:tc>
          <w:tcPr>
            <w:tcW w:w="528" w:type="pct"/>
            <w:tcBorders>
              <w:top w:val="single" w:sz="4" w:space="0" w:color="auto"/>
              <w:left w:val="single" w:sz="4" w:space="0" w:color="auto"/>
              <w:bottom w:val="single" w:sz="4" w:space="0" w:color="auto"/>
              <w:right w:val="single" w:sz="4" w:space="0" w:color="auto"/>
            </w:tcBorders>
            <w:vAlign w:val="center"/>
          </w:tcPr>
          <w:p w14:paraId="0CD3D1C5"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3523285E" w14:textId="77777777" w:rsidR="00E66F49" w:rsidRPr="00666914" w:rsidRDefault="00E66F49" w:rsidP="00D27F91">
            <w:pPr>
              <w:spacing w:after="0"/>
              <w:rPr>
                <w:rFonts w:eastAsia="Times New Roman" w:cs="Calibri"/>
                <w:color w:val="000000"/>
                <w:sz w:val="20"/>
                <w:szCs w:val="20"/>
                <w:lang w:eastAsia="sk-SK"/>
              </w:rPr>
            </w:pP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20D061A9" w14:textId="77777777" w:rsidR="00E66F49" w:rsidRPr="00666914" w:rsidRDefault="00E66F49" w:rsidP="00D27F91">
            <w:pPr>
              <w:spacing w:after="0"/>
              <w:rPr>
                <w:rFonts w:eastAsia="Times New Roman" w:cs="Calibri"/>
                <w:color w:val="FF0000"/>
                <w:sz w:val="20"/>
                <w:szCs w:val="20"/>
                <w:lang w:eastAsia="sk-SK"/>
              </w:rPr>
            </w:pP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753F5D1E" w14:textId="77777777" w:rsidR="00E66F49" w:rsidRPr="00666914" w:rsidRDefault="00E66F49" w:rsidP="00D27F91">
            <w:pPr>
              <w:spacing w:after="0"/>
              <w:rPr>
                <w:rFonts w:eastAsia="Times New Roman" w:cs="Calibri"/>
                <w:color w:val="FF0000"/>
                <w:sz w:val="20"/>
                <w:szCs w:val="20"/>
                <w:lang w:eastAsia="sk-SK"/>
              </w:rPr>
            </w:pPr>
          </w:p>
        </w:tc>
        <w:tc>
          <w:tcPr>
            <w:tcW w:w="382"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1AE4481A" w14:textId="77777777" w:rsidR="00E66F49" w:rsidRPr="00666914" w:rsidRDefault="00E66F49" w:rsidP="00D27F91">
            <w:pPr>
              <w:spacing w:after="0"/>
              <w:jc w:val="center"/>
              <w:rPr>
                <w:rFonts w:eastAsia="Times New Roman" w:cs="Calibri"/>
                <w:color w:val="FF0000"/>
                <w:sz w:val="20"/>
                <w:szCs w:val="20"/>
                <w:lang w:eastAsia="sk-SK"/>
              </w:rPr>
            </w:pPr>
          </w:p>
        </w:tc>
      </w:tr>
    </w:tbl>
    <w:p w14:paraId="49B53B29" w14:textId="77777777" w:rsidR="00E66F49" w:rsidRPr="00666914" w:rsidRDefault="00E66F49" w:rsidP="00D27F91">
      <w:pPr>
        <w:jc w:val="left"/>
      </w:pPr>
    </w:p>
    <w:p w14:paraId="7D409835" w14:textId="40D7211D" w:rsidR="006A46B6" w:rsidRPr="00666914" w:rsidRDefault="006A46B6" w:rsidP="001F4630">
      <w:pPr>
        <w:spacing w:after="0"/>
        <w:rPr>
          <w:rFonts w:eastAsiaTheme="minorHAnsi" w:cstheme="minorBidi"/>
          <w:b/>
          <w:sz w:val="20"/>
          <w:szCs w:val="20"/>
          <w:lang w:eastAsia="sk-SK"/>
        </w:rPr>
      </w:pPr>
      <w:bookmarkStart w:id="363" w:name="_Toc21522836"/>
      <w:bookmarkStart w:id="364" w:name="_Toc38447740"/>
      <w:r w:rsidRPr="00666914">
        <w:rPr>
          <w:rFonts w:eastAsiaTheme="minorHAnsi" w:cstheme="minorBidi"/>
          <w:b/>
          <w:sz w:val="20"/>
          <w:szCs w:val="20"/>
          <w:lang w:eastAsia="sk-SK"/>
        </w:rPr>
        <w:t xml:space="preserve">Tabuľka </w:t>
      </w:r>
      <w:r w:rsidRPr="00666914">
        <w:rPr>
          <w:rFonts w:eastAsiaTheme="minorHAnsi" w:cstheme="minorBidi"/>
          <w:b/>
          <w:sz w:val="20"/>
          <w:szCs w:val="20"/>
          <w:lang w:eastAsia="sk-SK"/>
        </w:rPr>
        <w:fldChar w:fldCharType="begin"/>
      </w:r>
      <w:r w:rsidRPr="00666914">
        <w:rPr>
          <w:rFonts w:eastAsiaTheme="minorHAnsi" w:cstheme="minorBidi"/>
          <w:b/>
          <w:sz w:val="20"/>
          <w:szCs w:val="20"/>
          <w:lang w:eastAsia="sk-SK"/>
        </w:rPr>
        <w:instrText xml:space="preserve"> SEQ Tabuľka \* ARABIC \* MERGEFORMAT </w:instrText>
      </w:r>
      <w:r w:rsidRPr="00666914">
        <w:rPr>
          <w:rFonts w:eastAsiaTheme="minorHAnsi" w:cstheme="minorBidi"/>
          <w:b/>
          <w:sz w:val="20"/>
          <w:szCs w:val="20"/>
          <w:lang w:eastAsia="sk-SK"/>
        </w:rPr>
        <w:fldChar w:fldCharType="separate"/>
      </w:r>
      <w:r w:rsidR="005A7304">
        <w:rPr>
          <w:rFonts w:eastAsiaTheme="minorHAnsi" w:cstheme="minorBidi"/>
          <w:b/>
          <w:noProof/>
          <w:sz w:val="20"/>
          <w:szCs w:val="20"/>
          <w:lang w:eastAsia="sk-SK"/>
        </w:rPr>
        <w:t>79</w:t>
      </w:r>
      <w:r w:rsidRPr="00666914">
        <w:rPr>
          <w:rFonts w:eastAsiaTheme="minorHAnsi" w:cstheme="minorBidi"/>
          <w:b/>
          <w:noProof/>
          <w:sz w:val="20"/>
          <w:szCs w:val="20"/>
          <w:lang w:eastAsia="sk-SK"/>
        </w:rPr>
        <w:fldChar w:fldCharType="end"/>
      </w:r>
      <w:r w:rsidRPr="00666914">
        <w:rPr>
          <w:rFonts w:eastAsiaTheme="minorHAnsi" w:cstheme="minorBidi"/>
          <w:b/>
          <w:sz w:val="20"/>
          <w:szCs w:val="20"/>
          <w:lang w:eastAsia="sk-SK"/>
        </w:rPr>
        <w:t>: Opatrenia Revízie výdavkov na politiky trhu práce a sociálne politiky splnené v roku 2018 alebo nehodnotené</w:t>
      </w:r>
      <w:bookmarkEnd w:id="363"/>
      <w:bookmarkEnd w:id="3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8"/>
        <w:gridCol w:w="2825"/>
        <w:gridCol w:w="1395"/>
        <w:gridCol w:w="977"/>
        <w:gridCol w:w="1117"/>
        <w:gridCol w:w="628"/>
        <w:gridCol w:w="628"/>
        <w:gridCol w:w="628"/>
        <w:gridCol w:w="628"/>
      </w:tblGrid>
      <w:tr w:rsidR="006A46B6" w:rsidRPr="00666914" w14:paraId="2EC82B69" w14:textId="77777777" w:rsidTr="00F81158">
        <w:trPr>
          <w:trHeight w:val="330"/>
        </w:trPr>
        <w:tc>
          <w:tcPr>
            <w:tcW w:w="205" w:type="pct"/>
            <w:shd w:val="clear" w:color="auto" w:fill="auto"/>
            <w:vAlign w:val="center"/>
            <w:hideMark/>
          </w:tcPr>
          <w:p w14:paraId="321C288F" w14:textId="77777777" w:rsidR="006A46B6" w:rsidRPr="00666914" w:rsidRDefault="006A46B6" w:rsidP="006A46B6">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1534" w:type="pct"/>
            <w:shd w:val="clear" w:color="auto" w:fill="auto"/>
            <w:noWrap/>
            <w:vAlign w:val="center"/>
            <w:hideMark/>
          </w:tcPr>
          <w:p w14:paraId="7D4CC0CD" w14:textId="77777777" w:rsidR="006A46B6" w:rsidRPr="00666914" w:rsidRDefault="006A46B6" w:rsidP="006A46B6">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Opatrenie</w:t>
            </w:r>
          </w:p>
        </w:tc>
        <w:tc>
          <w:tcPr>
            <w:tcW w:w="758" w:type="pct"/>
            <w:shd w:val="clear" w:color="auto" w:fill="auto"/>
            <w:noWrap/>
            <w:vAlign w:val="center"/>
            <w:hideMark/>
          </w:tcPr>
          <w:p w14:paraId="048D63EC" w14:textId="77777777" w:rsidR="006A46B6" w:rsidRPr="00666914" w:rsidRDefault="006A46B6" w:rsidP="006A46B6">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Zodpovednosť</w:t>
            </w:r>
          </w:p>
        </w:tc>
        <w:tc>
          <w:tcPr>
            <w:tcW w:w="531" w:type="pct"/>
            <w:shd w:val="clear" w:color="auto" w:fill="auto"/>
            <w:noWrap/>
            <w:vAlign w:val="center"/>
            <w:hideMark/>
          </w:tcPr>
          <w:p w14:paraId="3F3F1A7E" w14:textId="77777777" w:rsidR="006A46B6" w:rsidRPr="00666914" w:rsidRDefault="006A46B6" w:rsidP="006A46B6">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Termín plnenia</w:t>
            </w:r>
          </w:p>
        </w:tc>
        <w:tc>
          <w:tcPr>
            <w:tcW w:w="607" w:type="pct"/>
          </w:tcPr>
          <w:p w14:paraId="72E831BB" w14:textId="77777777" w:rsidR="006A46B6" w:rsidRPr="00666914" w:rsidRDefault="006A46B6" w:rsidP="006A46B6">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Nový termín plnenia</w:t>
            </w:r>
          </w:p>
        </w:tc>
        <w:tc>
          <w:tcPr>
            <w:tcW w:w="341" w:type="pct"/>
            <w:shd w:val="clear" w:color="auto" w:fill="auto"/>
            <w:noWrap/>
            <w:vAlign w:val="bottom"/>
            <w:hideMark/>
          </w:tcPr>
          <w:p w14:paraId="50C8CA98" w14:textId="77777777" w:rsidR="006A46B6" w:rsidRPr="00666914" w:rsidRDefault="006A46B6" w:rsidP="006A46B6">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1Q 2018</w:t>
            </w:r>
          </w:p>
        </w:tc>
        <w:tc>
          <w:tcPr>
            <w:tcW w:w="341" w:type="pct"/>
            <w:shd w:val="clear" w:color="auto" w:fill="auto"/>
            <w:noWrap/>
            <w:vAlign w:val="bottom"/>
            <w:hideMark/>
          </w:tcPr>
          <w:p w14:paraId="42110634" w14:textId="77777777" w:rsidR="006A46B6" w:rsidRPr="00666914" w:rsidRDefault="006A46B6" w:rsidP="006A46B6">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2Q 2018</w:t>
            </w:r>
          </w:p>
        </w:tc>
        <w:tc>
          <w:tcPr>
            <w:tcW w:w="341" w:type="pct"/>
            <w:shd w:val="clear" w:color="auto" w:fill="auto"/>
            <w:noWrap/>
            <w:vAlign w:val="bottom"/>
            <w:hideMark/>
          </w:tcPr>
          <w:p w14:paraId="2227E2B1" w14:textId="77777777" w:rsidR="006A46B6" w:rsidRPr="00666914" w:rsidRDefault="006A46B6" w:rsidP="006A46B6">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3Q 2018</w:t>
            </w:r>
          </w:p>
        </w:tc>
        <w:tc>
          <w:tcPr>
            <w:tcW w:w="341" w:type="pct"/>
            <w:shd w:val="clear" w:color="auto" w:fill="auto"/>
            <w:noWrap/>
            <w:vAlign w:val="bottom"/>
            <w:hideMark/>
          </w:tcPr>
          <w:p w14:paraId="6F30660E" w14:textId="77777777" w:rsidR="006A46B6" w:rsidRPr="00666914" w:rsidRDefault="006A46B6" w:rsidP="006A46B6">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4Q 2018</w:t>
            </w:r>
          </w:p>
        </w:tc>
      </w:tr>
      <w:tr w:rsidR="006A46B6" w:rsidRPr="00666914" w14:paraId="2A534982" w14:textId="77777777" w:rsidTr="00F81158">
        <w:trPr>
          <w:trHeight w:val="300"/>
        </w:trPr>
        <w:tc>
          <w:tcPr>
            <w:tcW w:w="205" w:type="pct"/>
            <w:shd w:val="clear" w:color="auto" w:fill="auto"/>
            <w:vAlign w:val="center"/>
            <w:hideMark/>
          </w:tcPr>
          <w:p w14:paraId="50362C97" w14:textId="77777777" w:rsidR="006A46B6" w:rsidRPr="00666914" w:rsidRDefault="006A46B6" w:rsidP="006A46B6">
            <w:pPr>
              <w:spacing w:after="0"/>
              <w:jc w:val="left"/>
              <w:rPr>
                <w:rFonts w:eastAsia="Times New Roman" w:cs="Calibri"/>
                <w:color w:val="000000"/>
                <w:sz w:val="20"/>
                <w:szCs w:val="20"/>
                <w:lang w:eastAsia="sk-SK"/>
              </w:rPr>
            </w:pPr>
          </w:p>
        </w:tc>
        <w:tc>
          <w:tcPr>
            <w:tcW w:w="1534" w:type="pct"/>
            <w:shd w:val="clear" w:color="auto" w:fill="auto"/>
            <w:vAlign w:val="center"/>
          </w:tcPr>
          <w:p w14:paraId="495987B4" w14:textId="77777777" w:rsidR="006A46B6" w:rsidRPr="00666914" w:rsidRDefault="006A46B6" w:rsidP="006A46B6">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Vyhodnotenie účinnosti zdravotnej odvodovej odpočítateľnej položky (OOP)</w:t>
            </w:r>
          </w:p>
        </w:tc>
        <w:tc>
          <w:tcPr>
            <w:tcW w:w="758" w:type="pct"/>
            <w:shd w:val="clear" w:color="auto" w:fill="auto"/>
            <w:vAlign w:val="center"/>
          </w:tcPr>
          <w:p w14:paraId="0AB7DEFC" w14:textId="77777777" w:rsidR="006A46B6" w:rsidRPr="00666914" w:rsidRDefault="006A46B6" w:rsidP="006A46B6">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MZ SR, MF SR,</w:t>
            </w:r>
          </w:p>
          <w:p w14:paraId="4AF20DD0" w14:textId="77777777" w:rsidR="006A46B6" w:rsidRPr="00666914" w:rsidRDefault="006A46B6" w:rsidP="006A46B6">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tc>
        <w:tc>
          <w:tcPr>
            <w:tcW w:w="531" w:type="pct"/>
            <w:shd w:val="clear" w:color="auto" w:fill="auto"/>
            <w:vAlign w:val="center"/>
          </w:tcPr>
          <w:p w14:paraId="4308BB1B" w14:textId="77777777" w:rsidR="006A46B6" w:rsidRPr="00666914" w:rsidRDefault="006A46B6" w:rsidP="006A46B6">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priebežne</w:t>
            </w:r>
          </w:p>
        </w:tc>
        <w:tc>
          <w:tcPr>
            <w:tcW w:w="607" w:type="pct"/>
            <w:vAlign w:val="center"/>
          </w:tcPr>
          <w:p w14:paraId="40FECCC8" w14:textId="77777777" w:rsidR="006A46B6" w:rsidRPr="00666914" w:rsidRDefault="006A46B6" w:rsidP="006A46B6">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41" w:type="pct"/>
            <w:shd w:val="clear" w:color="auto" w:fill="FFC000"/>
            <w:noWrap/>
            <w:vAlign w:val="bottom"/>
            <w:hideMark/>
          </w:tcPr>
          <w:p w14:paraId="0A02E38F" w14:textId="77777777" w:rsidR="006A46B6" w:rsidRPr="00666914" w:rsidRDefault="006A46B6" w:rsidP="006A46B6">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41" w:type="pct"/>
            <w:shd w:val="clear" w:color="auto" w:fill="92D050"/>
            <w:noWrap/>
            <w:vAlign w:val="bottom"/>
            <w:hideMark/>
          </w:tcPr>
          <w:p w14:paraId="2BE0A2B1" w14:textId="77777777" w:rsidR="006A46B6" w:rsidRPr="00666914" w:rsidRDefault="006A46B6" w:rsidP="006A46B6">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41" w:type="pct"/>
            <w:shd w:val="clear" w:color="auto" w:fill="92D050"/>
            <w:noWrap/>
            <w:vAlign w:val="bottom"/>
            <w:hideMark/>
          </w:tcPr>
          <w:p w14:paraId="63CE2D8D" w14:textId="77777777" w:rsidR="006A46B6" w:rsidRPr="00666914" w:rsidRDefault="006A46B6" w:rsidP="006A46B6">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41" w:type="pct"/>
            <w:shd w:val="clear" w:color="auto" w:fill="92D050"/>
            <w:noWrap/>
            <w:vAlign w:val="bottom"/>
            <w:hideMark/>
          </w:tcPr>
          <w:p w14:paraId="77B65E79" w14:textId="77777777" w:rsidR="006A46B6" w:rsidRPr="00666914" w:rsidRDefault="006A46B6" w:rsidP="006A46B6">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6A46B6" w:rsidRPr="00666914" w14:paraId="44987FB0" w14:textId="77777777" w:rsidTr="00F81158">
        <w:trPr>
          <w:trHeight w:val="300"/>
        </w:trPr>
        <w:tc>
          <w:tcPr>
            <w:tcW w:w="205" w:type="pct"/>
            <w:shd w:val="clear" w:color="auto" w:fill="auto"/>
            <w:vAlign w:val="center"/>
            <w:hideMark/>
          </w:tcPr>
          <w:p w14:paraId="5837DC50" w14:textId="77777777" w:rsidR="006A46B6" w:rsidRPr="00666914" w:rsidRDefault="006A46B6" w:rsidP="006A46B6">
            <w:pPr>
              <w:spacing w:after="0"/>
              <w:jc w:val="left"/>
              <w:rPr>
                <w:rFonts w:eastAsia="Times New Roman" w:cs="Calibri"/>
                <w:color w:val="000000"/>
                <w:sz w:val="20"/>
                <w:szCs w:val="20"/>
                <w:lang w:eastAsia="sk-SK"/>
              </w:rPr>
            </w:pPr>
          </w:p>
        </w:tc>
        <w:tc>
          <w:tcPr>
            <w:tcW w:w="1534" w:type="pct"/>
            <w:shd w:val="clear" w:color="auto" w:fill="auto"/>
            <w:vAlign w:val="center"/>
          </w:tcPr>
          <w:p w14:paraId="720BCBF7" w14:textId="77777777" w:rsidR="006A46B6" w:rsidRPr="00666914" w:rsidRDefault="006A46B6" w:rsidP="006A46B6">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Analýza opatrení podporujúcich efektívnejšie rozloženie úspor medzi triedami aktív v II. a III. pilieri dôchodkového sporenia</w:t>
            </w:r>
          </w:p>
        </w:tc>
        <w:tc>
          <w:tcPr>
            <w:tcW w:w="758" w:type="pct"/>
            <w:shd w:val="clear" w:color="auto" w:fill="auto"/>
            <w:vAlign w:val="center"/>
          </w:tcPr>
          <w:p w14:paraId="499CB9F1" w14:textId="77777777" w:rsidR="006A46B6" w:rsidRPr="00666914" w:rsidRDefault="006A46B6" w:rsidP="006A46B6">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p w14:paraId="1C962C18" w14:textId="77777777" w:rsidR="006A46B6" w:rsidRPr="00666914" w:rsidRDefault="006A46B6" w:rsidP="006A46B6">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MF SR</w:t>
            </w:r>
          </w:p>
        </w:tc>
        <w:tc>
          <w:tcPr>
            <w:tcW w:w="531" w:type="pct"/>
            <w:shd w:val="clear" w:color="auto" w:fill="auto"/>
            <w:vAlign w:val="center"/>
          </w:tcPr>
          <w:p w14:paraId="48264A84" w14:textId="77777777" w:rsidR="006A46B6" w:rsidRPr="00666914" w:rsidRDefault="006A46B6" w:rsidP="006A46B6">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12/2018</w:t>
            </w:r>
          </w:p>
        </w:tc>
        <w:tc>
          <w:tcPr>
            <w:tcW w:w="607" w:type="pct"/>
            <w:vAlign w:val="center"/>
          </w:tcPr>
          <w:p w14:paraId="000593D5" w14:textId="77777777" w:rsidR="006A46B6" w:rsidRPr="00666914" w:rsidRDefault="006A46B6" w:rsidP="006A46B6">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01/2019</w:t>
            </w:r>
          </w:p>
        </w:tc>
        <w:tc>
          <w:tcPr>
            <w:tcW w:w="341" w:type="pct"/>
            <w:shd w:val="clear" w:color="auto" w:fill="FFC000"/>
            <w:noWrap/>
            <w:vAlign w:val="bottom"/>
            <w:hideMark/>
          </w:tcPr>
          <w:p w14:paraId="7104F8BD" w14:textId="77777777" w:rsidR="006A46B6" w:rsidRPr="00666914" w:rsidRDefault="006A46B6" w:rsidP="006A46B6">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41" w:type="pct"/>
            <w:shd w:val="clear" w:color="auto" w:fill="FFC000"/>
            <w:noWrap/>
            <w:vAlign w:val="bottom"/>
            <w:hideMark/>
          </w:tcPr>
          <w:p w14:paraId="66C76ADD" w14:textId="77777777" w:rsidR="006A46B6" w:rsidRPr="00666914" w:rsidRDefault="006A46B6" w:rsidP="006A46B6">
            <w:pPr>
              <w:spacing w:after="0"/>
              <w:rPr>
                <w:rFonts w:eastAsia="Times New Roman" w:cs="Calibri"/>
                <w:color w:val="000000"/>
                <w:sz w:val="20"/>
                <w:szCs w:val="20"/>
                <w:lang w:eastAsia="sk-SK"/>
              </w:rPr>
            </w:pPr>
          </w:p>
        </w:tc>
        <w:tc>
          <w:tcPr>
            <w:tcW w:w="341" w:type="pct"/>
            <w:shd w:val="clear" w:color="auto" w:fill="FFC000"/>
            <w:noWrap/>
            <w:vAlign w:val="bottom"/>
            <w:hideMark/>
          </w:tcPr>
          <w:p w14:paraId="0B5B7FD3" w14:textId="77777777" w:rsidR="006A46B6" w:rsidRPr="00666914" w:rsidRDefault="006A46B6" w:rsidP="006A46B6">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41" w:type="pct"/>
            <w:shd w:val="clear" w:color="auto" w:fill="92D050"/>
            <w:noWrap/>
            <w:vAlign w:val="bottom"/>
            <w:hideMark/>
          </w:tcPr>
          <w:p w14:paraId="50436578" w14:textId="77777777" w:rsidR="006A46B6" w:rsidRPr="00666914" w:rsidRDefault="006A46B6" w:rsidP="006A46B6">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6A46B6" w:rsidRPr="00666914" w14:paraId="231E5166" w14:textId="77777777" w:rsidTr="00F81158">
        <w:trPr>
          <w:trHeight w:val="300"/>
        </w:trPr>
        <w:tc>
          <w:tcPr>
            <w:tcW w:w="205" w:type="pct"/>
            <w:shd w:val="clear" w:color="auto" w:fill="auto"/>
            <w:vAlign w:val="center"/>
          </w:tcPr>
          <w:p w14:paraId="29676DA3" w14:textId="77777777" w:rsidR="006A46B6" w:rsidRPr="00666914" w:rsidRDefault="006A46B6" w:rsidP="006A46B6">
            <w:pPr>
              <w:spacing w:after="0"/>
              <w:jc w:val="left"/>
              <w:rPr>
                <w:rFonts w:eastAsia="Times New Roman" w:cs="Calibri"/>
                <w:color w:val="000000"/>
                <w:sz w:val="20"/>
                <w:szCs w:val="20"/>
                <w:lang w:eastAsia="sk-SK"/>
              </w:rPr>
            </w:pPr>
          </w:p>
        </w:tc>
        <w:tc>
          <w:tcPr>
            <w:tcW w:w="1534" w:type="pct"/>
            <w:shd w:val="clear" w:color="auto" w:fill="auto"/>
            <w:vAlign w:val="center"/>
          </w:tcPr>
          <w:p w14:paraId="7FE5D2DD" w14:textId="77777777" w:rsidR="006A46B6" w:rsidRPr="00666914" w:rsidRDefault="006A46B6" w:rsidP="006A46B6">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Vyhodnotenie DEA analýzy pobočiek SP</w:t>
            </w:r>
            <w:r w:rsidRPr="00666914">
              <w:rPr>
                <w:rFonts w:eastAsia="Times New Roman" w:cs="Calibri"/>
                <w:color w:val="000000"/>
                <w:sz w:val="20"/>
                <w:szCs w:val="20"/>
                <w:vertAlign w:val="superscript"/>
                <w:lang w:eastAsia="sk-SK"/>
              </w:rPr>
              <w:footnoteReference w:id="328"/>
            </w:r>
          </w:p>
        </w:tc>
        <w:tc>
          <w:tcPr>
            <w:tcW w:w="758" w:type="pct"/>
            <w:shd w:val="clear" w:color="auto" w:fill="auto"/>
            <w:vAlign w:val="center"/>
          </w:tcPr>
          <w:p w14:paraId="2ED76185" w14:textId="77777777" w:rsidR="006A46B6" w:rsidRPr="00666914" w:rsidRDefault="006A46B6" w:rsidP="006A46B6">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SP, MF SR</w:t>
            </w:r>
          </w:p>
        </w:tc>
        <w:tc>
          <w:tcPr>
            <w:tcW w:w="531" w:type="pct"/>
            <w:shd w:val="clear" w:color="auto" w:fill="auto"/>
            <w:vAlign w:val="center"/>
          </w:tcPr>
          <w:p w14:paraId="17C50143" w14:textId="77777777" w:rsidR="006A46B6" w:rsidRPr="00666914" w:rsidRDefault="006A46B6" w:rsidP="006A46B6">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12/2018</w:t>
            </w:r>
          </w:p>
        </w:tc>
        <w:tc>
          <w:tcPr>
            <w:tcW w:w="607" w:type="pct"/>
            <w:vAlign w:val="center"/>
          </w:tcPr>
          <w:p w14:paraId="7BCE27ED" w14:textId="77777777" w:rsidR="006A46B6" w:rsidRPr="00666914" w:rsidRDefault="006A46B6" w:rsidP="006A46B6">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41" w:type="pct"/>
            <w:shd w:val="clear" w:color="auto" w:fill="A6A6A6" w:themeFill="background1" w:themeFillShade="A6"/>
            <w:noWrap/>
            <w:vAlign w:val="bottom"/>
          </w:tcPr>
          <w:p w14:paraId="2EDE9EF8" w14:textId="77777777" w:rsidR="006A46B6" w:rsidRPr="00666914" w:rsidRDefault="006A46B6" w:rsidP="006A46B6">
            <w:pPr>
              <w:spacing w:after="0"/>
              <w:rPr>
                <w:rFonts w:eastAsia="Times New Roman" w:cs="Calibri"/>
                <w:color w:val="000000"/>
                <w:sz w:val="20"/>
                <w:szCs w:val="20"/>
                <w:lang w:eastAsia="sk-SK"/>
              </w:rPr>
            </w:pPr>
          </w:p>
        </w:tc>
        <w:tc>
          <w:tcPr>
            <w:tcW w:w="341" w:type="pct"/>
            <w:shd w:val="clear" w:color="auto" w:fill="A6A6A6" w:themeFill="background1" w:themeFillShade="A6"/>
            <w:noWrap/>
            <w:vAlign w:val="bottom"/>
          </w:tcPr>
          <w:p w14:paraId="2D854AEA" w14:textId="77777777" w:rsidR="006A46B6" w:rsidRPr="00666914" w:rsidRDefault="006A46B6" w:rsidP="006A46B6">
            <w:pPr>
              <w:spacing w:after="0"/>
              <w:rPr>
                <w:rFonts w:eastAsia="Times New Roman" w:cs="Calibri"/>
                <w:color w:val="000000"/>
                <w:sz w:val="20"/>
                <w:szCs w:val="20"/>
                <w:lang w:eastAsia="sk-SK"/>
              </w:rPr>
            </w:pPr>
          </w:p>
        </w:tc>
        <w:tc>
          <w:tcPr>
            <w:tcW w:w="341" w:type="pct"/>
            <w:shd w:val="clear" w:color="auto" w:fill="A6A6A6" w:themeFill="background1" w:themeFillShade="A6"/>
            <w:noWrap/>
            <w:vAlign w:val="bottom"/>
          </w:tcPr>
          <w:p w14:paraId="6D97BD09" w14:textId="77777777" w:rsidR="006A46B6" w:rsidRPr="00666914" w:rsidRDefault="006A46B6" w:rsidP="006A46B6">
            <w:pPr>
              <w:spacing w:after="0"/>
              <w:rPr>
                <w:rFonts w:eastAsia="Times New Roman" w:cs="Calibri"/>
                <w:color w:val="000000"/>
                <w:sz w:val="20"/>
                <w:szCs w:val="20"/>
                <w:lang w:eastAsia="sk-SK"/>
              </w:rPr>
            </w:pPr>
          </w:p>
        </w:tc>
        <w:tc>
          <w:tcPr>
            <w:tcW w:w="341" w:type="pct"/>
            <w:shd w:val="clear" w:color="auto" w:fill="A6A6A6" w:themeFill="background1" w:themeFillShade="A6"/>
            <w:noWrap/>
            <w:vAlign w:val="bottom"/>
          </w:tcPr>
          <w:p w14:paraId="713BEDCA" w14:textId="77777777" w:rsidR="006A46B6" w:rsidRPr="00666914" w:rsidRDefault="006A46B6" w:rsidP="006A46B6">
            <w:pPr>
              <w:spacing w:after="0"/>
              <w:jc w:val="center"/>
              <w:rPr>
                <w:rFonts w:eastAsia="Times New Roman" w:cs="Calibri"/>
                <w:color w:val="000000"/>
                <w:sz w:val="20"/>
                <w:szCs w:val="20"/>
                <w:lang w:eastAsia="sk-SK"/>
              </w:rPr>
            </w:pPr>
          </w:p>
        </w:tc>
      </w:tr>
    </w:tbl>
    <w:p w14:paraId="5D258900" w14:textId="77777777" w:rsidR="006A46B6" w:rsidRPr="00666914" w:rsidRDefault="006A46B6" w:rsidP="006A46B6">
      <w:pPr>
        <w:jc w:val="left"/>
        <w:rPr>
          <w:rFonts w:eastAsiaTheme="minorHAnsi" w:cstheme="minorBidi"/>
          <w:b/>
          <w:sz w:val="20"/>
        </w:rPr>
      </w:pPr>
    </w:p>
    <w:p w14:paraId="48AB5E00" w14:textId="77777777" w:rsidR="00E66F49" w:rsidRPr="00666914" w:rsidRDefault="00E66F49" w:rsidP="00CD4715">
      <w:pPr>
        <w:jc w:val="left"/>
      </w:pPr>
    </w:p>
    <w:p w14:paraId="7141F220" w14:textId="77777777" w:rsidR="00E66F49" w:rsidRPr="00666914" w:rsidRDefault="00E66F49" w:rsidP="00CD4715">
      <w:pPr>
        <w:jc w:val="left"/>
      </w:pPr>
    </w:p>
    <w:p w14:paraId="09F2A473" w14:textId="77777777" w:rsidR="00E66F49" w:rsidRPr="00666914" w:rsidRDefault="00E66F49" w:rsidP="00CD4715">
      <w:pPr>
        <w:jc w:val="left"/>
      </w:pPr>
    </w:p>
    <w:p w14:paraId="3C9B75C4" w14:textId="77777777" w:rsidR="00E66F49" w:rsidRPr="00666914" w:rsidRDefault="00E66F49" w:rsidP="00CD4715">
      <w:pPr>
        <w:jc w:val="left"/>
      </w:pPr>
    </w:p>
    <w:p w14:paraId="3301BD91" w14:textId="77777777" w:rsidR="00E66F49" w:rsidRPr="00666914" w:rsidRDefault="00E66F49" w:rsidP="00CD4715">
      <w:pPr>
        <w:jc w:val="left"/>
      </w:pPr>
    </w:p>
    <w:p w14:paraId="64D22396" w14:textId="77777777" w:rsidR="00E66F49" w:rsidRPr="00666914" w:rsidRDefault="00E66F49" w:rsidP="00CD4715">
      <w:pPr>
        <w:jc w:val="left"/>
      </w:pPr>
    </w:p>
    <w:p w14:paraId="6CAC2F5F" w14:textId="77777777" w:rsidR="00E66F49" w:rsidRPr="00666914" w:rsidRDefault="00E66F49" w:rsidP="00CD4715">
      <w:pPr>
        <w:jc w:val="left"/>
      </w:pPr>
    </w:p>
    <w:p w14:paraId="24A22F59" w14:textId="77777777" w:rsidR="00E66F49" w:rsidRPr="00666914" w:rsidRDefault="00E66F49" w:rsidP="00CD4715">
      <w:pPr>
        <w:jc w:val="left"/>
      </w:pPr>
    </w:p>
    <w:p w14:paraId="7CFF2918" w14:textId="77777777" w:rsidR="00E66F49" w:rsidRPr="00666914" w:rsidRDefault="00E66F49" w:rsidP="00CD4715">
      <w:pPr>
        <w:jc w:val="left"/>
      </w:pPr>
    </w:p>
    <w:p w14:paraId="63D86DA9" w14:textId="77777777" w:rsidR="00E66F49" w:rsidRPr="00666914" w:rsidRDefault="00E66F49" w:rsidP="00CD4715">
      <w:pPr>
        <w:jc w:val="left"/>
      </w:pPr>
    </w:p>
    <w:p w14:paraId="00F3D4A0" w14:textId="77777777" w:rsidR="00E66F49" w:rsidRPr="00666914" w:rsidRDefault="00E66F49" w:rsidP="00CD4715">
      <w:pPr>
        <w:jc w:val="left"/>
      </w:pPr>
    </w:p>
    <w:p w14:paraId="2530A4A4" w14:textId="77777777" w:rsidR="00E66F49" w:rsidRPr="00666914" w:rsidRDefault="00E66F49" w:rsidP="00CD4715">
      <w:pPr>
        <w:jc w:val="left"/>
      </w:pPr>
    </w:p>
    <w:p w14:paraId="5628E8FE" w14:textId="77777777" w:rsidR="00E66F49" w:rsidRPr="00666914" w:rsidRDefault="00E66F49" w:rsidP="00CD4715">
      <w:pPr>
        <w:jc w:val="left"/>
      </w:pPr>
    </w:p>
    <w:p w14:paraId="7A7F2D34" w14:textId="77777777" w:rsidR="00E66F49" w:rsidRPr="00666914" w:rsidRDefault="00E66F49" w:rsidP="00CD4715">
      <w:pPr>
        <w:jc w:val="left"/>
      </w:pPr>
    </w:p>
    <w:p w14:paraId="7BF60CA3" w14:textId="77777777" w:rsidR="00E66F49" w:rsidRPr="00666914" w:rsidRDefault="00E66F49" w:rsidP="00CD4715">
      <w:pPr>
        <w:jc w:val="left"/>
      </w:pPr>
    </w:p>
    <w:p w14:paraId="294FC705" w14:textId="77777777" w:rsidR="00E66F49" w:rsidRPr="00666914" w:rsidRDefault="00E66F49" w:rsidP="00CD4715">
      <w:pPr>
        <w:jc w:val="left"/>
      </w:pPr>
    </w:p>
    <w:p w14:paraId="52002B44" w14:textId="77777777" w:rsidR="00E66F49" w:rsidRPr="00666914" w:rsidRDefault="00E66F49" w:rsidP="00CD4715">
      <w:pPr>
        <w:jc w:val="left"/>
      </w:pPr>
    </w:p>
    <w:p w14:paraId="6B88A0D9" w14:textId="77777777" w:rsidR="00E66F49" w:rsidRPr="00666914" w:rsidRDefault="00E66F49" w:rsidP="00D27F91">
      <w:pPr>
        <w:pStyle w:val="Nadpis2"/>
        <w:spacing w:after="120"/>
        <w:ind w:left="1066" w:hanging="357"/>
      </w:pPr>
      <w:bookmarkStart w:id="365" w:name="_Toc522861645"/>
      <w:bookmarkStart w:id="366" w:name="_Toc535322733"/>
      <w:bookmarkStart w:id="367" w:name="_Toc6321918"/>
      <w:bookmarkStart w:id="368" w:name="_Toc38447617"/>
      <w:r w:rsidRPr="00666914">
        <w:lastRenderedPageBreak/>
        <w:t>Rodinná politika</w:t>
      </w:r>
      <w:bookmarkEnd w:id="365"/>
      <w:bookmarkEnd w:id="366"/>
      <w:bookmarkEnd w:id="367"/>
      <w:bookmarkEnd w:id="3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2794"/>
        <w:gridCol w:w="1316"/>
        <w:gridCol w:w="884"/>
        <w:gridCol w:w="972"/>
        <w:gridCol w:w="694"/>
        <w:gridCol w:w="694"/>
        <w:gridCol w:w="694"/>
        <w:gridCol w:w="731"/>
      </w:tblGrid>
      <w:tr w:rsidR="00E66F49" w:rsidRPr="00666914" w14:paraId="08120FE0" w14:textId="77777777" w:rsidTr="00D27F91">
        <w:trPr>
          <w:trHeight w:val="330"/>
        </w:trPr>
        <w:tc>
          <w:tcPr>
            <w:tcW w:w="231" w:type="pct"/>
            <w:shd w:val="clear" w:color="auto" w:fill="auto"/>
            <w:vAlign w:val="center"/>
            <w:hideMark/>
          </w:tcPr>
          <w:p w14:paraId="738F9A2B"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1518" w:type="pct"/>
            <w:shd w:val="clear" w:color="auto" w:fill="auto"/>
            <w:noWrap/>
            <w:vAlign w:val="center"/>
            <w:hideMark/>
          </w:tcPr>
          <w:p w14:paraId="671A4ED7"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TRH PRÁCE A SOCIÁLNE POLITIKY</w:t>
            </w:r>
          </w:p>
        </w:tc>
        <w:tc>
          <w:tcPr>
            <w:tcW w:w="715" w:type="pct"/>
            <w:shd w:val="clear" w:color="auto" w:fill="auto"/>
            <w:noWrap/>
            <w:vAlign w:val="center"/>
            <w:hideMark/>
          </w:tcPr>
          <w:p w14:paraId="774F8B9B"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Zodpovednosť</w:t>
            </w:r>
          </w:p>
        </w:tc>
        <w:tc>
          <w:tcPr>
            <w:tcW w:w="480" w:type="pct"/>
            <w:shd w:val="clear" w:color="auto" w:fill="auto"/>
            <w:noWrap/>
            <w:vAlign w:val="center"/>
            <w:hideMark/>
          </w:tcPr>
          <w:p w14:paraId="41ABC307"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Termín plnenia</w:t>
            </w:r>
          </w:p>
        </w:tc>
        <w:tc>
          <w:tcPr>
            <w:tcW w:w="528" w:type="pct"/>
          </w:tcPr>
          <w:p w14:paraId="7565B7FC" w14:textId="2D6F0593" w:rsidR="00E66F49" w:rsidRPr="00666914" w:rsidRDefault="00E66F49" w:rsidP="005C16C0">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 xml:space="preserve">Nový termín plnenia </w:t>
            </w:r>
          </w:p>
        </w:tc>
        <w:tc>
          <w:tcPr>
            <w:tcW w:w="377" w:type="pct"/>
            <w:shd w:val="clear" w:color="auto" w:fill="auto"/>
            <w:noWrap/>
            <w:vAlign w:val="center"/>
            <w:hideMark/>
          </w:tcPr>
          <w:p w14:paraId="5A503395"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1Q 2019</w:t>
            </w:r>
          </w:p>
        </w:tc>
        <w:tc>
          <w:tcPr>
            <w:tcW w:w="377" w:type="pct"/>
            <w:shd w:val="clear" w:color="auto" w:fill="auto"/>
            <w:noWrap/>
            <w:vAlign w:val="center"/>
            <w:hideMark/>
          </w:tcPr>
          <w:p w14:paraId="51D7D0D7"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2Q 2019</w:t>
            </w:r>
          </w:p>
        </w:tc>
        <w:tc>
          <w:tcPr>
            <w:tcW w:w="377" w:type="pct"/>
            <w:shd w:val="clear" w:color="auto" w:fill="auto"/>
            <w:noWrap/>
            <w:vAlign w:val="center"/>
            <w:hideMark/>
          </w:tcPr>
          <w:p w14:paraId="5F73AFA8"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3Q 2019</w:t>
            </w:r>
          </w:p>
        </w:tc>
        <w:tc>
          <w:tcPr>
            <w:tcW w:w="397" w:type="pct"/>
            <w:shd w:val="clear" w:color="auto" w:fill="auto"/>
            <w:noWrap/>
            <w:vAlign w:val="center"/>
            <w:hideMark/>
          </w:tcPr>
          <w:p w14:paraId="74269AEB"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4Q 2019</w:t>
            </w:r>
          </w:p>
        </w:tc>
      </w:tr>
      <w:tr w:rsidR="00E66F49" w:rsidRPr="00666914" w14:paraId="58557DBB" w14:textId="77777777" w:rsidTr="00D27F91">
        <w:trPr>
          <w:trHeight w:val="300"/>
        </w:trPr>
        <w:tc>
          <w:tcPr>
            <w:tcW w:w="231" w:type="pct"/>
            <w:shd w:val="clear" w:color="auto" w:fill="auto"/>
            <w:vAlign w:val="center"/>
            <w:hideMark/>
          </w:tcPr>
          <w:p w14:paraId="6BEC6DEC"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1</w:t>
            </w:r>
          </w:p>
        </w:tc>
        <w:tc>
          <w:tcPr>
            <w:tcW w:w="1518" w:type="pct"/>
            <w:shd w:val="clear" w:color="auto" w:fill="auto"/>
            <w:vAlign w:val="center"/>
          </w:tcPr>
          <w:p w14:paraId="6841D524"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Preskúmanie možností lepšieho cielenia rodinných dávok</w:t>
            </w:r>
          </w:p>
        </w:tc>
        <w:tc>
          <w:tcPr>
            <w:tcW w:w="715" w:type="pct"/>
            <w:shd w:val="clear" w:color="auto" w:fill="auto"/>
            <w:vAlign w:val="center"/>
          </w:tcPr>
          <w:p w14:paraId="409AC130"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p w14:paraId="0BF212A0"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MF SR</w:t>
            </w:r>
          </w:p>
        </w:tc>
        <w:tc>
          <w:tcPr>
            <w:tcW w:w="480" w:type="pct"/>
            <w:shd w:val="clear" w:color="auto" w:fill="auto"/>
            <w:vAlign w:val="center"/>
          </w:tcPr>
          <w:p w14:paraId="60C142D7"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12/2018</w:t>
            </w:r>
          </w:p>
        </w:tc>
        <w:tc>
          <w:tcPr>
            <w:tcW w:w="528" w:type="pct"/>
            <w:vAlign w:val="center"/>
          </w:tcPr>
          <w:p w14:paraId="712E0D37"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06/2019</w:t>
            </w:r>
          </w:p>
        </w:tc>
        <w:tc>
          <w:tcPr>
            <w:tcW w:w="377" w:type="pct"/>
            <w:shd w:val="clear" w:color="auto" w:fill="FF0000"/>
            <w:noWrap/>
            <w:vAlign w:val="bottom"/>
            <w:hideMark/>
          </w:tcPr>
          <w:p w14:paraId="0EBDF264"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FF0000"/>
            <w:noWrap/>
            <w:vAlign w:val="bottom"/>
            <w:hideMark/>
          </w:tcPr>
          <w:p w14:paraId="2808A01A"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FF0000"/>
            <w:noWrap/>
            <w:vAlign w:val="bottom"/>
            <w:hideMark/>
          </w:tcPr>
          <w:p w14:paraId="6DF2BAA4"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97" w:type="pct"/>
            <w:shd w:val="clear" w:color="auto" w:fill="FF0000"/>
            <w:noWrap/>
            <w:vAlign w:val="bottom"/>
            <w:hideMark/>
          </w:tcPr>
          <w:p w14:paraId="13EF246F"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E66F49" w:rsidRPr="00666914" w14:paraId="432BC28D" w14:textId="77777777" w:rsidTr="00D27F91">
        <w:trPr>
          <w:trHeight w:val="300"/>
        </w:trPr>
        <w:tc>
          <w:tcPr>
            <w:tcW w:w="231" w:type="pct"/>
            <w:shd w:val="clear" w:color="auto" w:fill="auto"/>
            <w:vAlign w:val="center"/>
            <w:hideMark/>
          </w:tcPr>
          <w:p w14:paraId="62C54CBE"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2</w:t>
            </w:r>
          </w:p>
        </w:tc>
        <w:tc>
          <w:tcPr>
            <w:tcW w:w="1518" w:type="pct"/>
            <w:shd w:val="clear" w:color="auto" w:fill="auto"/>
            <w:vAlign w:val="center"/>
          </w:tcPr>
          <w:p w14:paraId="461DFEBF"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Zváženie zavedenia flexibilného čerpania rodičovského príspevku s možnosťou voliť si dĺžku jeho poberania</w:t>
            </w:r>
          </w:p>
        </w:tc>
        <w:tc>
          <w:tcPr>
            <w:tcW w:w="715" w:type="pct"/>
            <w:shd w:val="clear" w:color="auto" w:fill="auto"/>
            <w:vAlign w:val="center"/>
          </w:tcPr>
          <w:p w14:paraId="07C2CA8B"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tc>
        <w:tc>
          <w:tcPr>
            <w:tcW w:w="480" w:type="pct"/>
            <w:shd w:val="clear" w:color="auto" w:fill="auto"/>
            <w:vAlign w:val="center"/>
          </w:tcPr>
          <w:p w14:paraId="56E0F236"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12/2018</w:t>
            </w:r>
          </w:p>
        </w:tc>
        <w:tc>
          <w:tcPr>
            <w:tcW w:w="528" w:type="pct"/>
            <w:vAlign w:val="center"/>
          </w:tcPr>
          <w:p w14:paraId="0EB8F8E8"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06/2019</w:t>
            </w:r>
          </w:p>
        </w:tc>
        <w:tc>
          <w:tcPr>
            <w:tcW w:w="377" w:type="pct"/>
            <w:shd w:val="clear" w:color="auto" w:fill="FFC000"/>
            <w:noWrap/>
            <w:vAlign w:val="bottom"/>
            <w:hideMark/>
          </w:tcPr>
          <w:p w14:paraId="69319659"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FFC000"/>
            <w:noWrap/>
            <w:vAlign w:val="bottom"/>
            <w:hideMark/>
          </w:tcPr>
          <w:p w14:paraId="2E61CBC5"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FFC000"/>
            <w:noWrap/>
            <w:vAlign w:val="bottom"/>
            <w:hideMark/>
          </w:tcPr>
          <w:p w14:paraId="78D30C92"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97" w:type="pct"/>
            <w:shd w:val="clear" w:color="auto" w:fill="FFC000"/>
            <w:noWrap/>
            <w:vAlign w:val="bottom"/>
            <w:hideMark/>
          </w:tcPr>
          <w:p w14:paraId="53962C3B"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E66F49" w:rsidRPr="00666914" w14:paraId="4BD64E17" w14:textId="77777777" w:rsidTr="00D27F91">
        <w:trPr>
          <w:trHeight w:val="315"/>
        </w:trPr>
        <w:tc>
          <w:tcPr>
            <w:tcW w:w="231" w:type="pct"/>
            <w:shd w:val="clear" w:color="auto" w:fill="auto"/>
            <w:vAlign w:val="center"/>
            <w:hideMark/>
          </w:tcPr>
          <w:p w14:paraId="00D38361"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3</w:t>
            </w:r>
          </w:p>
        </w:tc>
        <w:tc>
          <w:tcPr>
            <w:tcW w:w="1518" w:type="pct"/>
            <w:shd w:val="clear" w:color="auto" w:fill="auto"/>
            <w:vAlign w:val="center"/>
          </w:tcPr>
          <w:p w14:paraId="4D63BFC8"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Deinštitucionalizácia náhradnej starostlivosti vykonávaná prioritne v náhradných rodinách</w:t>
            </w:r>
          </w:p>
        </w:tc>
        <w:tc>
          <w:tcPr>
            <w:tcW w:w="715" w:type="pct"/>
            <w:shd w:val="clear" w:color="auto" w:fill="auto"/>
            <w:vAlign w:val="center"/>
          </w:tcPr>
          <w:p w14:paraId="06C1478F"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tc>
        <w:tc>
          <w:tcPr>
            <w:tcW w:w="480" w:type="pct"/>
            <w:shd w:val="clear" w:color="auto" w:fill="auto"/>
            <w:vAlign w:val="center"/>
          </w:tcPr>
          <w:p w14:paraId="3FE2E71B"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12/2018</w:t>
            </w:r>
          </w:p>
        </w:tc>
        <w:tc>
          <w:tcPr>
            <w:tcW w:w="528" w:type="pct"/>
            <w:vAlign w:val="center"/>
          </w:tcPr>
          <w:p w14:paraId="7EC8CC73"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priebežne</w:t>
            </w:r>
          </w:p>
        </w:tc>
        <w:tc>
          <w:tcPr>
            <w:tcW w:w="377" w:type="pct"/>
            <w:shd w:val="clear" w:color="auto" w:fill="A6A6A6" w:themeFill="background1" w:themeFillShade="A6"/>
            <w:noWrap/>
            <w:vAlign w:val="bottom"/>
            <w:hideMark/>
          </w:tcPr>
          <w:p w14:paraId="78584937"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A6A6A6" w:themeFill="background1" w:themeFillShade="A6"/>
            <w:noWrap/>
            <w:vAlign w:val="bottom"/>
            <w:hideMark/>
          </w:tcPr>
          <w:p w14:paraId="6DFDC37B"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A6A6A6" w:themeFill="background1" w:themeFillShade="A6"/>
            <w:noWrap/>
            <w:vAlign w:val="bottom"/>
            <w:hideMark/>
          </w:tcPr>
          <w:p w14:paraId="3B41334E"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97" w:type="pct"/>
            <w:shd w:val="clear" w:color="auto" w:fill="FFC000"/>
            <w:noWrap/>
            <w:vAlign w:val="bottom"/>
            <w:hideMark/>
          </w:tcPr>
          <w:p w14:paraId="4F5A0749"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E66F49" w:rsidRPr="00666914" w14:paraId="02BDE7FB" w14:textId="77777777" w:rsidTr="00D27F91">
        <w:trPr>
          <w:trHeight w:val="300"/>
        </w:trPr>
        <w:tc>
          <w:tcPr>
            <w:tcW w:w="231" w:type="pct"/>
            <w:shd w:val="clear" w:color="auto" w:fill="auto"/>
            <w:vAlign w:val="center"/>
            <w:hideMark/>
          </w:tcPr>
          <w:p w14:paraId="777EA8A3"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4</w:t>
            </w:r>
          </w:p>
        </w:tc>
        <w:tc>
          <w:tcPr>
            <w:tcW w:w="1518" w:type="pct"/>
            <w:shd w:val="clear" w:color="auto" w:fill="auto"/>
            <w:vAlign w:val="center"/>
          </w:tcPr>
          <w:p w14:paraId="51185EB7"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Včasná intervencia detí s ťažkým zdravotným postihnutím a ich integrácia do normálneho vzdelávacieho procesu (NP Každé dieťa sa počíta)</w:t>
            </w:r>
          </w:p>
        </w:tc>
        <w:tc>
          <w:tcPr>
            <w:tcW w:w="715" w:type="pct"/>
            <w:shd w:val="clear" w:color="auto" w:fill="auto"/>
            <w:vAlign w:val="center"/>
          </w:tcPr>
          <w:p w14:paraId="2EF662BB"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tc>
        <w:tc>
          <w:tcPr>
            <w:tcW w:w="480" w:type="pct"/>
            <w:shd w:val="clear" w:color="auto" w:fill="auto"/>
            <w:vAlign w:val="center"/>
          </w:tcPr>
          <w:p w14:paraId="3D366804"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12/2018</w:t>
            </w:r>
          </w:p>
        </w:tc>
        <w:tc>
          <w:tcPr>
            <w:tcW w:w="528" w:type="pct"/>
            <w:vAlign w:val="center"/>
          </w:tcPr>
          <w:p w14:paraId="6B413140"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color w:val="000000"/>
                <w:sz w:val="20"/>
                <w:szCs w:val="20"/>
                <w:lang w:eastAsia="sk-SK"/>
              </w:rPr>
              <w:t>12/2019</w:t>
            </w:r>
          </w:p>
        </w:tc>
        <w:tc>
          <w:tcPr>
            <w:tcW w:w="377" w:type="pct"/>
            <w:shd w:val="clear" w:color="auto" w:fill="A6A6A6" w:themeFill="background1" w:themeFillShade="A6"/>
            <w:noWrap/>
            <w:vAlign w:val="bottom"/>
            <w:hideMark/>
          </w:tcPr>
          <w:p w14:paraId="3F0B4F3F"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c>
          <w:tcPr>
            <w:tcW w:w="377" w:type="pct"/>
            <w:shd w:val="clear" w:color="auto" w:fill="FFC000"/>
            <w:noWrap/>
            <w:vAlign w:val="bottom"/>
            <w:hideMark/>
          </w:tcPr>
          <w:p w14:paraId="2FEC0C6A"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c>
          <w:tcPr>
            <w:tcW w:w="377" w:type="pct"/>
            <w:shd w:val="clear" w:color="auto" w:fill="A6A6A6" w:themeFill="background1" w:themeFillShade="A6"/>
            <w:noWrap/>
            <w:vAlign w:val="bottom"/>
            <w:hideMark/>
          </w:tcPr>
          <w:p w14:paraId="0DA500E6"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c>
          <w:tcPr>
            <w:tcW w:w="397" w:type="pct"/>
            <w:shd w:val="clear" w:color="auto" w:fill="FFC000"/>
            <w:noWrap/>
            <w:vAlign w:val="bottom"/>
            <w:hideMark/>
          </w:tcPr>
          <w:p w14:paraId="0E20287C" w14:textId="77777777" w:rsidR="00E66F49" w:rsidRPr="00666914" w:rsidRDefault="00E66F49" w:rsidP="00D27F91">
            <w:pPr>
              <w:spacing w:after="0"/>
              <w:jc w:val="center"/>
              <w:rPr>
                <w:rFonts w:eastAsia="Times New Roman" w:cs="Calibri"/>
                <w:b/>
                <w:bCs/>
                <w:color w:val="000000"/>
                <w:sz w:val="20"/>
                <w:szCs w:val="20"/>
                <w:lang w:eastAsia="sk-SK"/>
              </w:rPr>
            </w:pPr>
          </w:p>
        </w:tc>
      </w:tr>
      <w:tr w:rsidR="00E66F49" w:rsidRPr="00666914" w14:paraId="3491361D" w14:textId="77777777" w:rsidTr="00D27F91">
        <w:trPr>
          <w:trHeight w:val="300"/>
        </w:trPr>
        <w:tc>
          <w:tcPr>
            <w:tcW w:w="231" w:type="pct"/>
            <w:shd w:val="clear" w:color="auto" w:fill="auto"/>
            <w:vAlign w:val="center"/>
          </w:tcPr>
          <w:p w14:paraId="4A792DDF"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5</w:t>
            </w:r>
          </w:p>
        </w:tc>
        <w:tc>
          <w:tcPr>
            <w:tcW w:w="1518" w:type="pct"/>
            <w:shd w:val="clear" w:color="auto" w:fill="auto"/>
            <w:vAlign w:val="center"/>
          </w:tcPr>
          <w:p w14:paraId="25E1ABDE"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Revízia výdavkov na skupiny osôb ohrozených sociálnym vylúčením</w:t>
            </w:r>
          </w:p>
        </w:tc>
        <w:tc>
          <w:tcPr>
            <w:tcW w:w="715" w:type="pct"/>
            <w:shd w:val="clear" w:color="auto" w:fill="auto"/>
            <w:vAlign w:val="center"/>
          </w:tcPr>
          <w:p w14:paraId="5D8B24AF"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MF SR, MPSVR SR, MŠVVaŠ, MV SR / Úrad splnomocnenca vlády SR pre rómske komunity</w:t>
            </w:r>
          </w:p>
        </w:tc>
        <w:tc>
          <w:tcPr>
            <w:tcW w:w="480" w:type="pct"/>
            <w:shd w:val="clear" w:color="auto" w:fill="auto"/>
            <w:vAlign w:val="center"/>
          </w:tcPr>
          <w:p w14:paraId="3E0B40E4"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12/2018</w:t>
            </w:r>
          </w:p>
        </w:tc>
        <w:tc>
          <w:tcPr>
            <w:tcW w:w="528" w:type="pct"/>
            <w:vAlign w:val="center"/>
          </w:tcPr>
          <w:p w14:paraId="50C53335"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03/2019</w:t>
            </w:r>
          </w:p>
        </w:tc>
        <w:tc>
          <w:tcPr>
            <w:tcW w:w="377" w:type="pct"/>
            <w:shd w:val="clear" w:color="auto" w:fill="FF0000"/>
            <w:noWrap/>
            <w:vAlign w:val="bottom"/>
          </w:tcPr>
          <w:p w14:paraId="384A63ED" w14:textId="77777777" w:rsidR="00E66F49" w:rsidRPr="00666914" w:rsidRDefault="00E66F49" w:rsidP="00D27F91">
            <w:pPr>
              <w:spacing w:after="0"/>
              <w:jc w:val="center"/>
              <w:rPr>
                <w:rFonts w:eastAsia="Times New Roman" w:cs="Calibri"/>
                <w:b/>
                <w:bCs/>
                <w:color w:val="000000"/>
                <w:sz w:val="20"/>
                <w:szCs w:val="20"/>
                <w:lang w:eastAsia="sk-SK"/>
              </w:rPr>
            </w:pPr>
          </w:p>
        </w:tc>
        <w:tc>
          <w:tcPr>
            <w:tcW w:w="377" w:type="pct"/>
            <w:shd w:val="clear" w:color="auto" w:fill="FFC000"/>
            <w:noWrap/>
            <w:vAlign w:val="bottom"/>
          </w:tcPr>
          <w:p w14:paraId="18E8559D" w14:textId="77777777" w:rsidR="00E66F49" w:rsidRPr="00666914" w:rsidRDefault="00E66F49" w:rsidP="00D27F91">
            <w:pPr>
              <w:spacing w:after="0"/>
              <w:jc w:val="center"/>
              <w:rPr>
                <w:rFonts w:eastAsia="Times New Roman" w:cs="Calibri"/>
                <w:b/>
                <w:bCs/>
                <w:color w:val="000000"/>
                <w:sz w:val="20"/>
                <w:szCs w:val="20"/>
                <w:lang w:eastAsia="sk-SK"/>
              </w:rPr>
            </w:pPr>
          </w:p>
        </w:tc>
        <w:tc>
          <w:tcPr>
            <w:tcW w:w="377" w:type="pct"/>
            <w:shd w:val="clear" w:color="auto" w:fill="FFC000"/>
            <w:noWrap/>
            <w:vAlign w:val="bottom"/>
          </w:tcPr>
          <w:p w14:paraId="24292BB3" w14:textId="77777777" w:rsidR="00E66F49" w:rsidRPr="00666914" w:rsidRDefault="00E66F49" w:rsidP="00D27F91">
            <w:pPr>
              <w:spacing w:after="0"/>
              <w:jc w:val="center"/>
              <w:rPr>
                <w:rFonts w:eastAsia="Times New Roman" w:cs="Calibri"/>
                <w:b/>
                <w:bCs/>
                <w:color w:val="000000"/>
                <w:sz w:val="20"/>
                <w:szCs w:val="20"/>
                <w:lang w:eastAsia="sk-SK"/>
              </w:rPr>
            </w:pPr>
          </w:p>
        </w:tc>
        <w:tc>
          <w:tcPr>
            <w:tcW w:w="397" w:type="pct"/>
            <w:shd w:val="clear" w:color="auto" w:fill="FFC000"/>
            <w:noWrap/>
            <w:vAlign w:val="bottom"/>
          </w:tcPr>
          <w:p w14:paraId="5A7E2653" w14:textId="77777777" w:rsidR="00E66F49" w:rsidRPr="00666914" w:rsidRDefault="00E66F49" w:rsidP="00D27F91">
            <w:pPr>
              <w:spacing w:after="0"/>
              <w:jc w:val="center"/>
              <w:rPr>
                <w:rFonts w:eastAsia="Times New Roman" w:cs="Calibri"/>
                <w:b/>
                <w:bCs/>
                <w:color w:val="000000"/>
                <w:sz w:val="20"/>
                <w:szCs w:val="20"/>
                <w:lang w:eastAsia="sk-SK"/>
              </w:rPr>
            </w:pPr>
          </w:p>
        </w:tc>
      </w:tr>
    </w:tbl>
    <w:p w14:paraId="41D5C8F5" w14:textId="77777777" w:rsidR="00E66F49" w:rsidRPr="00666914" w:rsidRDefault="00E66F49" w:rsidP="00CD4715">
      <w:pPr>
        <w:spacing w:after="0"/>
      </w:pPr>
    </w:p>
    <w:p w14:paraId="418B315A" w14:textId="77777777" w:rsidR="00E66F49" w:rsidRPr="00666914" w:rsidRDefault="00E66F49" w:rsidP="00131B23">
      <w:pPr>
        <w:numPr>
          <w:ilvl w:val="0"/>
          <w:numId w:val="7"/>
        </w:numPr>
        <w:spacing w:after="0"/>
        <w:contextualSpacing/>
        <w:rPr>
          <w:b/>
          <w:u w:val="single"/>
        </w:rPr>
      </w:pPr>
      <w:r w:rsidRPr="00666914">
        <w:rPr>
          <w:b/>
          <w:u w:val="single"/>
        </w:rPr>
        <w:t>Preskúmanie možností lepšieho cielenia rodinných dávok</w:t>
      </w:r>
    </w:p>
    <w:p w14:paraId="13F11514" w14:textId="77777777" w:rsidR="00E66F49" w:rsidRPr="00666914" w:rsidRDefault="00E66F49" w:rsidP="00CD4715">
      <w:pPr>
        <w:contextualSpacing/>
        <w:rPr>
          <w:b/>
          <w:u w:val="single"/>
        </w:rPr>
      </w:pPr>
    </w:p>
    <w:p w14:paraId="22C24967" w14:textId="659CB869" w:rsidR="00E66F49" w:rsidRPr="00666914" w:rsidRDefault="00E66F49" w:rsidP="00D27F91">
      <w:r w:rsidRPr="00666914">
        <w:t xml:space="preserve">Analýza možnosti zvýšenia adresnosti rodinných dávok nebola ani do 12/2019 vypracovaná. MPSVR SR žiadalo ešte koncom roka 2018 MF SR o stanovisko k tejto úlohe, na ktoré počas roka 2019 nedostalo odpoveď. </w:t>
      </w:r>
    </w:p>
    <w:p w14:paraId="1286C38C" w14:textId="399C1454" w:rsidR="00E66F49" w:rsidRPr="00666914" w:rsidRDefault="00E66F49" w:rsidP="00D27F91">
      <w:pPr>
        <w:spacing w:after="0"/>
        <w:rPr>
          <w:b/>
        </w:rPr>
      </w:pPr>
      <w:r w:rsidRPr="00666914">
        <w:rPr>
          <w:b/>
        </w:rPr>
        <w:t>Opatrenie sa k 31.12.2019 neplní.</w:t>
      </w:r>
    </w:p>
    <w:p w14:paraId="57087E24" w14:textId="77777777" w:rsidR="00E66F49" w:rsidRPr="00666914" w:rsidRDefault="00E66F49" w:rsidP="00D27F91">
      <w:pPr>
        <w:spacing w:after="0"/>
        <w:rPr>
          <w:b/>
        </w:rPr>
      </w:pPr>
    </w:p>
    <w:p w14:paraId="7BDC1253" w14:textId="0987BF41" w:rsidR="00E66F49" w:rsidRPr="00666914" w:rsidRDefault="00E66F49" w:rsidP="003609EA">
      <w:pPr>
        <w:spacing w:before="240"/>
        <w:contextualSpacing/>
      </w:pPr>
      <w:r w:rsidRPr="00666914">
        <w:rPr>
          <w:b/>
        </w:rPr>
        <w:t xml:space="preserve">Odporúčanie IJ: </w:t>
      </w:r>
      <w:r w:rsidRPr="00666914">
        <w:t>Opätovne požiadať MF SR o stanovisko k účelnosti tohto opatrenia.</w:t>
      </w:r>
    </w:p>
    <w:p w14:paraId="62C6F2E3" w14:textId="77777777" w:rsidR="00E66F49" w:rsidRPr="00666914" w:rsidRDefault="00E66F49" w:rsidP="00CD4715">
      <w:pPr>
        <w:contextualSpacing/>
        <w:rPr>
          <w:b/>
          <w:color w:val="C45911" w:themeColor="accent2" w:themeShade="BF"/>
        </w:rPr>
      </w:pPr>
    </w:p>
    <w:p w14:paraId="0560E05C" w14:textId="77777777" w:rsidR="00E66F49" w:rsidRPr="00666914" w:rsidRDefault="00E66F49" w:rsidP="00131B23">
      <w:pPr>
        <w:numPr>
          <w:ilvl w:val="0"/>
          <w:numId w:val="7"/>
        </w:numPr>
        <w:spacing w:after="0"/>
        <w:ind w:left="714" w:hanging="357"/>
        <w:contextualSpacing/>
        <w:rPr>
          <w:b/>
          <w:u w:val="single"/>
        </w:rPr>
      </w:pPr>
      <w:r w:rsidRPr="00666914">
        <w:rPr>
          <w:b/>
          <w:u w:val="single"/>
        </w:rPr>
        <w:t>Zváženie zavedenia flexibilného čerpania rodičovského príspevku s možnosťou voliť si dĺžku jeho poberania</w:t>
      </w:r>
    </w:p>
    <w:p w14:paraId="708BE07E" w14:textId="77777777" w:rsidR="00E66F49" w:rsidRPr="00666914" w:rsidRDefault="00E66F49" w:rsidP="00173DD5">
      <w:pPr>
        <w:spacing w:after="0"/>
      </w:pPr>
    </w:p>
    <w:p w14:paraId="41302F05" w14:textId="39F6CFD2" w:rsidR="00E66F49" w:rsidRPr="00666914" w:rsidRDefault="00E66F49" w:rsidP="00D27F91">
      <w:r w:rsidRPr="00666914">
        <w:t xml:space="preserve">V roku 2018 vyjadril analytický útvar ministerstva (ISP) v analýze </w:t>
      </w:r>
      <w:r w:rsidRPr="00666914">
        <w:rPr>
          <w:i/>
        </w:rPr>
        <w:t xml:space="preserve">Zamestnanosť žien a rodinné politiky </w:t>
      </w:r>
      <w:r w:rsidRPr="00666914">
        <w:t>stanovisko, že zavedenie možnosti voľby dĺžky poberania rodičovského príspevku by sa dotklo najmä žien s vyšším príjmom, ktoré sa už v súčasnosti vracajú na trh práce rýchlejšie. Vzhľadom na interný charakter analýzy ISP</w:t>
      </w:r>
      <w:r w:rsidRPr="00666914">
        <w:rPr>
          <w:rStyle w:val="Odkaznapoznmkupodiarou"/>
        </w:rPr>
        <w:footnoteReference w:id="329"/>
      </w:r>
      <w:r w:rsidRPr="00666914">
        <w:t>, IJ vyzvala počas roka 2019 MPSVR SR o zaslanie oficiálneho stanoviska k zavedeniu flexibilného čerpania RP, ktoré však do 12/2019 nedostala.</w:t>
      </w:r>
    </w:p>
    <w:p w14:paraId="7088A65C" w14:textId="77777777" w:rsidR="00E66F49" w:rsidRPr="00666914" w:rsidRDefault="00E66F49" w:rsidP="00D27F91">
      <w:r w:rsidRPr="00666914">
        <w:rPr>
          <w:b/>
        </w:rPr>
        <w:t>Podmienky poskytovania rodičovského príspevku sa aj napriek nejasnému stanovisku ministerstva k jeho flexibilnému poberaniu od roku 2020 zmenili.</w:t>
      </w:r>
      <w:r w:rsidRPr="00666914">
        <w:t xml:space="preserve"> V 3Q2019 bol schválený poslanecký návrh novely zákona č. 571/2009 Z. z. o rodičovskom príspevku, ktorým sa od 1.1.2020 zvýšila suma rodičovského príspevku</w:t>
      </w:r>
      <w:r w:rsidRPr="00666914">
        <w:rPr>
          <w:rStyle w:val="Odkaznapoznmkupodiarou"/>
        </w:rPr>
        <w:footnoteReference w:id="330"/>
      </w:r>
      <w:r w:rsidRPr="00666914">
        <w:t>. Rodičia, ktorí poberali po narodení dieťaťa materské, dostávajú mesačne 370 eur, v prípade ostatných rodičov ide o čiastku 270 eur. V PIS 2019 IJ poukázala na chýbajúcu analýzu k poslaneckému návrhu, ktorý by jasne preukázal účel legislatívnej úpravy. Okrem samotnej analýzy chýbalo aj definovanie dopadu na poberanie príspevku na starostlivosť o dieťa, ktorý je dnes financovaný z eurofondov a vzhľadom na jeho výšku (do 280 eur) stráca svoj význam.</w:t>
      </w:r>
    </w:p>
    <w:p w14:paraId="45630591" w14:textId="3D0C46A1" w:rsidR="00E66F49" w:rsidRPr="00666914" w:rsidRDefault="00E66F49" w:rsidP="00D27F91">
      <w:pPr>
        <w:spacing w:line="276" w:lineRule="auto"/>
        <w:rPr>
          <w:b/>
        </w:rPr>
      </w:pPr>
      <w:r w:rsidRPr="00666914">
        <w:lastRenderedPageBreak/>
        <w:t>Opatrenie</w:t>
      </w:r>
      <w:r w:rsidRPr="00666914" w:rsidDel="0005632C">
        <w:t xml:space="preserve"> </w:t>
      </w:r>
      <w:r w:rsidRPr="00666914">
        <w:t xml:space="preserve">sa </w:t>
      </w:r>
      <w:r w:rsidRPr="00666914">
        <w:rPr>
          <w:b/>
        </w:rPr>
        <w:t>k 31.12.2019 plní čiastočne.</w:t>
      </w:r>
    </w:p>
    <w:p w14:paraId="692F4997" w14:textId="51665732" w:rsidR="00E66F49" w:rsidRPr="00666914" w:rsidRDefault="00E66F49" w:rsidP="0001535E">
      <w:r w:rsidRPr="00666914">
        <w:rPr>
          <w:b/>
        </w:rPr>
        <w:t>Odporúčanie IJ:</w:t>
      </w:r>
      <w:r w:rsidRPr="00666914">
        <w:t xml:space="preserve"> Zaslať IJ oficiálne stanovisko MPSVR SR k možnosti zavedenia voliteľnej dĺžky poberania rodičovského príspevku vrátane celkovej stratégie podpory rodinnej politiky. IJ odporúča MPSVR SR vypracovať do 12/2020 posúdenie dopadov schválenia konceptu dvojúrovňového rodičovského príspevku (napr. aj na osoby so zdravotným postihnutím</w:t>
      </w:r>
      <w:r w:rsidRPr="00666914">
        <w:rPr>
          <w:rStyle w:val="Odkaznapoznmkupodiarou"/>
        </w:rPr>
        <w:footnoteReference w:id="331"/>
      </w:r>
      <w:r w:rsidRPr="00666914">
        <w:t>).</w:t>
      </w:r>
    </w:p>
    <w:p w14:paraId="562704A4" w14:textId="77777777" w:rsidR="00E66F49" w:rsidRPr="00666914" w:rsidRDefault="00E66F49" w:rsidP="00131B23">
      <w:pPr>
        <w:numPr>
          <w:ilvl w:val="0"/>
          <w:numId w:val="7"/>
        </w:numPr>
        <w:spacing w:after="0"/>
        <w:ind w:left="714" w:hanging="357"/>
        <w:contextualSpacing/>
        <w:rPr>
          <w:b/>
          <w:u w:val="single"/>
        </w:rPr>
      </w:pPr>
      <w:r w:rsidRPr="00666914">
        <w:rPr>
          <w:b/>
          <w:u w:val="single"/>
        </w:rPr>
        <w:t>Deinštitucionalizácia náhradnej starostlivosti vykonávaná prioritne v náhradných rodinách</w:t>
      </w:r>
    </w:p>
    <w:p w14:paraId="31E9EFCE" w14:textId="77777777" w:rsidR="00E66F49" w:rsidRPr="00666914" w:rsidRDefault="00E66F49" w:rsidP="00CD4715">
      <w:pPr>
        <w:contextualSpacing/>
        <w:rPr>
          <w:b/>
          <w:u w:val="single"/>
        </w:rPr>
      </w:pPr>
    </w:p>
    <w:p w14:paraId="76A17EB6" w14:textId="77777777" w:rsidR="00E66F49" w:rsidRPr="00666914" w:rsidRDefault="00E66F49" w:rsidP="00D27F91">
      <w:r w:rsidRPr="00666914">
        <w:t>Na základe schválenej Stratégie deinštitucionalizácie systému sociálnych služieb a náhradnej starostlivosti v Slovenskej republike</w:t>
      </w:r>
      <w:r w:rsidRPr="00666914">
        <w:rPr>
          <w:rStyle w:val="Odkaznapoznmkupodiarou"/>
        </w:rPr>
        <w:footnoteReference w:id="332"/>
      </w:r>
      <w:r w:rsidRPr="00666914">
        <w:rPr>
          <w:rStyle w:val="Odkaznapoznmkupodiarou"/>
        </w:rPr>
        <w:t xml:space="preserve"> </w:t>
      </w:r>
      <w:r w:rsidRPr="00666914">
        <w:t>realizuje MPSVR SR okrem legislatívnych úprav</w:t>
      </w:r>
      <w:r w:rsidRPr="00666914">
        <w:rPr>
          <w:rStyle w:val="Odkaznapoznmkupodiarou"/>
        </w:rPr>
        <w:footnoteReference w:id="333"/>
      </w:r>
      <w:r w:rsidRPr="00666914">
        <w:t xml:space="preserve"> aj opatrenia prostredníctvom Národných projektov (NP) financovaných z EŠIF. Počas roka 2019 sa realizovali  2 projekty - NP „Podpora deinštitucionalizácie náhradnej starostlivosti v zariadeniach</w:t>
      </w:r>
      <w:r w:rsidRPr="00666914">
        <w:rPr>
          <w:rStyle w:val="Odkaznapoznmkupodiarou"/>
        </w:rPr>
        <w:footnoteReference w:id="334"/>
      </w:r>
      <w:r w:rsidRPr="00666914">
        <w:t>“ (NP DEI NS) a NP „Podpora deinštitucionalizácie náhradnej starostlivosti</w:t>
      </w:r>
      <w:r w:rsidRPr="00666914">
        <w:rPr>
          <w:rStyle w:val="Odkaznapoznmkupodiarou"/>
        </w:rPr>
        <w:footnoteReference w:id="335"/>
      </w:r>
      <w:r w:rsidRPr="00666914">
        <w:t>“ (NP DEI NS III).</w:t>
      </w:r>
    </w:p>
    <w:p w14:paraId="2C86F3E5" w14:textId="29A9C97A" w:rsidR="00E66F49" w:rsidRPr="00666914" w:rsidRDefault="00E66F49" w:rsidP="00D27F91">
      <w:r w:rsidRPr="00666914">
        <w:rPr>
          <w:b/>
        </w:rPr>
        <w:t xml:space="preserve">Podiel detí vychovávaných mimo vlastnej rodiny </w:t>
      </w:r>
      <w:r w:rsidRPr="00666914">
        <w:t>sa počas posledných rokov pohybuje na úrovni</w:t>
      </w:r>
      <w:r w:rsidRPr="00666914">
        <w:rPr>
          <w:b/>
        </w:rPr>
        <w:t xml:space="preserve"> 1,31 </w:t>
      </w:r>
      <w:r w:rsidRPr="00666914">
        <w:t xml:space="preserve">% z celkového počtu detí (tabuľka </w:t>
      </w:r>
      <w:r w:rsidR="00EB2C64" w:rsidRPr="00666914">
        <w:t>80</w:t>
      </w:r>
      <w:r w:rsidRPr="00666914">
        <w:t>), pričom v roku 2019 dosiahol najnižšiu hodnotu (1,29 %).</w:t>
      </w:r>
    </w:p>
    <w:tbl>
      <w:tblPr>
        <w:tblW w:w="5000" w:type="pct"/>
        <w:tblCellMar>
          <w:left w:w="70" w:type="dxa"/>
          <w:right w:w="70" w:type="dxa"/>
        </w:tblCellMar>
        <w:tblLook w:val="04A0" w:firstRow="1" w:lastRow="0" w:firstColumn="1" w:lastColumn="0" w:noHBand="0" w:noVBand="1"/>
      </w:tblPr>
      <w:tblGrid>
        <w:gridCol w:w="2360"/>
        <w:gridCol w:w="922"/>
        <w:gridCol w:w="848"/>
        <w:gridCol w:w="848"/>
        <w:gridCol w:w="848"/>
        <w:gridCol w:w="848"/>
        <w:gridCol w:w="848"/>
        <w:gridCol w:w="848"/>
        <w:gridCol w:w="844"/>
      </w:tblGrid>
      <w:tr w:rsidR="00E66F49" w:rsidRPr="00666914" w14:paraId="4644698E" w14:textId="77777777" w:rsidTr="00D27F91">
        <w:trPr>
          <w:trHeight w:val="255"/>
        </w:trPr>
        <w:tc>
          <w:tcPr>
            <w:tcW w:w="4080" w:type="pct"/>
            <w:gridSpan w:val="7"/>
            <w:tcBorders>
              <w:top w:val="nil"/>
              <w:left w:val="nil"/>
              <w:bottom w:val="nil"/>
              <w:right w:val="nil"/>
            </w:tcBorders>
            <w:shd w:val="clear" w:color="auto" w:fill="auto"/>
            <w:noWrap/>
            <w:vAlign w:val="center"/>
            <w:hideMark/>
          </w:tcPr>
          <w:p w14:paraId="504761B2" w14:textId="6215AFC1" w:rsidR="00E66F49" w:rsidRPr="00666914" w:rsidRDefault="00E66F49" w:rsidP="00D27F91">
            <w:pPr>
              <w:spacing w:after="0"/>
              <w:jc w:val="left"/>
              <w:rPr>
                <w:rFonts w:eastAsia="Times New Roman" w:cs="Calibri"/>
                <w:b/>
                <w:bCs/>
                <w:color w:val="000000"/>
                <w:sz w:val="20"/>
                <w:szCs w:val="20"/>
                <w:lang w:eastAsia="sk-SK"/>
              </w:rPr>
            </w:pPr>
            <w:bookmarkStart w:id="369" w:name="_Toc38447741"/>
            <w:r w:rsidRPr="00666914">
              <w:rPr>
                <w:rFonts w:eastAsia="Times New Roman" w:cs="Calibri"/>
                <w:b/>
                <w:bCs/>
                <w:color w:val="000000"/>
                <w:sz w:val="20"/>
                <w:szCs w:val="20"/>
                <w:lang w:eastAsia="sk-SK"/>
              </w:rPr>
              <w:t xml:space="preserve">Tabuľka </w:t>
            </w:r>
            <w:r w:rsidRPr="00666914">
              <w:rPr>
                <w:rFonts w:eastAsia="Times New Roman" w:cs="Calibri"/>
                <w:b/>
                <w:bCs/>
                <w:color w:val="000000"/>
                <w:sz w:val="20"/>
                <w:szCs w:val="20"/>
                <w:lang w:eastAsia="sk-SK"/>
              </w:rPr>
              <w:fldChar w:fldCharType="begin"/>
            </w:r>
            <w:r w:rsidRPr="00666914">
              <w:rPr>
                <w:rFonts w:eastAsia="Times New Roman" w:cs="Calibri"/>
                <w:b/>
                <w:bCs/>
                <w:color w:val="000000"/>
                <w:sz w:val="20"/>
                <w:szCs w:val="20"/>
                <w:lang w:eastAsia="sk-SK"/>
              </w:rPr>
              <w:instrText xml:space="preserve"> SEQ Tabuľka \* ARABIC \* MERGEFORMAT </w:instrText>
            </w:r>
            <w:r w:rsidRPr="00666914">
              <w:rPr>
                <w:rFonts w:eastAsia="Times New Roman" w:cs="Calibri"/>
                <w:b/>
                <w:bCs/>
                <w:color w:val="000000"/>
                <w:sz w:val="20"/>
                <w:szCs w:val="20"/>
                <w:lang w:eastAsia="sk-SK"/>
              </w:rPr>
              <w:fldChar w:fldCharType="separate"/>
            </w:r>
            <w:r w:rsidR="005A7304">
              <w:rPr>
                <w:rFonts w:eastAsia="Times New Roman" w:cs="Calibri"/>
                <w:b/>
                <w:bCs/>
                <w:noProof/>
                <w:color w:val="000000"/>
                <w:sz w:val="20"/>
                <w:szCs w:val="20"/>
                <w:lang w:eastAsia="sk-SK"/>
              </w:rPr>
              <w:t>80</w:t>
            </w:r>
            <w:r w:rsidRPr="00666914">
              <w:rPr>
                <w:rFonts w:eastAsia="Times New Roman" w:cs="Calibri"/>
                <w:b/>
                <w:bCs/>
                <w:color w:val="000000"/>
                <w:sz w:val="20"/>
                <w:szCs w:val="20"/>
                <w:lang w:eastAsia="sk-SK"/>
              </w:rPr>
              <w:fldChar w:fldCharType="end"/>
            </w:r>
            <w:r w:rsidRPr="00666914">
              <w:rPr>
                <w:rFonts w:eastAsia="Times New Roman" w:cs="Calibri"/>
                <w:b/>
                <w:bCs/>
                <w:color w:val="000000"/>
                <w:sz w:val="20"/>
                <w:szCs w:val="20"/>
                <w:lang w:eastAsia="sk-SK"/>
              </w:rPr>
              <w:t>: Podiel detí vychovávaných mimo vlastnej rodiny</w:t>
            </w:r>
            <w:bookmarkEnd w:id="369"/>
            <w:r w:rsidRPr="00666914">
              <w:rPr>
                <w:rFonts w:eastAsia="Times New Roman" w:cs="Calibri"/>
                <w:b/>
                <w:bCs/>
                <w:color w:val="000000"/>
                <w:sz w:val="20"/>
                <w:szCs w:val="20"/>
                <w:lang w:eastAsia="sk-SK"/>
              </w:rPr>
              <w:t xml:space="preserve"> </w:t>
            </w:r>
          </w:p>
        </w:tc>
        <w:tc>
          <w:tcPr>
            <w:tcW w:w="460" w:type="pct"/>
            <w:tcBorders>
              <w:top w:val="nil"/>
              <w:left w:val="nil"/>
              <w:bottom w:val="nil"/>
              <w:right w:val="nil"/>
            </w:tcBorders>
            <w:shd w:val="clear" w:color="auto" w:fill="auto"/>
            <w:noWrap/>
            <w:vAlign w:val="bottom"/>
            <w:hideMark/>
          </w:tcPr>
          <w:p w14:paraId="5D7BCAC5" w14:textId="77777777" w:rsidR="00E66F49" w:rsidRPr="00666914" w:rsidRDefault="00E66F49" w:rsidP="00D27F91">
            <w:pPr>
              <w:spacing w:after="0"/>
              <w:jc w:val="left"/>
              <w:rPr>
                <w:rFonts w:eastAsia="Times New Roman" w:cs="Calibri"/>
                <w:b/>
                <w:bCs/>
                <w:color w:val="000000"/>
                <w:sz w:val="20"/>
                <w:szCs w:val="20"/>
                <w:lang w:eastAsia="sk-SK"/>
              </w:rPr>
            </w:pPr>
          </w:p>
        </w:tc>
        <w:tc>
          <w:tcPr>
            <w:tcW w:w="460" w:type="pct"/>
            <w:tcBorders>
              <w:top w:val="nil"/>
              <w:left w:val="nil"/>
              <w:bottom w:val="nil"/>
              <w:right w:val="nil"/>
            </w:tcBorders>
            <w:shd w:val="clear" w:color="auto" w:fill="auto"/>
            <w:noWrap/>
            <w:vAlign w:val="bottom"/>
            <w:hideMark/>
          </w:tcPr>
          <w:p w14:paraId="711ED0FD" w14:textId="77777777" w:rsidR="00E66F49" w:rsidRPr="00666914" w:rsidRDefault="00E66F49" w:rsidP="00D27F91">
            <w:pPr>
              <w:spacing w:after="0"/>
              <w:jc w:val="left"/>
              <w:rPr>
                <w:rFonts w:ascii="Times New Roman" w:eastAsia="Times New Roman" w:hAnsi="Times New Roman"/>
                <w:sz w:val="20"/>
                <w:szCs w:val="20"/>
                <w:lang w:eastAsia="sk-SK"/>
              </w:rPr>
            </w:pPr>
          </w:p>
        </w:tc>
      </w:tr>
      <w:tr w:rsidR="00E66F49" w:rsidRPr="00666914" w14:paraId="5B3EAA66" w14:textId="77777777" w:rsidTr="00D27F91">
        <w:trPr>
          <w:trHeight w:val="255"/>
        </w:trPr>
        <w:tc>
          <w:tcPr>
            <w:tcW w:w="1281" w:type="pct"/>
            <w:tcBorders>
              <w:top w:val="single" w:sz="4" w:space="0" w:color="auto"/>
              <w:left w:val="nil"/>
              <w:bottom w:val="single" w:sz="4" w:space="0" w:color="auto"/>
              <w:right w:val="nil"/>
            </w:tcBorders>
            <w:shd w:val="clear" w:color="auto" w:fill="auto"/>
            <w:noWrap/>
            <w:vAlign w:val="bottom"/>
            <w:hideMark/>
          </w:tcPr>
          <w:p w14:paraId="499238F0" w14:textId="77777777" w:rsidR="00E66F49" w:rsidRPr="00666914" w:rsidRDefault="00E66F49" w:rsidP="00D27F91">
            <w:pPr>
              <w:spacing w:after="0"/>
              <w:jc w:val="left"/>
              <w:rPr>
                <w:rFonts w:eastAsia="Times New Roman" w:cs="Calibri"/>
                <w:b/>
                <w:bCs/>
                <w:color w:val="000000"/>
                <w:sz w:val="19"/>
                <w:szCs w:val="19"/>
                <w:lang w:eastAsia="sk-SK"/>
              </w:rPr>
            </w:pPr>
            <w:r w:rsidRPr="00666914">
              <w:rPr>
                <w:rFonts w:eastAsia="Times New Roman" w:cs="Calibri"/>
                <w:b/>
                <w:bCs/>
                <w:color w:val="000000"/>
                <w:sz w:val="19"/>
                <w:szCs w:val="19"/>
                <w:lang w:eastAsia="sk-SK"/>
              </w:rPr>
              <w:t xml:space="preserve">počet detí /rok </w:t>
            </w:r>
          </w:p>
        </w:tc>
        <w:tc>
          <w:tcPr>
            <w:tcW w:w="501" w:type="pct"/>
            <w:tcBorders>
              <w:top w:val="single" w:sz="4" w:space="0" w:color="auto"/>
              <w:left w:val="nil"/>
              <w:bottom w:val="single" w:sz="4" w:space="0" w:color="auto"/>
              <w:right w:val="nil"/>
            </w:tcBorders>
            <w:shd w:val="clear" w:color="auto" w:fill="auto"/>
            <w:noWrap/>
            <w:vAlign w:val="bottom"/>
            <w:hideMark/>
          </w:tcPr>
          <w:p w14:paraId="099F2C8D" w14:textId="77777777" w:rsidR="00E66F49" w:rsidRPr="00666914" w:rsidRDefault="00E66F49" w:rsidP="00D27F91">
            <w:pPr>
              <w:spacing w:after="0"/>
              <w:jc w:val="right"/>
              <w:rPr>
                <w:rFonts w:eastAsia="Times New Roman" w:cs="Calibri"/>
                <w:b/>
                <w:bCs/>
                <w:color w:val="000000"/>
                <w:sz w:val="19"/>
                <w:szCs w:val="19"/>
                <w:lang w:eastAsia="sk-SK"/>
              </w:rPr>
            </w:pPr>
            <w:r w:rsidRPr="00666914">
              <w:rPr>
                <w:rFonts w:eastAsia="Times New Roman" w:cs="Calibri"/>
                <w:b/>
                <w:bCs/>
                <w:color w:val="000000"/>
                <w:sz w:val="19"/>
                <w:szCs w:val="19"/>
                <w:lang w:eastAsia="sk-SK"/>
              </w:rPr>
              <w:t>2012</w:t>
            </w:r>
          </w:p>
        </w:tc>
        <w:tc>
          <w:tcPr>
            <w:tcW w:w="460" w:type="pct"/>
            <w:tcBorders>
              <w:top w:val="single" w:sz="4" w:space="0" w:color="auto"/>
              <w:left w:val="nil"/>
              <w:bottom w:val="single" w:sz="4" w:space="0" w:color="auto"/>
              <w:right w:val="nil"/>
            </w:tcBorders>
            <w:shd w:val="clear" w:color="auto" w:fill="auto"/>
            <w:noWrap/>
            <w:vAlign w:val="bottom"/>
            <w:hideMark/>
          </w:tcPr>
          <w:p w14:paraId="3A7CDD23" w14:textId="77777777" w:rsidR="00E66F49" w:rsidRPr="00666914" w:rsidRDefault="00E66F49" w:rsidP="00D27F91">
            <w:pPr>
              <w:spacing w:after="0"/>
              <w:jc w:val="right"/>
              <w:rPr>
                <w:rFonts w:eastAsia="Times New Roman" w:cs="Calibri"/>
                <w:b/>
                <w:bCs/>
                <w:color w:val="000000"/>
                <w:sz w:val="19"/>
                <w:szCs w:val="19"/>
                <w:lang w:eastAsia="sk-SK"/>
              </w:rPr>
            </w:pPr>
            <w:r w:rsidRPr="00666914">
              <w:rPr>
                <w:rFonts w:eastAsia="Times New Roman" w:cs="Calibri"/>
                <w:b/>
                <w:bCs/>
                <w:color w:val="000000"/>
                <w:sz w:val="19"/>
                <w:szCs w:val="19"/>
                <w:lang w:eastAsia="sk-SK"/>
              </w:rPr>
              <w:t>2013</w:t>
            </w:r>
          </w:p>
        </w:tc>
        <w:tc>
          <w:tcPr>
            <w:tcW w:w="460" w:type="pct"/>
            <w:tcBorders>
              <w:top w:val="single" w:sz="4" w:space="0" w:color="auto"/>
              <w:left w:val="nil"/>
              <w:bottom w:val="single" w:sz="4" w:space="0" w:color="auto"/>
              <w:right w:val="nil"/>
            </w:tcBorders>
            <w:shd w:val="clear" w:color="auto" w:fill="auto"/>
            <w:noWrap/>
            <w:vAlign w:val="bottom"/>
            <w:hideMark/>
          </w:tcPr>
          <w:p w14:paraId="633C5F3B" w14:textId="77777777" w:rsidR="00E66F49" w:rsidRPr="00666914" w:rsidRDefault="00E66F49" w:rsidP="00D27F91">
            <w:pPr>
              <w:spacing w:after="0"/>
              <w:jc w:val="right"/>
              <w:rPr>
                <w:rFonts w:eastAsia="Times New Roman" w:cs="Calibri"/>
                <w:b/>
                <w:bCs/>
                <w:color w:val="000000"/>
                <w:sz w:val="19"/>
                <w:szCs w:val="19"/>
                <w:lang w:eastAsia="sk-SK"/>
              </w:rPr>
            </w:pPr>
            <w:r w:rsidRPr="00666914">
              <w:rPr>
                <w:rFonts w:eastAsia="Times New Roman" w:cs="Calibri"/>
                <w:b/>
                <w:bCs/>
                <w:color w:val="000000"/>
                <w:sz w:val="19"/>
                <w:szCs w:val="19"/>
                <w:lang w:eastAsia="sk-SK"/>
              </w:rPr>
              <w:t>2014</w:t>
            </w:r>
          </w:p>
        </w:tc>
        <w:tc>
          <w:tcPr>
            <w:tcW w:w="460" w:type="pct"/>
            <w:tcBorders>
              <w:top w:val="single" w:sz="4" w:space="0" w:color="auto"/>
              <w:left w:val="nil"/>
              <w:bottom w:val="single" w:sz="4" w:space="0" w:color="auto"/>
              <w:right w:val="nil"/>
            </w:tcBorders>
            <w:shd w:val="clear" w:color="auto" w:fill="auto"/>
            <w:noWrap/>
            <w:vAlign w:val="bottom"/>
            <w:hideMark/>
          </w:tcPr>
          <w:p w14:paraId="1E1E3A45" w14:textId="77777777" w:rsidR="00E66F49" w:rsidRPr="00666914" w:rsidRDefault="00E66F49" w:rsidP="00D27F91">
            <w:pPr>
              <w:spacing w:after="0"/>
              <w:jc w:val="right"/>
              <w:rPr>
                <w:rFonts w:eastAsia="Times New Roman" w:cs="Calibri"/>
                <w:b/>
                <w:bCs/>
                <w:color w:val="000000"/>
                <w:sz w:val="19"/>
                <w:szCs w:val="19"/>
                <w:lang w:eastAsia="sk-SK"/>
              </w:rPr>
            </w:pPr>
            <w:r w:rsidRPr="00666914">
              <w:rPr>
                <w:rFonts w:eastAsia="Times New Roman" w:cs="Calibri"/>
                <w:b/>
                <w:bCs/>
                <w:color w:val="000000"/>
                <w:sz w:val="19"/>
                <w:szCs w:val="19"/>
                <w:lang w:eastAsia="sk-SK"/>
              </w:rPr>
              <w:t>2015</w:t>
            </w:r>
          </w:p>
        </w:tc>
        <w:tc>
          <w:tcPr>
            <w:tcW w:w="460" w:type="pct"/>
            <w:tcBorders>
              <w:top w:val="single" w:sz="4" w:space="0" w:color="auto"/>
              <w:left w:val="nil"/>
              <w:bottom w:val="single" w:sz="4" w:space="0" w:color="auto"/>
              <w:right w:val="nil"/>
            </w:tcBorders>
            <w:shd w:val="clear" w:color="auto" w:fill="auto"/>
            <w:noWrap/>
            <w:vAlign w:val="bottom"/>
            <w:hideMark/>
          </w:tcPr>
          <w:p w14:paraId="08AE28C2" w14:textId="77777777" w:rsidR="00E66F49" w:rsidRPr="00666914" w:rsidRDefault="00E66F49" w:rsidP="00D27F91">
            <w:pPr>
              <w:spacing w:after="0"/>
              <w:jc w:val="right"/>
              <w:rPr>
                <w:rFonts w:eastAsia="Times New Roman" w:cs="Calibri"/>
                <w:b/>
                <w:bCs/>
                <w:color w:val="000000"/>
                <w:sz w:val="19"/>
                <w:szCs w:val="19"/>
                <w:lang w:eastAsia="sk-SK"/>
              </w:rPr>
            </w:pPr>
            <w:r w:rsidRPr="00666914">
              <w:rPr>
                <w:rFonts w:eastAsia="Times New Roman" w:cs="Calibri"/>
                <w:b/>
                <w:bCs/>
                <w:color w:val="000000"/>
                <w:sz w:val="19"/>
                <w:szCs w:val="19"/>
                <w:lang w:eastAsia="sk-SK"/>
              </w:rPr>
              <w:t>2016</w:t>
            </w:r>
          </w:p>
        </w:tc>
        <w:tc>
          <w:tcPr>
            <w:tcW w:w="460" w:type="pct"/>
            <w:tcBorders>
              <w:top w:val="single" w:sz="4" w:space="0" w:color="auto"/>
              <w:left w:val="nil"/>
              <w:bottom w:val="single" w:sz="4" w:space="0" w:color="auto"/>
              <w:right w:val="nil"/>
            </w:tcBorders>
            <w:shd w:val="clear" w:color="auto" w:fill="auto"/>
            <w:noWrap/>
            <w:vAlign w:val="bottom"/>
            <w:hideMark/>
          </w:tcPr>
          <w:p w14:paraId="1C5E5D17" w14:textId="77777777" w:rsidR="00E66F49" w:rsidRPr="00666914" w:rsidRDefault="00E66F49" w:rsidP="00D27F91">
            <w:pPr>
              <w:spacing w:after="0"/>
              <w:jc w:val="right"/>
              <w:rPr>
                <w:rFonts w:eastAsia="Times New Roman" w:cs="Calibri"/>
                <w:b/>
                <w:bCs/>
                <w:color w:val="000000"/>
                <w:sz w:val="19"/>
                <w:szCs w:val="19"/>
                <w:lang w:eastAsia="sk-SK"/>
              </w:rPr>
            </w:pPr>
            <w:r w:rsidRPr="00666914">
              <w:rPr>
                <w:rFonts w:eastAsia="Times New Roman" w:cs="Calibri"/>
                <w:b/>
                <w:bCs/>
                <w:color w:val="000000"/>
                <w:sz w:val="19"/>
                <w:szCs w:val="19"/>
                <w:lang w:eastAsia="sk-SK"/>
              </w:rPr>
              <w:t>2017</w:t>
            </w:r>
          </w:p>
        </w:tc>
        <w:tc>
          <w:tcPr>
            <w:tcW w:w="460" w:type="pct"/>
            <w:tcBorders>
              <w:top w:val="single" w:sz="4" w:space="0" w:color="auto"/>
              <w:left w:val="nil"/>
              <w:bottom w:val="single" w:sz="4" w:space="0" w:color="auto"/>
              <w:right w:val="nil"/>
            </w:tcBorders>
            <w:shd w:val="clear" w:color="auto" w:fill="auto"/>
            <w:noWrap/>
            <w:vAlign w:val="bottom"/>
            <w:hideMark/>
          </w:tcPr>
          <w:p w14:paraId="6B260130" w14:textId="77777777" w:rsidR="00E66F49" w:rsidRPr="00666914" w:rsidRDefault="00E66F49" w:rsidP="00D27F91">
            <w:pPr>
              <w:spacing w:after="0"/>
              <w:jc w:val="right"/>
              <w:rPr>
                <w:rFonts w:eastAsia="Times New Roman" w:cs="Calibri"/>
                <w:b/>
                <w:bCs/>
                <w:color w:val="000000"/>
                <w:sz w:val="19"/>
                <w:szCs w:val="19"/>
                <w:lang w:eastAsia="sk-SK"/>
              </w:rPr>
            </w:pPr>
            <w:r w:rsidRPr="00666914">
              <w:rPr>
                <w:rFonts w:eastAsia="Times New Roman" w:cs="Calibri"/>
                <w:b/>
                <w:bCs/>
                <w:color w:val="000000"/>
                <w:sz w:val="19"/>
                <w:szCs w:val="19"/>
                <w:lang w:eastAsia="sk-SK"/>
              </w:rPr>
              <w:t>2018</w:t>
            </w:r>
          </w:p>
        </w:tc>
        <w:tc>
          <w:tcPr>
            <w:tcW w:w="460" w:type="pct"/>
            <w:tcBorders>
              <w:top w:val="single" w:sz="4" w:space="0" w:color="auto"/>
              <w:left w:val="nil"/>
              <w:bottom w:val="single" w:sz="4" w:space="0" w:color="auto"/>
              <w:right w:val="nil"/>
            </w:tcBorders>
            <w:shd w:val="clear" w:color="auto" w:fill="auto"/>
            <w:noWrap/>
            <w:vAlign w:val="bottom"/>
            <w:hideMark/>
          </w:tcPr>
          <w:p w14:paraId="2C08735E" w14:textId="77777777" w:rsidR="00E66F49" w:rsidRPr="00666914" w:rsidRDefault="00E66F49" w:rsidP="00D27F91">
            <w:pPr>
              <w:spacing w:after="0"/>
              <w:jc w:val="right"/>
              <w:rPr>
                <w:rFonts w:eastAsia="Times New Roman" w:cs="Calibri"/>
                <w:b/>
                <w:bCs/>
                <w:color w:val="000000"/>
                <w:sz w:val="19"/>
                <w:szCs w:val="19"/>
                <w:lang w:eastAsia="sk-SK"/>
              </w:rPr>
            </w:pPr>
            <w:r w:rsidRPr="00666914">
              <w:rPr>
                <w:rFonts w:eastAsia="Times New Roman" w:cs="Calibri"/>
                <w:b/>
                <w:bCs/>
                <w:color w:val="000000"/>
                <w:sz w:val="19"/>
                <w:szCs w:val="19"/>
                <w:lang w:eastAsia="sk-SK"/>
              </w:rPr>
              <w:t>2019</w:t>
            </w:r>
          </w:p>
        </w:tc>
      </w:tr>
      <w:tr w:rsidR="00E66F49" w:rsidRPr="00666914" w14:paraId="0A29B09E" w14:textId="77777777" w:rsidTr="00D27F91">
        <w:trPr>
          <w:trHeight w:val="255"/>
        </w:trPr>
        <w:tc>
          <w:tcPr>
            <w:tcW w:w="1281" w:type="pct"/>
            <w:tcBorders>
              <w:top w:val="nil"/>
              <w:left w:val="nil"/>
              <w:bottom w:val="nil"/>
              <w:right w:val="nil"/>
            </w:tcBorders>
            <w:shd w:val="clear" w:color="auto" w:fill="auto"/>
            <w:noWrap/>
            <w:vAlign w:val="bottom"/>
            <w:hideMark/>
          </w:tcPr>
          <w:p w14:paraId="0E1BEF50" w14:textId="77777777" w:rsidR="00E66F49" w:rsidRPr="00666914" w:rsidRDefault="00E66F49" w:rsidP="00D27F91">
            <w:pPr>
              <w:spacing w:after="0"/>
              <w:jc w:val="left"/>
              <w:rPr>
                <w:rFonts w:eastAsia="Times New Roman" w:cs="Calibri"/>
                <w:color w:val="000000"/>
                <w:sz w:val="19"/>
                <w:szCs w:val="19"/>
                <w:lang w:eastAsia="sk-SK"/>
              </w:rPr>
            </w:pPr>
            <w:r w:rsidRPr="00666914">
              <w:rPr>
                <w:rFonts w:eastAsia="Times New Roman" w:cs="Calibri"/>
                <w:color w:val="000000"/>
                <w:sz w:val="19"/>
                <w:szCs w:val="19"/>
                <w:lang w:eastAsia="sk-SK"/>
              </w:rPr>
              <w:t xml:space="preserve">celkový počet detí </w:t>
            </w:r>
          </w:p>
        </w:tc>
        <w:tc>
          <w:tcPr>
            <w:tcW w:w="501" w:type="pct"/>
            <w:tcBorders>
              <w:top w:val="nil"/>
              <w:left w:val="nil"/>
              <w:bottom w:val="nil"/>
              <w:right w:val="nil"/>
            </w:tcBorders>
            <w:shd w:val="clear" w:color="auto" w:fill="auto"/>
            <w:noWrap/>
            <w:vAlign w:val="bottom"/>
            <w:hideMark/>
          </w:tcPr>
          <w:p w14:paraId="60B884E3" w14:textId="77777777" w:rsidR="00E66F49" w:rsidRPr="00666914" w:rsidRDefault="00E66F49" w:rsidP="00D27F91">
            <w:pPr>
              <w:spacing w:after="0"/>
              <w:jc w:val="right"/>
              <w:rPr>
                <w:rFonts w:eastAsia="Times New Roman" w:cs="Calibri"/>
                <w:color w:val="000000"/>
                <w:sz w:val="19"/>
                <w:szCs w:val="19"/>
                <w:lang w:eastAsia="sk-SK"/>
              </w:rPr>
            </w:pPr>
            <w:r w:rsidRPr="00666914">
              <w:rPr>
                <w:rFonts w:eastAsia="Times New Roman" w:cs="Calibri"/>
                <w:color w:val="000000"/>
                <w:sz w:val="19"/>
                <w:szCs w:val="19"/>
                <w:lang w:eastAsia="sk-SK"/>
              </w:rPr>
              <w:t>1 075 328</w:t>
            </w:r>
          </w:p>
        </w:tc>
        <w:tc>
          <w:tcPr>
            <w:tcW w:w="460" w:type="pct"/>
            <w:tcBorders>
              <w:top w:val="nil"/>
              <w:left w:val="nil"/>
              <w:bottom w:val="nil"/>
              <w:right w:val="nil"/>
            </w:tcBorders>
            <w:shd w:val="clear" w:color="auto" w:fill="auto"/>
            <w:noWrap/>
            <w:vAlign w:val="bottom"/>
            <w:hideMark/>
          </w:tcPr>
          <w:p w14:paraId="21CED47B" w14:textId="77777777" w:rsidR="00E66F49" w:rsidRPr="00666914" w:rsidRDefault="00E66F49" w:rsidP="00D27F91">
            <w:pPr>
              <w:spacing w:after="0"/>
              <w:jc w:val="right"/>
              <w:rPr>
                <w:rFonts w:eastAsia="Times New Roman" w:cs="Calibri"/>
                <w:color w:val="000000"/>
                <w:sz w:val="19"/>
                <w:szCs w:val="19"/>
                <w:lang w:eastAsia="sk-SK"/>
              </w:rPr>
            </w:pPr>
            <w:r w:rsidRPr="00666914">
              <w:rPr>
                <w:rFonts w:eastAsia="Times New Roman" w:cs="Calibri"/>
                <w:color w:val="000000"/>
                <w:sz w:val="19"/>
                <w:szCs w:val="19"/>
                <w:lang w:eastAsia="sk-SK"/>
              </w:rPr>
              <w:t>1 066 036</w:t>
            </w:r>
          </w:p>
        </w:tc>
        <w:tc>
          <w:tcPr>
            <w:tcW w:w="460" w:type="pct"/>
            <w:tcBorders>
              <w:top w:val="nil"/>
              <w:left w:val="nil"/>
              <w:bottom w:val="nil"/>
              <w:right w:val="nil"/>
            </w:tcBorders>
            <w:shd w:val="clear" w:color="auto" w:fill="auto"/>
            <w:noWrap/>
            <w:vAlign w:val="bottom"/>
            <w:hideMark/>
          </w:tcPr>
          <w:p w14:paraId="16BA2843" w14:textId="77777777" w:rsidR="00E66F49" w:rsidRPr="00666914" w:rsidRDefault="00E66F49" w:rsidP="00D27F91">
            <w:pPr>
              <w:spacing w:after="0"/>
              <w:jc w:val="right"/>
              <w:rPr>
                <w:rFonts w:eastAsia="Times New Roman" w:cs="Calibri"/>
                <w:color w:val="000000"/>
                <w:sz w:val="19"/>
                <w:szCs w:val="19"/>
                <w:lang w:eastAsia="sk-SK"/>
              </w:rPr>
            </w:pPr>
            <w:r w:rsidRPr="00666914">
              <w:rPr>
                <w:rFonts w:eastAsia="Times New Roman" w:cs="Calibri"/>
                <w:color w:val="000000"/>
                <w:sz w:val="19"/>
                <w:szCs w:val="19"/>
                <w:lang w:eastAsia="sk-SK"/>
              </w:rPr>
              <w:t>1 061 180</w:t>
            </w:r>
          </w:p>
        </w:tc>
        <w:tc>
          <w:tcPr>
            <w:tcW w:w="460" w:type="pct"/>
            <w:tcBorders>
              <w:top w:val="nil"/>
              <w:left w:val="nil"/>
              <w:bottom w:val="nil"/>
              <w:right w:val="nil"/>
            </w:tcBorders>
            <w:shd w:val="clear" w:color="auto" w:fill="auto"/>
            <w:noWrap/>
            <w:vAlign w:val="bottom"/>
            <w:hideMark/>
          </w:tcPr>
          <w:p w14:paraId="7EA740F1" w14:textId="77777777" w:rsidR="00E66F49" w:rsidRPr="00666914" w:rsidRDefault="00E66F49" w:rsidP="00D27F91">
            <w:pPr>
              <w:spacing w:after="0"/>
              <w:jc w:val="right"/>
              <w:rPr>
                <w:rFonts w:eastAsia="Times New Roman" w:cs="Calibri"/>
                <w:color w:val="000000"/>
                <w:sz w:val="19"/>
                <w:szCs w:val="19"/>
                <w:lang w:eastAsia="sk-SK"/>
              </w:rPr>
            </w:pPr>
            <w:r w:rsidRPr="00666914">
              <w:rPr>
                <w:rFonts w:eastAsia="Times New Roman" w:cs="Calibri"/>
                <w:color w:val="000000"/>
                <w:sz w:val="19"/>
                <w:szCs w:val="19"/>
                <w:lang w:eastAsia="sk-SK"/>
              </w:rPr>
              <w:t>1 058 282</w:t>
            </w:r>
          </w:p>
        </w:tc>
        <w:tc>
          <w:tcPr>
            <w:tcW w:w="460" w:type="pct"/>
            <w:tcBorders>
              <w:top w:val="nil"/>
              <w:left w:val="nil"/>
              <w:bottom w:val="nil"/>
              <w:right w:val="nil"/>
            </w:tcBorders>
            <w:shd w:val="clear" w:color="auto" w:fill="auto"/>
            <w:noWrap/>
            <w:vAlign w:val="bottom"/>
            <w:hideMark/>
          </w:tcPr>
          <w:p w14:paraId="71735D00" w14:textId="77777777" w:rsidR="00E66F49" w:rsidRPr="00666914" w:rsidRDefault="00E66F49" w:rsidP="00D27F91">
            <w:pPr>
              <w:spacing w:after="0"/>
              <w:jc w:val="right"/>
              <w:rPr>
                <w:rFonts w:eastAsia="Times New Roman" w:cs="Calibri"/>
                <w:color w:val="000000"/>
                <w:sz w:val="19"/>
                <w:szCs w:val="19"/>
                <w:lang w:eastAsia="sk-SK"/>
              </w:rPr>
            </w:pPr>
            <w:r w:rsidRPr="00666914">
              <w:rPr>
                <w:rFonts w:eastAsia="Times New Roman" w:cs="Calibri"/>
                <w:color w:val="000000"/>
                <w:sz w:val="19"/>
                <w:szCs w:val="19"/>
                <w:lang w:eastAsia="sk-SK"/>
              </w:rPr>
              <w:t>1 059 438</w:t>
            </w:r>
          </w:p>
        </w:tc>
        <w:tc>
          <w:tcPr>
            <w:tcW w:w="460" w:type="pct"/>
            <w:tcBorders>
              <w:top w:val="nil"/>
              <w:left w:val="nil"/>
              <w:bottom w:val="nil"/>
              <w:right w:val="nil"/>
            </w:tcBorders>
            <w:shd w:val="clear" w:color="auto" w:fill="auto"/>
            <w:noWrap/>
            <w:vAlign w:val="bottom"/>
            <w:hideMark/>
          </w:tcPr>
          <w:p w14:paraId="71C3C827" w14:textId="77777777" w:rsidR="00E66F49" w:rsidRPr="00666914" w:rsidRDefault="00E66F49" w:rsidP="00D27F91">
            <w:pPr>
              <w:spacing w:after="0"/>
              <w:jc w:val="right"/>
              <w:rPr>
                <w:rFonts w:eastAsia="Times New Roman" w:cs="Calibri"/>
                <w:color w:val="000000"/>
                <w:sz w:val="19"/>
                <w:szCs w:val="19"/>
                <w:lang w:eastAsia="sk-SK"/>
              </w:rPr>
            </w:pPr>
            <w:r w:rsidRPr="00666914">
              <w:rPr>
                <w:rFonts w:eastAsia="Times New Roman" w:cs="Calibri"/>
                <w:color w:val="000000"/>
                <w:sz w:val="19"/>
                <w:szCs w:val="19"/>
                <w:lang w:eastAsia="sk-SK"/>
              </w:rPr>
              <w:t>1 062 870</w:t>
            </w:r>
          </w:p>
        </w:tc>
        <w:tc>
          <w:tcPr>
            <w:tcW w:w="460" w:type="pct"/>
            <w:tcBorders>
              <w:top w:val="nil"/>
              <w:left w:val="nil"/>
              <w:bottom w:val="nil"/>
              <w:right w:val="nil"/>
            </w:tcBorders>
            <w:shd w:val="clear" w:color="auto" w:fill="auto"/>
            <w:noWrap/>
            <w:vAlign w:val="bottom"/>
            <w:hideMark/>
          </w:tcPr>
          <w:p w14:paraId="7EE26372" w14:textId="77777777" w:rsidR="00E66F49" w:rsidRPr="00666914" w:rsidRDefault="00E66F49" w:rsidP="00D27F91">
            <w:pPr>
              <w:spacing w:after="0"/>
              <w:jc w:val="right"/>
              <w:rPr>
                <w:rFonts w:eastAsia="Times New Roman" w:cs="Calibri"/>
                <w:color w:val="000000"/>
                <w:sz w:val="19"/>
                <w:szCs w:val="19"/>
                <w:lang w:eastAsia="sk-SK"/>
              </w:rPr>
            </w:pPr>
            <w:r w:rsidRPr="00666914">
              <w:rPr>
                <w:rFonts w:eastAsia="Times New Roman" w:cs="Calibri"/>
                <w:color w:val="000000"/>
                <w:sz w:val="19"/>
                <w:szCs w:val="19"/>
                <w:lang w:eastAsia="sk-SK"/>
              </w:rPr>
              <w:t>1 066 919</w:t>
            </w:r>
          </w:p>
        </w:tc>
        <w:tc>
          <w:tcPr>
            <w:tcW w:w="460" w:type="pct"/>
            <w:tcBorders>
              <w:top w:val="nil"/>
              <w:left w:val="nil"/>
              <w:bottom w:val="nil"/>
              <w:right w:val="nil"/>
            </w:tcBorders>
            <w:shd w:val="clear" w:color="auto" w:fill="auto"/>
            <w:noWrap/>
            <w:vAlign w:val="bottom"/>
            <w:hideMark/>
          </w:tcPr>
          <w:p w14:paraId="4E0E002E" w14:textId="77777777" w:rsidR="00E66F49" w:rsidRPr="00666914" w:rsidRDefault="00E66F49" w:rsidP="00D27F91">
            <w:pPr>
              <w:spacing w:after="0"/>
              <w:jc w:val="right"/>
              <w:rPr>
                <w:rFonts w:eastAsia="Times New Roman" w:cs="Calibri"/>
                <w:color w:val="000000"/>
                <w:sz w:val="19"/>
                <w:szCs w:val="19"/>
                <w:lang w:eastAsia="sk-SK"/>
              </w:rPr>
            </w:pPr>
            <w:r w:rsidRPr="00666914">
              <w:rPr>
                <w:rFonts w:eastAsia="Times New Roman" w:cs="Calibri"/>
                <w:color w:val="000000"/>
                <w:sz w:val="19"/>
                <w:szCs w:val="19"/>
                <w:lang w:eastAsia="sk-SK"/>
              </w:rPr>
              <w:t>1 071 494</w:t>
            </w:r>
          </w:p>
        </w:tc>
      </w:tr>
      <w:tr w:rsidR="00E66F49" w:rsidRPr="00666914" w14:paraId="6132EB8C" w14:textId="77777777" w:rsidTr="00D27F91">
        <w:trPr>
          <w:trHeight w:val="255"/>
        </w:trPr>
        <w:tc>
          <w:tcPr>
            <w:tcW w:w="1281" w:type="pct"/>
            <w:tcBorders>
              <w:top w:val="nil"/>
              <w:left w:val="nil"/>
              <w:bottom w:val="nil"/>
              <w:right w:val="nil"/>
            </w:tcBorders>
            <w:shd w:val="clear" w:color="auto" w:fill="auto"/>
            <w:noWrap/>
            <w:vAlign w:val="bottom"/>
            <w:hideMark/>
          </w:tcPr>
          <w:p w14:paraId="7C6950F2" w14:textId="77777777" w:rsidR="00E66F49" w:rsidRPr="00666914" w:rsidRDefault="00E66F49" w:rsidP="00D27F91">
            <w:pPr>
              <w:spacing w:after="0"/>
              <w:jc w:val="left"/>
              <w:rPr>
                <w:rFonts w:eastAsia="Times New Roman" w:cs="Calibri"/>
                <w:color w:val="000000"/>
                <w:sz w:val="19"/>
                <w:szCs w:val="19"/>
                <w:lang w:eastAsia="sk-SK"/>
              </w:rPr>
            </w:pPr>
            <w:r w:rsidRPr="00666914">
              <w:rPr>
                <w:rFonts w:eastAsia="Times New Roman" w:cs="Calibri"/>
                <w:color w:val="000000"/>
                <w:sz w:val="19"/>
                <w:szCs w:val="19"/>
                <w:lang w:eastAsia="sk-SK"/>
              </w:rPr>
              <w:t xml:space="preserve">z toho deti mimo vlastnej rodiny </w:t>
            </w:r>
          </w:p>
        </w:tc>
        <w:tc>
          <w:tcPr>
            <w:tcW w:w="501" w:type="pct"/>
            <w:tcBorders>
              <w:top w:val="nil"/>
              <w:left w:val="nil"/>
              <w:bottom w:val="nil"/>
              <w:right w:val="nil"/>
            </w:tcBorders>
            <w:shd w:val="clear" w:color="auto" w:fill="auto"/>
            <w:noWrap/>
            <w:vAlign w:val="bottom"/>
            <w:hideMark/>
          </w:tcPr>
          <w:p w14:paraId="6F5352EA" w14:textId="77777777" w:rsidR="00E66F49" w:rsidRPr="00666914" w:rsidRDefault="00E66F49" w:rsidP="00D27F91">
            <w:pPr>
              <w:spacing w:after="0"/>
              <w:jc w:val="right"/>
              <w:rPr>
                <w:rFonts w:eastAsia="Times New Roman" w:cs="Calibri"/>
                <w:color w:val="000000"/>
                <w:sz w:val="19"/>
                <w:szCs w:val="19"/>
                <w:lang w:eastAsia="sk-SK"/>
              </w:rPr>
            </w:pPr>
            <w:r w:rsidRPr="00666914">
              <w:rPr>
                <w:rFonts w:eastAsia="Times New Roman" w:cs="Calibri"/>
                <w:color w:val="000000"/>
                <w:sz w:val="19"/>
                <w:szCs w:val="19"/>
                <w:lang w:eastAsia="sk-SK"/>
              </w:rPr>
              <w:t>14 455</w:t>
            </w:r>
          </w:p>
        </w:tc>
        <w:tc>
          <w:tcPr>
            <w:tcW w:w="460" w:type="pct"/>
            <w:tcBorders>
              <w:top w:val="nil"/>
              <w:left w:val="nil"/>
              <w:bottom w:val="nil"/>
              <w:right w:val="nil"/>
            </w:tcBorders>
            <w:shd w:val="clear" w:color="auto" w:fill="auto"/>
            <w:noWrap/>
            <w:vAlign w:val="bottom"/>
            <w:hideMark/>
          </w:tcPr>
          <w:p w14:paraId="6AA0D6B6" w14:textId="77777777" w:rsidR="00E66F49" w:rsidRPr="00666914" w:rsidRDefault="00E66F49" w:rsidP="00D27F91">
            <w:pPr>
              <w:spacing w:after="0"/>
              <w:jc w:val="right"/>
              <w:rPr>
                <w:rFonts w:eastAsia="Times New Roman" w:cs="Calibri"/>
                <w:color w:val="000000"/>
                <w:sz w:val="19"/>
                <w:szCs w:val="19"/>
                <w:lang w:eastAsia="sk-SK"/>
              </w:rPr>
            </w:pPr>
            <w:r w:rsidRPr="00666914">
              <w:rPr>
                <w:rFonts w:eastAsia="Times New Roman" w:cs="Calibri"/>
                <w:color w:val="000000"/>
                <w:sz w:val="19"/>
                <w:szCs w:val="19"/>
                <w:lang w:eastAsia="sk-SK"/>
              </w:rPr>
              <w:t>14 029</w:t>
            </w:r>
          </w:p>
        </w:tc>
        <w:tc>
          <w:tcPr>
            <w:tcW w:w="460" w:type="pct"/>
            <w:tcBorders>
              <w:top w:val="nil"/>
              <w:left w:val="nil"/>
              <w:bottom w:val="nil"/>
              <w:right w:val="nil"/>
            </w:tcBorders>
            <w:shd w:val="clear" w:color="auto" w:fill="auto"/>
            <w:noWrap/>
            <w:vAlign w:val="bottom"/>
            <w:hideMark/>
          </w:tcPr>
          <w:p w14:paraId="375A0020" w14:textId="77777777" w:rsidR="00E66F49" w:rsidRPr="00666914" w:rsidRDefault="00E66F49" w:rsidP="00D27F91">
            <w:pPr>
              <w:spacing w:after="0"/>
              <w:jc w:val="right"/>
              <w:rPr>
                <w:rFonts w:eastAsia="Times New Roman" w:cs="Calibri"/>
                <w:color w:val="000000"/>
                <w:sz w:val="19"/>
                <w:szCs w:val="19"/>
                <w:lang w:eastAsia="sk-SK"/>
              </w:rPr>
            </w:pPr>
            <w:r w:rsidRPr="00666914">
              <w:rPr>
                <w:rFonts w:eastAsia="Times New Roman" w:cs="Calibri"/>
                <w:color w:val="000000"/>
                <w:sz w:val="19"/>
                <w:szCs w:val="19"/>
                <w:lang w:eastAsia="sk-SK"/>
              </w:rPr>
              <w:t>14 099</w:t>
            </w:r>
          </w:p>
        </w:tc>
        <w:tc>
          <w:tcPr>
            <w:tcW w:w="460" w:type="pct"/>
            <w:tcBorders>
              <w:top w:val="nil"/>
              <w:left w:val="nil"/>
              <w:bottom w:val="nil"/>
              <w:right w:val="nil"/>
            </w:tcBorders>
            <w:shd w:val="clear" w:color="auto" w:fill="auto"/>
            <w:noWrap/>
            <w:vAlign w:val="bottom"/>
            <w:hideMark/>
          </w:tcPr>
          <w:p w14:paraId="12C396B5" w14:textId="77777777" w:rsidR="00E66F49" w:rsidRPr="00666914" w:rsidRDefault="00E66F49" w:rsidP="00D27F91">
            <w:pPr>
              <w:spacing w:after="0"/>
              <w:jc w:val="right"/>
              <w:rPr>
                <w:rFonts w:eastAsia="Times New Roman" w:cs="Calibri"/>
                <w:color w:val="000000"/>
                <w:sz w:val="19"/>
                <w:szCs w:val="19"/>
                <w:lang w:eastAsia="sk-SK"/>
              </w:rPr>
            </w:pPr>
            <w:r w:rsidRPr="00666914">
              <w:rPr>
                <w:rFonts w:eastAsia="Times New Roman" w:cs="Calibri"/>
                <w:color w:val="000000"/>
                <w:sz w:val="19"/>
                <w:szCs w:val="19"/>
                <w:lang w:eastAsia="sk-SK"/>
              </w:rPr>
              <w:t>14 059</w:t>
            </w:r>
          </w:p>
        </w:tc>
        <w:tc>
          <w:tcPr>
            <w:tcW w:w="460" w:type="pct"/>
            <w:tcBorders>
              <w:top w:val="nil"/>
              <w:left w:val="nil"/>
              <w:bottom w:val="nil"/>
              <w:right w:val="nil"/>
            </w:tcBorders>
            <w:shd w:val="clear" w:color="auto" w:fill="auto"/>
            <w:noWrap/>
            <w:vAlign w:val="bottom"/>
            <w:hideMark/>
          </w:tcPr>
          <w:p w14:paraId="74795160" w14:textId="77777777" w:rsidR="00E66F49" w:rsidRPr="00666914" w:rsidRDefault="00E66F49" w:rsidP="00D27F91">
            <w:pPr>
              <w:spacing w:after="0"/>
              <w:jc w:val="right"/>
              <w:rPr>
                <w:rFonts w:eastAsia="Times New Roman" w:cs="Calibri"/>
                <w:color w:val="000000"/>
                <w:sz w:val="19"/>
                <w:szCs w:val="19"/>
                <w:lang w:eastAsia="sk-SK"/>
              </w:rPr>
            </w:pPr>
            <w:r w:rsidRPr="00666914">
              <w:rPr>
                <w:rFonts w:eastAsia="Times New Roman" w:cs="Calibri"/>
                <w:color w:val="000000"/>
                <w:sz w:val="19"/>
                <w:szCs w:val="19"/>
                <w:lang w:eastAsia="sk-SK"/>
              </w:rPr>
              <w:t>14 065</w:t>
            </w:r>
          </w:p>
        </w:tc>
        <w:tc>
          <w:tcPr>
            <w:tcW w:w="460" w:type="pct"/>
            <w:tcBorders>
              <w:top w:val="nil"/>
              <w:left w:val="nil"/>
              <w:bottom w:val="nil"/>
              <w:right w:val="nil"/>
            </w:tcBorders>
            <w:shd w:val="clear" w:color="auto" w:fill="auto"/>
            <w:noWrap/>
            <w:vAlign w:val="bottom"/>
            <w:hideMark/>
          </w:tcPr>
          <w:p w14:paraId="6D33D5D8" w14:textId="77777777" w:rsidR="00E66F49" w:rsidRPr="00666914" w:rsidRDefault="00E66F49" w:rsidP="00D27F91">
            <w:pPr>
              <w:spacing w:after="0"/>
              <w:jc w:val="right"/>
              <w:rPr>
                <w:rFonts w:eastAsia="Times New Roman" w:cs="Calibri"/>
                <w:color w:val="000000"/>
                <w:sz w:val="19"/>
                <w:szCs w:val="19"/>
                <w:lang w:eastAsia="sk-SK"/>
              </w:rPr>
            </w:pPr>
            <w:r w:rsidRPr="00666914">
              <w:rPr>
                <w:rFonts w:eastAsia="Times New Roman" w:cs="Calibri"/>
                <w:color w:val="000000"/>
                <w:sz w:val="19"/>
                <w:szCs w:val="19"/>
                <w:lang w:eastAsia="sk-SK"/>
              </w:rPr>
              <w:t>13 890</w:t>
            </w:r>
          </w:p>
        </w:tc>
        <w:tc>
          <w:tcPr>
            <w:tcW w:w="460" w:type="pct"/>
            <w:tcBorders>
              <w:top w:val="nil"/>
              <w:left w:val="nil"/>
              <w:bottom w:val="nil"/>
              <w:right w:val="nil"/>
            </w:tcBorders>
            <w:shd w:val="clear" w:color="auto" w:fill="auto"/>
            <w:noWrap/>
            <w:vAlign w:val="bottom"/>
            <w:hideMark/>
          </w:tcPr>
          <w:p w14:paraId="789FB6FA" w14:textId="77777777" w:rsidR="00E66F49" w:rsidRPr="00666914" w:rsidRDefault="00E66F49" w:rsidP="00D27F91">
            <w:pPr>
              <w:spacing w:after="0"/>
              <w:jc w:val="right"/>
              <w:rPr>
                <w:rFonts w:eastAsia="Times New Roman" w:cs="Calibri"/>
                <w:color w:val="000000"/>
                <w:sz w:val="19"/>
                <w:szCs w:val="19"/>
                <w:lang w:eastAsia="sk-SK"/>
              </w:rPr>
            </w:pPr>
            <w:r w:rsidRPr="00666914">
              <w:rPr>
                <w:rFonts w:eastAsia="Times New Roman" w:cs="Calibri"/>
                <w:color w:val="000000"/>
                <w:sz w:val="19"/>
                <w:szCs w:val="19"/>
                <w:lang w:eastAsia="sk-SK"/>
              </w:rPr>
              <w:t>13 863</w:t>
            </w:r>
          </w:p>
        </w:tc>
        <w:tc>
          <w:tcPr>
            <w:tcW w:w="460" w:type="pct"/>
            <w:tcBorders>
              <w:top w:val="nil"/>
              <w:left w:val="nil"/>
              <w:bottom w:val="nil"/>
              <w:right w:val="nil"/>
            </w:tcBorders>
            <w:shd w:val="clear" w:color="auto" w:fill="auto"/>
            <w:noWrap/>
            <w:vAlign w:val="bottom"/>
            <w:hideMark/>
          </w:tcPr>
          <w:p w14:paraId="223B8A3C" w14:textId="77777777" w:rsidR="00E66F49" w:rsidRPr="00666914" w:rsidRDefault="00E66F49" w:rsidP="00D27F91">
            <w:pPr>
              <w:spacing w:after="0"/>
              <w:jc w:val="right"/>
              <w:rPr>
                <w:rFonts w:eastAsia="Times New Roman" w:cs="Calibri"/>
                <w:color w:val="000000"/>
                <w:sz w:val="19"/>
                <w:szCs w:val="19"/>
                <w:lang w:eastAsia="sk-SK"/>
              </w:rPr>
            </w:pPr>
            <w:r w:rsidRPr="00666914">
              <w:rPr>
                <w:rFonts w:eastAsia="Times New Roman" w:cs="Calibri"/>
                <w:color w:val="000000"/>
                <w:sz w:val="19"/>
                <w:szCs w:val="19"/>
                <w:lang w:eastAsia="sk-SK"/>
              </w:rPr>
              <w:t>13 788</w:t>
            </w:r>
          </w:p>
        </w:tc>
      </w:tr>
      <w:tr w:rsidR="00E66F49" w:rsidRPr="00666914" w14:paraId="63448ED4" w14:textId="77777777" w:rsidTr="00D27F91">
        <w:trPr>
          <w:trHeight w:val="255"/>
        </w:trPr>
        <w:tc>
          <w:tcPr>
            <w:tcW w:w="1281" w:type="pct"/>
            <w:tcBorders>
              <w:top w:val="single" w:sz="4" w:space="0" w:color="auto"/>
              <w:left w:val="nil"/>
              <w:bottom w:val="single" w:sz="4" w:space="0" w:color="auto"/>
              <w:right w:val="nil"/>
            </w:tcBorders>
            <w:shd w:val="clear" w:color="auto" w:fill="auto"/>
            <w:noWrap/>
            <w:vAlign w:val="bottom"/>
            <w:hideMark/>
          </w:tcPr>
          <w:p w14:paraId="79834C32" w14:textId="77777777" w:rsidR="00E66F49" w:rsidRPr="00666914" w:rsidRDefault="00E66F49" w:rsidP="00D27F91">
            <w:pPr>
              <w:spacing w:after="0"/>
              <w:jc w:val="left"/>
              <w:rPr>
                <w:rFonts w:eastAsia="Times New Roman" w:cs="Calibri"/>
                <w:b/>
                <w:bCs/>
                <w:color w:val="000000"/>
                <w:sz w:val="19"/>
                <w:szCs w:val="19"/>
                <w:lang w:eastAsia="sk-SK"/>
              </w:rPr>
            </w:pPr>
            <w:r w:rsidRPr="00666914">
              <w:rPr>
                <w:rFonts w:eastAsia="Times New Roman" w:cs="Calibri"/>
                <w:b/>
                <w:bCs/>
                <w:color w:val="000000"/>
                <w:sz w:val="19"/>
                <w:szCs w:val="19"/>
                <w:lang w:eastAsia="sk-SK"/>
              </w:rPr>
              <w:t xml:space="preserve">(%) detí </w:t>
            </w:r>
          </w:p>
        </w:tc>
        <w:tc>
          <w:tcPr>
            <w:tcW w:w="501" w:type="pct"/>
            <w:tcBorders>
              <w:top w:val="single" w:sz="4" w:space="0" w:color="auto"/>
              <w:left w:val="nil"/>
              <w:bottom w:val="single" w:sz="4" w:space="0" w:color="auto"/>
              <w:right w:val="nil"/>
            </w:tcBorders>
            <w:shd w:val="clear" w:color="auto" w:fill="auto"/>
            <w:noWrap/>
            <w:vAlign w:val="bottom"/>
            <w:hideMark/>
          </w:tcPr>
          <w:p w14:paraId="3D0F2169" w14:textId="77777777" w:rsidR="00E66F49" w:rsidRPr="00666914" w:rsidRDefault="00E66F49" w:rsidP="00D27F91">
            <w:pPr>
              <w:spacing w:after="0"/>
              <w:jc w:val="right"/>
              <w:rPr>
                <w:rFonts w:eastAsia="Times New Roman" w:cs="Calibri"/>
                <w:b/>
                <w:bCs/>
                <w:color w:val="000000"/>
                <w:sz w:val="19"/>
                <w:szCs w:val="19"/>
                <w:lang w:eastAsia="sk-SK"/>
              </w:rPr>
            </w:pPr>
            <w:r w:rsidRPr="00666914">
              <w:rPr>
                <w:rFonts w:eastAsia="Times New Roman" w:cs="Calibri"/>
                <w:b/>
                <w:bCs/>
                <w:color w:val="000000"/>
                <w:sz w:val="19"/>
                <w:szCs w:val="19"/>
                <w:lang w:eastAsia="sk-SK"/>
              </w:rPr>
              <w:t>1,34%</w:t>
            </w:r>
          </w:p>
        </w:tc>
        <w:tc>
          <w:tcPr>
            <w:tcW w:w="460" w:type="pct"/>
            <w:tcBorders>
              <w:top w:val="single" w:sz="4" w:space="0" w:color="auto"/>
              <w:left w:val="nil"/>
              <w:bottom w:val="single" w:sz="4" w:space="0" w:color="auto"/>
              <w:right w:val="nil"/>
            </w:tcBorders>
            <w:shd w:val="clear" w:color="auto" w:fill="auto"/>
            <w:noWrap/>
            <w:vAlign w:val="bottom"/>
            <w:hideMark/>
          </w:tcPr>
          <w:p w14:paraId="08818DBE" w14:textId="77777777" w:rsidR="00E66F49" w:rsidRPr="00666914" w:rsidRDefault="00E66F49" w:rsidP="00D27F91">
            <w:pPr>
              <w:spacing w:after="0"/>
              <w:jc w:val="right"/>
              <w:rPr>
                <w:rFonts w:eastAsia="Times New Roman" w:cs="Calibri"/>
                <w:b/>
                <w:bCs/>
                <w:color w:val="000000"/>
                <w:sz w:val="19"/>
                <w:szCs w:val="19"/>
                <w:lang w:eastAsia="sk-SK"/>
              </w:rPr>
            </w:pPr>
            <w:r w:rsidRPr="00666914">
              <w:rPr>
                <w:rFonts w:eastAsia="Times New Roman" w:cs="Calibri"/>
                <w:b/>
                <w:bCs/>
                <w:color w:val="000000"/>
                <w:sz w:val="19"/>
                <w:szCs w:val="19"/>
                <w:lang w:eastAsia="sk-SK"/>
              </w:rPr>
              <w:t>1,32%</w:t>
            </w:r>
          </w:p>
        </w:tc>
        <w:tc>
          <w:tcPr>
            <w:tcW w:w="460" w:type="pct"/>
            <w:tcBorders>
              <w:top w:val="single" w:sz="4" w:space="0" w:color="auto"/>
              <w:left w:val="nil"/>
              <w:bottom w:val="single" w:sz="4" w:space="0" w:color="auto"/>
              <w:right w:val="nil"/>
            </w:tcBorders>
            <w:shd w:val="clear" w:color="auto" w:fill="auto"/>
            <w:noWrap/>
            <w:vAlign w:val="bottom"/>
            <w:hideMark/>
          </w:tcPr>
          <w:p w14:paraId="6D276845" w14:textId="77777777" w:rsidR="00E66F49" w:rsidRPr="00666914" w:rsidRDefault="00E66F49" w:rsidP="00D27F91">
            <w:pPr>
              <w:spacing w:after="0"/>
              <w:jc w:val="right"/>
              <w:rPr>
                <w:rFonts w:eastAsia="Times New Roman" w:cs="Calibri"/>
                <w:b/>
                <w:bCs/>
                <w:color w:val="000000"/>
                <w:sz w:val="19"/>
                <w:szCs w:val="19"/>
                <w:lang w:eastAsia="sk-SK"/>
              </w:rPr>
            </w:pPr>
            <w:r w:rsidRPr="00666914">
              <w:rPr>
                <w:rFonts w:eastAsia="Times New Roman" w:cs="Calibri"/>
                <w:b/>
                <w:bCs/>
                <w:color w:val="000000"/>
                <w:sz w:val="19"/>
                <w:szCs w:val="19"/>
                <w:lang w:eastAsia="sk-SK"/>
              </w:rPr>
              <w:t>1,33%</w:t>
            </w:r>
          </w:p>
        </w:tc>
        <w:tc>
          <w:tcPr>
            <w:tcW w:w="460" w:type="pct"/>
            <w:tcBorders>
              <w:top w:val="single" w:sz="4" w:space="0" w:color="auto"/>
              <w:left w:val="nil"/>
              <w:bottom w:val="single" w:sz="4" w:space="0" w:color="auto"/>
              <w:right w:val="nil"/>
            </w:tcBorders>
            <w:shd w:val="clear" w:color="auto" w:fill="auto"/>
            <w:noWrap/>
            <w:vAlign w:val="bottom"/>
            <w:hideMark/>
          </w:tcPr>
          <w:p w14:paraId="1BD80C64" w14:textId="77777777" w:rsidR="00E66F49" w:rsidRPr="00666914" w:rsidRDefault="00E66F49" w:rsidP="00D27F91">
            <w:pPr>
              <w:spacing w:after="0"/>
              <w:jc w:val="right"/>
              <w:rPr>
                <w:rFonts w:eastAsia="Times New Roman" w:cs="Calibri"/>
                <w:b/>
                <w:bCs/>
                <w:color w:val="000000"/>
                <w:sz w:val="19"/>
                <w:szCs w:val="19"/>
                <w:lang w:eastAsia="sk-SK"/>
              </w:rPr>
            </w:pPr>
            <w:r w:rsidRPr="00666914">
              <w:rPr>
                <w:rFonts w:eastAsia="Times New Roman" w:cs="Calibri"/>
                <w:b/>
                <w:bCs/>
                <w:color w:val="000000"/>
                <w:sz w:val="19"/>
                <w:szCs w:val="19"/>
                <w:lang w:eastAsia="sk-SK"/>
              </w:rPr>
              <w:t>1,33%</w:t>
            </w:r>
          </w:p>
        </w:tc>
        <w:tc>
          <w:tcPr>
            <w:tcW w:w="460" w:type="pct"/>
            <w:tcBorders>
              <w:top w:val="single" w:sz="4" w:space="0" w:color="auto"/>
              <w:left w:val="nil"/>
              <w:bottom w:val="single" w:sz="4" w:space="0" w:color="auto"/>
              <w:right w:val="nil"/>
            </w:tcBorders>
            <w:shd w:val="clear" w:color="auto" w:fill="auto"/>
            <w:noWrap/>
            <w:vAlign w:val="bottom"/>
            <w:hideMark/>
          </w:tcPr>
          <w:p w14:paraId="4A600C67" w14:textId="77777777" w:rsidR="00E66F49" w:rsidRPr="00666914" w:rsidRDefault="00E66F49" w:rsidP="00D27F91">
            <w:pPr>
              <w:spacing w:after="0"/>
              <w:jc w:val="right"/>
              <w:rPr>
                <w:rFonts w:eastAsia="Times New Roman" w:cs="Calibri"/>
                <w:b/>
                <w:bCs/>
                <w:color w:val="000000"/>
                <w:sz w:val="19"/>
                <w:szCs w:val="19"/>
                <w:lang w:eastAsia="sk-SK"/>
              </w:rPr>
            </w:pPr>
            <w:r w:rsidRPr="00666914">
              <w:rPr>
                <w:rFonts w:eastAsia="Times New Roman" w:cs="Calibri"/>
                <w:b/>
                <w:bCs/>
                <w:color w:val="000000"/>
                <w:sz w:val="19"/>
                <w:szCs w:val="19"/>
                <w:lang w:eastAsia="sk-SK"/>
              </w:rPr>
              <w:t>1,33%</w:t>
            </w:r>
          </w:p>
        </w:tc>
        <w:tc>
          <w:tcPr>
            <w:tcW w:w="460" w:type="pct"/>
            <w:tcBorders>
              <w:top w:val="single" w:sz="4" w:space="0" w:color="auto"/>
              <w:left w:val="nil"/>
              <w:bottom w:val="single" w:sz="4" w:space="0" w:color="auto"/>
              <w:right w:val="nil"/>
            </w:tcBorders>
            <w:shd w:val="clear" w:color="auto" w:fill="auto"/>
            <w:noWrap/>
            <w:vAlign w:val="bottom"/>
            <w:hideMark/>
          </w:tcPr>
          <w:p w14:paraId="61C8AE79" w14:textId="77777777" w:rsidR="00E66F49" w:rsidRPr="00666914" w:rsidRDefault="00E66F49" w:rsidP="00D27F91">
            <w:pPr>
              <w:spacing w:after="0"/>
              <w:jc w:val="right"/>
              <w:rPr>
                <w:rFonts w:eastAsia="Times New Roman" w:cs="Calibri"/>
                <w:b/>
                <w:bCs/>
                <w:color w:val="000000"/>
                <w:sz w:val="19"/>
                <w:szCs w:val="19"/>
                <w:lang w:eastAsia="sk-SK"/>
              </w:rPr>
            </w:pPr>
            <w:r w:rsidRPr="00666914">
              <w:rPr>
                <w:rFonts w:eastAsia="Times New Roman" w:cs="Calibri"/>
                <w:b/>
                <w:bCs/>
                <w:color w:val="000000"/>
                <w:sz w:val="19"/>
                <w:szCs w:val="19"/>
                <w:lang w:eastAsia="sk-SK"/>
              </w:rPr>
              <w:t>1,31%</w:t>
            </w:r>
          </w:p>
        </w:tc>
        <w:tc>
          <w:tcPr>
            <w:tcW w:w="460" w:type="pct"/>
            <w:tcBorders>
              <w:top w:val="single" w:sz="4" w:space="0" w:color="auto"/>
              <w:left w:val="nil"/>
              <w:bottom w:val="single" w:sz="4" w:space="0" w:color="auto"/>
              <w:right w:val="nil"/>
            </w:tcBorders>
            <w:shd w:val="clear" w:color="auto" w:fill="auto"/>
            <w:noWrap/>
            <w:vAlign w:val="bottom"/>
            <w:hideMark/>
          </w:tcPr>
          <w:p w14:paraId="6ADA36BD" w14:textId="77777777" w:rsidR="00E66F49" w:rsidRPr="00666914" w:rsidRDefault="00E66F49" w:rsidP="00D27F91">
            <w:pPr>
              <w:spacing w:after="0"/>
              <w:jc w:val="right"/>
              <w:rPr>
                <w:rFonts w:eastAsia="Times New Roman" w:cs="Calibri"/>
                <w:b/>
                <w:bCs/>
                <w:color w:val="000000"/>
                <w:sz w:val="19"/>
                <w:szCs w:val="19"/>
                <w:lang w:eastAsia="sk-SK"/>
              </w:rPr>
            </w:pPr>
            <w:r w:rsidRPr="00666914">
              <w:rPr>
                <w:rFonts w:eastAsia="Times New Roman" w:cs="Calibri"/>
                <w:b/>
                <w:bCs/>
                <w:color w:val="000000"/>
                <w:sz w:val="19"/>
                <w:szCs w:val="19"/>
                <w:lang w:eastAsia="sk-SK"/>
              </w:rPr>
              <w:t>1,30%</w:t>
            </w:r>
          </w:p>
        </w:tc>
        <w:tc>
          <w:tcPr>
            <w:tcW w:w="460" w:type="pct"/>
            <w:tcBorders>
              <w:top w:val="single" w:sz="4" w:space="0" w:color="auto"/>
              <w:left w:val="nil"/>
              <w:bottom w:val="single" w:sz="4" w:space="0" w:color="auto"/>
              <w:right w:val="nil"/>
            </w:tcBorders>
            <w:shd w:val="clear" w:color="auto" w:fill="auto"/>
            <w:noWrap/>
            <w:vAlign w:val="bottom"/>
            <w:hideMark/>
          </w:tcPr>
          <w:p w14:paraId="5072E83F" w14:textId="77777777" w:rsidR="00E66F49" w:rsidRPr="00666914" w:rsidRDefault="00E66F49" w:rsidP="00D27F91">
            <w:pPr>
              <w:spacing w:after="0"/>
              <w:jc w:val="right"/>
              <w:rPr>
                <w:rFonts w:eastAsia="Times New Roman" w:cs="Calibri"/>
                <w:b/>
                <w:bCs/>
                <w:color w:val="000000"/>
                <w:sz w:val="19"/>
                <w:szCs w:val="19"/>
                <w:lang w:eastAsia="sk-SK"/>
              </w:rPr>
            </w:pPr>
            <w:r w:rsidRPr="00666914">
              <w:rPr>
                <w:rFonts w:eastAsia="Times New Roman" w:cs="Calibri"/>
                <w:b/>
                <w:bCs/>
                <w:color w:val="000000"/>
                <w:sz w:val="19"/>
                <w:szCs w:val="19"/>
                <w:lang w:eastAsia="sk-SK"/>
              </w:rPr>
              <w:t>1,29%</w:t>
            </w:r>
          </w:p>
        </w:tc>
      </w:tr>
      <w:tr w:rsidR="00E66F49" w:rsidRPr="00666914" w14:paraId="1B77909A" w14:textId="77777777" w:rsidTr="00D27F91">
        <w:trPr>
          <w:trHeight w:val="300"/>
        </w:trPr>
        <w:tc>
          <w:tcPr>
            <w:tcW w:w="5000" w:type="pct"/>
            <w:gridSpan w:val="9"/>
            <w:tcBorders>
              <w:top w:val="single" w:sz="4" w:space="0" w:color="auto"/>
              <w:left w:val="nil"/>
              <w:bottom w:val="nil"/>
              <w:right w:val="nil"/>
            </w:tcBorders>
            <w:shd w:val="clear" w:color="auto" w:fill="auto"/>
            <w:noWrap/>
            <w:vAlign w:val="bottom"/>
            <w:hideMark/>
          </w:tcPr>
          <w:p w14:paraId="582841F7" w14:textId="77777777" w:rsidR="00E66F49" w:rsidRPr="00666914" w:rsidRDefault="00E66F49" w:rsidP="00D27F91">
            <w:pPr>
              <w:spacing w:after="0"/>
              <w:jc w:val="right"/>
              <w:rPr>
                <w:rFonts w:eastAsia="Times New Roman" w:cs="Calibri"/>
                <w:i/>
                <w:iCs/>
                <w:color w:val="000000"/>
                <w:sz w:val="18"/>
                <w:szCs w:val="18"/>
                <w:lang w:eastAsia="sk-SK"/>
              </w:rPr>
            </w:pPr>
            <w:r w:rsidRPr="00666914">
              <w:rPr>
                <w:rFonts w:eastAsia="Times New Roman" w:cs="Calibri"/>
                <w:i/>
                <w:iCs/>
                <w:color w:val="000000"/>
                <w:sz w:val="18"/>
                <w:szCs w:val="18"/>
                <w:lang w:eastAsia="sk-SK"/>
              </w:rPr>
              <w:t xml:space="preserve">Zdroj: ÚPSVaR </w:t>
            </w:r>
          </w:p>
        </w:tc>
      </w:tr>
    </w:tbl>
    <w:p w14:paraId="30057D68" w14:textId="77777777" w:rsidR="00DF6018" w:rsidRPr="00666914" w:rsidRDefault="00DF6018" w:rsidP="00DF6018">
      <w:pPr>
        <w:spacing w:after="0"/>
      </w:pPr>
    </w:p>
    <w:p w14:paraId="54F31EB0" w14:textId="0EEB1728" w:rsidR="00357F93" w:rsidRPr="00666914" w:rsidRDefault="00E66F49" w:rsidP="00D27F91">
      <w:r w:rsidRPr="00666914">
        <w:t xml:space="preserve">Napriek snahe o zníženie počtu detí vychovávaných v ústavnej starostlivosti (ÚS) sa tento počet v priebehu rokov 2012-2019 výrazne nemenil (tabuľka </w:t>
      </w:r>
      <w:r w:rsidR="00953FE8" w:rsidRPr="00666914">
        <w:t>8</w:t>
      </w:r>
      <w:r w:rsidR="00EB2C64" w:rsidRPr="00666914">
        <w:t>1</w:t>
      </w:r>
      <w:r w:rsidRPr="00666914">
        <w:t>)</w:t>
      </w:r>
      <w:r w:rsidRPr="00666914">
        <w:rPr>
          <w:rStyle w:val="Odkaznapoznmkupodiarou"/>
        </w:rPr>
        <w:footnoteReference w:id="336"/>
      </w:r>
      <w:r w:rsidRPr="00666914">
        <w:t>. V roku 2019 bola 5 081 deťom nariadená ústavná starostlivosť rozhodnutím súdu, táto hodnota zahŕňa aj rozhodnutia súdu o neodkladných opatreniach a výchovných opatreniach.</w:t>
      </w:r>
    </w:p>
    <w:tbl>
      <w:tblPr>
        <w:tblW w:w="5338" w:type="pct"/>
        <w:tblCellMar>
          <w:left w:w="70" w:type="dxa"/>
          <w:right w:w="70" w:type="dxa"/>
        </w:tblCellMar>
        <w:tblLook w:val="04A0" w:firstRow="1" w:lastRow="0" w:firstColumn="1" w:lastColumn="0" w:noHBand="0" w:noVBand="1"/>
      </w:tblPr>
      <w:tblGrid>
        <w:gridCol w:w="1396"/>
        <w:gridCol w:w="542"/>
        <w:gridCol w:w="513"/>
        <w:gridCol w:w="542"/>
        <w:gridCol w:w="513"/>
        <w:gridCol w:w="542"/>
        <w:gridCol w:w="513"/>
        <w:gridCol w:w="542"/>
        <w:gridCol w:w="513"/>
        <w:gridCol w:w="542"/>
        <w:gridCol w:w="513"/>
        <w:gridCol w:w="542"/>
        <w:gridCol w:w="513"/>
        <w:gridCol w:w="542"/>
        <w:gridCol w:w="513"/>
        <w:gridCol w:w="543"/>
        <w:gridCol w:w="513"/>
      </w:tblGrid>
      <w:tr w:rsidR="00E66F49" w:rsidRPr="00666914" w14:paraId="5F3ECC10" w14:textId="77777777" w:rsidTr="00CB4C6A">
        <w:trPr>
          <w:trHeight w:val="300"/>
        </w:trPr>
        <w:tc>
          <w:tcPr>
            <w:tcW w:w="5000" w:type="pct"/>
            <w:gridSpan w:val="17"/>
            <w:tcBorders>
              <w:top w:val="nil"/>
              <w:left w:val="nil"/>
              <w:bottom w:val="single" w:sz="4" w:space="0" w:color="auto"/>
              <w:right w:val="nil"/>
            </w:tcBorders>
            <w:shd w:val="clear" w:color="auto" w:fill="auto"/>
            <w:noWrap/>
            <w:vAlign w:val="bottom"/>
            <w:hideMark/>
          </w:tcPr>
          <w:p w14:paraId="0DED2F5D" w14:textId="19698476" w:rsidR="00E66F49" w:rsidRPr="00666914" w:rsidRDefault="00E66F49" w:rsidP="00D27F91">
            <w:pPr>
              <w:spacing w:after="0"/>
              <w:jc w:val="left"/>
              <w:rPr>
                <w:rFonts w:eastAsia="Times New Roman" w:cs="Calibri"/>
                <w:b/>
                <w:bCs/>
                <w:color w:val="000000"/>
                <w:sz w:val="20"/>
                <w:szCs w:val="20"/>
                <w:lang w:eastAsia="sk-SK"/>
              </w:rPr>
            </w:pPr>
            <w:bookmarkStart w:id="370" w:name="_Toc38447742"/>
            <w:r w:rsidRPr="00666914">
              <w:rPr>
                <w:rFonts w:eastAsia="Times New Roman" w:cs="Calibri"/>
                <w:b/>
                <w:bCs/>
                <w:color w:val="000000"/>
                <w:sz w:val="20"/>
                <w:szCs w:val="20"/>
                <w:lang w:eastAsia="sk-SK"/>
              </w:rPr>
              <w:t xml:space="preserve">Tabuľka </w:t>
            </w:r>
            <w:r w:rsidRPr="00666914">
              <w:rPr>
                <w:rFonts w:eastAsia="Times New Roman" w:cs="Calibri"/>
                <w:b/>
                <w:bCs/>
                <w:color w:val="000000"/>
                <w:sz w:val="20"/>
                <w:szCs w:val="20"/>
                <w:lang w:eastAsia="sk-SK"/>
              </w:rPr>
              <w:fldChar w:fldCharType="begin"/>
            </w:r>
            <w:r w:rsidRPr="00666914">
              <w:rPr>
                <w:rFonts w:eastAsia="Times New Roman" w:cs="Calibri"/>
                <w:b/>
                <w:bCs/>
                <w:color w:val="000000"/>
                <w:sz w:val="20"/>
                <w:szCs w:val="20"/>
                <w:lang w:eastAsia="sk-SK"/>
              </w:rPr>
              <w:instrText xml:space="preserve"> SEQ Tabuľka \* ARABIC \* MERGEFORMAT </w:instrText>
            </w:r>
            <w:r w:rsidRPr="00666914">
              <w:rPr>
                <w:rFonts w:eastAsia="Times New Roman" w:cs="Calibri"/>
                <w:b/>
                <w:bCs/>
                <w:color w:val="000000"/>
                <w:sz w:val="20"/>
                <w:szCs w:val="20"/>
                <w:lang w:eastAsia="sk-SK"/>
              </w:rPr>
              <w:fldChar w:fldCharType="separate"/>
            </w:r>
            <w:r w:rsidR="005A7304">
              <w:rPr>
                <w:rFonts w:eastAsia="Times New Roman" w:cs="Calibri"/>
                <w:b/>
                <w:bCs/>
                <w:noProof/>
                <w:color w:val="000000"/>
                <w:sz w:val="20"/>
                <w:szCs w:val="20"/>
                <w:lang w:eastAsia="sk-SK"/>
              </w:rPr>
              <w:t>81</w:t>
            </w:r>
            <w:r w:rsidRPr="00666914">
              <w:rPr>
                <w:rFonts w:eastAsia="Times New Roman" w:cs="Calibri"/>
                <w:b/>
                <w:bCs/>
                <w:color w:val="000000"/>
                <w:sz w:val="20"/>
                <w:szCs w:val="20"/>
                <w:lang w:eastAsia="sk-SK"/>
              </w:rPr>
              <w:fldChar w:fldCharType="end"/>
            </w:r>
            <w:r w:rsidRPr="00666914">
              <w:rPr>
                <w:rFonts w:eastAsia="Times New Roman" w:cs="Calibri"/>
                <w:b/>
                <w:bCs/>
                <w:color w:val="000000"/>
                <w:sz w:val="20"/>
                <w:szCs w:val="20"/>
                <w:lang w:eastAsia="sk-SK"/>
              </w:rPr>
              <w:t>: Deti vychovávané mimo rodiny – typy starostlivosti</w:t>
            </w:r>
            <w:r w:rsidRPr="00666914">
              <w:rPr>
                <w:rStyle w:val="Odkaznapoznmkupodiarou"/>
                <w:rFonts w:eastAsia="Times New Roman" w:cs="Calibri"/>
                <w:b/>
                <w:bCs/>
                <w:color w:val="000000"/>
                <w:sz w:val="20"/>
                <w:szCs w:val="20"/>
                <w:lang w:eastAsia="sk-SK"/>
              </w:rPr>
              <w:footnoteReference w:id="337"/>
            </w:r>
            <w:bookmarkEnd w:id="370"/>
            <w:r w:rsidRPr="00666914">
              <w:rPr>
                <w:rFonts w:eastAsia="Times New Roman" w:cs="Calibri"/>
                <w:b/>
                <w:bCs/>
                <w:color w:val="000000"/>
                <w:sz w:val="20"/>
                <w:szCs w:val="20"/>
                <w:lang w:eastAsia="sk-SK"/>
              </w:rPr>
              <w:t xml:space="preserve"> </w:t>
            </w:r>
          </w:p>
        </w:tc>
      </w:tr>
      <w:tr w:rsidR="00E66F49" w:rsidRPr="00666914" w14:paraId="2083D21B" w14:textId="77777777" w:rsidTr="00CB4C6A">
        <w:trPr>
          <w:trHeight w:val="300"/>
        </w:trPr>
        <w:tc>
          <w:tcPr>
            <w:tcW w:w="710" w:type="pct"/>
            <w:tcBorders>
              <w:top w:val="nil"/>
              <w:left w:val="nil"/>
              <w:bottom w:val="single" w:sz="4" w:space="0" w:color="auto"/>
              <w:right w:val="nil"/>
            </w:tcBorders>
            <w:shd w:val="clear" w:color="auto" w:fill="auto"/>
            <w:noWrap/>
            <w:vAlign w:val="bottom"/>
            <w:hideMark/>
          </w:tcPr>
          <w:p w14:paraId="07277462" w14:textId="77777777" w:rsidR="00E66F49" w:rsidRPr="00666914" w:rsidRDefault="00E66F49" w:rsidP="00D27F91">
            <w:pPr>
              <w:spacing w:after="0"/>
              <w:jc w:val="left"/>
              <w:rPr>
                <w:rFonts w:eastAsia="Times New Roman" w:cs="Calibri"/>
                <w:b/>
                <w:bCs/>
                <w:color w:val="000000"/>
                <w:sz w:val="18"/>
                <w:szCs w:val="18"/>
                <w:lang w:eastAsia="sk-SK"/>
              </w:rPr>
            </w:pPr>
            <w:r w:rsidRPr="00666914">
              <w:rPr>
                <w:rFonts w:eastAsia="Times New Roman" w:cs="Calibri"/>
                <w:b/>
                <w:bCs/>
                <w:color w:val="000000"/>
                <w:sz w:val="18"/>
                <w:szCs w:val="18"/>
                <w:lang w:eastAsia="sk-SK"/>
              </w:rPr>
              <w:t xml:space="preserve">počet detí / rok </w:t>
            </w:r>
          </w:p>
        </w:tc>
        <w:tc>
          <w:tcPr>
            <w:tcW w:w="536" w:type="pct"/>
            <w:gridSpan w:val="2"/>
            <w:tcBorders>
              <w:top w:val="single" w:sz="4" w:space="0" w:color="auto"/>
              <w:left w:val="nil"/>
              <w:bottom w:val="single" w:sz="4" w:space="0" w:color="auto"/>
              <w:right w:val="nil"/>
            </w:tcBorders>
            <w:shd w:val="clear" w:color="auto" w:fill="auto"/>
            <w:noWrap/>
            <w:vAlign w:val="bottom"/>
            <w:hideMark/>
          </w:tcPr>
          <w:p w14:paraId="0FA87CAA" w14:textId="77777777" w:rsidR="00E66F49" w:rsidRPr="00666914" w:rsidRDefault="00E66F49" w:rsidP="00D27F91">
            <w:pPr>
              <w:spacing w:after="0"/>
              <w:jc w:val="left"/>
              <w:rPr>
                <w:rFonts w:eastAsia="Times New Roman" w:cs="Calibri"/>
                <w:b/>
                <w:bCs/>
                <w:color w:val="000000"/>
                <w:sz w:val="16"/>
                <w:szCs w:val="16"/>
                <w:lang w:eastAsia="sk-SK"/>
              </w:rPr>
            </w:pPr>
            <w:r w:rsidRPr="00666914">
              <w:rPr>
                <w:rFonts w:eastAsia="Times New Roman" w:cs="Calibri"/>
                <w:b/>
                <w:bCs/>
                <w:color w:val="000000"/>
                <w:sz w:val="16"/>
                <w:szCs w:val="16"/>
                <w:lang w:eastAsia="sk-SK"/>
              </w:rPr>
              <w:t>2012</w:t>
            </w:r>
          </w:p>
        </w:tc>
        <w:tc>
          <w:tcPr>
            <w:tcW w:w="536" w:type="pct"/>
            <w:gridSpan w:val="2"/>
            <w:tcBorders>
              <w:top w:val="single" w:sz="4" w:space="0" w:color="auto"/>
              <w:left w:val="nil"/>
              <w:bottom w:val="single" w:sz="4" w:space="0" w:color="auto"/>
              <w:right w:val="nil"/>
            </w:tcBorders>
            <w:shd w:val="clear" w:color="auto" w:fill="auto"/>
            <w:noWrap/>
            <w:vAlign w:val="bottom"/>
            <w:hideMark/>
          </w:tcPr>
          <w:p w14:paraId="4DC34DEA" w14:textId="77777777" w:rsidR="00E66F49" w:rsidRPr="00666914" w:rsidRDefault="00E66F49" w:rsidP="00D27F91">
            <w:pPr>
              <w:spacing w:after="0"/>
              <w:jc w:val="left"/>
              <w:rPr>
                <w:rFonts w:eastAsia="Times New Roman" w:cs="Calibri"/>
                <w:b/>
                <w:bCs/>
                <w:color w:val="000000"/>
                <w:sz w:val="16"/>
                <w:szCs w:val="16"/>
                <w:lang w:eastAsia="sk-SK"/>
              </w:rPr>
            </w:pPr>
            <w:r w:rsidRPr="00666914">
              <w:rPr>
                <w:rFonts w:eastAsia="Times New Roman" w:cs="Calibri"/>
                <w:b/>
                <w:bCs/>
                <w:color w:val="000000"/>
                <w:sz w:val="16"/>
                <w:szCs w:val="16"/>
                <w:lang w:eastAsia="sk-SK"/>
              </w:rPr>
              <w:t>2013</w:t>
            </w:r>
          </w:p>
        </w:tc>
        <w:tc>
          <w:tcPr>
            <w:tcW w:w="536" w:type="pct"/>
            <w:gridSpan w:val="2"/>
            <w:tcBorders>
              <w:top w:val="single" w:sz="4" w:space="0" w:color="auto"/>
              <w:left w:val="nil"/>
              <w:bottom w:val="single" w:sz="4" w:space="0" w:color="auto"/>
              <w:right w:val="nil"/>
            </w:tcBorders>
            <w:shd w:val="clear" w:color="auto" w:fill="auto"/>
            <w:noWrap/>
            <w:vAlign w:val="bottom"/>
            <w:hideMark/>
          </w:tcPr>
          <w:p w14:paraId="5890E0C6" w14:textId="77777777" w:rsidR="00E66F49" w:rsidRPr="00666914" w:rsidRDefault="00E66F49" w:rsidP="00D27F91">
            <w:pPr>
              <w:spacing w:after="0"/>
              <w:jc w:val="left"/>
              <w:rPr>
                <w:rFonts w:eastAsia="Times New Roman" w:cs="Calibri"/>
                <w:b/>
                <w:bCs/>
                <w:color w:val="000000"/>
                <w:sz w:val="16"/>
                <w:szCs w:val="16"/>
                <w:lang w:eastAsia="sk-SK"/>
              </w:rPr>
            </w:pPr>
            <w:r w:rsidRPr="00666914">
              <w:rPr>
                <w:rFonts w:eastAsia="Times New Roman" w:cs="Calibri"/>
                <w:b/>
                <w:bCs/>
                <w:color w:val="000000"/>
                <w:sz w:val="16"/>
                <w:szCs w:val="16"/>
                <w:lang w:eastAsia="sk-SK"/>
              </w:rPr>
              <w:t>2014</w:t>
            </w:r>
          </w:p>
        </w:tc>
        <w:tc>
          <w:tcPr>
            <w:tcW w:w="536" w:type="pct"/>
            <w:gridSpan w:val="2"/>
            <w:tcBorders>
              <w:top w:val="single" w:sz="4" w:space="0" w:color="auto"/>
              <w:left w:val="nil"/>
              <w:bottom w:val="single" w:sz="4" w:space="0" w:color="auto"/>
              <w:right w:val="nil"/>
            </w:tcBorders>
            <w:shd w:val="clear" w:color="auto" w:fill="auto"/>
            <w:noWrap/>
            <w:vAlign w:val="bottom"/>
            <w:hideMark/>
          </w:tcPr>
          <w:p w14:paraId="490BF2CE" w14:textId="77777777" w:rsidR="00E66F49" w:rsidRPr="00666914" w:rsidRDefault="00E66F49" w:rsidP="00D27F91">
            <w:pPr>
              <w:spacing w:after="0"/>
              <w:jc w:val="left"/>
              <w:rPr>
                <w:rFonts w:eastAsia="Times New Roman" w:cs="Calibri"/>
                <w:b/>
                <w:bCs/>
                <w:color w:val="000000"/>
                <w:sz w:val="16"/>
                <w:szCs w:val="16"/>
                <w:lang w:eastAsia="sk-SK"/>
              </w:rPr>
            </w:pPr>
            <w:r w:rsidRPr="00666914">
              <w:rPr>
                <w:rFonts w:eastAsia="Times New Roman" w:cs="Calibri"/>
                <w:b/>
                <w:bCs/>
                <w:color w:val="000000"/>
                <w:sz w:val="16"/>
                <w:szCs w:val="16"/>
                <w:lang w:eastAsia="sk-SK"/>
              </w:rPr>
              <w:t>2015</w:t>
            </w:r>
          </w:p>
        </w:tc>
        <w:tc>
          <w:tcPr>
            <w:tcW w:w="536" w:type="pct"/>
            <w:gridSpan w:val="2"/>
            <w:tcBorders>
              <w:top w:val="single" w:sz="4" w:space="0" w:color="auto"/>
              <w:left w:val="nil"/>
              <w:bottom w:val="single" w:sz="4" w:space="0" w:color="auto"/>
              <w:right w:val="nil"/>
            </w:tcBorders>
            <w:shd w:val="clear" w:color="auto" w:fill="auto"/>
            <w:noWrap/>
            <w:vAlign w:val="bottom"/>
            <w:hideMark/>
          </w:tcPr>
          <w:p w14:paraId="6A6EB1BC" w14:textId="77777777" w:rsidR="00E66F49" w:rsidRPr="00666914" w:rsidRDefault="00E66F49" w:rsidP="00D27F91">
            <w:pPr>
              <w:spacing w:after="0"/>
              <w:jc w:val="left"/>
              <w:rPr>
                <w:rFonts w:eastAsia="Times New Roman" w:cs="Calibri"/>
                <w:b/>
                <w:bCs/>
                <w:color w:val="000000"/>
                <w:sz w:val="16"/>
                <w:szCs w:val="16"/>
                <w:lang w:eastAsia="sk-SK"/>
              </w:rPr>
            </w:pPr>
            <w:r w:rsidRPr="00666914">
              <w:rPr>
                <w:rFonts w:eastAsia="Times New Roman" w:cs="Calibri"/>
                <w:b/>
                <w:bCs/>
                <w:color w:val="000000"/>
                <w:sz w:val="16"/>
                <w:szCs w:val="16"/>
                <w:lang w:eastAsia="sk-SK"/>
              </w:rPr>
              <w:t>2016</w:t>
            </w:r>
          </w:p>
        </w:tc>
        <w:tc>
          <w:tcPr>
            <w:tcW w:w="536" w:type="pct"/>
            <w:gridSpan w:val="2"/>
            <w:tcBorders>
              <w:top w:val="single" w:sz="4" w:space="0" w:color="auto"/>
              <w:left w:val="nil"/>
              <w:bottom w:val="single" w:sz="4" w:space="0" w:color="auto"/>
              <w:right w:val="nil"/>
            </w:tcBorders>
            <w:shd w:val="clear" w:color="auto" w:fill="auto"/>
            <w:noWrap/>
            <w:vAlign w:val="bottom"/>
            <w:hideMark/>
          </w:tcPr>
          <w:p w14:paraId="33A55E87" w14:textId="77777777" w:rsidR="00E66F49" w:rsidRPr="00666914" w:rsidRDefault="00E66F49" w:rsidP="00D27F91">
            <w:pPr>
              <w:spacing w:after="0"/>
              <w:jc w:val="left"/>
              <w:rPr>
                <w:rFonts w:eastAsia="Times New Roman" w:cs="Calibri"/>
                <w:b/>
                <w:bCs/>
                <w:color w:val="000000"/>
                <w:sz w:val="16"/>
                <w:szCs w:val="16"/>
                <w:lang w:eastAsia="sk-SK"/>
              </w:rPr>
            </w:pPr>
            <w:r w:rsidRPr="00666914">
              <w:rPr>
                <w:rFonts w:eastAsia="Times New Roman" w:cs="Calibri"/>
                <w:b/>
                <w:bCs/>
                <w:color w:val="000000"/>
                <w:sz w:val="16"/>
                <w:szCs w:val="16"/>
                <w:lang w:eastAsia="sk-SK"/>
              </w:rPr>
              <w:t>2017</w:t>
            </w:r>
          </w:p>
        </w:tc>
        <w:tc>
          <w:tcPr>
            <w:tcW w:w="536" w:type="pct"/>
            <w:gridSpan w:val="2"/>
            <w:tcBorders>
              <w:top w:val="single" w:sz="4" w:space="0" w:color="auto"/>
              <w:left w:val="nil"/>
              <w:bottom w:val="single" w:sz="4" w:space="0" w:color="auto"/>
              <w:right w:val="nil"/>
            </w:tcBorders>
            <w:shd w:val="clear" w:color="auto" w:fill="auto"/>
            <w:noWrap/>
            <w:vAlign w:val="bottom"/>
            <w:hideMark/>
          </w:tcPr>
          <w:p w14:paraId="6A2823BA" w14:textId="77777777" w:rsidR="00E66F49" w:rsidRPr="00666914" w:rsidRDefault="00E66F49" w:rsidP="00D27F91">
            <w:pPr>
              <w:spacing w:after="0"/>
              <w:jc w:val="left"/>
              <w:rPr>
                <w:rFonts w:eastAsia="Times New Roman" w:cs="Calibri"/>
                <w:b/>
                <w:bCs/>
                <w:color w:val="000000"/>
                <w:sz w:val="16"/>
                <w:szCs w:val="16"/>
                <w:lang w:eastAsia="sk-SK"/>
              </w:rPr>
            </w:pPr>
            <w:r w:rsidRPr="00666914">
              <w:rPr>
                <w:rFonts w:eastAsia="Times New Roman" w:cs="Calibri"/>
                <w:b/>
                <w:bCs/>
                <w:color w:val="000000"/>
                <w:sz w:val="16"/>
                <w:szCs w:val="16"/>
                <w:lang w:eastAsia="sk-SK"/>
              </w:rPr>
              <w:t>2018</w:t>
            </w:r>
          </w:p>
        </w:tc>
        <w:tc>
          <w:tcPr>
            <w:tcW w:w="536" w:type="pct"/>
            <w:gridSpan w:val="2"/>
            <w:tcBorders>
              <w:top w:val="single" w:sz="4" w:space="0" w:color="auto"/>
              <w:left w:val="nil"/>
              <w:bottom w:val="single" w:sz="4" w:space="0" w:color="auto"/>
              <w:right w:val="nil"/>
            </w:tcBorders>
            <w:shd w:val="clear" w:color="auto" w:fill="auto"/>
            <w:noWrap/>
            <w:vAlign w:val="bottom"/>
            <w:hideMark/>
          </w:tcPr>
          <w:p w14:paraId="20EF89BD" w14:textId="77777777" w:rsidR="00E66F49" w:rsidRPr="00666914" w:rsidRDefault="00E66F49" w:rsidP="00D27F91">
            <w:pPr>
              <w:spacing w:after="0"/>
              <w:jc w:val="left"/>
              <w:rPr>
                <w:rFonts w:eastAsia="Times New Roman" w:cs="Calibri"/>
                <w:b/>
                <w:bCs/>
                <w:color w:val="000000"/>
                <w:sz w:val="16"/>
                <w:szCs w:val="16"/>
                <w:lang w:eastAsia="sk-SK"/>
              </w:rPr>
            </w:pPr>
            <w:r w:rsidRPr="00666914">
              <w:rPr>
                <w:rFonts w:eastAsia="Times New Roman" w:cs="Calibri"/>
                <w:b/>
                <w:bCs/>
                <w:color w:val="000000"/>
                <w:sz w:val="16"/>
                <w:szCs w:val="16"/>
                <w:lang w:eastAsia="sk-SK"/>
              </w:rPr>
              <w:t>2019</w:t>
            </w:r>
          </w:p>
        </w:tc>
      </w:tr>
      <w:tr w:rsidR="00E66F49" w:rsidRPr="00666914" w14:paraId="09DFCBAD" w14:textId="77777777" w:rsidTr="00CB4C6A">
        <w:trPr>
          <w:trHeight w:val="255"/>
        </w:trPr>
        <w:tc>
          <w:tcPr>
            <w:tcW w:w="710" w:type="pct"/>
            <w:tcBorders>
              <w:top w:val="nil"/>
              <w:left w:val="nil"/>
              <w:bottom w:val="nil"/>
              <w:right w:val="nil"/>
            </w:tcBorders>
            <w:shd w:val="clear" w:color="000000" w:fill="D9D9D9"/>
            <w:noWrap/>
            <w:vAlign w:val="bottom"/>
            <w:hideMark/>
          </w:tcPr>
          <w:p w14:paraId="7C20235B" w14:textId="77777777" w:rsidR="00E66F49" w:rsidRPr="00666914" w:rsidRDefault="00E66F49" w:rsidP="00D27F91">
            <w:pPr>
              <w:spacing w:after="0"/>
              <w:jc w:val="left"/>
              <w:rPr>
                <w:rFonts w:eastAsia="Times New Roman" w:cs="Calibri"/>
                <w:b/>
                <w:bCs/>
                <w:color w:val="000000"/>
                <w:sz w:val="18"/>
                <w:szCs w:val="18"/>
                <w:lang w:eastAsia="sk-SK"/>
              </w:rPr>
            </w:pPr>
            <w:r w:rsidRPr="00666914">
              <w:rPr>
                <w:rFonts w:eastAsia="Times New Roman" w:cs="Calibri"/>
                <w:b/>
                <w:bCs/>
                <w:color w:val="000000"/>
                <w:sz w:val="18"/>
                <w:szCs w:val="18"/>
                <w:lang w:eastAsia="sk-SK"/>
              </w:rPr>
              <w:t xml:space="preserve">Celkom </w:t>
            </w:r>
          </w:p>
        </w:tc>
        <w:tc>
          <w:tcPr>
            <w:tcW w:w="276" w:type="pct"/>
            <w:tcBorders>
              <w:top w:val="nil"/>
              <w:left w:val="nil"/>
              <w:bottom w:val="nil"/>
              <w:right w:val="nil"/>
            </w:tcBorders>
            <w:shd w:val="clear" w:color="000000" w:fill="D9D9D9"/>
            <w:noWrap/>
            <w:vAlign w:val="bottom"/>
            <w:hideMark/>
          </w:tcPr>
          <w:p w14:paraId="77F95A2F"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14 455</w:t>
            </w:r>
          </w:p>
        </w:tc>
        <w:tc>
          <w:tcPr>
            <w:tcW w:w="261" w:type="pct"/>
            <w:tcBorders>
              <w:top w:val="nil"/>
              <w:left w:val="nil"/>
              <w:bottom w:val="nil"/>
              <w:right w:val="nil"/>
            </w:tcBorders>
            <w:shd w:val="clear" w:color="000000" w:fill="D9D9D9"/>
            <w:noWrap/>
            <w:vAlign w:val="bottom"/>
            <w:hideMark/>
          </w:tcPr>
          <w:p w14:paraId="3405AE4B" w14:textId="77777777" w:rsidR="00E66F49" w:rsidRPr="00666914" w:rsidRDefault="00E66F49" w:rsidP="00D27F91">
            <w:pPr>
              <w:spacing w:after="0"/>
              <w:jc w:val="left"/>
              <w:rPr>
                <w:rFonts w:eastAsia="Times New Roman" w:cs="Calibri"/>
                <w:b/>
                <w:bCs/>
                <w:color w:val="000000"/>
                <w:sz w:val="16"/>
                <w:szCs w:val="16"/>
                <w:lang w:eastAsia="sk-SK"/>
              </w:rPr>
            </w:pPr>
          </w:p>
        </w:tc>
        <w:tc>
          <w:tcPr>
            <w:tcW w:w="276" w:type="pct"/>
            <w:tcBorders>
              <w:top w:val="nil"/>
              <w:left w:val="nil"/>
              <w:bottom w:val="nil"/>
              <w:right w:val="nil"/>
            </w:tcBorders>
            <w:shd w:val="clear" w:color="000000" w:fill="D9D9D9"/>
            <w:noWrap/>
            <w:vAlign w:val="bottom"/>
            <w:hideMark/>
          </w:tcPr>
          <w:p w14:paraId="58FC3867"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14 029</w:t>
            </w:r>
          </w:p>
        </w:tc>
        <w:tc>
          <w:tcPr>
            <w:tcW w:w="261" w:type="pct"/>
            <w:tcBorders>
              <w:top w:val="nil"/>
              <w:left w:val="nil"/>
              <w:bottom w:val="nil"/>
              <w:right w:val="nil"/>
            </w:tcBorders>
            <w:shd w:val="clear" w:color="000000" w:fill="D9D9D9"/>
            <w:noWrap/>
            <w:vAlign w:val="bottom"/>
            <w:hideMark/>
          </w:tcPr>
          <w:p w14:paraId="5F0CBA5B" w14:textId="77777777" w:rsidR="00E66F49" w:rsidRPr="00666914" w:rsidRDefault="00E66F49" w:rsidP="00D27F91">
            <w:pPr>
              <w:spacing w:after="0"/>
              <w:jc w:val="left"/>
              <w:rPr>
                <w:rFonts w:eastAsia="Times New Roman" w:cs="Calibri"/>
                <w:b/>
                <w:bCs/>
                <w:color w:val="000000"/>
                <w:sz w:val="16"/>
                <w:szCs w:val="16"/>
                <w:lang w:eastAsia="sk-SK"/>
              </w:rPr>
            </w:pPr>
          </w:p>
        </w:tc>
        <w:tc>
          <w:tcPr>
            <w:tcW w:w="276" w:type="pct"/>
            <w:tcBorders>
              <w:top w:val="nil"/>
              <w:left w:val="nil"/>
              <w:bottom w:val="nil"/>
              <w:right w:val="nil"/>
            </w:tcBorders>
            <w:shd w:val="clear" w:color="000000" w:fill="D9D9D9"/>
            <w:noWrap/>
            <w:vAlign w:val="bottom"/>
            <w:hideMark/>
          </w:tcPr>
          <w:p w14:paraId="06562754"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14 099</w:t>
            </w:r>
          </w:p>
        </w:tc>
        <w:tc>
          <w:tcPr>
            <w:tcW w:w="261" w:type="pct"/>
            <w:tcBorders>
              <w:top w:val="nil"/>
              <w:left w:val="nil"/>
              <w:bottom w:val="nil"/>
              <w:right w:val="nil"/>
            </w:tcBorders>
            <w:shd w:val="clear" w:color="000000" w:fill="D9D9D9"/>
            <w:noWrap/>
            <w:vAlign w:val="bottom"/>
            <w:hideMark/>
          </w:tcPr>
          <w:p w14:paraId="322F7511" w14:textId="77777777" w:rsidR="00E66F49" w:rsidRPr="00666914" w:rsidRDefault="00E66F49" w:rsidP="00D27F91">
            <w:pPr>
              <w:spacing w:after="0"/>
              <w:jc w:val="left"/>
              <w:rPr>
                <w:rFonts w:eastAsia="Times New Roman" w:cs="Calibri"/>
                <w:b/>
                <w:bCs/>
                <w:color w:val="000000"/>
                <w:sz w:val="16"/>
                <w:szCs w:val="16"/>
                <w:lang w:eastAsia="sk-SK"/>
              </w:rPr>
            </w:pPr>
          </w:p>
        </w:tc>
        <w:tc>
          <w:tcPr>
            <w:tcW w:w="276" w:type="pct"/>
            <w:tcBorders>
              <w:top w:val="nil"/>
              <w:left w:val="nil"/>
              <w:bottom w:val="nil"/>
              <w:right w:val="nil"/>
            </w:tcBorders>
            <w:shd w:val="clear" w:color="000000" w:fill="D9D9D9"/>
            <w:noWrap/>
            <w:vAlign w:val="bottom"/>
            <w:hideMark/>
          </w:tcPr>
          <w:p w14:paraId="61AAE5D0"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14 059</w:t>
            </w:r>
          </w:p>
        </w:tc>
        <w:tc>
          <w:tcPr>
            <w:tcW w:w="261" w:type="pct"/>
            <w:tcBorders>
              <w:top w:val="nil"/>
              <w:left w:val="nil"/>
              <w:bottom w:val="nil"/>
              <w:right w:val="nil"/>
            </w:tcBorders>
            <w:shd w:val="clear" w:color="000000" w:fill="D9D9D9"/>
            <w:noWrap/>
            <w:vAlign w:val="bottom"/>
            <w:hideMark/>
          </w:tcPr>
          <w:p w14:paraId="743F5831" w14:textId="77777777" w:rsidR="00E66F49" w:rsidRPr="00666914" w:rsidRDefault="00E66F49" w:rsidP="00D27F91">
            <w:pPr>
              <w:spacing w:after="0"/>
              <w:jc w:val="left"/>
              <w:rPr>
                <w:rFonts w:eastAsia="Times New Roman" w:cs="Calibri"/>
                <w:b/>
                <w:bCs/>
                <w:color w:val="000000"/>
                <w:sz w:val="16"/>
                <w:szCs w:val="16"/>
                <w:lang w:eastAsia="sk-SK"/>
              </w:rPr>
            </w:pPr>
          </w:p>
        </w:tc>
        <w:tc>
          <w:tcPr>
            <w:tcW w:w="276" w:type="pct"/>
            <w:tcBorders>
              <w:top w:val="nil"/>
              <w:left w:val="nil"/>
              <w:bottom w:val="nil"/>
              <w:right w:val="nil"/>
            </w:tcBorders>
            <w:shd w:val="clear" w:color="000000" w:fill="D9D9D9"/>
            <w:noWrap/>
            <w:vAlign w:val="bottom"/>
            <w:hideMark/>
          </w:tcPr>
          <w:p w14:paraId="3D2744C4"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14 065</w:t>
            </w:r>
          </w:p>
        </w:tc>
        <w:tc>
          <w:tcPr>
            <w:tcW w:w="261" w:type="pct"/>
            <w:tcBorders>
              <w:top w:val="nil"/>
              <w:left w:val="nil"/>
              <w:bottom w:val="nil"/>
              <w:right w:val="nil"/>
            </w:tcBorders>
            <w:shd w:val="clear" w:color="000000" w:fill="D9D9D9"/>
            <w:noWrap/>
            <w:vAlign w:val="bottom"/>
            <w:hideMark/>
          </w:tcPr>
          <w:p w14:paraId="2685DB83" w14:textId="77777777" w:rsidR="00E66F49" w:rsidRPr="00666914" w:rsidRDefault="00E66F49" w:rsidP="00D27F91">
            <w:pPr>
              <w:spacing w:after="0"/>
              <w:jc w:val="left"/>
              <w:rPr>
                <w:rFonts w:eastAsia="Times New Roman" w:cs="Calibri"/>
                <w:b/>
                <w:bCs/>
                <w:color w:val="000000"/>
                <w:sz w:val="16"/>
                <w:szCs w:val="16"/>
                <w:lang w:eastAsia="sk-SK"/>
              </w:rPr>
            </w:pPr>
          </w:p>
        </w:tc>
        <w:tc>
          <w:tcPr>
            <w:tcW w:w="276" w:type="pct"/>
            <w:tcBorders>
              <w:top w:val="nil"/>
              <w:left w:val="nil"/>
              <w:bottom w:val="nil"/>
              <w:right w:val="nil"/>
            </w:tcBorders>
            <w:shd w:val="clear" w:color="000000" w:fill="D9D9D9"/>
            <w:noWrap/>
            <w:vAlign w:val="bottom"/>
            <w:hideMark/>
          </w:tcPr>
          <w:p w14:paraId="7842EEED"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13 890</w:t>
            </w:r>
          </w:p>
        </w:tc>
        <w:tc>
          <w:tcPr>
            <w:tcW w:w="261" w:type="pct"/>
            <w:tcBorders>
              <w:top w:val="nil"/>
              <w:left w:val="nil"/>
              <w:bottom w:val="nil"/>
              <w:right w:val="nil"/>
            </w:tcBorders>
            <w:shd w:val="clear" w:color="000000" w:fill="D9D9D9"/>
            <w:noWrap/>
            <w:vAlign w:val="bottom"/>
            <w:hideMark/>
          </w:tcPr>
          <w:p w14:paraId="3AD4FF19" w14:textId="77777777" w:rsidR="00E66F49" w:rsidRPr="00666914" w:rsidRDefault="00E66F49" w:rsidP="00D27F91">
            <w:pPr>
              <w:spacing w:after="0"/>
              <w:jc w:val="left"/>
              <w:rPr>
                <w:rFonts w:eastAsia="Times New Roman" w:cs="Calibri"/>
                <w:b/>
                <w:bCs/>
                <w:color w:val="000000"/>
                <w:sz w:val="16"/>
                <w:szCs w:val="16"/>
                <w:lang w:eastAsia="sk-SK"/>
              </w:rPr>
            </w:pPr>
          </w:p>
        </w:tc>
        <w:tc>
          <w:tcPr>
            <w:tcW w:w="276" w:type="pct"/>
            <w:tcBorders>
              <w:top w:val="nil"/>
              <w:left w:val="nil"/>
              <w:bottom w:val="nil"/>
              <w:right w:val="nil"/>
            </w:tcBorders>
            <w:shd w:val="clear" w:color="000000" w:fill="D9D9D9"/>
            <w:noWrap/>
            <w:vAlign w:val="bottom"/>
            <w:hideMark/>
          </w:tcPr>
          <w:p w14:paraId="184B2572"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13 863</w:t>
            </w:r>
          </w:p>
        </w:tc>
        <w:tc>
          <w:tcPr>
            <w:tcW w:w="261" w:type="pct"/>
            <w:tcBorders>
              <w:top w:val="nil"/>
              <w:left w:val="nil"/>
              <w:bottom w:val="nil"/>
              <w:right w:val="nil"/>
            </w:tcBorders>
            <w:shd w:val="clear" w:color="000000" w:fill="D9D9D9"/>
            <w:noWrap/>
            <w:vAlign w:val="bottom"/>
            <w:hideMark/>
          </w:tcPr>
          <w:p w14:paraId="15E84535" w14:textId="77777777" w:rsidR="00E66F49" w:rsidRPr="00666914" w:rsidRDefault="00E66F49" w:rsidP="00D27F91">
            <w:pPr>
              <w:spacing w:after="0"/>
              <w:jc w:val="left"/>
              <w:rPr>
                <w:rFonts w:eastAsia="Times New Roman" w:cs="Calibri"/>
                <w:b/>
                <w:bCs/>
                <w:color w:val="000000"/>
                <w:sz w:val="16"/>
                <w:szCs w:val="16"/>
                <w:lang w:eastAsia="sk-SK"/>
              </w:rPr>
            </w:pPr>
          </w:p>
        </w:tc>
        <w:tc>
          <w:tcPr>
            <w:tcW w:w="276" w:type="pct"/>
            <w:tcBorders>
              <w:top w:val="nil"/>
              <w:left w:val="nil"/>
              <w:bottom w:val="nil"/>
              <w:right w:val="nil"/>
            </w:tcBorders>
            <w:shd w:val="clear" w:color="000000" w:fill="D9D9D9"/>
            <w:noWrap/>
            <w:vAlign w:val="bottom"/>
            <w:hideMark/>
          </w:tcPr>
          <w:p w14:paraId="0AB3BDFA"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13 788</w:t>
            </w:r>
          </w:p>
        </w:tc>
        <w:tc>
          <w:tcPr>
            <w:tcW w:w="261" w:type="pct"/>
            <w:tcBorders>
              <w:top w:val="nil"/>
              <w:left w:val="nil"/>
              <w:bottom w:val="nil"/>
              <w:right w:val="nil"/>
            </w:tcBorders>
            <w:shd w:val="clear" w:color="000000" w:fill="D9D9D9"/>
            <w:noWrap/>
            <w:vAlign w:val="bottom"/>
            <w:hideMark/>
          </w:tcPr>
          <w:p w14:paraId="2C8BCA62" w14:textId="77777777" w:rsidR="00E66F49" w:rsidRPr="00666914" w:rsidRDefault="00E66F49" w:rsidP="00D27F91">
            <w:pPr>
              <w:spacing w:after="0"/>
              <w:jc w:val="left"/>
              <w:rPr>
                <w:rFonts w:eastAsia="Times New Roman" w:cs="Calibri"/>
                <w:b/>
                <w:bCs/>
                <w:color w:val="000000"/>
                <w:sz w:val="16"/>
                <w:szCs w:val="16"/>
                <w:lang w:eastAsia="sk-SK"/>
              </w:rPr>
            </w:pPr>
          </w:p>
        </w:tc>
      </w:tr>
      <w:tr w:rsidR="00E66F49" w:rsidRPr="00666914" w14:paraId="06E7D00D" w14:textId="77777777" w:rsidTr="00CB4C6A">
        <w:trPr>
          <w:trHeight w:val="255"/>
        </w:trPr>
        <w:tc>
          <w:tcPr>
            <w:tcW w:w="710" w:type="pct"/>
            <w:tcBorders>
              <w:top w:val="nil"/>
              <w:left w:val="nil"/>
              <w:bottom w:val="nil"/>
              <w:right w:val="nil"/>
            </w:tcBorders>
            <w:shd w:val="clear" w:color="auto" w:fill="auto"/>
            <w:noWrap/>
            <w:vAlign w:val="bottom"/>
            <w:hideMark/>
          </w:tcPr>
          <w:p w14:paraId="6995568E" w14:textId="77777777" w:rsidR="00E66F49" w:rsidRPr="00666914" w:rsidRDefault="00E66F49" w:rsidP="00D27F91">
            <w:pPr>
              <w:spacing w:after="0"/>
              <w:jc w:val="left"/>
              <w:rPr>
                <w:rFonts w:eastAsia="Times New Roman" w:cs="Calibri"/>
                <w:color w:val="000000"/>
                <w:sz w:val="18"/>
                <w:szCs w:val="18"/>
                <w:lang w:eastAsia="sk-SK"/>
              </w:rPr>
            </w:pPr>
            <w:r w:rsidRPr="00666914">
              <w:rPr>
                <w:rFonts w:eastAsia="Times New Roman" w:cs="Calibri"/>
                <w:color w:val="000000"/>
                <w:sz w:val="18"/>
                <w:szCs w:val="18"/>
                <w:lang w:eastAsia="sk-SK"/>
              </w:rPr>
              <w:t>PS</w:t>
            </w:r>
          </w:p>
        </w:tc>
        <w:tc>
          <w:tcPr>
            <w:tcW w:w="276" w:type="pct"/>
            <w:tcBorders>
              <w:top w:val="nil"/>
              <w:left w:val="nil"/>
              <w:bottom w:val="nil"/>
              <w:right w:val="nil"/>
            </w:tcBorders>
            <w:shd w:val="clear" w:color="auto" w:fill="auto"/>
            <w:noWrap/>
            <w:vAlign w:val="bottom"/>
            <w:hideMark/>
          </w:tcPr>
          <w:p w14:paraId="212673F5"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2 151</w:t>
            </w:r>
          </w:p>
        </w:tc>
        <w:tc>
          <w:tcPr>
            <w:tcW w:w="261" w:type="pct"/>
            <w:tcBorders>
              <w:top w:val="nil"/>
              <w:left w:val="nil"/>
              <w:bottom w:val="nil"/>
              <w:right w:val="nil"/>
            </w:tcBorders>
            <w:shd w:val="clear" w:color="auto" w:fill="auto"/>
            <w:noWrap/>
            <w:vAlign w:val="bottom"/>
            <w:hideMark/>
          </w:tcPr>
          <w:p w14:paraId="5B3B46D5" w14:textId="77777777" w:rsidR="00E66F49" w:rsidRPr="00666914" w:rsidRDefault="00E66F49" w:rsidP="00D27F91">
            <w:pPr>
              <w:spacing w:after="0"/>
              <w:jc w:val="right"/>
              <w:rPr>
                <w:rFonts w:eastAsia="Times New Roman" w:cs="Calibri"/>
                <w:color w:val="000000"/>
                <w:sz w:val="16"/>
                <w:szCs w:val="16"/>
                <w:lang w:eastAsia="sk-SK"/>
              </w:rPr>
            </w:pPr>
          </w:p>
        </w:tc>
        <w:tc>
          <w:tcPr>
            <w:tcW w:w="276" w:type="pct"/>
            <w:tcBorders>
              <w:top w:val="nil"/>
              <w:left w:val="nil"/>
              <w:bottom w:val="nil"/>
              <w:right w:val="nil"/>
            </w:tcBorders>
            <w:shd w:val="clear" w:color="auto" w:fill="auto"/>
            <w:noWrap/>
            <w:vAlign w:val="bottom"/>
            <w:hideMark/>
          </w:tcPr>
          <w:p w14:paraId="0C194880"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2 060</w:t>
            </w:r>
          </w:p>
        </w:tc>
        <w:tc>
          <w:tcPr>
            <w:tcW w:w="261" w:type="pct"/>
            <w:tcBorders>
              <w:top w:val="nil"/>
              <w:left w:val="nil"/>
              <w:bottom w:val="nil"/>
              <w:right w:val="nil"/>
            </w:tcBorders>
            <w:shd w:val="clear" w:color="auto" w:fill="auto"/>
            <w:noWrap/>
            <w:vAlign w:val="bottom"/>
            <w:hideMark/>
          </w:tcPr>
          <w:p w14:paraId="40FF184A" w14:textId="77777777" w:rsidR="00E66F49" w:rsidRPr="00666914" w:rsidRDefault="00E66F49" w:rsidP="00D27F91">
            <w:pPr>
              <w:spacing w:after="0"/>
              <w:jc w:val="right"/>
              <w:rPr>
                <w:rFonts w:eastAsia="Times New Roman" w:cs="Calibri"/>
                <w:color w:val="000000"/>
                <w:sz w:val="16"/>
                <w:szCs w:val="16"/>
                <w:lang w:eastAsia="sk-SK"/>
              </w:rPr>
            </w:pPr>
          </w:p>
        </w:tc>
        <w:tc>
          <w:tcPr>
            <w:tcW w:w="276" w:type="pct"/>
            <w:tcBorders>
              <w:top w:val="nil"/>
              <w:left w:val="nil"/>
              <w:bottom w:val="nil"/>
              <w:right w:val="nil"/>
            </w:tcBorders>
            <w:shd w:val="clear" w:color="auto" w:fill="auto"/>
            <w:noWrap/>
            <w:vAlign w:val="bottom"/>
            <w:hideMark/>
          </w:tcPr>
          <w:p w14:paraId="155394CB"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1 927</w:t>
            </w:r>
          </w:p>
        </w:tc>
        <w:tc>
          <w:tcPr>
            <w:tcW w:w="261" w:type="pct"/>
            <w:tcBorders>
              <w:top w:val="nil"/>
              <w:left w:val="nil"/>
              <w:bottom w:val="nil"/>
              <w:right w:val="nil"/>
            </w:tcBorders>
            <w:shd w:val="clear" w:color="auto" w:fill="auto"/>
            <w:noWrap/>
            <w:vAlign w:val="bottom"/>
            <w:hideMark/>
          </w:tcPr>
          <w:p w14:paraId="427FF548" w14:textId="77777777" w:rsidR="00E66F49" w:rsidRPr="00666914" w:rsidRDefault="00E66F49" w:rsidP="00D27F91">
            <w:pPr>
              <w:spacing w:after="0"/>
              <w:jc w:val="right"/>
              <w:rPr>
                <w:rFonts w:eastAsia="Times New Roman" w:cs="Calibri"/>
                <w:color w:val="000000"/>
                <w:sz w:val="16"/>
                <w:szCs w:val="16"/>
                <w:lang w:eastAsia="sk-SK"/>
              </w:rPr>
            </w:pPr>
          </w:p>
        </w:tc>
        <w:tc>
          <w:tcPr>
            <w:tcW w:w="276" w:type="pct"/>
            <w:tcBorders>
              <w:top w:val="nil"/>
              <w:left w:val="nil"/>
              <w:bottom w:val="nil"/>
              <w:right w:val="nil"/>
            </w:tcBorders>
            <w:shd w:val="clear" w:color="auto" w:fill="auto"/>
            <w:noWrap/>
            <w:vAlign w:val="bottom"/>
            <w:hideMark/>
          </w:tcPr>
          <w:p w14:paraId="41F19436"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1 847</w:t>
            </w:r>
          </w:p>
        </w:tc>
        <w:tc>
          <w:tcPr>
            <w:tcW w:w="261" w:type="pct"/>
            <w:tcBorders>
              <w:top w:val="nil"/>
              <w:left w:val="nil"/>
              <w:bottom w:val="nil"/>
              <w:right w:val="nil"/>
            </w:tcBorders>
            <w:shd w:val="clear" w:color="auto" w:fill="auto"/>
            <w:noWrap/>
            <w:vAlign w:val="bottom"/>
            <w:hideMark/>
          </w:tcPr>
          <w:p w14:paraId="6BCFB946" w14:textId="77777777" w:rsidR="00E66F49" w:rsidRPr="00666914" w:rsidRDefault="00E66F49" w:rsidP="00D27F91">
            <w:pPr>
              <w:spacing w:after="0"/>
              <w:jc w:val="right"/>
              <w:rPr>
                <w:rFonts w:eastAsia="Times New Roman" w:cs="Calibri"/>
                <w:color w:val="000000"/>
                <w:sz w:val="16"/>
                <w:szCs w:val="16"/>
                <w:lang w:eastAsia="sk-SK"/>
              </w:rPr>
            </w:pPr>
          </w:p>
        </w:tc>
        <w:tc>
          <w:tcPr>
            <w:tcW w:w="276" w:type="pct"/>
            <w:tcBorders>
              <w:top w:val="nil"/>
              <w:left w:val="nil"/>
              <w:bottom w:val="nil"/>
              <w:right w:val="nil"/>
            </w:tcBorders>
            <w:shd w:val="clear" w:color="auto" w:fill="auto"/>
            <w:noWrap/>
            <w:vAlign w:val="bottom"/>
            <w:hideMark/>
          </w:tcPr>
          <w:p w14:paraId="1B03B495"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1 719</w:t>
            </w:r>
          </w:p>
        </w:tc>
        <w:tc>
          <w:tcPr>
            <w:tcW w:w="261" w:type="pct"/>
            <w:tcBorders>
              <w:top w:val="nil"/>
              <w:left w:val="nil"/>
              <w:bottom w:val="nil"/>
              <w:right w:val="nil"/>
            </w:tcBorders>
            <w:shd w:val="clear" w:color="auto" w:fill="auto"/>
            <w:noWrap/>
            <w:vAlign w:val="bottom"/>
            <w:hideMark/>
          </w:tcPr>
          <w:p w14:paraId="78337F3C" w14:textId="77777777" w:rsidR="00E66F49" w:rsidRPr="00666914" w:rsidRDefault="00E66F49" w:rsidP="00D27F91">
            <w:pPr>
              <w:spacing w:after="0"/>
              <w:jc w:val="right"/>
              <w:rPr>
                <w:rFonts w:eastAsia="Times New Roman" w:cs="Calibri"/>
                <w:color w:val="000000"/>
                <w:sz w:val="16"/>
                <w:szCs w:val="16"/>
                <w:lang w:eastAsia="sk-SK"/>
              </w:rPr>
            </w:pPr>
          </w:p>
        </w:tc>
        <w:tc>
          <w:tcPr>
            <w:tcW w:w="276" w:type="pct"/>
            <w:tcBorders>
              <w:top w:val="nil"/>
              <w:left w:val="nil"/>
              <w:bottom w:val="nil"/>
              <w:right w:val="nil"/>
            </w:tcBorders>
            <w:shd w:val="clear" w:color="auto" w:fill="auto"/>
            <w:noWrap/>
            <w:vAlign w:val="bottom"/>
            <w:hideMark/>
          </w:tcPr>
          <w:p w14:paraId="6AA50918"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1 548</w:t>
            </w:r>
          </w:p>
        </w:tc>
        <w:tc>
          <w:tcPr>
            <w:tcW w:w="261" w:type="pct"/>
            <w:tcBorders>
              <w:top w:val="nil"/>
              <w:left w:val="nil"/>
              <w:bottom w:val="nil"/>
              <w:right w:val="nil"/>
            </w:tcBorders>
            <w:shd w:val="clear" w:color="auto" w:fill="auto"/>
            <w:noWrap/>
            <w:vAlign w:val="bottom"/>
            <w:hideMark/>
          </w:tcPr>
          <w:p w14:paraId="585AD7ED" w14:textId="77777777" w:rsidR="00E66F49" w:rsidRPr="00666914" w:rsidRDefault="00E66F49" w:rsidP="00D27F91">
            <w:pPr>
              <w:spacing w:after="0"/>
              <w:jc w:val="right"/>
              <w:rPr>
                <w:rFonts w:eastAsia="Times New Roman" w:cs="Calibri"/>
                <w:color w:val="000000"/>
                <w:sz w:val="16"/>
                <w:szCs w:val="16"/>
                <w:lang w:eastAsia="sk-SK"/>
              </w:rPr>
            </w:pPr>
          </w:p>
        </w:tc>
        <w:tc>
          <w:tcPr>
            <w:tcW w:w="276" w:type="pct"/>
            <w:tcBorders>
              <w:top w:val="nil"/>
              <w:left w:val="nil"/>
              <w:bottom w:val="nil"/>
              <w:right w:val="nil"/>
            </w:tcBorders>
            <w:shd w:val="clear" w:color="auto" w:fill="auto"/>
            <w:noWrap/>
            <w:vAlign w:val="bottom"/>
            <w:hideMark/>
          </w:tcPr>
          <w:p w14:paraId="301A82C1"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1 411</w:t>
            </w:r>
          </w:p>
        </w:tc>
        <w:tc>
          <w:tcPr>
            <w:tcW w:w="261" w:type="pct"/>
            <w:tcBorders>
              <w:top w:val="nil"/>
              <w:left w:val="nil"/>
              <w:bottom w:val="nil"/>
              <w:right w:val="nil"/>
            </w:tcBorders>
            <w:shd w:val="clear" w:color="auto" w:fill="auto"/>
            <w:noWrap/>
            <w:vAlign w:val="bottom"/>
            <w:hideMark/>
          </w:tcPr>
          <w:p w14:paraId="0416EFEC" w14:textId="77777777" w:rsidR="00E66F49" w:rsidRPr="00666914" w:rsidRDefault="00E66F49" w:rsidP="00D27F91">
            <w:pPr>
              <w:spacing w:after="0"/>
              <w:jc w:val="right"/>
              <w:rPr>
                <w:rFonts w:eastAsia="Times New Roman" w:cs="Calibri"/>
                <w:color w:val="000000"/>
                <w:sz w:val="16"/>
                <w:szCs w:val="16"/>
                <w:lang w:eastAsia="sk-SK"/>
              </w:rPr>
            </w:pPr>
          </w:p>
        </w:tc>
        <w:tc>
          <w:tcPr>
            <w:tcW w:w="276" w:type="pct"/>
            <w:tcBorders>
              <w:top w:val="nil"/>
              <w:left w:val="nil"/>
              <w:bottom w:val="nil"/>
              <w:right w:val="nil"/>
            </w:tcBorders>
            <w:shd w:val="clear" w:color="auto" w:fill="auto"/>
            <w:noWrap/>
            <w:vAlign w:val="bottom"/>
            <w:hideMark/>
          </w:tcPr>
          <w:p w14:paraId="7EFEE0FC"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1 256</w:t>
            </w:r>
          </w:p>
        </w:tc>
        <w:tc>
          <w:tcPr>
            <w:tcW w:w="261" w:type="pct"/>
            <w:tcBorders>
              <w:top w:val="nil"/>
              <w:left w:val="nil"/>
              <w:bottom w:val="nil"/>
              <w:right w:val="nil"/>
            </w:tcBorders>
            <w:shd w:val="clear" w:color="auto" w:fill="auto"/>
            <w:noWrap/>
            <w:vAlign w:val="bottom"/>
            <w:hideMark/>
          </w:tcPr>
          <w:p w14:paraId="130A22DA" w14:textId="77777777" w:rsidR="00E66F49" w:rsidRPr="00666914" w:rsidRDefault="00E66F49" w:rsidP="00D27F91">
            <w:pPr>
              <w:spacing w:after="0"/>
              <w:jc w:val="right"/>
              <w:rPr>
                <w:rFonts w:eastAsia="Times New Roman" w:cs="Calibri"/>
                <w:color w:val="000000"/>
                <w:sz w:val="16"/>
                <w:szCs w:val="16"/>
                <w:lang w:eastAsia="sk-SK"/>
              </w:rPr>
            </w:pPr>
          </w:p>
        </w:tc>
      </w:tr>
      <w:tr w:rsidR="00E66F49" w:rsidRPr="00666914" w14:paraId="65442085" w14:textId="77777777" w:rsidTr="00CB4C6A">
        <w:trPr>
          <w:trHeight w:val="255"/>
        </w:trPr>
        <w:tc>
          <w:tcPr>
            <w:tcW w:w="710" w:type="pct"/>
            <w:tcBorders>
              <w:top w:val="nil"/>
              <w:left w:val="nil"/>
              <w:bottom w:val="nil"/>
              <w:right w:val="nil"/>
            </w:tcBorders>
            <w:shd w:val="clear" w:color="auto" w:fill="auto"/>
            <w:noWrap/>
            <w:vAlign w:val="bottom"/>
            <w:hideMark/>
          </w:tcPr>
          <w:p w14:paraId="062547CF" w14:textId="77777777" w:rsidR="00E66F49" w:rsidRPr="00666914" w:rsidRDefault="00E66F49" w:rsidP="00D27F91">
            <w:pPr>
              <w:spacing w:after="0"/>
              <w:jc w:val="left"/>
              <w:rPr>
                <w:rFonts w:eastAsia="Times New Roman" w:cs="Calibri"/>
                <w:color w:val="000000"/>
                <w:sz w:val="18"/>
                <w:szCs w:val="18"/>
                <w:lang w:eastAsia="sk-SK"/>
              </w:rPr>
            </w:pPr>
            <w:r w:rsidRPr="00666914">
              <w:rPr>
                <w:rFonts w:eastAsia="Times New Roman" w:cs="Calibri"/>
                <w:color w:val="000000"/>
                <w:sz w:val="18"/>
                <w:szCs w:val="18"/>
                <w:lang w:eastAsia="sk-SK"/>
              </w:rPr>
              <w:t>P</w:t>
            </w:r>
          </w:p>
        </w:tc>
        <w:tc>
          <w:tcPr>
            <w:tcW w:w="276" w:type="pct"/>
            <w:tcBorders>
              <w:top w:val="nil"/>
              <w:left w:val="nil"/>
              <w:bottom w:val="nil"/>
              <w:right w:val="nil"/>
            </w:tcBorders>
            <w:shd w:val="clear" w:color="auto" w:fill="auto"/>
            <w:noWrap/>
            <w:vAlign w:val="bottom"/>
            <w:hideMark/>
          </w:tcPr>
          <w:p w14:paraId="5F4095CE"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590</w:t>
            </w:r>
          </w:p>
        </w:tc>
        <w:tc>
          <w:tcPr>
            <w:tcW w:w="261" w:type="pct"/>
            <w:tcBorders>
              <w:top w:val="nil"/>
              <w:left w:val="nil"/>
              <w:bottom w:val="nil"/>
              <w:right w:val="nil"/>
            </w:tcBorders>
            <w:shd w:val="clear" w:color="auto" w:fill="auto"/>
            <w:noWrap/>
            <w:vAlign w:val="bottom"/>
            <w:hideMark/>
          </w:tcPr>
          <w:p w14:paraId="4BBFF639" w14:textId="77777777" w:rsidR="00E66F49" w:rsidRPr="00666914" w:rsidRDefault="00E66F49" w:rsidP="00D27F91">
            <w:pPr>
              <w:spacing w:after="0"/>
              <w:jc w:val="right"/>
              <w:rPr>
                <w:rFonts w:eastAsia="Times New Roman" w:cs="Calibri"/>
                <w:color w:val="000000"/>
                <w:sz w:val="16"/>
                <w:szCs w:val="16"/>
                <w:lang w:eastAsia="sk-SK"/>
              </w:rPr>
            </w:pPr>
          </w:p>
        </w:tc>
        <w:tc>
          <w:tcPr>
            <w:tcW w:w="276" w:type="pct"/>
            <w:tcBorders>
              <w:top w:val="nil"/>
              <w:left w:val="nil"/>
              <w:bottom w:val="nil"/>
              <w:right w:val="nil"/>
            </w:tcBorders>
            <w:shd w:val="clear" w:color="auto" w:fill="auto"/>
            <w:noWrap/>
            <w:vAlign w:val="bottom"/>
            <w:hideMark/>
          </w:tcPr>
          <w:p w14:paraId="1E55C240"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563</w:t>
            </w:r>
          </w:p>
        </w:tc>
        <w:tc>
          <w:tcPr>
            <w:tcW w:w="261" w:type="pct"/>
            <w:tcBorders>
              <w:top w:val="nil"/>
              <w:left w:val="nil"/>
              <w:bottom w:val="nil"/>
              <w:right w:val="nil"/>
            </w:tcBorders>
            <w:shd w:val="clear" w:color="auto" w:fill="auto"/>
            <w:noWrap/>
            <w:vAlign w:val="bottom"/>
            <w:hideMark/>
          </w:tcPr>
          <w:p w14:paraId="5B09C70C" w14:textId="77777777" w:rsidR="00E66F49" w:rsidRPr="00666914" w:rsidRDefault="00E66F49" w:rsidP="00D27F91">
            <w:pPr>
              <w:spacing w:after="0"/>
              <w:jc w:val="right"/>
              <w:rPr>
                <w:rFonts w:eastAsia="Times New Roman" w:cs="Calibri"/>
                <w:color w:val="000000"/>
                <w:sz w:val="16"/>
                <w:szCs w:val="16"/>
                <w:lang w:eastAsia="sk-SK"/>
              </w:rPr>
            </w:pPr>
          </w:p>
        </w:tc>
        <w:tc>
          <w:tcPr>
            <w:tcW w:w="276" w:type="pct"/>
            <w:tcBorders>
              <w:top w:val="nil"/>
              <w:left w:val="nil"/>
              <w:bottom w:val="nil"/>
              <w:right w:val="nil"/>
            </w:tcBorders>
            <w:shd w:val="clear" w:color="auto" w:fill="auto"/>
            <w:noWrap/>
            <w:vAlign w:val="bottom"/>
            <w:hideMark/>
          </w:tcPr>
          <w:p w14:paraId="2126013C"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539</w:t>
            </w:r>
          </w:p>
        </w:tc>
        <w:tc>
          <w:tcPr>
            <w:tcW w:w="261" w:type="pct"/>
            <w:tcBorders>
              <w:top w:val="nil"/>
              <w:left w:val="nil"/>
              <w:bottom w:val="nil"/>
              <w:right w:val="nil"/>
            </w:tcBorders>
            <w:shd w:val="clear" w:color="auto" w:fill="auto"/>
            <w:noWrap/>
            <w:vAlign w:val="bottom"/>
            <w:hideMark/>
          </w:tcPr>
          <w:p w14:paraId="4A0A2786" w14:textId="77777777" w:rsidR="00E66F49" w:rsidRPr="00666914" w:rsidRDefault="00E66F49" w:rsidP="00D27F91">
            <w:pPr>
              <w:spacing w:after="0"/>
              <w:jc w:val="right"/>
              <w:rPr>
                <w:rFonts w:eastAsia="Times New Roman" w:cs="Calibri"/>
                <w:color w:val="000000"/>
                <w:sz w:val="16"/>
                <w:szCs w:val="16"/>
                <w:lang w:eastAsia="sk-SK"/>
              </w:rPr>
            </w:pPr>
          </w:p>
        </w:tc>
        <w:tc>
          <w:tcPr>
            <w:tcW w:w="276" w:type="pct"/>
            <w:tcBorders>
              <w:top w:val="nil"/>
              <w:left w:val="nil"/>
              <w:bottom w:val="nil"/>
              <w:right w:val="nil"/>
            </w:tcBorders>
            <w:shd w:val="clear" w:color="auto" w:fill="auto"/>
            <w:noWrap/>
            <w:vAlign w:val="bottom"/>
            <w:hideMark/>
          </w:tcPr>
          <w:p w14:paraId="029B1986"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571</w:t>
            </w:r>
          </w:p>
        </w:tc>
        <w:tc>
          <w:tcPr>
            <w:tcW w:w="261" w:type="pct"/>
            <w:tcBorders>
              <w:top w:val="nil"/>
              <w:left w:val="nil"/>
              <w:bottom w:val="nil"/>
              <w:right w:val="nil"/>
            </w:tcBorders>
            <w:shd w:val="clear" w:color="auto" w:fill="auto"/>
            <w:noWrap/>
            <w:vAlign w:val="bottom"/>
            <w:hideMark/>
          </w:tcPr>
          <w:p w14:paraId="132ED4FE" w14:textId="77777777" w:rsidR="00E66F49" w:rsidRPr="00666914" w:rsidRDefault="00E66F49" w:rsidP="00D27F91">
            <w:pPr>
              <w:spacing w:after="0"/>
              <w:jc w:val="right"/>
              <w:rPr>
                <w:rFonts w:eastAsia="Times New Roman" w:cs="Calibri"/>
                <w:color w:val="000000"/>
                <w:sz w:val="16"/>
                <w:szCs w:val="16"/>
                <w:lang w:eastAsia="sk-SK"/>
              </w:rPr>
            </w:pPr>
          </w:p>
        </w:tc>
        <w:tc>
          <w:tcPr>
            <w:tcW w:w="276" w:type="pct"/>
            <w:tcBorders>
              <w:top w:val="nil"/>
              <w:left w:val="nil"/>
              <w:bottom w:val="nil"/>
              <w:right w:val="nil"/>
            </w:tcBorders>
            <w:shd w:val="clear" w:color="auto" w:fill="auto"/>
            <w:noWrap/>
            <w:vAlign w:val="bottom"/>
            <w:hideMark/>
          </w:tcPr>
          <w:p w14:paraId="06ADC74E"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562</w:t>
            </w:r>
          </w:p>
        </w:tc>
        <w:tc>
          <w:tcPr>
            <w:tcW w:w="261" w:type="pct"/>
            <w:tcBorders>
              <w:top w:val="nil"/>
              <w:left w:val="nil"/>
              <w:bottom w:val="nil"/>
              <w:right w:val="nil"/>
            </w:tcBorders>
            <w:shd w:val="clear" w:color="auto" w:fill="auto"/>
            <w:noWrap/>
            <w:vAlign w:val="bottom"/>
            <w:hideMark/>
          </w:tcPr>
          <w:p w14:paraId="53C3BA33" w14:textId="77777777" w:rsidR="00E66F49" w:rsidRPr="00666914" w:rsidRDefault="00E66F49" w:rsidP="00D27F91">
            <w:pPr>
              <w:spacing w:after="0"/>
              <w:jc w:val="right"/>
              <w:rPr>
                <w:rFonts w:eastAsia="Times New Roman" w:cs="Calibri"/>
                <w:color w:val="000000"/>
                <w:sz w:val="16"/>
                <w:szCs w:val="16"/>
                <w:lang w:eastAsia="sk-SK"/>
              </w:rPr>
            </w:pPr>
          </w:p>
        </w:tc>
        <w:tc>
          <w:tcPr>
            <w:tcW w:w="276" w:type="pct"/>
            <w:tcBorders>
              <w:top w:val="nil"/>
              <w:left w:val="nil"/>
              <w:bottom w:val="nil"/>
              <w:right w:val="nil"/>
            </w:tcBorders>
            <w:shd w:val="clear" w:color="auto" w:fill="auto"/>
            <w:noWrap/>
            <w:vAlign w:val="bottom"/>
            <w:hideMark/>
          </w:tcPr>
          <w:p w14:paraId="16CB1F94"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557</w:t>
            </w:r>
          </w:p>
        </w:tc>
        <w:tc>
          <w:tcPr>
            <w:tcW w:w="261" w:type="pct"/>
            <w:tcBorders>
              <w:top w:val="nil"/>
              <w:left w:val="nil"/>
              <w:bottom w:val="nil"/>
              <w:right w:val="nil"/>
            </w:tcBorders>
            <w:shd w:val="clear" w:color="auto" w:fill="auto"/>
            <w:noWrap/>
            <w:vAlign w:val="bottom"/>
            <w:hideMark/>
          </w:tcPr>
          <w:p w14:paraId="09873D92" w14:textId="77777777" w:rsidR="00E66F49" w:rsidRPr="00666914" w:rsidRDefault="00E66F49" w:rsidP="00D27F91">
            <w:pPr>
              <w:spacing w:after="0"/>
              <w:jc w:val="right"/>
              <w:rPr>
                <w:rFonts w:eastAsia="Times New Roman" w:cs="Calibri"/>
                <w:color w:val="000000"/>
                <w:sz w:val="16"/>
                <w:szCs w:val="16"/>
                <w:lang w:eastAsia="sk-SK"/>
              </w:rPr>
            </w:pPr>
          </w:p>
        </w:tc>
        <w:tc>
          <w:tcPr>
            <w:tcW w:w="276" w:type="pct"/>
            <w:tcBorders>
              <w:top w:val="nil"/>
              <w:left w:val="nil"/>
              <w:bottom w:val="nil"/>
              <w:right w:val="nil"/>
            </w:tcBorders>
            <w:shd w:val="clear" w:color="auto" w:fill="auto"/>
            <w:noWrap/>
            <w:vAlign w:val="bottom"/>
            <w:hideMark/>
          </w:tcPr>
          <w:p w14:paraId="2451C47C"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582</w:t>
            </w:r>
          </w:p>
        </w:tc>
        <w:tc>
          <w:tcPr>
            <w:tcW w:w="261" w:type="pct"/>
            <w:tcBorders>
              <w:top w:val="nil"/>
              <w:left w:val="nil"/>
              <w:bottom w:val="nil"/>
              <w:right w:val="nil"/>
            </w:tcBorders>
            <w:shd w:val="clear" w:color="auto" w:fill="auto"/>
            <w:noWrap/>
            <w:vAlign w:val="bottom"/>
            <w:hideMark/>
          </w:tcPr>
          <w:p w14:paraId="6FEB9698" w14:textId="77777777" w:rsidR="00E66F49" w:rsidRPr="00666914" w:rsidRDefault="00E66F49" w:rsidP="00D27F91">
            <w:pPr>
              <w:spacing w:after="0"/>
              <w:jc w:val="right"/>
              <w:rPr>
                <w:rFonts w:eastAsia="Times New Roman" w:cs="Calibri"/>
                <w:color w:val="000000"/>
                <w:sz w:val="16"/>
                <w:szCs w:val="16"/>
                <w:lang w:eastAsia="sk-SK"/>
              </w:rPr>
            </w:pPr>
          </w:p>
        </w:tc>
        <w:tc>
          <w:tcPr>
            <w:tcW w:w="276" w:type="pct"/>
            <w:tcBorders>
              <w:top w:val="nil"/>
              <w:left w:val="nil"/>
              <w:bottom w:val="nil"/>
              <w:right w:val="nil"/>
            </w:tcBorders>
            <w:shd w:val="clear" w:color="auto" w:fill="auto"/>
            <w:noWrap/>
            <w:vAlign w:val="bottom"/>
            <w:hideMark/>
          </w:tcPr>
          <w:p w14:paraId="3BFD4559"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619</w:t>
            </w:r>
          </w:p>
        </w:tc>
        <w:tc>
          <w:tcPr>
            <w:tcW w:w="261" w:type="pct"/>
            <w:tcBorders>
              <w:top w:val="nil"/>
              <w:left w:val="nil"/>
              <w:bottom w:val="nil"/>
              <w:right w:val="nil"/>
            </w:tcBorders>
            <w:shd w:val="clear" w:color="auto" w:fill="auto"/>
            <w:noWrap/>
            <w:vAlign w:val="bottom"/>
            <w:hideMark/>
          </w:tcPr>
          <w:p w14:paraId="7E5A322F" w14:textId="77777777" w:rsidR="00E66F49" w:rsidRPr="00666914" w:rsidRDefault="00E66F49" w:rsidP="00D27F91">
            <w:pPr>
              <w:spacing w:after="0"/>
              <w:jc w:val="right"/>
              <w:rPr>
                <w:rFonts w:eastAsia="Times New Roman" w:cs="Calibri"/>
                <w:color w:val="000000"/>
                <w:sz w:val="16"/>
                <w:szCs w:val="16"/>
                <w:lang w:eastAsia="sk-SK"/>
              </w:rPr>
            </w:pPr>
          </w:p>
        </w:tc>
      </w:tr>
      <w:tr w:rsidR="00E66F49" w:rsidRPr="00666914" w14:paraId="36D6E86F" w14:textId="77777777" w:rsidTr="00CB4C6A">
        <w:trPr>
          <w:trHeight w:val="255"/>
        </w:trPr>
        <w:tc>
          <w:tcPr>
            <w:tcW w:w="710" w:type="pct"/>
            <w:tcBorders>
              <w:top w:val="nil"/>
              <w:left w:val="nil"/>
              <w:bottom w:val="nil"/>
              <w:right w:val="nil"/>
            </w:tcBorders>
            <w:shd w:val="clear" w:color="auto" w:fill="auto"/>
            <w:noWrap/>
            <w:vAlign w:val="bottom"/>
            <w:hideMark/>
          </w:tcPr>
          <w:p w14:paraId="01A07A71" w14:textId="77777777" w:rsidR="00E66F49" w:rsidRPr="00666914" w:rsidRDefault="00E66F49" w:rsidP="00D27F91">
            <w:pPr>
              <w:spacing w:after="0"/>
              <w:jc w:val="left"/>
              <w:rPr>
                <w:rFonts w:eastAsia="Times New Roman" w:cs="Calibri"/>
                <w:color w:val="000000"/>
                <w:sz w:val="18"/>
                <w:szCs w:val="18"/>
                <w:lang w:eastAsia="sk-SK"/>
              </w:rPr>
            </w:pPr>
            <w:r w:rsidRPr="00666914">
              <w:rPr>
                <w:rFonts w:eastAsia="Times New Roman" w:cs="Calibri"/>
                <w:color w:val="000000"/>
                <w:sz w:val="18"/>
                <w:szCs w:val="18"/>
                <w:lang w:eastAsia="sk-SK"/>
              </w:rPr>
              <w:t>NOS</w:t>
            </w:r>
          </w:p>
        </w:tc>
        <w:tc>
          <w:tcPr>
            <w:tcW w:w="276" w:type="pct"/>
            <w:tcBorders>
              <w:top w:val="nil"/>
              <w:left w:val="nil"/>
              <w:bottom w:val="nil"/>
              <w:right w:val="nil"/>
            </w:tcBorders>
            <w:shd w:val="clear" w:color="auto" w:fill="auto"/>
            <w:noWrap/>
            <w:vAlign w:val="bottom"/>
            <w:hideMark/>
          </w:tcPr>
          <w:p w14:paraId="0485F8A7"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6 217</w:t>
            </w:r>
          </w:p>
        </w:tc>
        <w:tc>
          <w:tcPr>
            <w:tcW w:w="261" w:type="pct"/>
            <w:tcBorders>
              <w:top w:val="nil"/>
              <w:left w:val="nil"/>
              <w:bottom w:val="nil"/>
              <w:right w:val="nil"/>
            </w:tcBorders>
            <w:shd w:val="clear" w:color="auto" w:fill="auto"/>
            <w:noWrap/>
            <w:vAlign w:val="bottom"/>
            <w:hideMark/>
          </w:tcPr>
          <w:p w14:paraId="22A0C99B" w14:textId="77777777" w:rsidR="00E66F49" w:rsidRPr="00666914" w:rsidRDefault="00E66F49" w:rsidP="00D27F91">
            <w:pPr>
              <w:spacing w:after="0"/>
              <w:jc w:val="right"/>
              <w:rPr>
                <w:rFonts w:eastAsia="Times New Roman" w:cs="Calibri"/>
                <w:color w:val="000000"/>
                <w:sz w:val="16"/>
                <w:szCs w:val="16"/>
                <w:lang w:eastAsia="sk-SK"/>
              </w:rPr>
            </w:pPr>
          </w:p>
        </w:tc>
        <w:tc>
          <w:tcPr>
            <w:tcW w:w="276" w:type="pct"/>
            <w:tcBorders>
              <w:top w:val="nil"/>
              <w:left w:val="nil"/>
              <w:bottom w:val="nil"/>
              <w:right w:val="nil"/>
            </w:tcBorders>
            <w:shd w:val="clear" w:color="auto" w:fill="auto"/>
            <w:noWrap/>
            <w:vAlign w:val="bottom"/>
            <w:hideMark/>
          </w:tcPr>
          <w:p w14:paraId="0D63015B"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5 960</w:t>
            </w:r>
          </w:p>
        </w:tc>
        <w:tc>
          <w:tcPr>
            <w:tcW w:w="261" w:type="pct"/>
            <w:tcBorders>
              <w:top w:val="nil"/>
              <w:left w:val="nil"/>
              <w:bottom w:val="nil"/>
              <w:right w:val="nil"/>
            </w:tcBorders>
            <w:shd w:val="clear" w:color="auto" w:fill="auto"/>
            <w:noWrap/>
            <w:vAlign w:val="bottom"/>
            <w:hideMark/>
          </w:tcPr>
          <w:p w14:paraId="2A37C388" w14:textId="77777777" w:rsidR="00E66F49" w:rsidRPr="00666914" w:rsidRDefault="00E66F49" w:rsidP="00D27F91">
            <w:pPr>
              <w:spacing w:after="0"/>
              <w:jc w:val="right"/>
              <w:rPr>
                <w:rFonts w:eastAsia="Times New Roman" w:cs="Calibri"/>
                <w:color w:val="000000"/>
                <w:sz w:val="16"/>
                <w:szCs w:val="16"/>
                <w:lang w:eastAsia="sk-SK"/>
              </w:rPr>
            </w:pPr>
          </w:p>
        </w:tc>
        <w:tc>
          <w:tcPr>
            <w:tcW w:w="276" w:type="pct"/>
            <w:tcBorders>
              <w:top w:val="nil"/>
              <w:left w:val="nil"/>
              <w:bottom w:val="nil"/>
              <w:right w:val="nil"/>
            </w:tcBorders>
            <w:shd w:val="clear" w:color="auto" w:fill="auto"/>
            <w:noWrap/>
            <w:vAlign w:val="bottom"/>
            <w:hideMark/>
          </w:tcPr>
          <w:p w14:paraId="385514D5"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6 277</w:t>
            </w:r>
          </w:p>
        </w:tc>
        <w:tc>
          <w:tcPr>
            <w:tcW w:w="261" w:type="pct"/>
            <w:tcBorders>
              <w:top w:val="nil"/>
              <w:left w:val="nil"/>
              <w:bottom w:val="nil"/>
              <w:right w:val="nil"/>
            </w:tcBorders>
            <w:shd w:val="clear" w:color="auto" w:fill="auto"/>
            <w:noWrap/>
            <w:vAlign w:val="bottom"/>
            <w:hideMark/>
          </w:tcPr>
          <w:p w14:paraId="330CF819" w14:textId="77777777" w:rsidR="00E66F49" w:rsidRPr="00666914" w:rsidRDefault="00E66F49" w:rsidP="00D27F91">
            <w:pPr>
              <w:spacing w:after="0"/>
              <w:jc w:val="right"/>
              <w:rPr>
                <w:rFonts w:eastAsia="Times New Roman" w:cs="Calibri"/>
                <w:color w:val="000000"/>
                <w:sz w:val="16"/>
                <w:szCs w:val="16"/>
                <w:lang w:eastAsia="sk-SK"/>
              </w:rPr>
            </w:pPr>
          </w:p>
        </w:tc>
        <w:tc>
          <w:tcPr>
            <w:tcW w:w="276" w:type="pct"/>
            <w:tcBorders>
              <w:top w:val="nil"/>
              <w:left w:val="nil"/>
              <w:bottom w:val="nil"/>
              <w:right w:val="nil"/>
            </w:tcBorders>
            <w:shd w:val="clear" w:color="auto" w:fill="auto"/>
            <w:noWrap/>
            <w:vAlign w:val="bottom"/>
            <w:hideMark/>
          </w:tcPr>
          <w:p w14:paraId="1396A89B"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6 484</w:t>
            </w:r>
          </w:p>
        </w:tc>
        <w:tc>
          <w:tcPr>
            <w:tcW w:w="261" w:type="pct"/>
            <w:tcBorders>
              <w:top w:val="nil"/>
              <w:left w:val="nil"/>
              <w:bottom w:val="nil"/>
              <w:right w:val="nil"/>
            </w:tcBorders>
            <w:shd w:val="clear" w:color="auto" w:fill="auto"/>
            <w:noWrap/>
            <w:vAlign w:val="bottom"/>
            <w:hideMark/>
          </w:tcPr>
          <w:p w14:paraId="15CF0DC4" w14:textId="77777777" w:rsidR="00E66F49" w:rsidRPr="00666914" w:rsidRDefault="00E66F49" w:rsidP="00D27F91">
            <w:pPr>
              <w:spacing w:after="0"/>
              <w:jc w:val="right"/>
              <w:rPr>
                <w:rFonts w:eastAsia="Times New Roman" w:cs="Calibri"/>
                <w:color w:val="000000"/>
                <w:sz w:val="16"/>
                <w:szCs w:val="16"/>
                <w:lang w:eastAsia="sk-SK"/>
              </w:rPr>
            </w:pPr>
          </w:p>
        </w:tc>
        <w:tc>
          <w:tcPr>
            <w:tcW w:w="276" w:type="pct"/>
            <w:tcBorders>
              <w:top w:val="nil"/>
              <w:left w:val="nil"/>
              <w:bottom w:val="nil"/>
              <w:right w:val="nil"/>
            </w:tcBorders>
            <w:shd w:val="clear" w:color="auto" w:fill="auto"/>
            <w:noWrap/>
            <w:vAlign w:val="bottom"/>
            <w:hideMark/>
          </w:tcPr>
          <w:p w14:paraId="434FC84F"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6 518</w:t>
            </w:r>
          </w:p>
        </w:tc>
        <w:tc>
          <w:tcPr>
            <w:tcW w:w="261" w:type="pct"/>
            <w:tcBorders>
              <w:top w:val="nil"/>
              <w:left w:val="nil"/>
              <w:bottom w:val="nil"/>
              <w:right w:val="nil"/>
            </w:tcBorders>
            <w:shd w:val="clear" w:color="auto" w:fill="auto"/>
            <w:noWrap/>
            <w:vAlign w:val="bottom"/>
            <w:hideMark/>
          </w:tcPr>
          <w:p w14:paraId="66C449B3" w14:textId="77777777" w:rsidR="00E66F49" w:rsidRPr="00666914" w:rsidRDefault="00E66F49" w:rsidP="00D27F91">
            <w:pPr>
              <w:spacing w:after="0"/>
              <w:jc w:val="right"/>
              <w:rPr>
                <w:rFonts w:eastAsia="Times New Roman" w:cs="Calibri"/>
                <w:color w:val="000000"/>
                <w:sz w:val="16"/>
                <w:szCs w:val="16"/>
                <w:lang w:eastAsia="sk-SK"/>
              </w:rPr>
            </w:pPr>
          </w:p>
        </w:tc>
        <w:tc>
          <w:tcPr>
            <w:tcW w:w="276" w:type="pct"/>
            <w:tcBorders>
              <w:top w:val="nil"/>
              <w:left w:val="nil"/>
              <w:bottom w:val="nil"/>
              <w:right w:val="nil"/>
            </w:tcBorders>
            <w:shd w:val="clear" w:color="auto" w:fill="auto"/>
            <w:noWrap/>
            <w:vAlign w:val="bottom"/>
            <w:hideMark/>
          </w:tcPr>
          <w:p w14:paraId="134C516A"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6 634</w:t>
            </w:r>
          </w:p>
        </w:tc>
        <w:tc>
          <w:tcPr>
            <w:tcW w:w="261" w:type="pct"/>
            <w:tcBorders>
              <w:top w:val="nil"/>
              <w:left w:val="nil"/>
              <w:bottom w:val="nil"/>
              <w:right w:val="nil"/>
            </w:tcBorders>
            <w:shd w:val="clear" w:color="auto" w:fill="auto"/>
            <w:noWrap/>
            <w:vAlign w:val="bottom"/>
            <w:hideMark/>
          </w:tcPr>
          <w:p w14:paraId="71DC0CDF" w14:textId="77777777" w:rsidR="00E66F49" w:rsidRPr="00666914" w:rsidRDefault="00E66F49" w:rsidP="00D27F91">
            <w:pPr>
              <w:spacing w:after="0"/>
              <w:jc w:val="right"/>
              <w:rPr>
                <w:rFonts w:eastAsia="Times New Roman" w:cs="Calibri"/>
                <w:color w:val="000000"/>
                <w:sz w:val="16"/>
                <w:szCs w:val="16"/>
                <w:lang w:eastAsia="sk-SK"/>
              </w:rPr>
            </w:pPr>
          </w:p>
        </w:tc>
        <w:tc>
          <w:tcPr>
            <w:tcW w:w="276" w:type="pct"/>
            <w:tcBorders>
              <w:top w:val="nil"/>
              <w:left w:val="nil"/>
              <w:bottom w:val="nil"/>
              <w:right w:val="nil"/>
            </w:tcBorders>
            <w:shd w:val="clear" w:color="auto" w:fill="auto"/>
            <w:noWrap/>
            <w:vAlign w:val="bottom"/>
            <w:hideMark/>
          </w:tcPr>
          <w:p w14:paraId="21E6BE26"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6 647</w:t>
            </w:r>
          </w:p>
        </w:tc>
        <w:tc>
          <w:tcPr>
            <w:tcW w:w="261" w:type="pct"/>
            <w:tcBorders>
              <w:top w:val="nil"/>
              <w:left w:val="nil"/>
              <w:bottom w:val="nil"/>
              <w:right w:val="nil"/>
            </w:tcBorders>
            <w:shd w:val="clear" w:color="auto" w:fill="auto"/>
            <w:noWrap/>
            <w:vAlign w:val="bottom"/>
            <w:hideMark/>
          </w:tcPr>
          <w:p w14:paraId="2C198A74" w14:textId="77777777" w:rsidR="00E66F49" w:rsidRPr="00666914" w:rsidRDefault="00E66F49" w:rsidP="00D27F91">
            <w:pPr>
              <w:spacing w:after="0"/>
              <w:jc w:val="right"/>
              <w:rPr>
                <w:rFonts w:eastAsia="Times New Roman" w:cs="Calibri"/>
                <w:color w:val="000000"/>
                <w:sz w:val="16"/>
                <w:szCs w:val="16"/>
                <w:lang w:eastAsia="sk-SK"/>
              </w:rPr>
            </w:pPr>
          </w:p>
        </w:tc>
        <w:tc>
          <w:tcPr>
            <w:tcW w:w="276" w:type="pct"/>
            <w:tcBorders>
              <w:top w:val="nil"/>
              <w:left w:val="nil"/>
              <w:bottom w:val="nil"/>
              <w:right w:val="nil"/>
            </w:tcBorders>
            <w:shd w:val="clear" w:color="auto" w:fill="auto"/>
            <w:noWrap/>
            <w:vAlign w:val="bottom"/>
            <w:hideMark/>
          </w:tcPr>
          <w:p w14:paraId="6AE14507"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6 820</w:t>
            </w:r>
          </w:p>
        </w:tc>
        <w:tc>
          <w:tcPr>
            <w:tcW w:w="261" w:type="pct"/>
            <w:tcBorders>
              <w:top w:val="nil"/>
              <w:left w:val="nil"/>
              <w:bottom w:val="nil"/>
              <w:right w:val="nil"/>
            </w:tcBorders>
            <w:shd w:val="clear" w:color="auto" w:fill="auto"/>
            <w:noWrap/>
            <w:vAlign w:val="bottom"/>
            <w:hideMark/>
          </w:tcPr>
          <w:p w14:paraId="5F2202EB" w14:textId="77777777" w:rsidR="00E66F49" w:rsidRPr="00666914" w:rsidRDefault="00E66F49" w:rsidP="00D27F91">
            <w:pPr>
              <w:spacing w:after="0"/>
              <w:jc w:val="right"/>
              <w:rPr>
                <w:rFonts w:eastAsia="Times New Roman" w:cs="Calibri"/>
                <w:color w:val="000000"/>
                <w:sz w:val="16"/>
                <w:szCs w:val="16"/>
                <w:lang w:eastAsia="sk-SK"/>
              </w:rPr>
            </w:pPr>
          </w:p>
        </w:tc>
      </w:tr>
      <w:tr w:rsidR="00E66F49" w:rsidRPr="00666914" w14:paraId="143FFC64" w14:textId="77777777" w:rsidTr="00CB4C6A">
        <w:trPr>
          <w:trHeight w:val="255"/>
        </w:trPr>
        <w:tc>
          <w:tcPr>
            <w:tcW w:w="710" w:type="pct"/>
            <w:tcBorders>
              <w:top w:val="single" w:sz="4" w:space="0" w:color="auto"/>
              <w:left w:val="nil"/>
              <w:bottom w:val="single" w:sz="4" w:space="0" w:color="auto"/>
              <w:right w:val="nil"/>
            </w:tcBorders>
            <w:shd w:val="clear" w:color="auto" w:fill="auto"/>
            <w:noWrap/>
            <w:vAlign w:val="bottom"/>
            <w:hideMark/>
          </w:tcPr>
          <w:p w14:paraId="6D9FB5D9" w14:textId="77777777" w:rsidR="00E66F49" w:rsidRPr="00666914" w:rsidRDefault="00E66F49" w:rsidP="00D27F91">
            <w:pPr>
              <w:spacing w:after="0"/>
              <w:jc w:val="left"/>
              <w:rPr>
                <w:rFonts w:eastAsia="Times New Roman" w:cs="Calibri"/>
                <w:b/>
                <w:bCs/>
                <w:color w:val="000000"/>
                <w:sz w:val="18"/>
                <w:szCs w:val="18"/>
                <w:lang w:eastAsia="sk-SK"/>
              </w:rPr>
            </w:pPr>
            <w:r w:rsidRPr="00666914">
              <w:rPr>
                <w:rFonts w:eastAsia="Times New Roman" w:cs="Calibri"/>
                <w:b/>
                <w:bCs/>
                <w:color w:val="000000"/>
                <w:sz w:val="18"/>
                <w:szCs w:val="18"/>
                <w:lang w:eastAsia="sk-SK"/>
              </w:rPr>
              <w:t>PS*/P*/NOS*</w:t>
            </w:r>
          </w:p>
        </w:tc>
        <w:tc>
          <w:tcPr>
            <w:tcW w:w="276" w:type="pct"/>
            <w:tcBorders>
              <w:top w:val="single" w:sz="4" w:space="0" w:color="auto"/>
              <w:left w:val="nil"/>
              <w:bottom w:val="single" w:sz="4" w:space="0" w:color="auto"/>
              <w:right w:val="nil"/>
            </w:tcBorders>
            <w:shd w:val="clear" w:color="auto" w:fill="auto"/>
            <w:noWrap/>
            <w:vAlign w:val="bottom"/>
            <w:hideMark/>
          </w:tcPr>
          <w:p w14:paraId="231049A2"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8 958</w:t>
            </w:r>
          </w:p>
        </w:tc>
        <w:tc>
          <w:tcPr>
            <w:tcW w:w="261" w:type="pct"/>
            <w:tcBorders>
              <w:top w:val="single" w:sz="4" w:space="0" w:color="auto"/>
              <w:left w:val="nil"/>
              <w:bottom w:val="single" w:sz="4" w:space="0" w:color="auto"/>
              <w:right w:val="nil"/>
            </w:tcBorders>
            <w:shd w:val="clear" w:color="auto" w:fill="auto"/>
            <w:noWrap/>
            <w:vAlign w:val="bottom"/>
            <w:hideMark/>
          </w:tcPr>
          <w:p w14:paraId="42E592CF"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62,0%</w:t>
            </w:r>
          </w:p>
        </w:tc>
        <w:tc>
          <w:tcPr>
            <w:tcW w:w="276" w:type="pct"/>
            <w:tcBorders>
              <w:top w:val="single" w:sz="4" w:space="0" w:color="auto"/>
              <w:left w:val="nil"/>
              <w:bottom w:val="single" w:sz="4" w:space="0" w:color="auto"/>
              <w:right w:val="nil"/>
            </w:tcBorders>
            <w:shd w:val="clear" w:color="auto" w:fill="auto"/>
            <w:noWrap/>
            <w:vAlign w:val="bottom"/>
            <w:hideMark/>
          </w:tcPr>
          <w:p w14:paraId="7C3DE98F"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8 583</w:t>
            </w:r>
          </w:p>
        </w:tc>
        <w:tc>
          <w:tcPr>
            <w:tcW w:w="261" w:type="pct"/>
            <w:tcBorders>
              <w:top w:val="single" w:sz="4" w:space="0" w:color="auto"/>
              <w:left w:val="nil"/>
              <w:bottom w:val="single" w:sz="4" w:space="0" w:color="auto"/>
              <w:right w:val="nil"/>
            </w:tcBorders>
            <w:shd w:val="clear" w:color="auto" w:fill="auto"/>
            <w:noWrap/>
            <w:vAlign w:val="bottom"/>
            <w:hideMark/>
          </w:tcPr>
          <w:p w14:paraId="6E361566"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61,2%</w:t>
            </w:r>
          </w:p>
        </w:tc>
        <w:tc>
          <w:tcPr>
            <w:tcW w:w="276" w:type="pct"/>
            <w:tcBorders>
              <w:top w:val="single" w:sz="4" w:space="0" w:color="auto"/>
              <w:left w:val="nil"/>
              <w:bottom w:val="single" w:sz="4" w:space="0" w:color="auto"/>
              <w:right w:val="nil"/>
            </w:tcBorders>
            <w:shd w:val="clear" w:color="auto" w:fill="auto"/>
            <w:noWrap/>
            <w:vAlign w:val="bottom"/>
            <w:hideMark/>
          </w:tcPr>
          <w:p w14:paraId="2BDFCD09"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8 743</w:t>
            </w:r>
          </w:p>
        </w:tc>
        <w:tc>
          <w:tcPr>
            <w:tcW w:w="261" w:type="pct"/>
            <w:tcBorders>
              <w:top w:val="single" w:sz="4" w:space="0" w:color="auto"/>
              <w:left w:val="nil"/>
              <w:bottom w:val="single" w:sz="4" w:space="0" w:color="auto"/>
              <w:right w:val="nil"/>
            </w:tcBorders>
            <w:shd w:val="clear" w:color="auto" w:fill="auto"/>
            <w:noWrap/>
            <w:vAlign w:val="bottom"/>
            <w:hideMark/>
          </w:tcPr>
          <w:p w14:paraId="43C9AA29"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62,0%</w:t>
            </w:r>
          </w:p>
        </w:tc>
        <w:tc>
          <w:tcPr>
            <w:tcW w:w="276" w:type="pct"/>
            <w:tcBorders>
              <w:top w:val="single" w:sz="4" w:space="0" w:color="auto"/>
              <w:left w:val="nil"/>
              <w:bottom w:val="single" w:sz="4" w:space="0" w:color="auto"/>
              <w:right w:val="nil"/>
            </w:tcBorders>
            <w:shd w:val="clear" w:color="auto" w:fill="auto"/>
            <w:noWrap/>
            <w:vAlign w:val="bottom"/>
            <w:hideMark/>
          </w:tcPr>
          <w:p w14:paraId="2A91C335"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8 902</w:t>
            </w:r>
          </w:p>
        </w:tc>
        <w:tc>
          <w:tcPr>
            <w:tcW w:w="261" w:type="pct"/>
            <w:tcBorders>
              <w:top w:val="single" w:sz="4" w:space="0" w:color="auto"/>
              <w:left w:val="nil"/>
              <w:bottom w:val="single" w:sz="4" w:space="0" w:color="auto"/>
              <w:right w:val="nil"/>
            </w:tcBorders>
            <w:shd w:val="clear" w:color="auto" w:fill="auto"/>
            <w:noWrap/>
            <w:vAlign w:val="bottom"/>
            <w:hideMark/>
          </w:tcPr>
          <w:p w14:paraId="34FA99B4"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63,3%</w:t>
            </w:r>
          </w:p>
        </w:tc>
        <w:tc>
          <w:tcPr>
            <w:tcW w:w="276" w:type="pct"/>
            <w:tcBorders>
              <w:top w:val="single" w:sz="4" w:space="0" w:color="auto"/>
              <w:left w:val="nil"/>
              <w:bottom w:val="single" w:sz="4" w:space="0" w:color="auto"/>
              <w:right w:val="nil"/>
            </w:tcBorders>
            <w:shd w:val="clear" w:color="auto" w:fill="auto"/>
            <w:noWrap/>
            <w:vAlign w:val="bottom"/>
            <w:hideMark/>
          </w:tcPr>
          <w:p w14:paraId="0CE752E1"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8 799</w:t>
            </w:r>
          </w:p>
        </w:tc>
        <w:tc>
          <w:tcPr>
            <w:tcW w:w="261" w:type="pct"/>
            <w:tcBorders>
              <w:top w:val="single" w:sz="4" w:space="0" w:color="auto"/>
              <w:left w:val="nil"/>
              <w:bottom w:val="single" w:sz="4" w:space="0" w:color="auto"/>
              <w:right w:val="nil"/>
            </w:tcBorders>
            <w:shd w:val="clear" w:color="auto" w:fill="auto"/>
            <w:noWrap/>
            <w:vAlign w:val="bottom"/>
            <w:hideMark/>
          </w:tcPr>
          <w:p w14:paraId="216335F7"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62,6%</w:t>
            </w:r>
          </w:p>
        </w:tc>
        <w:tc>
          <w:tcPr>
            <w:tcW w:w="276" w:type="pct"/>
            <w:tcBorders>
              <w:top w:val="single" w:sz="4" w:space="0" w:color="auto"/>
              <w:left w:val="nil"/>
              <w:bottom w:val="single" w:sz="4" w:space="0" w:color="auto"/>
              <w:right w:val="nil"/>
            </w:tcBorders>
            <w:shd w:val="clear" w:color="auto" w:fill="auto"/>
            <w:noWrap/>
            <w:vAlign w:val="bottom"/>
            <w:hideMark/>
          </w:tcPr>
          <w:p w14:paraId="761A0F5B"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8 739</w:t>
            </w:r>
          </w:p>
        </w:tc>
        <w:tc>
          <w:tcPr>
            <w:tcW w:w="261" w:type="pct"/>
            <w:tcBorders>
              <w:top w:val="single" w:sz="4" w:space="0" w:color="auto"/>
              <w:left w:val="nil"/>
              <w:bottom w:val="single" w:sz="4" w:space="0" w:color="auto"/>
              <w:right w:val="nil"/>
            </w:tcBorders>
            <w:shd w:val="clear" w:color="auto" w:fill="auto"/>
            <w:noWrap/>
            <w:vAlign w:val="bottom"/>
            <w:hideMark/>
          </w:tcPr>
          <w:p w14:paraId="60CC12F6"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62,9%</w:t>
            </w:r>
          </w:p>
        </w:tc>
        <w:tc>
          <w:tcPr>
            <w:tcW w:w="276" w:type="pct"/>
            <w:tcBorders>
              <w:top w:val="single" w:sz="4" w:space="0" w:color="auto"/>
              <w:left w:val="nil"/>
              <w:bottom w:val="single" w:sz="4" w:space="0" w:color="auto"/>
              <w:right w:val="nil"/>
            </w:tcBorders>
            <w:shd w:val="clear" w:color="auto" w:fill="auto"/>
            <w:noWrap/>
            <w:vAlign w:val="bottom"/>
            <w:hideMark/>
          </w:tcPr>
          <w:p w14:paraId="10005FC8"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8 640</w:t>
            </w:r>
          </w:p>
        </w:tc>
        <w:tc>
          <w:tcPr>
            <w:tcW w:w="261" w:type="pct"/>
            <w:tcBorders>
              <w:top w:val="single" w:sz="4" w:space="0" w:color="auto"/>
              <w:left w:val="nil"/>
              <w:bottom w:val="single" w:sz="4" w:space="0" w:color="auto"/>
              <w:right w:val="nil"/>
            </w:tcBorders>
            <w:shd w:val="clear" w:color="auto" w:fill="auto"/>
            <w:noWrap/>
            <w:vAlign w:val="bottom"/>
            <w:hideMark/>
          </w:tcPr>
          <w:p w14:paraId="79672B28"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62,3%</w:t>
            </w:r>
          </w:p>
        </w:tc>
        <w:tc>
          <w:tcPr>
            <w:tcW w:w="276" w:type="pct"/>
            <w:tcBorders>
              <w:top w:val="single" w:sz="4" w:space="0" w:color="auto"/>
              <w:left w:val="nil"/>
              <w:bottom w:val="single" w:sz="4" w:space="0" w:color="auto"/>
              <w:right w:val="nil"/>
            </w:tcBorders>
            <w:shd w:val="clear" w:color="auto" w:fill="auto"/>
            <w:noWrap/>
            <w:vAlign w:val="bottom"/>
            <w:hideMark/>
          </w:tcPr>
          <w:p w14:paraId="05EFA3E2"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8 695</w:t>
            </w:r>
          </w:p>
        </w:tc>
        <w:tc>
          <w:tcPr>
            <w:tcW w:w="261" w:type="pct"/>
            <w:tcBorders>
              <w:top w:val="single" w:sz="4" w:space="0" w:color="auto"/>
              <w:left w:val="nil"/>
              <w:bottom w:val="single" w:sz="4" w:space="0" w:color="auto"/>
              <w:right w:val="nil"/>
            </w:tcBorders>
            <w:shd w:val="clear" w:color="auto" w:fill="auto"/>
            <w:noWrap/>
            <w:vAlign w:val="bottom"/>
            <w:hideMark/>
          </w:tcPr>
          <w:p w14:paraId="556EBC70"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63,1%</w:t>
            </w:r>
          </w:p>
        </w:tc>
      </w:tr>
      <w:tr w:rsidR="00E66F49" w:rsidRPr="00666914" w14:paraId="438D4E18" w14:textId="77777777" w:rsidTr="00CB4C6A">
        <w:trPr>
          <w:trHeight w:val="255"/>
        </w:trPr>
        <w:tc>
          <w:tcPr>
            <w:tcW w:w="710" w:type="pct"/>
            <w:tcBorders>
              <w:top w:val="nil"/>
              <w:left w:val="nil"/>
              <w:bottom w:val="nil"/>
              <w:right w:val="nil"/>
            </w:tcBorders>
            <w:shd w:val="clear" w:color="auto" w:fill="auto"/>
            <w:noWrap/>
            <w:vAlign w:val="bottom"/>
            <w:hideMark/>
          </w:tcPr>
          <w:p w14:paraId="75C24AC9" w14:textId="77777777" w:rsidR="00E66F49" w:rsidRPr="00666914" w:rsidRDefault="00E66F49" w:rsidP="00D27F91">
            <w:pPr>
              <w:spacing w:after="0"/>
              <w:jc w:val="left"/>
              <w:rPr>
                <w:rFonts w:eastAsia="Times New Roman" w:cs="Calibri"/>
                <w:color w:val="000000"/>
                <w:sz w:val="18"/>
                <w:szCs w:val="18"/>
                <w:lang w:eastAsia="sk-SK"/>
              </w:rPr>
            </w:pPr>
            <w:r w:rsidRPr="00666914">
              <w:rPr>
                <w:rFonts w:eastAsia="Times New Roman" w:cs="Calibri"/>
                <w:color w:val="000000"/>
                <w:sz w:val="18"/>
                <w:szCs w:val="18"/>
                <w:lang w:eastAsia="sk-SK"/>
              </w:rPr>
              <w:t>ÚS</w:t>
            </w:r>
          </w:p>
        </w:tc>
        <w:tc>
          <w:tcPr>
            <w:tcW w:w="276" w:type="pct"/>
            <w:tcBorders>
              <w:top w:val="nil"/>
              <w:left w:val="nil"/>
              <w:bottom w:val="nil"/>
              <w:right w:val="nil"/>
            </w:tcBorders>
            <w:shd w:val="clear" w:color="auto" w:fill="auto"/>
            <w:noWrap/>
            <w:vAlign w:val="bottom"/>
            <w:hideMark/>
          </w:tcPr>
          <w:p w14:paraId="39BC05A5"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5 445</w:t>
            </w:r>
          </w:p>
        </w:tc>
        <w:tc>
          <w:tcPr>
            <w:tcW w:w="261" w:type="pct"/>
            <w:tcBorders>
              <w:top w:val="nil"/>
              <w:left w:val="nil"/>
              <w:bottom w:val="nil"/>
              <w:right w:val="nil"/>
            </w:tcBorders>
            <w:shd w:val="clear" w:color="auto" w:fill="auto"/>
            <w:noWrap/>
            <w:vAlign w:val="bottom"/>
            <w:hideMark/>
          </w:tcPr>
          <w:p w14:paraId="7D3151E5" w14:textId="77777777" w:rsidR="00E66F49" w:rsidRPr="00666914" w:rsidRDefault="00E66F49" w:rsidP="00D27F91">
            <w:pPr>
              <w:spacing w:after="0"/>
              <w:jc w:val="right"/>
              <w:rPr>
                <w:rFonts w:eastAsia="Times New Roman" w:cs="Calibri"/>
                <w:color w:val="000000"/>
                <w:sz w:val="16"/>
                <w:szCs w:val="16"/>
                <w:lang w:eastAsia="sk-SK"/>
              </w:rPr>
            </w:pPr>
          </w:p>
        </w:tc>
        <w:tc>
          <w:tcPr>
            <w:tcW w:w="276" w:type="pct"/>
            <w:tcBorders>
              <w:top w:val="nil"/>
              <w:left w:val="nil"/>
              <w:bottom w:val="nil"/>
              <w:right w:val="nil"/>
            </w:tcBorders>
            <w:shd w:val="clear" w:color="auto" w:fill="auto"/>
            <w:noWrap/>
            <w:vAlign w:val="bottom"/>
            <w:hideMark/>
          </w:tcPr>
          <w:p w14:paraId="681FBEEB"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5 404</w:t>
            </w:r>
          </w:p>
        </w:tc>
        <w:tc>
          <w:tcPr>
            <w:tcW w:w="261" w:type="pct"/>
            <w:tcBorders>
              <w:top w:val="nil"/>
              <w:left w:val="nil"/>
              <w:bottom w:val="nil"/>
              <w:right w:val="nil"/>
            </w:tcBorders>
            <w:shd w:val="clear" w:color="auto" w:fill="auto"/>
            <w:noWrap/>
            <w:vAlign w:val="bottom"/>
            <w:hideMark/>
          </w:tcPr>
          <w:p w14:paraId="24EC199C" w14:textId="77777777" w:rsidR="00E66F49" w:rsidRPr="00666914" w:rsidRDefault="00E66F49" w:rsidP="00D27F91">
            <w:pPr>
              <w:spacing w:after="0"/>
              <w:jc w:val="right"/>
              <w:rPr>
                <w:rFonts w:eastAsia="Times New Roman" w:cs="Calibri"/>
                <w:color w:val="000000"/>
                <w:sz w:val="16"/>
                <w:szCs w:val="16"/>
                <w:lang w:eastAsia="sk-SK"/>
              </w:rPr>
            </w:pPr>
          </w:p>
        </w:tc>
        <w:tc>
          <w:tcPr>
            <w:tcW w:w="276" w:type="pct"/>
            <w:tcBorders>
              <w:top w:val="nil"/>
              <w:left w:val="nil"/>
              <w:bottom w:val="nil"/>
              <w:right w:val="nil"/>
            </w:tcBorders>
            <w:shd w:val="clear" w:color="auto" w:fill="auto"/>
            <w:noWrap/>
            <w:vAlign w:val="bottom"/>
            <w:hideMark/>
          </w:tcPr>
          <w:p w14:paraId="109F4027"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5 317</w:t>
            </w:r>
          </w:p>
        </w:tc>
        <w:tc>
          <w:tcPr>
            <w:tcW w:w="261" w:type="pct"/>
            <w:tcBorders>
              <w:top w:val="nil"/>
              <w:left w:val="nil"/>
              <w:bottom w:val="nil"/>
              <w:right w:val="nil"/>
            </w:tcBorders>
            <w:shd w:val="clear" w:color="auto" w:fill="auto"/>
            <w:noWrap/>
            <w:vAlign w:val="bottom"/>
            <w:hideMark/>
          </w:tcPr>
          <w:p w14:paraId="486CE0C6" w14:textId="77777777" w:rsidR="00E66F49" w:rsidRPr="00666914" w:rsidRDefault="00E66F49" w:rsidP="00D27F91">
            <w:pPr>
              <w:spacing w:after="0"/>
              <w:jc w:val="right"/>
              <w:rPr>
                <w:rFonts w:eastAsia="Times New Roman" w:cs="Calibri"/>
                <w:color w:val="000000"/>
                <w:sz w:val="16"/>
                <w:szCs w:val="16"/>
                <w:lang w:eastAsia="sk-SK"/>
              </w:rPr>
            </w:pPr>
          </w:p>
        </w:tc>
        <w:tc>
          <w:tcPr>
            <w:tcW w:w="276" w:type="pct"/>
            <w:tcBorders>
              <w:top w:val="nil"/>
              <w:left w:val="nil"/>
              <w:bottom w:val="nil"/>
              <w:right w:val="nil"/>
            </w:tcBorders>
            <w:shd w:val="clear" w:color="auto" w:fill="auto"/>
            <w:noWrap/>
            <w:vAlign w:val="bottom"/>
            <w:hideMark/>
          </w:tcPr>
          <w:p w14:paraId="13F7E625"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5 134</w:t>
            </w:r>
          </w:p>
        </w:tc>
        <w:tc>
          <w:tcPr>
            <w:tcW w:w="261" w:type="pct"/>
            <w:tcBorders>
              <w:top w:val="nil"/>
              <w:left w:val="nil"/>
              <w:bottom w:val="nil"/>
              <w:right w:val="nil"/>
            </w:tcBorders>
            <w:shd w:val="clear" w:color="auto" w:fill="auto"/>
            <w:noWrap/>
            <w:vAlign w:val="bottom"/>
            <w:hideMark/>
          </w:tcPr>
          <w:p w14:paraId="2844E798" w14:textId="77777777" w:rsidR="00E66F49" w:rsidRPr="00666914" w:rsidRDefault="00E66F49" w:rsidP="00D27F91">
            <w:pPr>
              <w:spacing w:after="0"/>
              <w:jc w:val="right"/>
              <w:rPr>
                <w:rFonts w:eastAsia="Times New Roman" w:cs="Calibri"/>
                <w:color w:val="000000"/>
                <w:sz w:val="16"/>
                <w:szCs w:val="16"/>
                <w:lang w:eastAsia="sk-SK"/>
              </w:rPr>
            </w:pPr>
          </w:p>
        </w:tc>
        <w:tc>
          <w:tcPr>
            <w:tcW w:w="276" w:type="pct"/>
            <w:tcBorders>
              <w:top w:val="nil"/>
              <w:left w:val="nil"/>
              <w:bottom w:val="nil"/>
              <w:right w:val="nil"/>
            </w:tcBorders>
            <w:shd w:val="clear" w:color="auto" w:fill="auto"/>
            <w:noWrap/>
            <w:vAlign w:val="bottom"/>
            <w:hideMark/>
          </w:tcPr>
          <w:p w14:paraId="76757700"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5 242</w:t>
            </w:r>
          </w:p>
        </w:tc>
        <w:tc>
          <w:tcPr>
            <w:tcW w:w="261" w:type="pct"/>
            <w:tcBorders>
              <w:top w:val="nil"/>
              <w:left w:val="nil"/>
              <w:bottom w:val="nil"/>
              <w:right w:val="nil"/>
            </w:tcBorders>
            <w:shd w:val="clear" w:color="auto" w:fill="auto"/>
            <w:noWrap/>
            <w:vAlign w:val="bottom"/>
            <w:hideMark/>
          </w:tcPr>
          <w:p w14:paraId="13633177" w14:textId="77777777" w:rsidR="00E66F49" w:rsidRPr="00666914" w:rsidRDefault="00E66F49" w:rsidP="00D27F91">
            <w:pPr>
              <w:spacing w:after="0"/>
              <w:jc w:val="right"/>
              <w:rPr>
                <w:rFonts w:eastAsia="Times New Roman" w:cs="Calibri"/>
                <w:color w:val="000000"/>
                <w:sz w:val="16"/>
                <w:szCs w:val="16"/>
                <w:lang w:eastAsia="sk-SK"/>
              </w:rPr>
            </w:pPr>
          </w:p>
        </w:tc>
        <w:tc>
          <w:tcPr>
            <w:tcW w:w="276" w:type="pct"/>
            <w:tcBorders>
              <w:top w:val="nil"/>
              <w:left w:val="nil"/>
              <w:bottom w:val="nil"/>
              <w:right w:val="nil"/>
            </w:tcBorders>
            <w:shd w:val="clear" w:color="auto" w:fill="auto"/>
            <w:noWrap/>
            <w:vAlign w:val="bottom"/>
            <w:hideMark/>
          </w:tcPr>
          <w:p w14:paraId="5F6D5C73"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5 127</w:t>
            </w:r>
          </w:p>
        </w:tc>
        <w:tc>
          <w:tcPr>
            <w:tcW w:w="261" w:type="pct"/>
            <w:tcBorders>
              <w:top w:val="nil"/>
              <w:left w:val="nil"/>
              <w:bottom w:val="nil"/>
              <w:right w:val="nil"/>
            </w:tcBorders>
            <w:shd w:val="clear" w:color="auto" w:fill="auto"/>
            <w:noWrap/>
            <w:vAlign w:val="bottom"/>
            <w:hideMark/>
          </w:tcPr>
          <w:p w14:paraId="018086CA" w14:textId="77777777" w:rsidR="00E66F49" w:rsidRPr="00666914" w:rsidRDefault="00E66F49" w:rsidP="00D27F91">
            <w:pPr>
              <w:spacing w:after="0"/>
              <w:jc w:val="right"/>
              <w:rPr>
                <w:rFonts w:eastAsia="Times New Roman" w:cs="Calibri"/>
                <w:color w:val="000000"/>
                <w:sz w:val="16"/>
                <w:szCs w:val="16"/>
                <w:lang w:eastAsia="sk-SK"/>
              </w:rPr>
            </w:pPr>
          </w:p>
        </w:tc>
        <w:tc>
          <w:tcPr>
            <w:tcW w:w="276" w:type="pct"/>
            <w:tcBorders>
              <w:top w:val="nil"/>
              <w:left w:val="nil"/>
              <w:bottom w:val="nil"/>
              <w:right w:val="nil"/>
            </w:tcBorders>
            <w:shd w:val="clear" w:color="auto" w:fill="auto"/>
            <w:noWrap/>
            <w:vAlign w:val="bottom"/>
            <w:hideMark/>
          </w:tcPr>
          <w:p w14:paraId="3ABFB326"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5 206</w:t>
            </w:r>
          </w:p>
        </w:tc>
        <w:tc>
          <w:tcPr>
            <w:tcW w:w="261" w:type="pct"/>
            <w:tcBorders>
              <w:top w:val="nil"/>
              <w:left w:val="nil"/>
              <w:bottom w:val="nil"/>
              <w:right w:val="nil"/>
            </w:tcBorders>
            <w:shd w:val="clear" w:color="auto" w:fill="auto"/>
            <w:noWrap/>
            <w:vAlign w:val="bottom"/>
            <w:hideMark/>
          </w:tcPr>
          <w:p w14:paraId="67488262" w14:textId="77777777" w:rsidR="00E66F49" w:rsidRPr="00666914" w:rsidRDefault="00E66F49" w:rsidP="00D27F91">
            <w:pPr>
              <w:spacing w:after="0"/>
              <w:jc w:val="right"/>
              <w:rPr>
                <w:rFonts w:eastAsia="Times New Roman" w:cs="Calibri"/>
                <w:color w:val="000000"/>
                <w:sz w:val="16"/>
                <w:szCs w:val="16"/>
                <w:lang w:eastAsia="sk-SK"/>
              </w:rPr>
            </w:pPr>
          </w:p>
        </w:tc>
        <w:tc>
          <w:tcPr>
            <w:tcW w:w="276" w:type="pct"/>
            <w:tcBorders>
              <w:top w:val="nil"/>
              <w:left w:val="nil"/>
              <w:bottom w:val="nil"/>
              <w:right w:val="nil"/>
            </w:tcBorders>
            <w:shd w:val="clear" w:color="auto" w:fill="auto"/>
            <w:noWrap/>
            <w:vAlign w:val="bottom"/>
            <w:hideMark/>
          </w:tcPr>
          <w:p w14:paraId="63BEDD24"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5 081</w:t>
            </w:r>
          </w:p>
        </w:tc>
        <w:tc>
          <w:tcPr>
            <w:tcW w:w="261" w:type="pct"/>
            <w:tcBorders>
              <w:top w:val="nil"/>
              <w:left w:val="nil"/>
              <w:bottom w:val="nil"/>
              <w:right w:val="nil"/>
            </w:tcBorders>
            <w:shd w:val="clear" w:color="auto" w:fill="auto"/>
            <w:noWrap/>
            <w:vAlign w:val="bottom"/>
            <w:hideMark/>
          </w:tcPr>
          <w:p w14:paraId="2C368B5E" w14:textId="77777777" w:rsidR="00E66F49" w:rsidRPr="00666914" w:rsidRDefault="00E66F49" w:rsidP="00D27F91">
            <w:pPr>
              <w:spacing w:after="0"/>
              <w:jc w:val="right"/>
              <w:rPr>
                <w:rFonts w:eastAsia="Times New Roman" w:cs="Calibri"/>
                <w:color w:val="000000"/>
                <w:sz w:val="16"/>
                <w:szCs w:val="16"/>
                <w:lang w:eastAsia="sk-SK"/>
              </w:rPr>
            </w:pPr>
          </w:p>
        </w:tc>
      </w:tr>
      <w:tr w:rsidR="00E66F49" w:rsidRPr="00666914" w14:paraId="329A78A2" w14:textId="77777777" w:rsidTr="00CB4C6A">
        <w:trPr>
          <w:trHeight w:val="255"/>
        </w:trPr>
        <w:tc>
          <w:tcPr>
            <w:tcW w:w="710" w:type="pct"/>
            <w:tcBorders>
              <w:top w:val="nil"/>
              <w:left w:val="nil"/>
              <w:bottom w:val="nil"/>
              <w:right w:val="nil"/>
            </w:tcBorders>
            <w:shd w:val="clear" w:color="auto" w:fill="auto"/>
            <w:noWrap/>
            <w:vAlign w:val="bottom"/>
            <w:hideMark/>
          </w:tcPr>
          <w:p w14:paraId="1EF9CA5C" w14:textId="77777777" w:rsidR="00E66F49" w:rsidRPr="00666914" w:rsidRDefault="00E66F49" w:rsidP="00D27F91">
            <w:pPr>
              <w:spacing w:after="0"/>
              <w:jc w:val="left"/>
              <w:rPr>
                <w:rFonts w:eastAsia="Times New Roman" w:cs="Calibri"/>
                <w:color w:val="000000"/>
                <w:sz w:val="18"/>
                <w:szCs w:val="18"/>
                <w:lang w:eastAsia="sk-SK"/>
              </w:rPr>
            </w:pPr>
            <w:r w:rsidRPr="00666914">
              <w:rPr>
                <w:rFonts w:eastAsia="Times New Roman" w:cs="Calibri"/>
                <w:color w:val="000000"/>
                <w:sz w:val="18"/>
                <w:szCs w:val="18"/>
                <w:lang w:eastAsia="sk-SK"/>
              </w:rPr>
              <w:t>OV</w:t>
            </w:r>
          </w:p>
        </w:tc>
        <w:tc>
          <w:tcPr>
            <w:tcW w:w="276" w:type="pct"/>
            <w:tcBorders>
              <w:top w:val="nil"/>
              <w:left w:val="nil"/>
              <w:bottom w:val="nil"/>
              <w:right w:val="nil"/>
            </w:tcBorders>
            <w:shd w:val="clear" w:color="auto" w:fill="auto"/>
            <w:noWrap/>
            <w:vAlign w:val="bottom"/>
            <w:hideMark/>
          </w:tcPr>
          <w:p w14:paraId="6FD4E484"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52</w:t>
            </w:r>
          </w:p>
        </w:tc>
        <w:tc>
          <w:tcPr>
            <w:tcW w:w="261" w:type="pct"/>
            <w:tcBorders>
              <w:top w:val="nil"/>
              <w:left w:val="nil"/>
              <w:bottom w:val="nil"/>
              <w:right w:val="nil"/>
            </w:tcBorders>
            <w:shd w:val="clear" w:color="auto" w:fill="auto"/>
            <w:noWrap/>
            <w:vAlign w:val="bottom"/>
            <w:hideMark/>
          </w:tcPr>
          <w:p w14:paraId="554F8587" w14:textId="77777777" w:rsidR="00E66F49" w:rsidRPr="00666914" w:rsidRDefault="00E66F49" w:rsidP="00D27F91">
            <w:pPr>
              <w:spacing w:after="0"/>
              <w:jc w:val="right"/>
              <w:rPr>
                <w:rFonts w:eastAsia="Times New Roman" w:cs="Calibri"/>
                <w:color w:val="000000"/>
                <w:sz w:val="16"/>
                <w:szCs w:val="16"/>
                <w:lang w:eastAsia="sk-SK"/>
              </w:rPr>
            </w:pPr>
          </w:p>
        </w:tc>
        <w:tc>
          <w:tcPr>
            <w:tcW w:w="276" w:type="pct"/>
            <w:tcBorders>
              <w:top w:val="nil"/>
              <w:left w:val="nil"/>
              <w:bottom w:val="nil"/>
              <w:right w:val="nil"/>
            </w:tcBorders>
            <w:shd w:val="clear" w:color="auto" w:fill="auto"/>
            <w:noWrap/>
            <w:vAlign w:val="bottom"/>
            <w:hideMark/>
          </w:tcPr>
          <w:p w14:paraId="66C26355"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42</w:t>
            </w:r>
          </w:p>
        </w:tc>
        <w:tc>
          <w:tcPr>
            <w:tcW w:w="261" w:type="pct"/>
            <w:tcBorders>
              <w:top w:val="nil"/>
              <w:left w:val="nil"/>
              <w:bottom w:val="nil"/>
              <w:right w:val="nil"/>
            </w:tcBorders>
            <w:shd w:val="clear" w:color="auto" w:fill="auto"/>
            <w:noWrap/>
            <w:vAlign w:val="bottom"/>
            <w:hideMark/>
          </w:tcPr>
          <w:p w14:paraId="4A69A52C" w14:textId="77777777" w:rsidR="00E66F49" w:rsidRPr="00666914" w:rsidRDefault="00E66F49" w:rsidP="00D27F91">
            <w:pPr>
              <w:spacing w:after="0"/>
              <w:jc w:val="right"/>
              <w:rPr>
                <w:rFonts w:eastAsia="Times New Roman" w:cs="Calibri"/>
                <w:color w:val="000000"/>
                <w:sz w:val="16"/>
                <w:szCs w:val="16"/>
                <w:lang w:eastAsia="sk-SK"/>
              </w:rPr>
            </w:pPr>
          </w:p>
        </w:tc>
        <w:tc>
          <w:tcPr>
            <w:tcW w:w="276" w:type="pct"/>
            <w:tcBorders>
              <w:top w:val="nil"/>
              <w:left w:val="nil"/>
              <w:bottom w:val="nil"/>
              <w:right w:val="nil"/>
            </w:tcBorders>
            <w:shd w:val="clear" w:color="auto" w:fill="auto"/>
            <w:noWrap/>
            <w:vAlign w:val="bottom"/>
            <w:hideMark/>
          </w:tcPr>
          <w:p w14:paraId="51F25509"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39</w:t>
            </w:r>
          </w:p>
        </w:tc>
        <w:tc>
          <w:tcPr>
            <w:tcW w:w="261" w:type="pct"/>
            <w:tcBorders>
              <w:top w:val="nil"/>
              <w:left w:val="nil"/>
              <w:bottom w:val="nil"/>
              <w:right w:val="nil"/>
            </w:tcBorders>
            <w:shd w:val="clear" w:color="auto" w:fill="auto"/>
            <w:noWrap/>
            <w:vAlign w:val="bottom"/>
            <w:hideMark/>
          </w:tcPr>
          <w:p w14:paraId="58B5221E" w14:textId="77777777" w:rsidR="00E66F49" w:rsidRPr="00666914" w:rsidRDefault="00E66F49" w:rsidP="00D27F91">
            <w:pPr>
              <w:spacing w:after="0"/>
              <w:jc w:val="right"/>
              <w:rPr>
                <w:rFonts w:eastAsia="Times New Roman" w:cs="Calibri"/>
                <w:color w:val="000000"/>
                <w:sz w:val="16"/>
                <w:szCs w:val="16"/>
                <w:lang w:eastAsia="sk-SK"/>
              </w:rPr>
            </w:pPr>
          </w:p>
        </w:tc>
        <w:tc>
          <w:tcPr>
            <w:tcW w:w="276" w:type="pct"/>
            <w:tcBorders>
              <w:top w:val="nil"/>
              <w:left w:val="nil"/>
              <w:bottom w:val="nil"/>
              <w:right w:val="nil"/>
            </w:tcBorders>
            <w:shd w:val="clear" w:color="auto" w:fill="auto"/>
            <w:noWrap/>
            <w:vAlign w:val="bottom"/>
            <w:hideMark/>
          </w:tcPr>
          <w:p w14:paraId="37EACFA9"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23</w:t>
            </w:r>
          </w:p>
        </w:tc>
        <w:tc>
          <w:tcPr>
            <w:tcW w:w="261" w:type="pct"/>
            <w:tcBorders>
              <w:top w:val="nil"/>
              <w:left w:val="nil"/>
              <w:bottom w:val="nil"/>
              <w:right w:val="nil"/>
            </w:tcBorders>
            <w:shd w:val="clear" w:color="auto" w:fill="auto"/>
            <w:noWrap/>
            <w:vAlign w:val="bottom"/>
            <w:hideMark/>
          </w:tcPr>
          <w:p w14:paraId="462D5C6A" w14:textId="77777777" w:rsidR="00E66F49" w:rsidRPr="00666914" w:rsidRDefault="00E66F49" w:rsidP="00D27F91">
            <w:pPr>
              <w:spacing w:after="0"/>
              <w:jc w:val="right"/>
              <w:rPr>
                <w:rFonts w:eastAsia="Times New Roman" w:cs="Calibri"/>
                <w:color w:val="000000"/>
                <w:sz w:val="16"/>
                <w:szCs w:val="16"/>
                <w:lang w:eastAsia="sk-SK"/>
              </w:rPr>
            </w:pPr>
          </w:p>
        </w:tc>
        <w:tc>
          <w:tcPr>
            <w:tcW w:w="276" w:type="pct"/>
            <w:tcBorders>
              <w:top w:val="nil"/>
              <w:left w:val="nil"/>
              <w:bottom w:val="nil"/>
              <w:right w:val="nil"/>
            </w:tcBorders>
            <w:shd w:val="clear" w:color="auto" w:fill="auto"/>
            <w:noWrap/>
            <w:vAlign w:val="bottom"/>
            <w:hideMark/>
          </w:tcPr>
          <w:p w14:paraId="553F1610"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24</w:t>
            </w:r>
          </w:p>
        </w:tc>
        <w:tc>
          <w:tcPr>
            <w:tcW w:w="261" w:type="pct"/>
            <w:tcBorders>
              <w:top w:val="nil"/>
              <w:left w:val="nil"/>
              <w:bottom w:val="nil"/>
              <w:right w:val="nil"/>
            </w:tcBorders>
            <w:shd w:val="clear" w:color="auto" w:fill="auto"/>
            <w:noWrap/>
            <w:vAlign w:val="bottom"/>
            <w:hideMark/>
          </w:tcPr>
          <w:p w14:paraId="703E4F8F" w14:textId="77777777" w:rsidR="00E66F49" w:rsidRPr="00666914" w:rsidRDefault="00E66F49" w:rsidP="00D27F91">
            <w:pPr>
              <w:spacing w:after="0"/>
              <w:jc w:val="right"/>
              <w:rPr>
                <w:rFonts w:eastAsia="Times New Roman" w:cs="Calibri"/>
                <w:color w:val="000000"/>
                <w:sz w:val="16"/>
                <w:szCs w:val="16"/>
                <w:lang w:eastAsia="sk-SK"/>
              </w:rPr>
            </w:pPr>
          </w:p>
        </w:tc>
        <w:tc>
          <w:tcPr>
            <w:tcW w:w="276" w:type="pct"/>
            <w:tcBorders>
              <w:top w:val="nil"/>
              <w:left w:val="nil"/>
              <w:bottom w:val="nil"/>
              <w:right w:val="nil"/>
            </w:tcBorders>
            <w:shd w:val="clear" w:color="auto" w:fill="auto"/>
            <w:noWrap/>
            <w:vAlign w:val="bottom"/>
            <w:hideMark/>
          </w:tcPr>
          <w:p w14:paraId="217F026F"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24</w:t>
            </w:r>
          </w:p>
        </w:tc>
        <w:tc>
          <w:tcPr>
            <w:tcW w:w="261" w:type="pct"/>
            <w:tcBorders>
              <w:top w:val="nil"/>
              <w:left w:val="nil"/>
              <w:bottom w:val="nil"/>
              <w:right w:val="nil"/>
            </w:tcBorders>
            <w:shd w:val="clear" w:color="auto" w:fill="auto"/>
            <w:noWrap/>
            <w:vAlign w:val="bottom"/>
            <w:hideMark/>
          </w:tcPr>
          <w:p w14:paraId="208D1BF1" w14:textId="77777777" w:rsidR="00E66F49" w:rsidRPr="00666914" w:rsidRDefault="00E66F49" w:rsidP="00D27F91">
            <w:pPr>
              <w:spacing w:after="0"/>
              <w:jc w:val="right"/>
              <w:rPr>
                <w:rFonts w:eastAsia="Times New Roman" w:cs="Calibri"/>
                <w:color w:val="000000"/>
                <w:sz w:val="16"/>
                <w:szCs w:val="16"/>
                <w:lang w:eastAsia="sk-SK"/>
              </w:rPr>
            </w:pPr>
          </w:p>
        </w:tc>
        <w:tc>
          <w:tcPr>
            <w:tcW w:w="276" w:type="pct"/>
            <w:tcBorders>
              <w:top w:val="nil"/>
              <w:left w:val="nil"/>
              <w:bottom w:val="nil"/>
              <w:right w:val="nil"/>
            </w:tcBorders>
            <w:shd w:val="clear" w:color="auto" w:fill="auto"/>
            <w:noWrap/>
            <w:vAlign w:val="bottom"/>
            <w:hideMark/>
          </w:tcPr>
          <w:p w14:paraId="6075A831"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17</w:t>
            </w:r>
          </w:p>
        </w:tc>
        <w:tc>
          <w:tcPr>
            <w:tcW w:w="261" w:type="pct"/>
            <w:tcBorders>
              <w:top w:val="nil"/>
              <w:left w:val="nil"/>
              <w:bottom w:val="nil"/>
              <w:right w:val="nil"/>
            </w:tcBorders>
            <w:shd w:val="clear" w:color="auto" w:fill="auto"/>
            <w:noWrap/>
            <w:vAlign w:val="bottom"/>
            <w:hideMark/>
          </w:tcPr>
          <w:p w14:paraId="1CC2501F" w14:textId="77777777" w:rsidR="00E66F49" w:rsidRPr="00666914" w:rsidRDefault="00E66F49" w:rsidP="00D27F91">
            <w:pPr>
              <w:spacing w:after="0"/>
              <w:jc w:val="right"/>
              <w:rPr>
                <w:rFonts w:eastAsia="Times New Roman" w:cs="Calibri"/>
                <w:color w:val="000000"/>
                <w:sz w:val="16"/>
                <w:szCs w:val="16"/>
                <w:lang w:eastAsia="sk-SK"/>
              </w:rPr>
            </w:pPr>
          </w:p>
        </w:tc>
        <w:tc>
          <w:tcPr>
            <w:tcW w:w="276" w:type="pct"/>
            <w:tcBorders>
              <w:top w:val="nil"/>
              <w:left w:val="nil"/>
              <w:bottom w:val="nil"/>
              <w:right w:val="nil"/>
            </w:tcBorders>
            <w:shd w:val="clear" w:color="auto" w:fill="auto"/>
            <w:noWrap/>
            <w:vAlign w:val="bottom"/>
            <w:hideMark/>
          </w:tcPr>
          <w:p w14:paraId="65887373"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12</w:t>
            </w:r>
          </w:p>
        </w:tc>
        <w:tc>
          <w:tcPr>
            <w:tcW w:w="261" w:type="pct"/>
            <w:tcBorders>
              <w:top w:val="nil"/>
              <w:left w:val="nil"/>
              <w:bottom w:val="nil"/>
              <w:right w:val="nil"/>
            </w:tcBorders>
            <w:shd w:val="clear" w:color="auto" w:fill="auto"/>
            <w:noWrap/>
            <w:vAlign w:val="bottom"/>
            <w:hideMark/>
          </w:tcPr>
          <w:p w14:paraId="3EC1F9D7" w14:textId="77777777" w:rsidR="00E66F49" w:rsidRPr="00666914" w:rsidRDefault="00E66F49" w:rsidP="00D27F91">
            <w:pPr>
              <w:spacing w:after="0"/>
              <w:jc w:val="right"/>
              <w:rPr>
                <w:rFonts w:eastAsia="Times New Roman" w:cs="Calibri"/>
                <w:color w:val="000000"/>
                <w:sz w:val="16"/>
                <w:szCs w:val="16"/>
                <w:lang w:eastAsia="sk-SK"/>
              </w:rPr>
            </w:pPr>
          </w:p>
        </w:tc>
      </w:tr>
      <w:tr w:rsidR="00E66F49" w:rsidRPr="00666914" w14:paraId="525575FA" w14:textId="77777777" w:rsidTr="00CB4C6A">
        <w:trPr>
          <w:trHeight w:val="255"/>
        </w:trPr>
        <w:tc>
          <w:tcPr>
            <w:tcW w:w="710" w:type="pct"/>
            <w:tcBorders>
              <w:top w:val="single" w:sz="4" w:space="0" w:color="auto"/>
              <w:left w:val="nil"/>
              <w:bottom w:val="single" w:sz="4" w:space="0" w:color="auto"/>
              <w:right w:val="nil"/>
            </w:tcBorders>
            <w:shd w:val="clear" w:color="auto" w:fill="auto"/>
            <w:noWrap/>
            <w:vAlign w:val="bottom"/>
            <w:hideMark/>
          </w:tcPr>
          <w:p w14:paraId="6B12BC49" w14:textId="77777777" w:rsidR="00E66F49" w:rsidRPr="00666914" w:rsidRDefault="00E66F49" w:rsidP="00D27F91">
            <w:pPr>
              <w:spacing w:after="0"/>
              <w:jc w:val="left"/>
              <w:rPr>
                <w:rFonts w:eastAsia="Times New Roman" w:cs="Calibri"/>
                <w:b/>
                <w:bCs/>
                <w:color w:val="000000"/>
                <w:sz w:val="18"/>
                <w:szCs w:val="18"/>
                <w:lang w:eastAsia="sk-SK"/>
              </w:rPr>
            </w:pPr>
            <w:r w:rsidRPr="00666914">
              <w:rPr>
                <w:rFonts w:eastAsia="Times New Roman" w:cs="Calibri"/>
                <w:b/>
                <w:bCs/>
                <w:color w:val="000000"/>
                <w:sz w:val="18"/>
                <w:szCs w:val="18"/>
                <w:lang w:eastAsia="sk-SK"/>
              </w:rPr>
              <w:t>NO/VO/ÚS*/OV*</w:t>
            </w:r>
            <w:r w:rsidRPr="00666914">
              <w:rPr>
                <w:rStyle w:val="Odkaznapoznmkupodiarou"/>
                <w:rFonts w:eastAsia="Times New Roman" w:cs="Calibri"/>
                <w:b/>
                <w:bCs/>
                <w:color w:val="000000"/>
                <w:sz w:val="18"/>
                <w:szCs w:val="18"/>
                <w:lang w:eastAsia="sk-SK"/>
              </w:rPr>
              <w:footnoteReference w:id="338"/>
            </w:r>
          </w:p>
        </w:tc>
        <w:tc>
          <w:tcPr>
            <w:tcW w:w="276" w:type="pct"/>
            <w:tcBorders>
              <w:top w:val="single" w:sz="4" w:space="0" w:color="auto"/>
              <w:left w:val="nil"/>
              <w:bottom w:val="single" w:sz="4" w:space="0" w:color="auto"/>
              <w:right w:val="nil"/>
            </w:tcBorders>
            <w:shd w:val="clear" w:color="auto" w:fill="auto"/>
            <w:noWrap/>
            <w:vAlign w:val="bottom"/>
            <w:hideMark/>
          </w:tcPr>
          <w:p w14:paraId="48CE29C4"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5 497</w:t>
            </w:r>
          </w:p>
        </w:tc>
        <w:tc>
          <w:tcPr>
            <w:tcW w:w="261" w:type="pct"/>
            <w:tcBorders>
              <w:top w:val="single" w:sz="4" w:space="0" w:color="auto"/>
              <w:left w:val="nil"/>
              <w:bottom w:val="single" w:sz="4" w:space="0" w:color="auto"/>
              <w:right w:val="nil"/>
            </w:tcBorders>
            <w:shd w:val="clear" w:color="auto" w:fill="auto"/>
            <w:noWrap/>
            <w:vAlign w:val="bottom"/>
            <w:hideMark/>
          </w:tcPr>
          <w:p w14:paraId="282517C0"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38,0%</w:t>
            </w:r>
          </w:p>
        </w:tc>
        <w:tc>
          <w:tcPr>
            <w:tcW w:w="276" w:type="pct"/>
            <w:tcBorders>
              <w:top w:val="single" w:sz="4" w:space="0" w:color="auto"/>
              <w:left w:val="nil"/>
              <w:bottom w:val="single" w:sz="4" w:space="0" w:color="auto"/>
              <w:right w:val="nil"/>
            </w:tcBorders>
            <w:shd w:val="clear" w:color="auto" w:fill="auto"/>
            <w:noWrap/>
            <w:vAlign w:val="bottom"/>
            <w:hideMark/>
          </w:tcPr>
          <w:p w14:paraId="320CE888"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5 446</w:t>
            </w:r>
          </w:p>
        </w:tc>
        <w:tc>
          <w:tcPr>
            <w:tcW w:w="261" w:type="pct"/>
            <w:tcBorders>
              <w:top w:val="single" w:sz="4" w:space="0" w:color="auto"/>
              <w:left w:val="nil"/>
              <w:bottom w:val="single" w:sz="4" w:space="0" w:color="auto"/>
              <w:right w:val="nil"/>
            </w:tcBorders>
            <w:shd w:val="clear" w:color="auto" w:fill="auto"/>
            <w:noWrap/>
            <w:vAlign w:val="bottom"/>
            <w:hideMark/>
          </w:tcPr>
          <w:p w14:paraId="344183B2"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38,8%</w:t>
            </w:r>
          </w:p>
        </w:tc>
        <w:tc>
          <w:tcPr>
            <w:tcW w:w="276" w:type="pct"/>
            <w:tcBorders>
              <w:top w:val="single" w:sz="4" w:space="0" w:color="auto"/>
              <w:left w:val="nil"/>
              <w:bottom w:val="single" w:sz="4" w:space="0" w:color="auto"/>
              <w:right w:val="nil"/>
            </w:tcBorders>
            <w:shd w:val="clear" w:color="auto" w:fill="auto"/>
            <w:noWrap/>
            <w:vAlign w:val="bottom"/>
            <w:hideMark/>
          </w:tcPr>
          <w:p w14:paraId="506618C8"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5 356</w:t>
            </w:r>
          </w:p>
        </w:tc>
        <w:tc>
          <w:tcPr>
            <w:tcW w:w="261" w:type="pct"/>
            <w:tcBorders>
              <w:top w:val="single" w:sz="4" w:space="0" w:color="auto"/>
              <w:left w:val="nil"/>
              <w:bottom w:val="single" w:sz="4" w:space="0" w:color="auto"/>
              <w:right w:val="nil"/>
            </w:tcBorders>
            <w:shd w:val="clear" w:color="auto" w:fill="auto"/>
            <w:noWrap/>
            <w:vAlign w:val="bottom"/>
            <w:hideMark/>
          </w:tcPr>
          <w:p w14:paraId="77D197AE"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38,0%</w:t>
            </w:r>
          </w:p>
        </w:tc>
        <w:tc>
          <w:tcPr>
            <w:tcW w:w="276" w:type="pct"/>
            <w:tcBorders>
              <w:top w:val="single" w:sz="4" w:space="0" w:color="auto"/>
              <w:left w:val="nil"/>
              <w:bottom w:val="single" w:sz="4" w:space="0" w:color="auto"/>
              <w:right w:val="nil"/>
            </w:tcBorders>
            <w:shd w:val="clear" w:color="auto" w:fill="auto"/>
            <w:noWrap/>
            <w:vAlign w:val="bottom"/>
            <w:hideMark/>
          </w:tcPr>
          <w:p w14:paraId="3EB4E50C"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5 157</w:t>
            </w:r>
          </w:p>
        </w:tc>
        <w:tc>
          <w:tcPr>
            <w:tcW w:w="261" w:type="pct"/>
            <w:tcBorders>
              <w:top w:val="single" w:sz="4" w:space="0" w:color="auto"/>
              <w:left w:val="nil"/>
              <w:bottom w:val="single" w:sz="4" w:space="0" w:color="auto"/>
              <w:right w:val="nil"/>
            </w:tcBorders>
            <w:shd w:val="clear" w:color="auto" w:fill="auto"/>
            <w:noWrap/>
            <w:vAlign w:val="bottom"/>
            <w:hideMark/>
          </w:tcPr>
          <w:p w14:paraId="3CC3DA7F"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36,7%</w:t>
            </w:r>
          </w:p>
        </w:tc>
        <w:tc>
          <w:tcPr>
            <w:tcW w:w="276" w:type="pct"/>
            <w:tcBorders>
              <w:top w:val="single" w:sz="4" w:space="0" w:color="auto"/>
              <w:left w:val="nil"/>
              <w:bottom w:val="single" w:sz="4" w:space="0" w:color="auto"/>
              <w:right w:val="nil"/>
            </w:tcBorders>
            <w:shd w:val="clear" w:color="auto" w:fill="auto"/>
            <w:noWrap/>
            <w:vAlign w:val="bottom"/>
            <w:hideMark/>
          </w:tcPr>
          <w:p w14:paraId="40A20B82"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5 266</w:t>
            </w:r>
          </w:p>
        </w:tc>
        <w:tc>
          <w:tcPr>
            <w:tcW w:w="261" w:type="pct"/>
            <w:tcBorders>
              <w:top w:val="single" w:sz="4" w:space="0" w:color="auto"/>
              <w:left w:val="nil"/>
              <w:bottom w:val="single" w:sz="4" w:space="0" w:color="auto"/>
              <w:right w:val="nil"/>
            </w:tcBorders>
            <w:shd w:val="clear" w:color="auto" w:fill="auto"/>
            <w:noWrap/>
            <w:vAlign w:val="bottom"/>
            <w:hideMark/>
          </w:tcPr>
          <w:p w14:paraId="23A05E1C"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37,4%</w:t>
            </w:r>
          </w:p>
        </w:tc>
        <w:tc>
          <w:tcPr>
            <w:tcW w:w="276" w:type="pct"/>
            <w:tcBorders>
              <w:top w:val="single" w:sz="4" w:space="0" w:color="auto"/>
              <w:left w:val="nil"/>
              <w:bottom w:val="single" w:sz="4" w:space="0" w:color="auto"/>
              <w:right w:val="nil"/>
            </w:tcBorders>
            <w:shd w:val="clear" w:color="auto" w:fill="auto"/>
            <w:noWrap/>
            <w:vAlign w:val="bottom"/>
            <w:hideMark/>
          </w:tcPr>
          <w:p w14:paraId="5A471084"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5 151</w:t>
            </w:r>
          </w:p>
        </w:tc>
        <w:tc>
          <w:tcPr>
            <w:tcW w:w="261" w:type="pct"/>
            <w:tcBorders>
              <w:top w:val="single" w:sz="4" w:space="0" w:color="auto"/>
              <w:left w:val="nil"/>
              <w:bottom w:val="single" w:sz="4" w:space="0" w:color="auto"/>
              <w:right w:val="nil"/>
            </w:tcBorders>
            <w:shd w:val="clear" w:color="auto" w:fill="auto"/>
            <w:noWrap/>
            <w:vAlign w:val="bottom"/>
            <w:hideMark/>
          </w:tcPr>
          <w:p w14:paraId="73518891"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37,1%</w:t>
            </w:r>
          </w:p>
        </w:tc>
        <w:tc>
          <w:tcPr>
            <w:tcW w:w="276" w:type="pct"/>
            <w:tcBorders>
              <w:top w:val="single" w:sz="4" w:space="0" w:color="auto"/>
              <w:left w:val="nil"/>
              <w:bottom w:val="single" w:sz="4" w:space="0" w:color="auto"/>
              <w:right w:val="nil"/>
            </w:tcBorders>
            <w:shd w:val="clear" w:color="auto" w:fill="auto"/>
            <w:noWrap/>
            <w:vAlign w:val="bottom"/>
            <w:hideMark/>
          </w:tcPr>
          <w:p w14:paraId="19F1231B"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5 223</w:t>
            </w:r>
          </w:p>
        </w:tc>
        <w:tc>
          <w:tcPr>
            <w:tcW w:w="261" w:type="pct"/>
            <w:tcBorders>
              <w:top w:val="single" w:sz="4" w:space="0" w:color="auto"/>
              <w:left w:val="nil"/>
              <w:bottom w:val="single" w:sz="4" w:space="0" w:color="auto"/>
              <w:right w:val="nil"/>
            </w:tcBorders>
            <w:shd w:val="clear" w:color="auto" w:fill="auto"/>
            <w:noWrap/>
            <w:vAlign w:val="bottom"/>
            <w:hideMark/>
          </w:tcPr>
          <w:p w14:paraId="52DC832C"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37,7%</w:t>
            </w:r>
          </w:p>
        </w:tc>
        <w:tc>
          <w:tcPr>
            <w:tcW w:w="276" w:type="pct"/>
            <w:tcBorders>
              <w:top w:val="single" w:sz="4" w:space="0" w:color="auto"/>
              <w:left w:val="nil"/>
              <w:bottom w:val="single" w:sz="4" w:space="0" w:color="auto"/>
              <w:right w:val="nil"/>
            </w:tcBorders>
            <w:shd w:val="clear" w:color="auto" w:fill="auto"/>
            <w:noWrap/>
            <w:vAlign w:val="bottom"/>
            <w:hideMark/>
          </w:tcPr>
          <w:p w14:paraId="70A109F2"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5 093</w:t>
            </w:r>
          </w:p>
        </w:tc>
        <w:tc>
          <w:tcPr>
            <w:tcW w:w="261" w:type="pct"/>
            <w:tcBorders>
              <w:top w:val="single" w:sz="4" w:space="0" w:color="auto"/>
              <w:left w:val="nil"/>
              <w:bottom w:val="single" w:sz="4" w:space="0" w:color="auto"/>
              <w:right w:val="nil"/>
            </w:tcBorders>
            <w:shd w:val="clear" w:color="auto" w:fill="auto"/>
            <w:noWrap/>
            <w:vAlign w:val="bottom"/>
            <w:hideMark/>
          </w:tcPr>
          <w:p w14:paraId="6D077662"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36,9%</w:t>
            </w:r>
          </w:p>
        </w:tc>
      </w:tr>
      <w:tr w:rsidR="00E66F49" w:rsidRPr="00666914" w14:paraId="7BEF5041" w14:textId="77777777" w:rsidTr="00CB4C6A">
        <w:trPr>
          <w:trHeight w:val="300"/>
        </w:trPr>
        <w:tc>
          <w:tcPr>
            <w:tcW w:w="5000" w:type="pct"/>
            <w:gridSpan w:val="17"/>
            <w:tcBorders>
              <w:top w:val="single" w:sz="4" w:space="0" w:color="auto"/>
              <w:left w:val="nil"/>
              <w:bottom w:val="nil"/>
              <w:right w:val="nil"/>
            </w:tcBorders>
            <w:shd w:val="clear" w:color="auto" w:fill="auto"/>
            <w:noWrap/>
            <w:vAlign w:val="bottom"/>
            <w:hideMark/>
          </w:tcPr>
          <w:p w14:paraId="339BD2B6" w14:textId="77777777" w:rsidR="00E66F49" w:rsidRPr="00666914" w:rsidRDefault="00E66F49" w:rsidP="00D27F91">
            <w:pPr>
              <w:spacing w:after="0"/>
              <w:jc w:val="right"/>
              <w:rPr>
                <w:rFonts w:eastAsia="Times New Roman" w:cs="Calibri"/>
                <w:i/>
                <w:iCs/>
                <w:color w:val="000000"/>
                <w:sz w:val="18"/>
                <w:szCs w:val="18"/>
                <w:lang w:eastAsia="sk-SK"/>
              </w:rPr>
            </w:pPr>
            <w:r w:rsidRPr="00666914">
              <w:rPr>
                <w:rFonts w:eastAsia="Times New Roman" w:cs="Calibri"/>
                <w:i/>
                <w:iCs/>
                <w:color w:val="000000"/>
                <w:sz w:val="18"/>
                <w:szCs w:val="18"/>
                <w:lang w:eastAsia="sk-SK"/>
              </w:rPr>
              <w:t xml:space="preserve">Zdroj: ÚPSVaR </w:t>
            </w:r>
          </w:p>
        </w:tc>
      </w:tr>
    </w:tbl>
    <w:p w14:paraId="26E6BA09" w14:textId="254F3D3A" w:rsidR="00E66F49" w:rsidRPr="00666914" w:rsidRDefault="00E66F49" w:rsidP="00D27F91">
      <w:r w:rsidRPr="00666914">
        <w:rPr>
          <w:b/>
        </w:rPr>
        <w:lastRenderedPageBreak/>
        <w:t>K znižovaniu počtu detí s nariadenou ústavnou starostlivosťou má prispievať aj novela zákona č. 305/2005 Z. z. o sociálnoprávnej ochrane detí a o sociálnej kuratele</w:t>
      </w:r>
      <w:r w:rsidRPr="00666914">
        <w:rPr>
          <w:rStyle w:val="Odkaznapoznmkupodiarou"/>
          <w:b/>
        </w:rPr>
        <w:footnoteReference w:id="339"/>
      </w:r>
      <w:r w:rsidRPr="00666914">
        <w:rPr>
          <w:b/>
        </w:rPr>
        <w:t xml:space="preserve">, </w:t>
      </w:r>
      <w:r w:rsidRPr="00666914">
        <w:t>ktorou boli od 1.1.2019 zavedené centrá pre deti a rodiny (CDR). CDR vykonávajú opatrenia sociálnoprávnej ochrany detí a sociálnej kurately na základe programu, špecializovaného programu alebo resocializačného programu.</w:t>
      </w:r>
    </w:p>
    <w:tbl>
      <w:tblPr>
        <w:tblW w:w="5000" w:type="pct"/>
        <w:tblCellMar>
          <w:left w:w="70" w:type="dxa"/>
          <w:right w:w="70" w:type="dxa"/>
        </w:tblCellMar>
        <w:tblLook w:val="04A0" w:firstRow="1" w:lastRow="0" w:firstColumn="1" w:lastColumn="0" w:noHBand="0" w:noVBand="1"/>
      </w:tblPr>
      <w:tblGrid>
        <w:gridCol w:w="6174"/>
        <w:gridCol w:w="759"/>
        <w:gridCol w:w="759"/>
        <w:gridCol w:w="759"/>
        <w:gridCol w:w="763"/>
      </w:tblGrid>
      <w:tr w:rsidR="00E66F49" w:rsidRPr="00666914" w14:paraId="32541FB5" w14:textId="77777777" w:rsidTr="00D27F91">
        <w:trPr>
          <w:trHeight w:val="255"/>
        </w:trPr>
        <w:tc>
          <w:tcPr>
            <w:tcW w:w="5000" w:type="pct"/>
            <w:gridSpan w:val="5"/>
            <w:tcBorders>
              <w:top w:val="nil"/>
              <w:left w:val="nil"/>
              <w:bottom w:val="nil"/>
              <w:right w:val="nil"/>
            </w:tcBorders>
            <w:shd w:val="clear" w:color="auto" w:fill="auto"/>
            <w:noWrap/>
            <w:vAlign w:val="center"/>
            <w:hideMark/>
          </w:tcPr>
          <w:p w14:paraId="7C7BBED0" w14:textId="3CED5488" w:rsidR="00E66F49" w:rsidRPr="00666914" w:rsidRDefault="00E66F49" w:rsidP="00D27F91">
            <w:pPr>
              <w:spacing w:after="0"/>
              <w:jc w:val="left"/>
              <w:rPr>
                <w:rFonts w:eastAsia="Times New Roman" w:cs="Calibri"/>
                <w:b/>
                <w:bCs/>
                <w:color w:val="000000"/>
                <w:sz w:val="20"/>
                <w:szCs w:val="20"/>
                <w:lang w:eastAsia="sk-SK"/>
              </w:rPr>
            </w:pPr>
            <w:bookmarkStart w:id="371" w:name="_Toc38447743"/>
            <w:r w:rsidRPr="00666914">
              <w:rPr>
                <w:rFonts w:eastAsia="Times New Roman" w:cs="Calibri"/>
                <w:b/>
                <w:bCs/>
                <w:color w:val="000000"/>
                <w:sz w:val="20"/>
                <w:szCs w:val="20"/>
                <w:lang w:eastAsia="sk-SK"/>
              </w:rPr>
              <w:t xml:space="preserve">Tabuľka </w:t>
            </w:r>
            <w:r w:rsidRPr="00666914">
              <w:rPr>
                <w:rFonts w:eastAsia="Times New Roman" w:cs="Calibri"/>
                <w:b/>
                <w:bCs/>
                <w:color w:val="000000"/>
                <w:sz w:val="20"/>
                <w:szCs w:val="20"/>
                <w:lang w:eastAsia="sk-SK"/>
              </w:rPr>
              <w:fldChar w:fldCharType="begin"/>
            </w:r>
            <w:r w:rsidRPr="00666914">
              <w:rPr>
                <w:rFonts w:eastAsia="Times New Roman" w:cs="Calibri"/>
                <w:b/>
                <w:bCs/>
                <w:color w:val="000000"/>
                <w:sz w:val="20"/>
                <w:szCs w:val="20"/>
                <w:lang w:eastAsia="sk-SK"/>
              </w:rPr>
              <w:instrText xml:space="preserve"> SEQ Tabuľka \* ARABIC \* MERGEFORMAT </w:instrText>
            </w:r>
            <w:r w:rsidRPr="00666914">
              <w:rPr>
                <w:rFonts w:eastAsia="Times New Roman" w:cs="Calibri"/>
                <w:b/>
                <w:bCs/>
                <w:color w:val="000000"/>
                <w:sz w:val="20"/>
                <w:szCs w:val="20"/>
                <w:lang w:eastAsia="sk-SK"/>
              </w:rPr>
              <w:fldChar w:fldCharType="separate"/>
            </w:r>
            <w:r w:rsidR="005A7304">
              <w:rPr>
                <w:rFonts w:eastAsia="Times New Roman" w:cs="Calibri"/>
                <w:b/>
                <w:bCs/>
                <w:noProof/>
                <w:color w:val="000000"/>
                <w:sz w:val="20"/>
                <w:szCs w:val="20"/>
                <w:lang w:eastAsia="sk-SK"/>
              </w:rPr>
              <w:t>82</w:t>
            </w:r>
            <w:r w:rsidRPr="00666914">
              <w:rPr>
                <w:rFonts w:eastAsia="Times New Roman" w:cs="Calibri"/>
                <w:b/>
                <w:bCs/>
                <w:color w:val="000000"/>
                <w:sz w:val="20"/>
                <w:szCs w:val="20"/>
                <w:lang w:eastAsia="sk-SK"/>
              </w:rPr>
              <w:fldChar w:fldCharType="end"/>
            </w:r>
            <w:r w:rsidRPr="00666914">
              <w:rPr>
                <w:rFonts w:eastAsia="Times New Roman" w:cs="Calibri"/>
                <w:b/>
                <w:bCs/>
                <w:color w:val="000000"/>
                <w:sz w:val="20"/>
                <w:szCs w:val="20"/>
                <w:lang w:eastAsia="sk-SK"/>
              </w:rPr>
              <w:t>: Podiel detí v zariadeniach sociálnoprávnej ochrany detí a sociálnej kurately</w:t>
            </w:r>
            <w:bookmarkEnd w:id="371"/>
            <w:r w:rsidRPr="00666914">
              <w:rPr>
                <w:rFonts w:eastAsia="Times New Roman" w:cs="Calibri"/>
                <w:b/>
                <w:bCs/>
                <w:color w:val="000000"/>
                <w:sz w:val="20"/>
                <w:szCs w:val="20"/>
                <w:lang w:eastAsia="sk-SK"/>
              </w:rPr>
              <w:t xml:space="preserve"> </w:t>
            </w:r>
          </w:p>
        </w:tc>
      </w:tr>
      <w:tr w:rsidR="00E66F49" w:rsidRPr="00666914" w14:paraId="3B92C4FA" w14:textId="77777777" w:rsidTr="00D27F91">
        <w:trPr>
          <w:trHeight w:val="255"/>
        </w:trPr>
        <w:tc>
          <w:tcPr>
            <w:tcW w:w="3350" w:type="pct"/>
            <w:tcBorders>
              <w:top w:val="single" w:sz="4" w:space="0" w:color="auto"/>
              <w:left w:val="nil"/>
              <w:bottom w:val="single" w:sz="4" w:space="0" w:color="auto"/>
              <w:right w:val="nil"/>
            </w:tcBorders>
            <w:shd w:val="clear" w:color="auto" w:fill="auto"/>
            <w:noWrap/>
            <w:vAlign w:val="bottom"/>
            <w:hideMark/>
          </w:tcPr>
          <w:p w14:paraId="60513D31"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c>
          <w:tcPr>
            <w:tcW w:w="412" w:type="pct"/>
            <w:tcBorders>
              <w:top w:val="single" w:sz="4" w:space="0" w:color="auto"/>
              <w:left w:val="nil"/>
              <w:bottom w:val="single" w:sz="4" w:space="0" w:color="auto"/>
              <w:right w:val="nil"/>
            </w:tcBorders>
            <w:shd w:val="clear" w:color="auto" w:fill="auto"/>
            <w:noWrap/>
            <w:vAlign w:val="bottom"/>
            <w:hideMark/>
          </w:tcPr>
          <w:p w14:paraId="27A563DC"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2016</w:t>
            </w:r>
          </w:p>
        </w:tc>
        <w:tc>
          <w:tcPr>
            <w:tcW w:w="412" w:type="pct"/>
            <w:tcBorders>
              <w:top w:val="single" w:sz="4" w:space="0" w:color="auto"/>
              <w:left w:val="nil"/>
              <w:bottom w:val="single" w:sz="4" w:space="0" w:color="auto"/>
              <w:right w:val="nil"/>
            </w:tcBorders>
            <w:shd w:val="clear" w:color="auto" w:fill="auto"/>
            <w:noWrap/>
            <w:vAlign w:val="bottom"/>
            <w:hideMark/>
          </w:tcPr>
          <w:p w14:paraId="0EF4A759"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2017</w:t>
            </w:r>
          </w:p>
        </w:tc>
        <w:tc>
          <w:tcPr>
            <w:tcW w:w="412" w:type="pct"/>
            <w:tcBorders>
              <w:top w:val="single" w:sz="4" w:space="0" w:color="auto"/>
              <w:left w:val="nil"/>
              <w:bottom w:val="single" w:sz="4" w:space="0" w:color="auto"/>
              <w:right w:val="nil"/>
            </w:tcBorders>
            <w:shd w:val="clear" w:color="auto" w:fill="auto"/>
            <w:noWrap/>
            <w:vAlign w:val="bottom"/>
            <w:hideMark/>
          </w:tcPr>
          <w:p w14:paraId="5AC4AC31"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2018</w:t>
            </w:r>
          </w:p>
        </w:tc>
        <w:tc>
          <w:tcPr>
            <w:tcW w:w="412" w:type="pct"/>
            <w:tcBorders>
              <w:top w:val="single" w:sz="4" w:space="0" w:color="auto"/>
              <w:left w:val="nil"/>
              <w:bottom w:val="single" w:sz="4" w:space="0" w:color="auto"/>
              <w:right w:val="nil"/>
            </w:tcBorders>
            <w:shd w:val="clear" w:color="auto" w:fill="auto"/>
            <w:noWrap/>
            <w:vAlign w:val="bottom"/>
            <w:hideMark/>
          </w:tcPr>
          <w:p w14:paraId="460EA9BE"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2019</w:t>
            </w:r>
          </w:p>
        </w:tc>
      </w:tr>
      <w:tr w:rsidR="00E66F49" w:rsidRPr="00666914" w14:paraId="778AE7EE" w14:textId="77777777" w:rsidTr="00D27F91">
        <w:trPr>
          <w:trHeight w:val="255"/>
        </w:trPr>
        <w:tc>
          <w:tcPr>
            <w:tcW w:w="3350" w:type="pct"/>
            <w:tcBorders>
              <w:top w:val="nil"/>
              <w:left w:val="nil"/>
              <w:bottom w:val="nil"/>
              <w:right w:val="nil"/>
            </w:tcBorders>
            <w:shd w:val="clear" w:color="auto" w:fill="auto"/>
            <w:noWrap/>
            <w:vAlign w:val="bottom"/>
            <w:hideMark/>
          </w:tcPr>
          <w:p w14:paraId="089B7454"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Počet detí s nariadenou ústavnou starostlivosťou</w:t>
            </w:r>
            <w:r w:rsidRPr="00666914">
              <w:rPr>
                <w:rStyle w:val="Odkaznapoznmkupodiarou"/>
                <w:rFonts w:eastAsia="Times New Roman" w:cs="Calibri"/>
                <w:color w:val="000000"/>
                <w:sz w:val="20"/>
                <w:szCs w:val="20"/>
                <w:lang w:eastAsia="sk-SK"/>
              </w:rPr>
              <w:footnoteReference w:id="340"/>
            </w:r>
          </w:p>
        </w:tc>
        <w:tc>
          <w:tcPr>
            <w:tcW w:w="412" w:type="pct"/>
            <w:tcBorders>
              <w:top w:val="nil"/>
              <w:left w:val="nil"/>
              <w:bottom w:val="nil"/>
              <w:right w:val="nil"/>
            </w:tcBorders>
            <w:shd w:val="clear" w:color="auto" w:fill="auto"/>
            <w:noWrap/>
            <w:vAlign w:val="bottom"/>
            <w:hideMark/>
          </w:tcPr>
          <w:p w14:paraId="4ECA7542"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3 646</w:t>
            </w:r>
          </w:p>
        </w:tc>
        <w:tc>
          <w:tcPr>
            <w:tcW w:w="412" w:type="pct"/>
            <w:tcBorders>
              <w:top w:val="nil"/>
              <w:left w:val="nil"/>
              <w:bottom w:val="nil"/>
              <w:right w:val="nil"/>
            </w:tcBorders>
            <w:shd w:val="clear" w:color="auto" w:fill="auto"/>
            <w:noWrap/>
            <w:vAlign w:val="bottom"/>
            <w:hideMark/>
          </w:tcPr>
          <w:p w14:paraId="48014E67"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3 371</w:t>
            </w:r>
          </w:p>
        </w:tc>
        <w:tc>
          <w:tcPr>
            <w:tcW w:w="412" w:type="pct"/>
            <w:tcBorders>
              <w:top w:val="nil"/>
              <w:left w:val="nil"/>
              <w:bottom w:val="nil"/>
              <w:right w:val="nil"/>
            </w:tcBorders>
            <w:shd w:val="clear" w:color="auto" w:fill="auto"/>
            <w:noWrap/>
            <w:vAlign w:val="bottom"/>
            <w:hideMark/>
          </w:tcPr>
          <w:p w14:paraId="75298EB2"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3 301</w:t>
            </w:r>
          </w:p>
        </w:tc>
        <w:tc>
          <w:tcPr>
            <w:tcW w:w="412" w:type="pct"/>
            <w:tcBorders>
              <w:top w:val="nil"/>
              <w:left w:val="nil"/>
              <w:bottom w:val="nil"/>
              <w:right w:val="nil"/>
            </w:tcBorders>
            <w:shd w:val="clear" w:color="auto" w:fill="auto"/>
            <w:noWrap/>
            <w:vAlign w:val="bottom"/>
            <w:hideMark/>
          </w:tcPr>
          <w:p w14:paraId="5654353A"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3 113</w:t>
            </w:r>
          </w:p>
        </w:tc>
      </w:tr>
      <w:tr w:rsidR="00E66F49" w:rsidRPr="00666914" w14:paraId="66F8CF8C" w14:textId="77777777" w:rsidTr="00D27F91">
        <w:trPr>
          <w:trHeight w:val="255"/>
        </w:trPr>
        <w:tc>
          <w:tcPr>
            <w:tcW w:w="3350" w:type="pct"/>
            <w:tcBorders>
              <w:top w:val="nil"/>
              <w:left w:val="nil"/>
              <w:bottom w:val="nil"/>
              <w:right w:val="nil"/>
            </w:tcBorders>
            <w:shd w:val="clear" w:color="auto" w:fill="auto"/>
            <w:noWrap/>
            <w:vAlign w:val="bottom"/>
            <w:hideMark/>
          </w:tcPr>
          <w:p w14:paraId="26F08AF3" w14:textId="7FAB4F85"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Počet detí - súdne rozhodnutia (celkovo)</w:t>
            </w:r>
          </w:p>
        </w:tc>
        <w:tc>
          <w:tcPr>
            <w:tcW w:w="412" w:type="pct"/>
            <w:tcBorders>
              <w:top w:val="nil"/>
              <w:left w:val="nil"/>
              <w:bottom w:val="nil"/>
              <w:right w:val="nil"/>
            </w:tcBorders>
            <w:shd w:val="clear" w:color="auto" w:fill="auto"/>
            <w:noWrap/>
            <w:vAlign w:val="bottom"/>
            <w:hideMark/>
          </w:tcPr>
          <w:p w14:paraId="750F5EEC"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4 455</w:t>
            </w:r>
          </w:p>
        </w:tc>
        <w:tc>
          <w:tcPr>
            <w:tcW w:w="412" w:type="pct"/>
            <w:tcBorders>
              <w:top w:val="nil"/>
              <w:left w:val="nil"/>
              <w:bottom w:val="nil"/>
              <w:right w:val="nil"/>
            </w:tcBorders>
            <w:shd w:val="clear" w:color="auto" w:fill="auto"/>
            <w:noWrap/>
            <w:vAlign w:val="bottom"/>
            <w:hideMark/>
          </w:tcPr>
          <w:p w14:paraId="69B96AFC"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4 326</w:t>
            </w:r>
          </w:p>
        </w:tc>
        <w:tc>
          <w:tcPr>
            <w:tcW w:w="412" w:type="pct"/>
            <w:tcBorders>
              <w:top w:val="nil"/>
              <w:left w:val="nil"/>
              <w:bottom w:val="nil"/>
              <w:right w:val="nil"/>
            </w:tcBorders>
            <w:shd w:val="clear" w:color="auto" w:fill="auto"/>
            <w:noWrap/>
            <w:vAlign w:val="bottom"/>
            <w:hideMark/>
          </w:tcPr>
          <w:p w14:paraId="094A2B14"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4 497</w:t>
            </w:r>
          </w:p>
        </w:tc>
        <w:tc>
          <w:tcPr>
            <w:tcW w:w="412" w:type="pct"/>
            <w:tcBorders>
              <w:top w:val="nil"/>
              <w:left w:val="nil"/>
              <w:bottom w:val="nil"/>
              <w:right w:val="nil"/>
            </w:tcBorders>
            <w:shd w:val="clear" w:color="auto" w:fill="auto"/>
            <w:noWrap/>
            <w:vAlign w:val="bottom"/>
            <w:hideMark/>
          </w:tcPr>
          <w:p w14:paraId="7D635675"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4 481</w:t>
            </w:r>
          </w:p>
        </w:tc>
      </w:tr>
      <w:tr w:rsidR="00E66F49" w:rsidRPr="00666914" w14:paraId="45DA9ED1" w14:textId="77777777" w:rsidTr="00D27F91">
        <w:trPr>
          <w:trHeight w:val="255"/>
        </w:trPr>
        <w:tc>
          <w:tcPr>
            <w:tcW w:w="3350" w:type="pct"/>
            <w:tcBorders>
              <w:top w:val="single" w:sz="4" w:space="0" w:color="auto"/>
              <w:left w:val="nil"/>
              <w:bottom w:val="single" w:sz="4" w:space="0" w:color="auto"/>
              <w:right w:val="nil"/>
            </w:tcBorders>
            <w:shd w:val="clear" w:color="auto" w:fill="auto"/>
            <w:noWrap/>
            <w:vAlign w:val="bottom"/>
            <w:hideMark/>
          </w:tcPr>
          <w:p w14:paraId="723F103D"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 xml:space="preserve">(%) detí </w:t>
            </w:r>
          </w:p>
        </w:tc>
        <w:tc>
          <w:tcPr>
            <w:tcW w:w="412" w:type="pct"/>
            <w:tcBorders>
              <w:top w:val="single" w:sz="4" w:space="0" w:color="auto"/>
              <w:left w:val="nil"/>
              <w:bottom w:val="single" w:sz="4" w:space="0" w:color="auto"/>
              <w:right w:val="nil"/>
            </w:tcBorders>
            <w:shd w:val="clear" w:color="auto" w:fill="auto"/>
            <w:noWrap/>
            <w:vAlign w:val="bottom"/>
            <w:hideMark/>
          </w:tcPr>
          <w:p w14:paraId="785EE0F4"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82%</w:t>
            </w:r>
          </w:p>
        </w:tc>
        <w:tc>
          <w:tcPr>
            <w:tcW w:w="412" w:type="pct"/>
            <w:tcBorders>
              <w:top w:val="single" w:sz="4" w:space="0" w:color="auto"/>
              <w:left w:val="nil"/>
              <w:bottom w:val="single" w:sz="4" w:space="0" w:color="auto"/>
              <w:right w:val="nil"/>
            </w:tcBorders>
            <w:shd w:val="clear" w:color="auto" w:fill="auto"/>
            <w:noWrap/>
            <w:vAlign w:val="bottom"/>
            <w:hideMark/>
          </w:tcPr>
          <w:p w14:paraId="6AE8E6F3"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78%</w:t>
            </w:r>
          </w:p>
        </w:tc>
        <w:tc>
          <w:tcPr>
            <w:tcW w:w="412" w:type="pct"/>
            <w:tcBorders>
              <w:top w:val="single" w:sz="4" w:space="0" w:color="auto"/>
              <w:left w:val="nil"/>
              <w:bottom w:val="single" w:sz="4" w:space="0" w:color="auto"/>
              <w:right w:val="nil"/>
            </w:tcBorders>
            <w:shd w:val="clear" w:color="auto" w:fill="auto"/>
            <w:noWrap/>
            <w:vAlign w:val="bottom"/>
            <w:hideMark/>
          </w:tcPr>
          <w:p w14:paraId="03F0F14A"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73%</w:t>
            </w:r>
          </w:p>
        </w:tc>
        <w:tc>
          <w:tcPr>
            <w:tcW w:w="412" w:type="pct"/>
            <w:tcBorders>
              <w:top w:val="single" w:sz="4" w:space="0" w:color="auto"/>
              <w:left w:val="nil"/>
              <w:bottom w:val="single" w:sz="4" w:space="0" w:color="auto"/>
              <w:right w:val="nil"/>
            </w:tcBorders>
            <w:shd w:val="clear" w:color="auto" w:fill="auto"/>
            <w:noWrap/>
            <w:vAlign w:val="bottom"/>
            <w:hideMark/>
          </w:tcPr>
          <w:p w14:paraId="4D6564D8"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69%</w:t>
            </w:r>
          </w:p>
        </w:tc>
      </w:tr>
      <w:tr w:rsidR="00E66F49" w:rsidRPr="00666914" w14:paraId="27E434E6" w14:textId="77777777" w:rsidTr="00D27F91">
        <w:trPr>
          <w:trHeight w:val="300"/>
        </w:trPr>
        <w:tc>
          <w:tcPr>
            <w:tcW w:w="5000" w:type="pct"/>
            <w:gridSpan w:val="5"/>
            <w:tcBorders>
              <w:top w:val="single" w:sz="4" w:space="0" w:color="auto"/>
              <w:left w:val="nil"/>
              <w:bottom w:val="nil"/>
              <w:right w:val="nil"/>
            </w:tcBorders>
            <w:shd w:val="clear" w:color="auto" w:fill="auto"/>
            <w:noWrap/>
            <w:vAlign w:val="bottom"/>
            <w:hideMark/>
          </w:tcPr>
          <w:p w14:paraId="6F0B846D" w14:textId="77777777" w:rsidR="00E66F49" w:rsidRPr="00666914" w:rsidRDefault="00E66F49" w:rsidP="00D27F91">
            <w:pPr>
              <w:spacing w:after="0"/>
              <w:jc w:val="right"/>
              <w:rPr>
                <w:rFonts w:eastAsia="Times New Roman" w:cs="Calibri"/>
                <w:i/>
                <w:iCs/>
                <w:color w:val="000000"/>
                <w:sz w:val="18"/>
                <w:szCs w:val="18"/>
                <w:lang w:eastAsia="sk-SK"/>
              </w:rPr>
            </w:pPr>
            <w:r w:rsidRPr="00666914">
              <w:rPr>
                <w:rFonts w:eastAsia="Times New Roman" w:cs="Calibri"/>
                <w:i/>
                <w:iCs/>
                <w:color w:val="000000"/>
                <w:sz w:val="18"/>
                <w:szCs w:val="18"/>
                <w:lang w:eastAsia="sk-SK"/>
              </w:rPr>
              <w:t xml:space="preserve">Zdroj: ÚPSVaR </w:t>
            </w:r>
          </w:p>
        </w:tc>
      </w:tr>
    </w:tbl>
    <w:p w14:paraId="78CE1339" w14:textId="77777777" w:rsidR="00E66F49" w:rsidRPr="00666914" w:rsidRDefault="00E66F49" w:rsidP="00173DD5">
      <w:pPr>
        <w:spacing w:after="0"/>
      </w:pPr>
    </w:p>
    <w:p w14:paraId="14C47057" w14:textId="65E887D1" w:rsidR="00E66F49" w:rsidRPr="00666914" w:rsidRDefault="00E66F49" w:rsidP="00D27F91">
      <w:r w:rsidRPr="00666914">
        <w:t xml:space="preserve">Cieľom prijatých zmien je znižovanie podielu počtu detí umiestnených v CDR na základe rozhodnutia súdu o nariadení ústavnej starostlivosti na celkovom počte detí, ktoré sú umiestnené v CDR na základe súdneho rozhodnutia. Priemerný podiel od roku 2016 predstavuje 75,5 % (tabuľka </w:t>
      </w:r>
      <w:r w:rsidR="00953FE8" w:rsidRPr="00666914">
        <w:t>8</w:t>
      </w:r>
      <w:r w:rsidR="00EB2C64" w:rsidRPr="00666914">
        <w:t>2</w:t>
      </w:r>
      <w:r w:rsidRPr="00666914">
        <w:t xml:space="preserve">), pričom počas posledných 4 rokov má klesajúci charakter. </w:t>
      </w:r>
      <w:r w:rsidRPr="00666914">
        <w:rPr>
          <w:b/>
        </w:rPr>
        <w:t xml:space="preserve">Cieľom je dosiahnuť do roku 2023 </w:t>
      </w:r>
      <w:r w:rsidR="00543D4C" w:rsidRPr="00666914">
        <w:rPr>
          <w:b/>
        </w:rPr>
        <w:t xml:space="preserve">úroveň </w:t>
      </w:r>
      <w:r w:rsidRPr="00666914">
        <w:rPr>
          <w:b/>
        </w:rPr>
        <w:t>52 %</w:t>
      </w:r>
      <w:r w:rsidR="00D53B0A" w:rsidRPr="00666914">
        <w:rPr>
          <w:b/>
        </w:rPr>
        <w:t>,</w:t>
      </w:r>
      <w:r w:rsidRPr="00666914">
        <w:rPr>
          <w:b/>
        </w:rPr>
        <w:t xml:space="preserve"> a to prostredníctvom</w:t>
      </w:r>
      <w:r w:rsidRPr="00666914">
        <w:t>:</w:t>
      </w:r>
    </w:p>
    <w:p w14:paraId="4F166C2E" w14:textId="46D768B5" w:rsidR="00E66F49" w:rsidRPr="00666914" w:rsidRDefault="00E66F49" w:rsidP="00131B23">
      <w:pPr>
        <w:pStyle w:val="Odsekzoznamu"/>
        <w:numPr>
          <w:ilvl w:val="0"/>
          <w:numId w:val="22"/>
        </w:numPr>
      </w:pPr>
      <w:r w:rsidRPr="00666914">
        <w:t>využívania inštitútu tzv. dobrovoľných pobytov detí, príp. detí s rodičmi v centrách pre deti a rodiny</w:t>
      </w:r>
    </w:p>
    <w:p w14:paraId="2A4111DB" w14:textId="77777777" w:rsidR="00E66F49" w:rsidRPr="00666914" w:rsidRDefault="00E66F49" w:rsidP="00D27F91">
      <w:r w:rsidRPr="00666914">
        <w:t>Počas roka 2019 bolo zriadených 9 skupín pre pobytovú odbornú pomoc deťom a 13 skupín pre pobytovú odbornú pomoc deťom a ich rodičom</w:t>
      </w:r>
      <w:r w:rsidRPr="00666914">
        <w:rPr>
          <w:rStyle w:val="Odkaznapoznmkupodiarou"/>
        </w:rPr>
        <w:footnoteReference w:id="341"/>
      </w:r>
      <w:r w:rsidRPr="00666914">
        <w:t>.</w:t>
      </w:r>
    </w:p>
    <w:p w14:paraId="1D56BCAD" w14:textId="3DB52D80" w:rsidR="00E66F49" w:rsidRPr="00666914" w:rsidRDefault="00E66F49" w:rsidP="00131B23">
      <w:pPr>
        <w:pStyle w:val="Odsekzoznamu"/>
        <w:numPr>
          <w:ilvl w:val="0"/>
          <w:numId w:val="22"/>
        </w:numPr>
      </w:pPr>
      <w:r w:rsidRPr="00666914">
        <w:t>podpory ambulantnej a terénnej formy odbornej práce pre deti a rodiny</w:t>
      </w:r>
    </w:p>
    <w:p w14:paraId="23910294" w14:textId="0E18C380" w:rsidR="00E66F49" w:rsidRPr="00666914" w:rsidRDefault="00E66F49" w:rsidP="00D27F91">
      <w:r w:rsidRPr="00666914">
        <w:t>K 31.12.2019 boli v CDR vykonávané touto formou opatrenia pre 1 123 rodín, najvyšší podiel tvorili odborné činnosti zamerané na sanáciu, nácvik rodičovských zručností, výchovné problémy.</w:t>
      </w:r>
    </w:p>
    <w:p w14:paraId="21B53A92" w14:textId="78B4E3A9" w:rsidR="00E66F49" w:rsidRPr="00666914" w:rsidRDefault="00E66F49" w:rsidP="00D27F91">
      <w:r w:rsidRPr="00666914">
        <w:t>Počas 2H2019 spustilo MPSVR SR v spolupráci s EK v rámci Programu na podporu štrukturálnych reforiem 2017-2020</w:t>
      </w:r>
      <w:r w:rsidRPr="00666914">
        <w:rPr>
          <w:rStyle w:val="Odkaznapoznmkupodiarou"/>
        </w:rPr>
        <w:footnoteReference w:id="342"/>
      </w:r>
      <w:r w:rsidRPr="00666914">
        <w:t xml:space="preserve"> implementáciu projektu v celkovej výške 300 tis. eur (bez spolufinancovania zo strany MPSVR SR), na ktorom MPSVR SR spolupracuje, resp. je prijímateľom jeho výsledkov. Projekt je zameraný na vytvorenie </w:t>
      </w:r>
      <w:r w:rsidRPr="00666914">
        <w:rPr>
          <w:b/>
        </w:rPr>
        <w:t>národného rámca metodológie a evaluácie systému náhradnej starostlivosti.</w:t>
      </w:r>
      <w:r w:rsidRPr="00666914">
        <w:rPr>
          <w:sz w:val="20"/>
          <w:szCs w:val="20"/>
        </w:rPr>
        <w:t xml:space="preserve"> </w:t>
      </w:r>
      <w:r w:rsidRPr="00666914">
        <w:t>Jeho cieľom je skvalitnenie dosahovania cieľov procesu deinštitucionalizácie v oblasti náhradnej starostlivosti.</w:t>
      </w:r>
    </w:p>
    <w:tbl>
      <w:tblPr>
        <w:tblW w:w="9016" w:type="dxa"/>
        <w:tblCellMar>
          <w:left w:w="70" w:type="dxa"/>
          <w:right w:w="70" w:type="dxa"/>
        </w:tblCellMar>
        <w:tblLook w:val="04A0" w:firstRow="1" w:lastRow="0" w:firstColumn="1" w:lastColumn="0" w:noHBand="0" w:noVBand="1"/>
      </w:tblPr>
      <w:tblGrid>
        <w:gridCol w:w="1276"/>
        <w:gridCol w:w="7740"/>
      </w:tblGrid>
      <w:tr w:rsidR="00E66F49" w:rsidRPr="00666914" w14:paraId="2534800E" w14:textId="77777777" w:rsidTr="00D27F91">
        <w:trPr>
          <w:trHeight w:val="255"/>
        </w:trPr>
        <w:tc>
          <w:tcPr>
            <w:tcW w:w="9016" w:type="dxa"/>
            <w:gridSpan w:val="2"/>
            <w:tcBorders>
              <w:top w:val="nil"/>
              <w:left w:val="nil"/>
              <w:bottom w:val="nil"/>
              <w:right w:val="nil"/>
            </w:tcBorders>
            <w:shd w:val="clear" w:color="auto" w:fill="auto"/>
            <w:noWrap/>
            <w:vAlign w:val="center"/>
            <w:hideMark/>
          </w:tcPr>
          <w:p w14:paraId="4094BD71" w14:textId="3BCEC579" w:rsidR="00E66F49" w:rsidRPr="00666914" w:rsidRDefault="00E66F49" w:rsidP="00D27F91">
            <w:pPr>
              <w:spacing w:after="0"/>
              <w:jc w:val="left"/>
              <w:rPr>
                <w:rFonts w:eastAsia="Times New Roman" w:cs="Calibri"/>
                <w:b/>
                <w:bCs/>
                <w:color w:val="000000"/>
                <w:sz w:val="20"/>
                <w:szCs w:val="20"/>
                <w:lang w:eastAsia="sk-SK"/>
              </w:rPr>
            </w:pPr>
            <w:bookmarkStart w:id="372" w:name="_Toc38447744"/>
            <w:r w:rsidRPr="00666914">
              <w:rPr>
                <w:rFonts w:eastAsia="Times New Roman" w:cs="Calibri"/>
                <w:b/>
                <w:bCs/>
                <w:color w:val="000000"/>
                <w:sz w:val="20"/>
                <w:szCs w:val="20"/>
                <w:lang w:eastAsia="sk-SK"/>
              </w:rPr>
              <w:t xml:space="preserve">Tabuľka </w:t>
            </w:r>
            <w:r w:rsidRPr="00666914">
              <w:rPr>
                <w:rFonts w:eastAsia="Times New Roman" w:cs="Calibri"/>
                <w:b/>
                <w:bCs/>
                <w:color w:val="000000"/>
                <w:sz w:val="20"/>
                <w:szCs w:val="20"/>
                <w:lang w:eastAsia="sk-SK"/>
              </w:rPr>
              <w:fldChar w:fldCharType="begin"/>
            </w:r>
            <w:r w:rsidRPr="00666914">
              <w:rPr>
                <w:rFonts w:eastAsia="Times New Roman" w:cs="Calibri"/>
                <w:b/>
                <w:bCs/>
                <w:color w:val="000000"/>
                <w:sz w:val="20"/>
                <w:szCs w:val="20"/>
                <w:lang w:eastAsia="sk-SK"/>
              </w:rPr>
              <w:instrText xml:space="preserve"> SEQ Tabuľka \* ARABIC \* MERGEFORMAT </w:instrText>
            </w:r>
            <w:r w:rsidRPr="00666914">
              <w:rPr>
                <w:rFonts w:eastAsia="Times New Roman" w:cs="Calibri"/>
                <w:b/>
                <w:bCs/>
                <w:color w:val="000000"/>
                <w:sz w:val="20"/>
                <w:szCs w:val="20"/>
                <w:lang w:eastAsia="sk-SK"/>
              </w:rPr>
              <w:fldChar w:fldCharType="separate"/>
            </w:r>
            <w:r w:rsidR="005A7304">
              <w:rPr>
                <w:rFonts w:eastAsia="Times New Roman" w:cs="Calibri"/>
                <w:b/>
                <w:bCs/>
                <w:noProof/>
                <w:color w:val="000000"/>
                <w:sz w:val="20"/>
                <w:szCs w:val="20"/>
                <w:lang w:eastAsia="sk-SK"/>
              </w:rPr>
              <w:t>83</w:t>
            </w:r>
            <w:r w:rsidRPr="00666914">
              <w:rPr>
                <w:rFonts w:eastAsia="Times New Roman" w:cs="Calibri"/>
                <w:b/>
                <w:bCs/>
                <w:color w:val="000000"/>
                <w:sz w:val="20"/>
                <w:szCs w:val="20"/>
                <w:lang w:eastAsia="sk-SK"/>
              </w:rPr>
              <w:fldChar w:fldCharType="end"/>
            </w:r>
            <w:r w:rsidRPr="00666914">
              <w:rPr>
                <w:rFonts w:eastAsia="Times New Roman" w:cs="Calibri"/>
                <w:b/>
                <w:bCs/>
                <w:color w:val="000000"/>
                <w:sz w:val="20"/>
                <w:szCs w:val="20"/>
                <w:lang w:eastAsia="sk-SK"/>
              </w:rPr>
              <w:t>: Harmonogram očakávaných výstupov projektu</w:t>
            </w:r>
            <w:bookmarkEnd w:id="372"/>
          </w:p>
        </w:tc>
      </w:tr>
      <w:tr w:rsidR="00E66F49" w:rsidRPr="00666914" w14:paraId="0770CB61" w14:textId="77777777" w:rsidTr="00D27F91">
        <w:trPr>
          <w:trHeight w:val="255"/>
        </w:trPr>
        <w:tc>
          <w:tcPr>
            <w:tcW w:w="1276" w:type="dxa"/>
            <w:tcBorders>
              <w:top w:val="single" w:sz="4" w:space="0" w:color="auto"/>
              <w:left w:val="nil"/>
              <w:bottom w:val="single" w:sz="4" w:space="0" w:color="auto"/>
              <w:right w:val="nil"/>
            </w:tcBorders>
            <w:shd w:val="clear" w:color="auto" w:fill="auto"/>
            <w:noWrap/>
            <w:vAlign w:val="bottom"/>
            <w:hideMark/>
          </w:tcPr>
          <w:p w14:paraId="6A21510E"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 xml:space="preserve">Obdobie </w:t>
            </w:r>
          </w:p>
        </w:tc>
        <w:tc>
          <w:tcPr>
            <w:tcW w:w="7740" w:type="dxa"/>
            <w:tcBorders>
              <w:top w:val="single" w:sz="4" w:space="0" w:color="auto"/>
              <w:left w:val="nil"/>
              <w:bottom w:val="single" w:sz="4" w:space="0" w:color="auto"/>
              <w:right w:val="nil"/>
            </w:tcBorders>
            <w:shd w:val="clear" w:color="auto" w:fill="auto"/>
            <w:noWrap/>
            <w:vAlign w:val="bottom"/>
            <w:hideMark/>
          </w:tcPr>
          <w:p w14:paraId="1B2F7A3A"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 xml:space="preserve">Výstup </w:t>
            </w:r>
          </w:p>
        </w:tc>
      </w:tr>
      <w:tr w:rsidR="00E66F49" w:rsidRPr="00666914" w14:paraId="244144B5" w14:textId="77777777" w:rsidTr="00D27F91">
        <w:trPr>
          <w:trHeight w:val="255"/>
        </w:trPr>
        <w:tc>
          <w:tcPr>
            <w:tcW w:w="1276" w:type="dxa"/>
            <w:tcBorders>
              <w:top w:val="nil"/>
              <w:left w:val="nil"/>
              <w:bottom w:val="nil"/>
              <w:right w:val="nil"/>
            </w:tcBorders>
            <w:shd w:val="clear" w:color="auto" w:fill="auto"/>
            <w:noWrap/>
            <w:vAlign w:val="bottom"/>
            <w:hideMark/>
          </w:tcPr>
          <w:p w14:paraId="0D370695"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1Q 2020</w:t>
            </w:r>
          </w:p>
        </w:tc>
        <w:tc>
          <w:tcPr>
            <w:tcW w:w="7740" w:type="dxa"/>
            <w:tcBorders>
              <w:top w:val="nil"/>
              <w:left w:val="nil"/>
              <w:bottom w:val="nil"/>
              <w:right w:val="nil"/>
            </w:tcBorders>
            <w:shd w:val="clear" w:color="auto" w:fill="auto"/>
            <w:noWrap/>
            <w:vAlign w:val="bottom"/>
            <w:hideMark/>
          </w:tcPr>
          <w:p w14:paraId="13043A67"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xml:space="preserve">Vyhodnotenie súčasného stavu metodológie a evaluácie náhradnej starostlivosti v SR </w:t>
            </w:r>
          </w:p>
        </w:tc>
      </w:tr>
      <w:tr w:rsidR="00E66F49" w:rsidRPr="00666914" w14:paraId="096B46DC" w14:textId="77777777" w:rsidTr="00D27F91">
        <w:trPr>
          <w:trHeight w:val="255"/>
        </w:trPr>
        <w:tc>
          <w:tcPr>
            <w:tcW w:w="1276" w:type="dxa"/>
            <w:tcBorders>
              <w:top w:val="nil"/>
              <w:left w:val="nil"/>
              <w:bottom w:val="nil"/>
              <w:right w:val="nil"/>
            </w:tcBorders>
            <w:shd w:val="clear" w:color="auto" w:fill="auto"/>
            <w:noWrap/>
            <w:vAlign w:val="bottom"/>
            <w:hideMark/>
          </w:tcPr>
          <w:p w14:paraId="76F58B93"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1Q - 4Q 2020</w:t>
            </w:r>
          </w:p>
        </w:tc>
        <w:tc>
          <w:tcPr>
            <w:tcW w:w="7740" w:type="dxa"/>
            <w:tcBorders>
              <w:top w:val="nil"/>
              <w:left w:val="nil"/>
              <w:bottom w:val="nil"/>
              <w:right w:val="nil"/>
            </w:tcBorders>
            <w:shd w:val="clear" w:color="auto" w:fill="auto"/>
            <w:noWrap/>
            <w:vAlign w:val="bottom"/>
            <w:hideMark/>
          </w:tcPr>
          <w:p w14:paraId="44F86C9B"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xml:space="preserve">Príprava nového rámca metodológie a evaluácie náhradnej starostlivosti </w:t>
            </w:r>
          </w:p>
        </w:tc>
      </w:tr>
      <w:tr w:rsidR="00E66F49" w:rsidRPr="00666914" w14:paraId="1A3EA347" w14:textId="77777777" w:rsidTr="00D27F91">
        <w:trPr>
          <w:trHeight w:val="255"/>
        </w:trPr>
        <w:tc>
          <w:tcPr>
            <w:tcW w:w="1276" w:type="dxa"/>
            <w:tcBorders>
              <w:top w:val="nil"/>
              <w:left w:val="nil"/>
              <w:bottom w:val="nil"/>
              <w:right w:val="nil"/>
            </w:tcBorders>
            <w:shd w:val="clear" w:color="auto" w:fill="auto"/>
            <w:noWrap/>
            <w:vAlign w:val="bottom"/>
            <w:hideMark/>
          </w:tcPr>
          <w:p w14:paraId="738A2383"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1Q 2021</w:t>
            </w:r>
          </w:p>
        </w:tc>
        <w:tc>
          <w:tcPr>
            <w:tcW w:w="7740" w:type="dxa"/>
            <w:tcBorders>
              <w:top w:val="nil"/>
              <w:left w:val="nil"/>
              <w:bottom w:val="nil"/>
              <w:right w:val="nil"/>
            </w:tcBorders>
            <w:shd w:val="clear" w:color="auto" w:fill="auto"/>
            <w:noWrap/>
            <w:vAlign w:val="bottom"/>
            <w:hideMark/>
          </w:tcPr>
          <w:p w14:paraId="15813E45"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xml:space="preserve">Finalizácia nového rámca metodológie a evaluácie a vypracovanie implementačného plánu </w:t>
            </w:r>
          </w:p>
        </w:tc>
      </w:tr>
      <w:tr w:rsidR="00E66F49" w:rsidRPr="00666914" w14:paraId="1969F916" w14:textId="77777777" w:rsidTr="00D27F91">
        <w:trPr>
          <w:trHeight w:val="255"/>
        </w:trPr>
        <w:tc>
          <w:tcPr>
            <w:tcW w:w="1276" w:type="dxa"/>
            <w:tcBorders>
              <w:top w:val="nil"/>
              <w:left w:val="nil"/>
              <w:bottom w:val="single" w:sz="4" w:space="0" w:color="auto"/>
              <w:right w:val="nil"/>
            </w:tcBorders>
            <w:shd w:val="clear" w:color="auto" w:fill="auto"/>
            <w:noWrap/>
            <w:vAlign w:val="bottom"/>
            <w:hideMark/>
          </w:tcPr>
          <w:p w14:paraId="700A95D5"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2Q 2021</w:t>
            </w:r>
          </w:p>
        </w:tc>
        <w:tc>
          <w:tcPr>
            <w:tcW w:w="7740" w:type="dxa"/>
            <w:tcBorders>
              <w:top w:val="nil"/>
              <w:left w:val="nil"/>
              <w:bottom w:val="single" w:sz="4" w:space="0" w:color="auto"/>
              <w:right w:val="nil"/>
            </w:tcBorders>
            <w:shd w:val="clear" w:color="auto" w:fill="auto"/>
            <w:noWrap/>
            <w:vAlign w:val="bottom"/>
            <w:hideMark/>
          </w:tcPr>
          <w:p w14:paraId="612311AD"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xml:space="preserve">Vzdelávanie kapacít MPSVR SR a ostatných subjektov (ÚPSVaR, Centrá pre deti a rodiny) </w:t>
            </w:r>
          </w:p>
        </w:tc>
      </w:tr>
      <w:tr w:rsidR="00E66F49" w:rsidRPr="00666914" w14:paraId="470B9A30" w14:textId="77777777" w:rsidTr="00D27F91">
        <w:trPr>
          <w:trHeight w:val="300"/>
        </w:trPr>
        <w:tc>
          <w:tcPr>
            <w:tcW w:w="9016" w:type="dxa"/>
            <w:gridSpan w:val="2"/>
            <w:tcBorders>
              <w:top w:val="nil"/>
              <w:left w:val="nil"/>
              <w:bottom w:val="nil"/>
              <w:right w:val="nil"/>
            </w:tcBorders>
            <w:shd w:val="clear" w:color="auto" w:fill="auto"/>
            <w:noWrap/>
            <w:vAlign w:val="bottom"/>
            <w:hideMark/>
          </w:tcPr>
          <w:p w14:paraId="11856F4D" w14:textId="77777777" w:rsidR="00E66F49" w:rsidRPr="00666914" w:rsidRDefault="00E66F49" w:rsidP="00D27F91">
            <w:pPr>
              <w:spacing w:after="0"/>
              <w:jc w:val="right"/>
              <w:rPr>
                <w:rFonts w:eastAsia="Times New Roman" w:cs="Calibri"/>
                <w:i/>
                <w:iCs/>
                <w:color w:val="000000"/>
                <w:sz w:val="18"/>
                <w:szCs w:val="18"/>
                <w:lang w:eastAsia="sk-SK"/>
              </w:rPr>
            </w:pPr>
            <w:r w:rsidRPr="00666914">
              <w:rPr>
                <w:rFonts w:eastAsia="Times New Roman" w:cs="Calibri"/>
                <w:i/>
                <w:iCs/>
                <w:color w:val="000000"/>
                <w:sz w:val="18"/>
                <w:szCs w:val="18"/>
                <w:lang w:eastAsia="sk-SK"/>
              </w:rPr>
              <w:t>Zdroj: MPSVR SR</w:t>
            </w:r>
          </w:p>
        </w:tc>
      </w:tr>
    </w:tbl>
    <w:p w14:paraId="2C1CA3F4" w14:textId="77777777" w:rsidR="00E66F49" w:rsidRPr="00666914" w:rsidRDefault="00E66F49" w:rsidP="00D27F91">
      <w:pPr>
        <w:rPr>
          <w:rFonts w:eastAsia="Times New Roman" w:cs="Calibri"/>
          <w:b/>
          <w:color w:val="000000"/>
          <w:lang w:eastAsia="sk-SK"/>
        </w:rPr>
      </w:pPr>
      <w:r w:rsidRPr="00666914">
        <w:rPr>
          <w:rFonts w:eastAsia="Times New Roman" w:cs="Calibri"/>
          <w:b/>
          <w:color w:val="000000"/>
          <w:lang w:eastAsia="sk-SK"/>
        </w:rPr>
        <w:t>Opatrenie sa k 31.12.2019 plní čiastočne.</w:t>
      </w:r>
    </w:p>
    <w:p w14:paraId="61CAA034" w14:textId="3C3BB1C7" w:rsidR="00E66F49" w:rsidRDefault="00E66F49" w:rsidP="00D27F91">
      <w:r w:rsidRPr="00666914">
        <w:rPr>
          <w:b/>
        </w:rPr>
        <w:t>Odporúčanie IJ:</w:t>
      </w:r>
      <w:r w:rsidRPr="00666914">
        <w:t xml:space="preserve"> Pokračovať počas roka 2020 v priebežnom monitorovaní a hodnotení vplyvu CDR na deinštitucionalizáciu náhradnej starostlivosti, vrátane zverejňovania výstupov na stránke ÚPSVaR</w:t>
      </w:r>
      <w:r w:rsidRPr="00666914">
        <w:rPr>
          <w:rStyle w:val="Odkaznapoznmkupodiarou"/>
        </w:rPr>
        <w:footnoteReference w:id="343"/>
      </w:r>
      <w:r w:rsidRPr="00666914">
        <w:t>.</w:t>
      </w:r>
    </w:p>
    <w:p w14:paraId="3570DF8E" w14:textId="77777777" w:rsidR="00E66F49" w:rsidRPr="00666914" w:rsidRDefault="00E66F49" w:rsidP="00CD4715">
      <w:pPr>
        <w:contextualSpacing/>
        <w:rPr>
          <w:b/>
          <w:u w:val="single"/>
        </w:rPr>
      </w:pPr>
    </w:p>
    <w:p w14:paraId="319A278F" w14:textId="77777777" w:rsidR="00E66F49" w:rsidRPr="00666914" w:rsidRDefault="00E66F49" w:rsidP="00131B23">
      <w:pPr>
        <w:numPr>
          <w:ilvl w:val="0"/>
          <w:numId w:val="7"/>
        </w:numPr>
        <w:contextualSpacing/>
        <w:rPr>
          <w:b/>
          <w:u w:val="single"/>
        </w:rPr>
      </w:pPr>
      <w:r w:rsidRPr="00666914">
        <w:rPr>
          <w:b/>
          <w:u w:val="single"/>
        </w:rPr>
        <w:t>Včasná intervencia detí s ťažkým zdravotným postihnutím a ich integrácia do normálneho vzdelávacieho procesu (Národný projekt „Každé dieťa sa počíta“)</w:t>
      </w:r>
    </w:p>
    <w:p w14:paraId="01EC53D9" w14:textId="77777777" w:rsidR="00E66F49" w:rsidRPr="00666914" w:rsidRDefault="00E66F49" w:rsidP="00CD4715">
      <w:pPr>
        <w:contextualSpacing/>
        <w:rPr>
          <w:b/>
          <w:u w:val="single"/>
        </w:rPr>
      </w:pPr>
    </w:p>
    <w:p w14:paraId="62595677" w14:textId="2797AD2F" w:rsidR="00E66F49" w:rsidRPr="00666914" w:rsidRDefault="00E66F49" w:rsidP="00D27F91">
      <w:r w:rsidRPr="00666914">
        <w:lastRenderedPageBreak/>
        <w:t>Počas 1H2019 finalizovalo MPSVR SR Žiadosť o nenávratný finančný príspevok (ŽoNFP) k NP „Každé dieťa sa počíta“. V 10/2019 bola zverejnená výzva na predkladanie žiadostí</w:t>
      </w:r>
      <w:r w:rsidRPr="00666914">
        <w:rPr>
          <w:rStyle w:val="Odkaznapoznmkupodiarou"/>
        </w:rPr>
        <w:footnoteReference w:id="344"/>
      </w:r>
      <w:r w:rsidRPr="00666914">
        <w:t>, v 12/2019 bolo zverejnené rozhodnutie o schválení žiadosti o NFP</w:t>
      </w:r>
      <w:r w:rsidRPr="00666914">
        <w:rPr>
          <w:rStyle w:val="Odkaznapoznmkupodiarou"/>
        </w:rPr>
        <w:footnoteReference w:id="345"/>
      </w:r>
      <w:r w:rsidRPr="00666914">
        <w:t>. Hlavný cieľom projektu je podpora zavádzania a zvyšovania dostupnosti včasnej intervencie pre deti s neštandardným vývinom, vrátane podpory ich rodičov. Celková výška výdavkov je 8,2 mil. eur, aktivity sa budú realizovať počas 4 rokov, od 10/2019 do 09/2023. Merateľné ukazovatele uvedené v</w:t>
      </w:r>
      <w:r w:rsidR="00543D4C" w:rsidRPr="00666914">
        <w:t> Implementačnom pláne</w:t>
      </w:r>
      <w:r w:rsidRPr="00666914">
        <w:t xml:space="preserve"> 2019 bude možné hodnotiť najskôr koncom roka 2020.</w:t>
      </w:r>
    </w:p>
    <w:p w14:paraId="5BD9FCCE" w14:textId="22751E34" w:rsidR="00E66F49" w:rsidRDefault="00E66F49" w:rsidP="00EF589B">
      <w:pPr>
        <w:spacing w:after="0"/>
        <w:rPr>
          <w:b/>
        </w:rPr>
      </w:pPr>
      <w:r w:rsidRPr="00666914">
        <w:rPr>
          <w:b/>
        </w:rPr>
        <w:t>Opatrenie sa k 31.12.2019 plní čiastočne.</w:t>
      </w:r>
    </w:p>
    <w:p w14:paraId="02146977" w14:textId="77777777" w:rsidR="00EF589B" w:rsidRPr="00666914" w:rsidRDefault="00EF589B" w:rsidP="00EF589B">
      <w:pPr>
        <w:spacing w:after="0"/>
      </w:pPr>
    </w:p>
    <w:p w14:paraId="54C45083" w14:textId="77777777" w:rsidR="00E66F49" w:rsidRPr="00666914" w:rsidRDefault="00E66F49" w:rsidP="00131B23">
      <w:pPr>
        <w:numPr>
          <w:ilvl w:val="0"/>
          <w:numId w:val="7"/>
        </w:numPr>
        <w:contextualSpacing/>
        <w:rPr>
          <w:b/>
          <w:u w:val="single"/>
        </w:rPr>
      </w:pPr>
      <w:r w:rsidRPr="00666914">
        <w:rPr>
          <w:b/>
          <w:u w:val="single"/>
        </w:rPr>
        <w:t>Revízia výdavkov na skupiny osôb ohrozených sociálnym vylúčením</w:t>
      </w:r>
    </w:p>
    <w:p w14:paraId="0A519E17" w14:textId="77777777" w:rsidR="00E66F49" w:rsidRPr="00666914" w:rsidRDefault="00E66F49" w:rsidP="00D27F91">
      <w:pPr>
        <w:contextualSpacing/>
        <w:rPr>
          <w:b/>
          <w:u w:val="single"/>
        </w:rPr>
      </w:pPr>
    </w:p>
    <w:p w14:paraId="782A8C6D" w14:textId="7876E816" w:rsidR="00E66F49" w:rsidRPr="00666914" w:rsidRDefault="00E66F49" w:rsidP="00D27F91">
      <w:pPr>
        <w:rPr>
          <w:color w:val="000000" w:themeColor="text1"/>
        </w:rPr>
      </w:pPr>
      <w:r w:rsidRPr="00666914">
        <w:rPr>
          <w:color w:val="000000" w:themeColor="text1"/>
        </w:rPr>
        <w:t>ÚHP MF SR ako gestor opatrenia vypracoval počas roka 2018 Priebežnú správu revízie výdavkov</w:t>
      </w:r>
      <w:r w:rsidRPr="00666914">
        <w:t xml:space="preserve"> </w:t>
      </w:r>
      <w:r w:rsidRPr="00666914">
        <w:rPr>
          <w:color w:val="000000" w:themeColor="text1"/>
        </w:rPr>
        <w:t>na skupiny ohrozené chudobou alebo sociálnym vylúčením, zverejnená bola v 01/2019</w:t>
      </w:r>
      <w:r w:rsidRPr="00666914">
        <w:rPr>
          <w:rStyle w:val="Odkaznapoznmkupodiarou"/>
          <w:color w:val="000000" w:themeColor="text1"/>
        </w:rPr>
        <w:footnoteReference w:id="346"/>
      </w:r>
      <w:r w:rsidRPr="00666914">
        <w:rPr>
          <w:color w:val="000000" w:themeColor="text1"/>
        </w:rPr>
        <w:t>. Počas roka 2019 boli dopracované k jednotlivým kapitolám priebežnej správy ďalšie oblasti ako napr. bývanie, včasná intervencia, vzdelávanie detí so sociálnym a zdravotným znevýhodnením, sociálne politiky, politiky trhu práce a dostupnosť zdravotnej starostlivosti ohrozených skupín. V 12/2019 prešla Záverečná správa revízie výdavkov recenzným konaním. V 1Q2020 bola revízia výdavkov vrátane návrhu opatrení, ktoré zvýšia hodnotu za peniaze vo verejnom sektore</w:t>
      </w:r>
      <w:r w:rsidR="001F3452" w:rsidRPr="00666914">
        <w:rPr>
          <w:color w:val="000000" w:themeColor="text1"/>
        </w:rPr>
        <w:t>,</w:t>
      </w:r>
      <w:r w:rsidRPr="00666914">
        <w:rPr>
          <w:color w:val="000000" w:themeColor="text1"/>
        </w:rPr>
        <w:t xml:space="preserve"> zverejnená</w:t>
      </w:r>
      <w:r w:rsidRPr="00666914">
        <w:rPr>
          <w:rStyle w:val="Odkaznapoznmkupodiarou"/>
          <w:color w:val="000000" w:themeColor="text1"/>
        </w:rPr>
        <w:footnoteReference w:id="347"/>
      </w:r>
      <w:r w:rsidRPr="00666914">
        <w:rPr>
          <w:color w:val="000000" w:themeColor="text1"/>
        </w:rPr>
        <w:t>.</w:t>
      </w:r>
    </w:p>
    <w:p w14:paraId="0796E764" w14:textId="412D65C8" w:rsidR="00357F93" w:rsidRPr="00666914" w:rsidRDefault="00E66F49" w:rsidP="00D2605E">
      <w:pPr>
        <w:spacing w:after="0" w:line="276" w:lineRule="auto"/>
        <w:rPr>
          <w:b/>
        </w:rPr>
      </w:pPr>
      <w:r w:rsidRPr="00666914">
        <w:rPr>
          <w:color w:val="000000" w:themeColor="text1"/>
        </w:rPr>
        <w:t>Vzhľadom na termín zverejnenia záverečnej správy revízie výdavkov až v roku 2020 sa</w:t>
      </w:r>
      <w:r w:rsidRPr="00666914">
        <w:rPr>
          <w:b/>
          <w:color w:val="000000" w:themeColor="text1"/>
        </w:rPr>
        <w:t xml:space="preserve"> opatrenie k 31.12.2019 plní </w:t>
      </w:r>
      <w:r w:rsidRPr="00666914">
        <w:rPr>
          <w:b/>
        </w:rPr>
        <w:t>čiastočne.</w:t>
      </w:r>
    </w:p>
    <w:p w14:paraId="05A686DF" w14:textId="77777777" w:rsidR="00357F93" w:rsidRPr="00666914" w:rsidRDefault="00357F93">
      <w:pPr>
        <w:spacing w:after="0"/>
        <w:jc w:val="left"/>
        <w:rPr>
          <w:b/>
        </w:rPr>
      </w:pPr>
      <w:r w:rsidRPr="00666914">
        <w:rPr>
          <w:b/>
        </w:rPr>
        <w:br w:type="page"/>
      </w:r>
    </w:p>
    <w:p w14:paraId="4337A020" w14:textId="77777777" w:rsidR="00E66F49" w:rsidRPr="00666914" w:rsidRDefault="00E66F49" w:rsidP="00D2605E">
      <w:pPr>
        <w:pStyle w:val="Nadpis2"/>
      </w:pPr>
      <w:bookmarkStart w:id="373" w:name="_Toc522861646"/>
      <w:bookmarkStart w:id="374" w:name="_Toc535322734"/>
      <w:bookmarkStart w:id="375" w:name="_Toc6321919"/>
      <w:bookmarkStart w:id="376" w:name="_Toc38447618"/>
      <w:r w:rsidRPr="00666914">
        <w:lastRenderedPageBreak/>
        <w:t>Politika zamestnanosti</w:t>
      </w:r>
      <w:bookmarkEnd w:id="373"/>
      <w:bookmarkEnd w:id="374"/>
      <w:bookmarkEnd w:id="375"/>
      <w:bookmarkEnd w:id="3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2794"/>
        <w:gridCol w:w="1316"/>
        <w:gridCol w:w="884"/>
        <w:gridCol w:w="972"/>
        <w:gridCol w:w="694"/>
        <w:gridCol w:w="694"/>
        <w:gridCol w:w="694"/>
        <w:gridCol w:w="731"/>
      </w:tblGrid>
      <w:tr w:rsidR="00E66F49" w:rsidRPr="00666914" w14:paraId="41F102C4" w14:textId="77777777" w:rsidTr="00D27F91">
        <w:trPr>
          <w:trHeight w:val="330"/>
        </w:trPr>
        <w:tc>
          <w:tcPr>
            <w:tcW w:w="231" w:type="pct"/>
            <w:shd w:val="clear" w:color="auto" w:fill="auto"/>
            <w:vAlign w:val="center"/>
            <w:hideMark/>
          </w:tcPr>
          <w:p w14:paraId="4806B953"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1518" w:type="pct"/>
            <w:shd w:val="clear" w:color="auto" w:fill="auto"/>
            <w:noWrap/>
            <w:vAlign w:val="center"/>
            <w:hideMark/>
          </w:tcPr>
          <w:p w14:paraId="45008CDA"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TRH PRÁCE A SOCIÁLNE POLITIKY</w:t>
            </w:r>
          </w:p>
        </w:tc>
        <w:tc>
          <w:tcPr>
            <w:tcW w:w="715" w:type="pct"/>
            <w:shd w:val="clear" w:color="auto" w:fill="auto"/>
            <w:noWrap/>
            <w:vAlign w:val="center"/>
            <w:hideMark/>
          </w:tcPr>
          <w:p w14:paraId="41287005"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Zodpovednosť</w:t>
            </w:r>
          </w:p>
        </w:tc>
        <w:tc>
          <w:tcPr>
            <w:tcW w:w="480" w:type="pct"/>
            <w:shd w:val="clear" w:color="auto" w:fill="auto"/>
            <w:noWrap/>
            <w:vAlign w:val="center"/>
            <w:hideMark/>
          </w:tcPr>
          <w:p w14:paraId="475E4E13"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Termín plnenia</w:t>
            </w:r>
          </w:p>
        </w:tc>
        <w:tc>
          <w:tcPr>
            <w:tcW w:w="528" w:type="pct"/>
          </w:tcPr>
          <w:p w14:paraId="07E61C14" w14:textId="3C7D898A" w:rsidR="00E66F49" w:rsidRPr="00666914" w:rsidRDefault="00E66F49" w:rsidP="00543D4C">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 xml:space="preserve">Nový termín plnenia </w:t>
            </w:r>
          </w:p>
        </w:tc>
        <w:tc>
          <w:tcPr>
            <w:tcW w:w="377" w:type="pct"/>
            <w:shd w:val="clear" w:color="auto" w:fill="auto"/>
            <w:noWrap/>
            <w:vAlign w:val="center"/>
            <w:hideMark/>
          </w:tcPr>
          <w:p w14:paraId="21CFD155"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1Q 2019</w:t>
            </w:r>
          </w:p>
        </w:tc>
        <w:tc>
          <w:tcPr>
            <w:tcW w:w="377" w:type="pct"/>
            <w:shd w:val="clear" w:color="auto" w:fill="auto"/>
            <w:noWrap/>
            <w:vAlign w:val="center"/>
            <w:hideMark/>
          </w:tcPr>
          <w:p w14:paraId="3C9E67D8"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2Q 2019</w:t>
            </w:r>
          </w:p>
        </w:tc>
        <w:tc>
          <w:tcPr>
            <w:tcW w:w="377" w:type="pct"/>
            <w:shd w:val="clear" w:color="auto" w:fill="auto"/>
            <w:noWrap/>
            <w:vAlign w:val="center"/>
            <w:hideMark/>
          </w:tcPr>
          <w:p w14:paraId="2402ABA0"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3Q 2019</w:t>
            </w:r>
          </w:p>
        </w:tc>
        <w:tc>
          <w:tcPr>
            <w:tcW w:w="397" w:type="pct"/>
            <w:shd w:val="clear" w:color="auto" w:fill="auto"/>
            <w:noWrap/>
            <w:vAlign w:val="center"/>
            <w:hideMark/>
          </w:tcPr>
          <w:p w14:paraId="157EF105"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4Q 2019</w:t>
            </w:r>
          </w:p>
        </w:tc>
      </w:tr>
      <w:tr w:rsidR="00E66F49" w:rsidRPr="00666914" w14:paraId="1FF84A85" w14:textId="77777777" w:rsidTr="00D27F91">
        <w:trPr>
          <w:trHeight w:val="300"/>
        </w:trPr>
        <w:tc>
          <w:tcPr>
            <w:tcW w:w="231" w:type="pct"/>
            <w:shd w:val="clear" w:color="auto" w:fill="auto"/>
            <w:vAlign w:val="center"/>
            <w:hideMark/>
          </w:tcPr>
          <w:p w14:paraId="16C42BC2"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6</w:t>
            </w:r>
          </w:p>
        </w:tc>
        <w:tc>
          <w:tcPr>
            <w:tcW w:w="1518" w:type="pct"/>
            <w:shd w:val="clear" w:color="auto" w:fill="auto"/>
            <w:vAlign w:val="center"/>
          </w:tcPr>
          <w:p w14:paraId="7ECF7C2D"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Efektívne poskytovanie AOTP podľa profilu nezamestnanej osoby a lepšie umiestňovanie uchádzačov o zamestnanie na trh práce</w:t>
            </w:r>
          </w:p>
        </w:tc>
        <w:tc>
          <w:tcPr>
            <w:tcW w:w="715" w:type="pct"/>
            <w:shd w:val="clear" w:color="auto" w:fill="auto"/>
            <w:vAlign w:val="center"/>
          </w:tcPr>
          <w:p w14:paraId="78DBCE38"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 (ÚPSVaR)</w:t>
            </w:r>
          </w:p>
        </w:tc>
        <w:tc>
          <w:tcPr>
            <w:tcW w:w="480" w:type="pct"/>
            <w:shd w:val="clear" w:color="auto" w:fill="auto"/>
            <w:vAlign w:val="center"/>
          </w:tcPr>
          <w:p w14:paraId="23832E8F"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12/2019</w:t>
            </w:r>
          </w:p>
        </w:tc>
        <w:tc>
          <w:tcPr>
            <w:tcW w:w="528" w:type="pct"/>
            <w:vAlign w:val="center"/>
          </w:tcPr>
          <w:p w14:paraId="7A9DF34C"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77" w:type="pct"/>
            <w:shd w:val="clear" w:color="auto" w:fill="FF0000"/>
            <w:noWrap/>
            <w:vAlign w:val="bottom"/>
            <w:hideMark/>
          </w:tcPr>
          <w:p w14:paraId="188B922A"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FF0000"/>
            <w:noWrap/>
            <w:vAlign w:val="bottom"/>
            <w:hideMark/>
          </w:tcPr>
          <w:p w14:paraId="3D7309EF"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FF0000"/>
            <w:noWrap/>
            <w:vAlign w:val="bottom"/>
            <w:hideMark/>
          </w:tcPr>
          <w:p w14:paraId="0150E3E7"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97" w:type="pct"/>
            <w:shd w:val="clear" w:color="auto" w:fill="FF0000"/>
            <w:noWrap/>
            <w:vAlign w:val="bottom"/>
            <w:hideMark/>
          </w:tcPr>
          <w:p w14:paraId="1743D2BD"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E66F49" w:rsidRPr="00666914" w14:paraId="7712C253" w14:textId="77777777" w:rsidTr="00D27F91">
        <w:trPr>
          <w:trHeight w:val="300"/>
        </w:trPr>
        <w:tc>
          <w:tcPr>
            <w:tcW w:w="231" w:type="pct"/>
            <w:shd w:val="clear" w:color="auto" w:fill="auto"/>
            <w:vAlign w:val="center"/>
            <w:hideMark/>
          </w:tcPr>
          <w:p w14:paraId="134F9597"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7</w:t>
            </w:r>
          </w:p>
        </w:tc>
        <w:tc>
          <w:tcPr>
            <w:tcW w:w="1518" w:type="pct"/>
            <w:shd w:val="clear" w:color="auto" w:fill="auto"/>
            <w:vAlign w:val="center"/>
          </w:tcPr>
          <w:p w14:paraId="6F2A85B3"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Zváženie rozšírenia daňového bonusu (DB) na nízke príjmy a malé úväzky</w:t>
            </w:r>
          </w:p>
        </w:tc>
        <w:tc>
          <w:tcPr>
            <w:tcW w:w="715" w:type="pct"/>
            <w:shd w:val="clear" w:color="auto" w:fill="auto"/>
            <w:vAlign w:val="center"/>
          </w:tcPr>
          <w:p w14:paraId="4D58234B" w14:textId="77777777" w:rsidR="00E66F49" w:rsidRPr="00666914" w:rsidRDefault="00E66F49" w:rsidP="00D27F91">
            <w:pPr>
              <w:spacing w:after="0"/>
              <w:jc w:val="center"/>
              <w:rPr>
                <w:rFonts w:eastAsia="Times New Roman" w:cs="Calibri"/>
                <w:color w:val="000000"/>
                <w:sz w:val="20"/>
                <w:szCs w:val="20"/>
                <w:lang w:eastAsia="sk-SK"/>
              </w:rPr>
            </w:pPr>
          </w:p>
          <w:p w14:paraId="494ECED6"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MF SR,</w:t>
            </w:r>
          </w:p>
          <w:p w14:paraId="6F61B25E"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p w14:paraId="1204BD0F" w14:textId="77777777" w:rsidR="00E66F49" w:rsidRPr="00666914" w:rsidRDefault="00E66F49" w:rsidP="00D27F91">
            <w:pPr>
              <w:spacing w:after="0"/>
              <w:jc w:val="center"/>
              <w:rPr>
                <w:rFonts w:eastAsia="Times New Roman" w:cs="Calibri"/>
                <w:color w:val="000000"/>
                <w:sz w:val="20"/>
                <w:szCs w:val="20"/>
                <w:lang w:eastAsia="sk-SK"/>
              </w:rPr>
            </w:pPr>
          </w:p>
        </w:tc>
        <w:tc>
          <w:tcPr>
            <w:tcW w:w="480" w:type="pct"/>
            <w:shd w:val="clear" w:color="auto" w:fill="auto"/>
            <w:vAlign w:val="center"/>
          </w:tcPr>
          <w:p w14:paraId="5AD59422"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12/2018</w:t>
            </w:r>
          </w:p>
        </w:tc>
        <w:tc>
          <w:tcPr>
            <w:tcW w:w="528" w:type="pct"/>
            <w:vAlign w:val="center"/>
          </w:tcPr>
          <w:p w14:paraId="4EA0B238"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06/2019</w:t>
            </w:r>
          </w:p>
        </w:tc>
        <w:tc>
          <w:tcPr>
            <w:tcW w:w="377" w:type="pct"/>
            <w:shd w:val="clear" w:color="auto" w:fill="FFC000"/>
            <w:noWrap/>
            <w:vAlign w:val="bottom"/>
            <w:hideMark/>
          </w:tcPr>
          <w:p w14:paraId="05E1EE55"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FFC000"/>
            <w:noWrap/>
            <w:vAlign w:val="bottom"/>
            <w:hideMark/>
          </w:tcPr>
          <w:p w14:paraId="4780DA24"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FFC000"/>
            <w:noWrap/>
            <w:vAlign w:val="bottom"/>
            <w:hideMark/>
          </w:tcPr>
          <w:p w14:paraId="353D77D0"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97" w:type="pct"/>
            <w:shd w:val="clear" w:color="auto" w:fill="FFC000"/>
            <w:noWrap/>
            <w:vAlign w:val="bottom"/>
            <w:hideMark/>
          </w:tcPr>
          <w:p w14:paraId="122A2D26"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E66F49" w:rsidRPr="00666914" w14:paraId="358674B3" w14:textId="77777777" w:rsidTr="00D27F91">
        <w:trPr>
          <w:trHeight w:val="300"/>
        </w:trPr>
        <w:tc>
          <w:tcPr>
            <w:tcW w:w="231" w:type="pct"/>
            <w:shd w:val="clear" w:color="auto" w:fill="auto"/>
            <w:vAlign w:val="center"/>
            <w:hideMark/>
          </w:tcPr>
          <w:p w14:paraId="25B5DAD9"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8</w:t>
            </w:r>
          </w:p>
        </w:tc>
        <w:tc>
          <w:tcPr>
            <w:tcW w:w="1518" w:type="pct"/>
            <w:shd w:val="clear" w:color="auto" w:fill="auto"/>
            <w:vAlign w:val="center"/>
          </w:tcPr>
          <w:p w14:paraId="4C997180"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Zváženie rozšírenia osobitného príspevku na nízke príjmy a malé úväzky</w:t>
            </w:r>
          </w:p>
        </w:tc>
        <w:tc>
          <w:tcPr>
            <w:tcW w:w="715" w:type="pct"/>
            <w:shd w:val="clear" w:color="auto" w:fill="auto"/>
            <w:vAlign w:val="center"/>
          </w:tcPr>
          <w:p w14:paraId="35A41DF5"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tc>
        <w:tc>
          <w:tcPr>
            <w:tcW w:w="480" w:type="pct"/>
            <w:shd w:val="clear" w:color="auto" w:fill="auto"/>
            <w:vAlign w:val="center"/>
          </w:tcPr>
          <w:p w14:paraId="741E0D67"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12/2018</w:t>
            </w:r>
          </w:p>
        </w:tc>
        <w:tc>
          <w:tcPr>
            <w:tcW w:w="528" w:type="pct"/>
            <w:vAlign w:val="center"/>
          </w:tcPr>
          <w:p w14:paraId="3FF51A9C"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06/2019</w:t>
            </w:r>
          </w:p>
        </w:tc>
        <w:tc>
          <w:tcPr>
            <w:tcW w:w="377" w:type="pct"/>
            <w:shd w:val="clear" w:color="auto" w:fill="FFC000"/>
            <w:noWrap/>
            <w:vAlign w:val="bottom"/>
            <w:hideMark/>
          </w:tcPr>
          <w:p w14:paraId="390AA59E"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FFC000"/>
            <w:noWrap/>
            <w:vAlign w:val="bottom"/>
            <w:hideMark/>
          </w:tcPr>
          <w:p w14:paraId="68807B28"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FFC000"/>
            <w:noWrap/>
            <w:vAlign w:val="bottom"/>
            <w:hideMark/>
          </w:tcPr>
          <w:p w14:paraId="2401A8CA"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97" w:type="pct"/>
            <w:shd w:val="clear" w:color="auto" w:fill="FFC000"/>
            <w:noWrap/>
            <w:vAlign w:val="bottom"/>
            <w:hideMark/>
          </w:tcPr>
          <w:p w14:paraId="6EB51F80"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E66F49" w:rsidRPr="00666914" w14:paraId="7EA63E01" w14:textId="77777777" w:rsidTr="00D27F91">
        <w:trPr>
          <w:trHeight w:val="300"/>
        </w:trPr>
        <w:tc>
          <w:tcPr>
            <w:tcW w:w="231" w:type="pct"/>
            <w:shd w:val="clear" w:color="auto" w:fill="auto"/>
            <w:vAlign w:val="center"/>
            <w:hideMark/>
          </w:tcPr>
          <w:p w14:paraId="0237D2F8"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9</w:t>
            </w:r>
          </w:p>
        </w:tc>
        <w:tc>
          <w:tcPr>
            <w:tcW w:w="1518" w:type="pct"/>
            <w:shd w:val="clear" w:color="auto" w:fill="auto"/>
            <w:vAlign w:val="center"/>
          </w:tcPr>
          <w:p w14:paraId="32A522B3"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Zlepšenie individuálneho prístupu k uchádzačom o zamestnanie s vyhodnocovaním kompetencií a možností uchádzača</w:t>
            </w:r>
          </w:p>
        </w:tc>
        <w:tc>
          <w:tcPr>
            <w:tcW w:w="715" w:type="pct"/>
            <w:shd w:val="clear" w:color="auto" w:fill="auto"/>
            <w:vAlign w:val="center"/>
          </w:tcPr>
          <w:p w14:paraId="04310620"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 (ÚPSVaR)</w:t>
            </w:r>
          </w:p>
        </w:tc>
        <w:tc>
          <w:tcPr>
            <w:tcW w:w="480" w:type="pct"/>
            <w:shd w:val="clear" w:color="auto" w:fill="auto"/>
            <w:vAlign w:val="center"/>
          </w:tcPr>
          <w:p w14:paraId="67C49C9D"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12/2018</w:t>
            </w:r>
          </w:p>
        </w:tc>
        <w:tc>
          <w:tcPr>
            <w:tcW w:w="528" w:type="pct"/>
            <w:vAlign w:val="center"/>
          </w:tcPr>
          <w:p w14:paraId="7CB92C91"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priebežne</w:t>
            </w:r>
          </w:p>
        </w:tc>
        <w:tc>
          <w:tcPr>
            <w:tcW w:w="377" w:type="pct"/>
            <w:shd w:val="clear" w:color="auto" w:fill="A6A6A6" w:themeFill="background1" w:themeFillShade="A6"/>
            <w:noWrap/>
            <w:vAlign w:val="bottom"/>
            <w:hideMark/>
          </w:tcPr>
          <w:p w14:paraId="66EFA857"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FFC000"/>
            <w:noWrap/>
            <w:vAlign w:val="bottom"/>
            <w:hideMark/>
          </w:tcPr>
          <w:p w14:paraId="131A0094"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A6A6A6" w:themeFill="background1" w:themeFillShade="A6"/>
            <w:noWrap/>
            <w:vAlign w:val="bottom"/>
            <w:hideMark/>
          </w:tcPr>
          <w:p w14:paraId="6794E19D"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97" w:type="pct"/>
            <w:shd w:val="clear" w:color="auto" w:fill="FFC000"/>
            <w:noWrap/>
            <w:vAlign w:val="bottom"/>
            <w:hideMark/>
          </w:tcPr>
          <w:p w14:paraId="55A0388C"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E66F49" w:rsidRPr="00666914" w14:paraId="7A2A6604" w14:textId="77777777" w:rsidTr="00D27F91">
        <w:trPr>
          <w:trHeight w:val="300"/>
        </w:trPr>
        <w:tc>
          <w:tcPr>
            <w:tcW w:w="231" w:type="pct"/>
            <w:shd w:val="clear" w:color="auto" w:fill="auto"/>
            <w:vAlign w:val="center"/>
            <w:hideMark/>
          </w:tcPr>
          <w:p w14:paraId="4AA5A2D3"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10</w:t>
            </w:r>
          </w:p>
        </w:tc>
        <w:tc>
          <w:tcPr>
            <w:tcW w:w="1518" w:type="pct"/>
            <w:shd w:val="clear" w:color="auto" w:fill="auto"/>
            <w:vAlign w:val="center"/>
          </w:tcPr>
          <w:p w14:paraId="4F64593C"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Vyhodnocovanie účinnosti AOTP</w:t>
            </w:r>
          </w:p>
        </w:tc>
        <w:tc>
          <w:tcPr>
            <w:tcW w:w="715" w:type="pct"/>
            <w:shd w:val="clear" w:color="auto" w:fill="auto"/>
            <w:vAlign w:val="center"/>
          </w:tcPr>
          <w:p w14:paraId="57C031CE"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tc>
        <w:tc>
          <w:tcPr>
            <w:tcW w:w="480" w:type="pct"/>
            <w:shd w:val="clear" w:color="auto" w:fill="auto"/>
            <w:vAlign w:val="center"/>
          </w:tcPr>
          <w:p w14:paraId="034391F8" w14:textId="77777777" w:rsidR="00E66F49" w:rsidRPr="00666914" w:rsidRDefault="00E66F49" w:rsidP="00D27F91">
            <w:pPr>
              <w:spacing w:after="0"/>
              <w:jc w:val="center"/>
              <w:rPr>
                <w:rFonts w:eastAsia="Times New Roman" w:cs="Calibri"/>
                <w:b/>
                <w:color w:val="FF0000"/>
                <w:sz w:val="20"/>
                <w:szCs w:val="20"/>
                <w:lang w:eastAsia="sk-SK"/>
              </w:rPr>
            </w:pPr>
            <w:r w:rsidRPr="00666914">
              <w:rPr>
                <w:rFonts w:eastAsia="Times New Roman" w:cs="Calibri"/>
                <w:color w:val="000000"/>
                <w:sz w:val="20"/>
                <w:szCs w:val="20"/>
                <w:lang w:eastAsia="sk-SK"/>
              </w:rPr>
              <w:t>priebežne</w:t>
            </w:r>
          </w:p>
        </w:tc>
        <w:tc>
          <w:tcPr>
            <w:tcW w:w="528" w:type="pct"/>
            <w:vAlign w:val="center"/>
          </w:tcPr>
          <w:p w14:paraId="52437A4F"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77" w:type="pct"/>
            <w:shd w:val="clear" w:color="auto" w:fill="A6A6A6" w:themeFill="background1" w:themeFillShade="A6"/>
            <w:noWrap/>
            <w:vAlign w:val="bottom"/>
            <w:hideMark/>
          </w:tcPr>
          <w:p w14:paraId="01B810C8"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FFC000"/>
            <w:noWrap/>
            <w:vAlign w:val="bottom"/>
            <w:hideMark/>
          </w:tcPr>
          <w:p w14:paraId="0D68783D"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A6A6A6" w:themeFill="background1" w:themeFillShade="A6"/>
            <w:noWrap/>
            <w:vAlign w:val="bottom"/>
            <w:hideMark/>
          </w:tcPr>
          <w:p w14:paraId="7BD97CBF"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97" w:type="pct"/>
            <w:shd w:val="clear" w:color="auto" w:fill="FFC000"/>
            <w:noWrap/>
            <w:vAlign w:val="bottom"/>
            <w:hideMark/>
          </w:tcPr>
          <w:p w14:paraId="6193B242"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E66F49" w:rsidRPr="00666914" w14:paraId="35B81844" w14:textId="77777777" w:rsidTr="00D27F91">
        <w:trPr>
          <w:trHeight w:val="300"/>
        </w:trPr>
        <w:tc>
          <w:tcPr>
            <w:tcW w:w="231" w:type="pct"/>
            <w:shd w:val="clear" w:color="auto" w:fill="auto"/>
            <w:vAlign w:val="center"/>
            <w:hideMark/>
          </w:tcPr>
          <w:p w14:paraId="479891B4"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11</w:t>
            </w:r>
          </w:p>
        </w:tc>
        <w:tc>
          <w:tcPr>
            <w:tcW w:w="1518" w:type="pct"/>
            <w:shd w:val="clear" w:color="auto" w:fill="auto"/>
            <w:vAlign w:val="center"/>
          </w:tcPr>
          <w:p w14:paraId="431A6FBF"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Vyhodnocovanie AOTP pre osoby s ŤZP</w:t>
            </w:r>
          </w:p>
        </w:tc>
        <w:tc>
          <w:tcPr>
            <w:tcW w:w="715" w:type="pct"/>
            <w:shd w:val="clear" w:color="auto" w:fill="auto"/>
            <w:vAlign w:val="center"/>
          </w:tcPr>
          <w:p w14:paraId="683DC58E"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p w14:paraId="24D0CA41"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(ÚPSVaR)</w:t>
            </w:r>
          </w:p>
        </w:tc>
        <w:tc>
          <w:tcPr>
            <w:tcW w:w="480" w:type="pct"/>
            <w:shd w:val="clear" w:color="auto" w:fill="auto"/>
            <w:vAlign w:val="center"/>
          </w:tcPr>
          <w:p w14:paraId="78EBE824"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priebežne</w:t>
            </w:r>
          </w:p>
        </w:tc>
        <w:tc>
          <w:tcPr>
            <w:tcW w:w="528" w:type="pct"/>
            <w:vAlign w:val="center"/>
          </w:tcPr>
          <w:p w14:paraId="0D35A6B1"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77" w:type="pct"/>
            <w:shd w:val="clear" w:color="auto" w:fill="A6A6A6" w:themeFill="background1" w:themeFillShade="A6"/>
            <w:noWrap/>
            <w:vAlign w:val="bottom"/>
            <w:hideMark/>
          </w:tcPr>
          <w:p w14:paraId="5E488048"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FFC000"/>
            <w:noWrap/>
            <w:vAlign w:val="bottom"/>
            <w:hideMark/>
          </w:tcPr>
          <w:p w14:paraId="1E6E3BE6"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A6A6A6" w:themeFill="background1" w:themeFillShade="A6"/>
            <w:noWrap/>
            <w:vAlign w:val="bottom"/>
            <w:hideMark/>
          </w:tcPr>
          <w:p w14:paraId="05FCB60F"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97" w:type="pct"/>
            <w:shd w:val="clear" w:color="auto" w:fill="FFC000"/>
            <w:noWrap/>
            <w:vAlign w:val="bottom"/>
            <w:hideMark/>
          </w:tcPr>
          <w:p w14:paraId="4AE10636"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bl>
    <w:p w14:paraId="7287A997" w14:textId="77777777" w:rsidR="00E66F49" w:rsidRPr="00666914" w:rsidRDefault="00E66F49" w:rsidP="00DF6018">
      <w:pPr>
        <w:spacing w:after="0"/>
        <w:ind w:left="720"/>
        <w:contextualSpacing/>
        <w:rPr>
          <w:b/>
          <w:u w:val="single"/>
        </w:rPr>
      </w:pPr>
    </w:p>
    <w:p w14:paraId="682A2D7E" w14:textId="77777777" w:rsidR="00E66F49" w:rsidRPr="00666914" w:rsidRDefault="00E66F49" w:rsidP="00131B23">
      <w:pPr>
        <w:numPr>
          <w:ilvl w:val="0"/>
          <w:numId w:val="7"/>
        </w:numPr>
        <w:contextualSpacing/>
        <w:rPr>
          <w:b/>
          <w:u w:val="single"/>
        </w:rPr>
      </w:pPr>
      <w:r w:rsidRPr="00666914">
        <w:rPr>
          <w:b/>
          <w:u w:val="single"/>
        </w:rPr>
        <w:t>Efektívne poskytovanie AOTP podľa profilu nezamestnanej osoby a lepšie umiestňovanie uchádzačov o zamestnanie na trh práce</w:t>
      </w:r>
    </w:p>
    <w:p w14:paraId="35202CAA" w14:textId="77777777" w:rsidR="00E66F49" w:rsidRPr="00666914" w:rsidRDefault="00E66F49" w:rsidP="00CD4715">
      <w:pPr>
        <w:contextualSpacing/>
        <w:rPr>
          <w:b/>
          <w:u w:val="single"/>
        </w:rPr>
      </w:pPr>
    </w:p>
    <w:p w14:paraId="2E5E5332" w14:textId="64FC1253" w:rsidR="00E66F49" w:rsidRPr="00666914" w:rsidRDefault="00E66F49" w:rsidP="00D27F91">
      <w:pPr>
        <w:rPr>
          <w:b/>
          <w:color w:val="000000" w:themeColor="text1"/>
        </w:rPr>
      </w:pPr>
      <w:r w:rsidRPr="00666914">
        <w:rPr>
          <w:b/>
          <w:color w:val="000000" w:themeColor="text1"/>
        </w:rPr>
        <w:t>Efektívnejšie poskytovanie služieb zamestnanosti prostredníctvom profilácie uchádzačov o zamestnanie malo byť do 12/2019 zrealizované cez</w:t>
      </w:r>
      <w:r w:rsidRPr="00666914">
        <w:rPr>
          <w:color w:val="000000" w:themeColor="text1"/>
        </w:rPr>
        <w:t xml:space="preserve"> </w:t>
      </w:r>
      <w:r w:rsidRPr="00666914">
        <w:rPr>
          <w:b/>
          <w:color w:val="000000" w:themeColor="text1"/>
        </w:rPr>
        <w:t xml:space="preserve">NP Efektívnymi službami k občanovi – 2 (ESKO 2). </w:t>
      </w:r>
      <w:r w:rsidRPr="00666914">
        <w:rPr>
          <w:color w:val="000000" w:themeColor="text1"/>
        </w:rPr>
        <w:t>Počas roka 2018 bola zmluva o NFP len v procese pripomienkovania, účinnosť nadobudla až v 07/2019</w:t>
      </w:r>
      <w:r w:rsidRPr="00666914">
        <w:rPr>
          <w:rStyle w:val="Odkaznapoznmkupodiarou"/>
          <w:color w:val="000000" w:themeColor="text1"/>
        </w:rPr>
        <w:footnoteReference w:id="348"/>
      </w:r>
      <w:r w:rsidRPr="00666914">
        <w:rPr>
          <w:color w:val="000000" w:themeColor="text1"/>
        </w:rPr>
        <w:t>. Počas 2H2019 bol spustený proces verejného obstarávania jednotlivých aktivít NP</w:t>
      </w:r>
      <w:r w:rsidRPr="00666914">
        <w:rPr>
          <w:rStyle w:val="Odkaznapoznmkupodiarou"/>
          <w:color w:val="000000" w:themeColor="text1"/>
        </w:rPr>
        <w:footnoteReference w:id="349"/>
      </w:r>
      <w:r w:rsidRPr="00666914">
        <w:rPr>
          <w:color w:val="000000" w:themeColor="text1"/>
        </w:rPr>
        <w:t>, reálne spustenie profilácie uchádzačov o zamestnanie sa očakáva podľa vyjadrenia ústredia práce do konca roka 2020.</w:t>
      </w:r>
    </w:p>
    <w:p w14:paraId="73AA6C0B" w14:textId="55BBD1CC" w:rsidR="00E66F49" w:rsidRPr="00666914" w:rsidRDefault="00E66F49" w:rsidP="00D27F91">
      <w:pPr>
        <w:spacing w:after="0"/>
        <w:rPr>
          <w:color w:val="000000" w:themeColor="text1"/>
        </w:rPr>
      </w:pPr>
      <w:r w:rsidRPr="00666914">
        <w:rPr>
          <w:color w:val="000000" w:themeColor="text1"/>
        </w:rPr>
        <w:t>V PIS 2019 IJ odporučila ÚPSVaR definovať na základe platnej zmluvy merateľné ukazovatele hodnotenia efektu plánovanej profilácie UoZ, do konca roka 2019 ich však IJ nepredložilo.</w:t>
      </w:r>
    </w:p>
    <w:p w14:paraId="6BFFDBC1" w14:textId="77777777" w:rsidR="00E66F49" w:rsidRPr="00666914" w:rsidRDefault="00E66F49" w:rsidP="00D27F91">
      <w:pPr>
        <w:spacing w:after="0"/>
        <w:rPr>
          <w:color w:val="000000" w:themeColor="text1"/>
        </w:rPr>
      </w:pPr>
    </w:p>
    <w:p w14:paraId="519E5B65" w14:textId="4B20A3A4" w:rsidR="00E66F49" w:rsidRPr="00666914" w:rsidRDefault="00E66F49" w:rsidP="00D27F91">
      <w:pPr>
        <w:rPr>
          <w:b/>
        </w:rPr>
      </w:pPr>
      <w:r w:rsidRPr="00666914">
        <w:rPr>
          <w:b/>
        </w:rPr>
        <w:t>Opatrenie sa k 31.12.2019 neplní.</w:t>
      </w:r>
    </w:p>
    <w:p w14:paraId="0193D6EC" w14:textId="167B46DC" w:rsidR="00E66F49" w:rsidRPr="00666914" w:rsidRDefault="00E66F49" w:rsidP="0001535E">
      <w:pPr>
        <w:rPr>
          <w:color w:val="000000" w:themeColor="text1"/>
        </w:rPr>
      </w:pPr>
      <w:r w:rsidRPr="00666914">
        <w:rPr>
          <w:b/>
          <w:color w:val="000000" w:themeColor="text1"/>
        </w:rPr>
        <w:t xml:space="preserve">Odporúčanie IJ: </w:t>
      </w:r>
      <w:r w:rsidRPr="00666914">
        <w:rPr>
          <w:color w:val="000000" w:themeColor="text1"/>
        </w:rPr>
        <w:t>Do 12/2020 definovať metodiku hodnotenia opatrenia.</w:t>
      </w:r>
    </w:p>
    <w:p w14:paraId="1FA8DFB2" w14:textId="6C2458B6" w:rsidR="00E66F49" w:rsidRPr="00666914" w:rsidRDefault="00E66F49" w:rsidP="00131B23">
      <w:pPr>
        <w:numPr>
          <w:ilvl w:val="0"/>
          <w:numId w:val="7"/>
        </w:numPr>
        <w:ind w:left="714" w:hanging="357"/>
        <w:contextualSpacing/>
        <w:rPr>
          <w:b/>
          <w:u w:val="single"/>
        </w:rPr>
      </w:pPr>
      <w:r w:rsidRPr="00666914">
        <w:rPr>
          <w:b/>
          <w:u w:val="single"/>
        </w:rPr>
        <w:t>Zváženie rozšírenia daňového bonusu (DB) na nízke príjmy a malé úväzky</w:t>
      </w:r>
    </w:p>
    <w:p w14:paraId="2C9A7FD7" w14:textId="77777777" w:rsidR="00E66F49" w:rsidRPr="00666914" w:rsidRDefault="00E66F49" w:rsidP="00173DD5">
      <w:pPr>
        <w:spacing w:after="0" w:line="276" w:lineRule="auto"/>
      </w:pPr>
    </w:p>
    <w:p w14:paraId="3E2727B8" w14:textId="551A5ABE" w:rsidR="00E66F49" w:rsidRPr="00666914" w:rsidRDefault="00E66F49" w:rsidP="00D27F91">
      <w:r w:rsidRPr="00666914">
        <w:t>Počas 1H2019 vypracovalo MF SR ako gestor opatrenia interný návrh zavedenia štruktúrovaného daňového bonusu s cieľom zlepšenia rodinnej politiky a odstránenia identifikovaných nedostatkov systému. Počas 2H2019 dopracoval IFP detailnejšiu analýzu daňového bonusu vrátane návrhu potenciálnych úprav do budúcnosti, ktorá poukazuje na potrebu zamerania jeho poskytovania na ohrozené skupiny</w:t>
      </w:r>
      <w:r w:rsidR="00DF6018" w:rsidRPr="00666914">
        <w:t>,</w:t>
      </w:r>
      <w:r w:rsidRPr="00666914">
        <w:t xml:space="preserve"> ako sú slobodní rodičia a rodiny so zdravotne postihnutým členom.</w:t>
      </w:r>
    </w:p>
    <w:p w14:paraId="7F2BA069" w14:textId="2533673A" w:rsidR="00E66F49" w:rsidRPr="00666914" w:rsidRDefault="00E66F49" w:rsidP="00D27F91">
      <w:pPr>
        <w:rPr>
          <w:iCs/>
        </w:rPr>
      </w:pPr>
      <w:r w:rsidRPr="00666914">
        <w:t xml:space="preserve">Okrem vypracovania analýzy bola koncom roka 2018 schválená novela zákona </w:t>
      </w:r>
      <w:r w:rsidRPr="00666914">
        <w:rPr>
          <w:iCs/>
        </w:rPr>
        <w:t>č. 595/2003 Z .z. o dani z príjmov</w:t>
      </w:r>
      <w:r w:rsidRPr="00666914">
        <w:rPr>
          <w:rStyle w:val="Odkaznapoznmkupodiarou"/>
          <w:iCs/>
        </w:rPr>
        <w:footnoteReference w:id="350"/>
      </w:r>
      <w:r w:rsidRPr="00666914">
        <w:rPr>
          <w:iCs/>
        </w:rPr>
        <w:t>, na základe ktorej je s účinnosťou od 1.4.2019 zavedený dvojnásobný bonus pre deti do 6 rokov.</w:t>
      </w:r>
    </w:p>
    <w:p w14:paraId="23A5989B" w14:textId="3E84B5CA" w:rsidR="00E66F49" w:rsidRPr="00666914" w:rsidRDefault="00E66F49" w:rsidP="0001535E">
      <w:pPr>
        <w:rPr>
          <w:b/>
          <w:u w:val="single"/>
        </w:rPr>
      </w:pPr>
      <w:r w:rsidRPr="00666914">
        <w:rPr>
          <w:b/>
        </w:rPr>
        <w:lastRenderedPageBreak/>
        <w:t>Vzhľadom na interný charakter analýzy sa opatrenie k 31.12.2019 plní čiastočne</w:t>
      </w:r>
      <w:r w:rsidRPr="00666914">
        <w:t>.</w:t>
      </w:r>
    </w:p>
    <w:p w14:paraId="22DC34B2" w14:textId="3C322E98" w:rsidR="00E66F49" w:rsidRPr="00666914" w:rsidRDefault="00E66F49" w:rsidP="00131B23">
      <w:pPr>
        <w:numPr>
          <w:ilvl w:val="0"/>
          <w:numId w:val="7"/>
        </w:numPr>
        <w:contextualSpacing/>
        <w:rPr>
          <w:b/>
          <w:u w:val="single"/>
        </w:rPr>
      </w:pPr>
      <w:r w:rsidRPr="00666914">
        <w:rPr>
          <w:b/>
          <w:u w:val="single"/>
        </w:rPr>
        <w:t>Zváženie rozšírenia osobitného príspevku na nízke príjmy a malé úväzky</w:t>
      </w:r>
    </w:p>
    <w:p w14:paraId="74DE67F4" w14:textId="77777777" w:rsidR="00E66F49" w:rsidRPr="00666914" w:rsidRDefault="00E66F49" w:rsidP="00CD4715">
      <w:pPr>
        <w:spacing w:after="0"/>
      </w:pPr>
    </w:p>
    <w:p w14:paraId="1346ECEF" w14:textId="77777777" w:rsidR="00E66F49" w:rsidRPr="00666914" w:rsidRDefault="00E66F49" w:rsidP="00D27F91">
      <w:r w:rsidRPr="00666914">
        <w:t>V roku 2017 bola prijatá novela zákona č. 417/2013 Z. z. o pomoci v hmotnej núdzi</w:t>
      </w:r>
      <w:r w:rsidRPr="00666914">
        <w:rPr>
          <w:rStyle w:val="Odkaznapoznmkupodiarou"/>
        </w:rPr>
        <w:footnoteReference w:id="351"/>
      </w:r>
      <w:r w:rsidRPr="00666914">
        <w:t>. Úprava podmienky posudzovania príjmu pre posúdenie nároku na pomoc v hmotnej núdzi u tých, ktorí majú nárok na osobitný príspevok (zo 75 % na 50 % príjmu z pracovného pomeru) mala prispieť k zvýšeniu motivácie dlhodobo nezamestnaných alebo dlhodobo neaktívnych osôb v systéme pomoci v hmotnej núdzi zamestnať sa a udržať si aj nízko platené zamestnanie. Ďalšia novela tohto zákona rozšírila od 04/2019 dobu poberania osobitného príspevku z 12 na 18 po sebe nasledujúcich kalendárnych mesiacov</w:t>
      </w:r>
      <w:r w:rsidRPr="00666914">
        <w:rPr>
          <w:rStyle w:val="Odkaznapoznmkupodiarou"/>
        </w:rPr>
        <w:footnoteReference w:id="352"/>
      </w:r>
      <w:r w:rsidRPr="00666914">
        <w:t>.</w:t>
      </w:r>
    </w:p>
    <w:p w14:paraId="22FC58E1" w14:textId="7A3DF2CB" w:rsidR="00E66F49" w:rsidRPr="00666914" w:rsidRDefault="00E66F49" w:rsidP="00D27F91">
      <w:r w:rsidRPr="00666914">
        <w:t>Koncom roka 2018 MPSVR SR vypracovalo čiastkovú analýzu vplyvu prvej prijatej novely. V roku 2019 mala byť analýza v spolupráci s ÚHP doplnená o ďalšie informácie a zverejnená v Záverečnej správe revízie výdavkov na skupiny ohrozené chudobou alebo sociálnym vylúčením. Kvôli komplexnosti revízie nebola táto oblasť v záverečnej správe dopracovaná.</w:t>
      </w:r>
    </w:p>
    <w:p w14:paraId="45EA713A" w14:textId="51076FBD" w:rsidR="00E66F49" w:rsidRPr="00666914" w:rsidRDefault="00E66F49" w:rsidP="00D27F91">
      <w:pPr>
        <w:rPr>
          <w:b/>
        </w:rPr>
      </w:pPr>
      <w:r w:rsidRPr="00666914">
        <w:rPr>
          <w:b/>
        </w:rPr>
        <w:t>Opatrenie sa k 31.12.2019 plní čiastočne.</w:t>
      </w:r>
    </w:p>
    <w:p w14:paraId="0D982CCC" w14:textId="39D6AC3E" w:rsidR="00DF6018" w:rsidRPr="00666914" w:rsidRDefault="00E66F49" w:rsidP="0018234F">
      <w:pPr>
        <w:spacing w:before="240"/>
      </w:pPr>
      <w:r w:rsidRPr="00666914">
        <w:rPr>
          <w:b/>
        </w:rPr>
        <w:t xml:space="preserve">Odporúčanie IJ: </w:t>
      </w:r>
      <w:r w:rsidRPr="00666914">
        <w:t>Alokovať analytické kapacity (buď v rámci MPSVR SR alebo MF SR) na vypracovanie detailnejšej analýzy vplyvu osobitného príspevku na zamestnanosť.</w:t>
      </w:r>
    </w:p>
    <w:p w14:paraId="1457B998" w14:textId="77777777" w:rsidR="00E66F49" w:rsidRPr="00666914" w:rsidRDefault="00E66F49" w:rsidP="00131B23">
      <w:pPr>
        <w:numPr>
          <w:ilvl w:val="0"/>
          <w:numId w:val="7"/>
        </w:numPr>
        <w:contextualSpacing/>
        <w:rPr>
          <w:b/>
          <w:u w:val="single"/>
        </w:rPr>
      </w:pPr>
      <w:r w:rsidRPr="00666914">
        <w:rPr>
          <w:b/>
          <w:u w:val="single"/>
        </w:rPr>
        <w:t>Zlepšenie individuálneho prístupu k uchádzačom o zamestnanie s vyhodnocovaním kompetencií a možností uchádzača</w:t>
      </w:r>
    </w:p>
    <w:p w14:paraId="0477C1AE" w14:textId="77777777" w:rsidR="00E66F49" w:rsidRPr="00666914" w:rsidRDefault="00E66F49" w:rsidP="00CD4715">
      <w:pPr>
        <w:ind w:left="720"/>
        <w:contextualSpacing/>
        <w:rPr>
          <w:b/>
          <w:u w:val="single"/>
        </w:rPr>
      </w:pPr>
    </w:p>
    <w:p w14:paraId="014DF24D" w14:textId="0023349D" w:rsidR="00E66F49" w:rsidRPr="00666914" w:rsidRDefault="00E66F49" w:rsidP="00D27F91">
      <w:pPr>
        <w:spacing w:after="200" w:line="276" w:lineRule="auto"/>
      </w:pPr>
      <w:r w:rsidRPr="00666914">
        <w:rPr>
          <w:b/>
        </w:rPr>
        <w:t xml:space="preserve">Individualizácia služieb pre UoZ bola počas roka 2019 realizovaná prostredníctvom 2 NP zameraných na poskytovanie odborného poradenstva </w:t>
      </w:r>
      <w:r w:rsidRPr="00666914">
        <w:t>- NP Podpora individualizovaného poradenstva pre dlhodobo nezamestnaných (NP PIP) a NP Cesta na trh práce</w:t>
      </w:r>
      <w:r w:rsidRPr="00666914">
        <w:rPr>
          <w:vertAlign w:val="superscript"/>
        </w:rPr>
        <w:footnoteReference w:id="353"/>
      </w:r>
      <w:r w:rsidRPr="00666914">
        <w:t>. Výsledky poskytovaného poradenského procesu zároveň ÚPSVaR od 06/2019 pravidelne monitoruje využívaním on-line formulárov na ich webovej stránke. V 12/2018 bol ukončený NP Reštart pre mladých UoZ, jeho výsledky boli vyhodnotené v</w:t>
      </w:r>
      <w:r w:rsidR="00543D4C" w:rsidRPr="00666914">
        <w:t> </w:t>
      </w:r>
      <w:r w:rsidRPr="00666914">
        <w:t>S</w:t>
      </w:r>
      <w:r w:rsidR="00543D4C" w:rsidRPr="00666914">
        <w:t>úhrnnej implementačnej správe</w:t>
      </w:r>
      <w:r w:rsidRPr="00666914">
        <w:t xml:space="preserve"> 2018. Cieľom ostatných dvoch národných projektov je:</w:t>
      </w:r>
    </w:p>
    <w:p w14:paraId="26552F65" w14:textId="0C515993" w:rsidR="00E66F49" w:rsidRPr="00666914" w:rsidRDefault="00E66F49" w:rsidP="00131B23">
      <w:pPr>
        <w:pStyle w:val="Odsekzoznamu"/>
        <w:numPr>
          <w:ilvl w:val="0"/>
          <w:numId w:val="24"/>
        </w:numPr>
        <w:spacing w:after="200" w:line="276" w:lineRule="auto"/>
      </w:pPr>
      <w:r w:rsidRPr="00666914">
        <w:t>posilňovanie faktorov zlepšujúcich zamestnateľnosť UoZ,</w:t>
      </w:r>
    </w:p>
    <w:p w14:paraId="2D07EABE" w14:textId="77777777" w:rsidR="00E66F49" w:rsidRPr="00666914" w:rsidRDefault="00E66F49" w:rsidP="00131B23">
      <w:pPr>
        <w:pStyle w:val="Odsekzoznamu"/>
        <w:numPr>
          <w:ilvl w:val="0"/>
          <w:numId w:val="24"/>
        </w:numPr>
        <w:spacing w:after="200" w:line="276" w:lineRule="auto"/>
      </w:pPr>
      <w:r w:rsidRPr="00666914">
        <w:t>rozvoj ich zručností pre riadenie kariéry,</w:t>
      </w:r>
    </w:p>
    <w:p w14:paraId="23C55115" w14:textId="17006BDE" w:rsidR="00E66F49" w:rsidRPr="00666914" w:rsidRDefault="00E66F49" w:rsidP="00131B23">
      <w:pPr>
        <w:pStyle w:val="Odsekzoznamu"/>
        <w:numPr>
          <w:ilvl w:val="0"/>
          <w:numId w:val="24"/>
        </w:numPr>
        <w:spacing w:after="200" w:line="276" w:lineRule="auto"/>
      </w:pPr>
      <w:r w:rsidRPr="00666914">
        <w:t>zvýšenie záujmu o zamestnanie sa a priblíženie na trh práce.</w:t>
      </w:r>
    </w:p>
    <w:p w14:paraId="63C44A7C" w14:textId="753B9105" w:rsidR="00DF6018" w:rsidRPr="00666914" w:rsidRDefault="00E66F49" w:rsidP="00D27F91">
      <w:pPr>
        <w:spacing w:after="200" w:line="276" w:lineRule="auto"/>
      </w:pPr>
      <w:r w:rsidRPr="00666914">
        <w:t>V prípade skupiny dlhodobo nezamestnaných UoZ sa umiestnenie na trh práce môže uskutočniť aj neskôr, ako je sledované obdobie 6 mesiacov</w:t>
      </w:r>
      <w:r w:rsidR="00D53B0A" w:rsidRPr="00666914">
        <w:t>,</w:t>
      </w:r>
      <w:r w:rsidRPr="00666914">
        <w:t xml:space="preserve"> a preto tento indikátor nie je dostatočne relevantný na sledovanie plnenia opatrenia.</w:t>
      </w:r>
    </w:p>
    <w:p w14:paraId="464CFA85" w14:textId="77777777" w:rsidR="00DF6018" w:rsidRPr="00666914" w:rsidRDefault="00DF6018">
      <w:pPr>
        <w:spacing w:after="0"/>
        <w:jc w:val="left"/>
      </w:pPr>
      <w:r w:rsidRPr="00666914">
        <w:br w:type="page"/>
      </w:r>
    </w:p>
    <w:p w14:paraId="7C6A73E9" w14:textId="2B03E024" w:rsidR="00E66F49" w:rsidRPr="00666914" w:rsidRDefault="00173DD5" w:rsidP="00173DD5">
      <w:pPr>
        <w:rPr>
          <w:b/>
        </w:rPr>
      </w:pPr>
      <w:r w:rsidRPr="00666914">
        <w:rPr>
          <w:b/>
        </w:rPr>
        <w:lastRenderedPageBreak/>
        <w:t xml:space="preserve">I.  </w:t>
      </w:r>
      <w:r w:rsidR="00E66F49" w:rsidRPr="00666914">
        <w:rPr>
          <w:b/>
        </w:rPr>
        <w:t>NP Podpora individualizovaného poradenstva pre dlhodobo nezamestnaných (NP PIP)</w:t>
      </w:r>
      <w:r w:rsidR="00E66F49" w:rsidRPr="00666914">
        <w:rPr>
          <w:rStyle w:val="Odkaznapoznmkupodiarou"/>
          <w:b/>
        </w:rPr>
        <w:footnoteReference w:id="354"/>
      </w:r>
    </w:p>
    <w:tbl>
      <w:tblPr>
        <w:tblW w:w="5000" w:type="pct"/>
        <w:tblLayout w:type="fixed"/>
        <w:tblCellMar>
          <w:left w:w="70" w:type="dxa"/>
          <w:right w:w="70" w:type="dxa"/>
        </w:tblCellMar>
        <w:tblLook w:val="04A0" w:firstRow="1" w:lastRow="0" w:firstColumn="1" w:lastColumn="0" w:noHBand="0" w:noVBand="1"/>
      </w:tblPr>
      <w:tblGrid>
        <w:gridCol w:w="3263"/>
        <w:gridCol w:w="709"/>
        <w:gridCol w:w="1216"/>
        <w:gridCol w:w="1826"/>
        <w:gridCol w:w="2200"/>
      </w:tblGrid>
      <w:tr w:rsidR="00E66F49" w:rsidRPr="00666914" w14:paraId="1F8AD3C6" w14:textId="77777777" w:rsidTr="00DF6018">
        <w:trPr>
          <w:trHeight w:val="255"/>
        </w:trPr>
        <w:tc>
          <w:tcPr>
            <w:tcW w:w="5000" w:type="pct"/>
            <w:gridSpan w:val="5"/>
            <w:tcBorders>
              <w:top w:val="nil"/>
              <w:left w:val="nil"/>
              <w:bottom w:val="nil"/>
              <w:right w:val="nil"/>
            </w:tcBorders>
            <w:shd w:val="clear" w:color="auto" w:fill="auto"/>
            <w:noWrap/>
            <w:vAlign w:val="center"/>
            <w:hideMark/>
          </w:tcPr>
          <w:p w14:paraId="2CFA75ED" w14:textId="1196687E" w:rsidR="00E66F49" w:rsidRPr="00666914" w:rsidRDefault="00E66F49" w:rsidP="00D27F91">
            <w:pPr>
              <w:spacing w:after="0"/>
              <w:jc w:val="left"/>
              <w:rPr>
                <w:rFonts w:eastAsia="Times New Roman" w:cs="Calibri"/>
                <w:b/>
                <w:bCs/>
                <w:color w:val="000000"/>
                <w:sz w:val="20"/>
                <w:szCs w:val="20"/>
                <w:lang w:eastAsia="sk-SK"/>
              </w:rPr>
            </w:pPr>
            <w:bookmarkStart w:id="377" w:name="RANGE!A1:E9"/>
            <w:bookmarkStart w:id="378" w:name="_Toc38447745"/>
            <w:r w:rsidRPr="00666914">
              <w:rPr>
                <w:rFonts w:eastAsia="Times New Roman" w:cs="Calibri"/>
                <w:b/>
                <w:bCs/>
                <w:color w:val="000000"/>
                <w:sz w:val="20"/>
                <w:szCs w:val="20"/>
                <w:lang w:eastAsia="sk-SK"/>
              </w:rPr>
              <w:t xml:space="preserve">Tabuľka </w:t>
            </w:r>
            <w:r w:rsidRPr="00666914">
              <w:rPr>
                <w:rFonts w:eastAsia="Times New Roman" w:cs="Calibri"/>
                <w:b/>
                <w:bCs/>
                <w:color w:val="000000"/>
                <w:sz w:val="20"/>
                <w:szCs w:val="20"/>
                <w:lang w:eastAsia="sk-SK"/>
              </w:rPr>
              <w:fldChar w:fldCharType="begin"/>
            </w:r>
            <w:r w:rsidRPr="00666914">
              <w:rPr>
                <w:rFonts w:eastAsia="Times New Roman" w:cs="Calibri"/>
                <w:b/>
                <w:bCs/>
                <w:color w:val="000000"/>
                <w:sz w:val="20"/>
                <w:szCs w:val="20"/>
                <w:lang w:eastAsia="sk-SK"/>
              </w:rPr>
              <w:instrText xml:space="preserve"> SEQ Tabuľka \* ARABIC \* MERGEFORMAT </w:instrText>
            </w:r>
            <w:r w:rsidRPr="00666914">
              <w:rPr>
                <w:rFonts w:eastAsia="Times New Roman" w:cs="Calibri"/>
                <w:b/>
                <w:bCs/>
                <w:color w:val="000000"/>
                <w:sz w:val="20"/>
                <w:szCs w:val="20"/>
                <w:lang w:eastAsia="sk-SK"/>
              </w:rPr>
              <w:fldChar w:fldCharType="separate"/>
            </w:r>
            <w:r w:rsidR="005A7304">
              <w:rPr>
                <w:rFonts w:eastAsia="Times New Roman" w:cs="Calibri"/>
                <w:b/>
                <w:bCs/>
                <w:noProof/>
                <w:color w:val="000000"/>
                <w:sz w:val="20"/>
                <w:szCs w:val="20"/>
                <w:lang w:eastAsia="sk-SK"/>
              </w:rPr>
              <w:t>84</w:t>
            </w:r>
            <w:r w:rsidRPr="00666914">
              <w:rPr>
                <w:rFonts w:eastAsia="Times New Roman" w:cs="Calibri"/>
                <w:b/>
                <w:bCs/>
                <w:color w:val="000000"/>
                <w:sz w:val="20"/>
                <w:szCs w:val="20"/>
                <w:lang w:eastAsia="sk-SK"/>
              </w:rPr>
              <w:fldChar w:fldCharType="end"/>
            </w:r>
            <w:r w:rsidRPr="00666914">
              <w:rPr>
                <w:rFonts w:eastAsia="Times New Roman" w:cs="Calibri"/>
                <w:b/>
                <w:bCs/>
                <w:color w:val="000000"/>
                <w:sz w:val="20"/>
                <w:szCs w:val="20"/>
                <w:lang w:eastAsia="sk-SK"/>
              </w:rPr>
              <w:t>: Prehľad UoZ zapojených do „NP PIP" - aktivita č. 1</w:t>
            </w:r>
            <w:bookmarkEnd w:id="377"/>
            <w:bookmarkEnd w:id="378"/>
          </w:p>
        </w:tc>
      </w:tr>
      <w:tr w:rsidR="00E66F49" w:rsidRPr="00666914" w14:paraId="7368608F" w14:textId="77777777" w:rsidTr="00DF6018">
        <w:trPr>
          <w:trHeight w:val="447"/>
        </w:trPr>
        <w:tc>
          <w:tcPr>
            <w:tcW w:w="1770" w:type="pct"/>
            <w:tcBorders>
              <w:top w:val="single" w:sz="4" w:space="0" w:color="auto"/>
              <w:left w:val="nil"/>
              <w:bottom w:val="single" w:sz="4" w:space="0" w:color="auto"/>
              <w:right w:val="nil"/>
            </w:tcBorders>
            <w:shd w:val="clear" w:color="auto" w:fill="auto"/>
            <w:noWrap/>
            <w:vAlign w:val="center"/>
            <w:hideMark/>
          </w:tcPr>
          <w:p w14:paraId="2BEB2221" w14:textId="77777777" w:rsidR="00E66F49" w:rsidRPr="00666914" w:rsidRDefault="00E66F49" w:rsidP="00D27F91">
            <w:pPr>
              <w:spacing w:after="0"/>
              <w:jc w:val="center"/>
              <w:rPr>
                <w:rFonts w:eastAsia="Times New Roman" w:cs="Calibri"/>
                <w:color w:val="000000"/>
                <w:sz w:val="20"/>
                <w:szCs w:val="20"/>
                <w:lang w:eastAsia="sk-SK"/>
              </w:rPr>
            </w:pPr>
          </w:p>
        </w:tc>
        <w:tc>
          <w:tcPr>
            <w:tcW w:w="385" w:type="pct"/>
            <w:tcBorders>
              <w:top w:val="single" w:sz="4" w:space="0" w:color="auto"/>
              <w:left w:val="nil"/>
              <w:bottom w:val="single" w:sz="4" w:space="0" w:color="auto"/>
              <w:right w:val="nil"/>
            </w:tcBorders>
            <w:shd w:val="clear" w:color="auto" w:fill="auto"/>
            <w:noWrap/>
            <w:vAlign w:val="center"/>
            <w:hideMark/>
          </w:tcPr>
          <w:p w14:paraId="76892599"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Počet UoZ</w:t>
            </w:r>
          </w:p>
        </w:tc>
        <w:tc>
          <w:tcPr>
            <w:tcW w:w="660" w:type="pct"/>
            <w:tcBorders>
              <w:top w:val="single" w:sz="4" w:space="0" w:color="auto"/>
              <w:left w:val="nil"/>
              <w:bottom w:val="single" w:sz="4" w:space="0" w:color="auto"/>
              <w:right w:val="nil"/>
            </w:tcBorders>
            <w:shd w:val="clear" w:color="auto" w:fill="auto"/>
            <w:noWrap/>
            <w:vAlign w:val="center"/>
            <w:hideMark/>
          </w:tcPr>
          <w:p w14:paraId="06746814"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Podiel z celkového počtu</w:t>
            </w:r>
          </w:p>
        </w:tc>
        <w:tc>
          <w:tcPr>
            <w:tcW w:w="991" w:type="pct"/>
            <w:tcBorders>
              <w:top w:val="single" w:sz="4" w:space="0" w:color="auto"/>
              <w:left w:val="nil"/>
              <w:bottom w:val="single" w:sz="4" w:space="0" w:color="auto"/>
              <w:right w:val="nil"/>
            </w:tcBorders>
            <w:shd w:val="clear" w:color="auto" w:fill="auto"/>
            <w:noWrap/>
            <w:vAlign w:val="center"/>
            <w:hideMark/>
          </w:tcPr>
          <w:p w14:paraId="3AC986BB" w14:textId="77777777" w:rsidR="00E66F49" w:rsidRPr="00666914" w:rsidRDefault="00E66F49" w:rsidP="00DF6018">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Počet UoZ umiestených na trh práce</w:t>
            </w:r>
          </w:p>
        </w:tc>
        <w:tc>
          <w:tcPr>
            <w:tcW w:w="1194" w:type="pct"/>
            <w:tcBorders>
              <w:top w:val="single" w:sz="4" w:space="0" w:color="auto"/>
              <w:left w:val="nil"/>
              <w:bottom w:val="single" w:sz="4" w:space="0" w:color="auto"/>
              <w:right w:val="nil"/>
            </w:tcBorders>
            <w:shd w:val="clear" w:color="auto" w:fill="auto"/>
            <w:noWrap/>
            <w:vAlign w:val="center"/>
            <w:hideMark/>
          </w:tcPr>
          <w:p w14:paraId="60428800"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Podiel z počtu UoZ zapojených do programu</w:t>
            </w:r>
          </w:p>
        </w:tc>
      </w:tr>
      <w:tr w:rsidR="00E66F49" w:rsidRPr="00666914" w14:paraId="4E6EE592" w14:textId="77777777" w:rsidTr="00DF6018">
        <w:trPr>
          <w:trHeight w:val="255"/>
        </w:trPr>
        <w:tc>
          <w:tcPr>
            <w:tcW w:w="1770" w:type="pct"/>
            <w:tcBorders>
              <w:top w:val="nil"/>
              <w:left w:val="nil"/>
              <w:bottom w:val="nil"/>
              <w:right w:val="nil"/>
            </w:tcBorders>
            <w:shd w:val="clear" w:color="auto" w:fill="auto"/>
            <w:noWrap/>
            <w:vAlign w:val="center"/>
            <w:hideMark/>
          </w:tcPr>
          <w:p w14:paraId="064D31C2"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UoZ , ktorí úspešne absolvovali poradenský proces (v plnom rozsahu)</w:t>
            </w:r>
          </w:p>
        </w:tc>
        <w:tc>
          <w:tcPr>
            <w:tcW w:w="385" w:type="pct"/>
            <w:tcBorders>
              <w:top w:val="nil"/>
              <w:left w:val="nil"/>
              <w:bottom w:val="nil"/>
              <w:right w:val="nil"/>
            </w:tcBorders>
            <w:shd w:val="clear" w:color="auto" w:fill="auto"/>
            <w:noWrap/>
            <w:vAlign w:val="bottom"/>
            <w:hideMark/>
          </w:tcPr>
          <w:p w14:paraId="5A7A90DA"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6 293</w:t>
            </w:r>
          </w:p>
        </w:tc>
        <w:tc>
          <w:tcPr>
            <w:tcW w:w="660" w:type="pct"/>
            <w:tcBorders>
              <w:top w:val="nil"/>
              <w:left w:val="nil"/>
              <w:bottom w:val="nil"/>
              <w:right w:val="nil"/>
            </w:tcBorders>
            <w:shd w:val="clear" w:color="auto" w:fill="auto"/>
            <w:noWrap/>
            <w:vAlign w:val="bottom"/>
            <w:hideMark/>
          </w:tcPr>
          <w:p w14:paraId="2B13EFEF" w14:textId="3EB4E34F"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68%</w:t>
            </w:r>
          </w:p>
        </w:tc>
        <w:tc>
          <w:tcPr>
            <w:tcW w:w="991" w:type="pct"/>
            <w:tcBorders>
              <w:top w:val="nil"/>
              <w:left w:val="nil"/>
              <w:bottom w:val="nil"/>
              <w:right w:val="nil"/>
            </w:tcBorders>
            <w:shd w:val="clear" w:color="auto" w:fill="auto"/>
            <w:noWrap/>
            <w:vAlign w:val="bottom"/>
            <w:hideMark/>
          </w:tcPr>
          <w:p w14:paraId="36E87D84" w14:textId="77777777" w:rsidR="00E66F49" w:rsidRPr="00666914" w:rsidRDefault="00E66F49" w:rsidP="00DF6018">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906</w:t>
            </w:r>
          </w:p>
        </w:tc>
        <w:tc>
          <w:tcPr>
            <w:tcW w:w="1194" w:type="pct"/>
            <w:tcBorders>
              <w:top w:val="nil"/>
              <w:left w:val="nil"/>
              <w:bottom w:val="nil"/>
              <w:right w:val="nil"/>
            </w:tcBorders>
            <w:shd w:val="clear" w:color="auto" w:fill="auto"/>
            <w:noWrap/>
            <w:vAlign w:val="bottom"/>
            <w:hideMark/>
          </w:tcPr>
          <w:p w14:paraId="1023F4B1" w14:textId="70B96592" w:rsidR="00E66F49" w:rsidRPr="00666914" w:rsidRDefault="00E66F49" w:rsidP="00DF6018">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14%</w:t>
            </w:r>
          </w:p>
        </w:tc>
      </w:tr>
      <w:tr w:rsidR="00E66F49" w:rsidRPr="00666914" w14:paraId="35AC509D" w14:textId="77777777" w:rsidTr="00DF6018">
        <w:trPr>
          <w:trHeight w:val="255"/>
        </w:trPr>
        <w:tc>
          <w:tcPr>
            <w:tcW w:w="1770" w:type="pct"/>
            <w:tcBorders>
              <w:top w:val="nil"/>
              <w:left w:val="nil"/>
              <w:bottom w:val="nil"/>
              <w:right w:val="nil"/>
            </w:tcBorders>
            <w:shd w:val="clear" w:color="auto" w:fill="auto"/>
            <w:noWrap/>
            <w:vAlign w:val="center"/>
            <w:hideMark/>
          </w:tcPr>
          <w:p w14:paraId="0F69DF85" w14:textId="2DA2E00D"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UoZ, ktorí predčasne ukončili poradenský proces</w:t>
            </w:r>
          </w:p>
        </w:tc>
        <w:tc>
          <w:tcPr>
            <w:tcW w:w="385" w:type="pct"/>
            <w:tcBorders>
              <w:top w:val="nil"/>
              <w:left w:val="nil"/>
              <w:bottom w:val="nil"/>
              <w:right w:val="nil"/>
            </w:tcBorders>
            <w:shd w:val="clear" w:color="auto" w:fill="auto"/>
            <w:noWrap/>
            <w:vAlign w:val="bottom"/>
            <w:hideMark/>
          </w:tcPr>
          <w:p w14:paraId="6BB09DBF"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1 170</w:t>
            </w:r>
          </w:p>
        </w:tc>
        <w:tc>
          <w:tcPr>
            <w:tcW w:w="660" w:type="pct"/>
            <w:tcBorders>
              <w:top w:val="nil"/>
              <w:left w:val="nil"/>
              <w:bottom w:val="nil"/>
              <w:right w:val="nil"/>
            </w:tcBorders>
            <w:shd w:val="clear" w:color="auto" w:fill="auto"/>
            <w:noWrap/>
            <w:vAlign w:val="bottom"/>
            <w:hideMark/>
          </w:tcPr>
          <w:p w14:paraId="71A09D92" w14:textId="28C7794D"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13%</w:t>
            </w:r>
          </w:p>
        </w:tc>
        <w:tc>
          <w:tcPr>
            <w:tcW w:w="991" w:type="pct"/>
            <w:tcBorders>
              <w:top w:val="nil"/>
              <w:left w:val="nil"/>
              <w:bottom w:val="nil"/>
              <w:right w:val="nil"/>
            </w:tcBorders>
            <w:shd w:val="clear" w:color="auto" w:fill="auto"/>
            <w:noWrap/>
            <w:vAlign w:val="bottom"/>
            <w:hideMark/>
          </w:tcPr>
          <w:p w14:paraId="39C9ED8A" w14:textId="77777777" w:rsidR="00E66F49" w:rsidRPr="00666914" w:rsidRDefault="00E66F49" w:rsidP="00DF6018">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611</w:t>
            </w:r>
          </w:p>
        </w:tc>
        <w:tc>
          <w:tcPr>
            <w:tcW w:w="1194" w:type="pct"/>
            <w:tcBorders>
              <w:top w:val="nil"/>
              <w:left w:val="nil"/>
              <w:bottom w:val="nil"/>
              <w:right w:val="nil"/>
            </w:tcBorders>
            <w:shd w:val="clear" w:color="auto" w:fill="auto"/>
            <w:noWrap/>
            <w:vAlign w:val="bottom"/>
            <w:hideMark/>
          </w:tcPr>
          <w:p w14:paraId="12AA9895" w14:textId="32773B4C" w:rsidR="00E66F49" w:rsidRPr="00666914" w:rsidRDefault="00E66F49" w:rsidP="00DF6018">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52%</w:t>
            </w:r>
          </w:p>
        </w:tc>
      </w:tr>
      <w:tr w:rsidR="00E66F49" w:rsidRPr="00666914" w14:paraId="10409173" w14:textId="77777777" w:rsidTr="00DF6018">
        <w:trPr>
          <w:trHeight w:val="255"/>
        </w:trPr>
        <w:tc>
          <w:tcPr>
            <w:tcW w:w="1770" w:type="pct"/>
            <w:tcBorders>
              <w:top w:val="nil"/>
              <w:left w:val="nil"/>
              <w:bottom w:val="nil"/>
              <w:right w:val="nil"/>
            </w:tcBorders>
            <w:shd w:val="clear" w:color="auto" w:fill="auto"/>
            <w:noWrap/>
            <w:vAlign w:val="center"/>
            <w:hideMark/>
          </w:tcPr>
          <w:p w14:paraId="2E9D71A0"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UoZ, ktorí poradenský proces aktuálne absolvujú (zaradení do 31.12.2019)</w:t>
            </w:r>
          </w:p>
        </w:tc>
        <w:tc>
          <w:tcPr>
            <w:tcW w:w="385" w:type="pct"/>
            <w:tcBorders>
              <w:top w:val="nil"/>
              <w:left w:val="nil"/>
              <w:bottom w:val="nil"/>
              <w:right w:val="nil"/>
            </w:tcBorders>
            <w:shd w:val="clear" w:color="auto" w:fill="auto"/>
            <w:noWrap/>
            <w:vAlign w:val="bottom"/>
            <w:hideMark/>
          </w:tcPr>
          <w:p w14:paraId="691CD1C0"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1 790</w:t>
            </w:r>
          </w:p>
        </w:tc>
        <w:tc>
          <w:tcPr>
            <w:tcW w:w="660" w:type="pct"/>
            <w:tcBorders>
              <w:top w:val="nil"/>
              <w:left w:val="nil"/>
              <w:bottom w:val="nil"/>
              <w:right w:val="nil"/>
            </w:tcBorders>
            <w:shd w:val="clear" w:color="auto" w:fill="auto"/>
            <w:noWrap/>
            <w:vAlign w:val="bottom"/>
            <w:hideMark/>
          </w:tcPr>
          <w:p w14:paraId="11A7AFA9" w14:textId="68C35232"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19%</w:t>
            </w:r>
          </w:p>
        </w:tc>
        <w:tc>
          <w:tcPr>
            <w:tcW w:w="991" w:type="pct"/>
            <w:tcBorders>
              <w:top w:val="nil"/>
              <w:left w:val="nil"/>
              <w:bottom w:val="nil"/>
              <w:right w:val="nil"/>
            </w:tcBorders>
            <w:shd w:val="clear" w:color="auto" w:fill="auto"/>
            <w:noWrap/>
            <w:vAlign w:val="bottom"/>
            <w:hideMark/>
          </w:tcPr>
          <w:p w14:paraId="690A9200" w14:textId="77777777" w:rsidR="00E66F49" w:rsidRPr="00666914" w:rsidRDefault="00E66F49" w:rsidP="00DF6018">
            <w:pPr>
              <w:spacing w:after="0"/>
              <w:jc w:val="center"/>
              <w:rPr>
                <w:rFonts w:eastAsia="Times New Roman" w:cs="Calibri"/>
                <w:color w:val="000000"/>
                <w:sz w:val="20"/>
                <w:szCs w:val="20"/>
                <w:lang w:eastAsia="sk-SK"/>
              </w:rPr>
            </w:pPr>
          </w:p>
        </w:tc>
        <w:tc>
          <w:tcPr>
            <w:tcW w:w="1194" w:type="pct"/>
            <w:tcBorders>
              <w:top w:val="nil"/>
              <w:left w:val="nil"/>
              <w:bottom w:val="nil"/>
              <w:right w:val="nil"/>
            </w:tcBorders>
            <w:shd w:val="clear" w:color="auto" w:fill="auto"/>
            <w:noWrap/>
            <w:vAlign w:val="bottom"/>
            <w:hideMark/>
          </w:tcPr>
          <w:p w14:paraId="558FFF43" w14:textId="77777777" w:rsidR="00E66F49" w:rsidRPr="00666914" w:rsidRDefault="00E66F49" w:rsidP="00DF6018">
            <w:pPr>
              <w:spacing w:after="0"/>
              <w:jc w:val="center"/>
              <w:rPr>
                <w:rFonts w:ascii="Times New Roman" w:eastAsia="Times New Roman" w:hAnsi="Times New Roman"/>
                <w:sz w:val="20"/>
                <w:szCs w:val="20"/>
                <w:lang w:eastAsia="sk-SK"/>
              </w:rPr>
            </w:pPr>
          </w:p>
        </w:tc>
      </w:tr>
      <w:tr w:rsidR="00E66F49" w:rsidRPr="00666914" w14:paraId="72AE3D1C" w14:textId="77777777" w:rsidTr="00DF6018">
        <w:trPr>
          <w:trHeight w:val="255"/>
        </w:trPr>
        <w:tc>
          <w:tcPr>
            <w:tcW w:w="1770" w:type="pct"/>
            <w:tcBorders>
              <w:top w:val="single" w:sz="4" w:space="0" w:color="auto"/>
              <w:left w:val="nil"/>
              <w:bottom w:val="single" w:sz="4" w:space="0" w:color="auto"/>
              <w:right w:val="nil"/>
            </w:tcBorders>
            <w:shd w:val="clear" w:color="auto" w:fill="auto"/>
            <w:noWrap/>
            <w:vAlign w:val="bottom"/>
            <w:hideMark/>
          </w:tcPr>
          <w:p w14:paraId="18188FAB"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UoZ spolu</w:t>
            </w:r>
          </w:p>
        </w:tc>
        <w:tc>
          <w:tcPr>
            <w:tcW w:w="385" w:type="pct"/>
            <w:tcBorders>
              <w:top w:val="single" w:sz="4" w:space="0" w:color="auto"/>
              <w:left w:val="nil"/>
              <w:bottom w:val="single" w:sz="4" w:space="0" w:color="auto"/>
              <w:right w:val="nil"/>
            </w:tcBorders>
            <w:shd w:val="clear" w:color="auto" w:fill="auto"/>
            <w:noWrap/>
            <w:vAlign w:val="bottom"/>
            <w:hideMark/>
          </w:tcPr>
          <w:p w14:paraId="014C5104"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9 253</w:t>
            </w:r>
          </w:p>
        </w:tc>
        <w:tc>
          <w:tcPr>
            <w:tcW w:w="660" w:type="pct"/>
            <w:tcBorders>
              <w:top w:val="single" w:sz="4" w:space="0" w:color="auto"/>
              <w:left w:val="nil"/>
              <w:bottom w:val="single" w:sz="4" w:space="0" w:color="auto"/>
              <w:right w:val="nil"/>
            </w:tcBorders>
            <w:shd w:val="clear" w:color="auto" w:fill="auto"/>
            <w:noWrap/>
            <w:vAlign w:val="bottom"/>
            <w:hideMark/>
          </w:tcPr>
          <w:p w14:paraId="67CCBB47" w14:textId="50AE1D0C"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100%</w:t>
            </w:r>
          </w:p>
        </w:tc>
        <w:tc>
          <w:tcPr>
            <w:tcW w:w="991" w:type="pct"/>
            <w:tcBorders>
              <w:top w:val="single" w:sz="4" w:space="0" w:color="auto"/>
              <w:left w:val="nil"/>
              <w:bottom w:val="single" w:sz="4" w:space="0" w:color="auto"/>
              <w:right w:val="nil"/>
            </w:tcBorders>
            <w:shd w:val="clear" w:color="auto" w:fill="auto"/>
            <w:noWrap/>
            <w:vAlign w:val="bottom"/>
            <w:hideMark/>
          </w:tcPr>
          <w:p w14:paraId="34396ECF" w14:textId="77777777" w:rsidR="00E66F49" w:rsidRPr="00666914" w:rsidRDefault="00E66F49" w:rsidP="00DF6018">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1 517</w:t>
            </w:r>
          </w:p>
        </w:tc>
        <w:tc>
          <w:tcPr>
            <w:tcW w:w="1194" w:type="pct"/>
            <w:tcBorders>
              <w:top w:val="single" w:sz="4" w:space="0" w:color="auto"/>
              <w:left w:val="nil"/>
              <w:bottom w:val="single" w:sz="4" w:space="0" w:color="auto"/>
              <w:right w:val="nil"/>
            </w:tcBorders>
            <w:shd w:val="clear" w:color="auto" w:fill="auto"/>
            <w:noWrap/>
            <w:vAlign w:val="bottom"/>
            <w:hideMark/>
          </w:tcPr>
          <w:p w14:paraId="1A5CBC3D" w14:textId="6D66159E" w:rsidR="00E66F49" w:rsidRPr="00666914" w:rsidRDefault="00E66F49" w:rsidP="00DF6018">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20%</w:t>
            </w:r>
          </w:p>
        </w:tc>
      </w:tr>
      <w:tr w:rsidR="00E66F49" w:rsidRPr="00666914" w14:paraId="4848D66B" w14:textId="77777777" w:rsidTr="00DF6018">
        <w:trPr>
          <w:trHeight w:val="300"/>
        </w:trPr>
        <w:tc>
          <w:tcPr>
            <w:tcW w:w="1770" w:type="pct"/>
            <w:tcBorders>
              <w:top w:val="nil"/>
              <w:left w:val="nil"/>
              <w:bottom w:val="nil"/>
              <w:right w:val="nil"/>
            </w:tcBorders>
            <w:shd w:val="clear" w:color="auto" w:fill="auto"/>
            <w:noWrap/>
            <w:vAlign w:val="bottom"/>
            <w:hideMark/>
          </w:tcPr>
          <w:p w14:paraId="216B49EB" w14:textId="77777777" w:rsidR="00E66F49" w:rsidRPr="00666914" w:rsidRDefault="00E66F49" w:rsidP="00D27F91">
            <w:pPr>
              <w:spacing w:after="0"/>
              <w:jc w:val="right"/>
              <w:rPr>
                <w:rFonts w:eastAsia="Times New Roman" w:cs="Calibri"/>
                <w:b/>
                <w:bCs/>
                <w:color w:val="000000"/>
                <w:sz w:val="20"/>
                <w:szCs w:val="20"/>
                <w:lang w:eastAsia="sk-SK"/>
              </w:rPr>
            </w:pPr>
          </w:p>
        </w:tc>
        <w:tc>
          <w:tcPr>
            <w:tcW w:w="385" w:type="pct"/>
            <w:tcBorders>
              <w:top w:val="nil"/>
              <w:left w:val="nil"/>
              <w:bottom w:val="nil"/>
              <w:right w:val="nil"/>
            </w:tcBorders>
            <w:shd w:val="clear" w:color="auto" w:fill="auto"/>
            <w:noWrap/>
            <w:vAlign w:val="bottom"/>
            <w:hideMark/>
          </w:tcPr>
          <w:p w14:paraId="2BFF81D5" w14:textId="77777777" w:rsidR="00E66F49" w:rsidRPr="00666914" w:rsidRDefault="00E66F49" w:rsidP="00D27F91">
            <w:pPr>
              <w:spacing w:after="0"/>
              <w:jc w:val="left"/>
              <w:rPr>
                <w:rFonts w:ascii="Times New Roman" w:eastAsia="Times New Roman" w:hAnsi="Times New Roman"/>
                <w:sz w:val="20"/>
                <w:szCs w:val="20"/>
                <w:lang w:eastAsia="sk-SK"/>
              </w:rPr>
            </w:pPr>
          </w:p>
        </w:tc>
        <w:tc>
          <w:tcPr>
            <w:tcW w:w="660" w:type="pct"/>
            <w:tcBorders>
              <w:top w:val="nil"/>
              <w:left w:val="nil"/>
              <w:bottom w:val="nil"/>
              <w:right w:val="nil"/>
            </w:tcBorders>
            <w:shd w:val="clear" w:color="auto" w:fill="auto"/>
            <w:noWrap/>
            <w:vAlign w:val="bottom"/>
            <w:hideMark/>
          </w:tcPr>
          <w:p w14:paraId="04248A78" w14:textId="77777777" w:rsidR="00E66F49" w:rsidRPr="00666914" w:rsidRDefault="00E66F49" w:rsidP="00D27F91">
            <w:pPr>
              <w:spacing w:after="0"/>
              <w:jc w:val="right"/>
              <w:rPr>
                <w:rFonts w:ascii="Times New Roman" w:eastAsia="Times New Roman" w:hAnsi="Times New Roman"/>
                <w:sz w:val="20"/>
                <w:szCs w:val="20"/>
                <w:lang w:eastAsia="sk-SK"/>
              </w:rPr>
            </w:pPr>
          </w:p>
        </w:tc>
        <w:tc>
          <w:tcPr>
            <w:tcW w:w="991" w:type="pct"/>
            <w:tcBorders>
              <w:top w:val="nil"/>
              <w:left w:val="nil"/>
              <w:bottom w:val="nil"/>
              <w:right w:val="nil"/>
            </w:tcBorders>
            <w:shd w:val="clear" w:color="auto" w:fill="auto"/>
            <w:noWrap/>
            <w:vAlign w:val="bottom"/>
            <w:hideMark/>
          </w:tcPr>
          <w:p w14:paraId="08E0D904" w14:textId="77777777" w:rsidR="00E66F49" w:rsidRPr="00666914" w:rsidRDefault="00E66F49" w:rsidP="00D27F91">
            <w:pPr>
              <w:spacing w:after="0"/>
              <w:jc w:val="right"/>
              <w:rPr>
                <w:rFonts w:ascii="Times New Roman" w:eastAsia="Times New Roman" w:hAnsi="Times New Roman"/>
                <w:sz w:val="20"/>
                <w:szCs w:val="20"/>
                <w:lang w:eastAsia="sk-SK"/>
              </w:rPr>
            </w:pPr>
          </w:p>
        </w:tc>
        <w:tc>
          <w:tcPr>
            <w:tcW w:w="1194" w:type="pct"/>
            <w:tcBorders>
              <w:top w:val="nil"/>
              <w:left w:val="nil"/>
              <w:bottom w:val="nil"/>
              <w:right w:val="nil"/>
            </w:tcBorders>
            <w:shd w:val="clear" w:color="auto" w:fill="auto"/>
            <w:noWrap/>
            <w:vAlign w:val="bottom"/>
            <w:hideMark/>
          </w:tcPr>
          <w:p w14:paraId="34F22381" w14:textId="77777777" w:rsidR="00E66F49" w:rsidRPr="00666914" w:rsidRDefault="00E66F49" w:rsidP="00D27F91">
            <w:pPr>
              <w:spacing w:after="0"/>
              <w:jc w:val="right"/>
              <w:rPr>
                <w:rFonts w:ascii="Times New Roman" w:eastAsia="Times New Roman" w:hAnsi="Times New Roman"/>
                <w:sz w:val="20"/>
                <w:szCs w:val="20"/>
                <w:lang w:eastAsia="sk-SK"/>
              </w:rPr>
            </w:pPr>
          </w:p>
        </w:tc>
      </w:tr>
      <w:tr w:rsidR="00E66F49" w:rsidRPr="00666914" w14:paraId="278E9751" w14:textId="77777777" w:rsidTr="00DF6018">
        <w:trPr>
          <w:trHeight w:val="255"/>
        </w:trPr>
        <w:tc>
          <w:tcPr>
            <w:tcW w:w="1770" w:type="pct"/>
            <w:tcBorders>
              <w:top w:val="single" w:sz="4" w:space="0" w:color="auto"/>
              <w:left w:val="nil"/>
              <w:bottom w:val="single" w:sz="4" w:space="0" w:color="auto"/>
              <w:right w:val="nil"/>
            </w:tcBorders>
            <w:shd w:val="clear" w:color="auto" w:fill="auto"/>
            <w:noWrap/>
            <w:vAlign w:val="bottom"/>
            <w:hideMark/>
          </w:tcPr>
          <w:p w14:paraId="2D569672"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Cieľový celkový počet UoZ počas obdobia 09/2017 - 08/2021</w:t>
            </w:r>
          </w:p>
        </w:tc>
        <w:tc>
          <w:tcPr>
            <w:tcW w:w="385" w:type="pct"/>
            <w:tcBorders>
              <w:top w:val="single" w:sz="4" w:space="0" w:color="auto"/>
              <w:left w:val="nil"/>
              <w:bottom w:val="single" w:sz="4" w:space="0" w:color="auto"/>
              <w:right w:val="nil"/>
            </w:tcBorders>
            <w:shd w:val="clear" w:color="auto" w:fill="auto"/>
            <w:noWrap/>
            <w:vAlign w:val="bottom"/>
            <w:hideMark/>
          </w:tcPr>
          <w:p w14:paraId="6DD66981"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30 000</w:t>
            </w:r>
          </w:p>
        </w:tc>
        <w:tc>
          <w:tcPr>
            <w:tcW w:w="660" w:type="pct"/>
            <w:tcBorders>
              <w:top w:val="single" w:sz="4" w:space="0" w:color="auto"/>
              <w:left w:val="nil"/>
              <w:bottom w:val="single" w:sz="4" w:space="0" w:color="auto"/>
              <w:right w:val="nil"/>
            </w:tcBorders>
            <w:shd w:val="clear" w:color="auto" w:fill="auto"/>
            <w:noWrap/>
            <w:vAlign w:val="bottom"/>
            <w:hideMark/>
          </w:tcPr>
          <w:p w14:paraId="559A6EC0" w14:textId="53772964"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31%</w:t>
            </w:r>
          </w:p>
        </w:tc>
        <w:tc>
          <w:tcPr>
            <w:tcW w:w="991" w:type="pct"/>
            <w:tcBorders>
              <w:top w:val="single" w:sz="4" w:space="0" w:color="auto"/>
              <w:left w:val="nil"/>
              <w:bottom w:val="single" w:sz="4" w:space="0" w:color="auto"/>
              <w:right w:val="nil"/>
            </w:tcBorders>
            <w:shd w:val="clear" w:color="auto" w:fill="auto"/>
            <w:noWrap/>
            <w:vAlign w:val="bottom"/>
            <w:hideMark/>
          </w:tcPr>
          <w:p w14:paraId="2097A361"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c>
          <w:tcPr>
            <w:tcW w:w="1194" w:type="pct"/>
            <w:tcBorders>
              <w:top w:val="single" w:sz="4" w:space="0" w:color="auto"/>
              <w:left w:val="nil"/>
              <w:bottom w:val="single" w:sz="4" w:space="0" w:color="auto"/>
              <w:right w:val="nil"/>
            </w:tcBorders>
            <w:shd w:val="clear" w:color="auto" w:fill="auto"/>
            <w:noWrap/>
            <w:vAlign w:val="bottom"/>
            <w:hideMark/>
          </w:tcPr>
          <w:p w14:paraId="74637BBA"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r>
      <w:tr w:rsidR="00E66F49" w:rsidRPr="00666914" w14:paraId="6941AE18" w14:textId="77777777" w:rsidTr="00DF6018">
        <w:trPr>
          <w:trHeight w:val="270"/>
        </w:trPr>
        <w:tc>
          <w:tcPr>
            <w:tcW w:w="1770" w:type="pct"/>
            <w:tcBorders>
              <w:top w:val="nil"/>
              <w:left w:val="nil"/>
              <w:bottom w:val="nil"/>
              <w:right w:val="nil"/>
            </w:tcBorders>
            <w:shd w:val="clear" w:color="auto" w:fill="auto"/>
            <w:noWrap/>
            <w:vAlign w:val="bottom"/>
            <w:hideMark/>
          </w:tcPr>
          <w:p w14:paraId="244FC4EF" w14:textId="77777777" w:rsidR="00E66F49" w:rsidRPr="00666914" w:rsidRDefault="00E66F49" w:rsidP="00D27F91">
            <w:pPr>
              <w:spacing w:after="0"/>
              <w:jc w:val="right"/>
              <w:rPr>
                <w:rFonts w:eastAsia="Times New Roman" w:cs="Calibri"/>
                <w:b/>
                <w:bCs/>
                <w:color w:val="000000"/>
                <w:sz w:val="20"/>
                <w:szCs w:val="20"/>
                <w:lang w:eastAsia="sk-SK"/>
              </w:rPr>
            </w:pPr>
          </w:p>
        </w:tc>
        <w:tc>
          <w:tcPr>
            <w:tcW w:w="385" w:type="pct"/>
            <w:tcBorders>
              <w:top w:val="nil"/>
              <w:left w:val="nil"/>
              <w:bottom w:val="nil"/>
              <w:right w:val="nil"/>
            </w:tcBorders>
            <w:shd w:val="clear" w:color="auto" w:fill="auto"/>
            <w:noWrap/>
            <w:vAlign w:val="bottom"/>
            <w:hideMark/>
          </w:tcPr>
          <w:p w14:paraId="2342DBBE" w14:textId="77777777" w:rsidR="00E66F49" w:rsidRPr="00666914" w:rsidRDefault="00E66F49" w:rsidP="00D27F91">
            <w:pPr>
              <w:spacing w:after="0"/>
              <w:jc w:val="left"/>
              <w:rPr>
                <w:rFonts w:ascii="Times New Roman" w:eastAsia="Times New Roman" w:hAnsi="Times New Roman"/>
                <w:sz w:val="20"/>
                <w:szCs w:val="20"/>
                <w:lang w:eastAsia="sk-SK"/>
              </w:rPr>
            </w:pPr>
          </w:p>
        </w:tc>
        <w:tc>
          <w:tcPr>
            <w:tcW w:w="660" w:type="pct"/>
            <w:tcBorders>
              <w:top w:val="nil"/>
              <w:left w:val="nil"/>
              <w:bottom w:val="nil"/>
              <w:right w:val="nil"/>
            </w:tcBorders>
            <w:shd w:val="clear" w:color="auto" w:fill="auto"/>
            <w:noWrap/>
            <w:vAlign w:val="bottom"/>
            <w:hideMark/>
          </w:tcPr>
          <w:p w14:paraId="56F4D679" w14:textId="77777777" w:rsidR="00E66F49" w:rsidRPr="00666914" w:rsidRDefault="00E66F49" w:rsidP="00D27F91">
            <w:pPr>
              <w:spacing w:after="0"/>
              <w:jc w:val="right"/>
              <w:rPr>
                <w:rFonts w:ascii="Times New Roman" w:eastAsia="Times New Roman" w:hAnsi="Times New Roman"/>
                <w:sz w:val="20"/>
                <w:szCs w:val="20"/>
                <w:lang w:eastAsia="sk-SK"/>
              </w:rPr>
            </w:pPr>
          </w:p>
        </w:tc>
        <w:tc>
          <w:tcPr>
            <w:tcW w:w="991" w:type="pct"/>
            <w:tcBorders>
              <w:top w:val="nil"/>
              <w:left w:val="nil"/>
              <w:bottom w:val="nil"/>
              <w:right w:val="nil"/>
            </w:tcBorders>
            <w:shd w:val="clear" w:color="auto" w:fill="auto"/>
            <w:noWrap/>
            <w:vAlign w:val="bottom"/>
            <w:hideMark/>
          </w:tcPr>
          <w:p w14:paraId="09D4C09E" w14:textId="77777777" w:rsidR="00E66F49" w:rsidRPr="00666914" w:rsidRDefault="00E66F49" w:rsidP="00D27F91">
            <w:pPr>
              <w:spacing w:after="0"/>
              <w:jc w:val="right"/>
              <w:rPr>
                <w:rFonts w:ascii="Times New Roman" w:eastAsia="Times New Roman" w:hAnsi="Times New Roman"/>
                <w:sz w:val="20"/>
                <w:szCs w:val="20"/>
                <w:lang w:eastAsia="sk-SK"/>
              </w:rPr>
            </w:pPr>
          </w:p>
        </w:tc>
        <w:tc>
          <w:tcPr>
            <w:tcW w:w="1194" w:type="pct"/>
            <w:tcBorders>
              <w:top w:val="nil"/>
              <w:left w:val="nil"/>
              <w:bottom w:val="nil"/>
              <w:right w:val="nil"/>
            </w:tcBorders>
            <w:shd w:val="clear" w:color="auto" w:fill="auto"/>
            <w:noWrap/>
            <w:vAlign w:val="bottom"/>
            <w:hideMark/>
          </w:tcPr>
          <w:p w14:paraId="41EE2D03" w14:textId="77777777" w:rsidR="00E66F49" w:rsidRPr="00666914" w:rsidRDefault="00E66F49" w:rsidP="00D27F91">
            <w:pPr>
              <w:spacing w:after="0"/>
              <w:jc w:val="right"/>
              <w:rPr>
                <w:rFonts w:eastAsia="Times New Roman" w:cs="Calibri"/>
                <w:i/>
                <w:iCs/>
                <w:color w:val="000000"/>
                <w:sz w:val="20"/>
                <w:szCs w:val="20"/>
                <w:lang w:eastAsia="sk-SK"/>
              </w:rPr>
            </w:pPr>
            <w:r w:rsidRPr="00666914">
              <w:rPr>
                <w:rFonts w:eastAsia="Times New Roman" w:cs="Calibri"/>
                <w:i/>
                <w:iCs/>
                <w:color w:val="000000"/>
                <w:sz w:val="18"/>
                <w:szCs w:val="20"/>
                <w:lang w:eastAsia="sk-SK"/>
              </w:rPr>
              <w:t>Zdroj: ÚPSVaR - ISSZ</w:t>
            </w:r>
          </w:p>
        </w:tc>
      </w:tr>
    </w:tbl>
    <w:p w14:paraId="17C0BF0A" w14:textId="77777777" w:rsidR="00E66F49" w:rsidRPr="00666914" w:rsidRDefault="00E66F49" w:rsidP="00173DD5">
      <w:pPr>
        <w:spacing w:after="0"/>
      </w:pPr>
    </w:p>
    <w:p w14:paraId="586DA0D2" w14:textId="07DE6B70" w:rsidR="00173DD5" w:rsidRPr="00666914" w:rsidRDefault="00E66F49" w:rsidP="00173DD5">
      <w:pPr>
        <w:spacing w:after="0"/>
      </w:pPr>
      <w:r w:rsidRPr="00666914">
        <w:rPr>
          <w:b/>
        </w:rPr>
        <w:t>Aktivita č.1 NP PIP predstavuje bilanciu kompetencií UoZ s reálnymi predstavami o uplatnení.</w:t>
      </w:r>
      <w:r w:rsidRPr="00666914">
        <w:t xml:space="preserve"> Cieľom je prostredníctvom individualizovaného prístupu viesť dlhodobo nezamestnaných UoZ k pomenovaniu a zhodnoteniu vlastných odborných zručností a osobnostných predpokladov. Od začiatku spustenia projektu sa umiestnilo na trhu práce 1 517 uchádzačov (do 6 mesiacov od ukončenia poradenského procesu), čo predstavuje 20 % z počtu UoZ, ktorí ukončili poradenský proces.</w:t>
      </w:r>
    </w:p>
    <w:p w14:paraId="7901A857" w14:textId="5DFC20E1" w:rsidR="00173DD5" w:rsidRPr="00666914" w:rsidRDefault="00173DD5">
      <w:pPr>
        <w:spacing w:after="0"/>
        <w:jc w:val="left"/>
      </w:pPr>
    </w:p>
    <w:tbl>
      <w:tblPr>
        <w:tblW w:w="5000" w:type="pct"/>
        <w:tblLayout w:type="fixed"/>
        <w:tblCellMar>
          <w:left w:w="70" w:type="dxa"/>
          <w:right w:w="70" w:type="dxa"/>
        </w:tblCellMar>
        <w:tblLook w:val="04A0" w:firstRow="1" w:lastRow="0" w:firstColumn="1" w:lastColumn="0" w:noHBand="0" w:noVBand="1"/>
      </w:tblPr>
      <w:tblGrid>
        <w:gridCol w:w="3263"/>
        <w:gridCol w:w="709"/>
        <w:gridCol w:w="1216"/>
        <w:gridCol w:w="1826"/>
        <w:gridCol w:w="2200"/>
      </w:tblGrid>
      <w:tr w:rsidR="00E66F49" w:rsidRPr="00666914" w14:paraId="0E4BD726" w14:textId="77777777" w:rsidTr="00DF6018">
        <w:trPr>
          <w:trHeight w:val="255"/>
        </w:trPr>
        <w:tc>
          <w:tcPr>
            <w:tcW w:w="5000" w:type="pct"/>
            <w:gridSpan w:val="5"/>
            <w:tcBorders>
              <w:top w:val="nil"/>
              <w:left w:val="nil"/>
              <w:bottom w:val="nil"/>
              <w:right w:val="nil"/>
            </w:tcBorders>
            <w:shd w:val="clear" w:color="auto" w:fill="auto"/>
            <w:noWrap/>
            <w:vAlign w:val="center"/>
            <w:hideMark/>
          </w:tcPr>
          <w:p w14:paraId="4FEB3B39" w14:textId="62027584" w:rsidR="00E66F49" w:rsidRPr="00666914" w:rsidRDefault="00E66F49" w:rsidP="00D27F91">
            <w:pPr>
              <w:spacing w:after="0"/>
              <w:jc w:val="left"/>
              <w:rPr>
                <w:rFonts w:eastAsia="Times New Roman" w:cs="Calibri"/>
                <w:b/>
                <w:bCs/>
                <w:color w:val="000000"/>
                <w:sz w:val="20"/>
                <w:szCs w:val="20"/>
                <w:lang w:eastAsia="sk-SK"/>
              </w:rPr>
            </w:pPr>
            <w:bookmarkStart w:id="379" w:name="_Toc38447746"/>
            <w:r w:rsidRPr="00666914">
              <w:rPr>
                <w:rFonts w:eastAsia="Times New Roman" w:cs="Calibri"/>
                <w:b/>
                <w:bCs/>
                <w:color w:val="000000"/>
                <w:sz w:val="20"/>
                <w:szCs w:val="20"/>
                <w:lang w:eastAsia="sk-SK"/>
              </w:rPr>
              <w:t xml:space="preserve">Tabuľka </w:t>
            </w:r>
            <w:r w:rsidRPr="00666914">
              <w:rPr>
                <w:rFonts w:eastAsia="Times New Roman" w:cs="Calibri"/>
                <w:b/>
                <w:bCs/>
                <w:color w:val="000000"/>
                <w:sz w:val="20"/>
                <w:szCs w:val="20"/>
                <w:lang w:eastAsia="sk-SK"/>
              </w:rPr>
              <w:fldChar w:fldCharType="begin"/>
            </w:r>
            <w:r w:rsidRPr="00666914">
              <w:rPr>
                <w:rFonts w:eastAsia="Times New Roman" w:cs="Calibri"/>
                <w:b/>
                <w:bCs/>
                <w:color w:val="000000"/>
                <w:sz w:val="20"/>
                <w:szCs w:val="20"/>
                <w:lang w:eastAsia="sk-SK"/>
              </w:rPr>
              <w:instrText xml:space="preserve"> SEQ Tabuľka \* ARABIC \* MERGEFORMAT </w:instrText>
            </w:r>
            <w:r w:rsidRPr="00666914">
              <w:rPr>
                <w:rFonts w:eastAsia="Times New Roman" w:cs="Calibri"/>
                <w:b/>
                <w:bCs/>
                <w:color w:val="000000"/>
                <w:sz w:val="20"/>
                <w:szCs w:val="20"/>
                <w:lang w:eastAsia="sk-SK"/>
              </w:rPr>
              <w:fldChar w:fldCharType="separate"/>
            </w:r>
            <w:r w:rsidR="005A7304">
              <w:rPr>
                <w:rFonts w:eastAsia="Times New Roman" w:cs="Calibri"/>
                <w:b/>
                <w:bCs/>
                <w:noProof/>
                <w:color w:val="000000"/>
                <w:sz w:val="20"/>
                <w:szCs w:val="20"/>
                <w:lang w:eastAsia="sk-SK"/>
              </w:rPr>
              <w:t>85</w:t>
            </w:r>
            <w:r w:rsidRPr="00666914">
              <w:rPr>
                <w:rFonts w:eastAsia="Times New Roman" w:cs="Calibri"/>
                <w:b/>
                <w:bCs/>
                <w:color w:val="000000"/>
                <w:sz w:val="20"/>
                <w:szCs w:val="20"/>
                <w:lang w:eastAsia="sk-SK"/>
              </w:rPr>
              <w:fldChar w:fldCharType="end"/>
            </w:r>
            <w:r w:rsidRPr="00666914">
              <w:rPr>
                <w:rFonts w:eastAsia="Times New Roman" w:cs="Calibri"/>
                <w:b/>
                <w:bCs/>
                <w:color w:val="000000"/>
                <w:sz w:val="20"/>
                <w:szCs w:val="20"/>
                <w:lang w:eastAsia="sk-SK"/>
              </w:rPr>
              <w:t>: Prehľad UoZ zapojených do „NP PIP" - aktivita č. 2</w:t>
            </w:r>
            <w:bookmarkEnd w:id="379"/>
          </w:p>
        </w:tc>
      </w:tr>
      <w:tr w:rsidR="00E66F49" w:rsidRPr="00666914" w14:paraId="7DDA7503" w14:textId="77777777" w:rsidTr="00DF6018">
        <w:trPr>
          <w:trHeight w:val="625"/>
        </w:trPr>
        <w:tc>
          <w:tcPr>
            <w:tcW w:w="1770" w:type="pct"/>
            <w:tcBorders>
              <w:top w:val="single" w:sz="4" w:space="0" w:color="auto"/>
              <w:left w:val="nil"/>
              <w:bottom w:val="single" w:sz="4" w:space="0" w:color="auto"/>
              <w:right w:val="nil"/>
            </w:tcBorders>
            <w:shd w:val="clear" w:color="auto" w:fill="auto"/>
            <w:noWrap/>
            <w:vAlign w:val="bottom"/>
            <w:hideMark/>
          </w:tcPr>
          <w:p w14:paraId="0E8978CA" w14:textId="77777777" w:rsidR="00E66F49" w:rsidRPr="00666914" w:rsidRDefault="00E66F49" w:rsidP="00D27F91">
            <w:pPr>
              <w:spacing w:after="0"/>
              <w:jc w:val="left"/>
              <w:rPr>
                <w:rFonts w:eastAsia="Times New Roman" w:cs="Calibri"/>
                <w:color w:val="000000"/>
                <w:sz w:val="20"/>
                <w:szCs w:val="18"/>
                <w:lang w:eastAsia="sk-SK"/>
              </w:rPr>
            </w:pPr>
            <w:r w:rsidRPr="00666914">
              <w:rPr>
                <w:rFonts w:eastAsia="Times New Roman" w:cs="Calibri"/>
                <w:color w:val="000000"/>
                <w:sz w:val="20"/>
                <w:szCs w:val="18"/>
                <w:lang w:eastAsia="sk-SK"/>
              </w:rPr>
              <w:t> </w:t>
            </w:r>
          </w:p>
        </w:tc>
        <w:tc>
          <w:tcPr>
            <w:tcW w:w="385" w:type="pct"/>
            <w:tcBorders>
              <w:top w:val="single" w:sz="4" w:space="0" w:color="auto"/>
              <w:left w:val="nil"/>
              <w:bottom w:val="single" w:sz="4" w:space="0" w:color="auto"/>
              <w:right w:val="nil"/>
            </w:tcBorders>
            <w:shd w:val="clear" w:color="auto" w:fill="auto"/>
            <w:noWrap/>
            <w:vAlign w:val="center"/>
            <w:hideMark/>
          </w:tcPr>
          <w:p w14:paraId="4AEBA8C3" w14:textId="5261470D" w:rsidR="00E66F49" w:rsidRPr="00666914" w:rsidRDefault="00E66F49" w:rsidP="00DF6018">
            <w:pPr>
              <w:spacing w:after="0"/>
              <w:jc w:val="center"/>
              <w:rPr>
                <w:rFonts w:eastAsia="Times New Roman" w:cs="Calibri"/>
                <w:color w:val="000000"/>
                <w:sz w:val="20"/>
                <w:szCs w:val="18"/>
                <w:lang w:eastAsia="sk-SK"/>
              </w:rPr>
            </w:pPr>
            <w:r w:rsidRPr="00666914">
              <w:rPr>
                <w:rFonts w:eastAsia="Times New Roman" w:cs="Calibri"/>
                <w:color w:val="000000"/>
                <w:sz w:val="20"/>
                <w:szCs w:val="18"/>
                <w:lang w:eastAsia="sk-SK"/>
              </w:rPr>
              <w:t>Počet UoZ</w:t>
            </w:r>
          </w:p>
        </w:tc>
        <w:tc>
          <w:tcPr>
            <w:tcW w:w="660" w:type="pct"/>
            <w:tcBorders>
              <w:top w:val="single" w:sz="4" w:space="0" w:color="auto"/>
              <w:left w:val="nil"/>
              <w:bottom w:val="single" w:sz="4" w:space="0" w:color="auto"/>
              <w:right w:val="nil"/>
            </w:tcBorders>
            <w:shd w:val="clear" w:color="auto" w:fill="auto"/>
            <w:noWrap/>
            <w:vAlign w:val="center"/>
            <w:hideMark/>
          </w:tcPr>
          <w:p w14:paraId="4DB61057" w14:textId="78EFADAA" w:rsidR="00E66F49" w:rsidRPr="00666914" w:rsidRDefault="00E66F49" w:rsidP="00DF6018">
            <w:pPr>
              <w:spacing w:after="0"/>
              <w:jc w:val="center"/>
              <w:rPr>
                <w:rFonts w:eastAsia="Times New Roman" w:cs="Calibri"/>
                <w:color w:val="000000"/>
                <w:sz w:val="20"/>
                <w:szCs w:val="18"/>
                <w:lang w:eastAsia="sk-SK"/>
              </w:rPr>
            </w:pPr>
            <w:r w:rsidRPr="00666914">
              <w:rPr>
                <w:rFonts w:eastAsia="Times New Roman" w:cs="Calibri"/>
                <w:color w:val="000000"/>
                <w:sz w:val="20"/>
                <w:szCs w:val="18"/>
                <w:lang w:eastAsia="sk-SK"/>
              </w:rPr>
              <w:t>Podiel z celkového počtu</w:t>
            </w:r>
          </w:p>
        </w:tc>
        <w:tc>
          <w:tcPr>
            <w:tcW w:w="991" w:type="pct"/>
            <w:tcBorders>
              <w:top w:val="single" w:sz="4" w:space="0" w:color="auto"/>
              <w:left w:val="nil"/>
              <w:bottom w:val="single" w:sz="4" w:space="0" w:color="auto"/>
              <w:right w:val="nil"/>
            </w:tcBorders>
            <w:shd w:val="clear" w:color="auto" w:fill="auto"/>
            <w:noWrap/>
            <w:vAlign w:val="center"/>
            <w:hideMark/>
          </w:tcPr>
          <w:p w14:paraId="5C9DA8BA" w14:textId="77777777" w:rsidR="00E66F49" w:rsidRPr="00666914" w:rsidRDefault="00E66F49" w:rsidP="00DF6018">
            <w:pPr>
              <w:spacing w:after="0"/>
              <w:jc w:val="center"/>
              <w:rPr>
                <w:rFonts w:eastAsia="Times New Roman" w:cs="Calibri"/>
                <w:b/>
                <w:bCs/>
                <w:color w:val="000000"/>
                <w:sz w:val="20"/>
                <w:szCs w:val="18"/>
                <w:lang w:eastAsia="sk-SK"/>
              </w:rPr>
            </w:pPr>
            <w:r w:rsidRPr="00666914">
              <w:rPr>
                <w:rFonts w:eastAsia="Times New Roman" w:cs="Calibri"/>
                <w:b/>
                <w:bCs/>
                <w:color w:val="000000"/>
                <w:sz w:val="20"/>
                <w:szCs w:val="18"/>
                <w:lang w:eastAsia="sk-SK"/>
              </w:rPr>
              <w:t>Počet UoZ umiestených na trh práce</w:t>
            </w:r>
          </w:p>
        </w:tc>
        <w:tc>
          <w:tcPr>
            <w:tcW w:w="1194" w:type="pct"/>
            <w:tcBorders>
              <w:top w:val="single" w:sz="4" w:space="0" w:color="auto"/>
              <w:left w:val="nil"/>
              <w:bottom w:val="single" w:sz="4" w:space="0" w:color="auto"/>
              <w:right w:val="nil"/>
            </w:tcBorders>
            <w:shd w:val="clear" w:color="auto" w:fill="auto"/>
            <w:noWrap/>
            <w:vAlign w:val="center"/>
            <w:hideMark/>
          </w:tcPr>
          <w:p w14:paraId="275EE095" w14:textId="77777777" w:rsidR="00E66F49" w:rsidRPr="00666914" w:rsidRDefault="00E66F49" w:rsidP="00DF6018">
            <w:pPr>
              <w:spacing w:after="0"/>
              <w:jc w:val="center"/>
              <w:rPr>
                <w:rFonts w:eastAsia="Times New Roman" w:cs="Calibri"/>
                <w:b/>
                <w:bCs/>
                <w:color w:val="000000"/>
                <w:sz w:val="20"/>
                <w:szCs w:val="18"/>
                <w:lang w:eastAsia="sk-SK"/>
              </w:rPr>
            </w:pPr>
            <w:r w:rsidRPr="00666914">
              <w:rPr>
                <w:rFonts w:eastAsia="Times New Roman" w:cs="Calibri"/>
                <w:b/>
                <w:bCs/>
                <w:color w:val="000000"/>
                <w:sz w:val="20"/>
                <w:szCs w:val="18"/>
                <w:lang w:eastAsia="sk-SK"/>
              </w:rPr>
              <w:t>Podiel z počtu UoZ zapojených do programu</w:t>
            </w:r>
          </w:p>
        </w:tc>
      </w:tr>
      <w:tr w:rsidR="00E66F49" w:rsidRPr="00666914" w14:paraId="57FF4966" w14:textId="77777777" w:rsidTr="00DF6018">
        <w:trPr>
          <w:trHeight w:val="255"/>
        </w:trPr>
        <w:tc>
          <w:tcPr>
            <w:tcW w:w="1770" w:type="pct"/>
            <w:tcBorders>
              <w:top w:val="nil"/>
              <w:left w:val="nil"/>
              <w:bottom w:val="nil"/>
              <w:right w:val="nil"/>
            </w:tcBorders>
            <w:shd w:val="clear" w:color="auto" w:fill="auto"/>
            <w:noWrap/>
            <w:vAlign w:val="center"/>
            <w:hideMark/>
          </w:tcPr>
          <w:p w14:paraId="40C7FFD5" w14:textId="77777777" w:rsidR="00E66F49" w:rsidRPr="00666914" w:rsidRDefault="00E66F49" w:rsidP="00D27F91">
            <w:pPr>
              <w:spacing w:after="0"/>
              <w:jc w:val="left"/>
              <w:rPr>
                <w:rFonts w:eastAsia="Times New Roman" w:cs="Calibri"/>
                <w:color w:val="000000"/>
                <w:sz w:val="20"/>
                <w:szCs w:val="18"/>
                <w:lang w:eastAsia="sk-SK"/>
              </w:rPr>
            </w:pPr>
            <w:r w:rsidRPr="00666914">
              <w:rPr>
                <w:rFonts w:eastAsia="Times New Roman" w:cs="Calibri"/>
                <w:color w:val="000000"/>
                <w:sz w:val="20"/>
                <w:szCs w:val="18"/>
                <w:lang w:eastAsia="sk-SK"/>
              </w:rPr>
              <w:t>UoZ , ktorí úspešne absolvovali poradenský proces (v plnom rozsahu)</w:t>
            </w:r>
          </w:p>
        </w:tc>
        <w:tc>
          <w:tcPr>
            <w:tcW w:w="385" w:type="pct"/>
            <w:tcBorders>
              <w:top w:val="nil"/>
              <w:left w:val="nil"/>
              <w:bottom w:val="nil"/>
              <w:right w:val="nil"/>
            </w:tcBorders>
            <w:shd w:val="clear" w:color="auto" w:fill="auto"/>
            <w:noWrap/>
            <w:vAlign w:val="center"/>
            <w:hideMark/>
          </w:tcPr>
          <w:p w14:paraId="53AE5F13" w14:textId="77777777" w:rsidR="00E66F49" w:rsidRPr="00666914" w:rsidRDefault="00E66F49" w:rsidP="00DF6018">
            <w:pPr>
              <w:spacing w:after="0"/>
              <w:jc w:val="center"/>
              <w:rPr>
                <w:rFonts w:eastAsia="Times New Roman" w:cs="Calibri"/>
                <w:color w:val="000000"/>
                <w:sz w:val="20"/>
                <w:szCs w:val="18"/>
                <w:lang w:eastAsia="sk-SK"/>
              </w:rPr>
            </w:pPr>
            <w:r w:rsidRPr="00666914">
              <w:rPr>
                <w:rFonts w:eastAsia="Times New Roman" w:cs="Calibri"/>
                <w:color w:val="000000"/>
                <w:sz w:val="20"/>
                <w:szCs w:val="18"/>
                <w:lang w:eastAsia="sk-SK"/>
              </w:rPr>
              <w:t>17 495</w:t>
            </w:r>
          </w:p>
        </w:tc>
        <w:tc>
          <w:tcPr>
            <w:tcW w:w="660" w:type="pct"/>
            <w:tcBorders>
              <w:top w:val="nil"/>
              <w:left w:val="nil"/>
              <w:bottom w:val="nil"/>
              <w:right w:val="nil"/>
            </w:tcBorders>
            <w:shd w:val="clear" w:color="auto" w:fill="auto"/>
            <w:noWrap/>
            <w:vAlign w:val="center"/>
            <w:hideMark/>
          </w:tcPr>
          <w:p w14:paraId="63824DCB" w14:textId="77777777" w:rsidR="00E66F49" w:rsidRPr="00666914" w:rsidRDefault="00E66F49" w:rsidP="00DF6018">
            <w:pPr>
              <w:spacing w:after="0"/>
              <w:jc w:val="center"/>
              <w:rPr>
                <w:rFonts w:eastAsia="Times New Roman" w:cs="Calibri"/>
                <w:color w:val="000000"/>
                <w:sz w:val="20"/>
                <w:szCs w:val="18"/>
                <w:lang w:eastAsia="sk-SK"/>
              </w:rPr>
            </w:pPr>
            <w:r w:rsidRPr="00666914">
              <w:rPr>
                <w:rFonts w:eastAsia="Times New Roman" w:cs="Calibri"/>
                <w:color w:val="000000"/>
                <w:sz w:val="20"/>
                <w:szCs w:val="18"/>
                <w:lang w:eastAsia="sk-SK"/>
              </w:rPr>
              <w:t>76%</w:t>
            </w:r>
          </w:p>
        </w:tc>
        <w:tc>
          <w:tcPr>
            <w:tcW w:w="991" w:type="pct"/>
            <w:tcBorders>
              <w:top w:val="nil"/>
              <w:left w:val="nil"/>
              <w:bottom w:val="nil"/>
              <w:right w:val="nil"/>
            </w:tcBorders>
            <w:shd w:val="clear" w:color="auto" w:fill="auto"/>
            <w:noWrap/>
            <w:vAlign w:val="center"/>
            <w:hideMark/>
          </w:tcPr>
          <w:p w14:paraId="18EF422F" w14:textId="77777777" w:rsidR="00E66F49" w:rsidRPr="00666914" w:rsidRDefault="00E66F49" w:rsidP="00DF6018">
            <w:pPr>
              <w:spacing w:after="0"/>
              <w:jc w:val="center"/>
              <w:rPr>
                <w:rFonts w:eastAsia="Times New Roman" w:cs="Calibri"/>
                <w:b/>
                <w:bCs/>
                <w:color w:val="000000"/>
                <w:sz w:val="20"/>
                <w:szCs w:val="18"/>
                <w:lang w:eastAsia="sk-SK"/>
              </w:rPr>
            </w:pPr>
            <w:r w:rsidRPr="00666914">
              <w:rPr>
                <w:rFonts w:eastAsia="Times New Roman" w:cs="Calibri"/>
                <w:b/>
                <w:bCs/>
                <w:color w:val="000000"/>
                <w:sz w:val="20"/>
                <w:szCs w:val="18"/>
                <w:lang w:eastAsia="sk-SK"/>
              </w:rPr>
              <w:t>1 702</w:t>
            </w:r>
          </w:p>
        </w:tc>
        <w:tc>
          <w:tcPr>
            <w:tcW w:w="1194" w:type="pct"/>
            <w:tcBorders>
              <w:top w:val="nil"/>
              <w:left w:val="nil"/>
              <w:bottom w:val="nil"/>
              <w:right w:val="nil"/>
            </w:tcBorders>
            <w:shd w:val="clear" w:color="auto" w:fill="auto"/>
            <w:noWrap/>
            <w:vAlign w:val="center"/>
            <w:hideMark/>
          </w:tcPr>
          <w:p w14:paraId="2DCACBF5" w14:textId="77777777" w:rsidR="00E66F49" w:rsidRPr="00666914" w:rsidRDefault="00E66F49" w:rsidP="00DF6018">
            <w:pPr>
              <w:spacing w:after="0"/>
              <w:jc w:val="center"/>
              <w:rPr>
                <w:rFonts w:eastAsia="Times New Roman" w:cs="Calibri"/>
                <w:b/>
                <w:bCs/>
                <w:color w:val="000000"/>
                <w:sz w:val="20"/>
                <w:szCs w:val="18"/>
                <w:lang w:eastAsia="sk-SK"/>
              </w:rPr>
            </w:pPr>
            <w:r w:rsidRPr="00666914">
              <w:rPr>
                <w:rFonts w:eastAsia="Times New Roman" w:cs="Calibri"/>
                <w:b/>
                <w:bCs/>
                <w:color w:val="000000"/>
                <w:sz w:val="20"/>
                <w:szCs w:val="18"/>
                <w:lang w:eastAsia="sk-SK"/>
              </w:rPr>
              <w:t>10%</w:t>
            </w:r>
          </w:p>
        </w:tc>
      </w:tr>
      <w:tr w:rsidR="00E66F49" w:rsidRPr="00666914" w14:paraId="7A2D1741" w14:textId="77777777" w:rsidTr="00DF6018">
        <w:trPr>
          <w:trHeight w:val="255"/>
        </w:trPr>
        <w:tc>
          <w:tcPr>
            <w:tcW w:w="1770" w:type="pct"/>
            <w:tcBorders>
              <w:top w:val="nil"/>
              <w:left w:val="nil"/>
              <w:bottom w:val="nil"/>
              <w:right w:val="nil"/>
            </w:tcBorders>
            <w:shd w:val="clear" w:color="auto" w:fill="auto"/>
            <w:noWrap/>
            <w:vAlign w:val="center"/>
            <w:hideMark/>
          </w:tcPr>
          <w:p w14:paraId="77AFAE42" w14:textId="77777777" w:rsidR="00E66F49" w:rsidRPr="00666914" w:rsidRDefault="00E66F49" w:rsidP="00D27F91">
            <w:pPr>
              <w:spacing w:after="0"/>
              <w:jc w:val="left"/>
              <w:rPr>
                <w:rFonts w:eastAsia="Times New Roman" w:cs="Calibri"/>
                <w:color w:val="000000"/>
                <w:sz w:val="20"/>
                <w:szCs w:val="18"/>
                <w:lang w:eastAsia="sk-SK"/>
              </w:rPr>
            </w:pPr>
            <w:r w:rsidRPr="00666914">
              <w:rPr>
                <w:rFonts w:eastAsia="Times New Roman" w:cs="Calibri"/>
                <w:color w:val="000000"/>
                <w:sz w:val="20"/>
                <w:szCs w:val="18"/>
                <w:lang w:eastAsia="sk-SK"/>
              </w:rPr>
              <w:t>UoZ, ktorí predčasne ukončili poradenský proces</w:t>
            </w:r>
          </w:p>
        </w:tc>
        <w:tc>
          <w:tcPr>
            <w:tcW w:w="385" w:type="pct"/>
            <w:tcBorders>
              <w:top w:val="nil"/>
              <w:left w:val="nil"/>
              <w:bottom w:val="nil"/>
              <w:right w:val="nil"/>
            </w:tcBorders>
            <w:shd w:val="clear" w:color="auto" w:fill="auto"/>
            <w:noWrap/>
            <w:vAlign w:val="center"/>
            <w:hideMark/>
          </w:tcPr>
          <w:p w14:paraId="29BD22DF" w14:textId="77777777" w:rsidR="00E66F49" w:rsidRPr="00666914" w:rsidRDefault="00E66F49" w:rsidP="00DF6018">
            <w:pPr>
              <w:spacing w:after="0"/>
              <w:jc w:val="center"/>
              <w:rPr>
                <w:rFonts w:eastAsia="Times New Roman" w:cs="Calibri"/>
                <w:color w:val="000000"/>
                <w:sz w:val="20"/>
                <w:szCs w:val="18"/>
                <w:lang w:eastAsia="sk-SK"/>
              </w:rPr>
            </w:pPr>
            <w:r w:rsidRPr="00666914">
              <w:rPr>
                <w:rFonts w:eastAsia="Times New Roman" w:cs="Calibri"/>
                <w:color w:val="000000"/>
                <w:sz w:val="20"/>
                <w:szCs w:val="18"/>
                <w:lang w:eastAsia="sk-SK"/>
              </w:rPr>
              <w:t>2 742</w:t>
            </w:r>
          </w:p>
        </w:tc>
        <w:tc>
          <w:tcPr>
            <w:tcW w:w="660" w:type="pct"/>
            <w:tcBorders>
              <w:top w:val="nil"/>
              <w:left w:val="nil"/>
              <w:bottom w:val="nil"/>
              <w:right w:val="nil"/>
            </w:tcBorders>
            <w:shd w:val="clear" w:color="auto" w:fill="auto"/>
            <w:noWrap/>
            <w:vAlign w:val="center"/>
            <w:hideMark/>
          </w:tcPr>
          <w:p w14:paraId="57EF9974" w14:textId="77777777" w:rsidR="00E66F49" w:rsidRPr="00666914" w:rsidRDefault="00E66F49" w:rsidP="00DF6018">
            <w:pPr>
              <w:spacing w:after="0"/>
              <w:jc w:val="center"/>
              <w:rPr>
                <w:rFonts w:eastAsia="Times New Roman" w:cs="Calibri"/>
                <w:color w:val="000000"/>
                <w:sz w:val="20"/>
                <w:szCs w:val="18"/>
                <w:lang w:eastAsia="sk-SK"/>
              </w:rPr>
            </w:pPr>
            <w:r w:rsidRPr="00666914">
              <w:rPr>
                <w:rFonts w:eastAsia="Times New Roman" w:cs="Calibri"/>
                <w:color w:val="000000"/>
                <w:sz w:val="20"/>
                <w:szCs w:val="18"/>
                <w:lang w:eastAsia="sk-SK"/>
              </w:rPr>
              <w:t>12%</w:t>
            </w:r>
          </w:p>
        </w:tc>
        <w:tc>
          <w:tcPr>
            <w:tcW w:w="991" w:type="pct"/>
            <w:tcBorders>
              <w:top w:val="nil"/>
              <w:left w:val="nil"/>
              <w:bottom w:val="nil"/>
              <w:right w:val="nil"/>
            </w:tcBorders>
            <w:shd w:val="clear" w:color="auto" w:fill="auto"/>
            <w:noWrap/>
            <w:vAlign w:val="center"/>
            <w:hideMark/>
          </w:tcPr>
          <w:p w14:paraId="1DDEEC2E" w14:textId="77777777" w:rsidR="00E66F49" w:rsidRPr="00666914" w:rsidRDefault="00E66F49" w:rsidP="00DF6018">
            <w:pPr>
              <w:spacing w:after="0"/>
              <w:jc w:val="center"/>
              <w:rPr>
                <w:rFonts w:eastAsia="Times New Roman" w:cs="Calibri"/>
                <w:b/>
                <w:bCs/>
                <w:color w:val="000000"/>
                <w:sz w:val="20"/>
                <w:szCs w:val="18"/>
                <w:lang w:eastAsia="sk-SK"/>
              </w:rPr>
            </w:pPr>
            <w:r w:rsidRPr="00666914">
              <w:rPr>
                <w:rFonts w:eastAsia="Times New Roman" w:cs="Calibri"/>
                <w:b/>
                <w:bCs/>
                <w:color w:val="000000"/>
                <w:sz w:val="20"/>
                <w:szCs w:val="18"/>
                <w:lang w:eastAsia="sk-SK"/>
              </w:rPr>
              <w:t>980</w:t>
            </w:r>
          </w:p>
        </w:tc>
        <w:tc>
          <w:tcPr>
            <w:tcW w:w="1194" w:type="pct"/>
            <w:tcBorders>
              <w:top w:val="nil"/>
              <w:left w:val="nil"/>
              <w:bottom w:val="nil"/>
              <w:right w:val="nil"/>
            </w:tcBorders>
            <w:shd w:val="clear" w:color="auto" w:fill="auto"/>
            <w:noWrap/>
            <w:vAlign w:val="center"/>
            <w:hideMark/>
          </w:tcPr>
          <w:p w14:paraId="0C176FEA" w14:textId="77777777" w:rsidR="00E66F49" w:rsidRPr="00666914" w:rsidRDefault="00E66F49" w:rsidP="00DF6018">
            <w:pPr>
              <w:spacing w:after="0"/>
              <w:jc w:val="center"/>
              <w:rPr>
                <w:rFonts w:eastAsia="Times New Roman" w:cs="Calibri"/>
                <w:b/>
                <w:bCs/>
                <w:color w:val="000000"/>
                <w:sz w:val="20"/>
                <w:szCs w:val="18"/>
                <w:lang w:eastAsia="sk-SK"/>
              </w:rPr>
            </w:pPr>
            <w:r w:rsidRPr="00666914">
              <w:rPr>
                <w:rFonts w:eastAsia="Times New Roman" w:cs="Calibri"/>
                <w:b/>
                <w:bCs/>
                <w:color w:val="000000"/>
                <w:sz w:val="20"/>
                <w:szCs w:val="18"/>
                <w:lang w:eastAsia="sk-SK"/>
              </w:rPr>
              <w:t>36%</w:t>
            </w:r>
          </w:p>
        </w:tc>
      </w:tr>
      <w:tr w:rsidR="00E66F49" w:rsidRPr="00666914" w14:paraId="561DAA42" w14:textId="77777777" w:rsidTr="00DF6018">
        <w:trPr>
          <w:trHeight w:val="255"/>
        </w:trPr>
        <w:tc>
          <w:tcPr>
            <w:tcW w:w="1770" w:type="pct"/>
            <w:tcBorders>
              <w:top w:val="nil"/>
              <w:left w:val="nil"/>
              <w:bottom w:val="nil"/>
              <w:right w:val="nil"/>
            </w:tcBorders>
            <w:shd w:val="clear" w:color="auto" w:fill="auto"/>
            <w:noWrap/>
            <w:vAlign w:val="center"/>
            <w:hideMark/>
          </w:tcPr>
          <w:p w14:paraId="2EE2221C" w14:textId="77777777" w:rsidR="00E66F49" w:rsidRPr="00666914" w:rsidRDefault="00E66F49" w:rsidP="00D27F91">
            <w:pPr>
              <w:spacing w:after="0"/>
              <w:jc w:val="left"/>
              <w:rPr>
                <w:rFonts w:eastAsia="Times New Roman" w:cs="Calibri"/>
                <w:color w:val="000000"/>
                <w:sz w:val="20"/>
                <w:szCs w:val="18"/>
                <w:lang w:eastAsia="sk-SK"/>
              </w:rPr>
            </w:pPr>
            <w:r w:rsidRPr="00666914">
              <w:rPr>
                <w:rFonts w:eastAsia="Times New Roman" w:cs="Calibri"/>
                <w:color w:val="000000"/>
                <w:sz w:val="20"/>
                <w:szCs w:val="18"/>
                <w:lang w:eastAsia="sk-SK"/>
              </w:rPr>
              <w:t>UoZ, ktorí poradenský proces aktuálne absolvujú (zaradení do 31.12.2019)</w:t>
            </w:r>
          </w:p>
        </w:tc>
        <w:tc>
          <w:tcPr>
            <w:tcW w:w="385" w:type="pct"/>
            <w:tcBorders>
              <w:top w:val="nil"/>
              <w:left w:val="nil"/>
              <w:bottom w:val="nil"/>
              <w:right w:val="nil"/>
            </w:tcBorders>
            <w:shd w:val="clear" w:color="auto" w:fill="auto"/>
            <w:noWrap/>
            <w:vAlign w:val="center"/>
            <w:hideMark/>
          </w:tcPr>
          <w:p w14:paraId="34434BA3" w14:textId="77777777" w:rsidR="00E66F49" w:rsidRPr="00666914" w:rsidRDefault="00E66F49" w:rsidP="00DF6018">
            <w:pPr>
              <w:spacing w:after="0"/>
              <w:jc w:val="center"/>
              <w:rPr>
                <w:rFonts w:eastAsia="Times New Roman" w:cs="Calibri"/>
                <w:color w:val="000000"/>
                <w:sz w:val="20"/>
                <w:szCs w:val="18"/>
                <w:lang w:eastAsia="sk-SK"/>
              </w:rPr>
            </w:pPr>
            <w:r w:rsidRPr="00666914">
              <w:rPr>
                <w:rFonts w:eastAsia="Times New Roman" w:cs="Calibri"/>
                <w:color w:val="000000"/>
                <w:sz w:val="20"/>
                <w:szCs w:val="18"/>
                <w:lang w:eastAsia="sk-SK"/>
              </w:rPr>
              <w:t>2 891</w:t>
            </w:r>
          </w:p>
        </w:tc>
        <w:tc>
          <w:tcPr>
            <w:tcW w:w="660" w:type="pct"/>
            <w:tcBorders>
              <w:top w:val="nil"/>
              <w:left w:val="nil"/>
              <w:bottom w:val="nil"/>
              <w:right w:val="nil"/>
            </w:tcBorders>
            <w:shd w:val="clear" w:color="auto" w:fill="auto"/>
            <w:noWrap/>
            <w:vAlign w:val="center"/>
            <w:hideMark/>
          </w:tcPr>
          <w:p w14:paraId="14B9804A" w14:textId="77777777" w:rsidR="00E66F49" w:rsidRPr="00666914" w:rsidRDefault="00E66F49" w:rsidP="00DF6018">
            <w:pPr>
              <w:spacing w:after="0"/>
              <w:jc w:val="center"/>
              <w:rPr>
                <w:rFonts w:eastAsia="Times New Roman" w:cs="Calibri"/>
                <w:color w:val="000000"/>
                <w:sz w:val="20"/>
                <w:szCs w:val="18"/>
                <w:lang w:eastAsia="sk-SK"/>
              </w:rPr>
            </w:pPr>
            <w:r w:rsidRPr="00666914">
              <w:rPr>
                <w:rFonts w:eastAsia="Times New Roman" w:cs="Calibri"/>
                <w:color w:val="000000"/>
                <w:sz w:val="20"/>
                <w:szCs w:val="18"/>
                <w:lang w:eastAsia="sk-SK"/>
              </w:rPr>
              <w:t>13%</w:t>
            </w:r>
          </w:p>
        </w:tc>
        <w:tc>
          <w:tcPr>
            <w:tcW w:w="991" w:type="pct"/>
            <w:tcBorders>
              <w:top w:val="nil"/>
              <w:left w:val="nil"/>
              <w:bottom w:val="nil"/>
              <w:right w:val="nil"/>
            </w:tcBorders>
            <w:shd w:val="clear" w:color="auto" w:fill="auto"/>
            <w:noWrap/>
            <w:vAlign w:val="center"/>
            <w:hideMark/>
          </w:tcPr>
          <w:p w14:paraId="2B7B42B8" w14:textId="77777777" w:rsidR="00E66F49" w:rsidRPr="00666914" w:rsidRDefault="00E66F49" w:rsidP="00DF6018">
            <w:pPr>
              <w:spacing w:after="0"/>
              <w:jc w:val="center"/>
              <w:rPr>
                <w:rFonts w:eastAsia="Times New Roman" w:cs="Calibri"/>
                <w:color w:val="000000"/>
                <w:sz w:val="20"/>
                <w:szCs w:val="18"/>
                <w:lang w:eastAsia="sk-SK"/>
              </w:rPr>
            </w:pPr>
          </w:p>
        </w:tc>
        <w:tc>
          <w:tcPr>
            <w:tcW w:w="1194" w:type="pct"/>
            <w:tcBorders>
              <w:top w:val="nil"/>
              <w:left w:val="nil"/>
              <w:bottom w:val="nil"/>
              <w:right w:val="nil"/>
            </w:tcBorders>
            <w:shd w:val="clear" w:color="auto" w:fill="auto"/>
            <w:noWrap/>
            <w:vAlign w:val="center"/>
            <w:hideMark/>
          </w:tcPr>
          <w:p w14:paraId="32BB4A49" w14:textId="77777777" w:rsidR="00E66F49" w:rsidRPr="00666914" w:rsidRDefault="00E66F49" w:rsidP="00DF6018">
            <w:pPr>
              <w:spacing w:after="0"/>
              <w:jc w:val="center"/>
              <w:rPr>
                <w:rFonts w:ascii="Times New Roman" w:eastAsia="Times New Roman" w:hAnsi="Times New Roman"/>
                <w:sz w:val="20"/>
                <w:szCs w:val="18"/>
                <w:lang w:eastAsia="sk-SK"/>
              </w:rPr>
            </w:pPr>
          </w:p>
        </w:tc>
      </w:tr>
      <w:tr w:rsidR="00E66F49" w:rsidRPr="00666914" w14:paraId="164A990F" w14:textId="77777777" w:rsidTr="00DF6018">
        <w:trPr>
          <w:trHeight w:val="255"/>
        </w:trPr>
        <w:tc>
          <w:tcPr>
            <w:tcW w:w="1770" w:type="pct"/>
            <w:tcBorders>
              <w:top w:val="single" w:sz="4" w:space="0" w:color="auto"/>
              <w:left w:val="nil"/>
              <w:bottom w:val="single" w:sz="4" w:space="0" w:color="auto"/>
              <w:right w:val="nil"/>
            </w:tcBorders>
            <w:shd w:val="clear" w:color="auto" w:fill="auto"/>
            <w:noWrap/>
            <w:vAlign w:val="bottom"/>
            <w:hideMark/>
          </w:tcPr>
          <w:p w14:paraId="4B199AB7" w14:textId="77777777" w:rsidR="00E66F49" w:rsidRPr="00666914" w:rsidRDefault="00E66F49" w:rsidP="00D27F91">
            <w:pPr>
              <w:spacing w:after="0"/>
              <w:jc w:val="left"/>
              <w:rPr>
                <w:rFonts w:eastAsia="Times New Roman" w:cs="Calibri"/>
                <w:color w:val="000000"/>
                <w:sz w:val="20"/>
                <w:szCs w:val="18"/>
                <w:lang w:eastAsia="sk-SK"/>
              </w:rPr>
            </w:pPr>
            <w:r w:rsidRPr="00666914">
              <w:rPr>
                <w:rFonts w:eastAsia="Times New Roman" w:cs="Calibri"/>
                <w:color w:val="000000"/>
                <w:sz w:val="20"/>
                <w:szCs w:val="18"/>
                <w:lang w:eastAsia="sk-SK"/>
              </w:rPr>
              <w:t>UoZ spolu</w:t>
            </w:r>
          </w:p>
        </w:tc>
        <w:tc>
          <w:tcPr>
            <w:tcW w:w="385" w:type="pct"/>
            <w:tcBorders>
              <w:top w:val="single" w:sz="4" w:space="0" w:color="auto"/>
              <w:left w:val="nil"/>
              <w:bottom w:val="single" w:sz="4" w:space="0" w:color="auto"/>
              <w:right w:val="nil"/>
            </w:tcBorders>
            <w:shd w:val="clear" w:color="auto" w:fill="auto"/>
            <w:noWrap/>
            <w:vAlign w:val="center"/>
            <w:hideMark/>
          </w:tcPr>
          <w:p w14:paraId="3051382C" w14:textId="77777777" w:rsidR="00E66F49" w:rsidRPr="00666914" w:rsidRDefault="00E66F49" w:rsidP="00DF6018">
            <w:pPr>
              <w:spacing w:after="0"/>
              <w:jc w:val="center"/>
              <w:rPr>
                <w:rFonts w:eastAsia="Times New Roman" w:cs="Calibri"/>
                <w:color w:val="000000"/>
                <w:sz w:val="20"/>
                <w:szCs w:val="18"/>
                <w:lang w:eastAsia="sk-SK"/>
              </w:rPr>
            </w:pPr>
            <w:r w:rsidRPr="00666914">
              <w:rPr>
                <w:rFonts w:eastAsia="Times New Roman" w:cs="Calibri"/>
                <w:color w:val="000000"/>
                <w:sz w:val="20"/>
                <w:szCs w:val="18"/>
                <w:lang w:eastAsia="sk-SK"/>
              </w:rPr>
              <w:t>23 128</w:t>
            </w:r>
          </w:p>
        </w:tc>
        <w:tc>
          <w:tcPr>
            <w:tcW w:w="660" w:type="pct"/>
            <w:tcBorders>
              <w:top w:val="single" w:sz="4" w:space="0" w:color="auto"/>
              <w:left w:val="nil"/>
              <w:bottom w:val="single" w:sz="4" w:space="0" w:color="auto"/>
              <w:right w:val="nil"/>
            </w:tcBorders>
            <w:shd w:val="clear" w:color="auto" w:fill="auto"/>
            <w:noWrap/>
            <w:vAlign w:val="center"/>
            <w:hideMark/>
          </w:tcPr>
          <w:p w14:paraId="36E4B3B8" w14:textId="77777777" w:rsidR="00E66F49" w:rsidRPr="00666914" w:rsidRDefault="00E66F49" w:rsidP="00DF6018">
            <w:pPr>
              <w:spacing w:after="0"/>
              <w:jc w:val="center"/>
              <w:rPr>
                <w:rFonts w:eastAsia="Times New Roman" w:cs="Calibri"/>
                <w:color w:val="000000"/>
                <w:sz w:val="20"/>
                <w:szCs w:val="18"/>
                <w:lang w:eastAsia="sk-SK"/>
              </w:rPr>
            </w:pPr>
            <w:r w:rsidRPr="00666914">
              <w:rPr>
                <w:rFonts w:eastAsia="Times New Roman" w:cs="Calibri"/>
                <w:color w:val="000000"/>
                <w:sz w:val="20"/>
                <w:szCs w:val="18"/>
                <w:lang w:eastAsia="sk-SK"/>
              </w:rPr>
              <w:t>100%</w:t>
            </w:r>
          </w:p>
        </w:tc>
        <w:tc>
          <w:tcPr>
            <w:tcW w:w="991" w:type="pct"/>
            <w:tcBorders>
              <w:top w:val="single" w:sz="4" w:space="0" w:color="auto"/>
              <w:left w:val="nil"/>
              <w:bottom w:val="single" w:sz="4" w:space="0" w:color="auto"/>
              <w:right w:val="nil"/>
            </w:tcBorders>
            <w:shd w:val="clear" w:color="auto" w:fill="auto"/>
            <w:noWrap/>
            <w:vAlign w:val="center"/>
            <w:hideMark/>
          </w:tcPr>
          <w:p w14:paraId="7ECF7B79" w14:textId="77777777" w:rsidR="00E66F49" w:rsidRPr="00666914" w:rsidRDefault="00E66F49" w:rsidP="00DF6018">
            <w:pPr>
              <w:spacing w:after="0"/>
              <w:jc w:val="center"/>
              <w:rPr>
                <w:rFonts w:eastAsia="Times New Roman" w:cs="Calibri"/>
                <w:b/>
                <w:bCs/>
                <w:color w:val="000000"/>
                <w:sz w:val="20"/>
                <w:szCs w:val="18"/>
                <w:lang w:eastAsia="sk-SK"/>
              </w:rPr>
            </w:pPr>
            <w:r w:rsidRPr="00666914">
              <w:rPr>
                <w:rFonts w:eastAsia="Times New Roman" w:cs="Calibri"/>
                <w:b/>
                <w:bCs/>
                <w:color w:val="000000"/>
                <w:sz w:val="20"/>
                <w:szCs w:val="18"/>
                <w:lang w:eastAsia="sk-SK"/>
              </w:rPr>
              <w:t>2 682</w:t>
            </w:r>
          </w:p>
        </w:tc>
        <w:tc>
          <w:tcPr>
            <w:tcW w:w="1194" w:type="pct"/>
            <w:tcBorders>
              <w:top w:val="single" w:sz="4" w:space="0" w:color="auto"/>
              <w:left w:val="nil"/>
              <w:bottom w:val="single" w:sz="4" w:space="0" w:color="auto"/>
              <w:right w:val="nil"/>
            </w:tcBorders>
            <w:shd w:val="clear" w:color="auto" w:fill="auto"/>
            <w:noWrap/>
            <w:vAlign w:val="center"/>
            <w:hideMark/>
          </w:tcPr>
          <w:p w14:paraId="78C0C4CB" w14:textId="77777777" w:rsidR="00E66F49" w:rsidRPr="00666914" w:rsidRDefault="00E66F49" w:rsidP="00DF6018">
            <w:pPr>
              <w:spacing w:after="0"/>
              <w:jc w:val="center"/>
              <w:rPr>
                <w:rFonts w:eastAsia="Times New Roman" w:cs="Calibri"/>
                <w:b/>
                <w:bCs/>
                <w:color w:val="000000"/>
                <w:sz w:val="20"/>
                <w:szCs w:val="18"/>
                <w:lang w:eastAsia="sk-SK"/>
              </w:rPr>
            </w:pPr>
            <w:r w:rsidRPr="00666914">
              <w:rPr>
                <w:rFonts w:eastAsia="Times New Roman" w:cs="Calibri"/>
                <w:b/>
                <w:bCs/>
                <w:color w:val="000000"/>
                <w:sz w:val="20"/>
                <w:szCs w:val="18"/>
                <w:lang w:eastAsia="sk-SK"/>
              </w:rPr>
              <w:t>13%</w:t>
            </w:r>
          </w:p>
        </w:tc>
      </w:tr>
      <w:tr w:rsidR="00E66F49" w:rsidRPr="00666914" w14:paraId="45424BAC" w14:textId="77777777" w:rsidTr="00DF6018">
        <w:trPr>
          <w:trHeight w:val="300"/>
        </w:trPr>
        <w:tc>
          <w:tcPr>
            <w:tcW w:w="1770" w:type="pct"/>
            <w:tcBorders>
              <w:top w:val="nil"/>
              <w:left w:val="nil"/>
              <w:bottom w:val="nil"/>
              <w:right w:val="nil"/>
            </w:tcBorders>
            <w:shd w:val="clear" w:color="auto" w:fill="auto"/>
            <w:noWrap/>
            <w:vAlign w:val="bottom"/>
            <w:hideMark/>
          </w:tcPr>
          <w:p w14:paraId="46DE8AEC" w14:textId="77777777" w:rsidR="00E66F49" w:rsidRPr="00666914" w:rsidRDefault="00E66F49" w:rsidP="00D27F91">
            <w:pPr>
              <w:spacing w:after="0"/>
              <w:jc w:val="right"/>
              <w:rPr>
                <w:rFonts w:eastAsia="Times New Roman" w:cs="Calibri"/>
                <w:b/>
                <w:bCs/>
                <w:color w:val="000000"/>
                <w:sz w:val="20"/>
                <w:szCs w:val="18"/>
                <w:lang w:eastAsia="sk-SK"/>
              </w:rPr>
            </w:pPr>
          </w:p>
        </w:tc>
        <w:tc>
          <w:tcPr>
            <w:tcW w:w="385" w:type="pct"/>
            <w:tcBorders>
              <w:top w:val="nil"/>
              <w:left w:val="nil"/>
              <w:bottom w:val="nil"/>
              <w:right w:val="nil"/>
            </w:tcBorders>
            <w:shd w:val="clear" w:color="auto" w:fill="auto"/>
            <w:noWrap/>
            <w:vAlign w:val="center"/>
            <w:hideMark/>
          </w:tcPr>
          <w:p w14:paraId="62845B98" w14:textId="77777777" w:rsidR="00E66F49" w:rsidRPr="00666914" w:rsidRDefault="00E66F49" w:rsidP="00DF6018">
            <w:pPr>
              <w:spacing w:after="0"/>
              <w:jc w:val="center"/>
              <w:rPr>
                <w:rFonts w:ascii="Times New Roman" w:eastAsia="Times New Roman" w:hAnsi="Times New Roman"/>
                <w:sz w:val="20"/>
                <w:szCs w:val="18"/>
                <w:lang w:eastAsia="sk-SK"/>
              </w:rPr>
            </w:pPr>
          </w:p>
        </w:tc>
        <w:tc>
          <w:tcPr>
            <w:tcW w:w="660" w:type="pct"/>
            <w:tcBorders>
              <w:top w:val="nil"/>
              <w:left w:val="nil"/>
              <w:bottom w:val="nil"/>
              <w:right w:val="nil"/>
            </w:tcBorders>
            <w:shd w:val="clear" w:color="auto" w:fill="auto"/>
            <w:noWrap/>
            <w:vAlign w:val="center"/>
            <w:hideMark/>
          </w:tcPr>
          <w:p w14:paraId="0ABACA96" w14:textId="77777777" w:rsidR="00E66F49" w:rsidRPr="00666914" w:rsidRDefault="00E66F49" w:rsidP="00DF6018">
            <w:pPr>
              <w:spacing w:after="0"/>
              <w:jc w:val="center"/>
              <w:rPr>
                <w:rFonts w:ascii="Times New Roman" w:eastAsia="Times New Roman" w:hAnsi="Times New Roman"/>
                <w:sz w:val="20"/>
                <w:szCs w:val="18"/>
                <w:lang w:eastAsia="sk-SK"/>
              </w:rPr>
            </w:pPr>
          </w:p>
        </w:tc>
        <w:tc>
          <w:tcPr>
            <w:tcW w:w="991" w:type="pct"/>
            <w:tcBorders>
              <w:top w:val="nil"/>
              <w:left w:val="nil"/>
              <w:bottom w:val="nil"/>
              <w:right w:val="nil"/>
            </w:tcBorders>
            <w:shd w:val="clear" w:color="auto" w:fill="auto"/>
            <w:noWrap/>
            <w:vAlign w:val="center"/>
            <w:hideMark/>
          </w:tcPr>
          <w:p w14:paraId="3AFA9357" w14:textId="77777777" w:rsidR="00E66F49" w:rsidRPr="00666914" w:rsidRDefault="00E66F49" w:rsidP="00DF6018">
            <w:pPr>
              <w:spacing w:after="0"/>
              <w:jc w:val="center"/>
              <w:rPr>
                <w:rFonts w:ascii="Times New Roman" w:eastAsia="Times New Roman" w:hAnsi="Times New Roman"/>
                <w:sz w:val="20"/>
                <w:szCs w:val="18"/>
                <w:lang w:eastAsia="sk-SK"/>
              </w:rPr>
            </w:pPr>
          </w:p>
        </w:tc>
        <w:tc>
          <w:tcPr>
            <w:tcW w:w="1194" w:type="pct"/>
            <w:tcBorders>
              <w:top w:val="nil"/>
              <w:left w:val="nil"/>
              <w:bottom w:val="nil"/>
              <w:right w:val="nil"/>
            </w:tcBorders>
            <w:shd w:val="clear" w:color="auto" w:fill="auto"/>
            <w:noWrap/>
            <w:vAlign w:val="center"/>
            <w:hideMark/>
          </w:tcPr>
          <w:p w14:paraId="39F348F2" w14:textId="77777777" w:rsidR="00E66F49" w:rsidRPr="00666914" w:rsidRDefault="00E66F49" w:rsidP="00DF6018">
            <w:pPr>
              <w:spacing w:after="0"/>
              <w:jc w:val="center"/>
              <w:rPr>
                <w:rFonts w:ascii="Times New Roman" w:eastAsia="Times New Roman" w:hAnsi="Times New Roman"/>
                <w:sz w:val="20"/>
                <w:szCs w:val="18"/>
                <w:lang w:eastAsia="sk-SK"/>
              </w:rPr>
            </w:pPr>
          </w:p>
        </w:tc>
      </w:tr>
      <w:tr w:rsidR="00E66F49" w:rsidRPr="00666914" w14:paraId="3AEB5E30" w14:textId="77777777" w:rsidTr="00DF6018">
        <w:trPr>
          <w:trHeight w:val="255"/>
        </w:trPr>
        <w:tc>
          <w:tcPr>
            <w:tcW w:w="1770" w:type="pct"/>
            <w:tcBorders>
              <w:top w:val="single" w:sz="4" w:space="0" w:color="auto"/>
              <w:left w:val="nil"/>
              <w:bottom w:val="single" w:sz="4" w:space="0" w:color="auto"/>
              <w:right w:val="nil"/>
            </w:tcBorders>
            <w:shd w:val="clear" w:color="auto" w:fill="auto"/>
            <w:noWrap/>
            <w:vAlign w:val="bottom"/>
            <w:hideMark/>
          </w:tcPr>
          <w:p w14:paraId="1B5DE492" w14:textId="77777777" w:rsidR="00E66F49" w:rsidRPr="00666914" w:rsidRDefault="00E66F49" w:rsidP="00D27F91">
            <w:pPr>
              <w:spacing w:after="0"/>
              <w:jc w:val="left"/>
              <w:rPr>
                <w:rFonts w:eastAsia="Times New Roman" w:cs="Calibri"/>
                <w:b/>
                <w:bCs/>
                <w:color w:val="000000"/>
                <w:sz w:val="20"/>
                <w:szCs w:val="18"/>
                <w:lang w:eastAsia="sk-SK"/>
              </w:rPr>
            </w:pPr>
            <w:r w:rsidRPr="00666914">
              <w:rPr>
                <w:rFonts w:eastAsia="Times New Roman" w:cs="Calibri"/>
                <w:b/>
                <w:bCs/>
                <w:color w:val="000000"/>
                <w:sz w:val="20"/>
                <w:szCs w:val="18"/>
                <w:lang w:eastAsia="sk-SK"/>
              </w:rPr>
              <w:t>Cieľový celkový počet UoZ počas obdobia 09/2017 - 08/2021</w:t>
            </w:r>
          </w:p>
        </w:tc>
        <w:tc>
          <w:tcPr>
            <w:tcW w:w="385" w:type="pct"/>
            <w:tcBorders>
              <w:top w:val="single" w:sz="4" w:space="0" w:color="auto"/>
              <w:left w:val="nil"/>
              <w:bottom w:val="single" w:sz="4" w:space="0" w:color="auto"/>
              <w:right w:val="nil"/>
            </w:tcBorders>
            <w:shd w:val="clear" w:color="auto" w:fill="auto"/>
            <w:noWrap/>
            <w:vAlign w:val="center"/>
            <w:hideMark/>
          </w:tcPr>
          <w:p w14:paraId="7C167BC5" w14:textId="77777777" w:rsidR="00E66F49" w:rsidRPr="00666914" w:rsidRDefault="00E66F49" w:rsidP="00DF6018">
            <w:pPr>
              <w:spacing w:after="0"/>
              <w:jc w:val="center"/>
              <w:rPr>
                <w:rFonts w:eastAsia="Times New Roman" w:cs="Calibri"/>
                <w:b/>
                <w:bCs/>
                <w:color w:val="000000"/>
                <w:sz w:val="20"/>
                <w:szCs w:val="18"/>
                <w:lang w:eastAsia="sk-SK"/>
              </w:rPr>
            </w:pPr>
            <w:r w:rsidRPr="00666914">
              <w:rPr>
                <w:rFonts w:eastAsia="Times New Roman" w:cs="Calibri"/>
                <w:b/>
                <w:bCs/>
                <w:color w:val="000000"/>
                <w:sz w:val="20"/>
                <w:szCs w:val="18"/>
                <w:lang w:eastAsia="sk-SK"/>
              </w:rPr>
              <w:t>50 000</w:t>
            </w:r>
          </w:p>
        </w:tc>
        <w:tc>
          <w:tcPr>
            <w:tcW w:w="660" w:type="pct"/>
            <w:tcBorders>
              <w:top w:val="single" w:sz="4" w:space="0" w:color="auto"/>
              <w:left w:val="nil"/>
              <w:bottom w:val="single" w:sz="4" w:space="0" w:color="auto"/>
              <w:right w:val="nil"/>
            </w:tcBorders>
            <w:shd w:val="clear" w:color="auto" w:fill="auto"/>
            <w:noWrap/>
            <w:vAlign w:val="center"/>
            <w:hideMark/>
          </w:tcPr>
          <w:p w14:paraId="05972064" w14:textId="77777777" w:rsidR="00E66F49" w:rsidRPr="00666914" w:rsidRDefault="00E66F49" w:rsidP="00DF6018">
            <w:pPr>
              <w:spacing w:after="0"/>
              <w:jc w:val="center"/>
              <w:rPr>
                <w:rFonts w:eastAsia="Times New Roman" w:cs="Calibri"/>
                <w:b/>
                <w:bCs/>
                <w:color w:val="000000"/>
                <w:sz w:val="20"/>
                <w:szCs w:val="18"/>
                <w:lang w:eastAsia="sk-SK"/>
              </w:rPr>
            </w:pPr>
            <w:r w:rsidRPr="00666914">
              <w:rPr>
                <w:rFonts w:eastAsia="Times New Roman" w:cs="Calibri"/>
                <w:b/>
                <w:bCs/>
                <w:color w:val="000000"/>
                <w:sz w:val="20"/>
                <w:szCs w:val="18"/>
                <w:lang w:eastAsia="sk-SK"/>
              </w:rPr>
              <w:t>46%</w:t>
            </w:r>
          </w:p>
        </w:tc>
        <w:tc>
          <w:tcPr>
            <w:tcW w:w="991" w:type="pct"/>
            <w:tcBorders>
              <w:top w:val="single" w:sz="4" w:space="0" w:color="auto"/>
              <w:left w:val="nil"/>
              <w:bottom w:val="single" w:sz="4" w:space="0" w:color="auto"/>
              <w:right w:val="nil"/>
            </w:tcBorders>
            <w:shd w:val="clear" w:color="auto" w:fill="auto"/>
            <w:noWrap/>
            <w:vAlign w:val="center"/>
            <w:hideMark/>
          </w:tcPr>
          <w:p w14:paraId="11C25E7E" w14:textId="1DE63AD6" w:rsidR="00E66F49" w:rsidRPr="00666914" w:rsidRDefault="00E66F49" w:rsidP="00DF6018">
            <w:pPr>
              <w:spacing w:after="0"/>
              <w:jc w:val="center"/>
              <w:rPr>
                <w:rFonts w:eastAsia="Times New Roman" w:cs="Calibri"/>
                <w:b/>
                <w:bCs/>
                <w:color w:val="000000"/>
                <w:sz w:val="20"/>
                <w:szCs w:val="18"/>
                <w:lang w:eastAsia="sk-SK"/>
              </w:rPr>
            </w:pPr>
          </w:p>
        </w:tc>
        <w:tc>
          <w:tcPr>
            <w:tcW w:w="1194" w:type="pct"/>
            <w:tcBorders>
              <w:top w:val="single" w:sz="4" w:space="0" w:color="auto"/>
              <w:left w:val="nil"/>
              <w:bottom w:val="single" w:sz="4" w:space="0" w:color="auto"/>
              <w:right w:val="nil"/>
            </w:tcBorders>
            <w:shd w:val="clear" w:color="auto" w:fill="auto"/>
            <w:noWrap/>
            <w:vAlign w:val="center"/>
            <w:hideMark/>
          </w:tcPr>
          <w:p w14:paraId="68AFCA28" w14:textId="246BE2C2" w:rsidR="00E66F49" w:rsidRPr="00666914" w:rsidRDefault="00E66F49" w:rsidP="00DF6018">
            <w:pPr>
              <w:spacing w:after="0"/>
              <w:jc w:val="center"/>
              <w:rPr>
                <w:rFonts w:eastAsia="Times New Roman" w:cs="Calibri"/>
                <w:b/>
                <w:bCs/>
                <w:color w:val="000000"/>
                <w:sz w:val="20"/>
                <w:szCs w:val="18"/>
                <w:lang w:eastAsia="sk-SK"/>
              </w:rPr>
            </w:pPr>
          </w:p>
        </w:tc>
      </w:tr>
      <w:tr w:rsidR="00E66F49" w:rsidRPr="00666914" w14:paraId="67A4C54C" w14:textId="77777777" w:rsidTr="00DF6018">
        <w:trPr>
          <w:trHeight w:val="270"/>
        </w:trPr>
        <w:tc>
          <w:tcPr>
            <w:tcW w:w="1770" w:type="pct"/>
            <w:tcBorders>
              <w:top w:val="nil"/>
              <w:left w:val="nil"/>
              <w:bottom w:val="nil"/>
              <w:right w:val="nil"/>
            </w:tcBorders>
            <w:shd w:val="clear" w:color="auto" w:fill="auto"/>
            <w:noWrap/>
            <w:vAlign w:val="bottom"/>
            <w:hideMark/>
          </w:tcPr>
          <w:p w14:paraId="7289225D" w14:textId="77777777" w:rsidR="00E66F49" w:rsidRPr="00666914" w:rsidRDefault="00E66F49" w:rsidP="00D27F91">
            <w:pPr>
              <w:spacing w:after="0"/>
              <w:jc w:val="right"/>
              <w:rPr>
                <w:rFonts w:eastAsia="Times New Roman" w:cs="Calibri"/>
                <w:b/>
                <w:bCs/>
                <w:color w:val="000000"/>
                <w:sz w:val="20"/>
                <w:szCs w:val="20"/>
                <w:lang w:eastAsia="sk-SK"/>
              </w:rPr>
            </w:pPr>
          </w:p>
        </w:tc>
        <w:tc>
          <w:tcPr>
            <w:tcW w:w="385" w:type="pct"/>
            <w:tcBorders>
              <w:top w:val="nil"/>
              <w:left w:val="nil"/>
              <w:bottom w:val="nil"/>
              <w:right w:val="nil"/>
            </w:tcBorders>
            <w:shd w:val="clear" w:color="auto" w:fill="auto"/>
            <w:noWrap/>
            <w:vAlign w:val="bottom"/>
            <w:hideMark/>
          </w:tcPr>
          <w:p w14:paraId="11F83C34" w14:textId="77777777" w:rsidR="00E66F49" w:rsidRPr="00666914" w:rsidRDefault="00E66F49" w:rsidP="00D27F91">
            <w:pPr>
              <w:spacing w:after="0"/>
              <w:jc w:val="left"/>
              <w:rPr>
                <w:rFonts w:ascii="Times New Roman" w:eastAsia="Times New Roman" w:hAnsi="Times New Roman"/>
                <w:sz w:val="20"/>
                <w:szCs w:val="20"/>
                <w:lang w:eastAsia="sk-SK"/>
              </w:rPr>
            </w:pPr>
          </w:p>
        </w:tc>
        <w:tc>
          <w:tcPr>
            <w:tcW w:w="660" w:type="pct"/>
            <w:tcBorders>
              <w:top w:val="nil"/>
              <w:left w:val="nil"/>
              <w:bottom w:val="nil"/>
              <w:right w:val="nil"/>
            </w:tcBorders>
            <w:shd w:val="clear" w:color="auto" w:fill="auto"/>
            <w:noWrap/>
            <w:vAlign w:val="bottom"/>
            <w:hideMark/>
          </w:tcPr>
          <w:p w14:paraId="7B2A5873" w14:textId="77777777" w:rsidR="00E66F49" w:rsidRPr="00666914" w:rsidRDefault="00E66F49" w:rsidP="00D27F91">
            <w:pPr>
              <w:spacing w:after="0"/>
              <w:jc w:val="right"/>
              <w:rPr>
                <w:rFonts w:ascii="Times New Roman" w:eastAsia="Times New Roman" w:hAnsi="Times New Roman"/>
                <w:sz w:val="20"/>
                <w:szCs w:val="20"/>
                <w:lang w:eastAsia="sk-SK"/>
              </w:rPr>
            </w:pPr>
          </w:p>
        </w:tc>
        <w:tc>
          <w:tcPr>
            <w:tcW w:w="991" w:type="pct"/>
            <w:tcBorders>
              <w:top w:val="nil"/>
              <w:left w:val="nil"/>
              <w:bottom w:val="nil"/>
              <w:right w:val="nil"/>
            </w:tcBorders>
            <w:shd w:val="clear" w:color="auto" w:fill="auto"/>
            <w:noWrap/>
            <w:vAlign w:val="bottom"/>
            <w:hideMark/>
          </w:tcPr>
          <w:p w14:paraId="22903182" w14:textId="77777777" w:rsidR="00E66F49" w:rsidRPr="00666914" w:rsidRDefault="00E66F49" w:rsidP="00D27F91">
            <w:pPr>
              <w:spacing w:after="0"/>
              <w:jc w:val="right"/>
              <w:rPr>
                <w:rFonts w:ascii="Times New Roman" w:eastAsia="Times New Roman" w:hAnsi="Times New Roman"/>
                <w:sz w:val="20"/>
                <w:szCs w:val="20"/>
                <w:lang w:eastAsia="sk-SK"/>
              </w:rPr>
            </w:pPr>
          </w:p>
        </w:tc>
        <w:tc>
          <w:tcPr>
            <w:tcW w:w="1194" w:type="pct"/>
            <w:tcBorders>
              <w:top w:val="nil"/>
              <w:left w:val="nil"/>
              <w:bottom w:val="nil"/>
              <w:right w:val="nil"/>
            </w:tcBorders>
            <w:shd w:val="clear" w:color="auto" w:fill="auto"/>
            <w:noWrap/>
            <w:vAlign w:val="bottom"/>
            <w:hideMark/>
          </w:tcPr>
          <w:p w14:paraId="10C81A47" w14:textId="77777777" w:rsidR="00E66F49" w:rsidRPr="00666914" w:rsidRDefault="00E66F49" w:rsidP="00D27F91">
            <w:pPr>
              <w:spacing w:after="0"/>
              <w:jc w:val="right"/>
              <w:rPr>
                <w:rFonts w:eastAsia="Times New Roman" w:cs="Calibri"/>
                <w:i/>
                <w:iCs/>
                <w:color w:val="000000"/>
                <w:sz w:val="18"/>
                <w:szCs w:val="18"/>
                <w:lang w:eastAsia="sk-SK"/>
              </w:rPr>
            </w:pPr>
            <w:r w:rsidRPr="00666914">
              <w:rPr>
                <w:rFonts w:eastAsia="Times New Roman" w:cs="Calibri"/>
                <w:i/>
                <w:iCs/>
                <w:color w:val="000000"/>
                <w:sz w:val="18"/>
                <w:szCs w:val="18"/>
                <w:lang w:eastAsia="sk-SK"/>
              </w:rPr>
              <w:t>Zdroj: ÚPSVaR - ISSZ</w:t>
            </w:r>
          </w:p>
        </w:tc>
      </w:tr>
    </w:tbl>
    <w:p w14:paraId="3731D498" w14:textId="77777777" w:rsidR="00E66F49" w:rsidRPr="00666914" w:rsidRDefault="00E66F49" w:rsidP="00D27F91">
      <w:pPr>
        <w:spacing w:after="0"/>
      </w:pPr>
    </w:p>
    <w:p w14:paraId="0DB598D9" w14:textId="62A11C93" w:rsidR="00792867" w:rsidRPr="00666914" w:rsidRDefault="00E66F49" w:rsidP="00D27F91">
      <w:r w:rsidRPr="00666914">
        <w:rPr>
          <w:b/>
        </w:rPr>
        <w:t>Aktivita č.2 NP PIP predstavuje podporu individualizovaného poradenstva pre dlhodobo nezamestnaných uchádzačov o zamestnanie</w:t>
      </w:r>
      <w:r w:rsidRPr="00666914">
        <w:t>. Od začiatku spustenia projektu sa umiestnilo na trhu práce (do 6 mesiacov od ukončenia poradenského procesu) 2 682 uchádzačov, čo predstavuje 13 % z počtu UoZ, ktorí ukončili poradenský proces.</w:t>
      </w:r>
    </w:p>
    <w:p w14:paraId="5F39186D" w14:textId="77777777" w:rsidR="00792867" w:rsidRPr="00666914" w:rsidRDefault="00792867">
      <w:pPr>
        <w:spacing w:after="0"/>
        <w:jc w:val="left"/>
      </w:pPr>
      <w:r w:rsidRPr="00666914">
        <w:br w:type="page"/>
      </w:r>
    </w:p>
    <w:p w14:paraId="0AB57734" w14:textId="74051B89" w:rsidR="00E66F49" w:rsidRPr="00666914" w:rsidRDefault="00173DD5" w:rsidP="00173DD5">
      <w:pPr>
        <w:rPr>
          <w:b/>
          <w:i/>
        </w:rPr>
      </w:pPr>
      <w:r w:rsidRPr="00666914">
        <w:rPr>
          <w:b/>
        </w:rPr>
        <w:lastRenderedPageBreak/>
        <w:t xml:space="preserve">II. </w:t>
      </w:r>
      <w:r w:rsidR="00E66F49" w:rsidRPr="00666914">
        <w:rPr>
          <w:b/>
        </w:rPr>
        <w:t>NP Cesta na trh práce</w:t>
      </w:r>
      <w:r w:rsidR="00E66F49" w:rsidRPr="00666914">
        <w:rPr>
          <w:rStyle w:val="Odkaznapoznmkupodiarou"/>
          <w:b/>
        </w:rPr>
        <w:footnoteReference w:id="355"/>
      </w:r>
    </w:p>
    <w:tbl>
      <w:tblPr>
        <w:tblW w:w="5000" w:type="pct"/>
        <w:tblLayout w:type="fixed"/>
        <w:tblCellMar>
          <w:left w:w="70" w:type="dxa"/>
          <w:right w:w="70" w:type="dxa"/>
        </w:tblCellMar>
        <w:tblLook w:val="04A0" w:firstRow="1" w:lastRow="0" w:firstColumn="1" w:lastColumn="0" w:noHBand="0" w:noVBand="1"/>
      </w:tblPr>
      <w:tblGrid>
        <w:gridCol w:w="3313"/>
        <w:gridCol w:w="671"/>
        <w:gridCol w:w="48"/>
        <w:gridCol w:w="1166"/>
        <w:gridCol w:w="1823"/>
        <w:gridCol w:w="2193"/>
      </w:tblGrid>
      <w:tr w:rsidR="00E66F49" w:rsidRPr="00666914" w14:paraId="3FFFF7DF" w14:textId="77777777" w:rsidTr="00D27F91">
        <w:trPr>
          <w:trHeight w:val="255"/>
        </w:trPr>
        <w:tc>
          <w:tcPr>
            <w:tcW w:w="5000" w:type="pct"/>
            <w:gridSpan w:val="6"/>
            <w:tcBorders>
              <w:top w:val="nil"/>
              <w:left w:val="nil"/>
              <w:bottom w:val="nil"/>
              <w:right w:val="nil"/>
            </w:tcBorders>
            <w:shd w:val="clear" w:color="auto" w:fill="auto"/>
            <w:noWrap/>
            <w:vAlign w:val="center"/>
            <w:hideMark/>
          </w:tcPr>
          <w:p w14:paraId="29731BD8" w14:textId="229484E3" w:rsidR="00E66F49" w:rsidRPr="00666914" w:rsidRDefault="00E66F49" w:rsidP="00D27F91">
            <w:pPr>
              <w:spacing w:after="0"/>
              <w:jc w:val="left"/>
              <w:rPr>
                <w:rFonts w:eastAsia="Times New Roman" w:cs="Calibri"/>
                <w:b/>
                <w:bCs/>
                <w:color w:val="000000"/>
                <w:sz w:val="20"/>
                <w:szCs w:val="20"/>
                <w:lang w:eastAsia="sk-SK"/>
              </w:rPr>
            </w:pPr>
            <w:bookmarkStart w:id="380" w:name="_Toc38447747"/>
            <w:r w:rsidRPr="00666914">
              <w:rPr>
                <w:rFonts w:eastAsia="Times New Roman" w:cs="Calibri"/>
                <w:b/>
                <w:bCs/>
                <w:color w:val="000000"/>
                <w:sz w:val="20"/>
                <w:szCs w:val="20"/>
                <w:lang w:eastAsia="sk-SK"/>
              </w:rPr>
              <w:t xml:space="preserve">Tabuľka </w:t>
            </w:r>
            <w:r w:rsidRPr="00666914">
              <w:rPr>
                <w:rFonts w:eastAsia="Times New Roman" w:cs="Calibri"/>
                <w:b/>
                <w:bCs/>
                <w:color w:val="000000"/>
                <w:sz w:val="20"/>
                <w:szCs w:val="20"/>
                <w:lang w:eastAsia="sk-SK"/>
              </w:rPr>
              <w:fldChar w:fldCharType="begin"/>
            </w:r>
            <w:r w:rsidRPr="00666914">
              <w:rPr>
                <w:rFonts w:eastAsia="Times New Roman" w:cs="Calibri"/>
                <w:b/>
                <w:bCs/>
                <w:color w:val="000000"/>
                <w:sz w:val="20"/>
                <w:szCs w:val="20"/>
                <w:lang w:eastAsia="sk-SK"/>
              </w:rPr>
              <w:instrText xml:space="preserve"> SEQ Tabuľka \* ARABIC \* MERGEFORMAT </w:instrText>
            </w:r>
            <w:r w:rsidRPr="00666914">
              <w:rPr>
                <w:rFonts w:eastAsia="Times New Roman" w:cs="Calibri"/>
                <w:b/>
                <w:bCs/>
                <w:color w:val="000000"/>
                <w:sz w:val="20"/>
                <w:szCs w:val="20"/>
                <w:lang w:eastAsia="sk-SK"/>
              </w:rPr>
              <w:fldChar w:fldCharType="separate"/>
            </w:r>
            <w:r w:rsidR="005A7304">
              <w:rPr>
                <w:rFonts w:eastAsia="Times New Roman" w:cs="Calibri"/>
                <w:b/>
                <w:bCs/>
                <w:noProof/>
                <w:color w:val="000000"/>
                <w:sz w:val="20"/>
                <w:szCs w:val="20"/>
                <w:lang w:eastAsia="sk-SK"/>
              </w:rPr>
              <w:t>86</w:t>
            </w:r>
            <w:r w:rsidRPr="00666914">
              <w:rPr>
                <w:rFonts w:eastAsia="Times New Roman" w:cs="Calibri"/>
                <w:b/>
                <w:bCs/>
                <w:color w:val="000000"/>
                <w:sz w:val="20"/>
                <w:szCs w:val="20"/>
                <w:lang w:eastAsia="sk-SK"/>
              </w:rPr>
              <w:fldChar w:fldCharType="end"/>
            </w:r>
            <w:r w:rsidRPr="00666914">
              <w:rPr>
                <w:rFonts w:eastAsia="Times New Roman" w:cs="Calibri"/>
                <w:b/>
                <w:bCs/>
                <w:color w:val="000000"/>
                <w:sz w:val="20"/>
                <w:szCs w:val="20"/>
                <w:lang w:eastAsia="sk-SK"/>
              </w:rPr>
              <w:t>: Prehľad UoZ zapojených do "Cesta na trh práce" aktivita č.6</w:t>
            </w:r>
            <w:bookmarkEnd w:id="380"/>
          </w:p>
        </w:tc>
      </w:tr>
      <w:tr w:rsidR="00E66F49" w:rsidRPr="00666914" w14:paraId="271C4F25" w14:textId="77777777" w:rsidTr="00792867">
        <w:trPr>
          <w:trHeight w:val="598"/>
        </w:trPr>
        <w:tc>
          <w:tcPr>
            <w:tcW w:w="1798" w:type="pct"/>
            <w:tcBorders>
              <w:top w:val="single" w:sz="4" w:space="0" w:color="auto"/>
              <w:left w:val="nil"/>
              <w:bottom w:val="single" w:sz="4" w:space="0" w:color="auto"/>
              <w:right w:val="nil"/>
            </w:tcBorders>
            <w:shd w:val="clear" w:color="auto" w:fill="auto"/>
            <w:noWrap/>
            <w:vAlign w:val="bottom"/>
            <w:hideMark/>
          </w:tcPr>
          <w:p w14:paraId="59D50E03" w14:textId="77777777" w:rsidR="00E66F49" w:rsidRPr="00666914" w:rsidRDefault="00E66F49" w:rsidP="00D27F91">
            <w:pPr>
              <w:spacing w:after="0"/>
              <w:jc w:val="left"/>
              <w:rPr>
                <w:rFonts w:eastAsia="Times New Roman" w:cs="Calibri"/>
                <w:color w:val="000000"/>
                <w:sz w:val="20"/>
                <w:szCs w:val="18"/>
                <w:lang w:eastAsia="sk-SK"/>
              </w:rPr>
            </w:pPr>
            <w:r w:rsidRPr="00666914">
              <w:rPr>
                <w:rFonts w:eastAsia="Times New Roman" w:cs="Calibri"/>
                <w:color w:val="000000"/>
                <w:sz w:val="20"/>
                <w:szCs w:val="18"/>
                <w:lang w:eastAsia="sk-SK"/>
              </w:rPr>
              <w:t> </w:t>
            </w:r>
          </w:p>
        </w:tc>
        <w:tc>
          <w:tcPr>
            <w:tcW w:w="390" w:type="pct"/>
            <w:gridSpan w:val="2"/>
            <w:tcBorders>
              <w:top w:val="single" w:sz="4" w:space="0" w:color="auto"/>
              <w:left w:val="nil"/>
              <w:bottom w:val="single" w:sz="4" w:space="0" w:color="auto"/>
              <w:right w:val="nil"/>
            </w:tcBorders>
            <w:shd w:val="clear" w:color="auto" w:fill="auto"/>
            <w:noWrap/>
            <w:vAlign w:val="center"/>
            <w:hideMark/>
          </w:tcPr>
          <w:p w14:paraId="5D87676C" w14:textId="77777777" w:rsidR="00E66F49" w:rsidRPr="00666914" w:rsidRDefault="00E66F49" w:rsidP="00D27F91">
            <w:pPr>
              <w:spacing w:after="0"/>
              <w:jc w:val="right"/>
              <w:rPr>
                <w:rFonts w:eastAsia="Times New Roman" w:cs="Calibri"/>
                <w:color w:val="000000"/>
                <w:sz w:val="20"/>
                <w:szCs w:val="18"/>
                <w:lang w:eastAsia="sk-SK"/>
              </w:rPr>
            </w:pPr>
            <w:r w:rsidRPr="00666914">
              <w:rPr>
                <w:rFonts w:eastAsia="Times New Roman" w:cs="Calibri"/>
                <w:color w:val="000000"/>
                <w:sz w:val="20"/>
                <w:szCs w:val="18"/>
                <w:lang w:eastAsia="sk-SK"/>
              </w:rPr>
              <w:t>Počet UoZ</w:t>
            </w:r>
          </w:p>
        </w:tc>
        <w:tc>
          <w:tcPr>
            <w:tcW w:w="633" w:type="pct"/>
            <w:tcBorders>
              <w:top w:val="single" w:sz="4" w:space="0" w:color="auto"/>
              <w:left w:val="nil"/>
              <w:bottom w:val="single" w:sz="4" w:space="0" w:color="auto"/>
              <w:right w:val="nil"/>
            </w:tcBorders>
            <w:shd w:val="clear" w:color="auto" w:fill="auto"/>
            <w:noWrap/>
            <w:vAlign w:val="center"/>
            <w:hideMark/>
          </w:tcPr>
          <w:p w14:paraId="2E978E60" w14:textId="77777777" w:rsidR="00E66F49" w:rsidRPr="00666914" w:rsidRDefault="00E66F49" w:rsidP="00D27F91">
            <w:pPr>
              <w:spacing w:after="0"/>
              <w:jc w:val="right"/>
              <w:rPr>
                <w:rFonts w:eastAsia="Times New Roman" w:cs="Calibri"/>
                <w:color w:val="000000"/>
                <w:sz w:val="20"/>
                <w:szCs w:val="18"/>
                <w:lang w:eastAsia="sk-SK"/>
              </w:rPr>
            </w:pPr>
            <w:r w:rsidRPr="00666914">
              <w:rPr>
                <w:rFonts w:eastAsia="Times New Roman" w:cs="Calibri"/>
                <w:color w:val="000000"/>
                <w:sz w:val="20"/>
                <w:szCs w:val="18"/>
                <w:lang w:eastAsia="sk-SK"/>
              </w:rPr>
              <w:t>Podiel z celkového počtu</w:t>
            </w:r>
          </w:p>
        </w:tc>
        <w:tc>
          <w:tcPr>
            <w:tcW w:w="989" w:type="pct"/>
            <w:tcBorders>
              <w:top w:val="single" w:sz="4" w:space="0" w:color="auto"/>
              <w:left w:val="nil"/>
              <w:bottom w:val="single" w:sz="4" w:space="0" w:color="auto"/>
              <w:right w:val="nil"/>
            </w:tcBorders>
            <w:shd w:val="clear" w:color="auto" w:fill="auto"/>
            <w:noWrap/>
            <w:vAlign w:val="center"/>
            <w:hideMark/>
          </w:tcPr>
          <w:p w14:paraId="073DC12F" w14:textId="77777777" w:rsidR="00E66F49" w:rsidRPr="00666914" w:rsidRDefault="00E66F49" w:rsidP="00792867">
            <w:pPr>
              <w:spacing w:after="0"/>
              <w:jc w:val="center"/>
              <w:rPr>
                <w:rFonts w:eastAsia="Times New Roman" w:cs="Calibri"/>
                <w:b/>
                <w:bCs/>
                <w:color w:val="000000"/>
                <w:sz w:val="20"/>
                <w:szCs w:val="18"/>
                <w:lang w:eastAsia="sk-SK"/>
              </w:rPr>
            </w:pPr>
            <w:r w:rsidRPr="00666914">
              <w:rPr>
                <w:rFonts w:eastAsia="Times New Roman" w:cs="Calibri"/>
                <w:b/>
                <w:bCs/>
                <w:color w:val="000000"/>
                <w:sz w:val="20"/>
                <w:szCs w:val="18"/>
                <w:lang w:eastAsia="sk-SK"/>
              </w:rPr>
              <w:t>Počet UoZ umiestených na trh práce</w:t>
            </w:r>
          </w:p>
        </w:tc>
        <w:tc>
          <w:tcPr>
            <w:tcW w:w="1190" w:type="pct"/>
            <w:tcBorders>
              <w:top w:val="single" w:sz="4" w:space="0" w:color="auto"/>
              <w:left w:val="nil"/>
              <w:bottom w:val="single" w:sz="4" w:space="0" w:color="auto"/>
              <w:right w:val="nil"/>
            </w:tcBorders>
            <w:shd w:val="clear" w:color="auto" w:fill="auto"/>
            <w:noWrap/>
            <w:vAlign w:val="center"/>
            <w:hideMark/>
          </w:tcPr>
          <w:p w14:paraId="6728E66A" w14:textId="77777777" w:rsidR="00E66F49" w:rsidRPr="00666914" w:rsidRDefault="00E66F49" w:rsidP="00792867">
            <w:pPr>
              <w:spacing w:after="0"/>
              <w:jc w:val="center"/>
              <w:rPr>
                <w:rFonts w:eastAsia="Times New Roman" w:cs="Calibri"/>
                <w:b/>
                <w:bCs/>
                <w:color w:val="000000"/>
                <w:sz w:val="20"/>
                <w:szCs w:val="18"/>
                <w:lang w:eastAsia="sk-SK"/>
              </w:rPr>
            </w:pPr>
            <w:r w:rsidRPr="00666914">
              <w:rPr>
                <w:rFonts w:eastAsia="Times New Roman" w:cs="Calibri"/>
                <w:b/>
                <w:bCs/>
                <w:color w:val="000000"/>
                <w:sz w:val="20"/>
                <w:szCs w:val="18"/>
                <w:lang w:eastAsia="sk-SK"/>
              </w:rPr>
              <w:t>Podiel z počtu UoZ zapojených do programu</w:t>
            </w:r>
          </w:p>
        </w:tc>
      </w:tr>
      <w:tr w:rsidR="00E66F49" w:rsidRPr="00666914" w14:paraId="4B6E84B1" w14:textId="77777777" w:rsidTr="00792867">
        <w:trPr>
          <w:trHeight w:val="255"/>
        </w:trPr>
        <w:tc>
          <w:tcPr>
            <w:tcW w:w="1798" w:type="pct"/>
            <w:tcBorders>
              <w:top w:val="nil"/>
              <w:left w:val="nil"/>
              <w:bottom w:val="nil"/>
              <w:right w:val="nil"/>
            </w:tcBorders>
            <w:shd w:val="clear" w:color="auto" w:fill="auto"/>
            <w:noWrap/>
            <w:vAlign w:val="center"/>
            <w:hideMark/>
          </w:tcPr>
          <w:p w14:paraId="041501BB" w14:textId="77777777" w:rsidR="00E66F49" w:rsidRPr="00666914" w:rsidRDefault="00E66F49" w:rsidP="00D27F91">
            <w:pPr>
              <w:spacing w:after="0"/>
              <w:jc w:val="left"/>
              <w:rPr>
                <w:rFonts w:eastAsia="Times New Roman" w:cs="Calibri"/>
                <w:color w:val="000000"/>
                <w:sz w:val="20"/>
                <w:szCs w:val="18"/>
                <w:lang w:eastAsia="sk-SK"/>
              </w:rPr>
            </w:pPr>
            <w:r w:rsidRPr="00666914">
              <w:rPr>
                <w:rFonts w:eastAsia="Times New Roman" w:cs="Calibri"/>
                <w:color w:val="000000"/>
                <w:sz w:val="20"/>
                <w:szCs w:val="18"/>
                <w:lang w:eastAsia="sk-SK"/>
              </w:rPr>
              <w:t>UoZ , ktorí úspešne absolvovali poradenský proces (v plnom rozsahu)</w:t>
            </w:r>
          </w:p>
        </w:tc>
        <w:tc>
          <w:tcPr>
            <w:tcW w:w="390" w:type="pct"/>
            <w:gridSpan w:val="2"/>
            <w:tcBorders>
              <w:top w:val="nil"/>
              <w:left w:val="nil"/>
              <w:bottom w:val="nil"/>
              <w:right w:val="nil"/>
            </w:tcBorders>
            <w:shd w:val="clear" w:color="auto" w:fill="auto"/>
            <w:noWrap/>
            <w:vAlign w:val="center"/>
            <w:hideMark/>
          </w:tcPr>
          <w:p w14:paraId="34F01AC2" w14:textId="77777777" w:rsidR="00E66F49" w:rsidRPr="00666914" w:rsidRDefault="00E66F49" w:rsidP="00D27F91">
            <w:pPr>
              <w:spacing w:after="0"/>
              <w:jc w:val="right"/>
              <w:rPr>
                <w:rFonts w:eastAsia="Times New Roman" w:cs="Calibri"/>
                <w:color w:val="000000"/>
                <w:sz w:val="20"/>
                <w:szCs w:val="18"/>
                <w:lang w:eastAsia="sk-SK"/>
              </w:rPr>
            </w:pPr>
            <w:r w:rsidRPr="00666914">
              <w:rPr>
                <w:rFonts w:eastAsia="Times New Roman" w:cs="Calibri"/>
                <w:color w:val="000000"/>
                <w:sz w:val="20"/>
                <w:szCs w:val="18"/>
                <w:lang w:eastAsia="sk-SK"/>
              </w:rPr>
              <w:t>14 941</w:t>
            </w:r>
          </w:p>
        </w:tc>
        <w:tc>
          <w:tcPr>
            <w:tcW w:w="633" w:type="pct"/>
            <w:tcBorders>
              <w:top w:val="nil"/>
              <w:left w:val="nil"/>
              <w:bottom w:val="nil"/>
              <w:right w:val="nil"/>
            </w:tcBorders>
            <w:shd w:val="clear" w:color="auto" w:fill="auto"/>
            <w:noWrap/>
            <w:vAlign w:val="center"/>
            <w:hideMark/>
          </w:tcPr>
          <w:p w14:paraId="7A3F4450" w14:textId="77777777" w:rsidR="00E66F49" w:rsidRPr="00666914" w:rsidRDefault="00E66F49" w:rsidP="00D27F91">
            <w:pPr>
              <w:spacing w:after="0"/>
              <w:jc w:val="right"/>
              <w:rPr>
                <w:rFonts w:eastAsia="Times New Roman" w:cs="Calibri"/>
                <w:color w:val="000000"/>
                <w:sz w:val="20"/>
                <w:szCs w:val="18"/>
                <w:lang w:eastAsia="sk-SK"/>
              </w:rPr>
            </w:pPr>
            <w:r w:rsidRPr="00666914">
              <w:rPr>
                <w:rFonts w:eastAsia="Times New Roman" w:cs="Calibri"/>
                <w:color w:val="000000"/>
                <w:sz w:val="20"/>
                <w:szCs w:val="18"/>
                <w:lang w:eastAsia="sk-SK"/>
              </w:rPr>
              <w:t>75%</w:t>
            </w:r>
          </w:p>
        </w:tc>
        <w:tc>
          <w:tcPr>
            <w:tcW w:w="989" w:type="pct"/>
            <w:tcBorders>
              <w:top w:val="nil"/>
              <w:left w:val="nil"/>
              <w:bottom w:val="nil"/>
              <w:right w:val="nil"/>
            </w:tcBorders>
            <w:shd w:val="clear" w:color="auto" w:fill="auto"/>
            <w:noWrap/>
            <w:vAlign w:val="center"/>
            <w:hideMark/>
          </w:tcPr>
          <w:p w14:paraId="682CA7F9" w14:textId="77777777" w:rsidR="00E66F49" w:rsidRPr="00666914" w:rsidRDefault="00E66F49" w:rsidP="00792867">
            <w:pPr>
              <w:spacing w:after="0"/>
              <w:jc w:val="center"/>
              <w:rPr>
                <w:rFonts w:eastAsia="Times New Roman" w:cs="Calibri"/>
                <w:b/>
                <w:bCs/>
                <w:color w:val="000000"/>
                <w:sz w:val="20"/>
                <w:szCs w:val="18"/>
                <w:lang w:eastAsia="sk-SK"/>
              </w:rPr>
            </w:pPr>
            <w:r w:rsidRPr="00666914">
              <w:rPr>
                <w:rFonts w:eastAsia="Times New Roman" w:cs="Calibri"/>
                <w:b/>
                <w:bCs/>
                <w:color w:val="000000"/>
                <w:sz w:val="20"/>
                <w:szCs w:val="18"/>
                <w:lang w:eastAsia="sk-SK"/>
              </w:rPr>
              <w:t>1 662</w:t>
            </w:r>
          </w:p>
        </w:tc>
        <w:tc>
          <w:tcPr>
            <w:tcW w:w="1190" w:type="pct"/>
            <w:tcBorders>
              <w:top w:val="nil"/>
              <w:left w:val="nil"/>
              <w:bottom w:val="nil"/>
              <w:right w:val="nil"/>
            </w:tcBorders>
            <w:shd w:val="clear" w:color="auto" w:fill="auto"/>
            <w:noWrap/>
            <w:vAlign w:val="center"/>
            <w:hideMark/>
          </w:tcPr>
          <w:p w14:paraId="1434DF7D" w14:textId="77777777" w:rsidR="00E66F49" w:rsidRPr="00666914" w:rsidRDefault="00E66F49" w:rsidP="00792867">
            <w:pPr>
              <w:spacing w:after="0"/>
              <w:jc w:val="center"/>
              <w:rPr>
                <w:rFonts w:eastAsia="Times New Roman" w:cs="Calibri"/>
                <w:b/>
                <w:bCs/>
                <w:color w:val="000000"/>
                <w:sz w:val="20"/>
                <w:szCs w:val="18"/>
                <w:lang w:eastAsia="sk-SK"/>
              </w:rPr>
            </w:pPr>
            <w:r w:rsidRPr="00666914">
              <w:rPr>
                <w:rFonts w:eastAsia="Times New Roman" w:cs="Calibri"/>
                <w:b/>
                <w:bCs/>
                <w:color w:val="000000"/>
                <w:sz w:val="20"/>
                <w:szCs w:val="18"/>
                <w:lang w:eastAsia="sk-SK"/>
              </w:rPr>
              <w:t>11%</w:t>
            </w:r>
          </w:p>
        </w:tc>
      </w:tr>
      <w:tr w:rsidR="00E66F49" w:rsidRPr="00666914" w14:paraId="026BFE30" w14:textId="77777777" w:rsidTr="00792867">
        <w:trPr>
          <w:trHeight w:val="255"/>
        </w:trPr>
        <w:tc>
          <w:tcPr>
            <w:tcW w:w="1798" w:type="pct"/>
            <w:tcBorders>
              <w:top w:val="nil"/>
              <w:left w:val="nil"/>
              <w:bottom w:val="nil"/>
              <w:right w:val="nil"/>
            </w:tcBorders>
            <w:shd w:val="clear" w:color="auto" w:fill="auto"/>
            <w:noWrap/>
            <w:vAlign w:val="center"/>
            <w:hideMark/>
          </w:tcPr>
          <w:p w14:paraId="69E562AC" w14:textId="77777777" w:rsidR="00E66F49" w:rsidRPr="00666914" w:rsidRDefault="00E66F49" w:rsidP="00D27F91">
            <w:pPr>
              <w:spacing w:after="0"/>
              <w:jc w:val="left"/>
              <w:rPr>
                <w:rFonts w:eastAsia="Times New Roman" w:cs="Calibri"/>
                <w:color w:val="000000"/>
                <w:sz w:val="20"/>
                <w:szCs w:val="18"/>
                <w:lang w:eastAsia="sk-SK"/>
              </w:rPr>
            </w:pPr>
            <w:r w:rsidRPr="00666914">
              <w:rPr>
                <w:rFonts w:eastAsia="Times New Roman" w:cs="Calibri"/>
                <w:color w:val="000000"/>
                <w:sz w:val="20"/>
                <w:szCs w:val="18"/>
                <w:lang w:eastAsia="sk-SK"/>
              </w:rPr>
              <w:t>UoZ, ktorí predčasne ukončili poradenský proces</w:t>
            </w:r>
          </w:p>
        </w:tc>
        <w:tc>
          <w:tcPr>
            <w:tcW w:w="390" w:type="pct"/>
            <w:gridSpan w:val="2"/>
            <w:tcBorders>
              <w:top w:val="nil"/>
              <w:left w:val="nil"/>
              <w:bottom w:val="nil"/>
              <w:right w:val="nil"/>
            </w:tcBorders>
            <w:shd w:val="clear" w:color="auto" w:fill="auto"/>
            <w:noWrap/>
            <w:vAlign w:val="center"/>
            <w:hideMark/>
          </w:tcPr>
          <w:p w14:paraId="200761AA" w14:textId="77777777" w:rsidR="00E66F49" w:rsidRPr="00666914" w:rsidRDefault="00E66F49" w:rsidP="00D27F91">
            <w:pPr>
              <w:spacing w:after="0"/>
              <w:jc w:val="right"/>
              <w:rPr>
                <w:rFonts w:eastAsia="Times New Roman" w:cs="Calibri"/>
                <w:color w:val="000000"/>
                <w:sz w:val="20"/>
                <w:szCs w:val="18"/>
                <w:lang w:eastAsia="sk-SK"/>
              </w:rPr>
            </w:pPr>
            <w:r w:rsidRPr="00666914">
              <w:rPr>
                <w:rFonts w:eastAsia="Times New Roman" w:cs="Calibri"/>
                <w:color w:val="000000"/>
                <w:sz w:val="20"/>
                <w:szCs w:val="18"/>
                <w:lang w:eastAsia="sk-SK"/>
              </w:rPr>
              <w:t>2 812</w:t>
            </w:r>
          </w:p>
        </w:tc>
        <w:tc>
          <w:tcPr>
            <w:tcW w:w="633" w:type="pct"/>
            <w:tcBorders>
              <w:top w:val="nil"/>
              <w:left w:val="nil"/>
              <w:bottom w:val="nil"/>
              <w:right w:val="nil"/>
            </w:tcBorders>
            <w:shd w:val="clear" w:color="auto" w:fill="auto"/>
            <w:noWrap/>
            <w:vAlign w:val="center"/>
            <w:hideMark/>
          </w:tcPr>
          <w:p w14:paraId="563A6FED" w14:textId="77777777" w:rsidR="00E66F49" w:rsidRPr="00666914" w:rsidRDefault="00E66F49" w:rsidP="00D27F91">
            <w:pPr>
              <w:spacing w:after="0"/>
              <w:jc w:val="right"/>
              <w:rPr>
                <w:rFonts w:eastAsia="Times New Roman" w:cs="Calibri"/>
                <w:color w:val="000000"/>
                <w:sz w:val="20"/>
                <w:szCs w:val="18"/>
                <w:lang w:eastAsia="sk-SK"/>
              </w:rPr>
            </w:pPr>
            <w:r w:rsidRPr="00666914">
              <w:rPr>
                <w:rFonts w:eastAsia="Times New Roman" w:cs="Calibri"/>
                <w:color w:val="000000"/>
                <w:sz w:val="20"/>
                <w:szCs w:val="18"/>
                <w:lang w:eastAsia="sk-SK"/>
              </w:rPr>
              <w:t>14%</w:t>
            </w:r>
          </w:p>
        </w:tc>
        <w:tc>
          <w:tcPr>
            <w:tcW w:w="989" w:type="pct"/>
            <w:tcBorders>
              <w:top w:val="nil"/>
              <w:left w:val="nil"/>
              <w:bottom w:val="nil"/>
              <w:right w:val="nil"/>
            </w:tcBorders>
            <w:shd w:val="clear" w:color="auto" w:fill="auto"/>
            <w:noWrap/>
            <w:vAlign w:val="center"/>
            <w:hideMark/>
          </w:tcPr>
          <w:p w14:paraId="1AE4C7A4" w14:textId="77777777" w:rsidR="00E66F49" w:rsidRPr="00666914" w:rsidRDefault="00E66F49" w:rsidP="00792867">
            <w:pPr>
              <w:spacing w:after="0"/>
              <w:jc w:val="center"/>
              <w:rPr>
                <w:rFonts w:eastAsia="Times New Roman" w:cs="Calibri"/>
                <w:b/>
                <w:bCs/>
                <w:color w:val="000000"/>
                <w:sz w:val="20"/>
                <w:szCs w:val="18"/>
                <w:lang w:eastAsia="sk-SK"/>
              </w:rPr>
            </w:pPr>
            <w:r w:rsidRPr="00666914">
              <w:rPr>
                <w:rFonts w:eastAsia="Times New Roman" w:cs="Calibri"/>
                <w:b/>
                <w:bCs/>
                <w:color w:val="000000"/>
                <w:sz w:val="20"/>
                <w:szCs w:val="18"/>
                <w:lang w:eastAsia="sk-SK"/>
              </w:rPr>
              <w:t>1 046</w:t>
            </w:r>
          </w:p>
        </w:tc>
        <w:tc>
          <w:tcPr>
            <w:tcW w:w="1190" w:type="pct"/>
            <w:tcBorders>
              <w:top w:val="nil"/>
              <w:left w:val="nil"/>
              <w:bottom w:val="nil"/>
              <w:right w:val="nil"/>
            </w:tcBorders>
            <w:shd w:val="clear" w:color="auto" w:fill="auto"/>
            <w:noWrap/>
            <w:vAlign w:val="center"/>
            <w:hideMark/>
          </w:tcPr>
          <w:p w14:paraId="55CBB1AC" w14:textId="77777777" w:rsidR="00E66F49" w:rsidRPr="00666914" w:rsidRDefault="00E66F49" w:rsidP="00792867">
            <w:pPr>
              <w:spacing w:after="0"/>
              <w:jc w:val="center"/>
              <w:rPr>
                <w:rFonts w:eastAsia="Times New Roman" w:cs="Calibri"/>
                <w:b/>
                <w:bCs/>
                <w:color w:val="000000"/>
                <w:sz w:val="20"/>
                <w:szCs w:val="18"/>
                <w:lang w:eastAsia="sk-SK"/>
              </w:rPr>
            </w:pPr>
            <w:r w:rsidRPr="00666914">
              <w:rPr>
                <w:rFonts w:eastAsia="Times New Roman" w:cs="Calibri"/>
                <w:b/>
                <w:bCs/>
                <w:color w:val="000000"/>
                <w:sz w:val="20"/>
                <w:szCs w:val="18"/>
                <w:lang w:eastAsia="sk-SK"/>
              </w:rPr>
              <w:t>37%</w:t>
            </w:r>
          </w:p>
        </w:tc>
      </w:tr>
      <w:tr w:rsidR="00E66F49" w:rsidRPr="00666914" w14:paraId="5AA78863" w14:textId="77777777" w:rsidTr="00792867">
        <w:trPr>
          <w:trHeight w:val="255"/>
        </w:trPr>
        <w:tc>
          <w:tcPr>
            <w:tcW w:w="1798" w:type="pct"/>
            <w:tcBorders>
              <w:top w:val="nil"/>
              <w:left w:val="nil"/>
              <w:bottom w:val="nil"/>
              <w:right w:val="nil"/>
            </w:tcBorders>
            <w:shd w:val="clear" w:color="auto" w:fill="auto"/>
            <w:noWrap/>
            <w:vAlign w:val="center"/>
            <w:hideMark/>
          </w:tcPr>
          <w:p w14:paraId="04031DBB" w14:textId="77777777" w:rsidR="00E66F49" w:rsidRPr="00666914" w:rsidRDefault="00E66F49" w:rsidP="00D27F91">
            <w:pPr>
              <w:spacing w:after="0"/>
              <w:jc w:val="left"/>
              <w:rPr>
                <w:rFonts w:eastAsia="Times New Roman" w:cs="Calibri"/>
                <w:color w:val="000000"/>
                <w:sz w:val="20"/>
                <w:szCs w:val="18"/>
                <w:lang w:eastAsia="sk-SK"/>
              </w:rPr>
            </w:pPr>
            <w:r w:rsidRPr="00666914">
              <w:rPr>
                <w:rFonts w:eastAsia="Times New Roman" w:cs="Calibri"/>
                <w:color w:val="000000"/>
                <w:sz w:val="20"/>
                <w:szCs w:val="18"/>
                <w:lang w:eastAsia="sk-SK"/>
              </w:rPr>
              <w:t>UoZ, ktorí poradenský proces aktuálne absolvujú (zaradení do 31.12. 2019)</w:t>
            </w:r>
          </w:p>
        </w:tc>
        <w:tc>
          <w:tcPr>
            <w:tcW w:w="390" w:type="pct"/>
            <w:gridSpan w:val="2"/>
            <w:tcBorders>
              <w:top w:val="nil"/>
              <w:left w:val="nil"/>
              <w:bottom w:val="nil"/>
              <w:right w:val="nil"/>
            </w:tcBorders>
            <w:shd w:val="clear" w:color="auto" w:fill="auto"/>
            <w:noWrap/>
            <w:vAlign w:val="center"/>
            <w:hideMark/>
          </w:tcPr>
          <w:p w14:paraId="06983B72" w14:textId="77777777" w:rsidR="00E66F49" w:rsidRPr="00666914" w:rsidRDefault="00E66F49" w:rsidP="00D27F91">
            <w:pPr>
              <w:spacing w:after="0"/>
              <w:jc w:val="right"/>
              <w:rPr>
                <w:rFonts w:eastAsia="Times New Roman" w:cs="Calibri"/>
                <w:color w:val="000000"/>
                <w:sz w:val="20"/>
                <w:szCs w:val="18"/>
                <w:lang w:eastAsia="sk-SK"/>
              </w:rPr>
            </w:pPr>
            <w:r w:rsidRPr="00666914">
              <w:rPr>
                <w:rFonts w:eastAsia="Times New Roman" w:cs="Calibri"/>
                <w:color w:val="000000"/>
                <w:sz w:val="20"/>
                <w:szCs w:val="18"/>
                <w:lang w:eastAsia="sk-SK"/>
              </w:rPr>
              <w:t>2 124</w:t>
            </w:r>
          </w:p>
        </w:tc>
        <w:tc>
          <w:tcPr>
            <w:tcW w:w="633" w:type="pct"/>
            <w:tcBorders>
              <w:top w:val="nil"/>
              <w:left w:val="nil"/>
              <w:bottom w:val="nil"/>
              <w:right w:val="nil"/>
            </w:tcBorders>
            <w:shd w:val="clear" w:color="auto" w:fill="auto"/>
            <w:noWrap/>
            <w:vAlign w:val="center"/>
            <w:hideMark/>
          </w:tcPr>
          <w:p w14:paraId="192D4AD7" w14:textId="77777777" w:rsidR="00E66F49" w:rsidRPr="00666914" w:rsidRDefault="00E66F49" w:rsidP="00D27F91">
            <w:pPr>
              <w:spacing w:after="0"/>
              <w:jc w:val="right"/>
              <w:rPr>
                <w:rFonts w:eastAsia="Times New Roman" w:cs="Calibri"/>
                <w:color w:val="000000"/>
                <w:sz w:val="20"/>
                <w:szCs w:val="18"/>
                <w:lang w:eastAsia="sk-SK"/>
              </w:rPr>
            </w:pPr>
            <w:r w:rsidRPr="00666914">
              <w:rPr>
                <w:rFonts w:eastAsia="Times New Roman" w:cs="Calibri"/>
                <w:color w:val="000000"/>
                <w:sz w:val="20"/>
                <w:szCs w:val="18"/>
                <w:lang w:eastAsia="sk-SK"/>
              </w:rPr>
              <w:t>11%</w:t>
            </w:r>
          </w:p>
        </w:tc>
        <w:tc>
          <w:tcPr>
            <w:tcW w:w="989" w:type="pct"/>
            <w:tcBorders>
              <w:top w:val="nil"/>
              <w:left w:val="nil"/>
              <w:bottom w:val="nil"/>
              <w:right w:val="nil"/>
            </w:tcBorders>
            <w:shd w:val="clear" w:color="auto" w:fill="auto"/>
            <w:noWrap/>
            <w:vAlign w:val="center"/>
            <w:hideMark/>
          </w:tcPr>
          <w:p w14:paraId="799CDACB" w14:textId="77777777" w:rsidR="00E66F49" w:rsidRPr="00666914" w:rsidRDefault="00E66F49" w:rsidP="00792867">
            <w:pPr>
              <w:spacing w:after="0"/>
              <w:jc w:val="center"/>
              <w:rPr>
                <w:rFonts w:eastAsia="Times New Roman" w:cs="Calibri"/>
                <w:color w:val="000000"/>
                <w:sz w:val="20"/>
                <w:szCs w:val="18"/>
                <w:lang w:eastAsia="sk-SK"/>
              </w:rPr>
            </w:pPr>
          </w:p>
        </w:tc>
        <w:tc>
          <w:tcPr>
            <w:tcW w:w="1190" w:type="pct"/>
            <w:tcBorders>
              <w:top w:val="nil"/>
              <w:left w:val="nil"/>
              <w:bottom w:val="nil"/>
              <w:right w:val="nil"/>
            </w:tcBorders>
            <w:shd w:val="clear" w:color="auto" w:fill="auto"/>
            <w:noWrap/>
            <w:vAlign w:val="center"/>
            <w:hideMark/>
          </w:tcPr>
          <w:p w14:paraId="11829C01" w14:textId="77777777" w:rsidR="00E66F49" w:rsidRPr="00666914" w:rsidRDefault="00E66F49" w:rsidP="00792867">
            <w:pPr>
              <w:spacing w:after="0"/>
              <w:jc w:val="center"/>
              <w:rPr>
                <w:rFonts w:ascii="Times New Roman" w:eastAsia="Times New Roman" w:hAnsi="Times New Roman"/>
                <w:sz w:val="20"/>
                <w:szCs w:val="18"/>
                <w:lang w:eastAsia="sk-SK"/>
              </w:rPr>
            </w:pPr>
          </w:p>
        </w:tc>
      </w:tr>
      <w:tr w:rsidR="00E66F49" w:rsidRPr="00666914" w14:paraId="58624F7E" w14:textId="77777777" w:rsidTr="00792867">
        <w:trPr>
          <w:trHeight w:val="255"/>
        </w:trPr>
        <w:tc>
          <w:tcPr>
            <w:tcW w:w="1798" w:type="pct"/>
            <w:tcBorders>
              <w:top w:val="single" w:sz="4" w:space="0" w:color="auto"/>
              <w:left w:val="nil"/>
              <w:bottom w:val="single" w:sz="4" w:space="0" w:color="auto"/>
              <w:right w:val="nil"/>
            </w:tcBorders>
            <w:shd w:val="clear" w:color="auto" w:fill="auto"/>
            <w:noWrap/>
            <w:vAlign w:val="bottom"/>
            <w:hideMark/>
          </w:tcPr>
          <w:p w14:paraId="68281661" w14:textId="77777777" w:rsidR="00E66F49" w:rsidRPr="00666914" w:rsidRDefault="00E66F49" w:rsidP="00D27F91">
            <w:pPr>
              <w:spacing w:after="0"/>
              <w:jc w:val="left"/>
              <w:rPr>
                <w:rFonts w:eastAsia="Times New Roman" w:cs="Calibri"/>
                <w:color w:val="000000"/>
                <w:sz w:val="20"/>
                <w:szCs w:val="18"/>
                <w:lang w:eastAsia="sk-SK"/>
              </w:rPr>
            </w:pPr>
            <w:r w:rsidRPr="00666914">
              <w:rPr>
                <w:rFonts w:eastAsia="Times New Roman" w:cs="Calibri"/>
                <w:color w:val="000000"/>
                <w:sz w:val="20"/>
                <w:szCs w:val="18"/>
                <w:lang w:eastAsia="sk-SK"/>
              </w:rPr>
              <w:t>UoZ spolu</w:t>
            </w:r>
          </w:p>
        </w:tc>
        <w:tc>
          <w:tcPr>
            <w:tcW w:w="390" w:type="pct"/>
            <w:gridSpan w:val="2"/>
            <w:tcBorders>
              <w:top w:val="single" w:sz="4" w:space="0" w:color="auto"/>
              <w:left w:val="nil"/>
              <w:bottom w:val="single" w:sz="4" w:space="0" w:color="auto"/>
              <w:right w:val="nil"/>
            </w:tcBorders>
            <w:shd w:val="clear" w:color="auto" w:fill="auto"/>
            <w:noWrap/>
            <w:vAlign w:val="center"/>
            <w:hideMark/>
          </w:tcPr>
          <w:p w14:paraId="64EF6DF7" w14:textId="77777777" w:rsidR="00E66F49" w:rsidRPr="00666914" w:rsidRDefault="00E66F49" w:rsidP="00D27F91">
            <w:pPr>
              <w:spacing w:after="0"/>
              <w:jc w:val="right"/>
              <w:rPr>
                <w:rFonts w:eastAsia="Times New Roman" w:cs="Calibri"/>
                <w:color w:val="000000"/>
                <w:sz w:val="20"/>
                <w:szCs w:val="18"/>
                <w:lang w:eastAsia="sk-SK"/>
              </w:rPr>
            </w:pPr>
            <w:r w:rsidRPr="00666914">
              <w:rPr>
                <w:rFonts w:eastAsia="Times New Roman" w:cs="Calibri"/>
                <w:color w:val="000000"/>
                <w:sz w:val="20"/>
                <w:szCs w:val="18"/>
                <w:lang w:eastAsia="sk-SK"/>
              </w:rPr>
              <w:t>19 877</w:t>
            </w:r>
          </w:p>
        </w:tc>
        <w:tc>
          <w:tcPr>
            <w:tcW w:w="633" w:type="pct"/>
            <w:tcBorders>
              <w:top w:val="single" w:sz="4" w:space="0" w:color="auto"/>
              <w:left w:val="nil"/>
              <w:bottom w:val="single" w:sz="4" w:space="0" w:color="auto"/>
              <w:right w:val="nil"/>
            </w:tcBorders>
            <w:shd w:val="clear" w:color="auto" w:fill="auto"/>
            <w:noWrap/>
            <w:vAlign w:val="center"/>
            <w:hideMark/>
          </w:tcPr>
          <w:p w14:paraId="505A77B1" w14:textId="77777777" w:rsidR="00E66F49" w:rsidRPr="00666914" w:rsidRDefault="00E66F49" w:rsidP="00D27F91">
            <w:pPr>
              <w:spacing w:after="0"/>
              <w:jc w:val="right"/>
              <w:rPr>
                <w:rFonts w:eastAsia="Times New Roman" w:cs="Calibri"/>
                <w:color w:val="000000"/>
                <w:sz w:val="20"/>
                <w:szCs w:val="18"/>
                <w:lang w:eastAsia="sk-SK"/>
              </w:rPr>
            </w:pPr>
            <w:r w:rsidRPr="00666914">
              <w:rPr>
                <w:rFonts w:eastAsia="Times New Roman" w:cs="Calibri"/>
                <w:color w:val="000000"/>
                <w:sz w:val="20"/>
                <w:szCs w:val="18"/>
                <w:lang w:eastAsia="sk-SK"/>
              </w:rPr>
              <w:t>100%</w:t>
            </w:r>
          </w:p>
        </w:tc>
        <w:tc>
          <w:tcPr>
            <w:tcW w:w="989" w:type="pct"/>
            <w:tcBorders>
              <w:top w:val="single" w:sz="4" w:space="0" w:color="auto"/>
              <w:left w:val="nil"/>
              <w:bottom w:val="single" w:sz="4" w:space="0" w:color="auto"/>
              <w:right w:val="nil"/>
            </w:tcBorders>
            <w:shd w:val="clear" w:color="auto" w:fill="auto"/>
            <w:noWrap/>
            <w:vAlign w:val="center"/>
            <w:hideMark/>
          </w:tcPr>
          <w:p w14:paraId="39AEAEC6" w14:textId="77777777" w:rsidR="00E66F49" w:rsidRPr="00666914" w:rsidRDefault="00E66F49" w:rsidP="00792867">
            <w:pPr>
              <w:spacing w:after="0"/>
              <w:jc w:val="center"/>
              <w:rPr>
                <w:rFonts w:eastAsia="Times New Roman" w:cs="Calibri"/>
                <w:b/>
                <w:bCs/>
                <w:color w:val="000000"/>
                <w:sz w:val="20"/>
                <w:szCs w:val="18"/>
                <w:lang w:eastAsia="sk-SK"/>
              </w:rPr>
            </w:pPr>
            <w:r w:rsidRPr="00666914">
              <w:rPr>
                <w:rFonts w:eastAsia="Times New Roman" w:cs="Calibri"/>
                <w:b/>
                <w:bCs/>
                <w:color w:val="000000"/>
                <w:sz w:val="20"/>
                <w:szCs w:val="18"/>
                <w:lang w:eastAsia="sk-SK"/>
              </w:rPr>
              <w:t>2 708</w:t>
            </w:r>
          </w:p>
        </w:tc>
        <w:tc>
          <w:tcPr>
            <w:tcW w:w="1190" w:type="pct"/>
            <w:tcBorders>
              <w:top w:val="single" w:sz="4" w:space="0" w:color="auto"/>
              <w:left w:val="nil"/>
              <w:bottom w:val="single" w:sz="4" w:space="0" w:color="auto"/>
              <w:right w:val="nil"/>
            </w:tcBorders>
            <w:shd w:val="clear" w:color="auto" w:fill="auto"/>
            <w:noWrap/>
            <w:vAlign w:val="center"/>
            <w:hideMark/>
          </w:tcPr>
          <w:p w14:paraId="7D73A3DD" w14:textId="77777777" w:rsidR="00E66F49" w:rsidRPr="00666914" w:rsidRDefault="00E66F49" w:rsidP="00792867">
            <w:pPr>
              <w:spacing w:after="0"/>
              <w:jc w:val="center"/>
              <w:rPr>
                <w:rFonts w:eastAsia="Times New Roman" w:cs="Calibri"/>
                <w:b/>
                <w:bCs/>
                <w:color w:val="000000"/>
                <w:sz w:val="20"/>
                <w:szCs w:val="18"/>
                <w:lang w:eastAsia="sk-SK"/>
              </w:rPr>
            </w:pPr>
            <w:r w:rsidRPr="00666914">
              <w:rPr>
                <w:rFonts w:eastAsia="Times New Roman" w:cs="Calibri"/>
                <w:b/>
                <w:bCs/>
                <w:color w:val="000000"/>
                <w:sz w:val="20"/>
                <w:szCs w:val="18"/>
                <w:lang w:eastAsia="sk-SK"/>
              </w:rPr>
              <w:t>15%</w:t>
            </w:r>
          </w:p>
        </w:tc>
      </w:tr>
      <w:tr w:rsidR="00E66F49" w:rsidRPr="00666914" w14:paraId="0ABE2815" w14:textId="77777777" w:rsidTr="00792867">
        <w:trPr>
          <w:trHeight w:val="300"/>
        </w:trPr>
        <w:tc>
          <w:tcPr>
            <w:tcW w:w="1798" w:type="pct"/>
            <w:tcBorders>
              <w:top w:val="nil"/>
              <w:left w:val="nil"/>
              <w:bottom w:val="nil"/>
              <w:right w:val="nil"/>
            </w:tcBorders>
            <w:shd w:val="clear" w:color="auto" w:fill="auto"/>
            <w:noWrap/>
            <w:vAlign w:val="bottom"/>
            <w:hideMark/>
          </w:tcPr>
          <w:p w14:paraId="4E907881" w14:textId="77777777" w:rsidR="00E66F49" w:rsidRPr="00666914" w:rsidRDefault="00E66F49" w:rsidP="00D27F91">
            <w:pPr>
              <w:spacing w:after="0"/>
              <w:jc w:val="right"/>
              <w:rPr>
                <w:rFonts w:eastAsia="Times New Roman" w:cs="Calibri"/>
                <w:b/>
                <w:bCs/>
                <w:color w:val="000000"/>
                <w:sz w:val="20"/>
                <w:szCs w:val="18"/>
                <w:lang w:eastAsia="sk-SK"/>
              </w:rPr>
            </w:pPr>
          </w:p>
        </w:tc>
        <w:tc>
          <w:tcPr>
            <w:tcW w:w="390" w:type="pct"/>
            <w:gridSpan w:val="2"/>
            <w:tcBorders>
              <w:top w:val="nil"/>
              <w:left w:val="nil"/>
              <w:bottom w:val="nil"/>
              <w:right w:val="nil"/>
            </w:tcBorders>
            <w:shd w:val="clear" w:color="auto" w:fill="auto"/>
            <w:noWrap/>
            <w:vAlign w:val="center"/>
            <w:hideMark/>
          </w:tcPr>
          <w:p w14:paraId="176BBDA4" w14:textId="77777777" w:rsidR="00E66F49" w:rsidRPr="00666914" w:rsidRDefault="00E66F49" w:rsidP="00D27F91">
            <w:pPr>
              <w:spacing w:after="0"/>
              <w:jc w:val="right"/>
              <w:rPr>
                <w:rFonts w:ascii="Times New Roman" w:eastAsia="Times New Roman" w:hAnsi="Times New Roman"/>
                <w:sz w:val="20"/>
                <w:szCs w:val="18"/>
                <w:lang w:eastAsia="sk-SK"/>
              </w:rPr>
            </w:pPr>
          </w:p>
        </w:tc>
        <w:tc>
          <w:tcPr>
            <w:tcW w:w="633" w:type="pct"/>
            <w:tcBorders>
              <w:top w:val="nil"/>
              <w:left w:val="nil"/>
              <w:bottom w:val="nil"/>
              <w:right w:val="nil"/>
            </w:tcBorders>
            <w:shd w:val="clear" w:color="auto" w:fill="auto"/>
            <w:noWrap/>
            <w:vAlign w:val="center"/>
            <w:hideMark/>
          </w:tcPr>
          <w:p w14:paraId="1B56E8B7" w14:textId="77777777" w:rsidR="00E66F49" w:rsidRPr="00666914" w:rsidRDefault="00E66F49" w:rsidP="00D27F91">
            <w:pPr>
              <w:spacing w:after="0"/>
              <w:jc w:val="right"/>
              <w:rPr>
                <w:rFonts w:ascii="Times New Roman" w:eastAsia="Times New Roman" w:hAnsi="Times New Roman"/>
                <w:sz w:val="20"/>
                <w:szCs w:val="18"/>
                <w:lang w:eastAsia="sk-SK"/>
              </w:rPr>
            </w:pPr>
          </w:p>
        </w:tc>
        <w:tc>
          <w:tcPr>
            <w:tcW w:w="989" w:type="pct"/>
            <w:tcBorders>
              <w:top w:val="nil"/>
              <w:left w:val="nil"/>
              <w:bottom w:val="nil"/>
              <w:right w:val="nil"/>
            </w:tcBorders>
            <w:shd w:val="clear" w:color="auto" w:fill="auto"/>
            <w:noWrap/>
            <w:vAlign w:val="center"/>
            <w:hideMark/>
          </w:tcPr>
          <w:p w14:paraId="702A676E" w14:textId="77777777" w:rsidR="00E66F49" w:rsidRPr="00666914" w:rsidRDefault="00E66F49" w:rsidP="00792867">
            <w:pPr>
              <w:spacing w:after="0"/>
              <w:jc w:val="center"/>
              <w:rPr>
                <w:rFonts w:ascii="Times New Roman" w:eastAsia="Times New Roman" w:hAnsi="Times New Roman"/>
                <w:sz w:val="20"/>
                <w:szCs w:val="18"/>
                <w:lang w:eastAsia="sk-SK"/>
              </w:rPr>
            </w:pPr>
          </w:p>
        </w:tc>
        <w:tc>
          <w:tcPr>
            <w:tcW w:w="1190" w:type="pct"/>
            <w:tcBorders>
              <w:top w:val="nil"/>
              <w:left w:val="nil"/>
              <w:bottom w:val="nil"/>
              <w:right w:val="nil"/>
            </w:tcBorders>
            <w:shd w:val="clear" w:color="auto" w:fill="auto"/>
            <w:noWrap/>
            <w:vAlign w:val="center"/>
            <w:hideMark/>
          </w:tcPr>
          <w:p w14:paraId="25CED495" w14:textId="77777777" w:rsidR="00E66F49" w:rsidRPr="00666914" w:rsidRDefault="00E66F49" w:rsidP="00792867">
            <w:pPr>
              <w:spacing w:after="0"/>
              <w:jc w:val="center"/>
              <w:rPr>
                <w:rFonts w:ascii="Times New Roman" w:eastAsia="Times New Roman" w:hAnsi="Times New Roman"/>
                <w:sz w:val="20"/>
                <w:szCs w:val="18"/>
                <w:lang w:eastAsia="sk-SK"/>
              </w:rPr>
            </w:pPr>
          </w:p>
        </w:tc>
      </w:tr>
      <w:tr w:rsidR="00E66F49" w:rsidRPr="00666914" w14:paraId="60245539" w14:textId="77777777" w:rsidTr="00792867">
        <w:trPr>
          <w:trHeight w:val="255"/>
        </w:trPr>
        <w:tc>
          <w:tcPr>
            <w:tcW w:w="1798" w:type="pct"/>
            <w:tcBorders>
              <w:top w:val="single" w:sz="4" w:space="0" w:color="auto"/>
              <w:left w:val="nil"/>
              <w:bottom w:val="single" w:sz="4" w:space="0" w:color="auto"/>
              <w:right w:val="nil"/>
            </w:tcBorders>
            <w:shd w:val="clear" w:color="auto" w:fill="auto"/>
            <w:noWrap/>
            <w:vAlign w:val="bottom"/>
            <w:hideMark/>
          </w:tcPr>
          <w:p w14:paraId="3C1459D6" w14:textId="77777777" w:rsidR="00E66F49" w:rsidRPr="00666914" w:rsidRDefault="00E66F49" w:rsidP="00D27F91">
            <w:pPr>
              <w:spacing w:after="0"/>
              <w:jc w:val="left"/>
              <w:rPr>
                <w:rFonts w:eastAsia="Times New Roman" w:cs="Calibri"/>
                <w:b/>
                <w:bCs/>
                <w:color w:val="000000"/>
                <w:sz w:val="20"/>
                <w:szCs w:val="18"/>
                <w:lang w:eastAsia="sk-SK"/>
              </w:rPr>
            </w:pPr>
            <w:r w:rsidRPr="00666914">
              <w:rPr>
                <w:rFonts w:eastAsia="Times New Roman" w:cs="Calibri"/>
                <w:b/>
                <w:bCs/>
                <w:color w:val="000000"/>
                <w:sz w:val="20"/>
                <w:szCs w:val="18"/>
                <w:lang w:eastAsia="sk-SK"/>
              </w:rPr>
              <w:t>Cieľový celkový počet UoZ počas obdobia 04/2017 - 12/2021</w:t>
            </w:r>
          </w:p>
        </w:tc>
        <w:tc>
          <w:tcPr>
            <w:tcW w:w="390" w:type="pct"/>
            <w:gridSpan w:val="2"/>
            <w:tcBorders>
              <w:top w:val="single" w:sz="4" w:space="0" w:color="auto"/>
              <w:left w:val="nil"/>
              <w:bottom w:val="single" w:sz="4" w:space="0" w:color="auto"/>
              <w:right w:val="nil"/>
            </w:tcBorders>
            <w:shd w:val="clear" w:color="auto" w:fill="auto"/>
            <w:noWrap/>
            <w:vAlign w:val="center"/>
            <w:hideMark/>
          </w:tcPr>
          <w:p w14:paraId="73C74706" w14:textId="77777777" w:rsidR="00E66F49" w:rsidRPr="00666914" w:rsidRDefault="00E66F49" w:rsidP="00D27F91">
            <w:pPr>
              <w:spacing w:after="0"/>
              <w:jc w:val="right"/>
              <w:rPr>
                <w:rFonts w:eastAsia="Times New Roman" w:cs="Calibri"/>
                <w:b/>
                <w:bCs/>
                <w:color w:val="000000"/>
                <w:sz w:val="20"/>
                <w:szCs w:val="18"/>
                <w:lang w:eastAsia="sk-SK"/>
              </w:rPr>
            </w:pPr>
            <w:r w:rsidRPr="00666914">
              <w:rPr>
                <w:rFonts w:eastAsia="Times New Roman" w:cs="Calibri"/>
                <w:b/>
                <w:bCs/>
                <w:color w:val="000000"/>
                <w:sz w:val="20"/>
                <w:szCs w:val="18"/>
                <w:lang w:eastAsia="sk-SK"/>
              </w:rPr>
              <w:t>36 000</w:t>
            </w:r>
          </w:p>
        </w:tc>
        <w:tc>
          <w:tcPr>
            <w:tcW w:w="633" w:type="pct"/>
            <w:tcBorders>
              <w:top w:val="single" w:sz="4" w:space="0" w:color="auto"/>
              <w:left w:val="nil"/>
              <w:bottom w:val="single" w:sz="4" w:space="0" w:color="auto"/>
              <w:right w:val="nil"/>
            </w:tcBorders>
            <w:shd w:val="clear" w:color="auto" w:fill="auto"/>
            <w:noWrap/>
            <w:vAlign w:val="center"/>
            <w:hideMark/>
          </w:tcPr>
          <w:p w14:paraId="3EFC9AAE" w14:textId="77777777" w:rsidR="00E66F49" w:rsidRPr="00666914" w:rsidRDefault="00E66F49" w:rsidP="00D27F91">
            <w:pPr>
              <w:spacing w:after="0"/>
              <w:jc w:val="right"/>
              <w:rPr>
                <w:rFonts w:eastAsia="Times New Roman" w:cs="Calibri"/>
                <w:b/>
                <w:bCs/>
                <w:color w:val="000000"/>
                <w:sz w:val="20"/>
                <w:szCs w:val="18"/>
                <w:lang w:eastAsia="sk-SK"/>
              </w:rPr>
            </w:pPr>
            <w:r w:rsidRPr="00666914">
              <w:rPr>
                <w:rFonts w:eastAsia="Times New Roman" w:cs="Calibri"/>
                <w:b/>
                <w:bCs/>
                <w:color w:val="000000"/>
                <w:sz w:val="20"/>
                <w:szCs w:val="18"/>
                <w:lang w:eastAsia="sk-SK"/>
              </w:rPr>
              <w:t>55%</w:t>
            </w:r>
          </w:p>
        </w:tc>
        <w:tc>
          <w:tcPr>
            <w:tcW w:w="989" w:type="pct"/>
            <w:tcBorders>
              <w:top w:val="single" w:sz="4" w:space="0" w:color="auto"/>
              <w:left w:val="nil"/>
              <w:bottom w:val="single" w:sz="4" w:space="0" w:color="auto"/>
              <w:right w:val="nil"/>
            </w:tcBorders>
            <w:shd w:val="clear" w:color="auto" w:fill="auto"/>
            <w:noWrap/>
            <w:vAlign w:val="center"/>
            <w:hideMark/>
          </w:tcPr>
          <w:p w14:paraId="7BC6D575" w14:textId="485E7149" w:rsidR="00E66F49" w:rsidRPr="00666914" w:rsidRDefault="00E66F49" w:rsidP="00792867">
            <w:pPr>
              <w:spacing w:after="0"/>
              <w:jc w:val="center"/>
              <w:rPr>
                <w:rFonts w:eastAsia="Times New Roman" w:cs="Calibri"/>
                <w:b/>
                <w:bCs/>
                <w:color w:val="000000"/>
                <w:sz w:val="20"/>
                <w:szCs w:val="18"/>
                <w:lang w:eastAsia="sk-SK"/>
              </w:rPr>
            </w:pPr>
          </w:p>
        </w:tc>
        <w:tc>
          <w:tcPr>
            <w:tcW w:w="1190" w:type="pct"/>
            <w:tcBorders>
              <w:top w:val="single" w:sz="4" w:space="0" w:color="auto"/>
              <w:left w:val="nil"/>
              <w:bottom w:val="single" w:sz="4" w:space="0" w:color="auto"/>
              <w:right w:val="nil"/>
            </w:tcBorders>
            <w:shd w:val="clear" w:color="auto" w:fill="auto"/>
            <w:noWrap/>
            <w:vAlign w:val="center"/>
            <w:hideMark/>
          </w:tcPr>
          <w:p w14:paraId="15F7D7F3" w14:textId="6A2CD303" w:rsidR="00E66F49" w:rsidRPr="00666914" w:rsidRDefault="00E66F49" w:rsidP="00792867">
            <w:pPr>
              <w:spacing w:after="0"/>
              <w:jc w:val="center"/>
              <w:rPr>
                <w:rFonts w:eastAsia="Times New Roman" w:cs="Calibri"/>
                <w:b/>
                <w:bCs/>
                <w:color w:val="000000"/>
                <w:sz w:val="20"/>
                <w:szCs w:val="18"/>
                <w:lang w:eastAsia="sk-SK"/>
              </w:rPr>
            </w:pPr>
          </w:p>
        </w:tc>
      </w:tr>
      <w:tr w:rsidR="00E66F49" w:rsidRPr="00666914" w14:paraId="7BD7EDFD" w14:textId="77777777" w:rsidTr="00D27F91">
        <w:trPr>
          <w:trHeight w:val="270"/>
        </w:trPr>
        <w:tc>
          <w:tcPr>
            <w:tcW w:w="1798" w:type="pct"/>
            <w:tcBorders>
              <w:top w:val="nil"/>
              <w:left w:val="nil"/>
              <w:bottom w:val="nil"/>
              <w:right w:val="nil"/>
            </w:tcBorders>
            <w:shd w:val="clear" w:color="auto" w:fill="auto"/>
            <w:noWrap/>
            <w:vAlign w:val="bottom"/>
            <w:hideMark/>
          </w:tcPr>
          <w:p w14:paraId="6CE664A4" w14:textId="77777777" w:rsidR="00E66F49" w:rsidRPr="00666914" w:rsidRDefault="00E66F49" w:rsidP="00D27F91">
            <w:pPr>
              <w:spacing w:after="0"/>
              <w:jc w:val="right"/>
              <w:rPr>
                <w:rFonts w:eastAsia="Times New Roman" w:cs="Calibri"/>
                <w:b/>
                <w:bCs/>
                <w:color w:val="000000"/>
                <w:sz w:val="20"/>
                <w:szCs w:val="20"/>
                <w:lang w:eastAsia="sk-SK"/>
              </w:rPr>
            </w:pPr>
          </w:p>
        </w:tc>
        <w:tc>
          <w:tcPr>
            <w:tcW w:w="364" w:type="pct"/>
            <w:tcBorders>
              <w:top w:val="nil"/>
              <w:left w:val="nil"/>
              <w:bottom w:val="nil"/>
              <w:right w:val="nil"/>
            </w:tcBorders>
            <w:shd w:val="clear" w:color="auto" w:fill="auto"/>
            <w:noWrap/>
            <w:vAlign w:val="bottom"/>
            <w:hideMark/>
          </w:tcPr>
          <w:p w14:paraId="5DAFC7DC" w14:textId="77777777" w:rsidR="00E66F49" w:rsidRPr="00666914" w:rsidRDefault="00E66F49" w:rsidP="00D27F91">
            <w:pPr>
              <w:spacing w:after="0"/>
              <w:jc w:val="left"/>
              <w:rPr>
                <w:rFonts w:ascii="Times New Roman" w:eastAsia="Times New Roman" w:hAnsi="Times New Roman"/>
                <w:sz w:val="20"/>
                <w:szCs w:val="20"/>
                <w:lang w:eastAsia="sk-SK"/>
              </w:rPr>
            </w:pPr>
          </w:p>
        </w:tc>
        <w:tc>
          <w:tcPr>
            <w:tcW w:w="659" w:type="pct"/>
            <w:gridSpan w:val="2"/>
            <w:tcBorders>
              <w:top w:val="nil"/>
              <w:left w:val="nil"/>
              <w:bottom w:val="nil"/>
              <w:right w:val="nil"/>
            </w:tcBorders>
            <w:shd w:val="clear" w:color="auto" w:fill="auto"/>
            <w:noWrap/>
            <w:vAlign w:val="bottom"/>
            <w:hideMark/>
          </w:tcPr>
          <w:p w14:paraId="3B932C7F" w14:textId="77777777" w:rsidR="00E66F49" w:rsidRPr="00666914" w:rsidRDefault="00E66F49" w:rsidP="00D27F91">
            <w:pPr>
              <w:spacing w:after="0"/>
              <w:jc w:val="right"/>
              <w:rPr>
                <w:rFonts w:ascii="Times New Roman" w:eastAsia="Times New Roman" w:hAnsi="Times New Roman"/>
                <w:sz w:val="20"/>
                <w:szCs w:val="20"/>
                <w:lang w:eastAsia="sk-SK"/>
              </w:rPr>
            </w:pPr>
          </w:p>
        </w:tc>
        <w:tc>
          <w:tcPr>
            <w:tcW w:w="989" w:type="pct"/>
            <w:tcBorders>
              <w:top w:val="nil"/>
              <w:left w:val="nil"/>
              <w:bottom w:val="nil"/>
              <w:right w:val="nil"/>
            </w:tcBorders>
            <w:shd w:val="clear" w:color="auto" w:fill="auto"/>
            <w:noWrap/>
            <w:vAlign w:val="bottom"/>
            <w:hideMark/>
          </w:tcPr>
          <w:p w14:paraId="181EDB5B" w14:textId="77777777" w:rsidR="00E66F49" w:rsidRPr="00666914" w:rsidRDefault="00E66F49" w:rsidP="00D27F91">
            <w:pPr>
              <w:spacing w:after="0"/>
              <w:jc w:val="right"/>
              <w:rPr>
                <w:rFonts w:ascii="Times New Roman" w:eastAsia="Times New Roman" w:hAnsi="Times New Roman"/>
                <w:sz w:val="20"/>
                <w:szCs w:val="20"/>
                <w:lang w:eastAsia="sk-SK"/>
              </w:rPr>
            </w:pPr>
          </w:p>
        </w:tc>
        <w:tc>
          <w:tcPr>
            <w:tcW w:w="1190" w:type="pct"/>
            <w:tcBorders>
              <w:top w:val="nil"/>
              <w:left w:val="nil"/>
              <w:bottom w:val="nil"/>
              <w:right w:val="nil"/>
            </w:tcBorders>
            <w:shd w:val="clear" w:color="auto" w:fill="auto"/>
            <w:noWrap/>
            <w:vAlign w:val="bottom"/>
            <w:hideMark/>
          </w:tcPr>
          <w:p w14:paraId="72D1F604" w14:textId="77777777" w:rsidR="00E66F49" w:rsidRPr="00666914" w:rsidRDefault="00E66F49" w:rsidP="00D27F91">
            <w:pPr>
              <w:spacing w:after="0"/>
              <w:jc w:val="right"/>
              <w:rPr>
                <w:rFonts w:eastAsia="Times New Roman" w:cs="Calibri"/>
                <w:i/>
                <w:iCs/>
                <w:color w:val="000000"/>
                <w:sz w:val="18"/>
                <w:szCs w:val="18"/>
                <w:lang w:eastAsia="sk-SK"/>
              </w:rPr>
            </w:pPr>
            <w:r w:rsidRPr="00666914">
              <w:rPr>
                <w:rFonts w:eastAsia="Times New Roman" w:cs="Calibri"/>
                <w:i/>
                <w:iCs/>
                <w:color w:val="000000"/>
                <w:sz w:val="18"/>
                <w:szCs w:val="18"/>
                <w:lang w:eastAsia="sk-SK"/>
              </w:rPr>
              <w:t>Zdroj: ÚPSVaR – ISSZ</w:t>
            </w:r>
          </w:p>
        </w:tc>
      </w:tr>
    </w:tbl>
    <w:p w14:paraId="68857169" w14:textId="77777777" w:rsidR="0018234F" w:rsidRDefault="0018234F" w:rsidP="0018234F">
      <w:pPr>
        <w:spacing w:after="0"/>
        <w:rPr>
          <w:b/>
        </w:rPr>
      </w:pPr>
    </w:p>
    <w:p w14:paraId="011F6BB4" w14:textId="2610AB39" w:rsidR="00E66F49" w:rsidRPr="00666914" w:rsidRDefault="00E66F49" w:rsidP="00D27F91">
      <w:r w:rsidRPr="00666914">
        <w:rPr>
          <w:b/>
        </w:rPr>
        <w:t>Aktivita č. 6 predstavuje poskytnutie intenzívneho a individualizovaného poradenstva UoZ s trvalým pobytom na území 12 najmenej rozvinutých okresov SR,</w:t>
      </w:r>
      <w:r w:rsidRPr="00666914">
        <w:t xml:space="preserve"> </w:t>
      </w:r>
      <w:r w:rsidRPr="00666914">
        <w:rPr>
          <w:b/>
        </w:rPr>
        <w:t>zohľadňujúceho individuálnu sociálnu situáciu.</w:t>
      </w:r>
      <w:r w:rsidRPr="00666914">
        <w:t xml:space="preserve"> Počas trvania projektu sa umiestnilo na trhu práce 2 708 uchádzačov (do 6 mesiacov od ukončenia poradenského procesu), čo predstavuje 1</w:t>
      </w:r>
      <w:r w:rsidR="00543D4C" w:rsidRPr="00666914">
        <w:t>5</w:t>
      </w:r>
      <w:r w:rsidRPr="00666914">
        <w:t xml:space="preserve"> % z počtu UoZ, ktorí ukončili poradenský proces.</w:t>
      </w:r>
    </w:p>
    <w:p w14:paraId="2D739B61" w14:textId="3CD1C727" w:rsidR="00E66F49" w:rsidRPr="00666914" w:rsidRDefault="00E66F49" w:rsidP="00D27F91">
      <w:pPr>
        <w:spacing w:before="101" w:line="276" w:lineRule="auto"/>
        <w:rPr>
          <w:b/>
        </w:rPr>
      </w:pPr>
      <w:r w:rsidRPr="00666914">
        <w:rPr>
          <w:b/>
        </w:rPr>
        <w:t>K zlepšeniu vyhodnocovania výsledkov poradenských aktivít má prispieť aj od 06/2019 zavedený pravidelný monitoring</w:t>
      </w:r>
      <w:r w:rsidRPr="00666914">
        <w:t xml:space="preserve"> kvalitatívnych výstupov prostredníctvom on-line formulára, dostupného na stránke ÚPSVaR. Do 12/2019 bolo natypovaných týmto spôsobom celkovo 7 601 analýz, pričom najväčší pokrok bol dosiahnutý v týchto 5 oblastiach (graf 1</w:t>
      </w:r>
      <w:r w:rsidR="0036315A" w:rsidRPr="00666914">
        <w:t>9</w:t>
      </w:r>
      <w:r w:rsidRPr="00666914">
        <w:t>).</w:t>
      </w:r>
    </w:p>
    <w:p w14:paraId="2F61EF0C" w14:textId="49A2EF87" w:rsidR="00E66F49" w:rsidRPr="00666914" w:rsidRDefault="00E66F49" w:rsidP="00BD5C93">
      <w:pPr>
        <w:pBdr>
          <w:bottom w:val="single" w:sz="4" w:space="1" w:color="auto"/>
        </w:pBdr>
        <w:spacing w:after="0" w:line="259" w:lineRule="auto"/>
        <w:jc w:val="left"/>
        <w:rPr>
          <w:b/>
          <w:sz w:val="20"/>
        </w:rPr>
      </w:pPr>
      <w:bookmarkStart w:id="381" w:name="_Toc21522857"/>
      <w:bookmarkStart w:id="382" w:name="_Toc38390063"/>
      <w:r w:rsidRPr="00666914">
        <w:rPr>
          <w:b/>
          <w:sz w:val="20"/>
        </w:rPr>
        <w:t xml:space="preserve">Graf </w:t>
      </w:r>
      <w:r w:rsidRPr="00666914">
        <w:rPr>
          <w:b/>
          <w:sz w:val="20"/>
        </w:rPr>
        <w:fldChar w:fldCharType="begin"/>
      </w:r>
      <w:r w:rsidRPr="00666914">
        <w:rPr>
          <w:b/>
          <w:sz w:val="20"/>
        </w:rPr>
        <w:instrText xml:space="preserve"> SEQ Graf \* ARABIC \* MERGEFORMAT </w:instrText>
      </w:r>
      <w:r w:rsidRPr="00666914">
        <w:rPr>
          <w:b/>
          <w:sz w:val="20"/>
        </w:rPr>
        <w:fldChar w:fldCharType="separate"/>
      </w:r>
      <w:r w:rsidR="005A7304">
        <w:rPr>
          <w:b/>
          <w:noProof/>
          <w:sz w:val="20"/>
        </w:rPr>
        <w:t>19</w:t>
      </w:r>
      <w:r w:rsidRPr="00666914">
        <w:rPr>
          <w:b/>
          <w:sz w:val="20"/>
        </w:rPr>
        <w:fldChar w:fldCharType="end"/>
      </w:r>
      <w:r w:rsidRPr="00666914">
        <w:rPr>
          <w:b/>
          <w:sz w:val="20"/>
        </w:rPr>
        <w:t>: Prvých 5 kompetencií, v ktorých bol zaznamenaný najväčší pokrok po ukončení poradenstva</w:t>
      </w:r>
      <w:bookmarkEnd w:id="381"/>
      <w:bookmarkEnd w:id="382"/>
    </w:p>
    <w:p w14:paraId="5B1C7D05" w14:textId="77777777" w:rsidR="00E66F49" w:rsidRPr="00666914" w:rsidRDefault="00E66F49" w:rsidP="00D27F91">
      <w:pPr>
        <w:pBdr>
          <w:bottom w:val="single" w:sz="6" w:space="1" w:color="auto"/>
        </w:pBdr>
        <w:spacing w:after="0"/>
        <w:rPr>
          <w:color w:val="C45911" w:themeColor="accent2" w:themeShade="BF"/>
        </w:rPr>
      </w:pPr>
      <w:r w:rsidRPr="00666914">
        <w:rPr>
          <w:noProof/>
          <w:lang w:eastAsia="sk-SK"/>
        </w:rPr>
        <w:drawing>
          <wp:inline distT="0" distB="0" distL="0" distR="0" wp14:anchorId="18328DB0" wp14:editId="77BDFAE8">
            <wp:extent cx="5759450" cy="3146425"/>
            <wp:effectExtent l="0" t="0" r="0"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EF5049A" w14:textId="77777777" w:rsidR="00E66F49" w:rsidRPr="00666914" w:rsidRDefault="00E66F49" w:rsidP="00D27F91">
      <w:pPr>
        <w:spacing w:after="0"/>
        <w:jc w:val="right"/>
        <w:rPr>
          <w:i/>
          <w:sz w:val="18"/>
          <w:szCs w:val="18"/>
        </w:rPr>
      </w:pPr>
      <w:r w:rsidRPr="00666914">
        <w:rPr>
          <w:i/>
          <w:sz w:val="18"/>
          <w:szCs w:val="18"/>
        </w:rPr>
        <w:t xml:space="preserve">Zdroj: ÚPSVaR, spracovanie IJ  </w:t>
      </w:r>
    </w:p>
    <w:p w14:paraId="48BE7557" w14:textId="77777777" w:rsidR="00E66F49" w:rsidRPr="00666914" w:rsidRDefault="00E66F49" w:rsidP="00D27F91"/>
    <w:p w14:paraId="4DA86BF0" w14:textId="26F338DD" w:rsidR="00E66F49" w:rsidRPr="00666914" w:rsidRDefault="00E66F49">
      <w:r w:rsidRPr="00666914">
        <w:rPr>
          <w:b/>
        </w:rPr>
        <w:lastRenderedPageBreak/>
        <w:t>V prípade klientov, ktorí do 6 mesiacov od ukončenia poradenstva nevstúpili na trh práce</w:t>
      </w:r>
      <w:r w:rsidR="00E2247A" w:rsidRPr="00666914">
        <w:rPr>
          <w:b/>
        </w:rPr>
        <w:t>,</w:t>
      </w:r>
      <w:r w:rsidRPr="00666914">
        <w:rPr>
          <w:b/>
        </w:rPr>
        <w:t xml:space="preserve"> je podľa ÚPSvaR potrebná ďalšia intenzívna individuálna poradenská podpora na odstraňovanie tzv. štrukturálnych prekážok</w:t>
      </w:r>
      <w:r w:rsidRPr="00666914">
        <w:t xml:space="preserve"> (tabuľka </w:t>
      </w:r>
      <w:r w:rsidR="00E2247A" w:rsidRPr="00666914">
        <w:t>8</w:t>
      </w:r>
      <w:r w:rsidR="00EB2C64" w:rsidRPr="00666914">
        <w:t>7</w:t>
      </w:r>
      <w:r w:rsidRPr="00666914">
        <w:t>). Odborní poradcovia identifikovali štrukturálne prekážky až u 70 % UoZ, pričom u 43 % z nich šlo o kumuláciu 2 a viac prekážok.</w:t>
      </w:r>
    </w:p>
    <w:tbl>
      <w:tblPr>
        <w:tblW w:w="5000" w:type="pct"/>
        <w:tblCellMar>
          <w:left w:w="70" w:type="dxa"/>
          <w:right w:w="70" w:type="dxa"/>
        </w:tblCellMar>
        <w:tblLook w:val="04A0" w:firstRow="1" w:lastRow="0" w:firstColumn="1" w:lastColumn="0" w:noHBand="0" w:noVBand="1"/>
      </w:tblPr>
      <w:tblGrid>
        <w:gridCol w:w="5775"/>
        <w:gridCol w:w="1399"/>
        <w:gridCol w:w="2040"/>
      </w:tblGrid>
      <w:tr w:rsidR="00E66F49" w:rsidRPr="00666914" w14:paraId="554C4EAB" w14:textId="77777777" w:rsidTr="00D27F91">
        <w:trPr>
          <w:trHeight w:val="330"/>
        </w:trPr>
        <w:tc>
          <w:tcPr>
            <w:tcW w:w="3149" w:type="pct"/>
            <w:tcBorders>
              <w:top w:val="nil"/>
              <w:left w:val="nil"/>
              <w:bottom w:val="nil"/>
              <w:right w:val="nil"/>
            </w:tcBorders>
            <w:shd w:val="clear" w:color="auto" w:fill="auto"/>
            <w:noWrap/>
            <w:vAlign w:val="center"/>
            <w:hideMark/>
          </w:tcPr>
          <w:p w14:paraId="5141AE27" w14:textId="78B5B105" w:rsidR="00E66F49" w:rsidRPr="00666914" w:rsidRDefault="00E66F49" w:rsidP="00D27F91">
            <w:pPr>
              <w:spacing w:after="0"/>
              <w:jc w:val="left"/>
              <w:rPr>
                <w:rFonts w:eastAsia="Times New Roman" w:cs="Calibri"/>
                <w:b/>
                <w:bCs/>
                <w:color w:val="000000"/>
                <w:sz w:val="20"/>
                <w:szCs w:val="20"/>
                <w:lang w:eastAsia="sk-SK"/>
              </w:rPr>
            </w:pPr>
            <w:bookmarkStart w:id="383" w:name="_Toc38447748"/>
            <w:r w:rsidRPr="00666914">
              <w:rPr>
                <w:rFonts w:eastAsia="Times New Roman" w:cs="Calibri"/>
                <w:b/>
                <w:bCs/>
                <w:color w:val="000000"/>
                <w:sz w:val="20"/>
                <w:szCs w:val="20"/>
                <w:lang w:eastAsia="sk-SK"/>
              </w:rPr>
              <w:t xml:space="preserve">Tabuľka </w:t>
            </w:r>
            <w:r w:rsidRPr="00666914">
              <w:rPr>
                <w:rFonts w:eastAsia="Times New Roman" w:cs="Calibri"/>
                <w:b/>
                <w:bCs/>
                <w:color w:val="000000"/>
                <w:sz w:val="20"/>
                <w:szCs w:val="20"/>
                <w:lang w:eastAsia="sk-SK"/>
              </w:rPr>
              <w:fldChar w:fldCharType="begin"/>
            </w:r>
            <w:r w:rsidRPr="00666914">
              <w:rPr>
                <w:rFonts w:eastAsia="Times New Roman" w:cs="Calibri"/>
                <w:b/>
                <w:bCs/>
                <w:color w:val="000000"/>
                <w:sz w:val="20"/>
                <w:szCs w:val="20"/>
                <w:lang w:eastAsia="sk-SK"/>
              </w:rPr>
              <w:instrText xml:space="preserve"> SEQ Tabuľka \* ARABIC \* MERGEFORMAT </w:instrText>
            </w:r>
            <w:r w:rsidRPr="00666914">
              <w:rPr>
                <w:rFonts w:eastAsia="Times New Roman" w:cs="Calibri"/>
                <w:b/>
                <w:bCs/>
                <w:color w:val="000000"/>
                <w:sz w:val="20"/>
                <w:szCs w:val="20"/>
                <w:lang w:eastAsia="sk-SK"/>
              </w:rPr>
              <w:fldChar w:fldCharType="separate"/>
            </w:r>
            <w:r w:rsidR="005A7304">
              <w:rPr>
                <w:rFonts w:eastAsia="Times New Roman" w:cs="Calibri"/>
                <w:b/>
                <w:bCs/>
                <w:noProof/>
                <w:color w:val="000000"/>
                <w:sz w:val="20"/>
                <w:szCs w:val="20"/>
                <w:lang w:eastAsia="sk-SK"/>
              </w:rPr>
              <w:t>87</w:t>
            </w:r>
            <w:r w:rsidRPr="00666914">
              <w:rPr>
                <w:rFonts w:eastAsia="Times New Roman" w:cs="Calibri"/>
                <w:b/>
                <w:bCs/>
                <w:color w:val="000000"/>
                <w:sz w:val="20"/>
                <w:szCs w:val="20"/>
                <w:lang w:eastAsia="sk-SK"/>
              </w:rPr>
              <w:fldChar w:fldCharType="end"/>
            </w:r>
            <w:r w:rsidRPr="00666914">
              <w:rPr>
                <w:rFonts w:eastAsia="Times New Roman" w:cs="Calibri"/>
                <w:b/>
                <w:bCs/>
                <w:color w:val="000000"/>
                <w:sz w:val="20"/>
                <w:szCs w:val="20"/>
                <w:lang w:eastAsia="sk-SK"/>
              </w:rPr>
              <w:t>: Zoznam štrukturálnych prekážok zamestnanosti</w:t>
            </w:r>
            <w:bookmarkEnd w:id="383"/>
          </w:p>
        </w:tc>
        <w:tc>
          <w:tcPr>
            <w:tcW w:w="764" w:type="pct"/>
            <w:tcBorders>
              <w:top w:val="nil"/>
              <w:left w:val="nil"/>
              <w:bottom w:val="nil"/>
              <w:right w:val="nil"/>
            </w:tcBorders>
            <w:shd w:val="clear" w:color="auto" w:fill="auto"/>
            <w:noWrap/>
            <w:vAlign w:val="bottom"/>
            <w:hideMark/>
          </w:tcPr>
          <w:p w14:paraId="5FC2F172" w14:textId="77777777" w:rsidR="00E66F49" w:rsidRPr="00666914" w:rsidRDefault="00E66F49" w:rsidP="00D27F91">
            <w:pPr>
              <w:spacing w:after="0"/>
              <w:jc w:val="left"/>
              <w:rPr>
                <w:rFonts w:eastAsia="Times New Roman" w:cs="Calibri"/>
                <w:b/>
                <w:bCs/>
                <w:color w:val="000000"/>
                <w:sz w:val="20"/>
                <w:szCs w:val="20"/>
                <w:lang w:eastAsia="sk-SK"/>
              </w:rPr>
            </w:pPr>
          </w:p>
        </w:tc>
        <w:tc>
          <w:tcPr>
            <w:tcW w:w="1087" w:type="pct"/>
            <w:tcBorders>
              <w:top w:val="nil"/>
              <w:left w:val="nil"/>
              <w:bottom w:val="nil"/>
              <w:right w:val="nil"/>
            </w:tcBorders>
            <w:shd w:val="clear" w:color="auto" w:fill="auto"/>
            <w:noWrap/>
            <w:vAlign w:val="bottom"/>
            <w:hideMark/>
          </w:tcPr>
          <w:p w14:paraId="54B5961A" w14:textId="77777777" w:rsidR="00E66F49" w:rsidRPr="00666914" w:rsidRDefault="00E66F49" w:rsidP="00D27F91">
            <w:pPr>
              <w:spacing w:after="0"/>
              <w:jc w:val="left"/>
              <w:rPr>
                <w:rFonts w:ascii="Times New Roman" w:eastAsia="Times New Roman" w:hAnsi="Times New Roman"/>
                <w:sz w:val="20"/>
                <w:szCs w:val="20"/>
                <w:lang w:eastAsia="sk-SK"/>
              </w:rPr>
            </w:pPr>
          </w:p>
        </w:tc>
      </w:tr>
      <w:tr w:rsidR="00E66F49" w:rsidRPr="00666914" w14:paraId="17A0C3C7" w14:textId="77777777" w:rsidTr="00D27F91">
        <w:trPr>
          <w:trHeight w:val="495"/>
        </w:trPr>
        <w:tc>
          <w:tcPr>
            <w:tcW w:w="3149" w:type="pct"/>
            <w:tcBorders>
              <w:top w:val="single" w:sz="4" w:space="0" w:color="auto"/>
              <w:left w:val="nil"/>
              <w:bottom w:val="single" w:sz="4" w:space="0" w:color="auto"/>
              <w:right w:val="nil"/>
            </w:tcBorders>
            <w:shd w:val="clear" w:color="auto" w:fill="auto"/>
            <w:noWrap/>
            <w:vAlign w:val="center"/>
            <w:hideMark/>
          </w:tcPr>
          <w:p w14:paraId="6B72CD2F"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P: Identifikované prekážky zaradenia UoZ na trh práce (vstup/výstup)</w:t>
            </w:r>
          </w:p>
        </w:tc>
        <w:tc>
          <w:tcPr>
            <w:tcW w:w="764" w:type="pct"/>
            <w:tcBorders>
              <w:top w:val="single" w:sz="4" w:space="0" w:color="auto"/>
              <w:left w:val="nil"/>
              <w:bottom w:val="single" w:sz="4" w:space="0" w:color="auto"/>
              <w:right w:val="nil"/>
            </w:tcBorders>
            <w:shd w:val="clear" w:color="auto" w:fill="auto"/>
            <w:noWrap/>
            <w:vAlign w:val="center"/>
            <w:hideMark/>
          </w:tcPr>
          <w:p w14:paraId="2E3686D3"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Frekvencia výskytu</w:t>
            </w:r>
          </w:p>
        </w:tc>
        <w:tc>
          <w:tcPr>
            <w:tcW w:w="1087" w:type="pct"/>
            <w:tcBorders>
              <w:top w:val="single" w:sz="4" w:space="0" w:color="auto"/>
              <w:left w:val="nil"/>
              <w:bottom w:val="single" w:sz="4" w:space="0" w:color="auto"/>
              <w:right w:val="nil"/>
            </w:tcBorders>
            <w:shd w:val="clear" w:color="auto" w:fill="auto"/>
            <w:noWrap/>
            <w:vAlign w:val="center"/>
            <w:hideMark/>
          </w:tcPr>
          <w:p w14:paraId="7CDF2524" w14:textId="77777777" w:rsidR="00E66F49" w:rsidRPr="00666914" w:rsidRDefault="00E66F49" w:rsidP="00D27F91">
            <w:pPr>
              <w:spacing w:after="0"/>
              <w:jc w:val="right"/>
              <w:rPr>
                <w:rFonts w:eastAsia="Times New Roman" w:cs="Calibri"/>
                <w:b/>
                <w:bCs/>
                <w:color w:val="000000"/>
                <w:sz w:val="20"/>
                <w:szCs w:val="20"/>
                <w:lang w:eastAsia="sk-SK"/>
              </w:rPr>
            </w:pPr>
            <w:r w:rsidRPr="00666914">
              <w:rPr>
                <w:rFonts w:eastAsia="Times New Roman" w:cs="Calibri"/>
                <w:b/>
                <w:bCs/>
                <w:color w:val="000000"/>
                <w:sz w:val="20"/>
                <w:szCs w:val="20"/>
                <w:lang w:eastAsia="sk-SK"/>
              </w:rPr>
              <w:t>Z toho čiastočne vyriešené</w:t>
            </w:r>
            <w:r w:rsidRPr="00666914">
              <w:rPr>
                <w:rStyle w:val="Odkaznapoznmkupodiarou"/>
                <w:rFonts w:eastAsia="Times New Roman" w:cs="Calibri"/>
                <w:b/>
                <w:bCs/>
                <w:color w:val="000000"/>
                <w:sz w:val="20"/>
                <w:szCs w:val="20"/>
                <w:lang w:eastAsia="sk-SK"/>
              </w:rPr>
              <w:footnoteReference w:id="356"/>
            </w:r>
          </w:p>
        </w:tc>
      </w:tr>
      <w:tr w:rsidR="00E66F49" w:rsidRPr="00666914" w14:paraId="68AA6B56" w14:textId="77777777" w:rsidTr="00D27F91">
        <w:trPr>
          <w:trHeight w:val="345"/>
        </w:trPr>
        <w:tc>
          <w:tcPr>
            <w:tcW w:w="3149" w:type="pct"/>
            <w:tcBorders>
              <w:top w:val="nil"/>
              <w:left w:val="nil"/>
              <w:bottom w:val="nil"/>
              <w:right w:val="nil"/>
            </w:tcBorders>
            <w:shd w:val="clear" w:color="auto" w:fill="auto"/>
            <w:noWrap/>
            <w:vAlign w:val="center"/>
            <w:hideMark/>
          </w:tcPr>
          <w:p w14:paraId="0D8359C6" w14:textId="77777777" w:rsidR="00E66F49" w:rsidRPr="00666914" w:rsidRDefault="00E66F49" w:rsidP="00D27F91">
            <w:pPr>
              <w:spacing w:after="0"/>
              <w:jc w:val="left"/>
              <w:rPr>
                <w:rFonts w:eastAsia="Times New Roman" w:cs="Calibri"/>
                <w:b/>
                <w:bCs/>
                <w:sz w:val="20"/>
                <w:szCs w:val="20"/>
                <w:lang w:eastAsia="sk-SK"/>
              </w:rPr>
            </w:pPr>
            <w:r w:rsidRPr="00666914">
              <w:rPr>
                <w:rFonts w:eastAsia="Times New Roman" w:cs="Calibri"/>
                <w:b/>
                <w:bCs/>
                <w:sz w:val="20"/>
                <w:szCs w:val="20"/>
                <w:lang w:eastAsia="sk-SK"/>
              </w:rPr>
              <w:t>(P.4) - Nízka úroveň digitálnych kompetencií (používanie PC, internetu)</w:t>
            </w:r>
          </w:p>
        </w:tc>
        <w:tc>
          <w:tcPr>
            <w:tcW w:w="764" w:type="pct"/>
            <w:tcBorders>
              <w:top w:val="nil"/>
              <w:left w:val="nil"/>
              <w:bottom w:val="nil"/>
              <w:right w:val="nil"/>
            </w:tcBorders>
            <w:shd w:val="clear" w:color="auto" w:fill="auto"/>
            <w:noWrap/>
            <w:vAlign w:val="center"/>
            <w:hideMark/>
          </w:tcPr>
          <w:p w14:paraId="0317C86A" w14:textId="77777777" w:rsidR="00E66F49" w:rsidRPr="00666914" w:rsidRDefault="00E66F49" w:rsidP="00D27F91">
            <w:pPr>
              <w:spacing w:after="0"/>
              <w:jc w:val="right"/>
              <w:rPr>
                <w:rFonts w:eastAsia="Times New Roman" w:cs="Calibri"/>
                <w:b/>
                <w:bCs/>
                <w:sz w:val="20"/>
                <w:szCs w:val="20"/>
                <w:lang w:eastAsia="sk-SK"/>
              </w:rPr>
            </w:pPr>
            <w:r w:rsidRPr="00666914">
              <w:rPr>
                <w:rFonts w:eastAsia="Times New Roman" w:cs="Calibri"/>
                <w:b/>
                <w:bCs/>
                <w:sz w:val="20"/>
                <w:szCs w:val="20"/>
                <w:lang w:eastAsia="sk-SK"/>
              </w:rPr>
              <w:t>45%</w:t>
            </w:r>
          </w:p>
        </w:tc>
        <w:tc>
          <w:tcPr>
            <w:tcW w:w="1087" w:type="pct"/>
            <w:tcBorders>
              <w:top w:val="nil"/>
              <w:left w:val="nil"/>
              <w:bottom w:val="nil"/>
              <w:right w:val="nil"/>
            </w:tcBorders>
            <w:shd w:val="clear" w:color="auto" w:fill="auto"/>
            <w:noWrap/>
            <w:vAlign w:val="center"/>
            <w:hideMark/>
          </w:tcPr>
          <w:p w14:paraId="427048EC" w14:textId="77777777" w:rsidR="00E66F49" w:rsidRPr="00666914" w:rsidRDefault="00E66F49" w:rsidP="00D27F91">
            <w:pPr>
              <w:spacing w:after="0"/>
              <w:jc w:val="right"/>
              <w:rPr>
                <w:rFonts w:eastAsia="Times New Roman" w:cs="Calibri"/>
                <w:b/>
                <w:bCs/>
                <w:sz w:val="20"/>
                <w:szCs w:val="20"/>
                <w:lang w:eastAsia="sk-SK"/>
              </w:rPr>
            </w:pPr>
            <w:r w:rsidRPr="00666914">
              <w:rPr>
                <w:rFonts w:eastAsia="Times New Roman" w:cs="Calibri"/>
                <w:b/>
                <w:bCs/>
                <w:sz w:val="20"/>
                <w:szCs w:val="20"/>
                <w:lang w:eastAsia="sk-SK"/>
              </w:rPr>
              <w:t>19%</w:t>
            </w:r>
          </w:p>
        </w:tc>
      </w:tr>
      <w:tr w:rsidR="00E66F49" w:rsidRPr="00666914" w14:paraId="28EB9DC3" w14:textId="77777777" w:rsidTr="00D27F91">
        <w:trPr>
          <w:trHeight w:val="345"/>
        </w:trPr>
        <w:tc>
          <w:tcPr>
            <w:tcW w:w="3149" w:type="pct"/>
            <w:tcBorders>
              <w:top w:val="nil"/>
              <w:left w:val="nil"/>
              <w:bottom w:val="nil"/>
              <w:right w:val="nil"/>
            </w:tcBorders>
            <w:shd w:val="clear" w:color="auto" w:fill="auto"/>
            <w:noWrap/>
            <w:vAlign w:val="center"/>
            <w:hideMark/>
          </w:tcPr>
          <w:p w14:paraId="6CE4BEC5" w14:textId="77777777" w:rsidR="00E66F49" w:rsidRPr="00666914" w:rsidRDefault="00E66F49" w:rsidP="00D27F91">
            <w:pPr>
              <w:spacing w:after="0"/>
              <w:jc w:val="left"/>
              <w:rPr>
                <w:rFonts w:eastAsia="Times New Roman" w:cs="Calibri"/>
                <w:b/>
                <w:bCs/>
                <w:sz w:val="20"/>
                <w:szCs w:val="20"/>
                <w:lang w:eastAsia="sk-SK"/>
              </w:rPr>
            </w:pPr>
            <w:r w:rsidRPr="00666914">
              <w:rPr>
                <w:rFonts w:eastAsia="Times New Roman" w:cs="Calibri"/>
                <w:b/>
                <w:bCs/>
                <w:sz w:val="20"/>
                <w:szCs w:val="20"/>
                <w:lang w:eastAsia="sk-SK"/>
              </w:rPr>
              <w:t>(P.5) - Starostlivosť o rodinných príslušníkov (deti, v starobe, invalidite)</w:t>
            </w:r>
          </w:p>
        </w:tc>
        <w:tc>
          <w:tcPr>
            <w:tcW w:w="764" w:type="pct"/>
            <w:tcBorders>
              <w:top w:val="nil"/>
              <w:left w:val="nil"/>
              <w:bottom w:val="nil"/>
              <w:right w:val="nil"/>
            </w:tcBorders>
            <w:shd w:val="clear" w:color="auto" w:fill="auto"/>
            <w:noWrap/>
            <w:vAlign w:val="center"/>
            <w:hideMark/>
          </w:tcPr>
          <w:p w14:paraId="1E77876D" w14:textId="77777777" w:rsidR="00E66F49" w:rsidRPr="00666914" w:rsidRDefault="00E66F49" w:rsidP="00D27F91">
            <w:pPr>
              <w:spacing w:after="0"/>
              <w:jc w:val="right"/>
              <w:rPr>
                <w:rFonts w:eastAsia="Times New Roman" w:cs="Calibri"/>
                <w:b/>
                <w:bCs/>
                <w:sz w:val="20"/>
                <w:szCs w:val="20"/>
                <w:lang w:eastAsia="sk-SK"/>
              </w:rPr>
            </w:pPr>
            <w:r w:rsidRPr="00666914">
              <w:rPr>
                <w:rFonts w:eastAsia="Times New Roman" w:cs="Calibri"/>
                <w:b/>
                <w:bCs/>
                <w:sz w:val="20"/>
                <w:szCs w:val="20"/>
                <w:lang w:eastAsia="sk-SK"/>
              </w:rPr>
              <w:t>25%</w:t>
            </w:r>
          </w:p>
        </w:tc>
        <w:tc>
          <w:tcPr>
            <w:tcW w:w="1087" w:type="pct"/>
            <w:tcBorders>
              <w:top w:val="nil"/>
              <w:left w:val="nil"/>
              <w:bottom w:val="nil"/>
              <w:right w:val="nil"/>
            </w:tcBorders>
            <w:shd w:val="clear" w:color="auto" w:fill="auto"/>
            <w:noWrap/>
            <w:vAlign w:val="center"/>
            <w:hideMark/>
          </w:tcPr>
          <w:p w14:paraId="6A931DD0" w14:textId="77777777" w:rsidR="00E66F49" w:rsidRPr="00666914" w:rsidRDefault="00E66F49" w:rsidP="00D27F91">
            <w:pPr>
              <w:spacing w:after="0"/>
              <w:jc w:val="right"/>
              <w:rPr>
                <w:rFonts w:eastAsia="Times New Roman" w:cs="Calibri"/>
                <w:b/>
                <w:bCs/>
                <w:sz w:val="20"/>
                <w:szCs w:val="20"/>
                <w:lang w:eastAsia="sk-SK"/>
              </w:rPr>
            </w:pPr>
            <w:r w:rsidRPr="00666914">
              <w:rPr>
                <w:rFonts w:eastAsia="Times New Roman" w:cs="Calibri"/>
                <w:b/>
                <w:bCs/>
                <w:sz w:val="20"/>
                <w:szCs w:val="20"/>
                <w:lang w:eastAsia="sk-SK"/>
              </w:rPr>
              <w:t>12%</w:t>
            </w:r>
          </w:p>
        </w:tc>
      </w:tr>
      <w:tr w:rsidR="00E66F49" w:rsidRPr="00666914" w14:paraId="4621383F" w14:textId="77777777" w:rsidTr="00D27F91">
        <w:trPr>
          <w:trHeight w:val="345"/>
        </w:trPr>
        <w:tc>
          <w:tcPr>
            <w:tcW w:w="3149" w:type="pct"/>
            <w:tcBorders>
              <w:top w:val="nil"/>
              <w:left w:val="nil"/>
              <w:bottom w:val="nil"/>
              <w:right w:val="nil"/>
            </w:tcBorders>
            <w:shd w:val="clear" w:color="auto" w:fill="auto"/>
            <w:noWrap/>
            <w:vAlign w:val="center"/>
            <w:hideMark/>
          </w:tcPr>
          <w:p w14:paraId="72101C93" w14:textId="77777777" w:rsidR="00E66F49" w:rsidRPr="00666914" w:rsidRDefault="00E66F49" w:rsidP="00D27F91">
            <w:pPr>
              <w:spacing w:after="0"/>
              <w:jc w:val="left"/>
              <w:rPr>
                <w:rFonts w:eastAsia="Times New Roman" w:cs="Calibri"/>
                <w:b/>
                <w:bCs/>
                <w:sz w:val="20"/>
                <w:szCs w:val="20"/>
                <w:lang w:eastAsia="sk-SK"/>
              </w:rPr>
            </w:pPr>
            <w:r w:rsidRPr="00666914">
              <w:rPr>
                <w:rFonts w:eastAsia="Times New Roman" w:cs="Calibri"/>
                <w:b/>
                <w:bCs/>
                <w:sz w:val="20"/>
                <w:szCs w:val="20"/>
                <w:lang w:eastAsia="sk-SK"/>
              </w:rPr>
              <w:t>(P.8) - Zdravotný stav (zdravotné obmedzenia súvisiace s výkonom pracovnej činnosti)</w:t>
            </w:r>
          </w:p>
        </w:tc>
        <w:tc>
          <w:tcPr>
            <w:tcW w:w="764" w:type="pct"/>
            <w:tcBorders>
              <w:top w:val="nil"/>
              <w:left w:val="nil"/>
              <w:bottom w:val="nil"/>
              <w:right w:val="nil"/>
            </w:tcBorders>
            <w:shd w:val="clear" w:color="auto" w:fill="auto"/>
            <w:noWrap/>
            <w:vAlign w:val="center"/>
            <w:hideMark/>
          </w:tcPr>
          <w:p w14:paraId="6F253254" w14:textId="77777777" w:rsidR="00E66F49" w:rsidRPr="00666914" w:rsidRDefault="00E66F49" w:rsidP="00D27F91">
            <w:pPr>
              <w:spacing w:after="0"/>
              <w:jc w:val="right"/>
              <w:rPr>
                <w:rFonts w:eastAsia="Times New Roman" w:cs="Calibri"/>
                <w:b/>
                <w:bCs/>
                <w:sz w:val="20"/>
                <w:szCs w:val="20"/>
                <w:lang w:eastAsia="sk-SK"/>
              </w:rPr>
            </w:pPr>
            <w:r w:rsidRPr="00666914">
              <w:rPr>
                <w:rFonts w:eastAsia="Times New Roman" w:cs="Calibri"/>
                <w:b/>
                <w:bCs/>
                <w:sz w:val="20"/>
                <w:szCs w:val="20"/>
                <w:lang w:eastAsia="sk-SK"/>
              </w:rPr>
              <w:t>20%</w:t>
            </w:r>
          </w:p>
        </w:tc>
        <w:tc>
          <w:tcPr>
            <w:tcW w:w="1087" w:type="pct"/>
            <w:tcBorders>
              <w:top w:val="nil"/>
              <w:left w:val="nil"/>
              <w:bottom w:val="nil"/>
              <w:right w:val="nil"/>
            </w:tcBorders>
            <w:shd w:val="clear" w:color="auto" w:fill="auto"/>
            <w:noWrap/>
            <w:vAlign w:val="center"/>
            <w:hideMark/>
          </w:tcPr>
          <w:p w14:paraId="0108B555" w14:textId="77777777" w:rsidR="00E66F49" w:rsidRPr="00666914" w:rsidRDefault="00E66F49" w:rsidP="00D27F91">
            <w:pPr>
              <w:spacing w:after="0"/>
              <w:jc w:val="right"/>
              <w:rPr>
                <w:rFonts w:eastAsia="Times New Roman" w:cs="Calibri"/>
                <w:b/>
                <w:bCs/>
                <w:sz w:val="20"/>
                <w:szCs w:val="20"/>
                <w:lang w:eastAsia="sk-SK"/>
              </w:rPr>
            </w:pPr>
            <w:r w:rsidRPr="00666914">
              <w:rPr>
                <w:rFonts w:eastAsia="Times New Roman" w:cs="Calibri"/>
                <w:b/>
                <w:bCs/>
                <w:sz w:val="20"/>
                <w:szCs w:val="20"/>
                <w:lang w:eastAsia="sk-SK"/>
              </w:rPr>
              <w:t>7%</w:t>
            </w:r>
          </w:p>
        </w:tc>
      </w:tr>
      <w:tr w:rsidR="00E66F49" w:rsidRPr="00666914" w14:paraId="670BE635" w14:textId="77777777" w:rsidTr="00D27F91">
        <w:trPr>
          <w:trHeight w:val="345"/>
        </w:trPr>
        <w:tc>
          <w:tcPr>
            <w:tcW w:w="3149" w:type="pct"/>
            <w:tcBorders>
              <w:top w:val="nil"/>
              <w:left w:val="nil"/>
              <w:bottom w:val="nil"/>
              <w:right w:val="nil"/>
            </w:tcBorders>
            <w:shd w:val="clear" w:color="auto" w:fill="auto"/>
            <w:noWrap/>
            <w:vAlign w:val="center"/>
            <w:hideMark/>
          </w:tcPr>
          <w:p w14:paraId="0377B5D6"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(P.11) - Nemá žiadnu pracovnú skúsenosť</w:t>
            </w:r>
          </w:p>
        </w:tc>
        <w:tc>
          <w:tcPr>
            <w:tcW w:w="764" w:type="pct"/>
            <w:tcBorders>
              <w:top w:val="nil"/>
              <w:left w:val="nil"/>
              <w:bottom w:val="nil"/>
              <w:right w:val="nil"/>
            </w:tcBorders>
            <w:shd w:val="clear" w:color="auto" w:fill="auto"/>
            <w:noWrap/>
            <w:vAlign w:val="center"/>
            <w:hideMark/>
          </w:tcPr>
          <w:p w14:paraId="228795BB"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19%</w:t>
            </w:r>
          </w:p>
        </w:tc>
        <w:tc>
          <w:tcPr>
            <w:tcW w:w="1087" w:type="pct"/>
            <w:tcBorders>
              <w:top w:val="nil"/>
              <w:left w:val="nil"/>
              <w:bottom w:val="nil"/>
              <w:right w:val="nil"/>
            </w:tcBorders>
            <w:shd w:val="clear" w:color="auto" w:fill="auto"/>
            <w:noWrap/>
            <w:vAlign w:val="center"/>
            <w:hideMark/>
          </w:tcPr>
          <w:p w14:paraId="4687E93F"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26%</w:t>
            </w:r>
          </w:p>
        </w:tc>
      </w:tr>
      <w:tr w:rsidR="00E66F49" w:rsidRPr="00666914" w14:paraId="08FC03B1" w14:textId="77777777" w:rsidTr="00D27F91">
        <w:trPr>
          <w:trHeight w:val="345"/>
        </w:trPr>
        <w:tc>
          <w:tcPr>
            <w:tcW w:w="3149" w:type="pct"/>
            <w:tcBorders>
              <w:top w:val="nil"/>
              <w:left w:val="nil"/>
              <w:bottom w:val="nil"/>
              <w:right w:val="nil"/>
            </w:tcBorders>
            <w:shd w:val="clear" w:color="auto" w:fill="auto"/>
            <w:noWrap/>
            <w:vAlign w:val="center"/>
            <w:hideMark/>
          </w:tcPr>
          <w:p w14:paraId="4E8B74AA"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(P.1) - Nízka funkčná gramotnosť (porozumenie textu, písanie)</w:t>
            </w:r>
            <w:r w:rsidRPr="00666914">
              <w:rPr>
                <w:rStyle w:val="Odkaznapoznmkupodiarou"/>
                <w:rFonts w:eastAsia="Times New Roman" w:cs="Calibri"/>
                <w:color w:val="000000"/>
                <w:sz w:val="20"/>
                <w:szCs w:val="20"/>
                <w:lang w:eastAsia="sk-SK"/>
              </w:rPr>
              <w:footnoteReference w:id="357"/>
            </w:r>
          </w:p>
        </w:tc>
        <w:tc>
          <w:tcPr>
            <w:tcW w:w="764" w:type="pct"/>
            <w:tcBorders>
              <w:top w:val="nil"/>
              <w:left w:val="nil"/>
              <w:bottom w:val="nil"/>
              <w:right w:val="nil"/>
            </w:tcBorders>
            <w:shd w:val="clear" w:color="auto" w:fill="auto"/>
            <w:noWrap/>
            <w:vAlign w:val="center"/>
            <w:hideMark/>
          </w:tcPr>
          <w:p w14:paraId="57078FCC"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19%</w:t>
            </w:r>
          </w:p>
        </w:tc>
        <w:tc>
          <w:tcPr>
            <w:tcW w:w="1087" w:type="pct"/>
            <w:tcBorders>
              <w:top w:val="nil"/>
              <w:left w:val="nil"/>
              <w:bottom w:val="nil"/>
              <w:right w:val="nil"/>
            </w:tcBorders>
            <w:shd w:val="clear" w:color="auto" w:fill="auto"/>
            <w:noWrap/>
            <w:vAlign w:val="center"/>
            <w:hideMark/>
          </w:tcPr>
          <w:p w14:paraId="5824707B"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9%</w:t>
            </w:r>
          </w:p>
        </w:tc>
      </w:tr>
      <w:tr w:rsidR="00E66F49" w:rsidRPr="00666914" w14:paraId="16657814" w14:textId="77777777" w:rsidTr="00D27F91">
        <w:trPr>
          <w:trHeight w:val="345"/>
        </w:trPr>
        <w:tc>
          <w:tcPr>
            <w:tcW w:w="3149" w:type="pct"/>
            <w:tcBorders>
              <w:top w:val="nil"/>
              <w:left w:val="nil"/>
              <w:bottom w:val="nil"/>
              <w:right w:val="nil"/>
            </w:tcBorders>
            <w:shd w:val="clear" w:color="auto" w:fill="auto"/>
            <w:noWrap/>
            <w:vAlign w:val="center"/>
            <w:hideMark/>
          </w:tcPr>
          <w:p w14:paraId="47264B15"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(P.7) - Nízka schopnosť komunikovať v slovenskom jazyku</w:t>
            </w:r>
          </w:p>
        </w:tc>
        <w:tc>
          <w:tcPr>
            <w:tcW w:w="764" w:type="pct"/>
            <w:tcBorders>
              <w:top w:val="nil"/>
              <w:left w:val="nil"/>
              <w:bottom w:val="nil"/>
              <w:right w:val="nil"/>
            </w:tcBorders>
            <w:shd w:val="clear" w:color="auto" w:fill="auto"/>
            <w:noWrap/>
            <w:vAlign w:val="center"/>
            <w:hideMark/>
          </w:tcPr>
          <w:p w14:paraId="231B3DCC"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12%</w:t>
            </w:r>
          </w:p>
        </w:tc>
        <w:tc>
          <w:tcPr>
            <w:tcW w:w="1087" w:type="pct"/>
            <w:tcBorders>
              <w:top w:val="nil"/>
              <w:left w:val="nil"/>
              <w:bottom w:val="nil"/>
              <w:right w:val="nil"/>
            </w:tcBorders>
            <w:shd w:val="clear" w:color="auto" w:fill="auto"/>
            <w:noWrap/>
            <w:vAlign w:val="center"/>
            <w:hideMark/>
          </w:tcPr>
          <w:p w14:paraId="671E746D"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7%</w:t>
            </w:r>
          </w:p>
        </w:tc>
      </w:tr>
      <w:tr w:rsidR="00E66F49" w:rsidRPr="00666914" w14:paraId="7CDAE092" w14:textId="77777777" w:rsidTr="00D27F91">
        <w:trPr>
          <w:trHeight w:val="345"/>
        </w:trPr>
        <w:tc>
          <w:tcPr>
            <w:tcW w:w="3149" w:type="pct"/>
            <w:tcBorders>
              <w:top w:val="nil"/>
              <w:left w:val="nil"/>
              <w:bottom w:val="nil"/>
              <w:right w:val="nil"/>
            </w:tcBorders>
            <w:shd w:val="clear" w:color="auto" w:fill="auto"/>
            <w:noWrap/>
            <w:vAlign w:val="center"/>
            <w:hideMark/>
          </w:tcPr>
          <w:p w14:paraId="4DBC621E"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(P.6) - DvHN – zamestnaním sa rodine nezvýši príjem („sociálna pasca“)</w:t>
            </w:r>
          </w:p>
        </w:tc>
        <w:tc>
          <w:tcPr>
            <w:tcW w:w="764" w:type="pct"/>
            <w:tcBorders>
              <w:top w:val="nil"/>
              <w:left w:val="nil"/>
              <w:bottom w:val="nil"/>
              <w:right w:val="nil"/>
            </w:tcBorders>
            <w:shd w:val="clear" w:color="auto" w:fill="auto"/>
            <w:noWrap/>
            <w:vAlign w:val="center"/>
            <w:hideMark/>
          </w:tcPr>
          <w:p w14:paraId="4F0D0458"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7%</w:t>
            </w:r>
          </w:p>
        </w:tc>
        <w:tc>
          <w:tcPr>
            <w:tcW w:w="1087" w:type="pct"/>
            <w:tcBorders>
              <w:top w:val="nil"/>
              <w:left w:val="nil"/>
              <w:bottom w:val="nil"/>
              <w:right w:val="nil"/>
            </w:tcBorders>
            <w:shd w:val="clear" w:color="auto" w:fill="auto"/>
            <w:noWrap/>
            <w:vAlign w:val="center"/>
            <w:hideMark/>
          </w:tcPr>
          <w:p w14:paraId="416C8FF1"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21%</w:t>
            </w:r>
          </w:p>
        </w:tc>
      </w:tr>
      <w:tr w:rsidR="00E66F49" w:rsidRPr="00666914" w14:paraId="0BD6FAC4" w14:textId="77777777" w:rsidTr="00D27F91">
        <w:trPr>
          <w:trHeight w:val="345"/>
        </w:trPr>
        <w:tc>
          <w:tcPr>
            <w:tcW w:w="3149" w:type="pct"/>
            <w:tcBorders>
              <w:top w:val="nil"/>
              <w:left w:val="nil"/>
              <w:bottom w:val="nil"/>
              <w:right w:val="nil"/>
            </w:tcBorders>
            <w:shd w:val="clear" w:color="auto" w:fill="auto"/>
            <w:noWrap/>
            <w:vAlign w:val="center"/>
            <w:hideMark/>
          </w:tcPr>
          <w:p w14:paraId="73E640F0"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(P.3) - Zadlženosť (exekúcia)</w:t>
            </w:r>
          </w:p>
        </w:tc>
        <w:tc>
          <w:tcPr>
            <w:tcW w:w="764" w:type="pct"/>
            <w:tcBorders>
              <w:top w:val="nil"/>
              <w:left w:val="nil"/>
              <w:bottom w:val="nil"/>
              <w:right w:val="nil"/>
            </w:tcBorders>
            <w:shd w:val="clear" w:color="auto" w:fill="auto"/>
            <w:noWrap/>
            <w:vAlign w:val="center"/>
            <w:hideMark/>
          </w:tcPr>
          <w:p w14:paraId="635639C9"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5%</w:t>
            </w:r>
          </w:p>
        </w:tc>
        <w:tc>
          <w:tcPr>
            <w:tcW w:w="1087" w:type="pct"/>
            <w:tcBorders>
              <w:top w:val="nil"/>
              <w:left w:val="nil"/>
              <w:bottom w:val="nil"/>
              <w:right w:val="nil"/>
            </w:tcBorders>
            <w:shd w:val="clear" w:color="auto" w:fill="auto"/>
            <w:noWrap/>
            <w:vAlign w:val="center"/>
            <w:hideMark/>
          </w:tcPr>
          <w:p w14:paraId="7DF3C4EF"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17%</w:t>
            </w:r>
          </w:p>
        </w:tc>
      </w:tr>
      <w:tr w:rsidR="00E66F49" w:rsidRPr="00666914" w14:paraId="14CA9945" w14:textId="77777777" w:rsidTr="00D27F91">
        <w:trPr>
          <w:trHeight w:val="345"/>
        </w:trPr>
        <w:tc>
          <w:tcPr>
            <w:tcW w:w="3149" w:type="pct"/>
            <w:tcBorders>
              <w:top w:val="nil"/>
              <w:left w:val="nil"/>
              <w:bottom w:val="nil"/>
              <w:right w:val="nil"/>
            </w:tcBorders>
            <w:shd w:val="clear" w:color="auto" w:fill="auto"/>
            <w:noWrap/>
            <w:vAlign w:val="center"/>
            <w:hideMark/>
          </w:tcPr>
          <w:p w14:paraId="515EE115"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(P.10) - Nedeklarovaná pracovná činnosť</w:t>
            </w:r>
          </w:p>
        </w:tc>
        <w:tc>
          <w:tcPr>
            <w:tcW w:w="764" w:type="pct"/>
            <w:tcBorders>
              <w:top w:val="nil"/>
              <w:left w:val="nil"/>
              <w:bottom w:val="nil"/>
              <w:right w:val="nil"/>
            </w:tcBorders>
            <w:shd w:val="clear" w:color="auto" w:fill="auto"/>
            <w:noWrap/>
            <w:vAlign w:val="center"/>
            <w:hideMark/>
          </w:tcPr>
          <w:p w14:paraId="3FEDBF17"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4%</w:t>
            </w:r>
          </w:p>
        </w:tc>
        <w:tc>
          <w:tcPr>
            <w:tcW w:w="1087" w:type="pct"/>
            <w:tcBorders>
              <w:top w:val="nil"/>
              <w:left w:val="nil"/>
              <w:bottom w:val="nil"/>
              <w:right w:val="nil"/>
            </w:tcBorders>
            <w:shd w:val="clear" w:color="auto" w:fill="auto"/>
            <w:noWrap/>
            <w:vAlign w:val="center"/>
            <w:hideMark/>
          </w:tcPr>
          <w:p w14:paraId="1EC8B4BE"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18%</w:t>
            </w:r>
          </w:p>
        </w:tc>
      </w:tr>
      <w:tr w:rsidR="00E66F49" w:rsidRPr="00666914" w14:paraId="715A3571" w14:textId="77777777" w:rsidTr="00D27F91">
        <w:trPr>
          <w:trHeight w:val="345"/>
        </w:trPr>
        <w:tc>
          <w:tcPr>
            <w:tcW w:w="3149" w:type="pct"/>
            <w:tcBorders>
              <w:top w:val="nil"/>
              <w:left w:val="nil"/>
              <w:bottom w:val="nil"/>
              <w:right w:val="nil"/>
            </w:tcBorders>
            <w:shd w:val="clear" w:color="auto" w:fill="auto"/>
            <w:noWrap/>
            <w:vAlign w:val="center"/>
            <w:hideMark/>
          </w:tcPr>
          <w:p w14:paraId="3B66A10B"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(P.2) - Sociálne vylúčenie (žije na okraji spoločnosti, je dlhodobo osamelý... )</w:t>
            </w:r>
          </w:p>
        </w:tc>
        <w:tc>
          <w:tcPr>
            <w:tcW w:w="764" w:type="pct"/>
            <w:tcBorders>
              <w:top w:val="nil"/>
              <w:left w:val="nil"/>
              <w:bottom w:val="nil"/>
              <w:right w:val="nil"/>
            </w:tcBorders>
            <w:shd w:val="clear" w:color="auto" w:fill="auto"/>
            <w:noWrap/>
            <w:vAlign w:val="center"/>
            <w:hideMark/>
          </w:tcPr>
          <w:p w14:paraId="6B3CE694"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3%</w:t>
            </w:r>
          </w:p>
        </w:tc>
        <w:tc>
          <w:tcPr>
            <w:tcW w:w="1087" w:type="pct"/>
            <w:tcBorders>
              <w:top w:val="nil"/>
              <w:left w:val="nil"/>
              <w:bottom w:val="nil"/>
              <w:right w:val="nil"/>
            </w:tcBorders>
            <w:shd w:val="clear" w:color="auto" w:fill="auto"/>
            <w:noWrap/>
            <w:vAlign w:val="center"/>
            <w:hideMark/>
          </w:tcPr>
          <w:p w14:paraId="1A66B5D4"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11%</w:t>
            </w:r>
          </w:p>
        </w:tc>
      </w:tr>
      <w:tr w:rsidR="00E66F49" w:rsidRPr="00666914" w14:paraId="50F182A3" w14:textId="77777777" w:rsidTr="00D27F91">
        <w:trPr>
          <w:trHeight w:val="345"/>
        </w:trPr>
        <w:tc>
          <w:tcPr>
            <w:tcW w:w="3149" w:type="pct"/>
            <w:tcBorders>
              <w:top w:val="nil"/>
              <w:left w:val="nil"/>
              <w:bottom w:val="single" w:sz="4" w:space="0" w:color="auto"/>
              <w:right w:val="nil"/>
            </w:tcBorders>
            <w:shd w:val="clear" w:color="auto" w:fill="auto"/>
            <w:noWrap/>
            <w:vAlign w:val="center"/>
            <w:hideMark/>
          </w:tcPr>
          <w:p w14:paraId="2CC12F6E"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(P.9) - Neisté alebo nevyhovujúce bývanie</w:t>
            </w:r>
          </w:p>
        </w:tc>
        <w:tc>
          <w:tcPr>
            <w:tcW w:w="764" w:type="pct"/>
            <w:tcBorders>
              <w:top w:val="nil"/>
              <w:left w:val="nil"/>
              <w:bottom w:val="single" w:sz="4" w:space="0" w:color="auto"/>
              <w:right w:val="nil"/>
            </w:tcBorders>
            <w:shd w:val="clear" w:color="auto" w:fill="auto"/>
            <w:noWrap/>
            <w:vAlign w:val="center"/>
            <w:hideMark/>
          </w:tcPr>
          <w:p w14:paraId="0A4560B6"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3%</w:t>
            </w:r>
          </w:p>
        </w:tc>
        <w:tc>
          <w:tcPr>
            <w:tcW w:w="1087" w:type="pct"/>
            <w:tcBorders>
              <w:top w:val="nil"/>
              <w:left w:val="nil"/>
              <w:bottom w:val="single" w:sz="4" w:space="0" w:color="auto"/>
              <w:right w:val="nil"/>
            </w:tcBorders>
            <w:shd w:val="clear" w:color="auto" w:fill="auto"/>
            <w:noWrap/>
            <w:vAlign w:val="center"/>
            <w:hideMark/>
          </w:tcPr>
          <w:p w14:paraId="229BE01D" w14:textId="77777777" w:rsidR="00E66F49" w:rsidRPr="00666914" w:rsidRDefault="00E66F49" w:rsidP="00D27F91">
            <w:pPr>
              <w:spacing w:after="0"/>
              <w:jc w:val="right"/>
              <w:rPr>
                <w:rFonts w:eastAsia="Times New Roman" w:cs="Calibri"/>
                <w:color w:val="000000"/>
                <w:sz w:val="20"/>
                <w:szCs w:val="20"/>
                <w:lang w:eastAsia="sk-SK"/>
              </w:rPr>
            </w:pPr>
            <w:r w:rsidRPr="00666914">
              <w:rPr>
                <w:rFonts w:eastAsia="Times New Roman" w:cs="Calibri"/>
                <w:color w:val="000000"/>
                <w:sz w:val="20"/>
                <w:szCs w:val="20"/>
                <w:lang w:eastAsia="sk-SK"/>
              </w:rPr>
              <w:t>5%</w:t>
            </w:r>
          </w:p>
        </w:tc>
      </w:tr>
      <w:tr w:rsidR="00E66F49" w:rsidRPr="00666914" w14:paraId="5C6E7D35" w14:textId="77777777" w:rsidTr="00173DD5">
        <w:trPr>
          <w:trHeight w:val="175"/>
        </w:trPr>
        <w:tc>
          <w:tcPr>
            <w:tcW w:w="5000" w:type="pct"/>
            <w:gridSpan w:val="3"/>
            <w:tcBorders>
              <w:top w:val="nil"/>
              <w:left w:val="nil"/>
              <w:bottom w:val="nil"/>
              <w:right w:val="nil"/>
            </w:tcBorders>
            <w:shd w:val="clear" w:color="auto" w:fill="auto"/>
            <w:noWrap/>
            <w:vAlign w:val="bottom"/>
            <w:hideMark/>
          </w:tcPr>
          <w:p w14:paraId="5C2D99B4" w14:textId="77777777" w:rsidR="00E66F49" w:rsidRPr="00666914" w:rsidRDefault="00E66F49" w:rsidP="00D27F91">
            <w:pPr>
              <w:spacing w:after="0"/>
              <w:jc w:val="right"/>
              <w:rPr>
                <w:rFonts w:eastAsia="Times New Roman" w:cs="Calibri"/>
                <w:i/>
                <w:iCs/>
                <w:color w:val="000000"/>
                <w:sz w:val="18"/>
                <w:szCs w:val="18"/>
                <w:lang w:eastAsia="sk-SK"/>
              </w:rPr>
            </w:pPr>
            <w:r w:rsidRPr="00666914">
              <w:rPr>
                <w:rFonts w:eastAsia="Times New Roman" w:cs="Calibri"/>
                <w:i/>
                <w:iCs/>
                <w:color w:val="000000"/>
                <w:sz w:val="18"/>
                <w:szCs w:val="18"/>
                <w:lang w:eastAsia="sk-SK"/>
              </w:rPr>
              <w:t>Zdroj: ÚPSVaR</w:t>
            </w:r>
          </w:p>
        </w:tc>
      </w:tr>
    </w:tbl>
    <w:p w14:paraId="0D89305C" w14:textId="77777777" w:rsidR="00173DD5" w:rsidRPr="00666914" w:rsidRDefault="00173DD5" w:rsidP="00093DA2">
      <w:pPr>
        <w:spacing w:after="0"/>
      </w:pPr>
    </w:p>
    <w:p w14:paraId="15C64CE6" w14:textId="2F6DB435" w:rsidR="00E66F49" w:rsidRPr="00666914" w:rsidRDefault="00E66F49" w:rsidP="00D27F91">
      <w:r w:rsidRPr="00666914">
        <w:t>Opatrenie sa k </w:t>
      </w:r>
      <w:r w:rsidRPr="00666914">
        <w:rPr>
          <w:b/>
        </w:rPr>
        <w:t xml:space="preserve">31.12.2019 plní čiastočne. </w:t>
      </w:r>
      <w:r w:rsidRPr="00666914">
        <w:t>Dosiahnutie konečných cieľových hodnôt národných projektov bude vyhodnotené po skončení ich trvania.</w:t>
      </w:r>
    </w:p>
    <w:p w14:paraId="7380C395" w14:textId="0BD294BF" w:rsidR="00E66F49" w:rsidRPr="00666914" w:rsidRDefault="00E66F49" w:rsidP="00D27F91">
      <w:pPr>
        <w:rPr>
          <w:b/>
        </w:rPr>
      </w:pPr>
      <w:r w:rsidRPr="00666914">
        <w:rPr>
          <w:b/>
        </w:rPr>
        <w:t>Odporúčanie IJ:</w:t>
      </w:r>
      <w:r w:rsidRPr="00666914">
        <w:t xml:space="preserve"> Pravidelne zverejňovať výsledky poradenských služieb na stránke ÚPSVaR, vrátane spôsobu odstraňovania štrukturálnych prekážok zamestnanosti UoZ.</w:t>
      </w:r>
    </w:p>
    <w:p w14:paraId="6F32B32F" w14:textId="77777777" w:rsidR="00E66F49" w:rsidRPr="00666914" w:rsidRDefault="00E66F49" w:rsidP="00131B23">
      <w:pPr>
        <w:numPr>
          <w:ilvl w:val="0"/>
          <w:numId w:val="7"/>
        </w:numPr>
        <w:contextualSpacing/>
        <w:rPr>
          <w:b/>
          <w:u w:val="single"/>
        </w:rPr>
      </w:pPr>
      <w:r w:rsidRPr="00666914">
        <w:rPr>
          <w:b/>
          <w:u w:val="single"/>
        </w:rPr>
        <w:t>Vyhodnocovanie účinnosti AOTP</w:t>
      </w:r>
    </w:p>
    <w:p w14:paraId="0710F56F" w14:textId="77777777" w:rsidR="00E66F49" w:rsidRPr="00666914" w:rsidRDefault="00E66F49" w:rsidP="00CD4715">
      <w:pPr>
        <w:ind w:left="720"/>
        <w:contextualSpacing/>
      </w:pPr>
    </w:p>
    <w:p w14:paraId="30A45168" w14:textId="77777777" w:rsidR="00E66F49" w:rsidRPr="00666914" w:rsidRDefault="00E66F49" w:rsidP="00D27F91">
      <w:r w:rsidRPr="00666914">
        <w:t>Plnenie opatrenia sa od roku 2018 priebežne realizuje, ISP postupne analyzuje vybrané AOTP. V roku 2018 ISP analyzoval čisté efekty opatrenia REPAS</w:t>
      </w:r>
      <w:r w:rsidRPr="00666914">
        <w:rPr>
          <w:rStyle w:val="Odkaznapoznmkupodiarou"/>
        </w:rPr>
        <w:footnoteReference w:id="358"/>
      </w:r>
      <w:r w:rsidRPr="00666914">
        <w:t xml:space="preserve">. Počas roka 2019 vypracoval internú verziu ďalšej analýzy </w:t>
      </w:r>
      <w:r w:rsidRPr="00666914">
        <w:rPr>
          <w:i/>
        </w:rPr>
        <w:t>„Dočasná práca ako šanca pre znevýhodnených</w:t>
      </w:r>
      <w:r w:rsidRPr="00666914">
        <w:rPr>
          <w:rStyle w:val="Odkaznapoznmkupodiarou"/>
          <w:i/>
        </w:rPr>
        <w:footnoteReference w:id="359"/>
      </w:r>
      <w:r w:rsidRPr="00666914">
        <w:rPr>
          <w:i/>
        </w:rPr>
        <w:t>“</w:t>
      </w:r>
      <w:r w:rsidRPr="00666914">
        <w:t>, ktorá vyhodnotila efektívnosť a účinnosť príspevku na podporu rozvoja miestnej a regionálnej zamestnanosti</w:t>
      </w:r>
      <w:r w:rsidRPr="00666914">
        <w:rPr>
          <w:rStyle w:val="Odkaznapoznmkupodiarou"/>
        </w:rPr>
        <w:footnoteReference w:id="360"/>
      </w:r>
      <w:r w:rsidRPr="00666914">
        <w:t>. Zverejnená bola v 01/2020</w:t>
      </w:r>
      <w:r w:rsidRPr="00666914">
        <w:rPr>
          <w:rStyle w:val="Odkaznapoznmkupodiarou"/>
        </w:rPr>
        <w:footnoteReference w:id="361"/>
      </w:r>
      <w:r w:rsidRPr="00666914">
        <w:t xml:space="preserve">. </w:t>
      </w:r>
    </w:p>
    <w:p w14:paraId="1B1744B5" w14:textId="1100EE33" w:rsidR="00E66F49" w:rsidRPr="00666914" w:rsidRDefault="00E66F49" w:rsidP="007027DF">
      <w:r w:rsidRPr="00666914">
        <w:rPr>
          <w:b/>
        </w:rPr>
        <w:t>Opatrenie sa k 31.12.2019 čiastočne plní.</w:t>
      </w:r>
    </w:p>
    <w:p w14:paraId="66B38701" w14:textId="77777777" w:rsidR="00E66F49" w:rsidRPr="00666914" w:rsidRDefault="00E66F49" w:rsidP="00131B23">
      <w:pPr>
        <w:numPr>
          <w:ilvl w:val="0"/>
          <w:numId w:val="7"/>
        </w:numPr>
        <w:contextualSpacing/>
        <w:rPr>
          <w:b/>
          <w:u w:val="single"/>
        </w:rPr>
      </w:pPr>
      <w:r w:rsidRPr="00666914">
        <w:rPr>
          <w:b/>
          <w:u w:val="single"/>
        </w:rPr>
        <w:t>Vyhodnocovanie AOTP pre osoby s ŤZP</w:t>
      </w:r>
    </w:p>
    <w:p w14:paraId="104F147F" w14:textId="77777777" w:rsidR="00E66F49" w:rsidRPr="00666914" w:rsidRDefault="00E66F49" w:rsidP="00CD4715">
      <w:pPr>
        <w:contextualSpacing/>
        <w:rPr>
          <w:b/>
          <w:u w:val="single"/>
        </w:rPr>
      </w:pPr>
    </w:p>
    <w:p w14:paraId="44D20B87" w14:textId="48434008" w:rsidR="00E66F49" w:rsidRPr="00666914" w:rsidRDefault="00E66F49" w:rsidP="00D27F91">
      <w:r w:rsidRPr="00666914">
        <w:t>IJ vypracovala už počas roka 2018 čiastkovú analýzu využitia jednotlivých AOTP pre osoby so zdravotným postihnutím</w:t>
      </w:r>
      <w:r w:rsidRPr="00666914">
        <w:rPr>
          <w:rStyle w:val="Odkaznapoznmkupodiarou"/>
        </w:rPr>
        <w:footnoteReference w:id="362"/>
      </w:r>
      <w:r w:rsidRPr="00666914">
        <w:t>. Podrobnejšia analýza využívaných nástrojov</w:t>
      </w:r>
      <w:r w:rsidR="00345817" w:rsidRPr="00666914">
        <w:t>,</w:t>
      </w:r>
      <w:r w:rsidRPr="00666914">
        <w:t xml:space="preserve"> vrátane miery zapojenia zamestnávateľov</w:t>
      </w:r>
      <w:r w:rsidR="00345817" w:rsidRPr="00666914">
        <w:t>,</w:t>
      </w:r>
      <w:r w:rsidRPr="00666914">
        <w:t xml:space="preserve"> bola </w:t>
      </w:r>
      <w:r w:rsidRPr="00666914">
        <w:lastRenderedPageBreak/>
        <w:t>vypracovaná počas roka 2019 ako súčasť Záverečnej správy Revízie výdavkov na skupiny ohrozené chudobou alebo sociálnym vylúčením</w:t>
      </w:r>
      <w:r w:rsidRPr="00666914">
        <w:rPr>
          <w:rStyle w:val="Odkaznapoznmkupodiarou"/>
        </w:rPr>
        <w:footnoteReference w:id="363"/>
      </w:r>
      <w:r w:rsidRPr="00666914">
        <w:t>. Na stránke MF SR bola zverejnená v 1Q2020.</w:t>
      </w:r>
    </w:p>
    <w:p w14:paraId="49110725" w14:textId="67F82698" w:rsidR="00E66F49" w:rsidRPr="00666914" w:rsidRDefault="00E66F49" w:rsidP="00D27F91">
      <w:r w:rsidRPr="00666914">
        <w:rPr>
          <w:b/>
        </w:rPr>
        <w:t>Na Slovensku sú zamestnávaní v chránených dielňach aj ľudia, ktorí by sa mohli uplatniť na otvorenom trhu práce.</w:t>
      </w:r>
      <w:r w:rsidRPr="00666914">
        <w:t xml:space="preserve"> Prechod tejto skupiny na otvorený trh práce by mali podporiť aj sociálne podniky, preto revízia výdavkov v rámci opatrení navrhuje vyhodnotiť dopady zákona č. 112/2018 Z.z. o sociálnej ekonomike a sociálnych podnikoch po 3 rokoch od jeho vstupu do platnosti</w:t>
      </w:r>
      <w:r w:rsidRPr="00666914">
        <w:rPr>
          <w:rStyle w:val="Odkaznapoznmkupodiarou"/>
        </w:rPr>
        <w:footnoteReference w:id="364"/>
      </w:r>
      <w:r w:rsidRPr="00666914">
        <w:t>.</w:t>
      </w:r>
    </w:p>
    <w:p w14:paraId="2D4BECC3" w14:textId="77777777" w:rsidR="00E66F49" w:rsidRPr="00666914" w:rsidRDefault="00E66F49" w:rsidP="00D27F91">
      <w:r w:rsidRPr="00666914">
        <w:t xml:space="preserve">Čo sa týka povinnosti zamestnávateľov zamestnávať OZP, </w:t>
      </w:r>
      <w:r w:rsidRPr="00666914">
        <w:rPr>
          <w:b/>
        </w:rPr>
        <w:t>Slovensko má v porovnaní s okolitými krajinami EÚ nižší povinný podiel zamestnávania osôb so zdravotným znevýhodnením</w:t>
      </w:r>
      <w:r w:rsidRPr="00666914">
        <w:t>, ktorý sa však vzťahuje na väčší okruh zamestnávateľov. Revízia preto navrhuje zvýšiť povinný podiel zamestnávania OZP z dnešných 3,2 % na 5 % (priemer V3)</w:t>
      </w:r>
      <w:r w:rsidRPr="00666914">
        <w:rPr>
          <w:rStyle w:val="Odkaznapoznmkupodiarou"/>
        </w:rPr>
        <w:footnoteReference w:id="365"/>
      </w:r>
      <w:r w:rsidRPr="00666914">
        <w:t>.</w:t>
      </w:r>
    </w:p>
    <w:p w14:paraId="54C6B1E8" w14:textId="3948E5CF" w:rsidR="00E66F49" w:rsidRPr="00666914" w:rsidRDefault="00E66F49" w:rsidP="00D27F91">
      <w:pPr>
        <w:rPr>
          <w:b/>
        </w:rPr>
      </w:pPr>
      <w:r w:rsidRPr="00666914">
        <w:t xml:space="preserve">Opatrenie sa </w:t>
      </w:r>
      <w:r w:rsidRPr="00666914">
        <w:rPr>
          <w:b/>
        </w:rPr>
        <w:t>k 31.12.2019 čiastočne plní.</w:t>
      </w:r>
    </w:p>
    <w:p w14:paraId="65A3EC8B" w14:textId="2820136D" w:rsidR="00173DD5" w:rsidRPr="00666914" w:rsidRDefault="00E66F49" w:rsidP="00BD5C93">
      <w:pPr>
        <w:spacing w:after="0"/>
      </w:pPr>
      <w:r w:rsidRPr="00666914">
        <w:rPr>
          <w:b/>
        </w:rPr>
        <w:t xml:space="preserve">Odporúčanie IJ: </w:t>
      </w:r>
      <w:r w:rsidRPr="00666914">
        <w:t>Na základe výstupov zverejnenej revízie prehodnotiť relevantnosť aktuálne poskytovaných AOTP nástrojov pre OZP. Definovať zároveň spôsob ďalšieho monitoringu pre rok 2020.</w:t>
      </w:r>
    </w:p>
    <w:p w14:paraId="719605CD" w14:textId="45DAE71E" w:rsidR="00173DD5" w:rsidRPr="00666914" w:rsidRDefault="00173DD5">
      <w:pPr>
        <w:spacing w:after="0"/>
        <w:jc w:val="left"/>
      </w:pPr>
    </w:p>
    <w:p w14:paraId="5CB6737A" w14:textId="77777777" w:rsidR="00E66F49" w:rsidRPr="00666914" w:rsidRDefault="00E66F49" w:rsidP="00D2605E">
      <w:pPr>
        <w:pStyle w:val="Nadpis2"/>
      </w:pPr>
      <w:bookmarkStart w:id="384" w:name="_Toc522861650"/>
      <w:bookmarkStart w:id="385" w:name="_Toc535322735"/>
      <w:bookmarkStart w:id="386" w:name="_Toc6321920"/>
      <w:bookmarkStart w:id="387" w:name="_Toc38447619"/>
      <w:r w:rsidRPr="00666914">
        <w:t>Sociálne poistenie a dôchodky</w:t>
      </w:r>
      <w:bookmarkEnd w:id="384"/>
      <w:bookmarkEnd w:id="385"/>
      <w:bookmarkEnd w:id="386"/>
      <w:bookmarkEnd w:id="3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2794"/>
        <w:gridCol w:w="1316"/>
        <w:gridCol w:w="884"/>
        <w:gridCol w:w="972"/>
        <w:gridCol w:w="694"/>
        <w:gridCol w:w="694"/>
        <w:gridCol w:w="694"/>
        <w:gridCol w:w="731"/>
      </w:tblGrid>
      <w:tr w:rsidR="00E66F49" w:rsidRPr="00666914" w14:paraId="55EFD4BB" w14:textId="77777777" w:rsidTr="00D27F91">
        <w:trPr>
          <w:trHeight w:val="330"/>
        </w:trPr>
        <w:tc>
          <w:tcPr>
            <w:tcW w:w="231" w:type="pct"/>
            <w:shd w:val="clear" w:color="auto" w:fill="auto"/>
            <w:vAlign w:val="center"/>
            <w:hideMark/>
          </w:tcPr>
          <w:p w14:paraId="5E78E722"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1518" w:type="pct"/>
            <w:shd w:val="clear" w:color="auto" w:fill="auto"/>
            <w:noWrap/>
            <w:vAlign w:val="center"/>
            <w:hideMark/>
          </w:tcPr>
          <w:p w14:paraId="5F47FF0E"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TRH PRÁCE A SOCIÁLNE POLITIKY</w:t>
            </w:r>
          </w:p>
        </w:tc>
        <w:tc>
          <w:tcPr>
            <w:tcW w:w="715" w:type="pct"/>
            <w:shd w:val="clear" w:color="auto" w:fill="auto"/>
            <w:noWrap/>
            <w:vAlign w:val="center"/>
            <w:hideMark/>
          </w:tcPr>
          <w:p w14:paraId="6810B804"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Zodpovednosť</w:t>
            </w:r>
          </w:p>
        </w:tc>
        <w:tc>
          <w:tcPr>
            <w:tcW w:w="480" w:type="pct"/>
            <w:shd w:val="clear" w:color="auto" w:fill="auto"/>
            <w:noWrap/>
            <w:vAlign w:val="center"/>
            <w:hideMark/>
          </w:tcPr>
          <w:p w14:paraId="64705BED"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Termín plnenia</w:t>
            </w:r>
          </w:p>
        </w:tc>
        <w:tc>
          <w:tcPr>
            <w:tcW w:w="528" w:type="pct"/>
          </w:tcPr>
          <w:p w14:paraId="45837135" w14:textId="2D0F4350" w:rsidR="00E66F49" w:rsidRPr="00666914" w:rsidRDefault="00E66F49" w:rsidP="002D0686">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 xml:space="preserve">Nový termín plnenia </w:t>
            </w:r>
          </w:p>
        </w:tc>
        <w:tc>
          <w:tcPr>
            <w:tcW w:w="377" w:type="pct"/>
            <w:shd w:val="clear" w:color="auto" w:fill="auto"/>
            <w:noWrap/>
            <w:vAlign w:val="center"/>
            <w:hideMark/>
          </w:tcPr>
          <w:p w14:paraId="5E9ADD7C"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1Q 2019</w:t>
            </w:r>
          </w:p>
        </w:tc>
        <w:tc>
          <w:tcPr>
            <w:tcW w:w="377" w:type="pct"/>
            <w:shd w:val="clear" w:color="auto" w:fill="auto"/>
            <w:noWrap/>
            <w:vAlign w:val="center"/>
            <w:hideMark/>
          </w:tcPr>
          <w:p w14:paraId="762FD913"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2Q 2019</w:t>
            </w:r>
          </w:p>
        </w:tc>
        <w:tc>
          <w:tcPr>
            <w:tcW w:w="377" w:type="pct"/>
            <w:shd w:val="clear" w:color="auto" w:fill="auto"/>
            <w:noWrap/>
            <w:vAlign w:val="center"/>
            <w:hideMark/>
          </w:tcPr>
          <w:p w14:paraId="24A7B7D9"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3Q 2019</w:t>
            </w:r>
          </w:p>
        </w:tc>
        <w:tc>
          <w:tcPr>
            <w:tcW w:w="397" w:type="pct"/>
            <w:shd w:val="clear" w:color="auto" w:fill="auto"/>
            <w:noWrap/>
            <w:vAlign w:val="center"/>
            <w:hideMark/>
          </w:tcPr>
          <w:p w14:paraId="5144C2BE"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4Q 2019</w:t>
            </w:r>
          </w:p>
        </w:tc>
      </w:tr>
      <w:tr w:rsidR="00E66F49" w:rsidRPr="00666914" w14:paraId="17F2D24F" w14:textId="77777777" w:rsidTr="00D27F91">
        <w:trPr>
          <w:trHeight w:val="300"/>
        </w:trPr>
        <w:tc>
          <w:tcPr>
            <w:tcW w:w="231" w:type="pct"/>
            <w:shd w:val="clear" w:color="auto" w:fill="auto"/>
            <w:vAlign w:val="center"/>
            <w:hideMark/>
          </w:tcPr>
          <w:p w14:paraId="6C5CC95B"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12</w:t>
            </w:r>
          </w:p>
        </w:tc>
        <w:tc>
          <w:tcPr>
            <w:tcW w:w="1518" w:type="pct"/>
            <w:shd w:val="clear" w:color="auto" w:fill="auto"/>
            <w:vAlign w:val="center"/>
          </w:tcPr>
          <w:p w14:paraId="3EA58F9C"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Zavedenie ročného zúčtovania sociálneho poistenia</w:t>
            </w:r>
          </w:p>
        </w:tc>
        <w:tc>
          <w:tcPr>
            <w:tcW w:w="715" w:type="pct"/>
            <w:shd w:val="clear" w:color="auto" w:fill="auto"/>
            <w:vAlign w:val="center"/>
          </w:tcPr>
          <w:p w14:paraId="70832EB5"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 MF SR</w:t>
            </w:r>
          </w:p>
        </w:tc>
        <w:tc>
          <w:tcPr>
            <w:tcW w:w="480" w:type="pct"/>
            <w:shd w:val="clear" w:color="auto" w:fill="auto"/>
            <w:vAlign w:val="center"/>
          </w:tcPr>
          <w:p w14:paraId="73A3CA31"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12/2018</w:t>
            </w:r>
          </w:p>
        </w:tc>
        <w:tc>
          <w:tcPr>
            <w:tcW w:w="528" w:type="pct"/>
            <w:vAlign w:val="center"/>
          </w:tcPr>
          <w:p w14:paraId="6D909E21"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12/2022</w:t>
            </w:r>
          </w:p>
        </w:tc>
        <w:tc>
          <w:tcPr>
            <w:tcW w:w="377" w:type="pct"/>
            <w:shd w:val="clear" w:color="auto" w:fill="A6A6A6" w:themeFill="background1" w:themeFillShade="A6"/>
            <w:noWrap/>
            <w:vAlign w:val="bottom"/>
            <w:hideMark/>
          </w:tcPr>
          <w:p w14:paraId="600F3A38"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A6A6A6" w:themeFill="background1" w:themeFillShade="A6"/>
            <w:noWrap/>
            <w:vAlign w:val="bottom"/>
            <w:hideMark/>
          </w:tcPr>
          <w:p w14:paraId="43395547"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A6A6A6" w:themeFill="background1" w:themeFillShade="A6"/>
            <w:noWrap/>
            <w:vAlign w:val="bottom"/>
            <w:hideMark/>
          </w:tcPr>
          <w:p w14:paraId="098963F5"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97" w:type="pct"/>
            <w:shd w:val="clear" w:color="auto" w:fill="FF0000"/>
            <w:noWrap/>
            <w:vAlign w:val="bottom"/>
            <w:hideMark/>
          </w:tcPr>
          <w:p w14:paraId="76CC5557"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E66F49" w:rsidRPr="00666914" w14:paraId="157965BC" w14:textId="77777777" w:rsidTr="00D27F91">
        <w:trPr>
          <w:trHeight w:val="300"/>
        </w:trPr>
        <w:tc>
          <w:tcPr>
            <w:tcW w:w="231" w:type="pct"/>
            <w:shd w:val="clear" w:color="auto" w:fill="auto"/>
            <w:vAlign w:val="center"/>
            <w:hideMark/>
          </w:tcPr>
          <w:p w14:paraId="597AE329"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13</w:t>
            </w:r>
          </w:p>
        </w:tc>
        <w:tc>
          <w:tcPr>
            <w:tcW w:w="1518" w:type="pct"/>
            <w:shd w:val="clear" w:color="auto" w:fill="auto"/>
            <w:vAlign w:val="center"/>
          </w:tcPr>
          <w:p w14:paraId="5A697A27"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Zavedenie indexového fondu v III. pilieri dôchodkového sporenia</w:t>
            </w:r>
          </w:p>
        </w:tc>
        <w:tc>
          <w:tcPr>
            <w:tcW w:w="715" w:type="pct"/>
            <w:shd w:val="clear" w:color="auto" w:fill="auto"/>
            <w:vAlign w:val="center"/>
          </w:tcPr>
          <w:p w14:paraId="1B801757"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tc>
        <w:tc>
          <w:tcPr>
            <w:tcW w:w="480" w:type="pct"/>
            <w:shd w:val="clear" w:color="auto" w:fill="auto"/>
            <w:vAlign w:val="center"/>
          </w:tcPr>
          <w:p w14:paraId="1C0C3109"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12/2019</w:t>
            </w:r>
          </w:p>
        </w:tc>
        <w:tc>
          <w:tcPr>
            <w:tcW w:w="528" w:type="pct"/>
            <w:vAlign w:val="center"/>
          </w:tcPr>
          <w:p w14:paraId="1AC1E43D" w14:textId="77777777" w:rsidR="00E66F49" w:rsidRPr="00666914" w:rsidRDefault="00E66F49" w:rsidP="00D27F91">
            <w:pPr>
              <w:spacing w:after="0"/>
              <w:jc w:val="center"/>
              <w:rPr>
                <w:rFonts w:eastAsia="Times New Roman" w:cs="Calibri"/>
                <w:bCs/>
                <w:color w:val="000000"/>
                <w:sz w:val="20"/>
                <w:szCs w:val="20"/>
                <w:lang w:eastAsia="sk-SK"/>
              </w:rPr>
            </w:pPr>
            <w:r w:rsidRPr="00666914">
              <w:rPr>
                <w:rFonts w:eastAsia="Times New Roman" w:cs="Calibri"/>
                <w:bCs/>
                <w:color w:val="000000"/>
                <w:sz w:val="20"/>
                <w:szCs w:val="20"/>
                <w:lang w:eastAsia="sk-SK"/>
              </w:rPr>
              <w:t>-</w:t>
            </w:r>
          </w:p>
        </w:tc>
        <w:tc>
          <w:tcPr>
            <w:tcW w:w="377" w:type="pct"/>
            <w:shd w:val="clear" w:color="auto" w:fill="A6A6A6" w:themeFill="background1" w:themeFillShade="A6"/>
            <w:noWrap/>
            <w:vAlign w:val="bottom"/>
            <w:hideMark/>
          </w:tcPr>
          <w:p w14:paraId="1B5DB3F5"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c>
          <w:tcPr>
            <w:tcW w:w="377" w:type="pct"/>
            <w:shd w:val="clear" w:color="auto" w:fill="FFC000"/>
            <w:noWrap/>
            <w:vAlign w:val="bottom"/>
            <w:hideMark/>
          </w:tcPr>
          <w:p w14:paraId="74CD6F87" w14:textId="77777777" w:rsidR="00E66F49" w:rsidRPr="00666914" w:rsidRDefault="00E66F49" w:rsidP="00D27F91">
            <w:pPr>
              <w:spacing w:after="0"/>
              <w:jc w:val="center"/>
              <w:rPr>
                <w:rFonts w:eastAsia="Times New Roman" w:cs="Calibri"/>
                <w:b/>
                <w:bCs/>
                <w:color w:val="FF0000"/>
                <w:sz w:val="20"/>
                <w:szCs w:val="20"/>
                <w:lang w:eastAsia="sk-SK"/>
              </w:rPr>
            </w:pPr>
            <w:r w:rsidRPr="00666914">
              <w:rPr>
                <w:rFonts w:eastAsia="Times New Roman" w:cs="Calibri"/>
                <w:b/>
                <w:bCs/>
                <w:color w:val="FF0000"/>
                <w:sz w:val="20"/>
                <w:szCs w:val="20"/>
                <w:lang w:eastAsia="sk-SK"/>
              </w:rPr>
              <w:t> </w:t>
            </w:r>
          </w:p>
        </w:tc>
        <w:tc>
          <w:tcPr>
            <w:tcW w:w="377" w:type="pct"/>
            <w:shd w:val="clear" w:color="auto" w:fill="A6A6A6" w:themeFill="background1" w:themeFillShade="A6"/>
            <w:noWrap/>
            <w:vAlign w:val="bottom"/>
            <w:hideMark/>
          </w:tcPr>
          <w:p w14:paraId="083C90B9"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c>
          <w:tcPr>
            <w:tcW w:w="397" w:type="pct"/>
            <w:shd w:val="clear" w:color="auto" w:fill="FFC000"/>
            <w:noWrap/>
            <w:vAlign w:val="bottom"/>
            <w:hideMark/>
          </w:tcPr>
          <w:p w14:paraId="1688B44B"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FF0000"/>
                <w:sz w:val="20"/>
                <w:szCs w:val="20"/>
                <w:lang w:eastAsia="sk-SK"/>
              </w:rPr>
              <w:t> </w:t>
            </w:r>
          </w:p>
        </w:tc>
      </w:tr>
      <w:tr w:rsidR="00E66F49" w:rsidRPr="00666914" w14:paraId="254861B0" w14:textId="77777777" w:rsidTr="00D27F91">
        <w:trPr>
          <w:trHeight w:val="300"/>
        </w:trPr>
        <w:tc>
          <w:tcPr>
            <w:tcW w:w="231" w:type="pct"/>
            <w:shd w:val="clear" w:color="auto" w:fill="auto"/>
            <w:vAlign w:val="center"/>
            <w:hideMark/>
          </w:tcPr>
          <w:p w14:paraId="6D409185"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14</w:t>
            </w:r>
          </w:p>
        </w:tc>
        <w:tc>
          <w:tcPr>
            <w:tcW w:w="1518" w:type="pct"/>
            <w:shd w:val="clear" w:color="auto" w:fill="auto"/>
            <w:vAlign w:val="center"/>
          </w:tcPr>
          <w:p w14:paraId="611B8C4E"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Zvýšenie atraktívnosti dobrovoľného dôchodkového sporenia prostredníctvom mixu politík, vrátane posilnenia konkurencie</w:t>
            </w:r>
          </w:p>
        </w:tc>
        <w:tc>
          <w:tcPr>
            <w:tcW w:w="715" w:type="pct"/>
            <w:shd w:val="clear" w:color="auto" w:fill="auto"/>
            <w:vAlign w:val="center"/>
          </w:tcPr>
          <w:p w14:paraId="78E2893D"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tc>
        <w:tc>
          <w:tcPr>
            <w:tcW w:w="480" w:type="pct"/>
            <w:shd w:val="clear" w:color="auto" w:fill="auto"/>
            <w:vAlign w:val="center"/>
          </w:tcPr>
          <w:p w14:paraId="25B7E17F"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12/2019</w:t>
            </w:r>
          </w:p>
        </w:tc>
        <w:tc>
          <w:tcPr>
            <w:tcW w:w="528" w:type="pct"/>
            <w:vAlign w:val="center"/>
          </w:tcPr>
          <w:p w14:paraId="1A529430"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77" w:type="pct"/>
            <w:shd w:val="clear" w:color="auto" w:fill="A6A6A6" w:themeFill="background1" w:themeFillShade="A6"/>
            <w:noWrap/>
            <w:vAlign w:val="bottom"/>
            <w:hideMark/>
          </w:tcPr>
          <w:p w14:paraId="6D0BC11D"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FF0000"/>
            <w:noWrap/>
            <w:vAlign w:val="bottom"/>
            <w:hideMark/>
          </w:tcPr>
          <w:p w14:paraId="76FC60E8"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A6A6A6" w:themeFill="background1" w:themeFillShade="A6"/>
            <w:noWrap/>
            <w:vAlign w:val="bottom"/>
            <w:hideMark/>
          </w:tcPr>
          <w:p w14:paraId="4B1E895C"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97" w:type="pct"/>
            <w:shd w:val="clear" w:color="auto" w:fill="FF0000"/>
            <w:noWrap/>
            <w:vAlign w:val="bottom"/>
            <w:hideMark/>
          </w:tcPr>
          <w:p w14:paraId="6D88699B"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E66F49" w:rsidRPr="00666914" w14:paraId="5C3EA07C" w14:textId="77777777" w:rsidTr="00D27F91">
        <w:trPr>
          <w:trHeight w:val="132"/>
        </w:trPr>
        <w:tc>
          <w:tcPr>
            <w:tcW w:w="231" w:type="pct"/>
            <w:shd w:val="clear" w:color="auto" w:fill="auto"/>
            <w:vAlign w:val="center"/>
            <w:hideMark/>
          </w:tcPr>
          <w:p w14:paraId="64D85282"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15</w:t>
            </w:r>
          </w:p>
        </w:tc>
        <w:tc>
          <w:tcPr>
            <w:tcW w:w="1518" w:type="pct"/>
            <w:shd w:val="clear" w:color="auto" w:fill="auto"/>
            <w:vAlign w:val="center"/>
          </w:tcPr>
          <w:p w14:paraId="59E2408F"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Povinné zosúladenie investičnej stratégie II. piliera aktuálnych sporiteľov s časovým</w:t>
            </w:r>
          </w:p>
          <w:p w14:paraId="57D3870A"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horizontom ich sporenia</w:t>
            </w:r>
          </w:p>
        </w:tc>
        <w:tc>
          <w:tcPr>
            <w:tcW w:w="715" w:type="pct"/>
            <w:shd w:val="clear" w:color="auto" w:fill="auto"/>
            <w:vAlign w:val="center"/>
          </w:tcPr>
          <w:p w14:paraId="68F06359"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tc>
        <w:tc>
          <w:tcPr>
            <w:tcW w:w="480" w:type="pct"/>
            <w:shd w:val="clear" w:color="auto" w:fill="auto"/>
            <w:vAlign w:val="center"/>
          </w:tcPr>
          <w:p w14:paraId="69202991"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12/2019</w:t>
            </w:r>
          </w:p>
        </w:tc>
        <w:tc>
          <w:tcPr>
            <w:tcW w:w="528" w:type="pct"/>
            <w:vAlign w:val="center"/>
          </w:tcPr>
          <w:p w14:paraId="11E79085"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77" w:type="pct"/>
            <w:shd w:val="clear" w:color="auto" w:fill="A6A6A6" w:themeFill="background1" w:themeFillShade="A6"/>
            <w:noWrap/>
            <w:vAlign w:val="bottom"/>
            <w:hideMark/>
          </w:tcPr>
          <w:p w14:paraId="7BA006EB"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FF0000"/>
            <w:noWrap/>
            <w:vAlign w:val="bottom"/>
            <w:hideMark/>
          </w:tcPr>
          <w:p w14:paraId="453665F3"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A6A6A6" w:themeFill="background1" w:themeFillShade="A6"/>
            <w:noWrap/>
            <w:vAlign w:val="bottom"/>
            <w:hideMark/>
          </w:tcPr>
          <w:p w14:paraId="52F1E96D"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97" w:type="pct"/>
            <w:shd w:val="clear" w:color="auto" w:fill="FF0000"/>
            <w:noWrap/>
            <w:vAlign w:val="bottom"/>
            <w:hideMark/>
          </w:tcPr>
          <w:p w14:paraId="2594E5BF"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E66F49" w:rsidRPr="00666914" w14:paraId="16B4FA7A" w14:textId="77777777" w:rsidTr="00D27F91">
        <w:trPr>
          <w:trHeight w:val="300"/>
        </w:trPr>
        <w:tc>
          <w:tcPr>
            <w:tcW w:w="231" w:type="pct"/>
            <w:shd w:val="clear" w:color="auto" w:fill="auto"/>
            <w:vAlign w:val="center"/>
            <w:hideMark/>
          </w:tcPr>
          <w:p w14:paraId="699F958D"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16</w:t>
            </w:r>
          </w:p>
        </w:tc>
        <w:tc>
          <w:tcPr>
            <w:tcW w:w="1518" w:type="pct"/>
            <w:shd w:val="clear" w:color="auto" w:fill="auto"/>
            <w:vAlign w:val="center"/>
          </w:tcPr>
          <w:p w14:paraId="2A3940A1"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Úprava odplát sprostredkovateľom, ktorá by výraznejšie motivovala sprostredkovateľov poskytovať klientom II. a III. piliera presnejšie a adekvátnejšie odporúčania</w:t>
            </w:r>
          </w:p>
        </w:tc>
        <w:tc>
          <w:tcPr>
            <w:tcW w:w="715" w:type="pct"/>
            <w:shd w:val="clear" w:color="auto" w:fill="auto"/>
            <w:vAlign w:val="center"/>
          </w:tcPr>
          <w:p w14:paraId="7171245F"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tc>
        <w:tc>
          <w:tcPr>
            <w:tcW w:w="480" w:type="pct"/>
            <w:shd w:val="clear" w:color="auto" w:fill="auto"/>
            <w:vAlign w:val="center"/>
          </w:tcPr>
          <w:p w14:paraId="1C8D4015"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12/2019</w:t>
            </w:r>
          </w:p>
        </w:tc>
        <w:tc>
          <w:tcPr>
            <w:tcW w:w="528" w:type="pct"/>
            <w:vAlign w:val="center"/>
          </w:tcPr>
          <w:p w14:paraId="71E02AEF"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77" w:type="pct"/>
            <w:shd w:val="clear" w:color="auto" w:fill="A6A6A6" w:themeFill="background1" w:themeFillShade="A6"/>
            <w:noWrap/>
            <w:vAlign w:val="bottom"/>
            <w:hideMark/>
          </w:tcPr>
          <w:p w14:paraId="3FDC13B4"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FFC000"/>
            <w:noWrap/>
            <w:vAlign w:val="bottom"/>
            <w:hideMark/>
          </w:tcPr>
          <w:p w14:paraId="78ECA40C" w14:textId="77777777" w:rsidR="00E66F49" w:rsidRPr="00666914" w:rsidRDefault="00E66F49" w:rsidP="00D27F91">
            <w:pPr>
              <w:spacing w:after="0"/>
              <w:rPr>
                <w:rFonts w:eastAsia="Times New Roman" w:cs="Calibri"/>
                <w:color w:val="000000"/>
                <w:sz w:val="20"/>
                <w:szCs w:val="20"/>
                <w:lang w:eastAsia="sk-SK"/>
              </w:rPr>
            </w:pPr>
          </w:p>
        </w:tc>
        <w:tc>
          <w:tcPr>
            <w:tcW w:w="377" w:type="pct"/>
            <w:shd w:val="clear" w:color="auto" w:fill="A6A6A6" w:themeFill="background1" w:themeFillShade="A6"/>
            <w:noWrap/>
            <w:vAlign w:val="bottom"/>
            <w:hideMark/>
          </w:tcPr>
          <w:p w14:paraId="295E6163"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97" w:type="pct"/>
            <w:shd w:val="clear" w:color="auto" w:fill="FFC000"/>
            <w:noWrap/>
            <w:vAlign w:val="bottom"/>
            <w:hideMark/>
          </w:tcPr>
          <w:p w14:paraId="24CAE4B7" w14:textId="77777777" w:rsidR="00E66F49" w:rsidRPr="00666914" w:rsidRDefault="00E66F49" w:rsidP="00D27F91">
            <w:pPr>
              <w:spacing w:after="0"/>
              <w:jc w:val="center"/>
              <w:rPr>
                <w:rFonts w:eastAsia="Times New Roman" w:cs="Calibri"/>
                <w:color w:val="000000"/>
                <w:sz w:val="20"/>
                <w:szCs w:val="20"/>
                <w:lang w:eastAsia="sk-SK"/>
              </w:rPr>
            </w:pPr>
          </w:p>
        </w:tc>
      </w:tr>
      <w:tr w:rsidR="00E66F49" w:rsidRPr="00666914" w14:paraId="3F5828DC" w14:textId="77777777" w:rsidTr="00D27F91">
        <w:trPr>
          <w:trHeight w:val="300"/>
        </w:trPr>
        <w:tc>
          <w:tcPr>
            <w:tcW w:w="231" w:type="pct"/>
            <w:shd w:val="clear" w:color="auto" w:fill="auto"/>
            <w:vAlign w:val="center"/>
            <w:hideMark/>
          </w:tcPr>
          <w:p w14:paraId="37F9E46D"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17</w:t>
            </w:r>
          </w:p>
        </w:tc>
        <w:tc>
          <w:tcPr>
            <w:tcW w:w="1518" w:type="pct"/>
            <w:shd w:val="clear" w:color="auto" w:fill="auto"/>
            <w:vAlign w:val="center"/>
          </w:tcPr>
          <w:p w14:paraId="08BCF5BA"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Zlepšenie informovanosti klientov II. a III. piliera o výnosoch, výnosoch v iných fondoch, rozloženia úspor vo fondoch, porovnanie so zahraničnými fondmi</w:t>
            </w:r>
          </w:p>
        </w:tc>
        <w:tc>
          <w:tcPr>
            <w:tcW w:w="715" w:type="pct"/>
            <w:shd w:val="clear" w:color="auto" w:fill="auto"/>
            <w:vAlign w:val="center"/>
          </w:tcPr>
          <w:p w14:paraId="542BA906"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tc>
        <w:tc>
          <w:tcPr>
            <w:tcW w:w="480" w:type="pct"/>
            <w:shd w:val="clear" w:color="auto" w:fill="auto"/>
            <w:vAlign w:val="center"/>
          </w:tcPr>
          <w:p w14:paraId="2A003DD2"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12/2019</w:t>
            </w:r>
          </w:p>
        </w:tc>
        <w:tc>
          <w:tcPr>
            <w:tcW w:w="528" w:type="pct"/>
            <w:vAlign w:val="center"/>
          </w:tcPr>
          <w:p w14:paraId="665077AE"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77" w:type="pct"/>
            <w:shd w:val="clear" w:color="auto" w:fill="A6A6A6" w:themeFill="background1" w:themeFillShade="A6"/>
            <w:noWrap/>
            <w:vAlign w:val="bottom"/>
            <w:hideMark/>
          </w:tcPr>
          <w:p w14:paraId="380C389C"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FFC000"/>
            <w:noWrap/>
            <w:vAlign w:val="bottom"/>
            <w:hideMark/>
          </w:tcPr>
          <w:p w14:paraId="47E48FD0"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A6A6A6" w:themeFill="background1" w:themeFillShade="A6"/>
            <w:noWrap/>
            <w:vAlign w:val="bottom"/>
            <w:hideMark/>
          </w:tcPr>
          <w:p w14:paraId="266E01EB"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97" w:type="pct"/>
            <w:shd w:val="clear" w:color="auto" w:fill="FFC000"/>
            <w:noWrap/>
            <w:vAlign w:val="bottom"/>
            <w:hideMark/>
          </w:tcPr>
          <w:p w14:paraId="654C68AA"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E66F49" w:rsidRPr="00666914" w14:paraId="516901B4" w14:textId="77777777" w:rsidTr="00D27F91">
        <w:trPr>
          <w:trHeight w:val="300"/>
        </w:trPr>
        <w:tc>
          <w:tcPr>
            <w:tcW w:w="231" w:type="pct"/>
            <w:shd w:val="clear" w:color="auto" w:fill="auto"/>
            <w:vAlign w:val="center"/>
            <w:hideMark/>
          </w:tcPr>
          <w:p w14:paraId="3424575D"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18</w:t>
            </w:r>
          </w:p>
        </w:tc>
        <w:tc>
          <w:tcPr>
            <w:tcW w:w="1518" w:type="pct"/>
            <w:shd w:val="clear" w:color="auto" w:fill="auto"/>
            <w:vAlign w:val="center"/>
          </w:tcPr>
          <w:p w14:paraId="713863A6"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Zmena prerozdelenia odplaty správcom dôchodkových účtov s presunom k vyššiemu podielu odplaty naviazanej na výkon v jednotlivých fondoch</w:t>
            </w:r>
          </w:p>
        </w:tc>
        <w:tc>
          <w:tcPr>
            <w:tcW w:w="715" w:type="pct"/>
            <w:shd w:val="clear" w:color="auto" w:fill="auto"/>
            <w:vAlign w:val="center"/>
          </w:tcPr>
          <w:p w14:paraId="1B53C17B"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tc>
        <w:tc>
          <w:tcPr>
            <w:tcW w:w="480" w:type="pct"/>
            <w:shd w:val="clear" w:color="auto" w:fill="auto"/>
            <w:vAlign w:val="center"/>
          </w:tcPr>
          <w:p w14:paraId="77324DFE"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12/2019</w:t>
            </w:r>
          </w:p>
        </w:tc>
        <w:tc>
          <w:tcPr>
            <w:tcW w:w="528" w:type="pct"/>
            <w:vAlign w:val="center"/>
          </w:tcPr>
          <w:p w14:paraId="5FE6FFF5"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77" w:type="pct"/>
            <w:shd w:val="clear" w:color="auto" w:fill="A6A6A6" w:themeFill="background1" w:themeFillShade="A6"/>
            <w:noWrap/>
            <w:vAlign w:val="bottom"/>
            <w:hideMark/>
          </w:tcPr>
          <w:p w14:paraId="3BF64F6B"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FF0000"/>
            <w:noWrap/>
            <w:vAlign w:val="bottom"/>
            <w:hideMark/>
          </w:tcPr>
          <w:p w14:paraId="7351878C"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A6A6A6" w:themeFill="background1" w:themeFillShade="A6"/>
            <w:noWrap/>
            <w:vAlign w:val="bottom"/>
            <w:hideMark/>
          </w:tcPr>
          <w:p w14:paraId="19C9F13C"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97" w:type="pct"/>
            <w:shd w:val="clear" w:color="auto" w:fill="FF0000"/>
            <w:noWrap/>
            <w:vAlign w:val="bottom"/>
            <w:hideMark/>
          </w:tcPr>
          <w:p w14:paraId="73384982"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bl>
    <w:p w14:paraId="44732B6F" w14:textId="31CD2222" w:rsidR="00BD5C93" w:rsidRPr="00666914" w:rsidRDefault="00BD5C93" w:rsidP="00CD4715">
      <w:pPr>
        <w:spacing w:after="0"/>
      </w:pPr>
    </w:p>
    <w:p w14:paraId="25A332F1" w14:textId="77777777" w:rsidR="00BD5C93" w:rsidRPr="00666914" w:rsidRDefault="00BD5C93">
      <w:pPr>
        <w:spacing w:after="0"/>
        <w:jc w:val="left"/>
      </w:pPr>
      <w:r w:rsidRPr="00666914">
        <w:br w:type="page"/>
      </w:r>
    </w:p>
    <w:p w14:paraId="11562163" w14:textId="77777777" w:rsidR="00E66F49" w:rsidRPr="00666914" w:rsidRDefault="00E66F49" w:rsidP="00131B23">
      <w:pPr>
        <w:numPr>
          <w:ilvl w:val="0"/>
          <w:numId w:val="7"/>
        </w:numPr>
        <w:contextualSpacing/>
        <w:rPr>
          <w:b/>
          <w:u w:val="single"/>
        </w:rPr>
      </w:pPr>
      <w:r w:rsidRPr="00666914">
        <w:rPr>
          <w:b/>
          <w:u w:val="single"/>
        </w:rPr>
        <w:lastRenderedPageBreak/>
        <w:t>Zavedenie ročného zúčtovania sociálneho poistenia</w:t>
      </w:r>
    </w:p>
    <w:p w14:paraId="304B8132" w14:textId="77777777" w:rsidR="00E66F49" w:rsidRPr="00666914" w:rsidRDefault="00E66F49" w:rsidP="00CD4715">
      <w:pPr>
        <w:contextualSpacing/>
        <w:rPr>
          <w:b/>
          <w:u w:val="single"/>
        </w:rPr>
      </w:pPr>
    </w:p>
    <w:p w14:paraId="5BA837C6" w14:textId="3F8F93EF" w:rsidR="00E66F49" w:rsidRPr="00666914" w:rsidRDefault="00E66F49" w:rsidP="00D27F91">
      <w:r w:rsidRPr="00666914">
        <w:t>V roku 2018 bolo novelou zákona o sociálnom poistení schválené zavedenie ročného zúčtovania v sociálnom poistení (RZ SP)</w:t>
      </w:r>
      <w:r w:rsidRPr="00666914">
        <w:rPr>
          <w:rStyle w:val="Odkaznapoznmkupodiarou"/>
        </w:rPr>
        <w:footnoteReference w:id="366"/>
      </w:r>
      <w:r w:rsidRPr="00666914">
        <w:t>. Podľa schváleného znenia sa mali začať platiť a odvádzať preddavky na poistnom na sociálne poistenie od 01/2022, pričom SP mala prvýkrát vykonať ročné zúčtovanie v roku 2023 (za rok 2022). Na základe schválenej legislatívnej úpravy bol pokrok v plnení opatrenia k 31.12.2018 hodnotený ako čiastočný.</w:t>
      </w:r>
    </w:p>
    <w:p w14:paraId="5F709440" w14:textId="5FC831E1" w:rsidR="00E66F49" w:rsidRPr="00666914" w:rsidRDefault="00E66F49" w:rsidP="00D27F91">
      <w:r w:rsidRPr="00666914">
        <w:t>Počas roka 2019</w:t>
      </w:r>
      <w:r w:rsidR="00345817" w:rsidRPr="00666914">
        <w:t>,</w:t>
      </w:r>
      <w:r w:rsidRPr="00666914">
        <w:t xml:space="preserve"> vzhľadom na schválený termín zavedenia RZ SP</w:t>
      </w:r>
      <w:r w:rsidR="00345817" w:rsidRPr="00666914">
        <w:t>,</w:t>
      </w:r>
      <w:r w:rsidRPr="00666914">
        <w:t xml:space="preserve"> IJ žiadala Sociálnu poisťovňu predložiť k projektu vypracovanú ŠU. SP ju do konca 3Q2019 nepredložila. Následne v 4Q2019 bol v NR SR schválený pozmeňujúci návrh na zmenu zákona, predložený na rokovaní Výboru NR SR pre sociálne veci</w:t>
      </w:r>
      <w:r w:rsidRPr="00666914">
        <w:rPr>
          <w:rStyle w:val="Odkaznapoznmkupodiarou"/>
        </w:rPr>
        <w:footnoteReference w:id="367"/>
      </w:r>
      <w:r w:rsidRPr="00666914">
        <w:t xml:space="preserve">, ktorým sa </w:t>
      </w:r>
      <w:r w:rsidRPr="00666914">
        <w:rPr>
          <w:b/>
        </w:rPr>
        <w:t>posúva zavedenie RZ SP o ďalší rok, t.z. účinnosť platenia preddavkov je až od 01/2023</w:t>
      </w:r>
      <w:r w:rsidRPr="00666914">
        <w:rPr>
          <w:rStyle w:val="Odkaznapoznmkupodiarou"/>
          <w:b/>
        </w:rPr>
        <w:footnoteReference w:id="368"/>
      </w:r>
      <w:r w:rsidRPr="00666914">
        <w:t>. V pozmeňujúcom návrhu bola uvedená ako dôvod posunutia ročného zúčtovania potreba implementovať do informačného systému SP schválené novely zákona č. 461/2003 Z. z. o sociálnom poistení</w:t>
      </w:r>
      <w:r w:rsidRPr="00666914">
        <w:rPr>
          <w:rStyle w:val="Odkaznapoznmkupodiarou"/>
        </w:rPr>
        <w:footnoteReference w:id="369"/>
      </w:r>
      <w:r w:rsidRPr="00666914">
        <w:t>, v dôsledku ktorých nie je možné vykonávať súbežne úpravy informačného systému, potrebné pre zavedenie RZ SP</w:t>
      </w:r>
      <w:r w:rsidRPr="00666914">
        <w:rPr>
          <w:rStyle w:val="Odkaznapoznmkupodiarou"/>
        </w:rPr>
        <w:footnoteReference w:id="370"/>
      </w:r>
      <w:r w:rsidRPr="00666914">
        <w:t>.</w:t>
      </w:r>
    </w:p>
    <w:p w14:paraId="7CF4359C" w14:textId="18655AE1" w:rsidR="00E66F49" w:rsidRPr="00666914" w:rsidRDefault="00E66F49" w:rsidP="00D27F91">
      <w:pPr>
        <w:rPr>
          <w:b/>
        </w:rPr>
      </w:pPr>
      <w:r w:rsidRPr="00666914">
        <w:t>Schválený posun účinnosti zavedenia RZ SP predstavuje v porovnaní so scenárom z revízie výdavkov</w:t>
      </w:r>
      <w:r w:rsidRPr="00666914">
        <w:rPr>
          <w:b/>
        </w:rPr>
        <w:t xml:space="preserve"> odhadovaný výpadok prínosov do ŠR počas rokov 2019 -2022 vo výške viac ako 200 mil. eur</w:t>
      </w:r>
      <w:r w:rsidRPr="00666914">
        <w:rPr>
          <w:rStyle w:val="Odkaznapoznmkupodiarou"/>
          <w:b/>
        </w:rPr>
        <w:footnoteReference w:id="371"/>
      </w:r>
      <w:r w:rsidRPr="00666914">
        <w:rPr>
          <w:b/>
        </w:rPr>
        <w:t>.</w:t>
      </w:r>
    </w:p>
    <w:p w14:paraId="18EBEEDF" w14:textId="550D3957" w:rsidR="00173DD5" w:rsidRPr="00666914" w:rsidRDefault="00E66F49" w:rsidP="007027DF">
      <w:pPr>
        <w:rPr>
          <w:b/>
        </w:rPr>
      </w:pPr>
      <w:r w:rsidRPr="00666914">
        <w:rPr>
          <w:b/>
        </w:rPr>
        <w:t>Opatrenie sa k 31.12.2019 neplní.</w:t>
      </w:r>
    </w:p>
    <w:p w14:paraId="581C34F3" w14:textId="77777777" w:rsidR="00E66F49" w:rsidRPr="00666914" w:rsidRDefault="00E66F49" w:rsidP="00131B23">
      <w:pPr>
        <w:numPr>
          <w:ilvl w:val="0"/>
          <w:numId w:val="7"/>
        </w:numPr>
        <w:contextualSpacing/>
        <w:rPr>
          <w:b/>
          <w:u w:val="single"/>
        </w:rPr>
      </w:pPr>
      <w:r w:rsidRPr="00666914">
        <w:rPr>
          <w:b/>
          <w:u w:val="single"/>
        </w:rPr>
        <w:t>Zavedenie indexového fondu v III. pilieri dôchodkového sporenia</w:t>
      </w:r>
    </w:p>
    <w:p w14:paraId="4D2823EB" w14:textId="77777777" w:rsidR="00E66F49" w:rsidRPr="00666914" w:rsidRDefault="00E66F49" w:rsidP="00D27F91">
      <w:pPr>
        <w:contextualSpacing/>
        <w:rPr>
          <w:b/>
          <w:u w:val="single"/>
        </w:rPr>
      </w:pPr>
    </w:p>
    <w:p w14:paraId="17F6DFD1" w14:textId="3AC7D37D" w:rsidR="00E66F49" w:rsidRPr="000E5681" w:rsidRDefault="00E66F49" w:rsidP="00D27F91">
      <w:r w:rsidRPr="00666914">
        <w:t xml:space="preserve">Vzhľadom na skutočnosť, že 2 zo </w:t>
      </w:r>
      <w:r w:rsidRPr="00477494">
        <w:t>4 DDS</w:t>
      </w:r>
      <w:r w:rsidRPr="00666914">
        <w:t xml:space="preserve"> mali počas roka 2019 v ponuke indexové DDF</w:t>
      </w:r>
      <w:r w:rsidRPr="00666914">
        <w:rPr>
          <w:rStyle w:val="Odkaznapoznmkupodiarou"/>
        </w:rPr>
        <w:footnoteReference w:id="372"/>
      </w:r>
      <w:r w:rsidRPr="00666914">
        <w:t xml:space="preserve">, MPSVR SR na základe odporúčaní IJ počas roka priebežne monitorovala záujem účastníkov sporenia (tabuľka </w:t>
      </w:r>
      <w:r w:rsidR="00345817" w:rsidRPr="00666914">
        <w:t>8</w:t>
      </w:r>
      <w:r w:rsidR="00EB2C64" w:rsidRPr="00666914">
        <w:t>8</w:t>
      </w:r>
      <w:r w:rsidR="00345817" w:rsidRPr="00666914">
        <w:rPr>
          <w:b/>
          <w:sz w:val="20"/>
        </w:rPr>
        <w:t xml:space="preserve"> </w:t>
      </w:r>
      <w:r w:rsidRPr="00666914">
        <w:t xml:space="preserve">a graf </w:t>
      </w:r>
      <w:r w:rsidRPr="000E5681">
        <w:t>2</w:t>
      </w:r>
      <w:r w:rsidR="00345817" w:rsidRPr="000E5681">
        <w:t>0</w:t>
      </w:r>
      <w:r w:rsidRPr="000E5681">
        <w:t>).</w:t>
      </w:r>
    </w:p>
    <w:tbl>
      <w:tblPr>
        <w:tblW w:w="10490" w:type="dxa"/>
        <w:tblInd w:w="-567" w:type="dxa"/>
        <w:tblCellMar>
          <w:left w:w="70" w:type="dxa"/>
          <w:right w:w="70" w:type="dxa"/>
        </w:tblCellMar>
        <w:tblLook w:val="04A0" w:firstRow="1" w:lastRow="0" w:firstColumn="1" w:lastColumn="0" w:noHBand="0" w:noVBand="1"/>
      </w:tblPr>
      <w:tblGrid>
        <w:gridCol w:w="993"/>
        <w:gridCol w:w="1489"/>
        <w:gridCol w:w="637"/>
        <w:gridCol w:w="709"/>
        <w:gridCol w:w="725"/>
        <w:gridCol w:w="615"/>
        <w:gridCol w:w="615"/>
        <w:gridCol w:w="615"/>
        <w:gridCol w:w="615"/>
        <w:gridCol w:w="642"/>
        <w:gridCol w:w="709"/>
        <w:gridCol w:w="708"/>
        <w:gridCol w:w="709"/>
        <w:gridCol w:w="709"/>
      </w:tblGrid>
      <w:tr w:rsidR="00E66F49" w:rsidRPr="00666914" w14:paraId="7755E8D4" w14:textId="77777777" w:rsidTr="00173DD5">
        <w:trPr>
          <w:trHeight w:val="300"/>
        </w:trPr>
        <w:tc>
          <w:tcPr>
            <w:tcW w:w="10490" w:type="dxa"/>
            <w:gridSpan w:val="14"/>
            <w:tcBorders>
              <w:top w:val="nil"/>
              <w:left w:val="nil"/>
              <w:bottom w:val="single" w:sz="4" w:space="0" w:color="auto"/>
              <w:right w:val="nil"/>
            </w:tcBorders>
            <w:shd w:val="clear" w:color="auto" w:fill="auto"/>
            <w:noWrap/>
            <w:vAlign w:val="center"/>
            <w:hideMark/>
          </w:tcPr>
          <w:p w14:paraId="74F5088C" w14:textId="1F923367" w:rsidR="00E66F49" w:rsidRPr="00666914" w:rsidRDefault="00E66F49" w:rsidP="00D27F91">
            <w:pPr>
              <w:spacing w:after="0"/>
              <w:jc w:val="left"/>
              <w:rPr>
                <w:rFonts w:eastAsia="Times New Roman" w:cs="Calibri"/>
                <w:b/>
                <w:bCs/>
                <w:color w:val="000000"/>
                <w:sz w:val="20"/>
                <w:szCs w:val="20"/>
                <w:lang w:eastAsia="sk-SK"/>
              </w:rPr>
            </w:pPr>
            <w:bookmarkStart w:id="388" w:name="_Toc38447749"/>
            <w:r w:rsidRPr="00666914">
              <w:rPr>
                <w:rFonts w:eastAsia="Times New Roman" w:cs="Calibri"/>
                <w:b/>
                <w:bCs/>
                <w:color w:val="000000"/>
                <w:sz w:val="20"/>
                <w:szCs w:val="20"/>
                <w:lang w:eastAsia="sk-SK"/>
              </w:rPr>
              <w:t xml:space="preserve">Tabuľka </w:t>
            </w:r>
            <w:r w:rsidRPr="00666914">
              <w:rPr>
                <w:rFonts w:eastAsia="Times New Roman" w:cs="Calibri"/>
                <w:b/>
                <w:bCs/>
                <w:color w:val="000000"/>
                <w:sz w:val="20"/>
                <w:szCs w:val="20"/>
                <w:lang w:eastAsia="sk-SK"/>
              </w:rPr>
              <w:fldChar w:fldCharType="begin"/>
            </w:r>
            <w:r w:rsidRPr="00666914">
              <w:rPr>
                <w:rFonts w:eastAsia="Times New Roman" w:cs="Calibri"/>
                <w:b/>
                <w:bCs/>
                <w:color w:val="000000"/>
                <w:sz w:val="20"/>
                <w:szCs w:val="20"/>
                <w:lang w:eastAsia="sk-SK"/>
              </w:rPr>
              <w:instrText xml:space="preserve"> SEQ Tabuľka \* ARABIC \* MERGEFORMAT </w:instrText>
            </w:r>
            <w:r w:rsidRPr="00666914">
              <w:rPr>
                <w:rFonts w:eastAsia="Times New Roman" w:cs="Calibri"/>
                <w:b/>
                <w:bCs/>
                <w:color w:val="000000"/>
                <w:sz w:val="20"/>
                <w:szCs w:val="20"/>
                <w:lang w:eastAsia="sk-SK"/>
              </w:rPr>
              <w:fldChar w:fldCharType="separate"/>
            </w:r>
            <w:r w:rsidR="005A7304">
              <w:rPr>
                <w:rFonts w:eastAsia="Times New Roman" w:cs="Calibri"/>
                <w:b/>
                <w:bCs/>
                <w:noProof/>
                <w:color w:val="000000"/>
                <w:sz w:val="20"/>
                <w:szCs w:val="20"/>
                <w:lang w:eastAsia="sk-SK"/>
              </w:rPr>
              <w:t>88</w:t>
            </w:r>
            <w:r w:rsidRPr="00666914">
              <w:rPr>
                <w:rFonts w:eastAsia="Times New Roman" w:cs="Calibri"/>
                <w:b/>
                <w:bCs/>
                <w:color w:val="000000"/>
                <w:sz w:val="20"/>
                <w:szCs w:val="20"/>
                <w:lang w:eastAsia="sk-SK"/>
              </w:rPr>
              <w:fldChar w:fldCharType="end"/>
            </w:r>
            <w:r w:rsidRPr="00666914">
              <w:rPr>
                <w:rFonts w:eastAsia="Times New Roman" w:cs="Calibri"/>
                <w:b/>
                <w:bCs/>
                <w:color w:val="000000"/>
                <w:sz w:val="20"/>
                <w:szCs w:val="20"/>
                <w:lang w:eastAsia="sk-SK"/>
              </w:rPr>
              <w:t>: Monitoring indexových fondov DDS v III. pilieri</w:t>
            </w:r>
            <w:bookmarkEnd w:id="388"/>
            <w:r w:rsidRPr="00666914">
              <w:rPr>
                <w:rFonts w:eastAsia="Times New Roman" w:cs="Calibri"/>
                <w:b/>
                <w:bCs/>
                <w:color w:val="000000"/>
                <w:sz w:val="20"/>
                <w:szCs w:val="20"/>
                <w:lang w:eastAsia="sk-SK"/>
              </w:rPr>
              <w:t xml:space="preserve"> </w:t>
            </w:r>
          </w:p>
        </w:tc>
      </w:tr>
      <w:tr w:rsidR="00E66F49" w:rsidRPr="00666914" w14:paraId="235137D7" w14:textId="77777777" w:rsidTr="00173DD5">
        <w:tc>
          <w:tcPr>
            <w:tcW w:w="2482" w:type="dxa"/>
            <w:gridSpan w:val="2"/>
            <w:tcBorders>
              <w:top w:val="single" w:sz="4" w:space="0" w:color="auto"/>
              <w:left w:val="nil"/>
              <w:bottom w:val="single" w:sz="4" w:space="0" w:color="auto"/>
              <w:right w:val="nil"/>
            </w:tcBorders>
            <w:shd w:val="clear" w:color="auto" w:fill="auto"/>
            <w:noWrap/>
            <w:vAlign w:val="center"/>
            <w:hideMark/>
          </w:tcPr>
          <w:p w14:paraId="35D20487"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637" w:type="dxa"/>
            <w:tcBorders>
              <w:top w:val="single" w:sz="4" w:space="0" w:color="auto"/>
              <w:left w:val="nil"/>
              <w:bottom w:val="single" w:sz="4" w:space="0" w:color="auto"/>
              <w:right w:val="nil"/>
            </w:tcBorders>
            <w:shd w:val="clear" w:color="auto" w:fill="auto"/>
            <w:noWrap/>
            <w:vAlign w:val="center"/>
            <w:hideMark/>
          </w:tcPr>
          <w:p w14:paraId="55047E17" w14:textId="77777777" w:rsidR="00E66F49" w:rsidRPr="00666914" w:rsidRDefault="00E66F49" w:rsidP="00D27F91">
            <w:pPr>
              <w:spacing w:after="0"/>
              <w:jc w:val="right"/>
              <w:rPr>
                <w:rFonts w:eastAsia="Times New Roman" w:cs="Calibri"/>
                <w:b/>
                <w:bCs/>
                <w:color w:val="000000"/>
                <w:sz w:val="18"/>
                <w:szCs w:val="18"/>
                <w:lang w:eastAsia="sk-SK"/>
              </w:rPr>
            </w:pPr>
            <w:r w:rsidRPr="00666914">
              <w:rPr>
                <w:rFonts w:eastAsia="Times New Roman" w:cs="Calibri"/>
                <w:b/>
                <w:bCs/>
                <w:color w:val="000000"/>
                <w:sz w:val="18"/>
                <w:szCs w:val="18"/>
                <w:lang w:eastAsia="sk-SK"/>
              </w:rPr>
              <w:t>01-19</w:t>
            </w:r>
          </w:p>
        </w:tc>
        <w:tc>
          <w:tcPr>
            <w:tcW w:w="709" w:type="dxa"/>
            <w:tcBorders>
              <w:top w:val="single" w:sz="4" w:space="0" w:color="auto"/>
              <w:left w:val="nil"/>
              <w:bottom w:val="single" w:sz="4" w:space="0" w:color="auto"/>
              <w:right w:val="nil"/>
            </w:tcBorders>
            <w:shd w:val="clear" w:color="auto" w:fill="auto"/>
            <w:noWrap/>
            <w:vAlign w:val="center"/>
            <w:hideMark/>
          </w:tcPr>
          <w:p w14:paraId="28662A66" w14:textId="77777777" w:rsidR="00E66F49" w:rsidRPr="00666914" w:rsidRDefault="00E66F49" w:rsidP="00D27F91">
            <w:pPr>
              <w:spacing w:after="0"/>
              <w:jc w:val="right"/>
              <w:rPr>
                <w:rFonts w:eastAsia="Times New Roman" w:cs="Calibri"/>
                <w:b/>
                <w:bCs/>
                <w:color w:val="000000"/>
                <w:sz w:val="18"/>
                <w:szCs w:val="18"/>
                <w:lang w:eastAsia="sk-SK"/>
              </w:rPr>
            </w:pPr>
            <w:r w:rsidRPr="00666914">
              <w:rPr>
                <w:rFonts w:eastAsia="Times New Roman" w:cs="Calibri"/>
                <w:b/>
                <w:bCs/>
                <w:color w:val="000000"/>
                <w:sz w:val="18"/>
                <w:szCs w:val="18"/>
                <w:lang w:eastAsia="sk-SK"/>
              </w:rPr>
              <w:t>02-19</w:t>
            </w:r>
          </w:p>
        </w:tc>
        <w:tc>
          <w:tcPr>
            <w:tcW w:w="725" w:type="dxa"/>
            <w:tcBorders>
              <w:top w:val="single" w:sz="4" w:space="0" w:color="auto"/>
              <w:left w:val="nil"/>
              <w:bottom w:val="single" w:sz="4" w:space="0" w:color="auto"/>
              <w:right w:val="nil"/>
            </w:tcBorders>
            <w:shd w:val="clear" w:color="auto" w:fill="auto"/>
            <w:noWrap/>
            <w:vAlign w:val="center"/>
            <w:hideMark/>
          </w:tcPr>
          <w:p w14:paraId="72755010" w14:textId="77777777" w:rsidR="00E66F49" w:rsidRPr="00666914" w:rsidRDefault="00E66F49" w:rsidP="00D27F91">
            <w:pPr>
              <w:spacing w:after="0"/>
              <w:jc w:val="right"/>
              <w:rPr>
                <w:rFonts w:eastAsia="Times New Roman" w:cs="Calibri"/>
                <w:b/>
                <w:bCs/>
                <w:color w:val="000000"/>
                <w:sz w:val="18"/>
                <w:szCs w:val="18"/>
                <w:lang w:eastAsia="sk-SK"/>
              </w:rPr>
            </w:pPr>
            <w:r w:rsidRPr="00666914">
              <w:rPr>
                <w:rFonts w:eastAsia="Times New Roman" w:cs="Calibri"/>
                <w:b/>
                <w:bCs/>
                <w:color w:val="000000"/>
                <w:sz w:val="18"/>
                <w:szCs w:val="18"/>
                <w:lang w:eastAsia="sk-SK"/>
              </w:rPr>
              <w:t>03-19</w:t>
            </w:r>
          </w:p>
        </w:tc>
        <w:tc>
          <w:tcPr>
            <w:tcW w:w="615" w:type="dxa"/>
            <w:tcBorders>
              <w:top w:val="single" w:sz="4" w:space="0" w:color="auto"/>
              <w:left w:val="nil"/>
              <w:bottom w:val="single" w:sz="4" w:space="0" w:color="auto"/>
              <w:right w:val="nil"/>
            </w:tcBorders>
            <w:shd w:val="clear" w:color="auto" w:fill="auto"/>
            <w:noWrap/>
            <w:vAlign w:val="center"/>
            <w:hideMark/>
          </w:tcPr>
          <w:p w14:paraId="198D5AD2" w14:textId="77777777" w:rsidR="00E66F49" w:rsidRPr="00666914" w:rsidRDefault="00E66F49" w:rsidP="00D27F91">
            <w:pPr>
              <w:spacing w:after="0"/>
              <w:jc w:val="right"/>
              <w:rPr>
                <w:rFonts w:eastAsia="Times New Roman" w:cs="Calibri"/>
                <w:b/>
                <w:bCs/>
                <w:color w:val="000000"/>
                <w:sz w:val="18"/>
                <w:szCs w:val="18"/>
                <w:lang w:eastAsia="sk-SK"/>
              </w:rPr>
            </w:pPr>
            <w:r w:rsidRPr="00666914">
              <w:rPr>
                <w:rFonts w:eastAsia="Times New Roman" w:cs="Calibri"/>
                <w:b/>
                <w:bCs/>
                <w:color w:val="000000"/>
                <w:sz w:val="18"/>
                <w:szCs w:val="18"/>
                <w:lang w:eastAsia="sk-SK"/>
              </w:rPr>
              <w:t>04-19</w:t>
            </w:r>
          </w:p>
        </w:tc>
        <w:tc>
          <w:tcPr>
            <w:tcW w:w="0" w:type="auto"/>
            <w:tcBorders>
              <w:top w:val="single" w:sz="4" w:space="0" w:color="auto"/>
              <w:left w:val="nil"/>
              <w:bottom w:val="single" w:sz="4" w:space="0" w:color="auto"/>
              <w:right w:val="nil"/>
            </w:tcBorders>
            <w:shd w:val="clear" w:color="auto" w:fill="auto"/>
            <w:noWrap/>
            <w:vAlign w:val="center"/>
            <w:hideMark/>
          </w:tcPr>
          <w:p w14:paraId="5EE1D812" w14:textId="77777777" w:rsidR="00E66F49" w:rsidRPr="00666914" w:rsidRDefault="00E66F49" w:rsidP="00D27F91">
            <w:pPr>
              <w:spacing w:after="0"/>
              <w:jc w:val="right"/>
              <w:rPr>
                <w:rFonts w:eastAsia="Times New Roman" w:cs="Calibri"/>
                <w:b/>
                <w:bCs/>
                <w:color w:val="000000"/>
                <w:sz w:val="18"/>
                <w:szCs w:val="18"/>
                <w:lang w:eastAsia="sk-SK"/>
              </w:rPr>
            </w:pPr>
            <w:r w:rsidRPr="00666914">
              <w:rPr>
                <w:rFonts w:eastAsia="Times New Roman" w:cs="Calibri"/>
                <w:b/>
                <w:bCs/>
                <w:color w:val="000000"/>
                <w:sz w:val="18"/>
                <w:szCs w:val="18"/>
                <w:lang w:eastAsia="sk-SK"/>
              </w:rPr>
              <w:t>05-19</w:t>
            </w:r>
          </w:p>
        </w:tc>
        <w:tc>
          <w:tcPr>
            <w:tcW w:w="0" w:type="auto"/>
            <w:tcBorders>
              <w:top w:val="single" w:sz="4" w:space="0" w:color="auto"/>
              <w:left w:val="nil"/>
              <w:bottom w:val="single" w:sz="4" w:space="0" w:color="auto"/>
              <w:right w:val="nil"/>
            </w:tcBorders>
            <w:shd w:val="clear" w:color="auto" w:fill="auto"/>
            <w:noWrap/>
            <w:vAlign w:val="center"/>
            <w:hideMark/>
          </w:tcPr>
          <w:p w14:paraId="192B03B5" w14:textId="77777777" w:rsidR="00E66F49" w:rsidRPr="00666914" w:rsidRDefault="00E66F49" w:rsidP="00D27F91">
            <w:pPr>
              <w:spacing w:after="0"/>
              <w:jc w:val="right"/>
              <w:rPr>
                <w:rFonts w:eastAsia="Times New Roman" w:cs="Calibri"/>
                <w:b/>
                <w:bCs/>
                <w:color w:val="000000"/>
                <w:sz w:val="18"/>
                <w:szCs w:val="18"/>
                <w:lang w:eastAsia="sk-SK"/>
              </w:rPr>
            </w:pPr>
            <w:r w:rsidRPr="00666914">
              <w:rPr>
                <w:rFonts w:eastAsia="Times New Roman" w:cs="Calibri"/>
                <w:b/>
                <w:bCs/>
                <w:color w:val="000000"/>
                <w:sz w:val="18"/>
                <w:szCs w:val="18"/>
                <w:lang w:eastAsia="sk-SK"/>
              </w:rPr>
              <w:t>06-19</w:t>
            </w:r>
          </w:p>
        </w:tc>
        <w:tc>
          <w:tcPr>
            <w:tcW w:w="0" w:type="auto"/>
            <w:tcBorders>
              <w:top w:val="single" w:sz="4" w:space="0" w:color="auto"/>
              <w:left w:val="nil"/>
              <w:bottom w:val="single" w:sz="4" w:space="0" w:color="auto"/>
              <w:right w:val="nil"/>
            </w:tcBorders>
            <w:shd w:val="clear" w:color="auto" w:fill="auto"/>
            <w:noWrap/>
            <w:vAlign w:val="center"/>
            <w:hideMark/>
          </w:tcPr>
          <w:p w14:paraId="2239F014" w14:textId="77777777" w:rsidR="00E66F49" w:rsidRPr="00666914" w:rsidRDefault="00E66F49" w:rsidP="00D27F91">
            <w:pPr>
              <w:spacing w:after="0"/>
              <w:jc w:val="right"/>
              <w:rPr>
                <w:rFonts w:eastAsia="Times New Roman" w:cs="Calibri"/>
                <w:b/>
                <w:bCs/>
                <w:color w:val="000000"/>
                <w:sz w:val="18"/>
                <w:szCs w:val="18"/>
                <w:lang w:eastAsia="sk-SK"/>
              </w:rPr>
            </w:pPr>
            <w:r w:rsidRPr="00666914">
              <w:rPr>
                <w:rFonts w:eastAsia="Times New Roman" w:cs="Calibri"/>
                <w:b/>
                <w:bCs/>
                <w:color w:val="000000"/>
                <w:sz w:val="18"/>
                <w:szCs w:val="18"/>
                <w:lang w:eastAsia="sk-SK"/>
              </w:rPr>
              <w:t>07-19</w:t>
            </w:r>
          </w:p>
        </w:tc>
        <w:tc>
          <w:tcPr>
            <w:tcW w:w="642" w:type="dxa"/>
            <w:tcBorders>
              <w:top w:val="single" w:sz="4" w:space="0" w:color="auto"/>
              <w:left w:val="nil"/>
              <w:bottom w:val="single" w:sz="4" w:space="0" w:color="auto"/>
              <w:right w:val="nil"/>
            </w:tcBorders>
            <w:shd w:val="clear" w:color="auto" w:fill="auto"/>
            <w:noWrap/>
            <w:vAlign w:val="center"/>
            <w:hideMark/>
          </w:tcPr>
          <w:p w14:paraId="23BBE105" w14:textId="77777777" w:rsidR="00E66F49" w:rsidRPr="00666914" w:rsidRDefault="00E66F49" w:rsidP="00D27F91">
            <w:pPr>
              <w:spacing w:after="0"/>
              <w:jc w:val="right"/>
              <w:rPr>
                <w:rFonts w:eastAsia="Times New Roman" w:cs="Calibri"/>
                <w:b/>
                <w:bCs/>
                <w:color w:val="000000"/>
                <w:sz w:val="18"/>
                <w:szCs w:val="18"/>
                <w:lang w:eastAsia="sk-SK"/>
              </w:rPr>
            </w:pPr>
            <w:r w:rsidRPr="00666914">
              <w:rPr>
                <w:rFonts w:eastAsia="Times New Roman" w:cs="Calibri"/>
                <w:b/>
                <w:bCs/>
                <w:color w:val="000000"/>
                <w:sz w:val="18"/>
                <w:szCs w:val="18"/>
                <w:lang w:eastAsia="sk-SK"/>
              </w:rPr>
              <w:t>08-19</w:t>
            </w:r>
          </w:p>
        </w:tc>
        <w:tc>
          <w:tcPr>
            <w:tcW w:w="709" w:type="dxa"/>
            <w:tcBorders>
              <w:top w:val="single" w:sz="4" w:space="0" w:color="auto"/>
              <w:left w:val="nil"/>
              <w:bottom w:val="single" w:sz="4" w:space="0" w:color="auto"/>
              <w:right w:val="nil"/>
            </w:tcBorders>
            <w:shd w:val="clear" w:color="auto" w:fill="auto"/>
            <w:noWrap/>
            <w:vAlign w:val="center"/>
            <w:hideMark/>
          </w:tcPr>
          <w:p w14:paraId="79B447AB" w14:textId="77777777" w:rsidR="00E66F49" w:rsidRPr="00666914" w:rsidRDefault="00E66F49" w:rsidP="00D27F91">
            <w:pPr>
              <w:spacing w:after="0"/>
              <w:jc w:val="right"/>
              <w:rPr>
                <w:rFonts w:eastAsia="Times New Roman" w:cs="Calibri"/>
                <w:b/>
                <w:bCs/>
                <w:color w:val="000000"/>
                <w:sz w:val="18"/>
                <w:szCs w:val="18"/>
                <w:lang w:eastAsia="sk-SK"/>
              </w:rPr>
            </w:pPr>
            <w:r w:rsidRPr="00666914">
              <w:rPr>
                <w:rFonts w:eastAsia="Times New Roman" w:cs="Calibri"/>
                <w:b/>
                <w:bCs/>
                <w:color w:val="000000"/>
                <w:sz w:val="18"/>
                <w:szCs w:val="18"/>
                <w:lang w:eastAsia="sk-SK"/>
              </w:rPr>
              <w:t>09-19</w:t>
            </w:r>
          </w:p>
        </w:tc>
        <w:tc>
          <w:tcPr>
            <w:tcW w:w="708" w:type="dxa"/>
            <w:tcBorders>
              <w:top w:val="single" w:sz="4" w:space="0" w:color="auto"/>
              <w:left w:val="nil"/>
              <w:bottom w:val="single" w:sz="4" w:space="0" w:color="auto"/>
              <w:right w:val="nil"/>
            </w:tcBorders>
            <w:shd w:val="clear" w:color="auto" w:fill="auto"/>
            <w:noWrap/>
            <w:vAlign w:val="center"/>
            <w:hideMark/>
          </w:tcPr>
          <w:p w14:paraId="142E5692" w14:textId="77777777" w:rsidR="00E66F49" w:rsidRPr="00666914" w:rsidRDefault="00E66F49" w:rsidP="00D27F91">
            <w:pPr>
              <w:spacing w:after="0"/>
              <w:jc w:val="right"/>
              <w:rPr>
                <w:rFonts w:eastAsia="Times New Roman" w:cs="Calibri"/>
                <w:b/>
                <w:bCs/>
                <w:color w:val="000000"/>
                <w:sz w:val="18"/>
                <w:szCs w:val="18"/>
                <w:lang w:eastAsia="sk-SK"/>
              </w:rPr>
            </w:pPr>
            <w:r w:rsidRPr="00666914">
              <w:rPr>
                <w:rFonts w:eastAsia="Times New Roman" w:cs="Calibri"/>
                <w:b/>
                <w:bCs/>
                <w:color w:val="000000"/>
                <w:sz w:val="18"/>
                <w:szCs w:val="18"/>
                <w:lang w:eastAsia="sk-SK"/>
              </w:rPr>
              <w:t>10-19</w:t>
            </w:r>
          </w:p>
        </w:tc>
        <w:tc>
          <w:tcPr>
            <w:tcW w:w="709" w:type="dxa"/>
            <w:tcBorders>
              <w:top w:val="single" w:sz="4" w:space="0" w:color="auto"/>
              <w:left w:val="nil"/>
              <w:bottom w:val="single" w:sz="4" w:space="0" w:color="auto"/>
              <w:right w:val="nil"/>
            </w:tcBorders>
            <w:shd w:val="clear" w:color="auto" w:fill="auto"/>
            <w:noWrap/>
            <w:vAlign w:val="center"/>
            <w:hideMark/>
          </w:tcPr>
          <w:p w14:paraId="50BBE4CC" w14:textId="77777777" w:rsidR="00E66F49" w:rsidRPr="00666914" w:rsidRDefault="00E66F49" w:rsidP="00D27F91">
            <w:pPr>
              <w:spacing w:after="0"/>
              <w:jc w:val="right"/>
              <w:rPr>
                <w:rFonts w:eastAsia="Times New Roman" w:cs="Calibri"/>
                <w:b/>
                <w:bCs/>
                <w:color w:val="000000"/>
                <w:sz w:val="18"/>
                <w:szCs w:val="18"/>
                <w:lang w:eastAsia="sk-SK"/>
              </w:rPr>
            </w:pPr>
            <w:r w:rsidRPr="00666914">
              <w:rPr>
                <w:rFonts w:eastAsia="Times New Roman" w:cs="Calibri"/>
                <w:b/>
                <w:bCs/>
                <w:color w:val="000000"/>
                <w:sz w:val="18"/>
                <w:szCs w:val="18"/>
                <w:lang w:eastAsia="sk-SK"/>
              </w:rPr>
              <w:t>11-19</w:t>
            </w:r>
          </w:p>
        </w:tc>
        <w:tc>
          <w:tcPr>
            <w:tcW w:w="709" w:type="dxa"/>
            <w:tcBorders>
              <w:top w:val="single" w:sz="4" w:space="0" w:color="auto"/>
              <w:left w:val="nil"/>
              <w:bottom w:val="single" w:sz="4" w:space="0" w:color="auto"/>
              <w:right w:val="nil"/>
            </w:tcBorders>
            <w:shd w:val="clear" w:color="auto" w:fill="auto"/>
            <w:noWrap/>
            <w:vAlign w:val="center"/>
            <w:hideMark/>
          </w:tcPr>
          <w:p w14:paraId="53454412" w14:textId="77777777" w:rsidR="00E66F49" w:rsidRPr="00666914" w:rsidRDefault="00E66F49" w:rsidP="00D27F91">
            <w:pPr>
              <w:spacing w:after="0"/>
              <w:jc w:val="right"/>
              <w:rPr>
                <w:rFonts w:eastAsia="Times New Roman" w:cs="Calibri"/>
                <w:b/>
                <w:bCs/>
                <w:color w:val="000000"/>
                <w:sz w:val="18"/>
                <w:szCs w:val="18"/>
                <w:lang w:eastAsia="sk-SK"/>
              </w:rPr>
            </w:pPr>
            <w:r w:rsidRPr="00666914">
              <w:rPr>
                <w:rFonts w:eastAsia="Times New Roman" w:cs="Calibri"/>
                <w:b/>
                <w:bCs/>
                <w:color w:val="000000"/>
                <w:sz w:val="18"/>
                <w:szCs w:val="18"/>
                <w:lang w:eastAsia="sk-SK"/>
              </w:rPr>
              <w:t>12-19</w:t>
            </w:r>
          </w:p>
        </w:tc>
      </w:tr>
      <w:tr w:rsidR="00E66F49" w:rsidRPr="00666914" w14:paraId="359B29DE" w14:textId="77777777" w:rsidTr="00D27F91">
        <w:tc>
          <w:tcPr>
            <w:tcW w:w="993" w:type="dxa"/>
            <w:vMerge w:val="restart"/>
            <w:tcBorders>
              <w:top w:val="nil"/>
              <w:left w:val="nil"/>
              <w:bottom w:val="single" w:sz="4" w:space="0" w:color="000000"/>
              <w:right w:val="nil"/>
            </w:tcBorders>
            <w:shd w:val="clear" w:color="auto" w:fill="auto"/>
            <w:noWrap/>
            <w:vAlign w:val="center"/>
            <w:hideMark/>
          </w:tcPr>
          <w:p w14:paraId="7DD7E9A6" w14:textId="77777777" w:rsidR="00E66F49" w:rsidRPr="00666914" w:rsidRDefault="00E66F49" w:rsidP="00D27F91">
            <w:pPr>
              <w:spacing w:after="0"/>
              <w:jc w:val="center"/>
              <w:rPr>
                <w:rFonts w:eastAsia="Times New Roman" w:cs="Calibri"/>
                <w:color w:val="000000"/>
                <w:sz w:val="18"/>
                <w:szCs w:val="18"/>
                <w:lang w:eastAsia="sk-SK"/>
              </w:rPr>
            </w:pPr>
            <w:r w:rsidRPr="00666914">
              <w:rPr>
                <w:rFonts w:eastAsia="Times New Roman" w:cs="Calibri"/>
                <w:color w:val="000000"/>
                <w:sz w:val="18"/>
                <w:szCs w:val="18"/>
                <w:lang w:eastAsia="sk-SK"/>
              </w:rPr>
              <w:t>AXA DDS</w:t>
            </w:r>
          </w:p>
        </w:tc>
        <w:tc>
          <w:tcPr>
            <w:tcW w:w="1489" w:type="dxa"/>
            <w:tcBorders>
              <w:top w:val="nil"/>
              <w:left w:val="nil"/>
              <w:bottom w:val="nil"/>
              <w:right w:val="nil"/>
            </w:tcBorders>
            <w:shd w:val="clear" w:color="auto" w:fill="auto"/>
            <w:noWrap/>
            <w:vAlign w:val="center"/>
            <w:hideMark/>
          </w:tcPr>
          <w:p w14:paraId="5F2B8E7F" w14:textId="77777777" w:rsidR="00E66F49" w:rsidRPr="00666914" w:rsidRDefault="00E66F49" w:rsidP="00D27F91">
            <w:pPr>
              <w:spacing w:after="0"/>
              <w:jc w:val="left"/>
              <w:rPr>
                <w:rFonts w:eastAsia="Times New Roman" w:cs="Calibri"/>
                <w:color w:val="000000"/>
                <w:sz w:val="18"/>
                <w:szCs w:val="18"/>
                <w:lang w:eastAsia="sk-SK"/>
              </w:rPr>
            </w:pPr>
            <w:r w:rsidRPr="00666914">
              <w:rPr>
                <w:rFonts w:eastAsia="Times New Roman" w:cs="Calibri"/>
                <w:color w:val="000000"/>
                <w:sz w:val="18"/>
                <w:szCs w:val="18"/>
                <w:lang w:eastAsia="sk-SK"/>
              </w:rPr>
              <w:t>Počet účastníkov v indexovom fonde</w:t>
            </w:r>
          </w:p>
        </w:tc>
        <w:tc>
          <w:tcPr>
            <w:tcW w:w="637" w:type="dxa"/>
            <w:tcBorders>
              <w:top w:val="nil"/>
              <w:left w:val="nil"/>
              <w:bottom w:val="nil"/>
              <w:right w:val="nil"/>
            </w:tcBorders>
            <w:shd w:val="clear" w:color="auto" w:fill="auto"/>
            <w:noWrap/>
            <w:vAlign w:val="center"/>
            <w:hideMark/>
          </w:tcPr>
          <w:p w14:paraId="25068E75"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n/a</w:t>
            </w:r>
          </w:p>
        </w:tc>
        <w:tc>
          <w:tcPr>
            <w:tcW w:w="709" w:type="dxa"/>
            <w:tcBorders>
              <w:top w:val="nil"/>
              <w:left w:val="nil"/>
              <w:bottom w:val="nil"/>
              <w:right w:val="nil"/>
            </w:tcBorders>
            <w:shd w:val="clear" w:color="auto" w:fill="auto"/>
            <w:noWrap/>
            <w:vAlign w:val="center"/>
            <w:hideMark/>
          </w:tcPr>
          <w:p w14:paraId="0793DCB3"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149</w:t>
            </w:r>
          </w:p>
        </w:tc>
        <w:tc>
          <w:tcPr>
            <w:tcW w:w="725" w:type="dxa"/>
            <w:tcBorders>
              <w:top w:val="nil"/>
              <w:left w:val="nil"/>
              <w:bottom w:val="nil"/>
              <w:right w:val="nil"/>
            </w:tcBorders>
            <w:shd w:val="clear" w:color="auto" w:fill="auto"/>
            <w:vAlign w:val="center"/>
            <w:hideMark/>
          </w:tcPr>
          <w:p w14:paraId="4E86695C"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531</w:t>
            </w:r>
          </w:p>
        </w:tc>
        <w:tc>
          <w:tcPr>
            <w:tcW w:w="615" w:type="dxa"/>
            <w:tcBorders>
              <w:top w:val="nil"/>
              <w:left w:val="nil"/>
              <w:bottom w:val="nil"/>
              <w:right w:val="nil"/>
            </w:tcBorders>
            <w:shd w:val="clear" w:color="auto" w:fill="auto"/>
            <w:vAlign w:val="center"/>
            <w:hideMark/>
          </w:tcPr>
          <w:p w14:paraId="1584E051"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1 349</w:t>
            </w:r>
          </w:p>
        </w:tc>
        <w:tc>
          <w:tcPr>
            <w:tcW w:w="0" w:type="auto"/>
            <w:tcBorders>
              <w:top w:val="nil"/>
              <w:left w:val="nil"/>
              <w:bottom w:val="nil"/>
              <w:right w:val="nil"/>
            </w:tcBorders>
            <w:shd w:val="clear" w:color="auto" w:fill="auto"/>
            <w:vAlign w:val="center"/>
            <w:hideMark/>
          </w:tcPr>
          <w:p w14:paraId="259E3A80"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2 280</w:t>
            </w:r>
          </w:p>
        </w:tc>
        <w:tc>
          <w:tcPr>
            <w:tcW w:w="0" w:type="auto"/>
            <w:tcBorders>
              <w:top w:val="nil"/>
              <w:left w:val="nil"/>
              <w:bottom w:val="nil"/>
              <w:right w:val="nil"/>
            </w:tcBorders>
            <w:shd w:val="clear" w:color="auto" w:fill="auto"/>
            <w:vAlign w:val="center"/>
            <w:hideMark/>
          </w:tcPr>
          <w:p w14:paraId="42370762"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3 199</w:t>
            </w:r>
          </w:p>
        </w:tc>
        <w:tc>
          <w:tcPr>
            <w:tcW w:w="0" w:type="auto"/>
            <w:tcBorders>
              <w:top w:val="nil"/>
              <w:left w:val="nil"/>
              <w:bottom w:val="nil"/>
              <w:right w:val="nil"/>
            </w:tcBorders>
            <w:shd w:val="clear" w:color="auto" w:fill="auto"/>
            <w:vAlign w:val="center"/>
            <w:hideMark/>
          </w:tcPr>
          <w:p w14:paraId="54230DFF"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4 150</w:t>
            </w:r>
          </w:p>
        </w:tc>
        <w:tc>
          <w:tcPr>
            <w:tcW w:w="642" w:type="dxa"/>
            <w:tcBorders>
              <w:top w:val="nil"/>
              <w:left w:val="nil"/>
              <w:bottom w:val="nil"/>
              <w:right w:val="nil"/>
            </w:tcBorders>
            <w:shd w:val="clear" w:color="auto" w:fill="auto"/>
            <w:vAlign w:val="center"/>
            <w:hideMark/>
          </w:tcPr>
          <w:p w14:paraId="5FDCCFD8"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4 997</w:t>
            </w:r>
          </w:p>
        </w:tc>
        <w:tc>
          <w:tcPr>
            <w:tcW w:w="709" w:type="dxa"/>
            <w:tcBorders>
              <w:top w:val="nil"/>
              <w:left w:val="nil"/>
              <w:bottom w:val="nil"/>
              <w:right w:val="nil"/>
            </w:tcBorders>
            <w:shd w:val="clear" w:color="auto" w:fill="auto"/>
            <w:vAlign w:val="center"/>
            <w:hideMark/>
          </w:tcPr>
          <w:p w14:paraId="351E7400"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5 828</w:t>
            </w:r>
          </w:p>
        </w:tc>
        <w:tc>
          <w:tcPr>
            <w:tcW w:w="708" w:type="dxa"/>
            <w:tcBorders>
              <w:top w:val="nil"/>
              <w:left w:val="nil"/>
              <w:bottom w:val="nil"/>
              <w:right w:val="nil"/>
            </w:tcBorders>
            <w:shd w:val="clear" w:color="auto" w:fill="auto"/>
            <w:vAlign w:val="center"/>
            <w:hideMark/>
          </w:tcPr>
          <w:p w14:paraId="6C54F85E"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6 805</w:t>
            </w:r>
          </w:p>
        </w:tc>
        <w:tc>
          <w:tcPr>
            <w:tcW w:w="709" w:type="dxa"/>
            <w:tcBorders>
              <w:top w:val="nil"/>
              <w:left w:val="nil"/>
              <w:bottom w:val="nil"/>
              <w:right w:val="nil"/>
            </w:tcBorders>
            <w:shd w:val="clear" w:color="auto" w:fill="auto"/>
            <w:vAlign w:val="center"/>
            <w:hideMark/>
          </w:tcPr>
          <w:p w14:paraId="12C91C39"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7 778</w:t>
            </w:r>
          </w:p>
        </w:tc>
        <w:tc>
          <w:tcPr>
            <w:tcW w:w="709" w:type="dxa"/>
            <w:tcBorders>
              <w:top w:val="nil"/>
              <w:left w:val="nil"/>
              <w:bottom w:val="nil"/>
              <w:right w:val="nil"/>
            </w:tcBorders>
            <w:shd w:val="clear" w:color="auto" w:fill="auto"/>
            <w:vAlign w:val="center"/>
            <w:hideMark/>
          </w:tcPr>
          <w:p w14:paraId="484C63BD"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8 667</w:t>
            </w:r>
          </w:p>
        </w:tc>
      </w:tr>
      <w:tr w:rsidR="00E66F49" w:rsidRPr="00666914" w14:paraId="330FF4B1" w14:textId="77777777" w:rsidTr="00D27F91">
        <w:tc>
          <w:tcPr>
            <w:tcW w:w="993" w:type="dxa"/>
            <w:vMerge/>
            <w:tcBorders>
              <w:top w:val="nil"/>
              <w:left w:val="nil"/>
              <w:bottom w:val="single" w:sz="4" w:space="0" w:color="000000"/>
              <w:right w:val="nil"/>
            </w:tcBorders>
            <w:vAlign w:val="center"/>
            <w:hideMark/>
          </w:tcPr>
          <w:p w14:paraId="1CA20C2E" w14:textId="77777777" w:rsidR="00E66F49" w:rsidRPr="00666914" w:rsidRDefault="00E66F49" w:rsidP="00D27F91">
            <w:pPr>
              <w:spacing w:after="0"/>
              <w:jc w:val="left"/>
              <w:rPr>
                <w:rFonts w:eastAsia="Times New Roman" w:cs="Calibri"/>
                <w:color w:val="000000"/>
                <w:sz w:val="18"/>
                <w:szCs w:val="18"/>
                <w:lang w:eastAsia="sk-SK"/>
              </w:rPr>
            </w:pPr>
          </w:p>
        </w:tc>
        <w:tc>
          <w:tcPr>
            <w:tcW w:w="1489" w:type="dxa"/>
            <w:tcBorders>
              <w:top w:val="nil"/>
              <w:left w:val="nil"/>
              <w:bottom w:val="nil"/>
              <w:right w:val="nil"/>
            </w:tcBorders>
            <w:shd w:val="clear" w:color="auto" w:fill="auto"/>
            <w:noWrap/>
            <w:vAlign w:val="center"/>
            <w:hideMark/>
          </w:tcPr>
          <w:p w14:paraId="0FBA1515" w14:textId="77777777" w:rsidR="00E66F49" w:rsidRPr="00666914" w:rsidRDefault="00E66F49" w:rsidP="00D27F91">
            <w:pPr>
              <w:spacing w:after="0"/>
              <w:jc w:val="left"/>
              <w:rPr>
                <w:rFonts w:eastAsia="Times New Roman" w:cs="Calibri"/>
                <w:color w:val="000000"/>
                <w:sz w:val="18"/>
                <w:szCs w:val="18"/>
                <w:lang w:eastAsia="sk-SK"/>
              </w:rPr>
            </w:pPr>
            <w:r w:rsidRPr="00666914">
              <w:rPr>
                <w:rFonts w:eastAsia="Times New Roman" w:cs="Calibri"/>
                <w:color w:val="000000"/>
                <w:sz w:val="18"/>
                <w:szCs w:val="18"/>
                <w:lang w:eastAsia="sk-SK"/>
              </w:rPr>
              <w:t>Celkový počet účastníkov</w:t>
            </w:r>
          </w:p>
        </w:tc>
        <w:tc>
          <w:tcPr>
            <w:tcW w:w="637" w:type="dxa"/>
            <w:tcBorders>
              <w:top w:val="nil"/>
              <w:left w:val="nil"/>
              <w:bottom w:val="nil"/>
              <w:right w:val="nil"/>
            </w:tcBorders>
            <w:shd w:val="clear" w:color="auto" w:fill="auto"/>
            <w:noWrap/>
            <w:vAlign w:val="center"/>
            <w:hideMark/>
          </w:tcPr>
          <w:p w14:paraId="70C78E55"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n/a</w:t>
            </w:r>
          </w:p>
        </w:tc>
        <w:tc>
          <w:tcPr>
            <w:tcW w:w="709" w:type="dxa"/>
            <w:tcBorders>
              <w:top w:val="nil"/>
              <w:left w:val="nil"/>
              <w:bottom w:val="nil"/>
              <w:right w:val="nil"/>
            </w:tcBorders>
            <w:shd w:val="clear" w:color="auto" w:fill="auto"/>
            <w:noWrap/>
            <w:vAlign w:val="center"/>
            <w:hideMark/>
          </w:tcPr>
          <w:p w14:paraId="32AC4C90"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142 781</w:t>
            </w:r>
          </w:p>
        </w:tc>
        <w:tc>
          <w:tcPr>
            <w:tcW w:w="725" w:type="dxa"/>
            <w:tcBorders>
              <w:top w:val="nil"/>
              <w:left w:val="nil"/>
              <w:bottom w:val="nil"/>
              <w:right w:val="nil"/>
            </w:tcBorders>
            <w:shd w:val="clear" w:color="auto" w:fill="auto"/>
            <w:noWrap/>
            <w:vAlign w:val="center"/>
            <w:hideMark/>
          </w:tcPr>
          <w:p w14:paraId="1702098E"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143 525</w:t>
            </w:r>
          </w:p>
        </w:tc>
        <w:tc>
          <w:tcPr>
            <w:tcW w:w="615" w:type="dxa"/>
            <w:tcBorders>
              <w:top w:val="nil"/>
              <w:left w:val="nil"/>
              <w:bottom w:val="nil"/>
              <w:right w:val="nil"/>
            </w:tcBorders>
            <w:shd w:val="clear" w:color="auto" w:fill="auto"/>
            <w:noWrap/>
            <w:vAlign w:val="center"/>
            <w:hideMark/>
          </w:tcPr>
          <w:p w14:paraId="44354CE0"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144 093</w:t>
            </w:r>
          </w:p>
        </w:tc>
        <w:tc>
          <w:tcPr>
            <w:tcW w:w="0" w:type="auto"/>
            <w:tcBorders>
              <w:top w:val="nil"/>
              <w:left w:val="nil"/>
              <w:bottom w:val="nil"/>
              <w:right w:val="nil"/>
            </w:tcBorders>
            <w:shd w:val="clear" w:color="auto" w:fill="auto"/>
            <w:noWrap/>
            <w:vAlign w:val="center"/>
            <w:hideMark/>
          </w:tcPr>
          <w:p w14:paraId="4BD3015F"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144 526</w:t>
            </w:r>
          </w:p>
        </w:tc>
        <w:tc>
          <w:tcPr>
            <w:tcW w:w="0" w:type="auto"/>
            <w:tcBorders>
              <w:top w:val="nil"/>
              <w:left w:val="nil"/>
              <w:bottom w:val="nil"/>
              <w:right w:val="nil"/>
            </w:tcBorders>
            <w:shd w:val="clear" w:color="auto" w:fill="auto"/>
            <w:noWrap/>
            <w:vAlign w:val="center"/>
            <w:hideMark/>
          </w:tcPr>
          <w:p w14:paraId="78E864BD"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144 987</w:t>
            </w:r>
          </w:p>
        </w:tc>
        <w:tc>
          <w:tcPr>
            <w:tcW w:w="0" w:type="auto"/>
            <w:tcBorders>
              <w:top w:val="nil"/>
              <w:left w:val="nil"/>
              <w:bottom w:val="nil"/>
              <w:right w:val="nil"/>
            </w:tcBorders>
            <w:shd w:val="clear" w:color="auto" w:fill="auto"/>
            <w:noWrap/>
            <w:vAlign w:val="center"/>
            <w:hideMark/>
          </w:tcPr>
          <w:p w14:paraId="066D8E97"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145 092</w:t>
            </w:r>
          </w:p>
        </w:tc>
        <w:tc>
          <w:tcPr>
            <w:tcW w:w="642" w:type="dxa"/>
            <w:tcBorders>
              <w:top w:val="nil"/>
              <w:left w:val="nil"/>
              <w:bottom w:val="nil"/>
              <w:right w:val="nil"/>
            </w:tcBorders>
            <w:shd w:val="clear" w:color="auto" w:fill="auto"/>
            <w:noWrap/>
            <w:vAlign w:val="center"/>
            <w:hideMark/>
          </w:tcPr>
          <w:p w14:paraId="3403E7EF"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145 106</w:t>
            </w:r>
          </w:p>
        </w:tc>
        <w:tc>
          <w:tcPr>
            <w:tcW w:w="709" w:type="dxa"/>
            <w:tcBorders>
              <w:top w:val="nil"/>
              <w:left w:val="nil"/>
              <w:bottom w:val="nil"/>
              <w:right w:val="nil"/>
            </w:tcBorders>
            <w:shd w:val="clear" w:color="auto" w:fill="auto"/>
            <w:noWrap/>
            <w:vAlign w:val="center"/>
            <w:hideMark/>
          </w:tcPr>
          <w:p w14:paraId="14E594B1"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145 245</w:t>
            </w:r>
          </w:p>
        </w:tc>
        <w:tc>
          <w:tcPr>
            <w:tcW w:w="708" w:type="dxa"/>
            <w:tcBorders>
              <w:top w:val="nil"/>
              <w:left w:val="nil"/>
              <w:bottom w:val="nil"/>
              <w:right w:val="nil"/>
            </w:tcBorders>
            <w:shd w:val="clear" w:color="auto" w:fill="auto"/>
            <w:noWrap/>
            <w:vAlign w:val="center"/>
            <w:hideMark/>
          </w:tcPr>
          <w:p w14:paraId="46860E1C"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145 692</w:t>
            </w:r>
          </w:p>
        </w:tc>
        <w:tc>
          <w:tcPr>
            <w:tcW w:w="709" w:type="dxa"/>
            <w:tcBorders>
              <w:top w:val="nil"/>
              <w:left w:val="nil"/>
              <w:bottom w:val="nil"/>
              <w:right w:val="nil"/>
            </w:tcBorders>
            <w:shd w:val="clear" w:color="auto" w:fill="auto"/>
            <w:noWrap/>
            <w:vAlign w:val="center"/>
            <w:hideMark/>
          </w:tcPr>
          <w:p w14:paraId="1FD830C6"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145 749</w:t>
            </w:r>
          </w:p>
        </w:tc>
        <w:tc>
          <w:tcPr>
            <w:tcW w:w="709" w:type="dxa"/>
            <w:tcBorders>
              <w:top w:val="nil"/>
              <w:left w:val="nil"/>
              <w:bottom w:val="nil"/>
              <w:right w:val="nil"/>
            </w:tcBorders>
            <w:shd w:val="clear" w:color="auto" w:fill="auto"/>
            <w:noWrap/>
            <w:vAlign w:val="center"/>
            <w:hideMark/>
          </w:tcPr>
          <w:p w14:paraId="43D3E549"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145 714</w:t>
            </w:r>
          </w:p>
        </w:tc>
      </w:tr>
      <w:tr w:rsidR="00E66F49" w:rsidRPr="00666914" w14:paraId="0DD09D1C" w14:textId="77777777" w:rsidTr="00D27F91">
        <w:tc>
          <w:tcPr>
            <w:tcW w:w="993" w:type="dxa"/>
            <w:vMerge/>
            <w:tcBorders>
              <w:top w:val="nil"/>
              <w:left w:val="nil"/>
              <w:bottom w:val="single" w:sz="4" w:space="0" w:color="000000"/>
              <w:right w:val="nil"/>
            </w:tcBorders>
            <w:vAlign w:val="center"/>
            <w:hideMark/>
          </w:tcPr>
          <w:p w14:paraId="062AF59C" w14:textId="77777777" w:rsidR="00E66F49" w:rsidRPr="00666914" w:rsidRDefault="00E66F49" w:rsidP="00D27F91">
            <w:pPr>
              <w:spacing w:after="0"/>
              <w:jc w:val="left"/>
              <w:rPr>
                <w:rFonts w:eastAsia="Times New Roman" w:cs="Calibri"/>
                <w:color w:val="000000"/>
                <w:sz w:val="18"/>
                <w:szCs w:val="18"/>
                <w:lang w:eastAsia="sk-SK"/>
              </w:rPr>
            </w:pPr>
          </w:p>
        </w:tc>
        <w:tc>
          <w:tcPr>
            <w:tcW w:w="1489" w:type="dxa"/>
            <w:tcBorders>
              <w:top w:val="nil"/>
              <w:left w:val="nil"/>
              <w:bottom w:val="nil"/>
              <w:right w:val="nil"/>
            </w:tcBorders>
            <w:shd w:val="clear" w:color="auto" w:fill="auto"/>
            <w:noWrap/>
            <w:vAlign w:val="center"/>
            <w:hideMark/>
          </w:tcPr>
          <w:p w14:paraId="391D03D7" w14:textId="77777777" w:rsidR="00E66F49" w:rsidRPr="00666914" w:rsidRDefault="00E66F49" w:rsidP="00D27F91">
            <w:pPr>
              <w:spacing w:after="0"/>
              <w:jc w:val="left"/>
              <w:rPr>
                <w:rFonts w:eastAsia="Times New Roman" w:cs="Calibri"/>
                <w:color w:val="000000"/>
                <w:sz w:val="18"/>
                <w:szCs w:val="18"/>
                <w:lang w:eastAsia="sk-SK"/>
              </w:rPr>
            </w:pPr>
            <w:r w:rsidRPr="00666914">
              <w:rPr>
                <w:rFonts w:eastAsia="Times New Roman" w:cs="Calibri"/>
                <w:color w:val="000000"/>
                <w:sz w:val="18"/>
                <w:szCs w:val="18"/>
                <w:lang w:eastAsia="sk-SK"/>
              </w:rPr>
              <w:t>NAV Indexový fond (v tis. eur)</w:t>
            </w:r>
          </w:p>
        </w:tc>
        <w:tc>
          <w:tcPr>
            <w:tcW w:w="637" w:type="dxa"/>
            <w:tcBorders>
              <w:top w:val="nil"/>
              <w:left w:val="nil"/>
              <w:bottom w:val="nil"/>
              <w:right w:val="nil"/>
            </w:tcBorders>
            <w:shd w:val="clear" w:color="auto" w:fill="auto"/>
            <w:noWrap/>
            <w:vAlign w:val="center"/>
            <w:hideMark/>
          </w:tcPr>
          <w:p w14:paraId="2929225A"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n/a</w:t>
            </w:r>
          </w:p>
        </w:tc>
        <w:tc>
          <w:tcPr>
            <w:tcW w:w="709" w:type="dxa"/>
            <w:tcBorders>
              <w:top w:val="nil"/>
              <w:left w:val="nil"/>
              <w:bottom w:val="nil"/>
              <w:right w:val="nil"/>
            </w:tcBorders>
            <w:shd w:val="clear" w:color="auto" w:fill="auto"/>
            <w:noWrap/>
            <w:vAlign w:val="center"/>
            <w:hideMark/>
          </w:tcPr>
          <w:p w14:paraId="2A17A8F8"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361 </w:t>
            </w:r>
          </w:p>
        </w:tc>
        <w:tc>
          <w:tcPr>
            <w:tcW w:w="725" w:type="dxa"/>
            <w:tcBorders>
              <w:top w:val="nil"/>
              <w:left w:val="nil"/>
              <w:bottom w:val="nil"/>
              <w:right w:val="nil"/>
            </w:tcBorders>
            <w:shd w:val="clear" w:color="auto" w:fill="auto"/>
            <w:noWrap/>
            <w:vAlign w:val="center"/>
            <w:hideMark/>
          </w:tcPr>
          <w:p w14:paraId="68B9F680"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941 </w:t>
            </w:r>
          </w:p>
        </w:tc>
        <w:tc>
          <w:tcPr>
            <w:tcW w:w="615" w:type="dxa"/>
            <w:tcBorders>
              <w:top w:val="nil"/>
              <w:left w:val="nil"/>
              <w:bottom w:val="nil"/>
              <w:right w:val="nil"/>
            </w:tcBorders>
            <w:shd w:val="clear" w:color="auto" w:fill="auto"/>
            <w:noWrap/>
            <w:vAlign w:val="center"/>
            <w:hideMark/>
          </w:tcPr>
          <w:p w14:paraId="4132867C"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1 820 </w:t>
            </w:r>
          </w:p>
        </w:tc>
        <w:tc>
          <w:tcPr>
            <w:tcW w:w="0" w:type="auto"/>
            <w:tcBorders>
              <w:top w:val="nil"/>
              <w:left w:val="nil"/>
              <w:bottom w:val="nil"/>
              <w:right w:val="nil"/>
            </w:tcBorders>
            <w:shd w:val="clear" w:color="auto" w:fill="auto"/>
            <w:noWrap/>
            <w:vAlign w:val="center"/>
            <w:hideMark/>
          </w:tcPr>
          <w:p w14:paraId="4A5E11CC"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2 706 </w:t>
            </w:r>
          </w:p>
        </w:tc>
        <w:tc>
          <w:tcPr>
            <w:tcW w:w="0" w:type="auto"/>
            <w:tcBorders>
              <w:top w:val="nil"/>
              <w:left w:val="nil"/>
              <w:bottom w:val="nil"/>
              <w:right w:val="nil"/>
            </w:tcBorders>
            <w:shd w:val="clear" w:color="auto" w:fill="auto"/>
            <w:noWrap/>
            <w:vAlign w:val="center"/>
            <w:hideMark/>
          </w:tcPr>
          <w:p w14:paraId="15DD9548"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3 624 </w:t>
            </w:r>
          </w:p>
        </w:tc>
        <w:tc>
          <w:tcPr>
            <w:tcW w:w="0" w:type="auto"/>
            <w:tcBorders>
              <w:top w:val="nil"/>
              <w:left w:val="nil"/>
              <w:bottom w:val="nil"/>
              <w:right w:val="nil"/>
            </w:tcBorders>
            <w:shd w:val="clear" w:color="auto" w:fill="auto"/>
            <w:noWrap/>
            <w:vAlign w:val="center"/>
            <w:hideMark/>
          </w:tcPr>
          <w:p w14:paraId="70B49A49"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4 753 </w:t>
            </w:r>
          </w:p>
        </w:tc>
        <w:tc>
          <w:tcPr>
            <w:tcW w:w="642" w:type="dxa"/>
            <w:tcBorders>
              <w:top w:val="nil"/>
              <w:left w:val="nil"/>
              <w:bottom w:val="nil"/>
              <w:right w:val="nil"/>
            </w:tcBorders>
            <w:shd w:val="clear" w:color="auto" w:fill="auto"/>
            <w:noWrap/>
            <w:vAlign w:val="center"/>
            <w:hideMark/>
          </w:tcPr>
          <w:p w14:paraId="5B8FC606"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5 493 </w:t>
            </w:r>
          </w:p>
        </w:tc>
        <w:tc>
          <w:tcPr>
            <w:tcW w:w="709" w:type="dxa"/>
            <w:tcBorders>
              <w:top w:val="nil"/>
              <w:left w:val="nil"/>
              <w:bottom w:val="nil"/>
              <w:right w:val="nil"/>
            </w:tcBorders>
            <w:shd w:val="clear" w:color="auto" w:fill="auto"/>
            <w:noWrap/>
            <w:vAlign w:val="center"/>
            <w:hideMark/>
          </w:tcPr>
          <w:p w14:paraId="35ACB669"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6 440 </w:t>
            </w:r>
          </w:p>
        </w:tc>
        <w:tc>
          <w:tcPr>
            <w:tcW w:w="708" w:type="dxa"/>
            <w:tcBorders>
              <w:top w:val="nil"/>
              <w:left w:val="nil"/>
              <w:bottom w:val="nil"/>
              <w:right w:val="nil"/>
            </w:tcBorders>
            <w:shd w:val="clear" w:color="auto" w:fill="auto"/>
            <w:noWrap/>
            <w:vAlign w:val="center"/>
            <w:hideMark/>
          </w:tcPr>
          <w:p w14:paraId="3DDEB901"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7 308 </w:t>
            </w:r>
          </w:p>
        </w:tc>
        <w:tc>
          <w:tcPr>
            <w:tcW w:w="709" w:type="dxa"/>
            <w:tcBorders>
              <w:top w:val="nil"/>
              <w:left w:val="nil"/>
              <w:bottom w:val="nil"/>
              <w:right w:val="nil"/>
            </w:tcBorders>
            <w:shd w:val="clear" w:color="auto" w:fill="auto"/>
            <w:noWrap/>
            <w:vAlign w:val="center"/>
            <w:hideMark/>
          </w:tcPr>
          <w:p w14:paraId="246C338E"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8 486 </w:t>
            </w:r>
          </w:p>
        </w:tc>
        <w:tc>
          <w:tcPr>
            <w:tcW w:w="709" w:type="dxa"/>
            <w:tcBorders>
              <w:top w:val="nil"/>
              <w:left w:val="nil"/>
              <w:bottom w:val="nil"/>
              <w:right w:val="nil"/>
            </w:tcBorders>
            <w:shd w:val="clear" w:color="auto" w:fill="auto"/>
            <w:noWrap/>
            <w:vAlign w:val="center"/>
            <w:hideMark/>
          </w:tcPr>
          <w:p w14:paraId="6602A068"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9 749 </w:t>
            </w:r>
          </w:p>
        </w:tc>
      </w:tr>
      <w:tr w:rsidR="00E66F49" w:rsidRPr="00666914" w14:paraId="11B99B79" w14:textId="77777777" w:rsidTr="00D27F91">
        <w:tc>
          <w:tcPr>
            <w:tcW w:w="993" w:type="dxa"/>
            <w:vMerge/>
            <w:tcBorders>
              <w:top w:val="nil"/>
              <w:left w:val="nil"/>
              <w:bottom w:val="single" w:sz="4" w:space="0" w:color="000000"/>
              <w:right w:val="nil"/>
            </w:tcBorders>
            <w:vAlign w:val="center"/>
            <w:hideMark/>
          </w:tcPr>
          <w:p w14:paraId="17280128" w14:textId="77777777" w:rsidR="00E66F49" w:rsidRPr="00666914" w:rsidRDefault="00E66F49" w:rsidP="00D27F91">
            <w:pPr>
              <w:spacing w:after="0"/>
              <w:jc w:val="left"/>
              <w:rPr>
                <w:rFonts w:eastAsia="Times New Roman" w:cs="Calibri"/>
                <w:color w:val="000000"/>
                <w:sz w:val="18"/>
                <w:szCs w:val="18"/>
                <w:lang w:eastAsia="sk-SK"/>
              </w:rPr>
            </w:pPr>
          </w:p>
        </w:tc>
        <w:tc>
          <w:tcPr>
            <w:tcW w:w="1489" w:type="dxa"/>
            <w:tcBorders>
              <w:top w:val="nil"/>
              <w:left w:val="nil"/>
              <w:bottom w:val="single" w:sz="4" w:space="0" w:color="auto"/>
              <w:right w:val="nil"/>
            </w:tcBorders>
            <w:shd w:val="clear" w:color="auto" w:fill="auto"/>
            <w:noWrap/>
            <w:vAlign w:val="center"/>
            <w:hideMark/>
          </w:tcPr>
          <w:p w14:paraId="74C12808" w14:textId="77777777" w:rsidR="00E66F49" w:rsidRPr="00666914" w:rsidRDefault="00E66F49" w:rsidP="00D27F91">
            <w:pPr>
              <w:spacing w:after="0"/>
              <w:jc w:val="left"/>
              <w:rPr>
                <w:rFonts w:eastAsia="Times New Roman" w:cs="Calibri"/>
                <w:color w:val="000000"/>
                <w:sz w:val="18"/>
                <w:szCs w:val="18"/>
                <w:lang w:eastAsia="sk-SK"/>
              </w:rPr>
            </w:pPr>
            <w:r w:rsidRPr="00666914">
              <w:rPr>
                <w:rFonts w:eastAsia="Times New Roman" w:cs="Calibri"/>
                <w:color w:val="000000"/>
                <w:sz w:val="18"/>
                <w:szCs w:val="18"/>
                <w:lang w:eastAsia="sk-SK"/>
              </w:rPr>
              <w:t xml:space="preserve">NAV Spolu </w:t>
            </w:r>
          </w:p>
          <w:p w14:paraId="3129A634" w14:textId="77777777" w:rsidR="00E66F49" w:rsidRPr="00666914" w:rsidRDefault="00E66F49" w:rsidP="00D27F91">
            <w:pPr>
              <w:spacing w:after="0"/>
              <w:jc w:val="left"/>
              <w:rPr>
                <w:rFonts w:eastAsia="Times New Roman" w:cs="Calibri"/>
                <w:color w:val="000000"/>
                <w:sz w:val="18"/>
                <w:szCs w:val="18"/>
                <w:lang w:eastAsia="sk-SK"/>
              </w:rPr>
            </w:pPr>
            <w:r w:rsidRPr="00666914">
              <w:rPr>
                <w:rFonts w:eastAsia="Times New Roman" w:cs="Calibri"/>
                <w:color w:val="000000"/>
                <w:sz w:val="18"/>
                <w:szCs w:val="18"/>
                <w:lang w:eastAsia="sk-SK"/>
              </w:rPr>
              <w:t xml:space="preserve">(v tis. eur) </w:t>
            </w:r>
          </w:p>
        </w:tc>
        <w:tc>
          <w:tcPr>
            <w:tcW w:w="637" w:type="dxa"/>
            <w:tcBorders>
              <w:top w:val="nil"/>
              <w:left w:val="nil"/>
              <w:bottom w:val="single" w:sz="4" w:space="0" w:color="auto"/>
              <w:right w:val="nil"/>
            </w:tcBorders>
            <w:shd w:val="clear" w:color="auto" w:fill="auto"/>
            <w:noWrap/>
            <w:vAlign w:val="center"/>
            <w:hideMark/>
          </w:tcPr>
          <w:p w14:paraId="25D9F6ED"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n/a</w:t>
            </w:r>
          </w:p>
        </w:tc>
        <w:tc>
          <w:tcPr>
            <w:tcW w:w="709" w:type="dxa"/>
            <w:tcBorders>
              <w:top w:val="nil"/>
              <w:left w:val="nil"/>
              <w:bottom w:val="single" w:sz="4" w:space="0" w:color="auto"/>
              <w:right w:val="nil"/>
            </w:tcBorders>
            <w:shd w:val="clear" w:color="auto" w:fill="auto"/>
            <w:noWrap/>
            <w:vAlign w:val="center"/>
            <w:hideMark/>
          </w:tcPr>
          <w:p w14:paraId="35E2BA5D"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304 339 </w:t>
            </w:r>
          </w:p>
        </w:tc>
        <w:tc>
          <w:tcPr>
            <w:tcW w:w="725" w:type="dxa"/>
            <w:tcBorders>
              <w:top w:val="nil"/>
              <w:left w:val="nil"/>
              <w:bottom w:val="single" w:sz="4" w:space="0" w:color="auto"/>
              <w:right w:val="nil"/>
            </w:tcBorders>
            <w:shd w:val="clear" w:color="auto" w:fill="auto"/>
            <w:noWrap/>
            <w:vAlign w:val="center"/>
            <w:hideMark/>
          </w:tcPr>
          <w:p w14:paraId="56145A93"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309 951 </w:t>
            </w:r>
          </w:p>
        </w:tc>
        <w:tc>
          <w:tcPr>
            <w:tcW w:w="615" w:type="dxa"/>
            <w:tcBorders>
              <w:top w:val="nil"/>
              <w:left w:val="nil"/>
              <w:bottom w:val="single" w:sz="4" w:space="0" w:color="auto"/>
              <w:right w:val="nil"/>
            </w:tcBorders>
            <w:shd w:val="clear" w:color="auto" w:fill="auto"/>
            <w:noWrap/>
            <w:vAlign w:val="center"/>
            <w:hideMark/>
          </w:tcPr>
          <w:p w14:paraId="65E39C9B"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315 506 </w:t>
            </w:r>
          </w:p>
        </w:tc>
        <w:tc>
          <w:tcPr>
            <w:tcW w:w="0" w:type="auto"/>
            <w:tcBorders>
              <w:top w:val="nil"/>
              <w:left w:val="nil"/>
              <w:bottom w:val="single" w:sz="4" w:space="0" w:color="auto"/>
              <w:right w:val="nil"/>
            </w:tcBorders>
            <w:shd w:val="clear" w:color="auto" w:fill="auto"/>
            <w:noWrap/>
            <w:vAlign w:val="center"/>
            <w:hideMark/>
          </w:tcPr>
          <w:p w14:paraId="67FBD307"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315 726 </w:t>
            </w:r>
          </w:p>
        </w:tc>
        <w:tc>
          <w:tcPr>
            <w:tcW w:w="0" w:type="auto"/>
            <w:tcBorders>
              <w:top w:val="nil"/>
              <w:left w:val="nil"/>
              <w:bottom w:val="single" w:sz="4" w:space="0" w:color="auto"/>
              <w:right w:val="nil"/>
            </w:tcBorders>
            <w:shd w:val="clear" w:color="auto" w:fill="auto"/>
            <w:noWrap/>
            <w:vAlign w:val="center"/>
            <w:hideMark/>
          </w:tcPr>
          <w:p w14:paraId="42DBA2E3"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323 801 </w:t>
            </w:r>
          </w:p>
        </w:tc>
        <w:tc>
          <w:tcPr>
            <w:tcW w:w="0" w:type="auto"/>
            <w:tcBorders>
              <w:top w:val="nil"/>
              <w:left w:val="nil"/>
              <w:bottom w:val="single" w:sz="4" w:space="0" w:color="auto"/>
              <w:right w:val="nil"/>
            </w:tcBorders>
            <w:shd w:val="clear" w:color="auto" w:fill="auto"/>
            <w:noWrap/>
            <w:vAlign w:val="center"/>
            <w:hideMark/>
          </w:tcPr>
          <w:p w14:paraId="7F04B527"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329 932 </w:t>
            </w:r>
          </w:p>
        </w:tc>
        <w:tc>
          <w:tcPr>
            <w:tcW w:w="642" w:type="dxa"/>
            <w:tcBorders>
              <w:top w:val="nil"/>
              <w:left w:val="nil"/>
              <w:bottom w:val="single" w:sz="4" w:space="0" w:color="auto"/>
              <w:right w:val="nil"/>
            </w:tcBorders>
            <w:shd w:val="clear" w:color="auto" w:fill="auto"/>
            <w:noWrap/>
            <w:vAlign w:val="center"/>
            <w:hideMark/>
          </w:tcPr>
          <w:p w14:paraId="72A69F70"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333 559 </w:t>
            </w:r>
          </w:p>
        </w:tc>
        <w:tc>
          <w:tcPr>
            <w:tcW w:w="709" w:type="dxa"/>
            <w:tcBorders>
              <w:top w:val="nil"/>
              <w:left w:val="nil"/>
              <w:bottom w:val="single" w:sz="4" w:space="0" w:color="auto"/>
              <w:right w:val="nil"/>
            </w:tcBorders>
            <w:shd w:val="clear" w:color="auto" w:fill="auto"/>
            <w:noWrap/>
            <w:vAlign w:val="center"/>
            <w:hideMark/>
          </w:tcPr>
          <w:p w14:paraId="7D3F78B4"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338 067 </w:t>
            </w:r>
          </w:p>
        </w:tc>
        <w:tc>
          <w:tcPr>
            <w:tcW w:w="708" w:type="dxa"/>
            <w:tcBorders>
              <w:top w:val="nil"/>
              <w:left w:val="nil"/>
              <w:bottom w:val="single" w:sz="4" w:space="0" w:color="auto"/>
              <w:right w:val="nil"/>
            </w:tcBorders>
            <w:shd w:val="clear" w:color="auto" w:fill="auto"/>
            <w:noWrap/>
            <w:vAlign w:val="center"/>
            <w:hideMark/>
          </w:tcPr>
          <w:p w14:paraId="07069CB0"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340 640 </w:t>
            </w:r>
          </w:p>
        </w:tc>
        <w:tc>
          <w:tcPr>
            <w:tcW w:w="709" w:type="dxa"/>
            <w:tcBorders>
              <w:top w:val="nil"/>
              <w:left w:val="nil"/>
              <w:bottom w:val="single" w:sz="4" w:space="0" w:color="auto"/>
              <w:right w:val="nil"/>
            </w:tcBorders>
            <w:shd w:val="clear" w:color="auto" w:fill="auto"/>
            <w:noWrap/>
            <w:vAlign w:val="center"/>
            <w:hideMark/>
          </w:tcPr>
          <w:p w14:paraId="23B5B2D4"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346 555 </w:t>
            </w:r>
          </w:p>
        </w:tc>
        <w:tc>
          <w:tcPr>
            <w:tcW w:w="709" w:type="dxa"/>
            <w:tcBorders>
              <w:top w:val="nil"/>
              <w:left w:val="nil"/>
              <w:bottom w:val="single" w:sz="4" w:space="0" w:color="auto"/>
              <w:right w:val="nil"/>
            </w:tcBorders>
            <w:shd w:val="clear" w:color="auto" w:fill="auto"/>
            <w:noWrap/>
            <w:vAlign w:val="center"/>
            <w:hideMark/>
          </w:tcPr>
          <w:p w14:paraId="0C9A2CE9"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351 661 </w:t>
            </w:r>
          </w:p>
        </w:tc>
      </w:tr>
      <w:tr w:rsidR="00E66F49" w:rsidRPr="00666914" w14:paraId="5C5826FE" w14:textId="77777777" w:rsidTr="00D27F91">
        <w:tc>
          <w:tcPr>
            <w:tcW w:w="993" w:type="dxa"/>
            <w:vMerge w:val="restart"/>
            <w:tcBorders>
              <w:top w:val="nil"/>
              <w:left w:val="nil"/>
              <w:bottom w:val="single" w:sz="4" w:space="0" w:color="000000"/>
              <w:right w:val="nil"/>
            </w:tcBorders>
            <w:shd w:val="clear" w:color="auto" w:fill="auto"/>
            <w:vAlign w:val="center"/>
            <w:hideMark/>
          </w:tcPr>
          <w:p w14:paraId="188E269C" w14:textId="77777777" w:rsidR="00E66F49" w:rsidRPr="00666914" w:rsidRDefault="00E66F49" w:rsidP="00D27F91">
            <w:pPr>
              <w:spacing w:after="0"/>
              <w:jc w:val="center"/>
              <w:rPr>
                <w:rFonts w:eastAsia="Times New Roman" w:cs="Calibri"/>
                <w:color w:val="000000"/>
                <w:sz w:val="18"/>
                <w:szCs w:val="18"/>
                <w:lang w:eastAsia="sk-SK"/>
              </w:rPr>
            </w:pPr>
            <w:r w:rsidRPr="00666914">
              <w:rPr>
                <w:rFonts w:eastAsia="Times New Roman" w:cs="Calibri"/>
                <w:color w:val="000000"/>
                <w:sz w:val="18"/>
                <w:szCs w:val="18"/>
                <w:lang w:eastAsia="sk-SK"/>
              </w:rPr>
              <w:t>NN Tatry Sympatia*</w:t>
            </w:r>
          </w:p>
        </w:tc>
        <w:tc>
          <w:tcPr>
            <w:tcW w:w="1489" w:type="dxa"/>
            <w:tcBorders>
              <w:top w:val="nil"/>
              <w:left w:val="nil"/>
              <w:bottom w:val="nil"/>
              <w:right w:val="nil"/>
            </w:tcBorders>
            <w:shd w:val="clear" w:color="auto" w:fill="auto"/>
            <w:noWrap/>
            <w:vAlign w:val="center"/>
            <w:hideMark/>
          </w:tcPr>
          <w:p w14:paraId="206BE43F" w14:textId="77777777" w:rsidR="00E66F49" w:rsidRPr="00666914" w:rsidRDefault="00E66F49" w:rsidP="00D27F91">
            <w:pPr>
              <w:spacing w:after="0"/>
              <w:jc w:val="left"/>
              <w:rPr>
                <w:rFonts w:eastAsia="Times New Roman" w:cs="Calibri"/>
                <w:color w:val="000000"/>
                <w:sz w:val="18"/>
                <w:szCs w:val="18"/>
                <w:lang w:eastAsia="sk-SK"/>
              </w:rPr>
            </w:pPr>
            <w:r w:rsidRPr="00666914">
              <w:rPr>
                <w:rFonts w:eastAsia="Times New Roman" w:cs="Calibri"/>
                <w:color w:val="000000"/>
                <w:sz w:val="18"/>
                <w:szCs w:val="18"/>
                <w:lang w:eastAsia="sk-SK"/>
              </w:rPr>
              <w:t>Počet účastníkov v indexovom fonde</w:t>
            </w:r>
          </w:p>
        </w:tc>
        <w:tc>
          <w:tcPr>
            <w:tcW w:w="637" w:type="dxa"/>
            <w:tcBorders>
              <w:top w:val="nil"/>
              <w:left w:val="nil"/>
              <w:bottom w:val="nil"/>
              <w:right w:val="nil"/>
            </w:tcBorders>
            <w:shd w:val="clear" w:color="auto" w:fill="auto"/>
            <w:noWrap/>
            <w:vAlign w:val="center"/>
            <w:hideMark/>
          </w:tcPr>
          <w:p w14:paraId="662019DA"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5 214</w:t>
            </w:r>
          </w:p>
        </w:tc>
        <w:tc>
          <w:tcPr>
            <w:tcW w:w="709" w:type="dxa"/>
            <w:tcBorders>
              <w:top w:val="nil"/>
              <w:left w:val="nil"/>
              <w:bottom w:val="nil"/>
              <w:right w:val="nil"/>
            </w:tcBorders>
            <w:shd w:val="clear" w:color="auto" w:fill="auto"/>
            <w:vAlign w:val="center"/>
            <w:hideMark/>
          </w:tcPr>
          <w:p w14:paraId="788CBFA5"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6 247</w:t>
            </w:r>
          </w:p>
        </w:tc>
        <w:tc>
          <w:tcPr>
            <w:tcW w:w="725" w:type="dxa"/>
            <w:tcBorders>
              <w:top w:val="nil"/>
              <w:left w:val="nil"/>
              <w:bottom w:val="nil"/>
              <w:right w:val="nil"/>
            </w:tcBorders>
            <w:shd w:val="clear" w:color="auto" w:fill="auto"/>
            <w:vAlign w:val="center"/>
            <w:hideMark/>
          </w:tcPr>
          <w:p w14:paraId="4AA11C05"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7 086</w:t>
            </w:r>
          </w:p>
        </w:tc>
        <w:tc>
          <w:tcPr>
            <w:tcW w:w="615" w:type="dxa"/>
            <w:tcBorders>
              <w:top w:val="nil"/>
              <w:left w:val="nil"/>
              <w:bottom w:val="nil"/>
              <w:right w:val="nil"/>
            </w:tcBorders>
            <w:shd w:val="clear" w:color="auto" w:fill="auto"/>
            <w:vAlign w:val="center"/>
            <w:hideMark/>
          </w:tcPr>
          <w:p w14:paraId="21BCC80E"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7 848</w:t>
            </w:r>
          </w:p>
        </w:tc>
        <w:tc>
          <w:tcPr>
            <w:tcW w:w="0" w:type="auto"/>
            <w:tcBorders>
              <w:top w:val="nil"/>
              <w:left w:val="nil"/>
              <w:bottom w:val="nil"/>
              <w:right w:val="nil"/>
            </w:tcBorders>
            <w:shd w:val="clear" w:color="auto" w:fill="auto"/>
            <w:vAlign w:val="center"/>
            <w:hideMark/>
          </w:tcPr>
          <w:p w14:paraId="62538B90"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8 702</w:t>
            </w:r>
          </w:p>
        </w:tc>
        <w:tc>
          <w:tcPr>
            <w:tcW w:w="0" w:type="auto"/>
            <w:tcBorders>
              <w:top w:val="nil"/>
              <w:left w:val="nil"/>
              <w:bottom w:val="nil"/>
              <w:right w:val="nil"/>
            </w:tcBorders>
            <w:shd w:val="clear" w:color="auto" w:fill="auto"/>
            <w:noWrap/>
            <w:vAlign w:val="center"/>
            <w:hideMark/>
          </w:tcPr>
          <w:p w14:paraId="3A1E0248"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9 424</w:t>
            </w:r>
          </w:p>
        </w:tc>
        <w:tc>
          <w:tcPr>
            <w:tcW w:w="0" w:type="auto"/>
            <w:tcBorders>
              <w:top w:val="nil"/>
              <w:left w:val="nil"/>
              <w:bottom w:val="nil"/>
              <w:right w:val="nil"/>
            </w:tcBorders>
            <w:shd w:val="clear" w:color="auto" w:fill="auto"/>
            <w:noWrap/>
            <w:vAlign w:val="center"/>
            <w:hideMark/>
          </w:tcPr>
          <w:p w14:paraId="2C4A5E5F"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13 073</w:t>
            </w:r>
          </w:p>
        </w:tc>
        <w:tc>
          <w:tcPr>
            <w:tcW w:w="642" w:type="dxa"/>
            <w:tcBorders>
              <w:top w:val="nil"/>
              <w:left w:val="nil"/>
              <w:bottom w:val="nil"/>
              <w:right w:val="nil"/>
            </w:tcBorders>
            <w:shd w:val="clear" w:color="auto" w:fill="auto"/>
            <w:noWrap/>
            <w:vAlign w:val="center"/>
            <w:hideMark/>
          </w:tcPr>
          <w:p w14:paraId="3C1330AA"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13 179</w:t>
            </w:r>
          </w:p>
        </w:tc>
        <w:tc>
          <w:tcPr>
            <w:tcW w:w="709" w:type="dxa"/>
            <w:tcBorders>
              <w:top w:val="nil"/>
              <w:left w:val="nil"/>
              <w:bottom w:val="nil"/>
              <w:right w:val="nil"/>
            </w:tcBorders>
            <w:shd w:val="clear" w:color="auto" w:fill="auto"/>
            <w:noWrap/>
            <w:vAlign w:val="center"/>
            <w:hideMark/>
          </w:tcPr>
          <w:p w14:paraId="473EAE8B"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13 283</w:t>
            </w:r>
          </w:p>
        </w:tc>
        <w:tc>
          <w:tcPr>
            <w:tcW w:w="708" w:type="dxa"/>
            <w:tcBorders>
              <w:top w:val="nil"/>
              <w:left w:val="nil"/>
              <w:bottom w:val="nil"/>
              <w:right w:val="nil"/>
            </w:tcBorders>
            <w:shd w:val="clear" w:color="auto" w:fill="auto"/>
            <w:noWrap/>
            <w:vAlign w:val="center"/>
            <w:hideMark/>
          </w:tcPr>
          <w:p w14:paraId="4ABADA98"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13 380</w:t>
            </w:r>
          </w:p>
        </w:tc>
        <w:tc>
          <w:tcPr>
            <w:tcW w:w="709" w:type="dxa"/>
            <w:tcBorders>
              <w:top w:val="nil"/>
              <w:left w:val="nil"/>
              <w:bottom w:val="nil"/>
              <w:right w:val="nil"/>
            </w:tcBorders>
            <w:shd w:val="clear" w:color="auto" w:fill="auto"/>
            <w:noWrap/>
            <w:vAlign w:val="center"/>
            <w:hideMark/>
          </w:tcPr>
          <w:p w14:paraId="7D60D9B9"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13 560</w:t>
            </w:r>
          </w:p>
        </w:tc>
        <w:tc>
          <w:tcPr>
            <w:tcW w:w="709" w:type="dxa"/>
            <w:tcBorders>
              <w:top w:val="nil"/>
              <w:left w:val="nil"/>
              <w:bottom w:val="nil"/>
              <w:right w:val="nil"/>
            </w:tcBorders>
            <w:shd w:val="clear" w:color="auto" w:fill="auto"/>
            <w:noWrap/>
            <w:vAlign w:val="center"/>
            <w:hideMark/>
          </w:tcPr>
          <w:p w14:paraId="078D8C9D" w14:textId="77777777" w:rsidR="00E66F49" w:rsidRPr="00666914" w:rsidRDefault="00E66F49" w:rsidP="00D27F91">
            <w:pPr>
              <w:spacing w:after="0"/>
              <w:jc w:val="right"/>
              <w:rPr>
                <w:rFonts w:eastAsia="Times New Roman" w:cs="Calibri"/>
                <w:b/>
                <w:bCs/>
                <w:color w:val="000000"/>
                <w:sz w:val="16"/>
                <w:szCs w:val="16"/>
                <w:lang w:eastAsia="sk-SK"/>
              </w:rPr>
            </w:pPr>
            <w:r w:rsidRPr="00666914">
              <w:rPr>
                <w:rFonts w:eastAsia="Times New Roman" w:cs="Calibri"/>
                <w:b/>
                <w:bCs/>
                <w:color w:val="000000"/>
                <w:sz w:val="16"/>
                <w:szCs w:val="16"/>
                <w:lang w:eastAsia="sk-SK"/>
              </w:rPr>
              <w:t>13 718</w:t>
            </w:r>
          </w:p>
        </w:tc>
      </w:tr>
      <w:tr w:rsidR="00E66F49" w:rsidRPr="00666914" w14:paraId="390A43EB" w14:textId="77777777" w:rsidTr="00D27F91">
        <w:tc>
          <w:tcPr>
            <w:tcW w:w="993" w:type="dxa"/>
            <w:vMerge/>
            <w:tcBorders>
              <w:top w:val="nil"/>
              <w:left w:val="nil"/>
              <w:bottom w:val="single" w:sz="4" w:space="0" w:color="000000"/>
              <w:right w:val="nil"/>
            </w:tcBorders>
            <w:vAlign w:val="center"/>
            <w:hideMark/>
          </w:tcPr>
          <w:p w14:paraId="3CDCD4CF" w14:textId="77777777" w:rsidR="00E66F49" w:rsidRPr="00666914" w:rsidRDefault="00E66F49" w:rsidP="00D27F91">
            <w:pPr>
              <w:spacing w:after="0"/>
              <w:jc w:val="left"/>
              <w:rPr>
                <w:rFonts w:eastAsia="Times New Roman" w:cs="Calibri"/>
                <w:color w:val="000000"/>
                <w:sz w:val="18"/>
                <w:szCs w:val="18"/>
                <w:lang w:eastAsia="sk-SK"/>
              </w:rPr>
            </w:pPr>
          </w:p>
        </w:tc>
        <w:tc>
          <w:tcPr>
            <w:tcW w:w="1489" w:type="dxa"/>
            <w:tcBorders>
              <w:top w:val="nil"/>
              <w:left w:val="nil"/>
              <w:bottom w:val="nil"/>
              <w:right w:val="nil"/>
            </w:tcBorders>
            <w:shd w:val="clear" w:color="auto" w:fill="auto"/>
            <w:noWrap/>
            <w:vAlign w:val="center"/>
            <w:hideMark/>
          </w:tcPr>
          <w:p w14:paraId="7EDCF0AC" w14:textId="77777777" w:rsidR="00E66F49" w:rsidRPr="00666914" w:rsidRDefault="00E66F49" w:rsidP="00D27F91">
            <w:pPr>
              <w:spacing w:after="0"/>
              <w:jc w:val="left"/>
              <w:rPr>
                <w:rFonts w:eastAsia="Times New Roman" w:cs="Calibri"/>
                <w:color w:val="000000"/>
                <w:sz w:val="18"/>
                <w:szCs w:val="18"/>
                <w:lang w:eastAsia="sk-SK"/>
              </w:rPr>
            </w:pPr>
            <w:r w:rsidRPr="00666914">
              <w:rPr>
                <w:rFonts w:eastAsia="Times New Roman" w:cs="Calibri"/>
                <w:color w:val="000000"/>
                <w:sz w:val="18"/>
                <w:szCs w:val="18"/>
                <w:lang w:eastAsia="sk-SK"/>
              </w:rPr>
              <w:t>Celkový počet účastníkov</w:t>
            </w:r>
          </w:p>
        </w:tc>
        <w:tc>
          <w:tcPr>
            <w:tcW w:w="637" w:type="dxa"/>
            <w:tcBorders>
              <w:top w:val="nil"/>
              <w:left w:val="nil"/>
              <w:bottom w:val="nil"/>
              <w:right w:val="nil"/>
            </w:tcBorders>
            <w:shd w:val="clear" w:color="auto" w:fill="auto"/>
            <w:noWrap/>
            <w:vAlign w:val="center"/>
            <w:hideMark/>
          </w:tcPr>
          <w:p w14:paraId="7D09F0C4"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314 254</w:t>
            </w:r>
          </w:p>
        </w:tc>
        <w:tc>
          <w:tcPr>
            <w:tcW w:w="709" w:type="dxa"/>
            <w:tcBorders>
              <w:top w:val="nil"/>
              <w:left w:val="nil"/>
              <w:bottom w:val="nil"/>
              <w:right w:val="nil"/>
            </w:tcBorders>
            <w:shd w:val="clear" w:color="auto" w:fill="auto"/>
            <w:noWrap/>
            <w:vAlign w:val="center"/>
            <w:hideMark/>
          </w:tcPr>
          <w:p w14:paraId="016679D5"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315 700</w:t>
            </w:r>
          </w:p>
        </w:tc>
        <w:tc>
          <w:tcPr>
            <w:tcW w:w="725" w:type="dxa"/>
            <w:tcBorders>
              <w:top w:val="nil"/>
              <w:left w:val="nil"/>
              <w:bottom w:val="nil"/>
              <w:right w:val="nil"/>
            </w:tcBorders>
            <w:shd w:val="clear" w:color="auto" w:fill="auto"/>
            <w:noWrap/>
            <w:vAlign w:val="center"/>
            <w:hideMark/>
          </w:tcPr>
          <w:p w14:paraId="535C7FC6"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317 260</w:t>
            </w:r>
          </w:p>
        </w:tc>
        <w:tc>
          <w:tcPr>
            <w:tcW w:w="615" w:type="dxa"/>
            <w:tcBorders>
              <w:top w:val="nil"/>
              <w:left w:val="nil"/>
              <w:bottom w:val="nil"/>
              <w:right w:val="nil"/>
            </w:tcBorders>
            <w:shd w:val="clear" w:color="auto" w:fill="auto"/>
            <w:noWrap/>
            <w:vAlign w:val="center"/>
            <w:hideMark/>
          </w:tcPr>
          <w:p w14:paraId="1E9EACE5"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318 381</w:t>
            </w:r>
          </w:p>
        </w:tc>
        <w:tc>
          <w:tcPr>
            <w:tcW w:w="0" w:type="auto"/>
            <w:tcBorders>
              <w:top w:val="nil"/>
              <w:left w:val="nil"/>
              <w:bottom w:val="nil"/>
              <w:right w:val="nil"/>
            </w:tcBorders>
            <w:shd w:val="clear" w:color="auto" w:fill="auto"/>
            <w:noWrap/>
            <w:vAlign w:val="center"/>
            <w:hideMark/>
          </w:tcPr>
          <w:p w14:paraId="485B8397"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319 598</w:t>
            </w:r>
          </w:p>
        </w:tc>
        <w:tc>
          <w:tcPr>
            <w:tcW w:w="0" w:type="auto"/>
            <w:tcBorders>
              <w:top w:val="nil"/>
              <w:left w:val="nil"/>
              <w:bottom w:val="nil"/>
              <w:right w:val="nil"/>
            </w:tcBorders>
            <w:shd w:val="clear" w:color="auto" w:fill="auto"/>
            <w:noWrap/>
            <w:vAlign w:val="center"/>
            <w:hideMark/>
          </w:tcPr>
          <w:p w14:paraId="79D40CBF"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320 725</w:t>
            </w:r>
          </w:p>
        </w:tc>
        <w:tc>
          <w:tcPr>
            <w:tcW w:w="0" w:type="auto"/>
            <w:tcBorders>
              <w:top w:val="nil"/>
              <w:left w:val="nil"/>
              <w:bottom w:val="nil"/>
              <w:right w:val="nil"/>
            </w:tcBorders>
            <w:shd w:val="clear" w:color="auto" w:fill="auto"/>
            <w:noWrap/>
            <w:vAlign w:val="center"/>
            <w:hideMark/>
          </w:tcPr>
          <w:p w14:paraId="56F9F3DF"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322 063</w:t>
            </w:r>
          </w:p>
        </w:tc>
        <w:tc>
          <w:tcPr>
            <w:tcW w:w="642" w:type="dxa"/>
            <w:tcBorders>
              <w:top w:val="nil"/>
              <w:left w:val="nil"/>
              <w:bottom w:val="nil"/>
              <w:right w:val="nil"/>
            </w:tcBorders>
            <w:shd w:val="clear" w:color="auto" w:fill="auto"/>
            <w:noWrap/>
            <w:vAlign w:val="center"/>
            <w:hideMark/>
          </w:tcPr>
          <w:p w14:paraId="4E0D8ED9"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322 663</w:t>
            </w:r>
          </w:p>
        </w:tc>
        <w:tc>
          <w:tcPr>
            <w:tcW w:w="709" w:type="dxa"/>
            <w:tcBorders>
              <w:top w:val="nil"/>
              <w:left w:val="nil"/>
              <w:bottom w:val="nil"/>
              <w:right w:val="nil"/>
            </w:tcBorders>
            <w:shd w:val="clear" w:color="auto" w:fill="auto"/>
            <w:noWrap/>
            <w:vAlign w:val="center"/>
            <w:hideMark/>
          </w:tcPr>
          <w:p w14:paraId="792DF6B1"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323 214</w:t>
            </w:r>
          </w:p>
        </w:tc>
        <w:tc>
          <w:tcPr>
            <w:tcW w:w="708" w:type="dxa"/>
            <w:tcBorders>
              <w:top w:val="nil"/>
              <w:left w:val="nil"/>
              <w:bottom w:val="nil"/>
              <w:right w:val="nil"/>
            </w:tcBorders>
            <w:shd w:val="clear" w:color="auto" w:fill="auto"/>
            <w:noWrap/>
            <w:vAlign w:val="center"/>
            <w:hideMark/>
          </w:tcPr>
          <w:p w14:paraId="735DD8A9"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324 477</w:t>
            </w:r>
          </w:p>
        </w:tc>
        <w:tc>
          <w:tcPr>
            <w:tcW w:w="709" w:type="dxa"/>
            <w:tcBorders>
              <w:top w:val="nil"/>
              <w:left w:val="nil"/>
              <w:bottom w:val="nil"/>
              <w:right w:val="nil"/>
            </w:tcBorders>
            <w:shd w:val="clear" w:color="auto" w:fill="auto"/>
            <w:noWrap/>
            <w:vAlign w:val="center"/>
            <w:hideMark/>
          </w:tcPr>
          <w:p w14:paraId="724DCF0A"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325 987</w:t>
            </w:r>
          </w:p>
        </w:tc>
        <w:tc>
          <w:tcPr>
            <w:tcW w:w="709" w:type="dxa"/>
            <w:tcBorders>
              <w:top w:val="nil"/>
              <w:left w:val="nil"/>
              <w:bottom w:val="nil"/>
              <w:right w:val="nil"/>
            </w:tcBorders>
            <w:shd w:val="clear" w:color="auto" w:fill="auto"/>
            <w:noWrap/>
            <w:vAlign w:val="center"/>
            <w:hideMark/>
          </w:tcPr>
          <w:p w14:paraId="2E0CB862"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327 334</w:t>
            </w:r>
          </w:p>
        </w:tc>
      </w:tr>
      <w:tr w:rsidR="00E66F49" w:rsidRPr="00666914" w14:paraId="0BAEAF5D" w14:textId="77777777" w:rsidTr="00D27F91">
        <w:tc>
          <w:tcPr>
            <w:tcW w:w="993" w:type="dxa"/>
            <w:vMerge/>
            <w:tcBorders>
              <w:top w:val="nil"/>
              <w:left w:val="nil"/>
              <w:bottom w:val="single" w:sz="4" w:space="0" w:color="000000"/>
              <w:right w:val="nil"/>
            </w:tcBorders>
            <w:vAlign w:val="center"/>
            <w:hideMark/>
          </w:tcPr>
          <w:p w14:paraId="59DC70AD" w14:textId="77777777" w:rsidR="00E66F49" w:rsidRPr="00666914" w:rsidRDefault="00E66F49" w:rsidP="00D27F91">
            <w:pPr>
              <w:spacing w:after="0"/>
              <w:jc w:val="left"/>
              <w:rPr>
                <w:rFonts w:eastAsia="Times New Roman" w:cs="Calibri"/>
                <w:color w:val="000000"/>
                <w:sz w:val="18"/>
                <w:szCs w:val="18"/>
                <w:lang w:eastAsia="sk-SK"/>
              </w:rPr>
            </w:pPr>
          </w:p>
        </w:tc>
        <w:tc>
          <w:tcPr>
            <w:tcW w:w="1489" w:type="dxa"/>
            <w:tcBorders>
              <w:top w:val="nil"/>
              <w:left w:val="nil"/>
              <w:bottom w:val="nil"/>
              <w:right w:val="nil"/>
            </w:tcBorders>
            <w:shd w:val="clear" w:color="auto" w:fill="auto"/>
            <w:noWrap/>
            <w:vAlign w:val="center"/>
            <w:hideMark/>
          </w:tcPr>
          <w:p w14:paraId="78DB82AC" w14:textId="77777777" w:rsidR="00E66F49" w:rsidRPr="00666914" w:rsidRDefault="00E66F49" w:rsidP="00D27F91">
            <w:pPr>
              <w:spacing w:after="0"/>
              <w:jc w:val="left"/>
              <w:rPr>
                <w:rFonts w:eastAsia="Times New Roman" w:cs="Calibri"/>
                <w:color w:val="000000"/>
                <w:sz w:val="18"/>
                <w:szCs w:val="18"/>
                <w:lang w:eastAsia="sk-SK"/>
              </w:rPr>
            </w:pPr>
            <w:r w:rsidRPr="00666914">
              <w:rPr>
                <w:rFonts w:eastAsia="Times New Roman" w:cs="Calibri"/>
                <w:color w:val="000000"/>
                <w:sz w:val="18"/>
                <w:szCs w:val="18"/>
                <w:lang w:eastAsia="sk-SK"/>
              </w:rPr>
              <w:t>NAV Indexový fond (v tis. eur)</w:t>
            </w:r>
          </w:p>
        </w:tc>
        <w:tc>
          <w:tcPr>
            <w:tcW w:w="637" w:type="dxa"/>
            <w:tcBorders>
              <w:top w:val="nil"/>
              <w:left w:val="nil"/>
              <w:bottom w:val="nil"/>
              <w:right w:val="nil"/>
            </w:tcBorders>
            <w:shd w:val="clear" w:color="auto" w:fill="auto"/>
            <w:noWrap/>
            <w:vAlign w:val="center"/>
            <w:hideMark/>
          </w:tcPr>
          <w:p w14:paraId="1830FAEC"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3 450 </w:t>
            </w:r>
          </w:p>
        </w:tc>
        <w:tc>
          <w:tcPr>
            <w:tcW w:w="709" w:type="dxa"/>
            <w:tcBorders>
              <w:top w:val="nil"/>
              <w:left w:val="nil"/>
              <w:bottom w:val="nil"/>
              <w:right w:val="nil"/>
            </w:tcBorders>
            <w:shd w:val="clear" w:color="auto" w:fill="auto"/>
            <w:noWrap/>
            <w:vAlign w:val="center"/>
            <w:hideMark/>
          </w:tcPr>
          <w:p w14:paraId="2A16DBB8"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4 467 </w:t>
            </w:r>
          </w:p>
        </w:tc>
        <w:tc>
          <w:tcPr>
            <w:tcW w:w="725" w:type="dxa"/>
            <w:tcBorders>
              <w:top w:val="nil"/>
              <w:left w:val="nil"/>
              <w:bottom w:val="nil"/>
              <w:right w:val="nil"/>
            </w:tcBorders>
            <w:shd w:val="clear" w:color="auto" w:fill="auto"/>
            <w:noWrap/>
            <w:vAlign w:val="center"/>
            <w:hideMark/>
          </w:tcPr>
          <w:p w14:paraId="49F7ED39"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5 197 </w:t>
            </w:r>
          </w:p>
        </w:tc>
        <w:tc>
          <w:tcPr>
            <w:tcW w:w="615" w:type="dxa"/>
            <w:tcBorders>
              <w:top w:val="nil"/>
              <w:left w:val="nil"/>
              <w:bottom w:val="nil"/>
              <w:right w:val="nil"/>
            </w:tcBorders>
            <w:shd w:val="clear" w:color="auto" w:fill="auto"/>
            <w:noWrap/>
            <w:vAlign w:val="center"/>
            <w:hideMark/>
          </w:tcPr>
          <w:p w14:paraId="47547335"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5 987 </w:t>
            </w:r>
          </w:p>
        </w:tc>
        <w:tc>
          <w:tcPr>
            <w:tcW w:w="0" w:type="auto"/>
            <w:tcBorders>
              <w:top w:val="nil"/>
              <w:left w:val="nil"/>
              <w:bottom w:val="nil"/>
              <w:right w:val="nil"/>
            </w:tcBorders>
            <w:shd w:val="clear" w:color="auto" w:fill="auto"/>
            <w:noWrap/>
            <w:vAlign w:val="center"/>
            <w:hideMark/>
          </w:tcPr>
          <w:p w14:paraId="0DD48762"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6 262 </w:t>
            </w:r>
          </w:p>
        </w:tc>
        <w:tc>
          <w:tcPr>
            <w:tcW w:w="0" w:type="auto"/>
            <w:tcBorders>
              <w:top w:val="nil"/>
              <w:left w:val="nil"/>
              <w:bottom w:val="nil"/>
              <w:right w:val="nil"/>
            </w:tcBorders>
            <w:shd w:val="clear" w:color="auto" w:fill="auto"/>
            <w:noWrap/>
            <w:vAlign w:val="center"/>
            <w:hideMark/>
          </w:tcPr>
          <w:p w14:paraId="2D5A66E3"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7 246 </w:t>
            </w:r>
          </w:p>
        </w:tc>
        <w:tc>
          <w:tcPr>
            <w:tcW w:w="0" w:type="auto"/>
            <w:tcBorders>
              <w:top w:val="nil"/>
              <w:left w:val="nil"/>
              <w:bottom w:val="nil"/>
              <w:right w:val="nil"/>
            </w:tcBorders>
            <w:shd w:val="clear" w:color="auto" w:fill="auto"/>
            <w:noWrap/>
            <w:vAlign w:val="center"/>
            <w:hideMark/>
          </w:tcPr>
          <w:p w14:paraId="0029D35B"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7 966 </w:t>
            </w:r>
          </w:p>
        </w:tc>
        <w:tc>
          <w:tcPr>
            <w:tcW w:w="642" w:type="dxa"/>
            <w:tcBorders>
              <w:top w:val="nil"/>
              <w:left w:val="nil"/>
              <w:bottom w:val="nil"/>
              <w:right w:val="nil"/>
            </w:tcBorders>
            <w:shd w:val="clear" w:color="auto" w:fill="auto"/>
            <w:noWrap/>
            <w:vAlign w:val="center"/>
            <w:hideMark/>
          </w:tcPr>
          <w:p w14:paraId="5F9E0912"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8 393 </w:t>
            </w:r>
          </w:p>
        </w:tc>
        <w:tc>
          <w:tcPr>
            <w:tcW w:w="709" w:type="dxa"/>
            <w:tcBorders>
              <w:top w:val="nil"/>
              <w:left w:val="nil"/>
              <w:bottom w:val="nil"/>
              <w:right w:val="nil"/>
            </w:tcBorders>
            <w:shd w:val="clear" w:color="auto" w:fill="auto"/>
            <w:noWrap/>
            <w:vAlign w:val="center"/>
            <w:hideMark/>
          </w:tcPr>
          <w:p w14:paraId="4CCEEE87"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9 125 </w:t>
            </w:r>
          </w:p>
        </w:tc>
        <w:tc>
          <w:tcPr>
            <w:tcW w:w="708" w:type="dxa"/>
            <w:tcBorders>
              <w:top w:val="nil"/>
              <w:left w:val="nil"/>
              <w:bottom w:val="nil"/>
              <w:right w:val="nil"/>
            </w:tcBorders>
            <w:shd w:val="clear" w:color="auto" w:fill="auto"/>
            <w:noWrap/>
            <w:vAlign w:val="center"/>
            <w:hideMark/>
          </w:tcPr>
          <w:p w14:paraId="39A183FD"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9 745 </w:t>
            </w:r>
          </w:p>
        </w:tc>
        <w:tc>
          <w:tcPr>
            <w:tcW w:w="709" w:type="dxa"/>
            <w:tcBorders>
              <w:top w:val="nil"/>
              <w:left w:val="nil"/>
              <w:bottom w:val="nil"/>
              <w:right w:val="nil"/>
            </w:tcBorders>
            <w:shd w:val="clear" w:color="auto" w:fill="auto"/>
            <w:noWrap/>
            <w:vAlign w:val="center"/>
            <w:hideMark/>
          </w:tcPr>
          <w:p w14:paraId="04515DAD"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10 822 </w:t>
            </w:r>
          </w:p>
        </w:tc>
        <w:tc>
          <w:tcPr>
            <w:tcW w:w="709" w:type="dxa"/>
            <w:tcBorders>
              <w:top w:val="nil"/>
              <w:left w:val="nil"/>
              <w:bottom w:val="nil"/>
              <w:right w:val="nil"/>
            </w:tcBorders>
            <w:shd w:val="clear" w:color="auto" w:fill="auto"/>
            <w:noWrap/>
            <w:vAlign w:val="center"/>
            <w:hideMark/>
          </w:tcPr>
          <w:p w14:paraId="40836461"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12 061 </w:t>
            </w:r>
          </w:p>
        </w:tc>
      </w:tr>
      <w:tr w:rsidR="00E66F49" w:rsidRPr="00666914" w14:paraId="4CE76171" w14:textId="77777777" w:rsidTr="00D27F91">
        <w:tc>
          <w:tcPr>
            <w:tcW w:w="993" w:type="dxa"/>
            <w:vMerge/>
            <w:tcBorders>
              <w:top w:val="nil"/>
              <w:left w:val="nil"/>
              <w:bottom w:val="single" w:sz="4" w:space="0" w:color="000000"/>
              <w:right w:val="nil"/>
            </w:tcBorders>
            <w:vAlign w:val="center"/>
            <w:hideMark/>
          </w:tcPr>
          <w:p w14:paraId="478A3942" w14:textId="77777777" w:rsidR="00E66F49" w:rsidRPr="00666914" w:rsidRDefault="00E66F49" w:rsidP="00D27F91">
            <w:pPr>
              <w:spacing w:after="0"/>
              <w:jc w:val="left"/>
              <w:rPr>
                <w:rFonts w:eastAsia="Times New Roman" w:cs="Calibri"/>
                <w:color w:val="000000"/>
                <w:sz w:val="18"/>
                <w:szCs w:val="18"/>
                <w:lang w:eastAsia="sk-SK"/>
              </w:rPr>
            </w:pPr>
          </w:p>
        </w:tc>
        <w:tc>
          <w:tcPr>
            <w:tcW w:w="1489" w:type="dxa"/>
            <w:tcBorders>
              <w:top w:val="nil"/>
              <w:left w:val="nil"/>
              <w:bottom w:val="single" w:sz="4" w:space="0" w:color="auto"/>
              <w:right w:val="nil"/>
            </w:tcBorders>
            <w:shd w:val="clear" w:color="auto" w:fill="auto"/>
            <w:noWrap/>
            <w:vAlign w:val="center"/>
            <w:hideMark/>
          </w:tcPr>
          <w:p w14:paraId="1CC374D7" w14:textId="77777777" w:rsidR="00E66F49" w:rsidRPr="00666914" w:rsidRDefault="00E66F49" w:rsidP="00D27F91">
            <w:pPr>
              <w:spacing w:after="0"/>
              <w:jc w:val="left"/>
              <w:rPr>
                <w:rFonts w:eastAsia="Times New Roman" w:cs="Calibri"/>
                <w:color w:val="000000"/>
                <w:sz w:val="18"/>
                <w:szCs w:val="18"/>
                <w:lang w:eastAsia="sk-SK"/>
              </w:rPr>
            </w:pPr>
            <w:r w:rsidRPr="00666914">
              <w:rPr>
                <w:rFonts w:eastAsia="Times New Roman" w:cs="Calibri"/>
                <w:color w:val="000000"/>
                <w:sz w:val="18"/>
                <w:szCs w:val="18"/>
                <w:lang w:eastAsia="sk-SK"/>
              </w:rPr>
              <w:t xml:space="preserve">NAV Spolu </w:t>
            </w:r>
          </w:p>
          <w:p w14:paraId="11662A1C" w14:textId="77777777" w:rsidR="00E66F49" w:rsidRPr="00666914" w:rsidRDefault="00E66F49" w:rsidP="00D27F91">
            <w:pPr>
              <w:spacing w:after="0"/>
              <w:jc w:val="left"/>
              <w:rPr>
                <w:rFonts w:eastAsia="Times New Roman" w:cs="Calibri"/>
                <w:color w:val="000000"/>
                <w:sz w:val="18"/>
                <w:szCs w:val="18"/>
                <w:lang w:eastAsia="sk-SK"/>
              </w:rPr>
            </w:pPr>
            <w:r w:rsidRPr="00666914">
              <w:rPr>
                <w:rFonts w:eastAsia="Times New Roman" w:cs="Calibri"/>
                <w:color w:val="000000"/>
                <w:sz w:val="18"/>
                <w:szCs w:val="18"/>
                <w:lang w:eastAsia="sk-SK"/>
              </w:rPr>
              <w:t xml:space="preserve">(v tis. eur) </w:t>
            </w:r>
          </w:p>
        </w:tc>
        <w:tc>
          <w:tcPr>
            <w:tcW w:w="637" w:type="dxa"/>
            <w:tcBorders>
              <w:top w:val="nil"/>
              <w:left w:val="nil"/>
              <w:bottom w:val="single" w:sz="4" w:space="0" w:color="auto"/>
              <w:right w:val="nil"/>
            </w:tcBorders>
            <w:shd w:val="clear" w:color="auto" w:fill="auto"/>
            <w:noWrap/>
            <w:vAlign w:val="center"/>
            <w:hideMark/>
          </w:tcPr>
          <w:p w14:paraId="176A2B06"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802 795 </w:t>
            </w:r>
          </w:p>
        </w:tc>
        <w:tc>
          <w:tcPr>
            <w:tcW w:w="709" w:type="dxa"/>
            <w:tcBorders>
              <w:top w:val="nil"/>
              <w:left w:val="nil"/>
              <w:bottom w:val="single" w:sz="4" w:space="0" w:color="auto"/>
              <w:right w:val="nil"/>
            </w:tcBorders>
            <w:shd w:val="clear" w:color="auto" w:fill="auto"/>
            <w:noWrap/>
            <w:vAlign w:val="center"/>
            <w:hideMark/>
          </w:tcPr>
          <w:p w14:paraId="5F013728"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811 979 </w:t>
            </w:r>
          </w:p>
        </w:tc>
        <w:tc>
          <w:tcPr>
            <w:tcW w:w="725" w:type="dxa"/>
            <w:tcBorders>
              <w:top w:val="nil"/>
              <w:left w:val="nil"/>
              <w:bottom w:val="single" w:sz="4" w:space="0" w:color="auto"/>
              <w:right w:val="nil"/>
            </w:tcBorders>
            <w:shd w:val="clear" w:color="auto" w:fill="auto"/>
            <w:noWrap/>
            <w:vAlign w:val="center"/>
            <w:hideMark/>
          </w:tcPr>
          <w:p w14:paraId="4CADD94A"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824 148 </w:t>
            </w:r>
          </w:p>
        </w:tc>
        <w:tc>
          <w:tcPr>
            <w:tcW w:w="615" w:type="dxa"/>
            <w:tcBorders>
              <w:top w:val="nil"/>
              <w:left w:val="nil"/>
              <w:bottom w:val="single" w:sz="4" w:space="0" w:color="auto"/>
              <w:right w:val="nil"/>
            </w:tcBorders>
            <w:shd w:val="clear" w:color="auto" w:fill="auto"/>
            <w:noWrap/>
            <w:vAlign w:val="center"/>
            <w:hideMark/>
          </w:tcPr>
          <w:p w14:paraId="4475CAF8"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836 286 </w:t>
            </w:r>
          </w:p>
        </w:tc>
        <w:tc>
          <w:tcPr>
            <w:tcW w:w="0" w:type="auto"/>
            <w:tcBorders>
              <w:top w:val="nil"/>
              <w:left w:val="nil"/>
              <w:bottom w:val="single" w:sz="4" w:space="0" w:color="auto"/>
              <w:right w:val="nil"/>
            </w:tcBorders>
            <w:shd w:val="clear" w:color="auto" w:fill="auto"/>
            <w:noWrap/>
            <w:vAlign w:val="center"/>
            <w:hideMark/>
          </w:tcPr>
          <w:p w14:paraId="75F852D3"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833 318 </w:t>
            </w:r>
          </w:p>
        </w:tc>
        <w:tc>
          <w:tcPr>
            <w:tcW w:w="0" w:type="auto"/>
            <w:tcBorders>
              <w:top w:val="nil"/>
              <w:left w:val="nil"/>
              <w:bottom w:val="single" w:sz="4" w:space="0" w:color="auto"/>
              <w:right w:val="nil"/>
            </w:tcBorders>
            <w:shd w:val="clear" w:color="auto" w:fill="auto"/>
            <w:noWrap/>
            <w:vAlign w:val="center"/>
            <w:hideMark/>
          </w:tcPr>
          <w:p w14:paraId="528E5479"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862 056 </w:t>
            </w:r>
          </w:p>
        </w:tc>
        <w:tc>
          <w:tcPr>
            <w:tcW w:w="0" w:type="auto"/>
            <w:tcBorders>
              <w:top w:val="nil"/>
              <w:left w:val="nil"/>
              <w:bottom w:val="single" w:sz="4" w:space="0" w:color="auto"/>
              <w:right w:val="nil"/>
            </w:tcBorders>
            <w:shd w:val="clear" w:color="auto" w:fill="auto"/>
            <w:noWrap/>
            <w:vAlign w:val="center"/>
            <w:hideMark/>
          </w:tcPr>
          <w:p w14:paraId="394B8E7C"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880 042 </w:t>
            </w:r>
          </w:p>
        </w:tc>
        <w:tc>
          <w:tcPr>
            <w:tcW w:w="642" w:type="dxa"/>
            <w:tcBorders>
              <w:top w:val="nil"/>
              <w:left w:val="nil"/>
              <w:bottom w:val="single" w:sz="4" w:space="0" w:color="auto"/>
              <w:right w:val="nil"/>
            </w:tcBorders>
            <w:shd w:val="clear" w:color="auto" w:fill="auto"/>
            <w:noWrap/>
            <w:vAlign w:val="center"/>
            <w:hideMark/>
          </w:tcPr>
          <w:p w14:paraId="22A5ED6F"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890 864 </w:t>
            </w:r>
          </w:p>
        </w:tc>
        <w:tc>
          <w:tcPr>
            <w:tcW w:w="709" w:type="dxa"/>
            <w:tcBorders>
              <w:top w:val="nil"/>
              <w:left w:val="nil"/>
              <w:bottom w:val="single" w:sz="4" w:space="0" w:color="auto"/>
              <w:right w:val="nil"/>
            </w:tcBorders>
            <w:shd w:val="clear" w:color="auto" w:fill="auto"/>
            <w:noWrap/>
            <w:vAlign w:val="center"/>
            <w:hideMark/>
          </w:tcPr>
          <w:p w14:paraId="5292929D"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900 274 </w:t>
            </w:r>
          </w:p>
        </w:tc>
        <w:tc>
          <w:tcPr>
            <w:tcW w:w="708" w:type="dxa"/>
            <w:tcBorders>
              <w:top w:val="nil"/>
              <w:left w:val="nil"/>
              <w:bottom w:val="single" w:sz="4" w:space="0" w:color="auto"/>
              <w:right w:val="nil"/>
            </w:tcBorders>
            <w:shd w:val="clear" w:color="auto" w:fill="auto"/>
            <w:noWrap/>
            <w:vAlign w:val="center"/>
            <w:hideMark/>
          </w:tcPr>
          <w:p w14:paraId="5C0F8253"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905 882 </w:t>
            </w:r>
          </w:p>
        </w:tc>
        <w:tc>
          <w:tcPr>
            <w:tcW w:w="709" w:type="dxa"/>
            <w:tcBorders>
              <w:top w:val="nil"/>
              <w:left w:val="nil"/>
              <w:bottom w:val="single" w:sz="4" w:space="0" w:color="auto"/>
              <w:right w:val="nil"/>
            </w:tcBorders>
            <w:shd w:val="clear" w:color="auto" w:fill="auto"/>
            <w:noWrap/>
            <w:vAlign w:val="center"/>
            <w:hideMark/>
          </w:tcPr>
          <w:p w14:paraId="5A079C91"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912 508 </w:t>
            </w:r>
          </w:p>
        </w:tc>
        <w:tc>
          <w:tcPr>
            <w:tcW w:w="709" w:type="dxa"/>
            <w:tcBorders>
              <w:top w:val="nil"/>
              <w:left w:val="nil"/>
              <w:bottom w:val="single" w:sz="4" w:space="0" w:color="auto"/>
              <w:right w:val="nil"/>
            </w:tcBorders>
            <w:shd w:val="clear" w:color="auto" w:fill="auto"/>
            <w:noWrap/>
            <w:vAlign w:val="center"/>
            <w:hideMark/>
          </w:tcPr>
          <w:p w14:paraId="710E4E86" w14:textId="77777777" w:rsidR="00E66F49" w:rsidRPr="00666914" w:rsidRDefault="00E66F49" w:rsidP="00D27F91">
            <w:pPr>
              <w:spacing w:after="0"/>
              <w:jc w:val="right"/>
              <w:rPr>
                <w:rFonts w:eastAsia="Times New Roman" w:cs="Calibri"/>
                <w:color w:val="000000"/>
                <w:sz w:val="16"/>
                <w:szCs w:val="16"/>
                <w:lang w:eastAsia="sk-SK"/>
              </w:rPr>
            </w:pPr>
            <w:r w:rsidRPr="00666914">
              <w:rPr>
                <w:rFonts w:eastAsia="Times New Roman" w:cs="Calibri"/>
                <w:color w:val="000000"/>
                <w:sz w:val="16"/>
                <w:szCs w:val="16"/>
                <w:lang w:eastAsia="sk-SK"/>
              </w:rPr>
              <w:t xml:space="preserve">928 174 </w:t>
            </w:r>
          </w:p>
        </w:tc>
      </w:tr>
      <w:tr w:rsidR="00E66F49" w:rsidRPr="00666914" w14:paraId="736913F7" w14:textId="77777777" w:rsidTr="005A043B">
        <w:trPr>
          <w:trHeight w:val="139"/>
        </w:trPr>
        <w:tc>
          <w:tcPr>
            <w:tcW w:w="10490" w:type="dxa"/>
            <w:gridSpan w:val="14"/>
            <w:tcBorders>
              <w:top w:val="single" w:sz="4" w:space="0" w:color="auto"/>
              <w:left w:val="nil"/>
              <w:bottom w:val="nil"/>
              <w:right w:val="nil"/>
            </w:tcBorders>
            <w:shd w:val="clear" w:color="auto" w:fill="auto"/>
            <w:noWrap/>
            <w:vAlign w:val="bottom"/>
            <w:hideMark/>
          </w:tcPr>
          <w:p w14:paraId="63920224" w14:textId="77777777" w:rsidR="00E66F49" w:rsidRPr="00666914" w:rsidRDefault="00E66F49" w:rsidP="00D27F91">
            <w:pPr>
              <w:spacing w:after="0"/>
              <w:jc w:val="right"/>
              <w:rPr>
                <w:rFonts w:eastAsia="Times New Roman" w:cs="Calibri"/>
                <w:i/>
                <w:color w:val="000000"/>
                <w:sz w:val="18"/>
                <w:szCs w:val="18"/>
                <w:lang w:eastAsia="sk-SK"/>
              </w:rPr>
            </w:pPr>
            <w:r w:rsidRPr="00666914">
              <w:rPr>
                <w:rFonts w:eastAsia="Times New Roman" w:cs="Calibri"/>
                <w:i/>
                <w:color w:val="000000"/>
                <w:sz w:val="18"/>
                <w:szCs w:val="18"/>
                <w:lang w:eastAsia="sk-SK"/>
              </w:rPr>
              <w:t xml:space="preserve">Zdroj: MPSVR SR </w:t>
            </w:r>
          </w:p>
        </w:tc>
      </w:tr>
    </w:tbl>
    <w:p w14:paraId="212FD25C" w14:textId="77777777" w:rsidR="00E66F49" w:rsidRPr="00666914" w:rsidRDefault="00E66F49" w:rsidP="005A043B">
      <w:pPr>
        <w:pStyle w:val="tabulka"/>
        <w:pBdr>
          <w:bottom w:val="none" w:sz="0" w:space="0" w:color="auto"/>
        </w:pBdr>
      </w:pPr>
      <w:bookmarkStart w:id="389" w:name="_Toc21522858"/>
    </w:p>
    <w:p w14:paraId="42A5CEFD" w14:textId="01AB3AB0" w:rsidR="005A043B" w:rsidRPr="00666914" w:rsidRDefault="00E66F49" w:rsidP="00D27F91">
      <w:pPr>
        <w:spacing w:after="0"/>
      </w:pPr>
      <w:r w:rsidRPr="00666914">
        <w:rPr>
          <w:b/>
        </w:rPr>
        <w:t>Podiel čistej hodnoty majetku v indexových príspevkových DDF počas roka 2019 kontinuálne rástol.</w:t>
      </w:r>
      <w:r w:rsidRPr="00666914">
        <w:t xml:space="preserve"> K 31.12.2019 tvoril 1,7 % hodnoty spravovaných aktív oboch DDS, čo predstavuje v absolútnom vyjadrení približne 21,8 mil. eur. Okrem zvyšujúceho sa počtu účastníkov bol rast čistej hodnoty majetku indexových DF podporený aj vysokým rastom hodnoty hlavných svetových akciových indexov. Rast hodnoty svetových akciových indexov sa </w:t>
      </w:r>
      <w:r w:rsidRPr="00666914">
        <w:lastRenderedPageBreak/>
        <w:t>pohyboval v roku 2019 v intervale od 21,1 % (v prípade rozvíjajúcich sa trhov reprezentovaných indexom MSCI Emerging Markets) až po 30,0 % v prípade rozvinutých trhov reprezentovaných indexom MSCI World</w:t>
      </w:r>
      <w:r w:rsidRPr="00666914">
        <w:rPr>
          <w:rStyle w:val="Odkaznapoznmkupodiarou"/>
        </w:rPr>
        <w:footnoteReference w:id="373"/>
      </w:r>
      <w:r w:rsidRPr="00666914">
        <w:t>.</w:t>
      </w:r>
    </w:p>
    <w:p w14:paraId="0442E101" w14:textId="285A2327" w:rsidR="005A043B" w:rsidRPr="00666914" w:rsidRDefault="005A043B">
      <w:pPr>
        <w:spacing w:after="0"/>
        <w:jc w:val="left"/>
      </w:pPr>
    </w:p>
    <w:p w14:paraId="772431A6" w14:textId="3402DA67" w:rsidR="00E66F49" w:rsidRPr="00666914" w:rsidRDefault="00E66F49" w:rsidP="00093DA2">
      <w:pPr>
        <w:pBdr>
          <w:bottom w:val="single" w:sz="4" w:space="1" w:color="auto"/>
        </w:pBdr>
        <w:spacing w:after="120"/>
        <w:rPr>
          <w:b/>
          <w:sz w:val="20"/>
        </w:rPr>
      </w:pPr>
      <w:bookmarkStart w:id="390" w:name="_Toc38390064"/>
      <w:r w:rsidRPr="00666914">
        <w:rPr>
          <w:b/>
          <w:sz w:val="20"/>
        </w:rPr>
        <w:t xml:space="preserve">Graf </w:t>
      </w:r>
      <w:r w:rsidRPr="00666914">
        <w:rPr>
          <w:b/>
          <w:sz w:val="20"/>
        </w:rPr>
        <w:fldChar w:fldCharType="begin"/>
      </w:r>
      <w:r w:rsidRPr="00666914">
        <w:rPr>
          <w:b/>
          <w:sz w:val="20"/>
        </w:rPr>
        <w:instrText xml:space="preserve"> SEQ Graf \* ARABIC \* MERGEFORMAT </w:instrText>
      </w:r>
      <w:r w:rsidRPr="00666914">
        <w:rPr>
          <w:b/>
          <w:sz w:val="20"/>
        </w:rPr>
        <w:fldChar w:fldCharType="separate"/>
      </w:r>
      <w:r w:rsidR="005A7304">
        <w:rPr>
          <w:b/>
          <w:noProof/>
          <w:sz w:val="20"/>
        </w:rPr>
        <w:t>20</w:t>
      </w:r>
      <w:r w:rsidRPr="00666914">
        <w:rPr>
          <w:b/>
          <w:sz w:val="20"/>
        </w:rPr>
        <w:fldChar w:fldCharType="end"/>
      </w:r>
      <w:r w:rsidRPr="00666914">
        <w:rPr>
          <w:b/>
          <w:sz w:val="20"/>
        </w:rPr>
        <w:t>: Pomer čistej hodnoty majetku v indexových fondoch k celkovému majetku DDS</w:t>
      </w:r>
      <w:bookmarkEnd w:id="390"/>
    </w:p>
    <w:p w14:paraId="4291A411" w14:textId="77777777" w:rsidR="00E66F49" w:rsidRPr="00666914" w:rsidRDefault="00E66F49" w:rsidP="00D27F91">
      <w:pPr>
        <w:pBdr>
          <w:bottom w:val="single" w:sz="6" w:space="1" w:color="auto"/>
        </w:pBdr>
        <w:spacing w:after="0"/>
        <w:rPr>
          <w:color w:val="C45911" w:themeColor="accent2" w:themeShade="BF"/>
        </w:rPr>
      </w:pPr>
      <w:r w:rsidRPr="00666914">
        <w:rPr>
          <w:noProof/>
          <w:lang w:eastAsia="sk-SK"/>
        </w:rPr>
        <w:drawing>
          <wp:inline distT="0" distB="0" distL="0" distR="0" wp14:anchorId="4BE4396B" wp14:editId="0D7B9ADC">
            <wp:extent cx="5759450" cy="2456180"/>
            <wp:effectExtent l="0" t="0" r="0" b="127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84FF644" w14:textId="77777777" w:rsidR="00E66F49" w:rsidRPr="00666914" w:rsidRDefault="00E66F49" w:rsidP="00D27F91">
      <w:pPr>
        <w:spacing w:after="0"/>
        <w:jc w:val="right"/>
        <w:rPr>
          <w:i/>
          <w:sz w:val="18"/>
          <w:szCs w:val="18"/>
        </w:rPr>
      </w:pPr>
      <w:r w:rsidRPr="00666914">
        <w:rPr>
          <w:i/>
          <w:sz w:val="18"/>
          <w:szCs w:val="18"/>
        </w:rPr>
        <w:t xml:space="preserve">Zdroj: MPSVR SR </w:t>
      </w:r>
    </w:p>
    <w:p w14:paraId="5EA78397" w14:textId="77777777" w:rsidR="00E66F49" w:rsidRPr="00666914" w:rsidRDefault="00E66F49" w:rsidP="00D27F91">
      <w:pPr>
        <w:spacing w:after="0"/>
        <w:jc w:val="right"/>
        <w:rPr>
          <w:i/>
          <w:sz w:val="16"/>
          <w:szCs w:val="16"/>
        </w:rPr>
      </w:pPr>
      <w:r w:rsidRPr="00666914">
        <w:rPr>
          <w:i/>
          <w:sz w:val="16"/>
          <w:szCs w:val="16"/>
        </w:rPr>
        <w:t xml:space="preserve"> </w:t>
      </w:r>
    </w:p>
    <w:bookmarkEnd w:id="389"/>
    <w:p w14:paraId="5B701F7B" w14:textId="51A433A2" w:rsidR="00E66F49" w:rsidRPr="00666914" w:rsidRDefault="00E66F49" w:rsidP="00D27F91">
      <w:pPr>
        <w:rPr>
          <w:b/>
        </w:rPr>
      </w:pPr>
      <w:r w:rsidRPr="00666914">
        <w:rPr>
          <w:b/>
        </w:rPr>
        <w:t>Opatrenie sa k 31.12.2019 plní čiastočne.</w:t>
      </w:r>
    </w:p>
    <w:p w14:paraId="77749389" w14:textId="276EA8BF" w:rsidR="00E66F49" w:rsidRPr="00666914" w:rsidRDefault="00E66F49" w:rsidP="00180DB1">
      <w:pPr>
        <w:spacing w:line="259" w:lineRule="auto"/>
      </w:pPr>
      <w:r w:rsidRPr="00666914">
        <w:rPr>
          <w:b/>
        </w:rPr>
        <w:t>Odporúčanie IJ:</w:t>
      </w:r>
      <w:r w:rsidRPr="00666914">
        <w:t xml:space="preserve"> Keďže hodnotenie výkonnosti indexových DDF si vyžaduje dlhší časový horizont, MPSVR SR určí do 06/2020 relevantný termín hodnotenia výkonnosti indexových fondov v III. pilieri.</w:t>
      </w:r>
    </w:p>
    <w:p w14:paraId="79C04975" w14:textId="77777777" w:rsidR="00E66F49" w:rsidRPr="00666914" w:rsidRDefault="00E66F49" w:rsidP="00131B23">
      <w:pPr>
        <w:numPr>
          <w:ilvl w:val="0"/>
          <w:numId w:val="7"/>
        </w:numPr>
        <w:contextualSpacing/>
        <w:rPr>
          <w:b/>
          <w:u w:val="single"/>
        </w:rPr>
      </w:pPr>
      <w:r w:rsidRPr="00666914">
        <w:rPr>
          <w:b/>
          <w:u w:val="single"/>
        </w:rPr>
        <w:t>Zvýšenie atraktívnosti dobrovoľného dôchodkového sporenia prostredníctvom mixu politík, vrátane posilnenia konkurencie</w:t>
      </w:r>
    </w:p>
    <w:p w14:paraId="60CF0AC8" w14:textId="77777777" w:rsidR="00E66F49" w:rsidRPr="00666914" w:rsidRDefault="00E66F49" w:rsidP="00CD4715">
      <w:pPr>
        <w:contextualSpacing/>
        <w:rPr>
          <w:b/>
          <w:u w:val="single"/>
        </w:rPr>
      </w:pPr>
    </w:p>
    <w:p w14:paraId="01DD8F79" w14:textId="14279073" w:rsidR="00E66F49" w:rsidRPr="00666914" w:rsidRDefault="00E66F49" w:rsidP="00D27F91">
      <w:r w:rsidRPr="00666914">
        <w:rPr>
          <w:b/>
        </w:rPr>
        <w:t>K zvýšeniu atraktívnosti DDS by na základe výstupov analýzy z roku 2018</w:t>
      </w:r>
      <w:r w:rsidRPr="00666914">
        <w:rPr>
          <w:rStyle w:val="Odkaznapoznmkupodiarou"/>
          <w:b/>
        </w:rPr>
        <w:footnoteReference w:id="374"/>
      </w:r>
      <w:r w:rsidRPr="00666914">
        <w:rPr>
          <w:b/>
        </w:rPr>
        <w:t xml:space="preserve"> okrem iných opatrení</w:t>
      </w:r>
      <w:r w:rsidRPr="00666914">
        <w:rPr>
          <w:rStyle w:val="Odkaznapoznmkupodiarou"/>
          <w:b/>
        </w:rPr>
        <w:footnoteReference w:id="375"/>
      </w:r>
      <w:r w:rsidRPr="00666914">
        <w:rPr>
          <w:b/>
        </w:rPr>
        <w:t xml:space="preserve"> prispelo aj zefektívnenie štátnej podpory poskytovanej v prospech dobrovoľného dôchodkového poistenia. </w:t>
      </w:r>
      <w:r w:rsidRPr="00666914">
        <w:t xml:space="preserve">Základnou podmienkou však je, aby štátom zvýhodňované produkty spĺňali prísne kritériá a boli podporované len také riešenia, prostredníctvom ktorých sa nasporené prostriedky použijú primárne na zabezpečenie dodatočného príjmu v starobe. </w:t>
      </w:r>
      <w:r w:rsidRPr="00666914">
        <w:rPr>
          <w:b/>
        </w:rPr>
        <w:t>Rezort plánuje pristúpiť k zmene právnych predpisov súvisiacich s dobrovoľným (osobným) zabezpečením na dôchodok spoločne s novou legislatívou nadväzujúcou na PEPP – Celoeurópsky osobný dôchodkový produkt</w:t>
      </w:r>
      <w:r w:rsidRPr="00666914">
        <w:rPr>
          <w:rStyle w:val="Odkaznapoznmkupodiarou"/>
          <w:b/>
        </w:rPr>
        <w:footnoteReference w:id="376"/>
      </w:r>
      <w:r w:rsidRPr="00666914">
        <w:rPr>
          <w:b/>
        </w:rPr>
        <w:t>.</w:t>
      </w:r>
      <w:r w:rsidRPr="00666914">
        <w:t xml:space="preserve"> Predpokladaný dátum uplatňovania nariadenia PEPP je síce najneskôr v 08/2021</w:t>
      </w:r>
      <w:r w:rsidRPr="00666914">
        <w:rPr>
          <w:rStyle w:val="Odkaznapoznmkupodiarou"/>
        </w:rPr>
        <w:footnoteReference w:id="377"/>
      </w:r>
      <w:r w:rsidRPr="00666914">
        <w:t>, MPSVR SR však plánuje už počas roka 2020 pripraviť návrh legislatívnych zmien (po zohľadnení výstupov analýzy</w:t>
      </w:r>
      <w:r w:rsidR="002C5C47" w:rsidRPr="00666914">
        <w:t>,</w:t>
      </w:r>
      <w:r w:rsidRPr="00666914">
        <w:t xml:space="preserve"> ako aj </w:t>
      </w:r>
      <w:r w:rsidR="002C5C47" w:rsidRPr="00666914">
        <w:t xml:space="preserve">po </w:t>
      </w:r>
      <w:r w:rsidRPr="00666914">
        <w:t>rokovaní s MF SR).</w:t>
      </w:r>
    </w:p>
    <w:p w14:paraId="2BD5CF41" w14:textId="663C9E8C" w:rsidR="00E66F49" w:rsidRPr="00666914" w:rsidRDefault="00E66F49" w:rsidP="005A043B">
      <w:pPr>
        <w:spacing w:after="0"/>
        <w:rPr>
          <w:b/>
        </w:rPr>
      </w:pPr>
      <w:r w:rsidRPr="00666914">
        <w:t xml:space="preserve">IJ v rámci hlavných odporúčaní v PIS 2019 odporučila MPSVR SR predložiť najneskôr do 11/2019 na rokovanie vlády SR požadovanú legislatívnu úpravu. Neudialo sa tak ani do konca roka 2019, </w:t>
      </w:r>
      <w:r w:rsidRPr="00666914">
        <w:rPr>
          <w:b/>
        </w:rPr>
        <w:t>opatrenie sa k 31.12.2019 neplní.</w:t>
      </w:r>
    </w:p>
    <w:p w14:paraId="447CB03B" w14:textId="0448D40C" w:rsidR="00BD5C93" w:rsidRPr="00666914" w:rsidRDefault="00BD5C93">
      <w:pPr>
        <w:spacing w:after="0"/>
        <w:jc w:val="left"/>
      </w:pPr>
      <w:r w:rsidRPr="00666914">
        <w:br w:type="page"/>
      </w:r>
    </w:p>
    <w:p w14:paraId="7E819A13" w14:textId="77777777" w:rsidR="00E66F49" w:rsidRPr="00666914" w:rsidRDefault="00E66F49" w:rsidP="00131B23">
      <w:pPr>
        <w:numPr>
          <w:ilvl w:val="0"/>
          <w:numId w:val="7"/>
        </w:numPr>
        <w:contextualSpacing/>
        <w:rPr>
          <w:b/>
          <w:u w:val="single"/>
        </w:rPr>
      </w:pPr>
      <w:r w:rsidRPr="00666914">
        <w:rPr>
          <w:b/>
          <w:u w:val="single"/>
        </w:rPr>
        <w:lastRenderedPageBreak/>
        <w:t>Povinné zosúladenie investičnej stratégie II. piliera aktuálnych sporiteľov s časovým horizontom ich sporenia</w:t>
      </w:r>
    </w:p>
    <w:p w14:paraId="4D00D884" w14:textId="77777777" w:rsidR="00E66F49" w:rsidRPr="00666914" w:rsidRDefault="00E66F49" w:rsidP="00CD4715">
      <w:pPr>
        <w:ind w:left="720"/>
        <w:contextualSpacing/>
        <w:rPr>
          <w:b/>
          <w:u w:val="single"/>
        </w:rPr>
      </w:pPr>
    </w:p>
    <w:p w14:paraId="347F257B" w14:textId="43226C8A" w:rsidR="00E66F49" w:rsidRPr="00666914" w:rsidRDefault="00E66F49" w:rsidP="00D27F91">
      <w:r w:rsidRPr="00666914">
        <w:rPr>
          <w:b/>
        </w:rPr>
        <w:t>K zavedeniu predvolenej sporiacej stratégie pre sporiteľov II. piliera sa zaviazala vláda SR aj prostredníctvom Národného programu reforiem (NPR) SR 2019 do 12/2020</w:t>
      </w:r>
      <w:r w:rsidRPr="00666914">
        <w:rPr>
          <w:rStyle w:val="Odkaznapoznmkupodiarou"/>
          <w:b/>
        </w:rPr>
        <w:footnoteReference w:id="378"/>
      </w:r>
      <w:r w:rsidRPr="00666914">
        <w:rPr>
          <w:b/>
        </w:rPr>
        <w:t xml:space="preserve">. </w:t>
      </w:r>
      <w:r w:rsidRPr="00666914">
        <w:t>Počas roka 2019 zorganizovalo MPSVR SR ako gestor úlohy viaceré rokovania s IFP, NBS, DSS a Slovenskou asociáciou poisťovní. Hlavnou témou bola podoba výplatnej fázy, ktorá je dôležitá pre parametrické nastavenie celej predvolenej sporiacej stratégie. MPSVR SR sa počas roka 2019 okrem osobných stretnutí zameralo aj na rozbor ekonomických a právnych aspektov v súvislosti s implementáciou tejto stratégie.</w:t>
      </w:r>
    </w:p>
    <w:p w14:paraId="0CCDBE3F" w14:textId="77777777" w:rsidR="00E66F49" w:rsidRPr="00666914" w:rsidRDefault="00E66F49" w:rsidP="00D27F91">
      <w:pPr>
        <w:contextualSpacing/>
        <w:rPr>
          <w:b/>
        </w:rPr>
      </w:pPr>
      <w:r w:rsidRPr="00666914">
        <w:t xml:space="preserve">V rámci hlavných odporúčaní IJ v PIS 2019 malo MPSVR SR predložiť najneskôr do 11/2019 na rokovanie vlády SR potrebnú legislatívnu úpravu, čo sa neuskutočnilo. </w:t>
      </w:r>
      <w:r w:rsidRPr="00666914">
        <w:rPr>
          <w:b/>
        </w:rPr>
        <w:t>Opatrenie sa preto k 31.12.2019 neplní.</w:t>
      </w:r>
    </w:p>
    <w:p w14:paraId="71A13432" w14:textId="77777777" w:rsidR="00E66F49" w:rsidRPr="00666914" w:rsidRDefault="00E66F49" w:rsidP="00D27F91">
      <w:pPr>
        <w:contextualSpacing/>
        <w:rPr>
          <w:color w:val="C45911" w:themeColor="accent2" w:themeShade="BF"/>
        </w:rPr>
      </w:pPr>
    </w:p>
    <w:p w14:paraId="505C47FE" w14:textId="77777777" w:rsidR="00E66F49" w:rsidRPr="00666914" w:rsidRDefault="00E66F49" w:rsidP="00131B23">
      <w:pPr>
        <w:numPr>
          <w:ilvl w:val="0"/>
          <w:numId w:val="7"/>
        </w:numPr>
        <w:contextualSpacing/>
        <w:rPr>
          <w:b/>
          <w:u w:val="single"/>
        </w:rPr>
      </w:pPr>
      <w:r w:rsidRPr="00666914">
        <w:rPr>
          <w:b/>
          <w:u w:val="single"/>
        </w:rPr>
        <w:t>Úprava odplát sprostredkovateľom, ktorá by výraznejšie motivovala sprostredkovateľov poskytovať klientom II. a III. piliera presnejšie a adekvátnejšie odporúčania</w:t>
      </w:r>
    </w:p>
    <w:p w14:paraId="7F42AF6A" w14:textId="77777777" w:rsidR="00E66F49" w:rsidRPr="00666914" w:rsidRDefault="00E66F49" w:rsidP="00CD4715">
      <w:pPr>
        <w:ind w:left="720"/>
        <w:contextualSpacing/>
        <w:rPr>
          <w:b/>
          <w:u w:val="single"/>
        </w:rPr>
      </w:pPr>
    </w:p>
    <w:p w14:paraId="3C507509" w14:textId="7B9F23F2" w:rsidR="00E66F49" w:rsidRPr="00666914" w:rsidRDefault="00E66F49" w:rsidP="00D27F91">
      <w:pPr>
        <w:rPr>
          <w:b/>
        </w:rPr>
      </w:pPr>
      <w:r w:rsidRPr="00666914">
        <w:t>Za účelom posúdenia možného prínosu úpravy odplát sprostredkovateľom, MPSVR SR počas roka 2019 zanalyzovalo vývoj prestupov sporiteľov ako aj pravidlá regulácie sprostredkovania v rámci II. aj III. piliera dôchodkového sporenia.</w:t>
      </w:r>
    </w:p>
    <w:p w14:paraId="183E5D80" w14:textId="6F9B4ED6" w:rsidR="00E66F49" w:rsidRPr="00666914" w:rsidRDefault="00E66F49" w:rsidP="00D27F91">
      <w:pPr>
        <w:pStyle w:val="tabulka"/>
        <w:rPr>
          <w:b w:val="0"/>
        </w:rPr>
      </w:pPr>
      <w:bookmarkStart w:id="391" w:name="_Toc38390065"/>
      <w:r w:rsidRPr="00666914">
        <w:t xml:space="preserve">Graf </w:t>
      </w:r>
      <w:r w:rsidR="00032A13">
        <w:rPr>
          <w:noProof/>
        </w:rPr>
        <w:fldChar w:fldCharType="begin"/>
      </w:r>
      <w:r w:rsidR="00032A13">
        <w:rPr>
          <w:noProof/>
        </w:rPr>
        <w:instrText xml:space="preserve"> SEQ Graf \* ARABIC \* MERGEFORMAT </w:instrText>
      </w:r>
      <w:r w:rsidR="00032A13">
        <w:rPr>
          <w:noProof/>
        </w:rPr>
        <w:fldChar w:fldCharType="separate"/>
      </w:r>
      <w:r w:rsidR="005A7304">
        <w:rPr>
          <w:noProof/>
        </w:rPr>
        <w:t>21</w:t>
      </w:r>
      <w:r w:rsidR="00032A13">
        <w:rPr>
          <w:noProof/>
        </w:rPr>
        <w:fldChar w:fldCharType="end"/>
      </w:r>
      <w:r w:rsidRPr="00666914">
        <w:t>: Podiel prestupujúcich sporiteľov na celkovom počte (II. pilier)</w:t>
      </w:r>
      <w:bookmarkEnd w:id="391"/>
    </w:p>
    <w:p w14:paraId="2B95BA43" w14:textId="77777777" w:rsidR="00E66F49" w:rsidRPr="00666914" w:rsidRDefault="00E66F49" w:rsidP="00D27F91">
      <w:pPr>
        <w:pBdr>
          <w:bottom w:val="single" w:sz="6" w:space="1" w:color="auto"/>
        </w:pBdr>
        <w:spacing w:after="0"/>
        <w:rPr>
          <w:color w:val="C45911" w:themeColor="accent2" w:themeShade="BF"/>
        </w:rPr>
      </w:pPr>
      <w:r w:rsidRPr="00666914">
        <w:rPr>
          <w:noProof/>
          <w:lang w:eastAsia="sk-SK"/>
        </w:rPr>
        <w:drawing>
          <wp:inline distT="0" distB="0" distL="0" distR="0" wp14:anchorId="59F0AD5B" wp14:editId="0137682F">
            <wp:extent cx="5685576" cy="2906162"/>
            <wp:effectExtent l="0" t="0" r="0" b="889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A17701D" w14:textId="77777777" w:rsidR="00E66F49" w:rsidRPr="00666914" w:rsidRDefault="00E66F49" w:rsidP="00D27F91">
      <w:pPr>
        <w:spacing w:after="0"/>
        <w:jc w:val="right"/>
        <w:rPr>
          <w:i/>
          <w:sz w:val="18"/>
          <w:szCs w:val="18"/>
        </w:rPr>
      </w:pPr>
      <w:r w:rsidRPr="00666914">
        <w:rPr>
          <w:i/>
          <w:sz w:val="18"/>
          <w:szCs w:val="18"/>
        </w:rPr>
        <w:t xml:space="preserve">Zdroj: MPSVR SR </w:t>
      </w:r>
    </w:p>
    <w:p w14:paraId="6034BEDB" w14:textId="77777777" w:rsidR="00E66F49" w:rsidRPr="00666914" w:rsidRDefault="00E66F49" w:rsidP="00D27F91"/>
    <w:p w14:paraId="628ACBD8" w14:textId="37C11416" w:rsidR="00E66F49" w:rsidRPr="00666914" w:rsidRDefault="00E66F49" w:rsidP="00D27F91">
      <w:pPr>
        <w:rPr>
          <w:b/>
          <w:sz w:val="20"/>
        </w:rPr>
      </w:pPr>
      <w:r w:rsidRPr="00666914">
        <w:rPr>
          <w:b/>
        </w:rPr>
        <w:t xml:space="preserve">Prestupy sporiteľov v rámci II. piliera neovplyvnili významne trhové podiely jednotlivých DSS (graf </w:t>
      </w:r>
      <w:r w:rsidR="00415F33" w:rsidRPr="00666914">
        <w:rPr>
          <w:b/>
        </w:rPr>
        <w:t>21</w:t>
      </w:r>
      <w:r w:rsidRPr="00666914">
        <w:rPr>
          <w:b/>
        </w:rPr>
        <w:t>).</w:t>
      </w:r>
      <w:r w:rsidRPr="00666914">
        <w:t xml:space="preserve"> Prestupujúci sporitelia dokázali významne zmeniť podiely len v roku 2006</w:t>
      </w:r>
      <w:r w:rsidRPr="00666914">
        <w:rPr>
          <w:rStyle w:val="Odkaznapoznmkupodiarou"/>
        </w:rPr>
        <w:footnoteReference w:id="379"/>
      </w:r>
      <w:r w:rsidRPr="00666914">
        <w:t xml:space="preserve">, čo bolo ovplyvnené hlavne vstupom AEGON DSS na trh. Ďalší nárast nastal ešte v roku 2015 počas posledného otvorenia II. piliera. Priemerný podiel počtu prestupujúcich sporiteľov na celkovom počte sporiteľov dosiahol medzi rokmi 2006 až 2019 hodnotu 1,6 %, pri abstrahovaní od roku 2006 bol tento podiel len približne 1,0 %. Uvedené zmeny však samozrejme nemuseli byť </w:t>
      </w:r>
      <w:r w:rsidRPr="00666914">
        <w:lastRenderedPageBreak/>
        <w:t>ovplyvnené len aktivitami finančných sprostredkovateľov, ktorá je v dôsledku regulácie pomerne nízka</w:t>
      </w:r>
      <w:r w:rsidRPr="00666914">
        <w:rPr>
          <w:rStyle w:val="Odkaznapoznmkupodiarou"/>
        </w:rPr>
        <w:footnoteReference w:id="380"/>
      </w:r>
      <w:r w:rsidRPr="00666914">
        <w:t xml:space="preserve"> (v roku 2019 bola výška maximálnej provízie 76,33 eur, v roku 2020 predstavuje 81,04 eur).</w:t>
      </w:r>
    </w:p>
    <w:p w14:paraId="01E4275E" w14:textId="184A07B1" w:rsidR="00E66F49" w:rsidRPr="00666914" w:rsidRDefault="00E66F49" w:rsidP="00BD5C93">
      <w:pPr>
        <w:pBdr>
          <w:bottom w:val="single" w:sz="4" w:space="1" w:color="auto"/>
        </w:pBdr>
        <w:spacing w:after="0" w:line="259" w:lineRule="auto"/>
        <w:jc w:val="left"/>
        <w:rPr>
          <w:b/>
          <w:sz w:val="20"/>
        </w:rPr>
      </w:pPr>
      <w:bookmarkStart w:id="392" w:name="_Toc38390066"/>
      <w:r w:rsidRPr="00666914">
        <w:rPr>
          <w:b/>
          <w:sz w:val="20"/>
        </w:rPr>
        <w:t xml:space="preserve">Graf </w:t>
      </w:r>
      <w:r w:rsidRPr="00666914">
        <w:rPr>
          <w:b/>
          <w:sz w:val="20"/>
        </w:rPr>
        <w:fldChar w:fldCharType="begin"/>
      </w:r>
      <w:r w:rsidRPr="00666914">
        <w:rPr>
          <w:b/>
          <w:sz w:val="20"/>
        </w:rPr>
        <w:instrText xml:space="preserve"> SEQ Graf \* ARABIC \* MERGEFORMAT </w:instrText>
      </w:r>
      <w:r w:rsidRPr="00666914">
        <w:rPr>
          <w:b/>
          <w:sz w:val="20"/>
        </w:rPr>
        <w:fldChar w:fldCharType="separate"/>
      </w:r>
      <w:r w:rsidR="005A7304">
        <w:rPr>
          <w:b/>
          <w:noProof/>
          <w:sz w:val="20"/>
        </w:rPr>
        <w:t>22</w:t>
      </w:r>
      <w:r w:rsidRPr="00666914">
        <w:rPr>
          <w:b/>
          <w:sz w:val="20"/>
        </w:rPr>
        <w:fldChar w:fldCharType="end"/>
      </w:r>
      <w:r w:rsidRPr="00666914">
        <w:rPr>
          <w:b/>
          <w:sz w:val="20"/>
        </w:rPr>
        <w:t>: Podiel prestupujúcich sporiteľov na celkovom počte (III. pilier)</w:t>
      </w:r>
      <w:bookmarkEnd w:id="392"/>
    </w:p>
    <w:p w14:paraId="28C6FA2C" w14:textId="77777777" w:rsidR="00E66F49" w:rsidRPr="00666914" w:rsidRDefault="00E66F49" w:rsidP="00D27F91">
      <w:pPr>
        <w:pBdr>
          <w:bottom w:val="single" w:sz="6" w:space="1" w:color="auto"/>
        </w:pBdr>
        <w:spacing w:after="0"/>
        <w:rPr>
          <w:color w:val="C45911" w:themeColor="accent2" w:themeShade="BF"/>
        </w:rPr>
      </w:pPr>
      <w:r w:rsidRPr="00666914">
        <w:rPr>
          <w:noProof/>
          <w:lang w:eastAsia="sk-SK"/>
        </w:rPr>
        <w:drawing>
          <wp:inline distT="0" distB="0" distL="0" distR="0" wp14:anchorId="45A48AAC" wp14:editId="5468B9C8">
            <wp:extent cx="5730844" cy="3078178"/>
            <wp:effectExtent l="0" t="0" r="3810" b="8255"/>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4783D39" w14:textId="77777777" w:rsidR="00E66F49" w:rsidRPr="00666914" w:rsidRDefault="00E66F49" w:rsidP="00D27F91">
      <w:pPr>
        <w:spacing w:after="0"/>
        <w:jc w:val="right"/>
        <w:rPr>
          <w:rFonts w:eastAsia="Times New Roman" w:cs="Calibri"/>
          <w:i/>
          <w:iCs/>
          <w:color w:val="000000"/>
          <w:sz w:val="18"/>
          <w:szCs w:val="18"/>
          <w:lang w:eastAsia="sk-SK"/>
        </w:rPr>
      </w:pPr>
      <w:r w:rsidRPr="00666914">
        <w:rPr>
          <w:rFonts w:eastAsia="Times New Roman" w:cs="Calibri"/>
          <w:i/>
          <w:iCs/>
          <w:color w:val="000000"/>
          <w:sz w:val="18"/>
          <w:szCs w:val="18"/>
          <w:lang w:eastAsia="sk-SK"/>
        </w:rPr>
        <w:t>Zdroj: Asociácia DDS</w:t>
      </w:r>
    </w:p>
    <w:p w14:paraId="43D1A4B3" w14:textId="77777777" w:rsidR="00E66F49" w:rsidRPr="00666914" w:rsidRDefault="00E66F49" w:rsidP="00D27F91">
      <w:pPr>
        <w:jc w:val="right"/>
      </w:pPr>
    </w:p>
    <w:p w14:paraId="5CA83D91" w14:textId="27F65BC7" w:rsidR="00E66F49" w:rsidRPr="00666914" w:rsidRDefault="00E66F49" w:rsidP="00D27F91">
      <w:r w:rsidRPr="00666914">
        <w:rPr>
          <w:b/>
        </w:rPr>
        <w:t xml:space="preserve">Frekvencia prestupov medzi DDS v rámci III. piliera bola počas posledných 10 rokov taktiež nízka (graf </w:t>
      </w:r>
      <w:r w:rsidR="00415F33" w:rsidRPr="00666914">
        <w:rPr>
          <w:b/>
        </w:rPr>
        <w:t>22</w:t>
      </w:r>
      <w:r w:rsidRPr="00666914">
        <w:rPr>
          <w:b/>
        </w:rPr>
        <w:t>).</w:t>
      </w:r>
      <w:r w:rsidRPr="00666914">
        <w:t xml:space="preserve"> Počas tohto obdobia zmenilo DDS priemerne 0,2 % účastníkov, prestupy takmer vôbec neovplyvnili rozloženie účastníkov medzi DDS. Jedným z dôvodov môže byť potreba uzatvorenia novej účastníckej zmluvy v prípade zmeny DDS a následná strata možnosti výberu prostriedkov z osobného účtu účastníka podľa dávkového plánu definovaného v účastníckej zmluve. Napriek tomu, že daňová úľava v súvislosti s účasťou v III. pilieri je nárokovateľná len v prípade uzatvorenia účastníckej zmluvy od 1.1.2014, resp. pri uzatvorení dodatku k účastníckej zmluve o zrušení platnosti dávkového plánu, pre približne 65 %  účastníkov zostali v platnosti podmienky podľa dávkového plánu na základe zmluvy uzatvorenej do 12/2013</w:t>
      </w:r>
      <w:r w:rsidRPr="00666914">
        <w:rPr>
          <w:rStyle w:val="Odkaznapoznmkupodiarou"/>
        </w:rPr>
        <w:footnoteReference w:id="381"/>
      </w:r>
      <w:r w:rsidRPr="00666914">
        <w:t>. Výška odmeny sprostredkovateľa je tak ako v prípade II. piliera regulovaná</w:t>
      </w:r>
      <w:r w:rsidRPr="00666914">
        <w:rPr>
          <w:rStyle w:val="Odkaznapoznmkupodiarou"/>
        </w:rPr>
        <w:footnoteReference w:id="382"/>
      </w:r>
      <w:r w:rsidRPr="00666914">
        <w:t xml:space="preserve"> (v roku 2019 predstavovala 95,4 eur, v roku 2020 101,3 eur).</w:t>
      </w:r>
    </w:p>
    <w:p w14:paraId="3D4EDC03" w14:textId="6E3AA800" w:rsidR="00E66F49" w:rsidRPr="00666914" w:rsidRDefault="00E66F49" w:rsidP="00D27F91">
      <w:r w:rsidRPr="00666914">
        <w:t>Vzhľadom na aktuálne nastavenú mieru regulácie, nízku aktivitu sprostredkovateľov (spôsoben</w:t>
      </w:r>
      <w:r w:rsidR="00415F33" w:rsidRPr="00666914">
        <w:t>ú</w:t>
      </w:r>
      <w:r w:rsidRPr="00666914">
        <w:t xml:space="preserve"> nízkymi províziami v porovnaní s inými províziami za iné finančné produkty) a s tým spojenú nízku mieru prestupov účastníkov sporenia v rámci II. či III. piliera,</w:t>
      </w:r>
      <w:r w:rsidRPr="00666914">
        <w:rPr>
          <w:b/>
        </w:rPr>
        <w:t xml:space="preserve"> MPSVR SR nepovažuje za dobrý nástroj na riešenie problému s nevhodným rozložením úspor zmenu odmien pre sprostredkovateľov</w:t>
      </w:r>
      <w:r w:rsidRPr="00666914">
        <w:rPr>
          <w:rStyle w:val="Odkaznapoznmkupodiarou"/>
          <w:b/>
        </w:rPr>
        <w:footnoteReference w:id="383"/>
      </w:r>
      <w:r w:rsidRPr="00666914">
        <w:rPr>
          <w:b/>
        </w:rPr>
        <w:t xml:space="preserve">. </w:t>
      </w:r>
      <w:r w:rsidRPr="00666914">
        <w:t>Ako efektívnejšie riešenie odstránenia nesúladu medzi zložením majetku sporiteľov a ich časovým horizontom sporenia vníma realizáciu opatrenia č. 15 a 17.</w:t>
      </w:r>
    </w:p>
    <w:p w14:paraId="155B2DFE" w14:textId="6F4C2826" w:rsidR="00E66F49" w:rsidRPr="00666914" w:rsidRDefault="00E66F49" w:rsidP="005A043B">
      <w:pPr>
        <w:spacing w:after="0"/>
        <w:rPr>
          <w:b/>
        </w:rPr>
      </w:pPr>
      <w:r w:rsidRPr="00666914">
        <w:t xml:space="preserve">Vzhľadom na vypracovanú analýzu sa opatrenie k </w:t>
      </w:r>
      <w:r w:rsidRPr="00666914">
        <w:rPr>
          <w:b/>
        </w:rPr>
        <w:t>31.12.2019 plní čiastočne.</w:t>
      </w:r>
    </w:p>
    <w:p w14:paraId="66002703" w14:textId="77777777" w:rsidR="00E66F49" w:rsidRPr="00666914" w:rsidRDefault="00E66F49" w:rsidP="00CD4715">
      <w:pPr>
        <w:spacing w:after="0"/>
      </w:pPr>
    </w:p>
    <w:p w14:paraId="2EE591B5" w14:textId="77777777" w:rsidR="00E66F49" w:rsidRPr="00666914" w:rsidRDefault="00E66F49" w:rsidP="00131B23">
      <w:pPr>
        <w:numPr>
          <w:ilvl w:val="0"/>
          <w:numId w:val="7"/>
        </w:numPr>
        <w:contextualSpacing/>
      </w:pPr>
      <w:r w:rsidRPr="00666914">
        <w:rPr>
          <w:b/>
          <w:u w:val="single"/>
        </w:rPr>
        <w:lastRenderedPageBreak/>
        <w:t>Zlepšenie informovanosti klientov II. a III. piliera o výnosoch, výnosoch v iných fondoch, rozloženia úspor vo fondoch, porovnanie so zahraničnými fondmi</w:t>
      </w:r>
    </w:p>
    <w:p w14:paraId="38138AA5" w14:textId="77777777" w:rsidR="00E66F49" w:rsidRPr="00666914" w:rsidRDefault="00E66F49" w:rsidP="00CD4715">
      <w:pPr>
        <w:contextualSpacing/>
        <w:rPr>
          <w:b/>
          <w:u w:val="single"/>
        </w:rPr>
      </w:pPr>
    </w:p>
    <w:p w14:paraId="60BAB721" w14:textId="3E22C1E5" w:rsidR="00E66F49" w:rsidRPr="00666914" w:rsidRDefault="00E66F49" w:rsidP="00D27F91">
      <w:r w:rsidRPr="00666914">
        <w:rPr>
          <w:b/>
        </w:rPr>
        <w:t xml:space="preserve">Zlepšenie informovanosti účastníkov sporenia o výnosoch v III. pilieri mala počas roka 2019 podporiť aj schválená novela zákona č. 650/2004 Z. z. o doplnkovom dôchodkovom sporení z roku 2018. </w:t>
      </w:r>
      <w:r w:rsidRPr="00666914">
        <w:t xml:space="preserve">Zároveň v súlade s vyhlásenými opatreniami MPSVR SR č. 295/2018 a č. 296/2018 boli od 01/2019 pre lepšiu informovanosť sporiteľov upravené aj vzory výpisov z osobného účtu a výkazov v DDS. Okrem zlepšenia vysvetlenia súvislostí medzi vlastnými príspevkami sporiteľa, príspevkami zamestnávateľa a vybraným príspevkovým DDF </w:t>
      </w:r>
      <w:r w:rsidR="002D50FD" w:rsidRPr="00666914">
        <w:t xml:space="preserve">ponúka </w:t>
      </w:r>
      <w:r w:rsidRPr="00666914">
        <w:t>nová forma výpisov aj alternatívne prognózy v prípade zmeny mesačného príspevku či zmene DDF s potenciálom dosahovania vyšších výnosov.</w:t>
      </w:r>
    </w:p>
    <w:p w14:paraId="761048FF" w14:textId="53C57567" w:rsidR="00E66F49" w:rsidRPr="00666914" w:rsidRDefault="00E66F49" w:rsidP="00D27F91">
      <w:pPr>
        <w:spacing w:after="0"/>
      </w:pPr>
      <w:r w:rsidRPr="00666914">
        <w:rPr>
          <w:b/>
        </w:rPr>
        <w:t>K zmene rozloženia</w:t>
      </w:r>
      <w:r w:rsidRPr="00666914">
        <w:t xml:space="preserve"> </w:t>
      </w:r>
      <w:r w:rsidRPr="00666914">
        <w:rPr>
          <w:b/>
        </w:rPr>
        <w:t>majetku účastníkov medzi jednotlivými doplnkovými DF v III. pilieri, ako jedným z možných efektov zvýšenia informovanosti, došlo počas roka 2019 čiastočne.</w:t>
      </w:r>
      <w:r w:rsidRPr="00666914">
        <w:t xml:space="preserve"> Cieľ pre rok 2019 sa podarilo splniť len pri vyvážených fondoch (VF), ktorých podiel dosiahol úroveň 52 %. Treba však spomenúť, že do skupiny rastových fondov (RF) pribudli v roku 2019 dva nové indexové fondy</w:t>
      </w:r>
      <w:r w:rsidRPr="00666914">
        <w:rPr>
          <w:rStyle w:val="Odkaznapoznmkupodiarou"/>
        </w:rPr>
        <w:footnoteReference w:id="384"/>
      </w:r>
      <w:r w:rsidRPr="00666914">
        <w:t>, ktorých relatívne malá veľkosť v porovnaní s ostatnými fondmi zatiaľ nezmenila rozloženie majetku medzi jednotlivými rizikovými skupinami fondov.</w:t>
      </w:r>
    </w:p>
    <w:p w14:paraId="69CD60EF" w14:textId="77777777" w:rsidR="00E66F49" w:rsidRPr="00666914" w:rsidRDefault="00E66F49" w:rsidP="00D27F91">
      <w:pPr>
        <w:spacing w:after="0"/>
      </w:pPr>
    </w:p>
    <w:tbl>
      <w:tblPr>
        <w:tblW w:w="9280" w:type="dxa"/>
        <w:tblCellMar>
          <w:left w:w="70" w:type="dxa"/>
          <w:right w:w="70" w:type="dxa"/>
        </w:tblCellMar>
        <w:tblLook w:val="04A0" w:firstRow="1" w:lastRow="0" w:firstColumn="1" w:lastColumn="0" w:noHBand="0" w:noVBand="1"/>
      </w:tblPr>
      <w:tblGrid>
        <w:gridCol w:w="2816"/>
        <w:gridCol w:w="2429"/>
        <w:gridCol w:w="2268"/>
        <w:gridCol w:w="1767"/>
      </w:tblGrid>
      <w:tr w:rsidR="00E66F49" w:rsidRPr="00666914" w14:paraId="0C38337F" w14:textId="77777777" w:rsidTr="00D27F91">
        <w:trPr>
          <w:trHeight w:val="330"/>
        </w:trPr>
        <w:tc>
          <w:tcPr>
            <w:tcW w:w="9280" w:type="dxa"/>
            <w:gridSpan w:val="4"/>
            <w:tcBorders>
              <w:top w:val="nil"/>
              <w:left w:val="nil"/>
              <w:bottom w:val="single" w:sz="4" w:space="0" w:color="auto"/>
              <w:right w:val="nil"/>
            </w:tcBorders>
            <w:shd w:val="clear" w:color="auto" w:fill="auto"/>
            <w:noWrap/>
            <w:vAlign w:val="center"/>
            <w:hideMark/>
          </w:tcPr>
          <w:p w14:paraId="070CAC3C" w14:textId="2395AE96" w:rsidR="00E66F49" w:rsidRPr="00666914" w:rsidRDefault="00E66F49" w:rsidP="00D27F91">
            <w:pPr>
              <w:spacing w:after="0"/>
              <w:jc w:val="left"/>
              <w:rPr>
                <w:rFonts w:eastAsia="Times New Roman" w:cs="Calibri"/>
                <w:b/>
                <w:bCs/>
                <w:color w:val="000000"/>
                <w:sz w:val="20"/>
                <w:szCs w:val="20"/>
                <w:lang w:eastAsia="sk-SK"/>
              </w:rPr>
            </w:pPr>
            <w:bookmarkStart w:id="393" w:name="_Toc38447750"/>
            <w:r w:rsidRPr="00666914">
              <w:rPr>
                <w:rFonts w:eastAsia="Times New Roman" w:cs="Calibri"/>
                <w:b/>
                <w:bCs/>
                <w:color w:val="000000"/>
                <w:sz w:val="20"/>
                <w:szCs w:val="20"/>
                <w:lang w:eastAsia="sk-SK"/>
              </w:rPr>
              <w:t xml:space="preserve">Tabuľka </w:t>
            </w:r>
            <w:r w:rsidRPr="00666914">
              <w:rPr>
                <w:rFonts w:eastAsia="Times New Roman" w:cs="Calibri"/>
                <w:b/>
                <w:bCs/>
                <w:color w:val="000000"/>
                <w:sz w:val="20"/>
                <w:szCs w:val="20"/>
                <w:lang w:eastAsia="sk-SK"/>
              </w:rPr>
              <w:fldChar w:fldCharType="begin"/>
            </w:r>
            <w:r w:rsidRPr="00666914">
              <w:rPr>
                <w:rFonts w:eastAsia="Times New Roman" w:cs="Calibri"/>
                <w:b/>
                <w:bCs/>
                <w:color w:val="000000"/>
                <w:sz w:val="20"/>
                <w:szCs w:val="20"/>
                <w:lang w:eastAsia="sk-SK"/>
              </w:rPr>
              <w:instrText xml:space="preserve"> SEQ Tabuľka \* ARABIC \* MERGEFORMAT </w:instrText>
            </w:r>
            <w:r w:rsidRPr="00666914">
              <w:rPr>
                <w:rFonts w:eastAsia="Times New Roman" w:cs="Calibri"/>
                <w:b/>
                <w:bCs/>
                <w:color w:val="000000"/>
                <w:sz w:val="20"/>
                <w:szCs w:val="20"/>
                <w:lang w:eastAsia="sk-SK"/>
              </w:rPr>
              <w:fldChar w:fldCharType="separate"/>
            </w:r>
            <w:r w:rsidR="005A7304">
              <w:rPr>
                <w:rFonts w:eastAsia="Times New Roman" w:cs="Calibri"/>
                <w:b/>
                <w:bCs/>
                <w:noProof/>
                <w:color w:val="000000"/>
                <w:sz w:val="20"/>
                <w:szCs w:val="20"/>
                <w:lang w:eastAsia="sk-SK"/>
              </w:rPr>
              <w:t>89</w:t>
            </w:r>
            <w:r w:rsidRPr="00666914">
              <w:rPr>
                <w:rFonts w:eastAsia="Times New Roman" w:cs="Calibri"/>
                <w:b/>
                <w:bCs/>
                <w:color w:val="000000"/>
                <w:sz w:val="20"/>
                <w:szCs w:val="20"/>
                <w:lang w:eastAsia="sk-SK"/>
              </w:rPr>
              <w:fldChar w:fldCharType="end"/>
            </w:r>
            <w:r w:rsidRPr="00666914">
              <w:rPr>
                <w:rFonts w:eastAsia="Times New Roman" w:cs="Calibri"/>
                <w:b/>
                <w:bCs/>
                <w:color w:val="000000"/>
                <w:sz w:val="20"/>
                <w:szCs w:val="20"/>
                <w:lang w:eastAsia="sk-SK"/>
              </w:rPr>
              <w:t>: Rozloženie majetku účastníkov medzi príspevkovými doplnkovými dôchodkovými fondmi</w:t>
            </w:r>
            <w:r w:rsidRPr="00666914" w:rsidDel="005107B7">
              <w:rPr>
                <w:rFonts w:eastAsia="Times New Roman" w:cs="Calibri"/>
                <w:b/>
                <w:bCs/>
                <w:color w:val="000000"/>
                <w:sz w:val="20"/>
                <w:szCs w:val="20"/>
                <w:lang w:eastAsia="sk-SK"/>
              </w:rPr>
              <w:t xml:space="preserve"> </w:t>
            </w:r>
            <w:r w:rsidRPr="00666914">
              <w:rPr>
                <w:rFonts w:eastAsia="Times New Roman" w:cs="Calibri"/>
                <w:b/>
                <w:bCs/>
                <w:color w:val="000000"/>
                <w:sz w:val="20"/>
                <w:szCs w:val="20"/>
                <w:lang w:eastAsia="sk-SK"/>
              </w:rPr>
              <w:t>(III. pilier)</w:t>
            </w:r>
            <w:r w:rsidRPr="00666914">
              <w:rPr>
                <w:rStyle w:val="Odkaznapoznmkupodiarou"/>
                <w:rFonts w:eastAsia="Times New Roman" w:cs="Calibri"/>
                <w:b/>
                <w:bCs/>
                <w:color w:val="000000"/>
                <w:sz w:val="20"/>
                <w:szCs w:val="20"/>
                <w:lang w:eastAsia="sk-SK"/>
              </w:rPr>
              <w:footnoteReference w:id="385"/>
            </w:r>
            <w:bookmarkEnd w:id="393"/>
          </w:p>
        </w:tc>
      </w:tr>
      <w:tr w:rsidR="00E66F49" w:rsidRPr="00666914" w14:paraId="7358F80B" w14:textId="77777777" w:rsidTr="00D27F91">
        <w:trPr>
          <w:trHeight w:val="405"/>
        </w:trPr>
        <w:tc>
          <w:tcPr>
            <w:tcW w:w="2816" w:type="dxa"/>
            <w:tcBorders>
              <w:top w:val="single" w:sz="4" w:space="0" w:color="auto"/>
              <w:bottom w:val="single" w:sz="4" w:space="0" w:color="auto"/>
            </w:tcBorders>
            <w:shd w:val="clear" w:color="auto" w:fill="auto"/>
            <w:noWrap/>
            <w:vAlign w:val="center"/>
            <w:hideMark/>
          </w:tcPr>
          <w:p w14:paraId="631C3D5E"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Merateľný ukazovateľ</w:t>
            </w:r>
          </w:p>
        </w:tc>
        <w:tc>
          <w:tcPr>
            <w:tcW w:w="2429" w:type="dxa"/>
            <w:tcBorders>
              <w:top w:val="single" w:sz="4" w:space="0" w:color="auto"/>
              <w:bottom w:val="single" w:sz="4" w:space="0" w:color="auto"/>
            </w:tcBorders>
            <w:shd w:val="clear" w:color="auto" w:fill="auto"/>
            <w:noWrap/>
            <w:vAlign w:val="center"/>
            <w:hideMark/>
          </w:tcPr>
          <w:p w14:paraId="4D6B1BC2"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Východiskový hodnota 2018</w:t>
            </w:r>
          </w:p>
        </w:tc>
        <w:tc>
          <w:tcPr>
            <w:tcW w:w="2268" w:type="dxa"/>
            <w:tcBorders>
              <w:top w:val="single" w:sz="4" w:space="0" w:color="auto"/>
              <w:bottom w:val="single" w:sz="4" w:space="0" w:color="auto"/>
            </w:tcBorders>
            <w:shd w:val="clear" w:color="auto" w:fill="auto"/>
            <w:noWrap/>
            <w:vAlign w:val="center"/>
            <w:hideMark/>
          </w:tcPr>
          <w:p w14:paraId="2114CECD"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Cieľ 2019</w:t>
            </w:r>
          </w:p>
        </w:tc>
        <w:tc>
          <w:tcPr>
            <w:tcW w:w="1767" w:type="dxa"/>
            <w:tcBorders>
              <w:top w:val="single" w:sz="4" w:space="0" w:color="auto"/>
              <w:bottom w:val="single" w:sz="4" w:space="0" w:color="auto"/>
            </w:tcBorders>
            <w:shd w:val="clear" w:color="auto" w:fill="auto"/>
            <w:noWrap/>
            <w:vAlign w:val="center"/>
            <w:hideMark/>
          </w:tcPr>
          <w:p w14:paraId="364E4279"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Skutočnosť 2019</w:t>
            </w:r>
          </w:p>
        </w:tc>
      </w:tr>
      <w:tr w:rsidR="00E66F49" w:rsidRPr="00666914" w14:paraId="53DD2A0E" w14:textId="77777777" w:rsidTr="00D27F91">
        <w:trPr>
          <w:trHeight w:val="405"/>
        </w:trPr>
        <w:tc>
          <w:tcPr>
            <w:tcW w:w="2816" w:type="dxa"/>
            <w:vMerge w:val="restart"/>
            <w:tcBorders>
              <w:top w:val="single" w:sz="4" w:space="0" w:color="auto"/>
            </w:tcBorders>
            <w:shd w:val="clear" w:color="auto" w:fill="auto"/>
            <w:vAlign w:val="center"/>
            <w:hideMark/>
          </w:tcPr>
          <w:p w14:paraId="3730A0E7"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Zmena rozloženia majetku účastníkov medzi jednotlivými doplnkovými dôchodkovými fondmi  v III. pilieri</w:t>
            </w:r>
          </w:p>
        </w:tc>
        <w:tc>
          <w:tcPr>
            <w:tcW w:w="2429" w:type="dxa"/>
            <w:tcBorders>
              <w:top w:val="single" w:sz="4" w:space="0" w:color="auto"/>
            </w:tcBorders>
            <w:shd w:val="clear" w:color="auto" w:fill="auto"/>
            <w:noWrap/>
            <w:vAlign w:val="center"/>
            <w:hideMark/>
          </w:tcPr>
          <w:p w14:paraId="5F998EC4"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KF 36 %</w:t>
            </w:r>
          </w:p>
        </w:tc>
        <w:tc>
          <w:tcPr>
            <w:tcW w:w="2268" w:type="dxa"/>
            <w:tcBorders>
              <w:top w:val="single" w:sz="4" w:space="0" w:color="auto"/>
            </w:tcBorders>
            <w:shd w:val="clear" w:color="auto" w:fill="auto"/>
            <w:noWrap/>
            <w:vAlign w:val="center"/>
            <w:hideMark/>
          </w:tcPr>
          <w:p w14:paraId="2106CEAB"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KF 33 %</w:t>
            </w:r>
          </w:p>
        </w:tc>
        <w:tc>
          <w:tcPr>
            <w:tcW w:w="1767" w:type="dxa"/>
            <w:tcBorders>
              <w:top w:val="single" w:sz="4" w:space="0" w:color="auto"/>
            </w:tcBorders>
            <w:shd w:val="clear" w:color="auto" w:fill="auto"/>
            <w:noWrap/>
            <w:vAlign w:val="center"/>
            <w:hideMark/>
          </w:tcPr>
          <w:p w14:paraId="1D334B51"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KF 34 %</w:t>
            </w:r>
          </w:p>
        </w:tc>
      </w:tr>
      <w:tr w:rsidR="00E66F49" w:rsidRPr="00666914" w14:paraId="7A952DB0" w14:textId="77777777" w:rsidTr="00D27F91">
        <w:trPr>
          <w:trHeight w:val="405"/>
        </w:trPr>
        <w:tc>
          <w:tcPr>
            <w:tcW w:w="2816" w:type="dxa"/>
            <w:vMerge/>
            <w:tcBorders>
              <w:top w:val="nil"/>
            </w:tcBorders>
            <w:vAlign w:val="center"/>
            <w:hideMark/>
          </w:tcPr>
          <w:p w14:paraId="66A34DCD" w14:textId="77777777" w:rsidR="00E66F49" w:rsidRPr="00666914" w:rsidRDefault="00E66F49" w:rsidP="00D27F91">
            <w:pPr>
              <w:spacing w:after="0"/>
              <w:jc w:val="left"/>
              <w:rPr>
                <w:rFonts w:eastAsia="Times New Roman" w:cs="Calibri"/>
                <w:b/>
                <w:bCs/>
                <w:color w:val="000000"/>
                <w:sz w:val="20"/>
                <w:szCs w:val="20"/>
                <w:lang w:eastAsia="sk-SK"/>
              </w:rPr>
            </w:pPr>
          </w:p>
        </w:tc>
        <w:tc>
          <w:tcPr>
            <w:tcW w:w="2429" w:type="dxa"/>
            <w:tcBorders>
              <w:top w:val="nil"/>
            </w:tcBorders>
            <w:shd w:val="clear" w:color="auto" w:fill="auto"/>
            <w:noWrap/>
            <w:vAlign w:val="center"/>
            <w:hideMark/>
          </w:tcPr>
          <w:p w14:paraId="21EC8ED6"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VF 53 %</w:t>
            </w:r>
          </w:p>
        </w:tc>
        <w:tc>
          <w:tcPr>
            <w:tcW w:w="2268" w:type="dxa"/>
            <w:tcBorders>
              <w:top w:val="nil"/>
            </w:tcBorders>
            <w:shd w:val="clear" w:color="auto" w:fill="auto"/>
            <w:noWrap/>
            <w:vAlign w:val="center"/>
            <w:hideMark/>
          </w:tcPr>
          <w:p w14:paraId="0B3067A9"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VF 52 %</w:t>
            </w:r>
          </w:p>
        </w:tc>
        <w:tc>
          <w:tcPr>
            <w:tcW w:w="1767" w:type="dxa"/>
            <w:tcBorders>
              <w:top w:val="nil"/>
            </w:tcBorders>
            <w:shd w:val="clear" w:color="auto" w:fill="auto"/>
            <w:noWrap/>
            <w:vAlign w:val="center"/>
            <w:hideMark/>
          </w:tcPr>
          <w:p w14:paraId="5B056F8C"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VF 52 %</w:t>
            </w:r>
          </w:p>
        </w:tc>
      </w:tr>
      <w:tr w:rsidR="00E66F49" w:rsidRPr="00666914" w14:paraId="77D0B2A3" w14:textId="77777777" w:rsidTr="00D27F91">
        <w:trPr>
          <w:trHeight w:val="405"/>
        </w:trPr>
        <w:tc>
          <w:tcPr>
            <w:tcW w:w="2816" w:type="dxa"/>
            <w:vMerge/>
            <w:tcBorders>
              <w:top w:val="nil"/>
              <w:bottom w:val="single" w:sz="4" w:space="0" w:color="auto"/>
            </w:tcBorders>
            <w:vAlign w:val="center"/>
            <w:hideMark/>
          </w:tcPr>
          <w:p w14:paraId="4806C55A" w14:textId="77777777" w:rsidR="00E66F49" w:rsidRPr="00666914" w:rsidRDefault="00E66F49" w:rsidP="00D27F91">
            <w:pPr>
              <w:spacing w:after="0"/>
              <w:jc w:val="left"/>
              <w:rPr>
                <w:rFonts w:eastAsia="Times New Roman" w:cs="Calibri"/>
                <w:b/>
                <w:bCs/>
                <w:color w:val="000000"/>
                <w:sz w:val="20"/>
                <w:szCs w:val="20"/>
                <w:lang w:eastAsia="sk-SK"/>
              </w:rPr>
            </w:pPr>
          </w:p>
        </w:tc>
        <w:tc>
          <w:tcPr>
            <w:tcW w:w="2429" w:type="dxa"/>
            <w:tcBorders>
              <w:top w:val="nil"/>
              <w:bottom w:val="single" w:sz="4" w:space="0" w:color="auto"/>
            </w:tcBorders>
            <w:shd w:val="clear" w:color="auto" w:fill="auto"/>
            <w:noWrap/>
            <w:vAlign w:val="center"/>
            <w:hideMark/>
          </w:tcPr>
          <w:p w14:paraId="46CDF6D2"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RF 11 %</w:t>
            </w:r>
          </w:p>
        </w:tc>
        <w:tc>
          <w:tcPr>
            <w:tcW w:w="2268" w:type="dxa"/>
            <w:tcBorders>
              <w:top w:val="nil"/>
              <w:bottom w:val="single" w:sz="4" w:space="0" w:color="auto"/>
            </w:tcBorders>
            <w:shd w:val="clear" w:color="auto" w:fill="auto"/>
            <w:noWrap/>
            <w:vAlign w:val="center"/>
            <w:hideMark/>
          </w:tcPr>
          <w:p w14:paraId="6682AA0F"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RF 15 %</w:t>
            </w:r>
          </w:p>
        </w:tc>
        <w:tc>
          <w:tcPr>
            <w:tcW w:w="1767" w:type="dxa"/>
            <w:tcBorders>
              <w:top w:val="nil"/>
              <w:bottom w:val="single" w:sz="4" w:space="0" w:color="auto"/>
            </w:tcBorders>
            <w:shd w:val="clear" w:color="auto" w:fill="auto"/>
            <w:noWrap/>
            <w:vAlign w:val="center"/>
            <w:hideMark/>
          </w:tcPr>
          <w:p w14:paraId="3DC2DE23"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RF 14 %</w:t>
            </w:r>
          </w:p>
        </w:tc>
      </w:tr>
      <w:tr w:rsidR="00E66F49" w:rsidRPr="00666914" w14:paraId="799F3BD3" w14:textId="77777777" w:rsidTr="00D27F91">
        <w:trPr>
          <w:trHeight w:val="330"/>
        </w:trPr>
        <w:tc>
          <w:tcPr>
            <w:tcW w:w="9280" w:type="dxa"/>
            <w:gridSpan w:val="4"/>
            <w:tcBorders>
              <w:top w:val="single" w:sz="4" w:space="0" w:color="auto"/>
              <w:left w:val="nil"/>
              <w:bottom w:val="nil"/>
              <w:right w:val="nil"/>
            </w:tcBorders>
            <w:shd w:val="clear" w:color="auto" w:fill="auto"/>
            <w:noWrap/>
            <w:vAlign w:val="bottom"/>
            <w:hideMark/>
          </w:tcPr>
          <w:p w14:paraId="1C6213D3" w14:textId="77777777" w:rsidR="00E66F49" w:rsidRPr="00666914" w:rsidRDefault="00E66F49" w:rsidP="00D27F91">
            <w:pPr>
              <w:spacing w:after="0"/>
              <w:jc w:val="right"/>
              <w:rPr>
                <w:rFonts w:eastAsia="Times New Roman" w:cs="Calibri"/>
                <w:i/>
                <w:iCs/>
                <w:color w:val="000000"/>
                <w:sz w:val="18"/>
                <w:szCs w:val="18"/>
                <w:lang w:eastAsia="sk-SK"/>
              </w:rPr>
            </w:pPr>
            <w:r w:rsidRPr="00666914">
              <w:rPr>
                <w:rFonts w:eastAsia="Times New Roman" w:cs="Calibri"/>
                <w:i/>
                <w:iCs/>
                <w:color w:val="000000"/>
                <w:sz w:val="18"/>
                <w:szCs w:val="18"/>
                <w:lang w:eastAsia="sk-SK"/>
              </w:rPr>
              <w:t xml:space="preserve">Zdroj: MPSVR SR </w:t>
            </w:r>
          </w:p>
        </w:tc>
      </w:tr>
    </w:tbl>
    <w:p w14:paraId="6CC6F401" w14:textId="77777777" w:rsidR="00E66F49" w:rsidRPr="00666914" w:rsidRDefault="00E66F49" w:rsidP="00D27F91">
      <w:pPr>
        <w:spacing w:after="0"/>
        <w:rPr>
          <w:sz w:val="18"/>
          <w:szCs w:val="18"/>
        </w:rPr>
      </w:pPr>
    </w:p>
    <w:p w14:paraId="278BA900" w14:textId="191ABEF0" w:rsidR="00E66F49" w:rsidRPr="00666914" w:rsidRDefault="00E66F49" w:rsidP="00D27F91">
      <w:r w:rsidRPr="00666914">
        <w:rPr>
          <w:b/>
        </w:rPr>
        <w:t>V oblasti II. piliera má k zlepšeniu informovanosti od roka 2021 prispieť schválená novela zákona č. 43/2004 Z. z. o starobnom dôchodkovom sporení z roka 2019</w:t>
      </w:r>
      <w:r w:rsidRPr="00666914">
        <w:rPr>
          <w:rStyle w:val="Odkaznapoznmkupodiarou"/>
          <w:b/>
        </w:rPr>
        <w:footnoteReference w:id="386"/>
      </w:r>
      <w:r w:rsidRPr="00666914">
        <w:rPr>
          <w:b/>
        </w:rPr>
        <w:t>.</w:t>
      </w:r>
      <w:r w:rsidRPr="00666914">
        <w:t xml:space="preserve"> Počas 2H2019  MPSVR SR pripravovalo prostredníctvom konzultácií s NBS a Asociáciou dôchodcovských správcovských spoločností návrhy 3 opatrení:</w:t>
      </w:r>
    </w:p>
    <w:p w14:paraId="33DF285D" w14:textId="2CCE75EA" w:rsidR="00E66F49" w:rsidRPr="00666914" w:rsidRDefault="00E66F49" w:rsidP="00131B23">
      <w:pPr>
        <w:pStyle w:val="Odsekzoznamu"/>
        <w:numPr>
          <w:ilvl w:val="0"/>
          <w:numId w:val="23"/>
        </w:numPr>
      </w:pPr>
      <w:r w:rsidRPr="00666914">
        <w:rPr>
          <w:i/>
        </w:rPr>
        <w:t>opatrenie MPSVR SR, ktorým sa ustanovuje vzor výpisu z osobného dôchodkového účtu sporiteľa</w:t>
      </w:r>
      <w:r w:rsidRPr="00666914">
        <w:t xml:space="preserve"> -súčasťou výpisu by mali byť individualizované projekcie dôchodkov vychádzajúce zo súčasného rozloženia majetku sporiteľa. Sporiteľom so suboptimálnym rozložením majetku </w:t>
      </w:r>
      <w:r w:rsidR="002A586C" w:rsidRPr="00666914">
        <w:t xml:space="preserve">znázornia </w:t>
      </w:r>
      <w:r w:rsidRPr="00666914">
        <w:t>DSS prostredníctvom výpisu aj alternatívnu prognózu dôchodku za predpokladu zmenenej investičnej stratégie alebo platenia dobrovoľných príspevkov na starobné dôchodkové sporenie. Vo výpise bude uvádzaná výkonnosť dôchodkových fondov za predchádzajúci rok ako aj kumulatívne za posledných 10 rokov.</w:t>
      </w:r>
    </w:p>
    <w:p w14:paraId="131C3694" w14:textId="1ABF8886" w:rsidR="00E66F49" w:rsidRPr="00666914" w:rsidRDefault="00E66F49" w:rsidP="00131B23">
      <w:pPr>
        <w:pStyle w:val="Odsekzoznamu"/>
        <w:numPr>
          <w:ilvl w:val="0"/>
          <w:numId w:val="23"/>
        </w:numPr>
      </w:pPr>
      <w:r w:rsidRPr="00666914">
        <w:rPr>
          <w:i/>
        </w:rPr>
        <w:t>opatrenie MPSVR SR, ktorým sa ustanovuje obsah, štruktúra, forma, podmienky a spôsob priebežnej aktualizácie a lehoty na zverejnenie kľúčových informácií o dôchodkovom fonde - s</w:t>
      </w:r>
      <w:r w:rsidRPr="00666914">
        <w:t>účasťou kľúčových informácií o dôchodkovom fonde budú aj jeho investičné ciele a riziká z nich vyplývajúce. Bude zavedená povinná kategorizácia DF z pohľadu výnosovo-rizikového profilu, čo umožní aj ich porovnávanie s ostatnými DF.</w:t>
      </w:r>
    </w:p>
    <w:p w14:paraId="3C66877C" w14:textId="77777777" w:rsidR="00E66F49" w:rsidRPr="00666914" w:rsidRDefault="00E66F49" w:rsidP="00131B23">
      <w:pPr>
        <w:pStyle w:val="Odsekzoznamu"/>
        <w:numPr>
          <w:ilvl w:val="0"/>
          <w:numId w:val="23"/>
        </w:numPr>
      </w:pPr>
      <w:r w:rsidRPr="00666914">
        <w:rPr>
          <w:i/>
        </w:rPr>
        <w:lastRenderedPageBreak/>
        <w:t>opatrenie MPSVR SR o informácii o dôchodkoch zo starobného dôchodkového sporenia -</w:t>
      </w:r>
      <w:r w:rsidRPr="00666914">
        <w:t xml:space="preserve"> predbežné informácie k všetkým 3 opatreniam boli zverejnené už v 04/2019</w:t>
      </w:r>
      <w:r w:rsidRPr="00666914">
        <w:rPr>
          <w:rStyle w:val="Odkaznapoznmkupodiarou"/>
        </w:rPr>
        <w:footnoteReference w:id="387"/>
      </w:r>
      <w:r w:rsidRPr="00666914">
        <w:t>, do MPK boli predložené v 01/2020</w:t>
      </w:r>
      <w:r w:rsidRPr="00666914">
        <w:rPr>
          <w:rStyle w:val="Odkaznapoznmkupodiarou"/>
        </w:rPr>
        <w:footnoteReference w:id="388"/>
      </w:r>
      <w:r w:rsidRPr="00666914">
        <w:t>. Dňa 4. marca 2020 boli predložené na rokovanie Stálej pracovnej komisie LRV pre finančné právo.</w:t>
      </w:r>
    </w:p>
    <w:p w14:paraId="446870F8" w14:textId="7DECB501" w:rsidR="00E66F49" w:rsidRPr="00666914" w:rsidRDefault="00E66F49" w:rsidP="00D27F91">
      <w:r w:rsidRPr="00666914">
        <w:rPr>
          <w:b/>
        </w:rPr>
        <w:t xml:space="preserve">Opatrenie sa k 31.12.2019 </w:t>
      </w:r>
      <w:r w:rsidR="002A586C" w:rsidRPr="00666914">
        <w:rPr>
          <w:b/>
        </w:rPr>
        <w:t xml:space="preserve">plní </w:t>
      </w:r>
      <w:r w:rsidRPr="00666914">
        <w:rPr>
          <w:b/>
        </w:rPr>
        <w:t>čiastočne.</w:t>
      </w:r>
    </w:p>
    <w:p w14:paraId="75C2BA86" w14:textId="290F2799" w:rsidR="00E66F49" w:rsidRPr="00666914" w:rsidRDefault="00E66F49" w:rsidP="00D27F91">
      <w:pPr>
        <w:spacing w:after="0"/>
      </w:pPr>
      <w:r w:rsidRPr="00666914">
        <w:t>IJ upozorňuje v rámci plnenia úlohy na spustený projekt „oranžovej obálky“, ktorý od 01/2020 predstavuje alternatívny spôsob zvyšovania informovanosti sporiteľov.</w:t>
      </w:r>
    </w:p>
    <w:p w14:paraId="4A7A9E1D" w14:textId="77777777" w:rsidR="00E66F49" w:rsidRPr="00666914" w:rsidRDefault="00E66F49" w:rsidP="00D27F91">
      <w:pPr>
        <w:spacing w:after="0"/>
        <w:rPr>
          <w:color w:val="C45911" w:themeColor="accent2" w:themeShade="BF"/>
        </w:rPr>
      </w:pPr>
    </w:p>
    <w:p w14:paraId="5D10AD0E" w14:textId="6C7D6F8E" w:rsidR="00E66F49" w:rsidRPr="00666914" w:rsidRDefault="00E66F49" w:rsidP="00D27F91">
      <w:pPr>
        <w:pStyle w:val="box"/>
      </w:pPr>
      <w:bookmarkStart w:id="394" w:name="_Toc38390077"/>
      <w:r w:rsidRPr="00666914">
        <w:t xml:space="preserve">Box </w:t>
      </w:r>
      <w:r w:rsidR="00032A13">
        <w:rPr>
          <w:noProof/>
        </w:rPr>
        <w:fldChar w:fldCharType="begin"/>
      </w:r>
      <w:r w:rsidR="00032A13">
        <w:rPr>
          <w:noProof/>
        </w:rPr>
        <w:instrText xml:space="preserve"> SEQ Box \* ARABIC \* MERGEFORMAT </w:instrText>
      </w:r>
      <w:r w:rsidR="00032A13">
        <w:rPr>
          <w:noProof/>
        </w:rPr>
        <w:fldChar w:fldCharType="separate"/>
      </w:r>
      <w:r w:rsidR="005A7304">
        <w:rPr>
          <w:noProof/>
        </w:rPr>
        <w:t>3</w:t>
      </w:r>
      <w:r w:rsidR="00032A13">
        <w:rPr>
          <w:noProof/>
        </w:rPr>
        <w:fldChar w:fldCharType="end"/>
      </w:r>
      <w:r w:rsidRPr="00666914">
        <w:t>: Projekt Oranžová obálka</w:t>
      </w:r>
      <w:bookmarkEnd w:id="394"/>
      <w:r w:rsidRPr="00666914">
        <w:t xml:space="preserve"> </w:t>
      </w:r>
    </w:p>
    <w:tbl>
      <w:tblPr>
        <w:tblStyle w:val="Mriekatabuky3"/>
        <w:tblW w:w="5000" w:type="pct"/>
        <w:shd w:val="clear" w:color="auto" w:fill="BFBFBF" w:themeFill="background1" w:themeFillShade="BF"/>
        <w:tblLook w:val="04A0" w:firstRow="1" w:lastRow="0" w:firstColumn="1" w:lastColumn="0" w:noHBand="0" w:noVBand="1"/>
      </w:tblPr>
      <w:tblGrid>
        <w:gridCol w:w="9204"/>
      </w:tblGrid>
      <w:tr w:rsidR="00E66F49" w:rsidRPr="00666914" w14:paraId="351FA80F" w14:textId="77777777" w:rsidTr="00D27F91">
        <w:trPr>
          <w:trHeight w:val="566"/>
        </w:trPr>
        <w:tc>
          <w:tcPr>
            <w:tcW w:w="5000" w:type="pct"/>
            <w:shd w:val="clear" w:color="auto" w:fill="BFBFBF" w:themeFill="background1" w:themeFillShade="BF"/>
          </w:tcPr>
          <w:p w14:paraId="63CBC8DA" w14:textId="74C2DDFD" w:rsidR="00E66F49" w:rsidRPr="00666914" w:rsidRDefault="00E66F49" w:rsidP="00D27F91">
            <w:pPr>
              <w:pStyle w:val="box"/>
              <w:rPr>
                <w:rFonts w:eastAsia="Times New Roman" w:cs="Calibri"/>
                <w:b w:val="0"/>
                <w:color w:val="222222"/>
                <w:sz w:val="22"/>
                <w:lang w:eastAsia="sk-SK"/>
              </w:rPr>
            </w:pPr>
            <w:r w:rsidRPr="00666914">
              <w:rPr>
                <w:rFonts w:eastAsia="Times New Roman" w:cs="Calibri"/>
                <w:b w:val="0"/>
                <w:color w:val="222222"/>
                <w:sz w:val="22"/>
                <w:lang w:eastAsia="sk-SK"/>
              </w:rPr>
              <w:t>Oranžová obálka je online nástroj, ktorý integruje výpisy z I., II., III. a IV. piliera (dlhodobé investičné sporenie</w:t>
            </w:r>
            <w:r w:rsidRPr="00666914">
              <w:rPr>
                <w:rStyle w:val="Odkaznapoznmkupodiarou"/>
                <w:rFonts w:eastAsia="Times New Roman" w:cs="Calibri"/>
                <w:b w:val="0"/>
                <w:color w:val="222222"/>
                <w:sz w:val="22"/>
                <w:lang w:eastAsia="sk-SK"/>
              </w:rPr>
              <w:footnoteReference w:id="389"/>
            </w:r>
            <w:r w:rsidRPr="00666914">
              <w:rPr>
                <w:rFonts w:eastAsia="Times New Roman" w:cs="Calibri"/>
                <w:b w:val="0"/>
                <w:color w:val="222222"/>
                <w:sz w:val="22"/>
                <w:lang w:eastAsia="sk-SK"/>
              </w:rPr>
              <w:t>), následne umožňuje užívateľovi sledovať, ako sa vyvíja jeho dôchodkové sporenie a poskytuje mu projekciu jeho dôchodkových nárokov. Užívateľ si vie v rámci svojho konta nasimulovať zmeny stratégie dôchodkového sporenia a sledovať ich prípadný dopad na jeho budúci dôchodok. Oranžová obálka ponúka odpoveď na otázky: „Ako na tom som?“, „Ako na tom budem?“ a „Ako to zlepšiť?“</w:t>
            </w:r>
          </w:p>
          <w:p w14:paraId="1BE53A13" w14:textId="31A9BAF5" w:rsidR="00E66F49" w:rsidRPr="00666914" w:rsidRDefault="00E66F49" w:rsidP="00D27F91">
            <w:pPr>
              <w:pStyle w:val="box"/>
              <w:rPr>
                <w:rFonts w:eastAsia="Times New Roman" w:cs="Calibri"/>
                <w:b w:val="0"/>
                <w:color w:val="222222"/>
                <w:sz w:val="22"/>
                <w:lang w:eastAsia="sk-SK"/>
              </w:rPr>
            </w:pPr>
            <w:r w:rsidRPr="00666914">
              <w:rPr>
                <w:rFonts w:eastAsia="Times New Roman" w:cs="Calibri"/>
                <w:b w:val="0"/>
                <w:color w:val="222222"/>
                <w:sz w:val="22"/>
                <w:lang w:eastAsia="sk-SK"/>
              </w:rPr>
              <w:t>Projekt je výsledkom niekoľkoročného rozsiahleho výskumu a vývoja tímu vedcov, doktorandov a študentov z Ekonomickej fakulty Univerzity Mateja Bela v Banskej Bystrici, ktorí vytvorili stochastický mikrosimulačný model populácie SR, s ktorým aplikácia pracuje.</w:t>
            </w:r>
          </w:p>
          <w:p w14:paraId="43F1AD70" w14:textId="62D18E56" w:rsidR="00E66F49" w:rsidRPr="00666914" w:rsidRDefault="00E66F49" w:rsidP="00D27F91">
            <w:pPr>
              <w:pStyle w:val="box"/>
              <w:rPr>
                <w:rFonts w:eastAsia="Times New Roman" w:cs="Calibri"/>
                <w:b w:val="0"/>
                <w:color w:val="222222"/>
                <w:sz w:val="22"/>
                <w:lang w:eastAsia="sk-SK"/>
              </w:rPr>
            </w:pPr>
            <w:r w:rsidRPr="00666914">
              <w:rPr>
                <w:rFonts w:eastAsia="Times New Roman" w:cs="Calibri"/>
                <w:b w:val="0"/>
                <w:color w:val="222222"/>
                <w:sz w:val="22"/>
                <w:lang w:eastAsia="sk-SK"/>
              </w:rPr>
              <w:t>Počas roka 2019 bola Oranžová obálka testovaná na vzorke 150 skúsených užívateľov a vzorke cca 300 bežných užívateľov, kde prebehol dvojstupňový behaviorálny experiment. V 01/2020 bola spustená jej beta verzia, ktorá je určená pre širokú verejnosť. K 31.3.2020 mal portál 10 448 registrovaných užívateľov.</w:t>
            </w:r>
          </w:p>
          <w:p w14:paraId="299786EB" w14:textId="77777777" w:rsidR="00E66F49" w:rsidRPr="00666914" w:rsidRDefault="00E66F49" w:rsidP="00D27F91">
            <w:pPr>
              <w:pStyle w:val="box"/>
              <w:rPr>
                <w:rFonts w:eastAsiaTheme="majorEastAsia" w:cstheme="minorHAnsi"/>
                <w:bCs/>
                <w:iCs/>
                <w:color w:val="C45911" w:themeColor="accent2" w:themeShade="BF"/>
                <w:sz w:val="16"/>
                <w:szCs w:val="16"/>
              </w:rPr>
            </w:pPr>
            <w:r w:rsidRPr="00666914">
              <w:rPr>
                <w:rFonts w:eastAsia="Times New Roman" w:cs="Calibri"/>
                <w:b w:val="0"/>
                <w:color w:val="222222"/>
                <w:sz w:val="22"/>
                <w:lang w:eastAsia="sk-SK"/>
              </w:rPr>
              <w:t>Oranžová obálka prináša možnú alternatívu s vysokou pridanou hodnotou a nízkymi investičnými nákladmi implementácie k zlepšeniu informovanosti klientov II. a III. piliera.</w:t>
            </w:r>
          </w:p>
        </w:tc>
      </w:tr>
    </w:tbl>
    <w:p w14:paraId="1A7F1441" w14:textId="77777777" w:rsidR="00E66F49" w:rsidRPr="00666914" w:rsidRDefault="00E66F49" w:rsidP="00D27F91">
      <w:pPr>
        <w:spacing w:after="0"/>
        <w:jc w:val="right"/>
        <w:rPr>
          <w:rFonts w:eastAsiaTheme="majorEastAsia" w:cstheme="minorHAnsi"/>
          <w:bCs/>
          <w:i/>
          <w:iCs/>
          <w:sz w:val="18"/>
        </w:rPr>
      </w:pPr>
      <w:r w:rsidRPr="00666914">
        <w:rPr>
          <w:rFonts w:eastAsiaTheme="majorEastAsia" w:cstheme="minorHAnsi"/>
          <w:bCs/>
          <w:i/>
          <w:iCs/>
          <w:sz w:val="18"/>
        </w:rPr>
        <w:t xml:space="preserve"> Zdroj: Univerzita Mateja Bela, spracovanie IJ  </w:t>
      </w:r>
    </w:p>
    <w:p w14:paraId="53935900" w14:textId="77777777" w:rsidR="00E66F49" w:rsidRPr="00666914" w:rsidRDefault="00E66F49" w:rsidP="00CD4715">
      <w:pPr>
        <w:contextualSpacing/>
      </w:pPr>
    </w:p>
    <w:p w14:paraId="56CA2EC3" w14:textId="77777777" w:rsidR="00E66F49" w:rsidRPr="00666914" w:rsidRDefault="00E66F49" w:rsidP="00131B23">
      <w:pPr>
        <w:numPr>
          <w:ilvl w:val="0"/>
          <w:numId w:val="7"/>
        </w:numPr>
        <w:contextualSpacing/>
        <w:rPr>
          <w:b/>
          <w:u w:val="single"/>
        </w:rPr>
      </w:pPr>
      <w:r w:rsidRPr="00666914">
        <w:rPr>
          <w:b/>
          <w:u w:val="single"/>
        </w:rPr>
        <w:t>Zmena prerozdelenia odplaty správcom dôchodkových účtov s presunom k vyššiemu podielu odplaty naviazanej na výkon v jednotlivých fondoch</w:t>
      </w:r>
    </w:p>
    <w:p w14:paraId="2570DFE9" w14:textId="77777777" w:rsidR="00E66F49" w:rsidRPr="00666914" w:rsidRDefault="00E66F49" w:rsidP="00CD4715">
      <w:pPr>
        <w:spacing w:after="0"/>
        <w:rPr>
          <w:b/>
          <w:u w:val="single"/>
        </w:rPr>
      </w:pPr>
    </w:p>
    <w:p w14:paraId="764AA4CA" w14:textId="263EEC94" w:rsidR="00E66F49" w:rsidRPr="00666914" w:rsidRDefault="00E66F49" w:rsidP="00D27F91">
      <w:pPr>
        <w:rPr>
          <w:b/>
        </w:rPr>
      </w:pPr>
      <w:r w:rsidRPr="00666914">
        <w:rPr>
          <w:b/>
        </w:rPr>
        <w:t xml:space="preserve">Na základe vypracovanej analýzy </w:t>
      </w:r>
      <w:r w:rsidR="002A586C" w:rsidRPr="00666914">
        <w:rPr>
          <w:b/>
        </w:rPr>
        <w:t xml:space="preserve">odporučilo MPSVR SR </w:t>
      </w:r>
      <w:r w:rsidRPr="00666914">
        <w:rPr>
          <w:b/>
        </w:rPr>
        <w:t>v roku 2018 riešiť toto opatrenie postupným znižovaním odplaty za správu, pričom v roku 2026 by dosiahla úroveň 0,6 %</w:t>
      </w:r>
      <w:r w:rsidRPr="00666914">
        <w:rPr>
          <w:rStyle w:val="Odkaznapoznmkupodiarou"/>
          <w:b/>
        </w:rPr>
        <w:footnoteReference w:id="390"/>
      </w:r>
      <w:r w:rsidRPr="00666914">
        <w:rPr>
          <w:b/>
        </w:rPr>
        <w:t>.</w:t>
      </w:r>
    </w:p>
    <w:p w14:paraId="28A0CD99" w14:textId="4C37CBAB" w:rsidR="00E66F49" w:rsidRPr="00666914" w:rsidRDefault="00E66F49" w:rsidP="00D27F91">
      <w:r w:rsidRPr="00666914">
        <w:t xml:space="preserve">Keďže schválené </w:t>
      </w:r>
      <w:r w:rsidRPr="00666914">
        <w:rPr>
          <w:i/>
        </w:rPr>
        <w:t>Nariadenie o celoeurópskom osobnom dôchodkovom produkte (PEPP)</w:t>
      </w:r>
      <w:r w:rsidRPr="00666914">
        <w:t xml:space="preserve"> a naň nadväzujúce regulačné technické predpisy ustanovia druh a limity oprávnených nákladov a poplatkov, ktoré budú môcť poskytovatelia PEPP preniesť na svojich klientov, </w:t>
      </w:r>
      <w:r w:rsidRPr="00666914">
        <w:rPr>
          <w:b/>
        </w:rPr>
        <w:t xml:space="preserve">rezort plánuje pristúpiť k zmene právnych predpisov ohľadne znižovania odplaty spoločne s týmto nariadením. </w:t>
      </w:r>
      <w:r w:rsidRPr="00666914">
        <w:t>Na zverejnenie regulačných technických predpisov vzťahujúcich sa k PEPP má zodpovedný orgán EIOPA (European Insurance and Occupational Pensions Authority) lehotu do 07/2020</w:t>
      </w:r>
      <w:r w:rsidRPr="00666914">
        <w:rPr>
          <w:rStyle w:val="Odkaznapoznmkupodiarou"/>
        </w:rPr>
        <w:footnoteReference w:id="391"/>
      </w:r>
      <w:r w:rsidRPr="00666914">
        <w:t>, resp. najneskôr do 08/2020. EIOPA začal konzultácie v 4Q2019, očakávaný dátum ukončenia tohto procesu je 03/2020</w:t>
      </w:r>
      <w:r w:rsidRPr="00666914">
        <w:rPr>
          <w:rStyle w:val="Odkaznapoznmkupodiarou"/>
        </w:rPr>
        <w:footnoteReference w:id="392"/>
      </w:r>
      <w:r w:rsidRPr="00666914">
        <w:t>.</w:t>
      </w:r>
    </w:p>
    <w:p w14:paraId="3BFC35EF" w14:textId="1E781CE6" w:rsidR="00E66F49" w:rsidRPr="00666914" w:rsidRDefault="00E66F49" w:rsidP="00D27F91">
      <w:r w:rsidRPr="00666914">
        <w:t>Výšku odplát v systéme starobného dôchodkového sporenia bude potrebné riešiť aj v závislosti od charakteru a spôsobu správy dôchodkových fondov zaradených do predvolenej sporiacej stratégie (opatrenie č. 15). Keďže nákladová náročnosť aktívne a pasívne spravovaných dôchodkových fondov je rôzna</w:t>
      </w:r>
      <w:r w:rsidRPr="00666914">
        <w:rPr>
          <w:rStyle w:val="Odkaznapoznmkupodiarou"/>
        </w:rPr>
        <w:footnoteReference w:id="393"/>
      </w:r>
      <w:r w:rsidRPr="00666914">
        <w:t>, bude potrebné diferencovať okrem maximálnej výšky odplát aj ich štruktúru.</w:t>
      </w:r>
    </w:p>
    <w:p w14:paraId="55ADD303" w14:textId="2CB65A51" w:rsidR="005A043B" w:rsidRPr="00666914" w:rsidRDefault="00E66F49" w:rsidP="00BD5C93">
      <w:pPr>
        <w:spacing w:after="0"/>
        <w:rPr>
          <w:b/>
        </w:rPr>
      </w:pPr>
      <w:r w:rsidRPr="00666914">
        <w:lastRenderedPageBreak/>
        <w:t>Zmena prerozdelenia odplát nebola do 12/2019 zrealizovaná,</w:t>
      </w:r>
      <w:r w:rsidRPr="00666914">
        <w:rPr>
          <w:b/>
        </w:rPr>
        <w:t xml:space="preserve"> opatrenie sa k 31.12.2019 neplní.</w:t>
      </w:r>
    </w:p>
    <w:p w14:paraId="0494AF1D" w14:textId="4FBD0436" w:rsidR="005A043B" w:rsidRPr="00666914" w:rsidRDefault="005A043B">
      <w:pPr>
        <w:spacing w:after="0"/>
        <w:jc w:val="left"/>
        <w:rPr>
          <w:b/>
        </w:rPr>
      </w:pPr>
    </w:p>
    <w:p w14:paraId="6FB70152" w14:textId="77777777" w:rsidR="00E66F49" w:rsidRPr="00666914" w:rsidRDefault="00E66F49" w:rsidP="00D2605E">
      <w:pPr>
        <w:pStyle w:val="Nadpis2"/>
      </w:pPr>
      <w:bookmarkStart w:id="395" w:name="_Toc522861651"/>
      <w:bookmarkStart w:id="396" w:name="_Toc535322736"/>
      <w:bookmarkStart w:id="397" w:name="_Toc6321921"/>
      <w:bookmarkStart w:id="398" w:name="_Toc38447620"/>
      <w:r w:rsidRPr="00666914">
        <w:t>Sociálne služby</w:t>
      </w:r>
      <w:bookmarkEnd w:id="395"/>
      <w:bookmarkEnd w:id="396"/>
      <w:bookmarkEnd w:id="397"/>
      <w:bookmarkEnd w:id="3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2794"/>
        <w:gridCol w:w="1316"/>
        <w:gridCol w:w="884"/>
        <w:gridCol w:w="972"/>
        <w:gridCol w:w="694"/>
        <w:gridCol w:w="694"/>
        <w:gridCol w:w="694"/>
        <w:gridCol w:w="731"/>
      </w:tblGrid>
      <w:tr w:rsidR="00E66F49" w:rsidRPr="00666914" w14:paraId="68A3992A" w14:textId="77777777" w:rsidTr="00D27F91">
        <w:trPr>
          <w:trHeight w:val="330"/>
        </w:trPr>
        <w:tc>
          <w:tcPr>
            <w:tcW w:w="231" w:type="pct"/>
            <w:shd w:val="clear" w:color="auto" w:fill="auto"/>
            <w:vAlign w:val="center"/>
            <w:hideMark/>
          </w:tcPr>
          <w:p w14:paraId="5ABA9336"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1518" w:type="pct"/>
            <w:shd w:val="clear" w:color="auto" w:fill="auto"/>
            <w:noWrap/>
            <w:vAlign w:val="center"/>
            <w:hideMark/>
          </w:tcPr>
          <w:p w14:paraId="42AE522A"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TRH PRÁCE A SOCIÁLNE POLITIKY</w:t>
            </w:r>
          </w:p>
        </w:tc>
        <w:tc>
          <w:tcPr>
            <w:tcW w:w="715" w:type="pct"/>
            <w:shd w:val="clear" w:color="auto" w:fill="auto"/>
            <w:noWrap/>
            <w:vAlign w:val="center"/>
            <w:hideMark/>
          </w:tcPr>
          <w:p w14:paraId="3492DD0A"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Zodpovednosť</w:t>
            </w:r>
          </w:p>
        </w:tc>
        <w:tc>
          <w:tcPr>
            <w:tcW w:w="480" w:type="pct"/>
            <w:shd w:val="clear" w:color="auto" w:fill="auto"/>
            <w:noWrap/>
            <w:vAlign w:val="center"/>
            <w:hideMark/>
          </w:tcPr>
          <w:p w14:paraId="0136A2ED"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Termín plnenia</w:t>
            </w:r>
          </w:p>
        </w:tc>
        <w:tc>
          <w:tcPr>
            <w:tcW w:w="528" w:type="pct"/>
          </w:tcPr>
          <w:p w14:paraId="28150CDB" w14:textId="6F0530A6" w:rsidR="00E66F49" w:rsidRPr="00666914" w:rsidRDefault="00E66F49" w:rsidP="002D0686">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 xml:space="preserve">Nový termín plnenia </w:t>
            </w:r>
          </w:p>
        </w:tc>
        <w:tc>
          <w:tcPr>
            <w:tcW w:w="377" w:type="pct"/>
            <w:shd w:val="clear" w:color="auto" w:fill="auto"/>
            <w:noWrap/>
            <w:vAlign w:val="center"/>
            <w:hideMark/>
          </w:tcPr>
          <w:p w14:paraId="4A9AEE39"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1Q 2019</w:t>
            </w:r>
          </w:p>
        </w:tc>
        <w:tc>
          <w:tcPr>
            <w:tcW w:w="377" w:type="pct"/>
            <w:shd w:val="clear" w:color="auto" w:fill="auto"/>
            <w:noWrap/>
            <w:vAlign w:val="center"/>
            <w:hideMark/>
          </w:tcPr>
          <w:p w14:paraId="34B1DCAF"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2Q 2019</w:t>
            </w:r>
          </w:p>
        </w:tc>
        <w:tc>
          <w:tcPr>
            <w:tcW w:w="377" w:type="pct"/>
            <w:shd w:val="clear" w:color="auto" w:fill="auto"/>
            <w:noWrap/>
            <w:vAlign w:val="center"/>
            <w:hideMark/>
          </w:tcPr>
          <w:p w14:paraId="266BEACF"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3Q 2019</w:t>
            </w:r>
          </w:p>
        </w:tc>
        <w:tc>
          <w:tcPr>
            <w:tcW w:w="397" w:type="pct"/>
            <w:shd w:val="clear" w:color="auto" w:fill="auto"/>
            <w:noWrap/>
            <w:vAlign w:val="center"/>
            <w:hideMark/>
          </w:tcPr>
          <w:p w14:paraId="151BDABF"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4Q 2019</w:t>
            </w:r>
          </w:p>
        </w:tc>
      </w:tr>
      <w:tr w:rsidR="00E66F49" w:rsidRPr="00666914" w14:paraId="59D5B1FD" w14:textId="77777777" w:rsidTr="00D27F91">
        <w:trPr>
          <w:trHeight w:val="300"/>
        </w:trPr>
        <w:tc>
          <w:tcPr>
            <w:tcW w:w="231" w:type="pct"/>
            <w:shd w:val="clear" w:color="auto" w:fill="auto"/>
            <w:vAlign w:val="center"/>
            <w:hideMark/>
          </w:tcPr>
          <w:p w14:paraId="7D1B62DD"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19</w:t>
            </w:r>
          </w:p>
        </w:tc>
        <w:tc>
          <w:tcPr>
            <w:tcW w:w="1518" w:type="pct"/>
            <w:shd w:val="clear" w:color="auto" w:fill="auto"/>
            <w:vAlign w:val="center"/>
          </w:tcPr>
          <w:p w14:paraId="1EACAF20"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Posúdenie efektívnosti a nákladovosti sociálnych služieb</w:t>
            </w:r>
          </w:p>
        </w:tc>
        <w:tc>
          <w:tcPr>
            <w:tcW w:w="715" w:type="pct"/>
            <w:shd w:val="clear" w:color="auto" w:fill="auto"/>
            <w:vAlign w:val="center"/>
          </w:tcPr>
          <w:p w14:paraId="61C71565"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 MF SR</w:t>
            </w:r>
          </w:p>
        </w:tc>
        <w:tc>
          <w:tcPr>
            <w:tcW w:w="480" w:type="pct"/>
            <w:shd w:val="clear" w:color="auto" w:fill="auto"/>
            <w:vAlign w:val="center"/>
          </w:tcPr>
          <w:p w14:paraId="2D8CBB6E"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12/2018</w:t>
            </w:r>
          </w:p>
        </w:tc>
        <w:tc>
          <w:tcPr>
            <w:tcW w:w="528" w:type="pct"/>
            <w:vAlign w:val="center"/>
          </w:tcPr>
          <w:p w14:paraId="0AFF287B"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06/2019</w:t>
            </w:r>
          </w:p>
        </w:tc>
        <w:tc>
          <w:tcPr>
            <w:tcW w:w="377" w:type="pct"/>
            <w:shd w:val="clear" w:color="auto" w:fill="FF0000"/>
            <w:noWrap/>
            <w:vAlign w:val="bottom"/>
            <w:hideMark/>
          </w:tcPr>
          <w:p w14:paraId="79C0AF07"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FF0000"/>
            <w:noWrap/>
            <w:vAlign w:val="bottom"/>
            <w:hideMark/>
          </w:tcPr>
          <w:p w14:paraId="70079028"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FF0000"/>
            <w:noWrap/>
            <w:vAlign w:val="bottom"/>
            <w:hideMark/>
          </w:tcPr>
          <w:p w14:paraId="6D324F08"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97" w:type="pct"/>
            <w:shd w:val="clear" w:color="auto" w:fill="FF0000"/>
            <w:noWrap/>
            <w:vAlign w:val="bottom"/>
            <w:hideMark/>
          </w:tcPr>
          <w:p w14:paraId="3E0ED387"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E66F49" w:rsidRPr="00666914" w14:paraId="61D498EE" w14:textId="77777777" w:rsidTr="00D27F91">
        <w:trPr>
          <w:trHeight w:val="315"/>
        </w:trPr>
        <w:tc>
          <w:tcPr>
            <w:tcW w:w="231" w:type="pct"/>
            <w:shd w:val="clear" w:color="auto" w:fill="auto"/>
            <w:vAlign w:val="center"/>
            <w:hideMark/>
          </w:tcPr>
          <w:p w14:paraId="761A2FD7"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20</w:t>
            </w:r>
          </w:p>
        </w:tc>
        <w:tc>
          <w:tcPr>
            <w:tcW w:w="1518" w:type="pct"/>
            <w:shd w:val="clear" w:color="auto" w:fill="auto"/>
            <w:vAlign w:val="center"/>
          </w:tcPr>
          <w:p w14:paraId="65AA51C0"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Zjednotenie metodiky a výkazov pri zbere údajov o poskytovaných sociálnych službách</w:t>
            </w:r>
          </w:p>
        </w:tc>
        <w:tc>
          <w:tcPr>
            <w:tcW w:w="715" w:type="pct"/>
            <w:shd w:val="clear" w:color="auto" w:fill="auto"/>
            <w:vAlign w:val="center"/>
          </w:tcPr>
          <w:p w14:paraId="520F1C53"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  (ÚPSVaR),</w:t>
            </w:r>
          </w:p>
          <w:p w14:paraId="28BE735F"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ŠÚ SR</w:t>
            </w:r>
          </w:p>
        </w:tc>
        <w:tc>
          <w:tcPr>
            <w:tcW w:w="480" w:type="pct"/>
            <w:shd w:val="clear" w:color="auto" w:fill="auto"/>
            <w:vAlign w:val="center"/>
          </w:tcPr>
          <w:p w14:paraId="2D5CC779"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12/2018</w:t>
            </w:r>
          </w:p>
        </w:tc>
        <w:tc>
          <w:tcPr>
            <w:tcW w:w="528" w:type="pct"/>
            <w:vAlign w:val="center"/>
          </w:tcPr>
          <w:p w14:paraId="5B5D3D21"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06/2019</w:t>
            </w:r>
          </w:p>
        </w:tc>
        <w:tc>
          <w:tcPr>
            <w:tcW w:w="377" w:type="pct"/>
            <w:shd w:val="clear" w:color="auto" w:fill="FF0000"/>
            <w:noWrap/>
            <w:vAlign w:val="bottom"/>
            <w:hideMark/>
          </w:tcPr>
          <w:p w14:paraId="22FF0277"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FF0000"/>
            <w:noWrap/>
            <w:vAlign w:val="bottom"/>
            <w:hideMark/>
          </w:tcPr>
          <w:p w14:paraId="2C0E6327"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FFC000"/>
            <w:noWrap/>
            <w:vAlign w:val="bottom"/>
            <w:hideMark/>
          </w:tcPr>
          <w:p w14:paraId="3EFE936E"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97" w:type="pct"/>
            <w:shd w:val="clear" w:color="auto" w:fill="FFC000"/>
            <w:noWrap/>
            <w:vAlign w:val="bottom"/>
            <w:hideMark/>
          </w:tcPr>
          <w:p w14:paraId="476AA8A5"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r w:rsidR="00E66F49" w:rsidRPr="00666914" w14:paraId="1E46F101" w14:textId="77777777" w:rsidTr="00D27F91">
        <w:trPr>
          <w:trHeight w:val="300"/>
        </w:trPr>
        <w:tc>
          <w:tcPr>
            <w:tcW w:w="231" w:type="pct"/>
            <w:shd w:val="clear" w:color="auto" w:fill="auto"/>
            <w:vAlign w:val="center"/>
            <w:hideMark/>
          </w:tcPr>
          <w:p w14:paraId="33FBDE3E"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21</w:t>
            </w:r>
          </w:p>
        </w:tc>
        <w:tc>
          <w:tcPr>
            <w:tcW w:w="1518" w:type="pct"/>
            <w:shd w:val="clear" w:color="auto" w:fill="auto"/>
            <w:vAlign w:val="center"/>
          </w:tcPr>
          <w:p w14:paraId="6089CD0F"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Revízia výdavkov na dlhodobú starostlivosť</w:t>
            </w:r>
          </w:p>
        </w:tc>
        <w:tc>
          <w:tcPr>
            <w:tcW w:w="715" w:type="pct"/>
            <w:shd w:val="clear" w:color="auto" w:fill="auto"/>
            <w:vAlign w:val="center"/>
          </w:tcPr>
          <w:p w14:paraId="218C9ECE"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MF SR, MPSVR SR,</w:t>
            </w:r>
          </w:p>
          <w:p w14:paraId="2AB4FCF5"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MZ SR, MV SR</w:t>
            </w:r>
          </w:p>
        </w:tc>
        <w:tc>
          <w:tcPr>
            <w:tcW w:w="480" w:type="pct"/>
            <w:shd w:val="clear" w:color="auto" w:fill="auto"/>
            <w:vAlign w:val="center"/>
          </w:tcPr>
          <w:p w14:paraId="7C591EB6"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12/2019</w:t>
            </w:r>
          </w:p>
        </w:tc>
        <w:tc>
          <w:tcPr>
            <w:tcW w:w="528" w:type="pct"/>
            <w:vAlign w:val="center"/>
          </w:tcPr>
          <w:p w14:paraId="01FC38E9"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77" w:type="pct"/>
            <w:shd w:val="clear" w:color="auto" w:fill="A6A6A6" w:themeFill="background1" w:themeFillShade="A6"/>
            <w:noWrap/>
            <w:vAlign w:val="bottom"/>
            <w:hideMark/>
          </w:tcPr>
          <w:p w14:paraId="442001CF"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FF0000"/>
            <w:noWrap/>
            <w:vAlign w:val="bottom"/>
            <w:hideMark/>
          </w:tcPr>
          <w:p w14:paraId="1AF240C3"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FF0000"/>
            <w:noWrap/>
            <w:vAlign w:val="bottom"/>
            <w:hideMark/>
          </w:tcPr>
          <w:p w14:paraId="5AAB4C29"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97" w:type="pct"/>
            <w:shd w:val="clear" w:color="auto" w:fill="FF0000"/>
            <w:noWrap/>
            <w:vAlign w:val="bottom"/>
            <w:hideMark/>
          </w:tcPr>
          <w:p w14:paraId="78959A22"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 </w:t>
            </w:r>
          </w:p>
        </w:tc>
      </w:tr>
    </w:tbl>
    <w:p w14:paraId="50935F64" w14:textId="77777777" w:rsidR="00E66F49" w:rsidRPr="00666914" w:rsidRDefault="00E66F49" w:rsidP="00CD4715">
      <w:pPr>
        <w:ind w:left="720"/>
        <w:contextualSpacing/>
        <w:rPr>
          <w:b/>
          <w:u w:val="single"/>
        </w:rPr>
      </w:pPr>
    </w:p>
    <w:p w14:paraId="40BF5F03" w14:textId="77777777" w:rsidR="00E66F49" w:rsidRPr="00666914" w:rsidRDefault="00E66F49" w:rsidP="00131B23">
      <w:pPr>
        <w:numPr>
          <w:ilvl w:val="0"/>
          <w:numId w:val="7"/>
        </w:numPr>
        <w:contextualSpacing/>
        <w:rPr>
          <w:b/>
          <w:u w:val="single"/>
        </w:rPr>
      </w:pPr>
      <w:r w:rsidRPr="00666914">
        <w:rPr>
          <w:b/>
          <w:u w:val="single"/>
        </w:rPr>
        <w:t>Posúdenie efektívnosti a nákladovosti sociálnych služieb</w:t>
      </w:r>
    </w:p>
    <w:p w14:paraId="08ACCE36" w14:textId="77777777" w:rsidR="00E66F49" w:rsidRPr="00666914" w:rsidRDefault="00E66F49" w:rsidP="00D27F91">
      <w:pPr>
        <w:contextualSpacing/>
        <w:rPr>
          <w:b/>
          <w:u w:val="single"/>
        </w:rPr>
      </w:pPr>
    </w:p>
    <w:p w14:paraId="686F921B" w14:textId="47DD4603" w:rsidR="00E66F49" w:rsidRPr="00666914" w:rsidRDefault="00E66F49" w:rsidP="00D27F91">
      <w:r w:rsidRPr="00666914">
        <w:t>ISP začal koncom roka 2018 pripravovať analýzu nákladovosti súčasného systému financovania vybraných druhov sociálnych služieb. Z dôvodu nedostatočnej kvality údajov (napr. anonymizovaná podoba údajov, vysoká chybovosť vyplnených údajov) nebola ani do 12/2019 dokončená a má naďalej len interný charakter. Napriek odporúčaniu IJ v PIS 2019, ISP ani do konca roka 2019 nepredložil IJ jej pracovnú verziu.</w:t>
      </w:r>
    </w:p>
    <w:p w14:paraId="1B450142" w14:textId="6418D56A" w:rsidR="00E66F49" w:rsidRPr="00666914" w:rsidRDefault="00E66F49" w:rsidP="00D27F91">
      <w:r w:rsidRPr="00666914">
        <w:t xml:space="preserve">Vzhľadom na termín implementácie nového informačného systému o poskytovaných sociálnych službách (opatrenie č. 20) </w:t>
      </w:r>
      <w:r w:rsidR="00DE4FFA" w:rsidRPr="00666914">
        <w:t xml:space="preserve">predpokladá </w:t>
      </w:r>
      <w:r w:rsidRPr="00666914">
        <w:t>ISP dopracovanie uvedeného materiálu až koncom roka 2021.</w:t>
      </w:r>
    </w:p>
    <w:p w14:paraId="414E0696" w14:textId="5A07551B" w:rsidR="00E66F49" w:rsidRPr="00666914" w:rsidRDefault="00E66F49" w:rsidP="00D27F91">
      <w:pPr>
        <w:rPr>
          <w:b/>
        </w:rPr>
      </w:pPr>
      <w:r w:rsidRPr="00666914">
        <w:rPr>
          <w:b/>
        </w:rPr>
        <w:t>Opatrenie sa k 31.12.2019 neplní.</w:t>
      </w:r>
    </w:p>
    <w:p w14:paraId="0E9F397F" w14:textId="2D4904F9" w:rsidR="00E66F49" w:rsidRPr="00666914" w:rsidRDefault="00E66F49" w:rsidP="007027DF">
      <w:r w:rsidRPr="00666914">
        <w:rPr>
          <w:b/>
        </w:rPr>
        <w:t>Odporúčanie IJ:</w:t>
      </w:r>
      <w:r w:rsidRPr="00666914">
        <w:t xml:space="preserve"> Predložiť IJ aktuálnu pracovnú verziu analýzy.</w:t>
      </w:r>
    </w:p>
    <w:p w14:paraId="0D6D72F0" w14:textId="77777777" w:rsidR="00E66F49" w:rsidRPr="00666914" w:rsidRDefault="00E66F49" w:rsidP="00131B23">
      <w:pPr>
        <w:numPr>
          <w:ilvl w:val="0"/>
          <w:numId w:val="7"/>
        </w:numPr>
        <w:contextualSpacing/>
        <w:rPr>
          <w:b/>
          <w:u w:val="single"/>
        </w:rPr>
      </w:pPr>
      <w:r w:rsidRPr="00666914">
        <w:rPr>
          <w:b/>
          <w:u w:val="single"/>
        </w:rPr>
        <w:t>Zjednotenie metodiky a výkazov pri zbere údajov o poskytovaných sociálnych službách</w:t>
      </w:r>
    </w:p>
    <w:p w14:paraId="3ADF24B3" w14:textId="77777777" w:rsidR="00E66F49" w:rsidRPr="00666914" w:rsidRDefault="00E66F49" w:rsidP="00D27F91">
      <w:pPr>
        <w:contextualSpacing/>
        <w:rPr>
          <w:b/>
          <w:u w:val="single"/>
        </w:rPr>
      </w:pPr>
    </w:p>
    <w:p w14:paraId="1D8FB3C2" w14:textId="38F1A518" w:rsidR="00E66F49" w:rsidRPr="00666914" w:rsidRDefault="00E66F49" w:rsidP="00D27F91">
      <w:r w:rsidRPr="00666914">
        <w:t xml:space="preserve">K zefektívneniu celkového manažmentu údajov o sociálnych službách by mala prispieť aj novela zákona č. 448/2008 Z. z. o sociálnych službách, ktorá bola </w:t>
      </w:r>
      <w:r w:rsidR="00DE4FFA" w:rsidRPr="00666914">
        <w:t xml:space="preserve">v 3Q2019 </w:t>
      </w:r>
      <w:r w:rsidRPr="00666914">
        <w:t>schválená a zverejnená v Zbierke zákonov (Z</w:t>
      </w:r>
      <w:r w:rsidR="002C5C47" w:rsidRPr="00666914">
        <w:t>.z.</w:t>
      </w:r>
      <w:r w:rsidRPr="00666914">
        <w:t>)</w:t>
      </w:r>
      <w:r w:rsidRPr="00666914">
        <w:rPr>
          <w:rStyle w:val="Odkaznapoznmkupodiarou"/>
          <w:rFonts w:cs="ArialNarrow-Bold"/>
          <w:bCs/>
          <w:szCs w:val="20"/>
        </w:rPr>
        <w:footnoteReference w:id="394"/>
      </w:r>
      <w:r w:rsidRPr="00666914">
        <w:t>. Zavedením nového informačného systému sociálnych služieb (IS SS) by sa mala od 01/2021</w:t>
      </w:r>
      <w:r w:rsidRPr="00666914">
        <w:rPr>
          <w:rStyle w:val="Odkaznapoznmkupodiarou"/>
          <w:rFonts w:cs="ArialNarrow-Bold"/>
          <w:bCs/>
          <w:szCs w:val="20"/>
        </w:rPr>
        <w:footnoteReference w:id="395"/>
      </w:r>
      <w:r w:rsidRPr="00666914">
        <w:t xml:space="preserve"> zlepšiť relevantnosť získavaných údajov. Vzhľadom na predpokladaný veľký rozsah spracovávaných informácií sa vytvára do 06/2021 časový priestor</w:t>
      </w:r>
      <w:r w:rsidRPr="00666914">
        <w:rPr>
          <w:rStyle w:val="Odkaznapoznmkupodiarou"/>
          <w:rFonts w:cs="ArialNarrow-Bold"/>
          <w:bCs/>
          <w:szCs w:val="20"/>
        </w:rPr>
        <w:footnoteReference w:id="396"/>
      </w:r>
      <w:r w:rsidRPr="00666914">
        <w:t xml:space="preserve"> na zosúladenie údajov zo strany obcí, VÚC a poskytovateľov sociálnych služieb.</w:t>
      </w:r>
    </w:p>
    <w:p w14:paraId="2CEFCCF4" w14:textId="2DF97C2F" w:rsidR="00E66F49" w:rsidRPr="00666914" w:rsidRDefault="00E66F49" w:rsidP="00D27F91">
      <w:r w:rsidRPr="00666914">
        <w:t>Na základe doložky vplyvov k schválenej novele zákona je odhadovaná výška investície 2,4 mil. eur</w:t>
      </w:r>
      <w:r w:rsidRPr="00666914">
        <w:rPr>
          <w:rStyle w:val="Odkaznapoznmkupodiarou"/>
          <w:rFonts w:cs="ArialNarrow-Bold"/>
          <w:bCs/>
          <w:szCs w:val="20"/>
        </w:rPr>
        <w:footnoteReference w:id="397"/>
      </w:r>
      <w:r w:rsidRPr="00666914">
        <w:t>, ďalšie ročné náklady boli odhadované na 0,4 mil. eur. IJ ÚV SR požiadala MPSVR SR aj o ďalšie informácie o detailnejšom rozpočte a spôsobe obstarania informačného systému, počas prípravy SIS 2019 ich neobdržala.</w:t>
      </w:r>
    </w:p>
    <w:p w14:paraId="06967E51" w14:textId="2A3C3C7D" w:rsidR="00E66F49" w:rsidRPr="00666914" w:rsidRDefault="00E66F49" w:rsidP="00D27F91">
      <w:r w:rsidRPr="00666914">
        <w:t xml:space="preserve">Na základe schválenej legislatívnej úpravy sa </w:t>
      </w:r>
      <w:r w:rsidRPr="00666914">
        <w:rPr>
          <w:b/>
        </w:rPr>
        <w:t>opatrenie plní k 31.12.2019 čiastočne</w:t>
      </w:r>
      <w:r w:rsidRPr="00666914">
        <w:t>. Ďalší pokrok v plnení úlohy bude vyhodnotený po spustení fungovania informačného systému v roku 2021.</w:t>
      </w:r>
    </w:p>
    <w:p w14:paraId="56789C73" w14:textId="1BD0FDBD" w:rsidR="00BD5C93" w:rsidRPr="00666914" w:rsidRDefault="00E66F49" w:rsidP="005A043B">
      <w:pPr>
        <w:spacing w:after="0"/>
      </w:pPr>
      <w:r w:rsidRPr="00666914">
        <w:rPr>
          <w:b/>
        </w:rPr>
        <w:t>Odporúčanie IJ:</w:t>
      </w:r>
      <w:r w:rsidRPr="00666914">
        <w:t xml:space="preserve"> Predložiť IJ do 06/2020 podrobný rozpočet projektu a harmonogram implementácie IS SS.</w:t>
      </w:r>
    </w:p>
    <w:p w14:paraId="00E271E0" w14:textId="77777777" w:rsidR="00BD5C93" w:rsidRPr="00666914" w:rsidRDefault="00BD5C93">
      <w:pPr>
        <w:spacing w:after="0"/>
        <w:jc w:val="left"/>
      </w:pPr>
      <w:r w:rsidRPr="00666914">
        <w:br w:type="page"/>
      </w:r>
    </w:p>
    <w:p w14:paraId="4410CDE7" w14:textId="77777777" w:rsidR="00E66F49" w:rsidRPr="00666914" w:rsidRDefault="00E66F49" w:rsidP="00131B23">
      <w:pPr>
        <w:numPr>
          <w:ilvl w:val="0"/>
          <w:numId w:val="7"/>
        </w:numPr>
        <w:contextualSpacing/>
        <w:rPr>
          <w:b/>
          <w:u w:val="single"/>
        </w:rPr>
      </w:pPr>
      <w:r w:rsidRPr="00666914">
        <w:rPr>
          <w:b/>
          <w:u w:val="single"/>
        </w:rPr>
        <w:lastRenderedPageBreak/>
        <w:t>Revízia výdavkov na dlhodobú starostlivosť</w:t>
      </w:r>
    </w:p>
    <w:p w14:paraId="53B7E2F8" w14:textId="77777777" w:rsidR="00E66F49" w:rsidRPr="00666914" w:rsidRDefault="00E66F49" w:rsidP="00CD4715">
      <w:pPr>
        <w:contextualSpacing/>
        <w:rPr>
          <w:b/>
          <w:u w:val="single"/>
        </w:rPr>
      </w:pPr>
    </w:p>
    <w:p w14:paraId="508B2BF2" w14:textId="2BB2A518" w:rsidR="00E66F49" w:rsidRPr="00666914" w:rsidRDefault="00E66F49" w:rsidP="00D27F91">
      <w:pPr>
        <w:rPr>
          <w:rFonts w:cs="ArialNarrow-Bold"/>
          <w:bCs/>
          <w:szCs w:val="20"/>
        </w:rPr>
      </w:pPr>
      <w:r w:rsidRPr="00666914">
        <w:rPr>
          <w:rFonts w:cs="ArialNarrow-Bold"/>
          <w:bCs/>
          <w:szCs w:val="20"/>
        </w:rPr>
        <w:t>Na základe schválených opatrení revízie výdavkov mal ÚHP ako gestor úlohy do 12/2019 vypracovať komplexnú revíziu výdavkov na dlhodobú starostlivosť. V 10/2019 bola v rámci zverejnenej Záverečnej správy revízie výdavkov na zdravotníctvo II téma dlhodobej starostlivosti spracovaná len čiastočne</w:t>
      </w:r>
      <w:r w:rsidRPr="00666914">
        <w:rPr>
          <w:rStyle w:val="Odkaznapoznmkupodiarou"/>
          <w:rFonts w:cs="ArialNarrow-Bold"/>
          <w:bCs/>
          <w:szCs w:val="20"/>
        </w:rPr>
        <w:footnoteReference w:id="398"/>
      </w:r>
      <w:r w:rsidRPr="00666914">
        <w:rPr>
          <w:rFonts w:cs="ArialNarrow-Bold"/>
          <w:bCs/>
          <w:szCs w:val="20"/>
        </w:rPr>
        <w:t>. V roku 2020 začal ÚHP pripravovať samostatnú revíziu výdavkov dlhodobej starostlivosti, v ktorej plánuje zanalyzovať aktuálnu štruktúru výdavkov, formy poskytovania dlhodobej starostlivosti vrátane zdrojov pre jej budúcu udržateľnosť. Plánovaný termín zverejnenia dokumentu je 3Q2020.</w:t>
      </w:r>
    </w:p>
    <w:p w14:paraId="0621B351" w14:textId="0A96B33C" w:rsidR="00E66F49" w:rsidRPr="00666914" w:rsidRDefault="00E66F49" w:rsidP="00D27F91">
      <w:pPr>
        <w:spacing w:after="0"/>
        <w:rPr>
          <w:rFonts w:cs="ArialNarrow-Bold"/>
          <w:bCs/>
          <w:szCs w:val="20"/>
        </w:rPr>
      </w:pPr>
      <w:r w:rsidRPr="00666914">
        <w:rPr>
          <w:rFonts w:cs="ArialNarrow-Bold"/>
          <w:b/>
          <w:bCs/>
          <w:szCs w:val="20"/>
        </w:rPr>
        <w:t xml:space="preserve">Komplexné riešenie „zdravotno-sociálnej starostlivosti“ </w:t>
      </w:r>
      <w:r w:rsidR="00752083" w:rsidRPr="00666914">
        <w:rPr>
          <w:rFonts w:cs="ArialNarrow-Bold"/>
          <w:b/>
          <w:bCs/>
          <w:szCs w:val="20"/>
        </w:rPr>
        <w:t xml:space="preserve">nebolo prijaté </w:t>
      </w:r>
      <w:r w:rsidRPr="00666914">
        <w:rPr>
          <w:rFonts w:cs="ArialNarrow-Bold"/>
          <w:b/>
          <w:bCs/>
          <w:szCs w:val="20"/>
        </w:rPr>
        <w:t xml:space="preserve">ani do konca roka 2019. </w:t>
      </w:r>
      <w:r w:rsidRPr="00666914">
        <w:rPr>
          <w:rFonts w:cs="ArialNarrow-Bold"/>
          <w:bCs/>
          <w:szCs w:val="20"/>
        </w:rPr>
        <w:t>Počas roka bolo iniciovaných viacero návrhov úpravy aktuálnej legislatívy</w:t>
      </w:r>
      <w:r w:rsidRPr="00666914">
        <w:rPr>
          <w:rStyle w:val="Odkaznapoznmkupodiarou"/>
          <w:rFonts w:cs="ArialNarrow-Bold"/>
          <w:bCs/>
          <w:szCs w:val="20"/>
        </w:rPr>
        <w:footnoteReference w:id="399"/>
      </w:r>
      <w:r w:rsidRPr="00666914">
        <w:rPr>
          <w:rFonts w:cs="ArialNarrow-Bold"/>
          <w:bCs/>
          <w:szCs w:val="20"/>
        </w:rPr>
        <w:t xml:space="preserve"> (následná dlhodobá starostlivosť, stratifikácia nemocníc), navrhované zmeny však nakoniec</w:t>
      </w:r>
      <w:r w:rsidR="00752083" w:rsidRPr="00666914">
        <w:rPr>
          <w:rFonts w:cs="ArialNarrow-Bold"/>
          <w:bCs/>
          <w:szCs w:val="20"/>
        </w:rPr>
        <w:t xml:space="preserve"> neboli</w:t>
      </w:r>
      <w:r w:rsidRPr="00666914">
        <w:rPr>
          <w:rFonts w:cs="ArialNarrow-Bold"/>
          <w:bCs/>
          <w:szCs w:val="20"/>
        </w:rPr>
        <w:t xml:space="preserve"> prijaté. S účinnosťou od 01/2021 bolo prijaté len zavedenie dlhodobého ošetrovného schválením novely zákona č. 461/2003 Z. z. o sociálnom poistení</w:t>
      </w:r>
      <w:r w:rsidRPr="00666914">
        <w:rPr>
          <w:rStyle w:val="Odkaznapoznmkupodiarou"/>
          <w:rFonts w:cs="ArialNarrow-Bold"/>
          <w:bCs/>
          <w:szCs w:val="20"/>
        </w:rPr>
        <w:footnoteReference w:id="400"/>
      </w:r>
      <w:r w:rsidRPr="00666914">
        <w:rPr>
          <w:rFonts w:cs="ArialNarrow-Bold"/>
          <w:bCs/>
          <w:szCs w:val="20"/>
        </w:rPr>
        <w:t>.</w:t>
      </w:r>
    </w:p>
    <w:p w14:paraId="55E8DA14" w14:textId="77777777" w:rsidR="00E66F49" w:rsidRPr="00666914" w:rsidRDefault="00E66F49" w:rsidP="00D27F91">
      <w:pPr>
        <w:spacing w:after="0"/>
        <w:rPr>
          <w:rFonts w:cs="ArialNarrow-Bold"/>
          <w:bCs/>
          <w:szCs w:val="20"/>
        </w:rPr>
      </w:pPr>
    </w:p>
    <w:p w14:paraId="4FD039D2" w14:textId="24759D8F" w:rsidR="00E66F49" w:rsidRPr="00666914" w:rsidRDefault="00E66F49" w:rsidP="00CD4715">
      <w:r w:rsidRPr="00666914">
        <w:t xml:space="preserve">Opatrenie sa </w:t>
      </w:r>
      <w:r w:rsidRPr="00666914">
        <w:rPr>
          <w:b/>
        </w:rPr>
        <w:t>k 31.12.2019 neplní</w:t>
      </w:r>
      <w:r w:rsidRPr="00666914">
        <w:t>.</w:t>
      </w:r>
    </w:p>
    <w:p w14:paraId="02470EC6" w14:textId="77777777" w:rsidR="00E66F49" w:rsidRPr="00666914" w:rsidRDefault="00E66F49" w:rsidP="00D2605E">
      <w:pPr>
        <w:pStyle w:val="Nadpis2"/>
      </w:pPr>
      <w:bookmarkStart w:id="399" w:name="_Toc522861652"/>
      <w:bookmarkStart w:id="400" w:name="_Toc535322737"/>
      <w:bookmarkStart w:id="401" w:name="_Toc6321922"/>
      <w:bookmarkStart w:id="402" w:name="_Toc38447621"/>
      <w:r w:rsidRPr="00666914">
        <w:t>Investície a výdavky v oblasti sociálneho zabezpečenia</w:t>
      </w:r>
      <w:bookmarkEnd w:id="399"/>
      <w:bookmarkEnd w:id="400"/>
      <w:bookmarkEnd w:id="401"/>
      <w:bookmarkEnd w:id="4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2794"/>
        <w:gridCol w:w="1316"/>
        <w:gridCol w:w="884"/>
        <w:gridCol w:w="972"/>
        <w:gridCol w:w="694"/>
        <w:gridCol w:w="694"/>
        <w:gridCol w:w="694"/>
        <w:gridCol w:w="731"/>
      </w:tblGrid>
      <w:tr w:rsidR="00E66F49" w:rsidRPr="00666914" w14:paraId="2AC470C0" w14:textId="77777777" w:rsidTr="00D27F91">
        <w:trPr>
          <w:trHeight w:val="330"/>
        </w:trPr>
        <w:tc>
          <w:tcPr>
            <w:tcW w:w="231" w:type="pct"/>
            <w:shd w:val="clear" w:color="auto" w:fill="auto"/>
            <w:vAlign w:val="center"/>
            <w:hideMark/>
          </w:tcPr>
          <w:p w14:paraId="7B0E8177"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1518" w:type="pct"/>
            <w:shd w:val="clear" w:color="auto" w:fill="auto"/>
            <w:noWrap/>
            <w:vAlign w:val="center"/>
            <w:hideMark/>
          </w:tcPr>
          <w:p w14:paraId="7689B3A2"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TRH PRÁCE A SOCIÁLNE POLITIKY</w:t>
            </w:r>
          </w:p>
        </w:tc>
        <w:tc>
          <w:tcPr>
            <w:tcW w:w="715" w:type="pct"/>
            <w:shd w:val="clear" w:color="auto" w:fill="auto"/>
            <w:noWrap/>
            <w:vAlign w:val="center"/>
            <w:hideMark/>
          </w:tcPr>
          <w:p w14:paraId="1BBD32EF"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Zodpovednosť</w:t>
            </w:r>
          </w:p>
        </w:tc>
        <w:tc>
          <w:tcPr>
            <w:tcW w:w="480" w:type="pct"/>
            <w:shd w:val="clear" w:color="auto" w:fill="auto"/>
            <w:noWrap/>
            <w:vAlign w:val="center"/>
            <w:hideMark/>
          </w:tcPr>
          <w:p w14:paraId="4457AFA6"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Termín plnenia</w:t>
            </w:r>
          </w:p>
        </w:tc>
        <w:tc>
          <w:tcPr>
            <w:tcW w:w="528" w:type="pct"/>
          </w:tcPr>
          <w:p w14:paraId="72FA4F50" w14:textId="13816377" w:rsidR="00E66F49" w:rsidRPr="00666914" w:rsidRDefault="00E66F49" w:rsidP="002D0686">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 xml:space="preserve">Nový termín plnenia </w:t>
            </w:r>
          </w:p>
        </w:tc>
        <w:tc>
          <w:tcPr>
            <w:tcW w:w="377" w:type="pct"/>
            <w:shd w:val="clear" w:color="auto" w:fill="auto"/>
            <w:noWrap/>
            <w:vAlign w:val="center"/>
            <w:hideMark/>
          </w:tcPr>
          <w:p w14:paraId="07C1B25E"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1Q 2019</w:t>
            </w:r>
          </w:p>
        </w:tc>
        <w:tc>
          <w:tcPr>
            <w:tcW w:w="377" w:type="pct"/>
            <w:shd w:val="clear" w:color="auto" w:fill="auto"/>
            <w:noWrap/>
            <w:vAlign w:val="center"/>
            <w:hideMark/>
          </w:tcPr>
          <w:p w14:paraId="2CE46ED5"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2Q 2019</w:t>
            </w:r>
          </w:p>
        </w:tc>
        <w:tc>
          <w:tcPr>
            <w:tcW w:w="377" w:type="pct"/>
            <w:shd w:val="clear" w:color="auto" w:fill="auto"/>
            <w:noWrap/>
            <w:vAlign w:val="center"/>
            <w:hideMark/>
          </w:tcPr>
          <w:p w14:paraId="527C9B13"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3Q 2019</w:t>
            </w:r>
          </w:p>
        </w:tc>
        <w:tc>
          <w:tcPr>
            <w:tcW w:w="397" w:type="pct"/>
            <w:shd w:val="clear" w:color="auto" w:fill="auto"/>
            <w:noWrap/>
            <w:vAlign w:val="center"/>
            <w:hideMark/>
          </w:tcPr>
          <w:p w14:paraId="1155FC80"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4Q 2019</w:t>
            </w:r>
          </w:p>
        </w:tc>
      </w:tr>
      <w:tr w:rsidR="00E66F49" w:rsidRPr="00666914" w14:paraId="4EF3C61E" w14:textId="77777777" w:rsidTr="00D27F91">
        <w:trPr>
          <w:trHeight w:val="431"/>
        </w:trPr>
        <w:tc>
          <w:tcPr>
            <w:tcW w:w="5000" w:type="pct"/>
            <w:gridSpan w:val="9"/>
            <w:vAlign w:val="center"/>
          </w:tcPr>
          <w:p w14:paraId="4D263CB5" w14:textId="77777777" w:rsidR="00E66F49" w:rsidRPr="00666914" w:rsidRDefault="00E66F49" w:rsidP="00D27F91">
            <w:pPr>
              <w:spacing w:after="0"/>
              <w:jc w:val="center"/>
              <w:rPr>
                <w:rFonts w:eastAsia="Times New Roman" w:cs="Calibri"/>
                <w:b/>
                <w:color w:val="000000"/>
                <w:sz w:val="20"/>
                <w:szCs w:val="20"/>
                <w:lang w:eastAsia="sk-SK"/>
              </w:rPr>
            </w:pPr>
            <w:r w:rsidRPr="00666914">
              <w:rPr>
                <w:rFonts w:eastAsia="Times New Roman" w:cs="Calibri"/>
                <w:b/>
                <w:color w:val="000000"/>
                <w:sz w:val="20"/>
                <w:szCs w:val="20"/>
                <w:lang w:eastAsia="sk-SK"/>
              </w:rPr>
              <w:t>INVESTÍCIE A VÝDAVKY V OBLASTI SOCIÁLNEHO ZABEZPEČENIA</w:t>
            </w:r>
          </w:p>
        </w:tc>
      </w:tr>
      <w:tr w:rsidR="00E66F49" w:rsidRPr="00666914" w14:paraId="2FD60D39" w14:textId="77777777" w:rsidTr="00D27F91">
        <w:trPr>
          <w:trHeight w:val="315"/>
        </w:trPr>
        <w:tc>
          <w:tcPr>
            <w:tcW w:w="231" w:type="pct"/>
            <w:shd w:val="clear" w:color="auto" w:fill="auto"/>
            <w:vAlign w:val="center"/>
            <w:hideMark/>
          </w:tcPr>
          <w:p w14:paraId="790448FB"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22</w:t>
            </w:r>
          </w:p>
        </w:tc>
        <w:tc>
          <w:tcPr>
            <w:tcW w:w="1518" w:type="pct"/>
            <w:shd w:val="clear" w:color="auto" w:fill="auto"/>
            <w:vAlign w:val="center"/>
          </w:tcPr>
          <w:p w14:paraId="3470CE74"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Zvýšenie efektívnosti pobočiek Sociálnej poisťovne</w:t>
            </w:r>
          </w:p>
        </w:tc>
        <w:tc>
          <w:tcPr>
            <w:tcW w:w="715" w:type="pct"/>
            <w:shd w:val="clear" w:color="auto" w:fill="auto"/>
            <w:vAlign w:val="center"/>
          </w:tcPr>
          <w:p w14:paraId="66AD08FC"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SP</w:t>
            </w:r>
          </w:p>
        </w:tc>
        <w:tc>
          <w:tcPr>
            <w:tcW w:w="480" w:type="pct"/>
            <w:shd w:val="clear" w:color="auto" w:fill="auto"/>
            <w:vAlign w:val="center"/>
          </w:tcPr>
          <w:p w14:paraId="173EAB61"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12/2020</w:t>
            </w:r>
          </w:p>
        </w:tc>
        <w:tc>
          <w:tcPr>
            <w:tcW w:w="528" w:type="pct"/>
            <w:vAlign w:val="center"/>
          </w:tcPr>
          <w:p w14:paraId="5A415711"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77" w:type="pct"/>
            <w:shd w:val="clear" w:color="auto" w:fill="FF0000"/>
            <w:noWrap/>
            <w:vAlign w:val="bottom"/>
            <w:hideMark/>
          </w:tcPr>
          <w:p w14:paraId="17B6152C"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377" w:type="pct"/>
            <w:shd w:val="clear" w:color="auto" w:fill="FF0000"/>
            <w:noWrap/>
            <w:vAlign w:val="bottom"/>
            <w:hideMark/>
          </w:tcPr>
          <w:p w14:paraId="3F570556" w14:textId="77777777" w:rsidR="00E66F49" w:rsidRPr="00666914" w:rsidRDefault="00E66F49" w:rsidP="00D27F91">
            <w:pPr>
              <w:spacing w:after="0"/>
              <w:rPr>
                <w:rFonts w:eastAsia="Times New Roman" w:cs="Calibri"/>
                <w:color w:val="FF0000"/>
                <w:sz w:val="20"/>
                <w:szCs w:val="20"/>
                <w:lang w:eastAsia="sk-SK"/>
              </w:rPr>
            </w:pPr>
            <w:r w:rsidRPr="00666914">
              <w:rPr>
                <w:rFonts w:eastAsia="Times New Roman" w:cs="Calibri"/>
                <w:color w:val="FF0000"/>
                <w:sz w:val="20"/>
                <w:szCs w:val="20"/>
                <w:lang w:eastAsia="sk-SK"/>
              </w:rPr>
              <w:t> </w:t>
            </w:r>
          </w:p>
        </w:tc>
        <w:tc>
          <w:tcPr>
            <w:tcW w:w="377" w:type="pct"/>
            <w:shd w:val="clear" w:color="auto" w:fill="FF0000"/>
            <w:noWrap/>
            <w:vAlign w:val="bottom"/>
            <w:hideMark/>
          </w:tcPr>
          <w:p w14:paraId="0874919B" w14:textId="77777777" w:rsidR="00E66F49" w:rsidRPr="00666914" w:rsidRDefault="00E66F49" w:rsidP="00D27F91">
            <w:pPr>
              <w:spacing w:after="0"/>
              <w:rPr>
                <w:rFonts w:eastAsia="Times New Roman" w:cs="Calibri"/>
                <w:color w:val="FF0000"/>
                <w:sz w:val="20"/>
                <w:szCs w:val="20"/>
                <w:lang w:eastAsia="sk-SK"/>
              </w:rPr>
            </w:pPr>
            <w:r w:rsidRPr="00666914">
              <w:rPr>
                <w:rFonts w:eastAsia="Times New Roman" w:cs="Calibri"/>
                <w:color w:val="FF0000"/>
                <w:sz w:val="20"/>
                <w:szCs w:val="20"/>
                <w:lang w:eastAsia="sk-SK"/>
              </w:rPr>
              <w:t> </w:t>
            </w:r>
          </w:p>
        </w:tc>
        <w:tc>
          <w:tcPr>
            <w:tcW w:w="397" w:type="pct"/>
            <w:shd w:val="clear" w:color="auto" w:fill="FF0000"/>
            <w:noWrap/>
            <w:vAlign w:val="bottom"/>
            <w:hideMark/>
          </w:tcPr>
          <w:p w14:paraId="7B02A738" w14:textId="77777777" w:rsidR="00E66F49" w:rsidRPr="00666914" w:rsidRDefault="00E66F49" w:rsidP="00D27F91">
            <w:pPr>
              <w:spacing w:after="0"/>
              <w:jc w:val="center"/>
              <w:rPr>
                <w:rFonts w:eastAsia="Times New Roman" w:cs="Calibri"/>
                <w:color w:val="FF0000"/>
                <w:sz w:val="20"/>
                <w:szCs w:val="20"/>
                <w:lang w:eastAsia="sk-SK"/>
              </w:rPr>
            </w:pPr>
            <w:r w:rsidRPr="00666914">
              <w:rPr>
                <w:rFonts w:eastAsia="Times New Roman" w:cs="Calibri"/>
                <w:color w:val="FF0000"/>
                <w:sz w:val="20"/>
                <w:szCs w:val="20"/>
                <w:lang w:eastAsia="sk-SK"/>
              </w:rPr>
              <w:t> </w:t>
            </w:r>
          </w:p>
        </w:tc>
      </w:tr>
      <w:tr w:rsidR="00E66F49" w:rsidRPr="00666914" w14:paraId="3DD47427" w14:textId="77777777" w:rsidTr="00D27F91">
        <w:trPr>
          <w:trHeight w:val="315"/>
        </w:trPr>
        <w:tc>
          <w:tcPr>
            <w:tcW w:w="231" w:type="pct"/>
            <w:shd w:val="clear" w:color="auto" w:fill="auto"/>
            <w:vAlign w:val="center"/>
          </w:tcPr>
          <w:p w14:paraId="41C6238A"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23</w:t>
            </w:r>
          </w:p>
        </w:tc>
        <w:tc>
          <w:tcPr>
            <w:tcW w:w="1518" w:type="pct"/>
            <w:shd w:val="clear" w:color="auto" w:fill="auto"/>
            <w:vAlign w:val="center"/>
          </w:tcPr>
          <w:p w14:paraId="694E4B2F"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Zvýšenie efektívnosti pobočiek ÚPSVaR</w:t>
            </w:r>
          </w:p>
        </w:tc>
        <w:tc>
          <w:tcPr>
            <w:tcW w:w="715" w:type="pct"/>
            <w:shd w:val="clear" w:color="auto" w:fill="auto"/>
            <w:vAlign w:val="center"/>
          </w:tcPr>
          <w:p w14:paraId="7BA7330C"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 (ÚPSVaR)</w:t>
            </w:r>
          </w:p>
        </w:tc>
        <w:tc>
          <w:tcPr>
            <w:tcW w:w="480" w:type="pct"/>
            <w:shd w:val="clear" w:color="auto" w:fill="auto"/>
            <w:vAlign w:val="center"/>
          </w:tcPr>
          <w:p w14:paraId="585E3F8E"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12/2018</w:t>
            </w:r>
          </w:p>
        </w:tc>
        <w:tc>
          <w:tcPr>
            <w:tcW w:w="528" w:type="pct"/>
            <w:vAlign w:val="center"/>
          </w:tcPr>
          <w:p w14:paraId="32B90F84"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12/2019</w:t>
            </w:r>
          </w:p>
        </w:tc>
        <w:tc>
          <w:tcPr>
            <w:tcW w:w="377" w:type="pct"/>
            <w:shd w:val="clear" w:color="auto" w:fill="FFC000"/>
            <w:noWrap/>
            <w:vAlign w:val="bottom"/>
          </w:tcPr>
          <w:p w14:paraId="00950822" w14:textId="77777777" w:rsidR="00E66F49" w:rsidRPr="00666914" w:rsidRDefault="00E66F49" w:rsidP="00D27F91">
            <w:pPr>
              <w:spacing w:after="0"/>
              <w:rPr>
                <w:rFonts w:eastAsia="Times New Roman" w:cs="Calibri"/>
                <w:color w:val="000000"/>
                <w:sz w:val="20"/>
                <w:szCs w:val="20"/>
                <w:lang w:eastAsia="sk-SK"/>
              </w:rPr>
            </w:pPr>
          </w:p>
        </w:tc>
        <w:tc>
          <w:tcPr>
            <w:tcW w:w="377" w:type="pct"/>
            <w:shd w:val="clear" w:color="auto" w:fill="FF0000"/>
            <w:noWrap/>
            <w:vAlign w:val="bottom"/>
          </w:tcPr>
          <w:p w14:paraId="7065B745" w14:textId="77777777" w:rsidR="00E66F49" w:rsidRPr="00666914" w:rsidRDefault="00E66F49" w:rsidP="00D27F91">
            <w:pPr>
              <w:spacing w:after="0"/>
              <w:rPr>
                <w:rFonts w:eastAsia="Times New Roman" w:cs="Calibri"/>
                <w:color w:val="FF0000"/>
                <w:sz w:val="20"/>
                <w:szCs w:val="20"/>
                <w:lang w:eastAsia="sk-SK"/>
              </w:rPr>
            </w:pPr>
          </w:p>
        </w:tc>
        <w:tc>
          <w:tcPr>
            <w:tcW w:w="377" w:type="pct"/>
            <w:shd w:val="clear" w:color="auto" w:fill="FF0000"/>
            <w:noWrap/>
            <w:vAlign w:val="bottom"/>
          </w:tcPr>
          <w:p w14:paraId="0934D7BE" w14:textId="77777777" w:rsidR="00E66F49" w:rsidRPr="00666914" w:rsidRDefault="00E66F49" w:rsidP="00D27F91">
            <w:pPr>
              <w:spacing w:after="0"/>
              <w:rPr>
                <w:rFonts w:eastAsia="Times New Roman" w:cs="Calibri"/>
                <w:color w:val="FF0000"/>
                <w:sz w:val="20"/>
                <w:szCs w:val="20"/>
                <w:lang w:eastAsia="sk-SK"/>
              </w:rPr>
            </w:pPr>
          </w:p>
        </w:tc>
        <w:tc>
          <w:tcPr>
            <w:tcW w:w="397" w:type="pct"/>
            <w:shd w:val="clear" w:color="auto" w:fill="FF0000"/>
            <w:noWrap/>
            <w:vAlign w:val="bottom"/>
          </w:tcPr>
          <w:p w14:paraId="4B4554D6" w14:textId="77777777" w:rsidR="00E66F49" w:rsidRPr="00666914" w:rsidRDefault="00E66F49" w:rsidP="00D27F91">
            <w:pPr>
              <w:spacing w:after="0"/>
              <w:jc w:val="center"/>
              <w:rPr>
                <w:rFonts w:eastAsia="Times New Roman" w:cs="Calibri"/>
                <w:color w:val="FF0000"/>
                <w:sz w:val="20"/>
                <w:szCs w:val="20"/>
                <w:lang w:eastAsia="sk-SK"/>
              </w:rPr>
            </w:pPr>
          </w:p>
        </w:tc>
      </w:tr>
      <w:tr w:rsidR="00E66F49" w:rsidRPr="00666914" w14:paraId="7963B352" w14:textId="77777777" w:rsidTr="00D27F91">
        <w:trPr>
          <w:trHeight w:val="315"/>
        </w:trPr>
        <w:tc>
          <w:tcPr>
            <w:tcW w:w="231" w:type="pct"/>
            <w:shd w:val="clear" w:color="auto" w:fill="auto"/>
            <w:vAlign w:val="center"/>
          </w:tcPr>
          <w:p w14:paraId="1A78D0EA"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24</w:t>
            </w:r>
          </w:p>
        </w:tc>
        <w:tc>
          <w:tcPr>
            <w:tcW w:w="1518" w:type="pct"/>
            <w:shd w:val="clear" w:color="auto" w:fill="auto"/>
            <w:vAlign w:val="center"/>
          </w:tcPr>
          <w:p w14:paraId="27F36532"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xml:space="preserve">Zvýšenie efektívnosti IT výdavkov </w:t>
            </w:r>
          </w:p>
        </w:tc>
        <w:tc>
          <w:tcPr>
            <w:tcW w:w="715" w:type="pct"/>
            <w:shd w:val="clear" w:color="auto" w:fill="auto"/>
            <w:vAlign w:val="center"/>
          </w:tcPr>
          <w:p w14:paraId="3F7DEDE1"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 MF SR</w:t>
            </w:r>
          </w:p>
        </w:tc>
        <w:tc>
          <w:tcPr>
            <w:tcW w:w="480" w:type="pct"/>
            <w:shd w:val="clear" w:color="auto" w:fill="auto"/>
            <w:vAlign w:val="center"/>
          </w:tcPr>
          <w:p w14:paraId="5D1BABDA"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12/2017</w:t>
            </w:r>
          </w:p>
        </w:tc>
        <w:tc>
          <w:tcPr>
            <w:tcW w:w="528" w:type="pct"/>
            <w:vAlign w:val="center"/>
          </w:tcPr>
          <w:p w14:paraId="099C9F3E"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06/2019</w:t>
            </w:r>
          </w:p>
        </w:tc>
        <w:tc>
          <w:tcPr>
            <w:tcW w:w="377" w:type="pct"/>
            <w:shd w:val="clear" w:color="auto" w:fill="FF0000"/>
            <w:noWrap/>
            <w:vAlign w:val="bottom"/>
          </w:tcPr>
          <w:p w14:paraId="5895C738" w14:textId="77777777" w:rsidR="00E66F49" w:rsidRPr="00666914" w:rsidRDefault="00E66F49" w:rsidP="00D27F91">
            <w:pPr>
              <w:spacing w:after="0"/>
              <w:rPr>
                <w:rFonts w:eastAsia="Times New Roman" w:cs="Calibri"/>
                <w:color w:val="000000"/>
                <w:sz w:val="20"/>
                <w:szCs w:val="20"/>
                <w:lang w:eastAsia="sk-SK"/>
              </w:rPr>
            </w:pPr>
          </w:p>
        </w:tc>
        <w:tc>
          <w:tcPr>
            <w:tcW w:w="377" w:type="pct"/>
            <w:shd w:val="clear" w:color="auto" w:fill="FF0000"/>
            <w:noWrap/>
            <w:vAlign w:val="bottom"/>
          </w:tcPr>
          <w:p w14:paraId="050883F1" w14:textId="77777777" w:rsidR="00E66F49" w:rsidRPr="00666914" w:rsidRDefault="00E66F49" w:rsidP="00D27F91">
            <w:pPr>
              <w:spacing w:after="0"/>
              <w:rPr>
                <w:rFonts w:eastAsia="Times New Roman" w:cs="Calibri"/>
                <w:color w:val="FF0000"/>
                <w:sz w:val="20"/>
                <w:szCs w:val="20"/>
                <w:lang w:eastAsia="sk-SK"/>
              </w:rPr>
            </w:pPr>
          </w:p>
        </w:tc>
        <w:tc>
          <w:tcPr>
            <w:tcW w:w="377" w:type="pct"/>
            <w:shd w:val="clear" w:color="auto" w:fill="FF0000"/>
            <w:noWrap/>
            <w:vAlign w:val="bottom"/>
          </w:tcPr>
          <w:p w14:paraId="32BA6ACD" w14:textId="77777777" w:rsidR="00E66F49" w:rsidRPr="00666914" w:rsidRDefault="00E66F49" w:rsidP="00D27F91">
            <w:pPr>
              <w:spacing w:after="0"/>
              <w:rPr>
                <w:rFonts w:eastAsia="Times New Roman" w:cs="Calibri"/>
                <w:color w:val="FF0000"/>
                <w:sz w:val="20"/>
                <w:szCs w:val="20"/>
                <w:lang w:eastAsia="sk-SK"/>
              </w:rPr>
            </w:pPr>
          </w:p>
        </w:tc>
        <w:tc>
          <w:tcPr>
            <w:tcW w:w="397" w:type="pct"/>
            <w:shd w:val="clear" w:color="auto" w:fill="FF0000"/>
            <w:noWrap/>
            <w:vAlign w:val="bottom"/>
          </w:tcPr>
          <w:p w14:paraId="34A0016E" w14:textId="77777777" w:rsidR="00E66F49" w:rsidRPr="00666914" w:rsidRDefault="00E66F49" w:rsidP="00D27F91">
            <w:pPr>
              <w:spacing w:after="0"/>
              <w:jc w:val="center"/>
              <w:rPr>
                <w:rFonts w:eastAsia="Times New Roman" w:cs="Calibri"/>
                <w:color w:val="FF0000"/>
                <w:sz w:val="20"/>
                <w:szCs w:val="20"/>
                <w:lang w:eastAsia="sk-SK"/>
              </w:rPr>
            </w:pPr>
          </w:p>
        </w:tc>
      </w:tr>
      <w:tr w:rsidR="00E66F49" w:rsidRPr="00666914" w14:paraId="78FE3026" w14:textId="77777777" w:rsidTr="00D27F91">
        <w:trPr>
          <w:trHeight w:val="315"/>
        </w:trPr>
        <w:tc>
          <w:tcPr>
            <w:tcW w:w="231" w:type="pct"/>
            <w:shd w:val="clear" w:color="auto" w:fill="auto"/>
            <w:vAlign w:val="center"/>
          </w:tcPr>
          <w:p w14:paraId="00E3533E"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25</w:t>
            </w:r>
          </w:p>
        </w:tc>
        <w:tc>
          <w:tcPr>
            <w:tcW w:w="1518" w:type="pct"/>
            <w:shd w:val="clear" w:color="auto" w:fill="auto"/>
            <w:vAlign w:val="center"/>
          </w:tcPr>
          <w:p w14:paraId="2BFD2E24"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Vypracovanie a zverejnenie investičného plánu MPSVR SR, bez ohľadu na zdroj financovania</w:t>
            </w:r>
          </w:p>
        </w:tc>
        <w:tc>
          <w:tcPr>
            <w:tcW w:w="715" w:type="pct"/>
            <w:shd w:val="clear" w:color="auto" w:fill="auto"/>
            <w:vAlign w:val="center"/>
          </w:tcPr>
          <w:p w14:paraId="2ADFF2E6"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tc>
        <w:tc>
          <w:tcPr>
            <w:tcW w:w="480" w:type="pct"/>
            <w:shd w:val="clear" w:color="auto" w:fill="auto"/>
            <w:vAlign w:val="center"/>
          </w:tcPr>
          <w:p w14:paraId="6C761C09"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12/2018</w:t>
            </w:r>
          </w:p>
        </w:tc>
        <w:tc>
          <w:tcPr>
            <w:tcW w:w="528" w:type="pct"/>
            <w:vAlign w:val="center"/>
          </w:tcPr>
          <w:p w14:paraId="0A1E697D"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priebežne</w:t>
            </w:r>
          </w:p>
        </w:tc>
        <w:tc>
          <w:tcPr>
            <w:tcW w:w="377" w:type="pct"/>
            <w:shd w:val="clear" w:color="auto" w:fill="A6A6A6" w:themeFill="background1" w:themeFillShade="A6"/>
            <w:noWrap/>
            <w:vAlign w:val="bottom"/>
          </w:tcPr>
          <w:p w14:paraId="4BC1A4F8" w14:textId="77777777" w:rsidR="00E66F49" w:rsidRPr="00666914" w:rsidRDefault="00E66F49" w:rsidP="00D27F91">
            <w:pPr>
              <w:spacing w:after="0"/>
              <w:rPr>
                <w:rFonts w:eastAsia="Times New Roman" w:cs="Calibri"/>
                <w:color w:val="000000"/>
                <w:sz w:val="20"/>
                <w:szCs w:val="20"/>
                <w:lang w:eastAsia="sk-SK"/>
              </w:rPr>
            </w:pPr>
          </w:p>
        </w:tc>
        <w:tc>
          <w:tcPr>
            <w:tcW w:w="377" w:type="pct"/>
            <w:shd w:val="clear" w:color="auto" w:fill="92D050"/>
            <w:noWrap/>
            <w:vAlign w:val="bottom"/>
          </w:tcPr>
          <w:p w14:paraId="5EE29FA6" w14:textId="77777777" w:rsidR="00E66F49" w:rsidRPr="00666914" w:rsidRDefault="00E66F49" w:rsidP="00D27F91">
            <w:pPr>
              <w:spacing w:after="0"/>
              <w:rPr>
                <w:rFonts w:eastAsia="Times New Roman" w:cs="Calibri"/>
                <w:color w:val="FF0000"/>
                <w:sz w:val="20"/>
                <w:szCs w:val="20"/>
                <w:lang w:eastAsia="sk-SK"/>
              </w:rPr>
            </w:pPr>
          </w:p>
        </w:tc>
        <w:tc>
          <w:tcPr>
            <w:tcW w:w="377" w:type="pct"/>
            <w:shd w:val="clear" w:color="auto" w:fill="A6A6A6" w:themeFill="background1" w:themeFillShade="A6"/>
            <w:noWrap/>
            <w:vAlign w:val="bottom"/>
          </w:tcPr>
          <w:p w14:paraId="3713902D" w14:textId="77777777" w:rsidR="00E66F49" w:rsidRPr="00666914" w:rsidRDefault="00E66F49" w:rsidP="00D27F91">
            <w:pPr>
              <w:spacing w:after="0"/>
              <w:rPr>
                <w:rFonts w:eastAsia="Times New Roman" w:cs="Calibri"/>
                <w:color w:val="FF0000"/>
                <w:sz w:val="20"/>
                <w:szCs w:val="20"/>
                <w:lang w:eastAsia="sk-SK"/>
              </w:rPr>
            </w:pPr>
          </w:p>
        </w:tc>
        <w:tc>
          <w:tcPr>
            <w:tcW w:w="397" w:type="pct"/>
            <w:shd w:val="clear" w:color="auto" w:fill="92D050"/>
            <w:noWrap/>
            <w:vAlign w:val="bottom"/>
          </w:tcPr>
          <w:p w14:paraId="048EE545" w14:textId="77777777" w:rsidR="00E66F49" w:rsidRPr="00666914" w:rsidRDefault="00E66F49" w:rsidP="00D27F91">
            <w:pPr>
              <w:spacing w:after="0"/>
              <w:jc w:val="center"/>
              <w:rPr>
                <w:rFonts w:eastAsia="Times New Roman" w:cs="Calibri"/>
                <w:color w:val="FF0000"/>
                <w:sz w:val="20"/>
                <w:szCs w:val="20"/>
                <w:lang w:eastAsia="sk-SK"/>
              </w:rPr>
            </w:pPr>
          </w:p>
        </w:tc>
      </w:tr>
      <w:tr w:rsidR="00E66F49" w:rsidRPr="00666914" w14:paraId="3999DD6B" w14:textId="77777777" w:rsidTr="00D27F91">
        <w:trPr>
          <w:trHeight w:val="315"/>
        </w:trPr>
        <w:tc>
          <w:tcPr>
            <w:tcW w:w="231" w:type="pct"/>
            <w:shd w:val="clear" w:color="auto" w:fill="auto"/>
            <w:vAlign w:val="center"/>
          </w:tcPr>
          <w:p w14:paraId="4A8A28D3"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25</w:t>
            </w:r>
          </w:p>
        </w:tc>
        <w:tc>
          <w:tcPr>
            <w:tcW w:w="1518" w:type="pct"/>
            <w:shd w:val="clear" w:color="auto" w:fill="auto"/>
            <w:vAlign w:val="center"/>
          </w:tcPr>
          <w:p w14:paraId="314D0CC8"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Vypracovanie a zverejnenie investičného plánu SP, bez ohľadu na zdroj financovania</w:t>
            </w:r>
          </w:p>
        </w:tc>
        <w:tc>
          <w:tcPr>
            <w:tcW w:w="715" w:type="pct"/>
            <w:shd w:val="clear" w:color="auto" w:fill="auto"/>
            <w:vAlign w:val="center"/>
          </w:tcPr>
          <w:p w14:paraId="73F01E3C"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SP</w:t>
            </w:r>
          </w:p>
        </w:tc>
        <w:tc>
          <w:tcPr>
            <w:tcW w:w="480" w:type="pct"/>
            <w:shd w:val="clear" w:color="auto" w:fill="auto"/>
            <w:vAlign w:val="center"/>
          </w:tcPr>
          <w:p w14:paraId="5DC4CBDF"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12/2018</w:t>
            </w:r>
          </w:p>
        </w:tc>
        <w:tc>
          <w:tcPr>
            <w:tcW w:w="528" w:type="pct"/>
            <w:vAlign w:val="center"/>
          </w:tcPr>
          <w:p w14:paraId="61CE0F63"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priebežne</w:t>
            </w:r>
          </w:p>
        </w:tc>
        <w:tc>
          <w:tcPr>
            <w:tcW w:w="377" w:type="pct"/>
            <w:shd w:val="clear" w:color="auto" w:fill="FFC000"/>
            <w:noWrap/>
            <w:vAlign w:val="bottom"/>
          </w:tcPr>
          <w:p w14:paraId="39313FF4" w14:textId="77777777" w:rsidR="00E66F49" w:rsidRPr="00666914" w:rsidRDefault="00E66F49" w:rsidP="00D27F91">
            <w:pPr>
              <w:spacing w:after="0"/>
              <w:rPr>
                <w:rFonts w:eastAsia="Times New Roman" w:cs="Calibri"/>
                <w:color w:val="000000"/>
                <w:sz w:val="20"/>
                <w:szCs w:val="20"/>
                <w:lang w:eastAsia="sk-SK"/>
              </w:rPr>
            </w:pPr>
          </w:p>
        </w:tc>
        <w:tc>
          <w:tcPr>
            <w:tcW w:w="377" w:type="pct"/>
            <w:shd w:val="clear" w:color="auto" w:fill="FFC000"/>
            <w:noWrap/>
            <w:vAlign w:val="bottom"/>
          </w:tcPr>
          <w:p w14:paraId="316F3834" w14:textId="77777777" w:rsidR="00E66F49" w:rsidRPr="00666914" w:rsidRDefault="00E66F49" w:rsidP="00D27F91">
            <w:pPr>
              <w:spacing w:after="0"/>
              <w:rPr>
                <w:rFonts w:eastAsia="Times New Roman" w:cs="Calibri"/>
                <w:color w:val="FF0000"/>
                <w:sz w:val="20"/>
                <w:szCs w:val="20"/>
                <w:lang w:eastAsia="sk-SK"/>
              </w:rPr>
            </w:pPr>
          </w:p>
        </w:tc>
        <w:tc>
          <w:tcPr>
            <w:tcW w:w="377" w:type="pct"/>
            <w:shd w:val="clear" w:color="auto" w:fill="FFC000"/>
            <w:noWrap/>
            <w:vAlign w:val="bottom"/>
          </w:tcPr>
          <w:p w14:paraId="12CBDE16" w14:textId="77777777" w:rsidR="00E66F49" w:rsidRPr="00666914" w:rsidRDefault="00E66F49" w:rsidP="00D27F91">
            <w:pPr>
              <w:spacing w:after="0"/>
              <w:rPr>
                <w:rFonts w:eastAsia="Times New Roman" w:cs="Calibri"/>
                <w:color w:val="FF0000"/>
                <w:sz w:val="20"/>
                <w:szCs w:val="20"/>
                <w:lang w:eastAsia="sk-SK"/>
              </w:rPr>
            </w:pPr>
          </w:p>
        </w:tc>
        <w:tc>
          <w:tcPr>
            <w:tcW w:w="397" w:type="pct"/>
            <w:shd w:val="clear" w:color="auto" w:fill="FFC000"/>
            <w:noWrap/>
            <w:vAlign w:val="bottom"/>
          </w:tcPr>
          <w:p w14:paraId="3213B880" w14:textId="77777777" w:rsidR="00E66F49" w:rsidRPr="00666914" w:rsidRDefault="00E66F49" w:rsidP="00D27F91">
            <w:pPr>
              <w:spacing w:after="0"/>
              <w:jc w:val="center"/>
              <w:rPr>
                <w:rFonts w:eastAsia="Times New Roman" w:cs="Calibri"/>
                <w:color w:val="FF0000"/>
                <w:sz w:val="20"/>
                <w:szCs w:val="20"/>
                <w:lang w:eastAsia="sk-SK"/>
              </w:rPr>
            </w:pPr>
          </w:p>
        </w:tc>
      </w:tr>
      <w:tr w:rsidR="00E66F49" w:rsidRPr="00666914" w14:paraId="739D146F" w14:textId="77777777" w:rsidTr="00D27F91">
        <w:trPr>
          <w:trHeight w:val="315"/>
        </w:trPr>
        <w:tc>
          <w:tcPr>
            <w:tcW w:w="231" w:type="pct"/>
            <w:shd w:val="clear" w:color="auto" w:fill="auto"/>
            <w:vAlign w:val="center"/>
          </w:tcPr>
          <w:p w14:paraId="5ED02052"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26</w:t>
            </w:r>
          </w:p>
        </w:tc>
        <w:tc>
          <w:tcPr>
            <w:tcW w:w="1518" w:type="pct"/>
            <w:shd w:val="clear" w:color="auto" w:fill="auto"/>
            <w:vAlign w:val="center"/>
          </w:tcPr>
          <w:p w14:paraId="7174CA72"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Všetky plánované investície rozpočtovať na úrovni investičných akcií</w:t>
            </w:r>
          </w:p>
        </w:tc>
        <w:tc>
          <w:tcPr>
            <w:tcW w:w="715" w:type="pct"/>
            <w:shd w:val="clear" w:color="auto" w:fill="auto"/>
            <w:vAlign w:val="center"/>
          </w:tcPr>
          <w:p w14:paraId="28875D65"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tc>
        <w:tc>
          <w:tcPr>
            <w:tcW w:w="480" w:type="pct"/>
            <w:shd w:val="clear" w:color="auto" w:fill="auto"/>
            <w:vAlign w:val="center"/>
          </w:tcPr>
          <w:p w14:paraId="6C16A768"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priebežne</w:t>
            </w:r>
          </w:p>
        </w:tc>
        <w:tc>
          <w:tcPr>
            <w:tcW w:w="528" w:type="pct"/>
            <w:vAlign w:val="center"/>
          </w:tcPr>
          <w:p w14:paraId="3C213811"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77" w:type="pct"/>
            <w:shd w:val="clear" w:color="auto" w:fill="92D050"/>
            <w:noWrap/>
            <w:vAlign w:val="bottom"/>
          </w:tcPr>
          <w:p w14:paraId="6170C49B" w14:textId="77777777" w:rsidR="00E66F49" w:rsidRPr="00666914" w:rsidRDefault="00E66F49" w:rsidP="00D27F91">
            <w:pPr>
              <w:spacing w:after="0"/>
              <w:rPr>
                <w:rFonts w:eastAsia="Times New Roman" w:cs="Calibri"/>
                <w:color w:val="000000"/>
                <w:sz w:val="20"/>
                <w:szCs w:val="20"/>
                <w:lang w:eastAsia="sk-SK"/>
              </w:rPr>
            </w:pPr>
          </w:p>
        </w:tc>
        <w:tc>
          <w:tcPr>
            <w:tcW w:w="377" w:type="pct"/>
            <w:shd w:val="clear" w:color="auto" w:fill="92D050"/>
            <w:noWrap/>
            <w:vAlign w:val="bottom"/>
          </w:tcPr>
          <w:p w14:paraId="3E3365BF" w14:textId="77777777" w:rsidR="00E66F49" w:rsidRPr="00666914" w:rsidRDefault="00E66F49" w:rsidP="00D27F91">
            <w:pPr>
              <w:spacing w:after="0"/>
              <w:rPr>
                <w:rFonts w:eastAsia="Times New Roman" w:cs="Calibri"/>
                <w:color w:val="FF0000"/>
                <w:sz w:val="20"/>
                <w:szCs w:val="20"/>
                <w:lang w:eastAsia="sk-SK"/>
              </w:rPr>
            </w:pPr>
          </w:p>
        </w:tc>
        <w:tc>
          <w:tcPr>
            <w:tcW w:w="377" w:type="pct"/>
            <w:shd w:val="clear" w:color="auto" w:fill="92D050"/>
            <w:noWrap/>
            <w:vAlign w:val="bottom"/>
          </w:tcPr>
          <w:p w14:paraId="54D31864" w14:textId="77777777" w:rsidR="00E66F49" w:rsidRPr="00666914" w:rsidRDefault="00E66F49" w:rsidP="00D27F91">
            <w:pPr>
              <w:spacing w:after="0"/>
              <w:rPr>
                <w:rFonts w:eastAsia="Times New Roman" w:cs="Calibri"/>
                <w:color w:val="FF0000"/>
                <w:sz w:val="20"/>
                <w:szCs w:val="20"/>
                <w:lang w:eastAsia="sk-SK"/>
              </w:rPr>
            </w:pPr>
          </w:p>
        </w:tc>
        <w:tc>
          <w:tcPr>
            <w:tcW w:w="397" w:type="pct"/>
            <w:shd w:val="clear" w:color="auto" w:fill="92D050"/>
            <w:noWrap/>
            <w:vAlign w:val="bottom"/>
          </w:tcPr>
          <w:p w14:paraId="415BA386" w14:textId="77777777" w:rsidR="00E66F49" w:rsidRPr="00666914" w:rsidRDefault="00E66F49" w:rsidP="00D27F91">
            <w:pPr>
              <w:spacing w:after="0"/>
              <w:jc w:val="center"/>
              <w:rPr>
                <w:rFonts w:eastAsia="Times New Roman" w:cs="Calibri"/>
                <w:color w:val="FF0000"/>
                <w:sz w:val="20"/>
                <w:szCs w:val="20"/>
                <w:lang w:eastAsia="sk-SK"/>
              </w:rPr>
            </w:pPr>
          </w:p>
        </w:tc>
      </w:tr>
      <w:tr w:rsidR="00E66F49" w:rsidRPr="00666914" w14:paraId="480ACEB5" w14:textId="77777777" w:rsidTr="00D27F91">
        <w:trPr>
          <w:trHeight w:val="315"/>
        </w:trPr>
        <w:tc>
          <w:tcPr>
            <w:tcW w:w="231" w:type="pct"/>
            <w:shd w:val="clear" w:color="auto" w:fill="auto"/>
            <w:vAlign w:val="center"/>
          </w:tcPr>
          <w:p w14:paraId="6C25CE79"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26</w:t>
            </w:r>
          </w:p>
        </w:tc>
        <w:tc>
          <w:tcPr>
            <w:tcW w:w="1518" w:type="pct"/>
            <w:shd w:val="clear" w:color="auto" w:fill="auto"/>
            <w:vAlign w:val="center"/>
          </w:tcPr>
          <w:p w14:paraId="016EE462"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Všetky plánované investície rozpočtovať na úrovni investičných akcií</w:t>
            </w:r>
          </w:p>
        </w:tc>
        <w:tc>
          <w:tcPr>
            <w:tcW w:w="715" w:type="pct"/>
            <w:shd w:val="clear" w:color="auto" w:fill="auto"/>
            <w:vAlign w:val="center"/>
          </w:tcPr>
          <w:p w14:paraId="163C30C9"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SP</w:t>
            </w:r>
          </w:p>
        </w:tc>
        <w:tc>
          <w:tcPr>
            <w:tcW w:w="480" w:type="pct"/>
            <w:shd w:val="clear" w:color="auto" w:fill="auto"/>
            <w:vAlign w:val="center"/>
          </w:tcPr>
          <w:p w14:paraId="1E2856CE"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priebežne</w:t>
            </w:r>
          </w:p>
        </w:tc>
        <w:tc>
          <w:tcPr>
            <w:tcW w:w="528" w:type="pct"/>
            <w:vAlign w:val="center"/>
          </w:tcPr>
          <w:p w14:paraId="0C96DC44"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77" w:type="pct"/>
            <w:shd w:val="clear" w:color="auto" w:fill="FF0000"/>
            <w:noWrap/>
            <w:vAlign w:val="bottom"/>
          </w:tcPr>
          <w:p w14:paraId="128CDA1C" w14:textId="77777777" w:rsidR="00E66F49" w:rsidRPr="00666914" w:rsidRDefault="00E66F49" w:rsidP="00D27F91">
            <w:pPr>
              <w:spacing w:after="0"/>
              <w:rPr>
                <w:rFonts w:eastAsia="Times New Roman" w:cs="Calibri"/>
                <w:color w:val="000000"/>
                <w:sz w:val="20"/>
                <w:szCs w:val="20"/>
                <w:lang w:eastAsia="sk-SK"/>
              </w:rPr>
            </w:pPr>
          </w:p>
        </w:tc>
        <w:tc>
          <w:tcPr>
            <w:tcW w:w="377" w:type="pct"/>
            <w:shd w:val="clear" w:color="auto" w:fill="A6A6A6" w:themeFill="background1" w:themeFillShade="A6"/>
            <w:noWrap/>
            <w:vAlign w:val="bottom"/>
          </w:tcPr>
          <w:p w14:paraId="4098253F" w14:textId="77777777" w:rsidR="00E66F49" w:rsidRPr="00666914" w:rsidRDefault="00E66F49" w:rsidP="00D27F91">
            <w:pPr>
              <w:spacing w:after="0"/>
              <w:rPr>
                <w:rFonts w:eastAsia="Times New Roman" w:cs="Calibri"/>
                <w:color w:val="FF0000"/>
                <w:sz w:val="20"/>
                <w:szCs w:val="20"/>
                <w:lang w:eastAsia="sk-SK"/>
              </w:rPr>
            </w:pPr>
          </w:p>
        </w:tc>
        <w:tc>
          <w:tcPr>
            <w:tcW w:w="377" w:type="pct"/>
            <w:shd w:val="clear" w:color="auto" w:fill="A6A6A6" w:themeFill="background1" w:themeFillShade="A6"/>
            <w:noWrap/>
            <w:vAlign w:val="bottom"/>
          </w:tcPr>
          <w:p w14:paraId="27D9C581" w14:textId="77777777" w:rsidR="00E66F49" w:rsidRPr="00666914" w:rsidRDefault="00E66F49" w:rsidP="00D27F91">
            <w:pPr>
              <w:spacing w:after="0"/>
              <w:rPr>
                <w:rFonts w:eastAsia="Times New Roman" w:cs="Calibri"/>
                <w:color w:val="FF0000"/>
                <w:sz w:val="20"/>
                <w:szCs w:val="20"/>
                <w:lang w:eastAsia="sk-SK"/>
              </w:rPr>
            </w:pPr>
          </w:p>
        </w:tc>
        <w:tc>
          <w:tcPr>
            <w:tcW w:w="397" w:type="pct"/>
            <w:shd w:val="clear" w:color="auto" w:fill="A6A6A6" w:themeFill="background1" w:themeFillShade="A6"/>
            <w:noWrap/>
            <w:vAlign w:val="bottom"/>
          </w:tcPr>
          <w:p w14:paraId="687ABF53" w14:textId="77777777" w:rsidR="00E66F49" w:rsidRPr="00666914" w:rsidRDefault="00E66F49" w:rsidP="00D27F91">
            <w:pPr>
              <w:spacing w:after="0"/>
              <w:jc w:val="center"/>
              <w:rPr>
                <w:rFonts w:eastAsia="Times New Roman" w:cs="Calibri"/>
                <w:color w:val="FF0000"/>
                <w:sz w:val="20"/>
                <w:szCs w:val="20"/>
                <w:lang w:eastAsia="sk-SK"/>
              </w:rPr>
            </w:pPr>
          </w:p>
        </w:tc>
      </w:tr>
      <w:tr w:rsidR="00E66F49" w:rsidRPr="00666914" w14:paraId="3C4BCDC8" w14:textId="77777777" w:rsidTr="00D27F91">
        <w:trPr>
          <w:trHeight w:val="315"/>
        </w:trPr>
        <w:tc>
          <w:tcPr>
            <w:tcW w:w="231" w:type="pct"/>
            <w:shd w:val="clear" w:color="auto" w:fill="auto"/>
            <w:vAlign w:val="center"/>
          </w:tcPr>
          <w:p w14:paraId="61A8E3BF"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27</w:t>
            </w:r>
          </w:p>
        </w:tc>
        <w:tc>
          <w:tcPr>
            <w:tcW w:w="1518" w:type="pct"/>
            <w:shd w:val="clear" w:color="auto" w:fill="auto"/>
            <w:vAlign w:val="center"/>
          </w:tcPr>
          <w:p w14:paraId="2736091B"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Pri spracovaní CBA riadiť sa platným Rámcom hodnotenia verejných investícií</w:t>
            </w:r>
          </w:p>
        </w:tc>
        <w:tc>
          <w:tcPr>
            <w:tcW w:w="715" w:type="pct"/>
            <w:shd w:val="clear" w:color="auto" w:fill="auto"/>
            <w:vAlign w:val="center"/>
          </w:tcPr>
          <w:p w14:paraId="5F0807CE"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tc>
        <w:tc>
          <w:tcPr>
            <w:tcW w:w="480" w:type="pct"/>
            <w:shd w:val="clear" w:color="auto" w:fill="auto"/>
            <w:vAlign w:val="center"/>
          </w:tcPr>
          <w:p w14:paraId="5220501D"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priebežne</w:t>
            </w:r>
          </w:p>
        </w:tc>
        <w:tc>
          <w:tcPr>
            <w:tcW w:w="528" w:type="pct"/>
            <w:vAlign w:val="center"/>
          </w:tcPr>
          <w:p w14:paraId="3CAE400D"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77" w:type="pct"/>
            <w:shd w:val="clear" w:color="auto" w:fill="FF0000"/>
            <w:noWrap/>
            <w:vAlign w:val="bottom"/>
          </w:tcPr>
          <w:p w14:paraId="03DC128F" w14:textId="77777777" w:rsidR="00E66F49" w:rsidRPr="00666914" w:rsidRDefault="00E66F49" w:rsidP="00D27F91">
            <w:pPr>
              <w:spacing w:after="0"/>
              <w:rPr>
                <w:rFonts w:eastAsia="Times New Roman" w:cs="Calibri"/>
                <w:color w:val="000000"/>
                <w:sz w:val="20"/>
                <w:szCs w:val="20"/>
                <w:lang w:eastAsia="sk-SK"/>
              </w:rPr>
            </w:pPr>
          </w:p>
        </w:tc>
        <w:tc>
          <w:tcPr>
            <w:tcW w:w="377" w:type="pct"/>
            <w:shd w:val="clear" w:color="auto" w:fill="FF0000"/>
            <w:noWrap/>
            <w:vAlign w:val="bottom"/>
          </w:tcPr>
          <w:p w14:paraId="2CC0B7A4" w14:textId="77777777" w:rsidR="00E66F49" w:rsidRPr="00666914" w:rsidRDefault="00E66F49" w:rsidP="00D27F91">
            <w:pPr>
              <w:spacing w:after="0"/>
              <w:rPr>
                <w:rFonts w:eastAsia="Times New Roman" w:cs="Calibri"/>
                <w:color w:val="FF0000"/>
                <w:sz w:val="20"/>
                <w:szCs w:val="20"/>
                <w:lang w:eastAsia="sk-SK"/>
              </w:rPr>
            </w:pPr>
          </w:p>
        </w:tc>
        <w:tc>
          <w:tcPr>
            <w:tcW w:w="377" w:type="pct"/>
            <w:shd w:val="clear" w:color="auto" w:fill="A6A6A6" w:themeFill="background1" w:themeFillShade="A6"/>
            <w:noWrap/>
            <w:vAlign w:val="bottom"/>
          </w:tcPr>
          <w:p w14:paraId="7851D130" w14:textId="77777777" w:rsidR="00E66F49" w:rsidRPr="00666914" w:rsidRDefault="00E66F49" w:rsidP="00D27F91">
            <w:pPr>
              <w:spacing w:after="0"/>
              <w:rPr>
                <w:rFonts w:eastAsia="Times New Roman" w:cs="Calibri"/>
                <w:color w:val="FF0000"/>
                <w:sz w:val="20"/>
                <w:szCs w:val="20"/>
                <w:lang w:eastAsia="sk-SK"/>
              </w:rPr>
            </w:pPr>
          </w:p>
        </w:tc>
        <w:tc>
          <w:tcPr>
            <w:tcW w:w="397" w:type="pct"/>
            <w:shd w:val="clear" w:color="auto" w:fill="A6A6A6" w:themeFill="background1" w:themeFillShade="A6"/>
            <w:noWrap/>
            <w:vAlign w:val="bottom"/>
          </w:tcPr>
          <w:p w14:paraId="75D30AA2" w14:textId="77777777" w:rsidR="00E66F49" w:rsidRPr="00666914" w:rsidRDefault="00E66F49" w:rsidP="00D27F91">
            <w:pPr>
              <w:spacing w:after="0"/>
              <w:jc w:val="center"/>
              <w:rPr>
                <w:rFonts w:eastAsia="Times New Roman" w:cs="Calibri"/>
                <w:color w:val="FF0000"/>
                <w:sz w:val="20"/>
                <w:szCs w:val="20"/>
                <w:lang w:eastAsia="sk-SK"/>
              </w:rPr>
            </w:pPr>
          </w:p>
        </w:tc>
      </w:tr>
      <w:tr w:rsidR="00E66F49" w:rsidRPr="00666914" w14:paraId="79149163" w14:textId="77777777" w:rsidTr="00D27F91">
        <w:trPr>
          <w:trHeight w:val="315"/>
        </w:trPr>
        <w:tc>
          <w:tcPr>
            <w:tcW w:w="231" w:type="pct"/>
            <w:shd w:val="clear" w:color="auto" w:fill="auto"/>
            <w:vAlign w:val="center"/>
          </w:tcPr>
          <w:p w14:paraId="43223EE8"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27</w:t>
            </w:r>
          </w:p>
        </w:tc>
        <w:tc>
          <w:tcPr>
            <w:tcW w:w="1518" w:type="pct"/>
            <w:shd w:val="clear" w:color="auto" w:fill="auto"/>
            <w:vAlign w:val="center"/>
          </w:tcPr>
          <w:p w14:paraId="13D42E8A"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Pri spracovaní CBA riadiť sa platným Rámcom hodnotenia verejných investícií</w:t>
            </w:r>
          </w:p>
        </w:tc>
        <w:tc>
          <w:tcPr>
            <w:tcW w:w="715" w:type="pct"/>
            <w:shd w:val="clear" w:color="auto" w:fill="auto"/>
            <w:vAlign w:val="center"/>
          </w:tcPr>
          <w:p w14:paraId="4E0A18F5"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SP</w:t>
            </w:r>
          </w:p>
        </w:tc>
        <w:tc>
          <w:tcPr>
            <w:tcW w:w="480" w:type="pct"/>
            <w:shd w:val="clear" w:color="auto" w:fill="auto"/>
            <w:vAlign w:val="center"/>
          </w:tcPr>
          <w:p w14:paraId="746C4B03"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priebežne</w:t>
            </w:r>
          </w:p>
        </w:tc>
        <w:tc>
          <w:tcPr>
            <w:tcW w:w="528" w:type="pct"/>
            <w:vAlign w:val="center"/>
          </w:tcPr>
          <w:p w14:paraId="7986B463"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77" w:type="pct"/>
            <w:shd w:val="clear" w:color="auto" w:fill="A6A6A6" w:themeFill="background1" w:themeFillShade="A6"/>
            <w:noWrap/>
            <w:vAlign w:val="bottom"/>
          </w:tcPr>
          <w:p w14:paraId="3FC3355F" w14:textId="77777777" w:rsidR="00E66F49" w:rsidRPr="00666914" w:rsidRDefault="00E66F49" w:rsidP="00D27F91">
            <w:pPr>
              <w:spacing w:after="0"/>
              <w:rPr>
                <w:rFonts w:eastAsia="Times New Roman" w:cs="Calibri"/>
                <w:color w:val="000000"/>
                <w:sz w:val="20"/>
                <w:szCs w:val="20"/>
                <w:lang w:eastAsia="sk-SK"/>
              </w:rPr>
            </w:pPr>
          </w:p>
        </w:tc>
        <w:tc>
          <w:tcPr>
            <w:tcW w:w="377" w:type="pct"/>
            <w:shd w:val="clear" w:color="auto" w:fill="92D050"/>
            <w:noWrap/>
            <w:vAlign w:val="bottom"/>
          </w:tcPr>
          <w:p w14:paraId="3EE35DA5" w14:textId="77777777" w:rsidR="00E66F49" w:rsidRPr="00666914" w:rsidRDefault="00E66F49" w:rsidP="00D27F91">
            <w:pPr>
              <w:spacing w:after="0"/>
              <w:rPr>
                <w:rFonts w:eastAsia="Times New Roman" w:cs="Calibri"/>
                <w:color w:val="FF0000"/>
                <w:sz w:val="20"/>
                <w:szCs w:val="20"/>
                <w:lang w:eastAsia="sk-SK"/>
              </w:rPr>
            </w:pPr>
          </w:p>
        </w:tc>
        <w:tc>
          <w:tcPr>
            <w:tcW w:w="377" w:type="pct"/>
            <w:shd w:val="clear" w:color="auto" w:fill="A6A6A6" w:themeFill="background1" w:themeFillShade="A6"/>
            <w:noWrap/>
            <w:vAlign w:val="bottom"/>
          </w:tcPr>
          <w:p w14:paraId="338C5E81" w14:textId="77777777" w:rsidR="00E66F49" w:rsidRPr="00666914" w:rsidRDefault="00E66F49" w:rsidP="00D27F91">
            <w:pPr>
              <w:spacing w:after="0"/>
              <w:rPr>
                <w:rFonts w:eastAsia="Times New Roman" w:cs="Calibri"/>
                <w:color w:val="FF0000"/>
                <w:sz w:val="20"/>
                <w:szCs w:val="20"/>
                <w:lang w:eastAsia="sk-SK"/>
              </w:rPr>
            </w:pPr>
          </w:p>
        </w:tc>
        <w:tc>
          <w:tcPr>
            <w:tcW w:w="397" w:type="pct"/>
            <w:shd w:val="clear" w:color="auto" w:fill="A6A6A6" w:themeFill="background1" w:themeFillShade="A6"/>
            <w:noWrap/>
            <w:vAlign w:val="bottom"/>
          </w:tcPr>
          <w:p w14:paraId="2B12535B" w14:textId="77777777" w:rsidR="00E66F49" w:rsidRPr="00666914" w:rsidRDefault="00E66F49" w:rsidP="00D27F91">
            <w:pPr>
              <w:spacing w:after="0"/>
              <w:jc w:val="center"/>
              <w:rPr>
                <w:rFonts w:eastAsia="Times New Roman" w:cs="Calibri"/>
                <w:color w:val="FF0000"/>
                <w:sz w:val="20"/>
                <w:szCs w:val="20"/>
                <w:lang w:eastAsia="sk-SK"/>
              </w:rPr>
            </w:pPr>
          </w:p>
        </w:tc>
      </w:tr>
      <w:tr w:rsidR="00E66F49" w:rsidRPr="00666914" w14:paraId="7A9CAF3B" w14:textId="77777777" w:rsidTr="00D27F91">
        <w:trPr>
          <w:trHeight w:val="315"/>
        </w:trPr>
        <w:tc>
          <w:tcPr>
            <w:tcW w:w="231" w:type="pct"/>
            <w:shd w:val="clear" w:color="auto" w:fill="auto"/>
            <w:vAlign w:val="center"/>
          </w:tcPr>
          <w:p w14:paraId="251A802C"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28</w:t>
            </w:r>
          </w:p>
        </w:tc>
        <w:tc>
          <w:tcPr>
            <w:tcW w:w="1518" w:type="pct"/>
            <w:shd w:val="clear" w:color="auto" w:fill="auto"/>
            <w:vAlign w:val="center"/>
          </w:tcPr>
          <w:p w14:paraId="04B3DF8B"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Pre všetky investície nad 40 mil. eur vypracovať a zverejniť štúdiu uskutočniteľnosti a analýzu nákladov a prínosov</w:t>
            </w:r>
          </w:p>
        </w:tc>
        <w:tc>
          <w:tcPr>
            <w:tcW w:w="715" w:type="pct"/>
            <w:shd w:val="clear" w:color="auto" w:fill="auto"/>
            <w:vAlign w:val="center"/>
          </w:tcPr>
          <w:p w14:paraId="03939CE2"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tc>
        <w:tc>
          <w:tcPr>
            <w:tcW w:w="480" w:type="pct"/>
            <w:shd w:val="clear" w:color="auto" w:fill="auto"/>
            <w:vAlign w:val="center"/>
          </w:tcPr>
          <w:p w14:paraId="50F64538"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priebežne</w:t>
            </w:r>
          </w:p>
        </w:tc>
        <w:tc>
          <w:tcPr>
            <w:tcW w:w="528" w:type="pct"/>
            <w:vAlign w:val="center"/>
          </w:tcPr>
          <w:p w14:paraId="12CA5B40"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77" w:type="pct"/>
            <w:shd w:val="clear" w:color="auto" w:fill="A6A6A6" w:themeFill="background1" w:themeFillShade="A6"/>
            <w:noWrap/>
            <w:vAlign w:val="bottom"/>
          </w:tcPr>
          <w:p w14:paraId="781B5AEC" w14:textId="77777777" w:rsidR="00E66F49" w:rsidRPr="00666914" w:rsidRDefault="00E66F49" w:rsidP="00D27F91">
            <w:pPr>
              <w:spacing w:after="0"/>
              <w:rPr>
                <w:rFonts w:eastAsia="Times New Roman" w:cs="Calibri"/>
                <w:color w:val="000000"/>
                <w:sz w:val="20"/>
                <w:szCs w:val="20"/>
                <w:lang w:eastAsia="sk-SK"/>
              </w:rPr>
            </w:pPr>
          </w:p>
        </w:tc>
        <w:tc>
          <w:tcPr>
            <w:tcW w:w="377" w:type="pct"/>
            <w:shd w:val="clear" w:color="auto" w:fill="A6A6A6" w:themeFill="background1" w:themeFillShade="A6"/>
            <w:noWrap/>
            <w:vAlign w:val="bottom"/>
          </w:tcPr>
          <w:p w14:paraId="4C7C042C" w14:textId="77777777" w:rsidR="00E66F49" w:rsidRPr="00666914" w:rsidRDefault="00E66F49" w:rsidP="00D27F91">
            <w:pPr>
              <w:spacing w:after="0"/>
              <w:rPr>
                <w:rFonts w:eastAsia="Times New Roman" w:cs="Calibri"/>
                <w:color w:val="FF0000"/>
                <w:sz w:val="20"/>
                <w:szCs w:val="20"/>
                <w:lang w:eastAsia="sk-SK"/>
              </w:rPr>
            </w:pPr>
          </w:p>
        </w:tc>
        <w:tc>
          <w:tcPr>
            <w:tcW w:w="377" w:type="pct"/>
            <w:shd w:val="clear" w:color="auto" w:fill="A6A6A6" w:themeFill="background1" w:themeFillShade="A6"/>
            <w:noWrap/>
            <w:vAlign w:val="bottom"/>
          </w:tcPr>
          <w:p w14:paraId="4CB8F050" w14:textId="77777777" w:rsidR="00E66F49" w:rsidRPr="00666914" w:rsidRDefault="00E66F49" w:rsidP="00D27F91">
            <w:pPr>
              <w:spacing w:after="0"/>
              <w:rPr>
                <w:rFonts w:eastAsia="Times New Roman" w:cs="Calibri"/>
                <w:color w:val="FF0000"/>
                <w:sz w:val="20"/>
                <w:szCs w:val="20"/>
                <w:lang w:eastAsia="sk-SK"/>
              </w:rPr>
            </w:pPr>
          </w:p>
        </w:tc>
        <w:tc>
          <w:tcPr>
            <w:tcW w:w="397" w:type="pct"/>
            <w:shd w:val="clear" w:color="auto" w:fill="A6A6A6" w:themeFill="background1" w:themeFillShade="A6"/>
            <w:noWrap/>
            <w:vAlign w:val="bottom"/>
          </w:tcPr>
          <w:p w14:paraId="6DE80F37" w14:textId="77777777" w:rsidR="00E66F49" w:rsidRPr="00666914" w:rsidRDefault="00E66F49" w:rsidP="00D27F91">
            <w:pPr>
              <w:spacing w:after="0"/>
              <w:jc w:val="center"/>
              <w:rPr>
                <w:rFonts w:eastAsia="Times New Roman" w:cs="Calibri"/>
                <w:color w:val="FF0000"/>
                <w:sz w:val="20"/>
                <w:szCs w:val="20"/>
                <w:lang w:eastAsia="sk-SK"/>
              </w:rPr>
            </w:pPr>
          </w:p>
        </w:tc>
      </w:tr>
      <w:tr w:rsidR="00E66F49" w:rsidRPr="00666914" w14:paraId="4005DF48" w14:textId="77777777" w:rsidTr="00D27F91">
        <w:trPr>
          <w:trHeight w:val="315"/>
        </w:trPr>
        <w:tc>
          <w:tcPr>
            <w:tcW w:w="231" w:type="pct"/>
            <w:shd w:val="clear" w:color="auto" w:fill="auto"/>
            <w:vAlign w:val="center"/>
          </w:tcPr>
          <w:p w14:paraId="67FB6D2E"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lastRenderedPageBreak/>
              <w:t>28</w:t>
            </w:r>
          </w:p>
        </w:tc>
        <w:tc>
          <w:tcPr>
            <w:tcW w:w="1518" w:type="pct"/>
            <w:shd w:val="clear" w:color="auto" w:fill="auto"/>
            <w:vAlign w:val="center"/>
          </w:tcPr>
          <w:p w14:paraId="33987C91"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Pre všetky investície nad 40 mil. eur vypracovať a zverejniť štúdiu uskutočniteľnosti a analýzu nákladov a prínosov</w:t>
            </w:r>
          </w:p>
        </w:tc>
        <w:tc>
          <w:tcPr>
            <w:tcW w:w="715" w:type="pct"/>
            <w:shd w:val="clear" w:color="auto" w:fill="auto"/>
            <w:vAlign w:val="center"/>
          </w:tcPr>
          <w:p w14:paraId="7BEF8E01"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SP</w:t>
            </w:r>
          </w:p>
        </w:tc>
        <w:tc>
          <w:tcPr>
            <w:tcW w:w="480" w:type="pct"/>
            <w:shd w:val="clear" w:color="auto" w:fill="auto"/>
            <w:vAlign w:val="center"/>
          </w:tcPr>
          <w:p w14:paraId="3027B992"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priebežne</w:t>
            </w:r>
          </w:p>
        </w:tc>
        <w:tc>
          <w:tcPr>
            <w:tcW w:w="528" w:type="pct"/>
            <w:vAlign w:val="center"/>
          </w:tcPr>
          <w:p w14:paraId="7F06DD98"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77" w:type="pct"/>
            <w:shd w:val="clear" w:color="auto" w:fill="A6A6A6" w:themeFill="background1" w:themeFillShade="A6"/>
            <w:noWrap/>
            <w:vAlign w:val="bottom"/>
          </w:tcPr>
          <w:p w14:paraId="456FFBF7" w14:textId="77777777" w:rsidR="00E66F49" w:rsidRPr="00666914" w:rsidRDefault="00E66F49" w:rsidP="00D27F91">
            <w:pPr>
              <w:spacing w:after="0"/>
              <w:rPr>
                <w:rFonts w:eastAsia="Times New Roman" w:cs="Calibri"/>
                <w:color w:val="000000"/>
                <w:sz w:val="20"/>
                <w:szCs w:val="20"/>
                <w:lang w:eastAsia="sk-SK"/>
              </w:rPr>
            </w:pPr>
          </w:p>
        </w:tc>
        <w:tc>
          <w:tcPr>
            <w:tcW w:w="377" w:type="pct"/>
            <w:shd w:val="clear" w:color="auto" w:fill="A6A6A6" w:themeFill="background1" w:themeFillShade="A6"/>
            <w:noWrap/>
            <w:vAlign w:val="bottom"/>
          </w:tcPr>
          <w:p w14:paraId="7422145C" w14:textId="77777777" w:rsidR="00E66F49" w:rsidRPr="00666914" w:rsidRDefault="00E66F49" w:rsidP="00D27F91">
            <w:pPr>
              <w:spacing w:after="0"/>
              <w:rPr>
                <w:rFonts w:eastAsia="Times New Roman" w:cs="Calibri"/>
                <w:color w:val="FF0000"/>
                <w:sz w:val="20"/>
                <w:szCs w:val="20"/>
                <w:lang w:eastAsia="sk-SK"/>
              </w:rPr>
            </w:pPr>
          </w:p>
        </w:tc>
        <w:tc>
          <w:tcPr>
            <w:tcW w:w="377" w:type="pct"/>
            <w:shd w:val="clear" w:color="auto" w:fill="A6A6A6" w:themeFill="background1" w:themeFillShade="A6"/>
            <w:noWrap/>
            <w:vAlign w:val="bottom"/>
          </w:tcPr>
          <w:p w14:paraId="5A740142" w14:textId="77777777" w:rsidR="00E66F49" w:rsidRPr="00666914" w:rsidRDefault="00E66F49" w:rsidP="00D27F91">
            <w:pPr>
              <w:spacing w:after="0"/>
              <w:rPr>
                <w:rFonts w:eastAsia="Times New Roman" w:cs="Calibri"/>
                <w:color w:val="FF0000"/>
                <w:sz w:val="20"/>
                <w:szCs w:val="20"/>
                <w:lang w:eastAsia="sk-SK"/>
              </w:rPr>
            </w:pPr>
          </w:p>
        </w:tc>
        <w:tc>
          <w:tcPr>
            <w:tcW w:w="397" w:type="pct"/>
            <w:shd w:val="clear" w:color="auto" w:fill="A6A6A6" w:themeFill="background1" w:themeFillShade="A6"/>
            <w:noWrap/>
            <w:vAlign w:val="bottom"/>
          </w:tcPr>
          <w:p w14:paraId="2F613A49" w14:textId="77777777" w:rsidR="00E66F49" w:rsidRPr="00666914" w:rsidRDefault="00E66F49" w:rsidP="00D27F91">
            <w:pPr>
              <w:spacing w:after="0"/>
              <w:jc w:val="center"/>
              <w:rPr>
                <w:rFonts w:eastAsia="Times New Roman" w:cs="Calibri"/>
                <w:color w:val="FF0000"/>
                <w:sz w:val="20"/>
                <w:szCs w:val="20"/>
                <w:lang w:eastAsia="sk-SK"/>
              </w:rPr>
            </w:pPr>
          </w:p>
        </w:tc>
      </w:tr>
    </w:tbl>
    <w:p w14:paraId="58AF30DA" w14:textId="77777777" w:rsidR="00BD5C93" w:rsidRPr="00666914" w:rsidRDefault="00BD5C93" w:rsidP="00BD5C93">
      <w:pPr>
        <w:ind w:left="720"/>
        <w:contextualSpacing/>
        <w:rPr>
          <w:b/>
          <w:u w:val="single"/>
        </w:rPr>
      </w:pPr>
    </w:p>
    <w:p w14:paraId="6F7C9ED7" w14:textId="6845CBFA" w:rsidR="00E66F49" w:rsidRPr="00666914" w:rsidRDefault="00E66F49" w:rsidP="00131B23">
      <w:pPr>
        <w:numPr>
          <w:ilvl w:val="0"/>
          <w:numId w:val="7"/>
        </w:numPr>
        <w:contextualSpacing/>
        <w:rPr>
          <w:b/>
          <w:u w:val="single"/>
        </w:rPr>
      </w:pPr>
      <w:r w:rsidRPr="00666914">
        <w:rPr>
          <w:b/>
          <w:u w:val="single"/>
        </w:rPr>
        <w:t>Zvýšenie efektívnosti pobočiek Sociálnej poisťovne</w:t>
      </w:r>
    </w:p>
    <w:p w14:paraId="1AE6A14F" w14:textId="77777777" w:rsidR="00E66F49" w:rsidRPr="00666914" w:rsidRDefault="00E66F49" w:rsidP="00CD4715">
      <w:pPr>
        <w:spacing w:after="0"/>
        <w:contextualSpacing/>
        <w:rPr>
          <w:b/>
          <w:u w:val="single"/>
        </w:rPr>
      </w:pPr>
    </w:p>
    <w:p w14:paraId="1CC70947" w14:textId="64F37D01" w:rsidR="00E66F49" w:rsidRPr="00666914" w:rsidRDefault="00E66F49" w:rsidP="00D27F91">
      <w:pPr>
        <w:rPr>
          <w:b/>
        </w:rPr>
      </w:pPr>
      <w:r w:rsidRPr="00666914">
        <w:t>Napriek vyjadreniam SP o pravidelnom hodnotení pobočiek v roku 2018 aj 2019 (personálne vyťaženie ako aj 10 vybraných kritérií</w:t>
      </w:r>
      <w:r w:rsidRPr="00666914">
        <w:rPr>
          <w:rStyle w:val="Odkaznapoznmkupodiarou"/>
        </w:rPr>
        <w:footnoteReference w:id="401"/>
      </w:r>
      <w:r w:rsidRPr="00666914">
        <w:t>), konkrétne výsledky</w:t>
      </w:r>
      <w:r w:rsidR="002C5C47" w:rsidRPr="00666914">
        <w:t>,</w:t>
      </w:r>
      <w:r w:rsidRPr="00666914">
        <w:t xml:space="preserve"> ako aj ich súvislosť so zabezpečením efektívnejšieho fungovania pobočiek SP neboli IJ do 12/2019 preukázané. Okrem samotného monitoringu IJ žiadala SP predložiť aj schválený implementačný plán opatrení uskutočneného projektu optimalizácie procesov SP v roku 2018. Ani tento dokument nebol IJ do 12/2019 zaslaný.</w:t>
      </w:r>
    </w:p>
    <w:p w14:paraId="1ABB9767" w14:textId="004C2162" w:rsidR="00E66F49" w:rsidRPr="00666914" w:rsidRDefault="00E66F49" w:rsidP="00D27F91">
      <w:pPr>
        <w:rPr>
          <w:b/>
        </w:rPr>
      </w:pPr>
      <w:r w:rsidRPr="00666914">
        <w:rPr>
          <w:b/>
        </w:rPr>
        <w:t xml:space="preserve">Na základe chýbajúcich podkladov </w:t>
      </w:r>
      <w:r w:rsidR="00752083" w:rsidRPr="00666914">
        <w:rPr>
          <w:b/>
        </w:rPr>
        <w:t xml:space="preserve">nedokáže </w:t>
      </w:r>
      <w:r w:rsidRPr="00666914">
        <w:rPr>
          <w:b/>
        </w:rPr>
        <w:t>IJ hodnotiť vplyv uvedených aktivít SP na zvýšenie efektívnosti. Úspora 10 mil. eur identifikovaná v revízii výdavkov nebola preukázaná. Opatrenie sa ani k 31.12.2019 neplní.</w:t>
      </w:r>
    </w:p>
    <w:p w14:paraId="461B4D28" w14:textId="21AF9DE3" w:rsidR="00E66F49" w:rsidRPr="00666914" w:rsidRDefault="00E66F49" w:rsidP="007027DF">
      <w:pPr>
        <w:rPr>
          <w:color w:val="00B050"/>
        </w:rPr>
      </w:pPr>
      <w:r w:rsidRPr="00666914">
        <w:rPr>
          <w:b/>
        </w:rPr>
        <w:t xml:space="preserve">Odporúčanie IJ: </w:t>
      </w:r>
      <w:r w:rsidRPr="00666914">
        <w:t>Predložiť IJ konkrétne výsledky monitoringu pobočiek vrátane implementačného plánu opatrení, ktoré boli identifikované v rámci projektu optimalizácie procesov SP. Vyčísliť dosiahnutú úsporu z titulu nastavených opatrení.</w:t>
      </w:r>
    </w:p>
    <w:p w14:paraId="63A7F70B" w14:textId="77777777" w:rsidR="00E66F49" w:rsidRPr="00666914" w:rsidRDefault="00E66F49" w:rsidP="00131B23">
      <w:pPr>
        <w:numPr>
          <w:ilvl w:val="0"/>
          <w:numId w:val="7"/>
        </w:numPr>
        <w:contextualSpacing/>
        <w:rPr>
          <w:b/>
        </w:rPr>
      </w:pPr>
      <w:r w:rsidRPr="00666914">
        <w:rPr>
          <w:b/>
          <w:u w:val="single"/>
        </w:rPr>
        <w:t>Zvýšenie efektívnosti pobočiek ÚPSVaR</w:t>
      </w:r>
      <w:r w:rsidRPr="00666914">
        <w:rPr>
          <w:b/>
        </w:rPr>
        <w:t xml:space="preserve"> </w:t>
      </w:r>
    </w:p>
    <w:p w14:paraId="3DBD4FF7" w14:textId="77777777" w:rsidR="00E66F49" w:rsidRPr="00666914" w:rsidRDefault="00E66F49" w:rsidP="00D27F91">
      <w:pPr>
        <w:contextualSpacing/>
        <w:rPr>
          <w:b/>
        </w:rPr>
      </w:pPr>
    </w:p>
    <w:p w14:paraId="22B190F2" w14:textId="342E339B" w:rsidR="00E66F49" w:rsidRPr="00666914" w:rsidRDefault="00E66F49" w:rsidP="00D27F91">
      <w:r w:rsidRPr="00666914">
        <w:rPr>
          <w:b/>
        </w:rPr>
        <w:t xml:space="preserve">Komplexný monitoring fungovania pobočiek ústredia práce mal byť zavedený ako súčasť NP ESKO 2, ktorý mal byť spustený už v roku 2018. </w:t>
      </w:r>
      <w:r w:rsidRPr="00666914">
        <w:t>Vzhľadom na časový posun tohto projektu IJ predstavila ÚPSVaR v 1H2019 návrh ukazovateľov hodnotenia efektívnosti pobočiek:</w:t>
      </w:r>
    </w:p>
    <w:tbl>
      <w:tblPr>
        <w:tblW w:w="0" w:type="auto"/>
        <w:tblCellMar>
          <w:left w:w="70" w:type="dxa"/>
          <w:right w:w="70" w:type="dxa"/>
        </w:tblCellMar>
        <w:tblLook w:val="04A0" w:firstRow="1" w:lastRow="0" w:firstColumn="1" w:lastColumn="0" w:noHBand="0" w:noVBand="1"/>
      </w:tblPr>
      <w:tblGrid>
        <w:gridCol w:w="2159"/>
        <w:gridCol w:w="2368"/>
        <w:gridCol w:w="1177"/>
        <w:gridCol w:w="1898"/>
        <w:gridCol w:w="1612"/>
      </w:tblGrid>
      <w:tr w:rsidR="00E66F49" w:rsidRPr="00666914" w14:paraId="4D6AAF77" w14:textId="77777777" w:rsidTr="00D27F91">
        <w:trPr>
          <w:trHeight w:val="255"/>
        </w:trPr>
        <w:tc>
          <w:tcPr>
            <w:tcW w:w="0" w:type="auto"/>
            <w:gridSpan w:val="4"/>
            <w:tcBorders>
              <w:top w:val="nil"/>
              <w:left w:val="nil"/>
              <w:bottom w:val="nil"/>
              <w:right w:val="nil"/>
            </w:tcBorders>
            <w:shd w:val="clear" w:color="auto" w:fill="auto"/>
            <w:noWrap/>
            <w:vAlign w:val="center"/>
            <w:hideMark/>
          </w:tcPr>
          <w:p w14:paraId="11126211" w14:textId="03CF4DC1" w:rsidR="00E66F49" w:rsidRPr="00666914" w:rsidRDefault="00E66F49" w:rsidP="00D27F91">
            <w:pPr>
              <w:spacing w:after="0"/>
              <w:jc w:val="left"/>
              <w:rPr>
                <w:rFonts w:eastAsia="Times New Roman" w:cs="Calibri"/>
                <w:b/>
                <w:bCs/>
                <w:color w:val="000000"/>
                <w:sz w:val="20"/>
                <w:szCs w:val="20"/>
                <w:lang w:eastAsia="sk-SK"/>
              </w:rPr>
            </w:pPr>
            <w:bookmarkStart w:id="403" w:name="_Toc38447751"/>
            <w:r w:rsidRPr="00666914">
              <w:rPr>
                <w:rFonts w:eastAsia="Times New Roman" w:cs="Calibri"/>
                <w:b/>
                <w:bCs/>
                <w:color w:val="000000"/>
                <w:sz w:val="20"/>
                <w:szCs w:val="20"/>
                <w:lang w:eastAsia="sk-SK"/>
              </w:rPr>
              <w:t xml:space="preserve">Tabuľka </w:t>
            </w:r>
            <w:r w:rsidRPr="00666914">
              <w:rPr>
                <w:rFonts w:eastAsia="Times New Roman" w:cs="Calibri"/>
                <w:b/>
                <w:bCs/>
                <w:color w:val="000000"/>
                <w:sz w:val="20"/>
                <w:szCs w:val="20"/>
                <w:lang w:eastAsia="sk-SK"/>
              </w:rPr>
              <w:fldChar w:fldCharType="begin"/>
            </w:r>
            <w:r w:rsidRPr="00666914">
              <w:rPr>
                <w:rFonts w:eastAsia="Times New Roman" w:cs="Calibri"/>
                <w:b/>
                <w:bCs/>
                <w:color w:val="000000"/>
                <w:sz w:val="20"/>
                <w:szCs w:val="20"/>
                <w:lang w:eastAsia="sk-SK"/>
              </w:rPr>
              <w:instrText xml:space="preserve"> SEQ Tabuľka \* ARABIC \* MERGEFORMAT </w:instrText>
            </w:r>
            <w:r w:rsidRPr="00666914">
              <w:rPr>
                <w:rFonts w:eastAsia="Times New Roman" w:cs="Calibri"/>
                <w:b/>
                <w:bCs/>
                <w:color w:val="000000"/>
                <w:sz w:val="20"/>
                <w:szCs w:val="20"/>
                <w:lang w:eastAsia="sk-SK"/>
              </w:rPr>
              <w:fldChar w:fldCharType="separate"/>
            </w:r>
            <w:r w:rsidR="005A7304">
              <w:rPr>
                <w:rFonts w:eastAsia="Times New Roman" w:cs="Calibri"/>
                <w:b/>
                <w:bCs/>
                <w:noProof/>
                <w:color w:val="000000"/>
                <w:sz w:val="20"/>
                <w:szCs w:val="20"/>
                <w:lang w:eastAsia="sk-SK"/>
              </w:rPr>
              <w:t>90</w:t>
            </w:r>
            <w:r w:rsidRPr="00666914">
              <w:rPr>
                <w:rFonts w:eastAsia="Times New Roman" w:cs="Calibri"/>
                <w:b/>
                <w:bCs/>
                <w:color w:val="000000"/>
                <w:sz w:val="20"/>
                <w:szCs w:val="20"/>
                <w:lang w:eastAsia="sk-SK"/>
              </w:rPr>
              <w:fldChar w:fldCharType="end"/>
            </w:r>
            <w:r w:rsidRPr="00666914">
              <w:rPr>
                <w:rFonts w:eastAsia="Times New Roman" w:cs="Calibri"/>
                <w:b/>
                <w:bCs/>
                <w:color w:val="000000"/>
                <w:sz w:val="20"/>
                <w:szCs w:val="20"/>
                <w:lang w:eastAsia="sk-SK"/>
              </w:rPr>
              <w:t>: Návrh merateľných ukazovateľov hodnotenia efektívnosti pobočiek</w:t>
            </w:r>
            <w:bookmarkEnd w:id="403"/>
            <w:r w:rsidRPr="00666914">
              <w:rPr>
                <w:rFonts w:eastAsia="Times New Roman" w:cs="Calibri"/>
                <w:b/>
                <w:bCs/>
                <w:color w:val="000000"/>
                <w:sz w:val="20"/>
                <w:szCs w:val="20"/>
                <w:lang w:eastAsia="sk-SK"/>
              </w:rPr>
              <w:t xml:space="preserve"> </w:t>
            </w:r>
          </w:p>
        </w:tc>
        <w:tc>
          <w:tcPr>
            <w:tcW w:w="0" w:type="auto"/>
            <w:tcBorders>
              <w:top w:val="nil"/>
              <w:left w:val="nil"/>
              <w:bottom w:val="nil"/>
              <w:right w:val="nil"/>
            </w:tcBorders>
            <w:shd w:val="clear" w:color="auto" w:fill="auto"/>
            <w:noWrap/>
            <w:vAlign w:val="bottom"/>
            <w:hideMark/>
          </w:tcPr>
          <w:p w14:paraId="0948EAF7" w14:textId="77777777" w:rsidR="00E66F49" w:rsidRPr="00666914" w:rsidRDefault="00E66F49" w:rsidP="00D27F91">
            <w:pPr>
              <w:spacing w:after="0"/>
              <w:jc w:val="left"/>
              <w:rPr>
                <w:rFonts w:eastAsia="Times New Roman" w:cs="Calibri"/>
                <w:b/>
                <w:bCs/>
                <w:color w:val="000000"/>
                <w:sz w:val="20"/>
                <w:szCs w:val="20"/>
                <w:lang w:eastAsia="sk-SK"/>
              </w:rPr>
            </w:pPr>
          </w:p>
        </w:tc>
      </w:tr>
      <w:tr w:rsidR="00E66F49" w:rsidRPr="00666914" w14:paraId="206C7800" w14:textId="77777777" w:rsidTr="00D27F91">
        <w:trPr>
          <w:trHeight w:val="255"/>
        </w:trPr>
        <w:tc>
          <w:tcPr>
            <w:tcW w:w="0" w:type="auto"/>
            <w:tcBorders>
              <w:top w:val="single" w:sz="4" w:space="0" w:color="auto"/>
              <w:left w:val="nil"/>
              <w:bottom w:val="single" w:sz="4" w:space="0" w:color="auto"/>
              <w:right w:val="nil"/>
            </w:tcBorders>
            <w:shd w:val="clear" w:color="auto" w:fill="auto"/>
            <w:noWrap/>
            <w:vAlign w:val="bottom"/>
            <w:hideMark/>
          </w:tcPr>
          <w:p w14:paraId="10DA48BE"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 xml:space="preserve">Oblasť </w:t>
            </w:r>
          </w:p>
        </w:tc>
        <w:tc>
          <w:tcPr>
            <w:tcW w:w="0" w:type="auto"/>
            <w:tcBorders>
              <w:top w:val="single" w:sz="4" w:space="0" w:color="auto"/>
              <w:left w:val="nil"/>
              <w:bottom w:val="single" w:sz="4" w:space="0" w:color="auto"/>
              <w:right w:val="nil"/>
            </w:tcBorders>
            <w:shd w:val="clear" w:color="auto" w:fill="auto"/>
            <w:noWrap/>
            <w:vAlign w:val="bottom"/>
            <w:hideMark/>
          </w:tcPr>
          <w:p w14:paraId="212552B4"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 </w:t>
            </w:r>
          </w:p>
        </w:tc>
        <w:tc>
          <w:tcPr>
            <w:tcW w:w="0" w:type="auto"/>
            <w:gridSpan w:val="3"/>
            <w:tcBorders>
              <w:top w:val="single" w:sz="4" w:space="0" w:color="auto"/>
              <w:left w:val="single" w:sz="4" w:space="0" w:color="auto"/>
              <w:bottom w:val="single" w:sz="4" w:space="0" w:color="auto"/>
              <w:right w:val="nil"/>
            </w:tcBorders>
            <w:shd w:val="clear" w:color="auto" w:fill="auto"/>
            <w:noWrap/>
            <w:vAlign w:val="bottom"/>
            <w:hideMark/>
          </w:tcPr>
          <w:p w14:paraId="2FE28747"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 xml:space="preserve">Merateľné ukazovatele </w:t>
            </w:r>
          </w:p>
        </w:tc>
      </w:tr>
      <w:tr w:rsidR="00E66F49" w:rsidRPr="00666914" w14:paraId="60E7ADFA" w14:textId="77777777" w:rsidTr="00D27F91">
        <w:trPr>
          <w:trHeight w:val="255"/>
        </w:trPr>
        <w:tc>
          <w:tcPr>
            <w:tcW w:w="0" w:type="auto"/>
            <w:tcBorders>
              <w:top w:val="nil"/>
              <w:left w:val="nil"/>
              <w:bottom w:val="nil"/>
              <w:right w:val="nil"/>
            </w:tcBorders>
            <w:shd w:val="clear" w:color="auto" w:fill="auto"/>
            <w:noWrap/>
            <w:vAlign w:val="center"/>
            <w:hideMark/>
          </w:tcPr>
          <w:p w14:paraId="7C445D3B"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Ekonomické náklady</w:t>
            </w:r>
          </w:p>
        </w:tc>
        <w:tc>
          <w:tcPr>
            <w:tcW w:w="0" w:type="auto"/>
            <w:tcBorders>
              <w:top w:val="nil"/>
              <w:left w:val="nil"/>
              <w:bottom w:val="nil"/>
              <w:right w:val="nil"/>
            </w:tcBorders>
            <w:shd w:val="clear" w:color="auto" w:fill="auto"/>
            <w:noWrap/>
            <w:vAlign w:val="center"/>
            <w:hideMark/>
          </w:tcPr>
          <w:p w14:paraId="65B99A57"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správa budov</w:t>
            </w:r>
          </w:p>
        </w:tc>
        <w:tc>
          <w:tcPr>
            <w:tcW w:w="0" w:type="auto"/>
            <w:tcBorders>
              <w:top w:val="nil"/>
              <w:left w:val="single" w:sz="4" w:space="0" w:color="auto"/>
              <w:bottom w:val="nil"/>
              <w:right w:val="nil"/>
            </w:tcBorders>
            <w:shd w:val="clear" w:color="auto" w:fill="auto"/>
            <w:noWrap/>
            <w:vAlign w:val="center"/>
            <w:hideMark/>
          </w:tcPr>
          <w:p w14:paraId="1C62E9D4"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náklad/m2</w:t>
            </w:r>
          </w:p>
        </w:tc>
        <w:tc>
          <w:tcPr>
            <w:tcW w:w="0" w:type="auto"/>
            <w:tcBorders>
              <w:top w:val="nil"/>
              <w:left w:val="single" w:sz="4" w:space="0" w:color="auto"/>
              <w:bottom w:val="nil"/>
              <w:right w:val="nil"/>
            </w:tcBorders>
            <w:shd w:val="clear" w:color="auto" w:fill="auto"/>
            <w:noWrap/>
            <w:vAlign w:val="center"/>
            <w:hideMark/>
          </w:tcPr>
          <w:p w14:paraId="19B124E9"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m2/zam.</w:t>
            </w:r>
          </w:p>
        </w:tc>
        <w:tc>
          <w:tcPr>
            <w:tcW w:w="0" w:type="auto"/>
            <w:tcBorders>
              <w:top w:val="nil"/>
              <w:left w:val="single" w:sz="4" w:space="0" w:color="auto"/>
              <w:bottom w:val="nil"/>
              <w:right w:val="nil"/>
            </w:tcBorders>
            <w:shd w:val="clear" w:color="auto" w:fill="auto"/>
            <w:noWrap/>
            <w:vAlign w:val="center"/>
            <w:hideMark/>
          </w:tcPr>
          <w:p w14:paraId="3BE1CFA5" w14:textId="77777777" w:rsidR="00E66F49" w:rsidRPr="00666914" w:rsidRDefault="00E66F49" w:rsidP="00D27F91">
            <w:pPr>
              <w:spacing w:after="0"/>
              <w:jc w:val="left"/>
              <w:rPr>
                <w:rFonts w:eastAsia="Times New Roman" w:cs="Calibri"/>
                <w:color w:val="000000"/>
                <w:sz w:val="20"/>
                <w:szCs w:val="20"/>
                <w:lang w:eastAsia="sk-SK"/>
              </w:rPr>
            </w:pPr>
          </w:p>
        </w:tc>
      </w:tr>
      <w:tr w:rsidR="00E66F49" w:rsidRPr="00666914" w14:paraId="760B7EA6" w14:textId="77777777" w:rsidTr="00D27F91">
        <w:trPr>
          <w:trHeight w:val="255"/>
        </w:trPr>
        <w:tc>
          <w:tcPr>
            <w:tcW w:w="0" w:type="auto"/>
            <w:tcBorders>
              <w:top w:val="nil"/>
              <w:left w:val="nil"/>
              <w:bottom w:val="nil"/>
              <w:right w:val="nil"/>
            </w:tcBorders>
            <w:shd w:val="clear" w:color="auto" w:fill="auto"/>
            <w:noWrap/>
            <w:vAlign w:val="center"/>
            <w:hideMark/>
          </w:tcPr>
          <w:p w14:paraId="330A4323" w14:textId="77777777" w:rsidR="00E66F49" w:rsidRPr="00666914" w:rsidRDefault="00E66F49" w:rsidP="00D27F91">
            <w:pPr>
              <w:spacing w:after="0"/>
              <w:jc w:val="left"/>
              <w:rPr>
                <w:rFonts w:eastAsia="Times New Roman" w:cs="Calibri"/>
                <w:color w:val="000000"/>
                <w:sz w:val="20"/>
                <w:szCs w:val="20"/>
                <w:lang w:eastAsia="sk-SK"/>
              </w:rPr>
            </w:pPr>
          </w:p>
        </w:tc>
        <w:tc>
          <w:tcPr>
            <w:tcW w:w="0" w:type="auto"/>
            <w:tcBorders>
              <w:top w:val="nil"/>
              <w:left w:val="nil"/>
              <w:bottom w:val="nil"/>
              <w:right w:val="nil"/>
            </w:tcBorders>
            <w:shd w:val="clear" w:color="auto" w:fill="auto"/>
            <w:noWrap/>
            <w:vAlign w:val="center"/>
            <w:hideMark/>
          </w:tcPr>
          <w:p w14:paraId="2BBE5E19"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spotreba materiálu</w:t>
            </w:r>
          </w:p>
        </w:tc>
        <w:tc>
          <w:tcPr>
            <w:tcW w:w="0" w:type="auto"/>
            <w:tcBorders>
              <w:top w:val="nil"/>
              <w:left w:val="single" w:sz="4" w:space="0" w:color="auto"/>
              <w:bottom w:val="nil"/>
              <w:right w:val="nil"/>
            </w:tcBorders>
            <w:shd w:val="clear" w:color="auto" w:fill="auto"/>
            <w:noWrap/>
            <w:vAlign w:val="center"/>
            <w:hideMark/>
          </w:tcPr>
          <w:p w14:paraId="412CAA64"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eur/zam.</w:t>
            </w:r>
          </w:p>
        </w:tc>
        <w:tc>
          <w:tcPr>
            <w:tcW w:w="0" w:type="auto"/>
            <w:tcBorders>
              <w:top w:val="nil"/>
              <w:left w:val="single" w:sz="4" w:space="0" w:color="auto"/>
              <w:bottom w:val="nil"/>
              <w:right w:val="nil"/>
            </w:tcBorders>
            <w:shd w:val="clear" w:color="auto" w:fill="auto"/>
            <w:noWrap/>
            <w:vAlign w:val="center"/>
            <w:hideMark/>
          </w:tcPr>
          <w:p w14:paraId="699198D7" w14:textId="77777777" w:rsidR="00E66F49" w:rsidRPr="00666914" w:rsidRDefault="00E66F49" w:rsidP="00D27F91">
            <w:pPr>
              <w:spacing w:after="0"/>
              <w:jc w:val="left"/>
              <w:rPr>
                <w:rFonts w:eastAsia="Times New Roman" w:cs="Calibri"/>
                <w:color w:val="000000"/>
                <w:sz w:val="20"/>
                <w:szCs w:val="20"/>
                <w:lang w:eastAsia="sk-SK"/>
              </w:rPr>
            </w:pPr>
          </w:p>
        </w:tc>
        <w:tc>
          <w:tcPr>
            <w:tcW w:w="0" w:type="auto"/>
            <w:tcBorders>
              <w:top w:val="nil"/>
              <w:left w:val="single" w:sz="4" w:space="0" w:color="auto"/>
              <w:bottom w:val="nil"/>
              <w:right w:val="nil"/>
            </w:tcBorders>
            <w:shd w:val="clear" w:color="auto" w:fill="auto"/>
            <w:noWrap/>
            <w:vAlign w:val="center"/>
            <w:hideMark/>
          </w:tcPr>
          <w:p w14:paraId="11A15A22" w14:textId="77777777" w:rsidR="00E66F49" w:rsidRPr="00666914" w:rsidRDefault="00E66F49" w:rsidP="00D27F91">
            <w:pPr>
              <w:spacing w:after="0"/>
              <w:jc w:val="left"/>
              <w:rPr>
                <w:rFonts w:eastAsia="Times New Roman" w:cs="Calibri"/>
                <w:color w:val="000000"/>
                <w:sz w:val="20"/>
                <w:szCs w:val="20"/>
                <w:lang w:eastAsia="sk-SK"/>
              </w:rPr>
            </w:pPr>
          </w:p>
        </w:tc>
      </w:tr>
      <w:tr w:rsidR="00E66F49" w:rsidRPr="00666914" w14:paraId="28D7AB05" w14:textId="77777777" w:rsidTr="00D27F91">
        <w:trPr>
          <w:trHeight w:val="255"/>
        </w:trPr>
        <w:tc>
          <w:tcPr>
            <w:tcW w:w="0" w:type="auto"/>
            <w:tcBorders>
              <w:top w:val="nil"/>
              <w:left w:val="nil"/>
              <w:bottom w:val="nil"/>
              <w:right w:val="nil"/>
            </w:tcBorders>
            <w:shd w:val="clear" w:color="auto" w:fill="auto"/>
            <w:noWrap/>
            <w:vAlign w:val="center"/>
            <w:hideMark/>
          </w:tcPr>
          <w:p w14:paraId="32069E44" w14:textId="77777777" w:rsidR="00E66F49" w:rsidRPr="00666914" w:rsidRDefault="00E66F49" w:rsidP="00D27F91">
            <w:pPr>
              <w:spacing w:after="0"/>
              <w:jc w:val="left"/>
              <w:rPr>
                <w:rFonts w:eastAsia="Times New Roman" w:cs="Calibri"/>
                <w:color w:val="000000"/>
                <w:sz w:val="20"/>
                <w:szCs w:val="20"/>
                <w:lang w:eastAsia="sk-SK"/>
              </w:rPr>
            </w:pPr>
          </w:p>
        </w:tc>
        <w:tc>
          <w:tcPr>
            <w:tcW w:w="0" w:type="auto"/>
            <w:tcBorders>
              <w:top w:val="nil"/>
              <w:left w:val="nil"/>
              <w:bottom w:val="nil"/>
              <w:right w:val="nil"/>
            </w:tcBorders>
            <w:shd w:val="clear" w:color="auto" w:fill="auto"/>
            <w:noWrap/>
            <w:vAlign w:val="center"/>
            <w:hideMark/>
          </w:tcPr>
          <w:p w14:paraId="42F26933"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telefóny, internet, poštovné</w:t>
            </w:r>
          </w:p>
        </w:tc>
        <w:tc>
          <w:tcPr>
            <w:tcW w:w="0" w:type="auto"/>
            <w:tcBorders>
              <w:top w:val="nil"/>
              <w:left w:val="single" w:sz="4" w:space="0" w:color="auto"/>
              <w:bottom w:val="nil"/>
              <w:right w:val="nil"/>
            </w:tcBorders>
            <w:shd w:val="clear" w:color="auto" w:fill="auto"/>
            <w:noWrap/>
            <w:vAlign w:val="center"/>
            <w:hideMark/>
          </w:tcPr>
          <w:p w14:paraId="68BAA2D7"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eur/zam.</w:t>
            </w:r>
          </w:p>
        </w:tc>
        <w:tc>
          <w:tcPr>
            <w:tcW w:w="0" w:type="auto"/>
            <w:tcBorders>
              <w:top w:val="nil"/>
              <w:left w:val="single" w:sz="4" w:space="0" w:color="auto"/>
              <w:bottom w:val="nil"/>
              <w:right w:val="nil"/>
            </w:tcBorders>
            <w:shd w:val="clear" w:color="auto" w:fill="auto"/>
            <w:noWrap/>
            <w:vAlign w:val="center"/>
            <w:hideMark/>
          </w:tcPr>
          <w:p w14:paraId="5B05FFB9"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cena/zásielka</w:t>
            </w:r>
          </w:p>
        </w:tc>
        <w:tc>
          <w:tcPr>
            <w:tcW w:w="0" w:type="auto"/>
            <w:tcBorders>
              <w:top w:val="nil"/>
              <w:left w:val="single" w:sz="4" w:space="0" w:color="auto"/>
              <w:bottom w:val="nil"/>
              <w:right w:val="nil"/>
            </w:tcBorders>
            <w:shd w:val="clear" w:color="auto" w:fill="auto"/>
            <w:noWrap/>
            <w:vAlign w:val="center"/>
            <w:hideMark/>
          </w:tcPr>
          <w:p w14:paraId="10305272" w14:textId="77777777" w:rsidR="00E66F49" w:rsidRPr="00666914" w:rsidRDefault="00E66F49" w:rsidP="00D27F91">
            <w:pPr>
              <w:spacing w:after="0"/>
              <w:jc w:val="left"/>
              <w:rPr>
                <w:rFonts w:eastAsia="Times New Roman" w:cs="Calibri"/>
                <w:color w:val="000000"/>
                <w:sz w:val="20"/>
                <w:szCs w:val="20"/>
                <w:lang w:eastAsia="sk-SK"/>
              </w:rPr>
            </w:pPr>
          </w:p>
        </w:tc>
      </w:tr>
      <w:tr w:rsidR="00E66F49" w:rsidRPr="00666914" w14:paraId="24196231" w14:textId="77777777" w:rsidTr="00D27F91">
        <w:trPr>
          <w:trHeight w:val="522"/>
        </w:trPr>
        <w:tc>
          <w:tcPr>
            <w:tcW w:w="0" w:type="auto"/>
            <w:tcBorders>
              <w:top w:val="nil"/>
              <w:left w:val="nil"/>
              <w:bottom w:val="nil"/>
              <w:right w:val="nil"/>
            </w:tcBorders>
            <w:shd w:val="clear" w:color="auto" w:fill="auto"/>
            <w:noWrap/>
            <w:vAlign w:val="center"/>
            <w:hideMark/>
          </w:tcPr>
          <w:p w14:paraId="74C89CDB" w14:textId="77777777" w:rsidR="00E66F49" w:rsidRPr="00666914" w:rsidRDefault="00E66F49" w:rsidP="00D27F91">
            <w:pPr>
              <w:spacing w:after="0"/>
              <w:jc w:val="left"/>
              <w:rPr>
                <w:rFonts w:eastAsia="Times New Roman" w:cs="Calibri"/>
                <w:color w:val="000000"/>
                <w:sz w:val="20"/>
                <w:szCs w:val="20"/>
                <w:lang w:eastAsia="sk-SK"/>
              </w:rPr>
            </w:pPr>
          </w:p>
        </w:tc>
        <w:tc>
          <w:tcPr>
            <w:tcW w:w="0" w:type="auto"/>
            <w:tcBorders>
              <w:top w:val="nil"/>
              <w:left w:val="nil"/>
              <w:bottom w:val="nil"/>
              <w:right w:val="nil"/>
            </w:tcBorders>
            <w:shd w:val="clear" w:color="auto" w:fill="auto"/>
            <w:noWrap/>
            <w:vAlign w:val="center"/>
            <w:hideMark/>
          </w:tcPr>
          <w:p w14:paraId="4F3666AF"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opravy a údržba - SW / HW, kancel.technika</w:t>
            </w:r>
          </w:p>
        </w:tc>
        <w:tc>
          <w:tcPr>
            <w:tcW w:w="0" w:type="auto"/>
            <w:tcBorders>
              <w:top w:val="nil"/>
              <w:left w:val="single" w:sz="4" w:space="0" w:color="auto"/>
              <w:bottom w:val="nil"/>
              <w:right w:val="nil"/>
            </w:tcBorders>
            <w:shd w:val="clear" w:color="auto" w:fill="auto"/>
            <w:noWrap/>
            <w:vAlign w:val="center"/>
            <w:hideMark/>
          </w:tcPr>
          <w:p w14:paraId="750E1B6B"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cena/človekodeň</w:t>
            </w:r>
          </w:p>
        </w:tc>
        <w:tc>
          <w:tcPr>
            <w:tcW w:w="0" w:type="auto"/>
            <w:tcBorders>
              <w:top w:val="nil"/>
              <w:left w:val="single" w:sz="4" w:space="0" w:color="auto"/>
              <w:bottom w:val="nil"/>
              <w:right w:val="nil"/>
            </w:tcBorders>
            <w:shd w:val="clear" w:color="auto" w:fill="auto"/>
            <w:noWrap/>
            <w:vAlign w:val="center"/>
            <w:hideMark/>
          </w:tcPr>
          <w:p w14:paraId="393EBB87"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nákladov na servis/celková hodnota SW</w:t>
            </w:r>
          </w:p>
        </w:tc>
        <w:tc>
          <w:tcPr>
            <w:tcW w:w="0" w:type="auto"/>
            <w:tcBorders>
              <w:top w:val="nil"/>
              <w:left w:val="single" w:sz="4" w:space="0" w:color="auto"/>
              <w:bottom w:val="nil"/>
              <w:right w:val="nil"/>
            </w:tcBorders>
            <w:shd w:val="clear" w:color="auto" w:fill="auto"/>
            <w:noWrap/>
            <w:vAlign w:val="center"/>
            <w:hideMark/>
          </w:tcPr>
          <w:p w14:paraId="36ACF400"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eur/zar.</w:t>
            </w:r>
          </w:p>
        </w:tc>
      </w:tr>
      <w:tr w:rsidR="00E66F49" w:rsidRPr="00666914" w14:paraId="345917A2" w14:textId="77777777" w:rsidTr="00D27F91">
        <w:trPr>
          <w:trHeight w:val="255"/>
        </w:trPr>
        <w:tc>
          <w:tcPr>
            <w:tcW w:w="0" w:type="auto"/>
            <w:tcBorders>
              <w:top w:val="nil"/>
              <w:left w:val="nil"/>
              <w:bottom w:val="nil"/>
              <w:right w:val="nil"/>
            </w:tcBorders>
            <w:shd w:val="clear" w:color="auto" w:fill="auto"/>
            <w:noWrap/>
            <w:vAlign w:val="center"/>
            <w:hideMark/>
          </w:tcPr>
          <w:p w14:paraId="7CD8C27F" w14:textId="77777777" w:rsidR="00E66F49" w:rsidRPr="00666914" w:rsidRDefault="00E66F49" w:rsidP="00D27F91">
            <w:pPr>
              <w:spacing w:after="0"/>
              <w:jc w:val="left"/>
              <w:rPr>
                <w:rFonts w:eastAsia="Times New Roman" w:cs="Calibri"/>
                <w:color w:val="000000"/>
                <w:sz w:val="20"/>
                <w:szCs w:val="20"/>
                <w:lang w:eastAsia="sk-SK"/>
              </w:rPr>
            </w:pPr>
          </w:p>
        </w:tc>
        <w:tc>
          <w:tcPr>
            <w:tcW w:w="0" w:type="auto"/>
            <w:tcBorders>
              <w:top w:val="nil"/>
              <w:left w:val="nil"/>
              <w:bottom w:val="nil"/>
              <w:right w:val="nil"/>
            </w:tcBorders>
            <w:shd w:val="clear" w:color="auto" w:fill="auto"/>
            <w:noWrap/>
            <w:vAlign w:val="center"/>
            <w:hideMark/>
          </w:tcPr>
          <w:p w14:paraId="22AA7408"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náklady na vozový park</w:t>
            </w:r>
          </w:p>
        </w:tc>
        <w:tc>
          <w:tcPr>
            <w:tcW w:w="0" w:type="auto"/>
            <w:tcBorders>
              <w:top w:val="nil"/>
              <w:left w:val="single" w:sz="4" w:space="0" w:color="auto"/>
              <w:bottom w:val="nil"/>
              <w:right w:val="nil"/>
            </w:tcBorders>
            <w:shd w:val="clear" w:color="auto" w:fill="auto"/>
            <w:noWrap/>
            <w:vAlign w:val="center"/>
            <w:hideMark/>
          </w:tcPr>
          <w:p w14:paraId="00320DFC"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eur/auto</w:t>
            </w:r>
          </w:p>
        </w:tc>
        <w:tc>
          <w:tcPr>
            <w:tcW w:w="0" w:type="auto"/>
            <w:tcBorders>
              <w:top w:val="nil"/>
              <w:left w:val="single" w:sz="4" w:space="0" w:color="auto"/>
              <w:bottom w:val="nil"/>
              <w:right w:val="nil"/>
            </w:tcBorders>
            <w:shd w:val="clear" w:color="auto" w:fill="auto"/>
            <w:noWrap/>
            <w:vAlign w:val="center"/>
            <w:hideMark/>
          </w:tcPr>
          <w:p w14:paraId="1B4F1D11"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spotreba l/100 km</w:t>
            </w:r>
          </w:p>
        </w:tc>
        <w:tc>
          <w:tcPr>
            <w:tcW w:w="0" w:type="auto"/>
            <w:tcBorders>
              <w:top w:val="nil"/>
              <w:left w:val="single" w:sz="4" w:space="0" w:color="auto"/>
              <w:bottom w:val="nil"/>
              <w:right w:val="nil"/>
            </w:tcBorders>
            <w:shd w:val="clear" w:color="auto" w:fill="auto"/>
            <w:noWrap/>
            <w:vAlign w:val="center"/>
            <w:hideMark/>
          </w:tcPr>
          <w:p w14:paraId="451AE893"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spotreba l/1 auto</w:t>
            </w:r>
          </w:p>
        </w:tc>
      </w:tr>
      <w:tr w:rsidR="00E66F49" w:rsidRPr="00666914" w14:paraId="13340B02" w14:textId="77777777" w:rsidTr="00D27F91">
        <w:trPr>
          <w:trHeight w:val="255"/>
        </w:trPr>
        <w:tc>
          <w:tcPr>
            <w:tcW w:w="0" w:type="auto"/>
            <w:tcBorders>
              <w:top w:val="nil"/>
              <w:left w:val="nil"/>
              <w:bottom w:val="single" w:sz="4" w:space="0" w:color="auto"/>
              <w:right w:val="nil"/>
            </w:tcBorders>
            <w:shd w:val="clear" w:color="auto" w:fill="auto"/>
            <w:noWrap/>
            <w:vAlign w:val="center"/>
            <w:hideMark/>
          </w:tcPr>
          <w:p w14:paraId="58EC7F96" w14:textId="77777777" w:rsidR="00E66F49" w:rsidRPr="00666914" w:rsidRDefault="00E66F49" w:rsidP="00D27F91">
            <w:pPr>
              <w:spacing w:after="0"/>
              <w:jc w:val="left"/>
              <w:rPr>
                <w:rFonts w:eastAsia="Times New Roman" w:cs="Calibri"/>
                <w:b/>
                <w:bCs/>
                <w:color w:val="000000"/>
                <w:sz w:val="20"/>
                <w:szCs w:val="20"/>
                <w:lang w:eastAsia="sk-SK"/>
              </w:rPr>
            </w:pPr>
          </w:p>
        </w:tc>
        <w:tc>
          <w:tcPr>
            <w:tcW w:w="0" w:type="auto"/>
            <w:tcBorders>
              <w:top w:val="nil"/>
              <w:left w:val="nil"/>
              <w:bottom w:val="single" w:sz="4" w:space="0" w:color="auto"/>
              <w:right w:val="nil"/>
            </w:tcBorders>
            <w:shd w:val="clear" w:color="auto" w:fill="auto"/>
            <w:noWrap/>
            <w:vAlign w:val="center"/>
            <w:hideMark/>
          </w:tcPr>
          <w:p w14:paraId="03E78040"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reklama, ostatné náklady</w:t>
            </w:r>
          </w:p>
        </w:tc>
        <w:tc>
          <w:tcPr>
            <w:tcW w:w="0" w:type="auto"/>
            <w:tcBorders>
              <w:top w:val="nil"/>
              <w:left w:val="single" w:sz="4" w:space="0" w:color="auto"/>
              <w:bottom w:val="single" w:sz="4" w:space="0" w:color="auto"/>
              <w:right w:val="nil"/>
            </w:tcBorders>
            <w:shd w:val="clear" w:color="auto" w:fill="auto"/>
            <w:noWrap/>
            <w:vAlign w:val="center"/>
            <w:hideMark/>
          </w:tcPr>
          <w:p w14:paraId="632FDA29" w14:textId="77777777" w:rsidR="00E66F49" w:rsidRPr="00666914" w:rsidRDefault="00E66F49" w:rsidP="00D27F91">
            <w:pPr>
              <w:spacing w:after="0"/>
              <w:jc w:val="left"/>
              <w:rPr>
                <w:rFonts w:eastAsia="Times New Roman" w:cs="Calibri"/>
                <w:color w:val="000000"/>
                <w:sz w:val="20"/>
                <w:szCs w:val="20"/>
                <w:lang w:eastAsia="sk-SK"/>
              </w:rPr>
            </w:pPr>
          </w:p>
        </w:tc>
        <w:tc>
          <w:tcPr>
            <w:tcW w:w="0" w:type="auto"/>
            <w:tcBorders>
              <w:top w:val="nil"/>
              <w:left w:val="single" w:sz="4" w:space="0" w:color="auto"/>
              <w:bottom w:val="single" w:sz="4" w:space="0" w:color="auto"/>
              <w:right w:val="nil"/>
            </w:tcBorders>
            <w:shd w:val="clear" w:color="auto" w:fill="auto"/>
            <w:noWrap/>
            <w:vAlign w:val="center"/>
            <w:hideMark/>
          </w:tcPr>
          <w:p w14:paraId="3DD1389A" w14:textId="77777777" w:rsidR="00E66F49" w:rsidRPr="00666914" w:rsidRDefault="00E66F49" w:rsidP="00D27F91">
            <w:pPr>
              <w:spacing w:after="0"/>
              <w:jc w:val="left"/>
              <w:rPr>
                <w:rFonts w:eastAsia="Times New Roman" w:cs="Calibri"/>
                <w:color w:val="000000"/>
                <w:sz w:val="20"/>
                <w:szCs w:val="20"/>
                <w:lang w:eastAsia="sk-SK"/>
              </w:rPr>
            </w:pPr>
          </w:p>
        </w:tc>
        <w:tc>
          <w:tcPr>
            <w:tcW w:w="0" w:type="auto"/>
            <w:tcBorders>
              <w:top w:val="nil"/>
              <w:left w:val="single" w:sz="4" w:space="0" w:color="auto"/>
              <w:bottom w:val="single" w:sz="4" w:space="0" w:color="auto"/>
              <w:right w:val="nil"/>
            </w:tcBorders>
            <w:shd w:val="clear" w:color="auto" w:fill="auto"/>
            <w:noWrap/>
            <w:vAlign w:val="center"/>
            <w:hideMark/>
          </w:tcPr>
          <w:p w14:paraId="1E754064" w14:textId="77777777" w:rsidR="00E66F49" w:rsidRPr="00666914" w:rsidRDefault="00E66F49" w:rsidP="00D27F91">
            <w:pPr>
              <w:spacing w:after="0"/>
              <w:jc w:val="left"/>
              <w:rPr>
                <w:rFonts w:eastAsia="Times New Roman" w:cs="Calibri"/>
                <w:color w:val="000000"/>
                <w:sz w:val="20"/>
                <w:szCs w:val="20"/>
                <w:lang w:eastAsia="sk-SK"/>
              </w:rPr>
            </w:pPr>
          </w:p>
        </w:tc>
      </w:tr>
      <w:tr w:rsidR="00E66F49" w:rsidRPr="00666914" w14:paraId="032F4B6F" w14:textId="77777777" w:rsidTr="00D27F91">
        <w:trPr>
          <w:trHeight w:val="510"/>
        </w:trPr>
        <w:tc>
          <w:tcPr>
            <w:tcW w:w="0" w:type="auto"/>
            <w:tcBorders>
              <w:top w:val="nil"/>
              <w:left w:val="nil"/>
              <w:bottom w:val="nil"/>
              <w:right w:val="nil"/>
            </w:tcBorders>
            <w:shd w:val="clear" w:color="auto" w:fill="auto"/>
            <w:noWrap/>
            <w:vAlign w:val="center"/>
            <w:hideMark/>
          </w:tcPr>
          <w:p w14:paraId="4E96F490"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Personálne náklady</w:t>
            </w:r>
          </w:p>
        </w:tc>
        <w:tc>
          <w:tcPr>
            <w:tcW w:w="0" w:type="auto"/>
            <w:tcBorders>
              <w:top w:val="nil"/>
              <w:left w:val="nil"/>
              <w:bottom w:val="nil"/>
              <w:right w:val="nil"/>
            </w:tcBorders>
            <w:shd w:val="clear" w:color="auto" w:fill="auto"/>
            <w:noWrap/>
            <w:vAlign w:val="center"/>
            <w:hideMark/>
          </w:tcPr>
          <w:p w14:paraId="103111EE"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mzdové náklady (TPČ, DPČ, vedúci zamestnanci)</w:t>
            </w:r>
          </w:p>
        </w:tc>
        <w:tc>
          <w:tcPr>
            <w:tcW w:w="0" w:type="auto"/>
            <w:tcBorders>
              <w:top w:val="nil"/>
              <w:left w:val="single" w:sz="4" w:space="0" w:color="auto"/>
              <w:bottom w:val="nil"/>
              <w:right w:val="nil"/>
            </w:tcBorders>
            <w:shd w:val="clear" w:color="auto" w:fill="auto"/>
            <w:noWrap/>
            <w:vAlign w:val="center"/>
            <w:hideMark/>
          </w:tcPr>
          <w:p w14:paraId="4589943A"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eur/zam.</w:t>
            </w:r>
          </w:p>
        </w:tc>
        <w:tc>
          <w:tcPr>
            <w:tcW w:w="0" w:type="auto"/>
            <w:tcBorders>
              <w:top w:val="nil"/>
              <w:left w:val="single" w:sz="4" w:space="0" w:color="auto"/>
              <w:bottom w:val="nil"/>
              <w:right w:val="nil"/>
            </w:tcBorders>
            <w:shd w:val="clear" w:color="auto" w:fill="auto"/>
            <w:noWrap/>
            <w:vAlign w:val="center"/>
            <w:hideMark/>
          </w:tcPr>
          <w:p w14:paraId="4A085AD3"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počet zam./1 vedúci</w:t>
            </w:r>
          </w:p>
        </w:tc>
        <w:tc>
          <w:tcPr>
            <w:tcW w:w="0" w:type="auto"/>
            <w:tcBorders>
              <w:top w:val="nil"/>
              <w:left w:val="single" w:sz="4" w:space="0" w:color="auto"/>
              <w:bottom w:val="nil"/>
              <w:right w:val="nil"/>
            </w:tcBorders>
            <w:shd w:val="clear" w:color="auto" w:fill="auto"/>
            <w:noWrap/>
            <w:vAlign w:val="center"/>
            <w:hideMark/>
          </w:tcPr>
          <w:p w14:paraId="3D911DC1" w14:textId="77777777" w:rsidR="00E66F49" w:rsidRPr="00666914" w:rsidRDefault="00E66F49" w:rsidP="00D27F91">
            <w:pPr>
              <w:spacing w:after="0"/>
              <w:jc w:val="left"/>
              <w:rPr>
                <w:rFonts w:eastAsia="Times New Roman" w:cs="Calibri"/>
                <w:color w:val="000000"/>
                <w:sz w:val="20"/>
                <w:szCs w:val="20"/>
                <w:lang w:eastAsia="sk-SK"/>
              </w:rPr>
            </w:pPr>
          </w:p>
        </w:tc>
      </w:tr>
      <w:tr w:rsidR="00E66F49" w:rsidRPr="00666914" w14:paraId="3C10E510" w14:textId="77777777" w:rsidTr="00D27F91">
        <w:trPr>
          <w:trHeight w:val="255"/>
        </w:trPr>
        <w:tc>
          <w:tcPr>
            <w:tcW w:w="0" w:type="auto"/>
            <w:tcBorders>
              <w:top w:val="nil"/>
              <w:left w:val="nil"/>
              <w:bottom w:val="single" w:sz="4" w:space="0" w:color="auto"/>
              <w:right w:val="nil"/>
            </w:tcBorders>
            <w:shd w:val="clear" w:color="auto" w:fill="auto"/>
            <w:noWrap/>
            <w:vAlign w:val="center"/>
            <w:hideMark/>
          </w:tcPr>
          <w:p w14:paraId="486D9E64" w14:textId="77777777" w:rsidR="00E66F49" w:rsidRPr="00666914" w:rsidRDefault="00E66F49" w:rsidP="00D27F91">
            <w:pPr>
              <w:spacing w:after="0"/>
              <w:jc w:val="left"/>
              <w:rPr>
                <w:rFonts w:eastAsia="Times New Roman" w:cs="Calibri"/>
                <w:b/>
                <w:bCs/>
                <w:color w:val="000000"/>
                <w:sz w:val="20"/>
                <w:szCs w:val="20"/>
                <w:lang w:eastAsia="sk-SK"/>
              </w:rPr>
            </w:pPr>
          </w:p>
        </w:tc>
        <w:tc>
          <w:tcPr>
            <w:tcW w:w="0" w:type="auto"/>
            <w:tcBorders>
              <w:top w:val="nil"/>
              <w:left w:val="nil"/>
              <w:bottom w:val="single" w:sz="4" w:space="0" w:color="auto"/>
              <w:right w:val="nil"/>
            </w:tcBorders>
            <w:shd w:val="clear" w:color="auto" w:fill="auto"/>
            <w:noWrap/>
            <w:vAlign w:val="center"/>
            <w:hideMark/>
          </w:tcPr>
          <w:p w14:paraId="30623D98"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cestovné, školenie, reprezentačné</w:t>
            </w:r>
          </w:p>
        </w:tc>
        <w:tc>
          <w:tcPr>
            <w:tcW w:w="0" w:type="auto"/>
            <w:tcBorders>
              <w:top w:val="nil"/>
              <w:left w:val="single" w:sz="4" w:space="0" w:color="auto"/>
              <w:bottom w:val="single" w:sz="4" w:space="0" w:color="auto"/>
              <w:right w:val="nil"/>
            </w:tcBorders>
            <w:shd w:val="clear" w:color="auto" w:fill="auto"/>
            <w:noWrap/>
            <w:vAlign w:val="center"/>
            <w:hideMark/>
          </w:tcPr>
          <w:p w14:paraId="43E1C3D7"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eur/zam.</w:t>
            </w:r>
          </w:p>
        </w:tc>
        <w:tc>
          <w:tcPr>
            <w:tcW w:w="0" w:type="auto"/>
            <w:tcBorders>
              <w:top w:val="nil"/>
              <w:left w:val="single" w:sz="4" w:space="0" w:color="auto"/>
              <w:bottom w:val="single" w:sz="4" w:space="0" w:color="auto"/>
              <w:right w:val="nil"/>
            </w:tcBorders>
            <w:shd w:val="clear" w:color="auto" w:fill="auto"/>
            <w:noWrap/>
            <w:vAlign w:val="center"/>
            <w:hideMark/>
          </w:tcPr>
          <w:p w14:paraId="4722DDDB" w14:textId="77777777" w:rsidR="00E66F49" w:rsidRPr="00666914" w:rsidRDefault="00E66F49" w:rsidP="00D27F91">
            <w:pPr>
              <w:spacing w:after="0"/>
              <w:jc w:val="left"/>
              <w:rPr>
                <w:rFonts w:eastAsia="Times New Roman" w:cs="Calibri"/>
                <w:color w:val="000000"/>
                <w:sz w:val="20"/>
                <w:szCs w:val="20"/>
                <w:lang w:eastAsia="sk-SK"/>
              </w:rPr>
            </w:pPr>
          </w:p>
        </w:tc>
        <w:tc>
          <w:tcPr>
            <w:tcW w:w="0" w:type="auto"/>
            <w:tcBorders>
              <w:top w:val="nil"/>
              <w:left w:val="single" w:sz="4" w:space="0" w:color="auto"/>
              <w:bottom w:val="single" w:sz="4" w:space="0" w:color="auto"/>
              <w:right w:val="nil"/>
            </w:tcBorders>
            <w:shd w:val="clear" w:color="auto" w:fill="auto"/>
            <w:noWrap/>
            <w:vAlign w:val="center"/>
            <w:hideMark/>
          </w:tcPr>
          <w:p w14:paraId="1FA5F0BA" w14:textId="77777777" w:rsidR="00E66F49" w:rsidRPr="00666914" w:rsidRDefault="00E66F49" w:rsidP="00D27F91">
            <w:pPr>
              <w:spacing w:after="0"/>
              <w:jc w:val="left"/>
              <w:rPr>
                <w:rFonts w:eastAsia="Times New Roman" w:cs="Calibri"/>
                <w:color w:val="000000"/>
                <w:sz w:val="20"/>
                <w:szCs w:val="20"/>
                <w:lang w:eastAsia="sk-SK"/>
              </w:rPr>
            </w:pPr>
          </w:p>
        </w:tc>
      </w:tr>
      <w:tr w:rsidR="00E66F49" w:rsidRPr="00666914" w14:paraId="5744EABE" w14:textId="77777777" w:rsidTr="00D27F91">
        <w:trPr>
          <w:trHeight w:val="739"/>
        </w:trPr>
        <w:tc>
          <w:tcPr>
            <w:tcW w:w="0" w:type="auto"/>
            <w:tcBorders>
              <w:top w:val="nil"/>
              <w:left w:val="nil"/>
              <w:bottom w:val="single" w:sz="4" w:space="0" w:color="auto"/>
              <w:right w:val="nil"/>
            </w:tcBorders>
            <w:shd w:val="clear" w:color="auto" w:fill="auto"/>
            <w:noWrap/>
            <w:vAlign w:val="center"/>
            <w:hideMark/>
          </w:tcPr>
          <w:p w14:paraId="6F307A51"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Produktivita/                    efektívnosť pobočiek</w:t>
            </w:r>
          </w:p>
        </w:tc>
        <w:tc>
          <w:tcPr>
            <w:tcW w:w="0" w:type="auto"/>
            <w:tcBorders>
              <w:top w:val="nil"/>
              <w:left w:val="nil"/>
              <w:bottom w:val="single" w:sz="4" w:space="0" w:color="auto"/>
              <w:right w:val="nil"/>
            </w:tcBorders>
            <w:shd w:val="clear" w:color="auto" w:fill="auto"/>
            <w:noWrap/>
            <w:vAlign w:val="center"/>
            <w:hideMark/>
          </w:tcPr>
          <w:p w14:paraId="31D157A8"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počet zamestnancov OSO, vybavené žiadosti, stránky</w:t>
            </w:r>
          </w:p>
        </w:tc>
        <w:tc>
          <w:tcPr>
            <w:tcW w:w="0" w:type="auto"/>
            <w:tcBorders>
              <w:top w:val="nil"/>
              <w:left w:val="single" w:sz="4" w:space="0" w:color="auto"/>
              <w:bottom w:val="single" w:sz="4" w:space="0" w:color="auto"/>
              <w:right w:val="nil"/>
            </w:tcBorders>
            <w:shd w:val="clear" w:color="auto" w:fill="auto"/>
            <w:noWrap/>
            <w:vAlign w:val="center"/>
            <w:hideMark/>
          </w:tcPr>
          <w:p w14:paraId="471CA6F7"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zaťaženosť pobočiek (%)</w:t>
            </w:r>
          </w:p>
        </w:tc>
        <w:tc>
          <w:tcPr>
            <w:tcW w:w="0" w:type="auto"/>
            <w:tcBorders>
              <w:top w:val="nil"/>
              <w:left w:val="single" w:sz="4" w:space="0" w:color="auto"/>
              <w:bottom w:val="single" w:sz="4" w:space="0" w:color="auto"/>
              <w:right w:val="nil"/>
            </w:tcBorders>
            <w:shd w:val="clear" w:color="auto" w:fill="auto"/>
            <w:noWrap/>
            <w:vAlign w:val="center"/>
            <w:hideMark/>
          </w:tcPr>
          <w:p w14:paraId="313E30E4"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počet klientov/1 zam. OSO</w:t>
            </w:r>
          </w:p>
        </w:tc>
        <w:tc>
          <w:tcPr>
            <w:tcW w:w="0" w:type="auto"/>
            <w:tcBorders>
              <w:top w:val="nil"/>
              <w:left w:val="single" w:sz="4" w:space="0" w:color="auto"/>
              <w:bottom w:val="single" w:sz="4" w:space="0" w:color="auto"/>
              <w:right w:val="nil"/>
            </w:tcBorders>
            <w:shd w:val="clear" w:color="auto" w:fill="auto"/>
            <w:noWrap/>
            <w:vAlign w:val="center"/>
            <w:hideMark/>
          </w:tcPr>
          <w:p w14:paraId="39E66888"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úspešnosť umiestnenia klientov (%)</w:t>
            </w:r>
          </w:p>
        </w:tc>
      </w:tr>
      <w:tr w:rsidR="00E66F49" w:rsidRPr="00666914" w14:paraId="1BE73479" w14:textId="77777777" w:rsidTr="00D27F91">
        <w:trPr>
          <w:trHeight w:val="330"/>
        </w:trPr>
        <w:tc>
          <w:tcPr>
            <w:tcW w:w="0" w:type="auto"/>
            <w:tcBorders>
              <w:top w:val="nil"/>
              <w:left w:val="nil"/>
              <w:bottom w:val="nil"/>
              <w:right w:val="nil"/>
            </w:tcBorders>
            <w:shd w:val="clear" w:color="auto" w:fill="auto"/>
            <w:noWrap/>
            <w:vAlign w:val="center"/>
            <w:hideMark/>
          </w:tcPr>
          <w:p w14:paraId="09EE63DA" w14:textId="77777777" w:rsidR="00E66F49" w:rsidRPr="00666914" w:rsidRDefault="00E66F49" w:rsidP="00D27F91">
            <w:pPr>
              <w:spacing w:after="0"/>
              <w:rPr>
                <w:rFonts w:eastAsia="Times New Roman" w:cs="Calibri"/>
                <w:color w:val="000000"/>
                <w:sz w:val="20"/>
                <w:szCs w:val="20"/>
                <w:lang w:eastAsia="sk-SK"/>
              </w:rPr>
            </w:pPr>
          </w:p>
        </w:tc>
        <w:tc>
          <w:tcPr>
            <w:tcW w:w="0" w:type="auto"/>
            <w:tcBorders>
              <w:top w:val="nil"/>
              <w:left w:val="nil"/>
              <w:bottom w:val="nil"/>
              <w:right w:val="nil"/>
            </w:tcBorders>
            <w:shd w:val="clear" w:color="auto" w:fill="auto"/>
            <w:noWrap/>
            <w:vAlign w:val="center"/>
            <w:hideMark/>
          </w:tcPr>
          <w:p w14:paraId="19795A18" w14:textId="77777777" w:rsidR="00E66F49" w:rsidRPr="00666914" w:rsidRDefault="00E66F49" w:rsidP="00D27F91">
            <w:pPr>
              <w:spacing w:after="0"/>
              <w:rPr>
                <w:rFonts w:ascii="Times New Roman" w:eastAsia="Times New Roman" w:hAnsi="Times New Roman"/>
                <w:sz w:val="20"/>
                <w:szCs w:val="20"/>
                <w:lang w:eastAsia="sk-SK"/>
              </w:rPr>
            </w:pPr>
          </w:p>
        </w:tc>
        <w:tc>
          <w:tcPr>
            <w:tcW w:w="0" w:type="auto"/>
            <w:gridSpan w:val="3"/>
            <w:tcBorders>
              <w:top w:val="single" w:sz="4" w:space="0" w:color="auto"/>
              <w:left w:val="nil"/>
              <w:bottom w:val="nil"/>
              <w:right w:val="nil"/>
            </w:tcBorders>
            <w:shd w:val="clear" w:color="auto" w:fill="auto"/>
            <w:noWrap/>
            <w:vAlign w:val="center"/>
            <w:hideMark/>
          </w:tcPr>
          <w:p w14:paraId="5F821186" w14:textId="77777777" w:rsidR="00E66F49" w:rsidRPr="00666914" w:rsidRDefault="00E66F49" w:rsidP="00D27F91">
            <w:pPr>
              <w:spacing w:after="0"/>
              <w:jc w:val="right"/>
              <w:rPr>
                <w:rFonts w:eastAsia="Times New Roman" w:cs="Calibri"/>
                <w:i/>
                <w:iCs/>
                <w:color w:val="000000"/>
                <w:sz w:val="18"/>
                <w:szCs w:val="18"/>
                <w:lang w:eastAsia="sk-SK"/>
              </w:rPr>
            </w:pPr>
            <w:r w:rsidRPr="00666914">
              <w:rPr>
                <w:rFonts w:eastAsia="Times New Roman" w:cs="Calibri"/>
                <w:i/>
                <w:iCs/>
                <w:color w:val="000000"/>
                <w:sz w:val="18"/>
                <w:szCs w:val="18"/>
                <w:lang w:eastAsia="sk-SK"/>
              </w:rPr>
              <w:t xml:space="preserve">Zdroj: ÚPSVaR, spracovanie IJ </w:t>
            </w:r>
          </w:p>
        </w:tc>
      </w:tr>
    </w:tbl>
    <w:p w14:paraId="0FD4C3ED" w14:textId="77777777" w:rsidR="00E66F49" w:rsidRPr="00666914" w:rsidRDefault="00E66F49" w:rsidP="00D27F91">
      <w:pPr>
        <w:rPr>
          <w:b/>
        </w:rPr>
      </w:pPr>
    </w:p>
    <w:p w14:paraId="706D16E3" w14:textId="5EF333E2" w:rsidR="00E66F49" w:rsidRPr="00666914" w:rsidRDefault="00E66F49" w:rsidP="00D27F91">
      <w:r w:rsidRPr="00666914">
        <w:rPr>
          <w:b/>
        </w:rPr>
        <w:t xml:space="preserve">V prípade ekonomických a personálnych nákladov </w:t>
      </w:r>
      <w:r w:rsidR="00752083" w:rsidRPr="00666914">
        <w:rPr>
          <w:b/>
        </w:rPr>
        <w:t xml:space="preserve">nedokáže </w:t>
      </w:r>
      <w:r w:rsidRPr="00666914">
        <w:rPr>
          <w:b/>
        </w:rPr>
        <w:t xml:space="preserve">ÚPSVaR podľa </w:t>
      </w:r>
      <w:r w:rsidR="00752083" w:rsidRPr="00666914">
        <w:rPr>
          <w:b/>
        </w:rPr>
        <w:t xml:space="preserve">svojho </w:t>
      </w:r>
      <w:r w:rsidRPr="00666914">
        <w:rPr>
          <w:b/>
        </w:rPr>
        <w:t>vyjadrenia niektoré výkonnostné parametre – tzv. KPIs v požadovanom rozsahu sledovať</w:t>
      </w:r>
      <w:r w:rsidRPr="00666914">
        <w:t xml:space="preserve">, resp. až po určitých úpravách v ich účtovnom systéme v roku 2020 (napr. mzdy vedúcich zamestnancov či rozdelenie nákladov budov na vlastné a cudzie). Koncom roka 2019 </w:t>
      </w:r>
      <w:r w:rsidR="00752083" w:rsidRPr="00666914">
        <w:t xml:space="preserve">zaslal ÚPSVaR </w:t>
      </w:r>
      <w:r w:rsidRPr="00666914">
        <w:t xml:space="preserve">IJ </w:t>
      </w:r>
      <w:r w:rsidR="00752083" w:rsidRPr="00666914">
        <w:t>svoj</w:t>
      </w:r>
      <w:r w:rsidRPr="00666914">
        <w:t xml:space="preserve"> vlastný návrh možných ukazovateľov pre monitoring pobočiek vrátane údajov za rok 2019, presný mechanizmus nastavenia bude dohodnutý v roku 2020.</w:t>
      </w:r>
    </w:p>
    <w:p w14:paraId="241400B9" w14:textId="08981674" w:rsidR="00E66F49" w:rsidRPr="00666914" w:rsidRDefault="00E66F49" w:rsidP="00D27F91">
      <w:pPr>
        <w:spacing w:after="0"/>
      </w:pPr>
      <w:r w:rsidRPr="00666914">
        <w:rPr>
          <w:b/>
        </w:rPr>
        <w:lastRenderedPageBreak/>
        <w:t xml:space="preserve">Vyťaženosť zamestnancov pracujúcich na oddelení služieb zamestnanosti (OSO) </w:t>
      </w:r>
      <w:r w:rsidR="00752083" w:rsidRPr="00666914">
        <w:rPr>
          <w:b/>
        </w:rPr>
        <w:t xml:space="preserve">sleduje </w:t>
      </w:r>
      <w:r w:rsidRPr="00666914">
        <w:rPr>
          <w:b/>
        </w:rPr>
        <w:t>ÚPSVaR na základe definovanej časovej náročnosti jednotlivých úkonov</w:t>
      </w:r>
      <w:r w:rsidRPr="00666914">
        <w:rPr>
          <w:rStyle w:val="Odkaznapoznmkupodiarou"/>
        </w:rPr>
        <w:footnoteReference w:id="402"/>
      </w:r>
      <w:r w:rsidRPr="00666914">
        <w:t>. IJ však ani počas prípravy SIS 2019 nebola vysvetlená metodika nastavenia časovej náročnosti ani presný účel využívania týchto údajov v rámci pobočiek ÚPSVaR.</w:t>
      </w:r>
    </w:p>
    <w:p w14:paraId="2E6C6F3B" w14:textId="77777777" w:rsidR="00E66F49" w:rsidRPr="00666914" w:rsidRDefault="00E66F49" w:rsidP="00D27F91">
      <w:pPr>
        <w:spacing w:after="0"/>
      </w:pPr>
    </w:p>
    <w:p w14:paraId="10F402DA" w14:textId="68ED985C" w:rsidR="00E66F49" w:rsidRPr="00666914" w:rsidRDefault="00E66F49" w:rsidP="00D27F91">
      <w:pPr>
        <w:spacing w:after="0"/>
        <w:rPr>
          <w:b/>
        </w:rPr>
      </w:pPr>
      <w:r w:rsidRPr="00666914">
        <w:rPr>
          <w:b/>
        </w:rPr>
        <w:t xml:space="preserve">Na meranie výkonnosti fungovania pobočiek využíva ÚPSVaR viacero zdrojov. </w:t>
      </w:r>
      <w:r w:rsidRPr="00666914">
        <w:t xml:space="preserve">Na základe štatistických údajov zbieraných na mesačnej báze vypracovávajú jednotlivé pobočky ÚPSVaR tzv. </w:t>
      </w:r>
      <w:r w:rsidRPr="00666914">
        <w:rPr>
          <w:i/>
        </w:rPr>
        <w:t xml:space="preserve">regionálne plány zamestnanosti. </w:t>
      </w:r>
      <w:r w:rsidRPr="00666914">
        <w:t xml:space="preserve">V nich uvádzajú očakávaný vývoj vo viacerých oblastiach (tabuľka </w:t>
      </w:r>
      <w:r w:rsidR="00752083" w:rsidRPr="00666914">
        <w:t>9</w:t>
      </w:r>
      <w:r w:rsidR="00EB2C64" w:rsidRPr="00666914">
        <w:t>1</w:t>
      </w:r>
      <w:r w:rsidRPr="00666914">
        <w:t>). Od roku 2019 boli do plánov doplnené aj indikátory v oblasti verejných služieb zamestnanosti na európskej úrovni</w:t>
      </w:r>
      <w:r w:rsidRPr="00666914">
        <w:rPr>
          <w:rStyle w:val="Odkaznapoznmkupodiarou"/>
        </w:rPr>
        <w:footnoteReference w:id="403"/>
      </w:r>
      <w:r w:rsidRPr="00666914">
        <w:t>:</w:t>
      </w:r>
    </w:p>
    <w:p w14:paraId="7C1E258E" w14:textId="77777777" w:rsidR="00E66F49" w:rsidRPr="00666914" w:rsidRDefault="00E66F49" w:rsidP="00D27F91">
      <w:pPr>
        <w:spacing w:after="0"/>
        <w:rPr>
          <w:color w:val="808080" w:themeColor="background1" w:themeShade="80"/>
          <w:highlight w:val="yellow"/>
        </w:rPr>
      </w:pPr>
    </w:p>
    <w:tbl>
      <w:tblPr>
        <w:tblW w:w="9072" w:type="dxa"/>
        <w:tblCellMar>
          <w:left w:w="70" w:type="dxa"/>
          <w:right w:w="70" w:type="dxa"/>
        </w:tblCellMar>
        <w:tblLook w:val="04A0" w:firstRow="1" w:lastRow="0" w:firstColumn="1" w:lastColumn="0" w:noHBand="0" w:noVBand="1"/>
      </w:tblPr>
      <w:tblGrid>
        <w:gridCol w:w="3686"/>
        <w:gridCol w:w="5386"/>
      </w:tblGrid>
      <w:tr w:rsidR="00E66F49" w:rsidRPr="00666914" w14:paraId="5D500D43" w14:textId="77777777" w:rsidTr="00D27F91">
        <w:trPr>
          <w:trHeight w:val="255"/>
        </w:trPr>
        <w:tc>
          <w:tcPr>
            <w:tcW w:w="9072" w:type="dxa"/>
            <w:gridSpan w:val="2"/>
            <w:tcBorders>
              <w:top w:val="nil"/>
              <w:left w:val="nil"/>
              <w:bottom w:val="single" w:sz="4" w:space="0" w:color="auto"/>
              <w:right w:val="nil"/>
            </w:tcBorders>
            <w:shd w:val="clear" w:color="auto" w:fill="auto"/>
            <w:noWrap/>
            <w:vAlign w:val="center"/>
            <w:hideMark/>
          </w:tcPr>
          <w:p w14:paraId="2B93B9EA" w14:textId="074A94A3" w:rsidR="00E66F49" w:rsidRPr="00666914" w:rsidRDefault="00E66F49" w:rsidP="00D27F91">
            <w:pPr>
              <w:spacing w:after="0"/>
              <w:jc w:val="left"/>
              <w:rPr>
                <w:rFonts w:eastAsia="Times New Roman" w:cs="Calibri"/>
                <w:b/>
                <w:bCs/>
                <w:color w:val="000000"/>
                <w:sz w:val="20"/>
                <w:szCs w:val="20"/>
                <w:lang w:eastAsia="sk-SK"/>
              </w:rPr>
            </w:pPr>
            <w:bookmarkStart w:id="404" w:name="_Toc38447752"/>
            <w:r w:rsidRPr="00666914">
              <w:rPr>
                <w:rFonts w:eastAsia="Times New Roman" w:cs="Calibri"/>
                <w:b/>
                <w:bCs/>
                <w:color w:val="000000"/>
                <w:sz w:val="20"/>
                <w:szCs w:val="20"/>
                <w:lang w:eastAsia="sk-SK"/>
              </w:rPr>
              <w:t xml:space="preserve">Tabuľka </w:t>
            </w:r>
            <w:r w:rsidRPr="00666914">
              <w:rPr>
                <w:rFonts w:eastAsia="Times New Roman" w:cs="Calibri"/>
                <w:b/>
                <w:bCs/>
                <w:color w:val="000000"/>
                <w:sz w:val="20"/>
                <w:szCs w:val="20"/>
                <w:lang w:eastAsia="sk-SK"/>
              </w:rPr>
              <w:fldChar w:fldCharType="begin"/>
            </w:r>
            <w:r w:rsidRPr="00666914">
              <w:rPr>
                <w:rFonts w:eastAsia="Times New Roman" w:cs="Calibri"/>
                <w:b/>
                <w:bCs/>
                <w:color w:val="000000"/>
                <w:sz w:val="20"/>
                <w:szCs w:val="20"/>
                <w:lang w:eastAsia="sk-SK"/>
              </w:rPr>
              <w:instrText xml:space="preserve"> SEQ Tabuľka \* ARABIC \* MERGEFORMAT </w:instrText>
            </w:r>
            <w:r w:rsidRPr="00666914">
              <w:rPr>
                <w:rFonts w:eastAsia="Times New Roman" w:cs="Calibri"/>
                <w:b/>
                <w:bCs/>
                <w:color w:val="000000"/>
                <w:sz w:val="20"/>
                <w:szCs w:val="20"/>
                <w:lang w:eastAsia="sk-SK"/>
              </w:rPr>
              <w:fldChar w:fldCharType="separate"/>
            </w:r>
            <w:r w:rsidR="005A7304">
              <w:rPr>
                <w:rFonts w:eastAsia="Times New Roman" w:cs="Calibri"/>
                <w:b/>
                <w:bCs/>
                <w:noProof/>
                <w:color w:val="000000"/>
                <w:sz w:val="20"/>
                <w:szCs w:val="20"/>
                <w:lang w:eastAsia="sk-SK"/>
              </w:rPr>
              <w:t>91</w:t>
            </w:r>
            <w:r w:rsidRPr="00666914">
              <w:rPr>
                <w:rFonts w:eastAsia="Times New Roman" w:cs="Calibri"/>
                <w:b/>
                <w:bCs/>
                <w:color w:val="000000"/>
                <w:sz w:val="20"/>
                <w:szCs w:val="20"/>
                <w:lang w:eastAsia="sk-SK"/>
              </w:rPr>
              <w:fldChar w:fldCharType="end"/>
            </w:r>
            <w:r w:rsidRPr="00666914">
              <w:rPr>
                <w:rFonts w:eastAsia="Times New Roman" w:cs="Calibri"/>
                <w:b/>
                <w:bCs/>
                <w:color w:val="000000"/>
                <w:sz w:val="20"/>
                <w:szCs w:val="20"/>
                <w:lang w:eastAsia="sk-SK"/>
              </w:rPr>
              <w:t>: Regionálne plány zamestnanosti - zoznam ukazovateľov</w:t>
            </w:r>
            <w:bookmarkEnd w:id="404"/>
          </w:p>
        </w:tc>
      </w:tr>
      <w:tr w:rsidR="00E66F49" w:rsidRPr="00666914" w14:paraId="7B8CB08D" w14:textId="77777777" w:rsidTr="00D27F91">
        <w:trPr>
          <w:trHeight w:val="255"/>
        </w:trPr>
        <w:tc>
          <w:tcPr>
            <w:tcW w:w="3686" w:type="dxa"/>
            <w:tcBorders>
              <w:top w:val="single" w:sz="4" w:space="0" w:color="auto"/>
              <w:left w:val="nil"/>
              <w:bottom w:val="single" w:sz="4" w:space="0" w:color="auto"/>
              <w:right w:val="nil"/>
            </w:tcBorders>
            <w:shd w:val="clear" w:color="auto" w:fill="auto"/>
            <w:noWrap/>
            <w:vAlign w:val="bottom"/>
            <w:hideMark/>
          </w:tcPr>
          <w:p w14:paraId="6319B993" w14:textId="77777777" w:rsidR="00E66F49" w:rsidRPr="00666914" w:rsidRDefault="00E66F49" w:rsidP="00D27F91">
            <w:pPr>
              <w:spacing w:after="0"/>
              <w:jc w:val="center"/>
              <w:rPr>
                <w:rFonts w:eastAsia="Times New Roman" w:cs="Calibri"/>
                <w:b/>
                <w:color w:val="000000"/>
                <w:sz w:val="20"/>
                <w:szCs w:val="20"/>
                <w:lang w:eastAsia="sk-SK"/>
              </w:rPr>
            </w:pPr>
            <w:r w:rsidRPr="00666914">
              <w:rPr>
                <w:rFonts w:eastAsia="Times New Roman" w:cs="Calibri"/>
                <w:b/>
                <w:color w:val="000000"/>
                <w:sz w:val="20"/>
                <w:szCs w:val="20"/>
                <w:lang w:eastAsia="sk-SK"/>
              </w:rPr>
              <w:t>Pôvodné ukazovatele</w:t>
            </w:r>
          </w:p>
        </w:tc>
        <w:tc>
          <w:tcPr>
            <w:tcW w:w="5386" w:type="dxa"/>
            <w:tcBorders>
              <w:top w:val="single" w:sz="4" w:space="0" w:color="auto"/>
              <w:left w:val="nil"/>
              <w:bottom w:val="single" w:sz="4" w:space="0" w:color="auto"/>
              <w:right w:val="nil"/>
            </w:tcBorders>
            <w:shd w:val="clear" w:color="auto" w:fill="auto"/>
            <w:noWrap/>
            <w:vAlign w:val="bottom"/>
            <w:hideMark/>
          </w:tcPr>
          <w:p w14:paraId="6CF12E5E" w14:textId="77777777" w:rsidR="00E66F49" w:rsidRPr="00666914" w:rsidRDefault="00E66F49" w:rsidP="00D27F91">
            <w:pPr>
              <w:spacing w:after="0"/>
              <w:jc w:val="center"/>
              <w:rPr>
                <w:rFonts w:eastAsia="Times New Roman" w:cs="Calibri"/>
                <w:b/>
                <w:color w:val="000000"/>
                <w:sz w:val="20"/>
                <w:szCs w:val="20"/>
                <w:lang w:eastAsia="sk-SK"/>
              </w:rPr>
            </w:pPr>
            <w:r w:rsidRPr="00666914">
              <w:rPr>
                <w:rFonts w:eastAsia="Times New Roman" w:cs="Calibri"/>
                <w:b/>
                <w:color w:val="000000"/>
                <w:sz w:val="20"/>
                <w:szCs w:val="20"/>
                <w:lang w:eastAsia="sk-SK"/>
              </w:rPr>
              <w:t>Doplnené ukazovatele od 2019</w:t>
            </w:r>
          </w:p>
        </w:tc>
      </w:tr>
      <w:tr w:rsidR="00E66F49" w:rsidRPr="00666914" w14:paraId="1E2C2E01" w14:textId="77777777" w:rsidTr="00D27F91">
        <w:trPr>
          <w:trHeight w:val="799"/>
        </w:trPr>
        <w:tc>
          <w:tcPr>
            <w:tcW w:w="3686" w:type="dxa"/>
            <w:tcBorders>
              <w:top w:val="single" w:sz="4" w:space="0" w:color="auto"/>
              <w:left w:val="nil"/>
              <w:bottom w:val="nil"/>
              <w:right w:val="nil"/>
            </w:tcBorders>
            <w:shd w:val="clear" w:color="auto" w:fill="auto"/>
            <w:noWrap/>
            <w:vAlign w:val="center"/>
            <w:hideMark/>
          </w:tcPr>
          <w:p w14:paraId="5F5DFA58"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Disponibilný počet UoZ</w:t>
            </w:r>
          </w:p>
        </w:tc>
        <w:tc>
          <w:tcPr>
            <w:tcW w:w="5386" w:type="dxa"/>
            <w:tcBorders>
              <w:top w:val="single" w:sz="4" w:space="0" w:color="auto"/>
              <w:left w:val="nil"/>
              <w:bottom w:val="nil"/>
              <w:right w:val="nil"/>
            </w:tcBorders>
            <w:shd w:val="clear" w:color="auto" w:fill="auto"/>
            <w:noWrap/>
            <w:vAlign w:val="center"/>
            <w:hideMark/>
          </w:tcPr>
          <w:p w14:paraId="3359FC2E"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Počet osôb umiestnených do zamestnania, ako podiel na počte evidovaných nezamestnaných osôb</w:t>
            </w:r>
          </w:p>
        </w:tc>
      </w:tr>
      <w:tr w:rsidR="00E66F49" w:rsidRPr="00666914" w14:paraId="2CEC7B1A" w14:textId="77777777" w:rsidTr="00D27F91">
        <w:trPr>
          <w:trHeight w:val="799"/>
        </w:trPr>
        <w:tc>
          <w:tcPr>
            <w:tcW w:w="3686" w:type="dxa"/>
            <w:tcBorders>
              <w:top w:val="nil"/>
              <w:left w:val="nil"/>
              <w:bottom w:val="nil"/>
              <w:right w:val="nil"/>
            </w:tcBorders>
            <w:shd w:val="clear" w:color="auto" w:fill="auto"/>
            <w:noWrap/>
            <w:vAlign w:val="center"/>
            <w:hideMark/>
          </w:tcPr>
          <w:p w14:paraId="1FEDA62C"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Počet DN</w:t>
            </w:r>
          </w:p>
        </w:tc>
        <w:tc>
          <w:tcPr>
            <w:tcW w:w="5386" w:type="dxa"/>
            <w:tcBorders>
              <w:top w:val="nil"/>
              <w:left w:val="nil"/>
              <w:bottom w:val="nil"/>
              <w:right w:val="nil"/>
            </w:tcBorders>
            <w:shd w:val="clear" w:color="auto" w:fill="auto"/>
            <w:noWrap/>
            <w:vAlign w:val="center"/>
            <w:hideMark/>
          </w:tcPr>
          <w:p w14:paraId="7B0C963C"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Prechod do zamestnania počas 6 mesačnej nezamestnanosti, ako podiel na všetkých prechodoch do zamestnania v rámci evidencie VSZ</w:t>
            </w:r>
          </w:p>
        </w:tc>
      </w:tr>
      <w:tr w:rsidR="00E66F49" w:rsidRPr="00666914" w14:paraId="725E4F0E" w14:textId="77777777" w:rsidTr="00D27F91">
        <w:trPr>
          <w:trHeight w:val="799"/>
        </w:trPr>
        <w:tc>
          <w:tcPr>
            <w:tcW w:w="3686" w:type="dxa"/>
            <w:tcBorders>
              <w:top w:val="nil"/>
              <w:left w:val="nil"/>
              <w:bottom w:val="nil"/>
              <w:right w:val="nil"/>
            </w:tcBorders>
            <w:shd w:val="clear" w:color="auto" w:fill="auto"/>
            <w:noWrap/>
            <w:vAlign w:val="center"/>
            <w:hideMark/>
          </w:tcPr>
          <w:p w14:paraId="073B5F4D"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Počet UoZ do 29 rokov</w:t>
            </w:r>
          </w:p>
        </w:tc>
        <w:tc>
          <w:tcPr>
            <w:tcW w:w="5386" w:type="dxa"/>
            <w:tcBorders>
              <w:top w:val="nil"/>
              <w:left w:val="nil"/>
              <w:bottom w:val="nil"/>
              <w:right w:val="nil"/>
            </w:tcBorders>
            <w:shd w:val="clear" w:color="auto" w:fill="auto"/>
            <w:noWrap/>
            <w:vAlign w:val="center"/>
            <w:hideMark/>
          </w:tcPr>
          <w:p w14:paraId="0BC3D20F"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Prechod do zamestnania počas 12 mesačnej nezamestnanosti, ako podiel na všetkých prechodoch do zamestnania v rámci evidencie VSZ</w:t>
            </w:r>
          </w:p>
        </w:tc>
      </w:tr>
      <w:tr w:rsidR="00E66F49" w:rsidRPr="00666914" w14:paraId="2318654D" w14:textId="77777777" w:rsidTr="00D27F91">
        <w:trPr>
          <w:trHeight w:val="799"/>
        </w:trPr>
        <w:tc>
          <w:tcPr>
            <w:tcW w:w="3686" w:type="dxa"/>
            <w:tcBorders>
              <w:top w:val="nil"/>
              <w:left w:val="nil"/>
              <w:bottom w:val="nil"/>
              <w:right w:val="nil"/>
            </w:tcBorders>
            <w:shd w:val="clear" w:color="auto" w:fill="auto"/>
            <w:noWrap/>
            <w:vAlign w:val="center"/>
            <w:hideMark/>
          </w:tcPr>
          <w:p w14:paraId="270BC279"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Počet (prítok) voľných pracovných miest v roku</w:t>
            </w:r>
          </w:p>
        </w:tc>
        <w:tc>
          <w:tcPr>
            <w:tcW w:w="5386" w:type="dxa"/>
            <w:tcBorders>
              <w:top w:val="nil"/>
              <w:left w:val="nil"/>
              <w:bottom w:val="nil"/>
              <w:right w:val="nil"/>
            </w:tcBorders>
            <w:shd w:val="clear" w:color="auto" w:fill="auto"/>
            <w:noWrap/>
            <w:vAlign w:val="center"/>
            <w:hideMark/>
          </w:tcPr>
          <w:p w14:paraId="09307580"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Podiel znevýhodnených UoZ s IAP vypracovaným do 9 mesiacov od registrácie</w:t>
            </w:r>
          </w:p>
        </w:tc>
      </w:tr>
      <w:tr w:rsidR="00E66F49" w:rsidRPr="00666914" w14:paraId="454630C5" w14:textId="77777777" w:rsidTr="00D27F91">
        <w:trPr>
          <w:trHeight w:val="799"/>
        </w:trPr>
        <w:tc>
          <w:tcPr>
            <w:tcW w:w="3686" w:type="dxa"/>
            <w:tcBorders>
              <w:top w:val="nil"/>
              <w:left w:val="nil"/>
              <w:bottom w:val="nil"/>
              <w:right w:val="nil"/>
            </w:tcBorders>
            <w:shd w:val="clear" w:color="auto" w:fill="auto"/>
            <w:noWrap/>
            <w:vAlign w:val="center"/>
            <w:hideMark/>
          </w:tcPr>
          <w:p w14:paraId="79F2FE7B"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Počet realizovaných VK</w:t>
            </w:r>
          </w:p>
        </w:tc>
        <w:tc>
          <w:tcPr>
            <w:tcW w:w="5386" w:type="dxa"/>
            <w:tcBorders>
              <w:top w:val="nil"/>
              <w:left w:val="nil"/>
              <w:bottom w:val="nil"/>
              <w:right w:val="nil"/>
            </w:tcBorders>
            <w:shd w:val="clear" w:color="auto" w:fill="auto"/>
            <w:noWrap/>
            <w:vAlign w:val="center"/>
            <w:hideMark/>
          </w:tcPr>
          <w:p w14:paraId="7A19A7C5"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Podiel obsadených voľných pracovných miest do 1 mesiaca od dátumu zaevidovania</w:t>
            </w:r>
          </w:p>
        </w:tc>
      </w:tr>
      <w:tr w:rsidR="00E66F49" w:rsidRPr="00666914" w14:paraId="634B8156" w14:textId="77777777" w:rsidTr="00D27F91">
        <w:trPr>
          <w:trHeight w:val="799"/>
        </w:trPr>
        <w:tc>
          <w:tcPr>
            <w:tcW w:w="3686" w:type="dxa"/>
            <w:tcBorders>
              <w:top w:val="nil"/>
              <w:left w:val="nil"/>
              <w:bottom w:val="nil"/>
              <w:right w:val="nil"/>
            </w:tcBorders>
            <w:shd w:val="clear" w:color="auto" w:fill="auto"/>
            <w:noWrap/>
            <w:vAlign w:val="center"/>
            <w:hideMark/>
          </w:tcPr>
          <w:p w14:paraId="30C9C750"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Počet osobných návštev u zamestnávateľov</w:t>
            </w:r>
          </w:p>
        </w:tc>
        <w:tc>
          <w:tcPr>
            <w:tcW w:w="5386" w:type="dxa"/>
            <w:tcBorders>
              <w:top w:val="nil"/>
              <w:left w:val="nil"/>
              <w:bottom w:val="nil"/>
              <w:right w:val="nil"/>
            </w:tcBorders>
            <w:shd w:val="clear" w:color="auto" w:fill="auto"/>
            <w:noWrap/>
            <w:vAlign w:val="center"/>
            <w:hideMark/>
          </w:tcPr>
          <w:p w14:paraId="47F0286C"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Podiel obsadených voľných pracovných miest do 2 mesiacov od dátumu zaevidovania</w:t>
            </w:r>
          </w:p>
        </w:tc>
      </w:tr>
      <w:tr w:rsidR="00E66F49" w:rsidRPr="00666914" w14:paraId="120D1E65" w14:textId="77777777" w:rsidTr="00D27F91">
        <w:trPr>
          <w:trHeight w:val="799"/>
        </w:trPr>
        <w:tc>
          <w:tcPr>
            <w:tcW w:w="3686" w:type="dxa"/>
            <w:tcBorders>
              <w:top w:val="nil"/>
              <w:left w:val="nil"/>
              <w:bottom w:val="single" w:sz="4" w:space="0" w:color="auto"/>
              <w:right w:val="nil"/>
            </w:tcBorders>
            <w:shd w:val="clear" w:color="auto" w:fill="auto"/>
            <w:noWrap/>
            <w:vAlign w:val="center"/>
            <w:hideMark/>
          </w:tcPr>
          <w:p w14:paraId="62ADB2BB"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 xml:space="preserve">UoZ poberatelia DvHN zaradení na trh práce </w:t>
            </w:r>
          </w:p>
        </w:tc>
        <w:tc>
          <w:tcPr>
            <w:tcW w:w="5386" w:type="dxa"/>
            <w:tcBorders>
              <w:top w:val="nil"/>
              <w:left w:val="nil"/>
              <w:bottom w:val="single" w:sz="4" w:space="0" w:color="auto"/>
              <w:right w:val="nil"/>
            </w:tcBorders>
            <w:shd w:val="clear" w:color="auto" w:fill="auto"/>
            <w:noWrap/>
            <w:vAlign w:val="center"/>
            <w:hideMark/>
          </w:tcPr>
          <w:p w14:paraId="3CAE9EC1" w14:textId="77777777" w:rsidR="00E66F49" w:rsidRPr="00666914" w:rsidRDefault="00E66F49" w:rsidP="00D27F91">
            <w:pPr>
              <w:spacing w:after="0"/>
              <w:rPr>
                <w:rFonts w:eastAsia="Times New Roman" w:cs="Calibri"/>
                <w:color w:val="000000"/>
                <w:sz w:val="20"/>
                <w:szCs w:val="20"/>
                <w:lang w:eastAsia="sk-SK"/>
              </w:rPr>
            </w:pPr>
            <w:r w:rsidRPr="00666914">
              <w:rPr>
                <w:rFonts w:eastAsia="Times New Roman" w:cs="Calibri"/>
                <w:color w:val="000000"/>
                <w:sz w:val="20"/>
                <w:szCs w:val="20"/>
                <w:lang w:eastAsia="sk-SK"/>
              </w:rPr>
              <w:t>Podiel obsadených voľných pracovných miest do 3 mesiacov od dátumu zaevidovania</w:t>
            </w:r>
          </w:p>
        </w:tc>
      </w:tr>
      <w:tr w:rsidR="00E66F49" w:rsidRPr="00666914" w14:paraId="4FED02AA" w14:textId="77777777" w:rsidTr="00D27F91">
        <w:trPr>
          <w:trHeight w:val="255"/>
        </w:trPr>
        <w:tc>
          <w:tcPr>
            <w:tcW w:w="3686" w:type="dxa"/>
            <w:tcBorders>
              <w:top w:val="nil"/>
              <w:left w:val="nil"/>
              <w:bottom w:val="nil"/>
              <w:right w:val="nil"/>
            </w:tcBorders>
            <w:shd w:val="clear" w:color="auto" w:fill="auto"/>
            <w:noWrap/>
            <w:vAlign w:val="center"/>
            <w:hideMark/>
          </w:tcPr>
          <w:p w14:paraId="1C53B8B9" w14:textId="77777777" w:rsidR="00E66F49" w:rsidRPr="00666914" w:rsidRDefault="00E66F49" w:rsidP="00D27F91">
            <w:pPr>
              <w:spacing w:after="0"/>
              <w:rPr>
                <w:rFonts w:eastAsia="Times New Roman" w:cs="Calibri"/>
                <w:color w:val="000000"/>
                <w:sz w:val="20"/>
                <w:szCs w:val="20"/>
                <w:lang w:eastAsia="sk-SK"/>
              </w:rPr>
            </w:pPr>
          </w:p>
        </w:tc>
        <w:tc>
          <w:tcPr>
            <w:tcW w:w="5386" w:type="dxa"/>
            <w:tcBorders>
              <w:top w:val="nil"/>
              <w:left w:val="nil"/>
              <w:bottom w:val="nil"/>
              <w:right w:val="nil"/>
            </w:tcBorders>
            <w:shd w:val="clear" w:color="auto" w:fill="auto"/>
            <w:noWrap/>
            <w:vAlign w:val="center"/>
            <w:hideMark/>
          </w:tcPr>
          <w:p w14:paraId="52E2553E" w14:textId="77777777" w:rsidR="00E66F49" w:rsidRPr="00666914" w:rsidRDefault="00E66F49" w:rsidP="00D27F91">
            <w:pPr>
              <w:spacing w:after="0"/>
              <w:jc w:val="right"/>
              <w:rPr>
                <w:rFonts w:eastAsia="Times New Roman" w:cs="Calibri"/>
                <w:i/>
                <w:iCs/>
                <w:color w:val="000000"/>
                <w:sz w:val="18"/>
                <w:szCs w:val="18"/>
                <w:lang w:eastAsia="sk-SK"/>
              </w:rPr>
            </w:pPr>
            <w:r w:rsidRPr="00666914">
              <w:rPr>
                <w:rFonts w:eastAsia="Times New Roman" w:cs="Calibri"/>
                <w:i/>
                <w:iCs/>
                <w:color w:val="000000"/>
                <w:sz w:val="18"/>
                <w:szCs w:val="18"/>
                <w:lang w:eastAsia="sk-SK"/>
              </w:rPr>
              <w:t>Zdroj: ÚPSVaR</w:t>
            </w:r>
          </w:p>
        </w:tc>
      </w:tr>
    </w:tbl>
    <w:p w14:paraId="528C171D" w14:textId="77777777" w:rsidR="00E66F49" w:rsidRPr="00666914" w:rsidRDefault="00E66F49" w:rsidP="00D27F91">
      <w:pPr>
        <w:spacing w:after="0"/>
        <w:rPr>
          <w:color w:val="808080" w:themeColor="background1" w:themeShade="80"/>
          <w:highlight w:val="yellow"/>
        </w:rPr>
      </w:pPr>
    </w:p>
    <w:p w14:paraId="635F87D4" w14:textId="5078CDF4" w:rsidR="00E66F49" w:rsidRPr="00666914" w:rsidRDefault="00E66F49" w:rsidP="00D27F91">
      <w:pPr>
        <w:spacing w:after="0"/>
      </w:pPr>
      <w:r w:rsidRPr="00666914">
        <w:rPr>
          <w:b/>
        </w:rPr>
        <w:t xml:space="preserve">Počas roka 2019 </w:t>
      </w:r>
      <w:r w:rsidR="00752083" w:rsidRPr="00666914">
        <w:rPr>
          <w:b/>
        </w:rPr>
        <w:t xml:space="preserve">uskutočnil </w:t>
      </w:r>
      <w:r w:rsidRPr="00666914">
        <w:rPr>
          <w:b/>
        </w:rPr>
        <w:t>ÚPSVaR v spolupráci so SAV pilotný projekt zlepšenia sledovania výkonnosti pobočiek</w:t>
      </w:r>
      <w:r w:rsidRPr="00666914">
        <w:rPr>
          <w:rStyle w:val="Odkaznapoznmkupodiarou"/>
          <w:b/>
        </w:rPr>
        <w:footnoteReference w:id="404"/>
      </w:r>
      <w:r w:rsidRPr="00666914">
        <w:t xml:space="preserve">. Týka sa práve 7 ukazovateľov v oblasti umiestňovania na trh práce a obsadzovania voľných pracovných miest, ktoré boli do regionálnych plánov doplnené v roku 2019 (tabuľka </w:t>
      </w:r>
      <w:r w:rsidR="00752083" w:rsidRPr="00666914">
        <w:t>9</w:t>
      </w:r>
      <w:r w:rsidR="00EB2C64" w:rsidRPr="00666914">
        <w:t>1</w:t>
      </w:r>
      <w:r w:rsidRPr="00666914">
        <w:t xml:space="preserve">). Dosiahnuté hodnoty za rok 2019 boli hodnotené nie voči plánom danej pobočky, ale voči plánom ostatných pobočiek ÚPSVaR. Metódou váženého priemeru bol vypočítaný každému úradu tzv. </w:t>
      </w:r>
      <w:r w:rsidRPr="00666914">
        <w:rPr>
          <w:i/>
        </w:rPr>
        <w:t>syntetický plán</w:t>
      </w:r>
      <w:r w:rsidRPr="00666914">
        <w:t>, ktorého hodnoty sú vypočítané z plánov ostatných úradov, pričom hodnoty jemu podobných úradov sa započítavajú do syntetického plánu s vyššou váhou. Vyhodnotenie sa uskutočňuje porovnaním syntetického plánu s reálnymi hodnotami, podiel týchto hodnôt vyjadruje mieru plnenia.</w:t>
      </w:r>
    </w:p>
    <w:p w14:paraId="62EAB71D" w14:textId="568BB427" w:rsidR="00E66F49" w:rsidRPr="00666914" w:rsidRDefault="00E66F49" w:rsidP="00D27F91">
      <w:pPr>
        <w:spacing w:after="0"/>
      </w:pPr>
      <w:r w:rsidRPr="00666914">
        <w:t>V 01/2020 bola metodika nového merania prezentovaná zástupcom pobočiek ÚPSVaR, ktorých pripomienky budú zapracované a zohľadnené v plánoch na rok 2020.</w:t>
      </w:r>
    </w:p>
    <w:p w14:paraId="617FD157" w14:textId="77777777" w:rsidR="00E66F49" w:rsidRPr="00666914" w:rsidRDefault="00E66F49" w:rsidP="00D27F91">
      <w:pPr>
        <w:spacing w:after="0"/>
        <w:rPr>
          <w:color w:val="808080" w:themeColor="background1" w:themeShade="80"/>
          <w:highlight w:val="yellow"/>
        </w:rPr>
      </w:pPr>
    </w:p>
    <w:p w14:paraId="7F8ECF78" w14:textId="01CC73A4" w:rsidR="00E66F49" w:rsidRPr="00666914" w:rsidRDefault="00E66F49" w:rsidP="00D27F91">
      <w:pPr>
        <w:spacing w:after="0"/>
      </w:pPr>
      <w:r w:rsidRPr="00666914">
        <w:rPr>
          <w:b/>
        </w:rPr>
        <w:lastRenderedPageBreak/>
        <w:t>V roku 2020 sa ÚPSVaR plánuje zamerať aj na zlepšenie monitoringu kvalitatívnej stránky fungovania pobočiek.</w:t>
      </w:r>
      <w:r w:rsidRPr="00666914">
        <w:t xml:space="preserve"> Spokojnosť uchádzačov o zamestnanie ako aj zamestnávateľov sa bude merať prostredníctvom dotazníkov. Výsledkom bude návod zberu informácií o spokojnosti, vrátane nastavenia indikátorov a ich hodnotenia ako aj návrh zapracovania potrebných zmien do IS SZ. Plánovaný termín implementácie tohto kvalitatívneho hodnotenia je 12/2020.</w:t>
      </w:r>
    </w:p>
    <w:p w14:paraId="24BA18C5" w14:textId="77777777" w:rsidR="00E66F49" w:rsidRPr="00666914" w:rsidRDefault="00E66F49" w:rsidP="00D27F91">
      <w:pPr>
        <w:spacing w:after="0"/>
        <w:rPr>
          <w:color w:val="FF0000"/>
        </w:rPr>
      </w:pPr>
    </w:p>
    <w:p w14:paraId="61E92B0F" w14:textId="449A3D74" w:rsidR="00E66F49" w:rsidRPr="00666914" w:rsidRDefault="00E66F49" w:rsidP="007027DF">
      <w:pPr>
        <w:rPr>
          <w:color w:val="FF0000"/>
        </w:rPr>
      </w:pPr>
      <w:r w:rsidRPr="00666914">
        <w:t xml:space="preserve">Monitoring hodnotenia efektívnosti fungovania pobočiek nebol do 12/2019 nastavený, opatrenie sa </w:t>
      </w:r>
      <w:r w:rsidRPr="00666914">
        <w:rPr>
          <w:b/>
        </w:rPr>
        <w:t>k 31.12.2019 neplní.</w:t>
      </w:r>
    </w:p>
    <w:p w14:paraId="4925D3DD" w14:textId="77777777" w:rsidR="00E66F49" w:rsidRPr="00666914" w:rsidRDefault="00E66F49" w:rsidP="00131B23">
      <w:pPr>
        <w:numPr>
          <w:ilvl w:val="0"/>
          <w:numId w:val="7"/>
        </w:numPr>
        <w:contextualSpacing/>
        <w:rPr>
          <w:b/>
          <w:u w:val="single"/>
        </w:rPr>
      </w:pPr>
      <w:r w:rsidRPr="00666914">
        <w:rPr>
          <w:b/>
          <w:u w:val="single"/>
        </w:rPr>
        <w:t>Zvýšenie efektívnosti IT výdavkov MPSVR SR</w:t>
      </w:r>
    </w:p>
    <w:p w14:paraId="4B3D90F6" w14:textId="77777777" w:rsidR="00E66F49" w:rsidRPr="00666914" w:rsidRDefault="00E66F49" w:rsidP="00CD4715">
      <w:pPr>
        <w:contextualSpacing/>
        <w:rPr>
          <w:b/>
          <w:u w:val="single"/>
        </w:rPr>
      </w:pPr>
    </w:p>
    <w:p w14:paraId="13EF18BE" w14:textId="77777777" w:rsidR="00E66F49" w:rsidRPr="00666914" w:rsidRDefault="00E66F49" w:rsidP="00D27F91">
      <w:pPr>
        <w:rPr>
          <w:b/>
        </w:rPr>
      </w:pPr>
      <w:r w:rsidRPr="00666914">
        <w:t xml:space="preserve">Spôsob, akým sa má hodnotiť miera efektívnosti IT výdavkov v rezorte je podľa revízie výdavkov sledovanie úspory voči „základnému scenáru“. Mechanizmus tohto hodnotenia nie je ani po skončení roka 2019 nastavený. Metodika na stanovenie ukazovateľov nákladovosti a výkonnosti IT nebola zo strany MPSVR SR ani do 12/2019 IJ predložená. </w:t>
      </w:r>
      <w:r w:rsidRPr="00666914">
        <w:rPr>
          <w:b/>
        </w:rPr>
        <w:t>Opatrenie sa k 31.12.2019 neplní.</w:t>
      </w:r>
    </w:p>
    <w:p w14:paraId="67EA1715" w14:textId="738C5CE4" w:rsidR="00E66F49" w:rsidRPr="00666914" w:rsidRDefault="00E66F49" w:rsidP="007027DF">
      <w:pPr>
        <w:rPr>
          <w:b/>
        </w:rPr>
      </w:pPr>
      <w:r w:rsidRPr="00666914">
        <w:rPr>
          <w:b/>
        </w:rPr>
        <w:t>Odporúčanie IJ:</w:t>
      </w:r>
      <w:r w:rsidRPr="00666914">
        <w:t xml:space="preserve"> Definovať v spolupráci s ÚHP čo najskôr spôsob hodnotenia úspor. Do 06/2020 predložiť IJ metodiku merania efektívnosti IT výdavkov.</w:t>
      </w:r>
    </w:p>
    <w:p w14:paraId="1A846051" w14:textId="77777777" w:rsidR="00E66F49" w:rsidRPr="00666914" w:rsidRDefault="00E66F49" w:rsidP="00131B23">
      <w:pPr>
        <w:numPr>
          <w:ilvl w:val="0"/>
          <w:numId w:val="7"/>
        </w:numPr>
        <w:contextualSpacing/>
        <w:rPr>
          <w:b/>
          <w:u w:val="single"/>
        </w:rPr>
      </w:pPr>
      <w:r w:rsidRPr="00666914">
        <w:rPr>
          <w:b/>
          <w:u w:val="single"/>
        </w:rPr>
        <w:t>Vypracovanie a zverejnenie investičného plánu MPSVR SR a SP, bez ohľadu na zdroj financovania</w:t>
      </w:r>
    </w:p>
    <w:p w14:paraId="636FB52D" w14:textId="77777777" w:rsidR="00E66F49" w:rsidRPr="00666914" w:rsidRDefault="00E66F49" w:rsidP="00CD4715">
      <w:pPr>
        <w:contextualSpacing/>
        <w:rPr>
          <w:b/>
          <w:u w:val="single"/>
        </w:rPr>
      </w:pPr>
    </w:p>
    <w:p w14:paraId="4F867090" w14:textId="38D629FB" w:rsidR="00E66F49" w:rsidRPr="00666914" w:rsidRDefault="00E66F49" w:rsidP="00536701">
      <w:pPr>
        <w:spacing w:after="0"/>
        <w:contextualSpacing/>
      </w:pPr>
      <w:r w:rsidRPr="00666914">
        <w:t>Plnenie tohto opatrenia sa z dôvodu zákonného rozdelenia kompetencií SP a MPSVR SR delí na 2 časti.</w:t>
      </w:r>
    </w:p>
    <w:p w14:paraId="73992FC2" w14:textId="77777777" w:rsidR="00E66F49" w:rsidRPr="00666914" w:rsidRDefault="00E66F49" w:rsidP="00CD4715">
      <w:pPr>
        <w:spacing w:after="0"/>
        <w:contextualSpacing/>
      </w:pPr>
    </w:p>
    <w:p w14:paraId="56CA1172" w14:textId="77777777" w:rsidR="00E66F49" w:rsidRPr="00666914" w:rsidRDefault="00E66F49" w:rsidP="00CD4715">
      <w:pPr>
        <w:pStyle w:val="Odsekzoznamu"/>
        <w:spacing w:after="0"/>
        <w:ind w:left="0"/>
        <w:rPr>
          <w:i/>
        </w:rPr>
      </w:pPr>
      <w:r w:rsidRPr="00666914">
        <w:rPr>
          <w:i/>
        </w:rPr>
        <w:t xml:space="preserve">Ministerstvo práce, sociálnych vecí a rodiny SR (vrátane jednotlivých PRO) </w:t>
      </w:r>
    </w:p>
    <w:tbl>
      <w:tblPr>
        <w:tblW w:w="5000" w:type="pct"/>
        <w:tblLayout w:type="fixed"/>
        <w:tblCellMar>
          <w:left w:w="70" w:type="dxa"/>
          <w:right w:w="70" w:type="dxa"/>
        </w:tblCellMar>
        <w:tblLook w:val="04A0" w:firstRow="1" w:lastRow="0" w:firstColumn="1" w:lastColumn="0" w:noHBand="0" w:noVBand="1"/>
      </w:tblPr>
      <w:tblGrid>
        <w:gridCol w:w="425"/>
        <w:gridCol w:w="2794"/>
        <w:gridCol w:w="1316"/>
        <w:gridCol w:w="884"/>
        <w:gridCol w:w="972"/>
        <w:gridCol w:w="694"/>
        <w:gridCol w:w="694"/>
        <w:gridCol w:w="694"/>
        <w:gridCol w:w="731"/>
      </w:tblGrid>
      <w:tr w:rsidR="00E66F49" w:rsidRPr="00666914" w14:paraId="5F69962C" w14:textId="77777777" w:rsidTr="00D27F91">
        <w:trPr>
          <w:trHeight w:val="330"/>
        </w:trPr>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0C38E1"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1518" w:type="pct"/>
            <w:tcBorders>
              <w:top w:val="single" w:sz="4" w:space="0" w:color="auto"/>
              <w:left w:val="nil"/>
              <w:bottom w:val="single" w:sz="4" w:space="0" w:color="auto"/>
              <w:right w:val="single" w:sz="4" w:space="0" w:color="auto"/>
            </w:tcBorders>
            <w:shd w:val="clear" w:color="auto" w:fill="auto"/>
            <w:noWrap/>
            <w:vAlign w:val="center"/>
            <w:hideMark/>
          </w:tcPr>
          <w:p w14:paraId="6CEEC9E1"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TRH PRÁCE A SOCIÁLNE POLITIKY</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1FC3BB25"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Zodpovednosť</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14:paraId="32EF3E67"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Termín plnenia</w:t>
            </w:r>
          </w:p>
        </w:tc>
        <w:tc>
          <w:tcPr>
            <w:tcW w:w="528" w:type="pct"/>
            <w:tcBorders>
              <w:top w:val="single" w:sz="4" w:space="0" w:color="auto"/>
              <w:left w:val="nil"/>
              <w:bottom w:val="single" w:sz="4" w:space="0" w:color="auto"/>
              <w:right w:val="single" w:sz="4" w:space="0" w:color="auto"/>
            </w:tcBorders>
          </w:tcPr>
          <w:p w14:paraId="1F39C598" w14:textId="6AF5ED97" w:rsidR="00E66F49" w:rsidRPr="00666914" w:rsidRDefault="00E66F49" w:rsidP="002D0686">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 xml:space="preserve">Nový termín plnenia </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E1956"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1Q 2019</w:t>
            </w:r>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14:paraId="62FEA5CC"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2Q 2019</w:t>
            </w:r>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14:paraId="5E2B6DBB"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3Q 2019</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431D8AFB"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4Q 2019</w:t>
            </w:r>
          </w:p>
        </w:tc>
      </w:tr>
      <w:tr w:rsidR="00E66F49" w:rsidRPr="00666914" w14:paraId="5A3436FC" w14:textId="77777777" w:rsidTr="00D27F91">
        <w:trPr>
          <w:trHeight w:val="315"/>
        </w:trPr>
        <w:tc>
          <w:tcPr>
            <w:tcW w:w="231" w:type="pct"/>
            <w:tcBorders>
              <w:top w:val="nil"/>
              <w:left w:val="single" w:sz="8" w:space="0" w:color="auto"/>
              <w:bottom w:val="single" w:sz="4" w:space="0" w:color="auto"/>
              <w:right w:val="single" w:sz="4" w:space="0" w:color="auto"/>
            </w:tcBorders>
            <w:shd w:val="clear" w:color="auto" w:fill="auto"/>
            <w:vAlign w:val="center"/>
          </w:tcPr>
          <w:p w14:paraId="70B311C3"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25</w:t>
            </w:r>
          </w:p>
        </w:tc>
        <w:tc>
          <w:tcPr>
            <w:tcW w:w="1518" w:type="pct"/>
            <w:tcBorders>
              <w:top w:val="nil"/>
              <w:left w:val="single" w:sz="4" w:space="0" w:color="auto"/>
              <w:bottom w:val="single" w:sz="4" w:space="0" w:color="auto"/>
              <w:right w:val="single" w:sz="4" w:space="0" w:color="auto"/>
            </w:tcBorders>
            <w:shd w:val="clear" w:color="auto" w:fill="auto"/>
            <w:vAlign w:val="center"/>
          </w:tcPr>
          <w:p w14:paraId="20BD68BE"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Vypracovanie a zverejnenie investičného plánu MPSVR SR, bez ohľadu na zdroj financovania</w:t>
            </w:r>
          </w:p>
        </w:tc>
        <w:tc>
          <w:tcPr>
            <w:tcW w:w="715" w:type="pct"/>
            <w:tcBorders>
              <w:top w:val="nil"/>
              <w:left w:val="single" w:sz="4" w:space="0" w:color="auto"/>
              <w:bottom w:val="single" w:sz="4" w:space="0" w:color="auto"/>
              <w:right w:val="single" w:sz="4" w:space="0" w:color="auto"/>
            </w:tcBorders>
            <w:shd w:val="clear" w:color="auto" w:fill="auto"/>
            <w:vAlign w:val="center"/>
          </w:tcPr>
          <w:p w14:paraId="1D680117"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tc>
        <w:tc>
          <w:tcPr>
            <w:tcW w:w="480" w:type="pct"/>
            <w:tcBorders>
              <w:top w:val="nil"/>
              <w:left w:val="single" w:sz="4" w:space="0" w:color="auto"/>
              <w:bottom w:val="single" w:sz="4" w:space="0" w:color="auto"/>
              <w:right w:val="single" w:sz="4" w:space="0" w:color="auto"/>
            </w:tcBorders>
            <w:shd w:val="clear" w:color="auto" w:fill="auto"/>
            <w:vAlign w:val="center"/>
          </w:tcPr>
          <w:p w14:paraId="39FE8E72"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12/2018</w:t>
            </w:r>
          </w:p>
        </w:tc>
        <w:tc>
          <w:tcPr>
            <w:tcW w:w="528" w:type="pct"/>
            <w:tcBorders>
              <w:top w:val="nil"/>
              <w:left w:val="single" w:sz="4" w:space="0" w:color="auto"/>
              <w:bottom w:val="single" w:sz="4" w:space="0" w:color="auto"/>
              <w:right w:val="single" w:sz="4" w:space="0" w:color="auto"/>
            </w:tcBorders>
            <w:vAlign w:val="center"/>
          </w:tcPr>
          <w:p w14:paraId="75AB8301"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priebežne</w:t>
            </w:r>
          </w:p>
        </w:tc>
        <w:tc>
          <w:tcPr>
            <w:tcW w:w="377" w:type="pct"/>
            <w:tcBorders>
              <w:top w:val="nil"/>
              <w:left w:val="single" w:sz="4" w:space="0" w:color="auto"/>
              <w:bottom w:val="single" w:sz="4" w:space="0" w:color="auto"/>
              <w:right w:val="single" w:sz="4" w:space="0" w:color="auto"/>
            </w:tcBorders>
            <w:shd w:val="clear" w:color="auto" w:fill="A6A6A6" w:themeFill="background1" w:themeFillShade="A6"/>
            <w:noWrap/>
            <w:vAlign w:val="bottom"/>
          </w:tcPr>
          <w:p w14:paraId="4FCDA42A" w14:textId="77777777" w:rsidR="00E66F49" w:rsidRPr="00666914" w:rsidRDefault="00E66F49" w:rsidP="00D27F91">
            <w:pPr>
              <w:spacing w:after="0"/>
              <w:rPr>
                <w:rFonts w:eastAsia="Times New Roman" w:cs="Calibri"/>
                <w:color w:val="000000"/>
                <w:sz w:val="20"/>
                <w:szCs w:val="20"/>
                <w:lang w:eastAsia="sk-SK"/>
              </w:rPr>
            </w:pPr>
          </w:p>
        </w:tc>
        <w:tc>
          <w:tcPr>
            <w:tcW w:w="377" w:type="pct"/>
            <w:tcBorders>
              <w:top w:val="nil"/>
              <w:left w:val="single" w:sz="4" w:space="0" w:color="auto"/>
              <w:bottom w:val="single" w:sz="4" w:space="0" w:color="auto"/>
              <w:right w:val="single" w:sz="4" w:space="0" w:color="auto"/>
            </w:tcBorders>
            <w:shd w:val="clear" w:color="auto" w:fill="92D050"/>
            <w:noWrap/>
            <w:vAlign w:val="bottom"/>
          </w:tcPr>
          <w:p w14:paraId="1F1FC131" w14:textId="77777777" w:rsidR="00E66F49" w:rsidRPr="00666914" w:rsidRDefault="00E66F49" w:rsidP="00D27F91">
            <w:pPr>
              <w:spacing w:after="0"/>
              <w:rPr>
                <w:rFonts w:eastAsia="Times New Roman" w:cs="Calibri"/>
                <w:color w:val="FF0000"/>
                <w:sz w:val="20"/>
                <w:szCs w:val="20"/>
                <w:lang w:eastAsia="sk-SK"/>
              </w:rPr>
            </w:pPr>
          </w:p>
        </w:tc>
        <w:tc>
          <w:tcPr>
            <w:tcW w:w="377" w:type="pct"/>
            <w:tcBorders>
              <w:top w:val="nil"/>
              <w:left w:val="single" w:sz="4" w:space="0" w:color="auto"/>
              <w:bottom w:val="single" w:sz="4" w:space="0" w:color="auto"/>
              <w:right w:val="single" w:sz="4" w:space="0" w:color="auto"/>
            </w:tcBorders>
            <w:shd w:val="clear" w:color="auto" w:fill="A6A6A6" w:themeFill="background1" w:themeFillShade="A6"/>
            <w:noWrap/>
            <w:vAlign w:val="bottom"/>
          </w:tcPr>
          <w:p w14:paraId="204337CA" w14:textId="77777777" w:rsidR="00E66F49" w:rsidRPr="00666914" w:rsidRDefault="00E66F49" w:rsidP="00D27F91">
            <w:pPr>
              <w:spacing w:after="0"/>
              <w:rPr>
                <w:rFonts w:eastAsia="Times New Roman" w:cs="Calibri"/>
                <w:color w:val="FF0000"/>
                <w:sz w:val="20"/>
                <w:szCs w:val="20"/>
                <w:lang w:eastAsia="sk-SK"/>
              </w:rPr>
            </w:pPr>
          </w:p>
        </w:tc>
        <w:tc>
          <w:tcPr>
            <w:tcW w:w="397" w:type="pct"/>
            <w:tcBorders>
              <w:top w:val="nil"/>
              <w:left w:val="nil"/>
              <w:bottom w:val="single" w:sz="4" w:space="0" w:color="auto"/>
              <w:right w:val="single" w:sz="8" w:space="0" w:color="auto"/>
            </w:tcBorders>
            <w:shd w:val="clear" w:color="auto" w:fill="92D050"/>
            <w:noWrap/>
            <w:vAlign w:val="bottom"/>
          </w:tcPr>
          <w:p w14:paraId="4DC002B2" w14:textId="77777777" w:rsidR="00E66F49" w:rsidRPr="00666914" w:rsidRDefault="00E66F49" w:rsidP="00D27F91">
            <w:pPr>
              <w:spacing w:after="0"/>
              <w:jc w:val="center"/>
              <w:rPr>
                <w:rFonts w:eastAsia="Times New Roman" w:cs="Calibri"/>
                <w:color w:val="FF0000"/>
                <w:sz w:val="20"/>
                <w:szCs w:val="20"/>
                <w:lang w:eastAsia="sk-SK"/>
              </w:rPr>
            </w:pPr>
          </w:p>
        </w:tc>
      </w:tr>
    </w:tbl>
    <w:p w14:paraId="202E56F6" w14:textId="77777777" w:rsidR="00E66F49" w:rsidRPr="00666914" w:rsidRDefault="00E66F49" w:rsidP="00CD4715">
      <w:pPr>
        <w:pStyle w:val="Odsekzoznamu"/>
        <w:ind w:left="0"/>
      </w:pPr>
    </w:p>
    <w:p w14:paraId="7F0E7C5D" w14:textId="3DA91BFE" w:rsidR="00E66F49" w:rsidRPr="00666914" w:rsidRDefault="00E66F49" w:rsidP="007027DF">
      <w:pPr>
        <w:pStyle w:val="Odsekzoznamu"/>
        <w:spacing w:line="276" w:lineRule="auto"/>
        <w:ind w:left="0"/>
        <w:contextualSpacing w:val="0"/>
      </w:pPr>
      <w:r w:rsidRPr="00666914">
        <w:t>MPSVR SR malo počas roka 2-krát zverejniť aktualizovaný investičný plán. K 30.6. aj k 31.12.2019 bol na stránke ministerstva zverejnený</w:t>
      </w:r>
      <w:r w:rsidRPr="00666914">
        <w:rPr>
          <w:rStyle w:val="Odkaznapoznmkupodiarou"/>
        </w:rPr>
        <w:footnoteReference w:id="405"/>
      </w:r>
      <w:r w:rsidRPr="00666914">
        <w:t xml:space="preserve">, </w:t>
      </w:r>
      <w:r w:rsidRPr="00666914">
        <w:rPr>
          <w:b/>
        </w:rPr>
        <w:t>opatrenie bolo počas roka aj k 31.12.2019 splnené.</w:t>
      </w:r>
    </w:p>
    <w:p w14:paraId="69C60726" w14:textId="77777777" w:rsidR="00E66F49" w:rsidRPr="00666914" w:rsidRDefault="00E66F49" w:rsidP="00D27F91">
      <w:pPr>
        <w:pStyle w:val="Odsekzoznamu"/>
        <w:spacing w:after="0"/>
        <w:ind w:left="0"/>
        <w:rPr>
          <w:i/>
        </w:rPr>
      </w:pPr>
      <w:r w:rsidRPr="00666914">
        <w:rPr>
          <w:i/>
        </w:rPr>
        <w:t>Sociálna poisťovňa</w:t>
      </w:r>
    </w:p>
    <w:tbl>
      <w:tblPr>
        <w:tblW w:w="5000" w:type="pct"/>
        <w:tblLayout w:type="fixed"/>
        <w:tblCellMar>
          <w:left w:w="70" w:type="dxa"/>
          <w:right w:w="70" w:type="dxa"/>
        </w:tblCellMar>
        <w:tblLook w:val="04A0" w:firstRow="1" w:lastRow="0" w:firstColumn="1" w:lastColumn="0" w:noHBand="0" w:noVBand="1"/>
      </w:tblPr>
      <w:tblGrid>
        <w:gridCol w:w="425"/>
        <w:gridCol w:w="2794"/>
        <w:gridCol w:w="1316"/>
        <w:gridCol w:w="884"/>
        <w:gridCol w:w="972"/>
        <w:gridCol w:w="694"/>
        <w:gridCol w:w="694"/>
        <w:gridCol w:w="694"/>
        <w:gridCol w:w="731"/>
      </w:tblGrid>
      <w:tr w:rsidR="00E66F49" w:rsidRPr="00666914" w14:paraId="0D42F472" w14:textId="77777777" w:rsidTr="00D27F91">
        <w:trPr>
          <w:trHeight w:val="330"/>
        </w:trPr>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0D374F"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1518" w:type="pct"/>
            <w:tcBorders>
              <w:top w:val="single" w:sz="4" w:space="0" w:color="auto"/>
              <w:left w:val="nil"/>
              <w:bottom w:val="single" w:sz="4" w:space="0" w:color="auto"/>
              <w:right w:val="single" w:sz="4" w:space="0" w:color="auto"/>
            </w:tcBorders>
            <w:shd w:val="clear" w:color="auto" w:fill="auto"/>
            <w:noWrap/>
            <w:vAlign w:val="center"/>
            <w:hideMark/>
          </w:tcPr>
          <w:p w14:paraId="2F0FD13B"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TRH PRÁCE A SOCIÁLNE POLITIKY</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0CDA7DE8"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Zodpovednosť</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14:paraId="351CECF9"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Termín plnenia</w:t>
            </w:r>
          </w:p>
        </w:tc>
        <w:tc>
          <w:tcPr>
            <w:tcW w:w="528" w:type="pct"/>
            <w:tcBorders>
              <w:top w:val="single" w:sz="4" w:space="0" w:color="auto"/>
              <w:left w:val="nil"/>
              <w:bottom w:val="single" w:sz="4" w:space="0" w:color="auto"/>
              <w:right w:val="single" w:sz="4" w:space="0" w:color="auto"/>
            </w:tcBorders>
          </w:tcPr>
          <w:p w14:paraId="31BBCF12" w14:textId="2310C9A6" w:rsidR="00E66F49" w:rsidRPr="00666914" w:rsidRDefault="00E66F49" w:rsidP="002D0686">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 xml:space="preserve">Nový termín plnenia </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3AB60"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1Q 2019</w:t>
            </w:r>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14:paraId="60D24070"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2Q 2019</w:t>
            </w:r>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14:paraId="7CFEFC39"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3Q 2019</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5D1F1A5B"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4Q 2019</w:t>
            </w:r>
          </w:p>
        </w:tc>
      </w:tr>
      <w:tr w:rsidR="00E66F49" w:rsidRPr="00666914" w14:paraId="708FA3D4" w14:textId="77777777" w:rsidTr="00D27F91">
        <w:trPr>
          <w:trHeight w:val="315"/>
        </w:trPr>
        <w:tc>
          <w:tcPr>
            <w:tcW w:w="231" w:type="pct"/>
            <w:tcBorders>
              <w:top w:val="nil"/>
              <w:left w:val="single" w:sz="8" w:space="0" w:color="auto"/>
              <w:bottom w:val="single" w:sz="4" w:space="0" w:color="auto"/>
              <w:right w:val="single" w:sz="4" w:space="0" w:color="auto"/>
            </w:tcBorders>
            <w:shd w:val="clear" w:color="auto" w:fill="auto"/>
            <w:vAlign w:val="center"/>
          </w:tcPr>
          <w:p w14:paraId="5CA875A8"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25</w:t>
            </w:r>
          </w:p>
        </w:tc>
        <w:tc>
          <w:tcPr>
            <w:tcW w:w="1518" w:type="pct"/>
            <w:tcBorders>
              <w:top w:val="nil"/>
              <w:left w:val="single" w:sz="4" w:space="0" w:color="auto"/>
              <w:bottom w:val="single" w:sz="4" w:space="0" w:color="auto"/>
              <w:right w:val="single" w:sz="4" w:space="0" w:color="auto"/>
            </w:tcBorders>
            <w:shd w:val="clear" w:color="auto" w:fill="auto"/>
            <w:vAlign w:val="center"/>
          </w:tcPr>
          <w:p w14:paraId="45B6895E"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Vypracovanie a zverejnenie investičného plánu SP, bez ohľadu na zdroj financovania</w:t>
            </w:r>
          </w:p>
        </w:tc>
        <w:tc>
          <w:tcPr>
            <w:tcW w:w="715" w:type="pct"/>
            <w:tcBorders>
              <w:top w:val="nil"/>
              <w:left w:val="single" w:sz="4" w:space="0" w:color="auto"/>
              <w:bottom w:val="single" w:sz="4" w:space="0" w:color="auto"/>
              <w:right w:val="single" w:sz="4" w:space="0" w:color="auto"/>
            </w:tcBorders>
            <w:shd w:val="clear" w:color="auto" w:fill="auto"/>
            <w:vAlign w:val="center"/>
          </w:tcPr>
          <w:p w14:paraId="06C0C51A"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SP</w:t>
            </w:r>
          </w:p>
        </w:tc>
        <w:tc>
          <w:tcPr>
            <w:tcW w:w="480" w:type="pct"/>
            <w:tcBorders>
              <w:top w:val="nil"/>
              <w:left w:val="single" w:sz="4" w:space="0" w:color="auto"/>
              <w:bottom w:val="single" w:sz="4" w:space="0" w:color="auto"/>
              <w:right w:val="single" w:sz="4" w:space="0" w:color="auto"/>
            </w:tcBorders>
            <w:shd w:val="clear" w:color="auto" w:fill="auto"/>
            <w:vAlign w:val="center"/>
          </w:tcPr>
          <w:p w14:paraId="2C5623C7"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12/2018</w:t>
            </w:r>
          </w:p>
        </w:tc>
        <w:tc>
          <w:tcPr>
            <w:tcW w:w="528" w:type="pct"/>
            <w:tcBorders>
              <w:top w:val="nil"/>
              <w:left w:val="single" w:sz="4" w:space="0" w:color="auto"/>
              <w:bottom w:val="single" w:sz="4" w:space="0" w:color="auto"/>
              <w:right w:val="single" w:sz="4" w:space="0" w:color="auto"/>
            </w:tcBorders>
            <w:vAlign w:val="center"/>
          </w:tcPr>
          <w:p w14:paraId="7FA75F02"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priebežne</w:t>
            </w:r>
          </w:p>
        </w:tc>
        <w:tc>
          <w:tcPr>
            <w:tcW w:w="377" w:type="pct"/>
            <w:tcBorders>
              <w:top w:val="nil"/>
              <w:left w:val="single" w:sz="4" w:space="0" w:color="auto"/>
              <w:bottom w:val="single" w:sz="4" w:space="0" w:color="auto"/>
              <w:right w:val="single" w:sz="4" w:space="0" w:color="auto"/>
            </w:tcBorders>
            <w:shd w:val="clear" w:color="auto" w:fill="FFC000"/>
            <w:noWrap/>
            <w:vAlign w:val="bottom"/>
          </w:tcPr>
          <w:p w14:paraId="52F4C823" w14:textId="77777777" w:rsidR="00E66F49" w:rsidRPr="00666914" w:rsidRDefault="00E66F49" w:rsidP="00D27F91">
            <w:pPr>
              <w:spacing w:after="0"/>
              <w:rPr>
                <w:rFonts w:eastAsia="Times New Roman" w:cs="Calibri"/>
                <w:color w:val="000000"/>
                <w:sz w:val="20"/>
                <w:szCs w:val="20"/>
                <w:lang w:eastAsia="sk-SK"/>
              </w:rPr>
            </w:pPr>
          </w:p>
        </w:tc>
        <w:tc>
          <w:tcPr>
            <w:tcW w:w="377" w:type="pct"/>
            <w:tcBorders>
              <w:top w:val="nil"/>
              <w:left w:val="single" w:sz="4" w:space="0" w:color="auto"/>
              <w:bottom w:val="single" w:sz="4" w:space="0" w:color="auto"/>
              <w:right w:val="single" w:sz="4" w:space="0" w:color="auto"/>
            </w:tcBorders>
            <w:shd w:val="clear" w:color="auto" w:fill="FFC000"/>
            <w:noWrap/>
            <w:vAlign w:val="bottom"/>
          </w:tcPr>
          <w:p w14:paraId="13AEBCA9" w14:textId="77777777" w:rsidR="00E66F49" w:rsidRPr="00666914" w:rsidRDefault="00E66F49" w:rsidP="00D27F91">
            <w:pPr>
              <w:spacing w:after="0"/>
              <w:rPr>
                <w:rFonts w:eastAsia="Times New Roman" w:cs="Calibri"/>
                <w:color w:val="FF0000"/>
                <w:sz w:val="20"/>
                <w:szCs w:val="20"/>
                <w:lang w:eastAsia="sk-SK"/>
              </w:rPr>
            </w:pPr>
          </w:p>
        </w:tc>
        <w:tc>
          <w:tcPr>
            <w:tcW w:w="377" w:type="pct"/>
            <w:tcBorders>
              <w:top w:val="nil"/>
              <w:left w:val="single" w:sz="4" w:space="0" w:color="auto"/>
              <w:bottom w:val="single" w:sz="4" w:space="0" w:color="auto"/>
              <w:right w:val="single" w:sz="4" w:space="0" w:color="auto"/>
            </w:tcBorders>
            <w:shd w:val="clear" w:color="auto" w:fill="FFC000"/>
            <w:noWrap/>
            <w:vAlign w:val="bottom"/>
          </w:tcPr>
          <w:p w14:paraId="31885FFC" w14:textId="77777777" w:rsidR="00E66F49" w:rsidRPr="00666914" w:rsidRDefault="00E66F49" w:rsidP="00D27F91">
            <w:pPr>
              <w:spacing w:after="0"/>
              <w:rPr>
                <w:rFonts w:eastAsia="Times New Roman" w:cs="Calibri"/>
                <w:color w:val="FF0000"/>
                <w:sz w:val="20"/>
                <w:szCs w:val="20"/>
                <w:lang w:eastAsia="sk-SK"/>
              </w:rPr>
            </w:pPr>
          </w:p>
        </w:tc>
        <w:tc>
          <w:tcPr>
            <w:tcW w:w="397" w:type="pct"/>
            <w:tcBorders>
              <w:top w:val="nil"/>
              <w:left w:val="nil"/>
              <w:bottom w:val="single" w:sz="4" w:space="0" w:color="auto"/>
              <w:right w:val="single" w:sz="8" w:space="0" w:color="auto"/>
            </w:tcBorders>
            <w:shd w:val="clear" w:color="auto" w:fill="FFC000"/>
            <w:noWrap/>
            <w:vAlign w:val="bottom"/>
          </w:tcPr>
          <w:p w14:paraId="57D7100D" w14:textId="77777777" w:rsidR="00E66F49" w:rsidRPr="00666914" w:rsidRDefault="00E66F49" w:rsidP="00D27F91">
            <w:pPr>
              <w:spacing w:after="0"/>
              <w:jc w:val="center"/>
              <w:rPr>
                <w:rFonts w:eastAsia="Times New Roman" w:cs="Calibri"/>
                <w:color w:val="FF0000"/>
                <w:sz w:val="20"/>
                <w:szCs w:val="20"/>
                <w:lang w:eastAsia="sk-SK"/>
              </w:rPr>
            </w:pPr>
          </w:p>
        </w:tc>
      </w:tr>
    </w:tbl>
    <w:p w14:paraId="518CE570" w14:textId="77777777" w:rsidR="00E66F49" w:rsidRPr="00666914" w:rsidRDefault="00E66F49" w:rsidP="00CD4715">
      <w:pPr>
        <w:pStyle w:val="Odsekzoznamu"/>
        <w:ind w:left="0"/>
      </w:pPr>
    </w:p>
    <w:p w14:paraId="254AE968" w14:textId="43A99C62" w:rsidR="00E66F49" w:rsidRPr="00666914" w:rsidRDefault="00E66F49" w:rsidP="00D27F91">
      <w:pPr>
        <w:pStyle w:val="Odsekzoznamu"/>
        <w:ind w:left="0"/>
        <w:rPr>
          <w:b/>
        </w:rPr>
      </w:pPr>
      <w:r w:rsidRPr="00666914">
        <w:t xml:space="preserve">Investičný plán mal byť k 30.6. a 31.12.2019 aktualizovaný a zverejnený na stránke SP. SP ho síce vypracovala a IJ zaslala, jej zverejnenie však naďalej odmieta. </w:t>
      </w:r>
      <w:r w:rsidRPr="00666914">
        <w:rPr>
          <w:b/>
        </w:rPr>
        <w:t>Opatrenie sa z dôvodu nezverejnenia plánu plní k 31.12.2019 čiastočne.</w:t>
      </w:r>
    </w:p>
    <w:p w14:paraId="45E90DF4" w14:textId="77777777" w:rsidR="00E66F49" w:rsidRPr="00666914" w:rsidRDefault="00E66F49" w:rsidP="00D27F91">
      <w:pPr>
        <w:pStyle w:val="Odsekzoznamu"/>
        <w:spacing w:after="0"/>
        <w:ind w:left="0"/>
        <w:rPr>
          <w:b/>
        </w:rPr>
      </w:pPr>
    </w:p>
    <w:p w14:paraId="18C914F2" w14:textId="77777777" w:rsidR="00E66F49" w:rsidRPr="00666914" w:rsidRDefault="00E66F49" w:rsidP="00131B23">
      <w:pPr>
        <w:numPr>
          <w:ilvl w:val="0"/>
          <w:numId w:val="7"/>
        </w:numPr>
        <w:contextualSpacing/>
        <w:rPr>
          <w:b/>
          <w:u w:val="single"/>
        </w:rPr>
      </w:pPr>
      <w:r w:rsidRPr="00666914">
        <w:rPr>
          <w:b/>
          <w:u w:val="single"/>
        </w:rPr>
        <w:t>Všetky plánované investície rozpočtovať na úrovni investičných akcií</w:t>
      </w:r>
    </w:p>
    <w:p w14:paraId="75355071" w14:textId="77777777" w:rsidR="00E66F49" w:rsidRPr="00666914" w:rsidRDefault="00E66F49" w:rsidP="00CD4715">
      <w:pPr>
        <w:contextualSpacing/>
        <w:rPr>
          <w:b/>
          <w:u w:val="single"/>
        </w:rPr>
      </w:pPr>
    </w:p>
    <w:p w14:paraId="195BF8A9" w14:textId="46F57171" w:rsidR="00D27F91" w:rsidRPr="00666914" w:rsidRDefault="00E66F49" w:rsidP="00BD5C93">
      <w:pPr>
        <w:spacing w:after="0"/>
      </w:pPr>
      <w:r w:rsidRPr="00666914">
        <w:t>Zoznam investičných akcií (IA) zaznamenáva všetky kapitálové výdavky rozpočtových organizácií, bez ohľadu na zdroj ich financovania (ŠR/EŠIF). Plnenie tohto opatrenia je z dôvodu zákonného rozdelenia kompetencií SP a MPSVR SR rozdelené na 2 časti.</w:t>
      </w:r>
    </w:p>
    <w:p w14:paraId="44ED30B6" w14:textId="20E82D60" w:rsidR="00D27F91" w:rsidRPr="00666914" w:rsidRDefault="00D27F91">
      <w:pPr>
        <w:spacing w:after="0"/>
        <w:jc w:val="left"/>
      </w:pPr>
    </w:p>
    <w:p w14:paraId="785F3DBD" w14:textId="77777777" w:rsidR="00E66F49" w:rsidRPr="00666914" w:rsidRDefault="00E66F49" w:rsidP="00CD4715">
      <w:pPr>
        <w:pStyle w:val="Odsekzoznamu"/>
        <w:spacing w:after="0"/>
        <w:ind w:left="0"/>
        <w:rPr>
          <w:i/>
        </w:rPr>
      </w:pPr>
      <w:r w:rsidRPr="00666914">
        <w:rPr>
          <w:i/>
        </w:rPr>
        <w:t xml:space="preserve">Ministerstvo práce, sociálnych vecí a rodiny SR (vrátane jednotlivých PRO)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2794"/>
        <w:gridCol w:w="1316"/>
        <w:gridCol w:w="884"/>
        <w:gridCol w:w="972"/>
        <w:gridCol w:w="694"/>
        <w:gridCol w:w="694"/>
        <w:gridCol w:w="694"/>
        <w:gridCol w:w="731"/>
      </w:tblGrid>
      <w:tr w:rsidR="00E66F49" w:rsidRPr="00666914" w14:paraId="50DE1881" w14:textId="77777777" w:rsidTr="00D02901">
        <w:trPr>
          <w:trHeight w:val="330"/>
        </w:trPr>
        <w:tc>
          <w:tcPr>
            <w:tcW w:w="231" w:type="pct"/>
            <w:shd w:val="clear" w:color="auto" w:fill="auto"/>
            <w:vAlign w:val="center"/>
            <w:hideMark/>
          </w:tcPr>
          <w:p w14:paraId="78D06D66"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lastRenderedPageBreak/>
              <w:t> </w:t>
            </w:r>
          </w:p>
        </w:tc>
        <w:tc>
          <w:tcPr>
            <w:tcW w:w="1518" w:type="pct"/>
            <w:shd w:val="clear" w:color="auto" w:fill="auto"/>
            <w:noWrap/>
            <w:vAlign w:val="center"/>
            <w:hideMark/>
          </w:tcPr>
          <w:p w14:paraId="6F01D810"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TRH PRÁCE A SOCIÁLNE POLITIKY</w:t>
            </w:r>
          </w:p>
        </w:tc>
        <w:tc>
          <w:tcPr>
            <w:tcW w:w="715" w:type="pct"/>
            <w:shd w:val="clear" w:color="auto" w:fill="auto"/>
            <w:noWrap/>
            <w:vAlign w:val="center"/>
            <w:hideMark/>
          </w:tcPr>
          <w:p w14:paraId="34CAE150"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Zodpovednosť</w:t>
            </w:r>
          </w:p>
        </w:tc>
        <w:tc>
          <w:tcPr>
            <w:tcW w:w="480" w:type="pct"/>
            <w:shd w:val="clear" w:color="auto" w:fill="auto"/>
            <w:noWrap/>
            <w:vAlign w:val="center"/>
            <w:hideMark/>
          </w:tcPr>
          <w:p w14:paraId="66328B82"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Termín plnenia</w:t>
            </w:r>
          </w:p>
        </w:tc>
        <w:tc>
          <w:tcPr>
            <w:tcW w:w="528" w:type="pct"/>
          </w:tcPr>
          <w:p w14:paraId="3C1EE513" w14:textId="1C9C3F6E" w:rsidR="00E66F49" w:rsidRPr="00666914" w:rsidRDefault="00E66F49" w:rsidP="002D0686">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 xml:space="preserve">Nový termín plnenia </w:t>
            </w:r>
          </w:p>
        </w:tc>
        <w:tc>
          <w:tcPr>
            <w:tcW w:w="377" w:type="pct"/>
            <w:shd w:val="clear" w:color="auto" w:fill="auto"/>
            <w:noWrap/>
            <w:vAlign w:val="center"/>
            <w:hideMark/>
          </w:tcPr>
          <w:p w14:paraId="0846E47F"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1Q 2019</w:t>
            </w:r>
          </w:p>
        </w:tc>
        <w:tc>
          <w:tcPr>
            <w:tcW w:w="377" w:type="pct"/>
            <w:shd w:val="clear" w:color="auto" w:fill="auto"/>
            <w:noWrap/>
            <w:vAlign w:val="center"/>
            <w:hideMark/>
          </w:tcPr>
          <w:p w14:paraId="22B88067"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2Q 2019</w:t>
            </w:r>
          </w:p>
        </w:tc>
        <w:tc>
          <w:tcPr>
            <w:tcW w:w="377" w:type="pct"/>
            <w:shd w:val="clear" w:color="auto" w:fill="auto"/>
            <w:noWrap/>
            <w:vAlign w:val="center"/>
            <w:hideMark/>
          </w:tcPr>
          <w:p w14:paraId="1B22C5F6"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3Q 2019</w:t>
            </w:r>
          </w:p>
        </w:tc>
        <w:tc>
          <w:tcPr>
            <w:tcW w:w="397" w:type="pct"/>
            <w:shd w:val="clear" w:color="auto" w:fill="auto"/>
            <w:noWrap/>
            <w:vAlign w:val="center"/>
            <w:hideMark/>
          </w:tcPr>
          <w:p w14:paraId="20114057"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4Q 2019</w:t>
            </w:r>
          </w:p>
        </w:tc>
      </w:tr>
      <w:tr w:rsidR="00E66F49" w:rsidRPr="00666914" w14:paraId="5CDBF49F" w14:textId="77777777" w:rsidTr="00D02901">
        <w:trPr>
          <w:trHeight w:val="315"/>
        </w:trPr>
        <w:tc>
          <w:tcPr>
            <w:tcW w:w="231" w:type="pct"/>
            <w:shd w:val="clear" w:color="auto" w:fill="auto"/>
            <w:vAlign w:val="center"/>
          </w:tcPr>
          <w:p w14:paraId="735EF0F7"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26</w:t>
            </w:r>
          </w:p>
        </w:tc>
        <w:tc>
          <w:tcPr>
            <w:tcW w:w="1518" w:type="pct"/>
            <w:shd w:val="clear" w:color="auto" w:fill="auto"/>
            <w:vAlign w:val="center"/>
          </w:tcPr>
          <w:p w14:paraId="1C4F2759"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Všetky plánované investície rozpočtovať na úrovni investičných akcií</w:t>
            </w:r>
          </w:p>
        </w:tc>
        <w:tc>
          <w:tcPr>
            <w:tcW w:w="715" w:type="pct"/>
            <w:shd w:val="clear" w:color="auto" w:fill="auto"/>
            <w:vAlign w:val="center"/>
          </w:tcPr>
          <w:p w14:paraId="23A53F4D"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tc>
        <w:tc>
          <w:tcPr>
            <w:tcW w:w="480" w:type="pct"/>
            <w:shd w:val="clear" w:color="auto" w:fill="auto"/>
            <w:vAlign w:val="center"/>
          </w:tcPr>
          <w:p w14:paraId="157A28C5"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priebežne</w:t>
            </w:r>
          </w:p>
        </w:tc>
        <w:tc>
          <w:tcPr>
            <w:tcW w:w="528" w:type="pct"/>
            <w:vAlign w:val="center"/>
          </w:tcPr>
          <w:p w14:paraId="0A7ABF19"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77" w:type="pct"/>
            <w:shd w:val="clear" w:color="auto" w:fill="92D050"/>
            <w:noWrap/>
            <w:vAlign w:val="bottom"/>
          </w:tcPr>
          <w:p w14:paraId="2201D808" w14:textId="77777777" w:rsidR="00E66F49" w:rsidRPr="00666914" w:rsidRDefault="00E66F49" w:rsidP="00D27F91">
            <w:pPr>
              <w:spacing w:after="0"/>
              <w:rPr>
                <w:rFonts w:eastAsia="Times New Roman" w:cs="Calibri"/>
                <w:color w:val="000000"/>
                <w:sz w:val="20"/>
                <w:szCs w:val="20"/>
                <w:lang w:eastAsia="sk-SK"/>
              </w:rPr>
            </w:pPr>
          </w:p>
        </w:tc>
        <w:tc>
          <w:tcPr>
            <w:tcW w:w="377" w:type="pct"/>
            <w:shd w:val="clear" w:color="auto" w:fill="92D050"/>
            <w:noWrap/>
            <w:vAlign w:val="bottom"/>
          </w:tcPr>
          <w:p w14:paraId="3BC97C5B" w14:textId="77777777" w:rsidR="00E66F49" w:rsidRPr="00666914" w:rsidRDefault="00E66F49" w:rsidP="00D27F91">
            <w:pPr>
              <w:spacing w:after="0"/>
              <w:rPr>
                <w:rFonts w:eastAsia="Times New Roman" w:cs="Calibri"/>
                <w:color w:val="FF0000"/>
                <w:sz w:val="20"/>
                <w:szCs w:val="20"/>
                <w:lang w:eastAsia="sk-SK"/>
              </w:rPr>
            </w:pPr>
          </w:p>
        </w:tc>
        <w:tc>
          <w:tcPr>
            <w:tcW w:w="377" w:type="pct"/>
            <w:shd w:val="clear" w:color="auto" w:fill="92D050"/>
            <w:noWrap/>
            <w:vAlign w:val="bottom"/>
          </w:tcPr>
          <w:p w14:paraId="3BB4738B" w14:textId="77777777" w:rsidR="00E66F49" w:rsidRPr="00666914" w:rsidRDefault="00E66F49" w:rsidP="00D27F91">
            <w:pPr>
              <w:spacing w:after="0"/>
              <w:rPr>
                <w:rFonts w:eastAsia="Times New Roman" w:cs="Calibri"/>
                <w:color w:val="FF0000"/>
                <w:sz w:val="20"/>
                <w:szCs w:val="20"/>
                <w:lang w:eastAsia="sk-SK"/>
              </w:rPr>
            </w:pPr>
          </w:p>
        </w:tc>
        <w:tc>
          <w:tcPr>
            <w:tcW w:w="397" w:type="pct"/>
            <w:shd w:val="clear" w:color="auto" w:fill="92D050"/>
            <w:noWrap/>
            <w:vAlign w:val="bottom"/>
          </w:tcPr>
          <w:p w14:paraId="14C17616" w14:textId="77777777" w:rsidR="00E66F49" w:rsidRPr="00666914" w:rsidRDefault="00E66F49" w:rsidP="00D27F91">
            <w:pPr>
              <w:spacing w:after="0"/>
              <w:jc w:val="center"/>
              <w:rPr>
                <w:rFonts w:eastAsia="Times New Roman" w:cs="Calibri"/>
                <w:color w:val="FF0000"/>
                <w:sz w:val="20"/>
                <w:szCs w:val="20"/>
                <w:lang w:eastAsia="sk-SK"/>
              </w:rPr>
            </w:pPr>
          </w:p>
        </w:tc>
      </w:tr>
    </w:tbl>
    <w:p w14:paraId="7D444E4D" w14:textId="77777777" w:rsidR="00E66F49" w:rsidRPr="00666914" w:rsidRDefault="00E66F49" w:rsidP="00D27F91">
      <w:pPr>
        <w:pStyle w:val="Odsekzoznamu"/>
        <w:spacing w:after="0"/>
        <w:ind w:left="0"/>
        <w:rPr>
          <w:i/>
        </w:rPr>
      </w:pPr>
    </w:p>
    <w:p w14:paraId="407CD84F" w14:textId="071EB04A" w:rsidR="00E66F49" w:rsidRPr="00666914" w:rsidRDefault="00E66F49" w:rsidP="00D27F91">
      <w:pPr>
        <w:spacing w:line="276" w:lineRule="auto"/>
      </w:pPr>
      <w:r w:rsidRPr="00666914">
        <w:t>Kapitálové výdavky MPSVR SR financované zo ŠR boli počas roka 2019 na úrovni investičných akcií definované, k investíciám financovaných z EŠIF rezort nealokoval v RISe k 31.12. finančné prostriedky</w:t>
      </w:r>
      <w:r w:rsidRPr="00666914">
        <w:rPr>
          <w:rStyle w:val="Odkaznapoznmkupodiarou"/>
        </w:rPr>
        <w:footnoteReference w:id="406"/>
      </w:r>
      <w:r w:rsidRPr="00666914">
        <w:t>.</w:t>
      </w:r>
    </w:p>
    <w:p w14:paraId="10831DC0" w14:textId="1EA31840" w:rsidR="00E66F49" w:rsidRPr="00666914" w:rsidRDefault="00E66F49" w:rsidP="00D27F91">
      <w:pPr>
        <w:spacing w:line="276" w:lineRule="auto"/>
        <w:rPr>
          <w:b/>
        </w:rPr>
      </w:pPr>
      <w:r w:rsidRPr="00666914">
        <w:rPr>
          <w:b/>
        </w:rPr>
        <w:t>Opatrenie je k 31.12.2019 splnené.</w:t>
      </w:r>
    </w:p>
    <w:p w14:paraId="11191A6E" w14:textId="77777777" w:rsidR="00E66F49" w:rsidRPr="00666914" w:rsidRDefault="00E66F49" w:rsidP="00485F49">
      <w:pPr>
        <w:spacing w:after="0" w:line="259" w:lineRule="auto"/>
        <w:jc w:val="left"/>
        <w:rPr>
          <w:i/>
        </w:rPr>
      </w:pPr>
      <w:r w:rsidRPr="00666914">
        <w:rPr>
          <w:i/>
        </w:rPr>
        <w:t>Sociálna poisťovňa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2794"/>
        <w:gridCol w:w="1316"/>
        <w:gridCol w:w="884"/>
        <w:gridCol w:w="972"/>
        <w:gridCol w:w="694"/>
        <w:gridCol w:w="694"/>
        <w:gridCol w:w="694"/>
        <w:gridCol w:w="731"/>
      </w:tblGrid>
      <w:tr w:rsidR="00E66F49" w:rsidRPr="00666914" w14:paraId="6C08156B" w14:textId="77777777" w:rsidTr="00D27F91">
        <w:trPr>
          <w:trHeight w:val="330"/>
        </w:trPr>
        <w:tc>
          <w:tcPr>
            <w:tcW w:w="231" w:type="pct"/>
            <w:shd w:val="clear" w:color="auto" w:fill="auto"/>
            <w:vAlign w:val="center"/>
            <w:hideMark/>
          </w:tcPr>
          <w:p w14:paraId="0B17B2F9"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1518" w:type="pct"/>
            <w:shd w:val="clear" w:color="auto" w:fill="auto"/>
            <w:noWrap/>
            <w:vAlign w:val="center"/>
            <w:hideMark/>
          </w:tcPr>
          <w:p w14:paraId="2739B919"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TRH PRÁCE A SOCIÁLNE POLITIKY</w:t>
            </w:r>
          </w:p>
        </w:tc>
        <w:tc>
          <w:tcPr>
            <w:tcW w:w="715" w:type="pct"/>
            <w:shd w:val="clear" w:color="auto" w:fill="auto"/>
            <w:noWrap/>
            <w:vAlign w:val="center"/>
            <w:hideMark/>
          </w:tcPr>
          <w:p w14:paraId="6C7EC839"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Zodpovednosť</w:t>
            </w:r>
          </w:p>
        </w:tc>
        <w:tc>
          <w:tcPr>
            <w:tcW w:w="480" w:type="pct"/>
            <w:shd w:val="clear" w:color="auto" w:fill="auto"/>
            <w:noWrap/>
            <w:vAlign w:val="center"/>
            <w:hideMark/>
          </w:tcPr>
          <w:p w14:paraId="56D4323C"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Termín plnenia</w:t>
            </w:r>
          </w:p>
        </w:tc>
        <w:tc>
          <w:tcPr>
            <w:tcW w:w="528" w:type="pct"/>
          </w:tcPr>
          <w:p w14:paraId="259807A2" w14:textId="400E6DD1" w:rsidR="00E66F49" w:rsidRPr="00666914" w:rsidRDefault="00E66F49" w:rsidP="002D0686">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 xml:space="preserve">Nový termín plnenia </w:t>
            </w:r>
          </w:p>
        </w:tc>
        <w:tc>
          <w:tcPr>
            <w:tcW w:w="377" w:type="pct"/>
            <w:shd w:val="clear" w:color="auto" w:fill="auto"/>
            <w:noWrap/>
            <w:vAlign w:val="center"/>
            <w:hideMark/>
          </w:tcPr>
          <w:p w14:paraId="5469918A"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1Q 2019</w:t>
            </w:r>
          </w:p>
        </w:tc>
        <w:tc>
          <w:tcPr>
            <w:tcW w:w="377" w:type="pct"/>
            <w:shd w:val="clear" w:color="auto" w:fill="auto"/>
            <w:noWrap/>
            <w:vAlign w:val="center"/>
            <w:hideMark/>
          </w:tcPr>
          <w:p w14:paraId="7101441B"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2Q 2019</w:t>
            </w:r>
          </w:p>
        </w:tc>
        <w:tc>
          <w:tcPr>
            <w:tcW w:w="377" w:type="pct"/>
            <w:shd w:val="clear" w:color="auto" w:fill="auto"/>
            <w:noWrap/>
            <w:vAlign w:val="center"/>
            <w:hideMark/>
          </w:tcPr>
          <w:p w14:paraId="589EAC01"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3Q 2019</w:t>
            </w:r>
          </w:p>
        </w:tc>
        <w:tc>
          <w:tcPr>
            <w:tcW w:w="397" w:type="pct"/>
            <w:shd w:val="clear" w:color="auto" w:fill="auto"/>
            <w:noWrap/>
            <w:vAlign w:val="center"/>
            <w:hideMark/>
          </w:tcPr>
          <w:p w14:paraId="5A39874A"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4Q 2019</w:t>
            </w:r>
          </w:p>
        </w:tc>
      </w:tr>
      <w:tr w:rsidR="00E66F49" w:rsidRPr="00666914" w14:paraId="12DB4B9F" w14:textId="77777777" w:rsidTr="00D27F91">
        <w:trPr>
          <w:trHeight w:val="315"/>
        </w:trPr>
        <w:tc>
          <w:tcPr>
            <w:tcW w:w="231" w:type="pct"/>
            <w:shd w:val="clear" w:color="auto" w:fill="auto"/>
            <w:vAlign w:val="center"/>
          </w:tcPr>
          <w:p w14:paraId="0D2AAD86"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26</w:t>
            </w:r>
          </w:p>
        </w:tc>
        <w:tc>
          <w:tcPr>
            <w:tcW w:w="1518" w:type="pct"/>
            <w:shd w:val="clear" w:color="auto" w:fill="auto"/>
            <w:vAlign w:val="center"/>
          </w:tcPr>
          <w:p w14:paraId="394FA6B3"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Všetky plánované investície rozpočtovať na úrovni investičných akcií</w:t>
            </w:r>
          </w:p>
        </w:tc>
        <w:tc>
          <w:tcPr>
            <w:tcW w:w="715" w:type="pct"/>
            <w:shd w:val="clear" w:color="auto" w:fill="auto"/>
            <w:vAlign w:val="center"/>
          </w:tcPr>
          <w:p w14:paraId="3FBB03A2"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SP</w:t>
            </w:r>
          </w:p>
        </w:tc>
        <w:tc>
          <w:tcPr>
            <w:tcW w:w="480" w:type="pct"/>
            <w:shd w:val="clear" w:color="auto" w:fill="auto"/>
            <w:vAlign w:val="center"/>
          </w:tcPr>
          <w:p w14:paraId="04873931"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priebežne</w:t>
            </w:r>
          </w:p>
        </w:tc>
        <w:tc>
          <w:tcPr>
            <w:tcW w:w="528" w:type="pct"/>
            <w:vAlign w:val="center"/>
          </w:tcPr>
          <w:p w14:paraId="52A9D063"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77" w:type="pct"/>
            <w:shd w:val="clear" w:color="auto" w:fill="FF0000"/>
            <w:noWrap/>
            <w:vAlign w:val="bottom"/>
          </w:tcPr>
          <w:p w14:paraId="57AC39A9" w14:textId="77777777" w:rsidR="00E66F49" w:rsidRPr="00666914" w:rsidRDefault="00E66F49" w:rsidP="00D27F91">
            <w:pPr>
              <w:spacing w:after="0"/>
              <w:rPr>
                <w:rFonts w:eastAsia="Times New Roman" w:cs="Calibri"/>
                <w:color w:val="000000"/>
                <w:sz w:val="20"/>
                <w:szCs w:val="20"/>
                <w:lang w:eastAsia="sk-SK"/>
              </w:rPr>
            </w:pPr>
          </w:p>
        </w:tc>
        <w:tc>
          <w:tcPr>
            <w:tcW w:w="377" w:type="pct"/>
            <w:shd w:val="clear" w:color="auto" w:fill="A6A6A6" w:themeFill="background1" w:themeFillShade="A6"/>
            <w:noWrap/>
            <w:vAlign w:val="bottom"/>
          </w:tcPr>
          <w:p w14:paraId="052CDE1E" w14:textId="77777777" w:rsidR="00E66F49" w:rsidRPr="00666914" w:rsidRDefault="00E66F49" w:rsidP="00D27F91">
            <w:pPr>
              <w:spacing w:after="0"/>
              <w:rPr>
                <w:rFonts w:eastAsia="Times New Roman" w:cs="Calibri"/>
                <w:color w:val="FF0000"/>
                <w:sz w:val="20"/>
                <w:szCs w:val="20"/>
                <w:lang w:eastAsia="sk-SK"/>
              </w:rPr>
            </w:pPr>
          </w:p>
        </w:tc>
        <w:tc>
          <w:tcPr>
            <w:tcW w:w="377" w:type="pct"/>
            <w:shd w:val="clear" w:color="auto" w:fill="A6A6A6" w:themeFill="background1" w:themeFillShade="A6"/>
            <w:noWrap/>
            <w:vAlign w:val="bottom"/>
          </w:tcPr>
          <w:p w14:paraId="2551D095" w14:textId="77777777" w:rsidR="00E66F49" w:rsidRPr="00666914" w:rsidRDefault="00E66F49" w:rsidP="00D27F91">
            <w:pPr>
              <w:spacing w:after="0"/>
              <w:rPr>
                <w:rFonts w:eastAsia="Times New Roman" w:cs="Calibri"/>
                <w:color w:val="FF0000"/>
                <w:sz w:val="20"/>
                <w:szCs w:val="20"/>
                <w:lang w:eastAsia="sk-SK"/>
              </w:rPr>
            </w:pPr>
          </w:p>
        </w:tc>
        <w:tc>
          <w:tcPr>
            <w:tcW w:w="397" w:type="pct"/>
            <w:shd w:val="clear" w:color="auto" w:fill="A6A6A6" w:themeFill="background1" w:themeFillShade="A6"/>
            <w:noWrap/>
            <w:vAlign w:val="bottom"/>
          </w:tcPr>
          <w:p w14:paraId="4EBBB9FF" w14:textId="77777777" w:rsidR="00E66F49" w:rsidRPr="00666914" w:rsidRDefault="00E66F49" w:rsidP="00D27F91">
            <w:pPr>
              <w:spacing w:after="0"/>
              <w:jc w:val="center"/>
              <w:rPr>
                <w:rFonts w:eastAsia="Times New Roman" w:cs="Calibri"/>
                <w:color w:val="FF0000"/>
                <w:sz w:val="20"/>
                <w:szCs w:val="20"/>
                <w:lang w:eastAsia="sk-SK"/>
              </w:rPr>
            </w:pPr>
          </w:p>
        </w:tc>
      </w:tr>
    </w:tbl>
    <w:p w14:paraId="01F0E064" w14:textId="77777777" w:rsidR="00E66F49" w:rsidRPr="00666914" w:rsidRDefault="00E66F49" w:rsidP="00D27F91">
      <w:pPr>
        <w:pStyle w:val="Odsekzoznamu"/>
        <w:spacing w:after="0"/>
        <w:ind w:left="0"/>
        <w:contextualSpacing w:val="0"/>
      </w:pPr>
    </w:p>
    <w:p w14:paraId="10DD16B3" w14:textId="04B447D6" w:rsidR="00E66F49" w:rsidRPr="00666914" w:rsidRDefault="00E66F49" w:rsidP="00D27F91">
      <w:pPr>
        <w:spacing w:after="0" w:line="276" w:lineRule="auto"/>
      </w:pPr>
      <w:r w:rsidRPr="00666914">
        <w:t>Plnenie úlohy IJ v prípade SP už nehodnotí a nebude predmetom hodnotenia ani v roku 2020. SP nie je povinná rozpočtovať v RISe kapitálové výdavky na úroveň IA</w:t>
      </w:r>
      <w:r w:rsidRPr="00666914">
        <w:rPr>
          <w:rStyle w:val="Odkaznapoznmkupodiarou"/>
        </w:rPr>
        <w:footnoteReference w:id="407"/>
      </w:r>
      <w:r w:rsidRPr="00666914">
        <w:t>.</w:t>
      </w:r>
    </w:p>
    <w:p w14:paraId="3A113090" w14:textId="77777777" w:rsidR="00E66F49" w:rsidRPr="00666914" w:rsidRDefault="00E66F49" w:rsidP="00CD4715">
      <w:pPr>
        <w:pStyle w:val="Odsekzoznamu"/>
        <w:spacing w:after="0"/>
        <w:ind w:left="0"/>
      </w:pPr>
    </w:p>
    <w:p w14:paraId="4080C593" w14:textId="77777777" w:rsidR="00E66F49" w:rsidRPr="00666914" w:rsidRDefault="00E66F49" w:rsidP="00131B23">
      <w:pPr>
        <w:numPr>
          <w:ilvl w:val="0"/>
          <w:numId w:val="7"/>
        </w:numPr>
        <w:contextualSpacing/>
        <w:rPr>
          <w:b/>
          <w:u w:val="single"/>
        </w:rPr>
      </w:pPr>
      <w:r w:rsidRPr="00666914">
        <w:rPr>
          <w:b/>
          <w:u w:val="single"/>
        </w:rPr>
        <w:t>Pri spracovaní CBA riadiť sa platným Rámcom hodnotenia verejných investícií</w:t>
      </w:r>
    </w:p>
    <w:p w14:paraId="27287A43" w14:textId="77777777" w:rsidR="00E66F49" w:rsidRPr="00666914" w:rsidRDefault="00E66F49" w:rsidP="00CD4715">
      <w:pPr>
        <w:contextualSpacing/>
        <w:rPr>
          <w:b/>
          <w:u w:val="single"/>
        </w:rPr>
      </w:pPr>
    </w:p>
    <w:p w14:paraId="56E7185B" w14:textId="7DCDEF23" w:rsidR="00E66F49" w:rsidRPr="00666914" w:rsidRDefault="00E66F49" w:rsidP="00D27F91">
      <w:pPr>
        <w:spacing w:after="0"/>
      </w:pPr>
      <w:r w:rsidRPr="00666914">
        <w:t>Plnenie tohto opatrenia sa z dôvodu zákonného rozdelenia kompetencií SP a MPSVR SR delí na 2 časti.</w:t>
      </w:r>
    </w:p>
    <w:p w14:paraId="7A9E47DA" w14:textId="77777777" w:rsidR="00E66F49" w:rsidRPr="00666914" w:rsidRDefault="00E66F49" w:rsidP="00D27F91">
      <w:pPr>
        <w:spacing w:after="0"/>
      </w:pPr>
    </w:p>
    <w:p w14:paraId="25376C82" w14:textId="77777777" w:rsidR="00E66F49" w:rsidRPr="00666914" w:rsidRDefault="00E66F49" w:rsidP="00CD4715">
      <w:pPr>
        <w:pStyle w:val="Odsekzoznamu"/>
        <w:spacing w:after="0"/>
        <w:ind w:left="0"/>
        <w:rPr>
          <w:i/>
        </w:rPr>
      </w:pPr>
      <w:r w:rsidRPr="00666914">
        <w:rPr>
          <w:i/>
        </w:rPr>
        <w:t xml:space="preserve">Ministerstvo práce, sociálnych vecí a rodiny SR (vrátane jednotlivých PRO)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2794"/>
        <w:gridCol w:w="1316"/>
        <w:gridCol w:w="884"/>
        <w:gridCol w:w="972"/>
        <w:gridCol w:w="694"/>
        <w:gridCol w:w="694"/>
        <w:gridCol w:w="694"/>
        <w:gridCol w:w="731"/>
      </w:tblGrid>
      <w:tr w:rsidR="00E66F49" w:rsidRPr="00666914" w14:paraId="33D36EC5" w14:textId="77777777" w:rsidTr="00D27F91">
        <w:trPr>
          <w:trHeight w:val="330"/>
        </w:trPr>
        <w:tc>
          <w:tcPr>
            <w:tcW w:w="231" w:type="pct"/>
            <w:shd w:val="clear" w:color="auto" w:fill="auto"/>
            <w:vAlign w:val="center"/>
            <w:hideMark/>
          </w:tcPr>
          <w:p w14:paraId="5A4A89DF"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1518" w:type="pct"/>
            <w:shd w:val="clear" w:color="auto" w:fill="auto"/>
            <w:noWrap/>
            <w:vAlign w:val="center"/>
            <w:hideMark/>
          </w:tcPr>
          <w:p w14:paraId="78981743"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TRH PRÁCE A SOCIÁLNE POLITIKY</w:t>
            </w:r>
          </w:p>
        </w:tc>
        <w:tc>
          <w:tcPr>
            <w:tcW w:w="715" w:type="pct"/>
            <w:shd w:val="clear" w:color="auto" w:fill="auto"/>
            <w:noWrap/>
            <w:vAlign w:val="center"/>
            <w:hideMark/>
          </w:tcPr>
          <w:p w14:paraId="7DC14AB7"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Zodpovednosť</w:t>
            </w:r>
          </w:p>
        </w:tc>
        <w:tc>
          <w:tcPr>
            <w:tcW w:w="480" w:type="pct"/>
            <w:shd w:val="clear" w:color="auto" w:fill="auto"/>
            <w:noWrap/>
            <w:vAlign w:val="center"/>
            <w:hideMark/>
          </w:tcPr>
          <w:p w14:paraId="7B5C458A"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Termín plnenia</w:t>
            </w:r>
          </w:p>
        </w:tc>
        <w:tc>
          <w:tcPr>
            <w:tcW w:w="528" w:type="pct"/>
          </w:tcPr>
          <w:p w14:paraId="1DE4B11A" w14:textId="3F70B438" w:rsidR="00E66F49" w:rsidRPr="00666914" w:rsidRDefault="00E66F49" w:rsidP="002D0686">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 xml:space="preserve">Nový termín plnenia </w:t>
            </w:r>
          </w:p>
        </w:tc>
        <w:tc>
          <w:tcPr>
            <w:tcW w:w="377" w:type="pct"/>
            <w:shd w:val="clear" w:color="auto" w:fill="auto"/>
            <w:noWrap/>
            <w:vAlign w:val="center"/>
            <w:hideMark/>
          </w:tcPr>
          <w:p w14:paraId="696AF08F"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1Q 2019</w:t>
            </w:r>
          </w:p>
        </w:tc>
        <w:tc>
          <w:tcPr>
            <w:tcW w:w="377" w:type="pct"/>
            <w:shd w:val="clear" w:color="auto" w:fill="auto"/>
            <w:noWrap/>
            <w:vAlign w:val="center"/>
            <w:hideMark/>
          </w:tcPr>
          <w:p w14:paraId="469B8E0B"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2Q 2019</w:t>
            </w:r>
          </w:p>
        </w:tc>
        <w:tc>
          <w:tcPr>
            <w:tcW w:w="377" w:type="pct"/>
            <w:shd w:val="clear" w:color="auto" w:fill="auto"/>
            <w:noWrap/>
            <w:vAlign w:val="center"/>
            <w:hideMark/>
          </w:tcPr>
          <w:p w14:paraId="58A50BA5"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3Q 2019</w:t>
            </w:r>
          </w:p>
        </w:tc>
        <w:tc>
          <w:tcPr>
            <w:tcW w:w="397" w:type="pct"/>
            <w:shd w:val="clear" w:color="auto" w:fill="auto"/>
            <w:noWrap/>
            <w:vAlign w:val="center"/>
            <w:hideMark/>
          </w:tcPr>
          <w:p w14:paraId="4EBC9600"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4Q 2019</w:t>
            </w:r>
          </w:p>
        </w:tc>
      </w:tr>
      <w:tr w:rsidR="00E66F49" w:rsidRPr="00666914" w14:paraId="6EBBCAE6" w14:textId="77777777" w:rsidTr="00D27F91">
        <w:trPr>
          <w:trHeight w:val="315"/>
        </w:trPr>
        <w:tc>
          <w:tcPr>
            <w:tcW w:w="231" w:type="pct"/>
            <w:shd w:val="clear" w:color="auto" w:fill="auto"/>
            <w:vAlign w:val="center"/>
          </w:tcPr>
          <w:p w14:paraId="514D3D34"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27</w:t>
            </w:r>
          </w:p>
        </w:tc>
        <w:tc>
          <w:tcPr>
            <w:tcW w:w="1518" w:type="pct"/>
            <w:shd w:val="clear" w:color="auto" w:fill="auto"/>
            <w:vAlign w:val="center"/>
          </w:tcPr>
          <w:p w14:paraId="1B31D23A"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Pri spracovaní CBA riadiť sa platným Rámcom hodnotenia verejných investícií</w:t>
            </w:r>
          </w:p>
        </w:tc>
        <w:tc>
          <w:tcPr>
            <w:tcW w:w="715" w:type="pct"/>
            <w:shd w:val="clear" w:color="auto" w:fill="auto"/>
            <w:vAlign w:val="center"/>
          </w:tcPr>
          <w:p w14:paraId="615AC8D8"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tc>
        <w:tc>
          <w:tcPr>
            <w:tcW w:w="480" w:type="pct"/>
            <w:shd w:val="clear" w:color="auto" w:fill="auto"/>
            <w:vAlign w:val="center"/>
          </w:tcPr>
          <w:p w14:paraId="72D7F523"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priebežne</w:t>
            </w:r>
          </w:p>
        </w:tc>
        <w:tc>
          <w:tcPr>
            <w:tcW w:w="528" w:type="pct"/>
            <w:vAlign w:val="center"/>
          </w:tcPr>
          <w:p w14:paraId="61E4246B"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77" w:type="pct"/>
            <w:shd w:val="clear" w:color="auto" w:fill="FF0000"/>
            <w:noWrap/>
            <w:vAlign w:val="bottom"/>
          </w:tcPr>
          <w:p w14:paraId="0855FB82" w14:textId="77777777" w:rsidR="00E66F49" w:rsidRPr="00666914" w:rsidRDefault="00E66F49" w:rsidP="00D27F91">
            <w:pPr>
              <w:spacing w:after="0"/>
              <w:rPr>
                <w:rFonts w:eastAsia="Times New Roman" w:cs="Calibri"/>
                <w:color w:val="000000"/>
                <w:sz w:val="20"/>
                <w:szCs w:val="20"/>
                <w:lang w:eastAsia="sk-SK"/>
              </w:rPr>
            </w:pPr>
          </w:p>
        </w:tc>
        <w:tc>
          <w:tcPr>
            <w:tcW w:w="377" w:type="pct"/>
            <w:shd w:val="clear" w:color="auto" w:fill="FF0000"/>
            <w:noWrap/>
            <w:vAlign w:val="bottom"/>
          </w:tcPr>
          <w:p w14:paraId="659E6D83" w14:textId="77777777" w:rsidR="00E66F49" w:rsidRPr="00666914" w:rsidRDefault="00E66F49" w:rsidP="00D27F91">
            <w:pPr>
              <w:spacing w:after="0"/>
              <w:rPr>
                <w:rFonts w:eastAsia="Times New Roman" w:cs="Calibri"/>
                <w:color w:val="FF0000"/>
                <w:sz w:val="20"/>
                <w:szCs w:val="20"/>
                <w:lang w:eastAsia="sk-SK"/>
              </w:rPr>
            </w:pPr>
          </w:p>
        </w:tc>
        <w:tc>
          <w:tcPr>
            <w:tcW w:w="377" w:type="pct"/>
            <w:shd w:val="clear" w:color="auto" w:fill="A6A6A6" w:themeFill="background1" w:themeFillShade="A6"/>
            <w:noWrap/>
            <w:vAlign w:val="bottom"/>
          </w:tcPr>
          <w:p w14:paraId="09DC18C7" w14:textId="77777777" w:rsidR="00E66F49" w:rsidRPr="00666914" w:rsidRDefault="00E66F49" w:rsidP="00D27F91">
            <w:pPr>
              <w:spacing w:after="0"/>
              <w:rPr>
                <w:rFonts w:eastAsia="Times New Roman" w:cs="Calibri"/>
                <w:color w:val="FF0000"/>
                <w:sz w:val="20"/>
                <w:szCs w:val="20"/>
                <w:lang w:eastAsia="sk-SK"/>
              </w:rPr>
            </w:pPr>
          </w:p>
        </w:tc>
        <w:tc>
          <w:tcPr>
            <w:tcW w:w="397" w:type="pct"/>
            <w:shd w:val="clear" w:color="auto" w:fill="A6A6A6" w:themeFill="background1" w:themeFillShade="A6"/>
            <w:noWrap/>
            <w:vAlign w:val="bottom"/>
          </w:tcPr>
          <w:p w14:paraId="5BAF4A21" w14:textId="77777777" w:rsidR="00E66F49" w:rsidRPr="00666914" w:rsidRDefault="00E66F49" w:rsidP="00D27F91">
            <w:pPr>
              <w:spacing w:after="0"/>
              <w:jc w:val="center"/>
              <w:rPr>
                <w:rFonts w:eastAsia="Times New Roman" w:cs="Calibri"/>
                <w:color w:val="FF0000"/>
                <w:sz w:val="20"/>
                <w:szCs w:val="20"/>
                <w:lang w:eastAsia="sk-SK"/>
              </w:rPr>
            </w:pPr>
          </w:p>
        </w:tc>
      </w:tr>
    </w:tbl>
    <w:p w14:paraId="3563BD83" w14:textId="77777777" w:rsidR="00E66F49" w:rsidRPr="00666914" w:rsidRDefault="00E66F49" w:rsidP="00AF34D9">
      <w:pPr>
        <w:pStyle w:val="Odsekzoznamu"/>
        <w:spacing w:after="0"/>
        <w:ind w:left="0"/>
        <w:rPr>
          <w:i/>
        </w:rPr>
      </w:pPr>
    </w:p>
    <w:p w14:paraId="4E6A0A0E" w14:textId="77777777" w:rsidR="00E66F49" w:rsidRPr="00666914" w:rsidRDefault="00E66F49" w:rsidP="00D27F91">
      <w:pPr>
        <w:spacing w:after="0"/>
        <w:rPr>
          <w:b/>
        </w:rPr>
      </w:pPr>
      <w:r w:rsidRPr="00666914">
        <w:t>Počas 1H2019 bolo opatrenie z dôvodu nerešpektovania stanoviska ÚHP k vypracovanej štúdii uskutočniteľnosti k NP ESKO 2 hodnotené ako nesplnené</w:t>
      </w:r>
      <w:r w:rsidRPr="00666914">
        <w:rPr>
          <w:rStyle w:val="Odkaznapoznmkupodiarou"/>
        </w:rPr>
        <w:footnoteReference w:id="408"/>
      </w:r>
      <w:r w:rsidRPr="00666914">
        <w:t>. Počas 2H2019 rezort neplánoval ďalšie projekty, ktorých celková suma predpokladaných IT investícií by presahovala 10 mil. eur (vrátane DPH)</w:t>
      </w:r>
      <w:r w:rsidRPr="00666914">
        <w:rPr>
          <w:b/>
        </w:rPr>
        <w:t>. Preto sa opatrenie ani k 31.12.2019 nehodnotí.</w:t>
      </w:r>
    </w:p>
    <w:p w14:paraId="7750C3B9" w14:textId="61FC3E99" w:rsidR="00E66F49" w:rsidRPr="00666914" w:rsidRDefault="00E66F49" w:rsidP="00BD5C93">
      <w:pPr>
        <w:spacing w:after="0" w:line="259" w:lineRule="auto"/>
        <w:jc w:val="left"/>
        <w:rPr>
          <w:i/>
        </w:rPr>
      </w:pPr>
    </w:p>
    <w:p w14:paraId="70719A5F" w14:textId="77777777" w:rsidR="00E66F49" w:rsidRPr="00666914" w:rsidRDefault="00E66F49" w:rsidP="007027DF">
      <w:pPr>
        <w:spacing w:after="0" w:line="259" w:lineRule="auto"/>
        <w:jc w:val="left"/>
        <w:rPr>
          <w:i/>
        </w:rPr>
      </w:pPr>
      <w:r w:rsidRPr="00666914">
        <w:rPr>
          <w:i/>
        </w:rPr>
        <w:t>Sociálna poisťovňa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2794"/>
        <w:gridCol w:w="1316"/>
        <w:gridCol w:w="884"/>
        <w:gridCol w:w="972"/>
        <w:gridCol w:w="694"/>
        <w:gridCol w:w="694"/>
        <w:gridCol w:w="694"/>
        <w:gridCol w:w="731"/>
      </w:tblGrid>
      <w:tr w:rsidR="00E66F49" w:rsidRPr="00666914" w14:paraId="0AB03464" w14:textId="77777777" w:rsidTr="00D27F91">
        <w:trPr>
          <w:trHeight w:val="330"/>
        </w:trPr>
        <w:tc>
          <w:tcPr>
            <w:tcW w:w="231" w:type="pct"/>
            <w:shd w:val="clear" w:color="auto" w:fill="auto"/>
            <w:vAlign w:val="center"/>
            <w:hideMark/>
          </w:tcPr>
          <w:p w14:paraId="513C2C9E"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1518" w:type="pct"/>
            <w:shd w:val="clear" w:color="auto" w:fill="auto"/>
            <w:noWrap/>
            <w:vAlign w:val="center"/>
            <w:hideMark/>
          </w:tcPr>
          <w:p w14:paraId="0C8877DA"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TRH PRÁCE A SOCIÁLNE POLITIKY</w:t>
            </w:r>
          </w:p>
        </w:tc>
        <w:tc>
          <w:tcPr>
            <w:tcW w:w="715" w:type="pct"/>
            <w:shd w:val="clear" w:color="auto" w:fill="auto"/>
            <w:noWrap/>
            <w:vAlign w:val="center"/>
            <w:hideMark/>
          </w:tcPr>
          <w:p w14:paraId="6A6AA07D"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Zodpovednosť</w:t>
            </w:r>
          </w:p>
        </w:tc>
        <w:tc>
          <w:tcPr>
            <w:tcW w:w="480" w:type="pct"/>
            <w:shd w:val="clear" w:color="auto" w:fill="auto"/>
            <w:noWrap/>
            <w:vAlign w:val="center"/>
            <w:hideMark/>
          </w:tcPr>
          <w:p w14:paraId="179BC164"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Termín plnenia</w:t>
            </w:r>
          </w:p>
        </w:tc>
        <w:tc>
          <w:tcPr>
            <w:tcW w:w="528" w:type="pct"/>
          </w:tcPr>
          <w:p w14:paraId="4D56D4F8" w14:textId="122228B5" w:rsidR="00E66F49" w:rsidRPr="00666914" w:rsidRDefault="00E66F49" w:rsidP="002D0686">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 xml:space="preserve">Nový termín plnenia </w:t>
            </w:r>
          </w:p>
        </w:tc>
        <w:tc>
          <w:tcPr>
            <w:tcW w:w="377" w:type="pct"/>
            <w:shd w:val="clear" w:color="auto" w:fill="auto"/>
            <w:noWrap/>
            <w:vAlign w:val="center"/>
            <w:hideMark/>
          </w:tcPr>
          <w:p w14:paraId="17351E6A"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1Q 2019</w:t>
            </w:r>
          </w:p>
        </w:tc>
        <w:tc>
          <w:tcPr>
            <w:tcW w:w="377" w:type="pct"/>
            <w:shd w:val="clear" w:color="auto" w:fill="auto"/>
            <w:noWrap/>
            <w:vAlign w:val="center"/>
            <w:hideMark/>
          </w:tcPr>
          <w:p w14:paraId="6BDC86B2"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2Q 2019</w:t>
            </w:r>
          </w:p>
        </w:tc>
        <w:tc>
          <w:tcPr>
            <w:tcW w:w="377" w:type="pct"/>
            <w:shd w:val="clear" w:color="auto" w:fill="auto"/>
            <w:noWrap/>
            <w:vAlign w:val="center"/>
            <w:hideMark/>
          </w:tcPr>
          <w:p w14:paraId="062851BB"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3Q 2019</w:t>
            </w:r>
          </w:p>
        </w:tc>
        <w:tc>
          <w:tcPr>
            <w:tcW w:w="397" w:type="pct"/>
            <w:shd w:val="clear" w:color="auto" w:fill="auto"/>
            <w:noWrap/>
            <w:vAlign w:val="center"/>
            <w:hideMark/>
          </w:tcPr>
          <w:p w14:paraId="53D4182C"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4Q 2019</w:t>
            </w:r>
          </w:p>
        </w:tc>
      </w:tr>
      <w:tr w:rsidR="00E66F49" w:rsidRPr="00666914" w14:paraId="6FB3CD15" w14:textId="77777777" w:rsidTr="00D27F91">
        <w:trPr>
          <w:trHeight w:val="315"/>
        </w:trPr>
        <w:tc>
          <w:tcPr>
            <w:tcW w:w="231" w:type="pct"/>
            <w:shd w:val="clear" w:color="auto" w:fill="auto"/>
            <w:vAlign w:val="center"/>
          </w:tcPr>
          <w:p w14:paraId="24D6A317"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27</w:t>
            </w:r>
          </w:p>
        </w:tc>
        <w:tc>
          <w:tcPr>
            <w:tcW w:w="1518" w:type="pct"/>
            <w:shd w:val="clear" w:color="auto" w:fill="auto"/>
            <w:vAlign w:val="center"/>
          </w:tcPr>
          <w:p w14:paraId="593B7D20"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Pri spracovaní CBA riadiť sa platným Rámcom hodnotenia verejných investícií</w:t>
            </w:r>
          </w:p>
        </w:tc>
        <w:tc>
          <w:tcPr>
            <w:tcW w:w="715" w:type="pct"/>
            <w:shd w:val="clear" w:color="auto" w:fill="auto"/>
            <w:vAlign w:val="center"/>
          </w:tcPr>
          <w:p w14:paraId="5A3C114F"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SP</w:t>
            </w:r>
          </w:p>
        </w:tc>
        <w:tc>
          <w:tcPr>
            <w:tcW w:w="480" w:type="pct"/>
            <w:shd w:val="clear" w:color="auto" w:fill="auto"/>
            <w:vAlign w:val="center"/>
          </w:tcPr>
          <w:p w14:paraId="4D70F7FD"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priebežne</w:t>
            </w:r>
          </w:p>
        </w:tc>
        <w:tc>
          <w:tcPr>
            <w:tcW w:w="528" w:type="pct"/>
            <w:vAlign w:val="center"/>
          </w:tcPr>
          <w:p w14:paraId="01E67B28"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77" w:type="pct"/>
            <w:shd w:val="clear" w:color="auto" w:fill="A6A6A6" w:themeFill="background1" w:themeFillShade="A6"/>
            <w:noWrap/>
            <w:vAlign w:val="bottom"/>
          </w:tcPr>
          <w:p w14:paraId="020F63A2" w14:textId="77777777" w:rsidR="00E66F49" w:rsidRPr="00666914" w:rsidRDefault="00E66F49" w:rsidP="00D27F91">
            <w:pPr>
              <w:spacing w:after="0"/>
              <w:rPr>
                <w:rFonts w:eastAsia="Times New Roman" w:cs="Calibri"/>
                <w:color w:val="000000"/>
                <w:sz w:val="20"/>
                <w:szCs w:val="20"/>
                <w:lang w:eastAsia="sk-SK"/>
              </w:rPr>
            </w:pPr>
          </w:p>
        </w:tc>
        <w:tc>
          <w:tcPr>
            <w:tcW w:w="377" w:type="pct"/>
            <w:shd w:val="clear" w:color="auto" w:fill="92D050"/>
            <w:noWrap/>
            <w:vAlign w:val="bottom"/>
          </w:tcPr>
          <w:p w14:paraId="236DF6E0" w14:textId="77777777" w:rsidR="00E66F49" w:rsidRPr="00666914" w:rsidRDefault="00E66F49" w:rsidP="00D27F91">
            <w:pPr>
              <w:spacing w:after="0"/>
              <w:rPr>
                <w:rFonts w:eastAsia="Times New Roman" w:cs="Calibri"/>
                <w:color w:val="FF0000"/>
                <w:sz w:val="20"/>
                <w:szCs w:val="20"/>
                <w:lang w:eastAsia="sk-SK"/>
              </w:rPr>
            </w:pPr>
          </w:p>
        </w:tc>
        <w:tc>
          <w:tcPr>
            <w:tcW w:w="377" w:type="pct"/>
            <w:shd w:val="clear" w:color="auto" w:fill="A6A6A6" w:themeFill="background1" w:themeFillShade="A6"/>
            <w:noWrap/>
            <w:vAlign w:val="bottom"/>
          </w:tcPr>
          <w:p w14:paraId="4CA4C29D" w14:textId="77777777" w:rsidR="00E66F49" w:rsidRPr="00666914" w:rsidRDefault="00E66F49" w:rsidP="00D27F91">
            <w:pPr>
              <w:spacing w:after="0"/>
              <w:rPr>
                <w:rFonts w:eastAsia="Times New Roman" w:cs="Calibri"/>
                <w:color w:val="FF0000"/>
                <w:sz w:val="20"/>
                <w:szCs w:val="20"/>
                <w:lang w:eastAsia="sk-SK"/>
              </w:rPr>
            </w:pPr>
          </w:p>
        </w:tc>
        <w:tc>
          <w:tcPr>
            <w:tcW w:w="397" w:type="pct"/>
            <w:shd w:val="clear" w:color="auto" w:fill="A6A6A6" w:themeFill="background1" w:themeFillShade="A6"/>
            <w:noWrap/>
            <w:vAlign w:val="bottom"/>
          </w:tcPr>
          <w:p w14:paraId="67CAF206" w14:textId="77777777" w:rsidR="00E66F49" w:rsidRPr="00666914" w:rsidRDefault="00E66F49" w:rsidP="00D27F91">
            <w:pPr>
              <w:spacing w:after="0"/>
              <w:jc w:val="center"/>
              <w:rPr>
                <w:rFonts w:eastAsia="Times New Roman" w:cs="Calibri"/>
                <w:color w:val="FF0000"/>
                <w:sz w:val="20"/>
                <w:szCs w:val="20"/>
                <w:lang w:eastAsia="sk-SK"/>
              </w:rPr>
            </w:pPr>
          </w:p>
        </w:tc>
      </w:tr>
    </w:tbl>
    <w:p w14:paraId="5FCF96F6" w14:textId="77777777" w:rsidR="00E66F49" w:rsidRPr="00666914" w:rsidRDefault="00E66F49" w:rsidP="00CD4715">
      <w:pPr>
        <w:contextualSpacing/>
        <w:rPr>
          <w:i/>
        </w:rPr>
      </w:pPr>
    </w:p>
    <w:p w14:paraId="39DF50C8" w14:textId="09D22684" w:rsidR="00E66F49" w:rsidRPr="00666914" w:rsidRDefault="00E66F49" w:rsidP="004349AC">
      <w:pPr>
        <w:spacing w:after="0"/>
        <w:rPr>
          <w:b/>
        </w:rPr>
      </w:pPr>
      <w:r w:rsidRPr="00666914">
        <w:lastRenderedPageBreak/>
        <w:t xml:space="preserve">K 30.6.2019 bolo opatrenie splnené, SP predložila ÚHP na posúdenie jeden projekt s predpokladanou IT investíciou nad 10 mil. eur - </w:t>
      </w:r>
      <w:r w:rsidRPr="00666914">
        <w:rPr>
          <w:i/>
        </w:rPr>
        <w:t>Modernizácia dávkových agend SP</w:t>
      </w:r>
      <w:r w:rsidRPr="00666914">
        <w:rPr>
          <w:rStyle w:val="Odkaznapoznmkupodiarou"/>
          <w:i/>
        </w:rPr>
        <w:footnoteReference w:id="409"/>
      </w:r>
      <w:r w:rsidRPr="00666914">
        <w:rPr>
          <w:i/>
        </w:rPr>
        <w:t xml:space="preserve">. </w:t>
      </w:r>
      <w:r w:rsidRPr="00666914">
        <w:t>Počas 2H2019 mala SP pripraviť ŠU k projektu zavedenia RZ SP. Vzhľadom na prijaté legislatívne úpravy počas 4Q2019 (viac v opatrení č. 12) sa implementácia zmien posúva o rok neskôr.</w:t>
      </w:r>
    </w:p>
    <w:p w14:paraId="472AD455" w14:textId="77777777" w:rsidR="00E66F49" w:rsidRPr="00666914" w:rsidRDefault="00E66F49" w:rsidP="004349AC">
      <w:pPr>
        <w:pStyle w:val="Odsekzoznamu"/>
        <w:spacing w:after="0"/>
        <w:ind w:left="0"/>
      </w:pPr>
    </w:p>
    <w:p w14:paraId="5120AC40" w14:textId="77777777" w:rsidR="00E66F49" w:rsidRPr="00666914" w:rsidRDefault="00E66F49" w:rsidP="00131B23">
      <w:pPr>
        <w:numPr>
          <w:ilvl w:val="0"/>
          <w:numId w:val="7"/>
        </w:numPr>
        <w:spacing w:after="0"/>
        <w:contextualSpacing/>
        <w:rPr>
          <w:b/>
          <w:u w:val="single"/>
        </w:rPr>
      </w:pPr>
      <w:r w:rsidRPr="00666914">
        <w:rPr>
          <w:b/>
          <w:u w:val="single"/>
        </w:rPr>
        <w:t>Pre všetky investície nad 40 mil. eur vypracovať a zverejniť štúdiu uskutočniteľnosti a analýzu nákladov a prínosov</w:t>
      </w:r>
    </w:p>
    <w:p w14:paraId="6D7CF840" w14:textId="77777777" w:rsidR="00E66F49" w:rsidRPr="00666914" w:rsidRDefault="00E66F49" w:rsidP="00CD4715">
      <w:pPr>
        <w:spacing w:after="0"/>
        <w:ind w:left="720"/>
        <w:contextualSpacing/>
        <w:rPr>
          <w:b/>
          <w:u w:val="single"/>
        </w:rPr>
      </w:pPr>
    </w:p>
    <w:p w14:paraId="6E4CA9C1" w14:textId="06780C32" w:rsidR="00E66F49" w:rsidRPr="00666914" w:rsidRDefault="00E66F49" w:rsidP="000510BA">
      <w:pPr>
        <w:spacing w:after="0"/>
        <w:contextualSpacing/>
      </w:pPr>
      <w:r w:rsidRPr="00666914">
        <w:t>Plnenie tohto opatrenia sa z dôvodu zákonného rozdelenia kompetencií Sociálnej poisťovne (SP) a MPSVR SR delí na 2 časti.</w:t>
      </w:r>
    </w:p>
    <w:p w14:paraId="0E1950B8" w14:textId="77777777" w:rsidR="00E66F49" w:rsidRPr="00666914" w:rsidRDefault="00E66F49" w:rsidP="00CD4715">
      <w:pPr>
        <w:pStyle w:val="Odsekzoznamu"/>
        <w:ind w:left="0"/>
      </w:pPr>
    </w:p>
    <w:p w14:paraId="7C3A6334" w14:textId="77777777" w:rsidR="00E66F49" w:rsidRPr="00666914" w:rsidRDefault="00E66F49" w:rsidP="00CD4715">
      <w:pPr>
        <w:pStyle w:val="Odsekzoznamu"/>
        <w:spacing w:after="0"/>
        <w:ind w:left="0"/>
        <w:rPr>
          <w:i/>
        </w:rPr>
      </w:pPr>
      <w:r w:rsidRPr="00666914">
        <w:rPr>
          <w:i/>
        </w:rPr>
        <w:t xml:space="preserve">Ministerstvo práce, sociálnych vecí a rodiny SR (vrátane jednotlivých PRO)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2794"/>
        <w:gridCol w:w="1316"/>
        <w:gridCol w:w="884"/>
        <w:gridCol w:w="972"/>
        <w:gridCol w:w="694"/>
        <w:gridCol w:w="694"/>
        <w:gridCol w:w="694"/>
        <w:gridCol w:w="731"/>
      </w:tblGrid>
      <w:tr w:rsidR="00E66F49" w:rsidRPr="00666914" w14:paraId="166A2120" w14:textId="77777777" w:rsidTr="00D27F91">
        <w:trPr>
          <w:trHeight w:val="330"/>
        </w:trPr>
        <w:tc>
          <w:tcPr>
            <w:tcW w:w="231" w:type="pct"/>
            <w:shd w:val="clear" w:color="auto" w:fill="auto"/>
            <w:vAlign w:val="center"/>
            <w:hideMark/>
          </w:tcPr>
          <w:p w14:paraId="66FCC337"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1518" w:type="pct"/>
            <w:shd w:val="clear" w:color="auto" w:fill="auto"/>
            <w:noWrap/>
            <w:vAlign w:val="center"/>
            <w:hideMark/>
          </w:tcPr>
          <w:p w14:paraId="09DA029B"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TRH PRÁCE A SOCIÁLNE POLITIKY</w:t>
            </w:r>
          </w:p>
        </w:tc>
        <w:tc>
          <w:tcPr>
            <w:tcW w:w="715" w:type="pct"/>
            <w:shd w:val="clear" w:color="auto" w:fill="auto"/>
            <w:noWrap/>
            <w:vAlign w:val="center"/>
            <w:hideMark/>
          </w:tcPr>
          <w:p w14:paraId="0BA29DD3"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Zodpovednosť</w:t>
            </w:r>
          </w:p>
        </w:tc>
        <w:tc>
          <w:tcPr>
            <w:tcW w:w="480" w:type="pct"/>
            <w:shd w:val="clear" w:color="auto" w:fill="auto"/>
            <w:noWrap/>
            <w:vAlign w:val="center"/>
            <w:hideMark/>
          </w:tcPr>
          <w:p w14:paraId="788D4CE3"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Termín plnenia</w:t>
            </w:r>
          </w:p>
        </w:tc>
        <w:tc>
          <w:tcPr>
            <w:tcW w:w="528" w:type="pct"/>
          </w:tcPr>
          <w:p w14:paraId="5FCBAB3B" w14:textId="08915C07" w:rsidR="00E66F49" w:rsidRPr="00666914" w:rsidRDefault="00E66F49" w:rsidP="002D0686">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 xml:space="preserve">Nový termín plnenia </w:t>
            </w:r>
          </w:p>
        </w:tc>
        <w:tc>
          <w:tcPr>
            <w:tcW w:w="377" w:type="pct"/>
            <w:shd w:val="clear" w:color="auto" w:fill="auto"/>
            <w:noWrap/>
            <w:vAlign w:val="center"/>
            <w:hideMark/>
          </w:tcPr>
          <w:p w14:paraId="2374DF8F"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1Q 2019</w:t>
            </w:r>
          </w:p>
        </w:tc>
        <w:tc>
          <w:tcPr>
            <w:tcW w:w="377" w:type="pct"/>
            <w:shd w:val="clear" w:color="auto" w:fill="auto"/>
            <w:noWrap/>
            <w:vAlign w:val="center"/>
            <w:hideMark/>
          </w:tcPr>
          <w:p w14:paraId="55B144B8"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2Q 2019</w:t>
            </w:r>
          </w:p>
        </w:tc>
        <w:tc>
          <w:tcPr>
            <w:tcW w:w="377" w:type="pct"/>
            <w:shd w:val="clear" w:color="auto" w:fill="auto"/>
            <w:noWrap/>
            <w:vAlign w:val="center"/>
            <w:hideMark/>
          </w:tcPr>
          <w:p w14:paraId="0CA62389"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3Q 2019</w:t>
            </w:r>
          </w:p>
        </w:tc>
        <w:tc>
          <w:tcPr>
            <w:tcW w:w="397" w:type="pct"/>
            <w:shd w:val="clear" w:color="auto" w:fill="auto"/>
            <w:noWrap/>
            <w:vAlign w:val="center"/>
            <w:hideMark/>
          </w:tcPr>
          <w:p w14:paraId="5CADE655"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4Q 2019</w:t>
            </w:r>
          </w:p>
        </w:tc>
      </w:tr>
      <w:tr w:rsidR="00E66F49" w:rsidRPr="00666914" w14:paraId="0430EE15" w14:textId="77777777" w:rsidTr="00D27F91">
        <w:trPr>
          <w:trHeight w:val="315"/>
        </w:trPr>
        <w:tc>
          <w:tcPr>
            <w:tcW w:w="231" w:type="pct"/>
            <w:shd w:val="clear" w:color="auto" w:fill="auto"/>
            <w:vAlign w:val="center"/>
          </w:tcPr>
          <w:p w14:paraId="00857EBA"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28</w:t>
            </w:r>
          </w:p>
        </w:tc>
        <w:tc>
          <w:tcPr>
            <w:tcW w:w="1518" w:type="pct"/>
            <w:shd w:val="clear" w:color="auto" w:fill="auto"/>
            <w:vAlign w:val="center"/>
          </w:tcPr>
          <w:p w14:paraId="1C5B5E98"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Pre všetky investície nad 40 mil. eur vypracovať a zverejniť štúdiu uskutočniteľnosti a analýzu nákladov a prínosov</w:t>
            </w:r>
          </w:p>
        </w:tc>
        <w:tc>
          <w:tcPr>
            <w:tcW w:w="715" w:type="pct"/>
            <w:shd w:val="clear" w:color="auto" w:fill="auto"/>
            <w:vAlign w:val="center"/>
          </w:tcPr>
          <w:p w14:paraId="7848A976"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MPSVR SR</w:t>
            </w:r>
          </w:p>
        </w:tc>
        <w:tc>
          <w:tcPr>
            <w:tcW w:w="480" w:type="pct"/>
            <w:shd w:val="clear" w:color="auto" w:fill="auto"/>
            <w:vAlign w:val="center"/>
          </w:tcPr>
          <w:p w14:paraId="1699FAB6"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priebežne</w:t>
            </w:r>
          </w:p>
        </w:tc>
        <w:tc>
          <w:tcPr>
            <w:tcW w:w="528" w:type="pct"/>
            <w:vAlign w:val="center"/>
          </w:tcPr>
          <w:p w14:paraId="2C33C41A"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77" w:type="pct"/>
            <w:shd w:val="clear" w:color="auto" w:fill="A6A6A6" w:themeFill="background1" w:themeFillShade="A6"/>
            <w:noWrap/>
            <w:vAlign w:val="bottom"/>
          </w:tcPr>
          <w:p w14:paraId="58F6E4D2" w14:textId="77777777" w:rsidR="00E66F49" w:rsidRPr="00666914" w:rsidRDefault="00E66F49" w:rsidP="00D27F91">
            <w:pPr>
              <w:spacing w:after="0"/>
              <w:rPr>
                <w:rFonts w:eastAsia="Times New Roman" w:cs="Calibri"/>
                <w:color w:val="000000"/>
                <w:sz w:val="20"/>
                <w:szCs w:val="20"/>
                <w:lang w:eastAsia="sk-SK"/>
              </w:rPr>
            </w:pPr>
          </w:p>
        </w:tc>
        <w:tc>
          <w:tcPr>
            <w:tcW w:w="377" w:type="pct"/>
            <w:shd w:val="clear" w:color="auto" w:fill="A6A6A6" w:themeFill="background1" w:themeFillShade="A6"/>
            <w:noWrap/>
            <w:vAlign w:val="bottom"/>
          </w:tcPr>
          <w:p w14:paraId="12B54228" w14:textId="77777777" w:rsidR="00E66F49" w:rsidRPr="00666914" w:rsidRDefault="00E66F49" w:rsidP="00D27F91">
            <w:pPr>
              <w:spacing w:after="0"/>
              <w:rPr>
                <w:rFonts w:eastAsia="Times New Roman" w:cs="Calibri"/>
                <w:color w:val="FF0000"/>
                <w:sz w:val="20"/>
                <w:szCs w:val="20"/>
                <w:lang w:eastAsia="sk-SK"/>
              </w:rPr>
            </w:pPr>
          </w:p>
        </w:tc>
        <w:tc>
          <w:tcPr>
            <w:tcW w:w="377" w:type="pct"/>
            <w:shd w:val="clear" w:color="auto" w:fill="A6A6A6" w:themeFill="background1" w:themeFillShade="A6"/>
            <w:noWrap/>
            <w:vAlign w:val="bottom"/>
          </w:tcPr>
          <w:p w14:paraId="4EB7A14B" w14:textId="77777777" w:rsidR="00E66F49" w:rsidRPr="00666914" w:rsidRDefault="00E66F49" w:rsidP="00D27F91">
            <w:pPr>
              <w:spacing w:after="0"/>
              <w:rPr>
                <w:rFonts w:eastAsia="Times New Roman" w:cs="Calibri"/>
                <w:color w:val="FF0000"/>
                <w:sz w:val="20"/>
                <w:szCs w:val="20"/>
                <w:lang w:eastAsia="sk-SK"/>
              </w:rPr>
            </w:pPr>
          </w:p>
        </w:tc>
        <w:tc>
          <w:tcPr>
            <w:tcW w:w="397" w:type="pct"/>
            <w:shd w:val="clear" w:color="auto" w:fill="A6A6A6" w:themeFill="background1" w:themeFillShade="A6"/>
            <w:noWrap/>
            <w:vAlign w:val="bottom"/>
          </w:tcPr>
          <w:p w14:paraId="75B38CE4" w14:textId="77777777" w:rsidR="00E66F49" w:rsidRPr="00666914" w:rsidRDefault="00E66F49" w:rsidP="00D27F91">
            <w:pPr>
              <w:spacing w:after="0"/>
              <w:jc w:val="center"/>
              <w:rPr>
                <w:rFonts w:eastAsia="Times New Roman" w:cs="Calibri"/>
                <w:color w:val="FF0000"/>
                <w:sz w:val="20"/>
                <w:szCs w:val="20"/>
                <w:lang w:eastAsia="sk-SK"/>
              </w:rPr>
            </w:pPr>
          </w:p>
        </w:tc>
      </w:tr>
    </w:tbl>
    <w:p w14:paraId="642A5ACB" w14:textId="77777777" w:rsidR="00E66F49" w:rsidRPr="00666914" w:rsidRDefault="00E66F49" w:rsidP="00CD4715">
      <w:pPr>
        <w:spacing w:after="0"/>
      </w:pPr>
    </w:p>
    <w:p w14:paraId="47E9FC4E" w14:textId="4DA09D02" w:rsidR="00E66F49" w:rsidRPr="00666914" w:rsidRDefault="00E66F49" w:rsidP="00E16F00">
      <w:pPr>
        <w:pStyle w:val="Odsekzoznamu"/>
        <w:spacing w:after="0"/>
        <w:ind w:left="0"/>
        <w:contextualSpacing w:val="0"/>
      </w:pPr>
      <w:r w:rsidRPr="00666914">
        <w:t>Na základe aktualizovaného a zverejneného investičného plánu k 12/2019</w:t>
      </w:r>
      <w:r w:rsidRPr="00666914">
        <w:rPr>
          <w:rStyle w:val="Odkaznapoznmkupodiarou"/>
        </w:rPr>
        <w:footnoteReference w:id="410"/>
      </w:r>
      <w:r w:rsidR="00B03598" w:rsidRPr="00666914">
        <w:t xml:space="preserve"> neplánuje</w:t>
      </w:r>
      <w:r w:rsidRPr="00666914">
        <w:t xml:space="preserve"> MPSVR SR v období 2020-2022 investície, ktorých celková výška by presahovala 40 mil. eur (vrátane DPH).</w:t>
      </w:r>
    </w:p>
    <w:p w14:paraId="76811F03" w14:textId="77777777" w:rsidR="00E66F49" w:rsidRPr="00666914" w:rsidRDefault="00E66F49" w:rsidP="00CD4715">
      <w:pPr>
        <w:contextualSpacing/>
        <w:rPr>
          <w:i/>
        </w:rPr>
      </w:pPr>
    </w:p>
    <w:p w14:paraId="528FBEC2" w14:textId="77777777" w:rsidR="00E66F49" w:rsidRPr="00666914" w:rsidRDefault="00E66F49" w:rsidP="00CD4715">
      <w:pPr>
        <w:contextualSpacing/>
        <w:rPr>
          <w:i/>
        </w:rPr>
      </w:pPr>
      <w:r w:rsidRPr="00666914">
        <w:rPr>
          <w:i/>
        </w:rPr>
        <w:t>Sociálna poisťovňa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2794"/>
        <w:gridCol w:w="1316"/>
        <w:gridCol w:w="884"/>
        <w:gridCol w:w="972"/>
        <w:gridCol w:w="694"/>
        <w:gridCol w:w="694"/>
        <w:gridCol w:w="694"/>
        <w:gridCol w:w="731"/>
      </w:tblGrid>
      <w:tr w:rsidR="00E66F49" w:rsidRPr="00666914" w14:paraId="71BC69F3" w14:textId="77777777" w:rsidTr="00D27F91">
        <w:trPr>
          <w:trHeight w:val="330"/>
        </w:trPr>
        <w:tc>
          <w:tcPr>
            <w:tcW w:w="231" w:type="pct"/>
            <w:shd w:val="clear" w:color="auto" w:fill="auto"/>
            <w:vAlign w:val="center"/>
            <w:hideMark/>
          </w:tcPr>
          <w:p w14:paraId="6F95FE4D"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 </w:t>
            </w:r>
          </w:p>
        </w:tc>
        <w:tc>
          <w:tcPr>
            <w:tcW w:w="1518" w:type="pct"/>
            <w:shd w:val="clear" w:color="auto" w:fill="auto"/>
            <w:noWrap/>
            <w:vAlign w:val="center"/>
            <w:hideMark/>
          </w:tcPr>
          <w:p w14:paraId="6849CA67" w14:textId="77777777" w:rsidR="00E66F49" w:rsidRPr="00666914" w:rsidRDefault="00E66F49" w:rsidP="00D27F91">
            <w:pPr>
              <w:spacing w:after="0"/>
              <w:jc w:val="left"/>
              <w:rPr>
                <w:rFonts w:eastAsia="Times New Roman" w:cs="Calibri"/>
                <w:b/>
                <w:bCs/>
                <w:color w:val="000000"/>
                <w:sz w:val="20"/>
                <w:szCs w:val="20"/>
                <w:lang w:eastAsia="sk-SK"/>
              </w:rPr>
            </w:pPr>
            <w:r w:rsidRPr="00666914">
              <w:rPr>
                <w:rFonts w:eastAsia="Times New Roman" w:cs="Calibri"/>
                <w:b/>
                <w:bCs/>
                <w:color w:val="000000"/>
                <w:sz w:val="20"/>
                <w:szCs w:val="20"/>
                <w:lang w:eastAsia="sk-SK"/>
              </w:rPr>
              <w:t>TRH PRÁCE A SOCIÁLNE POLITIKY</w:t>
            </w:r>
          </w:p>
        </w:tc>
        <w:tc>
          <w:tcPr>
            <w:tcW w:w="715" w:type="pct"/>
            <w:shd w:val="clear" w:color="auto" w:fill="auto"/>
            <w:noWrap/>
            <w:vAlign w:val="center"/>
            <w:hideMark/>
          </w:tcPr>
          <w:p w14:paraId="71E6CA20"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Zodpovednosť</w:t>
            </w:r>
          </w:p>
        </w:tc>
        <w:tc>
          <w:tcPr>
            <w:tcW w:w="480" w:type="pct"/>
            <w:shd w:val="clear" w:color="auto" w:fill="auto"/>
            <w:noWrap/>
            <w:vAlign w:val="center"/>
            <w:hideMark/>
          </w:tcPr>
          <w:p w14:paraId="3DE51F5E"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Termín plnenia</w:t>
            </w:r>
          </w:p>
        </w:tc>
        <w:tc>
          <w:tcPr>
            <w:tcW w:w="528" w:type="pct"/>
          </w:tcPr>
          <w:p w14:paraId="19F128CD" w14:textId="6A34A763" w:rsidR="00E66F49" w:rsidRPr="00666914" w:rsidRDefault="00E66F49" w:rsidP="002D0686">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 xml:space="preserve">Nový termín plnenia </w:t>
            </w:r>
          </w:p>
        </w:tc>
        <w:tc>
          <w:tcPr>
            <w:tcW w:w="377" w:type="pct"/>
            <w:shd w:val="clear" w:color="auto" w:fill="auto"/>
            <w:noWrap/>
            <w:vAlign w:val="center"/>
            <w:hideMark/>
          </w:tcPr>
          <w:p w14:paraId="53B6F72B"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1Q 2019</w:t>
            </w:r>
          </w:p>
        </w:tc>
        <w:tc>
          <w:tcPr>
            <w:tcW w:w="377" w:type="pct"/>
            <w:shd w:val="clear" w:color="auto" w:fill="auto"/>
            <w:noWrap/>
            <w:vAlign w:val="center"/>
            <w:hideMark/>
          </w:tcPr>
          <w:p w14:paraId="2D351D64"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2Q 2019</w:t>
            </w:r>
          </w:p>
        </w:tc>
        <w:tc>
          <w:tcPr>
            <w:tcW w:w="377" w:type="pct"/>
            <w:shd w:val="clear" w:color="auto" w:fill="auto"/>
            <w:noWrap/>
            <w:vAlign w:val="center"/>
            <w:hideMark/>
          </w:tcPr>
          <w:p w14:paraId="69B546F7"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3Q 2019</w:t>
            </w:r>
          </w:p>
        </w:tc>
        <w:tc>
          <w:tcPr>
            <w:tcW w:w="397" w:type="pct"/>
            <w:shd w:val="clear" w:color="auto" w:fill="auto"/>
            <w:noWrap/>
            <w:vAlign w:val="center"/>
            <w:hideMark/>
          </w:tcPr>
          <w:p w14:paraId="6A705010" w14:textId="77777777" w:rsidR="00E66F49" w:rsidRPr="00666914" w:rsidRDefault="00E66F49" w:rsidP="00D27F91">
            <w:pPr>
              <w:spacing w:after="0"/>
              <w:jc w:val="center"/>
              <w:rPr>
                <w:rFonts w:eastAsia="Times New Roman" w:cs="Calibri"/>
                <w:b/>
                <w:bCs/>
                <w:color w:val="000000"/>
                <w:sz w:val="20"/>
                <w:szCs w:val="20"/>
                <w:lang w:eastAsia="sk-SK"/>
              </w:rPr>
            </w:pPr>
            <w:r w:rsidRPr="00666914">
              <w:rPr>
                <w:rFonts w:eastAsia="Times New Roman" w:cs="Calibri"/>
                <w:b/>
                <w:bCs/>
                <w:color w:val="000000"/>
                <w:sz w:val="20"/>
                <w:szCs w:val="20"/>
                <w:lang w:eastAsia="sk-SK"/>
              </w:rPr>
              <w:t>4Q 2019</w:t>
            </w:r>
          </w:p>
        </w:tc>
      </w:tr>
      <w:tr w:rsidR="00E66F49" w:rsidRPr="00666914" w14:paraId="46676A49" w14:textId="77777777" w:rsidTr="00D27F91">
        <w:trPr>
          <w:trHeight w:val="315"/>
        </w:trPr>
        <w:tc>
          <w:tcPr>
            <w:tcW w:w="231" w:type="pct"/>
            <w:shd w:val="clear" w:color="auto" w:fill="auto"/>
            <w:vAlign w:val="center"/>
          </w:tcPr>
          <w:p w14:paraId="64397DF2"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28</w:t>
            </w:r>
          </w:p>
        </w:tc>
        <w:tc>
          <w:tcPr>
            <w:tcW w:w="1518" w:type="pct"/>
            <w:shd w:val="clear" w:color="auto" w:fill="auto"/>
            <w:vAlign w:val="center"/>
          </w:tcPr>
          <w:p w14:paraId="0CA191B2" w14:textId="77777777" w:rsidR="00E66F49" w:rsidRPr="00666914" w:rsidRDefault="00E66F49" w:rsidP="00D27F91">
            <w:pPr>
              <w:spacing w:after="0"/>
              <w:jc w:val="left"/>
              <w:rPr>
                <w:rFonts w:eastAsia="Times New Roman" w:cs="Calibri"/>
                <w:color w:val="000000"/>
                <w:sz w:val="20"/>
                <w:szCs w:val="20"/>
                <w:lang w:eastAsia="sk-SK"/>
              </w:rPr>
            </w:pPr>
            <w:r w:rsidRPr="00666914">
              <w:rPr>
                <w:rFonts w:eastAsia="Times New Roman" w:cs="Calibri"/>
                <w:color w:val="000000"/>
                <w:sz w:val="20"/>
                <w:szCs w:val="20"/>
                <w:lang w:eastAsia="sk-SK"/>
              </w:rPr>
              <w:t>Pre všetky investície nad 40 mil. eur vypracovať a zverejniť štúdiu uskutočniteľnosti a analýzu nákladov a prínosov</w:t>
            </w:r>
          </w:p>
        </w:tc>
        <w:tc>
          <w:tcPr>
            <w:tcW w:w="715" w:type="pct"/>
            <w:shd w:val="clear" w:color="auto" w:fill="auto"/>
            <w:vAlign w:val="center"/>
          </w:tcPr>
          <w:p w14:paraId="2D5F18E8"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SP</w:t>
            </w:r>
          </w:p>
        </w:tc>
        <w:tc>
          <w:tcPr>
            <w:tcW w:w="480" w:type="pct"/>
            <w:shd w:val="clear" w:color="auto" w:fill="auto"/>
            <w:vAlign w:val="center"/>
          </w:tcPr>
          <w:p w14:paraId="344B3B72"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priebežne</w:t>
            </w:r>
          </w:p>
        </w:tc>
        <w:tc>
          <w:tcPr>
            <w:tcW w:w="528" w:type="pct"/>
            <w:vAlign w:val="center"/>
          </w:tcPr>
          <w:p w14:paraId="453462F9" w14:textId="77777777" w:rsidR="00E66F49" w:rsidRPr="00666914" w:rsidRDefault="00E66F49" w:rsidP="00D27F91">
            <w:pPr>
              <w:spacing w:after="0"/>
              <w:jc w:val="center"/>
              <w:rPr>
                <w:rFonts w:eastAsia="Times New Roman" w:cs="Calibri"/>
                <w:color w:val="000000"/>
                <w:sz w:val="20"/>
                <w:szCs w:val="20"/>
                <w:lang w:eastAsia="sk-SK"/>
              </w:rPr>
            </w:pPr>
            <w:r w:rsidRPr="00666914">
              <w:rPr>
                <w:rFonts w:eastAsia="Times New Roman" w:cs="Calibri"/>
                <w:color w:val="000000"/>
                <w:sz w:val="20"/>
                <w:szCs w:val="20"/>
                <w:lang w:eastAsia="sk-SK"/>
              </w:rPr>
              <w:t>-</w:t>
            </w:r>
          </w:p>
        </w:tc>
        <w:tc>
          <w:tcPr>
            <w:tcW w:w="377" w:type="pct"/>
            <w:shd w:val="clear" w:color="auto" w:fill="A6A6A6" w:themeFill="background1" w:themeFillShade="A6"/>
            <w:noWrap/>
            <w:vAlign w:val="bottom"/>
          </w:tcPr>
          <w:p w14:paraId="05C5CD24" w14:textId="77777777" w:rsidR="00E66F49" w:rsidRPr="00666914" w:rsidRDefault="00E66F49" w:rsidP="00D27F91">
            <w:pPr>
              <w:spacing w:after="0"/>
              <w:rPr>
                <w:rFonts w:eastAsia="Times New Roman" w:cs="Calibri"/>
                <w:color w:val="000000"/>
                <w:sz w:val="20"/>
                <w:szCs w:val="20"/>
                <w:lang w:eastAsia="sk-SK"/>
              </w:rPr>
            </w:pPr>
          </w:p>
        </w:tc>
        <w:tc>
          <w:tcPr>
            <w:tcW w:w="377" w:type="pct"/>
            <w:shd w:val="clear" w:color="auto" w:fill="A6A6A6" w:themeFill="background1" w:themeFillShade="A6"/>
            <w:noWrap/>
            <w:vAlign w:val="bottom"/>
          </w:tcPr>
          <w:p w14:paraId="105B9A06" w14:textId="77777777" w:rsidR="00E66F49" w:rsidRPr="00666914" w:rsidRDefault="00E66F49" w:rsidP="00D27F91">
            <w:pPr>
              <w:spacing w:after="0"/>
              <w:rPr>
                <w:rFonts w:eastAsia="Times New Roman" w:cs="Calibri"/>
                <w:color w:val="FF0000"/>
                <w:sz w:val="20"/>
                <w:szCs w:val="20"/>
                <w:lang w:eastAsia="sk-SK"/>
              </w:rPr>
            </w:pPr>
          </w:p>
        </w:tc>
        <w:tc>
          <w:tcPr>
            <w:tcW w:w="377" w:type="pct"/>
            <w:shd w:val="clear" w:color="auto" w:fill="A6A6A6" w:themeFill="background1" w:themeFillShade="A6"/>
            <w:noWrap/>
            <w:vAlign w:val="bottom"/>
          </w:tcPr>
          <w:p w14:paraId="253097A5" w14:textId="77777777" w:rsidR="00E66F49" w:rsidRPr="00666914" w:rsidRDefault="00E66F49" w:rsidP="00D27F91">
            <w:pPr>
              <w:spacing w:after="0"/>
              <w:rPr>
                <w:rFonts w:eastAsia="Times New Roman" w:cs="Calibri"/>
                <w:color w:val="FF0000"/>
                <w:sz w:val="20"/>
                <w:szCs w:val="20"/>
                <w:lang w:eastAsia="sk-SK"/>
              </w:rPr>
            </w:pPr>
          </w:p>
        </w:tc>
        <w:tc>
          <w:tcPr>
            <w:tcW w:w="397" w:type="pct"/>
            <w:shd w:val="clear" w:color="auto" w:fill="A6A6A6" w:themeFill="background1" w:themeFillShade="A6"/>
            <w:noWrap/>
            <w:vAlign w:val="bottom"/>
          </w:tcPr>
          <w:p w14:paraId="54366903" w14:textId="77777777" w:rsidR="00E66F49" w:rsidRPr="00666914" w:rsidRDefault="00E66F49" w:rsidP="00D27F91">
            <w:pPr>
              <w:spacing w:after="0"/>
              <w:jc w:val="center"/>
              <w:rPr>
                <w:rFonts w:eastAsia="Times New Roman" w:cs="Calibri"/>
                <w:color w:val="FF0000"/>
                <w:sz w:val="20"/>
                <w:szCs w:val="20"/>
                <w:lang w:eastAsia="sk-SK"/>
              </w:rPr>
            </w:pPr>
          </w:p>
        </w:tc>
      </w:tr>
    </w:tbl>
    <w:p w14:paraId="08655654" w14:textId="77777777" w:rsidR="00E66F49" w:rsidRPr="00666914" w:rsidRDefault="00E66F49" w:rsidP="00CD4715">
      <w:pPr>
        <w:contextualSpacing/>
        <w:rPr>
          <w:i/>
        </w:rPr>
      </w:pPr>
    </w:p>
    <w:p w14:paraId="32AD85E5" w14:textId="71C4A8E6" w:rsidR="00B11196" w:rsidRPr="00666914" w:rsidRDefault="00E66F49" w:rsidP="00D27F91">
      <w:pPr>
        <w:pStyle w:val="Odsekzoznamu"/>
        <w:spacing w:after="0"/>
        <w:ind w:left="0"/>
        <w:contextualSpacing w:val="0"/>
      </w:pPr>
      <w:r w:rsidRPr="00666914">
        <w:t>Na základe aktualizovaného investičného plánu zaslaného IJ</w:t>
      </w:r>
      <w:r w:rsidR="00B03598" w:rsidRPr="00666914">
        <w:t xml:space="preserve"> neplánuje</w:t>
      </w:r>
      <w:r w:rsidRPr="00666914">
        <w:t xml:space="preserve"> SP v najbližšom období investície, ktorých celková výška by presahovala 40 mil. eur (vrátane DPH).</w:t>
      </w:r>
    </w:p>
    <w:p w14:paraId="7858EE56" w14:textId="77777777" w:rsidR="00B11196" w:rsidRPr="00666914" w:rsidRDefault="00B11196">
      <w:pPr>
        <w:spacing w:after="0"/>
        <w:jc w:val="left"/>
      </w:pPr>
      <w:r w:rsidRPr="00666914">
        <w:br w:type="page"/>
      </w:r>
    </w:p>
    <w:p w14:paraId="3403CC52" w14:textId="77777777" w:rsidR="00AA6557" w:rsidRPr="00666914" w:rsidRDefault="00AA6557" w:rsidP="00AA6557">
      <w:pPr>
        <w:pStyle w:val="Nadpis1"/>
      </w:pPr>
      <w:bookmarkStart w:id="405" w:name="_Toc38447622"/>
      <w:r w:rsidRPr="00666914">
        <w:lastRenderedPageBreak/>
        <w:t>Pôdohospodárstvo a rozvoj vidieka</w:t>
      </w:r>
      <w:bookmarkEnd w:id="405"/>
    </w:p>
    <w:p w14:paraId="10C23AC3" w14:textId="77777777" w:rsidR="00AA6557" w:rsidRPr="00666914" w:rsidRDefault="00AA6557" w:rsidP="00AA6557">
      <w:pPr>
        <w:pStyle w:val="Nadpis2"/>
      </w:pPr>
      <w:bookmarkStart w:id="406" w:name="_Toc38447623"/>
      <w:r w:rsidRPr="00666914">
        <w:t>Zhrnutie</w:t>
      </w:r>
      <w:bookmarkEnd w:id="406"/>
    </w:p>
    <w:p w14:paraId="0654FD92" w14:textId="7F2B32D1" w:rsidR="00AA6557" w:rsidRPr="00666914" w:rsidRDefault="00AA6557" w:rsidP="00287DFE">
      <w:r w:rsidRPr="00666914">
        <w:rPr>
          <w:b/>
        </w:rPr>
        <w:t>Revízia výdavkov na pôdohospodárstvo a rozvoj vidieka</w:t>
      </w:r>
      <w:r w:rsidRPr="00666914">
        <w:rPr>
          <w:b/>
          <w:vertAlign w:val="superscript"/>
        </w:rPr>
        <w:footnoteReference w:id="411"/>
      </w:r>
      <w:r w:rsidRPr="00666914">
        <w:rPr>
          <w:b/>
        </w:rPr>
        <w:t xml:space="preserve"> identifikovala do roku 2022 celkovú úsporu 4,6 mil. eur prostredníctvom optimalizácie nákladov na podporné a prierezové činností Ministerstva pôdohospodárstva a rozvoja vidieka SR (MPRV SR) a ich podriadených organizácií. Medzi priority rezortu v najbližšom období patrí najmä príprava opatrení do Strategického plánu Spoločnej poľnohospodárskej politiky (SP SPP) na nové programové obdobie  2021 – 2027. Okrem toho je potrebné  aj naďalej pokračovať v sceľovaní pôdy prostredníctvom komplexných projektov pozemkových úprav (PPÚ) a legislatívnou zmenou obmedziť drobenie novovznikajúcich parciel. Spôsob zabezpečenia dlhodobej finančnej udržateľnosti podniku Hydromeliorácie, š. p. by mala určiť počas roka 2020 vypracovaná koncepcia jeho rozvoja</w:t>
      </w:r>
      <w:r w:rsidRPr="00666914">
        <w:rPr>
          <w:b/>
          <w:vertAlign w:val="superscript"/>
        </w:rPr>
        <w:footnoteReference w:id="412"/>
      </w:r>
      <w:r w:rsidRPr="00666914">
        <w:rPr>
          <w:b/>
        </w:rPr>
        <w:t>. V prípade Pôdohospodárskej platobnej agentúry (PPA) je predpokladom komplexnej reformy a digitalizácie na nasledujúce roky jasná koncepcia rozvoja s presnou kvantifikáciou očakávaných prínosov digitalizácie.</w:t>
      </w:r>
    </w:p>
    <w:p w14:paraId="05907C65" w14:textId="77777777" w:rsidR="00AA6557" w:rsidRPr="00666914" w:rsidRDefault="00AA6557" w:rsidP="00287DFE">
      <w:r w:rsidRPr="00666914">
        <w:rPr>
          <w:b/>
        </w:rPr>
        <w:t>Pre hodnotiace obdobie 4Q2019 identifikovala revízia výdavkov možnú úsporu do 0,3 mil. eur v oblasti IT výdavkov</w:t>
      </w:r>
      <w:r w:rsidRPr="00666914">
        <w:t xml:space="preserve"> v PPA na helpdeskoch informačných systémov</w:t>
      </w:r>
      <w:r w:rsidRPr="00666914">
        <w:rPr>
          <w:vertAlign w:val="superscript"/>
        </w:rPr>
        <w:footnoteReference w:id="413"/>
      </w:r>
      <w:r w:rsidRPr="00666914">
        <w:t xml:space="preserve"> (IS). Úspora nebola do konca roku 2019 dosiahnutá.</w:t>
      </w:r>
    </w:p>
    <w:p w14:paraId="1300E491" w14:textId="19265A63" w:rsidR="00AA6557" w:rsidRPr="00666914" w:rsidRDefault="00AA6557" w:rsidP="00287DFE">
      <w:r w:rsidRPr="00666914">
        <w:rPr>
          <w:b/>
        </w:rPr>
        <w:t xml:space="preserve">Komplexná reforma a digitalizácia PPA nebola zatiaľ implementovaná. Interný plán postupnej digitalizácie PPA na roky 2018 – 2020 nebol z pohľadu samotného technického </w:t>
      </w:r>
      <w:sdt>
        <w:sdtPr>
          <w:tag w:val="goog_rdk_0"/>
          <w:id w:val="1908961335"/>
        </w:sdtPr>
        <w:sdtEndPr/>
        <w:sdtContent/>
      </w:sdt>
      <w:sdt>
        <w:sdtPr>
          <w:tag w:val="goog_rdk_1"/>
          <w:id w:val="1304050975"/>
        </w:sdtPr>
        <w:sdtEndPr/>
        <w:sdtContent/>
      </w:sdt>
      <w:r w:rsidRPr="00666914">
        <w:rPr>
          <w:b/>
        </w:rPr>
        <w:t>riešenia, kvantifikácie prínosov či definovania p</w:t>
      </w:r>
      <w:r w:rsidR="002A3F44" w:rsidRPr="00666914">
        <w:rPr>
          <w:b/>
        </w:rPr>
        <w:t xml:space="preserve">riorít dostatočne vypracovaný. </w:t>
      </w:r>
      <w:r w:rsidRPr="00666914">
        <w:t xml:space="preserve">Čo sa týka spôsobu realizácie, PPA sa rozhodla namiesto komplexnej reformy formou jedného veľkého projektu ísť cestou menších dopytových výziev na viacero období. </w:t>
      </w:r>
      <w:sdt>
        <w:sdtPr>
          <w:tag w:val="goog_rdk_2"/>
          <w:id w:val="-1760359617"/>
          <w:showingPlcHdr/>
        </w:sdtPr>
        <w:sdtEndPr/>
        <w:sdtContent>
          <w:r w:rsidRPr="00666914">
            <w:t xml:space="preserve">     </w:t>
          </w:r>
        </w:sdtContent>
      </w:sdt>
      <w:r w:rsidRPr="00666914">
        <w:t>Do konca roka 2019 predložila na posúdenie Úradu podpredsedu vlády SR pre investície a informatizáciu (ÚPVII) formou dopytových výziev 4 projekty v celkovej sume 10,6 mil. eur. Štúdie uskutočniteľnosti</w:t>
      </w:r>
      <w:r w:rsidR="002A3F44" w:rsidRPr="00666914">
        <w:t xml:space="preserve"> (ŠU)</w:t>
      </w:r>
      <w:r w:rsidRPr="00666914">
        <w:t xml:space="preserve"> neboli do konca roka 2019 schválené, ani posúdené. </w:t>
      </w:r>
      <w:r w:rsidRPr="00666914">
        <w:rPr>
          <w:b/>
        </w:rPr>
        <w:t xml:space="preserve">V prípade predkladania ďalších projektov digitalizácie PPA je však nevyhnutnou podmienkou vypracovanie presne definovaného viacročného plánu zavádzania IS vrátane preukázateľných prínosov jednotlivých projektov. </w:t>
      </w:r>
    </w:p>
    <w:p w14:paraId="244D5928" w14:textId="77777777" w:rsidR="00AA6557" w:rsidRPr="00666914" w:rsidRDefault="00AA6557" w:rsidP="00287DFE">
      <w:pPr>
        <w:rPr>
          <w:b/>
        </w:rPr>
      </w:pPr>
      <w:r w:rsidRPr="00666914">
        <w:rPr>
          <w:b/>
        </w:rPr>
        <w:t>Pri o</w:t>
      </w:r>
      <w:sdt>
        <w:sdtPr>
          <w:tag w:val="goog_rdk_3"/>
          <w:id w:val="1058747921"/>
        </w:sdtPr>
        <w:sdtEndPr/>
        <w:sdtContent/>
      </w:sdt>
      <w:sdt>
        <w:sdtPr>
          <w:tag w:val="goog_rdk_4"/>
          <w:id w:val="1801106572"/>
        </w:sdtPr>
        <w:sdtEndPr/>
        <w:sdtContent/>
      </w:sdt>
      <w:r w:rsidRPr="00666914">
        <w:rPr>
          <w:b/>
        </w:rPr>
        <w:t>patreniach zameraných na zvyšovanie hodnoty dosiahlo MPRV SR za 4Q2019 mierny pokrok. Schválením uznesenia vlády č. 593/2019</w:t>
      </w:r>
      <w:r w:rsidRPr="00666914">
        <w:rPr>
          <w:b/>
          <w:vertAlign w:val="superscript"/>
        </w:rPr>
        <w:footnoteReference w:id="414"/>
      </w:r>
      <w:r w:rsidRPr="00666914">
        <w:rPr>
          <w:b/>
        </w:rPr>
        <w:t xml:space="preserve"> v oblasti trhu s pôdou bol zahájený proces pozemkových úprav (PÚ) k návrhu katastrálnych území (k. ú.) v roku 2020. </w:t>
      </w:r>
      <w:r w:rsidRPr="00666914">
        <w:t>Odhadované náklady na vykonanie PÚ vo všetkých k. ú. na obdobie 30 rokov sú približne 1,1 mld. eur. Pre rok 2020 bolo vybraných 120 k. ú. pričom celkový predpokladaný objem prostriedkov na ich realizáciu predstavuje 68,1 mil. eur</w:t>
      </w:r>
      <w:r w:rsidRPr="00666914">
        <w:rPr>
          <w:vertAlign w:val="superscript"/>
        </w:rPr>
        <w:footnoteReference w:id="415"/>
      </w:r>
      <w:r w:rsidRPr="00666914">
        <w:t xml:space="preserve">. Lepšie fungovanie trhu s pôdou má podporiť aj zverejňovanie obvyklej výšky nájomného (OVN) v jednotlivých k. ú., ktoré sa podarilo MPRV SR počas roku 2019 čiastočne zaviesť. Zverejnená OVN je v dátovej podobe, zatiaľ chýba v podobe mapy. </w:t>
      </w:r>
      <w:r w:rsidRPr="00666914">
        <w:rPr>
          <w:b/>
        </w:rPr>
        <w:t xml:space="preserve"> </w:t>
      </w:r>
    </w:p>
    <w:p w14:paraId="46621C23" w14:textId="5D395BEA" w:rsidR="00AA6557" w:rsidRPr="00666914" w:rsidRDefault="00AA6557" w:rsidP="00287DFE">
      <w:r w:rsidRPr="00666914">
        <w:rPr>
          <w:b/>
        </w:rPr>
        <w:t>V sektore poľnohospodárstva bola počas rok</w:t>
      </w:r>
      <w:r w:rsidR="00F80AA4" w:rsidRPr="00666914">
        <w:rPr>
          <w:b/>
        </w:rPr>
        <w:t>a</w:t>
      </w:r>
      <w:r w:rsidRPr="00666914">
        <w:rPr>
          <w:b/>
        </w:rPr>
        <w:t xml:space="preserve"> 2019 zavedená podpora komerčného poistenia rizika v poľnohospodárstve</w:t>
      </w:r>
      <w:r w:rsidRPr="00666914">
        <w:rPr>
          <w:b/>
          <w:vertAlign w:val="superscript"/>
        </w:rPr>
        <w:footnoteReference w:id="416"/>
      </w:r>
      <w:r w:rsidRPr="00666914">
        <w:rPr>
          <w:b/>
        </w:rPr>
        <w:t xml:space="preserve">. </w:t>
      </w:r>
      <w:r w:rsidRPr="00666914">
        <w:t>Podpora bude do roku 2023 financovaná prostredníctvom schém štátnej pomoci</w:t>
      </w:r>
      <w:r w:rsidRPr="00666914">
        <w:rPr>
          <w:vertAlign w:val="superscript"/>
        </w:rPr>
        <w:footnoteReference w:id="417"/>
      </w:r>
      <w:r w:rsidRPr="00666914">
        <w:t xml:space="preserve"> v objeme 4 mil. eur ročne. Očakáva sa, že napomôže stabilizácii poľnohospodárskeho sektora a zabezpečí zníženie neočakávaných výdavkov štátu na kompenzáciu strát vo forme ad hoc pomocí po živelných pohromách, chorobách a pod. </w:t>
      </w:r>
    </w:p>
    <w:p w14:paraId="3CDE44EE" w14:textId="77777777" w:rsidR="00AA6557" w:rsidRPr="00666914" w:rsidRDefault="00AA6557" w:rsidP="00287DFE">
      <w:r w:rsidRPr="00666914">
        <w:rPr>
          <w:b/>
        </w:rPr>
        <w:lastRenderedPageBreak/>
        <w:t>Správne nastavenie SP SPP 2021 – 2027 je kľúčové pre plnenie opatrení identifikovaných revíziou výdavkov</w:t>
      </w:r>
      <w:r w:rsidRPr="00666914">
        <w:t>. V intervenčnej stratégii SP SPP bude navrhnutá alokácia financovania intervencií SPP súvisiacich aj so zvyšovaním produktivity a pridanej hodnoty v poľnohospodárstve a v oblasti rozvoja vidieka. Odborná diskusia a jej včasné dokončenie je dôležité pre úspešnú implementáciu opatrení SPP.</w:t>
      </w:r>
      <w:r w:rsidRPr="00666914" w:rsidDel="003618D6">
        <w:rPr>
          <w:highlight w:val="yellow"/>
        </w:rPr>
        <w:t xml:space="preserve"> </w:t>
      </w:r>
    </w:p>
    <w:p w14:paraId="36072C9D" w14:textId="0B56845B" w:rsidR="00AA6557" w:rsidRPr="00666914" w:rsidRDefault="00AA6557" w:rsidP="00287DFE">
      <w:pPr>
        <w:rPr>
          <w:b/>
        </w:rPr>
      </w:pPr>
      <w:r w:rsidRPr="00666914">
        <w:rPr>
          <w:noProof/>
          <w:lang w:eastAsia="sk-SK"/>
        </w:rPr>
        <mc:AlternateContent>
          <mc:Choice Requires="wps">
            <w:drawing>
              <wp:anchor distT="0" distB="0" distL="114300" distR="114300" simplePos="0" relativeHeight="251665408" behindDoc="0" locked="0" layoutInCell="1" hidden="0" allowOverlap="1" wp14:anchorId="45321EAD" wp14:editId="2ECFAB6A">
                <wp:simplePos x="0" y="0"/>
                <wp:positionH relativeFrom="column">
                  <wp:posOffset>-100330</wp:posOffset>
                </wp:positionH>
                <wp:positionV relativeFrom="paragraph">
                  <wp:posOffset>1458595</wp:posOffset>
                </wp:positionV>
                <wp:extent cx="6000750" cy="2914650"/>
                <wp:effectExtent l="0" t="0" r="19050" b="19050"/>
                <wp:wrapSquare wrapText="bothSides" distT="0" distB="0" distL="114300" distR="114300"/>
                <wp:docPr id="43" name="Obdĺžnik 43"/>
                <wp:cNvGraphicFramePr/>
                <a:graphic xmlns:a="http://schemas.openxmlformats.org/drawingml/2006/main">
                  <a:graphicData uri="http://schemas.microsoft.com/office/word/2010/wordprocessingShape">
                    <wps:wsp>
                      <wps:cNvSpPr/>
                      <wps:spPr>
                        <a:xfrm>
                          <a:off x="0" y="0"/>
                          <a:ext cx="6000750" cy="2914650"/>
                        </a:xfrm>
                        <a:prstGeom prst="rect">
                          <a:avLst/>
                        </a:prstGeom>
                        <a:solidFill>
                          <a:srgbClr val="0070C0"/>
                        </a:solidFill>
                        <a:ln w="12700" cap="flat" cmpd="sng">
                          <a:solidFill>
                            <a:srgbClr val="4472C4"/>
                          </a:solidFill>
                          <a:prstDash val="solid"/>
                          <a:round/>
                          <a:headEnd type="none" w="sm" len="sm"/>
                          <a:tailEnd type="none" w="sm" len="sm"/>
                        </a:ln>
                      </wps:spPr>
                      <wps:txbx>
                        <w:txbxContent>
                          <w:p w14:paraId="75B084CF" w14:textId="77777777" w:rsidR="006C0687" w:rsidRPr="000279B5" w:rsidRDefault="006C0687">
                            <w:pPr>
                              <w:spacing w:after="0"/>
                              <w:textDirection w:val="btLr"/>
                            </w:pPr>
                          </w:p>
                          <w:p w14:paraId="0FE3EB9E" w14:textId="77777777" w:rsidR="006C0687" w:rsidRPr="000279B5" w:rsidRDefault="006C0687" w:rsidP="00287DFE">
                            <w:pPr>
                              <w:textDirection w:val="btLr"/>
                            </w:pPr>
                            <w:r w:rsidRPr="000279B5">
                              <w:rPr>
                                <w:b/>
                                <w:color w:val="FFFFFF"/>
                                <w:u w:val="single"/>
                              </w:rPr>
                              <w:t>Hlavné odporúčania IJ ÚV SR pre MPRV SR do 31.12.2020:</w:t>
                            </w:r>
                          </w:p>
                          <w:p w14:paraId="35D2CDF6" w14:textId="77777777" w:rsidR="006C0687" w:rsidRPr="000279B5" w:rsidRDefault="006C0687" w:rsidP="00131B23">
                            <w:pPr>
                              <w:pStyle w:val="Odsekzoznamu"/>
                              <w:numPr>
                                <w:ilvl w:val="0"/>
                                <w:numId w:val="20"/>
                              </w:numPr>
                              <w:spacing w:after="0"/>
                              <w:ind w:left="709" w:hanging="283"/>
                              <w:textDirection w:val="btLr"/>
                              <w:rPr>
                                <w:color w:val="FFFFFF" w:themeColor="background1"/>
                              </w:rPr>
                            </w:pPr>
                            <w:r w:rsidRPr="000279B5">
                              <w:rPr>
                                <w:color w:val="FFFFFF" w:themeColor="background1"/>
                              </w:rPr>
                              <w:t xml:space="preserve">Zapracovať opatrenia Revízie výdavkov na pôdohospodárstvo a rozvoj vidieka do SP SPP  2021 – 2027. </w:t>
                            </w:r>
                          </w:p>
                          <w:p w14:paraId="73342DBB" w14:textId="77777777" w:rsidR="006C0687" w:rsidRPr="000279B5" w:rsidRDefault="006C0687" w:rsidP="00131B23">
                            <w:pPr>
                              <w:pStyle w:val="Odsekzoznamu"/>
                              <w:numPr>
                                <w:ilvl w:val="0"/>
                                <w:numId w:val="20"/>
                              </w:numPr>
                              <w:spacing w:after="0"/>
                              <w:ind w:left="709" w:hanging="283"/>
                              <w:textDirection w:val="btLr"/>
                              <w:rPr>
                                <w:color w:val="FFFFFF" w:themeColor="background1"/>
                              </w:rPr>
                            </w:pPr>
                            <w:r w:rsidRPr="000279B5">
                              <w:rPr>
                                <w:color w:val="FFFFFF" w:themeColor="background1"/>
                              </w:rPr>
                              <w:t>Zaviesť podporu komerčného poistenia rizika v poľnohospodárstve do SP SPP 2021 – 2027 so zdrojom financovania z EPFRV 2021 – 2027.</w:t>
                            </w:r>
                          </w:p>
                          <w:p w14:paraId="33CB5732" w14:textId="77777777" w:rsidR="006C0687" w:rsidRPr="000279B5" w:rsidRDefault="006C0687" w:rsidP="00131B23">
                            <w:pPr>
                              <w:pStyle w:val="Odsekzoznamu"/>
                              <w:numPr>
                                <w:ilvl w:val="0"/>
                                <w:numId w:val="20"/>
                              </w:numPr>
                              <w:spacing w:after="0"/>
                              <w:ind w:left="709" w:hanging="283"/>
                              <w:textDirection w:val="btLr"/>
                              <w:rPr>
                                <w:color w:val="FFFFFF" w:themeColor="background1"/>
                              </w:rPr>
                            </w:pPr>
                            <w:r w:rsidRPr="000279B5">
                              <w:rPr>
                                <w:color w:val="FFFFFF" w:themeColor="background1"/>
                              </w:rPr>
                              <w:t>Zverejniť ŠU na podporu implementácie finančných nástrojov kombinujúcich EPFRV a EFSI v rámci PRV SR 2014 – 2020.</w:t>
                            </w:r>
                          </w:p>
                          <w:p w14:paraId="1ADCE12C" w14:textId="000FD132" w:rsidR="006C0687" w:rsidRPr="00802F02" w:rsidRDefault="006C0687" w:rsidP="00131B23">
                            <w:pPr>
                              <w:pStyle w:val="Odsekzoznamu"/>
                              <w:numPr>
                                <w:ilvl w:val="0"/>
                                <w:numId w:val="20"/>
                              </w:numPr>
                              <w:ind w:left="709" w:hanging="284"/>
                              <w:textDirection w:val="btLr"/>
                              <w:rPr>
                                <w:color w:val="FFFFFF" w:themeColor="background1"/>
                              </w:rPr>
                            </w:pPr>
                            <w:r w:rsidRPr="00802F02">
                              <w:rPr>
                                <w:color w:val="FFFFFF" w:themeColor="background1"/>
                              </w:rPr>
                              <w:t xml:space="preserve">Alokovať prostriedky na tvorbu finančných nástrojov do strategického plánu pre nové programovacie obdobie 2021 – </w:t>
                            </w:r>
                            <w:r>
                              <w:rPr>
                                <w:color w:val="FFFFFF" w:themeColor="background1"/>
                              </w:rPr>
                              <w:t>20</w:t>
                            </w:r>
                            <w:r w:rsidRPr="00802F02">
                              <w:rPr>
                                <w:color w:val="FFFFFF" w:themeColor="background1"/>
                              </w:rPr>
                              <w:t>27.</w:t>
                            </w:r>
                          </w:p>
                          <w:p w14:paraId="26B71DD1" w14:textId="77777777" w:rsidR="006C0687" w:rsidRPr="000279B5" w:rsidRDefault="006C0687" w:rsidP="00287DFE">
                            <w:pPr>
                              <w:textDirection w:val="btLr"/>
                            </w:pPr>
                            <w:r w:rsidRPr="000279B5">
                              <w:rPr>
                                <w:b/>
                                <w:color w:val="FFFFFF"/>
                                <w:u w:val="single"/>
                              </w:rPr>
                              <w:t>Hlavné odporúčania IJ ÚV SR pre PPA do 31.12.2020:</w:t>
                            </w:r>
                          </w:p>
                          <w:p w14:paraId="59FFA3AE" w14:textId="77777777" w:rsidR="006C0687" w:rsidRPr="000279B5" w:rsidRDefault="006C0687" w:rsidP="00131B23">
                            <w:pPr>
                              <w:pStyle w:val="Odsekzoznamu"/>
                              <w:numPr>
                                <w:ilvl w:val="0"/>
                                <w:numId w:val="19"/>
                              </w:numPr>
                              <w:spacing w:after="0"/>
                              <w:ind w:left="709" w:hanging="283"/>
                              <w:textDirection w:val="btLr"/>
                              <w:rPr>
                                <w:color w:val="FFFFFF" w:themeColor="background1"/>
                              </w:rPr>
                            </w:pPr>
                            <w:r w:rsidRPr="000279B5">
                              <w:rPr>
                                <w:color w:val="FFFFFF" w:themeColor="background1"/>
                              </w:rPr>
                              <w:t xml:space="preserve">Vypracovať a predložiť na schválenie vlády SR záväzný plán realizácie postupnej reformy a digitalizácie PPA vrátane kvantifikácie prínosov na nasledujúce 3 roky.  </w:t>
                            </w:r>
                          </w:p>
                          <w:p w14:paraId="3F37325D" w14:textId="7BDFAF5C" w:rsidR="006C0687" w:rsidRPr="000279B5" w:rsidRDefault="006C0687" w:rsidP="00131B23">
                            <w:pPr>
                              <w:pStyle w:val="Odsekzoznamu"/>
                              <w:numPr>
                                <w:ilvl w:val="0"/>
                                <w:numId w:val="19"/>
                              </w:numPr>
                              <w:spacing w:after="0"/>
                              <w:ind w:left="709" w:hanging="283"/>
                              <w:textDirection w:val="btLr"/>
                              <w:rPr>
                                <w:color w:val="FFFFFF" w:themeColor="background1"/>
                              </w:rPr>
                            </w:pPr>
                            <w:r w:rsidRPr="000279B5">
                              <w:rPr>
                                <w:color w:val="FFFFFF" w:themeColor="background1"/>
                              </w:rPr>
                              <w:t>V súlade so schváleným plánom pokračovať v predkladaní menších dopytových výziev alebo národných projektov na zavedenie IS na ÚPVII a v prípade prekročenia limitu ich predložiť na posúdenie Útvaru hodnoty za peniaze (ÚHP)</w:t>
                            </w:r>
                            <w:r>
                              <w:rPr>
                                <w:color w:val="FFFFFF" w:themeColor="background1"/>
                              </w:rPr>
                              <w:t xml:space="preserve"> MF SR</w:t>
                            </w:r>
                            <w:r w:rsidRPr="000279B5">
                              <w:rPr>
                                <w:color w:val="FFFFFF" w:themeColor="background1"/>
                              </w:rPr>
                              <w:t>.</w:t>
                            </w:r>
                          </w:p>
                          <w:p w14:paraId="4393DFB2" w14:textId="77777777" w:rsidR="006C0687" w:rsidRPr="000279B5" w:rsidRDefault="006C0687" w:rsidP="00287DFE">
                            <w:pPr>
                              <w:spacing w:after="0"/>
                              <w:textDirection w:val="btLr"/>
                            </w:pPr>
                          </w:p>
                          <w:p w14:paraId="1AF97533" w14:textId="77777777" w:rsidR="006C0687" w:rsidRPr="000279B5" w:rsidRDefault="006C0687">
                            <w:pPr>
                              <w:spacing w:after="0"/>
                              <w:ind w:left="720"/>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45321EAD" id="Obdĺžnik 43" o:spid="_x0000_s1033" style="position:absolute;left:0;text-align:left;margin-left:-7.9pt;margin-top:114.85pt;width:472.5pt;height:2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" fillcolor="#0070c0" strokecolor="#4472c4" strokeweight="1pt">
                <v:stroke startarrowwidth="narrow" startarrowlength="short" endarrowwidth="narrow" endarrowlength="short" joinstyle="round"/>
                <v:textbox inset="2.53958mm,1.2694mm,2.53958mm,1.2694mm">
                  <w:txbxContent>
                    <w:p w14:paraId="75B084CF" w14:textId="77777777" w:rsidR="006C0687" w:rsidRPr="000279B5" w:rsidRDefault="006C0687">
                      <w:pPr>
                        <w:spacing w:after="0"/>
                        <w:textDirection w:val="btLr"/>
                      </w:pPr>
                    </w:p>
                    <w:p w14:paraId="0FE3EB9E" w14:textId="77777777" w:rsidR="006C0687" w:rsidRPr="000279B5" w:rsidRDefault="006C0687" w:rsidP="00287DFE">
                      <w:pPr>
                        <w:textDirection w:val="btLr"/>
                      </w:pPr>
                      <w:r w:rsidRPr="000279B5">
                        <w:rPr>
                          <w:b/>
                          <w:color w:val="FFFFFF"/>
                          <w:u w:val="single"/>
                        </w:rPr>
                        <w:t>Hlavné odporúčania IJ ÚV SR pre MPRV SR do 31.12.2020:</w:t>
                      </w:r>
                    </w:p>
                    <w:p w14:paraId="35D2CDF6" w14:textId="77777777" w:rsidR="006C0687" w:rsidRPr="000279B5" w:rsidRDefault="006C0687" w:rsidP="00131B23">
                      <w:pPr>
                        <w:pStyle w:val="Odsekzoznamu"/>
                        <w:numPr>
                          <w:ilvl w:val="0"/>
                          <w:numId w:val="20"/>
                        </w:numPr>
                        <w:spacing w:after="0"/>
                        <w:ind w:left="709" w:hanging="283"/>
                        <w:textDirection w:val="btLr"/>
                        <w:rPr>
                          <w:color w:val="FFFFFF" w:themeColor="background1"/>
                        </w:rPr>
                      </w:pPr>
                      <w:r w:rsidRPr="000279B5">
                        <w:rPr>
                          <w:color w:val="FFFFFF" w:themeColor="background1"/>
                        </w:rPr>
                        <w:t xml:space="preserve">Zapracovať opatrenia Revízie výdavkov na pôdohospodárstvo a rozvoj vidieka do SP SPP  2021 – 2027. </w:t>
                      </w:r>
                    </w:p>
                    <w:p w14:paraId="73342DBB" w14:textId="77777777" w:rsidR="006C0687" w:rsidRPr="000279B5" w:rsidRDefault="006C0687" w:rsidP="00131B23">
                      <w:pPr>
                        <w:pStyle w:val="Odsekzoznamu"/>
                        <w:numPr>
                          <w:ilvl w:val="0"/>
                          <w:numId w:val="20"/>
                        </w:numPr>
                        <w:spacing w:after="0"/>
                        <w:ind w:left="709" w:hanging="283"/>
                        <w:textDirection w:val="btLr"/>
                        <w:rPr>
                          <w:color w:val="FFFFFF" w:themeColor="background1"/>
                        </w:rPr>
                      </w:pPr>
                      <w:r w:rsidRPr="000279B5">
                        <w:rPr>
                          <w:color w:val="FFFFFF" w:themeColor="background1"/>
                        </w:rPr>
                        <w:t>Zaviesť podporu komerčného poistenia rizika v poľnohospodárstve do SP SPP 2021 – 2027 so zdrojom financovania z EPFRV 2021 – 2027.</w:t>
                      </w:r>
                    </w:p>
                    <w:p w14:paraId="33CB5732" w14:textId="77777777" w:rsidR="006C0687" w:rsidRPr="000279B5" w:rsidRDefault="006C0687" w:rsidP="00131B23">
                      <w:pPr>
                        <w:pStyle w:val="Odsekzoznamu"/>
                        <w:numPr>
                          <w:ilvl w:val="0"/>
                          <w:numId w:val="20"/>
                        </w:numPr>
                        <w:spacing w:after="0"/>
                        <w:ind w:left="709" w:hanging="283"/>
                        <w:textDirection w:val="btLr"/>
                        <w:rPr>
                          <w:color w:val="FFFFFF" w:themeColor="background1"/>
                        </w:rPr>
                      </w:pPr>
                      <w:r w:rsidRPr="000279B5">
                        <w:rPr>
                          <w:color w:val="FFFFFF" w:themeColor="background1"/>
                        </w:rPr>
                        <w:t>Zverejniť ŠU na podporu implementácie finančných nástrojov kombinujúcich EPFRV a EFSI v rámci PRV SR 2014 – 2020.</w:t>
                      </w:r>
                    </w:p>
                    <w:p w14:paraId="1ADCE12C" w14:textId="000FD132" w:rsidR="006C0687" w:rsidRPr="00802F02" w:rsidRDefault="006C0687" w:rsidP="00131B23">
                      <w:pPr>
                        <w:pStyle w:val="Odsekzoznamu"/>
                        <w:numPr>
                          <w:ilvl w:val="0"/>
                          <w:numId w:val="20"/>
                        </w:numPr>
                        <w:ind w:left="709" w:hanging="284"/>
                        <w:textDirection w:val="btLr"/>
                        <w:rPr>
                          <w:color w:val="FFFFFF" w:themeColor="background1"/>
                        </w:rPr>
                      </w:pPr>
                      <w:r w:rsidRPr="00802F02">
                        <w:rPr>
                          <w:color w:val="FFFFFF" w:themeColor="background1"/>
                        </w:rPr>
                        <w:t xml:space="preserve">Alokovať prostriedky na tvorbu finančných nástrojov do strategického plánu pre nové programovacie obdobie 2021 – </w:t>
                      </w:r>
                      <w:r>
                        <w:rPr>
                          <w:color w:val="FFFFFF" w:themeColor="background1"/>
                        </w:rPr>
                        <w:t>20</w:t>
                      </w:r>
                      <w:r w:rsidRPr="00802F02">
                        <w:rPr>
                          <w:color w:val="FFFFFF" w:themeColor="background1"/>
                        </w:rPr>
                        <w:t>27.</w:t>
                      </w:r>
                    </w:p>
                    <w:p w14:paraId="26B71DD1" w14:textId="77777777" w:rsidR="006C0687" w:rsidRPr="000279B5" w:rsidRDefault="006C0687" w:rsidP="00287DFE">
                      <w:pPr>
                        <w:textDirection w:val="btLr"/>
                      </w:pPr>
                      <w:r w:rsidRPr="000279B5">
                        <w:rPr>
                          <w:b/>
                          <w:color w:val="FFFFFF"/>
                          <w:u w:val="single"/>
                        </w:rPr>
                        <w:t>Hlavné odporúčania IJ ÚV SR pre PPA do 31.12.2020:</w:t>
                      </w:r>
                    </w:p>
                    <w:p w14:paraId="59FFA3AE" w14:textId="77777777" w:rsidR="006C0687" w:rsidRPr="000279B5" w:rsidRDefault="006C0687" w:rsidP="00131B23">
                      <w:pPr>
                        <w:pStyle w:val="Odsekzoznamu"/>
                        <w:numPr>
                          <w:ilvl w:val="0"/>
                          <w:numId w:val="19"/>
                        </w:numPr>
                        <w:spacing w:after="0"/>
                        <w:ind w:left="709" w:hanging="283"/>
                        <w:textDirection w:val="btLr"/>
                        <w:rPr>
                          <w:color w:val="FFFFFF" w:themeColor="background1"/>
                        </w:rPr>
                      </w:pPr>
                      <w:r w:rsidRPr="000279B5">
                        <w:rPr>
                          <w:color w:val="FFFFFF" w:themeColor="background1"/>
                        </w:rPr>
                        <w:t xml:space="preserve">Vypracovať a predložiť na schválenie vlády SR záväzný plán realizácie postupnej reformy a digitalizácie PPA vrátane kvantifikácie prínosov na nasledujúce 3 roky.  </w:t>
                      </w:r>
                    </w:p>
                    <w:p w14:paraId="3F37325D" w14:textId="7BDFAF5C" w:rsidR="006C0687" w:rsidRPr="000279B5" w:rsidRDefault="006C0687" w:rsidP="00131B23">
                      <w:pPr>
                        <w:pStyle w:val="Odsekzoznamu"/>
                        <w:numPr>
                          <w:ilvl w:val="0"/>
                          <w:numId w:val="19"/>
                        </w:numPr>
                        <w:spacing w:after="0"/>
                        <w:ind w:left="709" w:hanging="283"/>
                        <w:textDirection w:val="btLr"/>
                        <w:rPr>
                          <w:color w:val="FFFFFF" w:themeColor="background1"/>
                        </w:rPr>
                      </w:pPr>
                      <w:r w:rsidRPr="000279B5">
                        <w:rPr>
                          <w:color w:val="FFFFFF" w:themeColor="background1"/>
                        </w:rPr>
                        <w:t>V súlade so schváleným plánom pokračovať v predkladaní menších dopytových výziev alebo národných projektov na zavedenie IS na ÚPVII a v prípade prekročenia limitu ich predložiť na posúdenie Útvaru hodnoty za peniaze (ÚHP)</w:t>
                      </w:r>
                      <w:r>
                        <w:rPr>
                          <w:color w:val="FFFFFF" w:themeColor="background1"/>
                        </w:rPr>
                        <w:t xml:space="preserve"> MF SR</w:t>
                      </w:r>
                      <w:r w:rsidRPr="000279B5">
                        <w:rPr>
                          <w:color w:val="FFFFFF" w:themeColor="background1"/>
                        </w:rPr>
                        <w:t>.</w:t>
                      </w:r>
                    </w:p>
                    <w:p w14:paraId="4393DFB2" w14:textId="77777777" w:rsidR="006C0687" w:rsidRPr="000279B5" w:rsidRDefault="006C0687" w:rsidP="00287DFE">
                      <w:pPr>
                        <w:spacing w:after="0"/>
                        <w:textDirection w:val="btLr"/>
                      </w:pPr>
                    </w:p>
                    <w:p w14:paraId="1AF97533" w14:textId="77777777" w:rsidR="006C0687" w:rsidRPr="000279B5" w:rsidRDefault="006C0687">
                      <w:pPr>
                        <w:spacing w:after="0"/>
                        <w:ind w:left="720"/>
                        <w:textDirection w:val="btLr"/>
                      </w:pPr>
                    </w:p>
                  </w:txbxContent>
                </v:textbox>
                <w10:wrap type="square"/>
              </v:rect>
            </w:pict>
          </mc:Fallback>
        </mc:AlternateContent>
      </w:r>
      <w:r w:rsidRPr="00666914">
        <w:rPr>
          <w:b/>
        </w:rPr>
        <w:t xml:space="preserve">Finančné nástroje s potenciálom zefektívniť spôsob využívania limitovaných finančných prostriedkov v rezorte </w:t>
      </w:r>
      <w:sdt>
        <w:sdtPr>
          <w:tag w:val="goog_rdk_7"/>
          <w:id w:val="190805538"/>
        </w:sdtPr>
        <w:sdtEndPr/>
        <w:sdtContent/>
      </w:sdt>
      <w:sdt>
        <w:sdtPr>
          <w:tag w:val="goog_rdk_8"/>
          <w:id w:val="1407882101"/>
        </w:sdtPr>
        <w:sdtEndPr/>
        <w:sdtContent/>
      </w:sdt>
      <w:r w:rsidRPr="00666914">
        <w:rPr>
          <w:b/>
        </w:rPr>
        <w:t xml:space="preserve">pôdohospodárstva neboli počas 4Q2019 zavedené. </w:t>
      </w:r>
      <w:r w:rsidRPr="00666914">
        <w:t>Napriek vyčleneniu 10 mil. eur v roku 2019</w:t>
      </w:r>
      <w:r w:rsidRPr="00666914">
        <w:rPr>
          <w:b/>
        </w:rPr>
        <w:t xml:space="preserve"> </w:t>
      </w:r>
      <w:sdt>
        <w:sdtPr>
          <w:tag w:val="goog_rdk_9"/>
          <w:id w:val="-1281023531"/>
        </w:sdtPr>
        <w:sdtEndPr/>
        <w:sdtContent/>
      </w:sdt>
      <w:sdt>
        <w:sdtPr>
          <w:tag w:val="goog_rdk_10"/>
          <w:id w:val="1000621704"/>
        </w:sdtPr>
        <w:sdtEndPr/>
        <w:sdtContent/>
      </w:sdt>
      <w:r w:rsidRPr="00666914">
        <w:t xml:space="preserve">v rámci Programu rozvoja vidieka (PRV) 2014 – 2020 </w:t>
      </w:r>
      <w:sdt>
        <w:sdtPr>
          <w:tag w:val="goog_rdk_11"/>
          <w:id w:val="1360399291"/>
        </w:sdtPr>
        <w:sdtEndPr/>
        <w:sdtContent/>
      </w:sdt>
      <w:sdt>
        <w:sdtPr>
          <w:tag w:val="goog_rdk_12"/>
          <w:id w:val="1462153349"/>
        </w:sdtPr>
        <w:sdtEndPr/>
        <w:sdtContent/>
      </w:sdt>
      <w:r w:rsidRPr="00666914">
        <w:t xml:space="preserve">nebola splnená úroveň </w:t>
      </w:r>
      <w:sdt>
        <w:sdtPr>
          <w:tag w:val="goog_rdk_13"/>
          <w:id w:val="944427430"/>
        </w:sdtPr>
        <w:sdtEndPr/>
        <w:sdtContent/>
      </w:sdt>
      <w:sdt>
        <w:sdtPr>
          <w:tag w:val="goog_rdk_14"/>
          <w:id w:val="1119799696"/>
        </w:sdtPr>
        <w:sdtEndPr/>
        <w:sdtContent/>
      </w:sdt>
      <w:r w:rsidRPr="00666914">
        <w:t>1,86 %</w:t>
      </w:r>
      <w:r w:rsidR="00332167" w:rsidRPr="00666914">
        <w:t xml:space="preserve"> </w:t>
      </w:r>
      <w:r w:rsidRPr="00666914">
        <w:t>prostriedkov PRV. Štúdia uskutočniteľnosti s cieľom identifikovania oblastí na využitie finančných nástrojov nebola v roku 2019 zverejnená. Sfinalizovaná bola len zo strany Európskej investičnej banky. Následne MPRV SR iniciovalo spoluprácu s Európskym investičným fondom, ktorý má vykonať ďalšie kroky. Momentálne za niektorými krajinami EÚ zaostávame, keďže už 6 členských štátov (Estónsko, Francúzsko, Nemecko, Rumunsko, Španielsko a Taliansko)</w:t>
      </w:r>
      <w:r w:rsidRPr="00666914">
        <w:rPr>
          <w:vertAlign w:val="superscript"/>
        </w:rPr>
        <w:footnoteReference w:id="418"/>
      </w:r>
      <w:r w:rsidRPr="00666914">
        <w:t xml:space="preserve"> v PRV 2014-2020 finančné nástroje využíva.</w:t>
      </w:r>
      <w:r w:rsidRPr="00666914">
        <w:rPr>
          <w:b/>
        </w:rPr>
        <w:t xml:space="preserve"> </w:t>
      </w:r>
    </w:p>
    <w:p w14:paraId="4C4747D2" w14:textId="77777777" w:rsidR="00AA6557" w:rsidRPr="00666914" w:rsidRDefault="00AA6557">
      <w:pPr>
        <w:rPr>
          <w:b/>
        </w:rPr>
      </w:pPr>
    </w:p>
    <w:p w14:paraId="659B1363" w14:textId="77777777" w:rsidR="00AA6557" w:rsidRPr="00666914" w:rsidRDefault="00AA6557">
      <w:pPr>
        <w:rPr>
          <w:b/>
        </w:rPr>
      </w:pPr>
    </w:p>
    <w:p w14:paraId="09439D7A" w14:textId="77777777" w:rsidR="00AA6557" w:rsidRPr="00666914" w:rsidRDefault="00AA6557">
      <w:pPr>
        <w:rPr>
          <w:b/>
        </w:rPr>
      </w:pPr>
    </w:p>
    <w:p w14:paraId="01FD0300" w14:textId="77777777" w:rsidR="00AA6557" w:rsidRPr="00666914" w:rsidRDefault="00AA6557">
      <w:pPr>
        <w:rPr>
          <w:b/>
        </w:rPr>
      </w:pPr>
    </w:p>
    <w:p w14:paraId="6268DAE2" w14:textId="77777777" w:rsidR="00AA6557" w:rsidRPr="00666914" w:rsidRDefault="00AA6557"/>
    <w:p w14:paraId="6BA1FFAB" w14:textId="77777777" w:rsidR="00AA6557" w:rsidRPr="00666914" w:rsidRDefault="00AA6557"/>
    <w:p w14:paraId="40DA45B9" w14:textId="77777777" w:rsidR="00AA6557" w:rsidRPr="00666914" w:rsidRDefault="00AA6557"/>
    <w:p w14:paraId="10B194C4" w14:textId="77777777" w:rsidR="00AA6557" w:rsidRPr="00666914" w:rsidRDefault="00AA6557"/>
    <w:p w14:paraId="07A4CC6B" w14:textId="77777777" w:rsidR="00AA6557" w:rsidRPr="00666914" w:rsidRDefault="00AA6557"/>
    <w:p w14:paraId="5842D499" w14:textId="77777777" w:rsidR="00AA6557" w:rsidRPr="00666914" w:rsidRDefault="00AA6557"/>
    <w:p w14:paraId="16E2E679" w14:textId="77777777" w:rsidR="00AA6557" w:rsidRPr="00666914" w:rsidRDefault="00AA6557"/>
    <w:p w14:paraId="2BA48A14" w14:textId="46478E7C" w:rsidR="00AA6557" w:rsidRPr="00666914" w:rsidRDefault="00AA6557" w:rsidP="001033EE">
      <w:pPr>
        <w:spacing w:after="0"/>
        <w:jc w:val="left"/>
        <w:rPr>
          <w:b/>
        </w:rPr>
      </w:pPr>
      <w:bookmarkStart w:id="407" w:name="_Toc38447753"/>
      <w:r w:rsidRPr="00666914">
        <w:rPr>
          <w:b/>
          <w:sz w:val="20"/>
        </w:rPr>
        <w:lastRenderedPageBreak/>
        <w:t>Tabuľka</w:t>
      </w:r>
      <w:r w:rsidR="006515CD" w:rsidRPr="00666914">
        <w:rPr>
          <w:b/>
          <w:sz w:val="20"/>
        </w:rPr>
        <w:t xml:space="preserve"> </w:t>
      </w:r>
      <w:r w:rsidR="006515CD" w:rsidRPr="00666914">
        <w:rPr>
          <w:b/>
          <w:sz w:val="20"/>
        </w:rPr>
        <w:fldChar w:fldCharType="begin"/>
      </w:r>
      <w:r w:rsidR="006515CD" w:rsidRPr="00666914">
        <w:rPr>
          <w:b/>
          <w:sz w:val="20"/>
        </w:rPr>
        <w:instrText xml:space="preserve"> SEQ Tabuľka \* ARABIC \* MERGEFORMAT </w:instrText>
      </w:r>
      <w:r w:rsidR="006515CD" w:rsidRPr="00666914">
        <w:rPr>
          <w:b/>
          <w:sz w:val="20"/>
        </w:rPr>
        <w:fldChar w:fldCharType="separate"/>
      </w:r>
      <w:r w:rsidR="005A7304">
        <w:rPr>
          <w:b/>
          <w:noProof/>
          <w:sz w:val="20"/>
        </w:rPr>
        <w:t>92</w:t>
      </w:r>
      <w:r w:rsidR="006515CD" w:rsidRPr="00666914">
        <w:rPr>
          <w:b/>
          <w:sz w:val="20"/>
        </w:rPr>
        <w:fldChar w:fldCharType="end"/>
      </w:r>
      <w:r w:rsidRPr="00666914">
        <w:rPr>
          <w:b/>
          <w:sz w:val="20"/>
        </w:rPr>
        <w:t>: Plnenie opatrení Revízie výdavkov na pôdohospodárst</w:t>
      </w:r>
      <w:r w:rsidR="006515CD" w:rsidRPr="00666914">
        <w:rPr>
          <w:b/>
          <w:sz w:val="20"/>
        </w:rPr>
        <w:t>vo a rozvoj vidieka v roku 2019</w:t>
      </w:r>
      <w:r w:rsidRPr="00666914">
        <w:rPr>
          <w:b/>
          <w:sz w:val="20"/>
          <w:vertAlign w:val="superscript"/>
        </w:rPr>
        <w:footnoteReference w:id="419"/>
      </w:r>
      <w:bookmarkEnd w:id="407"/>
    </w:p>
    <w:tbl>
      <w:tblPr>
        <w:tblW w:w="1006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1984"/>
        <w:gridCol w:w="2126"/>
        <w:gridCol w:w="1418"/>
        <w:gridCol w:w="992"/>
        <w:gridCol w:w="709"/>
        <w:gridCol w:w="709"/>
        <w:gridCol w:w="708"/>
        <w:gridCol w:w="710"/>
      </w:tblGrid>
      <w:tr w:rsidR="00AA6557" w:rsidRPr="00666914" w14:paraId="7FB29A75" w14:textId="77777777" w:rsidTr="00957660">
        <w:trPr>
          <w:trHeight w:val="330"/>
          <w:tblHeader/>
        </w:trPr>
        <w:tc>
          <w:tcPr>
            <w:tcW w:w="710" w:type="dxa"/>
            <w:shd w:val="clear" w:color="auto" w:fill="auto"/>
            <w:vAlign w:val="center"/>
          </w:tcPr>
          <w:p w14:paraId="6251F136" w14:textId="77777777" w:rsidR="00AA6557" w:rsidRPr="00666914" w:rsidRDefault="00AA6557">
            <w:pPr>
              <w:spacing w:after="0"/>
              <w:jc w:val="left"/>
              <w:rPr>
                <w:color w:val="000000"/>
                <w:sz w:val="20"/>
                <w:szCs w:val="20"/>
              </w:rPr>
            </w:pPr>
            <w:r w:rsidRPr="00666914">
              <w:rPr>
                <w:color w:val="000000"/>
                <w:sz w:val="20"/>
                <w:szCs w:val="20"/>
              </w:rPr>
              <w:t> </w:t>
            </w:r>
          </w:p>
        </w:tc>
        <w:tc>
          <w:tcPr>
            <w:tcW w:w="1984" w:type="dxa"/>
            <w:shd w:val="clear" w:color="auto" w:fill="auto"/>
            <w:vAlign w:val="center"/>
          </w:tcPr>
          <w:p w14:paraId="7C9F9D8C" w14:textId="77777777" w:rsidR="00AA6557" w:rsidRPr="00666914" w:rsidRDefault="00AA6557">
            <w:pPr>
              <w:spacing w:after="0"/>
              <w:jc w:val="left"/>
              <w:rPr>
                <w:b/>
                <w:color w:val="000000"/>
                <w:sz w:val="20"/>
                <w:szCs w:val="20"/>
              </w:rPr>
            </w:pPr>
            <w:r w:rsidRPr="00666914">
              <w:rPr>
                <w:b/>
                <w:color w:val="000000"/>
                <w:sz w:val="20"/>
                <w:szCs w:val="20"/>
              </w:rPr>
              <w:t>Pôdohospodárstvo a rozvoj vidieka</w:t>
            </w:r>
          </w:p>
        </w:tc>
        <w:tc>
          <w:tcPr>
            <w:tcW w:w="2126" w:type="dxa"/>
            <w:vAlign w:val="center"/>
          </w:tcPr>
          <w:p w14:paraId="126C0A82" w14:textId="77777777" w:rsidR="00AA6557" w:rsidRPr="00666914" w:rsidRDefault="00AA6557">
            <w:pPr>
              <w:spacing w:after="0"/>
              <w:jc w:val="center"/>
              <w:rPr>
                <w:b/>
                <w:color w:val="000000"/>
                <w:sz w:val="20"/>
                <w:szCs w:val="20"/>
              </w:rPr>
            </w:pPr>
            <w:r w:rsidRPr="00666914">
              <w:rPr>
                <w:b/>
                <w:color w:val="000000"/>
                <w:sz w:val="20"/>
                <w:szCs w:val="20"/>
              </w:rPr>
              <w:t>Podopatrenie</w:t>
            </w:r>
          </w:p>
        </w:tc>
        <w:tc>
          <w:tcPr>
            <w:tcW w:w="1418" w:type="dxa"/>
            <w:shd w:val="clear" w:color="auto" w:fill="auto"/>
            <w:vAlign w:val="center"/>
          </w:tcPr>
          <w:p w14:paraId="55DBE070" w14:textId="77777777" w:rsidR="00AA6557" w:rsidRPr="00666914" w:rsidRDefault="00AA6557">
            <w:pPr>
              <w:spacing w:after="0"/>
              <w:jc w:val="center"/>
              <w:rPr>
                <w:b/>
                <w:color w:val="000000"/>
                <w:sz w:val="20"/>
                <w:szCs w:val="20"/>
              </w:rPr>
            </w:pPr>
            <w:r w:rsidRPr="00666914">
              <w:rPr>
                <w:b/>
                <w:color w:val="000000"/>
                <w:sz w:val="20"/>
                <w:szCs w:val="20"/>
              </w:rPr>
              <w:t>Zodpovednosť</w:t>
            </w:r>
          </w:p>
        </w:tc>
        <w:tc>
          <w:tcPr>
            <w:tcW w:w="992" w:type="dxa"/>
            <w:shd w:val="clear" w:color="auto" w:fill="auto"/>
            <w:vAlign w:val="center"/>
          </w:tcPr>
          <w:p w14:paraId="6F3DFFE7" w14:textId="77777777" w:rsidR="00AA6557" w:rsidRPr="00666914" w:rsidRDefault="00AA6557">
            <w:pPr>
              <w:spacing w:after="0"/>
              <w:jc w:val="center"/>
              <w:rPr>
                <w:b/>
                <w:color w:val="000000"/>
                <w:sz w:val="20"/>
                <w:szCs w:val="20"/>
              </w:rPr>
            </w:pPr>
            <w:r w:rsidRPr="00666914">
              <w:rPr>
                <w:b/>
                <w:color w:val="000000"/>
                <w:sz w:val="20"/>
                <w:szCs w:val="20"/>
              </w:rPr>
              <w:t>Termín plnenia</w:t>
            </w:r>
          </w:p>
        </w:tc>
        <w:tc>
          <w:tcPr>
            <w:tcW w:w="709" w:type="dxa"/>
            <w:shd w:val="clear" w:color="auto" w:fill="auto"/>
            <w:vAlign w:val="center"/>
          </w:tcPr>
          <w:p w14:paraId="388F2B3E" w14:textId="77777777" w:rsidR="00AA6557" w:rsidRPr="00666914" w:rsidRDefault="00AA6557">
            <w:pPr>
              <w:spacing w:after="0"/>
              <w:jc w:val="center"/>
              <w:rPr>
                <w:b/>
                <w:color w:val="000000"/>
                <w:sz w:val="20"/>
                <w:szCs w:val="20"/>
              </w:rPr>
            </w:pPr>
            <w:r w:rsidRPr="00666914">
              <w:rPr>
                <w:b/>
                <w:color w:val="000000"/>
                <w:sz w:val="20"/>
                <w:szCs w:val="20"/>
              </w:rPr>
              <w:t>1Q 2019</w:t>
            </w:r>
          </w:p>
        </w:tc>
        <w:tc>
          <w:tcPr>
            <w:tcW w:w="709" w:type="dxa"/>
            <w:shd w:val="clear" w:color="auto" w:fill="auto"/>
            <w:vAlign w:val="center"/>
          </w:tcPr>
          <w:p w14:paraId="677AB9C5" w14:textId="77777777" w:rsidR="00AA6557" w:rsidRPr="00666914" w:rsidRDefault="00AA6557">
            <w:pPr>
              <w:spacing w:after="0"/>
              <w:jc w:val="center"/>
              <w:rPr>
                <w:b/>
                <w:color w:val="000000"/>
                <w:sz w:val="20"/>
                <w:szCs w:val="20"/>
              </w:rPr>
            </w:pPr>
            <w:r w:rsidRPr="00666914">
              <w:rPr>
                <w:b/>
                <w:color w:val="000000"/>
                <w:sz w:val="20"/>
                <w:szCs w:val="20"/>
              </w:rPr>
              <w:t>2Q 2019</w:t>
            </w:r>
          </w:p>
        </w:tc>
        <w:tc>
          <w:tcPr>
            <w:tcW w:w="708" w:type="dxa"/>
            <w:shd w:val="clear" w:color="auto" w:fill="auto"/>
            <w:vAlign w:val="center"/>
          </w:tcPr>
          <w:p w14:paraId="6A35A902" w14:textId="77777777" w:rsidR="00AA6557" w:rsidRPr="00666914" w:rsidRDefault="00AA6557">
            <w:pPr>
              <w:spacing w:after="0"/>
              <w:jc w:val="center"/>
              <w:rPr>
                <w:b/>
                <w:color w:val="000000"/>
                <w:sz w:val="20"/>
                <w:szCs w:val="20"/>
              </w:rPr>
            </w:pPr>
            <w:r w:rsidRPr="00666914">
              <w:rPr>
                <w:b/>
                <w:color w:val="000000"/>
                <w:sz w:val="20"/>
                <w:szCs w:val="20"/>
              </w:rPr>
              <w:t>3Q 2019</w:t>
            </w:r>
          </w:p>
        </w:tc>
        <w:tc>
          <w:tcPr>
            <w:tcW w:w="710" w:type="dxa"/>
            <w:shd w:val="clear" w:color="auto" w:fill="auto"/>
            <w:vAlign w:val="center"/>
          </w:tcPr>
          <w:p w14:paraId="27A1A7E4" w14:textId="77777777" w:rsidR="00AA6557" w:rsidRPr="00666914" w:rsidRDefault="00AA6557">
            <w:pPr>
              <w:spacing w:after="0"/>
              <w:jc w:val="center"/>
              <w:rPr>
                <w:b/>
                <w:color w:val="000000"/>
                <w:sz w:val="20"/>
                <w:szCs w:val="20"/>
              </w:rPr>
            </w:pPr>
            <w:r w:rsidRPr="00666914">
              <w:rPr>
                <w:b/>
                <w:color w:val="000000"/>
                <w:sz w:val="20"/>
                <w:szCs w:val="20"/>
              </w:rPr>
              <w:t>4Q 2019</w:t>
            </w:r>
          </w:p>
        </w:tc>
      </w:tr>
      <w:tr w:rsidR="00AA6557" w:rsidRPr="00666914" w14:paraId="1DCD4222" w14:textId="77777777" w:rsidTr="006515CD">
        <w:trPr>
          <w:trHeight w:val="300"/>
        </w:trPr>
        <w:tc>
          <w:tcPr>
            <w:tcW w:w="710" w:type="dxa"/>
            <w:shd w:val="clear" w:color="auto" w:fill="auto"/>
            <w:vAlign w:val="center"/>
          </w:tcPr>
          <w:p w14:paraId="01DC8965" w14:textId="77777777" w:rsidR="00AA6557" w:rsidRPr="00666914" w:rsidRDefault="00AA6557">
            <w:pPr>
              <w:spacing w:after="0"/>
              <w:jc w:val="left"/>
              <w:rPr>
                <w:color w:val="000000"/>
                <w:sz w:val="20"/>
                <w:szCs w:val="20"/>
              </w:rPr>
            </w:pPr>
            <w:r w:rsidRPr="00666914">
              <w:rPr>
                <w:color w:val="000000"/>
                <w:sz w:val="18"/>
                <w:szCs w:val="18"/>
              </w:rPr>
              <w:t>1</w:t>
            </w:r>
          </w:p>
        </w:tc>
        <w:tc>
          <w:tcPr>
            <w:tcW w:w="1984" w:type="dxa"/>
            <w:shd w:val="clear" w:color="auto" w:fill="auto"/>
            <w:vAlign w:val="center"/>
          </w:tcPr>
          <w:p w14:paraId="048FAA28" w14:textId="77777777" w:rsidR="00AA6557" w:rsidRPr="00666914" w:rsidRDefault="00AA6557">
            <w:pPr>
              <w:spacing w:after="0"/>
              <w:jc w:val="left"/>
              <w:rPr>
                <w:color w:val="000000"/>
                <w:sz w:val="20"/>
                <w:szCs w:val="20"/>
              </w:rPr>
            </w:pPr>
            <w:r w:rsidRPr="00666914">
              <w:rPr>
                <w:color w:val="000000"/>
                <w:sz w:val="18"/>
                <w:szCs w:val="18"/>
              </w:rPr>
              <w:t>Optimalizácia zdrojov na podporu pôdohospodárstva a rozvoja vidieka</w:t>
            </w:r>
          </w:p>
        </w:tc>
        <w:tc>
          <w:tcPr>
            <w:tcW w:w="2126" w:type="dxa"/>
            <w:shd w:val="clear" w:color="auto" w:fill="auto"/>
            <w:vAlign w:val="center"/>
          </w:tcPr>
          <w:p w14:paraId="167F786F" w14:textId="77777777" w:rsidR="00AA6557" w:rsidRPr="00666914" w:rsidRDefault="00AA6557">
            <w:pPr>
              <w:spacing w:after="0"/>
              <w:jc w:val="left"/>
              <w:rPr>
                <w:color w:val="000000"/>
                <w:sz w:val="20"/>
                <w:szCs w:val="20"/>
              </w:rPr>
            </w:pPr>
            <w:r w:rsidRPr="00666914">
              <w:rPr>
                <w:color w:val="000000"/>
                <w:sz w:val="18"/>
                <w:szCs w:val="18"/>
              </w:rPr>
              <w:t>Optimalizácia zdrojov na podporu pôdohospodárstva a rozvoja vidieka</w:t>
            </w:r>
          </w:p>
        </w:tc>
        <w:tc>
          <w:tcPr>
            <w:tcW w:w="1418" w:type="dxa"/>
            <w:shd w:val="clear" w:color="auto" w:fill="auto"/>
            <w:vAlign w:val="center"/>
          </w:tcPr>
          <w:p w14:paraId="333BF1C3" w14:textId="77777777" w:rsidR="00AA6557" w:rsidRPr="00666914" w:rsidRDefault="00AA6557">
            <w:pPr>
              <w:spacing w:after="0"/>
              <w:jc w:val="center"/>
              <w:rPr>
                <w:color w:val="000000"/>
                <w:sz w:val="20"/>
                <w:szCs w:val="20"/>
              </w:rPr>
            </w:pPr>
            <w:r w:rsidRPr="00666914">
              <w:rPr>
                <w:color w:val="000000"/>
                <w:sz w:val="18"/>
                <w:szCs w:val="18"/>
              </w:rPr>
              <w:t>MPRV, Sekcia rozvoja vidieka a priamych platieb</w:t>
            </w:r>
          </w:p>
        </w:tc>
        <w:tc>
          <w:tcPr>
            <w:tcW w:w="992" w:type="dxa"/>
            <w:shd w:val="clear" w:color="auto" w:fill="auto"/>
            <w:vAlign w:val="center"/>
          </w:tcPr>
          <w:p w14:paraId="1DB6A051" w14:textId="77777777" w:rsidR="00AA6557" w:rsidRPr="00666914" w:rsidRDefault="00AA6557">
            <w:pPr>
              <w:spacing w:after="0"/>
              <w:jc w:val="center"/>
              <w:rPr>
                <w:color w:val="000000"/>
                <w:sz w:val="20"/>
                <w:szCs w:val="20"/>
              </w:rPr>
            </w:pPr>
            <w:r w:rsidRPr="00666914">
              <w:rPr>
                <w:color w:val="000000"/>
                <w:sz w:val="18"/>
                <w:szCs w:val="18"/>
              </w:rPr>
              <w:t>1.1.2021</w:t>
            </w:r>
          </w:p>
        </w:tc>
        <w:tc>
          <w:tcPr>
            <w:tcW w:w="709" w:type="dxa"/>
            <w:shd w:val="clear" w:color="auto" w:fill="A6A6A6"/>
            <w:vAlign w:val="bottom"/>
          </w:tcPr>
          <w:p w14:paraId="023116CA" w14:textId="77777777" w:rsidR="00AA6557" w:rsidRPr="00666914" w:rsidRDefault="00AA6557">
            <w:pPr>
              <w:spacing w:after="0"/>
              <w:rPr>
                <w:color w:val="000000"/>
                <w:sz w:val="20"/>
                <w:szCs w:val="20"/>
              </w:rPr>
            </w:pPr>
          </w:p>
        </w:tc>
        <w:tc>
          <w:tcPr>
            <w:tcW w:w="709" w:type="dxa"/>
            <w:shd w:val="clear" w:color="auto" w:fill="A6A6A6"/>
            <w:vAlign w:val="bottom"/>
          </w:tcPr>
          <w:p w14:paraId="3043E690" w14:textId="77777777" w:rsidR="00AA6557" w:rsidRPr="00666914" w:rsidRDefault="00AA6557">
            <w:pPr>
              <w:spacing w:after="0"/>
              <w:rPr>
                <w:color w:val="000000"/>
                <w:sz w:val="20"/>
                <w:szCs w:val="20"/>
              </w:rPr>
            </w:pPr>
          </w:p>
        </w:tc>
        <w:tc>
          <w:tcPr>
            <w:tcW w:w="708" w:type="dxa"/>
            <w:shd w:val="clear" w:color="auto" w:fill="A6A6A6"/>
            <w:vAlign w:val="bottom"/>
          </w:tcPr>
          <w:p w14:paraId="37F0F3BA" w14:textId="77777777" w:rsidR="00AA6557" w:rsidRPr="00666914" w:rsidRDefault="00AA6557">
            <w:pPr>
              <w:spacing w:after="0"/>
              <w:rPr>
                <w:color w:val="000000"/>
                <w:sz w:val="20"/>
                <w:szCs w:val="20"/>
              </w:rPr>
            </w:pPr>
          </w:p>
        </w:tc>
        <w:tc>
          <w:tcPr>
            <w:tcW w:w="710" w:type="dxa"/>
            <w:shd w:val="clear" w:color="auto" w:fill="A6A6A6"/>
            <w:vAlign w:val="bottom"/>
          </w:tcPr>
          <w:p w14:paraId="31C2EB65" w14:textId="77777777" w:rsidR="00AA6557" w:rsidRPr="00666914" w:rsidRDefault="00AA6557">
            <w:pPr>
              <w:spacing w:after="0"/>
              <w:jc w:val="center"/>
              <w:rPr>
                <w:color w:val="000000"/>
                <w:sz w:val="20"/>
                <w:szCs w:val="20"/>
              </w:rPr>
            </w:pPr>
          </w:p>
        </w:tc>
      </w:tr>
      <w:tr w:rsidR="00AA6557" w:rsidRPr="00666914" w14:paraId="2B81109D" w14:textId="77777777" w:rsidTr="006515CD">
        <w:trPr>
          <w:trHeight w:val="315"/>
        </w:trPr>
        <w:tc>
          <w:tcPr>
            <w:tcW w:w="710" w:type="dxa"/>
            <w:shd w:val="clear" w:color="auto" w:fill="auto"/>
            <w:vAlign w:val="center"/>
          </w:tcPr>
          <w:p w14:paraId="666ECDEB" w14:textId="77777777" w:rsidR="00AA6557" w:rsidRPr="00666914" w:rsidRDefault="00AA6557">
            <w:pPr>
              <w:spacing w:after="0"/>
              <w:jc w:val="left"/>
              <w:rPr>
                <w:color w:val="000000"/>
                <w:sz w:val="20"/>
                <w:szCs w:val="20"/>
              </w:rPr>
            </w:pPr>
            <w:r w:rsidRPr="00666914">
              <w:rPr>
                <w:color w:val="000000"/>
                <w:sz w:val="18"/>
                <w:szCs w:val="18"/>
              </w:rPr>
              <w:t>2.1</w:t>
            </w:r>
          </w:p>
        </w:tc>
        <w:tc>
          <w:tcPr>
            <w:tcW w:w="1984" w:type="dxa"/>
            <w:shd w:val="clear" w:color="auto" w:fill="auto"/>
            <w:vAlign w:val="center"/>
          </w:tcPr>
          <w:p w14:paraId="43DE99B8" w14:textId="77777777" w:rsidR="00AA6557" w:rsidRPr="00666914" w:rsidRDefault="00AA6557">
            <w:pPr>
              <w:spacing w:after="0"/>
              <w:jc w:val="left"/>
              <w:rPr>
                <w:color w:val="000000"/>
                <w:sz w:val="20"/>
                <w:szCs w:val="20"/>
              </w:rPr>
            </w:pPr>
            <w:r w:rsidRPr="00666914">
              <w:rPr>
                <w:color w:val="000000"/>
                <w:sz w:val="18"/>
                <w:szCs w:val="18"/>
              </w:rPr>
              <w:t>Optimalizácia nastavenia priamych platieb</w:t>
            </w:r>
          </w:p>
        </w:tc>
        <w:tc>
          <w:tcPr>
            <w:tcW w:w="2126" w:type="dxa"/>
            <w:shd w:val="clear" w:color="auto" w:fill="auto"/>
            <w:vAlign w:val="center"/>
          </w:tcPr>
          <w:p w14:paraId="4DBC1085" w14:textId="77777777" w:rsidR="00AA6557" w:rsidRPr="00666914" w:rsidRDefault="00AA6557">
            <w:pPr>
              <w:spacing w:after="0"/>
              <w:jc w:val="left"/>
              <w:rPr>
                <w:color w:val="000000"/>
                <w:sz w:val="20"/>
                <w:szCs w:val="20"/>
              </w:rPr>
            </w:pPr>
            <w:r w:rsidRPr="00666914">
              <w:rPr>
                <w:color w:val="000000"/>
                <w:sz w:val="18"/>
                <w:szCs w:val="18"/>
              </w:rPr>
              <w:t>Aplikovať stropovanie priamych platieb podľa návrhu EK z 1.6. 2018 s odpočítaním pracovných nákladov</w:t>
            </w:r>
          </w:p>
        </w:tc>
        <w:tc>
          <w:tcPr>
            <w:tcW w:w="1418" w:type="dxa"/>
            <w:vAlign w:val="center"/>
          </w:tcPr>
          <w:p w14:paraId="42D28EA4" w14:textId="77777777" w:rsidR="00AA6557" w:rsidRPr="00666914" w:rsidRDefault="00AA6557">
            <w:pPr>
              <w:spacing w:after="0"/>
              <w:jc w:val="center"/>
              <w:rPr>
                <w:color w:val="000000"/>
                <w:sz w:val="20"/>
                <w:szCs w:val="20"/>
              </w:rPr>
            </w:pPr>
            <w:r w:rsidRPr="00666914">
              <w:rPr>
                <w:color w:val="000000"/>
                <w:sz w:val="18"/>
                <w:szCs w:val="18"/>
              </w:rPr>
              <w:t xml:space="preserve">MPRV, Sekcia rozvoja vidieka a priamych platieb, PPA </w:t>
            </w:r>
          </w:p>
        </w:tc>
        <w:tc>
          <w:tcPr>
            <w:tcW w:w="992" w:type="dxa"/>
            <w:vAlign w:val="center"/>
          </w:tcPr>
          <w:p w14:paraId="22B6F8A1" w14:textId="77777777" w:rsidR="00AA6557" w:rsidRPr="00666914" w:rsidRDefault="00AA6557">
            <w:pPr>
              <w:spacing w:after="0"/>
              <w:jc w:val="center"/>
              <w:rPr>
                <w:color w:val="000000"/>
                <w:sz w:val="20"/>
                <w:szCs w:val="20"/>
              </w:rPr>
            </w:pPr>
            <w:r w:rsidRPr="00666914">
              <w:rPr>
                <w:color w:val="000000"/>
                <w:sz w:val="18"/>
                <w:szCs w:val="18"/>
              </w:rPr>
              <w:t>1.1.2021</w:t>
            </w:r>
          </w:p>
        </w:tc>
        <w:tc>
          <w:tcPr>
            <w:tcW w:w="709" w:type="dxa"/>
            <w:shd w:val="clear" w:color="auto" w:fill="A6A6A6"/>
            <w:vAlign w:val="bottom"/>
          </w:tcPr>
          <w:p w14:paraId="606D042A" w14:textId="77777777" w:rsidR="00AA6557" w:rsidRPr="00666914" w:rsidRDefault="00AA6557">
            <w:pPr>
              <w:spacing w:after="0"/>
              <w:rPr>
                <w:color w:val="000000"/>
                <w:sz w:val="20"/>
                <w:szCs w:val="20"/>
              </w:rPr>
            </w:pPr>
          </w:p>
        </w:tc>
        <w:tc>
          <w:tcPr>
            <w:tcW w:w="709" w:type="dxa"/>
            <w:shd w:val="clear" w:color="auto" w:fill="A6A6A6"/>
            <w:vAlign w:val="bottom"/>
          </w:tcPr>
          <w:p w14:paraId="5145AAA1" w14:textId="77777777" w:rsidR="00AA6557" w:rsidRPr="00666914" w:rsidRDefault="00AA6557">
            <w:pPr>
              <w:spacing w:after="0"/>
              <w:rPr>
                <w:color w:val="000000"/>
                <w:sz w:val="20"/>
                <w:szCs w:val="20"/>
              </w:rPr>
            </w:pPr>
          </w:p>
        </w:tc>
        <w:tc>
          <w:tcPr>
            <w:tcW w:w="708" w:type="dxa"/>
            <w:shd w:val="clear" w:color="auto" w:fill="A6A6A6"/>
            <w:vAlign w:val="bottom"/>
          </w:tcPr>
          <w:p w14:paraId="78AFC77D" w14:textId="77777777" w:rsidR="00AA6557" w:rsidRPr="00666914" w:rsidRDefault="00AA6557">
            <w:pPr>
              <w:spacing w:after="0"/>
              <w:rPr>
                <w:color w:val="000000"/>
                <w:sz w:val="20"/>
                <w:szCs w:val="20"/>
              </w:rPr>
            </w:pPr>
          </w:p>
        </w:tc>
        <w:tc>
          <w:tcPr>
            <w:tcW w:w="710" w:type="dxa"/>
            <w:shd w:val="clear" w:color="auto" w:fill="A6A6A6"/>
            <w:vAlign w:val="bottom"/>
          </w:tcPr>
          <w:p w14:paraId="0A8500EC" w14:textId="77777777" w:rsidR="00AA6557" w:rsidRPr="00666914" w:rsidRDefault="00AA6557">
            <w:pPr>
              <w:spacing w:after="0"/>
              <w:jc w:val="center"/>
              <w:rPr>
                <w:color w:val="000000"/>
                <w:sz w:val="20"/>
                <w:szCs w:val="20"/>
              </w:rPr>
            </w:pPr>
          </w:p>
        </w:tc>
      </w:tr>
      <w:tr w:rsidR="00AA6557" w:rsidRPr="00666914" w14:paraId="505ED416" w14:textId="77777777" w:rsidTr="006515CD">
        <w:trPr>
          <w:trHeight w:val="300"/>
        </w:trPr>
        <w:tc>
          <w:tcPr>
            <w:tcW w:w="710" w:type="dxa"/>
            <w:shd w:val="clear" w:color="auto" w:fill="auto"/>
            <w:vAlign w:val="center"/>
          </w:tcPr>
          <w:p w14:paraId="11671754" w14:textId="77777777" w:rsidR="00AA6557" w:rsidRPr="00666914" w:rsidRDefault="00AA6557">
            <w:pPr>
              <w:spacing w:after="0"/>
              <w:jc w:val="left"/>
              <w:rPr>
                <w:color w:val="000000"/>
                <w:sz w:val="20"/>
                <w:szCs w:val="20"/>
              </w:rPr>
            </w:pPr>
            <w:r w:rsidRPr="00666914">
              <w:rPr>
                <w:color w:val="000000"/>
                <w:sz w:val="18"/>
                <w:szCs w:val="18"/>
              </w:rPr>
              <w:t>2.2</w:t>
            </w:r>
          </w:p>
        </w:tc>
        <w:tc>
          <w:tcPr>
            <w:tcW w:w="1984" w:type="dxa"/>
            <w:shd w:val="clear" w:color="auto" w:fill="auto"/>
            <w:vAlign w:val="center"/>
          </w:tcPr>
          <w:p w14:paraId="3AF69F26" w14:textId="77777777" w:rsidR="00AA6557" w:rsidRPr="00666914" w:rsidRDefault="00AA6557">
            <w:pPr>
              <w:spacing w:after="0"/>
              <w:jc w:val="left"/>
              <w:rPr>
                <w:color w:val="000000"/>
                <w:sz w:val="20"/>
                <w:szCs w:val="20"/>
              </w:rPr>
            </w:pPr>
            <w:r w:rsidRPr="00666914">
              <w:rPr>
                <w:color w:val="000000"/>
                <w:sz w:val="18"/>
                <w:szCs w:val="18"/>
              </w:rPr>
              <w:t>Optimalizácia nastavenia priamych platieb</w:t>
            </w:r>
          </w:p>
        </w:tc>
        <w:tc>
          <w:tcPr>
            <w:tcW w:w="2126" w:type="dxa"/>
            <w:shd w:val="clear" w:color="auto" w:fill="auto"/>
            <w:vAlign w:val="center"/>
          </w:tcPr>
          <w:p w14:paraId="22444009" w14:textId="77777777" w:rsidR="00AA6557" w:rsidRPr="00666914" w:rsidRDefault="00AA6557">
            <w:pPr>
              <w:spacing w:after="0"/>
              <w:jc w:val="left"/>
              <w:rPr>
                <w:color w:val="000000"/>
                <w:sz w:val="20"/>
                <w:szCs w:val="20"/>
              </w:rPr>
            </w:pPr>
            <w:r w:rsidRPr="00666914">
              <w:rPr>
                <w:color w:val="000000"/>
                <w:sz w:val="18"/>
                <w:szCs w:val="18"/>
              </w:rPr>
              <w:t>Zavedenie redistributívnej platby (RP)  na prvých 100 ha so sadzbou 30 % SAPS</w:t>
            </w:r>
          </w:p>
        </w:tc>
        <w:tc>
          <w:tcPr>
            <w:tcW w:w="1418" w:type="dxa"/>
            <w:shd w:val="clear" w:color="auto" w:fill="auto"/>
            <w:vAlign w:val="center"/>
          </w:tcPr>
          <w:p w14:paraId="2F595AD5" w14:textId="77777777" w:rsidR="00AA6557" w:rsidRPr="00666914" w:rsidRDefault="00AA6557">
            <w:pPr>
              <w:spacing w:after="0"/>
              <w:jc w:val="center"/>
              <w:rPr>
                <w:color w:val="000000"/>
                <w:sz w:val="20"/>
                <w:szCs w:val="20"/>
              </w:rPr>
            </w:pPr>
            <w:r w:rsidRPr="00666914">
              <w:rPr>
                <w:color w:val="000000"/>
                <w:sz w:val="18"/>
                <w:szCs w:val="18"/>
              </w:rPr>
              <w:t>MPRV, Sekcia rozvoja a priamych platieb, PPA</w:t>
            </w:r>
          </w:p>
        </w:tc>
        <w:tc>
          <w:tcPr>
            <w:tcW w:w="992" w:type="dxa"/>
            <w:shd w:val="clear" w:color="auto" w:fill="auto"/>
            <w:vAlign w:val="center"/>
          </w:tcPr>
          <w:p w14:paraId="11FE74C0" w14:textId="77777777" w:rsidR="00AA6557" w:rsidRPr="00666914" w:rsidRDefault="00AA6557">
            <w:pPr>
              <w:spacing w:after="0"/>
              <w:jc w:val="center"/>
              <w:rPr>
                <w:color w:val="000000"/>
                <w:sz w:val="20"/>
                <w:szCs w:val="20"/>
              </w:rPr>
            </w:pPr>
            <w:r w:rsidRPr="00666914">
              <w:rPr>
                <w:color w:val="000000"/>
                <w:sz w:val="18"/>
                <w:szCs w:val="18"/>
              </w:rPr>
              <w:t>1.1.2021</w:t>
            </w:r>
          </w:p>
        </w:tc>
        <w:tc>
          <w:tcPr>
            <w:tcW w:w="709" w:type="dxa"/>
            <w:shd w:val="clear" w:color="auto" w:fill="A6A6A6"/>
            <w:vAlign w:val="bottom"/>
          </w:tcPr>
          <w:p w14:paraId="69D19548" w14:textId="77777777" w:rsidR="00AA6557" w:rsidRPr="00666914" w:rsidRDefault="00AA6557">
            <w:pPr>
              <w:spacing w:after="0"/>
              <w:jc w:val="center"/>
              <w:rPr>
                <w:b/>
                <w:color w:val="000000"/>
                <w:sz w:val="20"/>
                <w:szCs w:val="20"/>
              </w:rPr>
            </w:pPr>
          </w:p>
        </w:tc>
        <w:tc>
          <w:tcPr>
            <w:tcW w:w="709" w:type="dxa"/>
            <w:shd w:val="clear" w:color="auto" w:fill="A6A6A6"/>
            <w:vAlign w:val="bottom"/>
          </w:tcPr>
          <w:p w14:paraId="2858D974" w14:textId="77777777" w:rsidR="00AA6557" w:rsidRPr="00666914" w:rsidRDefault="00AA6557">
            <w:pPr>
              <w:spacing w:after="0"/>
              <w:jc w:val="center"/>
              <w:rPr>
                <w:b/>
                <w:color w:val="000000"/>
                <w:sz w:val="20"/>
                <w:szCs w:val="20"/>
              </w:rPr>
            </w:pPr>
          </w:p>
        </w:tc>
        <w:tc>
          <w:tcPr>
            <w:tcW w:w="708" w:type="dxa"/>
            <w:shd w:val="clear" w:color="auto" w:fill="A6A6A6"/>
            <w:vAlign w:val="bottom"/>
          </w:tcPr>
          <w:p w14:paraId="739AF900" w14:textId="77777777" w:rsidR="00AA6557" w:rsidRPr="00666914" w:rsidRDefault="00AA6557">
            <w:pPr>
              <w:spacing w:after="0"/>
              <w:jc w:val="center"/>
              <w:rPr>
                <w:b/>
                <w:color w:val="000000"/>
                <w:sz w:val="20"/>
                <w:szCs w:val="20"/>
              </w:rPr>
            </w:pPr>
          </w:p>
        </w:tc>
        <w:tc>
          <w:tcPr>
            <w:tcW w:w="710" w:type="dxa"/>
            <w:shd w:val="clear" w:color="auto" w:fill="A6A6A6"/>
            <w:vAlign w:val="bottom"/>
          </w:tcPr>
          <w:p w14:paraId="1B4F683E" w14:textId="77777777" w:rsidR="00AA6557" w:rsidRPr="00666914" w:rsidRDefault="00AA6557">
            <w:pPr>
              <w:spacing w:after="0"/>
              <w:jc w:val="center"/>
              <w:rPr>
                <w:b/>
                <w:color w:val="000000"/>
                <w:sz w:val="20"/>
                <w:szCs w:val="20"/>
              </w:rPr>
            </w:pPr>
          </w:p>
        </w:tc>
      </w:tr>
      <w:tr w:rsidR="00AA6557" w:rsidRPr="00666914" w14:paraId="306B8CBB" w14:textId="77777777" w:rsidTr="006515CD">
        <w:trPr>
          <w:trHeight w:val="300"/>
        </w:trPr>
        <w:tc>
          <w:tcPr>
            <w:tcW w:w="710" w:type="dxa"/>
            <w:shd w:val="clear" w:color="auto" w:fill="auto"/>
            <w:vAlign w:val="center"/>
          </w:tcPr>
          <w:p w14:paraId="60FB275B" w14:textId="77777777" w:rsidR="00AA6557" w:rsidRPr="00666914" w:rsidRDefault="00AA6557">
            <w:pPr>
              <w:spacing w:after="0"/>
              <w:jc w:val="left"/>
              <w:rPr>
                <w:color w:val="000000"/>
                <w:sz w:val="20"/>
                <w:szCs w:val="20"/>
              </w:rPr>
            </w:pPr>
            <w:r w:rsidRPr="00666914">
              <w:rPr>
                <w:color w:val="000000"/>
                <w:sz w:val="18"/>
                <w:szCs w:val="18"/>
              </w:rPr>
              <w:t>2.3</w:t>
            </w:r>
          </w:p>
        </w:tc>
        <w:tc>
          <w:tcPr>
            <w:tcW w:w="1984" w:type="dxa"/>
            <w:shd w:val="clear" w:color="auto" w:fill="auto"/>
            <w:vAlign w:val="center"/>
          </w:tcPr>
          <w:p w14:paraId="1E21C652" w14:textId="77777777" w:rsidR="00AA6557" w:rsidRPr="00666914" w:rsidRDefault="00AA6557">
            <w:pPr>
              <w:spacing w:after="0"/>
              <w:jc w:val="left"/>
              <w:rPr>
                <w:color w:val="000000"/>
                <w:sz w:val="20"/>
                <w:szCs w:val="20"/>
              </w:rPr>
            </w:pPr>
            <w:r w:rsidRPr="00666914">
              <w:rPr>
                <w:color w:val="000000"/>
                <w:sz w:val="18"/>
                <w:szCs w:val="18"/>
              </w:rPr>
              <w:t>Optimalizácia nastavenia priamych platieb</w:t>
            </w:r>
          </w:p>
        </w:tc>
        <w:tc>
          <w:tcPr>
            <w:tcW w:w="2126" w:type="dxa"/>
            <w:shd w:val="clear" w:color="auto" w:fill="auto"/>
            <w:vAlign w:val="center"/>
          </w:tcPr>
          <w:p w14:paraId="10C1FFB9" w14:textId="77777777" w:rsidR="00AA6557" w:rsidRPr="00666914" w:rsidRDefault="00AA6557">
            <w:pPr>
              <w:spacing w:after="0"/>
              <w:jc w:val="left"/>
              <w:rPr>
                <w:color w:val="000000"/>
                <w:sz w:val="20"/>
                <w:szCs w:val="20"/>
              </w:rPr>
            </w:pPr>
            <w:r w:rsidRPr="00666914">
              <w:rPr>
                <w:color w:val="000000"/>
                <w:sz w:val="18"/>
                <w:szCs w:val="18"/>
              </w:rPr>
              <w:t>Aplikovať viazané platby v maximálnej miere s cieľom podpory životného prostredia a rozvoja vidieka</w:t>
            </w:r>
          </w:p>
        </w:tc>
        <w:tc>
          <w:tcPr>
            <w:tcW w:w="1418" w:type="dxa"/>
            <w:shd w:val="clear" w:color="auto" w:fill="auto"/>
            <w:vAlign w:val="center"/>
          </w:tcPr>
          <w:p w14:paraId="7D7C1E11" w14:textId="77777777" w:rsidR="00AA6557" w:rsidRPr="00666914" w:rsidRDefault="00AA6557">
            <w:pPr>
              <w:spacing w:after="0"/>
              <w:jc w:val="center"/>
              <w:rPr>
                <w:color w:val="000000"/>
                <w:sz w:val="20"/>
                <w:szCs w:val="20"/>
              </w:rPr>
            </w:pPr>
            <w:r w:rsidRPr="00666914">
              <w:rPr>
                <w:color w:val="000000"/>
                <w:sz w:val="18"/>
                <w:szCs w:val="18"/>
              </w:rPr>
              <w:t>MPRV, Sekcia rozvoja vidieka a priamych platieb, PPA</w:t>
            </w:r>
          </w:p>
        </w:tc>
        <w:tc>
          <w:tcPr>
            <w:tcW w:w="992" w:type="dxa"/>
            <w:shd w:val="clear" w:color="auto" w:fill="auto"/>
            <w:vAlign w:val="center"/>
          </w:tcPr>
          <w:p w14:paraId="1D9A656B" w14:textId="77777777" w:rsidR="00AA6557" w:rsidRPr="00666914" w:rsidRDefault="00AA6557">
            <w:pPr>
              <w:spacing w:after="0"/>
              <w:jc w:val="center"/>
              <w:rPr>
                <w:color w:val="000000"/>
                <w:sz w:val="20"/>
                <w:szCs w:val="20"/>
              </w:rPr>
            </w:pPr>
            <w:r w:rsidRPr="00666914">
              <w:rPr>
                <w:color w:val="000000"/>
                <w:sz w:val="18"/>
                <w:szCs w:val="18"/>
              </w:rPr>
              <w:t>1.1.2021</w:t>
            </w:r>
          </w:p>
        </w:tc>
        <w:tc>
          <w:tcPr>
            <w:tcW w:w="709" w:type="dxa"/>
            <w:shd w:val="clear" w:color="auto" w:fill="A6A6A6"/>
            <w:vAlign w:val="bottom"/>
          </w:tcPr>
          <w:p w14:paraId="47317B6F" w14:textId="77777777" w:rsidR="00AA6557" w:rsidRPr="00666914" w:rsidRDefault="00AA6557">
            <w:pPr>
              <w:spacing w:after="0"/>
              <w:jc w:val="center"/>
              <w:rPr>
                <w:b/>
                <w:color w:val="000000"/>
                <w:sz w:val="20"/>
                <w:szCs w:val="20"/>
              </w:rPr>
            </w:pPr>
          </w:p>
        </w:tc>
        <w:tc>
          <w:tcPr>
            <w:tcW w:w="709" w:type="dxa"/>
            <w:shd w:val="clear" w:color="auto" w:fill="A6A6A6"/>
            <w:vAlign w:val="bottom"/>
          </w:tcPr>
          <w:p w14:paraId="505928B1" w14:textId="77777777" w:rsidR="00AA6557" w:rsidRPr="00666914" w:rsidRDefault="00AA6557">
            <w:pPr>
              <w:spacing w:after="0"/>
              <w:jc w:val="center"/>
              <w:rPr>
                <w:b/>
                <w:color w:val="000000"/>
                <w:sz w:val="20"/>
                <w:szCs w:val="20"/>
              </w:rPr>
            </w:pPr>
          </w:p>
        </w:tc>
        <w:tc>
          <w:tcPr>
            <w:tcW w:w="708" w:type="dxa"/>
            <w:shd w:val="clear" w:color="auto" w:fill="A6A6A6"/>
            <w:vAlign w:val="bottom"/>
          </w:tcPr>
          <w:p w14:paraId="077AE034" w14:textId="77777777" w:rsidR="00AA6557" w:rsidRPr="00666914" w:rsidRDefault="00AA6557">
            <w:pPr>
              <w:spacing w:after="0"/>
              <w:jc w:val="center"/>
              <w:rPr>
                <w:b/>
                <w:color w:val="000000"/>
                <w:sz w:val="20"/>
                <w:szCs w:val="20"/>
              </w:rPr>
            </w:pPr>
          </w:p>
        </w:tc>
        <w:tc>
          <w:tcPr>
            <w:tcW w:w="710" w:type="dxa"/>
            <w:shd w:val="clear" w:color="auto" w:fill="A6A6A6"/>
            <w:vAlign w:val="bottom"/>
          </w:tcPr>
          <w:p w14:paraId="0FF7CC76" w14:textId="77777777" w:rsidR="00AA6557" w:rsidRPr="00666914" w:rsidRDefault="00AA6557">
            <w:pPr>
              <w:spacing w:after="0"/>
              <w:jc w:val="center"/>
              <w:rPr>
                <w:b/>
                <w:color w:val="000000"/>
                <w:sz w:val="20"/>
                <w:szCs w:val="20"/>
              </w:rPr>
            </w:pPr>
          </w:p>
        </w:tc>
      </w:tr>
      <w:tr w:rsidR="00AA6557" w:rsidRPr="00666914" w14:paraId="5CD0A917" w14:textId="77777777" w:rsidTr="006515CD">
        <w:trPr>
          <w:trHeight w:val="300"/>
        </w:trPr>
        <w:tc>
          <w:tcPr>
            <w:tcW w:w="710" w:type="dxa"/>
            <w:shd w:val="clear" w:color="auto" w:fill="auto"/>
            <w:vAlign w:val="center"/>
          </w:tcPr>
          <w:p w14:paraId="2902AED0" w14:textId="77777777" w:rsidR="00AA6557" w:rsidRPr="00666914" w:rsidRDefault="00AA6557">
            <w:pPr>
              <w:spacing w:after="0"/>
              <w:jc w:val="left"/>
              <w:rPr>
                <w:color w:val="000000"/>
                <w:sz w:val="20"/>
                <w:szCs w:val="20"/>
              </w:rPr>
            </w:pPr>
            <w:r w:rsidRPr="00666914">
              <w:rPr>
                <w:color w:val="000000"/>
                <w:sz w:val="18"/>
                <w:szCs w:val="18"/>
              </w:rPr>
              <w:t>3.1</w:t>
            </w:r>
          </w:p>
        </w:tc>
        <w:tc>
          <w:tcPr>
            <w:tcW w:w="1984" w:type="dxa"/>
            <w:shd w:val="clear" w:color="auto" w:fill="auto"/>
            <w:vAlign w:val="center"/>
          </w:tcPr>
          <w:p w14:paraId="66F922F9" w14:textId="77777777" w:rsidR="00AA6557" w:rsidRPr="00666914" w:rsidRDefault="00AA6557">
            <w:pPr>
              <w:spacing w:after="0"/>
              <w:jc w:val="left"/>
              <w:rPr>
                <w:color w:val="000000"/>
                <w:sz w:val="20"/>
                <w:szCs w:val="20"/>
              </w:rPr>
            </w:pPr>
            <w:r w:rsidRPr="00666914">
              <w:rPr>
                <w:color w:val="000000"/>
                <w:sz w:val="18"/>
                <w:szCs w:val="18"/>
              </w:rPr>
              <w:t>Zefektívnenie fungovania Programu rozvoja vidieka</w:t>
            </w:r>
          </w:p>
        </w:tc>
        <w:tc>
          <w:tcPr>
            <w:tcW w:w="2126" w:type="dxa"/>
            <w:shd w:val="clear" w:color="auto" w:fill="auto"/>
            <w:vAlign w:val="center"/>
          </w:tcPr>
          <w:p w14:paraId="7EBF9A3F" w14:textId="77777777" w:rsidR="00AA6557" w:rsidRPr="00666914" w:rsidRDefault="00AA6557">
            <w:pPr>
              <w:spacing w:after="0"/>
              <w:jc w:val="left"/>
              <w:rPr>
                <w:color w:val="000000"/>
                <w:sz w:val="20"/>
                <w:szCs w:val="20"/>
              </w:rPr>
            </w:pPr>
            <w:r w:rsidRPr="00666914">
              <w:rPr>
                <w:color w:val="000000"/>
                <w:sz w:val="18"/>
                <w:szCs w:val="18"/>
              </w:rPr>
              <w:t>Vypracovať presný plán výziev, ktorý sa bude dodržiavať</w:t>
            </w:r>
          </w:p>
        </w:tc>
        <w:tc>
          <w:tcPr>
            <w:tcW w:w="1418" w:type="dxa"/>
            <w:shd w:val="clear" w:color="auto" w:fill="auto"/>
            <w:vAlign w:val="center"/>
          </w:tcPr>
          <w:p w14:paraId="178D6364" w14:textId="77777777" w:rsidR="00AA6557" w:rsidRPr="00666914" w:rsidRDefault="00AA6557">
            <w:pPr>
              <w:spacing w:after="0"/>
              <w:jc w:val="center"/>
              <w:rPr>
                <w:color w:val="000000"/>
                <w:sz w:val="20"/>
                <w:szCs w:val="20"/>
              </w:rPr>
            </w:pPr>
            <w:r w:rsidRPr="00666914">
              <w:rPr>
                <w:color w:val="000000"/>
                <w:sz w:val="18"/>
                <w:szCs w:val="18"/>
              </w:rPr>
              <w:t>MPRV, Sekcia rozvoja vidieka a priamych platieb, PPA, Odbor riadenia a kontroly technickej pomoci Programu rozvoja vidieka</w:t>
            </w:r>
          </w:p>
        </w:tc>
        <w:tc>
          <w:tcPr>
            <w:tcW w:w="992" w:type="dxa"/>
            <w:shd w:val="clear" w:color="auto" w:fill="auto"/>
            <w:vAlign w:val="center"/>
          </w:tcPr>
          <w:p w14:paraId="262ABA96" w14:textId="77777777" w:rsidR="00AA6557" w:rsidRPr="00666914" w:rsidRDefault="00AA6557">
            <w:pPr>
              <w:spacing w:after="0"/>
              <w:jc w:val="center"/>
              <w:rPr>
                <w:color w:val="000000"/>
                <w:sz w:val="20"/>
                <w:szCs w:val="20"/>
              </w:rPr>
            </w:pPr>
            <w:r w:rsidRPr="00666914">
              <w:rPr>
                <w:color w:val="000000"/>
                <w:sz w:val="18"/>
                <w:szCs w:val="18"/>
              </w:rPr>
              <w:t>každoročne 2021-2027</w:t>
            </w:r>
          </w:p>
        </w:tc>
        <w:tc>
          <w:tcPr>
            <w:tcW w:w="709" w:type="dxa"/>
            <w:shd w:val="clear" w:color="auto" w:fill="A6A6A6"/>
            <w:vAlign w:val="bottom"/>
          </w:tcPr>
          <w:p w14:paraId="5044DC5D" w14:textId="77777777" w:rsidR="00AA6557" w:rsidRPr="00666914" w:rsidRDefault="00AA6557">
            <w:pPr>
              <w:spacing w:after="0"/>
              <w:rPr>
                <w:color w:val="000000"/>
                <w:sz w:val="20"/>
                <w:szCs w:val="20"/>
              </w:rPr>
            </w:pPr>
          </w:p>
        </w:tc>
        <w:tc>
          <w:tcPr>
            <w:tcW w:w="709" w:type="dxa"/>
            <w:shd w:val="clear" w:color="auto" w:fill="A6A6A6"/>
            <w:vAlign w:val="bottom"/>
          </w:tcPr>
          <w:p w14:paraId="7CC6CDBF" w14:textId="77777777" w:rsidR="00AA6557" w:rsidRPr="00666914" w:rsidRDefault="00AA6557">
            <w:pPr>
              <w:spacing w:after="0"/>
              <w:rPr>
                <w:color w:val="000000"/>
                <w:sz w:val="20"/>
                <w:szCs w:val="20"/>
              </w:rPr>
            </w:pPr>
          </w:p>
        </w:tc>
        <w:tc>
          <w:tcPr>
            <w:tcW w:w="708" w:type="dxa"/>
            <w:shd w:val="clear" w:color="auto" w:fill="A6A6A6"/>
            <w:vAlign w:val="bottom"/>
          </w:tcPr>
          <w:p w14:paraId="71D02327" w14:textId="77777777" w:rsidR="00AA6557" w:rsidRPr="00666914" w:rsidRDefault="00AA6557">
            <w:pPr>
              <w:spacing w:after="0"/>
              <w:rPr>
                <w:color w:val="000000"/>
                <w:sz w:val="20"/>
                <w:szCs w:val="20"/>
              </w:rPr>
            </w:pPr>
          </w:p>
        </w:tc>
        <w:tc>
          <w:tcPr>
            <w:tcW w:w="710" w:type="dxa"/>
            <w:shd w:val="clear" w:color="auto" w:fill="A6A6A6"/>
            <w:vAlign w:val="bottom"/>
          </w:tcPr>
          <w:p w14:paraId="58E1784B" w14:textId="77777777" w:rsidR="00AA6557" w:rsidRPr="00666914" w:rsidRDefault="00AA6557">
            <w:pPr>
              <w:spacing w:after="0"/>
              <w:jc w:val="center"/>
              <w:rPr>
                <w:color w:val="000000"/>
                <w:sz w:val="20"/>
                <w:szCs w:val="20"/>
              </w:rPr>
            </w:pPr>
          </w:p>
        </w:tc>
      </w:tr>
      <w:tr w:rsidR="00AA6557" w:rsidRPr="00666914" w14:paraId="7A486BB5" w14:textId="77777777" w:rsidTr="006515CD">
        <w:trPr>
          <w:trHeight w:val="300"/>
        </w:trPr>
        <w:tc>
          <w:tcPr>
            <w:tcW w:w="710" w:type="dxa"/>
            <w:shd w:val="clear" w:color="auto" w:fill="auto"/>
            <w:vAlign w:val="center"/>
          </w:tcPr>
          <w:p w14:paraId="4BF3BB02" w14:textId="77777777" w:rsidR="00AA6557" w:rsidRPr="00666914" w:rsidRDefault="00AA6557">
            <w:pPr>
              <w:spacing w:after="0"/>
              <w:jc w:val="left"/>
              <w:rPr>
                <w:color w:val="000000"/>
                <w:sz w:val="20"/>
                <w:szCs w:val="20"/>
              </w:rPr>
            </w:pPr>
            <w:r w:rsidRPr="00666914">
              <w:rPr>
                <w:color w:val="000000"/>
                <w:sz w:val="18"/>
                <w:szCs w:val="18"/>
              </w:rPr>
              <w:t>3.2</w:t>
            </w:r>
          </w:p>
        </w:tc>
        <w:tc>
          <w:tcPr>
            <w:tcW w:w="1984" w:type="dxa"/>
            <w:shd w:val="clear" w:color="auto" w:fill="auto"/>
            <w:vAlign w:val="center"/>
          </w:tcPr>
          <w:p w14:paraId="605A2BE4" w14:textId="77777777" w:rsidR="00AA6557" w:rsidRPr="00666914" w:rsidRDefault="00AA6557">
            <w:pPr>
              <w:spacing w:after="0"/>
              <w:jc w:val="left"/>
              <w:rPr>
                <w:color w:val="000000"/>
                <w:sz w:val="20"/>
                <w:szCs w:val="20"/>
              </w:rPr>
            </w:pPr>
            <w:r w:rsidRPr="00666914">
              <w:rPr>
                <w:color w:val="000000"/>
                <w:sz w:val="18"/>
                <w:szCs w:val="18"/>
              </w:rPr>
              <w:t>Zefektívnenie fungovania programu rozvoja vidieka</w:t>
            </w:r>
          </w:p>
        </w:tc>
        <w:tc>
          <w:tcPr>
            <w:tcW w:w="2126" w:type="dxa"/>
            <w:shd w:val="clear" w:color="auto" w:fill="auto"/>
            <w:vAlign w:val="center"/>
          </w:tcPr>
          <w:p w14:paraId="7E52C6CE" w14:textId="77777777" w:rsidR="00AA6557" w:rsidRPr="00666914" w:rsidRDefault="00AA6557">
            <w:pPr>
              <w:spacing w:after="0"/>
              <w:jc w:val="left"/>
              <w:rPr>
                <w:color w:val="000000"/>
                <w:sz w:val="20"/>
                <w:szCs w:val="20"/>
              </w:rPr>
            </w:pPr>
            <w:r w:rsidRPr="00666914">
              <w:rPr>
                <w:color w:val="000000"/>
                <w:sz w:val="18"/>
                <w:szCs w:val="18"/>
              </w:rPr>
              <w:t>Zvýšiť frekvenciu výziev</w:t>
            </w:r>
          </w:p>
        </w:tc>
        <w:tc>
          <w:tcPr>
            <w:tcW w:w="1418" w:type="dxa"/>
            <w:shd w:val="clear" w:color="auto" w:fill="auto"/>
            <w:vAlign w:val="center"/>
          </w:tcPr>
          <w:p w14:paraId="48A1CC24" w14:textId="77777777" w:rsidR="00AA6557" w:rsidRPr="00666914" w:rsidRDefault="00AA6557">
            <w:pPr>
              <w:spacing w:after="0"/>
              <w:jc w:val="center"/>
              <w:rPr>
                <w:color w:val="000000"/>
                <w:sz w:val="20"/>
                <w:szCs w:val="20"/>
              </w:rPr>
            </w:pPr>
            <w:r w:rsidRPr="00666914">
              <w:rPr>
                <w:color w:val="000000"/>
                <w:sz w:val="18"/>
                <w:szCs w:val="18"/>
              </w:rPr>
              <w:t>MPRV, Sekcia rozvoja vidieka a priamych platieb, PPA</w:t>
            </w:r>
          </w:p>
        </w:tc>
        <w:tc>
          <w:tcPr>
            <w:tcW w:w="992" w:type="dxa"/>
            <w:shd w:val="clear" w:color="auto" w:fill="auto"/>
            <w:vAlign w:val="center"/>
          </w:tcPr>
          <w:p w14:paraId="02214BF0" w14:textId="77777777" w:rsidR="00AA6557" w:rsidRPr="00666914" w:rsidRDefault="00AA6557">
            <w:pPr>
              <w:spacing w:after="0"/>
              <w:jc w:val="center"/>
              <w:rPr>
                <w:color w:val="000000"/>
                <w:sz w:val="20"/>
                <w:szCs w:val="20"/>
              </w:rPr>
            </w:pPr>
            <w:r w:rsidRPr="00666914">
              <w:rPr>
                <w:color w:val="000000"/>
                <w:sz w:val="18"/>
                <w:szCs w:val="18"/>
              </w:rPr>
              <w:t>každoročne 2021-2027</w:t>
            </w:r>
          </w:p>
        </w:tc>
        <w:tc>
          <w:tcPr>
            <w:tcW w:w="709" w:type="dxa"/>
            <w:shd w:val="clear" w:color="auto" w:fill="A6A6A6"/>
            <w:vAlign w:val="bottom"/>
          </w:tcPr>
          <w:p w14:paraId="526AD4E8" w14:textId="77777777" w:rsidR="00AA6557" w:rsidRPr="00666914" w:rsidRDefault="00AA6557">
            <w:pPr>
              <w:spacing w:after="0"/>
              <w:rPr>
                <w:color w:val="000000"/>
                <w:sz w:val="20"/>
                <w:szCs w:val="20"/>
              </w:rPr>
            </w:pPr>
          </w:p>
        </w:tc>
        <w:tc>
          <w:tcPr>
            <w:tcW w:w="709" w:type="dxa"/>
            <w:shd w:val="clear" w:color="auto" w:fill="A6A6A6"/>
            <w:vAlign w:val="bottom"/>
          </w:tcPr>
          <w:p w14:paraId="6776B441" w14:textId="77777777" w:rsidR="00AA6557" w:rsidRPr="00666914" w:rsidRDefault="00AA6557">
            <w:pPr>
              <w:spacing w:after="0"/>
              <w:rPr>
                <w:color w:val="000000"/>
                <w:sz w:val="20"/>
                <w:szCs w:val="20"/>
              </w:rPr>
            </w:pPr>
          </w:p>
        </w:tc>
        <w:tc>
          <w:tcPr>
            <w:tcW w:w="708" w:type="dxa"/>
            <w:shd w:val="clear" w:color="auto" w:fill="A6A6A6"/>
            <w:vAlign w:val="bottom"/>
          </w:tcPr>
          <w:p w14:paraId="4FEE08A4" w14:textId="77777777" w:rsidR="00AA6557" w:rsidRPr="00666914" w:rsidRDefault="00AA6557">
            <w:pPr>
              <w:spacing w:after="0"/>
              <w:rPr>
                <w:color w:val="000000"/>
                <w:sz w:val="20"/>
                <w:szCs w:val="20"/>
              </w:rPr>
            </w:pPr>
          </w:p>
        </w:tc>
        <w:tc>
          <w:tcPr>
            <w:tcW w:w="710" w:type="dxa"/>
            <w:shd w:val="clear" w:color="auto" w:fill="A6A6A6"/>
            <w:vAlign w:val="bottom"/>
          </w:tcPr>
          <w:p w14:paraId="79CE4C0C" w14:textId="77777777" w:rsidR="00AA6557" w:rsidRPr="00666914" w:rsidRDefault="00AA6557">
            <w:pPr>
              <w:spacing w:after="0"/>
              <w:jc w:val="center"/>
              <w:rPr>
                <w:color w:val="000000"/>
                <w:sz w:val="20"/>
                <w:szCs w:val="20"/>
              </w:rPr>
            </w:pPr>
          </w:p>
        </w:tc>
      </w:tr>
      <w:tr w:rsidR="00AA6557" w:rsidRPr="00666914" w14:paraId="7CFDD92A" w14:textId="77777777" w:rsidTr="006515CD">
        <w:trPr>
          <w:trHeight w:val="300"/>
        </w:trPr>
        <w:tc>
          <w:tcPr>
            <w:tcW w:w="710" w:type="dxa"/>
            <w:shd w:val="clear" w:color="auto" w:fill="auto"/>
            <w:vAlign w:val="center"/>
          </w:tcPr>
          <w:p w14:paraId="4758E8A1" w14:textId="77777777" w:rsidR="00AA6557" w:rsidRPr="00666914" w:rsidRDefault="00AA6557">
            <w:pPr>
              <w:spacing w:after="0"/>
              <w:jc w:val="left"/>
              <w:rPr>
                <w:color w:val="000000"/>
                <w:sz w:val="20"/>
                <w:szCs w:val="20"/>
              </w:rPr>
            </w:pPr>
            <w:r w:rsidRPr="00666914">
              <w:rPr>
                <w:color w:val="000000"/>
                <w:sz w:val="18"/>
                <w:szCs w:val="18"/>
              </w:rPr>
              <w:t>3.3</w:t>
            </w:r>
          </w:p>
        </w:tc>
        <w:tc>
          <w:tcPr>
            <w:tcW w:w="1984" w:type="dxa"/>
            <w:shd w:val="clear" w:color="auto" w:fill="auto"/>
            <w:vAlign w:val="center"/>
          </w:tcPr>
          <w:p w14:paraId="38E1354A" w14:textId="77777777" w:rsidR="00AA6557" w:rsidRPr="00666914" w:rsidRDefault="00AA6557">
            <w:pPr>
              <w:spacing w:after="0"/>
              <w:jc w:val="left"/>
              <w:rPr>
                <w:color w:val="000000"/>
                <w:sz w:val="20"/>
                <w:szCs w:val="20"/>
              </w:rPr>
            </w:pPr>
            <w:r w:rsidRPr="00666914">
              <w:rPr>
                <w:color w:val="000000"/>
                <w:sz w:val="18"/>
                <w:szCs w:val="18"/>
              </w:rPr>
              <w:t>Zefektívnenie fungovania programu rozvoja vidieka</w:t>
            </w:r>
          </w:p>
        </w:tc>
        <w:tc>
          <w:tcPr>
            <w:tcW w:w="2126" w:type="dxa"/>
            <w:shd w:val="clear" w:color="auto" w:fill="auto"/>
            <w:vAlign w:val="center"/>
          </w:tcPr>
          <w:p w14:paraId="32C638B1" w14:textId="77777777" w:rsidR="00AA6557" w:rsidRPr="00666914" w:rsidRDefault="00AA6557">
            <w:pPr>
              <w:spacing w:after="0"/>
              <w:jc w:val="left"/>
              <w:rPr>
                <w:color w:val="000000"/>
                <w:sz w:val="20"/>
                <w:szCs w:val="20"/>
              </w:rPr>
            </w:pPr>
            <w:r w:rsidRPr="00666914">
              <w:rPr>
                <w:color w:val="000000"/>
                <w:sz w:val="18"/>
                <w:szCs w:val="18"/>
              </w:rPr>
              <w:t>Zaviesť elektronické podávanie žiadostí</w:t>
            </w:r>
          </w:p>
        </w:tc>
        <w:tc>
          <w:tcPr>
            <w:tcW w:w="1418" w:type="dxa"/>
            <w:shd w:val="clear" w:color="auto" w:fill="auto"/>
            <w:vAlign w:val="center"/>
          </w:tcPr>
          <w:p w14:paraId="7979ABD9" w14:textId="77777777" w:rsidR="00AA6557" w:rsidRPr="00666914" w:rsidRDefault="00AA6557">
            <w:pPr>
              <w:spacing w:after="0"/>
              <w:jc w:val="center"/>
              <w:rPr>
                <w:color w:val="000000"/>
                <w:sz w:val="20"/>
                <w:szCs w:val="20"/>
              </w:rPr>
            </w:pPr>
            <w:r w:rsidRPr="00666914">
              <w:rPr>
                <w:color w:val="000000"/>
                <w:sz w:val="18"/>
                <w:szCs w:val="18"/>
              </w:rPr>
              <w:t>MPRV, Sekcia rozvoja vidieka a priamych platieb, PPA, Odbor riadenia a kontroly technickej pomoci Programu rozvoja vidieka</w:t>
            </w:r>
          </w:p>
        </w:tc>
        <w:tc>
          <w:tcPr>
            <w:tcW w:w="992" w:type="dxa"/>
            <w:shd w:val="clear" w:color="auto" w:fill="auto"/>
            <w:vAlign w:val="center"/>
          </w:tcPr>
          <w:p w14:paraId="4BC2A3F6" w14:textId="77777777" w:rsidR="00AA6557" w:rsidRPr="00666914" w:rsidRDefault="00AA6557">
            <w:pPr>
              <w:spacing w:after="0"/>
              <w:jc w:val="center"/>
              <w:rPr>
                <w:color w:val="000000"/>
                <w:sz w:val="20"/>
                <w:szCs w:val="20"/>
              </w:rPr>
            </w:pPr>
            <w:r w:rsidRPr="00666914">
              <w:rPr>
                <w:sz w:val="18"/>
                <w:szCs w:val="18"/>
              </w:rPr>
              <w:t>2021</w:t>
            </w:r>
          </w:p>
        </w:tc>
        <w:tc>
          <w:tcPr>
            <w:tcW w:w="709" w:type="dxa"/>
            <w:shd w:val="clear" w:color="auto" w:fill="A6A6A6"/>
            <w:vAlign w:val="bottom"/>
          </w:tcPr>
          <w:p w14:paraId="0518DF39" w14:textId="77777777" w:rsidR="00AA6557" w:rsidRPr="00666914" w:rsidRDefault="00AA6557">
            <w:pPr>
              <w:spacing w:after="0"/>
              <w:rPr>
                <w:color w:val="000000"/>
                <w:sz w:val="20"/>
                <w:szCs w:val="20"/>
              </w:rPr>
            </w:pPr>
          </w:p>
        </w:tc>
        <w:tc>
          <w:tcPr>
            <w:tcW w:w="709" w:type="dxa"/>
            <w:shd w:val="clear" w:color="auto" w:fill="A6A6A6"/>
            <w:vAlign w:val="bottom"/>
          </w:tcPr>
          <w:p w14:paraId="263852CB" w14:textId="77777777" w:rsidR="00AA6557" w:rsidRPr="00666914" w:rsidRDefault="00AA6557">
            <w:pPr>
              <w:spacing w:after="0"/>
              <w:rPr>
                <w:color w:val="000000"/>
                <w:sz w:val="20"/>
                <w:szCs w:val="20"/>
              </w:rPr>
            </w:pPr>
          </w:p>
        </w:tc>
        <w:tc>
          <w:tcPr>
            <w:tcW w:w="708" w:type="dxa"/>
            <w:shd w:val="clear" w:color="auto" w:fill="A6A6A6"/>
            <w:vAlign w:val="bottom"/>
          </w:tcPr>
          <w:p w14:paraId="59CCFB5A" w14:textId="77777777" w:rsidR="00AA6557" w:rsidRPr="00666914" w:rsidRDefault="00AA6557">
            <w:pPr>
              <w:spacing w:after="0"/>
              <w:rPr>
                <w:color w:val="000000"/>
                <w:sz w:val="20"/>
                <w:szCs w:val="20"/>
              </w:rPr>
            </w:pPr>
          </w:p>
        </w:tc>
        <w:tc>
          <w:tcPr>
            <w:tcW w:w="710" w:type="dxa"/>
            <w:shd w:val="clear" w:color="auto" w:fill="A6A6A6"/>
            <w:vAlign w:val="bottom"/>
          </w:tcPr>
          <w:p w14:paraId="27D3A215" w14:textId="77777777" w:rsidR="00AA6557" w:rsidRPr="00666914" w:rsidRDefault="00AA6557">
            <w:pPr>
              <w:spacing w:after="0"/>
              <w:jc w:val="center"/>
              <w:rPr>
                <w:color w:val="000000"/>
                <w:sz w:val="20"/>
                <w:szCs w:val="20"/>
              </w:rPr>
            </w:pPr>
          </w:p>
        </w:tc>
      </w:tr>
      <w:tr w:rsidR="00AA6557" w:rsidRPr="00666914" w14:paraId="115ACCA1" w14:textId="77777777" w:rsidTr="006515CD">
        <w:trPr>
          <w:trHeight w:val="300"/>
        </w:trPr>
        <w:tc>
          <w:tcPr>
            <w:tcW w:w="710" w:type="dxa"/>
            <w:shd w:val="clear" w:color="auto" w:fill="auto"/>
            <w:vAlign w:val="center"/>
          </w:tcPr>
          <w:p w14:paraId="318122C9" w14:textId="77777777" w:rsidR="00AA6557" w:rsidRPr="00666914" w:rsidRDefault="00AA6557">
            <w:pPr>
              <w:spacing w:after="0"/>
              <w:jc w:val="left"/>
              <w:rPr>
                <w:color w:val="000000"/>
                <w:sz w:val="20"/>
                <w:szCs w:val="20"/>
              </w:rPr>
            </w:pPr>
            <w:r w:rsidRPr="00666914">
              <w:rPr>
                <w:color w:val="000000"/>
                <w:sz w:val="18"/>
                <w:szCs w:val="18"/>
              </w:rPr>
              <w:t>3.4</w:t>
            </w:r>
          </w:p>
        </w:tc>
        <w:tc>
          <w:tcPr>
            <w:tcW w:w="1984" w:type="dxa"/>
            <w:shd w:val="clear" w:color="auto" w:fill="auto"/>
            <w:vAlign w:val="center"/>
          </w:tcPr>
          <w:p w14:paraId="42203CAE" w14:textId="77777777" w:rsidR="00AA6557" w:rsidRPr="00666914" w:rsidRDefault="00AA6557">
            <w:pPr>
              <w:spacing w:after="0"/>
              <w:jc w:val="left"/>
              <w:rPr>
                <w:color w:val="000000"/>
                <w:sz w:val="20"/>
                <w:szCs w:val="20"/>
              </w:rPr>
            </w:pPr>
            <w:r w:rsidRPr="00666914">
              <w:rPr>
                <w:color w:val="000000"/>
                <w:sz w:val="18"/>
                <w:szCs w:val="18"/>
              </w:rPr>
              <w:t>Zefektívnenie fungovania programu rozvoja vidieka</w:t>
            </w:r>
          </w:p>
        </w:tc>
        <w:tc>
          <w:tcPr>
            <w:tcW w:w="2126" w:type="dxa"/>
            <w:shd w:val="clear" w:color="auto" w:fill="auto"/>
            <w:vAlign w:val="center"/>
          </w:tcPr>
          <w:p w14:paraId="69C4B9DF" w14:textId="77777777" w:rsidR="00AA6557" w:rsidRPr="00666914" w:rsidRDefault="00AA6557">
            <w:pPr>
              <w:spacing w:after="0"/>
              <w:jc w:val="left"/>
              <w:rPr>
                <w:color w:val="000000"/>
                <w:sz w:val="20"/>
                <w:szCs w:val="20"/>
              </w:rPr>
            </w:pPr>
            <w:r w:rsidRPr="00666914">
              <w:rPr>
                <w:color w:val="000000"/>
                <w:sz w:val="18"/>
                <w:szCs w:val="18"/>
              </w:rPr>
              <w:t>Zmenšiť veľkosť podporených projektov</w:t>
            </w:r>
          </w:p>
        </w:tc>
        <w:tc>
          <w:tcPr>
            <w:tcW w:w="1418" w:type="dxa"/>
            <w:shd w:val="clear" w:color="auto" w:fill="auto"/>
            <w:vAlign w:val="center"/>
          </w:tcPr>
          <w:p w14:paraId="3B1B97F9" w14:textId="77777777" w:rsidR="00AA6557" w:rsidRPr="00666914" w:rsidRDefault="00AA6557">
            <w:pPr>
              <w:spacing w:after="0"/>
              <w:jc w:val="center"/>
              <w:rPr>
                <w:color w:val="000000"/>
                <w:sz w:val="20"/>
                <w:szCs w:val="20"/>
              </w:rPr>
            </w:pPr>
            <w:r w:rsidRPr="00666914">
              <w:rPr>
                <w:color w:val="000000"/>
                <w:sz w:val="18"/>
                <w:szCs w:val="18"/>
              </w:rPr>
              <w:t>MPRV, Sekcia rozvoja vidieka a priamych platieb, PPA</w:t>
            </w:r>
          </w:p>
        </w:tc>
        <w:tc>
          <w:tcPr>
            <w:tcW w:w="992" w:type="dxa"/>
            <w:shd w:val="clear" w:color="auto" w:fill="auto"/>
            <w:vAlign w:val="center"/>
          </w:tcPr>
          <w:p w14:paraId="2CA1FDE1" w14:textId="77777777" w:rsidR="00AA6557" w:rsidRPr="00666914" w:rsidRDefault="00AA6557">
            <w:pPr>
              <w:spacing w:after="0"/>
              <w:jc w:val="center"/>
              <w:rPr>
                <w:color w:val="000000"/>
                <w:sz w:val="20"/>
                <w:szCs w:val="20"/>
              </w:rPr>
            </w:pPr>
            <w:r w:rsidRPr="00666914">
              <w:rPr>
                <w:color w:val="000000"/>
                <w:sz w:val="18"/>
                <w:szCs w:val="18"/>
              </w:rPr>
              <w:t>každoročne 2021-2027</w:t>
            </w:r>
          </w:p>
        </w:tc>
        <w:tc>
          <w:tcPr>
            <w:tcW w:w="709" w:type="dxa"/>
            <w:shd w:val="clear" w:color="auto" w:fill="A6A6A6"/>
            <w:vAlign w:val="bottom"/>
          </w:tcPr>
          <w:p w14:paraId="5D957315" w14:textId="77777777" w:rsidR="00AA6557" w:rsidRPr="00666914" w:rsidRDefault="00AA6557">
            <w:pPr>
              <w:spacing w:after="0"/>
              <w:rPr>
                <w:color w:val="000000"/>
                <w:sz w:val="20"/>
                <w:szCs w:val="20"/>
              </w:rPr>
            </w:pPr>
          </w:p>
        </w:tc>
        <w:tc>
          <w:tcPr>
            <w:tcW w:w="709" w:type="dxa"/>
            <w:shd w:val="clear" w:color="auto" w:fill="A6A6A6"/>
            <w:vAlign w:val="bottom"/>
          </w:tcPr>
          <w:p w14:paraId="496CDE5F" w14:textId="77777777" w:rsidR="00AA6557" w:rsidRPr="00666914" w:rsidRDefault="00AA6557">
            <w:pPr>
              <w:spacing w:after="0"/>
              <w:rPr>
                <w:color w:val="000000"/>
                <w:sz w:val="20"/>
                <w:szCs w:val="20"/>
              </w:rPr>
            </w:pPr>
          </w:p>
        </w:tc>
        <w:tc>
          <w:tcPr>
            <w:tcW w:w="708" w:type="dxa"/>
            <w:shd w:val="clear" w:color="auto" w:fill="A6A6A6"/>
            <w:vAlign w:val="bottom"/>
          </w:tcPr>
          <w:p w14:paraId="709BB202" w14:textId="77777777" w:rsidR="00AA6557" w:rsidRPr="00666914" w:rsidRDefault="00AA6557">
            <w:pPr>
              <w:spacing w:after="0"/>
              <w:rPr>
                <w:color w:val="000000"/>
                <w:sz w:val="20"/>
                <w:szCs w:val="20"/>
              </w:rPr>
            </w:pPr>
          </w:p>
        </w:tc>
        <w:tc>
          <w:tcPr>
            <w:tcW w:w="710" w:type="dxa"/>
            <w:shd w:val="clear" w:color="auto" w:fill="A6A6A6"/>
            <w:vAlign w:val="bottom"/>
          </w:tcPr>
          <w:p w14:paraId="2008EC37" w14:textId="77777777" w:rsidR="00AA6557" w:rsidRPr="00666914" w:rsidRDefault="00AA6557">
            <w:pPr>
              <w:spacing w:after="0"/>
              <w:jc w:val="center"/>
              <w:rPr>
                <w:color w:val="000000"/>
                <w:sz w:val="20"/>
                <w:szCs w:val="20"/>
              </w:rPr>
            </w:pPr>
          </w:p>
        </w:tc>
      </w:tr>
      <w:tr w:rsidR="00AA6557" w:rsidRPr="00666914" w14:paraId="6EA4D01D" w14:textId="77777777" w:rsidTr="006515CD">
        <w:trPr>
          <w:trHeight w:val="300"/>
        </w:trPr>
        <w:tc>
          <w:tcPr>
            <w:tcW w:w="710" w:type="dxa"/>
            <w:shd w:val="clear" w:color="auto" w:fill="auto"/>
            <w:vAlign w:val="center"/>
          </w:tcPr>
          <w:p w14:paraId="6368FD60" w14:textId="77777777" w:rsidR="00AA6557" w:rsidRPr="00666914" w:rsidRDefault="00AA6557">
            <w:pPr>
              <w:spacing w:after="0"/>
              <w:jc w:val="left"/>
              <w:rPr>
                <w:color w:val="000000"/>
                <w:sz w:val="20"/>
                <w:szCs w:val="20"/>
              </w:rPr>
            </w:pPr>
            <w:r w:rsidRPr="00666914">
              <w:rPr>
                <w:color w:val="000000"/>
                <w:sz w:val="18"/>
                <w:szCs w:val="18"/>
              </w:rPr>
              <w:t>3.5</w:t>
            </w:r>
          </w:p>
        </w:tc>
        <w:tc>
          <w:tcPr>
            <w:tcW w:w="1984" w:type="dxa"/>
            <w:shd w:val="clear" w:color="auto" w:fill="auto"/>
            <w:vAlign w:val="center"/>
          </w:tcPr>
          <w:p w14:paraId="4DCD3141" w14:textId="77777777" w:rsidR="00AA6557" w:rsidRPr="00666914" w:rsidRDefault="00AA6557">
            <w:pPr>
              <w:spacing w:after="0"/>
              <w:jc w:val="left"/>
              <w:rPr>
                <w:color w:val="000000"/>
                <w:sz w:val="20"/>
                <w:szCs w:val="20"/>
              </w:rPr>
            </w:pPr>
            <w:r w:rsidRPr="00666914">
              <w:rPr>
                <w:color w:val="000000"/>
                <w:sz w:val="18"/>
                <w:szCs w:val="18"/>
              </w:rPr>
              <w:t>Zefektívnenie fungovania programu rozvoja vidieka</w:t>
            </w:r>
          </w:p>
        </w:tc>
        <w:tc>
          <w:tcPr>
            <w:tcW w:w="2126" w:type="dxa"/>
            <w:shd w:val="clear" w:color="auto" w:fill="auto"/>
            <w:vAlign w:val="center"/>
          </w:tcPr>
          <w:p w14:paraId="53E75B3C" w14:textId="77777777" w:rsidR="00AA6557" w:rsidRPr="00666914" w:rsidRDefault="00AA6557">
            <w:pPr>
              <w:spacing w:after="0"/>
              <w:jc w:val="left"/>
              <w:rPr>
                <w:color w:val="000000"/>
                <w:sz w:val="20"/>
                <w:szCs w:val="20"/>
              </w:rPr>
            </w:pPr>
            <w:r w:rsidRPr="00666914">
              <w:rPr>
                <w:color w:val="000000"/>
                <w:sz w:val="18"/>
                <w:szCs w:val="18"/>
              </w:rPr>
              <w:t>Zefektívniť hodnotenie projektov</w:t>
            </w:r>
          </w:p>
        </w:tc>
        <w:tc>
          <w:tcPr>
            <w:tcW w:w="1418" w:type="dxa"/>
            <w:shd w:val="clear" w:color="auto" w:fill="auto"/>
            <w:vAlign w:val="center"/>
          </w:tcPr>
          <w:p w14:paraId="6DA3F7B8" w14:textId="77777777" w:rsidR="00AA6557" w:rsidRPr="00666914" w:rsidRDefault="00AA6557">
            <w:pPr>
              <w:spacing w:after="0"/>
              <w:jc w:val="center"/>
              <w:rPr>
                <w:color w:val="000000"/>
                <w:sz w:val="20"/>
                <w:szCs w:val="20"/>
              </w:rPr>
            </w:pPr>
            <w:r w:rsidRPr="00666914">
              <w:rPr>
                <w:color w:val="000000"/>
                <w:sz w:val="18"/>
                <w:szCs w:val="18"/>
              </w:rPr>
              <w:t>MPRV, PPA</w:t>
            </w:r>
          </w:p>
        </w:tc>
        <w:tc>
          <w:tcPr>
            <w:tcW w:w="992" w:type="dxa"/>
            <w:shd w:val="clear" w:color="auto" w:fill="auto"/>
            <w:vAlign w:val="center"/>
          </w:tcPr>
          <w:p w14:paraId="46632F66" w14:textId="77777777" w:rsidR="00AA6557" w:rsidRPr="00666914" w:rsidRDefault="00AA6557">
            <w:pPr>
              <w:spacing w:after="0"/>
              <w:jc w:val="center"/>
              <w:rPr>
                <w:b/>
                <w:color w:val="FF0000"/>
                <w:sz w:val="20"/>
                <w:szCs w:val="20"/>
              </w:rPr>
            </w:pPr>
            <w:r w:rsidRPr="00666914">
              <w:rPr>
                <w:color w:val="000000"/>
                <w:sz w:val="18"/>
                <w:szCs w:val="18"/>
              </w:rPr>
              <w:t>každoročne 2021-2027</w:t>
            </w:r>
          </w:p>
        </w:tc>
        <w:tc>
          <w:tcPr>
            <w:tcW w:w="709" w:type="dxa"/>
            <w:shd w:val="clear" w:color="auto" w:fill="A6A6A6"/>
            <w:vAlign w:val="bottom"/>
          </w:tcPr>
          <w:p w14:paraId="661E4913" w14:textId="77777777" w:rsidR="00AA6557" w:rsidRPr="00666914" w:rsidRDefault="00AA6557">
            <w:pPr>
              <w:spacing w:after="0"/>
              <w:rPr>
                <w:color w:val="000000"/>
                <w:sz w:val="20"/>
                <w:szCs w:val="20"/>
              </w:rPr>
            </w:pPr>
          </w:p>
        </w:tc>
        <w:tc>
          <w:tcPr>
            <w:tcW w:w="709" w:type="dxa"/>
            <w:shd w:val="clear" w:color="auto" w:fill="A6A6A6"/>
            <w:vAlign w:val="bottom"/>
          </w:tcPr>
          <w:p w14:paraId="32E642C2" w14:textId="77777777" w:rsidR="00AA6557" w:rsidRPr="00666914" w:rsidRDefault="00AA6557">
            <w:pPr>
              <w:spacing w:after="0"/>
              <w:rPr>
                <w:color w:val="000000"/>
                <w:sz w:val="20"/>
                <w:szCs w:val="20"/>
              </w:rPr>
            </w:pPr>
          </w:p>
        </w:tc>
        <w:tc>
          <w:tcPr>
            <w:tcW w:w="708" w:type="dxa"/>
            <w:shd w:val="clear" w:color="auto" w:fill="A6A6A6"/>
            <w:vAlign w:val="bottom"/>
          </w:tcPr>
          <w:p w14:paraId="469BD2AF" w14:textId="77777777" w:rsidR="00AA6557" w:rsidRPr="00666914" w:rsidRDefault="00AA6557">
            <w:pPr>
              <w:spacing w:after="0"/>
              <w:rPr>
                <w:color w:val="000000"/>
                <w:sz w:val="20"/>
                <w:szCs w:val="20"/>
              </w:rPr>
            </w:pPr>
          </w:p>
        </w:tc>
        <w:tc>
          <w:tcPr>
            <w:tcW w:w="710" w:type="dxa"/>
            <w:shd w:val="clear" w:color="auto" w:fill="A6A6A6"/>
            <w:vAlign w:val="bottom"/>
          </w:tcPr>
          <w:p w14:paraId="62EE64FB" w14:textId="77777777" w:rsidR="00AA6557" w:rsidRPr="00666914" w:rsidRDefault="00AA6557">
            <w:pPr>
              <w:spacing w:after="0"/>
              <w:jc w:val="center"/>
              <w:rPr>
                <w:color w:val="000000"/>
                <w:sz w:val="20"/>
                <w:szCs w:val="20"/>
              </w:rPr>
            </w:pPr>
          </w:p>
        </w:tc>
      </w:tr>
      <w:tr w:rsidR="00AA6557" w:rsidRPr="00666914" w14:paraId="1ADEB250" w14:textId="77777777" w:rsidTr="006515CD">
        <w:trPr>
          <w:trHeight w:val="300"/>
        </w:trPr>
        <w:tc>
          <w:tcPr>
            <w:tcW w:w="710" w:type="dxa"/>
            <w:shd w:val="clear" w:color="auto" w:fill="auto"/>
            <w:vAlign w:val="center"/>
          </w:tcPr>
          <w:p w14:paraId="43D0EE0F" w14:textId="77777777" w:rsidR="00AA6557" w:rsidRPr="00666914" w:rsidRDefault="00AA6557">
            <w:pPr>
              <w:spacing w:after="0"/>
              <w:jc w:val="left"/>
              <w:rPr>
                <w:color w:val="000000"/>
                <w:sz w:val="20"/>
                <w:szCs w:val="20"/>
              </w:rPr>
            </w:pPr>
            <w:r w:rsidRPr="00666914">
              <w:rPr>
                <w:color w:val="000000"/>
                <w:sz w:val="18"/>
                <w:szCs w:val="18"/>
              </w:rPr>
              <w:t>3.6</w:t>
            </w:r>
          </w:p>
        </w:tc>
        <w:tc>
          <w:tcPr>
            <w:tcW w:w="1984" w:type="dxa"/>
            <w:shd w:val="clear" w:color="auto" w:fill="auto"/>
            <w:vAlign w:val="center"/>
          </w:tcPr>
          <w:p w14:paraId="4149834D" w14:textId="77777777" w:rsidR="00AA6557" w:rsidRPr="00666914" w:rsidRDefault="00AA6557">
            <w:pPr>
              <w:spacing w:after="0"/>
              <w:jc w:val="left"/>
              <w:rPr>
                <w:color w:val="000000"/>
                <w:sz w:val="20"/>
                <w:szCs w:val="20"/>
              </w:rPr>
            </w:pPr>
            <w:r w:rsidRPr="00666914">
              <w:rPr>
                <w:color w:val="000000"/>
                <w:sz w:val="18"/>
                <w:szCs w:val="18"/>
              </w:rPr>
              <w:t>Zefektívnenie fungovania programu rozvoja vidieka</w:t>
            </w:r>
          </w:p>
        </w:tc>
        <w:tc>
          <w:tcPr>
            <w:tcW w:w="2126" w:type="dxa"/>
            <w:shd w:val="clear" w:color="auto" w:fill="auto"/>
            <w:vAlign w:val="center"/>
          </w:tcPr>
          <w:p w14:paraId="3C3EF03F" w14:textId="77777777" w:rsidR="00AA6557" w:rsidRPr="00666914" w:rsidRDefault="00AA6557">
            <w:pPr>
              <w:spacing w:after="0"/>
              <w:jc w:val="left"/>
              <w:rPr>
                <w:color w:val="000000"/>
                <w:sz w:val="20"/>
                <w:szCs w:val="20"/>
              </w:rPr>
            </w:pPr>
            <w:r w:rsidRPr="00666914">
              <w:rPr>
                <w:color w:val="000000"/>
                <w:sz w:val="18"/>
                <w:szCs w:val="18"/>
              </w:rPr>
              <w:t>Vyčleniť v PRV zdroje pre NRO (najnižšie rozvinuté okresy)</w:t>
            </w:r>
          </w:p>
        </w:tc>
        <w:tc>
          <w:tcPr>
            <w:tcW w:w="1418" w:type="dxa"/>
            <w:shd w:val="clear" w:color="auto" w:fill="auto"/>
            <w:vAlign w:val="center"/>
          </w:tcPr>
          <w:p w14:paraId="55938178" w14:textId="77777777" w:rsidR="00AA6557" w:rsidRPr="00666914" w:rsidRDefault="00AA6557">
            <w:pPr>
              <w:spacing w:after="0"/>
              <w:jc w:val="center"/>
              <w:rPr>
                <w:color w:val="000000"/>
                <w:sz w:val="20"/>
                <w:szCs w:val="20"/>
              </w:rPr>
            </w:pPr>
            <w:r w:rsidRPr="00666914">
              <w:rPr>
                <w:color w:val="000000"/>
                <w:sz w:val="18"/>
                <w:szCs w:val="18"/>
              </w:rPr>
              <w:t>MPRV, Sekcia rozvoja vidieka a priamych platieb, PPA</w:t>
            </w:r>
          </w:p>
        </w:tc>
        <w:tc>
          <w:tcPr>
            <w:tcW w:w="992" w:type="dxa"/>
            <w:shd w:val="clear" w:color="auto" w:fill="auto"/>
            <w:vAlign w:val="center"/>
          </w:tcPr>
          <w:p w14:paraId="16DAB79B" w14:textId="77777777" w:rsidR="00AA6557" w:rsidRPr="00666914" w:rsidRDefault="00AA6557">
            <w:pPr>
              <w:spacing w:after="0"/>
              <w:jc w:val="center"/>
              <w:rPr>
                <w:color w:val="000000"/>
                <w:sz w:val="20"/>
                <w:szCs w:val="20"/>
              </w:rPr>
            </w:pPr>
            <w:r w:rsidRPr="00666914">
              <w:rPr>
                <w:color w:val="000000"/>
                <w:sz w:val="18"/>
                <w:szCs w:val="18"/>
              </w:rPr>
              <w:t>Programovacie obdobie     2021-2027</w:t>
            </w:r>
          </w:p>
        </w:tc>
        <w:tc>
          <w:tcPr>
            <w:tcW w:w="709" w:type="dxa"/>
            <w:shd w:val="clear" w:color="auto" w:fill="A6A6A6"/>
            <w:vAlign w:val="bottom"/>
          </w:tcPr>
          <w:p w14:paraId="5FC27512" w14:textId="77777777" w:rsidR="00AA6557" w:rsidRPr="00666914" w:rsidRDefault="00AA6557">
            <w:pPr>
              <w:spacing w:after="0"/>
              <w:rPr>
                <w:color w:val="000000"/>
                <w:sz w:val="20"/>
                <w:szCs w:val="20"/>
              </w:rPr>
            </w:pPr>
          </w:p>
        </w:tc>
        <w:tc>
          <w:tcPr>
            <w:tcW w:w="709" w:type="dxa"/>
            <w:shd w:val="clear" w:color="auto" w:fill="A6A6A6"/>
            <w:vAlign w:val="bottom"/>
          </w:tcPr>
          <w:p w14:paraId="4212237B" w14:textId="77777777" w:rsidR="00AA6557" w:rsidRPr="00666914" w:rsidRDefault="00AA6557">
            <w:pPr>
              <w:spacing w:after="0"/>
              <w:rPr>
                <w:color w:val="000000"/>
                <w:sz w:val="20"/>
                <w:szCs w:val="20"/>
              </w:rPr>
            </w:pPr>
          </w:p>
        </w:tc>
        <w:tc>
          <w:tcPr>
            <w:tcW w:w="708" w:type="dxa"/>
            <w:shd w:val="clear" w:color="auto" w:fill="A6A6A6"/>
            <w:vAlign w:val="bottom"/>
          </w:tcPr>
          <w:p w14:paraId="4CE80DC2" w14:textId="77777777" w:rsidR="00AA6557" w:rsidRPr="00666914" w:rsidRDefault="00AA6557">
            <w:pPr>
              <w:spacing w:after="0"/>
              <w:rPr>
                <w:color w:val="000000"/>
                <w:sz w:val="20"/>
                <w:szCs w:val="20"/>
              </w:rPr>
            </w:pPr>
          </w:p>
        </w:tc>
        <w:tc>
          <w:tcPr>
            <w:tcW w:w="710" w:type="dxa"/>
            <w:shd w:val="clear" w:color="auto" w:fill="A6A6A6"/>
            <w:vAlign w:val="bottom"/>
          </w:tcPr>
          <w:p w14:paraId="7D64B0C7" w14:textId="77777777" w:rsidR="00AA6557" w:rsidRPr="00666914" w:rsidRDefault="00AA6557">
            <w:pPr>
              <w:spacing w:after="0"/>
              <w:jc w:val="center"/>
              <w:rPr>
                <w:color w:val="000000"/>
                <w:sz w:val="20"/>
                <w:szCs w:val="20"/>
              </w:rPr>
            </w:pPr>
          </w:p>
        </w:tc>
      </w:tr>
      <w:tr w:rsidR="00AA6557" w:rsidRPr="00666914" w14:paraId="3AC46B14" w14:textId="77777777" w:rsidTr="006515CD">
        <w:trPr>
          <w:trHeight w:val="300"/>
        </w:trPr>
        <w:tc>
          <w:tcPr>
            <w:tcW w:w="710" w:type="dxa"/>
            <w:shd w:val="clear" w:color="auto" w:fill="auto"/>
            <w:vAlign w:val="center"/>
          </w:tcPr>
          <w:p w14:paraId="6C6B6FD1" w14:textId="77777777" w:rsidR="00AA6557" w:rsidRPr="00666914" w:rsidRDefault="00AA6557">
            <w:pPr>
              <w:spacing w:after="0"/>
              <w:jc w:val="left"/>
              <w:rPr>
                <w:color w:val="000000"/>
                <w:sz w:val="20"/>
                <w:szCs w:val="20"/>
              </w:rPr>
            </w:pPr>
            <w:r w:rsidRPr="00666914">
              <w:rPr>
                <w:color w:val="000000"/>
                <w:sz w:val="18"/>
                <w:szCs w:val="18"/>
              </w:rPr>
              <w:t>3.7</w:t>
            </w:r>
          </w:p>
        </w:tc>
        <w:tc>
          <w:tcPr>
            <w:tcW w:w="1984" w:type="dxa"/>
            <w:shd w:val="clear" w:color="auto" w:fill="auto"/>
            <w:vAlign w:val="center"/>
          </w:tcPr>
          <w:p w14:paraId="70AD8D13" w14:textId="77777777" w:rsidR="00AA6557" w:rsidRPr="00666914" w:rsidRDefault="00AA6557">
            <w:pPr>
              <w:spacing w:after="0"/>
              <w:jc w:val="left"/>
              <w:rPr>
                <w:color w:val="000000"/>
                <w:sz w:val="20"/>
                <w:szCs w:val="20"/>
              </w:rPr>
            </w:pPr>
            <w:r w:rsidRPr="00666914">
              <w:rPr>
                <w:color w:val="000000"/>
                <w:sz w:val="18"/>
                <w:szCs w:val="18"/>
              </w:rPr>
              <w:t>Zefektívnenie fungovania programu rozvoja vidieka</w:t>
            </w:r>
          </w:p>
        </w:tc>
        <w:tc>
          <w:tcPr>
            <w:tcW w:w="2126" w:type="dxa"/>
            <w:shd w:val="clear" w:color="auto" w:fill="auto"/>
            <w:vAlign w:val="center"/>
          </w:tcPr>
          <w:p w14:paraId="4D09FE53" w14:textId="77777777" w:rsidR="00AA6557" w:rsidRPr="00666914" w:rsidRDefault="00AA6557">
            <w:pPr>
              <w:spacing w:after="0"/>
              <w:jc w:val="left"/>
              <w:rPr>
                <w:color w:val="000000"/>
                <w:sz w:val="20"/>
                <w:szCs w:val="20"/>
              </w:rPr>
            </w:pPr>
            <w:r w:rsidRPr="00666914">
              <w:rPr>
                <w:color w:val="000000"/>
                <w:sz w:val="18"/>
                <w:szCs w:val="18"/>
              </w:rPr>
              <w:t>Rozšíriť využívanie zjednodušených možností vykazovania nákladov</w:t>
            </w:r>
          </w:p>
        </w:tc>
        <w:tc>
          <w:tcPr>
            <w:tcW w:w="1418" w:type="dxa"/>
            <w:shd w:val="clear" w:color="auto" w:fill="auto"/>
            <w:vAlign w:val="center"/>
          </w:tcPr>
          <w:p w14:paraId="136E89B3" w14:textId="77777777" w:rsidR="00AA6557" w:rsidRPr="00666914" w:rsidRDefault="00AA6557">
            <w:pPr>
              <w:spacing w:after="0"/>
              <w:jc w:val="center"/>
              <w:rPr>
                <w:color w:val="000000"/>
                <w:sz w:val="20"/>
                <w:szCs w:val="20"/>
              </w:rPr>
            </w:pPr>
            <w:r w:rsidRPr="00666914">
              <w:rPr>
                <w:color w:val="000000"/>
                <w:sz w:val="18"/>
                <w:szCs w:val="18"/>
              </w:rPr>
              <w:t>MPRV, Sekcia rozvoja vidieka a priamych platieb, PPA</w:t>
            </w:r>
          </w:p>
        </w:tc>
        <w:tc>
          <w:tcPr>
            <w:tcW w:w="992" w:type="dxa"/>
            <w:shd w:val="clear" w:color="auto" w:fill="auto"/>
            <w:vAlign w:val="center"/>
          </w:tcPr>
          <w:p w14:paraId="12A55FD0" w14:textId="77777777" w:rsidR="00AA6557" w:rsidRPr="00666914" w:rsidRDefault="00AA6557">
            <w:pPr>
              <w:spacing w:after="0"/>
              <w:jc w:val="center"/>
              <w:rPr>
                <w:color w:val="000000"/>
                <w:sz w:val="20"/>
                <w:szCs w:val="20"/>
              </w:rPr>
            </w:pPr>
            <w:r w:rsidRPr="00666914">
              <w:rPr>
                <w:color w:val="000000"/>
                <w:sz w:val="18"/>
                <w:szCs w:val="18"/>
              </w:rPr>
              <w:t>Programovacie obdobie     2021-2027</w:t>
            </w:r>
          </w:p>
        </w:tc>
        <w:tc>
          <w:tcPr>
            <w:tcW w:w="709" w:type="dxa"/>
            <w:shd w:val="clear" w:color="auto" w:fill="A6A6A6"/>
            <w:vAlign w:val="bottom"/>
          </w:tcPr>
          <w:p w14:paraId="6D59627C" w14:textId="77777777" w:rsidR="00AA6557" w:rsidRPr="00666914" w:rsidRDefault="00AA6557">
            <w:pPr>
              <w:spacing w:after="0"/>
              <w:rPr>
                <w:color w:val="000000"/>
                <w:sz w:val="20"/>
                <w:szCs w:val="20"/>
              </w:rPr>
            </w:pPr>
          </w:p>
        </w:tc>
        <w:tc>
          <w:tcPr>
            <w:tcW w:w="709" w:type="dxa"/>
            <w:shd w:val="clear" w:color="auto" w:fill="A6A6A6"/>
            <w:vAlign w:val="bottom"/>
          </w:tcPr>
          <w:p w14:paraId="19242A88" w14:textId="77777777" w:rsidR="00AA6557" w:rsidRPr="00666914" w:rsidRDefault="00AA6557">
            <w:pPr>
              <w:spacing w:after="0"/>
              <w:rPr>
                <w:color w:val="000000"/>
                <w:sz w:val="20"/>
                <w:szCs w:val="20"/>
              </w:rPr>
            </w:pPr>
          </w:p>
        </w:tc>
        <w:tc>
          <w:tcPr>
            <w:tcW w:w="708" w:type="dxa"/>
            <w:shd w:val="clear" w:color="auto" w:fill="A6A6A6"/>
            <w:vAlign w:val="bottom"/>
          </w:tcPr>
          <w:p w14:paraId="1B806412" w14:textId="77777777" w:rsidR="00AA6557" w:rsidRPr="00666914" w:rsidRDefault="00AA6557">
            <w:pPr>
              <w:spacing w:after="0"/>
              <w:rPr>
                <w:color w:val="000000"/>
                <w:sz w:val="20"/>
                <w:szCs w:val="20"/>
              </w:rPr>
            </w:pPr>
          </w:p>
        </w:tc>
        <w:tc>
          <w:tcPr>
            <w:tcW w:w="710" w:type="dxa"/>
            <w:shd w:val="clear" w:color="auto" w:fill="A6A6A6"/>
            <w:vAlign w:val="bottom"/>
          </w:tcPr>
          <w:p w14:paraId="278BD704" w14:textId="77777777" w:rsidR="00AA6557" w:rsidRPr="00666914" w:rsidRDefault="00AA6557">
            <w:pPr>
              <w:spacing w:after="0"/>
              <w:jc w:val="center"/>
              <w:rPr>
                <w:color w:val="000000"/>
                <w:sz w:val="20"/>
                <w:szCs w:val="20"/>
              </w:rPr>
            </w:pPr>
          </w:p>
        </w:tc>
      </w:tr>
      <w:tr w:rsidR="00AA6557" w:rsidRPr="00666914" w14:paraId="2EE1BFEA" w14:textId="77777777" w:rsidTr="006515CD">
        <w:trPr>
          <w:trHeight w:val="300"/>
        </w:trPr>
        <w:tc>
          <w:tcPr>
            <w:tcW w:w="710" w:type="dxa"/>
            <w:shd w:val="clear" w:color="auto" w:fill="auto"/>
            <w:vAlign w:val="center"/>
          </w:tcPr>
          <w:p w14:paraId="1C4CA1B4" w14:textId="77777777" w:rsidR="00AA6557" w:rsidRPr="00666914" w:rsidRDefault="00AA6557">
            <w:pPr>
              <w:spacing w:after="0"/>
              <w:jc w:val="left"/>
              <w:rPr>
                <w:color w:val="000000"/>
                <w:sz w:val="20"/>
                <w:szCs w:val="20"/>
              </w:rPr>
            </w:pPr>
            <w:r w:rsidRPr="00666914">
              <w:rPr>
                <w:color w:val="000000"/>
                <w:sz w:val="18"/>
                <w:szCs w:val="18"/>
              </w:rPr>
              <w:t>4.1.1</w:t>
            </w:r>
          </w:p>
        </w:tc>
        <w:tc>
          <w:tcPr>
            <w:tcW w:w="1984" w:type="dxa"/>
            <w:shd w:val="clear" w:color="auto" w:fill="auto"/>
            <w:vAlign w:val="center"/>
          </w:tcPr>
          <w:p w14:paraId="42E43C26" w14:textId="77777777" w:rsidR="00AA6557" w:rsidRPr="00666914" w:rsidRDefault="00AA6557">
            <w:pPr>
              <w:spacing w:after="0"/>
              <w:jc w:val="left"/>
              <w:rPr>
                <w:color w:val="000000"/>
                <w:sz w:val="20"/>
                <w:szCs w:val="20"/>
              </w:rPr>
            </w:pPr>
            <w:r w:rsidRPr="00666914">
              <w:rPr>
                <w:color w:val="000000"/>
                <w:sz w:val="18"/>
                <w:szCs w:val="18"/>
              </w:rPr>
              <w:t>Podpora efektívneho a transparentného trhu s pôdou – Konsolidácia trhu s pôdou</w:t>
            </w:r>
          </w:p>
        </w:tc>
        <w:tc>
          <w:tcPr>
            <w:tcW w:w="2126" w:type="dxa"/>
            <w:shd w:val="clear" w:color="auto" w:fill="auto"/>
            <w:vAlign w:val="center"/>
          </w:tcPr>
          <w:p w14:paraId="48E45BC4" w14:textId="77777777" w:rsidR="00AA6557" w:rsidRPr="00666914" w:rsidRDefault="00AA6557">
            <w:pPr>
              <w:spacing w:after="0"/>
              <w:jc w:val="left"/>
              <w:rPr>
                <w:color w:val="000000"/>
                <w:sz w:val="20"/>
                <w:szCs w:val="20"/>
              </w:rPr>
            </w:pPr>
            <w:r w:rsidRPr="00666914">
              <w:rPr>
                <w:color w:val="000000"/>
                <w:sz w:val="18"/>
                <w:szCs w:val="18"/>
              </w:rPr>
              <w:t>Započať všetky projekty pozemkových úprav do 30 rokov (PPÚ)</w:t>
            </w:r>
          </w:p>
        </w:tc>
        <w:tc>
          <w:tcPr>
            <w:tcW w:w="1418" w:type="dxa"/>
            <w:shd w:val="clear" w:color="auto" w:fill="auto"/>
            <w:vAlign w:val="center"/>
          </w:tcPr>
          <w:p w14:paraId="7BA13F7F" w14:textId="77777777" w:rsidR="00AA6557" w:rsidRPr="00666914" w:rsidRDefault="00AA6557">
            <w:pPr>
              <w:spacing w:after="0"/>
              <w:jc w:val="center"/>
              <w:rPr>
                <w:color w:val="000000"/>
                <w:sz w:val="20"/>
                <w:szCs w:val="20"/>
              </w:rPr>
            </w:pPr>
            <w:r w:rsidRPr="00666914">
              <w:rPr>
                <w:color w:val="000000"/>
                <w:sz w:val="18"/>
                <w:szCs w:val="18"/>
              </w:rPr>
              <w:t>MPRV, Sekcia legislatívy</w:t>
            </w:r>
          </w:p>
        </w:tc>
        <w:tc>
          <w:tcPr>
            <w:tcW w:w="992" w:type="dxa"/>
            <w:shd w:val="clear" w:color="auto" w:fill="auto"/>
            <w:vAlign w:val="center"/>
          </w:tcPr>
          <w:p w14:paraId="740DEE69" w14:textId="77777777" w:rsidR="00AA6557" w:rsidRPr="00666914" w:rsidRDefault="00AA6557">
            <w:pPr>
              <w:spacing w:after="0"/>
              <w:jc w:val="center"/>
              <w:rPr>
                <w:color w:val="000000"/>
                <w:sz w:val="20"/>
                <w:szCs w:val="20"/>
              </w:rPr>
            </w:pPr>
            <w:r w:rsidRPr="00666914">
              <w:rPr>
                <w:color w:val="000000"/>
                <w:sz w:val="18"/>
                <w:szCs w:val="18"/>
              </w:rPr>
              <w:t>2020-2049</w:t>
            </w:r>
          </w:p>
        </w:tc>
        <w:tc>
          <w:tcPr>
            <w:tcW w:w="709" w:type="dxa"/>
            <w:shd w:val="clear" w:color="auto" w:fill="A6A6A6"/>
            <w:vAlign w:val="bottom"/>
          </w:tcPr>
          <w:p w14:paraId="558014F9" w14:textId="77777777" w:rsidR="00AA6557" w:rsidRPr="00666914" w:rsidRDefault="00AA6557">
            <w:pPr>
              <w:spacing w:after="0"/>
              <w:jc w:val="center"/>
              <w:rPr>
                <w:b/>
                <w:color w:val="000000"/>
                <w:sz w:val="20"/>
                <w:szCs w:val="20"/>
              </w:rPr>
            </w:pPr>
          </w:p>
        </w:tc>
        <w:tc>
          <w:tcPr>
            <w:tcW w:w="709" w:type="dxa"/>
            <w:shd w:val="clear" w:color="auto" w:fill="A6A6A6"/>
            <w:vAlign w:val="bottom"/>
          </w:tcPr>
          <w:p w14:paraId="2DB184C7" w14:textId="77777777" w:rsidR="00AA6557" w:rsidRPr="00666914" w:rsidRDefault="00AA6557">
            <w:pPr>
              <w:spacing w:after="0"/>
              <w:jc w:val="center"/>
              <w:rPr>
                <w:b/>
                <w:color w:val="FF0000"/>
                <w:sz w:val="20"/>
                <w:szCs w:val="20"/>
              </w:rPr>
            </w:pPr>
          </w:p>
        </w:tc>
        <w:tc>
          <w:tcPr>
            <w:tcW w:w="708" w:type="dxa"/>
            <w:shd w:val="clear" w:color="auto" w:fill="A6A6A6"/>
            <w:vAlign w:val="bottom"/>
          </w:tcPr>
          <w:p w14:paraId="0E3F847D" w14:textId="77777777" w:rsidR="00AA6557" w:rsidRPr="00666914" w:rsidRDefault="00AA6557">
            <w:pPr>
              <w:spacing w:after="0"/>
              <w:jc w:val="center"/>
              <w:rPr>
                <w:b/>
                <w:color w:val="000000"/>
                <w:sz w:val="20"/>
                <w:szCs w:val="20"/>
              </w:rPr>
            </w:pPr>
          </w:p>
        </w:tc>
        <w:tc>
          <w:tcPr>
            <w:tcW w:w="710" w:type="dxa"/>
            <w:shd w:val="clear" w:color="auto" w:fill="FF0000"/>
            <w:vAlign w:val="center"/>
          </w:tcPr>
          <w:p w14:paraId="35CA59BF" w14:textId="77777777" w:rsidR="00AA6557" w:rsidRPr="00666914" w:rsidRDefault="00AA6557">
            <w:pPr>
              <w:spacing w:after="0"/>
              <w:jc w:val="center"/>
              <w:rPr>
                <w:b/>
                <w:color w:val="000000"/>
                <w:sz w:val="20"/>
                <w:szCs w:val="20"/>
              </w:rPr>
            </w:pPr>
          </w:p>
        </w:tc>
      </w:tr>
      <w:tr w:rsidR="00AA6557" w:rsidRPr="00666914" w14:paraId="1DBB26EF" w14:textId="77777777" w:rsidTr="006515CD">
        <w:trPr>
          <w:trHeight w:val="300"/>
        </w:trPr>
        <w:tc>
          <w:tcPr>
            <w:tcW w:w="710" w:type="dxa"/>
            <w:shd w:val="clear" w:color="auto" w:fill="auto"/>
            <w:vAlign w:val="center"/>
          </w:tcPr>
          <w:p w14:paraId="258C5172" w14:textId="77777777" w:rsidR="00AA6557" w:rsidRPr="00666914" w:rsidRDefault="00AA6557">
            <w:pPr>
              <w:spacing w:after="0"/>
              <w:jc w:val="left"/>
              <w:rPr>
                <w:color w:val="000000"/>
                <w:sz w:val="20"/>
                <w:szCs w:val="20"/>
              </w:rPr>
            </w:pPr>
            <w:r w:rsidRPr="00666914">
              <w:rPr>
                <w:color w:val="000000"/>
                <w:sz w:val="18"/>
                <w:szCs w:val="18"/>
              </w:rPr>
              <w:lastRenderedPageBreak/>
              <w:t>4.1.2</w:t>
            </w:r>
          </w:p>
        </w:tc>
        <w:tc>
          <w:tcPr>
            <w:tcW w:w="1984" w:type="dxa"/>
            <w:shd w:val="clear" w:color="auto" w:fill="auto"/>
            <w:vAlign w:val="center"/>
          </w:tcPr>
          <w:p w14:paraId="131D494D" w14:textId="77777777" w:rsidR="00AA6557" w:rsidRPr="00666914" w:rsidRDefault="00AA6557">
            <w:pPr>
              <w:spacing w:after="0"/>
              <w:jc w:val="left"/>
              <w:rPr>
                <w:color w:val="000000"/>
                <w:sz w:val="20"/>
                <w:szCs w:val="20"/>
              </w:rPr>
            </w:pPr>
            <w:r w:rsidRPr="00666914">
              <w:rPr>
                <w:color w:val="000000"/>
                <w:sz w:val="18"/>
                <w:szCs w:val="18"/>
              </w:rPr>
              <w:t>Podpora efektívneho a transparentného trhu s pôdou – Konsolidácia trhu s pôdou</w:t>
            </w:r>
          </w:p>
        </w:tc>
        <w:tc>
          <w:tcPr>
            <w:tcW w:w="2126" w:type="dxa"/>
            <w:shd w:val="clear" w:color="auto" w:fill="auto"/>
            <w:vAlign w:val="center"/>
          </w:tcPr>
          <w:p w14:paraId="6591BC01" w14:textId="77777777" w:rsidR="00AA6557" w:rsidRPr="00666914" w:rsidRDefault="00AA6557">
            <w:pPr>
              <w:spacing w:after="0"/>
              <w:jc w:val="left"/>
              <w:rPr>
                <w:color w:val="000000"/>
                <w:sz w:val="20"/>
                <w:szCs w:val="20"/>
              </w:rPr>
            </w:pPr>
            <w:r w:rsidRPr="00666914">
              <w:rPr>
                <w:color w:val="000000"/>
                <w:sz w:val="18"/>
                <w:szCs w:val="18"/>
              </w:rPr>
              <w:t>Obmedziť drobenie zvýšením dolného limitu na výmeru novovznikajúcej parcely po PPÚ</w:t>
            </w:r>
          </w:p>
        </w:tc>
        <w:tc>
          <w:tcPr>
            <w:tcW w:w="1418" w:type="dxa"/>
            <w:shd w:val="clear" w:color="auto" w:fill="auto"/>
            <w:vAlign w:val="center"/>
          </w:tcPr>
          <w:p w14:paraId="22E65293" w14:textId="77777777" w:rsidR="00AA6557" w:rsidRPr="00666914" w:rsidRDefault="00AA6557">
            <w:pPr>
              <w:spacing w:after="0"/>
              <w:jc w:val="center"/>
              <w:rPr>
                <w:color w:val="000000"/>
                <w:sz w:val="20"/>
                <w:szCs w:val="20"/>
              </w:rPr>
            </w:pPr>
            <w:r w:rsidRPr="00666914">
              <w:rPr>
                <w:color w:val="000000"/>
                <w:sz w:val="18"/>
                <w:szCs w:val="18"/>
              </w:rPr>
              <w:t>MPRV, Sekcia legislatívy</w:t>
            </w:r>
          </w:p>
        </w:tc>
        <w:tc>
          <w:tcPr>
            <w:tcW w:w="992" w:type="dxa"/>
            <w:shd w:val="clear" w:color="auto" w:fill="auto"/>
            <w:vAlign w:val="center"/>
          </w:tcPr>
          <w:p w14:paraId="78FA8D91" w14:textId="77777777" w:rsidR="00AA6557" w:rsidRPr="00666914" w:rsidRDefault="00AA6557">
            <w:pPr>
              <w:spacing w:after="0"/>
              <w:jc w:val="center"/>
              <w:rPr>
                <w:color w:val="000000"/>
                <w:sz w:val="20"/>
                <w:szCs w:val="20"/>
              </w:rPr>
            </w:pPr>
            <w:r w:rsidRPr="00666914">
              <w:rPr>
                <w:color w:val="000000"/>
                <w:sz w:val="18"/>
                <w:szCs w:val="18"/>
              </w:rPr>
              <w:t>1.1.2021</w:t>
            </w:r>
          </w:p>
        </w:tc>
        <w:tc>
          <w:tcPr>
            <w:tcW w:w="709" w:type="dxa"/>
            <w:shd w:val="clear" w:color="auto" w:fill="A6A6A6"/>
            <w:vAlign w:val="bottom"/>
          </w:tcPr>
          <w:p w14:paraId="3F15EE69" w14:textId="77777777" w:rsidR="00AA6557" w:rsidRPr="00666914" w:rsidRDefault="00AA6557">
            <w:pPr>
              <w:spacing w:after="0"/>
              <w:rPr>
                <w:color w:val="000000"/>
                <w:sz w:val="20"/>
                <w:szCs w:val="20"/>
              </w:rPr>
            </w:pPr>
          </w:p>
        </w:tc>
        <w:tc>
          <w:tcPr>
            <w:tcW w:w="709" w:type="dxa"/>
            <w:shd w:val="clear" w:color="auto" w:fill="A6A6A6"/>
            <w:vAlign w:val="bottom"/>
          </w:tcPr>
          <w:p w14:paraId="4767FA00" w14:textId="77777777" w:rsidR="00AA6557" w:rsidRPr="00666914" w:rsidRDefault="00AA6557">
            <w:pPr>
              <w:spacing w:after="0"/>
              <w:rPr>
                <w:color w:val="000000"/>
                <w:sz w:val="20"/>
                <w:szCs w:val="20"/>
              </w:rPr>
            </w:pPr>
          </w:p>
        </w:tc>
        <w:tc>
          <w:tcPr>
            <w:tcW w:w="708" w:type="dxa"/>
            <w:shd w:val="clear" w:color="auto" w:fill="A6A6A6"/>
            <w:vAlign w:val="bottom"/>
          </w:tcPr>
          <w:p w14:paraId="7AEEB341" w14:textId="77777777" w:rsidR="00AA6557" w:rsidRPr="00666914" w:rsidRDefault="00AA6557">
            <w:pPr>
              <w:spacing w:after="0"/>
              <w:rPr>
                <w:color w:val="000000"/>
                <w:sz w:val="20"/>
                <w:szCs w:val="20"/>
              </w:rPr>
            </w:pPr>
          </w:p>
        </w:tc>
        <w:tc>
          <w:tcPr>
            <w:tcW w:w="710" w:type="dxa"/>
            <w:shd w:val="clear" w:color="auto" w:fill="A6A6A6"/>
            <w:vAlign w:val="bottom"/>
          </w:tcPr>
          <w:p w14:paraId="325FBBFA" w14:textId="77777777" w:rsidR="00AA6557" w:rsidRPr="00666914" w:rsidRDefault="00AA6557">
            <w:pPr>
              <w:spacing w:after="0"/>
              <w:jc w:val="center"/>
              <w:rPr>
                <w:color w:val="000000"/>
                <w:sz w:val="20"/>
                <w:szCs w:val="20"/>
              </w:rPr>
            </w:pPr>
          </w:p>
        </w:tc>
      </w:tr>
      <w:tr w:rsidR="00AA6557" w:rsidRPr="00666914" w14:paraId="5F051620" w14:textId="77777777" w:rsidTr="006515CD">
        <w:trPr>
          <w:trHeight w:val="132"/>
        </w:trPr>
        <w:tc>
          <w:tcPr>
            <w:tcW w:w="710" w:type="dxa"/>
            <w:shd w:val="clear" w:color="auto" w:fill="auto"/>
            <w:vAlign w:val="center"/>
          </w:tcPr>
          <w:p w14:paraId="2FD172BF" w14:textId="77777777" w:rsidR="00AA6557" w:rsidRPr="00666914" w:rsidRDefault="00AA6557">
            <w:pPr>
              <w:spacing w:after="0"/>
              <w:jc w:val="left"/>
              <w:rPr>
                <w:color w:val="000000"/>
                <w:sz w:val="20"/>
                <w:szCs w:val="20"/>
              </w:rPr>
            </w:pPr>
            <w:r w:rsidRPr="00666914">
              <w:rPr>
                <w:color w:val="000000"/>
                <w:sz w:val="18"/>
                <w:szCs w:val="18"/>
              </w:rPr>
              <w:t>4.2.1</w:t>
            </w:r>
          </w:p>
        </w:tc>
        <w:tc>
          <w:tcPr>
            <w:tcW w:w="1984" w:type="dxa"/>
            <w:shd w:val="clear" w:color="auto" w:fill="auto"/>
            <w:vAlign w:val="center"/>
          </w:tcPr>
          <w:p w14:paraId="112BCDA6" w14:textId="77777777" w:rsidR="00AA6557" w:rsidRPr="00666914" w:rsidRDefault="00AA6557">
            <w:pPr>
              <w:spacing w:after="0"/>
              <w:jc w:val="left"/>
              <w:rPr>
                <w:color w:val="000000"/>
                <w:sz w:val="20"/>
                <w:szCs w:val="20"/>
              </w:rPr>
            </w:pPr>
            <w:r w:rsidRPr="00666914">
              <w:rPr>
                <w:color w:val="000000"/>
                <w:sz w:val="18"/>
                <w:szCs w:val="18"/>
              </w:rPr>
              <w:t>Podpora efektívneho a transparentného trhu s pôdou – Právna úprava trhu s pôdou</w:t>
            </w:r>
          </w:p>
        </w:tc>
        <w:tc>
          <w:tcPr>
            <w:tcW w:w="2126" w:type="dxa"/>
            <w:shd w:val="clear" w:color="auto" w:fill="auto"/>
            <w:vAlign w:val="center"/>
          </w:tcPr>
          <w:p w14:paraId="587D1EFD" w14:textId="77777777" w:rsidR="00AA6557" w:rsidRPr="00666914" w:rsidRDefault="00AA6557">
            <w:pPr>
              <w:spacing w:after="0"/>
              <w:jc w:val="left"/>
              <w:rPr>
                <w:color w:val="000000"/>
                <w:sz w:val="20"/>
                <w:szCs w:val="20"/>
              </w:rPr>
            </w:pPr>
            <w:r w:rsidRPr="00666914">
              <w:rPr>
                <w:color w:val="000000"/>
                <w:sz w:val="18"/>
                <w:szCs w:val="18"/>
              </w:rPr>
              <w:t>Zrušiť prednostné právo na uzavretie nájomnej zmluvy</w:t>
            </w:r>
          </w:p>
        </w:tc>
        <w:tc>
          <w:tcPr>
            <w:tcW w:w="1418" w:type="dxa"/>
            <w:shd w:val="clear" w:color="auto" w:fill="auto"/>
            <w:vAlign w:val="center"/>
          </w:tcPr>
          <w:p w14:paraId="531AA6E7" w14:textId="77777777" w:rsidR="00AA6557" w:rsidRPr="00666914" w:rsidRDefault="00AA6557">
            <w:pPr>
              <w:spacing w:after="0"/>
              <w:jc w:val="center"/>
              <w:rPr>
                <w:color w:val="000000"/>
                <w:sz w:val="20"/>
                <w:szCs w:val="20"/>
              </w:rPr>
            </w:pPr>
            <w:r w:rsidRPr="00666914">
              <w:rPr>
                <w:color w:val="000000"/>
                <w:sz w:val="18"/>
                <w:szCs w:val="18"/>
              </w:rPr>
              <w:t>MPRV, Sekcia legislatívy</w:t>
            </w:r>
          </w:p>
        </w:tc>
        <w:tc>
          <w:tcPr>
            <w:tcW w:w="992" w:type="dxa"/>
            <w:shd w:val="clear" w:color="auto" w:fill="auto"/>
            <w:vAlign w:val="center"/>
          </w:tcPr>
          <w:p w14:paraId="4081C156" w14:textId="77777777" w:rsidR="00AA6557" w:rsidRPr="00666914" w:rsidRDefault="00AA6557">
            <w:pPr>
              <w:spacing w:after="0"/>
              <w:jc w:val="center"/>
              <w:rPr>
                <w:color w:val="000000"/>
                <w:sz w:val="20"/>
                <w:szCs w:val="20"/>
              </w:rPr>
            </w:pPr>
            <w:r w:rsidRPr="00666914">
              <w:rPr>
                <w:color w:val="000000"/>
                <w:sz w:val="18"/>
                <w:szCs w:val="18"/>
              </w:rPr>
              <w:t>1.1.2021</w:t>
            </w:r>
          </w:p>
        </w:tc>
        <w:tc>
          <w:tcPr>
            <w:tcW w:w="709" w:type="dxa"/>
            <w:shd w:val="clear" w:color="auto" w:fill="A6A6A6"/>
            <w:vAlign w:val="bottom"/>
          </w:tcPr>
          <w:p w14:paraId="4CE2DCC7" w14:textId="77777777" w:rsidR="00AA6557" w:rsidRPr="00666914" w:rsidRDefault="00AA6557">
            <w:pPr>
              <w:spacing w:after="0"/>
              <w:rPr>
                <w:color w:val="000000"/>
                <w:sz w:val="20"/>
                <w:szCs w:val="20"/>
              </w:rPr>
            </w:pPr>
          </w:p>
        </w:tc>
        <w:tc>
          <w:tcPr>
            <w:tcW w:w="709" w:type="dxa"/>
            <w:shd w:val="clear" w:color="auto" w:fill="A6A6A6"/>
            <w:vAlign w:val="bottom"/>
          </w:tcPr>
          <w:p w14:paraId="363CA4A5" w14:textId="77777777" w:rsidR="00AA6557" w:rsidRPr="00666914" w:rsidRDefault="00AA6557">
            <w:pPr>
              <w:spacing w:after="0"/>
              <w:rPr>
                <w:color w:val="000000"/>
                <w:sz w:val="20"/>
                <w:szCs w:val="20"/>
              </w:rPr>
            </w:pPr>
          </w:p>
        </w:tc>
        <w:tc>
          <w:tcPr>
            <w:tcW w:w="708" w:type="dxa"/>
            <w:shd w:val="clear" w:color="auto" w:fill="A6A6A6"/>
            <w:vAlign w:val="bottom"/>
          </w:tcPr>
          <w:p w14:paraId="4F852C6D" w14:textId="77777777" w:rsidR="00AA6557" w:rsidRPr="00666914" w:rsidRDefault="00AA6557">
            <w:pPr>
              <w:spacing w:after="0"/>
              <w:rPr>
                <w:color w:val="000000"/>
                <w:sz w:val="20"/>
                <w:szCs w:val="20"/>
              </w:rPr>
            </w:pPr>
          </w:p>
        </w:tc>
        <w:tc>
          <w:tcPr>
            <w:tcW w:w="710" w:type="dxa"/>
            <w:shd w:val="clear" w:color="auto" w:fill="A6A6A6"/>
            <w:vAlign w:val="bottom"/>
          </w:tcPr>
          <w:p w14:paraId="43062D4F" w14:textId="77777777" w:rsidR="00AA6557" w:rsidRPr="00666914" w:rsidRDefault="00AA6557">
            <w:pPr>
              <w:spacing w:after="0"/>
              <w:jc w:val="center"/>
              <w:rPr>
                <w:color w:val="000000"/>
                <w:sz w:val="20"/>
                <w:szCs w:val="20"/>
              </w:rPr>
            </w:pPr>
          </w:p>
        </w:tc>
      </w:tr>
      <w:tr w:rsidR="00AA6557" w:rsidRPr="00666914" w14:paraId="6A79B568" w14:textId="77777777" w:rsidTr="006515CD">
        <w:trPr>
          <w:trHeight w:val="300"/>
        </w:trPr>
        <w:tc>
          <w:tcPr>
            <w:tcW w:w="710" w:type="dxa"/>
            <w:shd w:val="clear" w:color="auto" w:fill="auto"/>
            <w:vAlign w:val="center"/>
          </w:tcPr>
          <w:p w14:paraId="612EAF14" w14:textId="77777777" w:rsidR="00AA6557" w:rsidRPr="00666914" w:rsidRDefault="00AA6557">
            <w:pPr>
              <w:spacing w:after="0"/>
              <w:jc w:val="left"/>
              <w:rPr>
                <w:color w:val="000000"/>
                <w:sz w:val="20"/>
                <w:szCs w:val="20"/>
              </w:rPr>
            </w:pPr>
            <w:r w:rsidRPr="00666914">
              <w:rPr>
                <w:color w:val="000000"/>
                <w:sz w:val="18"/>
                <w:szCs w:val="18"/>
              </w:rPr>
              <w:t>4.2.2</w:t>
            </w:r>
          </w:p>
        </w:tc>
        <w:tc>
          <w:tcPr>
            <w:tcW w:w="1984" w:type="dxa"/>
            <w:shd w:val="clear" w:color="auto" w:fill="auto"/>
            <w:vAlign w:val="center"/>
          </w:tcPr>
          <w:p w14:paraId="56FF69DB" w14:textId="77777777" w:rsidR="00AA6557" w:rsidRPr="00666914" w:rsidRDefault="00AA6557">
            <w:pPr>
              <w:spacing w:after="0"/>
              <w:jc w:val="left"/>
              <w:rPr>
                <w:color w:val="000000"/>
                <w:sz w:val="20"/>
                <w:szCs w:val="20"/>
              </w:rPr>
            </w:pPr>
            <w:r w:rsidRPr="00666914">
              <w:rPr>
                <w:color w:val="000000"/>
                <w:sz w:val="18"/>
                <w:szCs w:val="18"/>
              </w:rPr>
              <w:t>Podpora efektívneho a transparentného trhu s pôdou – Právna úprava trhu s pôdou</w:t>
            </w:r>
          </w:p>
        </w:tc>
        <w:tc>
          <w:tcPr>
            <w:tcW w:w="2126" w:type="dxa"/>
            <w:shd w:val="clear" w:color="auto" w:fill="auto"/>
            <w:vAlign w:val="center"/>
          </w:tcPr>
          <w:p w14:paraId="1F8CDD5D" w14:textId="77777777" w:rsidR="00AA6557" w:rsidRPr="00666914" w:rsidRDefault="00AA6557">
            <w:pPr>
              <w:spacing w:after="0"/>
              <w:jc w:val="left"/>
              <w:rPr>
                <w:color w:val="000000"/>
                <w:sz w:val="20"/>
                <w:szCs w:val="20"/>
              </w:rPr>
            </w:pPr>
            <w:r w:rsidRPr="00666914">
              <w:rPr>
                <w:color w:val="000000"/>
                <w:sz w:val="18"/>
                <w:szCs w:val="18"/>
              </w:rPr>
              <w:t>Zverejňovanie obvyklej výšky nájomného</w:t>
            </w:r>
          </w:p>
        </w:tc>
        <w:tc>
          <w:tcPr>
            <w:tcW w:w="1418" w:type="dxa"/>
            <w:shd w:val="clear" w:color="auto" w:fill="auto"/>
            <w:vAlign w:val="center"/>
          </w:tcPr>
          <w:p w14:paraId="7A14F45A" w14:textId="77777777" w:rsidR="00AA6557" w:rsidRPr="00666914" w:rsidRDefault="00AA6557">
            <w:pPr>
              <w:spacing w:after="0"/>
              <w:jc w:val="center"/>
              <w:rPr>
                <w:color w:val="000000"/>
                <w:sz w:val="20"/>
                <w:szCs w:val="20"/>
              </w:rPr>
            </w:pPr>
            <w:r w:rsidRPr="00666914">
              <w:rPr>
                <w:color w:val="000000"/>
                <w:sz w:val="18"/>
                <w:szCs w:val="18"/>
              </w:rPr>
              <w:t>MPRV, Sekcia legislatívy</w:t>
            </w:r>
          </w:p>
        </w:tc>
        <w:tc>
          <w:tcPr>
            <w:tcW w:w="992" w:type="dxa"/>
            <w:shd w:val="clear" w:color="auto" w:fill="auto"/>
            <w:vAlign w:val="center"/>
          </w:tcPr>
          <w:p w14:paraId="10EF0A0C" w14:textId="77777777" w:rsidR="00AA6557" w:rsidRPr="00666914" w:rsidRDefault="00AA6557">
            <w:pPr>
              <w:spacing w:after="0"/>
              <w:jc w:val="center"/>
              <w:rPr>
                <w:color w:val="000000"/>
                <w:sz w:val="20"/>
                <w:szCs w:val="20"/>
              </w:rPr>
            </w:pPr>
            <w:r w:rsidRPr="00666914">
              <w:rPr>
                <w:color w:val="000000"/>
                <w:sz w:val="18"/>
                <w:szCs w:val="18"/>
              </w:rPr>
              <w:t>1.1.2020</w:t>
            </w:r>
          </w:p>
        </w:tc>
        <w:tc>
          <w:tcPr>
            <w:tcW w:w="709" w:type="dxa"/>
            <w:shd w:val="clear" w:color="auto" w:fill="A6A6A6"/>
            <w:vAlign w:val="bottom"/>
          </w:tcPr>
          <w:p w14:paraId="3D6130D2" w14:textId="77777777" w:rsidR="00AA6557" w:rsidRPr="00666914" w:rsidRDefault="00AA6557">
            <w:pPr>
              <w:spacing w:after="0"/>
              <w:rPr>
                <w:color w:val="000000"/>
                <w:sz w:val="20"/>
                <w:szCs w:val="20"/>
              </w:rPr>
            </w:pPr>
          </w:p>
        </w:tc>
        <w:tc>
          <w:tcPr>
            <w:tcW w:w="709" w:type="dxa"/>
            <w:shd w:val="clear" w:color="auto" w:fill="A6A6A6"/>
            <w:vAlign w:val="bottom"/>
          </w:tcPr>
          <w:p w14:paraId="549AC68C" w14:textId="77777777" w:rsidR="00AA6557" w:rsidRPr="00666914" w:rsidRDefault="00AA6557">
            <w:pPr>
              <w:spacing w:after="0"/>
              <w:rPr>
                <w:color w:val="000000"/>
                <w:sz w:val="20"/>
                <w:szCs w:val="20"/>
              </w:rPr>
            </w:pPr>
          </w:p>
        </w:tc>
        <w:tc>
          <w:tcPr>
            <w:tcW w:w="708" w:type="dxa"/>
            <w:shd w:val="clear" w:color="auto" w:fill="A6A6A6"/>
            <w:vAlign w:val="bottom"/>
          </w:tcPr>
          <w:p w14:paraId="50BFD607" w14:textId="77777777" w:rsidR="00AA6557" w:rsidRPr="00666914" w:rsidRDefault="00AA6557">
            <w:pPr>
              <w:spacing w:after="0"/>
              <w:rPr>
                <w:color w:val="000000"/>
                <w:sz w:val="20"/>
                <w:szCs w:val="20"/>
              </w:rPr>
            </w:pPr>
          </w:p>
        </w:tc>
        <w:tc>
          <w:tcPr>
            <w:tcW w:w="710" w:type="dxa"/>
            <w:shd w:val="clear" w:color="auto" w:fill="FFC000"/>
            <w:vAlign w:val="center"/>
          </w:tcPr>
          <w:p w14:paraId="6A82BD55" w14:textId="77777777" w:rsidR="00AA6557" w:rsidRPr="00666914" w:rsidRDefault="00AA6557">
            <w:pPr>
              <w:spacing w:after="0"/>
              <w:rPr>
                <w:color w:val="000000"/>
                <w:sz w:val="20"/>
                <w:szCs w:val="20"/>
              </w:rPr>
            </w:pPr>
            <w:r w:rsidRPr="00666914">
              <w:rPr>
                <w:color w:val="000000"/>
                <w:sz w:val="20"/>
                <w:szCs w:val="20"/>
              </w:rPr>
              <w:t xml:space="preserve">     </w:t>
            </w:r>
          </w:p>
          <w:p w14:paraId="34A64A35" w14:textId="77777777" w:rsidR="00AA6557" w:rsidRPr="00666914" w:rsidRDefault="00AA6557">
            <w:pPr>
              <w:spacing w:after="0"/>
              <w:rPr>
                <w:color w:val="000000"/>
                <w:sz w:val="20"/>
                <w:szCs w:val="20"/>
              </w:rPr>
            </w:pPr>
          </w:p>
        </w:tc>
      </w:tr>
      <w:tr w:rsidR="00AA6557" w:rsidRPr="00666914" w14:paraId="755CA95C" w14:textId="77777777" w:rsidTr="006515CD">
        <w:trPr>
          <w:trHeight w:val="300"/>
        </w:trPr>
        <w:tc>
          <w:tcPr>
            <w:tcW w:w="710" w:type="dxa"/>
            <w:shd w:val="clear" w:color="auto" w:fill="auto"/>
            <w:vAlign w:val="center"/>
          </w:tcPr>
          <w:p w14:paraId="5A315509" w14:textId="77777777" w:rsidR="00AA6557" w:rsidRPr="00666914" w:rsidRDefault="00AA6557">
            <w:pPr>
              <w:spacing w:after="0"/>
              <w:jc w:val="left"/>
              <w:rPr>
                <w:color w:val="000000"/>
                <w:sz w:val="20"/>
                <w:szCs w:val="20"/>
              </w:rPr>
            </w:pPr>
            <w:r w:rsidRPr="00666914">
              <w:rPr>
                <w:color w:val="000000"/>
                <w:sz w:val="18"/>
                <w:szCs w:val="18"/>
              </w:rPr>
              <w:t>4.2.3</w:t>
            </w:r>
          </w:p>
        </w:tc>
        <w:tc>
          <w:tcPr>
            <w:tcW w:w="1984" w:type="dxa"/>
            <w:shd w:val="clear" w:color="auto" w:fill="auto"/>
            <w:vAlign w:val="center"/>
          </w:tcPr>
          <w:p w14:paraId="31981695" w14:textId="77777777" w:rsidR="00AA6557" w:rsidRPr="00666914" w:rsidRDefault="00AA6557">
            <w:pPr>
              <w:spacing w:after="0"/>
              <w:jc w:val="left"/>
              <w:rPr>
                <w:color w:val="000000"/>
                <w:sz w:val="20"/>
                <w:szCs w:val="20"/>
              </w:rPr>
            </w:pPr>
            <w:r w:rsidRPr="00666914">
              <w:rPr>
                <w:color w:val="000000"/>
                <w:sz w:val="18"/>
                <w:szCs w:val="18"/>
              </w:rPr>
              <w:t>Podpora efektívneho a transparentného trhu s pôdou – Právna úprava trhu s pôdou</w:t>
            </w:r>
          </w:p>
        </w:tc>
        <w:tc>
          <w:tcPr>
            <w:tcW w:w="2126" w:type="dxa"/>
            <w:shd w:val="clear" w:color="auto" w:fill="auto"/>
            <w:vAlign w:val="center"/>
          </w:tcPr>
          <w:p w14:paraId="32A72394" w14:textId="77777777" w:rsidR="00AA6557" w:rsidRPr="00666914" w:rsidRDefault="00AA6557">
            <w:pPr>
              <w:spacing w:after="0"/>
              <w:jc w:val="left"/>
              <w:rPr>
                <w:color w:val="000000"/>
                <w:sz w:val="20"/>
                <w:szCs w:val="20"/>
              </w:rPr>
            </w:pPr>
            <w:r w:rsidRPr="00666914">
              <w:rPr>
                <w:color w:val="000000"/>
                <w:sz w:val="18"/>
                <w:szCs w:val="18"/>
              </w:rPr>
              <w:t>Vytvoriť a zverejniť centrálny register fyzických a právnických osôb užívajúcich pôdu</w:t>
            </w:r>
          </w:p>
        </w:tc>
        <w:tc>
          <w:tcPr>
            <w:tcW w:w="1418" w:type="dxa"/>
            <w:shd w:val="clear" w:color="auto" w:fill="auto"/>
            <w:vAlign w:val="center"/>
          </w:tcPr>
          <w:p w14:paraId="510CA940" w14:textId="77777777" w:rsidR="00AA6557" w:rsidRPr="00666914" w:rsidRDefault="00AA6557">
            <w:pPr>
              <w:spacing w:after="0"/>
              <w:jc w:val="center"/>
              <w:rPr>
                <w:color w:val="000000"/>
                <w:sz w:val="20"/>
                <w:szCs w:val="20"/>
              </w:rPr>
            </w:pPr>
            <w:r w:rsidRPr="00666914">
              <w:rPr>
                <w:color w:val="000000"/>
                <w:sz w:val="18"/>
                <w:szCs w:val="18"/>
              </w:rPr>
              <w:t>MPRV, Sekcia legislatívy</w:t>
            </w:r>
          </w:p>
        </w:tc>
        <w:tc>
          <w:tcPr>
            <w:tcW w:w="992" w:type="dxa"/>
            <w:shd w:val="clear" w:color="auto" w:fill="auto"/>
            <w:vAlign w:val="center"/>
          </w:tcPr>
          <w:p w14:paraId="6DC5D6D6" w14:textId="77777777" w:rsidR="00AA6557" w:rsidRPr="00666914" w:rsidRDefault="00AA6557">
            <w:pPr>
              <w:spacing w:after="0"/>
              <w:jc w:val="center"/>
              <w:rPr>
                <w:color w:val="000000"/>
                <w:sz w:val="20"/>
                <w:szCs w:val="20"/>
              </w:rPr>
            </w:pPr>
            <w:r w:rsidRPr="00666914">
              <w:rPr>
                <w:color w:val="000000"/>
                <w:sz w:val="18"/>
                <w:szCs w:val="18"/>
              </w:rPr>
              <w:t>1.1.2021</w:t>
            </w:r>
          </w:p>
        </w:tc>
        <w:tc>
          <w:tcPr>
            <w:tcW w:w="709" w:type="dxa"/>
            <w:shd w:val="clear" w:color="auto" w:fill="A6A6A6"/>
            <w:vAlign w:val="bottom"/>
          </w:tcPr>
          <w:p w14:paraId="59CFC0BC" w14:textId="77777777" w:rsidR="00AA6557" w:rsidRPr="00666914" w:rsidRDefault="00AA6557">
            <w:pPr>
              <w:spacing w:after="0"/>
              <w:rPr>
                <w:color w:val="000000"/>
                <w:sz w:val="20"/>
                <w:szCs w:val="20"/>
              </w:rPr>
            </w:pPr>
          </w:p>
        </w:tc>
        <w:tc>
          <w:tcPr>
            <w:tcW w:w="709" w:type="dxa"/>
            <w:shd w:val="clear" w:color="auto" w:fill="A6A6A6"/>
            <w:vAlign w:val="bottom"/>
          </w:tcPr>
          <w:p w14:paraId="1221C2D8" w14:textId="77777777" w:rsidR="00AA6557" w:rsidRPr="00666914" w:rsidRDefault="00AA6557">
            <w:pPr>
              <w:spacing w:after="0"/>
              <w:rPr>
                <w:color w:val="000000"/>
                <w:sz w:val="20"/>
                <w:szCs w:val="20"/>
              </w:rPr>
            </w:pPr>
          </w:p>
        </w:tc>
        <w:tc>
          <w:tcPr>
            <w:tcW w:w="708" w:type="dxa"/>
            <w:shd w:val="clear" w:color="auto" w:fill="A6A6A6"/>
            <w:vAlign w:val="bottom"/>
          </w:tcPr>
          <w:p w14:paraId="343C8414" w14:textId="77777777" w:rsidR="00AA6557" w:rsidRPr="00666914" w:rsidRDefault="00AA6557">
            <w:pPr>
              <w:spacing w:after="0"/>
              <w:rPr>
                <w:color w:val="000000"/>
                <w:sz w:val="20"/>
                <w:szCs w:val="20"/>
              </w:rPr>
            </w:pPr>
          </w:p>
        </w:tc>
        <w:tc>
          <w:tcPr>
            <w:tcW w:w="710" w:type="dxa"/>
            <w:shd w:val="clear" w:color="auto" w:fill="A6A6A6"/>
            <w:vAlign w:val="bottom"/>
          </w:tcPr>
          <w:p w14:paraId="10A3C22B" w14:textId="77777777" w:rsidR="00AA6557" w:rsidRPr="00666914" w:rsidRDefault="00AA6557">
            <w:pPr>
              <w:spacing w:after="0"/>
              <w:jc w:val="center"/>
              <w:rPr>
                <w:color w:val="000000"/>
                <w:sz w:val="20"/>
                <w:szCs w:val="20"/>
              </w:rPr>
            </w:pPr>
          </w:p>
        </w:tc>
      </w:tr>
      <w:tr w:rsidR="00AA6557" w:rsidRPr="00666914" w14:paraId="2505532C" w14:textId="77777777" w:rsidTr="006515CD">
        <w:trPr>
          <w:trHeight w:val="300"/>
        </w:trPr>
        <w:tc>
          <w:tcPr>
            <w:tcW w:w="710" w:type="dxa"/>
            <w:shd w:val="clear" w:color="auto" w:fill="auto"/>
            <w:vAlign w:val="center"/>
          </w:tcPr>
          <w:p w14:paraId="7EDA2208" w14:textId="77777777" w:rsidR="00AA6557" w:rsidRPr="00666914" w:rsidRDefault="00AA6557">
            <w:pPr>
              <w:spacing w:after="0"/>
              <w:jc w:val="left"/>
              <w:rPr>
                <w:color w:val="000000"/>
                <w:sz w:val="20"/>
                <w:szCs w:val="20"/>
              </w:rPr>
            </w:pPr>
            <w:r w:rsidRPr="00666914">
              <w:rPr>
                <w:color w:val="000000"/>
                <w:sz w:val="18"/>
                <w:szCs w:val="18"/>
              </w:rPr>
              <w:t>5.1</w:t>
            </w:r>
          </w:p>
        </w:tc>
        <w:tc>
          <w:tcPr>
            <w:tcW w:w="1984" w:type="dxa"/>
            <w:shd w:val="clear" w:color="auto" w:fill="auto"/>
            <w:vAlign w:val="center"/>
          </w:tcPr>
          <w:p w14:paraId="1158979A" w14:textId="77777777" w:rsidR="00AA6557" w:rsidRPr="00666914" w:rsidRDefault="00AA6557">
            <w:pPr>
              <w:spacing w:after="0"/>
              <w:jc w:val="left"/>
              <w:rPr>
                <w:color w:val="000000"/>
                <w:sz w:val="20"/>
                <w:szCs w:val="20"/>
              </w:rPr>
            </w:pPr>
            <w:r w:rsidRPr="00666914">
              <w:rPr>
                <w:color w:val="000000"/>
                <w:sz w:val="18"/>
                <w:szCs w:val="18"/>
              </w:rPr>
              <w:t>Riadenie rizika v poľnohospodárstve</w:t>
            </w:r>
          </w:p>
        </w:tc>
        <w:tc>
          <w:tcPr>
            <w:tcW w:w="2126" w:type="dxa"/>
            <w:shd w:val="clear" w:color="auto" w:fill="auto"/>
            <w:vAlign w:val="center"/>
          </w:tcPr>
          <w:p w14:paraId="0EBCAAD1" w14:textId="77777777" w:rsidR="00AA6557" w:rsidRPr="00666914" w:rsidRDefault="00AA6557">
            <w:pPr>
              <w:spacing w:after="0"/>
              <w:jc w:val="left"/>
              <w:rPr>
                <w:color w:val="000000"/>
                <w:sz w:val="20"/>
                <w:szCs w:val="20"/>
              </w:rPr>
            </w:pPr>
            <w:r w:rsidRPr="00666914">
              <w:rPr>
                <w:color w:val="000000"/>
                <w:sz w:val="18"/>
                <w:szCs w:val="18"/>
              </w:rPr>
              <w:t>Podpora komerčného poistenia rizika v poľnohospodárstve</w:t>
            </w:r>
          </w:p>
        </w:tc>
        <w:tc>
          <w:tcPr>
            <w:tcW w:w="1418" w:type="dxa"/>
            <w:shd w:val="clear" w:color="auto" w:fill="auto"/>
            <w:vAlign w:val="center"/>
          </w:tcPr>
          <w:p w14:paraId="76F1CC6B" w14:textId="77777777" w:rsidR="00AA6557" w:rsidRPr="00666914" w:rsidRDefault="00AA6557">
            <w:pPr>
              <w:spacing w:after="0"/>
              <w:jc w:val="center"/>
              <w:rPr>
                <w:color w:val="000000"/>
                <w:sz w:val="20"/>
                <w:szCs w:val="20"/>
              </w:rPr>
            </w:pPr>
            <w:r w:rsidRPr="00666914">
              <w:rPr>
                <w:color w:val="000000"/>
                <w:sz w:val="18"/>
                <w:szCs w:val="18"/>
              </w:rPr>
              <w:t>MPRV, Sekcia rozvoja vidieka a priamych platieb</w:t>
            </w:r>
          </w:p>
        </w:tc>
        <w:tc>
          <w:tcPr>
            <w:tcW w:w="992" w:type="dxa"/>
            <w:shd w:val="clear" w:color="auto" w:fill="auto"/>
            <w:vAlign w:val="center"/>
          </w:tcPr>
          <w:p w14:paraId="353C236D" w14:textId="77777777" w:rsidR="00AA6557" w:rsidRPr="00666914" w:rsidRDefault="00AA6557">
            <w:pPr>
              <w:spacing w:after="0"/>
              <w:jc w:val="center"/>
              <w:rPr>
                <w:color w:val="000000"/>
                <w:sz w:val="20"/>
                <w:szCs w:val="20"/>
              </w:rPr>
            </w:pPr>
            <w:r w:rsidRPr="00666914">
              <w:rPr>
                <w:color w:val="000000"/>
                <w:sz w:val="18"/>
                <w:szCs w:val="18"/>
              </w:rPr>
              <w:t>1.1.2020</w:t>
            </w:r>
          </w:p>
        </w:tc>
        <w:tc>
          <w:tcPr>
            <w:tcW w:w="709" w:type="dxa"/>
            <w:shd w:val="clear" w:color="auto" w:fill="A6A6A6"/>
            <w:vAlign w:val="bottom"/>
          </w:tcPr>
          <w:p w14:paraId="5F27DE7E" w14:textId="77777777" w:rsidR="00AA6557" w:rsidRPr="00666914" w:rsidRDefault="00AA6557">
            <w:pPr>
              <w:spacing w:after="0"/>
              <w:rPr>
                <w:color w:val="000000"/>
                <w:sz w:val="20"/>
                <w:szCs w:val="20"/>
              </w:rPr>
            </w:pPr>
          </w:p>
        </w:tc>
        <w:tc>
          <w:tcPr>
            <w:tcW w:w="709" w:type="dxa"/>
            <w:shd w:val="clear" w:color="auto" w:fill="A6A6A6"/>
            <w:vAlign w:val="bottom"/>
          </w:tcPr>
          <w:p w14:paraId="178F7612" w14:textId="77777777" w:rsidR="00AA6557" w:rsidRPr="00666914" w:rsidRDefault="00AA6557">
            <w:pPr>
              <w:spacing w:after="0"/>
              <w:rPr>
                <w:color w:val="000000"/>
                <w:sz w:val="20"/>
                <w:szCs w:val="20"/>
              </w:rPr>
            </w:pPr>
          </w:p>
        </w:tc>
        <w:tc>
          <w:tcPr>
            <w:tcW w:w="708" w:type="dxa"/>
            <w:shd w:val="clear" w:color="auto" w:fill="A6A6A6"/>
            <w:vAlign w:val="bottom"/>
          </w:tcPr>
          <w:p w14:paraId="75B15266" w14:textId="77777777" w:rsidR="00AA6557" w:rsidRPr="00666914" w:rsidRDefault="00AA6557">
            <w:pPr>
              <w:spacing w:after="0"/>
              <w:rPr>
                <w:color w:val="000000"/>
                <w:sz w:val="20"/>
                <w:szCs w:val="20"/>
              </w:rPr>
            </w:pPr>
          </w:p>
        </w:tc>
        <w:tc>
          <w:tcPr>
            <w:tcW w:w="710" w:type="dxa"/>
            <w:shd w:val="clear" w:color="auto" w:fill="FFC000"/>
            <w:vAlign w:val="center"/>
          </w:tcPr>
          <w:p w14:paraId="2EB3064C" w14:textId="77777777" w:rsidR="00AA6557" w:rsidRPr="00666914" w:rsidRDefault="00AA6557">
            <w:pPr>
              <w:spacing w:after="0"/>
              <w:jc w:val="center"/>
              <w:rPr>
                <w:color w:val="000000"/>
                <w:sz w:val="20"/>
                <w:szCs w:val="20"/>
              </w:rPr>
            </w:pPr>
          </w:p>
        </w:tc>
      </w:tr>
      <w:tr w:rsidR="00AA6557" w:rsidRPr="00666914" w14:paraId="1525E004" w14:textId="77777777" w:rsidTr="006515CD">
        <w:trPr>
          <w:trHeight w:val="300"/>
        </w:trPr>
        <w:tc>
          <w:tcPr>
            <w:tcW w:w="710" w:type="dxa"/>
            <w:shd w:val="clear" w:color="auto" w:fill="auto"/>
            <w:vAlign w:val="center"/>
          </w:tcPr>
          <w:p w14:paraId="58549659" w14:textId="77777777" w:rsidR="00AA6557" w:rsidRPr="00666914" w:rsidRDefault="00AA6557">
            <w:pPr>
              <w:spacing w:after="0"/>
              <w:jc w:val="left"/>
              <w:rPr>
                <w:color w:val="000000"/>
                <w:sz w:val="20"/>
                <w:szCs w:val="20"/>
              </w:rPr>
            </w:pPr>
            <w:r w:rsidRPr="00666914">
              <w:rPr>
                <w:color w:val="000000"/>
                <w:sz w:val="18"/>
                <w:szCs w:val="18"/>
              </w:rPr>
              <w:t>5.2</w:t>
            </w:r>
          </w:p>
        </w:tc>
        <w:tc>
          <w:tcPr>
            <w:tcW w:w="1984" w:type="dxa"/>
            <w:shd w:val="clear" w:color="auto" w:fill="auto"/>
            <w:vAlign w:val="center"/>
          </w:tcPr>
          <w:p w14:paraId="4018CC98" w14:textId="77777777" w:rsidR="00AA6557" w:rsidRPr="00666914" w:rsidRDefault="00AA6557">
            <w:pPr>
              <w:spacing w:after="0"/>
              <w:jc w:val="left"/>
              <w:rPr>
                <w:color w:val="000000"/>
                <w:sz w:val="20"/>
                <w:szCs w:val="20"/>
              </w:rPr>
            </w:pPr>
            <w:r w:rsidRPr="00666914">
              <w:rPr>
                <w:color w:val="000000"/>
                <w:sz w:val="18"/>
                <w:szCs w:val="18"/>
              </w:rPr>
              <w:t>Riadenie rizika v poľnohospodárstve</w:t>
            </w:r>
          </w:p>
        </w:tc>
        <w:tc>
          <w:tcPr>
            <w:tcW w:w="2126" w:type="dxa"/>
            <w:shd w:val="clear" w:color="auto" w:fill="auto"/>
            <w:vAlign w:val="center"/>
          </w:tcPr>
          <w:p w14:paraId="126DAB27" w14:textId="77777777" w:rsidR="00AA6557" w:rsidRPr="00666914" w:rsidRDefault="00AA6557">
            <w:pPr>
              <w:spacing w:after="0"/>
              <w:jc w:val="left"/>
              <w:rPr>
                <w:color w:val="000000"/>
                <w:sz w:val="20"/>
                <w:szCs w:val="20"/>
              </w:rPr>
            </w:pPr>
            <w:r w:rsidRPr="00666914">
              <w:rPr>
                <w:color w:val="000000"/>
                <w:sz w:val="18"/>
                <w:szCs w:val="18"/>
              </w:rPr>
              <w:t>Vytvorenie systémového nástroja na riadenie katastrofických rizík</w:t>
            </w:r>
          </w:p>
        </w:tc>
        <w:tc>
          <w:tcPr>
            <w:tcW w:w="1418" w:type="dxa"/>
            <w:shd w:val="clear" w:color="auto" w:fill="auto"/>
            <w:vAlign w:val="center"/>
          </w:tcPr>
          <w:p w14:paraId="144BB908" w14:textId="77777777" w:rsidR="00AA6557" w:rsidRPr="00666914" w:rsidRDefault="00AA6557">
            <w:pPr>
              <w:spacing w:after="0"/>
              <w:jc w:val="center"/>
              <w:rPr>
                <w:color w:val="000000"/>
                <w:sz w:val="20"/>
                <w:szCs w:val="20"/>
              </w:rPr>
            </w:pPr>
            <w:r w:rsidRPr="00666914">
              <w:rPr>
                <w:color w:val="000000"/>
                <w:sz w:val="18"/>
                <w:szCs w:val="18"/>
              </w:rPr>
              <w:t>MPRV, Sekcia analýz, výkazníctva a projektov, UHP MF SR</w:t>
            </w:r>
          </w:p>
        </w:tc>
        <w:tc>
          <w:tcPr>
            <w:tcW w:w="992" w:type="dxa"/>
            <w:shd w:val="clear" w:color="auto" w:fill="auto"/>
            <w:vAlign w:val="center"/>
          </w:tcPr>
          <w:p w14:paraId="380634C9" w14:textId="77777777" w:rsidR="00AA6557" w:rsidRPr="00666914" w:rsidRDefault="00AA6557">
            <w:pPr>
              <w:spacing w:after="0"/>
              <w:jc w:val="center"/>
              <w:rPr>
                <w:color w:val="000000"/>
                <w:sz w:val="20"/>
                <w:szCs w:val="20"/>
              </w:rPr>
            </w:pPr>
            <w:r w:rsidRPr="00666914">
              <w:rPr>
                <w:color w:val="000000"/>
                <w:sz w:val="18"/>
                <w:szCs w:val="18"/>
              </w:rPr>
              <w:t>1.1.2021</w:t>
            </w:r>
          </w:p>
        </w:tc>
        <w:tc>
          <w:tcPr>
            <w:tcW w:w="709" w:type="dxa"/>
            <w:shd w:val="clear" w:color="auto" w:fill="A6A6A6"/>
            <w:vAlign w:val="bottom"/>
          </w:tcPr>
          <w:p w14:paraId="6123C46E" w14:textId="77777777" w:rsidR="00AA6557" w:rsidRPr="00666914" w:rsidRDefault="00AA6557">
            <w:pPr>
              <w:spacing w:after="0"/>
              <w:rPr>
                <w:color w:val="000000"/>
                <w:sz w:val="20"/>
                <w:szCs w:val="20"/>
              </w:rPr>
            </w:pPr>
          </w:p>
        </w:tc>
        <w:tc>
          <w:tcPr>
            <w:tcW w:w="709" w:type="dxa"/>
            <w:shd w:val="clear" w:color="auto" w:fill="A6A6A6"/>
            <w:vAlign w:val="bottom"/>
          </w:tcPr>
          <w:p w14:paraId="34339FC1" w14:textId="77777777" w:rsidR="00AA6557" w:rsidRPr="00666914" w:rsidRDefault="00AA6557">
            <w:pPr>
              <w:spacing w:after="0"/>
              <w:rPr>
                <w:color w:val="000000"/>
                <w:sz w:val="20"/>
                <w:szCs w:val="20"/>
              </w:rPr>
            </w:pPr>
          </w:p>
        </w:tc>
        <w:tc>
          <w:tcPr>
            <w:tcW w:w="708" w:type="dxa"/>
            <w:shd w:val="clear" w:color="auto" w:fill="A6A6A6"/>
            <w:vAlign w:val="bottom"/>
          </w:tcPr>
          <w:p w14:paraId="3B848941" w14:textId="77777777" w:rsidR="00AA6557" w:rsidRPr="00666914" w:rsidRDefault="00AA6557">
            <w:pPr>
              <w:spacing w:after="0"/>
              <w:rPr>
                <w:color w:val="000000"/>
                <w:sz w:val="20"/>
                <w:szCs w:val="20"/>
              </w:rPr>
            </w:pPr>
          </w:p>
        </w:tc>
        <w:tc>
          <w:tcPr>
            <w:tcW w:w="710" w:type="dxa"/>
            <w:shd w:val="clear" w:color="auto" w:fill="A6A6A6"/>
            <w:vAlign w:val="bottom"/>
          </w:tcPr>
          <w:p w14:paraId="669249CB" w14:textId="77777777" w:rsidR="00AA6557" w:rsidRPr="00666914" w:rsidRDefault="00AA6557">
            <w:pPr>
              <w:spacing w:after="0"/>
              <w:jc w:val="center"/>
              <w:rPr>
                <w:color w:val="000000"/>
                <w:sz w:val="20"/>
                <w:szCs w:val="20"/>
              </w:rPr>
            </w:pPr>
          </w:p>
        </w:tc>
      </w:tr>
      <w:tr w:rsidR="00AA6557" w:rsidRPr="00666914" w14:paraId="7F437718" w14:textId="77777777" w:rsidTr="006515CD">
        <w:trPr>
          <w:trHeight w:val="300"/>
        </w:trPr>
        <w:tc>
          <w:tcPr>
            <w:tcW w:w="710" w:type="dxa"/>
            <w:shd w:val="clear" w:color="auto" w:fill="auto"/>
            <w:vAlign w:val="center"/>
          </w:tcPr>
          <w:p w14:paraId="690FC92D" w14:textId="77777777" w:rsidR="00AA6557" w:rsidRPr="00666914" w:rsidRDefault="00AA6557">
            <w:pPr>
              <w:spacing w:after="0"/>
              <w:jc w:val="left"/>
              <w:rPr>
                <w:color w:val="000000"/>
                <w:sz w:val="20"/>
                <w:szCs w:val="20"/>
              </w:rPr>
            </w:pPr>
            <w:r w:rsidRPr="00666914">
              <w:rPr>
                <w:color w:val="000000"/>
                <w:sz w:val="18"/>
                <w:szCs w:val="18"/>
              </w:rPr>
              <w:t>6.1</w:t>
            </w:r>
          </w:p>
        </w:tc>
        <w:tc>
          <w:tcPr>
            <w:tcW w:w="1984" w:type="dxa"/>
            <w:shd w:val="clear" w:color="auto" w:fill="auto"/>
            <w:vAlign w:val="center"/>
          </w:tcPr>
          <w:p w14:paraId="1DA5A761" w14:textId="77777777" w:rsidR="00AA6557" w:rsidRPr="00666914" w:rsidRDefault="00AA6557">
            <w:pPr>
              <w:spacing w:after="0"/>
              <w:jc w:val="left"/>
              <w:rPr>
                <w:color w:val="000000"/>
                <w:sz w:val="20"/>
                <w:szCs w:val="20"/>
              </w:rPr>
            </w:pPr>
            <w:r w:rsidRPr="00666914">
              <w:rPr>
                <w:color w:val="000000"/>
                <w:sz w:val="18"/>
                <w:szCs w:val="18"/>
              </w:rPr>
              <w:t>Efektívnejšia podpora spolupráce farmárov</w:t>
            </w:r>
          </w:p>
        </w:tc>
        <w:tc>
          <w:tcPr>
            <w:tcW w:w="2126" w:type="dxa"/>
            <w:shd w:val="clear" w:color="auto" w:fill="auto"/>
            <w:vAlign w:val="center"/>
          </w:tcPr>
          <w:p w14:paraId="7712FA85" w14:textId="77777777" w:rsidR="00AA6557" w:rsidRPr="00666914" w:rsidRDefault="00AA6557">
            <w:pPr>
              <w:spacing w:after="0"/>
              <w:jc w:val="left"/>
              <w:rPr>
                <w:color w:val="000000"/>
                <w:sz w:val="20"/>
                <w:szCs w:val="20"/>
              </w:rPr>
            </w:pPr>
            <w:r w:rsidRPr="00666914">
              <w:rPr>
                <w:color w:val="000000"/>
                <w:sz w:val="18"/>
                <w:szCs w:val="18"/>
              </w:rPr>
              <w:t>Podmieniť výber podporených organizácií výrobcov ukazovateľmi výkonu a dĺžkou existencie</w:t>
            </w:r>
          </w:p>
        </w:tc>
        <w:tc>
          <w:tcPr>
            <w:tcW w:w="1418" w:type="dxa"/>
            <w:shd w:val="clear" w:color="auto" w:fill="auto"/>
            <w:vAlign w:val="center"/>
          </w:tcPr>
          <w:p w14:paraId="2E21A8B1" w14:textId="77777777" w:rsidR="00AA6557" w:rsidRPr="00666914" w:rsidRDefault="00AA6557">
            <w:pPr>
              <w:spacing w:after="0"/>
              <w:jc w:val="center"/>
              <w:rPr>
                <w:color w:val="000000"/>
                <w:sz w:val="20"/>
                <w:szCs w:val="20"/>
              </w:rPr>
            </w:pPr>
            <w:r w:rsidRPr="00666914">
              <w:rPr>
                <w:color w:val="000000"/>
                <w:sz w:val="18"/>
                <w:szCs w:val="18"/>
              </w:rPr>
              <w:t>MPRV, Sekcia priamych platieb a rozvoja vidieka</w:t>
            </w:r>
          </w:p>
        </w:tc>
        <w:tc>
          <w:tcPr>
            <w:tcW w:w="992" w:type="dxa"/>
            <w:shd w:val="clear" w:color="auto" w:fill="auto"/>
            <w:vAlign w:val="center"/>
          </w:tcPr>
          <w:p w14:paraId="5C516930" w14:textId="77777777" w:rsidR="00AA6557" w:rsidRPr="00666914" w:rsidRDefault="00AA6557">
            <w:pPr>
              <w:spacing w:after="0"/>
              <w:jc w:val="center"/>
              <w:rPr>
                <w:color w:val="000000"/>
                <w:sz w:val="20"/>
                <w:szCs w:val="20"/>
              </w:rPr>
            </w:pPr>
            <w:r w:rsidRPr="00666914">
              <w:rPr>
                <w:color w:val="000000"/>
                <w:sz w:val="18"/>
                <w:szCs w:val="18"/>
              </w:rPr>
              <w:t>1.1.2021</w:t>
            </w:r>
          </w:p>
        </w:tc>
        <w:tc>
          <w:tcPr>
            <w:tcW w:w="709" w:type="dxa"/>
            <w:shd w:val="clear" w:color="auto" w:fill="A6A6A6"/>
            <w:vAlign w:val="bottom"/>
          </w:tcPr>
          <w:p w14:paraId="3A3D3CF1" w14:textId="77777777" w:rsidR="00AA6557" w:rsidRPr="00666914" w:rsidRDefault="00AA6557">
            <w:pPr>
              <w:spacing w:after="0"/>
              <w:rPr>
                <w:color w:val="000000"/>
                <w:sz w:val="20"/>
                <w:szCs w:val="20"/>
              </w:rPr>
            </w:pPr>
          </w:p>
        </w:tc>
        <w:tc>
          <w:tcPr>
            <w:tcW w:w="709" w:type="dxa"/>
            <w:shd w:val="clear" w:color="auto" w:fill="A6A6A6"/>
            <w:vAlign w:val="bottom"/>
          </w:tcPr>
          <w:p w14:paraId="5A57AF9C" w14:textId="77777777" w:rsidR="00AA6557" w:rsidRPr="00666914" w:rsidRDefault="00AA6557">
            <w:pPr>
              <w:spacing w:after="0"/>
              <w:rPr>
                <w:color w:val="000000"/>
                <w:sz w:val="20"/>
                <w:szCs w:val="20"/>
              </w:rPr>
            </w:pPr>
          </w:p>
        </w:tc>
        <w:tc>
          <w:tcPr>
            <w:tcW w:w="708" w:type="dxa"/>
            <w:shd w:val="clear" w:color="auto" w:fill="A6A6A6"/>
            <w:vAlign w:val="bottom"/>
          </w:tcPr>
          <w:p w14:paraId="70F8C724" w14:textId="77777777" w:rsidR="00AA6557" w:rsidRPr="00666914" w:rsidRDefault="00AA6557">
            <w:pPr>
              <w:spacing w:after="0"/>
              <w:rPr>
                <w:color w:val="000000"/>
                <w:sz w:val="20"/>
                <w:szCs w:val="20"/>
              </w:rPr>
            </w:pPr>
          </w:p>
        </w:tc>
        <w:tc>
          <w:tcPr>
            <w:tcW w:w="710" w:type="dxa"/>
            <w:shd w:val="clear" w:color="auto" w:fill="A6A6A6"/>
            <w:vAlign w:val="bottom"/>
          </w:tcPr>
          <w:p w14:paraId="12FC9742" w14:textId="77777777" w:rsidR="00AA6557" w:rsidRPr="00666914" w:rsidRDefault="00AA6557">
            <w:pPr>
              <w:spacing w:after="0"/>
              <w:jc w:val="center"/>
              <w:rPr>
                <w:color w:val="000000"/>
                <w:sz w:val="20"/>
                <w:szCs w:val="20"/>
              </w:rPr>
            </w:pPr>
          </w:p>
        </w:tc>
      </w:tr>
      <w:tr w:rsidR="00AA6557" w:rsidRPr="00666914" w14:paraId="5BFD2132" w14:textId="77777777" w:rsidTr="006515CD">
        <w:trPr>
          <w:trHeight w:val="315"/>
        </w:trPr>
        <w:tc>
          <w:tcPr>
            <w:tcW w:w="710" w:type="dxa"/>
            <w:shd w:val="clear" w:color="auto" w:fill="auto"/>
            <w:vAlign w:val="center"/>
          </w:tcPr>
          <w:p w14:paraId="5A3CD5CB" w14:textId="77777777" w:rsidR="00AA6557" w:rsidRPr="00666914" w:rsidRDefault="00AA6557">
            <w:pPr>
              <w:spacing w:after="0"/>
              <w:jc w:val="left"/>
              <w:rPr>
                <w:color w:val="000000"/>
                <w:sz w:val="20"/>
                <w:szCs w:val="20"/>
              </w:rPr>
            </w:pPr>
            <w:r w:rsidRPr="00666914">
              <w:rPr>
                <w:color w:val="000000"/>
                <w:sz w:val="18"/>
                <w:szCs w:val="18"/>
              </w:rPr>
              <w:t>7.1</w:t>
            </w:r>
          </w:p>
        </w:tc>
        <w:tc>
          <w:tcPr>
            <w:tcW w:w="1984" w:type="dxa"/>
            <w:shd w:val="clear" w:color="auto" w:fill="auto"/>
            <w:vAlign w:val="center"/>
          </w:tcPr>
          <w:p w14:paraId="6AE2B32C" w14:textId="77777777" w:rsidR="00AA6557" w:rsidRPr="00666914" w:rsidRDefault="00AA6557">
            <w:pPr>
              <w:spacing w:after="0"/>
              <w:jc w:val="left"/>
              <w:rPr>
                <w:color w:val="000000"/>
                <w:sz w:val="20"/>
                <w:szCs w:val="20"/>
              </w:rPr>
            </w:pPr>
            <w:r w:rsidRPr="00666914">
              <w:rPr>
                <w:color w:val="000000"/>
                <w:sz w:val="18"/>
                <w:szCs w:val="18"/>
              </w:rPr>
              <w:t>Podpora investícií v pôdohospodárstve a na vidieku s použitím finančných nástrojov</w:t>
            </w:r>
          </w:p>
        </w:tc>
        <w:tc>
          <w:tcPr>
            <w:tcW w:w="2126" w:type="dxa"/>
            <w:shd w:val="clear" w:color="auto" w:fill="auto"/>
            <w:vAlign w:val="center"/>
          </w:tcPr>
          <w:p w14:paraId="16008471" w14:textId="77777777" w:rsidR="00AA6557" w:rsidRPr="00666914" w:rsidRDefault="00AA6557">
            <w:pPr>
              <w:spacing w:after="0"/>
              <w:jc w:val="left"/>
              <w:rPr>
                <w:color w:val="000000"/>
                <w:sz w:val="20"/>
                <w:szCs w:val="20"/>
              </w:rPr>
            </w:pPr>
            <w:r w:rsidRPr="00666914">
              <w:rPr>
                <w:color w:val="000000"/>
                <w:sz w:val="18"/>
                <w:szCs w:val="18"/>
              </w:rPr>
              <w:t>Identifikovať investičné oblasti v rámci SPP, ktoré je ekonomicky možné podporiť návratnými formami financovania alebo kombináciou návratného a nenávratného financovania</w:t>
            </w:r>
          </w:p>
        </w:tc>
        <w:tc>
          <w:tcPr>
            <w:tcW w:w="1418" w:type="dxa"/>
            <w:vAlign w:val="center"/>
          </w:tcPr>
          <w:p w14:paraId="2CE5946E" w14:textId="77777777" w:rsidR="00AA6557" w:rsidRPr="00666914" w:rsidRDefault="00AA6557">
            <w:pPr>
              <w:spacing w:after="0"/>
              <w:jc w:val="center"/>
              <w:rPr>
                <w:color w:val="000000"/>
                <w:sz w:val="20"/>
                <w:szCs w:val="20"/>
              </w:rPr>
            </w:pPr>
            <w:r w:rsidRPr="00666914">
              <w:rPr>
                <w:color w:val="000000"/>
                <w:sz w:val="18"/>
                <w:szCs w:val="18"/>
              </w:rPr>
              <w:t>MPRV, Sekcia rozvoja vidieka a priamych platieb</w:t>
            </w:r>
          </w:p>
        </w:tc>
        <w:tc>
          <w:tcPr>
            <w:tcW w:w="992" w:type="dxa"/>
            <w:vAlign w:val="center"/>
          </w:tcPr>
          <w:p w14:paraId="7E7C0E55" w14:textId="77777777" w:rsidR="00AA6557" w:rsidRPr="00666914" w:rsidRDefault="00AA6557">
            <w:pPr>
              <w:spacing w:after="0"/>
              <w:jc w:val="center"/>
              <w:rPr>
                <w:color w:val="000000"/>
                <w:sz w:val="20"/>
                <w:szCs w:val="20"/>
              </w:rPr>
            </w:pPr>
            <w:r w:rsidRPr="00666914">
              <w:rPr>
                <w:color w:val="000000"/>
                <w:sz w:val="18"/>
                <w:szCs w:val="18"/>
              </w:rPr>
              <w:t>2019 – 2027</w:t>
            </w:r>
          </w:p>
        </w:tc>
        <w:tc>
          <w:tcPr>
            <w:tcW w:w="709" w:type="dxa"/>
            <w:shd w:val="clear" w:color="auto" w:fill="A6A6A6"/>
            <w:vAlign w:val="bottom"/>
          </w:tcPr>
          <w:p w14:paraId="783ED2EE" w14:textId="77777777" w:rsidR="00AA6557" w:rsidRPr="00666914" w:rsidRDefault="00AA6557">
            <w:pPr>
              <w:spacing w:after="0"/>
              <w:rPr>
                <w:color w:val="000000"/>
                <w:sz w:val="20"/>
                <w:szCs w:val="20"/>
              </w:rPr>
            </w:pPr>
          </w:p>
        </w:tc>
        <w:tc>
          <w:tcPr>
            <w:tcW w:w="709" w:type="dxa"/>
            <w:shd w:val="clear" w:color="auto" w:fill="A6A6A6"/>
            <w:vAlign w:val="bottom"/>
          </w:tcPr>
          <w:p w14:paraId="1D2EDEA3" w14:textId="77777777" w:rsidR="00AA6557" w:rsidRPr="00666914" w:rsidRDefault="00AA6557">
            <w:pPr>
              <w:spacing w:after="0"/>
              <w:rPr>
                <w:color w:val="FF0000"/>
                <w:sz w:val="20"/>
                <w:szCs w:val="20"/>
              </w:rPr>
            </w:pPr>
          </w:p>
        </w:tc>
        <w:tc>
          <w:tcPr>
            <w:tcW w:w="708" w:type="dxa"/>
            <w:shd w:val="clear" w:color="auto" w:fill="A6A6A6"/>
            <w:vAlign w:val="bottom"/>
          </w:tcPr>
          <w:p w14:paraId="2A1FD587" w14:textId="77777777" w:rsidR="00AA6557" w:rsidRPr="00666914" w:rsidRDefault="00AA6557">
            <w:pPr>
              <w:spacing w:after="0"/>
              <w:rPr>
                <w:color w:val="FF0000"/>
                <w:sz w:val="20"/>
                <w:szCs w:val="20"/>
              </w:rPr>
            </w:pPr>
          </w:p>
        </w:tc>
        <w:tc>
          <w:tcPr>
            <w:tcW w:w="710" w:type="dxa"/>
            <w:shd w:val="clear" w:color="auto" w:fill="FF0000"/>
            <w:vAlign w:val="center"/>
          </w:tcPr>
          <w:p w14:paraId="224F6C5E" w14:textId="77777777" w:rsidR="00AA6557" w:rsidRPr="00666914" w:rsidRDefault="00AA6557">
            <w:pPr>
              <w:spacing w:after="0"/>
              <w:jc w:val="center"/>
              <w:rPr>
                <w:color w:val="FF0000"/>
                <w:sz w:val="20"/>
                <w:szCs w:val="20"/>
              </w:rPr>
            </w:pPr>
          </w:p>
        </w:tc>
      </w:tr>
      <w:tr w:rsidR="00AA6557" w:rsidRPr="00666914" w14:paraId="54916BB9" w14:textId="77777777" w:rsidTr="006515CD">
        <w:trPr>
          <w:trHeight w:val="315"/>
        </w:trPr>
        <w:tc>
          <w:tcPr>
            <w:tcW w:w="710" w:type="dxa"/>
            <w:shd w:val="clear" w:color="auto" w:fill="auto"/>
            <w:vAlign w:val="center"/>
          </w:tcPr>
          <w:p w14:paraId="18EF6D35" w14:textId="77777777" w:rsidR="00AA6557" w:rsidRPr="00666914" w:rsidRDefault="00AA6557">
            <w:pPr>
              <w:spacing w:after="0"/>
              <w:jc w:val="left"/>
              <w:rPr>
                <w:color w:val="000000"/>
                <w:sz w:val="20"/>
                <w:szCs w:val="20"/>
              </w:rPr>
            </w:pPr>
            <w:r w:rsidRPr="00666914">
              <w:rPr>
                <w:color w:val="000000"/>
                <w:sz w:val="18"/>
                <w:szCs w:val="18"/>
              </w:rPr>
              <w:t>7.2</w:t>
            </w:r>
          </w:p>
        </w:tc>
        <w:tc>
          <w:tcPr>
            <w:tcW w:w="1984" w:type="dxa"/>
            <w:shd w:val="clear" w:color="auto" w:fill="auto"/>
            <w:vAlign w:val="center"/>
          </w:tcPr>
          <w:p w14:paraId="343D4F44" w14:textId="77777777" w:rsidR="00AA6557" w:rsidRPr="00666914" w:rsidRDefault="00AA6557">
            <w:pPr>
              <w:spacing w:after="0"/>
              <w:jc w:val="left"/>
              <w:rPr>
                <w:color w:val="000000"/>
                <w:sz w:val="20"/>
                <w:szCs w:val="20"/>
              </w:rPr>
            </w:pPr>
            <w:r w:rsidRPr="00666914">
              <w:rPr>
                <w:color w:val="000000"/>
                <w:sz w:val="18"/>
                <w:szCs w:val="18"/>
              </w:rPr>
              <w:t>Podpora investícií v pôdohospodárstve a na vidieku s použitím finančných nástrojov</w:t>
            </w:r>
          </w:p>
        </w:tc>
        <w:tc>
          <w:tcPr>
            <w:tcW w:w="2126" w:type="dxa"/>
            <w:shd w:val="clear" w:color="auto" w:fill="auto"/>
            <w:vAlign w:val="center"/>
          </w:tcPr>
          <w:p w14:paraId="2F16A258" w14:textId="77777777" w:rsidR="00AA6557" w:rsidRPr="00666914" w:rsidRDefault="00AA6557">
            <w:pPr>
              <w:spacing w:after="0"/>
              <w:jc w:val="left"/>
              <w:rPr>
                <w:color w:val="000000"/>
                <w:sz w:val="20"/>
                <w:szCs w:val="20"/>
              </w:rPr>
            </w:pPr>
            <w:r w:rsidRPr="00666914">
              <w:rPr>
                <w:color w:val="000000"/>
                <w:sz w:val="18"/>
                <w:szCs w:val="18"/>
              </w:rPr>
              <w:t>V oblastiach identifikovaných ako vhodné na návratné financovanie alebo na kombináciu návratného a nenávratného financovania, ukončiť poskytovanie výlučne nenávratného financovania</w:t>
            </w:r>
          </w:p>
        </w:tc>
        <w:tc>
          <w:tcPr>
            <w:tcW w:w="1418" w:type="dxa"/>
            <w:shd w:val="clear" w:color="auto" w:fill="auto"/>
            <w:vAlign w:val="center"/>
          </w:tcPr>
          <w:p w14:paraId="125EDE1E" w14:textId="77777777" w:rsidR="00AA6557" w:rsidRPr="00666914" w:rsidRDefault="00AA6557">
            <w:pPr>
              <w:spacing w:after="0"/>
              <w:jc w:val="center"/>
              <w:rPr>
                <w:color w:val="000000"/>
                <w:sz w:val="20"/>
                <w:szCs w:val="20"/>
              </w:rPr>
            </w:pPr>
            <w:r w:rsidRPr="00666914">
              <w:rPr>
                <w:color w:val="000000"/>
                <w:sz w:val="18"/>
                <w:szCs w:val="18"/>
              </w:rPr>
              <w:t>MPRV, Sekcia rozvoja vidieka a priamych platieb</w:t>
            </w:r>
          </w:p>
        </w:tc>
        <w:tc>
          <w:tcPr>
            <w:tcW w:w="992" w:type="dxa"/>
            <w:shd w:val="clear" w:color="auto" w:fill="auto"/>
            <w:vAlign w:val="center"/>
          </w:tcPr>
          <w:p w14:paraId="5C7BD7B3" w14:textId="77777777" w:rsidR="00AA6557" w:rsidRPr="00666914" w:rsidRDefault="00AA6557">
            <w:pPr>
              <w:spacing w:after="0"/>
              <w:jc w:val="center"/>
              <w:rPr>
                <w:color w:val="000000"/>
                <w:sz w:val="20"/>
                <w:szCs w:val="20"/>
              </w:rPr>
            </w:pPr>
            <w:r w:rsidRPr="00666914">
              <w:rPr>
                <w:color w:val="000000"/>
                <w:sz w:val="18"/>
                <w:szCs w:val="18"/>
              </w:rPr>
              <w:t>2021 – 2027</w:t>
            </w:r>
          </w:p>
        </w:tc>
        <w:tc>
          <w:tcPr>
            <w:tcW w:w="709" w:type="dxa"/>
            <w:shd w:val="clear" w:color="auto" w:fill="A6A6A6"/>
            <w:vAlign w:val="bottom"/>
          </w:tcPr>
          <w:p w14:paraId="160ECDB7" w14:textId="77777777" w:rsidR="00AA6557" w:rsidRPr="00666914" w:rsidRDefault="00AA6557">
            <w:pPr>
              <w:spacing w:after="0"/>
              <w:rPr>
                <w:color w:val="000000"/>
                <w:sz w:val="20"/>
                <w:szCs w:val="20"/>
              </w:rPr>
            </w:pPr>
          </w:p>
        </w:tc>
        <w:tc>
          <w:tcPr>
            <w:tcW w:w="709" w:type="dxa"/>
            <w:shd w:val="clear" w:color="auto" w:fill="A6A6A6"/>
            <w:vAlign w:val="bottom"/>
          </w:tcPr>
          <w:p w14:paraId="50F6973B" w14:textId="77777777" w:rsidR="00AA6557" w:rsidRPr="00666914" w:rsidRDefault="00AA6557">
            <w:pPr>
              <w:spacing w:after="0"/>
              <w:rPr>
                <w:color w:val="FF0000"/>
                <w:sz w:val="20"/>
                <w:szCs w:val="20"/>
              </w:rPr>
            </w:pPr>
          </w:p>
        </w:tc>
        <w:tc>
          <w:tcPr>
            <w:tcW w:w="708" w:type="dxa"/>
            <w:shd w:val="clear" w:color="auto" w:fill="A6A6A6"/>
            <w:vAlign w:val="bottom"/>
          </w:tcPr>
          <w:p w14:paraId="1F14A3A7" w14:textId="77777777" w:rsidR="00AA6557" w:rsidRPr="00666914" w:rsidRDefault="00AA6557">
            <w:pPr>
              <w:spacing w:after="0"/>
              <w:rPr>
                <w:color w:val="FF0000"/>
                <w:sz w:val="20"/>
                <w:szCs w:val="20"/>
              </w:rPr>
            </w:pPr>
          </w:p>
        </w:tc>
        <w:tc>
          <w:tcPr>
            <w:tcW w:w="710" w:type="dxa"/>
            <w:shd w:val="clear" w:color="auto" w:fill="A6A6A6"/>
            <w:vAlign w:val="bottom"/>
          </w:tcPr>
          <w:p w14:paraId="75D702C0" w14:textId="77777777" w:rsidR="00AA6557" w:rsidRPr="00666914" w:rsidRDefault="00AA6557">
            <w:pPr>
              <w:spacing w:after="0"/>
              <w:jc w:val="center"/>
              <w:rPr>
                <w:color w:val="FF0000"/>
                <w:sz w:val="20"/>
                <w:szCs w:val="20"/>
              </w:rPr>
            </w:pPr>
          </w:p>
        </w:tc>
      </w:tr>
      <w:tr w:rsidR="00AA6557" w:rsidRPr="00666914" w14:paraId="4C3B9503" w14:textId="77777777" w:rsidTr="006515CD">
        <w:trPr>
          <w:trHeight w:val="315"/>
        </w:trPr>
        <w:tc>
          <w:tcPr>
            <w:tcW w:w="710" w:type="dxa"/>
            <w:shd w:val="clear" w:color="auto" w:fill="auto"/>
            <w:vAlign w:val="center"/>
          </w:tcPr>
          <w:p w14:paraId="69DE684E" w14:textId="77777777" w:rsidR="00AA6557" w:rsidRPr="00666914" w:rsidRDefault="00AA6557">
            <w:pPr>
              <w:spacing w:after="0"/>
              <w:jc w:val="left"/>
              <w:rPr>
                <w:color w:val="000000"/>
                <w:sz w:val="20"/>
                <w:szCs w:val="20"/>
              </w:rPr>
            </w:pPr>
            <w:r w:rsidRPr="00666914">
              <w:rPr>
                <w:color w:val="000000"/>
                <w:sz w:val="18"/>
                <w:szCs w:val="18"/>
              </w:rPr>
              <w:t>8.1</w:t>
            </w:r>
          </w:p>
        </w:tc>
        <w:tc>
          <w:tcPr>
            <w:tcW w:w="1984" w:type="dxa"/>
            <w:shd w:val="clear" w:color="auto" w:fill="auto"/>
            <w:vAlign w:val="center"/>
          </w:tcPr>
          <w:p w14:paraId="145458D9" w14:textId="77777777" w:rsidR="00AA6557" w:rsidRPr="00666914" w:rsidRDefault="00AA6557">
            <w:pPr>
              <w:spacing w:after="0"/>
              <w:jc w:val="left"/>
              <w:rPr>
                <w:color w:val="000000"/>
                <w:sz w:val="20"/>
                <w:szCs w:val="20"/>
              </w:rPr>
            </w:pPr>
            <w:r w:rsidRPr="00666914">
              <w:rPr>
                <w:color w:val="000000"/>
                <w:sz w:val="18"/>
                <w:szCs w:val="18"/>
              </w:rPr>
              <w:t>Efektívnejšia podpora mladých začínajúcich poľnohospodárov</w:t>
            </w:r>
          </w:p>
        </w:tc>
        <w:tc>
          <w:tcPr>
            <w:tcW w:w="2126" w:type="dxa"/>
            <w:shd w:val="clear" w:color="auto" w:fill="auto"/>
            <w:vAlign w:val="center"/>
          </w:tcPr>
          <w:p w14:paraId="02E12E83" w14:textId="77777777" w:rsidR="00AA6557" w:rsidRPr="00666914" w:rsidRDefault="00AA6557">
            <w:pPr>
              <w:spacing w:after="0"/>
              <w:jc w:val="left"/>
              <w:rPr>
                <w:color w:val="000000"/>
                <w:sz w:val="20"/>
                <w:szCs w:val="20"/>
              </w:rPr>
            </w:pPr>
            <w:r w:rsidRPr="00666914">
              <w:rPr>
                <w:color w:val="000000"/>
                <w:sz w:val="18"/>
                <w:szCs w:val="18"/>
              </w:rPr>
              <w:t>Navýšiť hektárovú hranicu pre podporu mladých poľnohospodárov prostredníctvom priamych platieb</w:t>
            </w:r>
          </w:p>
        </w:tc>
        <w:tc>
          <w:tcPr>
            <w:tcW w:w="1418" w:type="dxa"/>
            <w:shd w:val="clear" w:color="auto" w:fill="auto"/>
            <w:vAlign w:val="center"/>
          </w:tcPr>
          <w:p w14:paraId="13C21B7A" w14:textId="77777777" w:rsidR="00AA6557" w:rsidRPr="00666914" w:rsidRDefault="00AA6557">
            <w:pPr>
              <w:spacing w:after="0"/>
              <w:jc w:val="center"/>
              <w:rPr>
                <w:color w:val="000000"/>
                <w:sz w:val="20"/>
                <w:szCs w:val="20"/>
              </w:rPr>
            </w:pPr>
            <w:r w:rsidRPr="00666914">
              <w:rPr>
                <w:color w:val="000000"/>
                <w:sz w:val="18"/>
                <w:szCs w:val="18"/>
              </w:rPr>
              <w:t>MPRV, Sekcia rozvoja vidieka a priamych platieb</w:t>
            </w:r>
          </w:p>
        </w:tc>
        <w:tc>
          <w:tcPr>
            <w:tcW w:w="992" w:type="dxa"/>
            <w:shd w:val="clear" w:color="auto" w:fill="auto"/>
            <w:vAlign w:val="center"/>
          </w:tcPr>
          <w:p w14:paraId="18A4E088" w14:textId="77777777" w:rsidR="00AA6557" w:rsidRPr="00666914" w:rsidRDefault="00AA6557">
            <w:pPr>
              <w:spacing w:after="0"/>
              <w:jc w:val="center"/>
              <w:rPr>
                <w:color w:val="000000"/>
                <w:sz w:val="20"/>
                <w:szCs w:val="20"/>
              </w:rPr>
            </w:pPr>
            <w:r w:rsidRPr="00666914">
              <w:rPr>
                <w:color w:val="000000"/>
                <w:sz w:val="18"/>
                <w:szCs w:val="18"/>
              </w:rPr>
              <w:t>1.1.2021</w:t>
            </w:r>
          </w:p>
        </w:tc>
        <w:tc>
          <w:tcPr>
            <w:tcW w:w="709" w:type="dxa"/>
            <w:shd w:val="clear" w:color="auto" w:fill="A6A6A6"/>
            <w:vAlign w:val="bottom"/>
          </w:tcPr>
          <w:p w14:paraId="08467749" w14:textId="77777777" w:rsidR="00AA6557" w:rsidRPr="00666914" w:rsidRDefault="00AA6557">
            <w:pPr>
              <w:spacing w:after="0"/>
              <w:rPr>
                <w:color w:val="000000"/>
                <w:sz w:val="20"/>
                <w:szCs w:val="20"/>
              </w:rPr>
            </w:pPr>
          </w:p>
        </w:tc>
        <w:tc>
          <w:tcPr>
            <w:tcW w:w="709" w:type="dxa"/>
            <w:shd w:val="clear" w:color="auto" w:fill="A6A6A6"/>
            <w:vAlign w:val="bottom"/>
          </w:tcPr>
          <w:p w14:paraId="125ACFA3" w14:textId="77777777" w:rsidR="00AA6557" w:rsidRPr="00666914" w:rsidRDefault="00AA6557">
            <w:pPr>
              <w:spacing w:after="0"/>
              <w:rPr>
                <w:color w:val="FF0000"/>
                <w:sz w:val="20"/>
                <w:szCs w:val="20"/>
              </w:rPr>
            </w:pPr>
          </w:p>
        </w:tc>
        <w:tc>
          <w:tcPr>
            <w:tcW w:w="708" w:type="dxa"/>
            <w:shd w:val="clear" w:color="auto" w:fill="A6A6A6"/>
            <w:vAlign w:val="bottom"/>
          </w:tcPr>
          <w:p w14:paraId="40DC68D2" w14:textId="77777777" w:rsidR="00AA6557" w:rsidRPr="00666914" w:rsidRDefault="00AA6557">
            <w:pPr>
              <w:spacing w:after="0"/>
              <w:rPr>
                <w:color w:val="FF0000"/>
                <w:sz w:val="20"/>
                <w:szCs w:val="20"/>
              </w:rPr>
            </w:pPr>
          </w:p>
        </w:tc>
        <w:tc>
          <w:tcPr>
            <w:tcW w:w="710" w:type="dxa"/>
            <w:shd w:val="clear" w:color="auto" w:fill="A6A6A6"/>
            <w:vAlign w:val="bottom"/>
          </w:tcPr>
          <w:p w14:paraId="62AE1A80" w14:textId="77777777" w:rsidR="00AA6557" w:rsidRPr="00666914" w:rsidRDefault="00AA6557">
            <w:pPr>
              <w:spacing w:after="0"/>
              <w:jc w:val="center"/>
              <w:rPr>
                <w:color w:val="FF0000"/>
                <w:sz w:val="20"/>
                <w:szCs w:val="20"/>
              </w:rPr>
            </w:pPr>
          </w:p>
        </w:tc>
      </w:tr>
      <w:tr w:rsidR="00AA6557" w:rsidRPr="00666914" w14:paraId="6E3BB393" w14:textId="77777777" w:rsidTr="006515CD">
        <w:trPr>
          <w:trHeight w:val="315"/>
        </w:trPr>
        <w:tc>
          <w:tcPr>
            <w:tcW w:w="710" w:type="dxa"/>
            <w:shd w:val="clear" w:color="auto" w:fill="auto"/>
            <w:vAlign w:val="center"/>
          </w:tcPr>
          <w:p w14:paraId="24D07F3D" w14:textId="77777777" w:rsidR="00AA6557" w:rsidRPr="00666914" w:rsidRDefault="00AA6557">
            <w:pPr>
              <w:spacing w:after="0"/>
              <w:jc w:val="left"/>
              <w:rPr>
                <w:color w:val="000000"/>
                <w:sz w:val="20"/>
                <w:szCs w:val="20"/>
              </w:rPr>
            </w:pPr>
            <w:r w:rsidRPr="00666914">
              <w:rPr>
                <w:color w:val="000000"/>
                <w:sz w:val="18"/>
                <w:szCs w:val="18"/>
              </w:rPr>
              <w:t>8.2</w:t>
            </w:r>
          </w:p>
        </w:tc>
        <w:tc>
          <w:tcPr>
            <w:tcW w:w="1984" w:type="dxa"/>
            <w:shd w:val="clear" w:color="auto" w:fill="auto"/>
            <w:vAlign w:val="center"/>
          </w:tcPr>
          <w:p w14:paraId="6DAE1742" w14:textId="77777777" w:rsidR="00AA6557" w:rsidRPr="00666914" w:rsidRDefault="00AA6557">
            <w:pPr>
              <w:spacing w:after="0"/>
              <w:jc w:val="left"/>
              <w:rPr>
                <w:color w:val="000000"/>
                <w:sz w:val="20"/>
                <w:szCs w:val="20"/>
              </w:rPr>
            </w:pPr>
            <w:r w:rsidRPr="00666914">
              <w:rPr>
                <w:color w:val="000000"/>
                <w:sz w:val="18"/>
                <w:szCs w:val="18"/>
              </w:rPr>
              <w:t>Efektívnejšia podpora mladých začínajúcich poľnohospodárov</w:t>
            </w:r>
          </w:p>
        </w:tc>
        <w:tc>
          <w:tcPr>
            <w:tcW w:w="2126" w:type="dxa"/>
            <w:shd w:val="clear" w:color="auto" w:fill="auto"/>
            <w:vAlign w:val="center"/>
          </w:tcPr>
          <w:p w14:paraId="4ABF1F7C" w14:textId="77777777" w:rsidR="00AA6557" w:rsidRPr="00666914" w:rsidRDefault="00AA6557">
            <w:pPr>
              <w:spacing w:after="0"/>
              <w:jc w:val="left"/>
              <w:rPr>
                <w:color w:val="000000"/>
                <w:sz w:val="20"/>
                <w:szCs w:val="20"/>
              </w:rPr>
            </w:pPr>
            <w:r w:rsidRPr="00666914">
              <w:rPr>
                <w:color w:val="000000"/>
                <w:sz w:val="18"/>
                <w:szCs w:val="18"/>
              </w:rPr>
              <w:t>Podporiť investície mladých poľnohospodárov v rámci PRV prostredníctvom bodového zvýhodnenia a formou nastavenia vhodných typov výziev a veľkosti projektov</w:t>
            </w:r>
          </w:p>
        </w:tc>
        <w:tc>
          <w:tcPr>
            <w:tcW w:w="1418" w:type="dxa"/>
            <w:vAlign w:val="center"/>
          </w:tcPr>
          <w:p w14:paraId="2127B017" w14:textId="77777777" w:rsidR="00AA6557" w:rsidRPr="00666914" w:rsidRDefault="00AA6557">
            <w:pPr>
              <w:spacing w:after="0"/>
              <w:jc w:val="center"/>
              <w:rPr>
                <w:color w:val="000000"/>
                <w:sz w:val="20"/>
                <w:szCs w:val="20"/>
              </w:rPr>
            </w:pPr>
            <w:r w:rsidRPr="00666914">
              <w:rPr>
                <w:color w:val="000000"/>
                <w:sz w:val="18"/>
                <w:szCs w:val="18"/>
              </w:rPr>
              <w:t>MPRV, Sekcia rozvoja vidieka a priamych platieb</w:t>
            </w:r>
          </w:p>
        </w:tc>
        <w:tc>
          <w:tcPr>
            <w:tcW w:w="992" w:type="dxa"/>
            <w:vAlign w:val="center"/>
          </w:tcPr>
          <w:p w14:paraId="0A9B263E" w14:textId="77777777" w:rsidR="00AA6557" w:rsidRPr="00666914" w:rsidRDefault="00AA6557">
            <w:pPr>
              <w:spacing w:after="0"/>
              <w:jc w:val="center"/>
              <w:rPr>
                <w:color w:val="000000"/>
                <w:sz w:val="20"/>
                <w:szCs w:val="20"/>
              </w:rPr>
            </w:pPr>
            <w:r w:rsidRPr="00666914">
              <w:rPr>
                <w:color w:val="000000"/>
                <w:sz w:val="18"/>
                <w:szCs w:val="18"/>
              </w:rPr>
              <w:t>1.1.2021</w:t>
            </w:r>
          </w:p>
        </w:tc>
        <w:tc>
          <w:tcPr>
            <w:tcW w:w="709" w:type="dxa"/>
            <w:shd w:val="clear" w:color="auto" w:fill="A6A6A6"/>
            <w:vAlign w:val="bottom"/>
          </w:tcPr>
          <w:p w14:paraId="7D16E1BA" w14:textId="77777777" w:rsidR="00AA6557" w:rsidRPr="00666914" w:rsidRDefault="00AA6557">
            <w:pPr>
              <w:spacing w:after="0"/>
              <w:rPr>
                <w:color w:val="000000"/>
                <w:sz w:val="20"/>
                <w:szCs w:val="20"/>
              </w:rPr>
            </w:pPr>
          </w:p>
        </w:tc>
        <w:tc>
          <w:tcPr>
            <w:tcW w:w="709" w:type="dxa"/>
            <w:shd w:val="clear" w:color="auto" w:fill="A6A6A6"/>
            <w:vAlign w:val="bottom"/>
          </w:tcPr>
          <w:p w14:paraId="71DE882A" w14:textId="77777777" w:rsidR="00AA6557" w:rsidRPr="00666914" w:rsidRDefault="00AA6557">
            <w:pPr>
              <w:spacing w:after="0"/>
              <w:rPr>
                <w:color w:val="FF0000"/>
                <w:sz w:val="20"/>
                <w:szCs w:val="20"/>
              </w:rPr>
            </w:pPr>
          </w:p>
        </w:tc>
        <w:tc>
          <w:tcPr>
            <w:tcW w:w="708" w:type="dxa"/>
            <w:shd w:val="clear" w:color="auto" w:fill="A6A6A6"/>
            <w:vAlign w:val="bottom"/>
          </w:tcPr>
          <w:p w14:paraId="011AAD2C" w14:textId="77777777" w:rsidR="00AA6557" w:rsidRPr="00666914" w:rsidRDefault="00AA6557">
            <w:pPr>
              <w:spacing w:after="0"/>
              <w:rPr>
                <w:color w:val="FF0000"/>
                <w:sz w:val="20"/>
                <w:szCs w:val="20"/>
              </w:rPr>
            </w:pPr>
          </w:p>
        </w:tc>
        <w:tc>
          <w:tcPr>
            <w:tcW w:w="710" w:type="dxa"/>
            <w:shd w:val="clear" w:color="auto" w:fill="A6A6A6"/>
            <w:vAlign w:val="bottom"/>
          </w:tcPr>
          <w:p w14:paraId="77721279" w14:textId="77777777" w:rsidR="00AA6557" w:rsidRPr="00666914" w:rsidRDefault="00AA6557">
            <w:pPr>
              <w:spacing w:after="0"/>
              <w:jc w:val="center"/>
              <w:rPr>
                <w:color w:val="FF0000"/>
                <w:sz w:val="20"/>
                <w:szCs w:val="20"/>
              </w:rPr>
            </w:pPr>
          </w:p>
        </w:tc>
      </w:tr>
      <w:tr w:rsidR="00AA6557" w:rsidRPr="00666914" w14:paraId="12512546" w14:textId="77777777" w:rsidTr="006515CD">
        <w:trPr>
          <w:trHeight w:val="315"/>
        </w:trPr>
        <w:tc>
          <w:tcPr>
            <w:tcW w:w="710" w:type="dxa"/>
            <w:shd w:val="clear" w:color="auto" w:fill="auto"/>
            <w:vAlign w:val="center"/>
          </w:tcPr>
          <w:p w14:paraId="0365114E" w14:textId="77777777" w:rsidR="00AA6557" w:rsidRPr="00666914" w:rsidRDefault="00AA6557">
            <w:pPr>
              <w:spacing w:after="0"/>
              <w:jc w:val="left"/>
              <w:rPr>
                <w:color w:val="000000"/>
                <w:sz w:val="20"/>
                <w:szCs w:val="20"/>
              </w:rPr>
            </w:pPr>
            <w:r w:rsidRPr="00666914">
              <w:rPr>
                <w:color w:val="000000"/>
                <w:sz w:val="18"/>
                <w:szCs w:val="18"/>
              </w:rPr>
              <w:t>8.3</w:t>
            </w:r>
          </w:p>
        </w:tc>
        <w:tc>
          <w:tcPr>
            <w:tcW w:w="1984" w:type="dxa"/>
            <w:shd w:val="clear" w:color="auto" w:fill="auto"/>
            <w:vAlign w:val="center"/>
          </w:tcPr>
          <w:p w14:paraId="57559D66" w14:textId="77777777" w:rsidR="00AA6557" w:rsidRPr="00666914" w:rsidRDefault="00AA6557">
            <w:pPr>
              <w:spacing w:after="0"/>
              <w:jc w:val="left"/>
              <w:rPr>
                <w:color w:val="000000"/>
                <w:sz w:val="20"/>
                <w:szCs w:val="20"/>
              </w:rPr>
            </w:pPr>
            <w:r w:rsidRPr="00666914">
              <w:rPr>
                <w:color w:val="000000"/>
                <w:sz w:val="18"/>
                <w:szCs w:val="18"/>
              </w:rPr>
              <w:t>Efektívnejšia podpora mladých začínajúcich poľnohospodárov</w:t>
            </w:r>
          </w:p>
        </w:tc>
        <w:tc>
          <w:tcPr>
            <w:tcW w:w="2126" w:type="dxa"/>
            <w:shd w:val="clear" w:color="auto" w:fill="auto"/>
            <w:vAlign w:val="center"/>
          </w:tcPr>
          <w:p w14:paraId="0A843783" w14:textId="77777777" w:rsidR="00AA6557" w:rsidRPr="00666914" w:rsidRDefault="00AA6557">
            <w:pPr>
              <w:spacing w:after="0"/>
              <w:jc w:val="left"/>
              <w:rPr>
                <w:color w:val="000000"/>
                <w:sz w:val="20"/>
                <w:szCs w:val="20"/>
              </w:rPr>
            </w:pPr>
            <w:r w:rsidRPr="00666914">
              <w:rPr>
                <w:color w:val="000000"/>
                <w:sz w:val="18"/>
                <w:szCs w:val="18"/>
              </w:rPr>
              <w:t>Zvýšiť maximálnu podporu pre mladého poľnohospodára na začatie podnikania</w:t>
            </w:r>
          </w:p>
        </w:tc>
        <w:tc>
          <w:tcPr>
            <w:tcW w:w="1418" w:type="dxa"/>
            <w:vAlign w:val="center"/>
          </w:tcPr>
          <w:p w14:paraId="0D524DD2" w14:textId="77777777" w:rsidR="00AA6557" w:rsidRPr="00666914" w:rsidRDefault="00AA6557">
            <w:pPr>
              <w:spacing w:after="0"/>
              <w:jc w:val="center"/>
              <w:rPr>
                <w:color w:val="000000"/>
                <w:sz w:val="20"/>
                <w:szCs w:val="20"/>
              </w:rPr>
            </w:pPr>
            <w:r w:rsidRPr="00666914">
              <w:rPr>
                <w:color w:val="000000"/>
                <w:sz w:val="18"/>
                <w:szCs w:val="18"/>
              </w:rPr>
              <w:t>MPRV, Sekcia rozvoja vidieka a priamych platieb, PPA</w:t>
            </w:r>
          </w:p>
        </w:tc>
        <w:tc>
          <w:tcPr>
            <w:tcW w:w="992" w:type="dxa"/>
            <w:shd w:val="clear" w:color="auto" w:fill="auto"/>
            <w:vAlign w:val="center"/>
          </w:tcPr>
          <w:p w14:paraId="298031BB" w14:textId="77777777" w:rsidR="00AA6557" w:rsidRPr="00666914" w:rsidRDefault="00AA6557">
            <w:pPr>
              <w:spacing w:after="0"/>
              <w:jc w:val="center"/>
              <w:rPr>
                <w:color w:val="000000"/>
                <w:sz w:val="20"/>
                <w:szCs w:val="20"/>
              </w:rPr>
            </w:pPr>
            <w:r w:rsidRPr="00666914">
              <w:rPr>
                <w:color w:val="000000"/>
                <w:sz w:val="18"/>
                <w:szCs w:val="18"/>
              </w:rPr>
              <w:t>1.1.2021</w:t>
            </w:r>
          </w:p>
        </w:tc>
        <w:tc>
          <w:tcPr>
            <w:tcW w:w="709" w:type="dxa"/>
            <w:shd w:val="clear" w:color="auto" w:fill="A6A6A6"/>
            <w:vAlign w:val="bottom"/>
          </w:tcPr>
          <w:p w14:paraId="36008E81" w14:textId="77777777" w:rsidR="00AA6557" w:rsidRPr="00666914" w:rsidRDefault="00AA6557">
            <w:pPr>
              <w:spacing w:after="0"/>
              <w:rPr>
                <w:color w:val="000000"/>
                <w:sz w:val="20"/>
                <w:szCs w:val="20"/>
              </w:rPr>
            </w:pPr>
          </w:p>
        </w:tc>
        <w:tc>
          <w:tcPr>
            <w:tcW w:w="709" w:type="dxa"/>
            <w:shd w:val="clear" w:color="auto" w:fill="A6A6A6"/>
            <w:vAlign w:val="bottom"/>
          </w:tcPr>
          <w:p w14:paraId="4E67ADD9" w14:textId="77777777" w:rsidR="00AA6557" w:rsidRPr="00666914" w:rsidRDefault="00AA6557">
            <w:pPr>
              <w:spacing w:after="0"/>
              <w:rPr>
                <w:color w:val="FF0000"/>
                <w:sz w:val="20"/>
                <w:szCs w:val="20"/>
              </w:rPr>
            </w:pPr>
          </w:p>
        </w:tc>
        <w:tc>
          <w:tcPr>
            <w:tcW w:w="708" w:type="dxa"/>
            <w:shd w:val="clear" w:color="auto" w:fill="A6A6A6"/>
            <w:vAlign w:val="bottom"/>
          </w:tcPr>
          <w:p w14:paraId="7A854681" w14:textId="77777777" w:rsidR="00AA6557" w:rsidRPr="00666914" w:rsidRDefault="00AA6557">
            <w:pPr>
              <w:spacing w:after="0"/>
              <w:rPr>
                <w:color w:val="FF0000"/>
                <w:sz w:val="20"/>
                <w:szCs w:val="20"/>
              </w:rPr>
            </w:pPr>
          </w:p>
        </w:tc>
        <w:tc>
          <w:tcPr>
            <w:tcW w:w="710" w:type="dxa"/>
            <w:shd w:val="clear" w:color="auto" w:fill="A6A6A6"/>
            <w:vAlign w:val="bottom"/>
          </w:tcPr>
          <w:p w14:paraId="65EEB98C" w14:textId="77777777" w:rsidR="00AA6557" w:rsidRPr="00666914" w:rsidRDefault="00AA6557">
            <w:pPr>
              <w:spacing w:after="0"/>
              <w:jc w:val="center"/>
              <w:rPr>
                <w:color w:val="FF0000"/>
                <w:sz w:val="20"/>
                <w:szCs w:val="20"/>
              </w:rPr>
            </w:pPr>
          </w:p>
        </w:tc>
      </w:tr>
      <w:tr w:rsidR="00AA6557" w:rsidRPr="00666914" w14:paraId="607970B7" w14:textId="77777777" w:rsidTr="006515CD">
        <w:trPr>
          <w:trHeight w:val="315"/>
        </w:trPr>
        <w:tc>
          <w:tcPr>
            <w:tcW w:w="710" w:type="dxa"/>
            <w:shd w:val="clear" w:color="auto" w:fill="auto"/>
            <w:vAlign w:val="center"/>
          </w:tcPr>
          <w:p w14:paraId="4E0FBA1B" w14:textId="77777777" w:rsidR="00AA6557" w:rsidRPr="00666914" w:rsidRDefault="00AA6557">
            <w:pPr>
              <w:spacing w:after="0"/>
              <w:jc w:val="left"/>
              <w:rPr>
                <w:color w:val="000000"/>
                <w:sz w:val="20"/>
                <w:szCs w:val="20"/>
              </w:rPr>
            </w:pPr>
            <w:r w:rsidRPr="00666914">
              <w:rPr>
                <w:color w:val="000000"/>
                <w:sz w:val="18"/>
                <w:szCs w:val="18"/>
              </w:rPr>
              <w:t>8.4</w:t>
            </w:r>
          </w:p>
        </w:tc>
        <w:tc>
          <w:tcPr>
            <w:tcW w:w="1984" w:type="dxa"/>
            <w:shd w:val="clear" w:color="auto" w:fill="auto"/>
            <w:vAlign w:val="center"/>
          </w:tcPr>
          <w:p w14:paraId="4C63892E" w14:textId="77777777" w:rsidR="00AA6557" w:rsidRPr="00666914" w:rsidRDefault="00AA6557">
            <w:pPr>
              <w:spacing w:after="0"/>
              <w:jc w:val="left"/>
              <w:rPr>
                <w:color w:val="000000"/>
                <w:sz w:val="20"/>
                <w:szCs w:val="20"/>
              </w:rPr>
            </w:pPr>
            <w:r w:rsidRPr="00666914">
              <w:rPr>
                <w:color w:val="000000"/>
                <w:sz w:val="18"/>
                <w:szCs w:val="18"/>
              </w:rPr>
              <w:t>Efektívnejšia podpora mladých začínajúcich poľnohospodárov</w:t>
            </w:r>
          </w:p>
        </w:tc>
        <w:tc>
          <w:tcPr>
            <w:tcW w:w="2126" w:type="dxa"/>
            <w:shd w:val="clear" w:color="auto" w:fill="auto"/>
            <w:vAlign w:val="center"/>
          </w:tcPr>
          <w:p w14:paraId="21928EB7" w14:textId="77777777" w:rsidR="00AA6557" w:rsidRPr="00666914" w:rsidRDefault="00AA6557">
            <w:pPr>
              <w:spacing w:after="0"/>
              <w:jc w:val="left"/>
              <w:rPr>
                <w:color w:val="000000"/>
                <w:sz w:val="20"/>
                <w:szCs w:val="20"/>
              </w:rPr>
            </w:pPr>
            <w:r w:rsidRPr="00666914">
              <w:rPr>
                <w:color w:val="000000"/>
                <w:sz w:val="18"/>
                <w:szCs w:val="18"/>
              </w:rPr>
              <w:t xml:space="preserve">Zvýšiť frekvenciu a pravidelnosť výziev pre mladých poľnohospodárov </w:t>
            </w:r>
            <w:r w:rsidRPr="00666914">
              <w:rPr>
                <w:color w:val="000000"/>
                <w:sz w:val="18"/>
                <w:szCs w:val="18"/>
              </w:rPr>
              <w:lastRenderedPageBreak/>
              <w:t>a v rámci projektových opatrení v PRV</w:t>
            </w:r>
          </w:p>
        </w:tc>
        <w:tc>
          <w:tcPr>
            <w:tcW w:w="1418" w:type="dxa"/>
            <w:shd w:val="clear" w:color="auto" w:fill="auto"/>
            <w:vAlign w:val="center"/>
          </w:tcPr>
          <w:p w14:paraId="0E79D6A1" w14:textId="77777777" w:rsidR="00AA6557" w:rsidRPr="00666914" w:rsidRDefault="00AA6557">
            <w:pPr>
              <w:spacing w:after="0"/>
              <w:jc w:val="center"/>
              <w:rPr>
                <w:color w:val="000000"/>
                <w:sz w:val="20"/>
                <w:szCs w:val="20"/>
              </w:rPr>
            </w:pPr>
            <w:r w:rsidRPr="00666914">
              <w:rPr>
                <w:color w:val="000000"/>
                <w:sz w:val="18"/>
                <w:szCs w:val="18"/>
              </w:rPr>
              <w:lastRenderedPageBreak/>
              <w:t xml:space="preserve">MPRV, Sekcia rozvoja vidieka </w:t>
            </w:r>
            <w:r w:rsidRPr="00666914">
              <w:rPr>
                <w:color w:val="000000"/>
                <w:sz w:val="18"/>
                <w:szCs w:val="18"/>
              </w:rPr>
              <w:lastRenderedPageBreak/>
              <w:t>a priamych platieb, PPA</w:t>
            </w:r>
          </w:p>
        </w:tc>
        <w:tc>
          <w:tcPr>
            <w:tcW w:w="992" w:type="dxa"/>
            <w:shd w:val="clear" w:color="auto" w:fill="auto"/>
            <w:vAlign w:val="center"/>
          </w:tcPr>
          <w:p w14:paraId="732B9149" w14:textId="77777777" w:rsidR="00AA6557" w:rsidRPr="00666914" w:rsidRDefault="00AA6557">
            <w:pPr>
              <w:spacing w:after="0"/>
              <w:jc w:val="center"/>
              <w:rPr>
                <w:color w:val="000000"/>
                <w:sz w:val="20"/>
                <w:szCs w:val="20"/>
              </w:rPr>
            </w:pPr>
            <w:r w:rsidRPr="00666914">
              <w:rPr>
                <w:color w:val="000000"/>
                <w:sz w:val="18"/>
                <w:szCs w:val="18"/>
              </w:rPr>
              <w:lastRenderedPageBreak/>
              <w:t>Každoročne k 30.6.      2021-2027</w:t>
            </w:r>
          </w:p>
        </w:tc>
        <w:tc>
          <w:tcPr>
            <w:tcW w:w="709" w:type="dxa"/>
            <w:shd w:val="clear" w:color="auto" w:fill="A6A6A6"/>
            <w:vAlign w:val="bottom"/>
          </w:tcPr>
          <w:p w14:paraId="6971A390" w14:textId="77777777" w:rsidR="00AA6557" w:rsidRPr="00666914" w:rsidRDefault="00AA6557">
            <w:pPr>
              <w:spacing w:after="0"/>
              <w:rPr>
                <w:color w:val="000000"/>
                <w:sz w:val="20"/>
                <w:szCs w:val="20"/>
              </w:rPr>
            </w:pPr>
          </w:p>
        </w:tc>
        <w:tc>
          <w:tcPr>
            <w:tcW w:w="709" w:type="dxa"/>
            <w:shd w:val="clear" w:color="auto" w:fill="A6A6A6"/>
            <w:vAlign w:val="bottom"/>
          </w:tcPr>
          <w:p w14:paraId="479CC9DE" w14:textId="77777777" w:rsidR="00AA6557" w:rsidRPr="00666914" w:rsidRDefault="00AA6557">
            <w:pPr>
              <w:spacing w:after="0"/>
              <w:rPr>
                <w:color w:val="FF0000"/>
                <w:sz w:val="20"/>
                <w:szCs w:val="20"/>
              </w:rPr>
            </w:pPr>
          </w:p>
        </w:tc>
        <w:tc>
          <w:tcPr>
            <w:tcW w:w="708" w:type="dxa"/>
            <w:shd w:val="clear" w:color="auto" w:fill="A6A6A6"/>
            <w:vAlign w:val="bottom"/>
          </w:tcPr>
          <w:p w14:paraId="64F91B78" w14:textId="77777777" w:rsidR="00AA6557" w:rsidRPr="00666914" w:rsidRDefault="00AA6557">
            <w:pPr>
              <w:spacing w:after="0"/>
              <w:rPr>
                <w:color w:val="FF0000"/>
                <w:sz w:val="20"/>
                <w:szCs w:val="20"/>
              </w:rPr>
            </w:pPr>
          </w:p>
        </w:tc>
        <w:tc>
          <w:tcPr>
            <w:tcW w:w="710" w:type="dxa"/>
            <w:shd w:val="clear" w:color="auto" w:fill="A6A6A6"/>
            <w:vAlign w:val="bottom"/>
          </w:tcPr>
          <w:p w14:paraId="439FB1EC" w14:textId="77777777" w:rsidR="00AA6557" w:rsidRPr="00666914" w:rsidRDefault="00AA6557">
            <w:pPr>
              <w:spacing w:after="0"/>
              <w:jc w:val="center"/>
              <w:rPr>
                <w:color w:val="FF0000"/>
                <w:sz w:val="20"/>
                <w:szCs w:val="20"/>
              </w:rPr>
            </w:pPr>
          </w:p>
        </w:tc>
      </w:tr>
      <w:tr w:rsidR="00AA6557" w:rsidRPr="00666914" w14:paraId="7A87D1A7" w14:textId="77777777" w:rsidTr="006515CD">
        <w:trPr>
          <w:trHeight w:val="315"/>
        </w:trPr>
        <w:tc>
          <w:tcPr>
            <w:tcW w:w="710" w:type="dxa"/>
            <w:shd w:val="clear" w:color="auto" w:fill="auto"/>
            <w:vAlign w:val="center"/>
          </w:tcPr>
          <w:p w14:paraId="2DE60F59" w14:textId="77777777" w:rsidR="00AA6557" w:rsidRPr="00666914" w:rsidRDefault="00AA6557">
            <w:pPr>
              <w:spacing w:after="0"/>
              <w:jc w:val="left"/>
              <w:rPr>
                <w:color w:val="000000"/>
                <w:sz w:val="20"/>
                <w:szCs w:val="20"/>
              </w:rPr>
            </w:pPr>
            <w:r w:rsidRPr="00666914">
              <w:rPr>
                <w:color w:val="000000"/>
                <w:sz w:val="18"/>
                <w:szCs w:val="18"/>
              </w:rPr>
              <w:t>8.5</w:t>
            </w:r>
          </w:p>
        </w:tc>
        <w:tc>
          <w:tcPr>
            <w:tcW w:w="1984" w:type="dxa"/>
            <w:shd w:val="clear" w:color="auto" w:fill="auto"/>
            <w:vAlign w:val="center"/>
          </w:tcPr>
          <w:p w14:paraId="6DE78E43" w14:textId="77777777" w:rsidR="00AA6557" w:rsidRPr="00666914" w:rsidRDefault="00AA6557">
            <w:pPr>
              <w:spacing w:after="0"/>
              <w:jc w:val="left"/>
              <w:rPr>
                <w:color w:val="000000"/>
                <w:sz w:val="20"/>
                <w:szCs w:val="20"/>
              </w:rPr>
            </w:pPr>
            <w:r w:rsidRPr="00666914">
              <w:rPr>
                <w:color w:val="000000"/>
                <w:sz w:val="18"/>
                <w:szCs w:val="18"/>
              </w:rPr>
              <w:t>Efektívnejšia podpora mladých začínajúcich poľnohospodárov</w:t>
            </w:r>
          </w:p>
        </w:tc>
        <w:tc>
          <w:tcPr>
            <w:tcW w:w="2126" w:type="dxa"/>
            <w:shd w:val="clear" w:color="auto" w:fill="auto"/>
            <w:vAlign w:val="center"/>
          </w:tcPr>
          <w:p w14:paraId="6749A4BC" w14:textId="77777777" w:rsidR="00AA6557" w:rsidRPr="00666914" w:rsidRDefault="00AA6557">
            <w:pPr>
              <w:spacing w:after="0"/>
              <w:jc w:val="left"/>
              <w:rPr>
                <w:color w:val="000000"/>
                <w:sz w:val="20"/>
                <w:szCs w:val="20"/>
              </w:rPr>
            </w:pPr>
            <w:r w:rsidRPr="00666914">
              <w:rPr>
                <w:color w:val="000000"/>
                <w:sz w:val="18"/>
                <w:szCs w:val="18"/>
              </w:rPr>
              <w:t>Zvýšiť účasť poľnohospodárov, vrátane mladých poľnohospodárov na vzdelávacích aktivitách</w:t>
            </w:r>
          </w:p>
        </w:tc>
        <w:tc>
          <w:tcPr>
            <w:tcW w:w="1418" w:type="dxa"/>
            <w:shd w:val="clear" w:color="auto" w:fill="auto"/>
            <w:vAlign w:val="center"/>
          </w:tcPr>
          <w:p w14:paraId="0F41BF01" w14:textId="77777777" w:rsidR="00AA6557" w:rsidRPr="00666914" w:rsidRDefault="00AA6557">
            <w:pPr>
              <w:spacing w:after="0"/>
              <w:jc w:val="center"/>
              <w:rPr>
                <w:color w:val="000000"/>
                <w:sz w:val="20"/>
                <w:szCs w:val="20"/>
              </w:rPr>
            </w:pPr>
            <w:r w:rsidRPr="00666914">
              <w:rPr>
                <w:color w:val="000000"/>
                <w:sz w:val="18"/>
                <w:szCs w:val="18"/>
              </w:rPr>
              <w:t>MPRV, Sekcia rozvoja vidieka a priamych platieb, Agroinštitút Nitra</w:t>
            </w:r>
          </w:p>
        </w:tc>
        <w:tc>
          <w:tcPr>
            <w:tcW w:w="992" w:type="dxa"/>
            <w:shd w:val="clear" w:color="auto" w:fill="auto"/>
            <w:vAlign w:val="center"/>
          </w:tcPr>
          <w:p w14:paraId="684942C2" w14:textId="77777777" w:rsidR="00AA6557" w:rsidRPr="00666914" w:rsidRDefault="00AA6557">
            <w:pPr>
              <w:spacing w:after="0"/>
              <w:jc w:val="center"/>
              <w:rPr>
                <w:color w:val="000000"/>
                <w:sz w:val="20"/>
                <w:szCs w:val="20"/>
              </w:rPr>
            </w:pPr>
            <w:r w:rsidRPr="00666914">
              <w:rPr>
                <w:color w:val="000000"/>
                <w:sz w:val="18"/>
                <w:szCs w:val="18"/>
              </w:rPr>
              <w:t>Každoročne 2021 – 2027</w:t>
            </w:r>
          </w:p>
        </w:tc>
        <w:tc>
          <w:tcPr>
            <w:tcW w:w="709" w:type="dxa"/>
            <w:shd w:val="clear" w:color="auto" w:fill="A6A6A6"/>
            <w:vAlign w:val="bottom"/>
          </w:tcPr>
          <w:p w14:paraId="5D92EB8F" w14:textId="77777777" w:rsidR="00AA6557" w:rsidRPr="00666914" w:rsidRDefault="00AA6557">
            <w:pPr>
              <w:spacing w:after="0"/>
              <w:rPr>
                <w:color w:val="000000"/>
                <w:sz w:val="20"/>
                <w:szCs w:val="20"/>
              </w:rPr>
            </w:pPr>
          </w:p>
        </w:tc>
        <w:tc>
          <w:tcPr>
            <w:tcW w:w="709" w:type="dxa"/>
            <w:shd w:val="clear" w:color="auto" w:fill="A6A6A6"/>
            <w:vAlign w:val="bottom"/>
          </w:tcPr>
          <w:p w14:paraId="6863BA0B" w14:textId="77777777" w:rsidR="00AA6557" w:rsidRPr="00666914" w:rsidRDefault="00AA6557">
            <w:pPr>
              <w:spacing w:after="0"/>
              <w:rPr>
                <w:color w:val="FF0000"/>
                <w:sz w:val="20"/>
                <w:szCs w:val="20"/>
              </w:rPr>
            </w:pPr>
          </w:p>
        </w:tc>
        <w:tc>
          <w:tcPr>
            <w:tcW w:w="708" w:type="dxa"/>
            <w:shd w:val="clear" w:color="auto" w:fill="A6A6A6"/>
            <w:vAlign w:val="bottom"/>
          </w:tcPr>
          <w:p w14:paraId="54E523D1" w14:textId="77777777" w:rsidR="00AA6557" w:rsidRPr="00666914" w:rsidRDefault="00AA6557">
            <w:pPr>
              <w:spacing w:after="0"/>
              <w:rPr>
                <w:color w:val="FF0000"/>
                <w:sz w:val="20"/>
                <w:szCs w:val="20"/>
              </w:rPr>
            </w:pPr>
          </w:p>
        </w:tc>
        <w:tc>
          <w:tcPr>
            <w:tcW w:w="710" w:type="dxa"/>
            <w:shd w:val="clear" w:color="auto" w:fill="A6A6A6"/>
            <w:vAlign w:val="bottom"/>
          </w:tcPr>
          <w:p w14:paraId="759BF15F" w14:textId="77777777" w:rsidR="00AA6557" w:rsidRPr="00666914" w:rsidRDefault="00AA6557">
            <w:pPr>
              <w:spacing w:after="0"/>
              <w:jc w:val="center"/>
              <w:rPr>
                <w:color w:val="FF0000"/>
                <w:sz w:val="20"/>
                <w:szCs w:val="20"/>
              </w:rPr>
            </w:pPr>
          </w:p>
        </w:tc>
      </w:tr>
      <w:tr w:rsidR="00AA6557" w:rsidRPr="00666914" w14:paraId="290EF15B" w14:textId="77777777" w:rsidTr="006515CD">
        <w:trPr>
          <w:trHeight w:val="315"/>
        </w:trPr>
        <w:tc>
          <w:tcPr>
            <w:tcW w:w="710" w:type="dxa"/>
            <w:shd w:val="clear" w:color="auto" w:fill="auto"/>
            <w:vAlign w:val="center"/>
          </w:tcPr>
          <w:p w14:paraId="4782F585" w14:textId="77777777" w:rsidR="00AA6557" w:rsidRPr="00666914" w:rsidRDefault="00AA6557">
            <w:pPr>
              <w:spacing w:after="0"/>
              <w:jc w:val="left"/>
              <w:rPr>
                <w:color w:val="000000"/>
                <w:sz w:val="20"/>
                <w:szCs w:val="20"/>
              </w:rPr>
            </w:pPr>
            <w:r w:rsidRPr="00666914">
              <w:rPr>
                <w:color w:val="000000"/>
                <w:sz w:val="18"/>
                <w:szCs w:val="18"/>
              </w:rPr>
              <w:t>9.1</w:t>
            </w:r>
          </w:p>
        </w:tc>
        <w:tc>
          <w:tcPr>
            <w:tcW w:w="1984" w:type="dxa"/>
            <w:shd w:val="clear" w:color="auto" w:fill="auto"/>
            <w:vAlign w:val="center"/>
          </w:tcPr>
          <w:p w14:paraId="0611C0EB" w14:textId="77777777" w:rsidR="00AA6557" w:rsidRPr="00666914" w:rsidRDefault="00AA6557">
            <w:pPr>
              <w:spacing w:after="0"/>
              <w:jc w:val="left"/>
              <w:rPr>
                <w:color w:val="000000"/>
                <w:sz w:val="20"/>
                <w:szCs w:val="20"/>
              </w:rPr>
            </w:pPr>
            <w:r w:rsidRPr="00666914">
              <w:rPr>
                <w:color w:val="000000"/>
                <w:sz w:val="18"/>
                <w:szCs w:val="18"/>
              </w:rPr>
              <w:t>Efektívnejšia podpora poľnohospodárstva na celom území SR</w:t>
            </w:r>
          </w:p>
        </w:tc>
        <w:tc>
          <w:tcPr>
            <w:tcW w:w="2126" w:type="dxa"/>
            <w:shd w:val="clear" w:color="auto" w:fill="auto"/>
            <w:vAlign w:val="center"/>
          </w:tcPr>
          <w:p w14:paraId="7222A36D" w14:textId="77777777" w:rsidR="00AA6557" w:rsidRPr="00666914" w:rsidRDefault="00AA6557">
            <w:pPr>
              <w:spacing w:after="0"/>
              <w:jc w:val="left"/>
              <w:rPr>
                <w:color w:val="000000"/>
                <w:sz w:val="20"/>
                <w:szCs w:val="20"/>
              </w:rPr>
            </w:pPr>
            <w:r w:rsidRPr="00666914">
              <w:rPr>
                <w:color w:val="000000"/>
                <w:sz w:val="18"/>
                <w:szCs w:val="18"/>
              </w:rPr>
              <w:t>Zvýhodniť ANC v projektových opatreniach PRV zameraných na agroturizmus, živočíšnu výrobu a modernizáciu výroby</w:t>
            </w:r>
          </w:p>
        </w:tc>
        <w:tc>
          <w:tcPr>
            <w:tcW w:w="1418" w:type="dxa"/>
            <w:vAlign w:val="center"/>
          </w:tcPr>
          <w:p w14:paraId="35E4854F" w14:textId="77777777" w:rsidR="00AA6557" w:rsidRPr="00666914" w:rsidRDefault="00AA6557">
            <w:pPr>
              <w:spacing w:after="0"/>
              <w:jc w:val="center"/>
              <w:rPr>
                <w:color w:val="000000"/>
                <w:sz w:val="20"/>
                <w:szCs w:val="20"/>
              </w:rPr>
            </w:pPr>
            <w:r w:rsidRPr="00666914">
              <w:rPr>
                <w:color w:val="000000"/>
                <w:sz w:val="18"/>
                <w:szCs w:val="18"/>
              </w:rPr>
              <w:t>MPRV, Sekcia rozvoja vidieka a priamych platieb</w:t>
            </w:r>
          </w:p>
        </w:tc>
        <w:tc>
          <w:tcPr>
            <w:tcW w:w="992" w:type="dxa"/>
            <w:vAlign w:val="center"/>
          </w:tcPr>
          <w:p w14:paraId="1ADAF328" w14:textId="77777777" w:rsidR="00AA6557" w:rsidRPr="00666914" w:rsidRDefault="00AA6557">
            <w:pPr>
              <w:spacing w:after="0"/>
              <w:jc w:val="center"/>
              <w:rPr>
                <w:color w:val="000000"/>
                <w:sz w:val="20"/>
                <w:szCs w:val="20"/>
              </w:rPr>
            </w:pPr>
            <w:r w:rsidRPr="00666914">
              <w:rPr>
                <w:color w:val="000000"/>
                <w:sz w:val="18"/>
                <w:szCs w:val="18"/>
              </w:rPr>
              <w:t>1.1.2021</w:t>
            </w:r>
          </w:p>
        </w:tc>
        <w:tc>
          <w:tcPr>
            <w:tcW w:w="709" w:type="dxa"/>
            <w:shd w:val="clear" w:color="auto" w:fill="A6A6A6"/>
            <w:vAlign w:val="bottom"/>
          </w:tcPr>
          <w:p w14:paraId="5CAEF5A2" w14:textId="77777777" w:rsidR="00AA6557" w:rsidRPr="00666914" w:rsidRDefault="00AA6557">
            <w:pPr>
              <w:spacing w:after="0"/>
              <w:rPr>
                <w:color w:val="000000"/>
                <w:sz w:val="20"/>
                <w:szCs w:val="20"/>
              </w:rPr>
            </w:pPr>
          </w:p>
          <w:p w14:paraId="3F123938" w14:textId="77777777" w:rsidR="00AA6557" w:rsidRPr="00666914" w:rsidRDefault="00AA6557">
            <w:pPr>
              <w:spacing w:after="0"/>
              <w:rPr>
                <w:color w:val="000000"/>
                <w:sz w:val="20"/>
                <w:szCs w:val="20"/>
              </w:rPr>
            </w:pPr>
          </w:p>
          <w:p w14:paraId="3929EC5D" w14:textId="77777777" w:rsidR="00AA6557" w:rsidRPr="00666914" w:rsidRDefault="00AA6557">
            <w:pPr>
              <w:spacing w:after="0"/>
              <w:rPr>
                <w:color w:val="000000"/>
                <w:sz w:val="20"/>
                <w:szCs w:val="20"/>
              </w:rPr>
            </w:pPr>
          </w:p>
          <w:p w14:paraId="185D8F84" w14:textId="77777777" w:rsidR="00AA6557" w:rsidRPr="00666914" w:rsidRDefault="00AA6557">
            <w:pPr>
              <w:spacing w:after="0"/>
              <w:rPr>
                <w:color w:val="000000"/>
                <w:sz w:val="20"/>
                <w:szCs w:val="20"/>
              </w:rPr>
            </w:pPr>
          </w:p>
        </w:tc>
        <w:tc>
          <w:tcPr>
            <w:tcW w:w="709" w:type="dxa"/>
            <w:shd w:val="clear" w:color="auto" w:fill="A6A6A6"/>
            <w:vAlign w:val="bottom"/>
          </w:tcPr>
          <w:p w14:paraId="58578BBA" w14:textId="77777777" w:rsidR="00AA6557" w:rsidRPr="00666914" w:rsidRDefault="00AA6557">
            <w:pPr>
              <w:spacing w:after="0"/>
              <w:rPr>
                <w:color w:val="FF0000"/>
                <w:sz w:val="20"/>
                <w:szCs w:val="20"/>
              </w:rPr>
            </w:pPr>
          </w:p>
          <w:p w14:paraId="31983111" w14:textId="77777777" w:rsidR="00AA6557" w:rsidRPr="00666914" w:rsidRDefault="00AA6557">
            <w:pPr>
              <w:spacing w:after="0"/>
              <w:rPr>
                <w:color w:val="FF0000"/>
                <w:sz w:val="20"/>
                <w:szCs w:val="20"/>
              </w:rPr>
            </w:pPr>
          </w:p>
          <w:p w14:paraId="369F327E" w14:textId="77777777" w:rsidR="00AA6557" w:rsidRPr="00666914" w:rsidRDefault="00AA6557">
            <w:pPr>
              <w:spacing w:after="0"/>
              <w:rPr>
                <w:color w:val="FF0000"/>
                <w:sz w:val="20"/>
                <w:szCs w:val="20"/>
              </w:rPr>
            </w:pPr>
          </w:p>
        </w:tc>
        <w:tc>
          <w:tcPr>
            <w:tcW w:w="708" w:type="dxa"/>
            <w:shd w:val="clear" w:color="auto" w:fill="A6A6A6"/>
            <w:vAlign w:val="bottom"/>
          </w:tcPr>
          <w:p w14:paraId="1460D309" w14:textId="77777777" w:rsidR="00AA6557" w:rsidRPr="00666914" w:rsidRDefault="00AA6557">
            <w:pPr>
              <w:spacing w:after="0"/>
              <w:rPr>
                <w:color w:val="FF0000"/>
                <w:sz w:val="20"/>
                <w:szCs w:val="20"/>
              </w:rPr>
            </w:pPr>
          </w:p>
        </w:tc>
        <w:tc>
          <w:tcPr>
            <w:tcW w:w="710" w:type="dxa"/>
            <w:shd w:val="clear" w:color="auto" w:fill="A6A6A6"/>
            <w:vAlign w:val="bottom"/>
          </w:tcPr>
          <w:p w14:paraId="618CA9C7" w14:textId="77777777" w:rsidR="00AA6557" w:rsidRPr="00666914" w:rsidRDefault="00AA6557">
            <w:pPr>
              <w:spacing w:after="0"/>
              <w:rPr>
                <w:color w:val="FF0000"/>
                <w:sz w:val="20"/>
                <w:szCs w:val="20"/>
              </w:rPr>
            </w:pPr>
          </w:p>
          <w:p w14:paraId="6C5A2942" w14:textId="77777777" w:rsidR="00AA6557" w:rsidRPr="00666914" w:rsidRDefault="00AA6557">
            <w:pPr>
              <w:spacing w:after="0"/>
              <w:rPr>
                <w:color w:val="FF0000"/>
                <w:sz w:val="20"/>
                <w:szCs w:val="20"/>
              </w:rPr>
            </w:pPr>
          </w:p>
          <w:p w14:paraId="59EDAD61" w14:textId="77777777" w:rsidR="00AA6557" w:rsidRPr="00666914" w:rsidRDefault="00AA6557">
            <w:pPr>
              <w:spacing w:after="0"/>
              <w:rPr>
                <w:color w:val="FF0000"/>
                <w:sz w:val="20"/>
                <w:szCs w:val="20"/>
              </w:rPr>
            </w:pPr>
          </w:p>
          <w:p w14:paraId="0E214B5E" w14:textId="77777777" w:rsidR="00AA6557" w:rsidRPr="00666914" w:rsidRDefault="00AA6557">
            <w:pPr>
              <w:spacing w:after="0"/>
              <w:rPr>
                <w:color w:val="FF0000"/>
                <w:sz w:val="20"/>
                <w:szCs w:val="20"/>
              </w:rPr>
            </w:pPr>
          </w:p>
          <w:p w14:paraId="2E55028E" w14:textId="77777777" w:rsidR="00AA6557" w:rsidRPr="00666914" w:rsidRDefault="00AA6557">
            <w:pPr>
              <w:spacing w:after="0"/>
              <w:rPr>
                <w:color w:val="FF0000"/>
                <w:sz w:val="20"/>
                <w:szCs w:val="20"/>
              </w:rPr>
            </w:pPr>
          </w:p>
          <w:p w14:paraId="0E4FDE47" w14:textId="77777777" w:rsidR="00AA6557" w:rsidRPr="00666914" w:rsidRDefault="00AA6557">
            <w:pPr>
              <w:spacing w:after="0"/>
              <w:rPr>
                <w:color w:val="FF0000"/>
                <w:sz w:val="20"/>
                <w:szCs w:val="20"/>
              </w:rPr>
            </w:pPr>
          </w:p>
        </w:tc>
      </w:tr>
      <w:tr w:rsidR="00AA6557" w:rsidRPr="00666914" w14:paraId="445D0330" w14:textId="77777777" w:rsidTr="006515CD">
        <w:trPr>
          <w:trHeight w:val="315"/>
        </w:trPr>
        <w:tc>
          <w:tcPr>
            <w:tcW w:w="710" w:type="dxa"/>
            <w:shd w:val="clear" w:color="auto" w:fill="auto"/>
            <w:vAlign w:val="center"/>
          </w:tcPr>
          <w:p w14:paraId="3D4E064D" w14:textId="77777777" w:rsidR="00AA6557" w:rsidRPr="00666914" w:rsidRDefault="00AA6557">
            <w:pPr>
              <w:spacing w:after="0"/>
              <w:jc w:val="left"/>
              <w:rPr>
                <w:color w:val="000000"/>
                <w:sz w:val="20"/>
                <w:szCs w:val="20"/>
              </w:rPr>
            </w:pPr>
            <w:r w:rsidRPr="00666914">
              <w:rPr>
                <w:color w:val="000000"/>
                <w:sz w:val="18"/>
                <w:szCs w:val="18"/>
              </w:rPr>
              <w:t>9.2</w:t>
            </w:r>
          </w:p>
        </w:tc>
        <w:tc>
          <w:tcPr>
            <w:tcW w:w="1984" w:type="dxa"/>
            <w:shd w:val="clear" w:color="auto" w:fill="auto"/>
            <w:vAlign w:val="center"/>
          </w:tcPr>
          <w:p w14:paraId="7554946E" w14:textId="77777777" w:rsidR="00AA6557" w:rsidRPr="00666914" w:rsidRDefault="00AA6557">
            <w:pPr>
              <w:spacing w:after="0"/>
              <w:jc w:val="left"/>
              <w:rPr>
                <w:color w:val="000000"/>
                <w:sz w:val="20"/>
                <w:szCs w:val="20"/>
              </w:rPr>
            </w:pPr>
            <w:r w:rsidRPr="00666914">
              <w:rPr>
                <w:color w:val="000000"/>
                <w:sz w:val="18"/>
                <w:szCs w:val="18"/>
              </w:rPr>
              <w:t>Efektívnejšia podpora poľnohospodárstva na celom území SR</w:t>
            </w:r>
          </w:p>
        </w:tc>
        <w:tc>
          <w:tcPr>
            <w:tcW w:w="2126" w:type="dxa"/>
            <w:shd w:val="clear" w:color="auto" w:fill="auto"/>
            <w:vAlign w:val="center"/>
          </w:tcPr>
          <w:p w14:paraId="48CF45B5" w14:textId="77777777" w:rsidR="00AA6557" w:rsidRPr="00666914" w:rsidRDefault="00AA6557">
            <w:pPr>
              <w:spacing w:after="0"/>
              <w:jc w:val="left"/>
              <w:rPr>
                <w:color w:val="000000"/>
                <w:sz w:val="20"/>
                <w:szCs w:val="20"/>
              </w:rPr>
            </w:pPr>
            <w:r w:rsidRPr="00666914">
              <w:rPr>
                <w:color w:val="000000"/>
                <w:sz w:val="18"/>
                <w:szCs w:val="18"/>
              </w:rPr>
              <w:t>Diferencovať platbu podľa zaťaženosti poľnohospodárskej pôdy živočíšnou výrobou</w:t>
            </w:r>
          </w:p>
        </w:tc>
        <w:tc>
          <w:tcPr>
            <w:tcW w:w="1418" w:type="dxa"/>
            <w:shd w:val="clear" w:color="auto" w:fill="auto"/>
            <w:vAlign w:val="center"/>
          </w:tcPr>
          <w:p w14:paraId="52B2136F" w14:textId="77777777" w:rsidR="00AA6557" w:rsidRPr="00666914" w:rsidRDefault="00AA6557">
            <w:pPr>
              <w:spacing w:after="0"/>
              <w:jc w:val="center"/>
              <w:rPr>
                <w:color w:val="000000"/>
                <w:sz w:val="20"/>
                <w:szCs w:val="20"/>
              </w:rPr>
            </w:pPr>
            <w:r w:rsidRPr="00666914">
              <w:rPr>
                <w:color w:val="000000"/>
                <w:sz w:val="18"/>
                <w:szCs w:val="18"/>
              </w:rPr>
              <w:t>MPRV, Sekcia rozvoja vidieka a priamych platieb</w:t>
            </w:r>
          </w:p>
        </w:tc>
        <w:tc>
          <w:tcPr>
            <w:tcW w:w="992" w:type="dxa"/>
            <w:shd w:val="clear" w:color="auto" w:fill="auto"/>
            <w:vAlign w:val="center"/>
          </w:tcPr>
          <w:p w14:paraId="14A06BA2" w14:textId="77777777" w:rsidR="00AA6557" w:rsidRPr="00666914" w:rsidRDefault="00AA6557">
            <w:pPr>
              <w:spacing w:after="0"/>
              <w:jc w:val="center"/>
              <w:rPr>
                <w:color w:val="000000"/>
                <w:sz w:val="20"/>
                <w:szCs w:val="20"/>
              </w:rPr>
            </w:pPr>
            <w:r w:rsidRPr="00666914">
              <w:rPr>
                <w:color w:val="000000"/>
                <w:sz w:val="18"/>
                <w:szCs w:val="18"/>
              </w:rPr>
              <w:t>1.1.2021</w:t>
            </w:r>
          </w:p>
        </w:tc>
        <w:tc>
          <w:tcPr>
            <w:tcW w:w="709" w:type="dxa"/>
            <w:shd w:val="clear" w:color="auto" w:fill="A6A6A6"/>
            <w:vAlign w:val="bottom"/>
          </w:tcPr>
          <w:p w14:paraId="694DE550" w14:textId="77777777" w:rsidR="00AA6557" w:rsidRPr="00666914" w:rsidRDefault="00AA6557">
            <w:pPr>
              <w:spacing w:after="0"/>
              <w:rPr>
                <w:color w:val="000000"/>
                <w:sz w:val="20"/>
                <w:szCs w:val="20"/>
              </w:rPr>
            </w:pPr>
          </w:p>
        </w:tc>
        <w:tc>
          <w:tcPr>
            <w:tcW w:w="709" w:type="dxa"/>
            <w:shd w:val="clear" w:color="auto" w:fill="A6A6A6"/>
            <w:vAlign w:val="bottom"/>
          </w:tcPr>
          <w:p w14:paraId="6C63287E" w14:textId="77777777" w:rsidR="00AA6557" w:rsidRPr="00666914" w:rsidRDefault="00AA6557">
            <w:pPr>
              <w:spacing w:after="0"/>
              <w:rPr>
                <w:color w:val="FF0000"/>
                <w:sz w:val="20"/>
                <w:szCs w:val="20"/>
              </w:rPr>
            </w:pPr>
          </w:p>
        </w:tc>
        <w:tc>
          <w:tcPr>
            <w:tcW w:w="708" w:type="dxa"/>
            <w:shd w:val="clear" w:color="auto" w:fill="A6A6A6"/>
            <w:vAlign w:val="bottom"/>
          </w:tcPr>
          <w:p w14:paraId="33156256" w14:textId="77777777" w:rsidR="00AA6557" w:rsidRPr="00666914" w:rsidRDefault="00AA6557">
            <w:pPr>
              <w:spacing w:after="0"/>
              <w:rPr>
                <w:color w:val="FF0000"/>
                <w:sz w:val="20"/>
                <w:szCs w:val="20"/>
              </w:rPr>
            </w:pPr>
          </w:p>
        </w:tc>
        <w:tc>
          <w:tcPr>
            <w:tcW w:w="710" w:type="dxa"/>
            <w:shd w:val="clear" w:color="auto" w:fill="A6A6A6"/>
            <w:vAlign w:val="bottom"/>
          </w:tcPr>
          <w:p w14:paraId="566A3AC2" w14:textId="77777777" w:rsidR="00AA6557" w:rsidRPr="00666914" w:rsidRDefault="00AA6557">
            <w:pPr>
              <w:spacing w:after="0"/>
              <w:jc w:val="center"/>
              <w:rPr>
                <w:color w:val="FF0000"/>
                <w:sz w:val="20"/>
                <w:szCs w:val="20"/>
              </w:rPr>
            </w:pPr>
          </w:p>
        </w:tc>
      </w:tr>
      <w:tr w:rsidR="00AA6557" w:rsidRPr="00666914" w14:paraId="0264D69E" w14:textId="77777777" w:rsidTr="006515CD">
        <w:trPr>
          <w:trHeight w:val="315"/>
        </w:trPr>
        <w:tc>
          <w:tcPr>
            <w:tcW w:w="710" w:type="dxa"/>
            <w:shd w:val="clear" w:color="auto" w:fill="auto"/>
            <w:vAlign w:val="center"/>
          </w:tcPr>
          <w:p w14:paraId="3F5012B1" w14:textId="77777777" w:rsidR="00AA6557" w:rsidRPr="00666914" w:rsidRDefault="00AA6557">
            <w:pPr>
              <w:spacing w:after="0"/>
              <w:jc w:val="left"/>
              <w:rPr>
                <w:color w:val="000000"/>
                <w:sz w:val="20"/>
                <w:szCs w:val="20"/>
              </w:rPr>
            </w:pPr>
            <w:r w:rsidRPr="00666914">
              <w:rPr>
                <w:color w:val="000000"/>
                <w:sz w:val="18"/>
                <w:szCs w:val="18"/>
              </w:rPr>
              <w:t>10.1</w:t>
            </w:r>
          </w:p>
        </w:tc>
        <w:tc>
          <w:tcPr>
            <w:tcW w:w="1984" w:type="dxa"/>
            <w:shd w:val="clear" w:color="auto" w:fill="auto"/>
            <w:vAlign w:val="center"/>
          </w:tcPr>
          <w:p w14:paraId="7DE9EA5C" w14:textId="77777777" w:rsidR="00AA6557" w:rsidRPr="00666914" w:rsidRDefault="00AA6557">
            <w:pPr>
              <w:spacing w:after="0"/>
              <w:jc w:val="left"/>
              <w:rPr>
                <w:color w:val="000000"/>
                <w:sz w:val="20"/>
                <w:szCs w:val="20"/>
              </w:rPr>
            </w:pPr>
            <w:r w:rsidRPr="00666914">
              <w:rPr>
                <w:color w:val="000000"/>
                <w:sz w:val="18"/>
                <w:szCs w:val="18"/>
              </w:rPr>
              <w:t>Zefektívnenie režimov v záujme klímy a životného prostredia</w:t>
            </w:r>
          </w:p>
        </w:tc>
        <w:tc>
          <w:tcPr>
            <w:tcW w:w="2126" w:type="dxa"/>
            <w:shd w:val="clear" w:color="auto" w:fill="auto"/>
            <w:vAlign w:val="center"/>
          </w:tcPr>
          <w:p w14:paraId="11D0D85D" w14:textId="77777777" w:rsidR="00AA6557" w:rsidRPr="00666914" w:rsidRDefault="00AA6557">
            <w:pPr>
              <w:spacing w:after="0"/>
              <w:jc w:val="left"/>
              <w:rPr>
                <w:color w:val="000000"/>
                <w:sz w:val="20"/>
                <w:szCs w:val="20"/>
              </w:rPr>
            </w:pPr>
            <w:r w:rsidRPr="00666914">
              <w:rPr>
                <w:color w:val="000000"/>
                <w:sz w:val="18"/>
                <w:szCs w:val="18"/>
              </w:rPr>
              <w:t>Implementovať AEKO ako sériu záväzkov zameraných na výsledky s voliteľnou intenzitou ich napĺňania</w:t>
            </w:r>
          </w:p>
        </w:tc>
        <w:tc>
          <w:tcPr>
            <w:tcW w:w="1418" w:type="dxa"/>
            <w:shd w:val="clear" w:color="auto" w:fill="auto"/>
            <w:vAlign w:val="center"/>
          </w:tcPr>
          <w:p w14:paraId="140934E4" w14:textId="77777777" w:rsidR="00AA6557" w:rsidRPr="00666914" w:rsidRDefault="00AA6557">
            <w:pPr>
              <w:spacing w:after="0"/>
              <w:jc w:val="center"/>
              <w:rPr>
                <w:color w:val="000000"/>
                <w:sz w:val="20"/>
                <w:szCs w:val="20"/>
              </w:rPr>
            </w:pPr>
            <w:r w:rsidRPr="00666914">
              <w:rPr>
                <w:color w:val="000000"/>
                <w:sz w:val="18"/>
                <w:szCs w:val="18"/>
              </w:rPr>
              <w:t>MPRV, Sekcia rozvoja vidieka a priamych platieb</w:t>
            </w:r>
          </w:p>
        </w:tc>
        <w:tc>
          <w:tcPr>
            <w:tcW w:w="992" w:type="dxa"/>
            <w:shd w:val="clear" w:color="auto" w:fill="auto"/>
            <w:vAlign w:val="center"/>
          </w:tcPr>
          <w:p w14:paraId="403EBEC8" w14:textId="77777777" w:rsidR="00AA6557" w:rsidRPr="00666914" w:rsidRDefault="00AA6557">
            <w:pPr>
              <w:spacing w:after="0"/>
              <w:jc w:val="center"/>
              <w:rPr>
                <w:color w:val="000000"/>
                <w:sz w:val="20"/>
                <w:szCs w:val="20"/>
              </w:rPr>
            </w:pPr>
            <w:r w:rsidRPr="00666914">
              <w:rPr>
                <w:color w:val="000000"/>
                <w:sz w:val="18"/>
                <w:szCs w:val="18"/>
              </w:rPr>
              <w:t>1.1.2021</w:t>
            </w:r>
          </w:p>
        </w:tc>
        <w:tc>
          <w:tcPr>
            <w:tcW w:w="709" w:type="dxa"/>
            <w:shd w:val="clear" w:color="auto" w:fill="A6A6A6"/>
            <w:vAlign w:val="bottom"/>
          </w:tcPr>
          <w:p w14:paraId="4229E216" w14:textId="77777777" w:rsidR="00AA6557" w:rsidRPr="00666914" w:rsidRDefault="00AA6557">
            <w:pPr>
              <w:spacing w:after="0"/>
              <w:rPr>
                <w:color w:val="000000"/>
                <w:sz w:val="20"/>
                <w:szCs w:val="20"/>
              </w:rPr>
            </w:pPr>
          </w:p>
        </w:tc>
        <w:tc>
          <w:tcPr>
            <w:tcW w:w="709" w:type="dxa"/>
            <w:shd w:val="clear" w:color="auto" w:fill="A6A6A6"/>
            <w:vAlign w:val="bottom"/>
          </w:tcPr>
          <w:p w14:paraId="5BD34141" w14:textId="77777777" w:rsidR="00AA6557" w:rsidRPr="00666914" w:rsidRDefault="00AA6557">
            <w:pPr>
              <w:spacing w:after="0"/>
              <w:rPr>
                <w:color w:val="FF0000"/>
                <w:sz w:val="20"/>
                <w:szCs w:val="20"/>
              </w:rPr>
            </w:pPr>
          </w:p>
        </w:tc>
        <w:tc>
          <w:tcPr>
            <w:tcW w:w="708" w:type="dxa"/>
            <w:shd w:val="clear" w:color="auto" w:fill="A6A6A6"/>
            <w:vAlign w:val="bottom"/>
          </w:tcPr>
          <w:p w14:paraId="527B3D98" w14:textId="77777777" w:rsidR="00AA6557" w:rsidRPr="00666914" w:rsidRDefault="00AA6557">
            <w:pPr>
              <w:spacing w:after="0"/>
              <w:rPr>
                <w:color w:val="FF0000"/>
                <w:sz w:val="20"/>
                <w:szCs w:val="20"/>
              </w:rPr>
            </w:pPr>
          </w:p>
        </w:tc>
        <w:tc>
          <w:tcPr>
            <w:tcW w:w="710" w:type="dxa"/>
            <w:shd w:val="clear" w:color="auto" w:fill="A6A6A6"/>
            <w:vAlign w:val="bottom"/>
          </w:tcPr>
          <w:p w14:paraId="5CF6C809" w14:textId="77777777" w:rsidR="00AA6557" w:rsidRPr="00666914" w:rsidRDefault="00AA6557">
            <w:pPr>
              <w:spacing w:after="0"/>
              <w:jc w:val="center"/>
              <w:rPr>
                <w:color w:val="FF0000"/>
                <w:sz w:val="20"/>
                <w:szCs w:val="20"/>
              </w:rPr>
            </w:pPr>
          </w:p>
        </w:tc>
      </w:tr>
      <w:tr w:rsidR="00AA6557" w:rsidRPr="00666914" w14:paraId="04604059" w14:textId="77777777" w:rsidTr="006515CD">
        <w:trPr>
          <w:trHeight w:val="315"/>
        </w:trPr>
        <w:tc>
          <w:tcPr>
            <w:tcW w:w="710" w:type="dxa"/>
            <w:shd w:val="clear" w:color="auto" w:fill="auto"/>
            <w:vAlign w:val="center"/>
          </w:tcPr>
          <w:p w14:paraId="718A1A9A" w14:textId="77777777" w:rsidR="00AA6557" w:rsidRPr="00666914" w:rsidRDefault="00AA6557">
            <w:pPr>
              <w:spacing w:after="0"/>
              <w:jc w:val="left"/>
              <w:rPr>
                <w:color w:val="000000"/>
                <w:sz w:val="20"/>
                <w:szCs w:val="20"/>
              </w:rPr>
            </w:pPr>
            <w:r w:rsidRPr="00666914">
              <w:rPr>
                <w:color w:val="000000"/>
                <w:sz w:val="18"/>
                <w:szCs w:val="18"/>
              </w:rPr>
              <w:t>10.2</w:t>
            </w:r>
          </w:p>
        </w:tc>
        <w:tc>
          <w:tcPr>
            <w:tcW w:w="1984" w:type="dxa"/>
            <w:shd w:val="clear" w:color="auto" w:fill="auto"/>
            <w:vAlign w:val="center"/>
          </w:tcPr>
          <w:p w14:paraId="5A2B706B" w14:textId="77777777" w:rsidR="00AA6557" w:rsidRPr="00666914" w:rsidRDefault="00AA6557">
            <w:pPr>
              <w:spacing w:after="0"/>
              <w:jc w:val="left"/>
              <w:rPr>
                <w:color w:val="000000"/>
                <w:sz w:val="20"/>
                <w:szCs w:val="20"/>
              </w:rPr>
            </w:pPr>
            <w:r w:rsidRPr="00666914">
              <w:rPr>
                <w:color w:val="000000"/>
                <w:sz w:val="18"/>
                <w:szCs w:val="18"/>
              </w:rPr>
              <w:t>Zefektívnenie režimov v záujme klímy a životného prostredia</w:t>
            </w:r>
          </w:p>
        </w:tc>
        <w:tc>
          <w:tcPr>
            <w:tcW w:w="2126" w:type="dxa"/>
            <w:shd w:val="clear" w:color="auto" w:fill="auto"/>
            <w:vAlign w:val="center"/>
          </w:tcPr>
          <w:p w14:paraId="4F84ADFC" w14:textId="77777777" w:rsidR="00AA6557" w:rsidRPr="00666914" w:rsidRDefault="00AA6557">
            <w:pPr>
              <w:spacing w:after="0"/>
              <w:jc w:val="left"/>
              <w:rPr>
                <w:color w:val="000000"/>
                <w:sz w:val="20"/>
                <w:szCs w:val="20"/>
              </w:rPr>
            </w:pPr>
            <w:r w:rsidRPr="00666914">
              <w:rPr>
                <w:color w:val="000000"/>
                <w:sz w:val="18"/>
                <w:szCs w:val="18"/>
              </w:rPr>
              <w:t>Zaviesť cieľovo orientovanú podporu na ochranu a zvýšenie kvality pôdy, vody a biotopov</w:t>
            </w:r>
          </w:p>
        </w:tc>
        <w:tc>
          <w:tcPr>
            <w:tcW w:w="1418" w:type="dxa"/>
            <w:shd w:val="clear" w:color="auto" w:fill="auto"/>
            <w:vAlign w:val="center"/>
          </w:tcPr>
          <w:p w14:paraId="301372B7" w14:textId="77777777" w:rsidR="00AA6557" w:rsidRPr="00666914" w:rsidRDefault="00AA6557">
            <w:pPr>
              <w:spacing w:after="0"/>
              <w:jc w:val="center"/>
              <w:rPr>
                <w:color w:val="000000"/>
                <w:sz w:val="20"/>
                <w:szCs w:val="20"/>
              </w:rPr>
            </w:pPr>
            <w:r w:rsidRPr="00666914">
              <w:rPr>
                <w:color w:val="000000"/>
                <w:sz w:val="18"/>
                <w:szCs w:val="18"/>
              </w:rPr>
              <w:t>MPRV, Sekcia rozvoja vidieka a priamych platieb</w:t>
            </w:r>
          </w:p>
        </w:tc>
        <w:tc>
          <w:tcPr>
            <w:tcW w:w="992" w:type="dxa"/>
            <w:shd w:val="clear" w:color="auto" w:fill="auto"/>
            <w:vAlign w:val="center"/>
          </w:tcPr>
          <w:p w14:paraId="7524ABF9" w14:textId="77777777" w:rsidR="00AA6557" w:rsidRPr="00666914" w:rsidRDefault="00AA6557">
            <w:pPr>
              <w:spacing w:after="0"/>
              <w:jc w:val="center"/>
              <w:rPr>
                <w:color w:val="000000"/>
                <w:sz w:val="20"/>
                <w:szCs w:val="20"/>
              </w:rPr>
            </w:pPr>
            <w:r w:rsidRPr="00666914">
              <w:rPr>
                <w:color w:val="000000"/>
                <w:sz w:val="18"/>
                <w:szCs w:val="18"/>
              </w:rPr>
              <w:t>1.1.2021</w:t>
            </w:r>
          </w:p>
        </w:tc>
        <w:tc>
          <w:tcPr>
            <w:tcW w:w="709" w:type="dxa"/>
            <w:shd w:val="clear" w:color="auto" w:fill="A6A6A6"/>
            <w:vAlign w:val="bottom"/>
          </w:tcPr>
          <w:p w14:paraId="1AE652F7" w14:textId="77777777" w:rsidR="00AA6557" w:rsidRPr="00666914" w:rsidRDefault="00AA6557">
            <w:pPr>
              <w:spacing w:after="0"/>
              <w:rPr>
                <w:color w:val="000000"/>
                <w:sz w:val="20"/>
                <w:szCs w:val="20"/>
              </w:rPr>
            </w:pPr>
          </w:p>
        </w:tc>
        <w:tc>
          <w:tcPr>
            <w:tcW w:w="709" w:type="dxa"/>
            <w:shd w:val="clear" w:color="auto" w:fill="A6A6A6"/>
            <w:vAlign w:val="bottom"/>
          </w:tcPr>
          <w:p w14:paraId="1109899A" w14:textId="77777777" w:rsidR="00AA6557" w:rsidRPr="00666914" w:rsidRDefault="00AA6557">
            <w:pPr>
              <w:spacing w:after="0"/>
              <w:rPr>
                <w:color w:val="FF0000"/>
                <w:sz w:val="20"/>
                <w:szCs w:val="20"/>
              </w:rPr>
            </w:pPr>
          </w:p>
        </w:tc>
        <w:tc>
          <w:tcPr>
            <w:tcW w:w="708" w:type="dxa"/>
            <w:shd w:val="clear" w:color="auto" w:fill="A6A6A6"/>
            <w:vAlign w:val="bottom"/>
          </w:tcPr>
          <w:p w14:paraId="35F09171" w14:textId="77777777" w:rsidR="00AA6557" w:rsidRPr="00666914" w:rsidRDefault="00AA6557">
            <w:pPr>
              <w:spacing w:after="0"/>
              <w:rPr>
                <w:color w:val="FF0000"/>
                <w:sz w:val="20"/>
                <w:szCs w:val="20"/>
              </w:rPr>
            </w:pPr>
          </w:p>
        </w:tc>
        <w:tc>
          <w:tcPr>
            <w:tcW w:w="710" w:type="dxa"/>
            <w:shd w:val="clear" w:color="auto" w:fill="A6A6A6"/>
            <w:vAlign w:val="bottom"/>
          </w:tcPr>
          <w:p w14:paraId="6908743D" w14:textId="77777777" w:rsidR="00AA6557" w:rsidRPr="00666914" w:rsidRDefault="00AA6557">
            <w:pPr>
              <w:spacing w:after="0"/>
              <w:jc w:val="center"/>
              <w:rPr>
                <w:color w:val="FF0000"/>
                <w:sz w:val="20"/>
                <w:szCs w:val="20"/>
              </w:rPr>
            </w:pPr>
          </w:p>
        </w:tc>
      </w:tr>
      <w:tr w:rsidR="00AA6557" w:rsidRPr="00666914" w14:paraId="32B2662C" w14:textId="77777777" w:rsidTr="006515CD">
        <w:trPr>
          <w:trHeight w:val="315"/>
        </w:trPr>
        <w:tc>
          <w:tcPr>
            <w:tcW w:w="710" w:type="dxa"/>
            <w:shd w:val="clear" w:color="auto" w:fill="auto"/>
            <w:vAlign w:val="center"/>
          </w:tcPr>
          <w:p w14:paraId="7B91574B" w14:textId="77777777" w:rsidR="00AA6557" w:rsidRPr="00666914" w:rsidRDefault="00AA6557">
            <w:pPr>
              <w:spacing w:after="0"/>
              <w:jc w:val="left"/>
              <w:rPr>
                <w:color w:val="000000"/>
                <w:sz w:val="20"/>
                <w:szCs w:val="20"/>
              </w:rPr>
            </w:pPr>
            <w:r w:rsidRPr="00666914">
              <w:rPr>
                <w:color w:val="000000"/>
                <w:sz w:val="18"/>
                <w:szCs w:val="18"/>
              </w:rPr>
              <w:t>10.3</w:t>
            </w:r>
          </w:p>
        </w:tc>
        <w:tc>
          <w:tcPr>
            <w:tcW w:w="1984" w:type="dxa"/>
            <w:shd w:val="clear" w:color="auto" w:fill="auto"/>
            <w:vAlign w:val="center"/>
          </w:tcPr>
          <w:p w14:paraId="11CEC498" w14:textId="77777777" w:rsidR="00AA6557" w:rsidRPr="00666914" w:rsidRDefault="00AA6557">
            <w:pPr>
              <w:spacing w:after="0"/>
              <w:jc w:val="left"/>
              <w:rPr>
                <w:color w:val="000000"/>
                <w:sz w:val="20"/>
                <w:szCs w:val="20"/>
              </w:rPr>
            </w:pPr>
            <w:r w:rsidRPr="00666914">
              <w:rPr>
                <w:color w:val="000000"/>
                <w:sz w:val="18"/>
                <w:szCs w:val="18"/>
              </w:rPr>
              <w:t>Zefektívnenie režimov v záujme klímy a životného prostredia</w:t>
            </w:r>
          </w:p>
        </w:tc>
        <w:tc>
          <w:tcPr>
            <w:tcW w:w="2126" w:type="dxa"/>
            <w:shd w:val="clear" w:color="auto" w:fill="auto"/>
            <w:vAlign w:val="center"/>
          </w:tcPr>
          <w:p w14:paraId="4458C7DF" w14:textId="77777777" w:rsidR="00AA6557" w:rsidRPr="00666914" w:rsidRDefault="00AA6557">
            <w:pPr>
              <w:spacing w:after="0"/>
              <w:jc w:val="left"/>
              <w:rPr>
                <w:color w:val="000000"/>
                <w:sz w:val="20"/>
                <w:szCs w:val="20"/>
              </w:rPr>
            </w:pPr>
            <w:r w:rsidRPr="00666914">
              <w:rPr>
                <w:color w:val="000000"/>
                <w:sz w:val="18"/>
                <w:szCs w:val="18"/>
              </w:rPr>
              <w:t>Celoplošne hodnotiť agro-environmentálne dopady poľnohospodárstva na ročnej báze</w:t>
            </w:r>
          </w:p>
        </w:tc>
        <w:tc>
          <w:tcPr>
            <w:tcW w:w="1418" w:type="dxa"/>
            <w:shd w:val="clear" w:color="auto" w:fill="auto"/>
            <w:vAlign w:val="center"/>
          </w:tcPr>
          <w:p w14:paraId="1CF888E3" w14:textId="77777777" w:rsidR="00AA6557" w:rsidRPr="00666914" w:rsidRDefault="00AA6557">
            <w:pPr>
              <w:spacing w:after="0"/>
              <w:jc w:val="center"/>
              <w:rPr>
                <w:color w:val="000000"/>
                <w:sz w:val="20"/>
                <w:szCs w:val="20"/>
              </w:rPr>
            </w:pPr>
            <w:r w:rsidRPr="00666914">
              <w:rPr>
                <w:color w:val="000000"/>
                <w:sz w:val="18"/>
                <w:szCs w:val="18"/>
              </w:rPr>
              <w:t>MPRV, Sekcia rozvoja vidieka a priamych platieb; Sekcia analýz, výkazníctva a projektov</w:t>
            </w:r>
          </w:p>
        </w:tc>
        <w:tc>
          <w:tcPr>
            <w:tcW w:w="992" w:type="dxa"/>
            <w:shd w:val="clear" w:color="auto" w:fill="auto"/>
            <w:vAlign w:val="center"/>
          </w:tcPr>
          <w:p w14:paraId="05A81BE6" w14:textId="77777777" w:rsidR="00AA6557" w:rsidRPr="00666914" w:rsidRDefault="00AA6557">
            <w:pPr>
              <w:spacing w:after="0"/>
              <w:jc w:val="center"/>
              <w:rPr>
                <w:color w:val="000000"/>
                <w:sz w:val="20"/>
                <w:szCs w:val="20"/>
              </w:rPr>
            </w:pPr>
            <w:r w:rsidRPr="00666914">
              <w:rPr>
                <w:color w:val="000000"/>
                <w:sz w:val="18"/>
                <w:szCs w:val="18"/>
              </w:rPr>
              <w:t>1.1.2021</w:t>
            </w:r>
          </w:p>
        </w:tc>
        <w:tc>
          <w:tcPr>
            <w:tcW w:w="709" w:type="dxa"/>
            <w:shd w:val="clear" w:color="auto" w:fill="A6A6A6"/>
            <w:vAlign w:val="bottom"/>
          </w:tcPr>
          <w:p w14:paraId="1D42F935" w14:textId="77777777" w:rsidR="00AA6557" w:rsidRPr="00666914" w:rsidRDefault="00AA6557">
            <w:pPr>
              <w:spacing w:after="0"/>
              <w:rPr>
                <w:color w:val="000000"/>
                <w:sz w:val="20"/>
                <w:szCs w:val="20"/>
              </w:rPr>
            </w:pPr>
          </w:p>
        </w:tc>
        <w:tc>
          <w:tcPr>
            <w:tcW w:w="709" w:type="dxa"/>
            <w:shd w:val="clear" w:color="auto" w:fill="A6A6A6"/>
            <w:vAlign w:val="bottom"/>
          </w:tcPr>
          <w:p w14:paraId="2D5F3801" w14:textId="77777777" w:rsidR="00AA6557" w:rsidRPr="00666914" w:rsidRDefault="00AA6557">
            <w:pPr>
              <w:spacing w:after="0"/>
              <w:rPr>
                <w:color w:val="FF0000"/>
                <w:sz w:val="20"/>
                <w:szCs w:val="20"/>
              </w:rPr>
            </w:pPr>
          </w:p>
        </w:tc>
        <w:tc>
          <w:tcPr>
            <w:tcW w:w="708" w:type="dxa"/>
            <w:shd w:val="clear" w:color="auto" w:fill="A6A6A6"/>
            <w:vAlign w:val="bottom"/>
          </w:tcPr>
          <w:p w14:paraId="38F4385C" w14:textId="77777777" w:rsidR="00AA6557" w:rsidRPr="00666914" w:rsidRDefault="00AA6557">
            <w:pPr>
              <w:spacing w:after="0"/>
              <w:rPr>
                <w:color w:val="FF0000"/>
                <w:sz w:val="20"/>
                <w:szCs w:val="20"/>
              </w:rPr>
            </w:pPr>
          </w:p>
        </w:tc>
        <w:tc>
          <w:tcPr>
            <w:tcW w:w="710" w:type="dxa"/>
            <w:shd w:val="clear" w:color="auto" w:fill="A6A6A6"/>
            <w:vAlign w:val="bottom"/>
          </w:tcPr>
          <w:p w14:paraId="0C22EB88" w14:textId="77777777" w:rsidR="00AA6557" w:rsidRPr="00666914" w:rsidRDefault="00AA6557">
            <w:pPr>
              <w:spacing w:after="0"/>
              <w:jc w:val="center"/>
              <w:rPr>
                <w:color w:val="FF0000"/>
                <w:sz w:val="20"/>
                <w:szCs w:val="20"/>
              </w:rPr>
            </w:pPr>
          </w:p>
        </w:tc>
      </w:tr>
      <w:tr w:rsidR="00AA6557" w:rsidRPr="00666914" w14:paraId="30465342" w14:textId="77777777" w:rsidTr="006515CD">
        <w:trPr>
          <w:trHeight w:val="315"/>
        </w:trPr>
        <w:tc>
          <w:tcPr>
            <w:tcW w:w="710" w:type="dxa"/>
            <w:shd w:val="clear" w:color="auto" w:fill="auto"/>
            <w:vAlign w:val="center"/>
          </w:tcPr>
          <w:p w14:paraId="01066E72" w14:textId="77777777" w:rsidR="00AA6557" w:rsidRPr="00666914" w:rsidRDefault="00AA6557">
            <w:pPr>
              <w:spacing w:after="0"/>
              <w:jc w:val="left"/>
              <w:rPr>
                <w:color w:val="000000"/>
                <w:sz w:val="20"/>
                <w:szCs w:val="20"/>
              </w:rPr>
            </w:pPr>
            <w:r w:rsidRPr="00666914">
              <w:rPr>
                <w:color w:val="000000"/>
                <w:sz w:val="18"/>
                <w:szCs w:val="18"/>
              </w:rPr>
              <w:t>10.4</w:t>
            </w:r>
          </w:p>
        </w:tc>
        <w:tc>
          <w:tcPr>
            <w:tcW w:w="1984" w:type="dxa"/>
            <w:shd w:val="clear" w:color="auto" w:fill="auto"/>
            <w:vAlign w:val="center"/>
          </w:tcPr>
          <w:p w14:paraId="6EC7B153" w14:textId="77777777" w:rsidR="00AA6557" w:rsidRPr="00666914" w:rsidRDefault="00AA6557">
            <w:pPr>
              <w:spacing w:after="0"/>
              <w:jc w:val="left"/>
              <w:rPr>
                <w:color w:val="000000"/>
                <w:sz w:val="20"/>
                <w:szCs w:val="20"/>
              </w:rPr>
            </w:pPr>
            <w:r w:rsidRPr="00666914">
              <w:rPr>
                <w:color w:val="000000"/>
                <w:sz w:val="18"/>
                <w:szCs w:val="18"/>
              </w:rPr>
              <w:t>Zefektívnenie režimov v záujme klímy a životného prostredia</w:t>
            </w:r>
          </w:p>
        </w:tc>
        <w:tc>
          <w:tcPr>
            <w:tcW w:w="2126" w:type="dxa"/>
            <w:shd w:val="clear" w:color="auto" w:fill="auto"/>
            <w:vAlign w:val="center"/>
          </w:tcPr>
          <w:p w14:paraId="7DEAB9E8" w14:textId="77777777" w:rsidR="00AA6557" w:rsidRPr="00666914" w:rsidRDefault="00AA6557">
            <w:pPr>
              <w:spacing w:after="0"/>
              <w:jc w:val="left"/>
              <w:rPr>
                <w:color w:val="000000"/>
                <w:sz w:val="20"/>
                <w:szCs w:val="20"/>
              </w:rPr>
            </w:pPr>
            <w:r w:rsidRPr="00666914">
              <w:rPr>
                <w:color w:val="000000"/>
                <w:sz w:val="18"/>
                <w:szCs w:val="18"/>
              </w:rPr>
              <w:t>Alokovať aspoň 30 % I. piliera na eko-platby</w:t>
            </w:r>
          </w:p>
        </w:tc>
        <w:tc>
          <w:tcPr>
            <w:tcW w:w="1418" w:type="dxa"/>
            <w:shd w:val="clear" w:color="auto" w:fill="auto"/>
            <w:vAlign w:val="center"/>
          </w:tcPr>
          <w:p w14:paraId="30EAEF4B" w14:textId="77777777" w:rsidR="00AA6557" w:rsidRPr="00666914" w:rsidRDefault="00AA6557">
            <w:pPr>
              <w:spacing w:after="0"/>
              <w:jc w:val="center"/>
              <w:rPr>
                <w:color w:val="000000"/>
                <w:sz w:val="20"/>
                <w:szCs w:val="20"/>
              </w:rPr>
            </w:pPr>
            <w:r w:rsidRPr="00666914">
              <w:rPr>
                <w:color w:val="000000"/>
                <w:sz w:val="18"/>
                <w:szCs w:val="18"/>
              </w:rPr>
              <w:t>MPRV, Sekcia rozvoja vidieka a priamych platieb</w:t>
            </w:r>
          </w:p>
        </w:tc>
        <w:tc>
          <w:tcPr>
            <w:tcW w:w="992" w:type="dxa"/>
            <w:shd w:val="clear" w:color="auto" w:fill="auto"/>
            <w:vAlign w:val="center"/>
          </w:tcPr>
          <w:p w14:paraId="3FEAED62" w14:textId="77777777" w:rsidR="00AA6557" w:rsidRPr="00666914" w:rsidRDefault="00AA6557">
            <w:pPr>
              <w:spacing w:after="0"/>
              <w:jc w:val="center"/>
              <w:rPr>
                <w:color w:val="000000"/>
                <w:sz w:val="20"/>
                <w:szCs w:val="20"/>
              </w:rPr>
            </w:pPr>
            <w:r w:rsidRPr="00666914">
              <w:rPr>
                <w:color w:val="000000"/>
                <w:sz w:val="18"/>
                <w:szCs w:val="18"/>
              </w:rPr>
              <w:t>1.1.2021</w:t>
            </w:r>
          </w:p>
        </w:tc>
        <w:tc>
          <w:tcPr>
            <w:tcW w:w="709" w:type="dxa"/>
            <w:shd w:val="clear" w:color="auto" w:fill="A6A6A6"/>
            <w:vAlign w:val="bottom"/>
          </w:tcPr>
          <w:p w14:paraId="32A199FA" w14:textId="77777777" w:rsidR="00AA6557" w:rsidRPr="00666914" w:rsidRDefault="00AA6557">
            <w:pPr>
              <w:spacing w:after="0"/>
              <w:rPr>
                <w:color w:val="000000"/>
                <w:sz w:val="20"/>
                <w:szCs w:val="20"/>
              </w:rPr>
            </w:pPr>
          </w:p>
        </w:tc>
        <w:tc>
          <w:tcPr>
            <w:tcW w:w="709" w:type="dxa"/>
            <w:shd w:val="clear" w:color="auto" w:fill="A6A6A6"/>
            <w:vAlign w:val="bottom"/>
          </w:tcPr>
          <w:p w14:paraId="7C9CC955" w14:textId="77777777" w:rsidR="00AA6557" w:rsidRPr="00666914" w:rsidRDefault="00AA6557">
            <w:pPr>
              <w:spacing w:after="0"/>
              <w:rPr>
                <w:color w:val="FF0000"/>
                <w:sz w:val="20"/>
                <w:szCs w:val="20"/>
              </w:rPr>
            </w:pPr>
          </w:p>
        </w:tc>
        <w:tc>
          <w:tcPr>
            <w:tcW w:w="708" w:type="dxa"/>
            <w:shd w:val="clear" w:color="auto" w:fill="A6A6A6"/>
            <w:vAlign w:val="bottom"/>
          </w:tcPr>
          <w:p w14:paraId="25E4C6F4" w14:textId="77777777" w:rsidR="00AA6557" w:rsidRPr="00666914" w:rsidRDefault="00AA6557">
            <w:pPr>
              <w:spacing w:after="0"/>
              <w:rPr>
                <w:color w:val="FF0000"/>
                <w:sz w:val="20"/>
                <w:szCs w:val="20"/>
              </w:rPr>
            </w:pPr>
          </w:p>
        </w:tc>
        <w:tc>
          <w:tcPr>
            <w:tcW w:w="710" w:type="dxa"/>
            <w:shd w:val="clear" w:color="auto" w:fill="A6A6A6"/>
            <w:vAlign w:val="bottom"/>
          </w:tcPr>
          <w:p w14:paraId="54B148E5" w14:textId="77777777" w:rsidR="00AA6557" w:rsidRPr="00666914" w:rsidRDefault="00AA6557">
            <w:pPr>
              <w:spacing w:after="0"/>
              <w:jc w:val="center"/>
              <w:rPr>
                <w:color w:val="FF0000"/>
                <w:sz w:val="20"/>
                <w:szCs w:val="20"/>
              </w:rPr>
            </w:pPr>
          </w:p>
        </w:tc>
      </w:tr>
      <w:tr w:rsidR="00AA6557" w:rsidRPr="00666914" w14:paraId="3B810D6C" w14:textId="77777777" w:rsidTr="006515CD">
        <w:trPr>
          <w:trHeight w:val="315"/>
        </w:trPr>
        <w:tc>
          <w:tcPr>
            <w:tcW w:w="710" w:type="dxa"/>
            <w:shd w:val="clear" w:color="auto" w:fill="auto"/>
            <w:vAlign w:val="center"/>
          </w:tcPr>
          <w:p w14:paraId="14F4CB31" w14:textId="77777777" w:rsidR="00AA6557" w:rsidRPr="00666914" w:rsidRDefault="00AA6557">
            <w:pPr>
              <w:spacing w:after="0"/>
              <w:jc w:val="left"/>
              <w:rPr>
                <w:color w:val="000000"/>
                <w:sz w:val="20"/>
                <w:szCs w:val="20"/>
              </w:rPr>
            </w:pPr>
            <w:r w:rsidRPr="00666914">
              <w:rPr>
                <w:color w:val="000000"/>
                <w:sz w:val="18"/>
                <w:szCs w:val="18"/>
              </w:rPr>
              <w:t>11.1</w:t>
            </w:r>
          </w:p>
        </w:tc>
        <w:tc>
          <w:tcPr>
            <w:tcW w:w="1984" w:type="dxa"/>
            <w:shd w:val="clear" w:color="auto" w:fill="auto"/>
            <w:vAlign w:val="center"/>
          </w:tcPr>
          <w:p w14:paraId="0E23E3D5" w14:textId="77777777" w:rsidR="00AA6557" w:rsidRPr="00666914" w:rsidRDefault="00AA6557">
            <w:pPr>
              <w:spacing w:after="0"/>
              <w:jc w:val="left"/>
              <w:rPr>
                <w:color w:val="000000"/>
                <w:sz w:val="20"/>
                <w:szCs w:val="20"/>
              </w:rPr>
            </w:pPr>
            <w:r w:rsidRPr="00666914">
              <w:rPr>
                <w:color w:val="000000"/>
                <w:sz w:val="18"/>
                <w:szCs w:val="18"/>
              </w:rPr>
              <w:t>Podpora ekologickej produkcie</w:t>
            </w:r>
          </w:p>
        </w:tc>
        <w:tc>
          <w:tcPr>
            <w:tcW w:w="2126" w:type="dxa"/>
            <w:shd w:val="clear" w:color="auto" w:fill="auto"/>
            <w:vAlign w:val="center"/>
          </w:tcPr>
          <w:p w14:paraId="11E80B5E" w14:textId="77777777" w:rsidR="00AA6557" w:rsidRPr="00666914" w:rsidRDefault="00AA6557">
            <w:pPr>
              <w:spacing w:after="0"/>
              <w:jc w:val="left"/>
              <w:rPr>
                <w:color w:val="000000"/>
                <w:sz w:val="20"/>
                <w:szCs w:val="20"/>
              </w:rPr>
            </w:pPr>
            <w:r w:rsidRPr="00666914">
              <w:rPr>
                <w:color w:val="000000"/>
                <w:sz w:val="18"/>
                <w:szCs w:val="18"/>
              </w:rPr>
              <w:t>Postupné navýšenie minimálneho zaťaženia TTP zvieratami</w:t>
            </w:r>
          </w:p>
        </w:tc>
        <w:tc>
          <w:tcPr>
            <w:tcW w:w="1418" w:type="dxa"/>
            <w:vAlign w:val="center"/>
          </w:tcPr>
          <w:p w14:paraId="0E08D657" w14:textId="77777777" w:rsidR="00AA6557" w:rsidRPr="00666914" w:rsidRDefault="00AA6557">
            <w:pPr>
              <w:spacing w:after="0"/>
              <w:jc w:val="center"/>
              <w:rPr>
                <w:color w:val="000000"/>
                <w:sz w:val="20"/>
                <w:szCs w:val="20"/>
              </w:rPr>
            </w:pPr>
            <w:r w:rsidRPr="00666914">
              <w:rPr>
                <w:color w:val="000000"/>
                <w:sz w:val="18"/>
                <w:szCs w:val="18"/>
              </w:rPr>
              <w:t>MPRV, Sekcia rozvoja vidieka a priamych platieb</w:t>
            </w:r>
          </w:p>
        </w:tc>
        <w:tc>
          <w:tcPr>
            <w:tcW w:w="992" w:type="dxa"/>
            <w:vAlign w:val="center"/>
          </w:tcPr>
          <w:p w14:paraId="04137C22" w14:textId="77777777" w:rsidR="00AA6557" w:rsidRPr="00666914" w:rsidRDefault="00AA6557">
            <w:pPr>
              <w:spacing w:after="0"/>
              <w:jc w:val="center"/>
              <w:rPr>
                <w:color w:val="000000"/>
                <w:sz w:val="20"/>
                <w:szCs w:val="20"/>
              </w:rPr>
            </w:pPr>
            <w:r w:rsidRPr="00666914">
              <w:rPr>
                <w:color w:val="000000"/>
                <w:sz w:val="18"/>
                <w:szCs w:val="18"/>
              </w:rPr>
              <w:t>1.1.2021</w:t>
            </w:r>
          </w:p>
        </w:tc>
        <w:tc>
          <w:tcPr>
            <w:tcW w:w="709" w:type="dxa"/>
            <w:shd w:val="clear" w:color="auto" w:fill="A6A6A6"/>
            <w:vAlign w:val="bottom"/>
          </w:tcPr>
          <w:p w14:paraId="7A8DE47D" w14:textId="77777777" w:rsidR="00AA6557" w:rsidRPr="00666914" w:rsidRDefault="00AA6557">
            <w:pPr>
              <w:spacing w:after="0"/>
              <w:rPr>
                <w:color w:val="000000"/>
                <w:sz w:val="20"/>
                <w:szCs w:val="20"/>
              </w:rPr>
            </w:pPr>
          </w:p>
        </w:tc>
        <w:tc>
          <w:tcPr>
            <w:tcW w:w="709" w:type="dxa"/>
            <w:shd w:val="clear" w:color="auto" w:fill="A6A6A6"/>
            <w:vAlign w:val="bottom"/>
          </w:tcPr>
          <w:p w14:paraId="30837BD5" w14:textId="77777777" w:rsidR="00AA6557" w:rsidRPr="00666914" w:rsidRDefault="00AA6557">
            <w:pPr>
              <w:spacing w:after="0"/>
              <w:rPr>
                <w:color w:val="FF0000"/>
                <w:sz w:val="20"/>
                <w:szCs w:val="20"/>
              </w:rPr>
            </w:pPr>
          </w:p>
        </w:tc>
        <w:tc>
          <w:tcPr>
            <w:tcW w:w="708" w:type="dxa"/>
            <w:shd w:val="clear" w:color="auto" w:fill="A6A6A6"/>
            <w:vAlign w:val="bottom"/>
          </w:tcPr>
          <w:p w14:paraId="3F326DED" w14:textId="77777777" w:rsidR="00AA6557" w:rsidRPr="00666914" w:rsidRDefault="00AA6557">
            <w:pPr>
              <w:spacing w:after="0"/>
              <w:rPr>
                <w:color w:val="FF0000"/>
                <w:sz w:val="20"/>
                <w:szCs w:val="20"/>
              </w:rPr>
            </w:pPr>
          </w:p>
        </w:tc>
        <w:tc>
          <w:tcPr>
            <w:tcW w:w="710" w:type="dxa"/>
            <w:shd w:val="clear" w:color="auto" w:fill="A6A6A6"/>
            <w:vAlign w:val="bottom"/>
          </w:tcPr>
          <w:p w14:paraId="0CAFE4E2" w14:textId="77777777" w:rsidR="00AA6557" w:rsidRPr="00666914" w:rsidRDefault="00AA6557">
            <w:pPr>
              <w:spacing w:after="0"/>
              <w:jc w:val="center"/>
              <w:rPr>
                <w:color w:val="FF0000"/>
                <w:sz w:val="20"/>
                <w:szCs w:val="20"/>
              </w:rPr>
            </w:pPr>
          </w:p>
          <w:p w14:paraId="52EC6607" w14:textId="77777777" w:rsidR="00AA6557" w:rsidRPr="00666914" w:rsidRDefault="00AA6557">
            <w:pPr>
              <w:spacing w:after="0"/>
              <w:jc w:val="center"/>
              <w:rPr>
                <w:color w:val="FF0000"/>
                <w:sz w:val="20"/>
                <w:szCs w:val="20"/>
              </w:rPr>
            </w:pPr>
          </w:p>
          <w:p w14:paraId="5212EFA9" w14:textId="77777777" w:rsidR="00AA6557" w:rsidRPr="00666914" w:rsidRDefault="00AA6557">
            <w:pPr>
              <w:spacing w:after="0"/>
              <w:jc w:val="center"/>
              <w:rPr>
                <w:color w:val="FF0000"/>
                <w:sz w:val="20"/>
                <w:szCs w:val="20"/>
              </w:rPr>
            </w:pPr>
          </w:p>
        </w:tc>
      </w:tr>
      <w:tr w:rsidR="00AA6557" w:rsidRPr="00666914" w14:paraId="5745177D" w14:textId="77777777" w:rsidTr="006515CD">
        <w:trPr>
          <w:trHeight w:val="315"/>
        </w:trPr>
        <w:tc>
          <w:tcPr>
            <w:tcW w:w="710" w:type="dxa"/>
            <w:shd w:val="clear" w:color="auto" w:fill="auto"/>
            <w:vAlign w:val="center"/>
          </w:tcPr>
          <w:p w14:paraId="60ECB8B5" w14:textId="77777777" w:rsidR="00AA6557" w:rsidRPr="00666914" w:rsidRDefault="00AA6557">
            <w:pPr>
              <w:spacing w:after="0"/>
              <w:jc w:val="left"/>
              <w:rPr>
                <w:color w:val="000000"/>
                <w:sz w:val="20"/>
                <w:szCs w:val="20"/>
              </w:rPr>
            </w:pPr>
            <w:r w:rsidRPr="00666914">
              <w:rPr>
                <w:color w:val="000000"/>
                <w:sz w:val="18"/>
                <w:szCs w:val="18"/>
              </w:rPr>
              <w:t>11.2</w:t>
            </w:r>
          </w:p>
        </w:tc>
        <w:tc>
          <w:tcPr>
            <w:tcW w:w="1984" w:type="dxa"/>
            <w:shd w:val="clear" w:color="auto" w:fill="auto"/>
            <w:vAlign w:val="center"/>
          </w:tcPr>
          <w:p w14:paraId="7476D4BD" w14:textId="77777777" w:rsidR="00AA6557" w:rsidRPr="00666914" w:rsidRDefault="00AA6557">
            <w:pPr>
              <w:spacing w:after="0"/>
              <w:jc w:val="left"/>
              <w:rPr>
                <w:color w:val="000000"/>
                <w:sz w:val="20"/>
                <w:szCs w:val="20"/>
              </w:rPr>
            </w:pPr>
            <w:r w:rsidRPr="00666914">
              <w:rPr>
                <w:color w:val="000000"/>
                <w:sz w:val="18"/>
                <w:szCs w:val="18"/>
              </w:rPr>
              <w:t>Podpora ekologickej produkcie</w:t>
            </w:r>
          </w:p>
        </w:tc>
        <w:tc>
          <w:tcPr>
            <w:tcW w:w="2126" w:type="dxa"/>
            <w:shd w:val="clear" w:color="auto" w:fill="auto"/>
            <w:vAlign w:val="center"/>
          </w:tcPr>
          <w:p w14:paraId="0DCC4076" w14:textId="77777777" w:rsidR="00AA6557" w:rsidRPr="00666914" w:rsidRDefault="00AA6557">
            <w:pPr>
              <w:spacing w:after="0"/>
              <w:jc w:val="left"/>
              <w:rPr>
                <w:color w:val="000000"/>
                <w:sz w:val="20"/>
                <w:szCs w:val="20"/>
              </w:rPr>
            </w:pPr>
            <w:r w:rsidRPr="00666914">
              <w:rPr>
                <w:color w:val="000000"/>
                <w:sz w:val="18"/>
                <w:szCs w:val="18"/>
              </w:rPr>
              <w:t>Plošné hodnotenie environmentálnych dopadov ekologického poľnohospodárstva</w:t>
            </w:r>
          </w:p>
        </w:tc>
        <w:tc>
          <w:tcPr>
            <w:tcW w:w="1418" w:type="dxa"/>
            <w:vAlign w:val="center"/>
          </w:tcPr>
          <w:p w14:paraId="6FD1B49F" w14:textId="77777777" w:rsidR="00AA6557" w:rsidRPr="00666914" w:rsidRDefault="00AA6557">
            <w:pPr>
              <w:spacing w:after="0"/>
              <w:jc w:val="center"/>
              <w:rPr>
                <w:color w:val="000000"/>
                <w:sz w:val="20"/>
                <w:szCs w:val="20"/>
              </w:rPr>
            </w:pPr>
            <w:r w:rsidRPr="00666914">
              <w:rPr>
                <w:color w:val="000000"/>
                <w:sz w:val="18"/>
                <w:szCs w:val="18"/>
              </w:rPr>
              <w:t>MPRV, Sekcia rozvoja vidieka a priamych platieb</w:t>
            </w:r>
          </w:p>
        </w:tc>
        <w:tc>
          <w:tcPr>
            <w:tcW w:w="992" w:type="dxa"/>
            <w:vAlign w:val="center"/>
          </w:tcPr>
          <w:p w14:paraId="5B0B3C15" w14:textId="77777777" w:rsidR="00AA6557" w:rsidRPr="00666914" w:rsidRDefault="00AA6557">
            <w:pPr>
              <w:spacing w:after="0"/>
              <w:jc w:val="center"/>
              <w:rPr>
                <w:color w:val="000000"/>
                <w:sz w:val="20"/>
                <w:szCs w:val="20"/>
              </w:rPr>
            </w:pPr>
            <w:r w:rsidRPr="00666914">
              <w:rPr>
                <w:color w:val="000000"/>
                <w:sz w:val="18"/>
                <w:szCs w:val="18"/>
              </w:rPr>
              <w:t>1.1.2021</w:t>
            </w:r>
          </w:p>
        </w:tc>
        <w:tc>
          <w:tcPr>
            <w:tcW w:w="709" w:type="dxa"/>
            <w:shd w:val="clear" w:color="auto" w:fill="A6A6A6"/>
            <w:vAlign w:val="bottom"/>
          </w:tcPr>
          <w:p w14:paraId="590CE970" w14:textId="77777777" w:rsidR="00AA6557" w:rsidRPr="00666914" w:rsidRDefault="00AA6557">
            <w:pPr>
              <w:spacing w:after="0"/>
              <w:rPr>
                <w:color w:val="000000"/>
                <w:sz w:val="20"/>
                <w:szCs w:val="20"/>
              </w:rPr>
            </w:pPr>
          </w:p>
        </w:tc>
        <w:tc>
          <w:tcPr>
            <w:tcW w:w="709" w:type="dxa"/>
            <w:shd w:val="clear" w:color="auto" w:fill="A6A6A6"/>
            <w:vAlign w:val="bottom"/>
          </w:tcPr>
          <w:p w14:paraId="5F645889" w14:textId="77777777" w:rsidR="00AA6557" w:rsidRPr="00666914" w:rsidRDefault="00AA6557">
            <w:pPr>
              <w:spacing w:after="0"/>
              <w:rPr>
                <w:color w:val="FF0000"/>
                <w:sz w:val="20"/>
                <w:szCs w:val="20"/>
              </w:rPr>
            </w:pPr>
          </w:p>
        </w:tc>
        <w:tc>
          <w:tcPr>
            <w:tcW w:w="708" w:type="dxa"/>
            <w:shd w:val="clear" w:color="auto" w:fill="A6A6A6"/>
            <w:vAlign w:val="bottom"/>
          </w:tcPr>
          <w:p w14:paraId="27A55A5C" w14:textId="77777777" w:rsidR="00AA6557" w:rsidRPr="00666914" w:rsidRDefault="00AA6557">
            <w:pPr>
              <w:spacing w:after="0"/>
              <w:rPr>
                <w:color w:val="FF0000"/>
                <w:sz w:val="20"/>
                <w:szCs w:val="20"/>
              </w:rPr>
            </w:pPr>
          </w:p>
        </w:tc>
        <w:tc>
          <w:tcPr>
            <w:tcW w:w="710" w:type="dxa"/>
            <w:shd w:val="clear" w:color="auto" w:fill="A6A6A6"/>
            <w:vAlign w:val="bottom"/>
          </w:tcPr>
          <w:p w14:paraId="0D88460E" w14:textId="77777777" w:rsidR="00AA6557" w:rsidRPr="00666914" w:rsidRDefault="00AA6557">
            <w:pPr>
              <w:spacing w:after="0"/>
              <w:jc w:val="center"/>
              <w:rPr>
                <w:color w:val="FF0000"/>
                <w:sz w:val="20"/>
                <w:szCs w:val="20"/>
              </w:rPr>
            </w:pPr>
          </w:p>
          <w:p w14:paraId="3FF43744" w14:textId="77777777" w:rsidR="00AA6557" w:rsidRPr="00666914" w:rsidRDefault="00AA6557">
            <w:pPr>
              <w:spacing w:after="0"/>
              <w:jc w:val="center"/>
              <w:rPr>
                <w:color w:val="FF0000"/>
                <w:sz w:val="20"/>
                <w:szCs w:val="20"/>
              </w:rPr>
            </w:pPr>
          </w:p>
          <w:p w14:paraId="16F8FDAD" w14:textId="77777777" w:rsidR="00AA6557" w:rsidRPr="00666914" w:rsidRDefault="00AA6557">
            <w:pPr>
              <w:spacing w:after="0"/>
              <w:jc w:val="center"/>
              <w:rPr>
                <w:color w:val="FF0000"/>
                <w:sz w:val="20"/>
                <w:szCs w:val="20"/>
              </w:rPr>
            </w:pPr>
          </w:p>
          <w:p w14:paraId="6928A4BF" w14:textId="77777777" w:rsidR="00AA6557" w:rsidRPr="00666914" w:rsidRDefault="00AA6557">
            <w:pPr>
              <w:spacing w:after="0"/>
              <w:jc w:val="center"/>
              <w:rPr>
                <w:color w:val="FF0000"/>
                <w:sz w:val="20"/>
                <w:szCs w:val="20"/>
              </w:rPr>
            </w:pPr>
          </w:p>
        </w:tc>
      </w:tr>
      <w:tr w:rsidR="00AA6557" w:rsidRPr="00666914" w14:paraId="261391D1" w14:textId="77777777" w:rsidTr="006515CD">
        <w:trPr>
          <w:trHeight w:val="315"/>
        </w:trPr>
        <w:tc>
          <w:tcPr>
            <w:tcW w:w="710" w:type="dxa"/>
            <w:shd w:val="clear" w:color="auto" w:fill="auto"/>
            <w:vAlign w:val="center"/>
          </w:tcPr>
          <w:p w14:paraId="10A30A07" w14:textId="77777777" w:rsidR="00AA6557" w:rsidRPr="00666914" w:rsidRDefault="00AA6557">
            <w:pPr>
              <w:spacing w:after="0"/>
              <w:jc w:val="left"/>
              <w:rPr>
                <w:color w:val="000000"/>
                <w:sz w:val="20"/>
                <w:szCs w:val="20"/>
              </w:rPr>
            </w:pPr>
            <w:r w:rsidRPr="00666914">
              <w:rPr>
                <w:color w:val="000000"/>
                <w:sz w:val="18"/>
                <w:szCs w:val="18"/>
              </w:rPr>
              <w:t>12.1</w:t>
            </w:r>
          </w:p>
        </w:tc>
        <w:tc>
          <w:tcPr>
            <w:tcW w:w="1984" w:type="dxa"/>
            <w:shd w:val="clear" w:color="auto" w:fill="auto"/>
            <w:vAlign w:val="center"/>
          </w:tcPr>
          <w:p w14:paraId="59C46C6F" w14:textId="77777777" w:rsidR="00AA6557" w:rsidRPr="00666914" w:rsidRDefault="00AA6557">
            <w:pPr>
              <w:spacing w:after="0"/>
              <w:jc w:val="left"/>
              <w:rPr>
                <w:color w:val="000000"/>
                <w:sz w:val="20"/>
                <w:szCs w:val="20"/>
              </w:rPr>
            </w:pPr>
            <w:r w:rsidRPr="00666914">
              <w:rPr>
                <w:color w:val="000000"/>
                <w:sz w:val="18"/>
                <w:szCs w:val="18"/>
              </w:rPr>
              <w:t>Lesy</w:t>
            </w:r>
          </w:p>
        </w:tc>
        <w:tc>
          <w:tcPr>
            <w:tcW w:w="2126" w:type="dxa"/>
            <w:shd w:val="clear" w:color="auto" w:fill="auto"/>
            <w:vAlign w:val="center"/>
          </w:tcPr>
          <w:p w14:paraId="5F80B983" w14:textId="77777777" w:rsidR="00AA6557" w:rsidRPr="00666914" w:rsidRDefault="00AA6557">
            <w:pPr>
              <w:spacing w:after="0"/>
              <w:jc w:val="left"/>
              <w:rPr>
                <w:color w:val="000000"/>
                <w:sz w:val="20"/>
                <w:szCs w:val="20"/>
              </w:rPr>
            </w:pPr>
            <w:r w:rsidRPr="00666914">
              <w:rPr>
                <w:color w:val="000000"/>
                <w:sz w:val="18"/>
                <w:szCs w:val="18"/>
              </w:rPr>
              <w:t>Zverejnenie Programov starostlivosti o les</w:t>
            </w:r>
          </w:p>
        </w:tc>
        <w:tc>
          <w:tcPr>
            <w:tcW w:w="1418" w:type="dxa"/>
            <w:shd w:val="clear" w:color="auto" w:fill="auto"/>
            <w:vAlign w:val="center"/>
          </w:tcPr>
          <w:p w14:paraId="6859B29A" w14:textId="77777777" w:rsidR="00AA6557" w:rsidRPr="00666914" w:rsidRDefault="00AA6557">
            <w:pPr>
              <w:spacing w:after="0"/>
              <w:jc w:val="center"/>
              <w:rPr>
                <w:color w:val="000000"/>
                <w:sz w:val="20"/>
                <w:szCs w:val="20"/>
              </w:rPr>
            </w:pPr>
            <w:r w:rsidRPr="00666914">
              <w:rPr>
                <w:color w:val="000000"/>
                <w:sz w:val="18"/>
                <w:szCs w:val="18"/>
              </w:rPr>
              <w:t>NLC</w:t>
            </w:r>
          </w:p>
        </w:tc>
        <w:tc>
          <w:tcPr>
            <w:tcW w:w="992" w:type="dxa"/>
            <w:shd w:val="clear" w:color="auto" w:fill="auto"/>
            <w:vAlign w:val="center"/>
          </w:tcPr>
          <w:p w14:paraId="542599E2" w14:textId="77777777" w:rsidR="00AA6557" w:rsidRPr="00666914" w:rsidRDefault="00AA6557">
            <w:pPr>
              <w:spacing w:after="0"/>
              <w:jc w:val="center"/>
              <w:rPr>
                <w:color w:val="000000"/>
                <w:sz w:val="20"/>
                <w:szCs w:val="20"/>
              </w:rPr>
            </w:pPr>
            <w:r w:rsidRPr="00666914">
              <w:rPr>
                <w:color w:val="000000"/>
                <w:sz w:val="18"/>
                <w:szCs w:val="18"/>
              </w:rPr>
              <w:t>1.1.2020</w:t>
            </w:r>
          </w:p>
        </w:tc>
        <w:tc>
          <w:tcPr>
            <w:tcW w:w="709" w:type="dxa"/>
            <w:shd w:val="clear" w:color="auto" w:fill="A6A6A6"/>
            <w:vAlign w:val="bottom"/>
          </w:tcPr>
          <w:p w14:paraId="418D4812" w14:textId="77777777" w:rsidR="00AA6557" w:rsidRPr="00666914" w:rsidRDefault="00AA6557">
            <w:pPr>
              <w:spacing w:after="0"/>
              <w:rPr>
                <w:color w:val="000000"/>
                <w:sz w:val="20"/>
                <w:szCs w:val="20"/>
              </w:rPr>
            </w:pPr>
          </w:p>
        </w:tc>
        <w:tc>
          <w:tcPr>
            <w:tcW w:w="709" w:type="dxa"/>
            <w:shd w:val="clear" w:color="auto" w:fill="A6A6A6"/>
            <w:vAlign w:val="bottom"/>
          </w:tcPr>
          <w:p w14:paraId="6412B3A0" w14:textId="77777777" w:rsidR="00AA6557" w:rsidRPr="00666914" w:rsidRDefault="00AA6557">
            <w:pPr>
              <w:spacing w:after="0"/>
              <w:rPr>
                <w:color w:val="FF0000"/>
                <w:sz w:val="20"/>
                <w:szCs w:val="20"/>
              </w:rPr>
            </w:pPr>
          </w:p>
        </w:tc>
        <w:tc>
          <w:tcPr>
            <w:tcW w:w="708" w:type="dxa"/>
            <w:shd w:val="clear" w:color="auto" w:fill="A6A6A6"/>
            <w:vAlign w:val="bottom"/>
          </w:tcPr>
          <w:p w14:paraId="3C820034" w14:textId="77777777" w:rsidR="00AA6557" w:rsidRPr="00666914" w:rsidRDefault="00AA6557">
            <w:pPr>
              <w:spacing w:after="0"/>
              <w:rPr>
                <w:color w:val="FF0000"/>
                <w:sz w:val="20"/>
                <w:szCs w:val="20"/>
              </w:rPr>
            </w:pPr>
          </w:p>
        </w:tc>
        <w:tc>
          <w:tcPr>
            <w:tcW w:w="710" w:type="dxa"/>
            <w:shd w:val="clear" w:color="auto" w:fill="FFC000"/>
            <w:vAlign w:val="center"/>
          </w:tcPr>
          <w:p w14:paraId="624EA720" w14:textId="77777777" w:rsidR="00AA6557" w:rsidRPr="00666914" w:rsidRDefault="00AA6557">
            <w:pPr>
              <w:spacing w:after="0"/>
              <w:rPr>
                <w:color w:val="000000"/>
                <w:sz w:val="20"/>
                <w:szCs w:val="20"/>
              </w:rPr>
            </w:pPr>
            <w:r w:rsidRPr="00666914">
              <w:rPr>
                <w:color w:val="000000"/>
                <w:sz w:val="20"/>
                <w:szCs w:val="20"/>
              </w:rPr>
              <w:t xml:space="preserve">   </w:t>
            </w:r>
          </w:p>
          <w:p w14:paraId="7E6E6777" w14:textId="77777777" w:rsidR="00AA6557" w:rsidRPr="00666914" w:rsidRDefault="00AA6557">
            <w:pPr>
              <w:spacing w:after="0"/>
              <w:rPr>
                <w:color w:val="000000"/>
                <w:sz w:val="20"/>
                <w:szCs w:val="20"/>
              </w:rPr>
            </w:pPr>
          </w:p>
          <w:p w14:paraId="6C842F32" w14:textId="77777777" w:rsidR="00AA6557" w:rsidRPr="00666914" w:rsidRDefault="00AA6557">
            <w:pPr>
              <w:spacing w:after="0"/>
              <w:rPr>
                <w:color w:val="FF0000"/>
                <w:sz w:val="20"/>
                <w:szCs w:val="20"/>
              </w:rPr>
            </w:pPr>
          </w:p>
        </w:tc>
      </w:tr>
      <w:tr w:rsidR="00AA6557" w:rsidRPr="00666914" w14:paraId="2529BE25" w14:textId="77777777" w:rsidTr="006515CD">
        <w:trPr>
          <w:trHeight w:val="315"/>
        </w:trPr>
        <w:tc>
          <w:tcPr>
            <w:tcW w:w="710" w:type="dxa"/>
            <w:shd w:val="clear" w:color="auto" w:fill="auto"/>
            <w:vAlign w:val="center"/>
          </w:tcPr>
          <w:p w14:paraId="57CDD41E" w14:textId="77777777" w:rsidR="00AA6557" w:rsidRPr="00666914" w:rsidRDefault="00AA6557">
            <w:pPr>
              <w:spacing w:after="0"/>
              <w:jc w:val="left"/>
              <w:rPr>
                <w:color w:val="000000"/>
                <w:sz w:val="20"/>
                <w:szCs w:val="20"/>
              </w:rPr>
            </w:pPr>
            <w:r w:rsidRPr="00666914">
              <w:rPr>
                <w:color w:val="000000"/>
                <w:sz w:val="18"/>
                <w:szCs w:val="18"/>
              </w:rPr>
              <w:t>12.2</w:t>
            </w:r>
          </w:p>
        </w:tc>
        <w:tc>
          <w:tcPr>
            <w:tcW w:w="1984" w:type="dxa"/>
            <w:shd w:val="clear" w:color="auto" w:fill="auto"/>
            <w:vAlign w:val="center"/>
          </w:tcPr>
          <w:p w14:paraId="0E4F70E6" w14:textId="77777777" w:rsidR="00AA6557" w:rsidRPr="00666914" w:rsidRDefault="00AA6557">
            <w:pPr>
              <w:spacing w:after="0"/>
              <w:jc w:val="left"/>
              <w:rPr>
                <w:color w:val="000000"/>
                <w:sz w:val="20"/>
                <w:szCs w:val="20"/>
              </w:rPr>
            </w:pPr>
            <w:r w:rsidRPr="00666914">
              <w:rPr>
                <w:color w:val="000000"/>
                <w:sz w:val="18"/>
                <w:szCs w:val="18"/>
              </w:rPr>
              <w:t>Lesy</w:t>
            </w:r>
          </w:p>
        </w:tc>
        <w:tc>
          <w:tcPr>
            <w:tcW w:w="2126" w:type="dxa"/>
            <w:shd w:val="clear" w:color="auto" w:fill="auto"/>
            <w:vAlign w:val="center"/>
          </w:tcPr>
          <w:p w14:paraId="18AACD8C" w14:textId="77777777" w:rsidR="00AA6557" w:rsidRPr="00666914" w:rsidRDefault="00AA6557">
            <w:pPr>
              <w:spacing w:after="0"/>
              <w:jc w:val="left"/>
              <w:rPr>
                <w:color w:val="000000"/>
                <w:sz w:val="20"/>
                <w:szCs w:val="20"/>
              </w:rPr>
            </w:pPr>
            <w:r w:rsidRPr="00666914">
              <w:rPr>
                <w:color w:val="000000"/>
                <w:sz w:val="18"/>
                <w:szCs w:val="18"/>
              </w:rPr>
              <w:t>Monitorovanie ťažby dreva</w:t>
            </w:r>
          </w:p>
        </w:tc>
        <w:tc>
          <w:tcPr>
            <w:tcW w:w="1418" w:type="dxa"/>
            <w:shd w:val="clear" w:color="auto" w:fill="auto"/>
            <w:vAlign w:val="center"/>
          </w:tcPr>
          <w:p w14:paraId="6B9C2ADB" w14:textId="77777777" w:rsidR="00AA6557" w:rsidRPr="00666914" w:rsidRDefault="00AA6557">
            <w:pPr>
              <w:spacing w:after="0"/>
              <w:jc w:val="center"/>
              <w:rPr>
                <w:color w:val="000000"/>
                <w:sz w:val="20"/>
                <w:szCs w:val="20"/>
              </w:rPr>
            </w:pPr>
            <w:r w:rsidRPr="00666914">
              <w:rPr>
                <w:color w:val="000000"/>
                <w:sz w:val="18"/>
                <w:szCs w:val="18"/>
              </w:rPr>
              <w:t>Lesy SR, š.p., Lesopoľnohospo-dársky majetok Ulič, š.p., Štátne lesy Tatranského národného parku</w:t>
            </w:r>
          </w:p>
        </w:tc>
        <w:tc>
          <w:tcPr>
            <w:tcW w:w="992" w:type="dxa"/>
            <w:shd w:val="clear" w:color="auto" w:fill="auto"/>
            <w:vAlign w:val="center"/>
          </w:tcPr>
          <w:p w14:paraId="6124F9D6" w14:textId="77777777" w:rsidR="00AA6557" w:rsidRPr="00666914" w:rsidRDefault="00AA6557">
            <w:pPr>
              <w:spacing w:after="0"/>
              <w:jc w:val="center"/>
              <w:rPr>
                <w:color w:val="000000"/>
                <w:sz w:val="20"/>
                <w:szCs w:val="20"/>
              </w:rPr>
            </w:pPr>
            <w:r w:rsidRPr="00666914">
              <w:rPr>
                <w:color w:val="000000"/>
                <w:sz w:val="18"/>
                <w:szCs w:val="18"/>
              </w:rPr>
              <w:t>1.1.2021</w:t>
            </w:r>
          </w:p>
        </w:tc>
        <w:tc>
          <w:tcPr>
            <w:tcW w:w="709" w:type="dxa"/>
            <w:shd w:val="clear" w:color="auto" w:fill="A6A6A6"/>
            <w:vAlign w:val="bottom"/>
          </w:tcPr>
          <w:p w14:paraId="62915E55" w14:textId="77777777" w:rsidR="00AA6557" w:rsidRPr="00666914" w:rsidRDefault="00AA6557">
            <w:pPr>
              <w:spacing w:after="0"/>
              <w:rPr>
                <w:color w:val="000000"/>
                <w:sz w:val="20"/>
                <w:szCs w:val="20"/>
              </w:rPr>
            </w:pPr>
          </w:p>
        </w:tc>
        <w:tc>
          <w:tcPr>
            <w:tcW w:w="709" w:type="dxa"/>
            <w:shd w:val="clear" w:color="auto" w:fill="A6A6A6"/>
            <w:vAlign w:val="bottom"/>
          </w:tcPr>
          <w:p w14:paraId="7DDCC9AD" w14:textId="77777777" w:rsidR="00AA6557" w:rsidRPr="00666914" w:rsidRDefault="00AA6557">
            <w:pPr>
              <w:spacing w:after="0"/>
              <w:rPr>
                <w:color w:val="FF0000"/>
                <w:sz w:val="20"/>
                <w:szCs w:val="20"/>
              </w:rPr>
            </w:pPr>
          </w:p>
        </w:tc>
        <w:tc>
          <w:tcPr>
            <w:tcW w:w="708" w:type="dxa"/>
            <w:shd w:val="clear" w:color="auto" w:fill="A6A6A6"/>
            <w:vAlign w:val="bottom"/>
          </w:tcPr>
          <w:p w14:paraId="1A31FA25" w14:textId="77777777" w:rsidR="00AA6557" w:rsidRPr="00666914" w:rsidRDefault="00AA6557">
            <w:pPr>
              <w:spacing w:after="0"/>
              <w:rPr>
                <w:color w:val="FF0000"/>
                <w:sz w:val="20"/>
                <w:szCs w:val="20"/>
              </w:rPr>
            </w:pPr>
          </w:p>
        </w:tc>
        <w:tc>
          <w:tcPr>
            <w:tcW w:w="710" w:type="dxa"/>
            <w:shd w:val="clear" w:color="auto" w:fill="A6A6A6"/>
            <w:vAlign w:val="bottom"/>
          </w:tcPr>
          <w:p w14:paraId="0A562081" w14:textId="77777777" w:rsidR="00AA6557" w:rsidRPr="00666914" w:rsidRDefault="00AA6557">
            <w:pPr>
              <w:spacing w:after="0"/>
              <w:jc w:val="center"/>
              <w:rPr>
                <w:color w:val="FF0000"/>
                <w:sz w:val="20"/>
                <w:szCs w:val="20"/>
              </w:rPr>
            </w:pPr>
          </w:p>
        </w:tc>
      </w:tr>
      <w:tr w:rsidR="00AA6557" w:rsidRPr="00666914" w14:paraId="549ED876" w14:textId="77777777" w:rsidTr="006515CD">
        <w:trPr>
          <w:trHeight w:val="315"/>
        </w:trPr>
        <w:tc>
          <w:tcPr>
            <w:tcW w:w="710" w:type="dxa"/>
            <w:shd w:val="clear" w:color="auto" w:fill="auto"/>
            <w:vAlign w:val="center"/>
          </w:tcPr>
          <w:p w14:paraId="4D705DA5" w14:textId="77777777" w:rsidR="00AA6557" w:rsidRPr="00666914" w:rsidRDefault="00AA6557">
            <w:pPr>
              <w:spacing w:after="0"/>
              <w:jc w:val="left"/>
              <w:rPr>
                <w:color w:val="000000"/>
                <w:sz w:val="20"/>
                <w:szCs w:val="20"/>
              </w:rPr>
            </w:pPr>
            <w:r w:rsidRPr="00666914">
              <w:rPr>
                <w:color w:val="000000"/>
                <w:sz w:val="18"/>
                <w:szCs w:val="18"/>
              </w:rPr>
              <w:t>13.1.1</w:t>
            </w:r>
          </w:p>
        </w:tc>
        <w:tc>
          <w:tcPr>
            <w:tcW w:w="1984" w:type="dxa"/>
            <w:shd w:val="clear" w:color="auto" w:fill="auto"/>
            <w:vAlign w:val="center"/>
          </w:tcPr>
          <w:p w14:paraId="6AC5525D" w14:textId="77777777" w:rsidR="00AA6557" w:rsidRPr="00666914" w:rsidRDefault="00AA6557">
            <w:pPr>
              <w:spacing w:after="0"/>
              <w:jc w:val="left"/>
              <w:rPr>
                <w:color w:val="000000"/>
                <w:sz w:val="20"/>
                <w:szCs w:val="20"/>
              </w:rPr>
            </w:pPr>
            <w:r w:rsidRPr="00666914">
              <w:rPr>
                <w:color w:val="000000"/>
                <w:sz w:val="18"/>
                <w:szCs w:val="18"/>
              </w:rPr>
              <w:t>Zefektívnenie prevádzky úradu a podriadených organizácií MPRV SR vrátane štátnych podnikov</w:t>
            </w:r>
          </w:p>
        </w:tc>
        <w:tc>
          <w:tcPr>
            <w:tcW w:w="2126" w:type="dxa"/>
            <w:shd w:val="clear" w:color="auto" w:fill="auto"/>
            <w:vAlign w:val="center"/>
          </w:tcPr>
          <w:p w14:paraId="2EF5A84E" w14:textId="77777777" w:rsidR="00AA6557" w:rsidRPr="00666914" w:rsidRDefault="00AA6557">
            <w:pPr>
              <w:spacing w:after="0"/>
              <w:jc w:val="left"/>
              <w:rPr>
                <w:color w:val="000000"/>
                <w:sz w:val="20"/>
                <w:szCs w:val="20"/>
              </w:rPr>
            </w:pPr>
            <w:r w:rsidRPr="00666914">
              <w:rPr>
                <w:color w:val="000000"/>
                <w:sz w:val="18"/>
                <w:szCs w:val="18"/>
              </w:rPr>
              <w:t>Optimalizácia výdavkov úradu MPRV SR a podriadených organizácií (podporné a prierezové činnosti)</w:t>
            </w:r>
          </w:p>
        </w:tc>
        <w:tc>
          <w:tcPr>
            <w:tcW w:w="1418" w:type="dxa"/>
            <w:shd w:val="clear" w:color="auto" w:fill="auto"/>
            <w:vAlign w:val="center"/>
          </w:tcPr>
          <w:p w14:paraId="21468F2E" w14:textId="77777777" w:rsidR="00AA6557" w:rsidRPr="00666914" w:rsidRDefault="00AA6557">
            <w:pPr>
              <w:spacing w:after="0"/>
              <w:jc w:val="center"/>
              <w:rPr>
                <w:color w:val="000000"/>
                <w:sz w:val="20"/>
                <w:szCs w:val="20"/>
              </w:rPr>
            </w:pPr>
            <w:r w:rsidRPr="00666914">
              <w:rPr>
                <w:color w:val="000000"/>
                <w:sz w:val="18"/>
                <w:szCs w:val="18"/>
              </w:rPr>
              <w:t>MPRV, generálny tajomník služobného úradu</w:t>
            </w:r>
          </w:p>
        </w:tc>
        <w:tc>
          <w:tcPr>
            <w:tcW w:w="992" w:type="dxa"/>
            <w:shd w:val="clear" w:color="auto" w:fill="auto"/>
            <w:vAlign w:val="center"/>
          </w:tcPr>
          <w:p w14:paraId="2AEF9F32" w14:textId="77777777" w:rsidR="00AA6557" w:rsidRPr="00666914" w:rsidRDefault="00AA6557">
            <w:pPr>
              <w:spacing w:after="0"/>
              <w:jc w:val="center"/>
              <w:rPr>
                <w:color w:val="000000"/>
                <w:sz w:val="20"/>
                <w:szCs w:val="20"/>
              </w:rPr>
            </w:pPr>
            <w:r w:rsidRPr="00666914">
              <w:rPr>
                <w:color w:val="000000"/>
                <w:sz w:val="18"/>
                <w:szCs w:val="18"/>
              </w:rPr>
              <w:t>1.1.2022</w:t>
            </w:r>
          </w:p>
        </w:tc>
        <w:tc>
          <w:tcPr>
            <w:tcW w:w="709" w:type="dxa"/>
            <w:shd w:val="clear" w:color="auto" w:fill="A6A6A6"/>
            <w:vAlign w:val="bottom"/>
          </w:tcPr>
          <w:p w14:paraId="45BAFF94" w14:textId="77777777" w:rsidR="00AA6557" w:rsidRPr="00666914" w:rsidRDefault="00AA6557">
            <w:pPr>
              <w:spacing w:after="0"/>
              <w:rPr>
                <w:color w:val="000000"/>
                <w:sz w:val="20"/>
                <w:szCs w:val="20"/>
              </w:rPr>
            </w:pPr>
          </w:p>
        </w:tc>
        <w:tc>
          <w:tcPr>
            <w:tcW w:w="709" w:type="dxa"/>
            <w:shd w:val="clear" w:color="auto" w:fill="A6A6A6"/>
            <w:vAlign w:val="bottom"/>
          </w:tcPr>
          <w:p w14:paraId="31EBB65F" w14:textId="77777777" w:rsidR="00AA6557" w:rsidRPr="00666914" w:rsidRDefault="00AA6557">
            <w:pPr>
              <w:spacing w:after="0"/>
              <w:rPr>
                <w:color w:val="FF0000"/>
                <w:sz w:val="20"/>
                <w:szCs w:val="20"/>
              </w:rPr>
            </w:pPr>
          </w:p>
        </w:tc>
        <w:tc>
          <w:tcPr>
            <w:tcW w:w="708" w:type="dxa"/>
            <w:shd w:val="clear" w:color="auto" w:fill="A6A6A6"/>
            <w:vAlign w:val="bottom"/>
          </w:tcPr>
          <w:p w14:paraId="3AC019AD" w14:textId="77777777" w:rsidR="00AA6557" w:rsidRPr="00666914" w:rsidRDefault="00AA6557">
            <w:pPr>
              <w:spacing w:after="0"/>
              <w:rPr>
                <w:color w:val="FF0000"/>
                <w:sz w:val="20"/>
                <w:szCs w:val="20"/>
              </w:rPr>
            </w:pPr>
          </w:p>
        </w:tc>
        <w:tc>
          <w:tcPr>
            <w:tcW w:w="710" w:type="dxa"/>
            <w:shd w:val="clear" w:color="auto" w:fill="A6A6A6"/>
            <w:vAlign w:val="bottom"/>
          </w:tcPr>
          <w:p w14:paraId="76A5E067" w14:textId="77777777" w:rsidR="00AA6557" w:rsidRPr="00666914" w:rsidRDefault="00AA6557">
            <w:pPr>
              <w:spacing w:after="0"/>
              <w:rPr>
                <w:color w:val="FF0000"/>
                <w:sz w:val="20"/>
                <w:szCs w:val="20"/>
              </w:rPr>
            </w:pPr>
          </w:p>
        </w:tc>
      </w:tr>
      <w:tr w:rsidR="00AA6557" w:rsidRPr="00666914" w14:paraId="72CC445F" w14:textId="77777777" w:rsidTr="006515CD">
        <w:trPr>
          <w:trHeight w:val="315"/>
        </w:trPr>
        <w:tc>
          <w:tcPr>
            <w:tcW w:w="710" w:type="dxa"/>
            <w:shd w:val="clear" w:color="auto" w:fill="auto"/>
            <w:vAlign w:val="center"/>
          </w:tcPr>
          <w:p w14:paraId="6CE3093F" w14:textId="77777777" w:rsidR="00AA6557" w:rsidRPr="00666914" w:rsidRDefault="00AA6557">
            <w:pPr>
              <w:spacing w:after="0"/>
              <w:jc w:val="left"/>
              <w:rPr>
                <w:color w:val="000000"/>
                <w:sz w:val="20"/>
                <w:szCs w:val="20"/>
              </w:rPr>
            </w:pPr>
            <w:r w:rsidRPr="00666914">
              <w:rPr>
                <w:color w:val="000000"/>
                <w:sz w:val="18"/>
                <w:szCs w:val="18"/>
              </w:rPr>
              <w:t>13.1.2</w:t>
            </w:r>
          </w:p>
        </w:tc>
        <w:tc>
          <w:tcPr>
            <w:tcW w:w="1984" w:type="dxa"/>
            <w:shd w:val="clear" w:color="auto" w:fill="auto"/>
            <w:vAlign w:val="center"/>
          </w:tcPr>
          <w:p w14:paraId="5CE6A2AE" w14:textId="77777777" w:rsidR="00AA6557" w:rsidRPr="00666914" w:rsidRDefault="00AA6557">
            <w:pPr>
              <w:spacing w:after="0"/>
              <w:jc w:val="left"/>
              <w:rPr>
                <w:color w:val="000000"/>
                <w:sz w:val="20"/>
                <w:szCs w:val="20"/>
              </w:rPr>
            </w:pPr>
            <w:r w:rsidRPr="00666914">
              <w:rPr>
                <w:color w:val="000000"/>
                <w:sz w:val="18"/>
                <w:szCs w:val="18"/>
              </w:rPr>
              <w:t>Zefektívnenie prevádzky úradu a podriadených organizácií MPRV SR vrátane štátnych podnikov</w:t>
            </w:r>
          </w:p>
        </w:tc>
        <w:tc>
          <w:tcPr>
            <w:tcW w:w="2126" w:type="dxa"/>
            <w:shd w:val="clear" w:color="auto" w:fill="auto"/>
            <w:vAlign w:val="center"/>
          </w:tcPr>
          <w:p w14:paraId="16FBE387" w14:textId="77777777" w:rsidR="00AA6557" w:rsidRPr="00666914" w:rsidRDefault="00AA6557">
            <w:pPr>
              <w:spacing w:after="0"/>
              <w:jc w:val="left"/>
              <w:rPr>
                <w:color w:val="000000"/>
                <w:sz w:val="20"/>
                <w:szCs w:val="20"/>
              </w:rPr>
            </w:pPr>
            <w:r w:rsidRPr="00666914">
              <w:rPr>
                <w:color w:val="000000"/>
                <w:sz w:val="18"/>
                <w:szCs w:val="18"/>
              </w:rPr>
              <w:t>Optimalizácia výdavkov úradu MPRV na služby MPRV</w:t>
            </w:r>
          </w:p>
        </w:tc>
        <w:tc>
          <w:tcPr>
            <w:tcW w:w="1418" w:type="dxa"/>
            <w:shd w:val="clear" w:color="auto" w:fill="auto"/>
            <w:vAlign w:val="center"/>
          </w:tcPr>
          <w:p w14:paraId="58545E40" w14:textId="77777777" w:rsidR="00AA6557" w:rsidRPr="00666914" w:rsidRDefault="00AA6557">
            <w:pPr>
              <w:spacing w:after="0"/>
              <w:jc w:val="center"/>
              <w:rPr>
                <w:color w:val="000000"/>
                <w:sz w:val="20"/>
                <w:szCs w:val="20"/>
              </w:rPr>
            </w:pPr>
            <w:r w:rsidRPr="00666914">
              <w:rPr>
                <w:color w:val="000000"/>
                <w:sz w:val="18"/>
                <w:szCs w:val="18"/>
              </w:rPr>
              <w:t>MPRV, generálny tajomník služobného úradu</w:t>
            </w:r>
          </w:p>
        </w:tc>
        <w:tc>
          <w:tcPr>
            <w:tcW w:w="992" w:type="dxa"/>
            <w:shd w:val="clear" w:color="auto" w:fill="auto"/>
            <w:vAlign w:val="center"/>
          </w:tcPr>
          <w:p w14:paraId="37B09D89" w14:textId="77777777" w:rsidR="00AA6557" w:rsidRPr="00666914" w:rsidRDefault="00AA6557">
            <w:pPr>
              <w:spacing w:after="0"/>
              <w:jc w:val="center"/>
              <w:rPr>
                <w:color w:val="000000"/>
                <w:sz w:val="20"/>
                <w:szCs w:val="20"/>
              </w:rPr>
            </w:pPr>
            <w:r w:rsidRPr="00666914">
              <w:rPr>
                <w:color w:val="000000"/>
                <w:sz w:val="18"/>
                <w:szCs w:val="18"/>
              </w:rPr>
              <w:t>1.1.2022</w:t>
            </w:r>
          </w:p>
        </w:tc>
        <w:tc>
          <w:tcPr>
            <w:tcW w:w="709" w:type="dxa"/>
            <w:shd w:val="clear" w:color="auto" w:fill="A6A6A6"/>
            <w:vAlign w:val="bottom"/>
          </w:tcPr>
          <w:p w14:paraId="0D9853E9" w14:textId="77777777" w:rsidR="00AA6557" w:rsidRPr="00666914" w:rsidRDefault="00AA6557">
            <w:pPr>
              <w:spacing w:after="0"/>
              <w:rPr>
                <w:color w:val="000000"/>
                <w:sz w:val="20"/>
                <w:szCs w:val="20"/>
              </w:rPr>
            </w:pPr>
          </w:p>
        </w:tc>
        <w:tc>
          <w:tcPr>
            <w:tcW w:w="709" w:type="dxa"/>
            <w:shd w:val="clear" w:color="auto" w:fill="A6A6A6"/>
            <w:vAlign w:val="bottom"/>
          </w:tcPr>
          <w:p w14:paraId="27D7BB88" w14:textId="77777777" w:rsidR="00AA6557" w:rsidRPr="00666914" w:rsidRDefault="00AA6557">
            <w:pPr>
              <w:spacing w:after="0"/>
              <w:rPr>
                <w:color w:val="FF0000"/>
                <w:sz w:val="20"/>
                <w:szCs w:val="20"/>
              </w:rPr>
            </w:pPr>
          </w:p>
        </w:tc>
        <w:tc>
          <w:tcPr>
            <w:tcW w:w="708" w:type="dxa"/>
            <w:shd w:val="clear" w:color="auto" w:fill="A6A6A6"/>
            <w:vAlign w:val="bottom"/>
          </w:tcPr>
          <w:p w14:paraId="1A42187D" w14:textId="77777777" w:rsidR="00AA6557" w:rsidRPr="00666914" w:rsidRDefault="00AA6557">
            <w:pPr>
              <w:spacing w:after="0"/>
              <w:rPr>
                <w:color w:val="FF0000"/>
                <w:sz w:val="20"/>
                <w:szCs w:val="20"/>
              </w:rPr>
            </w:pPr>
          </w:p>
        </w:tc>
        <w:tc>
          <w:tcPr>
            <w:tcW w:w="710" w:type="dxa"/>
            <w:shd w:val="clear" w:color="auto" w:fill="A6A6A6"/>
            <w:vAlign w:val="bottom"/>
          </w:tcPr>
          <w:p w14:paraId="74B24335" w14:textId="77777777" w:rsidR="00AA6557" w:rsidRPr="00666914" w:rsidRDefault="00AA6557">
            <w:pPr>
              <w:spacing w:after="0"/>
              <w:jc w:val="center"/>
              <w:rPr>
                <w:color w:val="FF0000"/>
                <w:sz w:val="20"/>
                <w:szCs w:val="20"/>
              </w:rPr>
            </w:pPr>
          </w:p>
          <w:p w14:paraId="75C93340" w14:textId="77777777" w:rsidR="00AA6557" w:rsidRPr="00666914" w:rsidRDefault="00AA6557">
            <w:pPr>
              <w:spacing w:after="0"/>
              <w:jc w:val="center"/>
              <w:rPr>
                <w:color w:val="FF0000"/>
                <w:sz w:val="20"/>
                <w:szCs w:val="20"/>
              </w:rPr>
            </w:pPr>
          </w:p>
          <w:p w14:paraId="42C006C6" w14:textId="77777777" w:rsidR="00AA6557" w:rsidRPr="00666914" w:rsidRDefault="00AA6557">
            <w:pPr>
              <w:spacing w:after="0"/>
              <w:jc w:val="center"/>
              <w:rPr>
                <w:color w:val="FF0000"/>
                <w:sz w:val="20"/>
                <w:szCs w:val="20"/>
              </w:rPr>
            </w:pPr>
          </w:p>
          <w:p w14:paraId="5BD0C2C1" w14:textId="77777777" w:rsidR="00AA6557" w:rsidRPr="00666914" w:rsidRDefault="00AA6557">
            <w:pPr>
              <w:spacing w:after="0"/>
              <w:jc w:val="center"/>
              <w:rPr>
                <w:color w:val="FF0000"/>
                <w:sz w:val="20"/>
                <w:szCs w:val="20"/>
              </w:rPr>
            </w:pPr>
          </w:p>
        </w:tc>
      </w:tr>
      <w:tr w:rsidR="00AA6557" w:rsidRPr="00666914" w14:paraId="64533990" w14:textId="77777777" w:rsidTr="006515CD">
        <w:trPr>
          <w:trHeight w:val="315"/>
        </w:trPr>
        <w:tc>
          <w:tcPr>
            <w:tcW w:w="710" w:type="dxa"/>
            <w:shd w:val="clear" w:color="auto" w:fill="auto"/>
            <w:vAlign w:val="center"/>
          </w:tcPr>
          <w:p w14:paraId="2167DDAF" w14:textId="77777777" w:rsidR="00AA6557" w:rsidRPr="00666914" w:rsidRDefault="00AA6557">
            <w:pPr>
              <w:spacing w:after="0"/>
              <w:jc w:val="left"/>
              <w:rPr>
                <w:color w:val="000000"/>
                <w:sz w:val="20"/>
                <w:szCs w:val="20"/>
              </w:rPr>
            </w:pPr>
            <w:r w:rsidRPr="00666914">
              <w:rPr>
                <w:color w:val="000000"/>
                <w:sz w:val="18"/>
                <w:szCs w:val="18"/>
              </w:rPr>
              <w:lastRenderedPageBreak/>
              <w:t>13.1.3</w:t>
            </w:r>
          </w:p>
        </w:tc>
        <w:tc>
          <w:tcPr>
            <w:tcW w:w="1984" w:type="dxa"/>
            <w:shd w:val="clear" w:color="auto" w:fill="auto"/>
            <w:vAlign w:val="center"/>
          </w:tcPr>
          <w:p w14:paraId="28B04F14" w14:textId="77777777" w:rsidR="00AA6557" w:rsidRPr="00666914" w:rsidRDefault="00AA6557">
            <w:pPr>
              <w:spacing w:after="0"/>
              <w:jc w:val="left"/>
              <w:rPr>
                <w:color w:val="000000"/>
                <w:sz w:val="20"/>
                <w:szCs w:val="20"/>
              </w:rPr>
            </w:pPr>
            <w:r w:rsidRPr="00666914">
              <w:rPr>
                <w:color w:val="000000"/>
                <w:sz w:val="18"/>
                <w:szCs w:val="18"/>
              </w:rPr>
              <w:t>Zefektívnenie prevádzky úradu a podriadených organizácií MPRV SR vrátane štátnych podnikov</w:t>
            </w:r>
          </w:p>
        </w:tc>
        <w:tc>
          <w:tcPr>
            <w:tcW w:w="2126" w:type="dxa"/>
            <w:shd w:val="clear" w:color="auto" w:fill="auto"/>
            <w:vAlign w:val="center"/>
          </w:tcPr>
          <w:p w14:paraId="0ED67734" w14:textId="77777777" w:rsidR="00AA6557" w:rsidRPr="00666914" w:rsidRDefault="00AA6557">
            <w:pPr>
              <w:spacing w:after="0"/>
              <w:jc w:val="left"/>
              <w:rPr>
                <w:color w:val="000000"/>
                <w:sz w:val="20"/>
                <w:szCs w:val="20"/>
              </w:rPr>
            </w:pPr>
            <w:r w:rsidRPr="00666914">
              <w:rPr>
                <w:color w:val="000000"/>
                <w:sz w:val="18"/>
                <w:szCs w:val="18"/>
              </w:rPr>
              <w:t>Vykonať procesno-organizačný audit úradu MPRV SR</w:t>
            </w:r>
          </w:p>
        </w:tc>
        <w:tc>
          <w:tcPr>
            <w:tcW w:w="1418" w:type="dxa"/>
            <w:shd w:val="clear" w:color="auto" w:fill="auto"/>
            <w:vAlign w:val="center"/>
          </w:tcPr>
          <w:p w14:paraId="54A7BD90" w14:textId="77777777" w:rsidR="00AA6557" w:rsidRPr="00666914" w:rsidRDefault="00AA6557">
            <w:pPr>
              <w:spacing w:after="0"/>
              <w:jc w:val="center"/>
              <w:rPr>
                <w:color w:val="000000"/>
                <w:sz w:val="20"/>
                <w:szCs w:val="20"/>
              </w:rPr>
            </w:pPr>
            <w:r w:rsidRPr="00666914">
              <w:rPr>
                <w:color w:val="000000"/>
                <w:sz w:val="18"/>
                <w:szCs w:val="18"/>
              </w:rPr>
              <w:t>MPRV, generálny tajomník služobného úradu</w:t>
            </w:r>
          </w:p>
        </w:tc>
        <w:tc>
          <w:tcPr>
            <w:tcW w:w="992" w:type="dxa"/>
            <w:shd w:val="clear" w:color="auto" w:fill="auto"/>
            <w:vAlign w:val="center"/>
          </w:tcPr>
          <w:p w14:paraId="42201594" w14:textId="77777777" w:rsidR="00AA6557" w:rsidRPr="00666914" w:rsidRDefault="00AA6557">
            <w:pPr>
              <w:spacing w:after="0"/>
              <w:jc w:val="center"/>
              <w:rPr>
                <w:color w:val="000000"/>
                <w:sz w:val="20"/>
                <w:szCs w:val="20"/>
              </w:rPr>
            </w:pPr>
            <w:r w:rsidRPr="00666914">
              <w:rPr>
                <w:color w:val="000000"/>
                <w:sz w:val="20"/>
                <w:szCs w:val="20"/>
              </w:rPr>
              <w:t>30.06.2020</w:t>
            </w:r>
          </w:p>
        </w:tc>
        <w:tc>
          <w:tcPr>
            <w:tcW w:w="709" w:type="dxa"/>
            <w:shd w:val="clear" w:color="auto" w:fill="A6A6A6"/>
            <w:vAlign w:val="bottom"/>
          </w:tcPr>
          <w:p w14:paraId="63E8A78E" w14:textId="77777777" w:rsidR="00AA6557" w:rsidRPr="00666914" w:rsidRDefault="00AA6557">
            <w:pPr>
              <w:spacing w:after="0"/>
              <w:rPr>
                <w:color w:val="000000"/>
                <w:sz w:val="20"/>
                <w:szCs w:val="20"/>
              </w:rPr>
            </w:pPr>
          </w:p>
        </w:tc>
        <w:tc>
          <w:tcPr>
            <w:tcW w:w="709" w:type="dxa"/>
            <w:shd w:val="clear" w:color="auto" w:fill="A6A6A6"/>
            <w:vAlign w:val="bottom"/>
          </w:tcPr>
          <w:p w14:paraId="6F70D5CA" w14:textId="77777777" w:rsidR="00AA6557" w:rsidRPr="00666914" w:rsidRDefault="00AA6557">
            <w:pPr>
              <w:spacing w:after="0"/>
              <w:rPr>
                <w:color w:val="FF0000"/>
                <w:sz w:val="20"/>
                <w:szCs w:val="20"/>
              </w:rPr>
            </w:pPr>
          </w:p>
        </w:tc>
        <w:tc>
          <w:tcPr>
            <w:tcW w:w="708" w:type="dxa"/>
            <w:shd w:val="clear" w:color="auto" w:fill="A6A6A6"/>
            <w:vAlign w:val="bottom"/>
          </w:tcPr>
          <w:p w14:paraId="56C6931A" w14:textId="77777777" w:rsidR="00AA6557" w:rsidRPr="00666914" w:rsidRDefault="00AA6557">
            <w:pPr>
              <w:spacing w:after="0"/>
              <w:rPr>
                <w:color w:val="FF0000"/>
                <w:sz w:val="20"/>
                <w:szCs w:val="20"/>
              </w:rPr>
            </w:pPr>
          </w:p>
        </w:tc>
        <w:tc>
          <w:tcPr>
            <w:tcW w:w="710" w:type="dxa"/>
            <w:shd w:val="clear" w:color="auto" w:fill="A6A6A6"/>
            <w:vAlign w:val="bottom"/>
          </w:tcPr>
          <w:p w14:paraId="1B063BDE" w14:textId="77777777" w:rsidR="00AA6557" w:rsidRPr="00666914" w:rsidRDefault="00AA6557">
            <w:pPr>
              <w:spacing w:after="0"/>
              <w:jc w:val="center"/>
              <w:rPr>
                <w:color w:val="FF0000"/>
                <w:sz w:val="20"/>
                <w:szCs w:val="20"/>
              </w:rPr>
            </w:pPr>
          </w:p>
          <w:p w14:paraId="59336AF2" w14:textId="77777777" w:rsidR="00AA6557" w:rsidRPr="00666914" w:rsidRDefault="00AA6557">
            <w:pPr>
              <w:spacing w:after="0"/>
              <w:jc w:val="center"/>
              <w:rPr>
                <w:color w:val="FF0000"/>
                <w:sz w:val="20"/>
                <w:szCs w:val="20"/>
              </w:rPr>
            </w:pPr>
          </w:p>
          <w:p w14:paraId="249AA1B4" w14:textId="77777777" w:rsidR="00AA6557" w:rsidRPr="00666914" w:rsidRDefault="00AA6557">
            <w:pPr>
              <w:spacing w:after="0"/>
              <w:jc w:val="center"/>
              <w:rPr>
                <w:color w:val="FF0000"/>
                <w:sz w:val="20"/>
                <w:szCs w:val="20"/>
              </w:rPr>
            </w:pPr>
          </w:p>
          <w:p w14:paraId="5B3A3D6C" w14:textId="77777777" w:rsidR="00AA6557" w:rsidRPr="00666914" w:rsidRDefault="00AA6557">
            <w:pPr>
              <w:spacing w:after="0"/>
              <w:jc w:val="center"/>
              <w:rPr>
                <w:color w:val="FF0000"/>
                <w:sz w:val="20"/>
                <w:szCs w:val="20"/>
              </w:rPr>
            </w:pPr>
          </w:p>
        </w:tc>
      </w:tr>
      <w:tr w:rsidR="00AA6557" w:rsidRPr="00666914" w14:paraId="626AC1E9" w14:textId="77777777" w:rsidTr="006515CD">
        <w:trPr>
          <w:trHeight w:val="315"/>
        </w:trPr>
        <w:tc>
          <w:tcPr>
            <w:tcW w:w="710" w:type="dxa"/>
            <w:shd w:val="clear" w:color="auto" w:fill="auto"/>
            <w:vAlign w:val="center"/>
          </w:tcPr>
          <w:p w14:paraId="67D447A4" w14:textId="77777777" w:rsidR="00AA6557" w:rsidRPr="00666914" w:rsidRDefault="00AA6557">
            <w:pPr>
              <w:spacing w:after="0"/>
              <w:jc w:val="left"/>
              <w:rPr>
                <w:color w:val="000000"/>
                <w:sz w:val="20"/>
                <w:szCs w:val="20"/>
              </w:rPr>
            </w:pPr>
            <w:r w:rsidRPr="00666914">
              <w:rPr>
                <w:color w:val="000000"/>
                <w:sz w:val="18"/>
                <w:szCs w:val="18"/>
              </w:rPr>
              <w:t>13.2.1</w:t>
            </w:r>
          </w:p>
        </w:tc>
        <w:tc>
          <w:tcPr>
            <w:tcW w:w="1984" w:type="dxa"/>
            <w:shd w:val="clear" w:color="auto" w:fill="auto"/>
            <w:vAlign w:val="center"/>
          </w:tcPr>
          <w:p w14:paraId="55CD41DB" w14:textId="77777777" w:rsidR="00AA6557" w:rsidRPr="00666914" w:rsidRDefault="00AA6557">
            <w:pPr>
              <w:spacing w:after="0"/>
              <w:jc w:val="left"/>
              <w:rPr>
                <w:color w:val="000000"/>
                <w:sz w:val="20"/>
                <w:szCs w:val="20"/>
              </w:rPr>
            </w:pPr>
            <w:r w:rsidRPr="00666914">
              <w:rPr>
                <w:color w:val="000000"/>
                <w:sz w:val="18"/>
                <w:szCs w:val="18"/>
              </w:rPr>
              <w:t>Zefektívnenie prevádzky úradu a podriadených organizácií MPRV SR vrátane štátnych podnikov</w:t>
            </w:r>
          </w:p>
        </w:tc>
        <w:tc>
          <w:tcPr>
            <w:tcW w:w="2126" w:type="dxa"/>
            <w:shd w:val="clear" w:color="auto" w:fill="auto"/>
            <w:vAlign w:val="center"/>
          </w:tcPr>
          <w:p w14:paraId="3E646240" w14:textId="77777777" w:rsidR="00AA6557" w:rsidRPr="00666914" w:rsidRDefault="00AA6557">
            <w:pPr>
              <w:spacing w:after="0"/>
              <w:jc w:val="left"/>
              <w:rPr>
                <w:color w:val="000000"/>
                <w:sz w:val="20"/>
                <w:szCs w:val="20"/>
              </w:rPr>
            </w:pPr>
            <w:r w:rsidRPr="00666914">
              <w:rPr>
                <w:color w:val="000000"/>
                <w:sz w:val="18"/>
                <w:szCs w:val="18"/>
              </w:rPr>
              <w:t>Komplexná reforma a digitalizácia PPA</w:t>
            </w:r>
          </w:p>
        </w:tc>
        <w:tc>
          <w:tcPr>
            <w:tcW w:w="1418" w:type="dxa"/>
            <w:shd w:val="clear" w:color="auto" w:fill="auto"/>
            <w:vAlign w:val="center"/>
          </w:tcPr>
          <w:p w14:paraId="2C19F61C" w14:textId="77777777" w:rsidR="00AA6557" w:rsidRPr="00666914" w:rsidRDefault="00AA6557">
            <w:pPr>
              <w:spacing w:after="0"/>
              <w:jc w:val="center"/>
              <w:rPr>
                <w:color w:val="000000"/>
                <w:sz w:val="20"/>
                <w:szCs w:val="20"/>
              </w:rPr>
            </w:pPr>
            <w:r w:rsidRPr="00666914">
              <w:rPr>
                <w:color w:val="000000"/>
                <w:sz w:val="18"/>
                <w:szCs w:val="18"/>
              </w:rPr>
              <w:t>PPA</w:t>
            </w:r>
          </w:p>
        </w:tc>
        <w:tc>
          <w:tcPr>
            <w:tcW w:w="992" w:type="dxa"/>
            <w:shd w:val="clear" w:color="auto" w:fill="auto"/>
            <w:vAlign w:val="center"/>
          </w:tcPr>
          <w:p w14:paraId="7B03673C" w14:textId="77777777" w:rsidR="00AA6557" w:rsidRPr="00666914" w:rsidRDefault="00AA6557">
            <w:pPr>
              <w:spacing w:after="0"/>
              <w:jc w:val="center"/>
              <w:rPr>
                <w:color w:val="000000"/>
                <w:sz w:val="20"/>
                <w:szCs w:val="20"/>
              </w:rPr>
            </w:pPr>
            <w:r w:rsidRPr="00666914">
              <w:rPr>
                <w:color w:val="000000"/>
                <w:sz w:val="18"/>
                <w:szCs w:val="18"/>
              </w:rPr>
              <w:t xml:space="preserve">1.1.2020 </w:t>
            </w:r>
            <w:r w:rsidRPr="00666914">
              <w:rPr>
                <w:color w:val="000000"/>
                <w:sz w:val="18"/>
                <w:szCs w:val="18"/>
                <w:vertAlign w:val="superscript"/>
              </w:rPr>
              <w:footnoteReference w:id="420"/>
            </w:r>
          </w:p>
        </w:tc>
        <w:tc>
          <w:tcPr>
            <w:tcW w:w="709" w:type="dxa"/>
            <w:shd w:val="clear" w:color="auto" w:fill="A6A6A6"/>
            <w:vAlign w:val="bottom"/>
          </w:tcPr>
          <w:p w14:paraId="4C9C6B8C" w14:textId="77777777" w:rsidR="00AA6557" w:rsidRPr="00666914" w:rsidRDefault="00AA6557">
            <w:pPr>
              <w:spacing w:after="0"/>
              <w:rPr>
                <w:color w:val="000000"/>
                <w:sz w:val="20"/>
                <w:szCs w:val="20"/>
              </w:rPr>
            </w:pPr>
          </w:p>
        </w:tc>
        <w:tc>
          <w:tcPr>
            <w:tcW w:w="709" w:type="dxa"/>
            <w:shd w:val="clear" w:color="auto" w:fill="A6A6A6"/>
            <w:vAlign w:val="bottom"/>
          </w:tcPr>
          <w:p w14:paraId="27D6B25A" w14:textId="77777777" w:rsidR="00AA6557" w:rsidRPr="00666914" w:rsidRDefault="00AA6557">
            <w:pPr>
              <w:spacing w:after="0"/>
              <w:rPr>
                <w:color w:val="FF0000"/>
                <w:sz w:val="20"/>
                <w:szCs w:val="20"/>
              </w:rPr>
            </w:pPr>
          </w:p>
        </w:tc>
        <w:tc>
          <w:tcPr>
            <w:tcW w:w="708" w:type="dxa"/>
            <w:shd w:val="clear" w:color="auto" w:fill="A6A6A6"/>
            <w:vAlign w:val="bottom"/>
          </w:tcPr>
          <w:p w14:paraId="7284EE06" w14:textId="77777777" w:rsidR="00AA6557" w:rsidRPr="00666914" w:rsidRDefault="00AA6557">
            <w:pPr>
              <w:spacing w:after="0"/>
              <w:rPr>
                <w:color w:val="FF0000"/>
                <w:sz w:val="20"/>
                <w:szCs w:val="20"/>
              </w:rPr>
            </w:pPr>
          </w:p>
        </w:tc>
        <w:tc>
          <w:tcPr>
            <w:tcW w:w="710" w:type="dxa"/>
            <w:shd w:val="clear" w:color="auto" w:fill="FF0000"/>
            <w:vAlign w:val="center"/>
          </w:tcPr>
          <w:p w14:paraId="70AC5962" w14:textId="77777777" w:rsidR="00AA6557" w:rsidRPr="00666914" w:rsidRDefault="00AA6557">
            <w:pPr>
              <w:spacing w:after="0"/>
              <w:rPr>
                <w:color w:val="FF0000"/>
                <w:sz w:val="20"/>
                <w:szCs w:val="20"/>
              </w:rPr>
            </w:pPr>
          </w:p>
          <w:p w14:paraId="1EEDF286" w14:textId="77777777" w:rsidR="00AA6557" w:rsidRPr="00666914" w:rsidRDefault="00AA6557">
            <w:pPr>
              <w:spacing w:after="0"/>
              <w:rPr>
                <w:color w:val="FF0000"/>
                <w:sz w:val="20"/>
                <w:szCs w:val="20"/>
              </w:rPr>
            </w:pPr>
          </w:p>
          <w:p w14:paraId="297DC424" w14:textId="77777777" w:rsidR="00AA6557" w:rsidRPr="00666914" w:rsidRDefault="00AA6557">
            <w:pPr>
              <w:spacing w:after="0"/>
              <w:rPr>
                <w:color w:val="FF0000"/>
                <w:sz w:val="20"/>
                <w:szCs w:val="20"/>
              </w:rPr>
            </w:pPr>
          </w:p>
          <w:p w14:paraId="58DA5B2A" w14:textId="77777777" w:rsidR="00AA6557" w:rsidRPr="00666914" w:rsidRDefault="00AA6557">
            <w:pPr>
              <w:spacing w:after="0"/>
              <w:rPr>
                <w:color w:val="FF0000"/>
                <w:sz w:val="20"/>
                <w:szCs w:val="20"/>
              </w:rPr>
            </w:pPr>
          </w:p>
          <w:p w14:paraId="4BE83C0A" w14:textId="77777777" w:rsidR="00AA6557" w:rsidRPr="00666914" w:rsidRDefault="00AA6557">
            <w:pPr>
              <w:spacing w:after="0"/>
              <w:rPr>
                <w:color w:val="FF0000"/>
                <w:sz w:val="20"/>
                <w:szCs w:val="20"/>
              </w:rPr>
            </w:pPr>
          </w:p>
          <w:p w14:paraId="2754270C" w14:textId="77777777" w:rsidR="00AA6557" w:rsidRPr="00666914" w:rsidRDefault="00AA6557">
            <w:pPr>
              <w:spacing w:after="0"/>
              <w:rPr>
                <w:color w:val="FF0000"/>
                <w:sz w:val="20"/>
                <w:szCs w:val="20"/>
              </w:rPr>
            </w:pPr>
          </w:p>
        </w:tc>
      </w:tr>
      <w:tr w:rsidR="00AA6557" w:rsidRPr="00666914" w14:paraId="156D5A6B" w14:textId="77777777" w:rsidTr="006515CD">
        <w:trPr>
          <w:trHeight w:val="315"/>
        </w:trPr>
        <w:tc>
          <w:tcPr>
            <w:tcW w:w="710" w:type="dxa"/>
            <w:shd w:val="clear" w:color="auto" w:fill="auto"/>
            <w:vAlign w:val="center"/>
          </w:tcPr>
          <w:p w14:paraId="349DFD95" w14:textId="77777777" w:rsidR="00AA6557" w:rsidRPr="00666914" w:rsidRDefault="00AA6557">
            <w:pPr>
              <w:spacing w:after="0"/>
              <w:jc w:val="left"/>
              <w:rPr>
                <w:color w:val="000000"/>
                <w:sz w:val="20"/>
                <w:szCs w:val="20"/>
              </w:rPr>
            </w:pPr>
            <w:r w:rsidRPr="00666914">
              <w:rPr>
                <w:color w:val="000000"/>
                <w:sz w:val="18"/>
                <w:szCs w:val="18"/>
              </w:rPr>
              <w:t>13.2.2</w:t>
            </w:r>
          </w:p>
        </w:tc>
        <w:tc>
          <w:tcPr>
            <w:tcW w:w="1984" w:type="dxa"/>
            <w:shd w:val="clear" w:color="auto" w:fill="auto"/>
            <w:vAlign w:val="center"/>
          </w:tcPr>
          <w:p w14:paraId="2C161339" w14:textId="77777777" w:rsidR="00AA6557" w:rsidRPr="00666914" w:rsidRDefault="00AA6557">
            <w:pPr>
              <w:spacing w:after="0"/>
              <w:jc w:val="left"/>
              <w:rPr>
                <w:color w:val="000000"/>
                <w:sz w:val="20"/>
                <w:szCs w:val="20"/>
              </w:rPr>
            </w:pPr>
            <w:r w:rsidRPr="00666914">
              <w:rPr>
                <w:color w:val="000000"/>
                <w:sz w:val="18"/>
                <w:szCs w:val="18"/>
              </w:rPr>
              <w:t>Zefektívnenie prevádzky úradu a podriadených organizácií MPRV SR vrátane štátnych podnikov</w:t>
            </w:r>
          </w:p>
        </w:tc>
        <w:tc>
          <w:tcPr>
            <w:tcW w:w="2126" w:type="dxa"/>
            <w:shd w:val="clear" w:color="auto" w:fill="auto"/>
            <w:vAlign w:val="center"/>
          </w:tcPr>
          <w:p w14:paraId="65EC403B" w14:textId="77777777" w:rsidR="00AA6557" w:rsidRPr="00666914" w:rsidRDefault="00AA6557">
            <w:pPr>
              <w:spacing w:after="0"/>
              <w:jc w:val="left"/>
              <w:rPr>
                <w:color w:val="000000"/>
                <w:sz w:val="20"/>
                <w:szCs w:val="20"/>
              </w:rPr>
            </w:pPr>
            <w:r w:rsidRPr="00666914">
              <w:rPr>
                <w:color w:val="000000"/>
                <w:sz w:val="18"/>
                <w:szCs w:val="18"/>
              </w:rPr>
              <w:t>Optimalizácia výdavkov na služby PPA</w:t>
            </w:r>
          </w:p>
        </w:tc>
        <w:tc>
          <w:tcPr>
            <w:tcW w:w="1418" w:type="dxa"/>
            <w:vAlign w:val="center"/>
          </w:tcPr>
          <w:p w14:paraId="3368FF0F" w14:textId="77777777" w:rsidR="00AA6557" w:rsidRPr="00666914" w:rsidRDefault="00AA6557">
            <w:pPr>
              <w:spacing w:after="0"/>
              <w:jc w:val="center"/>
              <w:rPr>
                <w:color w:val="000000"/>
                <w:sz w:val="20"/>
                <w:szCs w:val="20"/>
              </w:rPr>
            </w:pPr>
            <w:r w:rsidRPr="00666914">
              <w:rPr>
                <w:color w:val="000000"/>
                <w:sz w:val="18"/>
                <w:szCs w:val="18"/>
              </w:rPr>
              <w:t>PPA</w:t>
            </w:r>
          </w:p>
        </w:tc>
        <w:tc>
          <w:tcPr>
            <w:tcW w:w="992" w:type="dxa"/>
            <w:vAlign w:val="center"/>
          </w:tcPr>
          <w:p w14:paraId="5E0DC44E" w14:textId="77777777" w:rsidR="00AA6557" w:rsidRPr="00666914" w:rsidRDefault="00AA6557">
            <w:pPr>
              <w:spacing w:after="0"/>
              <w:jc w:val="center"/>
              <w:rPr>
                <w:color w:val="000000"/>
                <w:sz w:val="20"/>
                <w:szCs w:val="20"/>
              </w:rPr>
            </w:pPr>
            <w:r w:rsidRPr="00666914">
              <w:rPr>
                <w:color w:val="000000"/>
                <w:sz w:val="18"/>
                <w:szCs w:val="18"/>
              </w:rPr>
              <w:t>1.1.2020</w:t>
            </w:r>
          </w:p>
        </w:tc>
        <w:tc>
          <w:tcPr>
            <w:tcW w:w="709" w:type="dxa"/>
            <w:shd w:val="clear" w:color="auto" w:fill="A6A6A6"/>
            <w:vAlign w:val="bottom"/>
          </w:tcPr>
          <w:p w14:paraId="5130C6B7" w14:textId="77777777" w:rsidR="00AA6557" w:rsidRPr="00666914" w:rsidRDefault="00AA6557">
            <w:pPr>
              <w:spacing w:after="0"/>
              <w:rPr>
                <w:color w:val="000000"/>
                <w:sz w:val="20"/>
                <w:szCs w:val="20"/>
              </w:rPr>
            </w:pPr>
          </w:p>
        </w:tc>
        <w:tc>
          <w:tcPr>
            <w:tcW w:w="709" w:type="dxa"/>
            <w:shd w:val="clear" w:color="auto" w:fill="A6A6A6"/>
            <w:vAlign w:val="bottom"/>
          </w:tcPr>
          <w:p w14:paraId="57444746" w14:textId="77777777" w:rsidR="00AA6557" w:rsidRPr="00666914" w:rsidRDefault="00AA6557">
            <w:pPr>
              <w:spacing w:after="0"/>
              <w:rPr>
                <w:color w:val="FF0000"/>
                <w:sz w:val="20"/>
                <w:szCs w:val="20"/>
              </w:rPr>
            </w:pPr>
          </w:p>
        </w:tc>
        <w:tc>
          <w:tcPr>
            <w:tcW w:w="708" w:type="dxa"/>
            <w:shd w:val="clear" w:color="auto" w:fill="A6A6A6"/>
            <w:vAlign w:val="bottom"/>
          </w:tcPr>
          <w:p w14:paraId="716F3EBD" w14:textId="77777777" w:rsidR="00AA6557" w:rsidRPr="00666914" w:rsidRDefault="00AA6557">
            <w:pPr>
              <w:spacing w:after="0"/>
              <w:rPr>
                <w:color w:val="FF0000"/>
                <w:sz w:val="20"/>
                <w:szCs w:val="20"/>
              </w:rPr>
            </w:pPr>
          </w:p>
        </w:tc>
        <w:tc>
          <w:tcPr>
            <w:tcW w:w="710" w:type="dxa"/>
            <w:shd w:val="clear" w:color="auto" w:fill="FFC000"/>
            <w:vAlign w:val="center"/>
          </w:tcPr>
          <w:p w14:paraId="53C6D198" w14:textId="77777777" w:rsidR="00AA6557" w:rsidRPr="00666914" w:rsidRDefault="00AA6557">
            <w:pPr>
              <w:spacing w:after="0"/>
              <w:rPr>
                <w:color w:val="FF0000"/>
                <w:sz w:val="20"/>
                <w:szCs w:val="20"/>
              </w:rPr>
            </w:pPr>
          </w:p>
          <w:p w14:paraId="0D6394A8" w14:textId="77777777" w:rsidR="00AA6557" w:rsidRPr="00666914" w:rsidRDefault="00AA6557">
            <w:pPr>
              <w:spacing w:after="0"/>
              <w:rPr>
                <w:color w:val="FF0000"/>
                <w:sz w:val="20"/>
                <w:szCs w:val="20"/>
              </w:rPr>
            </w:pPr>
          </w:p>
          <w:p w14:paraId="404A9BBE" w14:textId="77777777" w:rsidR="00AA6557" w:rsidRPr="00666914" w:rsidRDefault="00AA6557">
            <w:pPr>
              <w:spacing w:after="0"/>
              <w:rPr>
                <w:color w:val="FF0000"/>
                <w:sz w:val="20"/>
                <w:szCs w:val="20"/>
              </w:rPr>
            </w:pPr>
          </w:p>
          <w:p w14:paraId="09459008" w14:textId="77777777" w:rsidR="00AA6557" w:rsidRPr="00666914" w:rsidRDefault="00AA6557">
            <w:pPr>
              <w:spacing w:after="0"/>
              <w:rPr>
                <w:color w:val="FF0000"/>
                <w:sz w:val="20"/>
                <w:szCs w:val="20"/>
              </w:rPr>
            </w:pPr>
          </w:p>
          <w:p w14:paraId="4CB34BBC" w14:textId="77777777" w:rsidR="00AA6557" w:rsidRPr="00666914" w:rsidRDefault="00AA6557">
            <w:pPr>
              <w:spacing w:after="0"/>
              <w:rPr>
                <w:color w:val="FF0000"/>
                <w:sz w:val="20"/>
                <w:szCs w:val="20"/>
              </w:rPr>
            </w:pPr>
          </w:p>
        </w:tc>
      </w:tr>
      <w:tr w:rsidR="00AA6557" w:rsidRPr="00666914" w14:paraId="6741386F" w14:textId="77777777" w:rsidTr="006515CD">
        <w:trPr>
          <w:trHeight w:val="315"/>
        </w:trPr>
        <w:tc>
          <w:tcPr>
            <w:tcW w:w="710" w:type="dxa"/>
            <w:shd w:val="clear" w:color="auto" w:fill="auto"/>
            <w:vAlign w:val="center"/>
          </w:tcPr>
          <w:p w14:paraId="1F327CA9" w14:textId="77777777" w:rsidR="00AA6557" w:rsidRPr="00666914" w:rsidRDefault="00AA6557">
            <w:pPr>
              <w:spacing w:after="0"/>
              <w:jc w:val="left"/>
              <w:rPr>
                <w:color w:val="000000"/>
                <w:sz w:val="20"/>
                <w:szCs w:val="20"/>
              </w:rPr>
            </w:pPr>
            <w:r w:rsidRPr="00666914">
              <w:rPr>
                <w:color w:val="000000"/>
                <w:sz w:val="18"/>
                <w:szCs w:val="18"/>
              </w:rPr>
              <w:t>13.3.1</w:t>
            </w:r>
          </w:p>
        </w:tc>
        <w:tc>
          <w:tcPr>
            <w:tcW w:w="1984" w:type="dxa"/>
            <w:shd w:val="clear" w:color="auto" w:fill="auto"/>
            <w:vAlign w:val="center"/>
          </w:tcPr>
          <w:p w14:paraId="6EE5254D" w14:textId="77777777" w:rsidR="00AA6557" w:rsidRPr="00666914" w:rsidRDefault="00AA6557">
            <w:pPr>
              <w:spacing w:after="0"/>
              <w:jc w:val="left"/>
              <w:rPr>
                <w:color w:val="000000"/>
                <w:sz w:val="20"/>
                <w:szCs w:val="20"/>
              </w:rPr>
            </w:pPr>
            <w:r w:rsidRPr="00666914">
              <w:rPr>
                <w:color w:val="000000"/>
                <w:sz w:val="18"/>
                <w:szCs w:val="18"/>
              </w:rPr>
              <w:t>Zefektívnenie prevádzky úradu a podriadených organizácií MPRV SR vrátane štátnych podnikov</w:t>
            </w:r>
          </w:p>
        </w:tc>
        <w:tc>
          <w:tcPr>
            <w:tcW w:w="2126" w:type="dxa"/>
            <w:shd w:val="clear" w:color="auto" w:fill="auto"/>
            <w:vAlign w:val="center"/>
          </w:tcPr>
          <w:p w14:paraId="67D4E6DE" w14:textId="77777777" w:rsidR="00AA6557" w:rsidRPr="00666914" w:rsidRDefault="00AA6557">
            <w:pPr>
              <w:spacing w:after="0"/>
              <w:jc w:val="left"/>
              <w:rPr>
                <w:color w:val="000000"/>
                <w:sz w:val="20"/>
                <w:szCs w:val="20"/>
              </w:rPr>
            </w:pPr>
            <w:r w:rsidRPr="00666914">
              <w:rPr>
                <w:color w:val="000000"/>
                <w:sz w:val="18"/>
                <w:szCs w:val="18"/>
              </w:rPr>
              <w:t>Analýza spojenia ŠVPS s ÚRZ</w:t>
            </w:r>
          </w:p>
        </w:tc>
        <w:tc>
          <w:tcPr>
            <w:tcW w:w="1418" w:type="dxa"/>
            <w:vAlign w:val="center"/>
          </w:tcPr>
          <w:p w14:paraId="6DA9C210" w14:textId="77777777" w:rsidR="00AA6557" w:rsidRPr="00666914" w:rsidRDefault="00AA6557">
            <w:pPr>
              <w:spacing w:after="0"/>
              <w:jc w:val="center"/>
              <w:rPr>
                <w:color w:val="000000"/>
                <w:sz w:val="20"/>
                <w:szCs w:val="20"/>
              </w:rPr>
            </w:pPr>
            <w:r w:rsidRPr="00666914">
              <w:rPr>
                <w:color w:val="000000"/>
                <w:sz w:val="18"/>
                <w:szCs w:val="18"/>
              </w:rPr>
              <w:t>ŠVSP, ÚRZ, ÚHP, MF SR, IJ ÚV SR, MPRV</w:t>
            </w:r>
          </w:p>
        </w:tc>
        <w:tc>
          <w:tcPr>
            <w:tcW w:w="992" w:type="dxa"/>
            <w:vAlign w:val="center"/>
          </w:tcPr>
          <w:p w14:paraId="2486E3D7" w14:textId="77777777" w:rsidR="00AA6557" w:rsidRPr="00666914" w:rsidRDefault="00AA6557">
            <w:pPr>
              <w:spacing w:after="0"/>
              <w:jc w:val="center"/>
              <w:rPr>
                <w:color w:val="000000"/>
                <w:sz w:val="20"/>
                <w:szCs w:val="20"/>
              </w:rPr>
            </w:pPr>
            <w:r w:rsidRPr="00666914">
              <w:rPr>
                <w:color w:val="000000"/>
                <w:sz w:val="18"/>
                <w:szCs w:val="18"/>
              </w:rPr>
              <w:t xml:space="preserve">1.1.2020 </w:t>
            </w:r>
            <w:r w:rsidRPr="00666914">
              <w:rPr>
                <w:color w:val="000000"/>
                <w:sz w:val="18"/>
                <w:szCs w:val="18"/>
                <w:vertAlign w:val="superscript"/>
              </w:rPr>
              <w:footnoteReference w:id="421"/>
            </w:r>
          </w:p>
        </w:tc>
        <w:tc>
          <w:tcPr>
            <w:tcW w:w="709" w:type="dxa"/>
            <w:shd w:val="clear" w:color="auto" w:fill="A6A6A6"/>
            <w:vAlign w:val="bottom"/>
          </w:tcPr>
          <w:p w14:paraId="65DF64AD" w14:textId="77777777" w:rsidR="00AA6557" w:rsidRPr="00666914" w:rsidRDefault="00AA6557">
            <w:pPr>
              <w:spacing w:after="0"/>
              <w:rPr>
                <w:color w:val="000000"/>
                <w:sz w:val="20"/>
                <w:szCs w:val="20"/>
              </w:rPr>
            </w:pPr>
          </w:p>
        </w:tc>
        <w:tc>
          <w:tcPr>
            <w:tcW w:w="709" w:type="dxa"/>
            <w:shd w:val="clear" w:color="auto" w:fill="A6A6A6"/>
            <w:vAlign w:val="bottom"/>
          </w:tcPr>
          <w:p w14:paraId="46263C2E" w14:textId="77777777" w:rsidR="00AA6557" w:rsidRPr="00666914" w:rsidRDefault="00AA6557">
            <w:pPr>
              <w:spacing w:after="0"/>
              <w:rPr>
                <w:color w:val="FF0000"/>
                <w:sz w:val="20"/>
                <w:szCs w:val="20"/>
              </w:rPr>
            </w:pPr>
          </w:p>
        </w:tc>
        <w:tc>
          <w:tcPr>
            <w:tcW w:w="708" w:type="dxa"/>
            <w:shd w:val="clear" w:color="auto" w:fill="A6A6A6"/>
            <w:vAlign w:val="bottom"/>
          </w:tcPr>
          <w:p w14:paraId="43DF89CD" w14:textId="77777777" w:rsidR="00AA6557" w:rsidRPr="00666914" w:rsidRDefault="00AA6557">
            <w:pPr>
              <w:spacing w:after="0"/>
              <w:rPr>
                <w:color w:val="FF0000"/>
                <w:sz w:val="20"/>
                <w:szCs w:val="20"/>
              </w:rPr>
            </w:pPr>
          </w:p>
        </w:tc>
        <w:tc>
          <w:tcPr>
            <w:tcW w:w="710" w:type="dxa"/>
            <w:shd w:val="clear" w:color="auto" w:fill="FF0000"/>
            <w:vAlign w:val="center"/>
          </w:tcPr>
          <w:p w14:paraId="71B6562F" w14:textId="77777777" w:rsidR="00AA6557" w:rsidRPr="00666914" w:rsidRDefault="00AA6557">
            <w:pPr>
              <w:spacing w:after="0"/>
              <w:rPr>
                <w:color w:val="FF0000"/>
                <w:sz w:val="20"/>
                <w:szCs w:val="20"/>
              </w:rPr>
            </w:pPr>
          </w:p>
          <w:p w14:paraId="7B154BAC" w14:textId="77777777" w:rsidR="00AA6557" w:rsidRPr="00666914" w:rsidRDefault="00AA6557">
            <w:pPr>
              <w:spacing w:after="0"/>
              <w:rPr>
                <w:color w:val="FF0000"/>
                <w:sz w:val="20"/>
                <w:szCs w:val="20"/>
              </w:rPr>
            </w:pPr>
          </w:p>
          <w:p w14:paraId="7B04F666" w14:textId="77777777" w:rsidR="00AA6557" w:rsidRPr="00666914" w:rsidRDefault="00AA6557">
            <w:pPr>
              <w:spacing w:after="0"/>
              <w:rPr>
                <w:color w:val="FF0000"/>
                <w:sz w:val="20"/>
                <w:szCs w:val="20"/>
              </w:rPr>
            </w:pPr>
          </w:p>
          <w:p w14:paraId="086D9D12" w14:textId="77777777" w:rsidR="00AA6557" w:rsidRPr="00666914" w:rsidRDefault="00AA6557">
            <w:pPr>
              <w:spacing w:after="0"/>
              <w:rPr>
                <w:color w:val="FF0000"/>
                <w:sz w:val="20"/>
                <w:szCs w:val="20"/>
              </w:rPr>
            </w:pPr>
          </w:p>
          <w:p w14:paraId="702F724F" w14:textId="77777777" w:rsidR="00AA6557" w:rsidRPr="00666914" w:rsidRDefault="00AA6557">
            <w:pPr>
              <w:spacing w:after="0"/>
              <w:rPr>
                <w:color w:val="FF0000"/>
                <w:sz w:val="20"/>
                <w:szCs w:val="20"/>
              </w:rPr>
            </w:pPr>
          </w:p>
        </w:tc>
      </w:tr>
      <w:tr w:rsidR="00AA6557" w:rsidRPr="00666914" w14:paraId="51D85535" w14:textId="77777777" w:rsidTr="006515CD">
        <w:trPr>
          <w:trHeight w:val="315"/>
        </w:trPr>
        <w:tc>
          <w:tcPr>
            <w:tcW w:w="710" w:type="dxa"/>
            <w:shd w:val="clear" w:color="auto" w:fill="auto"/>
            <w:vAlign w:val="center"/>
          </w:tcPr>
          <w:p w14:paraId="4C1EDE5A" w14:textId="77777777" w:rsidR="00AA6557" w:rsidRPr="00666914" w:rsidRDefault="00AA6557">
            <w:pPr>
              <w:spacing w:after="0"/>
              <w:jc w:val="left"/>
              <w:rPr>
                <w:color w:val="000000"/>
                <w:sz w:val="20"/>
                <w:szCs w:val="20"/>
              </w:rPr>
            </w:pPr>
            <w:r w:rsidRPr="00666914">
              <w:rPr>
                <w:color w:val="000000"/>
                <w:sz w:val="18"/>
                <w:szCs w:val="18"/>
              </w:rPr>
              <w:t>13.4.1</w:t>
            </w:r>
          </w:p>
        </w:tc>
        <w:tc>
          <w:tcPr>
            <w:tcW w:w="1984" w:type="dxa"/>
            <w:shd w:val="clear" w:color="auto" w:fill="auto"/>
            <w:vAlign w:val="center"/>
          </w:tcPr>
          <w:p w14:paraId="57450F57" w14:textId="77777777" w:rsidR="00AA6557" w:rsidRPr="00666914" w:rsidRDefault="00AA6557">
            <w:pPr>
              <w:spacing w:after="0"/>
              <w:jc w:val="left"/>
              <w:rPr>
                <w:color w:val="000000"/>
                <w:sz w:val="20"/>
                <w:szCs w:val="20"/>
              </w:rPr>
            </w:pPr>
            <w:r w:rsidRPr="00666914">
              <w:rPr>
                <w:color w:val="000000"/>
                <w:sz w:val="18"/>
                <w:szCs w:val="18"/>
              </w:rPr>
              <w:t>Zefektívnenie prevádzky úradu a podriadených organizácií MPRV SR vrátane štátnych podnikov</w:t>
            </w:r>
          </w:p>
        </w:tc>
        <w:tc>
          <w:tcPr>
            <w:tcW w:w="2126" w:type="dxa"/>
            <w:shd w:val="clear" w:color="auto" w:fill="auto"/>
            <w:vAlign w:val="center"/>
          </w:tcPr>
          <w:p w14:paraId="0F6A64FC" w14:textId="77777777" w:rsidR="00AA6557" w:rsidRPr="00666914" w:rsidRDefault="00AA6557">
            <w:pPr>
              <w:spacing w:after="0"/>
              <w:jc w:val="left"/>
              <w:rPr>
                <w:color w:val="000000"/>
                <w:sz w:val="20"/>
                <w:szCs w:val="20"/>
              </w:rPr>
            </w:pPr>
            <w:r w:rsidRPr="00666914">
              <w:rPr>
                <w:color w:val="000000"/>
                <w:sz w:val="18"/>
                <w:szCs w:val="18"/>
              </w:rPr>
              <w:t>Podmieniť zotrvanie výskumníka v NPPC kvalitným medzinárodne uznávaným výskumom meraným počtom karentovaných článkov, článkov registrovaných vo WoS alebo Scopus, publikovaných v špičkových zahraničných vydavateľstvách prípadne prostredníctvom patentov, úžitkových vzorov a pod.</w:t>
            </w:r>
          </w:p>
        </w:tc>
        <w:tc>
          <w:tcPr>
            <w:tcW w:w="1418" w:type="dxa"/>
            <w:shd w:val="clear" w:color="auto" w:fill="auto"/>
            <w:vAlign w:val="center"/>
          </w:tcPr>
          <w:p w14:paraId="7FB0CBFE" w14:textId="77777777" w:rsidR="00AA6557" w:rsidRPr="00666914" w:rsidRDefault="00AA6557">
            <w:pPr>
              <w:spacing w:after="0"/>
              <w:jc w:val="center"/>
              <w:rPr>
                <w:color w:val="000000"/>
                <w:sz w:val="20"/>
                <w:szCs w:val="20"/>
              </w:rPr>
            </w:pPr>
            <w:r w:rsidRPr="00666914">
              <w:rPr>
                <w:color w:val="000000"/>
                <w:sz w:val="18"/>
                <w:szCs w:val="18"/>
              </w:rPr>
              <w:t>NPPC, MPRV, Sekcia rezortnej politiky pôdohospodárstva</w:t>
            </w:r>
          </w:p>
        </w:tc>
        <w:tc>
          <w:tcPr>
            <w:tcW w:w="992" w:type="dxa"/>
            <w:shd w:val="clear" w:color="auto" w:fill="auto"/>
            <w:vAlign w:val="center"/>
          </w:tcPr>
          <w:p w14:paraId="3C8ED52C" w14:textId="77777777" w:rsidR="00AA6557" w:rsidRPr="00666914" w:rsidRDefault="00AA6557">
            <w:pPr>
              <w:spacing w:after="0"/>
              <w:jc w:val="center"/>
              <w:rPr>
                <w:color w:val="000000"/>
                <w:sz w:val="20"/>
                <w:szCs w:val="20"/>
              </w:rPr>
            </w:pPr>
            <w:r w:rsidRPr="00666914">
              <w:rPr>
                <w:color w:val="000000"/>
                <w:sz w:val="18"/>
                <w:szCs w:val="18"/>
              </w:rPr>
              <w:t>1.1.2024</w:t>
            </w:r>
          </w:p>
        </w:tc>
        <w:tc>
          <w:tcPr>
            <w:tcW w:w="709" w:type="dxa"/>
            <w:shd w:val="clear" w:color="auto" w:fill="A6A6A6"/>
            <w:vAlign w:val="bottom"/>
          </w:tcPr>
          <w:p w14:paraId="4E94C33D" w14:textId="77777777" w:rsidR="00AA6557" w:rsidRPr="00666914" w:rsidRDefault="00AA6557">
            <w:pPr>
              <w:spacing w:after="0"/>
              <w:rPr>
                <w:color w:val="000000"/>
                <w:sz w:val="20"/>
                <w:szCs w:val="20"/>
              </w:rPr>
            </w:pPr>
          </w:p>
        </w:tc>
        <w:tc>
          <w:tcPr>
            <w:tcW w:w="709" w:type="dxa"/>
            <w:shd w:val="clear" w:color="auto" w:fill="A6A6A6"/>
            <w:vAlign w:val="bottom"/>
          </w:tcPr>
          <w:p w14:paraId="3C12D539" w14:textId="77777777" w:rsidR="00AA6557" w:rsidRPr="00666914" w:rsidRDefault="00AA6557">
            <w:pPr>
              <w:spacing w:after="0"/>
              <w:rPr>
                <w:color w:val="FF0000"/>
                <w:sz w:val="20"/>
                <w:szCs w:val="20"/>
              </w:rPr>
            </w:pPr>
          </w:p>
        </w:tc>
        <w:tc>
          <w:tcPr>
            <w:tcW w:w="708" w:type="dxa"/>
            <w:shd w:val="clear" w:color="auto" w:fill="A6A6A6"/>
            <w:vAlign w:val="bottom"/>
          </w:tcPr>
          <w:p w14:paraId="398AD249" w14:textId="77777777" w:rsidR="00AA6557" w:rsidRPr="00666914" w:rsidRDefault="00AA6557">
            <w:pPr>
              <w:spacing w:after="0"/>
              <w:rPr>
                <w:color w:val="FF0000"/>
                <w:sz w:val="20"/>
                <w:szCs w:val="20"/>
              </w:rPr>
            </w:pPr>
          </w:p>
        </w:tc>
        <w:tc>
          <w:tcPr>
            <w:tcW w:w="710" w:type="dxa"/>
            <w:shd w:val="clear" w:color="auto" w:fill="A6A6A6"/>
            <w:vAlign w:val="bottom"/>
          </w:tcPr>
          <w:p w14:paraId="1DB2078C" w14:textId="77777777" w:rsidR="00AA6557" w:rsidRPr="00666914" w:rsidRDefault="00AA6557">
            <w:pPr>
              <w:spacing w:after="0"/>
              <w:rPr>
                <w:color w:val="FF0000"/>
                <w:sz w:val="20"/>
                <w:szCs w:val="20"/>
              </w:rPr>
            </w:pPr>
          </w:p>
        </w:tc>
      </w:tr>
      <w:tr w:rsidR="00AA6557" w:rsidRPr="00666914" w14:paraId="3D984EC0" w14:textId="77777777" w:rsidTr="006515CD">
        <w:trPr>
          <w:trHeight w:val="315"/>
        </w:trPr>
        <w:tc>
          <w:tcPr>
            <w:tcW w:w="710" w:type="dxa"/>
            <w:shd w:val="clear" w:color="auto" w:fill="auto"/>
            <w:vAlign w:val="center"/>
          </w:tcPr>
          <w:p w14:paraId="7349B9CD" w14:textId="77777777" w:rsidR="00AA6557" w:rsidRPr="00666914" w:rsidRDefault="00AA6557">
            <w:pPr>
              <w:spacing w:after="0"/>
              <w:jc w:val="left"/>
              <w:rPr>
                <w:color w:val="000000"/>
                <w:sz w:val="20"/>
                <w:szCs w:val="20"/>
              </w:rPr>
            </w:pPr>
            <w:r w:rsidRPr="00666914">
              <w:rPr>
                <w:color w:val="000000"/>
                <w:sz w:val="18"/>
                <w:szCs w:val="18"/>
              </w:rPr>
              <w:t>13.4.2</w:t>
            </w:r>
          </w:p>
        </w:tc>
        <w:tc>
          <w:tcPr>
            <w:tcW w:w="1984" w:type="dxa"/>
            <w:shd w:val="clear" w:color="auto" w:fill="auto"/>
            <w:vAlign w:val="center"/>
          </w:tcPr>
          <w:p w14:paraId="6E69EEB9" w14:textId="77777777" w:rsidR="00AA6557" w:rsidRPr="00666914" w:rsidRDefault="00AA6557">
            <w:pPr>
              <w:spacing w:after="0"/>
              <w:jc w:val="left"/>
              <w:rPr>
                <w:color w:val="000000"/>
                <w:sz w:val="20"/>
                <w:szCs w:val="20"/>
              </w:rPr>
            </w:pPr>
            <w:r w:rsidRPr="00666914">
              <w:rPr>
                <w:color w:val="000000"/>
                <w:sz w:val="18"/>
                <w:szCs w:val="18"/>
              </w:rPr>
              <w:t>Zefektívnenie prevádzky úradu a podriadených organizácií MPRV SR vrátane štátnych podnikov</w:t>
            </w:r>
          </w:p>
        </w:tc>
        <w:tc>
          <w:tcPr>
            <w:tcW w:w="2126" w:type="dxa"/>
            <w:shd w:val="clear" w:color="auto" w:fill="auto"/>
            <w:vAlign w:val="center"/>
          </w:tcPr>
          <w:p w14:paraId="70F815C8" w14:textId="77777777" w:rsidR="00AA6557" w:rsidRPr="00666914" w:rsidRDefault="00AA6557">
            <w:pPr>
              <w:spacing w:after="0"/>
              <w:jc w:val="left"/>
              <w:rPr>
                <w:color w:val="000000"/>
                <w:sz w:val="20"/>
                <w:szCs w:val="20"/>
              </w:rPr>
            </w:pPr>
            <w:r w:rsidRPr="00666914">
              <w:rPr>
                <w:color w:val="000000"/>
                <w:sz w:val="18"/>
                <w:szCs w:val="18"/>
              </w:rPr>
              <w:t>Do roku 2025 zvýšiť mieru financovania zo štandardných zdrojov (nadnárodné projekty, podnikateľský sektor, domáce granty) nad 75% všetkých zdrojov NPPC</w:t>
            </w:r>
          </w:p>
        </w:tc>
        <w:tc>
          <w:tcPr>
            <w:tcW w:w="1418" w:type="dxa"/>
            <w:shd w:val="clear" w:color="auto" w:fill="auto"/>
            <w:vAlign w:val="center"/>
          </w:tcPr>
          <w:p w14:paraId="78688D1E" w14:textId="77777777" w:rsidR="00AA6557" w:rsidRPr="00666914" w:rsidRDefault="00AA6557">
            <w:pPr>
              <w:spacing w:after="0"/>
              <w:jc w:val="center"/>
              <w:rPr>
                <w:color w:val="000000"/>
                <w:sz w:val="20"/>
                <w:szCs w:val="20"/>
              </w:rPr>
            </w:pPr>
            <w:r w:rsidRPr="00666914">
              <w:rPr>
                <w:color w:val="000000"/>
                <w:sz w:val="18"/>
                <w:szCs w:val="18"/>
              </w:rPr>
              <w:t>NPPC, MPRV, Sekcia rezortnej politiky pôdohospodárstva</w:t>
            </w:r>
          </w:p>
        </w:tc>
        <w:tc>
          <w:tcPr>
            <w:tcW w:w="992" w:type="dxa"/>
            <w:shd w:val="clear" w:color="auto" w:fill="auto"/>
            <w:vAlign w:val="center"/>
          </w:tcPr>
          <w:p w14:paraId="5DFAB4A7" w14:textId="77777777" w:rsidR="00AA6557" w:rsidRPr="00666914" w:rsidRDefault="00AA6557">
            <w:pPr>
              <w:spacing w:after="0"/>
              <w:jc w:val="center"/>
              <w:rPr>
                <w:color w:val="000000"/>
                <w:sz w:val="20"/>
                <w:szCs w:val="20"/>
              </w:rPr>
            </w:pPr>
            <w:r w:rsidRPr="00666914">
              <w:rPr>
                <w:color w:val="000000"/>
                <w:sz w:val="18"/>
                <w:szCs w:val="18"/>
              </w:rPr>
              <w:t>1.1.2025</w:t>
            </w:r>
          </w:p>
        </w:tc>
        <w:tc>
          <w:tcPr>
            <w:tcW w:w="709" w:type="dxa"/>
            <w:shd w:val="clear" w:color="auto" w:fill="A6A6A6"/>
            <w:vAlign w:val="bottom"/>
          </w:tcPr>
          <w:p w14:paraId="75F15523" w14:textId="77777777" w:rsidR="00AA6557" w:rsidRPr="00666914" w:rsidRDefault="00AA6557">
            <w:pPr>
              <w:spacing w:after="0"/>
              <w:rPr>
                <w:color w:val="000000"/>
                <w:sz w:val="20"/>
                <w:szCs w:val="20"/>
              </w:rPr>
            </w:pPr>
          </w:p>
        </w:tc>
        <w:tc>
          <w:tcPr>
            <w:tcW w:w="709" w:type="dxa"/>
            <w:shd w:val="clear" w:color="auto" w:fill="A6A6A6"/>
            <w:vAlign w:val="bottom"/>
          </w:tcPr>
          <w:p w14:paraId="465C2430" w14:textId="77777777" w:rsidR="00AA6557" w:rsidRPr="00666914" w:rsidRDefault="00AA6557">
            <w:pPr>
              <w:spacing w:after="0"/>
              <w:rPr>
                <w:color w:val="FF0000"/>
                <w:sz w:val="20"/>
                <w:szCs w:val="20"/>
              </w:rPr>
            </w:pPr>
          </w:p>
        </w:tc>
        <w:tc>
          <w:tcPr>
            <w:tcW w:w="708" w:type="dxa"/>
            <w:shd w:val="clear" w:color="auto" w:fill="A6A6A6"/>
            <w:vAlign w:val="bottom"/>
          </w:tcPr>
          <w:p w14:paraId="57E524AC" w14:textId="77777777" w:rsidR="00AA6557" w:rsidRPr="00666914" w:rsidRDefault="00AA6557">
            <w:pPr>
              <w:spacing w:after="0"/>
              <w:rPr>
                <w:color w:val="FF0000"/>
                <w:sz w:val="20"/>
                <w:szCs w:val="20"/>
              </w:rPr>
            </w:pPr>
          </w:p>
        </w:tc>
        <w:tc>
          <w:tcPr>
            <w:tcW w:w="710" w:type="dxa"/>
            <w:shd w:val="clear" w:color="auto" w:fill="A6A6A6"/>
            <w:vAlign w:val="bottom"/>
          </w:tcPr>
          <w:p w14:paraId="0CBCAF28" w14:textId="77777777" w:rsidR="00AA6557" w:rsidRPr="00666914" w:rsidRDefault="00AA6557">
            <w:pPr>
              <w:spacing w:after="0"/>
              <w:jc w:val="center"/>
              <w:rPr>
                <w:color w:val="FF0000"/>
                <w:sz w:val="20"/>
                <w:szCs w:val="20"/>
              </w:rPr>
            </w:pPr>
          </w:p>
        </w:tc>
      </w:tr>
      <w:tr w:rsidR="00AA6557" w:rsidRPr="00666914" w14:paraId="78DBB174" w14:textId="77777777" w:rsidTr="006515CD">
        <w:trPr>
          <w:trHeight w:val="315"/>
        </w:trPr>
        <w:tc>
          <w:tcPr>
            <w:tcW w:w="710" w:type="dxa"/>
            <w:shd w:val="clear" w:color="auto" w:fill="auto"/>
            <w:vAlign w:val="center"/>
          </w:tcPr>
          <w:p w14:paraId="1711DE97" w14:textId="77777777" w:rsidR="00AA6557" w:rsidRPr="00666914" w:rsidRDefault="00AA6557">
            <w:pPr>
              <w:spacing w:after="0"/>
              <w:jc w:val="left"/>
              <w:rPr>
                <w:color w:val="000000"/>
                <w:sz w:val="20"/>
                <w:szCs w:val="20"/>
              </w:rPr>
            </w:pPr>
            <w:r w:rsidRPr="00666914">
              <w:rPr>
                <w:color w:val="000000"/>
                <w:sz w:val="18"/>
                <w:szCs w:val="18"/>
              </w:rPr>
              <w:t>13.4.3</w:t>
            </w:r>
          </w:p>
        </w:tc>
        <w:tc>
          <w:tcPr>
            <w:tcW w:w="1984" w:type="dxa"/>
            <w:shd w:val="clear" w:color="auto" w:fill="auto"/>
            <w:vAlign w:val="center"/>
          </w:tcPr>
          <w:p w14:paraId="2394FB3B" w14:textId="77777777" w:rsidR="00AA6557" w:rsidRPr="00666914" w:rsidRDefault="00AA6557">
            <w:pPr>
              <w:spacing w:after="0"/>
              <w:jc w:val="left"/>
              <w:rPr>
                <w:color w:val="000000"/>
                <w:sz w:val="20"/>
                <w:szCs w:val="20"/>
              </w:rPr>
            </w:pPr>
            <w:r w:rsidRPr="00666914">
              <w:rPr>
                <w:color w:val="000000"/>
                <w:sz w:val="18"/>
                <w:szCs w:val="18"/>
              </w:rPr>
              <w:t>Zefektívnenie prevádzky úradu a podriadených organizácií MPRV SR vrátane štátnych podnikov</w:t>
            </w:r>
          </w:p>
        </w:tc>
        <w:tc>
          <w:tcPr>
            <w:tcW w:w="2126" w:type="dxa"/>
            <w:shd w:val="clear" w:color="auto" w:fill="auto"/>
            <w:vAlign w:val="center"/>
          </w:tcPr>
          <w:p w14:paraId="2576DF00" w14:textId="77777777" w:rsidR="00AA6557" w:rsidRPr="00666914" w:rsidRDefault="00AA6557">
            <w:pPr>
              <w:spacing w:after="0"/>
              <w:jc w:val="left"/>
              <w:rPr>
                <w:color w:val="000000"/>
                <w:sz w:val="20"/>
                <w:szCs w:val="20"/>
              </w:rPr>
            </w:pPr>
            <w:r w:rsidRPr="00666914">
              <w:rPr>
                <w:color w:val="000000"/>
                <w:sz w:val="18"/>
                <w:szCs w:val="18"/>
              </w:rPr>
              <w:t>Využívať odmeňovanie na základe výstupu (formou internej smernice)</w:t>
            </w:r>
          </w:p>
        </w:tc>
        <w:tc>
          <w:tcPr>
            <w:tcW w:w="1418" w:type="dxa"/>
            <w:shd w:val="clear" w:color="auto" w:fill="auto"/>
            <w:vAlign w:val="center"/>
          </w:tcPr>
          <w:p w14:paraId="5C55D14C" w14:textId="77777777" w:rsidR="00AA6557" w:rsidRPr="00666914" w:rsidRDefault="00AA6557">
            <w:pPr>
              <w:spacing w:after="0"/>
              <w:jc w:val="center"/>
              <w:rPr>
                <w:color w:val="000000"/>
                <w:sz w:val="20"/>
                <w:szCs w:val="20"/>
              </w:rPr>
            </w:pPr>
            <w:r w:rsidRPr="00666914">
              <w:rPr>
                <w:color w:val="000000"/>
                <w:sz w:val="18"/>
                <w:szCs w:val="18"/>
              </w:rPr>
              <w:t>NPPC, MPRV, Sekcia rezortnej politiky pôdohospodárstva, Osobný úrad</w:t>
            </w:r>
          </w:p>
        </w:tc>
        <w:tc>
          <w:tcPr>
            <w:tcW w:w="992" w:type="dxa"/>
            <w:shd w:val="clear" w:color="auto" w:fill="auto"/>
            <w:vAlign w:val="center"/>
          </w:tcPr>
          <w:p w14:paraId="634B49B1" w14:textId="77777777" w:rsidR="00AA6557" w:rsidRPr="00666914" w:rsidRDefault="00AA6557">
            <w:pPr>
              <w:spacing w:after="0"/>
              <w:jc w:val="center"/>
              <w:rPr>
                <w:color w:val="000000"/>
                <w:sz w:val="20"/>
                <w:szCs w:val="20"/>
              </w:rPr>
            </w:pPr>
            <w:r w:rsidRPr="00666914">
              <w:rPr>
                <w:color w:val="000000"/>
                <w:sz w:val="18"/>
                <w:szCs w:val="18"/>
              </w:rPr>
              <w:t>1.7.2021</w:t>
            </w:r>
          </w:p>
        </w:tc>
        <w:tc>
          <w:tcPr>
            <w:tcW w:w="709" w:type="dxa"/>
            <w:shd w:val="clear" w:color="auto" w:fill="A6A6A6"/>
            <w:vAlign w:val="bottom"/>
          </w:tcPr>
          <w:p w14:paraId="5A56F985" w14:textId="77777777" w:rsidR="00AA6557" w:rsidRPr="00666914" w:rsidRDefault="00AA6557">
            <w:pPr>
              <w:spacing w:after="0"/>
              <w:rPr>
                <w:color w:val="000000"/>
                <w:sz w:val="20"/>
                <w:szCs w:val="20"/>
              </w:rPr>
            </w:pPr>
          </w:p>
        </w:tc>
        <w:tc>
          <w:tcPr>
            <w:tcW w:w="709" w:type="dxa"/>
            <w:shd w:val="clear" w:color="auto" w:fill="A6A6A6"/>
            <w:vAlign w:val="bottom"/>
          </w:tcPr>
          <w:p w14:paraId="55AF4493" w14:textId="77777777" w:rsidR="00AA6557" w:rsidRPr="00666914" w:rsidRDefault="00AA6557">
            <w:pPr>
              <w:spacing w:after="0"/>
              <w:rPr>
                <w:color w:val="FF0000"/>
                <w:sz w:val="20"/>
                <w:szCs w:val="20"/>
              </w:rPr>
            </w:pPr>
          </w:p>
        </w:tc>
        <w:tc>
          <w:tcPr>
            <w:tcW w:w="708" w:type="dxa"/>
            <w:shd w:val="clear" w:color="auto" w:fill="A6A6A6"/>
            <w:vAlign w:val="bottom"/>
          </w:tcPr>
          <w:p w14:paraId="3FE68C66" w14:textId="77777777" w:rsidR="00AA6557" w:rsidRPr="00666914" w:rsidRDefault="00AA6557">
            <w:pPr>
              <w:spacing w:after="0"/>
              <w:rPr>
                <w:color w:val="FF0000"/>
                <w:sz w:val="20"/>
                <w:szCs w:val="20"/>
              </w:rPr>
            </w:pPr>
          </w:p>
        </w:tc>
        <w:tc>
          <w:tcPr>
            <w:tcW w:w="710" w:type="dxa"/>
            <w:shd w:val="clear" w:color="auto" w:fill="A6A6A6"/>
            <w:vAlign w:val="bottom"/>
          </w:tcPr>
          <w:p w14:paraId="0AA50C76" w14:textId="77777777" w:rsidR="00AA6557" w:rsidRPr="00666914" w:rsidRDefault="00AA6557">
            <w:pPr>
              <w:spacing w:after="0"/>
              <w:jc w:val="center"/>
              <w:rPr>
                <w:color w:val="FF0000"/>
                <w:sz w:val="20"/>
                <w:szCs w:val="20"/>
              </w:rPr>
            </w:pPr>
          </w:p>
        </w:tc>
      </w:tr>
      <w:tr w:rsidR="00AA6557" w:rsidRPr="00666914" w14:paraId="4AEEC357" w14:textId="77777777" w:rsidTr="006515CD">
        <w:trPr>
          <w:trHeight w:val="315"/>
        </w:trPr>
        <w:tc>
          <w:tcPr>
            <w:tcW w:w="710" w:type="dxa"/>
            <w:shd w:val="clear" w:color="auto" w:fill="auto"/>
            <w:vAlign w:val="center"/>
          </w:tcPr>
          <w:p w14:paraId="1F339DE3" w14:textId="77777777" w:rsidR="00AA6557" w:rsidRPr="00666914" w:rsidRDefault="00AA6557">
            <w:pPr>
              <w:spacing w:after="0"/>
              <w:jc w:val="left"/>
              <w:rPr>
                <w:color w:val="000000"/>
                <w:sz w:val="20"/>
                <w:szCs w:val="20"/>
              </w:rPr>
            </w:pPr>
            <w:r w:rsidRPr="00666914">
              <w:rPr>
                <w:color w:val="000000"/>
                <w:sz w:val="18"/>
                <w:szCs w:val="18"/>
              </w:rPr>
              <w:t>13.4.4</w:t>
            </w:r>
          </w:p>
        </w:tc>
        <w:tc>
          <w:tcPr>
            <w:tcW w:w="1984" w:type="dxa"/>
            <w:shd w:val="clear" w:color="auto" w:fill="auto"/>
            <w:vAlign w:val="center"/>
          </w:tcPr>
          <w:p w14:paraId="1A3CD2ED" w14:textId="77777777" w:rsidR="00AA6557" w:rsidRPr="00666914" w:rsidRDefault="00AA6557">
            <w:pPr>
              <w:spacing w:after="0"/>
              <w:jc w:val="left"/>
              <w:rPr>
                <w:color w:val="000000"/>
                <w:sz w:val="20"/>
                <w:szCs w:val="20"/>
              </w:rPr>
            </w:pPr>
            <w:r w:rsidRPr="00666914">
              <w:rPr>
                <w:color w:val="000000"/>
                <w:sz w:val="18"/>
                <w:szCs w:val="18"/>
              </w:rPr>
              <w:t>Zefektívnenie prevádzky úradu a podriadených organizácií MPRV SR vrátane štátnych podnikov</w:t>
            </w:r>
          </w:p>
        </w:tc>
        <w:tc>
          <w:tcPr>
            <w:tcW w:w="2126" w:type="dxa"/>
            <w:shd w:val="clear" w:color="auto" w:fill="auto"/>
            <w:vAlign w:val="center"/>
          </w:tcPr>
          <w:p w14:paraId="2A749030" w14:textId="77777777" w:rsidR="00AA6557" w:rsidRPr="00666914" w:rsidRDefault="00AA6557">
            <w:pPr>
              <w:spacing w:after="0"/>
              <w:jc w:val="left"/>
              <w:rPr>
                <w:color w:val="000000"/>
                <w:sz w:val="20"/>
                <w:szCs w:val="20"/>
              </w:rPr>
            </w:pPr>
            <w:r w:rsidRPr="00666914">
              <w:rPr>
                <w:color w:val="000000"/>
                <w:sz w:val="18"/>
                <w:szCs w:val="18"/>
              </w:rPr>
              <w:t>Vykonať medzinárodný audit kvality výskumu v NPPC (po vzore medzinárodného auditu Slovenskej akadémie vied)</w:t>
            </w:r>
          </w:p>
        </w:tc>
        <w:tc>
          <w:tcPr>
            <w:tcW w:w="1418" w:type="dxa"/>
            <w:shd w:val="clear" w:color="auto" w:fill="auto"/>
            <w:vAlign w:val="center"/>
          </w:tcPr>
          <w:p w14:paraId="54CC3CDB" w14:textId="77777777" w:rsidR="00AA6557" w:rsidRPr="00666914" w:rsidRDefault="00AA6557">
            <w:pPr>
              <w:spacing w:after="0"/>
              <w:jc w:val="center"/>
              <w:rPr>
                <w:color w:val="000000"/>
                <w:sz w:val="20"/>
                <w:szCs w:val="20"/>
              </w:rPr>
            </w:pPr>
            <w:r w:rsidRPr="00666914">
              <w:rPr>
                <w:color w:val="000000"/>
                <w:sz w:val="18"/>
                <w:szCs w:val="18"/>
              </w:rPr>
              <w:t>NPPC, MPRV, Sekcia rezortnej politiky pôdohospodárstva</w:t>
            </w:r>
          </w:p>
        </w:tc>
        <w:tc>
          <w:tcPr>
            <w:tcW w:w="992" w:type="dxa"/>
            <w:shd w:val="clear" w:color="auto" w:fill="auto"/>
            <w:vAlign w:val="center"/>
          </w:tcPr>
          <w:p w14:paraId="3A4778F9" w14:textId="77777777" w:rsidR="00AA6557" w:rsidRPr="00666914" w:rsidRDefault="00AA6557">
            <w:pPr>
              <w:spacing w:after="0"/>
              <w:jc w:val="center"/>
              <w:rPr>
                <w:color w:val="000000"/>
                <w:sz w:val="20"/>
                <w:szCs w:val="20"/>
              </w:rPr>
            </w:pPr>
            <w:r w:rsidRPr="00666914">
              <w:rPr>
                <w:color w:val="000000"/>
                <w:sz w:val="18"/>
                <w:szCs w:val="18"/>
              </w:rPr>
              <w:t>1.7.2021</w:t>
            </w:r>
          </w:p>
        </w:tc>
        <w:tc>
          <w:tcPr>
            <w:tcW w:w="709" w:type="dxa"/>
            <w:shd w:val="clear" w:color="auto" w:fill="A6A6A6"/>
            <w:vAlign w:val="bottom"/>
          </w:tcPr>
          <w:p w14:paraId="62F8B302" w14:textId="77777777" w:rsidR="00AA6557" w:rsidRPr="00666914" w:rsidRDefault="00AA6557">
            <w:pPr>
              <w:spacing w:after="0"/>
              <w:rPr>
                <w:color w:val="000000"/>
                <w:sz w:val="20"/>
                <w:szCs w:val="20"/>
              </w:rPr>
            </w:pPr>
          </w:p>
        </w:tc>
        <w:tc>
          <w:tcPr>
            <w:tcW w:w="709" w:type="dxa"/>
            <w:shd w:val="clear" w:color="auto" w:fill="A6A6A6"/>
            <w:vAlign w:val="bottom"/>
          </w:tcPr>
          <w:p w14:paraId="79F849A9" w14:textId="77777777" w:rsidR="00AA6557" w:rsidRPr="00666914" w:rsidRDefault="00AA6557">
            <w:pPr>
              <w:spacing w:after="0"/>
              <w:rPr>
                <w:color w:val="FF0000"/>
                <w:sz w:val="20"/>
                <w:szCs w:val="20"/>
              </w:rPr>
            </w:pPr>
          </w:p>
        </w:tc>
        <w:tc>
          <w:tcPr>
            <w:tcW w:w="708" w:type="dxa"/>
            <w:shd w:val="clear" w:color="auto" w:fill="A6A6A6"/>
            <w:vAlign w:val="bottom"/>
          </w:tcPr>
          <w:p w14:paraId="452ED4DA" w14:textId="77777777" w:rsidR="00AA6557" w:rsidRPr="00666914" w:rsidRDefault="00AA6557">
            <w:pPr>
              <w:spacing w:after="0"/>
              <w:rPr>
                <w:color w:val="FF0000"/>
                <w:sz w:val="20"/>
                <w:szCs w:val="20"/>
              </w:rPr>
            </w:pPr>
          </w:p>
        </w:tc>
        <w:tc>
          <w:tcPr>
            <w:tcW w:w="710" w:type="dxa"/>
            <w:shd w:val="clear" w:color="auto" w:fill="A6A6A6"/>
            <w:vAlign w:val="bottom"/>
          </w:tcPr>
          <w:p w14:paraId="30A87DCC" w14:textId="77777777" w:rsidR="00AA6557" w:rsidRPr="00666914" w:rsidRDefault="00AA6557">
            <w:pPr>
              <w:spacing w:after="0"/>
              <w:jc w:val="center"/>
              <w:rPr>
                <w:color w:val="FF0000"/>
                <w:sz w:val="20"/>
                <w:szCs w:val="20"/>
              </w:rPr>
            </w:pPr>
          </w:p>
        </w:tc>
      </w:tr>
      <w:tr w:rsidR="00AA6557" w:rsidRPr="00666914" w14:paraId="75E0970F" w14:textId="77777777" w:rsidTr="006515CD">
        <w:trPr>
          <w:trHeight w:val="315"/>
        </w:trPr>
        <w:tc>
          <w:tcPr>
            <w:tcW w:w="710" w:type="dxa"/>
            <w:shd w:val="clear" w:color="auto" w:fill="auto"/>
            <w:vAlign w:val="center"/>
          </w:tcPr>
          <w:p w14:paraId="44C8BE57" w14:textId="77777777" w:rsidR="00AA6557" w:rsidRPr="00666914" w:rsidRDefault="00AA6557">
            <w:pPr>
              <w:spacing w:after="0"/>
              <w:jc w:val="left"/>
              <w:rPr>
                <w:color w:val="000000"/>
                <w:sz w:val="20"/>
                <w:szCs w:val="20"/>
              </w:rPr>
            </w:pPr>
            <w:r w:rsidRPr="00666914">
              <w:rPr>
                <w:color w:val="000000"/>
                <w:sz w:val="18"/>
                <w:szCs w:val="18"/>
              </w:rPr>
              <w:t>13.4.5</w:t>
            </w:r>
          </w:p>
        </w:tc>
        <w:tc>
          <w:tcPr>
            <w:tcW w:w="1984" w:type="dxa"/>
            <w:shd w:val="clear" w:color="auto" w:fill="auto"/>
            <w:vAlign w:val="center"/>
          </w:tcPr>
          <w:p w14:paraId="643AF25C" w14:textId="77777777" w:rsidR="00AA6557" w:rsidRPr="00666914" w:rsidRDefault="00AA6557">
            <w:pPr>
              <w:spacing w:after="0"/>
              <w:jc w:val="left"/>
              <w:rPr>
                <w:color w:val="000000"/>
                <w:sz w:val="20"/>
                <w:szCs w:val="20"/>
              </w:rPr>
            </w:pPr>
            <w:r w:rsidRPr="00666914">
              <w:rPr>
                <w:color w:val="000000"/>
                <w:sz w:val="18"/>
                <w:szCs w:val="18"/>
              </w:rPr>
              <w:t>Zefektívnenie prevádzky úradu a podriadených organizácií MPRV SR vrátane štátnych podnikov</w:t>
            </w:r>
          </w:p>
        </w:tc>
        <w:tc>
          <w:tcPr>
            <w:tcW w:w="2126" w:type="dxa"/>
            <w:shd w:val="clear" w:color="auto" w:fill="auto"/>
            <w:vAlign w:val="center"/>
          </w:tcPr>
          <w:p w14:paraId="44709CB2" w14:textId="77777777" w:rsidR="00AA6557" w:rsidRPr="00666914" w:rsidRDefault="00AA6557">
            <w:pPr>
              <w:spacing w:after="0"/>
              <w:jc w:val="left"/>
              <w:rPr>
                <w:color w:val="000000"/>
                <w:sz w:val="20"/>
                <w:szCs w:val="20"/>
              </w:rPr>
            </w:pPr>
            <w:r w:rsidRPr="00666914">
              <w:rPr>
                <w:color w:val="000000"/>
                <w:sz w:val="18"/>
                <w:szCs w:val="18"/>
              </w:rPr>
              <w:t>Transformácia NPPC na verejnú výskumnú inštitúciu (VVI) k 1.1.2022</w:t>
            </w:r>
          </w:p>
        </w:tc>
        <w:tc>
          <w:tcPr>
            <w:tcW w:w="1418" w:type="dxa"/>
            <w:shd w:val="clear" w:color="auto" w:fill="auto"/>
            <w:vAlign w:val="center"/>
          </w:tcPr>
          <w:p w14:paraId="2F383A5F" w14:textId="77777777" w:rsidR="00AA6557" w:rsidRPr="00666914" w:rsidRDefault="00AA6557">
            <w:pPr>
              <w:spacing w:after="0"/>
              <w:jc w:val="center"/>
              <w:rPr>
                <w:color w:val="000000"/>
                <w:sz w:val="20"/>
                <w:szCs w:val="20"/>
              </w:rPr>
            </w:pPr>
            <w:r w:rsidRPr="00666914">
              <w:rPr>
                <w:color w:val="000000"/>
                <w:sz w:val="18"/>
                <w:szCs w:val="18"/>
              </w:rPr>
              <w:t>NPPC, MPRV, Generálny tajomník služobného úradu</w:t>
            </w:r>
          </w:p>
        </w:tc>
        <w:tc>
          <w:tcPr>
            <w:tcW w:w="992" w:type="dxa"/>
            <w:shd w:val="clear" w:color="auto" w:fill="auto"/>
            <w:vAlign w:val="center"/>
          </w:tcPr>
          <w:p w14:paraId="1B2422F5" w14:textId="77777777" w:rsidR="00AA6557" w:rsidRPr="00666914" w:rsidRDefault="00AA6557">
            <w:pPr>
              <w:spacing w:after="0"/>
              <w:jc w:val="center"/>
              <w:rPr>
                <w:color w:val="000000"/>
                <w:sz w:val="20"/>
                <w:szCs w:val="20"/>
              </w:rPr>
            </w:pPr>
            <w:r w:rsidRPr="00666914">
              <w:rPr>
                <w:color w:val="000000"/>
                <w:sz w:val="18"/>
                <w:szCs w:val="18"/>
              </w:rPr>
              <w:t>1.1.2022</w:t>
            </w:r>
          </w:p>
        </w:tc>
        <w:tc>
          <w:tcPr>
            <w:tcW w:w="709" w:type="dxa"/>
            <w:shd w:val="clear" w:color="auto" w:fill="A6A6A6"/>
            <w:vAlign w:val="bottom"/>
          </w:tcPr>
          <w:p w14:paraId="545DDFAD" w14:textId="77777777" w:rsidR="00AA6557" w:rsidRPr="00666914" w:rsidRDefault="00AA6557">
            <w:pPr>
              <w:spacing w:after="0"/>
              <w:rPr>
                <w:color w:val="000000"/>
                <w:sz w:val="20"/>
                <w:szCs w:val="20"/>
              </w:rPr>
            </w:pPr>
          </w:p>
        </w:tc>
        <w:tc>
          <w:tcPr>
            <w:tcW w:w="709" w:type="dxa"/>
            <w:shd w:val="clear" w:color="auto" w:fill="A6A6A6"/>
            <w:vAlign w:val="bottom"/>
          </w:tcPr>
          <w:p w14:paraId="305AE569" w14:textId="77777777" w:rsidR="00AA6557" w:rsidRPr="00666914" w:rsidRDefault="00AA6557">
            <w:pPr>
              <w:spacing w:after="0"/>
              <w:rPr>
                <w:color w:val="FF0000"/>
                <w:sz w:val="20"/>
                <w:szCs w:val="20"/>
              </w:rPr>
            </w:pPr>
          </w:p>
        </w:tc>
        <w:tc>
          <w:tcPr>
            <w:tcW w:w="708" w:type="dxa"/>
            <w:shd w:val="clear" w:color="auto" w:fill="A6A6A6"/>
            <w:vAlign w:val="bottom"/>
          </w:tcPr>
          <w:p w14:paraId="2A1FC6C3" w14:textId="77777777" w:rsidR="00AA6557" w:rsidRPr="00666914" w:rsidRDefault="00AA6557">
            <w:pPr>
              <w:spacing w:after="0"/>
              <w:rPr>
                <w:color w:val="FF0000"/>
                <w:sz w:val="20"/>
                <w:szCs w:val="20"/>
              </w:rPr>
            </w:pPr>
          </w:p>
        </w:tc>
        <w:tc>
          <w:tcPr>
            <w:tcW w:w="710" w:type="dxa"/>
            <w:shd w:val="clear" w:color="auto" w:fill="A6A6A6"/>
            <w:vAlign w:val="bottom"/>
          </w:tcPr>
          <w:p w14:paraId="2018E39C" w14:textId="77777777" w:rsidR="00AA6557" w:rsidRPr="00666914" w:rsidRDefault="00AA6557">
            <w:pPr>
              <w:spacing w:after="0"/>
              <w:rPr>
                <w:color w:val="FF0000"/>
                <w:sz w:val="20"/>
                <w:szCs w:val="20"/>
              </w:rPr>
            </w:pPr>
          </w:p>
        </w:tc>
      </w:tr>
      <w:tr w:rsidR="00AA6557" w:rsidRPr="00666914" w14:paraId="13A29D33" w14:textId="77777777" w:rsidTr="006515CD">
        <w:trPr>
          <w:trHeight w:val="261"/>
        </w:trPr>
        <w:tc>
          <w:tcPr>
            <w:tcW w:w="710" w:type="dxa"/>
            <w:shd w:val="clear" w:color="auto" w:fill="auto"/>
            <w:vAlign w:val="center"/>
          </w:tcPr>
          <w:p w14:paraId="44100DEA" w14:textId="77777777" w:rsidR="00AA6557" w:rsidRPr="00666914" w:rsidRDefault="00AA6557">
            <w:pPr>
              <w:spacing w:after="0"/>
              <w:jc w:val="left"/>
              <w:rPr>
                <w:color w:val="000000"/>
                <w:sz w:val="20"/>
                <w:szCs w:val="20"/>
              </w:rPr>
            </w:pPr>
            <w:r w:rsidRPr="00666914">
              <w:rPr>
                <w:color w:val="000000"/>
                <w:sz w:val="18"/>
                <w:szCs w:val="18"/>
              </w:rPr>
              <w:lastRenderedPageBreak/>
              <w:t>13.5.1</w:t>
            </w:r>
          </w:p>
        </w:tc>
        <w:tc>
          <w:tcPr>
            <w:tcW w:w="1984" w:type="dxa"/>
            <w:shd w:val="clear" w:color="auto" w:fill="auto"/>
            <w:vAlign w:val="center"/>
          </w:tcPr>
          <w:p w14:paraId="36F2A067" w14:textId="77777777" w:rsidR="00AA6557" w:rsidRPr="00666914" w:rsidRDefault="00AA6557">
            <w:pPr>
              <w:spacing w:after="0"/>
              <w:jc w:val="left"/>
              <w:rPr>
                <w:color w:val="000000"/>
                <w:sz w:val="20"/>
                <w:szCs w:val="20"/>
              </w:rPr>
            </w:pPr>
            <w:r w:rsidRPr="00666914">
              <w:rPr>
                <w:color w:val="000000"/>
                <w:sz w:val="18"/>
                <w:szCs w:val="18"/>
              </w:rPr>
              <w:t>Zefektívnenie prevádzky úradu a podriadených organizácií MPRV SR vrátane štátnych podnikov</w:t>
            </w:r>
          </w:p>
        </w:tc>
        <w:tc>
          <w:tcPr>
            <w:tcW w:w="2126" w:type="dxa"/>
            <w:shd w:val="clear" w:color="auto" w:fill="auto"/>
            <w:vAlign w:val="center"/>
          </w:tcPr>
          <w:p w14:paraId="15005375" w14:textId="77777777" w:rsidR="00AA6557" w:rsidRPr="00666914" w:rsidRDefault="00AA6557">
            <w:pPr>
              <w:spacing w:after="0"/>
              <w:jc w:val="left"/>
              <w:rPr>
                <w:color w:val="000000"/>
                <w:sz w:val="20"/>
                <w:szCs w:val="20"/>
              </w:rPr>
            </w:pPr>
            <w:r w:rsidRPr="00666914">
              <w:rPr>
                <w:color w:val="000000"/>
                <w:sz w:val="18"/>
                <w:szCs w:val="18"/>
              </w:rPr>
              <w:t>Realizovať projekt Dobudovanie pracoviska diaľkového prieskumu Zeme</w:t>
            </w:r>
          </w:p>
        </w:tc>
        <w:tc>
          <w:tcPr>
            <w:tcW w:w="1418" w:type="dxa"/>
            <w:shd w:val="clear" w:color="auto" w:fill="auto"/>
            <w:vAlign w:val="center"/>
          </w:tcPr>
          <w:p w14:paraId="488E6048" w14:textId="77777777" w:rsidR="00AA6557" w:rsidRPr="00666914" w:rsidRDefault="00AA6557">
            <w:pPr>
              <w:spacing w:after="0"/>
              <w:jc w:val="center"/>
              <w:rPr>
                <w:color w:val="000000"/>
                <w:sz w:val="20"/>
                <w:szCs w:val="20"/>
              </w:rPr>
            </w:pPr>
            <w:r w:rsidRPr="00666914">
              <w:rPr>
                <w:color w:val="000000"/>
                <w:sz w:val="18"/>
                <w:szCs w:val="18"/>
              </w:rPr>
              <w:t>NLC</w:t>
            </w:r>
          </w:p>
        </w:tc>
        <w:tc>
          <w:tcPr>
            <w:tcW w:w="992" w:type="dxa"/>
            <w:shd w:val="clear" w:color="auto" w:fill="auto"/>
            <w:vAlign w:val="center"/>
          </w:tcPr>
          <w:p w14:paraId="19108D84" w14:textId="77777777" w:rsidR="00AA6557" w:rsidRPr="00666914" w:rsidRDefault="00AA6557">
            <w:pPr>
              <w:spacing w:after="0"/>
              <w:jc w:val="center"/>
              <w:rPr>
                <w:color w:val="000000"/>
                <w:sz w:val="20"/>
                <w:szCs w:val="20"/>
              </w:rPr>
            </w:pPr>
            <w:r w:rsidRPr="00666914">
              <w:rPr>
                <w:color w:val="000000"/>
                <w:sz w:val="18"/>
                <w:szCs w:val="18"/>
              </w:rPr>
              <w:t>31.12.2021</w:t>
            </w:r>
          </w:p>
        </w:tc>
        <w:tc>
          <w:tcPr>
            <w:tcW w:w="709" w:type="dxa"/>
            <w:shd w:val="clear" w:color="auto" w:fill="A6A6A6"/>
            <w:vAlign w:val="bottom"/>
          </w:tcPr>
          <w:p w14:paraId="2B11AEE3" w14:textId="77777777" w:rsidR="00AA6557" w:rsidRPr="00666914" w:rsidRDefault="00AA6557">
            <w:pPr>
              <w:spacing w:after="0"/>
              <w:rPr>
                <w:color w:val="000000"/>
                <w:sz w:val="20"/>
                <w:szCs w:val="20"/>
              </w:rPr>
            </w:pPr>
          </w:p>
        </w:tc>
        <w:tc>
          <w:tcPr>
            <w:tcW w:w="709" w:type="dxa"/>
            <w:shd w:val="clear" w:color="auto" w:fill="A6A6A6"/>
            <w:vAlign w:val="bottom"/>
          </w:tcPr>
          <w:p w14:paraId="606EFB34" w14:textId="77777777" w:rsidR="00AA6557" w:rsidRPr="00666914" w:rsidRDefault="00AA6557">
            <w:pPr>
              <w:spacing w:after="0"/>
              <w:rPr>
                <w:color w:val="FF0000"/>
                <w:sz w:val="20"/>
                <w:szCs w:val="20"/>
              </w:rPr>
            </w:pPr>
          </w:p>
        </w:tc>
        <w:tc>
          <w:tcPr>
            <w:tcW w:w="708" w:type="dxa"/>
            <w:shd w:val="clear" w:color="auto" w:fill="A6A6A6"/>
            <w:vAlign w:val="bottom"/>
          </w:tcPr>
          <w:p w14:paraId="1CA7D156" w14:textId="77777777" w:rsidR="00AA6557" w:rsidRPr="00666914" w:rsidRDefault="00AA6557">
            <w:pPr>
              <w:spacing w:after="0"/>
              <w:rPr>
                <w:color w:val="FF0000"/>
                <w:sz w:val="20"/>
                <w:szCs w:val="20"/>
              </w:rPr>
            </w:pPr>
          </w:p>
        </w:tc>
        <w:tc>
          <w:tcPr>
            <w:tcW w:w="710" w:type="dxa"/>
            <w:shd w:val="clear" w:color="auto" w:fill="A6A6A6"/>
            <w:vAlign w:val="bottom"/>
          </w:tcPr>
          <w:p w14:paraId="6D1682BE" w14:textId="77777777" w:rsidR="00AA6557" w:rsidRPr="00666914" w:rsidRDefault="00AA6557">
            <w:pPr>
              <w:spacing w:after="0"/>
              <w:rPr>
                <w:color w:val="FF0000"/>
                <w:sz w:val="20"/>
                <w:szCs w:val="20"/>
              </w:rPr>
            </w:pPr>
          </w:p>
        </w:tc>
      </w:tr>
      <w:tr w:rsidR="00AA6557" w:rsidRPr="00666914" w14:paraId="63BF97DE" w14:textId="77777777" w:rsidTr="006515CD">
        <w:trPr>
          <w:trHeight w:val="363"/>
        </w:trPr>
        <w:tc>
          <w:tcPr>
            <w:tcW w:w="710" w:type="dxa"/>
            <w:shd w:val="clear" w:color="auto" w:fill="auto"/>
            <w:vAlign w:val="center"/>
          </w:tcPr>
          <w:p w14:paraId="60756FD6" w14:textId="77777777" w:rsidR="00AA6557" w:rsidRPr="00666914" w:rsidRDefault="00AA6557">
            <w:pPr>
              <w:spacing w:after="0"/>
              <w:jc w:val="left"/>
              <w:rPr>
                <w:color w:val="000000"/>
                <w:sz w:val="20"/>
                <w:szCs w:val="20"/>
              </w:rPr>
            </w:pPr>
            <w:r w:rsidRPr="00666914">
              <w:rPr>
                <w:color w:val="000000"/>
                <w:sz w:val="18"/>
                <w:szCs w:val="18"/>
              </w:rPr>
              <w:t>13.5.2</w:t>
            </w:r>
          </w:p>
        </w:tc>
        <w:tc>
          <w:tcPr>
            <w:tcW w:w="1984" w:type="dxa"/>
            <w:shd w:val="clear" w:color="auto" w:fill="auto"/>
            <w:vAlign w:val="center"/>
          </w:tcPr>
          <w:p w14:paraId="14505B6E" w14:textId="77777777" w:rsidR="00AA6557" w:rsidRPr="00666914" w:rsidRDefault="00AA6557">
            <w:pPr>
              <w:spacing w:after="0"/>
              <w:jc w:val="left"/>
              <w:rPr>
                <w:color w:val="000000"/>
                <w:sz w:val="20"/>
                <w:szCs w:val="20"/>
              </w:rPr>
            </w:pPr>
            <w:r w:rsidRPr="00666914">
              <w:rPr>
                <w:color w:val="000000"/>
                <w:sz w:val="18"/>
                <w:szCs w:val="18"/>
              </w:rPr>
              <w:t>Zefektívnenie prevádzky úradu a podriadených organizácií MPRV SR vrátane štátnych podnikov</w:t>
            </w:r>
          </w:p>
        </w:tc>
        <w:tc>
          <w:tcPr>
            <w:tcW w:w="2126" w:type="dxa"/>
            <w:shd w:val="clear" w:color="auto" w:fill="auto"/>
            <w:vAlign w:val="center"/>
          </w:tcPr>
          <w:p w14:paraId="69D05A02" w14:textId="77777777" w:rsidR="00AA6557" w:rsidRPr="00666914" w:rsidRDefault="00AA6557">
            <w:pPr>
              <w:spacing w:after="0"/>
              <w:jc w:val="left"/>
              <w:rPr>
                <w:color w:val="000000"/>
                <w:sz w:val="20"/>
                <w:szCs w:val="20"/>
              </w:rPr>
            </w:pPr>
            <w:r w:rsidRPr="00666914">
              <w:rPr>
                <w:color w:val="000000"/>
                <w:sz w:val="18"/>
                <w:szCs w:val="18"/>
              </w:rPr>
              <w:t>Publikovať aspoň jeden kvalitný článok na výskumníka raz za dva roky (karentované články, články registrované vo WoS alebo Scopus alebo publikácie v špičkových medzinárodných vydavateľstvách)</w:t>
            </w:r>
          </w:p>
        </w:tc>
        <w:tc>
          <w:tcPr>
            <w:tcW w:w="1418" w:type="dxa"/>
            <w:shd w:val="clear" w:color="auto" w:fill="auto"/>
            <w:vAlign w:val="center"/>
          </w:tcPr>
          <w:p w14:paraId="7919F0C4" w14:textId="77777777" w:rsidR="00AA6557" w:rsidRPr="00666914" w:rsidRDefault="00AA6557">
            <w:pPr>
              <w:spacing w:after="0"/>
              <w:jc w:val="center"/>
              <w:rPr>
                <w:color w:val="000000"/>
                <w:sz w:val="20"/>
                <w:szCs w:val="20"/>
              </w:rPr>
            </w:pPr>
            <w:r w:rsidRPr="00666914">
              <w:rPr>
                <w:color w:val="000000"/>
                <w:sz w:val="18"/>
                <w:szCs w:val="18"/>
              </w:rPr>
              <w:t>NLC, MPRV Sekcia lesného hospodárstva a spracovania dreva</w:t>
            </w:r>
          </w:p>
        </w:tc>
        <w:tc>
          <w:tcPr>
            <w:tcW w:w="992" w:type="dxa"/>
            <w:shd w:val="clear" w:color="auto" w:fill="auto"/>
            <w:vAlign w:val="center"/>
          </w:tcPr>
          <w:p w14:paraId="73367A93" w14:textId="77777777" w:rsidR="00AA6557" w:rsidRPr="00666914" w:rsidRDefault="00AA6557">
            <w:pPr>
              <w:spacing w:after="0"/>
              <w:jc w:val="center"/>
              <w:rPr>
                <w:color w:val="000000"/>
                <w:sz w:val="20"/>
                <w:szCs w:val="20"/>
              </w:rPr>
            </w:pPr>
            <w:r w:rsidRPr="00666914">
              <w:rPr>
                <w:color w:val="000000"/>
                <w:sz w:val="18"/>
                <w:szCs w:val="18"/>
              </w:rPr>
              <w:t>1.1.2024</w:t>
            </w:r>
          </w:p>
        </w:tc>
        <w:tc>
          <w:tcPr>
            <w:tcW w:w="709" w:type="dxa"/>
            <w:shd w:val="clear" w:color="auto" w:fill="A6A6A6"/>
            <w:vAlign w:val="bottom"/>
          </w:tcPr>
          <w:p w14:paraId="0C093E7C" w14:textId="77777777" w:rsidR="00AA6557" w:rsidRPr="00666914" w:rsidRDefault="00AA6557">
            <w:pPr>
              <w:spacing w:after="0"/>
              <w:rPr>
                <w:color w:val="000000"/>
                <w:sz w:val="20"/>
                <w:szCs w:val="20"/>
              </w:rPr>
            </w:pPr>
          </w:p>
        </w:tc>
        <w:tc>
          <w:tcPr>
            <w:tcW w:w="709" w:type="dxa"/>
            <w:shd w:val="clear" w:color="auto" w:fill="A6A6A6"/>
            <w:vAlign w:val="bottom"/>
          </w:tcPr>
          <w:p w14:paraId="59AECFDF" w14:textId="77777777" w:rsidR="00AA6557" w:rsidRPr="00666914" w:rsidRDefault="00AA6557">
            <w:pPr>
              <w:spacing w:after="0"/>
              <w:rPr>
                <w:color w:val="FF0000"/>
                <w:sz w:val="20"/>
                <w:szCs w:val="20"/>
              </w:rPr>
            </w:pPr>
          </w:p>
        </w:tc>
        <w:tc>
          <w:tcPr>
            <w:tcW w:w="708" w:type="dxa"/>
            <w:shd w:val="clear" w:color="auto" w:fill="A6A6A6"/>
            <w:vAlign w:val="bottom"/>
          </w:tcPr>
          <w:p w14:paraId="22697A07" w14:textId="77777777" w:rsidR="00AA6557" w:rsidRPr="00666914" w:rsidRDefault="00AA6557">
            <w:pPr>
              <w:spacing w:after="0"/>
              <w:rPr>
                <w:color w:val="FF0000"/>
                <w:sz w:val="20"/>
                <w:szCs w:val="20"/>
              </w:rPr>
            </w:pPr>
          </w:p>
        </w:tc>
        <w:tc>
          <w:tcPr>
            <w:tcW w:w="710" w:type="dxa"/>
            <w:shd w:val="clear" w:color="auto" w:fill="A6A6A6"/>
            <w:vAlign w:val="bottom"/>
          </w:tcPr>
          <w:p w14:paraId="437B141E" w14:textId="77777777" w:rsidR="00AA6557" w:rsidRPr="00666914" w:rsidRDefault="00AA6557">
            <w:pPr>
              <w:spacing w:after="0"/>
              <w:rPr>
                <w:color w:val="FF0000"/>
                <w:sz w:val="20"/>
                <w:szCs w:val="20"/>
                <w:highlight w:val="yellow"/>
              </w:rPr>
            </w:pPr>
          </w:p>
        </w:tc>
      </w:tr>
      <w:tr w:rsidR="00AA6557" w:rsidRPr="00666914" w14:paraId="5F3061F5" w14:textId="77777777" w:rsidTr="006515CD">
        <w:trPr>
          <w:trHeight w:val="60"/>
        </w:trPr>
        <w:tc>
          <w:tcPr>
            <w:tcW w:w="710" w:type="dxa"/>
            <w:shd w:val="clear" w:color="auto" w:fill="auto"/>
            <w:vAlign w:val="center"/>
          </w:tcPr>
          <w:p w14:paraId="4831F8BD" w14:textId="77777777" w:rsidR="00AA6557" w:rsidRPr="00666914" w:rsidRDefault="00AA6557">
            <w:pPr>
              <w:spacing w:after="0"/>
              <w:jc w:val="left"/>
              <w:rPr>
                <w:color w:val="000000"/>
                <w:sz w:val="20"/>
                <w:szCs w:val="20"/>
              </w:rPr>
            </w:pPr>
            <w:r w:rsidRPr="00666914">
              <w:rPr>
                <w:color w:val="000000"/>
                <w:sz w:val="18"/>
                <w:szCs w:val="18"/>
              </w:rPr>
              <w:t>13.5.3</w:t>
            </w:r>
          </w:p>
        </w:tc>
        <w:tc>
          <w:tcPr>
            <w:tcW w:w="1984" w:type="dxa"/>
            <w:shd w:val="clear" w:color="auto" w:fill="auto"/>
            <w:vAlign w:val="center"/>
          </w:tcPr>
          <w:p w14:paraId="40204360" w14:textId="77777777" w:rsidR="00AA6557" w:rsidRPr="00666914" w:rsidRDefault="00AA6557">
            <w:pPr>
              <w:spacing w:after="0"/>
              <w:jc w:val="left"/>
              <w:rPr>
                <w:color w:val="000000"/>
                <w:sz w:val="20"/>
                <w:szCs w:val="20"/>
              </w:rPr>
            </w:pPr>
            <w:r w:rsidRPr="00666914">
              <w:rPr>
                <w:color w:val="000000"/>
                <w:sz w:val="18"/>
                <w:szCs w:val="18"/>
              </w:rPr>
              <w:t>Zefektívnenie prevádzky úradu a podriadených organizácií MPRV SR vrátane štátnych podnikov</w:t>
            </w:r>
          </w:p>
        </w:tc>
        <w:tc>
          <w:tcPr>
            <w:tcW w:w="2126" w:type="dxa"/>
            <w:shd w:val="clear" w:color="auto" w:fill="auto"/>
            <w:vAlign w:val="center"/>
          </w:tcPr>
          <w:p w14:paraId="30C5961D" w14:textId="77777777" w:rsidR="00AA6557" w:rsidRPr="00666914" w:rsidRDefault="00AA6557">
            <w:pPr>
              <w:spacing w:after="0"/>
              <w:jc w:val="left"/>
              <w:rPr>
                <w:color w:val="000000"/>
                <w:sz w:val="20"/>
                <w:szCs w:val="20"/>
              </w:rPr>
            </w:pPr>
            <w:r w:rsidRPr="00666914">
              <w:rPr>
                <w:color w:val="000000"/>
                <w:sz w:val="18"/>
                <w:szCs w:val="18"/>
              </w:rPr>
              <w:t>Udržiavať mieru financovania zo štandardných zdrojov (nadnárodné projekty, podnikateľský sektor, domáce granty) nad 75 % zdrojov NLC určených na vedu a výskum</w:t>
            </w:r>
          </w:p>
        </w:tc>
        <w:tc>
          <w:tcPr>
            <w:tcW w:w="1418" w:type="dxa"/>
            <w:shd w:val="clear" w:color="auto" w:fill="auto"/>
            <w:vAlign w:val="center"/>
          </w:tcPr>
          <w:p w14:paraId="271CA104" w14:textId="77777777" w:rsidR="00AA6557" w:rsidRPr="00666914" w:rsidRDefault="00AA6557">
            <w:pPr>
              <w:spacing w:after="0"/>
              <w:jc w:val="center"/>
              <w:rPr>
                <w:color w:val="000000"/>
                <w:sz w:val="20"/>
                <w:szCs w:val="20"/>
              </w:rPr>
            </w:pPr>
            <w:r w:rsidRPr="00666914">
              <w:rPr>
                <w:color w:val="000000"/>
                <w:sz w:val="18"/>
                <w:szCs w:val="18"/>
              </w:rPr>
              <w:t>NLC, MPRV, Sekcia lesného hospodárstva a spracovania dreva</w:t>
            </w:r>
          </w:p>
        </w:tc>
        <w:tc>
          <w:tcPr>
            <w:tcW w:w="992" w:type="dxa"/>
            <w:shd w:val="clear" w:color="auto" w:fill="auto"/>
            <w:vAlign w:val="center"/>
          </w:tcPr>
          <w:p w14:paraId="1059DF10" w14:textId="77777777" w:rsidR="00AA6557" w:rsidRPr="00666914" w:rsidRDefault="00AA6557">
            <w:pPr>
              <w:spacing w:after="0"/>
              <w:jc w:val="center"/>
              <w:rPr>
                <w:color w:val="000000"/>
                <w:sz w:val="20"/>
                <w:szCs w:val="20"/>
              </w:rPr>
            </w:pPr>
            <w:r w:rsidRPr="00666914">
              <w:rPr>
                <w:color w:val="000000"/>
                <w:sz w:val="18"/>
                <w:szCs w:val="18"/>
              </w:rPr>
              <w:t>Priebežne</w:t>
            </w:r>
          </w:p>
        </w:tc>
        <w:tc>
          <w:tcPr>
            <w:tcW w:w="709" w:type="dxa"/>
            <w:shd w:val="clear" w:color="auto" w:fill="A6A6A6"/>
            <w:vAlign w:val="bottom"/>
          </w:tcPr>
          <w:p w14:paraId="62CF1CA9" w14:textId="77777777" w:rsidR="00AA6557" w:rsidRPr="00666914" w:rsidRDefault="00AA6557">
            <w:pPr>
              <w:spacing w:after="0"/>
              <w:rPr>
                <w:color w:val="000000"/>
                <w:sz w:val="20"/>
                <w:szCs w:val="20"/>
              </w:rPr>
            </w:pPr>
          </w:p>
        </w:tc>
        <w:tc>
          <w:tcPr>
            <w:tcW w:w="709" w:type="dxa"/>
            <w:shd w:val="clear" w:color="auto" w:fill="A6A6A6"/>
            <w:vAlign w:val="bottom"/>
          </w:tcPr>
          <w:p w14:paraId="3E8B73E9" w14:textId="77777777" w:rsidR="00AA6557" w:rsidRPr="00666914" w:rsidRDefault="00AA6557">
            <w:pPr>
              <w:spacing w:after="0"/>
              <w:rPr>
                <w:color w:val="FF0000"/>
                <w:sz w:val="20"/>
                <w:szCs w:val="20"/>
              </w:rPr>
            </w:pPr>
          </w:p>
        </w:tc>
        <w:tc>
          <w:tcPr>
            <w:tcW w:w="708" w:type="dxa"/>
            <w:shd w:val="clear" w:color="auto" w:fill="A6A6A6"/>
            <w:vAlign w:val="bottom"/>
          </w:tcPr>
          <w:p w14:paraId="06EA766F" w14:textId="77777777" w:rsidR="00AA6557" w:rsidRPr="00666914" w:rsidRDefault="00AA6557">
            <w:pPr>
              <w:spacing w:after="0"/>
              <w:rPr>
                <w:color w:val="FF0000"/>
                <w:sz w:val="20"/>
                <w:szCs w:val="20"/>
              </w:rPr>
            </w:pPr>
          </w:p>
        </w:tc>
        <w:tc>
          <w:tcPr>
            <w:tcW w:w="710" w:type="dxa"/>
            <w:shd w:val="clear" w:color="auto" w:fill="00B050"/>
            <w:vAlign w:val="center"/>
          </w:tcPr>
          <w:p w14:paraId="6BCE2A0F" w14:textId="77777777" w:rsidR="00AA6557" w:rsidRPr="00666914" w:rsidRDefault="00AA6557">
            <w:pPr>
              <w:spacing w:after="0"/>
              <w:rPr>
                <w:color w:val="FF0000"/>
                <w:sz w:val="20"/>
                <w:szCs w:val="20"/>
              </w:rPr>
            </w:pPr>
          </w:p>
        </w:tc>
      </w:tr>
      <w:tr w:rsidR="00AA6557" w:rsidRPr="00666914" w14:paraId="475AE82B" w14:textId="77777777" w:rsidTr="006515CD">
        <w:trPr>
          <w:trHeight w:val="60"/>
        </w:trPr>
        <w:tc>
          <w:tcPr>
            <w:tcW w:w="710" w:type="dxa"/>
            <w:shd w:val="clear" w:color="auto" w:fill="auto"/>
            <w:vAlign w:val="center"/>
          </w:tcPr>
          <w:p w14:paraId="5E2ACC0B" w14:textId="77777777" w:rsidR="00AA6557" w:rsidRPr="00666914" w:rsidRDefault="00AA6557">
            <w:pPr>
              <w:spacing w:after="0"/>
              <w:jc w:val="left"/>
              <w:rPr>
                <w:color w:val="000000"/>
                <w:sz w:val="20"/>
                <w:szCs w:val="20"/>
              </w:rPr>
            </w:pPr>
            <w:r w:rsidRPr="00666914">
              <w:rPr>
                <w:color w:val="000000"/>
                <w:sz w:val="18"/>
                <w:szCs w:val="18"/>
              </w:rPr>
              <w:t>13.5.4</w:t>
            </w:r>
          </w:p>
        </w:tc>
        <w:tc>
          <w:tcPr>
            <w:tcW w:w="1984" w:type="dxa"/>
            <w:shd w:val="clear" w:color="auto" w:fill="auto"/>
            <w:vAlign w:val="center"/>
          </w:tcPr>
          <w:p w14:paraId="2AE2AC3F" w14:textId="77777777" w:rsidR="00AA6557" w:rsidRPr="00666914" w:rsidRDefault="00AA6557">
            <w:pPr>
              <w:spacing w:after="0"/>
              <w:jc w:val="left"/>
              <w:rPr>
                <w:color w:val="000000"/>
                <w:sz w:val="20"/>
                <w:szCs w:val="20"/>
              </w:rPr>
            </w:pPr>
            <w:r w:rsidRPr="00666914">
              <w:rPr>
                <w:color w:val="000000"/>
                <w:sz w:val="18"/>
                <w:szCs w:val="18"/>
              </w:rPr>
              <w:t>Zefektívnenie prevádzky úradu a podriadených organizácií MPRV SR vrátane štátnych podnikov</w:t>
            </w:r>
          </w:p>
        </w:tc>
        <w:tc>
          <w:tcPr>
            <w:tcW w:w="2126" w:type="dxa"/>
            <w:shd w:val="clear" w:color="auto" w:fill="auto"/>
            <w:vAlign w:val="center"/>
          </w:tcPr>
          <w:p w14:paraId="54F6B617" w14:textId="77777777" w:rsidR="00AA6557" w:rsidRPr="00666914" w:rsidRDefault="00AA6557">
            <w:pPr>
              <w:spacing w:after="0"/>
              <w:jc w:val="left"/>
              <w:rPr>
                <w:color w:val="000000"/>
                <w:sz w:val="20"/>
                <w:szCs w:val="20"/>
              </w:rPr>
            </w:pPr>
            <w:r w:rsidRPr="00666914">
              <w:rPr>
                <w:color w:val="000000"/>
                <w:sz w:val="18"/>
                <w:szCs w:val="18"/>
              </w:rPr>
              <w:t>Vykonať medzinárodný audit kvality výskumu v NLC (po vzore medzinárodného auditu Slovenskej akadémie vied)</w:t>
            </w:r>
          </w:p>
        </w:tc>
        <w:tc>
          <w:tcPr>
            <w:tcW w:w="1418" w:type="dxa"/>
            <w:shd w:val="clear" w:color="auto" w:fill="auto"/>
            <w:vAlign w:val="center"/>
          </w:tcPr>
          <w:p w14:paraId="17B47BF5" w14:textId="77777777" w:rsidR="00AA6557" w:rsidRPr="00666914" w:rsidRDefault="00AA6557">
            <w:pPr>
              <w:spacing w:after="0"/>
              <w:jc w:val="center"/>
              <w:rPr>
                <w:color w:val="000000"/>
                <w:sz w:val="20"/>
                <w:szCs w:val="20"/>
              </w:rPr>
            </w:pPr>
            <w:r w:rsidRPr="00666914">
              <w:rPr>
                <w:color w:val="000000"/>
                <w:sz w:val="18"/>
                <w:szCs w:val="18"/>
              </w:rPr>
              <w:t>NLC, MPRV, Sekcia lesného hospodárstva a spracovania dreva</w:t>
            </w:r>
          </w:p>
        </w:tc>
        <w:tc>
          <w:tcPr>
            <w:tcW w:w="992" w:type="dxa"/>
            <w:shd w:val="clear" w:color="auto" w:fill="auto"/>
            <w:vAlign w:val="center"/>
          </w:tcPr>
          <w:p w14:paraId="02041331" w14:textId="77777777" w:rsidR="00AA6557" w:rsidRPr="00666914" w:rsidRDefault="00AA6557">
            <w:pPr>
              <w:spacing w:after="0"/>
              <w:jc w:val="center"/>
              <w:rPr>
                <w:color w:val="000000"/>
                <w:sz w:val="20"/>
                <w:szCs w:val="20"/>
              </w:rPr>
            </w:pPr>
            <w:r w:rsidRPr="00666914">
              <w:rPr>
                <w:color w:val="000000"/>
                <w:sz w:val="18"/>
                <w:szCs w:val="18"/>
              </w:rPr>
              <w:t>1.7.2021</w:t>
            </w:r>
          </w:p>
        </w:tc>
        <w:tc>
          <w:tcPr>
            <w:tcW w:w="709" w:type="dxa"/>
            <w:shd w:val="clear" w:color="auto" w:fill="A6A6A6"/>
            <w:vAlign w:val="bottom"/>
          </w:tcPr>
          <w:p w14:paraId="7160E037" w14:textId="77777777" w:rsidR="00AA6557" w:rsidRPr="00666914" w:rsidRDefault="00AA6557">
            <w:pPr>
              <w:spacing w:after="0"/>
              <w:rPr>
                <w:color w:val="000000"/>
                <w:sz w:val="20"/>
                <w:szCs w:val="20"/>
              </w:rPr>
            </w:pPr>
          </w:p>
        </w:tc>
        <w:tc>
          <w:tcPr>
            <w:tcW w:w="709" w:type="dxa"/>
            <w:shd w:val="clear" w:color="auto" w:fill="A6A6A6"/>
            <w:vAlign w:val="bottom"/>
          </w:tcPr>
          <w:p w14:paraId="2C869EA3" w14:textId="77777777" w:rsidR="00AA6557" w:rsidRPr="00666914" w:rsidRDefault="00AA6557">
            <w:pPr>
              <w:spacing w:after="0"/>
              <w:rPr>
                <w:color w:val="FF0000"/>
                <w:sz w:val="20"/>
                <w:szCs w:val="20"/>
              </w:rPr>
            </w:pPr>
          </w:p>
        </w:tc>
        <w:tc>
          <w:tcPr>
            <w:tcW w:w="708" w:type="dxa"/>
            <w:shd w:val="clear" w:color="auto" w:fill="A6A6A6"/>
            <w:vAlign w:val="bottom"/>
          </w:tcPr>
          <w:p w14:paraId="438098F9" w14:textId="77777777" w:rsidR="00AA6557" w:rsidRPr="00666914" w:rsidRDefault="00AA6557">
            <w:pPr>
              <w:spacing w:after="0"/>
              <w:rPr>
                <w:color w:val="FF0000"/>
                <w:sz w:val="20"/>
                <w:szCs w:val="20"/>
              </w:rPr>
            </w:pPr>
          </w:p>
        </w:tc>
        <w:tc>
          <w:tcPr>
            <w:tcW w:w="710" w:type="dxa"/>
            <w:shd w:val="clear" w:color="auto" w:fill="A6A6A6"/>
            <w:vAlign w:val="bottom"/>
          </w:tcPr>
          <w:p w14:paraId="3779666B" w14:textId="77777777" w:rsidR="00AA6557" w:rsidRPr="00666914" w:rsidRDefault="00AA6557">
            <w:pPr>
              <w:spacing w:after="0"/>
              <w:rPr>
                <w:color w:val="FF0000"/>
                <w:sz w:val="20"/>
                <w:szCs w:val="20"/>
              </w:rPr>
            </w:pPr>
          </w:p>
        </w:tc>
      </w:tr>
      <w:tr w:rsidR="00AA6557" w:rsidRPr="00666914" w14:paraId="049F24CA" w14:textId="77777777" w:rsidTr="006515CD">
        <w:trPr>
          <w:trHeight w:val="60"/>
        </w:trPr>
        <w:tc>
          <w:tcPr>
            <w:tcW w:w="710" w:type="dxa"/>
            <w:shd w:val="clear" w:color="auto" w:fill="auto"/>
            <w:vAlign w:val="center"/>
          </w:tcPr>
          <w:p w14:paraId="05899689" w14:textId="77777777" w:rsidR="00AA6557" w:rsidRPr="00666914" w:rsidRDefault="00AA6557">
            <w:pPr>
              <w:spacing w:after="0"/>
              <w:jc w:val="left"/>
              <w:rPr>
                <w:color w:val="000000"/>
                <w:sz w:val="20"/>
                <w:szCs w:val="20"/>
              </w:rPr>
            </w:pPr>
            <w:r w:rsidRPr="00666914">
              <w:rPr>
                <w:color w:val="000000"/>
                <w:sz w:val="18"/>
                <w:szCs w:val="18"/>
              </w:rPr>
              <w:t>13.6.1</w:t>
            </w:r>
          </w:p>
        </w:tc>
        <w:tc>
          <w:tcPr>
            <w:tcW w:w="1984" w:type="dxa"/>
            <w:shd w:val="clear" w:color="auto" w:fill="auto"/>
            <w:vAlign w:val="center"/>
          </w:tcPr>
          <w:p w14:paraId="0A60C23E" w14:textId="77777777" w:rsidR="00AA6557" w:rsidRPr="00666914" w:rsidRDefault="00AA6557">
            <w:pPr>
              <w:spacing w:after="0"/>
              <w:jc w:val="left"/>
              <w:rPr>
                <w:color w:val="000000"/>
                <w:sz w:val="20"/>
                <w:szCs w:val="20"/>
              </w:rPr>
            </w:pPr>
            <w:r w:rsidRPr="00666914">
              <w:rPr>
                <w:color w:val="000000"/>
                <w:sz w:val="18"/>
                <w:szCs w:val="18"/>
              </w:rPr>
              <w:t>Zefektívnenie prevádzky úradu a podriadených organizácií – zvýšenie efektivity a transparentnosti podniku Lesy SR</w:t>
            </w:r>
          </w:p>
        </w:tc>
        <w:tc>
          <w:tcPr>
            <w:tcW w:w="2126" w:type="dxa"/>
            <w:shd w:val="clear" w:color="auto" w:fill="auto"/>
            <w:vAlign w:val="center"/>
          </w:tcPr>
          <w:p w14:paraId="3D08680A" w14:textId="77777777" w:rsidR="00AA6557" w:rsidRPr="00666914" w:rsidRDefault="00AA6557">
            <w:pPr>
              <w:spacing w:after="0"/>
              <w:jc w:val="left"/>
              <w:rPr>
                <w:color w:val="000000"/>
                <w:sz w:val="20"/>
                <w:szCs w:val="20"/>
              </w:rPr>
            </w:pPr>
            <w:r w:rsidRPr="00666914">
              <w:rPr>
                <w:color w:val="000000"/>
                <w:sz w:val="18"/>
                <w:szCs w:val="18"/>
              </w:rPr>
              <w:t>Vykonať audit Lesov SR, š.p., a implementovať opatrenia vyplývajúce z neho</w:t>
            </w:r>
          </w:p>
        </w:tc>
        <w:tc>
          <w:tcPr>
            <w:tcW w:w="1418" w:type="dxa"/>
            <w:shd w:val="clear" w:color="auto" w:fill="auto"/>
            <w:vAlign w:val="center"/>
          </w:tcPr>
          <w:p w14:paraId="068C2539" w14:textId="77777777" w:rsidR="00AA6557" w:rsidRPr="00666914" w:rsidRDefault="00AA6557">
            <w:pPr>
              <w:spacing w:after="0"/>
              <w:jc w:val="center"/>
              <w:rPr>
                <w:color w:val="000000"/>
                <w:sz w:val="20"/>
                <w:szCs w:val="20"/>
              </w:rPr>
            </w:pPr>
            <w:r w:rsidRPr="00666914">
              <w:rPr>
                <w:color w:val="000000"/>
                <w:sz w:val="18"/>
                <w:szCs w:val="18"/>
              </w:rPr>
              <w:t>LESY SR, š. p., MPRV, Sekcia lesného hospodárstva a spracovania dreva, IJ ÚV SR, UHP MF SR</w:t>
            </w:r>
          </w:p>
        </w:tc>
        <w:tc>
          <w:tcPr>
            <w:tcW w:w="992" w:type="dxa"/>
            <w:shd w:val="clear" w:color="auto" w:fill="auto"/>
            <w:vAlign w:val="center"/>
          </w:tcPr>
          <w:p w14:paraId="497CAA2A" w14:textId="77777777" w:rsidR="00AA6557" w:rsidRPr="00666914" w:rsidRDefault="00AA6557">
            <w:pPr>
              <w:spacing w:after="0"/>
              <w:jc w:val="center"/>
              <w:rPr>
                <w:color w:val="000000"/>
                <w:sz w:val="20"/>
                <w:szCs w:val="20"/>
              </w:rPr>
            </w:pPr>
            <w:r w:rsidRPr="00666914">
              <w:rPr>
                <w:color w:val="000000"/>
                <w:sz w:val="18"/>
                <w:szCs w:val="18"/>
              </w:rPr>
              <w:t>30.6.2020</w:t>
            </w:r>
          </w:p>
        </w:tc>
        <w:tc>
          <w:tcPr>
            <w:tcW w:w="709" w:type="dxa"/>
            <w:shd w:val="clear" w:color="auto" w:fill="A6A6A6"/>
            <w:vAlign w:val="bottom"/>
          </w:tcPr>
          <w:p w14:paraId="4E98D869" w14:textId="77777777" w:rsidR="00AA6557" w:rsidRPr="00666914" w:rsidRDefault="00AA6557">
            <w:pPr>
              <w:spacing w:after="0"/>
              <w:rPr>
                <w:color w:val="000000"/>
                <w:sz w:val="20"/>
                <w:szCs w:val="20"/>
              </w:rPr>
            </w:pPr>
          </w:p>
        </w:tc>
        <w:tc>
          <w:tcPr>
            <w:tcW w:w="709" w:type="dxa"/>
            <w:shd w:val="clear" w:color="auto" w:fill="A6A6A6"/>
            <w:vAlign w:val="bottom"/>
          </w:tcPr>
          <w:p w14:paraId="58B3151A" w14:textId="77777777" w:rsidR="00AA6557" w:rsidRPr="00666914" w:rsidRDefault="00AA6557">
            <w:pPr>
              <w:spacing w:after="0"/>
              <w:rPr>
                <w:color w:val="FF0000"/>
                <w:sz w:val="20"/>
                <w:szCs w:val="20"/>
              </w:rPr>
            </w:pPr>
          </w:p>
        </w:tc>
        <w:tc>
          <w:tcPr>
            <w:tcW w:w="708" w:type="dxa"/>
            <w:shd w:val="clear" w:color="auto" w:fill="A6A6A6"/>
            <w:vAlign w:val="bottom"/>
          </w:tcPr>
          <w:p w14:paraId="693D61EE" w14:textId="77777777" w:rsidR="00AA6557" w:rsidRPr="00666914" w:rsidRDefault="00AA6557">
            <w:pPr>
              <w:spacing w:after="0"/>
              <w:rPr>
                <w:color w:val="FF0000"/>
                <w:sz w:val="20"/>
                <w:szCs w:val="20"/>
              </w:rPr>
            </w:pPr>
          </w:p>
        </w:tc>
        <w:tc>
          <w:tcPr>
            <w:tcW w:w="710" w:type="dxa"/>
            <w:shd w:val="clear" w:color="auto" w:fill="A6A6A6"/>
            <w:vAlign w:val="bottom"/>
          </w:tcPr>
          <w:p w14:paraId="72E2DF58" w14:textId="77777777" w:rsidR="00AA6557" w:rsidRPr="00666914" w:rsidRDefault="00AA6557">
            <w:pPr>
              <w:spacing w:after="0"/>
              <w:rPr>
                <w:color w:val="FF0000"/>
                <w:sz w:val="20"/>
                <w:szCs w:val="20"/>
              </w:rPr>
            </w:pPr>
          </w:p>
        </w:tc>
      </w:tr>
      <w:tr w:rsidR="00AA6557" w:rsidRPr="00666914" w14:paraId="72FB172D" w14:textId="77777777" w:rsidTr="006515CD">
        <w:trPr>
          <w:trHeight w:val="315"/>
        </w:trPr>
        <w:tc>
          <w:tcPr>
            <w:tcW w:w="710" w:type="dxa"/>
            <w:shd w:val="clear" w:color="auto" w:fill="auto"/>
            <w:vAlign w:val="center"/>
          </w:tcPr>
          <w:p w14:paraId="6853098F" w14:textId="77777777" w:rsidR="00AA6557" w:rsidRPr="00666914" w:rsidRDefault="00AA6557">
            <w:pPr>
              <w:spacing w:after="0"/>
              <w:jc w:val="left"/>
              <w:rPr>
                <w:color w:val="000000"/>
                <w:sz w:val="20"/>
                <w:szCs w:val="20"/>
              </w:rPr>
            </w:pPr>
            <w:r w:rsidRPr="00666914">
              <w:rPr>
                <w:color w:val="000000"/>
                <w:sz w:val="18"/>
                <w:szCs w:val="18"/>
              </w:rPr>
              <w:t>13.6.2</w:t>
            </w:r>
          </w:p>
        </w:tc>
        <w:tc>
          <w:tcPr>
            <w:tcW w:w="1984" w:type="dxa"/>
            <w:shd w:val="clear" w:color="auto" w:fill="auto"/>
            <w:vAlign w:val="center"/>
          </w:tcPr>
          <w:p w14:paraId="54A2AB48" w14:textId="77777777" w:rsidR="00AA6557" w:rsidRPr="00666914" w:rsidRDefault="00AA6557">
            <w:pPr>
              <w:spacing w:after="0"/>
              <w:jc w:val="left"/>
              <w:rPr>
                <w:color w:val="000000"/>
                <w:sz w:val="20"/>
                <w:szCs w:val="20"/>
              </w:rPr>
            </w:pPr>
            <w:r w:rsidRPr="00666914">
              <w:rPr>
                <w:color w:val="000000"/>
                <w:sz w:val="18"/>
                <w:szCs w:val="18"/>
              </w:rPr>
              <w:t>Zefektívnenie prevádzky úradu a podriadených organizácií – zvýšenie efektivity a transparentnosti podniku Lesy SR</w:t>
            </w:r>
          </w:p>
        </w:tc>
        <w:tc>
          <w:tcPr>
            <w:tcW w:w="2126" w:type="dxa"/>
            <w:shd w:val="clear" w:color="auto" w:fill="auto"/>
            <w:vAlign w:val="center"/>
          </w:tcPr>
          <w:p w14:paraId="7F91DE6A" w14:textId="77777777" w:rsidR="00AA6557" w:rsidRPr="00666914" w:rsidRDefault="00AA6557">
            <w:pPr>
              <w:spacing w:after="0"/>
              <w:jc w:val="left"/>
              <w:rPr>
                <w:color w:val="000000"/>
                <w:sz w:val="20"/>
                <w:szCs w:val="20"/>
              </w:rPr>
            </w:pPr>
            <w:r w:rsidRPr="00666914">
              <w:rPr>
                <w:color w:val="000000"/>
                <w:sz w:val="18"/>
                <w:szCs w:val="18"/>
              </w:rPr>
              <w:t>Vo výročnej správe oddeliť náklady súvisiace so správou majetku a verejnoprospešnou činnosťou a zníženie výnosov z dôvodu nevyplácania náhrady za obmedzenie bežného hospodárenia</w:t>
            </w:r>
          </w:p>
        </w:tc>
        <w:tc>
          <w:tcPr>
            <w:tcW w:w="1418" w:type="dxa"/>
            <w:shd w:val="clear" w:color="auto" w:fill="auto"/>
            <w:vAlign w:val="center"/>
          </w:tcPr>
          <w:p w14:paraId="1A0E92FA" w14:textId="77777777" w:rsidR="00AA6557" w:rsidRPr="00666914" w:rsidRDefault="00AA6557">
            <w:pPr>
              <w:spacing w:after="0"/>
              <w:jc w:val="center"/>
              <w:rPr>
                <w:color w:val="000000"/>
                <w:sz w:val="20"/>
                <w:szCs w:val="20"/>
              </w:rPr>
            </w:pPr>
            <w:r w:rsidRPr="00666914">
              <w:rPr>
                <w:color w:val="000000"/>
                <w:sz w:val="18"/>
                <w:szCs w:val="18"/>
              </w:rPr>
              <w:t>LESY SR, š. p., MPRV, Sekcia lesného hospodárstva a spracovania dreva</w:t>
            </w:r>
          </w:p>
        </w:tc>
        <w:tc>
          <w:tcPr>
            <w:tcW w:w="992" w:type="dxa"/>
            <w:shd w:val="clear" w:color="auto" w:fill="auto"/>
            <w:vAlign w:val="center"/>
          </w:tcPr>
          <w:p w14:paraId="3C294E12" w14:textId="77777777" w:rsidR="00AA6557" w:rsidRPr="00666914" w:rsidRDefault="00AA6557">
            <w:pPr>
              <w:spacing w:after="0"/>
              <w:jc w:val="center"/>
              <w:rPr>
                <w:color w:val="000000"/>
                <w:sz w:val="20"/>
                <w:szCs w:val="20"/>
              </w:rPr>
            </w:pPr>
            <w:r w:rsidRPr="00666914">
              <w:rPr>
                <w:color w:val="000000"/>
                <w:sz w:val="18"/>
                <w:szCs w:val="18"/>
              </w:rPr>
              <w:t>1.1.2020</w:t>
            </w:r>
          </w:p>
        </w:tc>
        <w:tc>
          <w:tcPr>
            <w:tcW w:w="709" w:type="dxa"/>
            <w:shd w:val="clear" w:color="auto" w:fill="A6A6A6"/>
            <w:vAlign w:val="bottom"/>
          </w:tcPr>
          <w:p w14:paraId="17A4ECCC" w14:textId="77777777" w:rsidR="00AA6557" w:rsidRPr="00666914" w:rsidRDefault="00AA6557">
            <w:pPr>
              <w:spacing w:after="0"/>
              <w:rPr>
                <w:color w:val="000000"/>
                <w:sz w:val="20"/>
                <w:szCs w:val="20"/>
              </w:rPr>
            </w:pPr>
          </w:p>
        </w:tc>
        <w:tc>
          <w:tcPr>
            <w:tcW w:w="709" w:type="dxa"/>
            <w:shd w:val="clear" w:color="auto" w:fill="A6A6A6"/>
            <w:vAlign w:val="bottom"/>
          </w:tcPr>
          <w:p w14:paraId="2D1D02EF" w14:textId="77777777" w:rsidR="00AA6557" w:rsidRPr="00666914" w:rsidRDefault="00AA6557">
            <w:pPr>
              <w:spacing w:after="0"/>
              <w:rPr>
                <w:color w:val="FF0000"/>
                <w:sz w:val="20"/>
                <w:szCs w:val="20"/>
              </w:rPr>
            </w:pPr>
          </w:p>
        </w:tc>
        <w:tc>
          <w:tcPr>
            <w:tcW w:w="708" w:type="dxa"/>
            <w:shd w:val="clear" w:color="auto" w:fill="A6A6A6"/>
            <w:vAlign w:val="bottom"/>
          </w:tcPr>
          <w:p w14:paraId="4D0666D6" w14:textId="77777777" w:rsidR="00AA6557" w:rsidRPr="00666914" w:rsidRDefault="00AA6557">
            <w:pPr>
              <w:spacing w:after="0"/>
              <w:rPr>
                <w:color w:val="FF0000"/>
                <w:sz w:val="20"/>
                <w:szCs w:val="20"/>
              </w:rPr>
            </w:pPr>
          </w:p>
        </w:tc>
        <w:tc>
          <w:tcPr>
            <w:tcW w:w="710" w:type="dxa"/>
            <w:shd w:val="clear" w:color="auto" w:fill="A6A6A6"/>
            <w:vAlign w:val="bottom"/>
          </w:tcPr>
          <w:p w14:paraId="09A3FBAF" w14:textId="77777777" w:rsidR="00AA6557" w:rsidRPr="00666914" w:rsidRDefault="00AA6557">
            <w:pPr>
              <w:spacing w:after="0"/>
              <w:rPr>
                <w:color w:val="FF0000"/>
                <w:sz w:val="20"/>
                <w:szCs w:val="20"/>
              </w:rPr>
            </w:pPr>
          </w:p>
        </w:tc>
      </w:tr>
      <w:tr w:rsidR="00AA6557" w:rsidRPr="00666914" w14:paraId="784D6F90" w14:textId="77777777" w:rsidTr="006515CD">
        <w:trPr>
          <w:trHeight w:val="315"/>
        </w:trPr>
        <w:tc>
          <w:tcPr>
            <w:tcW w:w="710" w:type="dxa"/>
            <w:shd w:val="clear" w:color="auto" w:fill="auto"/>
            <w:vAlign w:val="center"/>
          </w:tcPr>
          <w:p w14:paraId="25B518CD" w14:textId="77777777" w:rsidR="00AA6557" w:rsidRPr="00666914" w:rsidRDefault="00AA6557">
            <w:pPr>
              <w:spacing w:after="0"/>
              <w:jc w:val="left"/>
              <w:rPr>
                <w:color w:val="000000"/>
                <w:sz w:val="20"/>
                <w:szCs w:val="20"/>
              </w:rPr>
            </w:pPr>
            <w:r w:rsidRPr="00666914">
              <w:rPr>
                <w:color w:val="000000"/>
                <w:sz w:val="18"/>
                <w:szCs w:val="18"/>
              </w:rPr>
              <w:t>13.7.1</w:t>
            </w:r>
          </w:p>
        </w:tc>
        <w:tc>
          <w:tcPr>
            <w:tcW w:w="1984" w:type="dxa"/>
            <w:shd w:val="clear" w:color="auto" w:fill="auto"/>
            <w:vAlign w:val="center"/>
          </w:tcPr>
          <w:p w14:paraId="2F854944" w14:textId="77777777" w:rsidR="00AA6557" w:rsidRPr="00666914" w:rsidRDefault="00AA6557">
            <w:pPr>
              <w:spacing w:after="0"/>
              <w:jc w:val="left"/>
              <w:rPr>
                <w:color w:val="000000"/>
                <w:sz w:val="20"/>
                <w:szCs w:val="20"/>
              </w:rPr>
            </w:pPr>
            <w:r w:rsidRPr="00666914">
              <w:rPr>
                <w:color w:val="000000"/>
                <w:sz w:val="18"/>
                <w:szCs w:val="18"/>
              </w:rPr>
              <w:t>Zefektívnenie prevádzky úradu a podriadených organizácií - zefektívnenie fungovania dotovaných štátnych podnikov MPRV SR</w:t>
            </w:r>
          </w:p>
        </w:tc>
        <w:tc>
          <w:tcPr>
            <w:tcW w:w="2126" w:type="dxa"/>
            <w:shd w:val="clear" w:color="auto" w:fill="auto"/>
            <w:vAlign w:val="center"/>
          </w:tcPr>
          <w:p w14:paraId="2758728C" w14:textId="77777777" w:rsidR="00AA6557" w:rsidRPr="00666914" w:rsidRDefault="00AA6557">
            <w:pPr>
              <w:spacing w:after="0"/>
              <w:jc w:val="left"/>
              <w:rPr>
                <w:color w:val="000000"/>
                <w:sz w:val="20"/>
                <w:szCs w:val="20"/>
              </w:rPr>
            </w:pPr>
            <w:r w:rsidRPr="00666914">
              <w:rPr>
                <w:color w:val="000000"/>
                <w:sz w:val="18"/>
                <w:szCs w:val="18"/>
              </w:rPr>
              <w:t>Optimalizovať hospodárenie štátnych podnikov</w:t>
            </w:r>
          </w:p>
        </w:tc>
        <w:tc>
          <w:tcPr>
            <w:tcW w:w="1418" w:type="dxa"/>
            <w:shd w:val="clear" w:color="auto" w:fill="auto"/>
            <w:vAlign w:val="center"/>
          </w:tcPr>
          <w:p w14:paraId="072F2B39" w14:textId="77777777" w:rsidR="00AA6557" w:rsidRPr="00666914" w:rsidRDefault="00AA6557">
            <w:pPr>
              <w:spacing w:after="0"/>
              <w:jc w:val="center"/>
              <w:rPr>
                <w:color w:val="000000"/>
                <w:sz w:val="20"/>
                <w:szCs w:val="20"/>
              </w:rPr>
            </w:pPr>
            <w:r w:rsidRPr="00666914">
              <w:rPr>
                <w:color w:val="000000"/>
                <w:sz w:val="18"/>
                <w:szCs w:val="18"/>
              </w:rPr>
              <w:t xml:space="preserve">Závodisko, š. p. Národný žrebčín Topoľčianky, š. p. </w:t>
            </w:r>
          </w:p>
        </w:tc>
        <w:tc>
          <w:tcPr>
            <w:tcW w:w="992" w:type="dxa"/>
            <w:shd w:val="clear" w:color="auto" w:fill="auto"/>
            <w:vAlign w:val="center"/>
          </w:tcPr>
          <w:p w14:paraId="3799CC53" w14:textId="77777777" w:rsidR="00AA6557" w:rsidRPr="00666914" w:rsidRDefault="00AA6557">
            <w:pPr>
              <w:spacing w:after="0"/>
              <w:jc w:val="center"/>
              <w:rPr>
                <w:color w:val="000000"/>
                <w:sz w:val="20"/>
                <w:szCs w:val="20"/>
              </w:rPr>
            </w:pPr>
            <w:r w:rsidRPr="00666914">
              <w:rPr>
                <w:color w:val="000000"/>
                <w:sz w:val="18"/>
                <w:szCs w:val="18"/>
              </w:rPr>
              <w:t>1.1.2021</w:t>
            </w:r>
          </w:p>
        </w:tc>
        <w:tc>
          <w:tcPr>
            <w:tcW w:w="709" w:type="dxa"/>
            <w:shd w:val="clear" w:color="auto" w:fill="A6A6A6"/>
            <w:vAlign w:val="bottom"/>
          </w:tcPr>
          <w:p w14:paraId="224062D9" w14:textId="77777777" w:rsidR="00AA6557" w:rsidRPr="00666914" w:rsidRDefault="00AA6557">
            <w:pPr>
              <w:spacing w:after="0"/>
              <w:rPr>
                <w:color w:val="000000"/>
                <w:sz w:val="20"/>
                <w:szCs w:val="20"/>
              </w:rPr>
            </w:pPr>
          </w:p>
        </w:tc>
        <w:tc>
          <w:tcPr>
            <w:tcW w:w="709" w:type="dxa"/>
            <w:shd w:val="clear" w:color="auto" w:fill="A6A6A6"/>
            <w:vAlign w:val="bottom"/>
          </w:tcPr>
          <w:p w14:paraId="1B1CD861" w14:textId="77777777" w:rsidR="00AA6557" w:rsidRPr="00666914" w:rsidRDefault="00AA6557">
            <w:pPr>
              <w:spacing w:after="0"/>
              <w:rPr>
                <w:color w:val="FF0000"/>
                <w:sz w:val="20"/>
                <w:szCs w:val="20"/>
              </w:rPr>
            </w:pPr>
          </w:p>
        </w:tc>
        <w:tc>
          <w:tcPr>
            <w:tcW w:w="708" w:type="dxa"/>
            <w:shd w:val="clear" w:color="auto" w:fill="A6A6A6"/>
            <w:vAlign w:val="bottom"/>
          </w:tcPr>
          <w:p w14:paraId="3CA5C7E5" w14:textId="77777777" w:rsidR="00AA6557" w:rsidRPr="00666914" w:rsidRDefault="00AA6557">
            <w:pPr>
              <w:spacing w:after="0"/>
              <w:rPr>
                <w:color w:val="FF0000"/>
                <w:sz w:val="20"/>
                <w:szCs w:val="20"/>
              </w:rPr>
            </w:pPr>
          </w:p>
        </w:tc>
        <w:tc>
          <w:tcPr>
            <w:tcW w:w="710" w:type="dxa"/>
            <w:shd w:val="clear" w:color="auto" w:fill="A6A6A6"/>
            <w:vAlign w:val="bottom"/>
          </w:tcPr>
          <w:p w14:paraId="3EF2810C" w14:textId="77777777" w:rsidR="00AA6557" w:rsidRPr="00666914" w:rsidRDefault="00AA6557">
            <w:pPr>
              <w:spacing w:after="0"/>
              <w:jc w:val="center"/>
              <w:rPr>
                <w:color w:val="FF0000"/>
                <w:sz w:val="20"/>
                <w:szCs w:val="20"/>
              </w:rPr>
            </w:pPr>
          </w:p>
        </w:tc>
      </w:tr>
      <w:tr w:rsidR="00AA6557" w:rsidRPr="00666914" w14:paraId="04B26C26" w14:textId="77777777" w:rsidTr="006515CD">
        <w:trPr>
          <w:trHeight w:val="315"/>
        </w:trPr>
        <w:tc>
          <w:tcPr>
            <w:tcW w:w="710" w:type="dxa"/>
            <w:shd w:val="clear" w:color="auto" w:fill="auto"/>
            <w:vAlign w:val="center"/>
          </w:tcPr>
          <w:p w14:paraId="4DBDEF15" w14:textId="77777777" w:rsidR="00AA6557" w:rsidRPr="00666914" w:rsidRDefault="00AA6557">
            <w:pPr>
              <w:spacing w:after="0"/>
              <w:jc w:val="left"/>
              <w:rPr>
                <w:color w:val="000000"/>
                <w:sz w:val="20"/>
                <w:szCs w:val="20"/>
              </w:rPr>
            </w:pPr>
            <w:r w:rsidRPr="00666914">
              <w:rPr>
                <w:color w:val="000000"/>
                <w:sz w:val="18"/>
                <w:szCs w:val="18"/>
              </w:rPr>
              <w:t>13.8.1</w:t>
            </w:r>
          </w:p>
        </w:tc>
        <w:tc>
          <w:tcPr>
            <w:tcW w:w="1984" w:type="dxa"/>
            <w:shd w:val="clear" w:color="auto" w:fill="auto"/>
            <w:vAlign w:val="center"/>
          </w:tcPr>
          <w:p w14:paraId="0A89D791" w14:textId="77777777" w:rsidR="00AA6557" w:rsidRPr="00666914" w:rsidRDefault="00AA6557">
            <w:pPr>
              <w:spacing w:after="0"/>
              <w:jc w:val="left"/>
              <w:rPr>
                <w:color w:val="000000"/>
                <w:sz w:val="20"/>
                <w:szCs w:val="20"/>
              </w:rPr>
            </w:pPr>
            <w:r w:rsidRPr="00666914">
              <w:rPr>
                <w:color w:val="000000"/>
                <w:sz w:val="18"/>
                <w:szCs w:val="18"/>
              </w:rPr>
              <w:t>Zefektívnenie prevádzky úradu a podriadených organizácií - zefektívnenie fungovania dotovaných štátnych podnikov MPRV SR</w:t>
            </w:r>
          </w:p>
        </w:tc>
        <w:tc>
          <w:tcPr>
            <w:tcW w:w="2126" w:type="dxa"/>
            <w:shd w:val="clear" w:color="auto" w:fill="auto"/>
            <w:vAlign w:val="center"/>
          </w:tcPr>
          <w:p w14:paraId="651F8E78" w14:textId="77777777" w:rsidR="00AA6557" w:rsidRPr="00666914" w:rsidRDefault="00AA6557">
            <w:pPr>
              <w:spacing w:after="0"/>
              <w:jc w:val="left"/>
              <w:rPr>
                <w:color w:val="000000"/>
                <w:sz w:val="20"/>
                <w:szCs w:val="20"/>
              </w:rPr>
            </w:pPr>
            <w:r w:rsidRPr="00666914">
              <w:rPr>
                <w:color w:val="000000"/>
                <w:sz w:val="18"/>
                <w:szCs w:val="18"/>
              </w:rPr>
              <w:t>Vypracovanie koncepcie rozvoja podniku Hydromeliorácie, š.p.</w:t>
            </w:r>
          </w:p>
        </w:tc>
        <w:tc>
          <w:tcPr>
            <w:tcW w:w="1418" w:type="dxa"/>
            <w:shd w:val="clear" w:color="auto" w:fill="auto"/>
            <w:vAlign w:val="center"/>
          </w:tcPr>
          <w:p w14:paraId="06A985A9" w14:textId="77777777" w:rsidR="00AA6557" w:rsidRPr="00666914" w:rsidRDefault="00AA6557">
            <w:pPr>
              <w:spacing w:after="0"/>
              <w:rPr>
                <w:color w:val="000000"/>
                <w:sz w:val="20"/>
                <w:szCs w:val="20"/>
              </w:rPr>
            </w:pPr>
            <w:r w:rsidRPr="00666914">
              <w:rPr>
                <w:color w:val="000000"/>
                <w:sz w:val="18"/>
                <w:szCs w:val="18"/>
              </w:rPr>
              <w:t>Hydromeliorácie, š. p.</w:t>
            </w:r>
          </w:p>
        </w:tc>
        <w:tc>
          <w:tcPr>
            <w:tcW w:w="992" w:type="dxa"/>
            <w:shd w:val="clear" w:color="auto" w:fill="auto"/>
            <w:vAlign w:val="center"/>
          </w:tcPr>
          <w:p w14:paraId="307965BC" w14:textId="77777777" w:rsidR="00AA6557" w:rsidRPr="00666914" w:rsidRDefault="00AA6557">
            <w:pPr>
              <w:spacing w:after="0"/>
              <w:jc w:val="center"/>
              <w:rPr>
                <w:color w:val="000000"/>
                <w:sz w:val="20"/>
                <w:szCs w:val="20"/>
              </w:rPr>
            </w:pPr>
            <w:r w:rsidRPr="00666914">
              <w:rPr>
                <w:color w:val="000000"/>
                <w:sz w:val="18"/>
                <w:szCs w:val="18"/>
              </w:rPr>
              <w:t>1.1.2021</w:t>
            </w:r>
          </w:p>
        </w:tc>
        <w:tc>
          <w:tcPr>
            <w:tcW w:w="709" w:type="dxa"/>
            <w:shd w:val="clear" w:color="auto" w:fill="A6A6A6"/>
            <w:vAlign w:val="bottom"/>
          </w:tcPr>
          <w:p w14:paraId="3C409FC2" w14:textId="77777777" w:rsidR="00AA6557" w:rsidRPr="00666914" w:rsidRDefault="00AA6557">
            <w:pPr>
              <w:spacing w:after="0"/>
              <w:rPr>
                <w:color w:val="000000"/>
                <w:sz w:val="20"/>
                <w:szCs w:val="20"/>
              </w:rPr>
            </w:pPr>
          </w:p>
        </w:tc>
        <w:tc>
          <w:tcPr>
            <w:tcW w:w="709" w:type="dxa"/>
            <w:shd w:val="clear" w:color="auto" w:fill="A6A6A6"/>
            <w:vAlign w:val="bottom"/>
          </w:tcPr>
          <w:p w14:paraId="163DB3BD" w14:textId="77777777" w:rsidR="00AA6557" w:rsidRPr="00666914" w:rsidRDefault="00AA6557">
            <w:pPr>
              <w:spacing w:after="0"/>
              <w:rPr>
                <w:color w:val="FF0000"/>
                <w:sz w:val="20"/>
                <w:szCs w:val="20"/>
              </w:rPr>
            </w:pPr>
          </w:p>
        </w:tc>
        <w:tc>
          <w:tcPr>
            <w:tcW w:w="708" w:type="dxa"/>
            <w:shd w:val="clear" w:color="auto" w:fill="A6A6A6"/>
            <w:vAlign w:val="bottom"/>
          </w:tcPr>
          <w:p w14:paraId="58252077" w14:textId="77777777" w:rsidR="00AA6557" w:rsidRPr="00666914" w:rsidRDefault="00AA6557">
            <w:pPr>
              <w:spacing w:after="0"/>
              <w:rPr>
                <w:color w:val="FF0000"/>
                <w:sz w:val="20"/>
                <w:szCs w:val="20"/>
              </w:rPr>
            </w:pPr>
          </w:p>
        </w:tc>
        <w:tc>
          <w:tcPr>
            <w:tcW w:w="710" w:type="dxa"/>
            <w:shd w:val="clear" w:color="auto" w:fill="A6A6A6"/>
            <w:vAlign w:val="bottom"/>
          </w:tcPr>
          <w:p w14:paraId="235B6806" w14:textId="77777777" w:rsidR="00AA6557" w:rsidRPr="00666914" w:rsidRDefault="00AA6557">
            <w:pPr>
              <w:spacing w:after="0"/>
              <w:jc w:val="center"/>
              <w:rPr>
                <w:color w:val="FF0000"/>
                <w:sz w:val="20"/>
                <w:szCs w:val="20"/>
              </w:rPr>
            </w:pPr>
          </w:p>
        </w:tc>
      </w:tr>
      <w:tr w:rsidR="00AA6557" w:rsidRPr="00666914" w14:paraId="57040A45" w14:textId="77777777" w:rsidTr="00957660">
        <w:trPr>
          <w:trHeight w:val="1507"/>
        </w:trPr>
        <w:tc>
          <w:tcPr>
            <w:tcW w:w="710" w:type="dxa"/>
            <w:shd w:val="clear" w:color="auto" w:fill="auto"/>
            <w:vAlign w:val="center"/>
          </w:tcPr>
          <w:p w14:paraId="4BEBA999" w14:textId="77777777" w:rsidR="00AA6557" w:rsidRPr="00666914" w:rsidRDefault="00AA6557">
            <w:pPr>
              <w:spacing w:after="0"/>
              <w:jc w:val="left"/>
              <w:rPr>
                <w:color w:val="000000"/>
                <w:sz w:val="20"/>
                <w:szCs w:val="20"/>
              </w:rPr>
            </w:pPr>
            <w:r w:rsidRPr="00666914">
              <w:rPr>
                <w:color w:val="000000"/>
                <w:sz w:val="18"/>
                <w:szCs w:val="18"/>
              </w:rPr>
              <w:t>13.8.2</w:t>
            </w:r>
          </w:p>
        </w:tc>
        <w:tc>
          <w:tcPr>
            <w:tcW w:w="1984" w:type="dxa"/>
            <w:shd w:val="clear" w:color="auto" w:fill="auto"/>
            <w:vAlign w:val="center"/>
          </w:tcPr>
          <w:p w14:paraId="2AD62A79" w14:textId="77777777" w:rsidR="00AA6557" w:rsidRPr="00666914" w:rsidRDefault="00AA6557">
            <w:pPr>
              <w:spacing w:after="0"/>
              <w:jc w:val="left"/>
              <w:rPr>
                <w:color w:val="000000"/>
                <w:sz w:val="20"/>
                <w:szCs w:val="20"/>
              </w:rPr>
            </w:pPr>
            <w:r w:rsidRPr="00666914">
              <w:rPr>
                <w:color w:val="000000"/>
                <w:sz w:val="18"/>
                <w:szCs w:val="18"/>
              </w:rPr>
              <w:t>Zefektívnenie prevádzky úradu a podriadených organizácií - zefektívnenie fungovania dotovaných štátnych podnikov MPRV SR</w:t>
            </w:r>
          </w:p>
        </w:tc>
        <w:tc>
          <w:tcPr>
            <w:tcW w:w="2126" w:type="dxa"/>
            <w:shd w:val="clear" w:color="auto" w:fill="auto"/>
            <w:vAlign w:val="center"/>
          </w:tcPr>
          <w:p w14:paraId="75284044" w14:textId="77777777" w:rsidR="00AA6557" w:rsidRPr="00666914" w:rsidRDefault="00AA6557">
            <w:pPr>
              <w:spacing w:after="0"/>
              <w:jc w:val="left"/>
              <w:rPr>
                <w:color w:val="000000"/>
                <w:sz w:val="20"/>
                <w:szCs w:val="20"/>
              </w:rPr>
            </w:pPr>
            <w:r w:rsidRPr="00666914">
              <w:rPr>
                <w:color w:val="000000"/>
                <w:sz w:val="18"/>
                <w:szCs w:val="18"/>
              </w:rPr>
              <w:t>Revitalizovať závlahovú a odvodňovaciu sieť podľa RHSS s využitím zdrojov PRV</w:t>
            </w:r>
          </w:p>
        </w:tc>
        <w:tc>
          <w:tcPr>
            <w:tcW w:w="1418" w:type="dxa"/>
            <w:shd w:val="clear" w:color="auto" w:fill="auto"/>
            <w:vAlign w:val="center"/>
          </w:tcPr>
          <w:p w14:paraId="24366884" w14:textId="77777777" w:rsidR="00AA6557" w:rsidRPr="00666914" w:rsidRDefault="00AA6557">
            <w:pPr>
              <w:spacing w:after="0"/>
              <w:rPr>
                <w:color w:val="000000"/>
                <w:sz w:val="20"/>
                <w:szCs w:val="20"/>
              </w:rPr>
            </w:pPr>
            <w:r w:rsidRPr="00666914">
              <w:rPr>
                <w:color w:val="000000"/>
                <w:sz w:val="18"/>
                <w:szCs w:val="18"/>
              </w:rPr>
              <w:t>Hydromeliorácie, š. p.</w:t>
            </w:r>
          </w:p>
        </w:tc>
        <w:tc>
          <w:tcPr>
            <w:tcW w:w="992" w:type="dxa"/>
            <w:shd w:val="clear" w:color="auto" w:fill="auto"/>
            <w:vAlign w:val="center"/>
          </w:tcPr>
          <w:p w14:paraId="56545483" w14:textId="77777777" w:rsidR="00AA6557" w:rsidRPr="00666914" w:rsidRDefault="00AA6557">
            <w:pPr>
              <w:spacing w:after="0"/>
              <w:jc w:val="center"/>
              <w:rPr>
                <w:color w:val="000000"/>
                <w:sz w:val="20"/>
                <w:szCs w:val="20"/>
              </w:rPr>
            </w:pPr>
            <w:r w:rsidRPr="00666914">
              <w:rPr>
                <w:color w:val="000000"/>
                <w:sz w:val="18"/>
                <w:szCs w:val="18"/>
              </w:rPr>
              <w:t>1.1.2022</w:t>
            </w:r>
          </w:p>
        </w:tc>
        <w:tc>
          <w:tcPr>
            <w:tcW w:w="709" w:type="dxa"/>
            <w:shd w:val="clear" w:color="auto" w:fill="A6A6A6"/>
            <w:vAlign w:val="bottom"/>
          </w:tcPr>
          <w:p w14:paraId="7C3B0725" w14:textId="77777777" w:rsidR="00AA6557" w:rsidRPr="00666914" w:rsidRDefault="00AA6557">
            <w:pPr>
              <w:spacing w:after="0"/>
              <w:rPr>
                <w:color w:val="000000"/>
                <w:sz w:val="20"/>
                <w:szCs w:val="20"/>
              </w:rPr>
            </w:pPr>
          </w:p>
        </w:tc>
        <w:tc>
          <w:tcPr>
            <w:tcW w:w="709" w:type="dxa"/>
            <w:shd w:val="clear" w:color="auto" w:fill="A6A6A6"/>
            <w:vAlign w:val="bottom"/>
          </w:tcPr>
          <w:p w14:paraId="7F8E034F" w14:textId="77777777" w:rsidR="00AA6557" w:rsidRPr="00666914" w:rsidRDefault="00AA6557">
            <w:pPr>
              <w:spacing w:after="0"/>
              <w:rPr>
                <w:color w:val="FF0000"/>
                <w:sz w:val="20"/>
                <w:szCs w:val="20"/>
              </w:rPr>
            </w:pPr>
          </w:p>
        </w:tc>
        <w:tc>
          <w:tcPr>
            <w:tcW w:w="708" w:type="dxa"/>
            <w:shd w:val="clear" w:color="auto" w:fill="A6A6A6"/>
            <w:vAlign w:val="bottom"/>
          </w:tcPr>
          <w:p w14:paraId="0621EB0F" w14:textId="77777777" w:rsidR="00AA6557" w:rsidRPr="00666914" w:rsidRDefault="00AA6557">
            <w:pPr>
              <w:spacing w:after="0"/>
              <w:rPr>
                <w:color w:val="FF0000"/>
                <w:sz w:val="20"/>
                <w:szCs w:val="20"/>
              </w:rPr>
            </w:pPr>
          </w:p>
        </w:tc>
        <w:tc>
          <w:tcPr>
            <w:tcW w:w="710" w:type="dxa"/>
            <w:shd w:val="clear" w:color="auto" w:fill="A6A6A6"/>
            <w:vAlign w:val="bottom"/>
          </w:tcPr>
          <w:p w14:paraId="5E434D94" w14:textId="77777777" w:rsidR="00AA6557" w:rsidRPr="00666914" w:rsidRDefault="00AA6557">
            <w:pPr>
              <w:spacing w:after="0"/>
              <w:jc w:val="center"/>
              <w:rPr>
                <w:color w:val="FF0000"/>
                <w:sz w:val="20"/>
                <w:szCs w:val="20"/>
              </w:rPr>
            </w:pPr>
          </w:p>
        </w:tc>
      </w:tr>
      <w:tr w:rsidR="00AA6557" w:rsidRPr="00666914" w14:paraId="43C28534" w14:textId="77777777" w:rsidTr="006515CD">
        <w:trPr>
          <w:trHeight w:val="315"/>
        </w:trPr>
        <w:tc>
          <w:tcPr>
            <w:tcW w:w="710" w:type="dxa"/>
            <w:shd w:val="clear" w:color="auto" w:fill="auto"/>
            <w:vAlign w:val="center"/>
          </w:tcPr>
          <w:p w14:paraId="510ADB4C" w14:textId="77777777" w:rsidR="00AA6557" w:rsidRPr="00666914" w:rsidRDefault="00AA6557">
            <w:pPr>
              <w:spacing w:after="0"/>
              <w:jc w:val="left"/>
              <w:rPr>
                <w:color w:val="000000"/>
                <w:sz w:val="18"/>
                <w:szCs w:val="18"/>
              </w:rPr>
            </w:pPr>
            <w:r w:rsidRPr="00666914">
              <w:rPr>
                <w:color w:val="000000"/>
                <w:sz w:val="18"/>
                <w:szCs w:val="18"/>
              </w:rPr>
              <w:lastRenderedPageBreak/>
              <w:t>14.1</w:t>
            </w:r>
          </w:p>
        </w:tc>
        <w:tc>
          <w:tcPr>
            <w:tcW w:w="1984" w:type="dxa"/>
            <w:shd w:val="clear" w:color="auto" w:fill="auto"/>
            <w:vAlign w:val="center"/>
          </w:tcPr>
          <w:p w14:paraId="288BD178" w14:textId="77777777" w:rsidR="00AA6557" w:rsidRPr="00666914" w:rsidRDefault="00AA6557">
            <w:pPr>
              <w:spacing w:after="0"/>
              <w:jc w:val="left"/>
              <w:rPr>
                <w:color w:val="000000"/>
                <w:sz w:val="18"/>
                <w:szCs w:val="18"/>
              </w:rPr>
            </w:pPr>
            <w:r w:rsidRPr="00666914">
              <w:rPr>
                <w:color w:val="000000"/>
                <w:sz w:val="18"/>
                <w:szCs w:val="18"/>
              </w:rPr>
              <w:t>Zlepšenie kvality a dostupnosti dát</w:t>
            </w:r>
          </w:p>
        </w:tc>
        <w:tc>
          <w:tcPr>
            <w:tcW w:w="2126" w:type="dxa"/>
            <w:shd w:val="clear" w:color="auto" w:fill="auto"/>
            <w:vAlign w:val="center"/>
          </w:tcPr>
          <w:p w14:paraId="16EFC0CA" w14:textId="77777777" w:rsidR="00AA6557" w:rsidRPr="00666914" w:rsidRDefault="00AA6557">
            <w:pPr>
              <w:spacing w:after="0"/>
              <w:jc w:val="left"/>
              <w:rPr>
                <w:color w:val="000000"/>
                <w:sz w:val="18"/>
                <w:szCs w:val="18"/>
              </w:rPr>
            </w:pPr>
            <w:r w:rsidRPr="00666914">
              <w:rPr>
                <w:color w:val="000000"/>
                <w:sz w:val="18"/>
                <w:szCs w:val="18"/>
              </w:rPr>
              <w:t>Zverejňovať všetky dostupné dáta týkajúce sa lesníctva v užívateľsky priateľskej forme</w:t>
            </w:r>
          </w:p>
        </w:tc>
        <w:tc>
          <w:tcPr>
            <w:tcW w:w="1418" w:type="dxa"/>
            <w:shd w:val="clear" w:color="auto" w:fill="auto"/>
            <w:vAlign w:val="center"/>
          </w:tcPr>
          <w:p w14:paraId="06C3B0D8" w14:textId="77777777" w:rsidR="00AA6557" w:rsidRPr="00666914" w:rsidRDefault="00AA6557">
            <w:pPr>
              <w:spacing w:after="0"/>
              <w:jc w:val="center"/>
              <w:rPr>
                <w:color w:val="000000"/>
                <w:sz w:val="20"/>
                <w:szCs w:val="20"/>
              </w:rPr>
            </w:pPr>
            <w:r w:rsidRPr="00666914">
              <w:rPr>
                <w:color w:val="000000"/>
                <w:sz w:val="18"/>
                <w:szCs w:val="18"/>
              </w:rPr>
              <w:t>NLC</w:t>
            </w:r>
          </w:p>
        </w:tc>
        <w:tc>
          <w:tcPr>
            <w:tcW w:w="992" w:type="dxa"/>
            <w:shd w:val="clear" w:color="auto" w:fill="auto"/>
            <w:vAlign w:val="center"/>
          </w:tcPr>
          <w:p w14:paraId="1C640F6F" w14:textId="77777777" w:rsidR="00AA6557" w:rsidRPr="00666914" w:rsidRDefault="00AA6557">
            <w:pPr>
              <w:spacing w:after="0"/>
              <w:jc w:val="center"/>
              <w:rPr>
                <w:color w:val="000000"/>
                <w:sz w:val="20"/>
                <w:szCs w:val="20"/>
              </w:rPr>
            </w:pPr>
            <w:r w:rsidRPr="00666914">
              <w:rPr>
                <w:color w:val="000000"/>
                <w:sz w:val="18"/>
                <w:szCs w:val="18"/>
              </w:rPr>
              <w:t>1.3.2020</w:t>
            </w:r>
          </w:p>
        </w:tc>
        <w:tc>
          <w:tcPr>
            <w:tcW w:w="709" w:type="dxa"/>
            <w:shd w:val="clear" w:color="auto" w:fill="A6A6A6"/>
            <w:vAlign w:val="bottom"/>
          </w:tcPr>
          <w:p w14:paraId="45B0DB4F" w14:textId="77777777" w:rsidR="00AA6557" w:rsidRPr="00666914" w:rsidRDefault="00AA6557">
            <w:pPr>
              <w:spacing w:after="0"/>
              <w:rPr>
                <w:color w:val="000000"/>
                <w:sz w:val="20"/>
                <w:szCs w:val="20"/>
              </w:rPr>
            </w:pPr>
          </w:p>
        </w:tc>
        <w:tc>
          <w:tcPr>
            <w:tcW w:w="709" w:type="dxa"/>
            <w:shd w:val="clear" w:color="auto" w:fill="A6A6A6"/>
            <w:vAlign w:val="bottom"/>
          </w:tcPr>
          <w:p w14:paraId="2CDA3234" w14:textId="77777777" w:rsidR="00AA6557" w:rsidRPr="00666914" w:rsidRDefault="00AA6557">
            <w:pPr>
              <w:spacing w:after="0"/>
              <w:rPr>
                <w:color w:val="FF0000"/>
                <w:sz w:val="20"/>
                <w:szCs w:val="20"/>
              </w:rPr>
            </w:pPr>
          </w:p>
        </w:tc>
        <w:tc>
          <w:tcPr>
            <w:tcW w:w="708" w:type="dxa"/>
            <w:shd w:val="clear" w:color="auto" w:fill="A6A6A6"/>
            <w:vAlign w:val="bottom"/>
          </w:tcPr>
          <w:p w14:paraId="49C4B9D3" w14:textId="77777777" w:rsidR="00AA6557" w:rsidRPr="00666914" w:rsidRDefault="00AA6557">
            <w:pPr>
              <w:spacing w:after="0"/>
              <w:rPr>
                <w:color w:val="FF0000"/>
                <w:sz w:val="20"/>
                <w:szCs w:val="20"/>
              </w:rPr>
            </w:pPr>
          </w:p>
        </w:tc>
        <w:tc>
          <w:tcPr>
            <w:tcW w:w="710" w:type="dxa"/>
            <w:shd w:val="clear" w:color="auto" w:fill="A6A6A6"/>
            <w:vAlign w:val="bottom"/>
          </w:tcPr>
          <w:p w14:paraId="1B19B1B1" w14:textId="77777777" w:rsidR="00AA6557" w:rsidRPr="00666914" w:rsidRDefault="00AA6557">
            <w:pPr>
              <w:spacing w:after="0"/>
              <w:jc w:val="center"/>
              <w:rPr>
                <w:color w:val="FF0000"/>
                <w:sz w:val="20"/>
                <w:szCs w:val="20"/>
              </w:rPr>
            </w:pPr>
          </w:p>
        </w:tc>
      </w:tr>
      <w:tr w:rsidR="00AA6557" w:rsidRPr="00666914" w14:paraId="5D4D2A54" w14:textId="77777777" w:rsidTr="006515CD">
        <w:trPr>
          <w:trHeight w:val="315"/>
        </w:trPr>
        <w:tc>
          <w:tcPr>
            <w:tcW w:w="710" w:type="dxa"/>
            <w:shd w:val="clear" w:color="auto" w:fill="auto"/>
            <w:vAlign w:val="center"/>
          </w:tcPr>
          <w:p w14:paraId="187CF4AF" w14:textId="77777777" w:rsidR="00AA6557" w:rsidRPr="00666914" w:rsidRDefault="00AA6557">
            <w:pPr>
              <w:spacing w:after="0"/>
              <w:jc w:val="left"/>
              <w:rPr>
                <w:color w:val="000000"/>
                <w:sz w:val="18"/>
                <w:szCs w:val="18"/>
              </w:rPr>
            </w:pPr>
            <w:r w:rsidRPr="00666914">
              <w:rPr>
                <w:color w:val="000000"/>
                <w:sz w:val="18"/>
                <w:szCs w:val="18"/>
              </w:rPr>
              <w:t>14.2</w:t>
            </w:r>
          </w:p>
        </w:tc>
        <w:tc>
          <w:tcPr>
            <w:tcW w:w="1984" w:type="dxa"/>
            <w:shd w:val="clear" w:color="auto" w:fill="auto"/>
            <w:vAlign w:val="center"/>
          </w:tcPr>
          <w:p w14:paraId="0CC39A6B" w14:textId="77777777" w:rsidR="00AA6557" w:rsidRPr="00666914" w:rsidRDefault="00AA6557">
            <w:pPr>
              <w:spacing w:after="0"/>
              <w:jc w:val="left"/>
              <w:rPr>
                <w:color w:val="000000"/>
                <w:sz w:val="18"/>
                <w:szCs w:val="18"/>
              </w:rPr>
            </w:pPr>
            <w:r w:rsidRPr="00666914">
              <w:rPr>
                <w:color w:val="000000"/>
                <w:sz w:val="18"/>
                <w:szCs w:val="18"/>
              </w:rPr>
              <w:t>Zlepšenie kvality a dostupnosti dát</w:t>
            </w:r>
          </w:p>
        </w:tc>
        <w:tc>
          <w:tcPr>
            <w:tcW w:w="2126" w:type="dxa"/>
            <w:shd w:val="clear" w:color="auto" w:fill="auto"/>
            <w:vAlign w:val="center"/>
          </w:tcPr>
          <w:p w14:paraId="4707C13B" w14:textId="77777777" w:rsidR="00AA6557" w:rsidRPr="00666914" w:rsidRDefault="00AA6557">
            <w:pPr>
              <w:spacing w:after="0"/>
              <w:jc w:val="left"/>
              <w:rPr>
                <w:color w:val="000000"/>
                <w:sz w:val="18"/>
                <w:szCs w:val="18"/>
              </w:rPr>
            </w:pPr>
            <w:r w:rsidRPr="00666914">
              <w:rPr>
                <w:color w:val="000000"/>
                <w:sz w:val="18"/>
                <w:szCs w:val="18"/>
              </w:rPr>
              <w:t>Aplikovať v IL MPRV SR jednotné členenie ukazovateľov RV a ŽV pre konvenčné a ekologické poľnohospodárstvo</w:t>
            </w:r>
          </w:p>
        </w:tc>
        <w:tc>
          <w:tcPr>
            <w:tcW w:w="1418" w:type="dxa"/>
            <w:shd w:val="clear" w:color="auto" w:fill="auto"/>
            <w:vAlign w:val="center"/>
          </w:tcPr>
          <w:p w14:paraId="0F8CBD6B" w14:textId="77777777" w:rsidR="00AA6557" w:rsidRPr="00666914" w:rsidRDefault="00AA6557">
            <w:pPr>
              <w:spacing w:after="0"/>
              <w:jc w:val="center"/>
              <w:rPr>
                <w:color w:val="000000"/>
                <w:sz w:val="20"/>
                <w:szCs w:val="20"/>
              </w:rPr>
            </w:pPr>
            <w:r w:rsidRPr="00666914">
              <w:rPr>
                <w:color w:val="000000"/>
                <w:sz w:val="18"/>
                <w:szCs w:val="18"/>
              </w:rPr>
              <w:t>MPRV – Radela</w:t>
            </w:r>
          </w:p>
        </w:tc>
        <w:tc>
          <w:tcPr>
            <w:tcW w:w="992" w:type="dxa"/>
            <w:shd w:val="clear" w:color="auto" w:fill="auto"/>
            <w:vAlign w:val="center"/>
          </w:tcPr>
          <w:p w14:paraId="254B6234" w14:textId="77777777" w:rsidR="00AA6557" w:rsidRPr="00666914" w:rsidRDefault="00AA6557">
            <w:pPr>
              <w:spacing w:after="0"/>
              <w:jc w:val="center"/>
              <w:rPr>
                <w:color w:val="000000"/>
                <w:sz w:val="20"/>
                <w:szCs w:val="20"/>
              </w:rPr>
            </w:pPr>
            <w:r w:rsidRPr="00666914">
              <w:rPr>
                <w:color w:val="000000"/>
                <w:sz w:val="18"/>
                <w:szCs w:val="18"/>
              </w:rPr>
              <w:t>1.1.2020</w:t>
            </w:r>
          </w:p>
        </w:tc>
        <w:tc>
          <w:tcPr>
            <w:tcW w:w="709" w:type="dxa"/>
            <w:shd w:val="clear" w:color="auto" w:fill="A6A6A6"/>
            <w:vAlign w:val="bottom"/>
          </w:tcPr>
          <w:p w14:paraId="58031E6F" w14:textId="77777777" w:rsidR="00AA6557" w:rsidRPr="00666914" w:rsidRDefault="00AA6557">
            <w:pPr>
              <w:spacing w:after="0"/>
              <w:rPr>
                <w:color w:val="000000"/>
                <w:sz w:val="20"/>
                <w:szCs w:val="20"/>
              </w:rPr>
            </w:pPr>
          </w:p>
        </w:tc>
        <w:tc>
          <w:tcPr>
            <w:tcW w:w="709" w:type="dxa"/>
            <w:shd w:val="clear" w:color="auto" w:fill="A6A6A6"/>
            <w:vAlign w:val="bottom"/>
          </w:tcPr>
          <w:p w14:paraId="0AB37559" w14:textId="77777777" w:rsidR="00AA6557" w:rsidRPr="00666914" w:rsidRDefault="00AA6557">
            <w:pPr>
              <w:spacing w:after="0"/>
              <w:rPr>
                <w:color w:val="FF0000"/>
                <w:sz w:val="20"/>
                <w:szCs w:val="20"/>
              </w:rPr>
            </w:pPr>
          </w:p>
        </w:tc>
        <w:tc>
          <w:tcPr>
            <w:tcW w:w="708" w:type="dxa"/>
            <w:shd w:val="clear" w:color="auto" w:fill="A6A6A6"/>
            <w:vAlign w:val="bottom"/>
          </w:tcPr>
          <w:p w14:paraId="21A995D3" w14:textId="77777777" w:rsidR="00AA6557" w:rsidRPr="00666914" w:rsidRDefault="00AA6557">
            <w:pPr>
              <w:spacing w:after="0"/>
              <w:rPr>
                <w:color w:val="FF0000"/>
                <w:sz w:val="20"/>
                <w:szCs w:val="20"/>
              </w:rPr>
            </w:pPr>
          </w:p>
        </w:tc>
        <w:tc>
          <w:tcPr>
            <w:tcW w:w="710" w:type="dxa"/>
            <w:shd w:val="clear" w:color="auto" w:fill="92D050"/>
            <w:vAlign w:val="center"/>
          </w:tcPr>
          <w:p w14:paraId="01E585DD" w14:textId="77777777" w:rsidR="00AA6557" w:rsidRPr="00666914" w:rsidRDefault="00AA6557">
            <w:pPr>
              <w:spacing w:after="0"/>
              <w:jc w:val="center"/>
              <w:rPr>
                <w:color w:val="FF0000"/>
                <w:sz w:val="20"/>
                <w:szCs w:val="20"/>
              </w:rPr>
            </w:pPr>
          </w:p>
        </w:tc>
      </w:tr>
      <w:tr w:rsidR="00AA6557" w:rsidRPr="00666914" w14:paraId="50A60E97" w14:textId="77777777" w:rsidTr="006515CD">
        <w:trPr>
          <w:trHeight w:val="315"/>
        </w:trPr>
        <w:tc>
          <w:tcPr>
            <w:tcW w:w="710" w:type="dxa"/>
            <w:shd w:val="clear" w:color="auto" w:fill="auto"/>
            <w:vAlign w:val="center"/>
          </w:tcPr>
          <w:p w14:paraId="745DB773" w14:textId="77777777" w:rsidR="00AA6557" w:rsidRPr="00666914" w:rsidRDefault="00AA6557">
            <w:pPr>
              <w:spacing w:after="0"/>
              <w:jc w:val="left"/>
              <w:rPr>
                <w:color w:val="000000"/>
                <w:sz w:val="18"/>
                <w:szCs w:val="18"/>
              </w:rPr>
            </w:pPr>
            <w:r w:rsidRPr="00666914">
              <w:rPr>
                <w:color w:val="000000"/>
                <w:sz w:val="18"/>
                <w:szCs w:val="18"/>
              </w:rPr>
              <w:t>14.3</w:t>
            </w:r>
          </w:p>
        </w:tc>
        <w:tc>
          <w:tcPr>
            <w:tcW w:w="1984" w:type="dxa"/>
            <w:shd w:val="clear" w:color="auto" w:fill="auto"/>
            <w:vAlign w:val="center"/>
          </w:tcPr>
          <w:p w14:paraId="4A53ACF0" w14:textId="77777777" w:rsidR="00AA6557" w:rsidRPr="00666914" w:rsidRDefault="00AA6557">
            <w:pPr>
              <w:spacing w:after="0"/>
              <w:jc w:val="left"/>
              <w:rPr>
                <w:color w:val="000000"/>
                <w:sz w:val="18"/>
                <w:szCs w:val="18"/>
              </w:rPr>
            </w:pPr>
            <w:r w:rsidRPr="00666914">
              <w:rPr>
                <w:color w:val="000000"/>
                <w:sz w:val="18"/>
                <w:szCs w:val="18"/>
              </w:rPr>
              <w:t>Zlepšenie kvality a dostupnosti dát</w:t>
            </w:r>
          </w:p>
        </w:tc>
        <w:tc>
          <w:tcPr>
            <w:tcW w:w="2126" w:type="dxa"/>
            <w:shd w:val="clear" w:color="auto" w:fill="auto"/>
            <w:vAlign w:val="center"/>
          </w:tcPr>
          <w:p w14:paraId="071E5E44" w14:textId="77777777" w:rsidR="00AA6557" w:rsidRPr="00666914" w:rsidRDefault="00AA6557">
            <w:pPr>
              <w:spacing w:after="0"/>
              <w:jc w:val="left"/>
              <w:rPr>
                <w:color w:val="000000"/>
                <w:sz w:val="18"/>
                <w:szCs w:val="18"/>
              </w:rPr>
            </w:pPr>
            <w:r w:rsidRPr="00666914">
              <w:rPr>
                <w:color w:val="000000"/>
                <w:sz w:val="18"/>
                <w:szCs w:val="18"/>
              </w:rPr>
              <w:t>Doplniť do IL MPRV SR ukazovatele produkcie komodít rastlinnej a živočíšnej výroby vyjadrené v EUR</w:t>
            </w:r>
          </w:p>
        </w:tc>
        <w:tc>
          <w:tcPr>
            <w:tcW w:w="1418" w:type="dxa"/>
            <w:shd w:val="clear" w:color="auto" w:fill="auto"/>
            <w:vAlign w:val="center"/>
          </w:tcPr>
          <w:p w14:paraId="3312F979" w14:textId="77777777" w:rsidR="00AA6557" w:rsidRPr="00666914" w:rsidRDefault="00AA6557">
            <w:pPr>
              <w:spacing w:after="0"/>
              <w:jc w:val="center"/>
              <w:rPr>
                <w:color w:val="000000"/>
                <w:sz w:val="20"/>
                <w:szCs w:val="20"/>
              </w:rPr>
            </w:pPr>
            <w:r w:rsidRPr="00666914">
              <w:rPr>
                <w:color w:val="000000"/>
                <w:sz w:val="18"/>
                <w:szCs w:val="18"/>
              </w:rPr>
              <w:t>MPRV – Radela</w:t>
            </w:r>
          </w:p>
        </w:tc>
        <w:tc>
          <w:tcPr>
            <w:tcW w:w="992" w:type="dxa"/>
            <w:shd w:val="clear" w:color="auto" w:fill="auto"/>
            <w:vAlign w:val="center"/>
          </w:tcPr>
          <w:p w14:paraId="79F95538" w14:textId="77777777" w:rsidR="00AA6557" w:rsidRPr="00666914" w:rsidRDefault="00AA6557">
            <w:pPr>
              <w:spacing w:after="0"/>
              <w:jc w:val="center"/>
              <w:rPr>
                <w:color w:val="000000"/>
                <w:sz w:val="20"/>
                <w:szCs w:val="20"/>
              </w:rPr>
            </w:pPr>
            <w:r w:rsidRPr="00666914">
              <w:rPr>
                <w:color w:val="000000"/>
                <w:sz w:val="18"/>
                <w:szCs w:val="18"/>
              </w:rPr>
              <w:t>1.1.2020</w:t>
            </w:r>
          </w:p>
        </w:tc>
        <w:tc>
          <w:tcPr>
            <w:tcW w:w="709" w:type="dxa"/>
            <w:shd w:val="clear" w:color="auto" w:fill="A6A6A6"/>
            <w:vAlign w:val="bottom"/>
          </w:tcPr>
          <w:p w14:paraId="6D47435F" w14:textId="77777777" w:rsidR="00AA6557" w:rsidRPr="00666914" w:rsidRDefault="00AA6557">
            <w:pPr>
              <w:spacing w:after="0"/>
              <w:rPr>
                <w:color w:val="000000"/>
                <w:sz w:val="20"/>
                <w:szCs w:val="20"/>
              </w:rPr>
            </w:pPr>
          </w:p>
        </w:tc>
        <w:tc>
          <w:tcPr>
            <w:tcW w:w="709" w:type="dxa"/>
            <w:shd w:val="clear" w:color="auto" w:fill="A6A6A6"/>
            <w:vAlign w:val="bottom"/>
          </w:tcPr>
          <w:p w14:paraId="61F0816E" w14:textId="77777777" w:rsidR="00AA6557" w:rsidRPr="00666914" w:rsidRDefault="00AA6557">
            <w:pPr>
              <w:spacing w:after="0"/>
              <w:rPr>
                <w:color w:val="FF0000"/>
                <w:sz w:val="20"/>
                <w:szCs w:val="20"/>
              </w:rPr>
            </w:pPr>
          </w:p>
        </w:tc>
        <w:tc>
          <w:tcPr>
            <w:tcW w:w="708" w:type="dxa"/>
            <w:shd w:val="clear" w:color="auto" w:fill="A6A6A6"/>
            <w:vAlign w:val="bottom"/>
          </w:tcPr>
          <w:p w14:paraId="62A244C8" w14:textId="77777777" w:rsidR="00AA6557" w:rsidRPr="00666914" w:rsidRDefault="00AA6557">
            <w:pPr>
              <w:spacing w:after="0"/>
              <w:rPr>
                <w:color w:val="FF0000"/>
                <w:sz w:val="20"/>
                <w:szCs w:val="20"/>
              </w:rPr>
            </w:pPr>
          </w:p>
        </w:tc>
        <w:tc>
          <w:tcPr>
            <w:tcW w:w="710" w:type="dxa"/>
            <w:shd w:val="clear" w:color="auto" w:fill="92D050"/>
            <w:vAlign w:val="center"/>
          </w:tcPr>
          <w:p w14:paraId="0635951C" w14:textId="77777777" w:rsidR="00AA6557" w:rsidRPr="00666914" w:rsidRDefault="00AA6557">
            <w:pPr>
              <w:spacing w:after="0"/>
              <w:jc w:val="center"/>
              <w:rPr>
                <w:color w:val="FF0000"/>
                <w:sz w:val="20"/>
                <w:szCs w:val="20"/>
              </w:rPr>
            </w:pPr>
          </w:p>
        </w:tc>
      </w:tr>
      <w:tr w:rsidR="00AA6557" w:rsidRPr="00666914" w14:paraId="60DE7192" w14:textId="77777777" w:rsidTr="006515CD">
        <w:trPr>
          <w:trHeight w:val="315"/>
        </w:trPr>
        <w:tc>
          <w:tcPr>
            <w:tcW w:w="710" w:type="dxa"/>
            <w:shd w:val="clear" w:color="auto" w:fill="auto"/>
            <w:vAlign w:val="center"/>
          </w:tcPr>
          <w:p w14:paraId="0D8A9245" w14:textId="77777777" w:rsidR="00AA6557" w:rsidRPr="00666914" w:rsidRDefault="00AA6557">
            <w:pPr>
              <w:spacing w:after="0"/>
              <w:jc w:val="left"/>
              <w:rPr>
                <w:color w:val="000000"/>
                <w:sz w:val="18"/>
                <w:szCs w:val="18"/>
              </w:rPr>
            </w:pPr>
            <w:r w:rsidRPr="00666914">
              <w:rPr>
                <w:color w:val="000000"/>
                <w:sz w:val="18"/>
                <w:szCs w:val="18"/>
              </w:rPr>
              <w:t>14.4</w:t>
            </w:r>
          </w:p>
        </w:tc>
        <w:tc>
          <w:tcPr>
            <w:tcW w:w="1984" w:type="dxa"/>
            <w:shd w:val="clear" w:color="auto" w:fill="auto"/>
            <w:vAlign w:val="center"/>
          </w:tcPr>
          <w:p w14:paraId="181A2B9F" w14:textId="77777777" w:rsidR="00AA6557" w:rsidRPr="00666914" w:rsidRDefault="00AA6557">
            <w:pPr>
              <w:spacing w:after="0"/>
              <w:jc w:val="left"/>
              <w:rPr>
                <w:color w:val="000000"/>
                <w:sz w:val="18"/>
                <w:szCs w:val="18"/>
              </w:rPr>
            </w:pPr>
            <w:r w:rsidRPr="00666914">
              <w:rPr>
                <w:color w:val="000000"/>
                <w:sz w:val="18"/>
                <w:szCs w:val="18"/>
              </w:rPr>
              <w:t>Zlepšenie kvality a dostupnosti dát</w:t>
            </w:r>
          </w:p>
        </w:tc>
        <w:tc>
          <w:tcPr>
            <w:tcW w:w="2126" w:type="dxa"/>
            <w:shd w:val="clear" w:color="auto" w:fill="auto"/>
            <w:vAlign w:val="center"/>
          </w:tcPr>
          <w:p w14:paraId="3F084256" w14:textId="77777777" w:rsidR="00AA6557" w:rsidRPr="00666914" w:rsidRDefault="00AA6557">
            <w:pPr>
              <w:spacing w:after="0"/>
              <w:jc w:val="left"/>
              <w:rPr>
                <w:color w:val="000000"/>
                <w:sz w:val="18"/>
                <w:szCs w:val="18"/>
              </w:rPr>
            </w:pPr>
            <w:r w:rsidRPr="00666914">
              <w:rPr>
                <w:color w:val="000000"/>
                <w:sz w:val="18"/>
                <w:szCs w:val="18"/>
              </w:rPr>
              <w:t>Zvýšiť reprezentatívnosť výberového súboru IL MPRV SR vzhľadom na veľkosť fariem podľa obhospodarovanej plochy</w:t>
            </w:r>
          </w:p>
        </w:tc>
        <w:tc>
          <w:tcPr>
            <w:tcW w:w="1418" w:type="dxa"/>
            <w:shd w:val="clear" w:color="auto" w:fill="auto"/>
            <w:vAlign w:val="center"/>
          </w:tcPr>
          <w:p w14:paraId="3AE5B356" w14:textId="77777777" w:rsidR="00AA6557" w:rsidRPr="00666914" w:rsidRDefault="00AA6557">
            <w:pPr>
              <w:spacing w:after="0"/>
              <w:jc w:val="center"/>
              <w:rPr>
                <w:color w:val="000000"/>
                <w:sz w:val="20"/>
                <w:szCs w:val="20"/>
              </w:rPr>
            </w:pPr>
            <w:r w:rsidRPr="00666914">
              <w:rPr>
                <w:color w:val="000000"/>
                <w:sz w:val="18"/>
                <w:szCs w:val="18"/>
              </w:rPr>
              <w:t>MPRV – Radela</w:t>
            </w:r>
          </w:p>
        </w:tc>
        <w:tc>
          <w:tcPr>
            <w:tcW w:w="992" w:type="dxa"/>
            <w:shd w:val="clear" w:color="auto" w:fill="auto"/>
            <w:vAlign w:val="center"/>
          </w:tcPr>
          <w:p w14:paraId="191DB8C5" w14:textId="77777777" w:rsidR="00AA6557" w:rsidRPr="00666914" w:rsidRDefault="00AA6557">
            <w:pPr>
              <w:spacing w:after="0"/>
              <w:jc w:val="center"/>
              <w:rPr>
                <w:color w:val="000000"/>
                <w:sz w:val="20"/>
                <w:szCs w:val="20"/>
              </w:rPr>
            </w:pPr>
            <w:r w:rsidRPr="00666914">
              <w:rPr>
                <w:color w:val="000000"/>
                <w:sz w:val="18"/>
                <w:szCs w:val="18"/>
              </w:rPr>
              <w:t>1.1.2020</w:t>
            </w:r>
          </w:p>
        </w:tc>
        <w:tc>
          <w:tcPr>
            <w:tcW w:w="709" w:type="dxa"/>
            <w:shd w:val="clear" w:color="auto" w:fill="A6A6A6"/>
            <w:vAlign w:val="bottom"/>
          </w:tcPr>
          <w:p w14:paraId="24461ED5" w14:textId="77777777" w:rsidR="00AA6557" w:rsidRPr="00666914" w:rsidRDefault="00AA6557">
            <w:pPr>
              <w:spacing w:after="0"/>
              <w:rPr>
                <w:color w:val="000000"/>
                <w:sz w:val="20"/>
                <w:szCs w:val="20"/>
              </w:rPr>
            </w:pPr>
          </w:p>
        </w:tc>
        <w:tc>
          <w:tcPr>
            <w:tcW w:w="709" w:type="dxa"/>
            <w:shd w:val="clear" w:color="auto" w:fill="A6A6A6"/>
            <w:vAlign w:val="bottom"/>
          </w:tcPr>
          <w:p w14:paraId="31198CE0" w14:textId="77777777" w:rsidR="00AA6557" w:rsidRPr="00666914" w:rsidRDefault="00AA6557">
            <w:pPr>
              <w:spacing w:after="0"/>
              <w:rPr>
                <w:color w:val="FF0000"/>
                <w:sz w:val="20"/>
                <w:szCs w:val="20"/>
              </w:rPr>
            </w:pPr>
          </w:p>
        </w:tc>
        <w:tc>
          <w:tcPr>
            <w:tcW w:w="708" w:type="dxa"/>
            <w:shd w:val="clear" w:color="auto" w:fill="A6A6A6"/>
            <w:vAlign w:val="bottom"/>
          </w:tcPr>
          <w:p w14:paraId="3C3E2965" w14:textId="77777777" w:rsidR="00AA6557" w:rsidRPr="00666914" w:rsidRDefault="00AA6557">
            <w:pPr>
              <w:spacing w:after="0"/>
              <w:rPr>
                <w:color w:val="FF0000"/>
                <w:sz w:val="20"/>
                <w:szCs w:val="20"/>
              </w:rPr>
            </w:pPr>
          </w:p>
        </w:tc>
        <w:tc>
          <w:tcPr>
            <w:tcW w:w="710" w:type="dxa"/>
            <w:shd w:val="clear" w:color="auto" w:fill="FF0000"/>
            <w:vAlign w:val="center"/>
          </w:tcPr>
          <w:p w14:paraId="37C6CE20" w14:textId="77777777" w:rsidR="00AA6557" w:rsidRPr="00666914" w:rsidRDefault="00AA6557">
            <w:pPr>
              <w:spacing w:after="0"/>
              <w:jc w:val="center"/>
              <w:rPr>
                <w:color w:val="FF0000"/>
                <w:sz w:val="20"/>
                <w:szCs w:val="20"/>
              </w:rPr>
            </w:pPr>
          </w:p>
        </w:tc>
      </w:tr>
      <w:tr w:rsidR="00AA6557" w:rsidRPr="00666914" w14:paraId="7043FED5" w14:textId="77777777" w:rsidTr="006515CD">
        <w:trPr>
          <w:trHeight w:val="315"/>
        </w:trPr>
        <w:tc>
          <w:tcPr>
            <w:tcW w:w="710" w:type="dxa"/>
            <w:shd w:val="clear" w:color="auto" w:fill="auto"/>
            <w:vAlign w:val="center"/>
          </w:tcPr>
          <w:p w14:paraId="50B7E6F9" w14:textId="77777777" w:rsidR="00AA6557" w:rsidRPr="00666914" w:rsidRDefault="00AA6557">
            <w:pPr>
              <w:spacing w:after="0"/>
              <w:jc w:val="left"/>
              <w:rPr>
                <w:color w:val="000000"/>
                <w:sz w:val="18"/>
                <w:szCs w:val="18"/>
              </w:rPr>
            </w:pPr>
            <w:r w:rsidRPr="00666914">
              <w:rPr>
                <w:color w:val="000000"/>
                <w:sz w:val="18"/>
                <w:szCs w:val="18"/>
              </w:rPr>
              <w:t>14.5</w:t>
            </w:r>
          </w:p>
        </w:tc>
        <w:tc>
          <w:tcPr>
            <w:tcW w:w="1984" w:type="dxa"/>
            <w:shd w:val="clear" w:color="auto" w:fill="auto"/>
            <w:vAlign w:val="center"/>
          </w:tcPr>
          <w:p w14:paraId="3A24BEBE" w14:textId="77777777" w:rsidR="00AA6557" w:rsidRPr="00666914" w:rsidRDefault="00AA6557">
            <w:pPr>
              <w:spacing w:after="0"/>
              <w:jc w:val="left"/>
              <w:rPr>
                <w:color w:val="000000"/>
                <w:sz w:val="18"/>
                <w:szCs w:val="18"/>
              </w:rPr>
            </w:pPr>
            <w:r w:rsidRPr="00666914">
              <w:rPr>
                <w:color w:val="000000"/>
                <w:sz w:val="18"/>
                <w:szCs w:val="18"/>
              </w:rPr>
              <w:t>Zlepšenie kvality a dostupnosti dát</w:t>
            </w:r>
          </w:p>
        </w:tc>
        <w:tc>
          <w:tcPr>
            <w:tcW w:w="2126" w:type="dxa"/>
            <w:shd w:val="clear" w:color="auto" w:fill="auto"/>
            <w:vAlign w:val="center"/>
          </w:tcPr>
          <w:p w14:paraId="2EB64229" w14:textId="77777777" w:rsidR="00AA6557" w:rsidRPr="00666914" w:rsidRDefault="00AA6557">
            <w:pPr>
              <w:spacing w:after="0"/>
              <w:jc w:val="left"/>
              <w:rPr>
                <w:color w:val="000000"/>
                <w:sz w:val="18"/>
                <w:szCs w:val="18"/>
              </w:rPr>
            </w:pPr>
            <w:r w:rsidRPr="00666914">
              <w:rPr>
                <w:color w:val="000000"/>
                <w:sz w:val="18"/>
                <w:szCs w:val="18"/>
              </w:rPr>
              <w:t>ATIS – funkčný systém dát o prehľade spracovateľských a výrobných cenách</w:t>
            </w:r>
          </w:p>
        </w:tc>
        <w:tc>
          <w:tcPr>
            <w:tcW w:w="1418" w:type="dxa"/>
            <w:shd w:val="clear" w:color="auto" w:fill="auto"/>
            <w:vAlign w:val="center"/>
          </w:tcPr>
          <w:p w14:paraId="2114EF25" w14:textId="77777777" w:rsidR="00AA6557" w:rsidRPr="00666914" w:rsidRDefault="00AA6557">
            <w:pPr>
              <w:spacing w:after="0"/>
              <w:jc w:val="center"/>
              <w:rPr>
                <w:color w:val="000000"/>
                <w:sz w:val="20"/>
                <w:szCs w:val="20"/>
              </w:rPr>
            </w:pPr>
            <w:r w:rsidRPr="00666914">
              <w:rPr>
                <w:color w:val="000000"/>
                <w:sz w:val="18"/>
                <w:szCs w:val="18"/>
              </w:rPr>
              <w:t>PPA</w:t>
            </w:r>
          </w:p>
        </w:tc>
        <w:tc>
          <w:tcPr>
            <w:tcW w:w="992" w:type="dxa"/>
            <w:shd w:val="clear" w:color="auto" w:fill="auto"/>
            <w:vAlign w:val="center"/>
          </w:tcPr>
          <w:p w14:paraId="3B272686" w14:textId="77777777" w:rsidR="00AA6557" w:rsidRPr="00666914" w:rsidRDefault="00AA6557">
            <w:pPr>
              <w:spacing w:after="0"/>
              <w:jc w:val="center"/>
              <w:rPr>
                <w:color w:val="000000"/>
                <w:sz w:val="20"/>
                <w:szCs w:val="20"/>
              </w:rPr>
            </w:pPr>
            <w:r w:rsidRPr="00666914">
              <w:rPr>
                <w:color w:val="000000"/>
                <w:sz w:val="18"/>
                <w:szCs w:val="18"/>
              </w:rPr>
              <w:t>1.1.2020</w:t>
            </w:r>
          </w:p>
        </w:tc>
        <w:tc>
          <w:tcPr>
            <w:tcW w:w="709" w:type="dxa"/>
            <w:shd w:val="clear" w:color="auto" w:fill="A6A6A6"/>
            <w:vAlign w:val="bottom"/>
          </w:tcPr>
          <w:p w14:paraId="67FDB27A" w14:textId="77777777" w:rsidR="00AA6557" w:rsidRPr="00666914" w:rsidRDefault="00AA6557">
            <w:pPr>
              <w:spacing w:after="0"/>
              <w:rPr>
                <w:color w:val="000000"/>
                <w:sz w:val="20"/>
                <w:szCs w:val="20"/>
              </w:rPr>
            </w:pPr>
          </w:p>
        </w:tc>
        <w:tc>
          <w:tcPr>
            <w:tcW w:w="709" w:type="dxa"/>
            <w:shd w:val="clear" w:color="auto" w:fill="A6A6A6"/>
            <w:vAlign w:val="bottom"/>
          </w:tcPr>
          <w:p w14:paraId="0AB4DD52" w14:textId="77777777" w:rsidR="00AA6557" w:rsidRPr="00666914" w:rsidRDefault="00AA6557">
            <w:pPr>
              <w:spacing w:after="0"/>
              <w:rPr>
                <w:color w:val="FF0000"/>
                <w:sz w:val="20"/>
                <w:szCs w:val="20"/>
              </w:rPr>
            </w:pPr>
          </w:p>
        </w:tc>
        <w:tc>
          <w:tcPr>
            <w:tcW w:w="708" w:type="dxa"/>
            <w:shd w:val="clear" w:color="auto" w:fill="A6A6A6"/>
            <w:vAlign w:val="bottom"/>
          </w:tcPr>
          <w:p w14:paraId="579B54F3" w14:textId="77777777" w:rsidR="00AA6557" w:rsidRPr="00666914" w:rsidRDefault="00AA6557">
            <w:pPr>
              <w:spacing w:after="0"/>
              <w:rPr>
                <w:color w:val="FF0000"/>
                <w:sz w:val="20"/>
                <w:szCs w:val="20"/>
              </w:rPr>
            </w:pPr>
          </w:p>
        </w:tc>
        <w:tc>
          <w:tcPr>
            <w:tcW w:w="710" w:type="dxa"/>
            <w:shd w:val="clear" w:color="auto" w:fill="92D050"/>
            <w:vAlign w:val="center"/>
          </w:tcPr>
          <w:p w14:paraId="7D16D706" w14:textId="77777777" w:rsidR="00AA6557" w:rsidRPr="00666914" w:rsidRDefault="00AA6557">
            <w:pPr>
              <w:spacing w:after="0"/>
              <w:jc w:val="center"/>
              <w:rPr>
                <w:color w:val="FF0000"/>
                <w:sz w:val="20"/>
                <w:szCs w:val="20"/>
              </w:rPr>
            </w:pPr>
          </w:p>
        </w:tc>
      </w:tr>
      <w:tr w:rsidR="00AA6557" w:rsidRPr="00666914" w14:paraId="23932F2D" w14:textId="77777777" w:rsidTr="006515CD">
        <w:trPr>
          <w:trHeight w:val="315"/>
        </w:trPr>
        <w:tc>
          <w:tcPr>
            <w:tcW w:w="710" w:type="dxa"/>
            <w:shd w:val="clear" w:color="auto" w:fill="auto"/>
            <w:vAlign w:val="center"/>
          </w:tcPr>
          <w:p w14:paraId="7B9422BE" w14:textId="77777777" w:rsidR="00AA6557" w:rsidRPr="00666914" w:rsidRDefault="00AA6557">
            <w:pPr>
              <w:spacing w:after="0"/>
              <w:jc w:val="left"/>
              <w:rPr>
                <w:color w:val="000000"/>
                <w:sz w:val="18"/>
                <w:szCs w:val="18"/>
              </w:rPr>
            </w:pPr>
            <w:r w:rsidRPr="00666914">
              <w:rPr>
                <w:color w:val="000000"/>
                <w:sz w:val="18"/>
                <w:szCs w:val="18"/>
              </w:rPr>
              <w:t>14.6</w:t>
            </w:r>
          </w:p>
        </w:tc>
        <w:tc>
          <w:tcPr>
            <w:tcW w:w="1984" w:type="dxa"/>
            <w:shd w:val="clear" w:color="auto" w:fill="auto"/>
            <w:vAlign w:val="center"/>
          </w:tcPr>
          <w:p w14:paraId="7D05CC7B" w14:textId="77777777" w:rsidR="00AA6557" w:rsidRPr="00666914" w:rsidRDefault="00AA6557">
            <w:pPr>
              <w:spacing w:after="0"/>
              <w:jc w:val="left"/>
              <w:rPr>
                <w:color w:val="000000"/>
                <w:sz w:val="18"/>
                <w:szCs w:val="18"/>
              </w:rPr>
            </w:pPr>
            <w:r w:rsidRPr="00666914">
              <w:rPr>
                <w:color w:val="000000"/>
                <w:sz w:val="18"/>
                <w:szCs w:val="18"/>
              </w:rPr>
              <w:t>Zlepšenie kvality a dostupnosti dát</w:t>
            </w:r>
          </w:p>
        </w:tc>
        <w:tc>
          <w:tcPr>
            <w:tcW w:w="2126" w:type="dxa"/>
            <w:shd w:val="clear" w:color="auto" w:fill="auto"/>
            <w:vAlign w:val="center"/>
          </w:tcPr>
          <w:p w14:paraId="62827574" w14:textId="77777777" w:rsidR="00AA6557" w:rsidRPr="00666914" w:rsidRDefault="00AA6557">
            <w:pPr>
              <w:spacing w:after="0"/>
              <w:jc w:val="left"/>
              <w:rPr>
                <w:color w:val="000000"/>
                <w:sz w:val="18"/>
                <w:szCs w:val="18"/>
              </w:rPr>
            </w:pPr>
            <w:r w:rsidRPr="00666914">
              <w:rPr>
                <w:color w:val="000000"/>
                <w:sz w:val="18"/>
                <w:szCs w:val="18"/>
              </w:rPr>
              <w:t>VÚPOP – zverejňovať všetky dostupné dáta týkajúce sa kvality pôdy s možnosťou ich stiahnutia v podobe vhodnej na ďalšie spracovanie (prioritne: erózia, BPEJ, chránená pôda)</w:t>
            </w:r>
          </w:p>
        </w:tc>
        <w:tc>
          <w:tcPr>
            <w:tcW w:w="1418" w:type="dxa"/>
            <w:shd w:val="clear" w:color="auto" w:fill="auto"/>
            <w:vAlign w:val="center"/>
          </w:tcPr>
          <w:p w14:paraId="41E0DD33" w14:textId="77777777" w:rsidR="00AA6557" w:rsidRPr="00666914" w:rsidRDefault="00AA6557">
            <w:pPr>
              <w:spacing w:after="0"/>
              <w:jc w:val="center"/>
              <w:rPr>
                <w:color w:val="000000"/>
                <w:sz w:val="20"/>
                <w:szCs w:val="20"/>
              </w:rPr>
            </w:pPr>
            <w:r w:rsidRPr="00666914">
              <w:rPr>
                <w:color w:val="000000"/>
                <w:sz w:val="18"/>
                <w:szCs w:val="18"/>
              </w:rPr>
              <w:t>NPPC – VÚPOP</w:t>
            </w:r>
          </w:p>
        </w:tc>
        <w:tc>
          <w:tcPr>
            <w:tcW w:w="992" w:type="dxa"/>
            <w:shd w:val="clear" w:color="auto" w:fill="auto"/>
            <w:vAlign w:val="center"/>
          </w:tcPr>
          <w:p w14:paraId="6A92C33E" w14:textId="77777777" w:rsidR="00AA6557" w:rsidRPr="00666914" w:rsidRDefault="00AA6557">
            <w:pPr>
              <w:spacing w:after="0"/>
              <w:jc w:val="center"/>
              <w:rPr>
                <w:color w:val="000000"/>
                <w:sz w:val="20"/>
                <w:szCs w:val="20"/>
              </w:rPr>
            </w:pPr>
            <w:r w:rsidRPr="00666914">
              <w:rPr>
                <w:color w:val="000000"/>
                <w:sz w:val="18"/>
                <w:szCs w:val="18"/>
              </w:rPr>
              <w:t>1.1.2020</w:t>
            </w:r>
          </w:p>
        </w:tc>
        <w:tc>
          <w:tcPr>
            <w:tcW w:w="709" w:type="dxa"/>
            <w:shd w:val="clear" w:color="auto" w:fill="A6A6A6"/>
            <w:vAlign w:val="bottom"/>
          </w:tcPr>
          <w:p w14:paraId="1B5919F0" w14:textId="77777777" w:rsidR="00AA6557" w:rsidRPr="00666914" w:rsidRDefault="00AA6557">
            <w:pPr>
              <w:spacing w:after="0"/>
              <w:rPr>
                <w:color w:val="000000"/>
                <w:sz w:val="20"/>
                <w:szCs w:val="20"/>
              </w:rPr>
            </w:pPr>
          </w:p>
        </w:tc>
        <w:tc>
          <w:tcPr>
            <w:tcW w:w="709" w:type="dxa"/>
            <w:shd w:val="clear" w:color="auto" w:fill="A6A6A6"/>
            <w:vAlign w:val="bottom"/>
          </w:tcPr>
          <w:p w14:paraId="4444BBB1" w14:textId="77777777" w:rsidR="00AA6557" w:rsidRPr="00666914" w:rsidRDefault="00AA6557">
            <w:pPr>
              <w:spacing w:after="0"/>
              <w:rPr>
                <w:color w:val="FF0000"/>
                <w:sz w:val="20"/>
                <w:szCs w:val="20"/>
              </w:rPr>
            </w:pPr>
          </w:p>
        </w:tc>
        <w:tc>
          <w:tcPr>
            <w:tcW w:w="708" w:type="dxa"/>
            <w:shd w:val="clear" w:color="auto" w:fill="A6A6A6"/>
            <w:vAlign w:val="bottom"/>
          </w:tcPr>
          <w:p w14:paraId="1BE15549" w14:textId="77777777" w:rsidR="00AA6557" w:rsidRPr="00666914" w:rsidRDefault="00AA6557">
            <w:pPr>
              <w:spacing w:after="0"/>
              <w:rPr>
                <w:color w:val="FF0000"/>
                <w:sz w:val="20"/>
                <w:szCs w:val="20"/>
              </w:rPr>
            </w:pPr>
          </w:p>
        </w:tc>
        <w:tc>
          <w:tcPr>
            <w:tcW w:w="710" w:type="dxa"/>
            <w:shd w:val="clear" w:color="auto" w:fill="FF0000"/>
            <w:vAlign w:val="center"/>
          </w:tcPr>
          <w:p w14:paraId="2E919F26" w14:textId="77777777" w:rsidR="00AA6557" w:rsidRPr="00666914" w:rsidRDefault="00AA6557">
            <w:pPr>
              <w:spacing w:after="0"/>
              <w:rPr>
                <w:color w:val="FF0000"/>
                <w:sz w:val="20"/>
                <w:szCs w:val="20"/>
              </w:rPr>
            </w:pPr>
          </w:p>
        </w:tc>
      </w:tr>
      <w:tr w:rsidR="00AA6557" w:rsidRPr="00666914" w14:paraId="6921531E" w14:textId="77777777" w:rsidTr="006515CD">
        <w:trPr>
          <w:trHeight w:val="315"/>
        </w:trPr>
        <w:tc>
          <w:tcPr>
            <w:tcW w:w="710" w:type="dxa"/>
            <w:shd w:val="clear" w:color="auto" w:fill="auto"/>
            <w:vAlign w:val="center"/>
          </w:tcPr>
          <w:p w14:paraId="608597EE" w14:textId="77777777" w:rsidR="00AA6557" w:rsidRPr="00666914" w:rsidRDefault="00AA6557">
            <w:pPr>
              <w:spacing w:after="0"/>
              <w:jc w:val="left"/>
              <w:rPr>
                <w:color w:val="000000"/>
                <w:sz w:val="18"/>
                <w:szCs w:val="18"/>
              </w:rPr>
            </w:pPr>
            <w:r w:rsidRPr="00666914">
              <w:rPr>
                <w:color w:val="000000"/>
                <w:sz w:val="18"/>
                <w:szCs w:val="18"/>
              </w:rPr>
              <w:t>14.7</w:t>
            </w:r>
          </w:p>
        </w:tc>
        <w:tc>
          <w:tcPr>
            <w:tcW w:w="1984" w:type="dxa"/>
            <w:shd w:val="clear" w:color="auto" w:fill="auto"/>
            <w:vAlign w:val="center"/>
          </w:tcPr>
          <w:p w14:paraId="0022635A" w14:textId="77777777" w:rsidR="00AA6557" w:rsidRPr="00666914" w:rsidRDefault="00AA6557">
            <w:pPr>
              <w:spacing w:after="0"/>
              <w:jc w:val="left"/>
              <w:rPr>
                <w:color w:val="000000"/>
                <w:sz w:val="18"/>
                <w:szCs w:val="18"/>
              </w:rPr>
            </w:pPr>
            <w:r w:rsidRPr="00666914">
              <w:rPr>
                <w:color w:val="000000"/>
                <w:sz w:val="18"/>
                <w:szCs w:val="18"/>
              </w:rPr>
              <w:t>Zlepšenie kvality a dostupnosti dát</w:t>
            </w:r>
          </w:p>
        </w:tc>
        <w:tc>
          <w:tcPr>
            <w:tcW w:w="2126" w:type="dxa"/>
            <w:shd w:val="clear" w:color="auto" w:fill="auto"/>
            <w:vAlign w:val="center"/>
          </w:tcPr>
          <w:p w14:paraId="424A17A9" w14:textId="77777777" w:rsidR="00AA6557" w:rsidRPr="00666914" w:rsidRDefault="00AA6557">
            <w:pPr>
              <w:spacing w:after="0"/>
              <w:jc w:val="left"/>
              <w:rPr>
                <w:color w:val="000000"/>
                <w:sz w:val="18"/>
                <w:szCs w:val="18"/>
              </w:rPr>
            </w:pPr>
            <w:r w:rsidRPr="00666914">
              <w:rPr>
                <w:color w:val="000000"/>
                <w:sz w:val="18"/>
                <w:szCs w:val="18"/>
              </w:rPr>
              <w:t>ÚGKK – zverejňovať dáta týkajúce sa vlastníckej štruktúry a využitia pôdy v jednotlivých katastrálnych územiach</w:t>
            </w:r>
          </w:p>
        </w:tc>
        <w:tc>
          <w:tcPr>
            <w:tcW w:w="1418" w:type="dxa"/>
            <w:shd w:val="clear" w:color="auto" w:fill="auto"/>
            <w:vAlign w:val="center"/>
          </w:tcPr>
          <w:p w14:paraId="2F7A8F6E" w14:textId="77777777" w:rsidR="00AA6557" w:rsidRPr="00666914" w:rsidRDefault="00AA6557">
            <w:pPr>
              <w:spacing w:after="0"/>
              <w:jc w:val="center"/>
              <w:rPr>
                <w:color w:val="000000"/>
                <w:sz w:val="20"/>
                <w:szCs w:val="20"/>
              </w:rPr>
            </w:pPr>
            <w:r w:rsidRPr="00666914">
              <w:rPr>
                <w:color w:val="000000"/>
                <w:sz w:val="18"/>
                <w:szCs w:val="18"/>
              </w:rPr>
              <w:t>ÚGKK</w:t>
            </w:r>
          </w:p>
        </w:tc>
        <w:tc>
          <w:tcPr>
            <w:tcW w:w="992" w:type="dxa"/>
            <w:shd w:val="clear" w:color="auto" w:fill="auto"/>
            <w:vAlign w:val="center"/>
          </w:tcPr>
          <w:p w14:paraId="0BDD3971" w14:textId="77777777" w:rsidR="00AA6557" w:rsidRPr="00666914" w:rsidRDefault="00AA6557">
            <w:pPr>
              <w:spacing w:after="0"/>
              <w:jc w:val="center"/>
              <w:rPr>
                <w:color w:val="000000"/>
                <w:sz w:val="20"/>
                <w:szCs w:val="20"/>
              </w:rPr>
            </w:pPr>
            <w:r w:rsidRPr="00666914">
              <w:rPr>
                <w:color w:val="000000"/>
                <w:sz w:val="18"/>
                <w:szCs w:val="18"/>
              </w:rPr>
              <w:t>1.3.2020</w:t>
            </w:r>
          </w:p>
        </w:tc>
        <w:tc>
          <w:tcPr>
            <w:tcW w:w="709" w:type="dxa"/>
            <w:shd w:val="clear" w:color="auto" w:fill="A6A6A6"/>
            <w:vAlign w:val="bottom"/>
          </w:tcPr>
          <w:p w14:paraId="40F16CA8" w14:textId="77777777" w:rsidR="00AA6557" w:rsidRPr="00666914" w:rsidRDefault="00AA6557">
            <w:pPr>
              <w:spacing w:after="0"/>
              <w:rPr>
                <w:color w:val="000000"/>
                <w:sz w:val="20"/>
                <w:szCs w:val="20"/>
              </w:rPr>
            </w:pPr>
          </w:p>
        </w:tc>
        <w:tc>
          <w:tcPr>
            <w:tcW w:w="709" w:type="dxa"/>
            <w:shd w:val="clear" w:color="auto" w:fill="A6A6A6"/>
            <w:vAlign w:val="bottom"/>
          </w:tcPr>
          <w:p w14:paraId="08E24340" w14:textId="77777777" w:rsidR="00AA6557" w:rsidRPr="00666914" w:rsidRDefault="00AA6557">
            <w:pPr>
              <w:spacing w:after="0"/>
              <w:rPr>
                <w:color w:val="FF0000"/>
                <w:sz w:val="20"/>
                <w:szCs w:val="20"/>
              </w:rPr>
            </w:pPr>
          </w:p>
        </w:tc>
        <w:tc>
          <w:tcPr>
            <w:tcW w:w="708" w:type="dxa"/>
            <w:shd w:val="clear" w:color="auto" w:fill="A6A6A6"/>
            <w:vAlign w:val="bottom"/>
          </w:tcPr>
          <w:p w14:paraId="6B3A9609" w14:textId="77777777" w:rsidR="00AA6557" w:rsidRPr="00666914" w:rsidRDefault="00AA6557">
            <w:pPr>
              <w:spacing w:after="0"/>
              <w:rPr>
                <w:color w:val="FF0000"/>
                <w:sz w:val="20"/>
                <w:szCs w:val="20"/>
              </w:rPr>
            </w:pPr>
          </w:p>
        </w:tc>
        <w:tc>
          <w:tcPr>
            <w:tcW w:w="710" w:type="dxa"/>
            <w:shd w:val="clear" w:color="auto" w:fill="A6A6A6"/>
            <w:vAlign w:val="bottom"/>
          </w:tcPr>
          <w:p w14:paraId="419AC26B" w14:textId="77777777" w:rsidR="00AA6557" w:rsidRPr="00666914" w:rsidRDefault="00AA6557">
            <w:pPr>
              <w:spacing w:after="0"/>
              <w:jc w:val="center"/>
              <w:rPr>
                <w:color w:val="FF0000"/>
                <w:sz w:val="20"/>
                <w:szCs w:val="20"/>
              </w:rPr>
            </w:pPr>
          </w:p>
        </w:tc>
      </w:tr>
      <w:tr w:rsidR="00AA6557" w:rsidRPr="00666914" w14:paraId="2126B31F" w14:textId="77777777" w:rsidTr="006515CD">
        <w:trPr>
          <w:trHeight w:val="315"/>
        </w:trPr>
        <w:tc>
          <w:tcPr>
            <w:tcW w:w="710" w:type="dxa"/>
            <w:shd w:val="clear" w:color="auto" w:fill="auto"/>
            <w:vAlign w:val="center"/>
          </w:tcPr>
          <w:p w14:paraId="3E7E9458" w14:textId="77777777" w:rsidR="00AA6557" w:rsidRPr="00666914" w:rsidRDefault="00AA6557">
            <w:pPr>
              <w:spacing w:after="0"/>
              <w:jc w:val="left"/>
              <w:rPr>
                <w:color w:val="000000"/>
                <w:sz w:val="18"/>
                <w:szCs w:val="18"/>
              </w:rPr>
            </w:pPr>
            <w:r w:rsidRPr="00666914">
              <w:rPr>
                <w:color w:val="000000"/>
                <w:sz w:val="18"/>
                <w:szCs w:val="18"/>
              </w:rPr>
              <w:t>14.8</w:t>
            </w:r>
          </w:p>
        </w:tc>
        <w:tc>
          <w:tcPr>
            <w:tcW w:w="1984" w:type="dxa"/>
            <w:shd w:val="clear" w:color="auto" w:fill="auto"/>
            <w:vAlign w:val="center"/>
          </w:tcPr>
          <w:p w14:paraId="190DC3C5" w14:textId="77777777" w:rsidR="00AA6557" w:rsidRPr="00666914" w:rsidRDefault="00AA6557">
            <w:pPr>
              <w:spacing w:after="0"/>
              <w:jc w:val="left"/>
              <w:rPr>
                <w:color w:val="000000"/>
                <w:sz w:val="18"/>
                <w:szCs w:val="18"/>
              </w:rPr>
            </w:pPr>
            <w:r w:rsidRPr="00666914">
              <w:rPr>
                <w:color w:val="000000"/>
                <w:sz w:val="18"/>
                <w:szCs w:val="18"/>
              </w:rPr>
              <w:t>Zlepšenie kvality a dostupnosti dát</w:t>
            </w:r>
          </w:p>
        </w:tc>
        <w:tc>
          <w:tcPr>
            <w:tcW w:w="2126" w:type="dxa"/>
            <w:shd w:val="clear" w:color="auto" w:fill="auto"/>
            <w:vAlign w:val="center"/>
          </w:tcPr>
          <w:p w14:paraId="401C2133" w14:textId="77777777" w:rsidR="00AA6557" w:rsidRPr="00666914" w:rsidRDefault="00AA6557">
            <w:pPr>
              <w:spacing w:after="0"/>
              <w:jc w:val="left"/>
              <w:rPr>
                <w:color w:val="000000"/>
                <w:sz w:val="18"/>
                <w:szCs w:val="18"/>
              </w:rPr>
            </w:pPr>
            <w:r w:rsidRPr="00666914">
              <w:rPr>
                <w:color w:val="000000"/>
                <w:sz w:val="18"/>
                <w:szCs w:val="18"/>
              </w:rPr>
              <w:t>SPF – zverejňovať dáta týkajúce sa vlastníckej štruktúry a využitia pôdy v jednotlivých katastrálnych územiach</w:t>
            </w:r>
          </w:p>
        </w:tc>
        <w:tc>
          <w:tcPr>
            <w:tcW w:w="1418" w:type="dxa"/>
            <w:shd w:val="clear" w:color="auto" w:fill="auto"/>
            <w:vAlign w:val="center"/>
          </w:tcPr>
          <w:p w14:paraId="12328A0E" w14:textId="77777777" w:rsidR="00AA6557" w:rsidRPr="00666914" w:rsidRDefault="00AA6557">
            <w:pPr>
              <w:spacing w:after="0"/>
              <w:jc w:val="center"/>
              <w:rPr>
                <w:color w:val="000000"/>
                <w:sz w:val="20"/>
                <w:szCs w:val="20"/>
              </w:rPr>
            </w:pPr>
            <w:r w:rsidRPr="00666914">
              <w:rPr>
                <w:color w:val="000000"/>
                <w:sz w:val="18"/>
                <w:szCs w:val="18"/>
              </w:rPr>
              <w:t>SPF</w:t>
            </w:r>
          </w:p>
        </w:tc>
        <w:tc>
          <w:tcPr>
            <w:tcW w:w="992" w:type="dxa"/>
            <w:shd w:val="clear" w:color="auto" w:fill="auto"/>
            <w:vAlign w:val="center"/>
          </w:tcPr>
          <w:p w14:paraId="37E6FD79" w14:textId="77777777" w:rsidR="00AA6557" w:rsidRPr="00666914" w:rsidRDefault="00AA6557">
            <w:pPr>
              <w:spacing w:after="0"/>
              <w:jc w:val="center"/>
              <w:rPr>
                <w:color w:val="000000"/>
                <w:sz w:val="20"/>
                <w:szCs w:val="20"/>
              </w:rPr>
            </w:pPr>
            <w:r w:rsidRPr="00666914">
              <w:rPr>
                <w:color w:val="000000"/>
                <w:sz w:val="18"/>
                <w:szCs w:val="18"/>
              </w:rPr>
              <w:t>1.1.2021</w:t>
            </w:r>
          </w:p>
        </w:tc>
        <w:tc>
          <w:tcPr>
            <w:tcW w:w="709" w:type="dxa"/>
            <w:shd w:val="clear" w:color="auto" w:fill="A6A6A6"/>
            <w:vAlign w:val="bottom"/>
          </w:tcPr>
          <w:p w14:paraId="3396E240" w14:textId="77777777" w:rsidR="00AA6557" w:rsidRPr="00666914" w:rsidRDefault="00AA6557">
            <w:pPr>
              <w:spacing w:after="0"/>
              <w:rPr>
                <w:color w:val="000000"/>
                <w:sz w:val="20"/>
                <w:szCs w:val="20"/>
              </w:rPr>
            </w:pPr>
          </w:p>
        </w:tc>
        <w:tc>
          <w:tcPr>
            <w:tcW w:w="709" w:type="dxa"/>
            <w:shd w:val="clear" w:color="auto" w:fill="A6A6A6"/>
            <w:vAlign w:val="bottom"/>
          </w:tcPr>
          <w:p w14:paraId="3E727C2E" w14:textId="77777777" w:rsidR="00AA6557" w:rsidRPr="00666914" w:rsidRDefault="00AA6557">
            <w:pPr>
              <w:spacing w:after="0"/>
              <w:rPr>
                <w:color w:val="FF0000"/>
                <w:sz w:val="20"/>
                <w:szCs w:val="20"/>
              </w:rPr>
            </w:pPr>
          </w:p>
          <w:p w14:paraId="4912BCC3" w14:textId="77777777" w:rsidR="00AA6557" w:rsidRPr="00666914" w:rsidRDefault="00AA6557">
            <w:pPr>
              <w:spacing w:after="0"/>
              <w:rPr>
                <w:color w:val="FF0000"/>
                <w:sz w:val="20"/>
                <w:szCs w:val="20"/>
              </w:rPr>
            </w:pPr>
          </w:p>
        </w:tc>
        <w:tc>
          <w:tcPr>
            <w:tcW w:w="708" w:type="dxa"/>
            <w:shd w:val="clear" w:color="auto" w:fill="A6A6A6"/>
            <w:vAlign w:val="bottom"/>
          </w:tcPr>
          <w:p w14:paraId="6EE06CB0" w14:textId="77777777" w:rsidR="00AA6557" w:rsidRPr="00666914" w:rsidRDefault="00AA6557">
            <w:pPr>
              <w:spacing w:after="0"/>
              <w:rPr>
                <w:color w:val="FF0000"/>
                <w:sz w:val="20"/>
                <w:szCs w:val="20"/>
              </w:rPr>
            </w:pPr>
          </w:p>
        </w:tc>
        <w:tc>
          <w:tcPr>
            <w:tcW w:w="710" w:type="dxa"/>
            <w:shd w:val="clear" w:color="auto" w:fill="A6A6A6"/>
            <w:vAlign w:val="bottom"/>
          </w:tcPr>
          <w:p w14:paraId="32B692B3" w14:textId="77777777" w:rsidR="00AA6557" w:rsidRPr="00666914" w:rsidRDefault="00AA6557">
            <w:pPr>
              <w:spacing w:after="0"/>
              <w:rPr>
                <w:color w:val="FF0000"/>
                <w:sz w:val="20"/>
                <w:szCs w:val="20"/>
              </w:rPr>
            </w:pPr>
          </w:p>
        </w:tc>
      </w:tr>
      <w:tr w:rsidR="00AA6557" w:rsidRPr="00666914" w14:paraId="3AF6ECDB" w14:textId="77777777" w:rsidTr="006515CD">
        <w:trPr>
          <w:trHeight w:val="315"/>
        </w:trPr>
        <w:tc>
          <w:tcPr>
            <w:tcW w:w="710" w:type="dxa"/>
            <w:shd w:val="clear" w:color="auto" w:fill="auto"/>
            <w:vAlign w:val="center"/>
          </w:tcPr>
          <w:p w14:paraId="64B27AC9" w14:textId="77777777" w:rsidR="00AA6557" w:rsidRPr="00666914" w:rsidRDefault="00AA6557">
            <w:pPr>
              <w:spacing w:after="0"/>
              <w:jc w:val="left"/>
              <w:rPr>
                <w:color w:val="000000"/>
                <w:sz w:val="18"/>
                <w:szCs w:val="18"/>
              </w:rPr>
            </w:pPr>
            <w:r w:rsidRPr="00666914">
              <w:rPr>
                <w:color w:val="000000"/>
                <w:sz w:val="18"/>
                <w:szCs w:val="18"/>
              </w:rPr>
              <w:t>14.9</w:t>
            </w:r>
          </w:p>
        </w:tc>
        <w:tc>
          <w:tcPr>
            <w:tcW w:w="1984" w:type="dxa"/>
            <w:shd w:val="clear" w:color="auto" w:fill="auto"/>
            <w:vAlign w:val="center"/>
          </w:tcPr>
          <w:p w14:paraId="2E1D58A6" w14:textId="77777777" w:rsidR="00AA6557" w:rsidRPr="00666914" w:rsidRDefault="00AA6557">
            <w:pPr>
              <w:spacing w:after="0"/>
              <w:jc w:val="left"/>
              <w:rPr>
                <w:color w:val="000000"/>
                <w:sz w:val="18"/>
                <w:szCs w:val="18"/>
              </w:rPr>
            </w:pPr>
            <w:r w:rsidRPr="00666914">
              <w:rPr>
                <w:color w:val="000000"/>
                <w:sz w:val="18"/>
                <w:szCs w:val="18"/>
              </w:rPr>
              <w:t>Zlepšenie kvality a dostupnosti dát</w:t>
            </w:r>
          </w:p>
        </w:tc>
        <w:tc>
          <w:tcPr>
            <w:tcW w:w="2126" w:type="dxa"/>
            <w:shd w:val="clear" w:color="auto" w:fill="auto"/>
            <w:vAlign w:val="center"/>
          </w:tcPr>
          <w:p w14:paraId="36DE93CC" w14:textId="77777777" w:rsidR="00AA6557" w:rsidRPr="00666914" w:rsidRDefault="00AA6557">
            <w:pPr>
              <w:spacing w:after="0"/>
              <w:jc w:val="left"/>
              <w:rPr>
                <w:color w:val="000000"/>
                <w:sz w:val="18"/>
                <w:szCs w:val="18"/>
              </w:rPr>
            </w:pPr>
            <w:r w:rsidRPr="00666914">
              <w:rPr>
                <w:color w:val="000000"/>
                <w:sz w:val="18"/>
                <w:szCs w:val="18"/>
              </w:rPr>
              <w:t>Vykazovať štatistiky týkajúce sa pôdy prenajímanej mladým poľnohospodárom a podnikom venujúcim sa produkcii komodít s vysokou pridanou hodnotou</w:t>
            </w:r>
          </w:p>
        </w:tc>
        <w:tc>
          <w:tcPr>
            <w:tcW w:w="1418" w:type="dxa"/>
            <w:shd w:val="clear" w:color="auto" w:fill="auto"/>
            <w:vAlign w:val="center"/>
          </w:tcPr>
          <w:p w14:paraId="13D8DB7E" w14:textId="77777777" w:rsidR="00AA6557" w:rsidRPr="00666914" w:rsidRDefault="00AA6557">
            <w:pPr>
              <w:spacing w:after="0"/>
              <w:jc w:val="center"/>
              <w:rPr>
                <w:color w:val="000000"/>
                <w:sz w:val="20"/>
                <w:szCs w:val="20"/>
              </w:rPr>
            </w:pPr>
            <w:r w:rsidRPr="00666914">
              <w:rPr>
                <w:color w:val="000000"/>
                <w:sz w:val="18"/>
                <w:szCs w:val="18"/>
              </w:rPr>
              <w:t>SPF</w:t>
            </w:r>
          </w:p>
        </w:tc>
        <w:tc>
          <w:tcPr>
            <w:tcW w:w="992" w:type="dxa"/>
            <w:shd w:val="clear" w:color="auto" w:fill="auto"/>
            <w:vAlign w:val="center"/>
          </w:tcPr>
          <w:p w14:paraId="01693736" w14:textId="77777777" w:rsidR="00AA6557" w:rsidRPr="00666914" w:rsidRDefault="00AA6557">
            <w:pPr>
              <w:spacing w:after="0"/>
              <w:jc w:val="center"/>
              <w:rPr>
                <w:color w:val="000000"/>
                <w:sz w:val="20"/>
                <w:szCs w:val="20"/>
              </w:rPr>
            </w:pPr>
            <w:r w:rsidRPr="00666914">
              <w:rPr>
                <w:color w:val="000000"/>
                <w:sz w:val="18"/>
                <w:szCs w:val="18"/>
              </w:rPr>
              <w:t>1.1.2020</w:t>
            </w:r>
          </w:p>
        </w:tc>
        <w:tc>
          <w:tcPr>
            <w:tcW w:w="709" w:type="dxa"/>
            <w:shd w:val="clear" w:color="auto" w:fill="A6A6A6"/>
            <w:vAlign w:val="bottom"/>
          </w:tcPr>
          <w:p w14:paraId="3C77BC34" w14:textId="77777777" w:rsidR="00AA6557" w:rsidRPr="00666914" w:rsidRDefault="00AA6557">
            <w:pPr>
              <w:spacing w:after="0"/>
              <w:rPr>
                <w:color w:val="000000"/>
                <w:sz w:val="20"/>
                <w:szCs w:val="20"/>
              </w:rPr>
            </w:pPr>
          </w:p>
        </w:tc>
        <w:tc>
          <w:tcPr>
            <w:tcW w:w="709" w:type="dxa"/>
            <w:shd w:val="clear" w:color="auto" w:fill="A6A6A6"/>
            <w:vAlign w:val="bottom"/>
          </w:tcPr>
          <w:p w14:paraId="587BE976" w14:textId="77777777" w:rsidR="00AA6557" w:rsidRPr="00666914" w:rsidRDefault="00AA6557">
            <w:pPr>
              <w:spacing w:after="0"/>
              <w:rPr>
                <w:color w:val="FF0000"/>
                <w:sz w:val="20"/>
                <w:szCs w:val="20"/>
              </w:rPr>
            </w:pPr>
          </w:p>
        </w:tc>
        <w:tc>
          <w:tcPr>
            <w:tcW w:w="708" w:type="dxa"/>
            <w:shd w:val="clear" w:color="auto" w:fill="A6A6A6"/>
            <w:vAlign w:val="bottom"/>
          </w:tcPr>
          <w:p w14:paraId="24B83F9E" w14:textId="77777777" w:rsidR="00AA6557" w:rsidRPr="00666914" w:rsidRDefault="00AA6557">
            <w:pPr>
              <w:spacing w:after="0"/>
              <w:rPr>
                <w:color w:val="FF0000"/>
                <w:sz w:val="20"/>
                <w:szCs w:val="20"/>
              </w:rPr>
            </w:pPr>
          </w:p>
        </w:tc>
        <w:tc>
          <w:tcPr>
            <w:tcW w:w="710" w:type="dxa"/>
            <w:shd w:val="clear" w:color="auto" w:fill="FF0000"/>
            <w:vAlign w:val="center"/>
          </w:tcPr>
          <w:p w14:paraId="4B6D4B84" w14:textId="77777777" w:rsidR="00AA6557" w:rsidRPr="00666914" w:rsidRDefault="00AA6557">
            <w:pPr>
              <w:spacing w:after="0"/>
              <w:rPr>
                <w:color w:val="FF0000"/>
                <w:sz w:val="20"/>
                <w:szCs w:val="20"/>
              </w:rPr>
            </w:pPr>
          </w:p>
        </w:tc>
      </w:tr>
      <w:tr w:rsidR="00AA6557" w:rsidRPr="00666914" w14:paraId="1B2DF7A1" w14:textId="77777777" w:rsidTr="006515CD">
        <w:trPr>
          <w:trHeight w:val="315"/>
        </w:trPr>
        <w:tc>
          <w:tcPr>
            <w:tcW w:w="710" w:type="dxa"/>
            <w:shd w:val="clear" w:color="auto" w:fill="auto"/>
            <w:vAlign w:val="center"/>
          </w:tcPr>
          <w:p w14:paraId="2DE96899" w14:textId="77777777" w:rsidR="00AA6557" w:rsidRPr="00666914" w:rsidRDefault="00AA6557">
            <w:pPr>
              <w:spacing w:after="0"/>
              <w:jc w:val="left"/>
              <w:rPr>
                <w:color w:val="000000"/>
                <w:sz w:val="18"/>
                <w:szCs w:val="18"/>
              </w:rPr>
            </w:pPr>
            <w:r w:rsidRPr="00666914">
              <w:rPr>
                <w:color w:val="000000"/>
                <w:sz w:val="18"/>
                <w:szCs w:val="18"/>
              </w:rPr>
              <w:t>14.10</w:t>
            </w:r>
          </w:p>
        </w:tc>
        <w:tc>
          <w:tcPr>
            <w:tcW w:w="1984" w:type="dxa"/>
            <w:shd w:val="clear" w:color="auto" w:fill="auto"/>
            <w:vAlign w:val="center"/>
          </w:tcPr>
          <w:p w14:paraId="6E5E83A8" w14:textId="77777777" w:rsidR="00AA6557" w:rsidRPr="00666914" w:rsidRDefault="00AA6557">
            <w:pPr>
              <w:spacing w:after="0"/>
              <w:jc w:val="left"/>
              <w:rPr>
                <w:color w:val="000000"/>
                <w:sz w:val="18"/>
                <w:szCs w:val="18"/>
              </w:rPr>
            </w:pPr>
            <w:r w:rsidRPr="00666914">
              <w:rPr>
                <w:color w:val="000000"/>
                <w:sz w:val="18"/>
                <w:szCs w:val="18"/>
              </w:rPr>
              <w:t>Zlepšenie kvality a dostupnosti dát</w:t>
            </w:r>
          </w:p>
        </w:tc>
        <w:tc>
          <w:tcPr>
            <w:tcW w:w="2126" w:type="dxa"/>
            <w:shd w:val="clear" w:color="auto" w:fill="auto"/>
            <w:vAlign w:val="center"/>
          </w:tcPr>
          <w:p w14:paraId="3AEDA836" w14:textId="77777777" w:rsidR="00AA6557" w:rsidRPr="00666914" w:rsidRDefault="00AA6557">
            <w:pPr>
              <w:spacing w:after="0"/>
              <w:jc w:val="left"/>
              <w:rPr>
                <w:color w:val="000000"/>
                <w:sz w:val="18"/>
                <w:szCs w:val="18"/>
              </w:rPr>
            </w:pPr>
            <w:r w:rsidRPr="00666914">
              <w:rPr>
                <w:color w:val="000000"/>
                <w:sz w:val="18"/>
                <w:szCs w:val="18"/>
              </w:rPr>
              <w:t>MPRV – zverejňovať podrobnejšie údaje o pozemkových úpravách – ukončené aj prebiehajúc e, PJPÚ aj PPÚ, vrátane kódu k. ú., ceny a zdroja financovania</w:t>
            </w:r>
          </w:p>
        </w:tc>
        <w:tc>
          <w:tcPr>
            <w:tcW w:w="1418" w:type="dxa"/>
            <w:shd w:val="clear" w:color="auto" w:fill="auto"/>
            <w:vAlign w:val="center"/>
          </w:tcPr>
          <w:p w14:paraId="4A5AF3E9" w14:textId="77777777" w:rsidR="00AA6557" w:rsidRPr="00666914" w:rsidRDefault="00AA6557">
            <w:pPr>
              <w:spacing w:after="0"/>
              <w:jc w:val="center"/>
              <w:rPr>
                <w:color w:val="000000"/>
                <w:sz w:val="20"/>
                <w:szCs w:val="20"/>
              </w:rPr>
            </w:pPr>
            <w:r w:rsidRPr="00666914">
              <w:rPr>
                <w:color w:val="000000"/>
                <w:sz w:val="18"/>
                <w:szCs w:val="18"/>
              </w:rPr>
              <w:t>MPRV, Sekcia legislatívy, Sekcia identifikácie a kontroly poľnohospodárskych pozemkov</w:t>
            </w:r>
          </w:p>
        </w:tc>
        <w:tc>
          <w:tcPr>
            <w:tcW w:w="992" w:type="dxa"/>
            <w:shd w:val="clear" w:color="auto" w:fill="auto"/>
            <w:vAlign w:val="center"/>
          </w:tcPr>
          <w:p w14:paraId="1E4C18C0" w14:textId="77777777" w:rsidR="00AA6557" w:rsidRPr="00666914" w:rsidRDefault="00AA6557">
            <w:pPr>
              <w:spacing w:after="0"/>
              <w:jc w:val="center"/>
              <w:rPr>
                <w:color w:val="000000"/>
                <w:sz w:val="20"/>
                <w:szCs w:val="20"/>
              </w:rPr>
            </w:pPr>
            <w:r w:rsidRPr="00666914">
              <w:rPr>
                <w:color w:val="000000"/>
                <w:sz w:val="18"/>
                <w:szCs w:val="18"/>
              </w:rPr>
              <w:t>1.1.2020</w:t>
            </w:r>
          </w:p>
        </w:tc>
        <w:tc>
          <w:tcPr>
            <w:tcW w:w="709" w:type="dxa"/>
            <w:shd w:val="clear" w:color="auto" w:fill="A6A6A6"/>
            <w:vAlign w:val="bottom"/>
          </w:tcPr>
          <w:p w14:paraId="685E2ED3" w14:textId="77777777" w:rsidR="00AA6557" w:rsidRPr="00666914" w:rsidRDefault="00AA6557">
            <w:pPr>
              <w:spacing w:after="0"/>
              <w:rPr>
                <w:color w:val="000000"/>
                <w:sz w:val="20"/>
                <w:szCs w:val="20"/>
              </w:rPr>
            </w:pPr>
          </w:p>
        </w:tc>
        <w:tc>
          <w:tcPr>
            <w:tcW w:w="709" w:type="dxa"/>
            <w:shd w:val="clear" w:color="auto" w:fill="A6A6A6"/>
            <w:vAlign w:val="bottom"/>
          </w:tcPr>
          <w:p w14:paraId="003753E3" w14:textId="77777777" w:rsidR="00AA6557" w:rsidRPr="00666914" w:rsidRDefault="00AA6557">
            <w:pPr>
              <w:spacing w:after="0"/>
              <w:rPr>
                <w:color w:val="FF0000"/>
                <w:sz w:val="20"/>
                <w:szCs w:val="20"/>
              </w:rPr>
            </w:pPr>
          </w:p>
        </w:tc>
        <w:tc>
          <w:tcPr>
            <w:tcW w:w="708" w:type="dxa"/>
            <w:shd w:val="clear" w:color="auto" w:fill="A6A6A6"/>
            <w:vAlign w:val="bottom"/>
          </w:tcPr>
          <w:p w14:paraId="6599C8E9" w14:textId="77777777" w:rsidR="00AA6557" w:rsidRPr="00666914" w:rsidRDefault="00AA6557">
            <w:pPr>
              <w:spacing w:after="0"/>
              <w:rPr>
                <w:color w:val="FF0000"/>
                <w:sz w:val="20"/>
                <w:szCs w:val="20"/>
              </w:rPr>
            </w:pPr>
          </w:p>
        </w:tc>
        <w:tc>
          <w:tcPr>
            <w:tcW w:w="710" w:type="dxa"/>
            <w:shd w:val="clear" w:color="auto" w:fill="FF0000"/>
            <w:vAlign w:val="center"/>
          </w:tcPr>
          <w:p w14:paraId="57BD7B3F" w14:textId="77777777" w:rsidR="00AA6557" w:rsidRPr="00666914" w:rsidRDefault="00AA6557">
            <w:pPr>
              <w:spacing w:after="0"/>
              <w:jc w:val="center"/>
              <w:rPr>
                <w:color w:val="FF0000"/>
                <w:sz w:val="20"/>
                <w:szCs w:val="20"/>
              </w:rPr>
            </w:pPr>
          </w:p>
        </w:tc>
      </w:tr>
    </w:tbl>
    <w:p w14:paraId="4D81A9DD" w14:textId="45EFBA2A" w:rsidR="001033EE" w:rsidRPr="00666914" w:rsidRDefault="001033EE">
      <w:pPr>
        <w:jc w:val="left"/>
      </w:pPr>
    </w:p>
    <w:p w14:paraId="18C5AF9B" w14:textId="77777777" w:rsidR="001033EE" w:rsidRPr="00666914" w:rsidRDefault="001033EE">
      <w:pPr>
        <w:spacing w:after="0"/>
        <w:jc w:val="left"/>
      </w:pPr>
      <w:r w:rsidRPr="00666914">
        <w:br w:type="page"/>
      </w:r>
    </w:p>
    <w:p w14:paraId="1AFF7739" w14:textId="77777777" w:rsidR="00AA6557" w:rsidRPr="00666914" w:rsidRDefault="00AA6557" w:rsidP="001033EE">
      <w:pPr>
        <w:pStyle w:val="Nadpis2"/>
      </w:pPr>
      <w:bookmarkStart w:id="408" w:name="_Toc38447624"/>
      <w:r w:rsidRPr="00666914">
        <w:lastRenderedPageBreak/>
        <w:t>Podpora efektívneho a transparentného trhu s pôdou</w:t>
      </w:r>
      <w:bookmarkEnd w:id="408"/>
    </w:p>
    <w:tbl>
      <w:tblPr>
        <w:tblW w:w="972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
        <w:gridCol w:w="2754"/>
        <w:gridCol w:w="1814"/>
        <w:gridCol w:w="1417"/>
        <w:gridCol w:w="851"/>
        <w:gridCol w:w="581"/>
        <w:gridCol w:w="581"/>
        <w:gridCol w:w="581"/>
        <w:gridCol w:w="582"/>
      </w:tblGrid>
      <w:tr w:rsidR="00DC5C4B" w:rsidRPr="00666914" w14:paraId="5B510518" w14:textId="77777777" w:rsidTr="00332167">
        <w:trPr>
          <w:trHeight w:val="330"/>
        </w:trPr>
        <w:tc>
          <w:tcPr>
            <w:tcW w:w="565" w:type="dxa"/>
            <w:shd w:val="clear" w:color="auto" w:fill="auto"/>
            <w:vAlign w:val="center"/>
          </w:tcPr>
          <w:p w14:paraId="558D83D2" w14:textId="77777777" w:rsidR="00AA6557" w:rsidRPr="00666914" w:rsidRDefault="00AA6557">
            <w:pPr>
              <w:spacing w:after="0"/>
              <w:jc w:val="left"/>
              <w:rPr>
                <w:color w:val="000000"/>
                <w:sz w:val="20"/>
                <w:szCs w:val="20"/>
              </w:rPr>
            </w:pPr>
            <w:r w:rsidRPr="00666914">
              <w:rPr>
                <w:color w:val="000000"/>
                <w:sz w:val="20"/>
                <w:szCs w:val="20"/>
              </w:rPr>
              <w:t> </w:t>
            </w:r>
          </w:p>
        </w:tc>
        <w:tc>
          <w:tcPr>
            <w:tcW w:w="2754" w:type="dxa"/>
            <w:shd w:val="clear" w:color="auto" w:fill="auto"/>
            <w:vAlign w:val="center"/>
          </w:tcPr>
          <w:p w14:paraId="3106FF62" w14:textId="77777777" w:rsidR="00AA6557" w:rsidRPr="00666914" w:rsidRDefault="00AA6557">
            <w:pPr>
              <w:spacing w:after="0"/>
              <w:jc w:val="left"/>
              <w:rPr>
                <w:b/>
                <w:color w:val="000000"/>
                <w:sz w:val="20"/>
                <w:szCs w:val="20"/>
              </w:rPr>
            </w:pPr>
            <w:r w:rsidRPr="00666914">
              <w:rPr>
                <w:b/>
                <w:color w:val="000000"/>
                <w:sz w:val="20"/>
                <w:szCs w:val="20"/>
              </w:rPr>
              <w:t>Pôdohospodárstvo a rozvoj vidieka</w:t>
            </w:r>
          </w:p>
        </w:tc>
        <w:tc>
          <w:tcPr>
            <w:tcW w:w="1814" w:type="dxa"/>
            <w:vAlign w:val="center"/>
          </w:tcPr>
          <w:p w14:paraId="7480223F" w14:textId="77777777" w:rsidR="00AA6557" w:rsidRPr="00666914" w:rsidRDefault="00AA6557">
            <w:pPr>
              <w:spacing w:after="0"/>
              <w:jc w:val="center"/>
              <w:rPr>
                <w:b/>
                <w:color w:val="000000"/>
                <w:sz w:val="20"/>
                <w:szCs w:val="20"/>
              </w:rPr>
            </w:pPr>
            <w:r w:rsidRPr="00666914">
              <w:rPr>
                <w:b/>
                <w:color w:val="000000"/>
                <w:sz w:val="20"/>
                <w:szCs w:val="20"/>
              </w:rPr>
              <w:t>Podopatrenie</w:t>
            </w:r>
          </w:p>
        </w:tc>
        <w:tc>
          <w:tcPr>
            <w:tcW w:w="1417" w:type="dxa"/>
            <w:shd w:val="clear" w:color="auto" w:fill="auto"/>
            <w:vAlign w:val="center"/>
          </w:tcPr>
          <w:p w14:paraId="72AECE4F" w14:textId="77777777" w:rsidR="00AA6557" w:rsidRPr="00666914" w:rsidRDefault="00AA6557">
            <w:pPr>
              <w:spacing w:after="0"/>
              <w:jc w:val="center"/>
              <w:rPr>
                <w:b/>
                <w:color w:val="000000"/>
                <w:sz w:val="20"/>
                <w:szCs w:val="20"/>
              </w:rPr>
            </w:pPr>
            <w:r w:rsidRPr="00666914">
              <w:rPr>
                <w:b/>
                <w:color w:val="000000"/>
                <w:sz w:val="20"/>
                <w:szCs w:val="20"/>
              </w:rPr>
              <w:t>Zodpovednosť</w:t>
            </w:r>
          </w:p>
        </w:tc>
        <w:tc>
          <w:tcPr>
            <w:tcW w:w="851" w:type="dxa"/>
            <w:shd w:val="clear" w:color="auto" w:fill="auto"/>
            <w:vAlign w:val="center"/>
          </w:tcPr>
          <w:p w14:paraId="372D9D9E" w14:textId="77777777" w:rsidR="00AA6557" w:rsidRPr="00666914" w:rsidRDefault="00AA6557">
            <w:pPr>
              <w:spacing w:after="0"/>
              <w:jc w:val="center"/>
              <w:rPr>
                <w:b/>
                <w:color w:val="000000"/>
                <w:sz w:val="20"/>
                <w:szCs w:val="20"/>
              </w:rPr>
            </w:pPr>
            <w:r w:rsidRPr="00666914">
              <w:rPr>
                <w:b/>
                <w:color w:val="000000"/>
                <w:sz w:val="20"/>
                <w:szCs w:val="20"/>
              </w:rPr>
              <w:t>Termín plnenia</w:t>
            </w:r>
          </w:p>
        </w:tc>
        <w:tc>
          <w:tcPr>
            <w:tcW w:w="581" w:type="dxa"/>
            <w:shd w:val="clear" w:color="auto" w:fill="auto"/>
            <w:vAlign w:val="center"/>
          </w:tcPr>
          <w:p w14:paraId="6C04860B" w14:textId="77777777" w:rsidR="00AA6557" w:rsidRPr="00666914" w:rsidRDefault="00AA6557">
            <w:pPr>
              <w:spacing w:after="0"/>
              <w:jc w:val="center"/>
              <w:rPr>
                <w:b/>
                <w:color w:val="000000"/>
                <w:sz w:val="20"/>
                <w:szCs w:val="20"/>
              </w:rPr>
            </w:pPr>
            <w:r w:rsidRPr="00666914">
              <w:rPr>
                <w:b/>
                <w:color w:val="000000"/>
                <w:sz w:val="20"/>
                <w:szCs w:val="20"/>
              </w:rPr>
              <w:t>1Q 2019</w:t>
            </w:r>
          </w:p>
        </w:tc>
        <w:tc>
          <w:tcPr>
            <w:tcW w:w="581" w:type="dxa"/>
            <w:shd w:val="clear" w:color="auto" w:fill="auto"/>
            <w:vAlign w:val="center"/>
          </w:tcPr>
          <w:p w14:paraId="0497576D" w14:textId="77777777" w:rsidR="00AA6557" w:rsidRPr="00666914" w:rsidRDefault="00AA6557">
            <w:pPr>
              <w:spacing w:after="0"/>
              <w:jc w:val="center"/>
              <w:rPr>
                <w:b/>
                <w:color w:val="000000"/>
                <w:sz w:val="20"/>
                <w:szCs w:val="20"/>
              </w:rPr>
            </w:pPr>
            <w:r w:rsidRPr="00666914">
              <w:rPr>
                <w:b/>
                <w:color w:val="000000"/>
                <w:sz w:val="20"/>
                <w:szCs w:val="20"/>
              </w:rPr>
              <w:t>2Q 2019</w:t>
            </w:r>
          </w:p>
        </w:tc>
        <w:tc>
          <w:tcPr>
            <w:tcW w:w="581" w:type="dxa"/>
            <w:shd w:val="clear" w:color="auto" w:fill="auto"/>
            <w:vAlign w:val="center"/>
          </w:tcPr>
          <w:p w14:paraId="3D0194CA" w14:textId="77777777" w:rsidR="00AA6557" w:rsidRPr="00666914" w:rsidRDefault="00AA6557">
            <w:pPr>
              <w:spacing w:after="0"/>
              <w:jc w:val="center"/>
              <w:rPr>
                <w:b/>
                <w:color w:val="000000"/>
                <w:sz w:val="20"/>
                <w:szCs w:val="20"/>
              </w:rPr>
            </w:pPr>
            <w:r w:rsidRPr="00666914">
              <w:rPr>
                <w:b/>
                <w:color w:val="000000"/>
                <w:sz w:val="20"/>
                <w:szCs w:val="20"/>
              </w:rPr>
              <w:t>3Q 2019</w:t>
            </w:r>
          </w:p>
        </w:tc>
        <w:tc>
          <w:tcPr>
            <w:tcW w:w="582" w:type="dxa"/>
            <w:shd w:val="clear" w:color="auto" w:fill="auto"/>
            <w:vAlign w:val="center"/>
          </w:tcPr>
          <w:p w14:paraId="00B5D8F6" w14:textId="77777777" w:rsidR="00AA6557" w:rsidRPr="00666914" w:rsidRDefault="00AA6557">
            <w:pPr>
              <w:spacing w:after="0"/>
              <w:jc w:val="center"/>
              <w:rPr>
                <w:b/>
                <w:color w:val="000000"/>
                <w:sz w:val="20"/>
                <w:szCs w:val="20"/>
              </w:rPr>
            </w:pPr>
            <w:r w:rsidRPr="00666914">
              <w:rPr>
                <w:b/>
                <w:color w:val="000000"/>
                <w:sz w:val="20"/>
                <w:szCs w:val="20"/>
              </w:rPr>
              <w:t>4Q 2019</w:t>
            </w:r>
          </w:p>
        </w:tc>
      </w:tr>
      <w:tr w:rsidR="00DC5C4B" w:rsidRPr="00666914" w14:paraId="4C08A7EF" w14:textId="77777777" w:rsidTr="00332167">
        <w:trPr>
          <w:trHeight w:val="300"/>
        </w:trPr>
        <w:tc>
          <w:tcPr>
            <w:tcW w:w="565" w:type="dxa"/>
            <w:shd w:val="clear" w:color="auto" w:fill="auto"/>
            <w:vAlign w:val="center"/>
          </w:tcPr>
          <w:p w14:paraId="4E3D5E9C" w14:textId="77777777" w:rsidR="00AA6557" w:rsidRPr="00666914" w:rsidRDefault="00AA6557">
            <w:pPr>
              <w:spacing w:after="0"/>
              <w:jc w:val="left"/>
              <w:rPr>
                <w:color w:val="000000"/>
                <w:sz w:val="20"/>
                <w:szCs w:val="20"/>
              </w:rPr>
            </w:pPr>
            <w:r w:rsidRPr="00666914">
              <w:rPr>
                <w:color w:val="000000"/>
                <w:sz w:val="18"/>
                <w:szCs w:val="18"/>
              </w:rPr>
              <w:t>4.1.1</w:t>
            </w:r>
          </w:p>
        </w:tc>
        <w:tc>
          <w:tcPr>
            <w:tcW w:w="2754" w:type="dxa"/>
            <w:shd w:val="clear" w:color="auto" w:fill="auto"/>
            <w:vAlign w:val="center"/>
          </w:tcPr>
          <w:p w14:paraId="23635367" w14:textId="77777777" w:rsidR="00AA6557" w:rsidRPr="00666914" w:rsidRDefault="00AA6557">
            <w:pPr>
              <w:spacing w:after="0"/>
              <w:jc w:val="left"/>
              <w:rPr>
                <w:color w:val="000000"/>
                <w:sz w:val="20"/>
                <w:szCs w:val="20"/>
              </w:rPr>
            </w:pPr>
            <w:r w:rsidRPr="00666914">
              <w:rPr>
                <w:color w:val="000000"/>
                <w:sz w:val="18"/>
                <w:szCs w:val="18"/>
              </w:rPr>
              <w:t>Podpora efektívneho a transparentného trhu s pôdou – Konsolidácia trhu s pôdou</w:t>
            </w:r>
          </w:p>
        </w:tc>
        <w:tc>
          <w:tcPr>
            <w:tcW w:w="1814" w:type="dxa"/>
            <w:shd w:val="clear" w:color="auto" w:fill="auto"/>
            <w:vAlign w:val="center"/>
          </w:tcPr>
          <w:p w14:paraId="348349E5" w14:textId="77777777" w:rsidR="00AA6557" w:rsidRPr="00666914" w:rsidRDefault="00AA6557">
            <w:pPr>
              <w:spacing w:after="0"/>
              <w:jc w:val="left"/>
              <w:rPr>
                <w:color w:val="000000"/>
                <w:sz w:val="20"/>
                <w:szCs w:val="20"/>
              </w:rPr>
            </w:pPr>
            <w:r w:rsidRPr="00666914">
              <w:rPr>
                <w:color w:val="000000"/>
                <w:sz w:val="18"/>
                <w:szCs w:val="18"/>
              </w:rPr>
              <w:t>Započať všetky projekty pozemkových úprav do 30 rokov (PPÚ)</w:t>
            </w:r>
          </w:p>
        </w:tc>
        <w:tc>
          <w:tcPr>
            <w:tcW w:w="1417" w:type="dxa"/>
            <w:shd w:val="clear" w:color="auto" w:fill="auto"/>
            <w:vAlign w:val="center"/>
          </w:tcPr>
          <w:p w14:paraId="2BB6A7DD" w14:textId="77777777" w:rsidR="00AA6557" w:rsidRPr="00666914" w:rsidRDefault="00AA6557">
            <w:pPr>
              <w:spacing w:after="0"/>
              <w:jc w:val="center"/>
              <w:rPr>
                <w:color w:val="000000"/>
                <w:sz w:val="20"/>
                <w:szCs w:val="20"/>
              </w:rPr>
            </w:pPr>
            <w:r w:rsidRPr="00666914">
              <w:rPr>
                <w:color w:val="000000"/>
                <w:sz w:val="18"/>
                <w:szCs w:val="18"/>
              </w:rPr>
              <w:t>MPRV, Sekcia legislatívy</w:t>
            </w:r>
          </w:p>
        </w:tc>
        <w:tc>
          <w:tcPr>
            <w:tcW w:w="851" w:type="dxa"/>
            <w:shd w:val="clear" w:color="auto" w:fill="auto"/>
            <w:vAlign w:val="center"/>
          </w:tcPr>
          <w:p w14:paraId="1952A2AD" w14:textId="77777777" w:rsidR="00AA6557" w:rsidRPr="00666914" w:rsidRDefault="00AA6557">
            <w:pPr>
              <w:spacing w:after="0"/>
              <w:jc w:val="center"/>
              <w:rPr>
                <w:color w:val="000000"/>
                <w:sz w:val="20"/>
                <w:szCs w:val="20"/>
              </w:rPr>
            </w:pPr>
            <w:r w:rsidRPr="00666914">
              <w:rPr>
                <w:color w:val="000000"/>
                <w:sz w:val="18"/>
                <w:szCs w:val="18"/>
              </w:rPr>
              <w:t>2020-2049</w:t>
            </w:r>
          </w:p>
        </w:tc>
        <w:tc>
          <w:tcPr>
            <w:tcW w:w="581" w:type="dxa"/>
            <w:shd w:val="clear" w:color="auto" w:fill="A6A6A6"/>
            <w:vAlign w:val="bottom"/>
          </w:tcPr>
          <w:p w14:paraId="12379513" w14:textId="77777777" w:rsidR="00AA6557" w:rsidRPr="00666914" w:rsidRDefault="00AA6557">
            <w:pPr>
              <w:spacing w:after="0"/>
              <w:rPr>
                <w:color w:val="000000"/>
                <w:sz w:val="20"/>
                <w:szCs w:val="20"/>
              </w:rPr>
            </w:pPr>
          </w:p>
        </w:tc>
        <w:tc>
          <w:tcPr>
            <w:tcW w:w="581" w:type="dxa"/>
            <w:shd w:val="clear" w:color="auto" w:fill="A6A6A6"/>
            <w:vAlign w:val="bottom"/>
          </w:tcPr>
          <w:p w14:paraId="795EC5A7" w14:textId="77777777" w:rsidR="00AA6557" w:rsidRPr="00666914" w:rsidRDefault="00AA6557">
            <w:pPr>
              <w:spacing w:after="0"/>
              <w:rPr>
                <w:color w:val="000000"/>
                <w:sz w:val="20"/>
                <w:szCs w:val="20"/>
              </w:rPr>
            </w:pPr>
          </w:p>
        </w:tc>
        <w:tc>
          <w:tcPr>
            <w:tcW w:w="581" w:type="dxa"/>
            <w:shd w:val="clear" w:color="auto" w:fill="A6A6A6"/>
            <w:vAlign w:val="bottom"/>
          </w:tcPr>
          <w:p w14:paraId="43D18A02" w14:textId="77777777" w:rsidR="00AA6557" w:rsidRPr="00666914" w:rsidRDefault="00AA6557">
            <w:pPr>
              <w:spacing w:after="0"/>
              <w:rPr>
                <w:color w:val="000000"/>
                <w:sz w:val="20"/>
                <w:szCs w:val="20"/>
              </w:rPr>
            </w:pPr>
          </w:p>
        </w:tc>
        <w:tc>
          <w:tcPr>
            <w:tcW w:w="582" w:type="dxa"/>
            <w:shd w:val="clear" w:color="auto" w:fill="FF0000"/>
            <w:vAlign w:val="center"/>
          </w:tcPr>
          <w:p w14:paraId="58A84FC2" w14:textId="77777777" w:rsidR="00AA6557" w:rsidRPr="00666914" w:rsidRDefault="00AA6557">
            <w:pPr>
              <w:spacing w:after="0"/>
              <w:jc w:val="center"/>
              <w:rPr>
                <w:color w:val="000000"/>
                <w:sz w:val="20"/>
                <w:szCs w:val="20"/>
              </w:rPr>
            </w:pPr>
          </w:p>
        </w:tc>
      </w:tr>
      <w:tr w:rsidR="00DC5C4B" w:rsidRPr="00666914" w14:paraId="6204AB47" w14:textId="77777777" w:rsidTr="00332167">
        <w:trPr>
          <w:trHeight w:val="300"/>
        </w:trPr>
        <w:tc>
          <w:tcPr>
            <w:tcW w:w="565" w:type="dxa"/>
            <w:shd w:val="clear" w:color="auto" w:fill="auto"/>
            <w:vAlign w:val="center"/>
          </w:tcPr>
          <w:p w14:paraId="031F493B" w14:textId="77777777" w:rsidR="00AA6557" w:rsidRPr="00666914" w:rsidRDefault="00AA6557">
            <w:pPr>
              <w:spacing w:after="0"/>
              <w:jc w:val="left"/>
              <w:rPr>
                <w:color w:val="000000"/>
                <w:sz w:val="20"/>
                <w:szCs w:val="20"/>
              </w:rPr>
            </w:pPr>
            <w:r w:rsidRPr="00666914">
              <w:rPr>
                <w:color w:val="000000"/>
                <w:sz w:val="18"/>
                <w:szCs w:val="18"/>
              </w:rPr>
              <w:t>4.2.2</w:t>
            </w:r>
          </w:p>
        </w:tc>
        <w:tc>
          <w:tcPr>
            <w:tcW w:w="2754" w:type="dxa"/>
            <w:shd w:val="clear" w:color="auto" w:fill="auto"/>
            <w:vAlign w:val="center"/>
          </w:tcPr>
          <w:p w14:paraId="624901E5" w14:textId="77777777" w:rsidR="00AA6557" w:rsidRPr="00666914" w:rsidRDefault="00AA6557">
            <w:pPr>
              <w:spacing w:after="0"/>
              <w:jc w:val="left"/>
              <w:rPr>
                <w:color w:val="000000"/>
                <w:sz w:val="20"/>
                <w:szCs w:val="20"/>
              </w:rPr>
            </w:pPr>
            <w:r w:rsidRPr="00666914">
              <w:rPr>
                <w:color w:val="000000"/>
                <w:sz w:val="18"/>
                <w:szCs w:val="18"/>
              </w:rPr>
              <w:t>Podpora efektívneho a transparentného trhu s pôdou – Právna úprava trhu s pôdou</w:t>
            </w:r>
          </w:p>
        </w:tc>
        <w:tc>
          <w:tcPr>
            <w:tcW w:w="1814" w:type="dxa"/>
            <w:shd w:val="clear" w:color="auto" w:fill="auto"/>
            <w:vAlign w:val="center"/>
          </w:tcPr>
          <w:p w14:paraId="25DAA781" w14:textId="77777777" w:rsidR="00AA6557" w:rsidRPr="00666914" w:rsidRDefault="00AA6557">
            <w:pPr>
              <w:spacing w:after="0"/>
              <w:jc w:val="left"/>
              <w:rPr>
                <w:color w:val="000000"/>
                <w:sz w:val="20"/>
                <w:szCs w:val="20"/>
              </w:rPr>
            </w:pPr>
            <w:r w:rsidRPr="00666914">
              <w:rPr>
                <w:color w:val="000000"/>
                <w:sz w:val="18"/>
                <w:szCs w:val="18"/>
              </w:rPr>
              <w:t>Zverejňovanie obvyklej výšky nájomného</w:t>
            </w:r>
          </w:p>
        </w:tc>
        <w:tc>
          <w:tcPr>
            <w:tcW w:w="1417" w:type="dxa"/>
            <w:shd w:val="clear" w:color="auto" w:fill="auto"/>
            <w:vAlign w:val="center"/>
          </w:tcPr>
          <w:p w14:paraId="5058CD43" w14:textId="77777777" w:rsidR="00AA6557" w:rsidRPr="00666914" w:rsidRDefault="00AA6557">
            <w:pPr>
              <w:spacing w:after="0"/>
              <w:jc w:val="center"/>
              <w:rPr>
                <w:color w:val="000000"/>
                <w:sz w:val="20"/>
                <w:szCs w:val="20"/>
              </w:rPr>
            </w:pPr>
            <w:r w:rsidRPr="00666914">
              <w:rPr>
                <w:color w:val="000000"/>
                <w:sz w:val="18"/>
                <w:szCs w:val="18"/>
              </w:rPr>
              <w:t>MPRV, Sekcia legislatívy</w:t>
            </w:r>
          </w:p>
        </w:tc>
        <w:tc>
          <w:tcPr>
            <w:tcW w:w="851" w:type="dxa"/>
            <w:shd w:val="clear" w:color="auto" w:fill="auto"/>
            <w:vAlign w:val="center"/>
          </w:tcPr>
          <w:p w14:paraId="79C77587" w14:textId="77777777" w:rsidR="00AA6557" w:rsidRPr="00666914" w:rsidRDefault="00AA6557">
            <w:pPr>
              <w:spacing w:after="0"/>
              <w:jc w:val="center"/>
              <w:rPr>
                <w:color w:val="000000"/>
                <w:sz w:val="20"/>
                <w:szCs w:val="20"/>
              </w:rPr>
            </w:pPr>
            <w:r w:rsidRPr="00666914">
              <w:rPr>
                <w:color w:val="000000"/>
                <w:sz w:val="18"/>
                <w:szCs w:val="18"/>
              </w:rPr>
              <w:t>1.1.2020</w:t>
            </w:r>
          </w:p>
        </w:tc>
        <w:tc>
          <w:tcPr>
            <w:tcW w:w="581" w:type="dxa"/>
            <w:shd w:val="clear" w:color="auto" w:fill="A6A6A6"/>
            <w:vAlign w:val="bottom"/>
          </w:tcPr>
          <w:p w14:paraId="73F4B559" w14:textId="77777777" w:rsidR="00AA6557" w:rsidRPr="00666914" w:rsidRDefault="00AA6557">
            <w:pPr>
              <w:spacing w:after="0"/>
              <w:rPr>
                <w:color w:val="000000"/>
                <w:sz w:val="20"/>
                <w:szCs w:val="20"/>
              </w:rPr>
            </w:pPr>
          </w:p>
        </w:tc>
        <w:tc>
          <w:tcPr>
            <w:tcW w:w="581" w:type="dxa"/>
            <w:shd w:val="clear" w:color="auto" w:fill="A6A6A6"/>
            <w:vAlign w:val="bottom"/>
          </w:tcPr>
          <w:p w14:paraId="0DDE1A89" w14:textId="77777777" w:rsidR="00AA6557" w:rsidRPr="00666914" w:rsidRDefault="00AA6557">
            <w:pPr>
              <w:spacing w:after="0"/>
              <w:rPr>
                <w:color w:val="000000"/>
                <w:sz w:val="20"/>
                <w:szCs w:val="20"/>
              </w:rPr>
            </w:pPr>
          </w:p>
        </w:tc>
        <w:tc>
          <w:tcPr>
            <w:tcW w:w="581" w:type="dxa"/>
            <w:shd w:val="clear" w:color="auto" w:fill="A6A6A6"/>
            <w:vAlign w:val="bottom"/>
          </w:tcPr>
          <w:p w14:paraId="1CACAF59" w14:textId="77777777" w:rsidR="00AA6557" w:rsidRPr="00666914" w:rsidRDefault="00AA6557">
            <w:pPr>
              <w:spacing w:after="0"/>
              <w:rPr>
                <w:color w:val="000000"/>
                <w:sz w:val="20"/>
                <w:szCs w:val="20"/>
              </w:rPr>
            </w:pPr>
          </w:p>
        </w:tc>
        <w:tc>
          <w:tcPr>
            <w:tcW w:w="582" w:type="dxa"/>
            <w:shd w:val="clear" w:color="auto" w:fill="FFC000"/>
            <w:vAlign w:val="center"/>
          </w:tcPr>
          <w:p w14:paraId="27CF97F0" w14:textId="77777777" w:rsidR="00AA6557" w:rsidRPr="00666914" w:rsidRDefault="00AA6557">
            <w:pPr>
              <w:spacing w:after="0"/>
              <w:rPr>
                <w:color w:val="000000"/>
                <w:sz w:val="20"/>
                <w:szCs w:val="20"/>
              </w:rPr>
            </w:pPr>
            <w:r w:rsidRPr="00666914">
              <w:rPr>
                <w:color w:val="000000"/>
                <w:sz w:val="20"/>
                <w:szCs w:val="20"/>
              </w:rPr>
              <w:t xml:space="preserve">     </w:t>
            </w:r>
          </w:p>
        </w:tc>
      </w:tr>
    </w:tbl>
    <w:p w14:paraId="682B9B82" w14:textId="77777777" w:rsidR="00AA6557" w:rsidRPr="00666914" w:rsidRDefault="00AA6557">
      <w:pPr>
        <w:spacing w:after="0"/>
      </w:pPr>
    </w:p>
    <w:p w14:paraId="6BF9A676" w14:textId="77777777" w:rsidR="00AA6557" w:rsidRPr="00666914" w:rsidRDefault="00AA6557">
      <w:pPr>
        <w:spacing w:after="0"/>
        <w:ind w:firstLine="708"/>
        <w:rPr>
          <w:b/>
          <w:u w:val="single"/>
        </w:rPr>
      </w:pPr>
    </w:p>
    <w:p w14:paraId="6373EDB5" w14:textId="77777777" w:rsidR="00AA6557" w:rsidRPr="00666914" w:rsidRDefault="00AA6557" w:rsidP="00287DFE">
      <w:pPr>
        <w:spacing w:after="0" w:line="259" w:lineRule="auto"/>
        <w:ind w:left="714" w:hanging="357"/>
        <w:rPr>
          <w:b/>
          <w:u w:val="single"/>
        </w:rPr>
      </w:pPr>
      <w:r w:rsidRPr="00666914">
        <w:rPr>
          <w:b/>
          <w:u w:val="single"/>
        </w:rPr>
        <w:t>4.1.1   Započať všetky projekty pozemkových úprav do 30 rokov (PPÚ)</w:t>
      </w:r>
    </w:p>
    <w:p w14:paraId="717327DF" w14:textId="77777777" w:rsidR="00AA6557" w:rsidRPr="00666914" w:rsidRDefault="00AA6557" w:rsidP="00287DFE">
      <w:pPr>
        <w:spacing w:after="0" w:line="259" w:lineRule="auto"/>
        <w:ind w:left="714" w:hanging="357"/>
        <w:rPr>
          <w:b/>
          <w:u w:val="single"/>
        </w:rPr>
      </w:pPr>
    </w:p>
    <w:p w14:paraId="69CD7E29" w14:textId="77777777" w:rsidR="00AA6557" w:rsidRPr="00666914" w:rsidRDefault="00AA6557" w:rsidP="00287DFE">
      <w:pPr>
        <w:spacing w:after="0"/>
      </w:pPr>
      <w:r w:rsidRPr="00666914">
        <w:rPr>
          <w:b/>
        </w:rPr>
        <w:t>V súlade s implementačným plánom (IP) 2019/2020</w:t>
      </w:r>
      <w:r w:rsidRPr="00666914">
        <w:rPr>
          <w:b/>
          <w:vertAlign w:val="superscript"/>
        </w:rPr>
        <w:footnoteReference w:id="422"/>
      </w:r>
      <w:r w:rsidRPr="00666914">
        <w:rPr>
          <w:b/>
        </w:rPr>
        <w:t xml:space="preserve"> má MPRV SR do roku 2049 </w:t>
      </w:r>
      <w:sdt>
        <w:sdtPr>
          <w:tag w:val="goog_rdk_15"/>
          <w:id w:val="-80454052"/>
        </w:sdtPr>
        <w:sdtEndPr/>
        <w:sdtContent/>
      </w:sdt>
      <w:sdt>
        <w:sdtPr>
          <w:tag w:val="goog_rdk_16"/>
          <w:id w:val="1324091519"/>
        </w:sdtPr>
        <w:sdtEndPr/>
        <w:sdtContent/>
      </w:sdt>
      <w:r w:rsidRPr="00666914">
        <w:rPr>
          <w:b/>
        </w:rPr>
        <w:t>započať PPÚ vo všetkých 3 103 katastrálnych územiach, ktoré predstavujú približne 40 tis. km</w:t>
      </w:r>
      <w:r w:rsidRPr="00666914">
        <w:rPr>
          <w:b/>
          <w:vertAlign w:val="superscript"/>
        </w:rPr>
        <w:t>2</w:t>
      </w:r>
      <w:r w:rsidRPr="00666914">
        <w:rPr>
          <w:b/>
        </w:rPr>
        <w:t xml:space="preserve"> územia SR.</w:t>
      </w:r>
      <w:r w:rsidRPr="00666914">
        <w:t xml:space="preserve"> Plnenie opatrenia si vyžaduje vyčleniť v horizonte 30 rokov 1,1 mld. eur</w:t>
      </w:r>
      <w:r w:rsidRPr="00666914">
        <w:rPr>
          <w:vertAlign w:val="superscript"/>
        </w:rPr>
        <w:footnoteReference w:id="423"/>
      </w:r>
      <w:r w:rsidRPr="00666914">
        <w:t>. V predchádzajúcich programových obdobiach bolo možné PÚ financovať aj z PRV, v budúcnosti sa uvažuje tiež o využití prostriedkov z PRV. Takýto druh financovania bude upravovať pripravovaný strategický plán Spoločnej poľnohospodárskej politiky (SPP), ktorý schváli Európska komisia (EK) pre jednotlivé členské štáty EÚ.</w:t>
      </w:r>
    </w:p>
    <w:p w14:paraId="0B6DD752" w14:textId="77777777" w:rsidR="00AA6557" w:rsidRPr="00666914" w:rsidRDefault="00AA6557" w:rsidP="00287DFE">
      <w:pPr>
        <w:spacing w:after="0"/>
      </w:pPr>
    </w:p>
    <w:tbl>
      <w:tblPr>
        <w:tblW w:w="9082" w:type="dxa"/>
        <w:tblInd w:w="-10" w:type="dxa"/>
        <w:tblBorders>
          <w:insideV w:val="single" w:sz="8" w:space="0" w:color="000000"/>
        </w:tblBorders>
        <w:tblLayout w:type="fixed"/>
        <w:tblLook w:val="0400" w:firstRow="0" w:lastRow="0" w:firstColumn="0" w:lastColumn="0" w:noHBand="0" w:noVBand="1"/>
      </w:tblPr>
      <w:tblGrid>
        <w:gridCol w:w="861"/>
        <w:gridCol w:w="992"/>
        <w:gridCol w:w="1276"/>
        <w:gridCol w:w="1417"/>
        <w:gridCol w:w="426"/>
        <w:gridCol w:w="1559"/>
        <w:gridCol w:w="425"/>
        <w:gridCol w:w="1701"/>
        <w:gridCol w:w="425"/>
      </w:tblGrid>
      <w:tr w:rsidR="00AA6557" w:rsidRPr="00666914" w14:paraId="21BD655F" w14:textId="77777777">
        <w:trPr>
          <w:trHeight w:val="289"/>
        </w:trPr>
        <w:tc>
          <w:tcPr>
            <w:tcW w:w="9082" w:type="dxa"/>
            <w:gridSpan w:val="9"/>
            <w:tcBorders>
              <w:bottom w:val="single" w:sz="4" w:space="0" w:color="000000"/>
            </w:tcBorders>
            <w:shd w:val="clear" w:color="auto" w:fill="auto"/>
            <w:vAlign w:val="center"/>
          </w:tcPr>
          <w:p w14:paraId="0FEA11E6" w14:textId="038DADB2" w:rsidR="00AA6557" w:rsidRPr="00666914" w:rsidRDefault="00AA6557" w:rsidP="00287DFE">
            <w:pPr>
              <w:spacing w:after="0"/>
              <w:jc w:val="left"/>
              <w:rPr>
                <w:b/>
                <w:color w:val="000000"/>
                <w:sz w:val="20"/>
                <w:szCs w:val="20"/>
              </w:rPr>
            </w:pPr>
            <w:bookmarkStart w:id="409" w:name="_Toc38447754"/>
            <w:r w:rsidRPr="00666914">
              <w:rPr>
                <w:b/>
                <w:color w:val="000000"/>
                <w:sz w:val="20"/>
                <w:szCs w:val="20"/>
              </w:rPr>
              <w:t xml:space="preserve">Tabuľka </w:t>
            </w:r>
            <w:r w:rsidRPr="00666914">
              <w:rPr>
                <w:b/>
                <w:color w:val="000000"/>
                <w:sz w:val="20"/>
                <w:szCs w:val="20"/>
              </w:rPr>
              <w:fldChar w:fldCharType="begin"/>
            </w:r>
            <w:r w:rsidRPr="00666914">
              <w:rPr>
                <w:b/>
                <w:color w:val="000000"/>
                <w:sz w:val="20"/>
                <w:szCs w:val="20"/>
              </w:rPr>
              <w:instrText xml:space="preserve"> SEQ Tabuľka \* ARABIC \* MERGEFORMAT </w:instrText>
            </w:r>
            <w:r w:rsidRPr="00666914">
              <w:rPr>
                <w:b/>
                <w:color w:val="000000"/>
                <w:sz w:val="20"/>
                <w:szCs w:val="20"/>
              </w:rPr>
              <w:fldChar w:fldCharType="separate"/>
            </w:r>
            <w:r w:rsidR="005A7304">
              <w:rPr>
                <w:b/>
                <w:noProof/>
                <w:color w:val="000000"/>
                <w:sz w:val="20"/>
                <w:szCs w:val="20"/>
              </w:rPr>
              <w:t>93</w:t>
            </w:r>
            <w:r w:rsidRPr="00666914">
              <w:rPr>
                <w:b/>
                <w:color w:val="000000"/>
                <w:sz w:val="20"/>
                <w:szCs w:val="20"/>
              </w:rPr>
              <w:fldChar w:fldCharType="end"/>
            </w:r>
            <w:r w:rsidRPr="00666914">
              <w:rPr>
                <w:b/>
                <w:color w:val="000000"/>
                <w:sz w:val="20"/>
                <w:szCs w:val="20"/>
              </w:rPr>
              <w:t>: Počet potrebných PPÚ</w:t>
            </w:r>
            <w:r w:rsidRPr="00666914">
              <w:rPr>
                <w:b/>
                <w:color w:val="000000"/>
                <w:sz w:val="20"/>
                <w:szCs w:val="20"/>
                <w:vertAlign w:val="superscript"/>
              </w:rPr>
              <w:footnoteReference w:id="424"/>
            </w:r>
            <w:r w:rsidRPr="00666914">
              <w:rPr>
                <w:b/>
                <w:color w:val="000000"/>
                <w:sz w:val="20"/>
                <w:szCs w:val="20"/>
              </w:rPr>
              <w:t xml:space="preserve"> a podiel podľa druhov pozemkov</w:t>
            </w:r>
            <w:bookmarkEnd w:id="409"/>
            <w:r w:rsidRPr="00666914">
              <w:rPr>
                <w:b/>
                <w:color w:val="000000"/>
                <w:sz w:val="20"/>
                <w:szCs w:val="20"/>
              </w:rPr>
              <w:t xml:space="preserve"> </w:t>
            </w:r>
          </w:p>
        </w:tc>
      </w:tr>
      <w:tr w:rsidR="00AA6557" w:rsidRPr="00666914" w14:paraId="1029F1BF" w14:textId="77777777">
        <w:trPr>
          <w:trHeight w:val="525"/>
        </w:trPr>
        <w:tc>
          <w:tcPr>
            <w:tcW w:w="861" w:type="dxa"/>
            <w:vMerge w:val="restart"/>
            <w:tcBorders>
              <w:top w:val="single" w:sz="4" w:space="0" w:color="000000"/>
              <w:left w:val="single" w:sz="4" w:space="0" w:color="000000"/>
              <w:right w:val="single" w:sz="4" w:space="0" w:color="000000"/>
            </w:tcBorders>
            <w:shd w:val="clear" w:color="auto" w:fill="auto"/>
            <w:vAlign w:val="center"/>
          </w:tcPr>
          <w:p w14:paraId="79E6A58E" w14:textId="77777777" w:rsidR="00AA6557" w:rsidRPr="00666914" w:rsidRDefault="00AA6557">
            <w:pPr>
              <w:spacing w:after="0"/>
              <w:jc w:val="center"/>
              <w:rPr>
                <w:b/>
                <w:color w:val="000000"/>
                <w:sz w:val="20"/>
                <w:szCs w:val="20"/>
              </w:rPr>
            </w:pPr>
            <w:r w:rsidRPr="00666914">
              <w:rPr>
                <w:b/>
                <w:color w:val="000000"/>
                <w:sz w:val="20"/>
                <w:szCs w:val="20"/>
              </w:rPr>
              <w:t>Kraj</w:t>
            </w:r>
          </w:p>
        </w:tc>
        <w:tc>
          <w:tcPr>
            <w:tcW w:w="992" w:type="dxa"/>
            <w:vMerge w:val="restart"/>
            <w:tcBorders>
              <w:top w:val="single" w:sz="4" w:space="0" w:color="000000"/>
              <w:left w:val="single" w:sz="4" w:space="0" w:color="000000"/>
              <w:right w:val="single" w:sz="4" w:space="0" w:color="000000"/>
            </w:tcBorders>
            <w:shd w:val="clear" w:color="auto" w:fill="auto"/>
            <w:vAlign w:val="center"/>
          </w:tcPr>
          <w:p w14:paraId="206A33B2" w14:textId="77777777" w:rsidR="00AA6557" w:rsidRPr="00666914" w:rsidRDefault="00AA6557">
            <w:pPr>
              <w:spacing w:after="0"/>
              <w:jc w:val="center"/>
              <w:rPr>
                <w:b/>
                <w:color w:val="000000"/>
                <w:sz w:val="20"/>
                <w:szCs w:val="20"/>
              </w:rPr>
            </w:pPr>
            <w:r w:rsidRPr="00666914">
              <w:rPr>
                <w:b/>
                <w:color w:val="000000"/>
                <w:sz w:val="20"/>
                <w:szCs w:val="20"/>
              </w:rPr>
              <w:t>Počet budúcich PPÚ</w:t>
            </w:r>
          </w:p>
        </w:tc>
        <w:tc>
          <w:tcPr>
            <w:tcW w:w="1276" w:type="dxa"/>
            <w:tcBorders>
              <w:top w:val="single" w:sz="4" w:space="0" w:color="000000"/>
              <w:left w:val="single" w:sz="4" w:space="0" w:color="000000"/>
              <w:right w:val="single" w:sz="4" w:space="0" w:color="000000"/>
            </w:tcBorders>
            <w:shd w:val="clear" w:color="auto" w:fill="auto"/>
            <w:vAlign w:val="center"/>
          </w:tcPr>
          <w:p w14:paraId="254DF7ED" w14:textId="77777777" w:rsidR="00AA6557" w:rsidRPr="00666914" w:rsidRDefault="00AA6557">
            <w:pPr>
              <w:spacing w:after="0"/>
              <w:jc w:val="center"/>
              <w:rPr>
                <w:b/>
                <w:color w:val="000000"/>
                <w:sz w:val="20"/>
                <w:szCs w:val="20"/>
              </w:rPr>
            </w:pPr>
            <w:r w:rsidRPr="00666914">
              <w:rPr>
                <w:b/>
                <w:color w:val="000000"/>
                <w:sz w:val="20"/>
                <w:szCs w:val="20"/>
              </w:rPr>
              <w:t>Výmera extravilánu</w:t>
            </w:r>
          </w:p>
        </w:tc>
        <w:tc>
          <w:tcPr>
            <w:tcW w:w="1843" w:type="dxa"/>
            <w:gridSpan w:val="2"/>
            <w:tcBorders>
              <w:top w:val="single" w:sz="4" w:space="0" w:color="000000"/>
              <w:left w:val="single" w:sz="4" w:space="0" w:color="000000"/>
              <w:right w:val="single" w:sz="4" w:space="0" w:color="000000"/>
            </w:tcBorders>
            <w:shd w:val="clear" w:color="auto" w:fill="auto"/>
            <w:vAlign w:val="center"/>
          </w:tcPr>
          <w:p w14:paraId="3B2D04C8" w14:textId="77777777" w:rsidR="00AA6557" w:rsidRPr="00666914" w:rsidRDefault="00AA6557">
            <w:pPr>
              <w:spacing w:after="0"/>
              <w:jc w:val="center"/>
              <w:rPr>
                <w:b/>
                <w:color w:val="000000"/>
                <w:sz w:val="20"/>
                <w:szCs w:val="20"/>
              </w:rPr>
            </w:pPr>
            <w:r w:rsidRPr="00666914">
              <w:rPr>
                <w:b/>
                <w:color w:val="000000"/>
                <w:sz w:val="20"/>
                <w:szCs w:val="20"/>
              </w:rPr>
              <w:t>Poľnohospodárska pôda</w:t>
            </w:r>
          </w:p>
        </w:tc>
        <w:tc>
          <w:tcPr>
            <w:tcW w:w="1984" w:type="dxa"/>
            <w:gridSpan w:val="2"/>
            <w:tcBorders>
              <w:top w:val="single" w:sz="4" w:space="0" w:color="000000"/>
              <w:left w:val="single" w:sz="4" w:space="0" w:color="000000"/>
              <w:right w:val="single" w:sz="4" w:space="0" w:color="000000"/>
            </w:tcBorders>
            <w:shd w:val="clear" w:color="auto" w:fill="auto"/>
            <w:vAlign w:val="center"/>
          </w:tcPr>
          <w:p w14:paraId="491D43A6" w14:textId="77777777" w:rsidR="00AA6557" w:rsidRPr="00666914" w:rsidRDefault="00AA6557">
            <w:pPr>
              <w:spacing w:after="0"/>
              <w:jc w:val="center"/>
              <w:rPr>
                <w:b/>
                <w:color w:val="000000"/>
                <w:sz w:val="20"/>
                <w:szCs w:val="20"/>
              </w:rPr>
            </w:pPr>
            <w:r w:rsidRPr="00666914">
              <w:rPr>
                <w:b/>
                <w:color w:val="000000"/>
                <w:sz w:val="20"/>
                <w:szCs w:val="20"/>
              </w:rPr>
              <w:t>Lesné pozemky</w:t>
            </w:r>
          </w:p>
        </w:tc>
        <w:tc>
          <w:tcPr>
            <w:tcW w:w="2126" w:type="dxa"/>
            <w:gridSpan w:val="2"/>
            <w:tcBorders>
              <w:top w:val="single" w:sz="4" w:space="0" w:color="000000"/>
              <w:left w:val="single" w:sz="4" w:space="0" w:color="000000"/>
              <w:right w:val="single" w:sz="4" w:space="0" w:color="000000"/>
            </w:tcBorders>
            <w:shd w:val="clear" w:color="auto" w:fill="auto"/>
            <w:vAlign w:val="center"/>
          </w:tcPr>
          <w:p w14:paraId="02B90CBA" w14:textId="77777777" w:rsidR="00AA6557" w:rsidRPr="00666914" w:rsidRDefault="00AA6557">
            <w:pPr>
              <w:spacing w:after="0"/>
              <w:jc w:val="center"/>
              <w:rPr>
                <w:b/>
                <w:color w:val="000000"/>
                <w:sz w:val="20"/>
                <w:szCs w:val="20"/>
              </w:rPr>
            </w:pPr>
            <w:r w:rsidRPr="00666914">
              <w:rPr>
                <w:b/>
                <w:color w:val="000000"/>
                <w:sz w:val="20"/>
                <w:szCs w:val="20"/>
              </w:rPr>
              <w:t>Nepoľnohospodárska pôda  a nelesné pozemky</w:t>
            </w:r>
          </w:p>
        </w:tc>
      </w:tr>
      <w:tr w:rsidR="00AA6557" w:rsidRPr="00666914" w14:paraId="1A4B58BA" w14:textId="77777777">
        <w:trPr>
          <w:trHeight w:val="315"/>
        </w:trPr>
        <w:tc>
          <w:tcPr>
            <w:tcW w:w="861" w:type="dxa"/>
            <w:vMerge/>
            <w:tcBorders>
              <w:top w:val="single" w:sz="4" w:space="0" w:color="000000"/>
              <w:left w:val="single" w:sz="4" w:space="0" w:color="000000"/>
              <w:right w:val="single" w:sz="4" w:space="0" w:color="000000"/>
            </w:tcBorders>
            <w:shd w:val="clear" w:color="auto" w:fill="auto"/>
            <w:vAlign w:val="center"/>
          </w:tcPr>
          <w:p w14:paraId="342BEC61" w14:textId="77777777" w:rsidR="00AA6557" w:rsidRPr="00666914" w:rsidRDefault="00AA6557">
            <w:pPr>
              <w:widowControl w:val="0"/>
              <w:pBdr>
                <w:top w:val="nil"/>
                <w:left w:val="nil"/>
                <w:bottom w:val="nil"/>
                <w:right w:val="nil"/>
                <w:between w:val="nil"/>
              </w:pBdr>
              <w:spacing w:after="0" w:line="276" w:lineRule="auto"/>
              <w:jc w:val="left"/>
              <w:rPr>
                <w:b/>
                <w:color w:val="000000"/>
                <w:sz w:val="20"/>
                <w:szCs w:val="20"/>
              </w:rPr>
            </w:pPr>
          </w:p>
        </w:tc>
        <w:tc>
          <w:tcPr>
            <w:tcW w:w="992" w:type="dxa"/>
            <w:vMerge/>
            <w:tcBorders>
              <w:top w:val="single" w:sz="4" w:space="0" w:color="000000"/>
              <w:left w:val="single" w:sz="4" w:space="0" w:color="000000"/>
              <w:right w:val="single" w:sz="4" w:space="0" w:color="000000"/>
            </w:tcBorders>
            <w:shd w:val="clear" w:color="auto" w:fill="auto"/>
            <w:vAlign w:val="center"/>
          </w:tcPr>
          <w:p w14:paraId="1418145E" w14:textId="77777777" w:rsidR="00AA6557" w:rsidRPr="00666914" w:rsidRDefault="00AA6557">
            <w:pPr>
              <w:widowControl w:val="0"/>
              <w:pBdr>
                <w:top w:val="nil"/>
                <w:left w:val="nil"/>
                <w:bottom w:val="nil"/>
                <w:right w:val="nil"/>
                <w:between w:val="nil"/>
              </w:pBdr>
              <w:spacing w:after="0" w:line="276" w:lineRule="auto"/>
              <w:jc w:val="left"/>
              <w:rPr>
                <w:b/>
                <w:color w:val="000000"/>
                <w:sz w:val="20"/>
                <w:szCs w:val="20"/>
              </w:rPr>
            </w:pPr>
          </w:p>
        </w:tc>
        <w:tc>
          <w:tcPr>
            <w:tcW w:w="1276" w:type="dxa"/>
            <w:tcBorders>
              <w:left w:val="single" w:sz="4" w:space="0" w:color="000000"/>
              <w:bottom w:val="single" w:sz="4" w:space="0" w:color="000000"/>
              <w:right w:val="single" w:sz="4" w:space="0" w:color="000000"/>
            </w:tcBorders>
            <w:shd w:val="clear" w:color="auto" w:fill="auto"/>
            <w:vAlign w:val="center"/>
          </w:tcPr>
          <w:p w14:paraId="7AD2066E" w14:textId="77777777" w:rsidR="00AA6557" w:rsidRPr="00666914" w:rsidRDefault="00AA6557">
            <w:pPr>
              <w:spacing w:after="0"/>
              <w:jc w:val="center"/>
              <w:rPr>
                <w:b/>
                <w:color w:val="000000"/>
                <w:sz w:val="20"/>
                <w:szCs w:val="20"/>
              </w:rPr>
            </w:pPr>
            <w:r w:rsidRPr="00666914">
              <w:rPr>
                <w:b/>
                <w:color w:val="000000"/>
                <w:sz w:val="20"/>
                <w:szCs w:val="20"/>
              </w:rPr>
              <w:t>km</w:t>
            </w:r>
            <w:r w:rsidRPr="00666914">
              <w:rPr>
                <w:b/>
                <w:color w:val="000000"/>
                <w:sz w:val="20"/>
                <w:szCs w:val="20"/>
                <w:vertAlign w:val="superscript"/>
              </w:rPr>
              <w:t>2</w:t>
            </w:r>
          </w:p>
        </w:tc>
        <w:tc>
          <w:tcPr>
            <w:tcW w:w="1417" w:type="dxa"/>
            <w:tcBorders>
              <w:left w:val="single" w:sz="4" w:space="0" w:color="000000"/>
              <w:bottom w:val="single" w:sz="4" w:space="0" w:color="000000"/>
              <w:right w:val="nil"/>
            </w:tcBorders>
            <w:shd w:val="clear" w:color="auto" w:fill="auto"/>
            <w:vAlign w:val="center"/>
          </w:tcPr>
          <w:p w14:paraId="664D9136" w14:textId="77777777" w:rsidR="00AA6557" w:rsidRPr="00666914" w:rsidRDefault="00AA6557">
            <w:pPr>
              <w:spacing w:after="0"/>
              <w:jc w:val="center"/>
              <w:rPr>
                <w:b/>
                <w:color w:val="000000"/>
                <w:sz w:val="20"/>
                <w:szCs w:val="20"/>
              </w:rPr>
            </w:pPr>
            <w:r w:rsidRPr="00666914">
              <w:rPr>
                <w:b/>
                <w:color w:val="000000"/>
                <w:sz w:val="20"/>
                <w:szCs w:val="20"/>
              </w:rPr>
              <w:t>km</w:t>
            </w:r>
            <w:r w:rsidRPr="00666914">
              <w:rPr>
                <w:b/>
                <w:color w:val="000000"/>
                <w:sz w:val="20"/>
                <w:szCs w:val="20"/>
                <w:vertAlign w:val="superscript"/>
              </w:rPr>
              <w:t>2</w:t>
            </w:r>
          </w:p>
        </w:tc>
        <w:tc>
          <w:tcPr>
            <w:tcW w:w="426" w:type="dxa"/>
            <w:tcBorders>
              <w:left w:val="nil"/>
              <w:bottom w:val="single" w:sz="4" w:space="0" w:color="000000"/>
              <w:right w:val="single" w:sz="4" w:space="0" w:color="000000"/>
            </w:tcBorders>
            <w:shd w:val="clear" w:color="auto" w:fill="auto"/>
            <w:vAlign w:val="center"/>
          </w:tcPr>
          <w:p w14:paraId="48C8AA25" w14:textId="77777777" w:rsidR="00AA6557" w:rsidRPr="00666914" w:rsidRDefault="00AA6557">
            <w:pPr>
              <w:spacing w:after="0"/>
              <w:jc w:val="center"/>
              <w:rPr>
                <w:b/>
                <w:color w:val="000000"/>
                <w:sz w:val="20"/>
                <w:szCs w:val="20"/>
              </w:rPr>
            </w:pPr>
            <w:r w:rsidRPr="00666914">
              <w:rPr>
                <w:b/>
                <w:color w:val="000000"/>
                <w:sz w:val="20"/>
                <w:szCs w:val="20"/>
              </w:rPr>
              <w:t>%</w:t>
            </w:r>
          </w:p>
        </w:tc>
        <w:tc>
          <w:tcPr>
            <w:tcW w:w="1559" w:type="dxa"/>
            <w:tcBorders>
              <w:left w:val="single" w:sz="4" w:space="0" w:color="000000"/>
              <w:bottom w:val="single" w:sz="4" w:space="0" w:color="000000"/>
              <w:right w:val="nil"/>
            </w:tcBorders>
            <w:shd w:val="clear" w:color="auto" w:fill="auto"/>
            <w:vAlign w:val="center"/>
          </w:tcPr>
          <w:p w14:paraId="55342C00" w14:textId="77777777" w:rsidR="00AA6557" w:rsidRPr="00666914" w:rsidRDefault="00AA6557">
            <w:pPr>
              <w:spacing w:after="0"/>
              <w:jc w:val="center"/>
              <w:rPr>
                <w:b/>
                <w:color w:val="000000"/>
                <w:sz w:val="20"/>
                <w:szCs w:val="20"/>
              </w:rPr>
            </w:pPr>
            <w:r w:rsidRPr="00666914">
              <w:rPr>
                <w:b/>
                <w:color w:val="000000"/>
                <w:sz w:val="20"/>
                <w:szCs w:val="20"/>
              </w:rPr>
              <w:t>km</w:t>
            </w:r>
            <w:r w:rsidRPr="00666914">
              <w:rPr>
                <w:b/>
                <w:color w:val="000000"/>
                <w:sz w:val="20"/>
                <w:szCs w:val="20"/>
                <w:vertAlign w:val="superscript"/>
              </w:rPr>
              <w:t>2</w:t>
            </w:r>
          </w:p>
        </w:tc>
        <w:tc>
          <w:tcPr>
            <w:tcW w:w="425" w:type="dxa"/>
            <w:tcBorders>
              <w:left w:val="nil"/>
              <w:bottom w:val="single" w:sz="4" w:space="0" w:color="000000"/>
              <w:right w:val="single" w:sz="4" w:space="0" w:color="000000"/>
            </w:tcBorders>
            <w:shd w:val="clear" w:color="auto" w:fill="auto"/>
            <w:vAlign w:val="center"/>
          </w:tcPr>
          <w:p w14:paraId="4D88DEAE" w14:textId="77777777" w:rsidR="00AA6557" w:rsidRPr="00666914" w:rsidRDefault="00AA6557">
            <w:pPr>
              <w:spacing w:after="0"/>
              <w:jc w:val="center"/>
              <w:rPr>
                <w:b/>
                <w:color w:val="000000"/>
                <w:sz w:val="20"/>
                <w:szCs w:val="20"/>
              </w:rPr>
            </w:pPr>
            <w:r w:rsidRPr="00666914">
              <w:rPr>
                <w:b/>
                <w:color w:val="000000"/>
                <w:sz w:val="20"/>
                <w:szCs w:val="20"/>
              </w:rPr>
              <w:t>%</w:t>
            </w:r>
          </w:p>
        </w:tc>
        <w:tc>
          <w:tcPr>
            <w:tcW w:w="1701" w:type="dxa"/>
            <w:tcBorders>
              <w:left w:val="single" w:sz="4" w:space="0" w:color="000000"/>
              <w:bottom w:val="single" w:sz="4" w:space="0" w:color="000000"/>
              <w:right w:val="nil"/>
            </w:tcBorders>
            <w:shd w:val="clear" w:color="auto" w:fill="auto"/>
            <w:vAlign w:val="center"/>
          </w:tcPr>
          <w:p w14:paraId="16D39B85" w14:textId="77777777" w:rsidR="00AA6557" w:rsidRPr="00666914" w:rsidRDefault="00AA6557">
            <w:pPr>
              <w:spacing w:after="0"/>
              <w:jc w:val="center"/>
              <w:rPr>
                <w:b/>
                <w:color w:val="000000"/>
                <w:sz w:val="20"/>
                <w:szCs w:val="20"/>
              </w:rPr>
            </w:pPr>
            <w:r w:rsidRPr="00666914">
              <w:rPr>
                <w:b/>
                <w:color w:val="000000"/>
                <w:sz w:val="20"/>
                <w:szCs w:val="20"/>
              </w:rPr>
              <w:t>km</w:t>
            </w:r>
            <w:r w:rsidRPr="00666914">
              <w:rPr>
                <w:b/>
                <w:color w:val="000000"/>
                <w:sz w:val="20"/>
                <w:szCs w:val="20"/>
                <w:vertAlign w:val="superscript"/>
              </w:rPr>
              <w:t>2</w:t>
            </w:r>
          </w:p>
        </w:tc>
        <w:tc>
          <w:tcPr>
            <w:tcW w:w="425" w:type="dxa"/>
            <w:tcBorders>
              <w:left w:val="nil"/>
              <w:bottom w:val="single" w:sz="4" w:space="0" w:color="000000"/>
              <w:right w:val="single" w:sz="4" w:space="0" w:color="000000"/>
            </w:tcBorders>
            <w:shd w:val="clear" w:color="auto" w:fill="auto"/>
            <w:vAlign w:val="center"/>
          </w:tcPr>
          <w:p w14:paraId="4F01FCC8" w14:textId="77777777" w:rsidR="00AA6557" w:rsidRPr="00666914" w:rsidRDefault="00AA6557">
            <w:pPr>
              <w:spacing w:after="0"/>
              <w:jc w:val="center"/>
              <w:rPr>
                <w:b/>
                <w:color w:val="000000"/>
                <w:sz w:val="20"/>
                <w:szCs w:val="20"/>
              </w:rPr>
            </w:pPr>
            <w:r w:rsidRPr="00666914">
              <w:rPr>
                <w:b/>
                <w:color w:val="000000"/>
                <w:sz w:val="20"/>
                <w:szCs w:val="20"/>
              </w:rPr>
              <w:t>%</w:t>
            </w:r>
          </w:p>
        </w:tc>
      </w:tr>
      <w:tr w:rsidR="00AA6557" w:rsidRPr="00666914" w14:paraId="454A94C2" w14:textId="77777777">
        <w:trPr>
          <w:trHeight w:val="270"/>
        </w:trPr>
        <w:tc>
          <w:tcPr>
            <w:tcW w:w="861" w:type="dxa"/>
            <w:tcBorders>
              <w:top w:val="single" w:sz="4" w:space="0" w:color="000000"/>
              <w:left w:val="single" w:sz="4" w:space="0" w:color="000000"/>
              <w:right w:val="single" w:sz="4" w:space="0" w:color="000000"/>
            </w:tcBorders>
            <w:shd w:val="clear" w:color="auto" w:fill="auto"/>
            <w:vAlign w:val="center"/>
          </w:tcPr>
          <w:p w14:paraId="5797A9C4" w14:textId="77777777" w:rsidR="00AA6557" w:rsidRPr="00666914" w:rsidRDefault="00AA6557">
            <w:pPr>
              <w:spacing w:after="0"/>
              <w:jc w:val="center"/>
              <w:rPr>
                <w:b/>
                <w:color w:val="000000"/>
                <w:sz w:val="20"/>
                <w:szCs w:val="20"/>
              </w:rPr>
            </w:pPr>
            <w:r w:rsidRPr="00666914">
              <w:rPr>
                <w:b/>
                <w:color w:val="000000"/>
                <w:sz w:val="20"/>
                <w:szCs w:val="20"/>
              </w:rPr>
              <w:t>BA</w:t>
            </w:r>
          </w:p>
        </w:tc>
        <w:tc>
          <w:tcPr>
            <w:tcW w:w="992" w:type="dxa"/>
            <w:tcBorders>
              <w:top w:val="single" w:sz="4" w:space="0" w:color="000000"/>
              <w:left w:val="single" w:sz="4" w:space="0" w:color="000000"/>
              <w:right w:val="single" w:sz="4" w:space="0" w:color="000000"/>
            </w:tcBorders>
            <w:shd w:val="clear" w:color="auto" w:fill="auto"/>
            <w:vAlign w:val="center"/>
          </w:tcPr>
          <w:p w14:paraId="7058A801" w14:textId="77777777" w:rsidR="00AA6557" w:rsidRPr="00666914" w:rsidRDefault="00AA6557">
            <w:pPr>
              <w:spacing w:after="0"/>
              <w:jc w:val="center"/>
              <w:rPr>
                <w:color w:val="000000"/>
                <w:sz w:val="20"/>
                <w:szCs w:val="20"/>
              </w:rPr>
            </w:pPr>
            <w:r w:rsidRPr="00666914">
              <w:rPr>
                <w:color w:val="000000"/>
                <w:sz w:val="20"/>
                <w:szCs w:val="20"/>
              </w:rPr>
              <w:t>93</w:t>
            </w:r>
          </w:p>
        </w:tc>
        <w:tc>
          <w:tcPr>
            <w:tcW w:w="1276" w:type="dxa"/>
            <w:tcBorders>
              <w:top w:val="single" w:sz="4" w:space="0" w:color="000000"/>
              <w:left w:val="single" w:sz="4" w:space="0" w:color="000000"/>
              <w:right w:val="single" w:sz="4" w:space="0" w:color="000000"/>
            </w:tcBorders>
            <w:shd w:val="clear" w:color="auto" w:fill="auto"/>
            <w:vAlign w:val="center"/>
          </w:tcPr>
          <w:p w14:paraId="14322C78" w14:textId="77777777" w:rsidR="00AA6557" w:rsidRPr="00666914" w:rsidRDefault="00AA6557">
            <w:pPr>
              <w:spacing w:after="0"/>
              <w:jc w:val="center"/>
              <w:rPr>
                <w:color w:val="000000"/>
                <w:sz w:val="20"/>
                <w:szCs w:val="20"/>
              </w:rPr>
            </w:pPr>
            <w:r w:rsidRPr="00666914">
              <w:rPr>
                <w:color w:val="000000"/>
                <w:sz w:val="20"/>
                <w:szCs w:val="20"/>
              </w:rPr>
              <w:t>1 186</w:t>
            </w:r>
          </w:p>
        </w:tc>
        <w:tc>
          <w:tcPr>
            <w:tcW w:w="1417" w:type="dxa"/>
            <w:tcBorders>
              <w:top w:val="single" w:sz="4" w:space="0" w:color="000000"/>
              <w:left w:val="single" w:sz="4" w:space="0" w:color="000000"/>
              <w:right w:val="nil"/>
            </w:tcBorders>
            <w:shd w:val="clear" w:color="auto" w:fill="auto"/>
            <w:vAlign w:val="center"/>
          </w:tcPr>
          <w:p w14:paraId="63E0C60B" w14:textId="77777777" w:rsidR="00AA6557" w:rsidRPr="00666914" w:rsidRDefault="00AA6557">
            <w:pPr>
              <w:spacing w:after="0"/>
              <w:jc w:val="center"/>
              <w:rPr>
                <w:color w:val="000000"/>
                <w:sz w:val="20"/>
                <w:szCs w:val="20"/>
              </w:rPr>
            </w:pPr>
            <w:r w:rsidRPr="00666914">
              <w:rPr>
                <w:color w:val="000000"/>
                <w:sz w:val="20"/>
                <w:szCs w:val="20"/>
              </w:rPr>
              <w:t>654</w:t>
            </w:r>
          </w:p>
        </w:tc>
        <w:tc>
          <w:tcPr>
            <w:tcW w:w="426" w:type="dxa"/>
            <w:tcBorders>
              <w:top w:val="single" w:sz="4" w:space="0" w:color="000000"/>
              <w:left w:val="nil"/>
              <w:right w:val="single" w:sz="4" w:space="0" w:color="000000"/>
            </w:tcBorders>
            <w:shd w:val="clear" w:color="auto" w:fill="auto"/>
            <w:vAlign w:val="center"/>
          </w:tcPr>
          <w:p w14:paraId="411A74A7" w14:textId="77777777" w:rsidR="00AA6557" w:rsidRPr="00666914" w:rsidRDefault="00AA6557">
            <w:pPr>
              <w:spacing w:after="0"/>
              <w:jc w:val="center"/>
              <w:rPr>
                <w:i/>
                <w:color w:val="000000"/>
                <w:sz w:val="20"/>
                <w:szCs w:val="20"/>
              </w:rPr>
            </w:pPr>
            <w:r w:rsidRPr="00666914">
              <w:rPr>
                <w:i/>
                <w:color w:val="000000"/>
                <w:sz w:val="20"/>
                <w:szCs w:val="20"/>
              </w:rPr>
              <w:t>55</w:t>
            </w:r>
          </w:p>
        </w:tc>
        <w:tc>
          <w:tcPr>
            <w:tcW w:w="1559" w:type="dxa"/>
            <w:tcBorders>
              <w:top w:val="single" w:sz="4" w:space="0" w:color="000000"/>
              <w:left w:val="single" w:sz="4" w:space="0" w:color="000000"/>
              <w:right w:val="nil"/>
            </w:tcBorders>
            <w:shd w:val="clear" w:color="auto" w:fill="auto"/>
            <w:vAlign w:val="center"/>
          </w:tcPr>
          <w:p w14:paraId="2EFA10A6" w14:textId="77777777" w:rsidR="00AA6557" w:rsidRPr="00666914" w:rsidRDefault="00AA6557">
            <w:pPr>
              <w:spacing w:after="0"/>
              <w:jc w:val="center"/>
              <w:rPr>
                <w:color w:val="000000"/>
                <w:sz w:val="20"/>
                <w:szCs w:val="20"/>
              </w:rPr>
            </w:pPr>
            <w:r w:rsidRPr="00666914">
              <w:rPr>
                <w:color w:val="000000"/>
                <w:sz w:val="20"/>
                <w:szCs w:val="20"/>
              </w:rPr>
              <w:t>379</w:t>
            </w:r>
          </w:p>
        </w:tc>
        <w:tc>
          <w:tcPr>
            <w:tcW w:w="425" w:type="dxa"/>
            <w:tcBorders>
              <w:top w:val="single" w:sz="4" w:space="0" w:color="000000"/>
              <w:left w:val="nil"/>
              <w:right w:val="single" w:sz="4" w:space="0" w:color="000000"/>
            </w:tcBorders>
            <w:shd w:val="clear" w:color="auto" w:fill="auto"/>
            <w:vAlign w:val="center"/>
          </w:tcPr>
          <w:p w14:paraId="4A5D6BF3" w14:textId="77777777" w:rsidR="00AA6557" w:rsidRPr="00666914" w:rsidRDefault="00AA6557">
            <w:pPr>
              <w:spacing w:after="0"/>
              <w:jc w:val="center"/>
              <w:rPr>
                <w:i/>
                <w:color w:val="000000"/>
                <w:sz w:val="20"/>
                <w:szCs w:val="20"/>
              </w:rPr>
            </w:pPr>
            <w:r w:rsidRPr="00666914">
              <w:rPr>
                <w:i/>
                <w:color w:val="000000"/>
                <w:sz w:val="20"/>
                <w:szCs w:val="20"/>
              </w:rPr>
              <w:t>32</w:t>
            </w:r>
          </w:p>
        </w:tc>
        <w:tc>
          <w:tcPr>
            <w:tcW w:w="1701" w:type="dxa"/>
            <w:tcBorders>
              <w:top w:val="single" w:sz="4" w:space="0" w:color="000000"/>
              <w:left w:val="single" w:sz="4" w:space="0" w:color="000000"/>
              <w:right w:val="nil"/>
            </w:tcBorders>
            <w:shd w:val="clear" w:color="auto" w:fill="auto"/>
            <w:vAlign w:val="center"/>
          </w:tcPr>
          <w:p w14:paraId="7D03133A" w14:textId="77777777" w:rsidR="00AA6557" w:rsidRPr="00666914" w:rsidRDefault="00AA6557">
            <w:pPr>
              <w:spacing w:after="0"/>
              <w:jc w:val="center"/>
              <w:rPr>
                <w:color w:val="000000"/>
                <w:sz w:val="20"/>
                <w:szCs w:val="20"/>
              </w:rPr>
            </w:pPr>
            <w:r w:rsidRPr="00666914">
              <w:rPr>
                <w:color w:val="000000"/>
                <w:sz w:val="20"/>
                <w:szCs w:val="20"/>
              </w:rPr>
              <w:t>153</w:t>
            </w:r>
          </w:p>
        </w:tc>
        <w:tc>
          <w:tcPr>
            <w:tcW w:w="425" w:type="dxa"/>
            <w:tcBorders>
              <w:top w:val="single" w:sz="4" w:space="0" w:color="000000"/>
              <w:left w:val="nil"/>
              <w:right w:val="single" w:sz="4" w:space="0" w:color="000000"/>
            </w:tcBorders>
            <w:shd w:val="clear" w:color="auto" w:fill="auto"/>
            <w:vAlign w:val="center"/>
          </w:tcPr>
          <w:p w14:paraId="7A05A2FC" w14:textId="77777777" w:rsidR="00AA6557" w:rsidRPr="00666914" w:rsidRDefault="00AA6557">
            <w:pPr>
              <w:spacing w:after="0"/>
              <w:jc w:val="center"/>
              <w:rPr>
                <w:i/>
                <w:color w:val="000000"/>
                <w:sz w:val="20"/>
                <w:szCs w:val="20"/>
              </w:rPr>
            </w:pPr>
            <w:r w:rsidRPr="00666914">
              <w:rPr>
                <w:i/>
                <w:color w:val="000000"/>
                <w:sz w:val="20"/>
                <w:szCs w:val="20"/>
              </w:rPr>
              <w:t>13</w:t>
            </w:r>
          </w:p>
        </w:tc>
      </w:tr>
      <w:tr w:rsidR="00AA6557" w:rsidRPr="00666914" w14:paraId="49C55266" w14:textId="77777777">
        <w:trPr>
          <w:trHeight w:val="270"/>
        </w:trPr>
        <w:tc>
          <w:tcPr>
            <w:tcW w:w="861" w:type="dxa"/>
            <w:tcBorders>
              <w:left w:val="single" w:sz="4" w:space="0" w:color="000000"/>
              <w:right w:val="single" w:sz="4" w:space="0" w:color="000000"/>
            </w:tcBorders>
            <w:shd w:val="clear" w:color="auto" w:fill="auto"/>
            <w:vAlign w:val="center"/>
          </w:tcPr>
          <w:p w14:paraId="5939B004" w14:textId="77777777" w:rsidR="00AA6557" w:rsidRPr="00666914" w:rsidRDefault="00AA6557">
            <w:pPr>
              <w:spacing w:after="0"/>
              <w:jc w:val="center"/>
              <w:rPr>
                <w:b/>
                <w:color w:val="000000"/>
                <w:sz w:val="20"/>
                <w:szCs w:val="20"/>
              </w:rPr>
            </w:pPr>
            <w:r w:rsidRPr="00666914">
              <w:rPr>
                <w:b/>
                <w:color w:val="000000"/>
                <w:sz w:val="20"/>
                <w:szCs w:val="20"/>
              </w:rPr>
              <w:t>TT</w:t>
            </w:r>
          </w:p>
        </w:tc>
        <w:tc>
          <w:tcPr>
            <w:tcW w:w="992" w:type="dxa"/>
            <w:tcBorders>
              <w:left w:val="single" w:sz="4" w:space="0" w:color="000000"/>
              <w:right w:val="single" w:sz="4" w:space="0" w:color="000000"/>
            </w:tcBorders>
            <w:shd w:val="clear" w:color="auto" w:fill="auto"/>
            <w:vAlign w:val="center"/>
          </w:tcPr>
          <w:p w14:paraId="1522659E" w14:textId="77777777" w:rsidR="00AA6557" w:rsidRPr="00666914" w:rsidRDefault="00AA6557">
            <w:pPr>
              <w:spacing w:after="0"/>
              <w:jc w:val="center"/>
              <w:rPr>
                <w:color w:val="000000"/>
                <w:sz w:val="20"/>
                <w:szCs w:val="20"/>
              </w:rPr>
            </w:pPr>
            <w:r w:rsidRPr="00666914">
              <w:rPr>
                <w:color w:val="000000"/>
                <w:sz w:val="20"/>
                <w:szCs w:val="20"/>
              </w:rPr>
              <w:t>310</w:t>
            </w:r>
          </w:p>
        </w:tc>
        <w:tc>
          <w:tcPr>
            <w:tcW w:w="1276" w:type="dxa"/>
            <w:tcBorders>
              <w:left w:val="single" w:sz="4" w:space="0" w:color="000000"/>
              <w:right w:val="single" w:sz="4" w:space="0" w:color="000000"/>
            </w:tcBorders>
            <w:shd w:val="clear" w:color="auto" w:fill="auto"/>
            <w:vAlign w:val="center"/>
          </w:tcPr>
          <w:p w14:paraId="63A121E8" w14:textId="77777777" w:rsidR="00AA6557" w:rsidRPr="00666914" w:rsidRDefault="00AA6557">
            <w:pPr>
              <w:spacing w:after="0"/>
              <w:jc w:val="center"/>
              <w:rPr>
                <w:color w:val="000000"/>
                <w:sz w:val="20"/>
                <w:szCs w:val="20"/>
              </w:rPr>
            </w:pPr>
            <w:r w:rsidRPr="00666914">
              <w:rPr>
                <w:color w:val="000000"/>
                <w:sz w:val="20"/>
                <w:szCs w:val="20"/>
              </w:rPr>
              <w:t>3 359</w:t>
            </w:r>
          </w:p>
        </w:tc>
        <w:tc>
          <w:tcPr>
            <w:tcW w:w="1417" w:type="dxa"/>
            <w:tcBorders>
              <w:left w:val="single" w:sz="4" w:space="0" w:color="000000"/>
              <w:right w:val="nil"/>
            </w:tcBorders>
            <w:shd w:val="clear" w:color="auto" w:fill="auto"/>
            <w:vAlign w:val="center"/>
          </w:tcPr>
          <w:p w14:paraId="379EB45F" w14:textId="77777777" w:rsidR="00AA6557" w:rsidRPr="00666914" w:rsidRDefault="00AA6557">
            <w:pPr>
              <w:spacing w:after="0"/>
              <w:jc w:val="center"/>
              <w:rPr>
                <w:color w:val="000000"/>
                <w:sz w:val="20"/>
                <w:szCs w:val="20"/>
              </w:rPr>
            </w:pPr>
            <w:r w:rsidRPr="00666914">
              <w:rPr>
                <w:color w:val="000000"/>
                <w:sz w:val="20"/>
                <w:szCs w:val="20"/>
              </w:rPr>
              <w:t>2 430</w:t>
            </w:r>
          </w:p>
        </w:tc>
        <w:tc>
          <w:tcPr>
            <w:tcW w:w="426" w:type="dxa"/>
            <w:tcBorders>
              <w:left w:val="nil"/>
              <w:right w:val="single" w:sz="4" w:space="0" w:color="000000"/>
            </w:tcBorders>
            <w:shd w:val="clear" w:color="auto" w:fill="auto"/>
            <w:vAlign w:val="center"/>
          </w:tcPr>
          <w:p w14:paraId="5E7A7A59" w14:textId="77777777" w:rsidR="00AA6557" w:rsidRPr="00666914" w:rsidRDefault="00AA6557">
            <w:pPr>
              <w:spacing w:after="0"/>
              <w:jc w:val="center"/>
              <w:rPr>
                <w:i/>
                <w:color w:val="000000"/>
                <w:sz w:val="20"/>
                <w:szCs w:val="20"/>
              </w:rPr>
            </w:pPr>
            <w:r w:rsidRPr="00666914">
              <w:rPr>
                <w:i/>
                <w:color w:val="000000"/>
                <w:sz w:val="20"/>
                <w:szCs w:val="20"/>
              </w:rPr>
              <w:t>72</w:t>
            </w:r>
          </w:p>
        </w:tc>
        <w:tc>
          <w:tcPr>
            <w:tcW w:w="1559" w:type="dxa"/>
            <w:tcBorders>
              <w:left w:val="single" w:sz="4" w:space="0" w:color="000000"/>
              <w:right w:val="nil"/>
            </w:tcBorders>
            <w:shd w:val="clear" w:color="auto" w:fill="auto"/>
            <w:vAlign w:val="center"/>
          </w:tcPr>
          <w:p w14:paraId="1BB4A05F" w14:textId="77777777" w:rsidR="00AA6557" w:rsidRPr="00666914" w:rsidRDefault="00AA6557">
            <w:pPr>
              <w:spacing w:after="0"/>
              <w:jc w:val="center"/>
              <w:rPr>
                <w:color w:val="000000"/>
                <w:sz w:val="20"/>
                <w:szCs w:val="20"/>
              </w:rPr>
            </w:pPr>
            <w:r w:rsidRPr="00666914">
              <w:rPr>
                <w:color w:val="000000"/>
                <w:sz w:val="20"/>
                <w:szCs w:val="20"/>
              </w:rPr>
              <w:t>569</w:t>
            </w:r>
          </w:p>
        </w:tc>
        <w:tc>
          <w:tcPr>
            <w:tcW w:w="425" w:type="dxa"/>
            <w:tcBorders>
              <w:left w:val="nil"/>
              <w:right w:val="single" w:sz="4" w:space="0" w:color="000000"/>
            </w:tcBorders>
            <w:shd w:val="clear" w:color="auto" w:fill="auto"/>
            <w:vAlign w:val="center"/>
          </w:tcPr>
          <w:p w14:paraId="7B790F89" w14:textId="77777777" w:rsidR="00AA6557" w:rsidRPr="00666914" w:rsidRDefault="00AA6557">
            <w:pPr>
              <w:spacing w:after="0"/>
              <w:jc w:val="center"/>
              <w:rPr>
                <w:i/>
                <w:color w:val="000000"/>
                <w:sz w:val="20"/>
                <w:szCs w:val="20"/>
              </w:rPr>
            </w:pPr>
            <w:r w:rsidRPr="00666914">
              <w:rPr>
                <w:i/>
                <w:color w:val="000000"/>
                <w:sz w:val="20"/>
                <w:szCs w:val="20"/>
              </w:rPr>
              <w:t>17</w:t>
            </w:r>
          </w:p>
        </w:tc>
        <w:tc>
          <w:tcPr>
            <w:tcW w:w="1701" w:type="dxa"/>
            <w:tcBorders>
              <w:left w:val="single" w:sz="4" w:space="0" w:color="000000"/>
              <w:right w:val="nil"/>
            </w:tcBorders>
            <w:shd w:val="clear" w:color="auto" w:fill="auto"/>
            <w:vAlign w:val="center"/>
          </w:tcPr>
          <w:p w14:paraId="6E55EF5B" w14:textId="77777777" w:rsidR="00AA6557" w:rsidRPr="00666914" w:rsidRDefault="00AA6557">
            <w:pPr>
              <w:spacing w:after="0"/>
              <w:jc w:val="center"/>
              <w:rPr>
                <w:color w:val="000000"/>
                <w:sz w:val="20"/>
                <w:szCs w:val="20"/>
              </w:rPr>
            </w:pPr>
            <w:r w:rsidRPr="00666914">
              <w:rPr>
                <w:color w:val="000000"/>
                <w:sz w:val="20"/>
                <w:szCs w:val="20"/>
              </w:rPr>
              <w:t>359</w:t>
            </w:r>
          </w:p>
        </w:tc>
        <w:tc>
          <w:tcPr>
            <w:tcW w:w="425" w:type="dxa"/>
            <w:tcBorders>
              <w:left w:val="nil"/>
              <w:right w:val="single" w:sz="4" w:space="0" w:color="000000"/>
            </w:tcBorders>
            <w:shd w:val="clear" w:color="auto" w:fill="auto"/>
            <w:vAlign w:val="center"/>
          </w:tcPr>
          <w:p w14:paraId="71CC682C" w14:textId="77777777" w:rsidR="00AA6557" w:rsidRPr="00666914" w:rsidRDefault="00AA6557">
            <w:pPr>
              <w:spacing w:after="0"/>
              <w:jc w:val="center"/>
              <w:rPr>
                <w:i/>
                <w:color w:val="000000"/>
                <w:sz w:val="20"/>
                <w:szCs w:val="20"/>
              </w:rPr>
            </w:pPr>
            <w:r w:rsidRPr="00666914">
              <w:rPr>
                <w:i/>
                <w:color w:val="000000"/>
                <w:sz w:val="20"/>
                <w:szCs w:val="20"/>
              </w:rPr>
              <w:t>11</w:t>
            </w:r>
          </w:p>
        </w:tc>
      </w:tr>
      <w:tr w:rsidR="00AA6557" w:rsidRPr="00666914" w14:paraId="576DE206" w14:textId="77777777">
        <w:trPr>
          <w:trHeight w:val="270"/>
        </w:trPr>
        <w:tc>
          <w:tcPr>
            <w:tcW w:w="861" w:type="dxa"/>
            <w:tcBorders>
              <w:left w:val="single" w:sz="4" w:space="0" w:color="000000"/>
              <w:right w:val="single" w:sz="4" w:space="0" w:color="000000"/>
            </w:tcBorders>
            <w:shd w:val="clear" w:color="auto" w:fill="auto"/>
            <w:vAlign w:val="center"/>
          </w:tcPr>
          <w:p w14:paraId="31F6FAFB" w14:textId="77777777" w:rsidR="00AA6557" w:rsidRPr="00666914" w:rsidRDefault="00AA6557">
            <w:pPr>
              <w:spacing w:after="0"/>
              <w:jc w:val="center"/>
              <w:rPr>
                <w:b/>
                <w:color w:val="000000"/>
                <w:sz w:val="20"/>
                <w:szCs w:val="20"/>
              </w:rPr>
            </w:pPr>
            <w:r w:rsidRPr="00666914">
              <w:rPr>
                <w:b/>
                <w:color w:val="000000"/>
                <w:sz w:val="20"/>
                <w:szCs w:val="20"/>
              </w:rPr>
              <w:t>TN</w:t>
            </w:r>
          </w:p>
        </w:tc>
        <w:tc>
          <w:tcPr>
            <w:tcW w:w="992" w:type="dxa"/>
            <w:tcBorders>
              <w:left w:val="single" w:sz="4" w:space="0" w:color="000000"/>
              <w:right w:val="single" w:sz="4" w:space="0" w:color="000000"/>
            </w:tcBorders>
            <w:shd w:val="clear" w:color="auto" w:fill="auto"/>
            <w:vAlign w:val="center"/>
          </w:tcPr>
          <w:p w14:paraId="6B07468C" w14:textId="77777777" w:rsidR="00AA6557" w:rsidRPr="00666914" w:rsidRDefault="00AA6557">
            <w:pPr>
              <w:spacing w:after="0"/>
              <w:jc w:val="center"/>
              <w:rPr>
                <w:color w:val="000000"/>
                <w:sz w:val="20"/>
                <w:szCs w:val="20"/>
              </w:rPr>
            </w:pPr>
            <w:r w:rsidRPr="00666914">
              <w:rPr>
                <w:color w:val="000000"/>
                <w:sz w:val="20"/>
                <w:szCs w:val="20"/>
              </w:rPr>
              <w:t>327</w:t>
            </w:r>
          </w:p>
        </w:tc>
        <w:tc>
          <w:tcPr>
            <w:tcW w:w="1276" w:type="dxa"/>
            <w:tcBorders>
              <w:left w:val="single" w:sz="4" w:space="0" w:color="000000"/>
              <w:right w:val="single" w:sz="4" w:space="0" w:color="000000"/>
            </w:tcBorders>
            <w:shd w:val="clear" w:color="auto" w:fill="auto"/>
            <w:vAlign w:val="center"/>
          </w:tcPr>
          <w:p w14:paraId="112A611F" w14:textId="77777777" w:rsidR="00AA6557" w:rsidRPr="00666914" w:rsidRDefault="00AA6557">
            <w:pPr>
              <w:spacing w:after="0"/>
              <w:jc w:val="center"/>
              <w:rPr>
                <w:color w:val="000000"/>
                <w:sz w:val="20"/>
                <w:szCs w:val="20"/>
              </w:rPr>
            </w:pPr>
            <w:r w:rsidRPr="00666914">
              <w:rPr>
                <w:color w:val="000000"/>
                <w:sz w:val="20"/>
                <w:szCs w:val="20"/>
              </w:rPr>
              <w:t>3 766</w:t>
            </w:r>
          </w:p>
        </w:tc>
        <w:tc>
          <w:tcPr>
            <w:tcW w:w="1417" w:type="dxa"/>
            <w:tcBorders>
              <w:left w:val="single" w:sz="4" w:space="0" w:color="000000"/>
              <w:right w:val="nil"/>
            </w:tcBorders>
            <w:shd w:val="clear" w:color="auto" w:fill="auto"/>
            <w:vAlign w:val="center"/>
          </w:tcPr>
          <w:p w14:paraId="21DCAA45" w14:textId="77777777" w:rsidR="00AA6557" w:rsidRPr="00666914" w:rsidRDefault="00AA6557">
            <w:pPr>
              <w:spacing w:after="0"/>
              <w:jc w:val="center"/>
              <w:rPr>
                <w:color w:val="000000"/>
                <w:sz w:val="20"/>
                <w:szCs w:val="20"/>
              </w:rPr>
            </w:pPr>
            <w:r w:rsidRPr="00666914">
              <w:rPr>
                <w:color w:val="000000"/>
                <w:sz w:val="20"/>
                <w:szCs w:val="20"/>
              </w:rPr>
              <w:t>1 542</w:t>
            </w:r>
          </w:p>
        </w:tc>
        <w:tc>
          <w:tcPr>
            <w:tcW w:w="426" w:type="dxa"/>
            <w:tcBorders>
              <w:left w:val="nil"/>
              <w:right w:val="single" w:sz="4" w:space="0" w:color="000000"/>
            </w:tcBorders>
            <w:shd w:val="clear" w:color="auto" w:fill="auto"/>
            <w:vAlign w:val="center"/>
          </w:tcPr>
          <w:p w14:paraId="297CE1E6" w14:textId="77777777" w:rsidR="00AA6557" w:rsidRPr="00666914" w:rsidRDefault="00AA6557">
            <w:pPr>
              <w:spacing w:after="0"/>
              <w:jc w:val="center"/>
              <w:rPr>
                <w:i/>
                <w:color w:val="000000"/>
                <w:sz w:val="20"/>
                <w:szCs w:val="20"/>
              </w:rPr>
            </w:pPr>
            <w:r w:rsidRPr="00666914">
              <w:rPr>
                <w:i/>
                <w:color w:val="000000"/>
                <w:sz w:val="20"/>
                <w:szCs w:val="20"/>
              </w:rPr>
              <w:t>41</w:t>
            </w:r>
          </w:p>
        </w:tc>
        <w:tc>
          <w:tcPr>
            <w:tcW w:w="1559" w:type="dxa"/>
            <w:tcBorders>
              <w:left w:val="single" w:sz="4" w:space="0" w:color="000000"/>
              <w:right w:val="nil"/>
            </w:tcBorders>
            <w:shd w:val="clear" w:color="auto" w:fill="auto"/>
            <w:vAlign w:val="center"/>
          </w:tcPr>
          <w:p w14:paraId="36F2FD50" w14:textId="77777777" w:rsidR="00AA6557" w:rsidRPr="00666914" w:rsidRDefault="00AA6557">
            <w:pPr>
              <w:spacing w:after="0"/>
              <w:jc w:val="center"/>
              <w:rPr>
                <w:color w:val="000000"/>
                <w:sz w:val="20"/>
                <w:szCs w:val="20"/>
              </w:rPr>
            </w:pPr>
            <w:r w:rsidRPr="00666914">
              <w:rPr>
                <w:color w:val="000000"/>
                <w:sz w:val="20"/>
                <w:szCs w:val="20"/>
              </w:rPr>
              <w:t>1 984</w:t>
            </w:r>
          </w:p>
        </w:tc>
        <w:tc>
          <w:tcPr>
            <w:tcW w:w="425" w:type="dxa"/>
            <w:tcBorders>
              <w:left w:val="nil"/>
              <w:right w:val="single" w:sz="4" w:space="0" w:color="000000"/>
            </w:tcBorders>
            <w:shd w:val="clear" w:color="auto" w:fill="auto"/>
            <w:vAlign w:val="center"/>
          </w:tcPr>
          <w:p w14:paraId="22ECA7DA" w14:textId="77777777" w:rsidR="00AA6557" w:rsidRPr="00666914" w:rsidRDefault="00AA6557">
            <w:pPr>
              <w:spacing w:after="0"/>
              <w:jc w:val="center"/>
              <w:rPr>
                <w:i/>
                <w:color w:val="000000"/>
                <w:sz w:val="20"/>
                <w:szCs w:val="20"/>
              </w:rPr>
            </w:pPr>
            <w:r w:rsidRPr="00666914">
              <w:rPr>
                <w:i/>
                <w:color w:val="000000"/>
                <w:sz w:val="20"/>
                <w:szCs w:val="20"/>
              </w:rPr>
              <w:t>53</w:t>
            </w:r>
          </w:p>
        </w:tc>
        <w:tc>
          <w:tcPr>
            <w:tcW w:w="1701" w:type="dxa"/>
            <w:tcBorders>
              <w:left w:val="single" w:sz="4" w:space="0" w:color="000000"/>
              <w:right w:val="nil"/>
            </w:tcBorders>
            <w:shd w:val="clear" w:color="auto" w:fill="auto"/>
            <w:vAlign w:val="center"/>
          </w:tcPr>
          <w:p w14:paraId="6BF01C1A" w14:textId="77777777" w:rsidR="00AA6557" w:rsidRPr="00666914" w:rsidRDefault="00AA6557">
            <w:pPr>
              <w:spacing w:after="0"/>
              <w:jc w:val="center"/>
              <w:rPr>
                <w:color w:val="000000"/>
                <w:sz w:val="20"/>
                <w:szCs w:val="20"/>
              </w:rPr>
            </w:pPr>
            <w:r w:rsidRPr="00666914">
              <w:rPr>
                <w:color w:val="000000"/>
                <w:sz w:val="20"/>
                <w:szCs w:val="20"/>
              </w:rPr>
              <w:t>240</w:t>
            </w:r>
          </w:p>
        </w:tc>
        <w:tc>
          <w:tcPr>
            <w:tcW w:w="425" w:type="dxa"/>
            <w:tcBorders>
              <w:left w:val="nil"/>
              <w:right w:val="single" w:sz="4" w:space="0" w:color="000000"/>
            </w:tcBorders>
            <w:shd w:val="clear" w:color="auto" w:fill="auto"/>
            <w:vAlign w:val="center"/>
          </w:tcPr>
          <w:p w14:paraId="7572FD57" w14:textId="77777777" w:rsidR="00AA6557" w:rsidRPr="00666914" w:rsidRDefault="00AA6557">
            <w:pPr>
              <w:spacing w:after="0"/>
              <w:jc w:val="center"/>
              <w:rPr>
                <w:i/>
                <w:color w:val="000000"/>
                <w:sz w:val="20"/>
                <w:szCs w:val="20"/>
              </w:rPr>
            </w:pPr>
            <w:r w:rsidRPr="00666914">
              <w:rPr>
                <w:i/>
                <w:color w:val="000000"/>
                <w:sz w:val="20"/>
                <w:szCs w:val="20"/>
              </w:rPr>
              <w:t>6</w:t>
            </w:r>
          </w:p>
        </w:tc>
      </w:tr>
      <w:tr w:rsidR="00AA6557" w:rsidRPr="00666914" w14:paraId="110C49D7" w14:textId="77777777">
        <w:trPr>
          <w:trHeight w:val="270"/>
        </w:trPr>
        <w:tc>
          <w:tcPr>
            <w:tcW w:w="861" w:type="dxa"/>
            <w:tcBorders>
              <w:left w:val="single" w:sz="4" w:space="0" w:color="000000"/>
              <w:right w:val="single" w:sz="4" w:space="0" w:color="000000"/>
            </w:tcBorders>
            <w:shd w:val="clear" w:color="auto" w:fill="auto"/>
            <w:vAlign w:val="center"/>
          </w:tcPr>
          <w:p w14:paraId="2D84DDEB" w14:textId="77777777" w:rsidR="00AA6557" w:rsidRPr="00666914" w:rsidRDefault="00AA6557">
            <w:pPr>
              <w:spacing w:after="0"/>
              <w:jc w:val="center"/>
              <w:rPr>
                <w:b/>
                <w:color w:val="000000"/>
                <w:sz w:val="20"/>
                <w:szCs w:val="20"/>
              </w:rPr>
            </w:pPr>
            <w:r w:rsidRPr="00666914">
              <w:rPr>
                <w:b/>
                <w:color w:val="000000"/>
                <w:sz w:val="20"/>
                <w:szCs w:val="20"/>
              </w:rPr>
              <w:t>NR</w:t>
            </w:r>
          </w:p>
        </w:tc>
        <w:tc>
          <w:tcPr>
            <w:tcW w:w="992" w:type="dxa"/>
            <w:tcBorders>
              <w:left w:val="single" w:sz="4" w:space="0" w:color="000000"/>
              <w:right w:val="single" w:sz="4" w:space="0" w:color="000000"/>
            </w:tcBorders>
            <w:shd w:val="clear" w:color="auto" w:fill="auto"/>
            <w:vAlign w:val="center"/>
          </w:tcPr>
          <w:p w14:paraId="5D423CC3" w14:textId="77777777" w:rsidR="00AA6557" w:rsidRPr="00666914" w:rsidRDefault="00AA6557">
            <w:pPr>
              <w:spacing w:after="0"/>
              <w:jc w:val="center"/>
              <w:rPr>
                <w:color w:val="000000"/>
                <w:sz w:val="20"/>
                <w:szCs w:val="20"/>
              </w:rPr>
            </w:pPr>
            <w:r w:rsidRPr="00666914">
              <w:rPr>
                <w:color w:val="000000"/>
                <w:sz w:val="20"/>
                <w:szCs w:val="20"/>
              </w:rPr>
              <w:t>411</w:t>
            </w:r>
          </w:p>
        </w:tc>
        <w:tc>
          <w:tcPr>
            <w:tcW w:w="1276" w:type="dxa"/>
            <w:tcBorders>
              <w:left w:val="single" w:sz="4" w:space="0" w:color="000000"/>
              <w:right w:val="single" w:sz="4" w:space="0" w:color="000000"/>
            </w:tcBorders>
            <w:shd w:val="clear" w:color="auto" w:fill="auto"/>
            <w:vAlign w:val="center"/>
          </w:tcPr>
          <w:p w14:paraId="5121EE1D" w14:textId="77777777" w:rsidR="00AA6557" w:rsidRPr="00666914" w:rsidRDefault="00AA6557">
            <w:pPr>
              <w:spacing w:after="0"/>
              <w:jc w:val="center"/>
              <w:rPr>
                <w:color w:val="000000"/>
                <w:sz w:val="20"/>
                <w:szCs w:val="20"/>
              </w:rPr>
            </w:pPr>
            <w:r w:rsidRPr="00666914">
              <w:rPr>
                <w:color w:val="000000"/>
                <w:sz w:val="20"/>
                <w:szCs w:val="20"/>
              </w:rPr>
              <w:t>5 394</w:t>
            </w:r>
          </w:p>
        </w:tc>
        <w:tc>
          <w:tcPr>
            <w:tcW w:w="1417" w:type="dxa"/>
            <w:tcBorders>
              <w:left w:val="single" w:sz="4" w:space="0" w:color="000000"/>
              <w:right w:val="nil"/>
            </w:tcBorders>
            <w:shd w:val="clear" w:color="auto" w:fill="auto"/>
            <w:vAlign w:val="center"/>
          </w:tcPr>
          <w:p w14:paraId="1DB8B03E" w14:textId="77777777" w:rsidR="00AA6557" w:rsidRPr="00666914" w:rsidRDefault="00AA6557">
            <w:pPr>
              <w:spacing w:after="0"/>
              <w:jc w:val="center"/>
              <w:rPr>
                <w:color w:val="000000"/>
                <w:sz w:val="20"/>
                <w:szCs w:val="20"/>
              </w:rPr>
            </w:pPr>
            <w:r w:rsidRPr="00666914">
              <w:rPr>
                <w:color w:val="000000"/>
                <w:sz w:val="20"/>
                <w:szCs w:val="20"/>
              </w:rPr>
              <w:t>4 080</w:t>
            </w:r>
          </w:p>
        </w:tc>
        <w:tc>
          <w:tcPr>
            <w:tcW w:w="426" w:type="dxa"/>
            <w:tcBorders>
              <w:left w:val="nil"/>
              <w:right w:val="single" w:sz="4" w:space="0" w:color="000000"/>
            </w:tcBorders>
            <w:shd w:val="clear" w:color="auto" w:fill="auto"/>
            <w:vAlign w:val="center"/>
          </w:tcPr>
          <w:p w14:paraId="514E0EF8" w14:textId="77777777" w:rsidR="00AA6557" w:rsidRPr="00666914" w:rsidRDefault="00AA6557">
            <w:pPr>
              <w:spacing w:after="0"/>
              <w:jc w:val="center"/>
              <w:rPr>
                <w:i/>
                <w:color w:val="000000"/>
                <w:sz w:val="20"/>
                <w:szCs w:val="20"/>
              </w:rPr>
            </w:pPr>
            <w:r w:rsidRPr="00666914">
              <w:rPr>
                <w:i/>
                <w:color w:val="000000"/>
                <w:sz w:val="20"/>
                <w:szCs w:val="20"/>
              </w:rPr>
              <w:t>76</w:t>
            </w:r>
          </w:p>
        </w:tc>
        <w:tc>
          <w:tcPr>
            <w:tcW w:w="1559" w:type="dxa"/>
            <w:tcBorders>
              <w:left w:val="single" w:sz="4" w:space="0" w:color="000000"/>
              <w:right w:val="nil"/>
            </w:tcBorders>
            <w:shd w:val="clear" w:color="auto" w:fill="auto"/>
            <w:vAlign w:val="center"/>
          </w:tcPr>
          <w:p w14:paraId="3AA10EC5" w14:textId="77777777" w:rsidR="00AA6557" w:rsidRPr="00666914" w:rsidRDefault="00AA6557">
            <w:pPr>
              <w:spacing w:after="0"/>
              <w:jc w:val="center"/>
              <w:rPr>
                <w:color w:val="000000"/>
                <w:sz w:val="20"/>
                <w:szCs w:val="20"/>
              </w:rPr>
            </w:pPr>
            <w:r w:rsidRPr="00666914">
              <w:rPr>
                <w:color w:val="000000"/>
                <w:sz w:val="20"/>
                <w:szCs w:val="20"/>
              </w:rPr>
              <w:t>909</w:t>
            </w:r>
          </w:p>
        </w:tc>
        <w:tc>
          <w:tcPr>
            <w:tcW w:w="425" w:type="dxa"/>
            <w:tcBorders>
              <w:left w:val="nil"/>
              <w:right w:val="single" w:sz="4" w:space="0" w:color="000000"/>
            </w:tcBorders>
            <w:shd w:val="clear" w:color="auto" w:fill="auto"/>
            <w:vAlign w:val="center"/>
          </w:tcPr>
          <w:p w14:paraId="4FC06AC4" w14:textId="77777777" w:rsidR="00AA6557" w:rsidRPr="00666914" w:rsidRDefault="00AA6557">
            <w:pPr>
              <w:spacing w:after="0"/>
              <w:jc w:val="center"/>
              <w:rPr>
                <w:i/>
                <w:color w:val="000000"/>
                <w:sz w:val="20"/>
                <w:szCs w:val="20"/>
              </w:rPr>
            </w:pPr>
            <w:r w:rsidRPr="00666914">
              <w:rPr>
                <w:i/>
                <w:color w:val="000000"/>
                <w:sz w:val="20"/>
                <w:szCs w:val="20"/>
              </w:rPr>
              <w:t>17</w:t>
            </w:r>
          </w:p>
        </w:tc>
        <w:tc>
          <w:tcPr>
            <w:tcW w:w="1701" w:type="dxa"/>
            <w:tcBorders>
              <w:left w:val="single" w:sz="4" w:space="0" w:color="000000"/>
              <w:right w:val="nil"/>
            </w:tcBorders>
            <w:shd w:val="clear" w:color="auto" w:fill="auto"/>
            <w:vAlign w:val="center"/>
          </w:tcPr>
          <w:p w14:paraId="23CCBAD2" w14:textId="77777777" w:rsidR="00AA6557" w:rsidRPr="00666914" w:rsidRDefault="00AA6557">
            <w:pPr>
              <w:spacing w:after="0"/>
              <w:jc w:val="center"/>
              <w:rPr>
                <w:color w:val="000000"/>
                <w:sz w:val="20"/>
                <w:szCs w:val="20"/>
              </w:rPr>
            </w:pPr>
            <w:r w:rsidRPr="00666914">
              <w:rPr>
                <w:color w:val="000000"/>
                <w:sz w:val="20"/>
                <w:szCs w:val="20"/>
              </w:rPr>
              <w:t>405</w:t>
            </w:r>
          </w:p>
        </w:tc>
        <w:tc>
          <w:tcPr>
            <w:tcW w:w="425" w:type="dxa"/>
            <w:tcBorders>
              <w:left w:val="nil"/>
              <w:right w:val="single" w:sz="4" w:space="0" w:color="000000"/>
            </w:tcBorders>
            <w:shd w:val="clear" w:color="auto" w:fill="auto"/>
            <w:vAlign w:val="center"/>
          </w:tcPr>
          <w:p w14:paraId="0027C70F" w14:textId="77777777" w:rsidR="00AA6557" w:rsidRPr="00666914" w:rsidRDefault="00AA6557">
            <w:pPr>
              <w:spacing w:after="0"/>
              <w:jc w:val="center"/>
              <w:rPr>
                <w:i/>
                <w:color w:val="000000"/>
                <w:sz w:val="20"/>
                <w:szCs w:val="20"/>
              </w:rPr>
            </w:pPr>
            <w:r w:rsidRPr="00666914">
              <w:rPr>
                <w:i/>
                <w:color w:val="000000"/>
                <w:sz w:val="20"/>
                <w:szCs w:val="20"/>
              </w:rPr>
              <w:t>8</w:t>
            </w:r>
          </w:p>
        </w:tc>
      </w:tr>
      <w:tr w:rsidR="00AA6557" w:rsidRPr="00666914" w14:paraId="3CCC3DE4" w14:textId="77777777">
        <w:trPr>
          <w:trHeight w:val="270"/>
        </w:trPr>
        <w:tc>
          <w:tcPr>
            <w:tcW w:w="861" w:type="dxa"/>
            <w:tcBorders>
              <w:left w:val="single" w:sz="4" w:space="0" w:color="000000"/>
              <w:right w:val="single" w:sz="4" w:space="0" w:color="000000"/>
            </w:tcBorders>
            <w:shd w:val="clear" w:color="auto" w:fill="auto"/>
            <w:vAlign w:val="center"/>
          </w:tcPr>
          <w:p w14:paraId="1F798A36" w14:textId="77777777" w:rsidR="00AA6557" w:rsidRPr="00666914" w:rsidRDefault="00AA6557">
            <w:pPr>
              <w:spacing w:after="0"/>
              <w:jc w:val="center"/>
              <w:rPr>
                <w:b/>
                <w:color w:val="000000"/>
                <w:sz w:val="20"/>
                <w:szCs w:val="20"/>
              </w:rPr>
            </w:pPr>
            <w:r w:rsidRPr="00666914">
              <w:rPr>
                <w:b/>
                <w:color w:val="000000"/>
                <w:sz w:val="20"/>
                <w:szCs w:val="20"/>
              </w:rPr>
              <w:t>ZA</w:t>
            </w:r>
          </w:p>
        </w:tc>
        <w:tc>
          <w:tcPr>
            <w:tcW w:w="992" w:type="dxa"/>
            <w:tcBorders>
              <w:left w:val="single" w:sz="4" w:space="0" w:color="000000"/>
              <w:right w:val="single" w:sz="4" w:space="0" w:color="000000"/>
            </w:tcBorders>
            <w:shd w:val="clear" w:color="auto" w:fill="auto"/>
            <w:vAlign w:val="center"/>
          </w:tcPr>
          <w:p w14:paraId="14B7F7F1" w14:textId="77777777" w:rsidR="00AA6557" w:rsidRPr="00666914" w:rsidRDefault="00AA6557">
            <w:pPr>
              <w:spacing w:after="0"/>
              <w:jc w:val="center"/>
              <w:rPr>
                <w:color w:val="000000"/>
                <w:sz w:val="20"/>
                <w:szCs w:val="20"/>
              </w:rPr>
            </w:pPr>
            <w:r w:rsidRPr="00666914">
              <w:rPr>
                <w:color w:val="000000"/>
                <w:sz w:val="20"/>
                <w:szCs w:val="20"/>
              </w:rPr>
              <w:t>367</w:t>
            </w:r>
          </w:p>
        </w:tc>
        <w:tc>
          <w:tcPr>
            <w:tcW w:w="1276" w:type="dxa"/>
            <w:tcBorders>
              <w:left w:val="single" w:sz="4" w:space="0" w:color="000000"/>
              <w:right w:val="single" w:sz="4" w:space="0" w:color="000000"/>
            </w:tcBorders>
            <w:shd w:val="clear" w:color="auto" w:fill="auto"/>
            <w:vAlign w:val="center"/>
          </w:tcPr>
          <w:p w14:paraId="70AF98B0" w14:textId="77777777" w:rsidR="00AA6557" w:rsidRPr="00666914" w:rsidRDefault="00AA6557">
            <w:pPr>
              <w:spacing w:after="0"/>
              <w:jc w:val="center"/>
              <w:rPr>
                <w:color w:val="000000"/>
                <w:sz w:val="20"/>
                <w:szCs w:val="20"/>
              </w:rPr>
            </w:pPr>
            <w:r w:rsidRPr="00666914">
              <w:rPr>
                <w:color w:val="000000"/>
                <w:sz w:val="20"/>
                <w:szCs w:val="20"/>
              </w:rPr>
              <w:t>5 914</w:t>
            </w:r>
          </w:p>
        </w:tc>
        <w:tc>
          <w:tcPr>
            <w:tcW w:w="1417" w:type="dxa"/>
            <w:tcBorders>
              <w:left w:val="single" w:sz="4" w:space="0" w:color="000000"/>
              <w:right w:val="nil"/>
            </w:tcBorders>
            <w:shd w:val="clear" w:color="auto" w:fill="auto"/>
            <w:vAlign w:val="center"/>
          </w:tcPr>
          <w:p w14:paraId="1B81845C" w14:textId="77777777" w:rsidR="00AA6557" w:rsidRPr="00666914" w:rsidRDefault="00AA6557">
            <w:pPr>
              <w:spacing w:after="0"/>
              <w:jc w:val="center"/>
              <w:rPr>
                <w:color w:val="000000"/>
                <w:sz w:val="20"/>
                <w:szCs w:val="20"/>
              </w:rPr>
            </w:pPr>
            <w:r w:rsidRPr="00666914">
              <w:rPr>
                <w:color w:val="000000"/>
                <w:sz w:val="20"/>
                <w:szCs w:val="20"/>
              </w:rPr>
              <w:t>2 115</w:t>
            </w:r>
          </w:p>
        </w:tc>
        <w:tc>
          <w:tcPr>
            <w:tcW w:w="426" w:type="dxa"/>
            <w:tcBorders>
              <w:left w:val="nil"/>
              <w:right w:val="single" w:sz="4" w:space="0" w:color="000000"/>
            </w:tcBorders>
            <w:shd w:val="clear" w:color="auto" w:fill="auto"/>
            <w:vAlign w:val="center"/>
          </w:tcPr>
          <w:p w14:paraId="52BF90F7" w14:textId="77777777" w:rsidR="00AA6557" w:rsidRPr="00666914" w:rsidRDefault="00AA6557">
            <w:pPr>
              <w:spacing w:after="0"/>
              <w:jc w:val="center"/>
              <w:rPr>
                <w:i/>
                <w:color w:val="000000"/>
                <w:sz w:val="20"/>
                <w:szCs w:val="20"/>
              </w:rPr>
            </w:pPr>
            <w:r w:rsidRPr="00666914">
              <w:rPr>
                <w:i/>
                <w:color w:val="000000"/>
                <w:sz w:val="20"/>
                <w:szCs w:val="20"/>
              </w:rPr>
              <w:t>36</w:t>
            </w:r>
          </w:p>
        </w:tc>
        <w:tc>
          <w:tcPr>
            <w:tcW w:w="1559" w:type="dxa"/>
            <w:tcBorders>
              <w:left w:val="single" w:sz="4" w:space="0" w:color="000000"/>
              <w:right w:val="nil"/>
            </w:tcBorders>
            <w:shd w:val="clear" w:color="auto" w:fill="auto"/>
            <w:vAlign w:val="center"/>
          </w:tcPr>
          <w:p w14:paraId="1A2941E1" w14:textId="77777777" w:rsidR="00AA6557" w:rsidRPr="00666914" w:rsidRDefault="00AA6557">
            <w:pPr>
              <w:spacing w:after="0"/>
              <w:jc w:val="center"/>
              <w:rPr>
                <w:color w:val="000000"/>
                <w:sz w:val="20"/>
                <w:szCs w:val="20"/>
              </w:rPr>
            </w:pPr>
            <w:r w:rsidRPr="00666914">
              <w:rPr>
                <w:color w:val="000000"/>
                <w:sz w:val="20"/>
                <w:szCs w:val="20"/>
              </w:rPr>
              <w:t>3 467</w:t>
            </w:r>
          </w:p>
        </w:tc>
        <w:tc>
          <w:tcPr>
            <w:tcW w:w="425" w:type="dxa"/>
            <w:tcBorders>
              <w:left w:val="nil"/>
              <w:right w:val="single" w:sz="4" w:space="0" w:color="000000"/>
            </w:tcBorders>
            <w:shd w:val="clear" w:color="auto" w:fill="auto"/>
            <w:vAlign w:val="center"/>
          </w:tcPr>
          <w:p w14:paraId="3BD108AA" w14:textId="77777777" w:rsidR="00AA6557" w:rsidRPr="00666914" w:rsidRDefault="00AA6557">
            <w:pPr>
              <w:spacing w:after="0"/>
              <w:jc w:val="center"/>
              <w:rPr>
                <w:i/>
                <w:color w:val="000000"/>
                <w:sz w:val="20"/>
                <w:szCs w:val="20"/>
              </w:rPr>
            </w:pPr>
            <w:r w:rsidRPr="00666914">
              <w:rPr>
                <w:i/>
                <w:color w:val="000000"/>
                <w:sz w:val="20"/>
                <w:szCs w:val="20"/>
              </w:rPr>
              <w:t>59</w:t>
            </w:r>
          </w:p>
        </w:tc>
        <w:tc>
          <w:tcPr>
            <w:tcW w:w="1701" w:type="dxa"/>
            <w:tcBorders>
              <w:left w:val="single" w:sz="4" w:space="0" w:color="000000"/>
              <w:right w:val="nil"/>
            </w:tcBorders>
            <w:shd w:val="clear" w:color="auto" w:fill="auto"/>
            <w:vAlign w:val="center"/>
          </w:tcPr>
          <w:p w14:paraId="5D4636E0" w14:textId="77777777" w:rsidR="00AA6557" w:rsidRPr="00666914" w:rsidRDefault="00AA6557">
            <w:pPr>
              <w:spacing w:after="0"/>
              <w:jc w:val="center"/>
              <w:rPr>
                <w:color w:val="000000"/>
                <w:sz w:val="20"/>
                <w:szCs w:val="20"/>
              </w:rPr>
            </w:pPr>
            <w:r w:rsidRPr="00666914">
              <w:rPr>
                <w:color w:val="000000"/>
                <w:sz w:val="20"/>
                <w:szCs w:val="20"/>
              </w:rPr>
              <w:t>332</w:t>
            </w:r>
          </w:p>
        </w:tc>
        <w:tc>
          <w:tcPr>
            <w:tcW w:w="425" w:type="dxa"/>
            <w:tcBorders>
              <w:left w:val="nil"/>
              <w:right w:val="single" w:sz="4" w:space="0" w:color="000000"/>
            </w:tcBorders>
            <w:shd w:val="clear" w:color="auto" w:fill="auto"/>
            <w:vAlign w:val="center"/>
          </w:tcPr>
          <w:p w14:paraId="69B41666" w14:textId="77777777" w:rsidR="00AA6557" w:rsidRPr="00666914" w:rsidRDefault="00AA6557">
            <w:pPr>
              <w:spacing w:after="0"/>
              <w:jc w:val="center"/>
              <w:rPr>
                <w:i/>
                <w:color w:val="000000"/>
                <w:sz w:val="20"/>
                <w:szCs w:val="20"/>
              </w:rPr>
            </w:pPr>
            <w:r w:rsidRPr="00666914">
              <w:rPr>
                <w:i/>
                <w:color w:val="000000"/>
                <w:sz w:val="20"/>
                <w:szCs w:val="20"/>
              </w:rPr>
              <w:t>6</w:t>
            </w:r>
          </w:p>
        </w:tc>
      </w:tr>
      <w:tr w:rsidR="00AA6557" w:rsidRPr="00666914" w14:paraId="2710248F" w14:textId="77777777">
        <w:trPr>
          <w:trHeight w:val="270"/>
        </w:trPr>
        <w:tc>
          <w:tcPr>
            <w:tcW w:w="861" w:type="dxa"/>
            <w:tcBorders>
              <w:left w:val="single" w:sz="4" w:space="0" w:color="000000"/>
              <w:right w:val="single" w:sz="4" w:space="0" w:color="000000"/>
            </w:tcBorders>
            <w:shd w:val="clear" w:color="auto" w:fill="auto"/>
            <w:vAlign w:val="center"/>
          </w:tcPr>
          <w:p w14:paraId="026F30D1" w14:textId="77777777" w:rsidR="00AA6557" w:rsidRPr="00666914" w:rsidRDefault="00AA6557">
            <w:pPr>
              <w:spacing w:after="0"/>
              <w:jc w:val="center"/>
              <w:rPr>
                <w:b/>
                <w:color w:val="000000"/>
                <w:sz w:val="20"/>
                <w:szCs w:val="20"/>
              </w:rPr>
            </w:pPr>
            <w:r w:rsidRPr="00666914">
              <w:rPr>
                <w:b/>
                <w:color w:val="000000"/>
                <w:sz w:val="20"/>
                <w:szCs w:val="20"/>
              </w:rPr>
              <w:t>BB</w:t>
            </w:r>
          </w:p>
        </w:tc>
        <w:tc>
          <w:tcPr>
            <w:tcW w:w="992" w:type="dxa"/>
            <w:tcBorders>
              <w:left w:val="single" w:sz="4" w:space="0" w:color="000000"/>
              <w:right w:val="single" w:sz="4" w:space="0" w:color="000000"/>
            </w:tcBorders>
            <w:shd w:val="clear" w:color="auto" w:fill="auto"/>
            <w:vAlign w:val="center"/>
          </w:tcPr>
          <w:p w14:paraId="7EB0855C" w14:textId="77777777" w:rsidR="00AA6557" w:rsidRPr="00666914" w:rsidRDefault="00AA6557">
            <w:pPr>
              <w:spacing w:after="0"/>
              <w:jc w:val="center"/>
              <w:rPr>
                <w:color w:val="000000"/>
                <w:sz w:val="20"/>
                <w:szCs w:val="20"/>
              </w:rPr>
            </w:pPr>
            <w:r w:rsidRPr="00666914">
              <w:rPr>
                <w:color w:val="000000"/>
                <w:sz w:val="20"/>
                <w:szCs w:val="20"/>
              </w:rPr>
              <w:t>515</w:t>
            </w:r>
          </w:p>
        </w:tc>
        <w:tc>
          <w:tcPr>
            <w:tcW w:w="1276" w:type="dxa"/>
            <w:tcBorders>
              <w:left w:val="single" w:sz="4" w:space="0" w:color="000000"/>
              <w:right w:val="single" w:sz="4" w:space="0" w:color="000000"/>
            </w:tcBorders>
            <w:shd w:val="clear" w:color="auto" w:fill="auto"/>
            <w:vAlign w:val="center"/>
          </w:tcPr>
          <w:p w14:paraId="54F9068B" w14:textId="77777777" w:rsidR="00AA6557" w:rsidRPr="00666914" w:rsidRDefault="00AA6557">
            <w:pPr>
              <w:spacing w:after="0"/>
              <w:jc w:val="center"/>
              <w:rPr>
                <w:color w:val="000000"/>
                <w:sz w:val="20"/>
                <w:szCs w:val="20"/>
              </w:rPr>
            </w:pPr>
            <w:r w:rsidRPr="00666914">
              <w:rPr>
                <w:color w:val="000000"/>
                <w:sz w:val="20"/>
                <w:szCs w:val="20"/>
              </w:rPr>
              <w:t>7 661</w:t>
            </w:r>
          </w:p>
        </w:tc>
        <w:tc>
          <w:tcPr>
            <w:tcW w:w="1417" w:type="dxa"/>
            <w:tcBorders>
              <w:left w:val="single" w:sz="4" w:space="0" w:color="000000"/>
              <w:right w:val="nil"/>
            </w:tcBorders>
            <w:shd w:val="clear" w:color="auto" w:fill="auto"/>
            <w:vAlign w:val="center"/>
          </w:tcPr>
          <w:p w14:paraId="707CF775" w14:textId="77777777" w:rsidR="00AA6557" w:rsidRPr="00666914" w:rsidRDefault="00AA6557">
            <w:pPr>
              <w:spacing w:after="0"/>
              <w:jc w:val="center"/>
              <w:rPr>
                <w:color w:val="000000"/>
                <w:sz w:val="20"/>
                <w:szCs w:val="20"/>
              </w:rPr>
            </w:pPr>
            <w:r w:rsidRPr="00666914">
              <w:rPr>
                <w:color w:val="000000"/>
                <w:sz w:val="20"/>
                <w:szCs w:val="20"/>
              </w:rPr>
              <w:t>3 405</w:t>
            </w:r>
          </w:p>
        </w:tc>
        <w:tc>
          <w:tcPr>
            <w:tcW w:w="426" w:type="dxa"/>
            <w:tcBorders>
              <w:left w:val="nil"/>
              <w:right w:val="single" w:sz="4" w:space="0" w:color="000000"/>
            </w:tcBorders>
            <w:shd w:val="clear" w:color="auto" w:fill="auto"/>
            <w:vAlign w:val="center"/>
          </w:tcPr>
          <w:p w14:paraId="052E321A" w14:textId="77777777" w:rsidR="00AA6557" w:rsidRPr="00666914" w:rsidRDefault="00AA6557">
            <w:pPr>
              <w:spacing w:after="0"/>
              <w:jc w:val="center"/>
              <w:rPr>
                <w:i/>
                <w:color w:val="000000"/>
                <w:sz w:val="20"/>
                <w:szCs w:val="20"/>
              </w:rPr>
            </w:pPr>
            <w:r w:rsidRPr="00666914">
              <w:rPr>
                <w:i/>
                <w:color w:val="000000"/>
                <w:sz w:val="20"/>
                <w:szCs w:val="20"/>
              </w:rPr>
              <w:t>44</w:t>
            </w:r>
          </w:p>
        </w:tc>
        <w:tc>
          <w:tcPr>
            <w:tcW w:w="1559" w:type="dxa"/>
            <w:tcBorders>
              <w:left w:val="single" w:sz="4" w:space="0" w:color="000000"/>
              <w:right w:val="nil"/>
            </w:tcBorders>
            <w:shd w:val="clear" w:color="auto" w:fill="auto"/>
            <w:vAlign w:val="center"/>
          </w:tcPr>
          <w:p w14:paraId="5844C6D1" w14:textId="77777777" w:rsidR="00AA6557" w:rsidRPr="00666914" w:rsidRDefault="00AA6557">
            <w:pPr>
              <w:spacing w:after="0"/>
              <w:jc w:val="center"/>
              <w:rPr>
                <w:color w:val="000000"/>
                <w:sz w:val="20"/>
                <w:szCs w:val="20"/>
              </w:rPr>
            </w:pPr>
            <w:r w:rsidRPr="00666914">
              <w:rPr>
                <w:color w:val="000000"/>
                <w:sz w:val="20"/>
                <w:szCs w:val="20"/>
              </w:rPr>
              <w:t>3 958</w:t>
            </w:r>
          </w:p>
        </w:tc>
        <w:tc>
          <w:tcPr>
            <w:tcW w:w="425" w:type="dxa"/>
            <w:tcBorders>
              <w:left w:val="nil"/>
              <w:right w:val="single" w:sz="4" w:space="0" w:color="000000"/>
            </w:tcBorders>
            <w:shd w:val="clear" w:color="auto" w:fill="auto"/>
            <w:vAlign w:val="center"/>
          </w:tcPr>
          <w:p w14:paraId="618C22AE" w14:textId="77777777" w:rsidR="00AA6557" w:rsidRPr="00666914" w:rsidRDefault="00AA6557">
            <w:pPr>
              <w:spacing w:after="0"/>
              <w:jc w:val="center"/>
              <w:rPr>
                <w:i/>
                <w:color w:val="000000"/>
                <w:sz w:val="20"/>
                <w:szCs w:val="20"/>
              </w:rPr>
            </w:pPr>
            <w:r w:rsidRPr="00666914">
              <w:rPr>
                <w:i/>
                <w:color w:val="000000"/>
                <w:sz w:val="20"/>
                <w:szCs w:val="20"/>
              </w:rPr>
              <w:t>52</w:t>
            </w:r>
          </w:p>
        </w:tc>
        <w:tc>
          <w:tcPr>
            <w:tcW w:w="1701" w:type="dxa"/>
            <w:tcBorders>
              <w:left w:val="single" w:sz="4" w:space="0" w:color="000000"/>
              <w:right w:val="nil"/>
            </w:tcBorders>
            <w:shd w:val="clear" w:color="auto" w:fill="auto"/>
            <w:vAlign w:val="center"/>
          </w:tcPr>
          <w:p w14:paraId="581B567C" w14:textId="77777777" w:rsidR="00AA6557" w:rsidRPr="00666914" w:rsidRDefault="00AA6557">
            <w:pPr>
              <w:spacing w:after="0"/>
              <w:jc w:val="center"/>
              <w:rPr>
                <w:color w:val="000000"/>
                <w:sz w:val="20"/>
                <w:szCs w:val="20"/>
              </w:rPr>
            </w:pPr>
            <w:r w:rsidRPr="00666914">
              <w:rPr>
                <w:color w:val="000000"/>
                <w:sz w:val="20"/>
                <w:szCs w:val="20"/>
              </w:rPr>
              <w:t>297</w:t>
            </w:r>
          </w:p>
        </w:tc>
        <w:tc>
          <w:tcPr>
            <w:tcW w:w="425" w:type="dxa"/>
            <w:tcBorders>
              <w:left w:val="nil"/>
              <w:right w:val="single" w:sz="4" w:space="0" w:color="000000"/>
            </w:tcBorders>
            <w:shd w:val="clear" w:color="auto" w:fill="auto"/>
            <w:vAlign w:val="center"/>
          </w:tcPr>
          <w:p w14:paraId="2BD1B4C1" w14:textId="77777777" w:rsidR="00AA6557" w:rsidRPr="00666914" w:rsidRDefault="00AA6557">
            <w:pPr>
              <w:spacing w:after="0"/>
              <w:jc w:val="center"/>
              <w:rPr>
                <w:i/>
                <w:color w:val="000000"/>
                <w:sz w:val="20"/>
                <w:szCs w:val="20"/>
              </w:rPr>
            </w:pPr>
            <w:r w:rsidRPr="00666914">
              <w:rPr>
                <w:i/>
                <w:color w:val="000000"/>
                <w:sz w:val="20"/>
                <w:szCs w:val="20"/>
              </w:rPr>
              <w:t>4</w:t>
            </w:r>
          </w:p>
        </w:tc>
      </w:tr>
      <w:tr w:rsidR="00AA6557" w:rsidRPr="00666914" w14:paraId="709B5CBE" w14:textId="77777777">
        <w:trPr>
          <w:trHeight w:val="270"/>
        </w:trPr>
        <w:tc>
          <w:tcPr>
            <w:tcW w:w="861" w:type="dxa"/>
            <w:tcBorders>
              <w:left w:val="single" w:sz="4" w:space="0" w:color="000000"/>
              <w:right w:val="single" w:sz="4" w:space="0" w:color="000000"/>
            </w:tcBorders>
            <w:shd w:val="clear" w:color="auto" w:fill="auto"/>
            <w:vAlign w:val="center"/>
          </w:tcPr>
          <w:p w14:paraId="315750A0" w14:textId="77777777" w:rsidR="00AA6557" w:rsidRPr="00666914" w:rsidRDefault="00AA6557">
            <w:pPr>
              <w:spacing w:after="0"/>
              <w:jc w:val="center"/>
              <w:rPr>
                <w:b/>
                <w:color w:val="000000"/>
                <w:sz w:val="20"/>
                <w:szCs w:val="20"/>
              </w:rPr>
            </w:pPr>
            <w:r w:rsidRPr="00666914">
              <w:rPr>
                <w:b/>
                <w:color w:val="000000"/>
                <w:sz w:val="20"/>
                <w:szCs w:val="20"/>
              </w:rPr>
              <w:t>PO</w:t>
            </w:r>
          </w:p>
        </w:tc>
        <w:tc>
          <w:tcPr>
            <w:tcW w:w="992" w:type="dxa"/>
            <w:tcBorders>
              <w:left w:val="single" w:sz="4" w:space="0" w:color="000000"/>
              <w:right w:val="single" w:sz="4" w:space="0" w:color="000000"/>
            </w:tcBorders>
            <w:shd w:val="clear" w:color="auto" w:fill="auto"/>
            <w:vAlign w:val="center"/>
          </w:tcPr>
          <w:p w14:paraId="7DBCD952" w14:textId="77777777" w:rsidR="00AA6557" w:rsidRPr="00666914" w:rsidRDefault="00AA6557">
            <w:pPr>
              <w:spacing w:after="0"/>
              <w:jc w:val="center"/>
              <w:rPr>
                <w:color w:val="000000"/>
                <w:sz w:val="20"/>
                <w:szCs w:val="20"/>
              </w:rPr>
            </w:pPr>
            <w:r w:rsidRPr="00666914">
              <w:rPr>
                <w:color w:val="000000"/>
                <w:sz w:val="20"/>
                <w:szCs w:val="20"/>
              </w:rPr>
              <w:t>634</w:t>
            </w:r>
          </w:p>
        </w:tc>
        <w:tc>
          <w:tcPr>
            <w:tcW w:w="1276" w:type="dxa"/>
            <w:tcBorders>
              <w:left w:val="single" w:sz="4" w:space="0" w:color="000000"/>
              <w:right w:val="single" w:sz="4" w:space="0" w:color="000000"/>
            </w:tcBorders>
            <w:shd w:val="clear" w:color="auto" w:fill="auto"/>
            <w:vAlign w:val="center"/>
          </w:tcPr>
          <w:p w14:paraId="50EA1EC4" w14:textId="77777777" w:rsidR="00AA6557" w:rsidRPr="00666914" w:rsidRDefault="00AA6557">
            <w:pPr>
              <w:spacing w:after="0"/>
              <w:jc w:val="center"/>
              <w:rPr>
                <w:color w:val="000000"/>
                <w:sz w:val="20"/>
                <w:szCs w:val="20"/>
              </w:rPr>
            </w:pPr>
            <w:r w:rsidRPr="00666914">
              <w:rPr>
                <w:color w:val="000000"/>
                <w:sz w:val="20"/>
                <w:szCs w:val="20"/>
              </w:rPr>
              <w:t>7 171</w:t>
            </w:r>
          </w:p>
        </w:tc>
        <w:tc>
          <w:tcPr>
            <w:tcW w:w="1417" w:type="dxa"/>
            <w:tcBorders>
              <w:left w:val="single" w:sz="4" w:space="0" w:color="000000"/>
              <w:right w:val="nil"/>
            </w:tcBorders>
            <w:shd w:val="clear" w:color="auto" w:fill="auto"/>
            <w:vAlign w:val="center"/>
          </w:tcPr>
          <w:p w14:paraId="40AB2855" w14:textId="77777777" w:rsidR="00AA6557" w:rsidRPr="00666914" w:rsidRDefault="00AA6557">
            <w:pPr>
              <w:spacing w:after="0"/>
              <w:jc w:val="center"/>
              <w:rPr>
                <w:color w:val="000000"/>
                <w:sz w:val="20"/>
                <w:szCs w:val="20"/>
              </w:rPr>
            </w:pPr>
            <w:r w:rsidRPr="00666914">
              <w:rPr>
                <w:color w:val="000000"/>
                <w:sz w:val="20"/>
                <w:szCs w:val="20"/>
              </w:rPr>
              <w:t>2 971</w:t>
            </w:r>
          </w:p>
        </w:tc>
        <w:tc>
          <w:tcPr>
            <w:tcW w:w="426" w:type="dxa"/>
            <w:tcBorders>
              <w:left w:val="nil"/>
              <w:right w:val="single" w:sz="4" w:space="0" w:color="000000"/>
            </w:tcBorders>
            <w:shd w:val="clear" w:color="auto" w:fill="auto"/>
            <w:vAlign w:val="center"/>
          </w:tcPr>
          <w:p w14:paraId="01372AA3" w14:textId="77777777" w:rsidR="00AA6557" w:rsidRPr="00666914" w:rsidRDefault="00AA6557">
            <w:pPr>
              <w:spacing w:after="0"/>
              <w:jc w:val="center"/>
              <w:rPr>
                <w:i/>
                <w:color w:val="000000"/>
                <w:sz w:val="20"/>
                <w:szCs w:val="20"/>
              </w:rPr>
            </w:pPr>
            <w:r w:rsidRPr="00666914">
              <w:rPr>
                <w:i/>
                <w:color w:val="000000"/>
                <w:sz w:val="20"/>
                <w:szCs w:val="20"/>
              </w:rPr>
              <w:t>41</w:t>
            </w:r>
          </w:p>
        </w:tc>
        <w:tc>
          <w:tcPr>
            <w:tcW w:w="1559" w:type="dxa"/>
            <w:tcBorders>
              <w:left w:val="single" w:sz="4" w:space="0" w:color="000000"/>
              <w:right w:val="nil"/>
            </w:tcBorders>
            <w:shd w:val="clear" w:color="auto" w:fill="auto"/>
            <w:vAlign w:val="center"/>
          </w:tcPr>
          <w:p w14:paraId="3C6B55F4" w14:textId="77777777" w:rsidR="00AA6557" w:rsidRPr="00666914" w:rsidRDefault="00AA6557">
            <w:pPr>
              <w:spacing w:after="0"/>
              <w:jc w:val="center"/>
              <w:rPr>
                <w:color w:val="000000"/>
                <w:sz w:val="20"/>
                <w:szCs w:val="20"/>
              </w:rPr>
            </w:pPr>
            <w:r w:rsidRPr="00666914">
              <w:rPr>
                <w:color w:val="000000"/>
                <w:sz w:val="20"/>
                <w:szCs w:val="20"/>
              </w:rPr>
              <w:t>3 815</w:t>
            </w:r>
          </w:p>
        </w:tc>
        <w:tc>
          <w:tcPr>
            <w:tcW w:w="425" w:type="dxa"/>
            <w:tcBorders>
              <w:left w:val="nil"/>
              <w:right w:val="single" w:sz="4" w:space="0" w:color="000000"/>
            </w:tcBorders>
            <w:shd w:val="clear" w:color="auto" w:fill="auto"/>
            <w:vAlign w:val="center"/>
          </w:tcPr>
          <w:p w14:paraId="7CCD47F5" w14:textId="77777777" w:rsidR="00AA6557" w:rsidRPr="00666914" w:rsidRDefault="00AA6557">
            <w:pPr>
              <w:spacing w:after="0"/>
              <w:jc w:val="center"/>
              <w:rPr>
                <w:i/>
                <w:color w:val="000000"/>
                <w:sz w:val="20"/>
                <w:szCs w:val="20"/>
              </w:rPr>
            </w:pPr>
            <w:r w:rsidRPr="00666914">
              <w:rPr>
                <w:i/>
                <w:color w:val="000000"/>
                <w:sz w:val="20"/>
                <w:szCs w:val="20"/>
              </w:rPr>
              <w:t>53</w:t>
            </w:r>
          </w:p>
        </w:tc>
        <w:tc>
          <w:tcPr>
            <w:tcW w:w="1701" w:type="dxa"/>
            <w:tcBorders>
              <w:left w:val="single" w:sz="4" w:space="0" w:color="000000"/>
              <w:right w:val="nil"/>
            </w:tcBorders>
            <w:shd w:val="clear" w:color="auto" w:fill="auto"/>
            <w:vAlign w:val="center"/>
          </w:tcPr>
          <w:p w14:paraId="6A4E70E5" w14:textId="77777777" w:rsidR="00AA6557" w:rsidRPr="00666914" w:rsidRDefault="00AA6557">
            <w:pPr>
              <w:spacing w:after="0"/>
              <w:jc w:val="center"/>
              <w:rPr>
                <w:color w:val="000000"/>
                <w:sz w:val="20"/>
                <w:szCs w:val="20"/>
              </w:rPr>
            </w:pPr>
            <w:r w:rsidRPr="00666914">
              <w:rPr>
                <w:color w:val="000000"/>
                <w:sz w:val="20"/>
                <w:szCs w:val="20"/>
              </w:rPr>
              <w:t>385</w:t>
            </w:r>
          </w:p>
        </w:tc>
        <w:tc>
          <w:tcPr>
            <w:tcW w:w="425" w:type="dxa"/>
            <w:tcBorders>
              <w:left w:val="nil"/>
              <w:right w:val="single" w:sz="4" w:space="0" w:color="000000"/>
            </w:tcBorders>
            <w:shd w:val="clear" w:color="auto" w:fill="auto"/>
            <w:vAlign w:val="center"/>
          </w:tcPr>
          <w:p w14:paraId="5E4DFACC" w14:textId="77777777" w:rsidR="00AA6557" w:rsidRPr="00666914" w:rsidRDefault="00AA6557">
            <w:pPr>
              <w:spacing w:after="0"/>
              <w:jc w:val="center"/>
              <w:rPr>
                <w:i/>
                <w:color w:val="000000"/>
                <w:sz w:val="20"/>
                <w:szCs w:val="20"/>
              </w:rPr>
            </w:pPr>
            <w:r w:rsidRPr="00666914">
              <w:rPr>
                <w:i/>
                <w:color w:val="000000"/>
                <w:sz w:val="20"/>
                <w:szCs w:val="20"/>
              </w:rPr>
              <w:t>5</w:t>
            </w:r>
          </w:p>
        </w:tc>
      </w:tr>
      <w:tr w:rsidR="00AA6557" w:rsidRPr="00666914" w14:paraId="6D3227D3" w14:textId="77777777">
        <w:trPr>
          <w:trHeight w:val="270"/>
        </w:trPr>
        <w:tc>
          <w:tcPr>
            <w:tcW w:w="861" w:type="dxa"/>
            <w:tcBorders>
              <w:left w:val="single" w:sz="4" w:space="0" w:color="000000"/>
              <w:bottom w:val="single" w:sz="4" w:space="0" w:color="000000"/>
              <w:right w:val="single" w:sz="4" w:space="0" w:color="000000"/>
            </w:tcBorders>
            <w:shd w:val="clear" w:color="auto" w:fill="auto"/>
            <w:vAlign w:val="center"/>
          </w:tcPr>
          <w:p w14:paraId="1341CFCD" w14:textId="77777777" w:rsidR="00AA6557" w:rsidRPr="00666914" w:rsidRDefault="00AA6557">
            <w:pPr>
              <w:spacing w:after="0"/>
              <w:jc w:val="center"/>
              <w:rPr>
                <w:b/>
                <w:color w:val="000000"/>
                <w:sz w:val="20"/>
                <w:szCs w:val="20"/>
              </w:rPr>
            </w:pPr>
            <w:r w:rsidRPr="00666914">
              <w:rPr>
                <w:b/>
                <w:color w:val="000000"/>
                <w:sz w:val="20"/>
                <w:szCs w:val="20"/>
              </w:rPr>
              <w:t>KE</w:t>
            </w:r>
          </w:p>
        </w:tc>
        <w:tc>
          <w:tcPr>
            <w:tcW w:w="992" w:type="dxa"/>
            <w:tcBorders>
              <w:left w:val="single" w:sz="4" w:space="0" w:color="000000"/>
              <w:bottom w:val="single" w:sz="4" w:space="0" w:color="000000"/>
              <w:right w:val="single" w:sz="4" w:space="0" w:color="000000"/>
            </w:tcBorders>
            <w:shd w:val="clear" w:color="auto" w:fill="auto"/>
            <w:vAlign w:val="center"/>
          </w:tcPr>
          <w:p w14:paraId="5ECD98CD" w14:textId="77777777" w:rsidR="00AA6557" w:rsidRPr="00666914" w:rsidRDefault="00AA6557">
            <w:pPr>
              <w:spacing w:after="0"/>
              <w:jc w:val="center"/>
              <w:rPr>
                <w:color w:val="000000"/>
                <w:sz w:val="20"/>
                <w:szCs w:val="20"/>
              </w:rPr>
            </w:pPr>
            <w:r w:rsidRPr="00666914">
              <w:rPr>
                <w:color w:val="000000"/>
                <w:sz w:val="20"/>
                <w:szCs w:val="20"/>
              </w:rPr>
              <w:t>446</w:t>
            </w:r>
          </w:p>
        </w:tc>
        <w:tc>
          <w:tcPr>
            <w:tcW w:w="1276" w:type="dxa"/>
            <w:tcBorders>
              <w:left w:val="single" w:sz="4" w:space="0" w:color="000000"/>
              <w:bottom w:val="single" w:sz="4" w:space="0" w:color="000000"/>
              <w:right w:val="single" w:sz="4" w:space="0" w:color="000000"/>
            </w:tcBorders>
            <w:shd w:val="clear" w:color="auto" w:fill="auto"/>
            <w:vAlign w:val="center"/>
          </w:tcPr>
          <w:p w14:paraId="106BEC8F" w14:textId="77777777" w:rsidR="00AA6557" w:rsidRPr="00666914" w:rsidRDefault="00AA6557">
            <w:pPr>
              <w:spacing w:after="0"/>
              <w:jc w:val="center"/>
              <w:rPr>
                <w:color w:val="000000"/>
                <w:sz w:val="20"/>
                <w:szCs w:val="20"/>
              </w:rPr>
            </w:pPr>
            <w:r w:rsidRPr="00666914">
              <w:rPr>
                <w:color w:val="000000"/>
                <w:sz w:val="20"/>
                <w:szCs w:val="20"/>
              </w:rPr>
              <w:t>5 740</w:t>
            </w:r>
          </w:p>
        </w:tc>
        <w:tc>
          <w:tcPr>
            <w:tcW w:w="1417" w:type="dxa"/>
            <w:tcBorders>
              <w:left w:val="single" w:sz="4" w:space="0" w:color="000000"/>
              <w:bottom w:val="single" w:sz="4" w:space="0" w:color="000000"/>
              <w:right w:val="nil"/>
            </w:tcBorders>
            <w:shd w:val="clear" w:color="auto" w:fill="auto"/>
            <w:vAlign w:val="center"/>
          </w:tcPr>
          <w:p w14:paraId="175ED5A3" w14:textId="77777777" w:rsidR="00AA6557" w:rsidRPr="00666914" w:rsidRDefault="00AA6557">
            <w:pPr>
              <w:spacing w:after="0"/>
              <w:jc w:val="center"/>
              <w:rPr>
                <w:color w:val="000000"/>
                <w:sz w:val="20"/>
                <w:szCs w:val="20"/>
              </w:rPr>
            </w:pPr>
            <w:r w:rsidRPr="00666914">
              <w:rPr>
                <w:color w:val="000000"/>
                <w:sz w:val="20"/>
                <w:szCs w:val="20"/>
              </w:rPr>
              <w:t>2 873</w:t>
            </w:r>
          </w:p>
        </w:tc>
        <w:tc>
          <w:tcPr>
            <w:tcW w:w="426" w:type="dxa"/>
            <w:tcBorders>
              <w:left w:val="nil"/>
              <w:bottom w:val="single" w:sz="4" w:space="0" w:color="000000"/>
              <w:right w:val="single" w:sz="4" w:space="0" w:color="000000"/>
            </w:tcBorders>
            <w:shd w:val="clear" w:color="auto" w:fill="auto"/>
            <w:vAlign w:val="center"/>
          </w:tcPr>
          <w:p w14:paraId="2C367DB9" w14:textId="77777777" w:rsidR="00AA6557" w:rsidRPr="00666914" w:rsidRDefault="00AA6557">
            <w:pPr>
              <w:spacing w:after="0"/>
              <w:jc w:val="center"/>
              <w:rPr>
                <w:i/>
                <w:color w:val="000000"/>
                <w:sz w:val="20"/>
                <w:szCs w:val="20"/>
              </w:rPr>
            </w:pPr>
            <w:r w:rsidRPr="00666914">
              <w:rPr>
                <w:i/>
                <w:color w:val="000000"/>
                <w:sz w:val="20"/>
                <w:szCs w:val="20"/>
              </w:rPr>
              <w:t>50</w:t>
            </w:r>
          </w:p>
        </w:tc>
        <w:tc>
          <w:tcPr>
            <w:tcW w:w="1559" w:type="dxa"/>
            <w:tcBorders>
              <w:left w:val="single" w:sz="4" w:space="0" w:color="000000"/>
              <w:bottom w:val="single" w:sz="4" w:space="0" w:color="000000"/>
              <w:right w:val="nil"/>
            </w:tcBorders>
            <w:shd w:val="clear" w:color="auto" w:fill="auto"/>
            <w:vAlign w:val="center"/>
          </w:tcPr>
          <w:p w14:paraId="4181DBD4" w14:textId="77777777" w:rsidR="00AA6557" w:rsidRPr="00666914" w:rsidRDefault="00AA6557">
            <w:pPr>
              <w:spacing w:after="0"/>
              <w:jc w:val="center"/>
              <w:rPr>
                <w:color w:val="000000"/>
                <w:sz w:val="20"/>
                <w:szCs w:val="20"/>
              </w:rPr>
            </w:pPr>
            <w:r w:rsidRPr="00666914">
              <w:rPr>
                <w:color w:val="000000"/>
                <w:sz w:val="20"/>
                <w:szCs w:val="20"/>
              </w:rPr>
              <w:t>2 437</w:t>
            </w:r>
          </w:p>
        </w:tc>
        <w:tc>
          <w:tcPr>
            <w:tcW w:w="425" w:type="dxa"/>
            <w:tcBorders>
              <w:left w:val="nil"/>
              <w:bottom w:val="single" w:sz="4" w:space="0" w:color="000000"/>
              <w:right w:val="single" w:sz="4" w:space="0" w:color="000000"/>
            </w:tcBorders>
            <w:shd w:val="clear" w:color="auto" w:fill="auto"/>
            <w:vAlign w:val="center"/>
          </w:tcPr>
          <w:p w14:paraId="2DDB21A5" w14:textId="77777777" w:rsidR="00AA6557" w:rsidRPr="00666914" w:rsidRDefault="00AA6557">
            <w:pPr>
              <w:spacing w:after="0"/>
              <w:jc w:val="center"/>
              <w:rPr>
                <w:i/>
                <w:color w:val="000000"/>
                <w:sz w:val="20"/>
                <w:szCs w:val="20"/>
              </w:rPr>
            </w:pPr>
            <w:r w:rsidRPr="00666914">
              <w:rPr>
                <w:i/>
                <w:color w:val="000000"/>
                <w:sz w:val="20"/>
                <w:szCs w:val="20"/>
              </w:rPr>
              <w:t>42</w:t>
            </w:r>
          </w:p>
        </w:tc>
        <w:tc>
          <w:tcPr>
            <w:tcW w:w="1701" w:type="dxa"/>
            <w:tcBorders>
              <w:left w:val="single" w:sz="4" w:space="0" w:color="000000"/>
              <w:bottom w:val="single" w:sz="4" w:space="0" w:color="000000"/>
              <w:right w:val="nil"/>
            </w:tcBorders>
            <w:shd w:val="clear" w:color="auto" w:fill="auto"/>
            <w:vAlign w:val="center"/>
          </w:tcPr>
          <w:p w14:paraId="4AA6714F" w14:textId="77777777" w:rsidR="00AA6557" w:rsidRPr="00666914" w:rsidRDefault="00AA6557">
            <w:pPr>
              <w:spacing w:after="0"/>
              <w:jc w:val="center"/>
              <w:rPr>
                <w:color w:val="000000"/>
                <w:sz w:val="20"/>
                <w:szCs w:val="20"/>
              </w:rPr>
            </w:pPr>
            <w:r w:rsidRPr="00666914">
              <w:rPr>
                <w:color w:val="000000"/>
                <w:sz w:val="20"/>
                <w:szCs w:val="20"/>
              </w:rPr>
              <w:t>431</w:t>
            </w:r>
          </w:p>
        </w:tc>
        <w:tc>
          <w:tcPr>
            <w:tcW w:w="425" w:type="dxa"/>
            <w:tcBorders>
              <w:left w:val="nil"/>
              <w:bottom w:val="single" w:sz="4" w:space="0" w:color="000000"/>
              <w:right w:val="single" w:sz="4" w:space="0" w:color="000000"/>
            </w:tcBorders>
            <w:shd w:val="clear" w:color="auto" w:fill="auto"/>
            <w:vAlign w:val="center"/>
          </w:tcPr>
          <w:p w14:paraId="6E55D0A4" w14:textId="77777777" w:rsidR="00AA6557" w:rsidRPr="00666914" w:rsidRDefault="00AA6557">
            <w:pPr>
              <w:spacing w:after="0"/>
              <w:jc w:val="center"/>
              <w:rPr>
                <w:i/>
                <w:color w:val="000000"/>
                <w:sz w:val="20"/>
                <w:szCs w:val="20"/>
              </w:rPr>
            </w:pPr>
            <w:r w:rsidRPr="00666914">
              <w:rPr>
                <w:i/>
                <w:color w:val="000000"/>
                <w:sz w:val="20"/>
                <w:szCs w:val="20"/>
              </w:rPr>
              <w:t>8</w:t>
            </w:r>
          </w:p>
        </w:tc>
      </w:tr>
      <w:tr w:rsidR="00AA6557" w:rsidRPr="00666914" w14:paraId="75F8489F" w14:textId="77777777">
        <w:trPr>
          <w:trHeight w:val="270"/>
        </w:trPr>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EBA6C" w14:textId="77777777" w:rsidR="00AA6557" w:rsidRPr="00666914" w:rsidRDefault="00AA6557">
            <w:pPr>
              <w:spacing w:after="0"/>
              <w:jc w:val="center"/>
              <w:rPr>
                <w:b/>
                <w:color w:val="000000"/>
                <w:sz w:val="20"/>
                <w:szCs w:val="20"/>
              </w:rPr>
            </w:pPr>
            <w:r w:rsidRPr="00666914">
              <w:rPr>
                <w:b/>
                <w:color w:val="000000"/>
                <w:sz w:val="20"/>
                <w:szCs w:val="20"/>
              </w:rPr>
              <w:t>SR</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282F2" w14:textId="77777777" w:rsidR="00AA6557" w:rsidRPr="00666914" w:rsidRDefault="00AA6557">
            <w:pPr>
              <w:spacing w:after="0"/>
              <w:jc w:val="center"/>
              <w:rPr>
                <w:b/>
                <w:color w:val="000000"/>
                <w:sz w:val="20"/>
                <w:szCs w:val="20"/>
              </w:rPr>
            </w:pPr>
            <w:r w:rsidRPr="00666914">
              <w:rPr>
                <w:b/>
                <w:color w:val="000000"/>
                <w:sz w:val="20"/>
                <w:szCs w:val="20"/>
              </w:rPr>
              <w:t>3 103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66338" w14:textId="77777777" w:rsidR="00AA6557" w:rsidRPr="00666914" w:rsidRDefault="00AA6557">
            <w:pPr>
              <w:spacing w:after="0"/>
              <w:jc w:val="center"/>
              <w:rPr>
                <w:b/>
                <w:color w:val="000000"/>
                <w:sz w:val="20"/>
                <w:szCs w:val="20"/>
              </w:rPr>
            </w:pPr>
            <w:r w:rsidRPr="00666914">
              <w:rPr>
                <w:b/>
                <w:color w:val="000000"/>
                <w:sz w:val="20"/>
                <w:szCs w:val="20"/>
              </w:rPr>
              <w:t>40 191</w:t>
            </w:r>
          </w:p>
        </w:tc>
        <w:tc>
          <w:tcPr>
            <w:tcW w:w="1417" w:type="dxa"/>
            <w:tcBorders>
              <w:top w:val="single" w:sz="4" w:space="0" w:color="000000"/>
              <w:left w:val="single" w:sz="4" w:space="0" w:color="000000"/>
              <w:bottom w:val="single" w:sz="4" w:space="0" w:color="000000"/>
              <w:right w:val="nil"/>
            </w:tcBorders>
            <w:shd w:val="clear" w:color="auto" w:fill="auto"/>
            <w:vAlign w:val="center"/>
          </w:tcPr>
          <w:p w14:paraId="672924FF" w14:textId="77777777" w:rsidR="00AA6557" w:rsidRPr="00666914" w:rsidRDefault="00AA6557">
            <w:pPr>
              <w:spacing w:after="0"/>
              <w:jc w:val="center"/>
              <w:rPr>
                <w:b/>
                <w:color w:val="000000"/>
                <w:sz w:val="20"/>
                <w:szCs w:val="20"/>
              </w:rPr>
            </w:pPr>
            <w:r w:rsidRPr="00666914">
              <w:rPr>
                <w:b/>
                <w:color w:val="000000"/>
                <w:sz w:val="20"/>
                <w:szCs w:val="20"/>
              </w:rPr>
              <w:t>20 070</w:t>
            </w:r>
          </w:p>
        </w:tc>
        <w:tc>
          <w:tcPr>
            <w:tcW w:w="426" w:type="dxa"/>
            <w:tcBorders>
              <w:top w:val="single" w:sz="4" w:space="0" w:color="000000"/>
              <w:left w:val="nil"/>
              <w:bottom w:val="single" w:sz="4" w:space="0" w:color="000000"/>
              <w:right w:val="single" w:sz="4" w:space="0" w:color="000000"/>
            </w:tcBorders>
            <w:shd w:val="clear" w:color="auto" w:fill="auto"/>
            <w:vAlign w:val="center"/>
          </w:tcPr>
          <w:p w14:paraId="307D39AF" w14:textId="77777777" w:rsidR="00AA6557" w:rsidRPr="00666914" w:rsidRDefault="00AA6557">
            <w:pPr>
              <w:spacing w:after="0"/>
              <w:jc w:val="center"/>
              <w:rPr>
                <w:b/>
                <w:i/>
                <w:color w:val="000000"/>
                <w:sz w:val="20"/>
                <w:szCs w:val="20"/>
              </w:rPr>
            </w:pPr>
            <w:r w:rsidRPr="00666914">
              <w:rPr>
                <w:b/>
                <w:i/>
                <w:color w:val="000000"/>
                <w:sz w:val="20"/>
                <w:szCs w:val="20"/>
              </w:rPr>
              <w:t>50</w:t>
            </w:r>
          </w:p>
        </w:tc>
        <w:tc>
          <w:tcPr>
            <w:tcW w:w="1559" w:type="dxa"/>
            <w:tcBorders>
              <w:top w:val="single" w:sz="4" w:space="0" w:color="000000"/>
              <w:left w:val="single" w:sz="4" w:space="0" w:color="000000"/>
              <w:bottom w:val="single" w:sz="4" w:space="0" w:color="000000"/>
              <w:right w:val="nil"/>
            </w:tcBorders>
            <w:shd w:val="clear" w:color="auto" w:fill="auto"/>
            <w:vAlign w:val="center"/>
          </w:tcPr>
          <w:p w14:paraId="4F1AA964" w14:textId="77777777" w:rsidR="00AA6557" w:rsidRPr="00666914" w:rsidRDefault="00AA6557">
            <w:pPr>
              <w:spacing w:after="0"/>
              <w:jc w:val="center"/>
              <w:rPr>
                <w:b/>
                <w:color w:val="000000"/>
                <w:sz w:val="20"/>
                <w:szCs w:val="20"/>
              </w:rPr>
            </w:pPr>
            <w:r w:rsidRPr="00666914">
              <w:rPr>
                <w:b/>
                <w:color w:val="000000"/>
                <w:sz w:val="20"/>
                <w:szCs w:val="20"/>
              </w:rPr>
              <w:t>17 519</w:t>
            </w:r>
          </w:p>
        </w:tc>
        <w:tc>
          <w:tcPr>
            <w:tcW w:w="425" w:type="dxa"/>
            <w:tcBorders>
              <w:top w:val="single" w:sz="4" w:space="0" w:color="000000"/>
              <w:left w:val="nil"/>
              <w:bottom w:val="single" w:sz="4" w:space="0" w:color="000000"/>
              <w:right w:val="single" w:sz="4" w:space="0" w:color="000000"/>
            </w:tcBorders>
            <w:shd w:val="clear" w:color="auto" w:fill="auto"/>
            <w:vAlign w:val="center"/>
          </w:tcPr>
          <w:p w14:paraId="4CE151B8" w14:textId="77777777" w:rsidR="00AA6557" w:rsidRPr="00666914" w:rsidRDefault="00AA6557">
            <w:pPr>
              <w:spacing w:after="0"/>
              <w:jc w:val="center"/>
              <w:rPr>
                <w:b/>
                <w:i/>
                <w:color w:val="000000"/>
                <w:sz w:val="20"/>
                <w:szCs w:val="20"/>
              </w:rPr>
            </w:pPr>
            <w:r w:rsidRPr="00666914">
              <w:rPr>
                <w:b/>
                <w:i/>
                <w:color w:val="000000"/>
                <w:sz w:val="20"/>
                <w:szCs w:val="20"/>
              </w:rPr>
              <w:t>44</w:t>
            </w:r>
          </w:p>
        </w:tc>
        <w:tc>
          <w:tcPr>
            <w:tcW w:w="1701" w:type="dxa"/>
            <w:tcBorders>
              <w:top w:val="single" w:sz="4" w:space="0" w:color="000000"/>
              <w:left w:val="single" w:sz="4" w:space="0" w:color="000000"/>
              <w:bottom w:val="single" w:sz="4" w:space="0" w:color="000000"/>
              <w:right w:val="nil"/>
            </w:tcBorders>
            <w:shd w:val="clear" w:color="auto" w:fill="auto"/>
            <w:vAlign w:val="center"/>
          </w:tcPr>
          <w:p w14:paraId="7B08EB5D" w14:textId="77777777" w:rsidR="00AA6557" w:rsidRPr="00666914" w:rsidRDefault="00AA6557">
            <w:pPr>
              <w:spacing w:after="0"/>
              <w:jc w:val="center"/>
              <w:rPr>
                <w:b/>
                <w:color w:val="000000"/>
                <w:sz w:val="20"/>
                <w:szCs w:val="20"/>
              </w:rPr>
            </w:pPr>
            <w:r w:rsidRPr="00666914">
              <w:rPr>
                <w:b/>
                <w:color w:val="000000"/>
                <w:sz w:val="20"/>
                <w:szCs w:val="20"/>
              </w:rPr>
              <w:t>2 602</w:t>
            </w:r>
          </w:p>
        </w:tc>
        <w:tc>
          <w:tcPr>
            <w:tcW w:w="425" w:type="dxa"/>
            <w:tcBorders>
              <w:top w:val="single" w:sz="4" w:space="0" w:color="000000"/>
              <w:left w:val="nil"/>
              <w:bottom w:val="single" w:sz="4" w:space="0" w:color="000000"/>
              <w:right w:val="single" w:sz="4" w:space="0" w:color="000000"/>
            </w:tcBorders>
            <w:shd w:val="clear" w:color="auto" w:fill="auto"/>
            <w:vAlign w:val="center"/>
          </w:tcPr>
          <w:p w14:paraId="203A41BA" w14:textId="77777777" w:rsidR="00AA6557" w:rsidRPr="00666914" w:rsidRDefault="00AA6557">
            <w:pPr>
              <w:spacing w:after="0"/>
              <w:jc w:val="center"/>
              <w:rPr>
                <w:b/>
                <w:i/>
                <w:color w:val="000000"/>
                <w:sz w:val="20"/>
                <w:szCs w:val="20"/>
              </w:rPr>
            </w:pPr>
            <w:r w:rsidRPr="00666914">
              <w:rPr>
                <w:b/>
                <w:i/>
                <w:color w:val="000000"/>
                <w:sz w:val="20"/>
                <w:szCs w:val="20"/>
              </w:rPr>
              <w:t>6</w:t>
            </w:r>
          </w:p>
        </w:tc>
      </w:tr>
      <w:tr w:rsidR="00AA6557" w:rsidRPr="00666914" w14:paraId="1056CE96" w14:textId="77777777">
        <w:trPr>
          <w:trHeight w:val="161"/>
        </w:trPr>
        <w:tc>
          <w:tcPr>
            <w:tcW w:w="9082" w:type="dxa"/>
            <w:gridSpan w:val="9"/>
            <w:tcBorders>
              <w:top w:val="single" w:sz="4" w:space="0" w:color="000000"/>
            </w:tcBorders>
            <w:shd w:val="clear" w:color="auto" w:fill="auto"/>
            <w:vAlign w:val="center"/>
          </w:tcPr>
          <w:p w14:paraId="5106E39D" w14:textId="77777777" w:rsidR="00AA6557" w:rsidRPr="00666914" w:rsidRDefault="00AA6557">
            <w:pPr>
              <w:spacing w:after="0"/>
              <w:jc w:val="right"/>
              <w:rPr>
                <w:i/>
                <w:color w:val="000000"/>
                <w:sz w:val="18"/>
                <w:szCs w:val="18"/>
              </w:rPr>
            </w:pPr>
            <w:r w:rsidRPr="00666914">
              <w:rPr>
                <w:i/>
                <w:color w:val="000000"/>
                <w:sz w:val="18"/>
                <w:szCs w:val="18"/>
              </w:rPr>
              <w:t>Zdroj: MPRV SR, spracovanie IJ</w:t>
            </w:r>
          </w:p>
        </w:tc>
      </w:tr>
    </w:tbl>
    <w:p w14:paraId="6D400E15" w14:textId="77777777" w:rsidR="00AA6557" w:rsidRPr="00666914" w:rsidRDefault="00AA6557">
      <w:pPr>
        <w:spacing w:after="0"/>
      </w:pPr>
    </w:p>
    <w:p w14:paraId="4D69214E" w14:textId="77777777" w:rsidR="00AA6557" w:rsidRPr="00666914" w:rsidRDefault="00AA6557">
      <w:pPr>
        <w:spacing w:after="0"/>
      </w:pPr>
      <w:r w:rsidRPr="00666914">
        <w:t xml:space="preserve">Najviac PPÚ v jednotlivých k. ú. bude vykonaných na východnom Slovensku v Prešovskom kraji, avšak podľa výmery sa najviac územia scelí v Banskobystrickom kraji. Vykonané PPÚ sa týkajú spravidla pozemkov nachádzajúcich sa v extraviláne k. ú. </w:t>
      </w:r>
    </w:p>
    <w:p w14:paraId="552F99E8" w14:textId="767E5F68" w:rsidR="00AA6557" w:rsidRPr="00666914" w:rsidRDefault="00C45DA3" w:rsidP="00287DFE">
      <w:pPr>
        <w:spacing w:before="240" w:after="0"/>
      </w:pPr>
      <w:sdt>
        <w:sdtPr>
          <w:tag w:val="goog_rdk_17"/>
          <w:id w:val="-1732457388"/>
        </w:sdtPr>
        <w:sdtEndPr/>
        <w:sdtContent/>
      </w:sdt>
      <w:sdt>
        <w:sdtPr>
          <w:tag w:val="goog_rdk_18"/>
          <w:id w:val="175012776"/>
        </w:sdtPr>
        <w:sdtEndPr/>
        <w:sdtContent/>
      </w:sdt>
      <w:r w:rsidR="00AA6557" w:rsidRPr="00666914">
        <w:t>Čo sa týka aktivít realizovaných MPRV SR za 4Q2019, na základe uznesenia vlády SR č. 593/2019 bol pre začatie pozemkových úprav v roku 2020</w:t>
      </w:r>
      <w:r w:rsidR="00AA6557" w:rsidRPr="00666914">
        <w:rPr>
          <w:vertAlign w:val="superscript"/>
        </w:rPr>
        <w:footnoteReference w:id="425"/>
      </w:r>
      <w:r w:rsidR="00AA6557" w:rsidRPr="00666914">
        <w:t xml:space="preserve"> prijatý návrh s konkrétnym zoznamom 120 k. ú. vybratých Komisiou pre vyhodnotenie kritérií na stanovenie naliehavosti vykonania PÚ a výber k. ú</w:t>
      </w:r>
      <w:r w:rsidR="00AA6557" w:rsidRPr="00666914">
        <w:rPr>
          <w:vertAlign w:val="superscript"/>
        </w:rPr>
        <w:footnoteReference w:id="426"/>
      </w:r>
      <w:r w:rsidR="00AA6557" w:rsidRPr="00666914">
        <w:t xml:space="preserve">. Predpokladaný objem finančných prostriedkov nevyhnutných na vykonanie PÚ v 120 k. ú. predstavuje približne 68 mil. eur. Očakávaná výška </w:t>
      </w:r>
      <w:r w:rsidR="00AA6557" w:rsidRPr="00666914">
        <w:lastRenderedPageBreak/>
        <w:t>celkových nákladov realizácie týchto vybraných PPÚ v roku 2020 je vyššia ako očakávané priemerné hodnoty</w:t>
      </w:r>
      <w:r w:rsidR="00F80AA4" w:rsidRPr="00666914">
        <w:t xml:space="preserve">,  </w:t>
      </w:r>
      <w:r w:rsidR="00AA6557" w:rsidRPr="00666914">
        <w:t>preto</w:t>
      </w:r>
      <w:r w:rsidR="00F80AA4" w:rsidRPr="00666914">
        <w:t xml:space="preserve">že </w:t>
      </w:r>
      <w:r w:rsidR="00AA6557" w:rsidRPr="00666914">
        <w:t>ide o najnaliehavejšie, najzložitejšie a najprácnejšie k. ú</w:t>
      </w:r>
      <w:r w:rsidR="00AA6557" w:rsidRPr="00666914">
        <w:rPr>
          <w:vertAlign w:val="superscript"/>
        </w:rPr>
        <w:footnoteReference w:id="427"/>
      </w:r>
      <w:r w:rsidR="00AA6557" w:rsidRPr="00666914">
        <w:t>. Komisia okrem vlastníckych a užívacích kritérií v rámci odborných mimorezortných kritérií zohľadnila pre nasledujúci rok k. ú. v najmenej rozvinutých okresoch a chránených vodohospodárskych oblastiach. Finančné prostriedky budú čerpané postupne vždy po odovzdaní etáp a ucelených častí PPÚ, pričom očakávaná priemerná dĺžka trvania celého konania PÚ je 5 rokov. Realizácia PPÚ bude v 27 k. ú. začatá v roku 2020 a v 93 k. ú. až po verejnom obstarávaní v roku 2021</w:t>
      </w:r>
      <w:r w:rsidR="00AA6557" w:rsidRPr="00666914">
        <w:rPr>
          <w:vertAlign w:val="superscript"/>
        </w:rPr>
        <w:footnoteReference w:id="428"/>
      </w:r>
      <w:r w:rsidR="00AA6557" w:rsidRPr="00666914">
        <w:t>.</w:t>
      </w:r>
      <w:r w:rsidR="00AA6557" w:rsidRPr="00666914">
        <w:rPr>
          <w:vertAlign w:val="superscript"/>
        </w:rPr>
        <w:t xml:space="preserve"> </w:t>
      </w:r>
    </w:p>
    <w:p w14:paraId="1E303AB1" w14:textId="07EF5BE2" w:rsidR="00AA6557" w:rsidRPr="00666914" w:rsidRDefault="00AA6557" w:rsidP="00287DFE">
      <w:pPr>
        <w:spacing w:before="240" w:after="0"/>
      </w:pPr>
      <w:r w:rsidRPr="00666914">
        <w:rPr>
          <w:b/>
        </w:rPr>
        <w:t>K efektívnejšiemu a odbornejšiemu vykonaniu PÚ, ako aj zrýchleniu procesu realizácie PPÚ mala počas roka 2019 prispieť aj pripravovaná novela zákona o PÚ</w:t>
      </w:r>
      <w:r w:rsidRPr="00666914">
        <w:t>, usporiadaní pozemkového vlastníctva, pozemkových úradoch, pozemkovom fonde a o pozemkových spoločenstvách</w:t>
      </w:r>
      <w:r w:rsidRPr="00666914">
        <w:rPr>
          <w:vertAlign w:val="superscript"/>
        </w:rPr>
        <w:footnoteReference w:id="429"/>
      </w:r>
      <w:r w:rsidRPr="00666914">
        <w:t>. V 12/2019 bola však schválená novela zákona vrátená prezidentkou SR</w:t>
      </w:r>
      <w:r w:rsidRPr="00666914">
        <w:rPr>
          <w:vertAlign w:val="superscript"/>
        </w:rPr>
        <w:footnoteReference w:id="430"/>
      </w:r>
      <w:r w:rsidRPr="00666914">
        <w:t xml:space="preserve"> do NR SR</w:t>
      </w:r>
      <w:r w:rsidR="00F80AA4" w:rsidRPr="00666914">
        <w:t xml:space="preserve"> a tá ju </w:t>
      </w:r>
      <w:r w:rsidRPr="00666914">
        <w:t>vo svojom druhom hlasovaní už neschválila</w:t>
      </w:r>
      <w:r w:rsidRPr="00666914">
        <w:rPr>
          <w:vertAlign w:val="superscript"/>
        </w:rPr>
        <w:footnoteReference w:id="431"/>
      </w:r>
      <w:r w:rsidRPr="00666914">
        <w:t xml:space="preserve">.  V súčasnosti sa vykonávajú pozemkové úpravy bez schválenej legislatívnej úpravy, čo podľa IJ spomalí vykonávanie PPÚ oproti variantu s novelizovanou legislatívou PÚ. </w:t>
      </w:r>
      <w:r w:rsidRPr="00666914">
        <w:rPr>
          <w:b/>
        </w:rPr>
        <w:t>Prijatím novely zákona 330/1991 Zb., by okrem iného, boli jasne stanovené vzdelanostné a odborné kritériá, čo by malo pozitívny vplyv na vykonávanie PÚ.</w:t>
      </w:r>
    </w:p>
    <w:p w14:paraId="3B4850DF" w14:textId="77777777" w:rsidR="00AA6557" w:rsidRPr="00666914" w:rsidRDefault="00AA6557" w:rsidP="00287DFE">
      <w:pPr>
        <w:spacing w:before="240" w:after="0"/>
      </w:pPr>
      <w:r w:rsidRPr="00666914">
        <w:rPr>
          <w:b/>
        </w:rPr>
        <w:t xml:space="preserve">Pre splnenie </w:t>
      </w:r>
      <w:sdt>
        <w:sdtPr>
          <w:tag w:val="goog_rdk_21"/>
          <w:id w:val="-822428362"/>
        </w:sdtPr>
        <w:sdtEndPr/>
        <w:sdtContent/>
      </w:sdt>
      <w:sdt>
        <w:sdtPr>
          <w:tag w:val="goog_rdk_22"/>
          <w:id w:val="561064908"/>
        </w:sdtPr>
        <w:sdtEndPr/>
        <w:sdtContent/>
      </w:sdt>
      <w:sdt>
        <w:sdtPr>
          <w:tag w:val="goog_rdk_23"/>
          <w:id w:val="-1867674873"/>
        </w:sdtPr>
        <w:sdtEndPr/>
        <w:sdtContent/>
      </w:sdt>
      <w:r w:rsidRPr="00666914">
        <w:rPr>
          <w:b/>
        </w:rPr>
        <w:t xml:space="preserve">cieľa scelenia 3 103 k. ú. do roku 2049 musí MPRV SR každoročne vykonať aspoň 104 PPÚ. </w:t>
      </w:r>
      <w:r w:rsidRPr="00666914">
        <w:t>Od roku 2019 je na každý nasledujúci rok vybratých 120 k. ú., kde sa PÚ budú realizovať. V 4Q2019 bolo začatých 9 PPÚ v okrese Trebišov</w:t>
      </w:r>
      <w:r w:rsidRPr="00666914">
        <w:rPr>
          <w:vertAlign w:val="superscript"/>
        </w:rPr>
        <w:footnoteReference w:id="432"/>
      </w:r>
      <w:r w:rsidRPr="00666914">
        <w:t xml:space="preserve"> a 1 PPÚ v okrese Senica</w:t>
      </w:r>
      <w:r w:rsidRPr="00666914">
        <w:rPr>
          <w:vertAlign w:val="superscript"/>
        </w:rPr>
        <w:footnoteReference w:id="433"/>
      </w:r>
      <w:r w:rsidRPr="00666914">
        <w:t>, celkovo bolo začatých 10 PPÚ na území SR</w:t>
      </w:r>
      <w:r w:rsidRPr="00666914">
        <w:rPr>
          <w:vertAlign w:val="superscript"/>
        </w:rPr>
        <w:footnoteReference w:id="434"/>
      </w:r>
      <w:r w:rsidRPr="00666914">
        <w:t xml:space="preserve">. </w:t>
      </w:r>
    </w:p>
    <w:p w14:paraId="60535A2B" w14:textId="3598191E" w:rsidR="00AA6557" w:rsidRPr="00666914" w:rsidRDefault="00AA6557" w:rsidP="00287DFE">
      <w:pPr>
        <w:spacing w:before="240" w:after="0"/>
      </w:pPr>
      <w:r w:rsidRPr="00666914">
        <w:rPr>
          <w:b/>
        </w:rPr>
        <w:t>IJ hodnotí pozitívne, že rezort začal pripravovať PPÚ v tých k. ú., kde sú komasácie najviac potrebné z dôvodu najväčšej rozdrobenosti vlastníctva pôdy alebo z </w:t>
      </w:r>
      <w:r w:rsidR="002A3F44" w:rsidRPr="00666914">
        <w:rPr>
          <w:b/>
        </w:rPr>
        <w:t xml:space="preserve">dôvodu </w:t>
      </w:r>
      <w:r w:rsidRPr="00666914">
        <w:rPr>
          <w:b/>
        </w:rPr>
        <w:t xml:space="preserve">iného </w:t>
      </w:r>
      <w:sdt>
        <w:sdtPr>
          <w:tag w:val="goog_rdk_24"/>
          <w:id w:val="-1926020832"/>
        </w:sdtPr>
        <w:sdtEndPr/>
        <w:sdtContent/>
      </w:sdt>
      <w:sdt>
        <w:sdtPr>
          <w:tag w:val="goog_rdk_25"/>
          <w:id w:val="-1409148393"/>
        </w:sdtPr>
        <w:sdtEndPr/>
        <w:sdtContent/>
      </w:sdt>
      <w:r w:rsidRPr="00666914">
        <w:rPr>
          <w:b/>
        </w:rPr>
        <w:t>zložitého procesného úkonu.</w:t>
      </w:r>
      <w:r w:rsidRPr="00666914">
        <w:t xml:space="preserve"> Vzhľadom na chýbajúce schválenie potrebnej legislatívy pre odborné a urýchlené začatie PÚ počas roka 2019 a nedostatočný pokrok v počte začatých a pripravovaných PPÚ sa </w:t>
      </w:r>
      <w:r w:rsidRPr="00666914">
        <w:rPr>
          <w:b/>
        </w:rPr>
        <w:t>opatrenie k 31.12.2019 neplní.</w:t>
      </w:r>
      <w:r w:rsidRPr="00666914">
        <w:t xml:space="preserve"> Hodnotenie nezahŕňa proces prípravy metodiky a vyhodnocovania k. ú., </w:t>
      </w:r>
      <w:sdt>
        <w:sdtPr>
          <w:tag w:val="goog_rdk_26"/>
          <w:id w:val="1382439130"/>
        </w:sdtPr>
        <w:sdtEndPr/>
        <w:sdtContent/>
      </w:sdt>
      <w:sdt>
        <w:sdtPr>
          <w:tag w:val="goog_rdk_27"/>
          <w:id w:val="-51305070"/>
        </w:sdtPr>
        <w:sdtEndPr/>
        <w:sdtContent/>
      </w:sdt>
      <w:r w:rsidRPr="00666914">
        <w:t>kde je nevyhnutné započať PPÚ, nakoľko je len nástrojom pre dosiahnutie cieľa. V procese výberu ďalších k. ú. pre začatie PÚ je žiadúce aj prioritizovať územia, ktoré zjednodušia možnosť získať do vlastníctva SR pôdu pod existujúcou a plánovanou dopravnou infraštruktúrou a sceliť pôdu na území národných parkov. Pre splnenie týchto cieľov  MPRV SR prostredníctvom komisie v roku 2019 požiadalo MDV SR a MŽP SR, ktorí sú členmi Komisie pre vyhodnotenie kritérií, o predloženie zoznamu prioritizovaných území a po doložení ich komisia zohľadní pri schvaľovaní zoznamu ďalších k. ú.</w:t>
      </w:r>
    </w:p>
    <w:p w14:paraId="78B717AF" w14:textId="77777777" w:rsidR="00AA6557" w:rsidRPr="00666914" w:rsidRDefault="00AA6557" w:rsidP="00287DFE">
      <w:pPr>
        <w:spacing w:before="240" w:after="0"/>
        <w:rPr>
          <w:b/>
        </w:rPr>
      </w:pPr>
      <w:r w:rsidRPr="00666914">
        <w:t>V každom ďalšom hodnotenom období sa bude vyhodnocovať počet začatých PPÚ, proces a stav pokračovania už začatých PPÚ. Začatým PPÚ je stav projektu po rozhodnutí o nariadení PÚ, ktoré je vydané okresným úradom v mieste konania PPÚ</w:t>
      </w:r>
      <w:r w:rsidRPr="00666914">
        <w:rPr>
          <w:vertAlign w:val="superscript"/>
        </w:rPr>
        <w:footnoteReference w:id="435"/>
      </w:r>
      <w:r w:rsidRPr="00666914">
        <w:t>. Hodnotenie podopatrenia sa bude vykonávať ročne ku koncu každého kalendárneho roka.</w:t>
      </w:r>
    </w:p>
    <w:p w14:paraId="23147C47" w14:textId="5A02C11D" w:rsidR="001033EE" w:rsidRPr="00666914" w:rsidRDefault="00AA6557" w:rsidP="00287DFE">
      <w:pPr>
        <w:spacing w:before="240" w:after="0"/>
      </w:pPr>
      <w:r w:rsidRPr="00666914">
        <w:rPr>
          <w:b/>
        </w:rPr>
        <w:t xml:space="preserve">Odporúčanie IJ: </w:t>
      </w:r>
      <w:r w:rsidRPr="00666914">
        <w:t xml:space="preserve">Zverejniť presnú metodiku výpočtu kvantifikovateľného hodnotenia na základe výberových kritérií používaných komisiou pre výber jednotlivých k. ú. Zverejniť predbežný návrh plánu </w:t>
      </w:r>
      <w:sdt>
        <w:sdtPr>
          <w:tag w:val="goog_rdk_28"/>
          <w:id w:val="-992173076"/>
        </w:sdtPr>
        <w:sdtEndPr/>
        <w:sdtContent/>
      </w:sdt>
      <w:sdt>
        <w:sdtPr>
          <w:tag w:val="goog_rdk_29"/>
          <w:id w:val="153430106"/>
        </w:sdtPr>
        <w:sdtEndPr/>
        <w:sdtContent/>
      </w:sdt>
      <w:r w:rsidRPr="00666914">
        <w:t>vybraných k. ú. na obdobie nasledujúceho rok</w:t>
      </w:r>
      <w:sdt>
        <w:sdtPr>
          <w:tag w:val="goog_rdk_30"/>
          <w:id w:val="-84993079"/>
        </w:sdtPr>
        <w:sdtEndPr/>
        <w:sdtContent/>
      </w:sdt>
      <w:sdt>
        <w:sdtPr>
          <w:tag w:val="goog_rdk_31"/>
          <w:id w:val="1089350618"/>
        </w:sdtPr>
        <w:sdtEndPr/>
        <w:sdtContent/>
      </w:sdt>
      <w:r w:rsidRPr="00666914">
        <w:t xml:space="preserve">a z dôvodu lepšej odozvy rezortov v medzirezortnom pripomienkovom konaní. Po dopracovaní predložiť opätovne návrh </w:t>
      </w:r>
      <w:r w:rsidR="00F80AA4" w:rsidRPr="00666914">
        <w:t xml:space="preserve">novely </w:t>
      </w:r>
      <w:r w:rsidRPr="00666914">
        <w:t>zákona č. 330/1991 o pozemkových úpravách do ďalšieho legislatívneho procesu.</w:t>
      </w:r>
    </w:p>
    <w:p w14:paraId="1662CF94" w14:textId="18F41858" w:rsidR="001033EE" w:rsidRPr="00666914" w:rsidRDefault="001033EE" w:rsidP="00332167">
      <w:pPr>
        <w:spacing w:before="240" w:after="0"/>
      </w:pPr>
      <w:r w:rsidRPr="00666914">
        <w:br w:type="page"/>
      </w:r>
    </w:p>
    <w:p w14:paraId="1A5C05E0" w14:textId="77777777" w:rsidR="00AA6557" w:rsidRPr="00666914" w:rsidRDefault="00AA6557">
      <w:pPr>
        <w:spacing w:after="0"/>
        <w:ind w:left="709"/>
        <w:rPr>
          <w:b/>
          <w:color w:val="1F4E79"/>
        </w:rPr>
      </w:pPr>
      <w:r w:rsidRPr="00666914">
        <w:rPr>
          <w:b/>
          <w:u w:val="single"/>
        </w:rPr>
        <w:lastRenderedPageBreak/>
        <w:t>4.2.2   Zverejňovanie obvyklej výšky nájomného (OVN)</w:t>
      </w:r>
    </w:p>
    <w:p w14:paraId="575A292E" w14:textId="77777777" w:rsidR="00AA6557" w:rsidRPr="00666914" w:rsidRDefault="00AA6557">
      <w:pPr>
        <w:spacing w:after="0"/>
        <w:jc w:val="left"/>
        <w:rPr>
          <w:b/>
          <w:u w:val="single"/>
        </w:rPr>
      </w:pPr>
    </w:p>
    <w:p w14:paraId="38EABC80" w14:textId="77777777" w:rsidR="00AA6557" w:rsidRPr="00666914" w:rsidRDefault="00AA6557">
      <w:pPr>
        <w:spacing w:after="0"/>
      </w:pPr>
      <w:r w:rsidRPr="00666914">
        <w:t>Zverejňovanie OVN naprieč jednotlivými k. ú. napomôže fungovaniu trhu s pôdou, nakoľko záujemcovia o prenájom pôdy budú mať lepší prehľad o obvyklej rente v konkrétnom k. ú. Na ústrednom portáli verejnej správy (ÚPVS) zverejnilo MPRV SR v 07/2019 dataset s obvyklou výškou nájomného za užívanie poľnohospodárskej pôdy pri prevádzkovaní podniku za rok 2018</w:t>
      </w:r>
      <w:r w:rsidRPr="00666914">
        <w:rPr>
          <w:vertAlign w:val="superscript"/>
        </w:rPr>
        <w:footnoteReference w:id="436"/>
      </w:r>
      <w:r w:rsidRPr="00666914">
        <w:t>. Dataset je možné stiahnuť vo formáte .csv alebo je možné ho otvoriť priamo v prehliadači s presmerovaním na webovú stránku MPRV SR</w:t>
      </w:r>
      <w:r w:rsidRPr="00666914">
        <w:rPr>
          <w:vertAlign w:val="superscript"/>
        </w:rPr>
        <w:footnoteReference w:id="437"/>
      </w:r>
      <w:r w:rsidRPr="00666914">
        <w:t xml:space="preserve">. </w:t>
      </w:r>
    </w:p>
    <w:p w14:paraId="204E5ED5" w14:textId="77777777" w:rsidR="00AA6557" w:rsidRPr="00666914" w:rsidRDefault="00AA6557">
      <w:pPr>
        <w:spacing w:after="0"/>
        <w:rPr>
          <w:sz w:val="20"/>
          <w:szCs w:val="20"/>
        </w:rPr>
      </w:pPr>
    </w:p>
    <w:tbl>
      <w:tblPr>
        <w:tblW w:w="9070" w:type="dxa"/>
        <w:tblLayout w:type="fixed"/>
        <w:tblLook w:val="0400" w:firstRow="0" w:lastRow="0" w:firstColumn="0" w:lastColumn="0" w:noHBand="0" w:noVBand="1"/>
      </w:tblPr>
      <w:tblGrid>
        <w:gridCol w:w="1140"/>
        <w:gridCol w:w="1005"/>
        <w:gridCol w:w="2738"/>
        <w:gridCol w:w="1461"/>
        <w:gridCol w:w="1363"/>
        <w:gridCol w:w="1363"/>
      </w:tblGrid>
      <w:tr w:rsidR="00AA6557" w:rsidRPr="00666914" w14:paraId="7603E8DF" w14:textId="77777777">
        <w:trPr>
          <w:trHeight w:val="321"/>
        </w:trPr>
        <w:tc>
          <w:tcPr>
            <w:tcW w:w="9070" w:type="dxa"/>
            <w:gridSpan w:val="6"/>
            <w:tcBorders>
              <w:bottom w:val="single" w:sz="4" w:space="0" w:color="000000"/>
            </w:tcBorders>
            <w:vAlign w:val="center"/>
          </w:tcPr>
          <w:p w14:paraId="7998CD2B" w14:textId="3036C243" w:rsidR="00AA6557" w:rsidRPr="00666914" w:rsidRDefault="00AA6557" w:rsidP="001033EE">
            <w:pPr>
              <w:spacing w:after="0"/>
              <w:jc w:val="left"/>
              <w:rPr>
                <w:b/>
                <w:color w:val="000000"/>
                <w:sz w:val="20"/>
                <w:szCs w:val="20"/>
              </w:rPr>
            </w:pPr>
            <w:bookmarkStart w:id="410" w:name="_Toc38447755"/>
            <w:r w:rsidRPr="00666914">
              <w:rPr>
                <w:b/>
                <w:color w:val="000000"/>
                <w:sz w:val="20"/>
                <w:szCs w:val="20"/>
              </w:rPr>
              <w:t xml:space="preserve">Tabuľka </w:t>
            </w:r>
            <w:r w:rsidRPr="00666914">
              <w:rPr>
                <w:b/>
                <w:color w:val="000000"/>
                <w:sz w:val="20"/>
                <w:szCs w:val="20"/>
              </w:rPr>
              <w:fldChar w:fldCharType="begin"/>
            </w:r>
            <w:r w:rsidRPr="00666914">
              <w:rPr>
                <w:b/>
                <w:color w:val="000000"/>
                <w:sz w:val="20"/>
                <w:szCs w:val="20"/>
              </w:rPr>
              <w:instrText xml:space="preserve"> SEQ Tabuľka \* ARABIC \* MERGEFORMAT </w:instrText>
            </w:r>
            <w:r w:rsidRPr="00666914">
              <w:rPr>
                <w:b/>
                <w:color w:val="000000"/>
                <w:sz w:val="20"/>
                <w:szCs w:val="20"/>
              </w:rPr>
              <w:fldChar w:fldCharType="separate"/>
            </w:r>
            <w:r w:rsidR="005A7304">
              <w:rPr>
                <w:b/>
                <w:noProof/>
                <w:color w:val="000000"/>
                <w:sz w:val="20"/>
                <w:szCs w:val="20"/>
              </w:rPr>
              <w:t>94</w:t>
            </w:r>
            <w:r w:rsidRPr="00666914">
              <w:rPr>
                <w:b/>
                <w:color w:val="000000"/>
                <w:sz w:val="20"/>
                <w:szCs w:val="20"/>
              </w:rPr>
              <w:fldChar w:fldCharType="end"/>
            </w:r>
            <w:r w:rsidRPr="00666914">
              <w:rPr>
                <w:b/>
                <w:color w:val="000000"/>
                <w:sz w:val="20"/>
                <w:szCs w:val="20"/>
              </w:rPr>
              <w:t>: Výber k. ú. v závislosti od OVN v roku 2018 (v eur/ha)</w:t>
            </w:r>
            <w:bookmarkEnd w:id="410"/>
          </w:p>
        </w:tc>
      </w:tr>
      <w:tr w:rsidR="00AA6557" w:rsidRPr="00666914" w14:paraId="548DFD35" w14:textId="77777777">
        <w:trPr>
          <w:trHeight w:val="321"/>
        </w:trPr>
        <w:tc>
          <w:tcPr>
            <w:tcW w:w="1140" w:type="dxa"/>
            <w:tcBorders>
              <w:top w:val="single" w:sz="4" w:space="0" w:color="000000"/>
              <w:bottom w:val="single" w:sz="8" w:space="0" w:color="000000"/>
            </w:tcBorders>
            <w:vAlign w:val="center"/>
          </w:tcPr>
          <w:p w14:paraId="0F09B5C4" w14:textId="77777777" w:rsidR="00AA6557" w:rsidRPr="00666914" w:rsidRDefault="00AA6557">
            <w:pPr>
              <w:jc w:val="left"/>
              <w:rPr>
                <w:b/>
                <w:color w:val="000000"/>
                <w:sz w:val="20"/>
                <w:szCs w:val="20"/>
              </w:rPr>
            </w:pPr>
          </w:p>
        </w:tc>
        <w:tc>
          <w:tcPr>
            <w:tcW w:w="1005" w:type="dxa"/>
            <w:tcBorders>
              <w:top w:val="single" w:sz="4" w:space="0" w:color="000000"/>
              <w:bottom w:val="single" w:sz="8" w:space="0" w:color="000000"/>
            </w:tcBorders>
            <w:vAlign w:val="center"/>
          </w:tcPr>
          <w:p w14:paraId="028ED256" w14:textId="77777777" w:rsidR="00AA6557" w:rsidRPr="00666914" w:rsidRDefault="00AA6557">
            <w:pPr>
              <w:jc w:val="center"/>
              <w:rPr>
                <w:b/>
                <w:color w:val="000000"/>
                <w:sz w:val="20"/>
                <w:szCs w:val="20"/>
              </w:rPr>
            </w:pPr>
            <w:r w:rsidRPr="00666914">
              <w:rPr>
                <w:b/>
                <w:color w:val="000000"/>
                <w:sz w:val="20"/>
                <w:szCs w:val="20"/>
              </w:rPr>
              <w:t>Kraj</w:t>
            </w:r>
          </w:p>
        </w:tc>
        <w:tc>
          <w:tcPr>
            <w:tcW w:w="2738" w:type="dxa"/>
            <w:tcBorders>
              <w:top w:val="single" w:sz="4" w:space="0" w:color="000000"/>
              <w:bottom w:val="single" w:sz="8" w:space="0" w:color="000000"/>
            </w:tcBorders>
            <w:vAlign w:val="center"/>
          </w:tcPr>
          <w:p w14:paraId="3C27CE36" w14:textId="77777777" w:rsidR="00AA6557" w:rsidRPr="00666914" w:rsidRDefault="00AA6557">
            <w:pPr>
              <w:jc w:val="center"/>
              <w:rPr>
                <w:b/>
                <w:color w:val="000000"/>
                <w:sz w:val="20"/>
                <w:szCs w:val="20"/>
              </w:rPr>
            </w:pPr>
            <w:r w:rsidRPr="00666914">
              <w:rPr>
                <w:b/>
                <w:color w:val="000000"/>
                <w:sz w:val="20"/>
                <w:szCs w:val="20"/>
              </w:rPr>
              <w:t>Okres</w:t>
            </w:r>
          </w:p>
        </w:tc>
        <w:tc>
          <w:tcPr>
            <w:tcW w:w="1461" w:type="dxa"/>
            <w:tcBorders>
              <w:top w:val="single" w:sz="4" w:space="0" w:color="000000"/>
              <w:bottom w:val="single" w:sz="8" w:space="0" w:color="000000"/>
            </w:tcBorders>
            <w:vAlign w:val="center"/>
          </w:tcPr>
          <w:p w14:paraId="5E1EC476" w14:textId="77777777" w:rsidR="00AA6557" w:rsidRPr="00666914" w:rsidRDefault="00AA6557">
            <w:pPr>
              <w:jc w:val="center"/>
              <w:rPr>
                <w:b/>
                <w:color w:val="000000"/>
                <w:sz w:val="20"/>
                <w:szCs w:val="20"/>
              </w:rPr>
            </w:pPr>
            <w:r w:rsidRPr="00666914">
              <w:rPr>
                <w:b/>
                <w:color w:val="000000"/>
                <w:sz w:val="20"/>
                <w:szCs w:val="20"/>
              </w:rPr>
              <w:t>k. ú.</w:t>
            </w:r>
          </w:p>
        </w:tc>
        <w:tc>
          <w:tcPr>
            <w:tcW w:w="1363" w:type="dxa"/>
            <w:tcBorders>
              <w:top w:val="single" w:sz="4" w:space="0" w:color="000000"/>
              <w:bottom w:val="single" w:sz="8" w:space="0" w:color="000000"/>
            </w:tcBorders>
            <w:vAlign w:val="center"/>
          </w:tcPr>
          <w:p w14:paraId="5D63C15A" w14:textId="77777777" w:rsidR="00AA6557" w:rsidRPr="00666914" w:rsidRDefault="00AA6557">
            <w:pPr>
              <w:jc w:val="center"/>
              <w:rPr>
                <w:b/>
                <w:color w:val="000000"/>
                <w:sz w:val="20"/>
                <w:szCs w:val="20"/>
              </w:rPr>
            </w:pPr>
            <w:r w:rsidRPr="00666914">
              <w:rPr>
                <w:b/>
                <w:color w:val="000000"/>
                <w:sz w:val="20"/>
                <w:szCs w:val="20"/>
              </w:rPr>
              <w:t>číslo k. ú.</w:t>
            </w:r>
          </w:p>
        </w:tc>
        <w:tc>
          <w:tcPr>
            <w:tcW w:w="1363" w:type="dxa"/>
            <w:tcBorders>
              <w:top w:val="single" w:sz="4" w:space="0" w:color="000000"/>
              <w:bottom w:val="single" w:sz="8" w:space="0" w:color="000000"/>
            </w:tcBorders>
            <w:vAlign w:val="center"/>
          </w:tcPr>
          <w:p w14:paraId="56FD7568" w14:textId="77777777" w:rsidR="00AA6557" w:rsidRPr="00666914" w:rsidRDefault="00AA6557">
            <w:pPr>
              <w:jc w:val="center"/>
              <w:rPr>
                <w:b/>
                <w:color w:val="000000"/>
                <w:sz w:val="20"/>
                <w:szCs w:val="20"/>
              </w:rPr>
            </w:pPr>
            <w:r w:rsidRPr="00666914">
              <w:rPr>
                <w:b/>
                <w:color w:val="000000"/>
                <w:sz w:val="20"/>
                <w:szCs w:val="20"/>
              </w:rPr>
              <w:t>OVN</w:t>
            </w:r>
          </w:p>
        </w:tc>
      </w:tr>
      <w:tr w:rsidR="00AA6557" w:rsidRPr="00666914" w14:paraId="1F9F7688" w14:textId="77777777">
        <w:trPr>
          <w:trHeight w:val="321"/>
        </w:trPr>
        <w:tc>
          <w:tcPr>
            <w:tcW w:w="1140" w:type="dxa"/>
            <w:tcBorders>
              <w:top w:val="single" w:sz="8" w:space="0" w:color="000000"/>
              <w:right w:val="single" w:sz="8" w:space="0" w:color="000000"/>
            </w:tcBorders>
            <w:vAlign w:val="center"/>
          </w:tcPr>
          <w:p w14:paraId="6637BFB4" w14:textId="77777777" w:rsidR="00AA6557" w:rsidRPr="00666914" w:rsidRDefault="00AA6557">
            <w:pPr>
              <w:jc w:val="left"/>
              <w:rPr>
                <w:b/>
                <w:color w:val="000000"/>
                <w:sz w:val="20"/>
                <w:szCs w:val="20"/>
              </w:rPr>
            </w:pPr>
            <w:r w:rsidRPr="00666914">
              <w:rPr>
                <w:b/>
                <w:color w:val="000000"/>
                <w:sz w:val="20"/>
                <w:szCs w:val="20"/>
              </w:rPr>
              <w:t>Minimum</w:t>
            </w:r>
          </w:p>
        </w:tc>
        <w:tc>
          <w:tcPr>
            <w:tcW w:w="1005" w:type="dxa"/>
            <w:tcBorders>
              <w:top w:val="single" w:sz="8" w:space="0" w:color="000000"/>
              <w:left w:val="single" w:sz="8" w:space="0" w:color="000000"/>
            </w:tcBorders>
            <w:vAlign w:val="center"/>
          </w:tcPr>
          <w:p w14:paraId="03C25A59" w14:textId="77777777" w:rsidR="00AA6557" w:rsidRPr="00666914" w:rsidRDefault="00AA6557">
            <w:pPr>
              <w:jc w:val="center"/>
              <w:rPr>
                <w:color w:val="000000"/>
                <w:sz w:val="20"/>
                <w:szCs w:val="20"/>
              </w:rPr>
            </w:pPr>
            <w:r w:rsidRPr="00666914">
              <w:rPr>
                <w:color w:val="000000"/>
                <w:sz w:val="20"/>
                <w:szCs w:val="20"/>
              </w:rPr>
              <w:t>BB</w:t>
            </w:r>
          </w:p>
        </w:tc>
        <w:tc>
          <w:tcPr>
            <w:tcW w:w="2738" w:type="dxa"/>
            <w:tcBorders>
              <w:top w:val="single" w:sz="8" w:space="0" w:color="000000"/>
            </w:tcBorders>
            <w:vAlign w:val="center"/>
          </w:tcPr>
          <w:p w14:paraId="5210C8C5" w14:textId="77777777" w:rsidR="00AA6557" w:rsidRPr="00666914" w:rsidRDefault="00AA6557">
            <w:pPr>
              <w:jc w:val="center"/>
              <w:rPr>
                <w:color w:val="000000"/>
                <w:sz w:val="20"/>
                <w:szCs w:val="20"/>
              </w:rPr>
            </w:pPr>
            <w:r w:rsidRPr="00666914">
              <w:rPr>
                <w:color w:val="000000"/>
                <w:sz w:val="20"/>
                <w:szCs w:val="20"/>
              </w:rPr>
              <w:t>Žiar nad Hronom</w:t>
            </w:r>
          </w:p>
        </w:tc>
        <w:tc>
          <w:tcPr>
            <w:tcW w:w="1461" w:type="dxa"/>
            <w:tcBorders>
              <w:top w:val="single" w:sz="8" w:space="0" w:color="000000"/>
            </w:tcBorders>
            <w:vAlign w:val="center"/>
          </w:tcPr>
          <w:p w14:paraId="68F30F7F" w14:textId="77777777" w:rsidR="00AA6557" w:rsidRPr="00666914" w:rsidRDefault="00AA6557">
            <w:pPr>
              <w:jc w:val="center"/>
              <w:rPr>
                <w:color w:val="000000"/>
                <w:sz w:val="20"/>
                <w:szCs w:val="20"/>
              </w:rPr>
            </w:pPr>
            <w:r w:rsidRPr="00666914">
              <w:rPr>
                <w:color w:val="000000"/>
                <w:sz w:val="20"/>
                <w:szCs w:val="20"/>
              </w:rPr>
              <w:t>Dolná Ves</w:t>
            </w:r>
          </w:p>
        </w:tc>
        <w:tc>
          <w:tcPr>
            <w:tcW w:w="1363" w:type="dxa"/>
            <w:tcBorders>
              <w:top w:val="single" w:sz="8" w:space="0" w:color="000000"/>
            </w:tcBorders>
            <w:vAlign w:val="center"/>
          </w:tcPr>
          <w:p w14:paraId="4FA6647C" w14:textId="77777777" w:rsidR="00AA6557" w:rsidRPr="00666914" w:rsidRDefault="00AA6557">
            <w:pPr>
              <w:jc w:val="center"/>
              <w:rPr>
                <w:color w:val="000000"/>
                <w:sz w:val="20"/>
                <w:szCs w:val="20"/>
              </w:rPr>
            </w:pPr>
            <w:r w:rsidRPr="00666914">
              <w:rPr>
                <w:color w:val="000000"/>
                <w:sz w:val="20"/>
                <w:szCs w:val="20"/>
              </w:rPr>
              <w:t>811939</w:t>
            </w:r>
          </w:p>
        </w:tc>
        <w:tc>
          <w:tcPr>
            <w:tcW w:w="1363" w:type="dxa"/>
            <w:tcBorders>
              <w:top w:val="single" w:sz="8" w:space="0" w:color="000000"/>
            </w:tcBorders>
            <w:vAlign w:val="center"/>
          </w:tcPr>
          <w:p w14:paraId="3D69D1B9" w14:textId="77777777" w:rsidR="00AA6557" w:rsidRPr="00666914" w:rsidRDefault="00AA6557">
            <w:pPr>
              <w:jc w:val="center"/>
              <w:rPr>
                <w:b/>
                <w:color w:val="000000"/>
                <w:sz w:val="20"/>
                <w:szCs w:val="20"/>
              </w:rPr>
            </w:pPr>
            <w:r w:rsidRPr="00666914">
              <w:rPr>
                <w:b/>
                <w:color w:val="000000"/>
                <w:sz w:val="20"/>
                <w:szCs w:val="20"/>
              </w:rPr>
              <w:t>3,00</w:t>
            </w:r>
          </w:p>
        </w:tc>
      </w:tr>
      <w:tr w:rsidR="00AA6557" w:rsidRPr="00666914" w14:paraId="630EE96F" w14:textId="77777777">
        <w:trPr>
          <w:trHeight w:val="321"/>
        </w:trPr>
        <w:tc>
          <w:tcPr>
            <w:tcW w:w="1140" w:type="dxa"/>
            <w:tcBorders>
              <w:right w:val="single" w:sz="8" w:space="0" w:color="000000"/>
            </w:tcBorders>
            <w:vAlign w:val="center"/>
          </w:tcPr>
          <w:p w14:paraId="43930E75" w14:textId="77777777" w:rsidR="00AA6557" w:rsidRPr="00666914" w:rsidRDefault="00AA6557">
            <w:pPr>
              <w:jc w:val="left"/>
              <w:rPr>
                <w:b/>
                <w:color w:val="000000"/>
                <w:sz w:val="20"/>
                <w:szCs w:val="20"/>
              </w:rPr>
            </w:pPr>
            <w:r w:rsidRPr="00666914">
              <w:rPr>
                <w:b/>
                <w:color w:val="000000"/>
                <w:sz w:val="20"/>
                <w:szCs w:val="20"/>
              </w:rPr>
              <w:t>Medián</w:t>
            </w:r>
          </w:p>
        </w:tc>
        <w:tc>
          <w:tcPr>
            <w:tcW w:w="1005" w:type="dxa"/>
            <w:tcBorders>
              <w:left w:val="single" w:sz="8" w:space="0" w:color="000000"/>
            </w:tcBorders>
            <w:vAlign w:val="center"/>
          </w:tcPr>
          <w:p w14:paraId="7B9E6A2E" w14:textId="77777777" w:rsidR="00AA6557" w:rsidRPr="00666914" w:rsidRDefault="00AA6557">
            <w:pPr>
              <w:jc w:val="center"/>
              <w:rPr>
                <w:color w:val="000000"/>
                <w:sz w:val="20"/>
                <w:szCs w:val="20"/>
              </w:rPr>
            </w:pPr>
            <w:r w:rsidRPr="00666914">
              <w:rPr>
                <w:color w:val="000000"/>
                <w:sz w:val="20"/>
                <w:szCs w:val="20"/>
              </w:rPr>
              <w:t>TT</w:t>
            </w:r>
          </w:p>
        </w:tc>
        <w:tc>
          <w:tcPr>
            <w:tcW w:w="2738" w:type="dxa"/>
            <w:vAlign w:val="center"/>
          </w:tcPr>
          <w:p w14:paraId="075C5216" w14:textId="77777777" w:rsidR="00AA6557" w:rsidRPr="00666914" w:rsidRDefault="00AA6557">
            <w:pPr>
              <w:jc w:val="center"/>
              <w:rPr>
                <w:color w:val="000000"/>
                <w:sz w:val="20"/>
                <w:szCs w:val="20"/>
              </w:rPr>
            </w:pPr>
            <w:r w:rsidRPr="00666914">
              <w:rPr>
                <w:color w:val="000000"/>
                <w:sz w:val="20"/>
                <w:szCs w:val="20"/>
              </w:rPr>
              <w:t>Senica</w:t>
            </w:r>
          </w:p>
        </w:tc>
        <w:tc>
          <w:tcPr>
            <w:tcW w:w="1461" w:type="dxa"/>
            <w:vAlign w:val="center"/>
          </w:tcPr>
          <w:p w14:paraId="7BC5D4B4" w14:textId="77777777" w:rsidR="00AA6557" w:rsidRPr="00666914" w:rsidRDefault="00AA6557">
            <w:pPr>
              <w:jc w:val="center"/>
              <w:rPr>
                <w:color w:val="000000"/>
                <w:sz w:val="20"/>
                <w:szCs w:val="20"/>
              </w:rPr>
            </w:pPr>
            <w:r w:rsidRPr="00666914">
              <w:rPr>
                <w:color w:val="000000"/>
                <w:sz w:val="20"/>
                <w:szCs w:val="20"/>
              </w:rPr>
              <w:t>Šaštín</w:t>
            </w:r>
          </w:p>
        </w:tc>
        <w:tc>
          <w:tcPr>
            <w:tcW w:w="1363" w:type="dxa"/>
            <w:vAlign w:val="center"/>
          </w:tcPr>
          <w:p w14:paraId="6F7DFEDD" w14:textId="77777777" w:rsidR="00AA6557" w:rsidRPr="00666914" w:rsidRDefault="00AA6557">
            <w:pPr>
              <w:jc w:val="center"/>
              <w:rPr>
                <w:color w:val="000000"/>
                <w:sz w:val="20"/>
                <w:szCs w:val="20"/>
              </w:rPr>
            </w:pPr>
            <w:r w:rsidRPr="00666914">
              <w:rPr>
                <w:color w:val="000000"/>
                <w:sz w:val="20"/>
                <w:szCs w:val="20"/>
              </w:rPr>
              <w:t>860689</w:t>
            </w:r>
          </w:p>
        </w:tc>
        <w:tc>
          <w:tcPr>
            <w:tcW w:w="1363" w:type="dxa"/>
            <w:vAlign w:val="center"/>
          </w:tcPr>
          <w:p w14:paraId="4FA75FB1" w14:textId="77777777" w:rsidR="00AA6557" w:rsidRPr="00666914" w:rsidRDefault="00AA6557">
            <w:pPr>
              <w:jc w:val="center"/>
              <w:rPr>
                <w:b/>
                <w:color w:val="000000"/>
                <w:sz w:val="20"/>
                <w:szCs w:val="20"/>
              </w:rPr>
            </w:pPr>
            <w:r w:rsidRPr="00666914">
              <w:rPr>
                <w:b/>
                <w:color w:val="000000"/>
                <w:sz w:val="20"/>
                <w:szCs w:val="20"/>
              </w:rPr>
              <w:t>38,66</w:t>
            </w:r>
          </w:p>
        </w:tc>
      </w:tr>
      <w:tr w:rsidR="00AA6557" w:rsidRPr="00666914" w14:paraId="0965B74A" w14:textId="77777777">
        <w:trPr>
          <w:trHeight w:val="321"/>
        </w:trPr>
        <w:tc>
          <w:tcPr>
            <w:tcW w:w="1140" w:type="dxa"/>
            <w:tcBorders>
              <w:right w:val="single" w:sz="8" w:space="0" w:color="000000"/>
            </w:tcBorders>
            <w:vAlign w:val="center"/>
          </w:tcPr>
          <w:p w14:paraId="4E1E22E3" w14:textId="77777777" w:rsidR="00AA6557" w:rsidRPr="00666914" w:rsidRDefault="00AA6557">
            <w:pPr>
              <w:jc w:val="left"/>
              <w:rPr>
                <w:b/>
                <w:color w:val="000000"/>
                <w:sz w:val="20"/>
                <w:szCs w:val="20"/>
              </w:rPr>
            </w:pPr>
            <w:r w:rsidRPr="00666914">
              <w:rPr>
                <w:b/>
                <w:color w:val="000000"/>
                <w:sz w:val="20"/>
                <w:szCs w:val="20"/>
              </w:rPr>
              <w:t>Priemer</w:t>
            </w:r>
          </w:p>
        </w:tc>
        <w:tc>
          <w:tcPr>
            <w:tcW w:w="1005" w:type="dxa"/>
            <w:tcBorders>
              <w:left w:val="single" w:sz="8" w:space="0" w:color="000000"/>
            </w:tcBorders>
            <w:vAlign w:val="center"/>
          </w:tcPr>
          <w:p w14:paraId="752D36F4" w14:textId="77777777" w:rsidR="00AA6557" w:rsidRPr="00666914" w:rsidRDefault="00AA6557">
            <w:pPr>
              <w:jc w:val="center"/>
              <w:rPr>
                <w:color w:val="000000"/>
                <w:sz w:val="20"/>
                <w:szCs w:val="20"/>
              </w:rPr>
            </w:pPr>
            <w:r w:rsidRPr="00666914">
              <w:rPr>
                <w:color w:val="000000"/>
                <w:sz w:val="20"/>
                <w:szCs w:val="20"/>
              </w:rPr>
              <w:t>PO</w:t>
            </w:r>
          </w:p>
        </w:tc>
        <w:tc>
          <w:tcPr>
            <w:tcW w:w="2738" w:type="dxa"/>
            <w:vAlign w:val="center"/>
          </w:tcPr>
          <w:p w14:paraId="62A21C55" w14:textId="77777777" w:rsidR="00AA6557" w:rsidRPr="00666914" w:rsidRDefault="00AA6557">
            <w:pPr>
              <w:jc w:val="center"/>
              <w:rPr>
                <w:color w:val="000000"/>
                <w:sz w:val="20"/>
                <w:szCs w:val="20"/>
              </w:rPr>
            </w:pPr>
            <w:r w:rsidRPr="00666914">
              <w:rPr>
                <w:color w:val="000000"/>
                <w:sz w:val="20"/>
                <w:szCs w:val="20"/>
              </w:rPr>
              <w:t>Humenné</w:t>
            </w:r>
          </w:p>
        </w:tc>
        <w:tc>
          <w:tcPr>
            <w:tcW w:w="1461" w:type="dxa"/>
            <w:vAlign w:val="center"/>
          </w:tcPr>
          <w:p w14:paraId="0025E617" w14:textId="77777777" w:rsidR="00AA6557" w:rsidRPr="00666914" w:rsidRDefault="00AA6557">
            <w:pPr>
              <w:jc w:val="center"/>
              <w:rPr>
                <w:color w:val="000000"/>
                <w:sz w:val="20"/>
                <w:szCs w:val="20"/>
              </w:rPr>
            </w:pPr>
            <w:r w:rsidRPr="00666914">
              <w:rPr>
                <w:color w:val="000000"/>
                <w:sz w:val="20"/>
                <w:szCs w:val="20"/>
              </w:rPr>
              <w:t>Prituľany</w:t>
            </w:r>
          </w:p>
        </w:tc>
        <w:tc>
          <w:tcPr>
            <w:tcW w:w="1363" w:type="dxa"/>
            <w:vAlign w:val="center"/>
          </w:tcPr>
          <w:p w14:paraId="48F8A179" w14:textId="77777777" w:rsidR="00AA6557" w:rsidRPr="00666914" w:rsidRDefault="00AA6557">
            <w:pPr>
              <w:jc w:val="center"/>
              <w:rPr>
                <w:color w:val="000000"/>
                <w:sz w:val="20"/>
                <w:szCs w:val="20"/>
              </w:rPr>
            </w:pPr>
            <w:r w:rsidRPr="00666914">
              <w:rPr>
                <w:color w:val="000000"/>
                <w:sz w:val="20"/>
                <w:szCs w:val="20"/>
              </w:rPr>
              <w:t>850250</w:t>
            </w:r>
          </w:p>
        </w:tc>
        <w:tc>
          <w:tcPr>
            <w:tcW w:w="1363" w:type="dxa"/>
            <w:vAlign w:val="center"/>
          </w:tcPr>
          <w:p w14:paraId="055783BE" w14:textId="77777777" w:rsidR="00AA6557" w:rsidRPr="00666914" w:rsidRDefault="00AA6557">
            <w:pPr>
              <w:jc w:val="center"/>
              <w:rPr>
                <w:b/>
                <w:color w:val="000000"/>
                <w:sz w:val="20"/>
                <w:szCs w:val="20"/>
              </w:rPr>
            </w:pPr>
            <w:r w:rsidRPr="00666914">
              <w:rPr>
                <w:b/>
                <w:color w:val="000000"/>
                <w:sz w:val="20"/>
                <w:szCs w:val="20"/>
              </w:rPr>
              <w:t>48,03</w:t>
            </w:r>
          </w:p>
        </w:tc>
      </w:tr>
      <w:tr w:rsidR="00AA6557" w:rsidRPr="00666914" w14:paraId="7EEEECA4" w14:textId="77777777">
        <w:trPr>
          <w:trHeight w:val="321"/>
        </w:trPr>
        <w:tc>
          <w:tcPr>
            <w:tcW w:w="1140" w:type="dxa"/>
            <w:tcBorders>
              <w:bottom w:val="single" w:sz="4" w:space="0" w:color="000000"/>
              <w:right w:val="single" w:sz="8" w:space="0" w:color="000000"/>
            </w:tcBorders>
            <w:vAlign w:val="center"/>
          </w:tcPr>
          <w:p w14:paraId="1E354C41" w14:textId="77777777" w:rsidR="00AA6557" w:rsidRPr="00666914" w:rsidRDefault="00AA6557">
            <w:pPr>
              <w:jc w:val="left"/>
              <w:rPr>
                <w:b/>
                <w:color w:val="000000"/>
                <w:sz w:val="20"/>
                <w:szCs w:val="20"/>
              </w:rPr>
            </w:pPr>
            <w:r w:rsidRPr="00666914">
              <w:rPr>
                <w:b/>
                <w:color w:val="000000"/>
                <w:sz w:val="20"/>
                <w:szCs w:val="20"/>
              </w:rPr>
              <w:t>Maximum</w:t>
            </w:r>
          </w:p>
        </w:tc>
        <w:tc>
          <w:tcPr>
            <w:tcW w:w="1005" w:type="dxa"/>
            <w:tcBorders>
              <w:left w:val="single" w:sz="8" w:space="0" w:color="000000"/>
              <w:bottom w:val="single" w:sz="4" w:space="0" w:color="000000"/>
            </w:tcBorders>
            <w:vAlign w:val="center"/>
          </w:tcPr>
          <w:p w14:paraId="7DBB2031" w14:textId="77777777" w:rsidR="00AA6557" w:rsidRPr="00666914" w:rsidRDefault="00AA6557">
            <w:pPr>
              <w:jc w:val="center"/>
              <w:rPr>
                <w:color w:val="000000"/>
                <w:sz w:val="20"/>
                <w:szCs w:val="20"/>
              </w:rPr>
            </w:pPr>
            <w:r w:rsidRPr="00666914">
              <w:rPr>
                <w:color w:val="000000"/>
                <w:sz w:val="20"/>
                <w:szCs w:val="20"/>
              </w:rPr>
              <w:t>TT</w:t>
            </w:r>
          </w:p>
        </w:tc>
        <w:tc>
          <w:tcPr>
            <w:tcW w:w="2738" w:type="dxa"/>
            <w:tcBorders>
              <w:bottom w:val="single" w:sz="4" w:space="0" w:color="000000"/>
            </w:tcBorders>
            <w:vAlign w:val="center"/>
          </w:tcPr>
          <w:p w14:paraId="0ECEFC0D" w14:textId="77777777" w:rsidR="00AA6557" w:rsidRPr="00666914" w:rsidRDefault="00AA6557">
            <w:pPr>
              <w:jc w:val="center"/>
              <w:rPr>
                <w:color w:val="000000"/>
                <w:sz w:val="20"/>
                <w:szCs w:val="20"/>
              </w:rPr>
            </w:pPr>
            <w:r w:rsidRPr="00666914">
              <w:rPr>
                <w:color w:val="000000"/>
                <w:sz w:val="20"/>
                <w:szCs w:val="20"/>
              </w:rPr>
              <w:t>Galanta</w:t>
            </w:r>
          </w:p>
        </w:tc>
        <w:tc>
          <w:tcPr>
            <w:tcW w:w="1461" w:type="dxa"/>
            <w:tcBorders>
              <w:bottom w:val="single" w:sz="4" w:space="0" w:color="000000"/>
            </w:tcBorders>
            <w:vAlign w:val="center"/>
          </w:tcPr>
          <w:p w14:paraId="35A84921" w14:textId="77777777" w:rsidR="00AA6557" w:rsidRPr="00666914" w:rsidRDefault="00AA6557">
            <w:pPr>
              <w:jc w:val="center"/>
              <w:rPr>
                <w:color w:val="000000"/>
                <w:sz w:val="20"/>
                <w:szCs w:val="20"/>
              </w:rPr>
            </w:pPr>
            <w:r w:rsidRPr="00666914">
              <w:rPr>
                <w:color w:val="000000"/>
                <w:sz w:val="20"/>
                <w:szCs w:val="20"/>
              </w:rPr>
              <w:t>Zúgov</w:t>
            </w:r>
          </w:p>
        </w:tc>
        <w:tc>
          <w:tcPr>
            <w:tcW w:w="1363" w:type="dxa"/>
            <w:tcBorders>
              <w:bottom w:val="single" w:sz="4" w:space="0" w:color="000000"/>
            </w:tcBorders>
            <w:vAlign w:val="center"/>
          </w:tcPr>
          <w:p w14:paraId="140A38A1" w14:textId="77777777" w:rsidR="00AA6557" w:rsidRPr="00666914" w:rsidRDefault="00AA6557">
            <w:pPr>
              <w:jc w:val="center"/>
              <w:rPr>
                <w:color w:val="000000"/>
                <w:sz w:val="20"/>
                <w:szCs w:val="20"/>
              </w:rPr>
            </w:pPr>
            <w:r w:rsidRPr="00666914">
              <w:rPr>
                <w:color w:val="000000"/>
                <w:sz w:val="20"/>
                <w:szCs w:val="20"/>
              </w:rPr>
              <w:t>809799</w:t>
            </w:r>
          </w:p>
        </w:tc>
        <w:tc>
          <w:tcPr>
            <w:tcW w:w="1363" w:type="dxa"/>
            <w:tcBorders>
              <w:bottom w:val="single" w:sz="4" w:space="0" w:color="000000"/>
            </w:tcBorders>
            <w:vAlign w:val="center"/>
          </w:tcPr>
          <w:p w14:paraId="672B3075" w14:textId="77777777" w:rsidR="00AA6557" w:rsidRPr="00666914" w:rsidRDefault="00AA6557">
            <w:pPr>
              <w:jc w:val="center"/>
              <w:rPr>
                <w:b/>
                <w:color w:val="000000"/>
                <w:sz w:val="20"/>
                <w:szCs w:val="20"/>
              </w:rPr>
            </w:pPr>
            <w:r w:rsidRPr="00666914">
              <w:rPr>
                <w:b/>
                <w:color w:val="000000"/>
                <w:sz w:val="20"/>
                <w:szCs w:val="20"/>
              </w:rPr>
              <w:t>233,48</w:t>
            </w:r>
          </w:p>
        </w:tc>
      </w:tr>
      <w:tr w:rsidR="00AA6557" w:rsidRPr="00666914" w14:paraId="2AD5DBAB" w14:textId="77777777">
        <w:trPr>
          <w:trHeight w:val="143"/>
        </w:trPr>
        <w:tc>
          <w:tcPr>
            <w:tcW w:w="9070" w:type="dxa"/>
            <w:gridSpan w:val="6"/>
            <w:tcBorders>
              <w:top w:val="single" w:sz="4" w:space="0" w:color="000000"/>
            </w:tcBorders>
            <w:vAlign w:val="center"/>
          </w:tcPr>
          <w:p w14:paraId="2EF93E40" w14:textId="77777777" w:rsidR="00AA6557" w:rsidRPr="00666914" w:rsidRDefault="00AA6557">
            <w:pPr>
              <w:jc w:val="right"/>
              <w:rPr>
                <w:i/>
                <w:color w:val="000000"/>
                <w:sz w:val="18"/>
                <w:szCs w:val="18"/>
              </w:rPr>
            </w:pPr>
            <w:r w:rsidRPr="00666914">
              <w:rPr>
                <w:i/>
                <w:color w:val="000000"/>
                <w:sz w:val="18"/>
                <w:szCs w:val="18"/>
              </w:rPr>
              <w:t>Zdroj: MPRV SR, spracovanie IJ</w:t>
            </w:r>
          </w:p>
        </w:tc>
      </w:tr>
    </w:tbl>
    <w:p w14:paraId="6958EE5C" w14:textId="77777777" w:rsidR="00AA6557" w:rsidRPr="00666914" w:rsidRDefault="00AA6557" w:rsidP="00287DFE">
      <w:pPr>
        <w:spacing w:after="0" w:line="259" w:lineRule="auto"/>
      </w:pPr>
    </w:p>
    <w:p w14:paraId="5A3F5CD6" w14:textId="5BBDFFD5" w:rsidR="00AA6557" w:rsidRPr="00666914" w:rsidRDefault="00AA6557" w:rsidP="004F0262">
      <w:r w:rsidRPr="00666914">
        <w:t>OVN v roku 2018 je rôzna naprieč územím SR. Vyššie zobrazené OVN</w:t>
      </w:r>
      <w:r w:rsidRPr="00666914">
        <w:rPr>
          <w:vertAlign w:val="superscript"/>
        </w:rPr>
        <w:footnoteReference w:id="438"/>
      </w:r>
      <w:r w:rsidRPr="00666914">
        <w:t xml:space="preserve"> v eur/ha slúžia na znázornenie vysokých rozdielov v cenách nájomného v jednotlivých k. ú., čo ovplyvňuje rozhodovanie sa subjektov o začatí podnikania v danom regióne na poľnohospodárskom trhu.</w:t>
      </w:r>
    </w:p>
    <w:p w14:paraId="4BD9606C" w14:textId="36466BD4" w:rsidR="00AA6557" w:rsidRPr="00666914" w:rsidRDefault="00AA6557">
      <w:pPr>
        <w:pBdr>
          <w:bottom w:val="single" w:sz="4" w:space="1" w:color="000000"/>
        </w:pBdr>
        <w:spacing w:after="0"/>
        <w:rPr>
          <w:b/>
          <w:sz w:val="20"/>
          <w:szCs w:val="20"/>
        </w:rPr>
      </w:pPr>
      <w:bookmarkStart w:id="411" w:name="_Toc38390071"/>
      <w:r w:rsidRPr="00666914">
        <w:rPr>
          <w:b/>
          <w:sz w:val="20"/>
          <w:szCs w:val="20"/>
        </w:rPr>
        <w:t xml:space="preserve">Obrázok </w:t>
      </w:r>
      <w:r w:rsidRPr="00666914">
        <w:rPr>
          <w:b/>
          <w:sz w:val="20"/>
          <w:szCs w:val="20"/>
        </w:rPr>
        <w:fldChar w:fldCharType="begin"/>
      </w:r>
      <w:r w:rsidRPr="00666914">
        <w:rPr>
          <w:b/>
          <w:sz w:val="20"/>
          <w:szCs w:val="20"/>
        </w:rPr>
        <w:instrText xml:space="preserve"> SEQ Obrázok \* ARABIC \* MERGEFORMAT </w:instrText>
      </w:r>
      <w:r w:rsidRPr="00666914">
        <w:rPr>
          <w:b/>
          <w:sz w:val="20"/>
          <w:szCs w:val="20"/>
        </w:rPr>
        <w:fldChar w:fldCharType="separate"/>
      </w:r>
      <w:r w:rsidR="005A7304">
        <w:rPr>
          <w:b/>
          <w:noProof/>
          <w:sz w:val="20"/>
          <w:szCs w:val="20"/>
        </w:rPr>
        <w:t>3</w:t>
      </w:r>
      <w:r w:rsidRPr="00666914">
        <w:rPr>
          <w:b/>
          <w:sz w:val="20"/>
          <w:szCs w:val="20"/>
        </w:rPr>
        <w:fldChar w:fldCharType="end"/>
      </w:r>
      <w:r w:rsidR="00D2605E" w:rsidRPr="00666914">
        <w:rPr>
          <w:b/>
          <w:sz w:val="20"/>
          <w:szCs w:val="20"/>
        </w:rPr>
        <w:t>:</w:t>
      </w:r>
      <w:r w:rsidRPr="00666914">
        <w:rPr>
          <w:b/>
          <w:sz w:val="20"/>
          <w:szCs w:val="20"/>
        </w:rPr>
        <w:t xml:space="preserve"> OVN v k. ú. SR v roku 2018 (v eur/ha)</w:t>
      </w:r>
      <w:bookmarkEnd w:id="411"/>
    </w:p>
    <w:p w14:paraId="6D54F18A" w14:textId="77777777" w:rsidR="00AA6557" w:rsidRPr="00666914" w:rsidRDefault="00AA6557">
      <w:pPr>
        <w:spacing w:after="0"/>
      </w:pPr>
      <w:r w:rsidRPr="00666914">
        <w:rPr>
          <w:noProof/>
          <w:lang w:eastAsia="sk-SK"/>
        </w:rPr>
        <mc:AlternateContent>
          <mc:Choice Requires="wpg">
            <w:drawing>
              <wp:anchor distT="0" distB="0" distL="114300" distR="114300" simplePos="0" relativeHeight="251666432" behindDoc="0" locked="0" layoutInCell="1" hidden="0" allowOverlap="1" wp14:anchorId="6FEFCFCE" wp14:editId="5E040AEB">
                <wp:simplePos x="0" y="0"/>
                <wp:positionH relativeFrom="column">
                  <wp:posOffset>-152399</wp:posOffset>
                </wp:positionH>
                <wp:positionV relativeFrom="paragraph">
                  <wp:posOffset>139700</wp:posOffset>
                </wp:positionV>
                <wp:extent cx="5962650" cy="2406650"/>
                <wp:effectExtent l="0" t="0" r="0" b="0"/>
                <wp:wrapSquare wrapText="bothSides" distT="0" distB="0" distL="114300" distR="114300"/>
                <wp:docPr id="11" name="Skupina 11"/>
                <wp:cNvGraphicFramePr/>
                <a:graphic xmlns:a="http://schemas.openxmlformats.org/drawingml/2006/main">
                  <a:graphicData uri="http://schemas.microsoft.com/office/word/2010/wordprocessingGroup">
                    <wpg:wgp>
                      <wpg:cNvGrpSpPr/>
                      <wpg:grpSpPr>
                        <a:xfrm>
                          <a:off x="0" y="0"/>
                          <a:ext cx="5962650" cy="2406650"/>
                          <a:chOff x="2364675" y="2576675"/>
                          <a:chExt cx="5962650" cy="2406650"/>
                        </a:xfrm>
                      </wpg:grpSpPr>
                      <wpg:grpSp>
                        <wpg:cNvPr id="12" name="Skupina 12"/>
                        <wpg:cNvGrpSpPr/>
                        <wpg:grpSpPr>
                          <a:xfrm>
                            <a:off x="2364675" y="2576675"/>
                            <a:ext cx="5962650" cy="2406650"/>
                            <a:chOff x="0" y="0"/>
                            <a:chExt cx="59626" cy="26257"/>
                          </a:xfrm>
                        </wpg:grpSpPr>
                        <wps:wsp>
                          <wps:cNvPr id="13" name="Obdĺžnik 13"/>
                          <wps:cNvSpPr/>
                          <wps:spPr>
                            <a:xfrm>
                              <a:off x="0" y="0"/>
                              <a:ext cx="59625" cy="26250"/>
                            </a:xfrm>
                            <a:prstGeom prst="rect">
                              <a:avLst/>
                            </a:prstGeom>
                            <a:noFill/>
                            <a:ln>
                              <a:noFill/>
                            </a:ln>
                          </wps:spPr>
                          <wps:txbx>
                            <w:txbxContent>
                              <w:p w14:paraId="6F11EE94" w14:textId="77777777" w:rsidR="006C0687" w:rsidRDefault="006C0687">
                                <w:pPr>
                                  <w:spacing w:after="0"/>
                                  <w:jc w:val="left"/>
                                  <w:textDirection w:val="btLr"/>
                                </w:pPr>
                              </w:p>
                            </w:txbxContent>
                          </wps:txbx>
                          <wps:bodyPr spcFirstLastPara="1" wrap="square" lIns="91425" tIns="91425" rIns="91425" bIns="91425" anchor="ctr" anchorCtr="0">
                            <a:noAutofit/>
                          </wps:bodyPr>
                        </wps:wsp>
                        <wpg:grpSp>
                          <wpg:cNvPr id="15" name="Skupina 15"/>
                          <wpg:cNvGrpSpPr/>
                          <wpg:grpSpPr>
                            <a:xfrm>
                              <a:off x="0" y="0"/>
                              <a:ext cx="59315" cy="26257"/>
                              <a:chOff x="0" y="0"/>
                              <a:chExt cx="59315" cy="26257"/>
                            </a:xfrm>
                          </wpg:grpSpPr>
                          <pic:pic xmlns:pic="http://schemas.openxmlformats.org/drawingml/2006/picture">
                            <pic:nvPicPr>
                              <pic:cNvPr id="16" name="Shape 6"/>
                              <pic:cNvPicPr preferRelativeResize="0"/>
                            </pic:nvPicPr>
                            <pic:blipFill rotWithShape="1">
                              <a:blip r:embed="rId62">
                                <a:alphaModFix/>
                              </a:blip>
                              <a:srcRect/>
                              <a:stretch/>
                            </pic:blipFill>
                            <pic:spPr>
                              <a:xfrm>
                                <a:off x="50863" y="6858"/>
                                <a:ext cx="8452" cy="13906"/>
                              </a:xfrm>
                              <a:prstGeom prst="rect">
                                <a:avLst/>
                              </a:prstGeom>
                              <a:noFill/>
                              <a:ln>
                                <a:noFill/>
                              </a:ln>
                            </pic:spPr>
                          </pic:pic>
                          <pic:pic xmlns:pic="http://schemas.openxmlformats.org/drawingml/2006/picture">
                            <pic:nvPicPr>
                              <pic:cNvPr id="17" name="Shape 7"/>
                              <pic:cNvPicPr preferRelativeResize="0"/>
                            </pic:nvPicPr>
                            <pic:blipFill rotWithShape="1">
                              <a:blip r:embed="rId63">
                                <a:alphaModFix/>
                              </a:blip>
                              <a:srcRect/>
                              <a:stretch/>
                            </pic:blipFill>
                            <pic:spPr>
                              <a:xfrm>
                                <a:off x="0" y="0"/>
                                <a:ext cx="51530" cy="26257"/>
                              </a:xfrm>
                              <a:prstGeom prst="rect">
                                <a:avLst/>
                              </a:prstGeom>
                              <a:noFill/>
                              <a:ln>
                                <a:noFill/>
                              </a:ln>
                            </pic:spPr>
                          </pic:pic>
                        </wpg:grpSp>
                        <wps:wsp>
                          <wps:cNvPr id="18" name="Obdĺžnik 18"/>
                          <wps:cNvSpPr/>
                          <wps:spPr>
                            <a:xfrm>
                              <a:off x="50863" y="1453"/>
                              <a:ext cx="8763" cy="4712"/>
                            </a:xfrm>
                            <a:prstGeom prst="rect">
                              <a:avLst/>
                            </a:prstGeom>
                            <a:solidFill>
                              <a:srgbClr val="FFFFFF"/>
                            </a:solidFill>
                            <a:ln>
                              <a:noFill/>
                            </a:ln>
                          </wps:spPr>
                          <wps:txbx>
                            <w:txbxContent>
                              <w:p w14:paraId="1DFAA7CB" w14:textId="77777777" w:rsidR="006C0687" w:rsidRDefault="006C0687">
                                <w:pPr>
                                  <w:jc w:val="left"/>
                                  <w:textDirection w:val="btLr"/>
                                </w:pPr>
                                <w:r>
                                  <w:rPr>
                                    <w:color w:val="000000"/>
                                    <w:sz w:val="21"/>
                                  </w:rPr>
                                  <w:t>Cena nájmu pôdy (eur/ha)</w:t>
                                </w:r>
                              </w:p>
                            </w:txbxContent>
                          </wps:txbx>
                          <wps:bodyPr spcFirstLastPara="1" wrap="square" lIns="91425" tIns="45700" rIns="91425" bIns="45700" anchor="t" anchorCtr="0">
                            <a:noAutofit/>
                          </wps:bodyPr>
                        </wps:wsp>
                      </wpg:grpSp>
                    </wpg:wgp>
                  </a:graphicData>
                </a:graphic>
              </wp:anchor>
            </w:drawing>
          </mc:Choice>
          <mc:Fallback xmlns:w16se="http://schemas.microsoft.com/office/word/2015/wordml/symex" xmlns:cx="http://schemas.microsoft.com/office/drawing/2014/chartex">
            <w:pict>
              <v:group w14:anchorId="6FEFCFCE" id="Skupina 11" o:spid="_x0000_s1034" style="position:absolute;left:0;text-align:left;margin-left:-12pt;margin-top:11pt;width:469.5pt;height:189.5pt;z-index:251666432" coordorigin="23646,25766" coordsize="59626,24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">
                <v:group id="Skupina 12" o:spid="_x0000_s1035" style="position:absolute;left:23646;top:25766;width:59627;height:24067" coordsize="59626,2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Obdĺžnik 13" o:spid="_x0000_s1036" style="position:absolute;width:59625;height:26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6F11EE94" w14:textId="77777777" w:rsidR="006C0687" w:rsidRDefault="006C0687">
                          <w:pPr>
                            <w:spacing w:after="0"/>
                            <w:jc w:val="left"/>
                            <w:textDirection w:val="btLr"/>
                          </w:pPr>
                        </w:p>
                      </w:txbxContent>
                    </v:textbox>
                  </v:rect>
                  <v:group id="Skupina 15" o:spid="_x0000_s1037" style="position:absolute;width:59315;height:26257" coordsize="59315,2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8" type="#_x0000_t75" style="position:absolute;left:50863;top:6858;width:8452;height:139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">
                      <v:imagedata r:id="rId64" o:title=""/>
                    </v:shape>
                    <v:shape id="Shape 7" o:spid="_x0000_s1039" type="#_x0000_t75" style="position:absolute;width:51530;height:262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">
                      <v:imagedata r:id="rId65" o:title=""/>
                    </v:shape>
                  </v:group>
                  <v:rect id="Obdĺžnik 18" o:spid="_x0000_s1040" style="position:absolute;left:50863;top:1453;width:8763;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" stroked="f">
                    <v:textbox inset="2.53958mm,1.2694mm,2.53958mm,1.2694mm">
                      <w:txbxContent>
                        <w:p w14:paraId="1DFAA7CB" w14:textId="77777777" w:rsidR="006C0687" w:rsidRDefault="006C0687">
                          <w:pPr>
                            <w:jc w:val="left"/>
                            <w:textDirection w:val="btLr"/>
                          </w:pPr>
                          <w:r>
                            <w:rPr>
                              <w:color w:val="000000"/>
                              <w:sz w:val="21"/>
                            </w:rPr>
                            <w:t>Cena nájmu pôdy (eur/ha)</w:t>
                          </w:r>
                        </w:p>
                      </w:txbxContent>
                    </v:textbox>
                  </v:rect>
                </v:group>
                <w10:wrap type="square"/>
              </v:group>
            </w:pict>
          </mc:Fallback>
        </mc:AlternateContent>
      </w:r>
    </w:p>
    <w:p w14:paraId="6EC320F5" w14:textId="77777777" w:rsidR="00AA6557" w:rsidRPr="00666914" w:rsidRDefault="00AA6557">
      <w:pPr>
        <w:spacing w:after="0"/>
      </w:pPr>
    </w:p>
    <w:p w14:paraId="4ED45183" w14:textId="77777777" w:rsidR="00AA6557" w:rsidRPr="00666914" w:rsidRDefault="00AA6557">
      <w:pPr>
        <w:spacing w:after="0"/>
      </w:pPr>
    </w:p>
    <w:p w14:paraId="4247E7D4" w14:textId="77777777" w:rsidR="00AA6557" w:rsidRPr="00666914" w:rsidRDefault="00AA6557">
      <w:pPr>
        <w:spacing w:after="0"/>
      </w:pPr>
    </w:p>
    <w:p w14:paraId="5B9596AB" w14:textId="46A3673A" w:rsidR="00AA6557" w:rsidRPr="00666914" w:rsidRDefault="00AA6557">
      <w:pPr>
        <w:pBdr>
          <w:top w:val="single" w:sz="4" w:space="1" w:color="000000"/>
        </w:pBdr>
        <w:spacing w:after="0"/>
        <w:jc w:val="right"/>
        <w:rPr>
          <w:i/>
          <w:sz w:val="20"/>
          <w:szCs w:val="20"/>
        </w:rPr>
      </w:pPr>
      <w:r w:rsidRPr="00666914">
        <w:rPr>
          <w:i/>
          <w:sz w:val="20"/>
          <w:szCs w:val="20"/>
        </w:rPr>
        <w:t xml:space="preserve">Zdroj: </w:t>
      </w:r>
      <w:hyperlink r:id="rId66">
        <w:r w:rsidRPr="00666914">
          <w:rPr>
            <w:i/>
            <w:color w:val="0563C1"/>
            <w:sz w:val="20"/>
            <w:szCs w:val="20"/>
            <w:u w:val="single"/>
          </w:rPr>
          <w:t>http://www.mpsr.sk/ovn/opendata/ovn2018.csv</w:t>
        </w:r>
      </w:hyperlink>
      <w:r w:rsidRPr="00666914">
        <w:rPr>
          <w:i/>
          <w:sz w:val="20"/>
          <w:szCs w:val="20"/>
        </w:rPr>
        <w:t xml:space="preserve"> , spracovanie IJ</w:t>
      </w:r>
    </w:p>
    <w:p w14:paraId="14C1F21E" w14:textId="77777777" w:rsidR="00AA6557" w:rsidRPr="00666914" w:rsidRDefault="00AA6557" w:rsidP="00287DFE">
      <w:pPr>
        <w:spacing w:after="0" w:line="259" w:lineRule="auto"/>
      </w:pPr>
    </w:p>
    <w:p w14:paraId="6F723420" w14:textId="77777777" w:rsidR="00AA6557" w:rsidRPr="00666914" w:rsidRDefault="00AA6557" w:rsidP="00287DFE">
      <w:r w:rsidRPr="00666914">
        <w:lastRenderedPageBreak/>
        <w:t xml:space="preserve">Dataset s obvyklou výškou nájomného za užívanie poľnohospodárskej pôdy za rok 2019 bude odpočtovaný počas roku 2020 a ďalšie datasety následne každý ďalší rok. </w:t>
      </w:r>
      <w:r w:rsidRPr="00666914">
        <w:rPr>
          <w:b/>
        </w:rPr>
        <w:t xml:space="preserve">Opatrenie sa k 31.12.2019 plní čiastočne, </w:t>
      </w:r>
      <w:r w:rsidRPr="00666914">
        <w:t>nakoľko dataset za rok 2018 bol zverejnený počas roku 2019 len v tabuľkovej podobe, chýba v tiež odporúčanej mapovej podobe</w:t>
      </w:r>
      <w:r w:rsidRPr="00666914">
        <w:rPr>
          <w:vertAlign w:val="superscript"/>
        </w:rPr>
        <w:footnoteReference w:id="439"/>
      </w:r>
      <w:r w:rsidRPr="00666914">
        <w:t xml:space="preserve">. </w:t>
      </w:r>
    </w:p>
    <w:p w14:paraId="2E30D3AA" w14:textId="48DE8A6B" w:rsidR="00AA6557" w:rsidRPr="00666914" w:rsidRDefault="00AA6557" w:rsidP="004F0262">
      <w:r w:rsidRPr="00666914">
        <w:rPr>
          <w:b/>
        </w:rPr>
        <w:t xml:space="preserve">Odporúčanie IJ: </w:t>
      </w:r>
      <w:r w:rsidRPr="00666914">
        <w:t>Zverejniť aj legendu, metodiku výpočtu a poskytnúť možnosť stiahnutia zverejnených poznámok k spôsobu výpočtu OVN v datasete</w:t>
      </w:r>
      <w:r w:rsidRPr="00666914">
        <w:rPr>
          <w:vertAlign w:val="superscript"/>
        </w:rPr>
        <w:footnoteReference w:id="440"/>
      </w:r>
      <w:r w:rsidRPr="00666914">
        <w:t xml:space="preserve">. Zverejňovať obvyklú výšku nájomného pôdy podľa využitia v mapovej podobe za každé k. ú. </w:t>
      </w:r>
      <w:sdt>
        <w:sdtPr>
          <w:tag w:val="goog_rdk_32"/>
          <w:id w:val="151567343"/>
        </w:sdtPr>
        <w:sdtEndPr/>
        <w:sdtContent/>
      </w:sdt>
      <w:sdt>
        <w:sdtPr>
          <w:tag w:val="goog_rdk_33"/>
          <w:id w:val="771591512"/>
        </w:sdtPr>
        <w:sdtEndPr/>
        <w:sdtContent/>
      </w:sdt>
      <w:r w:rsidRPr="00666914">
        <w:t xml:space="preserve">Vhodné je tiež prepracovať metodiku výpočtu OVN v k. ú., kde nie sú poskytnuté údaje v datasete OVN, aby vykazované údaje boli relevantnejšie. </w:t>
      </w:r>
    </w:p>
    <w:p w14:paraId="2234F9A0" w14:textId="77777777" w:rsidR="00AA6557" w:rsidRPr="00666914" w:rsidRDefault="00AA6557" w:rsidP="00CE23F2">
      <w:pPr>
        <w:pStyle w:val="Nadpis2"/>
      </w:pPr>
      <w:bookmarkStart w:id="412" w:name="_Toc38029972"/>
      <w:bookmarkStart w:id="413" w:name="_Toc38447625"/>
      <w:bookmarkEnd w:id="412"/>
      <w:r w:rsidRPr="00666914">
        <w:t>Riadenie rizika v poľnohospodárstve</w:t>
      </w:r>
      <w:bookmarkEnd w:id="413"/>
    </w:p>
    <w:tbl>
      <w:tblPr>
        <w:tblW w:w="99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
        <w:gridCol w:w="1985"/>
        <w:gridCol w:w="2126"/>
        <w:gridCol w:w="1559"/>
        <w:gridCol w:w="851"/>
        <w:gridCol w:w="709"/>
        <w:gridCol w:w="708"/>
        <w:gridCol w:w="709"/>
        <w:gridCol w:w="709"/>
      </w:tblGrid>
      <w:tr w:rsidR="00AA6557" w:rsidRPr="00666914" w14:paraId="6379E0C9" w14:textId="77777777" w:rsidTr="00CE23F2">
        <w:trPr>
          <w:trHeight w:val="330"/>
          <w:jc w:val="center"/>
        </w:trPr>
        <w:tc>
          <w:tcPr>
            <w:tcW w:w="548" w:type="dxa"/>
            <w:shd w:val="clear" w:color="auto" w:fill="auto"/>
            <w:vAlign w:val="center"/>
          </w:tcPr>
          <w:p w14:paraId="655932EF" w14:textId="77777777" w:rsidR="00AA6557" w:rsidRPr="00666914" w:rsidRDefault="00AA6557">
            <w:pPr>
              <w:spacing w:after="0"/>
              <w:jc w:val="left"/>
              <w:rPr>
                <w:color w:val="000000"/>
                <w:sz w:val="20"/>
                <w:szCs w:val="20"/>
              </w:rPr>
            </w:pPr>
            <w:r w:rsidRPr="00666914">
              <w:rPr>
                <w:color w:val="000000"/>
                <w:sz w:val="20"/>
                <w:szCs w:val="20"/>
              </w:rPr>
              <w:t> </w:t>
            </w:r>
          </w:p>
        </w:tc>
        <w:tc>
          <w:tcPr>
            <w:tcW w:w="1985" w:type="dxa"/>
            <w:shd w:val="clear" w:color="auto" w:fill="auto"/>
            <w:vAlign w:val="center"/>
          </w:tcPr>
          <w:p w14:paraId="2A03E36D" w14:textId="77777777" w:rsidR="00AA6557" w:rsidRPr="00666914" w:rsidRDefault="00AA6557">
            <w:pPr>
              <w:spacing w:after="0"/>
              <w:jc w:val="left"/>
              <w:rPr>
                <w:b/>
                <w:color w:val="000000"/>
                <w:sz w:val="20"/>
                <w:szCs w:val="20"/>
              </w:rPr>
            </w:pPr>
            <w:r w:rsidRPr="00666914">
              <w:rPr>
                <w:b/>
                <w:color w:val="000000"/>
                <w:sz w:val="20"/>
                <w:szCs w:val="20"/>
              </w:rPr>
              <w:t>Pôdohospodárstvo a rozvoj vidieka</w:t>
            </w:r>
          </w:p>
        </w:tc>
        <w:tc>
          <w:tcPr>
            <w:tcW w:w="2126" w:type="dxa"/>
            <w:vAlign w:val="center"/>
          </w:tcPr>
          <w:p w14:paraId="723895F3" w14:textId="77777777" w:rsidR="00AA6557" w:rsidRPr="00666914" w:rsidRDefault="00AA6557">
            <w:pPr>
              <w:spacing w:after="0"/>
              <w:jc w:val="center"/>
              <w:rPr>
                <w:b/>
                <w:color w:val="000000"/>
                <w:sz w:val="20"/>
                <w:szCs w:val="20"/>
              </w:rPr>
            </w:pPr>
            <w:r w:rsidRPr="00666914">
              <w:rPr>
                <w:b/>
                <w:color w:val="000000"/>
                <w:sz w:val="20"/>
                <w:szCs w:val="20"/>
              </w:rPr>
              <w:t>Podopatrenie</w:t>
            </w:r>
          </w:p>
        </w:tc>
        <w:tc>
          <w:tcPr>
            <w:tcW w:w="1559" w:type="dxa"/>
            <w:shd w:val="clear" w:color="auto" w:fill="auto"/>
            <w:vAlign w:val="center"/>
          </w:tcPr>
          <w:p w14:paraId="7FDD84CF" w14:textId="77777777" w:rsidR="00AA6557" w:rsidRPr="00666914" w:rsidRDefault="00AA6557">
            <w:pPr>
              <w:spacing w:after="0"/>
              <w:jc w:val="center"/>
              <w:rPr>
                <w:b/>
                <w:color w:val="000000"/>
                <w:sz w:val="20"/>
                <w:szCs w:val="20"/>
              </w:rPr>
            </w:pPr>
            <w:r w:rsidRPr="00666914">
              <w:rPr>
                <w:b/>
                <w:color w:val="000000"/>
                <w:sz w:val="20"/>
                <w:szCs w:val="20"/>
              </w:rPr>
              <w:t>Zodpovednosť</w:t>
            </w:r>
          </w:p>
        </w:tc>
        <w:tc>
          <w:tcPr>
            <w:tcW w:w="851" w:type="dxa"/>
            <w:shd w:val="clear" w:color="auto" w:fill="auto"/>
            <w:vAlign w:val="center"/>
          </w:tcPr>
          <w:p w14:paraId="703CEB03" w14:textId="77777777" w:rsidR="00AA6557" w:rsidRPr="00666914" w:rsidRDefault="00AA6557">
            <w:pPr>
              <w:spacing w:after="0"/>
              <w:jc w:val="center"/>
              <w:rPr>
                <w:b/>
                <w:color w:val="000000"/>
                <w:sz w:val="20"/>
                <w:szCs w:val="20"/>
              </w:rPr>
            </w:pPr>
            <w:r w:rsidRPr="00666914">
              <w:rPr>
                <w:b/>
                <w:color w:val="000000"/>
                <w:sz w:val="20"/>
                <w:szCs w:val="20"/>
              </w:rPr>
              <w:t>Termín plnenia</w:t>
            </w:r>
          </w:p>
        </w:tc>
        <w:tc>
          <w:tcPr>
            <w:tcW w:w="709" w:type="dxa"/>
            <w:shd w:val="clear" w:color="auto" w:fill="auto"/>
            <w:vAlign w:val="center"/>
          </w:tcPr>
          <w:p w14:paraId="6C10CEFE" w14:textId="77777777" w:rsidR="00AA6557" w:rsidRPr="00666914" w:rsidRDefault="00AA6557">
            <w:pPr>
              <w:spacing w:after="0"/>
              <w:jc w:val="center"/>
              <w:rPr>
                <w:b/>
                <w:color w:val="000000"/>
                <w:sz w:val="20"/>
                <w:szCs w:val="20"/>
              </w:rPr>
            </w:pPr>
            <w:r w:rsidRPr="00666914">
              <w:rPr>
                <w:b/>
                <w:color w:val="000000"/>
                <w:sz w:val="20"/>
                <w:szCs w:val="20"/>
              </w:rPr>
              <w:t>1Q 2019</w:t>
            </w:r>
          </w:p>
        </w:tc>
        <w:tc>
          <w:tcPr>
            <w:tcW w:w="708" w:type="dxa"/>
            <w:shd w:val="clear" w:color="auto" w:fill="auto"/>
            <w:vAlign w:val="center"/>
          </w:tcPr>
          <w:p w14:paraId="5BE1DEAF" w14:textId="77777777" w:rsidR="00AA6557" w:rsidRPr="00666914" w:rsidRDefault="00AA6557">
            <w:pPr>
              <w:spacing w:after="0"/>
              <w:jc w:val="center"/>
              <w:rPr>
                <w:b/>
                <w:color w:val="000000"/>
                <w:sz w:val="20"/>
                <w:szCs w:val="20"/>
              </w:rPr>
            </w:pPr>
            <w:r w:rsidRPr="00666914">
              <w:rPr>
                <w:b/>
                <w:color w:val="000000"/>
                <w:sz w:val="20"/>
                <w:szCs w:val="20"/>
              </w:rPr>
              <w:t>2Q 2019</w:t>
            </w:r>
          </w:p>
        </w:tc>
        <w:tc>
          <w:tcPr>
            <w:tcW w:w="709" w:type="dxa"/>
            <w:shd w:val="clear" w:color="auto" w:fill="auto"/>
            <w:vAlign w:val="center"/>
          </w:tcPr>
          <w:p w14:paraId="0328B585" w14:textId="77777777" w:rsidR="00AA6557" w:rsidRPr="00666914" w:rsidRDefault="00AA6557">
            <w:pPr>
              <w:spacing w:after="0"/>
              <w:jc w:val="center"/>
              <w:rPr>
                <w:b/>
                <w:color w:val="000000"/>
                <w:sz w:val="20"/>
                <w:szCs w:val="20"/>
              </w:rPr>
            </w:pPr>
            <w:r w:rsidRPr="00666914">
              <w:rPr>
                <w:b/>
                <w:color w:val="000000"/>
                <w:sz w:val="20"/>
                <w:szCs w:val="20"/>
              </w:rPr>
              <w:t>3Q 2019</w:t>
            </w:r>
          </w:p>
        </w:tc>
        <w:tc>
          <w:tcPr>
            <w:tcW w:w="709" w:type="dxa"/>
            <w:shd w:val="clear" w:color="auto" w:fill="auto"/>
            <w:vAlign w:val="center"/>
          </w:tcPr>
          <w:p w14:paraId="4BC86FE7" w14:textId="77777777" w:rsidR="00AA6557" w:rsidRPr="00666914" w:rsidRDefault="00AA6557">
            <w:pPr>
              <w:spacing w:after="0"/>
              <w:jc w:val="center"/>
              <w:rPr>
                <w:b/>
                <w:color w:val="000000"/>
                <w:sz w:val="20"/>
                <w:szCs w:val="20"/>
              </w:rPr>
            </w:pPr>
            <w:r w:rsidRPr="00666914">
              <w:rPr>
                <w:b/>
                <w:color w:val="000000"/>
                <w:sz w:val="20"/>
                <w:szCs w:val="20"/>
              </w:rPr>
              <w:t>4Q 2019</w:t>
            </w:r>
          </w:p>
        </w:tc>
      </w:tr>
      <w:tr w:rsidR="00AA6557" w:rsidRPr="00666914" w14:paraId="4A12720E" w14:textId="77777777" w:rsidTr="00CE23F2">
        <w:trPr>
          <w:trHeight w:val="300"/>
          <w:jc w:val="center"/>
        </w:trPr>
        <w:tc>
          <w:tcPr>
            <w:tcW w:w="548" w:type="dxa"/>
            <w:shd w:val="clear" w:color="auto" w:fill="auto"/>
            <w:vAlign w:val="center"/>
          </w:tcPr>
          <w:p w14:paraId="55B17721" w14:textId="77777777" w:rsidR="00AA6557" w:rsidRPr="00666914" w:rsidRDefault="00AA6557">
            <w:pPr>
              <w:spacing w:after="0"/>
              <w:jc w:val="left"/>
              <w:rPr>
                <w:color w:val="000000"/>
                <w:sz w:val="20"/>
                <w:szCs w:val="20"/>
              </w:rPr>
            </w:pPr>
            <w:r w:rsidRPr="00666914">
              <w:rPr>
                <w:color w:val="000000"/>
                <w:sz w:val="18"/>
                <w:szCs w:val="18"/>
              </w:rPr>
              <w:t>5.1</w:t>
            </w:r>
          </w:p>
        </w:tc>
        <w:tc>
          <w:tcPr>
            <w:tcW w:w="1985" w:type="dxa"/>
            <w:shd w:val="clear" w:color="auto" w:fill="auto"/>
            <w:vAlign w:val="center"/>
          </w:tcPr>
          <w:p w14:paraId="14340D59" w14:textId="77777777" w:rsidR="00AA6557" w:rsidRPr="00666914" w:rsidRDefault="00AA6557">
            <w:pPr>
              <w:spacing w:after="0"/>
              <w:jc w:val="left"/>
              <w:rPr>
                <w:color w:val="000000"/>
                <w:sz w:val="20"/>
                <w:szCs w:val="20"/>
              </w:rPr>
            </w:pPr>
            <w:r w:rsidRPr="00666914">
              <w:rPr>
                <w:color w:val="000000"/>
                <w:sz w:val="18"/>
                <w:szCs w:val="18"/>
              </w:rPr>
              <w:t>Riadenie rizika v poľnohospodárstve</w:t>
            </w:r>
          </w:p>
        </w:tc>
        <w:tc>
          <w:tcPr>
            <w:tcW w:w="2126" w:type="dxa"/>
            <w:shd w:val="clear" w:color="auto" w:fill="auto"/>
            <w:vAlign w:val="center"/>
          </w:tcPr>
          <w:p w14:paraId="2BF0D970" w14:textId="77777777" w:rsidR="00AA6557" w:rsidRPr="00666914" w:rsidRDefault="00AA6557">
            <w:pPr>
              <w:spacing w:after="0"/>
              <w:jc w:val="left"/>
              <w:rPr>
                <w:color w:val="000000"/>
                <w:sz w:val="20"/>
                <w:szCs w:val="20"/>
              </w:rPr>
            </w:pPr>
            <w:r w:rsidRPr="00666914">
              <w:rPr>
                <w:color w:val="000000"/>
                <w:sz w:val="18"/>
                <w:szCs w:val="18"/>
              </w:rPr>
              <w:t>Podpora komerčného poistenia rizika v poľnohospodárstve</w:t>
            </w:r>
          </w:p>
        </w:tc>
        <w:tc>
          <w:tcPr>
            <w:tcW w:w="1559" w:type="dxa"/>
            <w:shd w:val="clear" w:color="auto" w:fill="auto"/>
            <w:vAlign w:val="center"/>
          </w:tcPr>
          <w:p w14:paraId="51D269D0" w14:textId="77777777" w:rsidR="00AA6557" w:rsidRPr="00666914" w:rsidRDefault="00AA6557">
            <w:pPr>
              <w:spacing w:after="0"/>
              <w:jc w:val="center"/>
              <w:rPr>
                <w:color w:val="000000"/>
                <w:sz w:val="20"/>
                <w:szCs w:val="20"/>
              </w:rPr>
            </w:pPr>
            <w:r w:rsidRPr="00666914">
              <w:rPr>
                <w:color w:val="000000"/>
                <w:sz w:val="18"/>
                <w:szCs w:val="18"/>
              </w:rPr>
              <w:t>MPRV, Sekcia rozvoja vidieka a priamych platieb</w:t>
            </w:r>
          </w:p>
        </w:tc>
        <w:tc>
          <w:tcPr>
            <w:tcW w:w="851" w:type="dxa"/>
            <w:shd w:val="clear" w:color="auto" w:fill="auto"/>
            <w:vAlign w:val="center"/>
          </w:tcPr>
          <w:p w14:paraId="10323F62" w14:textId="77777777" w:rsidR="00AA6557" w:rsidRPr="00666914" w:rsidRDefault="00AA6557">
            <w:pPr>
              <w:spacing w:after="0"/>
              <w:jc w:val="center"/>
              <w:rPr>
                <w:color w:val="000000"/>
                <w:sz w:val="20"/>
                <w:szCs w:val="20"/>
              </w:rPr>
            </w:pPr>
            <w:r w:rsidRPr="00666914">
              <w:rPr>
                <w:color w:val="000000"/>
                <w:sz w:val="18"/>
                <w:szCs w:val="18"/>
              </w:rPr>
              <w:t>1.1.2020</w:t>
            </w:r>
          </w:p>
        </w:tc>
        <w:tc>
          <w:tcPr>
            <w:tcW w:w="709" w:type="dxa"/>
            <w:shd w:val="clear" w:color="auto" w:fill="A6A6A6"/>
            <w:vAlign w:val="bottom"/>
          </w:tcPr>
          <w:p w14:paraId="72B65EE0" w14:textId="77777777" w:rsidR="00AA6557" w:rsidRPr="00666914" w:rsidRDefault="00AA6557">
            <w:pPr>
              <w:spacing w:after="0"/>
              <w:rPr>
                <w:color w:val="000000"/>
                <w:sz w:val="20"/>
                <w:szCs w:val="20"/>
              </w:rPr>
            </w:pPr>
          </w:p>
        </w:tc>
        <w:tc>
          <w:tcPr>
            <w:tcW w:w="708" w:type="dxa"/>
            <w:shd w:val="clear" w:color="auto" w:fill="A6A6A6"/>
            <w:vAlign w:val="bottom"/>
          </w:tcPr>
          <w:p w14:paraId="5962B421" w14:textId="77777777" w:rsidR="00AA6557" w:rsidRPr="00666914" w:rsidRDefault="00AA6557">
            <w:pPr>
              <w:spacing w:after="0"/>
              <w:rPr>
                <w:color w:val="000000"/>
                <w:sz w:val="20"/>
                <w:szCs w:val="20"/>
              </w:rPr>
            </w:pPr>
          </w:p>
        </w:tc>
        <w:tc>
          <w:tcPr>
            <w:tcW w:w="709" w:type="dxa"/>
            <w:shd w:val="clear" w:color="auto" w:fill="A6A6A6"/>
            <w:vAlign w:val="bottom"/>
          </w:tcPr>
          <w:p w14:paraId="3AA54076" w14:textId="77777777" w:rsidR="00AA6557" w:rsidRPr="00666914" w:rsidRDefault="00AA6557">
            <w:pPr>
              <w:spacing w:after="0"/>
              <w:rPr>
                <w:color w:val="000000"/>
                <w:sz w:val="20"/>
                <w:szCs w:val="20"/>
              </w:rPr>
            </w:pPr>
          </w:p>
        </w:tc>
        <w:tc>
          <w:tcPr>
            <w:tcW w:w="709" w:type="dxa"/>
            <w:shd w:val="clear" w:color="auto" w:fill="FFC000"/>
            <w:vAlign w:val="center"/>
          </w:tcPr>
          <w:p w14:paraId="70A6CCF9" w14:textId="77777777" w:rsidR="00AA6557" w:rsidRPr="00666914" w:rsidRDefault="00AA6557">
            <w:pPr>
              <w:spacing w:after="0"/>
              <w:jc w:val="center"/>
              <w:rPr>
                <w:color w:val="000000"/>
                <w:sz w:val="20"/>
                <w:szCs w:val="20"/>
              </w:rPr>
            </w:pPr>
            <w:r w:rsidRPr="00666914">
              <w:rPr>
                <w:color w:val="000000"/>
                <w:sz w:val="20"/>
                <w:szCs w:val="20"/>
              </w:rPr>
              <w:t xml:space="preserve">     </w:t>
            </w:r>
          </w:p>
        </w:tc>
      </w:tr>
    </w:tbl>
    <w:p w14:paraId="40AE57D5" w14:textId="77777777" w:rsidR="00AA6557" w:rsidRPr="00666914" w:rsidRDefault="00AA6557">
      <w:pPr>
        <w:spacing w:after="0"/>
        <w:rPr>
          <w:b/>
          <w:u w:val="single"/>
        </w:rPr>
      </w:pPr>
    </w:p>
    <w:p w14:paraId="7B6C4A8F" w14:textId="77777777" w:rsidR="00AA6557" w:rsidRPr="00666914" w:rsidRDefault="00AA6557">
      <w:pPr>
        <w:spacing w:after="0"/>
        <w:ind w:left="360"/>
        <w:rPr>
          <w:b/>
          <w:u w:val="single"/>
        </w:rPr>
      </w:pPr>
      <w:r w:rsidRPr="00666914">
        <w:rPr>
          <w:b/>
          <w:u w:val="single"/>
        </w:rPr>
        <w:t>5.1  Podpora komerčného poistenia rizika v poľnohospodárstve</w:t>
      </w:r>
    </w:p>
    <w:p w14:paraId="04755B65" w14:textId="77777777" w:rsidR="00AA6557" w:rsidRPr="00666914" w:rsidRDefault="00AA6557">
      <w:pPr>
        <w:spacing w:after="0"/>
        <w:rPr>
          <w:b/>
          <w:u w:val="single"/>
        </w:rPr>
      </w:pPr>
    </w:p>
    <w:p w14:paraId="253FE685" w14:textId="77777777" w:rsidR="00AA6557" w:rsidRPr="00666914" w:rsidRDefault="00AA6557" w:rsidP="00287DFE">
      <w:r w:rsidRPr="00666914">
        <w:t xml:space="preserve">Podpora komerčného poistenia rizika napomáha k stabilizácii poľnohospodárskeho sektora. Komerčné poistenie poľnohospodárskej produkcie zároveň prispieva k znižovaniu </w:t>
      </w:r>
      <w:sdt>
        <w:sdtPr>
          <w:tag w:val="goog_rdk_34"/>
          <w:id w:val="1922679579"/>
        </w:sdtPr>
        <w:sdtEndPr/>
        <w:sdtContent/>
      </w:sdt>
      <w:sdt>
        <w:sdtPr>
          <w:tag w:val="goog_rdk_35"/>
          <w:id w:val="1435328523"/>
        </w:sdtPr>
        <w:sdtEndPr/>
        <w:sdtContent/>
      </w:sdt>
      <w:sdt>
        <w:sdtPr>
          <w:tag w:val="goog_rdk_36"/>
          <w:id w:val="-761149301"/>
        </w:sdtPr>
        <w:sdtEndPr/>
        <w:sdtContent/>
      </w:sdt>
      <w:r w:rsidRPr="00666914">
        <w:t>štátnych pomocí vo forme ad hoc kompenzácií strát v prípade neočakávaných zvýšených výdavkov týkajúcich sa škôd na úrode alebo chove. Nevyhnutnú potrebu podpory komerčného poistenia rizika v poľnohospodárstve potvrdzuje aj fakt, že riziko v poľnohospodárstve je vyššie ako v iných odvetviach.</w:t>
      </w:r>
    </w:p>
    <w:p w14:paraId="1F7B31F8" w14:textId="77777777" w:rsidR="00AA6557" w:rsidRPr="00666914" w:rsidRDefault="00AA6557" w:rsidP="00287DFE">
      <w:r w:rsidRPr="00666914">
        <w:t xml:space="preserve">V minulosti sa počas rokov 2004 – 2013 využívali schémy štátnej pomoci na podporu komerčného poistenia rizika v poľnohospodárstve. Od roku 2014 do roku 2018 sa neposkytovala štátna pomoc na spolufinancovanie komerčného poistenia globálne, ale vyplácala sa len podpora na poistenie úrody vinohradov financovaná v rámci spoločnej organizácie </w:t>
      </w:r>
      <w:sdt>
        <w:sdtPr>
          <w:tag w:val="goog_rdk_37"/>
          <w:id w:val="527843237"/>
        </w:sdtPr>
        <w:sdtEndPr/>
        <w:sdtContent/>
      </w:sdt>
      <w:sdt>
        <w:sdtPr>
          <w:tag w:val="goog_rdk_38"/>
          <w:id w:val="-176653233"/>
        </w:sdtPr>
        <w:sdtEndPr/>
        <w:sdtContent/>
      </w:sdt>
      <w:r w:rsidRPr="00666914">
        <w:t>trhu</w:t>
      </w:r>
      <w:r w:rsidRPr="00666914">
        <w:rPr>
          <w:vertAlign w:val="superscript"/>
        </w:rPr>
        <w:footnoteReference w:id="441"/>
      </w:r>
      <w:r w:rsidRPr="00666914">
        <w:t xml:space="preserve">. Revízia navrhla spolufinancovanie komerčného poistenia rizika v poľnohospodárstve financovať prostredníctvom prostriedkov z PRV, resp. realokáciu prostriedkov v rámci súčasného PRV, ktorým by sa podporilo komerčné poistenie rizika v poľnohospodárstve. </w:t>
      </w:r>
    </w:p>
    <w:p w14:paraId="5438ACAB" w14:textId="77777777" w:rsidR="00AA6557" w:rsidRPr="00666914" w:rsidRDefault="00AA6557" w:rsidP="00287DFE">
      <w:r w:rsidRPr="00666914">
        <w:rPr>
          <w:b/>
        </w:rPr>
        <w:t xml:space="preserve">V roku 2019 bola vytvorená nová schéma štátnej pomoci na platby poistného v poľnohospodárskej prvovýrobe, ktorej poskytovateľom je </w:t>
      </w:r>
      <w:sdt>
        <w:sdtPr>
          <w:tag w:val="goog_rdk_39"/>
          <w:id w:val="1651332197"/>
        </w:sdtPr>
        <w:sdtEndPr/>
        <w:sdtContent/>
      </w:sdt>
      <w:sdt>
        <w:sdtPr>
          <w:tag w:val="goog_rdk_40"/>
          <w:id w:val="-44296440"/>
        </w:sdtPr>
        <w:sdtEndPr/>
        <w:sdtContent/>
      </w:sdt>
      <w:sdt>
        <w:sdtPr>
          <w:tag w:val="goog_rdk_41"/>
          <w:id w:val="-517233032"/>
        </w:sdtPr>
        <w:sdtEndPr/>
        <w:sdtContent/>
      </w:sdt>
      <w:r w:rsidRPr="00666914">
        <w:rPr>
          <w:b/>
        </w:rPr>
        <w:t>MPRV SR. Celkový objem štátnej pomoci je 20 mil. eur a bude trvať do konca roka 2023</w:t>
      </w:r>
      <w:r w:rsidRPr="00666914">
        <w:rPr>
          <w:b/>
          <w:vertAlign w:val="superscript"/>
        </w:rPr>
        <w:footnoteReference w:id="442"/>
      </w:r>
      <w:r w:rsidRPr="00666914">
        <w:rPr>
          <w:b/>
        </w:rPr>
        <w:t xml:space="preserve">. </w:t>
      </w:r>
      <w:r w:rsidRPr="00666914">
        <w:t>Schéma je vytvorená na podporu spolufinancovania komerčného poistenia rizika v poľnohospodárstve v predpokladanom objeme 4 mil. eur na jeden kalendárny rok. Výška podielu spolufinancovania závisí od objemu schválených žiadostí, maximálny podiel je však do 65 % oprávnených nákladov na poistné a žiadateľa. Každá schválená žiadosť je vyplácaná rovnakým stanoveným podielom po dodaní dokladu o úhrade poistného na poľnohospodársku produkciu. V súčasnosti je podpora poistenia v poľnohospodárstve financovaná prostredníctvom schém štátnej pomoci, teda zo štátneho rozpočtu. Štát spolufinancuje ročné poistenie na riziko poľnohospodárskej produkcie stanoveným percentom zo zaplateného ročného poistného komerčnej poisťovni. Po doložení žiadosti a poistnej zmluvy je žiadateľovi o podporu vyplatená podpora komerčného poistenia rizika v poľnohospodárstve.</w:t>
      </w:r>
    </w:p>
    <w:p w14:paraId="1D44F118" w14:textId="68F7E404" w:rsidR="00AA6557" w:rsidRPr="00666914" w:rsidRDefault="009628F6" w:rsidP="00287DFE">
      <w:r w:rsidRPr="00666914">
        <w:t xml:space="preserve">V rámci PRV 2014 – 2020 </w:t>
      </w:r>
      <w:r w:rsidR="00AA6557" w:rsidRPr="00666914">
        <w:t>nebolo možné zaviesť podporu komerčného poistenia rizika v poľnohospodárstve do žiadneho zo stanovených opatrení na začiatku viacročného finančného rámca.</w:t>
      </w:r>
      <w:r w:rsidR="00AA6557" w:rsidRPr="00666914">
        <w:rPr>
          <w:b/>
        </w:rPr>
        <w:t xml:space="preserve"> </w:t>
      </w:r>
      <w:r w:rsidR="00AA6557" w:rsidRPr="00666914">
        <w:t xml:space="preserve">Podpora komerčného poistenia rizika v poľnohospodárstve sa tak preto v roku 2019 realizovala prostredníctvom schémy štátnej pomoci. PPA prijala na výzvu o preplatenie časti komerčného poistenia rizika na poľnohospodársku produkciu 651 žiadostí, z ktorých bolo 532 schválených. </w:t>
      </w:r>
      <w:r w:rsidR="00AA6557" w:rsidRPr="00666914">
        <w:rPr>
          <w:b/>
        </w:rPr>
        <w:t xml:space="preserve">Podiel spolufinancovania na zaplatenom komerčnom poistení pre schválené žiadosti </w:t>
      </w:r>
      <w:r w:rsidR="00AA6557" w:rsidRPr="00666914">
        <w:rPr>
          <w:b/>
        </w:rPr>
        <w:lastRenderedPageBreak/>
        <w:t xml:space="preserve">bol stanovený v sledovanom období na 56,13 %, </w:t>
      </w:r>
      <w:r w:rsidR="00AA6557" w:rsidRPr="00666914">
        <w:t>čo je v optimálnej hranici nastaveného indikátora v IP</w:t>
      </w:r>
      <w:r w:rsidR="00AA6557" w:rsidRPr="00666914">
        <w:rPr>
          <w:vertAlign w:val="superscript"/>
        </w:rPr>
        <w:footnoteReference w:id="443"/>
      </w:r>
      <w:r w:rsidR="00AA6557" w:rsidRPr="00666914">
        <w:t>– podiel spolufinancovania 40 – 60%.</w:t>
      </w:r>
      <w:r w:rsidR="00AA6557" w:rsidRPr="00666914">
        <w:rPr>
          <w:b/>
        </w:rPr>
        <w:t xml:space="preserve"> Opatrenie sa k 31.12.2019 čiastočne plní. </w:t>
      </w:r>
      <w:r w:rsidR="00AA6557" w:rsidRPr="00666914">
        <w:t xml:space="preserve"> </w:t>
      </w:r>
    </w:p>
    <w:p w14:paraId="0B396622" w14:textId="1DA64409" w:rsidR="00AA6557" w:rsidRPr="00666914" w:rsidRDefault="00AA6557" w:rsidP="004F0262">
      <w:r w:rsidRPr="00666914">
        <w:rPr>
          <w:b/>
        </w:rPr>
        <w:t>Odporúčanie IJ:</w:t>
      </w:r>
      <w:r w:rsidRPr="00666914">
        <w:t xml:space="preserve"> Zapracovať návrh financovania časti komerčného poistného poľnohospodárom </w:t>
      </w:r>
      <w:r w:rsidR="009628F6" w:rsidRPr="00666914">
        <w:t xml:space="preserve">z prostriedkov EPFRV do SP SPP </w:t>
      </w:r>
      <w:r w:rsidRPr="00666914">
        <w:t>2021 – 2027. Navrhnúť podiel spolufinancovania od 40 do 60 % ceny poistného</w:t>
      </w:r>
      <w:r w:rsidRPr="00666914">
        <w:rPr>
          <w:vertAlign w:val="superscript"/>
        </w:rPr>
        <w:footnoteReference w:id="444"/>
      </w:r>
      <w:r w:rsidRPr="00666914">
        <w:t xml:space="preserve"> do strategického plánu SPP na ďalšie programové obdobie.</w:t>
      </w:r>
    </w:p>
    <w:p w14:paraId="5C1154D4" w14:textId="77777777" w:rsidR="00AA6557" w:rsidRPr="00666914" w:rsidRDefault="00AA6557" w:rsidP="00537FD0">
      <w:pPr>
        <w:pStyle w:val="Nadpis2"/>
      </w:pPr>
      <w:bookmarkStart w:id="414" w:name="_Toc38447626"/>
      <w:r w:rsidRPr="00666914">
        <w:t>Podpora investícií v pôdohospodárstve a na vidieku s použitím finančných nástrojov</w:t>
      </w:r>
      <w:bookmarkEnd w:id="414"/>
      <w:r w:rsidRPr="00666914">
        <w:t xml:space="preserve"> </w:t>
      </w: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
        <w:gridCol w:w="2039"/>
        <w:gridCol w:w="2551"/>
        <w:gridCol w:w="1418"/>
        <w:gridCol w:w="992"/>
        <w:gridCol w:w="709"/>
        <w:gridCol w:w="709"/>
        <w:gridCol w:w="708"/>
        <w:gridCol w:w="645"/>
      </w:tblGrid>
      <w:tr w:rsidR="00AA6557" w:rsidRPr="00666914" w14:paraId="519513A3" w14:textId="77777777" w:rsidTr="00537FD0">
        <w:trPr>
          <w:trHeight w:val="330"/>
          <w:jc w:val="center"/>
        </w:trPr>
        <w:tc>
          <w:tcPr>
            <w:tcW w:w="434" w:type="dxa"/>
            <w:shd w:val="clear" w:color="auto" w:fill="auto"/>
            <w:vAlign w:val="center"/>
          </w:tcPr>
          <w:p w14:paraId="1FF0233B" w14:textId="77777777" w:rsidR="00AA6557" w:rsidRPr="00666914" w:rsidRDefault="00AA6557">
            <w:pPr>
              <w:spacing w:after="0"/>
              <w:jc w:val="left"/>
              <w:rPr>
                <w:color w:val="000000"/>
                <w:sz w:val="20"/>
                <w:szCs w:val="20"/>
              </w:rPr>
            </w:pPr>
            <w:r w:rsidRPr="00666914">
              <w:rPr>
                <w:color w:val="000000"/>
                <w:sz w:val="20"/>
                <w:szCs w:val="20"/>
              </w:rPr>
              <w:t> </w:t>
            </w:r>
          </w:p>
        </w:tc>
        <w:tc>
          <w:tcPr>
            <w:tcW w:w="2039" w:type="dxa"/>
            <w:shd w:val="clear" w:color="auto" w:fill="auto"/>
            <w:vAlign w:val="center"/>
          </w:tcPr>
          <w:p w14:paraId="5A845C95" w14:textId="77777777" w:rsidR="00AA6557" w:rsidRPr="00666914" w:rsidRDefault="00AA6557">
            <w:pPr>
              <w:spacing w:after="0"/>
              <w:jc w:val="left"/>
              <w:rPr>
                <w:b/>
                <w:color w:val="000000"/>
                <w:sz w:val="20"/>
                <w:szCs w:val="20"/>
              </w:rPr>
            </w:pPr>
            <w:r w:rsidRPr="00666914">
              <w:rPr>
                <w:b/>
                <w:color w:val="000000"/>
                <w:sz w:val="20"/>
                <w:szCs w:val="20"/>
              </w:rPr>
              <w:t>Pôdohospodárstvo a rozvoj vidieka</w:t>
            </w:r>
          </w:p>
        </w:tc>
        <w:tc>
          <w:tcPr>
            <w:tcW w:w="2551" w:type="dxa"/>
            <w:vAlign w:val="center"/>
          </w:tcPr>
          <w:p w14:paraId="22E0AB47" w14:textId="77777777" w:rsidR="00AA6557" w:rsidRPr="00666914" w:rsidRDefault="00AA6557">
            <w:pPr>
              <w:spacing w:after="0"/>
              <w:jc w:val="center"/>
              <w:rPr>
                <w:b/>
                <w:color w:val="000000"/>
                <w:sz w:val="20"/>
                <w:szCs w:val="20"/>
              </w:rPr>
            </w:pPr>
            <w:r w:rsidRPr="00666914">
              <w:rPr>
                <w:b/>
                <w:color w:val="000000"/>
                <w:sz w:val="20"/>
                <w:szCs w:val="20"/>
              </w:rPr>
              <w:t>Podopatrenie</w:t>
            </w:r>
          </w:p>
        </w:tc>
        <w:tc>
          <w:tcPr>
            <w:tcW w:w="1418" w:type="dxa"/>
            <w:shd w:val="clear" w:color="auto" w:fill="auto"/>
            <w:vAlign w:val="center"/>
          </w:tcPr>
          <w:p w14:paraId="201792E5" w14:textId="77777777" w:rsidR="00AA6557" w:rsidRPr="00666914" w:rsidRDefault="00AA6557">
            <w:pPr>
              <w:spacing w:after="0"/>
              <w:jc w:val="center"/>
              <w:rPr>
                <w:b/>
                <w:color w:val="000000"/>
                <w:sz w:val="20"/>
                <w:szCs w:val="20"/>
              </w:rPr>
            </w:pPr>
            <w:r w:rsidRPr="00666914">
              <w:rPr>
                <w:b/>
                <w:color w:val="000000"/>
                <w:sz w:val="20"/>
                <w:szCs w:val="20"/>
              </w:rPr>
              <w:t>Zodpovednosť</w:t>
            </w:r>
          </w:p>
        </w:tc>
        <w:tc>
          <w:tcPr>
            <w:tcW w:w="992" w:type="dxa"/>
            <w:shd w:val="clear" w:color="auto" w:fill="auto"/>
            <w:vAlign w:val="center"/>
          </w:tcPr>
          <w:p w14:paraId="436B1556" w14:textId="77777777" w:rsidR="00AA6557" w:rsidRPr="00666914" w:rsidRDefault="00AA6557">
            <w:pPr>
              <w:spacing w:after="0"/>
              <w:jc w:val="center"/>
              <w:rPr>
                <w:b/>
                <w:color w:val="000000"/>
                <w:sz w:val="20"/>
                <w:szCs w:val="20"/>
              </w:rPr>
            </w:pPr>
            <w:r w:rsidRPr="00666914">
              <w:rPr>
                <w:b/>
                <w:color w:val="000000"/>
                <w:sz w:val="20"/>
                <w:szCs w:val="20"/>
              </w:rPr>
              <w:t>Termín plnenia</w:t>
            </w:r>
          </w:p>
        </w:tc>
        <w:tc>
          <w:tcPr>
            <w:tcW w:w="709" w:type="dxa"/>
            <w:shd w:val="clear" w:color="auto" w:fill="auto"/>
            <w:vAlign w:val="center"/>
          </w:tcPr>
          <w:p w14:paraId="7E1E5C48" w14:textId="77777777" w:rsidR="00AA6557" w:rsidRPr="00666914" w:rsidRDefault="00AA6557">
            <w:pPr>
              <w:spacing w:after="0"/>
              <w:jc w:val="center"/>
              <w:rPr>
                <w:b/>
                <w:color w:val="000000"/>
                <w:sz w:val="20"/>
                <w:szCs w:val="20"/>
              </w:rPr>
            </w:pPr>
            <w:r w:rsidRPr="00666914">
              <w:rPr>
                <w:b/>
                <w:color w:val="000000"/>
                <w:sz w:val="20"/>
                <w:szCs w:val="20"/>
              </w:rPr>
              <w:t>1Q 2019</w:t>
            </w:r>
          </w:p>
        </w:tc>
        <w:tc>
          <w:tcPr>
            <w:tcW w:w="709" w:type="dxa"/>
            <w:shd w:val="clear" w:color="auto" w:fill="auto"/>
            <w:vAlign w:val="center"/>
          </w:tcPr>
          <w:p w14:paraId="6DC72067" w14:textId="77777777" w:rsidR="00AA6557" w:rsidRPr="00666914" w:rsidRDefault="00AA6557">
            <w:pPr>
              <w:spacing w:after="0"/>
              <w:jc w:val="center"/>
              <w:rPr>
                <w:b/>
                <w:color w:val="000000"/>
                <w:sz w:val="20"/>
                <w:szCs w:val="20"/>
              </w:rPr>
            </w:pPr>
            <w:r w:rsidRPr="00666914">
              <w:rPr>
                <w:b/>
                <w:color w:val="000000"/>
                <w:sz w:val="20"/>
                <w:szCs w:val="20"/>
              </w:rPr>
              <w:t>2Q 2019</w:t>
            </w:r>
          </w:p>
        </w:tc>
        <w:tc>
          <w:tcPr>
            <w:tcW w:w="708" w:type="dxa"/>
            <w:shd w:val="clear" w:color="auto" w:fill="auto"/>
            <w:vAlign w:val="center"/>
          </w:tcPr>
          <w:p w14:paraId="0B32FF24" w14:textId="77777777" w:rsidR="00AA6557" w:rsidRPr="00666914" w:rsidRDefault="00AA6557">
            <w:pPr>
              <w:spacing w:after="0"/>
              <w:jc w:val="center"/>
              <w:rPr>
                <w:b/>
                <w:color w:val="000000"/>
                <w:sz w:val="20"/>
                <w:szCs w:val="20"/>
              </w:rPr>
            </w:pPr>
            <w:r w:rsidRPr="00666914">
              <w:rPr>
                <w:b/>
                <w:color w:val="000000"/>
                <w:sz w:val="20"/>
                <w:szCs w:val="20"/>
              </w:rPr>
              <w:t>3Q 2019</w:t>
            </w:r>
          </w:p>
        </w:tc>
        <w:tc>
          <w:tcPr>
            <w:tcW w:w="645" w:type="dxa"/>
            <w:shd w:val="clear" w:color="auto" w:fill="auto"/>
            <w:vAlign w:val="center"/>
          </w:tcPr>
          <w:p w14:paraId="3E72B4F6" w14:textId="77777777" w:rsidR="00AA6557" w:rsidRPr="00666914" w:rsidRDefault="00AA6557">
            <w:pPr>
              <w:spacing w:after="0"/>
              <w:jc w:val="center"/>
              <w:rPr>
                <w:b/>
                <w:color w:val="000000"/>
                <w:sz w:val="20"/>
                <w:szCs w:val="20"/>
              </w:rPr>
            </w:pPr>
            <w:r w:rsidRPr="00666914">
              <w:rPr>
                <w:b/>
                <w:color w:val="000000"/>
                <w:sz w:val="20"/>
                <w:szCs w:val="20"/>
              </w:rPr>
              <w:t>4Q 2019</w:t>
            </w:r>
          </w:p>
        </w:tc>
      </w:tr>
      <w:tr w:rsidR="00AA6557" w:rsidRPr="00666914" w14:paraId="6ED4A4F4" w14:textId="77777777" w:rsidTr="00537FD0">
        <w:trPr>
          <w:trHeight w:val="300"/>
          <w:jc w:val="center"/>
        </w:trPr>
        <w:tc>
          <w:tcPr>
            <w:tcW w:w="434" w:type="dxa"/>
            <w:shd w:val="clear" w:color="auto" w:fill="auto"/>
            <w:vAlign w:val="center"/>
          </w:tcPr>
          <w:p w14:paraId="5F1F3EFC" w14:textId="77777777" w:rsidR="00AA6557" w:rsidRPr="00666914" w:rsidRDefault="00AA6557">
            <w:pPr>
              <w:spacing w:after="0"/>
              <w:jc w:val="left"/>
              <w:rPr>
                <w:color w:val="000000"/>
                <w:sz w:val="20"/>
                <w:szCs w:val="20"/>
              </w:rPr>
            </w:pPr>
            <w:r w:rsidRPr="00666914">
              <w:rPr>
                <w:color w:val="000000"/>
                <w:sz w:val="18"/>
                <w:szCs w:val="18"/>
              </w:rPr>
              <w:t>7.1</w:t>
            </w:r>
          </w:p>
        </w:tc>
        <w:tc>
          <w:tcPr>
            <w:tcW w:w="2039" w:type="dxa"/>
            <w:shd w:val="clear" w:color="auto" w:fill="auto"/>
            <w:vAlign w:val="center"/>
          </w:tcPr>
          <w:p w14:paraId="4CC04388" w14:textId="77777777" w:rsidR="00AA6557" w:rsidRPr="00666914" w:rsidRDefault="00AA6557">
            <w:pPr>
              <w:spacing w:after="0"/>
              <w:jc w:val="left"/>
              <w:rPr>
                <w:color w:val="000000"/>
                <w:sz w:val="20"/>
                <w:szCs w:val="20"/>
              </w:rPr>
            </w:pPr>
            <w:r w:rsidRPr="00666914">
              <w:rPr>
                <w:color w:val="000000"/>
                <w:sz w:val="18"/>
                <w:szCs w:val="18"/>
              </w:rPr>
              <w:t>Podpora investícií v pôdohospodárstve a na vidieku s použitím finančných nástrojov</w:t>
            </w:r>
          </w:p>
        </w:tc>
        <w:tc>
          <w:tcPr>
            <w:tcW w:w="2551" w:type="dxa"/>
            <w:shd w:val="clear" w:color="auto" w:fill="auto"/>
            <w:vAlign w:val="center"/>
          </w:tcPr>
          <w:p w14:paraId="06EB8729" w14:textId="77777777" w:rsidR="00AA6557" w:rsidRPr="00666914" w:rsidRDefault="00AA6557">
            <w:pPr>
              <w:spacing w:after="0"/>
              <w:jc w:val="left"/>
              <w:rPr>
                <w:color w:val="000000"/>
                <w:sz w:val="20"/>
                <w:szCs w:val="20"/>
              </w:rPr>
            </w:pPr>
            <w:r w:rsidRPr="00666914">
              <w:rPr>
                <w:color w:val="000000"/>
                <w:sz w:val="18"/>
                <w:szCs w:val="18"/>
              </w:rPr>
              <w:t>Identifikovať investičné oblasti v rámci SPP, ktoré je ekonomicky možné podporiť návratnými formami financovania alebo kombináciou návratného a nenávratného financovania</w:t>
            </w:r>
          </w:p>
        </w:tc>
        <w:tc>
          <w:tcPr>
            <w:tcW w:w="1418" w:type="dxa"/>
            <w:shd w:val="clear" w:color="auto" w:fill="auto"/>
            <w:vAlign w:val="center"/>
          </w:tcPr>
          <w:p w14:paraId="14ACDFB4" w14:textId="77777777" w:rsidR="00AA6557" w:rsidRPr="00666914" w:rsidRDefault="00AA6557">
            <w:pPr>
              <w:spacing w:after="0"/>
              <w:jc w:val="center"/>
              <w:rPr>
                <w:color w:val="000000"/>
                <w:sz w:val="20"/>
                <w:szCs w:val="20"/>
              </w:rPr>
            </w:pPr>
            <w:r w:rsidRPr="00666914">
              <w:rPr>
                <w:color w:val="000000"/>
                <w:sz w:val="18"/>
                <w:szCs w:val="18"/>
              </w:rPr>
              <w:t>MPRV, Sekcia rozvoja vidieka a priamych platieb</w:t>
            </w:r>
          </w:p>
        </w:tc>
        <w:tc>
          <w:tcPr>
            <w:tcW w:w="992" w:type="dxa"/>
            <w:shd w:val="clear" w:color="auto" w:fill="auto"/>
            <w:vAlign w:val="center"/>
          </w:tcPr>
          <w:p w14:paraId="470EAB85" w14:textId="4D68EDD1" w:rsidR="00AA6557" w:rsidRPr="00666914" w:rsidRDefault="00AA6557" w:rsidP="00332167">
            <w:pPr>
              <w:spacing w:after="0"/>
              <w:rPr>
                <w:color w:val="000000"/>
                <w:sz w:val="20"/>
                <w:szCs w:val="20"/>
              </w:rPr>
            </w:pPr>
            <w:r w:rsidRPr="00666914">
              <w:rPr>
                <w:color w:val="000000"/>
                <w:sz w:val="18"/>
                <w:szCs w:val="18"/>
              </w:rPr>
              <w:t>2019– 2027</w:t>
            </w:r>
          </w:p>
        </w:tc>
        <w:tc>
          <w:tcPr>
            <w:tcW w:w="709" w:type="dxa"/>
            <w:shd w:val="clear" w:color="auto" w:fill="A6A6A6"/>
            <w:vAlign w:val="bottom"/>
          </w:tcPr>
          <w:p w14:paraId="18D6F0D3" w14:textId="77777777" w:rsidR="00AA6557" w:rsidRPr="00666914" w:rsidRDefault="00AA6557">
            <w:pPr>
              <w:spacing w:after="0"/>
              <w:rPr>
                <w:color w:val="000000"/>
                <w:sz w:val="20"/>
                <w:szCs w:val="20"/>
              </w:rPr>
            </w:pPr>
          </w:p>
        </w:tc>
        <w:tc>
          <w:tcPr>
            <w:tcW w:w="709" w:type="dxa"/>
            <w:shd w:val="clear" w:color="auto" w:fill="A6A6A6"/>
            <w:vAlign w:val="bottom"/>
          </w:tcPr>
          <w:p w14:paraId="08E18A86" w14:textId="77777777" w:rsidR="00AA6557" w:rsidRPr="00666914" w:rsidRDefault="00AA6557">
            <w:pPr>
              <w:spacing w:after="0"/>
              <w:rPr>
                <w:color w:val="000000"/>
                <w:sz w:val="20"/>
                <w:szCs w:val="20"/>
              </w:rPr>
            </w:pPr>
          </w:p>
        </w:tc>
        <w:tc>
          <w:tcPr>
            <w:tcW w:w="708" w:type="dxa"/>
            <w:shd w:val="clear" w:color="auto" w:fill="A6A6A6"/>
            <w:vAlign w:val="bottom"/>
          </w:tcPr>
          <w:p w14:paraId="4F8BEF2D" w14:textId="77777777" w:rsidR="00AA6557" w:rsidRPr="00666914" w:rsidRDefault="00AA6557">
            <w:pPr>
              <w:spacing w:after="0"/>
              <w:rPr>
                <w:color w:val="000000"/>
                <w:sz w:val="20"/>
                <w:szCs w:val="20"/>
              </w:rPr>
            </w:pPr>
          </w:p>
        </w:tc>
        <w:tc>
          <w:tcPr>
            <w:tcW w:w="645" w:type="dxa"/>
            <w:shd w:val="clear" w:color="auto" w:fill="FF0000"/>
            <w:vAlign w:val="center"/>
          </w:tcPr>
          <w:p w14:paraId="4663698A" w14:textId="77777777" w:rsidR="00AA6557" w:rsidRPr="00666914" w:rsidRDefault="00AA6557">
            <w:pPr>
              <w:spacing w:after="0"/>
              <w:jc w:val="center"/>
              <w:rPr>
                <w:color w:val="000000"/>
                <w:sz w:val="20"/>
                <w:szCs w:val="20"/>
              </w:rPr>
            </w:pPr>
          </w:p>
        </w:tc>
      </w:tr>
    </w:tbl>
    <w:p w14:paraId="6EC90BF7" w14:textId="77777777" w:rsidR="00AA6557" w:rsidRPr="00666914" w:rsidRDefault="00AA6557">
      <w:pPr>
        <w:spacing w:after="0"/>
        <w:rPr>
          <w:b/>
          <w:u w:val="single"/>
        </w:rPr>
      </w:pPr>
    </w:p>
    <w:p w14:paraId="31DCEF27" w14:textId="77777777" w:rsidR="00AA6557" w:rsidRPr="00666914" w:rsidRDefault="00AA6557" w:rsidP="009F699A">
      <w:pPr>
        <w:spacing w:after="0"/>
        <w:ind w:left="708"/>
        <w:rPr>
          <w:b/>
          <w:u w:val="single"/>
        </w:rPr>
      </w:pPr>
      <w:r w:rsidRPr="00666914">
        <w:rPr>
          <w:b/>
          <w:u w:val="single"/>
        </w:rPr>
        <w:t>7.1   Identifikovať investičné oblasti v rámci SPP, ktoré je ekonomicky možné podporiť návratnými formami financovania alebo kombináciou návratného a nenávratného financovania</w:t>
      </w:r>
    </w:p>
    <w:p w14:paraId="03CF7EB8" w14:textId="77777777" w:rsidR="00AA6557" w:rsidRPr="00666914" w:rsidRDefault="00AA6557">
      <w:pPr>
        <w:spacing w:after="0"/>
        <w:rPr>
          <w:b/>
          <w:u w:val="single"/>
        </w:rPr>
      </w:pPr>
    </w:p>
    <w:p w14:paraId="4A3CFA43" w14:textId="77777777" w:rsidR="00AA6557" w:rsidRPr="00666914" w:rsidRDefault="00AA6557" w:rsidP="00287DFE">
      <w:r w:rsidRPr="00666914">
        <w:t>V súčasnosti využíva finančné nástroje v rámci SPP 6 členských štátov EÚ (Estónsko, Francúzsko, Nemecko, Rumunsko, Španielsko a Taliansko)</w:t>
      </w:r>
      <w:r w:rsidRPr="00666914">
        <w:rPr>
          <w:vertAlign w:val="superscript"/>
        </w:rPr>
        <w:footnoteReference w:id="445"/>
      </w:r>
      <w:r w:rsidRPr="00666914">
        <w:t xml:space="preserve">, </w:t>
      </w:r>
      <w:r w:rsidRPr="00666914">
        <w:rPr>
          <w:b/>
        </w:rPr>
        <w:t>SR ich zatiaľ nezaviedla.</w:t>
      </w:r>
      <w:r w:rsidRPr="00666914">
        <w:t xml:space="preserve"> EK navrhuje ich zapracovanie do strategických plánov SPP od roku 2021, čím by sa podporili investície a inovácie v rezorte pôdohospodárstva v identifikovaných oblastiach. V rámci PRV SR 2014 - 2020 bolo alokovaných na tvorbu finančných nástrojov 10 mil. eur, čo predstavuje len 0,64 % prostriedkov EPFRV po presunutí časti financií. Od roku 2020 revízia </w:t>
      </w:r>
      <w:sdt>
        <w:sdtPr>
          <w:tag w:val="goog_rdk_44"/>
          <w:id w:val="-312721534"/>
        </w:sdtPr>
        <w:sdtEndPr/>
        <w:sdtContent/>
      </w:sdt>
      <w:sdt>
        <w:sdtPr>
          <w:tag w:val="goog_rdk_45"/>
          <w:id w:val="-1358121539"/>
        </w:sdtPr>
        <w:sdtEndPr/>
        <w:sdtContent/>
      </w:sdt>
      <w:r w:rsidRPr="00666914">
        <w:t>stanovila cieľ dosiahnuť ročne aspoň 1,86 % prostriedkov z EPFRV</w:t>
      </w:r>
      <w:r w:rsidRPr="00666914">
        <w:rPr>
          <w:vertAlign w:val="superscript"/>
        </w:rPr>
        <w:footnoteReference w:id="446"/>
      </w:r>
      <w:r w:rsidRPr="00666914">
        <w:t xml:space="preserve"> vynaložených na finančné nástroje.</w:t>
      </w:r>
    </w:p>
    <w:p w14:paraId="2059B6A1" w14:textId="6BDEE32B" w:rsidR="00AA6557" w:rsidRPr="00666914" w:rsidRDefault="00AA6557" w:rsidP="00287DFE">
      <w:r w:rsidRPr="00666914">
        <w:rPr>
          <w:b/>
        </w:rPr>
        <w:t>MPRV SR v spolupráci s Eur</w:t>
      </w:r>
      <w:r w:rsidR="009628F6" w:rsidRPr="00666914">
        <w:rPr>
          <w:b/>
        </w:rPr>
        <w:t>ópskou investičnou bankou (EIB)</w:t>
      </w:r>
      <w:r w:rsidRPr="00666914">
        <w:rPr>
          <w:b/>
        </w:rPr>
        <w:t xml:space="preserve"> identifikovalo počas roka 2019 investičné oblasti vhodné na využitie finančných nástrojov</w:t>
      </w:r>
      <w:r w:rsidRPr="00666914">
        <w:rPr>
          <w:b/>
          <w:vertAlign w:val="superscript"/>
        </w:rPr>
        <w:footnoteReference w:id="447"/>
      </w:r>
      <w:r w:rsidRPr="00666914">
        <w:rPr>
          <w:b/>
        </w:rPr>
        <w:t>.</w:t>
      </w:r>
      <w:r w:rsidRPr="00666914">
        <w:t xml:space="preserve"> Vypracovaná ŠU identifikovala medzeru na finančnom trhu SR v rozmedzí približne 127 až 404 mil. eur. Tvorcovia ŠU identifikovali tri hlavné oblasti, v ktorých je nevyhnutné implementovať finančné nástroje. Prvou z oblastí je poľnohospodárska prvovýroba, nasleduje potravinárstvo a potom lesné hospodárstvo. V týchto oblastiach existuje viacero možných alternatív, v akých formách finančné nástroje implementovať. ŠU odporučila zavádzať finančné nástroje vo forme úverových záruk jednotlivým žiadateľom, ktorí by mali problém úver získať. Týka sa to najmä začínajúcich malých podnikov, resp. rizikových investičných zámerov.</w:t>
      </w:r>
    </w:p>
    <w:p w14:paraId="2CC0139C" w14:textId="77777777" w:rsidR="00AA6557" w:rsidRPr="00666914" w:rsidRDefault="00AA6557" w:rsidP="00287DFE">
      <w:r w:rsidRPr="00666914">
        <w:rPr>
          <w:b/>
        </w:rPr>
        <w:t>Identifikované oblasti pre využitie finančných nástrojov je potrebné po schválení štúdie uskutočniteľnosti zaradiť do strategického plánu pre nové programové obdobie 2021 – 2027</w:t>
      </w:r>
      <w:r w:rsidRPr="00666914">
        <w:t>. V súvislosti s vyrovnaním investícií v EÚ a podporou prioritných skupín (napr. mladí farmári alebo malé farmy) je potrebné využívať finančné nástroje v kombinácii s grantmi a zárukami. Garančné nástroje poskytujú finančné záruky za úvery, čím uľahčujú podnikateľom v oblastí pôdohospodárstva a rozvoja vidieka získanie bankových úverov na svoj rozvoj.</w:t>
      </w:r>
    </w:p>
    <w:p w14:paraId="5FBD0855" w14:textId="54C08BF5" w:rsidR="00AA6557" w:rsidRPr="00666914" w:rsidRDefault="00AA6557" w:rsidP="00287DFE">
      <w:pPr>
        <w:rPr>
          <w:b/>
        </w:rPr>
      </w:pPr>
      <w:r w:rsidRPr="00666914">
        <w:t>Keďže vypracovaná ŠU nebola do 12/2019 zverejnená a schválená</w:t>
      </w:r>
      <w:r w:rsidRPr="00666914">
        <w:rPr>
          <w:vertAlign w:val="superscript"/>
        </w:rPr>
        <w:footnoteReference w:id="448"/>
      </w:r>
      <w:r w:rsidRPr="00666914">
        <w:t xml:space="preserve"> bola až v 1/2020, podiel alokovaných prostriedkov voči priemeru EÚ nedosiahol očakávanú cieľovú hodnotu (0,64</w:t>
      </w:r>
      <w:r w:rsidR="00696C5D" w:rsidRPr="00666914">
        <w:t xml:space="preserve"> </w:t>
      </w:r>
      <w:r w:rsidRPr="00666914">
        <w:t>% z nastavených 1,86</w:t>
      </w:r>
      <w:r w:rsidR="00696C5D" w:rsidRPr="00666914">
        <w:t xml:space="preserve"> </w:t>
      </w:r>
      <w:r w:rsidRPr="00666914">
        <w:t xml:space="preserve">% prostriedkov PRV) z dôvodu, že presun alokácie podlieha pravidlám modifikácie PRV. Modifikáciu PRV je možné predložiť po nastavení základných predpokladov finančných nástrojov v spolupráci s inštitúciou, ktorá bude poverená finančné nástroje vykonávať, </w:t>
      </w:r>
      <w:r w:rsidRPr="00666914">
        <w:rPr>
          <w:b/>
        </w:rPr>
        <w:t>opatrenie sa k 31.12.2019 neplní.</w:t>
      </w:r>
    </w:p>
    <w:p w14:paraId="76639877" w14:textId="01FADC01" w:rsidR="00AA6557" w:rsidRPr="00666914" w:rsidRDefault="00AA6557" w:rsidP="004F0262">
      <w:r w:rsidRPr="00666914">
        <w:rPr>
          <w:b/>
        </w:rPr>
        <w:lastRenderedPageBreak/>
        <w:t xml:space="preserve">Odporúčanie IJ: Zverejniť ŠU spolu so súhrnnými zisteniami a závermi hodnotení ex-ante týkajúcich sa finančných nástrojov. </w:t>
      </w:r>
      <w:r w:rsidRPr="00666914">
        <w:t>Zapracovať návrh identifikovaných oblastí zo ŠU do strategického plánu SPP  2021 – 2027. Vyčísliť potrebný objem prostriedkov na minimálnu  hranicu 1,86 % celého balíka EPFRV nového obdobia 2021 - 2027.</w:t>
      </w:r>
    </w:p>
    <w:p w14:paraId="65DCF71A" w14:textId="47DE5555" w:rsidR="00AA6557" w:rsidRPr="00666914" w:rsidRDefault="00AA6557" w:rsidP="009F699A">
      <w:pPr>
        <w:pStyle w:val="Nadpis2"/>
      </w:pPr>
      <w:bookmarkStart w:id="415" w:name="_Toc38447627"/>
      <w:r w:rsidRPr="00666914">
        <w:t>Lesy</w:t>
      </w:r>
      <w:bookmarkEnd w:id="415"/>
    </w:p>
    <w:tbl>
      <w:tblPr>
        <w:tblW w:w="97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1701"/>
        <w:gridCol w:w="1843"/>
        <w:gridCol w:w="1417"/>
        <w:gridCol w:w="1276"/>
        <w:gridCol w:w="709"/>
        <w:gridCol w:w="709"/>
        <w:gridCol w:w="708"/>
        <w:gridCol w:w="709"/>
      </w:tblGrid>
      <w:tr w:rsidR="00AA6557" w:rsidRPr="00666914" w14:paraId="4D0C5B02" w14:textId="77777777" w:rsidTr="009F699A">
        <w:trPr>
          <w:trHeight w:val="330"/>
          <w:jc w:val="center"/>
        </w:trPr>
        <w:tc>
          <w:tcPr>
            <w:tcW w:w="645" w:type="dxa"/>
            <w:shd w:val="clear" w:color="auto" w:fill="auto"/>
            <w:vAlign w:val="center"/>
          </w:tcPr>
          <w:p w14:paraId="6900939C" w14:textId="77777777" w:rsidR="00AA6557" w:rsidRPr="00666914" w:rsidRDefault="00AA6557">
            <w:pPr>
              <w:spacing w:after="0"/>
              <w:jc w:val="left"/>
              <w:rPr>
                <w:color w:val="000000"/>
                <w:sz w:val="20"/>
                <w:szCs w:val="20"/>
              </w:rPr>
            </w:pPr>
            <w:r w:rsidRPr="00666914">
              <w:rPr>
                <w:color w:val="000000"/>
                <w:sz w:val="20"/>
                <w:szCs w:val="20"/>
              </w:rPr>
              <w:t> </w:t>
            </w:r>
          </w:p>
        </w:tc>
        <w:tc>
          <w:tcPr>
            <w:tcW w:w="1701" w:type="dxa"/>
            <w:shd w:val="clear" w:color="auto" w:fill="auto"/>
            <w:vAlign w:val="center"/>
          </w:tcPr>
          <w:p w14:paraId="562BA87A" w14:textId="77777777" w:rsidR="00AA6557" w:rsidRPr="00666914" w:rsidRDefault="00AA6557">
            <w:pPr>
              <w:spacing w:after="0"/>
              <w:jc w:val="left"/>
              <w:rPr>
                <w:b/>
                <w:color w:val="000000"/>
                <w:sz w:val="20"/>
                <w:szCs w:val="20"/>
              </w:rPr>
            </w:pPr>
            <w:r w:rsidRPr="00666914">
              <w:rPr>
                <w:b/>
                <w:color w:val="000000"/>
                <w:sz w:val="20"/>
                <w:szCs w:val="20"/>
              </w:rPr>
              <w:t>Pôdohospodárstvo a rozvoj vidieka</w:t>
            </w:r>
          </w:p>
        </w:tc>
        <w:tc>
          <w:tcPr>
            <w:tcW w:w="1843" w:type="dxa"/>
            <w:vAlign w:val="center"/>
          </w:tcPr>
          <w:p w14:paraId="63EB443C" w14:textId="77777777" w:rsidR="00AA6557" w:rsidRPr="00666914" w:rsidRDefault="00AA6557">
            <w:pPr>
              <w:spacing w:after="0"/>
              <w:jc w:val="center"/>
              <w:rPr>
                <w:b/>
                <w:color w:val="000000"/>
                <w:sz w:val="20"/>
                <w:szCs w:val="20"/>
              </w:rPr>
            </w:pPr>
            <w:r w:rsidRPr="00666914">
              <w:rPr>
                <w:b/>
                <w:color w:val="000000"/>
                <w:sz w:val="20"/>
                <w:szCs w:val="20"/>
              </w:rPr>
              <w:t>Podopatrenie</w:t>
            </w:r>
          </w:p>
        </w:tc>
        <w:tc>
          <w:tcPr>
            <w:tcW w:w="1417" w:type="dxa"/>
            <w:shd w:val="clear" w:color="auto" w:fill="auto"/>
            <w:vAlign w:val="center"/>
          </w:tcPr>
          <w:p w14:paraId="53A58B8F" w14:textId="77777777" w:rsidR="00AA6557" w:rsidRPr="00666914" w:rsidRDefault="00AA6557">
            <w:pPr>
              <w:spacing w:after="0"/>
              <w:jc w:val="center"/>
              <w:rPr>
                <w:b/>
                <w:color w:val="000000"/>
                <w:sz w:val="20"/>
                <w:szCs w:val="20"/>
              </w:rPr>
            </w:pPr>
            <w:r w:rsidRPr="00666914">
              <w:rPr>
                <w:b/>
                <w:color w:val="000000"/>
                <w:sz w:val="20"/>
                <w:szCs w:val="20"/>
              </w:rPr>
              <w:t>Zodpovednosť</w:t>
            </w:r>
          </w:p>
        </w:tc>
        <w:tc>
          <w:tcPr>
            <w:tcW w:w="1276" w:type="dxa"/>
            <w:shd w:val="clear" w:color="auto" w:fill="auto"/>
            <w:vAlign w:val="center"/>
          </w:tcPr>
          <w:p w14:paraId="10E7DE05" w14:textId="77777777" w:rsidR="00AA6557" w:rsidRPr="00666914" w:rsidRDefault="00AA6557">
            <w:pPr>
              <w:spacing w:after="0"/>
              <w:jc w:val="center"/>
              <w:rPr>
                <w:b/>
                <w:color w:val="000000"/>
                <w:sz w:val="20"/>
                <w:szCs w:val="20"/>
              </w:rPr>
            </w:pPr>
            <w:r w:rsidRPr="00666914">
              <w:rPr>
                <w:b/>
                <w:color w:val="000000"/>
                <w:sz w:val="20"/>
                <w:szCs w:val="20"/>
              </w:rPr>
              <w:t>Termín plnenia</w:t>
            </w:r>
          </w:p>
        </w:tc>
        <w:tc>
          <w:tcPr>
            <w:tcW w:w="709" w:type="dxa"/>
            <w:shd w:val="clear" w:color="auto" w:fill="auto"/>
            <w:vAlign w:val="center"/>
          </w:tcPr>
          <w:p w14:paraId="2A3D1CF7" w14:textId="77777777" w:rsidR="00AA6557" w:rsidRPr="00666914" w:rsidRDefault="00AA6557">
            <w:pPr>
              <w:spacing w:after="0"/>
              <w:jc w:val="center"/>
              <w:rPr>
                <w:b/>
                <w:color w:val="000000"/>
                <w:sz w:val="20"/>
                <w:szCs w:val="20"/>
              </w:rPr>
            </w:pPr>
            <w:r w:rsidRPr="00666914">
              <w:rPr>
                <w:b/>
                <w:color w:val="000000"/>
                <w:sz w:val="20"/>
                <w:szCs w:val="20"/>
              </w:rPr>
              <w:t>1Q 2019</w:t>
            </w:r>
          </w:p>
        </w:tc>
        <w:tc>
          <w:tcPr>
            <w:tcW w:w="709" w:type="dxa"/>
            <w:shd w:val="clear" w:color="auto" w:fill="auto"/>
            <w:vAlign w:val="center"/>
          </w:tcPr>
          <w:p w14:paraId="058CFD96" w14:textId="77777777" w:rsidR="00AA6557" w:rsidRPr="00666914" w:rsidRDefault="00AA6557">
            <w:pPr>
              <w:spacing w:after="0"/>
              <w:jc w:val="center"/>
              <w:rPr>
                <w:b/>
                <w:color w:val="000000"/>
                <w:sz w:val="20"/>
                <w:szCs w:val="20"/>
              </w:rPr>
            </w:pPr>
            <w:r w:rsidRPr="00666914">
              <w:rPr>
                <w:b/>
                <w:color w:val="000000"/>
                <w:sz w:val="20"/>
                <w:szCs w:val="20"/>
              </w:rPr>
              <w:t>2Q 2019</w:t>
            </w:r>
          </w:p>
        </w:tc>
        <w:tc>
          <w:tcPr>
            <w:tcW w:w="708" w:type="dxa"/>
            <w:shd w:val="clear" w:color="auto" w:fill="auto"/>
            <w:vAlign w:val="center"/>
          </w:tcPr>
          <w:p w14:paraId="0CE90C68" w14:textId="77777777" w:rsidR="00AA6557" w:rsidRPr="00666914" w:rsidRDefault="00AA6557">
            <w:pPr>
              <w:spacing w:after="0"/>
              <w:jc w:val="center"/>
              <w:rPr>
                <w:b/>
                <w:color w:val="000000"/>
                <w:sz w:val="20"/>
                <w:szCs w:val="20"/>
              </w:rPr>
            </w:pPr>
            <w:r w:rsidRPr="00666914">
              <w:rPr>
                <w:b/>
                <w:color w:val="000000"/>
                <w:sz w:val="20"/>
                <w:szCs w:val="20"/>
              </w:rPr>
              <w:t>3Q 2019</w:t>
            </w:r>
          </w:p>
        </w:tc>
        <w:tc>
          <w:tcPr>
            <w:tcW w:w="709" w:type="dxa"/>
            <w:shd w:val="clear" w:color="auto" w:fill="auto"/>
            <w:vAlign w:val="center"/>
          </w:tcPr>
          <w:p w14:paraId="638DAC00" w14:textId="77777777" w:rsidR="00AA6557" w:rsidRPr="00666914" w:rsidRDefault="00AA6557">
            <w:pPr>
              <w:spacing w:after="0"/>
              <w:jc w:val="center"/>
              <w:rPr>
                <w:b/>
                <w:color w:val="000000"/>
                <w:sz w:val="20"/>
                <w:szCs w:val="20"/>
              </w:rPr>
            </w:pPr>
            <w:r w:rsidRPr="00666914">
              <w:rPr>
                <w:b/>
                <w:color w:val="000000"/>
                <w:sz w:val="20"/>
                <w:szCs w:val="20"/>
              </w:rPr>
              <w:t>4Q 2019</w:t>
            </w:r>
          </w:p>
        </w:tc>
      </w:tr>
      <w:tr w:rsidR="00AA6557" w:rsidRPr="00666914" w14:paraId="7BCBEC49" w14:textId="77777777" w:rsidTr="009F699A">
        <w:trPr>
          <w:trHeight w:val="300"/>
          <w:jc w:val="center"/>
        </w:trPr>
        <w:tc>
          <w:tcPr>
            <w:tcW w:w="645" w:type="dxa"/>
            <w:shd w:val="clear" w:color="auto" w:fill="auto"/>
            <w:vAlign w:val="center"/>
          </w:tcPr>
          <w:p w14:paraId="6E0C41DA" w14:textId="77777777" w:rsidR="00AA6557" w:rsidRPr="00666914" w:rsidRDefault="00AA6557">
            <w:pPr>
              <w:spacing w:after="0"/>
              <w:jc w:val="left"/>
              <w:rPr>
                <w:color w:val="000000"/>
                <w:sz w:val="20"/>
                <w:szCs w:val="20"/>
              </w:rPr>
            </w:pPr>
            <w:r w:rsidRPr="00666914">
              <w:rPr>
                <w:color w:val="000000"/>
                <w:sz w:val="18"/>
                <w:szCs w:val="18"/>
              </w:rPr>
              <w:t>12.1</w:t>
            </w:r>
          </w:p>
        </w:tc>
        <w:tc>
          <w:tcPr>
            <w:tcW w:w="1701" w:type="dxa"/>
            <w:shd w:val="clear" w:color="auto" w:fill="auto"/>
            <w:vAlign w:val="center"/>
          </w:tcPr>
          <w:p w14:paraId="67473823" w14:textId="77777777" w:rsidR="00AA6557" w:rsidRPr="00666914" w:rsidRDefault="00AA6557">
            <w:pPr>
              <w:spacing w:after="0"/>
              <w:jc w:val="left"/>
              <w:rPr>
                <w:color w:val="000000"/>
                <w:sz w:val="20"/>
                <w:szCs w:val="20"/>
              </w:rPr>
            </w:pPr>
            <w:r w:rsidRPr="00666914">
              <w:rPr>
                <w:color w:val="000000"/>
                <w:sz w:val="18"/>
                <w:szCs w:val="18"/>
              </w:rPr>
              <w:t>Lesy</w:t>
            </w:r>
          </w:p>
        </w:tc>
        <w:tc>
          <w:tcPr>
            <w:tcW w:w="1843" w:type="dxa"/>
            <w:shd w:val="clear" w:color="auto" w:fill="auto"/>
            <w:vAlign w:val="center"/>
          </w:tcPr>
          <w:p w14:paraId="32417EF1" w14:textId="77777777" w:rsidR="00AA6557" w:rsidRPr="00666914" w:rsidRDefault="00AA6557">
            <w:pPr>
              <w:spacing w:after="0"/>
              <w:jc w:val="left"/>
              <w:rPr>
                <w:color w:val="000000"/>
                <w:sz w:val="20"/>
                <w:szCs w:val="20"/>
              </w:rPr>
            </w:pPr>
            <w:r w:rsidRPr="00666914">
              <w:rPr>
                <w:color w:val="000000"/>
                <w:sz w:val="18"/>
                <w:szCs w:val="18"/>
              </w:rPr>
              <w:t>Zverejnenie Programov starostlivosti o les</w:t>
            </w:r>
          </w:p>
        </w:tc>
        <w:tc>
          <w:tcPr>
            <w:tcW w:w="1417" w:type="dxa"/>
            <w:shd w:val="clear" w:color="auto" w:fill="auto"/>
            <w:vAlign w:val="center"/>
          </w:tcPr>
          <w:p w14:paraId="15AFB06E" w14:textId="77777777" w:rsidR="00AA6557" w:rsidRPr="00666914" w:rsidRDefault="00AA6557">
            <w:pPr>
              <w:spacing w:after="0"/>
              <w:jc w:val="center"/>
              <w:rPr>
                <w:color w:val="000000"/>
                <w:sz w:val="20"/>
                <w:szCs w:val="20"/>
              </w:rPr>
            </w:pPr>
            <w:r w:rsidRPr="00666914">
              <w:rPr>
                <w:color w:val="000000"/>
                <w:sz w:val="18"/>
                <w:szCs w:val="18"/>
              </w:rPr>
              <w:t>NLC</w:t>
            </w:r>
          </w:p>
        </w:tc>
        <w:tc>
          <w:tcPr>
            <w:tcW w:w="1276" w:type="dxa"/>
            <w:shd w:val="clear" w:color="auto" w:fill="auto"/>
            <w:vAlign w:val="center"/>
          </w:tcPr>
          <w:p w14:paraId="10102D60" w14:textId="77777777" w:rsidR="00AA6557" w:rsidRPr="00666914" w:rsidRDefault="00AA6557">
            <w:pPr>
              <w:spacing w:after="0"/>
              <w:jc w:val="center"/>
              <w:rPr>
                <w:color w:val="000000"/>
                <w:sz w:val="20"/>
                <w:szCs w:val="20"/>
              </w:rPr>
            </w:pPr>
            <w:r w:rsidRPr="00666914">
              <w:rPr>
                <w:color w:val="000000"/>
                <w:sz w:val="18"/>
                <w:szCs w:val="18"/>
              </w:rPr>
              <w:t>1.1.2020</w:t>
            </w:r>
          </w:p>
        </w:tc>
        <w:tc>
          <w:tcPr>
            <w:tcW w:w="709" w:type="dxa"/>
            <w:shd w:val="clear" w:color="auto" w:fill="A6A6A6"/>
            <w:vAlign w:val="bottom"/>
          </w:tcPr>
          <w:p w14:paraId="57A9854E" w14:textId="77777777" w:rsidR="00AA6557" w:rsidRPr="00666914" w:rsidRDefault="00AA6557">
            <w:pPr>
              <w:spacing w:after="0"/>
              <w:rPr>
                <w:color w:val="000000"/>
                <w:sz w:val="20"/>
                <w:szCs w:val="20"/>
              </w:rPr>
            </w:pPr>
          </w:p>
        </w:tc>
        <w:tc>
          <w:tcPr>
            <w:tcW w:w="709" w:type="dxa"/>
            <w:shd w:val="clear" w:color="auto" w:fill="A6A6A6"/>
            <w:vAlign w:val="bottom"/>
          </w:tcPr>
          <w:p w14:paraId="1D6BDB7A" w14:textId="77777777" w:rsidR="00AA6557" w:rsidRPr="00666914" w:rsidRDefault="00AA6557">
            <w:pPr>
              <w:spacing w:after="0"/>
              <w:rPr>
                <w:color w:val="000000"/>
                <w:sz w:val="20"/>
                <w:szCs w:val="20"/>
              </w:rPr>
            </w:pPr>
          </w:p>
        </w:tc>
        <w:tc>
          <w:tcPr>
            <w:tcW w:w="708" w:type="dxa"/>
            <w:shd w:val="clear" w:color="auto" w:fill="A6A6A6"/>
            <w:vAlign w:val="bottom"/>
          </w:tcPr>
          <w:p w14:paraId="4DCF9E80" w14:textId="77777777" w:rsidR="00AA6557" w:rsidRPr="00666914" w:rsidRDefault="00AA6557">
            <w:pPr>
              <w:spacing w:after="0"/>
              <w:rPr>
                <w:color w:val="000000"/>
                <w:sz w:val="20"/>
                <w:szCs w:val="20"/>
              </w:rPr>
            </w:pPr>
          </w:p>
        </w:tc>
        <w:tc>
          <w:tcPr>
            <w:tcW w:w="709" w:type="dxa"/>
            <w:shd w:val="clear" w:color="auto" w:fill="FFC000"/>
            <w:vAlign w:val="center"/>
          </w:tcPr>
          <w:p w14:paraId="310083C5" w14:textId="77777777" w:rsidR="00AA6557" w:rsidRPr="00666914" w:rsidRDefault="00AA6557">
            <w:pPr>
              <w:spacing w:after="0"/>
              <w:jc w:val="center"/>
              <w:rPr>
                <w:color w:val="000000"/>
                <w:sz w:val="20"/>
                <w:szCs w:val="20"/>
              </w:rPr>
            </w:pPr>
          </w:p>
        </w:tc>
      </w:tr>
    </w:tbl>
    <w:p w14:paraId="47F9ABF7" w14:textId="77777777" w:rsidR="00A7040A" w:rsidRPr="00666914" w:rsidRDefault="00A7040A">
      <w:pPr>
        <w:spacing w:after="0"/>
        <w:ind w:firstLine="708"/>
        <w:rPr>
          <w:b/>
          <w:u w:val="single"/>
        </w:rPr>
      </w:pPr>
    </w:p>
    <w:p w14:paraId="5934B6E9" w14:textId="6BA22F33" w:rsidR="00AA6557" w:rsidRPr="00666914" w:rsidRDefault="00AA6557">
      <w:pPr>
        <w:spacing w:after="0"/>
        <w:ind w:firstLine="708"/>
        <w:rPr>
          <w:b/>
          <w:u w:val="single"/>
        </w:rPr>
      </w:pPr>
      <w:r w:rsidRPr="00666914">
        <w:rPr>
          <w:b/>
          <w:u w:val="single"/>
        </w:rPr>
        <w:t>12.1  Zverejnenie Programov starostlivosti o les (PSL)</w:t>
      </w:r>
    </w:p>
    <w:p w14:paraId="5659F55D" w14:textId="77777777" w:rsidR="00AA6557" w:rsidRPr="00666914" w:rsidRDefault="00AA6557">
      <w:pPr>
        <w:spacing w:after="0"/>
        <w:rPr>
          <w:b/>
          <w:u w:val="single"/>
        </w:rPr>
      </w:pPr>
    </w:p>
    <w:p w14:paraId="5426E021" w14:textId="77777777" w:rsidR="00AA6557" w:rsidRPr="00666914" w:rsidRDefault="00AA6557" w:rsidP="00287DFE">
      <w:pPr>
        <w:rPr>
          <w:highlight w:val="yellow"/>
        </w:rPr>
      </w:pPr>
      <w:r w:rsidRPr="00666914">
        <w:t>Udržateľné obhospodarovanie lesov je v súčasnosti zabezpečené prostredníctvom PSL. PSL je nástrojom štátu na zabezpečenie trvalo udržateľného hospodárenia v lesoch. Ďalej slúži pre obhospodarovateľov a vlastníkov lesných pozemkov na zabezpečovanie trvalo udržateľného lesného hospodárstva, nakoľko PSL sa dlhodobo vyhotovujú pre všetky lesné pozemky na území SR. Výberom vyhotovovateľov PSL je poverené NLC, následne vytvorené PSL odborne a technicky spôsobilými osobami alebo právnickými osobami so živnostenským oprávnením sú schvaľované jednotlivými okresnými úradmi na obdobie 10 rokov</w:t>
      </w:r>
      <w:r w:rsidRPr="00666914">
        <w:rPr>
          <w:vertAlign w:val="superscript"/>
        </w:rPr>
        <w:footnoteReference w:id="449"/>
      </w:r>
      <w:r w:rsidRPr="00666914">
        <w:t xml:space="preserve">. </w:t>
      </w:r>
    </w:p>
    <w:p w14:paraId="727128AD" w14:textId="77777777" w:rsidR="00AA6557" w:rsidRPr="00666914" w:rsidRDefault="00AA6557" w:rsidP="00287DFE">
      <w:pPr>
        <w:rPr>
          <w:highlight w:val="yellow"/>
        </w:rPr>
      </w:pPr>
      <w:r w:rsidRPr="00666914">
        <w:rPr>
          <w:b/>
        </w:rPr>
        <w:t>Zverejnenie PSL v užívateľsky vhodnej forme umožňuje verejnosti zapájať sa do zabezpečenia vonkajšej kontroly dodržiavania PSL</w:t>
      </w:r>
      <w:r w:rsidRPr="00666914">
        <w:t>. Verejnosť tak získa lepší prehľad o stave lesného hospodárstva na celom území SR. Databázy zo všetkých PSL, ktoré boli schválené v</w:t>
      </w:r>
      <w:sdt>
        <w:sdtPr>
          <w:tag w:val="goog_rdk_46"/>
          <w:id w:val="1356387140"/>
        </w:sdtPr>
        <w:sdtEndPr/>
        <w:sdtContent/>
      </w:sdt>
      <w:sdt>
        <w:sdtPr>
          <w:tag w:val="goog_rdk_47"/>
          <w:id w:val="911430108"/>
        </w:sdtPr>
        <w:sdtEndPr/>
        <w:sdtContent/>
      </w:sdt>
      <w:r w:rsidRPr="00666914">
        <w:t xml:space="preserve"> SR sú tiež základom pre kvalitnú vedeckú a analytickú prácu. </w:t>
      </w:r>
    </w:p>
    <w:p w14:paraId="7A327B1E" w14:textId="77777777" w:rsidR="00AA6557" w:rsidRPr="00666914" w:rsidRDefault="00AA6557" w:rsidP="00287DFE">
      <w:pPr>
        <w:rPr>
          <w:highlight w:val="yellow"/>
        </w:rPr>
      </w:pPr>
      <w:r w:rsidRPr="00666914">
        <w:t>NLC zverejnilo datasety</w:t>
      </w:r>
      <w:r w:rsidRPr="00666914">
        <w:rPr>
          <w:vertAlign w:val="superscript"/>
        </w:rPr>
        <w:footnoteReference w:id="450"/>
      </w:r>
      <w:r w:rsidRPr="00666914">
        <w:t xml:space="preserve"> s PSL za roky 2017 a 2018 na Ú</w:t>
      </w:r>
      <w:sdt>
        <w:sdtPr>
          <w:tag w:val="goog_rdk_48"/>
          <w:id w:val="-1888406367"/>
        </w:sdtPr>
        <w:sdtEndPr/>
        <w:sdtContent/>
      </w:sdt>
      <w:sdt>
        <w:sdtPr>
          <w:tag w:val="goog_rdk_49"/>
          <w:id w:val="1449194133"/>
        </w:sdtPr>
        <w:sdtEndPr/>
        <w:sdtContent/>
      </w:sdt>
      <w:sdt>
        <w:sdtPr>
          <w:tag w:val="goog_rdk_50"/>
          <w:id w:val="-1393119563"/>
        </w:sdtPr>
        <w:sdtEndPr/>
        <w:sdtContent/>
      </w:sdt>
      <w:r w:rsidRPr="00666914">
        <w:t>PVS. Datasety neboli k 12/2019 zverejnené v užívateľsky vhodnej forme</w:t>
      </w:r>
      <w:r w:rsidRPr="00666914">
        <w:rPr>
          <w:vertAlign w:val="superscript"/>
        </w:rPr>
        <w:footnoteReference w:id="451"/>
      </w:r>
      <w:r w:rsidRPr="00666914">
        <w:t>. K datasetom boli k 12/2019 zverejnené vysvetlivky skratiek k PSL</w:t>
      </w:r>
      <w:r w:rsidRPr="00666914">
        <w:rPr>
          <w:vertAlign w:val="superscript"/>
        </w:rPr>
        <w:footnoteReference w:id="452"/>
      </w:r>
      <w:r w:rsidRPr="00666914">
        <w:t>, avšak v užívateľsky nevhodnej forme</w:t>
      </w:r>
      <w:r w:rsidRPr="00666914">
        <w:rPr>
          <w:vertAlign w:val="superscript"/>
        </w:rPr>
        <w:footnoteReference w:id="453"/>
      </w:r>
      <w:r w:rsidRPr="00666914">
        <w:t>. K 31.12.2019 chýbajú zverejnené</w:t>
      </w:r>
      <w:r w:rsidRPr="00666914">
        <w:rPr>
          <w:b/>
        </w:rPr>
        <w:t xml:space="preserve"> </w:t>
      </w:r>
      <w:r w:rsidRPr="00666914">
        <w:t>datasety za lesné porasty – opis a lesné porasty – plán v užívateľsky vhodnom formáte</w:t>
      </w:r>
      <w:r w:rsidRPr="00666914">
        <w:rPr>
          <w:vertAlign w:val="superscript"/>
        </w:rPr>
        <w:footnoteReference w:id="454"/>
      </w:r>
      <w:r w:rsidRPr="00666914">
        <w:t xml:space="preserve">. </w:t>
      </w:r>
      <w:r w:rsidRPr="00666914">
        <w:rPr>
          <w:b/>
        </w:rPr>
        <w:t>Z tohto dôvodu sa opatrenie k 31.12.2019 plní čiastočne</w:t>
      </w:r>
      <w:r w:rsidRPr="00666914">
        <w:rPr>
          <w:vertAlign w:val="superscript"/>
        </w:rPr>
        <w:footnoteReference w:id="455"/>
      </w:r>
      <w:r w:rsidRPr="00666914">
        <w:t>.  NLC zverejnilo na ÚPVS aj zoznam PSL, kde sú uvedené jednotlivé lesné celky s pridelenými názvami podľa identifikačného čísla, v uvedenom datasete je tiež chyba v kódovaní znakov</w:t>
      </w:r>
      <w:r w:rsidRPr="00666914">
        <w:rPr>
          <w:vertAlign w:val="superscript"/>
        </w:rPr>
        <w:footnoteReference w:id="456"/>
      </w:r>
      <w:r w:rsidRPr="00666914">
        <w:t xml:space="preserve">. </w:t>
      </w:r>
    </w:p>
    <w:p w14:paraId="7DAA1AEA" w14:textId="77777777" w:rsidR="00AA6557" w:rsidRPr="00666914" w:rsidRDefault="00AA6557">
      <w:pPr>
        <w:spacing w:after="0"/>
      </w:pPr>
      <w:r w:rsidRPr="00666914">
        <w:rPr>
          <w:b/>
        </w:rPr>
        <w:t>Odporúčanie IJ:</w:t>
      </w:r>
      <w:r w:rsidRPr="00666914">
        <w:t xml:space="preserve"> Prekódovanie súborov a následne doplnenie o vysvetlivky jednotlivých stĺpcov a riadkov. K rozsiahlym datasetom akými PSL sú, odporúčame zverejnenie podrobnej legendy s popisom, čo uvedené stĺpce a riadky znamenajú. Každé novo pridané datasety zverejňovať v užívateľsky vhodnej podobe  vo formáte .xlsx alebo .csv. Vytvorenie aj súboru k novým PSL v mapovej podobe vo formáte „shapefile“</w:t>
      </w:r>
      <w:r w:rsidRPr="00666914">
        <w:rPr>
          <w:vertAlign w:val="superscript"/>
        </w:rPr>
        <w:footnoteReference w:id="457"/>
      </w:r>
      <w:r w:rsidRPr="00666914">
        <w:t>, ktorá umožní vizualizáciu dát ale aj analyticky prehliadať zverejnené datasety s PSL až na úroveň lesného celku.</w:t>
      </w:r>
    </w:p>
    <w:p w14:paraId="01D78E4E" w14:textId="77777777" w:rsidR="00AA6557" w:rsidRPr="00666914" w:rsidRDefault="00AA6557">
      <w:pPr>
        <w:spacing w:after="0"/>
      </w:pPr>
    </w:p>
    <w:p w14:paraId="457AED39" w14:textId="3C2E6B62" w:rsidR="00AA6557" w:rsidRPr="00666914" w:rsidRDefault="00AA6557" w:rsidP="0065142E">
      <w:pPr>
        <w:pStyle w:val="Nadpis2"/>
      </w:pPr>
      <w:bookmarkStart w:id="416" w:name="_Toc38447628"/>
      <w:r w:rsidRPr="00666914">
        <w:lastRenderedPageBreak/>
        <w:t>Zefektívnenie prevádzky úradu a podriadených organizácií MPRV SR vrátane štátnych podnikov</w:t>
      </w:r>
      <w:bookmarkEnd w:id="416"/>
    </w:p>
    <w:tbl>
      <w:tblPr>
        <w:tblW w:w="10097" w:type="dxa"/>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2"/>
        <w:gridCol w:w="1843"/>
        <w:gridCol w:w="1984"/>
        <w:gridCol w:w="1418"/>
        <w:gridCol w:w="1275"/>
        <w:gridCol w:w="709"/>
        <w:gridCol w:w="709"/>
        <w:gridCol w:w="709"/>
        <w:gridCol w:w="708"/>
      </w:tblGrid>
      <w:tr w:rsidR="00AA6557" w:rsidRPr="00666914" w14:paraId="18695C0E" w14:textId="77777777" w:rsidTr="00D96BB0">
        <w:trPr>
          <w:trHeight w:val="330"/>
        </w:trPr>
        <w:tc>
          <w:tcPr>
            <w:tcW w:w="742" w:type="dxa"/>
            <w:shd w:val="clear" w:color="auto" w:fill="auto"/>
            <w:vAlign w:val="center"/>
          </w:tcPr>
          <w:p w14:paraId="17EB87F7" w14:textId="77777777" w:rsidR="00AA6557" w:rsidRPr="00666914" w:rsidRDefault="00AA6557">
            <w:pPr>
              <w:spacing w:after="0"/>
              <w:jc w:val="left"/>
              <w:rPr>
                <w:color w:val="000000"/>
                <w:sz w:val="20"/>
                <w:szCs w:val="20"/>
              </w:rPr>
            </w:pPr>
            <w:r w:rsidRPr="00666914">
              <w:rPr>
                <w:color w:val="000000"/>
                <w:sz w:val="20"/>
                <w:szCs w:val="20"/>
              </w:rPr>
              <w:t> </w:t>
            </w:r>
          </w:p>
        </w:tc>
        <w:tc>
          <w:tcPr>
            <w:tcW w:w="1843" w:type="dxa"/>
            <w:shd w:val="clear" w:color="auto" w:fill="auto"/>
            <w:vAlign w:val="center"/>
          </w:tcPr>
          <w:p w14:paraId="41CBDA8F" w14:textId="77777777" w:rsidR="00AA6557" w:rsidRPr="00666914" w:rsidRDefault="00AA6557">
            <w:pPr>
              <w:spacing w:after="0"/>
              <w:jc w:val="left"/>
              <w:rPr>
                <w:b/>
                <w:color w:val="000000"/>
                <w:sz w:val="20"/>
                <w:szCs w:val="20"/>
              </w:rPr>
            </w:pPr>
            <w:r w:rsidRPr="00666914">
              <w:rPr>
                <w:b/>
                <w:color w:val="000000"/>
                <w:sz w:val="20"/>
                <w:szCs w:val="20"/>
              </w:rPr>
              <w:t>Pôdohospodárstvo a rozvoj vidieka</w:t>
            </w:r>
          </w:p>
        </w:tc>
        <w:tc>
          <w:tcPr>
            <w:tcW w:w="1984" w:type="dxa"/>
            <w:vAlign w:val="center"/>
          </w:tcPr>
          <w:p w14:paraId="448C72E5" w14:textId="77777777" w:rsidR="00AA6557" w:rsidRPr="00666914" w:rsidRDefault="00AA6557">
            <w:pPr>
              <w:spacing w:after="0"/>
              <w:jc w:val="center"/>
              <w:rPr>
                <w:b/>
                <w:color w:val="000000"/>
                <w:sz w:val="20"/>
                <w:szCs w:val="20"/>
              </w:rPr>
            </w:pPr>
            <w:r w:rsidRPr="00666914">
              <w:rPr>
                <w:b/>
                <w:color w:val="000000"/>
                <w:sz w:val="20"/>
                <w:szCs w:val="20"/>
              </w:rPr>
              <w:t>Podopatrenie</w:t>
            </w:r>
          </w:p>
        </w:tc>
        <w:tc>
          <w:tcPr>
            <w:tcW w:w="1418" w:type="dxa"/>
            <w:shd w:val="clear" w:color="auto" w:fill="auto"/>
            <w:vAlign w:val="center"/>
          </w:tcPr>
          <w:p w14:paraId="5B2097F4" w14:textId="77777777" w:rsidR="00AA6557" w:rsidRPr="00666914" w:rsidRDefault="00AA6557">
            <w:pPr>
              <w:spacing w:after="0"/>
              <w:jc w:val="center"/>
              <w:rPr>
                <w:b/>
                <w:color w:val="000000"/>
                <w:sz w:val="20"/>
                <w:szCs w:val="20"/>
              </w:rPr>
            </w:pPr>
            <w:r w:rsidRPr="00666914">
              <w:rPr>
                <w:b/>
                <w:color w:val="000000"/>
                <w:sz w:val="20"/>
                <w:szCs w:val="20"/>
              </w:rPr>
              <w:t>Zodpovednosť</w:t>
            </w:r>
          </w:p>
        </w:tc>
        <w:tc>
          <w:tcPr>
            <w:tcW w:w="1275" w:type="dxa"/>
            <w:shd w:val="clear" w:color="auto" w:fill="auto"/>
            <w:vAlign w:val="center"/>
          </w:tcPr>
          <w:p w14:paraId="0C72408A" w14:textId="77777777" w:rsidR="00AA6557" w:rsidRPr="00666914" w:rsidRDefault="00AA6557">
            <w:pPr>
              <w:spacing w:after="0"/>
              <w:jc w:val="center"/>
              <w:rPr>
                <w:b/>
                <w:color w:val="000000"/>
                <w:sz w:val="20"/>
                <w:szCs w:val="20"/>
              </w:rPr>
            </w:pPr>
            <w:r w:rsidRPr="00666914">
              <w:rPr>
                <w:b/>
                <w:color w:val="000000"/>
                <w:sz w:val="20"/>
                <w:szCs w:val="20"/>
              </w:rPr>
              <w:t>Termín plnenia</w:t>
            </w:r>
          </w:p>
        </w:tc>
        <w:tc>
          <w:tcPr>
            <w:tcW w:w="709" w:type="dxa"/>
            <w:shd w:val="clear" w:color="auto" w:fill="auto"/>
            <w:vAlign w:val="center"/>
          </w:tcPr>
          <w:p w14:paraId="162299E5" w14:textId="77777777" w:rsidR="00AA6557" w:rsidRPr="00666914" w:rsidRDefault="00AA6557">
            <w:pPr>
              <w:spacing w:after="0"/>
              <w:jc w:val="center"/>
              <w:rPr>
                <w:b/>
                <w:color w:val="000000"/>
                <w:sz w:val="20"/>
                <w:szCs w:val="20"/>
              </w:rPr>
            </w:pPr>
            <w:r w:rsidRPr="00666914">
              <w:rPr>
                <w:b/>
                <w:color w:val="000000"/>
                <w:sz w:val="20"/>
                <w:szCs w:val="20"/>
              </w:rPr>
              <w:t>1Q 2019</w:t>
            </w:r>
          </w:p>
        </w:tc>
        <w:tc>
          <w:tcPr>
            <w:tcW w:w="709" w:type="dxa"/>
            <w:shd w:val="clear" w:color="auto" w:fill="auto"/>
            <w:vAlign w:val="center"/>
          </w:tcPr>
          <w:p w14:paraId="48769CAA" w14:textId="77777777" w:rsidR="00AA6557" w:rsidRPr="00666914" w:rsidRDefault="00AA6557">
            <w:pPr>
              <w:spacing w:after="0"/>
              <w:jc w:val="center"/>
              <w:rPr>
                <w:b/>
                <w:color w:val="000000"/>
                <w:sz w:val="20"/>
                <w:szCs w:val="20"/>
              </w:rPr>
            </w:pPr>
            <w:r w:rsidRPr="00666914">
              <w:rPr>
                <w:b/>
                <w:color w:val="000000"/>
                <w:sz w:val="20"/>
                <w:szCs w:val="20"/>
              </w:rPr>
              <w:t>2Q 2019</w:t>
            </w:r>
          </w:p>
        </w:tc>
        <w:tc>
          <w:tcPr>
            <w:tcW w:w="709" w:type="dxa"/>
            <w:shd w:val="clear" w:color="auto" w:fill="auto"/>
            <w:vAlign w:val="center"/>
          </w:tcPr>
          <w:p w14:paraId="096501A0" w14:textId="77777777" w:rsidR="00AA6557" w:rsidRPr="00666914" w:rsidRDefault="00AA6557">
            <w:pPr>
              <w:spacing w:after="0"/>
              <w:jc w:val="center"/>
              <w:rPr>
                <w:b/>
                <w:color w:val="000000"/>
                <w:sz w:val="20"/>
                <w:szCs w:val="20"/>
              </w:rPr>
            </w:pPr>
            <w:r w:rsidRPr="00666914">
              <w:rPr>
                <w:b/>
                <w:color w:val="000000"/>
                <w:sz w:val="20"/>
                <w:szCs w:val="20"/>
              </w:rPr>
              <w:t>3Q 2019</w:t>
            </w:r>
          </w:p>
        </w:tc>
        <w:tc>
          <w:tcPr>
            <w:tcW w:w="708" w:type="dxa"/>
            <w:shd w:val="clear" w:color="auto" w:fill="auto"/>
            <w:vAlign w:val="center"/>
          </w:tcPr>
          <w:p w14:paraId="02FBFEC4" w14:textId="77777777" w:rsidR="00AA6557" w:rsidRPr="00666914" w:rsidRDefault="00AA6557">
            <w:pPr>
              <w:spacing w:after="0"/>
              <w:jc w:val="center"/>
              <w:rPr>
                <w:b/>
                <w:color w:val="000000"/>
                <w:sz w:val="20"/>
                <w:szCs w:val="20"/>
              </w:rPr>
            </w:pPr>
            <w:r w:rsidRPr="00666914">
              <w:rPr>
                <w:b/>
                <w:color w:val="000000"/>
                <w:sz w:val="20"/>
                <w:szCs w:val="20"/>
              </w:rPr>
              <w:t>4Q 2019</w:t>
            </w:r>
          </w:p>
        </w:tc>
      </w:tr>
      <w:tr w:rsidR="00AA6557" w:rsidRPr="00666914" w14:paraId="5470F3E2" w14:textId="77777777" w:rsidTr="00D96BB0">
        <w:trPr>
          <w:trHeight w:val="300"/>
        </w:trPr>
        <w:tc>
          <w:tcPr>
            <w:tcW w:w="742" w:type="dxa"/>
            <w:shd w:val="clear" w:color="auto" w:fill="auto"/>
            <w:vAlign w:val="center"/>
          </w:tcPr>
          <w:p w14:paraId="1CFD3711" w14:textId="77777777" w:rsidR="00AA6557" w:rsidRPr="00666914" w:rsidRDefault="00AA6557">
            <w:pPr>
              <w:spacing w:after="0"/>
              <w:jc w:val="left"/>
              <w:rPr>
                <w:color w:val="000000"/>
                <w:sz w:val="20"/>
                <w:szCs w:val="20"/>
              </w:rPr>
            </w:pPr>
            <w:r w:rsidRPr="00666914">
              <w:rPr>
                <w:color w:val="000000"/>
                <w:sz w:val="18"/>
                <w:szCs w:val="18"/>
              </w:rPr>
              <w:t>13.2.1</w:t>
            </w:r>
          </w:p>
        </w:tc>
        <w:tc>
          <w:tcPr>
            <w:tcW w:w="1843" w:type="dxa"/>
            <w:shd w:val="clear" w:color="auto" w:fill="auto"/>
            <w:vAlign w:val="center"/>
          </w:tcPr>
          <w:p w14:paraId="39365793" w14:textId="77777777" w:rsidR="00AA6557" w:rsidRPr="00666914" w:rsidRDefault="00AA6557">
            <w:pPr>
              <w:spacing w:after="0"/>
              <w:jc w:val="left"/>
              <w:rPr>
                <w:color w:val="000000"/>
                <w:sz w:val="20"/>
                <w:szCs w:val="20"/>
              </w:rPr>
            </w:pPr>
            <w:r w:rsidRPr="00666914">
              <w:rPr>
                <w:color w:val="000000"/>
                <w:sz w:val="18"/>
                <w:szCs w:val="18"/>
              </w:rPr>
              <w:t>Zefektívnenie prevádzky úradu a podriadených organizácií MPRV SR vrátane štátnych podnikov</w:t>
            </w:r>
          </w:p>
        </w:tc>
        <w:tc>
          <w:tcPr>
            <w:tcW w:w="1984" w:type="dxa"/>
            <w:shd w:val="clear" w:color="auto" w:fill="auto"/>
            <w:vAlign w:val="center"/>
          </w:tcPr>
          <w:p w14:paraId="74CA786B" w14:textId="77777777" w:rsidR="00AA6557" w:rsidRPr="00666914" w:rsidRDefault="00AA6557">
            <w:pPr>
              <w:spacing w:after="0"/>
              <w:jc w:val="left"/>
              <w:rPr>
                <w:color w:val="000000"/>
                <w:sz w:val="20"/>
                <w:szCs w:val="20"/>
              </w:rPr>
            </w:pPr>
            <w:r w:rsidRPr="00666914">
              <w:rPr>
                <w:color w:val="000000"/>
                <w:sz w:val="18"/>
                <w:szCs w:val="18"/>
              </w:rPr>
              <w:t>Komplexná reforma a digitalizácia PPA</w:t>
            </w:r>
          </w:p>
        </w:tc>
        <w:tc>
          <w:tcPr>
            <w:tcW w:w="1418" w:type="dxa"/>
            <w:shd w:val="clear" w:color="auto" w:fill="auto"/>
            <w:vAlign w:val="center"/>
          </w:tcPr>
          <w:p w14:paraId="167A8ECB" w14:textId="77777777" w:rsidR="00AA6557" w:rsidRPr="00666914" w:rsidRDefault="00AA6557">
            <w:pPr>
              <w:spacing w:after="0"/>
              <w:jc w:val="center"/>
              <w:rPr>
                <w:color w:val="000000"/>
                <w:sz w:val="20"/>
                <w:szCs w:val="20"/>
              </w:rPr>
            </w:pPr>
            <w:r w:rsidRPr="00666914">
              <w:rPr>
                <w:color w:val="000000"/>
                <w:sz w:val="18"/>
                <w:szCs w:val="18"/>
              </w:rPr>
              <w:t>PPA</w:t>
            </w:r>
          </w:p>
        </w:tc>
        <w:tc>
          <w:tcPr>
            <w:tcW w:w="1275" w:type="dxa"/>
            <w:shd w:val="clear" w:color="auto" w:fill="auto"/>
            <w:vAlign w:val="center"/>
          </w:tcPr>
          <w:p w14:paraId="76C4C734" w14:textId="77777777" w:rsidR="00AA6557" w:rsidRPr="00666914" w:rsidRDefault="00AA6557">
            <w:pPr>
              <w:spacing w:after="0"/>
              <w:jc w:val="center"/>
              <w:rPr>
                <w:color w:val="000000"/>
                <w:sz w:val="20"/>
                <w:szCs w:val="20"/>
              </w:rPr>
            </w:pPr>
            <w:r w:rsidRPr="00666914">
              <w:rPr>
                <w:color w:val="000000"/>
                <w:sz w:val="18"/>
                <w:szCs w:val="18"/>
              </w:rPr>
              <w:t>1.1.2020 (termín sa vzťahuje na zverejnenie štúdie uskutočniteľ-nosti)</w:t>
            </w:r>
          </w:p>
        </w:tc>
        <w:tc>
          <w:tcPr>
            <w:tcW w:w="709" w:type="dxa"/>
            <w:shd w:val="clear" w:color="auto" w:fill="A6A6A6"/>
            <w:vAlign w:val="bottom"/>
          </w:tcPr>
          <w:p w14:paraId="761AFE56" w14:textId="77777777" w:rsidR="00AA6557" w:rsidRPr="00666914" w:rsidRDefault="00AA6557">
            <w:pPr>
              <w:spacing w:after="0"/>
              <w:rPr>
                <w:color w:val="000000"/>
                <w:sz w:val="20"/>
                <w:szCs w:val="20"/>
              </w:rPr>
            </w:pPr>
          </w:p>
        </w:tc>
        <w:tc>
          <w:tcPr>
            <w:tcW w:w="709" w:type="dxa"/>
            <w:shd w:val="clear" w:color="auto" w:fill="A6A6A6"/>
            <w:vAlign w:val="bottom"/>
          </w:tcPr>
          <w:p w14:paraId="049C318A" w14:textId="77777777" w:rsidR="00AA6557" w:rsidRPr="00666914" w:rsidRDefault="00AA6557">
            <w:pPr>
              <w:spacing w:after="0"/>
              <w:rPr>
                <w:color w:val="000000"/>
                <w:sz w:val="20"/>
                <w:szCs w:val="20"/>
              </w:rPr>
            </w:pPr>
          </w:p>
        </w:tc>
        <w:tc>
          <w:tcPr>
            <w:tcW w:w="709" w:type="dxa"/>
            <w:shd w:val="clear" w:color="auto" w:fill="A6A6A6"/>
            <w:vAlign w:val="bottom"/>
          </w:tcPr>
          <w:p w14:paraId="77253E31" w14:textId="77777777" w:rsidR="00AA6557" w:rsidRPr="00666914" w:rsidRDefault="00AA6557">
            <w:pPr>
              <w:spacing w:after="0"/>
              <w:rPr>
                <w:color w:val="000000"/>
                <w:sz w:val="20"/>
                <w:szCs w:val="20"/>
              </w:rPr>
            </w:pPr>
          </w:p>
        </w:tc>
        <w:tc>
          <w:tcPr>
            <w:tcW w:w="708" w:type="dxa"/>
            <w:shd w:val="clear" w:color="auto" w:fill="FF0000"/>
            <w:vAlign w:val="center"/>
          </w:tcPr>
          <w:p w14:paraId="6ACFCD71" w14:textId="77777777" w:rsidR="00AA6557" w:rsidRPr="00666914" w:rsidRDefault="00AA6557">
            <w:pPr>
              <w:spacing w:after="0"/>
              <w:jc w:val="center"/>
              <w:rPr>
                <w:color w:val="000000"/>
                <w:sz w:val="20"/>
                <w:szCs w:val="20"/>
              </w:rPr>
            </w:pPr>
          </w:p>
          <w:p w14:paraId="41095AC4" w14:textId="77777777" w:rsidR="00AA6557" w:rsidRPr="00666914" w:rsidRDefault="00AA6557">
            <w:pPr>
              <w:spacing w:after="0"/>
              <w:jc w:val="center"/>
              <w:rPr>
                <w:color w:val="000000"/>
                <w:sz w:val="20"/>
                <w:szCs w:val="20"/>
              </w:rPr>
            </w:pPr>
          </w:p>
          <w:p w14:paraId="1EEBEEA4" w14:textId="77777777" w:rsidR="00AA6557" w:rsidRPr="00666914" w:rsidRDefault="00AA6557">
            <w:pPr>
              <w:spacing w:after="0"/>
              <w:jc w:val="center"/>
              <w:rPr>
                <w:color w:val="000000"/>
                <w:sz w:val="20"/>
                <w:szCs w:val="20"/>
              </w:rPr>
            </w:pPr>
          </w:p>
          <w:p w14:paraId="5C2ED075" w14:textId="77777777" w:rsidR="00AA6557" w:rsidRPr="00666914" w:rsidRDefault="00AA6557">
            <w:pPr>
              <w:spacing w:after="0"/>
              <w:jc w:val="center"/>
              <w:rPr>
                <w:color w:val="000000"/>
                <w:sz w:val="20"/>
                <w:szCs w:val="20"/>
              </w:rPr>
            </w:pPr>
          </w:p>
          <w:p w14:paraId="0B001244" w14:textId="77777777" w:rsidR="00AA6557" w:rsidRPr="00666914" w:rsidRDefault="00AA6557">
            <w:pPr>
              <w:spacing w:after="0"/>
              <w:jc w:val="center"/>
              <w:rPr>
                <w:color w:val="000000"/>
                <w:sz w:val="20"/>
                <w:szCs w:val="20"/>
              </w:rPr>
            </w:pPr>
          </w:p>
          <w:p w14:paraId="1CC9748D" w14:textId="77777777" w:rsidR="00AA6557" w:rsidRPr="00666914" w:rsidRDefault="00AA6557">
            <w:pPr>
              <w:spacing w:after="0"/>
              <w:jc w:val="center"/>
              <w:rPr>
                <w:color w:val="000000"/>
                <w:sz w:val="20"/>
                <w:szCs w:val="20"/>
              </w:rPr>
            </w:pPr>
          </w:p>
          <w:p w14:paraId="77890163" w14:textId="77777777" w:rsidR="00AA6557" w:rsidRPr="00666914" w:rsidRDefault="00AA6557">
            <w:pPr>
              <w:spacing w:after="0"/>
              <w:jc w:val="center"/>
              <w:rPr>
                <w:color w:val="000000"/>
                <w:sz w:val="20"/>
                <w:szCs w:val="20"/>
              </w:rPr>
            </w:pPr>
          </w:p>
          <w:p w14:paraId="5E072DB2" w14:textId="77777777" w:rsidR="00AA6557" w:rsidRPr="00666914" w:rsidRDefault="00AA6557">
            <w:pPr>
              <w:spacing w:after="0"/>
              <w:jc w:val="center"/>
              <w:rPr>
                <w:color w:val="000000"/>
                <w:sz w:val="20"/>
                <w:szCs w:val="20"/>
              </w:rPr>
            </w:pPr>
          </w:p>
        </w:tc>
      </w:tr>
      <w:tr w:rsidR="00AA6557" w:rsidRPr="00666914" w14:paraId="2FD96DD7" w14:textId="77777777" w:rsidTr="00D96BB0">
        <w:trPr>
          <w:trHeight w:val="300"/>
        </w:trPr>
        <w:tc>
          <w:tcPr>
            <w:tcW w:w="742" w:type="dxa"/>
            <w:shd w:val="clear" w:color="auto" w:fill="auto"/>
            <w:vAlign w:val="center"/>
          </w:tcPr>
          <w:p w14:paraId="0C49065D" w14:textId="77777777" w:rsidR="00AA6557" w:rsidRPr="00666914" w:rsidRDefault="00AA6557">
            <w:pPr>
              <w:spacing w:after="0"/>
              <w:jc w:val="left"/>
              <w:rPr>
                <w:color w:val="000000"/>
                <w:sz w:val="20"/>
                <w:szCs w:val="20"/>
              </w:rPr>
            </w:pPr>
            <w:r w:rsidRPr="00666914">
              <w:rPr>
                <w:color w:val="000000"/>
                <w:sz w:val="18"/>
                <w:szCs w:val="18"/>
              </w:rPr>
              <w:t>13.2.2</w:t>
            </w:r>
          </w:p>
        </w:tc>
        <w:tc>
          <w:tcPr>
            <w:tcW w:w="1843" w:type="dxa"/>
            <w:shd w:val="clear" w:color="auto" w:fill="auto"/>
            <w:vAlign w:val="center"/>
          </w:tcPr>
          <w:p w14:paraId="6885C86B" w14:textId="77777777" w:rsidR="00AA6557" w:rsidRPr="00666914" w:rsidRDefault="00AA6557">
            <w:pPr>
              <w:spacing w:after="0"/>
              <w:jc w:val="left"/>
              <w:rPr>
                <w:color w:val="000000"/>
                <w:sz w:val="20"/>
                <w:szCs w:val="20"/>
              </w:rPr>
            </w:pPr>
            <w:r w:rsidRPr="00666914">
              <w:rPr>
                <w:color w:val="000000"/>
                <w:sz w:val="18"/>
                <w:szCs w:val="18"/>
              </w:rPr>
              <w:t>Zefektívnenie prevádzky úradu a podriadených organizácií MPRV SR vrátane štátnych podnikov</w:t>
            </w:r>
          </w:p>
        </w:tc>
        <w:tc>
          <w:tcPr>
            <w:tcW w:w="1984" w:type="dxa"/>
            <w:shd w:val="clear" w:color="auto" w:fill="auto"/>
            <w:vAlign w:val="center"/>
          </w:tcPr>
          <w:p w14:paraId="6F669845" w14:textId="77777777" w:rsidR="00AA6557" w:rsidRPr="00666914" w:rsidRDefault="00AA6557">
            <w:pPr>
              <w:spacing w:after="0"/>
              <w:jc w:val="left"/>
              <w:rPr>
                <w:color w:val="000000"/>
                <w:sz w:val="20"/>
                <w:szCs w:val="20"/>
              </w:rPr>
            </w:pPr>
            <w:r w:rsidRPr="00666914">
              <w:rPr>
                <w:color w:val="000000"/>
                <w:sz w:val="18"/>
                <w:szCs w:val="18"/>
              </w:rPr>
              <w:t>Optimalizácia výdavkov na služby PPA</w:t>
            </w:r>
          </w:p>
        </w:tc>
        <w:tc>
          <w:tcPr>
            <w:tcW w:w="1418" w:type="dxa"/>
            <w:vAlign w:val="center"/>
          </w:tcPr>
          <w:p w14:paraId="4DEC8261" w14:textId="77777777" w:rsidR="00AA6557" w:rsidRPr="00666914" w:rsidRDefault="00AA6557">
            <w:pPr>
              <w:spacing w:after="0"/>
              <w:jc w:val="center"/>
              <w:rPr>
                <w:color w:val="000000"/>
                <w:sz w:val="20"/>
                <w:szCs w:val="20"/>
              </w:rPr>
            </w:pPr>
            <w:r w:rsidRPr="00666914">
              <w:rPr>
                <w:color w:val="000000"/>
                <w:sz w:val="18"/>
                <w:szCs w:val="18"/>
              </w:rPr>
              <w:t>PPA</w:t>
            </w:r>
          </w:p>
        </w:tc>
        <w:tc>
          <w:tcPr>
            <w:tcW w:w="1275" w:type="dxa"/>
            <w:vAlign w:val="center"/>
          </w:tcPr>
          <w:p w14:paraId="0552B210" w14:textId="77777777" w:rsidR="00AA6557" w:rsidRPr="00666914" w:rsidRDefault="00AA6557">
            <w:pPr>
              <w:spacing w:after="0"/>
              <w:jc w:val="center"/>
              <w:rPr>
                <w:color w:val="000000"/>
                <w:sz w:val="20"/>
                <w:szCs w:val="20"/>
              </w:rPr>
            </w:pPr>
            <w:r w:rsidRPr="00666914">
              <w:rPr>
                <w:color w:val="000000"/>
                <w:sz w:val="18"/>
                <w:szCs w:val="18"/>
              </w:rPr>
              <w:t>1.1.2020</w:t>
            </w:r>
          </w:p>
        </w:tc>
        <w:tc>
          <w:tcPr>
            <w:tcW w:w="709" w:type="dxa"/>
            <w:shd w:val="clear" w:color="auto" w:fill="A6A6A6"/>
            <w:vAlign w:val="bottom"/>
          </w:tcPr>
          <w:p w14:paraId="5085B5BA" w14:textId="77777777" w:rsidR="00AA6557" w:rsidRPr="00666914" w:rsidRDefault="00AA6557">
            <w:pPr>
              <w:spacing w:after="0"/>
              <w:rPr>
                <w:color w:val="000000"/>
                <w:sz w:val="20"/>
                <w:szCs w:val="20"/>
              </w:rPr>
            </w:pPr>
          </w:p>
        </w:tc>
        <w:tc>
          <w:tcPr>
            <w:tcW w:w="709" w:type="dxa"/>
            <w:shd w:val="clear" w:color="auto" w:fill="A6A6A6"/>
            <w:vAlign w:val="bottom"/>
          </w:tcPr>
          <w:p w14:paraId="349976F7" w14:textId="77777777" w:rsidR="00AA6557" w:rsidRPr="00666914" w:rsidRDefault="00AA6557">
            <w:pPr>
              <w:spacing w:after="0"/>
              <w:rPr>
                <w:color w:val="000000"/>
                <w:sz w:val="20"/>
                <w:szCs w:val="20"/>
              </w:rPr>
            </w:pPr>
          </w:p>
        </w:tc>
        <w:tc>
          <w:tcPr>
            <w:tcW w:w="709" w:type="dxa"/>
            <w:shd w:val="clear" w:color="auto" w:fill="A6A6A6"/>
            <w:vAlign w:val="bottom"/>
          </w:tcPr>
          <w:p w14:paraId="7E75A5C3" w14:textId="77777777" w:rsidR="00AA6557" w:rsidRPr="00666914" w:rsidRDefault="00AA6557">
            <w:pPr>
              <w:spacing w:after="0"/>
              <w:rPr>
                <w:color w:val="000000"/>
                <w:sz w:val="20"/>
                <w:szCs w:val="20"/>
              </w:rPr>
            </w:pPr>
          </w:p>
        </w:tc>
        <w:tc>
          <w:tcPr>
            <w:tcW w:w="708" w:type="dxa"/>
            <w:shd w:val="clear" w:color="auto" w:fill="FFC000"/>
            <w:vAlign w:val="center"/>
          </w:tcPr>
          <w:p w14:paraId="02652759" w14:textId="77777777" w:rsidR="00AA6557" w:rsidRPr="00666914" w:rsidRDefault="00AA6557">
            <w:pPr>
              <w:spacing w:after="0"/>
              <w:jc w:val="center"/>
              <w:rPr>
                <w:color w:val="000000"/>
                <w:sz w:val="20"/>
                <w:szCs w:val="20"/>
              </w:rPr>
            </w:pPr>
          </w:p>
          <w:p w14:paraId="7DA33E65" w14:textId="77777777" w:rsidR="00AA6557" w:rsidRPr="00666914" w:rsidRDefault="00AA6557">
            <w:pPr>
              <w:spacing w:after="0"/>
              <w:jc w:val="center"/>
              <w:rPr>
                <w:color w:val="000000"/>
                <w:sz w:val="20"/>
                <w:szCs w:val="20"/>
              </w:rPr>
            </w:pPr>
          </w:p>
          <w:p w14:paraId="7A9DAA51" w14:textId="77777777" w:rsidR="00AA6557" w:rsidRPr="00666914" w:rsidRDefault="00AA6557">
            <w:pPr>
              <w:spacing w:after="0"/>
              <w:jc w:val="center"/>
              <w:rPr>
                <w:color w:val="000000"/>
                <w:sz w:val="20"/>
                <w:szCs w:val="20"/>
              </w:rPr>
            </w:pPr>
          </w:p>
          <w:p w14:paraId="0D9BDF7D" w14:textId="77777777" w:rsidR="00AA6557" w:rsidRPr="00666914" w:rsidRDefault="00AA6557">
            <w:pPr>
              <w:spacing w:after="0"/>
              <w:jc w:val="center"/>
              <w:rPr>
                <w:color w:val="000000"/>
                <w:sz w:val="20"/>
                <w:szCs w:val="20"/>
              </w:rPr>
            </w:pPr>
          </w:p>
        </w:tc>
      </w:tr>
      <w:tr w:rsidR="00AA6557" w:rsidRPr="00666914" w14:paraId="4B46F697" w14:textId="77777777" w:rsidTr="00D96BB0">
        <w:trPr>
          <w:trHeight w:val="300"/>
        </w:trPr>
        <w:tc>
          <w:tcPr>
            <w:tcW w:w="742" w:type="dxa"/>
            <w:shd w:val="clear" w:color="auto" w:fill="auto"/>
            <w:vAlign w:val="center"/>
          </w:tcPr>
          <w:p w14:paraId="4357AA1F" w14:textId="77777777" w:rsidR="00AA6557" w:rsidRPr="00666914" w:rsidRDefault="00AA6557">
            <w:pPr>
              <w:spacing w:after="0"/>
              <w:jc w:val="left"/>
              <w:rPr>
                <w:color w:val="000000"/>
                <w:sz w:val="18"/>
                <w:szCs w:val="18"/>
              </w:rPr>
            </w:pPr>
            <w:r w:rsidRPr="00666914">
              <w:rPr>
                <w:color w:val="000000"/>
                <w:sz w:val="18"/>
                <w:szCs w:val="18"/>
              </w:rPr>
              <w:t>13.3.1</w:t>
            </w:r>
          </w:p>
        </w:tc>
        <w:tc>
          <w:tcPr>
            <w:tcW w:w="1843" w:type="dxa"/>
            <w:shd w:val="clear" w:color="auto" w:fill="auto"/>
            <w:vAlign w:val="center"/>
          </w:tcPr>
          <w:p w14:paraId="15263903" w14:textId="77777777" w:rsidR="00AA6557" w:rsidRPr="00666914" w:rsidRDefault="00AA6557">
            <w:pPr>
              <w:spacing w:after="0"/>
              <w:jc w:val="left"/>
              <w:rPr>
                <w:color w:val="000000"/>
                <w:sz w:val="18"/>
                <w:szCs w:val="18"/>
              </w:rPr>
            </w:pPr>
            <w:r w:rsidRPr="00666914">
              <w:rPr>
                <w:color w:val="000000"/>
                <w:sz w:val="18"/>
                <w:szCs w:val="18"/>
              </w:rPr>
              <w:t>Zefektívnenie prevádzky úradu a podriadených organizácií MPRV SR vrátane štátnych podnikov</w:t>
            </w:r>
          </w:p>
        </w:tc>
        <w:tc>
          <w:tcPr>
            <w:tcW w:w="1984" w:type="dxa"/>
            <w:shd w:val="clear" w:color="auto" w:fill="auto"/>
            <w:vAlign w:val="center"/>
          </w:tcPr>
          <w:p w14:paraId="7665E215" w14:textId="77777777" w:rsidR="00AA6557" w:rsidRPr="00666914" w:rsidRDefault="00AA6557">
            <w:pPr>
              <w:spacing w:after="0"/>
              <w:jc w:val="left"/>
              <w:rPr>
                <w:color w:val="000000"/>
                <w:sz w:val="18"/>
                <w:szCs w:val="18"/>
              </w:rPr>
            </w:pPr>
            <w:r w:rsidRPr="00666914">
              <w:rPr>
                <w:color w:val="000000"/>
                <w:sz w:val="18"/>
                <w:szCs w:val="18"/>
              </w:rPr>
              <w:t>Analýza spojenia ŠVPS s ÚRZ</w:t>
            </w:r>
          </w:p>
        </w:tc>
        <w:tc>
          <w:tcPr>
            <w:tcW w:w="1418" w:type="dxa"/>
            <w:vAlign w:val="center"/>
          </w:tcPr>
          <w:p w14:paraId="3D9F3019" w14:textId="77777777" w:rsidR="00AA6557" w:rsidRPr="00666914" w:rsidRDefault="00AA6557">
            <w:pPr>
              <w:spacing w:after="0"/>
              <w:jc w:val="center"/>
              <w:rPr>
                <w:color w:val="000000"/>
                <w:sz w:val="18"/>
                <w:szCs w:val="18"/>
              </w:rPr>
            </w:pPr>
            <w:r w:rsidRPr="00666914">
              <w:rPr>
                <w:color w:val="000000"/>
                <w:sz w:val="18"/>
                <w:szCs w:val="18"/>
              </w:rPr>
              <w:t>ŠVSP, ÚRZ, ÚHP, MF SR, IJ ÚV SR, MPRV</w:t>
            </w:r>
          </w:p>
        </w:tc>
        <w:tc>
          <w:tcPr>
            <w:tcW w:w="1275" w:type="dxa"/>
            <w:vAlign w:val="center"/>
          </w:tcPr>
          <w:p w14:paraId="1F04FB49" w14:textId="77777777" w:rsidR="00AA6557" w:rsidRPr="00666914" w:rsidRDefault="00AA6557">
            <w:pPr>
              <w:spacing w:after="0"/>
              <w:jc w:val="center"/>
              <w:rPr>
                <w:color w:val="000000"/>
                <w:sz w:val="18"/>
                <w:szCs w:val="18"/>
              </w:rPr>
            </w:pPr>
            <w:r w:rsidRPr="00666914">
              <w:rPr>
                <w:color w:val="000000"/>
                <w:sz w:val="18"/>
                <w:szCs w:val="18"/>
              </w:rPr>
              <w:t>1.1.2020 (termín sa vzťahuje k vypracova-niu analýzy alternatív spájania)</w:t>
            </w:r>
          </w:p>
        </w:tc>
        <w:tc>
          <w:tcPr>
            <w:tcW w:w="709" w:type="dxa"/>
            <w:shd w:val="clear" w:color="auto" w:fill="A6A6A6"/>
            <w:vAlign w:val="bottom"/>
          </w:tcPr>
          <w:p w14:paraId="1D28EEF2" w14:textId="77777777" w:rsidR="00AA6557" w:rsidRPr="00666914" w:rsidRDefault="00AA6557">
            <w:pPr>
              <w:spacing w:after="0"/>
              <w:rPr>
                <w:color w:val="000000"/>
                <w:sz w:val="20"/>
                <w:szCs w:val="20"/>
              </w:rPr>
            </w:pPr>
          </w:p>
        </w:tc>
        <w:tc>
          <w:tcPr>
            <w:tcW w:w="709" w:type="dxa"/>
            <w:shd w:val="clear" w:color="auto" w:fill="A6A6A6"/>
            <w:vAlign w:val="bottom"/>
          </w:tcPr>
          <w:p w14:paraId="46638212" w14:textId="77777777" w:rsidR="00AA6557" w:rsidRPr="00666914" w:rsidRDefault="00AA6557">
            <w:pPr>
              <w:spacing w:after="0"/>
              <w:rPr>
                <w:color w:val="000000"/>
                <w:sz w:val="20"/>
                <w:szCs w:val="20"/>
              </w:rPr>
            </w:pPr>
          </w:p>
        </w:tc>
        <w:tc>
          <w:tcPr>
            <w:tcW w:w="709" w:type="dxa"/>
            <w:shd w:val="clear" w:color="auto" w:fill="A6A6A6"/>
            <w:vAlign w:val="bottom"/>
          </w:tcPr>
          <w:p w14:paraId="7281C34E" w14:textId="77777777" w:rsidR="00AA6557" w:rsidRPr="00666914" w:rsidRDefault="00AA6557">
            <w:pPr>
              <w:spacing w:after="0"/>
              <w:rPr>
                <w:color w:val="000000"/>
                <w:sz w:val="20"/>
                <w:szCs w:val="20"/>
              </w:rPr>
            </w:pPr>
          </w:p>
        </w:tc>
        <w:tc>
          <w:tcPr>
            <w:tcW w:w="708" w:type="dxa"/>
            <w:shd w:val="clear" w:color="auto" w:fill="FF0000"/>
            <w:vAlign w:val="center"/>
          </w:tcPr>
          <w:p w14:paraId="772E6E36" w14:textId="77777777" w:rsidR="00AA6557" w:rsidRPr="00666914" w:rsidRDefault="00AA6557">
            <w:pPr>
              <w:spacing w:after="0"/>
              <w:rPr>
                <w:color w:val="000000"/>
                <w:sz w:val="20"/>
                <w:szCs w:val="20"/>
              </w:rPr>
            </w:pPr>
          </w:p>
        </w:tc>
      </w:tr>
      <w:tr w:rsidR="00AA6557" w:rsidRPr="00666914" w14:paraId="44B48D98" w14:textId="77777777" w:rsidTr="00CE0C4B">
        <w:trPr>
          <w:trHeight w:val="300"/>
        </w:trPr>
        <w:tc>
          <w:tcPr>
            <w:tcW w:w="742" w:type="dxa"/>
            <w:shd w:val="clear" w:color="auto" w:fill="auto"/>
            <w:vAlign w:val="center"/>
          </w:tcPr>
          <w:p w14:paraId="7C6EEB20" w14:textId="77777777" w:rsidR="00AA6557" w:rsidRPr="00666914" w:rsidRDefault="00AA6557">
            <w:pPr>
              <w:spacing w:after="0"/>
              <w:jc w:val="left"/>
              <w:rPr>
                <w:color w:val="000000"/>
                <w:sz w:val="18"/>
                <w:szCs w:val="18"/>
              </w:rPr>
            </w:pPr>
            <w:r w:rsidRPr="00666914">
              <w:rPr>
                <w:color w:val="000000"/>
                <w:sz w:val="18"/>
                <w:szCs w:val="18"/>
              </w:rPr>
              <w:t>13.5.3</w:t>
            </w:r>
          </w:p>
        </w:tc>
        <w:tc>
          <w:tcPr>
            <w:tcW w:w="1843" w:type="dxa"/>
            <w:shd w:val="clear" w:color="auto" w:fill="auto"/>
            <w:vAlign w:val="center"/>
          </w:tcPr>
          <w:p w14:paraId="463F1686" w14:textId="77777777" w:rsidR="00AA6557" w:rsidRPr="00666914" w:rsidRDefault="00AA6557">
            <w:pPr>
              <w:spacing w:after="0"/>
              <w:jc w:val="left"/>
              <w:rPr>
                <w:color w:val="000000"/>
                <w:sz w:val="18"/>
                <w:szCs w:val="18"/>
              </w:rPr>
            </w:pPr>
            <w:r w:rsidRPr="00666914">
              <w:rPr>
                <w:color w:val="000000"/>
                <w:sz w:val="18"/>
                <w:szCs w:val="18"/>
              </w:rPr>
              <w:t>Zefektívnenie prevádzky úradu a podriadených organizácií MPRV SR vrátane štátnych podnikov</w:t>
            </w:r>
          </w:p>
        </w:tc>
        <w:tc>
          <w:tcPr>
            <w:tcW w:w="1984" w:type="dxa"/>
            <w:shd w:val="clear" w:color="auto" w:fill="auto"/>
            <w:vAlign w:val="center"/>
          </w:tcPr>
          <w:p w14:paraId="7D4FDBBB" w14:textId="77777777" w:rsidR="00AA6557" w:rsidRPr="00666914" w:rsidRDefault="00AA6557" w:rsidP="00CE0C4B">
            <w:pPr>
              <w:spacing w:after="0"/>
              <w:jc w:val="left"/>
              <w:rPr>
                <w:color w:val="000000"/>
                <w:sz w:val="18"/>
                <w:szCs w:val="18"/>
              </w:rPr>
            </w:pPr>
            <w:r w:rsidRPr="00666914">
              <w:rPr>
                <w:color w:val="000000"/>
                <w:sz w:val="18"/>
                <w:szCs w:val="18"/>
              </w:rPr>
              <w:t>Udržiavať mieru financovania zo štandardných zdrojov (nadnárodné projekty, podnikateľský sektor, domáce granty) nad 75 % zdrojov NLC určených na vedu a výskum</w:t>
            </w:r>
          </w:p>
        </w:tc>
        <w:tc>
          <w:tcPr>
            <w:tcW w:w="1418" w:type="dxa"/>
            <w:vAlign w:val="center"/>
          </w:tcPr>
          <w:p w14:paraId="7BAD98F4" w14:textId="77777777" w:rsidR="00AA6557" w:rsidRPr="00666914" w:rsidRDefault="00AA6557">
            <w:pPr>
              <w:spacing w:after="0"/>
              <w:jc w:val="center"/>
              <w:rPr>
                <w:color w:val="000000"/>
                <w:sz w:val="18"/>
                <w:szCs w:val="18"/>
              </w:rPr>
            </w:pPr>
            <w:r w:rsidRPr="00666914">
              <w:rPr>
                <w:color w:val="000000"/>
                <w:sz w:val="18"/>
                <w:szCs w:val="18"/>
              </w:rPr>
              <w:t>NLC, MPRV, Sekcia lesného hospodárstva a spracovania dreva</w:t>
            </w:r>
          </w:p>
        </w:tc>
        <w:tc>
          <w:tcPr>
            <w:tcW w:w="1275" w:type="dxa"/>
            <w:vAlign w:val="center"/>
          </w:tcPr>
          <w:p w14:paraId="4DD1CAF1" w14:textId="77777777" w:rsidR="00AA6557" w:rsidRPr="00666914" w:rsidRDefault="00AA6557">
            <w:pPr>
              <w:spacing w:after="0"/>
              <w:jc w:val="center"/>
              <w:rPr>
                <w:color w:val="000000"/>
                <w:sz w:val="18"/>
                <w:szCs w:val="18"/>
              </w:rPr>
            </w:pPr>
            <w:r w:rsidRPr="00666914">
              <w:rPr>
                <w:color w:val="000000"/>
                <w:sz w:val="18"/>
                <w:szCs w:val="18"/>
              </w:rPr>
              <w:t>Priebežne</w:t>
            </w:r>
          </w:p>
        </w:tc>
        <w:tc>
          <w:tcPr>
            <w:tcW w:w="709" w:type="dxa"/>
            <w:shd w:val="clear" w:color="auto" w:fill="A6A6A6"/>
            <w:vAlign w:val="bottom"/>
          </w:tcPr>
          <w:p w14:paraId="04635499" w14:textId="77777777" w:rsidR="00AA6557" w:rsidRPr="00666914" w:rsidRDefault="00AA6557">
            <w:pPr>
              <w:spacing w:after="0"/>
              <w:rPr>
                <w:color w:val="000000"/>
                <w:sz w:val="20"/>
                <w:szCs w:val="20"/>
              </w:rPr>
            </w:pPr>
          </w:p>
        </w:tc>
        <w:tc>
          <w:tcPr>
            <w:tcW w:w="709" w:type="dxa"/>
            <w:shd w:val="clear" w:color="auto" w:fill="A6A6A6"/>
            <w:vAlign w:val="bottom"/>
          </w:tcPr>
          <w:p w14:paraId="71B12B46" w14:textId="77777777" w:rsidR="00AA6557" w:rsidRPr="00666914" w:rsidRDefault="00AA6557">
            <w:pPr>
              <w:spacing w:after="0"/>
              <w:rPr>
                <w:color w:val="000000"/>
                <w:sz w:val="20"/>
                <w:szCs w:val="20"/>
              </w:rPr>
            </w:pPr>
          </w:p>
        </w:tc>
        <w:tc>
          <w:tcPr>
            <w:tcW w:w="709" w:type="dxa"/>
            <w:shd w:val="clear" w:color="auto" w:fill="A6A6A6"/>
            <w:vAlign w:val="bottom"/>
          </w:tcPr>
          <w:p w14:paraId="34D61763" w14:textId="77777777" w:rsidR="00AA6557" w:rsidRPr="00666914" w:rsidRDefault="00AA6557">
            <w:pPr>
              <w:spacing w:after="0"/>
              <w:rPr>
                <w:color w:val="000000"/>
                <w:sz w:val="20"/>
                <w:szCs w:val="20"/>
              </w:rPr>
            </w:pPr>
          </w:p>
        </w:tc>
        <w:tc>
          <w:tcPr>
            <w:tcW w:w="708" w:type="dxa"/>
            <w:shd w:val="clear" w:color="auto" w:fill="00B050"/>
            <w:vAlign w:val="center"/>
          </w:tcPr>
          <w:p w14:paraId="144C0DA7" w14:textId="77777777" w:rsidR="00AA6557" w:rsidRPr="00666914" w:rsidRDefault="00AA6557">
            <w:pPr>
              <w:spacing w:after="0"/>
              <w:rPr>
                <w:color w:val="000000"/>
                <w:sz w:val="20"/>
                <w:szCs w:val="20"/>
              </w:rPr>
            </w:pPr>
          </w:p>
        </w:tc>
      </w:tr>
    </w:tbl>
    <w:p w14:paraId="5DA8D676" w14:textId="77777777" w:rsidR="00AA6557" w:rsidRPr="00666914" w:rsidRDefault="00AA6557">
      <w:pPr>
        <w:pBdr>
          <w:top w:val="nil"/>
          <w:left w:val="nil"/>
          <w:bottom w:val="nil"/>
          <w:right w:val="nil"/>
          <w:between w:val="nil"/>
        </w:pBdr>
        <w:spacing w:after="0"/>
        <w:ind w:right="3544" w:firstLine="709"/>
        <w:rPr>
          <w:b/>
          <w:color w:val="000000"/>
          <w:u w:val="single"/>
        </w:rPr>
      </w:pPr>
    </w:p>
    <w:p w14:paraId="31384954" w14:textId="77777777" w:rsidR="00AA6557" w:rsidRPr="00666914" w:rsidRDefault="00AA6557">
      <w:pPr>
        <w:pBdr>
          <w:top w:val="nil"/>
          <w:left w:val="nil"/>
          <w:bottom w:val="nil"/>
          <w:right w:val="nil"/>
          <w:between w:val="nil"/>
        </w:pBdr>
        <w:spacing w:after="0"/>
        <w:ind w:right="3544" w:firstLine="709"/>
        <w:rPr>
          <w:b/>
          <w:color w:val="000000"/>
          <w:u w:val="single"/>
        </w:rPr>
      </w:pPr>
      <w:r w:rsidRPr="00666914">
        <w:rPr>
          <w:b/>
          <w:color w:val="000000"/>
          <w:u w:val="single"/>
        </w:rPr>
        <w:t>13.2.1  Komplexná reforma a digitalizácia PPA</w:t>
      </w:r>
    </w:p>
    <w:p w14:paraId="5761FAE6" w14:textId="77777777" w:rsidR="00AA6557" w:rsidRPr="00666914" w:rsidRDefault="00AA6557">
      <w:pPr>
        <w:spacing w:after="0"/>
        <w:rPr>
          <w:b/>
          <w:u w:val="single"/>
        </w:rPr>
      </w:pPr>
    </w:p>
    <w:p w14:paraId="64E32C29" w14:textId="77777777" w:rsidR="00AA6557" w:rsidRPr="00666914" w:rsidRDefault="00AA6557" w:rsidP="00287DFE">
      <w:r w:rsidRPr="00666914">
        <w:rPr>
          <w:b/>
        </w:rPr>
        <w:t>Ku komplexnej reforme a digitalizácii PPA neexistuje záväzný materiál s jasnou kvantifikáciou prínosov.</w:t>
      </w:r>
      <w:r w:rsidRPr="00666914">
        <w:t xml:space="preserve"> Počas roka 2018 PPA len zmapovala svoje procesy a pripravila interný plán postupnej digitalizácie s názvom </w:t>
      </w:r>
      <w:r w:rsidRPr="00666914">
        <w:rPr>
          <w:i/>
        </w:rPr>
        <w:t>Koncepcia rozvoja PPA do roku 2020</w:t>
      </w:r>
      <w:r w:rsidRPr="00666914">
        <w:t>. V nej si stanovila za cieľ: zefektívnenie, zjednodušenie a zvýšenie transparentnosti procesov poskytovania služieb prijímateľom pomoci a verejnosti, zabezpečenie prístupnosti služieb PPA, rozvoj informačného systému PPA pre administrovanie podpôr s cieľom elektronizácie interných aj externých procesov v zmysle platnej legislatívy. Dokument však nie je záväzný a ani nebol schválený vládou SR. V materiáli zároveň chýba detailnejší odhad nákladov a technického riešenia, kvantifikácia prínosov, plán zavádzania podľa priorít a verejné odpočtovanie plnenia.</w:t>
      </w:r>
    </w:p>
    <w:p w14:paraId="7A21FC3B" w14:textId="77777777" w:rsidR="00AA6557" w:rsidRPr="00666914" w:rsidRDefault="00AA6557" w:rsidP="00287DFE">
      <w:r w:rsidRPr="00666914">
        <w:t>Počas hodnoteného roku 2019 sa PPA podarilo zaviesť elektronickú spisovú službu s prepojením na ÚPVS. Zrealizovanie integrácie spisovej služby na modul CÚD počas roku 2019 umožnilo elektronické odosielanie úradných listov a rozhodnutí subjektom s aktivovanou elektronickou schránkou na doručovanie. Integráciou IS na ÚPVS dokáže PPA prijímať všetky elektronické správy, čo PPA využila pri elektronickom podpisovaní zmlúv na systémovú štátnu podporu „Zelená nafta 2019“</w:t>
      </w:r>
      <w:r w:rsidRPr="00666914">
        <w:rPr>
          <w:vertAlign w:val="superscript"/>
        </w:rPr>
        <w:t xml:space="preserve"> </w:t>
      </w:r>
      <w:r w:rsidRPr="00666914">
        <w:rPr>
          <w:vertAlign w:val="superscript"/>
        </w:rPr>
        <w:footnoteReference w:id="458"/>
      </w:r>
      <w:r w:rsidRPr="00666914">
        <w:t xml:space="preserve">. </w:t>
      </w:r>
      <w:sdt>
        <w:sdtPr>
          <w:tag w:val="goog_rdk_51"/>
          <w:id w:val="-301069032"/>
        </w:sdtPr>
        <w:sdtEndPr/>
        <w:sdtContent/>
      </w:sdt>
      <w:sdt>
        <w:sdtPr>
          <w:tag w:val="goog_rdk_52"/>
          <w:id w:val="-1771771903"/>
        </w:sdtPr>
        <w:sdtEndPr/>
        <w:sdtContent/>
      </w:sdt>
      <w:r w:rsidRPr="00666914">
        <w:t xml:space="preserve">Napriek úspešnému zavedeniu systémov nebola úspora počas roka 2019 realizovaná. </w:t>
      </w:r>
    </w:p>
    <w:p w14:paraId="04D64D63" w14:textId="77777777" w:rsidR="00AA6557" w:rsidRPr="00666914" w:rsidRDefault="00AA6557" w:rsidP="00287DFE">
      <w:r w:rsidRPr="00666914">
        <w:rPr>
          <w:b/>
        </w:rPr>
        <w:t xml:space="preserve">PPA sa rozhodla reformu realizovať menšími projektami financovanými prostredníctvom dopytových výziev miesto uceleného národného projektu. </w:t>
      </w:r>
      <w:r w:rsidRPr="00666914">
        <w:t xml:space="preserve">Rozdrobenie komplexnej reformy na menšie dopytové výzvy prináša podľa </w:t>
      </w:r>
      <w:r w:rsidRPr="00666914">
        <w:lastRenderedPageBreak/>
        <w:t xml:space="preserve">vyjadrenia rezortu pozitívny vplyv vo forme zavádzania potrebných IS postupne podľa schválenia ŠU na každú dopytovú výzvu. Do 12/2019 PPA podala na schválenie ÚPVII štyri ŠU, tri z nich boli schválené počas 1Q2020. </w:t>
      </w:r>
    </w:p>
    <w:tbl>
      <w:tblPr>
        <w:tblW w:w="9356" w:type="dxa"/>
        <w:tblBorders>
          <w:top w:val="nil"/>
          <w:left w:val="nil"/>
          <w:bottom w:val="nil"/>
          <w:right w:val="nil"/>
          <w:insideH w:val="nil"/>
          <w:insideV w:val="nil"/>
        </w:tblBorders>
        <w:tblLayout w:type="fixed"/>
        <w:tblLook w:val="0400" w:firstRow="0" w:lastRow="0" w:firstColumn="0" w:lastColumn="0" w:noHBand="0" w:noVBand="1"/>
      </w:tblPr>
      <w:tblGrid>
        <w:gridCol w:w="353"/>
        <w:gridCol w:w="2173"/>
        <w:gridCol w:w="1495"/>
        <w:gridCol w:w="2928"/>
        <w:gridCol w:w="1252"/>
        <w:gridCol w:w="1155"/>
      </w:tblGrid>
      <w:tr w:rsidR="00AA6557" w:rsidRPr="00666914" w14:paraId="38914D58" w14:textId="77777777">
        <w:trPr>
          <w:trHeight w:val="185"/>
        </w:trPr>
        <w:tc>
          <w:tcPr>
            <w:tcW w:w="8201" w:type="dxa"/>
            <w:gridSpan w:val="5"/>
            <w:tcBorders>
              <w:bottom w:val="single" w:sz="4" w:space="0" w:color="000000"/>
            </w:tcBorders>
          </w:tcPr>
          <w:p w14:paraId="2C637C73" w14:textId="72931A0D" w:rsidR="00AA6557" w:rsidRPr="00666914" w:rsidRDefault="00AA6557" w:rsidP="008B60F6">
            <w:pPr>
              <w:spacing w:after="0"/>
              <w:rPr>
                <w:b/>
                <w:sz w:val="20"/>
                <w:szCs w:val="20"/>
              </w:rPr>
            </w:pPr>
            <w:bookmarkStart w:id="417" w:name="_Toc38447756"/>
            <w:r w:rsidRPr="00666914">
              <w:rPr>
                <w:b/>
                <w:sz w:val="20"/>
                <w:szCs w:val="20"/>
              </w:rPr>
              <w:t xml:space="preserve">Tabuľka </w:t>
            </w:r>
            <w:r w:rsidRPr="00666914">
              <w:rPr>
                <w:b/>
                <w:sz w:val="20"/>
                <w:szCs w:val="20"/>
              </w:rPr>
              <w:fldChar w:fldCharType="begin"/>
            </w:r>
            <w:r w:rsidRPr="00666914">
              <w:rPr>
                <w:b/>
                <w:sz w:val="20"/>
                <w:szCs w:val="20"/>
              </w:rPr>
              <w:instrText xml:space="preserve"> SEQ Tabuľka \* ARABIC \* MERGEFORMAT </w:instrText>
            </w:r>
            <w:r w:rsidRPr="00666914">
              <w:rPr>
                <w:b/>
                <w:sz w:val="20"/>
                <w:szCs w:val="20"/>
              </w:rPr>
              <w:fldChar w:fldCharType="separate"/>
            </w:r>
            <w:r w:rsidR="005A7304">
              <w:rPr>
                <w:b/>
                <w:noProof/>
                <w:sz w:val="20"/>
                <w:szCs w:val="20"/>
              </w:rPr>
              <w:t>95</w:t>
            </w:r>
            <w:r w:rsidRPr="00666914">
              <w:rPr>
                <w:b/>
                <w:sz w:val="20"/>
                <w:szCs w:val="20"/>
              </w:rPr>
              <w:fldChar w:fldCharType="end"/>
            </w:r>
            <w:r w:rsidRPr="00666914">
              <w:rPr>
                <w:b/>
                <w:sz w:val="20"/>
                <w:szCs w:val="20"/>
              </w:rPr>
              <w:t>: Dopytové výzvy PPA podané na posúdenie ÚPVII</w:t>
            </w:r>
            <w:bookmarkEnd w:id="417"/>
            <w:r w:rsidRPr="00666914">
              <w:rPr>
                <w:b/>
                <w:sz w:val="20"/>
                <w:szCs w:val="20"/>
              </w:rPr>
              <w:t xml:space="preserve"> </w:t>
            </w:r>
          </w:p>
        </w:tc>
        <w:tc>
          <w:tcPr>
            <w:tcW w:w="1155" w:type="dxa"/>
            <w:tcBorders>
              <w:bottom w:val="single" w:sz="4" w:space="0" w:color="000000"/>
            </w:tcBorders>
          </w:tcPr>
          <w:p w14:paraId="7FAA0511" w14:textId="77777777" w:rsidR="00AA6557" w:rsidRPr="00666914" w:rsidRDefault="00AA6557">
            <w:pPr>
              <w:rPr>
                <w:b/>
                <w:sz w:val="8"/>
                <w:szCs w:val="20"/>
              </w:rPr>
            </w:pPr>
          </w:p>
        </w:tc>
      </w:tr>
      <w:tr w:rsidR="00AA6557" w:rsidRPr="00666914" w14:paraId="5274482D" w14:textId="77777777">
        <w:tc>
          <w:tcPr>
            <w:tcW w:w="353" w:type="dxa"/>
            <w:tcBorders>
              <w:top w:val="single" w:sz="4" w:space="0" w:color="000000"/>
              <w:bottom w:val="single" w:sz="4" w:space="0" w:color="000000"/>
            </w:tcBorders>
          </w:tcPr>
          <w:p w14:paraId="3950FFA9" w14:textId="77777777" w:rsidR="00AA6557" w:rsidRPr="00666914" w:rsidRDefault="00AA6557">
            <w:pPr>
              <w:rPr>
                <w:sz w:val="20"/>
                <w:szCs w:val="20"/>
              </w:rPr>
            </w:pPr>
          </w:p>
        </w:tc>
        <w:tc>
          <w:tcPr>
            <w:tcW w:w="2173" w:type="dxa"/>
            <w:tcBorders>
              <w:top w:val="single" w:sz="4" w:space="0" w:color="000000"/>
              <w:bottom w:val="single" w:sz="4" w:space="0" w:color="000000"/>
              <w:right w:val="single" w:sz="4" w:space="0" w:color="000000"/>
            </w:tcBorders>
            <w:vAlign w:val="center"/>
          </w:tcPr>
          <w:p w14:paraId="736CD64D" w14:textId="77777777" w:rsidR="00AA6557" w:rsidRPr="00666914" w:rsidRDefault="00AA6557">
            <w:pPr>
              <w:jc w:val="center"/>
              <w:rPr>
                <w:b/>
                <w:sz w:val="20"/>
                <w:szCs w:val="20"/>
              </w:rPr>
            </w:pPr>
            <w:r w:rsidRPr="00666914">
              <w:rPr>
                <w:b/>
                <w:sz w:val="20"/>
                <w:szCs w:val="20"/>
              </w:rPr>
              <w:t>Názov projektu</w:t>
            </w:r>
          </w:p>
        </w:tc>
        <w:tc>
          <w:tcPr>
            <w:tcW w:w="1495" w:type="dxa"/>
            <w:tcBorders>
              <w:top w:val="single" w:sz="4" w:space="0" w:color="000000"/>
              <w:left w:val="single" w:sz="4" w:space="0" w:color="000000"/>
              <w:bottom w:val="single" w:sz="4" w:space="0" w:color="000000"/>
            </w:tcBorders>
            <w:vAlign w:val="center"/>
          </w:tcPr>
          <w:p w14:paraId="316634FF" w14:textId="77777777" w:rsidR="00AA6557" w:rsidRPr="00666914" w:rsidRDefault="00AA6557">
            <w:pPr>
              <w:jc w:val="center"/>
              <w:rPr>
                <w:b/>
                <w:sz w:val="20"/>
                <w:szCs w:val="20"/>
              </w:rPr>
            </w:pPr>
            <w:r w:rsidRPr="00666914">
              <w:rPr>
                <w:b/>
                <w:sz w:val="20"/>
                <w:szCs w:val="20"/>
              </w:rPr>
              <w:t>Indikatívna výška nákladov (v mil. eur)</w:t>
            </w:r>
          </w:p>
        </w:tc>
        <w:tc>
          <w:tcPr>
            <w:tcW w:w="2928" w:type="dxa"/>
            <w:tcBorders>
              <w:top w:val="single" w:sz="4" w:space="0" w:color="000000"/>
              <w:bottom w:val="single" w:sz="4" w:space="0" w:color="000000"/>
            </w:tcBorders>
            <w:vAlign w:val="center"/>
          </w:tcPr>
          <w:p w14:paraId="390BD934" w14:textId="77777777" w:rsidR="00AA6557" w:rsidRPr="00666914" w:rsidRDefault="00AA6557">
            <w:pPr>
              <w:jc w:val="center"/>
              <w:rPr>
                <w:b/>
                <w:sz w:val="20"/>
                <w:szCs w:val="20"/>
              </w:rPr>
            </w:pPr>
            <w:r w:rsidRPr="00666914">
              <w:rPr>
                <w:b/>
                <w:sz w:val="20"/>
                <w:szCs w:val="20"/>
              </w:rPr>
              <w:t>Cieľ projektu</w:t>
            </w:r>
          </w:p>
        </w:tc>
        <w:tc>
          <w:tcPr>
            <w:tcW w:w="1252" w:type="dxa"/>
            <w:tcBorders>
              <w:top w:val="single" w:sz="4" w:space="0" w:color="000000"/>
              <w:bottom w:val="single" w:sz="4" w:space="0" w:color="000000"/>
            </w:tcBorders>
            <w:vAlign w:val="center"/>
          </w:tcPr>
          <w:p w14:paraId="16986D12" w14:textId="77777777" w:rsidR="00AA6557" w:rsidRPr="00666914" w:rsidRDefault="00AA6557">
            <w:pPr>
              <w:jc w:val="center"/>
              <w:rPr>
                <w:b/>
                <w:sz w:val="20"/>
                <w:szCs w:val="20"/>
              </w:rPr>
            </w:pPr>
            <w:r w:rsidRPr="00666914">
              <w:rPr>
                <w:b/>
                <w:sz w:val="20"/>
                <w:szCs w:val="20"/>
              </w:rPr>
              <w:t>Stav projektu</w:t>
            </w:r>
          </w:p>
        </w:tc>
        <w:tc>
          <w:tcPr>
            <w:tcW w:w="1155" w:type="dxa"/>
            <w:tcBorders>
              <w:top w:val="single" w:sz="4" w:space="0" w:color="000000"/>
              <w:bottom w:val="single" w:sz="4" w:space="0" w:color="000000"/>
            </w:tcBorders>
            <w:vAlign w:val="center"/>
          </w:tcPr>
          <w:p w14:paraId="709D0275" w14:textId="77777777" w:rsidR="00AA6557" w:rsidRPr="00666914" w:rsidRDefault="00AA6557">
            <w:pPr>
              <w:jc w:val="center"/>
              <w:rPr>
                <w:b/>
                <w:sz w:val="20"/>
                <w:szCs w:val="20"/>
              </w:rPr>
            </w:pPr>
            <w:r w:rsidRPr="00666914">
              <w:rPr>
                <w:b/>
                <w:sz w:val="20"/>
                <w:szCs w:val="20"/>
              </w:rPr>
              <w:t>Termín rozhodnutia</w:t>
            </w:r>
          </w:p>
        </w:tc>
      </w:tr>
      <w:tr w:rsidR="00AA6557" w:rsidRPr="00666914" w14:paraId="64B2ADC2" w14:textId="77777777">
        <w:tc>
          <w:tcPr>
            <w:tcW w:w="353" w:type="dxa"/>
            <w:tcBorders>
              <w:top w:val="single" w:sz="4" w:space="0" w:color="000000"/>
            </w:tcBorders>
          </w:tcPr>
          <w:p w14:paraId="5201C1FC" w14:textId="77777777" w:rsidR="00AA6557" w:rsidRPr="00666914" w:rsidRDefault="00AA6557">
            <w:pPr>
              <w:jc w:val="left"/>
              <w:rPr>
                <w:b/>
                <w:sz w:val="20"/>
                <w:szCs w:val="20"/>
              </w:rPr>
            </w:pPr>
            <w:r w:rsidRPr="00666914">
              <w:rPr>
                <w:b/>
                <w:sz w:val="20"/>
                <w:szCs w:val="20"/>
              </w:rPr>
              <w:t>1.</w:t>
            </w:r>
          </w:p>
        </w:tc>
        <w:tc>
          <w:tcPr>
            <w:tcW w:w="2173" w:type="dxa"/>
            <w:tcBorders>
              <w:top w:val="single" w:sz="4" w:space="0" w:color="000000"/>
              <w:right w:val="single" w:sz="4" w:space="0" w:color="000000"/>
            </w:tcBorders>
          </w:tcPr>
          <w:p w14:paraId="287BC002" w14:textId="77777777" w:rsidR="00AA6557" w:rsidRPr="00666914" w:rsidRDefault="00AA6557">
            <w:pPr>
              <w:jc w:val="left"/>
              <w:rPr>
                <w:b/>
                <w:sz w:val="20"/>
                <w:szCs w:val="20"/>
              </w:rPr>
            </w:pPr>
            <w:r w:rsidRPr="00666914">
              <w:rPr>
                <w:b/>
                <w:sz w:val="20"/>
                <w:szCs w:val="20"/>
              </w:rPr>
              <w:t>Manažment údajov PPA</w:t>
            </w:r>
            <w:r w:rsidRPr="00666914">
              <w:rPr>
                <w:b/>
                <w:sz w:val="20"/>
                <w:szCs w:val="20"/>
                <w:vertAlign w:val="superscript"/>
              </w:rPr>
              <w:footnoteReference w:id="459"/>
            </w:r>
          </w:p>
        </w:tc>
        <w:tc>
          <w:tcPr>
            <w:tcW w:w="1495" w:type="dxa"/>
            <w:tcBorders>
              <w:top w:val="single" w:sz="4" w:space="0" w:color="000000"/>
              <w:left w:val="single" w:sz="4" w:space="0" w:color="000000"/>
            </w:tcBorders>
            <w:vAlign w:val="center"/>
          </w:tcPr>
          <w:p w14:paraId="2E81CFF0" w14:textId="77777777" w:rsidR="00AA6557" w:rsidRPr="00666914" w:rsidRDefault="00AA6557">
            <w:pPr>
              <w:jc w:val="center"/>
              <w:rPr>
                <w:sz w:val="20"/>
                <w:szCs w:val="20"/>
              </w:rPr>
            </w:pPr>
            <w:r w:rsidRPr="00666914">
              <w:rPr>
                <w:sz w:val="20"/>
                <w:szCs w:val="20"/>
              </w:rPr>
              <w:t>3,02</w:t>
            </w:r>
          </w:p>
        </w:tc>
        <w:tc>
          <w:tcPr>
            <w:tcW w:w="2928" w:type="dxa"/>
            <w:tcBorders>
              <w:top w:val="single" w:sz="4" w:space="0" w:color="000000"/>
            </w:tcBorders>
            <w:vAlign w:val="center"/>
          </w:tcPr>
          <w:p w14:paraId="45130167" w14:textId="77777777" w:rsidR="00AA6557" w:rsidRPr="00666914" w:rsidRDefault="00AA6557">
            <w:pPr>
              <w:rPr>
                <w:sz w:val="20"/>
                <w:szCs w:val="20"/>
              </w:rPr>
            </w:pPr>
            <w:r w:rsidRPr="00666914">
              <w:rPr>
                <w:sz w:val="20"/>
                <w:szCs w:val="20"/>
              </w:rPr>
              <w:t>Digitálna transformácia PPA a zefektívnenie procesov prepájania jednotlivých IS a údajov navzájom v spoločnosti</w:t>
            </w:r>
            <w:r w:rsidRPr="00666914">
              <w:rPr>
                <w:sz w:val="20"/>
                <w:szCs w:val="20"/>
                <w:vertAlign w:val="superscript"/>
              </w:rPr>
              <w:footnoteReference w:id="460"/>
            </w:r>
          </w:p>
        </w:tc>
        <w:tc>
          <w:tcPr>
            <w:tcW w:w="1252" w:type="dxa"/>
            <w:tcBorders>
              <w:top w:val="single" w:sz="4" w:space="0" w:color="000000"/>
            </w:tcBorders>
            <w:vAlign w:val="center"/>
          </w:tcPr>
          <w:p w14:paraId="0529B6BF" w14:textId="77777777" w:rsidR="00AA6557" w:rsidRPr="00666914" w:rsidRDefault="00AA6557">
            <w:pPr>
              <w:rPr>
                <w:sz w:val="20"/>
                <w:szCs w:val="20"/>
              </w:rPr>
            </w:pPr>
          </w:p>
          <w:p w14:paraId="2C546733" w14:textId="77777777" w:rsidR="00AA6557" w:rsidRPr="00666914" w:rsidRDefault="00AA6557">
            <w:pPr>
              <w:jc w:val="center"/>
              <w:rPr>
                <w:sz w:val="20"/>
                <w:szCs w:val="20"/>
              </w:rPr>
            </w:pPr>
            <w:r w:rsidRPr="00666914">
              <w:rPr>
                <w:sz w:val="20"/>
                <w:szCs w:val="20"/>
              </w:rPr>
              <w:t>Schválený</w:t>
            </w:r>
          </w:p>
          <w:p w14:paraId="3D07D0A4" w14:textId="77777777" w:rsidR="00AA6557" w:rsidRPr="00666914" w:rsidRDefault="00AA6557">
            <w:pPr>
              <w:rPr>
                <w:sz w:val="20"/>
                <w:szCs w:val="20"/>
              </w:rPr>
            </w:pPr>
          </w:p>
        </w:tc>
        <w:tc>
          <w:tcPr>
            <w:tcW w:w="1155" w:type="dxa"/>
            <w:tcBorders>
              <w:top w:val="single" w:sz="4" w:space="0" w:color="000000"/>
            </w:tcBorders>
            <w:vAlign w:val="center"/>
          </w:tcPr>
          <w:p w14:paraId="6FDBF77F" w14:textId="77777777" w:rsidR="00AA6557" w:rsidRPr="00666914" w:rsidRDefault="00AA6557">
            <w:pPr>
              <w:jc w:val="center"/>
              <w:rPr>
                <w:sz w:val="20"/>
                <w:szCs w:val="20"/>
              </w:rPr>
            </w:pPr>
            <w:r w:rsidRPr="00666914">
              <w:rPr>
                <w:sz w:val="20"/>
                <w:szCs w:val="20"/>
              </w:rPr>
              <w:t>1Q2020</w:t>
            </w:r>
          </w:p>
        </w:tc>
      </w:tr>
      <w:tr w:rsidR="00AA6557" w:rsidRPr="00666914" w14:paraId="6AD442D7" w14:textId="77777777">
        <w:trPr>
          <w:trHeight w:val="1088"/>
        </w:trPr>
        <w:tc>
          <w:tcPr>
            <w:tcW w:w="353" w:type="dxa"/>
          </w:tcPr>
          <w:p w14:paraId="35C0D799" w14:textId="77777777" w:rsidR="00AA6557" w:rsidRPr="00666914" w:rsidRDefault="00AA6557">
            <w:pPr>
              <w:jc w:val="center"/>
              <w:rPr>
                <w:b/>
                <w:sz w:val="20"/>
                <w:szCs w:val="20"/>
              </w:rPr>
            </w:pPr>
            <w:r w:rsidRPr="00666914">
              <w:rPr>
                <w:b/>
                <w:sz w:val="20"/>
                <w:szCs w:val="20"/>
              </w:rPr>
              <w:t>2.</w:t>
            </w:r>
          </w:p>
        </w:tc>
        <w:tc>
          <w:tcPr>
            <w:tcW w:w="2173" w:type="dxa"/>
            <w:tcBorders>
              <w:right w:val="single" w:sz="4" w:space="0" w:color="000000"/>
            </w:tcBorders>
          </w:tcPr>
          <w:p w14:paraId="421BE68B" w14:textId="77777777" w:rsidR="00AA6557" w:rsidRPr="00666914" w:rsidRDefault="00AA6557">
            <w:pPr>
              <w:jc w:val="left"/>
              <w:rPr>
                <w:b/>
                <w:sz w:val="20"/>
                <w:szCs w:val="20"/>
              </w:rPr>
            </w:pPr>
            <w:r w:rsidRPr="00666914">
              <w:rPr>
                <w:b/>
                <w:sz w:val="20"/>
                <w:szCs w:val="20"/>
              </w:rPr>
              <w:t>Zavedenie elektronických služieb pre podporu žiadateľov PPA</w:t>
            </w:r>
            <w:r w:rsidRPr="00666914">
              <w:rPr>
                <w:b/>
                <w:sz w:val="20"/>
                <w:szCs w:val="20"/>
                <w:vertAlign w:val="superscript"/>
              </w:rPr>
              <w:footnoteReference w:id="461"/>
            </w:r>
          </w:p>
        </w:tc>
        <w:tc>
          <w:tcPr>
            <w:tcW w:w="1495" w:type="dxa"/>
            <w:tcBorders>
              <w:left w:val="single" w:sz="4" w:space="0" w:color="000000"/>
            </w:tcBorders>
            <w:vAlign w:val="center"/>
          </w:tcPr>
          <w:p w14:paraId="436833CB" w14:textId="77777777" w:rsidR="00AA6557" w:rsidRPr="00666914" w:rsidRDefault="00AA6557">
            <w:pPr>
              <w:jc w:val="center"/>
              <w:rPr>
                <w:sz w:val="20"/>
                <w:szCs w:val="20"/>
              </w:rPr>
            </w:pPr>
            <w:r w:rsidRPr="00666914">
              <w:rPr>
                <w:sz w:val="20"/>
                <w:szCs w:val="20"/>
              </w:rPr>
              <w:t>3,02</w:t>
            </w:r>
          </w:p>
        </w:tc>
        <w:tc>
          <w:tcPr>
            <w:tcW w:w="2928" w:type="dxa"/>
            <w:vAlign w:val="center"/>
          </w:tcPr>
          <w:p w14:paraId="0F97CFA9" w14:textId="77777777" w:rsidR="00AA6557" w:rsidRPr="00666914" w:rsidRDefault="00AA6557">
            <w:pPr>
              <w:rPr>
                <w:sz w:val="20"/>
                <w:szCs w:val="20"/>
              </w:rPr>
            </w:pPr>
            <w:r w:rsidRPr="00666914">
              <w:rPr>
                <w:sz w:val="20"/>
                <w:szCs w:val="20"/>
              </w:rPr>
              <w:t>Zefektívnenie procesu prijímania a vyhodnocovania žiadostí od žiadateľov PPA</w:t>
            </w:r>
            <w:r w:rsidRPr="00666914">
              <w:rPr>
                <w:sz w:val="20"/>
                <w:szCs w:val="20"/>
                <w:vertAlign w:val="superscript"/>
              </w:rPr>
              <w:footnoteReference w:id="462"/>
            </w:r>
            <w:r w:rsidRPr="00666914">
              <w:rPr>
                <w:sz w:val="20"/>
                <w:szCs w:val="20"/>
              </w:rPr>
              <w:t xml:space="preserve"> </w:t>
            </w:r>
          </w:p>
        </w:tc>
        <w:tc>
          <w:tcPr>
            <w:tcW w:w="1252" w:type="dxa"/>
            <w:vAlign w:val="center"/>
          </w:tcPr>
          <w:p w14:paraId="4E0642DC" w14:textId="77777777" w:rsidR="00AA6557" w:rsidRPr="00666914" w:rsidRDefault="00AA6557">
            <w:pPr>
              <w:jc w:val="center"/>
              <w:rPr>
                <w:sz w:val="20"/>
                <w:szCs w:val="20"/>
              </w:rPr>
            </w:pPr>
            <w:r w:rsidRPr="00666914">
              <w:rPr>
                <w:sz w:val="20"/>
                <w:szCs w:val="20"/>
              </w:rPr>
              <w:t>Schválený</w:t>
            </w:r>
          </w:p>
        </w:tc>
        <w:tc>
          <w:tcPr>
            <w:tcW w:w="1155" w:type="dxa"/>
            <w:vAlign w:val="center"/>
          </w:tcPr>
          <w:p w14:paraId="613FE22A" w14:textId="77777777" w:rsidR="00AA6557" w:rsidRPr="00666914" w:rsidRDefault="00AA6557">
            <w:pPr>
              <w:jc w:val="center"/>
              <w:rPr>
                <w:sz w:val="20"/>
                <w:szCs w:val="20"/>
              </w:rPr>
            </w:pPr>
            <w:r w:rsidRPr="00666914">
              <w:rPr>
                <w:sz w:val="20"/>
                <w:szCs w:val="20"/>
              </w:rPr>
              <w:t>1Q2020</w:t>
            </w:r>
          </w:p>
        </w:tc>
      </w:tr>
      <w:tr w:rsidR="00AA6557" w:rsidRPr="00666914" w14:paraId="5A02AEFB" w14:textId="77777777">
        <w:trPr>
          <w:trHeight w:val="1086"/>
        </w:trPr>
        <w:tc>
          <w:tcPr>
            <w:tcW w:w="353" w:type="dxa"/>
          </w:tcPr>
          <w:p w14:paraId="6C152D49" w14:textId="77777777" w:rsidR="00AA6557" w:rsidRPr="00666914" w:rsidRDefault="00AA6557">
            <w:pPr>
              <w:jc w:val="center"/>
              <w:rPr>
                <w:b/>
                <w:sz w:val="20"/>
                <w:szCs w:val="20"/>
              </w:rPr>
            </w:pPr>
            <w:r w:rsidRPr="00666914">
              <w:rPr>
                <w:b/>
                <w:sz w:val="20"/>
                <w:szCs w:val="20"/>
              </w:rPr>
              <w:t>3.</w:t>
            </w:r>
          </w:p>
        </w:tc>
        <w:tc>
          <w:tcPr>
            <w:tcW w:w="2173" w:type="dxa"/>
            <w:tcBorders>
              <w:right w:val="single" w:sz="4" w:space="0" w:color="000000"/>
            </w:tcBorders>
          </w:tcPr>
          <w:p w14:paraId="03773B0A" w14:textId="77777777" w:rsidR="00AA6557" w:rsidRPr="00666914" w:rsidRDefault="00AA6557">
            <w:pPr>
              <w:jc w:val="left"/>
              <w:rPr>
                <w:b/>
                <w:sz w:val="20"/>
                <w:szCs w:val="20"/>
              </w:rPr>
            </w:pPr>
            <w:r w:rsidRPr="00666914">
              <w:rPr>
                <w:b/>
                <w:sz w:val="20"/>
                <w:szCs w:val="20"/>
              </w:rPr>
              <w:t>Rozvoj rizikovej analýzy a implementácia antifraudového systému v agendových IS PPA</w:t>
            </w:r>
            <w:r w:rsidRPr="00666914">
              <w:rPr>
                <w:b/>
                <w:sz w:val="20"/>
                <w:szCs w:val="20"/>
                <w:vertAlign w:val="superscript"/>
              </w:rPr>
              <w:footnoteReference w:id="463"/>
            </w:r>
          </w:p>
        </w:tc>
        <w:tc>
          <w:tcPr>
            <w:tcW w:w="1495" w:type="dxa"/>
            <w:tcBorders>
              <w:left w:val="single" w:sz="4" w:space="0" w:color="000000"/>
            </w:tcBorders>
            <w:vAlign w:val="center"/>
          </w:tcPr>
          <w:p w14:paraId="1020A94E" w14:textId="77777777" w:rsidR="00AA6557" w:rsidRPr="00666914" w:rsidRDefault="00AA6557">
            <w:pPr>
              <w:jc w:val="center"/>
              <w:rPr>
                <w:sz w:val="20"/>
                <w:szCs w:val="20"/>
              </w:rPr>
            </w:pPr>
            <w:r w:rsidRPr="00666914">
              <w:rPr>
                <w:sz w:val="20"/>
                <w:szCs w:val="20"/>
              </w:rPr>
              <w:t>0,99</w:t>
            </w:r>
          </w:p>
        </w:tc>
        <w:tc>
          <w:tcPr>
            <w:tcW w:w="2928" w:type="dxa"/>
          </w:tcPr>
          <w:p w14:paraId="500BD16E" w14:textId="77777777" w:rsidR="00AA6557" w:rsidRPr="00666914" w:rsidRDefault="00AA6557">
            <w:pPr>
              <w:rPr>
                <w:sz w:val="20"/>
                <w:szCs w:val="20"/>
              </w:rPr>
            </w:pPr>
            <w:r w:rsidRPr="00666914">
              <w:rPr>
                <w:sz w:val="20"/>
                <w:szCs w:val="20"/>
              </w:rPr>
              <w:t>Zlepšenie bezpečnosti a zníženie rizika podvodov pri subjektoch žiadajúcich o finančné prostriedky od PPA</w:t>
            </w:r>
            <w:r w:rsidRPr="00666914">
              <w:rPr>
                <w:sz w:val="20"/>
                <w:szCs w:val="20"/>
                <w:vertAlign w:val="superscript"/>
              </w:rPr>
              <w:footnoteReference w:id="464"/>
            </w:r>
          </w:p>
        </w:tc>
        <w:tc>
          <w:tcPr>
            <w:tcW w:w="1252" w:type="dxa"/>
            <w:vAlign w:val="center"/>
          </w:tcPr>
          <w:p w14:paraId="706E365C" w14:textId="77777777" w:rsidR="00AA6557" w:rsidRPr="00666914" w:rsidRDefault="00AA6557">
            <w:pPr>
              <w:jc w:val="center"/>
              <w:rPr>
                <w:sz w:val="20"/>
                <w:szCs w:val="20"/>
              </w:rPr>
            </w:pPr>
            <w:r w:rsidRPr="00666914">
              <w:rPr>
                <w:sz w:val="20"/>
                <w:szCs w:val="20"/>
              </w:rPr>
              <w:t>Schválený</w:t>
            </w:r>
          </w:p>
        </w:tc>
        <w:tc>
          <w:tcPr>
            <w:tcW w:w="1155" w:type="dxa"/>
            <w:vAlign w:val="center"/>
          </w:tcPr>
          <w:p w14:paraId="4F28599D" w14:textId="77777777" w:rsidR="00AA6557" w:rsidRPr="00666914" w:rsidRDefault="00AA6557">
            <w:pPr>
              <w:jc w:val="center"/>
              <w:rPr>
                <w:sz w:val="20"/>
                <w:szCs w:val="20"/>
              </w:rPr>
            </w:pPr>
            <w:r w:rsidRPr="00666914">
              <w:rPr>
                <w:sz w:val="20"/>
                <w:szCs w:val="20"/>
              </w:rPr>
              <w:t>1Q2020</w:t>
            </w:r>
          </w:p>
        </w:tc>
      </w:tr>
      <w:tr w:rsidR="00AA6557" w:rsidRPr="00666914" w14:paraId="56F05D9E" w14:textId="77777777">
        <w:tc>
          <w:tcPr>
            <w:tcW w:w="353" w:type="dxa"/>
            <w:tcBorders>
              <w:bottom w:val="single" w:sz="4" w:space="0" w:color="000000"/>
            </w:tcBorders>
          </w:tcPr>
          <w:p w14:paraId="33FFAFF2" w14:textId="77777777" w:rsidR="00AA6557" w:rsidRPr="00666914" w:rsidRDefault="00AA6557">
            <w:pPr>
              <w:jc w:val="center"/>
              <w:rPr>
                <w:b/>
                <w:sz w:val="20"/>
                <w:szCs w:val="20"/>
              </w:rPr>
            </w:pPr>
            <w:r w:rsidRPr="00666914">
              <w:rPr>
                <w:b/>
                <w:sz w:val="20"/>
                <w:szCs w:val="20"/>
              </w:rPr>
              <w:t>4.</w:t>
            </w:r>
          </w:p>
        </w:tc>
        <w:tc>
          <w:tcPr>
            <w:tcW w:w="2173" w:type="dxa"/>
            <w:tcBorders>
              <w:bottom w:val="single" w:sz="4" w:space="0" w:color="000000"/>
              <w:right w:val="single" w:sz="4" w:space="0" w:color="000000"/>
            </w:tcBorders>
            <w:vAlign w:val="center"/>
          </w:tcPr>
          <w:p w14:paraId="730DABCE" w14:textId="77777777" w:rsidR="00AA6557" w:rsidRPr="00666914" w:rsidRDefault="00AA6557">
            <w:pPr>
              <w:jc w:val="left"/>
              <w:rPr>
                <w:b/>
                <w:sz w:val="20"/>
                <w:szCs w:val="20"/>
              </w:rPr>
            </w:pPr>
            <w:r w:rsidRPr="00666914">
              <w:rPr>
                <w:b/>
                <w:sz w:val="20"/>
                <w:szCs w:val="20"/>
              </w:rPr>
              <w:t>Zvýšenie úrovne informačnej a kybernetickej bezpečnosti v prostredí PPA</w:t>
            </w:r>
            <w:r w:rsidRPr="00666914">
              <w:rPr>
                <w:b/>
                <w:sz w:val="20"/>
                <w:szCs w:val="20"/>
                <w:vertAlign w:val="superscript"/>
              </w:rPr>
              <w:footnoteReference w:id="465"/>
            </w:r>
          </w:p>
        </w:tc>
        <w:tc>
          <w:tcPr>
            <w:tcW w:w="1495" w:type="dxa"/>
            <w:tcBorders>
              <w:left w:val="single" w:sz="4" w:space="0" w:color="000000"/>
              <w:bottom w:val="single" w:sz="4" w:space="0" w:color="000000"/>
            </w:tcBorders>
            <w:vAlign w:val="center"/>
          </w:tcPr>
          <w:p w14:paraId="6E84F651" w14:textId="77777777" w:rsidR="00AA6557" w:rsidRPr="00666914" w:rsidRDefault="00AA6557">
            <w:pPr>
              <w:jc w:val="center"/>
              <w:rPr>
                <w:sz w:val="20"/>
                <w:szCs w:val="20"/>
              </w:rPr>
            </w:pPr>
            <w:r w:rsidRPr="00666914">
              <w:rPr>
                <w:sz w:val="20"/>
                <w:szCs w:val="20"/>
              </w:rPr>
              <w:t>3,60</w:t>
            </w:r>
          </w:p>
        </w:tc>
        <w:tc>
          <w:tcPr>
            <w:tcW w:w="2928" w:type="dxa"/>
            <w:tcBorders>
              <w:bottom w:val="single" w:sz="4" w:space="0" w:color="000000"/>
            </w:tcBorders>
            <w:vAlign w:val="center"/>
          </w:tcPr>
          <w:p w14:paraId="7DEA849F" w14:textId="77777777" w:rsidR="00AA6557" w:rsidRPr="00666914" w:rsidRDefault="00AA6557">
            <w:pPr>
              <w:rPr>
                <w:sz w:val="20"/>
                <w:szCs w:val="20"/>
              </w:rPr>
            </w:pPr>
            <w:r w:rsidRPr="00666914">
              <w:rPr>
                <w:sz w:val="20"/>
                <w:szCs w:val="20"/>
              </w:rPr>
              <w:t>Zvýšenie ochrany pred útokmi z externého prostredia, zvýšenie schopnosti detekcie škodlivých aktivít, ochrana dát a budovanie bezpečnostného povedomia</w:t>
            </w:r>
            <w:r w:rsidRPr="00666914">
              <w:rPr>
                <w:sz w:val="20"/>
                <w:szCs w:val="20"/>
                <w:vertAlign w:val="superscript"/>
              </w:rPr>
              <w:footnoteReference w:id="466"/>
            </w:r>
          </w:p>
        </w:tc>
        <w:tc>
          <w:tcPr>
            <w:tcW w:w="1252" w:type="dxa"/>
            <w:tcBorders>
              <w:bottom w:val="single" w:sz="4" w:space="0" w:color="000000"/>
            </w:tcBorders>
            <w:vAlign w:val="center"/>
          </w:tcPr>
          <w:p w14:paraId="28EECA10" w14:textId="77777777" w:rsidR="00AA6557" w:rsidRPr="00666914" w:rsidRDefault="00AA6557">
            <w:pPr>
              <w:jc w:val="center"/>
              <w:rPr>
                <w:sz w:val="20"/>
                <w:szCs w:val="20"/>
              </w:rPr>
            </w:pPr>
            <w:r w:rsidRPr="00666914">
              <w:rPr>
                <w:sz w:val="20"/>
                <w:szCs w:val="20"/>
              </w:rPr>
              <w:t>Hodnotený</w:t>
            </w:r>
            <w:r w:rsidRPr="00666914">
              <w:rPr>
                <w:sz w:val="20"/>
                <w:szCs w:val="20"/>
                <w:vertAlign w:val="superscript"/>
              </w:rPr>
              <w:footnoteReference w:id="467"/>
            </w:r>
          </w:p>
        </w:tc>
        <w:tc>
          <w:tcPr>
            <w:tcW w:w="1155" w:type="dxa"/>
            <w:tcBorders>
              <w:bottom w:val="single" w:sz="4" w:space="0" w:color="000000"/>
            </w:tcBorders>
            <w:vAlign w:val="center"/>
          </w:tcPr>
          <w:p w14:paraId="6BCA9CDB" w14:textId="77777777" w:rsidR="00AA6557" w:rsidRPr="00666914" w:rsidRDefault="00AA6557">
            <w:pPr>
              <w:jc w:val="center"/>
              <w:rPr>
                <w:sz w:val="20"/>
                <w:szCs w:val="20"/>
              </w:rPr>
            </w:pPr>
            <w:r w:rsidRPr="00666914">
              <w:rPr>
                <w:sz w:val="20"/>
                <w:szCs w:val="20"/>
              </w:rPr>
              <w:t>-</w:t>
            </w:r>
          </w:p>
        </w:tc>
      </w:tr>
      <w:tr w:rsidR="00AA6557" w:rsidRPr="00666914" w14:paraId="7D038E9F" w14:textId="77777777">
        <w:trPr>
          <w:trHeight w:val="159"/>
        </w:trPr>
        <w:tc>
          <w:tcPr>
            <w:tcW w:w="9356" w:type="dxa"/>
            <w:gridSpan w:val="6"/>
            <w:tcBorders>
              <w:top w:val="single" w:sz="4" w:space="0" w:color="000000"/>
            </w:tcBorders>
          </w:tcPr>
          <w:p w14:paraId="5E444B24" w14:textId="77777777" w:rsidR="00AA6557" w:rsidRPr="00666914" w:rsidRDefault="00AA6557">
            <w:pPr>
              <w:jc w:val="right"/>
              <w:rPr>
                <w:i/>
                <w:sz w:val="20"/>
                <w:szCs w:val="20"/>
              </w:rPr>
            </w:pPr>
            <w:r w:rsidRPr="00666914">
              <w:rPr>
                <w:i/>
                <w:sz w:val="20"/>
                <w:szCs w:val="20"/>
              </w:rPr>
              <w:t>Zdroj: PPA, spracovanie IJ</w:t>
            </w:r>
          </w:p>
        </w:tc>
      </w:tr>
    </w:tbl>
    <w:p w14:paraId="0C837535" w14:textId="77777777" w:rsidR="00AA6557" w:rsidRPr="00666914" w:rsidRDefault="00AA6557">
      <w:pPr>
        <w:spacing w:after="0"/>
      </w:pPr>
    </w:p>
    <w:p w14:paraId="2A342714" w14:textId="77777777" w:rsidR="00AA6557" w:rsidRPr="00666914" w:rsidRDefault="00AA6557" w:rsidP="00287DFE">
      <w:r w:rsidRPr="00666914">
        <w:rPr>
          <w:b/>
        </w:rPr>
        <w:t>Celkové indikatívne výdavky na schválené 3 ŠU sú vo výške 7,03 mil. eur, tvoria len približne jednu desatinu z celkového predbežného nákladu na digitalizáciu PPA</w:t>
      </w:r>
      <w:r w:rsidRPr="00666914">
        <w:rPr>
          <w:vertAlign w:val="superscript"/>
        </w:rPr>
        <w:footnoteReference w:id="468"/>
      </w:r>
      <w:r w:rsidRPr="00666914">
        <w:rPr>
          <w:b/>
        </w:rPr>
        <w:t>.</w:t>
      </w:r>
      <w:r w:rsidRPr="00666914">
        <w:t xml:space="preserve"> </w:t>
      </w:r>
      <w:r w:rsidRPr="00666914">
        <w:rPr>
          <w:b/>
        </w:rPr>
        <w:t xml:space="preserve">Ďalší plán predkladania projektov je však potrebné pripraviť už v súlade s jasným záväzným plánom vrátane kvantifikácie prínosov na nasledujúce 3 roky. Opatrenie sa k 31.12.2019 neplní. </w:t>
      </w:r>
    </w:p>
    <w:p w14:paraId="0719ADBC" w14:textId="48C2F5D2" w:rsidR="00AA6557" w:rsidRPr="00666914" w:rsidRDefault="00AA6557" w:rsidP="004F0262">
      <w:r w:rsidRPr="00666914">
        <w:rPr>
          <w:b/>
        </w:rPr>
        <w:t>Odporúčanie IJ</w:t>
      </w:r>
      <w:sdt>
        <w:sdtPr>
          <w:tag w:val="goog_rdk_53"/>
          <w:id w:val="-1547215790"/>
        </w:sdtPr>
        <w:sdtEndPr/>
        <w:sdtContent/>
      </w:sdt>
      <w:sdt>
        <w:sdtPr>
          <w:tag w:val="goog_rdk_54"/>
          <w:id w:val="333194650"/>
        </w:sdtPr>
        <w:sdtEndPr/>
        <w:sdtContent/>
      </w:sdt>
      <w:r w:rsidRPr="00666914">
        <w:rPr>
          <w:b/>
        </w:rPr>
        <w:t xml:space="preserve">: </w:t>
      </w:r>
      <w:r w:rsidRPr="00666914">
        <w:t xml:space="preserve">Vytvoriť a predložiť vláde SR na schválenie viacročný plán zavádzania IS s jasnou </w:t>
      </w:r>
      <w:sdt>
        <w:sdtPr>
          <w:tag w:val="goog_rdk_55"/>
          <w:id w:val="773974059"/>
        </w:sdtPr>
        <w:sdtEndPr/>
        <w:sdtContent/>
      </w:sdt>
      <w:sdt>
        <w:sdtPr>
          <w:tag w:val="goog_rdk_56"/>
          <w:id w:val="634223456"/>
        </w:sdtPr>
        <w:sdtEndPr/>
        <w:sdtContent/>
      </w:sdt>
      <w:r w:rsidRPr="00666914">
        <w:t xml:space="preserve">kvantifikáciou prínosov a nákladov a technického riešenia na zavádzanie IS. V súlade s ním následne predložiť ďalšie ŠU k dopytovým výzvam alebo národným projektom. </w:t>
      </w:r>
    </w:p>
    <w:p w14:paraId="7F2AB3E6" w14:textId="77777777" w:rsidR="00AA6557" w:rsidRPr="00666914" w:rsidRDefault="00AA6557">
      <w:pPr>
        <w:spacing w:after="0"/>
        <w:ind w:firstLine="709"/>
        <w:rPr>
          <w:b/>
        </w:rPr>
      </w:pPr>
      <w:r w:rsidRPr="00666914">
        <w:rPr>
          <w:b/>
          <w:u w:val="single"/>
        </w:rPr>
        <w:t>13.2.2  Optimalizácia výdavkov na služby PPA</w:t>
      </w:r>
    </w:p>
    <w:p w14:paraId="24447E02" w14:textId="77777777" w:rsidR="00AA6557" w:rsidRPr="00666914" w:rsidRDefault="00AA6557">
      <w:pPr>
        <w:spacing w:after="0"/>
        <w:rPr>
          <w:b/>
        </w:rPr>
      </w:pPr>
    </w:p>
    <w:p w14:paraId="72A2EB84" w14:textId="77777777" w:rsidR="00AA6557" w:rsidRPr="00666914" w:rsidRDefault="00AA6557">
      <w:pPr>
        <w:spacing w:after="0"/>
        <w:rPr>
          <w:b/>
          <w:sz w:val="20"/>
          <w:szCs w:val="20"/>
        </w:rPr>
      </w:pPr>
      <w:r w:rsidRPr="00666914">
        <w:t xml:space="preserve">S cieľom optimalizovať výdavky na služby PPA sa revízia výdavkov zamerala na analýzu všeobecných, špeciálnych a IKT služieb, ktoré v sledovaných obdobiach tvorili hlavné zložky výdavkov na služby PPA. Potenciálne úspory boli identifikované v IKT službách, a to predovšetkým na helpdeskoch IS IACS a IS AGIS. Revízia navrhla dosiahnutie </w:t>
      </w:r>
      <w:r w:rsidRPr="00666914">
        <w:lastRenderedPageBreak/>
        <w:t xml:space="preserve">spodnej hranice úspory prostredníctvom platenia len za reálne spotrebovaný čas. </w:t>
      </w:r>
      <w:r w:rsidRPr="00666914">
        <w:rPr>
          <w:b/>
        </w:rPr>
        <w:t xml:space="preserve">Identifikovaná úspora na rok 2019 bola vo výške od 200 do 280 tis. eur.  </w:t>
      </w:r>
    </w:p>
    <w:p w14:paraId="6F320A28" w14:textId="77777777" w:rsidR="00AA6557" w:rsidRPr="00666914" w:rsidRDefault="00AA6557">
      <w:pPr>
        <w:spacing w:after="0"/>
        <w:rPr>
          <w:b/>
          <w:sz w:val="20"/>
          <w:szCs w:val="20"/>
        </w:rPr>
      </w:pPr>
    </w:p>
    <w:p w14:paraId="6DBC8D40" w14:textId="55999C36" w:rsidR="00AA6557" w:rsidRPr="00666914" w:rsidRDefault="00AA6557">
      <w:pPr>
        <w:pBdr>
          <w:bottom w:val="single" w:sz="4" w:space="1" w:color="000000"/>
        </w:pBdr>
        <w:spacing w:after="0"/>
        <w:rPr>
          <w:b/>
        </w:rPr>
      </w:pPr>
      <w:bookmarkStart w:id="418" w:name="_Toc38390067"/>
      <w:r w:rsidRPr="00666914">
        <w:rPr>
          <w:b/>
          <w:sz w:val="20"/>
          <w:szCs w:val="20"/>
        </w:rPr>
        <w:t xml:space="preserve">Graf </w:t>
      </w:r>
      <w:r w:rsidRPr="00666914">
        <w:rPr>
          <w:b/>
          <w:sz w:val="20"/>
          <w:szCs w:val="20"/>
        </w:rPr>
        <w:fldChar w:fldCharType="begin"/>
      </w:r>
      <w:r w:rsidRPr="00666914">
        <w:rPr>
          <w:b/>
          <w:sz w:val="20"/>
          <w:szCs w:val="20"/>
        </w:rPr>
        <w:instrText xml:space="preserve"> SEQ Graf \* ARABIC \* MERGEFORMAT </w:instrText>
      </w:r>
      <w:r w:rsidRPr="00666914">
        <w:rPr>
          <w:b/>
          <w:sz w:val="20"/>
          <w:szCs w:val="20"/>
        </w:rPr>
        <w:fldChar w:fldCharType="separate"/>
      </w:r>
      <w:r w:rsidR="005A7304">
        <w:rPr>
          <w:b/>
          <w:noProof/>
          <w:sz w:val="20"/>
          <w:szCs w:val="20"/>
        </w:rPr>
        <w:t>23</w:t>
      </w:r>
      <w:r w:rsidRPr="00666914">
        <w:rPr>
          <w:b/>
          <w:sz w:val="20"/>
          <w:szCs w:val="20"/>
        </w:rPr>
        <w:fldChar w:fldCharType="end"/>
      </w:r>
      <w:r w:rsidRPr="00666914">
        <w:rPr>
          <w:b/>
          <w:sz w:val="20"/>
          <w:szCs w:val="20"/>
        </w:rPr>
        <w:t>: Výdavky PPA na služby (v mil. eur)</w:t>
      </w:r>
      <w:bookmarkEnd w:id="418"/>
    </w:p>
    <w:p w14:paraId="7583BFAA" w14:textId="77777777" w:rsidR="00AA6557" w:rsidRPr="00666914" w:rsidRDefault="00AA6557">
      <w:pPr>
        <w:spacing w:after="0"/>
        <w:jc w:val="right"/>
        <w:rPr>
          <w:i/>
          <w:sz w:val="18"/>
          <w:szCs w:val="18"/>
        </w:rPr>
      </w:pPr>
      <w:r w:rsidRPr="00666914">
        <w:rPr>
          <w:noProof/>
          <w:u w:val="single"/>
          <w:lang w:eastAsia="sk-SK"/>
        </w:rPr>
        <w:drawing>
          <wp:inline distT="0" distB="0" distL="0" distR="0" wp14:anchorId="5C23C797" wp14:editId="2078B0C0">
            <wp:extent cx="5759450" cy="2946400"/>
            <wp:effectExtent l="0" t="0" r="0" b="635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666914">
        <w:rPr>
          <w:i/>
          <w:sz w:val="18"/>
          <w:szCs w:val="18"/>
        </w:rPr>
        <w:t>Zdroj: RIS, Spracovanie IJ</w:t>
      </w:r>
    </w:p>
    <w:p w14:paraId="5A5CE0DB" w14:textId="77777777" w:rsidR="00AA6557" w:rsidRPr="00666914" w:rsidRDefault="00AA6557">
      <w:pPr>
        <w:spacing w:after="0"/>
        <w:rPr>
          <w:b/>
        </w:rPr>
      </w:pPr>
    </w:p>
    <w:p w14:paraId="382B1464" w14:textId="77777777" w:rsidR="00AA6557" w:rsidRPr="00666914" w:rsidRDefault="00AA6557" w:rsidP="00287DFE">
      <w:pPr>
        <w:rPr>
          <w:b/>
        </w:rPr>
      </w:pPr>
      <w:r w:rsidRPr="00666914">
        <w:rPr>
          <w:b/>
        </w:rPr>
        <w:t>Medziročný narastajúci trend vo výdavkoch PPA na služby súvisí pravdepodobne aj s postupne vyvíjajúcou sa legislatívou EÚ</w:t>
      </w:r>
      <w:r w:rsidRPr="00666914">
        <w:t>, ktorá vyžaduje aktualizácie IS a prepájanie databáz na národnej, ale aj medzinárodnej úrovni</w:t>
      </w:r>
      <w:r w:rsidRPr="00666914">
        <w:rPr>
          <w:vertAlign w:val="superscript"/>
        </w:rPr>
        <w:footnoteReference w:id="469"/>
      </w:r>
      <w:r w:rsidRPr="00666914">
        <w:t xml:space="preserve">. IS v správe PPA je nutné do budúcnosti rozvíjať s ohľadom na plnenie nariadení EÚ, cieľom by však malo byť efektívne vynakladanie verejných zdrojov v zmysle napĺňania hodnoty za peniaze. </w:t>
      </w:r>
    </w:p>
    <w:p w14:paraId="67BA0A35" w14:textId="6705126C" w:rsidR="00AA6557" w:rsidRPr="00666914" w:rsidRDefault="00AA6557" w:rsidP="00287DFE">
      <w:pPr>
        <w:rPr>
          <w:b/>
        </w:rPr>
      </w:pPr>
      <w:r w:rsidRPr="00666914">
        <w:rPr>
          <w:b/>
        </w:rPr>
        <w:t xml:space="preserve">Výdavky na služby PPA boli v roku 2019 </w:t>
      </w:r>
      <w:r w:rsidR="00696C5D" w:rsidRPr="00666914">
        <w:rPr>
          <w:b/>
        </w:rPr>
        <w:t xml:space="preserve">oproti roku 2016 </w:t>
      </w:r>
      <w:r w:rsidRPr="00666914">
        <w:rPr>
          <w:b/>
        </w:rPr>
        <w:t xml:space="preserve">trikrát vyššie. V roku 2019 </w:t>
      </w:r>
      <w:sdt>
        <w:sdtPr>
          <w:tag w:val="goog_rdk_57"/>
          <w:id w:val="-558401090"/>
        </w:sdtPr>
        <w:sdtEndPr/>
        <w:sdtContent/>
      </w:sdt>
      <w:sdt>
        <w:sdtPr>
          <w:tag w:val="goog_rdk_58"/>
          <w:id w:val="-1124065135"/>
        </w:sdtPr>
        <w:sdtEndPr/>
        <w:sdtContent/>
      </w:sdt>
      <w:r w:rsidRPr="00666914">
        <w:rPr>
          <w:b/>
        </w:rPr>
        <w:t xml:space="preserve">stúpli oproti predchádzajúcemu roku o 18,4 % (1,4 mil. eur). Potenciálna identifikovaná úspora vo výške od 200 do 280 tis. na IS IACS a AGIS nebola realizovaná. </w:t>
      </w:r>
      <w:r w:rsidRPr="00666914">
        <w:t xml:space="preserve">V roku 2019 sa najviac zvýšili výdavky na ostatné služby a na špeciálne služby, zníženie výdavkov sa podarilo na IKT službách. Zníženie výdavkov na služby IKT zapríčinilo zníženie objemu mimo paušálnych výdavkov na IS AGIS, </w:t>
      </w:r>
      <w:sdt>
        <w:sdtPr>
          <w:tag w:val="goog_rdk_59"/>
          <w:id w:val="1277990726"/>
        </w:sdtPr>
        <w:sdtEndPr/>
        <w:sdtContent/>
      </w:sdt>
      <w:sdt>
        <w:sdtPr>
          <w:tag w:val="goog_rdk_60"/>
          <w:id w:val="-1137648121"/>
        </w:sdtPr>
        <w:sdtEndPr/>
        <w:sdtContent/>
      </w:sdt>
      <w:r w:rsidRPr="00666914">
        <w:t>približne vo výške 777 tis. eur. Naopak pri druhom IS IACS,  sa medziročne zvýšili mimo paušálne výdavky o približne 140 tis. eur. Čo sa týka paušálnych výdavkov uvedených helpdeskov IS, podarilo sa ušetriť len do 1 tis. eur. IJ identifikovala v porovnaní hodinových sadzieb naprieč IS v štátnom IT</w:t>
      </w:r>
      <w:r w:rsidRPr="00666914">
        <w:rPr>
          <w:vertAlign w:val="superscript"/>
        </w:rPr>
        <w:footnoteReference w:id="470"/>
      </w:r>
      <w:r w:rsidRPr="00666914">
        <w:t xml:space="preserve"> s IS AGIS a IS IACS hodnoty pod slovenským priemerom. Zmluvy s dodávateľmi IS IACS a AGIS končia k 31.12.2020 a je otázne, či by dodatky k zmluvám tesne pred </w:t>
      </w:r>
      <w:sdt>
        <w:sdtPr>
          <w:tag w:val="goog_rdk_61"/>
          <w:id w:val="-1907066013"/>
        </w:sdtPr>
        <w:sdtEndPr/>
        <w:sdtContent/>
      </w:sdt>
      <w:sdt>
        <w:sdtPr>
          <w:tag w:val="goog_rdk_62"/>
          <w:id w:val="-420645160"/>
        </w:sdtPr>
        <w:sdtEndPr/>
        <w:sdtContent/>
      </w:sdt>
      <w:r w:rsidRPr="00666914">
        <w:t xml:space="preserve">koncom dokázali vygenerovať identifikovanú úsporu. Napriek zníženiu výdavkov na IKT služby v roku 2019 o približne 0,7 mil. eur, úspora paušálnych výdavkov na revíziou identifikovaných helpdeskoch nebola zrealizovaná. </w:t>
      </w:r>
      <w:r w:rsidRPr="00666914">
        <w:rPr>
          <w:b/>
        </w:rPr>
        <w:t>Opatrenie sa preto k 31.12.2019 plní čiastočne.</w:t>
      </w:r>
    </w:p>
    <w:p w14:paraId="48C3BCED" w14:textId="197911E1" w:rsidR="00AA6557" w:rsidRPr="00666914" w:rsidRDefault="00AA6557" w:rsidP="004F0262">
      <w:pPr>
        <w:rPr>
          <w:b/>
          <w:color w:val="000000"/>
          <w:u w:val="single"/>
        </w:rPr>
      </w:pPr>
      <w:r w:rsidRPr="00666914">
        <w:rPr>
          <w:b/>
        </w:rPr>
        <w:t xml:space="preserve">Odporúčanie IJ: </w:t>
      </w:r>
      <w:sdt>
        <w:sdtPr>
          <w:tag w:val="goog_rdk_63"/>
          <w:id w:val="-2069022775"/>
        </w:sdtPr>
        <w:sdtEndPr/>
        <w:sdtContent/>
      </w:sdt>
      <w:sdt>
        <w:sdtPr>
          <w:tag w:val="goog_rdk_64"/>
          <w:id w:val="1933618785"/>
        </w:sdtPr>
        <w:sdtEndPr/>
        <w:sdtContent/>
      </w:sdt>
      <w:r w:rsidRPr="00666914">
        <w:t>Do 12/2020</w:t>
      </w:r>
      <w:r w:rsidRPr="00666914">
        <w:rPr>
          <w:b/>
        </w:rPr>
        <w:t xml:space="preserve"> </w:t>
      </w:r>
      <w:r w:rsidRPr="00666914">
        <w:t>realizovať štrukturálnu úsporu na službách v oblasti IKT prostredníctvom znižovania mimo paušálnych výdavkov na IS AGIS a IS IACS. Pri uzatváraní nových zmlúv k IS IACS a IS AGIS nastaviť platbu za helpdesky IS AGIS a IS IACS len za reálne využitý čas, pričom musí PPA dbať na výhodnosť nových zmlúv oproti predchádzajúcim zmluvám s dodávateľmi IS AGIS a IS IACS.</w:t>
      </w:r>
    </w:p>
    <w:p w14:paraId="18339B41" w14:textId="77777777" w:rsidR="00AA6557" w:rsidRPr="00666914" w:rsidRDefault="00AA6557">
      <w:pPr>
        <w:pBdr>
          <w:top w:val="nil"/>
          <w:left w:val="nil"/>
          <w:bottom w:val="nil"/>
          <w:right w:val="nil"/>
          <w:between w:val="nil"/>
        </w:pBdr>
        <w:spacing w:after="0"/>
        <w:ind w:firstLine="709"/>
        <w:rPr>
          <w:b/>
          <w:color w:val="000000"/>
          <w:u w:val="single"/>
        </w:rPr>
      </w:pPr>
      <w:r w:rsidRPr="00666914">
        <w:rPr>
          <w:b/>
          <w:color w:val="000000"/>
          <w:u w:val="single"/>
        </w:rPr>
        <w:t xml:space="preserve">13.3.1  Analýza spojenia ŠVPS s ÚRZ </w:t>
      </w:r>
    </w:p>
    <w:p w14:paraId="0ED7C736" w14:textId="77777777" w:rsidR="00AA6557" w:rsidRPr="00666914" w:rsidRDefault="00AA6557">
      <w:pPr>
        <w:spacing w:after="0"/>
        <w:rPr>
          <w:b/>
          <w:u w:val="single"/>
        </w:rPr>
      </w:pPr>
    </w:p>
    <w:p w14:paraId="070217BF" w14:textId="77777777" w:rsidR="00AA6557" w:rsidRPr="00666914" w:rsidRDefault="00AA6557" w:rsidP="00287DFE">
      <w:pPr>
        <w:rPr>
          <w:b/>
        </w:rPr>
      </w:pPr>
      <w:r w:rsidRPr="00666914">
        <w:t xml:space="preserve">Revízia v podopatrení stanovila vypracovanie analýzy spojenia ŠVPS s ÚRZ, ktorá bude zahŕňať </w:t>
      </w:r>
      <w:sdt>
        <w:sdtPr>
          <w:tag w:val="goog_rdk_65"/>
          <w:id w:val="1929005202"/>
        </w:sdtPr>
        <w:sdtEndPr/>
        <w:sdtContent/>
      </w:sdt>
      <w:sdt>
        <w:sdtPr>
          <w:tag w:val="goog_rdk_66"/>
          <w:id w:val="1773051467"/>
        </w:sdtPr>
        <w:sdtEndPr/>
        <w:sdtContent/>
      </w:sdt>
      <w:r w:rsidRPr="00666914">
        <w:t xml:space="preserve">audit procesov týchto dvoch organizácií. Tieto organizácie spolupracujú pri kontrole potravinového reťazca z farmy na stôl a ich  </w:t>
      </w:r>
      <w:r w:rsidRPr="00666914">
        <w:lastRenderedPageBreak/>
        <w:t>činnosti pri vykonávaní kontrol sú kompatibilné. Cieľom analýzy by malo byť posúdenie, či by prípadné spojenie organizácií prinieslo zefektívnenie procesu vedenia kontrol potravín alebo zlepšilo fungovanie procesov v kompetencii druhého rezortu. Vypracovaním analýzy spojenia je možné posúdiť možnosti implementácie výsledkov, a teda vyhodnotiť alternatívy spájania od prenosu čiastkových kompetencií až po úplne zlúčenie. Ďalším z analyzovaných efektov by bola predpokladaná úspora až do výšky 30 % nákladov</w:t>
      </w:r>
      <w:r w:rsidRPr="00666914">
        <w:rPr>
          <w:vertAlign w:val="superscript"/>
        </w:rPr>
        <w:footnoteReference w:id="471"/>
      </w:r>
      <w:r w:rsidRPr="00666914">
        <w:t xml:space="preserve">  na podporné a prierezové činnosti. </w:t>
      </w:r>
    </w:p>
    <w:p w14:paraId="7655A58B" w14:textId="77777777" w:rsidR="00AA6557" w:rsidRPr="00666914" w:rsidRDefault="00AA6557" w:rsidP="00287DFE">
      <w:r w:rsidRPr="00666914">
        <w:rPr>
          <w:b/>
        </w:rPr>
        <w:t>Analýza spojenia ŠVPS a ÚRZ vypracovaná nebola, opatrenie sa k 31.12.2019 neplní.</w:t>
      </w:r>
      <w:r w:rsidRPr="00666914">
        <w:t xml:space="preserve"> Podľa stanoviska ústredného riaditeľa ŠVPS k uvedenému podopatreniu neprebehlo doposiaľ žiadne rokovanie. </w:t>
      </w:r>
    </w:p>
    <w:p w14:paraId="38D14E9B" w14:textId="42E2E54A" w:rsidR="00AA6557" w:rsidRPr="00666914" w:rsidRDefault="00AA6557" w:rsidP="004F0262">
      <w:pPr>
        <w:pBdr>
          <w:top w:val="nil"/>
          <w:left w:val="nil"/>
          <w:bottom w:val="nil"/>
          <w:right w:val="nil"/>
          <w:between w:val="nil"/>
        </w:pBdr>
        <w:rPr>
          <w:color w:val="000000"/>
        </w:rPr>
      </w:pPr>
      <w:r w:rsidRPr="00666914">
        <w:rPr>
          <w:color w:val="000000"/>
        </w:rPr>
        <w:t xml:space="preserve">Výdavky oboch organizácií sa v čase zvyšujú. Najväčšími položkami sú výdavky na ľudské zdroje a výdavky na nákup tovarov a služieb. Výdavky ÚRZ rastú rýchlejšie ako výdavky ŠVPS. ÚRZ vynaložil najvyššie výdavky na ľudské zdroje, za rok 2019 približne 32,3 mil. eur. Výdavky na tovary a služby ÚRZ sa vyšplhali na úroveň približne 7,2 mil. eur. </w:t>
      </w:r>
    </w:p>
    <w:p w14:paraId="50C16248" w14:textId="273E466D" w:rsidR="00AA6557" w:rsidRPr="00666914" w:rsidRDefault="00AA6557">
      <w:pPr>
        <w:pBdr>
          <w:top w:val="nil"/>
          <w:left w:val="nil"/>
          <w:bottom w:val="single" w:sz="4" w:space="1" w:color="000000"/>
          <w:right w:val="nil"/>
          <w:between w:val="nil"/>
        </w:pBdr>
        <w:jc w:val="left"/>
        <w:rPr>
          <w:b/>
          <w:color w:val="000000"/>
          <w:sz w:val="20"/>
          <w:szCs w:val="20"/>
        </w:rPr>
      </w:pPr>
      <w:bookmarkStart w:id="419" w:name="_Toc38390068"/>
      <w:r w:rsidRPr="00666914">
        <w:rPr>
          <w:noProof/>
          <w:lang w:eastAsia="sk-SK"/>
        </w:rPr>
        <w:drawing>
          <wp:anchor distT="0" distB="0" distL="114300" distR="114300" simplePos="0" relativeHeight="251670528" behindDoc="0" locked="0" layoutInCell="1" hidden="0" allowOverlap="1" wp14:anchorId="7745A288" wp14:editId="512168B3">
            <wp:simplePos x="0" y="0"/>
            <wp:positionH relativeFrom="column">
              <wp:posOffset>-105410</wp:posOffset>
            </wp:positionH>
            <wp:positionV relativeFrom="paragraph">
              <wp:posOffset>274955</wp:posOffset>
            </wp:positionV>
            <wp:extent cx="6069965" cy="2665730"/>
            <wp:effectExtent l="0" t="0" r="6985" b="1270"/>
            <wp:wrapSquare wrapText="bothSides" distT="0" distB="0" distL="114300" distR="114300"/>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r w:rsidRPr="00666914">
        <w:rPr>
          <w:b/>
          <w:color w:val="000000"/>
          <w:sz w:val="20"/>
          <w:szCs w:val="20"/>
        </w:rPr>
        <w:t xml:space="preserve">Graf </w:t>
      </w:r>
      <w:r w:rsidRPr="00666914">
        <w:rPr>
          <w:b/>
          <w:color w:val="000000"/>
          <w:sz w:val="20"/>
          <w:szCs w:val="20"/>
        </w:rPr>
        <w:fldChar w:fldCharType="begin"/>
      </w:r>
      <w:r w:rsidRPr="00666914">
        <w:rPr>
          <w:b/>
          <w:color w:val="000000"/>
          <w:sz w:val="20"/>
          <w:szCs w:val="20"/>
        </w:rPr>
        <w:instrText xml:space="preserve"> SEQ Graf \* ARABIC \* MERGEFORMAT </w:instrText>
      </w:r>
      <w:r w:rsidRPr="00666914">
        <w:rPr>
          <w:b/>
          <w:color w:val="000000"/>
          <w:sz w:val="20"/>
          <w:szCs w:val="20"/>
        </w:rPr>
        <w:fldChar w:fldCharType="separate"/>
      </w:r>
      <w:r w:rsidR="005A7304">
        <w:rPr>
          <w:b/>
          <w:noProof/>
          <w:color w:val="000000"/>
          <w:sz w:val="20"/>
          <w:szCs w:val="20"/>
        </w:rPr>
        <w:t>24</w:t>
      </w:r>
      <w:r w:rsidRPr="00666914">
        <w:rPr>
          <w:b/>
          <w:color w:val="000000"/>
          <w:sz w:val="20"/>
          <w:szCs w:val="20"/>
        </w:rPr>
        <w:fldChar w:fldCharType="end"/>
      </w:r>
      <w:r w:rsidRPr="00666914">
        <w:rPr>
          <w:b/>
          <w:color w:val="000000"/>
          <w:sz w:val="20"/>
          <w:szCs w:val="20"/>
        </w:rPr>
        <w:t>:</w:t>
      </w:r>
      <w:sdt>
        <w:sdtPr>
          <w:tag w:val="goog_rdk_67"/>
          <w:id w:val="-2024164371"/>
        </w:sdtPr>
        <w:sdtEndPr/>
        <w:sdtContent/>
      </w:sdt>
      <w:r w:rsidRPr="00666914">
        <w:rPr>
          <w:b/>
          <w:color w:val="000000"/>
          <w:sz w:val="20"/>
          <w:szCs w:val="20"/>
        </w:rPr>
        <w:t xml:space="preserve"> Výdavky ŠVPS a ÚRZ (v mil. eur)</w:t>
      </w:r>
      <w:r w:rsidRPr="00666914">
        <w:rPr>
          <w:noProof/>
          <w:lang w:eastAsia="sk-SK"/>
        </w:rPr>
        <w:drawing>
          <wp:anchor distT="0" distB="0" distL="114300" distR="114300" simplePos="0" relativeHeight="251667456" behindDoc="0" locked="0" layoutInCell="1" hidden="0" allowOverlap="1" wp14:anchorId="53392C26" wp14:editId="09BA88A7">
            <wp:simplePos x="0" y="0"/>
            <wp:positionH relativeFrom="column">
              <wp:posOffset>-97789</wp:posOffset>
            </wp:positionH>
            <wp:positionV relativeFrom="paragraph">
              <wp:posOffset>307975</wp:posOffset>
            </wp:positionV>
            <wp:extent cx="6115050" cy="2472690"/>
            <wp:effectExtent l="0" t="0" r="0" b="3810"/>
            <wp:wrapSquare wrapText="bothSides" distT="0" distB="0" distL="114300" distR="11430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r w:rsidRPr="00666914">
        <w:rPr>
          <w:noProof/>
          <w:lang w:eastAsia="sk-SK"/>
        </w:rPr>
        <w:drawing>
          <wp:anchor distT="0" distB="0" distL="114300" distR="114300" simplePos="0" relativeHeight="251668480" behindDoc="0" locked="0" layoutInCell="1" hidden="0" allowOverlap="1" wp14:anchorId="16059289" wp14:editId="5419182D">
            <wp:simplePos x="0" y="0"/>
            <wp:positionH relativeFrom="column">
              <wp:posOffset>-97789</wp:posOffset>
            </wp:positionH>
            <wp:positionV relativeFrom="paragraph">
              <wp:posOffset>307975</wp:posOffset>
            </wp:positionV>
            <wp:extent cx="6115050" cy="2472690"/>
            <wp:effectExtent l="0" t="0" r="0" b="3810"/>
            <wp:wrapSquare wrapText="bothSides" distT="0" distB="0" distL="114300" distR="11430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r w:rsidRPr="00666914">
        <w:rPr>
          <w:noProof/>
          <w:lang w:eastAsia="sk-SK"/>
        </w:rPr>
        <w:drawing>
          <wp:anchor distT="0" distB="0" distL="114300" distR="114300" simplePos="0" relativeHeight="251669504" behindDoc="0" locked="0" layoutInCell="1" hidden="0" allowOverlap="1" wp14:anchorId="3A2E3265" wp14:editId="61C16850">
            <wp:simplePos x="0" y="0"/>
            <wp:positionH relativeFrom="column">
              <wp:posOffset>-97789</wp:posOffset>
            </wp:positionH>
            <wp:positionV relativeFrom="paragraph">
              <wp:posOffset>307975</wp:posOffset>
            </wp:positionV>
            <wp:extent cx="6115050" cy="2472690"/>
            <wp:effectExtent l="0" t="0" r="0" b="3810"/>
            <wp:wrapSquare wrapText="bothSides" distT="0" distB="0" distL="114300" distR="114300"/>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bookmarkEnd w:id="419"/>
    </w:p>
    <w:p w14:paraId="25E4330F" w14:textId="77777777" w:rsidR="00AA6557" w:rsidRPr="00666914" w:rsidRDefault="00AA6557">
      <w:pPr>
        <w:spacing w:after="0"/>
      </w:pPr>
      <w:r w:rsidRPr="00666914">
        <w:tab/>
      </w:r>
      <w:r w:rsidRPr="00666914">
        <w:tab/>
      </w:r>
      <w:r w:rsidRPr="00666914">
        <w:tab/>
      </w:r>
      <w:r w:rsidRPr="00666914">
        <w:tab/>
      </w:r>
      <w:r w:rsidRPr="00666914">
        <w:tab/>
      </w:r>
      <w:r w:rsidRPr="00666914">
        <w:tab/>
      </w:r>
      <w:r w:rsidRPr="00666914">
        <w:tab/>
      </w:r>
      <w:r w:rsidRPr="00666914">
        <w:tab/>
      </w:r>
      <w:r w:rsidRPr="00666914">
        <w:tab/>
      </w:r>
      <w:r w:rsidRPr="00666914">
        <w:tab/>
      </w:r>
    </w:p>
    <w:p w14:paraId="3E878431" w14:textId="77777777" w:rsidR="00AA6557" w:rsidRPr="00666914" w:rsidRDefault="00AA6557">
      <w:pPr>
        <w:pBdr>
          <w:top w:val="single" w:sz="4" w:space="1" w:color="000000"/>
        </w:pBdr>
        <w:spacing w:after="0"/>
        <w:jc w:val="right"/>
        <w:rPr>
          <w:sz w:val="18"/>
          <w:szCs w:val="18"/>
        </w:rPr>
      </w:pPr>
      <w:r w:rsidRPr="00666914">
        <w:rPr>
          <w:i/>
        </w:rPr>
        <w:t xml:space="preserve"> </w:t>
      </w:r>
      <w:r w:rsidRPr="00666914">
        <w:rPr>
          <w:i/>
          <w:sz w:val="18"/>
          <w:szCs w:val="18"/>
        </w:rPr>
        <w:t>Zdroj: RIS, Spracovanie IJ</w:t>
      </w:r>
    </w:p>
    <w:p w14:paraId="6FE7190D" w14:textId="77777777" w:rsidR="00AA6557" w:rsidRPr="00666914" w:rsidRDefault="00AA6557">
      <w:pPr>
        <w:pBdr>
          <w:top w:val="nil"/>
          <w:left w:val="nil"/>
          <w:bottom w:val="nil"/>
          <w:right w:val="nil"/>
          <w:between w:val="nil"/>
        </w:pBdr>
        <w:spacing w:after="0"/>
        <w:ind w:hanging="720"/>
        <w:rPr>
          <w:color w:val="000000"/>
        </w:rPr>
      </w:pPr>
    </w:p>
    <w:p w14:paraId="4441B128" w14:textId="4B436DAE" w:rsidR="00AA6557" w:rsidRPr="00666914" w:rsidRDefault="00AA6557" w:rsidP="004F0262">
      <w:pPr>
        <w:pBdr>
          <w:top w:val="nil"/>
          <w:left w:val="nil"/>
          <w:bottom w:val="nil"/>
          <w:right w:val="nil"/>
          <w:between w:val="nil"/>
        </w:pBdr>
        <w:rPr>
          <w:color w:val="000000"/>
        </w:rPr>
      </w:pPr>
      <w:r w:rsidRPr="00666914">
        <w:rPr>
          <w:b/>
          <w:color w:val="000000"/>
        </w:rPr>
        <w:t>Odporúčanie IJ:</w:t>
      </w:r>
      <w:r w:rsidRPr="00666914">
        <w:rPr>
          <w:color w:val="000000"/>
        </w:rPr>
        <w:t xml:space="preserve"> Zvyšovanie výdavkov oboch organizácií podľa IJ podporuje potrebu vykonať analýzu spojenia a následne implementovať závery z vypracovanej analýzy spojenia ŠVPS a ÚRZ. IJ ÚV SR odporúča </w:t>
      </w:r>
      <w:r w:rsidR="009628F6" w:rsidRPr="00666914">
        <w:rPr>
          <w:b/>
          <w:color w:val="000000"/>
        </w:rPr>
        <w:t xml:space="preserve">MPRV SR </w:t>
      </w:r>
      <w:r w:rsidRPr="00666914">
        <w:rPr>
          <w:b/>
          <w:color w:val="000000"/>
        </w:rPr>
        <w:t>určiť gestora úlohy  do 06/2020</w:t>
      </w:r>
      <w:r w:rsidRPr="00666914">
        <w:rPr>
          <w:color w:val="000000"/>
        </w:rPr>
        <w:t>, ktorý začne potrebné rokovania medzi jednotlivými ministerstvami ako aj medzi dvomi podriadenými organizáciami na vypracovanie analýzy spojenia. Po vypracovaní zverejniť analýzu spojenia a implementovať jej závery.</w:t>
      </w:r>
    </w:p>
    <w:p w14:paraId="2736357B" w14:textId="77777777" w:rsidR="00AA6557" w:rsidRPr="00666914" w:rsidRDefault="00AA6557" w:rsidP="007177D1">
      <w:pPr>
        <w:pBdr>
          <w:top w:val="nil"/>
          <w:left w:val="nil"/>
          <w:bottom w:val="nil"/>
          <w:right w:val="nil"/>
          <w:between w:val="nil"/>
        </w:pBdr>
        <w:spacing w:after="0"/>
        <w:ind w:left="708" w:firstLine="1"/>
        <w:rPr>
          <w:b/>
          <w:color w:val="000000"/>
          <w:u w:val="single"/>
        </w:rPr>
      </w:pPr>
      <w:r w:rsidRPr="00666914">
        <w:rPr>
          <w:b/>
          <w:color w:val="000000"/>
          <w:u w:val="single"/>
        </w:rPr>
        <w:t>13.5.3 Udržiavať mieru financovania zo štandardných zdrojov (nadnárodné projekty, podnikateľský sektor, domáce granty) nad 75 % zdrojov NLC určených na vedu a výskum</w:t>
      </w:r>
    </w:p>
    <w:p w14:paraId="65AE8360" w14:textId="77777777" w:rsidR="00AA6557" w:rsidRPr="00666914" w:rsidRDefault="00AA6557">
      <w:pPr>
        <w:spacing w:after="0"/>
      </w:pPr>
    </w:p>
    <w:p w14:paraId="72F2F5F4" w14:textId="77777777" w:rsidR="00AA6557" w:rsidRPr="00666914" w:rsidRDefault="00AA6557" w:rsidP="00287DFE">
      <w:pPr>
        <w:pBdr>
          <w:top w:val="nil"/>
          <w:left w:val="nil"/>
          <w:bottom w:val="nil"/>
          <w:right w:val="nil"/>
          <w:between w:val="nil"/>
        </w:pBdr>
        <w:rPr>
          <w:color w:val="000000"/>
        </w:rPr>
      </w:pPr>
      <w:r w:rsidRPr="00666914">
        <w:rPr>
          <w:color w:val="000000"/>
        </w:rPr>
        <w:t xml:space="preserve">Revízia odporúčala NLC financovať výskum zo štandardných zdrojov, akými sú medzinárodné projekty, nadnárodné a domáce granty, ale tiež financovanie z podnikateľského sektora. Miera, akou sa majú tieto formy financovania podieľať na financovaní výskumu NLC, bola stanovená na </w:t>
      </w:r>
      <w:sdt>
        <w:sdtPr>
          <w:tag w:val="goog_rdk_68"/>
          <w:id w:val="470644928"/>
        </w:sdtPr>
        <w:sdtEndPr/>
        <w:sdtContent/>
      </w:sdt>
      <w:sdt>
        <w:sdtPr>
          <w:tag w:val="goog_rdk_69"/>
          <w:id w:val="-1500266145"/>
        </w:sdtPr>
        <w:sdtEndPr/>
        <w:sdtContent/>
      </w:sdt>
      <w:r w:rsidRPr="00666914">
        <w:rPr>
          <w:color w:val="000000"/>
        </w:rPr>
        <w:t xml:space="preserve">75 %. Zapájanie sa do medzinárodných projektov a nadnárodných grantov okrem finančného efektu zároveň zvyšuje kvalitu výskumu prostredníctvom prenášania nových informácií od partnerov z projektov. NLC sa zapájaním do medzinárodného výskumu tiež dostáva do širšieho povedomia v rámci výskumu, čo vytvára lepšie možnosti partnerstva s ostatnými výskumnými inštitúciami </w:t>
      </w:r>
      <w:r w:rsidRPr="00666914">
        <w:rPr>
          <w:color w:val="000000"/>
        </w:rPr>
        <w:lastRenderedPageBreak/>
        <w:t xml:space="preserve">v budúcnosti. V roku 2019 bolo približne 15 % výdavkov na výskum NLC financovaných v rámci zahraničných projektov. </w:t>
      </w:r>
    </w:p>
    <w:p w14:paraId="6DD28A0C" w14:textId="77777777" w:rsidR="00AA6557" w:rsidRPr="00666914" w:rsidRDefault="00AA6557" w:rsidP="00287DFE">
      <w:pPr>
        <w:pBdr>
          <w:top w:val="nil"/>
          <w:left w:val="nil"/>
          <w:bottom w:val="nil"/>
          <w:right w:val="nil"/>
          <w:between w:val="nil"/>
        </w:pBdr>
        <w:rPr>
          <w:color w:val="000000"/>
        </w:rPr>
      </w:pPr>
      <w:r w:rsidRPr="00666914">
        <w:rPr>
          <w:color w:val="000000"/>
        </w:rPr>
        <w:t xml:space="preserve">Miera financovania výskumu NLC prostredníctvom štandardných zdrojov dosiahla v roku 2019 úroveň 82,7 %, </w:t>
      </w:r>
      <w:r w:rsidRPr="00666914">
        <w:rPr>
          <w:b/>
          <w:color w:val="000000"/>
        </w:rPr>
        <w:t xml:space="preserve">opatrenie sa k 31.12.2019 plní na viac ako </w:t>
      </w:r>
      <w:sdt>
        <w:sdtPr>
          <w:tag w:val="goog_rdk_70"/>
          <w:id w:val="-528790989"/>
        </w:sdtPr>
        <w:sdtEndPr/>
        <w:sdtContent/>
      </w:sdt>
      <w:r w:rsidRPr="00666914">
        <w:rPr>
          <w:b/>
          <w:color w:val="000000"/>
        </w:rPr>
        <w:t>100</w:t>
      </w:r>
      <w:r w:rsidRPr="00666914">
        <w:rPr>
          <w:b/>
        </w:rPr>
        <w:t xml:space="preserve"> %.</w:t>
      </w:r>
      <w:r w:rsidRPr="00666914">
        <w:rPr>
          <w:b/>
          <w:color w:val="000000"/>
        </w:rPr>
        <w:t xml:space="preserve"> </w:t>
      </w:r>
      <w:r w:rsidRPr="00666914">
        <w:rPr>
          <w:color w:val="000000"/>
        </w:rPr>
        <w:t>Opatrenie sa podľa IP odpočtuje priebežne, teda ku koncu každého kalendárneho roka.</w:t>
      </w:r>
    </w:p>
    <w:p w14:paraId="180DAE11" w14:textId="0BDFF4D6" w:rsidR="00AA6557" w:rsidRPr="00666914" w:rsidRDefault="00AA6557" w:rsidP="004F0262">
      <w:pPr>
        <w:pBdr>
          <w:top w:val="nil"/>
          <w:left w:val="nil"/>
          <w:bottom w:val="nil"/>
          <w:right w:val="nil"/>
          <w:between w:val="nil"/>
        </w:pBdr>
        <w:rPr>
          <w:color w:val="000000"/>
        </w:rPr>
      </w:pPr>
      <w:r w:rsidRPr="00666914">
        <w:rPr>
          <w:b/>
          <w:color w:val="000000"/>
        </w:rPr>
        <w:t xml:space="preserve">Odporúčanie IJ: </w:t>
      </w:r>
      <w:r w:rsidRPr="00666914">
        <w:rPr>
          <w:color w:val="000000"/>
        </w:rPr>
        <w:t xml:space="preserve">Nadviazať na už existujúce nadnárodné projekty a zvýšiť podiel zahraničných výskumných projektov v portfóliu NLC. </w:t>
      </w:r>
    </w:p>
    <w:p w14:paraId="5FDB8C0E" w14:textId="3AEA8D50" w:rsidR="00AA6557" w:rsidRPr="00666914" w:rsidRDefault="00AA6557" w:rsidP="00F70440">
      <w:pPr>
        <w:pStyle w:val="Nadpis2"/>
      </w:pPr>
      <w:bookmarkStart w:id="420" w:name="_Toc38447629"/>
      <w:r w:rsidRPr="00666914">
        <w:t>Zefektívnenie prevádzky úradu a podriadených organizácií MPRV SR</w:t>
      </w:r>
      <w:r w:rsidR="003D59D9" w:rsidRPr="00666914">
        <w:t xml:space="preserve"> - </w:t>
      </w:r>
      <w:r w:rsidRPr="00666914">
        <w:t>zvýšenie efektivity a transparentnosti podniku Lesy SR</w:t>
      </w:r>
      <w:bookmarkEnd w:id="420"/>
    </w:p>
    <w:tbl>
      <w:tblPr>
        <w:tblW w:w="103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7"/>
        <w:gridCol w:w="2126"/>
        <w:gridCol w:w="2126"/>
        <w:gridCol w:w="1418"/>
        <w:gridCol w:w="1134"/>
        <w:gridCol w:w="709"/>
        <w:gridCol w:w="708"/>
        <w:gridCol w:w="709"/>
        <w:gridCol w:w="720"/>
      </w:tblGrid>
      <w:tr w:rsidR="00AA6557" w:rsidRPr="00666914" w14:paraId="7E89C678" w14:textId="77777777" w:rsidTr="007177D1">
        <w:trPr>
          <w:trHeight w:val="330"/>
          <w:jc w:val="center"/>
        </w:trPr>
        <w:tc>
          <w:tcPr>
            <w:tcW w:w="697" w:type="dxa"/>
            <w:shd w:val="clear" w:color="auto" w:fill="auto"/>
            <w:vAlign w:val="center"/>
          </w:tcPr>
          <w:p w14:paraId="0498D2AD" w14:textId="77777777" w:rsidR="00AA6557" w:rsidRPr="00666914" w:rsidRDefault="00AA6557">
            <w:pPr>
              <w:spacing w:after="0"/>
              <w:jc w:val="left"/>
              <w:rPr>
                <w:color w:val="000000"/>
                <w:sz w:val="20"/>
                <w:szCs w:val="20"/>
              </w:rPr>
            </w:pPr>
            <w:r w:rsidRPr="00666914">
              <w:rPr>
                <w:color w:val="000000"/>
                <w:sz w:val="20"/>
                <w:szCs w:val="20"/>
              </w:rPr>
              <w:t> </w:t>
            </w:r>
          </w:p>
        </w:tc>
        <w:tc>
          <w:tcPr>
            <w:tcW w:w="2126" w:type="dxa"/>
            <w:shd w:val="clear" w:color="auto" w:fill="auto"/>
            <w:vAlign w:val="center"/>
          </w:tcPr>
          <w:p w14:paraId="75D6E54D" w14:textId="77777777" w:rsidR="00AA6557" w:rsidRPr="00666914" w:rsidRDefault="00AA6557">
            <w:pPr>
              <w:spacing w:after="0"/>
              <w:jc w:val="left"/>
              <w:rPr>
                <w:b/>
                <w:color w:val="000000"/>
                <w:sz w:val="20"/>
                <w:szCs w:val="20"/>
              </w:rPr>
            </w:pPr>
            <w:r w:rsidRPr="00666914">
              <w:rPr>
                <w:b/>
                <w:color w:val="000000"/>
                <w:sz w:val="20"/>
                <w:szCs w:val="20"/>
              </w:rPr>
              <w:t>Pôdohospodárstvo a rozvoj vidieka</w:t>
            </w:r>
          </w:p>
        </w:tc>
        <w:tc>
          <w:tcPr>
            <w:tcW w:w="2126" w:type="dxa"/>
            <w:vAlign w:val="center"/>
          </w:tcPr>
          <w:p w14:paraId="5027AC7D" w14:textId="77777777" w:rsidR="00AA6557" w:rsidRPr="00666914" w:rsidRDefault="00AA6557">
            <w:pPr>
              <w:spacing w:after="0"/>
              <w:jc w:val="center"/>
              <w:rPr>
                <w:b/>
                <w:color w:val="000000"/>
                <w:sz w:val="20"/>
                <w:szCs w:val="20"/>
              </w:rPr>
            </w:pPr>
            <w:r w:rsidRPr="00666914">
              <w:rPr>
                <w:b/>
                <w:color w:val="000000"/>
                <w:sz w:val="20"/>
                <w:szCs w:val="20"/>
              </w:rPr>
              <w:t>Podopatrenie</w:t>
            </w:r>
          </w:p>
        </w:tc>
        <w:tc>
          <w:tcPr>
            <w:tcW w:w="1418" w:type="dxa"/>
            <w:shd w:val="clear" w:color="auto" w:fill="auto"/>
            <w:vAlign w:val="center"/>
          </w:tcPr>
          <w:p w14:paraId="1D111872" w14:textId="77777777" w:rsidR="00AA6557" w:rsidRPr="00666914" w:rsidRDefault="00AA6557">
            <w:pPr>
              <w:spacing w:after="0"/>
              <w:jc w:val="center"/>
              <w:rPr>
                <w:b/>
                <w:color w:val="000000"/>
                <w:sz w:val="20"/>
                <w:szCs w:val="20"/>
              </w:rPr>
            </w:pPr>
            <w:r w:rsidRPr="00666914">
              <w:rPr>
                <w:b/>
                <w:color w:val="000000"/>
                <w:sz w:val="20"/>
                <w:szCs w:val="20"/>
              </w:rPr>
              <w:t>Zodpovednosť</w:t>
            </w:r>
          </w:p>
        </w:tc>
        <w:tc>
          <w:tcPr>
            <w:tcW w:w="1134" w:type="dxa"/>
            <w:shd w:val="clear" w:color="auto" w:fill="auto"/>
            <w:vAlign w:val="center"/>
          </w:tcPr>
          <w:p w14:paraId="33E38982" w14:textId="77777777" w:rsidR="00AA6557" w:rsidRPr="00666914" w:rsidRDefault="00AA6557">
            <w:pPr>
              <w:spacing w:after="0"/>
              <w:jc w:val="center"/>
              <w:rPr>
                <w:b/>
                <w:color w:val="000000"/>
                <w:sz w:val="20"/>
                <w:szCs w:val="20"/>
              </w:rPr>
            </w:pPr>
            <w:r w:rsidRPr="00666914">
              <w:rPr>
                <w:b/>
                <w:color w:val="000000"/>
                <w:sz w:val="20"/>
                <w:szCs w:val="20"/>
              </w:rPr>
              <w:t>Termín plnenia</w:t>
            </w:r>
          </w:p>
        </w:tc>
        <w:tc>
          <w:tcPr>
            <w:tcW w:w="709" w:type="dxa"/>
            <w:shd w:val="clear" w:color="auto" w:fill="auto"/>
            <w:vAlign w:val="center"/>
          </w:tcPr>
          <w:p w14:paraId="3B1F0DA1" w14:textId="77777777" w:rsidR="00AA6557" w:rsidRPr="00666914" w:rsidRDefault="00AA6557">
            <w:pPr>
              <w:spacing w:after="0"/>
              <w:jc w:val="center"/>
              <w:rPr>
                <w:b/>
                <w:color w:val="000000"/>
                <w:sz w:val="20"/>
                <w:szCs w:val="20"/>
              </w:rPr>
            </w:pPr>
            <w:r w:rsidRPr="00666914">
              <w:rPr>
                <w:b/>
                <w:color w:val="000000"/>
                <w:sz w:val="20"/>
                <w:szCs w:val="20"/>
              </w:rPr>
              <w:t>1Q 2019</w:t>
            </w:r>
          </w:p>
        </w:tc>
        <w:tc>
          <w:tcPr>
            <w:tcW w:w="708" w:type="dxa"/>
            <w:shd w:val="clear" w:color="auto" w:fill="auto"/>
            <w:vAlign w:val="center"/>
          </w:tcPr>
          <w:p w14:paraId="315AA551" w14:textId="77777777" w:rsidR="00AA6557" w:rsidRPr="00666914" w:rsidRDefault="00AA6557">
            <w:pPr>
              <w:spacing w:after="0"/>
              <w:jc w:val="center"/>
              <w:rPr>
                <w:b/>
                <w:color w:val="000000"/>
                <w:sz w:val="20"/>
                <w:szCs w:val="20"/>
              </w:rPr>
            </w:pPr>
            <w:r w:rsidRPr="00666914">
              <w:rPr>
                <w:b/>
                <w:color w:val="000000"/>
                <w:sz w:val="20"/>
                <w:szCs w:val="20"/>
              </w:rPr>
              <w:t>2Q 2019</w:t>
            </w:r>
          </w:p>
        </w:tc>
        <w:tc>
          <w:tcPr>
            <w:tcW w:w="709" w:type="dxa"/>
            <w:shd w:val="clear" w:color="auto" w:fill="auto"/>
            <w:vAlign w:val="center"/>
          </w:tcPr>
          <w:p w14:paraId="7D84E75E" w14:textId="77777777" w:rsidR="00AA6557" w:rsidRPr="00666914" w:rsidRDefault="00AA6557">
            <w:pPr>
              <w:spacing w:after="0"/>
              <w:jc w:val="center"/>
              <w:rPr>
                <w:b/>
                <w:color w:val="000000"/>
                <w:sz w:val="20"/>
                <w:szCs w:val="20"/>
              </w:rPr>
            </w:pPr>
            <w:r w:rsidRPr="00666914">
              <w:rPr>
                <w:b/>
                <w:color w:val="000000"/>
                <w:sz w:val="20"/>
                <w:szCs w:val="20"/>
              </w:rPr>
              <w:t>3Q 2019</w:t>
            </w:r>
          </w:p>
        </w:tc>
        <w:tc>
          <w:tcPr>
            <w:tcW w:w="720" w:type="dxa"/>
            <w:shd w:val="clear" w:color="auto" w:fill="auto"/>
            <w:vAlign w:val="center"/>
          </w:tcPr>
          <w:p w14:paraId="6EAD0445" w14:textId="77777777" w:rsidR="00AA6557" w:rsidRPr="00666914" w:rsidRDefault="00AA6557">
            <w:pPr>
              <w:spacing w:after="0"/>
              <w:jc w:val="center"/>
              <w:rPr>
                <w:b/>
                <w:color w:val="000000"/>
                <w:sz w:val="20"/>
                <w:szCs w:val="20"/>
              </w:rPr>
            </w:pPr>
            <w:r w:rsidRPr="00666914">
              <w:rPr>
                <w:b/>
                <w:color w:val="000000"/>
                <w:sz w:val="20"/>
                <w:szCs w:val="20"/>
              </w:rPr>
              <w:t>4Q 2019</w:t>
            </w:r>
          </w:p>
        </w:tc>
      </w:tr>
      <w:tr w:rsidR="00AA6557" w:rsidRPr="00666914" w14:paraId="02777AF8" w14:textId="77777777" w:rsidTr="007177D1">
        <w:trPr>
          <w:trHeight w:val="300"/>
          <w:jc w:val="center"/>
        </w:trPr>
        <w:tc>
          <w:tcPr>
            <w:tcW w:w="697" w:type="dxa"/>
            <w:shd w:val="clear" w:color="auto" w:fill="auto"/>
            <w:vAlign w:val="center"/>
          </w:tcPr>
          <w:p w14:paraId="068FF018" w14:textId="77777777" w:rsidR="00AA6557" w:rsidRPr="00666914" w:rsidRDefault="00AA6557">
            <w:pPr>
              <w:spacing w:after="0"/>
              <w:jc w:val="left"/>
              <w:rPr>
                <w:color w:val="000000"/>
                <w:sz w:val="20"/>
                <w:szCs w:val="20"/>
              </w:rPr>
            </w:pPr>
            <w:r w:rsidRPr="00666914">
              <w:rPr>
                <w:color w:val="000000"/>
                <w:sz w:val="18"/>
                <w:szCs w:val="18"/>
              </w:rPr>
              <w:t>13.6.2</w:t>
            </w:r>
          </w:p>
        </w:tc>
        <w:tc>
          <w:tcPr>
            <w:tcW w:w="2126" w:type="dxa"/>
            <w:shd w:val="clear" w:color="auto" w:fill="auto"/>
            <w:vAlign w:val="center"/>
          </w:tcPr>
          <w:p w14:paraId="5AFA7DFE" w14:textId="77777777" w:rsidR="00AA6557" w:rsidRPr="00666914" w:rsidRDefault="00AA6557">
            <w:pPr>
              <w:spacing w:after="0"/>
              <w:jc w:val="left"/>
              <w:rPr>
                <w:color w:val="000000"/>
                <w:sz w:val="20"/>
                <w:szCs w:val="20"/>
              </w:rPr>
            </w:pPr>
            <w:r w:rsidRPr="00666914">
              <w:rPr>
                <w:color w:val="000000"/>
                <w:sz w:val="18"/>
                <w:szCs w:val="18"/>
              </w:rPr>
              <w:t>Zefektívnenie prevádzky úradu a podriadených organizácií – zvýšenie efektivity a transparentnosti podniku Lesy SR</w:t>
            </w:r>
          </w:p>
        </w:tc>
        <w:tc>
          <w:tcPr>
            <w:tcW w:w="2126" w:type="dxa"/>
            <w:shd w:val="clear" w:color="auto" w:fill="auto"/>
            <w:vAlign w:val="center"/>
          </w:tcPr>
          <w:p w14:paraId="56C058BB" w14:textId="77777777" w:rsidR="00AA6557" w:rsidRPr="00666914" w:rsidRDefault="00AA6557">
            <w:pPr>
              <w:spacing w:after="0"/>
              <w:jc w:val="left"/>
              <w:rPr>
                <w:color w:val="000000"/>
                <w:sz w:val="20"/>
                <w:szCs w:val="20"/>
              </w:rPr>
            </w:pPr>
            <w:r w:rsidRPr="00666914">
              <w:rPr>
                <w:color w:val="000000"/>
                <w:sz w:val="18"/>
                <w:szCs w:val="18"/>
              </w:rPr>
              <w:t>Vo výročnej správe oddeliť náklady súvisiace so správou majetku a verejnoprospešnou činnosťou a zníženie výnosov z dôvodu nevyplácania náhrady za obmedzenie bežného hospodárenia</w:t>
            </w:r>
          </w:p>
        </w:tc>
        <w:tc>
          <w:tcPr>
            <w:tcW w:w="1418" w:type="dxa"/>
            <w:shd w:val="clear" w:color="auto" w:fill="auto"/>
            <w:vAlign w:val="center"/>
          </w:tcPr>
          <w:p w14:paraId="2C18E782" w14:textId="77777777" w:rsidR="00AA6557" w:rsidRPr="00666914" w:rsidRDefault="00AA6557">
            <w:pPr>
              <w:spacing w:after="0"/>
              <w:jc w:val="center"/>
              <w:rPr>
                <w:color w:val="000000"/>
                <w:sz w:val="20"/>
                <w:szCs w:val="20"/>
              </w:rPr>
            </w:pPr>
            <w:r w:rsidRPr="00666914">
              <w:rPr>
                <w:color w:val="000000"/>
                <w:sz w:val="18"/>
                <w:szCs w:val="18"/>
              </w:rPr>
              <w:t>LESY SR, š. p., MPRV, Sekcia lesného hospodárstva a spracovania dreva</w:t>
            </w:r>
          </w:p>
        </w:tc>
        <w:tc>
          <w:tcPr>
            <w:tcW w:w="1134" w:type="dxa"/>
            <w:shd w:val="clear" w:color="auto" w:fill="auto"/>
            <w:vAlign w:val="center"/>
          </w:tcPr>
          <w:p w14:paraId="52763D71" w14:textId="77777777" w:rsidR="00AA6557" w:rsidRPr="00666914" w:rsidRDefault="00AA6557">
            <w:pPr>
              <w:spacing w:after="0"/>
              <w:jc w:val="center"/>
              <w:rPr>
                <w:color w:val="000000"/>
                <w:sz w:val="20"/>
                <w:szCs w:val="20"/>
              </w:rPr>
            </w:pPr>
            <w:r w:rsidRPr="00666914">
              <w:rPr>
                <w:color w:val="000000"/>
                <w:sz w:val="18"/>
                <w:szCs w:val="18"/>
              </w:rPr>
              <w:t>1.1.2020</w:t>
            </w:r>
          </w:p>
        </w:tc>
        <w:tc>
          <w:tcPr>
            <w:tcW w:w="709" w:type="dxa"/>
            <w:shd w:val="clear" w:color="auto" w:fill="A6A6A6"/>
            <w:vAlign w:val="bottom"/>
          </w:tcPr>
          <w:p w14:paraId="1D200260" w14:textId="77777777" w:rsidR="00AA6557" w:rsidRPr="00666914" w:rsidRDefault="00AA6557">
            <w:pPr>
              <w:spacing w:after="0"/>
              <w:rPr>
                <w:color w:val="000000"/>
                <w:sz w:val="20"/>
                <w:szCs w:val="20"/>
              </w:rPr>
            </w:pPr>
          </w:p>
        </w:tc>
        <w:tc>
          <w:tcPr>
            <w:tcW w:w="708" w:type="dxa"/>
            <w:shd w:val="clear" w:color="auto" w:fill="A6A6A6"/>
            <w:vAlign w:val="bottom"/>
          </w:tcPr>
          <w:p w14:paraId="7007ED0C" w14:textId="77777777" w:rsidR="00AA6557" w:rsidRPr="00666914" w:rsidRDefault="00AA6557">
            <w:pPr>
              <w:spacing w:after="0"/>
              <w:rPr>
                <w:color w:val="000000"/>
                <w:sz w:val="20"/>
                <w:szCs w:val="20"/>
              </w:rPr>
            </w:pPr>
          </w:p>
        </w:tc>
        <w:tc>
          <w:tcPr>
            <w:tcW w:w="709" w:type="dxa"/>
            <w:shd w:val="clear" w:color="auto" w:fill="A6A6A6"/>
            <w:vAlign w:val="bottom"/>
          </w:tcPr>
          <w:p w14:paraId="7B1DCCD5" w14:textId="77777777" w:rsidR="00AA6557" w:rsidRPr="00666914" w:rsidRDefault="00AA6557">
            <w:pPr>
              <w:spacing w:after="0"/>
              <w:rPr>
                <w:color w:val="000000"/>
                <w:sz w:val="20"/>
                <w:szCs w:val="20"/>
              </w:rPr>
            </w:pPr>
          </w:p>
        </w:tc>
        <w:tc>
          <w:tcPr>
            <w:tcW w:w="720" w:type="dxa"/>
            <w:shd w:val="clear" w:color="auto" w:fill="A6A6A6"/>
            <w:vAlign w:val="bottom"/>
          </w:tcPr>
          <w:p w14:paraId="414801BD" w14:textId="77777777" w:rsidR="00AA6557" w:rsidRPr="00666914" w:rsidRDefault="00AA6557">
            <w:pPr>
              <w:spacing w:after="0"/>
              <w:jc w:val="center"/>
              <w:rPr>
                <w:color w:val="000000"/>
                <w:sz w:val="20"/>
                <w:szCs w:val="20"/>
              </w:rPr>
            </w:pPr>
          </w:p>
        </w:tc>
      </w:tr>
    </w:tbl>
    <w:p w14:paraId="3CB51E43" w14:textId="77777777" w:rsidR="00AA6557" w:rsidRPr="00666914" w:rsidRDefault="00AA6557">
      <w:pPr>
        <w:spacing w:after="0"/>
        <w:rPr>
          <w:b/>
          <w:u w:val="single"/>
        </w:rPr>
      </w:pPr>
    </w:p>
    <w:p w14:paraId="0B56C397" w14:textId="77777777" w:rsidR="00AA6557" w:rsidRPr="00666914" w:rsidRDefault="00AA6557" w:rsidP="00C46F0E">
      <w:pPr>
        <w:spacing w:after="0"/>
        <w:ind w:left="708" w:firstLine="1"/>
        <w:rPr>
          <w:b/>
          <w:u w:val="single"/>
        </w:rPr>
      </w:pPr>
      <w:r w:rsidRPr="00666914">
        <w:rPr>
          <w:b/>
          <w:u w:val="single"/>
        </w:rPr>
        <w:t>13.6.2  Vo výročnej správe oddeliť náklady súvisiace so správou majetku a verejnoprospešnou činnosťou a zníženie výnosov z dôvodu nevyplácania náhrady za obmedzenie bežného hospodárenia</w:t>
      </w:r>
    </w:p>
    <w:p w14:paraId="1A9A3AC5" w14:textId="77777777" w:rsidR="00AA6557" w:rsidRPr="00666914" w:rsidRDefault="00AA6557">
      <w:pPr>
        <w:spacing w:after="0"/>
        <w:ind w:firstLine="709"/>
        <w:rPr>
          <w:b/>
          <w:u w:val="single"/>
        </w:rPr>
      </w:pPr>
    </w:p>
    <w:p w14:paraId="44F28917" w14:textId="1D6269D3" w:rsidR="00AA6557" w:rsidRPr="00666914" w:rsidRDefault="00AA6557" w:rsidP="004F0262">
      <w:pPr>
        <w:rPr>
          <w:b/>
          <w:u w:val="single"/>
        </w:rPr>
      </w:pPr>
      <w:r w:rsidRPr="00666914">
        <w:t>Lesy SR, š. p. dosahujú každoročne nižší zisk na m</w:t>
      </w:r>
      <w:r w:rsidRPr="00666914">
        <w:rPr>
          <w:vertAlign w:val="superscript"/>
        </w:rPr>
        <w:t>3</w:t>
      </w:r>
      <w:r w:rsidRPr="00666914">
        <w:t xml:space="preserve"> oproti súkromným lesom. Jednou z príčin sú podľa vyjadrenia štátneho podniku práve náklady súvisiace s verejnoprospešnou činnosťou, ktoré by súkromní obhospodarovatelia lesa nevynakladali. V rámci verejnoprospešnej činnosti môžeme u Lesov SR, š. p. identifikovať hneď niekoľko celospoločensky prospešných aktivít napríklad: chov zubrov v Topoľčiankach, chov koní Muráň, správa parkov, lesnícky skanzen, ale tiež správa vodných tokov a hradenie bystrín alebo protipovodňové opatrenia a odstraňovanie škôd po nich.</w:t>
      </w:r>
    </w:p>
    <w:p w14:paraId="422E301B" w14:textId="50A24478" w:rsidR="00B515EB" w:rsidRPr="00666914" w:rsidRDefault="00AA6557" w:rsidP="00C46F0E">
      <w:pPr>
        <w:spacing w:after="0"/>
      </w:pPr>
      <w:r w:rsidRPr="00666914">
        <w:t xml:space="preserve">Keďže výročná správa 2019 Lesy SR š. p. bude publikovaná až v 1H2020, </w:t>
      </w:r>
      <w:r w:rsidRPr="00666914">
        <w:rPr>
          <w:b/>
        </w:rPr>
        <w:t>opatrenie sa k 31.12.2019 nehodnotí</w:t>
      </w:r>
      <w:r w:rsidRPr="00666914">
        <w:rPr>
          <w:b/>
          <w:vertAlign w:val="superscript"/>
        </w:rPr>
        <w:footnoteReference w:id="472"/>
      </w:r>
      <w:r w:rsidRPr="00666914">
        <w:rPr>
          <w:b/>
        </w:rPr>
        <w:t>. Prvé hodnotenie IJ zrealizuje k 30.6.2020.</w:t>
      </w:r>
      <w:r w:rsidRPr="00666914">
        <w:t xml:space="preserve"> Zverejnenie nákladov súvisiacich so správou majetku a verejnoprospešnou činnosťou a schválených auditom umožní adekvátne porovnanie dosahovania výsledkov Lesov SR, š. p. voči súkr</w:t>
      </w:r>
      <w:r w:rsidR="00C46F0E" w:rsidRPr="00666914">
        <w:t>omným obhospodarovateľom lesov.</w:t>
      </w:r>
    </w:p>
    <w:p w14:paraId="1BC5BB76" w14:textId="77777777" w:rsidR="00B515EB" w:rsidRPr="00666914" w:rsidRDefault="00B515EB">
      <w:pPr>
        <w:spacing w:after="0"/>
        <w:jc w:val="left"/>
      </w:pPr>
      <w:r w:rsidRPr="00666914">
        <w:br w:type="page"/>
      </w:r>
    </w:p>
    <w:p w14:paraId="00F8556D" w14:textId="2427EB82" w:rsidR="00AA6557" w:rsidRPr="00666914" w:rsidRDefault="00AA6557" w:rsidP="00C46F0E">
      <w:pPr>
        <w:pStyle w:val="Nadpis2"/>
        <w:rPr>
          <w:color w:val="2E75B5"/>
        </w:rPr>
      </w:pPr>
      <w:bookmarkStart w:id="421" w:name="_Toc38447630"/>
      <w:r w:rsidRPr="00666914">
        <w:rPr>
          <w:color w:val="2E75B5"/>
        </w:rPr>
        <w:lastRenderedPageBreak/>
        <w:t>Zlepšenie kvality a dostupnosti dát</w:t>
      </w:r>
      <w:bookmarkEnd w:id="421"/>
    </w:p>
    <w:tbl>
      <w:tblPr>
        <w:tblW w:w="10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7"/>
        <w:gridCol w:w="1843"/>
        <w:gridCol w:w="2551"/>
        <w:gridCol w:w="1418"/>
        <w:gridCol w:w="992"/>
        <w:gridCol w:w="709"/>
        <w:gridCol w:w="708"/>
        <w:gridCol w:w="709"/>
        <w:gridCol w:w="689"/>
      </w:tblGrid>
      <w:tr w:rsidR="00AA6557" w:rsidRPr="00666914" w14:paraId="671F4C23" w14:textId="77777777" w:rsidTr="003D59D9">
        <w:trPr>
          <w:trHeight w:val="298"/>
          <w:jc w:val="center"/>
        </w:trPr>
        <w:tc>
          <w:tcPr>
            <w:tcW w:w="697" w:type="dxa"/>
            <w:shd w:val="clear" w:color="auto" w:fill="auto"/>
            <w:vAlign w:val="center"/>
          </w:tcPr>
          <w:p w14:paraId="51F1F35D" w14:textId="77777777" w:rsidR="00AA6557" w:rsidRPr="00666914" w:rsidRDefault="00AA6557">
            <w:pPr>
              <w:spacing w:after="0"/>
              <w:jc w:val="left"/>
              <w:rPr>
                <w:color w:val="000000"/>
                <w:sz w:val="20"/>
                <w:szCs w:val="20"/>
              </w:rPr>
            </w:pPr>
            <w:r w:rsidRPr="00666914">
              <w:rPr>
                <w:color w:val="000000"/>
                <w:sz w:val="20"/>
                <w:szCs w:val="20"/>
              </w:rPr>
              <w:t> </w:t>
            </w:r>
          </w:p>
        </w:tc>
        <w:tc>
          <w:tcPr>
            <w:tcW w:w="1843" w:type="dxa"/>
            <w:shd w:val="clear" w:color="auto" w:fill="auto"/>
            <w:vAlign w:val="center"/>
          </w:tcPr>
          <w:p w14:paraId="4A121C8A" w14:textId="77777777" w:rsidR="00AA6557" w:rsidRPr="00666914" w:rsidRDefault="00AA6557">
            <w:pPr>
              <w:spacing w:after="0"/>
              <w:jc w:val="left"/>
              <w:rPr>
                <w:b/>
                <w:color w:val="000000"/>
                <w:sz w:val="20"/>
                <w:szCs w:val="20"/>
              </w:rPr>
            </w:pPr>
            <w:r w:rsidRPr="00666914">
              <w:rPr>
                <w:b/>
                <w:color w:val="000000"/>
                <w:sz w:val="20"/>
                <w:szCs w:val="20"/>
              </w:rPr>
              <w:t>Pôdohospodárstvo a rozvoj vidieka</w:t>
            </w:r>
          </w:p>
        </w:tc>
        <w:tc>
          <w:tcPr>
            <w:tcW w:w="2551" w:type="dxa"/>
            <w:vAlign w:val="center"/>
          </w:tcPr>
          <w:p w14:paraId="33DDB2B3" w14:textId="77777777" w:rsidR="00AA6557" w:rsidRPr="00666914" w:rsidRDefault="00AA6557">
            <w:pPr>
              <w:spacing w:after="0"/>
              <w:jc w:val="center"/>
              <w:rPr>
                <w:b/>
                <w:color w:val="000000"/>
                <w:sz w:val="20"/>
                <w:szCs w:val="20"/>
              </w:rPr>
            </w:pPr>
            <w:r w:rsidRPr="00666914">
              <w:rPr>
                <w:b/>
                <w:color w:val="000000"/>
                <w:sz w:val="20"/>
                <w:szCs w:val="20"/>
              </w:rPr>
              <w:t>Podopatrenie</w:t>
            </w:r>
          </w:p>
        </w:tc>
        <w:tc>
          <w:tcPr>
            <w:tcW w:w="1418" w:type="dxa"/>
            <w:shd w:val="clear" w:color="auto" w:fill="auto"/>
            <w:vAlign w:val="center"/>
          </w:tcPr>
          <w:p w14:paraId="5B1D4B53" w14:textId="77777777" w:rsidR="00AA6557" w:rsidRPr="00666914" w:rsidRDefault="00AA6557">
            <w:pPr>
              <w:spacing w:after="0"/>
              <w:jc w:val="center"/>
              <w:rPr>
                <w:b/>
                <w:color w:val="000000"/>
                <w:sz w:val="20"/>
                <w:szCs w:val="20"/>
              </w:rPr>
            </w:pPr>
            <w:r w:rsidRPr="00666914">
              <w:rPr>
                <w:b/>
                <w:color w:val="000000"/>
                <w:sz w:val="20"/>
                <w:szCs w:val="20"/>
              </w:rPr>
              <w:t>Zodpovednosť</w:t>
            </w:r>
          </w:p>
        </w:tc>
        <w:tc>
          <w:tcPr>
            <w:tcW w:w="992" w:type="dxa"/>
            <w:shd w:val="clear" w:color="auto" w:fill="auto"/>
            <w:vAlign w:val="center"/>
          </w:tcPr>
          <w:p w14:paraId="0DDFA83D" w14:textId="77777777" w:rsidR="00AA6557" w:rsidRPr="00666914" w:rsidRDefault="00AA6557">
            <w:pPr>
              <w:spacing w:after="0"/>
              <w:jc w:val="center"/>
              <w:rPr>
                <w:b/>
                <w:color w:val="000000"/>
                <w:sz w:val="20"/>
                <w:szCs w:val="20"/>
              </w:rPr>
            </w:pPr>
            <w:r w:rsidRPr="00666914">
              <w:rPr>
                <w:b/>
                <w:color w:val="000000"/>
                <w:sz w:val="20"/>
                <w:szCs w:val="20"/>
              </w:rPr>
              <w:t>Termín plnenia</w:t>
            </w:r>
          </w:p>
        </w:tc>
        <w:tc>
          <w:tcPr>
            <w:tcW w:w="709" w:type="dxa"/>
            <w:shd w:val="clear" w:color="auto" w:fill="auto"/>
            <w:vAlign w:val="center"/>
          </w:tcPr>
          <w:p w14:paraId="5845F404" w14:textId="77777777" w:rsidR="00AA6557" w:rsidRPr="00666914" w:rsidRDefault="00AA6557">
            <w:pPr>
              <w:spacing w:after="0"/>
              <w:jc w:val="center"/>
              <w:rPr>
                <w:b/>
                <w:color w:val="000000"/>
                <w:sz w:val="20"/>
                <w:szCs w:val="20"/>
              </w:rPr>
            </w:pPr>
            <w:r w:rsidRPr="00666914">
              <w:rPr>
                <w:b/>
                <w:color w:val="000000"/>
                <w:sz w:val="20"/>
                <w:szCs w:val="20"/>
              </w:rPr>
              <w:t>1Q 2019</w:t>
            </w:r>
          </w:p>
        </w:tc>
        <w:tc>
          <w:tcPr>
            <w:tcW w:w="708" w:type="dxa"/>
            <w:shd w:val="clear" w:color="auto" w:fill="auto"/>
            <w:vAlign w:val="center"/>
          </w:tcPr>
          <w:p w14:paraId="0EAF1EB7" w14:textId="77777777" w:rsidR="00AA6557" w:rsidRPr="00666914" w:rsidRDefault="00AA6557">
            <w:pPr>
              <w:spacing w:after="0"/>
              <w:jc w:val="center"/>
              <w:rPr>
                <w:b/>
                <w:color w:val="000000"/>
                <w:sz w:val="20"/>
                <w:szCs w:val="20"/>
              </w:rPr>
            </w:pPr>
            <w:r w:rsidRPr="00666914">
              <w:rPr>
                <w:b/>
                <w:color w:val="000000"/>
                <w:sz w:val="20"/>
                <w:szCs w:val="20"/>
              </w:rPr>
              <w:t>2Q 2019</w:t>
            </w:r>
          </w:p>
        </w:tc>
        <w:tc>
          <w:tcPr>
            <w:tcW w:w="709" w:type="dxa"/>
            <w:shd w:val="clear" w:color="auto" w:fill="auto"/>
            <w:vAlign w:val="center"/>
          </w:tcPr>
          <w:p w14:paraId="6F39FD1D" w14:textId="77777777" w:rsidR="00AA6557" w:rsidRPr="00666914" w:rsidRDefault="00AA6557">
            <w:pPr>
              <w:spacing w:after="0"/>
              <w:jc w:val="center"/>
              <w:rPr>
                <w:b/>
                <w:color w:val="000000"/>
                <w:sz w:val="20"/>
                <w:szCs w:val="20"/>
              </w:rPr>
            </w:pPr>
            <w:r w:rsidRPr="00666914">
              <w:rPr>
                <w:b/>
                <w:color w:val="000000"/>
                <w:sz w:val="20"/>
                <w:szCs w:val="20"/>
              </w:rPr>
              <w:t>3Q 2019</w:t>
            </w:r>
          </w:p>
        </w:tc>
        <w:tc>
          <w:tcPr>
            <w:tcW w:w="689" w:type="dxa"/>
            <w:shd w:val="clear" w:color="auto" w:fill="auto"/>
            <w:vAlign w:val="center"/>
          </w:tcPr>
          <w:p w14:paraId="1EB028F0" w14:textId="77777777" w:rsidR="00AA6557" w:rsidRPr="00666914" w:rsidRDefault="00AA6557">
            <w:pPr>
              <w:spacing w:after="0"/>
              <w:jc w:val="center"/>
              <w:rPr>
                <w:b/>
                <w:color w:val="000000"/>
                <w:sz w:val="20"/>
                <w:szCs w:val="20"/>
              </w:rPr>
            </w:pPr>
            <w:r w:rsidRPr="00666914">
              <w:rPr>
                <w:b/>
                <w:color w:val="000000"/>
                <w:sz w:val="20"/>
                <w:szCs w:val="20"/>
              </w:rPr>
              <w:t>4Q 2019</w:t>
            </w:r>
          </w:p>
        </w:tc>
      </w:tr>
      <w:tr w:rsidR="00AA6557" w:rsidRPr="00666914" w14:paraId="73F4F6DA" w14:textId="77777777" w:rsidTr="003D59D9">
        <w:trPr>
          <w:trHeight w:val="271"/>
          <w:jc w:val="center"/>
        </w:trPr>
        <w:tc>
          <w:tcPr>
            <w:tcW w:w="697" w:type="dxa"/>
            <w:shd w:val="clear" w:color="auto" w:fill="auto"/>
            <w:vAlign w:val="center"/>
          </w:tcPr>
          <w:p w14:paraId="36B8C976" w14:textId="77777777" w:rsidR="00AA6557" w:rsidRPr="00666914" w:rsidRDefault="00AA6557">
            <w:pPr>
              <w:spacing w:after="0"/>
              <w:jc w:val="left"/>
              <w:rPr>
                <w:color w:val="000000"/>
                <w:sz w:val="20"/>
                <w:szCs w:val="20"/>
              </w:rPr>
            </w:pPr>
            <w:r w:rsidRPr="00666914">
              <w:rPr>
                <w:color w:val="000000"/>
                <w:sz w:val="18"/>
                <w:szCs w:val="18"/>
              </w:rPr>
              <w:t>14.2</w:t>
            </w:r>
          </w:p>
        </w:tc>
        <w:tc>
          <w:tcPr>
            <w:tcW w:w="1843" w:type="dxa"/>
            <w:shd w:val="clear" w:color="auto" w:fill="auto"/>
            <w:vAlign w:val="center"/>
          </w:tcPr>
          <w:p w14:paraId="6A15792C" w14:textId="77777777" w:rsidR="00AA6557" w:rsidRPr="00666914" w:rsidRDefault="00AA6557">
            <w:pPr>
              <w:spacing w:after="0"/>
              <w:jc w:val="left"/>
              <w:rPr>
                <w:color w:val="000000"/>
                <w:sz w:val="20"/>
                <w:szCs w:val="20"/>
              </w:rPr>
            </w:pPr>
            <w:r w:rsidRPr="00666914">
              <w:rPr>
                <w:color w:val="000000"/>
                <w:sz w:val="18"/>
                <w:szCs w:val="18"/>
              </w:rPr>
              <w:t>Zlepšenie kvality a dostupnosti dát</w:t>
            </w:r>
          </w:p>
        </w:tc>
        <w:tc>
          <w:tcPr>
            <w:tcW w:w="2551" w:type="dxa"/>
            <w:shd w:val="clear" w:color="auto" w:fill="auto"/>
            <w:vAlign w:val="center"/>
          </w:tcPr>
          <w:p w14:paraId="54D68DDC" w14:textId="77777777" w:rsidR="00AA6557" w:rsidRPr="00666914" w:rsidRDefault="00AA6557">
            <w:pPr>
              <w:spacing w:after="0"/>
              <w:jc w:val="left"/>
              <w:rPr>
                <w:color w:val="000000"/>
                <w:sz w:val="20"/>
                <w:szCs w:val="20"/>
              </w:rPr>
            </w:pPr>
            <w:r w:rsidRPr="00666914">
              <w:rPr>
                <w:color w:val="000000"/>
                <w:sz w:val="18"/>
                <w:szCs w:val="18"/>
              </w:rPr>
              <w:t>Aplikovať v IL MPRV SR jednotné členenie ukazovateľov RV a ŽV pre konvenčné a ekologické poľnohospodárstvo</w:t>
            </w:r>
          </w:p>
        </w:tc>
        <w:tc>
          <w:tcPr>
            <w:tcW w:w="1418" w:type="dxa"/>
            <w:shd w:val="clear" w:color="auto" w:fill="auto"/>
            <w:vAlign w:val="center"/>
          </w:tcPr>
          <w:p w14:paraId="460D1AF2" w14:textId="77777777" w:rsidR="00AA6557" w:rsidRPr="00666914" w:rsidRDefault="00AA6557">
            <w:pPr>
              <w:spacing w:after="0"/>
              <w:jc w:val="center"/>
              <w:rPr>
                <w:color w:val="000000"/>
                <w:sz w:val="20"/>
                <w:szCs w:val="20"/>
              </w:rPr>
            </w:pPr>
            <w:r w:rsidRPr="00666914">
              <w:rPr>
                <w:color w:val="000000"/>
                <w:sz w:val="18"/>
                <w:szCs w:val="18"/>
              </w:rPr>
              <w:t>MPRV – Radela</w:t>
            </w:r>
          </w:p>
        </w:tc>
        <w:tc>
          <w:tcPr>
            <w:tcW w:w="992" w:type="dxa"/>
            <w:shd w:val="clear" w:color="auto" w:fill="auto"/>
            <w:vAlign w:val="center"/>
          </w:tcPr>
          <w:p w14:paraId="7FCF9093" w14:textId="77777777" w:rsidR="00AA6557" w:rsidRPr="00666914" w:rsidRDefault="00AA6557">
            <w:pPr>
              <w:spacing w:after="0"/>
              <w:jc w:val="center"/>
              <w:rPr>
                <w:color w:val="000000"/>
                <w:sz w:val="20"/>
                <w:szCs w:val="20"/>
              </w:rPr>
            </w:pPr>
            <w:r w:rsidRPr="00666914">
              <w:rPr>
                <w:color w:val="000000"/>
                <w:sz w:val="18"/>
                <w:szCs w:val="18"/>
              </w:rPr>
              <w:t>1.1.2020</w:t>
            </w:r>
          </w:p>
        </w:tc>
        <w:tc>
          <w:tcPr>
            <w:tcW w:w="709" w:type="dxa"/>
            <w:shd w:val="clear" w:color="auto" w:fill="A6A6A6"/>
            <w:vAlign w:val="bottom"/>
          </w:tcPr>
          <w:p w14:paraId="58EA4F5D" w14:textId="77777777" w:rsidR="00AA6557" w:rsidRPr="00666914" w:rsidRDefault="00AA6557">
            <w:pPr>
              <w:spacing w:after="0"/>
              <w:rPr>
                <w:color w:val="000000"/>
                <w:sz w:val="20"/>
                <w:szCs w:val="20"/>
              </w:rPr>
            </w:pPr>
          </w:p>
        </w:tc>
        <w:tc>
          <w:tcPr>
            <w:tcW w:w="708" w:type="dxa"/>
            <w:shd w:val="clear" w:color="auto" w:fill="A6A6A6"/>
            <w:vAlign w:val="bottom"/>
          </w:tcPr>
          <w:p w14:paraId="2FF37548" w14:textId="77777777" w:rsidR="00AA6557" w:rsidRPr="00666914" w:rsidRDefault="00AA6557">
            <w:pPr>
              <w:spacing w:after="0"/>
              <w:rPr>
                <w:color w:val="000000"/>
                <w:sz w:val="20"/>
                <w:szCs w:val="20"/>
              </w:rPr>
            </w:pPr>
          </w:p>
        </w:tc>
        <w:tc>
          <w:tcPr>
            <w:tcW w:w="709" w:type="dxa"/>
            <w:shd w:val="clear" w:color="auto" w:fill="A6A6A6"/>
            <w:vAlign w:val="bottom"/>
          </w:tcPr>
          <w:p w14:paraId="29E72479" w14:textId="77777777" w:rsidR="00AA6557" w:rsidRPr="00666914" w:rsidRDefault="00AA6557">
            <w:pPr>
              <w:spacing w:after="0"/>
              <w:rPr>
                <w:color w:val="000000"/>
                <w:sz w:val="20"/>
                <w:szCs w:val="20"/>
              </w:rPr>
            </w:pPr>
          </w:p>
        </w:tc>
        <w:tc>
          <w:tcPr>
            <w:tcW w:w="689" w:type="dxa"/>
            <w:shd w:val="clear" w:color="auto" w:fill="92D050"/>
            <w:vAlign w:val="center"/>
          </w:tcPr>
          <w:p w14:paraId="236EFD37" w14:textId="77777777" w:rsidR="00AA6557" w:rsidRPr="00666914" w:rsidRDefault="00AA6557">
            <w:pPr>
              <w:spacing w:after="0"/>
              <w:jc w:val="center"/>
              <w:rPr>
                <w:color w:val="000000"/>
                <w:sz w:val="20"/>
                <w:szCs w:val="20"/>
              </w:rPr>
            </w:pPr>
          </w:p>
        </w:tc>
      </w:tr>
      <w:tr w:rsidR="00AA6557" w:rsidRPr="00666914" w14:paraId="32586B97" w14:textId="77777777" w:rsidTr="003D59D9">
        <w:trPr>
          <w:trHeight w:val="271"/>
          <w:jc w:val="center"/>
        </w:trPr>
        <w:tc>
          <w:tcPr>
            <w:tcW w:w="697" w:type="dxa"/>
            <w:shd w:val="clear" w:color="auto" w:fill="auto"/>
            <w:vAlign w:val="center"/>
          </w:tcPr>
          <w:p w14:paraId="17AEFB2A" w14:textId="77777777" w:rsidR="00AA6557" w:rsidRPr="00666914" w:rsidRDefault="00AA6557">
            <w:pPr>
              <w:spacing w:after="0"/>
              <w:jc w:val="left"/>
              <w:rPr>
                <w:color w:val="000000"/>
                <w:sz w:val="20"/>
                <w:szCs w:val="20"/>
              </w:rPr>
            </w:pPr>
            <w:r w:rsidRPr="00666914">
              <w:rPr>
                <w:color w:val="000000"/>
                <w:sz w:val="18"/>
                <w:szCs w:val="18"/>
              </w:rPr>
              <w:t>14.3</w:t>
            </w:r>
          </w:p>
        </w:tc>
        <w:tc>
          <w:tcPr>
            <w:tcW w:w="1843" w:type="dxa"/>
            <w:shd w:val="clear" w:color="auto" w:fill="auto"/>
            <w:vAlign w:val="center"/>
          </w:tcPr>
          <w:p w14:paraId="2EE63860" w14:textId="77777777" w:rsidR="00AA6557" w:rsidRPr="00666914" w:rsidRDefault="00AA6557">
            <w:pPr>
              <w:spacing w:after="0"/>
              <w:jc w:val="left"/>
              <w:rPr>
                <w:color w:val="000000"/>
                <w:sz w:val="20"/>
                <w:szCs w:val="20"/>
              </w:rPr>
            </w:pPr>
            <w:r w:rsidRPr="00666914">
              <w:rPr>
                <w:color w:val="000000"/>
                <w:sz w:val="18"/>
                <w:szCs w:val="18"/>
              </w:rPr>
              <w:t>Zlepšenie kvality a dostupnosti dát</w:t>
            </w:r>
          </w:p>
        </w:tc>
        <w:tc>
          <w:tcPr>
            <w:tcW w:w="2551" w:type="dxa"/>
            <w:shd w:val="clear" w:color="auto" w:fill="auto"/>
            <w:vAlign w:val="center"/>
          </w:tcPr>
          <w:p w14:paraId="510D849B" w14:textId="77777777" w:rsidR="00AA6557" w:rsidRPr="00666914" w:rsidRDefault="00AA6557">
            <w:pPr>
              <w:spacing w:after="0"/>
              <w:jc w:val="left"/>
              <w:rPr>
                <w:color w:val="000000"/>
                <w:sz w:val="20"/>
                <w:szCs w:val="20"/>
              </w:rPr>
            </w:pPr>
            <w:r w:rsidRPr="00666914">
              <w:rPr>
                <w:color w:val="000000"/>
                <w:sz w:val="18"/>
                <w:szCs w:val="18"/>
              </w:rPr>
              <w:t>Doplniť do IL MPRV SR ukazovatele produkcie komodít rastlinnej a živočíšnej výroby vyjadrené v EUR</w:t>
            </w:r>
          </w:p>
        </w:tc>
        <w:tc>
          <w:tcPr>
            <w:tcW w:w="1418" w:type="dxa"/>
            <w:shd w:val="clear" w:color="auto" w:fill="auto"/>
            <w:vAlign w:val="center"/>
          </w:tcPr>
          <w:p w14:paraId="0EA4FDF6" w14:textId="77777777" w:rsidR="00AA6557" w:rsidRPr="00666914" w:rsidRDefault="00AA6557">
            <w:pPr>
              <w:spacing w:after="0"/>
              <w:jc w:val="center"/>
              <w:rPr>
                <w:color w:val="000000"/>
                <w:sz w:val="20"/>
                <w:szCs w:val="20"/>
              </w:rPr>
            </w:pPr>
            <w:r w:rsidRPr="00666914">
              <w:rPr>
                <w:color w:val="000000"/>
                <w:sz w:val="18"/>
                <w:szCs w:val="18"/>
              </w:rPr>
              <w:t>MPRV – Radela</w:t>
            </w:r>
          </w:p>
        </w:tc>
        <w:tc>
          <w:tcPr>
            <w:tcW w:w="992" w:type="dxa"/>
            <w:shd w:val="clear" w:color="auto" w:fill="auto"/>
            <w:vAlign w:val="center"/>
          </w:tcPr>
          <w:p w14:paraId="6AAF7D10" w14:textId="77777777" w:rsidR="00AA6557" w:rsidRPr="00666914" w:rsidRDefault="00AA6557">
            <w:pPr>
              <w:spacing w:after="0"/>
              <w:jc w:val="center"/>
              <w:rPr>
                <w:color w:val="000000"/>
                <w:sz w:val="20"/>
                <w:szCs w:val="20"/>
              </w:rPr>
            </w:pPr>
            <w:r w:rsidRPr="00666914">
              <w:rPr>
                <w:color w:val="000000"/>
                <w:sz w:val="18"/>
                <w:szCs w:val="18"/>
              </w:rPr>
              <w:t>1.1.2020</w:t>
            </w:r>
          </w:p>
        </w:tc>
        <w:tc>
          <w:tcPr>
            <w:tcW w:w="709" w:type="dxa"/>
            <w:shd w:val="clear" w:color="auto" w:fill="A6A6A6"/>
            <w:vAlign w:val="bottom"/>
          </w:tcPr>
          <w:p w14:paraId="695DBF94" w14:textId="77777777" w:rsidR="00AA6557" w:rsidRPr="00666914" w:rsidRDefault="00AA6557">
            <w:pPr>
              <w:spacing w:after="0"/>
              <w:rPr>
                <w:color w:val="000000"/>
                <w:sz w:val="20"/>
                <w:szCs w:val="20"/>
              </w:rPr>
            </w:pPr>
          </w:p>
        </w:tc>
        <w:tc>
          <w:tcPr>
            <w:tcW w:w="708" w:type="dxa"/>
            <w:shd w:val="clear" w:color="auto" w:fill="A6A6A6"/>
            <w:vAlign w:val="bottom"/>
          </w:tcPr>
          <w:p w14:paraId="4C8B78C4" w14:textId="77777777" w:rsidR="00AA6557" w:rsidRPr="00666914" w:rsidRDefault="00AA6557">
            <w:pPr>
              <w:spacing w:after="0"/>
              <w:rPr>
                <w:color w:val="000000"/>
                <w:sz w:val="20"/>
                <w:szCs w:val="20"/>
              </w:rPr>
            </w:pPr>
          </w:p>
        </w:tc>
        <w:tc>
          <w:tcPr>
            <w:tcW w:w="709" w:type="dxa"/>
            <w:shd w:val="clear" w:color="auto" w:fill="A6A6A6"/>
            <w:vAlign w:val="bottom"/>
          </w:tcPr>
          <w:p w14:paraId="1DA4D58A" w14:textId="77777777" w:rsidR="00AA6557" w:rsidRPr="00666914" w:rsidRDefault="00AA6557">
            <w:pPr>
              <w:spacing w:after="0"/>
              <w:rPr>
                <w:color w:val="000000"/>
                <w:sz w:val="20"/>
                <w:szCs w:val="20"/>
              </w:rPr>
            </w:pPr>
          </w:p>
        </w:tc>
        <w:tc>
          <w:tcPr>
            <w:tcW w:w="689" w:type="dxa"/>
            <w:shd w:val="clear" w:color="auto" w:fill="92D050"/>
            <w:vAlign w:val="center"/>
          </w:tcPr>
          <w:p w14:paraId="57A0DCE8" w14:textId="77777777" w:rsidR="00AA6557" w:rsidRPr="00666914" w:rsidRDefault="00AA6557">
            <w:pPr>
              <w:spacing w:after="0"/>
              <w:jc w:val="center"/>
              <w:rPr>
                <w:color w:val="000000"/>
                <w:sz w:val="20"/>
                <w:szCs w:val="20"/>
              </w:rPr>
            </w:pPr>
          </w:p>
          <w:p w14:paraId="51479EF3" w14:textId="77777777" w:rsidR="00AA6557" w:rsidRPr="00666914" w:rsidRDefault="00AA6557">
            <w:pPr>
              <w:spacing w:after="0"/>
              <w:jc w:val="center"/>
              <w:rPr>
                <w:color w:val="000000"/>
                <w:sz w:val="20"/>
                <w:szCs w:val="20"/>
              </w:rPr>
            </w:pPr>
          </w:p>
          <w:p w14:paraId="43A9B4FB" w14:textId="77777777" w:rsidR="00AA6557" w:rsidRPr="00666914" w:rsidRDefault="00AA6557">
            <w:pPr>
              <w:spacing w:after="0"/>
              <w:jc w:val="center"/>
              <w:rPr>
                <w:color w:val="000000"/>
                <w:sz w:val="20"/>
                <w:szCs w:val="20"/>
              </w:rPr>
            </w:pPr>
          </w:p>
          <w:p w14:paraId="6090DFD1" w14:textId="77777777" w:rsidR="00AA6557" w:rsidRPr="00666914" w:rsidRDefault="00AA6557">
            <w:pPr>
              <w:spacing w:after="0"/>
              <w:jc w:val="center"/>
              <w:rPr>
                <w:color w:val="000000"/>
                <w:sz w:val="20"/>
                <w:szCs w:val="20"/>
              </w:rPr>
            </w:pPr>
          </w:p>
          <w:p w14:paraId="30E73E93" w14:textId="77777777" w:rsidR="00AA6557" w:rsidRPr="00666914" w:rsidRDefault="00AA6557">
            <w:pPr>
              <w:spacing w:after="0"/>
              <w:jc w:val="center"/>
              <w:rPr>
                <w:color w:val="000000"/>
                <w:sz w:val="20"/>
                <w:szCs w:val="20"/>
              </w:rPr>
            </w:pPr>
          </w:p>
        </w:tc>
      </w:tr>
      <w:tr w:rsidR="00AA6557" w:rsidRPr="00666914" w14:paraId="6D57A79F" w14:textId="77777777" w:rsidTr="003D59D9">
        <w:trPr>
          <w:trHeight w:val="271"/>
          <w:jc w:val="center"/>
        </w:trPr>
        <w:tc>
          <w:tcPr>
            <w:tcW w:w="697" w:type="dxa"/>
            <w:shd w:val="clear" w:color="auto" w:fill="auto"/>
            <w:vAlign w:val="center"/>
          </w:tcPr>
          <w:p w14:paraId="05243FB3" w14:textId="77777777" w:rsidR="00AA6557" w:rsidRPr="00666914" w:rsidRDefault="00AA6557">
            <w:pPr>
              <w:spacing w:after="0"/>
              <w:jc w:val="left"/>
              <w:rPr>
                <w:color w:val="000000"/>
                <w:sz w:val="18"/>
                <w:szCs w:val="18"/>
              </w:rPr>
            </w:pPr>
            <w:r w:rsidRPr="00666914">
              <w:rPr>
                <w:color w:val="000000"/>
                <w:sz w:val="18"/>
                <w:szCs w:val="18"/>
              </w:rPr>
              <w:t>14.4</w:t>
            </w:r>
          </w:p>
        </w:tc>
        <w:tc>
          <w:tcPr>
            <w:tcW w:w="1843" w:type="dxa"/>
            <w:shd w:val="clear" w:color="auto" w:fill="auto"/>
            <w:vAlign w:val="center"/>
          </w:tcPr>
          <w:p w14:paraId="5AAC6036" w14:textId="77777777" w:rsidR="00AA6557" w:rsidRPr="00666914" w:rsidRDefault="00AA6557">
            <w:pPr>
              <w:spacing w:after="0"/>
              <w:jc w:val="left"/>
              <w:rPr>
                <w:color w:val="000000"/>
                <w:sz w:val="18"/>
                <w:szCs w:val="18"/>
              </w:rPr>
            </w:pPr>
            <w:r w:rsidRPr="00666914">
              <w:rPr>
                <w:color w:val="000000"/>
                <w:sz w:val="18"/>
                <w:szCs w:val="18"/>
              </w:rPr>
              <w:t>Zlepšenie kvality a dostupnosti dát</w:t>
            </w:r>
          </w:p>
        </w:tc>
        <w:tc>
          <w:tcPr>
            <w:tcW w:w="2551" w:type="dxa"/>
            <w:shd w:val="clear" w:color="auto" w:fill="auto"/>
            <w:vAlign w:val="center"/>
          </w:tcPr>
          <w:p w14:paraId="21F3DB93" w14:textId="77777777" w:rsidR="00AA6557" w:rsidRPr="00666914" w:rsidRDefault="00AA6557">
            <w:pPr>
              <w:spacing w:after="0"/>
              <w:jc w:val="left"/>
              <w:rPr>
                <w:color w:val="000000"/>
                <w:sz w:val="18"/>
                <w:szCs w:val="18"/>
              </w:rPr>
            </w:pPr>
            <w:r w:rsidRPr="00666914">
              <w:rPr>
                <w:color w:val="000000"/>
                <w:sz w:val="18"/>
                <w:szCs w:val="18"/>
              </w:rPr>
              <w:t>Zvýšiť reprezentatívnosť výberového súboru IL MPRV SR vzhľadom na veľkosť fariem podľa obhospodarovanej plochy</w:t>
            </w:r>
          </w:p>
        </w:tc>
        <w:tc>
          <w:tcPr>
            <w:tcW w:w="1418" w:type="dxa"/>
            <w:shd w:val="clear" w:color="auto" w:fill="auto"/>
            <w:vAlign w:val="center"/>
          </w:tcPr>
          <w:p w14:paraId="233B55B8" w14:textId="77777777" w:rsidR="00AA6557" w:rsidRPr="00666914" w:rsidRDefault="00AA6557">
            <w:pPr>
              <w:spacing w:after="0"/>
              <w:jc w:val="center"/>
              <w:rPr>
                <w:color w:val="000000"/>
                <w:sz w:val="18"/>
                <w:szCs w:val="18"/>
              </w:rPr>
            </w:pPr>
            <w:r w:rsidRPr="00666914">
              <w:rPr>
                <w:color w:val="000000"/>
                <w:sz w:val="18"/>
                <w:szCs w:val="18"/>
              </w:rPr>
              <w:t>MPRV – Radela</w:t>
            </w:r>
          </w:p>
        </w:tc>
        <w:tc>
          <w:tcPr>
            <w:tcW w:w="992" w:type="dxa"/>
            <w:shd w:val="clear" w:color="auto" w:fill="auto"/>
            <w:vAlign w:val="center"/>
          </w:tcPr>
          <w:p w14:paraId="365439FA" w14:textId="77777777" w:rsidR="00AA6557" w:rsidRPr="00666914" w:rsidRDefault="00AA6557">
            <w:pPr>
              <w:spacing w:after="0"/>
              <w:jc w:val="center"/>
              <w:rPr>
                <w:color w:val="000000"/>
                <w:sz w:val="18"/>
                <w:szCs w:val="18"/>
              </w:rPr>
            </w:pPr>
            <w:r w:rsidRPr="00666914">
              <w:rPr>
                <w:color w:val="000000"/>
                <w:sz w:val="18"/>
                <w:szCs w:val="18"/>
              </w:rPr>
              <w:t>1.1.2020</w:t>
            </w:r>
          </w:p>
        </w:tc>
        <w:tc>
          <w:tcPr>
            <w:tcW w:w="709" w:type="dxa"/>
            <w:shd w:val="clear" w:color="auto" w:fill="A6A6A6"/>
            <w:vAlign w:val="bottom"/>
          </w:tcPr>
          <w:p w14:paraId="58410642" w14:textId="77777777" w:rsidR="00AA6557" w:rsidRPr="00666914" w:rsidRDefault="00AA6557">
            <w:pPr>
              <w:spacing w:after="0"/>
              <w:rPr>
                <w:color w:val="000000"/>
                <w:sz w:val="20"/>
                <w:szCs w:val="20"/>
              </w:rPr>
            </w:pPr>
          </w:p>
        </w:tc>
        <w:tc>
          <w:tcPr>
            <w:tcW w:w="708" w:type="dxa"/>
            <w:shd w:val="clear" w:color="auto" w:fill="A6A6A6"/>
            <w:vAlign w:val="bottom"/>
          </w:tcPr>
          <w:p w14:paraId="5199F508" w14:textId="77777777" w:rsidR="00AA6557" w:rsidRPr="00666914" w:rsidRDefault="00AA6557">
            <w:pPr>
              <w:spacing w:after="0"/>
              <w:rPr>
                <w:color w:val="000000"/>
                <w:sz w:val="20"/>
                <w:szCs w:val="20"/>
              </w:rPr>
            </w:pPr>
          </w:p>
        </w:tc>
        <w:tc>
          <w:tcPr>
            <w:tcW w:w="709" w:type="dxa"/>
            <w:shd w:val="clear" w:color="auto" w:fill="A6A6A6"/>
            <w:vAlign w:val="bottom"/>
          </w:tcPr>
          <w:p w14:paraId="1A5A12B1" w14:textId="77777777" w:rsidR="00AA6557" w:rsidRPr="00666914" w:rsidRDefault="00AA6557">
            <w:pPr>
              <w:spacing w:after="0"/>
              <w:rPr>
                <w:color w:val="000000"/>
                <w:sz w:val="20"/>
                <w:szCs w:val="20"/>
              </w:rPr>
            </w:pPr>
          </w:p>
        </w:tc>
        <w:tc>
          <w:tcPr>
            <w:tcW w:w="689" w:type="dxa"/>
            <w:shd w:val="clear" w:color="auto" w:fill="FF0000"/>
            <w:vAlign w:val="center"/>
          </w:tcPr>
          <w:p w14:paraId="0C8BE187" w14:textId="77777777" w:rsidR="00AA6557" w:rsidRPr="00666914" w:rsidRDefault="00AA6557">
            <w:pPr>
              <w:spacing w:after="0"/>
              <w:jc w:val="center"/>
              <w:rPr>
                <w:color w:val="000000"/>
                <w:sz w:val="20"/>
                <w:szCs w:val="20"/>
              </w:rPr>
            </w:pPr>
          </w:p>
        </w:tc>
      </w:tr>
      <w:tr w:rsidR="00AA6557" w:rsidRPr="00666914" w14:paraId="11AB9AAB" w14:textId="77777777" w:rsidTr="003D59D9">
        <w:trPr>
          <w:trHeight w:val="271"/>
          <w:jc w:val="center"/>
        </w:trPr>
        <w:tc>
          <w:tcPr>
            <w:tcW w:w="697" w:type="dxa"/>
            <w:shd w:val="clear" w:color="auto" w:fill="auto"/>
            <w:vAlign w:val="center"/>
          </w:tcPr>
          <w:p w14:paraId="56C665B6" w14:textId="77777777" w:rsidR="00AA6557" w:rsidRPr="00666914" w:rsidRDefault="00AA6557">
            <w:pPr>
              <w:spacing w:after="0"/>
              <w:jc w:val="left"/>
              <w:rPr>
                <w:color w:val="000000"/>
                <w:sz w:val="18"/>
                <w:szCs w:val="18"/>
              </w:rPr>
            </w:pPr>
            <w:r w:rsidRPr="00666914">
              <w:rPr>
                <w:color w:val="000000"/>
                <w:sz w:val="18"/>
                <w:szCs w:val="18"/>
              </w:rPr>
              <w:t>14.5</w:t>
            </w:r>
          </w:p>
        </w:tc>
        <w:tc>
          <w:tcPr>
            <w:tcW w:w="1843" w:type="dxa"/>
            <w:shd w:val="clear" w:color="auto" w:fill="auto"/>
            <w:vAlign w:val="center"/>
          </w:tcPr>
          <w:p w14:paraId="1438E723" w14:textId="77777777" w:rsidR="00AA6557" w:rsidRPr="00666914" w:rsidRDefault="00AA6557">
            <w:pPr>
              <w:spacing w:after="0"/>
              <w:jc w:val="left"/>
              <w:rPr>
                <w:color w:val="000000"/>
                <w:sz w:val="18"/>
                <w:szCs w:val="18"/>
              </w:rPr>
            </w:pPr>
            <w:r w:rsidRPr="00666914">
              <w:rPr>
                <w:color w:val="000000"/>
                <w:sz w:val="18"/>
                <w:szCs w:val="18"/>
              </w:rPr>
              <w:t>Zlepšenie kvality a dostupnosti dát</w:t>
            </w:r>
          </w:p>
        </w:tc>
        <w:tc>
          <w:tcPr>
            <w:tcW w:w="2551" w:type="dxa"/>
            <w:shd w:val="clear" w:color="auto" w:fill="auto"/>
            <w:vAlign w:val="center"/>
          </w:tcPr>
          <w:p w14:paraId="6607F265" w14:textId="77777777" w:rsidR="00AA6557" w:rsidRPr="00666914" w:rsidRDefault="00AA6557">
            <w:pPr>
              <w:spacing w:after="0"/>
              <w:jc w:val="left"/>
              <w:rPr>
                <w:color w:val="000000"/>
                <w:sz w:val="18"/>
                <w:szCs w:val="18"/>
              </w:rPr>
            </w:pPr>
            <w:r w:rsidRPr="00666914">
              <w:rPr>
                <w:color w:val="000000"/>
                <w:sz w:val="18"/>
                <w:szCs w:val="18"/>
              </w:rPr>
              <w:t>ATIS – funkčný systém dát o prehľade spracovateľských a výrobných cenách</w:t>
            </w:r>
          </w:p>
        </w:tc>
        <w:tc>
          <w:tcPr>
            <w:tcW w:w="1418" w:type="dxa"/>
            <w:shd w:val="clear" w:color="auto" w:fill="auto"/>
            <w:vAlign w:val="center"/>
          </w:tcPr>
          <w:p w14:paraId="59EAEDDF" w14:textId="77777777" w:rsidR="00AA6557" w:rsidRPr="00666914" w:rsidRDefault="00AA6557">
            <w:pPr>
              <w:spacing w:after="0"/>
              <w:jc w:val="center"/>
              <w:rPr>
                <w:color w:val="000000"/>
                <w:sz w:val="18"/>
                <w:szCs w:val="18"/>
              </w:rPr>
            </w:pPr>
            <w:r w:rsidRPr="00666914">
              <w:rPr>
                <w:color w:val="000000"/>
                <w:sz w:val="18"/>
                <w:szCs w:val="18"/>
              </w:rPr>
              <w:t>PPA</w:t>
            </w:r>
          </w:p>
        </w:tc>
        <w:tc>
          <w:tcPr>
            <w:tcW w:w="992" w:type="dxa"/>
            <w:shd w:val="clear" w:color="auto" w:fill="auto"/>
            <w:vAlign w:val="center"/>
          </w:tcPr>
          <w:p w14:paraId="24B47468" w14:textId="77777777" w:rsidR="00AA6557" w:rsidRPr="00666914" w:rsidRDefault="00AA6557">
            <w:pPr>
              <w:spacing w:after="0"/>
              <w:jc w:val="center"/>
              <w:rPr>
                <w:color w:val="000000"/>
                <w:sz w:val="18"/>
                <w:szCs w:val="18"/>
              </w:rPr>
            </w:pPr>
            <w:r w:rsidRPr="00666914">
              <w:rPr>
                <w:color w:val="000000"/>
                <w:sz w:val="18"/>
                <w:szCs w:val="18"/>
              </w:rPr>
              <w:t>1.1.2020</w:t>
            </w:r>
          </w:p>
        </w:tc>
        <w:tc>
          <w:tcPr>
            <w:tcW w:w="709" w:type="dxa"/>
            <w:shd w:val="clear" w:color="auto" w:fill="A6A6A6"/>
            <w:vAlign w:val="bottom"/>
          </w:tcPr>
          <w:p w14:paraId="39E27EF1" w14:textId="77777777" w:rsidR="00AA6557" w:rsidRPr="00666914" w:rsidRDefault="00AA6557">
            <w:pPr>
              <w:spacing w:after="0"/>
              <w:rPr>
                <w:color w:val="000000"/>
                <w:sz w:val="20"/>
                <w:szCs w:val="20"/>
              </w:rPr>
            </w:pPr>
          </w:p>
        </w:tc>
        <w:tc>
          <w:tcPr>
            <w:tcW w:w="708" w:type="dxa"/>
            <w:shd w:val="clear" w:color="auto" w:fill="A6A6A6"/>
            <w:vAlign w:val="bottom"/>
          </w:tcPr>
          <w:p w14:paraId="412CB021" w14:textId="77777777" w:rsidR="00AA6557" w:rsidRPr="00666914" w:rsidRDefault="00AA6557">
            <w:pPr>
              <w:spacing w:after="0"/>
              <w:rPr>
                <w:color w:val="000000"/>
                <w:sz w:val="20"/>
                <w:szCs w:val="20"/>
              </w:rPr>
            </w:pPr>
          </w:p>
        </w:tc>
        <w:tc>
          <w:tcPr>
            <w:tcW w:w="709" w:type="dxa"/>
            <w:shd w:val="clear" w:color="auto" w:fill="A6A6A6"/>
            <w:vAlign w:val="bottom"/>
          </w:tcPr>
          <w:p w14:paraId="6A6DADE3" w14:textId="77777777" w:rsidR="00AA6557" w:rsidRPr="00666914" w:rsidRDefault="00AA6557">
            <w:pPr>
              <w:spacing w:after="0"/>
              <w:rPr>
                <w:color w:val="000000"/>
                <w:sz w:val="20"/>
                <w:szCs w:val="20"/>
              </w:rPr>
            </w:pPr>
          </w:p>
        </w:tc>
        <w:tc>
          <w:tcPr>
            <w:tcW w:w="689" w:type="dxa"/>
            <w:shd w:val="clear" w:color="auto" w:fill="92D050"/>
            <w:vAlign w:val="center"/>
          </w:tcPr>
          <w:p w14:paraId="0CB4DDBF" w14:textId="77777777" w:rsidR="00AA6557" w:rsidRPr="00666914" w:rsidRDefault="00AA6557">
            <w:pPr>
              <w:spacing w:after="0"/>
              <w:jc w:val="center"/>
              <w:rPr>
                <w:color w:val="000000"/>
                <w:sz w:val="20"/>
                <w:szCs w:val="20"/>
              </w:rPr>
            </w:pPr>
          </w:p>
        </w:tc>
      </w:tr>
      <w:tr w:rsidR="00AA6557" w:rsidRPr="00666914" w14:paraId="5F0B1C4E" w14:textId="77777777" w:rsidTr="003D59D9">
        <w:trPr>
          <w:trHeight w:val="1396"/>
          <w:jc w:val="center"/>
        </w:trPr>
        <w:tc>
          <w:tcPr>
            <w:tcW w:w="697" w:type="dxa"/>
            <w:shd w:val="clear" w:color="auto" w:fill="auto"/>
            <w:vAlign w:val="center"/>
          </w:tcPr>
          <w:p w14:paraId="7F594106" w14:textId="77777777" w:rsidR="00AA6557" w:rsidRPr="00666914" w:rsidRDefault="00AA6557">
            <w:pPr>
              <w:spacing w:after="0"/>
              <w:jc w:val="left"/>
              <w:rPr>
                <w:color w:val="000000"/>
                <w:sz w:val="18"/>
                <w:szCs w:val="18"/>
              </w:rPr>
            </w:pPr>
            <w:r w:rsidRPr="00666914">
              <w:rPr>
                <w:color w:val="000000"/>
                <w:sz w:val="18"/>
                <w:szCs w:val="18"/>
              </w:rPr>
              <w:t>14.6</w:t>
            </w:r>
          </w:p>
        </w:tc>
        <w:tc>
          <w:tcPr>
            <w:tcW w:w="1843" w:type="dxa"/>
            <w:shd w:val="clear" w:color="auto" w:fill="auto"/>
            <w:vAlign w:val="center"/>
          </w:tcPr>
          <w:p w14:paraId="1E207825" w14:textId="77777777" w:rsidR="00AA6557" w:rsidRPr="00666914" w:rsidRDefault="00AA6557">
            <w:pPr>
              <w:spacing w:after="0"/>
              <w:jc w:val="left"/>
              <w:rPr>
                <w:color w:val="000000"/>
                <w:sz w:val="18"/>
                <w:szCs w:val="18"/>
              </w:rPr>
            </w:pPr>
            <w:r w:rsidRPr="00666914">
              <w:rPr>
                <w:color w:val="000000"/>
                <w:sz w:val="18"/>
                <w:szCs w:val="18"/>
              </w:rPr>
              <w:t>Zlepšenie kvality a dostupnosti dát</w:t>
            </w:r>
          </w:p>
        </w:tc>
        <w:tc>
          <w:tcPr>
            <w:tcW w:w="2551" w:type="dxa"/>
            <w:shd w:val="clear" w:color="auto" w:fill="auto"/>
            <w:vAlign w:val="center"/>
          </w:tcPr>
          <w:p w14:paraId="5EADEBBF" w14:textId="77777777" w:rsidR="00AA6557" w:rsidRPr="00666914" w:rsidRDefault="00AA6557">
            <w:pPr>
              <w:spacing w:after="0"/>
              <w:jc w:val="left"/>
              <w:rPr>
                <w:color w:val="000000"/>
                <w:sz w:val="18"/>
                <w:szCs w:val="18"/>
              </w:rPr>
            </w:pPr>
            <w:r w:rsidRPr="00666914">
              <w:rPr>
                <w:color w:val="000000"/>
                <w:sz w:val="18"/>
                <w:szCs w:val="18"/>
              </w:rPr>
              <w:t>VÚPOP – zverejňovať všetky dostupné dáta týkajúce sa kvality pôdy s možnosťou ich stiahnutia v podobe vhodnej na ďalšie spracovanie (prioritne: erózia, BPEJ, chránená pôda)</w:t>
            </w:r>
          </w:p>
        </w:tc>
        <w:tc>
          <w:tcPr>
            <w:tcW w:w="1418" w:type="dxa"/>
            <w:shd w:val="clear" w:color="auto" w:fill="auto"/>
            <w:vAlign w:val="center"/>
          </w:tcPr>
          <w:p w14:paraId="5139E317" w14:textId="77777777" w:rsidR="00AA6557" w:rsidRPr="00666914" w:rsidRDefault="00AA6557">
            <w:pPr>
              <w:spacing w:after="0"/>
              <w:jc w:val="center"/>
              <w:rPr>
                <w:color w:val="000000"/>
                <w:sz w:val="18"/>
                <w:szCs w:val="18"/>
              </w:rPr>
            </w:pPr>
            <w:r w:rsidRPr="00666914">
              <w:rPr>
                <w:color w:val="000000"/>
                <w:sz w:val="18"/>
                <w:szCs w:val="18"/>
              </w:rPr>
              <w:t>NPPC – VÚPOP</w:t>
            </w:r>
          </w:p>
        </w:tc>
        <w:tc>
          <w:tcPr>
            <w:tcW w:w="992" w:type="dxa"/>
            <w:shd w:val="clear" w:color="auto" w:fill="auto"/>
            <w:vAlign w:val="center"/>
          </w:tcPr>
          <w:p w14:paraId="34C9C7FE" w14:textId="77777777" w:rsidR="00AA6557" w:rsidRPr="00666914" w:rsidRDefault="00AA6557">
            <w:pPr>
              <w:spacing w:after="0"/>
              <w:jc w:val="center"/>
              <w:rPr>
                <w:color w:val="000000"/>
                <w:sz w:val="18"/>
                <w:szCs w:val="18"/>
              </w:rPr>
            </w:pPr>
            <w:r w:rsidRPr="00666914">
              <w:rPr>
                <w:color w:val="000000"/>
                <w:sz w:val="18"/>
                <w:szCs w:val="18"/>
              </w:rPr>
              <w:t>1.1.2020</w:t>
            </w:r>
          </w:p>
        </w:tc>
        <w:tc>
          <w:tcPr>
            <w:tcW w:w="709" w:type="dxa"/>
            <w:shd w:val="clear" w:color="auto" w:fill="A6A6A6"/>
            <w:vAlign w:val="bottom"/>
          </w:tcPr>
          <w:p w14:paraId="3C0A1E8F" w14:textId="77777777" w:rsidR="00AA6557" w:rsidRPr="00666914" w:rsidRDefault="00AA6557">
            <w:pPr>
              <w:spacing w:after="0"/>
              <w:rPr>
                <w:color w:val="000000"/>
                <w:sz w:val="20"/>
                <w:szCs w:val="20"/>
              </w:rPr>
            </w:pPr>
          </w:p>
        </w:tc>
        <w:tc>
          <w:tcPr>
            <w:tcW w:w="708" w:type="dxa"/>
            <w:shd w:val="clear" w:color="auto" w:fill="A6A6A6"/>
            <w:vAlign w:val="bottom"/>
          </w:tcPr>
          <w:p w14:paraId="6B433222" w14:textId="77777777" w:rsidR="00AA6557" w:rsidRPr="00666914" w:rsidRDefault="00AA6557">
            <w:pPr>
              <w:spacing w:after="0"/>
              <w:rPr>
                <w:color w:val="000000"/>
                <w:sz w:val="20"/>
                <w:szCs w:val="20"/>
              </w:rPr>
            </w:pPr>
          </w:p>
        </w:tc>
        <w:tc>
          <w:tcPr>
            <w:tcW w:w="709" w:type="dxa"/>
            <w:shd w:val="clear" w:color="auto" w:fill="A6A6A6"/>
            <w:vAlign w:val="bottom"/>
          </w:tcPr>
          <w:p w14:paraId="0BE7288F" w14:textId="77777777" w:rsidR="00AA6557" w:rsidRPr="00666914" w:rsidRDefault="00AA6557">
            <w:pPr>
              <w:spacing w:after="0"/>
              <w:rPr>
                <w:color w:val="000000"/>
                <w:sz w:val="20"/>
                <w:szCs w:val="20"/>
              </w:rPr>
            </w:pPr>
          </w:p>
        </w:tc>
        <w:tc>
          <w:tcPr>
            <w:tcW w:w="689" w:type="dxa"/>
            <w:shd w:val="clear" w:color="auto" w:fill="FF0000"/>
            <w:vAlign w:val="center"/>
          </w:tcPr>
          <w:p w14:paraId="3E0BA022" w14:textId="77777777" w:rsidR="00AA6557" w:rsidRPr="00666914" w:rsidRDefault="00AA6557">
            <w:pPr>
              <w:spacing w:after="0"/>
              <w:rPr>
                <w:color w:val="FF0000"/>
                <w:sz w:val="20"/>
                <w:szCs w:val="20"/>
              </w:rPr>
            </w:pPr>
          </w:p>
        </w:tc>
      </w:tr>
      <w:tr w:rsidR="00AA6557" w:rsidRPr="00666914" w14:paraId="5A9E33C3" w14:textId="77777777" w:rsidTr="003D59D9">
        <w:trPr>
          <w:trHeight w:val="1396"/>
          <w:jc w:val="center"/>
        </w:trPr>
        <w:tc>
          <w:tcPr>
            <w:tcW w:w="697" w:type="dxa"/>
            <w:tcBorders>
              <w:bottom w:val="single" w:sz="4" w:space="0" w:color="000000"/>
            </w:tcBorders>
            <w:shd w:val="clear" w:color="auto" w:fill="auto"/>
            <w:vAlign w:val="center"/>
          </w:tcPr>
          <w:p w14:paraId="4849C203" w14:textId="77777777" w:rsidR="00AA6557" w:rsidRPr="00666914" w:rsidRDefault="00AA6557">
            <w:pPr>
              <w:spacing w:after="0"/>
              <w:jc w:val="left"/>
              <w:rPr>
                <w:color w:val="000000"/>
                <w:sz w:val="18"/>
                <w:szCs w:val="18"/>
              </w:rPr>
            </w:pPr>
            <w:r w:rsidRPr="00666914">
              <w:rPr>
                <w:color w:val="000000"/>
                <w:sz w:val="18"/>
                <w:szCs w:val="18"/>
              </w:rPr>
              <w:t>14.9</w:t>
            </w:r>
          </w:p>
        </w:tc>
        <w:tc>
          <w:tcPr>
            <w:tcW w:w="1843" w:type="dxa"/>
            <w:tcBorders>
              <w:bottom w:val="single" w:sz="4" w:space="0" w:color="000000"/>
            </w:tcBorders>
            <w:shd w:val="clear" w:color="auto" w:fill="auto"/>
            <w:vAlign w:val="center"/>
          </w:tcPr>
          <w:p w14:paraId="50A4D996" w14:textId="77777777" w:rsidR="00AA6557" w:rsidRPr="00666914" w:rsidRDefault="00AA6557">
            <w:pPr>
              <w:spacing w:after="0"/>
              <w:jc w:val="left"/>
              <w:rPr>
                <w:color w:val="000000"/>
                <w:sz w:val="18"/>
                <w:szCs w:val="18"/>
              </w:rPr>
            </w:pPr>
            <w:r w:rsidRPr="00666914">
              <w:rPr>
                <w:color w:val="000000"/>
                <w:sz w:val="18"/>
                <w:szCs w:val="18"/>
              </w:rPr>
              <w:t>Zlepšenie kvality a dostupnosti dát</w:t>
            </w:r>
          </w:p>
        </w:tc>
        <w:tc>
          <w:tcPr>
            <w:tcW w:w="2551" w:type="dxa"/>
            <w:tcBorders>
              <w:bottom w:val="single" w:sz="4" w:space="0" w:color="000000"/>
            </w:tcBorders>
            <w:shd w:val="clear" w:color="auto" w:fill="auto"/>
            <w:vAlign w:val="center"/>
          </w:tcPr>
          <w:p w14:paraId="5F3C29EE" w14:textId="77777777" w:rsidR="00AA6557" w:rsidRPr="00666914" w:rsidRDefault="00AA6557">
            <w:pPr>
              <w:spacing w:after="0"/>
              <w:jc w:val="left"/>
              <w:rPr>
                <w:color w:val="000000"/>
                <w:sz w:val="18"/>
                <w:szCs w:val="18"/>
              </w:rPr>
            </w:pPr>
            <w:r w:rsidRPr="00666914">
              <w:rPr>
                <w:color w:val="000000"/>
                <w:sz w:val="18"/>
                <w:szCs w:val="18"/>
              </w:rPr>
              <w:t>Vykazovať štatistiky týkajúce sa pôdy prenajímanej mladým poľnohospodárom a podnikom venujúcim sa produkcii komodít s vysokou pr</w:t>
            </w:r>
            <w:r w:rsidRPr="00666914">
              <w:rPr>
                <w:sz w:val="18"/>
                <w:szCs w:val="18"/>
              </w:rPr>
              <w:t>id</w:t>
            </w:r>
            <w:r w:rsidRPr="00666914">
              <w:rPr>
                <w:color w:val="000000"/>
                <w:sz w:val="18"/>
                <w:szCs w:val="18"/>
              </w:rPr>
              <w:t>anou hodnotou</w:t>
            </w:r>
          </w:p>
        </w:tc>
        <w:tc>
          <w:tcPr>
            <w:tcW w:w="1418" w:type="dxa"/>
            <w:tcBorders>
              <w:bottom w:val="single" w:sz="4" w:space="0" w:color="000000"/>
            </w:tcBorders>
            <w:shd w:val="clear" w:color="auto" w:fill="auto"/>
            <w:vAlign w:val="center"/>
          </w:tcPr>
          <w:p w14:paraId="22217285" w14:textId="77777777" w:rsidR="00AA6557" w:rsidRPr="00666914" w:rsidRDefault="00AA6557">
            <w:pPr>
              <w:spacing w:after="0"/>
              <w:jc w:val="center"/>
              <w:rPr>
                <w:color w:val="000000"/>
                <w:sz w:val="18"/>
                <w:szCs w:val="18"/>
              </w:rPr>
            </w:pPr>
            <w:r w:rsidRPr="00666914">
              <w:rPr>
                <w:color w:val="000000"/>
                <w:sz w:val="18"/>
                <w:szCs w:val="18"/>
              </w:rPr>
              <w:t>SPF</w:t>
            </w:r>
          </w:p>
        </w:tc>
        <w:tc>
          <w:tcPr>
            <w:tcW w:w="992" w:type="dxa"/>
            <w:tcBorders>
              <w:bottom w:val="single" w:sz="4" w:space="0" w:color="000000"/>
            </w:tcBorders>
            <w:shd w:val="clear" w:color="auto" w:fill="auto"/>
            <w:vAlign w:val="center"/>
          </w:tcPr>
          <w:p w14:paraId="783310BC" w14:textId="77777777" w:rsidR="00AA6557" w:rsidRPr="00666914" w:rsidRDefault="00AA6557">
            <w:pPr>
              <w:spacing w:after="0"/>
              <w:jc w:val="center"/>
              <w:rPr>
                <w:color w:val="000000"/>
                <w:sz w:val="18"/>
                <w:szCs w:val="18"/>
              </w:rPr>
            </w:pPr>
            <w:r w:rsidRPr="00666914">
              <w:rPr>
                <w:color w:val="000000"/>
                <w:sz w:val="18"/>
                <w:szCs w:val="18"/>
              </w:rPr>
              <w:t>1.1.2020</w:t>
            </w:r>
          </w:p>
        </w:tc>
        <w:tc>
          <w:tcPr>
            <w:tcW w:w="709" w:type="dxa"/>
            <w:tcBorders>
              <w:bottom w:val="single" w:sz="4" w:space="0" w:color="000000"/>
            </w:tcBorders>
            <w:shd w:val="clear" w:color="auto" w:fill="A6A6A6"/>
            <w:vAlign w:val="bottom"/>
          </w:tcPr>
          <w:p w14:paraId="5A15F3E2" w14:textId="77777777" w:rsidR="00AA6557" w:rsidRPr="00666914" w:rsidRDefault="00AA6557">
            <w:pPr>
              <w:spacing w:after="0"/>
              <w:rPr>
                <w:color w:val="000000"/>
                <w:sz w:val="20"/>
                <w:szCs w:val="20"/>
              </w:rPr>
            </w:pPr>
          </w:p>
        </w:tc>
        <w:tc>
          <w:tcPr>
            <w:tcW w:w="708" w:type="dxa"/>
            <w:tcBorders>
              <w:bottom w:val="single" w:sz="4" w:space="0" w:color="000000"/>
            </w:tcBorders>
            <w:shd w:val="clear" w:color="auto" w:fill="A6A6A6"/>
            <w:vAlign w:val="bottom"/>
          </w:tcPr>
          <w:p w14:paraId="1739FB0C" w14:textId="77777777" w:rsidR="00AA6557" w:rsidRPr="00666914" w:rsidRDefault="00AA6557">
            <w:pPr>
              <w:spacing w:after="0"/>
              <w:rPr>
                <w:color w:val="000000"/>
                <w:sz w:val="20"/>
                <w:szCs w:val="20"/>
              </w:rPr>
            </w:pPr>
          </w:p>
        </w:tc>
        <w:tc>
          <w:tcPr>
            <w:tcW w:w="709" w:type="dxa"/>
            <w:tcBorders>
              <w:bottom w:val="single" w:sz="4" w:space="0" w:color="000000"/>
            </w:tcBorders>
            <w:shd w:val="clear" w:color="auto" w:fill="A6A6A6"/>
            <w:vAlign w:val="bottom"/>
          </w:tcPr>
          <w:p w14:paraId="2660BBF3" w14:textId="77777777" w:rsidR="00AA6557" w:rsidRPr="00666914" w:rsidRDefault="00AA6557">
            <w:pPr>
              <w:spacing w:after="0"/>
              <w:rPr>
                <w:color w:val="000000"/>
                <w:sz w:val="20"/>
                <w:szCs w:val="20"/>
              </w:rPr>
            </w:pPr>
          </w:p>
        </w:tc>
        <w:tc>
          <w:tcPr>
            <w:tcW w:w="689" w:type="dxa"/>
            <w:tcBorders>
              <w:bottom w:val="single" w:sz="4" w:space="0" w:color="000000"/>
            </w:tcBorders>
            <w:shd w:val="clear" w:color="auto" w:fill="FF0000"/>
            <w:vAlign w:val="center"/>
          </w:tcPr>
          <w:p w14:paraId="681722C8" w14:textId="77777777" w:rsidR="00AA6557" w:rsidRPr="00666914" w:rsidRDefault="00AA6557">
            <w:pPr>
              <w:spacing w:after="0"/>
              <w:jc w:val="center"/>
              <w:rPr>
                <w:color w:val="FF0000"/>
                <w:sz w:val="20"/>
                <w:szCs w:val="20"/>
              </w:rPr>
            </w:pPr>
          </w:p>
        </w:tc>
      </w:tr>
      <w:tr w:rsidR="00AA6557" w:rsidRPr="00666914" w14:paraId="61C0EFAD" w14:textId="77777777" w:rsidTr="003D59D9">
        <w:trPr>
          <w:trHeight w:val="1396"/>
          <w:jc w:val="center"/>
        </w:trPr>
        <w:tc>
          <w:tcPr>
            <w:tcW w:w="697" w:type="dxa"/>
            <w:shd w:val="clear" w:color="auto" w:fill="auto"/>
            <w:vAlign w:val="center"/>
          </w:tcPr>
          <w:p w14:paraId="0234A945" w14:textId="77777777" w:rsidR="00AA6557" w:rsidRPr="00666914" w:rsidRDefault="00AA6557">
            <w:pPr>
              <w:spacing w:after="0"/>
              <w:jc w:val="left"/>
              <w:rPr>
                <w:color w:val="000000"/>
                <w:sz w:val="18"/>
                <w:szCs w:val="18"/>
              </w:rPr>
            </w:pPr>
            <w:r w:rsidRPr="00666914">
              <w:rPr>
                <w:color w:val="000000"/>
                <w:sz w:val="18"/>
                <w:szCs w:val="18"/>
              </w:rPr>
              <w:t>14.10</w:t>
            </w:r>
          </w:p>
        </w:tc>
        <w:tc>
          <w:tcPr>
            <w:tcW w:w="1843" w:type="dxa"/>
            <w:shd w:val="clear" w:color="auto" w:fill="auto"/>
            <w:vAlign w:val="center"/>
          </w:tcPr>
          <w:p w14:paraId="394E5EFC" w14:textId="77777777" w:rsidR="00AA6557" w:rsidRPr="00666914" w:rsidRDefault="00AA6557">
            <w:pPr>
              <w:spacing w:after="0"/>
              <w:jc w:val="left"/>
              <w:rPr>
                <w:color w:val="000000"/>
                <w:sz w:val="18"/>
                <w:szCs w:val="18"/>
              </w:rPr>
            </w:pPr>
            <w:r w:rsidRPr="00666914">
              <w:rPr>
                <w:color w:val="000000"/>
                <w:sz w:val="18"/>
                <w:szCs w:val="18"/>
              </w:rPr>
              <w:t>Zlepšenie kvality a dostupnosti dát</w:t>
            </w:r>
          </w:p>
        </w:tc>
        <w:tc>
          <w:tcPr>
            <w:tcW w:w="2551" w:type="dxa"/>
            <w:shd w:val="clear" w:color="auto" w:fill="auto"/>
            <w:vAlign w:val="center"/>
          </w:tcPr>
          <w:p w14:paraId="0E9EB5C1" w14:textId="77777777" w:rsidR="00AA6557" w:rsidRPr="00666914" w:rsidRDefault="00AA6557">
            <w:pPr>
              <w:spacing w:after="0"/>
              <w:jc w:val="left"/>
              <w:rPr>
                <w:color w:val="000000"/>
                <w:sz w:val="18"/>
                <w:szCs w:val="18"/>
              </w:rPr>
            </w:pPr>
            <w:r w:rsidRPr="00666914">
              <w:rPr>
                <w:color w:val="000000"/>
                <w:sz w:val="18"/>
                <w:szCs w:val="18"/>
              </w:rPr>
              <w:t>MPRV – zverejňovať podrobnejšie údaje o pozemkových úpravách – ukončené aj prebiehajúce, PJPÚ aj PPÚ, vrátane kódu k. ú., ceny a zdroja financovania</w:t>
            </w:r>
          </w:p>
        </w:tc>
        <w:tc>
          <w:tcPr>
            <w:tcW w:w="1418" w:type="dxa"/>
            <w:shd w:val="clear" w:color="auto" w:fill="auto"/>
            <w:vAlign w:val="center"/>
          </w:tcPr>
          <w:p w14:paraId="79AF6D2C" w14:textId="77777777" w:rsidR="00AA6557" w:rsidRPr="00666914" w:rsidRDefault="00AA6557">
            <w:pPr>
              <w:spacing w:after="0"/>
              <w:jc w:val="center"/>
              <w:rPr>
                <w:color w:val="000000"/>
                <w:sz w:val="18"/>
                <w:szCs w:val="18"/>
              </w:rPr>
            </w:pPr>
            <w:r w:rsidRPr="00666914">
              <w:rPr>
                <w:color w:val="000000"/>
                <w:sz w:val="18"/>
                <w:szCs w:val="18"/>
              </w:rPr>
              <w:t>MPRV, Sekcia legislatívy, Sekcia identifikácie a kontroly poľnohospodárskych pozemkov</w:t>
            </w:r>
          </w:p>
        </w:tc>
        <w:tc>
          <w:tcPr>
            <w:tcW w:w="992" w:type="dxa"/>
            <w:shd w:val="clear" w:color="auto" w:fill="auto"/>
            <w:vAlign w:val="center"/>
          </w:tcPr>
          <w:p w14:paraId="59FC3CCD" w14:textId="77777777" w:rsidR="00AA6557" w:rsidRPr="00666914" w:rsidRDefault="00AA6557">
            <w:pPr>
              <w:spacing w:after="0"/>
              <w:jc w:val="center"/>
              <w:rPr>
                <w:color w:val="000000"/>
                <w:sz w:val="18"/>
                <w:szCs w:val="18"/>
              </w:rPr>
            </w:pPr>
            <w:r w:rsidRPr="00666914">
              <w:rPr>
                <w:color w:val="000000"/>
                <w:sz w:val="18"/>
                <w:szCs w:val="18"/>
              </w:rPr>
              <w:t>1.1.2020</w:t>
            </w:r>
          </w:p>
        </w:tc>
        <w:tc>
          <w:tcPr>
            <w:tcW w:w="709" w:type="dxa"/>
            <w:shd w:val="clear" w:color="auto" w:fill="A6A6A6"/>
            <w:vAlign w:val="bottom"/>
          </w:tcPr>
          <w:p w14:paraId="3CB55C37" w14:textId="77777777" w:rsidR="00AA6557" w:rsidRPr="00666914" w:rsidRDefault="00AA6557">
            <w:pPr>
              <w:spacing w:after="0"/>
              <w:rPr>
                <w:color w:val="000000"/>
                <w:sz w:val="20"/>
                <w:szCs w:val="20"/>
              </w:rPr>
            </w:pPr>
          </w:p>
        </w:tc>
        <w:tc>
          <w:tcPr>
            <w:tcW w:w="708" w:type="dxa"/>
            <w:shd w:val="clear" w:color="auto" w:fill="A6A6A6"/>
            <w:vAlign w:val="bottom"/>
          </w:tcPr>
          <w:p w14:paraId="149F785C" w14:textId="77777777" w:rsidR="00AA6557" w:rsidRPr="00666914" w:rsidRDefault="00AA6557">
            <w:pPr>
              <w:spacing w:after="0"/>
              <w:rPr>
                <w:color w:val="000000"/>
                <w:sz w:val="20"/>
                <w:szCs w:val="20"/>
              </w:rPr>
            </w:pPr>
          </w:p>
        </w:tc>
        <w:tc>
          <w:tcPr>
            <w:tcW w:w="709" w:type="dxa"/>
            <w:shd w:val="clear" w:color="auto" w:fill="A6A6A6"/>
            <w:vAlign w:val="bottom"/>
          </w:tcPr>
          <w:p w14:paraId="44D914BF" w14:textId="77777777" w:rsidR="00AA6557" w:rsidRPr="00666914" w:rsidRDefault="00AA6557">
            <w:pPr>
              <w:spacing w:after="0"/>
              <w:rPr>
                <w:color w:val="000000"/>
                <w:sz w:val="20"/>
                <w:szCs w:val="20"/>
              </w:rPr>
            </w:pPr>
          </w:p>
        </w:tc>
        <w:tc>
          <w:tcPr>
            <w:tcW w:w="689" w:type="dxa"/>
            <w:shd w:val="clear" w:color="auto" w:fill="FF0000"/>
            <w:vAlign w:val="center"/>
          </w:tcPr>
          <w:p w14:paraId="56FDCD7C" w14:textId="77777777" w:rsidR="00AA6557" w:rsidRPr="00666914" w:rsidRDefault="00AA6557">
            <w:pPr>
              <w:spacing w:after="0"/>
              <w:rPr>
                <w:color w:val="FF0000"/>
                <w:sz w:val="20"/>
                <w:szCs w:val="20"/>
              </w:rPr>
            </w:pPr>
          </w:p>
        </w:tc>
      </w:tr>
    </w:tbl>
    <w:p w14:paraId="41B7B3B0" w14:textId="77777777" w:rsidR="00AA6557" w:rsidRPr="00666914" w:rsidRDefault="00AA6557">
      <w:pPr>
        <w:pBdr>
          <w:top w:val="nil"/>
          <w:left w:val="nil"/>
          <w:bottom w:val="nil"/>
          <w:right w:val="nil"/>
          <w:between w:val="nil"/>
        </w:pBdr>
        <w:spacing w:after="0"/>
        <w:ind w:hanging="720"/>
        <w:rPr>
          <w:color w:val="000000"/>
        </w:rPr>
      </w:pPr>
    </w:p>
    <w:p w14:paraId="3F7539BC" w14:textId="77777777" w:rsidR="00AA6557" w:rsidRPr="00666914" w:rsidRDefault="00AA6557" w:rsidP="00B515EB">
      <w:pPr>
        <w:pBdr>
          <w:top w:val="nil"/>
          <w:left w:val="nil"/>
          <w:bottom w:val="nil"/>
          <w:right w:val="nil"/>
          <w:between w:val="nil"/>
        </w:pBdr>
        <w:spacing w:after="0"/>
        <w:ind w:left="708" w:firstLine="1"/>
        <w:rPr>
          <w:b/>
          <w:color w:val="000000"/>
          <w:u w:val="single"/>
        </w:rPr>
      </w:pPr>
      <w:r w:rsidRPr="00666914">
        <w:rPr>
          <w:b/>
          <w:color w:val="000000"/>
          <w:u w:val="single"/>
        </w:rPr>
        <w:t>14.2  Aplikovať v  IL MPRV SR jednotné členenie ukazovateľov RV a ŽV pre konvenčné a ekologické poľnohospodárstvo</w:t>
      </w:r>
    </w:p>
    <w:p w14:paraId="0F34B020" w14:textId="77777777" w:rsidR="00AA6557" w:rsidRPr="00666914" w:rsidRDefault="00AA6557">
      <w:pPr>
        <w:pBdr>
          <w:top w:val="nil"/>
          <w:left w:val="nil"/>
          <w:bottom w:val="nil"/>
          <w:right w:val="nil"/>
          <w:between w:val="nil"/>
        </w:pBdr>
        <w:spacing w:after="0"/>
        <w:ind w:hanging="720"/>
        <w:rPr>
          <w:color w:val="000000"/>
        </w:rPr>
      </w:pPr>
    </w:p>
    <w:p w14:paraId="73557265" w14:textId="77777777" w:rsidR="00AA6557" w:rsidRPr="00666914" w:rsidRDefault="00AA6557" w:rsidP="00287DFE">
      <w:pPr>
        <w:pBdr>
          <w:top w:val="nil"/>
          <w:left w:val="nil"/>
          <w:bottom w:val="nil"/>
          <w:right w:val="nil"/>
          <w:between w:val="nil"/>
        </w:pBdr>
        <w:rPr>
          <w:color w:val="000000"/>
        </w:rPr>
      </w:pPr>
      <w:r w:rsidRPr="00666914">
        <w:rPr>
          <w:color w:val="000000"/>
        </w:rPr>
        <w:t xml:space="preserve">Informačné listy (IL MPRV SR) vytvárajú každoročnú rezortnú databázu, prostredníctvom ktorej sa komplexnejšie posudzuje vývoj a stav poľnohospodárstva. Na základe získaných údajov je tiež možné prijímať </w:t>
      </w:r>
      <w:sdt>
        <w:sdtPr>
          <w:tag w:val="goog_rdk_71"/>
          <w:id w:val="-27952487"/>
        </w:sdtPr>
        <w:sdtEndPr/>
        <w:sdtContent/>
      </w:sdt>
      <w:sdt>
        <w:sdtPr>
          <w:tag w:val="goog_rdk_72"/>
          <w:id w:val="-1399281478"/>
        </w:sdtPr>
        <w:sdtEndPr/>
        <w:sdtContent/>
      </w:sdt>
      <w:sdt>
        <w:sdtPr>
          <w:tag w:val="goog_rdk_73"/>
          <w:id w:val="997690324"/>
        </w:sdtPr>
        <w:sdtEndPr/>
        <w:sdtContent/>
      </w:sdt>
      <w:r w:rsidRPr="00666914">
        <w:rPr>
          <w:color w:val="000000"/>
        </w:rPr>
        <w:t>rozhodnutia, ktoré oblasti poľnohospodárstva podporiť v ďalších rokoch. Získané informácie sú každoročne jedným z dôležitých zdrojov Zelenej správy</w:t>
      </w:r>
      <w:r w:rsidRPr="00666914">
        <w:rPr>
          <w:color w:val="000000"/>
          <w:vertAlign w:val="superscript"/>
        </w:rPr>
        <w:footnoteReference w:id="473"/>
      </w:r>
      <w:r w:rsidRPr="00666914">
        <w:rPr>
          <w:color w:val="000000"/>
        </w:rPr>
        <w:t xml:space="preserve"> vypracovanej MPRV SR. </w:t>
      </w:r>
    </w:p>
    <w:p w14:paraId="3012846E" w14:textId="77777777" w:rsidR="00AA6557" w:rsidRPr="00666914" w:rsidRDefault="00AA6557" w:rsidP="00287DFE">
      <w:pPr>
        <w:pBdr>
          <w:top w:val="nil"/>
          <w:left w:val="nil"/>
          <w:bottom w:val="nil"/>
          <w:right w:val="nil"/>
          <w:between w:val="nil"/>
        </w:pBdr>
        <w:rPr>
          <w:color w:val="000000"/>
        </w:rPr>
      </w:pPr>
      <w:r w:rsidRPr="00666914">
        <w:rPr>
          <w:color w:val="000000"/>
        </w:rPr>
        <w:t xml:space="preserve">IL MPRV SR sú zdrojom informácií vytvárajúcich podklady pre riadenie poľnohospodárskej politiky na našom území. Základom pre vykazovanie správnych dát z IL MPRV SR je korektné vyhotovenie dotazníka, prostredníctvom ktorého sa uskutočňuje výberové zisťovanie. Revízia uložila pre MPRV SR </w:t>
      </w:r>
      <w:sdt>
        <w:sdtPr>
          <w:tag w:val="goog_rdk_74"/>
          <w:id w:val="-1082759201"/>
        </w:sdtPr>
        <w:sdtEndPr/>
        <w:sdtContent/>
      </w:sdt>
      <w:sdt>
        <w:sdtPr>
          <w:tag w:val="goog_rdk_75"/>
          <w:id w:val="653111570"/>
        </w:sdtPr>
        <w:sdtEndPr/>
        <w:sdtContent/>
      </w:sdt>
      <w:r w:rsidRPr="00666914">
        <w:rPr>
          <w:color w:val="000000"/>
        </w:rPr>
        <w:t>a spol</w:t>
      </w:r>
      <w:r w:rsidRPr="00666914">
        <w:t>očnosť</w:t>
      </w:r>
      <w:r w:rsidRPr="00666914">
        <w:rPr>
          <w:color w:val="000000"/>
        </w:rPr>
        <w:t xml:space="preserve"> Radela úlohu, aby upravili IL MPRV SR a zjednotili členenie ukazovateľov v konvenčnom a ekologickom poľnohospodárstve. IL MPRV SR 2020, ktoré budú skúmať veľkosť zberových plôch v ha a dopestovanú úrodu v m. j. za rok 2019 a porovnávať s rokom 2018, majú mať podľa návrhu revízie a odporúčania Inštitútu pôdohospodárskej politiky (IPP) zjednotené ukazovatele.</w:t>
      </w:r>
    </w:p>
    <w:p w14:paraId="516F2DA0" w14:textId="77777777" w:rsidR="00AA6557" w:rsidRPr="00666914" w:rsidRDefault="00AA6557" w:rsidP="00287DFE">
      <w:pPr>
        <w:pBdr>
          <w:top w:val="nil"/>
          <w:left w:val="nil"/>
          <w:bottom w:val="nil"/>
          <w:right w:val="nil"/>
          <w:between w:val="nil"/>
        </w:pBdr>
        <w:rPr>
          <w:b/>
          <w:color w:val="000000"/>
        </w:rPr>
      </w:pPr>
      <w:r w:rsidRPr="00666914">
        <w:rPr>
          <w:b/>
          <w:color w:val="000000"/>
        </w:rPr>
        <w:lastRenderedPageBreak/>
        <w:t>Nezverejnené IL MPRV SR 2020 boli do 12/2019 vypracované a upravené</w:t>
      </w:r>
      <w:r w:rsidRPr="00666914">
        <w:rPr>
          <w:b/>
          <w:color w:val="000000"/>
          <w:vertAlign w:val="superscript"/>
        </w:rPr>
        <w:footnoteReference w:id="474"/>
      </w:r>
      <w:r w:rsidRPr="00666914">
        <w:rPr>
          <w:b/>
          <w:color w:val="000000"/>
        </w:rPr>
        <w:t>. Zverejnenie IL MPRV SR 2020 prebieha v 1. štvrťroku príslušného roku, v nadväznosti na termín začiatku zberu údajov, opatrenie sa k 31.12.2019 plní.</w:t>
      </w:r>
    </w:p>
    <w:p w14:paraId="31363FC6" w14:textId="77777777" w:rsidR="00AA6557" w:rsidRPr="00666914" w:rsidRDefault="00AA6557" w:rsidP="00287DFE">
      <w:pPr>
        <w:pBdr>
          <w:top w:val="nil"/>
          <w:left w:val="nil"/>
          <w:bottom w:val="nil"/>
          <w:right w:val="nil"/>
          <w:between w:val="nil"/>
        </w:pBdr>
        <w:spacing w:after="0"/>
        <w:rPr>
          <w:color w:val="000000"/>
        </w:rPr>
      </w:pPr>
      <w:r w:rsidRPr="00666914">
        <w:rPr>
          <w:color w:val="000000"/>
        </w:rPr>
        <w:t xml:space="preserve">Zjednotili sa ukazovatele v rastlinnej výrobe (RV) a rovnaké členenie je zahrnuté v rámci zberových plôch, ako aj v dopestovanej úrode. Zjednotené členenie ukazovateľov umožní analytickým jednotkám MPRV SR vyhodnocovať a porovnávať druh dopestovanej plodiny na 1 ha. Ukazovatele živočíšnej výroby (ŽV) boli upravené a v dotazníkoch sa uvádza aj produkcia v ekologickom poľnohospodárstve. </w:t>
      </w:r>
    </w:p>
    <w:p w14:paraId="093950F2" w14:textId="77777777" w:rsidR="00AA6557" w:rsidRPr="00666914" w:rsidRDefault="00AA6557">
      <w:pPr>
        <w:pBdr>
          <w:top w:val="nil"/>
          <w:left w:val="nil"/>
          <w:bottom w:val="nil"/>
          <w:right w:val="nil"/>
          <w:between w:val="nil"/>
        </w:pBdr>
        <w:spacing w:after="0"/>
        <w:ind w:hanging="720"/>
        <w:rPr>
          <w:color w:val="000000"/>
        </w:rPr>
      </w:pPr>
    </w:p>
    <w:p w14:paraId="76E3085C" w14:textId="77777777" w:rsidR="00AA6557" w:rsidRPr="00666914" w:rsidRDefault="00AA6557" w:rsidP="00B515EB">
      <w:pPr>
        <w:spacing w:after="0"/>
        <w:ind w:left="708" w:firstLine="12"/>
        <w:rPr>
          <w:b/>
          <w:u w:val="single"/>
        </w:rPr>
      </w:pPr>
      <w:r w:rsidRPr="00666914">
        <w:rPr>
          <w:b/>
          <w:u w:val="single"/>
        </w:rPr>
        <w:t>14.3  Doplniť do IL MPRV SR ukazovatele produkcie komodít rastlinnej a živočíšnej výroby vyjadrené v EUR</w:t>
      </w:r>
    </w:p>
    <w:p w14:paraId="7EC4B751" w14:textId="77777777" w:rsidR="00AA6557" w:rsidRPr="00666914" w:rsidRDefault="00AA6557">
      <w:pPr>
        <w:spacing w:after="0"/>
        <w:ind w:left="720"/>
        <w:rPr>
          <w:b/>
          <w:u w:val="single"/>
        </w:rPr>
      </w:pPr>
    </w:p>
    <w:p w14:paraId="5BB98F0B" w14:textId="77777777" w:rsidR="00AA6557" w:rsidRPr="00666914" w:rsidRDefault="00AA6557" w:rsidP="00287DFE">
      <w:r w:rsidRPr="00666914">
        <w:t xml:space="preserve">Prostredníctvom IL MPRV SR rezort disponuje podrobnými informáciami o stave jednotlivých fariem. Na základe vykazovaných skutočností za dva predošlé roky má MPRV SR najaktuálnejšiu databázu, na základe ktorej môže prijímať rozhodnutia v poľnohospodárskej politike. Popri všeobecných údajoch z účtovníctva, ktoré sú zároveň </w:t>
      </w:r>
      <w:sdt>
        <w:sdtPr>
          <w:tag w:val="goog_rdk_76"/>
          <w:id w:val="1702742119"/>
        </w:sdtPr>
        <w:sdtEndPr/>
        <w:sdtContent/>
      </w:sdt>
      <w:sdt>
        <w:sdtPr>
          <w:tag w:val="goog_rdk_77"/>
          <w:id w:val="2098899003"/>
        </w:sdtPr>
        <w:sdtEndPr/>
        <w:sdtContent/>
      </w:sdt>
      <w:r w:rsidRPr="00666914">
        <w:t>zverejňované vo väčšej časti v Registri účtovných závierok</w:t>
      </w:r>
      <w:r w:rsidRPr="00666914">
        <w:rPr>
          <w:vertAlign w:val="superscript"/>
        </w:rPr>
        <w:footnoteReference w:id="475"/>
      </w:r>
      <w:r w:rsidRPr="00666914">
        <w:t xml:space="preserve">, disponuje rezort aj podrobnými informáciami o výmere a  produkcii v m. j. Revízia stanovila MPRV SR a spol. Radela upraviť výkaz a doplniť vykazovanie produkcie komodít v eurách. </w:t>
      </w:r>
    </w:p>
    <w:p w14:paraId="4A9ACCE5" w14:textId="09113D33" w:rsidR="00AA6557" w:rsidRPr="00666914" w:rsidRDefault="00AA6557" w:rsidP="00EE4567">
      <w:pPr>
        <w:spacing w:after="0"/>
      </w:pPr>
      <w:r w:rsidRPr="00666914">
        <w:t xml:space="preserve">Plnenie opatrenia si vyžadovalo doplnenie stĺpca s uvedenými tržbami za konkrétnu komoditu v eurách v časti vykazovania komodít RV a ŽV. Zo zatiaľ nezverejnených IL MPRV SR </w:t>
      </w:r>
      <w:sdt>
        <w:sdtPr>
          <w:tag w:val="goog_rdk_78"/>
          <w:id w:val="894010257"/>
        </w:sdtPr>
        <w:sdtEndPr/>
        <w:sdtContent/>
      </w:sdt>
      <w:sdt>
        <w:sdtPr>
          <w:tag w:val="goog_rdk_79"/>
          <w:id w:val="-1424715164"/>
        </w:sdtPr>
        <w:sdtEndPr/>
        <w:sdtContent/>
      </w:sdt>
      <w:r w:rsidRPr="00666914">
        <w:t>2020</w:t>
      </w:r>
      <w:r w:rsidRPr="00666914">
        <w:rPr>
          <w:vertAlign w:val="superscript"/>
        </w:rPr>
        <w:footnoteReference w:id="476"/>
      </w:r>
      <w:r w:rsidRPr="00666914">
        <w:t xml:space="preserve"> je zrejmé, že vykazovanie produkcie za rok 2019 už bude uvádzané okrem m. j.  aj v eurách, </w:t>
      </w:r>
      <w:r w:rsidRPr="00666914">
        <w:rPr>
          <w:b/>
        </w:rPr>
        <w:t>opatrenie sa k 31.12.2019 plní</w:t>
      </w:r>
      <w:r w:rsidRPr="00666914">
        <w:t xml:space="preserve">.   </w:t>
      </w:r>
    </w:p>
    <w:p w14:paraId="2FB35C9C" w14:textId="77777777" w:rsidR="00AA6557" w:rsidRPr="00666914" w:rsidRDefault="00AA6557">
      <w:pPr>
        <w:spacing w:after="0"/>
        <w:jc w:val="left"/>
      </w:pPr>
    </w:p>
    <w:p w14:paraId="0EF4AA56" w14:textId="77777777" w:rsidR="00AA6557" w:rsidRPr="00666914" w:rsidRDefault="00AA6557" w:rsidP="00B515EB">
      <w:pPr>
        <w:spacing w:after="0"/>
        <w:ind w:left="708" w:firstLine="1"/>
        <w:rPr>
          <w:b/>
          <w:u w:val="single"/>
        </w:rPr>
      </w:pPr>
      <w:r w:rsidRPr="00666914">
        <w:rPr>
          <w:b/>
          <w:u w:val="single"/>
        </w:rPr>
        <w:t>14.4    Zvýšiť reprezentatívnosť výberového súboru IL MPRV SR vzhľadom na veľkosť fariem podľa obhospodarovanej plochy</w:t>
      </w:r>
    </w:p>
    <w:p w14:paraId="5B375AAA" w14:textId="77777777" w:rsidR="00AA6557" w:rsidRPr="00666914" w:rsidRDefault="00AA6557" w:rsidP="00287DFE">
      <w:pPr>
        <w:pBdr>
          <w:top w:val="nil"/>
          <w:left w:val="nil"/>
          <w:bottom w:val="nil"/>
          <w:right w:val="nil"/>
          <w:between w:val="nil"/>
        </w:pBdr>
        <w:spacing w:after="0"/>
        <w:rPr>
          <w:color w:val="000000"/>
        </w:rPr>
      </w:pPr>
    </w:p>
    <w:p w14:paraId="759E1926" w14:textId="138CCCE5" w:rsidR="00AA6557" w:rsidRPr="00666914" w:rsidRDefault="00AA6557" w:rsidP="00287DFE">
      <w:pPr>
        <w:pBdr>
          <w:top w:val="nil"/>
          <w:left w:val="nil"/>
          <w:bottom w:val="nil"/>
          <w:right w:val="nil"/>
          <w:between w:val="nil"/>
        </w:pBdr>
        <w:rPr>
          <w:color w:val="000000"/>
        </w:rPr>
      </w:pPr>
      <w:r w:rsidRPr="00666914">
        <w:rPr>
          <w:color w:val="000000"/>
        </w:rPr>
        <w:t>V súčasnosti organizuje MPRV SR v spolupráci so spoločnosťou Radela, s.r.o., ktorá vytvára metodiku na výber vzorky, výberové zisť</w:t>
      </w:r>
      <w:r w:rsidRPr="00666914">
        <w:t>ovanie</w:t>
      </w:r>
      <w:r w:rsidRPr="00666914">
        <w:rPr>
          <w:color w:val="000000"/>
        </w:rPr>
        <w:t>.</w:t>
      </w:r>
      <w:sdt>
        <w:sdtPr>
          <w:tag w:val="goog_rdk_80"/>
          <w:id w:val="-1034340797"/>
        </w:sdtPr>
        <w:sdtEndPr/>
        <w:sdtContent/>
      </w:sdt>
      <w:sdt>
        <w:sdtPr>
          <w:tag w:val="goog_rdk_81"/>
          <w:id w:val="-50160562"/>
        </w:sdtPr>
        <w:sdtEndPr/>
        <w:sdtContent/>
      </w:sdt>
      <w:sdt>
        <w:sdtPr>
          <w:tag w:val="goog_rdk_82"/>
          <w:id w:val="-1271001356"/>
        </w:sdtPr>
        <w:sdtEndPr/>
        <w:sdtContent/>
      </w:sdt>
      <w:sdt>
        <w:sdtPr>
          <w:tag w:val="goog_rdk_83"/>
          <w:id w:val="-232547006"/>
        </w:sdtPr>
        <w:sdtEndPr/>
        <w:sdtContent/>
      </w:sdt>
      <w:r w:rsidRPr="00666914">
        <w:rPr>
          <w:color w:val="000000"/>
        </w:rPr>
        <w:t xml:space="preserve"> Zo všetkých späť vrátených vyplnených formulárov, ktorých je rozposlaných 3 600 ks, vyberá spol. Radela </w:t>
      </w:r>
      <w:sdt>
        <w:sdtPr>
          <w:tag w:val="goog_rdk_84"/>
          <w:id w:val="1000465832"/>
        </w:sdtPr>
        <w:sdtEndPr/>
        <w:sdtContent/>
      </w:sdt>
      <w:sdt>
        <w:sdtPr>
          <w:tag w:val="goog_rdk_85"/>
          <w:id w:val="-1228987803"/>
        </w:sdtPr>
        <w:sdtEndPr/>
        <w:sdtContent/>
      </w:sdt>
      <w:r w:rsidRPr="00666914">
        <w:rPr>
          <w:color w:val="000000"/>
        </w:rPr>
        <w:t>2 600 výkazov, ktoré spracováva. Metodika stanovená spol. Radela zahŕňa prevažne veľké farmy, ktoré v rámci výberovej vzorky zahŕňajú približne 80 % ornej pôdy SR, avšak berie do úvahy len 2 600 fariem z celkového počtu viac ako 25 000 fariem v SR. Z tohto pohľadu je výberová vzorka nereprezentatívna a</w:t>
      </w:r>
      <w:r w:rsidR="00ED40BB" w:rsidRPr="00666914">
        <w:rPr>
          <w:color w:val="000000"/>
        </w:rPr>
        <w:t xml:space="preserve"> preto </w:t>
      </w:r>
      <w:r w:rsidRPr="00666914">
        <w:rPr>
          <w:color w:val="000000"/>
        </w:rPr>
        <w:t>revízia navrhla  do výberového zisťovania zahrnúť malých poľnohospodárov s farmami do 100 ha až do navýšenia podielu 50% malých fariem vo výberovom súbore. V roku 2017 tvorili malé farmy do 100 ha len 35 % z celého výberového súboru</w:t>
      </w:r>
      <w:r w:rsidRPr="00666914">
        <w:rPr>
          <w:color w:val="000000"/>
          <w:vertAlign w:val="superscript"/>
        </w:rPr>
        <w:footnoteReference w:id="477"/>
      </w:r>
      <w:r w:rsidRPr="00666914">
        <w:rPr>
          <w:color w:val="000000"/>
        </w:rPr>
        <w:t>. Pre vytvorenie reprezentatívneho výberového súboru by spol. Radela mala pridať už k existujúcej výberovej vzorke 800 malých fariem do 100 ha alebo zmeniť metodiku na výberovú zložku.</w:t>
      </w:r>
    </w:p>
    <w:p w14:paraId="4D37CE80" w14:textId="77777777" w:rsidR="00AA6557" w:rsidRPr="00666914" w:rsidRDefault="00AA6557" w:rsidP="00287DFE">
      <w:pPr>
        <w:rPr>
          <w:b/>
          <w:u w:val="single"/>
        </w:rPr>
      </w:pPr>
      <w:r w:rsidRPr="00666914">
        <w:rPr>
          <w:color w:val="000000"/>
        </w:rPr>
        <w:t xml:space="preserve">Pracovná skupina MPRV SR v spolupráci so spol. Radela pracuje v roku 2020 na pozmenení výberového súboru, aby vytvorili reprezentatívnu výberovú zložku, avšak </w:t>
      </w:r>
      <w:r w:rsidRPr="00666914">
        <w:rPr>
          <w:b/>
          <w:color w:val="000000"/>
        </w:rPr>
        <w:t>opatrenie sa k 31.12.2019 neplní.</w:t>
      </w:r>
    </w:p>
    <w:p w14:paraId="3C8E8462" w14:textId="339A1222" w:rsidR="00AA6557" w:rsidRPr="00666914" w:rsidRDefault="00AA6557" w:rsidP="00EE4567">
      <w:pPr>
        <w:rPr>
          <w:b/>
          <w:u w:val="single"/>
        </w:rPr>
      </w:pPr>
      <w:r w:rsidRPr="00666914">
        <w:rPr>
          <w:b/>
        </w:rPr>
        <w:t xml:space="preserve">Odporúčanie IJ: </w:t>
      </w:r>
      <w:r w:rsidRPr="00666914">
        <w:t xml:space="preserve">Vytvoriť a zverejniť zo strany pracovnej skupiny metodiku výberu oslovených a následne vyhodnocovaných subjektov vypĺňajúcich IL MPRV SR. V rámci metodiky zohľadniť podiel mladých poľnohospodárov na celkovom výberovom súbore, a tento podiel stanoviť minimálne na 50 %. </w:t>
      </w:r>
    </w:p>
    <w:p w14:paraId="42796CF5" w14:textId="77777777" w:rsidR="00AA6557" w:rsidRPr="00666914" w:rsidRDefault="00AA6557">
      <w:pPr>
        <w:spacing w:after="0"/>
        <w:ind w:left="714"/>
        <w:rPr>
          <w:b/>
          <w:u w:val="single"/>
        </w:rPr>
      </w:pPr>
      <w:r w:rsidRPr="00666914">
        <w:rPr>
          <w:b/>
          <w:u w:val="single"/>
        </w:rPr>
        <w:t>14.5   ATIS – funkčný systém dát o prehľade spracovateľských a výrobných cenách</w:t>
      </w:r>
    </w:p>
    <w:p w14:paraId="4755C62D" w14:textId="77777777" w:rsidR="00AA6557" w:rsidRPr="00666914" w:rsidRDefault="00AA6557">
      <w:pPr>
        <w:spacing w:after="0"/>
        <w:ind w:left="720"/>
        <w:rPr>
          <w:b/>
          <w:u w:val="single"/>
        </w:rPr>
      </w:pPr>
    </w:p>
    <w:p w14:paraId="40A077A7" w14:textId="77777777" w:rsidR="00AA6557" w:rsidRPr="00666914" w:rsidRDefault="00AA6557" w:rsidP="00287DFE">
      <w:r w:rsidRPr="00666914">
        <w:rPr>
          <w:b/>
        </w:rPr>
        <w:t>Od 01. 01. 2020 začala PPA zverejňovať všetky cenové týždenné prehľady vo formáte .pdf a tiež vo formáte .xlsx a sú dostupné na stiahnutie, opatrenie sa plní.</w:t>
      </w:r>
      <w:r w:rsidRPr="00666914">
        <w:t xml:space="preserve"> PPA sprístupnila agrárne trhové informácie Slovenska (ATIS) v užívateľsky vhodnej forme</w:t>
      </w:r>
      <w:r w:rsidRPr="00666914">
        <w:rPr>
          <w:vertAlign w:val="superscript"/>
        </w:rPr>
        <w:footnoteReference w:id="478"/>
      </w:r>
      <w:r w:rsidRPr="00666914">
        <w:t xml:space="preserve">, čo pomôže pri tvorbe odborných analýz o fungovaní trhu a cenovom prenose na rôznych úrovniach. PPA plánuje ďalšiu úpravu ATIS-u podľa potrieb EK, nakoľko informácie z ATIS-u slúžia aj pri </w:t>
      </w:r>
      <w:r w:rsidRPr="00666914">
        <w:lastRenderedPageBreak/>
        <w:t>rozhodovaní EK pri tvorbe cieľov SPP. Údaje z ATIS-u sú tiež neodmysliteľnou súčasťou pri rozhodovaní sa MPRV SR a nastavovaní jednotlivých rezortných politík.</w:t>
      </w:r>
    </w:p>
    <w:p w14:paraId="136319C7" w14:textId="608F4350" w:rsidR="00AA6557" w:rsidRPr="00666914" w:rsidRDefault="00AA6557" w:rsidP="00EE4567">
      <w:r w:rsidRPr="00666914">
        <w:t xml:space="preserve"> </w:t>
      </w:r>
      <w:r w:rsidRPr="00666914">
        <w:rPr>
          <w:b/>
        </w:rPr>
        <w:t xml:space="preserve">Odporúčanie IJ: </w:t>
      </w:r>
      <w:r w:rsidRPr="00666914">
        <w:t>Pri</w:t>
      </w:r>
      <w:r w:rsidRPr="00666914">
        <w:rPr>
          <w:b/>
        </w:rPr>
        <w:t xml:space="preserve"> </w:t>
      </w:r>
      <w:r w:rsidRPr="00666914">
        <w:t>úprave nového ATIS-u zapracovať do 12/2020 k zverejňovaným cenovým prehľadom aj možnosť výberu obdobia a jednotlivých komodít, za ktoré bude možné údaje stiahnuť priamo z webového prehliadača vo formáte .xlsx. Stiahnuté údaje z ATIS-u v užívateľsky vhodnej forme budú upravené za jednotlivé komodity na časové rady, ktoré umožnia lepší prehľad v údajovej základni.</w:t>
      </w:r>
    </w:p>
    <w:p w14:paraId="5BE09333" w14:textId="77777777" w:rsidR="00AA6557" w:rsidRPr="00666914" w:rsidRDefault="00AA6557" w:rsidP="00B515EB">
      <w:pPr>
        <w:pBdr>
          <w:top w:val="nil"/>
          <w:left w:val="nil"/>
          <w:bottom w:val="nil"/>
          <w:right w:val="nil"/>
          <w:between w:val="nil"/>
        </w:pBdr>
        <w:spacing w:after="0"/>
        <w:ind w:left="708" w:firstLine="12"/>
        <w:rPr>
          <w:b/>
          <w:color w:val="000000"/>
          <w:u w:val="single"/>
        </w:rPr>
      </w:pPr>
      <w:r w:rsidRPr="00666914">
        <w:rPr>
          <w:b/>
          <w:color w:val="000000"/>
          <w:u w:val="single"/>
        </w:rPr>
        <w:t>14.6  VÚPOP – zverejňovať všetky dostupné dáta týkajúce sa kvality pôdy s možnosťou ich stiahnutia v podobe vhodnej na ďalšie spracovanie (prioritne: erózia, BPEJ, chránená pôda)</w:t>
      </w:r>
    </w:p>
    <w:p w14:paraId="517BF64D" w14:textId="77777777" w:rsidR="00AA6557" w:rsidRPr="00666914" w:rsidRDefault="00AA6557">
      <w:pPr>
        <w:spacing w:after="0"/>
        <w:rPr>
          <w:b/>
          <w:u w:val="single"/>
        </w:rPr>
      </w:pPr>
    </w:p>
    <w:p w14:paraId="1BA4BB98" w14:textId="77777777" w:rsidR="00AA6557" w:rsidRPr="00666914" w:rsidRDefault="00AA6557" w:rsidP="00287DFE">
      <w:r w:rsidRPr="00666914">
        <w:t xml:space="preserve">Revízia identifikovala potrebu zverejňovania údajov o pôde v užívateľsky vhodnej forme. Údaje týkajúce sa kvality pôdy napomáhajú správnemu nastaveniu politík rezortu pôdohospodárstva a zároveň prispievajú k správnemu rozhodovaniu sa subjektov na trhu. V súčasnosti je zverejňovaním údajov o vodnej erózii, chránenej pôde a bonitovaných pôdno-ekologických jednotkách (BPEJ) poverená podriadená organizácia MPRV SR Výskumný ústav pôdoznalectva a ochrany pôdy (VÚPOP). VÚPOP svojou pôsobnosťou podlieha Národnému poľnohospodárskemu a potravinárskemu centru. </w:t>
      </w:r>
    </w:p>
    <w:p w14:paraId="19BD84F9" w14:textId="77777777" w:rsidR="00AA6557" w:rsidRPr="00666914" w:rsidRDefault="00AA6557" w:rsidP="00287DFE">
      <w:r w:rsidRPr="00666914">
        <w:t>Počas prípravy SIS 2019 boli zverejnené údaje na ústrednom portáli verejných služieb ľuďom ohľadom BPEJ</w:t>
      </w:r>
      <w:r w:rsidRPr="00666914">
        <w:rPr>
          <w:vertAlign w:val="superscript"/>
        </w:rPr>
        <w:footnoteReference w:id="479"/>
      </w:r>
      <w:r w:rsidRPr="00666914">
        <w:t xml:space="preserve"> s možnosťou na stiahnutie, avšak v užívateľsky nevhodnom formáte (.gml súbor). Odkaz na vizualizáciu údajov o BPEJ bol</w:t>
      </w:r>
      <w:sdt>
        <w:sdtPr>
          <w:tag w:val="goog_rdk_86"/>
          <w:id w:val="-270701786"/>
        </w:sdtPr>
        <w:sdtEndPr/>
        <w:sdtContent/>
      </w:sdt>
      <w:sdt>
        <w:sdtPr>
          <w:tag w:val="goog_rdk_87"/>
          <w:id w:val="-281423849"/>
        </w:sdtPr>
        <w:sdtEndPr/>
        <w:sdtContent/>
      </w:sdt>
      <w:r w:rsidRPr="00666914">
        <w:t xml:space="preserve"> nefunkčný</w:t>
      </w:r>
      <w:r w:rsidRPr="00666914">
        <w:rPr>
          <w:vertAlign w:val="superscript"/>
        </w:rPr>
        <w:footnoteReference w:id="480"/>
      </w:r>
      <w:r w:rsidRPr="00666914">
        <w:t>. Údajová základňa k potenciálnej vodnej erózii je vygenerovaná z empirického modelu USLE, reklasifikovaná do 4 kategórií podľa stupňa erózneho ohrozenia vodnou eróziou. Údaje nie sú stiahnuteľné v užívateľsky prijateľnom formáte (.xlsx alebo .csv) a odkaz na vizualizáciu dát o vodnej erózii je tiež nefunkčný</w:t>
      </w:r>
      <w:r w:rsidRPr="00666914">
        <w:rPr>
          <w:vertAlign w:val="superscript"/>
        </w:rPr>
        <w:footnoteReference w:id="481"/>
      </w:r>
      <w:r w:rsidRPr="00666914">
        <w:t xml:space="preserve">.  Databáza s údajmi o ochrane pôdy stále na vyššie uvedenom portáli nie je zverejnená. </w:t>
      </w:r>
    </w:p>
    <w:p w14:paraId="16A2F444" w14:textId="77777777" w:rsidR="00AA6557" w:rsidRPr="00666914" w:rsidRDefault="00AA6557" w:rsidP="00287DFE">
      <w:r w:rsidRPr="00666914">
        <w:rPr>
          <w:b/>
        </w:rPr>
        <w:t>Informácie o kvalite pôdy môžeme nájsť zverejnené v mapovej podobe na webovej stránke pôdneho portálu</w:t>
      </w:r>
      <w:r w:rsidRPr="00666914">
        <w:rPr>
          <w:vertAlign w:val="superscript"/>
        </w:rPr>
        <w:footnoteReference w:id="482"/>
      </w:r>
      <w:r w:rsidRPr="00666914">
        <w:rPr>
          <w:b/>
        </w:rPr>
        <w:t xml:space="preserve">. </w:t>
      </w:r>
      <w:r w:rsidRPr="00666914">
        <w:t>K uvedenému vizuálnemu zobrazeniu je dostupná aj metodika vyhodnocovania kvality pôdy a ďalšie potrebné náležitosti, ktoré je možné považovať za legendu k zverejneným dátam</w:t>
      </w:r>
      <w:r w:rsidRPr="00666914">
        <w:rPr>
          <w:vertAlign w:val="superscript"/>
        </w:rPr>
        <w:footnoteReference w:id="483"/>
      </w:r>
      <w:r w:rsidRPr="00666914">
        <w:t xml:space="preserve">.  Údaje vizuálne znázornené v mapovej podobe nie je však možné stiahnuť v žiadnej forme priamo z pôdneho portálu. </w:t>
      </w:r>
    </w:p>
    <w:p w14:paraId="048183D6" w14:textId="77777777" w:rsidR="00AA6557" w:rsidRPr="00666914" w:rsidRDefault="00AA6557" w:rsidP="00287DFE">
      <w:r w:rsidRPr="00666914">
        <w:t>Okrem mapovej podoby BPEJ</w:t>
      </w:r>
      <w:r w:rsidRPr="00666914">
        <w:rPr>
          <w:b/>
        </w:rPr>
        <w:t xml:space="preserve"> </w:t>
      </w:r>
      <w:r w:rsidRPr="00666914">
        <w:t>nie sú ostatné údaje, týkajúce sa kvality pôdy</w:t>
      </w:r>
      <w:r w:rsidRPr="00666914">
        <w:rPr>
          <w:b/>
        </w:rPr>
        <w:t xml:space="preserve"> </w:t>
      </w:r>
      <w:r w:rsidRPr="00666914">
        <w:t xml:space="preserve">zverejnené v užívateľsky prijateľnom formáte s možnosťou na stiahnutie. </w:t>
      </w:r>
      <w:r w:rsidRPr="00666914">
        <w:rPr>
          <w:b/>
        </w:rPr>
        <w:t>Opatrenie sa k 31.12.2019</w:t>
      </w:r>
      <w:r w:rsidRPr="00666914">
        <w:t xml:space="preserve"> </w:t>
      </w:r>
      <w:r w:rsidRPr="00666914">
        <w:rPr>
          <w:b/>
        </w:rPr>
        <w:t>neplní.</w:t>
      </w:r>
    </w:p>
    <w:p w14:paraId="05707156" w14:textId="01DE72C6" w:rsidR="00AA6557" w:rsidRPr="00666914" w:rsidRDefault="00AA6557" w:rsidP="00013271">
      <w:r w:rsidRPr="00666914">
        <w:rPr>
          <w:b/>
        </w:rPr>
        <w:t xml:space="preserve">Odporúčanie IJ: </w:t>
      </w:r>
      <w:r w:rsidRPr="00666914">
        <w:t>Do 12/2020</w:t>
      </w:r>
      <w:r w:rsidRPr="00666914">
        <w:rPr>
          <w:b/>
        </w:rPr>
        <w:t xml:space="preserve"> </w:t>
      </w:r>
      <w:r w:rsidRPr="00666914">
        <w:t xml:space="preserve">zverejniť už existujúce datasety v užívateľsky vhodnom formáte (.xlsx alebo .csv). Sprístupniť databázy mapovej časti BPEJ na stiahnutie priamo zo stránky pôdneho portálu v užívateľsky vhodnom formáte (.xlsx alebo .csv). Minimálne raz polročne aktualizovať a dopĺňať datasety. </w:t>
      </w:r>
    </w:p>
    <w:p w14:paraId="45B8A8D0" w14:textId="77777777" w:rsidR="00AA6557" w:rsidRPr="00666914" w:rsidRDefault="00AA6557" w:rsidP="00B515EB">
      <w:pPr>
        <w:pBdr>
          <w:top w:val="nil"/>
          <w:left w:val="nil"/>
          <w:bottom w:val="nil"/>
          <w:right w:val="nil"/>
          <w:between w:val="nil"/>
        </w:pBdr>
        <w:spacing w:after="0"/>
        <w:ind w:left="708" w:firstLine="12"/>
        <w:rPr>
          <w:b/>
          <w:color w:val="000000"/>
          <w:u w:val="single"/>
        </w:rPr>
      </w:pPr>
      <w:r w:rsidRPr="00666914">
        <w:rPr>
          <w:b/>
          <w:color w:val="000000"/>
          <w:u w:val="single"/>
        </w:rPr>
        <w:t>14.9   Vykazovať štatistiky týkajúce sa pôdy prenajímanej mladým poľnohospodárom a podnikom venujúcim sa produkcii komodít s vysokou</w:t>
      </w:r>
      <w:sdt>
        <w:sdtPr>
          <w:tag w:val="goog_rdk_88"/>
          <w:id w:val="482363354"/>
        </w:sdtPr>
        <w:sdtEndPr/>
        <w:sdtContent/>
      </w:sdt>
      <w:sdt>
        <w:sdtPr>
          <w:tag w:val="goog_rdk_89"/>
          <w:id w:val="-1152058199"/>
        </w:sdtPr>
        <w:sdtEndPr/>
        <w:sdtContent/>
      </w:sdt>
      <w:r w:rsidRPr="00666914">
        <w:rPr>
          <w:b/>
          <w:color w:val="000000"/>
          <w:u w:val="single"/>
        </w:rPr>
        <w:t xml:space="preserve"> pridanou hodnotou</w:t>
      </w:r>
    </w:p>
    <w:p w14:paraId="583112B8" w14:textId="77777777" w:rsidR="00AA6557" w:rsidRPr="00666914" w:rsidRDefault="00AA6557">
      <w:pPr>
        <w:spacing w:after="0"/>
        <w:ind w:left="720"/>
        <w:rPr>
          <w:b/>
          <w:u w:val="single"/>
        </w:rPr>
      </w:pPr>
    </w:p>
    <w:p w14:paraId="6DA810E8" w14:textId="5CF72DA8" w:rsidR="00AA6557" w:rsidRPr="00666914" w:rsidRDefault="00AA6557" w:rsidP="00287DFE">
      <w:r w:rsidRPr="00666914">
        <w:rPr>
          <w:b/>
        </w:rPr>
        <w:t>V súčasnosti žiadatelia nemajú presný prehľad o pozemkoch, s ktorými Slovenský pozemkový fond (SPF) disponuje a ktoré sú alebo budú v blízkej budúcnosti na prenájom.</w:t>
      </w:r>
      <w:r w:rsidRPr="00666914">
        <w:t xml:space="preserve"> Revízia preto navrhla zverejňovať datasety so zoznamami všetkých pozemkov, ktoré má SPF k dispozícii. Ich zverejnenie zvýši informovanosť verejnosti ohľadom dostupnosti pozem</w:t>
      </w:r>
      <w:r w:rsidR="009628F6" w:rsidRPr="00666914">
        <w:t>kov v jednotlivých k. ú. Ďalším</w:t>
      </w:r>
      <w:r w:rsidRPr="00666914">
        <w:t xml:space="preserve"> pozitívnym vplyvom je možnosť poľnohospodárov naplánovať si prenájom poľnohospodárskych pozemkov, čím by zverejnené datasety napomáhali zlepšovaniu podnikateľského prostredia v agrorezorte.</w:t>
      </w:r>
    </w:p>
    <w:p w14:paraId="639D7BFB" w14:textId="77777777" w:rsidR="00AA6557" w:rsidRPr="00666914" w:rsidRDefault="00AA6557" w:rsidP="00287DFE">
      <w:r w:rsidRPr="00666914">
        <w:rPr>
          <w:b/>
        </w:rPr>
        <w:t>Aktuálne SPF zverejňuje zoznam žiadateľov o prenájom poľnohospodárskych pozemkov z radov mladých poľnohospodárov</w:t>
      </w:r>
      <w:r w:rsidRPr="00666914">
        <w:rPr>
          <w:b/>
          <w:vertAlign w:val="superscript"/>
        </w:rPr>
        <w:footnoteReference w:id="484"/>
      </w:r>
      <w:r w:rsidRPr="00666914">
        <w:rPr>
          <w:b/>
        </w:rPr>
        <w:t xml:space="preserve"> vo formáte .pdf</w:t>
      </w:r>
      <w:r w:rsidRPr="00666914">
        <w:t xml:space="preserve">. Zoznam mladých poľnohospodárov na prenájom pozemkov sa upravuje </w:t>
      </w:r>
      <w:r w:rsidRPr="00666914">
        <w:lastRenderedPageBreak/>
        <w:t>v mesačných intervaloch, nakoľko žiadateľ sa zo zoznamu vymaže po uzavretí nájomnej zmluvy alebo po opakovanom odmietnutí pozemkov. Uzatvorené zmluvy so všetkými žiadateľmi o prenájom pozemkov sú zverejnené na CRZ ÚV SR</w:t>
      </w:r>
      <w:r w:rsidRPr="00666914">
        <w:rPr>
          <w:vertAlign w:val="superscript"/>
        </w:rPr>
        <w:footnoteReference w:id="485"/>
      </w:r>
      <w:r w:rsidRPr="00666914">
        <w:t xml:space="preserve"> a taktiež na webovej stránke SPF</w:t>
      </w:r>
      <w:r w:rsidRPr="00666914">
        <w:rPr>
          <w:vertAlign w:val="superscript"/>
        </w:rPr>
        <w:footnoteReference w:id="486"/>
      </w:r>
      <w:r w:rsidRPr="00666914">
        <w:t xml:space="preserve">. </w:t>
      </w:r>
    </w:p>
    <w:p w14:paraId="2BAA3503" w14:textId="77777777" w:rsidR="00AA6557" w:rsidRPr="00666914" w:rsidRDefault="00AA6557" w:rsidP="00287DFE">
      <w:r w:rsidRPr="00666914">
        <w:rPr>
          <w:b/>
        </w:rPr>
        <w:t xml:space="preserve">Aktuálny dataset s prehľadom pozemkov na odpredaj a na prenájom od SPF zverejnený nie je. </w:t>
      </w:r>
      <w:r w:rsidRPr="00666914">
        <w:t>Revízia stanovila pre SPF tiež úlohu vykazovať štatistiky týkajúce sa podnikov venujúcim sa produkcii komodít s vysokou pridanou hodnotou. Podľa stanoviska od generálnej riaditeľky SPF</w:t>
      </w:r>
      <w:sdt>
        <w:sdtPr>
          <w:tag w:val="goog_rdk_90"/>
          <w:id w:val="-73750302"/>
        </w:sdtPr>
        <w:sdtEndPr/>
        <w:sdtContent/>
      </w:sdt>
      <w:sdt>
        <w:sdtPr>
          <w:tag w:val="goog_rdk_91"/>
          <w:id w:val="1372031396"/>
        </w:sdtPr>
        <w:sdtEndPr/>
        <w:sdtContent/>
      </w:sdt>
      <w:sdt>
        <w:sdtPr>
          <w:tag w:val="goog_rdk_92"/>
          <w:id w:val="-1071656516"/>
        </w:sdtPr>
        <w:sdtEndPr/>
        <w:sdtContent/>
      </w:sdt>
      <w:r w:rsidRPr="00666914">
        <w:t>, SPF týmito údajmi nedisponuje a neplánuje zber týchto dát. K uvedeným zmluvám medzi mladými poľnohospodármi a SPF</w:t>
      </w:r>
      <w:sdt>
        <w:sdtPr>
          <w:tag w:val="goog_rdk_93"/>
          <w:id w:val="1425305775"/>
        </w:sdtPr>
        <w:sdtEndPr/>
        <w:sdtContent/>
      </w:sdt>
      <w:sdt>
        <w:sdtPr>
          <w:tag w:val="goog_rdk_94"/>
          <w:id w:val="950049745"/>
        </w:sdtPr>
        <w:sdtEndPr/>
        <w:sdtContent/>
      </w:sdt>
      <w:r w:rsidRPr="00666914">
        <w:t xml:space="preserve"> nie sú zverejnené súhrnné štatistiky v užívateľsky vhodnom formáte ohľadom celkovej výmery pôdy využívanej touto skupinou poľnohospodárov a pod. </w:t>
      </w:r>
      <w:r w:rsidRPr="00666914">
        <w:rPr>
          <w:b/>
        </w:rPr>
        <w:t xml:space="preserve">Opatrenie sa k 31.12.2019 neplní. </w:t>
      </w:r>
    </w:p>
    <w:p w14:paraId="5FFB8FB7" w14:textId="3EDB8804" w:rsidR="00AA6557" w:rsidRPr="00666914" w:rsidRDefault="00AA6557" w:rsidP="00013271">
      <w:pPr>
        <w:rPr>
          <w:b/>
          <w:sz w:val="26"/>
          <w:szCs w:val="26"/>
        </w:rPr>
      </w:pPr>
      <w:r w:rsidRPr="00666914">
        <w:rPr>
          <w:b/>
        </w:rPr>
        <w:t xml:space="preserve">Odporúčanie IJ: </w:t>
      </w:r>
      <w:r w:rsidRPr="00666914">
        <w:t>Do 12/2020</w:t>
      </w:r>
      <w:r w:rsidRPr="00666914">
        <w:rPr>
          <w:b/>
        </w:rPr>
        <w:t xml:space="preserve"> </w:t>
      </w:r>
      <w:r w:rsidRPr="00666914">
        <w:t>vypracovať a zverejniť mesačné prehľady o využívanej pôde mladými poľnohospodármi a zároveň aj o žiadanej pôde mladými poľnohospodármi v užívateľsky vhodnom formáte (.xlsx alebo .csv). Do 12/2020 vypracovať a zverejniť dataset so všetkými pozemkami, ktorými SPF disponuje</w:t>
      </w:r>
      <w:r w:rsidRPr="00666914">
        <w:rPr>
          <w:vertAlign w:val="superscript"/>
        </w:rPr>
        <w:footnoteReference w:id="487"/>
      </w:r>
      <w:r w:rsidRPr="00666914">
        <w:t xml:space="preserve">. Do 12/2020 vypracovať a zverejniť dataset zvlášť s pozemkami, ktoré sú určené na odpredaj a zvlášť s pozemkami, ktoré sú určené na prenájom so všetkými náležitosťami vyššie popísanými a v užívateľsky vhodnom formáte (.xlsx alebo .csv). </w:t>
      </w:r>
    </w:p>
    <w:p w14:paraId="50C55245" w14:textId="77777777" w:rsidR="00AA6557" w:rsidRPr="00666914" w:rsidRDefault="00AA6557" w:rsidP="00B515EB">
      <w:pPr>
        <w:spacing w:after="0"/>
        <w:ind w:left="708" w:firstLine="1"/>
        <w:rPr>
          <w:b/>
          <w:u w:val="single"/>
        </w:rPr>
      </w:pPr>
      <w:r w:rsidRPr="00666914">
        <w:rPr>
          <w:b/>
          <w:u w:val="single"/>
        </w:rPr>
        <w:t>14.10   MPRV – zverejňovať podrobnejšie údaje o pozemkových úpravách – ukončené aj prebiehajúce, PJPÚ aj PPÚ, vrátane kódu k. ú., ceny a zdroja financovania</w:t>
      </w:r>
    </w:p>
    <w:p w14:paraId="3CF20565" w14:textId="77777777" w:rsidR="00AA6557" w:rsidRPr="00666914" w:rsidRDefault="00AA6557">
      <w:pPr>
        <w:spacing w:after="0"/>
      </w:pPr>
    </w:p>
    <w:p w14:paraId="2BC5D5D9" w14:textId="77777777" w:rsidR="00AA6557" w:rsidRPr="00666914" w:rsidRDefault="00AA6557" w:rsidP="00287DFE">
      <w:r w:rsidRPr="00666914">
        <w:t>Dôležitosť zverejňovania údajov o PPÚ vyplýva z potreby informovať širokú verejnosť o sceľovaní pôdy, ktorá sa dotkne veľkého množstva občanov SR. Zverejňovanie údajov o pozemkoch podliehajúcich PÚ a o ich vlastníckych vzťahoch napomôže k lepšiemu zmapovaniu vlastníckych štruktúr pred a po ukončení PPÚ v danom k. ú.</w:t>
      </w:r>
    </w:p>
    <w:p w14:paraId="5FA9BDB9" w14:textId="77777777" w:rsidR="00AA6557" w:rsidRPr="00666914" w:rsidRDefault="00AA6557" w:rsidP="00287DFE">
      <w:r w:rsidRPr="00666914">
        <w:t xml:space="preserve">V rámci zverejňovania údajov rezortom pôdohospodárstva chýba v súčasnosti údajová základňa prezentujúca aktuálny stav pripravovaných, začatých a ukončených PPÚ spolu s informáciami o zdrojoch ich financovania a celkovej cene.  MPRV SR zverejnilo datasety v 02/2020, ktoré však v súčasnosti nemajú vplyv na hodnotenie opatrenia za </w:t>
      </w:r>
      <w:sdt>
        <w:sdtPr>
          <w:tag w:val="goog_rdk_95"/>
          <w:id w:val="-538745285"/>
        </w:sdtPr>
        <w:sdtEndPr/>
        <w:sdtContent/>
      </w:sdt>
      <w:sdt>
        <w:sdtPr>
          <w:tag w:val="goog_rdk_96"/>
          <w:id w:val="1032307657"/>
        </w:sdtPr>
        <w:sdtEndPr/>
        <w:sdtContent/>
      </w:sdt>
      <w:r w:rsidRPr="00666914">
        <w:t>4Q2019</w:t>
      </w:r>
      <w:r w:rsidRPr="00666914">
        <w:rPr>
          <w:vertAlign w:val="superscript"/>
        </w:rPr>
        <w:footnoteReference w:id="488"/>
      </w:r>
      <w:r w:rsidRPr="00666914">
        <w:t>.</w:t>
      </w:r>
    </w:p>
    <w:p w14:paraId="0DE03E86" w14:textId="77777777" w:rsidR="00AA6557" w:rsidRPr="00666914" w:rsidRDefault="00AA6557" w:rsidP="00287DFE">
      <w:r w:rsidRPr="00666914">
        <w:t>Informácie o ukončených PPÚ sú zverejnené vo vhodnom formáte v datasete na ústrednom portáli verejnej správy</w:t>
      </w:r>
      <w:r w:rsidRPr="00666914">
        <w:rPr>
          <w:vertAlign w:val="superscript"/>
        </w:rPr>
        <w:footnoteReference w:id="489"/>
      </w:r>
      <w:r w:rsidRPr="00666914">
        <w:t xml:space="preserve">. V datasete sa nachádza zoznam k. ú., kde boli ukončené komplexné PPÚ právoplatným rozhodnutím o schválení vykonania projektov. Posledná aktualizácia uvedeného datasetu prebehla v 02/2020. V rámci datasetu chýba údaj navrhovaný revíziou ohľadom informácie o financovaní, celkovej ceny jednotlivých  PPÚ so zverejnením kódu k. ú., kde boli projekty vykonané. </w:t>
      </w:r>
      <w:sdt>
        <w:sdtPr>
          <w:tag w:val="goog_rdk_97"/>
          <w:id w:val="1918978862"/>
        </w:sdtPr>
        <w:sdtEndPr/>
        <w:sdtContent/>
      </w:sdt>
      <w:sdt>
        <w:sdtPr>
          <w:tag w:val="goog_rdk_98"/>
          <w:id w:val="-2124222788"/>
        </w:sdtPr>
        <w:sdtEndPr/>
        <w:sdtContent/>
      </w:sdt>
      <w:r w:rsidRPr="00666914">
        <w:t>Údaj bol doplnený až v aktualizácii 02/2020.</w:t>
      </w:r>
    </w:p>
    <w:p w14:paraId="6ECB45C3" w14:textId="77777777" w:rsidR="00AA6557" w:rsidRPr="00666914" w:rsidRDefault="00AA6557" w:rsidP="00287DFE">
      <w:pPr>
        <w:rPr>
          <w:b/>
        </w:rPr>
      </w:pPr>
      <w:r w:rsidRPr="00666914">
        <w:t xml:space="preserve">Z dôvodu nezverejnenia požadovaných údajov v plnej miere </w:t>
      </w:r>
      <w:r w:rsidRPr="00666914">
        <w:rPr>
          <w:b/>
        </w:rPr>
        <w:t>sa opatrenie k 31.12.2019 neplní.</w:t>
      </w:r>
    </w:p>
    <w:p w14:paraId="074034B1" w14:textId="41228F56" w:rsidR="00386CE9" w:rsidRPr="00666914" w:rsidRDefault="00AA6557">
      <w:pPr>
        <w:spacing w:after="0"/>
      </w:pPr>
      <w:r w:rsidRPr="00666914">
        <w:rPr>
          <w:b/>
        </w:rPr>
        <w:t xml:space="preserve">Odporúčanie IJ: </w:t>
      </w:r>
      <w:sdt>
        <w:sdtPr>
          <w:tag w:val="goog_rdk_99"/>
          <w:id w:val="379061215"/>
        </w:sdtPr>
        <w:sdtEndPr/>
        <w:sdtContent/>
      </w:sdt>
      <w:sdt>
        <w:sdtPr>
          <w:tag w:val="goog_rdk_100"/>
          <w:id w:val="-1661299291"/>
        </w:sdtPr>
        <w:sdtEndPr/>
        <w:sdtContent/>
      </w:sdt>
      <w:r w:rsidRPr="00666914">
        <w:t>Do 06/2020</w:t>
      </w:r>
      <w:r w:rsidRPr="00666914">
        <w:rPr>
          <w:b/>
        </w:rPr>
        <w:t xml:space="preserve"> </w:t>
      </w:r>
      <w:r w:rsidRPr="00666914">
        <w:t>zverejniť a pravidelne aktualizovať datasety pripravovaných, prebiehajúcich a ukončených PPÚ vo vhodnom formáte (.xlsx alebo .csv). Zároveň IJ odporúča zverejnenie údajov o pozemkoch a ich vlastníckych vzťahoch za všetky dokončené PPÚ a následné priebežné dopĺňanie o nové projekty v užívateľsky vhodnom formáte.</w:t>
      </w:r>
    </w:p>
    <w:p w14:paraId="65E1BFF7" w14:textId="77777777" w:rsidR="00386CE9" w:rsidRPr="00666914" w:rsidRDefault="00386CE9">
      <w:pPr>
        <w:spacing w:after="0"/>
        <w:jc w:val="left"/>
      </w:pPr>
      <w:r w:rsidRPr="00666914">
        <w:br w:type="page"/>
      </w:r>
    </w:p>
    <w:p w14:paraId="55CB93F2" w14:textId="1E4AA2A4" w:rsidR="00A232BD" w:rsidRPr="00666914" w:rsidRDefault="00C744B4" w:rsidP="00CF5170">
      <w:pPr>
        <w:pStyle w:val="Nadpis1"/>
        <w:numPr>
          <w:ilvl w:val="0"/>
          <w:numId w:val="0"/>
        </w:numPr>
        <w:ind w:left="720"/>
      </w:pPr>
      <w:bookmarkStart w:id="422" w:name="_Toc38447631"/>
      <w:r w:rsidRPr="00666914">
        <w:lastRenderedPageBreak/>
        <w:t>Zoznam skratiek</w:t>
      </w:r>
      <w:bookmarkEnd w:id="422"/>
    </w:p>
    <w:tbl>
      <w:tblPr>
        <w:tblW w:w="9072" w:type="dxa"/>
        <w:tblCellMar>
          <w:left w:w="70" w:type="dxa"/>
          <w:right w:w="70" w:type="dxa"/>
        </w:tblCellMar>
        <w:tblLook w:val="04A0" w:firstRow="1" w:lastRow="0" w:firstColumn="1" w:lastColumn="0" w:noHBand="0" w:noVBand="1"/>
      </w:tblPr>
      <w:tblGrid>
        <w:gridCol w:w="1782"/>
        <w:gridCol w:w="7290"/>
      </w:tblGrid>
      <w:tr w:rsidR="00DE1D2A" w:rsidRPr="00666914" w14:paraId="0F5FC6ED" w14:textId="77777777" w:rsidTr="00DE1D2A">
        <w:trPr>
          <w:trHeight w:val="260"/>
        </w:trPr>
        <w:tc>
          <w:tcPr>
            <w:tcW w:w="1782" w:type="dxa"/>
            <w:tcBorders>
              <w:top w:val="nil"/>
              <w:left w:val="nil"/>
              <w:bottom w:val="nil"/>
              <w:right w:val="nil"/>
            </w:tcBorders>
            <w:shd w:val="clear" w:color="auto" w:fill="auto"/>
            <w:noWrap/>
            <w:vAlign w:val="center"/>
            <w:hideMark/>
          </w:tcPr>
          <w:p w14:paraId="3A177116"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1H, 2H</w:t>
            </w:r>
          </w:p>
        </w:tc>
        <w:tc>
          <w:tcPr>
            <w:tcW w:w="7290" w:type="dxa"/>
            <w:tcBorders>
              <w:top w:val="nil"/>
              <w:left w:val="nil"/>
              <w:bottom w:val="nil"/>
              <w:right w:val="nil"/>
            </w:tcBorders>
            <w:shd w:val="clear" w:color="auto" w:fill="auto"/>
            <w:noWrap/>
            <w:vAlign w:val="center"/>
            <w:hideMark/>
          </w:tcPr>
          <w:p w14:paraId="305A32E8"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1. polrok, 2. polrok </w:t>
            </w:r>
          </w:p>
        </w:tc>
      </w:tr>
      <w:tr w:rsidR="00DE1D2A" w:rsidRPr="00666914" w14:paraId="282C58F7" w14:textId="77777777" w:rsidTr="00DE1D2A">
        <w:trPr>
          <w:trHeight w:val="260"/>
        </w:trPr>
        <w:tc>
          <w:tcPr>
            <w:tcW w:w="1782" w:type="dxa"/>
            <w:tcBorders>
              <w:top w:val="nil"/>
              <w:left w:val="nil"/>
              <w:bottom w:val="nil"/>
              <w:right w:val="nil"/>
            </w:tcBorders>
            <w:shd w:val="clear" w:color="auto" w:fill="auto"/>
            <w:noWrap/>
            <w:vAlign w:val="center"/>
            <w:hideMark/>
          </w:tcPr>
          <w:p w14:paraId="685F2100"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1Q, 2Q, 3Q, 4Q</w:t>
            </w:r>
          </w:p>
        </w:tc>
        <w:tc>
          <w:tcPr>
            <w:tcW w:w="7290" w:type="dxa"/>
            <w:tcBorders>
              <w:top w:val="nil"/>
              <w:left w:val="nil"/>
              <w:bottom w:val="nil"/>
              <w:right w:val="nil"/>
            </w:tcBorders>
            <w:shd w:val="clear" w:color="auto" w:fill="auto"/>
            <w:noWrap/>
            <w:vAlign w:val="center"/>
            <w:hideMark/>
          </w:tcPr>
          <w:p w14:paraId="2481F1F7"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1. kvartál, 2. kvartál, 3. kvartál, 4. kvartál roku </w:t>
            </w:r>
          </w:p>
        </w:tc>
      </w:tr>
      <w:tr w:rsidR="00DE1D2A" w:rsidRPr="00666914" w14:paraId="7995C0CC" w14:textId="77777777" w:rsidTr="00527229">
        <w:trPr>
          <w:trHeight w:val="403"/>
        </w:trPr>
        <w:tc>
          <w:tcPr>
            <w:tcW w:w="1782" w:type="dxa"/>
            <w:tcBorders>
              <w:top w:val="nil"/>
              <w:left w:val="nil"/>
              <w:bottom w:val="nil"/>
              <w:right w:val="nil"/>
            </w:tcBorders>
            <w:shd w:val="clear" w:color="auto" w:fill="auto"/>
            <w:noWrap/>
            <w:vAlign w:val="center"/>
            <w:hideMark/>
          </w:tcPr>
          <w:p w14:paraId="485DB31A"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ACCORD </w:t>
            </w:r>
          </w:p>
        </w:tc>
        <w:tc>
          <w:tcPr>
            <w:tcW w:w="7290" w:type="dxa"/>
            <w:tcBorders>
              <w:top w:val="nil"/>
              <w:left w:val="nil"/>
              <w:bottom w:val="nil"/>
              <w:right w:val="nil"/>
            </w:tcBorders>
            <w:shd w:val="clear" w:color="auto" w:fill="auto"/>
            <w:vAlign w:val="center"/>
            <w:hideMark/>
          </w:tcPr>
          <w:p w14:paraId="4DACCF33"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Advancing University Capacity and Competence in Research, Development and Innovation – Zlepšenie univerzitných kapacít a kompetencií vo výskume, vývoji a inováciách</w:t>
            </w:r>
          </w:p>
        </w:tc>
      </w:tr>
      <w:tr w:rsidR="00DE1D2A" w:rsidRPr="00666914" w14:paraId="688DAC34" w14:textId="77777777" w:rsidTr="00527229">
        <w:trPr>
          <w:trHeight w:val="225"/>
        </w:trPr>
        <w:tc>
          <w:tcPr>
            <w:tcW w:w="1782" w:type="dxa"/>
            <w:tcBorders>
              <w:top w:val="nil"/>
              <w:left w:val="nil"/>
              <w:bottom w:val="nil"/>
              <w:right w:val="nil"/>
            </w:tcBorders>
            <w:shd w:val="clear" w:color="auto" w:fill="auto"/>
            <w:noWrap/>
            <w:vAlign w:val="center"/>
            <w:hideMark/>
          </w:tcPr>
          <w:p w14:paraId="01125A2F"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AD</w:t>
            </w:r>
          </w:p>
        </w:tc>
        <w:tc>
          <w:tcPr>
            <w:tcW w:w="7290" w:type="dxa"/>
            <w:tcBorders>
              <w:top w:val="nil"/>
              <w:left w:val="nil"/>
              <w:bottom w:val="nil"/>
              <w:right w:val="nil"/>
            </w:tcBorders>
            <w:shd w:val="clear" w:color="auto" w:fill="auto"/>
            <w:vAlign w:val="center"/>
            <w:hideMark/>
          </w:tcPr>
          <w:p w14:paraId="381A6B28"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autorský dozor</w:t>
            </w:r>
          </w:p>
        </w:tc>
      </w:tr>
      <w:tr w:rsidR="00DE1D2A" w:rsidRPr="00666914" w14:paraId="2C2BA384" w14:textId="77777777" w:rsidTr="00DE1D2A">
        <w:trPr>
          <w:trHeight w:val="260"/>
        </w:trPr>
        <w:tc>
          <w:tcPr>
            <w:tcW w:w="1782" w:type="dxa"/>
            <w:tcBorders>
              <w:top w:val="nil"/>
              <w:left w:val="nil"/>
              <w:bottom w:val="nil"/>
              <w:right w:val="nil"/>
            </w:tcBorders>
            <w:shd w:val="clear" w:color="auto" w:fill="auto"/>
            <w:noWrap/>
            <w:vAlign w:val="center"/>
            <w:hideMark/>
          </w:tcPr>
          <w:p w14:paraId="1E1447EB"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ANS</w:t>
            </w:r>
          </w:p>
        </w:tc>
        <w:tc>
          <w:tcPr>
            <w:tcW w:w="7290" w:type="dxa"/>
            <w:tcBorders>
              <w:top w:val="nil"/>
              <w:left w:val="nil"/>
              <w:bottom w:val="nil"/>
              <w:right w:val="nil"/>
            </w:tcBorders>
            <w:shd w:val="clear" w:color="auto" w:fill="auto"/>
            <w:vAlign w:val="center"/>
            <w:hideMark/>
          </w:tcPr>
          <w:p w14:paraId="0B17D3F9"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Asociácia nemocníc Slovenska</w:t>
            </w:r>
          </w:p>
        </w:tc>
      </w:tr>
      <w:tr w:rsidR="00DE1D2A" w:rsidRPr="00666914" w14:paraId="210C4632" w14:textId="77777777" w:rsidTr="00DE1D2A">
        <w:trPr>
          <w:trHeight w:val="260"/>
        </w:trPr>
        <w:tc>
          <w:tcPr>
            <w:tcW w:w="1782" w:type="dxa"/>
            <w:tcBorders>
              <w:top w:val="nil"/>
              <w:left w:val="nil"/>
              <w:bottom w:val="nil"/>
              <w:right w:val="nil"/>
            </w:tcBorders>
            <w:shd w:val="clear" w:color="auto" w:fill="auto"/>
            <w:noWrap/>
            <w:vAlign w:val="center"/>
            <w:hideMark/>
          </w:tcPr>
          <w:p w14:paraId="212CD14D"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AOTP</w:t>
            </w:r>
          </w:p>
        </w:tc>
        <w:tc>
          <w:tcPr>
            <w:tcW w:w="7290" w:type="dxa"/>
            <w:tcBorders>
              <w:top w:val="nil"/>
              <w:left w:val="nil"/>
              <w:bottom w:val="nil"/>
              <w:right w:val="nil"/>
            </w:tcBorders>
            <w:shd w:val="clear" w:color="auto" w:fill="auto"/>
            <w:vAlign w:val="center"/>
            <w:hideMark/>
          </w:tcPr>
          <w:p w14:paraId="4F66425A"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aktívne opatrenia trhu práce</w:t>
            </w:r>
          </w:p>
        </w:tc>
      </w:tr>
      <w:tr w:rsidR="00DE1D2A" w:rsidRPr="00666914" w14:paraId="201D9A5F" w14:textId="77777777" w:rsidTr="00DE1D2A">
        <w:trPr>
          <w:trHeight w:val="260"/>
        </w:trPr>
        <w:tc>
          <w:tcPr>
            <w:tcW w:w="1782" w:type="dxa"/>
            <w:tcBorders>
              <w:top w:val="nil"/>
              <w:left w:val="nil"/>
              <w:bottom w:val="nil"/>
              <w:right w:val="nil"/>
            </w:tcBorders>
            <w:shd w:val="clear" w:color="auto" w:fill="auto"/>
            <w:noWrap/>
            <w:vAlign w:val="center"/>
            <w:hideMark/>
          </w:tcPr>
          <w:p w14:paraId="6EEDBB49"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API</w:t>
            </w:r>
          </w:p>
        </w:tc>
        <w:tc>
          <w:tcPr>
            <w:tcW w:w="7290" w:type="dxa"/>
            <w:tcBorders>
              <w:top w:val="nil"/>
              <w:left w:val="nil"/>
              <w:bottom w:val="nil"/>
              <w:right w:val="nil"/>
            </w:tcBorders>
            <w:shd w:val="clear" w:color="auto" w:fill="auto"/>
            <w:vAlign w:val="center"/>
            <w:hideMark/>
          </w:tcPr>
          <w:p w14:paraId="3136D888"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Application Programming Interface – rozhranie pre programovanie aplikácií</w:t>
            </w:r>
          </w:p>
        </w:tc>
      </w:tr>
      <w:tr w:rsidR="00DE1D2A" w:rsidRPr="00666914" w14:paraId="14BFF084" w14:textId="77777777" w:rsidTr="00DE1D2A">
        <w:trPr>
          <w:trHeight w:val="260"/>
        </w:trPr>
        <w:tc>
          <w:tcPr>
            <w:tcW w:w="1782" w:type="dxa"/>
            <w:tcBorders>
              <w:top w:val="nil"/>
              <w:left w:val="nil"/>
              <w:bottom w:val="nil"/>
              <w:right w:val="nil"/>
            </w:tcBorders>
            <w:shd w:val="clear" w:color="auto" w:fill="auto"/>
            <w:noWrap/>
            <w:vAlign w:val="center"/>
            <w:hideMark/>
          </w:tcPr>
          <w:p w14:paraId="2AB7F47F"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APVV</w:t>
            </w:r>
          </w:p>
        </w:tc>
        <w:tc>
          <w:tcPr>
            <w:tcW w:w="7290" w:type="dxa"/>
            <w:tcBorders>
              <w:top w:val="nil"/>
              <w:left w:val="nil"/>
              <w:bottom w:val="nil"/>
              <w:right w:val="nil"/>
            </w:tcBorders>
            <w:shd w:val="clear" w:color="auto" w:fill="auto"/>
            <w:noWrap/>
            <w:vAlign w:val="center"/>
            <w:hideMark/>
          </w:tcPr>
          <w:p w14:paraId="6E2B78A3"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Agentúra na podporu výskumu a vývoja MŠVVaŠ SR</w:t>
            </w:r>
          </w:p>
        </w:tc>
      </w:tr>
      <w:tr w:rsidR="00DE1D2A" w:rsidRPr="00666914" w14:paraId="252E861F" w14:textId="77777777" w:rsidTr="00DE1D2A">
        <w:trPr>
          <w:trHeight w:val="260"/>
        </w:trPr>
        <w:tc>
          <w:tcPr>
            <w:tcW w:w="1782" w:type="dxa"/>
            <w:tcBorders>
              <w:top w:val="nil"/>
              <w:left w:val="nil"/>
              <w:bottom w:val="nil"/>
              <w:right w:val="nil"/>
            </w:tcBorders>
            <w:shd w:val="clear" w:color="auto" w:fill="auto"/>
            <w:noWrap/>
            <w:vAlign w:val="center"/>
            <w:hideMark/>
          </w:tcPr>
          <w:p w14:paraId="227AAFA1"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ARVD</w:t>
            </w:r>
          </w:p>
        </w:tc>
        <w:tc>
          <w:tcPr>
            <w:tcW w:w="7290" w:type="dxa"/>
            <w:tcBorders>
              <w:top w:val="nil"/>
              <w:left w:val="nil"/>
              <w:bottom w:val="nil"/>
              <w:right w:val="nil"/>
            </w:tcBorders>
            <w:shd w:val="clear" w:color="auto" w:fill="auto"/>
            <w:vAlign w:val="center"/>
            <w:hideMark/>
          </w:tcPr>
          <w:p w14:paraId="57B06564"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Agentúra rozvoja vodnej dopravy</w:t>
            </w:r>
          </w:p>
        </w:tc>
      </w:tr>
      <w:tr w:rsidR="00DE1D2A" w:rsidRPr="00666914" w14:paraId="27F4149A" w14:textId="77777777" w:rsidTr="00DE1D2A">
        <w:trPr>
          <w:trHeight w:val="260"/>
        </w:trPr>
        <w:tc>
          <w:tcPr>
            <w:tcW w:w="1782" w:type="dxa"/>
            <w:tcBorders>
              <w:top w:val="nil"/>
              <w:left w:val="nil"/>
              <w:bottom w:val="nil"/>
              <w:right w:val="nil"/>
            </w:tcBorders>
            <w:shd w:val="clear" w:color="auto" w:fill="auto"/>
            <w:noWrap/>
            <w:vAlign w:val="center"/>
            <w:hideMark/>
          </w:tcPr>
          <w:p w14:paraId="04DC101C"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AŠN</w:t>
            </w:r>
          </w:p>
        </w:tc>
        <w:tc>
          <w:tcPr>
            <w:tcW w:w="7290" w:type="dxa"/>
            <w:tcBorders>
              <w:top w:val="nil"/>
              <w:left w:val="nil"/>
              <w:bottom w:val="nil"/>
              <w:right w:val="nil"/>
            </w:tcBorders>
            <w:shd w:val="clear" w:color="auto" w:fill="auto"/>
            <w:vAlign w:val="center"/>
            <w:hideMark/>
          </w:tcPr>
          <w:p w14:paraId="0962A22B"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Asociácia štátnych nemocníc</w:t>
            </w:r>
          </w:p>
        </w:tc>
      </w:tr>
      <w:tr w:rsidR="00DE1D2A" w:rsidRPr="00666914" w14:paraId="5D65A948" w14:textId="77777777" w:rsidTr="00DE1D2A">
        <w:trPr>
          <w:trHeight w:val="260"/>
        </w:trPr>
        <w:tc>
          <w:tcPr>
            <w:tcW w:w="1782" w:type="dxa"/>
            <w:tcBorders>
              <w:top w:val="nil"/>
              <w:left w:val="nil"/>
              <w:bottom w:val="nil"/>
              <w:right w:val="nil"/>
            </w:tcBorders>
            <w:shd w:val="clear" w:color="auto" w:fill="auto"/>
            <w:noWrap/>
            <w:vAlign w:val="center"/>
            <w:hideMark/>
          </w:tcPr>
          <w:p w14:paraId="59C72EA3"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ATIS</w:t>
            </w:r>
          </w:p>
        </w:tc>
        <w:tc>
          <w:tcPr>
            <w:tcW w:w="7290" w:type="dxa"/>
            <w:tcBorders>
              <w:top w:val="nil"/>
              <w:left w:val="nil"/>
              <w:bottom w:val="nil"/>
              <w:right w:val="nil"/>
            </w:tcBorders>
            <w:shd w:val="clear" w:color="auto" w:fill="auto"/>
            <w:noWrap/>
            <w:vAlign w:val="bottom"/>
            <w:hideMark/>
          </w:tcPr>
          <w:p w14:paraId="4955031F"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Agrárne trhové informácie Slovenska</w:t>
            </w:r>
          </w:p>
        </w:tc>
      </w:tr>
      <w:tr w:rsidR="00DE1D2A" w:rsidRPr="00666914" w14:paraId="422BAE04" w14:textId="77777777" w:rsidTr="00DE1D2A">
        <w:trPr>
          <w:trHeight w:val="260"/>
        </w:trPr>
        <w:tc>
          <w:tcPr>
            <w:tcW w:w="1782" w:type="dxa"/>
            <w:tcBorders>
              <w:top w:val="nil"/>
              <w:left w:val="nil"/>
              <w:bottom w:val="nil"/>
              <w:right w:val="nil"/>
            </w:tcBorders>
            <w:shd w:val="clear" w:color="auto" w:fill="auto"/>
            <w:noWrap/>
            <w:vAlign w:val="center"/>
            <w:hideMark/>
          </w:tcPr>
          <w:p w14:paraId="201C1403"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AVP </w:t>
            </w:r>
          </w:p>
        </w:tc>
        <w:tc>
          <w:tcPr>
            <w:tcW w:w="7290" w:type="dxa"/>
            <w:tcBorders>
              <w:top w:val="nil"/>
              <w:left w:val="nil"/>
              <w:bottom w:val="nil"/>
              <w:right w:val="nil"/>
            </w:tcBorders>
            <w:shd w:val="clear" w:color="auto" w:fill="auto"/>
            <w:vAlign w:val="center"/>
            <w:hideMark/>
          </w:tcPr>
          <w:p w14:paraId="70387D4C"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akreditovaný vzdelávací program </w:t>
            </w:r>
          </w:p>
        </w:tc>
      </w:tr>
      <w:tr w:rsidR="00DE1D2A" w:rsidRPr="00666914" w14:paraId="1CF5F854" w14:textId="77777777" w:rsidTr="00DE1D2A">
        <w:trPr>
          <w:trHeight w:val="260"/>
        </w:trPr>
        <w:tc>
          <w:tcPr>
            <w:tcW w:w="1782" w:type="dxa"/>
            <w:tcBorders>
              <w:top w:val="nil"/>
              <w:left w:val="nil"/>
              <w:bottom w:val="nil"/>
              <w:right w:val="nil"/>
            </w:tcBorders>
            <w:shd w:val="clear" w:color="auto" w:fill="auto"/>
            <w:noWrap/>
            <w:vAlign w:val="center"/>
            <w:hideMark/>
          </w:tcPr>
          <w:p w14:paraId="20BFAE64"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AVS</w:t>
            </w:r>
          </w:p>
        </w:tc>
        <w:tc>
          <w:tcPr>
            <w:tcW w:w="7290" w:type="dxa"/>
            <w:tcBorders>
              <w:top w:val="nil"/>
              <w:left w:val="nil"/>
              <w:bottom w:val="nil"/>
              <w:right w:val="nil"/>
            </w:tcBorders>
            <w:shd w:val="clear" w:color="auto" w:fill="auto"/>
            <w:vAlign w:val="center"/>
            <w:hideMark/>
          </w:tcPr>
          <w:p w14:paraId="7491EB1F"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Asociácia vodárenských spoločností</w:t>
            </w:r>
          </w:p>
        </w:tc>
      </w:tr>
      <w:tr w:rsidR="00DE1D2A" w:rsidRPr="00666914" w14:paraId="3488F2F8" w14:textId="77777777" w:rsidTr="00DE1D2A">
        <w:trPr>
          <w:trHeight w:val="260"/>
        </w:trPr>
        <w:tc>
          <w:tcPr>
            <w:tcW w:w="1782" w:type="dxa"/>
            <w:tcBorders>
              <w:top w:val="nil"/>
              <w:left w:val="nil"/>
              <w:bottom w:val="nil"/>
              <w:right w:val="nil"/>
            </w:tcBorders>
            <w:shd w:val="clear" w:color="auto" w:fill="auto"/>
            <w:noWrap/>
            <w:vAlign w:val="center"/>
            <w:hideMark/>
          </w:tcPr>
          <w:p w14:paraId="23446FEE"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AZS</w:t>
            </w:r>
          </w:p>
        </w:tc>
        <w:tc>
          <w:tcPr>
            <w:tcW w:w="7290" w:type="dxa"/>
            <w:tcBorders>
              <w:top w:val="nil"/>
              <w:left w:val="nil"/>
              <w:bottom w:val="nil"/>
              <w:right w:val="nil"/>
            </w:tcBorders>
            <w:shd w:val="clear" w:color="auto" w:fill="auto"/>
            <w:noWrap/>
            <w:vAlign w:val="bottom"/>
            <w:hideMark/>
          </w:tcPr>
          <w:p w14:paraId="1386C6E5" w14:textId="77777777" w:rsidR="00DE1D2A" w:rsidRPr="00666914" w:rsidRDefault="00DE1D2A" w:rsidP="00DE1D2A">
            <w:pPr>
              <w:spacing w:after="0"/>
              <w:jc w:val="left"/>
              <w:rPr>
                <w:rFonts w:eastAsia="Times New Roman"/>
                <w:sz w:val="20"/>
                <w:szCs w:val="20"/>
                <w:lang w:eastAsia="sk-SK"/>
              </w:rPr>
            </w:pPr>
            <w:r w:rsidRPr="00666914">
              <w:rPr>
                <w:rFonts w:eastAsia="Times New Roman"/>
                <w:sz w:val="20"/>
                <w:szCs w:val="20"/>
                <w:lang w:eastAsia="sk-SK"/>
              </w:rPr>
              <w:t>ambulantná zdravotná starostlivosť</w:t>
            </w:r>
          </w:p>
        </w:tc>
      </w:tr>
      <w:tr w:rsidR="00DE1D2A" w:rsidRPr="00666914" w14:paraId="6E91D1C0" w14:textId="77777777" w:rsidTr="00DE1D2A">
        <w:trPr>
          <w:trHeight w:val="260"/>
        </w:trPr>
        <w:tc>
          <w:tcPr>
            <w:tcW w:w="1782" w:type="dxa"/>
            <w:tcBorders>
              <w:top w:val="nil"/>
              <w:left w:val="nil"/>
              <w:bottom w:val="nil"/>
              <w:right w:val="nil"/>
            </w:tcBorders>
            <w:shd w:val="clear" w:color="auto" w:fill="auto"/>
            <w:noWrap/>
            <w:vAlign w:val="center"/>
            <w:hideMark/>
          </w:tcPr>
          <w:p w14:paraId="04DDDB48"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BA</w:t>
            </w:r>
          </w:p>
        </w:tc>
        <w:tc>
          <w:tcPr>
            <w:tcW w:w="7290" w:type="dxa"/>
            <w:tcBorders>
              <w:top w:val="nil"/>
              <w:left w:val="nil"/>
              <w:bottom w:val="nil"/>
              <w:right w:val="nil"/>
            </w:tcBorders>
            <w:shd w:val="clear" w:color="auto" w:fill="auto"/>
            <w:vAlign w:val="center"/>
            <w:hideMark/>
          </w:tcPr>
          <w:p w14:paraId="4E31FBB3"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Bratislava</w:t>
            </w:r>
          </w:p>
        </w:tc>
      </w:tr>
      <w:tr w:rsidR="00DE1D2A" w:rsidRPr="00666914" w14:paraId="558A8B82" w14:textId="77777777" w:rsidTr="00DE1D2A">
        <w:trPr>
          <w:trHeight w:val="260"/>
        </w:trPr>
        <w:tc>
          <w:tcPr>
            <w:tcW w:w="1782" w:type="dxa"/>
            <w:tcBorders>
              <w:top w:val="nil"/>
              <w:left w:val="nil"/>
              <w:bottom w:val="nil"/>
              <w:right w:val="nil"/>
            </w:tcBorders>
            <w:shd w:val="clear" w:color="auto" w:fill="auto"/>
            <w:noWrap/>
            <w:vAlign w:val="center"/>
            <w:hideMark/>
          </w:tcPr>
          <w:p w14:paraId="6B2896C7"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BB</w:t>
            </w:r>
          </w:p>
        </w:tc>
        <w:tc>
          <w:tcPr>
            <w:tcW w:w="7290" w:type="dxa"/>
            <w:tcBorders>
              <w:top w:val="nil"/>
              <w:left w:val="nil"/>
              <w:bottom w:val="nil"/>
              <w:right w:val="nil"/>
            </w:tcBorders>
            <w:shd w:val="clear" w:color="auto" w:fill="auto"/>
            <w:vAlign w:val="center"/>
            <w:hideMark/>
          </w:tcPr>
          <w:p w14:paraId="0F2D3D04"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Banská Bystrica</w:t>
            </w:r>
          </w:p>
        </w:tc>
      </w:tr>
      <w:tr w:rsidR="00DE1D2A" w:rsidRPr="00666914" w14:paraId="3F07B3A5" w14:textId="77777777" w:rsidTr="00DE1D2A">
        <w:trPr>
          <w:trHeight w:val="260"/>
        </w:trPr>
        <w:tc>
          <w:tcPr>
            <w:tcW w:w="1782" w:type="dxa"/>
            <w:tcBorders>
              <w:top w:val="nil"/>
              <w:left w:val="nil"/>
              <w:bottom w:val="nil"/>
              <w:right w:val="nil"/>
            </w:tcBorders>
            <w:shd w:val="clear" w:color="auto" w:fill="auto"/>
            <w:noWrap/>
            <w:vAlign w:val="center"/>
            <w:hideMark/>
          </w:tcPr>
          <w:p w14:paraId="3F16D7E3"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BCG</w:t>
            </w:r>
          </w:p>
        </w:tc>
        <w:tc>
          <w:tcPr>
            <w:tcW w:w="7290" w:type="dxa"/>
            <w:tcBorders>
              <w:top w:val="nil"/>
              <w:left w:val="nil"/>
              <w:bottom w:val="nil"/>
              <w:right w:val="nil"/>
            </w:tcBorders>
            <w:shd w:val="clear" w:color="auto" w:fill="auto"/>
            <w:vAlign w:val="center"/>
            <w:hideMark/>
          </w:tcPr>
          <w:p w14:paraId="6A64FB40"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Boston Consulting Group</w:t>
            </w:r>
          </w:p>
        </w:tc>
      </w:tr>
      <w:tr w:rsidR="00DE1D2A" w:rsidRPr="00666914" w14:paraId="6A2818F8" w14:textId="77777777" w:rsidTr="00DE1D2A">
        <w:trPr>
          <w:trHeight w:val="260"/>
        </w:trPr>
        <w:tc>
          <w:tcPr>
            <w:tcW w:w="1782" w:type="dxa"/>
            <w:tcBorders>
              <w:top w:val="nil"/>
              <w:left w:val="nil"/>
              <w:bottom w:val="nil"/>
              <w:right w:val="nil"/>
            </w:tcBorders>
            <w:shd w:val="clear" w:color="auto" w:fill="auto"/>
            <w:noWrap/>
            <w:vAlign w:val="center"/>
            <w:hideMark/>
          </w:tcPr>
          <w:p w14:paraId="2583A246"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BCR</w:t>
            </w:r>
          </w:p>
        </w:tc>
        <w:tc>
          <w:tcPr>
            <w:tcW w:w="7290" w:type="dxa"/>
            <w:tcBorders>
              <w:top w:val="nil"/>
              <w:left w:val="nil"/>
              <w:bottom w:val="nil"/>
              <w:right w:val="nil"/>
            </w:tcBorders>
            <w:shd w:val="clear" w:color="auto" w:fill="auto"/>
            <w:vAlign w:val="center"/>
            <w:hideMark/>
          </w:tcPr>
          <w:p w14:paraId="45F52F65"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Benefit-cost ratio – pomer výnosov a nákladov </w:t>
            </w:r>
          </w:p>
        </w:tc>
      </w:tr>
      <w:tr w:rsidR="00DE1D2A" w:rsidRPr="00666914" w14:paraId="01BF42CF" w14:textId="77777777" w:rsidTr="00DE1D2A">
        <w:trPr>
          <w:trHeight w:val="260"/>
        </w:trPr>
        <w:tc>
          <w:tcPr>
            <w:tcW w:w="1782" w:type="dxa"/>
            <w:tcBorders>
              <w:top w:val="nil"/>
              <w:left w:val="nil"/>
              <w:bottom w:val="nil"/>
              <w:right w:val="nil"/>
            </w:tcBorders>
            <w:shd w:val="clear" w:color="auto" w:fill="auto"/>
            <w:noWrap/>
            <w:vAlign w:val="center"/>
            <w:hideMark/>
          </w:tcPr>
          <w:p w14:paraId="1F52D5C9"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BFHI</w:t>
            </w:r>
          </w:p>
        </w:tc>
        <w:tc>
          <w:tcPr>
            <w:tcW w:w="7290" w:type="dxa"/>
            <w:tcBorders>
              <w:top w:val="nil"/>
              <w:left w:val="nil"/>
              <w:bottom w:val="nil"/>
              <w:right w:val="nil"/>
            </w:tcBorders>
            <w:shd w:val="clear" w:color="auto" w:fill="auto"/>
            <w:noWrap/>
            <w:vAlign w:val="bottom"/>
            <w:hideMark/>
          </w:tcPr>
          <w:p w14:paraId="47E044E1" w14:textId="77777777" w:rsidR="00DE1D2A" w:rsidRPr="00666914" w:rsidRDefault="00DE1D2A" w:rsidP="00DE1D2A">
            <w:pPr>
              <w:spacing w:after="0"/>
              <w:jc w:val="left"/>
              <w:rPr>
                <w:rFonts w:eastAsia="Times New Roman"/>
                <w:sz w:val="20"/>
                <w:szCs w:val="20"/>
                <w:lang w:eastAsia="sk-SK"/>
              </w:rPr>
            </w:pPr>
            <w:r w:rsidRPr="00666914">
              <w:rPr>
                <w:rFonts w:eastAsia="Times New Roman"/>
                <w:sz w:val="20"/>
                <w:szCs w:val="20"/>
                <w:lang w:eastAsia="sk-SK"/>
              </w:rPr>
              <w:t>Baby-friendy Hospial Initiative</w:t>
            </w:r>
          </w:p>
        </w:tc>
      </w:tr>
      <w:tr w:rsidR="00DE1D2A" w:rsidRPr="00666914" w14:paraId="1C39B6FE" w14:textId="77777777" w:rsidTr="00DE1D2A">
        <w:trPr>
          <w:trHeight w:val="260"/>
        </w:trPr>
        <w:tc>
          <w:tcPr>
            <w:tcW w:w="1782" w:type="dxa"/>
            <w:tcBorders>
              <w:top w:val="nil"/>
              <w:left w:val="nil"/>
              <w:bottom w:val="nil"/>
              <w:right w:val="nil"/>
            </w:tcBorders>
            <w:shd w:val="clear" w:color="auto" w:fill="auto"/>
            <w:noWrap/>
            <w:vAlign w:val="center"/>
            <w:hideMark/>
          </w:tcPr>
          <w:p w14:paraId="2172B53A"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BOK</w:t>
            </w:r>
          </w:p>
        </w:tc>
        <w:tc>
          <w:tcPr>
            <w:tcW w:w="7290" w:type="dxa"/>
            <w:tcBorders>
              <w:top w:val="nil"/>
              <w:left w:val="nil"/>
              <w:bottom w:val="nil"/>
              <w:right w:val="nil"/>
            </w:tcBorders>
            <w:shd w:val="clear" w:color="auto" w:fill="auto"/>
            <w:vAlign w:val="center"/>
            <w:hideMark/>
          </w:tcPr>
          <w:p w14:paraId="489F2420"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bezpečnostný osobný kód</w:t>
            </w:r>
          </w:p>
        </w:tc>
      </w:tr>
      <w:tr w:rsidR="00DE1D2A" w:rsidRPr="00666914" w14:paraId="00717C3D" w14:textId="77777777" w:rsidTr="00DE1D2A">
        <w:trPr>
          <w:trHeight w:val="260"/>
        </w:trPr>
        <w:tc>
          <w:tcPr>
            <w:tcW w:w="1782" w:type="dxa"/>
            <w:tcBorders>
              <w:top w:val="nil"/>
              <w:left w:val="nil"/>
              <w:bottom w:val="nil"/>
              <w:right w:val="nil"/>
            </w:tcBorders>
            <w:shd w:val="clear" w:color="auto" w:fill="auto"/>
            <w:noWrap/>
            <w:vAlign w:val="center"/>
            <w:hideMark/>
          </w:tcPr>
          <w:p w14:paraId="6D2E002B"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CBA</w:t>
            </w:r>
          </w:p>
        </w:tc>
        <w:tc>
          <w:tcPr>
            <w:tcW w:w="7290" w:type="dxa"/>
            <w:tcBorders>
              <w:top w:val="nil"/>
              <w:left w:val="nil"/>
              <w:bottom w:val="nil"/>
              <w:right w:val="nil"/>
            </w:tcBorders>
            <w:shd w:val="clear" w:color="auto" w:fill="auto"/>
            <w:noWrap/>
            <w:vAlign w:val="center"/>
            <w:hideMark/>
          </w:tcPr>
          <w:p w14:paraId="18C95FEB"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analýza nákladov a prínosov</w:t>
            </w:r>
          </w:p>
        </w:tc>
      </w:tr>
      <w:tr w:rsidR="00DE1D2A" w:rsidRPr="00666914" w14:paraId="254D1B46" w14:textId="77777777" w:rsidTr="00DE1D2A">
        <w:trPr>
          <w:trHeight w:val="260"/>
        </w:trPr>
        <w:tc>
          <w:tcPr>
            <w:tcW w:w="1782" w:type="dxa"/>
            <w:tcBorders>
              <w:top w:val="nil"/>
              <w:left w:val="nil"/>
              <w:bottom w:val="nil"/>
              <w:right w:val="nil"/>
            </w:tcBorders>
            <w:shd w:val="clear" w:color="auto" w:fill="auto"/>
            <w:noWrap/>
            <w:vAlign w:val="center"/>
            <w:hideMark/>
          </w:tcPr>
          <w:p w14:paraId="1CB7D6AD"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CDR</w:t>
            </w:r>
          </w:p>
        </w:tc>
        <w:tc>
          <w:tcPr>
            <w:tcW w:w="7290" w:type="dxa"/>
            <w:tcBorders>
              <w:top w:val="nil"/>
              <w:left w:val="nil"/>
              <w:bottom w:val="nil"/>
              <w:right w:val="nil"/>
            </w:tcBorders>
            <w:shd w:val="clear" w:color="auto" w:fill="auto"/>
            <w:noWrap/>
            <w:vAlign w:val="center"/>
            <w:hideMark/>
          </w:tcPr>
          <w:p w14:paraId="53B36C43"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centrá pre deti a rodiny </w:t>
            </w:r>
          </w:p>
        </w:tc>
      </w:tr>
      <w:tr w:rsidR="00DE1D2A" w:rsidRPr="00666914" w14:paraId="30931246" w14:textId="77777777" w:rsidTr="00DE1D2A">
        <w:trPr>
          <w:trHeight w:val="260"/>
        </w:trPr>
        <w:tc>
          <w:tcPr>
            <w:tcW w:w="1782" w:type="dxa"/>
            <w:tcBorders>
              <w:top w:val="nil"/>
              <w:left w:val="nil"/>
              <w:bottom w:val="nil"/>
              <w:right w:val="nil"/>
            </w:tcBorders>
            <w:shd w:val="clear" w:color="auto" w:fill="auto"/>
            <w:noWrap/>
            <w:vAlign w:val="center"/>
            <w:hideMark/>
          </w:tcPr>
          <w:p w14:paraId="1A1C0ED2"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CIS</w:t>
            </w:r>
          </w:p>
        </w:tc>
        <w:tc>
          <w:tcPr>
            <w:tcW w:w="7290" w:type="dxa"/>
            <w:tcBorders>
              <w:top w:val="nil"/>
              <w:left w:val="nil"/>
              <w:bottom w:val="nil"/>
              <w:right w:val="nil"/>
            </w:tcBorders>
            <w:shd w:val="clear" w:color="auto" w:fill="auto"/>
            <w:noWrap/>
            <w:vAlign w:val="center"/>
            <w:hideMark/>
          </w:tcPr>
          <w:p w14:paraId="41713F38"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Centrálny informačný systém</w:t>
            </w:r>
          </w:p>
        </w:tc>
      </w:tr>
      <w:tr w:rsidR="00DE1D2A" w:rsidRPr="00666914" w14:paraId="3864412B" w14:textId="77777777" w:rsidTr="00DE1D2A">
        <w:trPr>
          <w:trHeight w:val="260"/>
        </w:trPr>
        <w:tc>
          <w:tcPr>
            <w:tcW w:w="1782" w:type="dxa"/>
            <w:tcBorders>
              <w:top w:val="nil"/>
              <w:left w:val="nil"/>
              <w:bottom w:val="nil"/>
              <w:right w:val="nil"/>
            </w:tcBorders>
            <w:shd w:val="clear" w:color="auto" w:fill="auto"/>
            <w:noWrap/>
            <w:vAlign w:val="center"/>
            <w:hideMark/>
          </w:tcPr>
          <w:p w14:paraId="1530D37C"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CN</w:t>
            </w:r>
          </w:p>
        </w:tc>
        <w:tc>
          <w:tcPr>
            <w:tcW w:w="7290" w:type="dxa"/>
            <w:tcBorders>
              <w:top w:val="nil"/>
              <w:left w:val="nil"/>
              <w:bottom w:val="nil"/>
              <w:right w:val="nil"/>
            </w:tcBorders>
            <w:shd w:val="clear" w:color="auto" w:fill="auto"/>
            <w:noWrap/>
            <w:vAlign w:val="bottom"/>
            <w:hideMark/>
          </w:tcPr>
          <w:p w14:paraId="0D2DFD8A" w14:textId="77777777" w:rsidR="00DE1D2A" w:rsidRPr="00666914" w:rsidRDefault="00DE1D2A" w:rsidP="00DE1D2A">
            <w:pPr>
              <w:spacing w:after="0"/>
              <w:jc w:val="left"/>
              <w:rPr>
                <w:rFonts w:eastAsia="Times New Roman"/>
                <w:sz w:val="20"/>
                <w:szCs w:val="20"/>
                <w:lang w:eastAsia="sk-SK"/>
              </w:rPr>
            </w:pPr>
            <w:r w:rsidRPr="00666914">
              <w:rPr>
                <w:rFonts w:eastAsia="Times New Roman"/>
                <w:sz w:val="20"/>
                <w:szCs w:val="20"/>
                <w:lang w:eastAsia="sk-SK"/>
              </w:rPr>
              <w:t>centrálny nákup</w:t>
            </w:r>
          </w:p>
        </w:tc>
      </w:tr>
      <w:tr w:rsidR="00DE1D2A" w:rsidRPr="00666914" w14:paraId="7971172C" w14:textId="77777777" w:rsidTr="00DE1D2A">
        <w:trPr>
          <w:trHeight w:val="260"/>
        </w:trPr>
        <w:tc>
          <w:tcPr>
            <w:tcW w:w="1782" w:type="dxa"/>
            <w:tcBorders>
              <w:top w:val="nil"/>
              <w:left w:val="nil"/>
              <w:bottom w:val="nil"/>
              <w:right w:val="nil"/>
            </w:tcBorders>
            <w:shd w:val="clear" w:color="auto" w:fill="auto"/>
            <w:noWrap/>
            <w:vAlign w:val="center"/>
            <w:hideMark/>
          </w:tcPr>
          <w:p w14:paraId="7924E4A3"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COSME</w:t>
            </w:r>
          </w:p>
        </w:tc>
        <w:tc>
          <w:tcPr>
            <w:tcW w:w="7290" w:type="dxa"/>
            <w:tcBorders>
              <w:top w:val="nil"/>
              <w:left w:val="nil"/>
              <w:bottom w:val="nil"/>
              <w:right w:val="nil"/>
            </w:tcBorders>
            <w:shd w:val="clear" w:color="auto" w:fill="auto"/>
            <w:vAlign w:val="center"/>
            <w:hideMark/>
          </w:tcPr>
          <w:p w14:paraId="17642F23"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program EÚ pre konkurencieschopnosť podnikov a MSP</w:t>
            </w:r>
          </w:p>
        </w:tc>
      </w:tr>
      <w:tr w:rsidR="00DE1D2A" w:rsidRPr="00666914" w14:paraId="2C648DF7" w14:textId="77777777" w:rsidTr="00DE1D2A">
        <w:trPr>
          <w:trHeight w:val="260"/>
        </w:trPr>
        <w:tc>
          <w:tcPr>
            <w:tcW w:w="1782" w:type="dxa"/>
            <w:tcBorders>
              <w:top w:val="nil"/>
              <w:left w:val="nil"/>
              <w:bottom w:val="nil"/>
              <w:right w:val="nil"/>
            </w:tcBorders>
            <w:shd w:val="clear" w:color="auto" w:fill="auto"/>
            <w:noWrap/>
            <w:vAlign w:val="center"/>
            <w:hideMark/>
          </w:tcPr>
          <w:p w14:paraId="0292DB70"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CPU</w:t>
            </w:r>
          </w:p>
        </w:tc>
        <w:tc>
          <w:tcPr>
            <w:tcW w:w="7290" w:type="dxa"/>
            <w:tcBorders>
              <w:top w:val="nil"/>
              <w:left w:val="nil"/>
              <w:bottom w:val="nil"/>
              <w:right w:val="nil"/>
            </w:tcBorders>
            <w:shd w:val="clear" w:color="auto" w:fill="auto"/>
            <w:vAlign w:val="bottom"/>
            <w:hideMark/>
          </w:tcPr>
          <w:p w14:paraId="56F91341"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Central Processing Unit - procesor</w:t>
            </w:r>
          </w:p>
        </w:tc>
      </w:tr>
      <w:tr w:rsidR="00DE1D2A" w:rsidRPr="00666914" w14:paraId="49B02A46" w14:textId="77777777" w:rsidTr="00DE1D2A">
        <w:trPr>
          <w:trHeight w:val="260"/>
        </w:trPr>
        <w:tc>
          <w:tcPr>
            <w:tcW w:w="1782" w:type="dxa"/>
            <w:tcBorders>
              <w:top w:val="nil"/>
              <w:left w:val="nil"/>
              <w:bottom w:val="nil"/>
              <w:right w:val="nil"/>
            </w:tcBorders>
            <w:shd w:val="clear" w:color="auto" w:fill="auto"/>
            <w:noWrap/>
            <w:vAlign w:val="center"/>
            <w:hideMark/>
          </w:tcPr>
          <w:p w14:paraId="28A7160C"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CRŠ</w:t>
            </w:r>
          </w:p>
        </w:tc>
        <w:tc>
          <w:tcPr>
            <w:tcW w:w="7290" w:type="dxa"/>
            <w:tcBorders>
              <w:top w:val="nil"/>
              <w:left w:val="nil"/>
              <w:bottom w:val="nil"/>
              <w:right w:val="nil"/>
            </w:tcBorders>
            <w:shd w:val="clear" w:color="auto" w:fill="auto"/>
            <w:noWrap/>
            <w:vAlign w:val="center"/>
            <w:hideMark/>
          </w:tcPr>
          <w:p w14:paraId="2D05919E"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Centrálny register študentov</w:t>
            </w:r>
          </w:p>
        </w:tc>
      </w:tr>
      <w:tr w:rsidR="00DE1D2A" w:rsidRPr="00666914" w14:paraId="230F3DD3" w14:textId="77777777" w:rsidTr="00DE1D2A">
        <w:trPr>
          <w:trHeight w:val="260"/>
        </w:trPr>
        <w:tc>
          <w:tcPr>
            <w:tcW w:w="1782" w:type="dxa"/>
            <w:tcBorders>
              <w:top w:val="nil"/>
              <w:left w:val="nil"/>
              <w:bottom w:val="nil"/>
              <w:right w:val="nil"/>
            </w:tcBorders>
            <w:shd w:val="clear" w:color="auto" w:fill="auto"/>
            <w:noWrap/>
            <w:vAlign w:val="center"/>
            <w:hideMark/>
          </w:tcPr>
          <w:p w14:paraId="06528B09"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CRZ</w:t>
            </w:r>
          </w:p>
        </w:tc>
        <w:tc>
          <w:tcPr>
            <w:tcW w:w="7290" w:type="dxa"/>
            <w:tcBorders>
              <w:top w:val="nil"/>
              <w:left w:val="nil"/>
              <w:bottom w:val="nil"/>
              <w:right w:val="nil"/>
            </w:tcBorders>
            <w:shd w:val="clear" w:color="auto" w:fill="auto"/>
            <w:vAlign w:val="center"/>
            <w:hideMark/>
          </w:tcPr>
          <w:p w14:paraId="27AC9650"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Centrálny register zmlúv</w:t>
            </w:r>
          </w:p>
        </w:tc>
      </w:tr>
      <w:tr w:rsidR="00DE1D2A" w:rsidRPr="00666914" w14:paraId="5662DDA9" w14:textId="77777777" w:rsidTr="00DE1D2A">
        <w:trPr>
          <w:trHeight w:val="260"/>
        </w:trPr>
        <w:tc>
          <w:tcPr>
            <w:tcW w:w="1782" w:type="dxa"/>
            <w:tcBorders>
              <w:top w:val="nil"/>
              <w:left w:val="nil"/>
              <w:bottom w:val="nil"/>
              <w:right w:val="nil"/>
            </w:tcBorders>
            <w:shd w:val="clear" w:color="auto" w:fill="auto"/>
            <w:noWrap/>
            <w:vAlign w:val="center"/>
            <w:hideMark/>
          </w:tcPr>
          <w:p w14:paraId="1AC39B6D"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CSRÚ </w:t>
            </w:r>
          </w:p>
        </w:tc>
        <w:tc>
          <w:tcPr>
            <w:tcW w:w="7290" w:type="dxa"/>
            <w:tcBorders>
              <w:top w:val="nil"/>
              <w:left w:val="nil"/>
              <w:bottom w:val="nil"/>
              <w:right w:val="nil"/>
            </w:tcBorders>
            <w:shd w:val="clear" w:color="auto" w:fill="auto"/>
            <w:vAlign w:val="center"/>
            <w:hideMark/>
          </w:tcPr>
          <w:p w14:paraId="5D2E5AEB"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Centrálna správa referenčných údajov</w:t>
            </w:r>
          </w:p>
        </w:tc>
      </w:tr>
      <w:tr w:rsidR="00DE1D2A" w:rsidRPr="00666914" w14:paraId="2859D33C" w14:textId="77777777" w:rsidTr="00DE1D2A">
        <w:trPr>
          <w:trHeight w:val="260"/>
        </w:trPr>
        <w:tc>
          <w:tcPr>
            <w:tcW w:w="1782" w:type="dxa"/>
            <w:tcBorders>
              <w:top w:val="nil"/>
              <w:left w:val="nil"/>
              <w:bottom w:val="nil"/>
              <w:right w:val="nil"/>
            </w:tcBorders>
            <w:shd w:val="clear" w:color="auto" w:fill="auto"/>
            <w:noWrap/>
            <w:vAlign w:val="center"/>
            <w:hideMark/>
          </w:tcPr>
          <w:p w14:paraId="29DE72A4"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CT</w:t>
            </w:r>
          </w:p>
        </w:tc>
        <w:tc>
          <w:tcPr>
            <w:tcW w:w="7290" w:type="dxa"/>
            <w:tcBorders>
              <w:top w:val="nil"/>
              <w:left w:val="nil"/>
              <w:bottom w:val="nil"/>
              <w:right w:val="nil"/>
            </w:tcBorders>
            <w:shd w:val="clear" w:color="auto" w:fill="auto"/>
            <w:noWrap/>
            <w:vAlign w:val="bottom"/>
            <w:hideMark/>
          </w:tcPr>
          <w:p w14:paraId="55E0B3AD" w14:textId="77777777" w:rsidR="00DE1D2A" w:rsidRPr="00666914" w:rsidRDefault="00DE1D2A" w:rsidP="00DE1D2A">
            <w:pPr>
              <w:spacing w:after="0"/>
              <w:jc w:val="left"/>
              <w:rPr>
                <w:rFonts w:eastAsia="Times New Roman"/>
                <w:sz w:val="20"/>
                <w:szCs w:val="20"/>
                <w:lang w:eastAsia="sk-SK"/>
              </w:rPr>
            </w:pPr>
            <w:r w:rsidRPr="00666914">
              <w:rPr>
                <w:rFonts w:eastAsia="Times New Roman"/>
                <w:sz w:val="20"/>
                <w:szCs w:val="20"/>
                <w:lang w:eastAsia="sk-SK"/>
              </w:rPr>
              <w:t>počítačová tomografia</w:t>
            </w:r>
          </w:p>
        </w:tc>
      </w:tr>
      <w:tr w:rsidR="00DE1D2A" w:rsidRPr="00666914" w14:paraId="04BEEF0C" w14:textId="77777777" w:rsidTr="00DE1D2A">
        <w:trPr>
          <w:trHeight w:val="260"/>
        </w:trPr>
        <w:tc>
          <w:tcPr>
            <w:tcW w:w="1782" w:type="dxa"/>
            <w:tcBorders>
              <w:top w:val="nil"/>
              <w:left w:val="nil"/>
              <w:bottom w:val="nil"/>
              <w:right w:val="nil"/>
            </w:tcBorders>
            <w:shd w:val="clear" w:color="auto" w:fill="auto"/>
            <w:noWrap/>
            <w:vAlign w:val="center"/>
            <w:hideMark/>
          </w:tcPr>
          <w:p w14:paraId="1909610B"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CÚD</w:t>
            </w:r>
          </w:p>
        </w:tc>
        <w:tc>
          <w:tcPr>
            <w:tcW w:w="7290" w:type="dxa"/>
            <w:tcBorders>
              <w:top w:val="nil"/>
              <w:left w:val="nil"/>
              <w:bottom w:val="nil"/>
              <w:right w:val="nil"/>
            </w:tcBorders>
            <w:shd w:val="clear" w:color="auto" w:fill="auto"/>
            <w:noWrap/>
            <w:vAlign w:val="bottom"/>
            <w:hideMark/>
          </w:tcPr>
          <w:p w14:paraId="17DC97F9"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Centrálne úradne doručovanie</w:t>
            </w:r>
          </w:p>
        </w:tc>
      </w:tr>
      <w:tr w:rsidR="00DE1D2A" w:rsidRPr="00666914" w14:paraId="4426A9DD" w14:textId="77777777" w:rsidTr="00DE1D2A">
        <w:trPr>
          <w:trHeight w:val="260"/>
        </w:trPr>
        <w:tc>
          <w:tcPr>
            <w:tcW w:w="1782" w:type="dxa"/>
            <w:tcBorders>
              <w:top w:val="nil"/>
              <w:left w:val="nil"/>
              <w:bottom w:val="nil"/>
              <w:right w:val="nil"/>
            </w:tcBorders>
            <w:shd w:val="clear" w:color="auto" w:fill="auto"/>
            <w:noWrap/>
            <w:vAlign w:val="center"/>
            <w:hideMark/>
          </w:tcPr>
          <w:p w14:paraId="2BE54CB1"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CVTI</w:t>
            </w:r>
          </w:p>
        </w:tc>
        <w:tc>
          <w:tcPr>
            <w:tcW w:w="7290" w:type="dxa"/>
            <w:tcBorders>
              <w:top w:val="nil"/>
              <w:left w:val="nil"/>
              <w:bottom w:val="nil"/>
              <w:right w:val="nil"/>
            </w:tcBorders>
            <w:shd w:val="clear" w:color="auto" w:fill="auto"/>
            <w:noWrap/>
            <w:vAlign w:val="center"/>
            <w:hideMark/>
          </w:tcPr>
          <w:p w14:paraId="16BBF806"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Centrum vedecko-technických informácií </w:t>
            </w:r>
          </w:p>
        </w:tc>
      </w:tr>
      <w:tr w:rsidR="00DE1D2A" w:rsidRPr="00666914" w14:paraId="5C315ECB" w14:textId="77777777" w:rsidTr="00DE1D2A">
        <w:trPr>
          <w:trHeight w:val="260"/>
        </w:trPr>
        <w:tc>
          <w:tcPr>
            <w:tcW w:w="1782" w:type="dxa"/>
            <w:tcBorders>
              <w:top w:val="nil"/>
              <w:left w:val="nil"/>
              <w:bottom w:val="nil"/>
              <w:right w:val="nil"/>
            </w:tcBorders>
            <w:shd w:val="clear" w:color="auto" w:fill="auto"/>
            <w:noWrap/>
            <w:vAlign w:val="center"/>
            <w:hideMark/>
          </w:tcPr>
          <w:p w14:paraId="1A4F5928"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ČR</w:t>
            </w:r>
          </w:p>
        </w:tc>
        <w:tc>
          <w:tcPr>
            <w:tcW w:w="7290" w:type="dxa"/>
            <w:tcBorders>
              <w:top w:val="nil"/>
              <w:left w:val="nil"/>
              <w:bottom w:val="nil"/>
              <w:right w:val="nil"/>
            </w:tcBorders>
            <w:shd w:val="clear" w:color="auto" w:fill="auto"/>
            <w:noWrap/>
            <w:vAlign w:val="bottom"/>
            <w:hideMark/>
          </w:tcPr>
          <w:p w14:paraId="711C0D26" w14:textId="77777777" w:rsidR="00DE1D2A" w:rsidRPr="00666914" w:rsidRDefault="00DE1D2A" w:rsidP="00DE1D2A">
            <w:pPr>
              <w:spacing w:after="0"/>
              <w:jc w:val="left"/>
              <w:rPr>
                <w:rFonts w:eastAsia="Times New Roman"/>
                <w:sz w:val="20"/>
                <w:szCs w:val="20"/>
                <w:lang w:eastAsia="sk-SK"/>
              </w:rPr>
            </w:pPr>
            <w:r w:rsidRPr="00666914">
              <w:rPr>
                <w:rFonts w:eastAsia="Times New Roman"/>
                <w:sz w:val="20"/>
                <w:szCs w:val="20"/>
                <w:lang w:eastAsia="sk-SK"/>
              </w:rPr>
              <w:t>Česká republika</w:t>
            </w:r>
          </w:p>
        </w:tc>
      </w:tr>
      <w:tr w:rsidR="00DE1D2A" w:rsidRPr="00666914" w14:paraId="6FCCD1BC" w14:textId="77777777" w:rsidTr="00DE1D2A">
        <w:trPr>
          <w:trHeight w:val="260"/>
        </w:trPr>
        <w:tc>
          <w:tcPr>
            <w:tcW w:w="1782" w:type="dxa"/>
            <w:tcBorders>
              <w:top w:val="nil"/>
              <w:left w:val="nil"/>
              <w:bottom w:val="nil"/>
              <w:right w:val="nil"/>
            </w:tcBorders>
            <w:shd w:val="clear" w:color="auto" w:fill="auto"/>
            <w:noWrap/>
            <w:vAlign w:val="center"/>
            <w:hideMark/>
          </w:tcPr>
          <w:p w14:paraId="6D0E727A"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ČŠ</w:t>
            </w:r>
          </w:p>
        </w:tc>
        <w:tc>
          <w:tcPr>
            <w:tcW w:w="7290" w:type="dxa"/>
            <w:tcBorders>
              <w:top w:val="nil"/>
              <w:left w:val="nil"/>
              <w:bottom w:val="nil"/>
              <w:right w:val="nil"/>
            </w:tcBorders>
            <w:shd w:val="clear" w:color="auto" w:fill="auto"/>
            <w:noWrap/>
            <w:vAlign w:val="bottom"/>
            <w:hideMark/>
          </w:tcPr>
          <w:p w14:paraId="5E4A9F44"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členské štáty</w:t>
            </w:r>
          </w:p>
        </w:tc>
      </w:tr>
      <w:tr w:rsidR="00DE1D2A" w:rsidRPr="00666914" w14:paraId="2C0A226A" w14:textId="77777777" w:rsidTr="00DE1D2A">
        <w:trPr>
          <w:trHeight w:val="260"/>
        </w:trPr>
        <w:tc>
          <w:tcPr>
            <w:tcW w:w="1782" w:type="dxa"/>
            <w:tcBorders>
              <w:top w:val="nil"/>
              <w:left w:val="nil"/>
              <w:bottom w:val="nil"/>
              <w:right w:val="nil"/>
            </w:tcBorders>
            <w:shd w:val="clear" w:color="auto" w:fill="auto"/>
            <w:noWrap/>
            <w:vAlign w:val="center"/>
            <w:hideMark/>
          </w:tcPr>
          <w:p w14:paraId="1F9717EE"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DaRC</w:t>
            </w:r>
          </w:p>
        </w:tc>
        <w:tc>
          <w:tcPr>
            <w:tcW w:w="7290" w:type="dxa"/>
            <w:tcBorders>
              <w:top w:val="nil"/>
              <w:left w:val="nil"/>
              <w:bottom w:val="nil"/>
              <w:right w:val="nil"/>
            </w:tcBorders>
            <w:shd w:val="clear" w:color="auto" w:fill="auto"/>
            <w:vAlign w:val="center"/>
            <w:hideMark/>
          </w:tcPr>
          <w:p w14:paraId="027DB80B"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diaľnice a rýchlostné cesty</w:t>
            </w:r>
          </w:p>
        </w:tc>
      </w:tr>
      <w:tr w:rsidR="00DE1D2A" w:rsidRPr="00666914" w14:paraId="08493A82" w14:textId="77777777" w:rsidTr="00DE1D2A">
        <w:trPr>
          <w:trHeight w:val="260"/>
        </w:trPr>
        <w:tc>
          <w:tcPr>
            <w:tcW w:w="1782" w:type="dxa"/>
            <w:tcBorders>
              <w:top w:val="nil"/>
              <w:left w:val="nil"/>
              <w:bottom w:val="nil"/>
              <w:right w:val="nil"/>
            </w:tcBorders>
            <w:shd w:val="clear" w:color="auto" w:fill="auto"/>
            <w:noWrap/>
            <w:vAlign w:val="center"/>
            <w:hideMark/>
          </w:tcPr>
          <w:p w14:paraId="1BD6FAA1"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DB</w:t>
            </w:r>
          </w:p>
        </w:tc>
        <w:tc>
          <w:tcPr>
            <w:tcW w:w="7290" w:type="dxa"/>
            <w:tcBorders>
              <w:top w:val="nil"/>
              <w:left w:val="nil"/>
              <w:bottom w:val="nil"/>
              <w:right w:val="nil"/>
            </w:tcBorders>
            <w:shd w:val="clear" w:color="auto" w:fill="auto"/>
            <w:noWrap/>
            <w:vAlign w:val="center"/>
            <w:hideMark/>
          </w:tcPr>
          <w:p w14:paraId="2159ACDC"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daňový bonus</w:t>
            </w:r>
          </w:p>
        </w:tc>
      </w:tr>
      <w:tr w:rsidR="00DE1D2A" w:rsidRPr="00666914" w14:paraId="3078944D" w14:textId="77777777" w:rsidTr="00DE1D2A">
        <w:trPr>
          <w:trHeight w:val="260"/>
        </w:trPr>
        <w:tc>
          <w:tcPr>
            <w:tcW w:w="1782" w:type="dxa"/>
            <w:tcBorders>
              <w:top w:val="nil"/>
              <w:left w:val="nil"/>
              <w:bottom w:val="nil"/>
              <w:right w:val="nil"/>
            </w:tcBorders>
            <w:shd w:val="clear" w:color="auto" w:fill="auto"/>
            <w:noWrap/>
            <w:vAlign w:val="center"/>
            <w:hideMark/>
          </w:tcPr>
          <w:p w14:paraId="7C5644BF"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DC</w:t>
            </w:r>
          </w:p>
        </w:tc>
        <w:tc>
          <w:tcPr>
            <w:tcW w:w="7290" w:type="dxa"/>
            <w:tcBorders>
              <w:top w:val="nil"/>
              <w:left w:val="nil"/>
              <w:bottom w:val="nil"/>
              <w:right w:val="nil"/>
            </w:tcBorders>
            <w:shd w:val="clear" w:color="auto" w:fill="auto"/>
            <w:vAlign w:val="bottom"/>
            <w:hideMark/>
          </w:tcPr>
          <w:p w14:paraId="14984415"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Datacentrum</w:t>
            </w:r>
          </w:p>
        </w:tc>
      </w:tr>
      <w:tr w:rsidR="00DE1D2A" w:rsidRPr="00666914" w14:paraId="44A42898" w14:textId="77777777" w:rsidTr="00DE1D2A">
        <w:trPr>
          <w:trHeight w:val="260"/>
        </w:trPr>
        <w:tc>
          <w:tcPr>
            <w:tcW w:w="1782" w:type="dxa"/>
            <w:tcBorders>
              <w:top w:val="nil"/>
              <w:left w:val="nil"/>
              <w:bottom w:val="nil"/>
              <w:right w:val="nil"/>
            </w:tcBorders>
            <w:shd w:val="clear" w:color="auto" w:fill="auto"/>
            <w:noWrap/>
            <w:vAlign w:val="center"/>
            <w:hideMark/>
          </w:tcPr>
          <w:p w14:paraId="1CDE0A11"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DDF/d.d.f.</w:t>
            </w:r>
          </w:p>
        </w:tc>
        <w:tc>
          <w:tcPr>
            <w:tcW w:w="7290" w:type="dxa"/>
            <w:tcBorders>
              <w:top w:val="nil"/>
              <w:left w:val="nil"/>
              <w:bottom w:val="nil"/>
              <w:right w:val="nil"/>
            </w:tcBorders>
            <w:shd w:val="clear" w:color="auto" w:fill="auto"/>
            <w:noWrap/>
            <w:vAlign w:val="center"/>
            <w:hideMark/>
          </w:tcPr>
          <w:p w14:paraId="0D34FB95"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doplnkový dôchodkový fond</w:t>
            </w:r>
          </w:p>
        </w:tc>
      </w:tr>
      <w:tr w:rsidR="00DE1D2A" w:rsidRPr="00666914" w14:paraId="550DCEB6" w14:textId="77777777" w:rsidTr="00DE1D2A">
        <w:trPr>
          <w:trHeight w:val="260"/>
        </w:trPr>
        <w:tc>
          <w:tcPr>
            <w:tcW w:w="1782" w:type="dxa"/>
            <w:tcBorders>
              <w:top w:val="nil"/>
              <w:left w:val="nil"/>
              <w:bottom w:val="nil"/>
              <w:right w:val="nil"/>
            </w:tcBorders>
            <w:shd w:val="clear" w:color="auto" w:fill="auto"/>
            <w:noWrap/>
            <w:vAlign w:val="center"/>
            <w:hideMark/>
          </w:tcPr>
          <w:p w14:paraId="68B6222A"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DDS</w:t>
            </w:r>
          </w:p>
        </w:tc>
        <w:tc>
          <w:tcPr>
            <w:tcW w:w="7290" w:type="dxa"/>
            <w:tcBorders>
              <w:top w:val="nil"/>
              <w:left w:val="nil"/>
              <w:bottom w:val="nil"/>
              <w:right w:val="nil"/>
            </w:tcBorders>
            <w:shd w:val="clear" w:color="auto" w:fill="auto"/>
            <w:noWrap/>
            <w:vAlign w:val="center"/>
            <w:hideMark/>
          </w:tcPr>
          <w:p w14:paraId="2E498205"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doplnková dôchodková spoločnosť</w:t>
            </w:r>
          </w:p>
        </w:tc>
      </w:tr>
      <w:tr w:rsidR="00DE1D2A" w:rsidRPr="00666914" w14:paraId="4698F080" w14:textId="77777777" w:rsidTr="00DE1D2A">
        <w:trPr>
          <w:trHeight w:val="260"/>
        </w:trPr>
        <w:tc>
          <w:tcPr>
            <w:tcW w:w="1782" w:type="dxa"/>
            <w:tcBorders>
              <w:top w:val="nil"/>
              <w:left w:val="nil"/>
              <w:bottom w:val="nil"/>
              <w:right w:val="nil"/>
            </w:tcBorders>
            <w:shd w:val="clear" w:color="auto" w:fill="auto"/>
            <w:noWrap/>
            <w:vAlign w:val="center"/>
            <w:hideMark/>
          </w:tcPr>
          <w:p w14:paraId="0DBFEE3E"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DESI</w:t>
            </w:r>
          </w:p>
        </w:tc>
        <w:tc>
          <w:tcPr>
            <w:tcW w:w="7290" w:type="dxa"/>
            <w:tcBorders>
              <w:top w:val="nil"/>
              <w:left w:val="nil"/>
              <w:bottom w:val="nil"/>
              <w:right w:val="nil"/>
            </w:tcBorders>
            <w:shd w:val="clear" w:color="auto" w:fill="auto"/>
            <w:vAlign w:val="center"/>
            <w:hideMark/>
          </w:tcPr>
          <w:p w14:paraId="17237700"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Digital Economy and Society Index – Index digitálnej ekonomiky a spoločnosti </w:t>
            </w:r>
          </w:p>
        </w:tc>
      </w:tr>
      <w:tr w:rsidR="00DE1D2A" w:rsidRPr="00666914" w14:paraId="5113A975" w14:textId="77777777" w:rsidTr="00DE1D2A">
        <w:trPr>
          <w:trHeight w:val="260"/>
        </w:trPr>
        <w:tc>
          <w:tcPr>
            <w:tcW w:w="1782" w:type="dxa"/>
            <w:tcBorders>
              <w:top w:val="nil"/>
              <w:left w:val="nil"/>
              <w:bottom w:val="nil"/>
              <w:right w:val="nil"/>
            </w:tcBorders>
            <w:shd w:val="clear" w:color="auto" w:fill="auto"/>
            <w:noWrap/>
            <w:vAlign w:val="center"/>
            <w:hideMark/>
          </w:tcPr>
          <w:p w14:paraId="744F2C7F"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DF</w:t>
            </w:r>
          </w:p>
        </w:tc>
        <w:tc>
          <w:tcPr>
            <w:tcW w:w="7290" w:type="dxa"/>
            <w:tcBorders>
              <w:top w:val="nil"/>
              <w:left w:val="nil"/>
              <w:bottom w:val="nil"/>
              <w:right w:val="nil"/>
            </w:tcBorders>
            <w:shd w:val="clear" w:color="auto" w:fill="auto"/>
            <w:noWrap/>
            <w:vAlign w:val="center"/>
            <w:hideMark/>
          </w:tcPr>
          <w:p w14:paraId="1C6B07B7"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dôchodkový fond</w:t>
            </w:r>
          </w:p>
        </w:tc>
      </w:tr>
      <w:tr w:rsidR="00DE1D2A" w:rsidRPr="00666914" w14:paraId="049C174A" w14:textId="77777777" w:rsidTr="00DE1D2A">
        <w:trPr>
          <w:trHeight w:val="260"/>
        </w:trPr>
        <w:tc>
          <w:tcPr>
            <w:tcW w:w="1782" w:type="dxa"/>
            <w:tcBorders>
              <w:top w:val="nil"/>
              <w:left w:val="nil"/>
              <w:bottom w:val="nil"/>
              <w:right w:val="nil"/>
            </w:tcBorders>
            <w:shd w:val="clear" w:color="auto" w:fill="auto"/>
            <w:noWrap/>
            <w:vAlign w:val="center"/>
            <w:hideMark/>
          </w:tcPr>
          <w:p w14:paraId="07BD8036"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DF BB</w:t>
            </w:r>
          </w:p>
        </w:tc>
        <w:tc>
          <w:tcPr>
            <w:tcW w:w="7290" w:type="dxa"/>
            <w:tcBorders>
              <w:top w:val="nil"/>
              <w:left w:val="nil"/>
              <w:bottom w:val="nil"/>
              <w:right w:val="nil"/>
            </w:tcBorders>
            <w:shd w:val="clear" w:color="auto" w:fill="auto"/>
            <w:noWrap/>
            <w:vAlign w:val="bottom"/>
            <w:hideMark/>
          </w:tcPr>
          <w:p w14:paraId="0BEC5596" w14:textId="77777777" w:rsidR="00DE1D2A" w:rsidRPr="00666914" w:rsidRDefault="00DE1D2A" w:rsidP="00DE1D2A">
            <w:pPr>
              <w:spacing w:after="0"/>
              <w:jc w:val="left"/>
              <w:rPr>
                <w:rFonts w:eastAsia="Times New Roman"/>
                <w:sz w:val="20"/>
                <w:szCs w:val="20"/>
                <w:lang w:eastAsia="sk-SK"/>
              </w:rPr>
            </w:pPr>
            <w:r w:rsidRPr="00666914">
              <w:rPr>
                <w:rFonts w:eastAsia="Times New Roman"/>
                <w:sz w:val="20"/>
                <w:szCs w:val="20"/>
                <w:lang w:eastAsia="sk-SK"/>
              </w:rPr>
              <w:t>Detská fakultná nemocnica s poliklinikou Banská Bystrica</w:t>
            </w:r>
          </w:p>
        </w:tc>
      </w:tr>
      <w:tr w:rsidR="00DE1D2A" w:rsidRPr="00666914" w14:paraId="3D6A0CF4" w14:textId="77777777" w:rsidTr="00DE1D2A">
        <w:trPr>
          <w:trHeight w:val="260"/>
        </w:trPr>
        <w:tc>
          <w:tcPr>
            <w:tcW w:w="1782" w:type="dxa"/>
            <w:tcBorders>
              <w:top w:val="nil"/>
              <w:left w:val="nil"/>
              <w:bottom w:val="nil"/>
              <w:right w:val="nil"/>
            </w:tcBorders>
            <w:shd w:val="clear" w:color="auto" w:fill="auto"/>
            <w:noWrap/>
            <w:vAlign w:val="center"/>
            <w:hideMark/>
          </w:tcPr>
          <w:p w14:paraId="73362368"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DF KE</w:t>
            </w:r>
          </w:p>
        </w:tc>
        <w:tc>
          <w:tcPr>
            <w:tcW w:w="7290" w:type="dxa"/>
            <w:tcBorders>
              <w:top w:val="nil"/>
              <w:left w:val="nil"/>
              <w:bottom w:val="nil"/>
              <w:right w:val="nil"/>
            </w:tcBorders>
            <w:shd w:val="clear" w:color="auto" w:fill="auto"/>
            <w:noWrap/>
            <w:vAlign w:val="bottom"/>
            <w:hideMark/>
          </w:tcPr>
          <w:p w14:paraId="7EF94F74" w14:textId="77777777" w:rsidR="00DE1D2A" w:rsidRPr="00666914" w:rsidRDefault="00DE1D2A" w:rsidP="00DE1D2A">
            <w:pPr>
              <w:spacing w:after="0"/>
              <w:jc w:val="left"/>
              <w:rPr>
                <w:rFonts w:eastAsia="Times New Roman"/>
                <w:sz w:val="20"/>
                <w:szCs w:val="20"/>
                <w:lang w:eastAsia="sk-SK"/>
              </w:rPr>
            </w:pPr>
            <w:r w:rsidRPr="00666914">
              <w:rPr>
                <w:rFonts w:eastAsia="Times New Roman"/>
                <w:sz w:val="20"/>
                <w:szCs w:val="20"/>
                <w:lang w:eastAsia="sk-SK"/>
              </w:rPr>
              <w:t>Detská fakultná nemocnica Košice</w:t>
            </w:r>
          </w:p>
        </w:tc>
      </w:tr>
      <w:tr w:rsidR="00DE1D2A" w:rsidRPr="00666914" w14:paraId="1E57B981" w14:textId="77777777" w:rsidTr="00DE1D2A">
        <w:trPr>
          <w:trHeight w:val="260"/>
        </w:trPr>
        <w:tc>
          <w:tcPr>
            <w:tcW w:w="1782" w:type="dxa"/>
            <w:tcBorders>
              <w:top w:val="nil"/>
              <w:left w:val="nil"/>
              <w:bottom w:val="nil"/>
              <w:right w:val="nil"/>
            </w:tcBorders>
            <w:shd w:val="clear" w:color="auto" w:fill="auto"/>
            <w:noWrap/>
            <w:vAlign w:val="center"/>
            <w:hideMark/>
          </w:tcPr>
          <w:p w14:paraId="287FB134"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DFN</w:t>
            </w:r>
          </w:p>
        </w:tc>
        <w:tc>
          <w:tcPr>
            <w:tcW w:w="7290" w:type="dxa"/>
            <w:tcBorders>
              <w:top w:val="nil"/>
              <w:left w:val="nil"/>
              <w:bottom w:val="nil"/>
              <w:right w:val="nil"/>
            </w:tcBorders>
            <w:shd w:val="clear" w:color="auto" w:fill="auto"/>
            <w:noWrap/>
            <w:vAlign w:val="bottom"/>
            <w:hideMark/>
          </w:tcPr>
          <w:p w14:paraId="45BDD315" w14:textId="77777777" w:rsidR="00DE1D2A" w:rsidRPr="00666914" w:rsidRDefault="00DE1D2A" w:rsidP="00DE1D2A">
            <w:pPr>
              <w:spacing w:after="0"/>
              <w:jc w:val="left"/>
              <w:rPr>
                <w:rFonts w:eastAsia="Times New Roman"/>
                <w:sz w:val="20"/>
                <w:szCs w:val="20"/>
                <w:lang w:eastAsia="sk-SK"/>
              </w:rPr>
            </w:pPr>
            <w:r w:rsidRPr="00666914">
              <w:rPr>
                <w:rFonts w:eastAsia="Times New Roman"/>
                <w:sz w:val="20"/>
                <w:szCs w:val="20"/>
                <w:lang w:eastAsia="sk-SK"/>
              </w:rPr>
              <w:t>Detská fakultná nemocnica</w:t>
            </w:r>
          </w:p>
        </w:tc>
      </w:tr>
      <w:tr w:rsidR="00DE1D2A" w:rsidRPr="00666914" w14:paraId="0290CF73" w14:textId="77777777" w:rsidTr="00DE1D2A">
        <w:trPr>
          <w:trHeight w:val="260"/>
        </w:trPr>
        <w:tc>
          <w:tcPr>
            <w:tcW w:w="1782" w:type="dxa"/>
            <w:tcBorders>
              <w:top w:val="nil"/>
              <w:left w:val="nil"/>
              <w:bottom w:val="nil"/>
              <w:right w:val="nil"/>
            </w:tcBorders>
            <w:shd w:val="clear" w:color="auto" w:fill="auto"/>
            <w:noWrap/>
            <w:vAlign w:val="center"/>
            <w:hideMark/>
          </w:tcPr>
          <w:p w14:paraId="26743A6B"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DFNsP</w:t>
            </w:r>
          </w:p>
        </w:tc>
        <w:tc>
          <w:tcPr>
            <w:tcW w:w="7290" w:type="dxa"/>
            <w:tcBorders>
              <w:top w:val="nil"/>
              <w:left w:val="nil"/>
              <w:bottom w:val="nil"/>
              <w:right w:val="nil"/>
            </w:tcBorders>
            <w:shd w:val="clear" w:color="auto" w:fill="auto"/>
            <w:noWrap/>
            <w:vAlign w:val="bottom"/>
            <w:hideMark/>
          </w:tcPr>
          <w:p w14:paraId="53F1E952" w14:textId="77777777" w:rsidR="00DE1D2A" w:rsidRPr="00666914" w:rsidRDefault="00DE1D2A" w:rsidP="00DE1D2A">
            <w:pPr>
              <w:spacing w:after="0"/>
              <w:jc w:val="left"/>
              <w:rPr>
                <w:rFonts w:eastAsia="Times New Roman"/>
                <w:sz w:val="20"/>
                <w:szCs w:val="20"/>
                <w:lang w:eastAsia="sk-SK"/>
              </w:rPr>
            </w:pPr>
            <w:r w:rsidRPr="00666914">
              <w:rPr>
                <w:rFonts w:eastAsia="Times New Roman"/>
                <w:sz w:val="20"/>
                <w:szCs w:val="20"/>
                <w:lang w:eastAsia="sk-SK"/>
              </w:rPr>
              <w:t>Detská fakultná nemocnica s poliklinikou</w:t>
            </w:r>
          </w:p>
        </w:tc>
      </w:tr>
      <w:tr w:rsidR="00DE1D2A" w:rsidRPr="00666914" w14:paraId="14928831" w14:textId="77777777" w:rsidTr="00DE1D2A">
        <w:trPr>
          <w:trHeight w:val="260"/>
        </w:trPr>
        <w:tc>
          <w:tcPr>
            <w:tcW w:w="1782" w:type="dxa"/>
            <w:tcBorders>
              <w:top w:val="nil"/>
              <w:left w:val="nil"/>
              <w:bottom w:val="nil"/>
              <w:right w:val="nil"/>
            </w:tcBorders>
            <w:shd w:val="clear" w:color="auto" w:fill="auto"/>
            <w:noWrap/>
            <w:vAlign w:val="center"/>
            <w:hideMark/>
          </w:tcPr>
          <w:p w14:paraId="08732E65"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DK</w:t>
            </w:r>
          </w:p>
        </w:tc>
        <w:tc>
          <w:tcPr>
            <w:tcW w:w="7290" w:type="dxa"/>
            <w:tcBorders>
              <w:top w:val="nil"/>
              <w:left w:val="nil"/>
              <w:bottom w:val="nil"/>
              <w:right w:val="nil"/>
            </w:tcBorders>
            <w:shd w:val="clear" w:color="auto" w:fill="auto"/>
            <w:noWrap/>
            <w:vAlign w:val="center"/>
            <w:hideMark/>
          </w:tcPr>
          <w:p w14:paraId="45C79456"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dohodovacie konanie</w:t>
            </w:r>
          </w:p>
        </w:tc>
      </w:tr>
      <w:tr w:rsidR="00DE1D2A" w:rsidRPr="00666914" w14:paraId="51BEFA8A" w14:textId="77777777" w:rsidTr="00DE1D2A">
        <w:trPr>
          <w:trHeight w:val="260"/>
        </w:trPr>
        <w:tc>
          <w:tcPr>
            <w:tcW w:w="1782" w:type="dxa"/>
            <w:tcBorders>
              <w:top w:val="nil"/>
              <w:left w:val="nil"/>
              <w:bottom w:val="nil"/>
              <w:right w:val="nil"/>
            </w:tcBorders>
            <w:shd w:val="clear" w:color="auto" w:fill="auto"/>
            <w:noWrap/>
            <w:vAlign w:val="center"/>
            <w:hideMark/>
          </w:tcPr>
          <w:p w14:paraId="547F8C00"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DP</w:t>
            </w:r>
          </w:p>
        </w:tc>
        <w:tc>
          <w:tcPr>
            <w:tcW w:w="7290" w:type="dxa"/>
            <w:tcBorders>
              <w:top w:val="nil"/>
              <w:left w:val="nil"/>
              <w:bottom w:val="nil"/>
              <w:right w:val="nil"/>
            </w:tcBorders>
            <w:shd w:val="clear" w:color="auto" w:fill="auto"/>
            <w:vAlign w:val="center"/>
            <w:hideMark/>
          </w:tcPr>
          <w:p w14:paraId="3C2AD1CA"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dokumentácia na ponuku</w:t>
            </w:r>
          </w:p>
        </w:tc>
      </w:tr>
      <w:tr w:rsidR="00DE1D2A" w:rsidRPr="00666914" w14:paraId="651610DC" w14:textId="77777777" w:rsidTr="00DE1D2A">
        <w:trPr>
          <w:trHeight w:val="260"/>
        </w:trPr>
        <w:tc>
          <w:tcPr>
            <w:tcW w:w="1782" w:type="dxa"/>
            <w:tcBorders>
              <w:top w:val="nil"/>
              <w:left w:val="nil"/>
              <w:bottom w:val="nil"/>
              <w:right w:val="nil"/>
            </w:tcBorders>
            <w:shd w:val="clear" w:color="auto" w:fill="auto"/>
            <w:noWrap/>
            <w:vAlign w:val="center"/>
            <w:hideMark/>
          </w:tcPr>
          <w:p w14:paraId="269E56E7"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DRG</w:t>
            </w:r>
          </w:p>
        </w:tc>
        <w:tc>
          <w:tcPr>
            <w:tcW w:w="7290" w:type="dxa"/>
            <w:tcBorders>
              <w:top w:val="nil"/>
              <w:left w:val="nil"/>
              <w:bottom w:val="nil"/>
              <w:right w:val="nil"/>
            </w:tcBorders>
            <w:shd w:val="clear" w:color="auto" w:fill="auto"/>
            <w:noWrap/>
            <w:vAlign w:val="bottom"/>
            <w:hideMark/>
          </w:tcPr>
          <w:p w14:paraId="23789C6F" w14:textId="77777777" w:rsidR="00DE1D2A" w:rsidRPr="00666914" w:rsidRDefault="00DE1D2A" w:rsidP="00DE1D2A">
            <w:pPr>
              <w:spacing w:after="0"/>
              <w:jc w:val="left"/>
              <w:rPr>
                <w:rFonts w:eastAsia="Times New Roman"/>
                <w:sz w:val="20"/>
                <w:szCs w:val="20"/>
                <w:lang w:eastAsia="sk-SK"/>
              </w:rPr>
            </w:pPr>
            <w:r w:rsidRPr="00666914">
              <w:rPr>
                <w:rFonts w:eastAsia="Times New Roman"/>
                <w:sz w:val="20"/>
                <w:szCs w:val="20"/>
                <w:lang w:eastAsia="sk-SK"/>
              </w:rPr>
              <w:t>Diagnosis-Related Groups, platba za diagnózu</w:t>
            </w:r>
          </w:p>
        </w:tc>
      </w:tr>
      <w:tr w:rsidR="00DE1D2A" w:rsidRPr="00666914" w14:paraId="2FE5655D" w14:textId="77777777" w:rsidTr="00DE1D2A">
        <w:trPr>
          <w:trHeight w:val="260"/>
        </w:trPr>
        <w:tc>
          <w:tcPr>
            <w:tcW w:w="1782" w:type="dxa"/>
            <w:tcBorders>
              <w:top w:val="nil"/>
              <w:left w:val="nil"/>
              <w:bottom w:val="nil"/>
              <w:right w:val="nil"/>
            </w:tcBorders>
            <w:shd w:val="clear" w:color="auto" w:fill="auto"/>
            <w:noWrap/>
            <w:vAlign w:val="center"/>
            <w:hideMark/>
          </w:tcPr>
          <w:p w14:paraId="1A91AD27"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lastRenderedPageBreak/>
              <w:t>DRS</w:t>
            </w:r>
          </w:p>
        </w:tc>
        <w:tc>
          <w:tcPr>
            <w:tcW w:w="7290" w:type="dxa"/>
            <w:tcBorders>
              <w:top w:val="nil"/>
              <w:left w:val="nil"/>
              <w:bottom w:val="nil"/>
              <w:right w:val="nil"/>
            </w:tcBorders>
            <w:shd w:val="clear" w:color="auto" w:fill="auto"/>
            <w:vAlign w:val="center"/>
            <w:hideMark/>
          </w:tcPr>
          <w:p w14:paraId="61AC73DA"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dokumentácia pre realizáciu stavby</w:t>
            </w:r>
          </w:p>
        </w:tc>
      </w:tr>
      <w:tr w:rsidR="00DE1D2A" w:rsidRPr="00666914" w14:paraId="5B3BA44F" w14:textId="77777777" w:rsidTr="00DE1D2A">
        <w:trPr>
          <w:trHeight w:val="260"/>
        </w:trPr>
        <w:tc>
          <w:tcPr>
            <w:tcW w:w="1782" w:type="dxa"/>
            <w:tcBorders>
              <w:top w:val="nil"/>
              <w:left w:val="nil"/>
              <w:bottom w:val="nil"/>
              <w:right w:val="nil"/>
            </w:tcBorders>
            <w:shd w:val="clear" w:color="auto" w:fill="auto"/>
            <w:noWrap/>
            <w:vAlign w:val="center"/>
            <w:hideMark/>
          </w:tcPr>
          <w:p w14:paraId="0E6E5B3C"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DSP</w:t>
            </w:r>
          </w:p>
        </w:tc>
        <w:tc>
          <w:tcPr>
            <w:tcW w:w="7290" w:type="dxa"/>
            <w:tcBorders>
              <w:top w:val="nil"/>
              <w:left w:val="nil"/>
              <w:bottom w:val="nil"/>
              <w:right w:val="nil"/>
            </w:tcBorders>
            <w:shd w:val="clear" w:color="auto" w:fill="auto"/>
            <w:vAlign w:val="center"/>
            <w:hideMark/>
          </w:tcPr>
          <w:p w14:paraId="3AAEB3FC"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dokumentácia pre stavebné povolenie</w:t>
            </w:r>
          </w:p>
        </w:tc>
      </w:tr>
      <w:tr w:rsidR="00DE1D2A" w:rsidRPr="00666914" w14:paraId="55117954" w14:textId="77777777" w:rsidTr="00DE1D2A">
        <w:trPr>
          <w:trHeight w:val="260"/>
        </w:trPr>
        <w:tc>
          <w:tcPr>
            <w:tcW w:w="1782" w:type="dxa"/>
            <w:tcBorders>
              <w:top w:val="nil"/>
              <w:left w:val="nil"/>
              <w:bottom w:val="nil"/>
              <w:right w:val="nil"/>
            </w:tcBorders>
            <w:shd w:val="clear" w:color="auto" w:fill="auto"/>
            <w:noWrap/>
            <w:vAlign w:val="center"/>
            <w:hideMark/>
          </w:tcPr>
          <w:p w14:paraId="1A1B5BC5"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DSS</w:t>
            </w:r>
          </w:p>
        </w:tc>
        <w:tc>
          <w:tcPr>
            <w:tcW w:w="7290" w:type="dxa"/>
            <w:tcBorders>
              <w:top w:val="nil"/>
              <w:left w:val="nil"/>
              <w:bottom w:val="nil"/>
              <w:right w:val="nil"/>
            </w:tcBorders>
            <w:shd w:val="clear" w:color="auto" w:fill="auto"/>
            <w:noWrap/>
            <w:vAlign w:val="center"/>
            <w:hideMark/>
          </w:tcPr>
          <w:p w14:paraId="269C4BB7"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dôchodková správcovská spoločnosť</w:t>
            </w:r>
          </w:p>
        </w:tc>
      </w:tr>
      <w:tr w:rsidR="00DE1D2A" w:rsidRPr="00666914" w14:paraId="5A90C5C2" w14:textId="77777777" w:rsidTr="00DE1D2A">
        <w:trPr>
          <w:trHeight w:val="260"/>
        </w:trPr>
        <w:tc>
          <w:tcPr>
            <w:tcW w:w="1782" w:type="dxa"/>
            <w:tcBorders>
              <w:top w:val="nil"/>
              <w:left w:val="nil"/>
              <w:bottom w:val="nil"/>
              <w:right w:val="nil"/>
            </w:tcBorders>
            <w:shd w:val="clear" w:color="auto" w:fill="auto"/>
            <w:noWrap/>
            <w:vAlign w:val="center"/>
            <w:hideMark/>
          </w:tcPr>
          <w:p w14:paraId="1A688128"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DSZ</w:t>
            </w:r>
          </w:p>
        </w:tc>
        <w:tc>
          <w:tcPr>
            <w:tcW w:w="7290" w:type="dxa"/>
            <w:tcBorders>
              <w:top w:val="nil"/>
              <w:left w:val="nil"/>
              <w:bottom w:val="nil"/>
              <w:right w:val="nil"/>
            </w:tcBorders>
            <w:shd w:val="clear" w:color="auto" w:fill="auto"/>
            <w:vAlign w:val="center"/>
            <w:hideMark/>
          </w:tcPr>
          <w:p w14:paraId="362F95C0"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dokumentácia stavebného zámeru</w:t>
            </w:r>
          </w:p>
        </w:tc>
      </w:tr>
      <w:tr w:rsidR="00DE1D2A" w:rsidRPr="00666914" w14:paraId="657D94B0" w14:textId="77777777" w:rsidTr="00DE1D2A">
        <w:trPr>
          <w:trHeight w:val="260"/>
        </w:trPr>
        <w:tc>
          <w:tcPr>
            <w:tcW w:w="1782" w:type="dxa"/>
            <w:tcBorders>
              <w:top w:val="nil"/>
              <w:left w:val="nil"/>
              <w:bottom w:val="nil"/>
              <w:right w:val="nil"/>
            </w:tcBorders>
            <w:shd w:val="clear" w:color="auto" w:fill="auto"/>
            <w:noWrap/>
            <w:vAlign w:val="center"/>
            <w:hideMark/>
          </w:tcPr>
          <w:p w14:paraId="7EFF899A"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DÚR</w:t>
            </w:r>
          </w:p>
        </w:tc>
        <w:tc>
          <w:tcPr>
            <w:tcW w:w="7290" w:type="dxa"/>
            <w:tcBorders>
              <w:top w:val="nil"/>
              <w:left w:val="nil"/>
              <w:bottom w:val="nil"/>
              <w:right w:val="nil"/>
            </w:tcBorders>
            <w:shd w:val="clear" w:color="auto" w:fill="auto"/>
            <w:vAlign w:val="center"/>
            <w:hideMark/>
          </w:tcPr>
          <w:p w14:paraId="2C4EC8E4"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dokumentácia na územné rozhodnutie</w:t>
            </w:r>
          </w:p>
        </w:tc>
      </w:tr>
      <w:tr w:rsidR="00DE1D2A" w:rsidRPr="00666914" w14:paraId="3613F20E" w14:textId="77777777" w:rsidTr="00DE1D2A">
        <w:trPr>
          <w:trHeight w:val="260"/>
        </w:trPr>
        <w:tc>
          <w:tcPr>
            <w:tcW w:w="1782" w:type="dxa"/>
            <w:tcBorders>
              <w:top w:val="nil"/>
              <w:left w:val="nil"/>
              <w:bottom w:val="nil"/>
              <w:right w:val="nil"/>
            </w:tcBorders>
            <w:shd w:val="clear" w:color="auto" w:fill="auto"/>
            <w:noWrap/>
            <w:vAlign w:val="center"/>
            <w:hideMark/>
          </w:tcPr>
          <w:p w14:paraId="1DBE172E"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DvHN</w:t>
            </w:r>
          </w:p>
        </w:tc>
        <w:tc>
          <w:tcPr>
            <w:tcW w:w="7290" w:type="dxa"/>
            <w:tcBorders>
              <w:top w:val="nil"/>
              <w:left w:val="nil"/>
              <w:bottom w:val="nil"/>
              <w:right w:val="nil"/>
            </w:tcBorders>
            <w:shd w:val="clear" w:color="auto" w:fill="auto"/>
            <w:noWrap/>
            <w:vAlign w:val="center"/>
            <w:hideMark/>
          </w:tcPr>
          <w:p w14:paraId="208C0120"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dávka v hmotnej núdzi</w:t>
            </w:r>
          </w:p>
        </w:tc>
      </w:tr>
      <w:tr w:rsidR="00DE1D2A" w:rsidRPr="00666914" w14:paraId="504AA385" w14:textId="77777777" w:rsidTr="00DE1D2A">
        <w:trPr>
          <w:trHeight w:val="260"/>
        </w:trPr>
        <w:tc>
          <w:tcPr>
            <w:tcW w:w="1782" w:type="dxa"/>
            <w:tcBorders>
              <w:top w:val="nil"/>
              <w:left w:val="nil"/>
              <w:bottom w:val="nil"/>
              <w:right w:val="nil"/>
            </w:tcBorders>
            <w:shd w:val="clear" w:color="auto" w:fill="auto"/>
            <w:noWrap/>
            <w:vAlign w:val="center"/>
            <w:hideMark/>
          </w:tcPr>
          <w:p w14:paraId="3639DD3A"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DzP</w:t>
            </w:r>
          </w:p>
        </w:tc>
        <w:tc>
          <w:tcPr>
            <w:tcW w:w="7290" w:type="dxa"/>
            <w:tcBorders>
              <w:top w:val="nil"/>
              <w:left w:val="nil"/>
              <w:bottom w:val="nil"/>
              <w:right w:val="nil"/>
            </w:tcBorders>
            <w:shd w:val="clear" w:color="auto" w:fill="auto"/>
            <w:vAlign w:val="center"/>
            <w:hideMark/>
          </w:tcPr>
          <w:p w14:paraId="64E8C140"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daň z príjmu </w:t>
            </w:r>
          </w:p>
        </w:tc>
      </w:tr>
      <w:tr w:rsidR="00DE1D2A" w:rsidRPr="00666914" w14:paraId="06DA940B" w14:textId="77777777" w:rsidTr="00DE1D2A">
        <w:trPr>
          <w:trHeight w:val="260"/>
        </w:trPr>
        <w:tc>
          <w:tcPr>
            <w:tcW w:w="1782" w:type="dxa"/>
            <w:tcBorders>
              <w:top w:val="nil"/>
              <w:left w:val="nil"/>
              <w:bottom w:val="nil"/>
              <w:right w:val="nil"/>
            </w:tcBorders>
            <w:shd w:val="clear" w:color="auto" w:fill="auto"/>
            <w:noWrap/>
            <w:vAlign w:val="center"/>
            <w:hideMark/>
          </w:tcPr>
          <w:p w14:paraId="5A6FF50A"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EBHR</w:t>
            </w:r>
          </w:p>
        </w:tc>
        <w:tc>
          <w:tcPr>
            <w:tcW w:w="7290" w:type="dxa"/>
            <w:tcBorders>
              <w:top w:val="nil"/>
              <w:left w:val="nil"/>
              <w:bottom w:val="nil"/>
              <w:right w:val="nil"/>
            </w:tcBorders>
            <w:shd w:val="clear" w:color="auto" w:fill="auto"/>
            <w:vAlign w:val="center"/>
            <w:hideMark/>
          </w:tcPr>
          <w:p w14:paraId="141864AA"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Evidence-Based Hospital Referral </w:t>
            </w:r>
          </w:p>
        </w:tc>
      </w:tr>
      <w:tr w:rsidR="00DE1D2A" w:rsidRPr="00666914" w14:paraId="3DAF44AB" w14:textId="77777777" w:rsidTr="00DE1D2A">
        <w:trPr>
          <w:trHeight w:val="260"/>
        </w:trPr>
        <w:tc>
          <w:tcPr>
            <w:tcW w:w="1782" w:type="dxa"/>
            <w:tcBorders>
              <w:top w:val="nil"/>
              <w:left w:val="nil"/>
              <w:bottom w:val="nil"/>
              <w:right w:val="nil"/>
            </w:tcBorders>
            <w:shd w:val="clear" w:color="auto" w:fill="auto"/>
            <w:noWrap/>
            <w:vAlign w:val="center"/>
            <w:hideMark/>
          </w:tcPr>
          <w:p w14:paraId="0A6E2C03"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EBITDA</w:t>
            </w:r>
          </w:p>
        </w:tc>
        <w:tc>
          <w:tcPr>
            <w:tcW w:w="7290" w:type="dxa"/>
            <w:tcBorders>
              <w:top w:val="nil"/>
              <w:left w:val="nil"/>
              <w:bottom w:val="nil"/>
              <w:right w:val="nil"/>
            </w:tcBorders>
            <w:shd w:val="clear" w:color="auto" w:fill="auto"/>
            <w:noWrap/>
            <w:vAlign w:val="center"/>
            <w:hideMark/>
          </w:tcPr>
          <w:p w14:paraId="3F9B238A"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Earnings before interest, taxes, depreciation and amortization (zisk pred započítaním úrokov, daní a odpisov)</w:t>
            </w:r>
          </w:p>
        </w:tc>
      </w:tr>
      <w:tr w:rsidR="00DE1D2A" w:rsidRPr="00666914" w14:paraId="01AECDE1" w14:textId="77777777" w:rsidTr="00DE1D2A">
        <w:trPr>
          <w:trHeight w:val="260"/>
        </w:trPr>
        <w:tc>
          <w:tcPr>
            <w:tcW w:w="1782" w:type="dxa"/>
            <w:tcBorders>
              <w:top w:val="nil"/>
              <w:left w:val="nil"/>
              <w:bottom w:val="nil"/>
              <w:right w:val="nil"/>
            </w:tcBorders>
            <w:shd w:val="clear" w:color="auto" w:fill="auto"/>
            <w:noWrap/>
            <w:vAlign w:val="center"/>
            <w:hideMark/>
          </w:tcPr>
          <w:p w14:paraId="07EA1E4E"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EEX</w:t>
            </w:r>
          </w:p>
        </w:tc>
        <w:tc>
          <w:tcPr>
            <w:tcW w:w="7290" w:type="dxa"/>
            <w:tcBorders>
              <w:top w:val="nil"/>
              <w:left w:val="nil"/>
              <w:bottom w:val="nil"/>
              <w:right w:val="nil"/>
            </w:tcBorders>
            <w:shd w:val="clear" w:color="auto" w:fill="auto"/>
            <w:vAlign w:val="center"/>
            <w:hideMark/>
          </w:tcPr>
          <w:p w14:paraId="3B994312"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European Energy Exchange – Európska energetická burza</w:t>
            </w:r>
          </w:p>
        </w:tc>
      </w:tr>
      <w:tr w:rsidR="00DE1D2A" w:rsidRPr="00666914" w14:paraId="42A0A14E" w14:textId="77777777" w:rsidTr="00DE1D2A">
        <w:trPr>
          <w:trHeight w:val="260"/>
        </w:trPr>
        <w:tc>
          <w:tcPr>
            <w:tcW w:w="1782" w:type="dxa"/>
            <w:tcBorders>
              <w:top w:val="nil"/>
              <w:left w:val="nil"/>
              <w:bottom w:val="nil"/>
              <w:right w:val="nil"/>
            </w:tcBorders>
            <w:shd w:val="clear" w:color="auto" w:fill="auto"/>
            <w:noWrap/>
            <w:vAlign w:val="center"/>
            <w:hideMark/>
          </w:tcPr>
          <w:p w14:paraId="2A1CD707"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EF</w:t>
            </w:r>
          </w:p>
        </w:tc>
        <w:tc>
          <w:tcPr>
            <w:tcW w:w="7290" w:type="dxa"/>
            <w:tcBorders>
              <w:top w:val="nil"/>
              <w:left w:val="nil"/>
              <w:bottom w:val="nil"/>
              <w:right w:val="nil"/>
            </w:tcBorders>
            <w:shd w:val="clear" w:color="auto" w:fill="auto"/>
            <w:vAlign w:val="center"/>
            <w:hideMark/>
          </w:tcPr>
          <w:p w14:paraId="2F71FA6B"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Environmentálny fond</w:t>
            </w:r>
          </w:p>
        </w:tc>
      </w:tr>
      <w:tr w:rsidR="00DE1D2A" w:rsidRPr="00666914" w14:paraId="544BCEA3" w14:textId="77777777" w:rsidTr="00DE1D2A">
        <w:trPr>
          <w:trHeight w:val="260"/>
        </w:trPr>
        <w:tc>
          <w:tcPr>
            <w:tcW w:w="1782" w:type="dxa"/>
            <w:tcBorders>
              <w:top w:val="nil"/>
              <w:left w:val="nil"/>
              <w:bottom w:val="nil"/>
              <w:right w:val="nil"/>
            </w:tcBorders>
            <w:shd w:val="clear" w:color="auto" w:fill="auto"/>
            <w:noWrap/>
            <w:vAlign w:val="center"/>
            <w:hideMark/>
          </w:tcPr>
          <w:p w14:paraId="2758FD49"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e-Health</w:t>
            </w:r>
          </w:p>
        </w:tc>
        <w:tc>
          <w:tcPr>
            <w:tcW w:w="7290" w:type="dxa"/>
            <w:tcBorders>
              <w:top w:val="nil"/>
              <w:left w:val="nil"/>
              <w:bottom w:val="nil"/>
              <w:right w:val="nil"/>
            </w:tcBorders>
            <w:shd w:val="clear" w:color="auto" w:fill="auto"/>
            <w:noWrap/>
            <w:vAlign w:val="bottom"/>
            <w:hideMark/>
          </w:tcPr>
          <w:p w14:paraId="1BF9AC18" w14:textId="77777777" w:rsidR="00DE1D2A" w:rsidRPr="00666914" w:rsidRDefault="00DE1D2A" w:rsidP="00DE1D2A">
            <w:pPr>
              <w:spacing w:after="0"/>
              <w:jc w:val="left"/>
              <w:rPr>
                <w:rFonts w:eastAsia="Times New Roman"/>
                <w:sz w:val="20"/>
                <w:szCs w:val="20"/>
                <w:lang w:eastAsia="sk-SK"/>
              </w:rPr>
            </w:pPr>
            <w:r w:rsidRPr="00666914">
              <w:rPr>
                <w:rFonts w:eastAsia="Times New Roman"/>
                <w:sz w:val="20"/>
                <w:szCs w:val="20"/>
                <w:lang w:eastAsia="sk-SK"/>
              </w:rPr>
              <w:t>staré pomenovanie pre elektronické zdravotníctvo</w:t>
            </w:r>
          </w:p>
        </w:tc>
      </w:tr>
      <w:tr w:rsidR="00DE1D2A" w:rsidRPr="00666914" w14:paraId="24E82617" w14:textId="77777777" w:rsidTr="00DE1D2A">
        <w:trPr>
          <w:trHeight w:val="260"/>
        </w:trPr>
        <w:tc>
          <w:tcPr>
            <w:tcW w:w="1782" w:type="dxa"/>
            <w:tcBorders>
              <w:top w:val="nil"/>
              <w:left w:val="nil"/>
              <w:bottom w:val="nil"/>
              <w:right w:val="nil"/>
            </w:tcBorders>
            <w:shd w:val="clear" w:color="auto" w:fill="auto"/>
            <w:noWrap/>
            <w:vAlign w:val="center"/>
            <w:hideMark/>
          </w:tcPr>
          <w:p w14:paraId="7B432CB6"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EIA </w:t>
            </w:r>
          </w:p>
        </w:tc>
        <w:tc>
          <w:tcPr>
            <w:tcW w:w="7290" w:type="dxa"/>
            <w:tcBorders>
              <w:top w:val="nil"/>
              <w:left w:val="nil"/>
              <w:bottom w:val="nil"/>
              <w:right w:val="nil"/>
            </w:tcBorders>
            <w:shd w:val="clear" w:color="auto" w:fill="auto"/>
            <w:vAlign w:val="center"/>
            <w:hideMark/>
          </w:tcPr>
          <w:p w14:paraId="5B1738BA"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Environment Impact Assessment (Posudzovanie vplyvov na životné prostredie)</w:t>
            </w:r>
          </w:p>
        </w:tc>
      </w:tr>
      <w:tr w:rsidR="00DE1D2A" w:rsidRPr="00666914" w14:paraId="302112B1" w14:textId="77777777" w:rsidTr="00DE1D2A">
        <w:trPr>
          <w:trHeight w:val="260"/>
        </w:trPr>
        <w:tc>
          <w:tcPr>
            <w:tcW w:w="1782" w:type="dxa"/>
            <w:tcBorders>
              <w:top w:val="nil"/>
              <w:left w:val="nil"/>
              <w:bottom w:val="nil"/>
              <w:right w:val="nil"/>
            </w:tcBorders>
            <w:shd w:val="clear" w:color="auto" w:fill="auto"/>
            <w:noWrap/>
            <w:vAlign w:val="center"/>
            <w:hideMark/>
          </w:tcPr>
          <w:p w14:paraId="790A171F"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EIB</w:t>
            </w:r>
          </w:p>
        </w:tc>
        <w:tc>
          <w:tcPr>
            <w:tcW w:w="7290" w:type="dxa"/>
            <w:tcBorders>
              <w:top w:val="nil"/>
              <w:left w:val="nil"/>
              <w:bottom w:val="nil"/>
              <w:right w:val="nil"/>
            </w:tcBorders>
            <w:shd w:val="clear" w:color="auto" w:fill="auto"/>
            <w:noWrap/>
            <w:vAlign w:val="bottom"/>
            <w:hideMark/>
          </w:tcPr>
          <w:p w14:paraId="1325E724"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Európska investičná banka</w:t>
            </w:r>
          </w:p>
        </w:tc>
      </w:tr>
      <w:tr w:rsidR="00DE1D2A" w:rsidRPr="00666914" w14:paraId="41DA8668" w14:textId="77777777" w:rsidTr="00DE1D2A">
        <w:trPr>
          <w:trHeight w:val="260"/>
        </w:trPr>
        <w:tc>
          <w:tcPr>
            <w:tcW w:w="1782" w:type="dxa"/>
            <w:tcBorders>
              <w:top w:val="nil"/>
              <w:left w:val="nil"/>
              <w:bottom w:val="nil"/>
              <w:right w:val="nil"/>
            </w:tcBorders>
            <w:shd w:val="clear" w:color="auto" w:fill="auto"/>
            <w:noWrap/>
            <w:vAlign w:val="center"/>
            <w:hideMark/>
          </w:tcPr>
          <w:p w14:paraId="7FD6D621"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eID</w:t>
            </w:r>
          </w:p>
        </w:tc>
        <w:tc>
          <w:tcPr>
            <w:tcW w:w="7290" w:type="dxa"/>
            <w:tcBorders>
              <w:top w:val="nil"/>
              <w:left w:val="nil"/>
              <w:bottom w:val="nil"/>
              <w:right w:val="nil"/>
            </w:tcBorders>
            <w:shd w:val="clear" w:color="auto" w:fill="auto"/>
            <w:vAlign w:val="center"/>
            <w:hideMark/>
          </w:tcPr>
          <w:p w14:paraId="6FE1BB47"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elektronický občiansky preukaz</w:t>
            </w:r>
          </w:p>
        </w:tc>
      </w:tr>
      <w:tr w:rsidR="00DE1D2A" w:rsidRPr="00666914" w14:paraId="42A81A8E" w14:textId="77777777" w:rsidTr="00DE1D2A">
        <w:trPr>
          <w:trHeight w:val="260"/>
        </w:trPr>
        <w:tc>
          <w:tcPr>
            <w:tcW w:w="1782" w:type="dxa"/>
            <w:tcBorders>
              <w:top w:val="nil"/>
              <w:left w:val="nil"/>
              <w:bottom w:val="nil"/>
              <w:right w:val="nil"/>
            </w:tcBorders>
            <w:shd w:val="clear" w:color="auto" w:fill="auto"/>
            <w:noWrap/>
            <w:vAlign w:val="center"/>
            <w:hideMark/>
          </w:tcPr>
          <w:p w14:paraId="7763281B"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EIF</w:t>
            </w:r>
          </w:p>
        </w:tc>
        <w:tc>
          <w:tcPr>
            <w:tcW w:w="7290" w:type="dxa"/>
            <w:tcBorders>
              <w:top w:val="nil"/>
              <w:left w:val="nil"/>
              <w:bottom w:val="nil"/>
              <w:right w:val="nil"/>
            </w:tcBorders>
            <w:shd w:val="clear" w:color="auto" w:fill="auto"/>
            <w:noWrap/>
            <w:vAlign w:val="bottom"/>
            <w:hideMark/>
          </w:tcPr>
          <w:p w14:paraId="32069C54"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Európsky investičný fond</w:t>
            </w:r>
          </w:p>
        </w:tc>
      </w:tr>
      <w:tr w:rsidR="00DE1D2A" w:rsidRPr="00666914" w14:paraId="4D765C83" w14:textId="77777777" w:rsidTr="00DE1D2A">
        <w:trPr>
          <w:trHeight w:val="260"/>
        </w:trPr>
        <w:tc>
          <w:tcPr>
            <w:tcW w:w="1782" w:type="dxa"/>
            <w:tcBorders>
              <w:top w:val="nil"/>
              <w:left w:val="nil"/>
              <w:bottom w:val="nil"/>
              <w:right w:val="nil"/>
            </w:tcBorders>
            <w:shd w:val="clear" w:color="auto" w:fill="auto"/>
            <w:noWrap/>
            <w:vAlign w:val="center"/>
            <w:hideMark/>
          </w:tcPr>
          <w:p w14:paraId="460FA3D6"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EIOPA</w:t>
            </w:r>
          </w:p>
        </w:tc>
        <w:tc>
          <w:tcPr>
            <w:tcW w:w="7290" w:type="dxa"/>
            <w:tcBorders>
              <w:top w:val="nil"/>
              <w:left w:val="nil"/>
              <w:bottom w:val="nil"/>
              <w:right w:val="nil"/>
            </w:tcBorders>
            <w:shd w:val="clear" w:color="auto" w:fill="auto"/>
            <w:noWrap/>
            <w:vAlign w:val="center"/>
            <w:hideMark/>
          </w:tcPr>
          <w:p w14:paraId="610D11F2"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European Insurance and Occupational Pensions Authority</w:t>
            </w:r>
          </w:p>
        </w:tc>
      </w:tr>
      <w:tr w:rsidR="00DE1D2A" w:rsidRPr="00666914" w14:paraId="7A9CB96C" w14:textId="77777777" w:rsidTr="00DE1D2A">
        <w:trPr>
          <w:trHeight w:val="260"/>
        </w:trPr>
        <w:tc>
          <w:tcPr>
            <w:tcW w:w="1782" w:type="dxa"/>
            <w:tcBorders>
              <w:top w:val="nil"/>
              <w:left w:val="nil"/>
              <w:bottom w:val="nil"/>
              <w:right w:val="nil"/>
            </w:tcBorders>
            <w:shd w:val="clear" w:color="auto" w:fill="auto"/>
            <w:noWrap/>
            <w:vAlign w:val="center"/>
            <w:hideMark/>
          </w:tcPr>
          <w:p w14:paraId="50C7E122"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EK </w:t>
            </w:r>
          </w:p>
        </w:tc>
        <w:tc>
          <w:tcPr>
            <w:tcW w:w="7290" w:type="dxa"/>
            <w:tcBorders>
              <w:top w:val="nil"/>
              <w:left w:val="nil"/>
              <w:bottom w:val="nil"/>
              <w:right w:val="nil"/>
            </w:tcBorders>
            <w:shd w:val="clear" w:color="auto" w:fill="auto"/>
            <w:vAlign w:val="center"/>
            <w:hideMark/>
          </w:tcPr>
          <w:p w14:paraId="1F14C380"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Európska komisia </w:t>
            </w:r>
          </w:p>
        </w:tc>
      </w:tr>
      <w:tr w:rsidR="00DE1D2A" w:rsidRPr="00666914" w14:paraId="6D9809B2" w14:textId="77777777" w:rsidTr="00DE1D2A">
        <w:trPr>
          <w:trHeight w:val="260"/>
        </w:trPr>
        <w:tc>
          <w:tcPr>
            <w:tcW w:w="1782" w:type="dxa"/>
            <w:tcBorders>
              <w:top w:val="nil"/>
              <w:left w:val="nil"/>
              <w:bottom w:val="nil"/>
              <w:right w:val="nil"/>
            </w:tcBorders>
            <w:shd w:val="clear" w:color="auto" w:fill="auto"/>
            <w:noWrap/>
            <w:vAlign w:val="center"/>
            <w:hideMark/>
          </w:tcPr>
          <w:p w14:paraId="69825FB7"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EKRK</w:t>
            </w:r>
          </w:p>
        </w:tc>
        <w:tc>
          <w:tcPr>
            <w:tcW w:w="7290" w:type="dxa"/>
            <w:tcBorders>
              <w:top w:val="nil"/>
              <w:left w:val="nil"/>
              <w:bottom w:val="nil"/>
              <w:right w:val="nil"/>
            </w:tcBorders>
            <w:shd w:val="clear" w:color="auto" w:fill="auto"/>
            <w:vAlign w:val="bottom"/>
            <w:hideMark/>
          </w:tcPr>
          <w:p w14:paraId="499ED682"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ekonomická klasifikácia rozpočtovej klasifikácie</w:t>
            </w:r>
          </w:p>
        </w:tc>
      </w:tr>
      <w:tr w:rsidR="00DE1D2A" w:rsidRPr="00666914" w14:paraId="2FCD9989" w14:textId="77777777" w:rsidTr="00DE1D2A">
        <w:trPr>
          <w:trHeight w:val="260"/>
        </w:trPr>
        <w:tc>
          <w:tcPr>
            <w:tcW w:w="1782" w:type="dxa"/>
            <w:tcBorders>
              <w:top w:val="nil"/>
              <w:left w:val="nil"/>
              <w:bottom w:val="nil"/>
              <w:right w:val="nil"/>
            </w:tcBorders>
            <w:shd w:val="clear" w:color="auto" w:fill="auto"/>
            <w:noWrap/>
            <w:vAlign w:val="center"/>
            <w:hideMark/>
          </w:tcPr>
          <w:p w14:paraId="7CB8F503" w14:textId="3E82D6C0" w:rsidR="00DE1D2A" w:rsidRPr="00666914" w:rsidRDefault="00DE1D2A" w:rsidP="00B82B5E">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eLab</w:t>
            </w:r>
          </w:p>
        </w:tc>
        <w:tc>
          <w:tcPr>
            <w:tcW w:w="7290" w:type="dxa"/>
            <w:tcBorders>
              <w:top w:val="nil"/>
              <w:left w:val="nil"/>
              <w:bottom w:val="nil"/>
              <w:right w:val="nil"/>
            </w:tcBorders>
            <w:shd w:val="clear" w:color="auto" w:fill="auto"/>
            <w:vAlign w:val="center"/>
            <w:hideMark/>
          </w:tcPr>
          <w:p w14:paraId="5E9C5DF6"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funkcia el. zdravotníctva pre vytvorenie záznamu o laboratórnom vyšetrení</w:t>
            </w:r>
          </w:p>
        </w:tc>
      </w:tr>
      <w:tr w:rsidR="00DE1D2A" w:rsidRPr="00666914" w14:paraId="53CB093F" w14:textId="77777777" w:rsidTr="00DE1D2A">
        <w:trPr>
          <w:trHeight w:val="260"/>
        </w:trPr>
        <w:tc>
          <w:tcPr>
            <w:tcW w:w="1782" w:type="dxa"/>
            <w:tcBorders>
              <w:top w:val="nil"/>
              <w:left w:val="nil"/>
              <w:bottom w:val="nil"/>
              <w:right w:val="nil"/>
            </w:tcBorders>
            <w:shd w:val="clear" w:color="auto" w:fill="auto"/>
            <w:noWrap/>
            <w:vAlign w:val="center"/>
            <w:hideMark/>
          </w:tcPr>
          <w:p w14:paraId="7D87D736"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ENQA</w:t>
            </w:r>
          </w:p>
        </w:tc>
        <w:tc>
          <w:tcPr>
            <w:tcW w:w="7290" w:type="dxa"/>
            <w:tcBorders>
              <w:top w:val="nil"/>
              <w:left w:val="nil"/>
              <w:bottom w:val="nil"/>
              <w:right w:val="nil"/>
            </w:tcBorders>
            <w:shd w:val="clear" w:color="auto" w:fill="auto"/>
            <w:noWrap/>
            <w:vAlign w:val="center"/>
            <w:hideMark/>
          </w:tcPr>
          <w:p w14:paraId="5F582688"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Európske združenie akreditačných komisií </w:t>
            </w:r>
          </w:p>
        </w:tc>
      </w:tr>
      <w:tr w:rsidR="00DE1D2A" w:rsidRPr="00666914" w14:paraId="2B4AA1D5" w14:textId="77777777" w:rsidTr="00DE1D2A">
        <w:trPr>
          <w:trHeight w:val="260"/>
        </w:trPr>
        <w:tc>
          <w:tcPr>
            <w:tcW w:w="1782" w:type="dxa"/>
            <w:tcBorders>
              <w:top w:val="nil"/>
              <w:left w:val="nil"/>
              <w:bottom w:val="nil"/>
              <w:right w:val="nil"/>
            </w:tcBorders>
            <w:shd w:val="clear" w:color="auto" w:fill="auto"/>
            <w:noWrap/>
            <w:vAlign w:val="center"/>
            <w:hideMark/>
          </w:tcPr>
          <w:p w14:paraId="2F2E878F"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EPFRV</w:t>
            </w:r>
          </w:p>
        </w:tc>
        <w:tc>
          <w:tcPr>
            <w:tcW w:w="7290" w:type="dxa"/>
            <w:tcBorders>
              <w:top w:val="nil"/>
              <w:left w:val="nil"/>
              <w:bottom w:val="nil"/>
              <w:right w:val="nil"/>
            </w:tcBorders>
            <w:shd w:val="clear" w:color="auto" w:fill="auto"/>
            <w:noWrap/>
            <w:vAlign w:val="bottom"/>
            <w:hideMark/>
          </w:tcPr>
          <w:p w14:paraId="27135257"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Európsky poľnohospodársky fond pre rozvoj vidieka</w:t>
            </w:r>
          </w:p>
        </w:tc>
      </w:tr>
      <w:tr w:rsidR="00DE1D2A" w:rsidRPr="00666914" w14:paraId="01B44071" w14:textId="77777777" w:rsidTr="00DE1D2A">
        <w:trPr>
          <w:trHeight w:val="260"/>
        </w:trPr>
        <w:tc>
          <w:tcPr>
            <w:tcW w:w="1782" w:type="dxa"/>
            <w:tcBorders>
              <w:top w:val="nil"/>
              <w:left w:val="nil"/>
              <w:bottom w:val="nil"/>
              <w:right w:val="nil"/>
            </w:tcBorders>
            <w:shd w:val="clear" w:color="auto" w:fill="auto"/>
            <w:noWrap/>
            <w:vAlign w:val="center"/>
            <w:hideMark/>
          </w:tcPr>
          <w:p w14:paraId="17F26094"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eRecept</w:t>
            </w:r>
          </w:p>
        </w:tc>
        <w:tc>
          <w:tcPr>
            <w:tcW w:w="7290" w:type="dxa"/>
            <w:tcBorders>
              <w:top w:val="nil"/>
              <w:left w:val="nil"/>
              <w:bottom w:val="nil"/>
              <w:right w:val="nil"/>
            </w:tcBorders>
            <w:shd w:val="clear" w:color="auto" w:fill="auto"/>
            <w:vAlign w:val="center"/>
            <w:hideMark/>
          </w:tcPr>
          <w:p w14:paraId="486FBD0C"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funkcia elektronického zdravotníctva pre predpisovanie receptov</w:t>
            </w:r>
          </w:p>
        </w:tc>
      </w:tr>
      <w:tr w:rsidR="00DE1D2A" w:rsidRPr="00666914" w14:paraId="5DE1FEBA" w14:textId="77777777" w:rsidTr="00DE1D2A">
        <w:trPr>
          <w:trHeight w:val="520"/>
        </w:trPr>
        <w:tc>
          <w:tcPr>
            <w:tcW w:w="1782" w:type="dxa"/>
            <w:tcBorders>
              <w:top w:val="nil"/>
              <w:left w:val="nil"/>
              <w:bottom w:val="nil"/>
              <w:right w:val="nil"/>
            </w:tcBorders>
            <w:shd w:val="clear" w:color="auto" w:fill="auto"/>
            <w:noWrap/>
            <w:vAlign w:val="center"/>
            <w:hideMark/>
          </w:tcPr>
          <w:p w14:paraId="7B18E2AC"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ESG</w:t>
            </w:r>
          </w:p>
        </w:tc>
        <w:tc>
          <w:tcPr>
            <w:tcW w:w="7290" w:type="dxa"/>
            <w:tcBorders>
              <w:top w:val="nil"/>
              <w:left w:val="nil"/>
              <w:bottom w:val="nil"/>
              <w:right w:val="nil"/>
            </w:tcBorders>
            <w:shd w:val="clear" w:color="auto" w:fill="auto"/>
            <w:vAlign w:val="center"/>
            <w:hideMark/>
          </w:tcPr>
          <w:p w14:paraId="04BCE676"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Štandardy a usmernenia na zabezpečovanie kvality v Európskom priestore vysokoškolského vzdelávania</w:t>
            </w:r>
          </w:p>
        </w:tc>
      </w:tr>
      <w:tr w:rsidR="00DE1D2A" w:rsidRPr="00666914" w14:paraId="611FD440" w14:textId="77777777" w:rsidTr="00DE1D2A">
        <w:trPr>
          <w:trHeight w:val="260"/>
        </w:trPr>
        <w:tc>
          <w:tcPr>
            <w:tcW w:w="1782" w:type="dxa"/>
            <w:tcBorders>
              <w:top w:val="nil"/>
              <w:left w:val="nil"/>
              <w:bottom w:val="nil"/>
              <w:right w:val="nil"/>
            </w:tcBorders>
            <w:shd w:val="clear" w:color="auto" w:fill="auto"/>
            <w:noWrap/>
            <w:vAlign w:val="center"/>
            <w:hideMark/>
          </w:tcPr>
          <w:p w14:paraId="41F618CF"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EŠIF</w:t>
            </w:r>
          </w:p>
        </w:tc>
        <w:tc>
          <w:tcPr>
            <w:tcW w:w="7290" w:type="dxa"/>
            <w:tcBorders>
              <w:top w:val="nil"/>
              <w:left w:val="nil"/>
              <w:bottom w:val="nil"/>
              <w:right w:val="nil"/>
            </w:tcBorders>
            <w:shd w:val="clear" w:color="auto" w:fill="auto"/>
            <w:noWrap/>
            <w:vAlign w:val="center"/>
            <w:hideMark/>
          </w:tcPr>
          <w:p w14:paraId="1922A4FA"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Európske štrukturálne a investičné fondy </w:t>
            </w:r>
          </w:p>
        </w:tc>
      </w:tr>
      <w:tr w:rsidR="00DE1D2A" w:rsidRPr="00666914" w14:paraId="37731E7F" w14:textId="77777777" w:rsidTr="00DE1D2A">
        <w:trPr>
          <w:trHeight w:val="260"/>
        </w:trPr>
        <w:tc>
          <w:tcPr>
            <w:tcW w:w="1782" w:type="dxa"/>
            <w:tcBorders>
              <w:top w:val="nil"/>
              <w:left w:val="nil"/>
              <w:bottom w:val="nil"/>
              <w:right w:val="nil"/>
            </w:tcBorders>
            <w:shd w:val="clear" w:color="auto" w:fill="auto"/>
            <w:noWrap/>
            <w:vAlign w:val="center"/>
            <w:hideMark/>
          </w:tcPr>
          <w:p w14:paraId="1D1E7564"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EÚ </w:t>
            </w:r>
          </w:p>
        </w:tc>
        <w:tc>
          <w:tcPr>
            <w:tcW w:w="7290" w:type="dxa"/>
            <w:tcBorders>
              <w:top w:val="nil"/>
              <w:left w:val="nil"/>
              <w:bottom w:val="nil"/>
              <w:right w:val="nil"/>
            </w:tcBorders>
            <w:shd w:val="clear" w:color="auto" w:fill="auto"/>
            <w:vAlign w:val="center"/>
            <w:hideMark/>
          </w:tcPr>
          <w:p w14:paraId="348A4483"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Európska únia </w:t>
            </w:r>
          </w:p>
        </w:tc>
      </w:tr>
      <w:tr w:rsidR="00DE1D2A" w:rsidRPr="00666914" w14:paraId="3EC64AEC" w14:textId="77777777" w:rsidTr="00DE1D2A">
        <w:trPr>
          <w:trHeight w:val="260"/>
        </w:trPr>
        <w:tc>
          <w:tcPr>
            <w:tcW w:w="1782" w:type="dxa"/>
            <w:tcBorders>
              <w:top w:val="nil"/>
              <w:left w:val="nil"/>
              <w:bottom w:val="nil"/>
              <w:right w:val="nil"/>
            </w:tcBorders>
            <w:shd w:val="clear" w:color="auto" w:fill="auto"/>
            <w:noWrap/>
            <w:vAlign w:val="center"/>
            <w:hideMark/>
          </w:tcPr>
          <w:p w14:paraId="5665BDDC"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EUA</w:t>
            </w:r>
          </w:p>
        </w:tc>
        <w:tc>
          <w:tcPr>
            <w:tcW w:w="7290" w:type="dxa"/>
            <w:tcBorders>
              <w:top w:val="nil"/>
              <w:left w:val="nil"/>
              <w:bottom w:val="nil"/>
              <w:right w:val="nil"/>
            </w:tcBorders>
            <w:shd w:val="clear" w:color="auto" w:fill="auto"/>
            <w:vAlign w:val="center"/>
            <w:hideMark/>
          </w:tcPr>
          <w:p w14:paraId="183184F4"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EU Allowances, emisné kvóty </w:t>
            </w:r>
          </w:p>
        </w:tc>
      </w:tr>
      <w:tr w:rsidR="00DE1D2A" w:rsidRPr="00666914" w14:paraId="50706714" w14:textId="77777777" w:rsidTr="00DE1D2A">
        <w:trPr>
          <w:trHeight w:val="260"/>
        </w:trPr>
        <w:tc>
          <w:tcPr>
            <w:tcW w:w="1782" w:type="dxa"/>
            <w:tcBorders>
              <w:top w:val="nil"/>
              <w:left w:val="nil"/>
              <w:bottom w:val="nil"/>
              <w:right w:val="nil"/>
            </w:tcBorders>
            <w:shd w:val="clear" w:color="auto" w:fill="auto"/>
            <w:noWrap/>
            <w:vAlign w:val="center"/>
            <w:hideMark/>
          </w:tcPr>
          <w:p w14:paraId="5835281C"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EURIPID</w:t>
            </w:r>
          </w:p>
        </w:tc>
        <w:tc>
          <w:tcPr>
            <w:tcW w:w="7290" w:type="dxa"/>
            <w:tcBorders>
              <w:top w:val="nil"/>
              <w:left w:val="nil"/>
              <w:bottom w:val="nil"/>
              <w:right w:val="nil"/>
            </w:tcBorders>
            <w:shd w:val="clear" w:color="auto" w:fill="auto"/>
            <w:noWrap/>
            <w:vAlign w:val="bottom"/>
            <w:hideMark/>
          </w:tcPr>
          <w:p w14:paraId="0A5094FD" w14:textId="77777777" w:rsidR="00DE1D2A" w:rsidRPr="00666914" w:rsidRDefault="00DE1D2A" w:rsidP="00DE1D2A">
            <w:pPr>
              <w:spacing w:after="0"/>
              <w:jc w:val="left"/>
              <w:rPr>
                <w:rFonts w:eastAsia="Times New Roman"/>
                <w:sz w:val="20"/>
                <w:szCs w:val="20"/>
                <w:lang w:eastAsia="sk-SK"/>
              </w:rPr>
            </w:pPr>
            <w:r w:rsidRPr="00666914">
              <w:rPr>
                <w:rFonts w:eastAsia="Times New Roman"/>
                <w:sz w:val="20"/>
                <w:szCs w:val="20"/>
                <w:lang w:eastAsia="sk-SK"/>
              </w:rPr>
              <w:t>European Integrated Price Information Database</w:t>
            </w:r>
          </w:p>
        </w:tc>
      </w:tr>
      <w:tr w:rsidR="00DE1D2A" w:rsidRPr="00666914" w14:paraId="17B549F3" w14:textId="77777777" w:rsidTr="00DE1D2A">
        <w:trPr>
          <w:trHeight w:val="260"/>
        </w:trPr>
        <w:tc>
          <w:tcPr>
            <w:tcW w:w="1782" w:type="dxa"/>
            <w:tcBorders>
              <w:top w:val="nil"/>
              <w:left w:val="nil"/>
              <w:bottom w:val="nil"/>
              <w:right w:val="nil"/>
            </w:tcBorders>
            <w:shd w:val="clear" w:color="auto" w:fill="auto"/>
            <w:noWrap/>
            <w:vAlign w:val="center"/>
            <w:hideMark/>
          </w:tcPr>
          <w:p w14:paraId="032F5AD0"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eZdravie</w:t>
            </w:r>
          </w:p>
        </w:tc>
        <w:tc>
          <w:tcPr>
            <w:tcW w:w="7290" w:type="dxa"/>
            <w:tcBorders>
              <w:top w:val="nil"/>
              <w:left w:val="nil"/>
              <w:bottom w:val="nil"/>
              <w:right w:val="nil"/>
            </w:tcBorders>
            <w:shd w:val="clear" w:color="auto" w:fill="auto"/>
            <w:noWrap/>
            <w:vAlign w:val="bottom"/>
            <w:hideMark/>
          </w:tcPr>
          <w:p w14:paraId="4ABB8A4B" w14:textId="77777777" w:rsidR="00DE1D2A" w:rsidRPr="00666914" w:rsidRDefault="00DE1D2A" w:rsidP="00DE1D2A">
            <w:pPr>
              <w:spacing w:after="0"/>
              <w:jc w:val="left"/>
              <w:rPr>
                <w:rFonts w:eastAsia="Times New Roman"/>
                <w:sz w:val="20"/>
                <w:szCs w:val="20"/>
                <w:lang w:eastAsia="sk-SK"/>
              </w:rPr>
            </w:pPr>
            <w:r w:rsidRPr="00666914">
              <w:rPr>
                <w:rFonts w:eastAsia="Times New Roman"/>
                <w:sz w:val="20"/>
                <w:szCs w:val="20"/>
                <w:lang w:eastAsia="sk-SK"/>
              </w:rPr>
              <w:t>elektronické zdravotníctvo</w:t>
            </w:r>
          </w:p>
        </w:tc>
      </w:tr>
      <w:tr w:rsidR="00DE1D2A" w:rsidRPr="00666914" w14:paraId="1AF60317" w14:textId="77777777" w:rsidTr="00DE1D2A">
        <w:trPr>
          <w:trHeight w:val="260"/>
        </w:trPr>
        <w:tc>
          <w:tcPr>
            <w:tcW w:w="1782" w:type="dxa"/>
            <w:tcBorders>
              <w:top w:val="nil"/>
              <w:left w:val="nil"/>
              <w:bottom w:val="nil"/>
              <w:right w:val="nil"/>
            </w:tcBorders>
            <w:shd w:val="clear" w:color="auto" w:fill="auto"/>
            <w:noWrap/>
            <w:vAlign w:val="center"/>
            <w:hideMark/>
          </w:tcPr>
          <w:p w14:paraId="20E2AC92"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EZK</w:t>
            </w:r>
          </w:p>
        </w:tc>
        <w:tc>
          <w:tcPr>
            <w:tcW w:w="7290" w:type="dxa"/>
            <w:tcBorders>
              <w:top w:val="nil"/>
              <w:left w:val="nil"/>
              <w:bottom w:val="nil"/>
              <w:right w:val="nil"/>
            </w:tcBorders>
            <w:shd w:val="clear" w:color="auto" w:fill="auto"/>
            <w:vAlign w:val="center"/>
            <w:hideMark/>
          </w:tcPr>
          <w:p w14:paraId="330326D8"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elektronická zdravotná knižka</w:t>
            </w:r>
          </w:p>
        </w:tc>
      </w:tr>
      <w:tr w:rsidR="00DE1D2A" w:rsidRPr="00666914" w14:paraId="6B349A92" w14:textId="77777777" w:rsidTr="00DE1D2A">
        <w:trPr>
          <w:trHeight w:val="260"/>
        </w:trPr>
        <w:tc>
          <w:tcPr>
            <w:tcW w:w="1782" w:type="dxa"/>
            <w:tcBorders>
              <w:top w:val="nil"/>
              <w:left w:val="nil"/>
              <w:bottom w:val="nil"/>
              <w:right w:val="nil"/>
            </w:tcBorders>
            <w:shd w:val="clear" w:color="auto" w:fill="auto"/>
            <w:noWrap/>
            <w:vAlign w:val="center"/>
            <w:hideMark/>
          </w:tcPr>
          <w:p w14:paraId="6AE13BEE"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FN</w:t>
            </w:r>
          </w:p>
        </w:tc>
        <w:tc>
          <w:tcPr>
            <w:tcW w:w="7290" w:type="dxa"/>
            <w:tcBorders>
              <w:top w:val="nil"/>
              <w:left w:val="nil"/>
              <w:bottom w:val="nil"/>
              <w:right w:val="nil"/>
            </w:tcBorders>
            <w:shd w:val="clear" w:color="auto" w:fill="auto"/>
            <w:noWrap/>
            <w:vAlign w:val="bottom"/>
            <w:hideMark/>
          </w:tcPr>
          <w:p w14:paraId="5DC50A9A" w14:textId="77777777" w:rsidR="00DE1D2A" w:rsidRPr="00666914" w:rsidRDefault="00DE1D2A" w:rsidP="00DE1D2A">
            <w:pPr>
              <w:spacing w:after="0"/>
              <w:jc w:val="left"/>
              <w:rPr>
                <w:rFonts w:eastAsia="Times New Roman"/>
                <w:sz w:val="20"/>
                <w:szCs w:val="20"/>
                <w:lang w:eastAsia="sk-SK"/>
              </w:rPr>
            </w:pPr>
            <w:r w:rsidRPr="00666914">
              <w:rPr>
                <w:rFonts w:eastAsia="Times New Roman"/>
                <w:sz w:val="20"/>
                <w:szCs w:val="20"/>
                <w:lang w:eastAsia="sk-SK"/>
              </w:rPr>
              <w:t>Fakultná nemocnica</w:t>
            </w:r>
          </w:p>
        </w:tc>
      </w:tr>
      <w:tr w:rsidR="00DE1D2A" w:rsidRPr="00666914" w14:paraId="4826EF77" w14:textId="77777777" w:rsidTr="00DE1D2A">
        <w:trPr>
          <w:trHeight w:val="260"/>
        </w:trPr>
        <w:tc>
          <w:tcPr>
            <w:tcW w:w="1782" w:type="dxa"/>
            <w:tcBorders>
              <w:top w:val="nil"/>
              <w:left w:val="nil"/>
              <w:bottom w:val="nil"/>
              <w:right w:val="nil"/>
            </w:tcBorders>
            <w:shd w:val="clear" w:color="auto" w:fill="auto"/>
            <w:noWrap/>
            <w:vAlign w:val="center"/>
            <w:hideMark/>
          </w:tcPr>
          <w:p w14:paraId="5C1AD111"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FN BB</w:t>
            </w:r>
          </w:p>
        </w:tc>
        <w:tc>
          <w:tcPr>
            <w:tcW w:w="7290" w:type="dxa"/>
            <w:tcBorders>
              <w:top w:val="nil"/>
              <w:left w:val="nil"/>
              <w:bottom w:val="nil"/>
              <w:right w:val="nil"/>
            </w:tcBorders>
            <w:shd w:val="clear" w:color="auto" w:fill="auto"/>
            <w:noWrap/>
            <w:vAlign w:val="bottom"/>
            <w:hideMark/>
          </w:tcPr>
          <w:p w14:paraId="0BD36719" w14:textId="77777777" w:rsidR="00DE1D2A" w:rsidRPr="00666914" w:rsidRDefault="00DE1D2A" w:rsidP="00DE1D2A">
            <w:pPr>
              <w:spacing w:after="0"/>
              <w:jc w:val="left"/>
              <w:rPr>
                <w:rFonts w:eastAsia="Times New Roman"/>
                <w:sz w:val="20"/>
                <w:szCs w:val="20"/>
                <w:lang w:eastAsia="sk-SK"/>
              </w:rPr>
            </w:pPr>
            <w:r w:rsidRPr="00666914">
              <w:rPr>
                <w:rFonts w:eastAsia="Times New Roman"/>
                <w:sz w:val="20"/>
                <w:szCs w:val="20"/>
                <w:lang w:eastAsia="sk-SK"/>
              </w:rPr>
              <w:t>Fakultná nemocnica s poliklinikou F. D. Roosevelta Banská Bystrica</w:t>
            </w:r>
          </w:p>
        </w:tc>
      </w:tr>
      <w:tr w:rsidR="00DE1D2A" w:rsidRPr="00666914" w14:paraId="012327DC" w14:textId="77777777" w:rsidTr="00DE1D2A">
        <w:trPr>
          <w:trHeight w:val="260"/>
        </w:trPr>
        <w:tc>
          <w:tcPr>
            <w:tcW w:w="1782" w:type="dxa"/>
            <w:tcBorders>
              <w:top w:val="nil"/>
              <w:left w:val="nil"/>
              <w:bottom w:val="nil"/>
              <w:right w:val="nil"/>
            </w:tcBorders>
            <w:shd w:val="clear" w:color="auto" w:fill="auto"/>
            <w:noWrap/>
            <w:vAlign w:val="center"/>
            <w:hideMark/>
          </w:tcPr>
          <w:p w14:paraId="18BD89B7"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FN NR</w:t>
            </w:r>
          </w:p>
        </w:tc>
        <w:tc>
          <w:tcPr>
            <w:tcW w:w="7290" w:type="dxa"/>
            <w:tcBorders>
              <w:top w:val="nil"/>
              <w:left w:val="nil"/>
              <w:bottom w:val="nil"/>
              <w:right w:val="nil"/>
            </w:tcBorders>
            <w:shd w:val="clear" w:color="auto" w:fill="auto"/>
            <w:noWrap/>
            <w:vAlign w:val="bottom"/>
            <w:hideMark/>
          </w:tcPr>
          <w:p w14:paraId="3A58F105" w14:textId="77777777" w:rsidR="00DE1D2A" w:rsidRPr="00666914" w:rsidRDefault="00DE1D2A" w:rsidP="00DE1D2A">
            <w:pPr>
              <w:spacing w:after="0"/>
              <w:jc w:val="left"/>
              <w:rPr>
                <w:rFonts w:eastAsia="Times New Roman"/>
                <w:sz w:val="20"/>
                <w:szCs w:val="20"/>
                <w:lang w:eastAsia="sk-SK"/>
              </w:rPr>
            </w:pPr>
            <w:r w:rsidRPr="00666914">
              <w:rPr>
                <w:rFonts w:eastAsia="Times New Roman"/>
                <w:sz w:val="20"/>
                <w:szCs w:val="20"/>
                <w:lang w:eastAsia="sk-SK"/>
              </w:rPr>
              <w:t>Fakultná nemocnica Nitra</w:t>
            </w:r>
          </w:p>
        </w:tc>
      </w:tr>
      <w:tr w:rsidR="00DE1D2A" w:rsidRPr="00666914" w14:paraId="434D4B97" w14:textId="77777777" w:rsidTr="00DE1D2A">
        <w:trPr>
          <w:trHeight w:val="260"/>
        </w:trPr>
        <w:tc>
          <w:tcPr>
            <w:tcW w:w="1782" w:type="dxa"/>
            <w:tcBorders>
              <w:top w:val="nil"/>
              <w:left w:val="nil"/>
              <w:bottom w:val="nil"/>
              <w:right w:val="nil"/>
            </w:tcBorders>
            <w:shd w:val="clear" w:color="auto" w:fill="auto"/>
            <w:noWrap/>
            <w:vAlign w:val="center"/>
            <w:hideMark/>
          </w:tcPr>
          <w:p w14:paraId="3CBCCAA2"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FN NZ</w:t>
            </w:r>
          </w:p>
        </w:tc>
        <w:tc>
          <w:tcPr>
            <w:tcW w:w="7290" w:type="dxa"/>
            <w:tcBorders>
              <w:top w:val="nil"/>
              <w:left w:val="nil"/>
              <w:bottom w:val="nil"/>
              <w:right w:val="nil"/>
            </w:tcBorders>
            <w:shd w:val="clear" w:color="auto" w:fill="auto"/>
            <w:noWrap/>
            <w:vAlign w:val="bottom"/>
            <w:hideMark/>
          </w:tcPr>
          <w:p w14:paraId="31B68D08" w14:textId="77777777" w:rsidR="00DE1D2A" w:rsidRPr="00666914" w:rsidRDefault="00DE1D2A" w:rsidP="00DE1D2A">
            <w:pPr>
              <w:spacing w:after="0"/>
              <w:jc w:val="left"/>
              <w:rPr>
                <w:rFonts w:eastAsia="Times New Roman"/>
                <w:sz w:val="20"/>
                <w:szCs w:val="20"/>
                <w:lang w:eastAsia="sk-SK"/>
              </w:rPr>
            </w:pPr>
            <w:r w:rsidRPr="00666914">
              <w:rPr>
                <w:rFonts w:eastAsia="Times New Roman"/>
                <w:sz w:val="20"/>
                <w:szCs w:val="20"/>
                <w:lang w:eastAsia="sk-SK"/>
              </w:rPr>
              <w:t>Fakultná nemocnica s poliklinikou Nové Zámky</w:t>
            </w:r>
          </w:p>
        </w:tc>
      </w:tr>
      <w:tr w:rsidR="00DE1D2A" w:rsidRPr="00666914" w14:paraId="76DA4025" w14:textId="77777777" w:rsidTr="00DE1D2A">
        <w:trPr>
          <w:trHeight w:val="260"/>
        </w:trPr>
        <w:tc>
          <w:tcPr>
            <w:tcW w:w="1782" w:type="dxa"/>
            <w:tcBorders>
              <w:top w:val="nil"/>
              <w:left w:val="nil"/>
              <w:bottom w:val="nil"/>
              <w:right w:val="nil"/>
            </w:tcBorders>
            <w:shd w:val="clear" w:color="auto" w:fill="auto"/>
            <w:noWrap/>
            <w:vAlign w:val="center"/>
            <w:hideMark/>
          </w:tcPr>
          <w:p w14:paraId="0759B7FA"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FN PO</w:t>
            </w:r>
          </w:p>
        </w:tc>
        <w:tc>
          <w:tcPr>
            <w:tcW w:w="7290" w:type="dxa"/>
            <w:tcBorders>
              <w:top w:val="nil"/>
              <w:left w:val="nil"/>
              <w:bottom w:val="nil"/>
              <w:right w:val="nil"/>
            </w:tcBorders>
            <w:shd w:val="clear" w:color="auto" w:fill="auto"/>
            <w:noWrap/>
            <w:vAlign w:val="bottom"/>
            <w:hideMark/>
          </w:tcPr>
          <w:p w14:paraId="17F39650" w14:textId="77777777" w:rsidR="00DE1D2A" w:rsidRPr="00666914" w:rsidRDefault="00DE1D2A" w:rsidP="00DE1D2A">
            <w:pPr>
              <w:spacing w:after="0"/>
              <w:jc w:val="left"/>
              <w:rPr>
                <w:rFonts w:eastAsia="Times New Roman"/>
                <w:sz w:val="20"/>
                <w:szCs w:val="20"/>
                <w:lang w:eastAsia="sk-SK"/>
              </w:rPr>
            </w:pPr>
            <w:r w:rsidRPr="00666914">
              <w:rPr>
                <w:rFonts w:eastAsia="Times New Roman"/>
                <w:sz w:val="20"/>
                <w:szCs w:val="20"/>
                <w:lang w:eastAsia="sk-SK"/>
              </w:rPr>
              <w:t>Fakultná nemocnica s poliklinikou J. A. Reimana Prešov</w:t>
            </w:r>
          </w:p>
        </w:tc>
      </w:tr>
      <w:tr w:rsidR="00DE1D2A" w:rsidRPr="00666914" w14:paraId="779A73D0" w14:textId="77777777" w:rsidTr="00DE1D2A">
        <w:trPr>
          <w:trHeight w:val="260"/>
        </w:trPr>
        <w:tc>
          <w:tcPr>
            <w:tcW w:w="1782" w:type="dxa"/>
            <w:tcBorders>
              <w:top w:val="nil"/>
              <w:left w:val="nil"/>
              <w:bottom w:val="nil"/>
              <w:right w:val="nil"/>
            </w:tcBorders>
            <w:shd w:val="clear" w:color="auto" w:fill="auto"/>
            <w:noWrap/>
            <w:vAlign w:val="center"/>
            <w:hideMark/>
          </w:tcPr>
          <w:p w14:paraId="2DDBB76A"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FN TN</w:t>
            </w:r>
          </w:p>
        </w:tc>
        <w:tc>
          <w:tcPr>
            <w:tcW w:w="7290" w:type="dxa"/>
            <w:tcBorders>
              <w:top w:val="nil"/>
              <w:left w:val="nil"/>
              <w:bottom w:val="nil"/>
              <w:right w:val="nil"/>
            </w:tcBorders>
            <w:shd w:val="clear" w:color="auto" w:fill="auto"/>
            <w:noWrap/>
            <w:vAlign w:val="bottom"/>
            <w:hideMark/>
          </w:tcPr>
          <w:p w14:paraId="61182D9B" w14:textId="77777777" w:rsidR="00DE1D2A" w:rsidRPr="00666914" w:rsidRDefault="00DE1D2A" w:rsidP="00DE1D2A">
            <w:pPr>
              <w:spacing w:after="0"/>
              <w:jc w:val="left"/>
              <w:rPr>
                <w:rFonts w:eastAsia="Times New Roman"/>
                <w:sz w:val="20"/>
                <w:szCs w:val="20"/>
                <w:lang w:eastAsia="sk-SK"/>
              </w:rPr>
            </w:pPr>
            <w:r w:rsidRPr="00666914">
              <w:rPr>
                <w:rFonts w:eastAsia="Times New Roman"/>
                <w:sz w:val="20"/>
                <w:szCs w:val="20"/>
                <w:lang w:eastAsia="sk-SK"/>
              </w:rPr>
              <w:t>Fakultná nemocnica Trenčín</w:t>
            </w:r>
          </w:p>
        </w:tc>
      </w:tr>
      <w:tr w:rsidR="00DE1D2A" w:rsidRPr="00666914" w14:paraId="3553CF56" w14:textId="77777777" w:rsidTr="00DE1D2A">
        <w:trPr>
          <w:trHeight w:val="260"/>
        </w:trPr>
        <w:tc>
          <w:tcPr>
            <w:tcW w:w="1782" w:type="dxa"/>
            <w:tcBorders>
              <w:top w:val="nil"/>
              <w:left w:val="nil"/>
              <w:bottom w:val="nil"/>
              <w:right w:val="nil"/>
            </w:tcBorders>
            <w:shd w:val="clear" w:color="auto" w:fill="auto"/>
            <w:noWrap/>
            <w:vAlign w:val="center"/>
            <w:hideMark/>
          </w:tcPr>
          <w:p w14:paraId="7B59F0F7"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FN TT</w:t>
            </w:r>
          </w:p>
        </w:tc>
        <w:tc>
          <w:tcPr>
            <w:tcW w:w="7290" w:type="dxa"/>
            <w:tcBorders>
              <w:top w:val="nil"/>
              <w:left w:val="nil"/>
              <w:bottom w:val="nil"/>
              <w:right w:val="nil"/>
            </w:tcBorders>
            <w:shd w:val="clear" w:color="auto" w:fill="auto"/>
            <w:noWrap/>
            <w:vAlign w:val="bottom"/>
            <w:hideMark/>
          </w:tcPr>
          <w:p w14:paraId="447E1E0E" w14:textId="77777777" w:rsidR="00DE1D2A" w:rsidRPr="00666914" w:rsidRDefault="00DE1D2A" w:rsidP="00DE1D2A">
            <w:pPr>
              <w:spacing w:after="0"/>
              <w:jc w:val="left"/>
              <w:rPr>
                <w:rFonts w:eastAsia="Times New Roman"/>
                <w:sz w:val="20"/>
                <w:szCs w:val="20"/>
                <w:lang w:eastAsia="sk-SK"/>
              </w:rPr>
            </w:pPr>
            <w:r w:rsidRPr="00666914">
              <w:rPr>
                <w:rFonts w:eastAsia="Times New Roman"/>
                <w:sz w:val="20"/>
                <w:szCs w:val="20"/>
                <w:lang w:eastAsia="sk-SK"/>
              </w:rPr>
              <w:t>Fakultná nemocnica Trnava</w:t>
            </w:r>
          </w:p>
        </w:tc>
      </w:tr>
      <w:tr w:rsidR="00DE1D2A" w:rsidRPr="00666914" w14:paraId="2378865A" w14:textId="77777777" w:rsidTr="00DE1D2A">
        <w:trPr>
          <w:trHeight w:val="260"/>
        </w:trPr>
        <w:tc>
          <w:tcPr>
            <w:tcW w:w="1782" w:type="dxa"/>
            <w:tcBorders>
              <w:top w:val="nil"/>
              <w:left w:val="nil"/>
              <w:bottom w:val="nil"/>
              <w:right w:val="nil"/>
            </w:tcBorders>
            <w:shd w:val="clear" w:color="auto" w:fill="auto"/>
            <w:noWrap/>
            <w:vAlign w:val="center"/>
            <w:hideMark/>
          </w:tcPr>
          <w:p w14:paraId="6B45DE52"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FN ZA</w:t>
            </w:r>
          </w:p>
        </w:tc>
        <w:tc>
          <w:tcPr>
            <w:tcW w:w="7290" w:type="dxa"/>
            <w:tcBorders>
              <w:top w:val="nil"/>
              <w:left w:val="nil"/>
              <w:bottom w:val="nil"/>
              <w:right w:val="nil"/>
            </w:tcBorders>
            <w:shd w:val="clear" w:color="auto" w:fill="auto"/>
            <w:noWrap/>
            <w:vAlign w:val="bottom"/>
            <w:hideMark/>
          </w:tcPr>
          <w:p w14:paraId="726EE5F3" w14:textId="77777777" w:rsidR="00DE1D2A" w:rsidRPr="00666914" w:rsidRDefault="00DE1D2A" w:rsidP="00DE1D2A">
            <w:pPr>
              <w:spacing w:after="0"/>
              <w:jc w:val="left"/>
              <w:rPr>
                <w:rFonts w:eastAsia="Times New Roman"/>
                <w:sz w:val="20"/>
                <w:szCs w:val="20"/>
                <w:lang w:eastAsia="sk-SK"/>
              </w:rPr>
            </w:pPr>
            <w:r w:rsidRPr="00666914">
              <w:rPr>
                <w:rFonts w:eastAsia="Times New Roman"/>
                <w:sz w:val="20"/>
                <w:szCs w:val="20"/>
                <w:lang w:eastAsia="sk-SK"/>
              </w:rPr>
              <w:t>Fakultná nemocnica Žilina</w:t>
            </w:r>
          </w:p>
        </w:tc>
      </w:tr>
      <w:tr w:rsidR="00DE1D2A" w:rsidRPr="00666914" w14:paraId="77976DB6" w14:textId="77777777" w:rsidTr="00DE1D2A">
        <w:trPr>
          <w:trHeight w:val="260"/>
        </w:trPr>
        <w:tc>
          <w:tcPr>
            <w:tcW w:w="1782" w:type="dxa"/>
            <w:tcBorders>
              <w:top w:val="nil"/>
              <w:left w:val="nil"/>
              <w:bottom w:val="nil"/>
              <w:right w:val="nil"/>
            </w:tcBorders>
            <w:shd w:val="clear" w:color="auto" w:fill="auto"/>
            <w:noWrap/>
            <w:vAlign w:val="center"/>
            <w:hideMark/>
          </w:tcPr>
          <w:p w14:paraId="61C6F3E6"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FNsP</w:t>
            </w:r>
          </w:p>
        </w:tc>
        <w:tc>
          <w:tcPr>
            <w:tcW w:w="7290" w:type="dxa"/>
            <w:tcBorders>
              <w:top w:val="nil"/>
              <w:left w:val="nil"/>
              <w:bottom w:val="nil"/>
              <w:right w:val="nil"/>
            </w:tcBorders>
            <w:shd w:val="clear" w:color="auto" w:fill="auto"/>
            <w:vAlign w:val="center"/>
            <w:hideMark/>
          </w:tcPr>
          <w:p w14:paraId="2887AA27"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fakultná nemocnica s poliklinikou</w:t>
            </w:r>
          </w:p>
        </w:tc>
      </w:tr>
      <w:tr w:rsidR="00DE1D2A" w:rsidRPr="00666914" w14:paraId="1F657E5A" w14:textId="77777777" w:rsidTr="00DE1D2A">
        <w:trPr>
          <w:trHeight w:val="260"/>
        </w:trPr>
        <w:tc>
          <w:tcPr>
            <w:tcW w:w="1782" w:type="dxa"/>
            <w:tcBorders>
              <w:top w:val="nil"/>
              <w:left w:val="nil"/>
              <w:bottom w:val="nil"/>
              <w:right w:val="nil"/>
            </w:tcBorders>
            <w:shd w:val="clear" w:color="auto" w:fill="auto"/>
            <w:noWrap/>
            <w:vAlign w:val="center"/>
            <w:hideMark/>
          </w:tcPr>
          <w:p w14:paraId="0758CD44"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FO</w:t>
            </w:r>
          </w:p>
        </w:tc>
        <w:tc>
          <w:tcPr>
            <w:tcW w:w="7290" w:type="dxa"/>
            <w:tcBorders>
              <w:top w:val="nil"/>
              <w:left w:val="nil"/>
              <w:bottom w:val="nil"/>
              <w:right w:val="nil"/>
            </w:tcBorders>
            <w:shd w:val="clear" w:color="auto" w:fill="auto"/>
            <w:vAlign w:val="bottom"/>
            <w:hideMark/>
          </w:tcPr>
          <w:p w14:paraId="74C75DC7"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fyzická osoba</w:t>
            </w:r>
          </w:p>
        </w:tc>
      </w:tr>
      <w:tr w:rsidR="00DE1D2A" w:rsidRPr="00666914" w14:paraId="4BE871FC" w14:textId="77777777" w:rsidTr="00DE1D2A">
        <w:trPr>
          <w:trHeight w:val="260"/>
        </w:trPr>
        <w:tc>
          <w:tcPr>
            <w:tcW w:w="1782" w:type="dxa"/>
            <w:tcBorders>
              <w:top w:val="nil"/>
              <w:left w:val="nil"/>
              <w:bottom w:val="nil"/>
              <w:right w:val="nil"/>
            </w:tcBorders>
            <w:shd w:val="clear" w:color="auto" w:fill="auto"/>
            <w:noWrap/>
            <w:vAlign w:val="center"/>
            <w:hideMark/>
          </w:tcPr>
          <w:p w14:paraId="13ACFB45"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FS SR</w:t>
            </w:r>
          </w:p>
        </w:tc>
        <w:tc>
          <w:tcPr>
            <w:tcW w:w="7290" w:type="dxa"/>
            <w:tcBorders>
              <w:top w:val="nil"/>
              <w:left w:val="nil"/>
              <w:bottom w:val="nil"/>
              <w:right w:val="nil"/>
            </w:tcBorders>
            <w:shd w:val="clear" w:color="auto" w:fill="auto"/>
            <w:noWrap/>
            <w:vAlign w:val="bottom"/>
            <w:hideMark/>
          </w:tcPr>
          <w:p w14:paraId="6E303EDC" w14:textId="77777777" w:rsidR="00DE1D2A" w:rsidRPr="00666914" w:rsidRDefault="00DE1D2A" w:rsidP="00DE1D2A">
            <w:pPr>
              <w:spacing w:after="0"/>
              <w:jc w:val="left"/>
              <w:rPr>
                <w:rFonts w:eastAsia="Times New Roman"/>
                <w:sz w:val="20"/>
                <w:szCs w:val="20"/>
                <w:lang w:eastAsia="sk-SK"/>
              </w:rPr>
            </w:pPr>
            <w:r w:rsidRPr="00666914">
              <w:rPr>
                <w:rFonts w:eastAsia="Times New Roman"/>
                <w:sz w:val="20"/>
                <w:szCs w:val="20"/>
                <w:lang w:eastAsia="sk-SK"/>
              </w:rPr>
              <w:t>Finančná správa Slovenskej republiky</w:t>
            </w:r>
          </w:p>
        </w:tc>
      </w:tr>
      <w:tr w:rsidR="00DE1D2A" w:rsidRPr="00666914" w14:paraId="409C5B45" w14:textId="77777777" w:rsidTr="00DE1D2A">
        <w:trPr>
          <w:trHeight w:val="260"/>
        </w:trPr>
        <w:tc>
          <w:tcPr>
            <w:tcW w:w="1782" w:type="dxa"/>
            <w:tcBorders>
              <w:top w:val="nil"/>
              <w:left w:val="nil"/>
              <w:bottom w:val="nil"/>
              <w:right w:val="nil"/>
            </w:tcBorders>
            <w:shd w:val="clear" w:color="auto" w:fill="auto"/>
            <w:noWrap/>
            <w:vAlign w:val="center"/>
            <w:hideMark/>
          </w:tcPr>
          <w:p w14:paraId="2F69B853"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GDPR</w:t>
            </w:r>
          </w:p>
        </w:tc>
        <w:tc>
          <w:tcPr>
            <w:tcW w:w="7290" w:type="dxa"/>
            <w:tcBorders>
              <w:top w:val="nil"/>
              <w:left w:val="nil"/>
              <w:bottom w:val="nil"/>
              <w:right w:val="nil"/>
            </w:tcBorders>
            <w:shd w:val="clear" w:color="auto" w:fill="auto"/>
            <w:vAlign w:val="center"/>
            <w:hideMark/>
          </w:tcPr>
          <w:p w14:paraId="05D11196"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General Data Protection Regulation</w:t>
            </w:r>
          </w:p>
        </w:tc>
      </w:tr>
      <w:tr w:rsidR="00DE1D2A" w:rsidRPr="00666914" w14:paraId="67E60341" w14:textId="77777777" w:rsidTr="00DE1D2A">
        <w:trPr>
          <w:trHeight w:val="260"/>
        </w:trPr>
        <w:tc>
          <w:tcPr>
            <w:tcW w:w="1782" w:type="dxa"/>
            <w:tcBorders>
              <w:top w:val="nil"/>
              <w:left w:val="nil"/>
              <w:bottom w:val="nil"/>
              <w:right w:val="nil"/>
            </w:tcBorders>
            <w:shd w:val="clear" w:color="auto" w:fill="auto"/>
            <w:noWrap/>
            <w:vAlign w:val="center"/>
            <w:hideMark/>
          </w:tcPr>
          <w:p w14:paraId="49662D3F"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HSR</w:t>
            </w:r>
          </w:p>
        </w:tc>
        <w:tc>
          <w:tcPr>
            <w:tcW w:w="7290" w:type="dxa"/>
            <w:tcBorders>
              <w:top w:val="nil"/>
              <w:left w:val="nil"/>
              <w:bottom w:val="nil"/>
              <w:right w:val="nil"/>
            </w:tcBorders>
            <w:shd w:val="clear" w:color="auto" w:fill="auto"/>
            <w:vAlign w:val="center"/>
            <w:hideMark/>
          </w:tcPr>
          <w:p w14:paraId="6FE2B927"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Hospodárska a sociálna rada</w:t>
            </w:r>
          </w:p>
        </w:tc>
      </w:tr>
      <w:tr w:rsidR="00DE1D2A" w:rsidRPr="00666914" w14:paraId="542C6B3B" w14:textId="77777777" w:rsidTr="00DE1D2A">
        <w:trPr>
          <w:trHeight w:val="260"/>
        </w:trPr>
        <w:tc>
          <w:tcPr>
            <w:tcW w:w="1782" w:type="dxa"/>
            <w:tcBorders>
              <w:top w:val="nil"/>
              <w:left w:val="nil"/>
              <w:bottom w:val="nil"/>
              <w:right w:val="nil"/>
            </w:tcBorders>
            <w:shd w:val="clear" w:color="auto" w:fill="auto"/>
            <w:noWrap/>
            <w:vAlign w:val="center"/>
            <w:hideMark/>
          </w:tcPr>
          <w:p w14:paraId="7E17B8A4"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HTA</w:t>
            </w:r>
          </w:p>
        </w:tc>
        <w:tc>
          <w:tcPr>
            <w:tcW w:w="7290" w:type="dxa"/>
            <w:tcBorders>
              <w:top w:val="nil"/>
              <w:left w:val="nil"/>
              <w:bottom w:val="nil"/>
              <w:right w:val="nil"/>
            </w:tcBorders>
            <w:shd w:val="clear" w:color="auto" w:fill="auto"/>
            <w:noWrap/>
            <w:vAlign w:val="bottom"/>
            <w:hideMark/>
          </w:tcPr>
          <w:p w14:paraId="6F135839" w14:textId="77777777" w:rsidR="00DE1D2A" w:rsidRPr="00666914" w:rsidRDefault="00DE1D2A" w:rsidP="00DE1D2A">
            <w:pPr>
              <w:spacing w:after="0"/>
              <w:jc w:val="left"/>
              <w:rPr>
                <w:rFonts w:eastAsia="Times New Roman"/>
                <w:sz w:val="20"/>
                <w:szCs w:val="20"/>
                <w:lang w:eastAsia="sk-SK"/>
              </w:rPr>
            </w:pPr>
            <w:r w:rsidRPr="00666914">
              <w:rPr>
                <w:rFonts w:eastAsia="Times New Roman"/>
                <w:sz w:val="20"/>
                <w:szCs w:val="20"/>
                <w:lang w:eastAsia="sk-SK"/>
              </w:rPr>
              <w:t>Health Technology Assessment</w:t>
            </w:r>
          </w:p>
        </w:tc>
      </w:tr>
      <w:tr w:rsidR="00DE1D2A" w:rsidRPr="00666914" w14:paraId="6F703BF7" w14:textId="77777777" w:rsidTr="00DE1D2A">
        <w:trPr>
          <w:trHeight w:val="260"/>
        </w:trPr>
        <w:tc>
          <w:tcPr>
            <w:tcW w:w="1782" w:type="dxa"/>
            <w:tcBorders>
              <w:top w:val="nil"/>
              <w:left w:val="nil"/>
              <w:bottom w:val="nil"/>
              <w:right w:val="nil"/>
            </w:tcBorders>
            <w:shd w:val="clear" w:color="auto" w:fill="auto"/>
            <w:noWrap/>
            <w:vAlign w:val="center"/>
            <w:hideMark/>
          </w:tcPr>
          <w:p w14:paraId="471A9F42"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CHD</w:t>
            </w:r>
          </w:p>
        </w:tc>
        <w:tc>
          <w:tcPr>
            <w:tcW w:w="7290" w:type="dxa"/>
            <w:tcBorders>
              <w:top w:val="nil"/>
              <w:left w:val="nil"/>
              <w:bottom w:val="nil"/>
              <w:right w:val="nil"/>
            </w:tcBorders>
            <w:shd w:val="clear" w:color="auto" w:fill="auto"/>
            <w:vAlign w:val="center"/>
            <w:hideMark/>
          </w:tcPr>
          <w:p w14:paraId="635C853C"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chránená dielňa </w:t>
            </w:r>
          </w:p>
        </w:tc>
      </w:tr>
      <w:tr w:rsidR="00DE1D2A" w:rsidRPr="00666914" w14:paraId="185F331A" w14:textId="77777777" w:rsidTr="00DE1D2A">
        <w:trPr>
          <w:trHeight w:val="260"/>
        </w:trPr>
        <w:tc>
          <w:tcPr>
            <w:tcW w:w="1782" w:type="dxa"/>
            <w:tcBorders>
              <w:top w:val="nil"/>
              <w:left w:val="nil"/>
              <w:bottom w:val="nil"/>
              <w:right w:val="nil"/>
            </w:tcBorders>
            <w:shd w:val="clear" w:color="auto" w:fill="auto"/>
            <w:noWrap/>
            <w:vAlign w:val="center"/>
            <w:hideMark/>
          </w:tcPr>
          <w:p w14:paraId="3FB96585"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CHP </w:t>
            </w:r>
          </w:p>
        </w:tc>
        <w:tc>
          <w:tcPr>
            <w:tcW w:w="7290" w:type="dxa"/>
            <w:tcBorders>
              <w:top w:val="nil"/>
              <w:left w:val="nil"/>
              <w:bottom w:val="nil"/>
              <w:right w:val="nil"/>
            </w:tcBorders>
            <w:shd w:val="clear" w:color="auto" w:fill="auto"/>
            <w:vAlign w:val="center"/>
            <w:hideMark/>
          </w:tcPr>
          <w:p w14:paraId="467883A5"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chránené pracovisko </w:t>
            </w:r>
          </w:p>
        </w:tc>
      </w:tr>
      <w:tr w:rsidR="00DE1D2A" w:rsidRPr="00666914" w14:paraId="3A641804" w14:textId="77777777" w:rsidTr="00DE1D2A">
        <w:trPr>
          <w:trHeight w:val="260"/>
        </w:trPr>
        <w:tc>
          <w:tcPr>
            <w:tcW w:w="1782" w:type="dxa"/>
            <w:tcBorders>
              <w:top w:val="nil"/>
              <w:left w:val="nil"/>
              <w:bottom w:val="nil"/>
              <w:right w:val="nil"/>
            </w:tcBorders>
            <w:shd w:val="clear" w:color="auto" w:fill="auto"/>
            <w:noWrap/>
            <w:vAlign w:val="center"/>
            <w:hideMark/>
          </w:tcPr>
          <w:p w14:paraId="17381DFA"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CHVÚ</w:t>
            </w:r>
          </w:p>
        </w:tc>
        <w:tc>
          <w:tcPr>
            <w:tcW w:w="7290" w:type="dxa"/>
            <w:tcBorders>
              <w:top w:val="nil"/>
              <w:left w:val="nil"/>
              <w:bottom w:val="nil"/>
              <w:right w:val="nil"/>
            </w:tcBorders>
            <w:shd w:val="clear" w:color="auto" w:fill="auto"/>
            <w:vAlign w:val="center"/>
            <w:hideMark/>
          </w:tcPr>
          <w:p w14:paraId="5EE2B5C4"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chránené vtáčie územia</w:t>
            </w:r>
          </w:p>
        </w:tc>
      </w:tr>
      <w:tr w:rsidR="00DE1D2A" w:rsidRPr="00666914" w14:paraId="57C806EC" w14:textId="77777777" w:rsidTr="00DE1D2A">
        <w:trPr>
          <w:trHeight w:val="260"/>
        </w:trPr>
        <w:tc>
          <w:tcPr>
            <w:tcW w:w="1782" w:type="dxa"/>
            <w:tcBorders>
              <w:top w:val="nil"/>
              <w:left w:val="nil"/>
              <w:bottom w:val="nil"/>
              <w:right w:val="nil"/>
            </w:tcBorders>
            <w:shd w:val="clear" w:color="auto" w:fill="auto"/>
            <w:noWrap/>
            <w:vAlign w:val="center"/>
            <w:hideMark/>
          </w:tcPr>
          <w:p w14:paraId="2CFA15F0"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IA </w:t>
            </w:r>
          </w:p>
        </w:tc>
        <w:tc>
          <w:tcPr>
            <w:tcW w:w="7290" w:type="dxa"/>
            <w:tcBorders>
              <w:top w:val="nil"/>
              <w:left w:val="nil"/>
              <w:bottom w:val="nil"/>
              <w:right w:val="nil"/>
            </w:tcBorders>
            <w:shd w:val="clear" w:color="auto" w:fill="auto"/>
            <w:vAlign w:val="center"/>
            <w:hideMark/>
          </w:tcPr>
          <w:p w14:paraId="112872C7"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investičná akcia </w:t>
            </w:r>
          </w:p>
        </w:tc>
      </w:tr>
      <w:tr w:rsidR="00DE1D2A" w:rsidRPr="00666914" w14:paraId="16E2A11B" w14:textId="77777777" w:rsidTr="00DE1D2A">
        <w:trPr>
          <w:trHeight w:val="260"/>
        </w:trPr>
        <w:tc>
          <w:tcPr>
            <w:tcW w:w="1782" w:type="dxa"/>
            <w:tcBorders>
              <w:top w:val="nil"/>
              <w:left w:val="nil"/>
              <w:bottom w:val="nil"/>
              <w:right w:val="nil"/>
            </w:tcBorders>
            <w:shd w:val="clear" w:color="auto" w:fill="auto"/>
            <w:noWrap/>
            <w:vAlign w:val="center"/>
            <w:hideMark/>
          </w:tcPr>
          <w:p w14:paraId="2FBE6247"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IaaS</w:t>
            </w:r>
          </w:p>
        </w:tc>
        <w:tc>
          <w:tcPr>
            <w:tcW w:w="7290" w:type="dxa"/>
            <w:tcBorders>
              <w:top w:val="nil"/>
              <w:left w:val="nil"/>
              <w:bottom w:val="nil"/>
              <w:right w:val="nil"/>
            </w:tcBorders>
            <w:shd w:val="clear" w:color="auto" w:fill="auto"/>
            <w:vAlign w:val="bottom"/>
            <w:hideMark/>
          </w:tcPr>
          <w:p w14:paraId="35CD0FC4"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Infrastructure as a Service</w:t>
            </w:r>
          </w:p>
        </w:tc>
      </w:tr>
      <w:tr w:rsidR="00DE1D2A" w:rsidRPr="00666914" w14:paraId="4E8E7236" w14:textId="77777777" w:rsidTr="00DE1D2A">
        <w:trPr>
          <w:trHeight w:val="260"/>
        </w:trPr>
        <w:tc>
          <w:tcPr>
            <w:tcW w:w="1782" w:type="dxa"/>
            <w:tcBorders>
              <w:top w:val="nil"/>
              <w:left w:val="nil"/>
              <w:bottom w:val="nil"/>
              <w:right w:val="nil"/>
            </w:tcBorders>
            <w:shd w:val="clear" w:color="auto" w:fill="auto"/>
            <w:noWrap/>
            <w:vAlign w:val="center"/>
            <w:hideMark/>
          </w:tcPr>
          <w:p w14:paraId="0F4B468E"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IDP</w:t>
            </w:r>
          </w:p>
        </w:tc>
        <w:tc>
          <w:tcPr>
            <w:tcW w:w="7290" w:type="dxa"/>
            <w:tcBorders>
              <w:top w:val="nil"/>
              <w:left w:val="nil"/>
              <w:bottom w:val="nil"/>
              <w:right w:val="nil"/>
            </w:tcBorders>
            <w:shd w:val="clear" w:color="auto" w:fill="auto"/>
            <w:vAlign w:val="center"/>
            <w:hideMark/>
          </w:tcPr>
          <w:p w14:paraId="55DE5C79"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Inštitút dopravnej politiky</w:t>
            </w:r>
          </w:p>
        </w:tc>
      </w:tr>
      <w:tr w:rsidR="00DE1D2A" w:rsidRPr="00666914" w14:paraId="07A02EC6" w14:textId="77777777" w:rsidTr="00DE1D2A">
        <w:trPr>
          <w:trHeight w:val="260"/>
        </w:trPr>
        <w:tc>
          <w:tcPr>
            <w:tcW w:w="1782" w:type="dxa"/>
            <w:tcBorders>
              <w:top w:val="nil"/>
              <w:left w:val="nil"/>
              <w:bottom w:val="nil"/>
              <w:right w:val="nil"/>
            </w:tcBorders>
            <w:shd w:val="clear" w:color="auto" w:fill="auto"/>
            <w:noWrap/>
            <w:vAlign w:val="center"/>
            <w:hideMark/>
          </w:tcPr>
          <w:p w14:paraId="49C05CCE"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lastRenderedPageBreak/>
              <w:t>IEP</w:t>
            </w:r>
          </w:p>
        </w:tc>
        <w:tc>
          <w:tcPr>
            <w:tcW w:w="7290" w:type="dxa"/>
            <w:tcBorders>
              <w:top w:val="nil"/>
              <w:left w:val="nil"/>
              <w:bottom w:val="nil"/>
              <w:right w:val="nil"/>
            </w:tcBorders>
            <w:shd w:val="clear" w:color="auto" w:fill="auto"/>
            <w:vAlign w:val="center"/>
            <w:hideMark/>
          </w:tcPr>
          <w:p w14:paraId="73B526D8"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Inštitút environmentálnej politiky</w:t>
            </w:r>
          </w:p>
        </w:tc>
      </w:tr>
      <w:tr w:rsidR="00DE1D2A" w:rsidRPr="00666914" w14:paraId="4B97AA87" w14:textId="77777777" w:rsidTr="00DE1D2A">
        <w:trPr>
          <w:trHeight w:val="260"/>
        </w:trPr>
        <w:tc>
          <w:tcPr>
            <w:tcW w:w="1782" w:type="dxa"/>
            <w:tcBorders>
              <w:top w:val="nil"/>
              <w:left w:val="nil"/>
              <w:bottom w:val="nil"/>
              <w:right w:val="nil"/>
            </w:tcBorders>
            <w:shd w:val="clear" w:color="auto" w:fill="auto"/>
            <w:noWrap/>
            <w:vAlign w:val="center"/>
            <w:hideMark/>
          </w:tcPr>
          <w:p w14:paraId="272F109D"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IFP</w:t>
            </w:r>
          </w:p>
        </w:tc>
        <w:tc>
          <w:tcPr>
            <w:tcW w:w="7290" w:type="dxa"/>
            <w:tcBorders>
              <w:top w:val="nil"/>
              <w:left w:val="nil"/>
              <w:bottom w:val="nil"/>
              <w:right w:val="nil"/>
            </w:tcBorders>
            <w:shd w:val="clear" w:color="auto" w:fill="auto"/>
            <w:vAlign w:val="center"/>
            <w:hideMark/>
          </w:tcPr>
          <w:p w14:paraId="539D10BB"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Inštitút finančnej politiky</w:t>
            </w:r>
          </w:p>
        </w:tc>
      </w:tr>
      <w:tr w:rsidR="00DE1D2A" w:rsidRPr="00666914" w14:paraId="12CA6C47" w14:textId="77777777" w:rsidTr="00DE1D2A">
        <w:trPr>
          <w:trHeight w:val="260"/>
        </w:trPr>
        <w:tc>
          <w:tcPr>
            <w:tcW w:w="1782" w:type="dxa"/>
            <w:tcBorders>
              <w:top w:val="nil"/>
              <w:left w:val="nil"/>
              <w:bottom w:val="nil"/>
              <w:right w:val="nil"/>
            </w:tcBorders>
            <w:shd w:val="clear" w:color="auto" w:fill="auto"/>
            <w:noWrap/>
            <w:vAlign w:val="center"/>
            <w:hideMark/>
          </w:tcPr>
          <w:p w14:paraId="1475D9A8" w14:textId="0CCA37A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IJ </w:t>
            </w:r>
            <w:r w:rsidR="0020231E" w:rsidRPr="00666914">
              <w:rPr>
                <w:rFonts w:eastAsia="Times New Roman"/>
                <w:b/>
                <w:bCs/>
                <w:color w:val="000000"/>
                <w:sz w:val="20"/>
                <w:szCs w:val="20"/>
                <w:lang w:eastAsia="sk-SK"/>
              </w:rPr>
              <w:t xml:space="preserve">ÚV SR </w:t>
            </w:r>
          </w:p>
        </w:tc>
        <w:tc>
          <w:tcPr>
            <w:tcW w:w="7290" w:type="dxa"/>
            <w:tcBorders>
              <w:top w:val="nil"/>
              <w:left w:val="nil"/>
              <w:bottom w:val="nil"/>
              <w:right w:val="nil"/>
            </w:tcBorders>
            <w:shd w:val="clear" w:color="auto" w:fill="auto"/>
            <w:vAlign w:val="center"/>
            <w:hideMark/>
          </w:tcPr>
          <w:p w14:paraId="082BC8FE" w14:textId="4334845F"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Implementačná jednotka </w:t>
            </w:r>
            <w:r w:rsidR="0020231E" w:rsidRPr="00666914">
              <w:rPr>
                <w:rFonts w:eastAsia="Times New Roman"/>
                <w:color w:val="000000"/>
                <w:sz w:val="20"/>
                <w:szCs w:val="20"/>
                <w:lang w:eastAsia="sk-SK"/>
              </w:rPr>
              <w:t xml:space="preserve">ÚV SR </w:t>
            </w:r>
          </w:p>
        </w:tc>
      </w:tr>
      <w:tr w:rsidR="00DE1D2A" w:rsidRPr="00666914" w14:paraId="3EA587C5" w14:textId="77777777" w:rsidTr="00DE1D2A">
        <w:trPr>
          <w:trHeight w:val="260"/>
        </w:trPr>
        <w:tc>
          <w:tcPr>
            <w:tcW w:w="1782" w:type="dxa"/>
            <w:tcBorders>
              <w:top w:val="nil"/>
              <w:left w:val="nil"/>
              <w:bottom w:val="nil"/>
              <w:right w:val="nil"/>
            </w:tcBorders>
            <w:shd w:val="clear" w:color="auto" w:fill="auto"/>
            <w:noWrap/>
            <w:vAlign w:val="center"/>
            <w:hideMark/>
          </w:tcPr>
          <w:p w14:paraId="7AA89583"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IKT</w:t>
            </w:r>
          </w:p>
        </w:tc>
        <w:tc>
          <w:tcPr>
            <w:tcW w:w="7290" w:type="dxa"/>
            <w:tcBorders>
              <w:top w:val="nil"/>
              <w:left w:val="nil"/>
              <w:bottom w:val="nil"/>
              <w:right w:val="nil"/>
            </w:tcBorders>
            <w:shd w:val="clear" w:color="auto" w:fill="auto"/>
            <w:vAlign w:val="center"/>
            <w:hideMark/>
          </w:tcPr>
          <w:p w14:paraId="307CCBDC"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informačno-komunikačné technológie</w:t>
            </w:r>
          </w:p>
        </w:tc>
      </w:tr>
      <w:tr w:rsidR="00DE1D2A" w:rsidRPr="00666914" w14:paraId="5174CF27" w14:textId="77777777" w:rsidTr="00DE1D2A">
        <w:trPr>
          <w:trHeight w:val="260"/>
        </w:trPr>
        <w:tc>
          <w:tcPr>
            <w:tcW w:w="1782" w:type="dxa"/>
            <w:tcBorders>
              <w:top w:val="nil"/>
              <w:left w:val="nil"/>
              <w:bottom w:val="nil"/>
              <w:right w:val="nil"/>
            </w:tcBorders>
            <w:shd w:val="clear" w:color="auto" w:fill="auto"/>
            <w:noWrap/>
            <w:vAlign w:val="center"/>
            <w:hideMark/>
          </w:tcPr>
          <w:p w14:paraId="6F566A07"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IL MPRV SR</w:t>
            </w:r>
          </w:p>
        </w:tc>
        <w:tc>
          <w:tcPr>
            <w:tcW w:w="7290" w:type="dxa"/>
            <w:tcBorders>
              <w:top w:val="nil"/>
              <w:left w:val="nil"/>
              <w:bottom w:val="nil"/>
              <w:right w:val="nil"/>
            </w:tcBorders>
            <w:shd w:val="clear" w:color="auto" w:fill="auto"/>
            <w:noWrap/>
            <w:vAlign w:val="bottom"/>
            <w:hideMark/>
          </w:tcPr>
          <w:p w14:paraId="612E8A19"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Informačné listy Ministerstva pôdohospodárstva a rozvoja vidieka SR</w:t>
            </w:r>
          </w:p>
        </w:tc>
      </w:tr>
      <w:tr w:rsidR="00DE1D2A" w:rsidRPr="00666914" w14:paraId="3A7DD8F5" w14:textId="77777777" w:rsidTr="00DE1D2A">
        <w:trPr>
          <w:trHeight w:val="260"/>
        </w:trPr>
        <w:tc>
          <w:tcPr>
            <w:tcW w:w="1782" w:type="dxa"/>
            <w:tcBorders>
              <w:top w:val="nil"/>
              <w:left w:val="nil"/>
              <w:bottom w:val="nil"/>
              <w:right w:val="nil"/>
            </w:tcBorders>
            <w:shd w:val="clear" w:color="auto" w:fill="auto"/>
            <w:noWrap/>
            <w:vAlign w:val="center"/>
            <w:hideMark/>
          </w:tcPr>
          <w:p w14:paraId="093BDE7E"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INEKO</w:t>
            </w:r>
          </w:p>
        </w:tc>
        <w:tc>
          <w:tcPr>
            <w:tcW w:w="7290" w:type="dxa"/>
            <w:tcBorders>
              <w:top w:val="nil"/>
              <w:left w:val="nil"/>
              <w:bottom w:val="nil"/>
              <w:right w:val="nil"/>
            </w:tcBorders>
            <w:shd w:val="clear" w:color="auto" w:fill="auto"/>
            <w:vAlign w:val="center"/>
            <w:hideMark/>
          </w:tcPr>
          <w:p w14:paraId="58D33AA6"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Inštitút pre ekonomické a sociálne reformy</w:t>
            </w:r>
          </w:p>
        </w:tc>
      </w:tr>
      <w:tr w:rsidR="00DE1D2A" w:rsidRPr="00666914" w14:paraId="7497B2FE" w14:textId="77777777" w:rsidTr="00DE1D2A">
        <w:trPr>
          <w:trHeight w:val="260"/>
        </w:trPr>
        <w:tc>
          <w:tcPr>
            <w:tcW w:w="1782" w:type="dxa"/>
            <w:tcBorders>
              <w:top w:val="nil"/>
              <w:left w:val="nil"/>
              <w:bottom w:val="nil"/>
              <w:right w:val="nil"/>
            </w:tcBorders>
            <w:shd w:val="clear" w:color="auto" w:fill="auto"/>
            <w:noWrap/>
            <w:vAlign w:val="center"/>
            <w:hideMark/>
          </w:tcPr>
          <w:p w14:paraId="08F90301"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IP </w:t>
            </w:r>
          </w:p>
        </w:tc>
        <w:tc>
          <w:tcPr>
            <w:tcW w:w="7290" w:type="dxa"/>
            <w:tcBorders>
              <w:top w:val="nil"/>
              <w:left w:val="nil"/>
              <w:bottom w:val="nil"/>
              <w:right w:val="nil"/>
            </w:tcBorders>
            <w:shd w:val="clear" w:color="auto" w:fill="auto"/>
            <w:noWrap/>
            <w:vAlign w:val="bottom"/>
            <w:hideMark/>
          </w:tcPr>
          <w:p w14:paraId="53F4E23A" w14:textId="39974422" w:rsidR="00DE1D2A" w:rsidRPr="00666914" w:rsidRDefault="0020231E"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i</w:t>
            </w:r>
            <w:r w:rsidR="00DE1D2A" w:rsidRPr="00666914">
              <w:rPr>
                <w:rFonts w:eastAsia="Times New Roman"/>
                <w:color w:val="000000"/>
                <w:sz w:val="20"/>
                <w:szCs w:val="20"/>
                <w:lang w:eastAsia="sk-SK"/>
              </w:rPr>
              <w:t>mplementačný plán</w:t>
            </w:r>
          </w:p>
        </w:tc>
      </w:tr>
      <w:tr w:rsidR="00DE1D2A" w:rsidRPr="00666914" w14:paraId="5A152216" w14:textId="77777777" w:rsidTr="00DE1D2A">
        <w:trPr>
          <w:trHeight w:val="260"/>
        </w:trPr>
        <w:tc>
          <w:tcPr>
            <w:tcW w:w="1782" w:type="dxa"/>
            <w:tcBorders>
              <w:top w:val="nil"/>
              <w:left w:val="nil"/>
              <w:bottom w:val="nil"/>
              <w:right w:val="nil"/>
            </w:tcBorders>
            <w:shd w:val="clear" w:color="auto" w:fill="auto"/>
            <w:noWrap/>
            <w:vAlign w:val="center"/>
            <w:hideMark/>
          </w:tcPr>
          <w:p w14:paraId="7ABAB800"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IPP</w:t>
            </w:r>
          </w:p>
        </w:tc>
        <w:tc>
          <w:tcPr>
            <w:tcW w:w="7290" w:type="dxa"/>
            <w:tcBorders>
              <w:top w:val="nil"/>
              <w:left w:val="nil"/>
              <w:bottom w:val="nil"/>
              <w:right w:val="nil"/>
            </w:tcBorders>
            <w:shd w:val="clear" w:color="auto" w:fill="auto"/>
            <w:noWrap/>
            <w:vAlign w:val="bottom"/>
            <w:hideMark/>
          </w:tcPr>
          <w:p w14:paraId="6831D068"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Inštitút pôdohospodárskej politiky</w:t>
            </w:r>
          </w:p>
        </w:tc>
      </w:tr>
      <w:tr w:rsidR="00DE1D2A" w:rsidRPr="00666914" w14:paraId="11778F0E" w14:textId="77777777" w:rsidTr="00DE1D2A">
        <w:trPr>
          <w:trHeight w:val="260"/>
        </w:trPr>
        <w:tc>
          <w:tcPr>
            <w:tcW w:w="1782" w:type="dxa"/>
            <w:tcBorders>
              <w:top w:val="nil"/>
              <w:left w:val="nil"/>
              <w:bottom w:val="nil"/>
              <w:right w:val="nil"/>
            </w:tcBorders>
            <w:shd w:val="clear" w:color="auto" w:fill="auto"/>
            <w:noWrap/>
            <w:vAlign w:val="center"/>
            <w:hideMark/>
          </w:tcPr>
          <w:p w14:paraId="77C98CF1"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IQR</w:t>
            </w:r>
          </w:p>
        </w:tc>
        <w:tc>
          <w:tcPr>
            <w:tcW w:w="7290" w:type="dxa"/>
            <w:tcBorders>
              <w:top w:val="nil"/>
              <w:left w:val="nil"/>
              <w:bottom w:val="nil"/>
              <w:right w:val="nil"/>
            </w:tcBorders>
            <w:shd w:val="clear" w:color="auto" w:fill="auto"/>
            <w:vAlign w:val="center"/>
            <w:hideMark/>
          </w:tcPr>
          <w:p w14:paraId="0A30E96C"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Independent Quality Review – nezávislé posúdenie kvality</w:t>
            </w:r>
          </w:p>
        </w:tc>
      </w:tr>
      <w:tr w:rsidR="00DE1D2A" w:rsidRPr="00666914" w14:paraId="35C1C607" w14:textId="77777777" w:rsidTr="00DE1D2A">
        <w:trPr>
          <w:trHeight w:val="260"/>
        </w:trPr>
        <w:tc>
          <w:tcPr>
            <w:tcW w:w="1782" w:type="dxa"/>
            <w:tcBorders>
              <w:top w:val="nil"/>
              <w:left w:val="nil"/>
              <w:bottom w:val="nil"/>
              <w:right w:val="nil"/>
            </w:tcBorders>
            <w:shd w:val="clear" w:color="auto" w:fill="auto"/>
            <w:noWrap/>
            <w:vAlign w:val="center"/>
            <w:hideMark/>
          </w:tcPr>
          <w:p w14:paraId="32B7D61E"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IS</w:t>
            </w:r>
          </w:p>
        </w:tc>
        <w:tc>
          <w:tcPr>
            <w:tcW w:w="7290" w:type="dxa"/>
            <w:tcBorders>
              <w:top w:val="nil"/>
              <w:left w:val="nil"/>
              <w:bottom w:val="nil"/>
              <w:right w:val="nil"/>
            </w:tcBorders>
            <w:shd w:val="clear" w:color="auto" w:fill="auto"/>
            <w:noWrap/>
            <w:vAlign w:val="bottom"/>
            <w:hideMark/>
          </w:tcPr>
          <w:p w14:paraId="519E020E" w14:textId="2B99629B" w:rsidR="00DE1D2A" w:rsidRPr="00666914" w:rsidRDefault="0020231E"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i</w:t>
            </w:r>
            <w:r w:rsidR="00DE1D2A" w:rsidRPr="00666914">
              <w:rPr>
                <w:rFonts w:eastAsia="Times New Roman"/>
                <w:color w:val="000000"/>
                <w:sz w:val="20"/>
                <w:szCs w:val="20"/>
                <w:lang w:eastAsia="sk-SK"/>
              </w:rPr>
              <w:t>nformačný systém</w:t>
            </w:r>
          </w:p>
        </w:tc>
      </w:tr>
      <w:tr w:rsidR="00DE1D2A" w:rsidRPr="00666914" w14:paraId="2642B828" w14:textId="77777777" w:rsidTr="00DE1D2A">
        <w:trPr>
          <w:trHeight w:val="260"/>
        </w:trPr>
        <w:tc>
          <w:tcPr>
            <w:tcW w:w="1782" w:type="dxa"/>
            <w:tcBorders>
              <w:top w:val="nil"/>
              <w:left w:val="nil"/>
              <w:bottom w:val="nil"/>
              <w:right w:val="nil"/>
            </w:tcBorders>
            <w:shd w:val="clear" w:color="auto" w:fill="auto"/>
            <w:noWrap/>
            <w:vAlign w:val="center"/>
            <w:hideMark/>
          </w:tcPr>
          <w:p w14:paraId="65D6C671"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IS SS</w:t>
            </w:r>
          </w:p>
        </w:tc>
        <w:tc>
          <w:tcPr>
            <w:tcW w:w="7290" w:type="dxa"/>
            <w:tcBorders>
              <w:top w:val="nil"/>
              <w:left w:val="nil"/>
              <w:bottom w:val="nil"/>
              <w:right w:val="nil"/>
            </w:tcBorders>
            <w:shd w:val="clear" w:color="auto" w:fill="auto"/>
            <w:noWrap/>
            <w:vAlign w:val="center"/>
            <w:hideMark/>
          </w:tcPr>
          <w:p w14:paraId="7B87DD53"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Informačný systém sociálnych služieb</w:t>
            </w:r>
          </w:p>
        </w:tc>
      </w:tr>
      <w:tr w:rsidR="00DE1D2A" w:rsidRPr="00666914" w14:paraId="79CC5905" w14:textId="77777777" w:rsidTr="00DE1D2A">
        <w:trPr>
          <w:trHeight w:val="260"/>
        </w:trPr>
        <w:tc>
          <w:tcPr>
            <w:tcW w:w="1782" w:type="dxa"/>
            <w:tcBorders>
              <w:top w:val="nil"/>
              <w:left w:val="nil"/>
              <w:bottom w:val="nil"/>
              <w:right w:val="nil"/>
            </w:tcBorders>
            <w:shd w:val="clear" w:color="auto" w:fill="auto"/>
            <w:noWrap/>
            <w:vAlign w:val="center"/>
            <w:hideMark/>
          </w:tcPr>
          <w:p w14:paraId="689FABDF"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IS VS</w:t>
            </w:r>
          </w:p>
        </w:tc>
        <w:tc>
          <w:tcPr>
            <w:tcW w:w="7290" w:type="dxa"/>
            <w:tcBorders>
              <w:top w:val="nil"/>
              <w:left w:val="nil"/>
              <w:bottom w:val="nil"/>
              <w:right w:val="nil"/>
            </w:tcBorders>
            <w:shd w:val="clear" w:color="auto" w:fill="auto"/>
            <w:vAlign w:val="bottom"/>
            <w:hideMark/>
          </w:tcPr>
          <w:p w14:paraId="509185F1"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Informačné systémy verejnej správy</w:t>
            </w:r>
          </w:p>
        </w:tc>
      </w:tr>
      <w:tr w:rsidR="00DE1D2A" w:rsidRPr="00666914" w14:paraId="06525292" w14:textId="77777777" w:rsidTr="00DE1D2A">
        <w:trPr>
          <w:trHeight w:val="260"/>
        </w:trPr>
        <w:tc>
          <w:tcPr>
            <w:tcW w:w="1782" w:type="dxa"/>
            <w:tcBorders>
              <w:top w:val="nil"/>
              <w:left w:val="nil"/>
              <w:bottom w:val="nil"/>
              <w:right w:val="nil"/>
            </w:tcBorders>
            <w:shd w:val="clear" w:color="auto" w:fill="auto"/>
            <w:noWrap/>
            <w:vAlign w:val="center"/>
            <w:hideMark/>
          </w:tcPr>
          <w:p w14:paraId="2F80194A"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ISCP</w:t>
            </w:r>
          </w:p>
        </w:tc>
        <w:tc>
          <w:tcPr>
            <w:tcW w:w="7290" w:type="dxa"/>
            <w:tcBorders>
              <w:top w:val="nil"/>
              <w:left w:val="nil"/>
              <w:bottom w:val="nil"/>
              <w:right w:val="nil"/>
            </w:tcBorders>
            <w:shd w:val="clear" w:color="auto" w:fill="auto"/>
            <w:noWrap/>
            <w:vAlign w:val="center"/>
            <w:hideMark/>
          </w:tcPr>
          <w:p w14:paraId="60570B1D"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Informačný systém o cene práce</w:t>
            </w:r>
          </w:p>
        </w:tc>
      </w:tr>
      <w:tr w:rsidR="00DE1D2A" w:rsidRPr="00666914" w14:paraId="1389FC4E" w14:textId="77777777" w:rsidTr="00DE1D2A">
        <w:trPr>
          <w:trHeight w:val="260"/>
        </w:trPr>
        <w:tc>
          <w:tcPr>
            <w:tcW w:w="1782" w:type="dxa"/>
            <w:tcBorders>
              <w:top w:val="nil"/>
              <w:left w:val="nil"/>
              <w:bottom w:val="nil"/>
              <w:right w:val="nil"/>
            </w:tcBorders>
            <w:shd w:val="clear" w:color="auto" w:fill="auto"/>
            <w:noWrap/>
            <w:vAlign w:val="center"/>
            <w:hideMark/>
          </w:tcPr>
          <w:p w14:paraId="1F366842"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ISP</w:t>
            </w:r>
          </w:p>
        </w:tc>
        <w:tc>
          <w:tcPr>
            <w:tcW w:w="7290" w:type="dxa"/>
            <w:tcBorders>
              <w:top w:val="nil"/>
              <w:left w:val="nil"/>
              <w:bottom w:val="nil"/>
              <w:right w:val="nil"/>
            </w:tcBorders>
            <w:shd w:val="clear" w:color="auto" w:fill="auto"/>
            <w:noWrap/>
            <w:vAlign w:val="center"/>
            <w:hideMark/>
          </w:tcPr>
          <w:p w14:paraId="054A6ED1"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Inštitút sociálnej politiky </w:t>
            </w:r>
          </w:p>
        </w:tc>
      </w:tr>
      <w:tr w:rsidR="00DE1D2A" w:rsidRPr="00666914" w14:paraId="35C05F0C" w14:textId="77777777" w:rsidTr="00DE1D2A">
        <w:trPr>
          <w:trHeight w:val="260"/>
        </w:trPr>
        <w:tc>
          <w:tcPr>
            <w:tcW w:w="1782" w:type="dxa"/>
            <w:tcBorders>
              <w:top w:val="nil"/>
              <w:left w:val="nil"/>
              <w:bottom w:val="nil"/>
              <w:right w:val="nil"/>
            </w:tcBorders>
            <w:shd w:val="clear" w:color="auto" w:fill="auto"/>
            <w:noWrap/>
            <w:vAlign w:val="center"/>
            <w:hideMark/>
          </w:tcPr>
          <w:p w14:paraId="2FA0EE8A"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ISSZ</w:t>
            </w:r>
          </w:p>
        </w:tc>
        <w:tc>
          <w:tcPr>
            <w:tcW w:w="7290" w:type="dxa"/>
            <w:tcBorders>
              <w:top w:val="nil"/>
              <w:left w:val="nil"/>
              <w:bottom w:val="nil"/>
              <w:right w:val="nil"/>
            </w:tcBorders>
            <w:shd w:val="clear" w:color="auto" w:fill="auto"/>
            <w:noWrap/>
            <w:vAlign w:val="center"/>
            <w:hideMark/>
          </w:tcPr>
          <w:p w14:paraId="4BEBF26F"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Informačný systém služieb zamestnanosti</w:t>
            </w:r>
          </w:p>
        </w:tc>
      </w:tr>
      <w:tr w:rsidR="00DE1D2A" w:rsidRPr="00666914" w14:paraId="260C4729" w14:textId="77777777" w:rsidTr="00DE1D2A">
        <w:trPr>
          <w:trHeight w:val="260"/>
        </w:trPr>
        <w:tc>
          <w:tcPr>
            <w:tcW w:w="1782" w:type="dxa"/>
            <w:tcBorders>
              <w:top w:val="nil"/>
              <w:left w:val="nil"/>
              <w:bottom w:val="nil"/>
              <w:right w:val="nil"/>
            </w:tcBorders>
            <w:shd w:val="clear" w:color="auto" w:fill="auto"/>
            <w:noWrap/>
            <w:vAlign w:val="center"/>
            <w:hideMark/>
          </w:tcPr>
          <w:p w14:paraId="300B1738"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ISVS</w:t>
            </w:r>
          </w:p>
        </w:tc>
        <w:tc>
          <w:tcPr>
            <w:tcW w:w="7290" w:type="dxa"/>
            <w:tcBorders>
              <w:top w:val="nil"/>
              <w:left w:val="nil"/>
              <w:bottom w:val="nil"/>
              <w:right w:val="nil"/>
            </w:tcBorders>
            <w:shd w:val="clear" w:color="auto" w:fill="auto"/>
            <w:vAlign w:val="center"/>
            <w:hideMark/>
          </w:tcPr>
          <w:p w14:paraId="34867A3D" w14:textId="6464279B" w:rsidR="00DE1D2A" w:rsidRPr="00666914" w:rsidRDefault="0020231E"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i</w:t>
            </w:r>
            <w:r w:rsidR="00DE1D2A" w:rsidRPr="00666914">
              <w:rPr>
                <w:rFonts w:eastAsia="Times New Roman"/>
                <w:color w:val="000000"/>
                <w:sz w:val="20"/>
                <w:szCs w:val="20"/>
                <w:lang w:eastAsia="sk-SK"/>
              </w:rPr>
              <w:t>nformačný systém verejnej správy</w:t>
            </w:r>
          </w:p>
        </w:tc>
      </w:tr>
      <w:tr w:rsidR="00DE1D2A" w:rsidRPr="00666914" w14:paraId="1DBDD3AD" w14:textId="77777777" w:rsidTr="00DE1D2A">
        <w:trPr>
          <w:trHeight w:val="260"/>
        </w:trPr>
        <w:tc>
          <w:tcPr>
            <w:tcW w:w="1782" w:type="dxa"/>
            <w:tcBorders>
              <w:top w:val="nil"/>
              <w:left w:val="nil"/>
              <w:bottom w:val="nil"/>
              <w:right w:val="nil"/>
            </w:tcBorders>
            <w:shd w:val="clear" w:color="auto" w:fill="auto"/>
            <w:noWrap/>
            <w:vAlign w:val="center"/>
            <w:hideMark/>
          </w:tcPr>
          <w:p w14:paraId="4012B0EF"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IT</w:t>
            </w:r>
          </w:p>
        </w:tc>
        <w:tc>
          <w:tcPr>
            <w:tcW w:w="7290" w:type="dxa"/>
            <w:tcBorders>
              <w:top w:val="nil"/>
              <w:left w:val="nil"/>
              <w:bottom w:val="nil"/>
              <w:right w:val="nil"/>
            </w:tcBorders>
            <w:shd w:val="clear" w:color="auto" w:fill="auto"/>
            <w:vAlign w:val="center"/>
            <w:hideMark/>
          </w:tcPr>
          <w:p w14:paraId="281A8DC7"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informačné technológie </w:t>
            </w:r>
          </w:p>
        </w:tc>
      </w:tr>
      <w:tr w:rsidR="00DE1D2A" w:rsidRPr="00666914" w14:paraId="38764605" w14:textId="77777777" w:rsidTr="00DE1D2A">
        <w:trPr>
          <w:trHeight w:val="260"/>
        </w:trPr>
        <w:tc>
          <w:tcPr>
            <w:tcW w:w="1782" w:type="dxa"/>
            <w:tcBorders>
              <w:top w:val="nil"/>
              <w:left w:val="nil"/>
              <w:bottom w:val="nil"/>
              <w:right w:val="nil"/>
            </w:tcBorders>
            <w:shd w:val="clear" w:color="auto" w:fill="auto"/>
            <w:noWrap/>
            <w:vAlign w:val="center"/>
            <w:hideMark/>
          </w:tcPr>
          <w:p w14:paraId="166E5929"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ITVS</w:t>
            </w:r>
          </w:p>
        </w:tc>
        <w:tc>
          <w:tcPr>
            <w:tcW w:w="7290" w:type="dxa"/>
            <w:tcBorders>
              <w:top w:val="nil"/>
              <w:left w:val="nil"/>
              <w:bottom w:val="nil"/>
              <w:right w:val="nil"/>
            </w:tcBorders>
            <w:shd w:val="clear" w:color="auto" w:fill="auto"/>
            <w:vAlign w:val="bottom"/>
            <w:hideMark/>
          </w:tcPr>
          <w:p w14:paraId="225F2E0C"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informačné technológie vo verejnej správe</w:t>
            </w:r>
          </w:p>
        </w:tc>
      </w:tr>
      <w:tr w:rsidR="00DE1D2A" w:rsidRPr="00666914" w14:paraId="7A512493" w14:textId="77777777" w:rsidTr="00DE1D2A">
        <w:trPr>
          <w:trHeight w:val="260"/>
        </w:trPr>
        <w:tc>
          <w:tcPr>
            <w:tcW w:w="1782" w:type="dxa"/>
            <w:tcBorders>
              <w:top w:val="nil"/>
              <w:left w:val="nil"/>
              <w:bottom w:val="nil"/>
              <w:right w:val="nil"/>
            </w:tcBorders>
            <w:shd w:val="clear" w:color="auto" w:fill="auto"/>
            <w:noWrap/>
            <w:vAlign w:val="center"/>
            <w:hideMark/>
          </w:tcPr>
          <w:p w14:paraId="2C69087B"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IVSC</w:t>
            </w:r>
          </w:p>
        </w:tc>
        <w:tc>
          <w:tcPr>
            <w:tcW w:w="7290" w:type="dxa"/>
            <w:tcBorders>
              <w:top w:val="nil"/>
              <w:left w:val="nil"/>
              <w:bottom w:val="nil"/>
              <w:right w:val="nil"/>
            </w:tcBorders>
            <w:shd w:val="clear" w:color="auto" w:fill="auto"/>
            <w:vAlign w:val="center"/>
            <w:hideMark/>
          </w:tcPr>
          <w:p w14:paraId="54772848"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investičná výstavba a správa ciest</w:t>
            </w:r>
          </w:p>
        </w:tc>
      </w:tr>
      <w:tr w:rsidR="00DE1D2A" w:rsidRPr="00666914" w14:paraId="14CF2B61" w14:textId="77777777" w:rsidTr="00DE1D2A">
        <w:trPr>
          <w:trHeight w:val="260"/>
        </w:trPr>
        <w:tc>
          <w:tcPr>
            <w:tcW w:w="1782" w:type="dxa"/>
            <w:tcBorders>
              <w:top w:val="nil"/>
              <w:left w:val="nil"/>
              <w:bottom w:val="nil"/>
              <w:right w:val="nil"/>
            </w:tcBorders>
            <w:shd w:val="clear" w:color="auto" w:fill="auto"/>
            <w:noWrap/>
            <w:vAlign w:val="center"/>
            <w:hideMark/>
          </w:tcPr>
          <w:p w14:paraId="15F5141D"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IVSC BA</w:t>
            </w:r>
          </w:p>
        </w:tc>
        <w:tc>
          <w:tcPr>
            <w:tcW w:w="7290" w:type="dxa"/>
            <w:tcBorders>
              <w:top w:val="nil"/>
              <w:left w:val="nil"/>
              <w:bottom w:val="nil"/>
              <w:right w:val="nil"/>
            </w:tcBorders>
            <w:shd w:val="clear" w:color="auto" w:fill="auto"/>
            <w:vAlign w:val="center"/>
            <w:hideMark/>
          </w:tcPr>
          <w:p w14:paraId="761167FC"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Investičná výstavba a správa ciest Bratislava</w:t>
            </w:r>
          </w:p>
        </w:tc>
      </w:tr>
      <w:tr w:rsidR="00DE1D2A" w:rsidRPr="00666914" w14:paraId="6B21E001" w14:textId="77777777" w:rsidTr="00DE1D2A">
        <w:trPr>
          <w:trHeight w:val="260"/>
        </w:trPr>
        <w:tc>
          <w:tcPr>
            <w:tcW w:w="1782" w:type="dxa"/>
            <w:tcBorders>
              <w:top w:val="nil"/>
              <w:left w:val="nil"/>
              <w:bottom w:val="nil"/>
              <w:right w:val="nil"/>
            </w:tcBorders>
            <w:shd w:val="clear" w:color="auto" w:fill="auto"/>
            <w:noWrap/>
            <w:vAlign w:val="center"/>
            <w:hideMark/>
          </w:tcPr>
          <w:p w14:paraId="6ABFF364"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IVSC ZA</w:t>
            </w:r>
          </w:p>
        </w:tc>
        <w:tc>
          <w:tcPr>
            <w:tcW w:w="7290" w:type="dxa"/>
            <w:tcBorders>
              <w:top w:val="nil"/>
              <w:left w:val="nil"/>
              <w:bottom w:val="nil"/>
              <w:right w:val="nil"/>
            </w:tcBorders>
            <w:shd w:val="clear" w:color="auto" w:fill="auto"/>
            <w:vAlign w:val="center"/>
            <w:hideMark/>
          </w:tcPr>
          <w:p w14:paraId="60E92449"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Investičná výstavba a správa ciest Žilina</w:t>
            </w:r>
          </w:p>
        </w:tc>
      </w:tr>
      <w:tr w:rsidR="00DE1D2A" w:rsidRPr="00666914" w14:paraId="41F157DC" w14:textId="77777777" w:rsidTr="00DE1D2A">
        <w:trPr>
          <w:trHeight w:val="260"/>
        </w:trPr>
        <w:tc>
          <w:tcPr>
            <w:tcW w:w="1782" w:type="dxa"/>
            <w:tcBorders>
              <w:top w:val="nil"/>
              <w:left w:val="nil"/>
              <w:bottom w:val="nil"/>
              <w:right w:val="nil"/>
            </w:tcBorders>
            <w:shd w:val="clear" w:color="auto" w:fill="auto"/>
            <w:noWrap/>
            <w:vAlign w:val="center"/>
            <w:hideMark/>
          </w:tcPr>
          <w:p w14:paraId="0D9B7E40"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IZP</w:t>
            </w:r>
          </w:p>
        </w:tc>
        <w:tc>
          <w:tcPr>
            <w:tcW w:w="7290" w:type="dxa"/>
            <w:tcBorders>
              <w:top w:val="nil"/>
              <w:left w:val="nil"/>
              <w:bottom w:val="nil"/>
              <w:right w:val="nil"/>
            </w:tcBorders>
            <w:shd w:val="clear" w:color="auto" w:fill="auto"/>
            <w:noWrap/>
            <w:vAlign w:val="bottom"/>
            <w:hideMark/>
          </w:tcPr>
          <w:p w14:paraId="214728B4" w14:textId="77777777" w:rsidR="00DE1D2A" w:rsidRPr="00666914" w:rsidRDefault="00DE1D2A" w:rsidP="00DE1D2A">
            <w:pPr>
              <w:spacing w:after="0"/>
              <w:jc w:val="left"/>
              <w:rPr>
                <w:rFonts w:eastAsia="Times New Roman"/>
                <w:sz w:val="20"/>
                <w:szCs w:val="20"/>
                <w:lang w:eastAsia="sk-SK"/>
              </w:rPr>
            </w:pPr>
            <w:r w:rsidRPr="00666914">
              <w:rPr>
                <w:rFonts w:eastAsia="Times New Roman"/>
                <w:sz w:val="20"/>
                <w:szCs w:val="20"/>
                <w:lang w:eastAsia="sk-SK"/>
              </w:rPr>
              <w:t>Inštitút zdravotnej politiky</w:t>
            </w:r>
          </w:p>
        </w:tc>
      </w:tr>
      <w:tr w:rsidR="00DE1D2A" w:rsidRPr="00666914" w14:paraId="106102A2" w14:textId="77777777" w:rsidTr="00DE1D2A">
        <w:trPr>
          <w:trHeight w:val="260"/>
        </w:trPr>
        <w:tc>
          <w:tcPr>
            <w:tcW w:w="1782" w:type="dxa"/>
            <w:tcBorders>
              <w:top w:val="nil"/>
              <w:left w:val="nil"/>
              <w:bottom w:val="nil"/>
              <w:right w:val="nil"/>
            </w:tcBorders>
            <w:shd w:val="clear" w:color="auto" w:fill="auto"/>
            <w:noWrap/>
            <w:vAlign w:val="center"/>
            <w:hideMark/>
          </w:tcPr>
          <w:p w14:paraId="62C45DEC"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k. ú.</w:t>
            </w:r>
          </w:p>
        </w:tc>
        <w:tc>
          <w:tcPr>
            <w:tcW w:w="7290" w:type="dxa"/>
            <w:tcBorders>
              <w:top w:val="nil"/>
              <w:left w:val="nil"/>
              <w:bottom w:val="nil"/>
              <w:right w:val="nil"/>
            </w:tcBorders>
            <w:shd w:val="clear" w:color="auto" w:fill="auto"/>
            <w:noWrap/>
            <w:vAlign w:val="bottom"/>
            <w:hideMark/>
          </w:tcPr>
          <w:p w14:paraId="2254201F" w14:textId="03E136CB" w:rsidR="00DE1D2A" w:rsidRPr="00666914" w:rsidRDefault="0020231E"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k</w:t>
            </w:r>
            <w:r w:rsidR="00DE1D2A" w:rsidRPr="00666914">
              <w:rPr>
                <w:rFonts w:eastAsia="Times New Roman"/>
                <w:color w:val="000000"/>
                <w:sz w:val="20"/>
                <w:szCs w:val="20"/>
                <w:lang w:eastAsia="sk-SK"/>
              </w:rPr>
              <w:t>atastrálne územia</w:t>
            </w:r>
          </w:p>
        </w:tc>
      </w:tr>
      <w:tr w:rsidR="00DE1D2A" w:rsidRPr="00666914" w14:paraId="7D861A21" w14:textId="77777777" w:rsidTr="00DE1D2A">
        <w:trPr>
          <w:trHeight w:val="260"/>
        </w:trPr>
        <w:tc>
          <w:tcPr>
            <w:tcW w:w="1782" w:type="dxa"/>
            <w:tcBorders>
              <w:top w:val="nil"/>
              <w:left w:val="nil"/>
              <w:bottom w:val="nil"/>
              <w:right w:val="nil"/>
            </w:tcBorders>
            <w:shd w:val="clear" w:color="auto" w:fill="auto"/>
            <w:noWrap/>
            <w:vAlign w:val="center"/>
            <w:hideMark/>
          </w:tcPr>
          <w:p w14:paraId="74AEAB42"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KE</w:t>
            </w:r>
          </w:p>
        </w:tc>
        <w:tc>
          <w:tcPr>
            <w:tcW w:w="7290" w:type="dxa"/>
            <w:tcBorders>
              <w:top w:val="nil"/>
              <w:left w:val="nil"/>
              <w:bottom w:val="nil"/>
              <w:right w:val="nil"/>
            </w:tcBorders>
            <w:shd w:val="clear" w:color="auto" w:fill="auto"/>
            <w:vAlign w:val="center"/>
            <w:hideMark/>
          </w:tcPr>
          <w:p w14:paraId="6BECFBD5"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Košice</w:t>
            </w:r>
          </w:p>
        </w:tc>
      </w:tr>
      <w:tr w:rsidR="00DE1D2A" w:rsidRPr="00666914" w14:paraId="4DDE910E" w14:textId="77777777" w:rsidTr="00DE1D2A">
        <w:trPr>
          <w:trHeight w:val="260"/>
        </w:trPr>
        <w:tc>
          <w:tcPr>
            <w:tcW w:w="1782" w:type="dxa"/>
            <w:tcBorders>
              <w:top w:val="nil"/>
              <w:left w:val="nil"/>
              <w:bottom w:val="nil"/>
              <w:right w:val="nil"/>
            </w:tcBorders>
            <w:shd w:val="clear" w:color="auto" w:fill="auto"/>
            <w:noWrap/>
            <w:vAlign w:val="center"/>
            <w:hideMark/>
          </w:tcPr>
          <w:p w14:paraId="1CA558A7"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KEGA</w:t>
            </w:r>
          </w:p>
        </w:tc>
        <w:tc>
          <w:tcPr>
            <w:tcW w:w="7290" w:type="dxa"/>
            <w:tcBorders>
              <w:top w:val="nil"/>
              <w:left w:val="nil"/>
              <w:bottom w:val="nil"/>
              <w:right w:val="nil"/>
            </w:tcBorders>
            <w:shd w:val="clear" w:color="auto" w:fill="auto"/>
            <w:noWrap/>
            <w:vAlign w:val="center"/>
            <w:hideMark/>
          </w:tcPr>
          <w:p w14:paraId="0E46D178"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Kultúrna a edukačná grantová agentúra</w:t>
            </w:r>
          </w:p>
        </w:tc>
      </w:tr>
      <w:tr w:rsidR="00DE1D2A" w:rsidRPr="00666914" w14:paraId="5B784A4B" w14:textId="77777777" w:rsidTr="00DE1D2A">
        <w:trPr>
          <w:trHeight w:val="260"/>
        </w:trPr>
        <w:tc>
          <w:tcPr>
            <w:tcW w:w="1782" w:type="dxa"/>
            <w:tcBorders>
              <w:top w:val="nil"/>
              <w:left w:val="nil"/>
              <w:bottom w:val="nil"/>
              <w:right w:val="nil"/>
            </w:tcBorders>
            <w:shd w:val="clear" w:color="auto" w:fill="auto"/>
            <w:noWrap/>
            <w:vAlign w:val="center"/>
            <w:hideMark/>
          </w:tcPr>
          <w:p w14:paraId="6E6FA338"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KEP</w:t>
            </w:r>
          </w:p>
        </w:tc>
        <w:tc>
          <w:tcPr>
            <w:tcW w:w="7290" w:type="dxa"/>
            <w:tcBorders>
              <w:top w:val="nil"/>
              <w:left w:val="nil"/>
              <w:bottom w:val="nil"/>
              <w:right w:val="nil"/>
            </w:tcBorders>
            <w:shd w:val="clear" w:color="auto" w:fill="auto"/>
            <w:vAlign w:val="bottom"/>
            <w:hideMark/>
          </w:tcPr>
          <w:p w14:paraId="4BD59314"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kvalifikovaný elektronický podpis</w:t>
            </w:r>
          </w:p>
        </w:tc>
      </w:tr>
      <w:tr w:rsidR="00DE1D2A" w:rsidRPr="00666914" w14:paraId="6C672FB4" w14:textId="77777777" w:rsidTr="00DE1D2A">
        <w:trPr>
          <w:trHeight w:val="260"/>
        </w:trPr>
        <w:tc>
          <w:tcPr>
            <w:tcW w:w="1782" w:type="dxa"/>
            <w:tcBorders>
              <w:top w:val="nil"/>
              <w:left w:val="nil"/>
              <w:bottom w:val="nil"/>
              <w:right w:val="nil"/>
            </w:tcBorders>
            <w:shd w:val="clear" w:color="auto" w:fill="auto"/>
            <w:noWrap/>
            <w:vAlign w:val="center"/>
            <w:hideMark/>
          </w:tcPr>
          <w:p w14:paraId="30C70BE5"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KF</w:t>
            </w:r>
          </w:p>
        </w:tc>
        <w:tc>
          <w:tcPr>
            <w:tcW w:w="7290" w:type="dxa"/>
            <w:tcBorders>
              <w:top w:val="nil"/>
              <w:left w:val="nil"/>
              <w:bottom w:val="nil"/>
              <w:right w:val="nil"/>
            </w:tcBorders>
            <w:shd w:val="clear" w:color="auto" w:fill="auto"/>
            <w:noWrap/>
            <w:vAlign w:val="center"/>
            <w:hideMark/>
          </w:tcPr>
          <w:p w14:paraId="5F201234"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konzervatívny fond</w:t>
            </w:r>
          </w:p>
        </w:tc>
      </w:tr>
      <w:tr w:rsidR="00DE1D2A" w:rsidRPr="00666914" w14:paraId="03B72FC3" w14:textId="77777777" w:rsidTr="00DE1D2A">
        <w:trPr>
          <w:trHeight w:val="260"/>
        </w:trPr>
        <w:tc>
          <w:tcPr>
            <w:tcW w:w="1782" w:type="dxa"/>
            <w:tcBorders>
              <w:top w:val="nil"/>
              <w:left w:val="nil"/>
              <w:bottom w:val="nil"/>
              <w:right w:val="nil"/>
            </w:tcBorders>
            <w:shd w:val="clear" w:color="auto" w:fill="auto"/>
            <w:noWrap/>
            <w:vAlign w:val="center"/>
            <w:hideMark/>
          </w:tcPr>
          <w:p w14:paraId="4D9DEBEC"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KK</w:t>
            </w:r>
          </w:p>
        </w:tc>
        <w:tc>
          <w:tcPr>
            <w:tcW w:w="7290" w:type="dxa"/>
            <w:tcBorders>
              <w:top w:val="nil"/>
              <w:left w:val="nil"/>
              <w:bottom w:val="nil"/>
              <w:right w:val="nil"/>
            </w:tcBorders>
            <w:shd w:val="clear" w:color="auto" w:fill="auto"/>
            <w:vAlign w:val="center"/>
            <w:hideMark/>
          </w:tcPr>
          <w:p w14:paraId="3E70AD5A"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Kategorizačná komisia</w:t>
            </w:r>
          </w:p>
        </w:tc>
      </w:tr>
      <w:tr w:rsidR="00DE1D2A" w:rsidRPr="00666914" w14:paraId="29B421E3" w14:textId="77777777" w:rsidTr="00DE1D2A">
        <w:trPr>
          <w:trHeight w:val="260"/>
        </w:trPr>
        <w:tc>
          <w:tcPr>
            <w:tcW w:w="1782" w:type="dxa"/>
            <w:tcBorders>
              <w:top w:val="nil"/>
              <w:left w:val="nil"/>
              <w:bottom w:val="nil"/>
              <w:right w:val="nil"/>
            </w:tcBorders>
            <w:shd w:val="clear" w:color="auto" w:fill="auto"/>
            <w:noWrap/>
            <w:vAlign w:val="center"/>
            <w:hideMark/>
          </w:tcPr>
          <w:p w14:paraId="25B00C0E"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KKŠ </w:t>
            </w:r>
          </w:p>
        </w:tc>
        <w:tc>
          <w:tcPr>
            <w:tcW w:w="7290" w:type="dxa"/>
            <w:tcBorders>
              <w:top w:val="nil"/>
              <w:left w:val="nil"/>
              <w:bottom w:val="nil"/>
              <w:right w:val="nil"/>
            </w:tcBorders>
            <w:shd w:val="clear" w:color="auto" w:fill="auto"/>
            <w:vAlign w:val="center"/>
            <w:hideMark/>
          </w:tcPr>
          <w:p w14:paraId="6DCB421C"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koeficient kvalifikačnej štruktúry </w:t>
            </w:r>
          </w:p>
        </w:tc>
      </w:tr>
      <w:tr w:rsidR="00DE1D2A" w:rsidRPr="00666914" w14:paraId="1D07A721" w14:textId="77777777" w:rsidTr="00DE1D2A">
        <w:trPr>
          <w:trHeight w:val="260"/>
        </w:trPr>
        <w:tc>
          <w:tcPr>
            <w:tcW w:w="1782" w:type="dxa"/>
            <w:tcBorders>
              <w:top w:val="nil"/>
              <w:left w:val="nil"/>
              <w:bottom w:val="nil"/>
              <w:right w:val="nil"/>
            </w:tcBorders>
            <w:shd w:val="clear" w:color="auto" w:fill="auto"/>
            <w:noWrap/>
            <w:vAlign w:val="center"/>
            <w:hideMark/>
          </w:tcPr>
          <w:p w14:paraId="7E84C2B9"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KPIs</w:t>
            </w:r>
          </w:p>
        </w:tc>
        <w:tc>
          <w:tcPr>
            <w:tcW w:w="7290" w:type="dxa"/>
            <w:tcBorders>
              <w:top w:val="nil"/>
              <w:left w:val="nil"/>
              <w:bottom w:val="nil"/>
              <w:right w:val="nil"/>
            </w:tcBorders>
            <w:shd w:val="clear" w:color="auto" w:fill="auto"/>
            <w:noWrap/>
            <w:vAlign w:val="bottom"/>
            <w:hideMark/>
          </w:tcPr>
          <w:p w14:paraId="462F3B6D"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Key performance indicators - kľúčové výkonnostné parametre</w:t>
            </w:r>
          </w:p>
        </w:tc>
      </w:tr>
      <w:tr w:rsidR="00DE1D2A" w:rsidRPr="00666914" w14:paraId="2FFF2B4F" w14:textId="77777777" w:rsidTr="00DE1D2A">
        <w:trPr>
          <w:trHeight w:val="260"/>
        </w:trPr>
        <w:tc>
          <w:tcPr>
            <w:tcW w:w="1782" w:type="dxa"/>
            <w:tcBorders>
              <w:top w:val="nil"/>
              <w:left w:val="nil"/>
              <w:bottom w:val="nil"/>
              <w:right w:val="nil"/>
            </w:tcBorders>
            <w:shd w:val="clear" w:color="auto" w:fill="auto"/>
            <w:noWrap/>
            <w:vAlign w:val="center"/>
            <w:hideMark/>
          </w:tcPr>
          <w:p w14:paraId="49A3715B"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KR</w:t>
            </w:r>
          </w:p>
        </w:tc>
        <w:tc>
          <w:tcPr>
            <w:tcW w:w="7290" w:type="dxa"/>
            <w:tcBorders>
              <w:top w:val="nil"/>
              <w:left w:val="nil"/>
              <w:bottom w:val="nil"/>
              <w:right w:val="nil"/>
            </w:tcBorders>
            <w:shd w:val="clear" w:color="auto" w:fill="auto"/>
            <w:vAlign w:val="center"/>
            <w:hideMark/>
          </w:tcPr>
          <w:p w14:paraId="1E409E21"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Kategorizačná rada</w:t>
            </w:r>
          </w:p>
        </w:tc>
      </w:tr>
      <w:tr w:rsidR="00DE1D2A" w:rsidRPr="00666914" w14:paraId="07E39341" w14:textId="77777777" w:rsidTr="00DE1D2A">
        <w:trPr>
          <w:trHeight w:val="260"/>
        </w:trPr>
        <w:tc>
          <w:tcPr>
            <w:tcW w:w="1782" w:type="dxa"/>
            <w:tcBorders>
              <w:top w:val="nil"/>
              <w:left w:val="nil"/>
              <w:bottom w:val="nil"/>
              <w:right w:val="nil"/>
            </w:tcBorders>
            <w:shd w:val="clear" w:color="auto" w:fill="auto"/>
            <w:noWrap/>
            <w:vAlign w:val="center"/>
            <w:hideMark/>
          </w:tcPr>
          <w:p w14:paraId="6B2D4EF0"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KV </w:t>
            </w:r>
          </w:p>
        </w:tc>
        <w:tc>
          <w:tcPr>
            <w:tcW w:w="7290" w:type="dxa"/>
            <w:tcBorders>
              <w:top w:val="nil"/>
              <w:left w:val="nil"/>
              <w:bottom w:val="nil"/>
              <w:right w:val="nil"/>
            </w:tcBorders>
            <w:shd w:val="clear" w:color="auto" w:fill="auto"/>
            <w:vAlign w:val="center"/>
            <w:hideMark/>
          </w:tcPr>
          <w:p w14:paraId="443A33D7"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kontinuálne vzdelávanie </w:t>
            </w:r>
          </w:p>
        </w:tc>
      </w:tr>
      <w:tr w:rsidR="00DE1D2A" w:rsidRPr="00666914" w14:paraId="39EA78EB" w14:textId="77777777" w:rsidTr="00DE1D2A">
        <w:trPr>
          <w:trHeight w:val="260"/>
        </w:trPr>
        <w:tc>
          <w:tcPr>
            <w:tcW w:w="1782" w:type="dxa"/>
            <w:tcBorders>
              <w:top w:val="nil"/>
              <w:left w:val="nil"/>
              <w:bottom w:val="nil"/>
              <w:right w:val="nil"/>
            </w:tcBorders>
            <w:shd w:val="clear" w:color="auto" w:fill="auto"/>
            <w:noWrap/>
            <w:vAlign w:val="center"/>
            <w:hideMark/>
          </w:tcPr>
          <w:p w14:paraId="4094D76A"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LIFE</w:t>
            </w:r>
          </w:p>
        </w:tc>
        <w:tc>
          <w:tcPr>
            <w:tcW w:w="7290" w:type="dxa"/>
            <w:tcBorders>
              <w:top w:val="nil"/>
              <w:left w:val="nil"/>
              <w:bottom w:val="nil"/>
              <w:right w:val="nil"/>
            </w:tcBorders>
            <w:shd w:val="clear" w:color="auto" w:fill="auto"/>
            <w:noWrap/>
            <w:vAlign w:val="center"/>
            <w:hideMark/>
          </w:tcPr>
          <w:p w14:paraId="2918DD31"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Špecializovaný program financovania pre životné prostredie a ochranu klímy pod gesciou Európskej komisie</w:t>
            </w:r>
          </w:p>
        </w:tc>
      </w:tr>
      <w:tr w:rsidR="00DE1D2A" w:rsidRPr="00666914" w14:paraId="20E28C4B" w14:textId="77777777" w:rsidTr="00DE1D2A">
        <w:trPr>
          <w:trHeight w:val="260"/>
        </w:trPr>
        <w:tc>
          <w:tcPr>
            <w:tcW w:w="1782" w:type="dxa"/>
            <w:tcBorders>
              <w:top w:val="nil"/>
              <w:left w:val="nil"/>
              <w:bottom w:val="nil"/>
              <w:right w:val="nil"/>
            </w:tcBorders>
            <w:shd w:val="clear" w:color="auto" w:fill="auto"/>
            <w:noWrap/>
            <w:vAlign w:val="center"/>
            <w:hideMark/>
          </w:tcPr>
          <w:p w14:paraId="732D9A39"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ĽOH</w:t>
            </w:r>
          </w:p>
        </w:tc>
        <w:tc>
          <w:tcPr>
            <w:tcW w:w="7290" w:type="dxa"/>
            <w:tcBorders>
              <w:top w:val="nil"/>
              <w:left w:val="nil"/>
              <w:bottom w:val="nil"/>
              <w:right w:val="nil"/>
            </w:tcBorders>
            <w:shd w:val="clear" w:color="auto" w:fill="auto"/>
            <w:vAlign w:val="center"/>
            <w:hideMark/>
          </w:tcPr>
          <w:p w14:paraId="37826828"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ľavostranná ochranná hrádza</w:t>
            </w:r>
          </w:p>
        </w:tc>
      </w:tr>
      <w:tr w:rsidR="00DE1D2A" w:rsidRPr="00666914" w14:paraId="364D9F1D" w14:textId="77777777" w:rsidTr="00DE1D2A">
        <w:trPr>
          <w:trHeight w:val="260"/>
        </w:trPr>
        <w:tc>
          <w:tcPr>
            <w:tcW w:w="1782" w:type="dxa"/>
            <w:tcBorders>
              <w:top w:val="nil"/>
              <w:left w:val="nil"/>
              <w:bottom w:val="nil"/>
              <w:right w:val="nil"/>
            </w:tcBorders>
            <w:shd w:val="clear" w:color="auto" w:fill="auto"/>
            <w:noWrap/>
            <w:vAlign w:val="center"/>
            <w:hideMark/>
          </w:tcPr>
          <w:p w14:paraId="2E2CD0D8"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LOINC</w:t>
            </w:r>
          </w:p>
        </w:tc>
        <w:tc>
          <w:tcPr>
            <w:tcW w:w="7290" w:type="dxa"/>
            <w:tcBorders>
              <w:top w:val="nil"/>
              <w:left w:val="nil"/>
              <w:bottom w:val="nil"/>
              <w:right w:val="nil"/>
            </w:tcBorders>
            <w:shd w:val="clear" w:color="auto" w:fill="auto"/>
            <w:noWrap/>
            <w:vAlign w:val="bottom"/>
            <w:hideMark/>
          </w:tcPr>
          <w:p w14:paraId="0854BFC5"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Logical Observation Identifiers, Names and Codes</w:t>
            </w:r>
          </w:p>
        </w:tc>
      </w:tr>
      <w:tr w:rsidR="00DE1D2A" w:rsidRPr="00666914" w14:paraId="2FE3B821" w14:textId="77777777" w:rsidTr="00DE1D2A">
        <w:trPr>
          <w:trHeight w:val="260"/>
        </w:trPr>
        <w:tc>
          <w:tcPr>
            <w:tcW w:w="1782" w:type="dxa"/>
            <w:tcBorders>
              <w:top w:val="nil"/>
              <w:left w:val="nil"/>
              <w:bottom w:val="nil"/>
              <w:right w:val="nil"/>
            </w:tcBorders>
            <w:shd w:val="clear" w:color="auto" w:fill="auto"/>
            <w:noWrap/>
            <w:vAlign w:val="center"/>
            <w:hideMark/>
          </w:tcPr>
          <w:p w14:paraId="5ADDFE5D"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LP</w:t>
            </w:r>
          </w:p>
        </w:tc>
        <w:tc>
          <w:tcPr>
            <w:tcW w:w="7290" w:type="dxa"/>
            <w:tcBorders>
              <w:top w:val="nil"/>
              <w:left w:val="nil"/>
              <w:bottom w:val="nil"/>
              <w:right w:val="nil"/>
            </w:tcBorders>
            <w:shd w:val="clear" w:color="auto" w:fill="auto"/>
            <w:noWrap/>
            <w:vAlign w:val="bottom"/>
            <w:hideMark/>
          </w:tcPr>
          <w:p w14:paraId="11742608" w14:textId="77777777" w:rsidR="00DE1D2A" w:rsidRPr="00666914" w:rsidRDefault="00DE1D2A" w:rsidP="00DE1D2A">
            <w:pPr>
              <w:spacing w:after="0"/>
              <w:jc w:val="left"/>
              <w:rPr>
                <w:rFonts w:eastAsia="Times New Roman"/>
                <w:sz w:val="20"/>
                <w:szCs w:val="20"/>
                <w:lang w:eastAsia="sk-SK"/>
              </w:rPr>
            </w:pPr>
            <w:r w:rsidRPr="00666914">
              <w:rPr>
                <w:rFonts w:eastAsia="Times New Roman"/>
                <w:sz w:val="20"/>
                <w:szCs w:val="20"/>
                <w:lang w:eastAsia="sk-SK"/>
              </w:rPr>
              <w:t>legislatívny proces</w:t>
            </w:r>
          </w:p>
        </w:tc>
      </w:tr>
      <w:tr w:rsidR="00DE1D2A" w:rsidRPr="00666914" w14:paraId="1439FBA8" w14:textId="77777777" w:rsidTr="00DE1D2A">
        <w:trPr>
          <w:trHeight w:val="260"/>
        </w:trPr>
        <w:tc>
          <w:tcPr>
            <w:tcW w:w="1782" w:type="dxa"/>
            <w:tcBorders>
              <w:top w:val="nil"/>
              <w:left w:val="nil"/>
              <w:bottom w:val="nil"/>
              <w:right w:val="nil"/>
            </w:tcBorders>
            <w:shd w:val="clear" w:color="auto" w:fill="auto"/>
            <w:noWrap/>
            <w:vAlign w:val="center"/>
            <w:hideMark/>
          </w:tcPr>
          <w:p w14:paraId="4E1B9ECE"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m. j.</w:t>
            </w:r>
          </w:p>
        </w:tc>
        <w:tc>
          <w:tcPr>
            <w:tcW w:w="7290" w:type="dxa"/>
            <w:tcBorders>
              <w:top w:val="nil"/>
              <w:left w:val="nil"/>
              <w:bottom w:val="nil"/>
              <w:right w:val="nil"/>
            </w:tcBorders>
            <w:shd w:val="clear" w:color="auto" w:fill="auto"/>
            <w:noWrap/>
            <w:vAlign w:val="bottom"/>
            <w:hideMark/>
          </w:tcPr>
          <w:p w14:paraId="14A8365B"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merné jednotky</w:t>
            </w:r>
          </w:p>
        </w:tc>
      </w:tr>
      <w:tr w:rsidR="00DE1D2A" w:rsidRPr="00666914" w14:paraId="3496CD8A" w14:textId="77777777" w:rsidTr="00DE1D2A">
        <w:trPr>
          <w:trHeight w:val="260"/>
        </w:trPr>
        <w:tc>
          <w:tcPr>
            <w:tcW w:w="1782" w:type="dxa"/>
            <w:tcBorders>
              <w:top w:val="nil"/>
              <w:left w:val="nil"/>
              <w:bottom w:val="nil"/>
              <w:right w:val="nil"/>
            </w:tcBorders>
            <w:shd w:val="clear" w:color="auto" w:fill="auto"/>
            <w:noWrap/>
            <w:vAlign w:val="center"/>
            <w:hideMark/>
          </w:tcPr>
          <w:p w14:paraId="0F781129"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MCA </w:t>
            </w:r>
          </w:p>
        </w:tc>
        <w:tc>
          <w:tcPr>
            <w:tcW w:w="7290" w:type="dxa"/>
            <w:tcBorders>
              <w:top w:val="nil"/>
              <w:left w:val="nil"/>
              <w:bottom w:val="nil"/>
              <w:right w:val="nil"/>
            </w:tcBorders>
            <w:shd w:val="clear" w:color="auto" w:fill="auto"/>
            <w:vAlign w:val="center"/>
            <w:hideMark/>
          </w:tcPr>
          <w:p w14:paraId="0C36FD0F"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Multi-Criteria Analysis</w:t>
            </w:r>
          </w:p>
        </w:tc>
      </w:tr>
      <w:tr w:rsidR="00DE1D2A" w:rsidRPr="00666914" w14:paraId="200B884D" w14:textId="77777777" w:rsidTr="00DE1D2A">
        <w:trPr>
          <w:trHeight w:val="260"/>
        </w:trPr>
        <w:tc>
          <w:tcPr>
            <w:tcW w:w="1782" w:type="dxa"/>
            <w:tcBorders>
              <w:top w:val="nil"/>
              <w:left w:val="nil"/>
              <w:bottom w:val="nil"/>
              <w:right w:val="nil"/>
            </w:tcBorders>
            <w:shd w:val="clear" w:color="auto" w:fill="auto"/>
            <w:noWrap/>
            <w:vAlign w:val="center"/>
            <w:hideMark/>
          </w:tcPr>
          <w:p w14:paraId="1857FD9A"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MDV SR</w:t>
            </w:r>
          </w:p>
        </w:tc>
        <w:tc>
          <w:tcPr>
            <w:tcW w:w="7290" w:type="dxa"/>
            <w:tcBorders>
              <w:top w:val="nil"/>
              <w:left w:val="nil"/>
              <w:bottom w:val="nil"/>
              <w:right w:val="nil"/>
            </w:tcBorders>
            <w:shd w:val="clear" w:color="auto" w:fill="auto"/>
            <w:vAlign w:val="center"/>
            <w:hideMark/>
          </w:tcPr>
          <w:p w14:paraId="02A8C7F4"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Ministerstvo dopravy a výstavby Slovenskej republiky</w:t>
            </w:r>
          </w:p>
        </w:tc>
      </w:tr>
      <w:tr w:rsidR="00DE1D2A" w:rsidRPr="00666914" w14:paraId="33426D1B" w14:textId="77777777" w:rsidTr="00DE1D2A">
        <w:trPr>
          <w:trHeight w:val="260"/>
        </w:trPr>
        <w:tc>
          <w:tcPr>
            <w:tcW w:w="1782" w:type="dxa"/>
            <w:tcBorders>
              <w:top w:val="nil"/>
              <w:left w:val="nil"/>
              <w:bottom w:val="nil"/>
              <w:right w:val="nil"/>
            </w:tcBorders>
            <w:shd w:val="clear" w:color="auto" w:fill="auto"/>
            <w:noWrap/>
            <w:vAlign w:val="center"/>
            <w:hideMark/>
          </w:tcPr>
          <w:p w14:paraId="7578AF57"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MetaIS</w:t>
            </w:r>
          </w:p>
        </w:tc>
        <w:tc>
          <w:tcPr>
            <w:tcW w:w="7290" w:type="dxa"/>
            <w:tcBorders>
              <w:top w:val="nil"/>
              <w:left w:val="nil"/>
              <w:bottom w:val="nil"/>
              <w:right w:val="nil"/>
            </w:tcBorders>
            <w:shd w:val="clear" w:color="auto" w:fill="auto"/>
            <w:vAlign w:val="bottom"/>
            <w:hideMark/>
          </w:tcPr>
          <w:p w14:paraId="31EB8462"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Metainformačný systém</w:t>
            </w:r>
          </w:p>
        </w:tc>
      </w:tr>
      <w:tr w:rsidR="00DE1D2A" w:rsidRPr="00666914" w14:paraId="29A0AA9B" w14:textId="77777777" w:rsidTr="00DE1D2A">
        <w:trPr>
          <w:trHeight w:val="260"/>
        </w:trPr>
        <w:tc>
          <w:tcPr>
            <w:tcW w:w="1782" w:type="dxa"/>
            <w:tcBorders>
              <w:top w:val="nil"/>
              <w:left w:val="nil"/>
              <w:bottom w:val="nil"/>
              <w:right w:val="nil"/>
            </w:tcBorders>
            <w:shd w:val="clear" w:color="auto" w:fill="auto"/>
            <w:noWrap/>
            <w:vAlign w:val="center"/>
            <w:hideMark/>
          </w:tcPr>
          <w:p w14:paraId="166085EB"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MF SR</w:t>
            </w:r>
          </w:p>
        </w:tc>
        <w:tc>
          <w:tcPr>
            <w:tcW w:w="7290" w:type="dxa"/>
            <w:tcBorders>
              <w:top w:val="nil"/>
              <w:left w:val="nil"/>
              <w:bottom w:val="nil"/>
              <w:right w:val="nil"/>
            </w:tcBorders>
            <w:shd w:val="clear" w:color="auto" w:fill="auto"/>
            <w:noWrap/>
            <w:vAlign w:val="center"/>
            <w:hideMark/>
          </w:tcPr>
          <w:p w14:paraId="0FFE4B6F"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Ministerstvo financií Slovenskej republiky</w:t>
            </w:r>
          </w:p>
        </w:tc>
      </w:tr>
      <w:tr w:rsidR="00DE1D2A" w:rsidRPr="00666914" w14:paraId="1B46769D" w14:textId="77777777" w:rsidTr="00DE1D2A">
        <w:trPr>
          <w:trHeight w:val="260"/>
        </w:trPr>
        <w:tc>
          <w:tcPr>
            <w:tcW w:w="1782" w:type="dxa"/>
            <w:tcBorders>
              <w:top w:val="nil"/>
              <w:left w:val="nil"/>
              <w:bottom w:val="nil"/>
              <w:right w:val="nil"/>
            </w:tcBorders>
            <w:shd w:val="clear" w:color="auto" w:fill="auto"/>
            <w:noWrap/>
            <w:vAlign w:val="center"/>
            <w:hideMark/>
          </w:tcPr>
          <w:p w14:paraId="13BDC884"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MH SR</w:t>
            </w:r>
          </w:p>
        </w:tc>
        <w:tc>
          <w:tcPr>
            <w:tcW w:w="7290" w:type="dxa"/>
            <w:tcBorders>
              <w:top w:val="nil"/>
              <w:left w:val="nil"/>
              <w:bottom w:val="nil"/>
              <w:right w:val="nil"/>
            </w:tcBorders>
            <w:shd w:val="clear" w:color="auto" w:fill="auto"/>
            <w:vAlign w:val="center"/>
            <w:hideMark/>
          </w:tcPr>
          <w:p w14:paraId="72C21903"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Ministerstvo hospodárstva Slovenskej republiky</w:t>
            </w:r>
          </w:p>
        </w:tc>
      </w:tr>
      <w:tr w:rsidR="00DE1D2A" w:rsidRPr="00666914" w14:paraId="36C5F741" w14:textId="77777777" w:rsidTr="00DE1D2A">
        <w:trPr>
          <w:trHeight w:val="260"/>
        </w:trPr>
        <w:tc>
          <w:tcPr>
            <w:tcW w:w="1782" w:type="dxa"/>
            <w:tcBorders>
              <w:top w:val="nil"/>
              <w:left w:val="nil"/>
              <w:bottom w:val="nil"/>
              <w:right w:val="nil"/>
            </w:tcBorders>
            <w:shd w:val="clear" w:color="auto" w:fill="auto"/>
            <w:noWrap/>
            <w:vAlign w:val="center"/>
            <w:hideMark/>
          </w:tcPr>
          <w:p w14:paraId="79411583"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mID</w:t>
            </w:r>
          </w:p>
        </w:tc>
        <w:tc>
          <w:tcPr>
            <w:tcW w:w="7290" w:type="dxa"/>
            <w:tcBorders>
              <w:top w:val="nil"/>
              <w:left w:val="nil"/>
              <w:bottom w:val="nil"/>
              <w:right w:val="nil"/>
            </w:tcBorders>
            <w:shd w:val="clear" w:color="auto" w:fill="auto"/>
            <w:vAlign w:val="bottom"/>
            <w:hideMark/>
          </w:tcPr>
          <w:p w14:paraId="50E3306F"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mobilné prihlasovanie</w:t>
            </w:r>
          </w:p>
        </w:tc>
      </w:tr>
      <w:tr w:rsidR="00DE1D2A" w:rsidRPr="00666914" w14:paraId="0F48066F" w14:textId="77777777" w:rsidTr="00DE1D2A">
        <w:trPr>
          <w:trHeight w:val="260"/>
        </w:trPr>
        <w:tc>
          <w:tcPr>
            <w:tcW w:w="1782" w:type="dxa"/>
            <w:tcBorders>
              <w:top w:val="nil"/>
              <w:left w:val="nil"/>
              <w:bottom w:val="nil"/>
              <w:right w:val="nil"/>
            </w:tcBorders>
            <w:shd w:val="clear" w:color="auto" w:fill="auto"/>
            <w:noWrap/>
            <w:vAlign w:val="center"/>
            <w:hideMark/>
          </w:tcPr>
          <w:p w14:paraId="63AB45CA"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MPC </w:t>
            </w:r>
          </w:p>
        </w:tc>
        <w:tc>
          <w:tcPr>
            <w:tcW w:w="7290" w:type="dxa"/>
            <w:tcBorders>
              <w:top w:val="nil"/>
              <w:left w:val="nil"/>
              <w:bottom w:val="nil"/>
              <w:right w:val="nil"/>
            </w:tcBorders>
            <w:shd w:val="clear" w:color="auto" w:fill="auto"/>
            <w:vAlign w:val="center"/>
            <w:hideMark/>
          </w:tcPr>
          <w:p w14:paraId="3CA133AB"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Metodicko-pedagogické centrum </w:t>
            </w:r>
          </w:p>
        </w:tc>
      </w:tr>
      <w:tr w:rsidR="00DE1D2A" w:rsidRPr="00666914" w14:paraId="26DA4F35" w14:textId="77777777" w:rsidTr="00DE1D2A">
        <w:trPr>
          <w:trHeight w:val="260"/>
        </w:trPr>
        <w:tc>
          <w:tcPr>
            <w:tcW w:w="1782" w:type="dxa"/>
            <w:tcBorders>
              <w:top w:val="nil"/>
              <w:left w:val="nil"/>
              <w:bottom w:val="nil"/>
              <w:right w:val="nil"/>
            </w:tcBorders>
            <w:shd w:val="clear" w:color="auto" w:fill="auto"/>
            <w:noWrap/>
            <w:vAlign w:val="center"/>
            <w:hideMark/>
          </w:tcPr>
          <w:p w14:paraId="592B8599"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MPK</w:t>
            </w:r>
          </w:p>
        </w:tc>
        <w:tc>
          <w:tcPr>
            <w:tcW w:w="7290" w:type="dxa"/>
            <w:tcBorders>
              <w:top w:val="nil"/>
              <w:left w:val="nil"/>
              <w:bottom w:val="nil"/>
              <w:right w:val="nil"/>
            </w:tcBorders>
            <w:shd w:val="clear" w:color="auto" w:fill="auto"/>
            <w:noWrap/>
            <w:vAlign w:val="center"/>
            <w:hideMark/>
          </w:tcPr>
          <w:p w14:paraId="75B11E0A"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medzirezortné pripomienkové konanie</w:t>
            </w:r>
          </w:p>
        </w:tc>
      </w:tr>
      <w:tr w:rsidR="00DE1D2A" w:rsidRPr="00666914" w14:paraId="39A23570" w14:textId="77777777" w:rsidTr="00DE1D2A">
        <w:trPr>
          <w:trHeight w:val="260"/>
        </w:trPr>
        <w:tc>
          <w:tcPr>
            <w:tcW w:w="1782" w:type="dxa"/>
            <w:tcBorders>
              <w:top w:val="nil"/>
              <w:left w:val="nil"/>
              <w:bottom w:val="nil"/>
              <w:right w:val="nil"/>
            </w:tcBorders>
            <w:shd w:val="clear" w:color="auto" w:fill="auto"/>
            <w:noWrap/>
            <w:vAlign w:val="center"/>
            <w:hideMark/>
          </w:tcPr>
          <w:p w14:paraId="201D7B8C"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MPRV SR</w:t>
            </w:r>
          </w:p>
        </w:tc>
        <w:tc>
          <w:tcPr>
            <w:tcW w:w="7290" w:type="dxa"/>
            <w:tcBorders>
              <w:top w:val="nil"/>
              <w:left w:val="nil"/>
              <w:bottom w:val="nil"/>
              <w:right w:val="nil"/>
            </w:tcBorders>
            <w:shd w:val="clear" w:color="auto" w:fill="auto"/>
            <w:noWrap/>
            <w:vAlign w:val="bottom"/>
            <w:hideMark/>
          </w:tcPr>
          <w:p w14:paraId="261974CA"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Ministerstvo pôdohospodárstva a rozvoja vidieka Slovenskej republiky</w:t>
            </w:r>
          </w:p>
        </w:tc>
      </w:tr>
      <w:tr w:rsidR="00DE1D2A" w:rsidRPr="00666914" w14:paraId="6FFE6E67" w14:textId="77777777" w:rsidTr="00DE1D2A">
        <w:trPr>
          <w:trHeight w:val="260"/>
        </w:trPr>
        <w:tc>
          <w:tcPr>
            <w:tcW w:w="1782" w:type="dxa"/>
            <w:tcBorders>
              <w:top w:val="nil"/>
              <w:left w:val="nil"/>
              <w:bottom w:val="nil"/>
              <w:right w:val="nil"/>
            </w:tcBorders>
            <w:shd w:val="clear" w:color="auto" w:fill="auto"/>
            <w:noWrap/>
            <w:vAlign w:val="center"/>
            <w:hideMark/>
          </w:tcPr>
          <w:p w14:paraId="1EE8CB2D"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MPSVR SR</w:t>
            </w:r>
          </w:p>
        </w:tc>
        <w:tc>
          <w:tcPr>
            <w:tcW w:w="7290" w:type="dxa"/>
            <w:tcBorders>
              <w:top w:val="nil"/>
              <w:left w:val="nil"/>
              <w:bottom w:val="nil"/>
              <w:right w:val="nil"/>
            </w:tcBorders>
            <w:shd w:val="clear" w:color="auto" w:fill="auto"/>
            <w:noWrap/>
            <w:vAlign w:val="center"/>
            <w:hideMark/>
          </w:tcPr>
          <w:p w14:paraId="63C74DBE"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Ministerstvo práce, sociálnych vecí a rodiny SR </w:t>
            </w:r>
          </w:p>
        </w:tc>
      </w:tr>
      <w:tr w:rsidR="00DE1D2A" w:rsidRPr="00666914" w14:paraId="04FFAC44" w14:textId="77777777" w:rsidTr="00DE1D2A">
        <w:trPr>
          <w:trHeight w:val="260"/>
        </w:trPr>
        <w:tc>
          <w:tcPr>
            <w:tcW w:w="1782" w:type="dxa"/>
            <w:tcBorders>
              <w:top w:val="nil"/>
              <w:left w:val="nil"/>
              <w:bottom w:val="nil"/>
              <w:right w:val="nil"/>
            </w:tcBorders>
            <w:shd w:val="clear" w:color="auto" w:fill="auto"/>
            <w:noWrap/>
            <w:vAlign w:val="center"/>
            <w:hideMark/>
          </w:tcPr>
          <w:p w14:paraId="0EDE5357"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MR</w:t>
            </w:r>
          </w:p>
        </w:tc>
        <w:tc>
          <w:tcPr>
            <w:tcW w:w="7290" w:type="dxa"/>
            <w:tcBorders>
              <w:top w:val="nil"/>
              <w:left w:val="nil"/>
              <w:bottom w:val="nil"/>
              <w:right w:val="nil"/>
            </w:tcBorders>
            <w:shd w:val="clear" w:color="auto" w:fill="auto"/>
            <w:vAlign w:val="center"/>
            <w:hideMark/>
          </w:tcPr>
          <w:p w14:paraId="022FF611"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magnetická rezonancia</w:t>
            </w:r>
          </w:p>
        </w:tc>
      </w:tr>
      <w:tr w:rsidR="00DE1D2A" w:rsidRPr="00666914" w14:paraId="6D8DFBAF" w14:textId="77777777" w:rsidTr="00DE1D2A">
        <w:trPr>
          <w:trHeight w:val="260"/>
        </w:trPr>
        <w:tc>
          <w:tcPr>
            <w:tcW w:w="1782" w:type="dxa"/>
            <w:tcBorders>
              <w:top w:val="nil"/>
              <w:left w:val="nil"/>
              <w:bottom w:val="nil"/>
              <w:right w:val="nil"/>
            </w:tcBorders>
            <w:shd w:val="clear" w:color="auto" w:fill="auto"/>
            <w:noWrap/>
            <w:vAlign w:val="center"/>
            <w:hideMark/>
          </w:tcPr>
          <w:p w14:paraId="5F80681F"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MS SR </w:t>
            </w:r>
          </w:p>
        </w:tc>
        <w:tc>
          <w:tcPr>
            <w:tcW w:w="7290" w:type="dxa"/>
            <w:tcBorders>
              <w:top w:val="nil"/>
              <w:left w:val="nil"/>
              <w:bottom w:val="nil"/>
              <w:right w:val="nil"/>
            </w:tcBorders>
            <w:shd w:val="clear" w:color="auto" w:fill="auto"/>
            <w:vAlign w:val="center"/>
            <w:hideMark/>
          </w:tcPr>
          <w:p w14:paraId="5C275FAB"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Ministerstvo spravodlivosti Slovenskej republiky</w:t>
            </w:r>
          </w:p>
        </w:tc>
      </w:tr>
      <w:tr w:rsidR="00DE1D2A" w:rsidRPr="00666914" w14:paraId="3646E8E8" w14:textId="77777777" w:rsidTr="00DE1D2A">
        <w:trPr>
          <w:trHeight w:val="260"/>
        </w:trPr>
        <w:tc>
          <w:tcPr>
            <w:tcW w:w="1782" w:type="dxa"/>
            <w:tcBorders>
              <w:top w:val="nil"/>
              <w:left w:val="nil"/>
              <w:bottom w:val="nil"/>
              <w:right w:val="nil"/>
            </w:tcBorders>
            <w:shd w:val="clear" w:color="auto" w:fill="auto"/>
            <w:noWrap/>
            <w:vAlign w:val="center"/>
            <w:hideMark/>
          </w:tcPr>
          <w:p w14:paraId="7AFD5D3C"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MŠVVaŠ SR</w:t>
            </w:r>
          </w:p>
        </w:tc>
        <w:tc>
          <w:tcPr>
            <w:tcW w:w="7290" w:type="dxa"/>
            <w:tcBorders>
              <w:top w:val="nil"/>
              <w:left w:val="nil"/>
              <w:bottom w:val="nil"/>
              <w:right w:val="nil"/>
            </w:tcBorders>
            <w:shd w:val="clear" w:color="auto" w:fill="auto"/>
            <w:noWrap/>
            <w:vAlign w:val="center"/>
            <w:hideMark/>
          </w:tcPr>
          <w:p w14:paraId="64EEBFF4"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Ministerstvo školstva, vedy, výskumu a športu SR </w:t>
            </w:r>
          </w:p>
        </w:tc>
      </w:tr>
      <w:tr w:rsidR="00DE1D2A" w:rsidRPr="00666914" w14:paraId="0D930138" w14:textId="77777777" w:rsidTr="00DE1D2A">
        <w:trPr>
          <w:trHeight w:val="260"/>
        </w:trPr>
        <w:tc>
          <w:tcPr>
            <w:tcW w:w="1782" w:type="dxa"/>
            <w:tcBorders>
              <w:top w:val="nil"/>
              <w:left w:val="nil"/>
              <w:bottom w:val="nil"/>
              <w:right w:val="nil"/>
            </w:tcBorders>
            <w:shd w:val="clear" w:color="auto" w:fill="auto"/>
            <w:noWrap/>
            <w:vAlign w:val="center"/>
            <w:hideMark/>
          </w:tcPr>
          <w:p w14:paraId="5961CA05"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MTZ</w:t>
            </w:r>
          </w:p>
        </w:tc>
        <w:tc>
          <w:tcPr>
            <w:tcW w:w="7290" w:type="dxa"/>
            <w:tcBorders>
              <w:top w:val="nil"/>
              <w:left w:val="nil"/>
              <w:bottom w:val="nil"/>
              <w:right w:val="nil"/>
            </w:tcBorders>
            <w:shd w:val="clear" w:color="auto" w:fill="auto"/>
            <w:noWrap/>
            <w:vAlign w:val="bottom"/>
            <w:hideMark/>
          </w:tcPr>
          <w:p w14:paraId="1790156F" w14:textId="77777777" w:rsidR="00DE1D2A" w:rsidRPr="00666914" w:rsidRDefault="00DE1D2A" w:rsidP="00DE1D2A">
            <w:pPr>
              <w:spacing w:after="0"/>
              <w:jc w:val="left"/>
              <w:rPr>
                <w:rFonts w:eastAsia="Times New Roman"/>
                <w:sz w:val="20"/>
                <w:szCs w:val="20"/>
                <w:lang w:eastAsia="sk-SK"/>
              </w:rPr>
            </w:pPr>
            <w:r w:rsidRPr="00666914">
              <w:rPr>
                <w:rFonts w:eastAsia="Times New Roman"/>
                <w:sz w:val="20"/>
                <w:szCs w:val="20"/>
                <w:lang w:eastAsia="sk-SK"/>
              </w:rPr>
              <w:t>materiálno-technické zabezpečenie</w:t>
            </w:r>
          </w:p>
        </w:tc>
      </w:tr>
      <w:tr w:rsidR="00DE1D2A" w:rsidRPr="00666914" w14:paraId="3C42C1CA" w14:textId="77777777" w:rsidTr="00DE1D2A">
        <w:trPr>
          <w:trHeight w:val="260"/>
        </w:trPr>
        <w:tc>
          <w:tcPr>
            <w:tcW w:w="1782" w:type="dxa"/>
            <w:tcBorders>
              <w:top w:val="nil"/>
              <w:left w:val="nil"/>
              <w:bottom w:val="nil"/>
              <w:right w:val="nil"/>
            </w:tcBorders>
            <w:shd w:val="clear" w:color="auto" w:fill="auto"/>
            <w:noWrap/>
            <w:vAlign w:val="center"/>
            <w:hideMark/>
          </w:tcPr>
          <w:p w14:paraId="5BA2762B"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lastRenderedPageBreak/>
              <w:t>MV SR</w:t>
            </w:r>
          </w:p>
        </w:tc>
        <w:tc>
          <w:tcPr>
            <w:tcW w:w="7290" w:type="dxa"/>
            <w:tcBorders>
              <w:top w:val="nil"/>
              <w:left w:val="nil"/>
              <w:bottom w:val="nil"/>
              <w:right w:val="nil"/>
            </w:tcBorders>
            <w:shd w:val="clear" w:color="auto" w:fill="auto"/>
            <w:noWrap/>
            <w:vAlign w:val="center"/>
            <w:hideMark/>
          </w:tcPr>
          <w:p w14:paraId="029C2BA3"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Ministerstvo vnútra Slovenskej republiky</w:t>
            </w:r>
          </w:p>
        </w:tc>
      </w:tr>
      <w:tr w:rsidR="00DE1D2A" w:rsidRPr="00666914" w14:paraId="53EB8008" w14:textId="77777777" w:rsidTr="00DE1D2A">
        <w:trPr>
          <w:trHeight w:val="260"/>
        </w:trPr>
        <w:tc>
          <w:tcPr>
            <w:tcW w:w="1782" w:type="dxa"/>
            <w:tcBorders>
              <w:top w:val="nil"/>
              <w:left w:val="nil"/>
              <w:bottom w:val="nil"/>
              <w:right w:val="nil"/>
            </w:tcBorders>
            <w:shd w:val="clear" w:color="auto" w:fill="auto"/>
            <w:noWrap/>
            <w:vAlign w:val="center"/>
            <w:hideMark/>
          </w:tcPr>
          <w:p w14:paraId="6811375A"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MZ SR</w:t>
            </w:r>
          </w:p>
        </w:tc>
        <w:tc>
          <w:tcPr>
            <w:tcW w:w="7290" w:type="dxa"/>
            <w:tcBorders>
              <w:top w:val="nil"/>
              <w:left w:val="nil"/>
              <w:bottom w:val="nil"/>
              <w:right w:val="nil"/>
            </w:tcBorders>
            <w:shd w:val="clear" w:color="auto" w:fill="auto"/>
            <w:noWrap/>
            <w:vAlign w:val="center"/>
            <w:hideMark/>
          </w:tcPr>
          <w:p w14:paraId="778567C9"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Ministerstvo zdravotníctva Slovenskej republiky</w:t>
            </w:r>
          </w:p>
        </w:tc>
      </w:tr>
      <w:tr w:rsidR="00DE1D2A" w:rsidRPr="00666914" w14:paraId="447A4507" w14:textId="77777777" w:rsidTr="00DE1D2A">
        <w:trPr>
          <w:trHeight w:val="260"/>
        </w:trPr>
        <w:tc>
          <w:tcPr>
            <w:tcW w:w="1782" w:type="dxa"/>
            <w:tcBorders>
              <w:top w:val="nil"/>
              <w:left w:val="nil"/>
              <w:bottom w:val="nil"/>
              <w:right w:val="nil"/>
            </w:tcBorders>
            <w:shd w:val="clear" w:color="auto" w:fill="auto"/>
            <w:noWrap/>
            <w:vAlign w:val="center"/>
            <w:hideMark/>
          </w:tcPr>
          <w:p w14:paraId="0C9B900C"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MŽP SR</w:t>
            </w:r>
          </w:p>
        </w:tc>
        <w:tc>
          <w:tcPr>
            <w:tcW w:w="7290" w:type="dxa"/>
            <w:tcBorders>
              <w:top w:val="nil"/>
              <w:left w:val="nil"/>
              <w:bottom w:val="nil"/>
              <w:right w:val="nil"/>
            </w:tcBorders>
            <w:shd w:val="clear" w:color="auto" w:fill="auto"/>
            <w:vAlign w:val="center"/>
            <w:hideMark/>
          </w:tcPr>
          <w:p w14:paraId="46F1C75E"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Ministerstvo životného prostredia Slovenskej republiky</w:t>
            </w:r>
          </w:p>
        </w:tc>
      </w:tr>
      <w:tr w:rsidR="00DE1D2A" w:rsidRPr="00666914" w14:paraId="5F1F05B6" w14:textId="77777777" w:rsidTr="00DE1D2A">
        <w:trPr>
          <w:trHeight w:val="260"/>
        </w:trPr>
        <w:tc>
          <w:tcPr>
            <w:tcW w:w="1782" w:type="dxa"/>
            <w:tcBorders>
              <w:top w:val="nil"/>
              <w:left w:val="nil"/>
              <w:bottom w:val="nil"/>
              <w:right w:val="nil"/>
            </w:tcBorders>
            <w:shd w:val="clear" w:color="auto" w:fill="auto"/>
            <w:noWrap/>
            <w:vAlign w:val="center"/>
            <w:hideMark/>
          </w:tcPr>
          <w:p w14:paraId="21B6FC41"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NASES</w:t>
            </w:r>
          </w:p>
        </w:tc>
        <w:tc>
          <w:tcPr>
            <w:tcW w:w="7290" w:type="dxa"/>
            <w:tcBorders>
              <w:top w:val="nil"/>
              <w:left w:val="nil"/>
              <w:bottom w:val="nil"/>
              <w:right w:val="nil"/>
            </w:tcBorders>
            <w:shd w:val="clear" w:color="auto" w:fill="auto"/>
            <w:vAlign w:val="center"/>
            <w:hideMark/>
          </w:tcPr>
          <w:p w14:paraId="03F813DF"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Národná agentúra pre sieťové a elektronické služby</w:t>
            </w:r>
          </w:p>
        </w:tc>
      </w:tr>
      <w:tr w:rsidR="00DE1D2A" w:rsidRPr="00666914" w14:paraId="59FDEFA6" w14:textId="77777777" w:rsidTr="00DE1D2A">
        <w:trPr>
          <w:trHeight w:val="260"/>
        </w:trPr>
        <w:tc>
          <w:tcPr>
            <w:tcW w:w="1782" w:type="dxa"/>
            <w:tcBorders>
              <w:top w:val="nil"/>
              <w:left w:val="nil"/>
              <w:bottom w:val="nil"/>
              <w:right w:val="nil"/>
            </w:tcBorders>
            <w:shd w:val="clear" w:color="auto" w:fill="auto"/>
            <w:noWrap/>
            <w:vAlign w:val="center"/>
            <w:hideMark/>
          </w:tcPr>
          <w:p w14:paraId="442AFDB2"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NATURA 2000</w:t>
            </w:r>
          </w:p>
        </w:tc>
        <w:tc>
          <w:tcPr>
            <w:tcW w:w="7290" w:type="dxa"/>
            <w:tcBorders>
              <w:top w:val="nil"/>
              <w:left w:val="nil"/>
              <w:bottom w:val="nil"/>
              <w:right w:val="nil"/>
            </w:tcBorders>
            <w:shd w:val="clear" w:color="auto" w:fill="auto"/>
            <w:vAlign w:val="center"/>
            <w:hideMark/>
          </w:tcPr>
          <w:p w14:paraId="405362B1"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sústava chránených území európskeho významu</w:t>
            </w:r>
          </w:p>
        </w:tc>
      </w:tr>
      <w:tr w:rsidR="00DE1D2A" w:rsidRPr="00666914" w14:paraId="117F61FE" w14:textId="77777777" w:rsidTr="00DE1D2A">
        <w:trPr>
          <w:trHeight w:val="260"/>
        </w:trPr>
        <w:tc>
          <w:tcPr>
            <w:tcW w:w="1782" w:type="dxa"/>
            <w:tcBorders>
              <w:top w:val="nil"/>
              <w:left w:val="nil"/>
              <w:bottom w:val="nil"/>
              <w:right w:val="nil"/>
            </w:tcBorders>
            <w:shd w:val="clear" w:color="auto" w:fill="auto"/>
            <w:noWrap/>
            <w:vAlign w:val="center"/>
            <w:hideMark/>
          </w:tcPr>
          <w:p w14:paraId="7DDF9ADA"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NBS</w:t>
            </w:r>
          </w:p>
        </w:tc>
        <w:tc>
          <w:tcPr>
            <w:tcW w:w="7290" w:type="dxa"/>
            <w:tcBorders>
              <w:top w:val="nil"/>
              <w:left w:val="nil"/>
              <w:bottom w:val="nil"/>
              <w:right w:val="nil"/>
            </w:tcBorders>
            <w:shd w:val="clear" w:color="auto" w:fill="auto"/>
            <w:noWrap/>
            <w:vAlign w:val="center"/>
            <w:hideMark/>
          </w:tcPr>
          <w:p w14:paraId="06449E73"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Národná banka Slovenska</w:t>
            </w:r>
          </w:p>
        </w:tc>
      </w:tr>
      <w:tr w:rsidR="00DE1D2A" w:rsidRPr="00666914" w14:paraId="2984F057" w14:textId="77777777" w:rsidTr="00DE1D2A">
        <w:trPr>
          <w:trHeight w:val="260"/>
        </w:trPr>
        <w:tc>
          <w:tcPr>
            <w:tcW w:w="1782" w:type="dxa"/>
            <w:tcBorders>
              <w:top w:val="nil"/>
              <w:left w:val="nil"/>
              <w:bottom w:val="nil"/>
              <w:right w:val="nil"/>
            </w:tcBorders>
            <w:shd w:val="clear" w:color="auto" w:fill="auto"/>
            <w:noWrap/>
            <w:vAlign w:val="center"/>
            <w:hideMark/>
          </w:tcPr>
          <w:p w14:paraId="5EDF1A4C"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NCZI</w:t>
            </w:r>
          </w:p>
        </w:tc>
        <w:tc>
          <w:tcPr>
            <w:tcW w:w="7290" w:type="dxa"/>
            <w:tcBorders>
              <w:top w:val="nil"/>
              <w:left w:val="nil"/>
              <w:bottom w:val="nil"/>
              <w:right w:val="nil"/>
            </w:tcBorders>
            <w:shd w:val="clear" w:color="auto" w:fill="auto"/>
            <w:noWrap/>
            <w:vAlign w:val="bottom"/>
            <w:hideMark/>
          </w:tcPr>
          <w:p w14:paraId="3000CB53" w14:textId="77777777" w:rsidR="00DE1D2A" w:rsidRPr="00666914" w:rsidRDefault="00DE1D2A" w:rsidP="00DE1D2A">
            <w:pPr>
              <w:spacing w:after="0"/>
              <w:jc w:val="left"/>
              <w:rPr>
                <w:rFonts w:eastAsia="Times New Roman"/>
                <w:sz w:val="20"/>
                <w:szCs w:val="20"/>
                <w:lang w:eastAsia="sk-SK"/>
              </w:rPr>
            </w:pPr>
            <w:r w:rsidRPr="00666914">
              <w:rPr>
                <w:rFonts w:eastAsia="Times New Roman"/>
                <w:sz w:val="20"/>
                <w:szCs w:val="20"/>
                <w:lang w:eastAsia="sk-SK"/>
              </w:rPr>
              <w:t>Národné centrum zdravotníckych informácií</w:t>
            </w:r>
          </w:p>
        </w:tc>
      </w:tr>
      <w:tr w:rsidR="00DE1D2A" w:rsidRPr="00666914" w14:paraId="2913C5DA" w14:textId="77777777" w:rsidTr="00DE1D2A">
        <w:trPr>
          <w:trHeight w:val="260"/>
        </w:trPr>
        <w:tc>
          <w:tcPr>
            <w:tcW w:w="1782" w:type="dxa"/>
            <w:tcBorders>
              <w:top w:val="nil"/>
              <w:left w:val="nil"/>
              <w:bottom w:val="nil"/>
              <w:right w:val="nil"/>
            </w:tcBorders>
            <w:shd w:val="clear" w:color="auto" w:fill="auto"/>
            <w:noWrap/>
            <w:vAlign w:val="center"/>
            <w:hideMark/>
          </w:tcPr>
          <w:p w14:paraId="6C05147E"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NDS </w:t>
            </w:r>
          </w:p>
        </w:tc>
        <w:tc>
          <w:tcPr>
            <w:tcW w:w="7290" w:type="dxa"/>
            <w:tcBorders>
              <w:top w:val="nil"/>
              <w:left w:val="nil"/>
              <w:bottom w:val="nil"/>
              <w:right w:val="nil"/>
            </w:tcBorders>
            <w:shd w:val="clear" w:color="auto" w:fill="auto"/>
            <w:vAlign w:val="center"/>
            <w:hideMark/>
          </w:tcPr>
          <w:p w14:paraId="19F00C47"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Národná diaľničná spoločnosť, a. s.</w:t>
            </w:r>
          </w:p>
        </w:tc>
      </w:tr>
      <w:tr w:rsidR="00DE1D2A" w:rsidRPr="00666914" w14:paraId="376A564F" w14:textId="77777777" w:rsidTr="00DE1D2A">
        <w:trPr>
          <w:trHeight w:val="260"/>
        </w:trPr>
        <w:tc>
          <w:tcPr>
            <w:tcW w:w="1782" w:type="dxa"/>
            <w:tcBorders>
              <w:top w:val="nil"/>
              <w:left w:val="nil"/>
              <w:bottom w:val="nil"/>
              <w:right w:val="nil"/>
            </w:tcBorders>
            <w:shd w:val="clear" w:color="auto" w:fill="auto"/>
            <w:noWrap/>
            <w:vAlign w:val="center"/>
            <w:hideMark/>
          </w:tcPr>
          <w:p w14:paraId="769A0FAA"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NFP</w:t>
            </w:r>
          </w:p>
        </w:tc>
        <w:tc>
          <w:tcPr>
            <w:tcW w:w="7290" w:type="dxa"/>
            <w:tcBorders>
              <w:top w:val="nil"/>
              <w:left w:val="nil"/>
              <w:bottom w:val="nil"/>
              <w:right w:val="nil"/>
            </w:tcBorders>
            <w:shd w:val="clear" w:color="auto" w:fill="auto"/>
            <w:noWrap/>
            <w:vAlign w:val="center"/>
            <w:hideMark/>
          </w:tcPr>
          <w:p w14:paraId="0F57D3F0"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nenávratný finančný príspevok</w:t>
            </w:r>
          </w:p>
        </w:tc>
      </w:tr>
      <w:tr w:rsidR="00DE1D2A" w:rsidRPr="00666914" w14:paraId="2BE7AB6D" w14:textId="77777777" w:rsidTr="00DE1D2A">
        <w:trPr>
          <w:trHeight w:val="260"/>
        </w:trPr>
        <w:tc>
          <w:tcPr>
            <w:tcW w:w="1782" w:type="dxa"/>
            <w:tcBorders>
              <w:top w:val="nil"/>
              <w:left w:val="nil"/>
              <w:bottom w:val="nil"/>
              <w:right w:val="nil"/>
            </w:tcBorders>
            <w:shd w:val="clear" w:color="auto" w:fill="auto"/>
            <w:noWrap/>
            <w:vAlign w:val="center"/>
            <w:hideMark/>
          </w:tcPr>
          <w:p w14:paraId="3A30895E"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NFV</w:t>
            </w:r>
          </w:p>
        </w:tc>
        <w:tc>
          <w:tcPr>
            <w:tcW w:w="7290" w:type="dxa"/>
            <w:tcBorders>
              <w:top w:val="nil"/>
              <w:left w:val="nil"/>
              <w:bottom w:val="nil"/>
              <w:right w:val="nil"/>
            </w:tcBorders>
            <w:shd w:val="clear" w:color="auto" w:fill="auto"/>
            <w:noWrap/>
            <w:vAlign w:val="center"/>
            <w:hideMark/>
          </w:tcPr>
          <w:p w14:paraId="73129B95"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neakreditované formy vzdelávania</w:t>
            </w:r>
          </w:p>
        </w:tc>
      </w:tr>
      <w:tr w:rsidR="00DE1D2A" w:rsidRPr="00666914" w14:paraId="16D51434" w14:textId="77777777" w:rsidTr="00DE1D2A">
        <w:trPr>
          <w:trHeight w:val="260"/>
        </w:trPr>
        <w:tc>
          <w:tcPr>
            <w:tcW w:w="1782" w:type="dxa"/>
            <w:tcBorders>
              <w:top w:val="nil"/>
              <w:left w:val="nil"/>
              <w:bottom w:val="nil"/>
              <w:right w:val="nil"/>
            </w:tcBorders>
            <w:shd w:val="clear" w:color="auto" w:fill="auto"/>
            <w:noWrap/>
            <w:vAlign w:val="center"/>
            <w:hideMark/>
          </w:tcPr>
          <w:p w14:paraId="71A837A8"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NKIVS</w:t>
            </w:r>
          </w:p>
        </w:tc>
        <w:tc>
          <w:tcPr>
            <w:tcW w:w="7290" w:type="dxa"/>
            <w:tcBorders>
              <w:top w:val="nil"/>
              <w:left w:val="nil"/>
              <w:bottom w:val="nil"/>
              <w:right w:val="nil"/>
            </w:tcBorders>
            <w:shd w:val="clear" w:color="auto" w:fill="auto"/>
            <w:vAlign w:val="bottom"/>
            <w:hideMark/>
          </w:tcPr>
          <w:p w14:paraId="5D6C17AC"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Národná koncepcia informatizácie verejnej správy</w:t>
            </w:r>
          </w:p>
        </w:tc>
      </w:tr>
      <w:tr w:rsidR="00DE1D2A" w:rsidRPr="00666914" w14:paraId="7D0FFF89" w14:textId="77777777" w:rsidTr="00DE1D2A">
        <w:trPr>
          <w:trHeight w:val="260"/>
        </w:trPr>
        <w:tc>
          <w:tcPr>
            <w:tcW w:w="1782" w:type="dxa"/>
            <w:tcBorders>
              <w:top w:val="nil"/>
              <w:left w:val="nil"/>
              <w:bottom w:val="nil"/>
              <w:right w:val="nil"/>
            </w:tcBorders>
            <w:shd w:val="clear" w:color="auto" w:fill="auto"/>
            <w:noWrap/>
            <w:vAlign w:val="center"/>
            <w:hideMark/>
          </w:tcPr>
          <w:p w14:paraId="0774C5E4"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NKÚ SR</w:t>
            </w:r>
          </w:p>
        </w:tc>
        <w:tc>
          <w:tcPr>
            <w:tcW w:w="7290" w:type="dxa"/>
            <w:tcBorders>
              <w:top w:val="nil"/>
              <w:left w:val="nil"/>
              <w:bottom w:val="nil"/>
              <w:right w:val="nil"/>
            </w:tcBorders>
            <w:shd w:val="clear" w:color="auto" w:fill="auto"/>
            <w:vAlign w:val="center"/>
            <w:hideMark/>
          </w:tcPr>
          <w:p w14:paraId="25D87BBE"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Najvyšší kontrolný úrad Slovenskej republiky</w:t>
            </w:r>
          </w:p>
        </w:tc>
      </w:tr>
      <w:tr w:rsidR="00DE1D2A" w:rsidRPr="00666914" w14:paraId="47DE1680" w14:textId="77777777" w:rsidTr="00DE1D2A">
        <w:trPr>
          <w:trHeight w:val="260"/>
        </w:trPr>
        <w:tc>
          <w:tcPr>
            <w:tcW w:w="1782" w:type="dxa"/>
            <w:tcBorders>
              <w:top w:val="nil"/>
              <w:left w:val="nil"/>
              <w:bottom w:val="nil"/>
              <w:right w:val="nil"/>
            </w:tcBorders>
            <w:shd w:val="clear" w:color="auto" w:fill="auto"/>
            <w:noWrap/>
            <w:vAlign w:val="center"/>
            <w:hideMark/>
          </w:tcPr>
          <w:p w14:paraId="69CB30F7"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NLC</w:t>
            </w:r>
          </w:p>
        </w:tc>
        <w:tc>
          <w:tcPr>
            <w:tcW w:w="7290" w:type="dxa"/>
            <w:tcBorders>
              <w:top w:val="nil"/>
              <w:left w:val="nil"/>
              <w:bottom w:val="nil"/>
              <w:right w:val="nil"/>
            </w:tcBorders>
            <w:shd w:val="clear" w:color="auto" w:fill="auto"/>
            <w:noWrap/>
            <w:vAlign w:val="bottom"/>
            <w:hideMark/>
          </w:tcPr>
          <w:p w14:paraId="332259DC"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Národné lesnícke centrum</w:t>
            </w:r>
          </w:p>
        </w:tc>
      </w:tr>
      <w:tr w:rsidR="00DE1D2A" w:rsidRPr="00666914" w14:paraId="16D55969" w14:textId="77777777" w:rsidTr="00DE1D2A">
        <w:trPr>
          <w:trHeight w:val="260"/>
        </w:trPr>
        <w:tc>
          <w:tcPr>
            <w:tcW w:w="1782" w:type="dxa"/>
            <w:tcBorders>
              <w:top w:val="nil"/>
              <w:left w:val="nil"/>
              <w:bottom w:val="nil"/>
              <w:right w:val="nil"/>
            </w:tcBorders>
            <w:shd w:val="clear" w:color="auto" w:fill="auto"/>
            <w:noWrap/>
            <w:vAlign w:val="center"/>
            <w:hideMark/>
          </w:tcPr>
          <w:p w14:paraId="2E121494"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NO </w:t>
            </w:r>
          </w:p>
        </w:tc>
        <w:tc>
          <w:tcPr>
            <w:tcW w:w="7290" w:type="dxa"/>
            <w:tcBorders>
              <w:top w:val="nil"/>
              <w:left w:val="nil"/>
              <w:bottom w:val="nil"/>
              <w:right w:val="nil"/>
            </w:tcBorders>
            <w:shd w:val="clear" w:color="auto" w:fill="auto"/>
            <w:vAlign w:val="center"/>
            <w:hideMark/>
          </w:tcPr>
          <w:p w14:paraId="06AC30B6"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neodkladné opatrenie </w:t>
            </w:r>
          </w:p>
        </w:tc>
      </w:tr>
      <w:tr w:rsidR="00DE1D2A" w:rsidRPr="00666914" w14:paraId="62BB5FC5" w14:textId="77777777" w:rsidTr="00122DB4">
        <w:trPr>
          <w:trHeight w:val="260"/>
        </w:trPr>
        <w:tc>
          <w:tcPr>
            <w:tcW w:w="1782" w:type="dxa"/>
            <w:tcBorders>
              <w:top w:val="nil"/>
              <w:left w:val="nil"/>
              <w:bottom w:val="nil"/>
              <w:right w:val="nil"/>
            </w:tcBorders>
            <w:shd w:val="clear" w:color="auto" w:fill="auto"/>
            <w:noWrap/>
            <w:vAlign w:val="center"/>
            <w:hideMark/>
          </w:tcPr>
          <w:p w14:paraId="11D3D9D4"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NP</w:t>
            </w:r>
          </w:p>
        </w:tc>
        <w:tc>
          <w:tcPr>
            <w:tcW w:w="7290" w:type="dxa"/>
            <w:tcBorders>
              <w:top w:val="nil"/>
              <w:left w:val="nil"/>
              <w:bottom w:val="nil"/>
              <w:right w:val="nil"/>
            </w:tcBorders>
            <w:shd w:val="clear" w:color="auto" w:fill="auto"/>
            <w:vAlign w:val="center"/>
            <w:hideMark/>
          </w:tcPr>
          <w:p w14:paraId="075854D7" w14:textId="5265003E" w:rsidR="00DE1D2A" w:rsidRPr="00666914" w:rsidRDefault="00DE1D2A" w:rsidP="00DE1D2A">
            <w:pPr>
              <w:spacing w:after="0"/>
              <w:jc w:val="left"/>
              <w:rPr>
                <w:rFonts w:eastAsia="Times New Roman"/>
                <w:sz w:val="20"/>
                <w:szCs w:val="20"/>
                <w:lang w:eastAsia="sk-SK"/>
              </w:rPr>
            </w:pPr>
            <w:r w:rsidRPr="00666914">
              <w:rPr>
                <w:rFonts w:eastAsia="Times New Roman"/>
                <w:sz w:val="20"/>
                <w:szCs w:val="20"/>
                <w:lang w:eastAsia="sk-SK"/>
              </w:rPr>
              <w:t>národný park</w:t>
            </w:r>
            <w:r w:rsidR="00122DB4" w:rsidRPr="00666914">
              <w:rPr>
                <w:rFonts w:eastAsia="Times New Roman"/>
                <w:sz w:val="20"/>
                <w:szCs w:val="20"/>
                <w:lang w:eastAsia="sk-SK"/>
              </w:rPr>
              <w:t xml:space="preserve"> / národný projekt </w:t>
            </w:r>
          </w:p>
        </w:tc>
      </w:tr>
      <w:tr w:rsidR="00DE1D2A" w:rsidRPr="00666914" w14:paraId="5ED3494A" w14:textId="77777777" w:rsidTr="00DE1D2A">
        <w:trPr>
          <w:trHeight w:val="260"/>
        </w:trPr>
        <w:tc>
          <w:tcPr>
            <w:tcW w:w="1782" w:type="dxa"/>
            <w:tcBorders>
              <w:top w:val="nil"/>
              <w:left w:val="nil"/>
              <w:bottom w:val="nil"/>
              <w:right w:val="nil"/>
            </w:tcBorders>
            <w:shd w:val="clear" w:color="auto" w:fill="auto"/>
            <w:noWrap/>
            <w:vAlign w:val="center"/>
            <w:hideMark/>
          </w:tcPr>
          <w:p w14:paraId="63CDD77C"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NP DEI NS III</w:t>
            </w:r>
          </w:p>
        </w:tc>
        <w:tc>
          <w:tcPr>
            <w:tcW w:w="7290" w:type="dxa"/>
            <w:tcBorders>
              <w:top w:val="nil"/>
              <w:left w:val="nil"/>
              <w:bottom w:val="nil"/>
              <w:right w:val="nil"/>
            </w:tcBorders>
            <w:shd w:val="clear" w:color="auto" w:fill="auto"/>
            <w:noWrap/>
            <w:vAlign w:val="center"/>
            <w:hideMark/>
          </w:tcPr>
          <w:p w14:paraId="6AD09439"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Národný projekt podpora deinštitucionalizácie náhradnej starostlivosti</w:t>
            </w:r>
          </w:p>
        </w:tc>
      </w:tr>
      <w:tr w:rsidR="00DE1D2A" w:rsidRPr="00666914" w14:paraId="44A34EF2" w14:textId="77777777" w:rsidTr="00DE1D2A">
        <w:trPr>
          <w:trHeight w:val="260"/>
        </w:trPr>
        <w:tc>
          <w:tcPr>
            <w:tcW w:w="1782" w:type="dxa"/>
            <w:tcBorders>
              <w:top w:val="nil"/>
              <w:left w:val="nil"/>
              <w:bottom w:val="nil"/>
              <w:right w:val="nil"/>
            </w:tcBorders>
            <w:shd w:val="clear" w:color="auto" w:fill="auto"/>
            <w:noWrap/>
            <w:vAlign w:val="center"/>
            <w:hideMark/>
          </w:tcPr>
          <w:p w14:paraId="6AAF7C03"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NP DI NS</w:t>
            </w:r>
          </w:p>
        </w:tc>
        <w:tc>
          <w:tcPr>
            <w:tcW w:w="7290" w:type="dxa"/>
            <w:tcBorders>
              <w:top w:val="nil"/>
              <w:left w:val="nil"/>
              <w:bottom w:val="nil"/>
              <w:right w:val="nil"/>
            </w:tcBorders>
            <w:shd w:val="clear" w:color="auto" w:fill="auto"/>
            <w:noWrap/>
            <w:vAlign w:val="center"/>
            <w:hideMark/>
          </w:tcPr>
          <w:p w14:paraId="69358103"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Národný projekt podpora deinštitucionalizácie náhradnej starostlivosti v zariadeniach</w:t>
            </w:r>
          </w:p>
        </w:tc>
      </w:tr>
      <w:tr w:rsidR="00DE1D2A" w:rsidRPr="00666914" w14:paraId="3A8BC16A" w14:textId="77777777" w:rsidTr="00DE1D2A">
        <w:trPr>
          <w:trHeight w:val="260"/>
        </w:trPr>
        <w:tc>
          <w:tcPr>
            <w:tcW w:w="1782" w:type="dxa"/>
            <w:tcBorders>
              <w:top w:val="nil"/>
              <w:left w:val="nil"/>
              <w:bottom w:val="nil"/>
              <w:right w:val="nil"/>
            </w:tcBorders>
            <w:shd w:val="clear" w:color="auto" w:fill="auto"/>
            <w:noWrap/>
            <w:vAlign w:val="center"/>
            <w:hideMark/>
          </w:tcPr>
          <w:p w14:paraId="4818613F"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NP ESKO 2</w:t>
            </w:r>
          </w:p>
        </w:tc>
        <w:tc>
          <w:tcPr>
            <w:tcW w:w="7290" w:type="dxa"/>
            <w:tcBorders>
              <w:top w:val="nil"/>
              <w:left w:val="nil"/>
              <w:bottom w:val="nil"/>
              <w:right w:val="nil"/>
            </w:tcBorders>
            <w:shd w:val="clear" w:color="auto" w:fill="auto"/>
            <w:noWrap/>
            <w:vAlign w:val="center"/>
            <w:hideMark/>
          </w:tcPr>
          <w:p w14:paraId="6A5784BA"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Národný projekt - Efektívnymi službami k občanovi 2 </w:t>
            </w:r>
          </w:p>
        </w:tc>
      </w:tr>
      <w:tr w:rsidR="00DE1D2A" w:rsidRPr="00666914" w14:paraId="64844CCA" w14:textId="77777777" w:rsidTr="00DE1D2A">
        <w:trPr>
          <w:trHeight w:val="260"/>
        </w:trPr>
        <w:tc>
          <w:tcPr>
            <w:tcW w:w="1782" w:type="dxa"/>
            <w:tcBorders>
              <w:top w:val="nil"/>
              <w:left w:val="nil"/>
              <w:bottom w:val="nil"/>
              <w:right w:val="nil"/>
            </w:tcBorders>
            <w:shd w:val="clear" w:color="auto" w:fill="auto"/>
            <w:noWrap/>
            <w:vAlign w:val="center"/>
            <w:hideMark/>
          </w:tcPr>
          <w:p w14:paraId="1E87E44A"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NP PIP</w:t>
            </w:r>
          </w:p>
        </w:tc>
        <w:tc>
          <w:tcPr>
            <w:tcW w:w="7290" w:type="dxa"/>
            <w:tcBorders>
              <w:top w:val="nil"/>
              <w:left w:val="nil"/>
              <w:bottom w:val="nil"/>
              <w:right w:val="nil"/>
            </w:tcBorders>
            <w:shd w:val="clear" w:color="auto" w:fill="auto"/>
            <w:noWrap/>
            <w:vAlign w:val="center"/>
            <w:hideMark/>
          </w:tcPr>
          <w:p w14:paraId="5E4DAA1F"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Národný projekt podpora individualizovaného poradenstva pre dlhodobo nezamestnaných</w:t>
            </w:r>
          </w:p>
        </w:tc>
      </w:tr>
      <w:tr w:rsidR="00DE1D2A" w:rsidRPr="00666914" w14:paraId="028DB0BE" w14:textId="77777777" w:rsidTr="00332167">
        <w:trPr>
          <w:trHeight w:val="260"/>
        </w:trPr>
        <w:tc>
          <w:tcPr>
            <w:tcW w:w="1782" w:type="dxa"/>
            <w:tcBorders>
              <w:top w:val="nil"/>
              <w:left w:val="nil"/>
              <w:bottom w:val="nil"/>
              <w:right w:val="nil"/>
            </w:tcBorders>
            <w:shd w:val="clear" w:color="auto" w:fill="auto"/>
            <w:noWrap/>
            <w:vAlign w:val="center"/>
            <w:hideMark/>
          </w:tcPr>
          <w:p w14:paraId="4282BFF1" w14:textId="4B6768C2"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NPR</w:t>
            </w:r>
            <w:r w:rsidR="00332167" w:rsidRPr="00666914">
              <w:rPr>
                <w:rFonts w:eastAsia="Times New Roman"/>
                <w:b/>
                <w:bCs/>
                <w:color w:val="000000"/>
                <w:sz w:val="20"/>
                <w:szCs w:val="20"/>
                <w:lang w:eastAsia="sk-SK"/>
              </w:rPr>
              <w:t xml:space="preserve"> 2019</w:t>
            </w:r>
          </w:p>
        </w:tc>
        <w:tc>
          <w:tcPr>
            <w:tcW w:w="7290" w:type="dxa"/>
            <w:tcBorders>
              <w:top w:val="nil"/>
              <w:left w:val="nil"/>
              <w:bottom w:val="nil"/>
              <w:right w:val="nil"/>
            </w:tcBorders>
            <w:shd w:val="clear" w:color="auto" w:fill="auto"/>
            <w:noWrap/>
            <w:vAlign w:val="center"/>
            <w:hideMark/>
          </w:tcPr>
          <w:p w14:paraId="2D0A633C" w14:textId="52A3FDD3"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Národný program reforiem</w:t>
            </w:r>
            <w:r w:rsidR="00332167" w:rsidRPr="00666914">
              <w:rPr>
                <w:rFonts w:eastAsia="Times New Roman"/>
                <w:color w:val="000000"/>
                <w:sz w:val="20"/>
                <w:szCs w:val="20"/>
                <w:lang w:eastAsia="sk-SK"/>
              </w:rPr>
              <w:t xml:space="preserve"> 2019</w:t>
            </w:r>
          </w:p>
        </w:tc>
      </w:tr>
      <w:tr w:rsidR="00DE1D2A" w:rsidRPr="00666914" w14:paraId="016F36A9" w14:textId="77777777" w:rsidTr="00DE1D2A">
        <w:trPr>
          <w:trHeight w:val="260"/>
        </w:trPr>
        <w:tc>
          <w:tcPr>
            <w:tcW w:w="1782" w:type="dxa"/>
            <w:tcBorders>
              <w:top w:val="nil"/>
              <w:left w:val="nil"/>
              <w:bottom w:val="nil"/>
              <w:right w:val="nil"/>
            </w:tcBorders>
            <w:shd w:val="clear" w:color="auto" w:fill="auto"/>
            <w:noWrap/>
            <w:vAlign w:val="center"/>
            <w:hideMark/>
          </w:tcPr>
          <w:p w14:paraId="60E062D7" w14:textId="77777777" w:rsidR="00DE1D2A" w:rsidRPr="00666914" w:rsidRDefault="00DE1D2A" w:rsidP="00DE1D2A">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NR SR</w:t>
            </w:r>
          </w:p>
        </w:tc>
        <w:tc>
          <w:tcPr>
            <w:tcW w:w="7290" w:type="dxa"/>
            <w:tcBorders>
              <w:top w:val="nil"/>
              <w:left w:val="nil"/>
              <w:bottom w:val="nil"/>
              <w:right w:val="nil"/>
            </w:tcBorders>
            <w:shd w:val="clear" w:color="auto" w:fill="auto"/>
            <w:noWrap/>
            <w:vAlign w:val="center"/>
            <w:hideMark/>
          </w:tcPr>
          <w:p w14:paraId="1B3CAAC0" w14:textId="77777777" w:rsidR="00DE1D2A" w:rsidRPr="00666914" w:rsidRDefault="00DE1D2A" w:rsidP="00DE1D2A">
            <w:pPr>
              <w:spacing w:after="0"/>
              <w:jc w:val="left"/>
              <w:rPr>
                <w:rFonts w:eastAsia="Times New Roman"/>
                <w:color w:val="000000"/>
                <w:sz w:val="20"/>
                <w:szCs w:val="20"/>
                <w:lang w:eastAsia="sk-SK"/>
              </w:rPr>
            </w:pPr>
            <w:r w:rsidRPr="00666914">
              <w:rPr>
                <w:rFonts w:eastAsia="Times New Roman"/>
                <w:color w:val="000000"/>
                <w:sz w:val="20"/>
                <w:szCs w:val="20"/>
                <w:lang w:eastAsia="sk-SK"/>
              </w:rPr>
              <w:t>Národná rada Slovenskej republiky</w:t>
            </w:r>
          </w:p>
        </w:tc>
      </w:tr>
      <w:tr w:rsidR="00F22309" w:rsidRPr="00666914" w14:paraId="55A700F4" w14:textId="77777777" w:rsidTr="00DE1D2A">
        <w:trPr>
          <w:trHeight w:val="260"/>
        </w:trPr>
        <w:tc>
          <w:tcPr>
            <w:tcW w:w="1782" w:type="dxa"/>
            <w:tcBorders>
              <w:top w:val="nil"/>
              <w:left w:val="nil"/>
              <w:bottom w:val="nil"/>
              <w:right w:val="nil"/>
            </w:tcBorders>
            <w:shd w:val="clear" w:color="auto" w:fill="auto"/>
            <w:noWrap/>
            <w:vAlign w:val="center"/>
          </w:tcPr>
          <w:p w14:paraId="3A904F5B" w14:textId="554708AE"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NŠ</w:t>
            </w:r>
          </w:p>
        </w:tc>
        <w:tc>
          <w:tcPr>
            <w:tcW w:w="7290" w:type="dxa"/>
            <w:tcBorders>
              <w:top w:val="nil"/>
              <w:left w:val="nil"/>
              <w:bottom w:val="nil"/>
              <w:right w:val="nil"/>
            </w:tcBorders>
            <w:shd w:val="clear" w:color="auto" w:fill="auto"/>
            <w:noWrap/>
            <w:vAlign w:val="center"/>
          </w:tcPr>
          <w:p w14:paraId="4D411A9E" w14:textId="2124F126"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Národný štadión</w:t>
            </w:r>
          </w:p>
        </w:tc>
      </w:tr>
      <w:tr w:rsidR="00F22309" w:rsidRPr="00666914" w14:paraId="033DA2DF" w14:textId="77777777" w:rsidTr="00DE1D2A">
        <w:trPr>
          <w:trHeight w:val="260"/>
        </w:trPr>
        <w:tc>
          <w:tcPr>
            <w:tcW w:w="1782" w:type="dxa"/>
            <w:tcBorders>
              <w:top w:val="nil"/>
              <w:left w:val="nil"/>
              <w:bottom w:val="nil"/>
              <w:right w:val="nil"/>
            </w:tcBorders>
            <w:shd w:val="clear" w:color="auto" w:fill="auto"/>
            <w:noWrap/>
            <w:vAlign w:val="center"/>
            <w:hideMark/>
          </w:tcPr>
          <w:p w14:paraId="229099A2"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NÚCEM </w:t>
            </w:r>
          </w:p>
        </w:tc>
        <w:tc>
          <w:tcPr>
            <w:tcW w:w="7290" w:type="dxa"/>
            <w:tcBorders>
              <w:top w:val="nil"/>
              <w:left w:val="nil"/>
              <w:bottom w:val="nil"/>
              <w:right w:val="nil"/>
            </w:tcBorders>
            <w:shd w:val="clear" w:color="auto" w:fill="auto"/>
            <w:vAlign w:val="center"/>
            <w:hideMark/>
          </w:tcPr>
          <w:p w14:paraId="2062A416"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Národný ústav certifikovaných meraní </w:t>
            </w:r>
          </w:p>
        </w:tc>
      </w:tr>
      <w:tr w:rsidR="00F22309" w:rsidRPr="00666914" w14:paraId="134155A8" w14:textId="77777777" w:rsidTr="00DE1D2A">
        <w:trPr>
          <w:trHeight w:val="260"/>
        </w:trPr>
        <w:tc>
          <w:tcPr>
            <w:tcW w:w="1782" w:type="dxa"/>
            <w:tcBorders>
              <w:top w:val="nil"/>
              <w:left w:val="nil"/>
              <w:bottom w:val="nil"/>
              <w:right w:val="nil"/>
            </w:tcBorders>
            <w:shd w:val="clear" w:color="auto" w:fill="auto"/>
            <w:noWrap/>
            <w:vAlign w:val="center"/>
            <w:hideMark/>
          </w:tcPr>
          <w:p w14:paraId="6E9DE9B0"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NÚCŽV </w:t>
            </w:r>
          </w:p>
        </w:tc>
        <w:tc>
          <w:tcPr>
            <w:tcW w:w="7290" w:type="dxa"/>
            <w:tcBorders>
              <w:top w:val="nil"/>
              <w:left w:val="nil"/>
              <w:bottom w:val="nil"/>
              <w:right w:val="nil"/>
            </w:tcBorders>
            <w:shd w:val="clear" w:color="auto" w:fill="auto"/>
            <w:vAlign w:val="center"/>
            <w:hideMark/>
          </w:tcPr>
          <w:p w14:paraId="3B1AEEA0"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Národný ústav celoživotného vzdelávania </w:t>
            </w:r>
          </w:p>
        </w:tc>
      </w:tr>
      <w:tr w:rsidR="00F22309" w:rsidRPr="00666914" w14:paraId="4552850E" w14:textId="77777777" w:rsidTr="00DE1D2A">
        <w:trPr>
          <w:trHeight w:val="260"/>
        </w:trPr>
        <w:tc>
          <w:tcPr>
            <w:tcW w:w="1782" w:type="dxa"/>
            <w:tcBorders>
              <w:top w:val="nil"/>
              <w:left w:val="nil"/>
              <w:bottom w:val="nil"/>
              <w:right w:val="nil"/>
            </w:tcBorders>
            <w:shd w:val="clear" w:color="auto" w:fill="auto"/>
            <w:noWrap/>
            <w:vAlign w:val="center"/>
            <w:hideMark/>
          </w:tcPr>
          <w:p w14:paraId="4C7FC63A"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NÚDCH BA</w:t>
            </w:r>
          </w:p>
        </w:tc>
        <w:tc>
          <w:tcPr>
            <w:tcW w:w="7290" w:type="dxa"/>
            <w:tcBorders>
              <w:top w:val="nil"/>
              <w:left w:val="nil"/>
              <w:bottom w:val="nil"/>
              <w:right w:val="nil"/>
            </w:tcBorders>
            <w:shd w:val="clear" w:color="auto" w:fill="auto"/>
            <w:noWrap/>
            <w:vAlign w:val="bottom"/>
            <w:hideMark/>
          </w:tcPr>
          <w:p w14:paraId="5CE481C0"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Národný ústav detských chorôb Bratislava</w:t>
            </w:r>
          </w:p>
        </w:tc>
      </w:tr>
      <w:tr w:rsidR="00F22309" w:rsidRPr="00666914" w14:paraId="5B440976" w14:textId="77777777" w:rsidTr="00DE1D2A">
        <w:trPr>
          <w:trHeight w:val="260"/>
        </w:trPr>
        <w:tc>
          <w:tcPr>
            <w:tcW w:w="1782" w:type="dxa"/>
            <w:tcBorders>
              <w:top w:val="nil"/>
              <w:left w:val="nil"/>
              <w:bottom w:val="nil"/>
              <w:right w:val="nil"/>
            </w:tcBorders>
            <w:shd w:val="clear" w:color="auto" w:fill="auto"/>
            <w:noWrap/>
            <w:vAlign w:val="center"/>
            <w:hideMark/>
          </w:tcPr>
          <w:p w14:paraId="09C74FEB"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OAVP</w:t>
            </w:r>
          </w:p>
        </w:tc>
        <w:tc>
          <w:tcPr>
            <w:tcW w:w="7290" w:type="dxa"/>
            <w:tcBorders>
              <w:top w:val="nil"/>
              <w:left w:val="nil"/>
              <w:bottom w:val="nil"/>
              <w:right w:val="nil"/>
            </w:tcBorders>
            <w:shd w:val="clear" w:color="auto" w:fill="auto"/>
            <w:noWrap/>
            <w:vAlign w:val="center"/>
            <w:hideMark/>
          </w:tcPr>
          <w:p w14:paraId="3E519814"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Odbor analýz vzdelávacej politiky</w:t>
            </w:r>
          </w:p>
        </w:tc>
      </w:tr>
      <w:tr w:rsidR="00F22309" w:rsidRPr="00666914" w14:paraId="58B7B472" w14:textId="77777777" w:rsidTr="00DE1D2A">
        <w:trPr>
          <w:trHeight w:val="260"/>
        </w:trPr>
        <w:tc>
          <w:tcPr>
            <w:tcW w:w="1782" w:type="dxa"/>
            <w:tcBorders>
              <w:top w:val="nil"/>
              <w:left w:val="nil"/>
              <w:bottom w:val="nil"/>
              <w:right w:val="nil"/>
            </w:tcBorders>
            <w:shd w:val="clear" w:color="auto" w:fill="auto"/>
            <w:noWrap/>
            <w:vAlign w:val="center"/>
            <w:hideMark/>
          </w:tcPr>
          <w:p w14:paraId="5C2BD7AC"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OECD</w:t>
            </w:r>
          </w:p>
        </w:tc>
        <w:tc>
          <w:tcPr>
            <w:tcW w:w="7290" w:type="dxa"/>
            <w:tcBorders>
              <w:top w:val="nil"/>
              <w:left w:val="nil"/>
              <w:bottom w:val="nil"/>
              <w:right w:val="nil"/>
            </w:tcBorders>
            <w:shd w:val="clear" w:color="auto" w:fill="auto"/>
            <w:noWrap/>
            <w:vAlign w:val="center"/>
            <w:hideMark/>
          </w:tcPr>
          <w:p w14:paraId="18FDB93A"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Organizácia pre hospodársku spoluprácu a rozvoj </w:t>
            </w:r>
          </w:p>
        </w:tc>
      </w:tr>
      <w:tr w:rsidR="00F22309" w:rsidRPr="00666914" w14:paraId="40211421" w14:textId="77777777" w:rsidTr="00DE1D2A">
        <w:trPr>
          <w:trHeight w:val="260"/>
        </w:trPr>
        <w:tc>
          <w:tcPr>
            <w:tcW w:w="1782" w:type="dxa"/>
            <w:tcBorders>
              <w:top w:val="nil"/>
              <w:left w:val="nil"/>
              <w:bottom w:val="nil"/>
              <w:right w:val="nil"/>
            </w:tcBorders>
            <w:shd w:val="clear" w:color="auto" w:fill="auto"/>
            <w:noWrap/>
            <w:vAlign w:val="center"/>
            <w:hideMark/>
          </w:tcPr>
          <w:p w14:paraId="1A92531B"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OP</w:t>
            </w:r>
          </w:p>
        </w:tc>
        <w:tc>
          <w:tcPr>
            <w:tcW w:w="7290" w:type="dxa"/>
            <w:tcBorders>
              <w:top w:val="nil"/>
              <w:left w:val="nil"/>
              <w:bottom w:val="nil"/>
              <w:right w:val="nil"/>
            </w:tcBorders>
            <w:shd w:val="clear" w:color="auto" w:fill="auto"/>
            <w:vAlign w:val="center"/>
            <w:hideMark/>
          </w:tcPr>
          <w:p w14:paraId="7A8AF68A"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občiansky preukaz</w:t>
            </w:r>
          </w:p>
        </w:tc>
      </w:tr>
      <w:tr w:rsidR="00F22309" w:rsidRPr="00666914" w14:paraId="609EA842" w14:textId="77777777" w:rsidTr="00DE1D2A">
        <w:trPr>
          <w:trHeight w:val="260"/>
        </w:trPr>
        <w:tc>
          <w:tcPr>
            <w:tcW w:w="1782" w:type="dxa"/>
            <w:tcBorders>
              <w:top w:val="nil"/>
              <w:left w:val="nil"/>
              <w:bottom w:val="nil"/>
              <w:right w:val="nil"/>
            </w:tcBorders>
            <w:shd w:val="clear" w:color="auto" w:fill="auto"/>
            <w:noWrap/>
            <w:vAlign w:val="center"/>
            <w:hideMark/>
          </w:tcPr>
          <w:p w14:paraId="500E038A"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OP KŽP</w:t>
            </w:r>
          </w:p>
        </w:tc>
        <w:tc>
          <w:tcPr>
            <w:tcW w:w="7290" w:type="dxa"/>
            <w:tcBorders>
              <w:top w:val="nil"/>
              <w:left w:val="nil"/>
              <w:bottom w:val="nil"/>
              <w:right w:val="nil"/>
            </w:tcBorders>
            <w:shd w:val="clear" w:color="auto" w:fill="auto"/>
            <w:vAlign w:val="center"/>
            <w:hideMark/>
          </w:tcPr>
          <w:p w14:paraId="44AA9EE6"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Operačný program Kvalita životného prostredia</w:t>
            </w:r>
          </w:p>
        </w:tc>
      </w:tr>
      <w:tr w:rsidR="00F22309" w:rsidRPr="00666914" w14:paraId="02956F9E" w14:textId="77777777" w:rsidTr="00DE1D2A">
        <w:trPr>
          <w:trHeight w:val="260"/>
        </w:trPr>
        <w:tc>
          <w:tcPr>
            <w:tcW w:w="1782" w:type="dxa"/>
            <w:tcBorders>
              <w:top w:val="nil"/>
              <w:left w:val="nil"/>
              <w:bottom w:val="nil"/>
              <w:right w:val="nil"/>
            </w:tcBorders>
            <w:shd w:val="clear" w:color="auto" w:fill="auto"/>
            <w:noWrap/>
            <w:vAlign w:val="center"/>
            <w:hideMark/>
          </w:tcPr>
          <w:p w14:paraId="41A9C97D"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OP ŽP</w:t>
            </w:r>
          </w:p>
        </w:tc>
        <w:tc>
          <w:tcPr>
            <w:tcW w:w="7290" w:type="dxa"/>
            <w:tcBorders>
              <w:top w:val="nil"/>
              <w:left w:val="nil"/>
              <w:bottom w:val="nil"/>
              <w:right w:val="nil"/>
            </w:tcBorders>
            <w:shd w:val="clear" w:color="auto" w:fill="auto"/>
            <w:vAlign w:val="center"/>
            <w:hideMark/>
          </w:tcPr>
          <w:p w14:paraId="29A38E43"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Operačný program Životné prostredie</w:t>
            </w:r>
          </w:p>
        </w:tc>
      </w:tr>
      <w:tr w:rsidR="00F22309" w:rsidRPr="00666914" w14:paraId="356E78EA" w14:textId="77777777" w:rsidTr="00DE1D2A">
        <w:trPr>
          <w:trHeight w:val="260"/>
        </w:trPr>
        <w:tc>
          <w:tcPr>
            <w:tcW w:w="1782" w:type="dxa"/>
            <w:tcBorders>
              <w:top w:val="nil"/>
              <w:left w:val="nil"/>
              <w:bottom w:val="nil"/>
              <w:right w:val="nil"/>
            </w:tcBorders>
            <w:shd w:val="clear" w:color="auto" w:fill="auto"/>
            <w:noWrap/>
            <w:vAlign w:val="center"/>
            <w:hideMark/>
          </w:tcPr>
          <w:p w14:paraId="39E7BA9E"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OPII</w:t>
            </w:r>
          </w:p>
        </w:tc>
        <w:tc>
          <w:tcPr>
            <w:tcW w:w="7290" w:type="dxa"/>
            <w:tcBorders>
              <w:top w:val="nil"/>
              <w:left w:val="nil"/>
              <w:bottom w:val="nil"/>
              <w:right w:val="nil"/>
            </w:tcBorders>
            <w:shd w:val="clear" w:color="auto" w:fill="auto"/>
            <w:vAlign w:val="center"/>
            <w:hideMark/>
          </w:tcPr>
          <w:p w14:paraId="09EF1E6A"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Operačný program Integrovaná infraštruktúra</w:t>
            </w:r>
          </w:p>
        </w:tc>
      </w:tr>
      <w:tr w:rsidR="00F22309" w:rsidRPr="00666914" w14:paraId="2BADAF36" w14:textId="77777777" w:rsidTr="00DE1D2A">
        <w:trPr>
          <w:trHeight w:val="260"/>
        </w:trPr>
        <w:tc>
          <w:tcPr>
            <w:tcW w:w="1782" w:type="dxa"/>
            <w:tcBorders>
              <w:top w:val="nil"/>
              <w:left w:val="nil"/>
              <w:bottom w:val="nil"/>
              <w:right w:val="nil"/>
            </w:tcBorders>
            <w:shd w:val="clear" w:color="auto" w:fill="auto"/>
            <w:noWrap/>
            <w:vAlign w:val="center"/>
            <w:hideMark/>
          </w:tcPr>
          <w:p w14:paraId="6A216985"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OPIS</w:t>
            </w:r>
          </w:p>
        </w:tc>
        <w:tc>
          <w:tcPr>
            <w:tcW w:w="7290" w:type="dxa"/>
            <w:tcBorders>
              <w:top w:val="nil"/>
              <w:left w:val="nil"/>
              <w:bottom w:val="nil"/>
              <w:right w:val="nil"/>
            </w:tcBorders>
            <w:shd w:val="clear" w:color="auto" w:fill="auto"/>
            <w:vAlign w:val="bottom"/>
            <w:hideMark/>
          </w:tcPr>
          <w:p w14:paraId="1ED9FC38"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Operačný program informatizácia spoločnosti</w:t>
            </w:r>
          </w:p>
        </w:tc>
      </w:tr>
      <w:tr w:rsidR="00F22309" w:rsidRPr="00666914" w14:paraId="2BF31D86" w14:textId="77777777" w:rsidTr="00DE1D2A">
        <w:trPr>
          <w:trHeight w:val="260"/>
        </w:trPr>
        <w:tc>
          <w:tcPr>
            <w:tcW w:w="1782" w:type="dxa"/>
            <w:tcBorders>
              <w:top w:val="nil"/>
              <w:left w:val="nil"/>
              <w:bottom w:val="nil"/>
              <w:right w:val="nil"/>
            </w:tcBorders>
            <w:shd w:val="clear" w:color="auto" w:fill="auto"/>
            <w:noWrap/>
            <w:vAlign w:val="center"/>
            <w:hideMark/>
          </w:tcPr>
          <w:p w14:paraId="41276D4E"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OPS</w:t>
            </w:r>
          </w:p>
        </w:tc>
        <w:tc>
          <w:tcPr>
            <w:tcW w:w="7290" w:type="dxa"/>
            <w:tcBorders>
              <w:top w:val="nil"/>
              <w:left w:val="nil"/>
              <w:bottom w:val="nil"/>
              <w:right w:val="nil"/>
            </w:tcBorders>
            <w:shd w:val="clear" w:color="auto" w:fill="auto"/>
            <w:vAlign w:val="center"/>
            <w:hideMark/>
          </w:tcPr>
          <w:p w14:paraId="20991624"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Odborná pracovná skupina</w:t>
            </w:r>
          </w:p>
        </w:tc>
      </w:tr>
      <w:tr w:rsidR="00F22309" w:rsidRPr="00666914" w14:paraId="0D4EBF3C" w14:textId="77777777" w:rsidTr="00DE1D2A">
        <w:trPr>
          <w:trHeight w:val="260"/>
        </w:trPr>
        <w:tc>
          <w:tcPr>
            <w:tcW w:w="1782" w:type="dxa"/>
            <w:tcBorders>
              <w:top w:val="nil"/>
              <w:left w:val="nil"/>
              <w:bottom w:val="nil"/>
              <w:right w:val="nil"/>
            </w:tcBorders>
            <w:shd w:val="clear" w:color="auto" w:fill="auto"/>
            <w:noWrap/>
            <w:vAlign w:val="center"/>
            <w:hideMark/>
          </w:tcPr>
          <w:p w14:paraId="28C06B3B"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OSO</w:t>
            </w:r>
          </w:p>
        </w:tc>
        <w:tc>
          <w:tcPr>
            <w:tcW w:w="7290" w:type="dxa"/>
            <w:tcBorders>
              <w:top w:val="nil"/>
              <w:left w:val="nil"/>
              <w:bottom w:val="nil"/>
              <w:right w:val="nil"/>
            </w:tcBorders>
            <w:shd w:val="clear" w:color="auto" w:fill="auto"/>
            <w:noWrap/>
            <w:vAlign w:val="center"/>
            <w:hideMark/>
          </w:tcPr>
          <w:p w14:paraId="78DE9032"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oddelenie služieb zamestnanosti</w:t>
            </w:r>
          </w:p>
        </w:tc>
      </w:tr>
      <w:tr w:rsidR="00F22309" w:rsidRPr="00666914" w14:paraId="7D79D45D" w14:textId="77777777" w:rsidTr="00DE1D2A">
        <w:trPr>
          <w:trHeight w:val="260"/>
        </w:trPr>
        <w:tc>
          <w:tcPr>
            <w:tcW w:w="1782" w:type="dxa"/>
            <w:tcBorders>
              <w:top w:val="nil"/>
              <w:left w:val="nil"/>
              <w:bottom w:val="nil"/>
              <w:right w:val="nil"/>
            </w:tcBorders>
            <w:shd w:val="clear" w:color="auto" w:fill="auto"/>
            <w:noWrap/>
            <w:vAlign w:val="center"/>
            <w:hideMark/>
          </w:tcPr>
          <w:p w14:paraId="210B1805"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OÚ </w:t>
            </w:r>
          </w:p>
        </w:tc>
        <w:tc>
          <w:tcPr>
            <w:tcW w:w="7290" w:type="dxa"/>
            <w:tcBorders>
              <w:top w:val="nil"/>
              <w:left w:val="nil"/>
              <w:bottom w:val="nil"/>
              <w:right w:val="nil"/>
            </w:tcBorders>
            <w:shd w:val="clear" w:color="auto" w:fill="auto"/>
            <w:vAlign w:val="center"/>
            <w:hideMark/>
          </w:tcPr>
          <w:p w14:paraId="41A54CA3"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okresný úrad</w:t>
            </w:r>
          </w:p>
        </w:tc>
      </w:tr>
      <w:tr w:rsidR="00F22309" w:rsidRPr="00666914" w14:paraId="4913F2DF" w14:textId="77777777" w:rsidTr="00DE1D2A">
        <w:trPr>
          <w:trHeight w:val="260"/>
        </w:trPr>
        <w:tc>
          <w:tcPr>
            <w:tcW w:w="1782" w:type="dxa"/>
            <w:tcBorders>
              <w:top w:val="nil"/>
              <w:left w:val="nil"/>
              <w:bottom w:val="nil"/>
              <w:right w:val="nil"/>
            </w:tcBorders>
            <w:shd w:val="clear" w:color="auto" w:fill="auto"/>
            <w:noWrap/>
            <w:vAlign w:val="center"/>
            <w:hideMark/>
          </w:tcPr>
          <w:p w14:paraId="45D4FB1B"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OV </w:t>
            </w:r>
          </w:p>
        </w:tc>
        <w:tc>
          <w:tcPr>
            <w:tcW w:w="7290" w:type="dxa"/>
            <w:tcBorders>
              <w:top w:val="nil"/>
              <w:left w:val="nil"/>
              <w:bottom w:val="nil"/>
              <w:right w:val="nil"/>
            </w:tcBorders>
            <w:shd w:val="clear" w:color="auto" w:fill="auto"/>
            <w:vAlign w:val="center"/>
            <w:hideMark/>
          </w:tcPr>
          <w:p w14:paraId="16B21673"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ochranná výchova </w:t>
            </w:r>
          </w:p>
        </w:tc>
      </w:tr>
      <w:tr w:rsidR="00F22309" w:rsidRPr="00666914" w14:paraId="64DA2513" w14:textId="77777777" w:rsidTr="00DE1D2A">
        <w:trPr>
          <w:trHeight w:val="260"/>
        </w:trPr>
        <w:tc>
          <w:tcPr>
            <w:tcW w:w="1782" w:type="dxa"/>
            <w:tcBorders>
              <w:top w:val="nil"/>
              <w:left w:val="nil"/>
              <w:bottom w:val="nil"/>
              <w:right w:val="nil"/>
            </w:tcBorders>
            <w:shd w:val="clear" w:color="auto" w:fill="auto"/>
            <w:noWrap/>
            <w:vAlign w:val="center"/>
            <w:hideMark/>
          </w:tcPr>
          <w:p w14:paraId="1D593E97"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OVM</w:t>
            </w:r>
          </w:p>
        </w:tc>
        <w:tc>
          <w:tcPr>
            <w:tcW w:w="7290" w:type="dxa"/>
            <w:tcBorders>
              <w:top w:val="nil"/>
              <w:left w:val="nil"/>
              <w:bottom w:val="nil"/>
              <w:right w:val="nil"/>
            </w:tcBorders>
            <w:shd w:val="clear" w:color="auto" w:fill="auto"/>
            <w:vAlign w:val="bottom"/>
            <w:hideMark/>
          </w:tcPr>
          <w:p w14:paraId="03C2D7B6"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orgán verejnej moci</w:t>
            </w:r>
          </w:p>
        </w:tc>
      </w:tr>
      <w:tr w:rsidR="00F22309" w:rsidRPr="00666914" w14:paraId="1D634F2E" w14:textId="77777777" w:rsidTr="00DE1D2A">
        <w:trPr>
          <w:trHeight w:val="260"/>
        </w:trPr>
        <w:tc>
          <w:tcPr>
            <w:tcW w:w="1782" w:type="dxa"/>
            <w:tcBorders>
              <w:top w:val="nil"/>
              <w:left w:val="nil"/>
              <w:bottom w:val="nil"/>
              <w:right w:val="nil"/>
            </w:tcBorders>
            <w:shd w:val="clear" w:color="auto" w:fill="auto"/>
            <w:noWrap/>
            <w:vAlign w:val="center"/>
            <w:hideMark/>
          </w:tcPr>
          <w:p w14:paraId="1FCD4071"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OVP</w:t>
            </w:r>
          </w:p>
        </w:tc>
        <w:tc>
          <w:tcPr>
            <w:tcW w:w="7290" w:type="dxa"/>
            <w:tcBorders>
              <w:top w:val="nil"/>
              <w:left w:val="nil"/>
              <w:bottom w:val="nil"/>
              <w:right w:val="nil"/>
            </w:tcBorders>
            <w:shd w:val="clear" w:color="auto" w:fill="auto"/>
            <w:noWrap/>
            <w:vAlign w:val="center"/>
            <w:hideMark/>
          </w:tcPr>
          <w:p w14:paraId="202DF02A"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odborné vzdelávanie a príprava</w:t>
            </w:r>
          </w:p>
        </w:tc>
      </w:tr>
      <w:tr w:rsidR="00F22309" w:rsidRPr="00666914" w14:paraId="4EA7AD12" w14:textId="77777777" w:rsidTr="00DE1D2A">
        <w:trPr>
          <w:trHeight w:val="260"/>
        </w:trPr>
        <w:tc>
          <w:tcPr>
            <w:tcW w:w="1782" w:type="dxa"/>
            <w:tcBorders>
              <w:top w:val="nil"/>
              <w:left w:val="nil"/>
              <w:bottom w:val="nil"/>
              <w:right w:val="nil"/>
            </w:tcBorders>
            <w:shd w:val="clear" w:color="auto" w:fill="auto"/>
            <w:noWrap/>
            <w:vAlign w:val="center"/>
            <w:hideMark/>
          </w:tcPr>
          <w:p w14:paraId="05E15BF9"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OZ</w:t>
            </w:r>
          </w:p>
        </w:tc>
        <w:tc>
          <w:tcPr>
            <w:tcW w:w="7290" w:type="dxa"/>
            <w:tcBorders>
              <w:top w:val="nil"/>
              <w:left w:val="nil"/>
              <w:bottom w:val="nil"/>
              <w:right w:val="nil"/>
            </w:tcBorders>
            <w:shd w:val="clear" w:color="auto" w:fill="auto"/>
            <w:noWrap/>
            <w:vAlign w:val="center"/>
            <w:hideMark/>
          </w:tcPr>
          <w:p w14:paraId="31922524"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odborný zamestnanec</w:t>
            </w:r>
          </w:p>
        </w:tc>
      </w:tr>
      <w:tr w:rsidR="00F22309" w:rsidRPr="00666914" w14:paraId="66405B7C" w14:textId="77777777" w:rsidTr="00DE1D2A">
        <w:trPr>
          <w:trHeight w:val="260"/>
        </w:trPr>
        <w:tc>
          <w:tcPr>
            <w:tcW w:w="1782" w:type="dxa"/>
            <w:tcBorders>
              <w:top w:val="nil"/>
              <w:left w:val="nil"/>
              <w:bottom w:val="nil"/>
              <w:right w:val="nil"/>
            </w:tcBorders>
            <w:shd w:val="clear" w:color="auto" w:fill="auto"/>
            <w:noWrap/>
            <w:vAlign w:val="center"/>
            <w:hideMark/>
          </w:tcPr>
          <w:p w14:paraId="11A760F6"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OZ PN</w:t>
            </w:r>
          </w:p>
        </w:tc>
        <w:tc>
          <w:tcPr>
            <w:tcW w:w="7290" w:type="dxa"/>
            <w:tcBorders>
              <w:top w:val="nil"/>
              <w:left w:val="nil"/>
              <w:bottom w:val="nil"/>
              <w:right w:val="nil"/>
            </w:tcBorders>
            <w:shd w:val="clear" w:color="auto" w:fill="auto"/>
            <w:vAlign w:val="center"/>
            <w:hideMark/>
          </w:tcPr>
          <w:p w14:paraId="5D3F738A"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odštepný závod Piešťany</w:t>
            </w:r>
          </w:p>
        </w:tc>
      </w:tr>
      <w:tr w:rsidR="00F22309" w:rsidRPr="00666914" w14:paraId="7D24A052" w14:textId="77777777" w:rsidTr="00DE1D2A">
        <w:trPr>
          <w:trHeight w:val="260"/>
        </w:trPr>
        <w:tc>
          <w:tcPr>
            <w:tcW w:w="1782" w:type="dxa"/>
            <w:tcBorders>
              <w:top w:val="nil"/>
              <w:left w:val="nil"/>
              <w:bottom w:val="nil"/>
              <w:right w:val="nil"/>
            </w:tcBorders>
            <w:shd w:val="clear" w:color="auto" w:fill="auto"/>
            <w:noWrap/>
            <w:vAlign w:val="center"/>
            <w:hideMark/>
          </w:tcPr>
          <w:p w14:paraId="4E028288"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OZP </w:t>
            </w:r>
          </w:p>
        </w:tc>
        <w:tc>
          <w:tcPr>
            <w:tcW w:w="7290" w:type="dxa"/>
            <w:tcBorders>
              <w:top w:val="nil"/>
              <w:left w:val="nil"/>
              <w:bottom w:val="nil"/>
              <w:right w:val="nil"/>
            </w:tcBorders>
            <w:shd w:val="clear" w:color="auto" w:fill="auto"/>
            <w:vAlign w:val="center"/>
            <w:hideMark/>
          </w:tcPr>
          <w:p w14:paraId="5156771E"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občan so zdravotným postihnutím </w:t>
            </w:r>
          </w:p>
        </w:tc>
      </w:tr>
      <w:tr w:rsidR="00F22309" w:rsidRPr="00666914" w14:paraId="2631281A" w14:textId="77777777" w:rsidTr="00DE1D2A">
        <w:trPr>
          <w:trHeight w:val="260"/>
        </w:trPr>
        <w:tc>
          <w:tcPr>
            <w:tcW w:w="1782" w:type="dxa"/>
            <w:tcBorders>
              <w:top w:val="nil"/>
              <w:left w:val="nil"/>
              <w:bottom w:val="nil"/>
              <w:right w:val="nil"/>
            </w:tcBorders>
            <w:shd w:val="clear" w:color="auto" w:fill="auto"/>
            <w:noWrap/>
            <w:vAlign w:val="center"/>
            <w:hideMark/>
          </w:tcPr>
          <w:p w14:paraId="0127759C"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p.b.</w:t>
            </w:r>
          </w:p>
        </w:tc>
        <w:tc>
          <w:tcPr>
            <w:tcW w:w="7290" w:type="dxa"/>
            <w:tcBorders>
              <w:top w:val="nil"/>
              <w:left w:val="nil"/>
              <w:bottom w:val="nil"/>
              <w:right w:val="nil"/>
            </w:tcBorders>
            <w:shd w:val="clear" w:color="auto" w:fill="auto"/>
            <w:noWrap/>
            <w:vAlign w:val="center"/>
            <w:hideMark/>
          </w:tcPr>
          <w:p w14:paraId="61D7930C"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percentuálny bod</w:t>
            </w:r>
          </w:p>
        </w:tc>
      </w:tr>
      <w:tr w:rsidR="00F22309" w:rsidRPr="00666914" w14:paraId="349517A9" w14:textId="77777777" w:rsidTr="00DE1D2A">
        <w:trPr>
          <w:trHeight w:val="260"/>
        </w:trPr>
        <w:tc>
          <w:tcPr>
            <w:tcW w:w="1782" w:type="dxa"/>
            <w:tcBorders>
              <w:top w:val="nil"/>
              <w:left w:val="nil"/>
              <w:bottom w:val="nil"/>
              <w:right w:val="nil"/>
            </w:tcBorders>
            <w:shd w:val="clear" w:color="auto" w:fill="auto"/>
            <w:noWrap/>
            <w:vAlign w:val="center"/>
            <w:hideMark/>
          </w:tcPr>
          <w:p w14:paraId="46DC2C3C"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PaaS</w:t>
            </w:r>
          </w:p>
        </w:tc>
        <w:tc>
          <w:tcPr>
            <w:tcW w:w="7290" w:type="dxa"/>
            <w:tcBorders>
              <w:top w:val="nil"/>
              <w:left w:val="nil"/>
              <w:bottom w:val="nil"/>
              <w:right w:val="nil"/>
            </w:tcBorders>
            <w:shd w:val="clear" w:color="auto" w:fill="auto"/>
            <w:vAlign w:val="bottom"/>
            <w:hideMark/>
          </w:tcPr>
          <w:p w14:paraId="0799DBE2"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Platform as a Service</w:t>
            </w:r>
          </w:p>
        </w:tc>
      </w:tr>
      <w:tr w:rsidR="00F22309" w:rsidRPr="00666914" w14:paraId="200D365D" w14:textId="77777777" w:rsidTr="00DE1D2A">
        <w:trPr>
          <w:trHeight w:val="520"/>
        </w:trPr>
        <w:tc>
          <w:tcPr>
            <w:tcW w:w="1782" w:type="dxa"/>
            <w:tcBorders>
              <w:top w:val="nil"/>
              <w:left w:val="nil"/>
              <w:bottom w:val="nil"/>
              <w:right w:val="nil"/>
            </w:tcBorders>
            <w:shd w:val="clear" w:color="auto" w:fill="auto"/>
            <w:noWrap/>
            <w:vAlign w:val="center"/>
            <w:hideMark/>
          </w:tcPr>
          <w:p w14:paraId="56B98ED4"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PACS</w:t>
            </w:r>
          </w:p>
        </w:tc>
        <w:tc>
          <w:tcPr>
            <w:tcW w:w="7290" w:type="dxa"/>
            <w:tcBorders>
              <w:top w:val="nil"/>
              <w:left w:val="nil"/>
              <w:bottom w:val="nil"/>
              <w:right w:val="nil"/>
            </w:tcBorders>
            <w:shd w:val="clear" w:color="auto" w:fill="auto"/>
            <w:vAlign w:val="bottom"/>
            <w:hideMark/>
          </w:tcPr>
          <w:p w14:paraId="27A92C17"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Picture Archiving and Communication System – systém na archiváciu a ukladanie dát v univerzálnej forme</w:t>
            </w:r>
          </w:p>
        </w:tc>
      </w:tr>
      <w:tr w:rsidR="00F22309" w:rsidRPr="00666914" w14:paraId="1F1A2452" w14:textId="77777777" w:rsidTr="00DE1D2A">
        <w:trPr>
          <w:trHeight w:val="260"/>
        </w:trPr>
        <w:tc>
          <w:tcPr>
            <w:tcW w:w="1782" w:type="dxa"/>
            <w:tcBorders>
              <w:top w:val="nil"/>
              <w:left w:val="nil"/>
              <w:bottom w:val="nil"/>
              <w:right w:val="nil"/>
            </w:tcBorders>
            <w:shd w:val="clear" w:color="auto" w:fill="auto"/>
            <w:noWrap/>
            <w:vAlign w:val="center"/>
            <w:hideMark/>
          </w:tcPr>
          <w:p w14:paraId="35EB569E"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PEPP</w:t>
            </w:r>
          </w:p>
        </w:tc>
        <w:tc>
          <w:tcPr>
            <w:tcW w:w="7290" w:type="dxa"/>
            <w:tcBorders>
              <w:top w:val="nil"/>
              <w:left w:val="nil"/>
              <w:bottom w:val="nil"/>
              <w:right w:val="nil"/>
            </w:tcBorders>
            <w:shd w:val="clear" w:color="auto" w:fill="auto"/>
            <w:noWrap/>
            <w:vAlign w:val="center"/>
            <w:hideMark/>
          </w:tcPr>
          <w:p w14:paraId="2066B428"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Pan-European Personal Pension Product - Celoeurópsky dôchodkový produkt</w:t>
            </w:r>
          </w:p>
        </w:tc>
      </w:tr>
      <w:tr w:rsidR="00F22309" w:rsidRPr="00666914" w14:paraId="0477105F" w14:textId="77777777" w:rsidTr="00DE1D2A">
        <w:trPr>
          <w:trHeight w:val="260"/>
        </w:trPr>
        <w:tc>
          <w:tcPr>
            <w:tcW w:w="1782" w:type="dxa"/>
            <w:tcBorders>
              <w:top w:val="nil"/>
              <w:left w:val="nil"/>
              <w:bottom w:val="nil"/>
              <w:right w:val="nil"/>
            </w:tcBorders>
            <w:shd w:val="clear" w:color="auto" w:fill="auto"/>
            <w:noWrap/>
            <w:vAlign w:val="center"/>
            <w:hideMark/>
          </w:tcPr>
          <w:p w14:paraId="48F023B2"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PHZ</w:t>
            </w:r>
          </w:p>
        </w:tc>
        <w:tc>
          <w:tcPr>
            <w:tcW w:w="7290" w:type="dxa"/>
            <w:tcBorders>
              <w:top w:val="nil"/>
              <w:left w:val="nil"/>
              <w:bottom w:val="nil"/>
              <w:right w:val="nil"/>
            </w:tcBorders>
            <w:shd w:val="clear" w:color="auto" w:fill="auto"/>
            <w:vAlign w:val="center"/>
            <w:hideMark/>
          </w:tcPr>
          <w:p w14:paraId="3F964F90"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predpokladaná hodnota zákazky</w:t>
            </w:r>
          </w:p>
        </w:tc>
      </w:tr>
      <w:tr w:rsidR="00F22309" w:rsidRPr="00666914" w14:paraId="42C62BF1" w14:textId="77777777" w:rsidTr="00DE1D2A">
        <w:trPr>
          <w:trHeight w:val="260"/>
        </w:trPr>
        <w:tc>
          <w:tcPr>
            <w:tcW w:w="1782" w:type="dxa"/>
            <w:tcBorders>
              <w:top w:val="nil"/>
              <w:left w:val="nil"/>
              <w:bottom w:val="nil"/>
              <w:right w:val="nil"/>
            </w:tcBorders>
            <w:shd w:val="clear" w:color="auto" w:fill="auto"/>
            <w:noWrap/>
            <w:vAlign w:val="center"/>
            <w:hideMark/>
          </w:tcPr>
          <w:p w14:paraId="66BBC3CF"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PIS</w:t>
            </w:r>
          </w:p>
        </w:tc>
        <w:tc>
          <w:tcPr>
            <w:tcW w:w="7290" w:type="dxa"/>
            <w:tcBorders>
              <w:top w:val="nil"/>
              <w:left w:val="nil"/>
              <w:bottom w:val="nil"/>
              <w:right w:val="nil"/>
            </w:tcBorders>
            <w:shd w:val="clear" w:color="auto" w:fill="auto"/>
            <w:noWrap/>
            <w:vAlign w:val="center"/>
            <w:hideMark/>
          </w:tcPr>
          <w:p w14:paraId="4C53B7FC"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priebežná implementačná správa</w:t>
            </w:r>
          </w:p>
        </w:tc>
      </w:tr>
      <w:tr w:rsidR="00F22309" w:rsidRPr="00666914" w14:paraId="017FD276" w14:textId="77777777" w:rsidTr="00DE1D2A">
        <w:trPr>
          <w:trHeight w:val="260"/>
        </w:trPr>
        <w:tc>
          <w:tcPr>
            <w:tcW w:w="1782" w:type="dxa"/>
            <w:tcBorders>
              <w:top w:val="nil"/>
              <w:left w:val="nil"/>
              <w:bottom w:val="nil"/>
              <w:right w:val="nil"/>
            </w:tcBorders>
            <w:shd w:val="clear" w:color="auto" w:fill="auto"/>
            <w:noWrap/>
            <w:vAlign w:val="center"/>
            <w:hideMark/>
          </w:tcPr>
          <w:p w14:paraId="47909DE2"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PLÚ </w:t>
            </w:r>
          </w:p>
        </w:tc>
        <w:tc>
          <w:tcPr>
            <w:tcW w:w="7290" w:type="dxa"/>
            <w:tcBorders>
              <w:top w:val="nil"/>
              <w:left w:val="nil"/>
              <w:bottom w:val="nil"/>
              <w:right w:val="nil"/>
            </w:tcBorders>
            <w:shd w:val="clear" w:color="auto" w:fill="auto"/>
            <w:vAlign w:val="center"/>
            <w:hideMark/>
          </w:tcPr>
          <w:p w14:paraId="1205BF12"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plán legislatívnych úloh vlády SR</w:t>
            </w:r>
          </w:p>
        </w:tc>
      </w:tr>
      <w:tr w:rsidR="00F22309" w:rsidRPr="00666914" w14:paraId="3092CDBB" w14:textId="77777777" w:rsidTr="00DE1D2A">
        <w:trPr>
          <w:trHeight w:val="260"/>
        </w:trPr>
        <w:tc>
          <w:tcPr>
            <w:tcW w:w="1782" w:type="dxa"/>
            <w:tcBorders>
              <w:top w:val="nil"/>
              <w:left w:val="nil"/>
              <w:bottom w:val="nil"/>
              <w:right w:val="nil"/>
            </w:tcBorders>
            <w:shd w:val="clear" w:color="auto" w:fill="auto"/>
            <w:noWrap/>
            <w:vAlign w:val="center"/>
            <w:hideMark/>
          </w:tcPr>
          <w:p w14:paraId="1FB99FD5"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PMPR</w:t>
            </w:r>
          </w:p>
        </w:tc>
        <w:tc>
          <w:tcPr>
            <w:tcW w:w="7290" w:type="dxa"/>
            <w:tcBorders>
              <w:top w:val="nil"/>
              <w:left w:val="nil"/>
              <w:bottom w:val="nil"/>
              <w:right w:val="nil"/>
            </w:tcBorders>
            <w:shd w:val="clear" w:color="auto" w:fill="auto"/>
            <w:vAlign w:val="center"/>
            <w:hideMark/>
          </w:tcPr>
          <w:p w14:paraId="2F35733E"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plány manažmentu povodňového rizika</w:t>
            </w:r>
          </w:p>
        </w:tc>
      </w:tr>
      <w:tr w:rsidR="00F22309" w:rsidRPr="00666914" w14:paraId="122D943A" w14:textId="77777777" w:rsidTr="00DE1D2A">
        <w:trPr>
          <w:trHeight w:val="260"/>
        </w:trPr>
        <w:tc>
          <w:tcPr>
            <w:tcW w:w="1782" w:type="dxa"/>
            <w:tcBorders>
              <w:top w:val="nil"/>
              <w:left w:val="nil"/>
              <w:bottom w:val="nil"/>
              <w:right w:val="nil"/>
            </w:tcBorders>
            <w:shd w:val="clear" w:color="auto" w:fill="auto"/>
            <w:noWrap/>
            <w:vAlign w:val="center"/>
            <w:hideMark/>
          </w:tcPr>
          <w:p w14:paraId="0AEB439C"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PN</w:t>
            </w:r>
          </w:p>
        </w:tc>
        <w:tc>
          <w:tcPr>
            <w:tcW w:w="7290" w:type="dxa"/>
            <w:tcBorders>
              <w:top w:val="nil"/>
              <w:left w:val="nil"/>
              <w:bottom w:val="nil"/>
              <w:right w:val="nil"/>
            </w:tcBorders>
            <w:shd w:val="clear" w:color="auto" w:fill="auto"/>
            <w:vAlign w:val="center"/>
            <w:hideMark/>
          </w:tcPr>
          <w:p w14:paraId="7E8D6A22"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Piešťany</w:t>
            </w:r>
          </w:p>
        </w:tc>
      </w:tr>
      <w:tr w:rsidR="00F22309" w:rsidRPr="00666914" w14:paraId="2B935614" w14:textId="77777777" w:rsidTr="00DE1D2A">
        <w:trPr>
          <w:trHeight w:val="260"/>
        </w:trPr>
        <w:tc>
          <w:tcPr>
            <w:tcW w:w="1782" w:type="dxa"/>
            <w:tcBorders>
              <w:top w:val="nil"/>
              <w:left w:val="nil"/>
              <w:bottom w:val="nil"/>
              <w:right w:val="nil"/>
            </w:tcBorders>
            <w:shd w:val="clear" w:color="auto" w:fill="auto"/>
            <w:noWrap/>
            <w:vAlign w:val="center"/>
            <w:hideMark/>
          </w:tcPr>
          <w:p w14:paraId="799C264C"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lastRenderedPageBreak/>
              <w:t xml:space="preserve">PO </w:t>
            </w:r>
          </w:p>
        </w:tc>
        <w:tc>
          <w:tcPr>
            <w:tcW w:w="7290" w:type="dxa"/>
            <w:tcBorders>
              <w:top w:val="nil"/>
              <w:left w:val="nil"/>
              <w:bottom w:val="nil"/>
              <w:right w:val="nil"/>
            </w:tcBorders>
            <w:shd w:val="clear" w:color="auto" w:fill="auto"/>
            <w:vAlign w:val="bottom"/>
            <w:hideMark/>
          </w:tcPr>
          <w:p w14:paraId="76761868"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právnická osoba</w:t>
            </w:r>
          </w:p>
        </w:tc>
      </w:tr>
      <w:tr w:rsidR="00F22309" w:rsidRPr="00666914" w14:paraId="2E26E150" w14:textId="77777777" w:rsidTr="00DE1D2A">
        <w:trPr>
          <w:trHeight w:val="260"/>
        </w:trPr>
        <w:tc>
          <w:tcPr>
            <w:tcW w:w="1782" w:type="dxa"/>
            <w:tcBorders>
              <w:top w:val="nil"/>
              <w:left w:val="nil"/>
              <w:bottom w:val="nil"/>
              <w:right w:val="nil"/>
            </w:tcBorders>
            <w:shd w:val="clear" w:color="auto" w:fill="auto"/>
            <w:noWrap/>
            <w:vAlign w:val="center"/>
            <w:hideMark/>
          </w:tcPr>
          <w:p w14:paraId="4E5A0053"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PO 7</w:t>
            </w:r>
          </w:p>
        </w:tc>
        <w:tc>
          <w:tcPr>
            <w:tcW w:w="7290" w:type="dxa"/>
            <w:tcBorders>
              <w:top w:val="nil"/>
              <w:left w:val="nil"/>
              <w:bottom w:val="nil"/>
              <w:right w:val="nil"/>
            </w:tcBorders>
            <w:shd w:val="clear" w:color="auto" w:fill="auto"/>
            <w:vAlign w:val="center"/>
            <w:hideMark/>
          </w:tcPr>
          <w:p w14:paraId="6DCB5FCB"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Prioritná os 7</w:t>
            </w:r>
          </w:p>
        </w:tc>
      </w:tr>
      <w:tr w:rsidR="00F22309" w:rsidRPr="00666914" w14:paraId="13EC2356" w14:textId="77777777" w:rsidTr="00DE1D2A">
        <w:trPr>
          <w:trHeight w:val="260"/>
        </w:trPr>
        <w:tc>
          <w:tcPr>
            <w:tcW w:w="1782" w:type="dxa"/>
            <w:tcBorders>
              <w:top w:val="nil"/>
              <w:left w:val="nil"/>
              <w:bottom w:val="nil"/>
              <w:right w:val="nil"/>
            </w:tcBorders>
            <w:shd w:val="clear" w:color="auto" w:fill="auto"/>
            <w:noWrap/>
            <w:vAlign w:val="center"/>
            <w:hideMark/>
          </w:tcPr>
          <w:p w14:paraId="249E8990"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POH</w:t>
            </w:r>
          </w:p>
        </w:tc>
        <w:tc>
          <w:tcPr>
            <w:tcW w:w="7290" w:type="dxa"/>
            <w:tcBorders>
              <w:top w:val="nil"/>
              <w:left w:val="nil"/>
              <w:bottom w:val="nil"/>
              <w:right w:val="nil"/>
            </w:tcBorders>
            <w:shd w:val="clear" w:color="auto" w:fill="auto"/>
            <w:vAlign w:val="center"/>
            <w:hideMark/>
          </w:tcPr>
          <w:p w14:paraId="7110286F"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pravostranná ochranná hrádza</w:t>
            </w:r>
          </w:p>
        </w:tc>
      </w:tr>
      <w:tr w:rsidR="00F22309" w:rsidRPr="00666914" w14:paraId="4DF0DEA9" w14:textId="77777777" w:rsidTr="00DE1D2A">
        <w:trPr>
          <w:trHeight w:val="260"/>
        </w:trPr>
        <w:tc>
          <w:tcPr>
            <w:tcW w:w="1782" w:type="dxa"/>
            <w:tcBorders>
              <w:top w:val="nil"/>
              <w:left w:val="nil"/>
              <w:bottom w:val="nil"/>
              <w:right w:val="nil"/>
            </w:tcBorders>
            <w:shd w:val="clear" w:color="auto" w:fill="auto"/>
            <w:noWrap/>
            <w:vAlign w:val="center"/>
            <w:hideMark/>
          </w:tcPr>
          <w:p w14:paraId="65145B34"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PP</w:t>
            </w:r>
          </w:p>
        </w:tc>
        <w:tc>
          <w:tcPr>
            <w:tcW w:w="7290" w:type="dxa"/>
            <w:tcBorders>
              <w:top w:val="nil"/>
              <w:left w:val="nil"/>
              <w:bottom w:val="nil"/>
              <w:right w:val="nil"/>
            </w:tcBorders>
            <w:shd w:val="clear" w:color="auto" w:fill="auto"/>
            <w:noWrap/>
            <w:vAlign w:val="bottom"/>
            <w:hideMark/>
          </w:tcPr>
          <w:p w14:paraId="58FBC63C" w14:textId="5C78D73F"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priame platby</w:t>
            </w:r>
          </w:p>
        </w:tc>
      </w:tr>
      <w:tr w:rsidR="00F22309" w:rsidRPr="00666914" w14:paraId="4D321382" w14:textId="77777777" w:rsidTr="00DE1D2A">
        <w:trPr>
          <w:trHeight w:val="260"/>
        </w:trPr>
        <w:tc>
          <w:tcPr>
            <w:tcW w:w="1782" w:type="dxa"/>
            <w:tcBorders>
              <w:top w:val="nil"/>
              <w:left w:val="nil"/>
              <w:bottom w:val="nil"/>
              <w:right w:val="nil"/>
            </w:tcBorders>
            <w:shd w:val="clear" w:color="auto" w:fill="auto"/>
            <w:noWrap/>
            <w:vAlign w:val="center"/>
            <w:hideMark/>
          </w:tcPr>
          <w:p w14:paraId="2C9AE4B1"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PPA </w:t>
            </w:r>
          </w:p>
        </w:tc>
        <w:tc>
          <w:tcPr>
            <w:tcW w:w="7290" w:type="dxa"/>
            <w:tcBorders>
              <w:top w:val="nil"/>
              <w:left w:val="nil"/>
              <w:bottom w:val="nil"/>
              <w:right w:val="nil"/>
            </w:tcBorders>
            <w:shd w:val="clear" w:color="auto" w:fill="auto"/>
            <w:noWrap/>
            <w:vAlign w:val="bottom"/>
            <w:hideMark/>
          </w:tcPr>
          <w:p w14:paraId="4D443856"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Pôdohospodárska platobná agentúra</w:t>
            </w:r>
          </w:p>
        </w:tc>
      </w:tr>
      <w:tr w:rsidR="00F22309" w:rsidRPr="00666914" w14:paraId="0FAC78C1" w14:textId="77777777" w:rsidTr="00DE1D2A">
        <w:trPr>
          <w:trHeight w:val="260"/>
        </w:trPr>
        <w:tc>
          <w:tcPr>
            <w:tcW w:w="1782" w:type="dxa"/>
            <w:tcBorders>
              <w:top w:val="nil"/>
              <w:left w:val="nil"/>
              <w:bottom w:val="nil"/>
              <w:right w:val="nil"/>
            </w:tcBorders>
            <w:shd w:val="clear" w:color="auto" w:fill="auto"/>
            <w:noWrap/>
            <w:vAlign w:val="center"/>
            <w:hideMark/>
          </w:tcPr>
          <w:p w14:paraId="15233B05"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PPP</w:t>
            </w:r>
          </w:p>
        </w:tc>
        <w:tc>
          <w:tcPr>
            <w:tcW w:w="7290" w:type="dxa"/>
            <w:tcBorders>
              <w:top w:val="nil"/>
              <w:left w:val="nil"/>
              <w:bottom w:val="nil"/>
              <w:right w:val="nil"/>
            </w:tcBorders>
            <w:shd w:val="clear" w:color="auto" w:fill="auto"/>
            <w:vAlign w:val="center"/>
            <w:hideMark/>
          </w:tcPr>
          <w:p w14:paraId="039BEBAA"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Public Private Partnership (Verejno-súkromné partnerstvo)</w:t>
            </w:r>
          </w:p>
        </w:tc>
      </w:tr>
      <w:tr w:rsidR="00F22309" w:rsidRPr="00666914" w14:paraId="7E0D640D" w14:textId="77777777" w:rsidTr="00DE1D2A">
        <w:trPr>
          <w:trHeight w:val="260"/>
        </w:trPr>
        <w:tc>
          <w:tcPr>
            <w:tcW w:w="1782" w:type="dxa"/>
            <w:tcBorders>
              <w:top w:val="nil"/>
              <w:left w:val="nil"/>
              <w:bottom w:val="nil"/>
              <w:right w:val="nil"/>
            </w:tcBorders>
            <w:shd w:val="clear" w:color="auto" w:fill="auto"/>
            <w:noWrap/>
            <w:vAlign w:val="center"/>
            <w:hideMark/>
          </w:tcPr>
          <w:p w14:paraId="66A14D17"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PPŠ</w:t>
            </w:r>
          </w:p>
        </w:tc>
        <w:tc>
          <w:tcPr>
            <w:tcW w:w="7290" w:type="dxa"/>
            <w:tcBorders>
              <w:top w:val="nil"/>
              <w:left w:val="nil"/>
              <w:bottom w:val="nil"/>
              <w:right w:val="nil"/>
            </w:tcBorders>
            <w:shd w:val="clear" w:color="auto" w:fill="auto"/>
            <w:noWrap/>
            <w:vAlign w:val="center"/>
            <w:hideMark/>
          </w:tcPr>
          <w:p w14:paraId="55176869"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prepočítaný počet študentov</w:t>
            </w:r>
          </w:p>
        </w:tc>
      </w:tr>
      <w:tr w:rsidR="00F22309" w:rsidRPr="00666914" w14:paraId="0FB931D2" w14:textId="77777777" w:rsidTr="00DE1D2A">
        <w:trPr>
          <w:trHeight w:val="260"/>
        </w:trPr>
        <w:tc>
          <w:tcPr>
            <w:tcW w:w="1782" w:type="dxa"/>
            <w:tcBorders>
              <w:top w:val="nil"/>
              <w:left w:val="nil"/>
              <w:bottom w:val="nil"/>
              <w:right w:val="nil"/>
            </w:tcBorders>
            <w:shd w:val="clear" w:color="auto" w:fill="auto"/>
            <w:noWrap/>
            <w:vAlign w:val="center"/>
            <w:hideMark/>
          </w:tcPr>
          <w:p w14:paraId="62C433BE"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PPÚ</w:t>
            </w:r>
          </w:p>
        </w:tc>
        <w:tc>
          <w:tcPr>
            <w:tcW w:w="7290" w:type="dxa"/>
            <w:tcBorders>
              <w:top w:val="nil"/>
              <w:left w:val="nil"/>
              <w:bottom w:val="nil"/>
              <w:right w:val="nil"/>
            </w:tcBorders>
            <w:shd w:val="clear" w:color="auto" w:fill="auto"/>
            <w:noWrap/>
            <w:vAlign w:val="bottom"/>
            <w:hideMark/>
          </w:tcPr>
          <w:p w14:paraId="1C01E4F4" w14:textId="6B4FC9E9"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projekty pozemkových úprav</w:t>
            </w:r>
          </w:p>
        </w:tc>
      </w:tr>
      <w:tr w:rsidR="00F22309" w:rsidRPr="00666914" w14:paraId="739B99BB" w14:textId="77777777" w:rsidTr="00DE1D2A">
        <w:trPr>
          <w:trHeight w:val="260"/>
        </w:trPr>
        <w:tc>
          <w:tcPr>
            <w:tcW w:w="1782" w:type="dxa"/>
            <w:tcBorders>
              <w:top w:val="nil"/>
              <w:left w:val="nil"/>
              <w:bottom w:val="nil"/>
              <w:right w:val="nil"/>
            </w:tcBorders>
            <w:shd w:val="clear" w:color="auto" w:fill="auto"/>
            <w:noWrap/>
            <w:vAlign w:val="center"/>
            <w:hideMark/>
          </w:tcPr>
          <w:p w14:paraId="4EB8FC36"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PRO</w:t>
            </w:r>
          </w:p>
        </w:tc>
        <w:tc>
          <w:tcPr>
            <w:tcW w:w="7290" w:type="dxa"/>
            <w:tcBorders>
              <w:top w:val="nil"/>
              <w:left w:val="nil"/>
              <w:bottom w:val="nil"/>
              <w:right w:val="nil"/>
            </w:tcBorders>
            <w:shd w:val="clear" w:color="auto" w:fill="auto"/>
            <w:vAlign w:val="center"/>
            <w:hideMark/>
          </w:tcPr>
          <w:p w14:paraId="29B082ED"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priamo riadené organizácie</w:t>
            </w:r>
          </w:p>
        </w:tc>
      </w:tr>
      <w:tr w:rsidR="00F22309" w:rsidRPr="00666914" w14:paraId="70E7F7E5" w14:textId="77777777" w:rsidTr="00DE1D2A">
        <w:trPr>
          <w:trHeight w:val="260"/>
        </w:trPr>
        <w:tc>
          <w:tcPr>
            <w:tcW w:w="1782" w:type="dxa"/>
            <w:tcBorders>
              <w:top w:val="nil"/>
              <w:left w:val="nil"/>
              <w:bottom w:val="nil"/>
              <w:right w:val="nil"/>
            </w:tcBorders>
            <w:shd w:val="clear" w:color="auto" w:fill="auto"/>
            <w:noWrap/>
            <w:vAlign w:val="center"/>
            <w:hideMark/>
          </w:tcPr>
          <w:p w14:paraId="3365A0C2"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PRUZZ</w:t>
            </w:r>
          </w:p>
        </w:tc>
        <w:tc>
          <w:tcPr>
            <w:tcW w:w="7290" w:type="dxa"/>
            <w:tcBorders>
              <w:top w:val="nil"/>
              <w:left w:val="nil"/>
              <w:bottom w:val="nil"/>
              <w:right w:val="nil"/>
            </w:tcBorders>
            <w:shd w:val="clear" w:color="auto" w:fill="auto"/>
            <w:vAlign w:val="center"/>
            <w:hideMark/>
          </w:tcPr>
          <w:p w14:paraId="5CD4F5D6"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prospektívny rozpočet</w:t>
            </w:r>
          </w:p>
        </w:tc>
      </w:tr>
      <w:tr w:rsidR="00F22309" w:rsidRPr="00666914" w14:paraId="285E7100" w14:textId="77777777" w:rsidTr="00DE1D2A">
        <w:trPr>
          <w:trHeight w:val="260"/>
        </w:trPr>
        <w:tc>
          <w:tcPr>
            <w:tcW w:w="1782" w:type="dxa"/>
            <w:tcBorders>
              <w:top w:val="nil"/>
              <w:left w:val="nil"/>
              <w:bottom w:val="nil"/>
              <w:right w:val="nil"/>
            </w:tcBorders>
            <w:shd w:val="clear" w:color="auto" w:fill="auto"/>
            <w:noWrap/>
            <w:vAlign w:val="center"/>
            <w:hideMark/>
          </w:tcPr>
          <w:p w14:paraId="0E1DEE47"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PRV</w:t>
            </w:r>
          </w:p>
        </w:tc>
        <w:tc>
          <w:tcPr>
            <w:tcW w:w="7290" w:type="dxa"/>
            <w:tcBorders>
              <w:top w:val="nil"/>
              <w:left w:val="nil"/>
              <w:bottom w:val="nil"/>
              <w:right w:val="nil"/>
            </w:tcBorders>
            <w:shd w:val="clear" w:color="auto" w:fill="auto"/>
            <w:noWrap/>
            <w:vAlign w:val="bottom"/>
            <w:hideMark/>
          </w:tcPr>
          <w:p w14:paraId="2D4AC46E"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Program rozvoja vidieka</w:t>
            </w:r>
          </w:p>
        </w:tc>
      </w:tr>
      <w:tr w:rsidR="00F22309" w:rsidRPr="00666914" w14:paraId="67F9617C" w14:textId="77777777" w:rsidTr="00DE1D2A">
        <w:trPr>
          <w:trHeight w:val="260"/>
        </w:trPr>
        <w:tc>
          <w:tcPr>
            <w:tcW w:w="1782" w:type="dxa"/>
            <w:tcBorders>
              <w:top w:val="nil"/>
              <w:left w:val="nil"/>
              <w:bottom w:val="nil"/>
              <w:right w:val="nil"/>
            </w:tcBorders>
            <w:shd w:val="clear" w:color="auto" w:fill="auto"/>
            <w:noWrap/>
            <w:vAlign w:val="center"/>
            <w:hideMark/>
          </w:tcPr>
          <w:p w14:paraId="4A21D9F3"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PS</w:t>
            </w:r>
          </w:p>
        </w:tc>
        <w:tc>
          <w:tcPr>
            <w:tcW w:w="7290" w:type="dxa"/>
            <w:tcBorders>
              <w:top w:val="nil"/>
              <w:left w:val="nil"/>
              <w:bottom w:val="nil"/>
              <w:right w:val="nil"/>
            </w:tcBorders>
            <w:shd w:val="clear" w:color="auto" w:fill="auto"/>
            <w:vAlign w:val="center"/>
            <w:hideMark/>
          </w:tcPr>
          <w:p w14:paraId="0FB32E06"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Program staroslivosti</w:t>
            </w:r>
          </w:p>
        </w:tc>
      </w:tr>
      <w:tr w:rsidR="00F22309" w:rsidRPr="00666914" w14:paraId="3CB19A24" w14:textId="77777777" w:rsidTr="00DE1D2A">
        <w:trPr>
          <w:trHeight w:val="260"/>
        </w:trPr>
        <w:tc>
          <w:tcPr>
            <w:tcW w:w="1782" w:type="dxa"/>
            <w:tcBorders>
              <w:top w:val="nil"/>
              <w:left w:val="nil"/>
              <w:bottom w:val="nil"/>
              <w:right w:val="nil"/>
            </w:tcBorders>
            <w:shd w:val="clear" w:color="auto" w:fill="auto"/>
            <w:noWrap/>
            <w:vAlign w:val="center"/>
            <w:hideMark/>
          </w:tcPr>
          <w:p w14:paraId="651DD2EC"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PSL</w:t>
            </w:r>
          </w:p>
        </w:tc>
        <w:tc>
          <w:tcPr>
            <w:tcW w:w="7290" w:type="dxa"/>
            <w:tcBorders>
              <w:top w:val="nil"/>
              <w:left w:val="nil"/>
              <w:bottom w:val="nil"/>
              <w:right w:val="nil"/>
            </w:tcBorders>
            <w:shd w:val="clear" w:color="auto" w:fill="auto"/>
            <w:noWrap/>
            <w:vAlign w:val="bottom"/>
            <w:hideMark/>
          </w:tcPr>
          <w:p w14:paraId="443191C2"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Program starostlivosti o les</w:t>
            </w:r>
          </w:p>
        </w:tc>
      </w:tr>
      <w:tr w:rsidR="00F22309" w:rsidRPr="00666914" w14:paraId="1376F46A" w14:textId="77777777" w:rsidTr="00DE1D2A">
        <w:trPr>
          <w:trHeight w:val="260"/>
        </w:trPr>
        <w:tc>
          <w:tcPr>
            <w:tcW w:w="1782" w:type="dxa"/>
            <w:tcBorders>
              <w:top w:val="nil"/>
              <w:left w:val="nil"/>
              <w:bottom w:val="nil"/>
              <w:right w:val="nil"/>
            </w:tcBorders>
            <w:shd w:val="clear" w:color="auto" w:fill="auto"/>
            <w:noWrap/>
            <w:vAlign w:val="center"/>
            <w:hideMark/>
          </w:tcPr>
          <w:p w14:paraId="047328AE"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PÚ</w:t>
            </w:r>
          </w:p>
        </w:tc>
        <w:tc>
          <w:tcPr>
            <w:tcW w:w="7290" w:type="dxa"/>
            <w:tcBorders>
              <w:top w:val="nil"/>
              <w:left w:val="nil"/>
              <w:bottom w:val="nil"/>
              <w:right w:val="nil"/>
            </w:tcBorders>
            <w:shd w:val="clear" w:color="auto" w:fill="auto"/>
            <w:noWrap/>
            <w:vAlign w:val="bottom"/>
            <w:hideMark/>
          </w:tcPr>
          <w:p w14:paraId="50EC4745"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Pozemkové úpravy</w:t>
            </w:r>
          </w:p>
        </w:tc>
      </w:tr>
      <w:tr w:rsidR="00F22309" w:rsidRPr="00666914" w14:paraId="62B612DA" w14:textId="77777777" w:rsidTr="00DE1D2A">
        <w:trPr>
          <w:trHeight w:val="260"/>
        </w:trPr>
        <w:tc>
          <w:tcPr>
            <w:tcW w:w="1782" w:type="dxa"/>
            <w:tcBorders>
              <w:top w:val="nil"/>
              <w:left w:val="nil"/>
              <w:bottom w:val="nil"/>
              <w:right w:val="nil"/>
            </w:tcBorders>
            <w:shd w:val="clear" w:color="auto" w:fill="auto"/>
            <w:noWrap/>
            <w:vAlign w:val="center"/>
            <w:hideMark/>
          </w:tcPr>
          <w:p w14:paraId="558B51E2"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PZ</w:t>
            </w:r>
          </w:p>
        </w:tc>
        <w:tc>
          <w:tcPr>
            <w:tcW w:w="7290" w:type="dxa"/>
            <w:tcBorders>
              <w:top w:val="nil"/>
              <w:left w:val="nil"/>
              <w:bottom w:val="nil"/>
              <w:right w:val="nil"/>
            </w:tcBorders>
            <w:shd w:val="clear" w:color="auto" w:fill="auto"/>
            <w:noWrap/>
            <w:vAlign w:val="center"/>
            <w:hideMark/>
          </w:tcPr>
          <w:p w14:paraId="5CD140F6"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pedagogický zamestnanec</w:t>
            </w:r>
          </w:p>
        </w:tc>
      </w:tr>
      <w:tr w:rsidR="00F22309" w:rsidRPr="00666914" w14:paraId="6A8B129B" w14:textId="77777777" w:rsidTr="00DE1D2A">
        <w:trPr>
          <w:trHeight w:val="260"/>
        </w:trPr>
        <w:tc>
          <w:tcPr>
            <w:tcW w:w="1782" w:type="dxa"/>
            <w:tcBorders>
              <w:top w:val="nil"/>
              <w:left w:val="nil"/>
              <w:bottom w:val="nil"/>
              <w:right w:val="nil"/>
            </w:tcBorders>
            <w:shd w:val="clear" w:color="auto" w:fill="auto"/>
            <w:noWrap/>
            <w:vAlign w:val="center"/>
            <w:hideMark/>
          </w:tcPr>
          <w:p w14:paraId="7DFE2E33"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PZS</w:t>
            </w:r>
          </w:p>
        </w:tc>
        <w:tc>
          <w:tcPr>
            <w:tcW w:w="7290" w:type="dxa"/>
            <w:tcBorders>
              <w:top w:val="nil"/>
              <w:left w:val="nil"/>
              <w:bottom w:val="nil"/>
              <w:right w:val="nil"/>
            </w:tcBorders>
            <w:shd w:val="clear" w:color="auto" w:fill="auto"/>
            <w:vAlign w:val="center"/>
            <w:hideMark/>
          </w:tcPr>
          <w:p w14:paraId="1B3F6825"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poskytovateľ zdravotnej starostlivosti</w:t>
            </w:r>
          </w:p>
        </w:tc>
      </w:tr>
      <w:tr w:rsidR="00F22309" w:rsidRPr="00666914" w14:paraId="427DD5E6" w14:textId="77777777" w:rsidTr="00DE1D2A">
        <w:trPr>
          <w:trHeight w:val="260"/>
        </w:trPr>
        <w:tc>
          <w:tcPr>
            <w:tcW w:w="1782" w:type="dxa"/>
            <w:tcBorders>
              <w:top w:val="nil"/>
              <w:left w:val="nil"/>
              <w:bottom w:val="nil"/>
              <w:right w:val="nil"/>
            </w:tcBorders>
            <w:shd w:val="clear" w:color="auto" w:fill="auto"/>
            <w:noWrap/>
            <w:vAlign w:val="center"/>
            <w:hideMark/>
          </w:tcPr>
          <w:p w14:paraId="7455A2DD"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REPAS</w:t>
            </w:r>
          </w:p>
        </w:tc>
        <w:tc>
          <w:tcPr>
            <w:tcW w:w="7290" w:type="dxa"/>
            <w:tcBorders>
              <w:top w:val="nil"/>
              <w:left w:val="nil"/>
              <w:bottom w:val="nil"/>
              <w:right w:val="nil"/>
            </w:tcBorders>
            <w:shd w:val="clear" w:color="auto" w:fill="auto"/>
            <w:noWrap/>
            <w:vAlign w:val="center"/>
            <w:hideMark/>
          </w:tcPr>
          <w:p w14:paraId="14560155"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rekvalifikačné školenie pre UoZ</w:t>
            </w:r>
          </w:p>
        </w:tc>
      </w:tr>
      <w:tr w:rsidR="00F22309" w:rsidRPr="00666914" w14:paraId="690E0D91" w14:textId="77777777" w:rsidTr="00DE1D2A">
        <w:trPr>
          <w:trHeight w:val="260"/>
        </w:trPr>
        <w:tc>
          <w:tcPr>
            <w:tcW w:w="1782" w:type="dxa"/>
            <w:tcBorders>
              <w:top w:val="nil"/>
              <w:left w:val="nil"/>
              <w:bottom w:val="nil"/>
              <w:right w:val="nil"/>
            </w:tcBorders>
            <w:shd w:val="clear" w:color="auto" w:fill="auto"/>
            <w:noWrap/>
            <w:vAlign w:val="center"/>
            <w:hideMark/>
          </w:tcPr>
          <w:p w14:paraId="70839EFC"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RF</w:t>
            </w:r>
          </w:p>
        </w:tc>
        <w:tc>
          <w:tcPr>
            <w:tcW w:w="7290" w:type="dxa"/>
            <w:tcBorders>
              <w:top w:val="nil"/>
              <w:left w:val="nil"/>
              <w:bottom w:val="nil"/>
              <w:right w:val="nil"/>
            </w:tcBorders>
            <w:shd w:val="clear" w:color="auto" w:fill="auto"/>
            <w:noWrap/>
            <w:vAlign w:val="center"/>
            <w:hideMark/>
          </w:tcPr>
          <w:p w14:paraId="04771FDD"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rastový fond</w:t>
            </w:r>
          </w:p>
        </w:tc>
      </w:tr>
      <w:tr w:rsidR="00F22309" w:rsidRPr="00666914" w14:paraId="67C6E7F1" w14:textId="77777777" w:rsidTr="00DE1D2A">
        <w:trPr>
          <w:trHeight w:val="260"/>
        </w:trPr>
        <w:tc>
          <w:tcPr>
            <w:tcW w:w="1782" w:type="dxa"/>
            <w:tcBorders>
              <w:top w:val="nil"/>
              <w:left w:val="nil"/>
              <w:bottom w:val="nil"/>
              <w:right w:val="nil"/>
            </w:tcBorders>
            <w:shd w:val="clear" w:color="auto" w:fill="auto"/>
            <w:noWrap/>
            <w:vAlign w:val="center"/>
            <w:hideMark/>
          </w:tcPr>
          <w:p w14:paraId="5B2B5AED"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RI </w:t>
            </w:r>
          </w:p>
        </w:tc>
        <w:tc>
          <w:tcPr>
            <w:tcW w:w="7290" w:type="dxa"/>
            <w:tcBorders>
              <w:top w:val="nil"/>
              <w:left w:val="nil"/>
              <w:bottom w:val="nil"/>
              <w:right w:val="nil"/>
            </w:tcBorders>
            <w:shd w:val="clear" w:color="auto" w:fill="auto"/>
            <w:vAlign w:val="center"/>
            <w:hideMark/>
          </w:tcPr>
          <w:p w14:paraId="294C1B7A"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Register investícií </w:t>
            </w:r>
          </w:p>
        </w:tc>
      </w:tr>
      <w:tr w:rsidR="00F22309" w:rsidRPr="00666914" w14:paraId="64987075" w14:textId="77777777" w:rsidTr="00DE1D2A">
        <w:trPr>
          <w:trHeight w:val="260"/>
        </w:trPr>
        <w:tc>
          <w:tcPr>
            <w:tcW w:w="1782" w:type="dxa"/>
            <w:tcBorders>
              <w:top w:val="nil"/>
              <w:left w:val="nil"/>
              <w:bottom w:val="nil"/>
              <w:right w:val="nil"/>
            </w:tcBorders>
            <w:shd w:val="clear" w:color="auto" w:fill="auto"/>
            <w:noWrap/>
            <w:vAlign w:val="center"/>
            <w:hideMark/>
          </w:tcPr>
          <w:p w14:paraId="54BCF379"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RIS</w:t>
            </w:r>
          </w:p>
        </w:tc>
        <w:tc>
          <w:tcPr>
            <w:tcW w:w="7290" w:type="dxa"/>
            <w:tcBorders>
              <w:top w:val="nil"/>
              <w:left w:val="nil"/>
              <w:bottom w:val="nil"/>
              <w:right w:val="nil"/>
            </w:tcBorders>
            <w:shd w:val="clear" w:color="auto" w:fill="auto"/>
            <w:noWrap/>
            <w:vAlign w:val="center"/>
            <w:hideMark/>
          </w:tcPr>
          <w:p w14:paraId="6FD54A83"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Rozpočtový informačný systém</w:t>
            </w:r>
          </w:p>
        </w:tc>
      </w:tr>
      <w:tr w:rsidR="00F22309" w:rsidRPr="00666914" w14:paraId="33CCFC25" w14:textId="77777777" w:rsidTr="00DE1D2A">
        <w:trPr>
          <w:trHeight w:val="260"/>
        </w:trPr>
        <w:tc>
          <w:tcPr>
            <w:tcW w:w="1782" w:type="dxa"/>
            <w:tcBorders>
              <w:top w:val="nil"/>
              <w:left w:val="nil"/>
              <w:bottom w:val="nil"/>
              <w:right w:val="nil"/>
            </w:tcBorders>
            <w:shd w:val="clear" w:color="auto" w:fill="auto"/>
            <w:noWrap/>
            <w:vAlign w:val="center"/>
            <w:hideMark/>
          </w:tcPr>
          <w:p w14:paraId="471F35DC"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RŠ</w:t>
            </w:r>
          </w:p>
        </w:tc>
        <w:tc>
          <w:tcPr>
            <w:tcW w:w="7290" w:type="dxa"/>
            <w:tcBorders>
              <w:top w:val="nil"/>
              <w:left w:val="nil"/>
              <w:bottom w:val="nil"/>
              <w:right w:val="nil"/>
            </w:tcBorders>
            <w:shd w:val="clear" w:color="auto" w:fill="auto"/>
            <w:noWrap/>
            <w:vAlign w:val="center"/>
            <w:hideMark/>
          </w:tcPr>
          <w:p w14:paraId="13620E58"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regionálne školstvo</w:t>
            </w:r>
          </w:p>
        </w:tc>
      </w:tr>
      <w:tr w:rsidR="00F22309" w:rsidRPr="00666914" w14:paraId="63C07220" w14:textId="77777777" w:rsidTr="00DE1D2A">
        <w:trPr>
          <w:trHeight w:val="260"/>
        </w:trPr>
        <w:tc>
          <w:tcPr>
            <w:tcW w:w="1782" w:type="dxa"/>
            <w:tcBorders>
              <w:top w:val="nil"/>
              <w:left w:val="nil"/>
              <w:bottom w:val="nil"/>
              <w:right w:val="nil"/>
            </w:tcBorders>
            <w:shd w:val="clear" w:color="auto" w:fill="auto"/>
            <w:noWrap/>
            <w:vAlign w:val="center"/>
            <w:hideMark/>
          </w:tcPr>
          <w:p w14:paraId="59F1D76E"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RTG</w:t>
            </w:r>
          </w:p>
        </w:tc>
        <w:tc>
          <w:tcPr>
            <w:tcW w:w="7290" w:type="dxa"/>
            <w:tcBorders>
              <w:top w:val="nil"/>
              <w:left w:val="nil"/>
              <w:bottom w:val="nil"/>
              <w:right w:val="nil"/>
            </w:tcBorders>
            <w:shd w:val="clear" w:color="auto" w:fill="auto"/>
            <w:noWrap/>
            <w:vAlign w:val="bottom"/>
            <w:hideMark/>
          </w:tcPr>
          <w:p w14:paraId="2DE27572" w14:textId="77777777" w:rsidR="00F22309" w:rsidRPr="00666914" w:rsidRDefault="00F22309" w:rsidP="00F22309">
            <w:pPr>
              <w:spacing w:after="0"/>
              <w:jc w:val="left"/>
              <w:rPr>
                <w:rFonts w:eastAsia="Times New Roman"/>
                <w:sz w:val="20"/>
                <w:szCs w:val="20"/>
                <w:lang w:eastAsia="sk-SK"/>
              </w:rPr>
            </w:pPr>
            <w:r w:rsidRPr="00666914">
              <w:rPr>
                <w:rFonts w:eastAsia="Times New Roman"/>
                <w:sz w:val="20"/>
                <w:szCs w:val="20"/>
                <w:lang w:eastAsia="sk-SK"/>
              </w:rPr>
              <w:t>röntgen</w:t>
            </w:r>
          </w:p>
        </w:tc>
      </w:tr>
      <w:tr w:rsidR="00F22309" w:rsidRPr="00666914" w14:paraId="04A909F1" w14:textId="77777777" w:rsidTr="00DE1D2A">
        <w:trPr>
          <w:trHeight w:val="260"/>
        </w:trPr>
        <w:tc>
          <w:tcPr>
            <w:tcW w:w="1782" w:type="dxa"/>
            <w:tcBorders>
              <w:top w:val="nil"/>
              <w:left w:val="nil"/>
              <w:bottom w:val="nil"/>
              <w:right w:val="nil"/>
            </w:tcBorders>
            <w:shd w:val="clear" w:color="auto" w:fill="auto"/>
            <w:noWrap/>
            <w:vAlign w:val="center"/>
            <w:hideMark/>
          </w:tcPr>
          <w:p w14:paraId="68E71C0D"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RUP</w:t>
            </w:r>
          </w:p>
        </w:tc>
        <w:tc>
          <w:tcPr>
            <w:tcW w:w="7290" w:type="dxa"/>
            <w:tcBorders>
              <w:top w:val="nil"/>
              <w:left w:val="nil"/>
              <w:bottom w:val="nil"/>
              <w:right w:val="nil"/>
            </w:tcBorders>
            <w:shd w:val="clear" w:color="auto" w:fill="auto"/>
            <w:noWrap/>
            <w:vAlign w:val="center"/>
            <w:hideMark/>
          </w:tcPr>
          <w:p w14:paraId="052C042E" w14:textId="34E48320"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rámcové učebné plány </w:t>
            </w:r>
          </w:p>
        </w:tc>
      </w:tr>
      <w:tr w:rsidR="00F22309" w:rsidRPr="00666914" w14:paraId="22BDB44D" w14:textId="77777777" w:rsidTr="00DE1D2A">
        <w:trPr>
          <w:trHeight w:val="260"/>
        </w:trPr>
        <w:tc>
          <w:tcPr>
            <w:tcW w:w="1782" w:type="dxa"/>
            <w:tcBorders>
              <w:top w:val="nil"/>
              <w:left w:val="nil"/>
              <w:bottom w:val="nil"/>
              <w:right w:val="nil"/>
            </w:tcBorders>
            <w:shd w:val="clear" w:color="auto" w:fill="auto"/>
            <w:noWrap/>
            <w:vAlign w:val="center"/>
            <w:hideMark/>
          </w:tcPr>
          <w:p w14:paraId="496554D1"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RÚVZ</w:t>
            </w:r>
          </w:p>
        </w:tc>
        <w:tc>
          <w:tcPr>
            <w:tcW w:w="7290" w:type="dxa"/>
            <w:tcBorders>
              <w:top w:val="nil"/>
              <w:left w:val="nil"/>
              <w:bottom w:val="nil"/>
              <w:right w:val="nil"/>
            </w:tcBorders>
            <w:shd w:val="clear" w:color="auto" w:fill="auto"/>
            <w:vAlign w:val="center"/>
            <w:hideMark/>
          </w:tcPr>
          <w:p w14:paraId="4F73A640"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Regionálny úrad verejného zdravotníctva</w:t>
            </w:r>
          </w:p>
        </w:tc>
      </w:tr>
      <w:tr w:rsidR="00F22309" w:rsidRPr="00666914" w14:paraId="7A33D1D9" w14:textId="77777777" w:rsidTr="00DE1D2A">
        <w:trPr>
          <w:trHeight w:val="260"/>
        </w:trPr>
        <w:tc>
          <w:tcPr>
            <w:tcW w:w="1782" w:type="dxa"/>
            <w:tcBorders>
              <w:top w:val="nil"/>
              <w:left w:val="nil"/>
              <w:bottom w:val="nil"/>
              <w:right w:val="nil"/>
            </w:tcBorders>
            <w:shd w:val="clear" w:color="auto" w:fill="auto"/>
            <w:noWrap/>
            <w:vAlign w:val="center"/>
            <w:hideMark/>
          </w:tcPr>
          <w:p w14:paraId="62BAB9A6"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RVD</w:t>
            </w:r>
          </w:p>
        </w:tc>
        <w:tc>
          <w:tcPr>
            <w:tcW w:w="7290" w:type="dxa"/>
            <w:tcBorders>
              <w:top w:val="nil"/>
              <w:left w:val="nil"/>
              <w:bottom w:val="nil"/>
              <w:right w:val="nil"/>
            </w:tcBorders>
            <w:shd w:val="clear" w:color="auto" w:fill="auto"/>
            <w:vAlign w:val="center"/>
            <w:hideMark/>
          </w:tcPr>
          <w:p w14:paraId="307100AE"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Revízia výdavkov na dopravu</w:t>
            </w:r>
          </w:p>
        </w:tc>
      </w:tr>
      <w:tr w:rsidR="00F22309" w:rsidRPr="00666914" w14:paraId="1AE72B20" w14:textId="77777777" w:rsidTr="00DE1D2A">
        <w:trPr>
          <w:trHeight w:val="260"/>
        </w:trPr>
        <w:tc>
          <w:tcPr>
            <w:tcW w:w="1782" w:type="dxa"/>
            <w:tcBorders>
              <w:top w:val="nil"/>
              <w:left w:val="nil"/>
              <w:bottom w:val="nil"/>
              <w:right w:val="nil"/>
            </w:tcBorders>
            <w:shd w:val="clear" w:color="auto" w:fill="auto"/>
            <w:noWrap/>
            <w:vAlign w:val="center"/>
            <w:hideMark/>
          </w:tcPr>
          <w:p w14:paraId="31066C57"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RVS</w:t>
            </w:r>
          </w:p>
        </w:tc>
        <w:tc>
          <w:tcPr>
            <w:tcW w:w="7290" w:type="dxa"/>
            <w:tcBorders>
              <w:top w:val="nil"/>
              <w:left w:val="nil"/>
              <w:bottom w:val="nil"/>
              <w:right w:val="nil"/>
            </w:tcBorders>
            <w:shd w:val="clear" w:color="auto" w:fill="auto"/>
            <w:vAlign w:val="center"/>
            <w:hideMark/>
          </w:tcPr>
          <w:p w14:paraId="5E771ED8"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rozpočet verejnej správy</w:t>
            </w:r>
          </w:p>
        </w:tc>
      </w:tr>
      <w:tr w:rsidR="00F22309" w:rsidRPr="00666914" w14:paraId="4F751DD1" w14:textId="77777777" w:rsidTr="00DE1D2A">
        <w:trPr>
          <w:trHeight w:val="260"/>
        </w:trPr>
        <w:tc>
          <w:tcPr>
            <w:tcW w:w="1782" w:type="dxa"/>
            <w:tcBorders>
              <w:top w:val="nil"/>
              <w:left w:val="nil"/>
              <w:bottom w:val="nil"/>
              <w:right w:val="nil"/>
            </w:tcBorders>
            <w:shd w:val="clear" w:color="auto" w:fill="auto"/>
            <w:noWrap/>
            <w:vAlign w:val="center"/>
            <w:hideMark/>
          </w:tcPr>
          <w:p w14:paraId="316E1842"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RZ </w:t>
            </w:r>
          </w:p>
        </w:tc>
        <w:tc>
          <w:tcPr>
            <w:tcW w:w="7290" w:type="dxa"/>
            <w:tcBorders>
              <w:top w:val="nil"/>
              <w:left w:val="nil"/>
              <w:bottom w:val="nil"/>
              <w:right w:val="nil"/>
            </w:tcBorders>
            <w:shd w:val="clear" w:color="auto" w:fill="auto"/>
            <w:vAlign w:val="center"/>
            <w:hideMark/>
          </w:tcPr>
          <w:p w14:paraId="67A56734"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reformný zámer </w:t>
            </w:r>
          </w:p>
        </w:tc>
      </w:tr>
      <w:tr w:rsidR="00F22309" w:rsidRPr="00666914" w14:paraId="7EEC885E" w14:textId="77777777" w:rsidTr="00DE1D2A">
        <w:trPr>
          <w:trHeight w:val="260"/>
        </w:trPr>
        <w:tc>
          <w:tcPr>
            <w:tcW w:w="1782" w:type="dxa"/>
            <w:tcBorders>
              <w:top w:val="nil"/>
              <w:left w:val="nil"/>
              <w:bottom w:val="nil"/>
              <w:right w:val="nil"/>
            </w:tcBorders>
            <w:shd w:val="clear" w:color="auto" w:fill="auto"/>
            <w:noWrap/>
            <w:vAlign w:val="center"/>
            <w:hideMark/>
          </w:tcPr>
          <w:p w14:paraId="5B05B24A"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RZ SP</w:t>
            </w:r>
          </w:p>
        </w:tc>
        <w:tc>
          <w:tcPr>
            <w:tcW w:w="7290" w:type="dxa"/>
            <w:tcBorders>
              <w:top w:val="nil"/>
              <w:left w:val="nil"/>
              <w:bottom w:val="nil"/>
              <w:right w:val="nil"/>
            </w:tcBorders>
            <w:shd w:val="clear" w:color="auto" w:fill="auto"/>
            <w:noWrap/>
            <w:vAlign w:val="center"/>
            <w:hideMark/>
          </w:tcPr>
          <w:p w14:paraId="0495B926"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ročné zúčtovanie sociálneho poistenia</w:t>
            </w:r>
          </w:p>
        </w:tc>
      </w:tr>
      <w:tr w:rsidR="00F22309" w:rsidRPr="00666914" w14:paraId="1E707E6B" w14:textId="77777777" w:rsidTr="00DE1D2A">
        <w:trPr>
          <w:trHeight w:val="260"/>
        </w:trPr>
        <w:tc>
          <w:tcPr>
            <w:tcW w:w="1782" w:type="dxa"/>
            <w:tcBorders>
              <w:top w:val="nil"/>
              <w:left w:val="nil"/>
              <w:bottom w:val="nil"/>
              <w:right w:val="nil"/>
            </w:tcBorders>
            <w:shd w:val="clear" w:color="auto" w:fill="auto"/>
            <w:noWrap/>
            <w:vAlign w:val="center"/>
            <w:hideMark/>
          </w:tcPr>
          <w:p w14:paraId="53388CBC"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SaaS</w:t>
            </w:r>
          </w:p>
        </w:tc>
        <w:tc>
          <w:tcPr>
            <w:tcW w:w="7290" w:type="dxa"/>
            <w:tcBorders>
              <w:top w:val="nil"/>
              <w:left w:val="nil"/>
              <w:bottom w:val="nil"/>
              <w:right w:val="nil"/>
            </w:tcBorders>
            <w:shd w:val="clear" w:color="auto" w:fill="auto"/>
            <w:vAlign w:val="bottom"/>
            <w:hideMark/>
          </w:tcPr>
          <w:p w14:paraId="3B7BFB9D"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Software as a Service</w:t>
            </w:r>
          </w:p>
        </w:tc>
      </w:tr>
      <w:tr w:rsidR="00F22309" w:rsidRPr="00666914" w14:paraId="73F20BBA" w14:textId="77777777" w:rsidTr="00DE1D2A">
        <w:trPr>
          <w:trHeight w:val="260"/>
        </w:trPr>
        <w:tc>
          <w:tcPr>
            <w:tcW w:w="1782" w:type="dxa"/>
            <w:tcBorders>
              <w:top w:val="nil"/>
              <w:left w:val="nil"/>
              <w:bottom w:val="nil"/>
              <w:right w:val="nil"/>
            </w:tcBorders>
            <w:shd w:val="clear" w:color="auto" w:fill="auto"/>
            <w:noWrap/>
            <w:vAlign w:val="center"/>
            <w:hideMark/>
          </w:tcPr>
          <w:p w14:paraId="5CAE942E"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SAASV</w:t>
            </w:r>
          </w:p>
        </w:tc>
        <w:tc>
          <w:tcPr>
            <w:tcW w:w="7290" w:type="dxa"/>
            <w:tcBorders>
              <w:top w:val="nil"/>
              <w:left w:val="nil"/>
              <w:bottom w:val="nil"/>
              <w:right w:val="nil"/>
            </w:tcBorders>
            <w:shd w:val="clear" w:color="auto" w:fill="auto"/>
            <w:noWrap/>
            <w:vAlign w:val="center"/>
            <w:hideMark/>
          </w:tcPr>
          <w:p w14:paraId="3077833A"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Slovenská akreditačná agentúra pre vysoké školstvo</w:t>
            </w:r>
          </w:p>
        </w:tc>
      </w:tr>
      <w:tr w:rsidR="00F22309" w:rsidRPr="00666914" w14:paraId="5339F0DF" w14:textId="77777777" w:rsidTr="00DE1D2A">
        <w:trPr>
          <w:trHeight w:val="260"/>
        </w:trPr>
        <w:tc>
          <w:tcPr>
            <w:tcW w:w="1782" w:type="dxa"/>
            <w:tcBorders>
              <w:top w:val="nil"/>
              <w:left w:val="nil"/>
              <w:bottom w:val="nil"/>
              <w:right w:val="nil"/>
            </w:tcBorders>
            <w:shd w:val="clear" w:color="auto" w:fill="auto"/>
            <w:noWrap/>
            <w:vAlign w:val="center"/>
            <w:hideMark/>
          </w:tcPr>
          <w:p w14:paraId="27B8DF99"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SAŽP</w:t>
            </w:r>
          </w:p>
        </w:tc>
        <w:tc>
          <w:tcPr>
            <w:tcW w:w="7290" w:type="dxa"/>
            <w:tcBorders>
              <w:top w:val="nil"/>
              <w:left w:val="nil"/>
              <w:bottom w:val="nil"/>
              <w:right w:val="nil"/>
            </w:tcBorders>
            <w:shd w:val="clear" w:color="auto" w:fill="auto"/>
            <w:vAlign w:val="center"/>
            <w:hideMark/>
          </w:tcPr>
          <w:p w14:paraId="7A66C253"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Slovenská agentúra životného prostredia</w:t>
            </w:r>
          </w:p>
        </w:tc>
      </w:tr>
      <w:tr w:rsidR="00F22309" w:rsidRPr="00666914" w14:paraId="1DE2FCF4" w14:textId="77777777" w:rsidTr="00DE1D2A">
        <w:trPr>
          <w:trHeight w:val="260"/>
        </w:trPr>
        <w:tc>
          <w:tcPr>
            <w:tcW w:w="1782" w:type="dxa"/>
            <w:tcBorders>
              <w:top w:val="nil"/>
              <w:left w:val="nil"/>
              <w:bottom w:val="nil"/>
              <w:right w:val="nil"/>
            </w:tcBorders>
            <w:shd w:val="clear" w:color="auto" w:fill="auto"/>
            <w:noWrap/>
            <w:vAlign w:val="center"/>
            <w:hideMark/>
          </w:tcPr>
          <w:p w14:paraId="70DA8BA0"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SBA</w:t>
            </w:r>
          </w:p>
        </w:tc>
        <w:tc>
          <w:tcPr>
            <w:tcW w:w="7290" w:type="dxa"/>
            <w:tcBorders>
              <w:top w:val="nil"/>
              <w:left w:val="nil"/>
              <w:bottom w:val="nil"/>
              <w:right w:val="nil"/>
            </w:tcBorders>
            <w:shd w:val="clear" w:color="auto" w:fill="auto"/>
            <w:vAlign w:val="center"/>
            <w:hideMark/>
          </w:tcPr>
          <w:p w14:paraId="0B2B798E"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Slovak Business Agency</w:t>
            </w:r>
          </w:p>
        </w:tc>
      </w:tr>
      <w:tr w:rsidR="00F22309" w:rsidRPr="00666914" w14:paraId="0B9E4ECB" w14:textId="77777777" w:rsidTr="00DE1D2A">
        <w:trPr>
          <w:trHeight w:val="260"/>
        </w:trPr>
        <w:tc>
          <w:tcPr>
            <w:tcW w:w="1782" w:type="dxa"/>
            <w:tcBorders>
              <w:top w:val="nil"/>
              <w:left w:val="nil"/>
              <w:bottom w:val="nil"/>
              <w:right w:val="nil"/>
            </w:tcBorders>
            <w:shd w:val="clear" w:color="auto" w:fill="auto"/>
            <w:noWrap/>
            <w:vAlign w:val="center"/>
            <w:hideMark/>
          </w:tcPr>
          <w:p w14:paraId="280ED13E"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SE</w:t>
            </w:r>
          </w:p>
        </w:tc>
        <w:tc>
          <w:tcPr>
            <w:tcW w:w="7290" w:type="dxa"/>
            <w:tcBorders>
              <w:top w:val="nil"/>
              <w:left w:val="nil"/>
              <w:bottom w:val="nil"/>
              <w:right w:val="nil"/>
            </w:tcBorders>
            <w:shd w:val="clear" w:color="auto" w:fill="auto"/>
            <w:vAlign w:val="center"/>
            <w:hideMark/>
          </w:tcPr>
          <w:p w14:paraId="5B7DFEA1"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Slovenské elektrárne, a.s.</w:t>
            </w:r>
          </w:p>
        </w:tc>
      </w:tr>
      <w:tr w:rsidR="00F22309" w:rsidRPr="00666914" w14:paraId="244A9460" w14:textId="77777777" w:rsidTr="00DE1D2A">
        <w:trPr>
          <w:trHeight w:val="260"/>
        </w:trPr>
        <w:tc>
          <w:tcPr>
            <w:tcW w:w="1782" w:type="dxa"/>
            <w:tcBorders>
              <w:top w:val="nil"/>
              <w:left w:val="nil"/>
              <w:bottom w:val="nil"/>
              <w:right w:val="nil"/>
            </w:tcBorders>
            <w:shd w:val="clear" w:color="auto" w:fill="auto"/>
            <w:noWrap/>
            <w:vAlign w:val="center"/>
            <w:hideMark/>
          </w:tcPr>
          <w:p w14:paraId="53416F3A"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SHMÚ</w:t>
            </w:r>
          </w:p>
        </w:tc>
        <w:tc>
          <w:tcPr>
            <w:tcW w:w="7290" w:type="dxa"/>
            <w:tcBorders>
              <w:top w:val="nil"/>
              <w:left w:val="nil"/>
              <w:bottom w:val="nil"/>
              <w:right w:val="nil"/>
            </w:tcBorders>
            <w:shd w:val="clear" w:color="auto" w:fill="auto"/>
            <w:vAlign w:val="center"/>
            <w:hideMark/>
          </w:tcPr>
          <w:p w14:paraId="1054E7BA"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Slovenský hydrometerologický ústav</w:t>
            </w:r>
          </w:p>
        </w:tc>
      </w:tr>
      <w:tr w:rsidR="00F22309" w:rsidRPr="00666914" w14:paraId="08D46E43" w14:textId="77777777" w:rsidTr="00DE1D2A">
        <w:trPr>
          <w:trHeight w:val="260"/>
        </w:trPr>
        <w:tc>
          <w:tcPr>
            <w:tcW w:w="1782" w:type="dxa"/>
            <w:tcBorders>
              <w:top w:val="nil"/>
              <w:left w:val="nil"/>
              <w:bottom w:val="nil"/>
              <w:right w:val="nil"/>
            </w:tcBorders>
            <w:shd w:val="clear" w:color="auto" w:fill="auto"/>
            <w:noWrap/>
            <w:vAlign w:val="center"/>
            <w:hideMark/>
          </w:tcPr>
          <w:p w14:paraId="5C2AFD7E"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SIH</w:t>
            </w:r>
          </w:p>
        </w:tc>
        <w:tc>
          <w:tcPr>
            <w:tcW w:w="7290" w:type="dxa"/>
            <w:tcBorders>
              <w:top w:val="nil"/>
              <w:left w:val="nil"/>
              <w:bottom w:val="nil"/>
              <w:right w:val="nil"/>
            </w:tcBorders>
            <w:shd w:val="clear" w:color="auto" w:fill="auto"/>
            <w:vAlign w:val="center"/>
            <w:hideMark/>
          </w:tcPr>
          <w:p w14:paraId="784BA3B6"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Slovenský investičný holding</w:t>
            </w:r>
          </w:p>
        </w:tc>
      </w:tr>
      <w:tr w:rsidR="00F22309" w:rsidRPr="00666914" w14:paraId="6C739939" w14:textId="77777777" w:rsidTr="00DE1D2A">
        <w:trPr>
          <w:trHeight w:val="260"/>
        </w:trPr>
        <w:tc>
          <w:tcPr>
            <w:tcW w:w="1782" w:type="dxa"/>
            <w:tcBorders>
              <w:top w:val="nil"/>
              <w:left w:val="nil"/>
              <w:bottom w:val="nil"/>
              <w:right w:val="nil"/>
            </w:tcBorders>
            <w:shd w:val="clear" w:color="auto" w:fill="auto"/>
            <w:noWrap/>
            <w:vAlign w:val="center"/>
            <w:hideMark/>
          </w:tcPr>
          <w:p w14:paraId="5896BE9B"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SIS </w:t>
            </w:r>
          </w:p>
        </w:tc>
        <w:tc>
          <w:tcPr>
            <w:tcW w:w="7290" w:type="dxa"/>
            <w:tcBorders>
              <w:top w:val="nil"/>
              <w:left w:val="nil"/>
              <w:bottom w:val="nil"/>
              <w:right w:val="nil"/>
            </w:tcBorders>
            <w:shd w:val="clear" w:color="auto" w:fill="auto"/>
            <w:vAlign w:val="center"/>
            <w:hideMark/>
          </w:tcPr>
          <w:p w14:paraId="2A1B17FA"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súhrnná implementačná správa </w:t>
            </w:r>
          </w:p>
        </w:tc>
      </w:tr>
      <w:tr w:rsidR="00F22309" w:rsidRPr="00666914" w14:paraId="0F818C06" w14:textId="77777777" w:rsidTr="00DE1D2A">
        <w:trPr>
          <w:trHeight w:val="260"/>
        </w:trPr>
        <w:tc>
          <w:tcPr>
            <w:tcW w:w="1782" w:type="dxa"/>
            <w:tcBorders>
              <w:top w:val="nil"/>
              <w:left w:val="nil"/>
              <w:bottom w:val="nil"/>
              <w:right w:val="nil"/>
            </w:tcBorders>
            <w:shd w:val="clear" w:color="auto" w:fill="auto"/>
            <w:noWrap/>
            <w:vAlign w:val="center"/>
            <w:hideMark/>
          </w:tcPr>
          <w:p w14:paraId="29CA23E2"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SIŽP</w:t>
            </w:r>
          </w:p>
        </w:tc>
        <w:tc>
          <w:tcPr>
            <w:tcW w:w="7290" w:type="dxa"/>
            <w:tcBorders>
              <w:top w:val="nil"/>
              <w:left w:val="nil"/>
              <w:bottom w:val="nil"/>
              <w:right w:val="nil"/>
            </w:tcBorders>
            <w:shd w:val="clear" w:color="auto" w:fill="auto"/>
            <w:vAlign w:val="center"/>
            <w:hideMark/>
          </w:tcPr>
          <w:p w14:paraId="4ACF5876"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Slovenská inšpekcia životného prostredia</w:t>
            </w:r>
          </w:p>
        </w:tc>
      </w:tr>
      <w:tr w:rsidR="00F22309" w:rsidRPr="00666914" w14:paraId="537475C1" w14:textId="77777777" w:rsidTr="00DE1D2A">
        <w:trPr>
          <w:trHeight w:val="260"/>
        </w:trPr>
        <w:tc>
          <w:tcPr>
            <w:tcW w:w="1782" w:type="dxa"/>
            <w:tcBorders>
              <w:top w:val="nil"/>
              <w:left w:val="nil"/>
              <w:bottom w:val="nil"/>
              <w:right w:val="nil"/>
            </w:tcBorders>
            <w:shd w:val="clear" w:color="auto" w:fill="auto"/>
            <w:noWrap/>
            <w:vAlign w:val="center"/>
            <w:hideMark/>
          </w:tcPr>
          <w:p w14:paraId="77E57DE5"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SJL</w:t>
            </w:r>
          </w:p>
        </w:tc>
        <w:tc>
          <w:tcPr>
            <w:tcW w:w="7290" w:type="dxa"/>
            <w:tcBorders>
              <w:top w:val="nil"/>
              <w:left w:val="nil"/>
              <w:bottom w:val="nil"/>
              <w:right w:val="nil"/>
            </w:tcBorders>
            <w:shd w:val="clear" w:color="auto" w:fill="auto"/>
            <w:noWrap/>
            <w:vAlign w:val="center"/>
            <w:hideMark/>
          </w:tcPr>
          <w:p w14:paraId="3A1BB17A"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slovenský jazyk a literatúra</w:t>
            </w:r>
          </w:p>
        </w:tc>
      </w:tr>
      <w:tr w:rsidR="00F22309" w:rsidRPr="00666914" w14:paraId="1B52013F" w14:textId="77777777" w:rsidTr="00DE1D2A">
        <w:trPr>
          <w:trHeight w:val="260"/>
        </w:trPr>
        <w:tc>
          <w:tcPr>
            <w:tcW w:w="1782" w:type="dxa"/>
            <w:tcBorders>
              <w:top w:val="nil"/>
              <w:left w:val="nil"/>
              <w:bottom w:val="nil"/>
              <w:right w:val="nil"/>
            </w:tcBorders>
            <w:shd w:val="clear" w:color="auto" w:fill="auto"/>
            <w:noWrap/>
            <w:vAlign w:val="center"/>
            <w:hideMark/>
          </w:tcPr>
          <w:p w14:paraId="35D63E30"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SLA</w:t>
            </w:r>
          </w:p>
        </w:tc>
        <w:tc>
          <w:tcPr>
            <w:tcW w:w="7290" w:type="dxa"/>
            <w:tcBorders>
              <w:top w:val="nil"/>
              <w:left w:val="nil"/>
              <w:bottom w:val="nil"/>
              <w:right w:val="nil"/>
            </w:tcBorders>
            <w:shd w:val="clear" w:color="auto" w:fill="auto"/>
            <w:vAlign w:val="center"/>
            <w:hideMark/>
          </w:tcPr>
          <w:p w14:paraId="771C7F71"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dohoda o úrovni poskytovaných služieb</w:t>
            </w:r>
          </w:p>
        </w:tc>
      </w:tr>
      <w:tr w:rsidR="00F22309" w:rsidRPr="00666914" w14:paraId="27F240D8" w14:textId="77777777" w:rsidTr="00DE1D2A">
        <w:trPr>
          <w:trHeight w:val="260"/>
        </w:trPr>
        <w:tc>
          <w:tcPr>
            <w:tcW w:w="1782" w:type="dxa"/>
            <w:tcBorders>
              <w:top w:val="nil"/>
              <w:left w:val="nil"/>
              <w:bottom w:val="nil"/>
              <w:right w:val="nil"/>
            </w:tcBorders>
            <w:shd w:val="clear" w:color="auto" w:fill="auto"/>
            <w:noWrap/>
            <w:vAlign w:val="center"/>
            <w:hideMark/>
          </w:tcPr>
          <w:p w14:paraId="340696A5"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SORO</w:t>
            </w:r>
          </w:p>
        </w:tc>
        <w:tc>
          <w:tcPr>
            <w:tcW w:w="7290" w:type="dxa"/>
            <w:tcBorders>
              <w:top w:val="nil"/>
              <w:left w:val="nil"/>
              <w:bottom w:val="nil"/>
              <w:right w:val="nil"/>
            </w:tcBorders>
            <w:shd w:val="clear" w:color="auto" w:fill="auto"/>
            <w:vAlign w:val="center"/>
            <w:hideMark/>
          </w:tcPr>
          <w:p w14:paraId="7BCDF9BA"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sprostredkovateľský orgán pod riadiacim orgánom</w:t>
            </w:r>
          </w:p>
        </w:tc>
      </w:tr>
      <w:tr w:rsidR="00F22309" w:rsidRPr="00666914" w14:paraId="1850A76D" w14:textId="77777777" w:rsidTr="00DE1D2A">
        <w:trPr>
          <w:trHeight w:val="260"/>
        </w:trPr>
        <w:tc>
          <w:tcPr>
            <w:tcW w:w="1782" w:type="dxa"/>
            <w:tcBorders>
              <w:top w:val="nil"/>
              <w:left w:val="nil"/>
              <w:bottom w:val="nil"/>
              <w:right w:val="nil"/>
            </w:tcBorders>
            <w:shd w:val="clear" w:color="auto" w:fill="auto"/>
            <w:noWrap/>
            <w:vAlign w:val="center"/>
            <w:hideMark/>
          </w:tcPr>
          <w:p w14:paraId="13AE6415"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SOŠ</w:t>
            </w:r>
          </w:p>
        </w:tc>
        <w:tc>
          <w:tcPr>
            <w:tcW w:w="7290" w:type="dxa"/>
            <w:tcBorders>
              <w:top w:val="nil"/>
              <w:left w:val="nil"/>
              <w:bottom w:val="nil"/>
              <w:right w:val="nil"/>
            </w:tcBorders>
            <w:shd w:val="clear" w:color="auto" w:fill="auto"/>
            <w:noWrap/>
            <w:vAlign w:val="center"/>
            <w:hideMark/>
          </w:tcPr>
          <w:p w14:paraId="2442234B"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stredné odborné školy</w:t>
            </w:r>
          </w:p>
        </w:tc>
      </w:tr>
      <w:tr w:rsidR="00F22309" w:rsidRPr="00666914" w14:paraId="2F12C967" w14:textId="77777777" w:rsidTr="00DE1D2A">
        <w:trPr>
          <w:trHeight w:val="260"/>
        </w:trPr>
        <w:tc>
          <w:tcPr>
            <w:tcW w:w="1782" w:type="dxa"/>
            <w:tcBorders>
              <w:top w:val="nil"/>
              <w:left w:val="nil"/>
              <w:bottom w:val="nil"/>
              <w:right w:val="nil"/>
            </w:tcBorders>
            <w:shd w:val="clear" w:color="auto" w:fill="auto"/>
            <w:noWrap/>
            <w:vAlign w:val="center"/>
            <w:hideMark/>
          </w:tcPr>
          <w:p w14:paraId="6933B665"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SP</w:t>
            </w:r>
          </w:p>
        </w:tc>
        <w:tc>
          <w:tcPr>
            <w:tcW w:w="7290" w:type="dxa"/>
            <w:tcBorders>
              <w:top w:val="nil"/>
              <w:left w:val="nil"/>
              <w:bottom w:val="nil"/>
              <w:right w:val="nil"/>
            </w:tcBorders>
            <w:shd w:val="clear" w:color="auto" w:fill="auto"/>
            <w:noWrap/>
            <w:vAlign w:val="center"/>
            <w:hideMark/>
          </w:tcPr>
          <w:p w14:paraId="7FE92A90"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Sociálna poisťovňa</w:t>
            </w:r>
          </w:p>
        </w:tc>
      </w:tr>
      <w:tr w:rsidR="00F22309" w:rsidRPr="00666914" w14:paraId="36C3B8D8" w14:textId="77777777" w:rsidTr="00DE1D2A">
        <w:trPr>
          <w:trHeight w:val="260"/>
        </w:trPr>
        <w:tc>
          <w:tcPr>
            <w:tcW w:w="1782" w:type="dxa"/>
            <w:tcBorders>
              <w:top w:val="nil"/>
              <w:left w:val="nil"/>
              <w:bottom w:val="nil"/>
              <w:right w:val="nil"/>
            </w:tcBorders>
            <w:shd w:val="clear" w:color="auto" w:fill="auto"/>
            <w:noWrap/>
            <w:vAlign w:val="center"/>
            <w:hideMark/>
          </w:tcPr>
          <w:p w14:paraId="7EC54E41"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SPF</w:t>
            </w:r>
          </w:p>
        </w:tc>
        <w:tc>
          <w:tcPr>
            <w:tcW w:w="7290" w:type="dxa"/>
            <w:tcBorders>
              <w:top w:val="nil"/>
              <w:left w:val="nil"/>
              <w:bottom w:val="nil"/>
              <w:right w:val="nil"/>
            </w:tcBorders>
            <w:shd w:val="clear" w:color="auto" w:fill="auto"/>
            <w:noWrap/>
            <w:vAlign w:val="bottom"/>
            <w:hideMark/>
          </w:tcPr>
          <w:p w14:paraId="72580BA5"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Slovenský pozemkový fond</w:t>
            </w:r>
          </w:p>
        </w:tc>
      </w:tr>
      <w:tr w:rsidR="00F22309" w:rsidRPr="00666914" w14:paraId="0738EA68" w14:textId="77777777" w:rsidTr="00DE1D2A">
        <w:trPr>
          <w:trHeight w:val="260"/>
        </w:trPr>
        <w:tc>
          <w:tcPr>
            <w:tcW w:w="1782" w:type="dxa"/>
            <w:tcBorders>
              <w:top w:val="nil"/>
              <w:left w:val="nil"/>
              <w:bottom w:val="nil"/>
              <w:right w:val="nil"/>
            </w:tcBorders>
            <w:shd w:val="clear" w:color="auto" w:fill="auto"/>
            <w:noWrap/>
            <w:vAlign w:val="center"/>
            <w:hideMark/>
          </w:tcPr>
          <w:p w14:paraId="0D9712B5"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SPP</w:t>
            </w:r>
          </w:p>
        </w:tc>
        <w:tc>
          <w:tcPr>
            <w:tcW w:w="7290" w:type="dxa"/>
            <w:tcBorders>
              <w:top w:val="nil"/>
              <w:left w:val="nil"/>
              <w:bottom w:val="nil"/>
              <w:right w:val="nil"/>
            </w:tcBorders>
            <w:shd w:val="clear" w:color="auto" w:fill="auto"/>
            <w:noWrap/>
            <w:vAlign w:val="bottom"/>
            <w:hideMark/>
          </w:tcPr>
          <w:p w14:paraId="77B5743B"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Spoločná poľnohospodárska politika</w:t>
            </w:r>
          </w:p>
        </w:tc>
      </w:tr>
      <w:tr w:rsidR="00F22309" w:rsidRPr="00666914" w14:paraId="01F0D90B" w14:textId="77777777" w:rsidTr="00DE1D2A">
        <w:trPr>
          <w:trHeight w:val="260"/>
        </w:trPr>
        <w:tc>
          <w:tcPr>
            <w:tcW w:w="1782" w:type="dxa"/>
            <w:tcBorders>
              <w:top w:val="nil"/>
              <w:left w:val="nil"/>
              <w:bottom w:val="nil"/>
              <w:right w:val="nil"/>
            </w:tcBorders>
            <w:shd w:val="clear" w:color="auto" w:fill="auto"/>
            <w:noWrap/>
            <w:vAlign w:val="center"/>
            <w:hideMark/>
          </w:tcPr>
          <w:p w14:paraId="2D854BB5"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SR</w:t>
            </w:r>
          </w:p>
        </w:tc>
        <w:tc>
          <w:tcPr>
            <w:tcW w:w="7290" w:type="dxa"/>
            <w:tcBorders>
              <w:top w:val="nil"/>
              <w:left w:val="nil"/>
              <w:bottom w:val="nil"/>
              <w:right w:val="nil"/>
            </w:tcBorders>
            <w:shd w:val="clear" w:color="auto" w:fill="auto"/>
            <w:noWrap/>
            <w:vAlign w:val="bottom"/>
            <w:hideMark/>
          </w:tcPr>
          <w:p w14:paraId="6DB633DF"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Slovenská republika</w:t>
            </w:r>
          </w:p>
        </w:tc>
      </w:tr>
      <w:tr w:rsidR="00F22309" w:rsidRPr="00666914" w14:paraId="6E8F2B70" w14:textId="77777777" w:rsidTr="00DE1D2A">
        <w:trPr>
          <w:trHeight w:val="260"/>
        </w:trPr>
        <w:tc>
          <w:tcPr>
            <w:tcW w:w="1782" w:type="dxa"/>
            <w:tcBorders>
              <w:top w:val="nil"/>
              <w:left w:val="nil"/>
              <w:bottom w:val="nil"/>
              <w:right w:val="nil"/>
            </w:tcBorders>
            <w:shd w:val="clear" w:color="auto" w:fill="auto"/>
            <w:noWrap/>
            <w:vAlign w:val="center"/>
            <w:hideMark/>
          </w:tcPr>
          <w:p w14:paraId="0FC3252F"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SRSP</w:t>
            </w:r>
          </w:p>
        </w:tc>
        <w:tc>
          <w:tcPr>
            <w:tcW w:w="7290" w:type="dxa"/>
            <w:tcBorders>
              <w:top w:val="nil"/>
              <w:left w:val="nil"/>
              <w:bottom w:val="nil"/>
              <w:right w:val="nil"/>
            </w:tcBorders>
            <w:shd w:val="clear" w:color="auto" w:fill="auto"/>
            <w:noWrap/>
            <w:vAlign w:val="center"/>
            <w:hideMark/>
          </w:tcPr>
          <w:p w14:paraId="4C7639AB"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Program na podporu štrukturálnych reforiem EÚ</w:t>
            </w:r>
          </w:p>
        </w:tc>
      </w:tr>
      <w:tr w:rsidR="00F22309" w:rsidRPr="00666914" w14:paraId="7D6B7CBE" w14:textId="77777777" w:rsidTr="00DE1D2A">
        <w:trPr>
          <w:trHeight w:val="260"/>
        </w:trPr>
        <w:tc>
          <w:tcPr>
            <w:tcW w:w="1782" w:type="dxa"/>
            <w:tcBorders>
              <w:top w:val="nil"/>
              <w:left w:val="nil"/>
              <w:bottom w:val="nil"/>
              <w:right w:val="nil"/>
            </w:tcBorders>
            <w:shd w:val="clear" w:color="auto" w:fill="auto"/>
            <w:noWrap/>
            <w:vAlign w:val="center"/>
            <w:hideMark/>
          </w:tcPr>
          <w:p w14:paraId="05824B1F"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SSC </w:t>
            </w:r>
          </w:p>
        </w:tc>
        <w:tc>
          <w:tcPr>
            <w:tcW w:w="7290" w:type="dxa"/>
            <w:tcBorders>
              <w:top w:val="nil"/>
              <w:left w:val="nil"/>
              <w:bottom w:val="nil"/>
              <w:right w:val="nil"/>
            </w:tcBorders>
            <w:shd w:val="clear" w:color="auto" w:fill="auto"/>
            <w:vAlign w:val="center"/>
            <w:hideMark/>
          </w:tcPr>
          <w:p w14:paraId="7288993C"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Slovenská správa ciest </w:t>
            </w:r>
          </w:p>
        </w:tc>
      </w:tr>
      <w:tr w:rsidR="00F22309" w:rsidRPr="00666914" w14:paraId="0625C209" w14:textId="77777777" w:rsidTr="00DE1D2A">
        <w:trPr>
          <w:trHeight w:val="260"/>
        </w:trPr>
        <w:tc>
          <w:tcPr>
            <w:tcW w:w="1782" w:type="dxa"/>
            <w:tcBorders>
              <w:top w:val="nil"/>
              <w:left w:val="nil"/>
              <w:bottom w:val="nil"/>
              <w:right w:val="nil"/>
            </w:tcBorders>
            <w:shd w:val="clear" w:color="auto" w:fill="auto"/>
            <w:noWrap/>
            <w:vAlign w:val="center"/>
            <w:hideMark/>
          </w:tcPr>
          <w:p w14:paraId="1F9D7F3C"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SŠ </w:t>
            </w:r>
          </w:p>
        </w:tc>
        <w:tc>
          <w:tcPr>
            <w:tcW w:w="7290" w:type="dxa"/>
            <w:tcBorders>
              <w:top w:val="nil"/>
              <w:left w:val="nil"/>
              <w:bottom w:val="nil"/>
              <w:right w:val="nil"/>
            </w:tcBorders>
            <w:shd w:val="clear" w:color="auto" w:fill="auto"/>
            <w:vAlign w:val="center"/>
            <w:hideMark/>
          </w:tcPr>
          <w:p w14:paraId="7826DE29"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stredné školy </w:t>
            </w:r>
          </w:p>
        </w:tc>
      </w:tr>
      <w:tr w:rsidR="00F22309" w:rsidRPr="00666914" w14:paraId="5AABA67C" w14:textId="77777777" w:rsidTr="00DE1D2A">
        <w:trPr>
          <w:trHeight w:val="260"/>
        </w:trPr>
        <w:tc>
          <w:tcPr>
            <w:tcW w:w="1782" w:type="dxa"/>
            <w:tcBorders>
              <w:top w:val="nil"/>
              <w:left w:val="nil"/>
              <w:bottom w:val="nil"/>
              <w:right w:val="nil"/>
            </w:tcBorders>
            <w:shd w:val="clear" w:color="auto" w:fill="auto"/>
            <w:noWrap/>
            <w:vAlign w:val="center"/>
            <w:hideMark/>
          </w:tcPr>
          <w:p w14:paraId="71917F8D"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STU </w:t>
            </w:r>
          </w:p>
        </w:tc>
        <w:tc>
          <w:tcPr>
            <w:tcW w:w="7290" w:type="dxa"/>
            <w:tcBorders>
              <w:top w:val="nil"/>
              <w:left w:val="nil"/>
              <w:bottom w:val="nil"/>
              <w:right w:val="nil"/>
            </w:tcBorders>
            <w:shd w:val="clear" w:color="auto" w:fill="auto"/>
            <w:vAlign w:val="center"/>
            <w:hideMark/>
          </w:tcPr>
          <w:p w14:paraId="75D72B79"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Slovenská technická univerzita </w:t>
            </w:r>
          </w:p>
        </w:tc>
      </w:tr>
      <w:tr w:rsidR="00F22309" w:rsidRPr="00666914" w14:paraId="3962412C" w14:textId="77777777" w:rsidTr="00DE1D2A">
        <w:trPr>
          <w:trHeight w:val="260"/>
        </w:trPr>
        <w:tc>
          <w:tcPr>
            <w:tcW w:w="1782" w:type="dxa"/>
            <w:tcBorders>
              <w:top w:val="nil"/>
              <w:left w:val="nil"/>
              <w:bottom w:val="nil"/>
              <w:right w:val="nil"/>
            </w:tcBorders>
            <w:shd w:val="clear" w:color="auto" w:fill="auto"/>
            <w:noWrap/>
            <w:vAlign w:val="center"/>
            <w:hideMark/>
          </w:tcPr>
          <w:p w14:paraId="1E855103"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SVLZ</w:t>
            </w:r>
          </w:p>
        </w:tc>
        <w:tc>
          <w:tcPr>
            <w:tcW w:w="7290" w:type="dxa"/>
            <w:tcBorders>
              <w:top w:val="nil"/>
              <w:left w:val="nil"/>
              <w:bottom w:val="nil"/>
              <w:right w:val="nil"/>
            </w:tcBorders>
            <w:shd w:val="clear" w:color="auto" w:fill="auto"/>
            <w:noWrap/>
            <w:vAlign w:val="bottom"/>
            <w:hideMark/>
          </w:tcPr>
          <w:p w14:paraId="7B81B0A2" w14:textId="77777777" w:rsidR="00F22309" w:rsidRPr="00666914" w:rsidRDefault="00F22309" w:rsidP="00F22309">
            <w:pPr>
              <w:spacing w:after="0"/>
              <w:jc w:val="left"/>
              <w:rPr>
                <w:rFonts w:eastAsia="Times New Roman"/>
                <w:sz w:val="20"/>
                <w:szCs w:val="20"/>
                <w:lang w:eastAsia="sk-SK"/>
              </w:rPr>
            </w:pPr>
            <w:r w:rsidRPr="00666914">
              <w:rPr>
                <w:rFonts w:eastAsia="Times New Roman"/>
                <w:sz w:val="20"/>
                <w:szCs w:val="20"/>
                <w:lang w:eastAsia="sk-SK"/>
              </w:rPr>
              <w:t>Spoločné vyšetrovacie a liečebné zložky</w:t>
            </w:r>
          </w:p>
        </w:tc>
      </w:tr>
      <w:tr w:rsidR="00F22309" w:rsidRPr="00666914" w14:paraId="52705E07" w14:textId="77777777" w:rsidTr="00DE1D2A">
        <w:trPr>
          <w:trHeight w:val="260"/>
        </w:trPr>
        <w:tc>
          <w:tcPr>
            <w:tcW w:w="1782" w:type="dxa"/>
            <w:tcBorders>
              <w:top w:val="nil"/>
              <w:left w:val="nil"/>
              <w:bottom w:val="nil"/>
              <w:right w:val="nil"/>
            </w:tcBorders>
            <w:shd w:val="clear" w:color="auto" w:fill="auto"/>
            <w:noWrap/>
            <w:vAlign w:val="center"/>
            <w:hideMark/>
          </w:tcPr>
          <w:p w14:paraId="096AF474"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SVP š.p.</w:t>
            </w:r>
          </w:p>
        </w:tc>
        <w:tc>
          <w:tcPr>
            <w:tcW w:w="7290" w:type="dxa"/>
            <w:tcBorders>
              <w:top w:val="nil"/>
              <w:left w:val="nil"/>
              <w:bottom w:val="nil"/>
              <w:right w:val="nil"/>
            </w:tcBorders>
            <w:shd w:val="clear" w:color="auto" w:fill="auto"/>
            <w:vAlign w:val="center"/>
            <w:hideMark/>
          </w:tcPr>
          <w:p w14:paraId="6730B3D8"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Slovenský vodohospodársky podnik, š.p.</w:t>
            </w:r>
          </w:p>
        </w:tc>
      </w:tr>
      <w:tr w:rsidR="00F22309" w:rsidRPr="00666914" w14:paraId="4E29A347" w14:textId="77777777" w:rsidTr="00DE1D2A">
        <w:trPr>
          <w:trHeight w:val="260"/>
        </w:trPr>
        <w:tc>
          <w:tcPr>
            <w:tcW w:w="1782" w:type="dxa"/>
            <w:tcBorders>
              <w:top w:val="nil"/>
              <w:left w:val="nil"/>
              <w:bottom w:val="nil"/>
              <w:right w:val="nil"/>
            </w:tcBorders>
            <w:shd w:val="clear" w:color="auto" w:fill="auto"/>
            <w:noWrap/>
            <w:vAlign w:val="center"/>
            <w:hideMark/>
          </w:tcPr>
          <w:p w14:paraId="3BD41659"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lastRenderedPageBreak/>
              <w:t>SW</w:t>
            </w:r>
          </w:p>
        </w:tc>
        <w:tc>
          <w:tcPr>
            <w:tcW w:w="7290" w:type="dxa"/>
            <w:tcBorders>
              <w:top w:val="nil"/>
              <w:left w:val="nil"/>
              <w:bottom w:val="nil"/>
              <w:right w:val="nil"/>
            </w:tcBorders>
            <w:shd w:val="clear" w:color="auto" w:fill="auto"/>
            <w:vAlign w:val="bottom"/>
            <w:hideMark/>
          </w:tcPr>
          <w:p w14:paraId="526A2C12"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software</w:t>
            </w:r>
          </w:p>
        </w:tc>
      </w:tr>
      <w:tr w:rsidR="00F22309" w:rsidRPr="00666914" w14:paraId="63802649" w14:textId="77777777" w:rsidTr="00DE1D2A">
        <w:trPr>
          <w:trHeight w:val="260"/>
        </w:trPr>
        <w:tc>
          <w:tcPr>
            <w:tcW w:w="1782" w:type="dxa"/>
            <w:tcBorders>
              <w:top w:val="nil"/>
              <w:left w:val="nil"/>
              <w:bottom w:val="nil"/>
              <w:right w:val="nil"/>
            </w:tcBorders>
            <w:shd w:val="clear" w:color="auto" w:fill="auto"/>
            <w:noWrap/>
            <w:vAlign w:val="center"/>
            <w:hideMark/>
          </w:tcPr>
          <w:p w14:paraId="2E69B47C"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ŠDL</w:t>
            </w:r>
          </w:p>
        </w:tc>
        <w:tc>
          <w:tcPr>
            <w:tcW w:w="7290" w:type="dxa"/>
            <w:tcBorders>
              <w:top w:val="nil"/>
              <w:left w:val="nil"/>
              <w:bottom w:val="nil"/>
              <w:right w:val="nil"/>
            </w:tcBorders>
            <w:shd w:val="clear" w:color="auto" w:fill="auto"/>
            <w:vAlign w:val="center"/>
            <w:hideMark/>
          </w:tcPr>
          <w:p w14:paraId="283DBCC9"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štandardná dávka liečiva</w:t>
            </w:r>
          </w:p>
        </w:tc>
      </w:tr>
      <w:tr w:rsidR="00F22309" w:rsidRPr="00666914" w14:paraId="4D2EA12B" w14:textId="77777777" w:rsidTr="00DE1D2A">
        <w:trPr>
          <w:trHeight w:val="260"/>
        </w:trPr>
        <w:tc>
          <w:tcPr>
            <w:tcW w:w="1782" w:type="dxa"/>
            <w:tcBorders>
              <w:top w:val="nil"/>
              <w:left w:val="nil"/>
              <w:bottom w:val="nil"/>
              <w:right w:val="nil"/>
            </w:tcBorders>
            <w:shd w:val="clear" w:color="auto" w:fill="auto"/>
            <w:noWrap/>
            <w:vAlign w:val="center"/>
            <w:hideMark/>
          </w:tcPr>
          <w:p w14:paraId="4649B25C"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ŠDTP</w:t>
            </w:r>
          </w:p>
        </w:tc>
        <w:tc>
          <w:tcPr>
            <w:tcW w:w="7290" w:type="dxa"/>
            <w:tcBorders>
              <w:top w:val="nil"/>
              <w:left w:val="nil"/>
              <w:bottom w:val="nil"/>
              <w:right w:val="nil"/>
            </w:tcBorders>
            <w:shd w:val="clear" w:color="auto" w:fill="auto"/>
            <w:vAlign w:val="center"/>
            <w:hideMark/>
          </w:tcPr>
          <w:p w14:paraId="144C4638"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štandardné diagnostické a terapeutické postupy</w:t>
            </w:r>
          </w:p>
        </w:tc>
      </w:tr>
      <w:tr w:rsidR="00F22309" w:rsidRPr="00666914" w14:paraId="088642B7" w14:textId="77777777" w:rsidTr="00DE1D2A">
        <w:trPr>
          <w:trHeight w:val="260"/>
        </w:trPr>
        <w:tc>
          <w:tcPr>
            <w:tcW w:w="1782" w:type="dxa"/>
            <w:tcBorders>
              <w:top w:val="nil"/>
              <w:left w:val="nil"/>
              <w:bottom w:val="nil"/>
              <w:right w:val="nil"/>
            </w:tcBorders>
            <w:shd w:val="clear" w:color="auto" w:fill="auto"/>
            <w:noWrap/>
            <w:vAlign w:val="center"/>
            <w:hideMark/>
          </w:tcPr>
          <w:p w14:paraId="10E9CBC3"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ŠIOV </w:t>
            </w:r>
          </w:p>
        </w:tc>
        <w:tc>
          <w:tcPr>
            <w:tcW w:w="7290" w:type="dxa"/>
            <w:tcBorders>
              <w:top w:val="nil"/>
              <w:left w:val="nil"/>
              <w:bottom w:val="nil"/>
              <w:right w:val="nil"/>
            </w:tcBorders>
            <w:shd w:val="clear" w:color="auto" w:fill="auto"/>
            <w:vAlign w:val="center"/>
            <w:hideMark/>
          </w:tcPr>
          <w:p w14:paraId="743AA2D9"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Štátny inštitút odborného vzdelávania </w:t>
            </w:r>
          </w:p>
        </w:tc>
      </w:tr>
      <w:tr w:rsidR="00F22309" w:rsidRPr="00666914" w14:paraId="4B0F1C05" w14:textId="77777777" w:rsidTr="00DE1D2A">
        <w:trPr>
          <w:trHeight w:val="260"/>
        </w:trPr>
        <w:tc>
          <w:tcPr>
            <w:tcW w:w="1782" w:type="dxa"/>
            <w:tcBorders>
              <w:top w:val="nil"/>
              <w:left w:val="nil"/>
              <w:bottom w:val="nil"/>
              <w:right w:val="nil"/>
            </w:tcBorders>
            <w:shd w:val="clear" w:color="auto" w:fill="auto"/>
            <w:noWrap/>
            <w:vAlign w:val="center"/>
            <w:hideMark/>
          </w:tcPr>
          <w:p w14:paraId="21BA1EE7"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ŠOP SR</w:t>
            </w:r>
          </w:p>
        </w:tc>
        <w:tc>
          <w:tcPr>
            <w:tcW w:w="7290" w:type="dxa"/>
            <w:tcBorders>
              <w:top w:val="nil"/>
              <w:left w:val="nil"/>
              <w:bottom w:val="nil"/>
              <w:right w:val="nil"/>
            </w:tcBorders>
            <w:shd w:val="clear" w:color="auto" w:fill="auto"/>
            <w:vAlign w:val="center"/>
            <w:hideMark/>
          </w:tcPr>
          <w:p w14:paraId="7C405523"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Štátna ochrana prírody SR</w:t>
            </w:r>
          </w:p>
        </w:tc>
      </w:tr>
      <w:tr w:rsidR="00F22309" w:rsidRPr="00666914" w14:paraId="33DF928A" w14:textId="77777777" w:rsidTr="00DE1D2A">
        <w:trPr>
          <w:trHeight w:val="260"/>
        </w:trPr>
        <w:tc>
          <w:tcPr>
            <w:tcW w:w="1782" w:type="dxa"/>
            <w:tcBorders>
              <w:top w:val="nil"/>
              <w:left w:val="nil"/>
              <w:bottom w:val="nil"/>
              <w:right w:val="nil"/>
            </w:tcBorders>
            <w:shd w:val="clear" w:color="auto" w:fill="auto"/>
            <w:noWrap/>
            <w:vAlign w:val="center"/>
            <w:hideMark/>
          </w:tcPr>
          <w:p w14:paraId="1DB2D2D8"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ŠR</w:t>
            </w:r>
          </w:p>
        </w:tc>
        <w:tc>
          <w:tcPr>
            <w:tcW w:w="7290" w:type="dxa"/>
            <w:tcBorders>
              <w:top w:val="nil"/>
              <w:left w:val="nil"/>
              <w:bottom w:val="nil"/>
              <w:right w:val="nil"/>
            </w:tcBorders>
            <w:shd w:val="clear" w:color="auto" w:fill="auto"/>
            <w:noWrap/>
            <w:vAlign w:val="center"/>
            <w:hideMark/>
          </w:tcPr>
          <w:p w14:paraId="704F78F0"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štátny rozpočet</w:t>
            </w:r>
          </w:p>
        </w:tc>
      </w:tr>
      <w:tr w:rsidR="00F22309" w:rsidRPr="00666914" w14:paraId="59C8BAF5" w14:textId="77777777" w:rsidTr="00DE1D2A">
        <w:trPr>
          <w:trHeight w:val="260"/>
        </w:trPr>
        <w:tc>
          <w:tcPr>
            <w:tcW w:w="1782" w:type="dxa"/>
            <w:tcBorders>
              <w:top w:val="nil"/>
              <w:left w:val="nil"/>
              <w:bottom w:val="nil"/>
              <w:right w:val="nil"/>
            </w:tcBorders>
            <w:shd w:val="clear" w:color="auto" w:fill="auto"/>
            <w:noWrap/>
            <w:vAlign w:val="center"/>
            <w:hideMark/>
          </w:tcPr>
          <w:p w14:paraId="23057BA5"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ŠU</w:t>
            </w:r>
          </w:p>
        </w:tc>
        <w:tc>
          <w:tcPr>
            <w:tcW w:w="7290" w:type="dxa"/>
            <w:tcBorders>
              <w:top w:val="nil"/>
              <w:left w:val="nil"/>
              <w:bottom w:val="nil"/>
              <w:right w:val="nil"/>
            </w:tcBorders>
            <w:shd w:val="clear" w:color="auto" w:fill="auto"/>
            <w:noWrap/>
            <w:vAlign w:val="center"/>
            <w:hideMark/>
          </w:tcPr>
          <w:p w14:paraId="246535AC"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štúdia uskutočniteľnosti</w:t>
            </w:r>
          </w:p>
        </w:tc>
      </w:tr>
      <w:tr w:rsidR="00F22309" w:rsidRPr="00666914" w14:paraId="09EB1269" w14:textId="77777777" w:rsidTr="00DE1D2A">
        <w:trPr>
          <w:trHeight w:val="260"/>
        </w:trPr>
        <w:tc>
          <w:tcPr>
            <w:tcW w:w="1782" w:type="dxa"/>
            <w:tcBorders>
              <w:top w:val="nil"/>
              <w:left w:val="nil"/>
              <w:bottom w:val="nil"/>
              <w:right w:val="nil"/>
            </w:tcBorders>
            <w:shd w:val="clear" w:color="auto" w:fill="auto"/>
            <w:noWrap/>
            <w:vAlign w:val="center"/>
            <w:hideMark/>
          </w:tcPr>
          <w:p w14:paraId="04B9410B"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ŠÚ SR</w:t>
            </w:r>
          </w:p>
        </w:tc>
        <w:tc>
          <w:tcPr>
            <w:tcW w:w="7290" w:type="dxa"/>
            <w:tcBorders>
              <w:top w:val="nil"/>
              <w:left w:val="nil"/>
              <w:bottom w:val="nil"/>
              <w:right w:val="nil"/>
            </w:tcBorders>
            <w:shd w:val="clear" w:color="auto" w:fill="auto"/>
            <w:noWrap/>
            <w:vAlign w:val="center"/>
            <w:hideMark/>
          </w:tcPr>
          <w:p w14:paraId="5200F606"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Štatistický úrad Slovenskej republiky</w:t>
            </w:r>
          </w:p>
        </w:tc>
      </w:tr>
      <w:tr w:rsidR="00F22309" w:rsidRPr="00666914" w14:paraId="32232A45" w14:textId="77777777" w:rsidTr="00DE1D2A">
        <w:trPr>
          <w:trHeight w:val="260"/>
        </w:trPr>
        <w:tc>
          <w:tcPr>
            <w:tcW w:w="1782" w:type="dxa"/>
            <w:tcBorders>
              <w:top w:val="nil"/>
              <w:left w:val="nil"/>
              <w:bottom w:val="nil"/>
              <w:right w:val="nil"/>
            </w:tcBorders>
            <w:shd w:val="clear" w:color="auto" w:fill="auto"/>
            <w:noWrap/>
            <w:vAlign w:val="center"/>
            <w:hideMark/>
          </w:tcPr>
          <w:p w14:paraId="1A2DEB89"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ŠÚKL</w:t>
            </w:r>
          </w:p>
        </w:tc>
        <w:tc>
          <w:tcPr>
            <w:tcW w:w="7290" w:type="dxa"/>
            <w:tcBorders>
              <w:top w:val="nil"/>
              <w:left w:val="nil"/>
              <w:bottom w:val="nil"/>
              <w:right w:val="nil"/>
            </w:tcBorders>
            <w:shd w:val="clear" w:color="auto" w:fill="auto"/>
            <w:noWrap/>
            <w:vAlign w:val="bottom"/>
            <w:hideMark/>
          </w:tcPr>
          <w:p w14:paraId="6EB1B2BF" w14:textId="77777777" w:rsidR="00F22309" w:rsidRPr="00666914" w:rsidRDefault="00F22309" w:rsidP="00F22309">
            <w:pPr>
              <w:spacing w:after="0"/>
              <w:jc w:val="left"/>
              <w:rPr>
                <w:rFonts w:eastAsia="Times New Roman"/>
                <w:sz w:val="20"/>
                <w:szCs w:val="20"/>
                <w:lang w:eastAsia="sk-SK"/>
              </w:rPr>
            </w:pPr>
            <w:r w:rsidRPr="00666914">
              <w:rPr>
                <w:rFonts w:eastAsia="Times New Roman"/>
                <w:sz w:val="20"/>
                <w:szCs w:val="20"/>
                <w:lang w:eastAsia="sk-SK"/>
              </w:rPr>
              <w:t>Štátny ústav pre kontrolu liečiv</w:t>
            </w:r>
          </w:p>
        </w:tc>
      </w:tr>
      <w:tr w:rsidR="00F22309" w:rsidRPr="00666914" w14:paraId="297C18AF" w14:textId="77777777" w:rsidTr="00DE1D2A">
        <w:trPr>
          <w:trHeight w:val="260"/>
        </w:trPr>
        <w:tc>
          <w:tcPr>
            <w:tcW w:w="1782" w:type="dxa"/>
            <w:tcBorders>
              <w:top w:val="nil"/>
              <w:left w:val="nil"/>
              <w:bottom w:val="nil"/>
              <w:right w:val="nil"/>
            </w:tcBorders>
            <w:shd w:val="clear" w:color="auto" w:fill="auto"/>
            <w:noWrap/>
            <w:vAlign w:val="center"/>
            <w:hideMark/>
          </w:tcPr>
          <w:p w14:paraId="0A196DAA"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ŠVP </w:t>
            </w:r>
          </w:p>
        </w:tc>
        <w:tc>
          <w:tcPr>
            <w:tcW w:w="7290" w:type="dxa"/>
            <w:tcBorders>
              <w:top w:val="nil"/>
              <w:left w:val="nil"/>
              <w:bottom w:val="nil"/>
              <w:right w:val="nil"/>
            </w:tcBorders>
            <w:shd w:val="clear" w:color="auto" w:fill="auto"/>
            <w:vAlign w:val="center"/>
            <w:hideMark/>
          </w:tcPr>
          <w:p w14:paraId="0C90C902"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štátny vzdelávací program </w:t>
            </w:r>
          </w:p>
        </w:tc>
      </w:tr>
      <w:tr w:rsidR="00F22309" w:rsidRPr="00666914" w14:paraId="1D076A56" w14:textId="77777777" w:rsidTr="00DE1D2A">
        <w:trPr>
          <w:trHeight w:val="260"/>
        </w:trPr>
        <w:tc>
          <w:tcPr>
            <w:tcW w:w="1782" w:type="dxa"/>
            <w:tcBorders>
              <w:top w:val="nil"/>
              <w:left w:val="nil"/>
              <w:bottom w:val="nil"/>
              <w:right w:val="nil"/>
            </w:tcBorders>
            <w:shd w:val="clear" w:color="auto" w:fill="auto"/>
            <w:noWrap/>
            <w:vAlign w:val="center"/>
            <w:hideMark/>
          </w:tcPr>
          <w:p w14:paraId="18CBCBF1"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ŠVPS</w:t>
            </w:r>
          </w:p>
        </w:tc>
        <w:tc>
          <w:tcPr>
            <w:tcW w:w="7290" w:type="dxa"/>
            <w:tcBorders>
              <w:top w:val="nil"/>
              <w:left w:val="nil"/>
              <w:bottom w:val="nil"/>
              <w:right w:val="nil"/>
            </w:tcBorders>
            <w:shd w:val="clear" w:color="auto" w:fill="auto"/>
            <w:noWrap/>
            <w:vAlign w:val="bottom"/>
            <w:hideMark/>
          </w:tcPr>
          <w:p w14:paraId="5D5B9246"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Štátna veterniárna a potravinová správa</w:t>
            </w:r>
          </w:p>
        </w:tc>
      </w:tr>
      <w:tr w:rsidR="00F22309" w:rsidRPr="00666914" w14:paraId="2240F27C" w14:textId="77777777" w:rsidTr="00DE1D2A">
        <w:trPr>
          <w:trHeight w:val="260"/>
        </w:trPr>
        <w:tc>
          <w:tcPr>
            <w:tcW w:w="1782" w:type="dxa"/>
            <w:tcBorders>
              <w:top w:val="nil"/>
              <w:left w:val="nil"/>
              <w:bottom w:val="nil"/>
              <w:right w:val="nil"/>
            </w:tcBorders>
            <w:shd w:val="clear" w:color="auto" w:fill="auto"/>
            <w:noWrap/>
            <w:vAlign w:val="center"/>
            <w:hideMark/>
          </w:tcPr>
          <w:p w14:paraId="40873617"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ŠZM</w:t>
            </w:r>
          </w:p>
        </w:tc>
        <w:tc>
          <w:tcPr>
            <w:tcW w:w="7290" w:type="dxa"/>
            <w:tcBorders>
              <w:top w:val="nil"/>
              <w:left w:val="nil"/>
              <w:bottom w:val="nil"/>
              <w:right w:val="nil"/>
            </w:tcBorders>
            <w:shd w:val="clear" w:color="auto" w:fill="auto"/>
            <w:vAlign w:val="center"/>
            <w:hideMark/>
          </w:tcPr>
          <w:p w14:paraId="1E32E9D2"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špeciálny zdravotnícky materiál</w:t>
            </w:r>
          </w:p>
        </w:tc>
      </w:tr>
      <w:tr w:rsidR="00F22309" w:rsidRPr="00666914" w14:paraId="323B6AAD" w14:textId="77777777" w:rsidTr="00DE1D2A">
        <w:trPr>
          <w:trHeight w:val="260"/>
        </w:trPr>
        <w:tc>
          <w:tcPr>
            <w:tcW w:w="1782" w:type="dxa"/>
            <w:tcBorders>
              <w:top w:val="nil"/>
              <w:left w:val="nil"/>
              <w:bottom w:val="nil"/>
              <w:right w:val="nil"/>
            </w:tcBorders>
            <w:shd w:val="clear" w:color="auto" w:fill="auto"/>
            <w:noWrap/>
            <w:vAlign w:val="center"/>
            <w:hideMark/>
          </w:tcPr>
          <w:p w14:paraId="30A346AE"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T5</w:t>
            </w:r>
          </w:p>
        </w:tc>
        <w:tc>
          <w:tcPr>
            <w:tcW w:w="7290" w:type="dxa"/>
            <w:tcBorders>
              <w:top w:val="nil"/>
              <w:left w:val="nil"/>
              <w:bottom w:val="nil"/>
              <w:right w:val="nil"/>
            </w:tcBorders>
            <w:shd w:val="clear" w:color="auto" w:fill="auto"/>
            <w:noWrap/>
            <w:vAlign w:val="center"/>
            <w:hideMark/>
          </w:tcPr>
          <w:p w14:paraId="02DB4D91"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testovanie žiakov 5. ročníka základných škôl</w:t>
            </w:r>
          </w:p>
        </w:tc>
      </w:tr>
      <w:tr w:rsidR="00F22309" w:rsidRPr="00666914" w14:paraId="3186E931" w14:textId="77777777" w:rsidTr="00DE1D2A">
        <w:trPr>
          <w:trHeight w:val="260"/>
        </w:trPr>
        <w:tc>
          <w:tcPr>
            <w:tcW w:w="1782" w:type="dxa"/>
            <w:tcBorders>
              <w:top w:val="nil"/>
              <w:left w:val="nil"/>
              <w:bottom w:val="nil"/>
              <w:right w:val="nil"/>
            </w:tcBorders>
            <w:shd w:val="clear" w:color="auto" w:fill="auto"/>
            <w:noWrap/>
            <w:vAlign w:val="center"/>
            <w:hideMark/>
          </w:tcPr>
          <w:p w14:paraId="2C782EC4"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T9</w:t>
            </w:r>
          </w:p>
        </w:tc>
        <w:tc>
          <w:tcPr>
            <w:tcW w:w="7290" w:type="dxa"/>
            <w:tcBorders>
              <w:top w:val="nil"/>
              <w:left w:val="nil"/>
              <w:bottom w:val="nil"/>
              <w:right w:val="nil"/>
            </w:tcBorders>
            <w:shd w:val="clear" w:color="auto" w:fill="auto"/>
            <w:noWrap/>
            <w:vAlign w:val="center"/>
            <w:hideMark/>
          </w:tcPr>
          <w:p w14:paraId="19A6DD5D"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testovanie žiakov 9. ročníka základných škôl a 4.ročníka osemročných gymnázií</w:t>
            </w:r>
          </w:p>
        </w:tc>
      </w:tr>
      <w:tr w:rsidR="00F22309" w:rsidRPr="00666914" w14:paraId="0E645899" w14:textId="77777777" w:rsidTr="00DE1D2A">
        <w:trPr>
          <w:trHeight w:val="260"/>
        </w:trPr>
        <w:tc>
          <w:tcPr>
            <w:tcW w:w="1782" w:type="dxa"/>
            <w:tcBorders>
              <w:top w:val="nil"/>
              <w:left w:val="nil"/>
              <w:bottom w:val="nil"/>
              <w:right w:val="nil"/>
            </w:tcBorders>
            <w:shd w:val="clear" w:color="auto" w:fill="auto"/>
            <w:noWrap/>
            <w:vAlign w:val="center"/>
            <w:hideMark/>
          </w:tcPr>
          <w:p w14:paraId="1FACBD51"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TPS</w:t>
            </w:r>
          </w:p>
        </w:tc>
        <w:tc>
          <w:tcPr>
            <w:tcW w:w="7290" w:type="dxa"/>
            <w:tcBorders>
              <w:top w:val="nil"/>
              <w:left w:val="nil"/>
              <w:bottom w:val="nil"/>
              <w:right w:val="nil"/>
            </w:tcBorders>
            <w:shd w:val="clear" w:color="auto" w:fill="auto"/>
            <w:vAlign w:val="center"/>
            <w:hideMark/>
          </w:tcPr>
          <w:p w14:paraId="40E78EF6"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tarifa za prevádzkovanie systému</w:t>
            </w:r>
          </w:p>
        </w:tc>
      </w:tr>
      <w:tr w:rsidR="00F22309" w:rsidRPr="00666914" w14:paraId="0E72C476" w14:textId="77777777" w:rsidTr="00DE1D2A">
        <w:trPr>
          <w:trHeight w:val="260"/>
        </w:trPr>
        <w:tc>
          <w:tcPr>
            <w:tcW w:w="1782" w:type="dxa"/>
            <w:tcBorders>
              <w:top w:val="nil"/>
              <w:left w:val="nil"/>
              <w:bottom w:val="nil"/>
              <w:right w:val="nil"/>
            </w:tcBorders>
            <w:shd w:val="clear" w:color="auto" w:fill="auto"/>
            <w:noWrap/>
            <w:vAlign w:val="center"/>
            <w:hideMark/>
          </w:tcPr>
          <w:p w14:paraId="3AA7A845"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ŤZP</w:t>
            </w:r>
          </w:p>
        </w:tc>
        <w:tc>
          <w:tcPr>
            <w:tcW w:w="7290" w:type="dxa"/>
            <w:tcBorders>
              <w:top w:val="nil"/>
              <w:left w:val="nil"/>
              <w:bottom w:val="nil"/>
              <w:right w:val="nil"/>
            </w:tcBorders>
            <w:shd w:val="clear" w:color="auto" w:fill="auto"/>
            <w:noWrap/>
            <w:vAlign w:val="center"/>
            <w:hideMark/>
          </w:tcPr>
          <w:p w14:paraId="4CEF2BDE"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ťažké zdravotné postihnutie</w:t>
            </w:r>
          </w:p>
        </w:tc>
      </w:tr>
      <w:tr w:rsidR="00F22309" w:rsidRPr="00666914" w14:paraId="7F34B9E5" w14:textId="77777777" w:rsidTr="00DE1D2A">
        <w:trPr>
          <w:trHeight w:val="260"/>
        </w:trPr>
        <w:tc>
          <w:tcPr>
            <w:tcW w:w="1782" w:type="dxa"/>
            <w:tcBorders>
              <w:top w:val="nil"/>
              <w:left w:val="nil"/>
              <w:bottom w:val="nil"/>
              <w:right w:val="nil"/>
            </w:tcBorders>
            <w:shd w:val="clear" w:color="auto" w:fill="auto"/>
            <w:noWrap/>
            <w:vAlign w:val="center"/>
            <w:hideMark/>
          </w:tcPr>
          <w:p w14:paraId="63E78A0E"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ÚDZS</w:t>
            </w:r>
          </w:p>
        </w:tc>
        <w:tc>
          <w:tcPr>
            <w:tcW w:w="7290" w:type="dxa"/>
            <w:tcBorders>
              <w:top w:val="nil"/>
              <w:left w:val="nil"/>
              <w:bottom w:val="nil"/>
              <w:right w:val="nil"/>
            </w:tcBorders>
            <w:shd w:val="clear" w:color="auto" w:fill="auto"/>
            <w:noWrap/>
            <w:vAlign w:val="bottom"/>
            <w:hideMark/>
          </w:tcPr>
          <w:p w14:paraId="44A814DA" w14:textId="77777777" w:rsidR="00F22309" w:rsidRPr="00666914" w:rsidRDefault="00F22309" w:rsidP="00F22309">
            <w:pPr>
              <w:spacing w:after="0"/>
              <w:jc w:val="left"/>
              <w:rPr>
                <w:rFonts w:eastAsia="Times New Roman"/>
                <w:sz w:val="20"/>
                <w:szCs w:val="20"/>
                <w:lang w:eastAsia="sk-SK"/>
              </w:rPr>
            </w:pPr>
            <w:r w:rsidRPr="00666914">
              <w:rPr>
                <w:rFonts w:eastAsia="Times New Roman"/>
                <w:sz w:val="20"/>
                <w:szCs w:val="20"/>
                <w:lang w:eastAsia="sk-SK"/>
              </w:rPr>
              <w:t>Úrad pre dohľad nad zdravotnou starostlivosťou</w:t>
            </w:r>
          </w:p>
        </w:tc>
      </w:tr>
      <w:tr w:rsidR="00F22309" w:rsidRPr="00666914" w14:paraId="1377E7D2" w14:textId="77777777" w:rsidTr="00DE1D2A">
        <w:trPr>
          <w:trHeight w:val="260"/>
        </w:trPr>
        <w:tc>
          <w:tcPr>
            <w:tcW w:w="1782" w:type="dxa"/>
            <w:tcBorders>
              <w:top w:val="nil"/>
              <w:left w:val="nil"/>
              <w:bottom w:val="nil"/>
              <w:right w:val="nil"/>
            </w:tcBorders>
            <w:shd w:val="clear" w:color="auto" w:fill="auto"/>
            <w:noWrap/>
            <w:vAlign w:val="center"/>
            <w:hideMark/>
          </w:tcPr>
          <w:p w14:paraId="24CC8A11"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ÚEV</w:t>
            </w:r>
          </w:p>
        </w:tc>
        <w:tc>
          <w:tcPr>
            <w:tcW w:w="7290" w:type="dxa"/>
            <w:tcBorders>
              <w:top w:val="nil"/>
              <w:left w:val="nil"/>
              <w:bottom w:val="nil"/>
              <w:right w:val="nil"/>
            </w:tcBorders>
            <w:shd w:val="clear" w:color="auto" w:fill="auto"/>
            <w:vAlign w:val="center"/>
            <w:hideMark/>
          </w:tcPr>
          <w:p w14:paraId="55D97C06"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územia európskeho významu</w:t>
            </w:r>
          </w:p>
        </w:tc>
      </w:tr>
      <w:tr w:rsidR="00F22309" w:rsidRPr="00666914" w14:paraId="7A9F5AEC" w14:textId="77777777" w:rsidTr="00DE1D2A">
        <w:trPr>
          <w:trHeight w:val="260"/>
        </w:trPr>
        <w:tc>
          <w:tcPr>
            <w:tcW w:w="1782" w:type="dxa"/>
            <w:tcBorders>
              <w:top w:val="nil"/>
              <w:left w:val="nil"/>
              <w:bottom w:val="nil"/>
              <w:right w:val="nil"/>
            </w:tcBorders>
            <w:shd w:val="clear" w:color="auto" w:fill="auto"/>
            <w:noWrap/>
            <w:vAlign w:val="center"/>
            <w:hideMark/>
          </w:tcPr>
          <w:p w14:paraId="7A051D81"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ÚHP </w:t>
            </w:r>
          </w:p>
        </w:tc>
        <w:tc>
          <w:tcPr>
            <w:tcW w:w="7290" w:type="dxa"/>
            <w:tcBorders>
              <w:top w:val="nil"/>
              <w:left w:val="nil"/>
              <w:bottom w:val="nil"/>
              <w:right w:val="nil"/>
            </w:tcBorders>
            <w:shd w:val="clear" w:color="auto" w:fill="auto"/>
            <w:vAlign w:val="center"/>
            <w:hideMark/>
          </w:tcPr>
          <w:p w14:paraId="3149E33D"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Útvar hodnoty za peniaze </w:t>
            </w:r>
          </w:p>
        </w:tc>
      </w:tr>
      <w:tr w:rsidR="00F22309" w:rsidRPr="00666914" w14:paraId="41FB3DC7" w14:textId="77777777" w:rsidTr="00DE1D2A">
        <w:trPr>
          <w:trHeight w:val="260"/>
        </w:trPr>
        <w:tc>
          <w:tcPr>
            <w:tcW w:w="1782" w:type="dxa"/>
            <w:tcBorders>
              <w:top w:val="nil"/>
              <w:left w:val="nil"/>
              <w:bottom w:val="nil"/>
              <w:right w:val="nil"/>
            </w:tcBorders>
            <w:shd w:val="clear" w:color="auto" w:fill="auto"/>
            <w:noWrap/>
            <w:vAlign w:val="center"/>
            <w:hideMark/>
          </w:tcPr>
          <w:p w14:paraId="4E6FFFAD"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ÚK</w:t>
            </w:r>
          </w:p>
        </w:tc>
        <w:tc>
          <w:tcPr>
            <w:tcW w:w="7290" w:type="dxa"/>
            <w:tcBorders>
              <w:top w:val="nil"/>
              <w:left w:val="nil"/>
              <w:bottom w:val="nil"/>
              <w:right w:val="nil"/>
            </w:tcBorders>
            <w:shd w:val="clear" w:color="auto" w:fill="auto"/>
            <w:vAlign w:val="center"/>
            <w:hideMark/>
          </w:tcPr>
          <w:p w14:paraId="39B07813"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územné konanie</w:t>
            </w:r>
          </w:p>
        </w:tc>
      </w:tr>
      <w:tr w:rsidR="00F22309" w:rsidRPr="00666914" w14:paraId="3A81EE3C" w14:textId="77777777" w:rsidTr="00DE1D2A">
        <w:trPr>
          <w:trHeight w:val="260"/>
        </w:trPr>
        <w:tc>
          <w:tcPr>
            <w:tcW w:w="1782" w:type="dxa"/>
            <w:tcBorders>
              <w:top w:val="nil"/>
              <w:left w:val="nil"/>
              <w:bottom w:val="nil"/>
              <w:right w:val="nil"/>
            </w:tcBorders>
            <w:shd w:val="clear" w:color="auto" w:fill="auto"/>
            <w:noWrap/>
            <w:vAlign w:val="center"/>
            <w:hideMark/>
          </w:tcPr>
          <w:p w14:paraId="5E7DE311"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UN</w:t>
            </w:r>
          </w:p>
        </w:tc>
        <w:tc>
          <w:tcPr>
            <w:tcW w:w="7290" w:type="dxa"/>
            <w:tcBorders>
              <w:top w:val="nil"/>
              <w:left w:val="nil"/>
              <w:bottom w:val="nil"/>
              <w:right w:val="nil"/>
            </w:tcBorders>
            <w:shd w:val="clear" w:color="auto" w:fill="auto"/>
            <w:noWrap/>
            <w:vAlign w:val="bottom"/>
            <w:hideMark/>
          </w:tcPr>
          <w:p w14:paraId="1E7CF2F9" w14:textId="77777777" w:rsidR="00F22309" w:rsidRPr="00666914" w:rsidRDefault="00F22309" w:rsidP="00F22309">
            <w:pPr>
              <w:spacing w:after="0"/>
              <w:jc w:val="left"/>
              <w:rPr>
                <w:rFonts w:eastAsia="Times New Roman"/>
                <w:sz w:val="20"/>
                <w:szCs w:val="20"/>
                <w:lang w:eastAsia="sk-SK"/>
              </w:rPr>
            </w:pPr>
            <w:r w:rsidRPr="00666914">
              <w:rPr>
                <w:rFonts w:eastAsia="Times New Roman"/>
                <w:sz w:val="20"/>
                <w:szCs w:val="20"/>
                <w:lang w:eastAsia="sk-SK"/>
              </w:rPr>
              <w:t>Univerzitná nemocnica</w:t>
            </w:r>
          </w:p>
        </w:tc>
      </w:tr>
      <w:tr w:rsidR="00F22309" w:rsidRPr="00666914" w14:paraId="59C7DA14" w14:textId="77777777" w:rsidTr="00DE1D2A">
        <w:trPr>
          <w:trHeight w:val="260"/>
        </w:trPr>
        <w:tc>
          <w:tcPr>
            <w:tcW w:w="1782" w:type="dxa"/>
            <w:tcBorders>
              <w:top w:val="nil"/>
              <w:left w:val="nil"/>
              <w:bottom w:val="nil"/>
              <w:right w:val="nil"/>
            </w:tcBorders>
            <w:shd w:val="clear" w:color="auto" w:fill="auto"/>
            <w:noWrap/>
            <w:vAlign w:val="center"/>
            <w:hideMark/>
          </w:tcPr>
          <w:p w14:paraId="259D3AFB"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UN BA</w:t>
            </w:r>
          </w:p>
        </w:tc>
        <w:tc>
          <w:tcPr>
            <w:tcW w:w="7290" w:type="dxa"/>
            <w:tcBorders>
              <w:top w:val="nil"/>
              <w:left w:val="nil"/>
              <w:bottom w:val="nil"/>
              <w:right w:val="nil"/>
            </w:tcBorders>
            <w:shd w:val="clear" w:color="auto" w:fill="auto"/>
            <w:noWrap/>
            <w:vAlign w:val="bottom"/>
            <w:hideMark/>
          </w:tcPr>
          <w:p w14:paraId="1BEC7817" w14:textId="77777777" w:rsidR="00F22309" w:rsidRPr="00666914" w:rsidRDefault="00F22309" w:rsidP="00F22309">
            <w:pPr>
              <w:spacing w:after="0"/>
              <w:jc w:val="left"/>
              <w:rPr>
                <w:rFonts w:eastAsia="Times New Roman"/>
                <w:sz w:val="20"/>
                <w:szCs w:val="20"/>
                <w:lang w:eastAsia="sk-SK"/>
              </w:rPr>
            </w:pPr>
            <w:r w:rsidRPr="00666914">
              <w:rPr>
                <w:rFonts w:eastAsia="Times New Roman"/>
                <w:sz w:val="20"/>
                <w:szCs w:val="20"/>
                <w:lang w:eastAsia="sk-SK"/>
              </w:rPr>
              <w:t>Univerzitná nemocnica Bratislava</w:t>
            </w:r>
          </w:p>
        </w:tc>
      </w:tr>
      <w:tr w:rsidR="00F22309" w:rsidRPr="00666914" w14:paraId="71537533" w14:textId="77777777" w:rsidTr="00DE1D2A">
        <w:trPr>
          <w:trHeight w:val="260"/>
        </w:trPr>
        <w:tc>
          <w:tcPr>
            <w:tcW w:w="1782" w:type="dxa"/>
            <w:tcBorders>
              <w:top w:val="nil"/>
              <w:left w:val="nil"/>
              <w:bottom w:val="nil"/>
              <w:right w:val="nil"/>
            </w:tcBorders>
            <w:shd w:val="clear" w:color="auto" w:fill="auto"/>
            <w:noWrap/>
            <w:vAlign w:val="center"/>
            <w:hideMark/>
          </w:tcPr>
          <w:p w14:paraId="6306154B"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UN KE</w:t>
            </w:r>
          </w:p>
        </w:tc>
        <w:tc>
          <w:tcPr>
            <w:tcW w:w="7290" w:type="dxa"/>
            <w:tcBorders>
              <w:top w:val="nil"/>
              <w:left w:val="nil"/>
              <w:bottom w:val="nil"/>
              <w:right w:val="nil"/>
            </w:tcBorders>
            <w:shd w:val="clear" w:color="auto" w:fill="auto"/>
            <w:noWrap/>
            <w:vAlign w:val="bottom"/>
            <w:hideMark/>
          </w:tcPr>
          <w:p w14:paraId="7B6BCAE4" w14:textId="77777777" w:rsidR="00F22309" w:rsidRPr="00666914" w:rsidRDefault="00F22309" w:rsidP="00F22309">
            <w:pPr>
              <w:spacing w:after="0"/>
              <w:jc w:val="left"/>
              <w:rPr>
                <w:rFonts w:eastAsia="Times New Roman"/>
                <w:sz w:val="20"/>
                <w:szCs w:val="20"/>
                <w:lang w:eastAsia="sk-SK"/>
              </w:rPr>
            </w:pPr>
            <w:r w:rsidRPr="00666914">
              <w:rPr>
                <w:rFonts w:eastAsia="Times New Roman"/>
                <w:sz w:val="20"/>
                <w:szCs w:val="20"/>
                <w:lang w:eastAsia="sk-SK"/>
              </w:rPr>
              <w:t>Univerzitná nemocnica L. Pasteura Košice</w:t>
            </w:r>
          </w:p>
        </w:tc>
      </w:tr>
      <w:tr w:rsidR="00F22309" w:rsidRPr="00666914" w14:paraId="4612E60A" w14:textId="77777777" w:rsidTr="00DE1D2A">
        <w:trPr>
          <w:trHeight w:val="260"/>
        </w:trPr>
        <w:tc>
          <w:tcPr>
            <w:tcW w:w="1782" w:type="dxa"/>
            <w:tcBorders>
              <w:top w:val="nil"/>
              <w:left w:val="nil"/>
              <w:bottom w:val="nil"/>
              <w:right w:val="nil"/>
            </w:tcBorders>
            <w:shd w:val="clear" w:color="auto" w:fill="auto"/>
            <w:noWrap/>
            <w:vAlign w:val="center"/>
            <w:hideMark/>
          </w:tcPr>
          <w:p w14:paraId="29C426C8"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UN MT</w:t>
            </w:r>
          </w:p>
        </w:tc>
        <w:tc>
          <w:tcPr>
            <w:tcW w:w="7290" w:type="dxa"/>
            <w:tcBorders>
              <w:top w:val="nil"/>
              <w:left w:val="nil"/>
              <w:bottom w:val="nil"/>
              <w:right w:val="nil"/>
            </w:tcBorders>
            <w:shd w:val="clear" w:color="auto" w:fill="auto"/>
            <w:noWrap/>
            <w:vAlign w:val="bottom"/>
            <w:hideMark/>
          </w:tcPr>
          <w:p w14:paraId="651086DE" w14:textId="77777777" w:rsidR="00F22309" w:rsidRPr="00666914" w:rsidRDefault="00F22309" w:rsidP="00F22309">
            <w:pPr>
              <w:spacing w:after="0"/>
              <w:jc w:val="left"/>
              <w:rPr>
                <w:rFonts w:eastAsia="Times New Roman"/>
                <w:sz w:val="20"/>
                <w:szCs w:val="20"/>
                <w:lang w:eastAsia="sk-SK"/>
              </w:rPr>
            </w:pPr>
            <w:r w:rsidRPr="00666914">
              <w:rPr>
                <w:rFonts w:eastAsia="Times New Roman"/>
                <w:sz w:val="20"/>
                <w:szCs w:val="20"/>
                <w:lang w:eastAsia="sk-SK"/>
              </w:rPr>
              <w:t>Univerzitná nemocnica Martin</w:t>
            </w:r>
          </w:p>
        </w:tc>
      </w:tr>
      <w:tr w:rsidR="00F22309" w:rsidRPr="00666914" w14:paraId="2FFAB730" w14:textId="77777777" w:rsidTr="00DE1D2A">
        <w:trPr>
          <w:trHeight w:val="260"/>
        </w:trPr>
        <w:tc>
          <w:tcPr>
            <w:tcW w:w="1782" w:type="dxa"/>
            <w:tcBorders>
              <w:top w:val="nil"/>
              <w:left w:val="nil"/>
              <w:bottom w:val="nil"/>
              <w:right w:val="nil"/>
            </w:tcBorders>
            <w:shd w:val="clear" w:color="auto" w:fill="auto"/>
            <w:noWrap/>
            <w:vAlign w:val="center"/>
            <w:hideMark/>
          </w:tcPr>
          <w:p w14:paraId="5E0FDCFB"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UoZ </w:t>
            </w:r>
          </w:p>
        </w:tc>
        <w:tc>
          <w:tcPr>
            <w:tcW w:w="7290" w:type="dxa"/>
            <w:tcBorders>
              <w:top w:val="nil"/>
              <w:left w:val="nil"/>
              <w:bottom w:val="nil"/>
              <w:right w:val="nil"/>
            </w:tcBorders>
            <w:shd w:val="clear" w:color="auto" w:fill="auto"/>
            <w:vAlign w:val="center"/>
            <w:hideMark/>
          </w:tcPr>
          <w:p w14:paraId="219D70BD"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uchádzač o zamestnanie </w:t>
            </w:r>
          </w:p>
        </w:tc>
      </w:tr>
      <w:tr w:rsidR="00F22309" w:rsidRPr="00666914" w14:paraId="15638520" w14:textId="77777777" w:rsidTr="00DE1D2A">
        <w:trPr>
          <w:trHeight w:val="260"/>
        </w:trPr>
        <w:tc>
          <w:tcPr>
            <w:tcW w:w="1782" w:type="dxa"/>
            <w:tcBorders>
              <w:top w:val="nil"/>
              <w:left w:val="nil"/>
              <w:bottom w:val="nil"/>
              <w:right w:val="nil"/>
            </w:tcBorders>
            <w:shd w:val="clear" w:color="auto" w:fill="auto"/>
            <w:noWrap/>
            <w:vAlign w:val="center"/>
            <w:hideMark/>
          </w:tcPr>
          <w:p w14:paraId="40526C94"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ÚPSVaR</w:t>
            </w:r>
          </w:p>
        </w:tc>
        <w:tc>
          <w:tcPr>
            <w:tcW w:w="7290" w:type="dxa"/>
            <w:tcBorders>
              <w:top w:val="nil"/>
              <w:left w:val="nil"/>
              <w:bottom w:val="nil"/>
              <w:right w:val="nil"/>
            </w:tcBorders>
            <w:shd w:val="clear" w:color="auto" w:fill="auto"/>
            <w:noWrap/>
            <w:vAlign w:val="center"/>
            <w:hideMark/>
          </w:tcPr>
          <w:p w14:paraId="351C2FD3"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Ústredie práce, sociálnych vecí a rodiny </w:t>
            </w:r>
          </w:p>
        </w:tc>
      </w:tr>
      <w:tr w:rsidR="00F22309" w:rsidRPr="00666914" w14:paraId="4E9CC3D3" w14:textId="77777777" w:rsidTr="00DE1D2A">
        <w:trPr>
          <w:trHeight w:val="260"/>
        </w:trPr>
        <w:tc>
          <w:tcPr>
            <w:tcW w:w="1782" w:type="dxa"/>
            <w:tcBorders>
              <w:top w:val="nil"/>
              <w:left w:val="nil"/>
              <w:bottom w:val="nil"/>
              <w:right w:val="nil"/>
            </w:tcBorders>
            <w:shd w:val="clear" w:color="auto" w:fill="auto"/>
            <w:noWrap/>
            <w:vAlign w:val="center"/>
            <w:hideMark/>
          </w:tcPr>
          <w:p w14:paraId="25F6DD71"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ÚPVII</w:t>
            </w:r>
          </w:p>
        </w:tc>
        <w:tc>
          <w:tcPr>
            <w:tcW w:w="7290" w:type="dxa"/>
            <w:tcBorders>
              <w:top w:val="nil"/>
              <w:left w:val="nil"/>
              <w:bottom w:val="nil"/>
              <w:right w:val="nil"/>
            </w:tcBorders>
            <w:shd w:val="clear" w:color="auto" w:fill="auto"/>
            <w:noWrap/>
            <w:vAlign w:val="center"/>
            <w:hideMark/>
          </w:tcPr>
          <w:p w14:paraId="0A99F01A"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Úrad podpredsedu vlády SR pre investície a informatizáciu </w:t>
            </w:r>
          </w:p>
        </w:tc>
      </w:tr>
      <w:tr w:rsidR="00F22309" w:rsidRPr="00666914" w14:paraId="26743A80" w14:textId="77777777" w:rsidTr="00DE1D2A">
        <w:trPr>
          <w:trHeight w:val="260"/>
        </w:trPr>
        <w:tc>
          <w:tcPr>
            <w:tcW w:w="1782" w:type="dxa"/>
            <w:tcBorders>
              <w:top w:val="nil"/>
              <w:left w:val="nil"/>
              <w:bottom w:val="nil"/>
              <w:right w:val="nil"/>
            </w:tcBorders>
            <w:shd w:val="clear" w:color="auto" w:fill="auto"/>
            <w:noWrap/>
            <w:vAlign w:val="center"/>
            <w:hideMark/>
          </w:tcPr>
          <w:p w14:paraId="6F116033"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ÚPVS</w:t>
            </w:r>
          </w:p>
        </w:tc>
        <w:tc>
          <w:tcPr>
            <w:tcW w:w="7290" w:type="dxa"/>
            <w:tcBorders>
              <w:top w:val="nil"/>
              <w:left w:val="nil"/>
              <w:bottom w:val="nil"/>
              <w:right w:val="nil"/>
            </w:tcBorders>
            <w:shd w:val="clear" w:color="auto" w:fill="auto"/>
            <w:vAlign w:val="bottom"/>
            <w:hideMark/>
          </w:tcPr>
          <w:p w14:paraId="08A4699C"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Ústredný portál verejnej správy</w:t>
            </w:r>
          </w:p>
        </w:tc>
      </w:tr>
      <w:tr w:rsidR="00F22309" w:rsidRPr="00666914" w14:paraId="00C7ACFF" w14:textId="77777777" w:rsidTr="00DE1D2A">
        <w:trPr>
          <w:trHeight w:val="260"/>
        </w:trPr>
        <w:tc>
          <w:tcPr>
            <w:tcW w:w="1782" w:type="dxa"/>
            <w:tcBorders>
              <w:top w:val="nil"/>
              <w:left w:val="nil"/>
              <w:bottom w:val="nil"/>
              <w:right w:val="nil"/>
            </w:tcBorders>
            <w:shd w:val="clear" w:color="auto" w:fill="auto"/>
            <w:noWrap/>
            <w:vAlign w:val="center"/>
            <w:hideMark/>
          </w:tcPr>
          <w:p w14:paraId="53F4F626"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ÚR</w:t>
            </w:r>
          </w:p>
        </w:tc>
        <w:tc>
          <w:tcPr>
            <w:tcW w:w="7290" w:type="dxa"/>
            <w:tcBorders>
              <w:top w:val="nil"/>
              <w:left w:val="nil"/>
              <w:bottom w:val="nil"/>
              <w:right w:val="nil"/>
            </w:tcBorders>
            <w:shd w:val="clear" w:color="auto" w:fill="auto"/>
            <w:vAlign w:val="center"/>
            <w:hideMark/>
          </w:tcPr>
          <w:p w14:paraId="7793EBBD"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územné rozhodnutie</w:t>
            </w:r>
          </w:p>
        </w:tc>
      </w:tr>
      <w:tr w:rsidR="00F22309" w:rsidRPr="00666914" w14:paraId="585BDF05" w14:textId="77777777" w:rsidTr="00DE1D2A">
        <w:trPr>
          <w:trHeight w:val="260"/>
        </w:trPr>
        <w:tc>
          <w:tcPr>
            <w:tcW w:w="1782" w:type="dxa"/>
            <w:tcBorders>
              <w:top w:val="nil"/>
              <w:left w:val="nil"/>
              <w:bottom w:val="nil"/>
              <w:right w:val="nil"/>
            </w:tcBorders>
            <w:shd w:val="clear" w:color="auto" w:fill="auto"/>
            <w:noWrap/>
            <w:vAlign w:val="center"/>
            <w:hideMark/>
          </w:tcPr>
          <w:p w14:paraId="07446584"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ÚRZ</w:t>
            </w:r>
          </w:p>
        </w:tc>
        <w:tc>
          <w:tcPr>
            <w:tcW w:w="7290" w:type="dxa"/>
            <w:tcBorders>
              <w:top w:val="nil"/>
              <w:left w:val="nil"/>
              <w:bottom w:val="nil"/>
              <w:right w:val="nil"/>
            </w:tcBorders>
            <w:shd w:val="clear" w:color="auto" w:fill="auto"/>
            <w:noWrap/>
            <w:vAlign w:val="bottom"/>
            <w:hideMark/>
          </w:tcPr>
          <w:p w14:paraId="65F7393E"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Úrad regionálneho zdravotníctva</w:t>
            </w:r>
          </w:p>
        </w:tc>
      </w:tr>
      <w:tr w:rsidR="00F22309" w:rsidRPr="00666914" w14:paraId="4594FEAC" w14:textId="77777777" w:rsidTr="00DE1D2A">
        <w:trPr>
          <w:trHeight w:val="260"/>
        </w:trPr>
        <w:tc>
          <w:tcPr>
            <w:tcW w:w="1782" w:type="dxa"/>
            <w:tcBorders>
              <w:top w:val="nil"/>
              <w:left w:val="nil"/>
              <w:bottom w:val="nil"/>
              <w:right w:val="nil"/>
            </w:tcBorders>
            <w:shd w:val="clear" w:color="auto" w:fill="auto"/>
            <w:noWrap/>
            <w:vAlign w:val="center"/>
            <w:hideMark/>
          </w:tcPr>
          <w:p w14:paraId="57879CBB"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ÚV SR</w:t>
            </w:r>
          </w:p>
        </w:tc>
        <w:tc>
          <w:tcPr>
            <w:tcW w:w="7290" w:type="dxa"/>
            <w:tcBorders>
              <w:top w:val="nil"/>
              <w:left w:val="nil"/>
              <w:bottom w:val="nil"/>
              <w:right w:val="nil"/>
            </w:tcBorders>
            <w:shd w:val="clear" w:color="auto" w:fill="auto"/>
            <w:vAlign w:val="center"/>
            <w:hideMark/>
          </w:tcPr>
          <w:p w14:paraId="08948A94"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Úrad vlády Slovenskej republiky</w:t>
            </w:r>
          </w:p>
        </w:tc>
      </w:tr>
      <w:tr w:rsidR="00F22309" w:rsidRPr="00666914" w14:paraId="67899F71" w14:textId="77777777" w:rsidTr="00DE1D2A">
        <w:trPr>
          <w:trHeight w:val="260"/>
        </w:trPr>
        <w:tc>
          <w:tcPr>
            <w:tcW w:w="1782" w:type="dxa"/>
            <w:tcBorders>
              <w:top w:val="nil"/>
              <w:left w:val="nil"/>
              <w:bottom w:val="nil"/>
              <w:right w:val="nil"/>
            </w:tcBorders>
            <w:shd w:val="clear" w:color="auto" w:fill="auto"/>
            <w:noWrap/>
            <w:vAlign w:val="center"/>
            <w:hideMark/>
          </w:tcPr>
          <w:p w14:paraId="7FFADB15"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ÚVO</w:t>
            </w:r>
          </w:p>
        </w:tc>
        <w:tc>
          <w:tcPr>
            <w:tcW w:w="7290" w:type="dxa"/>
            <w:tcBorders>
              <w:top w:val="nil"/>
              <w:left w:val="nil"/>
              <w:bottom w:val="nil"/>
              <w:right w:val="nil"/>
            </w:tcBorders>
            <w:shd w:val="clear" w:color="auto" w:fill="auto"/>
            <w:vAlign w:val="center"/>
            <w:hideMark/>
          </w:tcPr>
          <w:p w14:paraId="55B3A339"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Úrad pre verejné obstarávanie</w:t>
            </w:r>
          </w:p>
        </w:tc>
      </w:tr>
      <w:tr w:rsidR="00F22309" w:rsidRPr="00666914" w14:paraId="4D46EFE1" w14:textId="77777777" w:rsidTr="00DE1D2A">
        <w:trPr>
          <w:trHeight w:val="260"/>
        </w:trPr>
        <w:tc>
          <w:tcPr>
            <w:tcW w:w="1782" w:type="dxa"/>
            <w:tcBorders>
              <w:top w:val="nil"/>
              <w:left w:val="nil"/>
              <w:bottom w:val="nil"/>
              <w:right w:val="nil"/>
            </w:tcBorders>
            <w:shd w:val="clear" w:color="auto" w:fill="auto"/>
            <w:noWrap/>
            <w:vAlign w:val="center"/>
            <w:hideMark/>
          </w:tcPr>
          <w:p w14:paraId="25B694CF"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ÚVZ</w:t>
            </w:r>
          </w:p>
        </w:tc>
        <w:tc>
          <w:tcPr>
            <w:tcW w:w="7290" w:type="dxa"/>
            <w:tcBorders>
              <w:top w:val="nil"/>
              <w:left w:val="nil"/>
              <w:bottom w:val="nil"/>
              <w:right w:val="nil"/>
            </w:tcBorders>
            <w:shd w:val="clear" w:color="auto" w:fill="auto"/>
            <w:vAlign w:val="center"/>
            <w:hideMark/>
          </w:tcPr>
          <w:p w14:paraId="68778C1C"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Úrad verejného zdravotníctva</w:t>
            </w:r>
          </w:p>
        </w:tc>
      </w:tr>
      <w:tr w:rsidR="00F22309" w:rsidRPr="00666914" w14:paraId="769800F2" w14:textId="77777777" w:rsidTr="00DE1D2A">
        <w:trPr>
          <w:trHeight w:val="260"/>
        </w:trPr>
        <w:tc>
          <w:tcPr>
            <w:tcW w:w="1782" w:type="dxa"/>
            <w:tcBorders>
              <w:top w:val="nil"/>
              <w:left w:val="nil"/>
              <w:bottom w:val="nil"/>
              <w:right w:val="nil"/>
            </w:tcBorders>
            <w:shd w:val="clear" w:color="auto" w:fill="auto"/>
            <w:noWrap/>
            <w:vAlign w:val="center"/>
            <w:hideMark/>
          </w:tcPr>
          <w:p w14:paraId="356D5F2F"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UX manuál</w:t>
            </w:r>
          </w:p>
        </w:tc>
        <w:tc>
          <w:tcPr>
            <w:tcW w:w="7290" w:type="dxa"/>
            <w:tcBorders>
              <w:top w:val="nil"/>
              <w:left w:val="nil"/>
              <w:bottom w:val="nil"/>
              <w:right w:val="nil"/>
            </w:tcBorders>
            <w:shd w:val="clear" w:color="auto" w:fill="auto"/>
            <w:vAlign w:val="center"/>
            <w:hideMark/>
          </w:tcPr>
          <w:p w14:paraId="3FE95CC0"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User Experience manuál</w:t>
            </w:r>
          </w:p>
        </w:tc>
      </w:tr>
      <w:tr w:rsidR="00F22309" w:rsidRPr="00666914" w14:paraId="3D53F0C2" w14:textId="77777777" w:rsidTr="00DE1D2A">
        <w:trPr>
          <w:trHeight w:val="260"/>
        </w:trPr>
        <w:tc>
          <w:tcPr>
            <w:tcW w:w="1782" w:type="dxa"/>
            <w:tcBorders>
              <w:top w:val="nil"/>
              <w:left w:val="nil"/>
              <w:bottom w:val="nil"/>
              <w:right w:val="nil"/>
            </w:tcBorders>
            <w:shd w:val="clear" w:color="auto" w:fill="auto"/>
            <w:noWrap/>
            <w:vAlign w:val="center"/>
            <w:hideMark/>
          </w:tcPr>
          <w:p w14:paraId="406943E4"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ÚZS</w:t>
            </w:r>
          </w:p>
        </w:tc>
        <w:tc>
          <w:tcPr>
            <w:tcW w:w="7290" w:type="dxa"/>
            <w:tcBorders>
              <w:top w:val="nil"/>
              <w:left w:val="nil"/>
              <w:bottom w:val="nil"/>
              <w:right w:val="nil"/>
            </w:tcBorders>
            <w:shd w:val="clear" w:color="auto" w:fill="auto"/>
            <w:noWrap/>
            <w:vAlign w:val="bottom"/>
            <w:hideMark/>
          </w:tcPr>
          <w:p w14:paraId="215E64F6" w14:textId="77777777" w:rsidR="00F22309" w:rsidRPr="00666914" w:rsidRDefault="00F22309" w:rsidP="00F22309">
            <w:pPr>
              <w:spacing w:after="0"/>
              <w:jc w:val="left"/>
              <w:rPr>
                <w:rFonts w:eastAsia="Times New Roman"/>
                <w:sz w:val="20"/>
                <w:szCs w:val="20"/>
                <w:lang w:eastAsia="sk-SK"/>
              </w:rPr>
            </w:pPr>
            <w:r w:rsidRPr="00666914">
              <w:rPr>
                <w:rFonts w:eastAsia="Times New Roman"/>
                <w:sz w:val="20"/>
                <w:szCs w:val="20"/>
                <w:lang w:eastAsia="sk-SK"/>
              </w:rPr>
              <w:t>ústavná zdravotná starostlivosť</w:t>
            </w:r>
          </w:p>
        </w:tc>
      </w:tr>
      <w:tr w:rsidR="00F22309" w:rsidRPr="00666914" w14:paraId="5E07440F" w14:textId="77777777" w:rsidTr="00DE1D2A">
        <w:trPr>
          <w:trHeight w:val="260"/>
        </w:trPr>
        <w:tc>
          <w:tcPr>
            <w:tcW w:w="1782" w:type="dxa"/>
            <w:tcBorders>
              <w:top w:val="nil"/>
              <w:left w:val="nil"/>
              <w:bottom w:val="nil"/>
              <w:right w:val="nil"/>
            </w:tcBorders>
            <w:shd w:val="clear" w:color="auto" w:fill="auto"/>
            <w:noWrap/>
            <w:vAlign w:val="center"/>
            <w:hideMark/>
          </w:tcPr>
          <w:p w14:paraId="58480F94"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VC </w:t>
            </w:r>
          </w:p>
        </w:tc>
        <w:tc>
          <w:tcPr>
            <w:tcW w:w="7290" w:type="dxa"/>
            <w:tcBorders>
              <w:top w:val="nil"/>
              <w:left w:val="nil"/>
              <w:bottom w:val="nil"/>
              <w:right w:val="nil"/>
            </w:tcBorders>
            <w:shd w:val="clear" w:color="auto" w:fill="auto"/>
            <w:vAlign w:val="center"/>
            <w:hideMark/>
          </w:tcPr>
          <w:p w14:paraId="5F8A7715"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vládny cloud </w:t>
            </w:r>
          </w:p>
        </w:tc>
      </w:tr>
      <w:tr w:rsidR="00F22309" w:rsidRPr="00666914" w14:paraId="44C151BC" w14:textId="77777777" w:rsidTr="00DE1D2A">
        <w:trPr>
          <w:trHeight w:val="260"/>
        </w:trPr>
        <w:tc>
          <w:tcPr>
            <w:tcW w:w="1782" w:type="dxa"/>
            <w:tcBorders>
              <w:top w:val="nil"/>
              <w:left w:val="nil"/>
              <w:bottom w:val="nil"/>
              <w:right w:val="nil"/>
            </w:tcBorders>
            <w:shd w:val="clear" w:color="auto" w:fill="auto"/>
            <w:noWrap/>
            <w:vAlign w:val="center"/>
            <w:hideMark/>
          </w:tcPr>
          <w:p w14:paraId="682D01E5"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VEGA </w:t>
            </w:r>
          </w:p>
        </w:tc>
        <w:tc>
          <w:tcPr>
            <w:tcW w:w="7290" w:type="dxa"/>
            <w:tcBorders>
              <w:top w:val="nil"/>
              <w:left w:val="nil"/>
              <w:bottom w:val="nil"/>
              <w:right w:val="nil"/>
            </w:tcBorders>
            <w:shd w:val="clear" w:color="auto" w:fill="auto"/>
            <w:vAlign w:val="center"/>
            <w:hideMark/>
          </w:tcPr>
          <w:p w14:paraId="21AEAA20"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Vedecká grantová agentúra </w:t>
            </w:r>
          </w:p>
        </w:tc>
      </w:tr>
      <w:tr w:rsidR="00F22309" w:rsidRPr="00666914" w14:paraId="656B5E1F" w14:textId="77777777" w:rsidTr="00DE1D2A">
        <w:trPr>
          <w:trHeight w:val="260"/>
        </w:trPr>
        <w:tc>
          <w:tcPr>
            <w:tcW w:w="1782" w:type="dxa"/>
            <w:tcBorders>
              <w:top w:val="nil"/>
              <w:left w:val="nil"/>
              <w:bottom w:val="nil"/>
              <w:right w:val="nil"/>
            </w:tcBorders>
            <w:shd w:val="clear" w:color="auto" w:fill="auto"/>
            <w:noWrap/>
            <w:vAlign w:val="center"/>
            <w:hideMark/>
          </w:tcPr>
          <w:p w14:paraId="47697768"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VF</w:t>
            </w:r>
          </w:p>
        </w:tc>
        <w:tc>
          <w:tcPr>
            <w:tcW w:w="7290" w:type="dxa"/>
            <w:tcBorders>
              <w:top w:val="nil"/>
              <w:left w:val="nil"/>
              <w:bottom w:val="nil"/>
              <w:right w:val="nil"/>
            </w:tcBorders>
            <w:shd w:val="clear" w:color="auto" w:fill="auto"/>
            <w:noWrap/>
            <w:vAlign w:val="center"/>
            <w:hideMark/>
          </w:tcPr>
          <w:p w14:paraId="3416B004"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vyvážený fond</w:t>
            </w:r>
          </w:p>
        </w:tc>
      </w:tr>
      <w:tr w:rsidR="00F22309" w:rsidRPr="00666914" w14:paraId="2E182613" w14:textId="77777777" w:rsidTr="00DE1D2A">
        <w:trPr>
          <w:trHeight w:val="260"/>
        </w:trPr>
        <w:tc>
          <w:tcPr>
            <w:tcW w:w="1782" w:type="dxa"/>
            <w:tcBorders>
              <w:top w:val="nil"/>
              <w:left w:val="nil"/>
              <w:bottom w:val="nil"/>
              <w:right w:val="nil"/>
            </w:tcBorders>
            <w:shd w:val="clear" w:color="auto" w:fill="auto"/>
            <w:noWrap/>
            <w:vAlign w:val="center"/>
            <w:hideMark/>
          </w:tcPr>
          <w:p w14:paraId="6306AED7"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VH</w:t>
            </w:r>
          </w:p>
        </w:tc>
        <w:tc>
          <w:tcPr>
            <w:tcW w:w="7290" w:type="dxa"/>
            <w:tcBorders>
              <w:top w:val="nil"/>
              <w:left w:val="nil"/>
              <w:bottom w:val="nil"/>
              <w:right w:val="nil"/>
            </w:tcBorders>
            <w:shd w:val="clear" w:color="auto" w:fill="auto"/>
            <w:noWrap/>
            <w:vAlign w:val="bottom"/>
            <w:hideMark/>
          </w:tcPr>
          <w:p w14:paraId="126E574F"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výsledok hospodárenia</w:t>
            </w:r>
          </w:p>
        </w:tc>
      </w:tr>
      <w:tr w:rsidR="00F22309" w:rsidRPr="00666914" w14:paraId="015BDFFE" w14:textId="77777777" w:rsidTr="00DE1D2A">
        <w:trPr>
          <w:trHeight w:val="260"/>
        </w:trPr>
        <w:tc>
          <w:tcPr>
            <w:tcW w:w="1782" w:type="dxa"/>
            <w:tcBorders>
              <w:top w:val="nil"/>
              <w:left w:val="nil"/>
              <w:bottom w:val="nil"/>
              <w:right w:val="nil"/>
            </w:tcBorders>
            <w:shd w:val="clear" w:color="auto" w:fill="auto"/>
            <w:noWrap/>
            <w:vAlign w:val="center"/>
            <w:hideMark/>
          </w:tcPr>
          <w:p w14:paraId="6F797F77"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vlkm</w:t>
            </w:r>
          </w:p>
        </w:tc>
        <w:tc>
          <w:tcPr>
            <w:tcW w:w="7290" w:type="dxa"/>
            <w:tcBorders>
              <w:top w:val="nil"/>
              <w:left w:val="nil"/>
              <w:bottom w:val="nil"/>
              <w:right w:val="nil"/>
            </w:tcBorders>
            <w:shd w:val="clear" w:color="auto" w:fill="auto"/>
            <w:vAlign w:val="center"/>
            <w:hideMark/>
          </w:tcPr>
          <w:p w14:paraId="231BECE5"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vlakokilometre</w:t>
            </w:r>
          </w:p>
        </w:tc>
      </w:tr>
      <w:tr w:rsidR="00F22309" w:rsidRPr="00666914" w14:paraId="3F099729" w14:textId="77777777" w:rsidTr="00DE1D2A">
        <w:trPr>
          <w:trHeight w:val="260"/>
        </w:trPr>
        <w:tc>
          <w:tcPr>
            <w:tcW w:w="1782" w:type="dxa"/>
            <w:tcBorders>
              <w:top w:val="nil"/>
              <w:left w:val="nil"/>
              <w:bottom w:val="nil"/>
              <w:right w:val="nil"/>
            </w:tcBorders>
            <w:shd w:val="clear" w:color="auto" w:fill="auto"/>
            <w:noWrap/>
            <w:vAlign w:val="center"/>
            <w:hideMark/>
          </w:tcPr>
          <w:p w14:paraId="3CACBBBC"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VN</w:t>
            </w:r>
          </w:p>
        </w:tc>
        <w:tc>
          <w:tcPr>
            <w:tcW w:w="7290" w:type="dxa"/>
            <w:tcBorders>
              <w:top w:val="nil"/>
              <w:left w:val="nil"/>
              <w:bottom w:val="nil"/>
              <w:right w:val="nil"/>
            </w:tcBorders>
            <w:shd w:val="clear" w:color="auto" w:fill="auto"/>
            <w:vAlign w:val="center"/>
            <w:hideMark/>
          </w:tcPr>
          <w:p w14:paraId="49AAF86F"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vodná nádrž</w:t>
            </w:r>
          </w:p>
        </w:tc>
      </w:tr>
      <w:tr w:rsidR="00F22309" w:rsidRPr="00666914" w14:paraId="27A8789C" w14:textId="77777777" w:rsidTr="00DE1D2A">
        <w:trPr>
          <w:trHeight w:val="260"/>
        </w:trPr>
        <w:tc>
          <w:tcPr>
            <w:tcW w:w="1782" w:type="dxa"/>
            <w:tcBorders>
              <w:top w:val="nil"/>
              <w:left w:val="nil"/>
              <w:bottom w:val="nil"/>
              <w:right w:val="nil"/>
            </w:tcBorders>
            <w:shd w:val="clear" w:color="auto" w:fill="auto"/>
            <w:noWrap/>
            <w:vAlign w:val="center"/>
            <w:hideMark/>
          </w:tcPr>
          <w:p w14:paraId="6DF8DBC1"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VO </w:t>
            </w:r>
          </w:p>
        </w:tc>
        <w:tc>
          <w:tcPr>
            <w:tcW w:w="7290" w:type="dxa"/>
            <w:tcBorders>
              <w:top w:val="nil"/>
              <w:left w:val="nil"/>
              <w:bottom w:val="nil"/>
              <w:right w:val="nil"/>
            </w:tcBorders>
            <w:shd w:val="clear" w:color="auto" w:fill="auto"/>
            <w:vAlign w:val="center"/>
            <w:hideMark/>
          </w:tcPr>
          <w:p w14:paraId="7F136F79"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verejné obstarávanie </w:t>
            </w:r>
          </w:p>
        </w:tc>
      </w:tr>
      <w:tr w:rsidR="00F22309" w:rsidRPr="00666914" w14:paraId="3AC7609F" w14:textId="77777777" w:rsidTr="00DE1D2A">
        <w:trPr>
          <w:trHeight w:val="260"/>
        </w:trPr>
        <w:tc>
          <w:tcPr>
            <w:tcW w:w="1782" w:type="dxa"/>
            <w:tcBorders>
              <w:top w:val="nil"/>
              <w:left w:val="nil"/>
              <w:bottom w:val="nil"/>
              <w:right w:val="nil"/>
            </w:tcBorders>
            <w:shd w:val="clear" w:color="auto" w:fill="auto"/>
            <w:noWrap/>
            <w:vAlign w:val="center"/>
            <w:hideMark/>
          </w:tcPr>
          <w:p w14:paraId="0527B1B2"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VŠ </w:t>
            </w:r>
          </w:p>
        </w:tc>
        <w:tc>
          <w:tcPr>
            <w:tcW w:w="7290" w:type="dxa"/>
            <w:tcBorders>
              <w:top w:val="nil"/>
              <w:left w:val="nil"/>
              <w:bottom w:val="nil"/>
              <w:right w:val="nil"/>
            </w:tcBorders>
            <w:shd w:val="clear" w:color="auto" w:fill="auto"/>
            <w:vAlign w:val="center"/>
            <w:hideMark/>
          </w:tcPr>
          <w:p w14:paraId="5ED8B5E8"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vysoké školy </w:t>
            </w:r>
          </w:p>
        </w:tc>
      </w:tr>
      <w:tr w:rsidR="00F22309" w:rsidRPr="00666914" w14:paraId="5AE59342" w14:textId="77777777" w:rsidTr="00DE1D2A">
        <w:trPr>
          <w:trHeight w:val="260"/>
        </w:trPr>
        <w:tc>
          <w:tcPr>
            <w:tcW w:w="1782" w:type="dxa"/>
            <w:tcBorders>
              <w:top w:val="nil"/>
              <w:left w:val="nil"/>
              <w:bottom w:val="nil"/>
              <w:right w:val="nil"/>
            </w:tcBorders>
            <w:shd w:val="clear" w:color="auto" w:fill="auto"/>
            <w:noWrap/>
            <w:vAlign w:val="center"/>
            <w:hideMark/>
          </w:tcPr>
          <w:p w14:paraId="0DD2775A"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VšZP</w:t>
            </w:r>
          </w:p>
        </w:tc>
        <w:tc>
          <w:tcPr>
            <w:tcW w:w="7290" w:type="dxa"/>
            <w:tcBorders>
              <w:top w:val="nil"/>
              <w:left w:val="nil"/>
              <w:bottom w:val="nil"/>
              <w:right w:val="nil"/>
            </w:tcBorders>
            <w:shd w:val="clear" w:color="auto" w:fill="auto"/>
            <w:noWrap/>
            <w:vAlign w:val="bottom"/>
            <w:hideMark/>
          </w:tcPr>
          <w:p w14:paraId="5E396507" w14:textId="77777777" w:rsidR="00F22309" w:rsidRPr="00666914" w:rsidRDefault="00F22309" w:rsidP="00F22309">
            <w:pPr>
              <w:spacing w:after="0"/>
              <w:jc w:val="left"/>
              <w:rPr>
                <w:rFonts w:eastAsia="Times New Roman"/>
                <w:sz w:val="20"/>
                <w:szCs w:val="20"/>
                <w:lang w:eastAsia="sk-SK"/>
              </w:rPr>
            </w:pPr>
            <w:r w:rsidRPr="00666914">
              <w:rPr>
                <w:rFonts w:eastAsia="Times New Roman"/>
                <w:sz w:val="20"/>
                <w:szCs w:val="20"/>
                <w:lang w:eastAsia="sk-SK"/>
              </w:rPr>
              <w:t>Všeobecná zdravotná poisťovňa, a. s.</w:t>
            </w:r>
          </w:p>
        </w:tc>
      </w:tr>
      <w:tr w:rsidR="00F22309" w:rsidRPr="00666914" w14:paraId="234E855D" w14:textId="77777777" w:rsidTr="00DE1D2A">
        <w:trPr>
          <w:trHeight w:val="260"/>
        </w:trPr>
        <w:tc>
          <w:tcPr>
            <w:tcW w:w="1782" w:type="dxa"/>
            <w:tcBorders>
              <w:top w:val="nil"/>
              <w:left w:val="nil"/>
              <w:bottom w:val="nil"/>
              <w:right w:val="nil"/>
            </w:tcBorders>
            <w:shd w:val="clear" w:color="auto" w:fill="auto"/>
            <w:noWrap/>
            <w:vAlign w:val="center"/>
            <w:hideMark/>
          </w:tcPr>
          <w:p w14:paraId="344F4363"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VÚC</w:t>
            </w:r>
          </w:p>
        </w:tc>
        <w:tc>
          <w:tcPr>
            <w:tcW w:w="7290" w:type="dxa"/>
            <w:tcBorders>
              <w:top w:val="nil"/>
              <w:left w:val="nil"/>
              <w:bottom w:val="nil"/>
              <w:right w:val="nil"/>
            </w:tcBorders>
            <w:shd w:val="clear" w:color="auto" w:fill="auto"/>
            <w:vAlign w:val="center"/>
            <w:hideMark/>
          </w:tcPr>
          <w:p w14:paraId="5FD902D5"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vyšší územný celok</w:t>
            </w:r>
          </w:p>
        </w:tc>
      </w:tr>
      <w:tr w:rsidR="00F22309" w:rsidRPr="00666914" w14:paraId="63B32852" w14:textId="77777777" w:rsidTr="00DE1D2A">
        <w:trPr>
          <w:trHeight w:val="260"/>
        </w:trPr>
        <w:tc>
          <w:tcPr>
            <w:tcW w:w="1782" w:type="dxa"/>
            <w:tcBorders>
              <w:top w:val="nil"/>
              <w:left w:val="nil"/>
              <w:bottom w:val="nil"/>
              <w:right w:val="nil"/>
            </w:tcBorders>
            <w:shd w:val="clear" w:color="auto" w:fill="auto"/>
            <w:noWrap/>
            <w:vAlign w:val="center"/>
            <w:hideMark/>
          </w:tcPr>
          <w:p w14:paraId="165F0E6A"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VÚD </w:t>
            </w:r>
          </w:p>
        </w:tc>
        <w:tc>
          <w:tcPr>
            <w:tcW w:w="7290" w:type="dxa"/>
            <w:tcBorders>
              <w:top w:val="nil"/>
              <w:left w:val="nil"/>
              <w:bottom w:val="nil"/>
              <w:right w:val="nil"/>
            </w:tcBorders>
            <w:shd w:val="clear" w:color="auto" w:fill="auto"/>
            <w:vAlign w:val="center"/>
            <w:hideMark/>
          </w:tcPr>
          <w:p w14:paraId="57B8B2E0"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Výskumný ústav dopravný</w:t>
            </w:r>
          </w:p>
        </w:tc>
      </w:tr>
      <w:tr w:rsidR="00F22309" w:rsidRPr="00666914" w14:paraId="0A988162" w14:textId="77777777" w:rsidTr="00DE1D2A">
        <w:trPr>
          <w:trHeight w:val="260"/>
        </w:trPr>
        <w:tc>
          <w:tcPr>
            <w:tcW w:w="1782" w:type="dxa"/>
            <w:tcBorders>
              <w:top w:val="nil"/>
              <w:left w:val="nil"/>
              <w:bottom w:val="nil"/>
              <w:right w:val="nil"/>
            </w:tcBorders>
            <w:shd w:val="clear" w:color="auto" w:fill="auto"/>
            <w:noWrap/>
            <w:vAlign w:val="center"/>
            <w:hideMark/>
          </w:tcPr>
          <w:p w14:paraId="6B1EAFAC"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VÚVH</w:t>
            </w:r>
          </w:p>
        </w:tc>
        <w:tc>
          <w:tcPr>
            <w:tcW w:w="7290" w:type="dxa"/>
            <w:tcBorders>
              <w:top w:val="nil"/>
              <w:left w:val="nil"/>
              <w:bottom w:val="nil"/>
              <w:right w:val="nil"/>
            </w:tcBorders>
            <w:shd w:val="clear" w:color="auto" w:fill="auto"/>
            <w:vAlign w:val="center"/>
            <w:hideMark/>
          </w:tcPr>
          <w:p w14:paraId="13464A2E"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Výskumný ústav vodného hospodárstva</w:t>
            </w:r>
          </w:p>
        </w:tc>
      </w:tr>
      <w:tr w:rsidR="00F22309" w:rsidRPr="00666914" w14:paraId="5CCB3200" w14:textId="77777777" w:rsidTr="00DE1D2A">
        <w:trPr>
          <w:trHeight w:val="260"/>
        </w:trPr>
        <w:tc>
          <w:tcPr>
            <w:tcW w:w="1782" w:type="dxa"/>
            <w:tcBorders>
              <w:top w:val="nil"/>
              <w:left w:val="nil"/>
              <w:bottom w:val="nil"/>
              <w:right w:val="nil"/>
            </w:tcBorders>
            <w:shd w:val="clear" w:color="auto" w:fill="auto"/>
            <w:noWrap/>
            <w:vAlign w:val="center"/>
            <w:hideMark/>
          </w:tcPr>
          <w:p w14:paraId="17A848B2"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VV</w:t>
            </w:r>
          </w:p>
        </w:tc>
        <w:tc>
          <w:tcPr>
            <w:tcW w:w="7290" w:type="dxa"/>
            <w:tcBorders>
              <w:top w:val="nil"/>
              <w:left w:val="nil"/>
              <w:bottom w:val="nil"/>
              <w:right w:val="nil"/>
            </w:tcBorders>
            <w:shd w:val="clear" w:color="auto" w:fill="auto"/>
            <w:vAlign w:val="center"/>
            <w:hideMark/>
          </w:tcPr>
          <w:p w14:paraId="2DF9A211"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Vodohospodárska výstavba, š. p.</w:t>
            </w:r>
          </w:p>
        </w:tc>
      </w:tr>
      <w:tr w:rsidR="00F22309" w:rsidRPr="00666914" w14:paraId="7AB605E8" w14:textId="77777777" w:rsidTr="00DE1D2A">
        <w:trPr>
          <w:trHeight w:val="260"/>
        </w:trPr>
        <w:tc>
          <w:tcPr>
            <w:tcW w:w="1782" w:type="dxa"/>
            <w:tcBorders>
              <w:top w:val="nil"/>
              <w:left w:val="nil"/>
              <w:bottom w:val="nil"/>
              <w:right w:val="nil"/>
            </w:tcBorders>
            <w:shd w:val="clear" w:color="auto" w:fill="auto"/>
            <w:noWrap/>
            <w:vAlign w:val="center"/>
            <w:hideMark/>
          </w:tcPr>
          <w:p w14:paraId="7A4A234E"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VZP</w:t>
            </w:r>
          </w:p>
        </w:tc>
        <w:tc>
          <w:tcPr>
            <w:tcW w:w="7290" w:type="dxa"/>
            <w:tcBorders>
              <w:top w:val="nil"/>
              <w:left w:val="nil"/>
              <w:bottom w:val="nil"/>
              <w:right w:val="nil"/>
            </w:tcBorders>
            <w:shd w:val="clear" w:color="auto" w:fill="auto"/>
            <w:vAlign w:val="center"/>
            <w:hideMark/>
          </w:tcPr>
          <w:p w14:paraId="09396A77"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verejné zdravotné poistenie</w:t>
            </w:r>
          </w:p>
        </w:tc>
      </w:tr>
      <w:tr w:rsidR="00F22309" w:rsidRPr="00666914" w14:paraId="70398BE6" w14:textId="77777777" w:rsidTr="00DE1D2A">
        <w:trPr>
          <w:trHeight w:val="260"/>
        </w:trPr>
        <w:tc>
          <w:tcPr>
            <w:tcW w:w="1782" w:type="dxa"/>
            <w:tcBorders>
              <w:top w:val="nil"/>
              <w:left w:val="nil"/>
              <w:bottom w:val="nil"/>
              <w:right w:val="nil"/>
            </w:tcBorders>
            <w:shd w:val="clear" w:color="auto" w:fill="auto"/>
            <w:noWrap/>
            <w:vAlign w:val="center"/>
            <w:hideMark/>
          </w:tcPr>
          <w:p w14:paraId="340D9BB4"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Z. z. </w:t>
            </w:r>
          </w:p>
        </w:tc>
        <w:tc>
          <w:tcPr>
            <w:tcW w:w="7290" w:type="dxa"/>
            <w:tcBorders>
              <w:top w:val="nil"/>
              <w:left w:val="nil"/>
              <w:bottom w:val="nil"/>
              <w:right w:val="nil"/>
            </w:tcBorders>
            <w:shd w:val="clear" w:color="auto" w:fill="auto"/>
            <w:vAlign w:val="center"/>
            <w:hideMark/>
          </w:tcPr>
          <w:p w14:paraId="091B1D23"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Zbierka zákonov Slovenskej republiky</w:t>
            </w:r>
          </w:p>
        </w:tc>
      </w:tr>
      <w:tr w:rsidR="00F22309" w:rsidRPr="00666914" w14:paraId="246AA8A6" w14:textId="77777777" w:rsidTr="00DE1D2A">
        <w:trPr>
          <w:trHeight w:val="260"/>
        </w:trPr>
        <w:tc>
          <w:tcPr>
            <w:tcW w:w="1782" w:type="dxa"/>
            <w:tcBorders>
              <w:top w:val="nil"/>
              <w:left w:val="nil"/>
              <w:bottom w:val="nil"/>
              <w:right w:val="nil"/>
            </w:tcBorders>
            <w:shd w:val="clear" w:color="auto" w:fill="auto"/>
            <w:noWrap/>
            <w:vAlign w:val="center"/>
            <w:hideMark/>
          </w:tcPr>
          <w:p w14:paraId="6AB8DBA1"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ZKL</w:t>
            </w:r>
          </w:p>
        </w:tc>
        <w:tc>
          <w:tcPr>
            <w:tcW w:w="7290" w:type="dxa"/>
            <w:tcBorders>
              <w:top w:val="nil"/>
              <w:left w:val="nil"/>
              <w:bottom w:val="nil"/>
              <w:right w:val="nil"/>
            </w:tcBorders>
            <w:shd w:val="clear" w:color="auto" w:fill="auto"/>
            <w:noWrap/>
            <w:vAlign w:val="bottom"/>
            <w:hideMark/>
          </w:tcPr>
          <w:p w14:paraId="50CEB10A"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Zoznam kategorizovaných liekov</w:t>
            </w:r>
          </w:p>
        </w:tc>
      </w:tr>
      <w:tr w:rsidR="00F22309" w:rsidRPr="00666914" w14:paraId="1FB119D9" w14:textId="77777777" w:rsidTr="00DE1D2A">
        <w:trPr>
          <w:trHeight w:val="260"/>
        </w:trPr>
        <w:tc>
          <w:tcPr>
            <w:tcW w:w="1782" w:type="dxa"/>
            <w:tcBorders>
              <w:top w:val="nil"/>
              <w:left w:val="nil"/>
              <w:bottom w:val="nil"/>
              <w:right w:val="nil"/>
            </w:tcBorders>
            <w:shd w:val="clear" w:color="auto" w:fill="auto"/>
            <w:noWrap/>
            <w:vAlign w:val="center"/>
            <w:hideMark/>
          </w:tcPr>
          <w:p w14:paraId="2AD49DE1"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lastRenderedPageBreak/>
              <w:t>ZMOS</w:t>
            </w:r>
          </w:p>
        </w:tc>
        <w:tc>
          <w:tcPr>
            <w:tcW w:w="7290" w:type="dxa"/>
            <w:tcBorders>
              <w:top w:val="nil"/>
              <w:left w:val="nil"/>
              <w:bottom w:val="nil"/>
              <w:right w:val="nil"/>
            </w:tcBorders>
            <w:shd w:val="clear" w:color="auto" w:fill="auto"/>
            <w:vAlign w:val="center"/>
            <w:hideMark/>
          </w:tcPr>
          <w:p w14:paraId="39B995B5"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Združenie miest a obcí Slovenska</w:t>
            </w:r>
          </w:p>
        </w:tc>
      </w:tr>
      <w:tr w:rsidR="00F22309" w:rsidRPr="00666914" w14:paraId="3BB65E8B" w14:textId="77777777" w:rsidTr="00DE1D2A">
        <w:trPr>
          <w:trHeight w:val="260"/>
        </w:trPr>
        <w:tc>
          <w:tcPr>
            <w:tcW w:w="1782" w:type="dxa"/>
            <w:tcBorders>
              <w:top w:val="nil"/>
              <w:left w:val="nil"/>
              <w:bottom w:val="nil"/>
              <w:right w:val="nil"/>
            </w:tcBorders>
            <w:shd w:val="clear" w:color="auto" w:fill="auto"/>
            <w:noWrap/>
            <w:vAlign w:val="center"/>
            <w:hideMark/>
          </w:tcPr>
          <w:p w14:paraId="68394C2F"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ZODSVZ</w:t>
            </w:r>
          </w:p>
        </w:tc>
        <w:tc>
          <w:tcPr>
            <w:tcW w:w="7290" w:type="dxa"/>
            <w:tcBorders>
              <w:top w:val="nil"/>
              <w:left w:val="nil"/>
              <w:bottom w:val="nil"/>
              <w:right w:val="nil"/>
            </w:tcBorders>
            <w:shd w:val="clear" w:color="auto" w:fill="auto"/>
            <w:vAlign w:val="center"/>
            <w:hideMark/>
          </w:tcPr>
          <w:p w14:paraId="792C834F"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Zmluva o dopravných službách vo verejnom záujme</w:t>
            </w:r>
          </w:p>
        </w:tc>
      </w:tr>
      <w:tr w:rsidR="00F22309" w:rsidRPr="00666914" w14:paraId="286F7354" w14:textId="77777777" w:rsidTr="00DE1D2A">
        <w:trPr>
          <w:trHeight w:val="260"/>
        </w:trPr>
        <w:tc>
          <w:tcPr>
            <w:tcW w:w="1782" w:type="dxa"/>
            <w:tcBorders>
              <w:top w:val="nil"/>
              <w:left w:val="nil"/>
              <w:bottom w:val="nil"/>
              <w:right w:val="nil"/>
            </w:tcBorders>
            <w:shd w:val="clear" w:color="auto" w:fill="auto"/>
            <w:noWrap/>
            <w:vAlign w:val="center"/>
            <w:hideMark/>
          </w:tcPr>
          <w:p w14:paraId="5E55C340"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ZP</w:t>
            </w:r>
          </w:p>
        </w:tc>
        <w:tc>
          <w:tcPr>
            <w:tcW w:w="7290" w:type="dxa"/>
            <w:tcBorders>
              <w:top w:val="nil"/>
              <w:left w:val="nil"/>
              <w:bottom w:val="nil"/>
              <w:right w:val="nil"/>
            </w:tcBorders>
            <w:shd w:val="clear" w:color="auto" w:fill="auto"/>
            <w:vAlign w:val="center"/>
            <w:hideMark/>
          </w:tcPr>
          <w:p w14:paraId="1B305667"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zdravotná poisťovňa</w:t>
            </w:r>
          </w:p>
        </w:tc>
      </w:tr>
      <w:tr w:rsidR="00F22309" w:rsidRPr="00666914" w14:paraId="682119F4" w14:textId="77777777" w:rsidTr="00DE1D2A">
        <w:trPr>
          <w:trHeight w:val="260"/>
        </w:trPr>
        <w:tc>
          <w:tcPr>
            <w:tcW w:w="1782" w:type="dxa"/>
            <w:tcBorders>
              <w:top w:val="nil"/>
              <w:left w:val="nil"/>
              <w:bottom w:val="nil"/>
              <w:right w:val="nil"/>
            </w:tcBorders>
            <w:shd w:val="clear" w:color="auto" w:fill="auto"/>
            <w:noWrap/>
            <w:vAlign w:val="center"/>
            <w:hideMark/>
          </w:tcPr>
          <w:p w14:paraId="56A8230C"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ZS</w:t>
            </w:r>
          </w:p>
        </w:tc>
        <w:tc>
          <w:tcPr>
            <w:tcW w:w="7290" w:type="dxa"/>
            <w:tcBorders>
              <w:top w:val="nil"/>
              <w:left w:val="nil"/>
              <w:bottom w:val="nil"/>
              <w:right w:val="nil"/>
            </w:tcBorders>
            <w:shd w:val="clear" w:color="auto" w:fill="auto"/>
            <w:noWrap/>
            <w:vAlign w:val="bottom"/>
            <w:hideMark/>
          </w:tcPr>
          <w:p w14:paraId="0B5572C8" w14:textId="77777777" w:rsidR="00F22309" w:rsidRPr="00666914" w:rsidRDefault="00F22309" w:rsidP="00F22309">
            <w:pPr>
              <w:spacing w:after="0"/>
              <w:jc w:val="left"/>
              <w:rPr>
                <w:rFonts w:eastAsia="Times New Roman"/>
                <w:sz w:val="20"/>
                <w:szCs w:val="20"/>
                <w:lang w:eastAsia="sk-SK"/>
              </w:rPr>
            </w:pPr>
            <w:r w:rsidRPr="00666914">
              <w:rPr>
                <w:rFonts w:eastAsia="Times New Roman"/>
                <w:sz w:val="20"/>
                <w:szCs w:val="20"/>
                <w:lang w:eastAsia="sk-SK"/>
              </w:rPr>
              <w:t>zdravotná starostlivosť</w:t>
            </w:r>
          </w:p>
        </w:tc>
      </w:tr>
      <w:tr w:rsidR="00F22309" w:rsidRPr="00666914" w14:paraId="3657349B" w14:textId="77777777" w:rsidTr="00DE1D2A">
        <w:trPr>
          <w:trHeight w:val="260"/>
        </w:trPr>
        <w:tc>
          <w:tcPr>
            <w:tcW w:w="1782" w:type="dxa"/>
            <w:tcBorders>
              <w:top w:val="nil"/>
              <w:left w:val="nil"/>
              <w:bottom w:val="nil"/>
              <w:right w:val="nil"/>
            </w:tcBorders>
            <w:shd w:val="clear" w:color="auto" w:fill="auto"/>
            <w:noWrap/>
            <w:vAlign w:val="center"/>
            <w:hideMark/>
          </w:tcPr>
          <w:p w14:paraId="58ED816D"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ZSSK </w:t>
            </w:r>
          </w:p>
        </w:tc>
        <w:tc>
          <w:tcPr>
            <w:tcW w:w="7290" w:type="dxa"/>
            <w:tcBorders>
              <w:top w:val="nil"/>
              <w:left w:val="nil"/>
              <w:bottom w:val="nil"/>
              <w:right w:val="nil"/>
            </w:tcBorders>
            <w:shd w:val="clear" w:color="auto" w:fill="auto"/>
            <w:vAlign w:val="center"/>
            <w:hideMark/>
          </w:tcPr>
          <w:p w14:paraId="2A8B1FFF"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Železničná spoločnosť Slovensko, a.s. </w:t>
            </w:r>
          </w:p>
        </w:tc>
      </w:tr>
      <w:tr w:rsidR="00F22309" w:rsidRPr="00666914" w14:paraId="55D61971" w14:textId="77777777" w:rsidTr="00DE1D2A">
        <w:trPr>
          <w:trHeight w:val="260"/>
        </w:trPr>
        <w:tc>
          <w:tcPr>
            <w:tcW w:w="1782" w:type="dxa"/>
            <w:tcBorders>
              <w:top w:val="nil"/>
              <w:left w:val="nil"/>
              <w:bottom w:val="nil"/>
              <w:right w:val="nil"/>
            </w:tcBorders>
            <w:shd w:val="clear" w:color="auto" w:fill="auto"/>
            <w:noWrap/>
            <w:vAlign w:val="center"/>
            <w:hideMark/>
          </w:tcPr>
          <w:p w14:paraId="4A89F646"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ZŠ</w:t>
            </w:r>
          </w:p>
        </w:tc>
        <w:tc>
          <w:tcPr>
            <w:tcW w:w="7290" w:type="dxa"/>
            <w:tcBorders>
              <w:top w:val="nil"/>
              <w:left w:val="nil"/>
              <w:bottom w:val="nil"/>
              <w:right w:val="nil"/>
            </w:tcBorders>
            <w:shd w:val="clear" w:color="auto" w:fill="auto"/>
            <w:vAlign w:val="center"/>
            <w:hideMark/>
          </w:tcPr>
          <w:p w14:paraId="29B9BEB6"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 xml:space="preserve">základné školy </w:t>
            </w:r>
          </w:p>
        </w:tc>
      </w:tr>
      <w:tr w:rsidR="00F22309" w:rsidRPr="00666914" w14:paraId="249CBD24" w14:textId="77777777" w:rsidTr="00DE1D2A">
        <w:trPr>
          <w:trHeight w:val="260"/>
        </w:trPr>
        <w:tc>
          <w:tcPr>
            <w:tcW w:w="1782" w:type="dxa"/>
            <w:tcBorders>
              <w:top w:val="nil"/>
              <w:left w:val="nil"/>
              <w:bottom w:val="nil"/>
              <w:right w:val="nil"/>
            </w:tcBorders>
            <w:shd w:val="clear" w:color="auto" w:fill="auto"/>
            <w:noWrap/>
            <w:vAlign w:val="center"/>
            <w:hideMark/>
          </w:tcPr>
          <w:p w14:paraId="3BA2602C"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ŽoNFP</w:t>
            </w:r>
          </w:p>
        </w:tc>
        <w:tc>
          <w:tcPr>
            <w:tcW w:w="7290" w:type="dxa"/>
            <w:tcBorders>
              <w:top w:val="nil"/>
              <w:left w:val="nil"/>
              <w:bottom w:val="nil"/>
              <w:right w:val="nil"/>
            </w:tcBorders>
            <w:shd w:val="clear" w:color="auto" w:fill="auto"/>
            <w:noWrap/>
            <w:vAlign w:val="center"/>
            <w:hideMark/>
          </w:tcPr>
          <w:p w14:paraId="5F503F64" w14:textId="53621F5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žiadosť o nenávratný finančný príspevok</w:t>
            </w:r>
          </w:p>
        </w:tc>
      </w:tr>
      <w:tr w:rsidR="00F22309" w:rsidRPr="00666914" w14:paraId="4F240C30" w14:textId="77777777" w:rsidTr="00DE1D2A">
        <w:trPr>
          <w:trHeight w:val="260"/>
        </w:trPr>
        <w:tc>
          <w:tcPr>
            <w:tcW w:w="1782" w:type="dxa"/>
            <w:tcBorders>
              <w:top w:val="nil"/>
              <w:left w:val="nil"/>
              <w:bottom w:val="nil"/>
              <w:right w:val="nil"/>
            </w:tcBorders>
            <w:shd w:val="clear" w:color="auto" w:fill="auto"/>
            <w:noWrap/>
            <w:vAlign w:val="center"/>
            <w:hideMark/>
          </w:tcPr>
          <w:p w14:paraId="2C10D171" w14:textId="77777777" w:rsidR="00F22309" w:rsidRPr="00666914" w:rsidRDefault="00F22309" w:rsidP="00F22309">
            <w:pPr>
              <w:spacing w:after="0"/>
              <w:jc w:val="left"/>
              <w:rPr>
                <w:rFonts w:eastAsia="Times New Roman"/>
                <w:b/>
                <w:bCs/>
                <w:color w:val="000000"/>
                <w:sz w:val="20"/>
                <w:szCs w:val="20"/>
                <w:lang w:eastAsia="sk-SK"/>
              </w:rPr>
            </w:pPr>
            <w:r w:rsidRPr="00666914">
              <w:rPr>
                <w:rFonts w:eastAsia="Times New Roman"/>
                <w:b/>
                <w:bCs/>
                <w:color w:val="000000"/>
                <w:sz w:val="20"/>
                <w:szCs w:val="20"/>
                <w:lang w:eastAsia="sk-SK"/>
              </w:rPr>
              <w:t xml:space="preserve">ŽSR </w:t>
            </w:r>
          </w:p>
        </w:tc>
        <w:tc>
          <w:tcPr>
            <w:tcW w:w="7290" w:type="dxa"/>
            <w:tcBorders>
              <w:top w:val="nil"/>
              <w:left w:val="nil"/>
              <w:bottom w:val="nil"/>
              <w:right w:val="nil"/>
            </w:tcBorders>
            <w:shd w:val="clear" w:color="auto" w:fill="auto"/>
            <w:vAlign w:val="center"/>
            <w:hideMark/>
          </w:tcPr>
          <w:p w14:paraId="1C3F9AD8" w14:textId="77777777" w:rsidR="00F22309" w:rsidRPr="00666914" w:rsidRDefault="00F22309" w:rsidP="00F22309">
            <w:pPr>
              <w:spacing w:after="0"/>
              <w:jc w:val="left"/>
              <w:rPr>
                <w:rFonts w:eastAsia="Times New Roman"/>
                <w:color w:val="000000"/>
                <w:sz w:val="20"/>
                <w:szCs w:val="20"/>
                <w:lang w:eastAsia="sk-SK"/>
              </w:rPr>
            </w:pPr>
            <w:r w:rsidRPr="00666914">
              <w:rPr>
                <w:rFonts w:eastAsia="Times New Roman"/>
                <w:color w:val="000000"/>
                <w:sz w:val="20"/>
                <w:szCs w:val="20"/>
                <w:lang w:eastAsia="sk-SK"/>
              </w:rPr>
              <w:t>Železnice Slovenskej republiky</w:t>
            </w:r>
          </w:p>
        </w:tc>
      </w:tr>
    </w:tbl>
    <w:p w14:paraId="304E21BB" w14:textId="77777777" w:rsidR="00DE1D2A" w:rsidRPr="00666914" w:rsidRDefault="00DE1D2A" w:rsidP="00DE1D2A"/>
    <w:p w14:paraId="7455287A" w14:textId="77777777" w:rsidR="00A232BD" w:rsidRPr="00666914" w:rsidRDefault="00A232BD">
      <w:pPr>
        <w:spacing w:after="0"/>
        <w:jc w:val="left"/>
        <w:rPr>
          <w:rFonts w:eastAsia="Times New Roman"/>
          <w:color w:val="2E74B5"/>
          <w:sz w:val="32"/>
          <w:szCs w:val="32"/>
        </w:rPr>
      </w:pPr>
      <w:r w:rsidRPr="00666914">
        <w:br w:type="page"/>
      </w:r>
    </w:p>
    <w:p w14:paraId="6EE1A05E" w14:textId="77777777" w:rsidR="00A232BD" w:rsidRPr="00282F76" w:rsidRDefault="00A232BD" w:rsidP="00A232BD">
      <w:pPr>
        <w:pStyle w:val="Nadpis1"/>
        <w:numPr>
          <w:ilvl w:val="0"/>
          <w:numId w:val="0"/>
        </w:numPr>
        <w:ind w:left="720"/>
      </w:pPr>
      <w:bookmarkStart w:id="423" w:name="_Toc36778428"/>
      <w:bookmarkStart w:id="424" w:name="_Toc38447632"/>
      <w:bookmarkStart w:id="425" w:name="_Hlk524014214"/>
      <w:r w:rsidRPr="00282F76">
        <w:lastRenderedPageBreak/>
        <w:t>Zoznam tabuliek</w:t>
      </w:r>
      <w:bookmarkEnd w:id="423"/>
      <w:bookmarkEnd w:id="424"/>
      <w:r w:rsidRPr="00282F76">
        <w:t xml:space="preserve"> </w:t>
      </w:r>
    </w:p>
    <w:p w14:paraId="491F4C2B" w14:textId="478DE300" w:rsidR="001607F9" w:rsidRPr="001607F9" w:rsidRDefault="00A232BD">
      <w:pPr>
        <w:pStyle w:val="Zoznamobrzkov"/>
        <w:tabs>
          <w:tab w:val="right" w:leader="dot" w:pos="9204"/>
        </w:tabs>
        <w:rPr>
          <w:rFonts w:asciiTheme="minorHAnsi" w:eastAsiaTheme="minorEastAsia" w:hAnsiTheme="minorHAnsi" w:cstheme="minorBidi"/>
          <w:noProof/>
          <w:lang w:eastAsia="sk-SK"/>
        </w:rPr>
      </w:pPr>
      <w:r w:rsidRPr="001607F9">
        <w:rPr>
          <w:rFonts w:eastAsia="Times New Roman"/>
          <w:bCs/>
          <w:color w:val="0563C1"/>
          <w:u w:val="single"/>
          <w:lang w:eastAsia="zh-TW"/>
        </w:rPr>
        <w:fldChar w:fldCharType="begin"/>
      </w:r>
      <w:r w:rsidRPr="001607F9">
        <w:rPr>
          <w:rFonts w:eastAsia="Times New Roman"/>
          <w:bCs/>
          <w:color w:val="0563C1"/>
          <w:u w:val="single"/>
          <w:lang w:eastAsia="zh-TW"/>
        </w:rPr>
        <w:instrText xml:space="preserve"> TOC \h \z \c "Tabuľka" </w:instrText>
      </w:r>
      <w:r w:rsidRPr="001607F9">
        <w:rPr>
          <w:rFonts w:eastAsia="Times New Roman"/>
          <w:bCs/>
          <w:color w:val="0563C1"/>
          <w:u w:val="single"/>
          <w:lang w:eastAsia="zh-TW"/>
        </w:rPr>
        <w:fldChar w:fldCharType="separate"/>
      </w:r>
      <w:hyperlink w:anchor="_Toc38447662" w:history="1">
        <w:r w:rsidR="001607F9" w:rsidRPr="001607F9">
          <w:rPr>
            <w:rStyle w:val="Hypertextovprepojenie"/>
            <w:rFonts w:eastAsia="Arial Narrow" w:cs="Calibri"/>
            <w:noProof/>
            <w:lang w:eastAsia="sk-SK"/>
            <w14:textOutline w14:w="9525" w14:cap="rnd" w14:cmpd="sng" w14:algn="ctr">
              <w14:noFill/>
              <w14:prstDash w14:val="solid"/>
              <w14:bevel/>
            </w14:textOutline>
          </w:rPr>
          <w:t>Tabuľka 1: Prehľad plánovaných a dosiahnutých úspor v roku 2019 (v mil. eur)</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_Toc38447662 \h </w:instrText>
        </w:r>
        <w:r w:rsidR="001607F9" w:rsidRPr="001607F9">
          <w:rPr>
            <w:noProof/>
            <w:webHidden/>
          </w:rPr>
        </w:r>
        <w:r w:rsidR="001607F9" w:rsidRPr="001607F9">
          <w:rPr>
            <w:noProof/>
            <w:webHidden/>
          </w:rPr>
          <w:fldChar w:fldCharType="separate"/>
        </w:r>
        <w:r w:rsidR="001607F9" w:rsidRPr="001607F9">
          <w:rPr>
            <w:noProof/>
            <w:webHidden/>
          </w:rPr>
          <w:t>5</w:t>
        </w:r>
        <w:r w:rsidR="001607F9" w:rsidRPr="001607F9">
          <w:rPr>
            <w:noProof/>
            <w:webHidden/>
          </w:rPr>
          <w:fldChar w:fldCharType="end"/>
        </w:r>
      </w:hyperlink>
    </w:p>
    <w:p w14:paraId="50B9E01E" w14:textId="24CB33F1"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63" w:history="1">
        <w:r w:rsidR="001607F9" w:rsidRPr="001607F9">
          <w:rPr>
            <w:rStyle w:val="Hypertextovprepojenie"/>
            <w:noProof/>
          </w:rPr>
          <w:t>Tabuľka 2: Úsporné opatrenia MZ SR z revízie výdavkov I. (mil. eur)</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_Toc38447663 \h </w:instrText>
        </w:r>
        <w:r w:rsidR="001607F9" w:rsidRPr="001607F9">
          <w:rPr>
            <w:noProof/>
            <w:webHidden/>
          </w:rPr>
        </w:r>
        <w:r w:rsidR="001607F9" w:rsidRPr="001607F9">
          <w:rPr>
            <w:noProof/>
            <w:webHidden/>
          </w:rPr>
          <w:fldChar w:fldCharType="separate"/>
        </w:r>
        <w:r w:rsidR="001607F9" w:rsidRPr="001607F9">
          <w:rPr>
            <w:noProof/>
            <w:webHidden/>
          </w:rPr>
          <w:t>11</w:t>
        </w:r>
        <w:r w:rsidR="001607F9" w:rsidRPr="001607F9">
          <w:rPr>
            <w:noProof/>
            <w:webHidden/>
          </w:rPr>
          <w:fldChar w:fldCharType="end"/>
        </w:r>
      </w:hyperlink>
    </w:p>
    <w:p w14:paraId="05D7B838" w14:textId="346D57A4"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64" w:history="1">
        <w:r w:rsidR="001607F9" w:rsidRPr="001607F9">
          <w:rPr>
            <w:rStyle w:val="Hypertextovprepojenie"/>
            <w:noProof/>
          </w:rPr>
          <w:t>Tabuľka 3: Plnenie hlavných odporúčaní IJ ÚV SR pre MZ SR v Priebežnej implementačnej správe 2019</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_Toc38447664 \h </w:instrText>
        </w:r>
        <w:r w:rsidR="001607F9" w:rsidRPr="001607F9">
          <w:rPr>
            <w:noProof/>
            <w:webHidden/>
          </w:rPr>
        </w:r>
        <w:r w:rsidR="001607F9" w:rsidRPr="001607F9">
          <w:rPr>
            <w:noProof/>
            <w:webHidden/>
          </w:rPr>
          <w:fldChar w:fldCharType="separate"/>
        </w:r>
        <w:r w:rsidR="001607F9" w:rsidRPr="001607F9">
          <w:rPr>
            <w:noProof/>
            <w:webHidden/>
          </w:rPr>
          <w:t>12</w:t>
        </w:r>
        <w:r w:rsidR="001607F9" w:rsidRPr="001607F9">
          <w:rPr>
            <w:noProof/>
            <w:webHidden/>
          </w:rPr>
          <w:fldChar w:fldCharType="end"/>
        </w:r>
      </w:hyperlink>
    </w:p>
    <w:p w14:paraId="3FC2DD3D" w14:textId="3363CCE2"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65" w:history="1">
        <w:r w:rsidR="001607F9" w:rsidRPr="001607F9">
          <w:rPr>
            <w:rStyle w:val="Hypertextovprepojenie"/>
            <w:noProof/>
          </w:rPr>
          <w:t>Tabuľka 4: Plnenie opatrení Revízie výdavkov na zdravotníctvo v roku 2019</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_Toc38447665 \h </w:instrText>
        </w:r>
        <w:r w:rsidR="001607F9" w:rsidRPr="001607F9">
          <w:rPr>
            <w:noProof/>
            <w:webHidden/>
          </w:rPr>
        </w:r>
        <w:r w:rsidR="001607F9" w:rsidRPr="001607F9">
          <w:rPr>
            <w:noProof/>
            <w:webHidden/>
          </w:rPr>
          <w:fldChar w:fldCharType="separate"/>
        </w:r>
        <w:r w:rsidR="001607F9" w:rsidRPr="001607F9">
          <w:rPr>
            <w:noProof/>
            <w:webHidden/>
          </w:rPr>
          <w:t>12</w:t>
        </w:r>
        <w:r w:rsidR="001607F9" w:rsidRPr="001607F9">
          <w:rPr>
            <w:noProof/>
            <w:webHidden/>
          </w:rPr>
          <w:fldChar w:fldCharType="end"/>
        </w:r>
      </w:hyperlink>
    </w:p>
    <w:p w14:paraId="31AE3D09" w14:textId="5B703409"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66" w:history="1">
        <w:r w:rsidR="001607F9" w:rsidRPr="001607F9">
          <w:rPr>
            <w:rStyle w:val="Hypertextovprepojenie"/>
            <w:noProof/>
          </w:rPr>
          <w:t>Tabuľka 5: Opatrenia Revízie výdavkov na zdravotníctvo splnené v roku 2018</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_Toc38447666 \h </w:instrText>
        </w:r>
        <w:r w:rsidR="001607F9" w:rsidRPr="001607F9">
          <w:rPr>
            <w:noProof/>
            <w:webHidden/>
          </w:rPr>
        </w:r>
        <w:r w:rsidR="001607F9" w:rsidRPr="001607F9">
          <w:rPr>
            <w:noProof/>
            <w:webHidden/>
          </w:rPr>
          <w:fldChar w:fldCharType="separate"/>
        </w:r>
        <w:r w:rsidR="001607F9" w:rsidRPr="001607F9">
          <w:rPr>
            <w:noProof/>
            <w:webHidden/>
          </w:rPr>
          <w:t>15</w:t>
        </w:r>
        <w:r w:rsidR="001607F9" w:rsidRPr="001607F9">
          <w:rPr>
            <w:noProof/>
            <w:webHidden/>
          </w:rPr>
          <w:fldChar w:fldCharType="end"/>
        </w:r>
      </w:hyperlink>
    </w:p>
    <w:p w14:paraId="04684DE0" w14:textId="2D8D51E9"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67" w:history="1">
        <w:r w:rsidR="001607F9" w:rsidRPr="001607F9">
          <w:rPr>
            <w:rStyle w:val="Hypertextovprepojenie"/>
            <w:noProof/>
          </w:rPr>
          <w:t>Tabuľka 6: Úhrady ZP za lieky (mil. eur)</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_Toc38447667 \h </w:instrText>
        </w:r>
        <w:r w:rsidR="001607F9" w:rsidRPr="001607F9">
          <w:rPr>
            <w:noProof/>
            <w:webHidden/>
          </w:rPr>
        </w:r>
        <w:r w:rsidR="001607F9" w:rsidRPr="001607F9">
          <w:rPr>
            <w:noProof/>
            <w:webHidden/>
          </w:rPr>
          <w:fldChar w:fldCharType="separate"/>
        </w:r>
        <w:r w:rsidR="001607F9" w:rsidRPr="001607F9">
          <w:rPr>
            <w:noProof/>
            <w:webHidden/>
          </w:rPr>
          <w:t>16</w:t>
        </w:r>
        <w:r w:rsidR="001607F9" w:rsidRPr="001607F9">
          <w:rPr>
            <w:noProof/>
            <w:webHidden/>
          </w:rPr>
          <w:fldChar w:fldCharType="end"/>
        </w:r>
      </w:hyperlink>
    </w:p>
    <w:p w14:paraId="3080486B" w14:textId="659BE935"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68" w:history="1">
        <w:r w:rsidR="001607F9" w:rsidRPr="001607F9">
          <w:rPr>
            <w:rStyle w:val="Hypertextovprepojenie"/>
            <w:noProof/>
          </w:rPr>
          <w:t>Tabuľka 7: Úhrady ZP za lieky na výnimky (mil. eur)</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_Toc38447668 \h </w:instrText>
        </w:r>
        <w:r w:rsidR="001607F9" w:rsidRPr="001607F9">
          <w:rPr>
            <w:noProof/>
            <w:webHidden/>
          </w:rPr>
        </w:r>
        <w:r w:rsidR="001607F9" w:rsidRPr="001607F9">
          <w:rPr>
            <w:noProof/>
            <w:webHidden/>
          </w:rPr>
          <w:fldChar w:fldCharType="separate"/>
        </w:r>
        <w:r w:rsidR="001607F9" w:rsidRPr="001607F9">
          <w:rPr>
            <w:noProof/>
            <w:webHidden/>
          </w:rPr>
          <w:t>17</w:t>
        </w:r>
        <w:r w:rsidR="001607F9" w:rsidRPr="001607F9">
          <w:rPr>
            <w:noProof/>
            <w:webHidden/>
          </w:rPr>
          <w:fldChar w:fldCharType="end"/>
        </w:r>
      </w:hyperlink>
    </w:p>
    <w:p w14:paraId="4466F3A2" w14:textId="12333D8C"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69" w:history="1">
        <w:r w:rsidR="001607F9" w:rsidRPr="001607F9">
          <w:rPr>
            <w:rStyle w:val="Hypertextovprepojenie"/>
            <w:noProof/>
          </w:rPr>
          <w:t>Tabuľka 8: Podiel schválených žiadostí o lieky na výnimky</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_Toc38447669 \h </w:instrText>
        </w:r>
        <w:r w:rsidR="001607F9" w:rsidRPr="001607F9">
          <w:rPr>
            <w:noProof/>
            <w:webHidden/>
          </w:rPr>
        </w:r>
        <w:r w:rsidR="001607F9" w:rsidRPr="001607F9">
          <w:rPr>
            <w:noProof/>
            <w:webHidden/>
          </w:rPr>
          <w:fldChar w:fldCharType="separate"/>
        </w:r>
        <w:r w:rsidR="001607F9" w:rsidRPr="001607F9">
          <w:rPr>
            <w:noProof/>
            <w:webHidden/>
          </w:rPr>
          <w:t>17</w:t>
        </w:r>
        <w:r w:rsidR="001607F9" w:rsidRPr="001607F9">
          <w:rPr>
            <w:noProof/>
            <w:webHidden/>
          </w:rPr>
          <w:fldChar w:fldCharType="end"/>
        </w:r>
      </w:hyperlink>
    </w:p>
    <w:p w14:paraId="3C9D619F" w14:textId="0EBCEEFE"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70" w:history="1">
        <w:r w:rsidR="001607F9" w:rsidRPr="001607F9">
          <w:rPr>
            <w:rStyle w:val="Hypertextovprepojenie"/>
            <w:noProof/>
          </w:rPr>
          <w:t>Tabuľka 9: Úhrady za generické a biosimilárne lieky (mil. eur)</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_Toc38447670 \h </w:instrText>
        </w:r>
        <w:r w:rsidR="001607F9" w:rsidRPr="001607F9">
          <w:rPr>
            <w:noProof/>
            <w:webHidden/>
          </w:rPr>
        </w:r>
        <w:r w:rsidR="001607F9" w:rsidRPr="001607F9">
          <w:rPr>
            <w:noProof/>
            <w:webHidden/>
          </w:rPr>
          <w:fldChar w:fldCharType="separate"/>
        </w:r>
        <w:r w:rsidR="001607F9" w:rsidRPr="001607F9">
          <w:rPr>
            <w:noProof/>
            <w:webHidden/>
          </w:rPr>
          <w:t>18</w:t>
        </w:r>
        <w:r w:rsidR="001607F9" w:rsidRPr="001607F9">
          <w:rPr>
            <w:noProof/>
            <w:webHidden/>
          </w:rPr>
          <w:fldChar w:fldCharType="end"/>
        </w:r>
      </w:hyperlink>
    </w:p>
    <w:p w14:paraId="7CB6ED72" w14:textId="01FBE91E"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71" w:history="1">
        <w:r w:rsidR="001607F9" w:rsidRPr="001607F9">
          <w:rPr>
            <w:rStyle w:val="Hypertextovprepojenie"/>
            <w:noProof/>
          </w:rPr>
          <w:t>Tabuľka 10: Úhrady za zdravotnícke pomôcky (mil. eur)</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_Toc38447671 \h </w:instrText>
        </w:r>
        <w:r w:rsidR="001607F9" w:rsidRPr="001607F9">
          <w:rPr>
            <w:noProof/>
            <w:webHidden/>
          </w:rPr>
        </w:r>
        <w:r w:rsidR="001607F9" w:rsidRPr="001607F9">
          <w:rPr>
            <w:noProof/>
            <w:webHidden/>
          </w:rPr>
          <w:fldChar w:fldCharType="separate"/>
        </w:r>
        <w:r w:rsidR="001607F9" w:rsidRPr="001607F9">
          <w:rPr>
            <w:noProof/>
            <w:webHidden/>
          </w:rPr>
          <w:t>20</w:t>
        </w:r>
        <w:r w:rsidR="001607F9" w:rsidRPr="001607F9">
          <w:rPr>
            <w:noProof/>
            <w:webHidden/>
          </w:rPr>
          <w:fldChar w:fldCharType="end"/>
        </w:r>
      </w:hyperlink>
    </w:p>
    <w:p w14:paraId="10C022B5" w14:textId="4C4B2538"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72" w:history="1">
        <w:r w:rsidR="001607F9" w:rsidRPr="001607F9">
          <w:rPr>
            <w:rStyle w:val="Hypertextovprepojenie"/>
            <w:noProof/>
          </w:rPr>
          <w:t>Tabuľka 11: Výsledky revízií VšZP</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_Toc38447672 \h </w:instrText>
        </w:r>
        <w:r w:rsidR="001607F9" w:rsidRPr="001607F9">
          <w:rPr>
            <w:noProof/>
            <w:webHidden/>
          </w:rPr>
        </w:r>
        <w:r w:rsidR="001607F9" w:rsidRPr="001607F9">
          <w:rPr>
            <w:noProof/>
            <w:webHidden/>
          </w:rPr>
          <w:fldChar w:fldCharType="separate"/>
        </w:r>
        <w:r w:rsidR="001607F9" w:rsidRPr="001607F9">
          <w:rPr>
            <w:noProof/>
            <w:webHidden/>
          </w:rPr>
          <w:t>20</w:t>
        </w:r>
        <w:r w:rsidR="001607F9" w:rsidRPr="001607F9">
          <w:rPr>
            <w:noProof/>
            <w:webHidden/>
          </w:rPr>
          <w:fldChar w:fldCharType="end"/>
        </w:r>
      </w:hyperlink>
    </w:p>
    <w:p w14:paraId="360029A2" w14:textId="69A629D1"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73" w:history="1">
        <w:r w:rsidR="001607F9" w:rsidRPr="001607F9">
          <w:rPr>
            <w:rStyle w:val="Hypertextovprepojenie"/>
            <w:noProof/>
          </w:rPr>
          <w:t>Tabuľka 12: Úhrady za CT a MR vyšetrenia (mil. eur)</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_Toc38447673 \h </w:instrText>
        </w:r>
        <w:r w:rsidR="001607F9" w:rsidRPr="001607F9">
          <w:rPr>
            <w:noProof/>
            <w:webHidden/>
          </w:rPr>
        </w:r>
        <w:r w:rsidR="001607F9" w:rsidRPr="001607F9">
          <w:rPr>
            <w:noProof/>
            <w:webHidden/>
          </w:rPr>
          <w:fldChar w:fldCharType="separate"/>
        </w:r>
        <w:r w:rsidR="001607F9" w:rsidRPr="001607F9">
          <w:rPr>
            <w:noProof/>
            <w:webHidden/>
          </w:rPr>
          <w:t>21</w:t>
        </w:r>
        <w:r w:rsidR="001607F9" w:rsidRPr="001607F9">
          <w:rPr>
            <w:noProof/>
            <w:webHidden/>
          </w:rPr>
          <w:fldChar w:fldCharType="end"/>
        </w:r>
      </w:hyperlink>
    </w:p>
    <w:p w14:paraId="3F4A0850" w14:textId="3AD8FBDC"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74" w:history="1">
        <w:r w:rsidR="001607F9" w:rsidRPr="001607F9">
          <w:rPr>
            <w:rStyle w:val="Hypertextovprepojenie"/>
            <w:noProof/>
          </w:rPr>
          <w:t>Tabuľka 13: Jednotkové ceny CT a MR výkonov (eur)</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_Toc38447674 \h </w:instrText>
        </w:r>
        <w:r w:rsidR="001607F9" w:rsidRPr="001607F9">
          <w:rPr>
            <w:noProof/>
            <w:webHidden/>
          </w:rPr>
        </w:r>
        <w:r w:rsidR="001607F9" w:rsidRPr="001607F9">
          <w:rPr>
            <w:noProof/>
            <w:webHidden/>
          </w:rPr>
          <w:fldChar w:fldCharType="separate"/>
        </w:r>
        <w:r w:rsidR="001607F9" w:rsidRPr="001607F9">
          <w:rPr>
            <w:noProof/>
            <w:webHidden/>
          </w:rPr>
          <w:t>22</w:t>
        </w:r>
        <w:r w:rsidR="001607F9" w:rsidRPr="001607F9">
          <w:rPr>
            <w:noProof/>
            <w:webHidden/>
          </w:rPr>
          <w:fldChar w:fldCharType="end"/>
        </w:r>
      </w:hyperlink>
    </w:p>
    <w:p w14:paraId="162DC473" w14:textId="4D61A47B"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75" w:history="1">
        <w:r w:rsidR="001607F9" w:rsidRPr="001607F9">
          <w:rPr>
            <w:rStyle w:val="Hypertextovprepojenie"/>
            <w:noProof/>
          </w:rPr>
          <w:t xml:space="preserve">Tabuľka 14: </w:t>
        </w:r>
        <w:r w:rsidR="001607F9" w:rsidRPr="001607F9">
          <w:rPr>
            <w:rStyle w:val="Hypertextovprepojenie"/>
            <w:bCs/>
            <w:noProof/>
          </w:rPr>
          <w:t>Úhrady za výkony laboratórnych vyšetrení (mimo CT a MR; mil. eur)</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_Toc38447675 \h </w:instrText>
        </w:r>
        <w:r w:rsidR="001607F9" w:rsidRPr="001607F9">
          <w:rPr>
            <w:noProof/>
            <w:webHidden/>
          </w:rPr>
        </w:r>
        <w:r w:rsidR="001607F9" w:rsidRPr="001607F9">
          <w:rPr>
            <w:noProof/>
            <w:webHidden/>
          </w:rPr>
          <w:fldChar w:fldCharType="separate"/>
        </w:r>
        <w:r w:rsidR="001607F9" w:rsidRPr="001607F9">
          <w:rPr>
            <w:noProof/>
            <w:webHidden/>
          </w:rPr>
          <w:t>22</w:t>
        </w:r>
        <w:r w:rsidR="001607F9" w:rsidRPr="001607F9">
          <w:rPr>
            <w:noProof/>
            <w:webHidden/>
          </w:rPr>
          <w:fldChar w:fldCharType="end"/>
        </w:r>
      </w:hyperlink>
    </w:p>
    <w:p w14:paraId="74D62C04" w14:textId="3E3592DE"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76" w:history="1">
        <w:r w:rsidR="001607F9" w:rsidRPr="001607F9">
          <w:rPr>
            <w:rStyle w:val="Hypertextovprepojenie"/>
            <w:noProof/>
          </w:rPr>
          <w:t>Tabuľka 15: Počet RTG vyšetrení</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_Toc38447676 \h </w:instrText>
        </w:r>
        <w:r w:rsidR="001607F9" w:rsidRPr="001607F9">
          <w:rPr>
            <w:noProof/>
            <w:webHidden/>
          </w:rPr>
        </w:r>
        <w:r w:rsidR="001607F9" w:rsidRPr="001607F9">
          <w:rPr>
            <w:noProof/>
            <w:webHidden/>
          </w:rPr>
          <w:fldChar w:fldCharType="separate"/>
        </w:r>
        <w:r w:rsidR="001607F9" w:rsidRPr="001607F9">
          <w:rPr>
            <w:noProof/>
            <w:webHidden/>
          </w:rPr>
          <w:t>23</w:t>
        </w:r>
        <w:r w:rsidR="001607F9" w:rsidRPr="001607F9">
          <w:rPr>
            <w:noProof/>
            <w:webHidden/>
          </w:rPr>
          <w:fldChar w:fldCharType="end"/>
        </w:r>
      </w:hyperlink>
    </w:p>
    <w:p w14:paraId="57639727" w14:textId="35885554"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77" w:history="1">
        <w:r w:rsidR="001607F9" w:rsidRPr="001607F9">
          <w:rPr>
            <w:rStyle w:val="Hypertextovprepojenie"/>
            <w:noProof/>
          </w:rPr>
          <w:t>Tabuľka 16: Výnosy zo ZP v univerzitných a fakultných nemocniciach v pôsobnosti MZ SR (mil. eur)</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_Toc38447677 \h </w:instrText>
        </w:r>
        <w:r w:rsidR="001607F9" w:rsidRPr="001607F9">
          <w:rPr>
            <w:noProof/>
            <w:webHidden/>
          </w:rPr>
        </w:r>
        <w:r w:rsidR="001607F9" w:rsidRPr="001607F9">
          <w:rPr>
            <w:noProof/>
            <w:webHidden/>
          </w:rPr>
          <w:fldChar w:fldCharType="separate"/>
        </w:r>
        <w:r w:rsidR="001607F9" w:rsidRPr="001607F9">
          <w:rPr>
            <w:noProof/>
            <w:webHidden/>
          </w:rPr>
          <w:t>25</w:t>
        </w:r>
        <w:r w:rsidR="001607F9" w:rsidRPr="001607F9">
          <w:rPr>
            <w:noProof/>
            <w:webHidden/>
          </w:rPr>
          <w:fldChar w:fldCharType="end"/>
        </w:r>
      </w:hyperlink>
    </w:p>
    <w:p w14:paraId="22AA9D32" w14:textId="5CB56B2E"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78" w:history="1">
        <w:r w:rsidR="001607F9" w:rsidRPr="001607F9">
          <w:rPr>
            <w:rStyle w:val="Hypertextovprepojenie"/>
            <w:noProof/>
          </w:rPr>
          <w:t>Tabuľka 17: Položky ostatných prevádzkových nákladov UN a FN</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_Toc38447678 \h </w:instrText>
        </w:r>
        <w:r w:rsidR="001607F9" w:rsidRPr="001607F9">
          <w:rPr>
            <w:noProof/>
            <w:webHidden/>
          </w:rPr>
        </w:r>
        <w:r w:rsidR="001607F9" w:rsidRPr="001607F9">
          <w:rPr>
            <w:noProof/>
            <w:webHidden/>
          </w:rPr>
          <w:fldChar w:fldCharType="separate"/>
        </w:r>
        <w:r w:rsidR="001607F9" w:rsidRPr="001607F9">
          <w:rPr>
            <w:noProof/>
            <w:webHidden/>
          </w:rPr>
          <w:t>27</w:t>
        </w:r>
        <w:r w:rsidR="001607F9" w:rsidRPr="001607F9">
          <w:rPr>
            <w:noProof/>
            <w:webHidden/>
          </w:rPr>
          <w:fldChar w:fldCharType="end"/>
        </w:r>
      </w:hyperlink>
    </w:p>
    <w:p w14:paraId="065D3B78" w14:textId="398986E6"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79" w:history="1">
        <w:r w:rsidR="001607F9" w:rsidRPr="001607F9">
          <w:rPr>
            <w:rStyle w:val="Hypertextovprepojenie"/>
            <w:noProof/>
          </w:rPr>
          <w:t>Tabuľka 18: Rast celkovej sumy vyplatených miezd nelekárskym zdravotníckym pracovníkom vo verejnej ÚZS a AZS</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_Toc38447679 \h </w:instrText>
        </w:r>
        <w:r w:rsidR="001607F9" w:rsidRPr="001607F9">
          <w:rPr>
            <w:noProof/>
            <w:webHidden/>
          </w:rPr>
        </w:r>
        <w:r w:rsidR="001607F9" w:rsidRPr="001607F9">
          <w:rPr>
            <w:noProof/>
            <w:webHidden/>
          </w:rPr>
          <w:fldChar w:fldCharType="separate"/>
        </w:r>
        <w:r w:rsidR="001607F9" w:rsidRPr="001607F9">
          <w:rPr>
            <w:noProof/>
            <w:webHidden/>
          </w:rPr>
          <w:t>33</w:t>
        </w:r>
        <w:r w:rsidR="001607F9" w:rsidRPr="001607F9">
          <w:rPr>
            <w:noProof/>
            <w:webHidden/>
          </w:rPr>
          <w:fldChar w:fldCharType="end"/>
        </w:r>
      </w:hyperlink>
    </w:p>
    <w:p w14:paraId="41BF15D4" w14:textId="0BAC5A4B"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80" w:history="1">
        <w:r w:rsidR="001607F9" w:rsidRPr="001607F9">
          <w:rPr>
            <w:rStyle w:val="Hypertextovprepojenie"/>
            <w:noProof/>
          </w:rPr>
          <w:t>Tabuľka 19: Priemerná mesačná mzda sestry u verejného PZS</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_Toc38447680 \h </w:instrText>
        </w:r>
        <w:r w:rsidR="001607F9" w:rsidRPr="001607F9">
          <w:rPr>
            <w:noProof/>
            <w:webHidden/>
          </w:rPr>
        </w:r>
        <w:r w:rsidR="001607F9" w:rsidRPr="001607F9">
          <w:rPr>
            <w:noProof/>
            <w:webHidden/>
          </w:rPr>
          <w:fldChar w:fldCharType="separate"/>
        </w:r>
        <w:r w:rsidR="001607F9" w:rsidRPr="001607F9">
          <w:rPr>
            <w:noProof/>
            <w:webHidden/>
          </w:rPr>
          <w:t>33</w:t>
        </w:r>
        <w:r w:rsidR="001607F9" w:rsidRPr="001607F9">
          <w:rPr>
            <w:noProof/>
            <w:webHidden/>
          </w:rPr>
          <w:fldChar w:fldCharType="end"/>
        </w:r>
      </w:hyperlink>
    </w:p>
    <w:p w14:paraId="5AB5386F" w14:textId="15997387"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81" w:history="1">
        <w:r w:rsidR="001607F9" w:rsidRPr="001607F9">
          <w:rPr>
            <w:rStyle w:val="Hypertextovprepojenie"/>
            <w:noProof/>
          </w:rPr>
          <w:t>Tabuľka 20: Hodnotené projekty MDV SR v rokoch 2016-2019</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_Toc38447681 \h </w:instrText>
        </w:r>
        <w:r w:rsidR="001607F9" w:rsidRPr="001607F9">
          <w:rPr>
            <w:noProof/>
            <w:webHidden/>
          </w:rPr>
        </w:r>
        <w:r w:rsidR="001607F9" w:rsidRPr="001607F9">
          <w:rPr>
            <w:noProof/>
            <w:webHidden/>
          </w:rPr>
          <w:fldChar w:fldCharType="separate"/>
        </w:r>
        <w:r w:rsidR="001607F9" w:rsidRPr="001607F9">
          <w:rPr>
            <w:noProof/>
            <w:webHidden/>
          </w:rPr>
          <w:t>38</w:t>
        </w:r>
        <w:r w:rsidR="001607F9" w:rsidRPr="001607F9">
          <w:rPr>
            <w:noProof/>
            <w:webHidden/>
          </w:rPr>
          <w:fldChar w:fldCharType="end"/>
        </w:r>
      </w:hyperlink>
    </w:p>
    <w:p w14:paraId="7542F308" w14:textId="0BA961BF"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82" w:history="1">
        <w:r w:rsidR="001607F9" w:rsidRPr="001607F9">
          <w:rPr>
            <w:rStyle w:val="Hypertextovprepojenie"/>
            <w:noProof/>
          </w:rPr>
          <w:t>Tabuľka 21: Plnenie hlavných odporúčaní IJ ÚV SR pre MDV SR v Priebežnej implementačnej správe 2019</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_Toc38447682 \h </w:instrText>
        </w:r>
        <w:r w:rsidR="001607F9" w:rsidRPr="001607F9">
          <w:rPr>
            <w:noProof/>
            <w:webHidden/>
          </w:rPr>
        </w:r>
        <w:r w:rsidR="001607F9" w:rsidRPr="001607F9">
          <w:rPr>
            <w:noProof/>
            <w:webHidden/>
          </w:rPr>
          <w:fldChar w:fldCharType="separate"/>
        </w:r>
        <w:r w:rsidR="001607F9" w:rsidRPr="001607F9">
          <w:rPr>
            <w:noProof/>
            <w:webHidden/>
          </w:rPr>
          <w:t>39</w:t>
        </w:r>
        <w:r w:rsidR="001607F9" w:rsidRPr="001607F9">
          <w:rPr>
            <w:noProof/>
            <w:webHidden/>
          </w:rPr>
          <w:fldChar w:fldCharType="end"/>
        </w:r>
      </w:hyperlink>
    </w:p>
    <w:p w14:paraId="24726BA6" w14:textId="465C1379"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83" w:history="1">
        <w:r w:rsidR="001607F9" w:rsidRPr="001607F9">
          <w:rPr>
            <w:rStyle w:val="Hypertextovprepojenie"/>
            <w:noProof/>
          </w:rPr>
          <w:t>Tabuľka 22: Plnenie opatrení Revízie výdavkov na dopravu v roku 2019</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_Toc38447683 \h </w:instrText>
        </w:r>
        <w:r w:rsidR="001607F9" w:rsidRPr="001607F9">
          <w:rPr>
            <w:noProof/>
            <w:webHidden/>
          </w:rPr>
        </w:r>
        <w:r w:rsidR="001607F9" w:rsidRPr="001607F9">
          <w:rPr>
            <w:noProof/>
            <w:webHidden/>
          </w:rPr>
          <w:fldChar w:fldCharType="separate"/>
        </w:r>
        <w:r w:rsidR="001607F9" w:rsidRPr="001607F9">
          <w:rPr>
            <w:noProof/>
            <w:webHidden/>
          </w:rPr>
          <w:t>40</w:t>
        </w:r>
        <w:r w:rsidR="001607F9" w:rsidRPr="001607F9">
          <w:rPr>
            <w:noProof/>
            <w:webHidden/>
          </w:rPr>
          <w:fldChar w:fldCharType="end"/>
        </w:r>
      </w:hyperlink>
    </w:p>
    <w:p w14:paraId="54988EF4" w14:textId="38406767"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84" w:history="1">
        <w:r w:rsidR="001607F9" w:rsidRPr="001607F9">
          <w:rPr>
            <w:rStyle w:val="Hypertextovprepojenie"/>
            <w:noProof/>
          </w:rPr>
          <w:t>Tabuľka 23: Opatrenia Revízie výdavkov na dopravu splnené v roku 2017</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_Toc38447684 \h </w:instrText>
        </w:r>
        <w:r w:rsidR="001607F9" w:rsidRPr="001607F9">
          <w:rPr>
            <w:noProof/>
            <w:webHidden/>
          </w:rPr>
        </w:r>
        <w:r w:rsidR="001607F9" w:rsidRPr="001607F9">
          <w:rPr>
            <w:noProof/>
            <w:webHidden/>
          </w:rPr>
          <w:fldChar w:fldCharType="separate"/>
        </w:r>
        <w:r w:rsidR="001607F9" w:rsidRPr="001607F9">
          <w:rPr>
            <w:noProof/>
            <w:webHidden/>
          </w:rPr>
          <w:t>43</w:t>
        </w:r>
        <w:r w:rsidR="001607F9" w:rsidRPr="001607F9">
          <w:rPr>
            <w:noProof/>
            <w:webHidden/>
          </w:rPr>
          <w:fldChar w:fldCharType="end"/>
        </w:r>
      </w:hyperlink>
    </w:p>
    <w:p w14:paraId="7BB103B3" w14:textId="7AB9CA00"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85" w:history="1">
        <w:r w:rsidR="001607F9" w:rsidRPr="001607F9">
          <w:rPr>
            <w:rStyle w:val="Hypertextovprepojenie"/>
            <w:noProof/>
          </w:rPr>
          <w:t>Tabuľka 24: Zoznam nových investičných projektov nad 20 mil. eur a ich stav k 31.12.2019</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_Toc38447685 \h </w:instrText>
        </w:r>
        <w:r w:rsidR="001607F9" w:rsidRPr="001607F9">
          <w:rPr>
            <w:noProof/>
            <w:webHidden/>
          </w:rPr>
        </w:r>
        <w:r w:rsidR="001607F9" w:rsidRPr="001607F9">
          <w:rPr>
            <w:noProof/>
            <w:webHidden/>
          </w:rPr>
          <w:fldChar w:fldCharType="separate"/>
        </w:r>
        <w:r w:rsidR="001607F9" w:rsidRPr="001607F9">
          <w:rPr>
            <w:noProof/>
            <w:webHidden/>
          </w:rPr>
          <w:t>45</w:t>
        </w:r>
        <w:r w:rsidR="001607F9" w:rsidRPr="001607F9">
          <w:rPr>
            <w:noProof/>
            <w:webHidden/>
          </w:rPr>
          <w:fldChar w:fldCharType="end"/>
        </w:r>
      </w:hyperlink>
    </w:p>
    <w:p w14:paraId="50E7DACB" w14:textId="54F7D6F2"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86" w:history="1">
        <w:r w:rsidR="001607F9" w:rsidRPr="001607F9">
          <w:rPr>
            <w:rStyle w:val="Hypertextovprepojenie"/>
            <w:noProof/>
          </w:rPr>
          <w:t>Tabuľka 25: Zoznam investičných projektov MDV SR s povinnosťou mať štúdiu realizovateľnosti na začiatku predinvestičného procesu a ich stav k 31.12.2019</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_Toc38447686 \h </w:instrText>
        </w:r>
        <w:r w:rsidR="001607F9" w:rsidRPr="001607F9">
          <w:rPr>
            <w:noProof/>
            <w:webHidden/>
          </w:rPr>
        </w:r>
        <w:r w:rsidR="001607F9" w:rsidRPr="001607F9">
          <w:rPr>
            <w:noProof/>
            <w:webHidden/>
          </w:rPr>
          <w:fldChar w:fldCharType="separate"/>
        </w:r>
        <w:r w:rsidR="001607F9" w:rsidRPr="001607F9">
          <w:rPr>
            <w:noProof/>
            <w:webHidden/>
          </w:rPr>
          <w:t>45</w:t>
        </w:r>
        <w:r w:rsidR="001607F9" w:rsidRPr="001607F9">
          <w:rPr>
            <w:noProof/>
            <w:webHidden/>
          </w:rPr>
          <w:fldChar w:fldCharType="end"/>
        </w:r>
      </w:hyperlink>
    </w:p>
    <w:p w14:paraId="69C185D2" w14:textId="20FA1A35"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87" w:history="1">
        <w:r w:rsidR="001607F9" w:rsidRPr="001607F9">
          <w:rPr>
            <w:rStyle w:val="Hypertextovprepojenie"/>
            <w:noProof/>
          </w:rPr>
          <w:t>Tabuľka 26: Zoznam projektov so zabezpečovanou združenou dokumentáciou v roku 2019</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_Toc38447687 \h </w:instrText>
        </w:r>
        <w:r w:rsidR="001607F9" w:rsidRPr="001607F9">
          <w:rPr>
            <w:noProof/>
            <w:webHidden/>
          </w:rPr>
        </w:r>
        <w:r w:rsidR="001607F9" w:rsidRPr="001607F9">
          <w:rPr>
            <w:noProof/>
            <w:webHidden/>
          </w:rPr>
          <w:fldChar w:fldCharType="separate"/>
        </w:r>
        <w:r w:rsidR="001607F9" w:rsidRPr="001607F9">
          <w:rPr>
            <w:noProof/>
            <w:webHidden/>
          </w:rPr>
          <w:t>48</w:t>
        </w:r>
        <w:r w:rsidR="001607F9" w:rsidRPr="001607F9">
          <w:rPr>
            <w:noProof/>
            <w:webHidden/>
          </w:rPr>
          <w:fldChar w:fldCharType="end"/>
        </w:r>
      </w:hyperlink>
    </w:p>
    <w:p w14:paraId="4037AE98" w14:textId="4B779CC3"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88" w:history="1">
        <w:r w:rsidR="001607F9" w:rsidRPr="001607F9">
          <w:rPr>
            <w:rStyle w:val="Hypertextovprepojenie"/>
            <w:noProof/>
          </w:rPr>
          <w:t>Tabuľka 27: Zoznam projektov vo verejnom obstarávaní v roku 2019</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_Toc38447688 \h </w:instrText>
        </w:r>
        <w:r w:rsidR="001607F9" w:rsidRPr="001607F9">
          <w:rPr>
            <w:noProof/>
            <w:webHidden/>
          </w:rPr>
        </w:r>
        <w:r w:rsidR="001607F9" w:rsidRPr="001607F9">
          <w:rPr>
            <w:noProof/>
            <w:webHidden/>
          </w:rPr>
          <w:fldChar w:fldCharType="separate"/>
        </w:r>
        <w:r w:rsidR="001607F9" w:rsidRPr="001607F9">
          <w:rPr>
            <w:noProof/>
            <w:webHidden/>
          </w:rPr>
          <w:t>49</w:t>
        </w:r>
        <w:r w:rsidR="001607F9" w:rsidRPr="001607F9">
          <w:rPr>
            <w:noProof/>
            <w:webHidden/>
          </w:rPr>
          <w:fldChar w:fldCharType="end"/>
        </w:r>
      </w:hyperlink>
    </w:p>
    <w:p w14:paraId="3331C6E0" w14:textId="3533043D"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89" w:history="1">
        <w:r w:rsidR="001607F9" w:rsidRPr="001607F9">
          <w:rPr>
            <w:rStyle w:val="Hypertextovprepojenie"/>
            <w:noProof/>
          </w:rPr>
          <w:t>Tabuľka 28: Zmena stavu ciest I. triedy podľa jednotlivých IVSC medzi rokmi 2016 a 2019 (v %)</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_Toc38447689 \h </w:instrText>
        </w:r>
        <w:r w:rsidR="001607F9" w:rsidRPr="001607F9">
          <w:rPr>
            <w:noProof/>
            <w:webHidden/>
          </w:rPr>
        </w:r>
        <w:r w:rsidR="001607F9" w:rsidRPr="001607F9">
          <w:rPr>
            <w:noProof/>
            <w:webHidden/>
          </w:rPr>
          <w:fldChar w:fldCharType="separate"/>
        </w:r>
        <w:r w:rsidR="001607F9" w:rsidRPr="001607F9">
          <w:rPr>
            <w:noProof/>
            <w:webHidden/>
          </w:rPr>
          <w:t>52</w:t>
        </w:r>
        <w:r w:rsidR="001607F9" w:rsidRPr="001607F9">
          <w:rPr>
            <w:noProof/>
            <w:webHidden/>
          </w:rPr>
          <w:fldChar w:fldCharType="end"/>
        </w:r>
      </w:hyperlink>
    </w:p>
    <w:p w14:paraId="17A7480F" w14:textId="20C7FDDC"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90" w:history="1">
        <w:r w:rsidR="001607F9" w:rsidRPr="001607F9">
          <w:rPr>
            <w:rStyle w:val="Hypertextovprepojenie"/>
            <w:noProof/>
          </w:rPr>
          <w:t>Tabuľka 29: Čerpanie peňažných prostriedkov na bežné opravy a údržbu podľa jednotlivých analytických skupín v roku 2019 v tis. eur bez zimnej údržby</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_Toc38447690 \h </w:instrText>
        </w:r>
        <w:r w:rsidR="001607F9" w:rsidRPr="001607F9">
          <w:rPr>
            <w:noProof/>
            <w:webHidden/>
          </w:rPr>
        </w:r>
        <w:r w:rsidR="001607F9" w:rsidRPr="001607F9">
          <w:rPr>
            <w:noProof/>
            <w:webHidden/>
          </w:rPr>
          <w:fldChar w:fldCharType="separate"/>
        </w:r>
        <w:r w:rsidR="001607F9" w:rsidRPr="001607F9">
          <w:rPr>
            <w:noProof/>
            <w:webHidden/>
          </w:rPr>
          <w:t>53</w:t>
        </w:r>
        <w:r w:rsidR="001607F9" w:rsidRPr="001607F9">
          <w:rPr>
            <w:noProof/>
            <w:webHidden/>
          </w:rPr>
          <w:fldChar w:fldCharType="end"/>
        </w:r>
      </w:hyperlink>
    </w:p>
    <w:p w14:paraId="07842246" w14:textId="3078B8CE"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91" w:history="1">
        <w:r w:rsidR="001607F9" w:rsidRPr="001607F9">
          <w:rPr>
            <w:rStyle w:val="Hypertextovprepojenie"/>
            <w:noProof/>
          </w:rPr>
          <w:t>Tabuľka 30: Prioritné investičné projekty MDV SR (mil. eur), stav k 31.12.2019</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_Toc38447691 \h </w:instrText>
        </w:r>
        <w:r w:rsidR="001607F9" w:rsidRPr="001607F9">
          <w:rPr>
            <w:noProof/>
            <w:webHidden/>
          </w:rPr>
        </w:r>
        <w:r w:rsidR="001607F9" w:rsidRPr="001607F9">
          <w:rPr>
            <w:noProof/>
            <w:webHidden/>
          </w:rPr>
          <w:fldChar w:fldCharType="separate"/>
        </w:r>
        <w:r w:rsidR="001607F9" w:rsidRPr="001607F9">
          <w:rPr>
            <w:noProof/>
            <w:webHidden/>
          </w:rPr>
          <w:t>55</w:t>
        </w:r>
        <w:r w:rsidR="001607F9" w:rsidRPr="001607F9">
          <w:rPr>
            <w:noProof/>
            <w:webHidden/>
          </w:rPr>
          <w:fldChar w:fldCharType="end"/>
        </w:r>
      </w:hyperlink>
    </w:p>
    <w:p w14:paraId="73237B18" w14:textId="3A3FEBA4"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92" w:history="1">
        <w:r w:rsidR="001607F9" w:rsidRPr="001607F9">
          <w:rPr>
            <w:rStyle w:val="Hypertextovprepojenie"/>
            <w:noProof/>
          </w:rPr>
          <w:t>Tabuľka 31: Zoznam budúcich cestných investičných projektov, ktorých predpokladaný investičný náklad je vyšší ako 40 mil. eur posudzovaných ÚHP MF SR v 2. polroku 2019</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_Toc38447692 \h </w:instrText>
        </w:r>
        <w:r w:rsidR="001607F9" w:rsidRPr="001607F9">
          <w:rPr>
            <w:noProof/>
            <w:webHidden/>
          </w:rPr>
        </w:r>
        <w:r w:rsidR="001607F9" w:rsidRPr="001607F9">
          <w:rPr>
            <w:noProof/>
            <w:webHidden/>
          </w:rPr>
          <w:fldChar w:fldCharType="separate"/>
        </w:r>
        <w:r w:rsidR="001607F9" w:rsidRPr="001607F9">
          <w:rPr>
            <w:noProof/>
            <w:webHidden/>
          </w:rPr>
          <w:t>56</w:t>
        </w:r>
        <w:r w:rsidR="001607F9" w:rsidRPr="001607F9">
          <w:rPr>
            <w:noProof/>
            <w:webHidden/>
          </w:rPr>
          <w:fldChar w:fldCharType="end"/>
        </w:r>
      </w:hyperlink>
    </w:p>
    <w:p w14:paraId="3336333E" w14:textId="2D9426E0"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93" w:history="1">
        <w:r w:rsidR="001607F9" w:rsidRPr="001607F9">
          <w:rPr>
            <w:rStyle w:val="Hypertextovprepojenie"/>
            <w:noProof/>
          </w:rPr>
          <w:t>Tabuľka 32: Zoznam investičných projektov železničnej infraštruktúry posudzovaných ÚHP MF SR v roku 2019</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_Toc38447693 \h </w:instrText>
        </w:r>
        <w:r w:rsidR="001607F9" w:rsidRPr="001607F9">
          <w:rPr>
            <w:noProof/>
            <w:webHidden/>
          </w:rPr>
        </w:r>
        <w:r w:rsidR="001607F9" w:rsidRPr="001607F9">
          <w:rPr>
            <w:noProof/>
            <w:webHidden/>
          </w:rPr>
          <w:fldChar w:fldCharType="separate"/>
        </w:r>
        <w:r w:rsidR="001607F9" w:rsidRPr="001607F9">
          <w:rPr>
            <w:noProof/>
            <w:webHidden/>
          </w:rPr>
          <w:t>58</w:t>
        </w:r>
        <w:r w:rsidR="001607F9" w:rsidRPr="001607F9">
          <w:rPr>
            <w:noProof/>
            <w:webHidden/>
          </w:rPr>
          <w:fldChar w:fldCharType="end"/>
        </w:r>
      </w:hyperlink>
    </w:p>
    <w:p w14:paraId="41589E2D" w14:textId="7C47692A"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94" w:history="1">
        <w:r w:rsidR="001607F9" w:rsidRPr="001607F9">
          <w:rPr>
            <w:rStyle w:val="Hypertextovprepojenie"/>
            <w:noProof/>
          </w:rPr>
          <w:t>Tabuľka 33: Zoznam pripravovaných investičných projektov železničnej infraštruktúry v roku 2019</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_Toc38447694 \h </w:instrText>
        </w:r>
        <w:r w:rsidR="001607F9" w:rsidRPr="001607F9">
          <w:rPr>
            <w:noProof/>
            <w:webHidden/>
          </w:rPr>
        </w:r>
        <w:r w:rsidR="001607F9" w:rsidRPr="001607F9">
          <w:rPr>
            <w:noProof/>
            <w:webHidden/>
          </w:rPr>
          <w:fldChar w:fldCharType="separate"/>
        </w:r>
        <w:r w:rsidR="001607F9" w:rsidRPr="001607F9">
          <w:rPr>
            <w:noProof/>
            <w:webHidden/>
          </w:rPr>
          <w:t>59</w:t>
        </w:r>
        <w:r w:rsidR="001607F9" w:rsidRPr="001607F9">
          <w:rPr>
            <w:noProof/>
            <w:webHidden/>
          </w:rPr>
          <w:fldChar w:fldCharType="end"/>
        </w:r>
      </w:hyperlink>
    </w:p>
    <w:p w14:paraId="7FB8F737" w14:textId="177F5CC4"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95" w:history="1">
        <w:r w:rsidR="001607F9" w:rsidRPr="001607F9">
          <w:rPr>
            <w:rStyle w:val="Hypertextovprepojenie"/>
            <w:noProof/>
          </w:rPr>
          <w:t>Tabuľka 34: Zoznam prioritných investičných projektov železničnej infraštruktúry posudzovaných ÚHP MF SR v roku 2019</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_Toc38447695 \h </w:instrText>
        </w:r>
        <w:r w:rsidR="001607F9" w:rsidRPr="001607F9">
          <w:rPr>
            <w:noProof/>
            <w:webHidden/>
          </w:rPr>
        </w:r>
        <w:r w:rsidR="001607F9" w:rsidRPr="001607F9">
          <w:rPr>
            <w:noProof/>
            <w:webHidden/>
          </w:rPr>
          <w:fldChar w:fldCharType="separate"/>
        </w:r>
        <w:r w:rsidR="001607F9" w:rsidRPr="001607F9">
          <w:rPr>
            <w:noProof/>
            <w:webHidden/>
          </w:rPr>
          <w:t>59</w:t>
        </w:r>
        <w:r w:rsidR="001607F9" w:rsidRPr="001607F9">
          <w:rPr>
            <w:noProof/>
            <w:webHidden/>
          </w:rPr>
          <w:fldChar w:fldCharType="end"/>
        </w:r>
      </w:hyperlink>
    </w:p>
    <w:p w14:paraId="75F0F522" w14:textId="5EB8A191"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96" w:history="1">
        <w:r w:rsidR="001607F9" w:rsidRPr="001607F9">
          <w:rPr>
            <w:rStyle w:val="Hypertextovprepojenie"/>
            <w:noProof/>
          </w:rPr>
          <w:t>Tabuľka 35: Prioritné investície ŽSR s hodnotou nad 20 mil. eur, stav k 31.12.2019</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_Toc38447696 \h </w:instrText>
        </w:r>
        <w:r w:rsidR="001607F9" w:rsidRPr="001607F9">
          <w:rPr>
            <w:noProof/>
            <w:webHidden/>
          </w:rPr>
        </w:r>
        <w:r w:rsidR="001607F9" w:rsidRPr="001607F9">
          <w:rPr>
            <w:noProof/>
            <w:webHidden/>
          </w:rPr>
          <w:fldChar w:fldCharType="separate"/>
        </w:r>
        <w:r w:rsidR="001607F9" w:rsidRPr="001607F9">
          <w:rPr>
            <w:noProof/>
            <w:webHidden/>
          </w:rPr>
          <w:t>59</w:t>
        </w:r>
        <w:r w:rsidR="001607F9" w:rsidRPr="001607F9">
          <w:rPr>
            <w:noProof/>
            <w:webHidden/>
          </w:rPr>
          <w:fldChar w:fldCharType="end"/>
        </w:r>
      </w:hyperlink>
    </w:p>
    <w:p w14:paraId="37F918CE" w14:textId="2B091A9C"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97" w:history="1">
        <w:r w:rsidR="001607F9" w:rsidRPr="001607F9">
          <w:rPr>
            <w:rStyle w:val="Hypertextovprepojenie"/>
            <w:noProof/>
          </w:rPr>
          <w:t>Tabuľka 36: Celkové náklady ŽSR a počet km spravovaných tratí</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_Toc38447697 \h </w:instrText>
        </w:r>
        <w:r w:rsidR="001607F9" w:rsidRPr="001607F9">
          <w:rPr>
            <w:noProof/>
            <w:webHidden/>
          </w:rPr>
        </w:r>
        <w:r w:rsidR="001607F9" w:rsidRPr="001607F9">
          <w:rPr>
            <w:noProof/>
            <w:webHidden/>
          </w:rPr>
          <w:fldChar w:fldCharType="separate"/>
        </w:r>
        <w:r w:rsidR="001607F9" w:rsidRPr="001607F9">
          <w:rPr>
            <w:noProof/>
            <w:webHidden/>
          </w:rPr>
          <w:t>61</w:t>
        </w:r>
        <w:r w:rsidR="001607F9" w:rsidRPr="001607F9">
          <w:rPr>
            <w:noProof/>
            <w:webHidden/>
          </w:rPr>
          <w:fldChar w:fldCharType="end"/>
        </w:r>
      </w:hyperlink>
    </w:p>
    <w:p w14:paraId="6A396FA0" w14:textId="0E8CE2E0"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98" w:history="1">
        <w:r w:rsidR="001607F9" w:rsidRPr="001607F9">
          <w:rPr>
            <w:rStyle w:val="Hypertextovprepojenie"/>
            <w:noProof/>
          </w:rPr>
          <w:t>Tabuľka 37: Mzdové výdavky ŽSR na riadenie tratí</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_Toc38447698 \h </w:instrText>
        </w:r>
        <w:r w:rsidR="001607F9" w:rsidRPr="001607F9">
          <w:rPr>
            <w:noProof/>
            <w:webHidden/>
          </w:rPr>
        </w:r>
        <w:r w:rsidR="001607F9" w:rsidRPr="001607F9">
          <w:rPr>
            <w:noProof/>
            <w:webHidden/>
          </w:rPr>
          <w:fldChar w:fldCharType="separate"/>
        </w:r>
        <w:r w:rsidR="001607F9" w:rsidRPr="001607F9">
          <w:rPr>
            <w:noProof/>
            <w:webHidden/>
          </w:rPr>
          <w:t>62</w:t>
        </w:r>
        <w:r w:rsidR="001607F9" w:rsidRPr="001607F9">
          <w:rPr>
            <w:noProof/>
            <w:webHidden/>
          </w:rPr>
          <w:fldChar w:fldCharType="end"/>
        </w:r>
      </w:hyperlink>
    </w:p>
    <w:p w14:paraId="387C3055" w14:textId="3D4E5087"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699" w:history="1">
        <w:r w:rsidR="001607F9" w:rsidRPr="001607F9">
          <w:rPr>
            <w:rStyle w:val="Hypertextovprepojenie"/>
            <w:noProof/>
          </w:rPr>
          <w:t>Tabuľka 38: Výdavky ŽSR na údržbu tratí</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_Toc38447699 \h </w:instrText>
        </w:r>
        <w:r w:rsidR="001607F9" w:rsidRPr="001607F9">
          <w:rPr>
            <w:noProof/>
            <w:webHidden/>
          </w:rPr>
        </w:r>
        <w:r w:rsidR="001607F9" w:rsidRPr="001607F9">
          <w:rPr>
            <w:noProof/>
            <w:webHidden/>
          </w:rPr>
          <w:fldChar w:fldCharType="separate"/>
        </w:r>
        <w:r w:rsidR="001607F9" w:rsidRPr="001607F9">
          <w:rPr>
            <w:noProof/>
            <w:webHidden/>
          </w:rPr>
          <w:t>63</w:t>
        </w:r>
        <w:r w:rsidR="001607F9" w:rsidRPr="001607F9">
          <w:rPr>
            <w:noProof/>
            <w:webHidden/>
          </w:rPr>
          <w:fldChar w:fldCharType="end"/>
        </w:r>
      </w:hyperlink>
    </w:p>
    <w:p w14:paraId="0F56F33D" w14:textId="14377DA7"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00" w:history="1">
        <w:r w:rsidR="001607F9" w:rsidRPr="001607F9">
          <w:rPr>
            <w:rStyle w:val="Hypertextovprepojenie"/>
            <w:noProof/>
          </w:rPr>
          <w:t>Tabuľka 39: Úspora nákladov na nákup elektrickej energie zo strany ŽSR</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_Toc38447700 \h </w:instrText>
        </w:r>
        <w:r w:rsidR="001607F9" w:rsidRPr="001607F9">
          <w:rPr>
            <w:noProof/>
            <w:webHidden/>
          </w:rPr>
        </w:r>
        <w:r w:rsidR="001607F9" w:rsidRPr="001607F9">
          <w:rPr>
            <w:noProof/>
            <w:webHidden/>
          </w:rPr>
          <w:fldChar w:fldCharType="separate"/>
        </w:r>
        <w:r w:rsidR="001607F9" w:rsidRPr="001607F9">
          <w:rPr>
            <w:noProof/>
            <w:webHidden/>
          </w:rPr>
          <w:t>63</w:t>
        </w:r>
        <w:r w:rsidR="001607F9" w:rsidRPr="001607F9">
          <w:rPr>
            <w:noProof/>
            <w:webHidden/>
          </w:rPr>
          <w:fldChar w:fldCharType="end"/>
        </w:r>
      </w:hyperlink>
    </w:p>
    <w:p w14:paraId="15BE3425" w14:textId="132CAE10"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01" w:history="1">
        <w:r w:rsidR="001607F9" w:rsidRPr="001607F9">
          <w:rPr>
            <w:rStyle w:val="Hypertextovprepojenie"/>
            <w:noProof/>
          </w:rPr>
          <w:t>Tabuľka 40: Medziročné zmeny ukazovateľov ZSSK v roku 2019</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_Toc38447701 \h </w:instrText>
        </w:r>
        <w:r w:rsidR="001607F9" w:rsidRPr="001607F9">
          <w:rPr>
            <w:noProof/>
            <w:webHidden/>
          </w:rPr>
        </w:r>
        <w:r w:rsidR="001607F9" w:rsidRPr="001607F9">
          <w:rPr>
            <w:noProof/>
            <w:webHidden/>
          </w:rPr>
          <w:fldChar w:fldCharType="separate"/>
        </w:r>
        <w:r w:rsidR="001607F9" w:rsidRPr="001607F9">
          <w:rPr>
            <w:noProof/>
            <w:webHidden/>
          </w:rPr>
          <w:t>64</w:t>
        </w:r>
        <w:r w:rsidR="001607F9" w:rsidRPr="001607F9">
          <w:rPr>
            <w:noProof/>
            <w:webHidden/>
          </w:rPr>
          <w:fldChar w:fldCharType="end"/>
        </w:r>
      </w:hyperlink>
    </w:p>
    <w:p w14:paraId="3CE31FC5" w14:textId="2985775E"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02" w:history="1">
        <w:r w:rsidR="001607F9" w:rsidRPr="001607F9">
          <w:rPr>
            <w:rStyle w:val="Hypertextovprepojenie"/>
            <w:noProof/>
          </w:rPr>
          <w:t>Tabuľka 41: Medziročné zmeny ukazovateľov ZSSK za 2016-2019</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_Toc38447702 \h </w:instrText>
        </w:r>
        <w:r w:rsidR="001607F9" w:rsidRPr="001607F9">
          <w:rPr>
            <w:noProof/>
            <w:webHidden/>
          </w:rPr>
        </w:r>
        <w:r w:rsidR="001607F9" w:rsidRPr="001607F9">
          <w:rPr>
            <w:noProof/>
            <w:webHidden/>
          </w:rPr>
          <w:fldChar w:fldCharType="separate"/>
        </w:r>
        <w:r w:rsidR="001607F9" w:rsidRPr="001607F9">
          <w:rPr>
            <w:noProof/>
            <w:webHidden/>
          </w:rPr>
          <w:t>64</w:t>
        </w:r>
        <w:r w:rsidR="001607F9" w:rsidRPr="001607F9">
          <w:rPr>
            <w:noProof/>
            <w:webHidden/>
          </w:rPr>
          <w:fldChar w:fldCharType="end"/>
        </w:r>
      </w:hyperlink>
    </w:p>
    <w:p w14:paraId="7046A879" w14:textId="42FC5144"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03" w:history="1">
        <w:r w:rsidR="001607F9" w:rsidRPr="001607F9">
          <w:rPr>
            <w:rStyle w:val="Hypertextovprepojenie"/>
            <w:noProof/>
          </w:rPr>
          <w:t>Tabuľka 42: Index digitálnej ekonomiky a spoločnosti (DESI) v rokoch 2017 – 2019</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_Toc38447703 \h </w:instrText>
        </w:r>
        <w:r w:rsidR="001607F9" w:rsidRPr="001607F9">
          <w:rPr>
            <w:noProof/>
            <w:webHidden/>
          </w:rPr>
        </w:r>
        <w:r w:rsidR="001607F9" w:rsidRPr="001607F9">
          <w:rPr>
            <w:noProof/>
            <w:webHidden/>
          </w:rPr>
          <w:fldChar w:fldCharType="separate"/>
        </w:r>
        <w:r w:rsidR="001607F9" w:rsidRPr="001607F9">
          <w:rPr>
            <w:noProof/>
            <w:webHidden/>
          </w:rPr>
          <w:t>74</w:t>
        </w:r>
        <w:r w:rsidR="001607F9" w:rsidRPr="001607F9">
          <w:rPr>
            <w:noProof/>
            <w:webHidden/>
          </w:rPr>
          <w:fldChar w:fldCharType="end"/>
        </w:r>
      </w:hyperlink>
    </w:p>
    <w:p w14:paraId="61BA16FA" w14:textId="7843317B"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04" w:history="1">
        <w:r w:rsidR="001607F9" w:rsidRPr="001607F9">
          <w:rPr>
            <w:rStyle w:val="Hypertextovprepojenie"/>
            <w:noProof/>
          </w:rPr>
          <w:t>Tabuľka 43: Plnenie hlavných odporúčaní IJ ÚV SR pre ÚPVII v Priebežnej implementačnej správe 2019</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_Toc38447704 \h </w:instrText>
        </w:r>
        <w:r w:rsidR="001607F9" w:rsidRPr="001607F9">
          <w:rPr>
            <w:noProof/>
            <w:webHidden/>
          </w:rPr>
        </w:r>
        <w:r w:rsidR="001607F9" w:rsidRPr="001607F9">
          <w:rPr>
            <w:noProof/>
            <w:webHidden/>
          </w:rPr>
          <w:fldChar w:fldCharType="separate"/>
        </w:r>
        <w:r w:rsidR="001607F9" w:rsidRPr="001607F9">
          <w:rPr>
            <w:noProof/>
            <w:webHidden/>
          </w:rPr>
          <w:t>76</w:t>
        </w:r>
        <w:r w:rsidR="001607F9" w:rsidRPr="001607F9">
          <w:rPr>
            <w:noProof/>
            <w:webHidden/>
          </w:rPr>
          <w:fldChar w:fldCharType="end"/>
        </w:r>
      </w:hyperlink>
    </w:p>
    <w:p w14:paraId="3B1059C0" w14:textId="7CF85E67"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05" w:history="1">
        <w:r w:rsidR="001607F9" w:rsidRPr="001607F9">
          <w:rPr>
            <w:rStyle w:val="Hypertextovprepojenie"/>
            <w:noProof/>
          </w:rPr>
          <w:t>Tabuľka 44: Plnenie hlavných odporúčaní IJ ÚV SR pre MV SR v Priebežnej implementačnej správe 2019</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_Toc38447705 \h </w:instrText>
        </w:r>
        <w:r w:rsidR="001607F9" w:rsidRPr="001607F9">
          <w:rPr>
            <w:noProof/>
            <w:webHidden/>
          </w:rPr>
        </w:r>
        <w:r w:rsidR="001607F9" w:rsidRPr="001607F9">
          <w:rPr>
            <w:noProof/>
            <w:webHidden/>
          </w:rPr>
          <w:fldChar w:fldCharType="separate"/>
        </w:r>
        <w:r w:rsidR="001607F9" w:rsidRPr="001607F9">
          <w:rPr>
            <w:noProof/>
            <w:webHidden/>
          </w:rPr>
          <w:t>76</w:t>
        </w:r>
        <w:r w:rsidR="001607F9" w:rsidRPr="001607F9">
          <w:rPr>
            <w:noProof/>
            <w:webHidden/>
          </w:rPr>
          <w:fldChar w:fldCharType="end"/>
        </w:r>
      </w:hyperlink>
    </w:p>
    <w:p w14:paraId="7D4FE7EC" w14:textId="1D2C2F65"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06" w:history="1">
        <w:r w:rsidR="001607F9" w:rsidRPr="001607F9">
          <w:rPr>
            <w:rStyle w:val="Hypertextovprepojenie"/>
            <w:noProof/>
          </w:rPr>
          <w:t>Tabuľka 45: Plnenie opatrení Revízie výdavkov na informatizáciu v roku 2019</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_Toc38447706 \h </w:instrText>
        </w:r>
        <w:r w:rsidR="001607F9" w:rsidRPr="001607F9">
          <w:rPr>
            <w:noProof/>
            <w:webHidden/>
          </w:rPr>
        </w:r>
        <w:r w:rsidR="001607F9" w:rsidRPr="001607F9">
          <w:rPr>
            <w:noProof/>
            <w:webHidden/>
          </w:rPr>
          <w:fldChar w:fldCharType="separate"/>
        </w:r>
        <w:r w:rsidR="001607F9" w:rsidRPr="001607F9">
          <w:rPr>
            <w:noProof/>
            <w:webHidden/>
          </w:rPr>
          <w:t>77</w:t>
        </w:r>
        <w:r w:rsidR="001607F9" w:rsidRPr="001607F9">
          <w:rPr>
            <w:noProof/>
            <w:webHidden/>
          </w:rPr>
          <w:fldChar w:fldCharType="end"/>
        </w:r>
      </w:hyperlink>
    </w:p>
    <w:p w14:paraId="7D814C61" w14:textId="6A6A0BFE"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07" w:history="1">
        <w:r w:rsidR="001607F9" w:rsidRPr="001607F9">
          <w:rPr>
            <w:rStyle w:val="Hypertextovprepojenie"/>
            <w:noProof/>
          </w:rPr>
          <w:t>Tabuľka 46: Opatrenia Revízie výdavkov na informatizáciu splnené v roku 2018</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_Toc38447707 \h </w:instrText>
        </w:r>
        <w:r w:rsidR="001607F9" w:rsidRPr="001607F9">
          <w:rPr>
            <w:noProof/>
            <w:webHidden/>
          </w:rPr>
        </w:r>
        <w:r w:rsidR="001607F9" w:rsidRPr="001607F9">
          <w:rPr>
            <w:noProof/>
            <w:webHidden/>
          </w:rPr>
          <w:fldChar w:fldCharType="separate"/>
        </w:r>
        <w:r w:rsidR="001607F9" w:rsidRPr="001607F9">
          <w:rPr>
            <w:noProof/>
            <w:webHidden/>
          </w:rPr>
          <w:t>78</w:t>
        </w:r>
        <w:r w:rsidR="001607F9" w:rsidRPr="001607F9">
          <w:rPr>
            <w:noProof/>
            <w:webHidden/>
          </w:rPr>
          <w:fldChar w:fldCharType="end"/>
        </w:r>
      </w:hyperlink>
    </w:p>
    <w:p w14:paraId="645C2AFC" w14:textId="2EF463A5"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08" w:history="1">
        <w:r w:rsidR="001607F9" w:rsidRPr="001607F9">
          <w:rPr>
            <w:rStyle w:val="Hypertextovprepojenie"/>
            <w:noProof/>
          </w:rPr>
          <w:t>Tabuľka 47: Opatrenia Revízie výdavkov na informatizáciu splnené v roku 2017</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_Toc38447708 \h </w:instrText>
        </w:r>
        <w:r w:rsidR="001607F9" w:rsidRPr="001607F9">
          <w:rPr>
            <w:noProof/>
            <w:webHidden/>
          </w:rPr>
        </w:r>
        <w:r w:rsidR="001607F9" w:rsidRPr="001607F9">
          <w:rPr>
            <w:noProof/>
            <w:webHidden/>
          </w:rPr>
          <w:fldChar w:fldCharType="separate"/>
        </w:r>
        <w:r w:rsidR="001607F9" w:rsidRPr="001607F9">
          <w:rPr>
            <w:noProof/>
            <w:webHidden/>
          </w:rPr>
          <w:t>78</w:t>
        </w:r>
        <w:r w:rsidR="001607F9" w:rsidRPr="001607F9">
          <w:rPr>
            <w:noProof/>
            <w:webHidden/>
          </w:rPr>
          <w:fldChar w:fldCharType="end"/>
        </w:r>
      </w:hyperlink>
    </w:p>
    <w:p w14:paraId="3EE9E83A" w14:textId="523D963F"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09" w:history="1">
        <w:r w:rsidR="001607F9" w:rsidRPr="001607F9">
          <w:rPr>
            <w:rStyle w:val="Hypertextovprepojenie"/>
            <w:noProof/>
          </w:rPr>
          <w:t>Tabuľka 48: Vyťaženosť vládneho cloudu</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_Toc38447709 \h </w:instrText>
        </w:r>
        <w:r w:rsidR="001607F9" w:rsidRPr="001607F9">
          <w:rPr>
            <w:noProof/>
            <w:webHidden/>
          </w:rPr>
        </w:r>
        <w:r w:rsidR="001607F9" w:rsidRPr="001607F9">
          <w:rPr>
            <w:noProof/>
            <w:webHidden/>
          </w:rPr>
          <w:fldChar w:fldCharType="separate"/>
        </w:r>
        <w:r w:rsidR="001607F9" w:rsidRPr="001607F9">
          <w:rPr>
            <w:noProof/>
            <w:webHidden/>
          </w:rPr>
          <w:t>79</w:t>
        </w:r>
        <w:r w:rsidR="001607F9" w:rsidRPr="001607F9">
          <w:rPr>
            <w:noProof/>
            <w:webHidden/>
          </w:rPr>
          <w:fldChar w:fldCharType="end"/>
        </w:r>
      </w:hyperlink>
    </w:p>
    <w:p w14:paraId="2E7EDB61" w14:textId="20B3F09B"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10" w:history="1">
        <w:r w:rsidR="001607F9" w:rsidRPr="001607F9">
          <w:rPr>
            <w:rStyle w:val="Hypertextovprepojenie"/>
            <w:noProof/>
          </w:rPr>
          <w:t>Tabuľka 49: Výdavky na telekomunikačné služby a komunikačnú infraštruktúru 2017-2019 (v mil. eur)</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_Toc38447710 \h </w:instrText>
        </w:r>
        <w:r w:rsidR="001607F9" w:rsidRPr="001607F9">
          <w:rPr>
            <w:noProof/>
            <w:webHidden/>
          </w:rPr>
        </w:r>
        <w:r w:rsidR="001607F9" w:rsidRPr="001607F9">
          <w:rPr>
            <w:noProof/>
            <w:webHidden/>
          </w:rPr>
          <w:fldChar w:fldCharType="separate"/>
        </w:r>
        <w:r w:rsidR="001607F9" w:rsidRPr="001607F9">
          <w:rPr>
            <w:noProof/>
            <w:webHidden/>
          </w:rPr>
          <w:t>81</w:t>
        </w:r>
        <w:r w:rsidR="001607F9" w:rsidRPr="001607F9">
          <w:rPr>
            <w:noProof/>
            <w:webHidden/>
          </w:rPr>
          <w:fldChar w:fldCharType="end"/>
        </w:r>
      </w:hyperlink>
    </w:p>
    <w:p w14:paraId="53B2D7B4" w14:textId="6C545765"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11" w:history="1">
        <w:r w:rsidR="001607F9" w:rsidRPr="001607F9">
          <w:rPr>
            <w:rStyle w:val="Hypertextovprepojenie"/>
            <w:noProof/>
          </w:rPr>
          <w:t>Tabuľka 50: Miera aktivácie eID zadaním BOK (k novo vydaným eID)</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_Toc38447711 \h </w:instrText>
        </w:r>
        <w:r w:rsidR="001607F9" w:rsidRPr="001607F9">
          <w:rPr>
            <w:noProof/>
            <w:webHidden/>
          </w:rPr>
        </w:r>
        <w:r w:rsidR="001607F9" w:rsidRPr="001607F9">
          <w:rPr>
            <w:noProof/>
            <w:webHidden/>
          </w:rPr>
          <w:fldChar w:fldCharType="separate"/>
        </w:r>
        <w:r w:rsidR="001607F9" w:rsidRPr="001607F9">
          <w:rPr>
            <w:noProof/>
            <w:webHidden/>
          </w:rPr>
          <w:t>82</w:t>
        </w:r>
        <w:r w:rsidR="001607F9" w:rsidRPr="001607F9">
          <w:rPr>
            <w:noProof/>
            <w:webHidden/>
          </w:rPr>
          <w:fldChar w:fldCharType="end"/>
        </w:r>
      </w:hyperlink>
    </w:p>
    <w:p w14:paraId="0F09E877" w14:textId="73408664"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12" w:history="1">
        <w:r w:rsidR="001607F9" w:rsidRPr="001607F9">
          <w:rPr>
            <w:rStyle w:val="Hypertextovprepojenie"/>
            <w:noProof/>
          </w:rPr>
          <w:t>Tabuľka 51: Elektronické schránky aktivované na doručovanie</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_Toc38447712 \h </w:instrText>
        </w:r>
        <w:r w:rsidR="001607F9" w:rsidRPr="001607F9">
          <w:rPr>
            <w:noProof/>
            <w:webHidden/>
          </w:rPr>
        </w:r>
        <w:r w:rsidR="001607F9" w:rsidRPr="001607F9">
          <w:rPr>
            <w:noProof/>
            <w:webHidden/>
          </w:rPr>
          <w:fldChar w:fldCharType="separate"/>
        </w:r>
        <w:r w:rsidR="001607F9" w:rsidRPr="001607F9">
          <w:rPr>
            <w:noProof/>
            <w:webHidden/>
          </w:rPr>
          <w:t>83</w:t>
        </w:r>
        <w:r w:rsidR="001607F9" w:rsidRPr="001607F9">
          <w:rPr>
            <w:noProof/>
            <w:webHidden/>
          </w:rPr>
          <w:fldChar w:fldCharType="end"/>
        </w:r>
      </w:hyperlink>
    </w:p>
    <w:p w14:paraId="0A27C911" w14:textId="4120DB29"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13" w:history="1">
        <w:r w:rsidR="001607F9" w:rsidRPr="001607F9">
          <w:rPr>
            <w:rStyle w:val="Hypertextovprepojenie"/>
            <w:noProof/>
          </w:rPr>
          <w:t>Tabuľka 52: Zoznam posúdených IT projektov</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_Toc38447713 \h </w:instrText>
        </w:r>
        <w:r w:rsidR="001607F9" w:rsidRPr="001607F9">
          <w:rPr>
            <w:noProof/>
            <w:webHidden/>
          </w:rPr>
        </w:r>
        <w:r w:rsidR="001607F9" w:rsidRPr="001607F9">
          <w:rPr>
            <w:noProof/>
            <w:webHidden/>
          </w:rPr>
          <w:fldChar w:fldCharType="separate"/>
        </w:r>
        <w:r w:rsidR="001607F9" w:rsidRPr="001607F9">
          <w:rPr>
            <w:noProof/>
            <w:webHidden/>
          </w:rPr>
          <w:t>88</w:t>
        </w:r>
        <w:r w:rsidR="001607F9" w:rsidRPr="001607F9">
          <w:rPr>
            <w:noProof/>
            <w:webHidden/>
          </w:rPr>
          <w:fldChar w:fldCharType="end"/>
        </w:r>
      </w:hyperlink>
    </w:p>
    <w:p w14:paraId="33594E9E" w14:textId="32E709E8"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14" w:history="1">
        <w:r w:rsidR="001607F9" w:rsidRPr="001607F9">
          <w:rPr>
            <w:rStyle w:val="Hypertextovprepojenie"/>
            <w:noProof/>
          </w:rPr>
          <w:t>Tabuľka 53: Plnenie hlavných odporúčaní IJ ÚV SR pre MŠVVaŠ SR v Priebežnej implementačnej správe 2019</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_Toc38447714 \h </w:instrText>
        </w:r>
        <w:r w:rsidR="001607F9" w:rsidRPr="001607F9">
          <w:rPr>
            <w:noProof/>
            <w:webHidden/>
          </w:rPr>
        </w:r>
        <w:r w:rsidR="001607F9" w:rsidRPr="001607F9">
          <w:rPr>
            <w:noProof/>
            <w:webHidden/>
          </w:rPr>
          <w:fldChar w:fldCharType="separate"/>
        </w:r>
        <w:r w:rsidR="001607F9" w:rsidRPr="001607F9">
          <w:rPr>
            <w:noProof/>
            <w:webHidden/>
          </w:rPr>
          <w:t>92</w:t>
        </w:r>
        <w:r w:rsidR="001607F9" w:rsidRPr="001607F9">
          <w:rPr>
            <w:noProof/>
            <w:webHidden/>
          </w:rPr>
          <w:fldChar w:fldCharType="end"/>
        </w:r>
      </w:hyperlink>
    </w:p>
    <w:p w14:paraId="0429DB25" w14:textId="63EC387D"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15" w:history="1">
        <w:r w:rsidR="001607F9" w:rsidRPr="001607F9">
          <w:rPr>
            <w:rStyle w:val="Hypertextovprepojenie"/>
            <w:noProof/>
          </w:rPr>
          <w:t>Tabuľka 54: Plnenie opatrení Revízie výdavkov na vzdelávanie v roku 2019</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_Toc38447715 \h </w:instrText>
        </w:r>
        <w:r w:rsidR="001607F9" w:rsidRPr="001607F9">
          <w:rPr>
            <w:noProof/>
            <w:webHidden/>
          </w:rPr>
        </w:r>
        <w:r w:rsidR="001607F9" w:rsidRPr="001607F9">
          <w:rPr>
            <w:noProof/>
            <w:webHidden/>
          </w:rPr>
          <w:fldChar w:fldCharType="separate"/>
        </w:r>
        <w:r w:rsidR="001607F9" w:rsidRPr="001607F9">
          <w:rPr>
            <w:noProof/>
            <w:webHidden/>
          </w:rPr>
          <w:t>93</w:t>
        </w:r>
        <w:r w:rsidR="001607F9" w:rsidRPr="001607F9">
          <w:rPr>
            <w:noProof/>
            <w:webHidden/>
          </w:rPr>
          <w:fldChar w:fldCharType="end"/>
        </w:r>
      </w:hyperlink>
    </w:p>
    <w:p w14:paraId="54C8C274" w14:textId="070219AF"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16" w:history="1">
        <w:r w:rsidR="001607F9" w:rsidRPr="001607F9">
          <w:rPr>
            <w:rStyle w:val="Hypertextovprepojenie"/>
            <w:noProof/>
          </w:rPr>
          <w:t>Tabuľka 55: Opatrenia Revízie výdavkov na vzdelávanie splnené v roku 2018</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_Toc38447716 \h </w:instrText>
        </w:r>
        <w:r w:rsidR="001607F9" w:rsidRPr="001607F9">
          <w:rPr>
            <w:noProof/>
            <w:webHidden/>
          </w:rPr>
        </w:r>
        <w:r w:rsidR="001607F9" w:rsidRPr="001607F9">
          <w:rPr>
            <w:noProof/>
            <w:webHidden/>
          </w:rPr>
          <w:fldChar w:fldCharType="separate"/>
        </w:r>
        <w:r w:rsidR="001607F9" w:rsidRPr="001607F9">
          <w:rPr>
            <w:noProof/>
            <w:webHidden/>
          </w:rPr>
          <w:t>94</w:t>
        </w:r>
        <w:r w:rsidR="001607F9" w:rsidRPr="001607F9">
          <w:rPr>
            <w:noProof/>
            <w:webHidden/>
          </w:rPr>
          <w:fldChar w:fldCharType="end"/>
        </w:r>
      </w:hyperlink>
    </w:p>
    <w:p w14:paraId="34D8B5D5" w14:textId="36132793"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17" w:history="1">
        <w:r w:rsidR="001607F9" w:rsidRPr="001607F9">
          <w:rPr>
            <w:rStyle w:val="Hypertextovprepojenie"/>
            <w:rFonts w:eastAsia="Times New Roman" w:cs="Calibri"/>
            <w:bCs/>
            <w:noProof/>
            <w:lang w:eastAsia="sk-SK"/>
          </w:rPr>
          <w:t>Tabuľka 56: Schválené žiadosti o nenávratný finančný príspevok (v eur)</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_Toc38447717 \h </w:instrText>
        </w:r>
        <w:r w:rsidR="001607F9" w:rsidRPr="001607F9">
          <w:rPr>
            <w:noProof/>
            <w:webHidden/>
          </w:rPr>
        </w:r>
        <w:r w:rsidR="001607F9" w:rsidRPr="001607F9">
          <w:rPr>
            <w:noProof/>
            <w:webHidden/>
          </w:rPr>
          <w:fldChar w:fldCharType="separate"/>
        </w:r>
        <w:r w:rsidR="001607F9" w:rsidRPr="001607F9">
          <w:rPr>
            <w:noProof/>
            <w:webHidden/>
          </w:rPr>
          <w:t>99</w:t>
        </w:r>
        <w:r w:rsidR="001607F9" w:rsidRPr="001607F9">
          <w:rPr>
            <w:noProof/>
            <w:webHidden/>
          </w:rPr>
          <w:fldChar w:fldCharType="end"/>
        </w:r>
      </w:hyperlink>
    </w:p>
    <w:p w14:paraId="78C4701C" w14:textId="7A8862F7"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18" w:history="1">
        <w:r w:rsidR="001607F9" w:rsidRPr="001607F9">
          <w:rPr>
            <w:rStyle w:val="Hypertextovprepojenie"/>
            <w:noProof/>
          </w:rPr>
          <w:t>Tabuľka 57: Akreditované vzdelávacie programy (AVP) v MPC</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_Toc38447718 \h </w:instrText>
        </w:r>
        <w:r w:rsidR="001607F9" w:rsidRPr="001607F9">
          <w:rPr>
            <w:noProof/>
            <w:webHidden/>
          </w:rPr>
        </w:r>
        <w:r w:rsidR="001607F9" w:rsidRPr="001607F9">
          <w:rPr>
            <w:noProof/>
            <w:webHidden/>
          </w:rPr>
          <w:fldChar w:fldCharType="separate"/>
        </w:r>
        <w:r w:rsidR="001607F9" w:rsidRPr="001607F9">
          <w:rPr>
            <w:noProof/>
            <w:webHidden/>
          </w:rPr>
          <w:t>102</w:t>
        </w:r>
        <w:r w:rsidR="001607F9" w:rsidRPr="001607F9">
          <w:rPr>
            <w:noProof/>
            <w:webHidden/>
          </w:rPr>
          <w:fldChar w:fldCharType="end"/>
        </w:r>
      </w:hyperlink>
    </w:p>
    <w:p w14:paraId="230DEA2B" w14:textId="4B09F772"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19" w:history="1">
        <w:r w:rsidR="001607F9" w:rsidRPr="001607F9">
          <w:rPr>
            <w:rStyle w:val="Hypertextovprepojenie"/>
            <w:noProof/>
          </w:rPr>
          <w:t>Tabuľka 58: Neakreditované formy vzdelávania (NFV) v MPC</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_Toc38447719 \h </w:instrText>
        </w:r>
        <w:r w:rsidR="001607F9" w:rsidRPr="001607F9">
          <w:rPr>
            <w:noProof/>
            <w:webHidden/>
          </w:rPr>
        </w:r>
        <w:r w:rsidR="001607F9" w:rsidRPr="001607F9">
          <w:rPr>
            <w:noProof/>
            <w:webHidden/>
          </w:rPr>
          <w:fldChar w:fldCharType="separate"/>
        </w:r>
        <w:r w:rsidR="001607F9" w:rsidRPr="001607F9">
          <w:rPr>
            <w:noProof/>
            <w:webHidden/>
          </w:rPr>
          <w:t>102</w:t>
        </w:r>
        <w:r w:rsidR="001607F9" w:rsidRPr="001607F9">
          <w:rPr>
            <w:noProof/>
            <w:webHidden/>
          </w:rPr>
          <w:fldChar w:fldCharType="end"/>
        </w:r>
      </w:hyperlink>
    </w:p>
    <w:p w14:paraId="67DD412B" w14:textId="6A17AB26"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20" w:history="1">
        <w:r w:rsidR="001607F9" w:rsidRPr="001607F9">
          <w:rPr>
            <w:rStyle w:val="Hypertextovprepojenie"/>
            <w:noProof/>
          </w:rPr>
          <w:t>Tabuľka 59:</w:t>
        </w:r>
        <w:r w:rsidR="001607F9" w:rsidRPr="001607F9">
          <w:rPr>
            <w:rStyle w:val="Hypertextovprepojenie"/>
            <w:rFonts w:eastAsia="Times New Roman"/>
            <w:bCs/>
            <w:noProof/>
          </w:rPr>
          <w:t xml:space="preserve"> </w:t>
        </w:r>
        <w:r w:rsidR="001607F9" w:rsidRPr="001607F9">
          <w:rPr>
            <w:rStyle w:val="Hypertextovprepojenie"/>
            <w:noProof/>
          </w:rPr>
          <w:t>Spokojnosť účastníkov vzdelávania</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_Toc38447720 \h </w:instrText>
        </w:r>
        <w:r w:rsidR="001607F9" w:rsidRPr="001607F9">
          <w:rPr>
            <w:noProof/>
            <w:webHidden/>
          </w:rPr>
        </w:r>
        <w:r w:rsidR="001607F9" w:rsidRPr="001607F9">
          <w:rPr>
            <w:noProof/>
            <w:webHidden/>
          </w:rPr>
          <w:fldChar w:fldCharType="separate"/>
        </w:r>
        <w:r w:rsidR="001607F9" w:rsidRPr="001607F9">
          <w:rPr>
            <w:noProof/>
            <w:webHidden/>
          </w:rPr>
          <w:t>102</w:t>
        </w:r>
        <w:r w:rsidR="001607F9" w:rsidRPr="001607F9">
          <w:rPr>
            <w:noProof/>
            <w:webHidden/>
          </w:rPr>
          <w:fldChar w:fldCharType="end"/>
        </w:r>
      </w:hyperlink>
    </w:p>
    <w:p w14:paraId="2E1A0EC0" w14:textId="750D4C54"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21" w:history="1">
        <w:r w:rsidR="001607F9" w:rsidRPr="001607F9">
          <w:rPr>
            <w:rStyle w:val="Hypertextovprepojenie"/>
            <w:rFonts w:eastAsia="Times New Roman" w:cs="Calibri"/>
            <w:bCs/>
            <w:noProof/>
            <w:lang w:eastAsia="sk-SK"/>
          </w:rPr>
          <w:t>Tabuľka 60: Financovanie vysokoškolskej vedy a techniky (v mil. eur)</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_Toc38447721 \h </w:instrText>
        </w:r>
        <w:r w:rsidR="001607F9" w:rsidRPr="001607F9">
          <w:rPr>
            <w:noProof/>
            <w:webHidden/>
          </w:rPr>
        </w:r>
        <w:r w:rsidR="001607F9" w:rsidRPr="001607F9">
          <w:rPr>
            <w:noProof/>
            <w:webHidden/>
          </w:rPr>
          <w:fldChar w:fldCharType="separate"/>
        </w:r>
        <w:r w:rsidR="001607F9" w:rsidRPr="001607F9">
          <w:rPr>
            <w:noProof/>
            <w:webHidden/>
          </w:rPr>
          <w:t>106</w:t>
        </w:r>
        <w:r w:rsidR="001607F9" w:rsidRPr="001607F9">
          <w:rPr>
            <w:noProof/>
            <w:webHidden/>
          </w:rPr>
          <w:fldChar w:fldCharType="end"/>
        </w:r>
      </w:hyperlink>
    </w:p>
    <w:p w14:paraId="38B4A674" w14:textId="2D702A7B"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22" w:history="1">
        <w:r w:rsidR="001607F9" w:rsidRPr="001607F9">
          <w:rPr>
            <w:rStyle w:val="Hypertextovprepojenie"/>
            <w:rFonts w:eastAsia="Times New Roman" w:cs="Calibri"/>
            <w:bCs/>
            <w:noProof/>
            <w:lang w:eastAsia="sk-SK"/>
          </w:rPr>
          <w:t>Tabuľka 61: Celkové vyčíslenie prínosu optimalizácie (v mil. eur)</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_Toc38447722 \h </w:instrText>
        </w:r>
        <w:r w:rsidR="001607F9" w:rsidRPr="001607F9">
          <w:rPr>
            <w:noProof/>
            <w:webHidden/>
          </w:rPr>
        </w:r>
        <w:r w:rsidR="001607F9" w:rsidRPr="001607F9">
          <w:rPr>
            <w:noProof/>
            <w:webHidden/>
          </w:rPr>
          <w:fldChar w:fldCharType="separate"/>
        </w:r>
        <w:r w:rsidR="001607F9" w:rsidRPr="001607F9">
          <w:rPr>
            <w:noProof/>
            <w:webHidden/>
          </w:rPr>
          <w:t>110</w:t>
        </w:r>
        <w:r w:rsidR="001607F9" w:rsidRPr="001607F9">
          <w:rPr>
            <w:noProof/>
            <w:webHidden/>
          </w:rPr>
          <w:fldChar w:fldCharType="end"/>
        </w:r>
      </w:hyperlink>
    </w:p>
    <w:p w14:paraId="05628DA8" w14:textId="560925BD"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23" w:history="1">
        <w:r w:rsidR="001607F9" w:rsidRPr="001607F9">
          <w:rPr>
            <w:rStyle w:val="Hypertextovprepojenie"/>
            <w:rFonts w:eastAsia="Times New Roman" w:cs="Calibri"/>
            <w:bCs/>
            <w:noProof/>
            <w:lang w:eastAsia="sk-SK"/>
          </w:rPr>
          <w:t>Tabuľka 62: Rozpočet NÚCŽV z kapitoly MŠVVaŠ SR (v eur)</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_Toc38447723 \h </w:instrText>
        </w:r>
        <w:r w:rsidR="001607F9" w:rsidRPr="001607F9">
          <w:rPr>
            <w:noProof/>
            <w:webHidden/>
          </w:rPr>
        </w:r>
        <w:r w:rsidR="001607F9" w:rsidRPr="001607F9">
          <w:rPr>
            <w:noProof/>
            <w:webHidden/>
          </w:rPr>
          <w:fldChar w:fldCharType="separate"/>
        </w:r>
        <w:r w:rsidR="001607F9" w:rsidRPr="001607F9">
          <w:rPr>
            <w:noProof/>
            <w:webHidden/>
          </w:rPr>
          <w:t>110</w:t>
        </w:r>
        <w:r w:rsidR="001607F9" w:rsidRPr="001607F9">
          <w:rPr>
            <w:noProof/>
            <w:webHidden/>
          </w:rPr>
          <w:fldChar w:fldCharType="end"/>
        </w:r>
      </w:hyperlink>
    </w:p>
    <w:p w14:paraId="30E10D85" w14:textId="40CE16ED"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24" w:history="1">
        <w:r w:rsidR="001607F9" w:rsidRPr="001607F9">
          <w:rPr>
            <w:rStyle w:val="Hypertextovprepojenie"/>
            <w:rFonts w:eastAsia="Arial Narrow" w:cs="Arial Narrow"/>
            <w:noProof/>
          </w:rPr>
          <w:t>Tabuľka 63: Úsporné opatrenia MŽP SR v roku 2019 (v mil. eur)</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_Toc38447724 \h </w:instrText>
        </w:r>
        <w:r w:rsidR="001607F9" w:rsidRPr="001607F9">
          <w:rPr>
            <w:noProof/>
            <w:webHidden/>
          </w:rPr>
        </w:r>
        <w:r w:rsidR="001607F9" w:rsidRPr="001607F9">
          <w:rPr>
            <w:noProof/>
            <w:webHidden/>
          </w:rPr>
          <w:fldChar w:fldCharType="separate"/>
        </w:r>
        <w:r w:rsidR="001607F9" w:rsidRPr="001607F9">
          <w:rPr>
            <w:noProof/>
            <w:webHidden/>
          </w:rPr>
          <w:t>113</w:t>
        </w:r>
        <w:r w:rsidR="001607F9" w:rsidRPr="001607F9">
          <w:rPr>
            <w:noProof/>
            <w:webHidden/>
          </w:rPr>
          <w:fldChar w:fldCharType="end"/>
        </w:r>
      </w:hyperlink>
    </w:p>
    <w:p w14:paraId="44D07697" w14:textId="3B6BA818"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25" w:history="1">
        <w:r w:rsidR="001607F9" w:rsidRPr="001607F9">
          <w:rPr>
            <w:rStyle w:val="Hypertextovprepojenie"/>
            <w:rFonts w:eastAsia="Arial Narrow" w:cs="Arial Narrow"/>
            <w:noProof/>
          </w:rPr>
          <w:t>Tabuľka 64: Plnenie hlavných odporúčaní IJ ÚV SR pre MŽP SR v Priebežnej implementačnej správe 2019</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_Toc38447725 \h </w:instrText>
        </w:r>
        <w:r w:rsidR="001607F9" w:rsidRPr="001607F9">
          <w:rPr>
            <w:noProof/>
            <w:webHidden/>
          </w:rPr>
        </w:r>
        <w:r w:rsidR="001607F9" w:rsidRPr="001607F9">
          <w:rPr>
            <w:noProof/>
            <w:webHidden/>
          </w:rPr>
          <w:fldChar w:fldCharType="separate"/>
        </w:r>
        <w:r w:rsidR="001607F9" w:rsidRPr="001607F9">
          <w:rPr>
            <w:noProof/>
            <w:webHidden/>
          </w:rPr>
          <w:t>115</w:t>
        </w:r>
        <w:r w:rsidR="001607F9" w:rsidRPr="001607F9">
          <w:rPr>
            <w:noProof/>
            <w:webHidden/>
          </w:rPr>
          <w:fldChar w:fldCharType="end"/>
        </w:r>
      </w:hyperlink>
    </w:p>
    <w:p w14:paraId="0C625F71" w14:textId="55EB78C4"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26" w:history="1">
        <w:r w:rsidR="001607F9" w:rsidRPr="001607F9">
          <w:rPr>
            <w:rStyle w:val="Hypertextovprepojenie"/>
            <w:rFonts w:eastAsia="Arial Narrow" w:cs="Arial Narrow"/>
            <w:noProof/>
          </w:rPr>
          <w:t>Tabuľka 65: Plnenie hlavného odporúčania IJ ÚV SR pre MF SR v Priebežnej implementačnej správe 2019</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_Toc38447726 \h </w:instrText>
        </w:r>
        <w:r w:rsidR="001607F9" w:rsidRPr="001607F9">
          <w:rPr>
            <w:noProof/>
            <w:webHidden/>
          </w:rPr>
        </w:r>
        <w:r w:rsidR="001607F9" w:rsidRPr="001607F9">
          <w:rPr>
            <w:noProof/>
            <w:webHidden/>
          </w:rPr>
          <w:fldChar w:fldCharType="separate"/>
        </w:r>
        <w:r w:rsidR="001607F9" w:rsidRPr="001607F9">
          <w:rPr>
            <w:noProof/>
            <w:webHidden/>
          </w:rPr>
          <w:t>115</w:t>
        </w:r>
        <w:r w:rsidR="001607F9" w:rsidRPr="001607F9">
          <w:rPr>
            <w:noProof/>
            <w:webHidden/>
          </w:rPr>
          <w:fldChar w:fldCharType="end"/>
        </w:r>
      </w:hyperlink>
    </w:p>
    <w:p w14:paraId="34F42AB3" w14:textId="69EA44C7"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27" w:history="1">
        <w:r w:rsidR="001607F9" w:rsidRPr="001607F9">
          <w:rPr>
            <w:rStyle w:val="Hypertextovprepojenie"/>
            <w:rFonts w:eastAsia="Arial Narrow" w:cs="Arial Narrow"/>
            <w:noProof/>
          </w:rPr>
          <w:t>Tabuľka 66: Plnenie opatrení Revízie výdavkov na životné prostredie v roku 2019</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_Toc38447727 \h </w:instrText>
        </w:r>
        <w:r w:rsidR="001607F9" w:rsidRPr="001607F9">
          <w:rPr>
            <w:noProof/>
            <w:webHidden/>
          </w:rPr>
        </w:r>
        <w:r w:rsidR="001607F9" w:rsidRPr="001607F9">
          <w:rPr>
            <w:noProof/>
            <w:webHidden/>
          </w:rPr>
          <w:fldChar w:fldCharType="separate"/>
        </w:r>
        <w:r w:rsidR="001607F9" w:rsidRPr="001607F9">
          <w:rPr>
            <w:noProof/>
            <w:webHidden/>
          </w:rPr>
          <w:t>116</w:t>
        </w:r>
        <w:r w:rsidR="001607F9" w:rsidRPr="001607F9">
          <w:rPr>
            <w:noProof/>
            <w:webHidden/>
          </w:rPr>
          <w:fldChar w:fldCharType="end"/>
        </w:r>
      </w:hyperlink>
    </w:p>
    <w:p w14:paraId="1616D4CB" w14:textId="3794E6E0"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28" w:history="1">
        <w:r w:rsidR="001607F9" w:rsidRPr="001607F9">
          <w:rPr>
            <w:rStyle w:val="Hypertextovprepojenie"/>
            <w:rFonts w:eastAsia="Arial Narrow" w:cs="Arial Narrow"/>
            <w:noProof/>
          </w:rPr>
          <w:t>Tabuľka 67: Opatrenia Revízie výdavkov na životné prostredie splnené v roku 2018</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_Toc38447728 \h </w:instrText>
        </w:r>
        <w:r w:rsidR="001607F9" w:rsidRPr="001607F9">
          <w:rPr>
            <w:noProof/>
            <w:webHidden/>
          </w:rPr>
        </w:r>
        <w:r w:rsidR="001607F9" w:rsidRPr="001607F9">
          <w:rPr>
            <w:noProof/>
            <w:webHidden/>
          </w:rPr>
          <w:fldChar w:fldCharType="separate"/>
        </w:r>
        <w:r w:rsidR="001607F9" w:rsidRPr="001607F9">
          <w:rPr>
            <w:noProof/>
            <w:webHidden/>
          </w:rPr>
          <w:t>118</w:t>
        </w:r>
        <w:r w:rsidR="001607F9" w:rsidRPr="001607F9">
          <w:rPr>
            <w:noProof/>
            <w:webHidden/>
          </w:rPr>
          <w:fldChar w:fldCharType="end"/>
        </w:r>
      </w:hyperlink>
    </w:p>
    <w:p w14:paraId="04EE3954" w14:textId="3F4C3AED"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29" w:history="1">
        <w:r w:rsidR="001607F9" w:rsidRPr="001607F9">
          <w:rPr>
            <w:rStyle w:val="Hypertextovprepojenie"/>
            <w:rFonts w:eastAsia="Arial Narrow" w:cs="Arial Narrow"/>
            <w:noProof/>
          </w:rPr>
          <w:t>Tabuľka 68: Potenciál navrhovaných úspor</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_Toc38447729 \h </w:instrText>
        </w:r>
        <w:r w:rsidR="001607F9" w:rsidRPr="001607F9">
          <w:rPr>
            <w:noProof/>
            <w:webHidden/>
          </w:rPr>
        </w:r>
        <w:r w:rsidR="001607F9" w:rsidRPr="001607F9">
          <w:rPr>
            <w:noProof/>
            <w:webHidden/>
          </w:rPr>
          <w:fldChar w:fldCharType="separate"/>
        </w:r>
        <w:r w:rsidR="001607F9" w:rsidRPr="001607F9">
          <w:rPr>
            <w:noProof/>
            <w:webHidden/>
          </w:rPr>
          <w:t>120</w:t>
        </w:r>
        <w:r w:rsidR="001607F9" w:rsidRPr="001607F9">
          <w:rPr>
            <w:noProof/>
            <w:webHidden/>
          </w:rPr>
          <w:fldChar w:fldCharType="end"/>
        </w:r>
      </w:hyperlink>
    </w:p>
    <w:p w14:paraId="421A0D3A" w14:textId="50D12974"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30" w:history="1">
        <w:r w:rsidR="001607F9" w:rsidRPr="001607F9">
          <w:rPr>
            <w:rStyle w:val="Hypertextovprepojenie"/>
            <w:rFonts w:eastAsia="Arial Narrow" w:cs="Arial Narrow"/>
            <w:noProof/>
          </w:rPr>
          <w:t>Tabuľka 69: Celkové náklady SVP, š.p.</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_Toc38447730 \h </w:instrText>
        </w:r>
        <w:r w:rsidR="001607F9" w:rsidRPr="001607F9">
          <w:rPr>
            <w:noProof/>
            <w:webHidden/>
          </w:rPr>
        </w:r>
        <w:r w:rsidR="001607F9" w:rsidRPr="001607F9">
          <w:rPr>
            <w:noProof/>
            <w:webHidden/>
          </w:rPr>
          <w:fldChar w:fldCharType="separate"/>
        </w:r>
        <w:r w:rsidR="001607F9" w:rsidRPr="001607F9">
          <w:rPr>
            <w:noProof/>
            <w:webHidden/>
          </w:rPr>
          <w:t>120</w:t>
        </w:r>
        <w:r w:rsidR="001607F9" w:rsidRPr="001607F9">
          <w:rPr>
            <w:noProof/>
            <w:webHidden/>
          </w:rPr>
          <w:fldChar w:fldCharType="end"/>
        </w:r>
      </w:hyperlink>
    </w:p>
    <w:p w14:paraId="7C7A4F5F" w14:textId="0360B169"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31" w:history="1">
        <w:r w:rsidR="001607F9" w:rsidRPr="001607F9">
          <w:rPr>
            <w:rStyle w:val="Hypertextovprepojenie"/>
            <w:rFonts w:eastAsia="Arial Narrow" w:cs="Arial Narrow"/>
            <w:noProof/>
          </w:rPr>
          <w:t>Tabuľka 70: Príjmy ŠOP SR a Národnej ZOO Bojnice z inovatívnych foriem financovania v roku 2019</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_Toc38447731 \h </w:instrText>
        </w:r>
        <w:r w:rsidR="001607F9" w:rsidRPr="001607F9">
          <w:rPr>
            <w:noProof/>
            <w:webHidden/>
          </w:rPr>
        </w:r>
        <w:r w:rsidR="001607F9" w:rsidRPr="001607F9">
          <w:rPr>
            <w:noProof/>
            <w:webHidden/>
          </w:rPr>
          <w:fldChar w:fldCharType="separate"/>
        </w:r>
        <w:r w:rsidR="001607F9" w:rsidRPr="001607F9">
          <w:rPr>
            <w:noProof/>
            <w:webHidden/>
          </w:rPr>
          <w:t>122</w:t>
        </w:r>
        <w:r w:rsidR="001607F9" w:rsidRPr="001607F9">
          <w:rPr>
            <w:noProof/>
            <w:webHidden/>
          </w:rPr>
          <w:fldChar w:fldCharType="end"/>
        </w:r>
      </w:hyperlink>
    </w:p>
    <w:p w14:paraId="7B43DF87" w14:textId="1A4D8A8F"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32" w:history="1">
        <w:r w:rsidR="001607F9" w:rsidRPr="001607F9">
          <w:rPr>
            <w:rStyle w:val="Hypertextovprepojenie"/>
            <w:rFonts w:eastAsia="Arial Narrow" w:cs="Arial Narrow"/>
            <w:noProof/>
          </w:rPr>
          <w:t>Tabuľka 71: Aktualizovaný zoznam projektov protipovodňovej ochrany určených na zrýchlenie prípravy</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_Toc38447732 \h </w:instrText>
        </w:r>
        <w:r w:rsidR="001607F9" w:rsidRPr="001607F9">
          <w:rPr>
            <w:noProof/>
            <w:webHidden/>
          </w:rPr>
        </w:r>
        <w:r w:rsidR="001607F9" w:rsidRPr="001607F9">
          <w:rPr>
            <w:noProof/>
            <w:webHidden/>
          </w:rPr>
          <w:fldChar w:fldCharType="separate"/>
        </w:r>
        <w:r w:rsidR="001607F9" w:rsidRPr="001607F9">
          <w:rPr>
            <w:noProof/>
            <w:webHidden/>
          </w:rPr>
          <w:t>126</w:t>
        </w:r>
        <w:r w:rsidR="001607F9" w:rsidRPr="001607F9">
          <w:rPr>
            <w:noProof/>
            <w:webHidden/>
          </w:rPr>
          <w:fldChar w:fldCharType="end"/>
        </w:r>
      </w:hyperlink>
    </w:p>
    <w:p w14:paraId="75E32D29" w14:textId="5B297282"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33" w:history="1">
        <w:r w:rsidR="001607F9" w:rsidRPr="001607F9">
          <w:rPr>
            <w:rStyle w:val="Hypertextovprepojenie"/>
            <w:rFonts w:eastAsia="Arial Narrow" w:cs="Arial Narrow"/>
            <w:noProof/>
          </w:rPr>
          <w:t>Tabuľka 72: Čerpanie dotácií podľa rozostavanosti v roku 2019</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_Toc38447733 \h </w:instrText>
        </w:r>
        <w:r w:rsidR="001607F9" w:rsidRPr="001607F9">
          <w:rPr>
            <w:noProof/>
            <w:webHidden/>
          </w:rPr>
        </w:r>
        <w:r w:rsidR="001607F9" w:rsidRPr="001607F9">
          <w:rPr>
            <w:noProof/>
            <w:webHidden/>
          </w:rPr>
          <w:fldChar w:fldCharType="separate"/>
        </w:r>
        <w:r w:rsidR="001607F9" w:rsidRPr="001607F9">
          <w:rPr>
            <w:noProof/>
            <w:webHidden/>
          </w:rPr>
          <w:t>129</w:t>
        </w:r>
        <w:r w:rsidR="001607F9" w:rsidRPr="001607F9">
          <w:rPr>
            <w:noProof/>
            <w:webHidden/>
          </w:rPr>
          <w:fldChar w:fldCharType="end"/>
        </w:r>
      </w:hyperlink>
    </w:p>
    <w:p w14:paraId="2748661F" w14:textId="2C897D15"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34" w:history="1">
        <w:r w:rsidR="001607F9" w:rsidRPr="001607F9">
          <w:rPr>
            <w:rStyle w:val="Hypertextovprepojenie"/>
            <w:rFonts w:eastAsia="Arial Narrow" w:cs="Arial Narrow"/>
            <w:noProof/>
          </w:rPr>
          <w:t>Tabuľka 73: Prehľad rozpočtových požiadaviek EF a schváleného rozpočtu (mil. eur)</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_Toc38447734 \h </w:instrText>
        </w:r>
        <w:r w:rsidR="001607F9" w:rsidRPr="001607F9">
          <w:rPr>
            <w:noProof/>
            <w:webHidden/>
          </w:rPr>
        </w:r>
        <w:r w:rsidR="001607F9" w:rsidRPr="001607F9">
          <w:rPr>
            <w:noProof/>
            <w:webHidden/>
          </w:rPr>
          <w:fldChar w:fldCharType="separate"/>
        </w:r>
        <w:r w:rsidR="001607F9" w:rsidRPr="001607F9">
          <w:rPr>
            <w:noProof/>
            <w:webHidden/>
          </w:rPr>
          <w:t>132</w:t>
        </w:r>
        <w:r w:rsidR="001607F9" w:rsidRPr="001607F9">
          <w:rPr>
            <w:noProof/>
            <w:webHidden/>
          </w:rPr>
          <w:fldChar w:fldCharType="end"/>
        </w:r>
      </w:hyperlink>
    </w:p>
    <w:p w14:paraId="1F828037" w14:textId="50E2088F"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35" w:history="1">
        <w:r w:rsidR="001607F9" w:rsidRPr="001607F9">
          <w:rPr>
            <w:rStyle w:val="Hypertextovprepojenie"/>
            <w:rFonts w:eastAsia="Arial Narrow" w:cs="Arial Narrow"/>
            <w:noProof/>
          </w:rPr>
          <w:t>Tabuľka 74: Podiel dotácií na príjmoch EF (%)</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_Toc38447735 \h </w:instrText>
        </w:r>
        <w:r w:rsidR="001607F9" w:rsidRPr="001607F9">
          <w:rPr>
            <w:noProof/>
            <w:webHidden/>
          </w:rPr>
        </w:r>
        <w:r w:rsidR="001607F9" w:rsidRPr="001607F9">
          <w:rPr>
            <w:noProof/>
            <w:webHidden/>
          </w:rPr>
          <w:fldChar w:fldCharType="separate"/>
        </w:r>
        <w:r w:rsidR="001607F9" w:rsidRPr="001607F9">
          <w:rPr>
            <w:noProof/>
            <w:webHidden/>
          </w:rPr>
          <w:t>133</w:t>
        </w:r>
        <w:r w:rsidR="001607F9" w:rsidRPr="001607F9">
          <w:rPr>
            <w:noProof/>
            <w:webHidden/>
          </w:rPr>
          <w:fldChar w:fldCharType="end"/>
        </w:r>
      </w:hyperlink>
    </w:p>
    <w:p w14:paraId="6C7D865C" w14:textId="11AED4F2"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36" w:history="1">
        <w:r w:rsidR="001607F9" w:rsidRPr="001607F9">
          <w:rPr>
            <w:rStyle w:val="Hypertextovprepojenie"/>
            <w:rFonts w:eastAsia="Arial Narrow" w:cs="Arial Narrow"/>
            <w:noProof/>
          </w:rPr>
          <w:t>Tabuľka 75: Rozdelenie priorít v najnovších programoch starostlivosti o CHVÚ</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_Toc38447736 \h </w:instrText>
        </w:r>
        <w:r w:rsidR="001607F9" w:rsidRPr="001607F9">
          <w:rPr>
            <w:noProof/>
            <w:webHidden/>
          </w:rPr>
        </w:r>
        <w:r w:rsidR="001607F9" w:rsidRPr="001607F9">
          <w:rPr>
            <w:noProof/>
            <w:webHidden/>
          </w:rPr>
          <w:fldChar w:fldCharType="separate"/>
        </w:r>
        <w:r w:rsidR="001607F9" w:rsidRPr="001607F9">
          <w:rPr>
            <w:noProof/>
            <w:webHidden/>
          </w:rPr>
          <w:t>134</w:t>
        </w:r>
        <w:r w:rsidR="001607F9" w:rsidRPr="001607F9">
          <w:rPr>
            <w:noProof/>
            <w:webHidden/>
          </w:rPr>
          <w:fldChar w:fldCharType="end"/>
        </w:r>
      </w:hyperlink>
    </w:p>
    <w:p w14:paraId="26986319" w14:textId="40FF6E80"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37" w:history="1">
        <w:r w:rsidR="001607F9" w:rsidRPr="001607F9">
          <w:rPr>
            <w:rStyle w:val="Hypertextovprepojenie"/>
            <w:rFonts w:eastAsia="Arial Narrow" w:cs="Arial Narrow"/>
            <w:noProof/>
          </w:rPr>
          <w:t>Tabuľka 76: Celková dostatočnosť národného zoznamu ÚEV podľa rokov</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_Toc38447737 \h </w:instrText>
        </w:r>
        <w:r w:rsidR="001607F9" w:rsidRPr="001607F9">
          <w:rPr>
            <w:noProof/>
            <w:webHidden/>
          </w:rPr>
        </w:r>
        <w:r w:rsidR="001607F9" w:rsidRPr="001607F9">
          <w:rPr>
            <w:noProof/>
            <w:webHidden/>
          </w:rPr>
          <w:fldChar w:fldCharType="separate"/>
        </w:r>
        <w:r w:rsidR="001607F9" w:rsidRPr="001607F9">
          <w:rPr>
            <w:noProof/>
            <w:webHidden/>
          </w:rPr>
          <w:t>135</w:t>
        </w:r>
        <w:r w:rsidR="001607F9" w:rsidRPr="001607F9">
          <w:rPr>
            <w:noProof/>
            <w:webHidden/>
          </w:rPr>
          <w:fldChar w:fldCharType="end"/>
        </w:r>
      </w:hyperlink>
    </w:p>
    <w:p w14:paraId="3F1E6A4F" w14:textId="6F72C7DB"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38" w:history="1">
        <w:r w:rsidR="001607F9" w:rsidRPr="001607F9">
          <w:rPr>
            <w:rStyle w:val="Hypertextovprepojenie"/>
            <w:rFonts w:eastAsia="Times New Roman" w:cs="Calibri"/>
            <w:bCs/>
            <w:noProof/>
            <w:lang w:eastAsia="sk-SK"/>
          </w:rPr>
          <w:t>Tabuľka 77: Plnenie hlavných odporúčaní IJ ÚV SR pre MPSVR SR, SP a MF SR v Priebežnej implementačnej správe 2019</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_Toc38447738 \h </w:instrText>
        </w:r>
        <w:r w:rsidR="001607F9" w:rsidRPr="001607F9">
          <w:rPr>
            <w:noProof/>
            <w:webHidden/>
          </w:rPr>
        </w:r>
        <w:r w:rsidR="001607F9" w:rsidRPr="001607F9">
          <w:rPr>
            <w:noProof/>
            <w:webHidden/>
          </w:rPr>
          <w:fldChar w:fldCharType="separate"/>
        </w:r>
        <w:r w:rsidR="001607F9" w:rsidRPr="001607F9">
          <w:rPr>
            <w:noProof/>
            <w:webHidden/>
          </w:rPr>
          <w:t>142</w:t>
        </w:r>
        <w:r w:rsidR="001607F9" w:rsidRPr="001607F9">
          <w:rPr>
            <w:noProof/>
            <w:webHidden/>
          </w:rPr>
          <w:fldChar w:fldCharType="end"/>
        </w:r>
      </w:hyperlink>
    </w:p>
    <w:p w14:paraId="0CE12355" w14:textId="5947E4A8"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39" w:history="1">
        <w:r w:rsidR="001607F9" w:rsidRPr="001607F9">
          <w:rPr>
            <w:rStyle w:val="Hypertextovprepojenie"/>
            <w:noProof/>
          </w:rPr>
          <w:t>Tabuľka 78: Plnenie opatrení Revízie výdavkov na politiky trhu práce a sociálne politiky v roku 2019</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_Toc38447739 \h </w:instrText>
        </w:r>
        <w:r w:rsidR="001607F9" w:rsidRPr="001607F9">
          <w:rPr>
            <w:noProof/>
            <w:webHidden/>
          </w:rPr>
        </w:r>
        <w:r w:rsidR="001607F9" w:rsidRPr="001607F9">
          <w:rPr>
            <w:noProof/>
            <w:webHidden/>
          </w:rPr>
          <w:fldChar w:fldCharType="separate"/>
        </w:r>
        <w:r w:rsidR="001607F9" w:rsidRPr="001607F9">
          <w:rPr>
            <w:noProof/>
            <w:webHidden/>
          </w:rPr>
          <w:t>143</w:t>
        </w:r>
        <w:r w:rsidR="001607F9" w:rsidRPr="001607F9">
          <w:rPr>
            <w:noProof/>
            <w:webHidden/>
          </w:rPr>
          <w:fldChar w:fldCharType="end"/>
        </w:r>
      </w:hyperlink>
    </w:p>
    <w:p w14:paraId="3415240F" w14:textId="3B64ED58"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40" w:history="1">
        <w:r w:rsidR="001607F9" w:rsidRPr="001607F9">
          <w:rPr>
            <w:rStyle w:val="Hypertextovprepojenie"/>
            <w:rFonts w:eastAsiaTheme="minorHAnsi"/>
            <w:noProof/>
            <w:lang w:eastAsia="sk-SK"/>
          </w:rPr>
          <w:t>Tabuľka 79: Opatrenia Revízie výdavkov na politiky trhu práce a sociálne politiky splnené v roku 2018 alebo nehodnotené</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_Toc38447740 \h </w:instrText>
        </w:r>
        <w:r w:rsidR="001607F9" w:rsidRPr="001607F9">
          <w:rPr>
            <w:noProof/>
            <w:webHidden/>
          </w:rPr>
        </w:r>
        <w:r w:rsidR="001607F9" w:rsidRPr="001607F9">
          <w:rPr>
            <w:noProof/>
            <w:webHidden/>
          </w:rPr>
          <w:fldChar w:fldCharType="separate"/>
        </w:r>
        <w:r w:rsidR="001607F9" w:rsidRPr="001607F9">
          <w:rPr>
            <w:noProof/>
            <w:webHidden/>
          </w:rPr>
          <w:t>145</w:t>
        </w:r>
        <w:r w:rsidR="001607F9" w:rsidRPr="001607F9">
          <w:rPr>
            <w:noProof/>
            <w:webHidden/>
          </w:rPr>
          <w:fldChar w:fldCharType="end"/>
        </w:r>
      </w:hyperlink>
    </w:p>
    <w:p w14:paraId="2A15256C" w14:textId="7EAE7EF6"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41" w:history="1">
        <w:r w:rsidR="001607F9" w:rsidRPr="001607F9">
          <w:rPr>
            <w:rStyle w:val="Hypertextovprepojenie"/>
            <w:rFonts w:eastAsia="Times New Roman" w:cs="Calibri"/>
            <w:bCs/>
            <w:noProof/>
            <w:lang w:eastAsia="sk-SK"/>
          </w:rPr>
          <w:t>Tabuľka 80: Podiel detí vychovávaných mimo vlastnej rodiny</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_Toc38447741 \h </w:instrText>
        </w:r>
        <w:r w:rsidR="001607F9" w:rsidRPr="001607F9">
          <w:rPr>
            <w:noProof/>
            <w:webHidden/>
          </w:rPr>
        </w:r>
        <w:r w:rsidR="001607F9" w:rsidRPr="001607F9">
          <w:rPr>
            <w:noProof/>
            <w:webHidden/>
          </w:rPr>
          <w:fldChar w:fldCharType="separate"/>
        </w:r>
        <w:r w:rsidR="001607F9" w:rsidRPr="001607F9">
          <w:rPr>
            <w:noProof/>
            <w:webHidden/>
          </w:rPr>
          <w:t>147</w:t>
        </w:r>
        <w:r w:rsidR="001607F9" w:rsidRPr="001607F9">
          <w:rPr>
            <w:noProof/>
            <w:webHidden/>
          </w:rPr>
          <w:fldChar w:fldCharType="end"/>
        </w:r>
      </w:hyperlink>
    </w:p>
    <w:p w14:paraId="08496F23" w14:textId="15FE03D6"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42" w:history="1">
        <w:r w:rsidR="001607F9" w:rsidRPr="001607F9">
          <w:rPr>
            <w:rStyle w:val="Hypertextovprepojenie"/>
            <w:rFonts w:eastAsia="Times New Roman" w:cs="Calibri"/>
            <w:bCs/>
            <w:noProof/>
            <w:lang w:eastAsia="sk-SK"/>
          </w:rPr>
          <w:t>Tabuľka 81: Deti vychovávané mimo rodiny – typy starostlivosti</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_Toc38447742 \h </w:instrText>
        </w:r>
        <w:r w:rsidR="001607F9" w:rsidRPr="001607F9">
          <w:rPr>
            <w:noProof/>
            <w:webHidden/>
          </w:rPr>
        </w:r>
        <w:r w:rsidR="001607F9" w:rsidRPr="001607F9">
          <w:rPr>
            <w:noProof/>
            <w:webHidden/>
          </w:rPr>
          <w:fldChar w:fldCharType="separate"/>
        </w:r>
        <w:r w:rsidR="001607F9" w:rsidRPr="001607F9">
          <w:rPr>
            <w:noProof/>
            <w:webHidden/>
          </w:rPr>
          <w:t>147</w:t>
        </w:r>
        <w:r w:rsidR="001607F9" w:rsidRPr="001607F9">
          <w:rPr>
            <w:noProof/>
            <w:webHidden/>
          </w:rPr>
          <w:fldChar w:fldCharType="end"/>
        </w:r>
      </w:hyperlink>
    </w:p>
    <w:p w14:paraId="04394F76" w14:textId="65CFC64A"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43" w:history="1">
        <w:r w:rsidR="001607F9" w:rsidRPr="001607F9">
          <w:rPr>
            <w:rStyle w:val="Hypertextovprepojenie"/>
            <w:rFonts w:eastAsia="Times New Roman" w:cs="Calibri"/>
            <w:bCs/>
            <w:noProof/>
            <w:lang w:eastAsia="sk-SK"/>
          </w:rPr>
          <w:t>Tabuľka 82: Podiel detí v zariadeniach sociálnoprávnej ochrany detí a sociálnej kurately</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_Toc38447743 \h </w:instrText>
        </w:r>
        <w:r w:rsidR="001607F9" w:rsidRPr="001607F9">
          <w:rPr>
            <w:noProof/>
            <w:webHidden/>
          </w:rPr>
        </w:r>
        <w:r w:rsidR="001607F9" w:rsidRPr="001607F9">
          <w:rPr>
            <w:noProof/>
            <w:webHidden/>
          </w:rPr>
          <w:fldChar w:fldCharType="separate"/>
        </w:r>
        <w:r w:rsidR="001607F9" w:rsidRPr="001607F9">
          <w:rPr>
            <w:noProof/>
            <w:webHidden/>
          </w:rPr>
          <w:t>148</w:t>
        </w:r>
        <w:r w:rsidR="001607F9" w:rsidRPr="001607F9">
          <w:rPr>
            <w:noProof/>
            <w:webHidden/>
          </w:rPr>
          <w:fldChar w:fldCharType="end"/>
        </w:r>
      </w:hyperlink>
    </w:p>
    <w:p w14:paraId="25AA08C2" w14:textId="4EF9EA1D"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44" w:history="1">
        <w:r w:rsidR="001607F9" w:rsidRPr="001607F9">
          <w:rPr>
            <w:rStyle w:val="Hypertextovprepojenie"/>
            <w:rFonts w:eastAsia="Times New Roman" w:cs="Calibri"/>
            <w:bCs/>
            <w:noProof/>
            <w:lang w:eastAsia="sk-SK"/>
          </w:rPr>
          <w:t>Tabuľka 83: Harmonogram očakávaných výstupov projektu</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_Toc38447744 \h </w:instrText>
        </w:r>
        <w:r w:rsidR="001607F9" w:rsidRPr="001607F9">
          <w:rPr>
            <w:noProof/>
            <w:webHidden/>
          </w:rPr>
        </w:r>
        <w:r w:rsidR="001607F9" w:rsidRPr="001607F9">
          <w:rPr>
            <w:noProof/>
            <w:webHidden/>
          </w:rPr>
          <w:fldChar w:fldCharType="separate"/>
        </w:r>
        <w:r w:rsidR="001607F9" w:rsidRPr="001607F9">
          <w:rPr>
            <w:noProof/>
            <w:webHidden/>
          </w:rPr>
          <w:t>148</w:t>
        </w:r>
        <w:r w:rsidR="001607F9" w:rsidRPr="001607F9">
          <w:rPr>
            <w:noProof/>
            <w:webHidden/>
          </w:rPr>
          <w:fldChar w:fldCharType="end"/>
        </w:r>
      </w:hyperlink>
    </w:p>
    <w:p w14:paraId="071EB85F" w14:textId="5C28C517"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45" w:history="1">
        <w:r w:rsidR="001607F9" w:rsidRPr="001607F9">
          <w:rPr>
            <w:rStyle w:val="Hypertextovprepojenie"/>
            <w:rFonts w:eastAsia="Times New Roman" w:cs="Calibri"/>
            <w:bCs/>
            <w:noProof/>
            <w:lang w:eastAsia="sk-SK"/>
          </w:rPr>
          <w:t>Tabuľka 84: Prehľad UoZ zapojených do „NP PIP" - aktivita č. 1</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_Toc38447745 \h </w:instrText>
        </w:r>
        <w:r w:rsidR="001607F9" w:rsidRPr="001607F9">
          <w:rPr>
            <w:noProof/>
            <w:webHidden/>
          </w:rPr>
        </w:r>
        <w:r w:rsidR="001607F9" w:rsidRPr="001607F9">
          <w:rPr>
            <w:noProof/>
            <w:webHidden/>
          </w:rPr>
          <w:fldChar w:fldCharType="separate"/>
        </w:r>
        <w:r w:rsidR="001607F9" w:rsidRPr="001607F9">
          <w:rPr>
            <w:noProof/>
            <w:webHidden/>
          </w:rPr>
          <w:t>152</w:t>
        </w:r>
        <w:r w:rsidR="001607F9" w:rsidRPr="001607F9">
          <w:rPr>
            <w:noProof/>
            <w:webHidden/>
          </w:rPr>
          <w:fldChar w:fldCharType="end"/>
        </w:r>
      </w:hyperlink>
    </w:p>
    <w:p w14:paraId="4093C956" w14:textId="7501495E"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46" w:history="1">
        <w:r w:rsidR="001607F9" w:rsidRPr="001607F9">
          <w:rPr>
            <w:rStyle w:val="Hypertextovprepojenie"/>
            <w:rFonts w:eastAsia="Times New Roman" w:cs="Calibri"/>
            <w:bCs/>
            <w:noProof/>
            <w:lang w:eastAsia="sk-SK"/>
          </w:rPr>
          <w:t>Tabuľka 85: Prehľad UoZ zapojených do „NP PIP" - aktivita č. 2</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_Toc38447746 \h </w:instrText>
        </w:r>
        <w:r w:rsidR="001607F9" w:rsidRPr="001607F9">
          <w:rPr>
            <w:noProof/>
            <w:webHidden/>
          </w:rPr>
        </w:r>
        <w:r w:rsidR="001607F9" w:rsidRPr="001607F9">
          <w:rPr>
            <w:noProof/>
            <w:webHidden/>
          </w:rPr>
          <w:fldChar w:fldCharType="separate"/>
        </w:r>
        <w:r w:rsidR="001607F9" w:rsidRPr="001607F9">
          <w:rPr>
            <w:noProof/>
            <w:webHidden/>
          </w:rPr>
          <w:t>152</w:t>
        </w:r>
        <w:r w:rsidR="001607F9" w:rsidRPr="001607F9">
          <w:rPr>
            <w:noProof/>
            <w:webHidden/>
          </w:rPr>
          <w:fldChar w:fldCharType="end"/>
        </w:r>
      </w:hyperlink>
    </w:p>
    <w:p w14:paraId="009FC442" w14:textId="06DA22DA"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47" w:history="1">
        <w:r w:rsidR="001607F9" w:rsidRPr="001607F9">
          <w:rPr>
            <w:rStyle w:val="Hypertextovprepojenie"/>
            <w:rFonts w:eastAsia="Times New Roman" w:cs="Calibri"/>
            <w:bCs/>
            <w:noProof/>
            <w:lang w:eastAsia="sk-SK"/>
          </w:rPr>
          <w:t>Tabuľka 86: Prehľad UoZ zapojených do "Cesta na trh práce" aktivita č.6</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_Toc38447747 \h </w:instrText>
        </w:r>
        <w:r w:rsidR="001607F9" w:rsidRPr="001607F9">
          <w:rPr>
            <w:noProof/>
            <w:webHidden/>
          </w:rPr>
        </w:r>
        <w:r w:rsidR="001607F9" w:rsidRPr="001607F9">
          <w:rPr>
            <w:noProof/>
            <w:webHidden/>
          </w:rPr>
          <w:fldChar w:fldCharType="separate"/>
        </w:r>
        <w:r w:rsidR="001607F9" w:rsidRPr="001607F9">
          <w:rPr>
            <w:noProof/>
            <w:webHidden/>
          </w:rPr>
          <w:t>153</w:t>
        </w:r>
        <w:r w:rsidR="001607F9" w:rsidRPr="001607F9">
          <w:rPr>
            <w:noProof/>
            <w:webHidden/>
          </w:rPr>
          <w:fldChar w:fldCharType="end"/>
        </w:r>
      </w:hyperlink>
    </w:p>
    <w:p w14:paraId="0C38CD8E" w14:textId="0783A054"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48" w:history="1">
        <w:r w:rsidR="001607F9" w:rsidRPr="001607F9">
          <w:rPr>
            <w:rStyle w:val="Hypertextovprepojenie"/>
            <w:rFonts w:eastAsia="Times New Roman" w:cs="Calibri"/>
            <w:bCs/>
            <w:noProof/>
            <w:lang w:eastAsia="sk-SK"/>
          </w:rPr>
          <w:t>Tabuľka 87: Zoznam štrukturálnych prekážok zamestnanosti</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_Toc38447748 \h </w:instrText>
        </w:r>
        <w:r w:rsidR="001607F9" w:rsidRPr="001607F9">
          <w:rPr>
            <w:noProof/>
            <w:webHidden/>
          </w:rPr>
        </w:r>
        <w:r w:rsidR="001607F9" w:rsidRPr="001607F9">
          <w:rPr>
            <w:noProof/>
            <w:webHidden/>
          </w:rPr>
          <w:fldChar w:fldCharType="separate"/>
        </w:r>
        <w:r w:rsidR="001607F9" w:rsidRPr="001607F9">
          <w:rPr>
            <w:noProof/>
            <w:webHidden/>
          </w:rPr>
          <w:t>154</w:t>
        </w:r>
        <w:r w:rsidR="001607F9" w:rsidRPr="001607F9">
          <w:rPr>
            <w:noProof/>
            <w:webHidden/>
          </w:rPr>
          <w:fldChar w:fldCharType="end"/>
        </w:r>
      </w:hyperlink>
    </w:p>
    <w:p w14:paraId="7A326F30" w14:textId="6EEAFC5B"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49" w:history="1">
        <w:r w:rsidR="001607F9" w:rsidRPr="001607F9">
          <w:rPr>
            <w:rStyle w:val="Hypertextovprepojenie"/>
            <w:rFonts w:eastAsia="Times New Roman" w:cs="Calibri"/>
            <w:bCs/>
            <w:noProof/>
            <w:lang w:eastAsia="sk-SK"/>
          </w:rPr>
          <w:t>Tabuľka 88: Monitoring indexových fondov DDS v III. pilieri</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_Toc38447749 \h </w:instrText>
        </w:r>
        <w:r w:rsidR="001607F9" w:rsidRPr="001607F9">
          <w:rPr>
            <w:noProof/>
            <w:webHidden/>
          </w:rPr>
        </w:r>
        <w:r w:rsidR="001607F9" w:rsidRPr="001607F9">
          <w:rPr>
            <w:noProof/>
            <w:webHidden/>
          </w:rPr>
          <w:fldChar w:fldCharType="separate"/>
        </w:r>
        <w:r w:rsidR="001607F9" w:rsidRPr="001607F9">
          <w:rPr>
            <w:noProof/>
            <w:webHidden/>
          </w:rPr>
          <w:t>156</w:t>
        </w:r>
        <w:r w:rsidR="001607F9" w:rsidRPr="001607F9">
          <w:rPr>
            <w:noProof/>
            <w:webHidden/>
          </w:rPr>
          <w:fldChar w:fldCharType="end"/>
        </w:r>
      </w:hyperlink>
    </w:p>
    <w:p w14:paraId="7BE08F64" w14:textId="36F5D718"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50" w:history="1">
        <w:r w:rsidR="001607F9" w:rsidRPr="001607F9">
          <w:rPr>
            <w:rStyle w:val="Hypertextovprepojenie"/>
            <w:rFonts w:eastAsia="Times New Roman" w:cs="Calibri"/>
            <w:bCs/>
            <w:noProof/>
            <w:lang w:eastAsia="sk-SK"/>
          </w:rPr>
          <w:t>Tabuľka 89: Rozloženie majetku účastníkov medzi príspevkovými doplnkovými dôchodkovými fondmi (III. pilier)</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_Toc38447750 \h </w:instrText>
        </w:r>
        <w:r w:rsidR="001607F9" w:rsidRPr="001607F9">
          <w:rPr>
            <w:noProof/>
            <w:webHidden/>
          </w:rPr>
        </w:r>
        <w:r w:rsidR="001607F9" w:rsidRPr="001607F9">
          <w:rPr>
            <w:noProof/>
            <w:webHidden/>
          </w:rPr>
          <w:fldChar w:fldCharType="separate"/>
        </w:r>
        <w:r w:rsidR="001607F9" w:rsidRPr="001607F9">
          <w:rPr>
            <w:noProof/>
            <w:webHidden/>
          </w:rPr>
          <w:t>160</w:t>
        </w:r>
        <w:r w:rsidR="001607F9" w:rsidRPr="001607F9">
          <w:rPr>
            <w:noProof/>
            <w:webHidden/>
          </w:rPr>
          <w:fldChar w:fldCharType="end"/>
        </w:r>
      </w:hyperlink>
    </w:p>
    <w:p w14:paraId="70E9D6CD" w14:textId="3C300F7F"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51" w:history="1">
        <w:r w:rsidR="001607F9" w:rsidRPr="001607F9">
          <w:rPr>
            <w:rStyle w:val="Hypertextovprepojenie"/>
            <w:rFonts w:eastAsia="Times New Roman" w:cs="Calibri"/>
            <w:bCs/>
            <w:noProof/>
            <w:lang w:eastAsia="sk-SK"/>
          </w:rPr>
          <w:t>Tabuľka 90: Návrh merateľných ukazovateľov hodnotenia efektívnosti pobočiek</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_Toc38447751 \h </w:instrText>
        </w:r>
        <w:r w:rsidR="001607F9" w:rsidRPr="001607F9">
          <w:rPr>
            <w:noProof/>
            <w:webHidden/>
          </w:rPr>
        </w:r>
        <w:r w:rsidR="001607F9" w:rsidRPr="001607F9">
          <w:rPr>
            <w:noProof/>
            <w:webHidden/>
          </w:rPr>
          <w:fldChar w:fldCharType="separate"/>
        </w:r>
        <w:r w:rsidR="001607F9" w:rsidRPr="001607F9">
          <w:rPr>
            <w:noProof/>
            <w:webHidden/>
          </w:rPr>
          <w:t>164</w:t>
        </w:r>
        <w:r w:rsidR="001607F9" w:rsidRPr="001607F9">
          <w:rPr>
            <w:noProof/>
            <w:webHidden/>
          </w:rPr>
          <w:fldChar w:fldCharType="end"/>
        </w:r>
      </w:hyperlink>
    </w:p>
    <w:p w14:paraId="55E270D4" w14:textId="1778B13F"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52" w:history="1">
        <w:r w:rsidR="001607F9" w:rsidRPr="001607F9">
          <w:rPr>
            <w:rStyle w:val="Hypertextovprepojenie"/>
            <w:rFonts w:eastAsia="Times New Roman" w:cs="Calibri"/>
            <w:bCs/>
            <w:noProof/>
            <w:lang w:eastAsia="sk-SK"/>
          </w:rPr>
          <w:t>Tabuľka 91: Regionálne plány zamestnanosti - zoznam ukazovateľov</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_Toc38447752 \h </w:instrText>
        </w:r>
        <w:r w:rsidR="001607F9" w:rsidRPr="001607F9">
          <w:rPr>
            <w:noProof/>
            <w:webHidden/>
          </w:rPr>
        </w:r>
        <w:r w:rsidR="001607F9" w:rsidRPr="001607F9">
          <w:rPr>
            <w:noProof/>
            <w:webHidden/>
          </w:rPr>
          <w:fldChar w:fldCharType="separate"/>
        </w:r>
        <w:r w:rsidR="001607F9" w:rsidRPr="001607F9">
          <w:rPr>
            <w:noProof/>
            <w:webHidden/>
          </w:rPr>
          <w:t>165</w:t>
        </w:r>
        <w:r w:rsidR="001607F9" w:rsidRPr="001607F9">
          <w:rPr>
            <w:noProof/>
            <w:webHidden/>
          </w:rPr>
          <w:fldChar w:fldCharType="end"/>
        </w:r>
      </w:hyperlink>
    </w:p>
    <w:p w14:paraId="6B0F66AE" w14:textId="107F5016"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53" w:history="1">
        <w:r w:rsidR="001607F9" w:rsidRPr="001607F9">
          <w:rPr>
            <w:rStyle w:val="Hypertextovprepojenie"/>
            <w:noProof/>
          </w:rPr>
          <w:t>Tabuľka 92: Plnenie opatrení Revízie výdavkov na pôdohospodárstvo a rozvoj vidieka v roku 2019</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_Toc38447753 \h </w:instrText>
        </w:r>
        <w:r w:rsidR="001607F9" w:rsidRPr="001607F9">
          <w:rPr>
            <w:noProof/>
            <w:webHidden/>
          </w:rPr>
        </w:r>
        <w:r w:rsidR="001607F9" w:rsidRPr="001607F9">
          <w:rPr>
            <w:noProof/>
            <w:webHidden/>
          </w:rPr>
          <w:fldChar w:fldCharType="separate"/>
        </w:r>
        <w:r w:rsidR="001607F9" w:rsidRPr="001607F9">
          <w:rPr>
            <w:noProof/>
            <w:webHidden/>
          </w:rPr>
          <w:t>171</w:t>
        </w:r>
        <w:r w:rsidR="001607F9" w:rsidRPr="001607F9">
          <w:rPr>
            <w:noProof/>
            <w:webHidden/>
          </w:rPr>
          <w:fldChar w:fldCharType="end"/>
        </w:r>
      </w:hyperlink>
    </w:p>
    <w:p w14:paraId="48E3101B" w14:textId="6EFCC27C"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54" w:history="1">
        <w:r w:rsidR="001607F9" w:rsidRPr="001607F9">
          <w:rPr>
            <w:rStyle w:val="Hypertextovprepojenie"/>
            <w:noProof/>
          </w:rPr>
          <w:t>Tabuľka 93: Počet potrebných PPÚ a podiel podľa druhov pozemkov</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_Toc38447754 \h </w:instrText>
        </w:r>
        <w:r w:rsidR="001607F9" w:rsidRPr="001607F9">
          <w:rPr>
            <w:noProof/>
            <w:webHidden/>
          </w:rPr>
        </w:r>
        <w:r w:rsidR="001607F9" w:rsidRPr="001607F9">
          <w:rPr>
            <w:noProof/>
            <w:webHidden/>
          </w:rPr>
          <w:fldChar w:fldCharType="separate"/>
        </w:r>
        <w:r w:rsidR="001607F9" w:rsidRPr="001607F9">
          <w:rPr>
            <w:noProof/>
            <w:webHidden/>
          </w:rPr>
          <w:t>177</w:t>
        </w:r>
        <w:r w:rsidR="001607F9" w:rsidRPr="001607F9">
          <w:rPr>
            <w:noProof/>
            <w:webHidden/>
          </w:rPr>
          <w:fldChar w:fldCharType="end"/>
        </w:r>
      </w:hyperlink>
    </w:p>
    <w:p w14:paraId="49EDAF0E" w14:textId="101612AC"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55" w:history="1">
        <w:r w:rsidR="001607F9" w:rsidRPr="001607F9">
          <w:rPr>
            <w:rStyle w:val="Hypertextovprepojenie"/>
            <w:noProof/>
          </w:rPr>
          <w:t>Tabuľka 94: Výber k. ú. v závislosti od OVN v roku 2018 (v eur/ha)</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_Toc38447755 \h </w:instrText>
        </w:r>
        <w:r w:rsidR="001607F9" w:rsidRPr="001607F9">
          <w:rPr>
            <w:noProof/>
            <w:webHidden/>
          </w:rPr>
        </w:r>
        <w:r w:rsidR="001607F9" w:rsidRPr="001607F9">
          <w:rPr>
            <w:noProof/>
            <w:webHidden/>
          </w:rPr>
          <w:fldChar w:fldCharType="separate"/>
        </w:r>
        <w:r w:rsidR="001607F9" w:rsidRPr="001607F9">
          <w:rPr>
            <w:noProof/>
            <w:webHidden/>
          </w:rPr>
          <w:t>179</w:t>
        </w:r>
        <w:r w:rsidR="001607F9" w:rsidRPr="001607F9">
          <w:rPr>
            <w:noProof/>
            <w:webHidden/>
          </w:rPr>
          <w:fldChar w:fldCharType="end"/>
        </w:r>
      </w:hyperlink>
    </w:p>
    <w:p w14:paraId="3E617E5C" w14:textId="76BC3044" w:rsidR="001607F9" w:rsidRPr="001607F9" w:rsidRDefault="00C45DA3">
      <w:pPr>
        <w:pStyle w:val="Zoznamobrzkov"/>
        <w:tabs>
          <w:tab w:val="right" w:leader="dot" w:pos="9204"/>
        </w:tabs>
        <w:rPr>
          <w:rFonts w:asciiTheme="minorHAnsi" w:eastAsiaTheme="minorEastAsia" w:hAnsiTheme="minorHAnsi" w:cstheme="minorBidi"/>
          <w:noProof/>
          <w:lang w:eastAsia="sk-SK"/>
        </w:rPr>
      </w:pPr>
      <w:hyperlink w:anchor="_Toc38447756" w:history="1">
        <w:r w:rsidR="001607F9" w:rsidRPr="001607F9">
          <w:rPr>
            <w:rStyle w:val="Hypertextovprepojenie"/>
            <w:noProof/>
          </w:rPr>
          <w:t>Tabuľka 95: Dopytové výzvy PPA podané na posúdenie ÚPVII</w:t>
        </w:r>
        <w:r w:rsidR="001607F9" w:rsidRPr="001607F9">
          <w:rPr>
            <w:noProof/>
            <w:webHidden/>
          </w:rPr>
          <w:tab/>
        </w:r>
        <w:r w:rsidR="001607F9" w:rsidRPr="001607F9">
          <w:rPr>
            <w:noProof/>
            <w:webHidden/>
          </w:rPr>
          <w:fldChar w:fldCharType="begin"/>
        </w:r>
        <w:r w:rsidR="001607F9" w:rsidRPr="001607F9">
          <w:rPr>
            <w:noProof/>
            <w:webHidden/>
          </w:rPr>
          <w:instrText xml:space="preserve"> PAGEREF _Toc38447756 \h </w:instrText>
        </w:r>
        <w:r w:rsidR="001607F9" w:rsidRPr="001607F9">
          <w:rPr>
            <w:noProof/>
            <w:webHidden/>
          </w:rPr>
        </w:r>
        <w:r w:rsidR="001607F9" w:rsidRPr="001607F9">
          <w:rPr>
            <w:noProof/>
            <w:webHidden/>
          </w:rPr>
          <w:fldChar w:fldCharType="separate"/>
        </w:r>
        <w:r w:rsidR="001607F9" w:rsidRPr="001607F9">
          <w:rPr>
            <w:noProof/>
            <w:webHidden/>
          </w:rPr>
          <w:t>184</w:t>
        </w:r>
        <w:r w:rsidR="001607F9" w:rsidRPr="001607F9">
          <w:rPr>
            <w:noProof/>
            <w:webHidden/>
          </w:rPr>
          <w:fldChar w:fldCharType="end"/>
        </w:r>
      </w:hyperlink>
    </w:p>
    <w:p w14:paraId="4C393E6F" w14:textId="0F760DC7" w:rsidR="00A232BD" w:rsidRPr="00666914" w:rsidRDefault="00A232BD" w:rsidP="00A232BD">
      <w:pPr>
        <w:rPr>
          <w:rFonts w:eastAsia="Times New Roman"/>
          <w:bCs/>
          <w:color w:val="0563C1"/>
          <w:u w:val="single"/>
          <w:lang w:eastAsia="zh-TW"/>
        </w:rPr>
      </w:pPr>
      <w:r w:rsidRPr="001607F9">
        <w:rPr>
          <w:rFonts w:eastAsia="Times New Roman"/>
          <w:bCs/>
          <w:color w:val="0563C1"/>
          <w:u w:val="single"/>
          <w:lang w:eastAsia="zh-TW"/>
        </w:rPr>
        <w:fldChar w:fldCharType="end"/>
      </w:r>
      <w:bookmarkEnd w:id="425"/>
    </w:p>
    <w:p w14:paraId="74FDC003" w14:textId="77777777" w:rsidR="00A83A1F" w:rsidRPr="00666914" w:rsidRDefault="00A83A1F" w:rsidP="00A83A1F">
      <w:pPr>
        <w:pStyle w:val="Nadpis1"/>
        <w:numPr>
          <w:ilvl w:val="0"/>
          <w:numId w:val="0"/>
        </w:numPr>
        <w:ind w:left="720"/>
      </w:pPr>
      <w:bookmarkStart w:id="426" w:name="_Toc36778427"/>
      <w:bookmarkStart w:id="427" w:name="_Toc38447633"/>
      <w:bookmarkStart w:id="428" w:name="_Toc36778429"/>
      <w:r w:rsidRPr="00666914">
        <w:lastRenderedPageBreak/>
        <w:t>Zoznam grafov</w:t>
      </w:r>
      <w:bookmarkEnd w:id="426"/>
      <w:bookmarkEnd w:id="427"/>
    </w:p>
    <w:p w14:paraId="6C5A07BF" w14:textId="4129BF4B" w:rsidR="002F0311" w:rsidRPr="002F0311" w:rsidRDefault="00A83A1F">
      <w:pPr>
        <w:pStyle w:val="Zoznamobrzkov"/>
        <w:tabs>
          <w:tab w:val="right" w:leader="dot" w:pos="9204"/>
        </w:tabs>
        <w:rPr>
          <w:rFonts w:asciiTheme="minorHAnsi" w:eastAsiaTheme="minorEastAsia" w:hAnsiTheme="minorHAnsi" w:cstheme="minorBidi"/>
          <w:noProof/>
          <w:lang w:eastAsia="sk-SK"/>
        </w:rPr>
      </w:pPr>
      <w:r w:rsidRPr="002F0311">
        <w:fldChar w:fldCharType="begin"/>
      </w:r>
      <w:r w:rsidRPr="002F0311">
        <w:instrText xml:space="preserve"> TOC \h \z \c "Graf" </w:instrText>
      </w:r>
      <w:r w:rsidRPr="002F0311">
        <w:fldChar w:fldCharType="separate"/>
      </w:r>
      <w:hyperlink w:anchor="_Toc38390045" w:history="1">
        <w:r w:rsidR="002F0311" w:rsidRPr="002F0311">
          <w:rPr>
            <w:rStyle w:val="Hypertextovprepojenie"/>
            <w:noProof/>
          </w:rPr>
          <w:t>Graf 1: Úhrady ZP za lieky na výnimky v prepočte na 1 000 poistencov (eur)</w:t>
        </w:r>
        <w:r w:rsidR="002F0311" w:rsidRPr="002F0311">
          <w:rPr>
            <w:noProof/>
            <w:webHidden/>
          </w:rPr>
          <w:tab/>
        </w:r>
        <w:r w:rsidR="002F0311" w:rsidRPr="002F0311">
          <w:rPr>
            <w:noProof/>
            <w:webHidden/>
          </w:rPr>
          <w:fldChar w:fldCharType="begin"/>
        </w:r>
        <w:r w:rsidR="002F0311" w:rsidRPr="002F0311">
          <w:rPr>
            <w:noProof/>
            <w:webHidden/>
          </w:rPr>
          <w:instrText xml:space="preserve"> PAGEREF _Toc38390045 \h </w:instrText>
        </w:r>
        <w:r w:rsidR="002F0311" w:rsidRPr="002F0311">
          <w:rPr>
            <w:noProof/>
            <w:webHidden/>
          </w:rPr>
        </w:r>
        <w:r w:rsidR="002F0311" w:rsidRPr="002F0311">
          <w:rPr>
            <w:noProof/>
            <w:webHidden/>
          </w:rPr>
          <w:fldChar w:fldCharType="separate"/>
        </w:r>
        <w:r w:rsidR="002F0311" w:rsidRPr="002F0311">
          <w:rPr>
            <w:noProof/>
            <w:webHidden/>
          </w:rPr>
          <w:t>17</w:t>
        </w:r>
        <w:r w:rsidR="002F0311" w:rsidRPr="002F0311">
          <w:rPr>
            <w:noProof/>
            <w:webHidden/>
          </w:rPr>
          <w:fldChar w:fldCharType="end"/>
        </w:r>
      </w:hyperlink>
    </w:p>
    <w:p w14:paraId="54E8178E" w14:textId="107E8BDF" w:rsidR="002F0311" w:rsidRPr="002F0311" w:rsidRDefault="00C45DA3">
      <w:pPr>
        <w:pStyle w:val="Zoznamobrzkov"/>
        <w:tabs>
          <w:tab w:val="right" w:leader="dot" w:pos="9204"/>
        </w:tabs>
        <w:rPr>
          <w:rFonts w:asciiTheme="minorHAnsi" w:eastAsiaTheme="minorEastAsia" w:hAnsiTheme="minorHAnsi" w:cstheme="minorBidi"/>
          <w:noProof/>
          <w:lang w:eastAsia="sk-SK"/>
        </w:rPr>
      </w:pPr>
      <w:hyperlink w:anchor="_Toc38390046" w:history="1">
        <w:r w:rsidR="002F0311" w:rsidRPr="002F0311">
          <w:rPr>
            <w:rStyle w:val="Hypertextovprepojenie"/>
            <w:noProof/>
          </w:rPr>
          <w:t>Graf 2: Počet schválených žiadostí na 100 pacientov-žiadateľov</w:t>
        </w:r>
        <w:r w:rsidR="002F0311" w:rsidRPr="002F0311">
          <w:rPr>
            <w:noProof/>
            <w:webHidden/>
          </w:rPr>
          <w:tab/>
        </w:r>
        <w:r w:rsidR="002F0311" w:rsidRPr="002F0311">
          <w:rPr>
            <w:noProof/>
            <w:webHidden/>
          </w:rPr>
          <w:fldChar w:fldCharType="begin"/>
        </w:r>
        <w:r w:rsidR="002F0311" w:rsidRPr="002F0311">
          <w:rPr>
            <w:noProof/>
            <w:webHidden/>
          </w:rPr>
          <w:instrText xml:space="preserve"> PAGEREF _Toc38390046 \h </w:instrText>
        </w:r>
        <w:r w:rsidR="002F0311" w:rsidRPr="002F0311">
          <w:rPr>
            <w:noProof/>
            <w:webHidden/>
          </w:rPr>
        </w:r>
        <w:r w:rsidR="002F0311" w:rsidRPr="002F0311">
          <w:rPr>
            <w:noProof/>
            <w:webHidden/>
          </w:rPr>
          <w:fldChar w:fldCharType="separate"/>
        </w:r>
        <w:r w:rsidR="002F0311" w:rsidRPr="002F0311">
          <w:rPr>
            <w:noProof/>
            <w:webHidden/>
          </w:rPr>
          <w:t>18</w:t>
        </w:r>
        <w:r w:rsidR="002F0311" w:rsidRPr="002F0311">
          <w:rPr>
            <w:noProof/>
            <w:webHidden/>
          </w:rPr>
          <w:fldChar w:fldCharType="end"/>
        </w:r>
      </w:hyperlink>
    </w:p>
    <w:p w14:paraId="66DC9573" w14:textId="48BAE434" w:rsidR="002F0311" w:rsidRPr="002F0311" w:rsidRDefault="00C45DA3">
      <w:pPr>
        <w:pStyle w:val="Zoznamobrzkov"/>
        <w:tabs>
          <w:tab w:val="right" w:leader="dot" w:pos="9204"/>
        </w:tabs>
        <w:rPr>
          <w:rFonts w:asciiTheme="minorHAnsi" w:eastAsiaTheme="minorEastAsia" w:hAnsiTheme="minorHAnsi" w:cstheme="minorBidi"/>
          <w:noProof/>
          <w:lang w:eastAsia="sk-SK"/>
        </w:rPr>
      </w:pPr>
      <w:hyperlink w:anchor="_Toc38390047" w:history="1">
        <w:r w:rsidR="002F0311" w:rsidRPr="002F0311">
          <w:rPr>
            <w:rStyle w:val="Hypertextovprepojenie"/>
            <w:noProof/>
          </w:rPr>
          <w:t>Graf 3: Medziročná zmena úhrad za CT a MR výkony v 2019</w:t>
        </w:r>
        <w:r w:rsidR="002F0311" w:rsidRPr="002F0311">
          <w:rPr>
            <w:noProof/>
            <w:webHidden/>
          </w:rPr>
          <w:tab/>
        </w:r>
        <w:r w:rsidR="002F0311" w:rsidRPr="002F0311">
          <w:rPr>
            <w:noProof/>
            <w:webHidden/>
          </w:rPr>
          <w:fldChar w:fldCharType="begin"/>
        </w:r>
        <w:r w:rsidR="002F0311" w:rsidRPr="002F0311">
          <w:rPr>
            <w:noProof/>
            <w:webHidden/>
          </w:rPr>
          <w:instrText xml:space="preserve"> PAGEREF _Toc38390047 \h </w:instrText>
        </w:r>
        <w:r w:rsidR="002F0311" w:rsidRPr="002F0311">
          <w:rPr>
            <w:noProof/>
            <w:webHidden/>
          </w:rPr>
        </w:r>
        <w:r w:rsidR="002F0311" w:rsidRPr="002F0311">
          <w:rPr>
            <w:noProof/>
            <w:webHidden/>
          </w:rPr>
          <w:fldChar w:fldCharType="separate"/>
        </w:r>
        <w:r w:rsidR="002F0311" w:rsidRPr="002F0311">
          <w:rPr>
            <w:noProof/>
            <w:webHidden/>
          </w:rPr>
          <w:t>21</w:t>
        </w:r>
        <w:r w:rsidR="002F0311" w:rsidRPr="002F0311">
          <w:rPr>
            <w:noProof/>
            <w:webHidden/>
          </w:rPr>
          <w:fldChar w:fldCharType="end"/>
        </w:r>
      </w:hyperlink>
    </w:p>
    <w:p w14:paraId="375E4813" w14:textId="3011A773" w:rsidR="002F0311" w:rsidRPr="002F0311" w:rsidRDefault="00C45DA3">
      <w:pPr>
        <w:pStyle w:val="Zoznamobrzkov"/>
        <w:tabs>
          <w:tab w:val="right" w:leader="dot" w:pos="9204"/>
        </w:tabs>
        <w:rPr>
          <w:rFonts w:asciiTheme="minorHAnsi" w:eastAsiaTheme="minorEastAsia" w:hAnsiTheme="minorHAnsi" w:cstheme="minorBidi"/>
          <w:noProof/>
          <w:lang w:eastAsia="sk-SK"/>
        </w:rPr>
      </w:pPr>
      <w:hyperlink w:anchor="_Toc38390048" w:history="1">
        <w:r w:rsidR="002F0311" w:rsidRPr="002F0311">
          <w:rPr>
            <w:rStyle w:val="Hypertextovprepojenie"/>
            <w:noProof/>
          </w:rPr>
          <w:t>Graf 4: Medziročná zmena počtu CT a MR výkonov v 2019</w:t>
        </w:r>
        <w:r w:rsidR="002F0311" w:rsidRPr="002F0311">
          <w:rPr>
            <w:noProof/>
            <w:webHidden/>
          </w:rPr>
          <w:tab/>
        </w:r>
        <w:r w:rsidR="002F0311" w:rsidRPr="002F0311">
          <w:rPr>
            <w:noProof/>
            <w:webHidden/>
          </w:rPr>
          <w:fldChar w:fldCharType="begin"/>
        </w:r>
        <w:r w:rsidR="002F0311" w:rsidRPr="002F0311">
          <w:rPr>
            <w:noProof/>
            <w:webHidden/>
          </w:rPr>
          <w:instrText xml:space="preserve"> PAGEREF _Toc38390048 \h </w:instrText>
        </w:r>
        <w:r w:rsidR="002F0311" w:rsidRPr="002F0311">
          <w:rPr>
            <w:noProof/>
            <w:webHidden/>
          </w:rPr>
        </w:r>
        <w:r w:rsidR="002F0311" w:rsidRPr="002F0311">
          <w:rPr>
            <w:noProof/>
            <w:webHidden/>
          </w:rPr>
          <w:fldChar w:fldCharType="separate"/>
        </w:r>
        <w:r w:rsidR="002F0311" w:rsidRPr="002F0311">
          <w:rPr>
            <w:noProof/>
            <w:webHidden/>
          </w:rPr>
          <w:t>21</w:t>
        </w:r>
        <w:r w:rsidR="002F0311" w:rsidRPr="002F0311">
          <w:rPr>
            <w:noProof/>
            <w:webHidden/>
          </w:rPr>
          <w:fldChar w:fldCharType="end"/>
        </w:r>
      </w:hyperlink>
    </w:p>
    <w:p w14:paraId="36FFDEF0" w14:textId="15FED02F" w:rsidR="002F0311" w:rsidRPr="002F0311" w:rsidRDefault="00C45DA3">
      <w:pPr>
        <w:pStyle w:val="Zoznamobrzkov"/>
        <w:tabs>
          <w:tab w:val="right" w:leader="dot" w:pos="9204"/>
        </w:tabs>
        <w:rPr>
          <w:rFonts w:asciiTheme="minorHAnsi" w:eastAsiaTheme="minorEastAsia" w:hAnsiTheme="minorHAnsi" w:cstheme="minorBidi"/>
          <w:noProof/>
          <w:lang w:eastAsia="sk-SK"/>
        </w:rPr>
      </w:pPr>
      <w:hyperlink w:anchor="_Toc38390049" w:history="1">
        <w:r w:rsidR="002F0311" w:rsidRPr="002F0311">
          <w:rPr>
            <w:rStyle w:val="Hypertextovprepojenie"/>
            <w:noProof/>
          </w:rPr>
          <w:t>Graf 5: Úhrady poisťovní za laboratórne výkony (mil. eur)</w:t>
        </w:r>
        <w:r w:rsidR="002F0311" w:rsidRPr="002F0311">
          <w:rPr>
            <w:noProof/>
            <w:webHidden/>
          </w:rPr>
          <w:tab/>
        </w:r>
        <w:r w:rsidR="002F0311" w:rsidRPr="002F0311">
          <w:rPr>
            <w:noProof/>
            <w:webHidden/>
          </w:rPr>
          <w:fldChar w:fldCharType="begin"/>
        </w:r>
        <w:r w:rsidR="002F0311" w:rsidRPr="002F0311">
          <w:rPr>
            <w:noProof/>
            <w:webHidden/>
          </w:rPr>
          <w:instrText xml:space="preserve"> PAGEREF _Toc38390049 \h </w:instrText>
        </w:r>
        <w:r w:rsidR="002F0311" w:rsidRPr="002F0311">
          <w:rPr>
            <w:noProof/>
            <w:webHidden/>
          </w:rPr>
        </w:r>
        <w:r w:rsidR="002F0311" w:rsidRPr="002F0311">
          <w:rPr>
            <w:noProof/>
            <w:webHidden/>
          </w:rPr>
          <w:fldChar w:fldCharType="separate"/>
        </w:r>
        <w:r w:rsidR="002F0311" w:rsidRPr="002F0311">
          <w:rPr>
            <w:noProof/>
            <w:webHidden/>
          </w:rPr>
          <w:t>22</w:t>
        </w:r>
        <w:r w:rsidR="002F0311" w:rsidRPr="002F0311">
          <w:rPr>
            <w:noProof/>
            <w:webHidden/>
          </w:rPr>
          <w:fldChar w:fldCharType="end"/>
        </w:r>
      </w:hyperlink>
    </w:p>
    <w:p w14:paraId="11187575" w14:textId="305458B2" w:rsidR="002F0311" w:rsidRPr="002F0311" w:rsidRDefault="00C45DA3">
      <w:pPr>
        <w:pStyle w:val="Zoznamobrzkov"/>
        <w:tabs>
          <w:tab w:val="right" w:leader="dot" w:pos="9204"/>
        </w:tabs>
        <w:rPr>
          <w:rFonts w:asciiTheme="minorHAnsi" w:eastAsiaTheme="minorEastAsia" w:hAnsiTheme="minorHAnsi" w:cstheme="minorBidi"/>
          <w:noProof/>
          <w:lang w:eastAsia="sk-SK"/>
        </w:rPr>
      </w:pPr>
      <w:hyperlink w:anchor="_Toc38390050" w:history="1">
        <w:r w:rsidR="002F0311" w:rsidRPr="002F0311">
          <w:rPr>
            <w:rStyle w:val="Hypertextovprepojenie"/>
            <w:noProof/>
          </w:rPr>
          <w:t>Graf 6: Efekt oddlžovania na výsledok hospodárenia UN a FN v 2019 (mil. eur)</w:t>
        </w:r>
        <w:r w:rsidR="002F0311" w:rsidRPr="002F0311">
          <w:rPr>
            <w:noProof/>
            <w:webHidden/>
          </w:rPr>
          <w:tab/>
        </w:r>
        <w:r w:rsidR="002F0311" w:rsidRPr="002F0311">
          <w:rPr>
            <w:noProof/>
            <w:webHidden/>
          </w:rPr>
          <w:fldChar w:fldCharType="begin"/>
        </w:r>
        <w:r w:rsidR="002F0311" w:rsidRPr="002F0311">
          <w:rPr>
            <w:noProof/>
            <w:webHidden/>
          </w:rPr>
          <w:instrText xml:space="preserve"> PAGEREF _Toc38390050 \h </w:instrText>
        </w:r>
        <w:r w:rsidR="002F0311" w:rsidRPr="002F0311">
          <w:rPr>
            <w:noProof/>
            <w:webHidden/>
          </w:rPr>
        </w:r>
        <w:r w:rsidR="002F0311" w:rsidRPr="002F0311">
          <w:rPr>
            <w:noProof/>
            <w:webHidden/>
          </w:rPr>
          <w:fldChar w:fldCharType="separate"/>
        </w:r>
        <w:r w:rsidR="002F0311" w:rsidRPr="002F0311">
          <w:rPr>
            <w:noProof/>
            <w:webHidden/>
          </w:rPr>
          <w:t>25</w:t>
        </w:r>
        <w:r w:rsidR="002F0311" w:rsidRPr="002F0311">
          <w:rPr>
            <w:noProof/>
            <w:webHidden/>
          </w:rPr>
          <w:fldChar w:fldCharType="end"/>
        </w:r>
      </w:hyperlink>
    </w:p>
    <w:p w14:paraId="725EBBEE" w14:textId="599BB19C" w:rsidR="002F0311" w:rsidRPr="002F0311" w:rsidRDefault="00C45DA3">
      <w:pPr>
        <w:pStyle w:val="Zoznamobrzkov"/>
        <w:tabs>
          <w:tab w:val="right" w:leader="dot" w:pos="9204"/>
        </w:tabs>
        <w:rPr>
          <w:rFonts w:asciiTheme="minorHAnsi" w:eastAsiaTheme="minorEastAsia" w:hAnsiTheme="minorHAnsi" w:cstheme="minorBidi"/>
          <w:noProof/>
          <w:lang w:eastAsia="sk-SK"/>
        </w:rPr>
      </w:pPr>
      <w:hyperlink w:anchor="_Toc38390051" w:history="1">
        <w:r w:rsidR="002F0311" w:rsidRPr="002F0311">
          <w:rPr>
            <w:rStyle w:val="Hypertextovprepojenie"/>
            <w:noProof/>
          </w:rPr>
          <w:t>Graf 7: Platby ZP (výnosy) a náklady na zdravotnú starostlivosť v UN a FN (mil. eur)</w:t>
        </w:r>
        <w:r w:rsidR="002F0311" w:rsidRPr="002F0311">
          <w:rPr>
            <w:noProof/>
            <w:webHidden/>
          </w:rPr>
          <w:tab/>
        </w:r>
        <w:r w:rsidR="002F0311" w:rsidRPr="002F0311">
          <w:rPr>
            <w:noProof/>
            <w:webHidden/>
          </w:rPr>
          <w:fldChar w:fldCharType="begin"/>
        </w:r>
        <w:r w:rsidR="002F0311" w:rsidRPr="002F0311">
          <w:rPr>
            <w:noProof/>
            <w:webHidden/>
          </w:rPr>
          <w:instrText xml:space="preserve"> PAGEREF _Toc38390051 \h </w:instrText>
        </w:r>
        <w:r w:rsidR="002F0311" w:rsidRPr="002F0311">
          <w:rPr>
            <w:noProof/>
            <w:webHidden/>
          </w:rPr>
        </w:r>
        <w:r w:rsidR="002F0311" w:rsidRPr="002F0311">
          <w:rPr>
            <w:noProof/>
            <w:webHidden/>
          </w:rPr>
          <w:fldChar w:fldCharType="separate"/>
        </w:r>
        <w:r w:rsidR="002F0311" w:rsidRPr="002F0311">
          <w:rPr>
            <w:noProof/>
            <w:webHidden/>
          </w:rPr>
          <w:t>26</w:t>
        </w:r>
        <w:r w:rsidR="002F0311" w:rsidRPr="002F0311">
          <w:rPr>
            <w:noProof/>
            <w:webHidden/>
          </w:rPr>
          <w:fldChar w:fldCharType="end"/>
        </w:r>
      </w:hyperlink>
    </w:p>
    <w:p w14:paraId="375C7CAB" w14:textId="4BE65E17" w:rsidR="002F0311" w:rsidRPr="002F0311" w:rsidRDefault="00C45DA3">
      <w:pPr>
        <w:pStyle w:val="Zoznamobrzkov"/>
        <w:tabs>
          <w:tab w:val="right" w:leader="dot" w:pos="9204"/>
        </w:tabs>
        <w:rPr>
          <w:rFonts w:asciiTheme="minorHAnsi" w:eastAsiaTheme="minorEastAsia" w:hAnsiTheme="minorHAnsi" w:cstheme="minorBidi"/>
          <w:noProof/>
          <w:lang w:eastAsia="sk-SK"/>
        </w:rPr>
      </w:pPr>
      <w:hyperlink w:anchor="_Toc38390052" w:history="1">
        <w:r w:rsidR="002F0311" w:rsidRPr="002F0311">
          <w:rPr>
            <w:rStyle w:val="Hypertextovprepojenie"/>
            <w:noProof/>
          </w:rPr>
          <w:t>Graf 8: Prevádzkové náklady UN a FN v rokoch 2018 a 2019 (mil. eur)</w:t>
        </w:r>
        <w:r w:rsidR="002F0311" w:rsidRPr="002F0311">
          <w:rPr>
            <w:noProof/>
            <w:webHidden/>
          </w:rPr>
          <w:tab/>
        </w:r>
        <w:r w:rsidR="002F0311" w:rsidRPr="002F0311">
          <w:rPr>
            <w:noProof/>
            <w:webHidden/>
          </w:rPr>
          <w:fldChar w:fldCharType="begin"/>
        </w:r>
        <w:r w:rsidR="002F0311" w:rsidRPr="002F0311">
          <w:rPr>
            <w:noProof/>
            <w:webHidden/>
          </w:rPr>
          <w:instrText xml:space="preserve"> PAGEREF _Toc38390052 \h </w:instrText>
        </w:r>
        <w:r w:rsidR="002F0311" w:rsidRPr="002F0311">
          <w:rPr>
            <w:noProof/>
            <w:webHidden/>
          </w:rPr>
        </w:r>
        <w:r w:rsidR="002F0311" w:rsidRPr="002F0311">
          <w:rPr>
            <w:noProof/>
            <w:webHidden/>
          </w:rPr>
          <w:fldChar w:fldCharType="separate"/>
        </w:r>
        <w:r w:rsidR="002F0311" w:rsidRPr="002F0311">
          <w:rPr>
            <w:noProof/>
            <w:webHidden/>
          </w:rPr>
          <w:t>26</w:t>
        </w:r>
        <w:r w:rsidR="002F0311" w:rsidRPr="002F0311">
          <w:rPr>
            <w:noProof/>
            <w:webHidden/>
          </w:rPr>
          <w:fldChar w:fldCharType="end"/>
        </w:r>
      </w:hyperlink>
    </w:p>
    <w:p w14:paraId="7227727A" w14:textId="5F06C42E" w:rsidR="002F0311" w:rsidRPr="002F0311" w:rsidRDefault="00C45DA3">
      <w:pPr>
        <w:pStyle w:val="Zoznamobrzkov"/>
        <w:tabs>
          <w:tab w:val="right" w:leader="dot" w:pos="9204"/>
        </w:tabs>
        <w:rPr>
          <w:rFonts w:asciiTheme="minorHAnsi" w:eastAsiaTheme="minorEastAsia" w:hAnsiTheme="minorHAnsi" w:cstheme="minorBidi"/>
          <w:noProof/>
          <w:lang w:eastAsia="sk-SK"/>
        </w:rPr>
      </w:pPr>
      <w:hyperlink w:anchor="_Toc38390053" w:history="1">
        <w:r w:rsidR="002F0311" w:rsidRPr="002F0311">
          <w:rPr>
            <w:rStyle w:val="Hypertextovprepojenie"/>
            <w:noProof/>
          </w:rPr>
          <w:t>Graf 9: Medziročná zmena výšky osobných nákladov v UN  a FN (2019 vs. 2018)</w:t>
        </w:r>
        <w:r w:rsidR="002F0311" w:rsidRPr="002F0311">
          <w:rPr>
            <w:noProof/>
            <w:webHidden/>
          </w:rPr>
          <w:tab/>
        </w:r>
        <w:r w:rsidR="002F0311" w:rsidRPr="002F0311">
          <w:rPr>
            <w:noProof/>
            <w:webHidden/>
          </w:rPr>
          <w:fldChar w:fldCharType="begin"/>
        </w:r>
        <w:r w:rsidR="002F0311" w:rsidRPr="002F0311">
          <w:rPr>
            <w:noProof/>
            <w:webHidden/>
          </w:rPr>
          <w:instrText xml:space="preserve"> PAGEREF _Toc38390053 \h </w:instrText>
        </w:r>
        <w:r w:rsidR="002F0311" w:rsidRPr="002F0311">
          <w:rPr>
            <w:noProof/>
            <w:webHidden/>
          </w:rPr>
        </w:r>
        <w:r w:rsidR="002F0311" w:rsidRPr="002F0311">
          <w:rPr>
            <w:noProof/>
            <w:webHidden/>
          </w:rPr>
          <w:fldChar w:fldCharType="separate"/>
        </w:r>
        <w:r w:rsidR="002F0311" w:rsidRPr="002F0311">
          <w:rPr>
            <w:noProof/>
            <w:webHidden/>
          </w:rPr>
          <w:t>28</w:t>
        </w:r>
        <w:r w:rsidR="002F0311" w:rsidRPr="002F0311">
          <w:rPr>
            <w:noProof/>
            <w:webHidden/>
          </w:rPr>
          <w:fldChar w:fldCharType="end"/>
        </w:r>
      </w:hyperlink>
    </w:p>
    <w:p w14:paraId="6E5FA1A9" w14:textId="14C281B7" w:rsidR="002F0311" w:rsidRPr="002F0311" w:rsidRDefault="00C45DA3">
      <w:pPr>
        <w:pStyle w:val="Zoznamobrzkov"/>
        <w:tabs>
          <w:tab w:val="right" w:leader="dot" w:pos="9204"/>
        </w:tabs>
        <w:rPr>
          <w:rFonts w:asciiTheme="minorHAnsi" w:eastAsiaTheme="minorEastAsia" w:hAnsiTheme="minorHAnsi" w:cstheme="minorBidi"/>
          <w:noProof/>
          <w:lang w:eastAsia="sk-SK"/>
        </w:rPr>
      </w:pPr>
      <w:hyperlink w:anchor="_Toc38390054" w:history="1">
        <w:r w:rsidR="002F0311" w:rsidRPr="002F0311">
          <w:rPr>
            <w:rStyle w:val="Hypertextovprepojenie"/>
            <w:noProof/>
          </w:rPr>
          <w:t>Graf 10: Medziročná zmena nákladov na lieky a ŠZM v UN a FN (2019 vs. 2018)</w:t>
        </w:r>
        <w:r w:rsidR="002F0311" w:rsidRPr="002F0311">
          <w:rPr>
            <w:noProof/>
            <w:webHidden/>
          </w:rPr>
          <w:tab/>
        </w:r>
        <w:r w:rsidR="002F0311" w:rsidRPr="002F0311">
          <w:rPr>
            <w:noProof/>
            <w:webHidden/>
          </w:rPr>
          <w:fldChar w:fldCharType="begin"/>
        </w:r>
        <w:r w:rsidR="002F0311" w:rsidRPr="002F0311">
          <w:rPr>
            <w:noProof/>
            <w:webHidden/>
          </w:rPr>
          <w:instrText xml:space="preserve"> PAGEREF _Toc38390054 \h </w:instrText>
        </w:r>
        <w:r w:rsidR="002F0311" w:rsidRPr="002F0311">
          <w:rPr>
            <w:noProof/>
            <w:webHidden/>
          </w:rPr>
        </w:r>
        <w:r w:rsidR="002F0311" w:rsidRPr="002F0311">
          <w:rPr>
            <w:noProof/>
            <w:webHidden/>
          </w:rPr>
          <w:fldChar w:fldCharType="separate"/>
        </w:r>
        <w:r w:rsidR="002F0311" w:rsidRPr="002F0311">
          <w:rPr>
            <w:noProof/>
            <w:webHidden/>
          </w:rPr>
          <w:t>29</w:t>
        </w:r>
        <w:r w:rsidR="002F0311" w:rsidRPr="002F0311">
          <w:rPr>
            <w:noProof/>
            <w:webHidden/>
          </w:rPr>
          <w:fldChar w:fldCharType="end"/>
        </w:r>
      </w:hyperlink>
    </w:p>
    <w:p w14:paraId="65C9CD99" w14:textId="253366B5" w:rsidR="002F0311" w:rsidRPr="002F0311" w:rsidRDefault="00C45DA3">
      <w:pPr>
        <w:pStyle w:val="Zoznamobrzkov"/>
        <w:tabs>
          <w:tab w:val="right" w:leader="dot" w:pos="9204"/>
        </w:tabs>
        <w:rPr>
          <w:rFonts w:asciiTheme="minorHAnsi" w:eastAsiaTheme="minorEastAsia" w:hAnsiTheme="minorHAnsi" w:cstheme="minorBidi"/>
          <w:noProof/>
          <w:lang w:eastAsia="sk-SK"/>
        </w:rPr>
      </w:pPr>
      <w:hyperlink w:anchor="_Toc38390055" w:history="1">
        <w:r w:rsidR="002F0311" w:rsidRPr="002F0311">
          <w:rPr>
            <w:rStyle w:val="Hypertextovprepojenie"/>
            <w:noProof/>
          </w:rPr>
          <w:t>Graf 11: Cesty I. triedy v havarijnom stave</w:t>
        </w:r>
        <w:r w:rsidR="002F0311" w:rsidRPr="002F0311">
          <w:rPr>
            <w:noProof/>
            <w:webHidden/>
          </w:rPr>
          <w:tab/>
        </w:r>
        <w:r w:rsidR="002F0311" w:rsidRPr="002F0311">
          <w:rPr>
            <w:noProof/>
            <w:webHidden/>
          </w:rPr>
          <w:fldChar w:fldCharType="begin"/>
        </w:r>
        <w:r w:rsidR="002F0311" w:rsidRPr="002F0311">
          <w:rPr>
            <w:noProof/>
            <w:webHidden/>
          </w:rPr>
          <w:instrText xml:space="preserve"> PAGEREF _Toc38390055 \h </w:instrText>
        </w:r>
        <w:r w:rsidR="002F0311" w:rsidRPr="002F0311">
          <w:rPr>
            <w:noProof/>
            <w:webHidden/>
          </w:rPr>
        </w:r>
        <w:r w:rsidR="002F0311" w:rsidRPr="002F0311">
          <w:rPr>
            <w:noProof/>
            <w:webHidden/>
          </w:rPr>
          <w:fldChar w:fldCharType="separate"/>
        </w:r>
        <w:r w:rsidR="002F0311" w:rsidRPr="002F0311">
          <w:rPr>
            <w:noProof/>
            <w:webHidden/>
          </w:rPr>
          <w:t>52</w:t>
        </w:r>
        <w:r w:rsidR="002F0311" w:rsidRPr="002F0311">
          <w:rPr>
            <w:noProof/>
            <w:webHidden/>
          </w:rPr>
          <w:fldChar w:fldCharType="end"/>
        </w:r>
      </w:hyperlink>
    </w:p>
    <w:p w14:paraId="09E15481" w14:textId="308D981C" w:rsidR="002F0311" w:rsidRPr="002F0311" w:rsidRDefault="00C45DA3">
      <w:pPr>
        <w:pStyle w:val="Zoznamobrzkov"/>
        <w:tabs>
          <w:tab w:val="right" w:leader="dot" w:pos="9204"/>
        </w:tabs>
        <w:rPr>
          <w:rFonts w:asciiTheme="minorHAnsi" w:eastAsiaTheme="minorEastAsia" w:hAnsiTheme="minorHAnsi" w:cstheme="minorBidi"/>
          <w:noProof/>
          <w:lang w:eastAsia="sk-SK"/>
        </w:rPr>
      </w:pPr>
      <w:hyperlink w:anchor="_Toc38390056" w:history="1">
        <w:r w:rsidR="002F0311" w:rsidRPr="002F0311">
          <w:rPr>
            <w:rStyle w:val="Hypertextovprepojenie"/>
            <w:noProof/>
          </w:rPr>
          <w:t>Graf 12: Vývoj bežných a kapitálových výdavkov na IT (v mil. eur)</w:t>
        </w:r>
        <w:r w:rsidR="002F0311" w:rsidRPr="002F0311">
          <w:rPr>
            <w:noProof/>
            <w:webHidden/>
          </w:rPr>
          <w:tab/>
        </w:r>
        <w:r w:rsidR="002F0311" w:rsidRPr="002F0311">
          <w:rPr>
            <w:noProof/>
            <w:webHidden/>
          </w:rPr>
          <w:fldChar w:fldCharType="begin"/>
        </w:r>
        <w:r w:rsidR="002F0311" w:rsidRPr="002F0311">
          <w:rPr>
            <w:noProof/>
            <w:webHidden/>
          </w:rPr>
          <w:instrText xml:space="preserve"> PAGEREF _Toc38390056 \h </w:instrText>
        </w:r>
        <w:r w:rsidR="002F0311" w:rsidRPr="002F0311">
          <w:rPr>
            <w:noProof/>
            <w:webHidden/>
          </w:rPr>
        </w:r>
        <w:r w:rsidR="002F0311" w:rsidRPr="002F0311">
          <w:rPr>
            <w:noProof/>
            <w:webHidden/>
          </w:rPr>
          <w:fldChar w:fldCharType="separate"/>
        </w:r>
        <w:r w:rsidR="002F0311" w:rsidRPr="002F0311">
          <w:rPr>
            <w:noProof/>
            <w:webHidden/>
          </w:rPr>
          <w:t>76</w:t>
        </w:r>
        <w:r w:rsidR="002F0311" w:rsidRPr="002F0311">
          <w:rPr>
            <w:noProof/>
            <w:webHidden/>
          </w:rPr>
          <w:fldChar w:fldCharType="end"/>
        </w:r>
      </w:hyperlink>
    </w:p>
    <w:p w14:paraId="24739E40" w14:textId="6BE1C05E" w:rsidR="002F0311" w:rsidRPr="002F0311" w:rsidRDefault="00C45DA3">
      <w:pPr>
        <w:pStyle w:val="Zoznamobrzkov"/>
        <w:tabs>
          <w:tab w:val="right" w:leader="dot" w:pos="9204"/>
        </w:tabs>
        <w:rPr>
          <w:rFonts w:asciiTheme="minorHAnsi" w:eastAsiaTheme="minorEastAsia" w:hAnsiTheme="minorHAnsi" w:cstheme="minorBidi"/>
          <w:noProof/>
          <w:lang w:eastAsia="sk-SK"/>
        </w:rPr>
      </w:pPr>
      <w:hyperlink w:anchor="_Toc38390057" w:history="1">
        <w:r w:rsidR="002F0311" w:rsidRPr="002F0311">
          <w:rPr>
            <w:rStyle w:val="Hypertextovprepojenie"/>
            <w:noProof/>
          </w:rPr>
          <w:t>Graf 13: Plánovaná migrácia vo virtuálnych CPU (vľavo) a podľa počtu IS VS (vpravo)</w:t>
        </w:r>
        <w:r w:rsidR="002F0311" w:rsidRPr="002F0311">
          <w:rPr>
            <w:noProof/>
            <w:webHidden/>
          </w:rPr>
          <w:tab/>
        </w:r>
        <w:r w:rsidR="002F0311" w:rsidRPr="002F0311">
          <w:rPr>
            <w:noProof/>
            <w:webHidden/>
          </w:rPr>
          <w:fldChar w:fldCharType="begin"/>
        </w:r>
        <w:r w:rsidR="002F0311" w:rsidRPr="002F0311">
          <w:rPr>
            <w:noProof/>
            <w:webHidden/>
          </w:rPr>
          <w:instrText xml:space="preserve"> PAGEREF _Toc38390057 \h </w:instrText>
        </w:r>
        <w:r w:rsidR="002F0311" w:rsidRPr="002F0311">
          <w:rPr>
            <w:noProof/>
            <w:webHidden/>
          </w:rPr>
        </w:r>
        <w:r w:rsidR="002F0311" w:rsidRPr="002F0311">
          <w:rPr>
            <w:noProof/>
            <w:webHidden/>
          </w:rPr>
          <w:fldChar w:fldCharType="separate"/>
        </w:r>
        <w:r w:rsidR="002F0311" w:rsidRPr="002F0311">
          <w:rPr>
            <w:noProof/>
            <w:webHidden/>
          </w:rPr>
          <w:t>80</w:t>
        </w:r>
        <w:r w:rsidR="002F0311" w:rsidRPr="002F0311">
          <w:rPr>
            <w:noProof/>
            <w:webHidden/>
          </w:rPr>
          <w:fldChar w:fldCharType="end"/>
        </w:r>
      </w:hyperlink>
    </w:p>
    <w:p w14:paraId="028AB85F" w14:textId="1637ED21" w:rsidR="002F0311" w:rsidRPr="002F0311" w:rsidRDefault="00C45DA3">
      <w:pPr>
        <w:pStyle w:val="Zoznamobrzkov"/>
        <w:tabs>
          <w:tab w:val="right" w:leader="dot" w:pos="9204"/>
        </w:tabs>
        <w:rPr>
          <w:rFonts w:asciiTheme="minorHAnsi" w:eastAsiaTheme="minorEastAsia" w:hAnsiTheme="minorHAnsi" w:cstheme="minorBidi"/>
          <w:noProof/>
          <w:lang w:eastAsia="sk-SK"/>
        </w:rPr>
      </w:pPr>
      <w:hyperlink w:anchor="_Toc38390058" w:history="1">
        <w:r w:rsidR="002F0311" w:rsidRPr="002F0311">
          <w:rPr>
            <w:rStyle w:val="Hypertextovprepojenie"/>
            <w:noProof/>
          </w:rPr>
          <w:t>Graf 14: Vydané eID, BOK a KEP (2018-2019)</w:t>
        </w:r>
        <w:r w:rsidR="002F0311" w:rsidRPr="002F0311">
          <w:rPr>
            <w:noProof/>
            <w:webHidden/>
          </w:rPr>
          <w:tab/>
        </w:r>
        <w:r w:rsidR="002F0311" w:rsidRPr="002F0311">
          <w:rPr>
            <w:noProof/>
            <w:webHidden/>
          </w:rPr>
          <w:fldChar w:fldCharType="begin"/>
        </w:r>
        <w:r w:rsidR="002F0311" w:rsidRPr="002F0311">
          <w:rPr>
            <w:noProof/>
            <w:webHidden/>
          </w:rPr>
          <w:instrText xml:space="preserve"> PAGEREF _Toc38390058 \h </w:instrText>
        </w:r>
        <w:r w:rsidR="002F0311" w:rsidRPr="002F0311">
          <w:rPr>
            <w:noProof/>
            <w:webHidden/>
          </w:rPr>
        </w:r>
        <w:r w:rsidR="002F0311" w:rsidRPr="002F0311">
          <w:rPr>
            <w:noProof/>
            <w:webHidden/>
          </w:rPr>
          <w:fldChar w:fldCharType="separate"/>
        </w:r>
        <w:r w:rsidR="002F0311" w:rsidRPr="002F0311">
          <w:rPr>
            <w:noProof/>
            <w:webHidden/>
          </w:rPr>
          <w:t>83</w:t>
        </w:r>
        <w:r w:rsidR="002F0311" w:rsidRPr="002F0311">
          <w:rPr>
            <w:noProof/>
            <w:webHidden/>
          </w:rPr>
          <w:fldChar w:fldCharType="end"/>
        </w:r>
      </w:hyperlink>
    </w:p>
    <w:p w14:paraId="1ECFD40E" w14:textId="15B0494F" w:rsidR="002F0311" w:rsidRPr="002F0311" w:rsidRDefault="00C45DA3">
      <w:pPr>
        <w:pStyle w:val="Zoznamobrzkov"/>
        <w:tabs>
          <w:tab w:val="right" w:leader="dot" w:pos="9204"/>
        </w:tabs>
        <w:rPr>
          <w:rFonts w:asciiTheme="minorHAnsi" w:eastAsiaTheme="minorEastAsia" w:hAnsiTheme="minorHAnsi" w:cstheme="minorBidi"/>
          <w:noProof/>
          <w:lang w:eastAsia="sk-SK"/>
        </w:rPr>
      </w:pPr>
      <w:hyperlink w:anchor="_Toc38390059" w:history="1">
        <w:r w:rsidR="002F0311" w:rsidRPr="002F0311">
          <w:rPr>
            <w:rStyle w:val="Hypertextovprepojenie"/>
            <w:rFonts w:eastAsia="Times New Roman" w:cs="Calibri"/>
            <w:bCs/>
            <w:noProof/>
            <w:lang w:eastAsia="sk-SK"/>
          </w:rPr>
          <w:t xml:space="preserve">Graf 15 : Typy </w:t>
        </w:r>
        <w:r w:rsidR="002F0311" w:rsidRPr="002F0311">
          <w:rPr>
            <w:rStyle w:val="Hypertextovprepojenie"/>
            <w:rFonts w:eastAsia="Arial Narrow" w:cs="Arial Narrow"/>
            <w:noProof/>
            <w:lang w:eastAsia="sk-SK"/>
          </w:rPr>
          <w:t>výdavkov</w:t>
        </w:r>
        <w:r w:rsidR="002F0311" w:rsidRPr="002F0311">
          <w:rPr>
            <w:rStyle w:val="Hypertextovprepojenie"/>
            <w:rFonts w:eastAsia="Times New Roman" w:cs="Calibri"/>
            <w:bCs/>
            <w:noProof/>
            <w:lang w:eastAsia="sk-SK"/>
          </w:rPr>
          <w:t xml:space="preserve"> financované cez DK za rok 2019 (v tis. eur)</w:t>
        </w:r>
        <w:r w:rsidR="002F0311" w:rsidRPr="002F0311">
          <w:rPr>
            <w:noProof/>
            <w:webHidden/>
          </w:rPr>
          <w:tab/>
        </w:r>
        <w:r w:rsidR="002F0311" w:rsidRPr="002F0311">
          <w:rPr>
            <w:noProof/>
            <w:webHidden/>
          </w:rPr>
          <w:fldChar w:fldCharType="begin"/>
        </w:r>
        <w:r w:rsidR="002F0311" w:rsidRPr="002F0311">
          <w:rPr>
            <w:noProof/>
            <w:webHidden/>
          </w:rPr>
          <w:instrText xml:space="preserve"> PAGEREF _Toc38390059 \h </w:instrText>
        </w:r>
        <w:r w:rsidR="002F0311" w:rsidRPr="002F0311">
          <w:rPr>
            <w:noProof/>
            <w:webHidden/>
          </w:rPr>
        </w:r>
        <w:r w:rsidR="002F0311" w:rsidRPr="002F0311">
          <w:rPr>
            <w:noProof/>
            <w:webHidden/>
          </w:rPr>
          <w:fldChar w:fldCharType="separate"/>
        </w:r>
        <w:r w:rsidR="002F0311" w:rsidRPr="002F0311">
          <w:rPr>
            <w:noProof/>
            <w:webHidden/>
          </w:rPr>
          <w:t>96</w:t>
        </w:r>
        <w:r w:rsidR="002F0311" w:rsidRPr="002F0311">
          <w:rPr>
            <w:noProof/>
            <w:webHidden/>
          </w:rPr>
          <w:fldChar w:fldCharType="end"/>
        </w:r>
      </w:hyperlink>
    </w:p>
    <w:p w14:paraId="2606D1C4" w14:textId="6BD5B8C0" w:rsidR="002F0311" w:rsidRPr="002F0311" w:rsidRDefault="00C45DA3">
      <w:pPr>
        <w:pStyle w:val="Zoznamobrzkov"/>
        <w:tabs>
          <w:tab w:val="right" w:leader="dot" w:pos="9204"/>
        </w:tabs>
        <w:rPr>
          <w:rFonts w:asciiTheme="minorHAnsi" w:eastAsiaTheme="minorEastAsia" w:hAnsiTheme="minorHAnsi" w:cstheme="minorBidi"/>
          <w:noProof/>
          <w:lang w:eastAsia="sk-SK"/>
        </w:rPr>
      </w:pPr>
      <w:hyperlink w:anchor="_Toc38390060" w:history="1">
        <w:r w:rsidR="002F0311" w:rsidRPr="002F0311">
          <w:rPr>
            <w:rStyle w:val="Hypertextovprepojenie"/>
            <w:rFonts w:eastAsia="Arial Narrow" w:cs="Arial Narrow"/>
            <w:noProof/>
          </w:rPr>
          <w:t>Graf 16: Výroba a dodávka elektrickej energie</w:t>
        </w:r>
        <w:r w:rsidR="002F0311" w:rsidRPr="002F0311">
          <w:rPr>
            <w:noProof/>
            <w:webHidden/>
          </w:rPr>
          <w:tab/>
        </w:r>
        <w:r w:rsidR="002F0311" w:rsidRPr="002F0311">
          <w:rPr>
            <w:noProof/>
            <w:webHidden/>
          </w:rPr>
          <w:fldChar w:fldCharType="begin"/>
        </w:r>
        <w:r w:rsidR="002F0311" w:rsidRPr="002F0311">
          <w:rPr>
            <w:noProof/>
            <w:webHidden/>
          </w:rPr>
          <w:instrText xml:space="preserve"> PAGEREF _Toc38390060 \h </w:instrText>
        </w:r>
        <w:r w:rsidR="002F0311" w:rsidRPr="002F0311">
          <w:rPr>
            <w:noProof/>
            <w:webHidden/>
          </w:rPr>
        </w:r>
        <w:r w:rsidR="002F0311" w:rsidRPr="002F0311">
          <w:rPr>
            <w:noProof/>
            <w:webHidden/>
          </w:rPr>
          <w:fldChar w:fldCharType="separate"/>
        </w:r>
        <w:r w:rsidR="002F0311" w:rsidRPr="002F0311">
          <w:rPr>
            <w:noProof/>
            <w:webHidden/>
          </w:rPr>
          <w:t>124</w:t>
        </w:r>
        <w:r w:rsidR="002F0311" w:rsidRPr="002F0311">
          <w:rPr>
            <w:noProof/>
            <w:webHidden/>
          </w:rPr>
          <w:fldChar w:fldCharType="end"/>
        </w:r>
      </w:hyperlink>
    </w:p>
    <w:p w14:paraId="6EAA0AEA" w14:textId="7B6F2D2B" w:rsidR="002F0311" w:rsidRPr="002F0311" w:rsidRDefault="00C45DA3">
      <w:pPr>
        <w:pStyle w:val="Zoznamobrzkov"/>
        <w:tabs>
          <w:tab w:val="right" w:leader="dot" w:pos="9204"/>
        </w:tabs>
        <w:rPr>
          <w:rFonts w:asciiTheme="minorHAnsi" w:eastAsiaTheme="minorEastAsia" w:hAnsiTheme="minorHAnsi" w:cstheme="minorBidi"/>
          <w:noProof/>
          <w:lang w:eastAsia="sk-SK"/>
        </w:rPr>
      </w:pPr>
      <w:hyperlink w:anchor="_Toc38390061" w:history="1">
        <w:r w:rsidR="002F0311" w:rsidRPr="002F0311">
          <w:rPr>
            <w:rStyle w:val="Hypertextovprepojenie"/>
            <w:rFonts w:eastAsia="Arial Narrow" w:cs="Arial Narrow"/>
            <w:noProof/>
          </w:rPr>
          <w:t>Graf 17: Napojenie obyvateľstva na verejnú kanalizáciu</w:t>
        </w:r>
        <w:r w:rsidR="002F0311" w:rsidRPr="002F0311">
          <w:rPr>
            <w:noProof/>
            <w:webHidden/>
          </w:rPr>
          <w:tab/>
        </w:r>
        <w:r w:rsidR="002F0311" w:rsidRPr="002F0311">
          <w:rPr>
            <w:noProof/>
            <w:webHidden/>
          </w:rPr>
          <w:fldChar w:fldCharType="begin"/>
        </w:r>
        <w:r w:rsidR="002F0311" w:rsidRPr="002F0311">
          <w:rPr>
            <w:noProof/>
            <w:webHidden/>
          </w:rPr>
          <w:instrText xml:space="preserve"> PAGEREF _Toc38390061 \h </w:instrText>
        </w:r>
        <w:r w:rsidR="002F0311" w:rsidRPr="002F0311">
          <w:rPr>
            <w:noProof/>
            <w:webHidden/>
          </w:rPr>
        </w:r>
        <w:r w:rsidR="002F0311" w:rsidRPr="002F0311">
          <w:rPr>
            <w:noProof/>
            <w:webHidden/>
          </w:rPr>
          <w:fldChar w:fldCharType="separate"/>
        </w:r>
        <w:r w:rsidR="002F0311" w:rsidRPr="002F0311">
          <w:rPr>
            <w:noProof/>
            <w:webHidden/>
          </w:rPr>
          <w:t>128</w:t>
        </w:r>
        <w:r w:rsidR="002F0311" w:rsidRPr="002F0311">
          <w:rPr>
            <w:noProof/>
            <w:webHidden/>
          </w:rPr>
          <w:fldChar w:fldCharType="end"/>
        </w:r>
      </w:hyperlink>
    </w:p>
    <w:p w14:paraId="0C71B47D" w14:textId="44BC8DD5" w:rsidR="002F0311" w:rsidRPr="002F0311" w:rsidRDefault="00C45DA3">
      <w:pPr>
        <w:pStyle w:val="Zoznamobrzkov"/>
        <w:tabs>
          <w:tab w:val="right" w:leader="dot" w:pos="9204"/>
        </w:tabs>
        <w:rPr>
          <w:rFonts w:asciiTheme="minorHAnsi" w:eastAsiaTheme="minorEastAsia" w:hAnsiTheme="minorHAnsi" w:cstheme="minorBidi"/>
          <w:noProof/>
          <w:lang w:eastAsia="sk-SK"/>
        </w:rPr>
      </w:pPr>
      <w:hyperlink w:anchor="_Toc38390062" w:history="1">
        <w:r w:rsidR="002F0311" w:rsidRPr="002F0311">
          <w:rPr>
            <w:rStyle w:val="Hypertextovprepojenie"/>
            <w:rFonts w:eastAsia="Arial Narrow" w:cs="Arial Narrow"/>
            <w:noProof/>
          </w:rPr>
          <w:t>Graf 18: Priemerné mesačné výsledky aukcií EUA za Slovenskú republiku</w:t>
        </w:r>
        <w:r w:rsidR="002F0311" w:rsidRPr="002F0311">
          <w:rPr>
            <w:noProof/>
            <w:webHidden/>
          </w:rPr>
          <w:tab/>
        </w:r>
        <w:r w:rsidR="002F0311" w:rsidRPr="002F0311">
          <w:rPr>
            <w:noProof/>
            <w:webHidden/>
          </w:rPr>
          <w:fldChar w:fldCharType="begin"/>
        </w:r>
        <w:r w:rsidR="002F0311" w:rsidRPr="002F0311">
          <w:rPr>
            <w:noProof/>
            <w:webHidden/>
          </w:rPr>
          <w:instrText xml:space="preserve"> PAGEREF _Toc38390062 \h </w:instrText>
        </w:r>
        <w:r w:rsidR="002F0311" w:rsidRPr="002F0311">
          <w:rPr>
            <w:noProof/>
            <w:webHidden/>
          </w:rPr>
        </w:r>
        <w:r w:rsidR="002F0311" w:rsidRPr="002F0311">
          <w:rPr>
            <w:noProof/>
            <w:webHidden/>
          </w:rPr>
          <w:fldChar w:fldCharType="separate"/>
        </w:r>
        <w:r w:rsidR="002F0311" w:rsidRPr="002F0311">
          <w:rPr>
            <w:noProof/>
            <w:webHidden/>
          </w:rPr>
          <w:t>133</w:t>
        </w:r>
        <w:r w:rsidR="002F0311" w:rsidRPr="002F0311">
          <w:rPr>
            <w:noProof/>
            <w:webHidden/>
          </w:rPr>
          <w:fldChar w:fldCharType="end"/>
        </w:r>
      </w:hyperlink>
    </w:p>
    <w:p w14:paraId="0125CE18" w14:textId="39D71534" w:rsidR="002F0311" w:rsidRPr="002F0311" w:rsidRDefault="00C45DA3">
      <w:pPr>
        <w:pStyle w:val="Zoznamobrzkov"/>
        <w:tabs>
          <w:tab w:val="right" w:leader="dot" w:pos="9204"/>
        </w:tabs>
        <w:rPr>
          <w:rFonts w:asciiTheme="minorHAnsi" w:eastAsiaTheme="minorEastAsia" w:hAnsiTheme="minorHAnsi" w:cstheme="minorBidi"/>
          <w:noProof/>
          <w:lang w:eastAsia="sk-SK"/>
        </w:rPr>
      </w:pPr>
      <w:hyperlink w:anchor="_Toc38390063" w:history="1">
        <w:r w:rsidR="002F0311" w:rsidRPr="002F0311">
          <w:rPr>
            <w:rStyle w:val="Hypertextovprepojenie"/>
            <w:noProof/>
          </w:rPr>
          <w:t>Graf 19: Prvých 5 kompetencií, v ktorých bol zaznamenaný najväčší pokrok po ukončení poradenstva</w:t>
        </w:r>
        <w:r w:rsidR="002F0311" w:rsidRPr="002F0311">
          <w:rPr>
            <w:noProof/>
            <w:webHidden/>
          </w:rPr>
          <w:tab/>
        </w:r>
        <w:r w:rsidR="002F0311" w:rsidRPr="002F0311">
          <w:rPr>
            <w:noProof/>
            <w:webHidden/>
          </w:rPr>
          <w:fldChar w:fldCharType="begin"/>
        </w:r>
        <w:r w:rsidR="002F0311" w:rsidRPr="002F0311">
          <w:rPr>
            <w:noProof/>
            <w:webHidden/>
          </w:rPr>
          <w:instrText xml:space="preserve"> PAGEREF _Toc38390063 \h </w:instrText>
        </w:r>
        <w:r w:rsidR="002F0311" w:rsidRPr="002F0311">
          <w:rPr>
            <w:noProof/>
            <w:webHidden/>
          </w:rPr>
        </w:r>
        <w:r w:rsidR="002F0311" w:rsidRPr="002F0311">
          <w:rPr>
            <w:noProof/>
            <w:webHidden/>
          </w:rPr>
          <w:fldChar w:fldCharType="separate"/>
        </w:r>
        <w:r w:rsidR="002F0311" w:rsidRPr="002F0311">
          <w:rPr>
            <w:noProof/>
            <w:webHidden/>
          </w:rPr>
          <w:t>153</w:t>
        </w:r>
        <w:r w:rsidR="002F0311" w:rsidRPr="002F0311">
          <w:rPr>
            <w:noProof/>
            <w:webHidden/>
          </w:rPr>
          <w:fldChar w:fldCharType="end"/>
        </w:r>
      </w:hyperlink>
    </w:p>
    <w:p w14:paraId="2260286A" w14:textId="6C65759F" w:rsidR="002F0311" w:rsidRPr="002F0311" w:rsidRDefault="00C45DA3">
      <w:pPr>
        <w:pStyle w:val="Zoznamobrzkov"/>
        <w:tabs>
          <w:tab w:val="right" w:leader="dot" w:pos="9204"/>
        </w:tabs>
        <w:rPr>
          <w:rFonts w:asciiTheme="minorHAnsi" w:eastAsiaTheme="minorEastAsia" w:hAnsiTheme="minorHAnsi" w:cstheme="minorBidi"/>
          <w:noProof/>
          <w:lang w:eastAsia="sk-SK"/>
        </w:rPr>
      </w:pPr>
      <w:hyperlink w:anchor="_Toc38390064" w:history="1">
        <w:r w:rsidR="002F0311" w:rsidRPr="002F0311">
          <w:rPr>
            <w:rStyle w:val="Hypertextovprepojenie"/>
            <w:noProof/>
          </w:rPr>
          <w:t>Graf 20: Pomer čistej hodnoty majetku v indexových fondoch k celkovému majetku DDS</w:t>
        </w:r>
        <w:r w:rsidR="002F0311" w:rsidRPr="002F0311">
          <w:rPr>
            <w:noProof/>
            <w:webHidden/>
          </w:rPr>
          <w:tab/>
        </w:r>
        <w:r w:rsidR="002F0311" w:rsidRPr="002F0311">
          <w:rPr>
            <w:noProof/>
            <w:webHidden/>
          </w:rPr>
          <w:fldChar w:fldCharType="begin"/>
        </w:r>
        <w:r w:rsidR="002F0311" w:rsidRPr="002F0311">
          <w:rPr>
            <w:noProof/>
            <w:webHidden/>
          </w:rPr>
          <w:instrText xml:space="preserve"> PAGEREF _Toc38390064 \h </w:instrText>
        </w:r>
        <w:r w:rsidR="002F0311" w:rsidRPr="002F0311">
          <w:rPr>
            <w:noProof/>
            <w:webHidden/>
          </w:rPr>
        </w:r>
        <w:r w:rsidR="002F0311" w:rsidRPr="002F0311">
          <w:rPr>
            <w:noProof/>
            <w:webHidden/>
          </w:rPr>
          <w:fldChar w:fldCharType="separate"/>
        </w:r>
        <w:r w:rsidR="002F0311" w:rsidRPr="002F0311">
          <w:rPr>
            <w:noProof/>
            <w:webHidden/>
          </w:rPr>
          <w:t>157</w:t>
        </w:r>
        <w:r w:rsidR="002F0311" w:rsidRPr="002F0311">
          <w:rPr>
            <w:noProof/>
            <w:webHidden/>
          </w:rPr>
          <w:fldChar w:fldCharType="end"/>
        </w:r>
      </w:hyperlink>
    </w:p>
    <w:p w14:paraId="5DFB3F1A" w14:textId="4CC60F8A" w:rsidR="002F0311" w:rsidRPr="002F0311" w:rsidRDefault="00C45DA3">
      <w:pPr>
        <w:pStyle w:val="Zoznamobrzkov"/>
        <w:tabs>
          <w:tab w:val="right" w:leader="dot" w:pos="9204"/>
        </w:tabs>
        <w:rPr>
          <w:rFonts w:asciiTheme="minorHAnsi" w:eastAsiaTheme="minorEastAsia" w:hAnsiTheme="minorHAnsi" w:cstheme="minorBidi"/>
          <w:noProof/>
          <w:lang w:eastAsia="sk-SK"/>
        </w:rPr>
      </w:pPr>
      <w:hyperlink w:anchor="_Toc38390065" w:history="1">
        <w:r w:rsidR="002F0311" w:rsidRPr="002F0311">
          <w:rPr>
            <w:rStyle w:val="Hypertextovprepojenie"/>
            <w:noProof/>
          </w:rPr>
          <w:t>Graf 21: Podiel prestupujúcich sporiteľov na celkovom počte (II. pilier)</w:t>
        </w:r>
        <w:r w:rsidR="002F0311" w:rsidRPr="002F0311">
          <w:rPr>
            <w:noProof/>
            <w:webHidden/>
          </w:rPr>
          <w:tab/>
        </w:r>
        <w:r w:rsidR="002F0311" w:rsidRPr="002F0311">
          <w:rPr>
            <w:noProof/>
            <w:webHidden/>
          </w:rPr>
          <w:fldChar w:fldCharType="begin"/>
        </w:r>
        <w:r w:rsidR="002F0311" w:rsidRPr="002F0311">
          <w:rPr>
            <w:noProof/>
            <w:webHidden/>
          </w:rPr>
          <w:instrText xml:space="preserve"> PAGEREF _Toc38390065 \h </w:instrText>
        </w:r>
        <w:r w:rsidR="002F0311" w:rsidRPr="002F0311">
          <w:rPr>
            <w:noProof/>
            <w:webHidden/>
          </w:rPr>
        </w:r>
        <w:r w:rsidR="002F0311" w:rsidRPr="002F0311">
          <w:rPr>
            <w:noProof/>
            <w:webHidden/>
          </w:rPr>
          <w:fldChar w:fldCharType="separate"/>
        </w:r>
        <w:r w:rsidR="002F0311" w:rsidRPr="002F0311">
          <w:rPr>
            <w:noProof/>
            <w:webHidden/>
          </w:rPr>
          <w:t>158</w:t>
        </w:r>
        <w:r w:rsidR="002F0311" w:rsidRPr="002F0311">
          <w:rPr>
            <w:noProof/>
            <w:webHidden/>
          </w:rPr>
          <w:fldChar w:fldCharType="end"/>
        </w:r>
      </w:hyperlink>
    </w:p>
    <w:p w14:paraId="0AB0B090" w14:textId="59FBD525" w:rsidR="002F0311" w:rsidRPr="002F0311" w:rsidRDefault="00C45DA3">
      <w:pPr>
        <w:pStyle w:val="Zoznamobrzkov"/>
        <w:tabs>
          <w:tab w:val="right" w:leader="dot" w:pos="9204"/>
        </w:tabs>
        <w:rPr>
          <w:rFonts w:asciiTheme="minorHAnsi" w:eastAsiaTheme="minorEastAsia" w:hAnsiTheme="minorHAnsi" w:cstheme="minorBidi"/>
          <w:noProof/>
          <w:lang w:eastAsia="sk-SK"/>
        </w:rPr>
      </w:pPr>
      <w:hyperlink w:anchor="_Toc38390066" w:history="1">
        <w:r w:rsidR="002F0311" w:rsidRPr="002F0311">
          <w:rPr>
            <w:rStyle w:val="Hypertextovprepojenie"/>
            <w:noProof/>
          </w:rPr>
          <w:t>Graf 22: Podiel prestupujúcich sporiteľov na celkovom počte (III. pilier)</w:t>
        </w:r>
        <w:r w:rsidR="002F0311" w:rsidRPr="002F0311">
          <w:rPr>
            <w:noProof/>
            <w:webHidden/>
          </w:rPr>
          <w:tab/>
        </w:r>
        <w:r w:rsidR="002F0311" w:rsidRPr="002F0311">
          <w:rPr>
            <w:noProof/>
            <w:webHidden/>
          </w:rPr>
          <w:fldChar w:fldCharType="begin"/>
        </w:r>
        <w:r w:rsidR="002F0311" w:rsidRPr="002F0311">
          <w:rPr>
            <w:noProof/>
            <w:webHidden/>
          </w:rPr>
          <w:instrText xml:space="preserve"> PAGEREF _Toc38390066 \h </w:instrText>
        </w:r>
        <w:r w:rsidR="002F0311" w:rsidRPr="002F0311">
          <w:rPr>
            <w:noProof/>
            <w:webHidden/>
          </w:rPr>
        </w:r>
        <w:r w:rsidR="002F0311" w:rsidRPr="002F0311">
          <w:rPr>
            <w:noProof/>
            <w:webHidden/>
          </w:rPr>
          <w:fldChar w:fldCharType="separate"/>
        </w:r>
        <w:r w:rsidR="002F0311" w:rsidRPr="002F0311">
          <w:rPr>
            <w:noProof/>
            <w:webHidden/>
          </w:rPr>
          <w:t>159</w:t>
        </w:r>
        <w:r w:rsidR="002F0311" w:rsidRPr="002F0311">
          <w:rPr>
            <w:noProof/>
            <w:webHidden/>
          </w:rPr>
          <w:fldChar w:fldCharType="end"/>
        </w:r>
      </w:hyperlink>
    </w:p>
    <w:p w14:paraId="37723385" w14:textId="3949FED9" w:rsidR="002F0311" w:rsidRPr="002F0311" w:rsidRDefault="00C45DA3">
      <w:pPr>
        <w:pStyle w:val="Zoznamobrzkov"/>
        <w:tabs>
          <w:tab w:val="right" w:leader="dot" w:pos="9204"/>
        </w:tabs>
        <w:rPr>
          <w:rFonts w:asciiTheme="minorHAnsi" w:eastAsiaTheme="minorEastAsia" w:hAnsiTheme="minorHAnsi" w:cstheme="minorBidi"/>
          <w:noProof/>
          <w:lang w:eastAsia="sk-SK"/>
        </w:rPr>
      </w:pPr>
      <w:hyperlink w:anchor="_Toc38390067" w:history="1">
        <w:r w:rsidR="002F0311" w:rsidRPr="002F0311">
          <w:rPr>
            <w:rStyle w:val="Hypertextovprepojenie"/>
            <w:noProof/>
          </w:rPr>
          <w:t>Graf 23: Výdavky PPA na služby (v mil. eur)</w:t>
        </w:r>
        <w:r w:rsidR="002F0311" w:rsidRPr="002F0311">
          <w:rPr>
            <w:noProof/>
            <w:webHidden/>
          </w:rPr>
          <w:tab/>
        </w:r>
        <w:r w:rsidR="002F0311" w:rsidRPr="002F0311">
          <w:rPr>
            <w:noProof/>
            <w:webHidden/>
          </w:rPr>
          <w:fldChar w:fldCharType="begin"/>
        </w:r>
        <w:r w:rsidR="002F0311" w:rsidRPr="002F0311">
          <w:rPr>
            <w:noProof/>
            <w:webHidden/>
          </w:rPr>
          <w:instrText xml:space="preserve"> PAGEREF _Toc38390067 \h </w:instrText>
        </w:r>
        <w:r w:rsidR="002F0311" w:rsidRPr="002F0311">
          <w:rPr>
            <w:noProof/>
            <w:webHidden/>
          </w:rPr>
        </w:r>
        <w:r w:rsidR="002F0311" w:rsidRPr="002F0311">
          <w:rPr>
            <w:noProof/>
            <w:webHidden/>
          </w:rPr>
          <w:fldChar w:fldCharType="separate"/>
        </w:r>
        <w:r w:rsidR="002F0311" w:rsidRPr="002F0311">
          <w:rPr>
            <w:noProof/>
            <w:webHidden/>
          </w:rPr>
          <w:t>185</w:t>
        </w:r>
        <w:r w:rsidR="002F0311" w:rsidRPr="002F0311">
          <w:rPr>
            <w:noProof/>
            <w:webHidden/>
          </w:rPr>
          <w:fldChar w:fldCharType="end"/>
        </w:r>
      </w:hyperlink>
    </w:p>
    <w:p w14:paraId="332F396D" w14:textId="39A9B24F" w:rsidR="002F0311" w:rsidRPr="002F0311" w:rsidRDefault="00C45DA3">
      <w:pPr>
        <w:pStyle w:val="Zoznamobrzkov"/>
        <w:tabs>
          <w:tab w:val="right" w:leader="dot" w:pos="9204"/>
        </w:tabs>
        <w:rPr>
          <w:rFonts w:asciiTheme="minorHAnsi" w:eastAsiaTheme="minorEastAsia" w:hAnsiTheme="minorHAnsi" w:cstheme="minorBidi"/>
          <w:noProof/>
          <w:lang w:eastAsia="sk-SK"/>
        </w:rPr>
      </w:pPr>
      <w:hyperlink w:anchor="_Toc38390068" w:history="1">
        <w:r w:rsidR="002F0311" w:rsidRPr="002F0311">
          <w:rPr>
            <w:rStyle w:val="Hypertextovprepojenie"/>
            <w:noProof/>
          </w:rPr>
          <w:t>Graf 24: Výdavky ŠVPS a ÚRZ (v mil. eur)</w:t>
        </w:r>
        <w:r w:rsidR="002F0311" w:rsidRPr="002F0311">
          <w:rPr>
            <w:noProof/>
            <w:webHidden/>
          </w:rPr>
          <w:tab/>
        </w:r>
        <w:r w:rsidR="002F0311" w:rsidRPr="002F0311">
          <w:rPr>
            <w:noProof/>
            <w:webHidden/>
          </w:rPr>
          <w:fldChar w:fldCharType="begin"/>
        </w:r>
        <w:r w:rsidR="002F0311" w:rsidRPr="002F0311">
          <w:rPr>
            <w:noProof/>
            <w:webHidden/>
          </w:rPr>
          <w:instrText xml:space="preserve"> PAGEREF _Toc38390068 \h </w:instrText>
        </w:r>
        <w:r w:rsidR="002F0311" w:rsidRPr="002F0311">
          <w:rPr>
            <w:noProof/>
            <w:webHidden/>
          </w:rPr>
        </w:r>
        <w:r w:rsidR="002F0311" w:rsidRPr="002F0311">
          <w:rPr>
            <w:noProof/>
            <w:webHidden/>
          </w:rPr>
          <w:fldChar w:fldCharType="separate"/>
        </w:r>
        <w:r w:rsidR="002F0311" w:rsidRPr="002F0311">
          <w:rPr>
            <w:noProof/>
            <w:webHidden/>
          </w:rPr>
          <w:t>186</w:t>
        </w:r>
        <w:r w:rsidR="002F0311" w:rsidRPr="002F0311">
          <w:rPr>
            <w:noProof/>
            <w:webHidden/>
          </w:rPr>
          <w:fldChar w:fldCharType="end"/>
        </w:r>
      </w:hyperlink>
    </w:p>
    <w:p w14:paraId="5C8A9E23" w14:textId="41AEF306" w:rsidR="00A83A1F" w:rsidRPr="00666914" w:rsidRDefault="00A83A1F" w:rsidP="00A83A1F">
      <w:pPr>
        <w:spacing w:after="240"/>
      </w:pPr>
      <w:r w:rsidRPr="002F0311">
        <w:fldChar w:fldCharType="end"/>
      </w:r>
    </w:p>
    <w:p w14:paraId="4B1D06CF" w14:textId="77777777" w:rsidR="00A232BD" w:rsidRPr="00666914" w:rsidRDefault="00A232BD" w:rsidP="00A232BD">
      <w:pPr>
        <w:pStyle w:val="Nadpis1"/>
        <w:numPr>
          <w:ilvl w:val="0"/>
          <w:numId w:val="0"/>
        </w:numPr>
        <w:ind w:left="720"/>
      </w:pPr>
      <w:bookmarkStart w:id="429" w:name="_Toc38447634"/>
      <w:r w:rsidRPr="00666914">
        <w:t>Zoznam obrázkov</w:t>
      </w:r>
      <w:bookmarkEnd w:id="428"/>
      <w:bookmarkEnd w:id="429"/>
    </w:p>
    <w:p w14:paraId="14AA350B" w14:textId="121DFFE2" w:rsidR="002F0311" w:rsidRPr="002F0311" w:rsidRDefault="00A232BD">
      <w:pPr>
        <w:pStyle w:val="Zoznamobrzkov"/>
        <w:tabs>
          <w:tab w:val="right" w:leader="dot" w:pos="9204"/>
        </w:tabs>
        <w:rPr>
          <w:rFonts w:asciiTheme="minorHAnsi" w:eastAsiaTheme="minorEastAsia" w:hAnsiTheme="minorHAnsi" w:cstheme="minorBidi"/>
          <w:noProof/>
          <w:lang w:eastAsia="sk-SK"/>
        </w:rPr>
      </w:pPr>
      <w:r w:rsidRPr="002F0311">
        <w:fldChar w:fldCharType="begin"/>
      </w:r>
      <w:r w:rsidRPr="002F0311">
        <w:instrText xml:space="preserve"> TOC \h \z \c "Obrázok" </w:instrText>
      </w:r>
      <w:r w:rsidRPr="002F0311">
        <w:fldChar w:fldCharType="separate"/>
      </w:r>
      <w:hyperlink w:anchor="_Toc38390069" w:history="1">
        <w:r w:rsidR="002F0311" w:rsidRPr="002F0311">
          <w:rPr>
            <w:rStyle w:val="Hypertextovprepojenie"/>
            <w:rFonts w:eastAsia="Arial Narrow" w:cs="Arial Narrow"/>
            <w:noProof/>
          </w:rPr>
          <w:t>Obrázok 1: Harmonogram ukončenia ťažby a uzatvárania ťažobných polí baní Handlová a Nováky</w:t>
        </w:r>
        <w:r w:rsidR="002F0311" w:rsidRPr="002F0311">
          <w:rPr>
            <w:noProof/>
            <w:webHidden/>
          </w:rPr>
          <w:tab/>
        </w:r>
        <w:r w:rsidR="002F0311" w:rsidRPr="002F0311">
          <w:rPr>
            <w:noProof/>
            <w:webHidden/>
          </w:rPr>
          <w:fldChar w:fldCharType="begin"/>
        </w:r>
        <w:r w:rsidR="002F0311" w:rsidRPr="002F0311">
          <w:rPr>
            <w:noProof/>
            <w:webHidden/>
          </w:rPr>
          <w:instrText xml:space="preserve"> PAGEREF _Toc38390069 \h </w:instrText>
        </w:r>
        <w:r w:rsidR="002F0311" w:rsidRPr="002F0311">
          <w:rPr>
            <w:noProof/>
            <w:webHidden/>
          </w:rPr>
        </w:r>
        <w:r w:rsidR="002F0311" w:rsidRPr="002F0311">
          <w:rPr>
            <w:noProof/>
            <w:webHidden/>
          </w:rPr>
          <w:fldChar w:fldCharType="separate"/>
        </w:r>
        <w:r w:rsidR="002F0311" w:rsidRPr="002F0311">
          <w:rPr>
            <w:noProof/>
            <w:webHidden/>
          </w:rPr>
          <w:t>126</w:t>
        </w:r>
        <w:r w:rsidR="002F0311" w:rsidRPr="002F0311">
          <w:rPr>
            <w:noProof/>
            <w:webHidden/>
          </w:rPr>
          <w:fldChar w:fldCharType="end"/>
        </w:r>
      </w:hyperlink>
    </w:p>
    <w:p w14:paraId="60C1ACFA" w14:textId="3B89E7B0" w:rsidR="002F0311" w:rsidRPr="002F0311" w:rsidRDefault="00C45DA3">
      <w:pPr>
        <w:pStyle w:val="Zoznamobrzkov"/>
        <w:tabs>
          <w:tab w:val="right" w:leader="dot" w:pos="9204"/>
        </w:tabs>
        <w:rPr>
          <w:rFonts w:asciiTheme="minorHAnsi" w:eastAsiaTheme="minorEastAsia" w:hAnsiTheme="minorHAnsi" w:cstheme="minorBidi"/>
          <w:noProof/>
          <w:lang w:eastAsia="sk-SK"/>
        </w:rPr>
      </w:pPr>
      <w:hyperlink w:anchor="_Toc38390070" w:history="1">
        <w:r w:rsidR="002F0311" w:rsidRPr="002F0311">
          <w:rPr>
            <w:rStyle w:val="Hypertextovprepojenie"/>
            <w:rFonts w:eastAsia="Arial Narrow" w:cs="Arial Narrow"/>
            <w:noProof/>
          </w:rPr>
          <w:t>Obrázok 2: Podporené okresy dotáciami z EF v období od 2017-2019</w:t>
        </w:r>
        <w:r w:rsidR="002F0311" w:rsidRPr="002F0311">
          <w:rPr>
            <w:noProof/>
            <w:webHidden/>
          </w:rPr>
          <w:tab/>
        </w:r>
        <w:r w:rsidR="002F0311" w:rsidRPr="002F0311">
          <w:rPr>
            <w:noProof/>
            <w:webHidden/>
          </w:rPr>
          <w:fldChar w:fldCharType="begin"/>
        </w:r>
        <w:r w:rsidR="002F0311" w:rsidRPr="002F0311">
          <w:rPr>
            <w:noProof/>
            <w:webHidden/>
          </w:rPr>
          <w:instrText xml:space="preserve"> PAGEREF _Toc38390070 \h </w:instrText>
        </w:r>
        <w:r w:rsidR="002F0311" w:rsidRPr="002F0311">
          <w:rPr>
            <w:noProof/>
            <w:webHidden/>
          </w:rPr>
        </w:r>
        <w:r w:rsidR="002F0311" w:rsidRPr="002F0311">
          <w:rPr>
            <w:noProof/>
            <w:webHidden/>
          </w:rPr>
          <w:fldChar w:fldCharType="separate"/>
        </w:r>
        <w:r w:rsidR="002F0311" w:rsidRPr="002F0311">
          <w:rPr>
            <w:noProof/>
            <w:webHidden/>
          </w:rPr>
          <w:t>129</w:t>
        </w:r>
        <w:r w:rsidR="002F0311" w:rsidRPr="002F0311">
          <w:rPr>
            <w:noProof/>
            <w:webHidden/>
          </w:rPr>
          <w:fldChar w:fldCharType="end"/>
        </w:r>
      </w:hyperlink>
    </w:p>
    <w:p w14:paraId="0115E5B1" w14:textId="5697CAA1" w:rsidR="002F0311" w:rsidRPr="002F0311" w:rsidRDefault="00C45DA3">
      <w:pPr>
        <w:pStyle w:val="Zoznamobrzkov"/>
        <w:tabs>
          <w:tab w:val="right" w:leader="dot" w:pos="9204"/>
        </w:tabs>
        <w:rPr>
          <w:rFonts w:asciiTheme="minorHAnsi" w:eastAsiaTheme="minorEastAsia" w:hAnsiTheme="minorHAnsi" w:cstheme="minorBidi"/>
          <w:noProof/>
          <w:lang w:eastAsia="sk-SK"/>
        </w:rPr>
      </w:pPr>
      <w:hyperlink w:anchor="_Toc38390071" w:history="1">
        <w:r w:rsidR="002F0311" w:rsidRPr="002F0311">
          <w:rPr>
            <w:rStyle w:val="Hypertextovprepojenie"/>
            <w:noProof/>
          </w:rPr>
          <w:t>Obrázok 3: OVN v k. ú. SR v roku 2018 (v eur/ha)</w:t>
        </w:r>
        <w:r w:rsidR="002F0311" w:rsidRPr="002F0311">
          <w:rPr>
            <w:noProof/>
            <w:webHidden/>
          </w:rPr>
          <w:tab/>
        </w:r>
        <w:r w:rsidR="002F0311" w:rsidRPr="002F0311">
          <w:rPr>
            <w:noProof/>
            <w:webHidden/>
          </w:rPr>
          <w:fldChar w:fldCharType="begin"/>
        </w:r>
        <w:r w:rsidR="002F0311" w:rsidRPr="002F0311">
          <w:rPr>
            <w:noProof/>
            <w:webHidden/>
          </w:rPr>
          <w:instrText xml:space="preserve"> PAGEREF _Toc38390071 \h </w:instrText>
        </w:r>
        <w:r w:rsidR="002F0311" w:rsidRPr="002F0311">
          <w:rPr>
            <w:noProof/>
            <w:webHidden/>
          </w:rPr>
        </w:r>
        <w:r w:rsidR="002F0311" w:rsidRPr="002F0311">
          <w:rPr>
            <w:noProof/>
            <w:webHidden/>
          </w:rPr>
          <w:fldChar w:fldCharType="separate"/>
        </w:r>
        <w:r w:rsidR="002F0311" w:rsidRPr="002F0311">
          <w:rPr>
            <w:noProof/>
            <w:webHidden/>
          </w:rPr>
          <w:t>179</w:t>
        </w:r>
        <w:r w:rsidR="002F0311" w:rsidRPr="002F0311">
          <w:rPr>
            <w:noProof/>
            <w:webHidden/>
          </w:rPr>
          <w:fldChar w:fldCharType="end"/>
        </w:r>
      </w:hyperlink>
    </w:p>
    <w:p w14:paraId="339B0EEA" w14:textId="52795B23" w:rsidR="00A232BD" w:rsidRPr="00666914" w:rsidRDefault="00A232BD" w:rsidP="00A232BD">
      <w:r w:rsidRPr="002F0311">
        <w:fldChar w:fldCharType="end"/>
      </w:r>
    </w:p>
    <w:p w14:paraId="5E97E712" w14:textId="77777777" w:rsidR="00A232BD" w:rsidRPr="00666914" w:rsidRDefault="00A232BD" w:rsidP="00A232BD">
      <w:pPr>
        <w:pStyle w:val="Nadpis1"/>
        <w:numPr>
          <w:ilvl w:val="0"/>
          <w:numId w:val="0"/>
        </w:numPr>
        <w:ind w:left="720"/>
      </w:pPr>
      <w:bookmarkStart w:id="430" w:name="_Toc36778430"/>
      <w:bookmarkStart w:id="431" w:name="_Toc38447635"/>
      <w:r w:rsidRPr="00666914">
        <w:t>Zoznam boxov</w:t>
      </w:r>
      <w:bookmarkEnd w:id="430"/>
      <w:bookmarkEnd w:id="431"/>
    </w:p>
    <w:p w14:paraId="24F3570F" w14:textId="221D2B7E" w:rsidR="002F0311" w:rsidRDefault="00C35224">
      <w:pPr>
        <w:pStyle w:val="Zoznamobrzkov"/>
        <w:tabs>
          <w:tab w:val="right" w:leader="dot" w:pos="9204"/>
        </w:tabs>
        <w:rPr>
          <w:rFonts w:asciiTheme="minorHAnsi" w:eastAsiaTheme="minorEastAsia" w:hAnsiTheme="minorHAnsi" w:cstheme="minorBidi"/>
          <w:noProof/>
          <w:lang w:eastAsia="sk-SK"/>
        </w:rPr>
      </w:pPr>
      <w:r w:rsidRPr="00666914">
        <w:fldChar w:fldCharType="begin"/>
      </w:r>
      <w:r w:rsidRPr="00666914">
        <w:instrText xml:space="preserve"> TOC \h \z \c "Box" </w:instrText>
      </w:r>
      <w:r w:rsidRPr="00666914">
        <w:fldChar w:fldCharType="separate"/>
      </w:r>
      <w:hyperlink w:anchor="_Toc38390075" w:history="1">
        <w:r w:rsidR="002F0311" w:rsidRPr="00C748D1">
          <w:rPr>
            <w:rStyle w:val="Hypertextovprepojenie"/>
            <w:noProof/>
          </w:rPr>
          <w:t>Box 1: Projekt NÚCEM - zavedenie externých overovacích testovaní</w:t>
        </w:r>
        <w:r w:rsidR="002F0311">
          <w:rPr>
            <w:noProof/>
            <w:webHidden/>
          </w:rPr>
          <w:tab/>
        </w:r>
        <w:r w:rsidR="002F0311">
          <w:rPr>
            <w:noProof/>
            <w:webHidden/>
          </w:rPr>
          <w:fldChar w:fldCharType="begin"/>
        </w:r>
        <w:r w:rsidR="002F0311">
          <w:rPr>
            <w:noProof/>
            <w:webHidden/>
          </w:rPr>
          <w:instrText xml:space="preserve"> PAGEREF _Toc38390075 \h </w:instrText>
        </w:r>
        <w:r w:rsidR="002F0311">
          <w:rPr>
            <w:noProof/>
            <w:webHidden/>
          </w:rPr>
        </w:r>
        <w:r w:rsidR="002F0311">
          <w:rPr>
            <w:noProof/>
            <w:webHidden/>
          </w:rPr>
          <w:fldChar w:fldCharType="separate"/>
        </w:r>
        <w:r w:rsidR="002F0311">
          <w:rPr>
            <w:noProof/>
            <w:webHidden/>
          </w:rPr>
          <w:t>100</w:t>
        </w:r>
        <w:r w:rsidR="002F0311">
          <w:rPr>
            <w:noProof/>
            <w:webHidden/>
          </w:rPr>
          <w:fldChar w:fldCharType="end"/>
        </w:r>
      </w:hyperlink>
    </w:p>
    <w:p w14:paraId="265FAAD9" w14:textId="74A29C02" w:rsidR="002F0311" w:rsidRDefault="00C45DA3">
      <w:pPr>
        <w:pStyle w:val="Zoznamobrzkov"/>
        <w:tabs>
          <w:tab w:val="right" w:leader="dot" w:pos="9204"/>
        </w:tabs>
        <w:rPr>
          <w:rFonts w:asciiTheme="minorHAnsi" w:eastAsiaTheme="minorEastAsia" w:hAnsiTheme="minorHAnsi" w:cstheme="minorBidi"/>
          <w:noProof/>
          <w:lang w:eastAsia="sk-SK"/>
        </w:rPr>
      </w:pPr>
      <w:hyperlink w:anchor="_Toc38390076" w:history="1">
        <w:r w:rsidR="002F0311" w:rsidRPr="00C748D1">
          <w:rPr>
            <w:rStyle w:val="Hypertextovprepojenie"/>
            <w:noProof/>
          </w:rPr>
          <w:t>Box 2: Projekt Stopa absolventa</w:t>
        </w:r>
        <w:r w:rsidR="002F0311">
          <w:rPr>
            <w:noProof/>
            <w:webHidden/>
          </w:rPr>
          <w:tab/>
        </w:r>
        <w:r w:rsidR="002F0311">
          <w:rPr>
            <w:noProof/>
            <w:webHidden/>
          </w:rPr>
          <w:fldChar w:fldCharType="begin"/>
        </w:r>
        <w:r w:rsidR="002F0311">
          <w:rPr>
            <w:noProof/>
            <w:webHidden/>
          </w:rPr>
          <w:instrText xml:space="preserve"> PAGEREF _Toc38390076 \h </w:instrText>
        </w:r>
        <w:r w:rsidR="002F0311">
          <w:rPr>
            <w:noProof/>
            <w:webHidden/>
          </w:rPr>
        </w:r>
        <w:r w:rsidR="002F0311">
          <w:rPr>
            <w:noProof/>
            <w:webHidden/>
          </w:rPr>
          <w:fldChar w:fldCharType="separate"/>
        </w:r>
        <w:r w:rsidR="002F0311">
          <w:rPr>
            <w:noProof/>
            <w:webHidden/>
          </w:rPr>
          <w:t>112</w:t>
        </w:r>
        <w:r w:rsidR="002F0311">
          <w:rPr>
            <w:noProof/>
            <w:webHidden/>
          </w:rPr>
          <w:fldChar w:fldCharType="end"/>
        </w:r>
      </w:hyperlink>
    </w:p>
    <w:p w14:paraId="3F2A1CDA" w14:textId="6D906AE7" w:rsidR="002F0311" w:rsidRDefault="00C45DA3">
      <w:pPr>
        <w:pStyle w:val="Zoznamobrzkov"/>
        <w:tabs>
          <w:tab w:val="right" w:leader="dot" w:pos="9204"/>
        </w:tabs>
        <w:rPr>
          <w:rFonts w:asciiTheme="minorHAnsi" w:eastAsiaTheme="minorEastAsia" w:hAnsiTheme="minorHAnsi" w:cstheme="minorBidi"/>
          <w:noProof/>
          <w:lang w:eastAsia="sk-SK"/>
        </w:rPr>
      </w:pPr>
      <w:hyperlink w:anchor="_Toc38390077" w:history="1">
        <w:r w:rsidR="002F0311" w:rsidRPr="00C748D1">
          <w:rPr>
            <w:rStyle w:val="Hypertextovprepojenie"/>
            <w:noProof/>
          </w:rPr>
          <w:t>Box 3: Projekt Oranžová obálka</w:t>
        </w:r>
        <w:r w:rsidR="002F0311">
          <w:rPr>
            <w:noProof/>
            <w:webHidden/>
          </w:rPr>
          <w:tab/>
        </w:r>
        <w:r w:rsidR="002F0311">
          <w:rPr>
            <w:noProof/>
            <w:webHidden/>
          </w:rPr>
          <w:fldChar w:fldCharType="begin"/>
        </w:r>
        <w:r w:rsidR="002F0311">
          <w:rPr>
            <w:noProof/>
            <w:webHidden/>
          </w:rPr>
          <w:instrText xml:space="preserve"> PAGEREF _Toc38390077 \h </w:instrText>
        </w:r>
        <w:r w:rsidR="002F0311">
          <w:rPr>
            <w:noProof/>
            <w:webHidden/>
          </w:rPr>
        </w:r>
        <w:r w:rsidR="002F0311">
          <w:rPr>
            <w:noProof/>
            <w:webHidden/>
          </w:rPr>
          <w:fldChar w:fldCharType="separate"/>
        </w:r>
        <w:r w:rsidR="002F0311">
          <w:rPr>
            <w:noProof/>
            <w:webHidden/>
          </w:rPr>
          <w:t>161</w:t>
        </w:r>
        <w:r w:rsidR="002F0311">
          <w:rPr>
            <w:noProof/>
            <w:webHidden/>
          </w:rPr>
          <w:fldChar w:fldCharType="end"/>
        </w:r>
      </w:hyperlink>
    </w:p>
    <w:p w14:paraId="1A728ED7" w14:textId="541E2EB9" w:rsidR="00A232BD" w:rsidRPr="00666914" w:rsidRDefault="00C35224">
      <w:pPr>
        <w:spacing w:after="0"/>
        <w:jc w:val="left"/>
        <w:rPr>
          <w:rFonts w:eastAsia="Times New Roman"/>
          <w:color w:val="2E74B5"/>
          <w:sz w:val="32"/>
          <w:szCs w:val="32"/>
        </w:rPr>
      </w:pPr>
      <w:r w:rsidRPr="00666914">
        <w:fldChar w:fldCharType="end"/>
      </w:r>
    </w:p>
    <w:sectPr w:rsidR="00A232BD" w:rsidRPr="00666914" w:rsidSect="003C3BBF">
      <w:footerReference w:type="default" r:id="rId72"/>
      <w:type w:val="continuous"/>
      <w:pgSz w:w="11906" w:h="16838"/>
      <w:pgMar w:top="1440" w:right="1274" w:bottom="1440"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2FBB5C" w14:textId="77777777" w:rsidR="006C0687" w:rsidRDefault="006C0687" w:rsidP="0040200F">
      <w:pPr>
        <w:spacing w:after="0"/>
      </w:pPr>
      <w:r>
        <w:separator/>
      </w:r>
    </w:p>
  </w:endnote>
  <w:endnote w:type="continuationSeparator" w:id="0">
    <w:p w14:paraId="5CC600E2" w14:textId="77777777" w:rsidR="006C0687" w:rsidRDefault="006C0687" w:rsidP="004020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Noto Sans Symbols">
    <w:altName w:val="Times New Roman"/>
    <w:charset w:val="00"/>
    <w:family w:val="auto"/>
    <w:pitch w:val="default"/>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Narrow-Bold">
    <w:altName w:val="Arial"/>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7713341"/>
      <w:docPartObj>
        <w:docPartGallery w:val="Page Numbers (Bottom of Page)"/>
        <w:docPartUnique/>
      </w:docPartObj>
    </w:sdtPr>
    <w:sdtEndPr/>
    <w:sdtContent>
      <w:p w14:paraId="0A8CD810" w14:textId="658288D5" w:rsidR="006C0687" w:rsidRDefault="006C0687">
        <w:pPr>
          <w:pStyle w:val="Pta"/>
          <w:jc w:val="center"/>
        </w:pPr>
        <w:r>
          <w:fldChar w:fldCharType="begin"/>
        </w:r>
        <w:r>
          <w:instrText>PAGE   \* MERGEFORMAT</w:instrText>
        </w:r>
        <w:r>
          <w:fldChar w:fldCharType="separate"/>
        </w:r>
        <w:r w:rsidR="00C45DA3">
          <w:rPr>
            <w:noProof/>
          </w:rPr>
          <w:t>21</w:t>
        </w:r>
        <w:r>
          <w:fldChar w:fldCharType="end"/>
        </w:r>
      </w:p>
    </w:sdtContent>
  </w:sdt>
  <w:p w14:paraId="5849A658" w14:textId="77777777" w:rsidR="006C0687" w:rsidRDefault="006C0687">
    <w:pPr>
      <w:pStyle w:val="Pta"/>
    </w:pPr>
  </w:p>
  <w:p w14:paraId="1C7F5137" w14:textId="77777777" w:rsidR="006C0687" w:rsidRDefault="006C068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2E9D8" w14:textId="400771B6" w:rsidR="006C0687" w:rsidRDefault="006C0687" w:rsidP="000E54C9">
    <w:pPr>
      <w:pStyle w:val="Pta"/>
      <w:jc w:val="center"/>
    </w:pPr>
    <w:r>
      <w:fldChar w:fldCharType="begin"/>
    </w:r>
    <w:r>
      <w:instrText>PAGE   \* MERGEFORMAT</w:instrText>
    </w:r>
    <w:r>
      <w:fldChar w:fldCharType="separate"/>
    </w:r>
    <w:r w:rsidR="00C45DA3">
      <w:rPr>
        <w:noProof/>
      </w:rPr>
      <w:t>201</w:t>
    </w:r>
    <w:r>
      <w:fldChar w:fldCharType="end"/>
    </w:r>
  </w:p>
  <w:p w14:paraId="0501DB4A" w14:textId="77777777" w:rsidR="006C0687" w:rsidRDefault="006C0687">
    <w:pPr>
      <w:pStyle w:val="Pta"/>
    </w:pPr>
  </w:p>
  <w:p w14:paraId="334654DD" w14:textId="77777777" w:rsidR="006C0687" w:rsidRDefault="006C068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C453C6" w14:textId="77777777" w:rsidR="006C0687" w:rsidRDefault="006C0687" w:rsidP="0040200F">
      <w:pPr>
        <w:spacing w:after="0"/>
      </w:pPr>
      <w:r>
        <w:separator/>
      </w:r>
    </w:p>
  </w:footnote>
  <w:footnote w:type="continuationSeparator" w:id="0">
    <w:p w14:paraId="0136EE33" w14:textId="77777777" w:rsidR="006C0687" w:rsidRDefault="006C0687" w:rsidP="0040200F">
      <w:pPr>
        <w:spacing w:after="0"/>
      </w:pPr>
      <w:r>
        <w:continuationSeparator/>
      </w:r>
    </w:p>
  </w:footnote>
  <w:footnote w:id="1">
    <w:p w14:paraId="3B1DF30F" w14:textId="77777777" w:rsidR="006C0687" w:rsidRPr="00B441DB" w:rsidRDefault="006C0687">
      <w:pPr>
        <w:pStyle w:val="Textpoznmkypodiarou"/>
        <w:rPr>
          <w:sz w:val="18"/>
          <w:szCs w:val="18"/>
        </w:rPr>
      </w:pPr>
      <w:r w:rsidRPr="00501089">
        <w:rPr>
          <w:rStyle w:val="Odkaznapoznmkupodiarou"/>
          <w:sz w:val="18"/>
          <w:szCs w:val="18"/>
        </w:rPr>
        <w:footnoteRef/>
      </w:r>
      <w:r w:rsidRPr="00501089">
        <w:rPr>
          <w:sz w:val="18"/>
          <w:szCs w:val="18"/>
        </w:rPr>
        <w:t xml:space="preserve"> Zdravotníctvo, informatizácia, doprava, vzdelávanie, životné prostredie, trh práce a sociálne politiky, pôdohospodárstvo a rozvoj vidieka. V prípade revízie výdavkov na pôdohospodárstvo a rozvoj vidieka bolo hodnotených</w:t>
      </w:r>
      <w:r>
        <w:rPr>
          <w:sz w:val="18"/>
          <w:szCs w:val="18"/>
        </w:rPr>
        <w:t xml:space="preserve"> </w:t>
      </w:r>
      <w:r w:rsidRPr="00B441DB">
        <w:rPr>
          <w:sz w:val="18"/>
          <w:szCs w:val="18"/>
        </w:rPr>
        <w:t>16 opatrení realizovaných v roku 2019</w:t>
      </w:r>
      <w:r>
        <w:rPr>
          <w:sz w:val="18"/>
          <w:szCs w:val="18"/>
        </w:rPr>
        <w:t>.</w:t>
      </w:r>
    </w:p>
  </w:footnote>
  <w:footnote w:id="2">
    <w:p w14:paraId="07025FC4" w14:textId="77777777" w:rsidR="006C0687" w:rsidRPr="00CD39CC" w:rsidRDefault="006C0687" w:rsidP="00B636FD">
      <w:pPr>
        <w:pStyle w:val="Textpoznmkypodiarou"/>
        <w:rPr>
          <w:sz w:val="18"/>
          <w:szCs w:val="18"/>
        </w:rPr>
      </w:pPr>
      <w:r w:rsidRPr="00CD39CC">
        <w:rPr>
          <w:rStyle w:val="Odkaznapoznmkupodiarou"/>
          <w:sz w:val="18"/>
          <w:szCs w:val="18"/>
        </w:rPr>
        <w:footnoteRef/>
      </w:r>
      <w:r w:rsidRPr="00CD39CC">
        <w:rPr>
          <w:sz w:val="18"/>
          <w:szCs w:val="18"/>
        </w:rPr>
        <w:t xml:space="preserve"> V  IT je to suma 1,3 mld. eur (zdroj revízia II), v  doprav</w:t>
      </w:r>
      <w:r>
        <w:rPr>
          <w:sz w:val="18"/>
          <w:szCs w:val="18"/>
        </w:rPr>
        <w:t>e</w:t>
      </w:r>
      <w:r w:rsidRPr="00CD39CC">
        <w:rPr>
          <w:sz w:val="18"/>
          <w:szCs w:val="18"/>
        </w:rPr>
        <w:t xml:space="preserve"> 2,5 mld. eur.</w:t>
      </w:r>
    </w:p>
  </w:footnote>
  <w:footnote w:id="3">
    <w:p w14:paraId="755408C8" w14:textId="428D27D1" w:rsidR="006C0687" w:rsidRPr="00BA1150" w:rsidRDefault="006C0687">
      <w:pPr>
        <w:pStyle w:val="Textpoznmkypodiarou"/>
        <w:rPr>
          <w:sz w:val="18"/>
          <w:szCs w:val="18"/>
        </w:rPr>
      </w:pPr>
      <w:r w:rsidRPr="00BA1150">
        <w:rPr>
          <w:rStyle w:val="Odkaznapoznmkupodiarou"/>
          <w:sz w:val="18"/>
          <w:szCs w:val="18"/>
        </w:rPr>
        <w:footnoteRef/>
      </w:r>
      <w:r w:rsidRPr="00BA1150">
        <w:rPr>
          <w:sz w:val="18"/>
          <w:szCs w:val="18"/>
        </w:rPr>
        <w:t xml:space="preserve"> Zákon č. </w:t>
      </w:r>
      <w:hyperlink r:id="rId1" w:history="1">
        <w:r w:rsidRPr="0009390C">
          <w:rPr>
            <w:rStyle w:val="Hypertextovprepojenie"/>
            <w:sz w:val="18"/>
            <w:szCs w:val="18"/>
          </w:rPr>
          <w:t>363/2011 Z. z.</w:t>
        </w:r>
      </w:hyperlink>
      <w:r w:rsidRPr="00BA1150">
        <w:rPr>
          <w:sz w:val="18"/>
          <w:szCs w:val="18"/>
        </w:rPr>
        <w:t xml:space="preserve"> a zákon č. </w:t>
      </w:r>
      <w:hyperlink r:id="rId2" w:history="1">
        <w:r w:rsidRPr="0009390C">
          <w:rPr>
            <w:rStyle w:val="Hypertextovprepojenie"/>
            <w:sz w:val="18"/>
            <w:szCs w:val="18"/>
          </w:rPr>
          <w:t>362/2011 Z. z.</w:t>
        </w:r>
      </w:hyperlink>
    </w:p>
  </w:footnote>
  <w:footnote w:id="4">
    <w:p w14:paraId="33E1D76B" w14:textId="77777777" w:rsidR="006C0687" w:rsidRPr="00BA1150" w:rsidRDefault="006C0687">
      <w:pPr>
        <w:pStyle w:val="Textpoznmkypodiarou"/>
        <w:rPr>
          <w:sz w:val="18"/>
          <w:szCs w:val="18"/>
        </w:rPr>
      </w:pPr>
      <w:r w:rsidRPr="00BA1150">
        <w:rPr>
          <w:rStyle w:val="Odkaznapoznmkupodiarou"/>
          <w:sz w:val="18"/>
          <w:szCs w:val="18"/>
        </w:rPr>
        <w:footnoteRef/>
      </w:r>
      <w:r w:rsidRPr="00BA1150">
        <w:rPr>
          <w:sz w:val="18"/>
          <w:szCs w:val="18"/>
        </w:rPr>
        <w:t xml:space="preserve"> </w:t>
      </w:r>
      <w:hyperlink r:id="rId3" w:history="1">
        <w:r>
          <w:rPr>
            <w:rStyle w:val="Hypertextovprepojenie"/>
            <w:sz w:val="18"/>
            <w:szCs w:val="18"/>
          </w:rPr>
          <w:t>Oddlžovanie zdravotníckych zariadení</w:t>
        </w:r>
      </w:hyperlink>
      <w:r>
        <w:rPr>
          <w:sz w:val="18"/>
          <w:szCs w:val="18"/>
        </w:rPr>
        <w:t xml:space="preserve"> </w:t>
      </w:r>
    </w:p>
  </w:footnote>
  <w:footnote w:id="5">
    <w:p w14:paraId="7A11F9F6" w14:textId="77777777" w:rsidR="006C0687" w:rsidRPr="00DC45E2" w:rsidRDefault="006C0687">
      <w:pPr>
        <w:pStyle w:val="Textpoznmkypodiarou"/>
        <w:rPr>
          <w:sz w:val="18"/>
          <w:szCs w:val="18"/>
        </w:rPr>
      </w:pPr>
      <w:r w:rsidRPr="00DC45E2">
        <w:rPr>
          <w:rStyle w:val="Odkaznapoznmkupodiarou"/>
          <w:sz w:val="18"/>
          <w:szCs w:val="18"/>
        </w:rPr>
        <w:footnoteRef/>
      </w:r>
      <w:r w:rsidRPr="00DC45E2">
        <w:rPr>
          <w:sz w:val="18"/>
          <w:szCs w:val="18"/>
        </w:rPr>
        <w:t xml:space="preserve"> Rozpočet verejnej správy na roky 2020 až 2022</w:t>
      </w:r>
    </w:p>
  </w:footnote>
  <w:footnote w:id="6">
    <w:p w14:paraId="1EAF4742" w14:textId="77777777" w:rsidR="006C0687" w:rsidRDefault="006C0687" w:rsidP="00AB0FD0">
      <w:pPr>
        <w:pStyle w:val="Textpoznmkypodiarou"/>
      </w:pPr>
      <w:r w:rsidRPr="00882E47">
        <w:rPr>
          <w:rStyle w:val="Odkaznapoznmkupodiarou"/>
          <w:sz w:val="18"/>
        </w:rPr>
        <w:footnoteRef/>
      </w:r>
      <w:r w:rsidRPr="00882E47">
        <w:rPr>
          <w:sz w:val="18"/>
        </w:rPr>
        <w:t xml:space="preserve"> Plnenie k 31.12.2107 zahŕňa obdobie 1.1.2017 – 31.12.201</w:t>
      </w:r>
      <w:r>
        <w:rPr>
          <w:sz w:val="18"/>
        </w:rPr>
        <w:t>7. Vyhodnocuje sa voči Plánu 2017.</w:t>
      </w:r>
    </w:p>
  </w:footnote>
  <w:footnote w:id="7">
    <w:p w14:paraId="454D703D" w14:textId="77777777" w:rsidR="006C0687" w:rsidRDefault="006C0687" w:rsidP="00AB0FD0">
      <w:pPr>
        <w:pStyle w:val="Textpoznmkypodiarou"/>
      </w:pPr>
      <w:r w:rsidRPr="00882E47">
        <w:rPr>
          <w:rStyle w:val="Odkaznapoznmkupodiarou"/>
          <w:sz w:val="18"/>
        </w:rPr>
        <w:footnoteRef/>
      </w:r>
      <w:r w:rsidRPr="00882E47">
        <w:rPr>
          <w:sz w:val="18"/>
        </w:rPr>
        <w:t xml:space="preserve"> Pl</w:t>
      </w:r>
      <w:r>
        <w:rPr>
          <w:sz w:val="18"/>
        </w:rPr>
        <w:t>n</w:t>
      </w:r>
      <w:r w:rsidRPr="00882E47">
        <w:rPr>
          <w:sz w:val="18"/>
        </w:rPr>
        <w:t>enie k 31.12.2</w:t>
      </w:r>
      <w:r>
        <w:rPr>
          <w:sz w:val="18"/>
        </w:rPr>
        <w:t>018</w:t>
      </w:r>
      <w:r w:rsidRPr="00882E47">
        <w:rPr>
          <w:sz w:val="18"/>
        </w:rPr>
        <w:t xml:space="preserve"> zahŕňa obdobie 1.1.2017 – 31.12.201</w:t>
      </w:r>
      <w:r>
        <w:rPr>
          <w:sz w:val="18"/>
        </w:rPr>
        <w:t>8. Vyhodnocuje sa voči Plánu 2018.</w:t>
      </w:r>
    </w:p>
  </w:footnote>
  <w:footnote w:id="8">
    <w:p w14:paraId="46D7B604" w14:textId="77777777" w:rsidR="006C0687" w:rsidRDefault="006C0687" w:rsidP="00AB0FD0">
      <w:pPr>
        <w:pStyle w:val="Textpoznmkypodiarou"/>
      </w:pPr>
      <w:r w:rsidRPr="00882E47">
        <w:rPr>
          <w:rStyle w:val="Odkaznapoznmkupodiarou"/>
          <w:sz w:val="18"/>
        </w:rPr>
        <w:footnoteRef/>
      </w:r>
      <w:r w:rsidRPr="00882E47">
        <w:rPr>
          <w:sz w:val="18"/>
        </w:rPr>
        <w:t xml:space="preserve"> Pl</w:t>
      </w:r>
      <w:r>
        <w:rPr>
          <w:sz w:val="18"/>
        </w:rPr>
        <w:t>n</w:t>
      </w:r>
      <w:r w:rsidRPr="00882E47">
        <w:rPr>
          <w:sz w:val="18"/>
        </w:rPr>
        <w:t>enie k 31.12.2</w:t>
      </w:r>
      <w:r>
        <w:rPr>
          <w:sz w:val="18"/>
        </w:rPr>
        <w:t>019 zahŕňa obdobie 1.1.2017 – 31</w:t>
      </w:r>
      <w:r w:rsidRPr="00882E47">
        <w:rPr>
          <w:sz w:val="18"/>
        </w:rPr>
        <w:t>.</w:t>
      </w:r>
      <w:r>
        <w:rPr>
          <w:sz w:val="18"/>
        </w:rPr>
        <w:t>12</w:t>
      </w:r>
      <w:r w:rsidRPr="00882E47">
        <w:rPr>
          <w:sz w:val="18"/>
        </w:rPr>
        <w:t>.201</w:t>
      </w:r>
      <w:r>
        <w:rPr>
          <w:sz w:val="18"/>
        </w:rPr>
        <w:t>9. Vyhodnocuje sa voči Plánu 2019.</w:t>
      </w:r>
    </w:p>
  </w:footnote>
  <w:footnote w:id="9">
    <w:p w14:paraId="5C6E99D5" w14:textId="77777777" w:rsidR="006C0687" w:rsidRPr="00480908" w:rsidRDefault="006C0687" w:rsidP="00AB0FD0">
      <w:pPr>
        <w:pStyle w:val="Textpoznmkypodiarou"/>
        <w:rPr>
          <w:sz w:val="18"/>
          <w:szCs w:val="18"/>
        </w:rPr>
      </w:pPr>
      <w:r w:rsidRPr="00480908">
        <w:rPr>
          <w:rStyle w:val="Odkaznapoznmkupodiarou"/>
          <w:sz w:val="18"/>
          <w:szCs w:val="18"/>
        </w:rPr>
        <w:footnoteRef/>
      </w:r>
      <w:r w:rsidRPr="00480908">
        <w:rPr>
          <w:sz w:val="18"/>
          <w:szCs w:val="18"/>
        </w:rPr>
        <w:t xml:space="preserve"> Predpísané penále zo strany Sociálnej poisťovne – doplnené nad rámec sledovaných opatrení. V účtovníctve nemocníc je položka súčasťou prevádzkových nákladov, avšak nie je zahrnutá vo vyhodnotení opatrenia </w:t>
      </w:r>
      <w:r w:rsidRPr="00480908">
        <w:rPr>
          <w:i/>
          <w:sz w:val="18"/>
          <w:szCs w:val="18"/>
        </w:rPr>
        <w:t>Optimalizácia prevádzkových nákladov</w:t>
      </w:r>
      <w:r w:rsidRPr="00480908">
        <w:rPr>
          <w:sz w:val="18"/>
          <w:szCs w:val="18"/>
        </w:rPr>
        <w:t>, a to z dvoch dôvodov – 1.) ide o jednorazovú operáciu mimo bežnej prevádzky, 2.) penále boli v roku 2018 zároveň aj oddlžené a nemali negatívny vplyv na hospodársky výsledok nemocníc.</w:t>
      </w:r>
    </w:p>
  </w:footnote>
  <w:footnote w:id="10">
    <w:p w14:paraId="1A106D2D" w14:textId="77777777" w:rsidR="006C0687" w:rsidRPr="007065DA" w:rsidRDefault="006C0687" w:rsidP="004D30E9">
      <w:pPr>
        <w:pStyle w:val="Textpoznmkypodiarou"/>
        <w:rPr>
          <w:sz w:val="18"/>
          <w:szCs w:val="18"/>
        </w:rPr>
      </w:pPr>
      <w:r w:rsidRPr="007065DA">
        <w:rPr>
          <w:rStyle w:val="Odkaznapoznmkupodiarou"/>
          <w:sz w:val="18"/>
          <w:szCs w:val="18"/>
        </w:rPr>
        <w:footnoteRef/>
      </w:r>
      <w:r w:rsidRPr="007065DA">
        <w:rPr>
          <w:sz w:val="18"/>
          <w:szCs w:val="18"/>
        </w:rPr>
        <w:t xml:space="preserve"> Aktualizovaný termín na základe Implementačných plánov na rok 201</w:t>
      </w:r>
      <w:r>
        <w:rPr>
          <w:sz w:val="18"/>
          <w:szCs w:val="18"/>
        </w:rPr>
        <w:t>9</w:t>
      </w:r>
      <w:r w:rsidRPr="007065DA">
        <w:rPr>
          <w:sz w:val="18"/>
          <w:szCs w:val="18"/>
        </w:rPr>
        <w:t xml:space="preserve">. </w:t>
      </w:r>
    </w:p>
  </w:footnote>
  <w:footnote w:id="11">
    <w:p w14:paraId="0339274D" w14:textId="77777777" w:rsidR="006C0687" w:rsidRDefault="006C0687">
      <w:pPr>
        <w:pStyle w:val="Textpoznmkypodiarou"/>
      </w:pPr>
      <w:r w:rsidRPr="0026590B">
        <w:rPr>
          <w:rStyle w:val="Odkaznapoznmkupodiarou"/>
          <w:sz w:val="18"/>
        </w:rPr>
        <w:footnoteRef/>
      </w:r>
      <w:r w:rsidRPr="0026590B">
        <w:rPr>
          <w:sz w:val="18"/>
        </w:rPr>
        <w:t xml:space="preserve"> II. – značí </w:t>
      </w:r>
      <w:r w:rsidRPr="0026590B">
        <w:rPr>
          <w:sz w:val="18"/>
          <w:u w:val="single"/>
        </w:rPr>
        <w:t>Priebežnú</w:t>
      </w:r>
      <w:r w:rsidRPr="0026590B">
        <w:rPr>
          <w:sz w:val="18"/>
        </w:rPr>
        <w:t xml:space="preserve"> správu revízie výdavkov na zdravotníctvo II.</w:t>
      </w:r>
    </w:p>
  </w:footnote>
  <w:footnote w:id="12">
    <w:p w14:paraId="42A5612E" w14:textId="77777777" w:rsidR="006C0687" w:rsidRPr="009F002C" w:rsidRDefault="006C0687">
      <w:pPr>
        <w:pStyle w:val="Textpoznmkypodiarou"/>
        <w:rPr>
          <w:sz w:val="18"/>
        </w:rPr>
      </w:pPr>
      <w:r w:rsidRPr="009F002C">
        <w:rPr>
          <w:rStyle w:val="Odkaznapoznmkupodiarou"/>
          <w:sz w:val="18"/>
        </w:rPr>
        <w:footnoteRef/>
      </w:r>
      <w:r w:rsidRPr="009F002C">
        <w:rPr>
          <w:sz w:val="18"/>
        </w:rPr>
        <w:t xml:space="preserve"> </w:t>
      </w:r>
      <w:hyperlink r:id="rId4" w:history="1">
        <w:r>
          <w:rPr>
            <w:rStyle w:val="Hypertextovprepojenie"/>
            <w:sz w:val="18"/>
          </w:rPr>
          <w:t>Analýza spotreby liekov Eylea a Lucentis</w:t>
        </w:r>
      </w:hyperlink>
      <w:r w:rsidRPr="009F002C">
        <w:rPr>
          <w:sz w:val="18"/>
        </w:rPr>
        <w:t xml:space="preserve"> </w:t>
      </w:r>
    </w:p>
  </w:footnote>
  <w:footnote w:id="13">
    <w:p w14:paraId="5D8E01FF" w14:textId="77777777" w:rsidR="006C0687" w:rsidRDefault="006C0687" w:rsidP="00F64B85">
      <w:pPr>
        <w:pStyle w:val="Textpoznmkypodiarou"/>
        <w:jc w:val="left"/>
      </w:pPr>
      <w:r w:rsidRPr="009F002C">
        <w:rPr>
          <w:rStyle w:val="Odkaznapoznmkupodiarou"/>
          <w:sz w:val="18"/>
        </w:rPr>
        <w:footnoteRef/>
      </w:r>
      <w:r w:rsidRPr="009F002C">
        <w:rPr>
          <w:sz w:val="18"/>
        </w:rPr>
        <w:t xml:space="preserve"> Napr. </w:t>
      </w:r>
      <w:hyperlink r:id="rId5" w:history="1">
        <w:r>
          <w:rPr>
            <w:rStyle w:val="Hypertextovprepojenie"/>
            <w:sz w:val="18"/>
          </w:rPr>
          <w:t>Provision of social norm feedback to high prescribers of antibiotics in general practice</w:t>
        </w:r>
      </w:hyperlink>
      <w:r w:rsidRPr="009F002C">
        <w:rPr>
          <w:sz w:val="18"/>
        </w:rPr>
        <w:t xml:space="preserve"> alebo </w:t>
      </w:r>
      <w:hyperlink r:id="rId6" w:history="1">
        <w:r w:rsidRPr="009F002C">
          <w:rPr>
            <w:rStyle w:val="Hypertextovprepojenie"/>
            <w:sz w:val="18"/>
          </w:rPr>
          <w:t>Nudge vs Superbugs</w:t>
        </w:r>
      </w:hyperlink>
      <w:r w:rsidRPr="009F002C">
        <w:rPr>
          <w:sz w:val="18"/>
        </w:rPr>
        <w:t xml:space="preserve"> </w:t>
      </w:r>
    </w:p>
  </w:footnote>
  <w:footnote w:id="14">
    <w:p w14:paraId="2BEF6DC7" w14:textId="77777777" w:rsidR="006C0687" w:rsidRDefault="006C0687">
      <w:pPr>
        <w:pStyle w:val="Textpoznmkypodiarou"/>
      </w:pPr>
      <w:r w:rsidRPr="00E31EF1">
        <w:rPr>
          <w:rStyle w:val="Odkaznapoznmkupodiarou"/>
          <w:sz w:val="18"/>
        </w:rPr>
        <w:footnoteRef/>
      </w:r>
      <w:r w:rsidRPr="00E31EF1">
        <w:rPr>
          <w:sz w:val="18"/>
        </w:rPr>
        <w:t xml:space="preserve"> Revízia výdavkov na zdravotníctvo </w:t>
      </w:r>
      <w:r>
        <w:rPr>
          <w:sz w:val="18"/>
        </w:rPr>
        <w:t>I.</w:t>
      </w:r>
    </w:p>
  </w:footnote>
  <w:footnote w:id="15">
    <w:p w14:paraId="1B53327A" w14:textId="77777777" w:rsidR="006C0687" w:rsidRPr="004768FD" w:rsidRDefault="006C0687" w:rsidP="004D30E9">
      <w:pPr>
        <w:pStyle w:val="Textpoznmkypodiarou"/>
        <w:rPr>
          <w:sz w:val="18"/>
          <w:szCs w:val="18"/>
        </w:rPr>
      </w:pPr>
      <w:r w:rsidRPr="004768FD">
        <w:rPr>
          <w:rStyle w:val="Odkaznapoznmkupodiarou"/>
          <w:sz w:val="18"/>
          <w:szCs w:val="18"/>
        </w:rPr>
        <w:footnoteRef/>
      </w:r>
      <w:r w:rsidRPr="004768FD">
        <w:rPr>
          <w:sz w:val="18"/>
          <w:szCs w:val="18"/>
        </w:rPr>
        <w:t xml:space="preserve"> Podiel je vyjadrený ako počet schválených žiadostí z celkového počtu žiadostí zaslaných. Jedna žiadosť môže </w:t>
      </w:r>
      <w:r>
        <w:rPr>
          <w:sz w:val="18"/>
          <w:szCs w:val="18"/>
        </w:rPr>
        <w:t>znamenať viac ako jedného pacienta.</w:t>
      </w:r>
    </w:p>
  </w:footnote>
  <w:footnote w:id="16">
    <w:p w14:paraId="61C43B39" w14:textId="539244B6" w:rsidR="006C0687" w:rsidRPr="006B4C1A" w:rsidRDefault="006C0687">
      <w:pPr>
        <w:pStyle w:val="Textpoznmkypodiarou"/>
        <w:rPr>
          <w:sz w:val="18"/>
        </w:rPr>
      </w:pPr>
      <w:r w:rsidRPr="006B4C1A">
        <w:rPr>
          <w:rStyle w:val="Odkaznapoznmkupodiarou"/>
          <w:sz w:val="18"/>
        </w:rPr>
        <w:footnoteRef/>
      </w:r>
      <w:r w:rsidRPr="006B4C1A">
        <w:rPr>
          <w:sz w:val="18"/>
        </w:rPr>
        <w:t xml:space="preserve"> Lekár je povinný uviesť názov účinnej látky, ak ide o liečivo uvedené v prílohe č. 1 zákona </w:t>
      </w:r>
      <w:r>
        <w:rPr>
          <w:sz w:val="18"/>
        </w:rPr>
        <w:t xml:space="preserve">č. </w:t>
      </w:r>
      <w:r w:rsidRPr="006B4C1A">
        <w:rPr>
          <w:sz w:val="18"/>
        </w:rPr>
        <w:t>362/2011 Z. z.</w:t>
      </w:r>
      <w:r w:rsidRPr="00A67C18">
        <w:t xml:space="preserve"> </w:t>
      </w:r>
      <w:r w:rsidRPr="00A67C18">
        <w:rPr>
          <w:sz w:val="18"/>
        </w:rPr>
        <w:t>o liekoch a zdravotníckych pomôckach</w:t>
      </w:r>
      <w:r>
        <w:rPr>
          <w:sz w:val="18"/>
        </w:rPr>
        <w:t>.</w:t>
      </w:r>
    </w:p>
  </w:footnote>
  <w:footnote w:id="17">
    <w:p w14:paraId="4020EFCB" w14:textId="67724EB7" w:rsidR="006C0687" w:rsidRPr="006B4C1A" w:rsidRDefault="006C0687">
      <w:pPr>
        <w:pStyle w:val="Textpoznmkypodiarou"/>
        <w:rPr>
          <w:sz w:val="18"/>
        </w:rPr>
      </w:pPr>
      <w:r w:rsidRPr="006B4C1A">
        <w:rPr>
          <w:rStyle w:val="Odkaznapoznmkupodiarou"/>
          <w:sz w:val="18"/>
        </w:rPr>
        <w:footnoteRef/>
      </w:r>
      <w:r w:rsidRPr="006B4C1A">
        <w:rPr>
          <w:sz w:val="18"/>
        </w:rPr>
        <w:t xml:space="preserve"> Zákon č. </w:t>
      </w:r>
      <w:hyperlink r:id="rId7" w:history="1">
        <w:r w:rsidRPr="0009390C">
          <w:rPr>
            <w:rStyle w:val="Hypertextovprepojenie"/>
            <w:sz w:val="18"/>
          </w:rPr>
          <w:t>363/2011 Z. z.</w:t>
        </w:r>
      </w:hyperlink>
      <w:r w:rsidRPr="006B4C1A">
        <w:rPr>
          <w:sz w:val="18"/>
        </w:rPr>
        <w:t xml:space="preserve"> § 16 ods.4</w:t>
      </w:r>
    </w:p>
  </w:footnote>
  <w:footnote w:id="18">
    <w:p w14:paraId="4A9C22C6" w14:textId="77777777" w:rsidR="006C0687" w:rsidRDefault="006C0687">
      <w:pPr>
        <w:pStyle w:val="Textpoznmkypodiarou"/>
      </w:pPr>
      <w:r w:rsidRPr="006B4C1A">
        <w:rPr>
          <w:rStyle w:val="Odkaznapoznmkupodiarou"/>
          <w:sz w:val="18"/>
        </w:rPr>
        <w:footnoteRef/>
      </w:r>
      <w:r w:rsidRPr="006B4C1A">
        <w:rPr>
          <w:sz w:val="18"/>
        </w:rPr>
        <w:t xml:space="preserve"> </w:t>
      </w:r>
      <w:hyperlink r:id="rId8" w:history="1">
        <w:r>
          <w:rPr>
            <w:rStyle w:val="Hypertextovprepojenie"/>
            <w:sz w:val="18"/>
          </w:rPr>
          <w:t xml:space="preserve">Slabé využívanie generík a biosimilárov nás stojí takmer 80 miliónov eur ročne </w:t>
        </w:r>
      </w:hyperlink>
      <w:r w:rsidRPr="006B4C1A">
        <w:rPr>
          <w:sz w:val="18"/>
        </w:rPr>
        <w:t xml:space="preserve"> </w:t>
      </w:r>
    </w:p>
  </w:footnote>
  <w:footnote w:id="19">
    <w:p w14:paraId="62EEF293" w14:textId="77777777" w:rsidR="006C0687" w:rsidRDefault="006C0687">
      <w:pPr>
        <w:pStyle w:val="Textpoznmkypodiarou"/>
      </w:pPr>
      <w:r w:rsidRPr="00986E48">
        <w:rPr>
          <w:rStyle w:val="Odkaznapoznmkupodiarou"/>
          <w:sz w:val="18"/>
        </w:rPr>
        <w:footnoteRef/>
      </w:r>
      <w:r w:rsidRPr="00986E48">
        <w:rPr>
          <w:sz w:val="18"/>
        </w:rPr>
        <w:t xml:space="preserve"> </w:t>
      </w:r>
      <w:hyperlink r:id="rId9" w:history="1">
        <w:r>
          <w:rPr>
            <w:rStyle w:val="Hypertextovprepojenie"/>
            <w:sz w:val="18"/>
          </w:rPr>
          <w:t>Zákon č. 383/2019 ktorým sa mení a dopĺňa zákon č. 362/2011 Z. z. o liekoch a zdravotníckych pomôckach</w:t>
        </w:r>
      </w:hyperlink>
    </w:p>
  </w:footnote>
  <w:footnote w:id="20">
    <w:p w14:paraId="03DCD9C8" w14:textId="288A9B10" w:rsidR="006C0687" w:rsidRDefault="006C0687">
      <w:pPr>
        <w:pStyle w:val="Textpoznmkypodiarou"/>
      </w:pPr>
      <w:r w:rsidRPr="00986E48">
        <w:rPr>
          <w:rStyle w:val="Odkaznapoznmkupodiarou"/>
          <w:sz w:val="18"/>
        </w:rPr>
        <w:footnoteRef/>
      </w:r>
      <w:r w:rsidRPr="00986E48">
        <w:rPr>
          <w:sz w:val="18"/>
        </w:rPr>
        <w:t xml:space="preserve"> Zákon </w:t>
      </w:r>
      <w:hyperlink r:id="rId10" w:history="1">
        <w:r w:rsidRPr="0009390C">
          <w:rPr>
            <w:rStyle w:val="Hypertextovprepojenie"/>
            <w:sz w:val="18"/>
          </w:rPr>
          <w:t>363/2011 Z. z.</w:t>
        </w:r>
      </w:hyperlink>
      <w:r w:rsidRPr="00DC2F03">
        <w:rPr>
          <w:sz w:val="18"/>
        </w:rPr>
        <w:t xml:space="preserve"> </w:t>
      </w:r>
      <w:r w:rsidRPr="006B4C1A">
        <w:rPr>
          <w:sz w:val="18"/>
        </w:rPr>
        <w:t>§</w:t>
      </w:r>
      <w:r>
        <w:rPr>
          <w:sz w:val="18"/>
        </w:rPr>
        <w:t xml:space="preserve"> 16 ods. 6</w:t>
      </w:r>
    </w:p>
  </w:footnote>
  <w:footnote w:id="21">
    <w:p w14:paraId="4A9B821B" w14:textId="77777777" w:rsidR="006C0687" w:rsidRPr="00B5290A" w:rsidRDefault="006C0687">
      <w:pPr>
        <w:pStyle w:val="Textpoznmkypodiarou"/>
        <w:rPr>
          <w:sz w:val="18"/>
          <w:szCs w:val="18"/>
        </w:rPr>
      </w:pPr>
      <w:r w:rsidRPr="00B5290A">
        <w:rPr>
          <w:rStyle w:val="Odkaznapoznmkupodiarou"/>
          <w:sz w:val="18"/>
          <w:szCs w:val="18"/>
        </w:rPr>
        <w:footnoteRef/>
      </w:r>
      <w:r w:rsidRPr="00B5290A">
        <w:rPr>
          <w:sz w:val="18"/>
          <w:szCs w:val="18"/>
        </w:rPr>
        <w:t xml:space="preserve"> </w:t>
      </w:r>
      <w:hyperlink r:id="rId11" w:history="1">
        <w:r w:rsidRPr="00264627">
          <w:rPr>
            <w:rStyle w:val="Hypertextovprepojenie"/>
            <w:sz w:val="18"/>
            <w:szCs w:val="18"/>
          </w:rPr>
          <w:t>Vyhláška MZ SR č. 93/2018 Z. z. o kritériách na stanovenie významnosti vplyvu lieku na prostriedky verejného zdravotného poistenia, o hodnotiacich kritériách pre výpočet koeficientu prahovej hodnoty a o podrobnostiach výpočtu koeficientu prahovej hodnoty</w:t>
        </w:r>
      </w:hyperlink>
    </w:p>
  </w:footnote>
  <w:footnote w:id="22">
    <w:p w14:paraId="4ADB2558" w14:textId="77777777" w:rsidR="006C0687" w:rsidRDefault="006C0687" w:rsidP="00F64B85">
      <w:pPr>
        <w:pStyle w:val="Textpoznmkypodiarou"/>
      </w:pPr>
      <w:r w:rsidRPr="000C0D22">
        <w:rPr>
          <w:rStyle w:val="Odkaznapoznmkupodiarou"/>
          <w:sz w:val="18"/>
        </w:rPr>
        <w:footnoteRef/>
      </w:r>
      <w:r w:rsidRPr="000C0D22">
        <w:rPr>
          <w:sz w:val="18"/>
        </w:rPr>
        <w:t xml:space="preserve"> </w:t>
      </w:r>
      <w:hyperlink r:id="rId12" w:history="1">
        <w:r>
          <w:rPr>
            <w:rStyle w:val="Hypertextovprepojenie"/>
            <w:sz w:val="18"/>
          </w:rPr>
          <w:t>Ozdravný plán Všeobecnej zdravotnej poisťovne, a.s.</w:t>
        </w:r>
      </w:hyperlink>
      <w:r w:rsidRPr="000C0D22">
        <w:rPr>
          <w:sz w:val="18"/>
        </w:rPr>
        <w:t xml:space="preserve"> </w:t>
      </w:r>
    </w:p>
  </w:footnote>
  <w:footnote w:id="23">
    <w:p w14:paraId="54346B26" w14:textId="4A612A36" w:rsidR="006C0687" w:rsidRPr="00A14977" w:rsidRDefault="006C0687" w:rsidP="00F64B85">
      <w:pPr>
        <w:pStyle w:val="Textpoznmkypodiarou"/>
        <w:rPr>
          <w:sz w:val="18"/>
          <w:szCs w:val="18"/>
        </w:rPr>
      </w:pPr>
      <w:r w:rsidRPr="00A14977">
        <w:rPr>
          <w:rStyle w:val="Odkaznapoznmkupodiarou"/>
          <w:sz w:val="18"/>
          <w:szCs w:val="18"/>
        </w:rPr>
        <w:footnoteRef/>
      </w:r>
      <w:r w:rsidRPr="00A14977">
        <w:rPr>
          <w:sz w:val="18"/>
          <w:szCs w:val="18"/>
        </w:rPr>
        <w:t xml:space="preserve"> Zákon č. </w:t>
      </w:r>
      <w:hyperlink r:id="rId13" w:history="1">
        <w:r w:rsidRPr="0009390C">
          <w:rPr>
            <w:rStyle w:val="Hypertextovprepojenie"/>
            <w:sz w:val="18"/>
            <w:szCs w:val="18"/>
          </w:rPr>
          <w:t>581/2004</w:t>
        </w:r>
      </w:hyperlink>
      <w:r w:rsidRPr="00A14977">
        <w:rPr>
          <w:sz w:val="18"/>
          <w:szCs w:val="18"/>
        </w:rPr>
        <w:t xml:space="preserve"> § 9</w:t>
      </w:r>
    </w:p>
  </w:footnote>
  <w:footnote w:id="24">
    <w:p w14:paraId="79FF63E6" w14:textId="77777777" w:rsidR="006C0687" w:rsidRDefault="006C0687" w:rsidP="004D30E9">
      <w:pPr>
        <w:pStyle w:val="Textpoznmkypodiarou"/>
      </w:pPr>
      <w:r w:rsidRPr="004A445B">
        <w:rPr>
          <w:rStyle w:val="Odkaznapoznmkupodiarou"/>
          <w:sz w:val="18"/>
        </w:rPr>
        <w:footnoteRef/>
      </w:r>
      <w:r w:rsidRPr="004A445B">
        <w:rPr>
          <w:sz w:val="18"/>
        </w:rPr>
        <w:t xml:space="preserve"> Sumy zahŕňajú revíziu lekárenskej ZS.</w:t>
      </w:r>
    </w:p>
  </w:footnote>
  <w:footnote w:id="25">
    <w:p w14:paraId="55A85940" w14:textId="77777777" w:rsidR="006C0687" w:rsidRDefault="006C0687" w:rsidP="008B70B3">
      <w:pPr>
        <w:pStyle w:val="Textpoznmkypodiarou"/>
        <w:ind w:right="-2976"/>
      </w:pPr>
      <w:r>
        <w:rPr>
          <w:rStyle w:val="Odkaznapoznmkupodiarou"/>
        </w:rPr>
        <w:footnoteRef/>
      </w:r>
      <w:r>
        <w:t xml:space="preserve"> </w:t>
      </w:r>
      <w:r w:rsidRPr="00D03201">
        <w:rPr>
          <w:sz w:val="18"/>
        </w:rPr>
        <w:t>Údaje nezohľadňujú zmenu veľkosti a štruktúry poistného kmeňa ZP.</w:t>
      </w:r>
    </w:p>
  </w:footnote>
  <w:footnote w:id="26">
    <w:p w14:paraId="3674DF44" w14:textId="289257FD" w:rsidR="006C0687" w:rsidRPr="00BF3FAC" w:rsidRDefault="006C0687">
      <w:pPr>
        <w:pStyle w:val="Textpoznmkypodiarou"/>
        <w:rPr>
          <w:sz w:val="18"/>
          <w:szCs w:val="18"/>
        </w:rPr>
      </w:pPr>
      <w:r w:rsidRPr="00BF3FAC">
        <w:rPr>
          <w:rStyle w:val="Odkaznapoznmkupodiarou"/>
          <w:sz w:val="18"/>
          <w:szCs w:val="18"/>
        </w:rPr>
        <w:footnoteRef/>
      </w:r>
      <w:r w:rsidRPr="00BF3FAC">
        <w:rPr>
          <w:sz w:val="18"/>
          <w:szCs w:val="18"/>
        </w:rPr>
        <w:t xml:space="preserve"> Revízia výdavkov na zdravotníctvo II – priebežná správa</w:t>
      </w:r>
    </w:p>
  </w:footnote>
  <w:footnote w:id="27">
    <w:p w14:paraId="3CA60693" w14:textId="77777777" w:rsidR="006C0687" w:rsidRDefault="006C0687">
      <w:pPr>
        <w:pStyle w:val="Textpoznmkypodiarou"/>
      </w:pPr>
      <w:r w:rsidRPr="00845767">
        <w:rPr>
          <w:rStyle w:val="Odkaznapoznmkupodiarou"/>
          <w:sz w:val="18"/>
        </w:rPr>
        <w:footnoteRef/>
      </w:r>
      <w:r w:rsidRPr="00845767">
        <w:rPr>
          <w:sz w:val="18"/>
        </w:rPr>
        <w:t xml:space="preserve"> PACS – Picture Archiving and Communication System – systém na archiváciu a ukladanie dát v univerzálnej forme.</w:t>
      </w:r>
    </w:p>
  </w:footnote>
  <w:footnote w:id="28">
    <w:p w14:paraId="48570B32" w14:textId="77777777" w:rsidR="006C0687" w:rsidRDefault="006C0687">
      <w:pPr>
        <w:pStyle w:val="Textpoznmkypodiarou"/>
      </w:pPr>
      <w:r w:rsidRPr="00133ECC">
        <w:rPr>
          <w:rStyle w:val="Odkaznapoznmkupodiarou"/>
          <w:sz w:val="18"/>
        </w:rPr>
        <w:footnoteRef/>
      </w:r>
      <w:r w:rsidRPr="00133ECC">
        <w:rPr>
          <w:sz w:val="18"/>
        </w:rPr>
        <w:t xml:space="preserve"> </w:t>
      </w:r>
      <w:hyperlink r:id="rId14" w:history="1">
        <w:r w:rsidRPr="00133ECC">
          <w:rPr>
            <w:rStyle w:val="Hypertextovprepojenie"/>
            <w:sz w:val="18"/>
          </w:rPr>
          <w:t>Kontrolóri upozorňujú na riziká v štátnom rozpočte, rezervy sú v oblasti zdravotníctva či dopravy</w:t>
        </w:r>
      </w:hyperlink>
      <w:r w:rsidRPr="00133ECC">
        <w:rPr>
          <w:sz w:val="18"/>
        </w:rPr>
        <w:t xml:space="preserve"> </w:t>
      </w:r>
    </w:p>
  </w:footnote>
  <w:footnote w:id="29">
    <w:p w14:paraId="4E55562E" w14:textId="64E3096C" w:rsidR="006C0687" w:rsidRDefault="006C0687">
      <w:pPr>
        <w:pStyle w:val="Textpoznmkypodiarou"/>
      </w:pPr>
      <w:r w:rsidRPr="007C39C5">
        <w:rPr>
          <w:rStyle w:val="Odkaznapoznmkupodiarou"/>
          <w:sz w:val="18"/>
        </w:rPr>
        <w:footnoteRef/>
      </w:r>
      <w:r w:rsidRPr="007C39C5">
        <w:rPr>
          <w:sz w:val="18"/>
        </w:rPr>
        <w:t xml:space="preserve"> </w:t>
      </w:r>
      <w:hyperlink r:id="rId15" w:history="1">
        <w:r w:rsidRPr="0009390C">
          <w:rPr>
            <w:rStyle w:val="Hypertextovprepojenie"/>
            <w:sz w:val="18"/>
          </w:rPr>
          <w:t>Príkaz ministersky zdravotníctva SR č. 6/2018</w:t>
        </w:r>
      </w:hyperlink>
    </w:p>
  </w:footnote>
  <w:footnote w:id="30">
    <w:p w14:paraId="3AD7F475" w14:textId="77777777" w:rsidR="006C0687" w:rsidRPr="00AE75D2" w:rsidRDefault="006C0687">
      <w:pPr>
        <w:pStyle w:val="Textpoznmkypodiarou"/>
        <w:rPr>
          <w:sz w:val="18"/>
          <w:szCs w:val="18"/>
        </w:rPr>
      </w:pPr>
      <w:r w:rsidRPr="00AE75D2">
        <w:rPr>
          <w:rStyle w:val="Odkaznapoznmkupodiarou"/>
          <w:sz w:val="18"/>
          <w:szCs w:val="18"/>
        </w:rPr>
        <w:footnoteRef/>
      </w:r>
      <w:r w:rsidRPr="00AE75D2">
        <w:rPr>
          <w:sz w:val="18"/>
          <w:szCs w:val="18"/>
        </w:rPr>
        <w:t xml:space="preserve"> </w:t>
      </w:r>
      <w:hyperlink r:id="rId16" w:history="1">
        <w:r w:rsidRPr="00457774">
          <w:rPr>
            <w:rStyle w:val="Hypertextovprepojenie"/>
            <w:sz w:val="18"/>
            <w:szCs w:val="18"/>
          </w:rPr>
          <w:t>Zákon č. 578/2004 Z. z.</w:t>
        </w:r>
        <w:r w:rsidRPr="00457774">
          <w:rPr>
            <w:rStyle w:val="Hypertextovprepojenie"/>
          </w:rPr>
          <w:t xml:space="preserve"> </w:t>
        </w:r>
        <w:r w:rsidRPr="00457774">
          <w:rPr>
            <w:rStyle w:val="Hypertextovprepojenie"/>
            <w:sz w:val="18"/>
            <w:szCs w:val="18"/>
          </w:rPr>
          <w:t>o poskytovateľoch zdravotnej starostlivosti, zdravotníckych pracovníkoch, stavovských organizáciách v zdravotníctve</w:t>
        </w:r>
      </w:hyperlink>
    </w:p>
  </w:footnote>
  <w:footnote w:id="31">
    <w:p w14:paraId="09CA0CDE" w14:textId="77777777" w:rsidR="006C0687" w:rsidRPr="002A581D" w:rsidRDefault="006C0687">
      <w:pPr>
        <w:pStyle w:val="Textpoznmkypodiarou"/>
        <w:rPr>
          <w:sz w:val="18"/>
          <w:szCs w:val="18"/>
        </w:rPr>
      </w:pPr>
      <w:r w:rsidRPr="002A581D">
        <w:rPr>
          <w:rStyle w:val="Odkaznapoznmkupodiarou"/>
          <w:sz w:val="18"/>
          <w:szCs w:val="18"/>
        </w:rPr>
        <w:footnoteRef/>
      </w:r>
      <w:r w:rsidRPr="002A581D">
        <w:rPr>
          <w:sz w:val="18"/>
          <w:szCs w:val="18"/>
        </w:rPr>
        <w:t xml:space="preserve"> </w:t>
      </w:r>
      <w:hyperlink r:id="rId17" w:history="1">
        <w:r>
          <w:rPr>
            <w:rStyle w:val="Hypertextovprepojenie"/>
            <w:sz w:val="18"/>
            <w:szCs w:val="18"/>
          </w:rPr>
          <w:t>Zákon č. 351/2018 Z. z. ktorým sa mení a dopĺňa zákon č. 581/2004 Z. z. o zdravotných poisťovniach, dohľade nad zdravotnou starostlivosťou</w:t>
        </w:r>
      </w:hyperlink>
    </w:p>
  </w:footnote>
  <w:footnote w:id="32">
    <w:p w14:paraId="275C4464" w14:textId="77777777" w:rsidR="006C0687" w:rsidRDefault="006C0687">
      <w:pPr>
        <w:pStyle w:val="Textpoznmkypodiarou"/>
      </w:pPr>
      <w:r w:rsidRPr="002A581D">
        <w:rPr>
          <w:rStyle w:val="Odkaznapoznmkupodiarou"/>
          <w:sz w:val="18"/>
          <w:szCs w:val="18"/>
        </w:rPr>
        <w:footnoteRef/>
      </w:r>
      <w:r>
        <w:rPr>
          <w:sz w:val="18"/>
          <w:szCs w:val="18"/>
        </w:rPr>
        <w:t xml:space="preserve"> Priemerný prepočítaný evi</w:t>
      </w:r>
      <w:r w:rsidRPr="002A581D">
        <w:rPr>
          <w:sz w:val="18"/>
          <w:szCs w:val="18"/>
        </w:rPr>
        <w:t>de</w:t>
      </w:r>
      <w:r>
        <w:rPr>
          <w:sz w:val="18"/>
          <w:szCs w:val="18"/>
        </w:rPr>
        <w:t>n</w:t>
      </w:r>
      <w:r w:rsidRPr="002A581D">
        <w:rPr>
          <w:sz w:val="18"/>
          <w:szCs w:val="18"/>
        </w:rPr>
        <w:t>čný počet</w:t>
      </w:r>
    </w:p>
  </w:footnote>
  <w:footnote w:id="33">
    <w:p w14:paraId="19B87C75" w14:textId="77777777" w:rsidR="006C0687" w:rsidRPr="006711FF" w:rsidRDefault="006C0687">
      <w:pPr>
        <w:pStyle w:val="Textpoznmkypodiarou"/>
        <w:rPr>
          <w:sz w:val="18"/>
          <w:szCs w:val="18"/>
        </w:rPr>
      </w:pPr>
      <w:r w:rsidRPr="008030B2">
        <w:rPr>
          <w:rStyle w:val="Odkaznapoznmkupodiarou"/>
          <w:sz w:val="18"/>
        </w:rPr>
        <w:footnoteRef/>
      </w:r>
      <w:r w:rsidRPr="008030B2">
        <w:rPr>
          <w:sz w:val="18"/>
        </w:rPr>
        <w:t xml:space="preserve"> </w:t>
      </w:r>
      <w:hyperlink r:id="rId18" w:history="1">
        <w:r w:rsidRPr="006711FF">
          <w:rPr>
            <w:rStyle w:val="Hypertextovprepojenie"/>
            <w:sz w:val="18"/>
            <w:szCs w:val="18"/>
          </w:rPr>
          <w:t>About EURIPID</w:t>
        </w:r>
      </w:hyperlink>
      <w:r w:rsidRPr="006711FF">
        <w:rPr>
          <w:sz w:val="18"/>
          <w:szCs w:val="18"/>
        </w:rPr>
        <w:t xml:space="preserve"> </w:t>
      </w:r>
    </w:p>
  </w:footnote>
  <w:footnote w:id="34">
    <w:p w14:paraId="558B5CF5" w14:textId="77777777" w:rsidR="006C0687" w:rsidRPr="006711FF" w:rsidRDefault="006C0687" w:rsidP="00F64B85">
      <w:pPr>
        <w:pStyle w:val="Textpoznmkypodiarou"/>
        <w:rPr>
          <w:sz w:val="18"/>
          <w:szCs w:val="18"/>
        </w:rPr>
      </w:pPr>
      <w:r w:rsidRPr="006711FF">
        <w:rPr>
          <w:rStyle w:val="Odkaznapoznmkupodiarou"/>
          <w:sz w:val="18"/>
          <w:szCs w:val="18"/>
        </w:rPr>
        <w:footnoteRef/>
      </w:r>
      <w:r w:rsidRPr="006711FF">
        <w:rPr>
          <w:sz w:val="18"/>
          <w:szCs w:val="18"/>
        </w:rPr>
        <w:t xml:space="preserve"> </w:t>
      </w:r>
      <w:hyperlink r:id="rId19" w:history="1">
        <w:r w:rsidRPr="006711FF">
          <w:rPr>
            <w:rStyle w:val="Hypertextovprepojenie"/>
            <w:sz w:val="18"/>
            <w:szCs w:val="18"/>
          </w:rPr>
          <w:t>Legislatívny proces č 287/2019</w:t>
        </w:r>
      </w:hyperlink>
    </w:p>
  </w:footnote>
  <w:footnote w:id="35">
    <w:p w14:paraId="5E7A15A5" w14:textId="77777777" w:rsidR="006C0687" w:rsidRPr="006711FF" w:rsidRDefault="006C0687" w:rsidP="00F64B85">
      <w:pPr>
        <w:pStyle w:val="Textpoznmkypodiarou"/>
        <w:rPr>
          <w:sz w:val="18"/>
          <w:szCs w:val="18"/>
        </w:rPr>
      </w:pPr>
      <w:r w:rsidRPr="006711FF">
        <w:rPr>
          <w:rStyle w:val="Odkaznapoznmkupodiarou"/>
          <w:sz w:val="18"/>
          <w:szCs w:val="18"/>
        </w:rPr>
        <w:footnoteRef/>
      </w:r>
      <w:r w:rsidRPr="006711FF">
        <w:rPr>
          <w:sz w:val="18"/>
          <w:szCs w:val="18"/>
        </w:rPr>
        <w:t xml:space="preserve"> </w:t>
      </w:r>
      <w:hyperlink r:id="rId20" w:history="1">
        <w:r w:rsidRPr="006711FF">
          <w:rPr>
            <w:rStyle w:val="Hypertextovprepojenie"/>
            <w:sz w:val="18"/>
            <w:szCs w:val="18"/>
          </w:rPr>
          <w:t>Legislatívny proces č. 453/2019</w:t>
        </w:r>
      </w:hyperlink>
    </w:p>
  </w:footnote>
  <w:footnote w:id="36">
    <w:p w14:paraId="0C9D3156" w14:textId="77777777" w:rsidR="006C0687" w:rsidRPr="006711FF" w:rsidRDefault="006C0687" w:rsidP="00F64B85">
      <w:pPr>
        <w:pStyle w:val="Textpoznmkypodiarou"/>
        <w:rPr>
          <w:sz w:val="18"/>
          <w:szCs w:val="18"/>
        </w:rPr>
      </w:pPr>
      <w:r w:rsidRPr="006711FF">
        <w:rPr>
          <w:rStyle w:val="Odkaznapoznmkupodiarou"/>
          <w:sz w:val="18"/>
          <w:szCs w:val="18"/>
        </w:rPr>
        <w:footnoteRef/>
      </w:r>
      <w:r w:rsidRPr="006711FF">
        <w:rPr>
          <w:sz w:val="18"/>
          <w:szCs w:val="18"/>
        </w:rPr>
        <w:t xml:space="preserve"> </w:t>
      </w:r>
      <w:hyperlink r:id="rId21" w:history="1">
        <w:r w:rsidRPr="006711FF">
          <w:rPr>
            <w:rStyle w:val="Hypertextovprepojenie"/>
            <w:sz w:val="18"/>
            <w:szCs w:val="18"/>
          </w:rPr>
          <w:t>Legislatívny proces č. 564/2019</w:t>
        </w:r>
      </w:hyperlink>
    </w:p>
  </w:footnote>
  <w:footnote w:id="37">
    <w:p w14:paraId="057A7448" w14:textId="77777777" w:rsidR="006C0687" w:rsidRPr="006711FF" w:rsidRDefault="006C0687" w:rsidP="00F64B85">
      <w:pPr>
        <w:pStyle w:val="Textpoznmkypodiarou"/>
        <w:rPr>
          <w:sz w:val="18"/>
          <w:szCs w:val="18"/>
        </w:rPr>
      </w:pPr>
      <w:r w:rsidRPr="006711FF">
        <w:rPr>
          <w:rStyle w:val="Odkaznapoznmkupodiarou"/>
          <w:sz w:val="18"/>
          <w:szCs w:val="18"/>
        </w:rPr>
        <w:footnoteRef/>
      </w:r>
      <w:r w:rsidRPr="006711FF">
        <w:rPr>
          <w:sz w:val="18"/>
          <w:szCs w:val="18"/>
        </w:rPr>
        <w:t xml:space="preserve"> </w:t>
      </w:r>
      <w:hyperlink r:id="rId22" w:history="1">
        <w:r w:rsidRPr="006711FF">
          <w:rPr>
            <w:rStyle w:val="Hypertextovprepojenie"/>
            <w:sz w:val="18"/>
            <w:szCs w:val="18"/>
          </w:rPr>
          <w:t>Uznesenie vlády SR č. 475/2019</w:t>
        </w:r>
      </w:hyperlink>
    </w:p>
  </w:footnote>
  <w:footnote w:id="38">
    <w:p w14:paraId="45CB9EEF" w14:textId="77777777" w:rsidR="006C0687" w:rsidRDefault="006C0687" w:rsidP="00F64B85">
      <w:pPr>
        <w:pStyle w:val="Textpoznmkypodiarou"/>
      </w:pPr>
      <w:r w:rsidRPr="00D045B7">
        <w:rPr>
          <w:rStyle w:val="Odkaznapoznmkupodiarou"/>
          <w:sz w:val="18"/>
        </w:rPr>
        <w:footnoteRef/>
      </w:r>
      <w:r w:rsidRPr="00D045B7">
        <w:rPr>
          <w:sz w:val="18"/>
        </w:rPr>
        <w:t xml:space="preserve"> </w:t>
      </w:r>
      <w:hyperlink r:id="rId23" w:history="1">
        <w:r>
          <w:rPr>
            <w:rStyle w:val="Hypertextovprepojenie"/>
            <w:sz w:val="18"/>
          </w:rPr>
          <w:t>Projekt Tvorba nových a inovovaných štandardných klinických postupov a ich zavedenie do medicínskej praxe</w:t>
        </w:r>
      </w:hyperlink>
      <w:r w:rsidRPr="00D045B7">
        <w:rPr>
          <w:sz w:val="18"/>
        </w:rPr>
        <w:t xml:space="preserve"> </w:t>
      </w:r>
    </w:p>
  </w:footnote>
  <w:footnote w:id="39">
    <w:p w14:paraId="2F9D1A2E" w14:textId="77777777" w:rsidR="006C0687" w:rsidRPr="002920BB" w:rsidRDefault="006C0687" w:rsidP="00F64B85">
      <w:pPr>
        <w:pStyle w:val="Textpoznmkypodiarou"/>
        <w:rPr>
          <w:sz w:val="18"/>
          <w:szCs w:val="18"/>
        </w:rPr>
      </w:pPr>
      <w:r w:rsidRPr="002920BB">
        <w:rPr>
          <w:rStyle w:val="Odkaznapoznmkupodiarou"/>
          <w:sz w:val="18"/>
          <w:szCs w:val="18"/>
        </w:rPr>
        <w:footnoteRef/>
      </w:r>
      <w:r w:rsidRPr="002920BB">
        <w:rPr>
          <w:sz w:val="18"/>
          <w:szCs w:val="18"/>
        </w:rPr>
        <w:t xml:space="preserve"> Oblasti predstavujú logické celky, môžu kopírovať medicínske odbory, byť ich podmnožinou alebo kombináciou niekoľkých špecializácií.</w:t>
      </w:r>
      <w:r>
        <w:rPr>
          <w:sz w:val="18"/>
          <w:szCs w:val="18"/>
        </w:rPr>
        <w:t xml:space="preserve"> Oblasti aktuálne schválených postupov: </w:t>
      </w:r>
      <w:r w:rsidRPr="002920BB">
        <w:rPr>
          <w:sz w:val="18"/>
          <w:szCs w:val="18"/>
        </w:rPr>
        <w:t xml:space="preserve">interdisciplinárna </w:t>
      </w:r>
      <w:r>
        <w:rPr>
          <w:sz w:val="18"/>
          <w:szCs w:val="18"/>
        </w:rPr>
        <w:t xml:space="preserve">oblasť </w:t>
      </w:r>
      <w:r w:rsidRPr="002920BB">
        <w:rPr>
          <w:sz w:val="18"/>
          <w:szCs w:val="18"/>
        </w:rPr>
        <w:t>- skríning kolorek.</w:t>
      </w:r>
      <w:r>
        <w:rPr>
          <w:sz w:val="18"/>
          <w:szCs w:val="18"/>
        </w:rPr>
        <w:t xml:space="preserve"> k</w:t>
      </w:r>
      <w:r w:rsidRPr="002920BB">
        <w:rPr>
          <w:sz w:val="18"/>
          <w:szCs w:val="18"/>
        </w:rPr>
        <w:t>arcinómu</w:t>
      </w:r>
      <w:r>
        <w:rPr>
          <w:sz w:val="18"/>
          <w:szCs w:val="18"/>
        </w:rPr>
        <w:t>; k</w:t>
      </w:r>
      <w:r w:rsidRPr="002920BB">
        <w:rPr>
          <w:sz w:val="18"/>
          <w:szCs w:val="18"/>
        </w:rPr>
        <w:t xml:space="preserve">linická </w:t>
      </w:r>
      <w:r>
        <w:rPr>
          <w:sz w:val="18"/>
          <w:szCs w:val="18"/>
        </w:rPr>
        <w:t>m</w:t>
      </w:r>
      <w:r w:rsidRPr="002920BB">
        <w:rPr>
          <w:sz w:val="18"/>
          <w:szCs w:val="18"/>
        </w:rPr>
        <w:t>ikrobiológia</w:t>
      </w:r>
      <w:r>
        <w:rPr>
          <w:sz w:val="18"/>
          <w:szCs w:val="18"/>
        </w:rPr>
        <w:t>; k</w:t>
      </w:r>
      <w:r w:rsidRPr="002920BB">
        <w:rPr>
          <w:sz w:val="18"/>
          <w:szCs w:val="18"/>
        </w:rPr>
        <w:t xml:space="preserve">linická </w:t>
      </w:r>
      <w:r>
        <w:rPr>
          <w:sz w:val="18"/>
          <w:szCs w:val="18"/>
        </w:rPr>
        <w:t>o</w:t>
      </w:r>
      <w:r w:rsidRPr="002920BB">
        <w:rPr>
          <w:sz w:val="18"/>
          <w:szCs w:val="18"/>
        </w:rPr>
        <w:t>nkológia</w:t>
      </w:r>
      <w:r>
        <w:rPr>
          <w:sz w:val="18"/>
          <w:szCs w:val="18"/>
        </w:rPr>
        <w:t>; n</w:t>
      </w:r>
      <w:r w:rsidRPr="002920BB">
        <w:rPr>
          <w:sz w:val="18"/>
          <w:szCs w:val="18"/>
        </w:rPr>
        <w:t>ukleárna medicína</w:t>
      </w:r>
      <w:r>
        <w:rPr>
          <w:sz w:val="18"/>
          <w:szCs w:val="18"/>
        </w:rPr>
        <w:t>; o</w:t>
      </w:r>
      <w:r w:rsidRPr="002920BB">
        <w:rPr>
          <w:sz w:val="18"/>
          <w:szCs w:val="18"/>
        </w:rPr>
        <w:t>šetrovateľstvo - všeobecné postupy (procesy)</w:t>
      </w:r>
      <w:r>
        <w:rPr>
          <w:sz w:val="18"/>
          <w:szCs w:val="18"/>
        </w:rPr>
        <w:t>; ošetrovateľstvo – paliatívna medicína; o</w:t>
      </w:r>
      <w:r w:rsidRPr="002920BB">
        <w:rPr>
          <w:sz w:val="18"/>
          <w:szCs w:val="18"/>
        </w:rPr>
        <w:t xml:space="preserve">šetrovateľstvo </w:t>
      </w:r>
      <w:r>
        <w:rPr>
          <w:sz w:val="18"/>
          <w:szCs w:val="18"/>
        </w:rPr>
        <w:t>–</w:t>
      </w:r>
      <w:r w:rsidRPr="002920BB">
        <w:rPr>
          <w:sz w:val="18"/>
          <w:szCs w:val="18"/>
        </w:rPr>
        <w:t xml:space="preserve"> </w:t>
      </w:r>
      <w:r>
        <w:rPr>
          <w:sz w:val="18"/>
          <w:szCs w:val="18"/>
        </w:rPr>
        <w:t xml:space="preserve">špeciálne </w:t>
      </w:r>
      <w:r w:rsidRPr="002920BB">
        <w:rPr>
          <w:sz w:val="18"/>
          <w:szCs w:val="18"/>
        </w:rPr>
        <w:t>procesné štandardy</w:t>
      </w:r>
      <w:r>
        <w:rPr>
          <w:sz w:val="18"/>
          <w:szCs w:val="18"/>
        </w:rPr>
        <w:t>; p</w:t>
      </w:r>
      <w:r w:rsidRPr="002920BB">
        <w:rPr>
          <w:sz w:val="18"/>
          <w:szCs w:val="18"/>
        </w:rPr>
        <w:t xml:space="preserve">rimárna </w:t>
      </w:r>
      <w:r>
        <w:rPr>
          <w:sz w:val="18"/>
          <w:szCs w:val="18"/>
        </w:rPr>
        <w:t>p</w:t>
      </w:r>
      <w:r w:rsidRPr="002920BB">
        <w:rPr>
          <w:sz w:val="18"/>
          <w:szCs w:val="18"/>
        </w:rPr>
        <w:t>ediatria</w:t>
      </w:r>
      <w:r>
        <w:rPr>
          <w:sz w:val="18"/>
          <w:szCs w:val="18"/>
        </w:rPr>
        <w:t>; p</w:t>
      </w:r>
      <w:r w:rsidRPr="002920BB">
        <w:rPr>
          <w:sz w:val="18"/>
          <w:szCs w:val="18"/>
        </w:rPr>
        <w:t>sychiatria</w:t>
      </w:r>
      <w:r>
        <w:rPr>
          <w:sz w:val="18"/>
          <w:szCs w:val="18"/>
        </w:rPr>
        <w:t>; r</w:t>
      </w:r>
      <w:r w:rsidRPr="002920BB">
        <w:rPr>
          <w:sz w:val="18"/>
          <w:szCs w:val="18"/>
        </w:rPr>
        <w:t>adiačná onkológia</w:t>
      </w:r>
      <w:r>
        <w:rPr>
          <w:sz w:val="18"/>
          <w:szCs w:val="18"/>
        </w:rPr>
        <w:t>; s</w:t>
      </w:r>
      <w:r w:rsidRPr="002920BB">
        <w:rPr>
          <w:sz w:val="18"/>
          <w:szCs w:val="18"/>
        </w:rPr>
        <w:t>kiagrafia a</w:t>
      </w:r>
      <w:r>
        <w:rPr>
          <w:sz w:val="18"/>
          <w:szCs w:val="18"/>
        </w:rPr>
        <w:t> </w:t>
      </w:r>
      <w:r w:rsidRPr="002920BB">
        <w:rPr>
          <w:sz w:val="18"/>
          <w:szCs w:val="18"/>
        </w:rPr>
        <w:t>skiaskopia</w:t>
      </w:r>
      <w:r>
        <w:rPr>
          <w:sz w:val="18"/>
          <w:szCs w:val="18"/>
        </w:rPr>
        <w:t>; p</w:t>
      </w:r>
      <w:r w:rsidRPr="002920BB">
        <w:rPr>
          <w:sz w:val="18"/>
          <w:szCs w:val="18"/>
        </w:rPr>
        <w:t>očítačová tomografia</w:t>
      </w:r>
      <w:r>
        <w:rPr>
          <w:sz w:val="18"/>
          <w:szCs w:val="18"/>
        </w:rPr>
        <w:t>; d</w:t>
      </w:r>
      <w:r w:rsidRPr="002920BB">
        <w:rPr>
          <w:sz w:val="18"/>
          <w:szCs w:val="18"/>
        </w:rPr>
        <w:t>iagnostická mamografia</w:t>
      </w:r>
      <w:r>
        <w:rPr>
          <w:sz w:val="18"/>
          <w:szCs w:val="18"/>
        </w:rPr>
        <w:t>; s</w:t>
      </w:r>
      <w:r w:rsidRPr="002920BB">
        <w:rPr>
          <w:sz w:val="18"/>
          <w:szCs w:val="18"/>
        </w:rPr>
        <w:t>kríningová mamografia</w:t>
      </w:r>
      <w:r>
        <w:rPr>
          <w:sz w:val="18"/>
          <w:szCs w:val="18"/>
        </w:rPr>
        <w:t>; i</w:t>
      </w:r>
      <w:r w:rsidRPr="002920BB">
        <w:rPr>
          <w:sz w:val="18"/>
          <w:szCs w:val="18"/>
        </w:rPr>
        <w:t xml:space="preserve">nterdisciplinárna </w:t>
      </w:r>
      <w:r>
        <w:rPr>
          <w:sz w:val="18"/>
          <w:szCs w:val="18"/>
        </w:rPr>
        <w:t>oblasť –</w:t>
      </w:r>
      <w:r w:rsidRPr="002920BB">
        <w:rPr>
          <w:sz w:val="18"/>
          <w:szCs w:val="18"/>
        </w:rPr>
        <w:t xml:space="preserve"> BF</w:t>
      </w:r>
      <w:r>
        <w:rPr>
          <w:sz w:val="18"/>
          <w:szCs w:val="18"/>
        </w:rPr>
        <w:t>H</w:t>
      </w:r>
      <w:r w:rsidRPr="002920BB">
        <w:rPr>
          <w:sz w:val="18"/>
          <w:szCs w:val="18"/>
        </w:rPr>
        <w:t>I</w:t>
      </w:r>
      <w:r>
        <w:rPr>
          <w:sz w:val="18"/>
          <w:szCs w:val="18"/>
        </w:rPr>
        <w:t>; k</w:t>
      </w:r>
      <w:r w:rsidRPr="002920BB">
        <w:rPr>
          <w:sz w:val="18"/>
          <w:szCs w:val="18"/>
        </w:rPr>
        <w:t>ardiológia</w:t>
      </w:r>
      <w:r>
        <w:rPr>
          <w:sz w:val="18"/>
          <w:szCs w:val="18"/>
        </w:rPr>
        <w:t>; e</w:t>
      </w:r>
      <w:r w:rsidRPr="002920BB">
        <w:rPr>
          <w:sz w:val="18"/>
          <w:szCs w:val="18"/>
        </w:rPr>
        <w:t>ndokrinológia</w:t>
      </w:r>
      <w:r>
        <w:rPr>
          <w:sz w:val="18"/>
          <w:szCs w:val="18"/>
        </w:rPr>
        <w:t>; f</w:t>
      </w:r>
      <w:r w:rsidRPr="002920BB">
        <w:rPr>
          <w:sz w:val="18"/>
          <w:szCs w:val="18"/>
        </w:rPr>
        <w:t>yziatria, balneológia a liečebná rehabilitácia</w:t>
      </w:r>
      <w:r>
        <w:rPr>
          <w:sz w:val="18"/>
          <w:szCs w:val="18"/>
        </w:rPr>
        <w:t>; f</w:t>
      </w:r>
      <w:r w:rsidRPr="002920BB">
        <w:rPr>
          <w:sz w:val="18"/>
          <w:szCs w:val="18"/>
        </w:rPr>
        <w:t>yzioterapia</w:t>
      </w:r>
      <w:r>
        <w:rPr>
          <w:sz w:val="18"/>
          <w:szCs w:val="18"/>
        </w:rPr>
        <w:t>; k</w:t>
      </w:r>
      <w:r w:rsidRPr="002920BB">
        <w:rPr>
          <w:sz w:val="18"/>
          <w:szCs w:val="18"/>
        </w:rPr>
        <w:t>linická logopédia</w:t>
      </w:r>
      <w:r>
        <w:rPr>
          <w:sz w:val="18"/>
          <w:szCs w:val="18"/>
        </w:rPr>
        <w:t>; k</w:t>
      </w:r>
      <w:r w:rsidRPr="002920BB">
        <w:rPr>
          <w:sz w:val="18"/>
          <w:szCs w:val="18"/>
        </w:rPr>
        <w:t>linická psychológia</w:t>
      </w:r>
      <w:r>
        <w:rPr>
          <w:sz w:val="18"/>
          <w:szCs w:val="18"/>
        </w:rPr>
        <w:t>; l</w:t>
      </w:r>
      <w:r w:rsidRPr="002920BB">
        <w:rPr>
          <w:sz w:val="18"/>
          <w:szCs w:val="18"/>
        </w:rPr>
        <w:t>iečebná pedagogika</w:t>
      </w:r>
      <w:r>
        <w:rPr>
          <w:sz w:val="18"/>
          <w:szCs w:val="18"/>
        </w:rPr>
        <w:t>; o</w:t>
      </w:r>
      <w:r w:rsidRPr="002920BB">
        <w:rPr>
          <w:sz w:val="18"/>
          <w:szCs w:val="18"/>
        </w:rPr>
        <w:t>nkologická genetika</w:t>
      </w:r>
      <w:r>
        <w:rPr>
          <w:sz w:val="18"/>
          <w:szCs w:val="18"/>
        </w:rPr>
        <w:t>.</w:t>
      </w:r>
    </w:p>
  </w:footnote>
  <w:footnote w:id="40">
    <w:p w14:paraId="39022B02" w14:textId="77777777" w:rsidR="006C0687" w:rsidRDefault="006C0687">
      <w:pPr>
        <w:pStyle w:val="Textpoznmkypodiarou"/>
      </w:pPr>
      <w:r w:rsidRPr="00EF05D1">
        <w:rPr>
          <w:rStyle w:val="Odkaznapoznmkupodiarou"/>
          <w:sz w:val="18"/>
        </w:rPr>
        <w:footnoteRef/>
      </w:r>
      <w:r w:rsidRPr="00EF05D1">
        <w:rPr>
          <w:sz w:val="18"/>
        </w:rPr>
        <w:t xml:space="preserve"> </w:t>
      </w:r>
      <w:hyperlink r:id="rId24" w:history="1">
        <w:r w:rsidRPr="00EF05D1">
          <w:rPr>
            <w:rStyle w:val="Hypertextovprepojenie"/>
            <w:sz w:val="18"/>
          </w:rPr>
          <w:t>Dodávka komunikačného modulu elab gateway v podmienkach rezortu zdravotníctva</w:t>
        </w:r>
      </w:hyperlink>
      <w:r w:rsidRPr="00EF05D1">
        <w:rPr>
          <w:sz w:val="18"/>
        </w:rPr>
        <w:t xml:space="preserve"> </w:t>
      </w:r>
    </w:p>
  </w:footnote>
  <w:footnote w:id="41">
    <w:p w14:paraId="2338AC77" w14:textId="77777777" w:rsidR="006C0687" w:rsidRDefault="006C0687" w:rsidP="00F64B85">
      <w:pPr>
        <w:pStyle w:val="Textpoznmkypodiarou"/>
      </w:pPr>
      <w:r w:rsidRPr="00F6699D">
        <w:rPr>
          <w:rStyle w:val="Odkaznapoznmkupodiarou"/>
          <w:sz w:val="18"/>
          <w:szCs w:val="18"/>
        </w:rPr>
        <w:footnoteRef/>
      </w:r>
      <w:r w:rsidRPr="00F6699D">
        <w:rPr>
          <w:sz w:val="18"/>
          <w:szCs w:val="18"/>
        </w:rPr>
        <w:t xml:space="preserve"> </w:t>
      </w:r>
      <w:hyperlink r:id="rId25" w:history="1">
        <w:r w:rsidRPr="006A5476">
          <w:rPr>
            <w:rStyle w:val="Hypertextovprepojenie"/>
            <w:sz w:val="18"/>
            <w:szCs w:val="18"/>
          </w:rPr>
          <w:t>Metodika výpočtu a konvergencie základnej sadzby pre roky 2018 - 2024</w:t>
        </w:r>
      </w:hyperlink>
    </w:p>
  </w:footnote>
  <w:footnote w:id="42">
    <w:p w14:paraId="503D28AC" w14:textId="77777777" w:rsidR="006C0687" w:rsidRPr="00EF4CAD" w:rsidRDefault="006C0687">
      <w:pPr>
        <w:pStyle w:val="Textpoznmkypodiarou"/>
        <w:rPr>
          <w:sz w:val="18"/>
        </w:rPr>
      </w:pPr>
      <w:r w:rsidRPr="00EF4CAD">
        <w:rPr>
          <w:rStyle w:val="Odkaznapoznmkupodiarou"/>
          <w:sz w:val="18"/>
        </w:rPr>
        <w:footnoteRef/>
      </w:r>
      <w:r w:rsidRPr="00EF4CAD">
        <w:rPr>
          <w:sz w:val="18"/>
        </w:rPr>
        <w:t xml:space="preserve"> </w:t>
      </w:r>
      <w:hyperlink r:id="rId26" w:history="1">
        <w:r w:rsidRPr="006E630F">
          <w:rPr>
            <w:rStyle w:val="Hypertextovprepojenie"/>
            <w:sz w:val="18"/>
          </w:rPr>
          <w:t>Vyhláška č. 362/2010 Sb. Vyhláška o způsobu podávání informací o hospodaření zdravotních pojišťoven a jejich rozsahu</w:t>
        </w:r>
      </w:hyperlink>
    </w:p>
  </w:footnote>
  <w:footnote w:id="43">
    <w:p w14:paraId="554E2759" w14:textId="77777777" w:rsidR="006C0687" w:rsidRPr="00EF4CAD" w:rsidRDefault="006C0687">
      <w:pPr>
        <w:pStyle w:val="Textpoznmkypodiarou"/>
        <w:rPr>
          <w:sz w:val="18"/>
        </w:rPr>
      </w:pPr>
      <w:r w:rsidRPr="00EF4CAD">
        <w:rPr>
          <w:rStyle w:val="Odkaznapoznmkupodiarou"/>
          <w:sz w:val="18"/>
        </w:rPr>
        <w:footnoteRef/>
      </w:r>
      <w:r w:rsidRPr="00EF4CAD">
        <w:rPr>
          <w:sz w:val="18"/>
        </w:rPr>
        <w:t xml:space="preserve"> Health Technology Assessment</w:t>
      </w:r>
    </w:p>
  </w:footnote>
  <w:footnote w:id="44">
    <w:p w14:paraId="32486B82" w14:textId="77777777" w:rsidR="006C0687" w:rsidRPr="00EF4CAD" w:rsidRDefault="006C0687">
      <w:pPr>
        <w:pStyle w:val="Textpoznmkypodiarou"/>
        <w:rPr>
          <w:sz w:val="18"/>
        </w:rPr>
      </w:pPr>
      <w:r w:rsidRPr="00EF4CAD">
        <w:rPr>
          <w:rStyle w:val="Odkaznapoznmkupodiarou"/>
          <w:sz w:val="18"/>
        </w:rPr>
        <w:footnoteRef/>
      </w:r>
      <w:r w:rsidRPr="00EF4CAD">
        <w:rPr>
          <w:sz w:val="18"/>
        </w:rPr>
        <w:t xml:space="preserve"> Automatická valorizácia miezd niektorých pracovníkov v ústavných zdravotníckych zariadeniach podľa rastu priemernej mzdy zamestnanca v slovenskom hospodárstve. Bližšie zákon č. 578/2004 Z. z.</w:t>
      </w:r>
    </w:p>
  </w:footnote>
  <w:footnote w:id="45">
    <w:p w14:paraId="386EDE87" w14:textId="1F7048A3" w:rsidR="006C0687" w:rsidRPr="00524A9B" w:rsidRDefault="006C0687" w:rsidP="00985E7A">
      <w:pPr>
        <w:pStyle w:val="Textpoznmkypodiarou"/>
        <w:rPr>
          <w:sz w:val="18"/>
          <w:u w:val="single"/>
        </w:rPr>
      </w:pPr>
      <w:r w:rsidRPr="00184622">
        <w:rPr>
          <w:rStyle w:val="Odkaznapoznmkupodiarou"/>
          <w:sz w:val="18"/>
        </w:rPr>
        <w:footnoteRef/>
      </w:r>
      <w:r w:rsidRPr="00184622">
        <w:rPr>
          <w:sz w:val="18"/>
        </w:rPr>
        <w:t xml:space="preserve"> </w:t>
      </w:r>
      <w:hyperlink r:id="rId27" w:history="1">
        <w:r w:rsidRPr="00791D4E">
          <w:rPr>
            <w:rStyle w:val="Hypertextovprepojenie"/>
            <w:sz w:val="18"/>
          </w:rPr>
          <w:t>https://www.mfsr.sk/files/archiv/91/prioritizacia_metodika_20191218.pdf</w:t>
        </w:r>
      </w:hyperlink>
      <w:r>
        <w:rPr>
          <w:sz w:val="18"/>
        </w:rPr>
        <w:t xml:space="preserve"> </w:t>
      </w:r>
    </w:p>
  </w:footnote>
  <w:footnote w:id="46">
    <w:p w14:paraId="105BAB00" w14:textId="77777777" w:rsidR="006C0687" w:rsidRPr="00CD1DAC" w:rsidRDefault="006C0687" w:rsidP="00985E7A">
      <w:pPr>
        <w:pStyle w:val="Textpoznmkypodiarou"/>
        <w:rPr>
          <w:sz w:val="18"/>
        </w:rPr>
      </w:pPr>
      <w:r w:rsidRPr="00CD1DAC">
        <w:rPr>
          <w:rStyle w:val="Odkaznapoznmkupodiarou"/>
          <w:sz w:val="18"/>
        </w:rPr>
        <w:footnoteRef/>
      </w:r>
      <w:r w:rsidRPr="00CD1DAC">
        <w:rPr>
          <w:sz w:val="18"/>
        </w:rPr>
        <w:t xml:space="preserve"> Uznesenie vlády č. 188/2019, úloha B.2.</w:t>
      </w:r>
    </w:p>
  </w:footnote>
  <w:footnote w:id="47">
    <w:p w14:paraId="27BBDD31" w14:textId="285AAAB5" w:rsidR="006C0687" w:rsidRPr="00E03FBA" w:rsidRDefault="006C0687">
      <w:pPr>
        <w:pStyle w:val="Textpoznmkypodiarou"/>
        <w:rPr>
          <w:sz w:val="18"/>
        </w:rPr>
      </w:pPr>
      <w:r w:rsidRPr="00E03FBA">
        <w:rPr>
          <w:rStyle w:val="Odkaznapoznmkupodiarou"/>
          <w:sz w:val="18"/>
        </w:rPr>
        <w:footnoteRef/>
      </w:r>
      <w:r w:rsidRPr="00E03FBA">
        <w:rPr>
          <w:sz w:val="18"/>
        </w:rPr>
        <w:t xml:space="preserve"> </w:t>
      </w:r>
      <w:r>
        <w:rPr>
          <w:sz w:val="18"/>
        </w:rPr>
        <w:t>Revízia výdavkov na dopravu</w:t>
      </w:r>
    </w:p>
  </w:footnote>
  <w:footnote w:id="48">
    <w:p w14:paraId="6D21717F" w14:textId="77777777" w:rsidR="006C0687" w:rsidRPr="0033190B" w:rsidRDefault="006C0687">
      <w:pPr>
        <w:pStyle w:val="Textpoznmkypodiarou"/>
        <w:rPr>
          <w:sz w:val="18"/>
          <w:szCs w:val="18"/>
        </w:rPr>
      </w:pPr>
      <w:r w:rsidRPr="0033190B">
        <w:rPr>
          <w:rStyle w:val="Odkaznapoznmkupodiarou"/>
          <w:sz w:val="18"/>
          <w:szCs w:val="18"/>
        </w:rPr>
        <w:footnoteRef/>
      </w:r>
      <w:r w:rsidRPr="0033190B">
        <w:rPr>
          <w:sz w:val="18"/>
          <w:szCs w:val="18"/>
        </w:rPr>
        <w:t xml:space="preserve"> </w:t>
      </w:r>
      <w:hyperlink r:id="rId28" w:history="1">
        <w:r w:rsidRPr="00184622">
          <w:rPr>
            <w:rStyle w:val="Hypertextovprepojenie"/>
            <w:sz w:val="18"/>
            <w:szCs w:val="18"/>
          </w:rPr>
          <w:t>Memorandum o spolupráci</w:t>
        </w:r>
      </w:hyperlink>
    </w:p>
  </w:footnote>
  <w:footnote w:id="49">
    <w:p w14:paraId="370C0707" w14:textId="4D6389C1" w:rsidR="006C0687" w:rsidRPr="0043650D" w:rsidRDefault="006C0687">
      <w:pPr>
        <w:pStyle w:val="Textpoznmkypodiarou"/>
        <w:rPr>
          <w:sz w:val="18"/>
        </w:rPr>
      </w:pPr>
      <w:r w:rsidRPr="00566B3C">
        <w:rPr>
          <w:rStyle w:val="Odkaznapoznmkupodiarou"/>
          <w:sz w:val="18"/>
        </w:rPr>
        <w:footnoteRef/>
      </w:r>
      <w:r w:rsidRPr="00566B3C">
        <w:rPr>
          <w:sz w:val="18"/>
        </w:rPr>
        <w:t xml:space="preserve"> </w:t>
      </w:r>
      <w:hyperlink r:id="rId29" w:history="1">
        <w:r w:rsidRPr="00566B3C">
          <w:rPr>
            <w:rStyle w:val="Hypertextovprepojenie"/>
            <w:sz w:val="18"/>
          </w:rPr>
          <w:t>Tlačové vyhlásenie k memorandu o spolupráci</w:t>
        </w:r>
      </w:hyperlink>
    </w:p>
  </w:footnote>
  <w:footnote w:id="50">
    <w:p w14:paraId="637674FA" w14:textId="481AD528" w:rsidR="006C0687" w:rsidRPr="00566B3C" w:rsidRDefault="006C0687">
      <w:pPr>
        <w:pStyle w:val="Textpoznmkypodiarou"/>
        <w:rPr>
          <w:sz w:val="18"/>
          <w:szCs w:val="18"/>
        </w:rPr>
      </w:pPr>
      <w:r w:rsidRPr="00566B3C">
        <w:rPr>
          <w:rStyle w:val="Odkaznapoznmkupodiarou"/>
          <w:sz w:val="18"/>
          <w:szCs w:val="18"/>
        </w:rPr>
        <w:footnoteRef/>
      </w:r>
      <w:r w:rsidRPr="00566B3C">
        <w:rPr>
          <w:sz w:val="18"/>
          <w:szCs w:val="18"/>
        </w:rPr>
        <w:t xml:space="preserve"> </w:t>
      </w:r>
      <w:hyperlink r:id="rId30" w:history="1">
        <w:r w:rsidRPr="00566B3C">
          <w:rPr>
            <w:rStyle w:val="Hypertextovprepojenie"/>
            <w:sz w:val="18"/>
            <w:szCs w:val="18"/>
          </w:rPr>
          <w:t>https://www.uvo.gov.sk/vyhladavanie-dokumentov/document/3060211/content/993607/download</w:t>
        </w:r>
      </w:hyperlink>
      <w:r w:rsidRPr="00566B3C">
        <w:rPr>
          <w:sz w:val="18"/>
          <w:szCs w:val="18"/>
        </w:rPr>
        <w:t xml:space="preserve"> </w:t>
      </w:r>
    </w:p>
  </w:footnote>
  <w:footnote w:id="51">
    <w:p w14:paraId="52728811" w14:textId="3F659EAF" w:rsidR="006C0687" w:rsidRPr="0029542B" w:rsidRDefault="006C0687" w:rsidP="00985E7A">
      <w:pPr>
        <w:pStyle w:val="Textpoznmkypodiarou"/>
        <w:rPr>
          <w:sz w:val="18"/>
        </w:rPr>
      </w:pPr>
      <w:r w:rsidRPr="0029542B">
        <w:rPr>
          <w:rStyle w:val="Odkaznapoznmkupodiarou"/>
          <w:sz w:val="18"/>
        </w:rPr>
        <w:footnoteRef/>
      </w:r>
      <w:r w:rsidRPr="0029542B">
        <w:rPr>
          <w:sz w:val="18"/>
        </w:rPr>
        <w:t xml:space="preserve"> </w:t>
      </w:r>
      <w:hyperlink r:id="rId31" w:history="1">
        <w:r w:rsidRPr="00791D4E">
          <w:rPr>
            <w:rStyle w:val="Hypertextovprepojenie"/>
            <w:sz w:val="18"/>
          </w:rPr>
          <w:t>https://www.mfsr.sk/files/archiv/48/PrezentaciaZSR_20191016.pdf</w:t>
        </w:r>
      </w:hyperlink>
      <w:r>
        <w:rPr>
          <w:sz w:val="18"/>
        </w:rPr>
        <w:t xml:space="preserve"> </w:t>
      </w:r>
      <w:r w:rsidRPr="0029542B">
        <w:rPr>
          <w:sz w:val="18"/>
        </w:rPr>
        <w:t>Zefektívnenie procesov zníži náklady ročne o 26 mil. eur, zmenšenie rozsahu spravovaných tratí prinesie 8 mil. eur ročne, možnosť zvýšiť výkony v údržbe v hodnote 19 mil. eur ročne, automatizáciou riadenia dopravy sa znížia náklady o 26 mil. eur ročne, podmienka je presmerovanie 300 mil. eur do investícií, ktoré by mali byť realizované ako prioritné, predaj nepotrebného majetku prinesie jednorazovo 72 mil. eur</w:t>
      </w:r>
    </w:p>
  </w:footnote>
  <w:footnote w:id="52">
    <w:p w14:paraId="0EDAC793" w14:textId="77777777" w:rsidR="006C0687" w:rsidRPr="000277BA" w:rsidRDefault="006C0687" w:rsidP="00985E7A">
      <w:pPr>
        <w:pStyle w:val="Textpoznmkypodiarou"/>
        <w:rPr>
          <w:sz w:val="18"/>
        </w:rPr>
      </w:pPr>
      <w:r w:rsidRPr="000277BA">
        <w:rPr>
          <w:rStyle w:val="Odkaznapoznmkupodiarou"/>
          <w:sz w:val="18"/>
        </w:rPr>
        <w:footnoteRef/>
      </w:r>
      <w:r w:rsidRPr="000277BA">
        <w:rPr>
          <w:sz w:val="18"/>
        </w:rPr>
        <w:t xml:space="preserve"> R2 Kriváň </w:t>
      </w:r>
      <w:r>
        <w:rPr>
          <w:sz w:val="18"/>
        </w:rPr>
        <w:t>–</w:t>
      </w:r>
      <w:r w:rsidRPr="000277BA">
        <w:rPr>
          <w:sz w:val="18"/>
        </w:rPr>
        <w:t xml:space="preserve"> Mýtna</w:t>
      </w:r>
      <w:r>
        <w:rPr>
          <w:sz w:val="18"/>
        </w:rPr>
        <w:t xml:space="preserve">, </w:t>
      </w:r>
      <w:r w:rsidRPr="000277BA">
        <w:rPr>
          <w:sz w:val="18"/>
        </w:rPr>
        <w:t>Modernizácia elektronickej komunikačnej siete ŽSR</w:t>
      </w:r>
      <w:r>
        <w:rPr>
          <w:sz w:val="18"/>
        </w:rPr>
        <w:t xml:space="preserve"> a </w:t>
      </w:r>
      <w:r w:rsidRPr="0004205C">
        <w:rPr>
          <w:sz w:val="18"/>
        </w:rPr>
        <w:t>R2 Rožňava – Jablonov nad Turňou (Soroška)</w:t>
      </w:r>
    </w:p>
  </w:footnote>
  <w:footnote w:id="53">
    <w:p w14:paraId="7A270C3E" w14:textId="77777777" w:rsidR="006C0687" w:rsidRDefault="006C0687" w:rsidP="00985E7A">
      <w:pPr>
        <w:pStyle w:val="Textpoznmkypodiarou"/>
      </w:pPr>
      <w:r>
        <w:rPr>
          <w:rStyle w:val="Odkaznapoznmkupodiarou"/>
        </w:rPr>
        <w:footnoteRef/>
      </w:r>
      <w:r>
        <w:t xml:space="preserve"> </w:t>
      </w:r>
      <w:r w:rsidRPr="000277BA">
        <w:rPr>
          <w:sz w:val="18"/>
        </w:rPr>
        <w:t>Centralizácia riadenia systémov bezpečnosti objektov ŽSR a zabezpečenie štandardov železničných staníc, Nákup vozidiel pre ozubnicovú železnicu</w:t>
      </w:r>
    </w:p>
  </w:footnote>
  <w:footnote w:id="54">
    <w:p w14:paraId="470DAF6B" w14:textId="77777777" w:rsidR="006C0687" w:rsidRPr="00AE271D" w:rsidRDefault="006C0687">
      <w:pPr>
        <w:pStyle w:val="Textpoznmkypodiarou"/>
        <w:rPr>
          <w:sz w:val="18"/>
        </w:rPr>
      </w:pPr>
      <w:r w:rsidRPr="00AE271D">
        <w:rPr>
          <w:rStyle w:val="Odkaznapoznmkupodiarou"/>
          <w:sz w:val="18"/>
        </w:rPr>
        <w:footnoteRef/>
      </w:r>
      <w:r w:rsidRPr="00AE271D">
        <w:rPr>
          <w:sz w:val="18"/>
        </w:rPr>
        <w:t xml:space="preserve"> </w:t>
      </w:r>
      <w:hyperlink r:id="rId32" w:history="1">
        <w:r w:rsidRPr="00953114">
          <w:rPr>
            <w:rStyle w:val="Hypertextovprepojenie"/>
            <w:sz w:val="18"/>
          </w:rPr>
          <w:t>Metodika pre tvorbu ŠU</w:t>
        </w:r>
      </w:hyperlink>
    </w:p>
  </w:footnote>
  <w:footnote w:id="55">
    <w:p w14:paraId="730F7050" w14:textId="77777777" w:rsidR="006C0687" w:rsidRPr="002E6F96" w:rsidRDefault="006C0687">
      <w:pPr>
        <w:pStyle w:val="Textpoznmkypodiarou"/>
        <w:rPr>
          <w:sz w:val="18"/>
        </w:rPr>
      </w:pPr>
      <w:r w:rsidRPr="002E6F96">
        <w:rPr>
          <w:rStyle w:val="Odkaznapoznmkupodiarou"/>
          <w:sz w:val="18"/>
        </w:rPr>
        <w:footnoteRef/>
      </w:r>
      <w:r w:rsidRPr="002E6F96">
        <w:rPr>
          <w:sz w:val="18"/>
        </w:rPr>
        <w:t xml:space="preserve"> </w:t>
      </w:r>
      <w:hyperlink r:id="rId33" w:history="1">
        <w:r w:rsidRPr="00953114">
          <w:rPr>
            <w:rStyle w:val="Hypertextovprepojenie"/>
            <w:sz w:val="18"/>
          </w:rPr>
          <w:t>Metodika CBA</w:t>
        </w:r>
      </w:hyperlink>
    </w:p>
  </w:footnote>
  <w:footnote w:id="56">
    <w:p w14:paraId="3254A21A" w14:textId="77777777" w:rsidR="006C0687" w:rsidRPr="006711FF" w:rsidRDefault="006C0687" w:rsidP="00985E7A">
      <w:pPr>
        <w:pStyle w:val="Textpoznmkypodiarou"/>
        <w:rPr>
          <w:sz w:val="18"/>
          <w:szCs w:val="18"/>
        </w:rPr>
      </w:pPr>
      <w:r w:rsidRPr="006711FF">
        <w:rPr>
          <w:rStyle w:val="Odkaznapoznmkupodiarou"/>
          <w:sz w:val="18"/>
          <w:szCs w:val="18"/>
        </w:rPr>
        <w:footnoteRef/>
      </w:r>
      <w:r w:rsidRPr="006711FF">
        <w:rPr>
          <w:sz w:val="18"/>
          <w:szCs w:val="18"/>
        </w:rPr>
        <w:t xml:space="preserve"> list zo dňa 28.1.2019</w:t>
      </w:r>
    </w:p>
  </w:footnote>
  <w:footnote w:id="57">
    <w:p w14:paraId="73DB8ECB" w14:textId="77777777" w:rsidR="006C0687" w:rsidRPr="00AF2D0A" w:rsidRDefault="006C0687">
      <w:pPr>
        <w:pStyle w:val="Textpoznmkypodiarou"/>
        <w:rPr>
          <w:sz w:val="18"/>
        </w:rPr>
      </w:pPr>
      <w:r w:rsidRPr="00AF2D0A">
        <w:rPr>
          <w:rStyle w:val="Odkaznapoznmkupodiarou"/>
          <w:sz w:val="18"/>
        </w:rPr>
        <w:footnoteRef/>
      </w:r>
      <w:r w:rsidRPr="00AF2D0A">
        <w:rPr>
          <w:sz w:val="18"/>
        </w:rPr>
        <w:t xml:space="preserve"> </w:t>
      </w:r>
      <w:r w:rsidRPr="00AF2D0A">
        <w:rPr>
          <w:bCs/>
          <w:sz w:val="18"/>
        </w:rPr>
        <w:t xml:space="preserve">Posúdenie ekonomickej výhodnosti uloženia záväzku služby vo verejnom záujme na pravidelnej leteckej linke Bratislava-Košice </w:t>
      </w:r>
    </w:p>
  </w:footnote>
  <w:footnote w:id="58">
    <w:p w14:paraId="4901E94C" w14:textId="77777777" w:rsidR="006C0687" w:rsidRPr="00926BE0" w:rsidRDefault="006C0687">
      <w:pPr>
        <w:pStyle w:val="Textpoznmkypodiarou"/>
        <w:rPr>
          <w:sz w:val="18"/>
        </w:rPr>
      </w:pPr>
      <w:r w:rsidRPr="00926BE0">
        <w:rPr>
          <w:rStyle w:val="Odkaznapoznmkupodiarou"/>
          <w:sz w:val="18"/>
        </w:rPr>
        <w:footnoteRef/>
      </w:r>
      <w:r w:rsidRPr="00926BE0">
        <w:rPr>
          <w:sz w:val="18"/>
        </w:rPr>
        <w:t xml:space="preserve"> „</w:t>
      </w:r>
      <w:r w:rsidRPr="00926BE0">
        <w:rPr>
          <w:bCs/>
          <w:sz w:val="18"/>
        </w:rPr>
        <w:t>Naozaj sa nedá urobiť viac? (Bezpečnosť železničných priecestí)“ a „Ako sa „hýbeme“ Mobilitné správanie obyvateľstva“</w:t>
      </w:r>
    </w:p>
  </w:footnote>
  <w:footnote w:id="59">
    <w:p w14:paraId="695FE3A5" w14:textId="77777777" w:rsidR="006C0687" w:rsidRDefault="006C0687" w:rsidP="00985E7A">
      <w:pPr>
        <w:pStyle w:val="Textpoznmkypodiarou"/>
      </w:pPr>
      <w:r>
        <w:rPr>
          <w:rStyle w:val="Odkaznapoznmkupodiarou"/>
        </w:rPr>
        <w:footnoteRef/>
      </w:r>
      <w:r>
        <w:t xml:space="preserve"> </w:t>
      </w:r>
      <w:r w:rsidRPr="009A5DE2">
        <w:rPr>
          <w:sz w:val="18"/>
          <w:szCs w:val="18"/>
        </w:rPr>
        <w:t>Aktualizovaný termín na základe Im</w:t>
      </w:r>
      <w:r>
        <w:rPr>
          <w:sz w:val="18"/>
          <w:szCs w:val="18"/>
        </w:rPr>
        <w:t>plementačných plánov na rok 2019</w:t>
      </w:r>
      <w:r w:rsidRPr="009A5DE2">
        <w:rPr>
          <w:sz w:val="18"/>
          <w:szCs w:val="18"/>
        </w:rPr>
        <w:t>.</w:t>
      </w:r>
    </w:p>
  </w:footnote>
  <w:footnote w:id="60">
    <w:p w14:paraId="1EAD2562" w14:textId="77777777" w:rsidR="006C0687" w:rsidRPr="00FC67E9" w:rsidRDefault="006C0687" w:rsidP="00985E7A">
      <w:pPr>
        <w:pStyle w:val="Textpoznmkypodiarou"/>
        <w:rPr>
          <w:sz w:val="18"/>
        </w:rPr>
      </w:pPr>
      <w:r w:rsidRPr="00FC67E9">
        <w:rPr>
          <w:rStyle w:val="Odkaznapoznmkupodiarou"/>
          <w:sz w:val="18"/>
        </w:rPr>
        <w:footnoteRef/>
      </w:r>
      <w:r w:rsidRPr="00FC67E9">
        <w:rPr>
          <w:sz w:val="18"/>
        </w:rPr>
        <w:t xml:space="preserve"> </w:t>
      </w:r>
      <w:hyperlink r:id="rId34" w:history="1">
        <w:r w:rsidRPr="00953114">
          <w:rPr>
            <w:rStyle w:val="Hypertextovprepojenie"/>
            <w:sz w:val="18"/>
          </w:rPr>
          <w:t>Metodika pre tvorbu ŠU</w:t>
        </w:r>
      </w:hyperlink>
    </w:p>
  </w:footnote>
  <w:footnote w:id="61">
    <w:p w14:paraId="737FDE6A" w14:textId="77777777" w:rsidR="006C0687" w:rsidRDefault="006C0687">
      <w:pPr>
        <w:pStyle w:val="Textpoznmkypodiarou"/>
      </w:pPr>
      <w:r>
        <w:rPr>
          <w:rStyle w:val="Odkaznapoznmkupodiarou"/>
        </w:rPr>
        <w:footnoteRef/>
      </w:r>
      <w:r>
        <w:t xml:space="preserve"> </w:t>
      </w:r>
      <w:r w:rsidRPr="00CD6F63">
        <w:rPr>
          <w:sz w:val="18"/>
        </w:rPr>
        <w:t>ŽSR: Elektrifikácia trate Bánovce nad Ondavou – Humenné, ŽSR: Dispečerizácia Prievidza – Jelšovce, NDS: R8 Nitra -- križovatka s R2</w:t>
      </w:r>
    </w:p>
  </w:footnote>
  <w:footnote w:id="62">
    <w:p w14:paraId="0B848318" w14:textId="735A41DD" w:rsidR="006C0687" w:rsidRPr="009C570B" w:rsidRDefault="006C0687" w:rsidP="00985E7A">
      <w:pPr>
        <w:pStyle w:val="Textpoznmkypodiarou"/>
        <w:rPr>
          <w:sz w:val="18"/>
        </w:rPr>
      </w:pPr>
      <w:r w:rsidRPr="009C570B">
        <w:rPr>
          <w:rStyle w:val="Odkaznapoznmkupodiarou"/>
        </w:rPr>
        <w:footnoteRef/>
      </w:r>
      <w:r w:rsidRPr="009C570B">
        <w:t xml:space="preserve"> </w:t>
      </w:r>
      <w:r w:rsidRPr="009C570B">
        <w:rPr>
          <w:sz w:val="18"/>
        </w:rPr>
        <w:t xml:space="preserve">IS Komplexného vybavenia cestujúcich (KVC) </w:t>
      </w:r>
      <w:hyperlink r:id="rId35" w:history="1">
        <w:r w:rsidRPr="00150345">
          <w:rPr>
            <w:rStyle w:val="Hypertextovprepojenie"/>
            <w:sz w:val="18"/>
          </w:rPr>
          <w:t>https://www.mfsr.sk/files/archiv/37/KVC_UHP_hodnotenie_20190812_2.pdf</w:t>
        </w:r>
        <w:r w:rsidRPr="00734519">
          <w:rPr>
            <w:rStyle w:val="Hypertextovprepojenie"/>
            <w:sz w:val="18"/>
          </w:rPr>
          <w:t xml:space="preserve"> </w:t>
        </w:r>
        <w:r w:rsidRPr="00150345">
          <w:rPr>
            <w:rStyle w:val="Hypertextovprepojenie"/>
            <w:color w:val="auto"/>
            <w:sz w:val="18"/>
            <w:u w:val="none"/>
          </w:rPr>
          <w:t>Náklady v</w:t>
        </w:r>
        <w:r w:rsidRPr="00734519">
          <w:rPr>
            <w:rStyle w:val="Hypertextovprepojenie"/>
            <w:sz w:val="18"/>
          </w:rPr>
          <w:t xml:space="preserve"> </w:t>
        </w:r>
        <w:r w:rsidRPr="00150345">
          <w:rPr>
            <w:rStyle w:val="Hypertextovprepojenie"/>
            <w:color w:val="auto"/>
            <w:sz w:val="18"/>
            <w:u w:val="none"/>
          </w:rPr>
          <w:t>hodnote 29,8</w:t>
        </w:r>
      </w:hyperlink>
      <w:r w:rsidRPr="00150345">
        <w:rPr>
          <w:rStyle w:val="Hypertextovprepojenie"/>
          <w:color w:val="auto"/>
          <w:sz w:val="18"/>
          <w:u w:val="none"/>
        </w:rPr>
        <w:t xml:space="preserve"> mil. eur pozostávajú z investičných nákladov vo výške 11,4 mil. eur a prevádzkových nákladov vo výške 18,4 mil. eur.</w:t>
      </w:r>
    </w:p>
  </w:footnote>
  <w:footnote w:id="63">
    <w:p w14:paraId="75A5E97C" w14:textId="77777777" w:rsidR="006C0687" w:rsidRPr="00B870A4" w:rsidRDefault="006C0687" w:rsidP="00985E7A">
      <w:pPr>
        <w:pStyle w:val="Textpoznmkypodiarou"/>
        <w:rPr>
          <w:sz w:val="18"/>
        </w:rPr>
      </w:pPr>
      <w:r w:rsidRPr="00B870A4">
        <w:rPr>
          <w:rStyle w:val="Odkaznapoznmkupodiarou"/>
          <w:sz w:val="18"/>
        </w:rPr>
        <w:footnoteRef/>
      </w:r>
      <w:r w:rsidRPr="00B870A4">
        <w:rPr>
          <w:sz w:val="18"/>
        </w:rPr>
        <w:t xml:space="preserve"> </w:t>
      </w:r>
      <w:r>
        <w:rPr>
          <w:sz w:val="18"/>
        </w:rPr>
        <w:t>z</w:t>
      </w:r>
      <w:r w:rsidRPr="00B870A4">
        <w:rPr>
          <w:sz w:val="18"/>
        </w:rPr>
        <w:t>o dňa 28.1.2019</w:t>
      </w:r>
    </w:p>
  </w:footnote>
  <w:footnote w:id="64">
    <w:p w14:paraId="78FB3BF8" w14:textId="77777777" w:rsidR="006C0687" w:rsidRPr="00B2698D" w:rsidRDefault="006C0687" w:rsidP="00985E7A">
      <w:pPr>
        <w:pStyle w:val="Textpoznmkypodiarou"/>
        <w:rPr>
          <w:sz w:val="18"/>
        </w:rPr>
      </w:pPr>
      <w:r w:rsidRPr="00B2698D">
        <w:rPr>
          <w:rStyle w:val="Odkaznapoznmkupodiarou"/>
          <w:sz w:val="18"/>
        </w:rPr>
        <w:footnoteRef/>
      </w:r>
      <w:r w:rsidRPr="00B2698D">
        <w:rPr>
          <w:sz w:val="18"/>
        </w:rPr>
        <w:t xml:space="preserve"> </w:t>
      </w:r>
      <w:hyperlink r:id="rId36" w:history="1">
        <w:r w:rsidRPr="00FF5892">
          <w:rPr>
            <w:rStyle w:val="Hypertextovprepojenie"/>
            <w:sz w:val="18"/>
          </w:rPr>
          <w:t>Metodika CBA</w:t>
        </w:r>
      </w:hyperlink>
    </w:p>
  </w:footnote>
  <w:footnote w:id="65">
    <w:p w14:paraId="59389819" w14:textId="77777777" w:rsidR="006C0687" w:rsidRPr="00B00285" w:rsidRDefault="006C0687">
      <w:pPr>
        <w:pStyle w:val="Textpoznmkypodiarou"/>
        <w:rPr>
          <w:sz w:val="18"/>
        </w:rPr>
      </w:pPr>
      <w:r w:rsidRPr="00B00285">
        <w:rPr>
          <w:rStyle w:val="Odkaznapoznmkupodiarou"/>
          <w:sz w:val="18"/>
        </w:rPr>
        <w:footnoteRef/>
      </w:r>
      <w:r w:rsidRPr="00B00285">
        <w:rPr>
          <w:sz w:val="18"/>
        </w:rPr>
        <w:t xml:space="preserve"> </w:t>
      </w:r>
      <w:hyperlink r:id="rId37" w:history="1">
        <w:r w:rsidRPr="00B13083">
          <w:rPr>
            <w:rStyle w:val="Hypertextovprepojenie"/>
            <w:sz w:val="18"/>
          </w:rPr>
          <w:t>VO na projekt R2 Rožňava – Jablonov nad Turňou</w:t>
        </w:r>
      </w:hyperlink>
    </w:p>
  </w:footnote>
  <w:footnote w:id="66">
    <w:p w14:paraId="6B2FCC6C" w14:textId="77777777" w:rsidR="006C0687" w:rsidRPr="008D5ACD" w:rsidRDefault="006C0687">
      <w:pPr>
        <w:pStyle w:val="Textpoznmkypodiarou"/>
        <w:rPr>
          <w:sz w:val="18"/>
        </w:rPr>
      </w:pPr>
      <w:r w:rsidRPr="008D5ACD">
        <w:rPr>
          <w:rStyle w:val="Odkaznapoznmkupodiarou"/>
          <w:sz w:val="18"/>
        </w:rPr>
        <w:footnoteRef/>
      </w:r>
      <w:r w:rsidRPr="008D5ACD">
        <w:rPr>
          <w:sz w:val="18"/>
        </w:rPr>
        <w:t xml:space="preserve"> </w:t>
      </w:r>
      <w:hyperlink r:id="rId38" w:history="1">
        <w:r w:rsidRPr="00B13083">
          <w:rPr>
            <w:rStyle w:val="Hypertextovprepojenie"/>
            <w:sz w:val="18"/>
          </w:rPr>
          <w:t>VO na projekt I/75 Šaľa - obchvat</w:t>
        </w:r>
      </w:hyperlink>
    </w:p>
  </w:footnote>
  <w:footnote w:id="67">
    <w:p w14:paraId="23C2472B" w14:textId="77777777" w:rsidR="006C0687" w:rsidRPr="006F761C" w:rsidRDefault="006C0687" w:rsidP="00985E7A">
      <w:pPr>
        <w:pStyle w:val="Textpoznmkypodiarou"/>
        <w:rPr>
          <w:sz w:val="18"/>
        </w:rPr>
      </w:pPr>
      <w:r w:rsidRPr="006F761C">
        <w:rPr>
          <w:rStyle w:val="Odkaznapoznmkupodiarou"/>
          <w:sz w:val="18"/>
        </w:rPr>
        <w:footnoteRef/>
      </w:r>
      <w:r w:rsidRPr="006F761C">
        <w:rPr>
          <w:sz w:val="18"/>
        </w:rPr>
        <w:t xml:space="preserve"> </w:t>
      </w:r>
      <w:hyperlink r:id="rId39" w:history="1">
        <w:r w:rsidRPr="00B13083">
          <w:rPr>
            <w:rStyle w:val="Hypertextovprepojenie"/>
            <w:sz w:val="18"/>
          </w:rPr>
          <w:t>MPK k EIA</w:t>
        </w:r>
      </w:hyperlink>
    </w:p>
  </w:footnote>
  <w:footnote w:id="68">
    <w:p w14:paraId="6F3100E1" w14:textId="77777777" w:rsidR="006C0687" w:rsidRPr="000B4A04" w:rsidRDefault="006C0687" w:rsidP="00985E7A">
      <w:pPr>
        <w:pStyle w:val="Textpoznmkypodiarou"/>
        <w:rPr>
          <w:sz w:val="18"/>
        </w:rPr>
      </w:pPr>
      <w:r w:rsidRPr="000B4A04">
        <w:rPr>
          <w:rStyle w:val="Odkaznapoznmkupodiarou"/>
          <w:sz w:val="18"/>
        </w:rPr>
        <w:footnoteRef/>
      </w:r>
      <w:r w:rsidRPr="000B4A04">
        <w:rPr>
          <w:sz w:val="18"/>
        </w:rPr>
        <w:t xml:space="preserve"> </w:t>
      </w:r>
      <w:hyperlink r:id="rId40" w:history="1">
        <w:r w:rsidRPr="00B13083">
          <w:rPr>
            <w:rStyle w:val="Hypertextovprepojenie"/>
            <w:sz w:val="18"/>
          </w:rPr>
          <w:t>Zákon o výstavbe</w:t>
        </w:r>
      </w:hyperlink>
    </w:p>
  </w:footnote>
  <w:footnote w:id="69">
    <w:p w14:paraId="45FBA3C9" w14:textId="77777777" w:rsidR="006C0687" w:rsidRPr="000B4A04" w:rsidRDefault="006C0687" w:rsidP="00985E7A">
      <w:pPr>
        <w:pStyle w:val="Textpoznmkypodiarou"/>
        <w:rPr>
          <w:sz w:val="18"/>
        </w:rPr>
      </w:pPr>
      <w:r w:rsidRPr="000B4A04">
        <w:rPr>
          <w:rStyle w:val="Odkaznapoznmkupodiarou"/>
          <w:sz w:val="18"/>
        </w:rPr>
        <w:footnoteRef/>
      </w:r>
      <w:r w:rsidRPr="000B4A04">
        <w:rPr>
          <w:sz w:val="18"/>
        </w:rPr>
        <w:t xml:space="preserve"> </w:t>
      </w:r>
      <w:hyperlink r:id="rId41" w:history="1">
        <w:r w:rsidRPr="00B13083">
          <w:rPr>
            <w:rStyle w:val="Hypertextovprepojenie"/>
            <w:sz w:val="18"/>
          </w:rPr>
          <w:t>Zákon o územnom plánovaní</w:t>
        </w:r>
      </w:hyperlink>
    </w:p>
  </w:footnote>
  <w:footnote w:id="70">
    <w:p w14:paraId="61C72D29" w14:textId="54E1F47B" w:rsidR="006C0687" w:rsidRPr="00524A9B" w:rsidRDefault="006C0687" w:rsidP="00985E7A">
      <w:pPr>
        <w:pStyle w:val="Textpoznmkypodiarou"/>
        <w:rPr>
          <w:sz w:val="18"/>
          <w:u w:val="single"/>
        </w:rPr>
      </w:pPr>
      <w:r w:rsidRPr="00015F9A">
        <w:rPr>
          <w:rStyle w:val="Odkaznapoznmkupodiarou"/>
          <w:sz w:val="18"/>
        </w:rPr>
        <w:footnoteRef/>
      </w:r>
      <w:r w:rsidRPr="00015F9A">
        <w:rPr>
          <w:sz w:val="18"/>
        </w:rPr>
        <w:t xml:space="preserve"> </w:t>
      </w:r>
      <w:hyperlink r:id="rId42" w:history="1">
        <w:r w:rsidRPr="00791D4E">
          <w:rPr>
            <w:rStyle w:val="Hypertextovprepojenie"/>
            <w:sz w:val="18"/>
          </w:rPr>
          <w:t>https://www.mfsr.sk/files/archiv/91/prioritizacia_metodika_20191218.pdf</w:t>
        </w:r>
      </w:hyperlink>
    </w:p>
  </w:footnote>
  <w:footnote w:id="71">
    <w:p w14:paraId="311C6140" w14:textId="77777777" w:rsidR="006C0687" w:rsidRPr="00F9670F" w:rsidRDefault="006C0687" w:rsidP="00985E7A">
      <w:pPr>
        <w:pStyle w:val="Textpoznmkypodiarou"/>
        <w:rPr>
          <w:sz w:val="18"/>
        </w:rPr>
      </w:pPr>
      <w:r w:rsidRPr="00F9670F">
        <w:rPr>
          <w:rStyle w:val="Odkaznapoznmkupodiarou"/>
          <w:sz w:val="18"/>
        </w:rPr>
        <w:footnoteRef/>
      </w:r>
      <w:r w:rsidRPr="00F9670F">
        <w:rPr>
          <w:sz w:val="18"/>
        </w:rPr>
        <w:t xml:space="preserve"> Uznesenie vlády č. 188/2019, úloha B.2.</w:t>
      </w:r>
    </w:p>
  </w:footnote>
  <w:footnote w:id="72">
    <w:p w14:paraId="28CBA88C" w14:textId="7BD116CD" w:rsidR="006C0687" w:rsidRPr="008E5CAC" w:rsidRDefault="006C0687" w:rsidP="00985E7A">
      <w:pPr>
        <w:pStyle w:val="Textpoznmkypodiarou"/>
        <w:rPr>
          <w:sz w:val="18"/>
        </w:rPr>
      </w:pPr>
      <w:r w:rsidRPr="008E5CAC">
        <w:rPr>
          <w:rStyle w:val="Odkaznapoznmkupodiarou"/>
          <w:sz w:val="18"/>
        </w:rPr>
        <w:footnoteRef/>
      </w:r>
      <w:r w:rsidRPr="008E5CAC">
        <w:rPr>
          <w:sz w:val="18"/>
        </w:rPr>
        <w:t xml:space="preserve"> </w:t>
      </w:r>
      <w:hyperlink r:id="rId43" w:history="1">
        <w:r>
          <w:rPr>
            <w:rStyle w:val="Hypertextovprepojenie"/>
            <w:sz w:val="18"/>
          </w:rPr>
          <w:t>Technické</w:t>
        </w:r>
        <w:r w:rsidRPr="00015F9A">
          <w:rPr>
            <w:rStyle w:val="Hypertextovprepojenie"/>
            <w:sz w:val="18"/>
          </w:rPr>
          <w:t xml:space="preserve"> </w:t>
        </w:r>
        <w:r>
          <w:rPr>
            <w:rStyle w:val="Hypertextovprepojenie"/>
            <w:sz w:val="18"/>
          </w:rPr>
          <w:t>podmienky TP</w:t>
        </w:r>
        <w:r w:rsidRPr="00015F9A">
          <w:rPr>
            <w:rStyle w:val="Hypertextovprepojenie"/>
            <w:sz w:val="18"/>
          </w:rPr>
          <w:t xml:space="preserve"> 052</w:t>
        </w:r>
      </w:hyperlink>
    </w:p>
  </w:footnote>
  <w:footnote w:id="73">
    <w:p w14:paraId="280DC399" w14:textId="77777777" w:rsidR="006C0687" w:rsidRPr="00AF2D0A" w:rsidRDefault="006C0687" w:rsidP="00985E7A">
      <w:pPr>
        <w:pStyle w:val="Textpoznmkypodiarou"/>
        <w:rPr>
          <w:sz w:val="18"/>
        </w:rPr>
      </w:pPr>
      <w:r w:rsidRPr="00AF2D0A">
        <w:rPr>
          <w:rStyle w:val="Odkaznapoznmkupodiarou"/>
          <w:sz w:val="18"/>
        </w:rPr>
        <w:footnoteRef/>
      </w:r>
      <w:r w:rsidRPr="00AF2D0A">
        <w:rPr>
          <w:sz w:val="18"/>
        </w:rPr>
        <w:t xml:space="preserve"> </w:t>
      </w:r>
      <w:r>
        <w:rPr>
          <w:sz w:val="18"/>
        </w:rPr>
        <w:t>„</w:t>
      </w:r>
      <w:r w:rsidRPr="00AF2D0A">
        <w:rPr>
          <w:bCs/>
          <w:sz w:val="18"/>
        </w:rPr>
        <w:t>Posúdenie ekonomickej výhodnosti uloženia záväzku služby vo verejnom záujme na pravidelnej leteckej linke Bratislava-Košice</w:t>
      </w:r>
      <w:r>
        <w:rPr>
          <w:bCs/>
          <w:sz w:val="18"/>
        </w:rPr>
        <w:t>“</w:t>
      </w:r>
      <w:r w:rsidRPr="00AF2D0A">
        <w:rPr>
          <w:bCs/>
          <w:sz w:val="18"/>
        </w:rPr>
        <w:t xml:space="preserve"> </w:t>
      </w:r>
    </w:p>
  </w:footnote>
  <w:footnote w:id="74">
    <w:p w14:paraId="33159C06" w14:textId="77777777" w:rsidR="006C0687" w:rsidRPr="00926BE0" w:rsidRDefault="006C0687" w:rsidP="00985E7A">
      <w:pPr>
        <w:pStyle w:val="Textpoznmkypodiarou"/>
        <w:rPr>
          <w:sz w:val="18"/>
        </w:rPr>
      </w:pPr>
      <w:r w:rsidRPr="00926BE0">
        <w:rPr>
          <w:rStyle w:val="Odkaznapoznmkupodiarou"/>
          <w:sz w:val="18"/>
        </w:rPr>
        <w:footnoteRef/>
      </w:r>
      <w:r w:rsidRPr="00926BE0">
        <w:rPr>
          <w:sz w:val="18"/>
        </w:rPr>
        <w:t xml:space="preserve"> „</w:t>
      </w:r>
      <w:r w:rsidRPr="00926BE0">
        <w:rPr>
          <w:bCs/>
          <w:sz w:val="18"/>
        </w:rPr>
        <w:t>Naozaj sa nedá urobiť viac? (Bezpečnosť železničných priecestí)“ a „Ako sa „hýbeme“ Mobilitné správanie obyvateľstva“</w:t>
      </w:r>
    </w:p>
  </w:footnote>
  <w:footnote w:id="75">
    <w:p w14:paraId="5F0F6B0B" w14:textId="77777777" w:rsidR="006C0687" w:rsidRPr="003C2610" w:rsidRDefault="006C0687" w:rsidP="00985E7A">
      <w:pPr>
        <w:pStyle w:val="Textpoznmkypodiarou"/>
        <w:rPr>
          <w:sz w:val="18"/>
        </w:rPr>
      </w:pPr>
      <w:r w:rsidRPr="003C2610">
        <w:rPr>
          <w:rStyle w:val="Odkaznapoznmkupodiarou"/>
          <w:sz w:val="18"/>
        </w:rPr>
        <w:footnoteRef/>
      </w:r>
      <w:r w:rsidRPr="003C2610">
        <w:rPr>
          <w:sz w:val="18"/>
        </w:rPr>
        <w:t xml:space="preserve"> </w:t>
      </w:r>
      <w:hyperlink r:id="rId44" w:history="1">
        <w:r w:rsidRPr="00486C07">
          <w:rPr>
            <w:rStyle w:val="Hypertextovprepojenie"/>
            <w:sz w:val="18"/>
          </w:rPr>
          <w:t>Komplexná analýza využitia vodnej dopravy pre iné odvetvia hospodárstva</w:t>
        </w:r>
      </w:hyperlink>
    </w:p>
  </w:footnote>
  <w:footnote w:id="76">
    <w:p w14:paraId="6D8A6F2B" w14:textId="77777777" w:rsidR="006C0687" w:rsidRPr="001508BE" w:rsidRDefault="006C0687" w:rsidP="00985E7A">
      <w:pPr>
        <w:pStyle w:val="Textpoznmkypodiarou"/>
        <w:rPr>
          <w:sz w:val="18"/>
        </w:rPr>
      </w:pPr>
      <w:r w:rsidRPr="001508BE">
        <w:rPr>
          <w:rStyle w:val="Odkaznapoznmkupodiarou"/>
          <w:sz w:val="18"/>
        </w:rPr>
        <w:footnoteRef/>
      </w:r>
      <w:r w:rsidRPr="001508BE">
        <w:rPr>
          <w:sz w:val="18"/>
        </w:rPr>
        <w:t xml:space="preserve"> </w:t>
      </w:r>
      <w:hyperlink r:id="rId45" w:history="1">
        <w:r w:rsidRPr="00486C07">
          <w:rPr>
            <w:rStyle w:val="Hypertextovprepojenie"/>
            <w:sz w:val="18"/>
          </w:rPr>
          <w:t>Analýza možností realizácie projektu R1 v úseku BB – Slovenská Ľupča</w:t>
        </w:r>
      </w:hyperlink>
    </w:p>
  </w:footnote>
  <w:footnote w:id="77">
    <w:p w14:paraId="72D7AD38" w14:textId="77777777" w:rsidR="006C0687" w:rsidRPr="00476FE9" w:rsidRDefault="006C0687">
      <w:pPr>
        <w:pStyle w:val="Textpoznmkypodiarou"/>
        <w:rPr>
          <w:sz w:val="18"/>
        </w:rPr>
      </w:pPr>
      <w:r w:rsidRPr="00476FE9">
        <w:rPr>
          <w:rStyle w:val="Odkaznapoznmkupodiarou"/>
          <w:sz w:val="18"/>
        </w:rPr>
        <w:footnoteRef/>
      </w:r>
      <w:r w:rsidRPr="00476FE9">
        <w:rPr>
          <w:sz w:val="18"/>
        </w:rPr>
        <w:t xml:space="preserve"> Vyhláška č. 5/2020 </w:t>
      </w:r>
    </w:p>
  </w:footnote>
  <w:footnote w:id="78">
    <w:p w14:paraId="571D2D10" w14:textId="77777777" w:rsidR="006C0687" w:rsidRPr="003417FF" w:rsidRDefault="006C0687" w:rsidP="00985E7A">
      <w:pPr>
        <w:pStyle w:val="Textpoznmkypodiarou"/>
        <w:rPr>
          <w:sz w:val="18"/>
        </w:rPr>
      </w:pPr>
      <w:r w:rsidRPr="003417FF">
        <w:rPr>
          <w:rStyle w:val="Odkaznapoznmkupodiarou"/>
          <w:sz w:val="18"/>
        </w:rPr>
        <w:footnoteRef/>
      </w:r>
      <w:r w:rsidRPr="003417FF">
        <w:rPr>
          <w:sz w:val="18"/>
        </w:rPr>
        <w:t xml:space="preserve"> </w:t>
      </w:r>
      <w:hyperlink r:id="rId46" w:history="1">
        <w:r w:rsidRPr="00F21041">
          <w:rPr>
            <w:rStyle w:val="Hypertextovprepojenie"/>
            <w:sz w:val="18"/>
          </w:rPr>
          <w:t>Zazmluvnené dopravné investičné projekty OPII</w:t>
        </w:r>
      </w:hyperlink>
    </w:p>
  </w:footnote>
  <w:footnote w:id="79">
    <w:p w14:paraId="15569210" w14:textId="77777777" w:rsidR="006C0687" w:rsidRPr="0032342C" w:rsidRDefault="006C0687" w:rsidP="00985E7A">
      <w:pPr>
        <w:pStyle w:val="Textpoznmkypodiarou"/>
        <w:rPr>
          <w:sz w:val="18"/>
        </w:rPr>
      </w:pPr>
      <w:r w:rsidRPr="0032342C">
        <w:rPr>
          <w:rStyle w:val="Odkaznapoznmkupodiarou"/>
          <w:sz w:val="18"/>
        </w:rPr>
        <w:footnoteRef/>
      </w:r>
      <w:r w:rsidRPr="0032342C">
        <w:rPr>
          <w:sz w:val="18"/>
        </w:rPr>
        <w:t xml:space="preserve"> </w:t>
      </w:r>
      <w:hyperlink r:id="rId47" w:history="1">
        <w:r w:rsidRPr="00F21041">
          <w:rPr>
            <w:rStyle w:val="Hypertextovprepojenie"/>
            <w:sz w:val="18"/>
          </w:rPr>
          <w:t>Projekty zásobníka OPII</w:t>
        </w:r>
      </w:hyperlink>
    </w:p>
  </w:footnote>
  <w:footnote w:id="80">
    <w:p w14:paraId="352E1BB9" w14:textId="77777777" w:rsidR="006C0687" w:rsidRPr="00F011FC" w:rsidRDefault="006C0687">
      <w:pPr>
        <w:pStyle w:val="Textpoznmkypodiarou"/>
      </w:pPr>
      <w:r w:rsidRPr="00F011FC">
        <w:rPr>
          <w:rStyle w:val="Odkaznapoznmkupodiarou"/>
        </w:rPr>
        <w:footnoteRef/>
      </w:r>
      <w:r w:rsidRPr="00F011FC">
        <w:t xml:space="preserve"> </w:t>
      </w:r>
      <w:r w:rsidRPr="006711FF">
        <w:rPr>
          <w:sz w:val="18"/>
          <w:szCs w:val="18"/>
        </w:rPr>
        <w:t>Na základe</w:t>
      </w:r>
      <w:r w:rsidRPr="00F011FC">
        <w:t xml:space="preserve"> </w:t>
      </w:r>
      <w:r w:rsidRPr="00F011FC">
        <w:rPr>
          <w:sz w:val="18"/>
        </w:rPr>
        <w:t xml:space="preserve">Prehľadu stavu ciest I., II. a III. triedy, </w:t>
      </w:r>
      <w:r>
        <w:rPr>
          <w:sz w:val="18"/>
        </w:rPr>
        <w:t xml:space="preserve">06/2016 - </w:t>
      </w:r>
      <w:r w:rsidRPr="00F011FC">
        <w:rPr>
          <w:sz w:val="18"/>
        </w:rPr>
        <w:t>06/2019</w:t>
      </w:r>
    </w:p>
  </w:footnote>
  <w:footnote w:id="81">
    <w:p w14:paraId="44EA4C9E" w14:textId="77777777" w:rsidR="006C0687" w:rsidRPr="00C259B5" w:rsidRDefault="006C0687" w:rsidP="00985E7A">
      <w:pPr>
        <w:pStyle w:val="Textpoznmkypodiarou"/>
        <w:rPr>
          <w:sz w:val="18"/>
        </w:rPr>
      </w:pPr>
      <w:r w:rsidRPr="00C259B5">
        <w:rPr>
          <w:rStyle w:val="Odkaznapoznmkupodiarou"/>
          <w:sz w:val="18"/>
        </w:rPr>
        <w:footnoteRef/>
      </w:r>
      <w:r w:rsidRPr="00C259B5">
        <w:rPr>
          <w:sz w:val="18"/>
        </w:rPr>
        <w:t xml:space="preserve"> </w:t>
      </w:r>
      <w:hyperlink r:id="rId48" w:history="1">
        <w:r w:rsidRPr="008646B1">
          <w:rPr>
            <w:rStyle w:val="Hypertextovprepojenie"/>
            <w:sz w:val="18"/>
          </w:rPr>
          <w:t>Memorandum o spolupráci</w:t>
        </w:r>
      </w:hyperlink>
      <w:r>
        <w:rPr>
          <w:sz w:val="18"/>
        </w:rPr>
        <w:t xml:space="preserve"> </w:t>
      </w:r>
    </w:p>
  </w:footnote>
  <w:footnote w:id="82">
    <w:p w14:paraId="6B8A1D04" w14:textId="77777777" w:rsidR="006C0687" w:rsidRPr="00566B3C" w:rsidRDefault="006C0687" w:rsidP="00985E7A">
      <w:pPr>
        <w:pStyle w:val="Textpoznmkypodiarou"/>
        <w:rPr>
          <w:sz w:val="18"/>
          <w:szCs w:val="18"/>
        </w:rPr>
      </w:pPr>
      <w:r w:rsidRPr="00F96CA1">
        <w:rPr>
          <w:rStyle w:val="Odkaznapoznmkupodiarou"/>
          <w:sz w:val="18"/>
        </w:rPr>
        <w:footnoteRef/>
      </w:r>
      <w:r w:rsidRPr="00F96CA1">
        <w:rPr>
          <w:sz w:val="18"/>
        </w:rPr>
        <w:t xml:space="preserve"> </w:t>
      </w:r>
      <w:hyperlink r:id="rId49" w:history="1">
        <w:r w:rsidRPr="008646B1">
          <w:rPr>
            <w:rStyle w:val="Hypertextovprepojenie"/>
            <w:sz w:val="18"/>
          </w:rPr>
          <w:t>VO na veľkoplošné opravy ciest I. triedy</w:t>
        </w:r>
      </w:hyperlink>
    </w:p>
  </w:footnote>
  <w:footnote w:id="83">
    <w:p w14:paraId="2C881791" w14:textId="074A4BFE" w:rsidR="006C0687" w:rsidRPr="00CC625B" w:rsidRDefault="006C0687">
      <w:pPr>
        <w:pStyle w:val="Textpoznmkypodiarou"/>
        <w:rPr>
          <w:sz w:val="18"/>
        </w:rPr>
      </w:pPr>
      <w:r w:rsidRPr="00566B3C">
        <w:rPr>
          <w:rStyle w:val="Odkaznapoznmkupodiarou"/>
          <w:sz w:val="18"/>
          <w:szCs w:val="18"/>
        </w:rPr>
        <w:footnoteRef/>
      </w:r>
      <w:r w:rsidRPr="00566B3C">
        <w:rPr>
          <w:sz w:val="18"/>
          <w:szCs w:val="18"/>
        </w:rPr>
        <w:t xml:space="preserve"> </w:t>
      </w:r>
      <w:hyperlink r:id="rId50" w:history="1">
        <w:r w:rsidRPr="00566B3C">
          <w:rPr>
            <w:rStyle w:val="Hypertextovprepojenie"/>
            <w:sz w:val="18"/>
            <w:szCs w:val="18"/>
          </w:rPr>
          <w:t>https://www.uvo.gov.sk/vyhladavanie-dokumentov/document/3060211/content/993607/download</w:t>
        </w:r>
      </w:hyperlink>
      <w:r>
        <w:t xml:space="preserve"> </w:t>
      </w:r>
    </w:p>
  </w:footnote>
  <w:footnote w:id="84">
    <w:p w14:paraId="7BFCEBEA" w14:textId="77777777" w:rsidR="006C0687" w:rsidRPr="00513F1D" w:rsidRDefault="006C0687">
      <w:pPr>
        <w:pStyle w:val="Textpoznmkypodiarou"/>
        <w:rPr>
          <w:sz w:val="18"/>
        </w:rPr>
      </w:pPr>
      <w:r>
        <w:rPr>
          <w:rStyle w:val="Odkaznapoznmkupodiarou"/>
        </w:rPr>
        <w:footnoteRef/>
      </w:r>
      <w:r>
        <w:rPr>
          <w:sz w:val="18"/>
        </w:rPr>
        <w:t xml:space="preserve"> </w:t>
      </w:r>
      <w:hyperlink r:id="rId51" w:history="1">
        <w:r w:rsidRPr="008646B1">
          <w:rPr>
            <w:rStyle w:val="Hypertextovprepojenie"/>
            <w:sz w:val="18"/>
          </w:rPr>
          <w:t>VO na opravy ciest I. triedy, rozdelené na časti</w:t>
        </w:r>
      </w:hyperlink>
      <w:r w:rsidRPr="00513F1D">
        <w:rPr>
          <w:sz w:val="18"/>
        </w:rPr>
        <w:t xml:space="preserve"> </w:t>
      </w:r>
    </w:p>
  </w:footnote>
  <w:footnote w:id="85">
    <w:p w14:paraId="30F372D5" w14:textId="77777777" w:rsidR="006C0687" w:rsidRPr="000C6AC7" w:rsidRDefault="006C0687" w:rsidP="00985E7A">
      <w:pPr>
        <w:pStyle w:val="Textpoznmkypodiarou"/>
        <w:rPr>
          <w:sz w:val="18"/>
        </w:rPr>
      </w:pPr>
      <w:r w:rsidRPr="000C6AC7">
        <w:rPr>
          <w:rStyle w:val="Odkaznapoznmkupodiarou"/>
          <w:sz w:val="18"/>
        </w:rPr>
        <w:footnoteRef/>
      </w:r>
      <w:r w:rsidRPr="000C6AC7">
        <w:rPr>
          <w:sz w:val="18"/>
        </w:rPr>
        <w:t xml:space="preserve"> </w:t>
      </w:r>
      <w:hyperlink r:id="rId52" w:history="1">
        <w:r w:rsidRPr="008646B1">
          <w:rPr>
            <w:rStyle w:val="Hypertextovprepojenie"/>
            <w:sz w:val="18"/>
          </w:rPr>
          <w:t>Výkony opráv a údržby SSC</w:t>
        </w:r>
      </w:hyperlink>
    </w:p>
  </w:footnote>
  <w:footnote w:id="86">
    <w:p w14:paraId="068934EB" w14:textId="77777777" w:rsidR="006C0687" w:rsidRPr="00536E35" w:rsidRDefault="006C0687" w:rsidP="00985E7A">
      <w:pPr>
        <w:pStyle w:val="Textpoznmkypodiarou"/>
        <w:rPr>
          <w:sz w:val="18"/>
        </w:rPr>
      </w:pPr>
      <w:r w:rsidRPr="00536E35">
        <w:rPr>
          <w:rStyle w:val="Odkaznapoznmkupodiarou"/>
          <w:sz w:val="18"/>
        </w:rPr>
        <w:footnoteRef/>
      </w:r>
      <w:r w:rsidRPr="00536E35">
        <w:rPr>
          <w:sz w:val="18"/>
        </w:rPr>
        <w:t xml:space="preserve"> </w:t>
      </w:r>
      <w:hyperlink r:id="rId53" w:history="1">
        <w:r w:rsidRPr="008646B1">
          <w:rPr>
            <w:rStyle w:val="Hypertextovprepojenie"/>
            <w:sz w:val="18"/>
          </w:rPr>
          <w:t>Výkony údržby a opráv NDS</w:t>
        </w:r>
      </w:hyperlink>
    </w:p>
  </w:footnote>
  <w:footnote w:id="87">
    <w:p w14:paraId="58BFBF30" w14:textId="77777777" w:rsidR="006C0687" w:rsidRPr="00C76886" w:rsidRDefault="006C0687">
      <w:pPr>
        <w:pStyle w:val="Textpoznmkypodiarou"/>
        <w:rPr>
          <w:sz w:val="18"/>
        </w:rPr>
      </w:pPr>
      <w:r w:rsidRPr="00C76886">
        <w:rPr>
          <w:rStyle w:val="Odkaznapoznmkupodiarou"/>
          <w:sz w:val="18"/>
        </w:rPr>
        <w:footnoteRef/>
      </w:r>
      <w:r w:rsidRPr="00C76886">
        <w:rPr>
          <w:sz w:val="18"/>
        </w:rPr>
        <w:t xml:space="preserve"> </w:t>
      </w:r>
      <w:hyperlink r:id="rId54" w:history="1">
        <w:r w:rsidRPr="008646B1">
          <w:rPr>
            <w:rStyle w:val="Hypertextovprepojenie"/>
            <w:sz w:val="18"/>
          </w:rPr>
          <w:t>Vyhlásenie VO na stavebné práce na úsek R2 Rožňava – Jablonov nad Turňou</w:t>
        </w:r>
      </w:hyperlink>
    </w:p>
  </w:footnote>
  <w:footnote w:id="88">
    <w:p w14:paraId="4F166788" w14:textId="77777777" w:rsidR="006C0687" w:rsidRDefault="006C0687" w:rsidP="00985E7A">
      <w:pPr>
        <w:pStyle w:val="Textpoznmkypodiarou"/>
      </w:pPr>
      <w:r w:rsidRPr="009F163C">
        <w:rPr>
          <w:rStyle w:val="Odkaznapoznmkupodiarou"/>
          <w:sz w:val="18"/>
        </w:rPr>
        <w:footnoteRef/>
      </w:r>
      <w:r w:rsidRPr="009F163C">
        <w:rPr>
          <w:sz w:val="18"/>
        </w:rPr>
        <w:t xml:space="preserve"> </w:t>
      </w:r>
      <w:hyperlink r:id="rId55" w:history="1">
        <w:r w:rsidRPr="008646B1">
          <w:rPr>
            <w:rStyle w:val="Hypertextovprepojenie"/>
            <w:sz w:val="18"/>
          </w:rPr>
          <w:t>Rámec na hodnotenie verejných investičných projektov v SR</w:t>
        </w:r>
      </w:hyperlink>
    </w:p>
  </w:footnote>
  <w:footnote w:id="89">
    <w:p w14:paraId="298EB71B" w14:textId="77777777" w:rsidR="006C0687" w:rsidRPr="001B5AE7" w:rsidRDefault="006C0687" w:rsidP="00985E7A">
      <w:pPr>
        <w:pStyle w:val="Textpoznmkypodiarou"/>
        <w:rPr>
          <w:sz w:val="18"/>
        </w:rPr>
      </w:pPr>
      <w:r w:rsidRPr="001B5AE7">
        <w:rPr>
          <w:rStyle w:val="Odkaznapoznmkupodiarou"/>
          <w:sz w:val="18"/>
        </w:rPr>
        <w:footnoteRef/>
      </w:r>
      <w:r w:rsidRPr="001B5AE7">
        <w:rPr>
          <w:sz w:val="18"/>
        </w:rPr>
        <w:t xml:space="preserve"> </w:t>
      </w:r>
      <w:hyperlink r:id="rId56" w:history="1">
        <w:r w:rsidRPr="008646B1">
          <w:rPr>
            <w:rStyle w:val="Hypertextovprepojenie"/>
            <w:sz w:val="18"/>
          </w:rPr>
          <w:t>Predbežné oznámenie na R2 Rožňava – Jablonov nad Turňou</w:t>
        </w:r>
      </w:hyperlink>
    </w:p>
  </w:footnote>
  <w:footnote w:id="90">
    <w:p w14:paraId="63135375" w14:textId="77777777" w:rsidR="006C0687" w:rsidRPr="00CA36D0" w:rsidRDefault="006C0687" w:rsidP="00985E7A">
      <w:pPr>
        <w:pStyle w:val="Textpoznmkypodiarou"/>
        <w:rPr>
          <w:sz w:val="18"/>
        </w:rPr>
      </w:pPr>
      <w:r w:rsidRPr="00CA36D0">
        <w:rPr>
          <w:rStyle w:val="Odkaznapoznmkupodiarou"/>
          <w:sz w:val="18"/>
        </w:rPr>
        <w:footnoteRef/>
      </w:r>
      <w:r w:rsidRPr="00CA36D0">
        <w:rPr>
          <w:sz w:val="18"/>
        </w:rPr>
        <w:t xml:space="preserve"> </w:t>
      </w:r>
      <w:hyperlink r:id="rId57" w:history="1">
        <w:r w:rsidRPr="008646B1">
          <w:rPr>
            <w:rStyle w:val="Hypertextovprepojenie"/>
            <w:sz w:val="18"/>
          </w:rPr>
          <w:t>Zákon o rozpočtových pravidlách</w:t>
        </w:r>
      </w:hyperlink>
    </w:p>
  </w:footnote>
  <w:footnote w:id="91">
    <w:p w14:paraId="7775A8BC" w14:textId="5BD23301" w:rsidR="006C0687" w:rsidRPr="00F0711A" w:rsidRDefault="006C0687" w:rsidP="00985E7A">
      <w:pPr>
        <w:pStyle w:val="Textpoznmkypodiarou"/>
        <w:jc w:val="left"/>
        <w:rPr>
          <w:sz w:val="18"/>
          <w:szCs w:val="18"/>
        </w:rPr>
      </w:pPr>
      <w:r w:rsidRPr="00F0711A">
        <w:rPr>
          <w:rStyle w:val="Odkaznapoznmkupodiarou"/>
          <w:sz w:val="18"/>
          <w:szCs w:val="18"/>
        </w:rPr>
        <w:footnoteRef/>
      </w:r>
      <w:r w:rsidRPr="00F0711A">
        <w:rPr>
          <w:sz w:val="18"/>
          <w:szCs w:val="18"/>
        </w:rPr>
        <w:t xml:space="preserve"> </w:t>
      </w:r>
      <w:hyperlink r:id="rId58" w:history="1">
        <w:r w:rsidRPr="00791D4E">
          <w:rPr>
            <w:rStyle w:val="Hypertextovprepojenie"/>
            <w:sz w:val="18"/>
            <w:szCs w:val="18"/>
          </w:rPr>
          <w:t>https://www.finance.gov.sk/files/archiv/82/I-75Galanta-NoveZamky.pdf</w:t>
        </w:r>
      </w:hyperlink>
      <w:r>
        <w:rPr>
          <w:sz w:val="18"/>
          <w:szCs w:val="18"/>
        </w:rPr>
        <w:t xml:space="preserve"> </w:t>
      </w:r>
      <w:r w:rsidRPr="00F0711A">
        <w:rPr>
          <w:sz w:val="18"/>
          <w:szCs w:val="18"/>
        </w:rPr>
        <w:t>a </w:t>
      </w:r>
      <w:hyperlink r:id="rId59" w:history="1">
        <w:r w:rsidRPr="00791D4E">
          <w:rPr>
            <w:rStyle w:val="Hypertextovprepojenie"/>
            <w:sz w:val="18"/>
            <w:szCs w:val="18"/>
          </w:rPr>
          <w:t>https://www.finance.gov.sk/files/archiv/52/stanovisko_I68_vfm_20190606.pdf</w:t>
        </w:r>
      </w:hyperlink>
      <w:r>
        <w:rPr>
          <w:sz w:val="18"/>
          <w:szCs w:val="18"/>
        </w:rPr>
        <w:t xml:space="preserve"> </w:t>
      </w:r>
      <w:r w:rsidRPr="00F0711A">
        <w:rPr>
          <w:sz w:val="18"/>
          <w:szCs w:val="18"/>
        </w:rPr>
        <w:t xml:space="preserve"> </w:t>
      </w:r>
    </w:p>
  </w:footnote>
  <w:footnote w:id="92">
    <w:p w14:paraId="77D73073" w14:textId="77777777" w:rsidR="006C0687" w:rsidRPr="008A09A2" w:rsidRDefault="006C0687" w:rsidP="00985E7A">
      <w:pPr>
        <w:pStyle w:val="Textpoznmkypodiarou"/>
        <w:rPr>
          <w:sz w:val="18"/>
          <w:szCs w:val="18"/>
        </w:rPr>
      </w:pPr>
      <w:r w:rsidRPr="008A09A2">
        <w:rPr>
          <w:rStyle w:val="Odkaznapoznmkupodiarou"/>
          <w:sz w:val="18"/>
          <w:szCs w:val="18"/>
        </w:rPr>
        <w:footnoteRef/>
      </w:r>
      <w:r w:rsidRPr="008A09A2">
        <w:rPr>
          <w:sz w:val="18"/>
          <w:szCs w:val="18"/>
        </w:rPr>
        <w:t xml:space="preserve"> </w:t>
      </w:r>
      <w:hyperlink r:id="rId60" w:history="1">
        <w:r w:rsidRPr="00252E2E">
          <w:rPr>
            <w:rStyle w:val="Hypertextovprepojenie"/>
            <w:sz w:val="18"/>
            <w:szCs w:val="18"/>
          </w:rPr>
          <w:t>„Hodnotenie perspektívnosti vybraných tratí ŽSR za účelom udržateľnosti železničného systému a uplatnenie nástrojov dopravnej politiky pre zlepšenie dopravnej obslužnosti a mobility obyvateľstva“</w:t>
        </w:r>
      </w:hyperlink>
      <w:r w:rsidRPr="008A09A2">
        <w:rPr>
          <w:sz w:val="18"/>
          <w:szCs w:val="18"/>
        </w:rPr>
        <w:t xml:space="preserve"> </w:t>
      </w:r>
    </w:p>
  </w:footnote>
  <w:footnote w:id="93">
    <w:p w14:paraId="156AAB3C" w14:textId="29580084" w:rsidR="006C0687" w:rsidRPr="006C52AE" w:rsidRDefault="006C0687" w:rsidP="00985E7A">
      <w:pPr>
        <w:pStyle w:val="Textpoznmkypodiarou"/>
        <w:rPr>
          <w:sz w:val="18"/>
        </w:rPr>
      </w:pPr>
      <w:r w:rsidRPr="006C52AE">
        <w:rPr>
          <w:rStyle w:val="Odkaznapoznmkupodiarou"/>
          <w:sz w:val="18"/>
        </w:rPr>
        <w:footnoteRef/>
      </w:r>
      <w:r>
        <w:t xml:space="preserve"> </w:t>
      </w:r>
      <w:r w:rsidRPr="00AA49DE">
        <w:rPr>
          <w:sz w:val="18"/>
        </w:rPr>
        <w:t xml:space="preserve">Hodnotenie UHP projekt Uzol ZA a hodnotenie UHP projekt Haniska, </w:t>
      </w:r>
      <w:r>
        <w:rPr>
          <w:sz w:val="18"/>
        </w:rPr>
        <w:t xml:space="preserve">dostupné na </w:t>
      </w:r>
      <w:hyperlink r:id="rId61" w:history="1">
        <w:r w:rsidRPr="00991A93">
          <w:rPr>
            <w:rStyle w:val="Hypertextovprepojenie"/>
            <w:sz w:val="18"/>
          </w:rPr>
          <w:t>https://www.mfsr.sk/sk/financie/hodnota-za-peniaze/hodnotenie-investicnych-projektov/hodnotenie-investicnych-projektov.html</w:t>
        </w:r>
      </w:hyperlink>
      <w:r>
        <w:rPr>
          <w:sz w:val="18"/>
        </w:rPr>
        <w:t xml:space="preserve">. </w:t>
      </w:r>
    </w:p>
  </w:footnote>
  <w:footnote w:id="94">
    <w:p w14:paraId="3837CF39" w14:textId="5BFB162C" w:rsidR="006C0687" w:rsidRDefault="006C0687" w:rsidP="00985E7A">
      <w:pPr>
        <w:pStyle w:val="Textpoznmkypodiarou"/>
      </w:pPr>
      <w:r>
        <w:rPr>
          <w:rStyle w:val="Odkaznapoznmkupodiarou"/>
        </w:rPr>
        <w:footnoteRef/>
      </w:r>
      <w:r>
        <w:t xml:space="preserve"> </w:t>
      </w:r>
      <w:hyperlink r:id="rId62" w:history="1">
        <w:r w:rsidRPr="0022556D">
          <w:rPr>
            <w:rStyle w:val="Hypertextovprepojenie"/>
            <w:sz w:val="18"/>
            <w:szCs w:val="18"/>
          </w:rPr>
          <w:t>https://www.finance.gov.sk/files/archiv/85/ZSR_sumarprojektu_20190628.pdf</w:t>
        </w:r>
      </w:hyperlink>
      <w:r>
        <w:t xml:space="preserve"> </w:t>
      </w:r>
    </w:p>
  </w:footnote>
  <w:footnote w:id="95">
    <w:p w14:paraId="5015A0E9" w14:textId="56E34249" w:rsidR="006C0687" w:rsidRPr="0029542B" w:rsidRDefault="006C0687" w:rsidP="00985E7A">
      <w:pPr>
        <w:pStyle w:val="Textpoznmkypodiarou"/>
        <w:rPr>
          <w:sz w:val="18"/>
        </w:rPr>
      </w:pPr>
      <w:r w:rsidRPr="0029542B">
        <w:rPr>
          <w:rStyle w:val="Odkaznapoznmkupodiarou"/>
          <w:sz w:val="18"/>
        </w:rPr>
        <w:footnoteRef/>
      </w:r>
      <w:r>
        <w:rPr>
          <w:sz w:val="18"/>
        </w:rPr>
        <w:t xml:space="preserve"> </w:t>
      </w:r>
      <w:hyperlink r:id="rId63" w:history="1">
        <w:r w:rsidRPr="00791D4E">
          <w:rPr>
            <w:rStyle w:val="Hypertextovprepojenie"/>
            <w:sz w:val="18"/>
          </w:rPr>
          <w:t>https://www.mfsr.sk/files/archiv/48/PrezentaciaZSR_20191016.pdf</w:t>
        </w:r>
      </w:hyperlink>
      <w:r>
        <w:rPr>
          <w:sz w:val="18"/>
        </w:rPr>
        <w:t xml:space="preserve"> </w:t>
      </w:r>
      <w:r w:rsidRPr="0022556D">
        <w:rPr>
          <w:sz w:val="18"/>
        </w:rPr>
        <w:t xml:space="preserve"> </w:t>
      </w:r>
      <w:r w:rsidRPr="0029542B">
        <w:rPr>
          <w:sz w:val="18"/>
        </w:rPr>
        <w:t>Zefektívnenie procesov zníži náklady ročne o 26 mil. eur, zmenšenie rozsahu spravovaných tratí prinesie 8 mil. eur ročne, možnosť zvýšiť výkony v údržbe v hodnote 19 mil. eur ročne, automatizáciou riadenia dopravy sa znížia náklady o 26 mil. eur ročne, podmienka je presmerovanie 300 mil. eur do investícií, ktoré by mali byť realizované ako prioritné, predaj nepotrebného majetku prinesie jednorazovo 72 mil. eur</w:t>
      </w:r>
    </w:p>
  </w:footnote>
  <w:footnote w:id="96">
    <w:p w14:paraId="68CAF75D" w14:textId="77777777" w:rsidR="006C0687" w:rsidRPr="008D5FA8" w:rsidRDefault="006C0687" w:rsidP="00985E7A">
      <w:pPr>
        <w:pStyle w:val="Textkomentra"/>
        <w:spacing w:after="0"/>
      </w:pPr>
      <w:r>
        <w:rPr>
          <w:rStyle w:val="Odkaznapoznmkupodiarou"/>
        </w:rPr>
        <w:footnoteRef/>
      </w:r>
      <w:r>
        <w:t xml:space="preserve"> </w:t>
      </w:r>
      <w:hyperlink r:id="rId64" w:history="1">
        <w:r w:rsidRPr="00B949CF">
          <w:rPr>
            <w:rStyle w:val="Hypertextovprepojenie"/>
            <w:sz w:val="18"/>
          </w:rPr>
          <w:t>Rámcová zmluva s Deloitte a Eurotarget</w:t>
        </w:r>
      </w:hyperlink>
      <w:r w:rsidRPr="00B949CF">
        <w:rPr>
          <w:sz w:val="18"/>
        </w:rPr>
        <w:t xml:space="preserve"> </w:t>
      </w:r>
    </w:p>
    <w:p w14:paraId="4D809A21" w14:textId="77777777" w:rsidR="006C0687" w:rsidRDefault="006C0687" w:rsidP="00985E7A">
      <w:pPr>
        <w:pStyle w:val="Textpoznmkypodiarou"/>
      </w:pPr>
    </w:p>
  </w:footnote>
  <w:footnote w:id="97">
    <w:p w14:paraId="59A5BAAE" w14:textId="77777777" w:rsidR="006C0687" w:rsidRPr="00061B76" w:rsidRDefault="006C0687" w:rsidP="00985E7A">
      <w:pPr>
        <w:pStyle w:val="Textpoznmkypodiarou"/>
      </w:pPr>
      <w:r w:rsidRPr="00061B76">
        <w:rPr>
          <w:rStyle w:val="Odkaznapoznmkupodiarou"/>
          <w:sz w:val="18"/>
        </w:rPr>
        <w:footnoteRef/>
      </w:r>
      <w:r w:rsidRPr="00061B76">
        <w:rPr>
          <w:sz w:val="18"/>
        </w:rPr>
        <w:t xml:space="preserve"> </w:t>
      </w:r>
      <w:hyperlink r:id="rId65" w:history="1">
        <w:r w:rsidRPr="000B3DC8">
          <w:rPr>
            <w:rStyle w:val="Hypertextovprepojenie"/>
            <w:sz w:val="18"/>
          </w:rPr>
          <w:t>Zmluva o verejných službách na linke Ex2</w:t>
        </w:r>
      </w:hyperlink>
      <w:r>
        <w:rPr>
          <w:sz w:val="18"/>
        </w:rPr>
        <w:t xml:space="preserve"> </w:t>
      </w:r>
    </w:p>
  </w:footnote>
  <w:footnote w:id="98">
    <w:p w14:paraId="45F7851E" w14:textId="77777777" w:rsidR="006C0687" w:rsidRPr="007E7CB0" w:rsidRDefault="006C0687">
      <w:pPr>
        <w:pStyle w:val="Textpoznmkypodiarou"/>
        <w:rPr>
          <w:sz w:val="18"/>
        </w:rPr>
      </w:pPr>
      <w:r w:rsidRPr="007E7CB0">
        <w:rPr>
          <w:rStyle w:val="Odkaznapoznmkupodiarou"/>
          <w:sz w:val="18"/>
        </w:rPr>
        <w:footnoteRef/>
      </w:r>
      <w:r>
        <w:t xml:space="preserve"> </w:t>
      </w:r>
      <w:hyperlink r:id="rId66" w:history="1">
        <w:r w:rsidRPr="00C3028B">
          <w:rPr>
            <w:rStyle w:val="Hypertextovprepojenie"/>
            <w:sz w:val="18"/>
          </w:rPr>
          <w:t>Metodická príručka k zostave dopravných modelov a dopravných prognóz</w:t>
        </w:r>
      </w:hyperlink>
      <w:r w:rsidRPr="00C3028B">
        <w:rPr>
          <w:b/>
          <w:sz w:val="18"/>
        </w:rPr>
        <w:t xml:space="preserve"> </w:t>
      </w:r>
    </w:p>
  </w:footnote>
  <w:footnote w:id="99">
    <w:p w14:paraId="43BABCEB" w14:textId="77777777" w:rsidR="006C0687" w:rsidRPr="00010555" w:rsidRDefault="006C0687" w:rsidP="00985E7A">
      <w:pPr>
        <w:pStyle w:val="Textpoznmkypodiarou"/>
        <w:rPr>
          <w:sz w:val="18"/>
        </w:rPr>
      </w:pPr>
      <w:r w:rsidRPr="00010555">
        <w:rPr>
          <w:rStyle w:val="Odkaznapoznmkupodiarou"/>
          <w:sz w:val="18"/>
        </w:rPr>
        <w:footnoteRef/>
      </w:r>
      <w:r w:rsidRPr="00010555">
        <w:rPr>
          <w:sz w:val="18"/>
        </w:rPr>
        <w:t xml:space="preserve"> R4 Prešov, severný obchvat II. etapa </w:t>
      </w:r>
    </w:p>
  </w:footnote>
  <w:footnote w:id="100">
    <w:p w14:paraId="745B3F46" w14:textId="77777777" w:rsidR="006C0687" w:rsidRDefault="006C0687">
      <w:pPr>
        <w:pBdr>
          <w:top w:val="nil"/>
          <w:left w:val="nil"/>
          <w:bottom w:val="nil"/>
          <w:right w:val="nil"/>
          <w:between w:val="nil"/>
        </w:pBdr>
        <w:spacing w:after="0"/>
        <w:rPr>
          <w:color w:val="000000"/>
          <w:sz w:val="20"/>
          <w:szCs w:val="20"/>
        </w:rPr>
      </w:pPr>
      <w:r>
        <w:rPr>
          <w:vertAlign w:val="superscript"/>
        </w:rPr>
        <w:footnoteRef/>
      </w:r>
      <w:r>
        <w:rPr>
          <w:color w:val="000000"/>
          <w:sz w:val="18"/>
          <w:szCs w:val="18"/>
        </w:rPr>
        <w:t xml:space="preserve"> Hodnotenie výsledkov podľa DESI môže byť ovplyvnené nižšou počiatočnou úrovňou IT, časovým nesúladom, keď sa konkrétne opatrenia a realizované projekty nestihli prejaviť vo vyššom hodnotení, ako aj metodikou DESI, ktorá sa sústredí na služby pre občanov a nezachycuje rozvoj agendových systémov, ktoré komunikujú smerom dovnútra štátnej správy.</w:t>
      </w:r>
    </w:p>
  </w:footnote>
  <w:footnote w:id="101">
    <w:p w14:paraId="6B9751DE" w14:textId="77777777" w:rsidR="006C0687" w:rsidRDefault="006C0687">
      <w:pPr>
        <w:pBdr>
          <w:top w:val="nil"/>
          <w:left w:val="nil"/>
          <w:bottom w:val="nil"/>
          <w:right w:val="nil"/>
          <w:between w:val="nil"/>
        </w:pBdr>
        <w:spacing w:after="0"/>
        <w:rPr>
          <w:color w:val="000000"/>
          <w:sz w:val="20"/>
          <w:szCs w:val="20"/>
        </w:rPr>
      </w:pPr>
      <w:r>
        <w:rPr>
          <w:vertAlign w:val="superscript"/>
        </w:rPr>
        <w:footnoteRef/>
      </w:r>
      <w:r>
        <w:rPr>
          <w:color w:val="000000"/>
          <w:sz w:val="18"/>
          <w:szCs w:val="18"/>
        </w:rPr>
        <w:t xml:space="preserve"> Fínsko, Švédsko, Holandsko.</w:t>
      </w:r>
    </w:p>
  </w:footnote>
  <w:footnote w:id="102">
    <w:p w14:paraId="272CB227" w14:textId="18748942" w:rsidR="006C0687" w:rsidRPr="00E57C48" w:rsidRDefault="006C0687">
      <w:pPr>
        <w:pStyle w:val="Textpoznmkypodiarou"/>
        <w:rPr>
          <w:sz w:val="18"/>
          <w:szCs w:val="18"/>
        </w:rPr>
      </w:pPr>
      <w:r>
        <w:rPr>
          <w:rStyle w:val="Odkaznapoznmkupodiarou"/>
        </w:rPr>
        <w:footnoteRef/>
      </w:r>
      <w:r>
        <w:t xml:space="preserve"> </w:t>
      </w:r>
      <w:r w:rsidRPr="00E57C48">
        <w:rPr>
          <w:sz w:val="18"/>
          <w:szCs w:val="18"/>
        </w:rPr>
        <w:t xml:space="preserve">Revízia výdavkov na informatizáciu. </w:t>
      </w:r>
    </w:p>
  </w:footnote>
  <w:footnote w:id="103">
    <w:p w14:paraId="78BB496C" w14:textId="77777777" w:rsidR="006C0687" w:rsidRDefault="006C0687">
      <w:pPr>
        <w:pBdr>
          <w:top w:val="nil"/>
          <w:left w:val="nil"/>
          <w:bottom w:val="nil"/>
          <w:right w:val="nil"/>
          <w:between w:val="nil"/>
        </w:pBdr>
        <w:spacing w:after="0"/>
        <w:rPr>
          <w:color w:val="000000"/>
          <w:sz w:val="20"/>
          <w:szCs w:val="20"/>
        </w:rPr>
      </w:pPr>
      <w:r>
        <w:rPr>
          <w:vertAlign w:val="superscript"/>
        </w:rPr>
        <w:footnoteRef/>
      </w:r>
      <w:r>
        <w:rPr>
          <w:color w:val="000000"/>
          <w:sz w:val="18"/>
          <w:szCs w:val="18"/>
        </w:rPr>
        <w:t xml:space="preserve"> Opatrenie </w:t>
      </w:r>
      <w:r>
        <w:rPr>
          <w:color w:val="000000"/>
          <w:sz w:val="16"/>
          <w:szCs w:val="16"/>
        </w:rPr>
        <w:t>1,</w:t>
      </w:r>
      <w:r>
        <w:rPr>
          <w:color w:val="000000"/>
          <w:sz w:val="18"/>
          <w:szCs w:val="18"/>
        </w:rPr>
        <w:t xml:space="preserve"> naviazanie migrácie na rozpočty kapitol.</w:t>
      </w:r>
    </w:p>
  </w:footnote>
  <w:footnote w:id="104">
    <w:p w14:paraId="43FCAA79" w14:textId="77777777" w:rsidR="006C0687" w:rsidRDefault="006C0687">
      <w:pPr>
        <w:pBdr>
          <w:top w:val="nil"/>
          <w:left w:val="nil"/>
          <w:bottom w:val="nil"/>
          <w:right w:val="nil"/>
          <w:between w:val="nil"/>
        </w:pBdr>
        <w:spacing w:after="0"/>
        <w:rPr>
          <w:color w:val="000000"/>
          <w:sz w:val="20"/>
          <w:szCs w:val="20"/>
        </w:rPr>
      </w:pPr>
      <w:r>
        <w:rPr>
          <w:vertAlign w:val="superscript"/>
        </w:rPr>
        <w:footnoteRef/>
      </w:r>
      <w:r>
        <w:rPr>
          <w:color w:val="000000"/>
          <w:sz w:val="18"/>
          <w:szCs w:val="18"/>
        </w:rPr>
        <w:t xml:space="preserve"> Úspora celkových nákladov na vlastníctvo v období 10 rokov.</w:t>
      </w:r>
    </w:p>
  </w:footnote>
  <w:footnote w:id="105">
    <w:p w14:paraId="4F24AFB5"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Podľa štúdií uskutočniteľnosti projektov dostupných na </w:t>
      </w:r>
      <w:hyperlink r:id="rId67">
        <w:r>
          <w:rPr>
            <w:color w:val="0563C1"/>
            <w:sz w:val="18"/>
            <w:szCs w:val="18"/>
            <w:u w:val="single"/>
          </w:rPr>
          <w:t>https://metais.vicepremier.gov.sk/studia/list</w:t>
        </w:r>
      </w:hyperlink>
      <w:r>
        <w:rPr>
          <w:color w:val="000000"/>
          <w:sz w:val="18"/>
          <w:szCs w:val="18"/>
        </w:rPr>
        <w:t xml:space="preserve">. </w:t>
      </w:r>
    </w:p>
  </w:footnote>
  <w:footnote w:id="106">
    <w:p w14:paraId="4D75A518" w14:textId="77777777" w:rsidR="006C0687" w:rsidRDefault="006C0687">
      <w:pPr>
        <w:pBdr>
          <w:top w:val="nil"/>
          <w:left w:val="nil"/>
          <w:bottom w:val="nil"/>
          <w:right w:val="nil"/>
          <w:between w:val="nil"/>
        </w:pBdr>
        <w:spacing w:after="0"/>
        <w:rPr>
          <w:color w:val="000000"/>
          <w:sz w:val="20"/>
          <w:szCs w:val="20"/>
        </w:rPr>
      </w:pPr>
      <w:r>
        <w:rPr>
          <w:vertAlign w:val="superscript"/>
        </w:rPr>
        <w:footnoteRef/>
      </w:r>
      <w:r>
        <w:rPr>
          <w:color w:val="000000"/>
          <w:sz w:val="18"/>
          <w:szCs w:val="18"/>
        </w:rPr>
        <w:t xml:space="preserve"> Údaje o počte využití služieb nie sú dostupné pre všetky služby, kvalita údajov je v prípade niektorých služieb nízka (viď aj opatrenie 15).</w:t>
      </w:r>
    </w:p>
  </w:footnote>
  <w:footnote w:id="107">
    <w:p w14:paraId="354B6A9A" w14:textId="77777777" w:rsidR="006C0687" w:rsidRDefault="006C0687">
      <w:pPr>
        <w:pBdr>
          <w:top w:val="nil"/>
          <w:left w:val="nil"/>
          <w:bottom w:val="nil"/>
          <w:right w:val="nil"/>
          <w:between w:val="nil"/>
        </w:pBdr>
        <w:spacing w:after="0"/>
        <w:rPr>
          <w:color w:val="000000"/>
          <w:sz w:val="20"/>
          <w:szCs w:val="20"/>
        </w:rPr>
      </w:pPr>
      <w:r>
        <w:rPr>
          <w:vertAlign w:val="superscript"/>
        </w:rPr>
        <w:footnoteRef/>
      </w:r>
      <w:r>
        <w:rPr>
          <w:color w:val="000000"/>
          <w:sz w:val="18"/>
          <w:szCs w:val="18"/>
        </w:rPr>
        <w:t xml:space="preserve"> </w:t>
      </w:r>
      <w:hyperlink r:id="rId68">
        <w:r>
          <w:rPr>
            <w:color w:val="0563C1"/>
            <w:sz w:val="18"/>
            <w:szCs w:val="18"/>
            <w:u w:val="single"/>
          </w:rPr>
          <w:t>https://www.minv.sk/swift_data/source/policia/jm_ode/zep/all/eID_statistika_01_2020.pdf</w:t>
        </w:r>
      </w:hyperlink>
      <w:r>
        <w:rPr>
          <w:color w:val="000000"/>
          <w:sz w:val="18"/>
          <w:szCs w:val="18"/>
        </w:rPr>
        <w:t xml:space="preserve">. </w:t>
      </w:r>
    </w:p>
  </w:footnote>
  <w:footnote w:id="108">
    <w:p w14:paraId="29456A77" w14:textId="77777777" w:rsidR="006C0687" w:rsidRDefault="006C0687">
      <w:pPr>
        <w:pBdr>
          <w:top w:val="nil"/>
          <w:left w:val="nil"/>
          <w:bottom w:val="nil"/>
          <w:right w:val="nil"/>
          <w:between w:val="nil"/>
        </w:pBdr>
        <w:spacing w:after="0"/>
        <w:rPr>
          <w:color w:val="000000"/>
          <w:sz w:val="20"/>
          <w:szCs w:val="20"/>
        </w:rPr>
      </w:pPr>
      <w:r>
        <w:rPr>
          <w:vertAlign w:val="superscript"/>
        </w:rPr>
        <w:footnoteRef/>
      </w:r>
      <w:r>
        <w:rPr>
          <w:color w:val="000000"/>
          <w:sz w:val="18"/>
          <w:szCs w:val="18"/>
        </w:rPr>
        <w:t xml:space="preserve"> </w:t>
      </w:r>
      <w:hyperlink r:id="rId69" w:history="1">
        <w:r w:rsidRPr="00650A78">
          <w:rPr>
            <w:rStyle w:val="Hypertextovprepojenie"/>
            <w:sz w:val="18"/>
            <w:szCs w:val="18"/>
          </w:rPr>
          <w:t>Národná koncepcia informatizácie verejnej správy 2016</w:t>
        </w:r>
      </w:hyperlink>
      <w:r>
        <w:rPr>
          <w:color w:val="000000"/>
          <w:sz w:val="18"/>
          <w:szCs w:val="18"/>
        </w:rPr>
        <w:t xml:space="preserve">. </w:t>
      </w:r>
    </w:p>
  </w:footnote>
  <w:footnote w:id="109">
    <w:p w14:paraId="67122CDF" w14:textId="77777777" w:rsidR="006C0687" w:rsidRPr="00650A78" w:rsidRDefault="006C0687">
      <w:pPr>
        <w:pBdr>
          <w:top w:val="nil"/>
          <w:left w:val="nil"/>
          <w:bottom w:val="nil"/>
          <w:right w:val="nil"/>
          <w:between w:val="nil"/>
        </w:pBdr>
        <w:spacing w:after="0"/>
        <w:rPr>
          <w:color w:val="000000"/>
          <w:sz w:val="16"/>
          <w:szCs w:val="20"/>
        </w:rPr>
      </w:pPr>
      <w:r>
        <w:rPr>
          <w:vertAlign w:val="superscript"/>
        </w:rPr>
        <w:footnoteRef/>
      </w:r>
      <w:r>
        <w:rPr>
          <w:color w:val="000000"/>
          <w:sz w:val="18"/>
          <w:szCs w:val="18"/>
        </w:rPr>
        <w:t xml:space="preserve"> </w:t>
      </w:r>
      <w:hyperlink r:id="rId70" w:history="1">
        <w:r w:rsidRPr="00650A78">
          <w:rPr>
            <w:rStyle w:val="Hypertextovprepojenie"/>
            <w:sz w:val="18"/>
            <w:szCs w:val="18"/>
          </w:rPr>
          <w:t>Jednotný dizajn manuál elektronických služieb</w:t>
        </w:r>
      </w:hyperlink>
      <w:r>
        <w:rPr>
          <w:color w:val="000000"/>
          <w:sz w:val="18"/>
          <w:szCs w:val="18"/>
        </w:rPr>
        <w:t>.</w:t>
      </w:r>
      <w:r w:rsidRPr="00650A78">
        <w:rPr>
          <w:color w:val="000000"/>
          <w:sz w:val="14"/>
          <w:szCs w:val="18"/>
        </w:rPr>
        <w:t xml:space="preserve"> </w:t>
      </w:r>
    </w:p>
  </w:footnote>
  <w:footnote w:id="110">
    <w:p w14:paraId="3F505874" w14:textId="1E9E4A17" w:rsidR="006C0687" w:rsidRDefault="006C0687">
      <w:pPr>
        <w:pBdr>
          <w:top w:val="nil"/>
          <w:left w:val="nil"/>
          <w:bottom w:val="nil"/>
          <w:right w:val="nil"/>
          <w:between w:val="nil"/>
        </w:pBdr>
        <w:spacing w:after="0"/>
        <w:rPr>
          <w:color w:val="000000"/>
          <w:sz w:val="20"/>
          <w:szCs w:val="20"/>
        </w:rPr>
      </w:pPr>
      <w:r>
        <w:rPr>
          <w:vertAlign w:val="superscript"/>
        </w:rPr>
        <w:footnoteRef/>
      </w:r>
      <w:r>
        <w:rPr>
          <w:color w:val="000000"/>
          <w:sz w:val="18"/>
          <w:szCs w:val="18"/>
        </w:rPr>
        <w:t xml:space="preserve"> Revízia výdavkov Informatizácia 2.0. </w:t>
      </w:r>
    </w:p>
  </w:footnote>
  <w:footnote w:id="111">
    <w:p w14:paraId="085E3422" w14:textId="082F2BBC" w:rsidR="006C0687" w:rsidRDefault="006C0687">
      <w:pPr>
        <w:pBdr>
          <w:top w:val="nil"/>
          <w:left w:val="nil"/>
          <w:bottom w:val="nil"/>
          <w:right w:val="nil"/>
          <w:between w:val="nil"/>
        </w:pBdr>
        <w:spacing w:after="0"/>
        <w:rPr>
          <w:color w:val="000000"/>
          <w:sz w:val="20"/>
          <w:szCs w:val="20"/>
        </w:rPr>
      </w:pPr>
      <w:r>
        <w:rPr>
          <w:vertAlign w:val="superscript"/>
        </w:rPr>
        <w:footnoteRef/>
      </w:r>
      <w:r>
        <w:rPr>
          <w:color w:val="000000"/>
          <w:sz w:val="18"/>
          <w:szCs w:val="18"/>
        </w:rPr>
        <w:t xml:space="preserve"> </w:t>
      </w:r>
      <w:r w:rsidRPr="00FF18EC">
        <w:rPr>
          <w:sz w:val="18"/>
        </w:rPr>
        <w:t>Rámec na hodnotenie verejných investičných projektov</w:t>
      </w:r>
      <w:r>
        <w:rPr>
          <w:color w:val="000000"/>
          <w:sz w:val="18"/>
          <w:szCs w:val="18"/>
        </w:rPr>
        <w:t xml:space="preserve">, dostupný na </w:t>
      </w:r>
      <w:hyperlink r:id="rId71" w:history="1">
        <w:r w:rsidRPr="00991A93">
          <w:rPr>
            <w:rStyle w:val="Hypertextovprepojenie"/>
            <w:sz w:val="18"/>
            <w:szCs w:val="18"/>
          </w:rPr>
          <w:t>https://www.mfsr.sk/sk/financie/hodnota-za-peniaze/hodnotenie-investicnych-projektov/hodnotenie-investicnych-projektov.html</w:t>
        </w:r>
      </w:hyperlink>
      <w:r>
        <w:rPr>
          <w:color w:val="000000"/>
          <w:sz w:val="18"/>
          <w:szCs w:val="18"/>
        </w:rPr>
        <w:t xml:space="preserve"> </w:t>
      </w:r>
    </w:p>
  </w:footnote>
  <w:footnote w:id="112">
    <w:p w14:paraId="2102B599" w14:textId="77777777" w:rsidR="006C0687" w:rsidRDefault="006C0687">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w:t>
      </w:r>
      <w:r>
        <w:rPr>
          <w:color w:val="000000"/>
          <w:sz w:val="18"/>
          <w:szCs w:val="18"/>
        </w:rPr>
        <w:t>Aktualizovaný termín na základe Implementačných plánov na rok 2019.</w:t>
      </w:r>
    </w:p>
  </w:footnote>
  <w:footnote w:id="113">
    <w:p w14:paraId="09DBA45B" w14:textId="77777777" w:rsidR="006C0687" w:rsidRDefault="006C0687">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w:t>
      </w:r>
      <w:r>
        <w:rPr>
          <w:color w:val="000000"/>
          <w:sz w:val="18"/>
          <w:szCs w:val="18"/>
        </w:rPr>
        <w:t>Aktualizovaný termín na základe Implementačných plánov na rok 2019.</w:t>
      </w:r>
    </w:p>
  </w:footnote>
  <w:footnote w:id="114">
    <w:p w14:paraId="3B19F7E9"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Po ukončení prebiehajúcich rokovaní budú vyčíslené aj ďalšie ukazovatele, prostredníctvom ktorých bude Zmluva vykonávaná.</w:t>
      </w:r>
    </w:p>
  </w:footnote>
  <w:footnote w:id="115">
    <w:p w14:paraId="6E486A80" w14:textId="77777777" w:rsidR="006C0687" w:rsidRDefault="006C0687">
      <w:pPr>
        <w:pBdr>
          <w:top w:val="nil"/>
          <w:left w:val="nil"/>
          <w:bottom w:val="nil"/>
          <w:right w:val="nil"/>
          <w:between w:val="nil"/>
        </w:pBdr>
        <w:spacing w:after="0"/>
        <w:rPr>
          <w:color w:val="000000"/>
          <w:sz w:val="20"/>
          <w:szCs w:val="20"/>
        </w:rPr>
      </w:pPr>
      <w:r>
        <w:rPr>
          <w:vertAlign w:val="superscript"/>
        </w:rPr>
        <w:footnoteRef/>
      </w:r>
      <w:r>
        <w:rPr>
          <w:color w:val="000000"/>
          <w:sz w:val="18"/>
          <w:szCs w:val="18"/>
        </w:rPr>
        <w:t xml:space="preserve"> ŠU „Zvýšenie kapacity DC Kopčianska“ a „Zvýšenie kapacity DC Tajov“. </w:t>
      </w:r>
      <w:hyperlink r:id="rId72">
        <w:r>
          <w:rPr>
            <w:color w:val="0563C1"/>
            <w:sz w:val="18"/>
            <w:szCs w:val="18"/>
            <w:u w:val="single"/>
          </w:rPr>
          <w:t>https://metais.vicepremier.gov.sk/studia/list</w:t>
        </w:r>
      </w:hyperlink>
      <w:r>
        <w:rPr>
          <w:color w:val="0563C1"/>
          <w:sz w:val="18"/>
          <w:szCs w:val="18"/>
          <w:u w:val="single"/>
        </w:rPr>
        <w:t>.</w:t>
      </w:r>
    </w:p>
  </w:footnote>
  <w:footnote w:id="116">
    <w:p w14:paraId="6B2AADED" w14:textId="035D0B9F"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r w:rsidRPr="008147DE">
        <w:rPr>
          <w:sz w:val="18"/>
        </w:rPr>
        <w:t>Zvýšenie kapacity vládneho cloudu v Datacentre Kopčianska</w:t>
      </w:r>
      <w:r>
        <w:rPr>
          <w:sz w:val="18"/>
        </w:rPr>
        <w:t xml:space="preserve">, dostupné na </w:t>
      </w:r>
      <w:hyperlink r:id="rId73" w:history="1">
        <w:r w:rsidRPr="00991A93">
          <w:rPr>
            <w:rStyle w:val="Hypertextovprepojenie"/>
            <w:sz w:val="18"/>
          </w:rPr>
          <w:t>https://www.mfsr.sk/sk/financie/hodnota-za-peniaze/hodnotenie-investicnych-projektov/hodnotenie-investicnych-projektov.html</w:t>
        </w:r>
      </w:hyperlink>
      <w:r>
        <w:rPr>
          <w:sz w:val="18"/>
        </w:rPr>
        <w:t xml:space="preserve">. </w:t>
      </w:r>
    </w:p>
  </w:footnote>
  <w:footnote w:id="117">
    <w:p w14:paraId="5F5F5FFF"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Migračné plány doručili Ministerstvo dopravy a výstavby SR, Ministerstvo financií SR, Ministerstvo hospodárstva SR, Ministerstvo kultúry SR, Ministerstvo obrany SR, Ministerstvo pôdohospodárstva a rozvoja vidieka SR, Ministerstvo práce, sociálnych vecí a rodiny SR, Ministerstvo školstva, vedy, výskumu a športu SR, Ministerstvo vnútra SR, Ministerstvo zdravotníctva SR a Ministerstvo životného prostredia SR.</w:t>
      </w:r>
    </w:p>
  </w:footnote>
  <w:footnote w:id="118">
    <w:p w14:paraId="68F2A010" w14:textId="77777777" w:rsidR="006C0687" w:rsidRPr="00F21296" w:rsidRDefault="006C0687">
      <w:pPr>
        <w:pBdr>
          <w:top w:val="nil"/>
          <w:left w:val="nil"/>
          <w:bottom w:val="nil"/>
          <w:right w:val="nil"/>
          <w:between w:val="nil"/>
        </w:pBdr>
        <w:spacing w:after="0"/>
        <w:rPr>
          <w:color w:val="000000"/>
          <w:sz w:val="18"/>
          <w:szCs w:val="18"/>
        </w:rPr>
      </w:pPr>
      <w:r w:rsidRPr="00F21296">
        <w:rPr>
          <w:sz w:val="18"/>
          <w:szCs w:val="18"/>
          <w:vertAlign w:val="superscript"/>
        </w:rPr>
        <w:footnoteRef/>
      </w:r>
      <w:r w:rsidRPr="00F21296">
        <w:rPr>
          <w:color w:val="000000"/>
          <w:sz w:val="18"/>
          <w:szCs w:val="18"/>
        </w:rPr>
        <w:t xml:space="preserve"> Počítaná z celkových nákladov na vlastníctvo na obdobie 10 rokov. V rámci celkových nákladov na decentralizovanú prevádzku sú zahrnuté aj náklady na obnovu HW.</w:t>
      </w:r>
    </w:p>
  </w:footnote>
  <w:footnote w:id="119">
    <w:p w14:paraId="3EF36B44" w14:textId="77777777" w:rsidR="006C0687" w:rsidRPr="00F21296" w:rsidRDefault="006C0687">
      <w:pPr>
        <w:spacing w:after="0"/>
        <w:rPr>
          <w:color w:val="000000"/>
          <w:sz w:val="18"/>
          <w:szCs w:val="18"/>
        </w:rPr>
      </w:pPr>
      <w:r w:rsidRPr="00F21296">
        <w:rPr>
          <w:sz w:val="18"/>
          <w:szCs w:val="18"/>
          <w:vertAlign w:val="superscript"/>
        </w:rPr>
        <w:footnoteRef/>
      </w:r>
      <w:r w:rsidRPr="00F21296">
        <w:rPr>
          <w:sz w:val="18"/>
          <w:szCs w:val="18"/>
        </w:rPr>
        <w:t xml:space="preserve"> Ide o projekty </w:t>
      </w:r>
      <w:r w:rsidRPr="00F21296">
        <w:rPr>
          <w:color w:val="000000"/>
          <w:sz w:val="18"/>
          <w:szCs w:val="18"/>
        </w:rPr>
        <w:t xml:space="preserve">Migrácia systému elektronickej pošta Ministerstva spravodlivosti SR do IaaS, Migrácia systémov Národného lesníckeho centra do vládneho cloudu a dva projekty ŠÚ SR, Migrácia IS Vnútorná správa a IŠIS Štatistického úradu SR do vládneho cloudu. Viac informácií k projektom je dostupných na </w:t>
      </w:r>
      <w:hyperlink r:id="rId74">
        <w:r w:rsidRPr="00F21296">
          <w:rPr>
            <w:color w:val="0563C1"/>
            <w:sz w:val="18"/>
            <w:szCs w:val="18"/>
            <w:u w:val="single"/>
          </w:rPr>
          <w:t>https://metais.vicepremier.gov.sk/studia/list</w:t>
        </w:r>
      </w:hyperlink>
      <w:r w:rsidRPr="00F21296">
        <w:rPr>
          <w:color w:val="000000"/>
          <w:sz w:val="18"/>
          <w:szCs w:val="18"/>
        </w:rPr>
        <w:t xml:space="preserve">. </w:t>
      </w:r>
    </w:p>
  </w:footnote>
  <w:footnote w:id="120">
    <w:p w14:paraId="1B66E74C" w14:textId="77777777" w:rsidR="006C0687" w:rsidRPr="00F21296" w:rsidRDefault="006C0687">
      <w:pPr>
        <w:pBdr>
          <w:top w:val="nil"/>
          <w:left w:val="nil"/>
          <w:bottom w:val="nil"/>
          <w:right w:val="nil"/>
          <w:between w:val="nil"/>
        </w:pBdr>
        <w:spacing w:after="0"/>
        <w:rPr>
          <w:color w:val="000000"/>
          <w:sz w:val="18"/>
          <w:szCs w:val="18"/>
        </w:rPr>
      </w:pPr>
      <w:r w:rsidRPr="00F21296">
        <w:rPr>
          <w:sz w:val="18"/>
          <w:szCs w:val="18"/>
          <w:vertAlign w:val="superscript"/>
        </w:rPr>
        <w:footnoteRef/>
      </w:r>
      <w:r w:rsidRPr="00F21296">
        <w:rPr>
          <w:color w:val="000000"/>
          <w:sz w:val="18"/>
          <w:szCs w:val="18"/>
        </w:rPr>
        <w:t xml:space="preserve"> </w:t>
      </w:r>
      <w:hyperlink r:id="rId75">
        <w:r w:rsidRPr="00F21296">
          <w:rPr>
            <w:color w:val="0563C1"/>
            <w:sz w:val="18"/>
            <w:szCs w:val="18"/>
            <w:u w:val="single"/>
          </w:rPr>
          <w:t>http://www.informatizacia.sk/aktuality-zverejnujeme-dopytove-vyzvy-pre-data--sluzby-a-cloud_v1/27106c</w:t>
        </w:r>
      </w:hyperlink>
      <w:r w:rsidRPr="00F21296">
        <w:rPr>
          <w:color w:val="0563C1"/>
          <w:sz w:val="18"/>
          <w:szCs w:val="18"/>
          <w:u w:val="single"/>
        </w:rPr>
        <w:t>.</w:t>
      </w:r>
    </w:p>
  </w:footnote>
  <w:footnote w:id="121">
    <w:p w14:paraId="55C40F0C" w14:textId="77777777" w:rsidR="006C0687" w:rsidRPr="00F21296" w:rsidRDefault="006C0687">
      <w:pPr>
        <w:pBdr>
          <w:top w:val="nil"/>
          <w:left w:val="nil"/>
          <w:bottom w:val="nil"/>
          <w:right w:val="nil"/>
          <w:between w:val="nil"/>
        </w:pBdr>
        <w:spacing w:after="0"/>
        <w:rPr>
          <w:color w:val="000000"/>
          <w:sz w:val="18"/>
          <w:szCs w:val="18"/>
        </w:rPr>
      </w:pPr>
      <w:r w:rsidRPr="00F21296">
        <w:rPr>
          <w:sz w:val="18"/>
          <w:szCs w:val="18"/>
          <w:vertAlign w:val="superscript"/>
        </w:rPr>
        <w:footnoteRef/>
      </w:r>
      <w:r w:rsidRPr="00F21296">
        <w:rPr>
          <w:color w:val="000000"/>
          <w:sz w:val="18"/>
          <w:szCs w:val="18"/>
        </w:rPr>
        <w:t xml:space="preserve"> </w:t>
      </w:r>
      <w:hyperlink r:id="rId76">
        <w:r w:rsidRPr="00F21296">
          <w:rPr>
            <w:color w:val="0563C1"/>
            <w:sz w:val="18"/>
            <w:szCs w:val="18"/>
            <w:u w:val="single"/>
          </w:rPr>
          <w:t>http://www.informatizacia.sk/ext_dok-hk_dop_migracia_isv/26929c</w:t>
        </w:r>
      </w:hyperlink>
      <w:r w:rsidRPr="00F21296">
        <w:rPr>
          <w:color w:val="000000"/>
          <w:sz w:val="18"/>
          <w:szCs w:val="18"/>
        </w:rPr>
        <w:t>.</w:t>
      </w:r>
    </w:p>
  </w:footnote>
  <w:footnote w:id="122">
    <w:p w14:paraId="5D82214A" w14:textId="77777777" w:rsidR="006C0687" w:rsidRPr="00F21296" w:rsidRDefault="006C0687">
      <w:pPr>
        <w:pBdr>
          <w:top w:val="nil"/>
          <w:left w:val="nil"/>
          <w:bottom w:val="nil"/>
          <w:right w:val="nil"/>
          <w:between w:val="nil"/>
        </w:pBdr>
        <w:spacing w:after="0"/>
        <w:rPr>
          <w:color w:val="000000"/>
          <w:sz w:val="18"/>
          <w:szCs w:val="18"/>
        </w:rPr>
      </w:pPr>
      <w:r w:rsidRPr="00F21296">
        <w:rPr>
          <w:sz w:val="18"/>
          <w:szCs w:val="18"/>
          <w:vertAlign w:val="superscript"/>
        </w:rPr>
        <w:footnoteRef/>
      </w:r>
      <w:r w:rsidRPr="00F21296">
        <w:rPr>
          <w:color w:val="000000"/>
          <w:sz w:val="18"/>
          <w:szCs w:val="18"/>
        </w:rPr>
        <w:t xml:space="preserve"> </w:t>
      </w:r>
      <w:hyperlink r:id="rId77" w:history="1">
        <w:r w:rsidRPr="00F21296">
          <w:rPr>
            <w:rStyle w:val="Hypertextovprepojenie"/>
            <w:sz w:val="18"/>
            <w:szCs w:val="18"/>
          </w:rPr>
          <w:t>Katalóg vládnych cloudových služieb V1.12</w:t>
        </w:r>
      </w:hyperlink>
      <w:r w:rsidRPr="00F21296">
        <w:rPr>
          <w:sz w:val="18"/>
          <w:szCs w:val="18"/>
        </w:rPr>
        <w:t>.</w:t>
      </w:r>
    </w:p>
  </w:footnote>
  <w:footnote w:id="123">
    <w:p w14:paraId="6443FD3B" w14:textId="77777777" w:rsidR="006C0687" w:rsidRDefault="006C0687">
      <w:pPr>
        <w:pBdr>
          <w:top w:val="nil"/>
          <w:left w:val="nil"/>
          <w:bottom w:val="nil"/>
          <w:right w:val="nil"/>
          <w:between w:val="nil"/>
        </w:pBdr>
        <w:spacing w:after="0"/>
        <w:rPr>
          <w:color w:val="000000"/>
          <w:sz w:val="20"/>
          <w:szCs w:val="20"/>
        </w:rPr>
      </w:pPr>
      <w:r w:rsidRPr="00F21296">
        <w:rPr>
          <w:sz w:val="18"/>
          <w:szCs w:val="18"/>
          <w:vertAlign w:val="superscript"/>
        </w:rPr>
        <w:footnoteRef/>
      </w:r>
      <w:r w:rsidRPr="00F21296">
        <w:rPr>
          <w:color w:val="000000"/>
          <w:sz w:val="18"/>
          <w:szCs w:val="18"/>
        </w:rPr>
        <w:t xml:space="preserve"> </w:t>
      </w:r>
      <w:hyperlink r:id="rId78" w:history="1">
        <w:r w:rsidRPr="00F21296">
          <w:rPr>
            <w:rStyle w:val="Hypertextovprepojenie"/>
            <w:sz w:val="18"/>
            <w:szCs w:val="18"/>
          </w:rPr>
          <w:t>Katalóg vládnych cloudových služieb V1.13</w:t>
        </w:r>
      </w:hyperlink>
      <w:r w:rsidRPr="00F21296">
        <w:rPr>
          <w:sz w:val="18"/>
          <w:szCs w:val="18"/>
        </w:rPr>
        <w:t>.</w:t>
      </w:r>
    </w:p>
  </w:footnote>
  <w:footnote w:id="124">
    <w:p w14:paraId="1F56A91C"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79">
        <w:r>
          <w:rPr>
            <w:color w:val="0563C1"/>
            <w:sz w:val="18"/>
            <w:szCs w:val="18"/>
            <w:highlight w:val="white"/>
            <w:u w:val="single"/>
          </w:rPr>
          <w:t>https://www.uvo.gov.sk/vyhladavanie-zakaziek/detail/415748</w:t>
        </w:r>
      </w:hyperlink>
      <w:r>
        <w:rPr>
          <w:color w:val="0563C1"/>
          <w:sz w:val="18"/>
          <w:szCs w:val="18"/>
          <w:highlight w:val="white"/>
          <w:u w:val="single"/>
        </w:rPr>
        <w:t>.</w:t>
      </w:r>
      <w:r>
        <w:rPr>
          <w:color w:val="000000"/>
          <w:sz w:val="18"/>
          <w:szCs w:val="18"/>
        </w:rPr>
        <w:t xml:space="preserve"> </w:t>
      </w:r>
    </w:p>
  </w:footnote>
  <w:footnote w:id="125">
    <w:p w14:paraId="5AA2677E"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80" w:history="1">
        <w:r w:rsidRPr="00435958">
          <w:rPr>
            <w:rStyle w:val="Hypertextovprepojenie"/>
            <w:sz w:val="18"/>
            <w:szCs w:val="18"/>
          </w:rPr>
          <w:t>Zabezpečenie kancelárskych softvérových licencií pre štátnu správu</w:t>
        </w:r>
      </w:hyperlink>
      <w:r>
        <w:rPr>
          <w:color w:val="000000"/>
          <w:sz w:val="18"/>
          <w:szCs w:val="18"/>
        </w:rPr>
        <w:t>.</w:t>
      </w:r>
    </w:p>
  </w:footnote>
  <w:footnote w:id="126">
    <w:p w14:paraId="23694230" w14:textId="77777777" w:rsidR="006C0687" w:rsidRDefault="006C0687">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w:t>
      </w:r>
      <w:hyperlink r:id="rId81">
        <w:r>
          <w:rPr>
            <w:color w:val="0563C1"/>
            <w:sz w:val="18"/>
            <w:szCs w:val="18"/>
            <w:u w:val="single"/>
          </w:rPr>
          <w:t>https://www.uvo.gov.sk/vyhladavanie-zakaziek/detail/415748</w:t>
        </w:r>
      </w:hyperlink>
      <w:r>
        <w:rPr>
          <w:color w:val="000000"/>
          <w:sz w:val="18"/>
          <w:szCs w:val="18"/>
        </w:rPr>
        <w:t xml:space="preserve"> </w:t>
      </w:r>
    </w:p>
  </w:footnote>
  <w:footnote w:id="127">
    <w:p w14:paraId="181CF71E" w14:textId="77777777" w:rsidR="006C0687" w:rsidRDefault="006C0687">
      <w:pPr>
        <w:pBdr>
          <w:top w:val="nil"/>
          <w:left w:val="nil"/>
          <w:bottom w:val="nil"/>
          <w:right w:val="nil"/>
          <w:between w:val="nil"/>
        </w:pBdr>
        <w:spacing w:after="0"/>
        <w:rPr>
          <w:color w:val="000000"/>
          <w:sz w:val="20"/>
          <w:szCs w:val="20"/>
        </w:rPr>
      </w:pPr>
      <w:r>
        <w:rPr>
          <w:vertAlign w:val="superscript"/>
        </w:rPr>
        <w:footnoteRef/>
      </w:r>
      <w:r>
        <w:rPr>
          <w:color w:val="000000"/>
          <w:sz w:val="18"/>
          <w:szCs w:val="18"/>
        </w:rPr>
        <w:t xml:space="preserve"> </w:t>
      </w:r>
      <w:hyperlink r:id="rId82" w:history="1">
        <w:r w:rsidRPr="003A013C">
          <w:rPr>
            <w:rStyle w:val="Hypertextovprepojenie"/>
            <w:sz w:val="18"/>
          </w:rPr>
          <w:t>Zákon o e-Governmente</w:t>
        </w:r>
      </w:hyperlink>
      <w:r>
        <w:rPr>
          <w:sz w:val="18"/>
        </w:rPr>
        <w:t xml:space="preserve">. </w:t>
      </w:r>
    </w:p>
  </w:footnote>
  <w:footnote w:id="128">
    <w:p w14:paraId="2A40FEE9" w14:textId="77777777" w:rsidR="006C0687" w:rsidRDefault="006C0687">
      <w:pPr>
        <w:pBdr>
          <w:top w:val="nil"/>
          <w:left w:val="nil"/>
          <w:bottom w:val="nil"/>
          <w:right w:val="nil"/>
          <w:between w:val="nil"/>
        </w:pBdr>
        <w:spacing w:after="0"/>
        <w:rPr>
          <w:color w:val="000000"/>
          <w:sz w:val="20"/>
          <w:szCs w:val="20"/>
        </w:rPr>
      </w:pPr>
      <w:r>
        <w:rPr>
          <w:vertAlign w:val="superscript"/>
        </w:rPr>
        <w:footnoteRef/>
      </w:r>
      <w:r>
        <w:rPr>
          <w:color w:val="000000"/>
          <w:sz w:val="18"/>
          <w:szCs w:val="18"/>
        </w:rPr>
        <w:t xml:space="preserve"> </w:t>
      </w:r>
      <w:hyperlink r:id="rId83">
        <w:r>
          <w:rPr>
            <w:color w:val="0563C1"/>
            <w:sz w:val="18"/>
            <w:szCs w:val="18"/>
            <w:u w:val="single"/>
          </w:rPr>
          <w:t>https://www.minv.sk/swift_data/source/policia/jm_ode/zep/all/eID_statistika_01_2020.pdf</w:t>
        </w:r>
      </w:hyperlink>
      <w:r>
        <w:rPr>
          <w:color w:val="000000"/>
          <w:sz w:val="18"/>
          <w:szCs w:val="18"/>
        </w:rPr>
        <w:t xml:space="preserve"> </w:t>
      </w:r>
    </w:p>
  </w:footnote>
  <w:footnote w:id="129">
    <w:p w14:paraId="1A7FEF4A" w14:textId="77777777" w:rsidR="006C0687" w:rsidRDefault="006C0687">
      <w:pPr>
        <w:pBdr>
          <w:top w:val="nil"/>
          <w:left w:val="nil"/>
          <w:bottom w:val="nil"/>
          <w:right w:val="nil"/>
          <w:between w:val="nil"/>
        </w:pBdr>
        <w:spacing w:after="0"/>
        <w:rPr>
          <w:color w:val="000000"/>
          <w:sz w:val="20"/>
          <w:szCs w:val="20"/>
        </w:rPr>
      </w:pPr>
      <w:r>
        <w:rPr>
          <w:vertAlign w:val="superscript"/>
        </w:rPr>
        <w:footnoteRef/>
      </w:r>
      <w:r>
        <w:rPr>
          <w:color w:val="000000"/>
          <w:sz w:val="18"/>
          <w:szCs w:val="18"/>
        </w:rPr>
        <w:t xml:space="preserve"> </w:t>
      </w:r>
      <w:hyperlink r:id="rId84">
        <w:r>
          <w:rPr>
            <w:color w:val="0563C1"/>
            <w:sz w:val="18"/>
            <w:szCs w:val="18"/>
            <w:u w:val="single"/>
          </w:rPr>
          <w:t>https://metais.vicepremier.gov.sk/reportdetail/KS_KEP</w:t>
        </w:r>
      </w:hyperlink>
      <w:r>
        <w:rPr>
          <w:color w:val="000000"/>
          <w:sz w:val="18"/>
          <w:szCs w:val="18"/>
        </w:rPr>
        <w:t xml:space="preserve">. </w:t>
      </w:r>
    </w:p>
  </w:footnote>
  <w:footnote w:id="130">
    <w:p w14:paraId="390B97AA"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Rozdiel medzi počtom vydaných BOK a KEP v roku 2019.</w:t>
      </w:r>
    </w:p>
  </w:footnote>
  <w:footnote w:id="131">
    <w:p w14:paraId="0CC62DED" w14:textId="77777777" w:rsidR="006C0687" w:rsidRDefault="006C0687" w:rsidP="00905BD2">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85" w:history="1">
        <w:r w:rsidRPr="00E803EE">
          <w:rPr>
            <w:rStyle w:val="Hypertextovprepojenie"/>
            <w:sz w:val="18"/>
            <w:szCs w:val="18"/>
          </w:rPr>
          <w:t>ŚU ÚPVS, 2. časť</w:t>
        </w:r>
      </w:hyperlink>
      <w:r>
        <w:rPr>
          <w:color w:val="000000"/>
          <w:sz w:val="18"/>
          <w:szCs w:val="18"/>
        </w:rPr>
        <w:t>.</w:t>
      </w:r>
    </w:p>
  </w:footnote>
  <w:footnote w:id="132">
    <w:p w14:paraId="29DC966B"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86" w:history="1">
        <w:r w:rsidRPr="00E803EE">
          <w:rPr>
            <w:rStyle w:val="Hypertextovprepojenie"/>
            <w:sz w:val="18"/>
            <w:szCs w:val="18"/>
          </w:rPr>
          <w:t>Jednotný dizajn manuál elektronických služieb</w:t>
        </w:r>
      </w:hyperlink>
      <w:r>
        <w:rPr>
          <w:color w:val="000000"/>
          <w:sz w:val="18"/>
          <w:szCs w:val="18"/>
        </w:rPr>
        <w:t xml:space="preserve">. </w:t>
      </w:r>
    </w:p>
  </w:footnote>
  <w:footnote w:id="133">
    <w:p w14:paraId="0E835EFD" w14:textId="77777777" w:rsidR="006C0687" w:rsidRDefault="006C0687">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w:t>
      </w:r>
      <w:hyperlink r:id="rId87">
        <w:r>
          <w:rPr>
            <w:color w:val="0563C1"/>
            <w:sz w:val="18"/>
            <w:szCs w:val="18"/>
            <w:u w:val="single"/>
          </w:rPr>
          <w:t>http://www.informatizacia.sk/ext_dok-schvalene-projekty-po-1-a-3_k-23122015/22580c</w:t>
        </w:r>
      </w:hyperlink>
      <w:r>
        <w:rPr>
          <w:color w:val="000000"/>
          <w:sz w:val="18"/>
          <w:szCs w:val="18"/>
        </w:rPr>
        <w:t xml:space="preserve">. </w:t>
      </w:r>
    </w:p>
  </w:footnote>
  <w:footnote w:id="134">
    <w:p w14:paraId="60DFDAC3" w14:textId="77777777" w:rsidR="006C0687" w:rsidRDefault="006C0687" w:rsidP="00905BD2">
      <w:pPr>
        <w:spacing w:after="0"/>
        <w:rPr>
          <w:sz w:val="18"/>
        </w:rPr>
      </w:pPr>
      <w:r>
        <w:rPr>
          <w:vertAlign w:val="superscript"/>
        </w:rPr>
        <w:footnoteRef/>
      </w:r>
      <w:r>
        <w:rPr>
          <w:color w:val="000000"/>
          <w:sz w:val="20"/>
          <w:szCs w:val="20"/>
        </w:rPr>
        <w:t xml:space="preserve"> </w:t>
      </w:r>
      <w:r w:rsidRPr="002B113F">
        <w:rPr>
          <w:sz w:val="18"/>
        </w:rPr>
        <w:t>The world is going mad for mobile: Are government-sponsored ID implementations keeping up?</w:t>
      </w:r>
      <w:r>
        <w:rPr>
          <w:sz w:val="18"/>
        </w:rPr>
        <w:t>. Dostupné na:</w:t>
      </w:r>
    </w:p>
    <w:p w14:paraId="06D8564A" w14:textId="77777777" w:rsidR="006C0687" w:rsidRPr="00473811" w:rsidRDefault="00C45DA3" w:rsidP="00905BD2">
      <w:pPr>
        <w:spacing w:after="0"/>
        <w:rPr>
          <w:sz w:val="18"/>
        </w:rPr>
      </w:pPr>
      <w:hyperlink r:id="rId88" w:history="1">
        <w:r w:rsidR="006C0687" w:rsidRPr="009019A9">
          <w:rPr>
            <w:rStyle w:val="Hypertextovprepojenie"/>
            <w:sz w:val="18"/>
          </w:rPr>
          <w:t>https://www.infineon.com/dgdl/Infineon-The+World+is+going+mad+for+mobile-WP-v03_17-EN.pdf?fileId=5546d4625a888733015aae0b7dec4c56</w:t>
        </w:r>
      </w:hyperlink>
      <w:r w:rsidR="006C0687">
        <w:rPr>
          <w:sz w:val="18"/>
        </w:rPr>
        <w:t xml:space="preserve">. </w:t>
      </w:r>
    </w:p>
  </w:footnote>
  <w:footnote w:id="135">
    <w:p w14:paraId="34731A7E"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89" w:history="1">
        <w:r w:rsidRPr="00473811">
          <w:rPr>
            <w:rStyle w:val="Hypertextovprepojenie"/>
            <w:sz w:val="18"/>
          </w:rPr>
          <w:t>Uznesenie 286/2019</w:t>
        </w:r>
      </w:hyperlink>
      <w:r>
        <w:rPr>
          <w:sz w:val="18"/>
        </w:rPr>
        <w:t>.</w:t>
      </w:r>
    </w:p>
  </w:footnote>
  <w:footnote w:id="136">
    <w:p w14:paraId="3ECC23CC"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90" w:history="1">
        <w:r w:rsidRPr="0009773F">
          <w:rPr>
            <w:rStyle w:val="Hypertextovprepojenie"/>
            <w:sz w:val="18"/>
            <w:szCs w:val="18"/>
          </w:rPr>
          <w:t>Koncepcia riadenia informatizácie verejnej správy</w:t>
        </w:r>
      </w:hyperlink>
      <w:r>
        <w:rPr>
          <w:sz w:val="18"/>
          <w:szCs w:val="18"/>
        </w:rPr>
        <w:t>.</w:t>
      </w:r>
      <w:r w:rsidRPr="0009773F">
        <w:rPr>
          <w:sz w:val="18"/>
          <w:szCs w:val="18"/>
        </w:rPr>
        <w:t xml:space="preserve"> </w:t>
      </w:r>
    </w:p>
  </w:footnote>
  <w:footnote w:id="137">
    <w:p w14:paraId="388622A6" w14:textId="77777777" w:rsidR="006C0687" w:rsidRDefault="006C0687">
      <w:pPr>
        <w:pBdr>
          <w:top w:val="nil"/>
          <w:left w:val="nil"/>
          <w:bottom w:val="nil"/>
          <w:right w:val="nil"/>
          <w:between w:val="nil"/>
        </w:pBdr>
        <w:spacing w:after="0"/>
        <w:rPr>
          <w:color w:val="000000"/>
          <w:sz w:val="20"/>
          <w:szCs w:val="20"/>
        </w:rPr>
      </w:pPr>
      <w:r>
        <w:rPr>
          <w:vertAlign w:val="superscript"/>
        </w:rPr>
        <w:footnoteRef/>
      </w:r>
      <w:r>
        <w:rPr>
          <w:color w:val="000000"/>
          <w:sz w:val="18"/>
          <w:szCs w:val="18"/>
        </w:rPr>
        <w:t xml:space="preserve"> </w:t>
      </w:r>
      <w:hyperlink r:id="rId91" w:history="1">
        <w:r w:rsidRPr="007D2C29">
          <w:rPr>
            <w:rStyle w:val="Hypertextovprepojenie"/>
            <w:sz w:val="18"/>
            <w:szCs w:val="18"/>
          </w:rPr>
          <w:t>Informácia o plnení Národnej koncepcie informatizácie verejnej správy Slovenskej republiky za obdobie od 1.1. do 31.12.2018</w:t>
        </w:r>
      </w:hyperlink>
      <w:r>
        <w:rPr>
          <w:color w:val="000000"/>
          <w:sz w:val="18"/>
          <w:szCs w:val="18"/>
        </w:rPr>
        <w:t>.</w:t>
      </w:r>
      <w:r w:rsidRPr="007D2C29">
        <w:rPr>
          <w:color w:val="000000"/>
          <w:sz w:val="18"/>
          <w:szCs w:val="18"/>
        </w:rPr>
        <w:t xml:space="preserve"> </w:t>
      </w:r>
    </w:p>
  </w:footnote>
  <w:footnote w:id="138">
    <w:p w14:paraId="0CEC1678"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92" w:history="1">
        <w:r w:rsidRPr="00B82D36">
          <w:rPr>
            <w:rStyle w:val="Hypertextovprepojenie"/>
            <w:sz w:val="18"/>
          </w:rPr>
          <w:t>Metodický pokyn k spracovaniu štúdie uskutočniteľnosti</w:t>
        </w:r>
      </w:hyperlink>
      <w:r>
        <w:rPr>
          <w:sz w:val="18"/>
        </w:rPr>
        <w:t>.</w:t>
      </w:r>
    </w:p>
  </w:footnote>
  <w:footnote w:id="139">
    <w:p w14:paraId="5826BD1A" w14:textId="77777777" w:rsidR="006C0687" w:rsidRDefault="006C0687">
      <w:pPr>
        <w:pBdr>
          <w:top w:val="nil"/>
          <w:left w:val="nil"/>
          <w:bottom w:val="nil"/>
          <w:right w:val="nil"/>
          <w:between w:val="nil"/>
        </w:pBdr>
        <w:spacing w:after="0"/>
        <w:rPr>
          <w:color w:val="000000"/>
          <w:sz w:val="20"/>
          <w:szCs w:val="20"/>
        </w:rPr>
      </w:pPr>
      <w:r>
        <w:rPr>
          <w:vertAlign w:val="superscript"/>
        </w:rPr>
        <w:footnoteRef/>
      </w:r>
      <w:r>
        <w:rPr>
          <w:color w:val="000000"/>
          <w:sz w:val="18"/>
          <w:szCs w:val="18"/>
        </w:rPr>
        <w:t xml:space="preserve"> </w:t>
      </w:r>
      <w:hyperlink r:id="rId93" w:history="1">
        <w:r w:rsidRPr="00B82D36">
          <w:rPr>
            <w:rStyle w:val="Hypertextovprepojenie"/>
            <w:sz w:val="18"/>
            <w:szCs w:val="18"/>
          </w:rPr>
          <w:t>Metodický pokyn k medzirezortnému programu 0EK</w:t>
        </w:r>
      </w:hyperlink>
      <w:r>
        <w:rPr>
          <w:color w:val="000000"/>
          <w:sz w:val="18"/>
          <w:szCs w:val="18"/>
        </w:rPr>
        <w:t>.</w:t>
      </w:r>
    </w:p>
  </w:footnote>
  <w:footnote w:id="140">
    <w:p w14:paraId="61318189" w14:textId="77777777" w:rsidR="006C0687" w:rsidRDefault="006C0687">
      <w:pPr>
        <w:pBdr>
          <w:top w:val="nil"/>
          <w:left w:val="nil"/>
          <w:bottom w:val="nil"/>
          <w:right w:val="nil"/>
          <w:between w:val="nil"/>
        </w:pBdr>
        <w:spacing w:after="0"/>
        <w:rPr>
          <w:color w:val="000000"/>
          <w:sz w:val="20"/>
          <w:szCs w:val="20"/>
        </w:rPr>
      </w:pPr>
      <w:r>
        <w:rPr>
          <w:vertAlign w:val="superscript"/>
        </w:rPr>
        <w:footnoteRef/>
      </w:r>
      <w:r>
        <w:rPr>
          <w:color w:val="000000"/>
          <w:sz w:val="18"/>
          <w:szCs w:val="18"/>
        </w:rPr>
        <w:t xml:space="preserve"> Napr. PPA rozpočtuje výdavky na bežnú podporu IT systémov na podpoložku 637040 Služby v oblasti informačno-komunikačných technológií namiesto podpoložky 635009 Rutinná a štandardná údržba softvéru.</w:t>
      </w:r>
    </w:p>
  </w:footnote>
  <w:footnote w:id="141">
    <w:p w14:paraId="43433E9C" w14:textId="5C208C51"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Viď </w:t>
      </w:r>
      <w:r w:rsidRPr="00C729DC">
        <w:rPr>
          <w:sz w:val="18"/>
          <w:szCs w:val="18"/>
        </w:rPr>
        <w:t>Detailný akčný plán informatizácie verejnej správy 2017-2020</w:t>
      </w:r>
      <w:r w:rsidRPr="00A7606C">
        <w:rPr>
          <w:color w:val="000000"/>
          <w:sz w:val="18"/>
          <w:szCs w:val="18"/>
        </w:rPr>
        <w:t>,</w:t>
      </w:r>
      <w:r w:rsidRPr="00C729DC">
        <w:rPr>
          <w:color w:val="000000"/>
          <w:sz w:val="18"/>
          <w:szCs w:val="18"/>
        </w:rPr>
        <w:t xml:space="preserve"> str. 5</w:t>
      </w:r>
      <w:r>
        <w:rPr>
          <w:color w:val="000000"/>
          <w:sz w:val="18"/>
          <w:szCs w:val="18"/>
        </w:rPr>
        <w:t xml:space="preserve">-7. Dostupný na </w:t>
      </w:r>
      <w:hyperlink r:id="rId94" w:history="1">
        <w:r w:rsidRPr="00991A93">
          <w:rPr>
            <w:rStyle w:val="Hypertextovprepojenie"/>
            <w:sz w:val="18"/>
            <w:szCs w:val="18"/>
          </w:rPr>
          <w:t>https://www.vicepremier.gov.sk/wp-content/uploads/2018/10/Detailny_akcny_plan_schvaleny-1.pdf</w:t>
        </w:r>
      </w:hyperlink>
      <w:r>
        <w:rPr>
          <w:color w:val="000000"/>
          <w:sz w:val="18"/>
          <w:szCs w:val="18"/>
        </w:rPr>
        <w:t xml:space="preserve">. </w:t>
      </w:r>
    </w:p>
  </w:footnote>
  <w:footnote w:id="142">
    <w:p w14:paraId="05C5B859" w14:textId="77777777" w:rsidR="006C0687" w:rsidRDefault="006C0687">
      <w:pPr>
        <w:pBdr>
          <w:top w:val="nil"/>
          <w:left w:val="nil"/>
          <w:bottom w:val="nil"/>
          <w:right w:val="nil"/>
          <w:between w:val="nil"/>
        </w:pBdr>
        <w:spacing w:after="0"/>
        <w:jc w:val="left"/>
        <w:rPr>
          <w:color w:val="000000"/>
          <w:sz w:val="18"/>
          <w:szCs w:val="18"/>
        </w:rPr>
      </w:pPr>
      <w:r>
        <w:rPr>
          <w:vertAlign w:val="superscript"/>
        </w:rPr>
        <w:footnoteRef/>
      </w:r>
      <w:r>
        <w:rPr>
          <w:color w:val="000000"/>
          <w:sz w:val="18"/>
          <w:szCs w:val="18"/>
        </w:rPr>
        <w:t xml:space="preserve"> Viď </w:t>
      </w:r>
      <w:hyperlink r:id="rId95" w:history="1">
        <w:r w:rsidRPr="00CF1345">
          <w:rPr>
            <w:rStyle w:val="Hypertextovprepojenie"/>
            <w:sz w:val="18"/>
            <w:szCs w:val="18"/>
          </w:rPr>
          <w:t>Prílohu 14</w:t>
        </w:r>
      </w:hyperlink>
      <w:r>
        <w:rPr>
          <w:color w:val="000000"/>
          <w:sz w:val="18"/>
          <w:szCs w:val="18"/>
        </w:rPr>
        <w:t xml:space="preserve"> výzvy Malé zlepšenia eGov služieb. </w:t>
      </w:r>
    </w:p>
  </w:footnote>
  <w:footnote w:id="143">
    <w:p w14:paraId="0D3DE15D"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96" w:history="1">
        <w:r w:rsidRPr="00473811">
          <w:rPr>
            <w:rStyle w:val="Hypertextovprepojenie"/>
            <w:sz w:val="18"/>
          </w:rPr>
          <w:t>Uznesenie 286/2019</w:t>
        </w:r>
      </w:hyperlink>
      <w:r>
        <w:rPr>
          <w:sz w:val="18"/>
          <w:szCs w:val="18"/>
        </w:rPr>
        <w:t>, str. 6 vlastného materiálu.</w:t>
      </w:r>
    </w:p>
  </w:footnote>
  <w:footnote w:id="144">
    <w:p w14:paraId="19FB54A6" w14:textId="77777777" w:rsidR="006C0687" w:rsidRDefault="006C0687">
      <w:pPr>
        <w:pBdr>
          <w:top w:val="nil"/>
          <w:left w:val="nil"/>
          <w:bottom w:val="nil"/>
          <w:right w:val="nil"/>
          <w:between w:val="nil"/>
        </w:pBdr>
        <w:spacing w:after="0"/>
        <w:rPr>
          <w:color w:val="000000"/>
          <w:sz w:val="20"/>
          <w:szCs w:val="20"/>
        </w:rPr>
      </w:pPr>
      <w:r>
        <w:rPr>
          <w:vertAlign w:val="superscript"/>
        </w:rPr>
        <w:footnoteRef/>
      </w:r>
      <w:r>
        <w:rPr>
          <w:color w:val="000000"/>
          <w:sz w:val="18"/>
          <w:szCs w:val="18"/>
        </w:rPr>
        <w:t xml:space="preserve"> V rámci prípravy podkladov k verejnému obstarávaniu MF SR rozhodlo o zapojení tých OVM, ktoré boli zapojené aj v predchádzajúcej zmluve na zabezpečenie podpory licencií SAP – teda MV SR a MŠVVaŠ SR.</w:t>
      </w:r>
    </w:p>
  </w:footnote>
  <w:footnote w:id="145">
    <w:p w14:paraId="59EB300E" w14:textId="77777777" w:rsidR="006C0687" w:rsidRDefault="006C0687">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w:t>
      </w:r>
      <w:hyperlink r:id="rId97" w:history="1">
        <w:r w:rsidRPr="00473811">
          <w:rPr>
            <w:rStyle w:val="Hypertextovprepojenie"/>
            <w:sz w:val="18"/>
          </w:rPr>
          <w:t>Uznesenie 286/2019</w:t>
        </w:r>
      </w:hyperlink>
      <w:r>
        <w:rPr>
          <w:sz w:val="18"/>
        </w:rPr>
        <w:t>.</w:t>
      </w:r>
    </w:p>
  </w:footnote>
  <w:footnote w:id="146">
    <w:p w14:paraId="3E6D604D" w14:textId="13BD3C06" w:rsidR="006C0687" w:rsidRPr="00033B03" w:rsidRDefault="006C0687">
      <w:pPr>
        <w:pStyle w:val="Textpoznmkypodiarou"/>
        <w:rPr>
          <w:sz w:val="18"/>
          <w:szCs w:val="18"/>
        </w:rPr>
      </w:pPr>
      <w:r w:rsidRPr="00206DE4">
        <w:rPr>
          <w:rStyle w:val="Odkaznapoznmkupodiarou"/>
          <w:sz w:val="18"/>
          <w:szCs w:val="18"/>
        </w:rPr>
        <w:footnoteRef/>
      </w:r>
      <w:r>
        <w:rPr>
          <w:sz w:val="18"/>
          <w:szCs w:val="18"/>
        </w:rPr>
        <w:t xml:space="preserve"> Tabuľka č.4 Revízie výdavkov na vzdelávanie.</w:t>
      </w:r>
      <w:r w:rsidRPr="00206DE4">
        <w:rPr>
          <w:sz w:val="18"/>
          <w:szCs w:val="18"/>
        </w:rPr>
        <w:t xml:space="preserve"> </w:t>
      </w:r>
    </w:p>
  </w:footnote>
  <w:footnote w:id="147">
    <w:p w14:paraId="05144CCF" w14:textId="77777777" w:rsidR="006C0687" w:rsidRPr="00206DE4" w:rsidRDefault="006C0687">
      <w:pPr>
        <w:pStyle w:val="Textpoznmkypodiarou"/>
        <w:rPr>
          <w:sz w:val="18"/>
          <w:szCs w:val="18"/>
        </w:rPr>
      </w:pPr>
      <w:r w:rsidRPr="00206DE4">
        <w:rPr>
          <w:rStyle w:val="Odkaznapoznmkupodiarou"/>
          <w:sz w:val="18"/>
          <w:szCs w:val="18"/>
        </w:rPr>
        <w:footnoteRef/>
      </w:r>
      <w:r w:rsidRPr="00206DE4">
        <w:rPr>
          <w:sz w:val="18"/>
          <w:szCs w:val="18"/>
        </w:rPr>
        <w:t xml:space="preserve"> Zákon o správe v školstve, ktorý mal byť v súlade s Plánom legislatívnych úloh vlády predložený na schválenie vlády SR do 04/2019. </w:t>
      </w:r>
    </w:p>
  </w:footnote>
  <w:footnote w:id="148">
    <w:p w14:paraId="76D344B6" w14:textId="77777777" w:rsidR="006C0687" w:rsidRPr="00206DE4" w:rsidRDefault="006C0687">
      <w:pPr>
        <w:pStyle w:val="Textpoznmkypodiarou"/>
        <w:rPr>
          <w:sz w:val="18"/>
          <w:szCs w:val="18"/>
        </w:rPr>
      </w:pPr>
      <w:r w:rsidRPr="00206DE4">
        <w:rPr>
          <w:rStyle w:val="Odkaznapoznmkupodiarou"/>
          <w:sz w:val="18"/>
          <w:szCs w:val="18"/>
        </w:rPr>
        <w:footnoteRef/>
      </w:r>
      <w:r w:rsidRPr="00206DE4">
        <w:rPr>
          <w:sz w:val="18"/>
          <w:szCs w:val="18"/>
        </w:rPr>
        <w:t xml:space="preserve"> </w:t>
      </w:r>
      <w:hyperlink r:id="rId98" w:history="1">
        <w:r w:rsidRPr="00057E98">
          <w:rPr>
            <w:rStyle w:val="Hypertextovprepojenie"/>
            <w:sz w:val="18"/>
            <w:szCs w:val="18"/>
          </w:rPr>
          <w:t>Zákon č 138/2019 Z. z. o PZ a OZ</w:t>
        </w:r>
      </w:hyperlink>
      <w:r>
        <w:rPr>
          <w:sz w:val="18"/>
          <w:szCs w:val="18"/>
        </w:rPr>
        <w:t>.</w:t>
      </w:r>
    </w:p>
  </w:footnote>
  <w:footnote w:id="149">
    <w:p w14:paraId="21FFFE11" w14:textId="77777777" w:rsidR="006C0687" w:rsidRPr="00386A94" w:rsidRDefault="006C0687">
      <w:pPr>
        <w:pStyle w:val="Textpoznmkypodiarou"/>
        <w:rPr>
          <w:sz w:val="18"/>
          <w:szCs w:val="18"/>
        </w:rPr>
      </w:pPr>
      <w:r w:rsidRPr="00386A94">
        <w:rPr>
          <w:rStyle w:val="Odkaznapoznmkupodiarou"/>
          <w:sz w:val="18"/>
          <w:szCs w:val="18"/>
        </w:rPr>
        <w:footnoteRef/>
      </w:r>
      <w:r w:rsidRPr="00386A94">
        <w:rPr>
          <w:sz w:val="18"/>
          <w:szCs w:val="18"/>
        </w:rPr>
        <w:t xml:space="preserve"> Štvrťročný výkaz o práci v školstve 2012-2018</w:t>
      </w:r>
      <w:r w:rsidRPr="00386A94" w:rsidDel="00714C75">
        <w:rPr>
          <w:sz w:val="18"/>
          <w:szCs w:val="18"/>
        </w:rPr>
        <w:t xml:space="preserve"> </w:t>
      </w:r>
      <w:r w:rsidRPr="00386A94">
        <w:rPr>
          <w:sz w:val="18"/>
          <w:szCs w:val="18"/>
        </w:rPr>
        <w:t>, IFP (2019), Makroekonomická prognóza, september 2019</w:t>
      </w:r>
      <w:r w:rsidRPr="00386A94" w:rsidDel="00714C75">
        <w:rPr>
          <w:sz w:val="18"/>
          <w:szCs w:val="18"/>
        </w:rPr>
        <w:t xml:space="preserve"> </w:t>
      </w:r>
      <w:r w:rsidRPr="00386A94">
        <w:rPr>
          <w:sz w:val="18"/>
          <w:szCs w:val="18"/>
        </w:rPr>
        <w:t>, Štvrťročný výkaz o cene práce ISCP (MPSVR SR) 1-04, prepočty OAVP</w:t>
      </w:r>
      <w:r>
        <w:rPr>
          <w:sz w:val="18"/>
          <w:szCs w:val="18"/>
        </w:rPr>
        <w:t>.</w:t>
      </w:r>
    </w:p>
  </w:footnote>
  <w:footnote w:id="150">
    <w:p w14:paraId="74C2A711" w14:textId="77777777" w:rsidR="006C0687" w:rsidRPr="004C454A" w:rsidRDefault="006C0687">
      <w:pPr>
        <w:pStyle w:val="Textpoznmkypodiarou"/>
        <w:rPr>
          <w:sz w:val="18"/>
          <w:szCs w:val="18"/>
        </w:rPr>
      </w:pPr>
      <w:r w:rsidRPr="004C454A">
        <w:rPr>
          <w:rStyle w:val="Odkaznapoznmkupodiarou"/>
          <w:sz w:val="18"/>
          <w:szCs w:val="18"/>
        </w:rPr>
        <w:footnoteRef/>
      </w:r>
      <w:r w:rsidRPr="004C454A">
        <w:rPr>
          <w:sz w:val="18"/>
          <w:szCs w:val="18"/>
        </w:rPr>
        <w:t xml:space="preserve"> </w:t>
      </w:r>
      <w:hyperlink r:id="rId99" w:history="1">
        <w:r>
          <w:rPr>
            <w:rStyle w:val="Hypertextovprepojenie"/>
            <w:sz w:val="18"/>
            <w:szCs w:val="18"/>
          </w:rPr>
          <w:t>Schválená novela o odmeňovaní niektorých zamestnancov pri výkone práce vo verejnom záujme</w:t>
        </w:r>
      </w:hyperlink>
      <w:r>
        <w:rPr>
          <w:sz w:val="18"/>
          <w:szCs w:val="18"/>
        </w:rPr>
        <w:t>.</w:t>
      </w:r>
    </w:p>
  </w:footnote>
  <w:footnote w:id="151">
    <w:p w14:paraId="6A902FA8" w14:textId="77777777" w:rsidR="006C0687" w:rsidRPr="0054094C" w:rsidRDefault="006C0687">
      <w:pPr>
        <w:pStyle w:val="Textpoznmkypodiarou"/>
        <w:rPr>
          <w:sz w:val="18"/>
          <w:szCs w:val="18"/>
        </w:rPr>
      </w:pPr>
      <w:r w:rsidRPr="00386A94">
        <w:rPr>
          <w:rStyle w:val="Odkaznapoznmkupodiarou"/>
          <w:sz w:val="18"/>
          <w:szCs w:val="18"/>
        </w:rPr>
        <w:footnoteRef/>
      </w:r>
      <w:r w:rsidRPr="00386A94">
        <w:rPr>
          <w:sz w:val="18"/>
          <w:szCs w:val="18"/>
        </w:rPr>
        <w:t xml:space="preserve"> Pre roky 2019 – 2020 ide o odhad OAVP na základe reálneho platu pedagogických zamestnancov základných škôl v roku 2018, platu vysokoškolsky vzdelaných zamestnancov v roku 2018, prognózovaného rastu priemernej mzdy v národnom hospodárstve zo septembra 2019</w:t>
      </w:r>
      <w:r w:rsidRPr="0054094C">
        <w:rPr>
          <w:sz w:val="18"/>
          <w:szCs w:val="18"/>
        </w:rPr>
        <w:t xml:space="preserve">. Odhad zahŕňa 10 % - nú valorizáciu, zvýšenie platov mladým učiteľom a predĺženie praxe do 40 rokov. </w:t>
      </w:r>
    </w:p>
  </w:footnote>
  <w:footnote w:id="152">
    <w:p w14:paraId="3881433B" w14:textId="77777777" w:rsidR="006C0687" w:rsidRPr="005C3BE6" w:rsidRDefault="006C0687" w:rsidP="00D27F91">
      <w:pPr>
        <w:pStyle w:val="Textpoznmkypodiarou"/>
        <w:jc w:val="left"/>
        <w:rPr>
          <w:sz w:val="18"/>
          <w:szCs w:val="18"/>
        </w:rPr>
      </w:pPr>
      <w:r w:rsidRPr="005C3BE6">
        <w:rPr>
          <w:rStyle w:val="Odkaznapoznmkupodiarou"/>
          <w:sz w:val="18"/>
          <w:szCs w:val="18"/>
        </w:rPr>
        <w:footnoteRef/>
      </w:r>
      <w:r w:rsidRPr="005C3BE6">
        <w:rPr>
          <w:sz w:val="18"/>
          <w:szCs w:val="18"/>
        </w:rPr>
        <w:t xml:space="preserve"> Perignáthová M. (2019), </w:t>
      </w:r>
      <w:hyperlink r:id="rId100" w:history="1">
        <w:r w:rsidRPr="00F8511B">
          <w:rPr>
            <w:rStyle w:val="Hypertextovprepojenie"/>
            <w:sz w:val="18"/>
            <w:szCs w:val="18"/>
          </w:rPr>
          <w:t>Atraktivita učiteľského povolania, Inštitút vzdelávacej politiky 2019</w:t>
        </w:r>
      </w:hyperlink>
      <w:r>
        <w:rPr>
          <w:rStyle w:val="Hypertextovprepojenie"/>
          <w:sz w:val="18"/>
          <w:szCs w:val="18"/>
        </w:rPr>
        <w:t>.</w:t>
      </w:r>
    </w:p>
  </w:footnote>
  <w:footnote w:id="153">
    <w:p w14:paraId="51FD0A4B" w14:textId="77777777" w:rsidR="006C0687" w:rsidRDefault="006C0687">
      <w:pPr>
        <w:pStyle w:val="Textpoznmkypodiarou"/>
      </w:pPr>
      <w:r>
        <w:rPr>
          <w:rStyle w:val="Odkaznapoznmkupodiarou"/>
        </w:rPr>
        <w:footnoteRef/>
      </w:r>
      <w:r>
        <w:t xml:space="preserve"> </w:t>
      </w:r>
      <w:hyperlink r:id="rId101" w:history="1">
        <w:r>
          <w:rPr>
            <w:rStyle w:val="Hypertextovprepojenie"/>
            <w:sz w:val="18"/>
            <w:szCs w:val="18"/>
          </w:rPr>
          <w:t>Zoznamy poskytovateľov vzdelávania PZ a OZ</w:t>
        </w:r>
      </w:hyperlink>
    </w:p>
  </w:footnote>
  <w:footnote w:id="154">
    <w:p w14:paraId="7380D39B" w14:textId="77777777" w:rsidR="006C0687" w:rsidRPr="00206DE4" w:rsidRDefault="006C0687">
      <w:pPr>
        <w:pStyle w:val="Textpoznmkypodiarou"/>
        <w:rPr>
          <w:sz w:val="18"/>
          <w:szCs w:val="18"/>
        </w:rPr>
      </w:pPr>
      <w:r w:rsidRPr="00206DE4">
        <w:rPr>
          <w:rStyle w:val="Odkaznapoznmkupodiarou"/>
          <w:sz w:val="18"/>
          <w:szCs w:val="18"/>
        </w:rPr>
        <w:footnoteRef/>
      </w:r>
      <w:r>
        <w:rPr>
          <w:sz w:val="18"/>
          <w:szCs w:val="18"/>
        </w:rPr>
        <w:t xml:space="preserve"> </w:t>
      </w:r>
      <w:hyperlink r:id="rId102" w:history="1">
        <w:r w:rsidRPr="00A1676A">
          <w:rPr>
            <w:rStyle w:val="Hypertextovprepojenie"/>
            <w:sz w:val="18"/>
            <w:szCs w:val="18"/>
          </w:rPr>
          <w:t>Výzva na prepojenie VŠ vzdelávania s potrebami praxe</w:t>
        </w:r>
      </w:hyperlink>
    </w:p>
  </w:footnote>
  <w:footnote w:id="155">
    <w:p w14:paraId="3042E4E2" w14:textId="77777777" w:rsidR="006C0687" w:rsidRPr="00206DE4" w:rsidRDefault="006C0687">
      <w:pPr>
        <w:pStyle w:val="Textpoznmkypodiarou"/>
        <w:rPr>
          <w:sz w:val="18"/>
          <w:szCs w:val="18"/>
        </w:rPr>
      </w:pPr>
      <w:r w:rsidRPr="00206DE4">
        <w:rPr>
          <w:rStyle w:val="Odkaznapoznmkupodiarou"/>
          <w:sz w:val="18"/>
          <w:szCs w:val="18"/>
        </w:rPr>
        <w:footnoteRef/>
      </w:r>
      <w:r w:rsidRPr="00206DE4">
        <w:rPr>
          <w:sz w:val="18"/>
          <w:szCs w:val="18"/>
        </w:rPr>
        <w:t xml:space="preserve"> </w:t>
      </w:r>
      <w:hyperlink r:id="rId103" w:history="1">
        <w:r w:rsidRPr="00A1676A">
          <w:rPr>
            <w:rStyle w:val="Hypertextovprepojenie"/>
            <w:sz w:val="18"/>
            <w:szCs w:val="18"/>
          </w:rPr>
          <w:t>Zákon o zabezpečovaní kvality vysokoškolského vzdelávania</w:t>
        </w:r>
      </w:hyperlink>
      <w:r>
        <w:rPr>
          <w:sz w:val="18"/>
          <w:szCs w:val="18"/>
        </w:rPr>
        <w:t xml:space="preserve"> a </w:t>
      </w:r>
      <w:hyperlink r:id="rId104" w:history="1">
        <w:r w:rsidRPr="00A1676A">
          <w:rPr>
            <w:rStyle w:val="Hypertextovprepojenie"/>
            <w:sz w:val="18"/>
            <w:szCs w:val="18"/>
          </w:rPr>
          <w:t>novela zákona č. 131/2002 Z. z. o vysokých školách</w:t>
        </w:r>
      </w:hyperlink>
      <w:r>
        <w:rPr>
          <w:sz w:val="18"/>
          <w:szCs w:val="18"/>
        </w:rPr>
        <w:t>.</w:t>
      </w:r>
      <w:hyperlink w:history="1"/>
    </w:p>
  </w:footnote>
  <w:footnote w:id="156">
    <w:p w14:paraId="11538A72" w14:textId="77777777" w:rsidR="006C0687" w:rsidRPr="00D75EDF" w:rsidRDefault="006C0687">
      <w:pPr>
        <w:pStyle w:val="Textpoznmkypodiarou"/>
        <w:rPr>
          <w:sz w:val="18"/>
          <w:szCs w:val="18"/>
        </w:rPr>
      </w:pPr>
      <w:r w:rsidRPr="00824232">
        <w:rPr>
          <w:rStyle w:val="Odkaznapoznmkupodiarou"/>
          <w:sz w:val="18"/>
          <w:szCs w:val="18"/>
        </w:rPr>
        <w:footnoteRef/>
      </w:r>
      <w:r w:rsidRPr="00824232">
        <w:rPr>
          <w:sz w:val="18"/>
          <w:szCs w:val="18"/>
        </w:rPr>
        <w:t xml:space="preserve"> </w:t>
      </w:r>
      <w:hyperlink r:id="rId105" w:history="1">
        <w:r w:rsidRPr="00A1676A">
          <w:rPr>
            <w:rStyle w:val="Hypertextovprepojenie"/>
            <w:sz w:val="18"/>
            <w:szCs w:val="18"/>
          </w:rPr>
          <w:t>Mimoriadna účtovná závierka k 30.6.2019</w:t>
        </w:r>
      </w:hyperlink>
      <w:r>
        <w:rPr>
          <w:sz w:val="18"/>
          <w:szCs w:val="18"/>
        </w:rPr>
        <w:t>.</w:t>
      </w:r>
    </w:p>
  </w:footnote>
  <w:footnote w:id="157">
    <w:p w14:paraId="4CF2F0CF" w14:textId="77777777" w:rsidR="006C0687" w:rsidRPr="009A5DE2" w:rsidRDefault="006C0687" w:rsidP="009A5DE2">
      <w:pPr>
        <w:pStyle w:val="Textpoznmkypodiarou"/>
        <w:rPr>
          <w:sz w:val="18"/>
          <w:szCs w:val="18"/>
        </w:rPr>
      </w:pPr>
      <w:r w:rsidRPr="009A5DE2">
        <w:rPr>
          <w:rStyle w:val="Odkaznapoznmkupodiarou"/>
          <w:sz w:val="18"/>
          <w:szCs w:val="18"/>
        </w:rPr>
        <w:footnoteRef/>
      </w:r>
      <w:r w:rsidRPr="009A5DE2">
        <w:rPr>
          <w:sz w:val="18"/>
          <w:szCs w:val="18"/>
        </w:rPr>
        <w:t xml:space="preserve"> Aktualizovaný termín na základe Im</w:t>
      </w:r>
      <w:r>
        <w:rPr>
          <w:sz w:val="18"/>
          <w:szCs w:val="18"/>
        </w:rPr>
        <w:t>plementačných plánov na rok 2019</w:t>
      </w:r>
      <w:r w:rsidRPr="009A5DE2">
        <w:rPr>
          <w:sz w:val="18"/>
          <w:szCs w:val="18"/>
        </w:rPr>
        <w:t>.</w:t>
      </w:r>
    </w:p>
  </w:footnote>
  <w:footnote w:id="158">
    <w:p w14:paraId="1F0D1449" w14:textId="77777777" w:rsidR="006C0687" w:rsidRDefault="006C0687" w:rsidP="001B7591">
      <w:pPr>
        <w:pStyle w:val="Textpoznmkypodiarou"/>
      </w:pPr>
      <w:r w:rsidRPr="00F10E47">
        <w:rPr>
          <w:rStyle w:val="Odkaznapoznmkupodiarou"/>
          <w:sz w:val="18"/>
        </w:rPr>
        <w:footnoteRef/>
      </w:r>
      <w:r w:rsidRPr="00F10E47">
        <w:rPr>
          <w:sz w:val="18"/>
        </w:rPr>
        <w:t xml:space="preserve"> Najneskôr 30 dní pred predložením veľkého projekt</w:t>
      </w:r>
      <w:r>
        <w:rPr>
          <w:sz w:val="18"/>
        </w:rPr>
        <w:t>u d</w:t>
      </w:r>
      <w:r w:rsidRPr="00F10E47">
        <w:rPr>
          <w:sz w:val="18"/>
        </w:rPr>
        <w:t>o IQR (Independent Quality Reviev – Nezávislé posúdenie kvality)</w:t>
      </w:r>
    </w:p>
  </w:footnote>
  <w:footnote w:id="159">
    <w:p w14:paraId="6CE6B212" w14:textId="77777777" w:rsidR="006C0687" w:rsidRPr="008F10DA" w:rsidRDefault="006C0687">
      <w:pPr>
        <w:pStyle w:val="Textpoznmkypodiarou"/>
        <w:rPr>
          <w:sz w:val="18"/>
          <w:szCs w:val="18"/>
        </w:rPr>
      </w:pPr>
      <w:r w:rsidRPr="008F10DA">
        <w:rPr>
          <w:rStyle w:val="Odkaznapoznmkupodiarou"/>
          <w:sz w:val="18"/>
          <w:szCs w:val="18"/>
        </w:rPr>
        <w:footnoteRef/>
      </w:r>
      <w:r w:rsidRPr="008F10DA">
        <w:rPr>
          <w:sz w:val="18"/>
          <w:szCs w:val="18"/>
        </w:rPr>
        <w:t xml:space="preserve"> Má nahradiť aktuálne platný zákon o štátnej správe v školstve a školskej samospráve</w:t>
      </w:r>
      <w:r>
        <w:rPr>
          <w:sz w:val="18"/>
          <w:szCs w:val="18"/>
        </w:rPr>
        <w:t>.</w:t>
      </w:r>
    </w:p>
  </w:footnote>
  <w:footnote w:id="160">
    <w:p w14:paraId="694A44FD" w14:textId="18AC9337" w:rsidR="006C0687" w:rsidRPr="008F10DA" w:rsidRDefault="006C0687">
      <w:pPr>
        <w:pStyle w:val="Textpoznmkypodiarou"/>
        <w:rPr>
          <w:sz w:val="18"/>
          <w:szCs w:val="18"/>
        </w:rPr>
      </w:pPr>
      <w:r w:rsidRPr="008F10DA">
        <w:rPr>
          <w:rStyle w:val="Odkaznapoznmkupodiarou"/>
          <w:sz w:val="18"/>
          <w:szCs w:val="18"/>
        </w:rPr>
        <w:footnoteRef/>
      </w:r>
      <w:r w:rsidRPr="008F10DA">
        <w:rPr>
          <w:sz w:val="18"/>
          <w:szCs w:val="18"/>
        </w:rPr>
        <w:t xml:space="preserve"> </w:t>
      </w:r>
      <w:hyperlink r:id="rId106" w:history="1">
        <w:r w:rsidRPr="008B6A44">
          <w:rPr>
            <w:rStyle w:val="Hypertextovprepojenie"/>
            <w:sz w:val="18"/>
            <w:szCs w:val="18"/>
          </w:rPr>
          <w:t>https://www.skolskyportal.sk/reformy-skolstva/ministerka-lubyova-bude-zatvarat-zakladne-skoly</w:t>
        </w:r>
      </w:hyperlink>
      <w:r>
        <w:rPr>
          <w:sz w:val="18"/>
          <w:szCs w:val="18"/>
        </w:rPr>
        <w:t xml:space="preserve"> </w:t>
      </w:r>
    </w:p>
  </w:footnote>
  <w:footnote w:id="161">
    <w:p w14:paraId="61457FD7" w14:textId="1F8D2DCE" w:rsidR="006C0687" w:rsidRPr="008F10DA" w:rsidRDefault="006C0687">
      <w:pPr>
        <w:pStyle w:val="Textpoznmkypodiarou"/>
        <w:rPr>
          <w:sz w:val="18"/>
          <w:szCs w:val="18"/>
        </w:rPr>
      </w:pPr>
      <w:r w:rsidRPr="008F10DA">
        <w:rPr>
          <w:rStyle w:val="Odkaznapoznmkupodiarou"/>
          <w:sz w:val="18"/>
          <w:szCs w:val="18"/>
        </w:rPr>
        <w:footnoteRef/>
      </w:r>
      <w:r w:rsidRPr="008F10DA">
        <w:rPr>
          <w:sz w:val="18"/>
          <w:szCs w:val="18"/>
        </w:rPr>
        <w:t xml:space="preserve"> </w:t>
      </w:r>
      <w:r w:rsidRPr="006711FF">
        <w:rPr>
          <w:sz w:val="18"/>
          <w:szCs w:val="18"/>
        </w:rPr>
        <w:t>V súlade s Plánom legislatívnych úloh vlády SR na rok 2019 mal byť zákon do 04/2019 predložený na schválenie vládou SR.</w:t>
      </w:r>
    </w:p>
  </w:footnote>
  <w:footnote w:id="162">
    <w:p w14:paraId="42464474" w14:textId="77777777" w:rsidR="006C0687" w:rsidRPr="00B9484A" w:rsidRDefault="006C0687" w:rsidP="00D27F91">
      <w:pPr>
        <w:pStyle w:val="Textpoznmkypodiarou"/>
        <w:rPr>
          <w:sz w:val="18"/>
          <w:szCs w:val="18"/>
        </w:rPr>
      </w:pPr>
      <w:r w:rsidRPr="00B9484A">
        <w:rPr>
          <w:rStyle w:val="Odkaznapoznmkupodiarou"/>
          <w:sz w:val="18"/>
          <w:szCs w:val="18"/>
        </w:rPr>
        <w:footnoteRef/>
      </w:r>
      <w:r w:rsidRPr="00B9484A">
        <w:rPr>
          <w:sz w:val="18"/>
          <w:szCs w:val="18"/>
        </w:rPr>
        <w:t xml:space="preserve"> </w:t>
      </w:r>
      <w:r w:rsidRPr="00936893">
        <w:rPr>
          <w:sz w:val="18"/>
          <w:szCs w:val="18"/>
        </w:rPr>
        <w:t>Išlo o 7 subjektov: ZŠ Janova Lehota, ZŠ Vyhne, ZŠ Slatinské Lazy, ZŠ s MŠ Hronský Beňadik, ZŠ Koprivnica, ZŠ Vyšný Hrušov, ZŠ s MŠ Malá Lehota.</w:t>
      </w:r>
      <w:r w:rsidRPr="00B9484A">
        <w:rPr>
          <w:sz w:val="18"/>
          <w:szCs w:val="18"/>
        </w:rPr>
        <w:t xml:space="preserve"> Podľa vyjadrenia MŠVVaŠ SR rozhodnutie o zrušení racionalizačných opatrení bolo vydané na základe analýzy OÚ v sídle kraja.</w:t>
      </w:r>
    </w:p>
  </w:footnote>
  <w:footnote w:id="163">
    <w:p w14:paraId="1CBCFED1" w14:textId="77777777" w:rsidR="006C0687" w:rsidRPr="0037277C" w:rsidRDefault="006C0687" w:rsidP="00D27F91">
      <w:pPr>
        <w:pStyle w:val="Textpoznmkypodiarou"/>
        <w:rPr>
          <w:sz w:val="18"/>
          <w:szCs w:val="18"/>
        </w:rPr>
      </w:pPr>
      <w:r w:rsidRPr="0037277C">
        <w:rPr>
          <w:rStyle w:val="Odkaznapoznmkupodiarou"/>
          <w:sz w:val="18"/>
          <w:szCs w:val="18"/>
        </w:rPr>
        <w:footnoteRef/>
      </w:r>
      <w:r w:rsidRPr="0037277C">
        <w:rPr>
          <w:sz w:val="18"/>
          <w:szCs w:val="18"/>
        </w:rPr>
        <w:t xml:space="preserve"> </w:t>
      </w:r>
      <w:hyperlink r:id="rId107" w:history="1">
        <w:r w:rsidRPr="00A1676A">
          <w:rPr>
            <w:rStyle w:val="Hypertextovprepojenie"/>
            <w:sz w:val="18"/>
            <w:szCs w:val="18"/>
          </w:rPr>
          <w:t>Regionálne školstvo - normatívne financovanie</w:t>
        </w:r>
      </w:hyperlink>
    </w:p>
  </w:footnote>
  <w:footnote w:id="164">
    <w:p w14:paraId="19886840" w14:textId="77777777" w:rsidR="006C0687" w:rsidRPr="00D82687" w:rsidRDefault="006C0687">
      <w:pPr>
        <w:pStyle w:val="Textpoznmkypodiarou"/>
        <w:rPr>
          <w:sz w:val="18"/>
          <w:szCs w:val="18"/>
        </w:rPr>
      </w:pPr>
      <w:r w:rsidRPr="00D82687">
        <w:rPr>
          <w:rStyle w:val="Odkaznapoznmkupodiarou"/>
          <w:sz w:val="18"/>
          <w:szCs w:val="18"/>
        </w:rPr>
        <w:footnoteRef/>
      </w:r>
      <w:r w:rsidRPr="00D82687">
        <w:rPr>
          <w:sz w:val="18"/>
          <w:szCs w:val="18"/>
        </w:rPr>
        <w:t xml:space="preserve"> </w:t>
      </w:r>
      <w:hyperlink r:id="rId108" w:history="1">
        <w:r w:rsidRPr="00A1676A">
          <w:rPr>
            <w:rStyle w:val="Hypertextovprepojenie"/>
            <w:sz w:val="18"/>
            <w:szCs w:val="18"/>
          </w:rPr>
          <w:t>Revízia výdavkov na vzdelávanie</w:t>
        </w:r>
      </w:hyperlink>
    </w:p>
  </w:footnote>
  <w:footnote w:id="165">
    <w:p w14:paraId="21142E4D" w14:textId="77777777" w:rsidR="006C0687" w:rsidRPr="00642FB6" w:rsidRDefault="006C0687">
      <w:pPr>
        <w:pStyle w:val="Textpoznmkypodiarou"/>
        <w:rPr>
          <w:sz w:val="18"/>
          <w:szCs w:val="18"/>
        </w:rPr>
      </w:pPr>
      <w:r w:rsidRPr="00642FB6">
        <w:rPr>
          <w:rStyle w:val="Odkaznapoznmkupodiarou"/>
          <w:sz w:val="18"/>
          <w:szCs w:val="18"/>
        </w:rPr>
        <w:footnoteRef/>
      </w:r>
      <w:r w:rsidRPr="00642FB6">
        <w:rPr>
          <w:sz w:val="18"/>
          <w:szCs w:val="18"/>
        </w:rPr>
        <w:t xml:space="preserve"> K 1.1.2018 nadobudol účinnosť Čl. I. novelizačný bod 32 zákona č. 390/2011 Z. z., ktorým sa menil a dopĺňal zákon č. 317/2009 Z. z. o pedagogických zamestnancoch a odborných zamestnancoch.</w:t>
      </w:r>
    </w:p>
  </w:footnote>
  <w:footnote w:id="166">
    <w:p w14:paraId="1E410BA7" w14:textId="77777777" w:rsidR="006C0687" w:rsidRPr="00E81B33" w:rsidRDefault="006C0687">
      <w:pPr>
        <w:pStyle w:val="Textpoznmkypodiarou"/>
        <w:rPr>
          <w:sz w:val="18"/>
          <w:szCs w:val="18"/>
        </w:rPr>
      </w:pPr>
      <w:r w:rsidRPr="00E81B33">
        <w:rPr>
          <w:rStyle w:val="Odkaznapoznmkupodiarou"/>
          <w:sz w:val="18"/>
          <w:szCs w:val="18"/>
        </w:rPr>
        <w:footnoteRef/>
      </w:r>
      <w:r w:rsidRPr="00E81B33">
        <w:rPr>
          <w:sz w:val="18"/>
          <w:szCs w:val="18"/>
        </w:rPr>
        <w:t xml:space="preserve"> </w:t>
      </w:r>
      <w:hyperlink r:id="rId109" w:history="1">
        <w:r w:rsidRPr="00A1676A">
          <w:rPr>
            <w:rStyle w:val="Hypertextovprepojenie"/>
            <w:sz w:val="18"/>
            <w:szCs w:val="18"/>
          </w:rPr>
          <w:t xml:space="preserve">Zákon </w:t>
        </w:r>
        <w:r>
          <w:rPr>
            <w:rStyle w:val="Hypertextovprepojenie"/>
            <w:sz w:val="18"/>
            <w:szCs w:val="18"/>
          </w:rPr>
          <w:t xml:space="preserve">č. </w:t>
        </w:r>
        <w:r w:rsidRPr="00057E98">
          <w:rPr>
            <w:rStyle w:val="Hypertextovprepojenie"/>
            <w:sz w:val="18"/>
            <w:szCs w:val="18"/>
          </w:rPr>
          <w:t>138/2019 Z. z.</w:t>
        </w:r>
        <w:r w:rsidRPr="00A1676A">
          <w:rPr>
            <w:rStyle w:val="Hypertextovprepojenie"/>
            <w:sz w:val="18"/>
            <w:szCs w:val="18"/>
          </w:rPr>
          <w:t>o PZ a OZ</w:t>
        </w:r>
      </w:hyperlink>
    </w:p>
  </w:footnote>
  <w:footnote w:id="167">
    <w:p w14:paraId="4068CAAD" w14:textId="77777777" w:rsidR="006C0687" w:rsidRPr="00E81B33" w:rsidRDefault="006C0687">
      <w:pPr>
        <w:pStyle w:val="Textpoznmkypodiarou"/>
        <w:rPr>
          <w:sz w:val="18"/>
          <w:szCs w:val="18"/>
        </w:rPr>
      </w:pPr>
      <w:r w:rsidRPr="00E81B33">
        <w:rPr>
          <w:rStyle w:val="Odkaznapoznmkupodiarou"/>
          <w:sz w:val="18"/>
          <w:szCs w:val="18"/>
        </w:rPr>
        <w:footnoteRef/>
      </w:r>
      <w:r w:rsidRPr="00E81B33">
        <w:rPr>
          <w:sz w:val="18"/>
          <w:szCs w:val="18"/>
        </w:rPr>
        <w:t xml:space="preserve"> </w:t>
      </w:r>
      <w:hyperlink r:id="rId110" w:history="1">
        <w:r w:rsidRPr="00A1676A">
          <w:rPr>
            <w:rStyle w:val="Hypertextovprepojenie"/>
            <w:sz w:val="18"/>
            <w:szCs w:val="18"/>
          </w:rPr>
          <w:t>Novela zákona č. 553/2003 Z. z. o odmeňovaní niektorých zamestnancov pri výkone práce vo verejnom záujme</w:t>
        </w:r>
      </w:hyperlink>
      <w:r>
        <w:rPr>
          <w:sz w:val="18"/>
          <w:szCs w:val="18"/>
        </w:rPr>
        <w:t xml:space="preserve">. </w:t>
      </w:r>
      <w:hyperlink r:id="rId111" w:history="1">
        <w:r w:rsidRPr="008B7B48">
          <w:rPr>
            <w:rStyle w:val="Hypertextovprepojenie"/>
            <w:sz w:val="18"/>
            <w:szCs w:val="18"/>
          </w:rPr>
          <w:t>Pomôcka pre aplikačnú prax</w:t>
        </w:r>
      </w:hyperlink>
      <w:r>
        <w:rPr>
          <w:sz w:val="18"/>
          <w:szCs w:val="18"/>
        </w:rPr>
        <w:t>.</w:t>
      </w:r>
    </w:p>
  </w:footnote>
  <w:footnote w:id="168">
    <w:p w14:paraId="0F3433DB" w14:textId="056C6BDC" w:rsidR="006C0687" w:rsidRPr="00E81B33" w:rsidRDefault="006C0687">
      <w:pPr>
        <w:pStyle w:val="Textpoznmkypodiarou"/>
        <w:rPr>
          <w:sz w:val="18"/>
          <w:szCs w:val="18"/>
        </w:rPr>
      </w:pPr>
      <w:r w:rsidRPr="00E81B33">
        <w:rPr>
          <w:rStyle w:val="Odkaznapoznmkupodiarou"/>
          <w:sz w:val="18"/>
          <w:szCs w:val="18"/>
        </w:rPr>
        <w:footnoteRef/>
      </w:r>
      <w:r>
        <w:rPr>
          <w:sz w:val="18"/>
          <w:szCs w:val="18"/>
        </w:rPr>
        <w:t xml:space="preserve"> Priebežná implementačná správa 2019</w:t>
      </w:r>
    </w:p>
  </w:footnote>
  <w:footnote w:id="169">
    <w:p w14:paraId="60B60657" w14:textId="77777777" w:rsidR="006C0687" w:rsidRPr="00E26B2D" w:rsidRDefault="006C0687">
      <w:pPr>
        <w:pStyle w:val="Textpoznmkypodiarou"/>
        <w:rPr>
          <w:sz w:val="18"/>
          <w:szCs w:val="18"/>
        </w:rPr>
      </w:pPr>
      <w:r w:rsidRPr="00E26B2D">
        <w:rPr>
          <w:rStyle w:val="Odkaznapoznmkupodiarou"/>
          <w:sz w:val="18"/>
          <w:szCs w:val="18"/>
        </w:rPr>
        <w:footnoteRef/>
      </w:r>
      <w:r w:rsidRPr="00E26B2D">
        <w:rPr>
          <w:sz w:val="18"/>
          <w:szCs w:val="18"/>
        </w:rPr>
        <w:t xml:space="preserve"> </w:t>
      </w:r>
      <w:hyperlink r:id="rId112" w:history="1">
        <w:r>
          <w:rPr>
            <w:rStyle w:val="Hypertextovprepojenie"/>
            <w:sz w:val="18"/>
            <w:szCs w:val="18"/>
          </w:rPr>
          <w:t>N</w:t>
        </w:r>
        <w:r w:rsidRPr="00A1676A">
          <w:rPr>
            <w:rStyle w:val="Hypertextovprepojenie"/>
            <w:sz w:val="18"/>
            <w:szCs w:val="18"/>
          </w:rPr>
          <w:t>ovela zákona č. 553/2003 Z. z. o odmeňovaní niektorých zamestnancov pri výkone práce vo verejnom záujme</w:t>
        </w:r>
      </w:hyperlink>
    </w:p>
  </w:footnote>
  <w:footnote w:id="170">
    <w:p w14:paraId="421E10C5" w14:textId="77777777" w:rsidR="006C0687" w:rsidRPr="00E26B2D" w:rsidRDefault="006C0687">
      <w:pPr>
        <w:pStyle w:val="Textpoznmkypodiarou"/>
        <w:rPr>
          <w:sz w:val="18"/>
          <w:szCs w:val="18"/>
        </w:rPr>
      </w:pPr>
      <w:r w:rsidRPr="00E26B2D">
        <w:rPr>
          <w:rStyle w:val="Odkaznapoznmkupodiarou"/>
          <w:sz w:val="18"/>
          <w:szCs w:val="18"/>
        </w:rPr>
        <w:footnoteRef/>
      </w:r>
      <w:r w:rsidRPr="00E26B2D">
        <w:rPr>
          <w:sz w:val="18"/>
          <w:szCs w:val="18"/>
        </w:rPr>
        <w:t xml:space="preserve"> </w:t>
      </w:r>
      <w:hyperlink r:id="rId113" w:history="1">
        <w:r w:rsidRPr="009B0065">
          <w:rPr>
            <w:rStyle w:val="Hypertextovprepojenie"/>
            <w:sz w:val="18"/>
            <w:szCs w:val="18"/>
          </w:rPr>
          <w:t>Poslanecký návrh zákona</w:t>
        </w:r>
      </w:hyperlink>
    </w:p>
  </w:footnote>
  <w:footnote w:id="171">
    <w:p w14:paraId="16763541" w14:textId="77777777" w:rsidR="006C0687" w:rsidRPr="00E26B2D" w:rsidRDefault="006C0687" w:rsidP="00D27F91">
      <w:pPr>
        <w:pStyle w:val="Textpoznmkypodiarou"/>
        <w:rPr>
          <w:sz w:val="18"/>
          <w:szCs w:val="18"/>
        </w:rPr>
      </w:pPr>
      <w:r w:rsidRPr="00E26B2D">
        <w:rPr>
          <w:rStyle w:val="Odkaznapoznmkupodiarou"/>
          <w:sz w:val="18"/>
          <w:szCs w:val="18"/>
        </w:rPr>
        <w:footnoteRef/>
      </w:r>
      <w:r w:rsidRPr="00E26B2D">
        <w:rPr>
          <w:sz w:val="18"/>
          <w:szCs w:val="18"/>
        </w:rPr>
        <w:t xml:space="preserve"> V oblasti RŠ ide v prípade 1-8 rokov praxe o navýšenie 0,25 %, od 9 do 40 rokov praxe o 0,5 %. V oblasti VŠ bude priemerný nárast v prípade 1-15 rokov praxe o 2 %, od 16 do 40 rokov praxe o 3 %.</w:t>
      </w:r>
    </w:p>
  </w:footnote>
  <w:footnote w:id="172">
    <w:p w14:paraId="4FE5B05D" w14:textId="77777777" w:rsidR="006C0687" w:rsidRPr="00E26B2D" w:rsidRDefault="006C0687">
      <w:pPr>
        <w:pStyle w:val="Textpoznmkypodiarou"/>
        <w:rPr>
          <w:sz w:val="18"/>
          <w:szCs w:val="18"/>
        </w:rPr>
      </w:pPr>
      <w:r w:rsidRPr="00E26B2D">
        <w:rPr>
          <w:rStyle w:val="Odkaznapoznmkupodiarou"/>
          <w:sz w:val="18"/>
          <w:szCs w:val="18"/>
        </w:rPr>
        <w:footnoteRef/>
      </w:r>
      <w:r w:rsidRPr="00E26B2D">
        <w:rPr>
          <w:sz w:val="18"/>
          <w:szCs w:val="18"/>
        </w:rPr>
        <w:t xml:space="preserve"> Zvýšenie príplatku začínajúceho zamestnanca a kreditového príplatku, resp. príplatku za profesijný rozvoj (z dôvodu zvýšenia platových taríf). </w:t>
      </w:r>
    </w:p>
  </w:footnote>
  <w:footnote w:id="173">
    <w:p w14:paraId="39ABD101" w14:textId="77777777" w:rsidR="006C0687" w:rsidRPr="00E26B2D" w:rsidRDefault="006C0687" w:rsidP="00D27F91">
      <w:pPr>
        <w:pStyle w:val="Textpoznmkypodiarou"/>
        <w:jc w:val="left"/>
        <w:rPr>
          <w:sz w:val="18"/>
          <w:szCs w:val="18"/>
        </w:rPr>
      </w:pPr>
      <w:r w:rsidRPr="00E26B2D">
        <w:rPr>
          <w:rStyle w:val="Odkaznapoznmkupodiarou"/>
          <w:sz w:val="18"/>
          <w:szCs w:val="18"/>
        </w:rPr>
        <w:footnoteRef/>
      </w:r>
      <w:r w:rsidRPr="00E26B2D">
        <w:rPr>
          <w:sz w:val="18"/>
          <w:szCs w:val="18"/>
        </w:rPr>
        <w:t xml:space="preserve"> </w:t>
      </w:r>
      <w:hyperlink r:id="rId114" w:history="1">
        <w:r>
          <w:rPr>
            <w:rStyle w:val="Hypertextovprepojenie"/>
            <w:sz w:val="18"/>
            <w:szCs w:val="18"/>
          </w:rPr>
          <w:t>Nariadenie vlády 269/2019</w:t>
        </w:r>
      </w:hyperlink>
      <w:r w:rsidRPr="00E26B2D">
        <w:rPr>
          <w:sz w:val="18"/>
          <w:szCs w:val="18"/>
        </w:rPr>
        <w:t xml:space="preserve"> a </w:t>
      </w:r>
      <w:hyperlink r:id="rId115" w:history="1">
        <w:r>
          <w:rPr>
            <w:rStyle w:val="Hypertextovprepojenie"/>
            <w:sz w:val="18"/>
            <w:szCs w:val="18"/>
          </w:rPr>
          <w:t>Nariadenie vlády 338/2019</w:t>
        </w:r>
      </w:hyperlink>
      <w:r w:rsidRPr="00E26B2D">
        <w:rPr>
          <w:sz w:val="18"/>
          <w:szCs w:val="18"/>
        </w:rPr>
        <w:t xml:space="preserve">. </w:t>
      </w:r>
    </w:p>
  </w:footnote>
  <w:footnote w:id="174">
    <w:p w14:paraId="0F7DD873" w14:textId="77777777" w:rsidR="006C0687" w:rsidRPr="00E26B2D" w:rsidRDefault="006C0687" w:rsidP="00D27F91">
      <w:pPr>
        <w:pStyle w:val="Textpoznmkypodiarou"/>
        <w:rPr>
          <w:sz w:val="18"/>
          <w:szCs w:val="18"/>
        </w:rPr>
      </w:pPr>
      <w:r w:rsidRPr="00E26B2D">
        <w:rPr>
          <w:rStyle w:val="Odkaznapoznmkupodiarou"/>
          <w:sz w:val="18"/>
          <w:szCs w:val="18"/>
        </w:rPr>
        <w:footnoteRef/>
      </w:r>
      <w:r w:rsidRPr="00E26B2D">
        <w:rPr>
          <w:sz w:val="18"/>
          <w:szCs w:val="18"/>
        </w:rPr>
        <w:t xml:space="preserve"> </w:t>
      </w:r>
      <w:hyperlink r:id="rId116" w:history="1">
        <w:r>
          <w:rPr>
            <w:rStyle w:val="Hypertextovprepojenie"/>
            <w:sz w:val="18"/>
            <w:szCs w:val="18"/>
          </w:rPr>
          <w:t>Novela zákona č. 553/2003 Z. z. o odmeňovaní niektorých zamestnancov pri výkone práce vo verejnom záujme</w:t>
        </w:r>
      </w:hyperlink>
    </w:p>
  </w:footnote>
  <w:footnote w:id="175">
    <w:p w14:paraId="69E57962" w14:textId="77777777" w:rsidR="006C0687" w:rsidRPr="00E26B2D" w:rsidRDefault="006C0687" w:rsidP="00D27F91">
      <w:pPr>
        <w:pStyle w:val="Textpoznmkypodiarou"/>
        <w:rPr>
          <w:sz w:val="18"/>
          <w:szCs w:val="18"/>
        </w:rPr>
      </w:pPr>
      <w:r w:rsidRPr="00E26B2D">
        <w:rPr>
          <w:rStyle w:val="Odkaznapoznmkupodiarou"/>
          <w:sz w:val="18"/>
          <w:szCs w:val="18"/>
        </w:rPr>
        <w:footnoteRef/>
      </w:r>
      <w:r w:rsidRPr="00E26B2D">
        <w:rPr>
          <w:sz w:val="18"/>
          <w:szCs w:val="18"/>
        </w:rPr>
        <w:t xml:space="preserve"> http://kozsr.sk/wp-content/uploads/2018/12/KZVS-VS_2019_2020.pdf</w:t>
      </w:r>
    </w:p>
  </w:footnote>
  <w:footnote w:id="176">
    <w:p w14:paraId="236E9AFE" w14:textId="77777777" w:rsidR="006C0687" w:rsidRPr="00E26B2D" w:rsidRDefault="006C0687" w:rsidP="00D27F91">
      <w:pPr>
        <w:pStyle w:val="Textpoznmkypodiarou"/>
        <w:rPr>
          <w:sz w:val="18"/>
          <w:szCs w:val="18"/>
        </w:rPr>
      </w:pPr>
      <w:r w:rsidRPr="00E26B2D">
        <w:rPr>
          <w:rStyle w:val="Odkaznapoznmkupodiarou"/>
          <w:sz w:val="18"/>
          <w:szCs w:val="18"/>
        </w:rPr>
        <w:footnoteRef/>
      </w:r>
      <w:r w:rsidRPr="00E26B2D">
        <w:rPr>
          <w:sz w:val="18"/>
          <w:szCs w:val="18"/>
        </w:rPr>
        <w:t xml:space="preserve"> </w:t>
      </w:r>
      <w:hyperlink r:id="rId117" w:history="1">
        <w:r w:rsidRPr="00A1676A">
          <w:rPr>
            <w:rStyle w:val="Hypertextovprepojenie"/>
            <w:sz w:val="18"/>
            <w:szCs w:val="18"/>
          </w:rPr>
          <w:t>Nariadenie vlády 388/2018</w:t>
        </w:r>
      </w:hyperlink>
    </w:p>
  </w:footnote>
  <w:footnote w:id="177">
    <w:p w14:paraId="653CB573" w14:textId="4D899F98" w:rsidR="006C0687" w:rsidRPr="00BF5DD8" w:rsidRDefault="006C0687">
      <w:pPr>
        <w:pStyle w:val="Textpoznmkypodiarou"/>
        <w:rPr>
          <w:sz w:val="18"/>
          <w:szCs w:val="18"/>
        </w:rPr>
      </w:pPr>
      <w:r w:rsidRPr="00BF5DD8">
        <w:rPr>
          <w:rStyle w:val="Odkaznapoznmkupodiarou"/>
          <w:sz w:val="18"/>
          <w:szCs w:val="18"/>
        </w:rPr>
        <w:footnoteRef/>
      </w:r>
      <w:r w:rsidRPr="00BF5DD8">
        <w:rPr>
          <w:sz w:val="18"/>
          <w:szCs w:val="18"/>
        </w:rPr>
        <w:t xml:space="preserve"> </w:t>
      </w:r>
      <w:r w:rsidRPr="00646F4B">
        <w:rPr>
          <w:sz w:val="18"/>
          <w:szCs w:val="18"/>
        </w:rPr>
        <w:t xml:space="preserve">Štvrťročný výkaz o práci v školstve 2012-2018, IFP (2019), Makroekonomická prognóza, september 2019, Štvrťročný výkaz o cene práce ISCP (MPSVR SR) 1-04, prepočty OAVP </w:t>
      </w:r>
    </w:p>
  </w:footnote>
  <w:footnote w:id="178">
    <w:p w14:paraId="6509D8F0" w14:textId="77777777" w:rsidR="006C0687" w:rsidRPr="00895BFD" w:rsidRDefault="006C0687" w:rsidP="00D27F91">
      <w:pPr>
        <w:pStyle w:val="Textpoznmkypodiarou"/>
        <w:rPr>
          <w:sz w:val="18"/>
          <w:szCs w:val="18"/>
        </w:rPr>
      </w:pPr>
      <w:r w:rsidRPr="00DE72C1">
        <w:rPr>
          <w:rStyle w:val="Odkaznapoznmkupodiarou"/>
          <w:sz w:val="18"/>
          <w:szCs w:val="18"/>
        </w:rPr>
        <w:footnoteRef/>
      </w:r>
      <w:r w:rsidRPr="00DE72C1">
        <w:rPr>
          <w:sz w:val="18"/>
          <w:szCs w:val="18"/>
        </w:rPr>
        <w:t xml:space="preserve"> Pre roky 2019 – 2020 ide o odhad OAVP na základe reálneho platu pedagogických zamestnancov základných škôl v roku 2018, platu vysokoškolsky vzdelaných zamestnancov v roku 2018, prognózovaného rastu priemernej mzdy v národnom hospodárstve zo septembra 2019 a real</w:t>
      </w:r>
      <w:r w:rsidRPr="00895BFD">
        <w:rPr>
          <w:sz w:val="18"/>
          <w:szCs w:val="18"/>
        </w:rPr>
        <w:t>izovaného a plánovaného zvyšovania platov pedagógov v rokoch 2019 a 2020.</w:t>
      </w:r>
      <w:r>
        <w:rPr>
          <w:sz w:val="18"/>
          <w:szCs w:val="18"/>
        </w:rPr>
        <w:t xml:space="preserve"> </w:t>
      </w:r>
      <w:r w:rsidRPr="0054094C">
        <w:rPr>
          <w:sz w:val="18"/>
          <w:szCs w:val="18"/>
        </w:rPr>
        <w:t>Odhad zahŕňa 10 % - nú valorizáciu, zvýšenie platov mladým učiteľom a predĺženie praxe do 40 rokov.</w:t>
      </w:r>
    </w:p>
  </w:footnote>
  <w:footnote w:id="179">
    <w:p w14:paraId="45D45910" w14:textId="01FAB76D" w:rsidR="006C0687" w:rsidRPr="007028D0" w:rsidRDefault="006C0687" w:rsidP="00D27F91">
      <w:pPr>
        <w:pStyle w:val="Textpoznmkypodiarou"/>
        <w:jc w:val="left"/>
        <w:rPr>
          <w:sz w:val="18"/>
          <w:szCs w:val="18"/>
        </w:rPr>
      </w:pPr>
      <w:r w:rsidRPr="00895BFD">
        <w:rPr>
          <w:rStyle w:val="Odkaznapoznmkupodiarou"/>
          <w:sz w:val="18"/>
          <w:szCs w:val="18"/>
        </w:rPr>
        <w:footnoteRef/>
      </w:r>
      <w:r w:rsidRPr="00895BFD">
        <w:rPr>
          <w:sz w:val="18"/>
          <w:szCs w:val="18"/>
        </w:rPr>
        <w:t xml:space="preserve"> Viac informácií v</w:t>
      </w:r>
      <w:r>
        <w:rPr>
          <w:sz w:val="18"/>
          <w:szCs w:val="18"/>
        </w:rPr>
        <w:t> Priebežnej impelemtačnej správe 2019.</w:t>
      </w:r>
      <w:r w:rsidRPr="00895BFD">
        <w:rPr>
          <w:sz w:val="18"/>
          <w:szCs w:val="18"/>
        </w:rPr>
        <w:t> </w:t>
      </w:r>
      <w:r>
        <w:rPr>
          <w:sz w:val="18"/>
          <w:szCs w:val="18"/>
        </w:rPr>
        <w:t xml:space="preserve"> </w:t>
      </w:r>
    </w:p>
  </w:footnote>
  <w:footnote w:id="180">
    <w:p w14:paraId="7E698789" w14:textId="77777777" w:rsidR="006C0687" w:rsidRPr="007028D0" w:rsidRDefault="006C0687" w:rsidP="00D27F91">
      <w:pPr>
        <w:pStyle w:val="Textpoznmkypodiarou"/>
        <w:rPr>
          <w:sz w:val="18"/>
          <w:szCs w:val="18"/>
        </w:rPr>
      </w:pPr>
      <w:r w:rsidRPr="007028D0">
        <w:rPr>
          <w:rStyle w:val="Odkaznapoznmkupodiarou"/>
          <w:sz w:val="18"/>
          <w:szCs w:val="18"/>
        </w:rPr>
        <w:footnoteRef/>
      </w:r>
      <w:r w:rsidRPr="007028D0">
        <w:rPr>
          <w:sz w:val="18"/>
          <w:szCs w:val="18"/>
        </w:rPr>
        <w:t xml:space="preserve"> V prípade 1. atestácie musí byť PZ alebo OZ najmenej 5 rokov zaradený v kariérovom stupni samostatný pedagogický alebo odborný zamestnanec. V prípade 2. atestácie musí byť najmenej 5 rokov zaradený v KS PZ alebo OZ s 1.atestáciou.</w:t>
      </w:r>
    </w:p>
  </w:footnote>
  <w:footnote w:id="181">
    <w:p w14:paraId="318192F9" w14:textId="77777777" w:rsidR="006C0687" w:rsidRPr="007028D0" w:rsidRDefault="006C0687">
      <w:pPr>
        <w:pStyle w:val="Textpoznmkypodiarou"/>
        <w:rPr>
          <w:sz w:val="18"/>
          <w:szCs w:val="18"/>
        </w:rPr>
      </w:pPr>
      <w:r w:rsidRPr="007028D0">
        <w:rPr>
          <w:rStyle w:val="Odkaznapoznmkupodiarou"/>
          <w:sz w:val="18"/>
          <w:szCs w:val="18"/>
        </w:rPr>
        <w:footnoteRef/>
      </w:r>
      <w:r w:rsidRPr="007028D0">
        <w:rPr>
          <w:sz w:val="18"/>
          <w:szCs w:val="18"/>
        </w:rPr>
        <w:t xml:space="preserve"> </w:t>
      </w:r>
      <w:hyperlink r:id="rId118" w:history="1">
        <w:r w:rsidRPr="00A1676A">
          <w:rPr>
            <w:rStyle w:val="Hypertextovprepojenie"/>
            <w:sz w:val="18"/>
            <w:szCs w:val="18"/>
          </w:rPr>
          <w:t>Zoznam poskytovateľov vzdelávania PZ a OZ</w:t>
        </w:r>
      </w:hyperlink>
    </w:p>
  </w:footnote>
  <w:footnote w:id="182">
    <w:p w14:paraId="52F02C34" w14:textId="77777777" w:rsidR="006C0687" w:rsidRPr="007028D0" w:rsidRDefault="006C0687">
      <w:pPr>
        <w:pStyle w:val="Textpoznmkypodiarou"/>
        <w:rPr>
          <w:sz w:val="18"/>
          <w:szCs w:val="18"/>
        </w:rPr>
      </w:pPr>
      <w:r w:rsidRPr="007028D0">
        <w:rPr>
          <w:rStyle w:val="Odkaznapoznmkupodiarou"/>
          <w:sz w:val="18"/>
          <w:szCs w:val="18"/>
        </w:rPr>
        <w:footnoteRef/>
      </w:r>
      <w:r w:rsidRPr="007028D0">
        <w:rPr>
          <w:sz w:val="18"/>
          <w:szCs w:val="18"/>
        </w:rPr>
        <w:t xml:space="preserve"> </w:t>
      </w:r>
      <w:hyperlink r:id="rId119" w:history="1">
        <w:r w:rsidRPr="00A1676A">
          <w:rPr>
            <w:rStyle w:val="Hypertextovprepojenie"/>
            <w:sz w:val="18"/>
            <w:szCs w:val="18"/>
          </w:rPr>
          <w:t>Krížová novela Zákona č. 553/2003 Z. z. o odmeňovaní niektorých zamestnancov pri výkone práce vo verejnom záujme</w:t>
        </w:r>
      </w:hyperlink>
    </w:p>
  </w:footnote>
  <w:footnote w:id="183">
    <w:p w14:paraId="62DCA73F" w14:textId="77777777" w:rsidR="006C0687" w:rsidRPr="00536044" w:rsidRDefault="006C0687">
      <w:pPr>
        <w:pStyle w:val="Textpoznmkypodiarou"/>
        <w:rPr>
          <w:sz w:val="18"/>
          <w:szCs w:val="18"/>
        </w:rPr>
      </w:pPr>
      <w:r w:rsidRPr="00536044">
        <w:rPr>
          <w:rStyle w:val="Odkaznapoznmkupodiarou"/>
          <w:sz w:val="18"/>
          <w:szCs w:val="18"/>
        </w:rPr>
        <w:footnoteRef/>
      </w:r>
      <w:r w:rsidRPr="00536044">
        <w:rPr>
          <w:sz w:val="18"/>
          <w:szCs w:val="18"/>
        </w:rPr>
        <w:t xml:space="preserve"> § 11a </w:t>
      </w:r>
      <w:hyperlink r:id="rId120" w:history="1">
        <w:r w:rsidRPr="00A1676A">
          <w:rPr>
            <w:rStyle w:val="Hypertextovprepojenie"/>
            <w:sz w:val="18"/>
            <w:szCs w:val="18"/>
          </w:rPr>
          <w:t>Zákonníka práce</w:t>
        </w:r>
      </w:hyperlink>
      <w:r>
        <w:rPr>
          <w:sz w:val="18"/>
          <w:szCs w:val="18"/>
        </w:rPr>
        <w:t>.</w:t>
      </w:r>
    </w:p>
  </w:footnote>
  <w:footnote w:id="184">
    <w:p w14:paraId="46090C5B" w14:textId="77777777" w:rsidR="006C0687" w:rsidRPr="007028D0" w:rsidRDefault="006C0687" w:rsidP="00D27F91">
      <w:pPr>
        <w:pStyle w:val="Textpoznmkypodiarou"/>
        <w:rPr>
          <w:sz w:val="18"/>
          <w:szCs w:val="18"/>
        </w:rPr>
      </w:pPr>
      <w:r w:rsidRPr="007028D0">
        <w:rPr>
          <w:rStyle w:val="Odkaznapoznmkupodiarou"/>
          <w:sz w:val="18"/>
          <w:szCs w:val="18"/>
        </w:rPr>
        <w:footnoteRef/>
      </w:r>
      <w:r w:rsidRPr="007028D0">
        <w:rPr>
          <w:sz w:val="18"/>
          <w:szCs w:val="18"/>
        </w:rPr>
        <w:t xml:space="preserve"> V 09/2017 boli aktualizované výkonové a obsahové štandardy pre praktické vyučovanie v študijnom odbore „učiteľstvo pre materské školy a vychovávateľstvo“. Počet hodín odbornej praxe v externej forme štúdia je porovnateľný s počtom hodín odbornej praxe žiakov v dennom štúdiu. V školskom roku 2019/2020 sa zmeny vo výučbe predmetu odborná prax týkajú 2 581 žiakov v dennej </w:t>
      </w:r>
      <w:r>
        <w:rPr>
          <w:sz w:val="18"/>
          <w:szCs w:val="18"/>
        </w:rPr>
        <w:t>d</w:t>
      </w:r>
      <w:r w:rsidRPr="007028D0">
        <w:rPr>
          <w:sz w:val="18"/>
          <w:szCs w:val="18"/>
        </w:rPr>
        <w:t>omaturitnej forme štúdia, 117 žiakov v dennej pomaturitnej forme štúdia a 1 983 žiakov v externej pomaturitnej forme štúdia.</w:t>
      </w:r>
      <w:r>
        <w:rPr>
          <w:sz w:val="18"/>
          <w:szCs w:val="18"/>
        </w:rPr>
        <w:t xml:space="preserve"> Zdroj: MŠVVaŠ SR, sekcia RŠ. </w:t>
      </w:r>
    </w:p>
  </w:footnote>
  <w:footnote w:id="185">
    <w:p w14:paraId="642BCB2F" w14:textId="25A767C0" w:rsidR="006C0687" w:rsidRPr="007028D0" w:rsidRDefault="006C0687" w:rsidP="00D27F91">
      <w:pPr>
        <w:pStyle w:val="Textpoznmkypodiarou"/>
        <w:rPr>
          <w:sz w:val="18"/>
          <w:szCs w:val="18"/>
        </w:rPr>
      </w:pPr>
      <w:r w:rsidRPr="007028D0">
        <w:rPr>
          <w:rStyle w:val="Odkaznapoznmkupodiarou"/>
          <w:sz w:val="18"/>
          <w:szCs w:val="18"/>
        </w:rPr>
        <w:footnoteRef/>
      </w:r>
      <w:r w:rsidRPr="007028D0">
        <w:rPr>
          <w:sz w:val="18"/>
          <w:szCs w:val="18"/>
        </w:rPr>
        <w:t xml:space="preserve"> </w:t>
      </w:r>
      <w:hyperlink r:id="rId121" w:history="1">
        <w:r w:rsidRPr="00FC10AD">
          <w:rPr>
            <w:rStyle w:val="Hypertextovprepojenie"/>
            <w:sz w:val="18"/>
            <w:szCs w:val="18"/>
          </w:rPr>
          <w:t>OPLZ-PO1/2019/DOP/1.3.1-01</w:t>
        </w:r>
      </w:hyperlink>
      <w:r w:rsidRPr="00FC10AD">
        <w:rPr>
          <w:sz w:val="18"/>
          <w:szCs w:val="18"/>
        </w:rPr>
        <w:t xml:space="preserve"> s názvom „Skvalitnenie prípravy budúcich pedagogických a odborných zamestnancov“.</w:t>
      </w:r>
    </w:p>
  </w:footnote>
  <w:footnote w:id="186">
    <w:p w14:paraId="7F1EB8E4" w14:textId="5AFD0D54" w:rsidR="006C0687" w:rsidRPr="003F021E" w:rsidRDefault="006C0687">
      <w:pPr>
        <w:pStyle w:val="Textpoznmkypodiarou"/>
        <w:rPr>
          <w:sz w:val="18"/>
          <w:szCs w:val="18"/>
        </w:rPr>
      </w:pPr>
      <w:r>
        <w:rPr>
          <w:rStyle w:val="Odkaznapoznmkupodiarou"/>
        </w:rPr>
        <w:footnoteRef/>
      </w:r>
      <w:r w:rsidRPr="003F021E" w:rsidDel="00057E98">
        <w:rPr>
          <w:sz w:val="18"/>
          <w:szCs w:val="18"/>
        </w:rPr>
        <w:t xml:space="preserve"> </w:t>
      </w:r>
      <w:r>
        <w:rPr>
          <w:sz w:val="18"/>
          <w:szCs w:val="18"/>
        </w:rPr>
        <w:t xml:space="preserve">Národný program reforiem 2019, dostupný na </w:t>
      </w:r>
      <w:hyperlink r:id="rId122" w:history="1">
        <w:r w:rsidRPr="00991A93">
          <w:rPr>
            <w:rStyle w:val="Hypertextovprepojenie"/>
            <w:sz w:val="18"/>
            <w:szCs w:val="18"/>
          </w:rPr>
          <w:t>https://www.mfsr.sk/sk/financie/institut-financnej-politiky/strategicke-materialy/narodny-program-reforiem/narodny-program-reforiem.html</w:t>
        </w:r>
      </w:hyperlink>
      <w:r>
        <w:rPr>
          <w:sz w:val="18"/>
          <w:szCs w:val="18"/>
        </w:rPr>
        <w:t xml:space="preserve">. </w:t>
      </w:r>
      <w:r>
        <w:rPr>
          <w:sz w:val="18"/>
          <w:szCs w:val="18"/>
          <w:highlight w:val="green"/>
        </w:rPr>
        <w:t xml:space="preserve"> </w:t>
      </w:r>
      <w:r>
        <w:rPr>
          <w:sz w:val="18"/>
          <w:szCs w:val="18"/>
        </w:rPr>
        <w:t xml:space="preserve"> </w:t>
      </w:r>
    </w:p>
  </w:footnote>
  <w:footnote w:id="187">
    <w:p w14:paraId="58A7F578" w14:textId="77777777" w:rsidR="006C0687" w:rsidRPr="004F1C6E" w:rsidRDefault="006C0687" w:rsidP="00D27F91">
      <w:pPr>
        <w:pStyle w:val="Textpoznmkypodiarou"/>
        <w:rPr>
          <w:sz w:val="18"/>
          <w:szCs w:val="18"/>
        </w:rPr>
      </w:pPr>
      <w:r w:rsidRPr="004F1C6E">
        <w:rPr>
          <w:rStyle w:val="Odkaznapoznmkupodiarou"/>
          <w:sz w:val="18"/>
          <w:szCs w:val="18"/>
        </w:rPr>
        <w:footnoteRef/>
      </w:r>
      <w:r w:rsidRPr="004F1C6E">
        <w:rPr>
          <w:sz w:val="18"/>
          <w:szCs w:val="18"/>
        </w:rPr>
        <w:t xml:space="preserve"> Podľa aktuálne platného školského zákona vykonávajú externý dozor pri písomnej časti maturitnej skúšky len predseda školskej maturitnej komisie a predseda predmetovej maturitnej komisie.</w:t>
      </w:r>
    </w:p>
  </w:footnote>
  <w:footnote w:id="188">
    <w:p w14:paraId="3E80D323" w14:textId="77777777" w:rsidR="006C0687" w:rsidRPr="00FF1B82" w:rsidRDefault="006C0687" w:rsidP="00D27F91">
      <w:pPr>
        <w:pStyle w:val="Textpoznmkypodiarou"/>
        <w:rPr>
          <w:sz w:val="18"/>
          <w:szCs w:val="18"/>
        </w:rPr>
      </w:pPr>
      <w:r w:rsidRPr="00F34FF4">
        <w:rPr>
          <w:rStyle w:val="Odkaznapoznmkupodiarou"/>
          <w:sz w:val="18"/>
          <w:szCs w:val="18"/>
        </w:rPr>
        <w:footnoteRef/>
      </w:r>
      <w:r w:rsidRPr="00F34FF4">
        <w:rPr>
          <w:sz w:val="18"/>
          <w:szCs w:val="18"/>
        </w:rPr>
        <w:t xml:space="preserve"> </w:t>
      </w:r>
      <w:hyperlink r:id="rId123" w:history="1">
        <w:r>
          <w:rPr>
            <w:rStyle w:val="Hypertextovprepojenie"/>
            <w:sz w:val="18"/>
            <w:szCs w:val="18"/>
          </w:rPr>
          <w:t>Kriteriálne testy (Program SRSP)</w:t>
        </w:r>
      </w:hyperlink>
      <w:r>
        <w:rPr>
          <w:rStyle w:val="Hypertextovprepojenie"/>
          <w:sz w:val="18"/>
          <w:szCs w:val="18"/>
        </w:rPr>
        <w:t>.</w:t>
      </w:r>
    </w:p>
  </w:footnote>
  <w:footnote w:id="189">
    <w:p w14:paraId="6F30B7AF" w14:textId="77777777" w:rsidR="006C0687" w:rsidRPr="00A93913" w:rsidRDefault="006C0687">
      <w:pPr>
        <w:pStyle w:val="Textpoznmkypodiarou"/>
        <w:rPr>
          <w:sz w:val="18"/>
          <w:szCs w:val="18"/>
        </w:rPr>
      </w:pPr>
      <w:r w:rsidRPr="00A93913">
        <w:rPr>
          <w:rStyle w:val="Odkaznapoznmkupodiarou"/>
          <w:sz w:val="18"/>
          <w:szCs w:val="18"/>
        </w:rPr>
        <w:footnoteRef/>
      </w:r>
      <w:r w:rsidRPr="00A93913">
        <w:rPr>
          <w:sz w:val="18"/>
          <w:szCs w:val="18"/>
        </w:rPr>
        <w:t xml:space="preserve"> http://www.nucem.sk/dl/4576/TS_CRT_%20workshop%202_final.pdf</w:t>
      </w:r>
    </w:p>
  </w:footnote>
  <w:footnote w:id="190">
    <w:p w14:paraId="3B03A9D6" w14:textId="77777777" w:rsidR="006C0687" w:rsidRPr="00E4017D" w:rsidRDefault="006C0687" w:rsidP="00D27F91">
      <w:pPr>
        <w:pStyle w:val="Textpoznmkypodiarou"/>
        <w:rPr>
          <w:sz w:val="18"/>
          <w:szCs w:val="18"/>
        </w:rPr>
      </w:pPr>
      <w:r w:rsidRPr="00E4017D">
        <w:rPr>
          <w:rStyle w:val="Odkaznapoznmkupodiarou"/>
          <w:sz w:val="18"/>
          <w:szCs w:val="18"/>
        </w:rPr>
        <w:footnoteRef/>
      </w:r>
      <w:r w:rsidRPr="00E4017D">
        <w:rPr>
          <w:sz w:val="18"/>
          <w:szCs w:val="18"/>
        </w:rPr>
        <w:t xml:space="preserve"> </w:t>
      </w:r>
      <w:hyperlink r:id="rId124" w:history="1">
        <w:r w:rsidRPr="008B7B48">
          <w:rPr>
            <w:rStyle w:val="Hypertextovprepojenie"/>
            <w:sz w:val="18"/>
            <w:szCs w:val="18"/>
          </w:rPr>
          <w:t>Vyhodnotenie priebehu náhradného termínu EČ MS 2019 v testovacích centrách</w:t>
        </w:r>
      </w:hyperlink>
    </w:p>
  </w:footnote>
  <w:footnote w:id="191">
    <w:p w14:paraId="16975AED" w14:textId="77777777" w:rsidR="006C0687" w:rsidRPr="00527CEE" w:rsidRDefault="006C0687">
      <w:pPr>
        <w:pStyle w:val="Textpoznmkypodiarou"/>
        <w:rPr>
          <w:sz w:val="18"/>
          <w:szCs w:val="18"/>
        </w:rPr>
      </w:pPr>
      <w:r w:rsidRPr="00527CEE">
        <w:rPr>
          <w:rStyle w:val="Odkaznapoznmkupodiarou"/>
          <w:sz w:val="18"/>
          <w:szCs w:val="18"/>
        </w:rPr>
        <w:footnoteRef/>
      </w:r>
      <w:r w:rsidRPr="00527CEE">
        <w:rPr>
          <w:sz w:val="18"/>
          <w:szCs w:val="18"/>
        </w:rPr>
        <w:t xml:space="preserve"> Z dôvodu technickej chyby v nastavení počítačov nebolo možné na jednej škole vykonať elektronickú formu testovania a preto žiaci vykonali skúšku zo SJL papierovou formou.</w:t>
      </w:r>
    </w:p>
  </w:footnote>
  <w:footnote w:id="192">
    <w:p w14:paraId="4787E3F4" w14:textId="77777777" w:rsidR="006C0687" w:rsidRPr="0028075E" w:rsidRDefault="006C0687">
      <w:pPr>
        <w:pStyle w:val="Textpoznmkypodiarou"/>
        <w:rPr>
          <w:sz w:val="18"/>
          <w:szCs w:val="18"/>
        </w:rPr>
      </w:pPr>
      <w:r w:rsidRPr="0028075E">
        <w:rPr>
          <w:rStyle w:val="Odkaznapoznmkupodiarou"/>
          <w:sz w:val="18"/>
          <w:szCs w:val="18"/>
        </w:rPr>
        <w:footnoteRef/>
      </w:r>
      <w:r w:rsidRPr="0028075E">
        <w:rPr>
          <w:sz w:val="18"/>
          <w:szCs w:val="18"/>
        </w:rPr>
        <w:t xml:space="preserve"> </w:t>
      </w:r>
      <w:hyperlink r:id="rId125" w:history="1">
        <w:r>
          <w:rPr>
            <w:rStyle w:val="Hypertextovprepojenie"/>
            <w:sz w:val="18"/>
            <w:szCs w:val="18"/>
          </w:rPr>
          <w:t>Zoznamy poskytovateľov vzdelávania PZ a OZ</w:t>
        </w:r>
      </w:hyperlink>
    </w:p>
  </w:footnote>
  <w:footnote w:id="193">
    <w:p w14:paraId="4340E7C6" w14:textId="77777777" w:rsidR="006C0687" w:rsidRPr="0028075E" w:rsidRDefault="006C0687" w:rsidP="00D27F91">
      <w:pPr>
        <w:pStyle w:val="Textpoznmkypodiarou"/>
        <w:rPr>
          <w:sz w:val="18"/>
          <w:szCs w:val="18"/>
        </w:rPr>
      </w:pPr>
      <w:r w:rsidRPr="0028075E">
        <w:rPr>
          <w:rStyle w:val="Odkaznapoznmkupodiarou"/>
          <w:sz w:val="18"/>
          <w:szCs w:val="18"/>
        </w:rPr>
        <w:footnoteRef/>
      </w:r>
      <w:r w:rsidRPr="0028075E">
        <w:rPr>
          <w:sz w:val="18"/>
          <w:szCs w:val="18"/>
        </w:rPr>
        <w:t xml:space="preserve"> </w:t>
      </w:r>
      <w:hyperlink r:id="rId126" w:history="1">
        <w:r w:rsidRPr="00057E98">
          <w:rPr>
            <w:rStyle w:val="Hypertextovprepojenie"/>
            <w:sz w:val="18"/>
            <w:szCs w:val="18"/>
          </w:rPr>
          <w:t>Zákon č 317/2009 Z. z. o PZ a OZ</w:t>
        </w:r>
      </w:hyperlink>
    </w:p>
  </w:footnote>
  <w:footnote w:id="194">
    <w:p w14:paraId="2C08727E" w14:textId="14962CA6" w:rsidR="006C0687" w:rsidRPr="00F0753D" w:rsidRDefault="006C0687" w:rsidP="00D27F91">
      <w:pPr>
        <w:pStyle w:val="Textpoznmkypodiarou"/>
        <w:rPr>
          <w:sz w:val="18"/>
          <w:szCs w:val="18"/>
        </w:rPr>
      </w:pPr>
      <w:r w:rsidRPr="00F0753D">
        <w:rPr>
          <w:rStyle w:val="Odkaznapoznmkupodiarou"/>
          <w:sz w:val="18"/>
          <w:szCs w:val="18"/>
        </w:rPr>
        <w:footnoteRef/>
      </w:r>
      <w:r w:rsidRPr="00F0753D">
        <w:rPr>
          <w:sz w:val="18"/>
          <w:szCs w:val="18"/>
        </w:rPr>
        <w:t xml:space="preserve"> Poskytovateľom aktualizačného vzdelávania je od 09/2019 škola, školské zariadenie, zariadenie sociálnej pomoci, zriaďovateľ školy bez právnej subjektivity alebo školského zariadenia bez právnej subjektivity. Zdroj: </w:t>
      </w:r>
      <w:hyperlink r:id="rId127" w:history="1">
        <w:r w:rsidRPr="00057E98">
          <w:rPr>
            <w:rStyle w:val="Hypertextovprepojenie"/>
            <w:sz w:val="18"/>
            <w:szCs w:val="18"/>
          </w:rPr>
          <w:t>§ 57 zákona č. 138/2019 Z. z</w:t>
        </w:r>
      </w:hyperlink>
      <w:r w:rsidRPr="00F0753D">
        <w:rPr>
          <w:sz w:val="18"/>
          <w:szCs w:val="18"/>
        </w:rPr>
        <w:t>.</w:t>
      </w:r>
    </w:p>
  </w:footnote>
  <w:footnote w:id="195">
    <w:p w14:paraId="5B1D2443" w14:textId="77777777" w:rsidR="006C0687" w:rsidRPr="0028075E" w:rsidRDefault="006C0687" w:rsidP="00D27F91">
      <w:pPr>
        <w:pStyle w:val="Textpoznmkypodiarou"/>
        <w:rPr>
          <w:sz w:val="18"/>
          <w:szCs w:val="18"/>
        </w:rPr>
      </w:pPr>
      <w:r w:rsidRPr="0028075E">
        <w:rPr>
          <w:rStyle w:val="Odkaznapoznmkupodiarou"/>
          <w:sz w:val="18"/>
          <w:szCs w:val="18"/>
        </w:rPr>
        <w:footnoteRef/>
      </w:r>
      <w:r w:rsidRPr="0028075E">
        <w:rPr>
          <w:sz w:val="18"/>
          <w:szCs w:val="18"/>
        </w:rPr>
        <w:t xml:space="preserve"> </w:t>
      </w:r>
      <w:hyperlink r:id="rId128" w:history="1">
        <w:r>
          <w:rPr>
            <w:rStyle w:val="Hypertextovprepojenie"/>
            <w:sz w:val="18"/>
            <w:szCs w:val="18"/>
          </w:rPr>
          <w:t>Zoznamy poskytovateľov vzdelávania PZ a OZ</w:t>
        </w:r>
      </w:hyperlink>
    </w:p>
  </w:footnote>
  <w:footnote w:id="196">
    <w:p w14:paraId="08050C0A" w14:textId="77777777" w:rsidR="006C0687" w:rsidRPr="003925E7" w:rsidRDefault="006C0687">
      <w:pPr>
        <w:pStyle w:val="Textpoznmkypodiarou"/>
        <w:rPr>
          <w:sz w:val="18"/>
          <w:szCs w:val="18"/>
        </w:rPr>
      </w:pPr>
      <w:r w:rsidRPr="003925E7">
        <w:rPr>
          <w:rStyle w:val="Odkaznapoznmkupodiarou"/>
          <w:sz w:val="18"/>
          <w:szCs w:val="18"/>
        </w:rPr>
        <w:footnoteRef/>
      </w:r>
      <w:r w:rsidRPr="003925E7">
        <w:rPr>
          <w:sz w:val="18"/>
          <w:szCs w:val="18"/>
        </w:rPr>
        <w:t xml:space="preserve"> </w:t>
      </w:r>
      <w:r>
        <w:rPr>
          <w:sz w:val="18"/>
          <w:szCs w:val="18"/>
        </w:rPr>
        <w:t>Napr. n</w:t>
      </w:r>
      <w:r w:rsidRPr="003925E7">
        <w:rPr>
          <w:sz w:val="18"/>
          <w:szCs w:val="18"/>
        </w:rPr>
        <w:t>ová žiadosť, vkladanie atestačného portfólia do CIS, nový posudok na ates</w:t>
      </w:r>
      <w:r w:rsidRPr="00376646">
        <w:rPr>
          <w:sz w:val="18"/>
          <w:szCs w:val="18"/>
        </w:rPr>
        <w:t>tačné portfólio, nové protokoly</w:t>
      </w:r>
      <w:r w:rsidRPr="003925E7">
        <w:rPr>
          <w:sz w:val="18"/>
          <w:szCs w:val="18"/>
        </w:rPr>
        <w:t xml:space="preserve">. </w:t>
      </w:r>
    </w:p>
  </w:footnote>
  <w:footnote w:id="197">
    <w:p w14:paraId="44AB8C1D" w14:textId="77777777" w:rsidR="006C0687" w:rsidRPr="003925E7" w:rsidRDefault="006C0687">
      <w:pPr>
        <w:pStyle w:val="Textpoznmkypodiarou"/>
        <w:rPr>
          <w:sz w:val="18"/>
          <w:szCs w:val="18"/>
        </w:rPr>
      </w:pPr>
      <w:r w:rsidRPr="003925E7">
        <w:rPr>
          <w:rStyle w:val="Odkaznapoznmkupodiarou"/>
          <w:sz w:val="18"/>
          <w:szCs w:val="18"/>
        </w:rPr>
        <w:footnoteRef/>
      </w:r>
      <w:r w:rsidRPr="003925E7">
        <w:rPr>
          <w:sz w:val="18"/>
          <w:szCs w:val="18"/>
        </w:rPr>
        <w:t xml:space="preserve"> </w:t>
      </w:r>
      <w:r>
        <w:rPr>
          <w:sz w:val="18"/>
          <w:szCs w:val="18"/>
        </w:rPr>
        <w:t>Napr. n</w:t>
      </w:r>
      <w:r w:rsidRPr="003925E7">
        <w:rPr>
          <w:sz w:val="18"/>
          <w:szCs w:val="18"/>
        </w:rPr>
        <w:t>ová prihláška, väzba na profesijné kompetencie</w:t>
      </w:r>
      <w:r>
        <w:rPr>
          <w:sz w:val="18"/>
          <w:szCs w:val="18"/>
        </w:rPr>
        <w:t>.</w:t>
      </w:r>
    </w:p>
  </w:footnote>
  <w:footnote w:id="198">
    <w:p w14:paraId="042AFC05" w14:textId="77777777" w:rsidR="006C0687" w:rsidRPr="00F8721C" w:rsidRDefault="006C0687" w:rsidP="00D27F91">
      <w:pPr>
        <w:pStyle w:val="Textpoznmkypodiarou"/>
        <w:rPr>
          <w:sz w:val="18"/>
          <w:szCs w:val="18"/>
        </w:rPr>
      </w:pPr>
      <w:r w:rsidRPr="00F8721C">
        <w:rPr>
          <w:rStyle w:val="Odkaznapoznmkupodiarou"/>
          <w:sz w:val="18"/>
          <w:szCs w:val="18"/>
        </w:rPr>
        <w:footnoteRef/>
      </w:r>
      <w:r w:rsidRPr="00F8721C">
        <w:rPr>
          <w:sz w:val="18"/>
          <w:szCs w:val="18"/>
        </w:rPr>
        <w:t xml:space="preserve"> </w:t>
      </w:r>
      <w:hyperlink r:id="rId129" w:history="1">
        <w:r w:rsidRPr="008B7B48">
          <w:rPr>
            <w:rStyle w:val="Hypertextovprepojenie"/>
            <w:sz w:val="18"/>
            <w:szCs w:val="18"/>
          </w:rPr>
          <w:t>Zámer národného projektu</w:t>
        </w:r>
      </w:hyperlink>
    </w:p>
  </w:footnote>
  <w:footnote w:id="199">
    <w:p w14:paraId="00130A3C" w14:textId="77777777" w:rsidR="006C0687" w:rsidRPr="00F8721C" w:rsidRDefault="006C0687">
      <w:pPr>
        <w:pStyle w:val="Textpoznmkypodiarou"/>
        <w:rPr>
          <w:sz w:val="18"/>
          <w:szCs w:val="18"/>
        </w:rPr>
      </w:pPr>
      <w:r w:rsidRPr="00F8721C">
        <w:rPr>
          <w:rStyle w:val="Odkaznapoznmkupodiarou"/>
          <w:sz w:val="18"/>
          <w:szCs w:val="18"/>
        </w:rPr>
        <w:footnoteRef/>
      </w:r>
      <w:r>
        <w:rPr>
          <w:sz w:val="18"/>
          <w:szCs w:val="18"/>
        </w:rPr>
        <w:t xml:space="preserve"> </w:t>
      </w:r>
      <w:hyperlink r:id="rId130" w:history="1">
        <w:r>
          <w:rPr>
            <w:rStyle w:val="Hypertextovprepojenie"/>
            <w:sz w:val="18"/>
            <w:szCs w:val="18"/>
          </w:rPr>
          <w:t>Vyzvanie OPLZ - „Profesijný rozvoj učiteľov“</w:t>
        </w:r>
      </w:hyperlink>
    </w:p>
  </w:footnote>
  <w:footnote w:id="200">
    <w:p w14:paraId="757C5F09" w14:textId="77777777" w:rsidR="006C0687" w:rsidRPr="00975020" w:rsidRDefault="006C0687">
      <w:pPr>
        <w:pStyle w:val="Textpoznmkypodiarou"/>
        <w:rPr>
          <w:sz w:val="18"/>
          <w:szCs w:val="18"/>
        </w:rPr>
      </w:pPr>
      <w:r w:rsidRPr="00975020">
        <w:rPr>
          <w:rStyle w:val="Odkaznapoznmkupodiarou"/>
          <w:sz w:val="18"/>
          <w:szCs w:val="18"/>
        </w:rPr>
        <w:footnoteRef/>
      </w:r>
      <w:r w:rsidRPr="00975020">
        <w:rPr>
          <w:sz w:val="18"/>
          <w:szCs w:val="18"/>
        </w:rPr>
        <w:t xml:space="preserve"> Na základe schválenej novely zákona č. 61/2015 Z. z. o odbornom vzdelávaní bola schválená úprava nariadenia vlády SR č. 630/2008</w:t>
      </w:r>
      <w:r>
        <w:rPr>
          <w:sz w:val="18"/>
          <w:szCs w:val="18"/>
        </w:rPr>
        <w:t>.</w:t>
      </w:r>
      <w:r w:rsidRPr="00975020">
        <w:rPr>
          <w:sz w:val="18"/>
          <w:szCs w:val="18"/>
        </w:rPr>
        <w:t xml:space="preserve"> Zdroj: </w:t>
      </w:r>
      <w:hyperlink r:id="rId131" w:history="1">
        <w:r w:rsidRPr="00A1676A">
          <w:rPr>
            <w:rStyle w:val="Hypertextovprepojenie"/>
            <w:sz w:val="18"/>
            <w:szCs w:val="18"/>
          </w:rPr>
          <w:t>Nariadenie vlády 401/2018</w:t>
        </w:r>
      </w:hyperlink>
    </w:p>
  </w:footnote>
  <w:footnote w:id="201">
    <w:p w14:paraId="3F56C1CD" w14:textId="77777777" w:rsidR="006C0687" w:rsidRPr="00975020" w:rsidRDefault="006C0687">
      <w:pPr>
        <w:pStyle w:val="Textpoznmkypodiarou"/>
        <w:rPr>
          <w:sz w:val="18"/>
          <w:szCs w:val="18"/>
        </w:rPr>
      </w:pPr>
      <w:r w:rsidRPr="00975020">
        <w:rPr>
          <w:rStyle w:val="Odkaznapoznmkupodiarou"/>
          <w:sz w:val="18"/>
          <w:szCs w:val="18"/>
        </w:rPr>
        <w:footnoteRef/>
      </w:r>
      <w:r w:rsidRPr="00975020">
        <w:rPr>
          <w:sz w:val="18"/>
          <w:szCs w:val="18"/>
        </w:rPr>
        <w:t xml:space="preserve"> ŠVP pre skupiny študijných a učebných odborov 82 Umenie a umeleckoremeselná tvorba I, 85 Umenie a umeleckoremeselná tvorba II a ŠVP pre školu umeleckého priemyslu, skupinu študijných odborov 86 Umenie a umeleckoremeselná tvorba III.</w:t>
      </w:r>
    </w:p>
  </w:footnote>
  <w:footnote w:id="202">
    <w:p w14:paraId="7E559B61" w14:textId="77777777" w:rsidR="006C0687" w:rsidRPr="00975020" w:rsidRDefault="006C0687">
      <w:pPr>
        <w:pStyle w:val="Textpoznmkypodiarou"/>
        <w:rPr>
          <w:sz w:val="18"/>
          <w:szCs w:val="18"/>
        </w:rPr>
      </w:pPr>
      <w:r w:rsidRPr="00975020">
        <w:rPr>
          <w:rStyle w:val="Odkaznapoznmkupodiarou"/>
          <w:sz w:val="18"/>
          <w:szCs w:val="18"/>
        </w:rPr>
        <w:footnoteRef/>
      </w:r>
      <w:r w:rsidRPr="00975020">
        <w:rPr>
          <w:sz w:val="18"/>
          <w:szCs w:val="18"/>
        </w:rPr>
        <w:t xml:space="preserve"> Návrh reflektoval aj úpravu RUP pre gymnáziá, ktorá bola schválená už od 09/2015</w:t>
      </w:r>
      <w:r>
        <w:rPr>
          <w:sz w:val="18"/>
          <w:szCs w:val="18"/>
        </w:rPr>
        <w:t>.</w:t>
      </w:r>
      <w:r w:rsidRPr="00975020">
        <w:rPr>
          <w:sz w:val="18"/>
          <w:szCs w:val="18"/>
        </w:rPr>
        <w:t xml:space="preserve"> Zdroj: </w:t>
      </w:r>
      <w:hyperlink r:id="rId132" w:history="1">
        <w:r>
          <w:rPr>
            <w:rStyle w:val="Hypertextovprepojenie"/>
            <w:sz w:val="18"/>
            <w:szCs w:val="18"/>
          </w:rPr>
          <w:t>Inovovaný ŠVP pre gymnáziá</w:t>
        </w:r>
      </w:hyperlink>
      <w:r>
        <w:rPr>
          <w:sz w:val="18"/>
          <w:szCs w:val="18"/>
        </w:rPr>
        <w:t>.</w:t>
      </w:r>
    </w:p>
  </w:footnote>
  <w:footnote w:id="203">
    <w:p w14:paraId="3536C423" w14:textId="77777777" w:rsidR="006C0687" w:rsidRPr="00975020" w:rsidRDefault="006C0687" w:rsidP="00D27F91">
      <w:pPr>
        <w:pStyle w:val="Textpoznmkypodiarou"/>
        <w:rPr>
          <w:sz w:val="18"/>
          <w:szCs w:val="18"/>
        </w:rPr>
      </w:pPr>
      <w:r w:rsidRPr="00975020">
        <w:rPr>
          <w:rStyle w:val="Odkaznapoznmkupodiarou"/>
          <w:sz w:val="18"/>
          <w:szCs w:val="18"/>
        </w:rPr>
        <w:footnoteRef/>
      </w:r>
      <w:r w:rsidRPr="00975020">
        <w:rPr>
          <w:sz w:val="18"/>
          <w:szCs w:val="18"/>
        </w:rPr>
        <w:t xml:space="preserve"> Číslo 2019/5583:44-A1030</w:t>
      </w:r>
    </w:p>
  </w:footnote>
  <w:footnote w:id="204">
    <w:p w14:paraId="1074D23B" w14:textId="77777777" w:rsidR="006C0687" w:rsidRPr="00D62EB9" w:rsidRDefault="006C0687" w:rsidP="00D27F91">
      <w:pPr>
        <w:pStyle w:val="Textpoznmkypodiarou"/>
        <w:rPr>
          <w:sz w:val="18"/>
          <w:szCs w:val="18"/>
        </w:rPr>
      </w:pPr>
      <w:r w:rsidRPr="00D62EB9">
        <w:rPr>
          <w:rStyle w:val="Odkaznapoznmkupodiarou"/>
          <w:sz w:val="18"/>
          <w:szCs w:val="18"/>
        </w:rPr>
        <w:footnoteRef/>
      </w:r>
      <w:r w:rsidRPr="00D62EB9">
        <w:rPr>
          <w:sz w:val="18"/>
          <w:szCs w:val="18"/>
        </w:rPr>
        <w:t xml:space="preserve"> </w:t>
      </w:r>
      <w:hyperlink r:id="rId133" w:history="1">
        <w:r w:rsidRPr="008B7B48">
          <w:rPr>
            <w:rStyle w:val="Hypertextovprepojenie"/>
            <w:sz w:val="18"/>
            <w:szCs w:val="18"/>
          </w:rPr>
          <w:t>Metodika rozpisu dotácií zo štátneho rozpočtu verejným VŠ 2019</w:t>
        </w:r>
      </w:hyperlink>
    </w:p>
  </w:footnote>
  <w:footnote w:id="205">
    <w:p w14:paraId="6CB1D6DB" w14:textId="77777777" w:rsidR="006C0687" w:rsidRPr="00D62EB9" w:rsidRDefault="006C0687" w:rsidP="00D27F91">
      <w:pPr>
        <w:pStyle w:val="Textpoznmkypodiarou"/>
        <w:rPr>
          <w:sz w:val="18"/>
          <w:szCs w:val="18"/>
        </w:rPr>
      </w:pPr>
      <w:r w:rsidRPr="00D62EB9">
        <w:rPr>
          <w:rStyle w:val="Odkaznapoznmkupodiarou"/>
          <w:sz w:val="18"/>
          <w:szCs w:val="18"/>
        </w:rPr>
        <w:footnoteRef/>
      </w:r>
      <w:r w:rsidRPr="00D62EB9">
        <w:rPr>
          <w:sz w:val="18"/>
          <w:szCs w:val="18"/>
        </w:rPr>
        <w:t xml:space="preserve"> </w:t>
      </w:r>
      <w:hyperlink r:id="rId134" w:history="1">
        <w:r w:rsidRPr="008B7B48">
          <w:rPr>
            <w:rStyle w:val="Hypertextovprepojenie"/>
            <w:sz w:val="18"/>
            <w:szCs w:val="18"/>
          </w:rPr>
          <w:t>Metodika rozpisu dotácií zo štátneho rozpočtu verejným VŠ 2020</w:t>
        </w:r>
      </w:hyperlink>
    </w:p>
  </w:footnote>
  <w:footnote w:id="206">
    <w:p w14:paraId="7D8C7CF3" w14:textId="2E591AD0" w:rsidR="006C0687" w:rsidRPr="00DE1FA1" w:rsidRDefault="006C0687" w:rsidP="00D27F91">
      <w:pPr>
        <w:pStyle w:val="Textpoznmkypodiarou"/>
        <w:rPr>
          <w:sz w:val="18"/>
          <w:szCs w:val="18"/>
        </w:rPr>
      </w:pPr>
      <w:r w:rsidRPr="00DE1FA1">
        <w:rPr>
          <w:rStyle w:val="Odkaznapoznmkupodiarou"/>
          <w:sz w:val="18"/>
          <w:szCs w:val="18"/>
        </w:rPr>
        <w:footnoteRef/>
      </w:r>
      <w:r w:rsidRPr="00DE1FA1">
        <w:rPr>
          <w:sz w:val="18"/>
          <w:szCs w:val="18"/>
        </w:rPr>
        <w:t xml:space="preserve"> </w:t>
      </w:r>
      <w:hyperlink r:id="rId135" w:history="1">
        <w:r w:rsidRPr="00DE32B2">
          <w:rPr>
            <w:rStyle w:val="Hypertextovprepojenie"/>
            <w:sz w:val="18"/>
            <w:szCs w:val="18"/>
          </w:rPr>
          <w:t>https://dennikn.sk/1725678/90-archeologov-co-sme-mezopotamia-zamestnavatelia-pred-volbami-hovoria-ako-si-predstavuju-skoly/</w:t>
        </w:r>
      </w:hyperlink>
      <w:r>
        <w:rPr>
          <w:sz w:val="18"/>
          <w:szCs w:val="18"/>
        </w:rPr>
        <w:t xml:space="preserve"> </w:t>
      </w:r>
    </w:p>
  </w:footnote>
  <w:footnote w:id="207">
    <w:p w14:paraId="11A27DFA" w14:textId="77777777" w:rsidR="006C0687" w:rsidRPr="00DE1FA1" w:rsidRDefault="006C0687">
      <w:pPr>
        <w:pStyle w:val="Textpoznmkypodiarou"/>
        <w:rPr>
          <w:sz w:val="18"/>
          <w:szCs w:val="18"/>
        </w:rPr>
      </w:pPr>
      <w:r w:rsidRPr="00DE1FA1">
        <w:rPr>
          <w:rStyle w:val="Odkaznapoznmkupodiarou"/>
          <w:sz w:val="18"/>
          <w:szCs w:val="18"/>
        </w:rPr>
        <w:footnoteRef/>
      </w:r>
      <w:r w:rsidRPr="00DE1FA1">
        <w:rPr>
          <w:sz w:val="18"/>
          <w:szCs w:val="18"/>
        </w:rPr>
        <w:t xml:space="preserve"> </w:t>
      </w:r>
      <w:hyperlink r:id="rId136" w:history="1">
        <w:r w:rsidRPr="008B7B48">
          <w:rPr>
            <w:rStyle w:val="Hypertextovprepojenie"/>
            <w:sz w:val="18"/>
            <w:szCs w:val="18"/>
          </w:rPr>
          <w:t>Kritériá akreditácie profesijne orientovaných bakalárskych študijných programov VŠ</w:t>
        </w:r>
      </w:hyperlink>
    </w:p>
  </w:footnote>
  <w:footnote w:id="208">
    <w:p w14:paraId="21C79180" w14:textId="77777777" w:rsidR="006C0687" w:rsidRPr="00F642E6" w:rsidRDefault="006C0687" w:rsidP="00D27F91">
      <w:pPr>
        <w:pStyle w:val="Textpoznmkypodiarou"/>
        <w:rPr>
          <w:sz w:val="18"/>
          <w:szCs w:val="18"/>
        </w:rPr>
      </w:pPr>
      <w:r w:rsidRPr="00F642E6">
        <w:rPr>
          <w:rStyle w:val="Odkaznapoznmkupodiarou"/>
          <w:sz w:val="18"/>
          <w:szCs w:val="18"/>
        </w:rPr>
        <w:footnoteRef/>
      </w:r>
      <w:r>
        <w:t xml:space="preserve"> </w:t>
      </w:r>
      <w:hyperlink r:id="rId137" w:history="1">
        <w:r w:rsidRPr="00A1676A">
          <w:rPr>
            <w:rStyle w:val="Hypertextovprepojenie"/>
            <w:sz w:val="18"/>
            <w:szCs w:val="18"/>
          </w:rPr>
          <w:t>OPLZ-PO1/2018/DOP/1.3.1-02</w:t>
        </w:r>
      </w:hyperlink>
      <w:r w:rsidRPr="00F642E6">
        <w:rPr>
          <w:sz w:val="18"/>
          <w:szCs w:val="18"/>
        </w:rPr>
        <w:t xml:space="preserve"> s názvom Vysoká škola pre prax</w:t>
      </w:r>
      <w:r w:rsidRPr="00F642E6">
        <w:rPr>
          <w:rStyle w:val="Hypertextovprepojenie"/>
          <w:sz w:val="18"/>
          <w:szCs w:val="18"/>
        </w:rPr>
        <w:t>.</w:t>
      </w:r>
    </w:p>
  </w:footnote>
  <w:footnote w:id="209">
    <w:p w14:paraId="00259F64" w14:textId="77777777" w:rsidR="006C0687" w:rsidRPr="00F642E6" w:rsidRDefault="006C0687" w:rsidP="00D27F91">
      <w:pPr>
        <w:pStyle w:val="Textpoznmkypodiarou"/>
        <w:rPr>
          <w:sz w:val="18"/>
          <w:szCs w:val="18"/>
        </w:rPr>
      </w:pPr>
      <w:r w:rsidRPr="00F642E6">
        <w:rPr>
          <w:rStyle w:val="Odkaznapoznmkupodiarou"/>
          <w:sz w:val="18"/>
          <w:szCs w:val="18"/>
        </w:rPr>
        <w:footnoteRef/>
      </w:r>
      <w:r w:rsidRPr="00F642E6">
        <w:rPr>
          <w:sz w:val="18"/>
          <w:szCs w:val="18"/>
        </w:rPr>
        <w:t xml:space="preserve"> Z hľadiska konfliktu záujmov musia byť zároveň z procesu odborného hodnotenia vylúčení zástupcovia tých VŠ, ktor</w:t>
      </w:r>
      <w:r>
        <w:rPr>
          <w:sz w:val="18"/>
          <w:szCs w:val="18"/>
        </w:rPr>
        <w:t>é</w:t>
      </w:r>
      <w:r w:rsidRPr="00F642E6">
        <w:rPr>
          <w:sz w:val="18"/>
          <w:szCs w:val="18"/>
        </w:rPr>
        <w:t xml:space="preserve"> predložili v rámci hodnotiacich kôl projekty. </w:t>
      </w:r>
    </w:p>
  </w:footnote>
  <w:footnote w:id="210">
    <w:p w14:paraId="3E60622C" w14:textId="77777777" w:rsidR="006C0687" w:rsidRPr="00F642E6" w:rsidRDefault="006C0687">
      <w:pPr>
        <w:pStyle w:val="Textpoznmkypodiarou"/>
        <w:rPr>
          <w:sz w:val="18"/>
          <w:szCs w:val="18"/>
        </w:rPr>
      </w:pPr>
      <w:r w:rsidRPr="00F642E6">
        <w:rPr>
          <w:rStyle w:val="Odkaznapoznmkupodiarou"/>
          <w:sz w:val="18"/>
          <w:szCs w:val="18"/>
        </w:rPr>
        <w:footnoteRef/>
      </w:r>
      <w:r w:rsidRPr="00F642E6">
        <w:rPr>
          <w:sz w:val="18"/>
          <w:szCs w:val="18"/>
        </w:rPr>
        <w:t xml:space="preserve"> </w:t>
      </w:r>
      <w:hyperlink r:id="rId138" w:history="1">
        <w:r>
          <w:rPr>
            <w:rStyle w:val="Hypertextovprepojenie"/>
            <w:sz w:val="18"/>
            <w:szCs w:val="18"/>
          </w:rPr>
          <w:t>Výzvy na výber odborných hodnotiteľov</w:t>
        </w:r>
      </w:hyperlink>
      <w:r>
        <w:rPr>
          <w:sz w:val="18"/>
          <w:szCs w:val="18"/>
        </w:rPr>
        <w:t xml:space="preserve">, okrem toho </w:t>
      </w:r>
      <w:r w:rsidRPr="002E3669">
        <w:rPr>
          <w:sz w:val="18"/>
          <w:szCs w:val="18"/>
        </w:rPr>
        <w:t xml:space="preserve">aj formou oslovovania partnerov so žiadosťou o distribúciu informácií (napr. oslovenie českých škôl </w:t>
      </w:r>
      <w:r>
        <w:rPr>
          <w:sz w:val="18"/>
          <w:szCs w:val="18"/>
        </w:rPr>
        <w:t xml:space="preserve">zo strany </w:t>
      </w:r>
      <w:r w:rsidRPr="002E3669">
        <w:rPr>
          <w:sz w:val="18"/>
          <w:szCs w:val="18"/>
        </w:rPr>
        <w:t>MŠVVaŠ SR)</w:t>
      </w:r>
      <w:r>
        <w:rPr>
          <w:sz w:val="18"/>
          <w:szCs w:val="18"/>
        </w:rPr>
        <w:t>.</w:t>
      </w:r>
    </w:p>
  </w:footnote>
  <w:footnote w:id="211">
    <w:p w14:paraId="12A2F739" w14:textId="77777777" w:rsidR="006C0687" w:rsidRPr="00F642E6" w:rsidRDefault="006C0687">
      <w:pPr>
        <w:pStyle w:val="Textpoznmkypodiarou"/>
        <w:rPr>
          <w:sz w:val="18"/>
          <w:szCs w:val="18"/>
        </w:rPr>
      </w:pPr>
      <w:r w:rsidRPr="00F642E6">
        <w:rPr>
          <w:rStyle w:val="Odkaznapoznmkupodiarou"/>
          <w:sz w:val="18"/>
          <w:szCs w:val="18"/>
        </w:rPr>
        <w:footnoteRef/>
      </w:r>
      <w:r w:rsidRPr="00F642E6">
        <w:rPr>
          <w:sz w:val="18"/>
          <w:szCs w:val="18"/>
        </w:rPr>
        <w:t xml:space="preserve"> Ide o vnútorné rozhodnutie MŠVVaŠ SR, finálna sadzba bude uvedená priamo v DoVP </w:t>
      </w:r>
      <w:r>
        <w:rPr>
          <w:sz w:val="18"/>
          <w:szCs w:val="18"/>
        </w:rPr>
        <w:t>s odbornými hodnotiteľmi. Ministerstvo</w:t>
      </w:r>
      <w:r w:rsidRPr="00F642E6">
        <w:rPr>
          <w:sz w:val="18"/>
          <w:szCs w:val="18"/>
        </w:rPr>
        <w:t xml:space="preserve"> zašle zároveň informáciu o hodinovej sadzbe zástupcom VŠ a zamestnávateľo</w:t>
      </w:r>
      <w:r>
        <w:rPr>
          <w:sz w:val="18"/>
          <w:szCs w:val="18"/>
        </w:rPr>
        <w:t xml:space="preserve">v za účelom ich oslovenia za odborných hodnotiteľov. </w:t>
      </w:r>
    </w:p>
  </w:footnote>
  <w:footnote w:id="212">
    <w:p w14:paraId="10F30147" w14:textId="77777777" w:rsidR="006C0687" w:rsidRPr="00AA71EB" w:rsidRDefault="006C0687">
      <w:pPr>
        <w:pStyle w:val="Textpoznmkypodiarou"/>
        <w:rPr>
          <w:sz w:val="18"/>
          <w:szCs w:val="18"/>
        </w:rPr>
      </w:pPr>
      <w:r w:rsidRPr="00824232">
        <w:rPr>
          <w:rStyle w:val="Odkaznapoznmkupodiarou"/>
          <w:sz w:val="18"/>
          <w:szCs w:val="18"/>
        </w:rPr>
        <w:footnoteRef/>
      </w:r>
      <w:r w:rsidRPr="00824232">
        <w:rPr>
          <w:sz w:val="18"/>
          <w:szCs w:val="18"/>
        </w:rPr>
        <w:t xml:space="preserve"> </w:t>
      </w:r>
      <w:r>
        <w:rPr>
          <w:sz w:val="18"/>
          <w:szCs w:val="18"/>
        </w:rPr>
        <w:t xml:space="preserve">Ide o študijný program </w:t>
      </w:r>
      <w:r w:rsidRPr="00C67216">
        <w:rPr>
          <w:sz w:val="18"/>
          <w:szCs w:val="18"/>
        </w:rPr>
        <w:t>prevádzkový technik dopravnej a výrobnej techniky</w:t>
      </w:r>
      <w:r>
        <w:rPr>
          <w:sz w:val="18"/>
          <w:szCs w:val="18"/>
        </w:rPr>
        <w:t xml:space="preserve">. </w:t>
      </w:r>
      <w:r w:rsidRPr="00824232">
        <w:rPr>
          <w:sz w:val="18"/>
          <w:szCs w:val="18"/>
        </w:rPr>
        <w:t xml:space="preserve">Zdroj: </w:t>
      </w:r>
      <w:r w:rsidRPr="005B16F2">
        <w:rPr>
          <w:sz w:val="18"/>
          <w:szCs w:val="18"/>
        </w:rPr>
        <w:t>Register študijných programov a Centrálny register študentov</w:t>
      </w:r>
    </w:p>
  </w:footnote>
  <w:footnote w:id="213">
    <w:p w14:paraId="5584C3C7" w14:textId="24747C7B" w:rsidR="006C0687" w:rsidRPr="009C7505" w:rsidRDefault="006C0687" w:rsidP="00D27F91">
      <w:pPr>
        <w:pStyle w:val="Textpoznmkypodiarou"/>
        <w:jc w:val="left"/>
        <w:rPr>
          <w:sz w:val="18"/>
          <w:szCs w:val="18"/>
        </w:rPr>
      </w:pPr>
      <w:r w:rsidRPr="009C7505">
        <w:rPr>
          <w:rStyle w:val="Odkaznapoznmkupodiarou"/>
          <w:sz w:val="18"/>
          <w:szCs w:val="18"/>
        </w:rPr>
        <w:footnoteRef/>
      </w:r>
      <w:r w:rsidRPr="009C7505">
        <w:rPr>
          <w:sz w:val="18"/>
          <w:szCs w:val="18"/>
        </w:rPr>
        <w:t xml:space="preserve"> Viac informácií o</w:t>
      </w:r>
      <w:r>
        <w:rPr>
          <w:sz w:val="18"/>
          <w:szCs w:val="18"/>
        </w:rPr>
        <w:t xml:space="preserve"> jednotlivých </w:t>
      </w:r>
      <w:r w:rsidRPr="009C7505">
        <w:rPr>
          <w:sz w:val="18"/>
          <w:szCs w:val="18"/>
        </w:rPr>
        <w:t>nových profesijne orientovaných programoch: https://www.portalvs.sk/sk/morho/zobrazit/183987, https://www.portalvs.sk/sk/morho/zobrazit/184178, https://www.portalvs.sk/sk/morho/zobrazit/184179, https://www.portalvs.sk/sk/morho/zobrazit/183867, https://www.portalvs.sk/sk/morho/zobrazit/183969, https://www.portalvs.sk/sk/morho/zobrazit/184173, https://www.portalvs.sk/sk/morho/zobrazit/184176, https://www.portalvs.sk/sk/morho/zobrazit/184171, https://www.portalvs.sk/sk/morho/zobrazit/184172</w:t>
      </w:r>
    </w:p>
  </w:footnote>
  <w:footnote w:id="214">
    <w:p w14:paraId="615791F7" w14:textId="0660D9BB" w:rsidR="006C0687" w:rsidRPr="002E3669" w:rsidRDefault="006C0687">
      <w:pPr>
        <w:pStyle w:val="Textpoznmkypodiarou"/>
        <w:rPr>
          <w:sz w:val="18"/>
          <w:szCs w:val="18"/>
        </w:rPr>
      </w:pPr>
      <w:r w:rsidRPr="002E3669">
        <w:rPr>
          <w:rStyle w:val="Odkaznapoznmkupodiarou"/>
          <w:sz w:val="18"/>
          <w:szCs w:val="18"/>
        </w:rPr>
        <w:footnoteRef/>
      </w:r>
      <w:r w:rsidRPr="002E3669">
        <w:rPr>
          <w:sz w:val="18"/>
          <w:szCs w:val="18"/>
        </w:rPr>
        <w:t xml:space="preserve"> Koeficient pre dennú formu štúdia, ktorý sa používa pri výpočte prepočítaného počtu študentov (PPŠ)</w:t>
      </w:r>
      <w:r>
        <w:rPr>
          <w:sz w:val="18"/>
          <w:szCs w:val="18"/>
        </w:rPr>
        <w:t>,</w:t>
      </w:r>
      <w:r w:rsidRPr="002E3669">
        <w:rPr>
          <w:sz w:val="18"/>
          <w:szCs w:val="18"/>
        </w:rPr>
        <w:t xml:space="preserve"> sa</w:t>
      </w:r>
      <w:r>
        <w:rPr>
          <w:sz w:val="18"/>
          <w:szCs w:val="18"/>
        </w:rPr>
        <w:t xml:space="preserve"> pri absolventoch profesijne orientovaných bakalárskych študijných programov</w:t>
      </w:r>
      <w:r w:rsidRPr="002E3669">
        <w:rPr>
          <w:sz w:val="18"/>
          <w:szCs w:val="18"/>
        </w:rPr>
        <w:t xml:space="preserve"> zvýšil z 1,00 v roku 2019 na 2,00 v roku 2020. </w:t>
      </w:r>
    </w:p>
  </w:footnote>
  <w:footnote w:id="215">
    <w:p w14:paraId="7787A76A" w14:textId="77777777" w:rsidR="006C0687" w:rsidRPr="00031480" w:rsidRDefault="006C0687" w:rsidP="00D27F91">
      <w:pPr>
        <w:pStyle w:val="Textpoznmkypodiarou"/>
        <w:jc w:val="left"/>
        <w:rPr>
          <w:sz w:val="18"/>
          <w:szCs w:val="18"/>
        </w:rPr>
      </w:pPr>
      <w:r w:rsidRPr="00031480">
        <w:rPr>
          <w:rStyle w:val="Odkaznapoznmkupodiarou"/>
          <w:sz w:val="18"/>
          <w:szCs w:val="18"/>
        </w:rPr>
        <w:footnoteRef/>
      </w:r>
      <w:r w:rsidRPr="00031480">
        <w:rPr>
          <w:sz w:val="18"/>
          <w:szCs w:val="18"/>
        </w:rPr>
        <w:t xml:space="preserve"> Schválením </w:t>
      </w:r>
      <w:hyperlink r:id="rId139" w:history="1">
        <w:r w:rsidRPr="00057E98">
          <w:rPr>
            <w:rStyle w:val="Hypertextovprepojenie"/>
            <w:sz w:val="18"/>
            <w:szCs w:val="18"/>
          </w:rPr>
          <w:t>poslaneckého návrhu novely zákona č. 131/2002 Z. z. o vysokých školách</w:t>
        </w:r>
      </w:hyperlink>
      <w:r>
        <w:rPr>
          <w:sz w:val="18"/>
          <w:szCs w:val="18"/>
        </w:rPr>
        <w:t>.</w:t>
      </w:r>
    </w:p>
  </w:footnote>
  <w:footnote w:id="216">
    <w:p w14:paraId="2A2E82EC" w14:textId="575F3707" w:rsidR="006C0687" w:rsidRPr="00A82427" w:rsidRDefault="006C0687" w:rsidP="00D27F91">
      <w:pPr>
        <w:pStyle w:val="Textpoznmkypodiarou"/>
        <w:rPr>
          <w:sz w:val="18"/>
          <w:szCs w:val="18"/>
        </w:rPr>
      </w:pPr>
      <w:r w:rsidRPr="00A82427">
        <w:rPr>
          <w:rStyle w:val="Odkaznapoznmkupodiarou"/>
          <w:sz w:val="18"/>
          <w:szCs w:val="18"/>
        </w:rPr>
        <w:footnoteRef/>
      </w:r>
      <w:r w:rsidRPr="00A82427">
        <w:rPr>
          <w:sz w:val="18"/>
          <w:szCs w:val="18"/>
        </w:rPr>
        <w:t xml:space="preserve"> </w:t>
      </w:r>
      <w:hyperlink r:id="rId140" w:history="1">
        <w:r>
          <w:rPr>
            <w:rStyle w:val="Hypertextovprepojenie"/>
            <w:sz w:val="18"/>
            <w:szCs w:val="18"/>
          </w:rPr>
          <w:t>Novela zákona o podpore práce s mládežou</w:t>
        </w:r>
      </w:hyperlink>
      <w:r>
        <w:rPr>
          <w:sz w:val="18"/>
          <w:szCs w:val="18"/>
        </w:rPr>
        <w:t xml:space="preserve">, </w:t>
      </w:r>
      <w:r w:rsidRPr="00A82427">
        <w:rPr>
          <w:sz w:val="18"/>
          <w:szCs w:val="18"/>
        </w:rPr>
        <w:t>§ 97a</w:t>
      </w:r>
      <w:r>
        <w:rPr>
          <w:sz w:val="18"/>
          <w:szCs w:val="18"/>
        </w:rPr>
        <w:t xml:space="preserve">, ods.5 - </w:t>
      </w:r>
      <w:r w:rsidRPr="00A82427">
        <w:rPr>
          <w:sz w:val="18"/>
          <w:szCs w:val="18"/>
        </w:rPr>
        <w:t>Pri poskytnutí podnikového štipendia sa podnikateľ a študent môžu dohodnúť, že podmienkou poskytovania podnikového štipendia bude aj záväzok študenta, že s podnikateľom uzatvorí pracovnoprávny vzťah na dohodnutú dobu určitú s</w:t>
      </w:r>
      <w:r>
        <w:rPr>
          <w:sz w:val="18"/>
          <w:szCs w:val="18"/>
        </w:rPr>
        <w:t>o</w:t>
      </w:r>
      <w:r w:rsidRPr="00A82427">
        <w:rPr>
          <w:sz w:val="18"/>
          <w:szCs w:val="18"/>
        </w:rPr>
        <w:t xml:space="preserve"> mzdou alebo s odmenou, akú podnikateľ v súlade so svojimi mzdovými podmienkami poskytuje iným zamestnancom, ktorí vykonávajú u podnikateľa rovnaký </w:t>
      </w:r>
      <w:r>
        <w:rPr>
          <w:sz w:val="18"/>
          <w:szCs w:val="18"/>
        </w:rPr>
        <w:t xml:space="preserve">alebo obdobný druh práce. </w:t>
      </w:r>
    </w:p>
  </w:footnote>
  <w:footnote w:id="217">
    <w:p w14:paraId="5561637C" w14:textId="77777777" w:rsidR="006C0687" w:rsidRPr="002962E5" w:rsidRDefault="006C0687" w:rsidP="00D27F91">
      <w:pPr>
        <w:pStyle w:val="Textpoznmkypodiarou"/>
        <w:rPr>
          <w:color w:val="0563C1"/>
          <w:sz w:val="18"/>
          <w:szCs w:val="18"/>
          <w:u w:val="single"/>
        </w:rPr>
      </w:pPr>
      <w:r w:rsidRPr="0033732F">
        <w:rPr>
          <w:rStyle w:val="Odkaznapoznmkupodiarou"/>
          <w:sz w:val="18"/>
          <w:szCs w:val="18"/>
        </w:rPr>
        <w:footnoteRef/>
      </w:r>
      <w:r w:rsidRPr="0033732F">
        <w:rPr>
          <w:sz w:val="18"/>
          <w:szCs w:val="18"/>
        </w:rPr>
        <w:t xml:space="preserve"> </w:t>
      </w:r>
      <w:hyperlink r:id="rId141" w:history="1">
        <w:r w:rsidRPr="00A1676A">
          <w:rPr>
            <w:rStyle w:val="Hypertextovprepojenie"/>
            <w:sz w:val="18"/>
            <w:szCs w:val="18"/>
          </w:rPr>
          <w:t>Zákon</w:t>
        </w:r>
        <w:r>
          <w:rPr>
            <w:rStyle w:val="Hypertextovprepojenie"/>
            <w:sz w:val="18"/>
            <w:szCs w:val="18"/>
          </w:rPr>
          <w:t xml:space="preserve"> č. </w:t>
        </w:r>
        <w:r w:rsidRPr="00D75CC5">
          <w:rPr>
            <w:rStyle w:val="Hypertextovprepojenie"/>
            <w:sz w:val="18"/>
            <w:szCs w:val="18"/>
          </w:rPr>
          <w:t>269/2018 Z. z.</w:t>
        </w:r>
        <w:r w:rsidRPr="00A1676A">
          <w:rPr>
            <w:rStyle w:val="Hypertextovprepojenie"/>
            <w:sz w:val="18"/>
            <w:szCs w:val="18"/>
          </w:rPr>
          <w:t xml:space="preserve"> o zabezpečovaní kvality vysokoškolského vzdelávania</w:t>
        </w:r>
      </w:hyperlink>
    </w:p>
  </w:footnote>
  <w:footnote w:id="218">
    <w:p w14:paraId="14327E64" w14:textId="74150869" w:rsidR="006C0687" w:rsidRPr="004C5550" w:rsidRDefault="006C0687">
      <w:pPr>
        <w:pStyle w:val="Textpoznmkypodiarou"/>
        <w:rPr>
          <w:sz w:val="18"/>
          <w:szCs w:val="18"/>
        </w:rPr>
      </w:pPr>
      <w:r w:rsidRPr="004C5550">
        <w:rPr>
          <w:rStyle w:val="Odkaznapoznmkupodiarou"/>
          <w:sz w:val="18"/>
          <w:szCs w:val="18"/>
        </w:rPr>
        <w:footnoteRef/>
      </w:r>
      <w:r w:rsidRPr="004C5550">
        <w:rPr>
          <w:sz w:val="18"/>
          <w:szCs w:val="18"/>
        </w:rPr>
        <w:t xml:space="preserve"> </w:t>
      </w:r>
      <w:hyperlink r:id="rId142" w:history="1">
        <w:r w:rsidRPr="004C5550">
          <w:rPr>
            <w:rStyle w:val="Hypertextovprepojenie"/>
            <w:sz w:val="18"/>
            <w:szCs w:val="18"/>
          </w:rPr>
          <w:t xml:space="preserve">Oznámenie o prevzatí agendy </w:t>
        </w:r>
        <w:r>
          <w:rPr>
            <w:rStyle w:val="Hypertextovprepojenie"/>
            <w:sz w:val="18"/>
            <w:szCs w:val="18"/>
          </w:rPr>
          <w:t>A</w:t>
        </w:r>
        <w:r w:rsidRPr="004C5550">
          <w:rPr>
            <w:rStyle w:val="Hypertextovprepojenie"/>
            <w:sz w:val="18"/>
            <w:szCs w:val="18"/>
          </w:rPr>
          <w:t>kreditačnej komisie</w:t>
        </w:r>
      </w:hyperlink>
    </w:p>
  </w:footnote>
  <w:footnote w:id="219">
    <w:p w14:paraId="70277CD8" w14:textId="77777777" w:rsidR="006C0687" w:rsidRPr="00DF6C88" w:rsidRDefault="006C0687" w:rsidP="00D27F91">
      <w:pPr>
        <w:pStyle w:val="Textpoznmkypodiarou"/>
        <w:jc w:val="left"/>
        <w:rPr>
          <w:sz w:val="18"/>
          <w:szCs w:val="18"/>
        </w:rPr>
      </w:pPr>
      <w:r w:rsidRPr="00DF6C88">
        <w:rPr>
          <w:rStyle w:val="Odkaznapoznmkupodiarou"/>
          <w:sz w:val="18"/>
          <w:szCs w:val="18"/>
        </w:rPr>
        <w:footnoteRef/>
      </w:r>
      <w:r w:rsidRPr="00DF6C88">
        <w:rPr>
          <w:sz w:val="18"/>
          <w:szCs w:val="18"/>
        </w:rPr>
        <w:t xml:space="preserve"> </w:t>
      </w:r>
      <w:hyperlink r:id="rId143" w:history="1">
        <w:r w:rsidRPr="00AB2EA3">
          <w:rPr>
            <w:rStyle w:val="Hypertextovprepojenie"/>
            <w:sz w:val="18"/>
            <w:szCs w:val="18"/>
          </w:rPr>
          <w:t>Návrh akreditačných štandardov</w:t>
        </w:r>
      </w:hyperlink>
    </w:p>
  </w:footnote>
  <w:footnote w:id="220">
    <w:p w14:paraId="35ED655A" w14:textId="77777777" w:rsidR="006C0687" w:rsidRPr="00AE45FC" w:rsidRDefault="006C0687" w:rsidP="00D27F91">
      <w:pPr>
        <w:pStyle w:val="Textpoznmkypodiarou"/>
        <w:rPr>
          <w:sz w:val="18"/>
          <w:szCs w:val="18"/>
        </w:rPr>
      </w:pPr>
      <w:r w:rsidRPr="00AE45FC">
        <w:rPr>
          <w:rStyle w:val="Odkaznapoznmkupodiarou"/>
          <w:sz w:val="18"/>
          <w:szCs w:val="18"/>
        </w:rPr>
        <w:footnoteRef/>
      </w:r>
      <w:r>
        <w:rPr>
          <w:sz w:val="18"/>
          <w:szCs w:val="18"/>
        </w:rPr>
        <w:t xml:space="preserve"> </w:t>
      </w:r>
      <w:r w:rsidRPr="00AE45FC">
        <w:rPr>
          <w:sz w:val="18"/>
          <w:szCs w:val="18"/>
        </w:rPr>
        <w:t xml:space="preserve">§88a, </w:t>
      </w:r>
      <w:hyperlink r:id="rId144" w:history="1">
        <w:r>
          <w:rPr>
            <w:rStyle w:val="Hypertextovprepojenie"/>
            <w:sz w:val="18"/>
            <w:szCs w:val="18"/>
          </w:rPr>
          <w:t xml:space="preserve">Novela zákona </w:t>
        </w:r>
        <w:r w:rsidRPr="009B0065">
          <w:rPr>
            <w:rStyle w:val="Hypertextovprepojenie"/>
            <w:sz w:val="18"/>
            <w:szCs w:val="18"/>
          </w:rPr>
          <w:t>č. 131/2002 Z. z</w:t>
        </w:r>
        <w:r>
          <w:rPr>
            <w:rStyle w:val="Hypertextovprepojenie"/>
            <w:sz w:val="18"/>
            <w:szCs w:val="18"/>
          </w:rPr>
          <w:t>. o vysokých školách</w:t>
        </w:r>
      </w:hyperlink>
      <w:r>
        <w:rPr>
          <w:sz w:val="18"/>
          <w:szCs w:val="18"/>
        </w:rPr>
        <w:t>.</w:t>
      </w:r>
    </w:p>
  </w:footnote>
  <w:footnote w:id="221">
    <w:p w14:paraId="32125F27" w14:textId="5980D29E" w:rsidR="006C0687" w:rsidRPr="00F1110D" w:rsidRDefault="006C0687" w:rsidP="00F1110D">
      <w:pPr>
        <w:pStyle w:val="Textpoznmkypodiarou"/>
        <w:rPr>
          <w:sz w:val="18"/>
          <w:szCs w:val="18"/>
        </w:rPr>
      </w:pPr>
      <w:r w:rsidRPr="00F1110D">
        <w:rPr>
          <w:rStyle w:val="Odkaznapoznmkupodiarou"/>
          <w:sz w:val="18"/>
          <w:szCs w:val="18"/>
        </w:rPr>
        <w:footnoteRef/>
      </w:r>
      <w:r>
        <w:rPr>
          <w:rFonts w:eastAsia="Times New Roman" w:cs="Calibri"/>
          <w:iCs/>
          <w:sz w:val="18"/>
          <w:szCs w:val="18"/>
          <w:lang w:eastAsia="sk-SK"/>
        </w:rPr>
        <w:t xml:space="preserve"> Údaje v roku 2020</w:t>
      </w:r>
      <w:r w:rsidRPr="00F1110D">
        <w:rPr>
          <w:rFonts w:eastAsia="Times New Roman" w:cs="Calibri"/>
          <w:iCs/>
          <w:sz w:val="18"/>
          <w:szCs w:val="18"/>
          <w:lang w:eastAsia="sk-SK"/>
        </w:rPr>
        <w:t xml:space="preserve"> (KEGA,VEGA, prevádzka a rozvoj) - Metodika rozpisu dotácií VŠ pre rok 2020. Údaje APVV </w:t>
      </w:r>
      <w:r>
        <w:rPr>
          <w:rFonts w:eastAsia="Times New Roman" w:cs="Calibri"/>
          <w:iCs/>
          <w:sz w:val="18"/>
          <w:szCs w:val="18"/>
          <w:lang w:eastAsia="sk-SK"/>
        </w:rPr>
        <w:t xml:space="preserve">v roku 2020 </w:t>
      </w:r>
      <w:r w:rsidRPr="00F1110D">
        <w:rPr>
          <w:rFonts w:eastAsia="Times New Roman" w:cs="Calibri"/>
          <w:iCs/>
          <w:sz w:val="18"/>
          <w:szCs w:val="18"/>
          <w:lang w:eastAsia="sk-SK"/>
        </w:rPr>
        <w:t>predstavujú schválený rozpočet.</w:t>
      </w:r>
    </w:p>
  </w:footnote>
  <w:footnote w:id="222">
    <w:p w14:paraId="6F560356" w14:textId="77777777" w:rsidR="006C0687" w:rsidRPr="009654AE" w:rsidRDefault="006C0687">
      <w:pPr>
        <w:pStyle w:val="Textpoznmkypodiarou"/>
        <w:rPr>
          <w:sz w:val="18"/>
          <w:szCs w:val="18"/>
        </w:rPr>
      </w:pPr>
      <w:r w:rsidRPr="009654AE">
        <w:rPr>
          <w:rStyle w:val="Odkaznapoznmkupodiarou"/>
          <w:sz w:val="18"/>
          <w:szCs w:val="18"/>
        </w:rPr>
        <w:footnoteRef/>
      </w:r>
      <w:r w:rsidRPr="009654AE">
        <w:rPr>
          <w:sz w:val="18"/>
          <w:szCs w:val="18"/>
        </w:rPr>
        <w:t xml:space="preserve"> </w:t>
      </w:r>
      <w:hyperlink r:id="rId145" w:history="1">
        <w:r w:rsidRPr="00A1676A">
          <w:rPr>
            <w:rStyle w:val="Hypertextovprepojenie"/>
            <w:sz w:val="18"/>
            <w:szCs w:val="18"/>
          </w:rPr>
          <w:t>Rozpis dotácií verejným VŠ na rok 2020</w:t>
        </w:r>
      </w:hyperlink>
    </w:p>
  </w:footnote>
  <w:footnote w:id="223">
    <w:p w14:paraId="70C072B6" w14:textId="77777777" w:rsidR="006C0687" w:rsidRPr="00E81903" w:rsidRDefault="006C0687" w:rsidP="00D27F91">
      <w:pPr>
        <w:pStyle w:val="Textpoznmkypodiarou"/>
        <w:rPr>
          <w:sz w:val="18"/>
          <w:szCs w:val="18"/>
        </w:rPr>
      </w:pPr>
      <w:r w:rsidRPr="00E81903">
        <w:rPr>
          <w:rStyle w:val="Odkaznapoznmkupodiarou"/>
          <w:sz w:val="18"/>
          <w:szCs w:val="18"/>
        </w:rPr>
        <w:footnoteRef/>
      </w:r>
      <w:r w:rsidRPr="00E81903">
        <w:rPr>
          <w:sz w:val="18"/>
          <w:szCs w:val="18"/>
        </w:rPr>
        <w:t xml:space="preserve"> Najneskôr 30 dní pred predložením veľkého projektu do IQR (Independent Quality Reviev – Nezávislé posúdenie kvality)</w:t>
      </w:r>
    </w:p>
  </w:footnote>
  <w:footnote w:id="224">
    <w:p w14:paraId="21FD9DAA" w14:textId="77777777" w:rsidR="006C0687" w:rsidRPr="00490375" w:rsidRDefault="006C0687">
      <w:pPr>
        <w:pStyle w:val="Textpoznmkypodiarou"/>
        <w:rPr>
          <w:sz w:val="18"/>
          <w:szCs w:val="18"/>
        </w:rPr>
      </w:pPr>
      <w:r w:rsidRPr="00490375">
        <w:rPr>
          <w:rStyle w:val="Odkaznapoznmkupodiarou"/>
          <w:sz w:val="18"/>
          <w:szCs w:val="18"/>
        </w:rPr>
        <w:footnoteRef/>
      </w:r>
      <w:r w:rsidRPr="00490375">
        <w:rPr>
          <w:sz w:val="18"/>
          <w:szCs w:val="18"/>
        </w:rPr>
        <w:t xml:space="preserve"> </w:t>
      </w:r>
      <w:hyperlink r:id="rId146" w:history="1">
        <w:r w:rsidRPr="00A1676A">
          <w:rPr>
            <w:rStyle w:val="Hypertextovprepojenie"/>
            <w:sz w:val="18"/>
            <w:szCs w:val="18"/>
          </w:rPr>
          <w:t>Investičný plán projektov MŠVVaŠ 2020-2022</w:t>
        </w:r>
      </w:hyperlink>
    </w:p>
  </w:footnote>
  <w:footnote w:id="225">
    <w:p w14:paraId="19964BD1" w14:textId="77777777" w:rsidR="006C0687" w:rsidRPr="00E81903" w:rsidRDefault="006C0687">
      <w:pPr>
        <w:pStyle w:val="Textpoznmkypodiarou"/>
        <w:rPr>
          <w:sz w:val="18"/>
          <w:szCs w:val="18"/>
        </w:rPr>
      </w:pPr>
      <w:r w:rsidRPr="00E81903">
        <w:rPr>
          <w:rStyle w:val="Odkaznapoznmkupodiarou"/>
          <w:sz w:val="18"/>
          <w:szCs w:val="18"/>
        </w:rPr>
        <w:footnoteRef/>
      </w:r>
      <w:r w:rsidRPr="00E81903">
        <w:rPr>
          <w:sz w:val="18"/>
          <w:szCs w:val="18"/>
        </w:rPr>
        <w:t xml:space="preserve"> IA na projekt Accord nebola k 12/2019 vytvorená, pretože nebola predložená žiadna ŽoP. </w:t>
      </w:r>
    </w:p>
  </w:footnote>
  <w:footnote w:id="226">
    <w:p w14:paraId="35E74839" w14:textId="0EBEA264" w:rsidR="006C0687" w:rsidRPr="007D68D3" w:rsidRDefault="006C0687">
      <w:pPr>
        <w:pStyle w:val="Textpoznmkypodiarou"/>
        <w:rPr>
          <w:sz w:val="18"/>
          <w:szCs w:val="18"/>
        </w:rPr>
      </w:pPr>
      <w:r w:rsidRPr="007D68D3">
        <w:rPr>
          <w:rStyle w:val="Odkaznapoznmkupodiarou"/>
          <w:sz w:val="18"/>
          <w:szCs w:val="18"/>
        </w:rPr>
        <w:footnoteRef/>
      </w:r>
      <w:r>
        <w:rPr>
          <w:sz w:val="18"/>
          <w:szCs w:val="18"/>
        </w:rPr>
        <w:t xml:space="preserve"> </w:t>
      </w:r>
      <w:r w:rsidRPr="00633B45">
        <w:rPr>
          <w:sz w:val="18"/>
          <w:szCs w:val="18"/>
        </w:rPr>
        <w:t xml:space="preserve">Elektronizácia služieb regionálneho a vysokého školstva SR, dostupné na </w:t>
      </w:r>
      <w:hyperlink r:id="rId147" w:history="1">
        <w:r w:rsidRPr="00991A93">
          <w:rPr>
            <w:rStyle w:val="Hypertextovprepojenie"/>
            <w:sz w:val="18"/>
            <w:szCs w:val="18"/>
          </w:rPr>
          <w:t>https://www.mfsr.sk/sk/financie/hodnota-za-peniaze/hodnotenie-investicnych-projektov/hodnotenie-investicnych-projektov.html</w:t>
        </w:r>
      </w:hyperlink>
      <w:r>
        <w:rPr>
          <w:sz w:val="18"/>
          <w:szCs w:val="18"/>
        </w:rPr>
        <w:t xml:space="preserve">. </w:t>
      </w:r>
    </w:p>
  </w:footnote>
  <w:footnote w:id="227">
    <w:p w14:paraId="04CA8E80" w14:textId="3A37D245" w:rsidR="006C0687" w:rsidRPr="003620D0" w:rsidRDefault="006C0687" w:rsidP="00D27F91">
      <w:pPr>
        <w:pStyle w:val="Textpoznmkypodiarou"/>
        <w:jc w:val="left"/>
        <w:rPr>
          <w:sz w:val="18"/>
          <w:szCs w:val="18"/>
        </w:rPr>
      </w:pPr>
      <w:r w:rsidRPr="003620D0">
        <w:rPr>
          <w:rStyle w:val="Odkaznapoznmkupodiarou"/>
          <w:sz w:val="18"/>
          <w:szCs w:val="18"/>
        </w:rPr>
        <w:footnoteRef/>
      </w:r>
      <w:r w:rsidRPr="003620D0">
        <w:rPr>
          <w:sz w:val="18"/>
          <w:szCs w:val="18"/>
        </w:rPr>
        <w:t xml:space="preserve">V súlade so schváleným Rámcom na hodnotenie verejných investičných projektov, Zdroj: </w:t>
      </w:r>
      <w:hyperlink r:id="rId148" w:history="1">
        <w:r w:rsidRPr="00991A93">
          <w:rPr>
            <w:rStyle w:val="Hypertextovprepojenie"/>
            <w:sz w:val="18"/>
            <w:szCs w:val="18"/>
          </w:rPr>
          <w:t>https://www.mfsr.sk/sk/financie/hodnota-za-peniaze/hodnotenie-investicnych-projektov/hodnotenie-investicnych-projektov.html</w:t>
        </w:r>
      </w:hyperlink>
      <w:r>
        <w:rPr>
          <w:sz w:val="18"/>
          <w:szCs w:val="18"/>
        </w:rPr>
        <w:t xml:space="preserve">. </w:t>
      </w:r>
      <w:r w:rsidRPr="00A7430D" w:rsidDel="00A7430D">
        <w:rPr>
          <w:sz w:val="18"/>
          <w:szCs w:val="18"/>
        </w:rPr>
        <w:t xml:space="preserve"> </w:t>
      </w:r>
    </w:p>
  </w:footnote>
  <w:footnote w:id="228">
    <w:p w14:paraId="69C9652B" w14:textId="77777777" w:rsidR="006C0687" w:rsidRPr="003620D0" w:rsidRDefault="006C0687">
      <w:pPr>
        <w:pStyle w:val="Textpoznmkypodiarou"/>
        <w:rPr>
          <w:sz w:val="18"/>
          <w:szCs w:val="18"/>
        </w:rPr>
      </w:pPr>
      <w:r w:rsidRPr="003620D0">
        <w:rPr>
          <w:rStyle w:val="Odkaznapoznmkupodiarou"/>
          <w:sz w:val="18"/>
          <w:szCs w:val="18"/>
        </w:rPr>
        <w:footnoteRef/>
      </w:r>
      <w:r w:rsidRPr="003620D0">
        <w:rPr>
          <w:sz w:val="18"/>
          <w:szCs w:val="18"/>
        </w:rPr>
        <w:t xml:space="preserve"> https://www.mfsr.sk/files/archiv/9/ACCORD_hodnotenie_190910.pdf</w:t>
      </w:r>
    </w:p>
  </w:footnote>
  <w:footnote w:id="229">
    <w:p w14:paraId="6E3B03F3" w14:textId="77777777" w:rsidR="006C0687" w:rsidRPr="003620D0" w:rsidRDefault="006C0687">
      <w:pPr>
        <w:pStyle w:val="Textpoznmkypodiarou"/>
        <w:rPr>
          <w:sz w:val="18"/>
          <w:szCs w:val="18"/>
        </w:rPr>
      </w:pPr>
      <w:r w:rsidRPr="003620D0">
        <w:rPr>
          <w:rStyle w:val="Odkaznapoznmkupodiarou"/>
          <w:sz w:val="18"/>
          <w:szCs w:val="18"/>
        </w:rPr>
        <w:footnoteRef/>
      </w:r>
      <w:r w:rsidRPr="003620D0">
        <w:rPr>
          <w:sz w:val="18"/>
          <w:szCs w:val="18"/>
        </w:rPr>
        <w:t xml:space="preserve"> </w:t>
      </w:r>
      <w:hyperlink r:id="rId149" w:history="1">
        <w:r w:rsidRPr="00A1676A">
          <w:rPr>
            <w:rStyle w:val="Hypertextovprepojenie"/>
            <w:sz w:val="18"/>
            <w:szCs w:val="18"/>
          </w:rPr>
          <w:t>Zmluva o poskytnutí nenávratného finančného príspevku č. OPVaI/VP/1/2019</w:t>
        </w:r>
      </w:hyperlink>
    </w:p>
  </w:footnote>
  <w:footnote w:id="230">
    <w:p w14:paraId="69137F9B" w14:textId="77777777" w:rsidR="006C0687" w:rsidRPr="003620D0" w:rsidRDefault="006C0687" w:rsidP="00D27F91">
      <w:pPr>
        <w:pStyle w:val="Textpoznmkypodiarou"/>
        <w:rPr>
          <w:sz w:val="18"/>
          <w:szCs w:val="18"/>
        </w:rPr>
      </w:pPr>
      <w:r w:rsidRPr="003620D0">
        <w:rPr>
          <w:rStyle w:val="Odkaznapoznmkupodiarou"/>
          <w:sz w:val="18"/>
          <w:szCs w:val="18"/>
        </w:rPr>
        <w:footnoteRef/>
      </w:r>
      <w:r w:rsidRPr="003620D0">
        <w:rPr>
          <w:sz w:val="18"/>
          <w:szCs w:val="18"/>
        </w:rPr>
        <w:t xml:space="preserve"> </w:t>
      </w:r>
      <w:hyperlink r:id="rId150" w:history="1">
        <w:r w:rsidRPr="00A1676A">
          <w:rPr>
            <w:rStyle w:val="Hypertextovprepojenie"/>
            <w:sz w:val="18"/>
            <w:szCs w:val="18"/>
          </w:rPr>
          <w:t>Zákon</w:t>
        </w:r>
        <w:r>
          <w:rPr>
            <w:rStyle w:val="Hypertextovprepojenie"/>
            <w:sz w:val="18"/>
            <w:szCs w:val="18"/>
          </w:rPr>
          <w:t xml:space="preserve"> č </w:t>
        </w:r>
        <w:r w:rsidRPr="009B0065">
          <w:rPr>
            <w:rStyle w:val="Hypertextovprepojenie"/>
            <w:sz w:val="18"/>
            <w:szCs w:val="18"/>
          </w:rPr>
          <w:t>95/2019 Z. z.</w:t>
        </w:r>
        <w:r w:rsidRPr="00A1676A">
          <w:rPr>
            <w:rStyle w:val="Hypertextovprepojenie"/>
            <w:sz w:val="18"/>
            <w:szCs w:val="18"/>
          </w:rPr>
          <w:t xml:space="preserve"> o informačných technológiách vo verejnej správe</w:t>
        </w:r>
      </w:hyperlink>
    </w:p>
  </w:footnote>
  <w:footnote w:id="231">
    <w:p w14:paraId="2C1340BD" w14:textId="77777777" w:rsidR="006C0687" w:rsidRPr="003620D0" w:rsidRDefault="006C0687" w:rsidP="00D27F91">
      <w:pPr>
        <w:pStyle w:val="Textpoznmkypodiarou"/>
        <w:rPr>
          <w:sz w:val="18"/>
          <w:szCs w:val="18"/>
        </w:rPr>
      </w:pPr>
      <w:r w:rsidRPr="003620D0">
        <w:rPr>
          <w:rStyle w:val="Odkaznapoznmkupodiarou"/>
          <w:sz w:val="18"/>
          <w:szCs w:val="18"/>
        </w:rPr>
        <w:footnoteRef/>
      </w:r>
      <w:r>
        <w:rPr>
          <w:sz w:val="18"/>
          <w:szCs w:val="18"/>
        </w:rPr>
        <w:t xml:space="preserve"> </w:t>
      </w:r>
      <w:hyperlink r:id="rId151" w:history="1">
        <w:r>
          <w:rPr>
            <w:rStyle w:val="Hypertextovprepojenie"/>
            <w:sz w:val="18"/>
            <w:szCs w:val="18"/>
          </w:rPr>
          <w:t>Metodický pokyn ÚPVII</w:t>
        </w:r>
      </w:hyperlink>
      <w:r w:rsidRPr="003620D0">
        <w:rPr>
          <w:sz w:val="18"/>
          <w:szCs w:val="18"/>
        </w:rPr>
        <w:t>. Ide o IS VS, ktorých ročné prevádzkové náklady presahujú 100 000 EUR, resp. IS financované z OP IS/OP II</w:t>
      </w:r>
    </w:p>
  </w:footnote>
  <w:footnote w:id="232">
    <w:p w14:paraId="79A76DEB" w14:textId="77777777" w:rsidR="006C0687" w:rsidRPr="00E54B9B" w:rsidRDefault="006C0687" w:rsidP="00D27F91">
      <w:pPr>
        <w:pStyle w:val="Textpoznmkypodiarou"/>
        <w:rPr>
          <w:sz w:val="18"/>
          <w:szCs w:val="18"/>
        </w:rPr>
      </w:pPr>
      <w:r w:rsidRPr="00E54B9B">
        <w:rPr>
          <w:rStyle w:val="Odkaznapoznmkupodiarou"/>
          <w:sz w:val="18"/>
          <w:szCs w:val="18"/>
        </w:rPr>
        <w:footnoteRef/>
      </w:r>
      <w:r w:rsidRPr="00E54B9B">
        <w:rPr>
          <w:sz w:val="18"/>
          <w:szCs w:val="18"/>
        </w:rPr>
        <w:t xml:space="preserve"> EVSRŠ - Elektronizácia vzdelávacieho systému regionálneho školstva, RIS - Rezortný informačný systém, SOFIA – Centrálny finančný informačný systém pre VŠ, CUDEO – Centrálne úložisko digitálneho edukačného obsahu a e-Test. Nákladovosť DUD – Digitálne učivo na dosah bola k 12/2019 monitorovaná len v MetaIS. </w:t>
      </w:r>
    </w:p>
  </w:footnote>
  <w:footnote w:id="233">
    <w:p w14:paraId="2730D9B7" w14:textId="77777777" w:rsidR="006C0687" w:rsidRPr="003620D0" w:rsidRDefault="006C0687">
      <w:pPr>
        <w:pStyle w:val="Textpoznmkypodiarou"/>
        <w:rPr>
          <w:sz w:val="18"/>
          <w:szCs w:val="18"/>
        </w:rPr>
      </w:pPr>
      <w:r w:rsidRPr="003620D0">
        <w:rPr>
          <w:rStyle w:val="Odkaznapoznmkupodiarou"/>
          <w:sz w:val="18"/>
          <w:szCs w:val="18"/>
        </w:rPr>
        <w:footnoteRef/>
      </w:r>
      <w:r w:rsidRPr="003620D0">
        <w:rPr>
          <w:sz w:val="18"/>
          <w:szCs w:val="18"/>
        </w:rPr>
        <w:t xml:space="preserve"> Úloha B.6,</w:t>
      </w:r>
      <w:r>
        <w:rPr>
          <w:sz w:val="18"/>
          <w:szCs w:val="18"/>
        </w:rPr>
        <w:t xml:space="preserve"> </w:t>
      </w:r>
      <w:hyperlink r:id="rId152" w:history="1">
        <w:r w:rsidRPr="00053A04">
          <w:rPr>
            <w:rStyle w:val="Hypertextovprepojenie"/>
            <w:sz w:val="18"/>
            <w:szCs w:val="18"/>
          </w:rPr>
          <w:t>Uznesenie vlády</w:t>
        </w:r>
      </w:hyperlink>
    </w:p>
  </w:footnote>
  <w:footnote w:id="234">
    <w:p w14:paraId="181D1960" w14:textId="09741ECE" w:rsidR="006C0687" w:rsidRPr="00592B67" w:rsidRDefault="006C0687">
      <w:pPr>
        <w:pStyle w:val="Textpoznmkypodiarou"/>
        <w:rPr>
          <w:sz w:val="18"/>
          <w:szCs w:val="18"/>
        </w:rPr>
      </w:pPr>
      <w:r w:rsidRPr="00592B67">
        <w:rPr>
          <w:rStyle w:val="Odkaznapoznmkupodiarou"/>
          <w:sz w:val="18"/>
          <w:szCs w:val="18"/>
        </w:rPr>
        <w:footnoteRef/>
      </w:r>
      <w:r w:rsidRPr="00592B67">
        <w:rPr>
          <w:sz w:val="18"/>
          <w:szCs w:val="18"/>
        </w:rPr>
        <w:t xml:space="preserve"> Viac informácií v</w:t>
      </w:r>
      <w:r>
        <w:rPr>
          <w:sz w:val="18"/>
          <w:szCs w:val="18"/>
        </w:rPr>
        <w:t> Súhrnnej implementačnej správe 2018.</w:t>
      </w:r>
    </w:p>
  </w:footnote>
  <w:footnote w:id="235">
    <w:p w14:paraId="2F632DD3" w14:textId="77777777" w:rsidR="006C0687" w:rsidRPr="007A60A1" w:rsidRDefault="006C0687">
      <w:pPr>
        <w:pStyle w:val="Textpoznmkypodiarou"/>
        <w:rPr>
          <w:sz w:val="18"/>
          <w:szCs w:val="18"/>
        </w:rPr>
      </w:pPr>
      <w:r w:rsidRPr="007A60A1">
        <w:rPr>
          <w:rStyle w:val="Odkaznapoznmkupodiarou"/>
          <w:sz w:val="18"/>
          <w:szCs w:val="18"/>
        </w:rPr>
        <w:footnoteRef/>
      </w:r>
      <w:r w:rsidRPr="007A60A1">
        <w:rPr>
          <w:sz w:val="18"/>
          <w:szCs w:val="18"/>
        </w:rPr>
        <w:t xml:space="preserve"> </w:t>
      </w:r>
      <w:hyperlink r:id="rId153" w:history="1">
        <w:r w:rsidRPr="00057E98">
          <w:rPr>
            <w:rStyle w:val="Hypertextovprepojenie"/>
            <w:sz w:val="18"/>
            <w:szCs w:val="18"/>
          </w:rPr>
          <w:t>Kontrakty uzatvorené na rok 2019</w:t>
        </w:r>
      </w:hyperlink>
      <w:r>
        <w:rPr>
          <w:rStyle w:val="Hypertextovprepojenie"/>
          <w:sz w:val="18"/>
          <w:szCs w:val="18"/>
        </w:rPr>
        <w:t>.</w:t>
      </w:r>
    </w:p>
  </w:footnote>
  <w:footnote w:id="236">
    <w:p w14:paraId="0AE1C91A" w14:textId="77777777" w:rsidR="006C0687" w:rsidRPr="00B71298" w:rsidRDefault="006C0687" w:rsidP="00D27F91">
      <w:pPr>
        <w:pStyle w:val="Textpoznmkypodiarou"/>
        <w:rPr>
          <w:sz w:val="18"/>
          <w:szCs w:val="18"/>
        </w:rPr>
      </w:pPr>
      <w:r w:rsidRPr="00B71298">
        <w:rPr>
          <w:rStyle w:val="Odkaznapoznmkupodiarou"/>
          <w:sz w:val="18"/>
          <w:szCs w:val="18"/>
        </w:rPr>
        <w:footnoteRef/>
      </w:r>
      <w:r w:rsidRPr="00B71298">
        <w:rPr>
          <w:sz w:val="18"/>
          <w:szCs w:val="18"/>
        </w:rPr>
        <w:t xml:space="preserve"> </w:t>
      </w:r>
      <w:hyperlink r:id="rId154" w:history="1">
        <w:r>
          <w:rPr>
            <w:rStyle w:val="Hypertextovprepojenie"/>
            <w:sz w:val="18"/>
            <w:szCs w:val="18"/>
          </w:rPr>
          <w:t>Ukončenie pôsobenia NÚCŽV</w:t>
        </w:r>
      </w:hyperlink>
      <w:r>
        <w:rPr>
          <w:sz w:val="18"/>
          <w:szCs w:val="18"/>
        </w:rPr>
        <w:t>.</w:t>
      </w:r>
    </w:p>
  </w:footnote>
  <w:footnote w:id="237">
    <w:p w14:paraId="12ECAEEF" w14:textId="77777777" w:rsidR="006C0687" w:rsidRPr="00E1467A" w:rsidRDefault="006C0687">
      <w:pPr>
        <w:pStyle w:val="Textpoznmkypodiarou"/>
        <w:rPr>
          <w:sz w:val="18"/>
          <w:szCs w:val="18"/>
        </w:rPr>
      </w:pPr>
      <w:r w:rsidRPr="00B71298">
        <w:rPr>
          <w:rStyle w:val="Odkaznapoznmkupodiarou"/>
          <w:sz w:val="18"/>
          <w:szCs w:val="18"/>
        </w:rPr>
        <w:footnoteRef/>
      </w:r>
      <w:r w:rsidRPr="00B71298">
        <w:rPr>
          <w:sz w:val="18"/>
          <w:szCs w:val="18"/>
        </w:rPr>
        <w:t xml:space="preserve"> </w:t>
      </w:r>
      <w:hyperlink r:id="rId155" w:history="1">
        <w:r w:rsidRPr="00A1676A">
          <w:rPr>
            <w:rStyle w:val="Hypertextovprepojenie"/>
            <w:sz w:val="18"/>
            <w:szCs w:val="18"/>
          </w:rPr>
          <w:t>Mimoriadna účtovná závierka k 30.6.2019</w:t>
        </w:r>
      </w:hyperlink>
      <w:r>
        <w:rPr>
          <w:sz w:val="18"/>
          <w:szCs w:val="18"/>
        </w:rPr>
        <w:t>.</w:t>
      </w:r>
    </w:p>
  </w:footnote>
  <w:footnote w:id="238">
    <w:p w14:paraId="1CFFBB0D" w14:textId="5D92EE3A" w:rsidR="006C0687" w:rsidRPr="006658B4" w:rsidRDefault="006C0687" w:rsidP="00D27F91">
      <w:pPr>
        <w:pStyle w:val="Textpoznmkypodiarou"/>
        <w:rPr>
          <w:sz w:val="18"/>
          <w:szCs w:val="18"/>
        </w:rPr>
      </w:pPr>
      <w:r w:rsidRPr="006658B4">
        <w:rPr>
          <w:rStyle w:val="Odkaznapoznmkupodiarou"/>
          <w:sz w:val="18"/>
          <w:szCs w:val="18"/>
        </w:rPr>
        <w:footnoteRef/>
      </w:r>
      <w:r w:rsidRPr="006658B4">
        <w:rPr>
          <w:sz w:val="18"/>
          <w:szCs w:val="18"/>
        </w:rPr>
        <w:t xml:space="preserve"> Pôvodný odhad skutočnosti k 31.12.2019 bol 692 772 eur. Rozpočet NÚCŽV bol znížený o 200 635 eur delimitáciou finančných prostriedkov na ŠIOV v sume 177 681 eur a presunom finančných prostriedkov v sume 11 477 eur na SHÚR a 11 477 eur na úrad ministerstva. Zdroj: </w:t>
      </w:r>
      <w:hyperlink r:id="rId156" w:history="1">
        <w:r w:rsidRPr="00AB2EA3">
          <w:rPr>
            <w:rStyle w:val="Hypertextovprepojenie"/>
            <w:sz w:val="18"/>
            <w:szCs w:val="18"/>
          </w:rPr>
          <w:t>MŠVVaŠ SR, rozpočtové opatrenie č. 125/2019</w:t>
        </w:r>
      </w:hyperlink>
    </w:p>
  </w:footnote>
  <w:footnote w:id="239">
    <w:p w14:paraId="19B7AC5B" w14:textId="0646B5F8" w:rsidR="006C0687" w:rsidRPr="00671D64" w:rsidRDefault="006C0687" w:rsidP="00D27F91">
      <w:pPr>
        <w:pStyle w:val="Textpoznmkypodiarou"/>
        <w:rPr>
          <w:sz w:val="18"/>
          <w:szCs w:val="18"/>
        </w:rPr>
      </w:pPr>
      <w:r w:rsidRPr="00671D64">
        <w:rPr>
          <w:rStyle w:val="Odkaznapoznmkupodiarou"/>
          <w:sz w:val="18"/>
          <w:szCs w:val="18"/>
        </w:rPr>
        <w:footnoteRef/>
      </w:r>
      <w:r w:rsidRPr="00671D64">
        <w:rPr>
          <w:sz w:val="18"/>
          <w:szCs w:val="18"/>
        </w:rPr>
        <w:t xml:space="preserve"> V 01/2020 vznikla obch</w:t>
      </w:r>
      <w:r w:rsidR="002E6FBA">
        <w:rPr>
          <w:sz w:val="18"/>
          <w:szCs w:val="18"/>
        </w:rPr>
        <w:t>odná spoločnosť Národný štadión</w:t>
      </w:r>
      <w:r w:rsidRPr="00671D64">
        <w:rPr>
          <w:sz w:val="18"/>
          <w:szCs w:val="18"/>
        </w:rPr>
        <w:t xml:space="preserve"> a.</w:t>
      </w:r>
      <w:r w:rsidR="002E6FBA">
        <w:rPr>
          <w:sz w:val="18"/>
          <w:szCs w:val="18"/>
        </w:rPr>
        <w:t xml:space="preserve"> </w:t>
      </w:r>
      <w:r w:rsidRPr="00671D64">
        <w:rPr>
          <w:sz w:val="18"/>
          <w:szCs w:val="18"/>
        </w:rPr>
        <w:t xml:space="preserve">s., </w:t>
      </w:r>
      <w:r>
        <w:rPr>
          <w:sz w:val="18"/>
          <w:szCs w:val="18"/>
        </w:rPr>
        <w:t>Z</w:t>
      </w:r>
      <w:r w:rsidRPr="00671D64">
        <w:rPr>
          <w:sz w:val="18"/>
          <w:szCs w:val="18"/>
        </w:rPr>
        <w:t xml:space="preserve">droj: </w:t>
      </w:r>
      <w:hyperlink r:id="rId157" w:history="1">
        <w:r w:rsidRPr="00E41DF4">
          <w:rPr>
            <w:rStyle w:val="Hypertextovprepojenie"/>
            <w:sz w:val="18"/>
            <w:szCs w:val="18"/>
          </w:rPr>
          <w:t>Výpis z ORSR</w:t>
        </w:r>
      </w:hyperlink>
      <w:r>
        <w:rPr>
          <w:sz w:val="18"/>
          <w:szCs w:val="18"/>
        </w:rPr>
        <w:t xml:space="preserve">. </w:t>
      </w:r>
    </w:p>
    <w:p w14:paraId="365BCF3D" w14:textId="564DC5F1" w:rsidR="006C0687" w:rsidRPr="00671D64" w:rsidRDefault="006C0687" w:rsidP="00D27F91">
      <w:pPr>
        <w:pStyle w:val="Textpoznmkypodiarou"/>
        <w:rPr>
          <w:sz w:val="18"/>
          <w:szCs w:val="18"/>
        </w:rPr>
      </w:pPr>
      <w:r w:rsidRPr="00671D64">
        <w:rPr>
          <w:sz w:val="18"/>
          <w:szCs w:val="18"/>
        </w:rPr>
        <w:t xml:space="preserve">Základné imanie spoločnosti vo výške 1 mil. eur bolo vytvorené peňažným vkladom jediného zakladateľa - MŠVVaŠ SR. </w:t>
      </w:r>
    </w:p>
  </w:footnote>
  <w:footnote w:id="240">
    <w:p w14:paraId="1B78CC41" w14:textId="77777777" w:rsidR="006C0687" w:rsidRPr="00957E2E" w:rsidRDefault="006C0687" w:rsidP="00D27F91">
      <w:pPr>
        <w:pStyle w:val="Textpoznmkypodiarou"/>
        <w:rPr>
          <w:sz w:val="18"/>
          <w:szCs w:val="18"/>
        </w:rPr>
      </w:pPr>
      <w:r w:rsidRPr="00957E2E">
        <w:rPr>
          <w:rStyle w:val="Odkaznapoznmkupodiarou"/>
          <w:sz w:val="18"/>
          <w:szCs w:val="18"/>
        </w:rPr>
        <w:footnoteRef/>
      </w:r>
      <w:r w:rsidRPr="00957E2E">
        <w:rPr>
          <w:sz w:val="18"/>
          <w:szCs w:val="18"/>
        </w:rPr>
        <w:t xml:space="preserve"> </w:t>
      </w:r>
      <w:hyperlink r:id="rId158" w:history="1">
        <w:r w:rsidRPr="00A1676A">
          <w:rPr>
            <w:rStyle w:val="Hypertextovprepojenie"/>
            <w:sz w:val="18"/>
            <w:szCs w:val="18"/>
          </w:rPr>
          <w:t>Rámcová dohoda o poskytovaní údajov z in</w:t>
        </w:r>
        <w:r>
          <w:rPr>
            <w:rStyle w:val="Hypertextovprepojenie"/>
            <w:sz w:val="18"/>
            <w:szCs w:val="18"/>
          </w:rPr>
          <w:t>for</w:t>
        </w:r>
        <w:r w:rsidRPr="00A1676A">
          <w:rPr>
            <w:rStyle w:val="Hypertextovprepojenie"/>
            <w:sz w:val="18"/>
            <w:szCs w:val="18"/>
          </w:rPr>
          <w:t>mačných systémov</w:t>
        </w:r>
      </w:hyperlink>
    </w:p>
  </w:footnote>
  <w:footnote w:id="241">
    <w:p w14:paraId="0440976F" w14:textId="77777777" w:rsidR="006C0687" w:rsidRPr="00957E2E" w:rsidRDefault="006C0687" w:rsidP="00D27F91">
      <w:pPr>
        <w:pStyle w:val="Textpoznmkypodiarou"/>
        <w:rPr>
          <w:sz w:val="18"/>
          <w:szCs w:val="18"/>
        </w:rPr>
      </w:pPr>
      <w:r w:rsidRPr="00957E2E">
        <w:rPr>
          <w:rStyle w:val="Odkaznapoznmkupodiarou"/>
          <w:sz w:val="18"/>
          <w:szCs w:val="18"/>
        </w:rPr>
        <w:footnoteRef/>
      </w:r>
      <w:r w:rsidRPr="00957E2E">
        <w:rPr>
          <w:sz w:val="18"/>
          <w:szCs w:val="18"/>
        </w:rPr>
        <w:t xml:space="preserve"> </w:t>
      </w:r>
      <w:r>
        <w:rPr>
          <w:sz w:val="18"/>
          <w:szCs w:val="18"/>
        </w:rPr>
        <w:t>Prepojenie údajov</w:t>
      </w:r>
      <w:r w:rsidRPr="00957E2E">
        <w:rPr>
          <w:sz w:val="18"/>
          <w:szCs w:val="18"/>
        </w:rPr>
        <w:t xml:space="preserve"> medzi RIS (Rezortný informačný systém, MŠVVaŠ SR) a ISSZ (Informačný systém služieb zamestnanosti, ÚPSVaR). </w:t>
      </w:r>
    </w:p>
  </w:footnote>
  <w:footnote w:id="242">
    <w:p w14:paraId="3CFE2B2E" w14:textId="77777777" w:rsidR="006C0687" w:rsidRPr="00957E2E" w:rsidRDefault="006C0687">
      <w:pPr>
        <w:pStyle w:val="Textpoznmkypodiarou"/>
        <w:rPr>
          <w:sz w:val="18"/>
          <w:szCs w:val="18"/>
        </w:rPr>
      </w:pPr>
      <w:r w:rsidRPr="00957E2E">
        <w:rPr>
          <w:rStyle w:val="Odkaznapoznmkupodiarou"/>
          <w:sz w:val="18"/>
          <w:szCs w:val="18"/>
        </w:rPr>
        <w:footnoteRef/>
      </w:r>
      <w:r w:rsidRPr="00957E2E">
        <w:rPr>
          <w:sz w:val="18"/>
          <w:szCs w:val="18"/>
        </w:rPr>
        <w:t xml:space="preserve"> </w:t>
      </w:r>
      <w:r>
        <w:rPr>
          <w:sz w:val="18"/>
          <w:szCs w:val="18"/>
        </w:rPr>
        <w:t>Prepojenie</w:t>
      </w:r>
      <w:r w:rsidRPr="00957E2E">
        <w:rPr>
          <w:sz w:val="18"/>
          <w:szCs w:val="18"/>
        </w:rPr>
        <w:t xml:space="preserve"> údajov medzi CRŠ (Centrálny register študentov, MŠVVaŠ SR) a ISSZ (Informačný systém služieb zamestnanosti, ÚPSVaR). </w:t>
      </w:r>
    </w:p>
  </w:footnote>
  <w:footnote w:id="243">
    <w:p w14:paraId="7DCB63D7" w14:textId="77777777" w:rsidR="006C0687" w:rsidRPr="00957E2E" w:rsidRDefault="006C0687">
      <w:pPr>
        <w:pStyle w:val="Textpoznmkypodiarou"/>
        <w:rPr>
          <w:sz w:val="18"/>
          <w:szCs w:val="18"/>
        </w:rPr>
      </w:pPr>
      <w:r w:rsidRPr="00957E2E">
        <w:rPr>
          <w:rStyle w:val="Odkaznapoznmkupodiarou"/>
          <w:sz w:val="18"/>
          <w:szCs w:val="18"/>
        </w:rPr>
        <w:footnoteRef/>
      </w:r>
      <w:r w:rsidRPr="00957E2E">
        <w:rPr>
          <w:sz w:val="18"/>
          <w:szCs w:val="18"/>
        </w:rPr>
        <w:t xml:space="preserve"> Výsledky agregovaných dát za šk. rok 2017/18 sú zverejnené na </w:t>
      </w:r>
      <w:hyperlink r:id="rId159" w:history="1">
        <w:r w:rsidRPr="00A1676A">
          <w:rPr>
            <w:rStyle w:val="Hypertextovprepojenie"/>
            <w:sz w:val="18"/>
            <w:szCs w:val="18"/>
          </w:rPr>
          <w:t>Uplatnenie absolventov</w:t>
        </w:r>
      </w:hyperlink>
      <w:r w:rsidRPr="00957E2E">
        <w:rPr>
          <w:sz w:val="18"/>
          <w:szCs w:val="18"/>
        </w:rPr>
        <w:t>.</w:t>
      </w:r>
    </w:p>
  </w:footnote>
  <w:footnote w:id="244">
    <w:p w14:paraId="7EC23107" w14:textId="77777777" w:rsidR="006C0687" w:rsidRPr="00957E2E" w:rsidRDefault="006C0687">
      <w:pPr>
        <w:pStyle w:val="Textpoznmkypodiarou"/>
        <w:rPr>
          <w:sz w:val="18"/>
          <w:szCs w:val="18"/>
        </w:rPr>
      </w:pPr>
      <w:r w:rsidRPr="00957E2E">
        <w:rPr>
          <w:rStyle w:val="Odkaznapoznmkupodiarou"/>
          <w:sz w:val="18"/>
          <w:szCs w:val="18"/>
        </w:rPr>
        <w:footnoteRef/>
      </w:r>
      <w:r w:rsidRPr="00957E2E">
        <w:rPr>
          <w:sz w:val="18"/>
          <w:szCs w:val="18"/>
        </w:rPr>
        <w:t xml:space="preserve"> Záložka pod názvom T2-KAP, Zdroj: </w:t>
      </w:r>
      <w:hyperlink r:id="rId160" w:history="1">
        <w:r>
          <w:rPr>
            <w:rStyle w:val="Hypertextovprepojenie"/>
            <w:sz w:val="18"/>
            <w:szCs w:val="18"/>
          </w:rPr>
          <w:t>Rozpis dotácie RD 2020</w:t>
        </w:r>
      </w:hyperlink>
    </w:p>
  </w:footnote>
  <w:footnote w:id="245">
    <w:p w14:paraId="7ADFD88B" w14:textId="77777777" w:rsidR="006C0687" w:rsidRPr="00957E2E" w:rsidRDefault="006C0687">
      <w:pPr>
        <w:pStyle w:val="Textpoznmkypodiarou"/>
        <w:rPr>
          <w:sz w:val="18"/>
          <w:szCs w:val="18"/>
        </w:rPr>
      </w:pPr>
      <w:r w:rsidRPr="00957E2E">
        <w:rPr>
          <w:rStyle w:val="Odkaznapoznmkupodiarou"/>
          <w:sz w:val="18"/>
          <w:szCs w:val="18"/>
        </w:rPr>
        <w:footnoteRef/>
      </w:r>
      <w:r>
        <w:rPr>
          <w:sz w:val="18"/>
          <w:szCs w:val="18"/>
        </w:rPr>
        <w:t xml:space="preserve"> </w:t>
      </w:r>
      <w:hyperlink r:id="rId161" w:history="1">
        <w:r w:rsidRPr="00A1676A">
          <w:rPr>
            <w:rStyle w:val="Hypertextovprepojenie"/>
            <w:sz w:val="18"/>
            <w:szCs w:val="18"/>
          </w:rPr>
          <w:t>Uplatnenie absolventov VŠ na trhu práce</w:t>
        </w:r>
      </w:hyperlink>
    </w:p>
  </w:footnote>
  <w:footnote w:id="246">
    <w:p w14:paraId="78834833" w14:textId="207A6A3D" w:rsidR="006C0687" w:rsidRPr="00957E2E" w:rsidRDefault="006C0687" w:rsidP="00D27F91">
      <w:pPr>
        <w:pStyle w:val="Textpoznmkypodiarou"/>
        <w:rPr>
          <w:sz w:val="18"/>
          <w:szCs w:val="18"/>
        </w:rPr>
      </w:pPr>
      <w:r w:rsidRPr="00957E2E">
        <w:rPr>
          <w:rStyle w:val="Odkaznapoznmkupodiarou"/>
          <w:sz w:val="18"/>
          <w:szCs w:val="18"/>
        </w:rPr>
        <w:footnoteRef/>
      </w:r>
      <w:r w:rsidRPr="00957E2E">
        <w:rPr>
          <w:sz w:val="18"/>
          <w:szCs w:val="18"/>
        </w:rPr>
        <w:t xml:space="preserve"> Viac informácií v</w:t>
      </w:r>
      <w:r>
        <w:rPr>
          <w:sz w:val="18"/>
          <w:szCs w:val="18"/>
        </w:rPr>
        <w:t> Súhrnnej implementačnej správe 2018.</w:t>
      </w:r>
      <w:r w:rsidRPr="00957E2E">
        <w:rPr>
          <w:sz w:val="18"/>
          <w:szCs w:val="18"/>
        </w:rPr>
        <w:t> </w:t>
      </w:r>
    </w:p>
  </w:footnote>
  <w:footnote w:id="247">
    <w:p w14:paraId="5F75C888" w14:textId="77777777" w:rsidR="006C0687" w:rsidRDefault="006C0687">
      <w:pPr>
        <w:pStyle w:val="Textpoznmkypodiarou"/>
      </w:pPr>
      <w:r>
        <w:rPr>
          <w:rStyle w:val="Odkaznapoznmkupodiarou"/>
        </w:rPr>
        <w:footnoteRef/>
      </w:r>
      <w:r>
        <w:t xml:space="preserve"> </w:t>
      </w:r>
      <w:hyperlink r:id="rId162" w:history="1">
        <w:r w:rsidRPr="00057E98">
          <w:rPr>
            <w:rStyle w:val="Hypertextovprepojenie"/>
            <w:sz w:val="18"/>
            <w:szCs w:val="18"/>
          </w:rPr>
          <w:t>Zmluva o dielo a licenčná zmluva</w:t>
        </w:r>
      </w:hyperlink>
      <w:r w:rsidRPr="00A0361B">
        <w:rPr>
          <w:sz w:val="18"/>
          <w:szCs w:val="18"/>
        </w:rPr>
        <w:t xml:space="preserve"> medzi MPSVaR a spoločnosťou TREXIMA Bratislava, spol. s r. o., v ktorej dodatku </w:t>
      </w:r>
      <w:r>
        <w:rPr>
          <w:sz w:val="18"/>
          <w:szCs w:val="18"/>
        </w:rPr>
        <w:t xml:space="preserve">č. 4 </w:t>
      </w:r>
      <w:r w:rsidRPr="00A0361B">
        <w:rPr>
          <w:sz w:val="18"/>
          <w:szCs w:val="18"/>
        </w:rPr>
        <w:t xml:space="preserve">bol upravený projekt „Stopa absolventa“ mala platnosť do 30.12.2019. </w:t>
      </w:r>
    </w:p>
  </w:footnote>
  <w:footnote w:id="248">
    <w:p w14:paraId="449AFAEC" w14:textId="77777777" w:rsidR="006C0687" w:rsidRPr="00957E2E" w:rsidRDefault="006C0687" w:rsidP="00D27F91">
      <w:pPr>
        <w:pStyle w:val="Textpoznmkypodiarou"/>
        <w:rPr>
          <w:sz w:val="18"/>
          <w:szCs w:val="18"/>
        </w:rPr>
      </w:pPr>
      <w:r w:rsidRPr="00957E2E">
        <w:rPr>
          <w:rStyle w:val="Odkaznapoznmkupodiarou"/>
          <w:sz w:val="18"/>
          <w:szCs w:val="18"/>
        </w:rPr>
        <w:footnoteRef/>
      </w:r>
      <w:r w:rsidRPr="00957E2E">
        <w:rPr>
          <w:sz w:val="18"/>
          <w:szCs w:val="18"/>
        </w:rPr>
        <w:t xml:space="preserve"> </w:t>
      </w:r>
      <w:hyperlink r:id="rId163" w:history="1">
        <w:r w:rsidRPr="00957E2E">
          <w:rPr>
            <w:rStyle w:val="Hypertextovprepojenie"/>
            <w:sz w:val="18"/>
            <w:szCs w:val="18"/>
          </w:rPr>
          <w:t>https://www.employment.gov.sk/sk/informacie-media/aktuality/kde-koncia-absolventi-skol.html</w:t>
        </w:r>
      </w:hyperlink>
      <w:r w:rsidRPr="00957E2E">
        <w:rPr>
          <w:sz w:val="18"/>
          <w:szCs w:val="18"/>
        </w:rPr>
        <w:t xml:space="preserve"> </w:t>
      </w:r>
    </w:p>
  </w:footnote>
  <w:footnote w:id="249">
    <w:p w14:paraId="089910B2" w14:textId="77777777" w:rsidR="006C0687" w:rsidRPr="00084B7E" w:rsidRDefault="006C0687" w:rsidP="00D27F91">
      <w:pPr>
        <w:pStyle w:val="Textpoznmkypodiarou"/>
        <w:rPr>
          <w:sz w:val="18"/>
          <w:szCs w:val="18"/>
        </w:rPr>
      </w:pPr>
      <w:r w:rsidRPr="00084B7E">
        <w:rPr>
          <w:rStyle w:val="Odkaznapoznmkupodiarou"/>
          <w:sz w:val="18"/>
          <w:szCs w:val="18"/>
        </w:rPr>
        <w:footnoteRef/>
      </w:r>
      <w:r w:rsidRPr="00084B7E">
        <w:rPr>
          <w:sz w:val="18"/>
          <w:szCs w:val="18"/>
        </w:rPr>
        <w:t xml:space="preserve"> Údaje sa zobrazia iba v prípade, ak vo vybranej kombinácii filtrov ukončili štúdium v príslušnom roku viac ako piati absolventi. Informácie týkajúce sa zamestnaných absolventov sa zobrazia v prípade, ak je splnená podmienka, že vo vybranej kombinácii filtrov boli viac ako traja zamestnaní absolventi na trvalý pracovný pomer rok od ukončenia štúdia. Zdroj:</w:t>
      </w:r>
      <w:r>
        <w:rPr>
          <w:sz w:val="18"/>
          <w:szCs w:val="18"/>
        </w:rPr>
        <w:t xml:space="preserve"> </w:t>
      </w:r>
      <w:hyperlink r:id="rId164" w:history="1">
        <w:r w:rsidRPr="00084B7E">
          <w:rPr>
            <w:rStyle w:val="Hypertextovprepojenie"/>
            <w:sz w:val="18"/>
            <w:szCs w:val="18"/>
          </w:rPr>
          <w:t>https://uplatnenie.sk/o-projekte/</w:t>
        </w:r>
      </w:hyperlink>
      <w:r w:rsidRPr="00084B7E">
        <w:rPr>
          <w:sz w:val="18"/>
          <w:szCs w:val="18"/>
        </w:rPr>
        <w:t xml:space="preserve"> </w:t>
      </w:r>
    </w:p>
  </w:footnote>
  <w:footnote w:id="250">
    <w:p w14:paraId="732231C9" w14:textId="77777777" w:rsidR="006C0687" w:rsidRPr="00084B7E" w:rsidRDefault="006C0687" w:rsidP="00D27F91">
      <w:pPr>
        <w:pStyle w:val="Textpoznmkypodiarou"/>
        <w:rPr>
          <w:sz w:val="18"/>
          <w:szCs w:val="18"/>
        </w:rPr>
      </w:pPr>
      <w:r w:rsidRPr="00084B7E">
        <w:rPr>
          <w:rStyle w:val="Odkaznapoznmkupodiarou"/>
          <w:sz w:val="18"/>
          <w:szCs w:val="18"/>
        </w:rPr>
        <w:footnoteRef/>
      </w:r>
      <w:r w:rsidRPr="00084B7E">
        <w:rPr>
          <w:sz w:val="18"/>
          <w:szCs w:val="18"/>
        </w:rPr>
        <w:t xml:space="preserve"> </w:t>
      </w:r>
      <w:hyperlink r:id="rId165" w:history="1">
        <w:r w:rsidRPr="00084B7E">
          <w:rPr>
            <w:rStyle w:val="Hypertextovprepojenie"/>
            <w:sz w:val="18"/>
            <w:szCs w:val="18"/>
          </w:rPr>
          <w:t>https://uplatnenie.sk/porovnanie/</w:t>
        </w:r>
      </w:hyperlink>
    </w:p>
  </w:footnote>
  <w:footnote w:id="251">
    <w:p w14:paraId="09936271"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166">
        <w:r>
          <w:rPr>
            <w:rFonts w:eastAsia="Arial Narrow" w:cs="Arial Narrow"/>
            <w:color w:val="0563C1"/>
            <w:sz w:val="18"/>
            <w:szCs w:val="18"/>
            <w:u w:val="single"/>
          </w:rPr>
          <w:t>Zákon o poplatkoch za uloženie odpadov</w:t>
        </w:r>
      </w:hyperlink>
      <w:r>
        <w:rPr>
          <w:rFonts w:eastAsia="Arial Narrow" w:cs="Arial Narrow"/>
          <w:color w:val="000000"/>
          <w:sz w:val="18"/>
          <w:szCs w:val="18"/>
        </w:rPr>
        <w:t xml:space="preserve"> </w:t>
      </w:r>
    </w:p>
  </w:footnote>
  <w:footnote w:id="252">
    <w:p w14:paraId="76343AA6"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167">
        <w:r>
          <w:rPr>
            <w:rFonts w:eastAsia="Arial Narrow" w:cs="Arial Narrow"/>
            <w:color w:val="0563C1"/>
            <w:sz w:val="18"/>
            <w:szCs w:val="18"/>
            <w:u w:val="single"/>
          </w:rPr>
          <w:t>Nariadenie vlády o sadzbách poplatkov za uloženie odpadov</w:t>
        </w:r>
      </w:hyperlink>
      <w:r>
        <w:rPr>
          <w:rFonts w:eastAsia="Arial Narrow" w:cs="Arial Narrow"/>
          <w:color w:val="000000"/>
          <w:sz w:val="18"/>
          <w:szCs w:val="18"/>
        </w:rPr>
        <w:t xml:space="preserve"> </w:t>
      </w:r>
    </w:p>
  </w:footnote>
  <w:footnote w:id="253">
    <w:p w14:paraId="4CBAFBF3"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Zákon č. 609/2007 Z. z. </w:t>
      </w:r>
    </w:p>
  </w:footnote>
  <w:footnote w:id="254">
    <w:p w14:paraId="3C6066AE"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168">
        <w:r>
          <w:rPr>
            <w:rFonts w:eastAsia="Arial Narrow" w:cs="Arial Narrow"/>
            <w:color w:val="0563C1"/>
            <w:sz w:val="18"/>
            <w:szCs w:val="18"/>
            <w:u w:val="single"/>
          </w:rPr>
          <w:t>Novela zákona č. 609/2007</w:t>
        </w:r>
      </w:hyperlink>
    </w:p>
  </w:footnote>
  <w:footnote w:id="255">
    <w:p w14:paraId="594FED0A" w14:textId="77777777" w:rsidR="006C0687" w:rsidRDefault="006C0687">
      <w:pPr>
        <w:pBdr>
          <w:top w:val="nil"/>
          <w:left w:val="nil"/>
          <w:bottom w:val="nil"/>
          <w:right w:val="nil"/>
          <w:between w:val="nil"/>
        </w:pBdr>
        <w:spacing w:after="0"/>
        <w:rPr>
          <w:rFonts w:eastAsia="Arial Narrow" w:cs="Arial Narrow"/>
          <w:color w:val="000000"/>
          <w:sz w:val="20"/>
          <w:szCs w:val="20"/>
        </w:rPr>
      </w:pPr>
      <w:r>
        <w:rPr>
          <w:vertAlign w:val="superscript"/>
        </w:rPr>
        <w:footnoteRef/>
      </w:r>
      <w:r>
        <w:rPr>
          <w:rFonts w:eastAsia="Arial Narrow" w:cs="Arial Narrow"/>
          <w:color w:val="000000"/>
          <w:sz w:val="20"/>
          <w:szCs w:val="20"/>
        </w:rPr>
        <w:t xml:space="preserve"> </w:t>
      </w:r>
      <w:hyperlink r:id="rId169">
        <w:r>
          <w:rPr>
            <w:rFonts w:eastAsia="Arial Narrow" w:cs="Arial Narrow"/>
            <w:color w:val="0563C1"/>
            <w:sz w:val="18"/>
            <w:szCs w:val="18"/>
            <w:u w:val="single"/>
          </w:rPr>
          <w:t>Register účtovných závierok</w:t>
        </w:r>
      </w:hyperlink>
      <w:r>
        <w:rPr>
          <w:rFonts w:eastAsia="Arial Narrow" w:cs="Arial Narrow"/>
          <w:color w:val="000000"/>
          <w:sz w:val="18"/>
          <w:szCs w:val="18"/>
        </w:rPr>
        <w:t xml:space="preserve"> </w:t>
      </w:r>
    </w:p>
  </w:footnote>
  <w:footnote w:id="256">
    <w:p w14:paraId="6A456B94"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170">
        <w:r>
          <w:rPr>
            <w:rFonts w:eastAsia="Arial Narrow" w:cs="Arial Narrow"/>
            <w:color w:val="0563C1"/>
            <w:sz w:val="18"/>
            <w:szCs w:val="18"/>
            <w:u w:val="single"/>
          </w:rPr>
          <w:t>Novela zákona o ochrane prírody a krajiny</w:t>
        </w:r>
      </w:hyperlink>
    </w:p>
  </w:footnote>
  <w:footnote w:id="257">
    <w:p w14:paraId="043CE988"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podľa § 63 ods. 3 v prípade záujmu štátu o kúpu pozemku v chránených územiach s 3.-5. stupňom ochrany, je aj ŠOP SR oprávnená uzavrieť v 3 mesačnej lehote kúpnu zmluvu</w:t>
      </w:r>
    </w:p>
  </w:footnote>
  <w:footnote w:id="258">
    <w:p w14:paraId="2FD7B4F0"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171">
        <w:r>
          <w:rPr>
            <w:rFonts w:eastAsia="Arial Narrow" w:cs="Arial Narrow"/>
            <w:color w:val="0563C1"/>
            <w:sz w:val="18"/>
            <w:szCs w:val="18"/>
            <w:u w:val="single"/>
          </w:rPr>
          <w:t>Výzva EF na kotlíkové dotácie</w:t>
        </w:r>
      </w:hyperlink>
      <w:r>
        <w:rPr>
          <w:rFonts w:eastAsia="Arial Narrow" w:cs="Arial Narrow"/>
          <w:color w:val="000000"/>
          <w:sz w:val="18"/>
          <w:szCs w:val="18"/>
        </w:rPr>
        <w:t xml:space="preserve"> </w:t>
      </w:r>
    </w:p>
  </w:footnote>
  <w:footnote w:id="259">
    <w:p w14:paraId="01452D50"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172">
        <w:r>
          <w:rPr>
            <w:rFonts w:eastAsia="Arial Narrow" w:cs="Arial Narrow"/>
            <w:color w:val="0563C1"/>
            <w:sz w:val="18"/>
            <w:szCs w:val="18"/>
            <w:u w:val="single"/>
          </w:rPr>
          <w:t>Financovanie rozvoja verejných vodovodov (s dôrazom pre obce do 2 000 obyvateľov) a verejných kanalizácií (s dôrazom pre obce v aglomeráciách do 2 000 ekvivalentných obyvateľov) v Slovenskej republike pre roky 2020 – 2030“</w:t>
        </w:r>
      </w:hyperlink>
    </w:p>
  </w:footnote>
  <w:footnote w:id="260">
    <w:p w14:paraId="55E80C89"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173">
        <w:r>
          <w:rPr>
            <w:rFonts w:eastAsia="Arial Narrow" w:cs="Arial Narrow"/>
            <w:color w:val="0563C1"/>
            <w:sz w:val="18"/>
            <w:szCs w:val="18"/>
            <w:u w:val="single"/>
          </w:rPr>
          <w:t>Výzva EF Národný plán kanalizácií</w:t>
        </w:r>
      </w:hyperlink>
    </w:p>
  </w:footnote>
  <w:footnote w:id="261">
    <w:p w14:paraId="4235BFA2" w14:textId="77777777" w:rsidR="006C0687" w:rsidRDefault="006C0687">
      <w:pPr>
        <w:pBdr>
          <w:top w:val="nil"/>
          <w:left w:val="nil"/>
          <w:bottom w:val="nil"/>
          <w:right w:val="nil"/>
          <w:between w:val="nil"/>
        </w:pBdr>
        <w:spacing w:after="0"/>
        <w:rPr>
          <w:rFonts w:eastAsia="Arial Narrow" w:cs="Arial Narrow"/>
          <w:color w:val="000000"/>
          <w:sz w:val="20"/>
          <w:szCs w:val="20"/>
        </w:rPr>
      </w:pPr>
      <w:r>
        <w:rPr>
          <w:vertAlign w:val="superscript"/>
        </w:rPr>
        <w:footnoteRef/>
      </w:r>
      <w:r>
        <w:rPr>
          <w:rFonts w:eastAsia="Arial Narrow" w:cs="Arial Narrow"/>
          <w:color w:val="000000"/>
          <w:sz w:val="20"/>
          <w:szCs w:val="20"/>
        </w:rPr>
        <w:t xml:space="preserve"> </w:t>
      </w:r>
      <w:r>
        <w:rPr>
          <w:rFonts w:eastAsia="Arial Narrow" w:cs="Arial Narrow"/>
          <w:color w:val="000000"/>
          <w:sz w:val="18"/>
          <w:szCs w:val="18"/>
        </w:rPr>
        <w:t>Aktualizovaný termín na základe Implementačných plánov na rok 2019</w:t>
      </w:r>
    </w:p>
  </w:footnote>
  <w:footnote w:id="262">
    <w:p w14:paraId="23058351" w14:textId="77777777" w:rsidR="006C0687" w:rsidRDefault="006C0687">
      <w:pPr>
        <w:pBdr>
          <w:top w:val="nil"/>
          <w:left w:val="nil"/>
          <w:bottom w:val="nil"/>
          <w:right w:val="nil"/>
          <w:between w:val="nil"/>
        </w:pBdr>
        <w:spacing w:after="0"/>
        <w:rPr>
          <w:rFonts w:eastAsia="Arial Narrow" w:cs="Arial Narrow"/>
          <w:color w:val="000000"/>
          <w:sz w:val="20"/>
          <w:szCs w:val="20"/>
        </w:rPr>
      </w:pPr>
      <w:r>
        <w:rPr>
          <w:vertAlign w:val="superscript"/>
        </w:rPr>
        <w:footnoteRef/>
      </w:r>
      <w:r>
        <w:rPr>
          <w:rFonts w:eastAsia="Arial Narrow" w:cs="Arial Narrow"/>
          <w:color w:val="000000"/>
          <w:sz w:val="20"/>
          <w:szCs w:val="20"/>
        </w:rPr>
        <w:t xml:space="preserve"> </w:t>
      </w:r>
      <w:hyperlink r:id="rId174">
        <w:r>
          <w:rPr>
            <w:rFonts w:eastAsia="Arial Narrow" w:cs="Arial Narrow"/>
            <w:color w:val="0563C1"/>
            <w:sz w:val="18"/>
            <w:szCs w:val="18"/>
            <w:u w:val="single"/>
          </w:rPr>
          <w:t>Register účtovných závierok</w:t>
        </w:r>
      </w:hyperlink>
    </w:p>
  </w:footnote>
  <w:footnote w:id="263">
    <w:p w14:paraId="258B8F9F"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Na základe výsledkov auditu  BCG bude SVP postupným zavádzaním efektívnejších postupov do konca roku 2020 schopné znížiť svoje ročné prevádzkové náklady o 20 mil. eur a do ďalších dvoch rokov o dodatočných 10 mil. eur.</w:t>
      </w:r>
    </w:p>
  </w:footnote>
  <w:footnote w:id="264">
    <w:p w14:paraId="76118E64"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175">
        <w:r>
          <w:rPr>
            <w:rFonts w:eastAsia="Arial Narrow" w:cs="Arial Narrow"/>
            <w:color w:val="0563C1"/>
            <w:sz w:val="18"/>
            <w:szCs w:val="18"/>
            <w:u w:val="single"/>
          </w:rPr>
          <w:t>Zákon o poplatkoch za uloženie odpadov</w:t>
        </w:r>
      </w:hyperlink>
      <w:r>
        <w:rPr>
          <w:rFonts w:eastAsia="Arial Narrow" w:cs="Arial Narrow"/>
          <w:color w:val="000000"/>
          <w:sz w:val="18"/>
          <w:szCs w:val="18"/>
        </w:rPr>
        <w:t xml:space="preserve"> </w:t>
      </w:r>
    </w:p>
  </w:footnote>
  <w:footnote w:id="265">
    <w:p w14:paraId="1A90850C"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176">
        <w:r>
          <w:rPr>
            <w:rFonts w:eastAsia="Arial Narrow" w:cs="Arial Narrow"/>
            <w:color w:val="0563C1"/>
            <w:sz w:val="18"/>
            <w:szCs w:val="18"/>
            <w:u w:val="single"/>
          </w:rPr>
          <w:t>Nariadenie vlády o sadzbách poplatkov za uloženie odpadov</w:t>
        </w:r>
      </w:hyperlink>
    </w:p>
  </w:footnote>
  <w:footnote w:id="266">
    <w:p w14:paraId="354CD46F" w14:textId="77777777" w:rsidR="006C0687" w:rsidRDefault="006C0687">
      <w:pPr>
        <w:pBdr>
          <w:top w:val="nil"/>
          <w:left w:val="nil"/>
          <w:bottom w:val="nil"/>
          <w:right w:val="nil"/>
          <w:between w:val="nil"/>
        </w:pBdr>
        <w:spacing w:after="0"/>
        <w:rPr>
          <w:rFonts w:eastAsia="Arial Narrow" w:cs="Arial Narrow"/>
          <w:color w:val="000000"/>
          <w:sz w:val="20"/>
          <w:szCs w:val="20"/>
        </w:rPr>
      </w:pPr>
      <w:r>
        <w:rPr>
          <w:vertAlign w:val="superscript"/>
        </w:rPr>
        <w:footnoteRef/>
      </w:r>
      <w:r>
        <w:rPr>
          <w:rFonts w:eastAsia="Arial Narrow" w:cs="Arial Narrow"/>
          <w:color w:val="000000"/>
          <w:sz w:val="18"/>
          <w:szCs w:val="18"/>
        </w:rPr>
        <w:t xml:space="preserve"> </w:t>
      </w:r>
      <w:hyperlink r:id="rId177">
        <w:r>
          <w:rPr>
            <w:rFonts w:eastAsia="Arial Narrow" w:cs="Arial Narrow"/>
            <w:color w:val="0563C1"/>
            <w:sz w:val="18"/>
            <w:szCs w:val="18"/>
            <w:u w:val="single"/>
          </w:rPr>
          <w:t>Program predchádzania vzniku odpadov na roky 2019 – 2025</w:t>
        </w:r>
      </w:hyperlink>
      <w:r>
        <w:rPr>
          <w:rFonts w:eastAsia="Arial Narrow" w:cs="Arial Narrow"/>
          <w:color w:val="000000"/>
          <w:sz w:val="20"/>
          <w:szCs w:val="20"/>
        </w:rPr>
        <w:t xml:space="preserve"> </w:t>
      </w:r>
    </w:p>
  </w:footnote>
  <w:footnote w:id="267">
    <w:p w14:paraId="5F7E6D34"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178">
        <w:r>
          <w:rPr>
            <w:rFonts w:eastAsia="Arial Narrow" w:cs="Arial Narrow"/>
            <w:color w:val="0563C1"/>
            <w:sz w:val="18"/>
            <w:szCs w:val="18"/>
            <w:u w:val="single"/>
          </w:rPr>
          <w:t>Štúdia IEP „Spravodlivé odpady</w:t>
        </w:r>
      </w:hyperlink>
    </w:p>
  </w:footnote>
  <w:footnote w:id="268">
    <w:p w14:paraId="10305DA7" w14:textId="77777777" w:rsidR="006C0687" w:rsidRDefault="006C0687">
      <w:pPr>
        <w:pBdr>
          <w:top w:val="nil"/>
          <w:left w:val="nil"/>
          <w:bottom w:val="nil"/>
          <w:right w:val="nil"/>
          <w:between w:val="nil"/>
        </w:pBdr>
        <w:spacing w:after="0"/>
        <w:rPr>
          <w:rFonts w:eastAsia="Arial Narrow" w:cs="Arial Narrow"/>
          <w:color w:val="000000"/>
          <w:sz w:val="16"/>
          <w:szCs w:val="16"/>
        </w:rPr>
      </w:pPr>
      <w:r>
        <w:rPr>
          <w:vertAlign w:val="superscript"/>
        </w:rPr>
        <w:footnoteRef/>
      </w:r>
      <w:r>
        <w:rPr>
          <w:rFonts w:eastAsia="Arial Narrow" w:cs="Arial Narrow"/>
          <w:color w:val="000000"/>
          <w:sz w:val="16"/>
          <w:szCs w:val="16"/>
        </w:rPr>
        <w:t xml:space="preserve">  </w:t>
      </w:r>
      <w:hyperlink r:id="rId179">
        <w:r>
          <w:rPr>
            <w:rFonts w:eastAsia="Arial Narrow" w:cs="Arial Narrow"/>
            <w:color w:val="0563C1"/>
            <w:sz w:val="18"/>
            <w:szCs w:val="18"/>
            <w:u w:val="single"/>
          </w:rPr>
          <w:t>novela zákona č. 609/2007</w:t>
        </w:r>
      </w:hyperlink>
    </w:p>
  </w:footnote>
  <w:footnote w:id="269">
    <w:p w14:paraId="2A858984" w14:textId="6B0D04C2"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Revízia výdavkov na životné prostredie, str. 40 </w:t>
      </w:r>
    </w:p>
  </w:footnote>
  <w:footnote w:id="270">
    <w:p w14:paraId="5FF9491E" w14:textId="77777777" w:rsidR="006C0687" w:rsidRDefault="006C0687">
      <w:pPr>
        <w:pBdr>
          <w:top w:val="nil"/>
          <w:left w:val="nil"/>
          <w:bottom w:val="nil"/>
          <w:right w:val="nil"/>
          <w:between w:val="nil"/>
        </w:pBdr>
        <w:spacing w:after="0"/>
        <w:rPr>
          <w:color w:val="000000"/>
          <w:sz w:val="24"/>
          <w:szCs w:val="24"/>
        </w:rPr>
      </w:pPr>
      <w:r>
        <w:rPr>
          <w:vertAlign w:val="superscript"/>
        </w:rPr>
        <w:footnoteRef/>
      </w:r>
      <w:r>
        <w:rPr>
          <w:color w:val="000000"/>
          <w:sz w:val="24"/>
          <w:szCs w:val="24"/>
        </w:rPr>
        <w:t xml:space="preserve"> </w:t>
      </w:r>
      <w:r>
        <w:rPr>
          <w:rFonts w:eastAsia="Arial Narrow" w:cs="Arial Narrow"/>
          <w:color w:val="000000"/>
          <w:sz w:val="18"/>
          <w:szCs w:val="18"/>
        </w:rPr>
        <w:t xml:space="preserve">Mikroštúdia inovatívneho financovania ŠOP SR vo väzbe na výber vstupného do národných parkov </w:t>
      </w:r>
    </w:p>
  </w:footnote>
  <w:footnote w:id="271">
    <w:p w14:paraId="7976FEA1"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180">
        <w:r>
          <w:rPr>
            <w:rFonts w:eastAsia="Arial Narrow" w:cs="Arial Narrow"/>
            <w:color w:val="0563C1"/>
            <w:sz w:val="18"/>
            <w:szCs w:val="18"/>
            <w:u w:val="single"/>
          </w:rPr>
          <w:t>návrh Koncepcie ochrany prírody a krajiny do roku 2030</w:t>
        </w:r>
      </w:hyperlink>
      <w:r>
        <w:rPr>
          <w:rFonts w:eastAsia="Arial Narrow" w:cs="Arial Narrow"/>
          <w:color w:val="000000"/>
          <w:sz w:val="18"/>
          <w:szCs w:val="18"/>
        </w:rPr>
        <w:t xml:space="preserve"> </w:t>
      </w:r>
    </w:p>
  </w:footnote>
  <w:footnote w:id="272">
    <w:p w14:paraId="6513548E"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181">
        <w:r>
          <w:rPr>
            <w:rFonts w:eastAsia="Arial Narrow" w:cs="Arial Narrow"/>
            <w:color w:val="0563C1"/>
            <w:sz w:val="18"/>
            <w:szCs w:val="18"/>
            <w:u w:val="single"/>
          </w:rPr>
          <w:t>rozhodnutie Európskej komisie</w:t>
        </w:r>
      </w:hyperlink>
      <w:r>
        <w:rPr>
          <w:rFonts w:eastAsia="Arial Narrow" w:cs="Arial Narrow"/>
          <w:color w:val="000000"/>
          <w:sz w:val="18"/>
          <w:szCs w:val="18"/>
        </w:rPr>
        <w:t xml:space="preserve"> </w:t>
      </w:r>
    </w:p>
  </w:footnote>
  <w:footnote w:id="273">
    <w:p w14:paraId="319FC558"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182">
        <w:r>
          <w:rPr>
            <w:rFonts w:eastAsia="Arial Narrow" w:cs="Arial Narrow"/>
            <w:color w:val="0563C1"/>
            <w:sz w:val="18"/>
            <w:szCs w:val="18"/>
            <w:u w:val="single"/>
          </w:rPr>
          <w:t>Výzva EF na kotlíkové dotácie</w:t>
        </w:r>
      </w:hyperlink>
    </w:p>
  </w:footnote>
  <w:footnote w:id="274">
    <w:p w14:paraId="5962A12D"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183">
        <w:r>
          <w:rPr>
            <w:rFonts w:eastAsia="Arial Narrow" w:cs="Arial Narrow"/>
            <w:color w:val="0563C1"/>
            <w:sz w:val="18"/>
            <w:szCs w:val="18"/>
            <w:u w:val="single"/>
          </w:rPr>
          <w:t>Návrh problematiky transformácie regiónu horná Nitra</w:t>
        </w:r>
      </w:hyperlink>
      <w:r>
        <w:rPr>
          <w:rFonts w:eastAsia="Arial Narrow" w:cs="Arial Narrow"/>
          <w:color w:val="000000"/>
          <w:sz w:val="18"/>
          <w:szCs w:val="18"/>
        </w:rPr>
        <w:t xml:space="preserve"> </w:t>
      </w:r>
    </w:p>
  </w:footnote>
  <w:footnote w:id="275">
    <w:p w14:paraId="37CE1DE1" w14:textId="77777777" w:rsidR="006C0687" w:rsidRDefault="006C0687">
      <w:pPr>
        <w:pBdr>
          <w:top w:val="nil"/>
          <w:left w:val="nil"/>
          <w:bottom w:val="nil"/>
          <w:right w:val="nil"/>
          <w:between w:val="nil"/>
        </w:pBdr>
        <w:spacing w:after="0"/>
        <w:rPr>
          <w:rFonts w:eastAsia="Arial Narrow" w:cs="Arial Narrow"/>
          <w:color w:val="000000"/>
          <w:sz w:val="16"/>
          <w:szCs w:val="16"/>
        </w:rPr>
      </w:pPr>
      <w:r>
        <w:rPr>
          <w:vertAlign w:val="superscript"/>
        </w:rPr>
        <w:footnoteRef/>
      </w:r>
      <w:r>
        <w:rPr>
          <w:rFonts w:eastAsia="Arial Narrow" w:cs="Arial Narrow"/>
          <w:color w:val="000000"/>
          <w:sz w:val="18"/>
          <w:szCs w:val="18"/>
        </w:rPr>
        <w:t xml:space="preserve"> </w:t>
      </w:r>
      <w:hyperlink r:id="rId184">
        <w:r>
          <w:rPr>
            <w:rFonts w:eastAsia="Arial Narrow" w:cs="Arial Narrow"/>
            <w:color w:val="0563C1"/>
            <w:sz w:val="18"/>
            <w:szCs w:val="18"/>
            <w:u w:val="single"/>
          </w:rPr>
          <w:t>Akčný plán transformácie regiónu horná Nitra</w:t>
        </w:r>
      </w:hyperlink>
      <w:r>
        <w:rPr>
          <w:rFonts w:eastAsia="Arial Narrow" w:cs="Arial Narrow"/>
          <w:color w:val="000000"/>
          <w:sz w:val="18"/>
          <w:szCs w:val="18"/>
        </w:rPr>
        <w:t xml:space="preserve"> </w:t>
      </w:r>
    </w:p>
  </w:footnote>
  <w:footnote w:id="276">
    <w:p w14:paraId="795D151B"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185">
        <w:r>
          <w:rPr>
            <w:rFonts w:eastAsia="Arial Narrow" w:cs="Arial Narrow"/>
            <w:color w:val="0563C1"/>
            <w:sz w:val="18"/>
            <w:szCs w:val="18"/>
            <w:u w:val="single"/>
          </w:rPr>
          <w:t>Schválenie štátnej pomoci pre HBP a.s.</w:t>
        </w:r>
      </w:hyperlink>
      <w:r>
        <w:rPr>
          <w:rFonts w:eastAsia="Arial Narrow" w:cs="Arial Narrow"/>
          <w:color w:val="000000"/>
          <w:sz w:val="18"/>
          <w:szCs w:val="18"/>
        </w:rPr>
        <w:t xml:space="preserve"> </w:t>
      </w:r>
    </w:p>
  </w:footnote>
  <w:footnote w:id="277">
    <w:p w14:paraId="02FF9AE2"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186">
        <w:r>
          <w:rPr>
            <w:rFonts w:eastAsia="Arial Narrow" w:cs="Arial Narrow"/>
            <w:color w:val="0563C1"/>
            <w:sz w:val="18"/>
            <w:szCs w:val="18"/>
            <w:u w:val="single"/>
          </w:rPr>
          <w:t>Fond pre spravodlivú transformáciu</w:t>
        </w:r>
      </w:hyperlink>
      <w:r>
        <w:rPr>
          <w:rFonts w:eastAsia="Arial Narrow" w:cs="Arial Narrow"/>
          <w:color w:val="000000"/>
          <w:sz w:val="18"/>
          <w:szCs w:val="18"/>
        </w:rPr>
        <w:t xml:space="preserve"> </w:t>
      </w:r>
    </w:p>
  </w:footnote>
  <w:footnote w:id="278">
    <w:p w14:paraId="22E57D23"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187">
        <w:r>
          <w:rPr>
            <w:rFonts w:eastAsia="Arial Narrow" w:cs="Arial Narrow"/>
            <w:color w:val="0563C1"/>
            <w:sz w:val="18"/>
            <w:szCs w:val="18"/>
            <w:u w:val="single"/>
          </w:rPr>
          <w:t>Register účtovných závierok</w:t>
        </w:r>
      </w:hyperlink>
      <w:r>
        <w:rPr>
          <w:rFonts w:eastAsia="Arial Narrow" w:cs="Arial Narrow"/>
          <w:color w:val="000000"/>
          <w:sz w:val="18"/>
          <w:szCs w:val="18"/>
        </w:rPr>
        <w:t xml:space="preserve"> </w:t>
      </w:r>
    </w:p>
  </w:footnote>
  <w:footnote w:id="279">
    <w:p w14:paraId="58FE6190"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„Organizácia činností útvarov SVP, š.p. pre prípravu stavieb preventívnych opatrení zameraných na ochranu pred povodňami a opatrení na zabezpečenie spojitosti vodných tokov“ z 10.2.2019</w:t>
      </w:r>
    </w:p>
  </w:footnote>
  <w:footnote w:id="280">
    <w:p w14:paraId="31F1A47C"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188">
        <w:r>
          <w:rPr>
            <w:rFonts w:eastAsia="Arial Narrow" w:cs="Arial Narrow"/>
            <w:color w:val="0563C1"/>
            <w:sz w:val="18"/>
            <w:szCs w:val="18"/>
            <w:u w:val="single"/>
          </w:rPr>
          <w:t>Novela zákona o verejných vodovodoch a verejných kanalizáciách</w:t>
        </w:r>
      </w:hyperlink>
      <w:r>
        <w:rPr>
          <w:rFonts w:eastAsia="Arial Narrow" w:cs="Arial Narrow"/>
          <w:color w:val="000000"/>
          <w:sz w:val="18"/>
          <w:szCs w:val="18"/>
        </w:rPr>
        <w:t xml:space="preserve"> </w:t>
      </w:r>
    </w:p>
  </w:footnote>
  <w:footnote w:id="281">
    <w:p w14:paraId="1E3FF45A"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189">
        <w:r>
          <w:rPr>
            <w:rFonts w:eastAsia="Arial Narrow" w:cs="Arial Narrow"/>
            <w:color w:val="0563C1"/>
            <w:sz w:val="18"/>
            <w:szCs w:val="18"/>
            <w:u w:val="single"/>
          </w:rPr>
          <w:t>Novela zákona o verejných vodovodoch a verejných kanalizáciách – MPK</w:t>
        </w:r>
      </w:hyperlink>
      <w:r>
        <w:rPr>
          <w:rFonts w:eastAsia="Arial Narrow" w:cs="Arial Narrow"/>
          <w:color w:val="000000"/>
          <w:sz w:val="18"/>
          <w:szCs w:val="18"/>
        </w:rPr>
        <w:t xml:space="preserve"> </w:t>
      </w:r>
    </w:p>
  </w:footnote>
  <w:footnote w:id="282">
    <w:p w14:paraId="168DE93B"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pre právnické osoby a fyzické osoby – podnikateľov sa zvýši z 99 eur na 300 eur a u fyzických osôb sa zvýši zo 16 eur na 50 eur </w:t>
      </w:r>
    </w:p>
  </w:footnote>
  <w:footnote w:id="283">
    <w:p w14:paraId="5D392950" w14:textId="4CBEFF9A"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190">
        <w:r w:rsidRPr="00CC1C9B">
          <w:rPr>
            <w:rFonts w:eastAsia="Arial Narrow" w:cs="Arial Narrow"/>
            <w:color w:val="0563C1"/>
            <w:sz w:val="18"/>
            <w:szCs w:val="18"/>
            <w:u w:val="single"/>
          </w:rPr>
          <w:t>Financovanie rozvoja verejných vodovodov a verejných kanalizácií</w:t>
        </w:r>
      </w:hyperlink>
      <w:r>
        <w:rPr>
          <w:rFonts w:eastAsia="Arial Narrow" w:cs="Arial Narrow"/>
          <w:color w:val="000000"/>
          <w:sz w:val="18"/>
          <w:szCs w:val="18"/>
        </w:rPr>
        <w:t xml:space="preserve"> </w:t>
      </w:r>
    </w:p>
  </w:footnote>
  <w:footnote w:id="284">
    <w:p w14:paraId="74F2DAB2"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191">
        <w:r>
          <w:rPr>
            <w:rFonts w:eastAsia="Arial Narrow" w:cs="Arial Narrow"/>
            <w:color w:val="0563C1"/>
            <w:sz w:val="18"/>
            <w:szCs w:val="18"/>
            <w:u w:val="single"/>
          </w:rPr>
          <w:t>Výzva EF Národný plán kanalizácií</w:t>
        </w:r>
      </w:hyperlink>
      <w:r>
        <w:rPr>
          <w:rFonts w:eastAsia="Arial Narrow" w:cs="Arial Narrow"/>
          <w:color w:val="000000"/>
          <w:sz w:val="18"/>
          <w:szCs w:val="18"/>
        </w:rPr>
        <w:t xml:space="preserve"> </w:t>
      </w:r>
    </w:p>
  </w:footnote>
  <w:footnote w:id="285">
    <w:p w14:paraId="23BCC970"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192">
        <w:r>
          <w:rPr>
            <w:rFonts w:eastAsia="Arial Narrow" w:cs="Arial Narrow"/>
            <w:color w:val="0563C1"/>
            <w:sz w:val="18"/>
            <w:szCs w:val="18"/>
            <w:u w:val="single"/>
          </w:rPr>
          <w:t>Národný plán kanalizácií</w:t>
        </w:r>
      </w:hyperlink>
      <w:r>
        <w:rPr>
          <w:rFonts w:eastAsia="Arial Narrow" w:cs="Arial Narrow"/>
          <w:color w:val="000000"/>
          <w:sz w:val="18"/>
          <w:szCs w:val="18"/>
        </w:rPr>
        <w:t xml:space="preserve"> </w:t>
      </w:r>
    </w:p>
  </w:footnote>
  <w:footnote w:id="286">
    <w:p w14:paraId="1C88A163"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193">
        <w:r>
          <w:rPr>
            <w:rFonts w:eastAsia="Arial Narrow" w:cs="Arial Narrow"/>
            <w:color w:val="0563C1"/>
            <w:sz w:val="18"/>
            <w:szCs w:val="18"/>
            <w:u w:val="single"/>
          </w:rPr>
          <w:t>Výzva EF Národná plán kanalizácií</w:t>
        </w:r>
      </w:hyperlink>
      <w:r>
        <w:rPr>
          <w:rFonts w:eastAsia="Arial Narrow" w:cs="Arial Narrow"/>
          <w:color w:val="000000"/>
          <w:sz w:val="18"/>
          <w:szCs w:val="18"/>
        </w:rPr>
        <w:t xml:space="preserve"> </w:t>
      </w:r>
    </w:p>
  </w:footnote>
  <w:footnote w:id="287">
    <w:p w14:paraId="40A40252"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194">
        <w:r>
          <w:rPr>
            <w:rFonts w:eastAsia="Arial Narrow" w:cs="Arial Narrow"/>
            <w:color w:val="0563C1"/>
            <w:sz w:val="18"/>
            <w:szCs w:val="18"/>
            <w:u w:val="single"/>
          </w:rPr>
          <w:t>Špecifikácia činností na úvery pre rok 2020</w:t>
        </w:r>
      </w:hyperlink>
      <w:r>
        <w:rPr>
          <w:rFonts w:eastAsia="Arial Narrow" w:cs="Arial Narrow"/>
          <w:color w:val="000000"/>
          <w:sz w:val="18"/>
          <w:szCs w:val="18"/>
        </w:rPr>
        <w:t xml:space="preserve"> </w:t>
      </w:r>
    </w:p>
  </w:footnote>
  <w:footnote w:id="288">
    <w:p w14:paraId="6EF9D5D5"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Ak v určitom roku celková úroveň emisných kvót presiahne istú hranicu, určité percento kvót sa automaticky stiahne z trhu a umiestni do rezervy. V opačnom prípade sa kvóty vrátia z rezervy na trh. Rovnako je tam odložených 900 mil. kvót, ktorých aukcia bola presunutá z obdobia 2014 – 2016 na obdobie 2019 – 2020. Nepridelené kvóty z fázy 3 EU ETS sa do rezervy umiestnia v roku 2020.</w:t>
      </w:r>
    </w:p>
  </w:footnote>
  <w:footnote w:id="289">
    <w:p w14:paraId="018D489D" w14:textId="77777777" w:rsidR="006C0687" w:rsidRDefault="006C0687">
      <w:pPr>
        <w:pBdr>
          <w:top w:val="nil"/>
          <w:left w:val="nil"/>
          <w:bottom w:val="nil"/>
          <w:right w:val="nil"/>
          <w:between w:val="nil"/>
        </w:pBdr>
        <w:spacing w:after="0"/>
        <w:rPr>
          <w:rFonts w:eastAsia="Arial Narrow" w:cs="Arial Narrow"/>
          <w:color w:val="000000"/>
          <w:sz w:val="20"/>
          <w:szCs w:val="20"/>
        </w:rPr>
      </w:pPr>
      <w:r>
        <w:rPr>
          <w:vertAlign w:val="superscript"/>
        </w:rPr>
        <w:footnoteRef/>
      </w:r>
      <w:r>
        <w:rPr>
          <w:rFonts w:eastAsia="Arial Narrow" w:cs="Arial Narrow"/>
          <w:color w:val="000000"/>
          <w:sz w:val="20"/>
          <w:szCs w:val="20"/>
        </w:rPr>
        <w:t xml:space="preserve"> </w:t>
      </w:r>
      <w:hyperlink r:id="rId195">
        <w:r>
          <w:rPr>
            <w:rFonts w:eastAsia="Arial Narrow" w:cs="Arial Narrow"/>
            <w:color w:val="0563C1"/>
            <w:sz w:val="18"/>
            <w:szCs w:val="18"/>
            <w:u w:val="single"/>
          </w:rPr>
          <w:t>CHVÚ Poľana</w:t>
        </w:r>
      </w:hyperlink>
      <w:r>
        <w:rPr>
          <w:rFonts w:eastAsia="Arial Narrow" w:cs="Arial Narrow"/>
          <w:color w:val="000000"/>
          <w:sz w:val="18"/>
          <w:szCs w:val="18"/>
        </w:rPr>
        <w:t xml:space="preserve"> </w:t>
      </w:r>
    </w:p>
  </w:footnote>
  <w:footnote w:id="290">
    <w:p w14:paraId="242768CF"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20"/>
          <w:szCs w:val="20"/>
        </w:rPr>
        <w:t xml:space="preserve"> </w:t>
      </w:r>
      <w:hyperlink r:id="rId196">
        <w:r>
          <w:rPr>
            <w:rFonts w:eastAsia="Arial Narrow" w:cs="Arial Narrow"/>
            <w:color w:val="0563C1"/>
            <w:sz w:val="18"/>
            <w:szCs w:val="18"/>
            <w:u w:val="single"/>
          </w:rPr>
          <w:t>CHVÚ Slovenský raj</w:t>
        </w:r>
      </w:hyperlink>
    </w:p>
  </w:footnote>
  <w:footnote w:id="291">
    <w:p w14:paraId="16EC8267" w14:textId="57E8A505"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197">
        <w:r w:rsidRPr="00AB2FF1">
          <w:rPr>
            <w:rFonts w:eastAsia="Arial Narrow" w:cs="Arial Narrow"/>
            <w:color w:val="0563C1"/>
            <w:sz w:val="18"/>
            <w:szCs w:val="18"/>
            <w:u w:val="single"/>
          </w:rPr>
          <w:t>CHVÚ Chočské vrchy</w:t>
        </w:r>
      </w:hyperlink>
      <w:r>
        <w:rPr>
          <w:rFonts w:eastAsia="Arial Narrow" w:cs="Arial Narrow"/>
          <w:color w:val="000000"/>
          <w:sz w:val="18"/>
          <w:szCs w:val="18"/>
        </w:rPr>
        <w:t xml:space="preserve"> </w:t>
      </w:r>
    </w:p>
  </w:footnote>
  <w:footnote w:id="292">
    <w:p w14:paraId="0A53670D"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198">
        <w:r>
          <w:rPr>
            <w:rFonts w:eastAsia="Arial Narrow" w:cs="Arial Narrow"/>
            <w:color w:val="0563C1"/>
            <w:sz w:val="18"/>
            <w:szCs w:val="18"/>
            <w:u w:val="single"/>
          </w:rPr>
          <w:t>CHVÚ Čergov</w:t>
        </w:r>
      </w:hyperlink>
      <w:r>
        <w:rPr>
          <w:rFonts w:eastAsia="Arial Narrow" w:cs="Arial Narrow"/>
          <w:color w:val="000000"/>
          <w:sz w:val="18"/>
          <w:szCs w:val="18"/>
        </w:rPr>
        <w:t xml:space="preserve"> </w:t>
      </w:r>
    </w:p>
  </w:footnote>
  <w:footnote w:id="293">
    <w:sdt>
      <w:sdtPr>
        <w:tag w:val="goog_rdk_89"/>
        <w:id w:val="1841888197"/>
      </w:sdtPr>
      <w:sdtEndPr/>
      <w:sdtContent>
        <w:p w14:paraId="3CA50D57" w14:textId="77777777" w:rsidR="006C0687" w:rsidRDefault="006C0687">
          <w:pPr>
            <w:widowControl w:val="0"/>
            <w:pBdr>
              <w:top w:val="nil"/>
              <w:left w:val="nil"/>
              <w:bottom w:val="nil"/>
              <w:right w:val="nil"/>
              <w:between w:val="nil"/>
            </w:pBdr>
            <w:spacing w:after="0" w:line="276" w:lineRule="auto"/>
            <w:rPr>
              <w:color w:val="0563C1"/>
              <w:sz w:val="18"/>
              <w:szCs w:val="18"/>
              <w:u w:val="single"/>
            </w:rPr>
          </w:pPr>
          <w:r>
            <w:rPr>
              <w:vertAlign w:val="superscript"/>
            </w:rPr>
            <w:footnoteRef/>
          </w:r>
          <w:r>
            <w:rPr>
              <w:rFonts w:eastAsia="Arial Narrow" w:cs="Arial Narrow"/>
              <w:color w:val="000000"/>
              <w:sz w:val="18"/>
              <w:szCs w:val="18"/>
            </w:rPr>
            <w:t xml:space="preserve"> </w:t>
          </w:r>
          <w:hyperlink r:id="rId199">
            <w:r>
              <w:rPr>
                <w:rFonts w:eastAsia="Arial Narrow" w:cs="Arial Narrow"/>
                <w:color w:val="0563C1"/>
                <w:sz w:val="18"/>
                <w:szCs w:val="18"/>
                <w:u w:val="single"/>
              </w:rPr>
              <w:t>CHVÚ Strážovské vrchy</w:t>
            </w:r>
          </w:hyperlink>
          <w:r>
            <w:rPr>
              <w:rFonts w:eastAsia="Arial Narrow" w:cs="Arial Narrow"/>
              <w:color w:val="000000"/>
              <w:sz w:val="18"/>
              <w:szCs w:val="18"/>
            </w:rPr>
            <w:t xml:space="preserve"> </w:t>
          </w:r>
          <w:sdt>
            <w:sdtPr>
              <w:tag w:val="goog_rdk_88"/>
              <w:id w:val="-1462413358"/>
            </w:sdtPr>
            <w:sdtEndPr/>
            <w:sdtContent/>
          </w:sdt>
        </w:p>
      </w:sdtContent>
    </w:sdt>
  </w:footnote>
  <w:footnote w:id="294">
    <w:p w14:paraId="22FD99DD" w14:textId="347E411F" w:rsidR="006C0687" w:rsidRDefault="006C0687">
      <w:pPr>
        <w:pBdr>
          <w:top w:val="nil"/>
          <w:left w:val="nil"/>
          <w:bottom w:val="nil"/>
          <w:right w:val="nil"/>
          <w:between w:val="nil"/>
        </w:pBdr>
        <w:spacing w:after="0"/>
        <w:rPr>
          <w:rFonts w:eastAsia="Arial Narrow" w:cs="Arial Narrow"/>
          <w:color w:val="000000"/>
          <w:sz w:val="20"/>
          <w:szCs w:val="20"/>
        </w:rPr>
      </w:pPr>
      <w:r>
        <w:rPr>
          <w:vertAlign w:val="superscript"/>
        </w:rPr>
        <w:footnoteRef/>
      </w:r>
      <w:r>
        <w:rPr>
          <w:rFonts w:eastAsia="Arial Narrow" w:cs="Arial Narrow"/>
          <w:color w:val="000000"/>
          <w:sz w:val="20"/>
          <w:szCs w:val="20"/>
        </w:rPr>
        <w:t xml:space="preserve"> </w:t>
      </w:r>
      <w:hyperlink r:id="rId200">
        <w:r>
          <w:rPr>
            <w:rFonts w:eastAsia="Arial Narrow" w:cs="Arial Narrow"/>
            <w:color w:val="0563C1"/>
            <w:sz w:val="18"/>
            <w:szCs w:val="18"/>
            <w:u w:val="single"/>
          </w:rPr>
          <w:t>CHVÚ Sysľovksé polia</w:t>
        </w:r>
      </w:hyperlink>
    </w:p>
  </w:footnote>
  <w:footnote w:id="295">
    <w:p w14:paraId="76046795"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201">
        <w:r>
          <w:rPr>
            <w:rFonts w:eastAsia="Arial Narrow" w:cs="Arial Narrow"/>
            <w:color w:val="0563C1"/>
            <w:sz w:val="18"/>
            <w:szCs w:val="18"/>
            <w:u w:val="single"/>
          </w:rPr>
          <w:t>CHVÚ Žitavský luh</w:t>
        </w:r>
      </w:hyperlink>
      <w:r>
        <w:rPr>
          <w:rFonts w:eastAsia="Arial Narrow" w:cs="Arial Narrow"/>
          <w:color w:val="000000"/>
          <w:sz w:val="18"/>
          <w:szCs w:val="18"/>
        </w:rPr>
        <w:t xml:space="preserve"> </w:t>
      </w:r>
    </w:p>
  </w:footnote>
  <w:footnote w:id="296">
    <w:p w14:paraId="2206B717"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202">
        <w:r>
          <w:rPr>
            <w:rFonts w:eastAsia="Arial Narrow" w:cs="Arial Narrow"/>
            <w:color w:val="0563C1"/>
            <w:sz w:val="18"/>
            <w:szCs w:val="18"/>
            <w:u w:val="single"/>
          </w:rPr>
          <w:t>infringement č. 2018/4076</w:t>
        </w:r>
      </w:hyperlink>
      <w:r>
        <w:rPr>
          <w:rFonts w:eastAsia="Arial Narrow" w:cs="Arial Narrow"/>
          <w:color w:val="000000"/>
          <w:sz w:val="18"/>
          <w:szCs w:val="18"/>
        </w:rPr>
        <w:t xml:space="preserve"> </w:t>
      </w:r>
    </w:p>
  </w:footnote>
  <w:footnote w:id="297">
    <w:p w14:paraId="76AABFD9"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203">
        <w:r>
          <w:rPr>
            <w:rFonts w:eastAsia="Arial Narrow" w:cs="Arial Narrow"/>
            <w:color w:val="0563C1"/>
            <w:sz w:val="18"/>
            <w:szCs w:val="18"/>
            <w:u w:val="single"/>
          </w:rPr>
          <w:t>smernica o biotopoch</w:t>
        </w:r>
      </w:hyperlink>
      <w:r>
        <w:rPr>
          <w:rFonts w:eastAsia="Arial Narrow" w:cs="Arial Narrow"/>
          <w:color w:val="000000"/>
          <w:sz w:val="20"/>
          <w:szCs w:val="20"/>
        </w:rPr>
        <w:t xml:space="preserve"> </w:t>
      </w:r>
    </w:p>
  </w:footnote>
  <w:footnote w:id="298">
    <w:p w14:paraId="0F8EE783"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204">
        <w:r>
          <w:rPr>
            <w:rFonts w:eastAsia="Arial Narrow" w:cs="Arial Narrow"/>
            <w:color w:val="0563C1"/>
            <w:sz w:val="18"/>
            <w:szCs w:val="18"/>
            <w:u w:val="single"/>
          </w:rPr>
          <w:t>Investičný plán kapitoly MŽP SR</w:t>
        </w:r>
      </w:hyperlink>
      <w:r>
        <w:rPr>
          <w:rFonts w:eastAsia="Arial Narrow" w:cs="Arial Narrow"/>
          <w:color w:val="000000"/>
          <w:sz w:val="18"/>
          <w:szCs w:val="18"/>
        </w:rPr>
        <w:t xml:space="preserve"> </w:t>
      </w:r>
    </w:p>
  </w:footnote>
  <w:footnote w:id="299">
    <w:p w14:paraId="785453D8"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205">
        <w:r>
          <w:rPr>
            <w:rFonts w:eastAsia="Arial Narrow" w:cs="Arial Narrow"/>
            <w:color w:val="0563C1"/>
            <w:sz w:val="18"/>
            <w:szCs w:val="18"/>
            <w:u w:val="single"/>
          </w:rPr>
          <w:t>Zoznam environmentálnych záťaží v SR</w:t>
        </w:r>
      </w:hyperlink>
      <w:r>
        <w:rPr>
          <w:rFonts w:eastAsia="Arial Narrow" w:cs="Arial Narrow"/>
          <w:color w:val="000000"/>
          <w:sz w:val="18"/>
          <w:szCs w:val="18"/>
        </w:rPr>
        <w:t xml:space="preserve"> </w:t>
      </w:r>
    </w:p>
  </w:footnote>
  <w:footnote w:id="300">
    <w:p w14:paraId="56217BB4"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206">
        <w:r>
          <w:rPr>
            <w:rFonts w:eastAsia="Arial Narrow" w:cs="Arial Narrow"/>
            <w:color w:val="0563C1"/>
            <w:sz w:val="18"/>
            <w:szCs w:val="18"/>
            <w:u w:val="single"/>
          </w:rPr>
          <w:t>Zmluva Združenie PRAGOLAB &amp; ENVItech</w:t>
        </w:r>
      </w:hyperlink>
      <w:r>
        <w:rPr>
          <w:rFonts w:eastAsia="Arial Narrow" w:cs="Arial Narrow"/>
          <w:color w:val="000000"/>
          <w:sz w:val="18"/>
          <w:szCs w:val="18"/>
        </w:rPr>
        <w:t xml:space="preserve"> </w:t>
      </w:r>
    </w:p>
  </w:footnote>
  <w:footnote w:id="301">
    <w:p w14:paraId="5D939A81"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207">
        <w:r>
          <w:rPr>
            <w:rFonts w:eastAsia="Arial Narrow" w:cs="Arial Narrow"/>
            <w:color w:val="0563C1"/>
            <w:sz w:val="18"/>
            <w:szCs w:val="18"/>
            <w:u w:val="single"/>
          </w:rPr>
          <w:t xml:space="preserve">Zmluva o NFP </w:t>
        </w:r>
      </w:hyperlink>
    </w:p>
  </w:footnote>
  <w:footnote w:id="302">
    <w:p w14:paraId="029B3935"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208">
        <w:r>
          <w:rPr>
            <w:rFonts w:eastAsia="Arial Narrow" w:cs="Arial Narrow"/>
            <w:color w:val="0563C1"/>
            <w:sz w:val="18"/>
            <w:szCs w:val="18"/>
            <w:u w:val="single"/>
          </w:rPr>
          <w:t xml:space="preserve">Zmluva emisné dáta z dopravy </w:t>
        </w:r>
      </w:hyperlink>
      <w:r>
        <w:rPr>
          <w:rFonts w:eastAsia="Arial Narrow" w:cs="Arial Narrow"/>
          <w:color w:val="000000"/>
          <w:sz w:val="18"/>
          <w:szCs w:val="18"/>
        </w:rPr>
        <w:t xml:space="preserve"> </w:t>
      </w:r>
    </w:p>
  </w:footnote>
  <w:footnote w:id="303">
    <w:p w14:paraId="17EE60C7"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209">
        <w:r>
          <w:rPr>
            <w:rFonts w:eastAsia="Arial Narrow" w:cs="Arial Narrow"/>
            <w:color w:val="0563C1"/>
            <w:sz w:val="18"/>
            <w:szCs w:val="18"/>
            <w:u w:val="single"/>
          </w:rPr>
          <w:t xml:space="preserve">Zmluva na nákup ceilometrov so softvérom </w:t>
        </w:r>
      </w:hyperlink>
      <w:r>
        <w:rPr>
          <w:rFonts w:eastAsia="Arial Narrow" w:cs="Arial Narrow"/>
          <w:color w:val="000000"/>
          <w:sz w:val="18"/>
          <w:szCs w:val="18"/>
        </w:rPr>
        <w:t xml:space="preserve"> </w:t>
      </w:r>
    </w:p>
  </w:footnote>
  <w:footnote w:id="304">
    <w:p w14:paraId="2F036074"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210">
        <w:r>
          <w:rPr>
            <w:rFonts w:eastAsia="Arial Narrow" w:cs="Arial Narrow"/>
            <w:color w:val="0563C1"/>
            <w:sz w:val="18"/>
            <w:szCs w:val="18"/>
            <w:u w:val="single"/>
          </w:rPr>
          <w:t>Zmluva na nákup vysokovýkonného výpočtového systému</w:t>
        </w:r>
      </w:hyperlink>
      <w:r>
        <w:rPr>
          <w:rFonts w:eastAsia="Arial Narrow" w:cs="Arial Narrow"/>
          <w:color w:val="000000"/>
          <w:sz w:val="18"/>
          <w:szCs w:val="18"/>
        </w:rPr>
        <w:t xml:space="preserve"> </w:t>
      </w:r>
    </w:p>
  </w:footnote>
  <w:footnote w:id="305">
    <w:p w14:paraId="2F98086D" w14:textId="77777777" w:rsidR="006C0687" w:rsidRDefault="006C0687">
      <w:pPr>
        <w:pBdr>
          <w:top w:val="nil"/>
          <w:left w:val="nil"/>
          <w:bottom w:val="nil"/>
          <w:right w:val="nil"/>
          <w:between w:val="nil"/>
        </w:pBdr>
        <w:spacing w:after="0"/>
        <w:rPr>
          <w:rFonts w:eastAsia="Arial Narrow" w:cs="Arial Narrow"/>
          <w:color w:val="0563C1"/>
          <w:sz w:val="20"/>
          <w:szCs w:val="20"/>
          <w:u w:val="single"/>
        </w:rPr>
      </w:pPr>
      <w:r>
        <w:rPr>
          <w:vertAlign w:val="superscript"/>
        </w:rPr>
        <w:footnoteRef/>
      </w:r>
      <w:r>
        <w:rPr>
          <w:rFonts w:eastAsia="Arial Narrow" w:cs="Arial Narrow"/>
          <w:color w:val="000000"/>
          <w:sz w:val="18"/>
          <w:szCs w:val="18"/>
        </w:rPr>
        <w:t xml:space="preserve"> </w:t>
      </w:r>
      <w:hyperlink r:id="rId211">
        <w:r>
          <w:rPr>
            <w:rFonts w:eastAsia="Arial Narrow" w:cs="Arial Narrow"/>
            <w:color w:val="0563C1"/>
            <w:sz w:val="18"/>
            <w:szCs w:val="18"/>
            <w:u w:val="single"/>
          </w:rPr>
          <w:t>Zmluva na komplexný multiškálový modelovací systém na predpoveď a hodnotenie kvality</w:t>
        </w:r>
      </w:hyperlink>
      <w:r>
        <w:rPr>
          <w:rFonts w:eastAsia="Arial Narrow" w:cs="Arial Narrow"/>
          <w:color w:val="0563C1"/>
          <w:sz w:val="20"/>
          <w:szCs w:val="20"/>
          <w:u w:val="single"/>
        </w:rPr>
        <w:t xml:space="preserve"> </w:t>
      </w:r>
      <w:r>
        <w:rPr>
          <w:rFonts w:eastAsia="Arial Narrow" w:cs="Arial Narrow"/>
          <w:color w:val="0563C1"/>
          <w:sz w:val="18"/>
          <w:szCs w:val="18"/>
          <w:u w:val="single"/>
        </w:rPr>
        <w:t xml:space="preserve">ovzdušia  </w:t>
      </w:r>
    </w:p>
  </w:footnote>
  <w:footnote w:id="306">
    <w:p w14:paraId="7687FF9B"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212">
        <w:r>
          <w:rPr>
            <w:rFonts w:eastAsia="Arial Narrow" w:cs="Arial Narrow"/>
            <w:color w:val="0563C1"/>
            <w:sz w:val="18"/>
            <w:szCs w:val="18"/>
            <w:u w:val="single"/>
          </w:rPr>
          <w:t>Zmluva na systém pre zálohovanie a archiváciu dát</w:t>
        </w:r>
      </w:hyperlink>
      <w:r>
        <w:rPr>
          <w:rFonts w:eastAsia="Arial Narrow" w:cs="Arial Narrow"/>
          <w:color w:val="000000"/>
          <w:sz w:val="18"/>
          <w:szCs w:val="18"/>
        </w:rPr>
        <w:t xml:space="preserve"> </w:t>
      </w:r>
    </w:p>
  </w:footnote>
  <w:footnote w:id="307">
    <w:p w14:paraId="5A65DE7C" w14:textId="77777777" w:rsidR="006C0687" w:rsidRDefault="006C0687">
      <w:pPr>
        <w:spacing w:after="0"/>
        <w:rPr>
          <w:rFonts w:eastAsia="Arial Narrow" w:cs="Arial Narrow"/>
          <w:sz w:val="18"/>
          <w:szCs w:val="18"/>
        </w:rPr>
      </w:pPr>
      <w:r>
        <w:rPr>
          <w:vertAlign w:val="superscript"/>
        </w:rPr>
        <w:footnoteRef/>
      </w:r>
      <w:r>
        <w:rPr>
          <w:rFonts w:eastAsia="Arial Narrow" w:cs="Arial Narrow"/>
        </w:rPr>
        <w:t xml:space="preserve"> </w:t>
      </w:r>
      <w:hyperlink r:id="rId213">
        <w:r>
          <w:rPr>
            <w:rFonts w:eastAsia="Arial Narrow" w:cs="Arial Narrow"/>
            <w:color w:val="0563C1"/>
            <w:sz w:val="18"/>
            <w:szCs w:val="18"/>
            <w:u w:val="single"/>
          </w:rPr>
          <w:t>Predbežné hodnotenie povodňového rizika</w:t>
        </w:r>
      </w:hyperlink>
      <w:r>
        <w:t xml:space="preserve"> </w:t>
      </w:r>
    </w:p>
  </w:footnote>
  <w:footnote w:id="308">
    <w:p w14:paraId="11151A95"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214">
        <w:r>
          <w:rPr>
            <w:rFonts w:eastAsia="Arial Narrow" w:cs="Arial Narrow"/>
            <w:color w:val="0563C1"/>
            <w:sz w:val="18"/>
            <w:szCs w:val="18"/>
            <w:u w:val="single"/>
          </w:rPr>
          <w:t>VO na vypracovanie Hodnotenia a manažmentu povodňového rizika - aktualizácia 2021</w:t>
        </w:r>
      </w:hyperlink>
      <w:r>
        <w:rPr>
          <w:rFonts w:eastAsia="Arial Narrow" w:cs="Arial Narrow"/>
          <w:color w:val="000000"/>
          <w:sz w:val="18"/>
          <w:szCs w:val="18"/>
        </w:rPr>
        <w:t xml:space="preserve"> </w:t>
      </w:r>
    </w:p>
  </w:footnote>
  <w:footnote w:id="309">
    <w:p w14:paraId="71A9904E" w14:textId="77777777" w:rsidR="006C0687" w:rsidRDefault="006C0687">
      <w:pPr>
        <w:spacing w:after="0"/>
        <w:rPr>
          <w:rFonts w:eastAsia="Arial Narrow" w:cs="Arial Narrow"/>
          <w:sz w:val="18"/>
          <w:szCs w:val="18"/>
        </w:rPr>
      </w:pPr>
      <w:r>
        <w:rPr>
          <w:vertAlign w:val="superscript"/>
        </w:rPr>
        <w:footnoteRef/>
      </w:r>
      <w:r>
        <w:rPr>
          <w:rFonts w:eastAsia="Arial Narrow" w:cs="Arial Narrow"/>
          <w:sz w:val="18"/>
          <w:szCs w:val="18"/>
        </w:rPr>
        <w:t xml:space="preserve"> </w:t>
      </w:r>
      <w:hyperlink r:id="rId215">
        <w:r>
          <w:rPr>
            <w:rFonts w:eastAsia="Arial Narrow" w:cs="Arial Narrow"/>
            <w:color w:val="0563C1"/>
            <w:sz w:val="18"/>
            <w:szCs w:val="18"/>
            <w:u w:val="single"/>
          </w:rPr>
          <w:t>Metodika prioritizácie projektov v protipovodňovej ochrane ČR</w:t>
        </w:r>
      </w:hyperlink>
      <w:r>
        <w:rPr>
          <w:rFonts w:eastAsia="Arial Narrow" w:cs="Arial Narrow"/>
          <w:sz w:val="18"/>
          <w:szCs w:val="18"/>
        </w:rPr>
        <w:t xml:space="preserve">   </w:t>
      </w:r>
    </w:p>
  </w:footnote>
  <w:footnote w:id="310">
    <w:p w14:paraId="1111F9CC"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216">
        <w:r>
          <w:rPr>
            <w:rFonts w:eastAsia="Arial Narrow" w:cs="Arial Narrow"/>
            <w:color w:val="0563C1"/>
            <w:sz w:val="18"/>
            <w:szCs w:val="18"/>
            <w:u w:val="single"/>
          </w:rPr>
          <w:t>Metodika CBA z OP ŽP</w:t>
        </w:r>
      </w:hyperlink>
      <w:r>
        <w:rPr>
          <w:rFonts w:eastAsia="Arial Narrow" w:cs="Arial Narrow"/>
          <w:color w:val="000000"/>
          <w:sz w:val="18"/>
          <w:szCs w:val="18"/>
        </w:rPr>
        <w:t xml:space="preserve"> </w:t>
      </w:r>
    </w:p>
  </w:footnote>
  <w:footnote w:id="311">
    <w:p w14:paraId="79A8CB84"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217">
        <w:r>
          <w:rPr>
            <w:rFonts w:eastAsia="Arial Narrow" w:cs="Arial Narrow"/>
            <w:color w:val="0563C1"/>
            <w:sz w:val="18"/>
            <w:szCs w:val="18"/>
            <w:u w:val="single"/>
          </w:rPr>
          <w:t>Benchmarky pre projekty vodohospodárskej infraštruktúry</w:t>
        </w:r>
      </w:hyperlink>
      <w:r>
        <w:rPr>
          <w:rFonts w:eastAsia="Arial Narrow" w:cs="Arial Narrow"/>
          <w:color w:val="000000"/>
          <w:sz w:val="18"/>
          <w:szCs w:val="18"/>
        </w:rPr>
        <w:t xml:space="preserve"> </w:t>
      </w:r>
    </w:p>
  </w:footnote>
  <w:footnote w:id="312">
    <w:p w14:paraId="5B9480EF"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20"/>
          <w:szCs w:val="20"/>
        </w:rPr>
        <w:t xml:space="preserve"> </w:t>
      </w:r>
      <w:hyperlink r:id="rId218">
        <w:r>
          <w:rPr>
            <w:rFonts w:eastAsia="Arial Narrow" w:cs="Arial Narrow"/>
            <w:color w:val="0563C1"/>
            <w:sz w:val="18"/>
            <w:szCs w:val="18"/>
            <w:u w:val="single"/>
          </w:rPr>
          <w:t>Výzva EF pre elektromobily</w:t>
        </w:r>
      </w:hyperlink>
      <w:r>
        <w:rPr>
          <w:rFonts w:eastAsia="Arial Narrow" w:cs="Arial Narrow"/>
          <w:color w:val="000000"/>
          <w:sz w:val="18"/>
          <w:szCs w:val="18"/>
        </w:rPr>
        <w:t xml:space="preserve"> </w:t>
      </w:r>
    </w:p>
  </w:footnote>
  <w:footnote w:id="313">
    <w:p w14:paraId="6B2345EF"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Ochrana ovzdušia a ozónovej vrstvy Zeme, Rozvoj odpadového hospodárstva a obehového hospodárstva z pohľadu odpadov, Ochrana prírody a krajiny, Environmentálna výchova, vzdelávanie a propagácia, Prieskum, výskum a vývoj zameraný na zisťovanie a zlepšenie stavu životného prostredia,</w:t>
      </w:r>
      <w:r>
        <w:rPr>
          <w:rFonts w:eastAsia="Arial Narrow" w:cs="Arial Narrow"/>
          <w:color w:val="000000"/>
          <w:sz w:val="20"/>
          <w:szCs w:val="20"/>
        </w:rPr>
        <w:t xml:space="preserve"> </w:t>
      </w:r>
      <w:r>
        <w:rPr>
          <w:rFonts w:eastAsia="Arial Narrow" w:cs="Arial Narrow"/>
          <w:color w:val="000000"/>
          <w:sz w:val="18"/>
          <w:szCs w:val="18"/>
        </w:rPr>
        <w:t>Zvyšovanie energetickej účinnosti existujúcich verejných budov vrátane zatepľovania a Environmentálne záťaže</w:t>
      </w:r>
    </w:p>
  </w:footnote>
  <w:footnote w:id="314">
    <w:p w14:paraId="433EDE5B"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219">
        <w:r>
          <w:rPr>
            <w:rFonts w:eastAsia="Arial Narrow" w:cs="Arial Narrow"/>
            <w:color w:val="0563C1"/>
            <w:sz w:val="18"/>
            <w:szCs w:val="18"/>
            <w:u w:val="single"/>
          </w:rPr>
          <w:t>Zmluva o výkone auditu VV</w:t>
        </w:r>
      </w:hyperlink>
      <w:r>
        <w:rPr>
          <w:rFonts w:eastAsia="Arial Narrow" w:cs="Arial Narrow"/>
          <w:color w:val="000000"/>
          <w:sz w:val="18"/>
          <w:szCs w:val="18"/>
        </w:rPr>
        <w:t xml:space="preserve"> </w:t>
      </w:r>
    </w:p>
  </w:footnote>
  <w:footnote w:id="315">
    <w:p w14:paraId="5DE51EB3" w14:textId="77777777" w:rsidR="006C0687" w:rsidRDefault="006C0687">
      <w:pPr>
        <w:pStyle w:val="Textpoznmkypodiarou"/>
      </w:pPr>
      <w:r>
        <w:rPr>
          <w:rStyle w:val="Odkaznapoznmkupodiarou"/>
        </w:rPr>
        <w:footnoteRef/>
      </w:r>
      <w:r>
        <w:t xml:space="preserve"> </w:t>
      </w:r>
      <w:hyperlink r:id="rId220" w:history="1">
        <w:r>
          <w:rPr>
            <w:rStyle w:val="Hypertextovprepojenie"/>
            <w:sz w:val="18"/>
            <w:szCs w:val="18"/>
          </w:rPr>
          <w:t>Správa o povodniach za rok 2018</w:t>
        </w:r>
      </w:hyperlink>
    </w:p>
  </w:footnote>
  <w:footnote w:id="316">
    <w:p w14:paraId="39D7AA78" w14:textId="77777777" w:rsidR="006C0687" w:rsidRDefault="006C0687">
      <w:pPr>
        <w:pBdr>
          <w:top w:val="nil"/>
          <w:left w:val="nil"/>
          <w:bottom w:val="nil"/>
          <w:right w:val="nil"/>
          <w:between w:val="nil"/>
        </w:pBdr>
        <w:spacing w:after="0"/>
        <w:rPr>
          <w:rFonts w:eastAsia="Arial Narrow" w:cs="Arial Narrow"/>
          <w:color w:val="000000"/>
          <w:sz w:val="18"/>
          <w:szCs w:val="18"/>
        </w:rPr>
      </w:pPr>
      <w:r>
        <w:rPr>
          <w:vertAlign w:val="superscript"/>
        </w:rPr>
        <w:footnoteRef/>
      </w:r>
      <w:r>
        <w:rPr>
          <w:rFonts w:eastAsia="Arial Narrow" w:cs="Arial Narrow"/>
          <w:color w:val="000000"/>
          <w:sz w:val="18"/>
          <w:szCs w:val="18"/>
        </w:rPr>
        <w:t xml:space="preserve"> </w:t>
      </w:r>
      <w:hyperlink r:id="rId221">
        <w:r>
          <w:rPr>
            <w:rFonts w:eastAsia="Arial Narrow" w:cs="Arial Narrow"/>
            <w:color w:val="0563C1"/>
            <w:sz w:val="18"/>
            <w:szCs w:val="18"/>
            <w:u w:val="single"/>
          </w:rPr>
          <w:t>Komentár IEP „Späť ku koreňom“</w:t>
        </w:r>
      </w:hyperlink>
      <w:r>
        <w:rPr>
          <w:rFonts w:eastAsia="Arial Narrow" w:cs="Arial Narrow"/>
          <w:color w:val="000000"/>
          <w:sz w:val="18"/>
          <w:szCs w:val="18"/>
        </w:rPr>
        <w:t xml:space="preserve"> </w:t>
      </w:r>
    </w:p>
  </w:footnote>
  <w:footnote w:id="317">
    <w:p w14:paraId="50AC1608" w14:textId="009CF0EE" w:rsidR="006C0687" w:rsidRPr="00FE7B2B" w:rsidRDefault="006C0687" w:rsidP="00D27F91">
      <w:pPr>
        <w:pStyle w:val="Textpoznmkypodiarou"/>
        <w:jc w:val="left"/>
        <w:rPr>
          <w:sz w:val="18"/>
          <w:szCs w:val="18"/>
        </w:rPr>
      </w:pPr>
      <w:r w:rsidRPr="00FE7B2B">
        <w:rPr>
          <w:rStyle w:val="Odkaznapoznmkupodiarou"/>
          <w:sz w:val="18"/>
          <w:szCs w:val="18"/>
        </w:rPr>
        <w:footnoteRef/>
      </w:r>
      <w:r w:rsidRPr="00FE7B2B">
        <w:rPr>
          <w:sz w:val="18"/>
          <w:szCs w:val="18"/>
        </w:rPr>
        <w:t xml:space="preserve"> </w:t>
      </w:r>
      <w:r>
        <w:rPr>
          <w:sz w:val="18"/>
          <w:szCs w:val="18"/>
        </w:rPr>
        <w:t>Scenár z revízie výdavkov trhu práce a sociálnych politík, Zdroj: https://www.mfsr.sk/files/archiv/uhp/3370/76/Revizia_vydavkov_na-praca.pdf</w:t>
      </w:r>
    </w:p>
  </w:footnote>
  <w:footnote w:id="318">
    <w:p w14:paraId="74D60BB7" w14:textId="77777777" w:rsidR="006C0687" w:rsidRPr="008D2204" w:rsidRDefault="006C0687">
      <w:pPr>
        <w:pStyle w:val="Textpoznmkypodiarou"/>
        <w:rPr>
          <w:sz w:val="18"/>
          <w:szCs w:val="18"/>
        </w:rPr>
      </w:pPr>
      <w:r w:rsidRPr="008D2204">
        <w:rPr>
          <w:rStyle w:val="Odkaznapoznmkupodiarou"/>
          <w:sz w:val="18"/>
          <w:szCs w:val="18"/>
        </w:rPr>
        <w:footnoteRef/>
      </w:r>
      <w:r w:rsidRPr="008D2204">
        <w:rPr>
          <w:sz w:val="18"/>
          <w:szCs w:val="18"/>
        </w:rPr>
        <w:t xml:space="preserve"> Zdroj: Návrh novely zákona,  Analýza vplyvov na rozpočet verejnej správy. Skutočný výpadok príjmov sa kvôli posunutej účinnosti zavedenia ročného zúčtovania a súčasnej neočakávanej epidemiologickej situácie môže líšiť.</w:t>
      </w:r>
    </w:p>
  </w:footnote>
  <w:footnote w:id="319">
    <w:p w14:paraId="528C7160" w14:textId="77777777" w:rsidR="006C0687" w:rsidRPr="00A23572" w:rsidRDefault="006C0687">
      <w:pPr>
        <w:pStyle w:val="Textpoznmkypodiarou"/>
        <w:rPr>
          <w:sz w:val="18"/>
          <w:szCs w:val="18"/>
        </w:rPr>
      </w:pPr>
      <w:r w:rsidRPr="00A23572">
        <w:rPr>
          <w:rStyle w:val="Odkaznapoznmkupodiarou"/>
          <w:sz w:val="18"/>
          <w:szCs w:val="18"/>
        </w:rPr>
        <w:footnoteRef/>
      </w:r>
      <w:r w:rsidRPr="00A23572">
        <w:rPr>
          <w:sz w:val="18"/>
          <w:szCs w:val="18"/>
        </w:rPr>
        <w:t xml:space="preserve"> </w:t>
      </w:r>
      <w:hyperlink r:id="rId222" w:history="1">
        <w:r w:rsidRPr="004D1D1A">
          <w:rPr>
            <w:rStyle w:val="Hypertextovprepojenie"/>
            <w:sz w:val="18"/>
            <w:szCs w:val="18"/>
          </w:rPr>
          <w:t>Novela zákona č. 461/2003 Z. z. o sociálnom poistení</w:t>
        </w:r>
      </w:hyperlink>
    </w:p>
  </w:footnote>
  <w:footnote w:id="320">
    <w:p w14:paraId="70E6607D" w14:textId="77777777" w:rsidR="006C0687" w:rsidRPr="004D190E" w:rsidRDefault="006C0687" w:rsidP="00D27F91">
      <w:pPr>
        <w:pStyle w:val="Textpoznmkypodiarou"/>
        <w:rPr>
          <w:sz w:val="18"/>
          <w:szCs w:val="18"/>
        </w:rPr>
      </w:pPr>
      <w:r w:rsidRPr="004D190E">
        <w:rPr>
          <w:rStyle w:val="Odkaznapoznmkupodiarou"/>
          <w:sz w:val="18"/>
          <w:szCs w:val="18"/>
        </w:rPr>
        <w:footnoteRef/>
      </w:r>
      <w:r w:rsidRPr="004D190E">
        <w:rPr>
          <w:sz w:val="18"/>
          <w:szCs w:val="18"/>
        </w:rPr>
        <w:t xml:space="preserve"> </w:t>
      </w:r>
      <w:hyperlink r:id="rId223" w:history="1">
        <w:r w:rsidRPr="004D1D1A">
          <w:rPr>
            <w:rStyle w:val="Hypertextovprepojenie"/>
            <w:sz w:val="18"/>
            <w:szCs w:val="18"/>
          </w:rPr>
          <w:t>Poslanecký návrh novely zákona</w:t>
        </w:r>
      </w:hyperlink>
    </w:p>
  </w:footnote>
  <w:footnote w:id="321">
    <w:p w14:paraId="51109BD6" w14:textId="77777777" w:rsidR="006C0687" w:rsidRPr="00DF7961" w:rsidRDefault="006C0687" w:rsidP="00D27F91">
      <w:pPr>
        <w:pStyle w:val="Textpoznmkypodiarou"/>
        <w:rPr>
          <w:color w:val="0563C1"/>
          <w:sz w:val="18"/>
          <w:szCs w:val="18"/>
          <w:u w:val="single"/>
        </w:rPr>
      </w:pPr>
      <w:r>
        <w:rPr>
          <w:rStyle w:val="Odkaznapoznmkupodiarou"/>
        </w:rPr>
        <w:footnoteRef/>
      </w:r>
      <w:r>
        <w:t xml:space="preserve"> </w:t>
      </w:r>
      <w:hyperlink r:id="rId224" w:history="1">
        <w:r>
          <w:rPr>
            <w:rStyle w:val="Hypertextovprepojenie"/>
            <w:sz w:val="18"/>
            <w:szCs w:val="18"/>
          </w:rPr>
          <w:t>Vládny návrh zákona</w:t>
        </w:r>
      </w:hyperlink>
    </w:p>
  </w:footnote>
  <w:footnote w:id="322">
    <w:p w14:paraId="05374779" w14:textId="77777777" w:rsidR="006C0687" w:rsidRDefault="006C0687" w:rsidP="00D27F91">
      <w:pPr>
        <w:pStyle w:val="Textpoznmkypodiarou"/>
      </w:pPr>
      <w:r>
        <w:rPr>
          <w:rStyle w:val="Odkaznapoznmkupodiarou"/>
        </w:rPr>
        <w:footnoteRef/>
      </w:r>
      <w:r>
        <w:t xml:space="preserve"> </w:t>
      </w:r>
      <w:hyperlink r:id="rId225" w:history="1">
        <w:r w:rsidRPr="004D1D1A">
          <w:rPr>
            <w:rStyle w:val="Hypertextovprepojenie"/>
            <w:sz w:val="18"/>
            <w:szCs w:val="18"/>
          </w:rPr>
          <w:t>Novela zákona č. 571/2009 Z. z. o rodičovskom príspevku</w:t>
        </w:r>
      </w:hyperlink>
    </w:p>
  </w:footnote>
  <w:footnote w:id="323">
    <w:p w14:paraId="34BDA18F" w14:textId="77777777" w:rsidR="006C0687" w:rsidRPr="00B801C2" w:rsidRDefault="006C0687">
      <w:pPr>
        <w:pStyle w:val="Textpoznmkypodiarou"/>
        <w:rPr>
          <w:sz w:val="18"/>
          <w:szCs w:val="18"/>
        </w:rPr>
      </w:pPr>
      <w:r w:rsidRPr="00B801C2">
        <w:rPr>
          <w:rStyle w:val="Odkaznapoznmkupodiarou"/>
          <w:sz w:val="18"/>
          <w:szCs w:val="18"/>
        </w:rPr>
        <w:footnoteRef/>
      </w:r>
      <w:r w:rsidRPr="00B801C2">
        <w:rPr>
          <w:sz w:val="18"/>
          <w:szCs w:val="18"/>
        </w:rPr>
        <w:t xml:space="preserve"> </w:t>
      </w:r>
      <w:hyperlink r:id="rId226" w:history="1">
        <w:r w:rsidRPr="00326CC3">
          <w:rPr>
            <w:rStyle w:val="Hypertextovprepojenie"/>
            <w:sz w:val="18"/>
            <w:szCs w:val="18"/>
          </w:rPr>
          <w:t>Zmluva o poskytnutí NFP Z312031R326</w:t>
        </w:r>
      </w:hyperlink>
    </w:p>
  </w:footnote>
  <w:footnote w:id="324">
    <w:p w14:paraId="69EBB20E" w14:textId="77777777" w:rsidR="006C0687" w:rsidRPr="00F02B57" w:rsidRDefault="006C0687" w:rsidP="00D27F91">
      <w:pPr>
        <w:pStyle w:val="Textpoznmkypodiarou"/>
        <w:rPr>
          <w:sz w:val="18"/>
          <w:szCs w:val="18"/>
        </w:rPr>
      </w:pPr>
      <w:r w:rsidRPr="00F02B57">
        <w:rPr>
          <w:rStyle w:val="Odkaznapoznmkupodiarou"/>
          <w:sz w:val="18"/>
          <w:szCs w:val="18"/>
        </w:rPr>
        <w:footnoteRef/>
      </w:r>
      <w:r w:rsidRPr="00F02B57">
        <w:rPr>
          <w:sz w:val="18"/>
          <w:szCs w:val="18"/>
        </w:rPr>
        <w:t xml:space="preserve"> Okrem </w:t>
      </w:r>
      <w:hyperlink r:id="rId227" w:history="1">
        <w:r w:rsidRPr="004D1D1A">
          <w:rPr>
            <w:rStyle w:val="Hypertextovprepojenie"/>
            <w:sz w:val="18"/>
            <w:szCs w:val="18"/>
          </w:rPr>
          <w:t>novely zákona č. 43/2004 Z. z. o starobnom dôchodkovom sporení</w:t>
        </w:r>
      </w:hyperlink>
      <w:r>
        <w:rPr>
          <w:sz w:val="18"/>
          <w:szCs w:val="18"/>
        </w:rPr>
        <w:t>.</w:t>
      </w:r>
    </w:p>
  </w:footnote>
  <w:footnote w:id="325">
    <w:p w14:paraId="242DC8D0" w14:textId="77777777" w:rsidR="006C0687" w:rsidRPr="004D190E" w:rsidRDefault="006C0687" w:rsidP="00D27F91">
      <w:pPr>
        <w:pStyle w:val="Textpoznmkypodiarou"/>
        <w:rPr>
          <w:sz w:val="18"/>
          <w:szCs w:val="18"/>
        </w:rPr>
      </w:pPr>
      <w:r w:rsidRPr="004D190E">
        <w:rPr>
          <w:rStyle w:val="Odkaznapoznmkupodiarou"/>
          <w:sz w:val="18"/>
          <w:szCs w:val="18"/>
        </w:rPr>
        <w:footnoteRef/>
      </w:r>
      <w:r w:rsidRPr="004D190E">
        <w:rPr>
          <w:sz w:val="18"/>
          <w:szCs w:val="18"/>
        </w:rPr>
        <w:t xml:space="preserve"> Pan-European Personal Pension Product – Celoeurópsky dôchodkový produkt</w:t>
      </w:r>
    </w:p>
  </w:footnote>
  <w:footnote w:id="326">
    <w:p w14:paraId="0B7D90DB" w14:textId="77777777" w:rsidR="006C0687" w:rsidRPr="003471B6" w:rsidRDefault="006C0687" w:rsidP="00D27F91">
      <w:pPr>
        <w:pStyle w:val="Textpoznmkypodiarou"/>
        <w:rPr>
          <w:sz w:val="18"/>
          <w:szCs w:val="18"/>
        </w:rPr>
      </w:pPr>
      <w:r w:rsidRPr="003471B6">
        <w:rPr>
          <w:rStyle w:val="Odkaznapoznmkupodiarou"/>
          <w:sz w:val="18"/>
          <w:szCs w:val="18"/>
        </w:rPr>
        <w:footnoteRef/>
      </w:r>
      <w:r w:rsidRPr="003471B6">
        <w:rPr>
          <w:sz w:val="18"/>
          <w:szCs w:val="18"/>
        </w:rPr>
        <w:t xml:space="preserve"> </w:t>
      </w:r>
      <w:hyperlink r:id="rId228" w:history="1">
        <w:r>
          <w:rPr>
            <w:rStyle w:val="Hypertextovprepojenie"/>
            <w:sz w:val="18"/>
            <w:szCs w:val="18"/>
          </w:rPr>
          <w:t>Novela zákona č. 448/2008 Z. z. o sociálnych službách</w:t>
        </w:r>
      </w:hyperlink>
    </w:p>
  </w:footnote>
  <w:footnote w:id="327">
    <w:p w14:paraId="6B2AEB5C" w14:textId="77777777" w:rsidR="006C0687" w:rsidRPr="00CA4329" w:rsidRDefault="006C0687" w:rsidP="00D27F91">
      <w:pPr>
        <w:pStyle w:val="Textpoznmkypodiarou"/>
        <w:rPr>
          <w:sz w:val="18"/>
          <w:szCs w:val="18"/>
        </w:rPr>
      </w:pPr>
      <w:r w:rsidRPr="00CA4329">
        <w:rPr>
          <w:rStyle w:val="Odkaznapoznmkupodiarou"/>
          <w:sz w:val="18"/>
          <w:szCs w:val="18"/>
        </w:rPr>
        <w:footnoteRef/>
      </w:r>
      <w:r w:rsidRPr="00CA4329">
        <w:rPr>
          <w:sz w:val="18"/>
          <w:szCs w:val="18"/>
        </w:rPr>
        <w:t xml:space="preserve"> Aktualizovaný termín na základe Implementačných plánov na rok 2019.</w:t>
      </w:r>
    </w:p>
  </w:footnote>
  <w:footnote w:id="328">
    <w:p w14:paraId="0405A1C4" w14:textId="702577F9" w:rsidR="006C0687" w:rsidRPr="00DD63FF" w:rsidRDefault="006C0687" w:rsidP="006A46B6">
      <w:pPr>
        <w:pStyle w:val="Textpoznmkypodiarou"/>
        <w:rPr>
          <w:sz w:val="18"/>
          <w:szCs w:val="18"/>
        </w:rPr>
      </w:pPr>
      <w:r w:rsidRPr="00DD63FF">
        <w:rPr>
          <w:rStyle w:val="Odkaznapoznmkupodiarou"/>
          <w:sz w:val="18"/>
          <w:szCs w:val="18"/>
        </w:rPr>
        <w:footnoteRef/>
      </w:r>
      <w:r w:rsidRPr="00DD63FF">
        <w:rPr>
          <w:sz w:val="18"/>
          <w:szCs w:val="18"/>
        </w:rPr>
        <w:t xml:space="preserve"> Po dohode s ÚHP MF SR sa toto opatrenie počas roka 2018 </w:t>
      </w:r>
      <w:r>
        <w:rPr>
          <w:sz w:val="18"/>
          <w:szCs w:val="18"/>
        </w:rPr>
        <w:t>nehodnotilo</w:t>
      </w:r>
      <w:r w:rsidRPr="00DD63FF">
        <w:rPr>
          <w:sz w:val="18"/>
          <w:szCs w:val="18"/>
        </w:rPr>
        <w:t xml:space="preserve"> a</w:t>
      </w:r>
      <w:r>
        <w:rPr>
          <w:sz w:val="18"/>
          <w:szCs w:val="18"/>
        </w:rPr>
        <w:t xml:space="preserve"> už</w:t>
      </w:r>
      <w:r w:rsidRPr="00DD63FF">
        <w:rPr>
          <w:sz w:val="18"/>
          <w:szCs w:val="18"/>
        </w:rPr>
        <w:t xml:space="preserve"> nie je predmetom plánu </w:t>
      </w:r>
      <w:r w:rsidRPr="00A14A5D">
        <w:rPr>
          <w:sz w:val="18"/>
          <w:szCs w:val="18"/>
        </w:rPr>
        <w:t>odpočtu n</w:t>
      </w:r>
      <w:r w:rsidRPr="00DD63FF">
        <w:rPr>
          <w:sz w:val="18"/>
          <w:szCs w:val="18"/>
        </w:rPr>
        <w:t>a rok 2019.</w:t>
      </w:r>
    </w:p>
  </w:footnote>
  <w:footnote w:id="329">
    <w:p w14:paraId="166BB95C" w14:textId="77777777" w:rsidR="006C0687" w:rsidRPr="004F7E43" w:rsidRDefault="006C0687">
      <w:pPr>
        <w:pStyle w:val="Textpoznmkypodiarou"/>
        <w:rPr>
          <w:sz w:val="18"/>
          <w:szCs w:val="18"/>
        </w:rPr>
      </w:pPr>
      <w:r w:rsidRPr="004F7E43">
        <w:rPr>
          <w:rStyle w:val="Odkaznapoznmkupodiarou"/>
          <w:sz w:val="18"/>
          <w:szCs w:val="18"/>
        </w:rPr>
        <w:footnoteRef/>
      </w:r>
      <w:r w:rsidRPr="004F7E43">
        <w:rPr>
          <w:sz w:val="18"/>
          <w:szCs w:val="18"/>
        </w:rPr>
        <w:t xml:space="preserve"> Analýza nebola do 12/2019 zverejnená na stránke MPSVR SR.</w:t>
      </w:r>
    </w:p>
  </w:footnote>
  <w:footnote w:id="330">
    <w:p w14:paraId="3DB2C933" w14:textId="77777777" w:rsidR="006C0687" w:rsidRPr="004F7E43" w:rsidRDefault="006C0687">
      <w:pPr>
        <w:pStyle w:val="Textpoznmkypodiarou"/>
        <w:rPr>
          <w:sz w:val="18"/>
          <w:szCs w:val="18"/>
        </w:rPr>
      </w:pPr>
      <w:r w:rsidRPr="004F7E43">
        <w:rPr>
          <w:rStyle w:val="Odkaznapoznmkupodiarou"/>
          <w:sz w:val="18"/>
          <w:szCs w:val="18"/>
        </w:rPr>
        <w:footnoteRef/>
      </w:r>
      <w:r w:rsidRPr="004F7E43">
        <w:rPr>
          <w:sz w:val="18"/>
          <w:szCs w:val="18"/>
        </w:rPr>
        <w:t xml:space="preserve"> </w:t>
      </w:r>
      <w:hyperlink r:id="rId229" w:history="1">
        <w:r w:rsidRPr="004D1D1A">
          <w:rPr>
            <w:rStyle w:val="Hypertextovprepojenie"/>
            <w:sz w:val="18"/>
            <w:szCs w:val="18"/>
          </w:rPr>
          <w:t>Novela zákona č. 571/2009 Z. z. o rodičovskom príspevku</w:t>
        </w:r>
      </w:hyperlink>
    </w:p>
  </w:footnote>
  <w:footnote w:id="331">
    <w:p w14:paraId="0EDD8E02" w14:textId="77777777" w:rsidR="006C0687" w:rsidRPr="00E51E9B" w:rsidRDefault="006C0687" w:rsidP="00D27F91">
      <w:pPr>
        <w:pStyle w:val="Textpoznmkypodiarou"/>
        <w:rPr>
          <w:sz w:val="18"/>
          <w:szCs w:val="18"/>
        </w:rPr>
      </w:pPr>
      <w:r w:rsidRPr="00E51E9B">
        <w:rPr>
          <w:rStyle w:val="Odkaznapoznmkupodiarou"/>
          <w:sz w:val="18"/>
          <w:szCs w:val="18"/>
        </w:rPr>
        <w:footnoteRef/>
      </w:r>
      <w:r w:rsidRPr="00E51E9B">
        <w:rPr>
          <w:sz w:val="18"/>
          <w:szCs w:val="18"/>
        </w:rPr>
        <w:t xml:space="preserve"> </w:t>
      </w:r>
      <w:r w:rsidRPr="003B690D">
        <w:rPr>
          <w:sz w:val="18"/>
          <w:szCs w:val="18"/>
        </w:rPr>
        <w:t xml:space="preserve">Komisárka pre osoby so zdravotným postihnutím Z. Stavrovská poukázala na negatívny dopad zavedenia dvojúrovňového rodičovského  príspevku na osoby so zdravotným postihnutím. Zdroj: </w:t>
      </w:r>
      <w:hyperlink r:id="rId230" w:history="1">
        <w:r w:rsidRPr="003B690D">
          <w:rPr>
            <w:rStyle w:val="Hypertextovprepojenie"/>
            <w:sz w:val="18"/>
            <w:szCs w:val="18"/>
          </w:rPr>
          <w:t>Vyjadrenie k novele zákona rodičovského príspevku</w:t>
        </w:r>
      </w:hyperlink>
    </w:p>
  </w:footnote>
  <w:footnote w:id="332">
    <w:p w14:paraId="649DAC74" w14:textId="77777777" w:rsidR="006C0687" w:rsidRPr="003B690D" w:rsidRDefault="006C0687" w:rsidP="00D27F91">
      <w:pPr>
        <w:pStyle w:val="Textpoznmkypodiarou"/>
        <w:jc w:val="left"/>
        <w:rPr>
          <w:sz w:val="18"/>
          <w:szCs w:val="18"/>
        </w:rPr>
      </w:pPr>
      <w:r w:rsidRPr="003B690D">
        <w:rPr>
          <w:rStyle w:val="Odkaznapoznmkupodiarou"/>
          <w:sz w:val="18"/>
          <w:szCs w:val="18"/>
        </w:rPr>
        <w:footnoteRef/>
      </w:r>
      <w:r w:rsidRPr="003B690D">
        <w:rPr>
          <w:sz w:val="18"/>
          <w:szCs w:val="18"/>
        </w:rPr>
        <w:t xml:space="preserve"> Špecifickým cieľom </w:t>
      </w:r>
      <w:hyperlink r:id="rId231" w:history="1">
        <w:r w:rsidRPr="00FB4315">
          <w:rPr>
            <w:rStyle w:val="Hypertextovprepojenie"/>
            <w:sz w:val="18"/>
            <w:szCs w:val="18"/>
          </w:rPr>
          <w:t>Stratégie v oblasti náhradnej starostlivosti</w:t>
        </w:r>
      </w:hyperlink>
      <w:r w:rsidRPr="003B690D">
        <w:rPr>
          <w:sz w:val="18"/>
          <w:szCs w:val="18"/>
        </w:rPr>
        <w:t xml:space="preserve"> je zníženie počtu detí v inštitúciách na základe rozhodnutia súdu, okrem iného utvorením podmienok rozvoja opatrení na predchádzanie nariadeniu ústavnej starostlivosti.</w:t>
      </w:r>
    </w:p>
  </w:footnote>
  <w:footnote w:id="333">
    <w:p w14:paraId="0FEDD428" w14:textId="77777777" w:rsidR="006C0687" w:rsidRPr="003B690D" w:rsidRDefault="006C0687" w:rsidP="00D27F91">
      <w:pPr>
        <w:pStyle w:val="Textpoznmkypodiarou"/>
        <w:rPr>
          <w:sz w:val="18"/>
          <w:szCs w:val="18"/>
        </w:rPr>
      </w:pPr>
      <w:r w:rsidRPr="003B690D">
        <w:rPr>
          <w:rStyle w:val="Odkaznapoznmkupodiarou"/>
          <w:sz w:val="18"/>
          <w:szCs w:val="18"/>
        </w:rPr>
        <w:footnoteRef/>
      </w:r>
      <w:r w:rsidRPr="003B690D">
        <w:rPr>
          <w:sz w:val="18"/>
          <w:szCs w:val="18"/>
        </w:rPr>
        <w:t xml:space="preserve"> Napr. prijatím </w:t>
      </w:r>
      <w:hyperlink r:id="rId232" w:history="1">
        <w:r w:rsidRPr="003B690D">
          <w:rPr>
            <w:rStyle w:val="Hypertextovprepojenie"/>
            <w:sz w:val="18"/>
            <w:szCs w:val="18"/>
          </w:rPr>
          <w:t>novely zákona č. 305/2005 Z. z. o sociálnoprávnej ochrane detí a o sociálnej kuratele,</w:t>
        </w:r>
      </w:hyperlink>
      <w:r w:rsidRPr="003B690D">
        <w:rPr>
          <w:sz w:val="18"/>
          <w:szCs w:val="18"/>
        </w:rPr>
        <w:t xml:space="preserve"> prostredníctvom ktorej vznikli od 1.1.2019 centrá pre deti a rodiny.</w:t>
      </w:r>
      <w:r w:rsidRPr="003B690D" w:rsidDel="004D1D1A">
        <w:rPr>
          <w:sz w:val="18"/>
          <w:szCs w:val="18"/>
        </w:rPr>
        <w:t xml:space="preserve"> </w:t>
      </w:r>
    </w:p>
  </w:footnote>
  <w:footnote w:id="334">
    <w:p w14:paraId="31F0B93B" w14:textId="77777777" w:rsidR="006C0687" w:rsidRPr="003B690D" w:rsidRDefault="006C0687" w:rsidP="00D27F91">
      <w:pPr>
        <w:pStyle w:val="Textpoznmkypodiarou"/>
        <w:rPr>
          <w:sz w:val="18"/>
          <w:szCs w:val="18"/>
        </w:rPr>
      </w:pPr>
      <w:r w:rsidRPr="003B690D">
        <w:rPr>
          <w:rStyle w:val="Odkaznapoznmkupodiarou"/>
          <w:sz w:val="18"/>
          <w:szCs w:val="18"/>
        </w:rPr>
        <w:footnoteRef/>
      </w:r>
      <w:r w:rsidRPr="003B690D">
        <w:rPr>
          <w:sz w:val="18"/>
          <w:szCs w:val="18"/>
        </w:rPr>
        <w:t xml:space="preserve"> </w:t>
      </w:r>
      <w:hyperlink r:id="rId233" w:history="1">
        <w:r w:rsidRPr="003B690D">
          <w:rPr>
            <w:rStyle w:val="Hypertextovprepojenie"/>
            <w:sz w:val="18"/>
            <w:szCs w:val="18"/>
          </w:rPr>
          <w:t>Národný projekt Podpora deinštitucionalizácie náhradnej starostlivosti v zariadeniach</w:t>
        </w:r>
      </w:hyperlink>
    </w:p>
  </w:footnote>
  <w:footnote w:id="335">
    <w:p w14:paraId="7AFED6D6" w14:textId="77777777" w:rsidR="006C0687" w:rsidRPr="003B690D" w:rsidRDefault="006C0687" w:rsidP="00D27F91">
      <w:pPr>
        <w:pStyle w:val="Textpoznmkypodiarou"/>
        <w:rPr>
          <w:sz w:val="18"/>
          <w:szCs w:val="18"/>
        </w:rPr>
      </w:pPr>
      <w:r w:rsidRPr="003B690D">
        <w:rPr>
          <w:rStyle w:val="Odkaznapoznmkupodiarou"/>
          <w:sz w:val="18"/>
          <w:szCs w:val="18"/>
        </w:rPr>
        <w:footnoteRef/>
      </w:r>
      <w:r w:rsidRPr="003B690D">
        <w:rPr>
          <w:sz w:val="18"/>
          <w:szCs w:val="18"/>
        </w:rPr>
        <w:t xml:space="preserve"> </w:t>
      </w:r>
      <w:hyperlink r:id="rId234" w:history="1">
        <w:r w:rsidRPr="003B690D">
          <w:rPr>
            <w:rStyle w:val="Hypertextovprepojenie"/>
            <w:sz w:val="18"/>
            <w:szCs w:val="18"/>
          </w:rPr>
          <w:t>Národný projekt Podpora deinštitucionalizácie náhradnej starostlivosti III</w:t>
        </w:r>
      </w:hyperlink>
    </w:p>
  </w:footnote>
  <w:footnote w:id="336">
    <w:p w14:paraId="1D84B7BF" w14:textId="77777777" w:rsidR="006C0687" w:rsidRPr="00E51E9B" w:rsidRDefault="006C0687" w:rsidP="00D27F91">
      <w:pPr>
        <w:pStyle w:val="Textpoznmkypodiarou"/>
        <w:rPr>
          <w:sz w:val="18"/>
          <w:szCs w:val="18"/>
        </w:rPr>
      </w:pPr>
      <w:r w:rsidRPr="00E51E9B">
        <w:rPr>
          <w:rStyle w:val="Odkaznapoznmkupodiarou"/>
          <w:sz w:val="18"/>
          <w:szCs w:val="18"/>
        </w:rPr>
        <w:footnoteRef/>
      </w:r>
      <w:r w:rsidRPr="00E51E9B">
        <w:rPr>
          <w:sz w:val="18"/>
          <w:szCs w:val="18"/>
        </w:rPr>
        <w:t xml:space="preserve"> Táto skutočnosť je ovplyvňovaná aj štruktúrou detí vychovávaných mimo rodiny, napr. deti s vekom blízkym plnoletosti, deti so zdravotným postihnutím, etnická príslušnosť. </w:t>
      </w:r>
    </w:p>
  </w:footnote>
  <w:footnote w:id="337">
    <w:p w14:paraId="0789D25D" w14:textId="77777777" w:rsidR="006C0687" w:rsidRPr="003B690D" w:rsidRDefault="006C0687" w:rsidP="00D27F91">
      <w:pPr>
        <w:spacing w:after="0"/>
        <w:rPr>
          <w:rFonts w:eastAsia="Times New Roman" w:cs="Calibri"/>
          <w:color w:val="000000"/>
          <w:sz w:val="18"/>
          <w:szCs w:val="18"/>
          <w:lang w:eastAsia="sk-SK"/>
        </w:rPr>
      </w:pPr>
      <w:r w:rsidRPr="00E51E9B">
        <w:rPr>
          <w:rStyle w:val="Odkaznapoznmkupodiarou"/>
          <w:sz w:val="18"/>
          <w:szCs w:val="18"/>
        </w:rPr>
        <w:footnoteRef/>
      </w:r>
      <w:r w:rsidRPr="00E51E9B">
        <w:rPr>
          <w:sz w:val="18"/>
          <w:szCs w:val="18"/>
        </w:rPr>
        <w:t xml:space="preserve"> </w:t>
      </w:r>
      <w:r w:rsidRPr="003B690D">
        <w:rPr>
          <w:rFonts w:eastAsia="Times New Roman" w:cs="Calibri"/>
          <w:color w:val="000000"/>
          <w:sz w:val="18"/>
          <w:szCs w:val="18"/>
          <w:lang w:eastAsia="sk-SK"/>
        </w:rPr>
        <w:t>Vysvetlivky*: P - poručníctvo, PS - pestúnska starostlivosť, NOS - náhradná osobná starostlivosť, NO – neodkladné opatrenie, VO-výchovné opatrenie, ÚS - ústavná starostlivosť, OV - ochranná výchova</w:t>
      </w:r>
    </w:p>
  </w:footnote>
  <w:footnote w:id="338">
    <w:p w14:paraId="4D57E132" w14:textId="77777777" w:rsidR="006C0687" w:rsidRPr="000A63A1" w:rsidRDefault="006C0687">
      <w:pPr>
        <w:pStyle w:val="Textpoznmkypodiarou"/>
        <w:rPr>
          <w:sz w:val="18"/>
          <w:szCs w:val="18"/>
        </w:rPr>
      </w:pPr>
      <w:r w:rsidRPr="000A63A1">
        <w:rPr>
          <w:rStyle w:val="Odkaznapoznmkupodiarou"/>
          <w:sz w:val="18"/>
          <w:szCs w:val="18"/>
        </w:rPr>
        <w:footnoteRef/>
      </w:r>
      <w:r w:rsidRPr="000A63A1">
        <w:rPr>
          <w:sz w:val="18"/>
          <w:szCs w:val="18"/>
        </w:rPr>
        <w:t xml:space="preserve"> Obsahuje údaje za zariadenia sociálnoprávnej ochrany detí, sociálnej kurately, domovy sociálnych služieb, reedukačné a diagnostické centrá.</w:t>
      </w:r>
    </w:p>
  </w:footnote>
  <w:footnote w:id="339">
    <w:p w14:paraId="3F6729D5" w14:textId="77777777" w:rsidR="006C0687" w:rsidRPr="000A63A1" w:rsidRDefault="006C0687" w:rsidP="00D27F91">
      <w:pPr>
        <w:pStyle w:val="Textpoznmkypodiarou"/>
        <w:rPr>
          <w:sz w:val="18"/>
          <w:szCs w:val="18"/>
        </w:rPr>
      </w:pPr>
      <w:r w:rsidRPr="000A63A1">
        <w:rPr>
          <w:rStyle w:val="Odkaznapoznmkupodiarou"/>
          <w:sz w:val="18"/>
          <w:szCs w:val="18"/>
        </w:rPr>
        <w:footnoteRef/>
      </w:r>
      <w:r w:rsidRPr="000A63A1">
        <w:rPr>
          <w:sz w:val="18"/>
          <w:szCs w:val="18"/>
        </w:rPr>
        <w:t xml:space="preserve"> </w:t>
      </w:r>
      <w:hyperlink r:id="rId235" w:history="1">
        <w:r w:rsidRPr="000A63A1">
          <w:rPr>
            <w:rStyle w:val="Hypertextovprepojenie"/>
            <w:sz w:val="18"/>
            <w:szCs w:val="18"/>
          </w:rPr>
          <w:t>Novela zákona č. 305/2005 Z. z. o sociálnoprávnej ochrane detí a o sociálnej kuratele</w:t>
        </w:r>
      </w:hyperlink>
    </w:p>
  </w:footnote>
  <w:footnote w:id="340">
    <w:p w14:paraId="73BCB514" w14:textId="77777777" w:rsidR="006C0687" w:rsidRPr="000A63A1" w:rsidRDefault="006C0687">
      <w:pPr>
        <w:pStyle w:val="Textpoznmkypodiarou"/>
        <w:rPr>
          <w:sz w:val="18"/>
          <w:szCs w:val="18"/>
        </w:rPr>
      </w:pPr>
      <w:r w:rsidRPr="000A63A1">
        <w:rPr>
          <w:rStyle w:val="Odkaznapoznmkupodiarou"/>
          <w:sz w:val="18"/>
          <w:szCs w:val="18"/>
        </w:rPr>
        <w:footnoteRef/>
      </w:r>
      <w:r w:rsidRPr="000A63A1">
        <w:rPr>
          <w:sz w:val="18"/>
          <w:szCs w:val="18"/>
        </w:rPr>
        <w:t xml:space="preserve"> </w:t>
      </w:r>
      <w:r w:rsidRPr="00FB4315">
        <w:rPr>
          <w:sz w:val="18"/>
          <w:szCs w:val="18"/>
        </w:rPr>
        <w:t>Obsahuje údaje za zariadenia sociálnoprávnej ochrany detí a sociálnej kurately.</w:t>
      </w:r>
    </w:p>
  </w:footnote>
  <w:footnote w:id="341">
    <w:p w14:paraId="297BC544" w14:textId="77777777" w:rsidR="006C0687" w:rsidRPr="000A63A1" w:rsidRDefault="006C0687" w:rsidP="00D27F91">
      <w:pPr>
        <w:pStyle w:val="Textpoznmkypodiarou"/>
        <w:rPr>
          <w:sz w:val="18"/>
          <w:szCs w:val="18"/>
        </w:rPr>
      </w:pPr>
      <w:r w:rsidRPr="000A63A1">
        <w:rPr>
          <w:rStyle w:val="Odkaznapoznmkupodiarou"/>
          <w:sz w:val="18"/>
          <w:szCs w:val="18"/>
        </w:rPr>
        <w:footnoteRef/>
      </w:r>
      <w:r>
        <w:rPr>
          <w:sz w:val="18"/>
          <w:szCs w:val="18"/>
        </w:rPr>
        <w:t xml:space="preserve"> </w:t>
      </w:r>
      <w:r w:rsidRPr="000A63A1">
        <w:rPr>
          <w:sz w:val="18"/>
          <w:szCs w:val="18"/>
        </w:rPr>
        <w:t xml:space="preserve">Cieľom je postupné rozširovanie siete skupín tohto typu v rámci </w:t>
      </w:r>
      <w:hyperlink r:id="rId236" w:history="1">
        <w:r w:rsidRPr="000A63A1">
          <w:rPr>
            <w:rStyle w:val="Hypertextovprepojenie"/>
            <w:sz w:val="18"/>
            <w:szCs w:val="18"/>
          </w:rPr>
          <w:t>vyhlášky</w:t>
        </w:r>
      </w:hyperlink>
      <w:r w:rsidRPr="000A63A1">
        <w:rPr>
          <w:sz w:val="18"/>
          <w:szCs w:val="18"/>
        </w:rPr>
        <w:t xml:space="preserve">. Výdavky na prevádzku a mzdy sú hradené zo ŠR, celkovo oblasť tzv. dobrovoľných pobytov je podporená aj prostredníctvom NP DI NS III. </w:t>
      </w:r>
    </w:p>
  </w:footnote>
  <w:footnote w:id="342">
    <w:p w14:paraId="0C4B8511" w14:textId="77777777" w:rsidR="006C0687" w:rsidRPr="000A63A1" w:rsidRDefault="006C0687" w:rsidP="00D27F91">
      <w:pPr>
        <w:pStyle w:val="Textpoznmkypodiarou"/>
        <w:rPr>
          <w:sz w:val="18"/>
          <w:szCs w:val="18"/>
        </w:rPr>
      </w:pPr>
      <w:r w:rsidRPr="000A63A1">
        <w:rPr>
          <w:rStyle w:val="Odkaznapoznmkupodiarou"/>
          <w:sz w:val="18"/>
          <w:szCs w:val="18"/>
        </w:rPr>
        <w:footnoteRef/>
      </w:r>
      <w:r w:rsidRPr="000A63A1">
        <w:rPr>
          <w:sz w:val="18"/>
          <w:szCs w:val="18"/>
        </w:rPr>
        <w:t xml:space="preserve"> </w:t>
      </w:r>
      <w:hyperlink r:id="rId237" w:history="1">
        <w:r w:rsidRPr="000A63A1">
          <w:rPr>
            <w:rStyle w:val="Hypertextovprepojenie"/>
            <w:sz w:val="18"/>
            <w:szCs w:val="18"/>
          </w:rPr>
          <w:t>Program na podporu štrukturálnych reforiem</w:t>
        </w:r>
      </w:hyperlink>
    </w:p>
  </w:footnote>
  <w:footnote w:id="343">
    <w:p w14:paraId="483C9BF7" w14:textId="77777777" w:rsidR="006C0687" w:rsidRPr="007A521E" w:rsidRDefault="006C0687" w:rsidP="00D27F91">
      <w:pPr>
        <w:pStyle w:val="Textpoznmkypodiarou"/>
        <w:rPr>
          <w:sz w:val="18"/>
          <w:szCs w:val="18"/>
        </w:rPr>
      </w:pPr>
      <w:r w:rsidRPr="007A521E">
        <w:rPr>
          <w:rStyle w:val="Odkaznapoznmkupodiarou"/>
          <w:sz w:val="18"/>
          <w:szCs w:val="18"/>
        </w:rPr>
        <w:footnoteRef/>
      </w:r>
      <w:r w:rsidRPr="007A521E">
        <w:rPr>
          <w:sz w:val="18"/>
          <w:szCs w:val="18"/>
        </w:rPr>
        <w:t xml:space="preserve"> </w:t>
      </w:r>
      <w:hyperlink r:id="rId238" w:history="1">
        <w:r w:rsidRPr="00326CC3">
          <w:rPr>
            <w:rStyle w:val="Hypertextovprepojenie"/>
            <w:sz w:val="18"/>
            <w:szCs w:val="18"/>
          </w:rPr>
          <w:t>ÚPSVaR - Centrum pre deti a rodiny</w:t>
        </w:r>
      </w:hyperlink>
    </w:p>
  </w:footnote>
  <w:footnote w:id="344">
    <w:p w14:paraId="583834CF" w14:textId="77777777" w:rsidR="006C0687" w:rsidRPr="00EB4D4E" w:rsidRDefault="006C0687" w:rsidP="00D27F91">
      <w:pPr>
        <w:pStyle w:val="Textpoznmkypodiarou"/>
        <w:rPr>
          <w:sz w:val="18"/>
          <w:szCs w:val="18"/>
        </w:rPr>
      </w:pPr>
      <w:r w:rsidRPr="00EB4D4E">
        <w:rPr>
          <w:rStyle w:val="Odkaznapoznmkupodiarou"/>
          <w:sz w:val="18"/>
          <w:szCs w:val="18"/>
        </w:rPr>
        <w:footnoteRef/>
      </w:r>
      <w:r w:rsidRPr="00EB4D4E">
        <w:rPr>
          <w:sz w:val="18"/>
          <w:szCs w:val="18"/>
        </w:rPr>
        <w:t xml:space="preserve"> </w:t>
      </w:r>
      <w:hyperlink r:id="rId239" w:history="1">
        <w:r w:rsidRPr="00326CC3">
          <w:rPr>
            <w:rStyle w:val="Hypertextovprepojenie"/>
            <w:sz w:val="18"/>
            <w:szCs w:val="18"/>
          </w:rPr>
          <w:t>OP ĽZ NP 2019/4.1.2/01 - Každé dieťa sa počíta</w:t>
        </w:r>
      </w:hyperlink>
    </w:p>
  </w:footnote>
  <w:footnote w:id="345">
    <w:p w14:paraId="7F4EE07B" w14:textId="77777777" w:rsidR="006C0687" w:rsidRPr="00EB4D4E" w:rsidRDefault="006C0687">
      <w:pPr>
        <w:pStyle w:val="Textpoznmkypodiarou"/>
        <w:rPr>
          <w:sz w:val="18"/>
          <w:szCs w:val="18"/>
        </w:rPr>
      </w:pPr>
      <w:r w:rsidRPr="00EB4D4E">
        <w:rPr>
          <w:rStyle w:val="Odkaznapoznmkupodiarou"/>
          <w:sz w:val="18"/>
          <w:szCs w:val="18"/>
        </w:rPr>
        <w:footnoteRef/>
      </w:r>
      <w:r w:rsidRPr="00EB4D4E">
        <w:rPr>
          <w:sz w:val="18"/>
          <w:szCs w:val="18"/>
        </w:rPr>
        <w:t xml:space="preserve"> </w:t>
      </w:r>
      <w:hyperlink r:id="rId240" w:history="1">
        <w:r w:rsidRPr="00326CC3">
          <w:rPr>
            <w:rStyle w:val="Hypertextovprepojenie"/>
            <w:sz w:val="18"/>
            <w:szCs w:val="18"/>
          </w:rPr>
          <w:t>CRP - Každé dieťa sa počíta</w:t>
        </w:r>
      </w:hyperlink>
    </w:p>
  </w:footnote>
  <w:footnote w:id="346">
    <w:p w14:paraId="7138A0D4" w14:textId="0C04E977" w:rsidR="006C0687" w:rsidRPr="00CC49AA" w:rsidRDefault="006C0687" w:rsidP="00D27F91">
      <w:pPr>
        <w:pStyle w:val="Textpoznmkypodiarou"/>
        <w:rPr>
          <w:sz w:val="18"/>
          <w:szCs w:val="18"/>
        </w:rPr>
      </w:pPr>
      <w:r w:rsidRPr="00CC49AA">
        <w:rPr>
          <w:rStyle w:val="Odkaznapoznmkupodiarou"/>
          <w:sz w:val="18"/>
          <w:szCs w:val="18"/>
        </w:rPr>
        <w:footnoteRef/>
      </w:r>
      <w:r w:rsidRPr="00CC49AA">
        <w:rPr>
          <w:sz w:val="18"/>
          <w:szCs w:val="18"/>
        </w:rPr>
        <w:t xml:space="preserve"> Revízia výdavkov na skupiny ohrozené chudobou alebo sociálnym vylúčením – priebežná správa</w:t>
      </w:r>
    </w:p>
  </w:footnote>
  <w:footnote w:id="347">
    <w:p w14:paraId="247EDA5B" w14:textId="297A8F25" w:rsidR="006C0687" w:rsidRPr="00544FB3" w:rsidRDefault="006C0687">
      <w:pPr>
        <w:pStyle w:val="Textpoznmkypodiarou"/>
        <w:rPr>
          <w:sz w:val="18"/>
          <w:szCs w:val="18"/>
        </w:rPr>
      </w:pPr>
      <w:r w:rsidRPr="00CC49AA">
        <w:rPr>
          <w:rStyle w:val="Odkaznapoznmkupodiarou"/>
          <w:sz w:val="18"/>
          <w:szCs w:val="18"/>
        </w:rPr>
        <w:footnoteRef/>
      </w:r>
      <w:r w:rsidRPr="00CC49AA">
        <w:rPr>
          <w:sz w:val="18"/>
          <w:szCs w:val="18"/>
        </w:rPr>
        <w:t xml:space="preserve"> Revízia výdavkov na skupiny ohrozené chudobou alebo sociálnym vylúčením – záverečná správa</w:t>
      </w:r>
      <w:r>
        <w:rPr>
          <w:sz w:val="18"/>
          <w:szCs w:val="18"/>
        </w:rPr>
        <w:t xml:space="preserve"> </w:t>
      </w:r>
    </w:p>
  </w:footnote>
  <w:footnote w:id="348">
    <w:p w14:paraId="539CA370" w14:textId="77777777" w:rsidR="006C0687" w:rsidRPr="004A4658" w:rsidRDefault="006C0687" w:rsidP="00D27F91">
      <w:pPr>
        <w:pStyle w:val="Textpoznmkypodiarou"/>
        <w:rPr>
          <w:sz w:val="18"/>
          <w:szCs w:val="18"/>
        </w:rPr>
      </w:pPr>
      <w:r w:rsidRPr="004A4658">
        <w:rPr>
          <w:rStyle w:val="Odkaznapoznmkupodiarou"/>
          <w:sz w:val="18"/>
          <w:szCs w:val="18"/>
        </w:rPr>
        <w:footnoteRef/>
      </w:r>
      <w:r w:rsidRPr="004A4658">
        <w:rPr>
          <w:sz w:val="18"/>
          <w:szCs w:val="18"/>
        </w:rPr>
        <w:t xml:space="preserve"> </w:t>
      </w:r>
      <w:hyperlink r:id="rId241" w:history="1">
        <w:r w:rsidRPr="00326CC3">
          <w:rPr>
            <w:rStyle w:val="Hypertextovprepojenie"/>
            <w:sz w:val="18"/>
            <w:szCs w:val="18"/>
          </w:rPr>
          <w:t>Zmluva o poskytnutí NFP Z312031R326</w:t>
        </w:r>
      </w:hyperlink>
    </w:p>
  </w:footnote>
  <w:footnote w:id="349">
    <w:p w14:paraId="3B36DC13" w14:textId="77777777" w:rsidR="006C0687" w:rsidRPr="004841CF" w:rsidRDefault="006C0687" w:rsidP="00D27F91">
      <w:pPr>
        <w:pStyle w:val="Textpoznmkypodiarou"/>
        <w:rPr>
          <w:sz w:val="18"/>
          <w:szCs w:val="18"/>
        </w:rPr>
      </w:pPr>
      <w:r w:rsidRPr="00F03750">
        <w:rPr>
          <w:rStyle w:val="Odkaznapoznmkupodiarou"/>
          <w:sz w:val="18"/>
          <w:szCs w:val="18"/>
        </w:rPr>
        <w:footnoteRef/>
      </w:r>
      <w:r w:rsidRPr="00F03750">
        <w:rPr>
          <w:sz w:val="18"/>
          <w:szCs w:val="18"/>
        </w:rPr>
        <w:t xml:space="preserve"> </w:t>
      </w:r>
      <w:r w:rsidRPr="00AA4A20">
        <w:rPr>
          <w:sz w:val="18"/>
          <w:szCs w:val="18"/>
        </w:rPr>
        <w:t xml:space="preserve">Doplnenie a vybavenie úradov práce (vyvolávací systém), Zdroj: </w:t>
      </w:r>
      <w:hyperlink r:id="rId242" w:history="1">
        <w:r w:rsidRPr="00326CC3">
          <w:rPr>
            <w:rStyle w:val="Hypertextovprepojenie"/>
            <w:sz w:val="18"/>
            <w:szCs w:val="18"/>
          </w:rPr>
          <w:t>Kúpna zmluva</w:t>
        </w:r>
      </w:hyperlink>
      <w:r w:rsidRPr="00AA4A20">
        <w:rPr>
          <w:sz w:val="18"/>
          <w:szCs w:val="18"/>
        </w:rPr>
        <w:t xml:space="preserve">. VO bolo realizované prostredníctvom MPSVaR v rámci zákazky „Počítačové zariadenia a spotrebný materiál“, 01/2020 bolo vo vestníku zverejnené oznámenie o výsledku VO, Zdroj: </w:t>
      </w:r>
      <w:hyperlink r:id="rId243" w:history="1">
        <w:r w:rsidRPr="00326CC3">
          <w:rPr>
            <w:rStyle w:val="Hypertextovprepojenie"/>
            <w:sz w:val="18"/>
            <w:szCs w:val="18"/>
          </w:rPr>
          <w:t>Oznámenie 2081 - VUT</w:t>
        </w:r>
      </w:hyperlink>
    </w:p>
  </w:footnote>
  <w:footnote w:id="350">
    <w:p w14:paraId="42A59D51" w14:textId="77777777" w:rsidR="006C0687" w:rsidRPr="00A02F1B" w:rsidRDefault="006C0687">
      <w:pPr>
        <w:pStyle w:val="Textpoznmkypodiarou"/>
        <w:rPr>
          <w:sz w:val="18"/>
          <w:szCs w:val="18"/>
        </w:rPr>
      </w:pPr>
      <w:r w:rsidRPr="00A02F1B">
        <w:rPr>
          <w:rStyle w:val="Odkaznapoznmkupodiarou"/>
          <w:sz w:val="18"/>
          <w:szCs w:val="18"/>
        </w:rPr>
        <w:footnoteRef/>
      </w:r>
      <w:r w:rsidRPr="00A02F1B">
        <w:rPr>
          <w:sz w:val="18"/>
          <w:szCs w:val="18"/>
        </w:rPr>
        <w:t xml:space="preserve"> </w:t>
      </w:r>
      <w:hyperlink r:id="rId244" w:history="1">
        <w:r w:rsidRPr="004D1D1A">
          <w:rPr>
            <w:rStyle w:val="Hypertextovprepojenie"/>
            <w:sz w:val="18"/>
            <w:szCs w:val="18"/>
          </w:rPr>
          <w:t>Novela zákona č. 595/2003 Z .z. o dani z príjmov</w:t>
        </w:r>
      </w:hyperlink>
    </w:p>
  </w:footnote>
  <w:footnote w:id="351">
    <w:p w14:paraId="66911327" w14:textId="77777777" w:rsidR="006C0687" w:rsidRPr="004A4658" w:rsidRDefault="006C0687" w:rsidP="00D27F91">
      <w:pPr>
        <w:pStyle w:val="Textpoznmkypodiarou"/>
        <w:rPr>
          <w:sz w:val="18"/>
          <w:szCs w:val="18"/>
        </w:rPr>
      </w:pPr>
      <w:r w:rsidRPr="004A4658">
        <w:rPr>
          <w:rStyle w:val="Odkaznapoznmkupodiarou"/>
          <w:sz w:val="18"/>
          <w:szCs w:val="18"/>
        </w:rPr>
        <w:footnoteRef/>
      </w:r>
      <w:r w:rsidRPr="004A4658">
        <w:rPr>
          <w:sz w:val="18"/>
          <w:szCs w:val="18"/>
        </w:rPr>
        <w:t xml:space="preserve"> </w:t>
      </w:r>
      <w:hyperlink r:id="rId245" w:history="1">
        <w:r w:rsidRPr="004D1D1A">
          <w:rPr>
            <w:rStyle w:val="Hypertextovprepojenie"/>
            <w:sz w:val="18"/>
            <w:szCs w:val="18"/>
          </w:rPr>
          <w:t>Novela zákona č. 417/2013 Z. z. o pomoci v hmotnej núdzi</w:t>
        </w:r>
      </w:hyperlink>
    </w:p>
  </w:footnote>
  <w:footnote w:id="352">
    <w:p w14:paraId="66989A21" w14:textId="77777777" w:rsidR="006C0687" w:rsidRPr="000B4D86" w:rsidRDefault="006C0687">
      <w:pPr>
        <w:pStyle w:val="Textpoznmkypodiarou"/>
        <w:rPr>
          <w:sz w:val="18"/>
          <w:szCs w:val="18"/>
        </w:rPr>
      </w:pPr>
      <w:r w:rsidRPr="000B4D86">
        <w:rPr>
          <w:rStyle w:val="Odkaznapoznmkupodiarou"/>
          <w:sz w:val="18"/>
          <w:szCs w:val="18"/>
        </w:rPr>
        <w:footnoteRef/>
      </w:r>
      <w:r w:rsidRPr="000B4D86">
        <w:rPr>
          <w:sz w:val="18"/>
          <w:szCs w:val="18"/>
        </w:rPr>
        <w:t xml:space="preserve"> Prvých 12 kalendárnych mesiacov vo výške 126,14 eura mesačne a ďalších 6 kalendárnych mesiacov vo výške 63,07 eura mesačne. Zdroj: </w:t>
      </w:r>
      <w:hyperlink r:id="rId246" w:history="1">
        <w:r>
          <w:rPr>
            <w:rStyle w:val="Hypertextovprepojenie"/>
            <w:sz w:val="18"/>
            <w:szCs w:val="18"/>
          </w:rPr>
          <w:t>Zákon č. 417/2013 Z. z. o pomoci v hmotnej núdzi</w:t>
        </w:r>
      </w:hyperlink>
    </w:p>
  </w:footnote>
  <w:footnote w:id="353">
    <w:p w14:paraId="075DD176" w14:textId="369E3276" w:rsidR="006C0687" w:rsidRPr="00F01212" w:rsidRDefault="006C0687" w:rsidP="00D27F91">
      <w:pPr>
        <w:pStyle w:val="Textpoznmkypodiarou"/>
        <w:rPr>
          <w:sz w:val="18"/>
          <w:szCs w:val="18"/>
        </w:rPr>
      </w:pPr>
      <w:r w:rsidRPr="00F01212">
        <w:rPr>
          <w:rStyle w:val="Odkaznapoznmkupodiarou"/>
          <w:sz w:val="18"/>
          <w:szCs w:val="18"/>
        </w:rPr>
        <w:footnoteRef/>
      </w:r>
      <w:r>
        <w:rPr>
          <w:sz w:val="18"/>
          <w:szCs w:val="18"/>
        </w:rPr>
        <w:t xml:space="preserve"> Viac informácií v Priebežnej implementačnej správe 2018</w:t>
      </w:r>
    </w:p>
  </w:footnote>
  <w:footnote w:id="354">
    <w:p w14:paraId="74D07BAE" w14:textId="77777777" w:rsidR="006C0687" w:rsidRDefault="006C0687" w:rsidP="00D27F91">
      <w:pPr>
        <w:pStyle w:val="Textpoznmkypodiarou"/>
      </w:pPr>
      <w:r w:rsidRPr="00E00617">
        <w:rPr>
          <w:rStyle w:val="Odkaznapoznmkupodiarou"/>
          <w:sz w:val="18"/>
          <w:szCs w:val="18"/>
        </w:rPr>
        <w:footnoteRef/>
      </w:r>
      <w:r w:rsidRPr="00E00617">
        <w:rPr>
          <w:sz w:val="18"/>
          <w:szCs w:val="18"/>
        </w:rPr>
        <w:t xml:space="preserve"> Viac informácií o NP </w:t>
      </w:r>
      <w:r>
        <w:rPr>
          <w:sz w:val="18"/>
          <w:szCs w:val="18"/>
        </w:rPr>
        <w:t>na stránke Ú</w:t>
      </w:r>
      <w:r w:rsidRPr="00E00617">
        <w:rPr>
          <w:sz w:val="18"/>
          <w:szCs w:val="18"/>
        </w:rPr>
        <w:t>PSVaR</w:t>
      </w:r>
      <w:r>
        <w:rPr>
          <w:sz w:val="18"/>
          <w:szCs w:val="18"/>
        </w:rPr>
        <w:t>:</w:t>
      </w:r>
      <w:r w:rsidRPr="00E00617">
        <w:rPr>
          <w:sz w:val="18"/>
          <w:szCs w:val="18"/>
        </w:rPr>
        <w:t xml:space="preserve"> </w:t>
      </w:r>
      <w:hyperlink r:id="rId247" w:history="1">
        <w:r>
          <w:rPr>
            <w:rStyle w:val="Hypertextovprepojenie"/>
            <w:sz w:val="18"/>
            <w:szCs w:val="18"/>
          </w:rPr>
          <w:t>Národný projekt Podpora individualizovaného poradenstva pre dlhodobo nezamestnaných uchádzačov o zamestnanie</w:t>
        </w:r>
      </w:hyperlink>
      <w:r>
        <w:t xml:space="preserve"> </w:t>
      </w:r>
    </w:p>
  </w:footnote>
  <w:footnote w:id="355">
    <w:p w14:paraId="7D25A5DD" w14:textId="541F0597" w:rsidR="006C0687" w:rsidRPr="00E00617" w:rsidRDefault="006C0687">
      <w:pPr>
        <w:pStyle w:val="Textpoznmkypodiarou"/>
        <w:rPr>
          <w:sz w:val="18"/>
          <w:szCs w:val="18"/>
        </w:rPr>
      </w:pPr>
      <w:r w:rsidRPr="00E00617">
        <w:rPr>
          <w:rStyle w:val="Odkaznapoznmkupodiarou"/>
          <w:sz w:val="18"/>
          <w:szCs w:val="18"/>
        </w:rPr>
        <w:footnoteRef/>
      </w:r>
      <w:r w:rsidRPr="00E00617">
        <w:rPr>
          <w:sz w:val="18"/>
          <w:szCs w:val="18"/>
        </w:rPr>
        <w:t xml:space="preserve"> Viac informácií o NP </w:t>
      </w:r>
      <w:r>
        <w:rPr>
          <w:sz w:val="18"/>
          <w:szCs w:val="18"/>
        </w:rPr>
        <w:t>na stránke Ú</w:t>
      </w:r>
      <w:r w:rsidRPr="00E00617">
        <w:rPr>
          <w:sz w:val="18"/>
          <w:szCs w:val="18"/>
        </w:rPr>
        <w:t>PSVaR</w:t>
      </w:r>
      <w:r>
        <w:rPr>
          <w:sz w:val="18"/>
          <w:szCs w:val="18"/>
        </w:rPr>
        <w:t>:</w:t>
      </w:r>
      <w:r w:rsidRPr="00E00617">
        <w:rPr>
          <w:sz w:val="18"/>
          <w:szCs w:val="18"/>
        </w:rPr>
        <w:t xml:space="preserve"> </w:t>
      </w:r>
      <w:hyperlink r:id="rId248" w:history="1">
        <w:r>
          <w:rPr>
            <w:rStyle w:val="Hypertextovprepojenie"/>
            <w:sz w:val="18"/>
            <w:szCs w:val="18"/>
          </w:rPr>
          <w:t>Národný projekt Cesta na trh práce</w:t>
        </w:r>
      </w:hyperlink>
    </w:p>
  </w:footnote>
  <w:footnote w:id="356">
    <w:p w14:paraId="2858FF9B" w14:textId="77777777" w:rsidR="006C0687" w:rsidRPr="00CE44B1" w:rsidRDefault="006C0687" w:rsidP="00D27F91">
      <w:pPr>
        <w:pStyle w:val="Textpoznmkypodiarou"/>
        <w:rPr>
          <w:sz w:val="18"/>
          <w:szCs w:val="18"/>
        </w:rPr>
      </w:pPr>
      <w:r w:rsidRPr="00CE44B1">
        <w:rPr>
          <w:rStyle w:val="Odkaznapoznmkupodiarou"/>
          <w:sz w:val="18"/>
          <w:szCs w:val="18"/>
        </w:rPr>
        <w:footnoteRef/>
      </w:r>
      <w:r w:rsidRPr="00CE44B1">
        <w:rPr>
          <w:sz w:val="18"/>
          <w:szCs w:val="18"/>
        </w:rPr>
        <w:t xml:space="preserve"> Uvádza sa podiel prekážok, ktoré sa v priebehu poradenského procesu podarilo u klientov čiastočne vyriešiť alebo zmeniť</w:t>
      </w:r>
      <w:r>
        <w:rPr>
          <w:sz w:val="18"/>
          <w:szCs w:val="18"/>
        </w:rPr>
        <w:t>.</w:t>
      </w:r>
    </w:p>
  </w:footnote>
  <w:footnote w:id="357">
    <w:p w14:paraId="79529B92" w14:textId="77777777" w:rsidR="006C0687" w:rsidRPr="00CE44B1" w:rsidRDefault="006C0687" w:rsidP="00D27F91">
      <w:pPr>
        <w:pStyle w:val="Textpoznmkypodiarou"/>
        <w:rPr>
          <w:sz w:val="18"/>
          <w:szCs w:val="18"/>
        </w:rPr>
      </w:pPr>
      <w:r w:rsidRPr="00CE44B1">
        <w:rPr>
          <w:rStyle w:val="Odkaznapoznmkupodiarou"/>
          <w:sz w:val="18"/>
          <w:szCs w:val="18"/>
        </w:rPr>
        <w:footnoteRef/>
      </w:r>
      <w:r w:rsidRPr="00CE44B1">
        <w:rPr>
          <w:sz w:val="18"/>
          <w:szCs w:val="18"/>
        </w:rPr>
        <w:t xml:space="preserve"> Úroveň písania a čítania neumožňujúca zvládanie každodenných životných alebo pracovných nárokov na základnej úrovni.</w:t>
      </w:r>
    </w:p>
  </w:footnote>
  <w:footnote w:id="358">
    <w:p w14:paraId="71272E11" w14:textId="77777777" w:rsidR="006C0687" w:rsidRPr="00EA72B8" w:rsidRDefault="006C0687" w:rsidP="00D27F91">
      <w:pPr>
        <w:pStyle w:val="Textpoznmkypodiarou"/>
        <w:rPr>
          <w:sz w:val="18"/>
          <w:szCs w:val="18"/>
        </w:rPr>
      </w:pPr>
      <w:r w:rsidRPr="00007F99">
        <w:rPr>
          <w:rStyle w:val="Odkaznapoznmkupodiarou"/>
          <w:sz w:val="18"/>
          <w:szCs w:val="18"/>
        </w:rPr>
        <w:footnoteRef/>
      </w:r>
      <w:r w:rsidRPr="00007F99">
        <w:rPr>
          <w:sz w:val="18"/>
          <w:szCs w:val="18"/>
        </w:rPr>
        <w:t xml:space="preserve"> </w:t>
      </w:r>
      <w:hyperlink r:id="rId249" w:history="1">
        <w:r w:rsidRPr="00326CC3">
          <w:rPr>
            <w:rStyle w:val="Hypertextovprepojenie"/>
            <w:sz w:val="18"/>
            <w:szCs w:val="18"/>
          </w:rPr>
          <w:t>Kto chce žať, musí siať - analýza čistých efektov opatrenia REPAS</w:t>
        </w:r>
      </w:hyperlink>
    </w:p>
  </w:footnote>
  <w:footnote w:id="359">
    <w:p w14:paraId="071F3019" w14:textId="77777777" w:rsidR="006C0687" w:rsidRPr="003C5B87" w:rsidRDefault="006C0687" w:rsidP="00D27F91">
      <w:pPr>
        <w:pStyle w:val="Textpoznmkypodiarou"/>
        <w:rPr>
          <w:sz w:val="18"/>
          <w:szCs w:val="18"/>
        </w:rPr>
      </w:pPr>
      <w:r w:rsidRPr="003C5B87">
        <w:rPr>
          <w:rStyle w:val="Odkaznapoznmkupodiarou"/>
          <w:sz w:val="18"/>
          <w:szCs w:val="18"/>
        </w:rPr>
        <w:footnoteRef/>
      </w:r>
      <w:r w:rsidRPr="003C5B87">
        <w:rPr>
          <w:sz w:val="18"/>
          <w:szCs w:val="18"/>
        </w:rPr>
        <w:t xml:space="preserve"> Analýza vychádza z využitia metódy propensity score matching, ktorá umožňuje odhadnúť čistý efekt opatrenia, čo predstavuje zatiaľ najkomplexnejšie vyhodnotenie opatrenia podľa § 50j.</w:t>
      </w:r>
    </w:p>
  </w:footnote>
  <w:footnote w:id="360">
    <w:p w14:paraId="5284F48A" w14:textId="1C80CB35" w:rsidR="006C0687" w:rsidRPr="003C5B87" w:rsidRDefault="006C0687" w:rsidP="00D27F91">
      <w:pPr>
        <w:pStyle w:val="Textpoznmkypodiarou"/>
        <w:rPr>
          <w:sz w:val="18"/>
          <w:szCs w:val="18"/>
        </w:rPr>
      </w:pPr>
      <w:r w:rsidRPr="003C5B87">
        <w:rPr>
          <w:rStyle w:val="Odkaznapoznmkupodiarou"/>
          <w:sz w:val="18"/>
          <w:szCs w:val="18"/>
        </w:rPr>
        <w:footnoteRef/>
      </w:r>
      <w:r w:rsidRPr="003C5B87">
        <w:rPr>
          <w:sz w:val="18"/>
          <w:szCs w:val="18"/>
        </w:rPr>
        <w:t xml:space="preserve"> §50j </w:t>
      </w:r>
      <w:hyperlink r:id="rId250" w:history="1">
        <w:r w:rsidRPr="00F372CF">
          <w:rPr>
            <w:rStyle w:val="Hypertextovprepojenie"/>
            <w:sz w:val="18"/>
            <w:szCs w:val="18"/>
          </w:rPr>
          <w:t>Zákona č. 5/2004 Z. z o službách zamestnanosti</w:t>
        </w:r>
      </w:hyperlink>
      <w:r w:rsidRPr="003C5B87">
        <w:rPr>
          <w:sz w:val="18"/>
          <w:szCs w:val="18"/>
        </w:rPr>
        <w:t>.</w:t>
      </w:r>
    </w:p>
  </w:footnote>
  <w:footnote w:id="361">
    <w:p w14:paraId="51A63A95" w14:textId="77777777" w:rsidR="006C0687" w:rsidRPr="003C5B87" w:rsidRDefault="006C0687" w:rsidP="00D27F91">
      <w:pPr>
        <w:pStyle w:val="Textpoznmkypodiarou"/>
        <w:jc w:val="left"/>
        <w:rPr>
          <w:sz w:val="18"/>
          <w:szCs w:val="18"/>
        </w:rPr>
      </w:pPr>
      <w:r w:rsidRPr="003C5B87">
        <w:rPr>
          <w:rStyle w:val="Odkaznapoznmkupodiarou"/>
          <w:sz w:val="18"/>
          <w:szCs w:val="18"/>
        </w:rPr>
        <w:footnoteRef/>
      </w:r>
      <w:r w:rsidRPr="003C5B87">
        <w:rPr>
          <w:sz w:val="18"/>
          <w:szCs w:val="18"/>
        </w:rPr>
        <w:t xml:space="preserve"> </w:t>
      </w:r>
      <w:hyperlink r:id="rId251" w:history="1">
        <w:r w:rsidRPr="00326CC3">
          <w:rPr>
            <w:rStyle w:val="Hypertextovprepojenie"/>
            <w:sz w:val="18"/>
            <w:szCs w:val="18"/>
          </w:rPr>
          <w:t>Dočasná práca ako šanca pre znevýhodnených - analýza čistej účinnosti opatrenia 50j</w:t>
        </w:r>
      </w:hyperlink>
    </w:p>
  </w:footnote>
  <w:footnote w:id="362">
    <w:p w14:paraId="712247E8" w14:textId="130B9E09" w:rsidR="006C0687" w:rsidRPr="006269D9" w:rsidRDefault="006C0687">
      <w:pPr>
        <w:pStyle w:val="Textpoznmkypodiarou"/>
        <w:rPr>
          <w:sz w:val="18"/>
          <w:szCs w:val="18"/>
        </w:rPr>
      </w:pPr>
      <w:r w:rsidRPr="003C5B87">
        <w:rPr>
          <w:rStyle w:val="Odkaznapoznmkupodiarou"/>
          <w:sz w:val="18"/>
          <w:szCs w:val="18"/>
        </w:rPr>
        <w:footnoteRef/>
      </w:r>
      <w:r w:rsidRPr="003C5B87">
        <w:rPr>
          <w:sz w:val="18"/>
          <w:szCs w:val="18"/>
        </w:rPr>
        <w:t xml:space="preserve"> Od roka 2014 využívajú prevažne príspevky na činnosť pracovného asistenta, na úhradu prevádzkových nákladov chránenej dielne (CHD) alebo chráneného pracoviska (CHP) a na úhradu nákladov na dopravu zamestnancov. Viac informácií v</w:t>
      </w:r>
      <w:r>
        <w:rPr>
          <w:sz w:val="18"/>
          <w:szCs w:val="18"/>
        </w:rPr>
        <w:t> Súhrnnej implementačnej správe</w:t>
      </w:r>
      <w:r w:rsidRPr="003C5B87">
        <w:rPr>
          <w:sz w:val="18"/>
          <w:szCs w:val="18"/>
        </w:rPr>
        <w:t xml:space="preserve"> 2018</w:t>
      </w:r>
      <w:r>
        <w:rPr>
          <w:sz w:val="18"/>
          <w:szCs w:val="18"/>
        </w:rPr>
        <w:t>.</w:t>
      </w:r>
      <w:r w:rsidRPr="003C5B87">
        <w:rPr>
          <w:sz w:val="18"/>
          <w:szCs w:val="18"/>
        </w:rPr>
        <w:t xml:space="preserve"> </w:t>
      </w:r>
    </w:p>
  </w:footnote>
  <w:footnote w:id="363">
    <w:p w14:paraId="4B2D910F" w14:textId="77777777" w:rsidR="006C0687" w:rsidRPr="003C5B87" w:rsidRDefault="006C0687" w:rsidP="00D27F91">
      <w:pPr>
        <w:pStyle w:val="Textpoznmkypodiarou"/>
        <w:rPr>
          <w:sz w:val="18"/>
          <w:szCs w:val="18"/>
        </w:rPr>
      </w:pPr>
      <w:r w:rsidRPr="00D26A9E">
        <w:rPr>
          <w:rStyle w:val="Odkaznapoznmkupodiarou"/>
          <w:sz w:val="18"/>
          <w:szCs w:val="18"/>
        </w:rPr>
        <w:footnoteRef/>
      </w:r>
      <w:r w:rsidRPr="00D26A9E">
        <w:rPr>
          <w:sz w:val="18"/>
          <w:szCs w:val="18"/>
        </w:rPr>
        <w:t xml:space="preserve"> Kapitola 7.3. Politiky trhu práce zamerané na osoby so zdravotným postihnutím</w:t>
      </w:r>
    </w:p>
  </w:footnote>
  <w:footnote w:id="364">
    <w:p w14:paraId="2E22B701" w14:textId="77777777" w:rsidR="006C0687" w:rsidRPr="00D26A9E" w:rsidRDefault="006C0687" w:rsidP="00D27F91">
      <w:pPr>
        <w:pStyle w:val="Textpoznmkypodiarou"/>
        <w:rPr>
          <w:sz w:val="18"/>
          <w:szCs w:val="18"/>
        </w:rPr>
      </w:pPr>
      <w:r w:rsidRPr="00D26A9E">
        <w:rPr>
          <w:rStyle w:val="Odkaznapoznmkupodiarou"/>
          <w:sz w:val="18"/>
          <w:szCs w:val="18"/>
        </w:rPr>
        <w:footnoteRef/>
      </w:r>
      <w:r w:rsidRPr="00D26A9E">
        <w:rPr>
          <w:sz w:val="18"/>
          <w:szCs w:val="18"/>
        </w:rPr>
        <w:t xml:space="preserve"> Opatrenie č. 8 v časti 1.5. Analytické opatrenia</w:t>
      </w:r>
    </w:p>
  </w:footnote>
  <w:footnote w:id="365">
    <w:p w14:paraId="04D370F1" w14:textId="77777777" w:rsidR="006C0687" w:rsidRPr="008F74F2" w:rsidRDefault="006C0687" w:rsidP="00D27F91">
      <w:pPr>
        <w:pStyle w:val="Textpoznmkypodiarou"/>
        <w:rPr>
          <w:sz w:val="18"/>
          <w:szCs w:val="18"/>
        </w:rPr>
      </w:pPr>
      <w:r w:rsidRPr="00D26A9E">
        <w:rPr>
          <w:rStyle w:val="Odkaznapoznmkupodiarou"/>
          <w:sz w:val="18"/>
          <w:szCs w:val="18"/>
        </w:rPr>
        <w:footnoteRef/>
      </w:r>
      <w:r w:rsidRPr="00D26A9E">
        <w:rPr>
          <w:sz w:val="18"/>
          <w:szCs w:val="18"/>
        </w:rPr>
        <w:t xml:space="preserve"> Opatrenie č. 20 časti 1.3. Riadenie a nefinančné opatrenia</w:t>
      </w:r>
    </w:p>
  </w:footnote>
  <w:footnote w:id="366">
    <w:p w14:paraId="2DF301AF" w14:textId="77777777" w:rsidR="006C0687" w:rsidRPr="0016483C" w:rsidRDefault="006C0687">
      <w:pPr>
        <w:pStyle w:val="Textpoznmkypodiarou"/>
        <w:rPr>
          <w:sz w:val="18"/>
          <w:szCs w:val="18"/>
        </w:rPr>
      </w:pPr>
      <w:r w:rsidRPr="0016483C">
        <w:rPr>
          <w:rStyle w:val="Odkaznapoznmkupodiarou"/>
          <w:sz w:val="18"/>
          <w:szCs w:val="18"/>
        </w:rPr>
        <w:footnoteRef/>
      </w:r>
      <w:r w:rsidRPr="0016483C">
        <w:rPr>
          <w:sz w:val="18"/>
          <w:szCs w:val="18"/>
        </w:rPr>
        <w:t xml:space="preserve"> </w:t>
      </w:r>
      <w:hyperlink r:id="rId252" w:history="1">
        <w:r w:rsidRPr="004D1D1A">
          <w:rPr>
            <w:rStyle w:val="Hypertextovprepojenie"/>
            <w:sz w:val="18"/>
            <w:szCs w:val="18"/>
          </w:rPr>
          <w:t>Novela zákona č. 461/2003 Z. z. o sociálnom poistení</w:t>
        </w:r>
      </w:hyperlink>
    </w:p>
  </w:footnote>
  <w:footnote w:id="367">
    <w:p w14:paraId="5E9457D6" w14:textId="77777777" w:rsidR="006C0687" w:rsidRPr="00E97598" w:rsidRDefault="006C0687">
      <w:pPr>
        <w:pStyle w:val="Textpoznmkypodiarou"/>
        <w:rPr>
          <w:sz w:val="18"/>
          <w:szCs w:val="18"/>
        </w:rPr>
      </w:pPr>
      <w:r w:rsidRPr="00E97598">
        <w:rPr>
          <w:rStyle w:val="Odkaznapoznmkupodiarou"/>
          <w:sz w:val="18"/>
          <w:szCs w:val="18"/>
        </w:rPr>
        <w:footnoteRef/>
      </w:r>
      <w:r w:rsidRPr="00E97598">
        <w:rPr>
          <w:sz w:val="18"/>
          <w:szCs w:val="18"/>
        </w:rPr>
        <w:t xml:space="preserve"> </w:t>
      </w:r>
      <w:hyperlink r:id="rId253" w:history="1">
        <w:r w:rsidRPr="004D1D1A">
          <w:rPr>
            <w:rStyle w:val="Hypertextovprepojenie"/>
            <w:sz w:val="18"/>
            <w:szCs w:val="18"/>
          </w:rPr>
          <w:t>Pozmeňujúci návrh na zmenu zákona</w:t>
        </w:r>
      </w:hyperlink>
    </w:p>
  </w:footnote>
  <w:footnote w:id="368">
    <w:p w14:paraId="7BFA8E98" w14:textId="77777777" w:rsidR="006C0687" w:rsidRPr="0016483C" w:rsidRDefault="006C0687" w:rsidP="00D27F91">
      <w:pPr>
        <w:pStyle w:val="Textpoznmkypodiarou"/>
        <w:rPr>
          <w:sz w:val="18"/>
          <w:szCs w:val="18"/>
        </w:rPr>
      </w:pPr>
      <w:r w:rsidRPr="0016483C">
        <w:rPr>
          <w:rStyle w:val="Odkaznapoznmkupodiarou"/>
          <w:sz w:val="18"/>
          <w:szCs w:val="18"/>
        </w:rPr>
        <w:footnoteRef/>
      </w:r>
      <w:r w:rsidRPr="0016483C">
        <w:rPr>
          <w:sz w:val="18"/>
          <w:szCs w:val="18"/>
        </w:rPr>
        <w:t xml:space="preserve"> </w:t>
      </w:r>
      <w:hyperlink r:id="rId254" w:history="1">
        <w:r w:rsidRPr="004D1D1A">
          <w:rPr>
            <w:rStyle w:val="Hypertextovprepojenie"/>
            <w:sz w:val="18"/>
            <w:szCs w:val="18"/>
          </w:rPr>
          <w:t>Novela zákona č. 461/2003 Z. z. o sociálnom poistení</w:t>
        </w:r>
      </w:hyperlink>
    </w:p>
  </w:footnote>
  <w:footnote w:id="369">
    <w:p w14:paraId="563D65F6" w14:textId="77777777" w:rsidR="006C0687" w:rsidRPr="00E97598" w:rsidRDefault="006C0687">
      <w:pPr>
        <w:pStyle w:val="Textpoznmkypodiarou"/>
        <w:rPr>
          <w:sz w:val="18"/>
          <w:szCs w:val="18"/>
        </w:rPr>
      </w:pPr>
      <w:r w:rsidRPr="00E97598">
        <w:rPr>
          <w:rStyle w:val="Odkaznapoznmkupodiarou"/>
          <w:sz w:val="18"/>
          <w:szCs w:val="18"/>
        </w:rPr>
        <w:footnoteRef/>
      </w:r>
      <w:r w:rsidRPr="00E97598">
        <w:rPr>
          <w:sz w:val="18"/>
          <w:szCs w:val="18"/>
        </w:rPr>
        <w:t xml:space="preserve"> Novela zákona proti byrokracii, novela zákona súvisiaca so zastropovaním dôchodkového veku, zákon o osobitnom príspevku baníkom, zavedenie osobitného príspevku príslušníkom obecnej polície</w:t>
      </w:r>
    </w:p>
  </w:footnote>
  <w:footnote w:id="370">
    <w:p w14:paraId="0C7D7B3E" w14:textId="58623957" w:rsidR="006C0687" w:rsidRPr="00E97598" w:rsidRDefault="006C0687">
      <w:pPr>
        <w:pStyle w:val="Textpoznmkypodiarou"/>
        <w:rPr>
          <w:sz w:val="18"/>
          <w:szCs w:val="18"/>
        </w:rPr>
      </w:pPr>
      <w:r w:rsidRPr="00E97598">
        <w:rPr>
          <w:rStyle w:val="Odkaznapoznmkupodiarou"/>
          <w:sz w:val="18"/>
          <w:szCs w:val="18"/>
        </w:rPr>
        <w:footnoteRef/>
      </w:r>
      <w:r w:rsidRPr="00E97598">
        <w:rPr>
          <w:sz w:val="18"/>
          <w:szCs w:val="18"/>
        </w:rPr>
        <w:t xml:space="preserve"> </w:t>
      </w:r>
      <w:hyperlink r:id="rId255" w:history="1">
        <w:r w:rsidRPr="002408FF">
          <w:rPr>
            <w:rStyle w:val="Hypertextovprepojenie"/>
            <w:sz w:val="18"/>
            <w:szCs w:val="18"/>
          </w:rPr>
          <w:t>Spoločná správa výborov Národnej rady Slovenskej republiky</w:t>
        </w:r>
      </w:hyperlink>
    </w:p>
  </w:footnote>
  <w:footnote w:id="371">
    <w:p w14:paraId="44EDAA14" w14:textId="77777777" w:rsidR="006C0687" w:rsidRPr="00AB5376" w:rsidRDefault="006C0687" w:rsidP="00D27F91">
      <w:pPr>
        <w:pStyle w:val="Textpoznmkypodiarou"/>
        <w:jc w:val="left"/>
        <w:rPr>
          <w:sz w:val="18"/>
          <w:szCs w:val="18"/>
        </w:rPr>
      </w:pPr>
      <w:r w:rsidRPr="00AB5376">
        <w:rPr>
          <w:rStyle w:val="Odkaznapoznmkupodiarou"/>
          <w:sz w:val="18"/>
          <w:szCs w:val="18"/>
        </w:rPr>
        <w:footnoteRef/>
      </w:r>
      <w:r w:rsidRPr="00AB5376">
        <w:rPr>
          <w:sz w:val="18"/>
          <w:szCs w:val="18"/>
        </w:rPr>
        <w:t xml:space="preserve"> Zdroj: </w:t>
      </w:r>
      <w:hyperlink r:id="rId256" w:history="1">
        <w:r w:rsidRPr="004D1D1A">
          <w:rPr>
            <w:rStyle w:val="Hypertextovprepojenie"/>
            <w:sz w:val="18"/>
            <w:szCs w:val="18"/>
          </w:rPr>
          <w:t>Návrh novely zákona</w:t>
        </w:r>
      </w:hyperlink>
      <w:r>
        <w:rPr>
          <w:sz w:val="18"/>
          <w:szCs w:val="18"/>
        </w:rPr>
        <w:t xml:space="preserve">, </w:t>
      </w:r>
      <w:r w:rsidRPr="00AB5376">
        <w:rPr>
          <w:sz w:val="18"/>
          <w:szCs w:val="18"/>
        </w:rPr>
        <w:t xml:space="preserve"> </w:t>
      </w:r>
      <w:hyperlink r:id="rId257" w:history="1">
        <w:r w:rsidRPr="004D1D1A">
          <w:rPr>
            <w:rStyle w:val="Hypertextovprepojenie"/>
            <w:sz w:val="18"/>
            <w:szCs w:val="18"/>
          </w:rPr>
          <w:t>Analýz</w:t>
        </w:r>
        <w:r>
          <w:rPr>
            <w:rStyle w:val="Hypertextovprepojenie"/>
            <w:sz w:val="18"/>
            <w:szCs w:val="18"/>
          </w:rPr>
          <w:t>a</w:t>
        </w:r>
        <w:r w:rsidRPr="004D1D1A">
          <w:rPr>
            <w:rStyle w:val="Hypertextovprepojenie"/>
            <w:sz w:val="18"/>
            <w:szCs w:val="18"/>
          </w:rPr>
          <w:t xml:space="preserve"> vplyvov na rozpočet verejnej správy</w:t>
        </w:r>
      </w:hyperlink>
      <w:r>
        <w:rPr>
          <w:sz w:val="18"/>
          <w:szCs w:val="18"/>
        </w:rPr>
        <w:t>. S</w:t>
      </w:r>
      <w:r w:rsidRPr="00A31B21">
        <w:rPr>
          <w:sz w:val="18"/>
          <w:szCs w:val="18"/>
        </w:rPr>
        <w:t xml:space="preserve">kutočný výpadok príjmov sa kvôli posunutej účinnosti </w:t>
      </w:r>
      <w:r>
        <w:rPr>
          <w:sz w:val="18"/>
          <w:szCs w:val="18"/>
        </w:rPr>
        <w:t xml:space="preserve">zavedenia ročného zúčtovania </w:t>
      </w:r>
      <w:r w:rsidRPr="00A31B21">
        <w:rPr>
          <w:sz w:val="18"/>
          <w:szCs w:val="18"/>
        </w:rPr>
        <w:t>a súčasnej neočakávanej epidemiologickej situácie môže líšiť.</w:t>
      </w:r>
    </w:p>
  </w:footnote>
  <w:footnote w:id="372">
    <w:p w14:paraId="6CA28FB7" w14:textId="77777777" w:rsidR="006C0687" w:rsidRPr="00AB5376" w:rsidRDefault="006C0687" w:rsidP="00D27F91">
      <w:pPr>
        <w:pStyle w:val="Textpoznmkypodiarou"/>
        <w:jc w:val="left"/>
        <w:rPr>
          <w:sz w:val="18"/>
          <w:szCs w:val="18"/>
        </w:rPr>
      </w:pPr>
      <w:r w:rsidRPr="00AB5376">
        <w:rPr>
          <w:rStyle w:val="Odkaznapoznmkupodiarou"/>
          <w:sz w:val="18"/>
          <w:szCs w:val="18"/>
        </w:rPr>
        <w:footnoteRef/>
      </w:r>
      <w:r w:rsidRPr="00AB5376">
        <w:rPr>
          <w:sz w:val="18"/>
          <w:szCs w:val="18"/>
        </w:rPr>
        <w:t xml:space="preserve"> NN Tatry – Sympatia, d.d.s., a.s. od 07/2018, AXA d. d. s., a. s. od 02/2019.</w:t>
      </w:r>
    </w:p>
  </w:footnote>
  <w:footnote w:id="373">
    <w:p w14:paraId="33704024" w14:textId="23A2EB0E" w:rsidR="006C0687" w:rsidRPr="00DF7D06" w:rsidRDefault="006C0687" w:rsidP="00D27F91">
      <w:pPr>
        <w:pStyle w:val="Textpoznmkypodiarou"/>
        <w:rPr>
          <w:sz w:val="18"/>
          <w:szCs w:val="18"/>
        </w:rPr>
      </w:pPr>
      <w:r w:rsidRPr="005044CB">
        <w:rPr>
          <w:rStyle w:val="Odkaznapoznmkupodiarou"/>
          <w:sz w:val="18"/>
          <w:szCs w:val="18"/>
        </w:rPr>
        <w:footnoteRef/>
      </w:r>
      <w:r>
        <w:rPr>
          <w:sz w:val="18"/>
          <w:szCs w:val="18"/>
        </w:rPr>
        <w:t xml:space="preserve"> </w:t>
      </w:r>
      <w:hyperlink r:id="rId258" w:history="1">
        <w:r w:rsidRPr="00326CC3">
          <w:rPr>
            <w:rStyle w:val="Hypertextovprepojenie"/>
            <w:sz w:val="18"/>
            <w:szCs w:val="18"/>
          </w:rPr>
          <w:t>MSCI</w:t>
        </w:r>
      </w:hyperlink>
      <w:r>
        <w:rPr>
          <w:sz w:val="18"/>
          <w:szCs w:val="18"/>
        </w:rPr>
        <w:t>. Údaje o zhodnotení sú uvedené v eurách.</w:t>
      </w:r>
    </w:p>
  </w:footnote>
  <w:footnote w:id="374">
    <w:p w14:paraId="745964D7" w14:textId="77777777" w:rsidR="006C0687" w:rsidRPr="000353AC" w:rsidRDefault="006C0687" w:rsidP="00D27F91">
      <w:pPr>
        <w:pStyle w:val="Textpoznmkypodiarou"/>
        <w:jc w:val="left"/>
        <w:rPr>
          <w:sz w:val="18"/>
          <w:szCs w:val="18"/>
        </w:rPr>
      </w:pPr>
      <w:r w:rsidRPr="000353AC">
        <w:rPr>
          <w:rStyle w:val="Odkaznapoznmkupodiarou"/>
          <w:sz w:val="18"/>
          <w:szCs w:val="18"/>
        </w:rPr>
        <w:footnoteRef/>
      </w:r>
      <w:r w:rsidRPr="000353AC">
        <w:rPr>
          <w:sz w:val="18"/>
          <w:szCs w:val="18"/>
        </w:rPr>
        <w:t xml:space="preserve"> </w:t>
      </w:r>
      <w:hyperlink r:id="rId259" w:history="1">
        <w:r>
          <w:rPr>
            <w:rStyle w:val="Hypertextovprepojenie"/>
            <w:sz w:val="18"/>
            <w:szCs w:val="18"/>
          </w:rPr>
          <w:t>Analýza opatrení podporujúcich efektívnejšie rozloženie úspor</w:t>
        </w:r>
      </w:hyperlink>
    </w:p>
  </w:footnote>
  <w:footnote w:id="375">
    <w:p w14:paraId="247E7C0D" w14:textId="203E2888" w:rsidR="006C0687" w:rsidRPr="003C7223" w:rsidRDefault="006C0687" w:rsidP="00D27F91">
      <w:pPr>
        <w:pStyle w:val="Textpoznmkypodiarou"/>
        <w:jc w:val="left"/>
        <w:rPr>
          <w:sz w:val="18"/>
          <w:szCs w:val="18"/>
        </w:rPr>
      </w:pPr>
      <w:r w:rsidRPr="000353AC">
        <w:rPr>
          <w:rStyle w:val="Odkaznapoznmkupodiarou"/>
          <w:sz w:val="18"/>
          <w:szCs w:val="18"/>
        </w:rPr>
        <w:footnoteRef/>
      </w:r>
      <w:r w:rsidRPr="000353AC">
        <w:rPr>
          <w:sz w:val="18"/>
          <w:szCs w:val="18"/>
        </w:rPr>
        <w:t xml:space="preserve"> Napr. dočasné zvýšenie daňovej úľavy pre jednotlivca v III. pilieri, zavedenie úľav pre zamestnávateľov, nastavenie/podpora jednotných pravidiel pre ďalšie formy dobrovoľného sporenia. Zdroj: </w:t>
      </w:r>
      <w:r>
        <w:rPr>
          <w:sz w:val="18"/>
          <w:szCs w:val="18"/>
        </w:rPr>
        <w:t>Súhrnná implementačná správa</w:t>
      </w:r>
      <w:r w:rsidRPr="000353AC">
        <w:rPr>
          <w:sz w:val="18"/>
          <w:szCs w:val="18"/>
        </w:rPr>
        <w:t xml:space="preserve"> 201</w:t>
      </w:r>
      <w:r>
        <w:rPr>
          <w:sz w:val="18"/>
          <w:szCs w:val="18"/>
        </w:rPr>
        <w:t>8.</w:t>
      </w:r>
    </w:p>
  </w:footnote>
  <w:footnote w:id="376">
    <w:p w14:paraId="2369C096" w14:textId="77777777" w:rsidR="006C0687" w:rsidRPr="003C7223" w:rsidRDefault="006C0687" w:rsidP="00D27F91">
      <w:pPr>
        <w:pStyle w:val="Textpoznmkypodiarou"/>
        <w:jc w:val="left"/>
        <w:rPr>
          <w:sz w:val="18"/>
          <w:szCs w:val="18"/>
        </w:rPr>
      </w:pPr>
      <w:r>
        <w:rPr>
          <w:rStyle w:val="Odkaznapoznmkupodiarou"/>
        </w:rPr>
        <w:footnoteRef/>
      </w:r>
      <w:r>
        <w:rPr>
          <w:sz w:val="18"/>
          <w:szCs w:val="18"/>
        </w:rPr>
        <w:t xml:space="preserve"> </w:t>
      </w:r>
      <w:hyperlink r:id="rId260" w:history="1">
        <w:r w:rsidRPr="004D1D1A">
          <w:rPr>
            <w:rStyle w:val="Hypertextovprepojenie"/>
            <w:sz w:val="18"/>
            <w:szCs w:val="18"/>
          </w:rPr>
          <w:t>Záväzné znenie nariadenia</w:t>
        </w:r>
      </w:hyperlink>
    </w:p>
  </w:footnote>
  <w:footnote w:id="377">
    <w:p w14:paraId="2B0E075F" w14:textId="77777777" w:rsidR="006C0687" w:rsidRPr="001D5735" w:rsidRDefault="006C0687">
      <w:pPr>
        <w:pStyle w:val="Textpoznmkypodiarou"/>
        <w:rPr>
          <w:sz w:val="18"/>
          <w:szCs w:val="18"/>
        </w:rPr>
      </w:pPr>
      <w:r w:rsidRPr="001D5735">
        <w:rPr>
          <w:rStyle w:val="Odkaznapoznmkupodiarou"/>
          <w:sz w:val="18"/>
          <w:szCs w:val="18"/>
        </w:rPr>
        <w:footnoteRef/>
      </w:r>
      <w:r w:rsidRPr="001D5735">
        <w:rPr>
          <w:sz w:val="18"/>
          <w:szCs w:val="18"/>
        </w:rPr>
        <w:t xml:space="preserve"> </w:t>
      </w:r>
      <w:r w:rsidRPr="00C951A6">
        <w:rPr>
          <w:sz w:val="18"/>
          <w:szCs w:val="18"/>
        </w:rPr>
        <w:t>Nariadenie PEPP sa začne uplatňovať 12 mesiacov po uverejnení regulačných technických predpisov, v Úradnom vestníku Európskej únie, ktoré musí orgán</w:t>
      </w:r>
      <w:r>
        <w:rPr>
          <w:sz w:val="18"/>
          <w:szCs w:val="18"/>
        </w:rPr>
        <w:t xml:space="preserve"> EIOPA predložiť Komisii do 15.8. </w:t>
      </w:r>
      <w:r w:rsidRPr="00C951A6">
        <w:rPr>
          <w:sz w:val="18"/>
          <w:szCs w:val="18"/>
        </w:rPr>
        <w:t>2</w:t>
      </w:r>
      <w:r>
        <w:rPr>
          <w:sz w:val="18"/>
          <w:szCs w:val="18"/>
        </w:rPr>
        <w:t>020, t. j. najneskôr 15.8.</w:t>
      </w:r>
      <w:r w:rsidRPr="00C951A6">
        <w:rPr>
          <w:sz w:val="18"/>
          <w:szCs w:val="18"/>
        </w:rPr>
        <w:t xml:space="preserve"> 2021.</w:t>
      </w:r>
      <w:r w:rsidRPr="001D5735">
        <w:rPr>
          <w:sz w:val="18"/>
          <w:szCs w:val="18"/>
        </w:rPr>
        <w:t xml:space="preserve"> Zdroj: MPSVR SR</w:t>
      </w:r>
      <w:r>
        <w:rPr>
          <w:sz w:val="18"/>
          <w:szCs w:val="18"/>
        </w:rPr>
        <w:t>.</w:t>
      </w:r>
    </w:p>
  </w:footnote>
  <w:footnote w:id="378">
    <w:p w14:paraId="543D88EC" w14:textId="79CC795B" w:rsidR="006C0687" w:rsidRPr="00125230" w:rsidRDefault="006C0687" w:rsidP="00D27F91">
      <w:pPr>
        <w:pStyle w:val="Textpoznmkypodiarou"/>
        <w:rPr>
          <w:sz w:val="18"/>
          <w:szCs w:val="18"/>
        </w:rPr>
      </w:pPr>
      <w:r w:rsidRPr="00125230">
        <w:rPr>
          <w:rStyle w:val="Odkaznapoznmkupodiarou"/>
          <w:sz w:val="18"/>
          <w:szCs w:val="18"/>
        </w:rPr>
        <w:footnoteRef/>
      </w:r>
      <w:r w:rsidRPr="00125230">
        <w:rPr>
          <w:sz w:val="18"/>
          <w:szCs w:val="18"/>
        </w:rPr>
        <w:t xml:space="preserve"> </w:t>
      </w:r>
      <w:r>
        <w:rPr>
          <w:sz w:val="18"/>
          <w:szCs w:val="18"/>
        </w:rPr>
        <w:t xml:space="preserve">Národný </w:t>
      </w:r>
      <w:r w:rsidRPr="00125230">
        <w:rPr>
          <w:sz w:val="18"/>
          <w:szCs w:val="18"/>
        </w:rPr>
        <w:t>program reforiem 2019</w:t>
      </w:r>
      <w:r>
        <w:rPr>
          <w:sz w:val="18"/>
          <w:szCs w:val="18"/>
        </w:rPr>
        <w:t xml:space="preserve">, dostupný na </w:t>
      </w:r>
      <w:hyperlink r:id="rId261" w:history="1">
        <w:r w:rsidRPr="00991A93">
          <w:rPr>
            <w:rStyle w:val="Hypertextovprepojenie"/>
            <w:sz w:val="18"/>
            <w:szCs w:val="18"/>
          </w:rPr>
          <w:t>https://www.mfsr.sk/sk/financie/institut-financnej-politiky/strategicke-materialy/narodny-program-reforiem/narodny-program-reforiem.html</w:t>
        </w:r>
      </w:hyperlink>
      <w:r>
        <w:rPr>
          <w:sz w:val="18"/>
          <w:szCs w:val="18"/>
        </w:rPr>
        <w:t xml:space="preserve">. </w:t>
      </w:r>
    </w:p>
  </w:footnote>
  <w:footnote w:id="379">
    <w:p w14:paraId="57BAB587" w14:textId="77777777" w:rsidR="006C0687" w:rsidRPr="00BC7B40" w:rsidRDefault="006C0687">
      <w:pPr>
        <w:pStyle w:val="Textpoznmkypodiarou"/>
        <w:rPr>
          <w:sz w:val="18"/>
          <w:szCs w:val="18"/>
        </w:rPr>
      </w:pPr>
      <w:r w:rsidRPr="00BC7B40">
        <w:rPr>
          <w:rStyle w:val="Odkaznapoznmkupodiarou"/>
          <w:sz w:val="18"/>
          <w:szCs w:val="18"/>
        </w:rPr>
        <w:footnoteRef/>
      </w:r>
      <w:r w:rsidRPr="00BC7B40">
        <w:rPr>
          <w:sz w:val="18"/>
          <w:szCs w:val="18"/>
        </w:rPr>
        <w:t xml:space="preserve"> V tomto roku bolo na trhu starobného dôchodkového sporenia zaznamenaných rekordných 146 074 prestupov. Viac ako 47 % z celkového počtu sporiteľov v danom roku zaevidoval AEGON DSS. Uvedené čísla súvisia so vtedajšou snahou spoločností o vybudovanie čo najvyššieho podielu v novom trhovom segmente, ale aj so snahou spoločností získať minimálne 50 000 sporiteľov potrebných pre pokračovanie v ich činnosti.</w:t>
      </w:r>
    </w:p>
  </w:footnote>
  <w:footnote w:id="380">
    <w:p w14:paraId="30D2D62F" w14:textId="6A7BFA24" w:rsidR="006C0687" w:rsidRPr="001D6503" w:rsidRDefault="006C0687">
      <w:pPr>
        <w:pStyle w:val="Textpoznmkypodiarou"/>
        <w:rPr>
          <w:sz w:val="18"/>
          <w:szCs w:val="18"/>
        </w:rPr>
      </w:pPr>
      <w:r w:rsidRPr="001D6503">
        <w:rPr>
          <w:rStyle w:val="Odkaznapoznmkupodiarou"/>
          <w:sz w:val="18"/>
          <w:szCs w:val="18"/>
        </w:rPr>
        <w:footnoteRef/>
      </w:r>
      <w:r w:rsidRPr="001D6503">
        <w:rPr>
          <w:sz w:val="18"/>
          <w:szCs w:val="18"/>
        </w:rPr>
        <w:t xml:space="preserve"> Maximálna provízia pre sprostredkovateľov nesmie podľa zákona presiahnuť 8 % priemernej mesačnej mzdy v národnom hospodárstve vykázanej ŠÚ SR za kalendárny rok, ktorý dva roky predchádza kalendárnemu roku, v ktorom sa uzatvorila zmluva o SDS vrátane jej zmien. Zdroj: §63e </w:t>
      </w:r>
      <w:hyperlink r:id="rId262" w:history="1">
        <w:r w:rsidRPr="006226C8">
          <w:rPr>
            <w:rStyle w:val="Hypertextovprepojenie"/>
            <w:sz w:val="18"/>
            <w:szCs w:val="18"/>
          </w:rPr>
          <w:t>Zákona č. 43/2004 Z. z. o starobnom dôchodkovom sporení</w:t>
        </w:r>
      </w:hyperlink>
      <w:r w:rsidRPr="001D6503">
        <w:rPr>
          <w:sz w:val="18"/>
          <w:szCs w:val="18"/>
        </w:rPr>
        <w:t>.</w:t>
      </w:r>
    </w:p>
  </w:footnote>
  <w:footnote w:id="381">
    <w:p w14:paraId="236F9042" w14:textId="77777777" w:rsidR="006C0687" w:rsidRPr="001D6503" w:rsidRDefault="006C0687">
      <w:pPr>
        <w:pStyle w:val="Textpoznmkypodiarou"/>
        <w:rPr>
          <w:sz w:val="18"/>
          <w:szCs w:val="18"/>
        </w:rPr>
      </w:pPr>
      <w:r w:rsidRPr="001D6503">
        <w:rPr>
          <w:rStyle w:val="Odkaznapoznmkupodiarou"/>
          <w:sz w:val="18"/>
          <w:szCs w:val="18"/>
        </w:rPr>
        <w:footnoteRef/>
      </w:r>
      <w:r w:rsidRPr="001D6503">
        <w:rPr>
          <w:sz w:val="18"/>
          <w:szCs w:val="18"/>
        </w:rPr>
        <w:t xml:space="preserve"> </w:t>
      </w:r>
      <w:r w:rsidRPr="00D03C8A">
        <w:rPr>
          <w:sz w:val="18"/>
          <w:szCs w:val="18"/>
        </w:rPr>
        <w:t>Asociácia DDS, k 31.12.2017.</w:t>
      </w:r>
    </w:p>
  </w:footnote>
  <w:footnote w:id="382">
    <w:p w14:paraId="09FDFCE3" w14:textId="109C717B" w:rsidR="006C0687" w:rsidRPr="001D6503" w:rsidRDefault="006C0687" w:rsidP="00D27F91">
      <w:pPr>
        <w:pStyle w:val="Textpoznmkypodiarou"/>
        <w:rPr>
          <w:sz w:val="18"/>
          <w:szCs w:val="18"/>
        </w:rPr>
      </w:pPr>
      <w:r w:rsidRPr="001D6503">
        <w:rPr>
          <w:rStyle w:val="Odkaznapoznmkupodiarou"/>
          <w:sz w:val="18"/>
          <w:szCs w:val="18"/>
        </w:rPr>
        <w:footnoteRef/>
      </w:r>
      <w:r w:rsidRPr="001D6503">
        <w:rPr>
          <w:sz w:val="18"/>
          <w:szCs w:val="18"/>
        </w:rPr>
        <w:t xml:space="preserve"> Výška odmeny priamo súvisiaca s uzatvorením jednej účastníckej zmluvy je najviac 10 % priemernej mesačnej mzdy v hospodárstve Slovenskej republiky vykázanej </w:t>
      </w:r>
      <w:r>
        <w:rPr>
          <w:sz w:val="18"/>
          <w:szCs w:val="18"/>
        </w:rPr>
        <w:t>ŠÚ SR</w:t>
      </w:r>
      <w:r w:rsidRPr="001D6503">
        <w:rPr>
          <w:sz w:val="18"/>
          <w:szCs w:val="18"/>
        </w:rPr>
        <w:t xml:space="preserve"> za kalendárny rok, ktorý dva roky predchádza kalendárnemu roku, v ktorom sa účastnícka zmluva uzatvorila. Zdroj: § 84a </w:t>
      </w:r>
      <w:hyperlink r:id="rId263" w:history="1">
        <w:r w:rsidRPr="009862FB">
          <w:rPr>
            <w:rStyle w:val="Hypertextovprepojenie"/>
            <w:sz w:val="18"/>
            <w:szCs w:val="18"/>
          </w:rPr>
          <w:t>Zákona č. 650/2004 Z. z. o doplnkovom dôchodkovom sporení</w:t>
        </w:r>
      </w:hyperlink>
      <w:r w:rsidRPr="001D6503">
        <w:rPr>
          <w:sz w:val="18"/>
          <w:szCs w:val="18"/>
        </w:rPr>
        <w:t xml:space="preserve">. </w:t>
      </w:r>
    </w:p>
  </w:footnote>
  <w:footnote w:id="383">
    <w:p w14:paraId="6FDB39D3" w14:textId="18AF360E" w:rsidR="006C0687" w:rsidRPr="001D6503" w:rsidRDefault="006C0687" w:rsidP="00D27F91">
      <w:pPr>
        <w:pStyle w:val="Textpoznmkypodiarou"/>
        <w:rPr>
          <w:sz w:val="18"/>
          <w:szCs w:val="18"/>
        </w:rPr>
      </w:pPr>
      <w:r w:rsidRPr="00D832B4">
        <w:rPr>
          <w:rStyle w:val="Odkaznapoznmkupodiarou"/>
          <w:sz w:val="18"/>
          <w:szCs w:val="18"/>
        </w:rPr>
        <w:footnoteRef/>
      </w:r>
      <w:r w:rsidRPr="00D832B4">
        <w:rPr>
          <w:sz w:val="18"/>
          <w:szCs w:val="18"/>
        </w:rPr>
        <w:t xml:space="preserve"> V prípade akýchkoľvek návrhov úprav by bolo nevyhnutné riešiť aj ustanovenia, ktoré regulujú hornú hranicu pre odmenu sprostredkovateľa, napr. rozdelením odmeny na časť, súvisiacu s podpisom samotnej zmluvy a časť na odporúčania v súvislosti s výberom</w:t>
      </w:r>
      <w:r w:rsidRPr="001D6503">
        <w:rPr>
          <w:sz w:val="18"/>
          <w:szCs w:val="18"/>
        </w:rPr>
        <w:t xml:space="preserve"> vhodnej stratégie. Viac informácií v</w:t>
      </w:r>
      <w:r>
        <w:rPr>
          <w:sz w:val="18"/>
          <w:szCs w:val="18"/>
        </w:rPr>
        <w:t> Priebežnej implementačnej správe 2019.</w:t>
      </w:r>
    </w:p>
  </w:footnote>
  <w:footnote w:id="384">
    <w:p w14:paraId="484637AE" w14:textId="77777777" w:rsidR="006C0687" w:rsidRPr="0003011C" w:rsidRDefault="006C0687">
      <w:pPr>
        <w:pStyle w:val="Textpoznmkypodiarou"/>
        <w:rPr>
          <w:sz w:val="18"/>
          <w:szCs w:val="18"/>
        </w:rPr>
      </w:pPr>
      <w:r w:rsidRPr="0003011C">
        <w:rPr>
          <w:rStyle w:val="Odkaznapoznmkupodiarou"/>
          <w:sz w:val="18"/>
          <w:szCs w:val="18"/>
        </w:rPr>
        <w:footnoteRef/>
      </w:r>
      <w:r w:rsidRPr="0003011C">
        <w:rPr>
          <w:sz w:val="18"/>
          <w:szCs w:val="18"/>
        </w:rPr>
        <w:t xml:space="preserve"> AXA indexový globálny príspevkový d.d.f a NN Indexový príspevkový d.d.f.</w:t>
      </w:r>
    </w:p>
  </w:footnote>
  <w:footnote w:id="385">
    <w:p w14:paraId="48D2FAEF" w14:textId="77777777" w:rsidR="006C0687" w:rsidRPr="00A26587" w:rsidRDefault="006C0687" w:rsidP="00D27F91">
      <w:pPr>
        <w:pStyle w:val="Textpoznmkypodiarou"/>
        <w:rPr>
          <w:sz w:val="18"/>
          <w:szCs w:val="18"/>
        </w:rPr>
      </w:pPr>
      <w:r w:rsidRPr="00A26587">
        <w:rPr>
          <w:rStyle w:val="Odkaznapoznmkupodiarou"/>
          <w:sz w:val="18"/>
          <w:szCs w:val="18"/>
        </w:rPr>
        <w:footnoteRef/>
      </w:r>
      <w:r w:rsidRPr="00A26587">
        <w:rPr>
          <w:sz w:val="18"/>
          <w:szCs w:val="18"/>
        </w:rPr>
        <w:t xml:space="preserve"> Vysvetlivky: KF – Konzervatívne fondy v III. pilieri (AXA príspevkový d.d.f.; NN Konzervatívny príspevkový d.d.f; Stabilita príspevkový d.d.f.; Tatra banka Comfort life 2020, príspevkový d.d.f.).</w:t>
      </w:r>
    </w:p>
    <w:p w14:paraId="60F16BCD" w14:textId="77777777" w:rsidR="006C0687" w:rsidRPr="00A26587" w:rsidRDefault="006C0687" w:rsidP="00D27F91">
      <w:pPr>
        <w:pStyle w:val="Textpoznmkypodiarou"/>
        <w:rPr>
          <w:sz w:val="18"/>
          <w:szCs w:val="18"/>
        </w:rPr>
      </w:pPr>
      <w:r w:rsidRPr="00A26587">
        <w:rPr>
          <w:sz w:val="18"/>
          <w:szCs w:val="18"/>
        </w:rPr>
        <w:t>VF – Vyvážené fondy v III. pilieri (NN Vyvážený príspevkový d.d.f.; Tatra banka Comfort life 2030 príspevkový d.d.f.; Tatra banka Comfort life 2040 príspevkový d.d.f.).</w:t>
      </w:r>
    </w:p>
    <w:p w14:paraId="28C19488" w14:textId="77777777" w:rsidR="006C0687" w:rsidRPr="00A26587" w:rsidRDefault="006C0687" w:rsidP="00D27F91">
      <w:pPr>
        <w:pStyle w:val="Textpoznmkypodiarou"/>
        <w:rPr>
          <w:sz w:val="18"/>
          <w:szCs w:val="18"/>
        </w:rPr>
      </w:pPr>
      <w:r w:rsidRPr="00A26587">
        <w:rPr>
          <w:sz w:val="18"/>
          <w:szCs w:val="18"/>
        </w:rPr>
        <w:t>RF – Rastové Fondy v III. pilieri (AXA globálny akciový príspevkový d.d.f.; AXA indexový globálny príspevkový d.d.f.; NN Rastový príspevkový d.d.f.; NN Indexový príspevkový d.d.f.; Stabilita akciový príspevkový d.d.f.; Tatra banka Comfort life 2050 príspevkový d.d.f ).</w:t>
      </w:r>
    </w:p>
  </w:footnote>
  <w:footnote w:id="386">
    <w:p w14:paraId="256BDEF4" w14:textId="77777777" w:rsidR="006C0687" w:rsidRPr="0066288D" w:rsidRDefault="006C0687">
      <w:pPr>
        <w:pStyle w:val="Textpoznmkypodiarou"/>
        <w:rPr>
          <w:sz w:val="18"/>
          <w:szCs w:val="18"/>
        </w:rPr>
      </w:pPr>
      <w:r w:rsidRPr="0066288D">
        <w:rPr>
          <w:rStyle w:val="Odkaznapoznmkupodiarou"/>
          <w:sz w:val="18"/>
          <w:szCs w:val="18"/>
        </w:rPr>
        <w:footnoteRef/>
      </w:r>
      <w:r>
        <w:rPr>
          <w:sz w:val="18"/>
          <w:szCs w:val="18"/>
        </w:rPr>
        <w:t xml:space="preserve"> </w:t>
      </w:r>
      <w:hyperlink r:id="rId264" w:history="1">
        <w:r>
          <w:rPr>
            <w:rStyle w:val="Hypertextovprepojenie"/>
            <w:sz w:val="18"/>
            <w:szCs w:val="18"/>
          </w:rPr>
          <w:t>Novela zákona č. 43/2004 Z. z. o starobnom dôchodkovom sporení</w:t>
        </w:r>
      </w:hyperlink>
      <w:r w:rsidRPr="0066288D">
        <w:rPr>
          <w:sz w:val="18"/>
          <w:szCs w:val="18"/>
        </w:rPr>
        <w:t>. Účinnosť je rozdelená na 2020 a 2021, väčšina zmien platí až od 2021.</w:t>
      </w:r>
    </w:p>
  </w:footnote>
  <w:footnote w:id="387">
    <w:p w14:paraId="3654FD4D" w14:textId="77777777" w:rsidR="006C0687" w:rsidRPr="0066288D" w:rsidRDefault="006C0687" w:rsidP="00D27F91">
      <w:pPr>
        <w:pStyle w:val="Textpoznmkypodiarou"/>
        <w:jc w:val="left"/>
        <w:rPr>
          <w:sz w:val="18"/>
          <w:szCs w:val="18"/>
        </w:rPr>
      </w:pPr>
      <w:r w:rsidRPr="0066288D">
        <w:rPr>
          <w:rStyle w:val="Odkaznapoznmkupodiarou"/>
          <w:sz w:val="18"/>
          <w:szCs w:val="18"/>
        </w:rPr>
        <w:footnoteRef/>
      </w:r>
      <w:r w:rsidRPr="0066288D">
        <w:rPr>
          <w:sz w:val="18"/>
          <w:szCs w:val="18"/>
        </w:rPr>
        <w:t xml:space="preserve"> </w:t>
      </w:r>
      <w:hyperlink r:id="rId265" w:history="1">
        <w:r>
          <w:rPr>
            <w:rStyle w:val="Hypertextovprepojenie"/>
            <w:sz w:val="18"/>
            <w:szCs w:val="18"/>
          </w:rPr>
          <w:t>Návrh MPSVR na ustanovenie vzoru výpisu z osobného dôchodkového účtu sporiteľa a pravidlá na určenie prognóz dôchodkov</w:t>
        </w:r>
      </w:hyperlink>
      <w:r w:rsidRPr="0066288D">
        <w:rPr>
          <w:sz w:val="18"/>
          <w:szCs w:val="18"/>
        </w:rPr>
        <w:t xml:space="preserve">, </w:t>
      </w:r>
      <w:hyperlink r:id="rId266" w:history="1">
        <w:r>
          <w:rPr>
            <w:rStyle w:val="Hypertextovprepojenie"/>
            <w:sz w:val="18"/>
            <w:szCs w:val="18"/>
          </w:rPr>
          <w:t>Návrh opatrenia na ustanovenie obsahu, štruktúry, formy, podmienok a spôsobu priebežnej aktualizácie a lehoty na zverejnenie kľúčových informácií o dôchodkovom fonde</w:t>
        </w:r>
      </w:hyperlink>
      <w:r w:rsidRPr="0066288D">
        <w:rPr>
          <w:sz w:val="18"/>
          <w:szCs w:val="18"/>
        </w:rPr>
        <w:t xml:space="preserve">, </w:t>
      </w:r>
      <w:hyperlink r:id="rId267" w:history="1">
        <w:r>
          <w:rPr>
            <w:rStyle w:val="Hypertextovprepojenie"/>
            <w:sz w:val="18"/>
            <w:szCs w:val="18"/>
          </w:rPr>
          <w:t>Návrh MPSVR o informácií o dôchodkoch zo starobného dôchodkového sporenia</w:t>
        </w:r>
      </w:hyperlink>
      <w:r w:rsidRPr="0066288D">
        <w:rPr>
          <w:rStyle w:val="Hypertextovprepojenie"/>
          <w:sz w:val="18"/>
          <w:szCs w:val="18"/>
        </w:rPr>
        <w:t>.</w:t>
      </w:r>
    </w:p>
  </w:footnote>
  <w:footnote w:id="388">
    <w:p w14:paraId="75863176" w14:textId="77777777" w:rsidR="006C0687" w:rsidRDefault="006C0687" w:rsidP="00D27F91">
      <w:pPr>
        <w:pStyle w:val="Textpoznmkypodiarou"/>
        <w:jc w:val="left"/>
      </w:pPr>
      <w:r w:rsidRPr="00A44882">
        <w:rPr>
          <w:rStyle w:val="Odkaznapoznmkupodiarou"/>
        </w:rPr>
        <w:footnoteRef/>
      </w:r>
      <w:r>
        <w:rPr>
          <w:sz w:val="18"/>
          <w:szCs w:val="18"/>
        </w:rPr>
        <w:t xml:space="preserve"> </w:t>
      </w:r>
      <w:hyperlink r:id="rId268" w:history="1">
        <w:r>
          <w:rPr>
            <w:rStyle w:val="Hypertextovprepojenie"/>
            <w:sz w:val="18"/>
            <w:szCs w:val="18"/>
          </w:rPr>
          <w:t>Opatrenie MPSVR určujúce vzor výpisu z osobného dôchodkového účtu sporiteľa</w:t>
        </w:r>
      </w:hyperlink>
      <w:r w:rsidRPr="00A44882">
        <w:rPr>
          <w:rStyle w:val="Hypertextovprepojenie"/>
          <w:sz w:val="18"/>
          <w:szCs w:val="18"/>
        </w:rPr>
        <w:t xml:space="preserve">, </w:t>
      </w:r>
      <w:hyperlink r:id="rId269" w:history="1">
        <w:r>
          <w:rPr>
            <w:rStyle w:val="Hypertextovprepojenie"/>
            <w:sz w:val="18"/>
            <w:szCs w:val="18"/>
          </w:rPr>
          <w:t>Opatrenie MPSVR ustanovujúce obsah, štruktúru, formu, podmienky a spôsob priebežnej aktualizácie a lehoty na zverejnenie kľúčových informácií o dôchodkovom fonde</w:t>
        </w:r>
      </w:hyperlink>
      <w:r w:rsidRPr="00A44882">
        <w:rPr>
          <w:rStyle w:val="Hypertextovprepojenie"/>
          <w:sz w:val="18"/>
          <w:szCs w:val="18"/>
        </w:rPr>
        <w:t xml:space="preserve">, </w:t>
      </w:r>
      <w:hyperlink r:id="rId270" w:history="1">
        <w:r>
          <w:rPr>
            <w:rStyle w:val="Hypertextovprepojenie"/>
            <w:sz w:val="18"/>
            <w:szCs w:val="18"/>
          </w:rPr>
          <w:t>Opatrenie MPSVR o informácii o dôchodkoch zo starobného dôchodkového sporenia</w:t>
        </w:r>
      </w:hyperlink>
    </w:p>
  </w:footnote>
  <w:footnote w:id="389">
    <w:p w14:paraId="38246870" w14:textId="77777777" w:rsidR="006C0687" w:rsidRPr="00AD0F34" w:rsidRDefault="006C0687" w:rsidP="00D27F91">
      <w:pPr>
        <w:pStyle w:val="Textpoznmkypodiarou"/>
        <w:jc w:val="left"/>
        <w:rPr>
          <w:sz w:val="18"/>
          <w:szCs w:val="18"/>
        </w:rPr>
      </w:pPr>
      <w:r w:rsidRPr="00A31013">
        <w:rPr>
          <w:rStyle w:val="Odkaznapoznmkupodiarou"/>
          <w:sz w:val="18"/>
          <w:szCs w:val="18"/>
        </w:rPr>
        <w:footnoteRef/>
      </w:r>
      <w:r w:rsidRPr="00A31013">
        <w:rPr>
          <w:sz w:val="18"/>
          <w:szCs w:val="18"/>
        </w:rPr>
        <w:t xml:space="preserve"> </w:t>
      </w:r>
      <w:hyperlink r:id="rId271" w:history="1">
        <w:r>
          <w:rPr>
            <w:rStyle w:val="Hypertextovprepojenie"/>
            <w:sz w:val="18"/>
            <w:szCs w:val="18"/>
          </w:rPr>
          <w:t xml:space="preserve">Štvrtý dôchodkový pilier </w:t>
        </w:r>
      </w:hyperlink>
    </w:p>
  </w:footnote>
  <w:footnote w:id="390">
    <w:p w14:paraId="67C7722B" w14:textId="199A6399" w:rsidR="006C0687" w:rsidRPr="0066288D" w:rsidRDefault="006C0687" w:rsidP="00D27F91">
      <w:pPr>
        <w:pStyle w:val="Textpoznmkypodiarou"/>
        <w:rPr>
          <w:sz w:val="18"/>
          <w:szCs w:val="18"/>
        </w:rPr>
      </w:pPr>
      <w:r w:rsidRPr="0066288D">
        <w:rPr>
          <w:rStyle w:val="Odkaznapoznmkupodiarou"/>
          <w:sz w:val="18"/>
          <w:szCs w:val="18"/>
        </w:rPr>
        <w:footnoteRef/>
      </w:r>
      <w:r w:rsidRPr="0066288D">
        <w:rPr>
          <w:sz w:val="18"/>
          <w:szCs w:val="18"/>
        </w:rPr>
        <w:t xml:space="preserve"> Viac informácií v</w:t>
      </w:r>
      <w:r>
        <w:rPr>
          <w:sz w:val="18"/>
          <w:szCs w:val="18"/>
        </w:rPr>
        <w:t> Súhrnnej implementačnej správe 2018.</w:t>
      </w:r>
      <w:r w:rsidRPr="0066288D">
        <w:rPr>
          <w:sz w:val="18"/>
          <w:szCs w:val="18"/>
        </w:rPr>
        <w:t xml:space="preserve"> </w:t>
      </w:r>
    </w:p>
  </w:footnote>
  <w:footnote w:id="391">
    <w:p w14:paraId="6973C185" w14:textId="77777777" w:rsidR="006C0687" w:rsidRPr="0066288D" w:rsidRDefault="006C0687">
      <w:pPr>
        <w:pStyle w:val="Textpoznmkypodiarou"/>
        <w:rPr>
          <w:sz w:val="18"/>
          <w:szCs w:val="18"/>
        </w:rPr>
      </w:pPr>
      <w:r w:rsidRPr="0066288D">
        <w:rPr>
          <w:rStyle w:val="Odkaznapoznmkupodiarou"/>
          <w:sz w:val="18"/>
          <w:szCs w:val="18"/>
        </w:rPr>
        <w:footnoteRef/>
      </w:r>
      <w:r w:rsidRPr="0066288D">
        <w:rPr>
          <w:sz w:val="18"/>
          <w:szCs w:val="18"/>
        </w:rPr>
        <w:t xml:space="preserve"> Táto lehota je definovaná ako jeden rok od zverejnenia nariadenia v Úradnom vestníku Európskej únie. Dátum zverejnenia bol 25.7.2019.</w:t>
      </w:r>
    </w:p>
  </w:footnote>
  <w:footnote w:id="392">
    <w:p w14:paraId="18D40CB8" w14:textId="77777777" w:rsidR="006C0687" w:rsidRPr="0066288D" w:rsidRDefault="006C0687" w:rsidP="00D27F91">
      <w:pPr>
        <w:pStyle w:val="Textpoznmkypodiarou"/>
        <w:jc w:val="left"/>
        <w:rPr>
          <w:sz w:val="18"/>
          <w:szCs w:val="18"/>
        </w:rPr>
      </w:pPr>
      <w:r w:rsidRPr="0066288D">
        <w:rPr>
          <w:rStyle w:val="Odkaznapoznmkupodiarou"/>
          <w:sz w:val="18"/>
          <w:szCs w:val="18"/>
        </w:rPr>
        <w:footnoteRef/>
      </w:r>
      <w:r w:rsidRPr="0066288D">
        <w:rPr>
          <w:sz w:val="18"/>
          <w:szCs w:val="18"/>
        </w:rPr>
        <w:t xml:space="preserve"> </w:t>
      </w:r>
      <w:hyperlink r:id="rId272" w:history="1">
        <w:r w:rsidRPr="008748B0">
          <w:rPr>
            <w:rStyle w:val="Hypertextovprepojenie"/>
            <w:sz w:val="18"/>
            <w:szCs w:val="18"/>
          </w:rPr>
          <w:t>EIOPA - Konzultačný dokument</w:t>
        </w:r>
      </w:hyperlink>
      <w:r w:rsidRPr="00EC33A3" w:rsidDel="00EC33A3">
        <w:rPr>
          <w:sz w:val="18"/>
          <w:szCs w:val="18"/>
        </w:rPr>
        <w:t xml:space="preserve"> </w:t>
      </w:r>
    </w:p>
  </w:footnote>
  <w:footnote w:id="393">
    <w:p w14:paraId="19F8BCEC" w14:textId="77777777" w:rsidR="006C0687" w:rsidRPr="0066288D" w:rsidRDefault="006C0687">
      <w:pPr>
        <w:pStyle w:val="Textpoznmkypodiarou"/>
        <w:rPr>
          <w:sz w:val="18"/>
          <w:szCs w:val="18"/>
        </w:rPr>
      </w:pPr>
      <w:r w:rsidRPr="0066288D">
        <w:rPr>
          <w:rStyle w:val="Odkaznapoznmkupodiarou"/>
          <w:sz w:val="18"/>
          <w:szCs w:val="18"/>
        </w:rPr>
        <w:footnoteRef/>
      </w:r>
      <w:r w:rsidRPr="0066288D">
        <w:rPr>
          <w:sz w:val="18"/>
          <w:szCs w:val="18"/>
        </w:rPr>
        <w:t xml:space="preserve"> Je potrebné zrevidovať opodstatnenie najmä odplaty za zhodnotenie pasívne spravovaných (indexových fondov), ktoré len kopírujú referenčnú hodnotu podkladového aktíva. </w:t>
      </w:r>
    </w:p>
  </w:footnote>
  <w:footnote w:id="394">
    <w:p w14:paraId="6AB56071" w14:textId="77777777" w:rsidR="006C0687" w:rsidRPr="005C4A1F" w:rsidRDefault="006C0687">
      <w:pPr>
        <w:pStyle w:val="Textpoznmkypodiarou"/>
        <w:rPr>
          <w:sz w:val="18"/>
          <w:szCs w:val="18"/>
        </w:rPr>
      </w:pPr>
      <w:r w:rsidRPr="005C4A1F">
        <w:rPr>
          <w:rStyle w:val="Odkaznapoznmkupodiarou"/>
          <w:sz w:val="18"/>
          <w:szCs w:val="18"/>
        </w:rPr>
        <w:footnoteRef/>
      </w:r>
      <w:r w:rsidRPr="005C4A1F">
        <w:rPr>
          <w:sz w:val="18"/>
          <w:szCs w:val="18"/>
        </w:rPr>
        <w:t xml:space="preserve"> </w:t>
      </w:r>
      <w:hyperlink r:id="rId273" w:history="1">
        <w:r w:rsidRPr="004D1D1A">
          <w:rPr>
            <w:rStyle w:val="Hypertextovprepojenie"/>
            <w:sz w:val="18"/>
            <w:szCs w:val="18"/>
          </w:rPr>
          <w:t>Novela zákona č. 448/2008 Z. z. o sociálnych službách – vyhlásené znenie</w:t>
        </w:r>
      </w:hyperlink>
    </w:p>
  </w:footnote>
  <w:footnote w:id="395">
    <w:p w14:paraId="4B41AF2F" w14:textId="77777777" w:rsidR="006C0687" w:rsidRPr="005C4A1F" w:rsidRDefault="006C0687" w:rsidP="00D27F91">
      <w:pPr>
        <w:pStyle w:val="Textpoznmkypodiarou"/>
        <w:rPr>
          <w:sz w:val="18"/>
          <w:szCs w:val="18"/>
        </w:rPr>
      </w:pPr>
      <w:r w:rsidRPr="005C4A1F">
        <w:rPr>
          <w:rStyle w:val="Odkaznapoznmkupodiarou"/>
          <w:sz w:val="18"/>
          <w:szCs w:val="18"/>
        </w:rPr>
        <w:footnoteRef/>
      </w:r>
      <w:r w:rsidRPr="005C4A1F">
        <w:rPr>
          <w:sz w:val="18"/>
          <w:szCs w:val="18"/>
        </w:rPr>
        <w:t xml:space="preserve"> </w:t>
      </w:r>
      <w:hyperlink r:id="rId274" w:history="1">
        <w:r w:rsidRPr="004D1D1A">
          <w:rPr>
            <w:rStyle w:val="Hypertextovprepojenie"/>
            <w:sz w:val="18"/>
            <w:szCs w:val="18"/>
          </w:rPr>
          <w:t>Novela zákona č. 448/2008 Z. z. o sociálnych službách</w:t>
        </w:r>
      </w:hyperlink>
    </w:p>
  </w:footnote>
  <w:footnote w:id="396">
    <w:p w14:paraId="31EA79A3" w14:textId="77777777" w:rsidR="006C0687" w:rsidRPr="005C4A1F" w:rsidRDefault="006C0687" w:rsidP="00D27F91">
      <w:pPr>
        <w:pStyle w:val="Textpoznmkypodiarou"/>
        <w:rPr>
          <w:sz w:val="18"/>
          <w:szCs w:val="18"/>
        </w:rPr>
      </w:pPr>
      <w:r w:rsidRPr="005C4A1F">
        <w:rPr>
          <w:rStyle w:val="Odkaznapoznmkupodiarou"/>
          <w:sz w:val="18"/>
          <w:szCs w:val="18"/>
        </w:rPr>
        <w:footnoteRef/>
      </w:r>
      <w:r w:rsidRPr="005C4A1F">
        <w:rPr>
          <w:sz w:val="18"/>
          <w:szCs w:val="18"/>
        </w:rPr>
        <w:t xml:space="preserve"> Zdroj: § 110ap - Prechodné ustanovenia k úpravám účinným od 1. januára 2021</w:t>
      </w:r>
      <w:r>
        <w:rPr>
          <w:sz w:val="18"/>
          <w:szCs w:val="18"/>
        </w:rPr>
        <w:t xml:space="preserve"> schválenej novely zákona č. </w:t>
      </w:r>
      <w:r w:rsidRPr="005C4A1F">
        <w:rPr>
          <w:sz w:val="18"/>
          <w:szCs w:val="18"/>
        </w:rPr>
        <w:t>280/2019</w:t>
      </w:r>
      <w:r>
        <w:rPr>
          <w:sz w:val="18"/>
          <w:szCs w:val="18"/>
        </w:rPr>
        <w:t xml:space="preserve"> Z.z. </w:t>
      </w:r>
    </w:p>
  </w:footnote>
  <w:footnote w:id="397">
    <w:p w14:paraId="0B493AB5" w14:textId="77777777" w:rsidR="006C0687" w:rsidRPr="003B0F16" w:rsidRDefault="006C0687">
      <w:pPr>
        <w:pStyle w:val="Textpoznmkypodiarou"/>
        <w:rPr>
          <w:sz w:val="18"/>
          <w:szCs w:val="18"/>
        </w:rPr>
      </w:pPr>
      <w:r w:rsidRPr="003B0F16">
        <w:rPr>
          <w:rStyle w:val="Odkaznapoznmkupodiarou"/>
          <w:sz w:val="18"/>
          <w:szCs w:val="18"/>
        </w:rPr>
        <w:footnoteRef/>
      </w:r>
      <w:r w:rsidRPr="003B0F16">
        <w:rPr>
          <w:sz w:val="18"/>
          <w:szCs w:val="18"/>
        </w:rPr>
        <w:t xml:space="preserve"> MPSVR SR zabezpečilo financovanie navrhovaného Informačného systému sociálnych služieb v rámci limitu výdavkov kapitoly schválených na rok 2019</w:t>
      </w:r>
      <w:r>
        <w:rPr>
          <w:sz w:val="18"/>
          <w:szCs w:val="18"/>
        </w:rPr>
        <w:t>.</w:t>
      </w:r>
    </w:p>
  </w:footnote>
  <w:footnote w:id="398">
    <w:p w14:paraId="135DF917" w14:textId="7108F439" w:rsidR="006C0687" w:rsidRPr="00E24E93" w:rsidRDefault="006C0687" w:rsidP="00D27F91">
      <w:pPr>
        <w:pStyle w:val="Textpoznmkypodiarou"/>
        <w:jc w:val="left"/>
        <w:rPr>
          <w:sz w:val="18"/>
          <w:szCs w:val="18"/>
        </w:rPr>
      </w:pPr>
      <w:r w:rsidRPr="00E24E93">
        <w:rPr>
          <w:rStyle w:val="Odkaznapoznmkupodiarou"/>
          <w:sz w:val="18"/>
          <w:szCs w:val="18"/>
        </w:rPr>
        <w:footnoteRef/>
      </w:r>
      <w:r w:rsidRPr="00E24E93">
        <w:rPr>
          <w:sz w:val="18"/>
          <w:szCs w:val="18"/>
        </w:rPr>
        <w:t xml:space="preserve"> Kapitola č.14, </w:t>
      </w:r>
      <w:r>
        <w:rPr>
          <w:sz w:val="18"/>
          <w:szCs w:val="18"/>
        </w:rPr>
        <w:t xml:space="preserve">Revízia výdavkov na zdravotníctvo II </w:t>
      </w:r>
    </w:p>
  </w:footnote>
  <w:footnote w:id="399">
    <w:p w14:paraId="172997D6" w14:textId="1BC7BCA9" w:rsidR="006C0687" w:rsidRPr="00E24E93" w:rsidRDefault="006C0687" w:rsidP="00D27F91">
      <w:pPr>
        <w:pStyle w:val="Textpoznmkypodiarou"/>
        <w:jc w:val="left"/>
        <w:rPr>
          <w:sz w:val="18"/>
          <w:szCs w:val="18"/>
        </w:rPr>
      </w:pPr>
      <w:r w:rsidRPr="00E24E93">
        <w:rPr>
          <w:rStyle w:val="Odkaznapoznmkupodiarou"/>
          <w:sz w:val="18"/>
          <w:szCs w:val="18"/>
        </w:rPr>
        <w:footnoteRef/>
      </w:r>
      <w:r w:rsidRPr="00E24E93">
        <w:rPr>
          <w:sz w:val="18"/>
          <w:szCs w:val="18"/>
        </w:rPr>
        <w:t xml:space="preserve"> Zdroj: </w:t>
      </w:r>
      <w:hyperlink r:id="rId275" w:history="1">
        <w:r w:rsidRPr="00E24E93">
          <w:rPr>
            <w:rStyle w:val="Hypertextovprepojenie"/>
            <w:sz w:val="18"/>
            <w:szCs w:val="18"/>
          </w:rPr>
          <w:t>http://www.rokovania.sk/File.aspx/ViewDocumentHtml/Uznesenie-17661?prefixFile=u_</w:t>
        </w:r>
      </w:hyperlink>
      <w:r w:rsidRPr="00E24E93">
        <w:rPr>
          <w:sz w:val="18"/>
          <w:szCs w:val="18"/>
        </w:rPr>
        <w:t xml:space="preserve">, </w:t>
      </w:r>
      <w:hyperlink r:id="rId276" w:history="1">
        <w:r w:rsidRPr="00BE3296">
          <w:rPr>
            <w:rStyle w:val="Hypertextovprepojenie"/>
            <w:sz w:val="18"/>
            <w:szCs w:val="18"/>
          </w:rPr>
          <w:t>https://www.nrsr.sk/web/Default.aspx?sid=zakony/cpt&amp;ZakZborID=13&amp;CisObdobia=7&amp;ID=1613</w:t>
        </w:r>
      </w:hyperlink>
      <w:r w:rsidRPr="00BE3296">
        <w:rPr>
          <w:sz w:val="18"/>
          <w:szCs w:val="18"/>
        </w:rPr>
        <w:t xml:space="preserve">, </w:t>
      </w:r>
      <w:hyperlink r:id="rId277" w:history="1">
        <w:r w:rsidRPr="00262966">
          <w:rPr>
            <w:rStyle w:val="Hypertextovprepojenie"/>
            <w:sz w:val="18"/>
            <w:szCs w:val="18"/>
          </w:rPr>
          <w:t>https://www.nrsr.sk/web/Default.aspx?sid=zakony/zakon&amp;ZakZborID=13&amp;CisObdobia=7&amp;CPT=1694</w:t>
        </w:r>
      </w:hyperlink>
      <w:r>
        <w:rPr>
          <w:sz w:val="18"/>
          <w:szCs w:val="18"/>
        </w:rPr>
        <w:t xml:space="preserve"> </w:t>
      </w:r>
    </w:p>
  </w:footnote>
  <w:footnote w:id="400">
    <w:p w14:paraId="31B2B43A" w14:textId="77777777" w:rsidR="006C0687" w:rsidRPr="00E24E93" w:rsidRDefault="006C0687">
      <w:pPr>
        <w:pStyle w:val="Textpoznmkypodiarou"/>
        <w:rPr>
          <w:sz w:val="18"/>
          <w:szCs w:val="18"/>
        </w:rPr>
      </w:pPr>
      <w:r w:rsidRPr="00E24E93">
        <w:rPr>
          <w:rStyle w:val="Odkaznapoznmkupodiarou"/>
          <w:sz w:val="18"/>
          <w:szCs w:val="18"/>
        </w:rPr>
        <w:footnoteRef/>
      </w:r>
      <w:r w:rsidRPr="00E24E93">
        <w:rPr>
          <w:sz w:val="18"/>
          <w:szCs w:val="18"/>
        </w:rPr>
        <w:t xml:space="preserve"> </w:t>
      </w:r>
      <w:hyperlink r:id="rId278" w:history="1">
        <w:r w:rsidRPr="00CA4D08">
          <w:rPr>
            <w:rStyle w:val="Hypertextovprepojenie"/>
            <w:sz w:val="18"/>
            <w:szCs w:val="18"/>
          </w:rPr>
          <w:t>Novela zákona č. 461/2003 Z. z. o sociálnom poistení</w:t>
        </w:r>
      </w:hyperlink>
    </w:p>
  </w:footnote>
  <w:footnote w:id="401">
    <w:p w14:paraId="609621A6" w14:textId="54FCCC76" w:rsidR="006C0687" w:rsidRPr="00E81A18" w:rsidRDefault="006C0687">
      <w:pPr>
        <w:pStyle w:val="Textpoznmkypodiarou"/>
        <w:rPr>
          <w:sz w:val="18"/>
          <w:szCs w:val="18"/>
        </w:rPr>
      </w:pPr>
      <w:r w:rsidRPr="00E81A18">
        <w:rPr>
          <w:rStyle w:val="Odkaznapoznmkupodiarou"/>
          <w:sz w:val="18"/>
          <w:szCs w:val="18"/>
        </w:rPr>
        <w:footnoteRef/>
      </w:r>
      <w:r w:rsidRPr="00E81A18">
        <w:rPr>
          <w:sz w:val="18"/>
          <w:szCs w:val="18"/>
        </w:rPr>
        <w:t xml:space="preserve"> Kritériá hodnotenia sa týkali štyroch oblastí činnosti - ekonomiky, dôchodkového, nemocenského, úrazového poistenia a poistenia v nezamestnanosti, garančného poistenia a oblasti komunikácie s verejnosťou.</w:t>
      </w:r>
      <w:r w:rsidRPr="00D37706">
        <w:t xml:space="preserve"> </w:t>
      </w:r>
      <w:r w:rsidRPr="00D37706">
        <w:rPr>
          <w:sz w:val="18"/>
          <w:szCs w:val="18"/>
        </w:rPr>
        <w:t>Viac informácií v</w:t>
      </w:r>
      <w:r>
        <w:rPr>
          <w:sz w:val="18"/>
          <w:szCs w:val="18"/>
        </w:rPr>
        <w:t> Súhrnnej implementačnej správe 2018.</w:t>
      </w:r>
      <w:r w:rsidRPr="00D37706">
        <w:rPr>
          <w:sz w:val="18"/>
          <w:szCs w:val="18"/>
        </w:rPr>
        <w:t xml:space="preserve"> </w:t>
      </w:r>
    </w:p>
  </w:footnote>
  <w:footnote w:id="402">
    <w:p w14:paraId="7A95C2D4" w14:textId="77777777" w:rsidR="006C0687" w:rsidRPr="00F02635" w:rsidRDefault="006C0687" w:rsidP="00D27F91">
      <w:pPr>
        <w:pStyle w:val="Textpoznmkypodiarou"/>
        <w:rPr>
          <w:sz w:val="18"/>
          <w:szCs w:val="18"/>
        </w:rPr>
      </w:pPr>
      <w:r w:rsidRPr="000A0576">
        <w:rPr>
          <w:rStyle w:val="Odkaznapoznmkupodiarou"/>
          <w:sz w:val="18"/>
          <w:szCs w:val="18"/>
        </w:rPr>
        <w:footnoteRef/>
      </w:r>
      <w:r w:rsidRPr="000A0576">
        <w:rPr>
          <w:sz w:val="18"/>
          <w:szCs w:val="18"/>
        </w:rPr>
        <w:t xml:space="preserve"> Ide o celkovú agendu, týkajúcu sa štátnych sociálnych dávok, evidencie UoZ</w:t>
      </w:r>
      <w:r w:rsidRPr="007B6964">
        <w:rPr>
          <w:sz w:val="18"/>
          <w:szCs w:val="18"/>
        </w:rPr>
        <w:t xml:space="preserve"> a hmotnej núdze. Úkonom sa myslí proces (súbor</w:t>
      </w:r>
      <w:r w:rsidRPr="005966A0">
        <w:rPr>
          <w:sz w:val="18"/>
          <w:szCs w:val="18"/>
        </w:rPr>
        <w:t xml:space="preserve"> činností</w:t>
      </w:r>
      <w:r>
        <w:rPr>
          <w:sz w:val="18"/>
          <w:szCs w:val="18"/>
        </w:rPr>
        <w:t>,</w:t>
      </w:r>
      <w:r w:rsidRPr="005966A0">
        <w:rPr>
          <w:sz w:val="18"/>
          <w:szCs w:val="18"/>
        </w:rPr>
        <w:t xml:space="preserve"> ktoré má zamestnanec vykonať a výsledkom ktorých je nejaký merateľný prvok v IS)</w:t>
      </w:r>
      <w:r>
        <w:rPr>
          <w:sz w:val="18"/>
          <w:szCs w:val="18"/>
        </w:rPr>
        <w:t xml:space="preserve">. </w:t>
      </w:r>
    </w:p>
  </w:footnote>
  <w:footnote w:id="403">
    <w:p w14:paraId="5E6043F0" w14:textId="77777777" w:rsidR="006C0687" w:rsidRPr="007B6964" w:rsidRDefault="006C0687" w:rsidP="00D27F91">
      <w:pPr>
        <w:pStyle w:val="Textpoznmkypodiarou"/>
        <w:rPr>
          <w:sz w:val="18"/>
          <w:szCs w:val="18"/>
        </w:rPr>
      </w:pPr>
      <w:r w:rsidRPr="007B6964">
        <w:rPr>
          <w:rStyle w:val="Odkaznapoznmkupodiarou"/>
          <w:sz w:val="18"/>
          <w:szCs w:val="18"/>
        </w:rPr>
        <w:footnoteRef/>
      </w:r>
      <w:r w:rsidRPr="007B6964">
        <w:rPr>
          <w:sz w:val="18"/>
          <w:szCs w:val="18"/>
        </w:rPr>
        <w:t xml:space="preserve"> </w:t>
      </w:r>
      <w:hyperlink r:id="rId279" w:history="1">
        <w:r w:rsidRPr="00CA4D08">
          <w:rPr>
            <w:rStyle w:val="Hypertextovprepojenie"/>
            <w:sz w:val="18"/>
            <w:szCs w:val="18"/>
          </w:rPr>
          <w:t>Záväzné znenie nariadenia</w:t>
        </w:r>
      </w:hyperlink>
    </w:p>
  </w:footnote>
  <w:footnote w:id="404">
    <w:p w14:paraId="2E1B3105" w14:textId="77777777" w:rsidR="006C0687" w:rsidRPr="00B801C2" w:rsidRDefault="006C0687">
      <w:pPr>
        <w:pStyle w:val="Textpoznmkypodiarou"/>
        <w:rPr>
          <w:sz w:val="18"/>
          <w:szCs w:val="18"/>
        </w:rPr>
      </w:pPr>
      <w:r w:rsidRPr="00B801C2">
        <w:rPr>
          <w:rStyle w:val="Odkaznapoznmkupodiarou"/>
          <w:sz w:val="18"/>
          <w:szCs w:val="18"/>
        </w:rPr>
        <w:footnoteRef/>
      </w:r>
      <w:r w:rsidRPr="00B801C2">
        <w:rPr>
          <w:sz w:val="18"/>
          <w:szCs w:val="18"/>
        </w:rPr>
        <w:t xml:space="preserve"> </w:t>
      </w:r>
      <w:hyperlink r:id="rId280" w:history="1">
        <w:r w:rsidRPr="00011F09">
          <w:rPr>
            <w:rStyle w:val="Hypertextovprepojenie"/>
            <w:sz w:val="18"/>
            <w:szCs w:val="18"/>
          </w:rPr>
          <w:t>Zmluva o budúcej zmluve o využití výsledkov riešenia projektu podporeného APVV</w:t>
        </w:r>
      </w:hyperlink>
    </w:p>
  </w:footnote>
  <w:footnote w:id="405">
    <w:p w14:paraId="46EEC840" w14:textId="77777777" w:rsidR="006C0687" w:rsidRPr="003E7ECA" w:rsidRDefault="006C0687">
      <w:pPr>
        <w:pStyle w:val="Textpoznmkypodiarou"/>
        <w:rPr>
          <w:sz w:val="18"/>
          <w:szCs w:val="18"/>
        </w:rPr>
      </w:pPr>
      <w:r w:rsidRPr="003E7ECA">
        <w:rPr>
          <w:rStyle w:val="Odkaznapoznmkupodiarou"/>
          <w:sz w:val="18"/>
          <w:szCs w:val="18"/>
        </w:rPr>
        <w:footnoteRef/>
      </w:r>
      <w:r w:rsidRPr="003E7ECA">
        <w:rPr>
          <w:sz w:val="18"/>
          <w:szCs w:val="18"/>
        </w:rPr>
        <w:t xml:space="preserve"> </w:t>
      </w:r>
      <w:hyperlink r:id="rId281" w:history="1">
        <w:r w:rsidRPr="00DC55AA">
          <w:rPr>
            <w:rStyle w:val="Hypertextovprepojenie"/>
            <w:sz w:val="18"/>
            <w:szCs w:val="18"/>
          </w:rPr>
          <w:t>Investičný plán MPSVR</w:t>
        </w:r>
      </w:hyperlink>
    </w:p>
  </w:footnote>
  <w:footnote w:id="406">
    <w:p w14:paraId="69968441" w14:textId="77777777" w:rsidR="006C0687" w:rsidRPr="00916C95" w:rsidRDefault="006C0687" w:rsidP="00D27F91">
      <w:pPr>
        <w:pStyle w:val="Textpoznmkypodiarou"/>
        <w:rPr>
          <w:sz w:val="18"/>
          <w:szCs w:val="18"/>
        </w:rPr>
      </w:pPr>
      <w:r w:rsidRPr="00C44AD6">
        <w:rPr>
          <w:rStyle w:val="Odkaznapoznmkupodiarou"/>
          <w:sz w:val="18"/>
          <w:szCs w:val="18"/>
        </w:rPr>
        <w:footnoteRef/>
      </w:r>
      <w:r w:rsidRPr="00C44AD6">
        <w:rPr>
          <w:sz w:val="18"/>
          <w:szCs w:val="18"/>
        </w:rPr>
        <w:t xml:space="preserve"> Na základe zverejnenej zmluvy o poskytnutí NFP k NP ESKO2 bola v RISe vytvorená k 31.12.2019 len IA, týkajúca sa spolufinancovania zo ŠR.</w:t>
      </w:r>
      <w:r>
        <w:rPr>
          <w:sz w:val="18"/>
          <w:szCs w:val="18"/>
        </w:rPr>
        <w:t xml:space="preserve"> </w:t>
      </w:r>
    </w:p>
  </w:footnote>
  <w:footnote w:id="407">
    <w:p w14:paraId="55636D7E" w14:textId="77777777" w:rsidR="006C0687" w:rsidRPr="0041208C" w:rsidRDefault="006C0687" w:rsidP="00D27F91">
      <w:pPr>
        <w:pStyle w:val="Textpoznmkypodiarou"/>
        <w:rPr>
          <w:sz w:val="18"/>
          <w:szCs w:val="18"/>
        </w:rPr>
      </w:pPr>
      <w:r w:rsidRPr="0041208C">
        <w:rPr>
          <w:rStyle w:val="Odkaznapoznmkupodiarou"/>
          <w:sz w:val="18"/>
          <w:szCs w:val="18"/>
        </w:rPr>
        <w:footnoteRef/>
      </w:r>
      <w:r w:rsidRPr="0041208C">
        <w:rPr>
          <w:sz w:val="18"/>
          <w:szCs w:val="18"/>
        </w:rPr>
        <w:t xml:space="preserve"> V súlade s Príručkou na zostavenie návrhu rozpočtu verejnej správy na roky 2020 až 2022 SP zostavuje prostredníctvom Rozpočtového informačného systému návrh svojho rozpočtu na roky 2020 až 2022 v plnom rozsahu ekonomickej klasifikácie a na najnižšej úrovni klasifikácie SK COFOG. Zdroj: Príručka na zostavenie návrhu rozpočtu verejnej správy na roky 2020 až 2022, https://www.mfsr.sk/files/archiv/89/Prirucka_2020az2022_do_FS.pdf.</w:t>
      </w:r>
    </w:p>
  </w:footnote>
  <w:footnote w:id="408">
    <w:p w14:paraId="7352818C" w14:textId="5A8F6761" w:rsidR="006C0687" w:rsidRPr="0041208C" w:rsidRDefault="006C0687">
      <w:pPr>
        <w:pStyle w:val="Textpoznmkypodiarou"/>
        <w:rPr>
          <w:sz w:val="18"/>
          <w:szCs w:val="18"/>
        </w:rPr>
      </w:pPr>
      <w:r w:rsidRPr="0041208C">
        <w:rPr>
          <w:rStyle w:val="Odkaznapoznmkupodiarou"/>
          <w:sz w:val="18"/>
          <w:szCs w:val="18"/>
        </w:rPr>
        <w:footnoteRef/>
      </w:r>
      <w:r w:rsidRPr="0041208C">
        <w:rPr>
          <w:sz w:val="18"/>
          <w:szCs w:val="18"/>
        </w:rPr>
        <w:t xml:space="preserve"> Viac informácií v</w:t>
      </w:r>
      <w:r>
        <w:rPr>
          <w:sz w:val="18"/>
          <w:szCs w:val="18"/>
        </w:rPr>
        <w:t> Priebežnej implementačnej správe 2019.</w:t>
      </w:r>
      <w:r w:rsidRPr="0041208C">
        <w:rPr>
          <w:sz w:val="18"/>
          <w:szCs w:val="18"/>
        </w:rPr>
        <w:t xml:space="preserve">  </w:t>
      </w:r>
    </w:p>
  </w:footnote>
  <w:footnote w:id="409">
    <w:p w14:paraId="32665553" w14:textId="77BC754D" w:rsidR="006C0687" w:rsidRPr="0041208C" w:rsidRDefault="006C0687">
      <w:pPr>
        <w:pStyle w:val="Textpoznmkypodiarou"/>
        <w:rPr>
          <w:sz w:val="18"/>
          <w:szCs w:val="18"/>
        </w:rPr>
      </w:pPr>
      <w:r w:rsidRPr="0041208C">
        <w:rPr>
          <w:rStyle w:val="Odkaznapoznmkupodiarou"/>
          <w:sz w:val="18"/>
          <w:szCs w:val="18"/>
        </w:rPr>
        <w:footnoteRef/>
      </w:r>
      <w:r w:rsidRPr="0041208C">
        <w:rPr>
          <w:sz w:val="18"/>
          <w:szCs w:val="18"/>
        </w:rPr>
        <w:t xml:space="preserve"> </w:t>
      </w:r>
      <w:r>
        <w:rPr>
          <w:sz w:val="18"/>
          <w:szCs w:val="18"/>
        </w:rPr>
        <w:t xml:space="preserve">Modernizácia dávkových agend Sociálnej poisťovne, dostupné na </w:t>
      </w:r>
      <w:hyperlink r:id="rId282" w:history="1">
        <w:r w:rsidRPr="00991A93">
          <w:rPr>
            <w:rStyle w:val="Hypertextovprepojenie"/>
            <w:sz w:val="18"/>
            <w:szCs w:val="18"/>
          </w:rPr>
          <w:t>https://www.mfsr.sk/sk/financie/hodnota-za-peniaze/hodnotenie-investicnych-projektov/hodnotenie-investicnych-projektov.html</w:t>
        </w:r>
      </w:hyperlink>
      <w:r>
        <w:rPr>
          <w:sz w:val="18"/>
          <w:szCs w:val="18"/>
        </w:rPr>
        <w:t xml:space="preserve">. </w:t>
      </w:r>
    </w:p>
  </w:footnote>
  <w:footnote w:id="410">
    <w:p w14:paraId="3BA8E299" w14:textId="77777777" w:rsidR="006C0687" w:rsidRPr="00B801C2" w:rsidRDefault="006C0687">
      <w:pPr>
        <w:pStyle w:val="Textpoznmkypodiarou"/>
        <w:rPr>
          <w:sz w:val="18"/>
          <w:szCs w:val="18"/>
        </w:rPr>
      </w:pPr>
      <w:r w:rsidRPr="00B801C2">
        <w:rPr>
          <w:rStyle w:val="Odkaznapoznmkupodiarou"/>
          <w:sz w:val="18"/>
          <w:szCs w:val="18"/>
        </w:rPr>
        <w:footnoteRef/>
      </w:r>
      <w:r w:rsidRPr="00B801C2">
        <w:rPr>
          <w:sz w:val="18"/>
          <w:szCs w:val="18"/>
        </w:rPr>
        <w:t xml:space="preserve"> </w:t>
      </w:r>
      <w:hyperlink r:id="rId283" w:history="1">
        <w:r w:rsidRPr="00DC55AA">
          <w:rPr>
            <w:rStyle w:val="Hypertextovprepojenie"/>
            <w:sz w:val="18"/>
            <w:szCs w:val="18"/>
          </w:rPr>
          <w:t>Investičný plán MPSVR</w:t>
        </w:r>
      </w:hyperlink>
    </w:p>
  </w:footnote>
  <w:footnote w:id="411">
    <w:p w14:paraId="33057F87"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Revízia bola schválená vládou SR, </w:t>
      </w:r>
      <w:hyperlink r:id="rId284">
        <w:r>
          <w:rPr>
            <w:color w:val="0563C1"/>
            <w:sz w:val="18"/>
            <w:szCs w:val="18"/>
            <w:u w:val="single"/>
          </w:rPr>
          <w:t>Uznesenie vlády SR č. 453/2019</w:t>
        </w:r>
      </w:hyperlink>
      <w:r>
        <w:rPr>
          <w:color w:val="000000"/>
          <w:sz w:val="18"/>
          <w:szCs w:val="18"/>
        </w:rPr>
        <w:t xml:space="preserve"> </w:t>
      </w:r>
    </w:p>
  </w:footnote>
  <w:footnote w:id="412">
    <w:p w14:paraId="74FA2C57" w14:textId="77777777" w:rsidR="006C0687" w:rsidRDefault="006C0687">
      <w:pPr>
        <w:pBdr>
          <w:top w:val="nil"/>
          <w:left w:val="nil"/>
          <w:bottom w:val="nil"/>
          <w:right w:val="nil"/>
          <w:between w:val="nil"/>
        </w:pBdr>
        <w:spacing w:after="0"/>
        <w:ind w:left="142" w:hanging="142"/>
        <w:rPr>
          <w:color w:val="000000"/>
          <w:sz w:val="18"/>
          <w:szCs w:val="18"/>
        </w:rPr>
      </w:pPr>
      <w:r>
        <w:rPr>
          <w:vertAlign w:val="superscript"/>
        </w:rPr>
        <w:footnoteRef/>
      </w:r>
      <w:r>
        <w:rPr>
          <w:color w:val="000000"/>
          <w:sz w:val="18"/>
          <w:szCs w:val="18"/>
        </w:rPr>
        <w:t xml:space="preserve"> V súčasnosti sa pripravuje materiál s názvom: Návrh opatrení na zabezpečenie obnovy a rozvoja hydromeliorácií v kontexte prebiehajúcej klimatickej zmeny na Slovensku.</w:t>
      </w:r>
    </w:p>
  </w:footnote>
  <w:footnote w:id="413">
    <w:p w14:paraId="3C83FEB1" w14:textId="77777777" w:rsidR="006C0687" w:rsidRDefault="006C0687">
      <w:pPr>
        <w:pBdr>
          <w:top w:val="nil"/>
          <w:left w:val="nil"/>
          <w:bottom w:val="nil"/>
          <w:right w:val="nil"/>
          <w:between w:val="nil"/>
        </w:pBdr>
        <w:spacing w:after="0"/>
        <w:ind w:left="142" w:hanging="142"/>
        <w:rPr>
          <w:color w:val="000000"/>
          <w:sz w:val="18"/>
          <w:szCs w:val="18"/>
        </w:rPr>
      </w:pPr>
      <w:r>
        <w:rPr>
          <w:vertAlign w:val="superscript"/>
        </w:rPr>
        <w:footnoteRef/>
      </w:r>
      <w:r>
        <w:rPr>
          <w:color w:val="000000"/>
          <w:sz w:val="18"/>
          <w:szCs w:val="18"/>
        </w:rPr>
        <w:t xml:space="preserve"> IS AGIS – agrárny informačný systém a IS IACS – aplikácia Krížové plnenie, ktorý je nadstavbou Integrovaného administratívneho a kontrolného systému v rezorte Pôdohospodárstva</w:t>
      </w:r>
    </w:p>
  </w:footnote>
  <w:footnote w:id="414">
    <w:p w14:paraId="2ECE9429"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285">
        <w:r>
          <w:rPr>
            <w:color w:val="0563C1"/>
            <w:sz w:val="18"/>
            <w:szCs w:val="18"/>
            <w:u w:val="single"/>
          </w:rPr>
          <w:t>Uznesenie vlády SR č. 593/2019</w:t>
        </w:r>
      </w:hyperlink>
    </w:p>
  </w:footnote>
  <w:footnote w:id="415">
    <w:p w14:paraId="4616A3CA" w14:textId="77777777" w:rsidR="006C0687" w:rsidRDefault="006C0687">
      <w:pPr>
        <w:pBdr>
          <w:top w:val="nil"/>
          <w:left w:val="nil"/>
          <w:bottom w:val="nil"/>
          <w:right w:val="nil"/>
          <w:between w:val="nil"/>
        </w:pBdr>
        <w:spacing w:after="0"/>
        <w:ind w:left="142" w:hanging="142"/>
        <w:rPr>
          <w:color w:val="000000"/>
          <w:sz w:val="18"/>
          <w:szCs w:val="18"/>
        </w:rPr>
      </w:pPr>
      <w:r>
        <w:rPr>
          <w:vertAlign w:val="superscript"/>
        </w:rPr>
        <w:footnoteRef/>
      </w:r>
      <w:r>
        <w:rPr>
          <w:color w:val="000000"/>
          <w:sz w:val="18"/>
          <w:szCs w:val="18"/>
        </w:rPr>
        <w:t xml:space="preserve"> Náklady na PÚ budú hradené zo ŠR SR a suma bude vyplácaná postupne počas 5 rokov realizácie PÚ vždy po odovzdaní etáp a ucelených častí PPÚ, </w:t>
      </w:r>
      <w:hyperlink r:id="rId286">
        <w:r>
          <w:rPr>
            <w:color w:val="0563C1"/>
            <w:sz w:val="18"/>
            <w:szCs w:val="18"/>
            <w:u w:val="single"/>
          </w:rPr>
          <w:t>Katastrálne územia pre začatie pozemkových úprav v roku 2020</w:t>
        </w:r>
      </w:hyperlink>
    </w:p>
  </w:footnote>
  <w:footnote w:id="416">
    <w:p w14:paraId="6D964D61"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287">
        <w:r>
          <w:rPr>
            <w:color w:val="0563C1"/>
            <w:sz w:val="18"/>
            <w:szCs w:val="18"/>
            <w:u w:val="single"/>
          </w:rPr>
          <w:t>https://www.apa.sk/vyzvy/vyzva-na-predkladanie-ziadosti-o-poskytnutie-dotacie-na-platby-poistneho/9162</w:t>
        </w:r>
      </w:hyperlink>
      <w:r>
        <w:rPr>
          <w:color w:val="000000"/>
          <w:sz w:val="18"/>
          <w:szCs w:val="18"/>
        </w:rPr>
        <w:t xml:space="preserve"> </w:t>
      </w:r>
    </w:p>
  </w:footnote>
  <w:footnote w:id="417">
    <w:p w14:paraId="3A2369A4" w14:textId="13FBE93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Zo štátneho rozpočtu SR. Dostupný na </w:t>
      </w:r>
      <w:hyperlink r:id="rId288" w:history="1">
        <w:r w:rsidRPr="00991A93">
          <w:rPr>
            <w:rStyle w:val="Hypertextovprepojenie"/>
            <w:sz w:val="18"/>
            <w:szCs w:val="18"/>
          </w:rPr>
          <w:t>https://www.mfsr.sk/sk/financie/verejne-financie/rozpocet-verejnej-spravy/</w:t>
        </w:r>
      </w:hyperlink>
      <w:r>
        <w:rPr>
          <w:color w:val="000000"/>
          <w:sz w:val="18"/>
          <w:szCs w:val="18"/>
        </w:rPr>
        <w:t xml:space="preserve">. </w:t>
      </w:r>
      <w:r w:rsidRPr="00BF54B2" w:rsidDel="00BF54B2">
        <w:rPr>
          <w:color w:val="000000"/>
          <w:sz w:val="18"/>
          <w:szCs w:val="18"/>
        </w:rPr>
        <w:t xml:space="preserve"> </w:t>
      </w:r>
      <w:r>
        <w:rPr>
          <w:color w:val="000000"/>
          <w:sz w:val="18"/>
          <w:szCs w:val="18"/>
        </w:rPr>
        <w:t xml:space="preserve"> </w:t>
      </w:r>
    </w:p>
  </w:footnote>
  <w:footnote w:id="418">
    <w:p w14:paraId="7B988587"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289">
        <w:r>
          <w:rPr>
            <w:color w:val="0563C1"/>
            <w:sz w:val="18"/>
            <w:szCs w:val="18"/>
            <w:u w:val="single"/>
          </w:rPr>
          <w:t>https://www.fi-compass.eu/fisiyc</w:t>
        </w:r>
      </w:hyperlink>
    </w:p>
  </w:footnote>
  <w:footnote w:id="419">
    <w:p w14:paraId="25477ACA" w14:textId="6DF34B93"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V sledovanom období sú vyhodnotené len opatrenia s termínom plnenia k 01.01.2020 alebo s termínom priebežne. Zvyšné opatrenia budú hodnotené podľa jednotlivých termínov uvedených v Implementačnom pláne 2019/2020</w:t>
      </w:r>
    </w:p>
  </w:footnote>
  <w:footnote w:id="420">
    <w:p w14:paraId="423E5CD7"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Termín sa vzťahuje na zverejnenie štúdie uskutočniteľnosti</w:t>
      </w:r>
    </w:p>
  </w:footnote>
  <w:footnote w:id="421">
    <w:p w14:paraId="6D7C8C8E" w14:textId="77777777" w:rsidR="006C0687" w:rsidRDefault="006C0687">
      <w:pPr>
        <w:pBdr>
          <w:top w:val="nil"/>
          <w:left w:val="nil"/>
          <w:bottom w:val="nil"/>
          <w:right w:val="nil"/>
          <w:between w:val="nil"/>
        </w:pBdr>
        <w:spacing w:after="0"/>
        <w:rPr>
          <w:color w:val="000000"/>
          <w:sz w:val="20"/>
          <w:szCs w:val="20"/>
        </w:rPr>
      </w:pPr>
      <w:r>
        <w:rPr>
          <w:vertAlign w:val="superscript"/>
        </w:rPr>
        <w:footnoteRef/>
      </w:r>
      <w:r>
        <w:rPr>
          <w:color w:val="000000"/>
          <w:sz w:val="18"/>
          <w:szCs w:val="18"/>
        </w:rPr>
        <w:t xml:space="preserve"> Termín sa vzťahuje k vypracovaniu analýzy alternatív spájania</w:t>
      </w:r>
    </w:p>
  </w:footnote>
  <w:footnote w:id="422">
    <w:p w14:paraId="5E29055E" w14:textId="024C09B2"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Implementačný plán na pôdohospodárstvo a rozvoj vidieka 2019/2020 </w:t>
      </w:r>
    </w:p>
  </w:footnote>
  <w:footnote w:id="423">
    <w:p w14:paraId="66BFC2A2"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290">
        <w:r>
          <w:rPr>
            <w:color w:val="0563C1"/>
            <w:sz w:val="18"/>
            <w:szCs w:val="18"/>
            <w:u w:val="single"/>
          </w:rPr>
          <w:t>LP/2019/372 Návrh opatrení na urýchlené vykonanie pozemkových úprav v SR</w:t>
        </w:r>
      </w:hyperlink>
      <w:r>
        <w:rPr>
          <w:color w:val="000000"/>
          <w:sz w:val="18"/>
          <w:szCs w:val="18"/>
        </w:rPr>
        <w:t xml:space="preserve"> </w:t>
      </w:r>
    </w:p>
  </w:footnote>
  <w:footnote w:id="424">
    <w:p w14:paraId="659AB8BC"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Počet PPÚ je rovnaký ako počet k. ú., kde sa ešte PÚ nevykonali.</w:t>
      </w:r>
    </w:p>
  </w:footnote>
  <w:footnote w:id="425">
    <w:p w14:paraId="7BADF61C"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291">
        <w:r>
          <w:rPr>
            <w:color w:val="0563C1"/>
            <w:sz w:val="18"/>
            <w:szCs w:val="18"/>
            <w:u w:val="single"/>
          </w:rPr>
          <w:t>Uznesenie vlády SR č. 593/2019</w:t>
        </w:r>
      </w:hyperlink>
    </w:p>
  </w:footnote>
  <w:footnote w:id="426">
    <w:p w14:paraId="5BC78D00" w14:textId="77777777" w:rsidR="006C0687" w:rsidRDefault="006C0687">
      <w:pPr>
        <w:pBdr>
          <w:top w:val="nil"/>
          <w:left w:val="nil"/>
          <w:bottom w:val="nil"/>
          <w:right w:val="nil"/>
          <w:between w:val="nil"/>
        </w:pBdr>
        <w:spacing w:after="0"/>
        <w:ind w:left="142" w:hanging="142"/>
        <w:rPr>
          <w:color w:val="000000"/>
          <w:sz w:val="18"/>
          <w:szCs w:val="18"/>
        </w:rPr>
      </w:pPr>
      <w:r>
        <w:rPr>
          <w:vertAlign w:val="superscript"/>
        </w:rPr>
        <w:footnoteRef/>
      </w:r>
      <w:r>
        <w:rPr>
          <w:color w:val="000000"/>
          <w:sz w:val="18"/>
          <w:szCs w:val="18"/>
        </w:rPr>
        <w:t xml:space="preserve"> Komisia je vytvorená na MPRV SR a slúži na každoročné vyhodnotenie kritérií na stanovenie naliehavosti vykonania PÚ. Je tvorená      nasledujúcimi orgánmi a organizáciami: štátna správa pozemkových úprav, Komora pozemkových úprav SR, ÚGKK SR, SPF, ZMOS, VÚC, poľnohospodárske samosprávy, (tiež je zastúpená členmi iných rezortov: MDV SR, MŽP SR, MH SR). MF SR nie je členom komisie.</w:t>
      </w:r>
    </w:p>
  </w:footnote>
  <w:footnote w:id="427">
    <w:p w14:paraId="11792A85"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Vyplýva z hodnotenia a záverov Komisie pre vyhodnotenie kritérií na stanovenie naliehavosti vykonania PÚ a výber k. ú.</w:t>
      </w:r>
    </w:p>
  </w:footnote>
  <w:footnote w:id="428">
    <w:p w14:paraId="7060EAE8"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292">
        <w:r>
          <w:rPr>
            <w:color w:val="0563C1"/>
            <w:sz w:val="18"/>
            <w:szCs w:val="18"/>
            <w:u w:val="single"/>
          </w:rPr>
          <w:t>Katastrálne územia pre začatie pozemkových úprav v roku 2020</w:t>
        </w:r>
      </w:hyperlink>
      <w:r>
        <w:rPr>
          <w:color w:val="000000"/>
          <w:sz w:val="18"/>
          <w:szCs w:val="18"/>
        </w:rPr>
        <w:t xml:space="preserve"> </w:t>
      </w:r>
    </w:p>
  </w:footnote>
  <w:footnote w:id="429">
    <w:p w14:paraId="5120C822" w14:textId="77777777" w:rsidR="006C0687" w:rsidRDefault="006C0687" w:rsidP="00287DFE">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293">
        <w:r>
          <w:rPr>
            <w:color w:val="0563C1"/>
            <w:sz w:val="18"/>
            <w:szCs w:val="18"/>
            <w:u w:val="single"/>
          </w:rPr>
          <w:t>Zákon č. 330/1991 Zb. o pozemkových úpravách, usporiadaní pozemkového vlastníctva, pozemkových úradoch, pozemkovom fonde a o pozemkových spoločenstvách</w:t>
        </w:r>
      </w:hyperlink>
      <w:r>
        <w:rPr>
          <w:color w:val="000000"/>
          <w:sz w:val="18"/>
          <w:szCs w:val="18"/>
        </w:rPr>
        <w:t xml:space="preserve"> </w:t>
      </w:r>
    </w:p>
  </w:footnote>
  <w:footnote w:id="430">
    <w:p w14:paraId="71AA91F2"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294">
        <w:r>
          <w:rPr>
            <w:color w:val="0563C1"/>
            <w:sz w:val="18"/>
            <w:szCs w:val="18"/>
            <w:u w:val="single"/>
          </w:rPr>
          <w:t>Zákony vrátené prezidentom SR na opätovné prerokovanie NR SR</w:t>
        </w:r>
      </w:hyperlink>
      <w:r>
        <w:rPr>
          <w:color w:val="000000"/>
          <w:sz w:val="20"/>
          <w:szCs w:val="20"/>
        </w:rPr>
        <w:t xml:space="preserve"> </w:t>
      </w:r>
    </w:p>
  </w:footnote>
  <w:footnote w:id="431">
    <w:p w14:paraId="37ADE9B3" w14:textId="77777777" w:rsidR="006C0687" w:rsidRDefault="006C0687" w:rsidP="00287DFE">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Vrátenie zákona súvisí so zhoršením postavenia vlastníkov pozemkov, ktoré sú predmetom PÚ. Ak je viac ako 20 účastníkov v konaní o PÚ, tak sa rozhodnutie doručuje dotknutým vlastníkom iba formou verejnej vyhlášky a nie do vl. rúk., pričom ostatným účastníkom konania napr. SPF, dotknutej obci alebo VÚC sa do vl. rúk doručuje. Zdroj: </w:t>
      </w:r>
      <w:hyperlink r:id="rId295">
        <w:r>
          <w:rPr>
            <w:color w:val="0563C1"/>
            <w:sz w:val="18"/>
            <w:szCs w:val="18"/>
            <w:u w:val="single"/>
          </w:rPr>
          <w:t>https://www.nrsr.sk/web/Default.aspx?sid=zakony/zakon&amp;MasterID=7683</w:t>
        </w:r>
      </w:hyperlink>
    </w:p>
  </w:footnote>
  <w:footnote w:id="432">
    <w:p w14:paraId="25EB4A60"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296">
        <w:r>
          <w:rPr>
            <w:color w:val="0563C1"/>
            <w:sz w:val="18"/>
            <w:szCs w:val="18"/>
            <w:u w:val="single"/>
          </w:rPr>
          <w:t>http://www.minv.sk/?projekty-pozemkovych-uprav-2</w:t>
        </w:r>
      </w:hyperlink>
      <w:r>
        <w:rPr>
          <w:color w:val="000000"/>
          <w:sz w:val="18"/>
          <w:szCs w:val="18"/>
        </w:rPr>
        <w:t xml:space="preserve"> </w:t>
      </w:r>
    </w:p>
  </w:footnote>
  <w:footnote w:id="433">
    <w:p w14:paraId="4E911041"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297">
        <w:r>
          <w:rPr>
            <w:color w:val="0563C1"/>
            <w:sz w:val="18"/>
            <w:szCs w:val="18"/>
            <w:u w:val="single"/>
          </w:rPr>
          <w:t>http://www.minv.sk/?ppu-osuske</w:t>
        </w:r>
      </w:hyperlink>
      <w:r>
        <w:rPr>
          <w:color w:val="000000"/>
          <w:sz w:val="18"/>
          <w:szCs w:val="18"/>
        </w:rPr>
        <w:t xml:space="preserve"> </w:t>
      </w:r>
    </w:p>
  </w:footnote>
  <w:footnote w:id="434">
    <w:p w14:paraId="2E295D1D"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298">
        <w:r>
          <w:rPr>
            <w:color w:val="0563C1"/>
            <w:sz w:val="18"/>
            <w:szCs w:val="18"/>
            <w:u w:val="single"/>
          </w:rPr>
          <w:t>https://data.gov.sk/dataset/zoznam-rozpracovanych-projektov-jednoduchych-pozemkovych-uprav</w:t>
        </w:r>
      </w:hyperlink>
      <w:r>
        <w:rPr>
          <w:color w:val="000000"/>
          <w:sz w:val="18"/>
          <w:szCs w:val="18"/>
        </w:rPr>
        <w:t xml:space="preserve">  </w:t>
      </w:r>
    </w:p>
  </w:footnote>
  <w:footnote w:id="435">
    <w:p w14:paraId="03E5F0AA" w14:textId="77777777" w:rsidR="006C0687" w:rsidRDefault="006C0687" w:rsidP="00287DFE">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299">
        <w:r>
          <w:rPr>
            <w:color w:val="0563C1"/>
            <w:sz w:val="18"/>
            <w:szCs w:val="18"/>
            <w:u w:val="single"/>
          </w:rPr>
          <w:t>Zákon č. 330/1991 Zb. o pozemkových úpravách, usporiadaní pozemkového vlastníctva, pozemkových úradoch, pozemkovom fonde a pozemkových spoločenstvách</w:t>
        </w:r>
      </w:hyperlink>
      <w:r>
        <w:rPr>
          <w:color w:val="000000"/>
          <w:sz w:val="18"/>
          <w:szCs w:val="18"/>
        </w:rPr>
        <w:t xml:space="preserve">. Za začiatok PPÚ je pre potreby vyhodnocovania realizácie implementačného plánu považované právoplatné rozhodnutie o nariadení pozemkových úprav podľa § 8 ods. 1 zákona č. 330/1991 Z. .z. </w:t>
      </w:r>
    </w:p>
  </w:footnote>
  <w:footnote w:id="436">
    <w:p w14:paraId="274E560B"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300">
        <w:r>
          <w:rPr>
            <w:color w:val="0563C1"/>
            <w:sz w:val="18"/>
            <w:szCs w:val="18"/>
            <w:u w:val="single"/>
          </w:rPr>
          <w:t>https://data.gov.sk/dataset/obvykla-vyska-najomneho</w:t>
        </w:r>
      </w:hyperlink>
      <w:r>
        <w:rPr>
          <w:color w:val="000000"/>
          <w:sz w:val="18"/>
          <w:szCs w:val="18"/>
        </w:rPr>
        <w:t xml:space="preserve"> </w:t>
      </w:r>
    </w:p>
  </w:footnote>
  <w:footnote w:id="437">
    <w:p w14:paraId="0347A4E3"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301">
        <w:r>
          <w:rPr>
            <w:color w:val="0563C1"/>
            <w:sz w:val="18"/>
            <w:szCs w:val="18"/>
            <w:u w:val="single"/>
          </w:rPr>
          <w:t>https://www.mpsr.sk/ovn2018</w:t>
        </w:r>
      </w:hyperlink>
      <w:r>
        <w:rPr>
          <w:color w:val="000000"/>
          <w:sz w:val="18"/>
          <w:szCs w:val="18"/>
        </w:rPr>
        <w:t xml:space="preserve"> </w:t>
      </w:r>
    </w:p>
  </w:footnote>
  <w:footnote w:id="438">
    <w:p w14:paraId="6E8D577A" w14:textId="77777777" w:rsidR="006C0687" w:rsidRDefault="006C0687" w:rsidP="00287DFE">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Vykazovanie OVN v k. ú. v ktorých nie je známa výška nájomného poľnohospodárskej ornej pôdy na základe metodiky podrobnejšie vysvetlenej vo vyhláške je neštandardné. OVN sa vyráta ako 2% z hodnoty ornej pôdy v danom k. ú., </w:t>
      </w:r>
      <w:hyperlink r:id="rId302" w:anchor="p5">
        <w:r>
          <w:rPr>
            <w:color w:val="0563C1"/>
            <w:sz w:val="18"/>
            <w:szCs w:val="18"/>
            <w:u w:val="single"/>
          </w:rPr>
          <w:t>Vyhláška MPRV SR č. 172/2018 Z. z. §5 odsek 4</w:t>
        </w:r>
      </w:hyperlink>
      <w:r>
        <w:rPr>
          <w:color w:val="000000"/>
          <w:sz w:val="18"/>
          <w:szCs w:val="18"/>
        </w:rPr>
        <w:t xml:space="preserve">. </w:t>
      </w:r>
    </w:p>
  </w:footnote>
  <w:footnote w:id="439">
    <w:p w14:paraId="3F61DA4F" w14:textId="77777777" w:rsidR="006C0687" w:rsidRDefault="006C0687" w:rsidP="002A3F44">
      <w:pPr>
        <w:pBdr>
          <w:top w:val="nil"/>
          <w:left w:val="nil"/>
          <w:bottom w:val="nil"/>
          <w:right w:val="nil"/>
          <w:between w:val="nil"/>
        </w:pBdr>
        <w:spacing w:after="0"/>
        <w:ind w:left="-142" w:firstLine="142"/>
        <w:rPr>
          <w:color w:val="000000"/>
          <w:sz w:val="18"/>
          <w:szCs w:val="18"/>
        </w:rPr>
      </w:pPr>
      <w:r>
        <w:rPr>
          <w:vertAlign w:val="superscript"/>
        </w:rPr>
        <w:footnoteRef/>
      </w:r>
      <w:r>
        <w:rPr>
          <w:color w:val="000000"/>
          <w:sz w:val="18"/>
          <w:szCs w:val="18"/>
        </w:rPr>
        <w:t xml:space="preserve"> Vo formáte „shapefile“ (.shp).</w:t>
      </w:r>
    </w:p>
  </w:footnote>
  <w:footnote w:id="440">
    <w:p w14:paraId="2800E457" w14:textId="77777777" w:rsidR="006C0687" w:rsidRDefault="006C0687" w:rsidP="002A3F44">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Poznámky zverejnené na webstránke MPRV SR k jednotlivým k. ú. doplniť do datasetu zverejneného na </w:t>
      </w:r>
      <w:r>
        <w:rPr>
          <w:sz w:val="18"/>
          <w:szCs w:val="18"/>
        </w:rPr>
        <w:t>Ú</w:t>
      </w:r>
      <w:r>
        <w:rPr>
          <w:color w:val="000000"/>
          <w:sz w:val="18"/>
          <w:szCs w:val="18"/>
        </w:rPr>
        <w:t>PVS s možnosťou na stiahnutie.</w:t>
      </w:r>
    </w:p>
  </w:footnote>
  <w:footnote w:id="441">
    <w:p w14:paraId="454496B3" w14:textId="458A4A69" w:rsidR="006C0687" w:rsidRDefault="006C0687" w:rsidP="002A3F44">
      <w:pPr>
        <w:pBdr>
          <w:top w:val="nil"/>
          <w:left w:val="nil"/>
          <w:bottom w:val="nil"/>
          <w:right w:val="nil"/>
          <w:between w:val="nil"/>
        </w:pBdr>
        <w:spacing w:after="0"/>
        <w:ind w:left="-142"/>
        <w:rPr>
          <w:color w:val="000000"/>
          <w:sz w:val="18"/>
          <w:szCs w:val="18"/>
        </w:rPr>
      </w:pPr>
      <w:r>
        <w:rPr>
          <w:color w:val="000000"/>
          <w:sz w:val="18"/>
          <w:szCs w:val="18"/>
        </w:rPr>
        <w:tab/>
      </w:r>
      <w:r>
        <w:rPr>
          <w:vertAlign w:val="superscript"/>
        </w:rPr>
        <w:footnoteRef/>
      </w:r>
      <w:r>
        <w:rPr>
          <w:color w:val="000000"/>
          <w:sz w:val="18"/>
          <w:szCs w:val="18"/>
        </w:rPr>
        <w:t xml:space="preserve"> </w:t>
      </w:r>
      <w:hyperlink r:id="rId303">
        <w:r>
          <w:rPr>
            <w:color w:val="0563C1"/>
            <w:sz w:val="18"/>
            <w:szCs w:val="18"/>
            <w:u w:val="single"/>
          </w:rPr>
          <w:t>https://www.apa.sk/poistenie-urody</w:t>
        </w:r>
      </w:hyperlink>
      <w:r>
        <w:rPr>
          <w:color w:val="000000"/>
          <w:sz w:val="18"/>
          <w:szCs w:val="18"/>
        </w:rPr>
        <w:t xml:space="preserve"> </w:t>
      </w:r>
    </w:p>
  </w:footnote>
  <w:footnote w:id="442">
    <w:p w14:paraId="73563A99" w14:textId="464B521D" w:rsidR="006C0687" w:rsidRDefault="006C0687" w:rsidP="002A3F44">
      <w:pPr>
        <w:pBdr>
          <w:top w:val="nil"/>
          <w:left w:val="nil"/>
          <w:bottom w:val="nil"/>
          <w:right w:val="nil"/>
          <w:between w:val="nil"/>
        </w:pBdr>
        <w:spacing w:after="0"/>
        <w:ind w:left="-142"/>
        <w:rPr>
          <w:color w:val="000000"/>
          <w:sz w:val="18"/>
          <w:szCs w:val="18"/>
        </w:rPr>
      </w:pPr>
      <w:r>
        <w:rPr>
          <w:color w:val="000000"/>
          <w:sz w:val="18"/>
          <w:szCs w:val="18"/>
        </w:rPr>
        <w:tab/>
      </w:r>
      <w:r>
        <w:rPr>
          <w:vertAlign w:val="superscript"/>
        </w:rPr>
        <w:footnoteRef/>
      </w:r>
      <w:r>
        <w:rPr>
          <w:color w:val="000000"/>
          <w:sz w:val="18"/>
          <w:szCs w:val="18"/>
        </w:rPr>
        <w:t xml:space="preserve"> </w:t>
      </w:r>
      <w:hyperlink r:id="rId304">
        <w:r>
          <w:rPr>
            <w:color w:val="0563C1"/>
            <w:sz w:val="18"/>
            <w:szCs w:val="18"/>
            <w:u w:val="single"/>
          </w:rPr>
          <w:t>https://www.mpsr.sk/schema-statnej-pomoci-na-platby-poistneho-v-polnohospodarskej-prvovyrobe-v-zneni-dodatku-c-1/161---14215/</w:t>
        </w:r>
      </w:hyperlink>
      <w:r>
        <w:rPr>
          <w:color w:val="000000"/>
          <w:sz w:val="18"/>
          <w:szCs w:val="18"/>
        </w:rPr>
        <w:t xml:space="preserve"> </w:t>
      </w:r>
    </w:p>
  </w:footnote>
  <w:footnote w:id="443">
    <w:p w14:paraId="4E12FD29" w14:textId="75DBD3F6" w:rsidR="006C0687" w:rsidRDefault="006C0687">
      <w:pPr>
        <w:spacing w:after="0"/>
        <w:ind w:hanging="142"/>
        <w:rPr>
          <w:sz w:val="18"/>
          <w:szCs w:val="18"/>
        </w:rPr>
      </w:pPr>
      <w:r>
        <w:rPr>
          <w:vertAlign w:val="superscript"/>
        </w:rPr>
        <w:footnoteRef/>
      </w:r>
      <w:r>
        <w:rPr>
          <w:sz w:val="18"/>
          <w:szCs w:val="18"/>
        </w:rPr>
        <w:t xml:space="preserve"> Implementačný plán na pôdohospodárstvo a rozvoj vidieka 2019/2020 </w:t>
      </w:r>
    </w:p>
  </w:footnote>
  <w:footnote w:id="444">
    <w:p w14:paraId="4986F838" w14:textId="3E826ED1" w:rsidR="006C0687" w:rsidRPr="004B542C" w:rsidRDefault="006C0687">
      <w:pPr>
        <w:pBdr>
          <w:top w:val="nil"/>
          <w:left w:val="nil"/>
          <w:bottom w:val="nil"/>
          <w:right w:val="nil"/>
          <w:between w:val="nil"/>
        </w:pBdr>
        <w:spacing w:after="0"/>
        <w:ind w:hanging="142"/>
        <w:rPr>
          <w:color w:val="000000"/>
          <w:sz w:val="18"/>
          <w:szCs w:val="18"/>
        </w:rPr>
      </w:pPr>
      <w:r>
        <w:rPr>
          <w:vertAlign w:val="superscript"/>
        </w:rPr>
        <w:footnoteRef/>
      </w:r>
      <w:r>
        <w:rPr>
          <w:color w:val="000000"/>
          <w:sz w:val="18"/>
          <w:szCs w:val="18"/>
        </w:rPr>
        <w:t xml:space="preserve"> </w:t>
      </w:r>
      <w:r w:rsidRPr="004B542C">
        <w:rPr>
          <w:sz w:val="18"/>
          <w:szCs w:val="18"/>
        </w:rPr>
        <w:t>V súlade s Implementačným plánom na pôdohospodárstvo a rozvoj vidieka 2019/2020</w:t>
      </w:r>
      <w:r>
        <w:rPr>
          <w:sz w:val="18"/>
          <w:szCs w:val="18"/>
        </w:rPr>
        <w:t>.</w:t>
      </w:r>
      <w:r w:rsidRPr="004B542C">
        <w:rPr>
          <w:color w:val="000000"/>
          <w:sz w:val="18"/>
          <w:szCs w:val="18"/>
        </w:rPr>
        <w:t xml:space="preserve">  </w:t>
      </w:r>
    </w:p>
  </w:footnote>
  <w:footnote w:id="445">
    <w:p w14:paraId="59ED4C84" w14:textId="77777777" w:rsidR="006C0687" w:rsidRDefault="006C0687">
      <w:pPr>
        <w:pBdr>
          <w:top w:val="nil"/>
          <w:left w:val="nil"/>
          <w:bottom w:val="nil"/>
          <w:right w:val="nil"/>
          <w:between w:val="nil"/>
        </w:pBdr>
        <w:spacing w:after="0"/>
        <w:ind w:hanging="142"/>
        <w:rPr>
          <w:color w:val="000000"/>
          <w:sz w:val="18"/>
          <w:szCs w:val="18"/>
        </w:rPr>
      </w:pPr>
      <w:r w:rsidRPr="004B542C">
        <w:rPr>
          <w:vertAlign w:val="superscript"/>
        </w:rPr>
        <w:footnoteRef/>
      </w:r>
      <w:r w:rsidRPr="004B542C">
        <w:rPr>
          <w:color w:val="000000"/>
          <w:sz w:val="18"/>
          <w:szCs w:val="18"/>
        </w:rPr>
        <w:t xml:space="preserve"> </w:t>
      </w:r>
      <w:hyperlink r:id="rId305">
        <w:r w:rsidRPr="004B542C">
          <w:rPr>
            <w:color w:val="0563C1"/>
            <w:sz w:val="18"/>
            <w:szCs w:val="18"/>
            <w:u w:val="single"/>
          </w:rPr>
          <w:t>https://www.fi-compass.eu/fisiyc</w:t>
        </w:r>
      </w:hyperlink>
      <w:r>
        <w:rPr>
          <w:color w:val="000000"/>
          <w:sz w:val="18"/>
          <w:szCs w:val="18"/>
        </w:rPr>
        <w:t xml:space="preserve"> </w:t>
      </w:r>
    </w:p>
  </w:footnote>
  <w:footnote w:id="446">
    <w:p w14:paraId="7F9D4B6D" w14:textId="77777777" w:rsidR="006C0687" w:rsidRDefault="006C0687">
      <w:pPr>
        <w:pBdr>
          <w:top w:val="nil"/>
          <w:left w:val="nil"/>
          <w:bottom w:val="nil"/>
          <w:right w:val="nil"/>
          <w:between w:val="nil"/>
        </w:pBdr>
        <w:spacing w:after="0"/>
        <w:ind w:hanging="142"/>
        <w:rPr>
          <w:color w:val="000000"/>
          <w:sz w:val="18"/>
          <w:szCs w:val="18"/>
        </w:rPr>
      </w:pPr>
      <w:r>
        <w:rPr>
          <w:vertAlign w:val="superscript"/>
        </w:rPr>
        <w:footnoteRef/>
      </w:r>
      <w:r>
        <w:rPr>
          <w:color w:val="000000"/>
          <w:sz w:val="18"/>
          <w:szCs w:val="18"/>
        </w:rPr>
        <w:t xml:space="preserve">  Priemer v EÚ.</w:t>
      </w:r>
    </w:p>
  </w:footnote>
  <w:footnote w:id="447">
    <w:p w14:paraId="50638EE1" w14:textId="77777777" w:rsidR="006C0687" w:rsidRDefault="006C0687">
      <w:pPr>
        <w:pBdr>
          <w:top w:val="nil"/>
          <w:left w:val="nil"/>
          <w:bottom w:val="nil"/>
          <w:right w:val="nil"/>
          <w:between w:val="nil"/>
        </w:pBdr>
        <w:spacing w:after="0"/>
        <w:ind w:left="-142"/>
        <w:rPr>
          <w:color w:val="000000"/>
          <w:sz w:val="20"/>
          <w:szCs w:val="20"/>
        </w:rPr>
      </w:pPr>
      <w:r>
        <w:rPr>
          <w:vertAlign w:val="superscript"/>
        </w:rPr>
        <w:footnoteRef/>
      </w:r>
      <w:r>
        <w:rPr>
          <w:color w:val="000000"/>
          <w:sz w:val="18"/>
          <w:szCs w:val="18"/>
        </w:rPr>
        <w:t xml:space="preserve"> Štúdia uskutočniteľnosti na podporu implementácie finančných nástrojov kombinujúcich EPFRV a EFSI rámci PRV SR 2014 – 2020.</w:t>
      </w:r>
    </w:p>
  </w:footnote>
  <w:footnote w:id="448">
    <w:p w14:paraId="166D385D" w14:textId="77777777" w:rsidR="006C0687" w:rsidRDefault="006C0687">
      <w:pPr>
        <w:pBdr>
          <w:top w:val="nil"/>
          <w:left w:val="nil"/>
          <w:bottom w:val="nil"/>
          <w:right w:val="nil"/>
          <w:between w:val="nil"/>
        </w:pBdr>
        <w:spacing w:after="0"/>
        <w:ind w:hanging="142"/>
        <w:rPr>
          <w:color w:val="000000"/>
          <w:sz w:val="18"/>
          <w:szCs w:val="18"/>
        </w:rPr>
      </w:pPr>
      <w:r>
        <w:rPr>
          <w:vertAlign w:val="superscript"/>
        </w:rPr>
        <w:footnoteRef/>
      </w:r>
      <w:r>
        <w:rPr>
          <w:color w:val="000000"/>
          <w:sz w:val="18"/>
          <w:szCs w:val="18"/>
        </w:rPr>
        <w:t xml:space="preserve"> ŠU bola schválená Riadiacim orgánom programu rozvoja vidieka SR.</w:t>
      </w:r>
    </w:p>
  </w:footnote>
  <w:footnote w:id="449">
    <w:p w14:paraId="77180D77"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306">
        <w:r>
          <w:rPr>
            <w:color w:val="0563C1"/>
            <w:sz w:val="18"/>
            <w:szCs w:val="18"/>
            <w:u w:val="single"/>
          </w:rPr>
          <w:t>http://www.forestportal.sk/lesne-hospodarstvo/hospodarska-uprava-lesov/program-starostlivosti-o-lesy/Stranky/default.aspx</w:t>
        </w:r>
      </w:hyperlink>
      <w:r>
        <w:rPr>
          <w:color w:val="000000"/>
          <w:sz w:val="18"/>
          <w:szCs w:val="18"/>
        </w:rPr>
        <w:t xml:space="preserve"> </w:t>
      </w:r>
    </w:p>
  </w:footnote>
  <w:footnote w:id="450">
    <w:p w14:paraId="70C98B95"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307">
        <w:r>
          <w:rPr>
            <w:color w:val="0563C1"/>
            <w:sz w:val="18"/>
            <w:szCs w:val="18"/>
            <w:u w:val="single"/>
          </w:rPr>
          <w:t>https://data.gov.sk/dataset/lesne-porasty-opis/resource/5e8f92ab-850f-45a0-9b64-ce3b09fe24ee</w:t>
        </w:r>
      </w:hyperlink>
      <w:r>
        <w:rPr>
          <w:color w:val="000000"/>
          <w:sz w:val="18"/>
          <w:szCs w:val="18"/>
        </w:rPr>
        <w:t xml:space="preserve"> </w:t>
      </w:r>
    </w:p>
    <w:p w14:paraId="7EFCCEFB" w14:textId="77777777" w:rsidR="006C0687" w:rsidRDefault="00C45DA3">
      <w:pPr>
        <w:pBdr>
          <w:top w:val="nil"/>
          <w:left w:val="nil"/>
          <w:bottom w:val="nil"/>
          <w:right w:val="nil"/>
          <w:between w:val="nil"/>
        </w:pBdr>
        <w:spacing w:after="0"/>
        <w:ind w:left="142"/>
        <w:rPr>
          <w:color w:val="0563C1"/>
          <w:sz w:val="18"/>
          <w:szCs w:val="18"/>
          <w:u w:val="single"/>
        </w:rPr>
      </w:pPr>
      <w:hyperlink r:id="rId308">
        <w:r w:rsidR="006C0687">
          <w:rPr>
            <w:color w:val="0563C1"/>
            <w:sz w:val="18"/>
            <w:szCs w:val="18"/>
            <w:u w:val="single"/>
          </w:rPr>
          <w:t>https://data.gov.sk/dataset/lesne-porasty-opis/resource/9025ea45-e31a-4256-bbdf-60c174eb0156</w:t>
        </w:r>
      </w:hyperlink>
    </w:p>
    <w:p w14:paraId="439D7D20" w14:textId="77777777" w:rsidR="006C0687" w:rsidRDefault="00C45DA3">
      <w:pPr>
        <w:pBdr>
          <w:top w:val="nil"/>
          <w:left w:val="nil"/>
          <w:bottom w:val="nil"/>
          <w:right w:val="nil"/>
          <w:between w:val="nil"/>
        </w:pBdr>
        <w:spacing w:after="0"/>
        <w:ind w:left="142"/>
        <w:rPr>
          <w:color w:val="0563C1"/>
          <w:sz w:val="18"/>
          <w:szCs w:val="18"/>
          <w:u w:val="single"/>
        </w:rPr>
      </w:pPr>
      <w:hyperlink r:id="rId309">
        <w:r w:rsidR="006C0687">
          <w:rPr>
            <w:color w:val="0563C1"/>
            <w:sz w:val="18"/>
            <w:szCs w:val="18"/>
            <w:u w:val="single"/>
          </w:rPr>
          <w:t>https://data.gov.sk/dataset/lesne-porasty-plan/resource/4185c2da-c274-4389-832e-bafe5267c449</w:t>
        </w:r>
      </w:hyperlink>
    </w:p>
    <w:p w14:paraId="0BD61DE7" w14:textId="77777777" w:rsidR="006C0687" w:rsidRDefault="00C45DA3">
      <w:pPr>
        <w:pBdr>
          <w:top w:val="nil"/>
          <w:left w:val="nil"/>
          <w:bottom w:val="nil"/>
          <w:right w:val="nil"/>
          <w:between w:val="nil"/>
        </w:pBdr>
        <w:spacing w:after="0"/>
        <w:ind w:left="142"/>
        <w:rPr>
          <w:color w:val="000000"/>
          <w:sz w:val="18"/>
          <w:szCs w:val="18"/>
        </w:rPr>
      </w:pPr>
      <w:hyperlink r:id="rId310">
        <w:r w:rsidR="006C0687">
          <w:rPr>
            <w:color w:val="0563C1"/>
            <w:sz w:val="18"/>
            <w:szCs w:val="18"/>
            <w:u w:val="single"/>
          </w:rPr>
          <w:t>https://data.gov.sk/dataset/lesne-porasty-plan/resource/cee86470-29f8-4ca4-ab2e-4878c3125012</w:t>
        </w:r>
      </w:hyperlink>
    </w:p>
  </w:footnote>
  <w:footnote w:id="451">
    <w:p w14:paraId="3045E243"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Vo formáte .dbf – formát nevhodný na prehliadanie pre bežného konečného užívateľa.</w:t>
      </w:r>
    </w:p>
  </w:footnote>
  <w:footnote w:id="452">
    <w:p w14:paraId="0405F8CA"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311">
        <w:r>
          <w:rPr>
            <w:color w:val="0563C1"/>
            <w:sz w:val="18"/>
            <w:szCs w:val="18"/>
            <w:u w:val="single"/>
          </w:rPr>
          <w:t>https://data.gov.sk/dataset/lesne-porasty-plan/resource/3751a783-cf8a-4eb4-8949-5509c1efa650</w:t>
        </w:r>
      </w:hyperlink>
    </w:p>
    <w:p w14:paraId="742605B1" w14:textId="77777777" w:rsidR="006C0687" w:rsidRDefault="006C0687">
      <w:pPr>
        <w:pBdr>
          <w:top w:val="nil"/>
          <w:left w:val="nil"/>
          <w:bottom w:val="nil"/>
          <w:right w:val="nil"/>
          <w:between w:val="nil"/>
        </w:pBdr>
        <w:spacing w:after="0"/>
        <w:ind w:left="142" w:hanging="142"/>
        <w:rPr>
          <w:color w:val="000000"/>
          <w:sz w:val="18"/>
          <w:szCs w:val="18"/>
        </w:rPr>
      </w:pPr>
      <w:r>
        <w:rPr>
          <w:color w:val="000000"/>
          <w:sz w:val="18"/>
          <w:szCs w:val="18"/>
        </w:rPr>
        <w:t xml:space="preserve">    </w:t>
      </w:r>
      <w:hyperlink r:id="rId312">
        <w:r>
          <w:rPr>
            <w:color w:val="0563C1"/>
            <w:sz w:val="18"/>
            <w:szCs w:val="18"/>
            <w:u w:val="single"/>
          </w:rPr>
          <w:t>https://data.gov.sk/dataset/lesne-porasty-opis/resource/e0bb0cf0-dc8e-4b37-8ee1-59bf565c83ac</w:t>
        </w:r>
      </w:hyperlink>
      <w:r>
        <w:rPr>
          <w:color w:val="000000"/>
          <w:sz w:val="18"/>
          <w:szCs w:val="18"/>
        </w:rPr>
        <w:t xml:space="preserve"> </w:t>
      </w:r>
    </w:p>
  </w:footnote>
  <w:footnote w:id="453">
    <w:p w14:paraId="71B54CDC"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V súboroch s vysvetlivkami je chyba v kódovaní znakov.</w:t>
      </w:r>
    </w:p>
  </w:footnote>
  <w:footnote w:id="454">
    <w:p w14:paraId="535293F9"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Formát .xlsx alebo .csv</w:t>
      </w:r>
    </w:p>
  </w:footnote>
  <w:footnote w:id="455">
    <w:p w14:paraId="2203A1A2"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Datasety boli upravené k 13.02.2020, aktualizácia uvedená v dodatočných informáciách pod zverejnenými datasetmi na UPVS.</w:t>
      </w:r>
    </w:p>
  </w:footnote>
  <w:footnote w:id="456">
    <w:p w14:paraId="005C8618"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Bez uvedeného datasetu s identifikačným číslom a názvom by nebolo zrejme za ktorý lesný celok sa uvádzajú údaje. </w:t>
      </w:r>
    </w:p>
  </w:footnote>
  <w:footnote w:id="457">
    <w:p w14:paraId="7890E9B5" w14:textId="77777777" w:rsidR="006C0687" w:rsidRDefault="006C0687">
      <w:pPr>
        <w:pBdr>
          <w:top w:val="nil"/>
          <w:left w:val="nil"/>
          <w:bottom w:val="nil"/>
          <w:right w:val="nil"/>
          <w:between w:val="nil"/>
        </w:pBdr>
        <w:spacing w:after="0"/>
        <w:rPr>
          <w:color w:val="000000"/>
          <w:sz w:val="20"/>
          <w:szCs w:val="20"/>
        </w:rPr>
      </w:pPr>
      <w:r>
        <w:rPr>
          <w:vertAlign w:val="superscript"/>
        </w:rPr>
        <w:footnoteRef/>
      </w:r>
      <w:r>
        <w:rPr>
          <w:color w:val="000000"/>
          <w:sz w:val="18"/>
          <w:szCs w:val="18"/>
        </w:rPr>
        <w:t xml:space="preserve"> Formát .shp.</w:t>
      </w:r>
    </w:p>
  </w:footnote>
  <w:footnote w:id="458">
    <w:p w14:paraId="6A62BE49"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313">
        <w:r>
          <w:rPr>
            <w:color w:val="0563C1"/>
            <w:sz w:val="18"/>
            <w:szCs w:val="18"/>
            <w:u w:val="single"/>
          </w:rPr>
          <w:t>https://www.mpsr.sk/aktualne/konto-pre-zelenu-naftu-si-vytvorilo-cez-2-000-ziadatelov/14591/</w:t>
        </w:r>
      </w:hyperlink>
      <w:r>
        <w:rPr>
          <w:color w:val="000000"/>
          <w:sz w:val="18"/>
          <w:szCs w:val="18"/>
        </w:rPr>
        <w:t xml:space="preserve"> </w:t>
      </w:r>
    </w:p>
  </w:footnote>
  <w:footnote w:id="459">
    <w:p w14:paraId="692AF692"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314">
        <w:r>
          <w:rPr>
            <w:color w:val="0563C1"/>
            <w:sz w:val="18"/>
            <w:szCs w:val="18"/>
            <w:u w:val="single"/>
          </w:rPr>
          <w:t>https://metais.vicepremier.gov.sk/studia/detail/5cdd7f08-598c-3e4f-1d95-cb775b934825?tab=basicForm</w:t>
        </w:r>
      </w:hyperlink>
      <w:r>
        <w:rPr>
          <w:color w:val="000000"/>
          <w:sz w:val="18"/>
          <w:szCs w:val="18"/>
        </w:rPr>
        <w:t xml:space="preserve"> </w:t>
      </w:r>
    </w:p>
  </w:footnote>
  <w:footnote w:id="460">
    <w:p w14:paraId="30422924"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315">
        <w:r>
          <w:rPr>
            <w:color w:val="0563C1"/>
            <w:sz w:val="18"/>
            <w:szCs w:val="18"/>
            <w:u w:val="single"/>
          </w:rPr>
          <w:t>https://metais.vicepremier.gov.sk/studia/detail/5cdd7f08-598c-3e4f-1d95-cb775b934825?tab=documents</w:t>
        </w:r>
      </w:hyperlink>
      <w:r>
        <w:rPr>
          <w:color w:val="000000"/>
          <w:sz w:val="18"/>
          <w:szCs w:val="18"/>
        </w:rPr>
        <w:t xml:space="preserve"> </w:t>
      </w:r>
    </w:p>
  </w:footnote>
  <w:footnote w:id="461">
    <w:p w14:paraId="75310558"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316">
        <w:r>
          <w:rPr>
            <w:color w:val="0563C1"/>
            <w:sz w:val="18"/>
            <w:szCs w:val="18"/>
            <w:u w:val="single"/>
          </w:rPr>
          <w:t>https://metais.vicepremier.gov.sk/studia/detail/c83f0c63-ce3f-0dda-1fc6-5acba7216a7f?tab=documents</w:t>
        </w:r>
      </w:hyperlink>
      <w:r>
        <w:rPr>
          <w:color w:val="000000"/>
          <w:sz w:val="18"/>
          <w:szCs w:val="18"/>
        </w:rPr>
        <w:t xml:space="preserve"> </w:t>
      </w:r>
    </w:p>
  </w:footnote>
  <w:footnote w:id="462">
    <w:p w14:paraId="74A6F4CE"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317">
        <w:r>
          <w:rPr>
            <w:color w:val="0563C1"/>
            <w:sz w:val="18"/>
            <w:szCs w:val="18"/>
            <w:u w:val="single"/>
          </w:rPr>
          <w:t>https://metais.vicepremier.gov.sk/studia/detail/c83f0c63-ce3f-0dda-1fc6-5acba7216a7f?tab=documents</w:t>
        </w:r>
      </w:hyperlink>
      <w:r>
        <w:rPr>
          <w:color w:val="000000"/>
          <w:sz w:val="18"/>
          <w:szCs w:val="18"/>
        </w:rPr>
        <w:t xml:space="preserve"> </w:t>
      </w:r>
    </w:p>
  </w:footnote>
  <w:footnote w:id="463">
    <w:p w14:paraId="440A7C25"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318">
        <w:r>
          <w:rPr>
            <w:color w:val="0563C1"/>
            <w:sz w:val="18"/>
            <w:szCs w:val="18"/>
            <w:u w:val="single"/>
          </w:rPr>
          <w:t>https://metais.vicepremier.gov.sk/detail/Projekt/549291dc-0751-46ca-824b-b566eb2a0bab/cimaster?tab=basicForm</w:t>
        </w:r>
      </w:hyperlink>
      <w:r>
        <w:rPr>
          <w:color w:val="000000"/>
          <w:sz w:val="18"/>
          <w:szCs w:val="18"/>
        </w:rPr>
        <w:t xml:space="preserve"> </w:t>
      </w:r>
    </w:p>
  </w:footnote>
  <w:footnote w:id="464">
    <w:p w14:paraId="61497447"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319">
        <w:r>
          <w:rPr>
            <w:color w:val="0563C1"/>
            <w:sz w:val="18"/>
            <w:szCs w:val="18"/>
            <w:u w:val="single"/>
          </w:rPr>
          <w:t>https://metais.vicepremier.gov.sk/studia/detail/844cab95-f737-de08-2715-3ed90e4fdb64?tab=documents</w:t>
        </w:r>
      </w:hyperlink>
      <w:r>
        <w:rPr>
          <w:color w:val="000000"/>
          <w:sz w:val="18"/>
          <w:szCs w:val="18"/>
        </w:rPr>
        <w:t xml:space="preserve"> </w:t>
      </w:r>
    </w:p>
  </w:footnote>
  <w:footnote w:id="465">
    <w:p w14:paraId="59FEA3A7"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320">
        <w:r>
          <w:rPr>
            <w:color w:val="0563C1"/>
            <w:sz w:val="18"/>
            <w:szCs w:val="18"/>
            <w:u w:val="single"/>
          </w:rPr>
          <w:t>https://metais.vicepremier.gov.sk/studia/detail/ff58dbaf-2e94-9fe3-c735-d1409b5e6be9?tab=basicForm</w:t>
        </w:r>
      </w:hyperlink>
      <w:r>
        <w:rPr>
          <w:color w:val="000000"/>
          <w:sz w:val="18"/>
          <w:szCs w:val="18"/>
        </w:rPr>
        <w:t xml:space="preserve"> </w:t>
      </w:r>
    </w:p>
  </w:footnote>
  <w:footnote w:id="466">
    <w:p w14:paraId="18D93209"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321">
        <w:r>
          <w:rPr>
            <w:color w:val="0563C1"/>
            <w:sz w:val="18"/>
            <w:szCs w:val="18"/>
            <w:u w:val="single"/>
          </w:rPr>
          <w:t>https://metais.vicepremier.gov.sk/studia/detail/ff58dbaf-2e94-9fe3-c735-d1409b5e6be9?tab=documents</w:t>
        </w:r>
      </w:hyperlink>
      <w:r>
        <w:rPr>
          <w:color w:val="000000"/>
          <w:sz w:val="18"/>
          <w:szCs w:val="18"/>
        </w:rPr>
        <w:t xml:space="preserve"> </w:t>
      </w:r>
    </w:p>
  </w:footnote>
  <w:footnote w:id="467">
    <w:p w14:paraId="5F613A1E"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322">
        <w:r>
          <w:rPr>
            <w:color w:val="0563C1"/>
            <w:sz w:val="18"/>
            <w:szCs w:val="18"/>
            <w:u w:val="single"/>
          </w:rPr>
          <w:t>https://metais.vicepremier.gov.sk/studia/list?fullText=ppa</w:t>
        </w:r>
      </w:hyperlink>
      <w:r>
        <w:rPr>
          <w:color w:val="000000"/>
          <w:sz w:val="18"/>
          <w:szCs w:val="18"/>
        </w:rPr>
        <w:t xml:space="preserve"> </w:t>
      </w:r>
    </w:p>
  </w:footnote>
  <w:footnote w:id="468">
    <w:p w14:paraId="2FFF693D"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Vyčíslenie od PPA (opatrenia Koncepcie rozvoja PPA do 2020 celkovo: 71,49 mil. eur; udržateľnosť IS PPA: 35,6 mil. eur).</w:t>
      </w:r>
    </w:p>
  </w:footnote>
  <w:footnote w:id="469">
    <w:p w14:paraId="747528EA" w14:textId="77777777" w:rsidR="006C0687" w:rsidRDefault="006C0687" w:rsidP="00287DFE">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PPA zaviedla prepojenie na ISUF pre potreby finančného riadenia a vedenia účtovníctva pre Európsky poľnohospodársky a záručný fond, Európsky poľnohospodársky fond pre rozvoj vidieka, spolufinancovanie zo štátneho rozpočtu a štátnej pomoci.</w:t>
      </w:r>
    </w:p>
  </w:footnote>
  <w:footnote w:id="470">
    <w:p w14:paraId="4DAF9E74"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323">
        <w:r>
          <w:rPr>
            <w:color w:val="0563C1"/>
            <w:sz w:val="18"/>
            <w:szCs w:val="18"/>
            <w:u w:val="single"/>
          </w:rPr>
          <w:t>https://program.statneit.sk/plan/rozpočet-a-md-rate</w:t>
        </w:r>
      </w:hyperlink>
      <w:r>
        <w:rPr>
          <w:color w:val="000000"/>
          <w:sz w:val="18"/>
          <w:szCs w:val="18"/>
        </w:rPr>
        <w:t xml:space="preserve"> </w:t>
      </w:r>
    </w:p>
  </w:footnote>
  <w:footnote w:id="471">
    <w:p w14:paraId="655EB54F" w14:textId="77777777" w:rsidR="006C0687" w:rsidRDefault="006C0687">
      <w:pPr>
        <w:pBdr>
          <w:top w:val="nil"/>
          <w:left w:val="nil"/>
          <w:bottom w:val="nil"/>
          <w:right w:val="nil"/>
          <w:between w:val="nil"/>
        </w:pBdr>
        <w:spacing w:after="0"/>
        <w:rPr>
          <w:color w:val="000000"/>
          <w:sz w:val="20"/>
          <w:szCs w:val="20"/>
        </w:rPr>
      </w:pPr>
      <w:r>
        <w:rPr>
          <w:vertAlign w:val="superscript"/>
        </w:rPr>
        <w:footnoteRef/>
      </w:r>
      <w:r>
        <w:rPr>
          <w:color w:val="000000"/>
          <w:sz w:val="18"/>
          <w:szCs w:val="18"/>
        </w:rPr>
        <w:t xml:space="preserve"> </w:t>
      </w:r>
      <w:hyperlink r:id="rId324">
        <w:r>
          <w:rPr>
            <w:color w:val="0563C1"/>
            <w:sz w:val="18"/>
            <w:szCs w:val="18"/>
            <w:u w:val="single"/>
          </w:rPr>
          <w:t>Odhad Revízie výdavkov na pôdohospodárstvo a rozvoj vidieka</w:t>
        </w:r>
      </w:hyperlink>
      <w:r>
        <w:rPr>
          <w:color w:val="000000"/>
          <w:sz w:val="18"/>
          <w:szCs w:val="18"/>
        </w:rPr>
        <w:t>.</w:t>
      </w:r>
    </w:p>
  </w:footnote>
  <w:footnote w:id="472">
    <w:p w14:paraId="7D5E8A7C"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Opatrenie sa bude odpočtovať k 30.06. počas každého roka odpočtu Revízie výdavkov na pôdohospodárstvo a rozvoje vidieka. </w:t>
      </w:r>
    </w:p>
  </w:footnote>
  <w:footnote w:id="473">
    <w:p w14:paraId="2EF3C1BE" w14:textId="77777777" w:rsidR="006C0687" w:rsidRDefault="006C0687" w:rsidP="00EE4567">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w:t>
      </w:r>
      <w:hyperlink r:id="rId325">
        <w:r>
          <w:rPr>
            <w:color w:val="0563C1"/>
            <w:sz w:val="18"/>
            <w:szCs w:val="18"/>
            <w:u w:val="single"/>
          </w:rPr>
          <w:t>https://www.mpsr.sk/zelena-sprava-2019/122---14968/</w:t>
        </w:r>
      </w:hyperlink>
      <w:r>
        <w:rPr>
          <w:color w:val="000000"/>
          <w:sz w:val="18"/>
          <w:szCs w:val="18"/>
        </w:rPr>
        <w:t xml:space="preserve"> </w:t>
      </w:r>
    </w:p>
  </w:footnote>
  <w:footnote w:id="474">
    <w:p w14:paraId="585C51E4"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326" w:anchor="IL">
        <w:r>
          <w:rPr>
            <w:color w:val="0563C1"/>
            <w:sz w:val="18"/>
            <w:szCs w:val="18"/>
            <w:u w:val="single"/>
          </w:rPr>
          <w:t>http://www.radela.sk/Statistiky.html#IL</w:t>
        </w:r>
      </w:hyperlink>
      <w:r>
        <w:rPr>
          <w:color w:val="000000"/>
          <w:sz w:val="18"/>
          <w:szCs w:val="18"/>
        </w:rPr>
        <w:t xml:space="preserve"> </w:t>
      </w:r>
    </w:p>
  </w:footnote>
  <w:footnote w:id="475">
    <w:p w14:paraId="68BE76AF"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327">
        <w:r>
          <w:rPr>
            <w:color w:val="0563C1"/>
            <w:sz w:val="18"/>
            <w:szCs w:val="18"/>
            <w:u w:val="single"/>
          </w:rPr>
          <w:t>http://www.registeruz.sk/cruz-public/domain/accountingentity/simplesearch</w:t>
        </w:r>
      </w:hyperlink>
      <w:r>
        <w:rPr>
          <w:color w:val="000000"/>
          <w:sz w:val="18"/>
          <w:szCs w:val="18"/>
        </w:rPr>
        <w:t xml:space="preserve"> </w:t>
      </w:r>
    </w:p>
  </w:footnote>
  <w:footnote w:id="476">
    <w:p w14:paraId="6DDC1620"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328" w:anchor="IL">
        <w:r>
          <w:rPr>
            <w:color w:val="0563C1"/>
            <w:sz w:val="18"/>
            <w:szCs w:val="18"/>
            <w:u w:val="single"/>
          </w:rPr>
          <w:t>http://www.radela.sk/Statistiky.html#IL</w:t>
        </w:r>
      </w:hyperlink>
      <w:r>
        <w:rPr>
          <w:color w:val="000000"/>
          <w:sz w:val="18"/>
          <w:szCs w:val="18"/>
        </w:rPr>
        <w:t xml:space="preserve"> </w:t>
      </w:r>
    </w:p>
  </w:footnote>
  <w:footnote w:id="477">
    <w:p w14:paraId="2F49C1D0" w14:textId="5FC49978"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Revízia výdavkov na pôdohospodárstvo a rozvoj vidieka </w:t>
      </w:r>
    </w:p>
  </w:footnote>
  <w:footnote w:id="478">
    <w:p w14:paraId="3B9D0987"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329">
        <w:r>
          <w:rPr>
            <w:color w:val="0563C1"/>
            <w:sz w:val="18"/>
            <w:szCs w:val="18"/>
            <w:u w:val="single"/>
          </w:rPr>
          <w:t>https://www.apa.sk/index.php?navID=629</w:t>
        </w:r>
      </w:hyperlink>
      <w:r>
        <w:rPr>
          <w:color w:val="000000"/>
          <w:sz w:val="18"/>
          <w:szCs w:val="18"/>
        </w:rPr>
        <w:t xml:space="preserve"> </w:t>
      </w:r>
    </w:p>
  </w:footnote>
  <w:footnote w:id="479">
    <w:p w14:paraId="12834607"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330">
        <w:r>
          <w:rPr>
            <w:color w:val="0563C1"/>
            <w:sz w:val="18"/>
            <w:szCs w:val="18"/>
            <w:u w:val="single"/>
          </w:rPr>
          <w:t>https://data.gov.sk/dataset/bonitovane-podnoekologicke-jednotky-bpej</w:t>
        </w:r>
      </w:hyperlink>
      <w:r>
        <w:rPr>
          <w:color w:val="000000"/>
          <w:sz w:val="18"/>
          <w:szCs w:val="18"/>
        </w:rPr>
        <w:t xml:space="preserve"> </w:t>
      </w:r>
    </w:p>
  </w:footnote>
  <w:footnote w:id="480">
    <w:p w14:paraId="5122470B" w14:textId="77777777" w:rsidR="006C0687" w:rsidRDefault="006C0687">
      <w:pPr>
        <w:pBdr>
          <w:top w:val="nil"/>
          <w:left w:val="nil"/>
          <w:bottom w:val="nil"/>
          <w:right w:val="nil"/>
          <w:between w:val="nil"/>
        </w:pBdr>
        <w:spacing w:after="0"/>
        <w:ind w:left="284" w:hanging="284"/>
        <w:rPr>
          <w:color w:val="000000"/>
          <w:sz w:val="18"/>
          <w:szCs w:val="18"/>
        </w:rPr>
      </w:pPr>
      <w:r>
        <w:rPr>
          <w:vertAlign w:val="superscript"/>
        </w:rPr>
        <w:footnoteRef/>
      </w:r>
      <w:r>
        <w:rPr>
          <w:color w:val="000000"/>
          <w:sz w:val="18"/>
          <w:szCs w:val="18"/>
        </w:rPr>
        <w:t xml:space="preserve"> </w:t>
      </w:r>
      <w:hyperlink r:id="rId331">
        <w:r w:rsidRPr="0009000A">
          <w:rPr>
            <w:color w:val="0563C1"/>
            <w:sz w:val="18"/>
            <w:szCs w:val="18"/>
            <w:u w:val="single"/>
          </w:rPr>
          <w:t>https://data.gov.sk/dataset/bonitovane-podnoekologicke-jednotky-bpej/resource/f13346fb-1bc9-4dd3-9fa6-e63ca0659e3a/preview</w:t>
        </w:r>
      </w:hyperlink>
      <w:r>
        <w:rPr>
          <w:color w:val="000000"/>
          <w:sz w:val="18"/>
          <w:szCs w:val="18"/>
        </w:rPr>
        <w:t xml:space="preserve"> </w:t>
      </w:r>
    </w:p>
  </w:footnote>
  <w:footnote w:id="481">
    <w:p w14:paraId="2B0C5C4C" w14:textId="77777777" w:rsidR="006C0687" w:rsidRPr="0009000A"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332">
        <w:r w:rsidRPr="0009000A">
          <w:rPr>
            <w:color w:val="0563C1"/>
            <w:sz w:val="18"/>
            <w:szCs w:val="18"/>
            <w:u w:val="single"/>
          </w:rPr>
          <w:t>https://data.gov.sk/dataset/potencialna-vodna-erozia/resource/f4c44d58-ef4d-467d-8919-90eb5e486e3e/preview</w:t>
        </w:r>
      </w:hyperlink>
      <w:r w:rsidRPr="0009000A">
        <w:rPr>
          <w:color w:val="000000"/>
          <w:sz w:val="18"/>
          <w:szCs w:val="18"/>
        </w:rPr>
        <w:t xml:space="preserve"> </w:t>
      </w:r>
    </w:p>
  </w:footnote>
  <w:footnote w:id="482">
    <w:p w14:paraId="143D8749" w14:textId="77777777" w:rsidR="006C0687" w:rsidRDefault="006C0687">
      <w:pPr>
        <w:pBdr>
          <w:top w:val="nil"/>
          <w:left w:val="nil"/>
          <w:bottom w:val="nil"/>
          <w:right w:val="nil"/>
          <w:between w:val="nil"/>
        </w:pBdr>
        <w:spacing w:after="0"/>
        <w:rPr>
          <w:color w:val="000000"/>
          <w:sz w:val="18"/>
          <w:szCs w:val="18"/>
        </w:rPr>
      </w:pPr>
      <w:r w:rsidRPr="0009000A">
        <w:rPr>
          <w:vertAlign w:val="superscript"/>
        </w:rPr>
        <w:footnoteRef/>
      </w:r>
      <w:r w:rsidRPr="0009000A">
        <w:rPr>
          <w:color w:val="000000"/>
          <w:sz w:val="18"/>
          <w:szCs w:val="18"/>
        </w:rPr>
        <w:t xml:space="preserve"> </w:t>
      </w:r>
      <w:hyperlink r:id="rId333">
        <w:r w:rsidRPr="0009000A">
          <w:rPr>
            <w:color w:val="0563C1"/>
            <w:sz w:val="18"/>
            <w:szCs w:val="18"/>
            <w:u w:val="single"/>
          </w:rPr>
          <w:t>https://portal.vupop.sk/portal/apps/webappviewer/index.html?id=d89cff7c70424117ae01ddba7499d3ad</w:t>
        </w:r>
      </w:hyperlink>
      <w:r>
        <w:rPr>
          <w:color w:val="000000"/>
          <w:sz w:val="18"/>
          <w:szCs w:val="18"/>
        </w:rPr>
        <w:t xml:space="preserve"> </w:t>
      </w:r>
    </w:p>
  </w:footnote>
  <w:footnote w:id="483">
    <w:p w14:paraId="177BAD6D"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334">
        <w:r>
          <w:rPr>
            <w:color w:val="0563C1"/>
            <w:sz w:val="18"/>
            <w:szCs w:val="18"/>
            <w:u w:val="single"/>
          </w:rPr>
          <w:t>http://www.podnemapy.sk/portal/verejnost/bpej/bpej.aspx</w:t>
        </w:r>
      </w:hyperlink>
      <w:r>
        <w:rPr>
          <w:color w:val="000000"/>
          <w:sz w:val="18"/>
          <w:szCs w:val="18"/>
        </w:rPr>
        <w:t xml:space="preserve"> </w:t>
      </w:r>
    </w:p>
  </w:footnote>
  <w:footnote w:id="484">
    <w:p w14:paraId="7EB8E105"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335">
        <w:r>
          <w:rPr>
            <w:color w:val="0563C1"/>
            <w:sz w:val="18"/>
            <w:szCs w:val="18"/>
            <w:u w:val="single"/>
          </w:rPr>
          <w:t>https://pozfond.sk/najom/mlady-polnohospodar/</w:t>
        </w:r>
      </w:hyperlink>
      <w:r>
        <w:rPr>
          <w:color w:val="000000"/>
          <w:sz w:val="18"/>
          <w:szCs w:val="18"/>
        </w:rPr>
        <w:t xml:space="preserve"> </w:t>
      </w:r>
    </w:p>
  </w:footnote>
  <w:footnote w:id="485">
    <w:p w14:paraId="159D8663" w14:textId="77777777" w:rsidR="006C0687" w:rsidRDefault="006C0687" w:rsidP="00287DFE">
      <w:pPr>
        <w:pBdr>
          <w:top w:val="nil"/>
          <w:left w:val="nil"/>
          <w:bottom w:val="nil"/>
          <w:right w:val="nil"/>
          <w:between w:val="nil"/>
        </w:pBdr>
        <w:spacing w:after="0"/>
        <w:rPr>
          <w:color w:val="000000"/>
          <w:sz w:val="18"/>
          <w:szCs w:val="18"/>
        </w:rPr>
      </w:pPr>
      <w:r>
        <w:rPr>
          <w:vertAlign w:val="superscript"/>
        </w:rPr>
        <w:footnoteRef/>
      </w:r>
      <w:hyperlink r:id="rId336">
        <w:r>
          <w:rPr>
            <w:color w:val="0563C1"/>
            <w:sz w:val="18"/>
            <w:szCs w:val="18"/>
            <w:u w:val="single"/>
          </w:rPr>
          <w:t>https://www.crz.gov.sk/index.php?ID=2171273&amp;art_zs2=&amp;art_predmet=&amp;art_ico=&amp;art_suma_zmluva_od=&amp;art_suma_zmluva_do=&amp;art_datum_zverejnene_od=&amp;art_datum_zverejnene_do=&amp;art_rezort=0&amp;art_zs1=slovensk%C3%BD+pozemkov%C3%BD+fond&amp;nazov=&amp;art_ico1=&amp;odoslat=Vyh%C4%BEada%C5%A5</w:t>
        </w:r>
      </w:hyperlink>
      <w:r>
        <w:rPr>
          <w:color w:val="000000"/>
          <w:sz w:val="18"/>
          <w:szCs w:val="18"/>
        </w:rPr>
        <w:t xml:space="preserve"> </w:t>
      </w:r>
    </w:p>
  </w:footnote>
  <w:footnote w:id="486">
    <w:p w14:paraId="57394A52"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337">
        <w:r>
          <w:rPr>
            <w:color w:val="0563C1"/>
            <w:sz w:val="18"/>
            <w:szCs w:val="18"/>
            <w:u w:val="single"/>
          </w:rPr>
          <w:t>https://pozfond.sk/najom/mlady-polnohospodar/</w:t>
        </w:r>
      </w:hyperlink>
      <w:r>
        <w:rPr>
          <w:color w:val="000000"/>
          <w:sz w:val="18"/>
          <w:szCs w:val="18"/>
        </w:rPr>
        <w:t xml:space="preserve"> </w:t>
      </w:r>
    </w:p>
  </w:footnote>
  <w:footnote w:id="487">
    <w:p w14:paraId="4BE51B22" w14:textId="77777777" w:rsidR="006C0687" w:rsidRDefault="006C0687" w:rsidP="00287DFE">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Spolu s názvom k. ú., kde sa pozemok nachádza, výmerou, č. parcely a termínom, kedy na pozemku končí aktuálna nájomná zmluva, ak je pozemok v prenájme.</w:t>
      </w:r>
    </w:p>
  </w:footnote>
  <w:footnote w:id="488">
    <w:p w14:paraId="2F4EBE0C" w14:textId="77777777" w:rsidR="006C0687" w:rsidRDefault="006C0687" w:rsidP="00287DFE">
      <w:pPr>
        <w:pBdr>
          <w:top w:val="nil"/>
          <w:left w:val="nil"/>
          <w:bottom w:val="nil"/>
          <w:right w:val="nil"/>
          <w:between w:val="nil"/>
        </w:pBdr>
        <w:spacing w:after="0"/>
        <w:rPr>
          <w:color w:val="000000"/>
          <w:sz w:val="18"/>
          <w:szCs w:val="18"/>
        </w:rPr>
      </w:pPr>
      <w:r>
        <w:rPr>
          <w:vertAlign w:val="superscript"/>
        </w:rPr>
        <w:footnoteRef/>
      </w:r>
      <w:hyperlink r:id="rId338">
        <w:r>
          <w:rPr>
            <w:color w:val="0563C1"/>
            <w:sz w:val="18"/>
            <w:szCs w:val="18"/>
            <w:u w:val="single"/>
          </w:rPr>
          <w:t>https://data.gov.sk/dataset/zoznam-ukoncenych-projektov-jednoduchych-pozemkovych-uprav/resource/d21585a2-45aa-4aff-b98b-6e7436f32cd7</w:t>
        </w:r>
      </w:hyperlink>
      <w:r>
        <w:rPr>
          <w:color w:val="000000"/>
          <w:sz w:val="18"/>
          <w:szCs w:val="18"/>
        </w:rPr>
        <w:t xml:space="preserve"> </w:t>
      </w:r>
    </w:p>
  </w:footnote>
  <w:footnote w:id="489">
    <w:p w14:paraId="7ADD8BE7" w14:textId="77777777" w:rsidR="006C0687" w:rsidRDefault="006C0687">
      <w:pPr>
        <w:pBdr>
          <w:top w:val="nil"/>
          <w:left w:val="nil"/>
          <w:bottom w:val="nil"/>
          <w:right w:val="nil"/>
          <w:between w:val="nil"/>
        </w:pBdr>
        <w:spacing w:after="0"/>
        <w:rPr>
          <w:color w:val="000000"/>
          <w:sz w:val="18"/>
          <w:szCs w:val="18"/>
        </w:rPr>
      </w:pPr>
      <w:r>
        <w:rPr>
          <w:vertAlign w:val="superscript"/>
        </w:rPr>
        <w:footnoteRef/>
      </w:r>
      <w:r>
        <w:rPr>
          <w:color w:val="000000"/>
          <w:sz w:val="18"/>
          <w:szCs w:val="18"/>
        </w:rPr>
        <w:t xml:space="preserve"> </w:t>
      </w:r>
      <w:hyperlink r:id="rId339">
        <w:r>
          <w:rPr>
            <w:color w:val="0563C1"/>
            <w:sz w:val="18"/>
            <w:szCs w:val="18"/>
            <w:u w:val="single"/>
          </w:rPr>
          <w:t>https://data.gov.sk/dataset/zoznam-ukoncenych-projektov-pozemkovych-uprav-komplexnych</w:t>
        </w:r>
      </w:hyperlink>
      <w:r>
        <w:rPr>
          <w:color w:val="000000"/>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4AE08" w14:textId="77777777" w:rsidR="006C0687" w:rsidRDefault="006C0687" w:rsidP="007953B8">
    <w:pPr>
      <w:pStyle w:val="Hlavika"/>
    </w:pPr>
    <w:r>
      <w:rPr>
        <w:noProof/>
        <w:lang w:eastAsia="sk-SK"/>
      </w:rPr>
      <w:drawing>
        <wp:anchor distT="0" distB="0" distL="114300" distR="114300" simplePos="0" relativeHeight="251657216" behindDoc="0" locked="0" layoutInCell="1" allowOverlap="1" wp14:anchorId="7D4E0E3A" wp14:editId="3684CCAB">
          <wp:simplePos x="0" y="0"/>
          <wp:positionH relativeFrom="column">
            <wp:posOffset>4341495</wp:posOffset>
          </wp:positionH>
          <wp:positionV relativeFrom="paragraph">
            <wp:posOffset>-215900</wp:posOffset>
          </wp:positionV>
          <wp:extent cx="1390650" cy="414655"/>
          <wp:effectExtent l="0" t="0" r="0" b="0"/>
          <wp:wrapTopAndBottom/>
          <wp:docPr id="61" name="Obrázo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414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58240" behindDoc="1" locked="0" layoutInCell="1" allowOverlap="1" wp14:anchorId="1FAC90DE" wp14:editId="3A3E58D5">
          <wp:simplePos x="0" y="0"/>
          <wp:positionH relativeFrom="column">
            <wp:posOffset>46990</wp:posOffset>
          </wp:positionH>
          <wp:positionV relativeFrom="paragraph">
            <wp:posOffset>-227330</wp:posOffset>
          </wp:positionV>
          <wp:extent cx="520065" cy="586740"/>
          <wp:effectExtent l="0" t="0" r="0" b="0"/>
          <wp:wrapTight wrapText="bothSides">
            <wp:wrapPolygon edited="0">
              <wp:start x="0" y="0"/>
              <wp:lineTo x="0" y="21039"/>
              <wp:lineTo x="20571" y="21039"/>
              <wp:lineTo x="20571" y="0"/>
              <wp:lineTo x="0" y="0"/>
            </wp:wrapPolygon>
          </wp:wrapTight>
          <wp:docPr id="62"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0065" cy="586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54C56" w14:textId="77777777" w:rsidR="006C0687" w:rsidRPr="007953B8" w:rsidRDefault="006C0687" w:rsidP="007953B8">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11C77" w14:textId="2FF4BCEB" w:rsidR="006C0687" w:rsidRDefault="006C0687">
    <w:pPr>
      <w:pStyle w:val="Hlavika"/>
    </w:pPr>
    <w:r>
      <w:rPr>
        <w:noProof/>
        <w:lang w:eastAsia="sk-SK"/>
      </w:rPr>
      <w:drawing>
        <wp:anchor distT="0" distB="0" distL="114300" distR="114300" simplePos="0" relativeHeight="251663360" behindDoc="1" locked="0" layoutInCell="1" allowOverlap="1" wp14:anchorId="623C7A98" wp14:editId="4C4ED961">
          <wp:simplePos x="0" y="0"/>
          <wp:positionH relativeFrom="column">
            <wp:posOffset>126365</wp:posOffset>
          </wp:positionH>
          <wp:positionV relativeFrom="paragraph">
            <wp:posOffset>-215216</wp:posOffset>
          </wp:positionV>
          <wp:extent cx="520065" cy="586740"/>
          <wp:effectExtent l="0" t="0" r="0" b="0"/>
          <wp:wrapTight wrapText="bothSides">
            <wp:wrapPolygon edited="0">
              <wp:start x="0" y="0"/>
              <wp:lineTo x="0" y="21039"/>
              <wp:lineTo x="20571" y="21039"/>
              <wp:lineTo x="20571" y="0"/>
              <wp:lineTo x="0" y="0"/>
            </wp:wrapPolygon>
          </wp:wrapTight>
          <wp:docPr id="6"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065" cy="586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60288" behindDoc="0" locked="0" layoutInCell="1" allowOverlap="1" wp14:anchorId="22B53F39" wp14:editId="1E4743E0">
          <wp:simplePos x="0" y="0"/>
          <wp:positionH relativeFrom="column">
            <wp:posOffset>4552950</wp:posOffset>
          </wp:positionH>
          <wp:positionV relativeFrom="paragraph">
            <wp:posOffset>-215900</wp:posOffset>
          </wp:positionV>
          <wp:extent cx="1390650" cy="414655"/>
          <wp:effectExtent l="0" t="0" r="0" b="4445"/>
          <wp:wrapTopAndBottom/>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90650" cy="414655"/>
                  </a:xfrm>
                  <a:prstGeom prst="rect">
                    <a:avLst/>
                  </a:prstGeom>
                </pic:spPr>
              </pic:pic>
            </a:graphicData>
          </a:graphic>
          <wp14:sizeRelH relativeFrom="page">
            <wp14:pctWidth>0</wp14:pctWidth>
          </wp14:sizeRelH>
          <wp14:sizeRelV relativeFrom="page">
            <wp14:pctHeight>0</wp14:pctHeight>
          </wp14:sizeRelV>
        </wp:anchor>
      </w:drawing>
    </w:r>
  </w:p>
  <w:p w14:paraId="05BDCA97" w14:textId="77777777" w:rsidR="006C0687" w:rsidRDefault="006C068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E0B4A"/>
    <w:multiLevelType w:val="hybridMultilevel"/>
    <w:tmpl w:val="66925B7C"/>
    <w:lvl w:ilvl="0" w:tplc="ACDAD214">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1FC4D74"/>
    <w:multiLevelType w:val="hybridMultilevel"/>
    <w:tmpl w:val="FB3A8E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6E1255A"/>
    <w:multiLevelType w:val="multilevel"/>
    <w:tmpl w:val="683AD34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35523A"/>
    <w:multiLevelType w:val="hybridMultilevel"/>
    <w:tmpl w:val="81E6F1B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7E31062"/>
    <w:multiLevelType w:val="hybridMultilevel"/>
    <w:tmpl w:val="458218C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9951F46"/>
    <w:multiLevelType w:val="hybridMultilevel"/>
    <w:tmpl w:val="BCBE4776"/>
    <w:lvl w:ilvl="0" w:tplc="955EB156">
      <w:start w:val="4"/>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A5D0554"/>
    <w:multiLevelType w:val="hybridMultilevel"/>
    <w:tmpl w:val="C7E06C6E"/>
    <w:lvl w:ilvl="0" w:tplc="1B1AFC2C">
      <w:numFmt w:val="bullet"/>
      <w:lvlText w:val="-"/>
      <w:lvlJc w:val="left"/>
      <w:pPr>
        <w:ind w:left="720" w:hanging="360"/>
      </w:pPr>
      <w:rPr>
        <w:rFonts w:ascii="Arial Narrow" w:eastAsiaTheme="minorHAnsi"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AF612F0"/>
    <w:multiLevelType w:val="hybridMultilevel"/>
    <w:tmpl w:val="73B2E5B2"/>
    <w:lvl w:ilvl="0" w:tplc="041B000D">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FFD5904"/>
    <w:multiLevelType w:val="hybridMultilevel"/>
    <w:tmpl w:val="8820B8F2"/>
    <w:lvl w:ilvl="0" w:tplc="90268E06">
      <w:start w:val="1"/>
      <w:numFmt w:val="bullet"/>
      <w:lvlText w:val=""/>
      <w:lvlJc w:val="left"/>
      <w:pPr>
        <w:tabs>
          <w:tab w:val="num" w:pos="720"/>
        </w:tabs>
        <w:ind w:left="720" w:hanging="360"/>
      </w:pPr>
      <w:rPr>
        <w:rFonts w:ascii="Wingdings" w:hAnsi="Wingdings" w:hint="default"/>
      </w:rPr>
    </w:lvl>
    <w:lvl w:ilvl="1" w:tplc="FBE8A112">
      <w:start w:val="1"/>
      <w:numFmt w:val="bullet"/>
      <w:lvlText w:val=""/>
      <w:lvlJc w:val="left"/>
      <w:pPr>
        <w:tabs>
          <w:tab w:val="num" w:pos="786"/>
        </w:tabs>
        <w:ind w:left="786" w:hanging="360"/>
      </w:pPr>
      <w:rPr>
        <w:rFonts w:ascii="Wingdings" w:hAnsi="Wingdings" w:hint="default"/>
      </w:rPr>
    </w:lvl>
    <w:lvl w:ilvl="2" w:tplc="B38A66F0">
      <w:start w:val="1"/>
      <w:numFmt w:val="bullet"/>
      <w:lvlText w:val=""/>
      <w:lvlJc w:val="left"/>
      <w:pPr>
        <w:tabs>
          <w:tab w:val="num" w:pos="2160"/>
        </w:tabs>
        <w:ind w:left="2160" w:hanging="360"/>
      </w:pPr>
      <w:rPr>
        <w:rFonts w:ascii="Wingdings" w:hAnsi="Wingdings" w:hint="default"/>
      </w:rPr>
    </w:lvl>
    <w:lvl w:ilvl="3" w:tplc="5C56B230" w:tentative="1">
      <w:start w:val="1"/>
      <w:numFmt w:val="bullet"/>
      <w:lvlText w:val=""/>
      <w:lvlJc w:val="left"/>
      <w:pPr>
        <w:tabs>
          <w:tab w:val="num" w:pos="2880"/>
        </w:tabs>
        <w:ind w:left="2880" w:hanging="360"/>
      </w:pPr>
      <w:rPr>
        <w:rFonts w:ascii="Wingdings" w:hAnsi="Wingdings" w:hint="default"/>
      </w:rPr>
    </w:lvl>
    <w:lvl w:ilvl="4" w:tplc="561CDE70" w:tentative="1">
      <w:start w:val="1"/>
      <w:numFmt w:val="bullet"/>
      <w:lvlText w:val=""/>
      <w:lvlJc w:val="left"/>
      <w:pPr>
        <w:tabs>
          <w:tab w:val="num" w:pos="3600"/>
        </w:tabs>
        <w:ind w:left="3600" w:hanging="360"/>
      </w:pPr>
      <w:rPr>
        <w:rFonts w:ascii="Wingdings" w:hAnsi="Wingdings" w:hint="default"/>
      </w:rPr>
    </w:lvl>
    <w:lvl w:ilvl="5" w:tplc="07A247EE" w:tentative="1">
      <w:start w:val="1"/>
      <w:numFmt w:val="bullet"/>
      <w:lvlText w:val=""/>
      <w:lvlJc w:val="left"/>
      <w:pPr>
        <w:tabs>
          <w:tab w:val="num" w:pos="4320"/>
        </w:tabs>
        <w:ind w:left="4320" w:hanging="360"/>
      </w:pPr>
      <w:rPr>
        <w:rFonts w:ascii="Wingdings" w:hAnsi="Wingdings" w:hint="default"/>
      </w:rPr>
    </w:lvl>
    <w:lvl w:ilvl="6" w:tplc="DBFAB684" w:tentative="1">
      <w:start w:val="1"/>
      <w:numFmt w:val="bullet"/>
      <w:lvlText w:val=""/>
      <w:lvlJc w:val="left"/>
      <w:pPr>
        <w:tabs>
          <w:tab w:val="num" w:pos="5040"/>
        </w:tabs>
        <w:ind w:left="5040" w:hanging="360"/>
      </w:pPr>
      <w:rPr>
        <w:rFonts w:ascii="Wingdings" w:hAnsi="Wingdings" w:hint="default"/>
      </w:rPr>
    </w:lvl>
    <w:lvl w:ilvl="7" w:tplc="5498CFC6" w:tentative="1">
      <w:start w:val="1"/>
      <w:numFmt w:val="bullet"/>
      <w:lvlText w:val=""/>
      <w:lvlJc w:val="left"/>
      <w:pPr>
        <w:tabs>
          <w:tab w:val="num" w:pos="5760"/>
        </w:tabs>
        <w:ind w:left="5760" w:hanging="360"/>
      </w:pPr>
      <w:rPr>
        <w:rFonts w:ascii="Wingdings" w:hAnsi="Wingdings" w:hint="default"/>
      </w:rPr>
    </w:lvl>
    <w:lvl w:ilvl="8" w:tplc="7A48A02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DC55EB"/>
    <w:multiLevelType w:val="hybridMultilevel"/>
    <w:tmpl w:val="495EEF16"/>
    <w:lvl w:ilvl="0" w:tplc="C7269E66">
      <w:start w:val="16"/>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2BD6D68"/>
    <w:multiLevelType w:val="hybridMultilevel"/>
    <w:tmpl w:val="133EABC0"/>
    <w:lvl w:ilvl="0" w:tplc="041B000D">
      <w:start w:val="1"/>
      <w:numFmt w:val="bullet"/>
      <w:lvlText w:val=""/>
      <w:lvlJc w:val="left"/>
      <w:pPr>
        <w:ind w:left="1800" w:hanging="360"/>
      </w:pPr>
      <w:rPr>
        <w:rFonts w:ascii="Wingdings" w:hAnsi="Wingdings"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11" w15:restartNumberingAfterBreak="0">
    <w:nsid w:val="2C934F6B"/>
    <w:multiLevelType w:val="hybridMultilevel"/>
    <w:tmpl w:val="E4169EBE"/>
    <w:lvl w:ilvl="0" w:tplc="1178ADD0">
      <w:start w:val="4"/>
      <w:numFmt w:val="bullet"/>
      <w:lvlText w:val="-"/>
      <w:lvlJc w:val="left"/>
      <w:pPr>
        <w:ind w:left="720" w:hanging="360"/>
      </w:pPr>
      <w:rPr>
        <w:rFonts w:ascii="Arial Narrow" w:eastAsiaTheme="minorHAnsi"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E3201F9"/>
    <w:multiLevelType w:val="hybridMultilevel"/>
    <w:tmpl w:val="AE26875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F365BC2"/>
    <w:multiLevelType w:val="multilevel"/>
    <w:tmpl w:val="CB64351A"/>
    <w:lvl w:ilvl="0">
      <w:start w:val="1"/>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21C1C2F"/>
    <w:multiLevelType w:val="multilevel"/>
    <w:tmpl w:val="EECCC9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350334E"/>
    <w:multiLevelType w:val="hybridMultilevel"/>
    <w:tmpl w:val="AD7E5924"/>
    <w:lvl w:ilvl="0" w:tplc="F78C6E16">
      <w:start w:val="2"/>
      <w:numFmt w:val="bullet"/>
      <w:lvlText w:val="-"/>
      <w:lvlJc w:val="left"/>
      <w:pPr>
        <w:ind w:left="720" w:hanging="360"/>
      </w:pPr>
      <w:rPr>
        <w:rFonts w:ascii="Arial Narrow" w:eastAsiaTheme="minorHAnsi"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383A562B"/>
    <w:multiLevelType w:val="hybridMultilevel"/>
    <w:tmpl w:val="0EFE6952"/>
    <w:lvl w:ilvl="0" w:tplc="61067D86">
      <w:start w:val="2018"/>
      <w:numFmt w:val="bullet"/>
      <w:lvlText w:val="-"/>
      <w:lvlJc w:val="left"/>
      <w:pPr>
        <w:ind w:left="720" w:hanging="360"/>
      </w:pPr>
      <w:rPr>
        <w:rFonts w:ascii="Arial Narrow" w:eastAsia="Times New Roman" w:hAnsi="Arial Narrow"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39077379"/>
    <w:multiLevelType w:val="hybridMultilevel"/>
    <w:tmpl w:val="97FE4EF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9A524AC"/>
    <w:multiLevelType w:val="hybridMultilevel"/>
    <w:tmpl w:val="B096DACC"/>
    <w:lvl w:ilvl="0" w:tplc="3D3ECF12">
      <w:start w:val="3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3CB118C0"/>
    <w:multiLevelType w:val="hybridMultilevel"/>
    <w:tmpl w:val="484CEB7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0" w15:restartNumberingAfterBreak="0">
    <w:nsid w:val="404A1E0C"/>
    <w:multiLevelType w:val="hybridMultilevel"/>
    <w:tmpl w:val="F4DE906A"/>
    <w:lvl w:ilvl="0" w:tplc="1BE478F4">
      <w:start w:val="1"/>
      <w:numFmt w:val="bullet"/>
      <w:pStyle w:val="Citcia"/>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445C4F0B"/>
    <w:multiLevelType w:val="multilevel"/>
    <w:tmpl w:val="74403FE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89E2425"/>
    <w:multiLevelType w:val="hybridMultilevel"/>
    <w:tmpl w:val="6D5A8C9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CB33E05"/>
    <w:multiLevelType w:val="hybridMultilevel"/>
    <w:tmpl w:val="B89E1A72"/>
    <w:lvl w:ilvl="0" w:tplc="2F8445A2">
      <w:start w:val="1"/>
      <w:numFmt w:val="decimal"/>
      <w:lvlText w:val="%1."/>
      <w:lvlJc w:val="left"/>
      <w:pPr>
        <w:ind w:left="720" w:hanging="360"/>
      </w:pPr>
      <w:rPr>
        <w:b/>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53FB10ED"/>
    <w:multiLevelType w:val="hybridMultilevel"/>
    <w:tmpl w:val="7D80F564"/>
    <w:lvl w:ilvl="0" w:tplc="2F8445A2">
      <w:start w:val="1"/>
      <w:numFmt w:val="decimal"/>
      <w:lvlText w:val="%1."/>
      <w:lvlJc w:val="left"/>
      <w:pPr>
        <w:ind w:left="720" w:hanging="360"/>
      </w:pPr>
      <w:rPr>
        <w:b/>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586433FA"/>
    <w:multiLevelType w:val="hybridMultilevel"/>
    <w:tmpl w:val="1CB6E7BA"/>
    <w:lvl w:ilvl="0" w:tplc="041B0017">
      <w:start w:val="1"/>
      <w:numFmt w:val="lowerLetter"/>
      <w:lvlText w:val="%1)"/>
      <w:lvlJc w:val="left"/>
      <w:pPr>
        <w:ind w:left="720" w:hanging="360"/>
      </w:pPr>
      <w:rPr>
        <w:rFonts w:hint="default"/>
        <w:color w:val="auto"/>
        <w:u w:val="non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58B148D4"/>
    <w:multiLevelType w:val="hybridMultilevel"/>
    <w:tmpl w:val="83DE729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613035CE"/>
    <w:multiLevelType w:val="multilevel"/>
    <w:tmpl w:val="D3F06080"/>
    <w:lvl w:ilvl="0">
      <w:start w:val="1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1594E83"/>
    <w:multiLevelType w:val="hybridMultilevel"/>
    <w:tmpl w:val="7ECE2A86"/>
    <w:lvl w:ilvl="0" w:tplc="041B000D">
      <w:start w:val="1"/>
      <w:numFmt w:val="bullet"/>
      <w:lvlText w:val=""/>
      <w:lvlJc w:val="left"/>
      <w:pPr>
        <w:ind w:left="1800" w:hanging="360"/>
      </w:pPr>
      <w:rPr>
        <w:rFonts w:ascii="Wingdings" w:hAnsi="Wingdings"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29" w15:restartNumberingAfterBreak="0">
    <w:nsid w:val="64BE1552"/>
    <w:multiLevelType w:val="multilevel"/>
    <w:tmpl w:val="228E0922"/>
    <w:lvl w:ilvl="0">
      <w:start w:val="1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7130654"/>
    <w:multiLevelType w:val="hybridMultilevel"/>
    <w:tmpl w:val="92AEC38E"/>
    <w:lvl w:ilvl="0" w:tplc="EF16A092">
      <w:numFmt w:val="bullet"/>
      <w:lvlText w:val="-"/>
      <w:lvlJc w:val="left"/>
      <w:pPr>
        <w:ind w:left="720" w:hanging="360"/>
      </w:pPr>
      <w:rPr>
        <w:rFonts w:ascii="Arial Narrow" w:eastAsiaTheme="minorHAnsi"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6B446DC8"/>
    <w:multiLevelType w:val="hybridMultilevel"/>
    <w:tmpl w:val="38F2E8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6D0777DB"/>
    <w:multiLevelType w:val="hybridMultilevel"/>
    <w:tmpl w:val="B4303022"/>
    <w:lvl w:ilvl="0" w:tplc="0DA4B23A">
      <w:start w:val="33"/>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7026443A"/>
    <w:multiLevelType w:val="multilevel"/>
    <w:tmpl w:val="49603F2E"/>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0C92EF8"/>
    <w:multiLevelType w:val="multilevel"/>
    <w:tmpl w:val="A19C4B8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26B396B"/>
    <w:multiLevelType w:val="multilevel"/>
    <w:tmpl w:val="F8A22930"/>
    <w:lvl w:ilvl="0">
      <w:start w:val="1"/>
      <w:numFmt w:val="decimal"/>
      <w:pStyle w:val="Nadpis1"/>
      <w:lvlText w:val="%1"/>
      <w:lvlJc w:val="left"/>
      <w:pPr>
        <w:ind w:left="502" w:hanging="360"/>
      </w:pPr>
      <w:rPr>
        <w:rFonts w:hint="default"/>
        <w:b w:val="0"/>
        <w:sz w:val="32"/>
      </w:rPr>
    </w:lvl>
    <w:lvl w:ilvl="1">
      <w:start w:val="1"/>
      <w:numFmt w:val="decimal"/>
      <w:pStyle w:val="Nadpis2"/>
      <w:isLgl/>
      <w:lvlText w:val="%1.%2"/>
      <w:lvlJc w:val="left"/>
      <w:pPr>
        <w:ind w:left="1210" w:hanging="360"/>
      </w:pPr>
      <w:rPr>
        <w:b w:val="0"/>
        <w:bCs w:val="0"/>
        <w:i w:val="0"/>
        <w:iCs w:val="0"/>
        <w:caps w:val="0"/>
        <w:smallCaps w:val="0"/>
        <w:strike w:val="0"/>
        <w:dstrike w:val="0"/>
        <w:noProof w:val="0"/>
        <w:vanish w:val="0"/>
        <w:color w:val="2E74B5"/>
        <w:spacing w:val="0"/>
        <w:kern w:val="0"/>
        <w:position w:val="0"/>
        <w:u w:val="none"/>
        <w:effect w:val="none"/>
        <w:vertAlign w:val="baseline"/>
        <w:em w:val="none"/>
        <w:specVanish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5FA59F0"/>
    <w:multiLevelType w:val="hybridMultilevel"/>
    <w:tmpl w:val="168C6E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77914E22"/>
    <w:multiLevelType w:val="hybridMultilevel"/>
    <w:tmpl w:val="6A64F09A"/>
    <w:lvl w:ilvl="0" w:tplc="FC3C41CC">
      <w:start w:val="1"/>
      <w:numFmt w:val="bullet"/>
      <w:lvlText w:val=""/>
      <w:lvlJc w:val="left"/>
      <w:pPr>
        <w:ind w:left="786" w:hanging="360"/>
      </w:pPr>
      <w:rPr>
        <w:rFonts w:ascii="Wingdings" w:hAnsi="Wingdings" w:hint="default"/>
        <w:color w:val="FFFFFF"/>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7920152A"/>
    <w:multiLevelType w:val="hybridMultilevel"/>
    <w:tmpl w:val="54B4184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7A15457C"/>
    <w:multiLevelType w:val="hybridMultilevel"/>
    <w:tmpl w:val="98706E50"/>
    <w:lvl w:ilvl="0" w:tplc="1178ADD0">
      <w:start w:val="4"/>
      <w:numFmt w:val="bullet"/>
      <w:lvlText w:val="-"/>
      <w:lvlJc w:val="left"/>
      <w:pPr>
        <w:ind w:left="720" w:hanging="360"/>
      </w:pPr>
      <w:rPr>
        <w:rFonts w:ascii="Arial Narrow" w:eastAsiaTheme="minorHAnsi"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0"/>
  </w:num>
  <w:num w:numId="2">
    <w:abstractNumId w:val="23"/>
  </w:num>
  <w:num w:numId="3">
    <w:abstractNumId w:val="35"/>
  </w:num>
  <w:num w:numId="4">
    <w:abstractNumId w:val="17"/>
  </w:num>
  <w:num w:numId="5">
    <w:abstractNumId w:val="16"/>
  </w:num>
  <w:num w:numId="6">
    <w:abstractNumId w:val="37"/>
  </w:num>
  <w:num w:numId="7">
    <w:abstractNumId w:val="34"/>
  </w:num>
  <w:num w:numId="8">
    <w:abstractNumId w:val="3"/>
  </w:num>
  <w:num w:numId="9">
    <w:abstractNumId w:val="7"/>
  </w:num>
  <w:num w:numId="10">
    <w:abstractNumId w:val="2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29"/>
  </w:num>
  <w:num w:numId="14">
    <w:abstractNumId w:val="27"/>
  </w:num>
  <w:num w:numId="15">
    <w:abstractNumId w:val="14"/>
  </w:num>
  <w:num w:numId="16">
    <w:abstractNumId w:val="33"/>
  </w:num>
  <w:num w:numId="17">
    <w:abstractNumId w:val="4"/>
  </w:num>
  <w:num w:numId="18">
    <w:abstractNumId w:val="26"/>
  </w:num>
  <w:num w:numId="19">
    <w:abstractNumId w:val="28"/>
  </w:num>
  <w:num w:numId="20">
    <w:abstractNumId w:val="10"/>
  </w:num>
  <w:num w:numId="21">
    <w:abstractNumId w:val="22"/>
  </w:num>
  <w:num w:numId="22">
    <w:abstractNumId w:val="36"/>
  </w:num>
  <w:num w:numId="23">
    <w:abstractNumId w:val="15"/>
  </w:num>
  <w:num w:numId="24">
    <w:abstractNumId w:val="6"/>
  </w:num>
  <w:num w:numId="25">
    <w:abstractNumId w:val="2"/>
  </w:num>
  <w:num w:numId="26">
    <w:abstractNumId w:val="13"/>
  </w:num>
  <w:num w:numId="27">
    <w:abstractNumId w:val="21"/>
  </w:num>
  <w:num w:numId="28">
    <w:abstractNumId w:val="24"/>
  </w:num>
  <w:num w:numId="29">
    <w:abstractNumId w:val="38"/>
  </w:num>
  <w:num w:numId="30">
    <w:abstractNumId w:val="18"/>
  </w:num>
  <w:num w:numId="31">
    <w:abstractNumId w:val="32"/>
  </w:num>
  <w:num w:numId="32">
    <w:abstractNumId w:val="31"/>
  </w:num>
  <w:num w:numId="33">
    <w:abstractNumId w:val="8"/>
  </w:num>
  <w:num w:numId="34">
    <w:abstractNumId w:val="0"/>
  </w:num>
  <w:num w:numId="35">
    <w:abstractNumId w:val="39"/>
  </w:num>
  <w:num w:numId="36">
    <w:abstractNumId w:val="35"/>
    <w:lvlOverride w:ilvl="0">
      <w:startOverride w:val="2"/>
    </w:lvlOverride>
    <w:lvlOverride w:ilvl="1">
      <w:startOverride w:val="2"/>
    </w:lvlOverride>
  </w:num>
  <w:num w:numId="37">
    <w:abstractNumId w:val="30"/>
  </w:num>
  <w:num w:numId="38">
    <w:abstractNumId w:val="1"/>
  </w:num>
  <w:num w:numId="39">
    <w:abstractNumId w:val="11"/>
  </w:num>
  <w:num w:numId="40">
    <w:abstractNumId w:val="9"/>
  </w:num>
  <w:num w:numId="41">
    <w:abstractNumId w:val="12"/>
  </w:num>
  <w:num w:numId="42">
    <w:abstractNumId w:val="1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mirrorMargins/>
  <w:hideSpellingErrors/>
  <w:hideGrammaticalErrors/>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US" w:vendorID="64" w:dllVersion="131078" w:nlCheck="1" w:checkStyle="0"/>
  <w:defaultTabStop w:val="708"/>
  <w:hyphenationZone w:val="425"/>
  <w:characterSpacingControl w:val="doNotCompress"/>
  <w:hdrShapeDefaults>
    <o:shapedefaults v:ext="edit" spidmax="153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00F"/>
    <w:rsid w:val="00000DFA"/>
    <w:rsid w:val="00000FC8"/>
    <w:rsid w:val="00001A47"/>
    <w:rsid w:val="00002575"/>
    <w:rsid w:val="000027E4"/>
    <w:rsid w:val="000030FD"/>
    <w:rsid w:val="000032C0"/>
    <w:rsid w:val="0000376C"/>
    <w:rsid w:val="00003903"/>
    <w:rsid w:val="00003F9F"/>
    <w:rsid w:val="0000499C"/>
    <w:rsid w:val="00004CE4"/>
    <w:rsid w:val="00004DF2"/>
    <w:rsid w:val="000051B2"/>
    <w:rsid w:val="00005600"/>
    <w:rsid w:val="00005FBC"/>
    <w:rsid w:val="0000610D"/>
    <w:rsid w:val="00006508"/>
    <w:rsid w:val="00006938"/>
    <w:rsid w:val="00006970"/>
    <w:rsid w:val="00006BE6"/>
    <w:rsid w:val="00006EC2"/>
    <w:rsid w:val="00010A3C"/>
    <w:rsid w:val="0001122B"/>
    <w:rsid w:val="00011242"/>
    <w:rsid w:val="00011585"/>
    <w:rsid w:val="0001170C"/>
    <w:rsid w:val="00011841"/>
    <w:rsid w:val="00011AC7"/>
    <w:rsid w:val="00011C4C"/>
    <w:rsid w:val="00011D14"/>
    <w:rsid w:val="000123AB"/>
    <w:rsid w:val="00012C6F"/>
    <w:rsid w:val="00013271"/>
    <w:rsid w:val="00013D49"/>
    <w:rsid w:val="00014044"/>
    <w:rsid w:val="000143E4"/>
    <w:rsid w:val="000145CB"/>
    <w:rsid w:val="000145FB"/>
    <w:rsid w:val="00014EA3"/>
    <w:rsid w:val="000151D5"/>
    <w:rsid w:val="0001535E"/>
    <w:rsid w:val="000154F0"/>
    <w:rsid w:val="000154F6"/>
    <w:rsid w:val="000156CB"/>
    <w:rsid w:val="00015A34"/>
    <w:rsid w:val="000167A6"/>
    <w:rsid w:val="000169DB"/>
    <w:rsid w:val="000170A1"/>
    <w:rsid w:val="000173C0"/>
    <w:rsid w:val="0001769B"/>
    <w:rsid w:val="00017CB0"/>
    <w:rsid w:val="00020C6D"/>
    <w:rsid w:val="00020ECC"/>
    <w:rsid w:val="00021847"/>
    <w:rsid w:val="0002189E"/>
    <w:rsid w:val="00021978"/>
    <w:rsid w:val="00021A1A"/>
    <w:rsid w:val="00021A24"/>
    <w:rsid w:val="00021A88"/>
    <w:rsid w:val="00021C54"/>
    <w:rsid w:val="000220A8"/>
    <w:rsid w:val="0002249A"/>
    <w:rsid w:val="00022A21"/>
    <w:rsid w:val="00022A6C"/>
    <w:rsid w:val="00022B10"/>
    <w:rsid w:val="000230E0"/>
    <w:rsid w:val="00023285"/>
    <w:rsid w:val="00023B68"/>
    <w:rsid w:val="0002552B"/>
    <w:rsid w:val="000258D1"/>
    <w:rsid w:val="000260D5"/>
    <w:rsid w:val="00026D11"/>
    <w:rsid w:val="00026E78"/>
    <w:rsid w:val="00026EBF"/>
    <w:rsid w:val="00026F8A"/>
    <w:rsid w:val="00027248"/>
    <w:rsid w:val="000275C2"/>
    <w:rsid w:val="00030314"/>
    <w:rsid w:val="00030524"/>
    <w:rsid w:val="0003068F"/>
    <w:rsid w:val="000306A2"/>
    <w:rsid w:val="0003070C"/>
    <w:rsid w:val="00030799"/>
    <w:rsid w:val="000308A9"/>
    <w:rsid w:val="000308DB"/>
    <w:rsid w:val="00030B21"/>
    <w:rsid w:val="00030D0E"/>
    <w:rsid w:val="00031140"/>
    <w:rsid w:val="00031560"/>
    <w:rsid w:val="000318F1"/>
    <w:rsid w:val="00031E0B"/>
    <w:rsid w:val="0003204B"/>
    <w:rsid w:val="000326B5"/>
    <w:rsid w:val="000327F5"/>
    <w:rsid w:val="00032A13"/>
    <w:rsid w:val="00033650"/>
    <w:rsid w:val="0003399D"/>
    <w:rsid w:val="00033AB5"/>
    <w:rsid w:val="00033D87"/>
    <w:rsid w:val="00033F01"/>
    <w:rsid w:val="000345AC"/>
    <w:rsid w:val="00034E2A"/>
    <w:rsid w:val="00034E30"/>
    <w:rsid w:val="00034F74"/>
    <w:rsid w:val="0003631B"/>
    <w:rsid w:val="00036FB4"/>
    <w:rsid w:val="00036FDD"/>
    <w:rsid w:val="00037481"/>
    <w:rsid w:val="000375BB"/>
    <w:rsid w:val="000376B1"/>
    <w:rsid w:val="00040A55"/>
    <w:rsid w:val="0004114B"/>
    <w:rsid w:val="00041176"/>
    <w:rsid w:val="00041282"/>
    <w:rsid w:val="000415CA"/>
    <w:rsid w:val="000416E6"/>
    <w:rsid w:val="00041E3E"/>
    <w:rsid w:val="0004226A"/>
    <w:rsid w:val="00042FE5"/>
    <w:rsid w:val="00043812"/>
    <w:rsid w:val="00043B66"/>
    <w:rsid w:val="000447C3"/>
    <w:rsid w:val="000448B4"/>
    <w:rsid w:val="00044BF0"/>
    <w:rsid w:val="000456C8"/>
    <w:rsid w:val="00045E92"/>
    <w:rsid w:val="0004646E"/>
    <w:rsid w:val="000467C6"/>
    <w:rsid w:val="00046B3C"/>
    <w:rsid w:val="00046B5A"/>
    <w:rsid w:val="00047411"/>
    <w:rsid w:val="00047A6D"/>
    <w:rsid w:val="00047B92"/>
    <w:rsid w:val="00047E6C"/>
    <w:rsid w:val="000502AC"/>
    <w:rsid w:val="00050717"/>
    <w:rsid w:val="000510BA"/>
    <w:rsid w:val="00051C32"/>
    <w:rsid w:val="00051E29"/>
    <w:rsid w:val="0005246F"/>
    <w:rsid w:val="00052C3C"/>
    <w:rsid w:val="0005323B"/>
    <w:rsid w:val="0005324C"/>
    <w:rsid w:val="00053776"/>
    <w:rsid w:val="00053873"/>
    <w:rsid w:val="0005396C"/>
    <w:rsid w:val="00053CE7"/>
    <w:rsid w:val="00053D2F"/>
    <w:rsid w:val="0005484C"/>
    <w:rsid w:val="00054C5C"/>
    <w:rsid w:val="00055BD4"/>
    <w:rsid w:val="00055BD9"/>
    <w:rsid w:val="00055C55"/>
    <w:rsid w:val="00055CD3"/>
    <w:rsid w:val="00055DB3"/>
    <w:rsid w:val="00055F91"/>
    <w:rsid w:val="00056BDE"/>
    <w:rsid w:val="00056D8E"/>
    <w:rsid w:val="00056DA3"/>
    <w:rsid w:val="00057132"/>
    <w:rsid w:val="0005718F"/>
    <w:rsid w:val="00057495"/>
    <w:rsid w:val="000576BC"/>
    <w:rsid w:val="00057CB3"/>
    <w:rsid w:val="00057E0C"/>
    <w:rsid w:val="0006012F"/>
    <w:rsid w:val="00060D39"/>
    <w:rsid w:val="00061B74"/>
    <w:rsid w:val="00061D61"/>
    <w:rsid w:val="00062059"/>
    <w:rsid w:val="0006242E"/>
    <w:rsid w:val="0006263A"/>
    <w:rsid w:val="00062FC7"/>
    <w:rsid w:val="0006362F"/>
    <w:rsid w:val="00063731"/>
    <w:rsid w:val="000638EB"/>
    <w:rsid w:val="00063C64"/>
    <w:rsid w:val="000644F2"/>
    <w:rsid w:val="00064A7D"/>
    <w:rsid w:val="00064F89"/>
    <w:rsid w:val="00065410"/>
    <w:rsid w:val="00065621"/>
    <w:rsid w:val="0006563F"/>
    <w:rsid w:val="00065B85"/>
    <w:rsid w:val="00065BC2"/>
    <w:rsid w:val="00065C6F"/>
    <w:rsid w:val="000661EC"/>
    <w:rsid w:val="00066540"/>
    <w:rsid w:val="000666B7"/>
    <w:rsid w:val="0006692D"/>
    <w:rsid w:val="00066ECD"/>
    <w:rsid w:val="000670EA"/>
    <w:rsid w:val="000672C0"/>
    <w:rsid w:val="00067EF3"/>
    <w:rsid w:val="0007014C"/>
    <w:rsid w:val="000702A3"/>
    <w:rsid w:val="000706C7"/>
    <w:rsid w:val="00070D1D"/>
    <w:rsid w:val="000711A3"/>
    <w:rsid w:val="000711FC"/>
    <w:rsid w:val="00071375"/>
    <w:rsid w:val="00071540"/>
    <w:rsid w:val="000715D2"/>
    <w:rsid w:val="00071756"/>
    <w:rsid w:val="000718A7"/>
    <w:rsid w:val="00071953"/>
    <w:rsid w:val="00071E84"/>
    <w:rsid w:val="00071F20"/>
    <w:rsid w:val="00072171"/>
    <w:rsid w:val="000721CC"/>
    <w:rsid w:val="00072581"/>
    <w:rsid w:val="00072A5E"/>
    <w:rsid w:val="00072CEC"/>
    <w:rsid w:val="00072D5D"/>
    <w:rsid w:val="0007307F"/>
    <w:rsid w:val="000732C1"/>
    <w:rsid w:val="000734E5"/>
    <w:rsid w:val="0007379D"/>
    <w:rsid w:val="0007382B"/>
    <w:rsid w:val="00073965"/>
    <w:rsid w:val="00073FBC"/>
    <w:rsid w:val="0007401A"/>
    <w:rsid w:val="0007472F"/>
    <w:rsid w:val="00074AF1"/>
    <w:rsid w:val="00074AF8"/>
    <w:rsid w:val="00074C1F"/>
    <w:rsid w:val="00074E42"/>
    <w:rsid w:val="00074EC5"/>
    <w:rsid w:val="00074EE4"/>
    <w:rsid w:val="000750E3"/>
    <w:rsid w:val="000752CD"/>
    <w:rsid w:val="000753E2"/>
    <w:rsid w:val="00075430"/>
    <w:rsid w:val="00075474"/>
    <w:rsid w:val="00075582"/>
    <w:rsid w:val="00075DC9"/>
    <w:rsid w:val="00076703"/>
    <w:rsid w:val="00076CFA"/>
    <w:rsid w:val="00076F07"/>
    <w:rsid w:val="000773FD"/>
    <w:rsid w:val="00077583"/>
    <w:rsid w:val="00077CF7"/>
    <w:rsid w:val="00080E30"/>
    <w:rsid w:val="000815BB"/>
    <w:rsid w:val="00081A43"/>
    <w:rsid w:val="0008257C"/>
    <w:rsid w:val="00082A6A"/>
    <w:rsid w:val="00082AFD"/>
    <w:rsid w:val="00083849"/>
    <w:rsid w:val="00083BB6"/>
    <w:rsid w:val="00083C0C"/>
    <w:rsid w:val="00083FFB"/>
    <w:rsid w:val="0008453F"/>
    <w:rsid w:val="00084883"/>
    <w:rsid w:val="00084E6F"/>
    <w:rsid w:val="0008523A"/>
    <w:rsid w:val="00085F0D"/>
    <w:rsid w:val="0008662D"/>
    <w:rsid w:val="00086984"/>
    <w:rsid w:val="00086A80"/>
    <w:rsid w:val="00086C2E"/>
    <w:rsid w:val="00086D20"/>
    <w:rsid w:val="000872FD"/>
    <w:rsid w:val="00087755"/>
    <w:rsid w:val="0009000A"/>
    <w:rsid w:val="00090025"/>
    <w:rsid w:val="000907E2"/>
    <w:rsid w:val="00090C0E"/>
    <w:rsid w:val="00090ED9"/>
    <w:rsid w:val="0009129D"/>
    <w:rsid w:val="0009149E"/>
    <w:rsid w:val="00091A2A"/>
    <w:rsid w:val="00091C1D"/>
    <w:rsid w:val="00092752"/>
    <w:rsid w:val="000928D7"/>
    <w:rsid w:val="0009297A"/>
    <w:rsid w:val="00092D73"/>
    <w:rsid w:val="00092DD1"/>
    <w:rsid w:val="000930CF"/>
    <w:rsid w:val="000937C2"/>
    <w:rsid w:val="0009390C"/>
    <w:rsid w:val="00093DA2"/>
    <w:rsid w:val="00093EE4"/>
    <w:rsid w:val="00094179"/>
    <w:rsid w:val="000947C0"/>
    <w:rsid w:val="00094D6A"/>
    <w:rsid w:val="000950C0"/>
    <w:rsid w:val="00095787"/>
    <w:rsid w:val="00095A44"/>
    <w:rsid w:val="000963C3"/>
    <w:rsid w:val="00096D8A"/>
    <w:rsid w:val="00096F34"/>
    <w:rsid w:val="0009766A"/>
    <w:rsid w:val="0009786E"/>
    <w:rsid w:val="00097EC4"/>
    <w:rsid w:val="000A04D8"/>
    <w:rsid w:val="000A1DB1"/>
    <w:rsid w:val="000A217F"/>
    <w:rsid w:val="000A228E"/>
    <w:rsid w:val="000A2491"/>
    <w:rsid w:val="000A259D"/>
    <w:rsid w:val="000A2C7F"/>
    <w:rsid w:val="000A2F78"/>
    <w:rsid w:val="000A3579"/>
    <w:rsid w:val="000A4301"/>
    <w:rsid w:val="000A4ED0"/>
    <w:rsid w:val="000A4ED1"/>
    <w:rsid w:val="000A5CCE"/>
    <w:rsid w:val="000A65B9"/>
    <w:rsid w:val="000A6670"/>
    <w:rsid w:val="000A726A"/>
    <w:rsid w:val="000A7953"/>
    <w:rsid w:val="000A7A24"/>
    <w:rsid w:val="000B0133"/>
    <w:rsid w:val="000B1A47"/>
    <w:rsid w:val="000B1B37"/>
    <w:rsid w:val="000B1BDD"/>
    <w:rsid w:val="000B2113"/>
    <w:rsid w:val="000B226C"/>
    <w:rsid w:val="000B2914"/>
    <w:rsid w:val="000B2A64"/>
    <w:rsid w:val="000B2B92"/>
    <w:rsid w:val="000B2DA0"/>
    <w:rsid w:val="000B2E92"/>
    <w:rsid w:val="000B30CA"/>
    <w:rsid w:val="000B3448"/>
    <w:rsid w:val="000B360C"/>
    <w:rsid w:val="000B3750"/>
    <w:rsid w:val="000B37F9"/>
    <w:rsid w:val="000B4117"/>
    <w:rsid w:val="000B5017"/>
    <w:rsid w:val="000B5E99"/>
    <w:rsid w:val="000B61F9"/>
    <w:rsid w:val="000B7009"/>
    <w:rsid w:val="000B74F0"/>
    <w:rsid w:val="000B7E9C"/>
    <w:rsid w:val="000B7EC6"/>
    <w:rsid w:val="000C00AA"/>
    <w:rsid w:val="000C03D3"/>
    <w:rsid w:val="000C03EC"/>
    <w:rsid w:val="000C066A"/>
    <w:rsid w:val="000C076B"/>
    <w:rsid w:val="000C0D22"/>
    <w:rsid w:val="000C0EE5"/>
    <w:rsid w:val="000C1295"/>
    <w:rsid w:val="000C1350"/>
    <w:rsid w:val="000C1715"/>
    <w:rsid w:val="000C1771"/>
    <w:rsid w:val="000C17CD"/>
    <w:rsid w:val="000C1AD1"/>
    <w:rsid w:val="000C1C52"/>
    <w:rsid w:val="000C1C92"/>
    <w:rsid w:val="000C26B0"/>
    <w:rsid w:val="000C26F8"/>
    <w:rsid w:val="000C2CB3"/>
    <w:rsid w:val="000C2FF2"/>
    <w:rsid w:val="000C3B63"/>
    <w:rsid w:val="000C3EC9"/>
    <w:rsid w:val="000C4980"/>
    <w:rsid w:val="000C4F56"/>
    <w:rsid w:val="000C5A3A"/>
    <w:rsid w:val="000C5CA6"/>
    <w:rsid w:val="000C5E48"/>
    <w:rsid w:val="000C66B4"/>
    <w:rsid w:val="000C6B49"/>
    <w:rsid w:val="000C7198"/>
    <w:rsid w:val="000C74E6"/>
    <w:rsid w:val="000C774C"/>
    <w:rsid w:val="000C7E5C"/>
    <w:rsid w:val="000D007C"/>
    <w:rsid w:val="000D0C1F"/>
    <w:rsid w:val="000D0DFA"/>
    <w:rsid w:val="000D109C"/>
    <w:rsid w:val="000D143B"/>
    <w:rsid w:val="000D149F"/>
    <w:rsid w:val="000D199A"/>
    <w:rsid w:val="000D20B8"/>
    <w:rsid w:val="000D2425"/>
    <w:rsid w:val="000D25FC"/>
    <w:rsid w:val="000D3056"/>
    <w:rsid w:val="000D30F9"/>
    <w:rsid w:val="000D342D"/>
    <w:rsid w:val="000D36FE"/>
    <w:rsid w:val="000D3E21"/>
    <w:rsid w:val="000D40FD"/>
    <w:rsid w:val="000D422D"/>
    <w:rsid w:val="000D5572"/>
    <w:rsid w:val="000D56B0"/>
    <w:rsid w:val="000D572D"/>
    <w:rsid w:val="000D5B1C"/>
    <w:rsid w:val="000D5FB4"/>
    <w:rsid w:val="000D6342"/>
    <w:rsid w:val="000D690F"/>
    <w:rsid w:val="000D6FCF"/>
    <w:rsid w:val="000D6FE0"/>
    <w:rsid w:val="000D733B"/>
    <w:rsid w:val="000D748A"/>
    <w:rsid w:val="000D7D44"/>
    <w:rsid w:val="000D7EB1"/>
    <w:rsid w:val="000E00B6"/>
    <w:rsid w:val="000E01C4"/>
    <w:rsid w:val="000E07FF"/>
    <w:rsid w:val="000E0BC0"/>
    <w:rsid w:val="000E1036"/>
    <w:rsid w:val="000E108E"/>
    <w:rsid w:val="000E1189"/>
    <w:rsid w:val="000E139B"/>
    <w:rsid w:val="000E139E"/>
    <w:rsid w:val="000E1BC7"/>
    <w:rsid w:val="000E1CAD"/>
    <w:rsid w:val="000E2089"/>
    <w:rsid w:val="000E25F4"/>
    <w:rsid w:val="000E2606"/>
    <w:rsid w:val="000E2942"/>
    <w:rsid w:val="000E2952"/>
    <w:rsid w:val="000E2FF6"/>
    <w:rsid w:val="000E3481"/>
    <w:rsid w:val="000E37D6"/>
    <w:rsid w:val="000E38B8"/>
    <w:rsid w:val="000E39B6"/>
    <w:rsid w:val="000E3EE2"/>
    <w:rsid w:val="000E48E3"/>
    <w:rsid w:val="000E4D2C"/>
    <w:rsid w:val="000E52EE"/>
    <w:rsid w:val="000E54C9"/>
    <w:rsid w:val="000E5681"/>
    <w:rsid w:val="000E5842"/>
    <w:rsid w:val="000E7ED8"/>
    <w:rsid w:val="000F02E0"/>
    <w:rsid w:val="000F04EC"/>
    <w:rsid w:val="000F0790"/>
    <w:rsid w:val="000F09EE"/>
    <w:rsid w:val="000F0C7E"/>
    <w:rsid w:val="000F0F81"/>
    <w:rsid w:val="000F2471"/>
    <w:rsid w:val="000F26C4"/>
    <w:rsid w:val="000F28AA"/>
    <w:rsid w:val="000F2986"/>
    <w:rsid w:val="000F2CC7"/>
    <w:rsid w:val="000F3C67"/>
    <w:rsid w:val="000F4980"/>
    <w:rsid w:val="000F5110"/>
    <w:rsid w:val="000F6C4D"/>
    <w:rsid w:val="000F75CC"/>
    <w:rsid w:val="001000AE"/>
    <w:rsid w:val="00100501"/>
    <w:rsid w:val="00100EB1"/>
    <w:rsid w:val="001010F0"/>
    <w:rsid w:val="00101599"/>
    <w:rsid w:val="001017A3"/>
    <w:rsid w:val="00102BFD"/>
    <w:rsid w:val="001031C9"/>
    <w:rsid w:val="001031F7"/>
    <w:rsid w:val="001033EE"/>
    <w:rsid w:val="00103410"/>
    <w:rsid w:val="00103527"/>
    <w:rsid w:val="00103593"/>
    <w:rsid w:val="001037D6"/>
    <w:rsid w:val="001038C1"/>
    <w:rsid w:val="001048F6"/>
    <w:rsid w:val="00104BC8"/>
    <w:rsid w:val="001059C6"/>
    <w:rsid w:val="0010685F"/>
    <w:rsid w:val="0010738F"/>
    <w:rsid w:val="00107B1C"/>
    <w:rsid w:val="001105E4"/>
    <w:rsid w:val="00110BEC"/>
    <w:rsid w:val="00110DF6"/>
    <w:rsid w:val="00110DFC"/>
    <w:rsid w:val="00111329"/>
    <w:rsid w:val="00111701"/>
    <w:rsid w:val="00111D04"/>
    <w:rsid w:val="00111EA6"/>
    <w:rsid w:val="0011208C"/>
    <w:rsid w:val="00112485"/>
    <w:rsid w:val="0011291A"/>
    <w:rsid w:val="001129DE"/>
    <w:rsid w:val="00112D5A"/>
    <w:rsid w:val="00113A31"/>
    <w:rsid w:val="00113CC9"/>
    <w:rsid w:val="00113DBE"/>
    <w:rsid w:val="00114358"/>
    <w:rsid w:val="00114ADD"/>
    <w:rsid w:val="00114D0A"/>
    <w:rsid w:val="00114D9B"/>
    <w:rsid w:val="00115071"/>
    <w:rsid w:val="001155CE"/>
    <w:rsid w:val="001161DD"/>
    <w:rsid w:val="00116331"/>
    <w:rsid w:val="001166B6"/>
    <w:rsid w:val="00117149"/>
    <w:rsid w:val="00117C04"/>
    <w:rsid w:val="00117CF2"/>
    <w:rsid w:val="00120A24"/>
    <w:rsid w:val="0012150E"/>
    <w:rsid w:val="001215E9"/>
    <w:rsid w:val="00121ABA"/>
    <w:rsid w:val="00122DB4"/>
    <w:rsid w:val="00123121"/>
    <w:rsid w:val="00123EB6"/>
    <w:rsid w:val="00124190"/>
    <w:rsid w:val="001242F2"/>
    <w:rsid w:val="00124F07"/>
    <w:rsid w:val="00125174"/>
    <w:rsid w:val="00125216"/>
    <w:rsid w:val="00125230"/>
    <w:rsid w:val="001252BB"/>
    <w:rsid w:val="00125533"/>
    <w:rsid w:val="0012660A"/>
    <w:rsid w:val="00126C42"/>
    <w:rsid w:val="00126FB6"/>
    <w:rsid w:val="00127473"/>
    <w:rsid w:val="001276C9"/>
    <w:rsid w:val="001278E3"/>
    <w:rsid w:val="00127B84"/>
    <w:rsid w:val="00127E64"/>
    <w:rsid w:val="001301DC"/>
    <w:rsid w:val="001305A5"/>
    <w:rsid w:val="00130A23"/>
    <w:rsid w:val="0013111B"/>
    <w:rsid w:val="00131262"/>
    <w:rsid w:val="00131564"/>
    <w:rsid w:val="001316B6"/>
    <w:rsid w:val="0013178F"/>
    <w:rsid w:val="00131B23"/>
    <w:rsid w:val="001324C8"/>
    <w:rsid w:val="001326A7"/>
    <w:rsid w:val="0013275A"/>
    <w:rsid w:val="00132D2F"/>
    <w:rsid w:val="0013301A"/>
    <w:rsid w:val="00133147"/>
    <w:rsid w:val="00133386"/>
    <w:rsid w:val="0013339B"/>
    <w:rsid w:val="00133A3B"/>
    <w:rsid w:val="00133F63"/>
    <w:rsid w:val="0013453F"/>
    <w:rsid w:val="0013484D"/>
    <w:rsid w:val="00134DCD"/>
    <w:rsid w:val="001352CB"/>
    <w:rsid w:val="00135431"/>
    <w:rsid w:val="001358FE"/>
    <w:rsid w:val="00136211"/>
    <w:rsid w:val="00136570"/>
    <w:rsid w:val="001366DC"/>
    <w:rsid w:val="00136F8E"/>
    <w:rsid w:val="00137662"/>
    <w:rsid w:val="0013775C"/>
    <w:rsid w:val="00137D9F"/>
    <w:rsid w:val="001400E6"/>
    <w:rsid w:val="001402BD"/>
    <w:rsid w:val="0014052B"/>
    <w:rsid w:val="00140C5A"/>
    <w:rsid w:val="00140D48"/>
    <w:rsid w:val="001413F8"/>
    <w:rsid w:val="001424EF"/>
    <w:rsid w:val="0014293F"/>
    <w:rsid w:val="00142F7A"/>
    <w:rsid w:val="001431B0"/>
    <w:rsid w:val="001435B4"/>
    <w:rsid w:val="00143B84"/>
    <w:rsid w:val="00143F94"/>
    <w:rsid w:val="001443F2"/>
    <w:rsid w:val="00144B10"/>
    <w:rsid w:val="00144BCC"/>
    <w:rsid w:val="00144C53"/>
    <w:rsid w:val="0014590D"/>
    <w:rsid w:val="001459D8"/>
    <w:rsid w:val="00145EE2"/>
    <w:rsid w:val="00146556"/>
    <w:rsid w:val="001466EB"/>
    <w:rsid w:val="00146A7E"/>
    <w:rsid w:val="00146BDE"/>
    <w:rsid w:val="00146E45"/>
    <w:rsid w:val="00147102"/>
    <w:rsid w:val="001471D6"/>
    <w:rsid w:val="0014726E"/>
    <w:rsid w:val="0014755E"/>
    <w:rsid w:val="001477E5"/>
    <w:rsid w:val="001502CE"/>
    <w:rsid w:val="00150345"/>
    <w:rsid w:val="001507FB"/>
    <w:rsid w:val="00150AE5"/>
    <w:rsid w:val="0015148D"/>
    <w:rsid w:val="0015186A"/>
    <w:rsid w:val="00151CF6"/>
    <w:rsid w:val="00151D19"/>
    <w:rsid w:val="00152202"/>
    <w:rsid w:val="001522B2"/>
    <w:rsid w:val="001524C6"/>
    <w:rsid w:val="001526D5"/>
    <w:rsid w:val="001526D8"/>
    <w:rsid w:val="0015272C"/>
    <w:rsid w:val="00152D02"/>
    <w:rsid w:val="00152D68"/>
    <w:rsid w:val="001532A9"/>
    <w:rsid w:val="0015352B"/>
    <w:rsid w:val="00153718"/>
    <w:rsid w:val="001539B6"/>
    <w:rsid w:val="00153B18"/>
    <w:rsid w:val="00154441"/>
    <w:rsid w:val="0015448B"/>
    <w:rsid w:val="00154703"/>
    <w:rsid w:val="001549A1"/>
    <w:rsid w:val="00155A18"/>
    <w:rsid w:val="00155E2C"/>
    <w:rsid w:val="00156150"/>
    <w:rsid w:val="00156B18"/>
    <w:rsid w:val="00156EA3"/>
    <w:rsid w:val="001571A1"/>
    <w:rsid w:val="001573C3"/>
    <w:rsid w:val="001575AB"/>
    <w:rsid w:val="00157AB2"/>
    <w:rsid w:val="00157CAC"/>
    <w:rsid w:val="00160179"/>
    <w:rsid w:val="001607F9"/>
    <w:rsid w:val="00160B8D"/>
    <w:rsid w:val="00161249"/>
    <w:rsid w:val="0016135E"/>
    <w:rsid w:val="001614E0"/>
    <w:rsid w:val="00161E1A"/>
    <w:rsid w:val="00162856"/>
    <w:rsid w:val="00162863"/>
    <w:rsid w:val="001629BF"/>
    <w:rsid w:val="00162A57"/>
    <w:rsid w:val="00162D21"/>
    <w:rsid w:val="001630E1"/>
    <w:rsid w:val="001631AB"/>
    <w:rsid w:val="0016363B"/>
    <w:rsid w:val="00163CA2"/>
    <w:rsid w:val="001640C5"/>
    <w:rsid w:val="0016432E"/>
    <w:rsid w:val="00164336"/>
    <w:rsid w:val="001645E5"/>
    <w:rsid w:val="00164869"/>
    <w:rsid w:val="00164C45"/>
    <w:rsid w:val="00164DBD"/>
    <w:rsid w:val="0016524D"/>
    <w:rsid w:val="001655E6"/>
    <w:rsid w:val="00165706"/>
    <w:rsid w:val="00165AC4"/>
    <w:rsid w:val="00166169"/>
    <w:rsid w:val="00166226"/>
    <w:rsid w:val="0016629B"/>
    <w:rsid w:val="001666A3"/>
    <w:rsid w:val="00166763"/>
    <w:rsid w:val="00166C23"/>
    <w:rsid w:val="00167295"/>
    <w:rsid w:val="00167B54"/>
    <w:rsid w:val="00167BBD"/>
    <w:rsid w:val="0017000A"/>
    <w:rsid w:val="001709D7"/>
    <w:rsid w:val="00170C6C"/>
    <w:rsid w:val="00171235"/>
    <w:rsid w:val="00171741"/>
    <w:rsid w:val="00171A0E"/>
    <w:rsid w:val="00171D83"/>
    <w:rsid w:val="00172071"/>
    <w:rsid w:val="001720C1"/>
    <w:rsid w:val="001721AB"/>
    <w:rsid w:val="00172262"/>
    <w:rsid w:val="00172421"/>
    <w:rsid w:val="00172501"/>
    <w:rsid w:val="00172D06"/>
    <w:rsid w:val="0017384B"/>
    <w:rsid w:val="00173AF4"/>
    <w:rsid w:val="00173B02"/>
    <w:rsid w:val="00173BE7"/>
    <w:rsid w:val="00173DD5"/>
    <w:rsid w:val="00173EC0"/>
    <w:rsid w:val="001740AB"/>
    <w:rsid w:val="00174227"/>
    <w:rsid w:val="0017454F"/>
    <w:rsid w:val="00175126"/>
    <w:rsid w:val="00175351"/>
    <w:rsid w:val="0017536A"/>
    <w:rsid w:val="001758DB"/>
    <w:rsid w:val="00175E21"/>
    <w:rsid w:val="00175EF0"/>
    <w:rsid w:val="001764F5"/>
    <w:rsid w:val="0017789E"/>
    <w:rsid w:val="00177CCA"/>
    <w:rsid w:val="00177D80"/>
    <w:rsid w:val="001808B4"/>
    <w:rsid w:val="001808D9"/>
    <w:rsid w:val="00180BBF"/>
    <w:rsid w:val="00180DB1"/>
    <w:rsid w:val="001812C8"/>
    <w:rsid w:val="001816C3"/>
    <w:rsid w:val="001820B6"/>
    <w:rsid w:val="0018234F"/>
    <w:rsid w:val="00182836"/>
    <w:rsid w:val="00183938"/>
    <w:rsid w:val="00183940"/>
    <w:rsid w:val="00183A10"/>
    <w:rsid w:val="00183BD0"/>
    <w:rsid w:val="00184018"/>
    <w:rsid w:val="00184B41"/>
    <w:rsid w:val="00185312"/>
    <w:rsid w:val="0018580E"/>
    <w:rsid w:val="00185816"/>
    <w:rsid w:val="00185F71"/>
    <w:rsid w:val="00186393"/>
    <w:rsid w:val="00186694"/>
    <w:rsid w:val="001868D1"/>
    <w:rsid w:val="00186CE4"/>
    <w:rsid w:val="00187402"/>
    <w:rsid w:val="0018749B"/>
    <w:rsid w:val="00187A4F"/>
    <w:rsid w:val="00187C1D"/>
    <w:rsid w:val="001904EE"/>
    <w:rsid w:val="00190757"/>
    <w:rsid w:val="0019076A"/>
    <w:rsid w:val="001909DB"/>
    <w:rsid w:val="00190A5A"/>
    <w:rsid w:val="00190C08"/>
    <w:rsid w:val="001910A3"/>
    <w:rsid w:val="001916DD"/>
    <w:rsid w:val="001916DF"/>
    <w:rsid w:val="00191750"/>
    <w:rsid w:val="00191769"/>
    <w:rsid w:val="00191B5B"/>
    <w:rsid w:val="00191BD1"/>
    <w:rsid w:val="00192CED"/>
    <w:rsid w:val="00194984"/>
    <w:rsid w:val="00194C8E"/>
    <w:rsid w:val="00195CA2"/>
    <w:rsid w:val="00195FC8"/>
    <w:rsid w:val="0019630D"/>
    <w:rsid w:val="00196957"/>
    <w:rsid w:val="00196FA3"/>
    <w:rsid w:val="00197083"/>
    <w:rsid w:val="0019721D"/>
    <w:rsid w:val="00197549"/>
    <w:rsid w:val="001979EB"/>
    <w:rsid w:val="00197CCF"/>
    <w:rsid w:val="001A0169"/>
    <w:rsid w:val="001A04E2"/>
    <w:rsid w:val="001A08FB"/>
    <w:rsid w:val="001A0D10"/>
    <w:rsid w:val="001A0E54"/>
    <w:rsid w:val="001A0EB7"/>
    <w:rsid w:val="001A0EC5"/>
    <w:rsid w:val="001A1321"/>
    <w:rsid w:val="001A13B0"/>
    <w:rsid w:val="001A1D27"/>
    <w:rsid w:val="001A1DF8"/>
    <w:rsid w:val="001A1FDC"/>
    <w:rsid w:val="001A22AF"/>
    <w:rsid w:val="001A2509"/>
    <w:rsid w:val="001A2572"/>
    <w:rsid w:val="001A313C"/>
    <w:rsid w:val="001A34E6"/>
    <w:rsid w:val="001A3AEC"/>
    <w:rsid w:val="001A4000"/>
    <w:rsid w:val="001A41DD"/>
    <w:rsid w:val="001A4AD6"/>
    <w:rsid w:val="001A4B2F"/>
    <w:rsid w:val="001A4E23"/>
    <w:rsid w:val="001A512D"/>
    <w:rsid w:val="001A5220"/>
    <w:rsid w:val="001A522F"/>
    <w:rsid w:val="001A54F0"/>
    <w:rsid w:val="001A5D8D"/>
    <w:rsid w:val="001A5F55"/>
    <w:rsid w:val="001A673C"/>
    <w:rsid w:val="001A67FC"/>
    <w:rsid w:val="001A6C86"/>
    <w:rsid w:val="001A7218"/>
    <w:rsid w:val="001A7385"/>
    <w:rsid w:val="001B0013"/>
    <w:rsid w:val="001B0406"/>
    <w:rsid w:val="001B0810"/>
    <w:rsid w:val="001B1511"/>
    <w:rsid w:val="001B1D2D"/>
    <w:rsid w:val="001B2292"/>
    <w:rsid w:val="001B22BD"/>
    <w:rsid w:val="001B2D01"/>
    <w:rsid w:val="001B2E90"/>
    <w:rsid w:val="001B2F23"/>
    <w:rsid w:val="001B2F48"/>
    <w:rsid w:val="001B2F94"/>
    <w:rsid w:val="001B4164"/>
    <w:rsid w:val="001B45A2"/>
    <w:rsid w:val="001B4814"/>
    <w:rsid w:val="001B5103"/>
    <w:rsid w:val="001B5305"/>
    <w:rsid w:val="001B563C"/>
    <w:rsid w:val="001B578E"/>
    <w:rsid w:val="001B58AD"/>
    <w:rsid w:val="001B750F"/>
    <w:rsid w:val="001B7535"/>
    <w:rsid w:val="001B7591"/>
    <w:rsid w:val="001B7726"/>
    <w:rsid w:val="001B7A59"/>
    <w:rsid w:val="001B7B72"/>
    <w:rsid w:val="001B7C25"/>
    <w:rsid w:val="001B7C7B"/>
    <w:rsid w:val="001C013D"/>
    <w:rsid w:val="001C0AC3"/>
    <w:rsid w:val="001C157B"/>
    <w:rsid w:val="001C1FF7"/>
    <w:rsid w:val="001C2A46"/>
    <w:rsid w:val="001C2BE3"/>
    <w:rsid w:val="001C35B5"/>
    <w:rsid w:val="001C522A"/>
    <w:rsid w:val="001C5A16"/>
    <w:rsid w:val="001C5ADA"/>
    <w:rsid w:val="001C5FED"/>
    <w:rsid w:val="001C5FEE"/>
    <w:rsid w:val="001C6004"/>
    <w:rsid w:val="001C61CC"/>
    <w:rsid w:val="001C77C0"/>
    <w:rsid w:val="001C7838"/>
    <w:rsid w:val="001D13B6"/>
    <w:rsid w:val="001D1413"/>
    <w:rsid w:val="001D144F"/>
    <w:rsid w:val="001D1836"/>
    <w:rsid w:val="001D184B"/>
    <w:rsid w:val="001D1AA8"/>
    <w:rsid w:val="001D1C28"/>
    <w:rsid w:val="001D2956"/>
    <w:rsid w:val="001D2B06"/>
    <w:rsid w:val="001D3482"/>
    <w:rsid w:val="001D361C"/>
    <w:rsid w:val="001D3B28"/>
    <w:rsid w:val="001D4286"/>
    <w:rsid w:val="001D505A"/>
    <w:rsid w:val="001D59D2"/>
    <w:rsid w:val="001D5AF1"/>
    <w:rsid w:val="001D5FE1"/>
    <w:rsid w:val="001D6320"/>
    <w:rsid w:val="001D6345"/>
    <w:rsid w:val="001D647F"/>
    <w:rsid w:val="001D6BE1"/>
    <w:rsid w:val="001D6E4F"/>
    <w:rsid w:val="001D7009"/>
    <w:rsid w:val="001D717B"/>
    <w:rsid w:val="001D736D"/>
    <w:rsid w:val="001D79BF"/>
    <w:rsid w:val="001D7A9B"/>
    <w:rsid w:val="001D7D82"/>
    <w:rsid w:val="001D7F57"/>
    <w:rsid w:val="001E0189"/>
    <w:rsid w:val="001E03B3"/>
    <w:rsid w:val="001E03F4"/>
    <w:rsid w:val="001E05AB"/>
    <w:rsid w:val="001E0810"/>
    <w:rsid w:val="001E0C8C"/>
    <w:rsid w:val="001E1023"/>
    <w:rsid w:val="001E1ADB"/>
    <w:rsid w:val="001E1CC1"/>
    <w:rsid w:val="001E1E68"/>
    <w:rsid w:val="001E2179"/>
    <w:rsid w:val="001E2333"/>
    <w:rsid w:val="001E24F5"/>
    <w:rsid w:val="001E2E41"/>
    <w:rsid w:val="001E3114"/>
    <w:rsid w:val="001E3707"/>
    <w:rsid w:val="001E3A0A"/>
    <w:rsid w:val="001E3EF5"/>
    <w:rsid w:val="001E4456"/>
    <w:rsid w:val="001E4A3D"/>
    <w:rsid w:val="001E4BF8"/>
    <w:rsid w:val="001E4C31"/>
    <w:rsid w:val="001E5019"/>
    <w:rsid w:val="001E565E"/>
    <w:rsid w:val="001E5732"/>
    <w:rsid w:val="001E62A8"/>
    <w:rsid w:val="001E6310"/>
    <w:rsid w:val="001E6CC6"/>
    <w:rsid w:val="001E703F"/>
    <w:rsid w:val="001E7131"/>
    <w:rsid w:val="001E7274"/>
    <w:rsid w:val="001E727E"/>
    <w:rsid w:val="001E737D"/>
    <w:rsid w:val="001E7F50"/>
    <w:rsid w:val="001F0372"/>
    <w:rsid w:val="001F04C2"/>
    <w:rsid w:val="001F14EB"/>
    <w:rsid w:val="001F15E2"/>
    <w:rsid w:val="001F17AC"/>
    <w:rsid w:val="001F3452"/>
    <w:rsid w:val="001F370E"/>
    <w:rsid w:val="001F44A0"/>
    <w:rsid w:val="001F4630"/>
    <w:rsid w:val="001F4B5A"/>
    <w:rsid w:val="001F59E0"/>
    <w:rsid w:val="001F6419"/>
    <w:rsid w:val="001F6AAA"/>
    <w:rsid w:val="001F6F21"/>
    <w:rsid w:val="001F71B5"/>
    <w:rsid w:val="001F76F9"/>
    <w:rsid w:val="001F7E91"/>
    <w:rsid w:val="0020007E"/>
    <w:rsid w:val="00200E4F"/>
    <w:rsid w:val="00201CEC"/>
    <w:rsid w:val="00201DE5"/>
    <w:rsid w:val="00201E07"/>
    <w:rsid w:val="0020212C"/>
    <w:rsid w:val="0020231E"/>
    <w:rsid w:val="002024FE"/>
    <w:rsid w:val="0020271D"/>
    <w:rsid w:val="00202771"/>
    <w:rsid w:val="00202B12"/>
    <w:rsid w:val="00202F34"/>
    <w:rsid w:val="002036B2"/>
    <w:rsid w:val="002038BA"/>
    <w:rsid w:val="00203AF6"/>
    <w:rsid w:val="002044C7"/>
    <w:rsid w:val="00204662"/>
    <w:rsid w:val="0020472B"/>
    <w:rsid w:val="00204B1F"/>
    <w:rsid w:val="00204BB7"/>
    <w:rsid w:val="00206949"/>
    <w:rsid w:val="00207530"/>
    <w:rsid w:val="00207EF7"/>
    <w:rsid w:val="00210254"/>
    <w:rsid w:val="00210719"/>
    <w:rsid w:val="002107C8"/>
    <w:rsid w:val="002111F8"/>
    <w:rsid w:val="0021135B"/>
    <w:rsid w:val="00212201"/>
    <w:rsid w:val="002124B9"/>
    <w:rsid w:val="002124E4"/>
    <w:rsid w:val="00212BAF"/>
    <w:rsid w:val="00212D76"/>
    <w:rsid w:val="002134C9"/>
    <w:rsid w:val="00213561"/>
    <w:rsid w:val="00213814"/>
    <w:rsid w:val="00213B58"/>
    <w:rsid w:val="00213F33"/>
    <w:rsid w:val="002146F7"/>
    <w:rsid w:val="00214BA0"/>
    <w:rsid w:val="00214F83"/>
    <w:rsid w:val="002158DB"/>
    <w:rsid w:val="00215DFD"/>
    <w:rsid w:val="00216119"/>
    <w:rsid w:val="002167B7"/>
    <w:rsid w:val="00216A09"/>
    <w:rsid w:val="002172F8"/>
    <w:rsid w:val="00217672"/>
    <w:rsid w:val="002176C3"/>
    <w:rsid w:val="002178D7"/>
    <w:rsid w:val="00217D47"/>
    <w:rsid w:val="0022117C"/>
    <w:rsid w:val="0022130F"/>
    <w:rsid w:val="002219E8"/>
    <w:rsid w:val="0022263D"/>
    <w:rsid w:val="002227D0"/>
    <w:rsid w:val="00222F4D"/>
    <w:rsid w:val="0022317E"/>
    <w:rsid w:val="0022342F"/>
    <w:rsid w:val="00223522"/>
    <w:rsid w:val="00223952"/>
    <w:rsid w:val="00223C81"/>
    <w:rsid w:val="00223CA1"/>
    <w:rsid w:val="002245CC"/>
    <w:rsid w:val="00224777"/>
    <w:rsid w:val="00224E50"/>
    <w:rsid w:val="00224F1B"/>
    <w:rsid w:val="00224F79"/>
    <w:rsid w:val="00225174"/>
    <w:rsid w:val="00225320"/>
    <w:rsid w:val="0022556D"/>
    <w:rsid w:val="0022566C"/>
    <w:rsid w:val="002261A9"/>
    <w:rsid w:val="002264E1"/>
    <w:rsid w:val="002264E8"/>
    <w:rsid w:val="00226827"/>
    <w:rsid w:val="00226A1A"/>
    <w:rsid w:val="00226A61"/>
    <w:rsid w:val="00226D9D"/>
    <w:rsid w:val="00227681"/>
    <w:rsid w:val="00227BE9"/>
    <w:rsid w:val="00227D41"/>
    <w:rsid w:val="002301A1"/>
    <w:rsid w:val="0023088D"/>
    <w:rsid w:val="00230BB6"/>
    <w:rsid w:val="00231F71"/>
    <w:rsid w:val="00232061"/>
    <w:rsid w:val="002320DD"/>
    <w:rsid w:val="00232154"/>
    <w:rsid w:val="002321FB"/>
    <w:rsid w:val="002323B4"/>
    <w:rsid w:val="0023297F"/>
    <w:rsid w:val="00232DAB"/>
    <w:rsid w:val="00232DEE"/>
    <w:rsid w:val="00234067"/>
    <w:rsid w:val="00234298"/>
    <w:rsid w:val="00234B67"/>
    <w:rsid w:val="00235603"/>
    <w:rsid w:val="00235CC8"/>
    <w:rsid w:val="00235DB8"/>
    <w:rsid w:val="00236818"/>
    <w:rsid w:val="00236A4C"/>
    <w:rsid w:val="00237B7F"/>
    <w:rsid w:val="00237D74"/>
    <w:rsid w:val="0024011D"/>
    <w:rsid w:val="00240183"/>
    <w:rsid w:val="0024057B"/>
    <w:rsid w:val="002408FF"/>
    <w:rsid w:val="00240BA7"/>
    <w:rsid w:val="00240F54"/>
    <w:rsid w:val="00241599"/>
    <w:rsid w:val="00241982"/>
    <w:rsid w:val="00242557"/>
    <w:rsid w:val="0024356A"/>
    <w:rsid w:val="002439B9"/>
    <w:rsid w:val="00243F98"/>
    <w:rsid w:val="002440DB"/>
    <w:rsid w:val="0024488E"/>
    <w:rsid w:val="00244B5C"/>
    <w:rsid w:val="00245045"/>
    <w:rsid w:val="002450D9"/>
    <w:rsid w:val="0024514C"/>
    <w:rsid w:val="00245B5A"/>
    <w:rsid w:val="00245C14"/>
    <w:rsid w:val="00245C28"/>
    <w:rsid w:val="002461CE"/>
    <w:rsid w:val="0024629B"/>
    <w:rsid w:val="002462B1"/>
    <w:rsid w:val="002466A5"/>
    <w:rsid w:val="00246725"/>
    <w:rsid w:val="00246EEE"/>
    <w:rsid w:val="0024718A"/>
    <w:rsid w:val="002474E3"/>
    <w:rsid w:val="0024762E"/>
    <w:rsid w:val="00247A7C"/>
    <w:rsid w:val="002503D0"/>
    <w:rsid w:val="00250552"/>
    <w:rsid w:val="0025076D"/>
    <w:rsid w:val="00250882"/>
    <w:rsid w:val="00250B99"/>
    <w:rsid w:val="00250C26"/>
    <w:rsid w:val="00251830"/>
    <w:rsid w:val="002518C4"/>
    <w:rsid w:val="002522F6"/>
    <w:rsid w:val="002527FA"/>
    <w:rsid w:val="00252C03"/>
    <w:rsid w:val="00252F9E"/>
    <w:rsid w:val="00254220"/>
    <w:rsid w:val="00254A5B"/>
    <w:rsid w:val="00254D40"/>
    <w:rsid w:val="00254DF5"/>
    <w:rsid w:val="0025535F"/>
    <w:rsid w:val="00255417"/>
    <w:rsid w:val="002557AB"/>
    <w:rsid w:val="00256086"/>
    <w:rsid w:val="00256BA8"/>
    <w:rsid w:val="00256E0A"/>
    <w:rsid w:val="00257596"/>
    <w:rsid w:val="002578F1"/>
    <w:rsid w:val="00257956"/>
    <w:rsid w:val="00260590"/>
    <w:rsid w:val="00260DC6"/>
    <w:rsid w:val="002614B5"/>
    <w:rsid w:val="00261F60"/>
    <w:rsid w:val="00261FAB"/>
    <w:rsid w:val="00262838"/>
    <w:rsid w:val="00263093"/>
    <w:rsid w:val="002631DA"/>
    <w:rsid w:val="00263B53"/>
    <w:rsid w:val="00263CB9"/>
    <w:rsid w:val="00263FD5"/>
    <w:rsid w:val="00265315"/>
    <w:rsid w:val="0026538B"/>
    <w:rsid w:val="00265598"/>
    <w:rsid w:val="00265B3E"/>
    <w:rsid w:val="00265FD5"/>
    <w:rsid w:val="00266764"/>
    <w:rsid w:val="0026679E"/>
    <w:rsid w:val="0026689C"/>
    <w:rsid w:val="0026718F"/>
    <w:rsid w:val="00270483"/>
    <w:rsid w:val="00270711"/>
    <w:rsid w:val="00270963"/>
    <w:rsid w:val="002720F7"/>
    <w:rsid w:val="00272443"/>
    <w:rsid w:val="00272626"/>
    <w:rsid w:val="0027331D"/>
    <w:rsid w:val="00273615"/>
    <w:rsid w:val="00273F1C"/>
    <w:rsid w:val="00273F97"/>
    <w:rsid w:val="002740FD"/>
    <w:rsid w:val="00274391"/>
    <w:rsid w:val="0027447C"/>
    <w:rsid w:val="00274F8C"/>
    <w:rsid w:val="00275A92"/>
    <w:rsid w:val="00275B69"/>
    <w:rsid w:val="00275FC5"/>
    <w:rsid w:val="00276026"/>
    <w:rsid w:val="00276255"/>
    <w:rsid w:val="0027658A"/>
    <w:rsid w:val="00276804"/>
    <w:rsid w:val="00276907"/>
    <w:rsid w:val="00276E1B"/>
    <w:rsid w:val="00276FF0"/>
    <w:rsid w:val="00277224"/>
    <w:rsid w:val="002772D2"/>
    <w:rsid w:val="0027769C"/>
    <w:rsid w:val="0028077B"/>
    <w:rsid w:val="00280B90"/>
    <w:rsid w:val="002810E1"/>
    <w:rsid w:val="002819E9"/>
    <w:rsid w:val="0028234D"/>
    <w:rsid w:val="00282A4C"/>
    <w:rsid w:val="00282A91"/>
    <w:rsid w:val="00282ABC"/>
    <w:rsid w:val="00282F76"/>
    <w:rsid w:val="0028322B"/>
    <w:rsid w:val="00283518"/>
    <w:rsid w:val="0028389F"/>
    <w:rsid w:val="00283A90"/>
    <w:rsid w:val="00283B31"/>
    <w:rsid w:val="00283F6E"/>
    <w:rsid w:val="00284CCE"/>
    <w:rsid w:val="00284D05"/>
    <w:rsid w:val="00285133"/>
    <w:rsid w:val="002854AD"/>
    <w:rsid w:val="002855B0"/>
    <w:rsid w:val="00285E74"/>
    <w:rsid w:val="00285FFE"/>
    <w:rsid w:val="002860FC"/>
    <w:rsid w:val="002861EE"/>
    <w:rsid w:val="00286732"/>
    <w:rsid w:val="00286780"/>
    <w:rsid w:val="00286C1F"/>
    <w:rsid w:val="00286D73"/>
    <w:rsid w:val="0028708B"/>
    <w:rsid w:val="00287111"/>
    <w:rsid w:val="002878F7"/>
    <w:rsid w:val="0028796B"/>
    <w:rsid w:val="00287DFE"/>
    <w:rsid w:val="00290287"/>
    <w:rsid w:val="002907DA"/>
    <w:rsid w:val="00290CA3"/>
    <w:rsid w:val="00291B18"/>
    <w:rsid w:val="002925F9"/>
    <w:rsid w:val="002927C7"/>
    <w:rsid w:val="00293088"/>
    <w:rsid w:val="002934F0"/>
    <w:rsid w:val="002942DA"/>
    <w:rsid w:val="002945CF"/>
    <w:rsid w:val="00294AAB"/>
    <w:rsid w:val="00294BAA"/>
    <w:rsid w:val="00294E20"/>
    <w:rsid w:val="00294FB0"/>
    <w:rsid w:val="00295F66"/>
    <w:rsid w:val="00296225"/>
    <w:rsid w:val="00296412"/>
    <w:rsid w:val="002968CB"/>
    <w:rsid w:val="00296F0F"/>
    <w:rsid w:val="00297145"/>
    <w:rsid w:val="002976F0"/>
    <w:rsid w:val="00297BED"/>
    <w:rsid w:val="00297BFA"/>
    <w:rsid w:val="002A015C"/>
    <w:rsid w:val="002A05DE"/>
    <w:rsid w:val="002A07DB"/>
    <w:rsid w:val="002A0801"/>
    <w:rsid w:val="002A0F73"/>
    <w:rsid w:val="002A2012"/>
    <w:rsid w:val="002A220E"/>
    <w:rsid w:val="002A2DAC"/>
    <w:rsid w:val="002A2F74"/>
    <w:rsid w:val="002A30BA"/>
    <w:rsid w:val="002A339B"/>
    <w:rsid w:val="002A3F44"/>
    <w:rsid w:val="002A3F7B"/>
    <w:rsid w:val="002A4495"/>
    <w:rsid w:val="002A4A1E"/>
    <w:rsid w:val="002A4DDE"/>
    <w:rsid w:val="002A4FC1"/>
    <w:rsid w:val="002A510C"/>
    <w:rsid w:val="002A561D"/>
    <w:rsid w:val="002A586C"/>
    <w:rsid w:val="002A605C"/>
    <w:rsid w:val="002A6836"/>
    <w:rsid w:val="002A71E3"/>
    <w:rsid w:val="002A7223"/>
    <w:rsid w:val="002A781E"/>
    <w:rsid w:val="002B038E"/>
    <w:rsid w:val="002B038F"/>
    <w:rsid w:val="002B0634"/>
    <w:rsid w:val="002B08A3"/>
    <w:rsid w:val="002B0BAF"/>
    <w:rsid w:val="002B0FCC"/>
    <w:rsid w:val="002B1157"/>
    <w:rsid w:val="002B11D7"/>
    <w:rsid w:val="002B1484"/>
    <w:rsid w:val="002B16B1"/>
    <w:rsid w:val="002B1BEC"/>
    <w:rsid w:val="002B1F6D"/>
    <w:rsid w:val="002B249F"/>
    <w:rsid w:val="002B2FCD"/>
    <w:rsid w:val="002B3787"/>
    <w:rsid w:val="002B3A13"/>
    <w:rsid w:val="002B4B8C"/>
    <w:rsid w:val="002B4DC1"/>
    <w:rsid w:val="002B55F4"/>
    <w:rsid w:val="002B57EC"/>
    <w:rsid w:val="002B5F7C"/>
    <w:rsid w:val="002B634F"/>
    <w:rsid w:val="002B65C9"/>
    <w:rsid w:val="002B6BF3"/>
    <w:rsid w:val="002B6D14"/>
    <w:rsid w:val="002C0472"/>
    <w:rsid w:val="002C09C3"/>
    <w:rsid w:val="002C0BC9"/>
    <w:rsid w:val="002C0DBB"/>
    <w:rsid w:val="002C1333"/>
    <w:rsid w:val="002C1CA4"/>
    <w:rsid w:val="002C206A"/>
    <w:rsid w:val="002C21ED"/>
    <w:rsid w:val="002C2352"/>
    <w:rsid w:val="002C38F8"/>
    <w:rsid w:val="002C3C1D"/>
    <w:rsid w:val="002C3D02"/>
    <w:rsid w:val="002C3E18"/>
    <w:rsid w:val="002C5183"/>
    <w:rsid w:val="002C5325"/>
    <w:rsid w:val="002C5693"/>
    <w:rsid w:val="002C5B24"/>
    <w:rsid w:val="002C5C47"/>
    <w:rsid w:val="002C600D"/>
    <w:rsid w:val="002C619E"/>
    <w:rsid w:val="002C6433"/>
    <w:rsid w:val="002C64D4"/>
    <w:rsid w:val="002C663E"/>
    <w:rsid w:val="002C78DB"/>
    <w:rsid w:val="002C7C8B"/>
    <w:rsid w:val="002D050B"/>
    <w:rsid w:val="002D0540"/>
    <w:rsid w:val="002D067C"/>
    <w:rsid w:val="002D0686"/>
    <w:rsid w:val="002D0DA7"/>
    <w:rsid w:val="002D21E6"/>
    <w:rsid w:val="002D279C"/>
    <w:rsid w:val="002D29D5"/>
    <w:rsid w:val="002D2EAA"/>
    <w:rsid w:val="002D30A1"/>
    <w:rsid w:val="002D30DF"/>
    <w:rsid w:val="002D3977"/>
    <w:rsid w:val="002D3A2A"/>
    <w:rsid w:val="002D3B03"/>
    <w:rsid w:val="002D3EEF"/>
    <w:rsid w:val="002D411A"/>
    <w:rsid w:val="002D437D"/>
    <w:rsid w:val="002D44F6"/>
    <w:rsid w:val="002D471D"/>
    <w:rsid w:val="002D475E"/>
    <w:rsid w:val="002D50FD"/>
    <w:rsid w:val="002D51DC"/>
    <w:rsid w:val="002D53E3"/>
    <w:rsid w:val="002D66B7"/>
    <w:rsid w:val="002D67A2"/>
    <w:rsid w:val="002D6A9D"/>
    <w:rsid w:val="002D70A3"/>
    <w:rsid w:val="002D7B07"/>
    <w:rsid w:val="002E0943"/>
    <w:rsid w:val="002E102B"/>
    <w:rsid w:val="002E15AA"/>
    <w:rsid w:val="002E1BC6"/>
    <w:rsid w:val="002E1D16"/>
    <w:rsid w:val="002E1D2B"/>
    <w:rsid w:val="002E2AD5"/>
    <w:rsid w:val="002E2CDB"/>
    <w:rsid w:val="002E3481"/>
    <w:rsid w:val="002E409D"/>
    <w:rsid w:val="002E41CC"/>
    <w:rsid w:val="002E4A4D"/>
    <w:rsid w:val="002E4B1C"/>
    <w:rsid w:val="002E55F0"/>
    <w:rsid w:val="002E5E40"/>
    <w:rsid w:val="002E5F99"/>
    <w:rsid w:val="002E5FF9"/>
    <w:rsid w:val="002E6278"/>
    <w:rsid w:val="002E69C7"/>
    <w:rsid w:val="002E6FBA"/>
    <w:rsid w:val="002E7163"/>
    <w:rsid w:val="002E71E9"/>
    <w:rsid w:val="002E7303"/>
    <w:rsid w:val="002E744D"/>
    <w:rsid w:val="002E7A7C"/>
    <w:rsid w:val="002E7CBB"/>
    <w:rsid w:val="002F0311"/>
    <w:rsid w:val="002F069F"/>
    <w:rsid w:val="002F0C92"/>
    <w:rsid w:val="002F0DA0"/>
    <w:rsid w:val="002F199F"/>
    <w:rsid w:val="002F3A4B"/>
    <w:rsid w:val="002F3B0E"/>
    <w:rsid w:val="002F3E8C"/>
    <w:rsid w:val="002F4888"/>
    <w:rsid w:val="002F53D5"/>
    <w:rsid w:val="002F55A9"/>
    <w:rsid w:val="002F563F"/>
    <w:rsid w:val="002F56C4"/>
    <w:rsid w:val="002F5757"/>
    <w:rsid w:val="002F5DEA"/>
    <w:rsid w:val="002F652E"/>
    <w:rsid w:val="002F6C2A"/>
    <w:rsid w:val="002F71A2"/>
    <w:rsid w:val="002F72B5"/>
    <w:rsid w:val="002F73D5"/>
    <w:rsid w:val="002F7686"/>
    <w:rsid w:val="00300157"/>
    <w:rsid w:val="003004DC"/>
    <w:rsid w:val="00300A24"/>
    <w:rsid w:val="00300A86"/>
    <w:rsid w:val="003012E8"/>
    <w:rsid w:val="00301470"/>
    <w:rsid w:val="00301522"/>
    <w:rsid w:val="00301AE6"/>
    <w:rsid w:val="0030282A"/>
    <w:rsid w:val="00302C8C"/>
    <w:rsid w:val="00303410"/>
    <w:rsid w:val="003034DE"/>
    <w:rsid w:val="00303ADF"/>
    <w:rsid w:val="003043EB"/>
    <w:rsid w:val="00304937"/>
    <w:rsid w:val="00304A0A"/>
    <w:rsid w:val="00304BBE"/>
    <w:rsid w:val="00304C15"/>
    <w:rsid w:val="00304EFA"/>
    <w:rsid w:val="00304F6B"/>
    <w:rsid w:val="003050F9"/>
    <w:rsid w:val="003054AA"/>
    <w:rsid w:val="00306B5F"/>
    <w:rsid w:val="00306BD5"/>
    <w:rsid w:val="00307068"/>
    <w:rsid w:val="003071FE"/>
    <w:rsid w:val="0030742F"/>
    <w:rsid w:val="00307E87"/>
    <w:rsid w:val="00307F69"/>
    <w:rsid w:val="003100E4"/>
    <w:rsid w:val="0031027B"/>
    <w:rsid w:val="00310493"/>
    <w:rsid w:val="003106DD"/>
    <w:rsid w:val="003109A1"/>
    <w:rsid w:val="003116B8"/>
    <w:rsid w:val="003118AC"/>
    <w:rsid w:val="00311901"/>
    <w:rsid w:val="00311956"/>
    <w:rsid w:val="00311BBE"/>
    <w:rsid w:val="00312011"/>
    <w:rsid w:val="003122C2"/>
    <w:rsid w:val="00312577"/>
    <w:rsid w:val="00312B0A"/>
    <w:rsid w:val="00312C28"/>
    <w:rsid w:val="00312DD2"/>
    <w:rsid w:val="00313929"/>
    <w:rsid w:val="00314886"/>
    <w:rsid w:val="00314B61"/>
    <w:rsid w:val="0031570D"/>
    <w:rsid w:val="003158D9"/>
    <w:rsid w:val="00315988"/>
    <w:rsid w:val="00315D96"/>
    <w:rsid w:val="00315FD4"/>
    <w:rsid w:val="003164C9"/>
    <w:rsid w:val="0031657A"/>
    <w:rsid w:val="003165E2"/>
    <w:rsid w:val="00316734"/>
    <w:rsid w:val="0031677F"/>
    <w:rsid w:val="00316A26"/>
    <w:rsid w:val="00316BC0"/>
    <w:rsid w:val="00316D21"/>
    <w:rsid w:val="003173AC"/>
    <w:rsid w:val="003176FF"/>
    <w:rsid w:val="00317A50"/>
    <w:rsid w:val="00320219"/>
    <w:rsid w:val="0032157E"/>
    <w:rsid w:val="003215E0"/>
    <w:rsid w:val="00321E06"/>
    <w:rsid w:val="00322297"/>
    <w:rsid w:val="003223EB"/>
    <w:rsid w:val="00322570"/>
    <w:rsid w:val="0032257D"/>
    <w:rsid w:val="003229CD"/>
    <w:rsid w:val="003231EB"/>
    <w:rsid w:val="00324215"/>
    <w:rsid w:val="00324595"/>
    <w:rsid w:val="003247FD"/>
    <w:rsid w:val="0032509F"/>
    <w:rsid w:val="0032515F"/>
    <w:rsid w:val="00325A3D"/>
    <w:rsid w:val="0032667D"/>
    <w:rsid w:val="003268EA"/>
    <w:rsid w:val="00330895"/>
    <w:rsid w:val="00330BAB"/>
    <w:rsid w:val="00330FFB"/>
    <w:rsid w:val="00331087"/>
    <w:rsid w:val="00332167"/>
    <w:rsid w:val="003321FE"/>
    <w:rsid w:val="0033236D"/>
    <w:rsid w:val="00332D0E"/>
    <w:rsid w:val="00332EF1"/>
    <w:rsid w:val="00333D27"/>
    <w:rsid w:val="003344AC"/>
    <w:rsid w:val="003354C8"/>
    <w:rsid w:val="00336404"/>
    <w:rsid w:val="00336A33"/>
    <w:rsid w:val="00336CA5"/>
    <w:rsid w:val="00336F1A"/>
    <w:rsid w:val="0033711F"/>
    <w:rsid w:val="0033732F"/>
    <w:rsid w:val="00337545"/>
    <w:rsid w:val="0033775C"/>
    <w:rsid w:val="00337D0D"/>
    <w:rsid w:val="00340027"/>
    <w:rsid w:val="003401C7"/>
    <w:rsid w:val="0034076F"/>
    <w:rsid w:val="00341264"/>
    <w:rsid w:val="00341737"/>
    <w:rsid w:val="00341C34"/>
    <w:rsid w:val="00342FE5"/>
    <w:rsid w:val="0034365F"/>
    <w:rsid w:val="0034381D"/>
    <w:rsid w:val="003438E2"/>
    <w:rsid w:val="00343A0E"/>
    <w:rsid w:val="00343D0A"/>
    <w:rsid w:val="00344810"/>
    <w:rsid w:val="003454DA"/>
    <w:rsid w:val="003456E2"/>
    <w:rsid w:val="00345817"/>
    <w:rsid w:val="00345BBB"/>
    <w:rsid w:val="003466B4"/>
    <w:rsid w:val="00346FE6"/>
    <w:rsid w:val="00347167"/>
    <w:rsid w:val="003471BC"/>
    <w:rsid w:val="00347375"/>
    <w:rsid w:val="00347CC4"/>
    <w:rsid w:val="00347D2D"/>
    <w:rsid w:val="00347F85"/>
    <w:rsid w:val="00347FA0"/>
    <w:rsid w:val="00347FE0"/>
    <w:rsid w:val="0035002D"/>
    <w:rsid w:val="00351359"/>
    <w:rsid w:val="00351671"/>
    <w:rsid w:val="00351869"/>
    <w:rsid w:val="00351A87"/>
    <w:rsid w:val="00351C53"/>
    <w:rsid w:val="0035270E"/>
    <w:rsid w:val="00352721"/>
    <w:rsid w:val="0035328A"/>
    <w:rsid w:val="003535DD"/>
    <w:rsid w:val="00353737"/>
    <w:rsid w:val="00353C27"/>
    <w:rsid w:val="00353C61"/>
    <w:rsid w:val="00353DC6"/>
    <w:rsid w:val="00353F9D"/>
    <w:rsid w:val="00354634"/>
    <w:rsid w:val="003546A3"/>
    <w:rsid w:val="00355122"/>
    <w:rsid w:val="00355204"/>
    <w:rsid w:val="003554D8"/>
    <w:rsid w:val="0035561A"/>
    <w:rsid w:val="003557D9"/>
    <w:rsid w:val="003557DF"/>
    <w:rsid w:val="00355F1D"/>
    <w:rsid w:val="00355F5A"/>
    <w:rsid w:val="00355F75"/>
    <w:rsid w:val="003561CD"/>
    <w:rsid w:val="00356720"/>
    <w:rsid w:val="00356861"/>
    <w:rsid w:val="00356DCA"/>
    <w:rsid w:val="00357448"/>
    <w:rsid w:val="003579FE"/>
    <w:rsid w:val="00357C22"/>
    <w:rsid w:val="00357F93"/>
    <w:rsid w:val="003608EF"/>
    <w:rsid w:val="003609EA"/>
    <w:rsid w:val="003617BB"/>
    <w:rsid w:val="00361967"/>
    <w:rsid w:val="00361A2C"/>
    <w:rsid w:val="00362136"/>
    <w:rsid w:val="00362719"/>
    <w:rsid w:val="00362747"/>
    <w:rsid w:val="00362D76"/>
    <w:rsid w:val="00362DAB"/>
    <w:rsid w:val="0036315A"/>
    <w:rsid w:val="003632E6"/>
    <w:rsid w:val="003634A7"/>
    <w:rsid w:val="0036383B"/>
    <w:rsid w:val="00363CD1"/>
    <w:rsid w:val="003642D5"/>
    <w:rsid w:val="0036467F"/>
    <w:rsid w:val="003646BB"/>
    <w:rsid w:val="0036519D"/>
    <w:rsid w:val="00365FB9"/>
    <w:rsid w:val="0036616B"/>
    <w:rsid w:val="00366790"/>
    <w:rsid w:val="00366917"/>
    <w:rsid w:val="00367128"/>
    <w:rsid w:val="00367707"/>
    <w:rsid w:val="00367759"/>
    <w:rsid w:val="00367983"/>
    <w:rsid w:val="00367E4C"/>
    <w:rsid w:val="00367F46"/>
    <w:rsid w:val="003703B6"/>
    <w:rsid w:val="003704FF"/>
    <w:rsid w:val="0037065C"/>
    <w:rsid w:val="003706C2"/>
    <w:rsid w:val="00370C52"/>
    <w:rsid w:val="00370E5F"/>
    <w:rsid w:val="00370EEE"/>
    <w:rsid w:val="00370FE6"/>
    <w:rsid w:val="00371A09"/>
    <w:rsid w:val="00371D21"/>
    <w:rsid w:val="00371D27"/>
    <w:rsid w:val="00372189"/>
    <w:rsid w:val="0037274E"/>
    <w:rsid w:val="00372810"/>
    <w:rsid w:val="00372988"/>
    <w:rsid w:val="00372E2A"/>
    <w:rsid w:val="00373313"/>
    <w:rsid w:val="00373856"/>
    <w:rsid w:val="003739E2"/>
    <w:rsid w:val="00373C38"/>
    <w:rsid w:val="00373DC3"/>
    <w:rsid w:val="003741FF"/>
    <w:rsid w:val="0037429A"/>
    <w:rsid w:val="00374A79"/>
    <w:rsid w:val="00374B7D"/>
    <w:rsid w:val="00374DB8"/>
    <w:rsid w:val="00375207"/>
    <w:rsid w:val="00375EC4"/>
    <w:rsid w:val="00375F27"/>
    <w:rsid w:val="00376795"/>
    <w:rsid w:val="00376C54"/>
    <w:rsid w:val="00377CE1"/>
    <w:rsid w:val="00377F99"/>
    <w:rsid w:val="003800D1"/>
    <w:rsid w:val="003812CF"/>
    <w:rsid w:val="003818F4"/>
    <w:rsid w:val="00381D96"/>
    <w:rsid w:val="00381DD2"/>
    <w:rsid w:val="00382117"/>
    <w:rsid w:val="003822BA"/>
    <w:rsid w:val="003826D2"/>
    <w:rsid w:val="00383268"/>
    <w:rsid w:val="00383373"/>
    <w:rsid w:val="00383982"/>
    <w:rsid w:val="00383AFA"/>
    <w:rsid w:val="00383DD5"/>
    <w:rsid w:val="0038428D"/>
    <w:rsid w:val="00384676"/>
    <w:rsid w:val="00384F0C"/>
    <w:rsid w:val="00385156"/>
    <w:rsid w:val="00385E0B"/>
    <w:rsid w:val="003869A8"/>
    <w:rsid w:val="00386CE9"/>
    <w:rsid w:val="00386E15"/>
    <w:rsid w:val="00386E32"/>
    <w:rsid w:val="00386F34"/>
    <w:rsid w:val="00386F6D"/>
    <w:rsid w:val="00387029"/>
    <w:rsid w:val="003872CF"/>
    <w:rsid w:val="003876B8"/>
    <w:rsid w:val="00387FE3"/>
    <w:rsid w:val="00387FF9"/>
    <w:rsid w:val="00390150"/>
    <w:rsid w:val="0039099A"/>
    <w:rsid w:val="00390F47"/>
    <w:rsid w:val="003914EE"/>
    <w:rsid w:val="003918C8"/>
    <w:rsid w:val="00391A70"/>
    <w:rsid w:val="00391B99"/>
    <w:rsid w:val="003920BC"/>
    <w:rsid w:val="00392166"/>
    <w:rsid w:val="0039236D"/>
    <w:rsid w:val="00392535"/>
    <w:rsid w:val="003928A0"/>
    <w:rsid w:val="00392947"/>
    <w:rsid w:val="00392F2B"/>
    <w:rsid w:val="00393171"/>
    <w:rsid w:val="00393FD5"/>
    <w:rsid w:val="00394108"/>
    <w:rsid w:val="003943A4"/>
    <w:rsid w:val="003944A8"/>
    <w:rsid w:val="0039476D"/>
    <w:rsid w:val="00394891"/>
    <w:rsid w:val="00394A3C"/>
    <w:rsid w:val="00395188"/>
    <w:rsid w:val="003956F7"/>
    <w:rsid w:val="00395804"/>
    <w:rsid w:val="003959DF"/>
    <w:rsid w:val="00395C9B"/>
    <w:rsid w:val="00396D8F"/>
    <w:rsid w:val="0039727A"/>
    <w:rsid w:val="003972F5"/>
    <w:rsid w:val="003977E9"/>
    <w:rsid w:val="00397C11"/>
    <w:rsid w:val="00397C74"/>
    <w:rsid w:val="003A03F5"/>
    <w:rsid w:val="003A0B86"/>
    <w:rsid w:val="003A0C11"/>
    <w:rsid w:val="003A1050"/>
    <w:rsid w:val="003A14C6"/>
    <w:rsid w:val="003A14F8"/>
    <w:rsid w:val="003A22F4"/>
    <w:rsid w:val="003A2771"/>
    <w:rsid w:val="003A2D70"/>
    <w:rsid w:val="003A370D"/>
    <w:rsid w:val="003A3BEB"/>
    <w:rsid w:val="003A4693"/>
    <w:rsid w:val="003A4C90"/>
    <w:rsid w:val="003A5677"/>
    <w:rsid w:val="003A60D2"/>
    <w:rsid w:val="003A6AA7"/>
    <w:rsid w:val="003A7126"/>
    <w:rsid w:val="003A724C"/>
    <w:rsid w:val="003B04E2"/>
    <w:rsid w:val="003B0518"/>
    <w:rsid w:val="003B0EEF"/>
    <w:rsid w:val="003B0F61"/>
    <w:rsid w:val="003B1375"/>
    <w:rsid w:val="003B15AB"/>
    <w:rsid w:val="003B1BDB"/>
    <w:rsid w:val="003B2088"/>
    <w:rsid w:val="003B3045"/>
    <w:rsid w:val="003B308F"/>
    <w:rsid w:val="003B32C8"/>
    <w:rsid w:val="003B37FE"/>
    <w:rsid w:val="003B4B2F"/>
    <w:rsid w:val="003B4F21"/>
    <w:rsid w:val="003B4F83"/>
    <w:rsid w:val="003B4FD1"/>
    <w:rsid w:val="003B512A"/>
    <w:rsid w:val="003B5191"/>
    <w:rsid w:val="003B58E0"/>
    <w:rsid w:val="003B5C11"/>
    <w:rsid w:val="003B5CCC"/>
    <w:rsid w:val="003B5D93"/>
    <w:rsid w:val="003B5DD9"/>
    <w:rsid w:val="003B5E54"/>
    <w:rsid w:val="003B647B"/>
    <w:rsid w:val="003B6C6B"/>
    <w:rsid w:val="003B6D35"/>
    <w:rsid w:val="003B6EC5"/>
    <w:rsid w:val="003B7608"/>
    <w:rsid w:val="003B7834"/>
    <w:rsid w:val="003B7BEB"/>
    <w:rsid w:val="003B7F43"/>
    <w:rsid w:val="003C00FB"/>
    <w:rsid w:val="003C047F"/>
    <w:rsid w:val="003C04C2"/>
    <w:rsid w:val="003C065B"/>
    <w:rsid w:val="003C0B3A"/>
    <w:rsid w:val="003C0EF1"/>
    <w:rsid w:val="003C1508"/>
    <w:rsid w:val="003C174E"/>
    <w:rsid w:val="003C1758"/>
    <w:rsid w:val="003C1877"/>
    <w:rsid w:val="003C2571"/>
    <w:rsid w:val="003C2F5D"/>
    <w:rsid w:val="003C31AE"/>
    <w:rsid w:val="003C3508"/>
    <w:rsid w:val="003C3595"/>
    <w:rsid w:val="003C3BBF"/>
    <w:rsid w:val="003C3BC6"/>
    <w:rsid w:val="003C3DF8"/>
    <w:rsid w:val="003C4070"/>
    <w:rsid w:val="003C41BE"/>
    <w:rsid w:val="003C468B"/>
    <w:rsid w:val="003C4759"/>
    <w:rsid w:val="003C488F"/>
    <w:rsid w:val="003C4ADE"/>
    <w:rsid w:val="003C5A7A"/>
    <w:rsid w:val="003C6179"/>
    <w:rsid w:val="003C6766"/>
    <w:rsid w:val="003C67BD"/>
    <w:rsid w:val="003C6C96"/>
    <w:rsid w:val="003C6D45"/>
    <w:rsid w:val="003C75C0"/>
    <w:rsid w:val="003C77B5"/>
    <w:rsid w:val="003C7842"/>
    <w:rsid w:val="003D0A35"/>
    <w:rsid w:val="003D0FB6"/>
    <w:rsid w:val="003D17C2"/>
    <w:rsid w:val="003D29A7"/>
    <w:rsid w:val="003D2B70"/>
    <w:rsid w:val="003D2C5A"/>
    <w:rsid w:val="003D30C0"/>
    <w:rsid w:val="003D319D"/>
    <w:rsid w:val="003D31D4"/>
    <w:rsid w:val="003D4245"/>
    <w:rsid w:val="003D4617"/>
    <w:rsid w:val="003D4774"/>
    <w:rsid w:val="003D4FA8"/>
    <w:rsid w:val="003D52F7"/>
    <w:rsid w:val="003D59D9"/>
    <w:rsid w:val="003D5DB2"/>
    <w:rsid w:val="003D61B9"/>
    <w:rsid w:val="003D6594"/>
    <w:rsid w:val="003D6698"/>
    <w:rsid w:val="003D69CB"/>
    <w:rsid w:val="003D6A5F"/>
    <w:rsid w:val="003D73A6"/>
    <w:rsid w:val="003D76E7"/>
    <w:rsid w:val="003D7D39"/>
    <w:rsid w:val="003E01C6"/>
    <w:rsid w:val="003E0D5D"/>
    <w:rsid w:val="003E0ED1"/>
    <w:rsid w:val="003E0FD7"/>
    <w:rsid w:val="003E10FF"/>
    <w:rsid w:val="003E111A"/>
    <w:rsid w:val="003E15C7"/>
    <w:rsid w:val="003E1891"/>
    <w:rsid w:val="003E2457"/>
    <w:rsid w:val="003E254A"/>
    <w:rsid w:val="003E2B45"/>
    <w:rsid w:val="003E2DC7"/>
    <w:rsid w:val="003E393F"/>
    <w:rsid w:val="003E3BFD"/>
    <w:rsid w:val="003E3C4B"/>
    <w:rsid w:val="003E3DE5"/>
    <w:rsid w:val="003E415B"/>
    <w:rsid w:val="003E4C6C"/>
    <w:rsid w:val="003E5894"/>
    <w:rsid w:val="003E58AE"/>
    <w:rsid w:val="003E6077"/>
    <w:rsid w:val="003E6231"/>
    <w:rsid w:val="003E68AA"/>
    <w:rsid w:val="003E751E"/>
    <w:rsid w:val="003E7779"/>
    <w:rsid w:val="003E7C13"/>
    <w:rsid w:val="003E7C24"/>
    <w:rsid w:val="003E7EA1"/>
    <w:rsid w:val="003E7FC1"/>
    <w:rsid w:val="003F00D8"/>
    <w:rsid w:val="003F03FD"/>
    <w:rsid w:val="003F0408"/>
    <w:rsid w:val="003F058C"/>
    <w:rsid w:val="003F0710"/>
    <w:rsid w:val="003F0AC5"/>
    <w:rsid w:val="003F0ACD"/>
    <w:rsid w:val="003F0B13"/>
    <w:rsid w:val="003F12B5"/>
    <w:rsid w:val="003F1DCC"/>
    <w:rsid w:val="003F2059"/>
    <w:rsid w:val="003F28F5"/>
    <w:rsid w:val="003F2F8A"/>
    <w:rsid w:val="003F32D6"/>
    <w:rsid w:val="003F3F00"/>
    <w:rsid w:val="003F432F"/>
    <w:rsid w:val="003F44D8"/>
    <w:rsid w:val="003F462B"/>
    <w:rsid w:val="003F4DD6"/>
    <w:rsid w:val="003F5122"/>
    <w:rsid w:val="003F57C1"/>
    <w:rsid w:val="003F59B3"/>
    <w:rsid w:val="003F5EA3"/>
    <w:rsid w:val="003F5F96"/>
    <w:rsid w:val="003F62FB"/>
    <w:rsid w:val="003F6B1D"/>
    <w:rsid w:val="003F6E75"/>
    <w:rsid w:val="003F750C"/>
    <w:rsid w:val="003F79FF"/>
    <w:rsid w:val="003F7E95"/>
    <w:rsid w:val="004003BB"/>
    <w:rsid w:val="00400A32"/>
    <w:rsid w:val="004010E9"/>
    <w:rsid w:val="004011AA"/>
    <w:rsid w:val="00401235"/>
    <w:rsid w:val="004012DF"/>
    <w:rsid w:val="00401804"/>
    <w:rsid w:val="00401A57"/>
    <w:rsid w:val="0040200F"/>
    <w:rsid w:val="00402521"/>
    <w:rsid w:val="00402B9D"/>
    <w:rsid w:val="00402D28"/>
    <w:rsid w:val="00403302"/>
    <w:rsid w:val="00403A6E"/>
    <w:rsid w:val="00404377"/>
    <w:rsid w:val="0040492D"/>
    <w:rsid w:val="00404C28"/>
    <w:rsid w:val="00404F87"/>
    <w:rsid w:val="00404FC3"/>
    <w:rsid w:val="004053E9"/>
    <w:rsid w:val="00405E23"/>
    <w:rsid w:val="00406172"/>
    <w:rsid w:val="004063E6"/>
    <w:rsid w:val="00406B59"/>
    <w:rsid w:val="00407536"/>
    <w:rsid w:val="00407DE2"/>
    <w:rsid w:val="00407E4C"/>
    <w:rsid w:val="00407FB5"/>
    <w:rsid w:val="00410412"/>
    <w:rsid w:val="00411672"/>
    <w:rsid w:val="004116A6"/>
    <w:rsid w:val="0041172F"/>
    <w:rsid w:val="00411C03"/>
    <w:rsid w:val="00412259"/>
    <w:rsid w:val="00412624"/>
    <w:rsid w:val="004128A0"/>
    <w:rsid w:val="00412C69"/>
    <w:rsid w:val="00413502"/>
    <w:rsid w:val="00413B69"/>
    <w:rsid w:val="00413C43"/>
    <w:rsid w:val="004145F9"/>
    <w:rsid w:val="00414612"/>
    <w:rsid w:val="004146AD"/>
    <w:rsid w:val="004158BF"/>
    <w:rsid w:val="00415F33"/>
    <w:rsid w:val="00415F91"/>
    <w:rsid w:val="0041631F"/>
    <w:rsid w:val="0041673B"/>
    <w:rsid w:val="004168A3"/>
    <w:rsid w:val="00416C4A"/>
    <w:rsid w:val="00416FCA"/>
    <w:rsid w:val="00417AE5"/>
    <w:rsid w:val="00417B7D"/>
    <w:rsid w:val="00417C72"/>
    <w:rsid w:val="00420459"/>
    <w:rsid w:val="0042125D"/>
    <w:rsid w:val="004212C9"/>
    <w:rsid w:val="00421E46"/>
    <w:rsid w:val="00422061"/>
    <w:rsid w:val="0042229C"/>
    <w:rsid w:val="004224D2"/>
    <w:rsid w:val="00422A78"/>
    <w:rsid w:val="00423AB9"/>
    <w:rsid w:val="00424250"/>
    <w:rsid w:val="004246C3"/>
    <w:rsid w:val="00424D40"/>
    <w:rsid w:val="00424F7B"/>
    <w:rsid w:val="00425747"/>
    <w:rsid w:val="00425F9A"/>
    <w:rsid w:val="00425FA4"/>
    <w:rsid w:val="00426949"/>
    <w:rsid w:val="004270DB"/>
    <w:rsid w:val="004274FD"/>
    <w:rsid w:val="004276C4"/>
    <w:rsid w:val="00427BA3"/>
    <w:rsid w:val="00427C49"/>
    <w:rsid w:val="00427C5A"/>
    <w:rsid w:val="0043037D"/>
    <w:rsid w:val="0043053C"/>
    <w:rsid w:val="0043083F"/>
    <w:rsid w:val="00430A52"/>
    <w:rsid w:val="00430ACE"/>
    <w:rsid w:val="00430EA6"/>
    <w:rsid w:val="00431069"/>
    <w:rsid w:val="00431307"/>
    <w:rsid w:val="00431786"/>
    <w:rsid w:val="0043192F"/>
    <w:rsid w:val="004321B3"/>
    <w:rsid w:val="004324AA"/>
    <w:rsid w:val="00432502"/>
    <w:rsid w:val="00432701"/>
    <w:rsid w:val="00432D50"/>
    <w:rsid w:val="00432DE1"/>
    <w:rsid w:val="00432E97"/>
    <w:rsid w:val="0043361F"/>
    <w:rsid w:val="00434378"/>
    <w:rsid w:val="0043473D"/>
    <w:rsid w:val="004349AC"/>
    <w:rsid w:val="00434B63"/>
    <w:rsid w:val="00434DCE"/>
    <w:rsid w:val="004356BC"/>
    <w:rsid w:val="00435BD8"/>
    <w:rsid w:val="00435CB9"/>
    <w:rsid w:val="00435DC6"/>
    <w:rsid w:val="00436372"/>
    <w:rsid w:val="00436A8D"/>
    <w:rsid w:val="00436D53"/>
    <w:rsid w:val="00437235"/>
    <w:rsid w:val="00437756"/>
    <w:rsid w:val="00437BAE"/>
    <w:rsid w:val="004401E1"/>
    <w:rsid w:val="004406CB"/>
    <w:rsid w:val="004408B2"/>
    <w:rsid w:val="0044095B"/>
    <w:rsid w:val="00441061"/>
    <w:rsid w:val="004416A9"/>
    <w:rsid w:val="00442AA2"/>
    <w:rsid w:val="00442BCF"/>
    <w:rsid w:val="00443058"/>
    <w:rsid w:val="004431A4"/>
    <w:rsid w:val="0044320F"/>
    <w:rsid w:val="0044326F"/>
    <w:rsid w:val="0044374C"/>
    <w:rsid w:val="00443887"/>
    <w:rsid w:val="004438DF"/>
    <w:rsid w:val="004443C9"/>
    <w:rsid w:val="00444D02"/>
    <w:rsid w:val="00444D2D"/>
    <w:rsid w:val="00444FEB"/>
    <w:rsid w:val="004453F0"/>
    <w:rsid w:val="004454BC"/>
    <w:rsid w:val="004455BA"/>
    <w:rsid w:val="0044597A"/>
    <w:rsid w:val="00445F09"/>
    <w:rsid w:val="004465BF"/>
    <w:rsid w:val="0044669A"/>
    <w:rsid w:val="00446BD5"/>
    <w:rsid w:val="00446D4E"/>
    <w:rsid w:val="00446EDC"/>
    <w:rsid w:val="00447547"/>
    <w:rsid w:val="004479D3"/>
    <w:rsid w:val="004501FB"/>
    <w:rsid w:val="00450843"/>
    <w:rsid w:val="0045088B"/>
    <w:rsid w:val="00450C40"/>
    <w:rsid w:val="00451296"/>
    <w:rsid w:val="00451625"/>
    <w:rsid w:val="00451705"/>
    <w:rsid w:val="00451815"/>
    <w:rsid w:val="00451C85"/>
    <w:rsid w:val="0045205C"/>
    <w:rsid w:val="00452344"/>
    <w:rsid w:val="0045292B"/>
    <w:rsid w:val="00452D33"/>
    <w:rsid w:val="004530A7"/>
    <w:rsid w:val="004540CF"/>
    <w:rsid w:val="00454835"/>
    <w:rsid w:val="00454A48"/>
    <w:rsid w:val="00455F3A"/>
    <w:rsid w:val="004562E9"/>
    <w:rsid w:val="00456640"/>
    <w:rsid w:val="00456D15"/>
    <w:rsid w:val="00456FE5"/>
    <w:rsid w:val="00457427"/>
    <w:rsid w:val="00457C02"/>
    <w:rsid w:val="00457F10"/>
    <w:rsid w:val="00457F8F"/>
    <w:rsid w:val="0046094C"/>
    <w:rsid w:val="00460C75"/>
    <w:rsid w:val="004610DB"/>
    <w:rsid w:val="00461485"/>
    <w:rsid w:val="0046198F"/>
    <w:rsid w:val="00461A73"/>
    <w:rsid w:val="00461C66"/>
    <w:rsid w:val="00462AB7"/>
    <w:rsid w:val="00463302"/>
    <w:rsid w:val="004635F6"/>
    <w:rsid w:val="00463DCF"/>
    <w:rsid w:val="00463E95"/>
    <w:rsid w:val="004642A2"/>
    <w:rsid w:val="0046438A"/>
    <w:rsid w:val="0046454F"/>
    <w:rsid w:val="004646C5"/>
    <w:rsid w:val="00464DDC"/>
    <w:rsid w:val="004667A0"/>
    <w:rsid w:val="00466CA0"/>
    <w:rsid w:val="00467241"/>
    <w:rsid w:val="0046746C"/>
    <w:rsid w:val="004677E9"/>
    <w:rsid w:val="00470123"/>
    <w:rsid w:val="0047055B"/>
    <w:rsid w:val="00470E2F"/>
    <w:rsid w:val="004711E5"/>
    <w:rsid w:val="00471807"/>
    <w:rsid w:val="00471919"/>
    <w:rsid w:val="00471B31"/>
    <w:rsid w:val="0047254C"/>
    <w:rsid w:val="00472605"/>
    <w:rsid w:val="0047272A"/>
    <w:rsid w:val="00472824"/>
    <w:rsid w:val="00472E2F"/>
    <w:rsid w:val="00472EA2"/>
    <w:rsid w:val="0047354F"/>
    <w:rsid w:val="004739FE"/>
    <w:rsid w:val="00473B63"/>
    <w:rsid w:val="00473D5A"/>
    <w:rsid w:val="004745AB"/>
    <w:rsid w:val="004746E5"/>
    <w:rsid w:val="00474A66"/>
    <w:rsid w:val="00474FBB"/>
    <w:rsid w:val="004751A0"/>
    <w:rsid w:val="004753CA"/>
    <w:rsid w:val="00475449"/>
    <w:rsid w:val="0047547B"/>
    <w:rsid w:val="0047583E"/>
    <w:rsid w:val="00475CAB"/>
    <w:rsid w:val="00476089"/>
    <w:rsid w:val="0047621F"/>
    <w:rsid w:val="00476D50"/>
    <w:rsid w:val="00476E09"/>
    <w:rsid w:val="0047738C"/>
    <w:rsid w:val="00477494"/>
    <w:rsid w:val="0047767D"/>
    <w:rsid w:val="004777F8"/>
    <w:rsid w:val="00477B37"/>
    <w:rsid w:val="00477DE4"/>
    <w:rsid w:val="00480126"/>
    <w:rsid w:val="004804B6"/>
    <w:rsid w:val="00480534"/>
    <w:rsid w:val="004814E1"/>
    <w:rsid w:val="004818EC"/>
    <w:rsid w:val="004819D2"/>
    <w:rsid w:val="004821AB"/>
    <w:rsid w:val="0048235B"/>
    <w:rsid w:val="0048292E"/>
    <w:rsid w:val="00482B4E"/>
    <w:rsid w:val="00482B8D"/>
    <w:rsid w:val="00482DD5"/>
    <w:rsid w:val="00482F1B"/>
    <w:rsid w:val="00483473"/>
    <w:rsid w:val="00483E03"/>
    <w:rsid w:val="004841C1"/>
    <w:rsid w:val="004841D5"/>
    <w:rsid w:val="004841F8"/>
    <w:rsid w:val="004845CF"/>
    <w:rsid w:val="00484FBE"/>
    <w:rsid w:val="004851DB"/>
    <w:rsid w:val="00485AF2"/>
    <w:rsid w:val="00485CC9"/>
    <w:rsid w:val="00485F49"/>
    <w:rsid w:val="004862F9"/>
    <w:rsid w:val="004863D0"/>
    <w:rsid w:val="0048669E"/>
    <w:rsid w:val="00486A1A"/>
    <w:rsid w:val="00486C9D"/>
    <w:rsid w:val="00487085"/>
    <w:rsid w:val="0048782D"/>
    <w:rsid w:val="00487C7A"/>
    <w:rsid w:val="00490469"/>
    <w:rsid w:val="00490706"/>
    <w:rsid w:val="00490A50"/>
    <w:rsid w:val="00490BB6"/>
    <w:rsid w:val="00490BD9"/>
    <w:rsid w:val="00491B42"/>
    <w:rsid w:val="00491CAB"/>
    <w:rsid w:val="00491CB6"/>
    <w:rsid w:val="00491D15"/>
    <w:rsid w:val="00491E1F"/>
    <w:rsid w:val="00491EB8"/>
    <w:rsid w:val="00492DC8"/>
    <w:rsid w:val="00493057"/>
    <w:rsid w:val="00493BE7"/>
    <w:rsid w:val="00493DB6"/>
    <w:rsid w:val="00494027"/>
    <w:rsid w:val="0049448B"/>
    <w:rsid w:val="0049454C"/>
    <w:rsid w:val="00494981"/>
    <w:rsid w:val="00494DAE"/>
    <w:rsid w:val="00495411"/>
    <w:rsid w:val="00495889"/>
    <w:rsid w:val="00495E37"/>
    <w:rsid w:val="004963FE"/>
    <w:rsid w:val="0049658A"/>
    <w:rsid w:val="0049693E"/>
    <w:rsid w:val="004969D1"/>
    <w:rsid w:val="00496B3D"/>
    <w:rsid w:val="00496B79"/>
    <w:rsid w:val="00496F06"/>
    <w:rsid w:val="00497075"/>
    <w:rsid w:val="004974F7"/>
    <w:rsid w:val="0049756D"/>
    <w:rsid w:val="00497731"/>
    <w:rsid w:val="00497756"/>
    <w:rsid w:val="00497836"/>
    <w:rsid w:val="00497F9D"/>
    <w:rsid w:val="004A016A"/>
    <w:rsid w:val="004A08E5"/>
    <w:rsid w:val="004A0F48"/>
    <w:rsid w:val="004A0F75"/>
    <w:rsid w:val="004A1747"/>
    <w:rsid w:val="004A1A05"/>
    <w:rsid w:val="004A1B86"/>
    <w:rsid w:val="004A2074"/>
    <w:rsid w:val="004A2117"/>
    <w:rsid w:val="004A2B73"/>
    <w:rsid w:val="004A353A"/>
    <w:rsid w:val="004A39E9"/>
    <w:rsid w:val="004A3C74"/>
    <w:rsid w:val="004A3DD1"/>
    <w:rsid w:val="004A3F17"/>
    <w:rsid w:val="004A4190"/>
    <w:rsid w:val="004A422F"/>
    <w:rsid w:val="004A445B"/>
    <w:rsid w:val="004A4C2B"/>
    <w:rsid w:val="004A4E6D"/>
    <w:rsid w:val="004A4F62"/>
    <w:rsid w:val="004A5739"/>
    <w:rsid w:val="004A60A9"/>
    <w:rsid w:val="004A68CA"/>
    <w:rsid w:val="004A6A0D"/>
    <w:rsid w:val="004A6C27"/>
    <w:rsid w:val="004B0021"/>
    <w:rsid w:val="004B0902"/>
    <w:rsid w:val="004B0A87"/>
    <w:rsid w:val="004B104F"/>
    <w:rsid w:val="004B1294"/>
    <w:rsid w:val="004B165A"/>
    <w:rsid w:val="004B16F1"/>
    <w:rsid w:val="004B1E16"/>
    <w:rsid w:val="004B1FC4"/>
    <w:rsid w:val="004B2CBC"/>
    <w:rsid w:val="004B2DD7"/>
    <w:rsid w:val="004B3205"/>
    <w:rsid w:val="004B33DA"/>
    <w:rsid w:val="004B3678"/>
    <w:rsid w:val="004B3934"/>
    <w:rsid w:val="004B3C67"/>
    <w:rsid w:val="004B3CDD"/>
    <w:rsid w:val="004B47C0"/>
    <w:rsid w:val="004B48DE"/>
    <w:rsid w:val="004B4B59"/>
    <w:rsid w:val="004B542C"/>
    <w:rsid w:val="004B5721"/>
    <w:rsid w:val="004B5E33"/>
    <w:rsid w:val="004B6F70"/>
    <w:rsid w:val="004B6FE0"/>
    <w:rsid w:val="004B7060"/>
    <w:rsid w:val="004B7583"/>
    <w:rsid w:val="004B7F40"/>
    <w:rsid w:val="004C00C3"/>
    <w:rsid w:val="004C0612"/>
    <w:rsid w:val="004C083D"/>
    <w:rsid w:val="004C0BFE"/>
    <w:rsid w:val="004C1C3E"/>
    <w:rsid w:val="004C1C67"/>
    <w:rsid w:val="004C1CC3"/>
    <w:rsid w:val="004C234A"/>
    <w:rsid w:val="004C2556"/>
    <w:rsid w:val="004C2A69"/>
    <w:rsid w:val="004C2BC0"/>
    <w:rsid w:val="004C2E4F"/>
    <w:rsid w:val="004C3BA4"/>
    <w:rsid w:val="004C423F"/>
    <w:rsid w:val="004C45E0"/>
    <w:rsid w:val="004C4B12"/>
    <w:rsid w:val="004C53C0"/>
    <w:rsid w:val="004C5740"/>
    <w:rsid w:val="004C5AD1"/>
    <w:rsid w:val="004C5B02"/>
    <w:rsid w:val="004C6432"/>
    <w:rsid w:val="004C730B"/>
    <w:rsid w:val="004C7A7F"/>
    <w:rsid w:val="004D071B"/>
    <w:rsid w:val="004D090C"/>
    <w:rsid w:val="004D16B0"/>
    <w:rsid w:val="004D1717"/>
    <w:rsid w:val="004D1B3A"/>
    <w:rsid w:val="004D1C12"/>
    <w:rsid w:val="004D1DAD"/>
    <w:rsid w:val="004D2250"/>
    <w:rsid w:val="004D30E9"/>
    <w:rsid w:val="004D34DB"/>
    <w:rsid w:val="004D3789"/>
    <w:rsid w:val="004D3B76"/>
    <w:rsid w:val="004D415D"/>
    <w:rsid w:val="004D49FA"/>
    <w:rsid w:val="004D4C30"/>
    <w:rsid w:val="004D59A7"/>
    <w:rsid w:val="004D5B80"/>
    <w:rsid w:val="004D6C71"/>
    <w:rsid w:val="004D6FEF"/>
    <w:rsid w:val="004D7077"/>
    <w:rsid w:val="004D731E"/>
    <w:rsid w:val="004D773A"/>
    <w:rsid w:val="004D7859"/>
    <w:rsid w:val="004E031A"/>
    <w:rsid w:val="004E034B"/>
    <w:rsid w:val="004E0D6B"/>
    <w:rsid w:val="004E0EBD"/>
    <w:rsid w:val="004E1C6B"/>
    <w:rsid w:val="004E1FC7"/>
    <w:rsid w:val="004E2976"/>
    <w:rsid w:val="004E3188"/>
    <w:rsid w:val="004E3532"/>
    <w:rsid w:val="004E37BA"/>
    <w:rsid w:val="004E38AA"/>
    <w:rsid w:val="004E3A73"/>
    <w:rsid w:val="004E3E21"/>
    <w:rsid w:val="004E3FBE"/>
    <w:rsid w:val="004E4AAE"/>
    <w:rsid w:val="004E4BE1"/>
    <w:rsid w:val="004E4C44"/>
    <w:rsid w:val="004E506D"/>
    <w:rsid w:val="004E63F8"/>
    <w:rsid w:val="004E7575"/>
    <w:rsid w:val="004F0023"/>
    <w:rsid w:val="004F00F2"/>
    <w:rsid w:val="004F012A"/>
    <w:rsid w:val="004F0143"/>
    <w:rsid w:val="004F0262"/>
    <w:rsid w:val="004F02D3"/>
    <w:rsid w:val="004F039F"/>
    <w:rsid w:val="004F0590"/>
    <w:rsid w:val="004F0DD6"/>
    <w:rsid w:val="004F0DDD"/>
    <w:rsid w:val="004F1DBC"/>
    <w:rsid w:val="004F2181"/>
    <w:rsid w:val="004F277F"/>
    <w:rsid w:val="004F32FA"/>
    <w:rsid w:val="004F3649"/>
    <w:rsid w:val="004F3A06"/>
    <w:rsid w:val="004F3BEA"/>
    <w:rsid w:val="004F5CB3"/>
    <w:rsid w:val="004F5F5D"/>
    <w:rsid w:val="004F68B8"/>
    <w:rsid w:val="004F6FE9"/>
    <w:rsid w:val="004F73A3"/>
    <w:rsid w:val="004F76C1"/>
    <w:rsid w:val="004F7C79"/>
    <w:rsid w:val="005000D0"/>
    <w:rsid w:val="00500304"/>
    <w:rsid w:val="00501075"/>
    <w:rsid w:val="00501265"/>
    <w:rsid w:val="005014C8"/>
    <w:rsid w:val="005019FB"/>
    <w:rsid w:val="00502226"/>
    <w:rsid w:val="005029BF"/>
    <w:rsid w:val="005029FC"/>
    <w:rsid w:val="00502C16"/>
    <w:rsid w:val="005033C8"/>
    <w:rsid w:val="0050360C"/>
    <w:rsid w:val="0050363E"/>
    <w:rsid w:val="0050364B"/>
    <w:rsid w:val="00504216"/>
    <w:rsid w:val="0050427A"/>
    <w:rsid w:val="0050461C"/>
    <w:rsid w:val="0050475D"/>
    <w:rsid w:val="00504A96"/>
    <w:rsid w:val="00504FE9"/>
    <w:rsid w:val="005051D3"/>
    <w:rsid w:val="00505324"/>
    <w:rsid w:val="0050545D"/>
    <w:rsid w:val="0050579B"/>
    <w:rsid w:val="005057E1"/>
    <w:rsid w:val="00505805"/>
    <w:rsid w:val="00506364"/>
    <w:rsid w:val="0050641B"/>
    <w:rsid w:val="00506691"/>
    <w:rsid w:val="005067AB"/>
    <w:rsid w:val="005068C1"/>
    <w:rsid w:val="00507788"/>
    <w:rsid w:val="005079B7"/>
    <w:rsid w:val="00507EB3"/>
    <w:rsid w:val="0051028E"/>
    <w:rsid w:val="005102EB"/>
    <w:rsid w:val="005102FB"/>
    <w:rsid w:val="00510CA4"/>
    <w:rsid w:val="0051103D"/>
    <w:rsid w:val="005116DB"/>
    <w:rsid w:val="00511EE9"/>
    <w:rsid w:val="00512E51"/>
    <w:rsid w:val="0051371A"/>
    <w:rsid w:val="00513F61"/>
    <w:rsid w:val="00514014"/>
    <w:rsid w:val="005146A0"/>
    <w:rsid w:val="005147BD"/>
    <w:rsid w:val="0051511A"/>
    <w:rsid w:val="005153B8"/>
    <w:rsid w:val="0051589F"/>
    <w:rsid w:val="00515EC7"/>
    <w:rsid w:val="00516470"/>
    <w:rsid w:val="00516A98"/>
    <w:rsid w:val="0051779E"/>
    <w:rsid w:val="00517C1D"/>
    <w:rsid w:val="00517E4E"/>
    <w:rsid w:val="00517FA9"/>
    <w:rsid w:val="005204D3"/>
    <w:rsid w:val="005204D6"/>
    <w:rsid w:val="00520D0F"/>
    <w:rsid w:val="00520DEB"/>
    <w:rsid w:val="00520FAE"/>
    <w:rsid w:val="00521129"/>
    <w:rsid w:val="005214C3"/>
    <w:rsid w:val="005215F6"/>
    <w:rsid w:val="005216E0"/>
    <w:rsid w:val="00521ABC"/>
    <w:rsid w:val="00521C4E"/>
    <w:rsid w:val="00521CAD"/>
    <w:rsid w:val="00521D5C"/>
    <w:rsid w:val="00521DCB"/>
    <w:rsid w:val="00522105"/>
    <w:rsid w:val="0052245C"/>
    <w:rsid w:val="0052258F"/>
    <w:rsid w:val="005226E8"/>
    <w:rsid w:val="00522AC0"/>
    <w:rsid w:val="00522F22"/>
    <w:rsid w:val="0052315B"/>
    <w:rsid w:val="00523D06"/>
    <w:rsid w:val="00523D9B"/>
    <w:rsid w:val="00524349"/>
    <w:rsid w:val="00524976"/>
    <w:rsid w:val="005249E8"/>
    <w:rsid w:val="00524CF3"/>
    <w:rsid w:val="00525484"/>
    <w:rsid w:val="005258F8"/>
    <w:rsid w:val="005261D6"/>
    <w:rsid w:val="00526A1E"/>
    <w:rsid w:val="00526A24"/>
    <w:rsid w:val="00526C92"/>
    <w:rsid w:val="00526D33"/>
    <w:rsid w:val="005270C0"/>
    <w:rsid w:val="00527229"/>
    <w:rsid w:val="005272A1"/>
    <w:rsid w:val="005274D5"/>
    <w:rsid w:val="00527533"/>
    <w:rsid w:val="00530099"/>
    <w:rsid w:val="00530215"/>
    <w:rsid w:val="005306E9"/>
    <w:rsid w:val="005308BD"/>
    <w:rsid w:val="005311D2"/>
    <w:rsid w:val="00531827"/>
    <w:rsid w:val="0053191D"/>
    <w:rsid w:val="00531EEA"/>
    <w:rsid w:val="0053224C"/>
    <w:rsid w:val="00532CAA"/>
    <w:rsid w:val="00532FDA"/>
    <w:rsid w:val="00533192"/>
    <w:rsid w:val="00533485"/>
    <w:rsid w:val="00533947"/>
    <w:rsid w:val="00533BB5"/>
    <w:rsid w:val="00533C1D"/>
    <w:rsid w:val="00533C66"/>
    <w:rsid w:val="00534035"/>
    <w:rsid w:val="0053444A"/>
    <w:rsid w:val="00534AF5"/>
    <w:rsid w:val="00534BDE"/>
    <w:rsid w:val="00534F59"/>
    <w:rsid w:val="00535A70"/>
    <w:rsid w:val="00535AEB"/>
    <w:rsid w:val="00535B4B"/>
    <w:rsid w:val="0053624B"/>
    <w:rsid w:val="0053651C"/>
    <w:rsid w:val="00536701"/>
    <w:rsid w:val="005370E0"/>
    <w:rsid w:val="005372A5"/>
    <w:rsid w:val="00537FD0"/>
    <w:rsid w:val="0054048A"/>
    <w:rsid w:val="00540901"/>
    <w:rsid w:val="00540A99"/>
    <w:rsid w:val="00540E29"/>
    <w:rsid w:val="005410F0"/>
    <w:rsid w:val="00541BFF"/>
    <w:rsid w:val="00541D63"/>
    <w:rsid w:val="00541E07"/>
    <w:rsid w:val="0054226B"/>
    <w:rsid w:val="00542FD6"/>
    <w:rsid w:val="00543058"/>
    <w:rsid w:val="00543229"/>
    <w:rsid w:val="00543C10"/>
    <w:rsid w:val="00543D4C"/>
    <w:rsid w:val="00544003"/>
    <w:rsid w:val="005448EE"/>
    <w:rsid w:val="00544FA7"/>
    <w:rsid w:val="005452D6"/>
    <w:rsid w:val="005459FC"/>
    <w:rsid w:val="005463DC"/>
    <w:rsid w:val="00546E7A"/>
    <w:rsid w:val="00546EFA"/>
    <w:rsid w:val="0054704D"/>
    <w:rsid w:val="0054765C"/>
    <w:rsid w:val="0054766A"/>
    <w:rsid w:val="00547A59"/>
    <w:rsid w:val="00550A32"/>
    <w:rsid w:val="00550C70"/>
    <w:rsid w:val="00550D27"/>
    <w:rsid w:val="00550DCE"/>
    <w:rsid w:val="005510C6"/>
    <w:rsid w:val="005510D1"/>
    <w:rsid w:val="0055118C"/>
    <w:rsid w:val="00551718"/>
    <w:rsid w:val="005519D3"/>
    <w:rsid w:val="00552284"/>
    <w:rsid w:val="00552809"/>
    <w:rsid w:val="00552CE3"/>
    <w:rsid w:val="00552D27"/>
    <w:rsid w:val="00552F46"/>
    <w:rsid w:val="00553ADC"/>
    <w:rsid w:val="00553AF8"/>
    <w:rsid w:val="0055400D"/>
    <w:rsid w:val="00554180"/>
    <w:rsid w:val="00554235"/>
    <w:rsid w:val="005545EF"/>
    <w:rsid w:val="00554FB5"/>
    <w:rsid w:val="005551B1"/>
    <w:rsid w:val="00555600"/>
    <w:rsid w:val="00555B73"/>
    <w:rsid w:val="00555DC4"/>
    <w:rsid w:val="00555FB7"/>
    <w:rsid w:val="00556540"/>
    <w:rsid w:val="00556E7F"/>
    <w:rsid w:val="0055711F"/>
    <w:rsid w:val="00557164"/>
    <w:rsid w:val="00557317"/>
    <w:rsid w:val="005573FC"/>
    <w:rsid w:val="00560032"/>
    <w:rsid w:val="0056017B"/>
    <w:rsid w:val="00560709"/>
    <w:rsid w:val="00560F6C"/>
    <w:rsid w:val="0056252E"/>
    <w:rsid w:val="005628CB"/>
    <w:rsid w:val="0056332D"/>
    <w:rsid w:val="00563C75"/>
    <w:rsid w:val="00563DD0"/>
    <w:rsid w:val="00564592"/>
    <w:rsid w:val="00564E06"/>
    <w:rsid w:val="00564E0C"/>
    <w:rsid w:val="00565278"/>
    <w:rsid w:val="0056540F"/>
    <w:rsid w:val="00565F00"/>
    <w:rsid w:val="00565F84"/>
    <w:rsid w:val="0056618D"/>
    <w:rsid w:val="00566699"/>
    <w:rsid w:val="005668B6"/>
    <w:rsid w:val="00566B3C"/>
    <w:rsid w:val="00566CC9"/>
    <w:rsid w:val="0056787E"/>
    <w:rsid w:val="0056792A"/>
    <w:rsid w:val="00567A7A"/>
    <w:rsid w:val="00567B3C"/>
    <w:rsid w:val="00567F4E"/>
    <w:rsid w:val="005703DD"/>
    <w:rsid w:val="005704ED"/>
    <w:rsid w:val="00570529"/>
    <w:rsid w:val="00570C49"/>
    <w:rsid w:val="00570F53"/>
    <w:rsid w:val="0057128C"/>
    <w:rsid w:val="005712E9"/>
    <w:rsid w:val="0057164F"/>
    <w:rsid w:val="0057232E"/>
    <w:rsid w:val="00572924"/>
    <w:rsid w:val="00572C85"/>
    <w:rsid w:val="0057305D"/>
    <w:rsid w:val="00573502"/>
    <w:rsid w:val="00573B58"/>
    <w:rsid w:val="00574173"/>
    <w:rsid w:val="0057450E"/>
    <w:rsid w:val="00574668"/>
    <w:rsid w:val="005747D3"/>
    <w:rsid w:val="00574BCB"/>
    <w:rsid w:val="0057506E"/>
    <w:rsid w:val="00575710"/>
    <w:rsid w:val="00575918"/>
    <w:rsid w:val="00575FA1"/>
    <w:rsid w:val="00575FD3"/>
    <w:rsid w:val="005768C1"/>
    <w:rsid w:val="00576E10"/>
    <w:rsid w:val="00577B06"/>
    <w:rsid w:val="00577FCD"/>
    <w:rsid w:val="005804F4"/>
    <w:rsid w:val="00581006"/>
    <w:rsid w:val="00581252"/>
    <w:rsid w:val="0058184E"/>
    <w:rsid w:val="005818E0"/>
    <w:rsid w:val="00582645"/>
    <w:rsid w:val="005827EE"/>
    <w:rsid w:val="00582844"/>
    <w:rsid w:val="00582DD5"/>
    <w:rsid w:val="0058313E"/>
    <w:rsid w:val="00583630"/>
    <w:rsid w:val="00583758"/>
    <w:rsid w:val="00583818"/>
    <w:rsid w:val="00583F7A"/>
    <w:rsid w:val="005849B0"/>
    <w:rsid w:val="00584DC9"/>
    <w:rsid w:val="00585166"/>
    <w:rsid w:val="00585681"/>
    <w:rsid w:val="00585810"/>
    <w:rsid w:val="00585998"/>
    <w:rsid w:val="00586218"/>
    <w:rsid w:val="00586E7F"/>
    <w:rsid w:val="00587577"/>
    <w:rsid w:val="005876B3"/>
    <w:rsid w:val="00587B0E"/>
    <w:rsid w:val="00587DB7"/>
    <w:rsid w:val="00590424"/>
    <w:rsid w:val="005906A9"/>
    <w:rsid w:val="00590D5A"/>
    <w:rsid w:val="0059159B"/>
    <w:rsid w:val="00591EA3"/>
    <w:rsid w:val="0059287E"/>
    <w:rsid w:val="00592892"/>
    <w:rsid w:val="00592A09"/>
    <w:rsid w:val="00592AB5"/>
    <w:rsid w:val="00592C69"/>
    <w:rsid w:val="00592E47"/>
    <w:rsid w:val="0059328A"/>
    <w:rsid w:val="0059341E"/>
    <w:rsid w:val="00593640"/>
    <w:rsid w:val="00593D0A"/>
    <w:rsid w:val="00594BFE"/>
    <w:rsid w:val="00595BC3"/>
    <w:rsid w:val="00595EBA"/>
    <w:rsid w:val="00595F40"/>
    <w:rsid w:val="00596E29"/>
    <w:rsid w:val="00596E66"/>
    <w:rsid w:val="00597651"/>
    <w:rsid w:val="00597A4F"/>
    <w:rsid w:val="00597F36"/>
    <w:rsid w:val="005A043B"/>
    <w:rsid w:val="005A04A9"/>
    <w:rsid w:val="005A1080"/>
    <w:rsid w:val="005A1A58"/>
    <w:rsid w:val="005A1E44"/>
    <w:rsid w:val="005A27F0"/>
    <w:rsid w:val="005A31DB"/>
    <w:rsid w:val="005A3238"/>
    <w:rsid w:val="005A3608"/>
    <w:rsid w:val="005A3DC7"/>
    <w:rsid w:val="005A3EB4"/>
    <w:rsid w:val="005A3ECB"/>
    <w:rsid w:val="005A3FB6"/>
    <w:rsid w:val="005A44C9"/>
    <w:rsid w:val="005A44DD"/>
    <w:rsid w:val="005A4E74"/>
    <w:rsid w:val="005A500B"/>
    <w:rsid w:val="005A5132"/>
    <w:rsid w:val="005A5261"/>
    <w:rsid w:val="005A5B1C"/>
    <w:rsid w:val="005A5D63"/>
    <w:rsid w:val="005A62B9"/>
    <w:rsid w:val="005A62FC"/>
    <w:rsid w:val="005A6A70"/>
    <w:rsid w:val="005A6D39"/>
    <w:rsid w:val="005A72E8"/>
    <w:rsid w:val="005A7304"/>
    <w:rsid w:val="005A7928"/>
    <w:rsid w:val="005A7E56"/>
    <w:rsid w:val="005B0062"/>
    <w:rsid w:val="005B07CA"/>
    <w:rsid w:val="005B0D49"/>
    <w:rsid w:val="005B0E75"/>
    <w:rsid w:val="005B1378"/>
    <w:rsid w:val="005B1F91"/>
    <w:rsid w:val="005B2C03"/>
    <w:rsid w:val="005B2C73"/>
    <w:rsid w:val="005B2D10"/>
    <w:rsid w:val="005B3577"/>
    <w:rsid w:val="005B39CC"/>
    <w:rsid w:val="005B3CAE"/>
    <w:rsid w:val="005B422C"/>
    <w:rsid w:val="005B49D4"/>
    <w:rsid w:val="005B4FBB"/>
    <w:rsid w:val="005B540E"/>
    <w:rsid w:val="005B5972"/>
    <w:rsid w:val="005B6944"/>
    <w:rsid w:val="005B6995"/>
    <w:rsid w:val="005B6A41"/>
    <w:rsid w:val="005B7879"/>
    <w:rsid w:val="005B79CB"/>
    <w:rsid w:val="005B7A8E"/>
    <w:rsid w:val="005C0A59"/>
    <w:rsid w:val="005C0CE4"/>
    <w:rsid w:val="005C0F7D"/>
    <w:rsid w:val="005C1576"/>
    <w:rsid w:val="005C15C1"/>
    <w:rsid w:val="005C16C0"/>
    <w:rsid w:val="005C21F9"/>
    <w:rsid w:val="005C22AA"/>
    <w:rsid w:val="005C274B"/>
    <w:rsid w:val="005C3241"/>
    <w:rsid w:val="005C337D"/>
    <w:rsid w:val="005C341D"/>
    <w:rsid w:val="005C4181"/>
    <w:rsid w:val="005C44A3"/>
    <w:rsid w:val="005C4603"/>
    <w:rsid w:val="005C5146"/>
    <w:rsid w:val="005C6277"/>
    <w:rsid w:val="005C68CD"/>
    <w:rsid w:val="005C6D12"/>
    <w:rsid w:val="005C6E93"/>
    <w:rsid w:val="005C70BA"/>
    <w:rsid w:val="005C72A7"/>
    <w:rsid w:val="005C734E"/>
    <w:rsid w:val="005C7CFB"/>
    <w:rsid w:val="005D0553"/>
    <w:rsid w:val="005D0A6A"/>
    <w:rsid w:val="005D0B36"/>
    <w:rsid w:val="005D12CF"/>
    <w:rsid w:val="005D1911"/>
    <w:rsid w:val="005D1E16"/>
    <w:rsid w:val="005D26B0"/>
    <w:rsid w:val="005D28D8"/>
    <w:rsid w:val="005D2AA3"/>
    <w:rsid w:val="005D2CC4"/>
    <w:rsid w:val="005D2E88"/>
    <w:rsid w:val="005D3525"/>
    <w:rsid w:val="005D386E"/>
    <w:rsid w:val="005D39C6"/>
    <w:rsid w:val="005D3A84"/>
    <w:rsid w:val="005D3A9F"/>
    <w:rsid w:val="005D3AD6"/>
    <w:rsid w:val="005D3ADC"/>
    <w:rsid w:val="005D3DFC"/>
    <w:rsid w:val="005D44A0"/>
    <w:rsid w:val="005D44E4"/>
    <w:rsid w:val="005D4B91"/>
    <w:rsid w:val="005D4CCF"/>
    <w:rsid w:val="005D4DD7"/>
    <w:rsid w:val="005D4ECF"/>
    <w:rsid w:val="005D529C"/>
    <w:rsid w:val="005D57F4"/>
    <w:rsid w:val="005D5F61"/>
    <w:rsid w:val="005D5FE5"/>
    <w:rsid w:val="005D61FD"/>
    <w:rsid w:val="005D620E"/>
    <w:rsid w:val="005D64C2"/>
    <w:rsid w:val="005D651B"/>
    <w:rsid w:val="005D66E1"/>
    <w:rsid w:val="005D67DC"/>
    <w:rsid w:val="005D68A2"/>
    <w:rsid w:val="005D72A2"/>
    <w:rsid w:val="005D7B8A"/>
    <w:rsid w:val="005D7D97"/>
    <w:rsid w:val="005D7FF0"/>
    <w:rsid w:val="005E018D"/>
    <w:rsid w:val="005E026E"/>
    <w:rsid w:val="005E03D5"/>
    <w:rsid w:val="005E0468"/>
    <w:rsid w:val="005E17E8"/>
    <w:rsid w:val="005E1AF0"/>
    <w:rsid w:val="005E2066"/>
    <w:rsid w:val="005E2A79"/>
    <w:rsid w:val="005E33B4"/>
    <w:rsid w:val="005E3D89"/>
    <w:rsid w:val="005E41CD"/>
    <w:rsid w:val="005E436D"/>
    <w:rsid w:val="005E4561"/>
    <w:rsid w:val="005E4689"/>
    <w:rsid w:val="005E5824"/>
    <w:rsid w:val="005E5876"/>
    <w:rsid w:val="005E5A69"/>
    <w:rsid w:val="005E6692"/>
    <w:rsid w:val="005E6874"/>
    <w:rsid w:val="005E72D4"/>
    <w:rsid w:val="005E74A7"/>
    <w:rsid w:val="005E7819"/>
    <w:rsid w:val="005E7E5F"/>
    <w:rsid w:val="005E7FA4"/>
    <w:rsid w:val="005F0018"/>
    <w:rsid w:val="005F03FC"/>
    <w:rsid w:val="005F070C"/>
    <w:rsid w:val="005F1743"/>
    <w:rsid w:val="005F1AC6"/>
    <w:rsid w:val="005F2FE7"/>
    <w:rsid w:val="005F315A"/>
    <w:rsid w:val="005F38EB"/>
    <w:rsid w:val="005F3AC5"/>
    <w:rsid w:val="005F3DB8"/>
    <w:rsid w:val="005F46F1"/>
    <w:rsid w:val="005F4AEF"/>
    <w:rsid w:val="005F4EC4"/>
    <w:rsid w:val="005F5950"/>
    <w:rsid w:val="005F5E42"/>
    <w:rsid w:val="005F6CF6"/>
    <w:rsid w:val="005F6E5A"/>
    <w:rsid w:val="005F7455"/>
    <w:rsid w:val="005F773A"/>
    <w:rsid w:val="005F7DDC"/>
    <w:rsid w:val="00600294"/>
    <w:rsid w:val="0060083B"/>
    <w:rsid w:val="00600A9F"/>
    <w:rsid w:val="00600BEA"/>
    <w:rsid w:val="00600F26"/>
    <w:rsid w:val="00601AD2"/>
    <w:rsid w:val="00601B3E"/>
    <w:rsid w:val="00601D27"/>
    <w:rsid w:val="00602134"/>
    <w:rsid w:val="00602C1A"/>
    <w:rsid w:val="00602D3A"/>
    <w:rsid w:val="00602FEC"/>
    <w:rsid w:val="00603295"/>
    <w:rsid w:val="006037A1"/>
    <w:rsid w:val="00603868"/>
    <w:rsid w:val="00603A24"/>
    <w:rsid w:val="00603D50"/>
    <w:rsid w:val="00603FDD"/>
    <w:rsid w:val="00604631"/>
    <w:rsid w:val="00605115"/>
    <w:rsid w:val="00605595"/>
    <w:rsid w:val="0060566B"/>
    <w:rsid w:val="006056D5"/>
    <w:rsid w:val="00605B3C"/>
    <w:rsid w:val="00605F11"/>
    <w:rsid w:val="0060629D"/>
    <w:rsid w:val="00606AA8"/>
    <w:rsid w:val="00606B0F"/>
    <w:rsid w:val="006071C1"/>
    <w:rsid w:val="006071F7"/>
    <w:rsid w:val="00607214"/>
    <w:rsid w:val="006077D8"/>
    <w:rsid w:val="00607FCA"/>
    <w:rsid w:val="006102E6"/>
    <w:rsid w:val="00610434"/>
    <w:rsid w:val="00610A29"/>
    <w:rsid w:val="0061136B"/>
    <w:rsid w:val="00612293"/>
    <w:rsid w:val="00612436"/>
    <w:rsid w:val="0061269B"/>
    <w:rsid w:val="00612751"/>
    <w:rsid w:val="00612FAC"/>
    <w:rsid w:val="00613844"/>
    <w:rsid w:val="00613A56"/>
    <w:rsid w:val="00613DC9"/>
    <w:rsid w:val="00614350"/>
    <w:rsid w:val="00614567"/>
    <w:rsid w:val="00614BE2"/>
    <w:rsid w:val="00615097"/>
    <w:rsid w:val="0061530A"/>
    <w:rsid w:val="00616249"/>
    <w:rsid w:val="0061673D"/>
    <w:rsid w:val="006167C8"/>
    <w:rsid w:val="0061690A"/>
    <w:rsid w:val="00616E47"/>
    <w:rsid w:val="00620A1B"/>
    <w:rsid w:val="00621749"/>
    <w:rsid w:val="00621A99"/>
    <w:rsid w:val="00621D5D"/>
    <w:rsid w:val="00622332"/>
    <w:rsid w:val="0062244F"/>
    <w:rsid w:val="006224CE"/>
    <w:rsid w:val="006226C8"/>
    <w:rsid w:val="00622B01"/>
    <w:rsid w:val="0062319C"/>
    <w:rsid w:val="006231FB"/>
    <w:rsid w:val="00623493"/>
    <w:rsid w:val="006236C3"/>
    <w:rsid w:val="00623833"/>
    <w:rsid w:val="00623CA7"/>
    <w:rsid w:val="00623F2B"/>
    <w:rsid w:val="0062424F"/>
    <w:rsid w:val="00624A29"/>
    <w:rsid w:val="00624A61"/>
    <w:rsid w:val="00625620"/>
    <w:rsid w:val="00625BC0"/>
    <w:rsid w:val="00626481"/>
    <w:rsid w:val="00626B63"/>
    <w:rsid w:val="00626C64"/>
    <w:rsid w:val="00626F5A"/>
    <w:rsid w:val="006274DB"/>
    <w:rsid w:val="00627689"/>
    <w:rsid w:val="006276FE"/>
    <w:rsid w:val="00627913"/>
    <w:rsid w:val="00630471"/>
    <w:rsid w:val="006304E0"/>
    <w:rsid w:val="00630513"/>
    <w:rsid w:val="006308BF"/>
    <w:rsid w:val="00630F0E"/>
    <w:rsid w:val="00630F10"/>
    <w:rsid w:val="006310EA"/>
    <w:rsid w:val="00631589"/>
    <w:rsid w:val="0063166F"/>
    <w:rsid w:val="00631DEF"/>
    <w:rsid w:val="00631F32"/>
    <w:rsid w:val="006326C4"/>
    <w:rsid w:val="006328D3"/>
    <w:rsid w:val="00632C5E"/>
    <w:rsid w:val="00632F3D"/>
    <w:rsid w:val="0063355C"/>
    <w:rsid w:val="00633B45"/>
    <w:rsid w:val="006342CC"/>
    <w:rsid w:val="0063469A"/>
    <w:rsid w:val="00634812"/>
    <w:rsid w:val="00634CBC"/>
    <w:rsid w:val="00635422"/>
    <w:rsid w:val="00635433"/>
    <w:rsid w:val="00636211"/>
    <w:rsid w:val="006362E5"/>
    <w:rsid w:val="006363C7"/>
    <w:rsid w:val="00636916"/>
    <w:rsid w:val="006369BD"/>
    <w:rsid w:val="00636BDE"/>
    <w:rsid w:val="00636DA8"/>
    <w:rsid w:val="006370D0"/>
    <w:rsid w:val="0063787C"/>
    <w:rsid w:val="00640075"/>
    <w:rsid w:val="00640714"/>
    <w:rsid w:val="00640A9A"/>
    <w:rsid w:val="00641121"/>
    <w:rsid w:val="00641338"/>
    <w:rsid w:val="00641667"/>
    <w:rsid w:val="006424AA"/>
    <w:rsid w:val="00642927"/>
    <w:rsid w:val="00642EF3"/>
    <w:rsid w:val="006430B9"/>
    <w:rsid w:val="0064328A"/>
    <w:rsid w:val="0064336B"/>
    <w:rsid w:val="00643393"/>
    <w:rsid w:val="00644C56"/>
    <w:rsid w:val="00644F26"/>
    <w:rsid w:val="0064559C"/>
    <w:rsid w:val="00645875"/>
    <w:rsid w:val="00647484"/>
    <w:rsid w:val="00647A96"/>
    <w:rsid w:val="00647BBB"/>
    <w:rsid w:val="00647DB5"/>
    <w:rsid w:val="00647DED"/>
    <w:rsid w:val="00650C84"/>
    <w:rsid w:val="00650E32"/>
    <w:rsid w:val="00650FDA"/>
    <w:rsid w:val="0065137E"/>
    <w:rsid w:val="0065142E"/>
    <w:rsid w:val="006515CD"/>
    <w:rsid w:val="00651B45"/>
    <w:rsid w:val="0065225A"/>
    <w:rsid w:val="006522DD"/>
    <w:rsid w:val="00652B9B"/>
    <w:rsid w:val="00652D9F"/>
    <w:rsid w:val="00653471"/>
    <w:rsid w:val="00653BBF"/>
    <w:rsid w:val="00653BEE"/>
    <w:rsid w:val="00653CDD"/>
    <w:rsid w:val="006545EC"/>
    <w:rsid w:val="00654642"/>
    <w:rsid w:val="006546E0"/>
    <w:rsid w:val="00654C17"/>
    <w:rsid w:val="00654C56"/>
    <w:rsid w:val="00654C69"/>
    <w:rsid w:val="00654FA7"/>
    <w:rsid w:val="00656150"/>
    <w:rsid w:val="0065645B"/>
    <w:rsid w:val="00656D6F"/>
    <w:rsid w:val="00657367"/>
    <w:rsid w:val="00657EE1"/>
    <w:rsid w:val="006600DB"/>
    <w:rsid w:val="00660F71"/>
    <w:rsid w:val="00661161"/>
    <w:rsid w:val="00661243"/>
    <w:rsid w:val="006617AE"/>
    <w:rsid w:val="00661EFE"/>
    <w:rsid w:val="00662921"/>
    <w:rsid w:val="00662B4E"/>
    <w:rsid w:val="00662C7C"/>
    <w:rsid w:val="00662CA5"/>
    <w:rsid w:val="00663214"/>
    <w:rsid w:val="00663715"/>
    <w:rsid w:val="00663F6A"/>
    <w:rsid w:val="0066575E"/>
    <w:rsid w:val="00665BCA"/>
    <w:rsid w:val="00665BD2"/>
    <w:rsid w:val="00666914"/>
    <w:rsid w:val="00667131"/>
    <w:rsid w:val="00667569"/>
    <w:rsid w:val="00667773"/>
    <w:rsid w:val="006677A6"/>
    <w:rsid w:val="00667BED"/>
    <w:rsid w:val="0067051D"/>
    <w:rsid w:val="00670A2D"/>
    <w:rsid w:val="00670AFC"/>
    <w:rsid w:val="00670FD5"/>
    <w:rsid w:val="006711FF"/>
    <w:rsid w:val="006712AA"/>
    <w:rsid w:val="0067151A"/>
    <w:rsid w:val="006718BD"/>
    <w:rsid w:val="00671A4B"/>
    <w:rsid w:val="0067232A"/>
    <w:rsid w:val="006725CB"/>
    <w:rsid w:val="00672B4E"/>
    <w:rsid w:val="00672F00"/>
    <w:rsid w:val="0067302F"/>
    <w:rsid w:val="00673E8F"/>
    <w:rsid w:val="006743C9"/>
    <w:rsid w:val="00674A65"/>
    <w:rsid w:val="0067519E"/>
    <w:rsid w:val="00675C6E"/>
    <w:rsid w:val="00676020"/>
    <w:rsid w:val="006776F4"/>
    <w:rsid w:val="00677CED"/>
    <w:rsid w:val="00677ECD"/>
    <w:rsid w:val="00677FA3"/>
    <w:rsid w:val="00680262"/>
    <w:rsid w:val="0068035A"/>
    <w:rsid w:val="0068070C"/>
    <w:rsid w:val="00680DD4"/>
    <w:rsid w:val="00680E87"/>
    <w:rsid w:val="00680F8D"/>
    <w:rsid w:val="00680FF8"/>
    <w:rsid w:val="0068169B"/>
    <w:rsid w:val="0068178B"/>
    <w:rsid w:val="00682119"/>
    <w:rsid w:val="006822E3"/>
    <w:rsid w:val="00682913"/>
    <w:rsid w:val="0068303B"/>
    <w:rsid w:val="0068334E"/>
    <w:rsid w:val="00683368"/>
    <w:rsid w:val="006837EA"/>
    <w:rsid w:val="00683A45"/>
    <w:rsid w:val="00683B40"/>
    <w:rsid w:val="00683B98"/>
    <w:rsid w:val="00683CC2"/>
    <w:rsid w:val="0068459B"/>
    <w:rsid w:val="00684681"/>
    <w:rsid w:val="006847CD"/>
    <w:rsid w:val="0068484C"/>
    <w:rsid w:val="00685D3C"/>
    <w:rsid w:val="00685D66"/>
    <w:rsid w:val="00685DE6"/>
    <w:rsid w:val="00685DF5"/>
    <w:rsid w:val="00686EC8"/>
    <w:rsid w:val="00686FDC"/>
    <w:rsid w:val="006872DB"/>
    <w:rsid w:val="0068767D"/>
    <w:rsid w:val="00687F58"/>
    <w:rsid w:val="00690242"/>
    <w:rsid w:val="0069090F"/>
    <w:rsid w:val="00690939"/>
    <w:rsid w:val="006909F2"/>
    <w:rsid w:val="00690B46"/>
    <w:rsid w:val="0069133E"/>
    <w:rsid w:val="00691A8B"/>
    <w:rsid w:val="00691CEF"/>
    <w:rsid w:val="00691DE0"/>
    <w:rsid w:val="00691E83"/>
    <w:rsid w:val="00692C92"/>
    <w:rsid w:val="0069306B"/>
    <w:rsid w:val="00693088"/>
    <w:rsid w:val="006935C7"/>
    <w:rsid w:val="0069393C"/>
    <w:rsid w:val="00693FBF"/>
    <w:rsid w:val="0069472E"/>
    <w:rsid w:val="00694C88"/>
    <w:rsid w:val="00694D62"/>
    <w:rsid w:val="0069554A"/>
    <w:rsid w:val="006958A8"/>
    <w:rsid w:val="00695AAB"/>
    <w:rsid w:val="00695B5B"/>
    <w:rsid w:val="00695BBC"/>
    <w:rsid w:val="00695D76"/>
    <w:rsid w:val="00695F05"/>
    <w:rsid w:val="00696515"/>
    <w:rsid w:val="00696843"/>
    <w:rsid w:val="00696C15"/>
    <w:rsid w:val="00696C5D"/>
    <w:rsid w:val="00696E11"/>
    <w:rsid w:val="006971D3"/>
    <w:rsid w:val="006972E0"/>
    <w:rsid w:val="00697A87"/>
    <w:rsid w:val="006A0123"/>
    <w:rsid w:val="006A0160"/>
    <w:rsid w:val="006A03E8"/>
    <w:rsid w:val="006A070F"/>
    <w:rsid w:val="006A0EFA"/>
    <w:rsid w:val="006A158D"/>
    <w:rsid w:val="006A190D"/>
    <w:rsid w:val="006A2490"/>
    <w:rsid w:val="006A2BB9"/>
    <w:rsid w:val="006A3411"/>
    <w:rsid w:val="006A36A4"/>
    <w:rsid w:val="006A377D"/>
    <w:rsid w:val="006A37E6"/>
    <w:rsid w:val="006A3D54"/>
    <w:rsid w:val="006A4644"/>
    <w:rsid w:val="006A46B6"/>
    <w:rsid w:val="006A4A9F"/>
    <w:rsid w:val="006A4C99"/>
    <w:rsid w:val="006A4CB0"/>
    <w:rsid w:val="006A4D77"/>
    <w:rsid w:val="006A4DA9"/>
    <w:rsid w:val="006A4FB8"/>
    <w:rsid w:val="006A5546"/>
    <w:rsid w:val="006A58FE"/>
    <w:rsid w:val="006A5EB9"/>
    <w:rsid w:val="006A6039"/>
    <w:rsid w:val="006A6086"/>
    <w:rsid w:val="006A6500"/>
    <w:rsid w:val="006A6D16"/>
    <w:rsid w:val="006A6E56"/>
    <w:rsid w:val="006A7071"/>
    <w:rsid w:val="006A70B4"/>
    <w:rsid w:val="006A727B"/>
    <w:rsid w:val="006A7D03"/>
    <w:rsid w:val="006A7E72"/>
    <w:rsid w:val="006A7F53"/>
    <w:rsid w:val="006B0056"/>
    <w:rsid w:val="006B0AEC"/>
    <w:rsid w:val="006B0E4A"/>
    <w:rsid w:val="006B0F57"/>
    <w:rsid w:val="006B1383"/>
    <w:rsid w:val="006B170D"/>
    <w:rsid w:val="006B2373"/>
    <w:rsid w:val="006B2908"/>
    <w:rsid w:val="006B2AEE"/>
    <w:rsid w:val="006B2D6D"/>
    <w:rsid w:val="006B2FAE"/>
    <w:rsid w:val="006B36E7"/>
    <w:rsid w:val="006B3773"/>
    <w:rsid w:val="006B3D11"/>
    <w:rsid w:val="006B3EC5"/>
    <w:rsid w:val="006B4658"/>
    <w:rsid w:val="006B483C"/>
    <w:rsid w:val="006B4ACA"/>
    <w:rsid w:val="006B4F09"/>
    <w:rsid w:val="006B5562"/>
    <w:rsid w:val="006B661C"/>
    <w:rsid w:val="006B6F3B"/>
    <w:rsid w:val="006B7163"/>
    <w:rsid w:val="006B7493"/>
    <w:rsid w:val="006B75E7"/>
    <w:rsid w:val="006B75E9"/>
    <w:rsid w:val="006C0391"/>
    <w:rsid w:val="006C0636"/>
    <w:rsid w:val="006C0687"/>
    <w:rsid w:val="006C0E81"/>
    <w:rsid w:val="006C19CB"/>
    <w:rsid w:val="006C1CEF"/>
    <w:rsid w:val="006C25B1"/>
    <w:rsid w:val="006C25EE"/>
    <w:rsid w:val="006C28D1"/>
    <w:rsid w:val="006C35A3"/>
    <w:rsid w:val="006C459E"/>
    <w:rsid w:val="006C45D6"/>
    <w:rsid w:val="006C4F7D"/>
    <w:rsid w:val="006C5038"/>
    <w:rsid w:val="006C5047"/>
    <w:rsid w:val="006C518A"/>
    <w:rsid w:val="006C52D5"/>
    <w:rsid w:val="006C558F"/>
    <w:rsid w:val="006C5917"/>
    <w:rsid w:val="006C670D"/>
    <w:rsid w:val="006C697E"/>
    <w:rsid w:val="006C6A75"/>
    <w:rsid w:val="006C6D69"/>
    <w:rsid w:val="006C725A"/>
    <w:rsid w:val="006C78DD"/>
    <w:rsid w:val="006D05B0"/>
    <w:rsid w:val="006D085C"/>
    <w:rsid w:val="006D09A0"/>
    <w:rsid w:val="006D1170"/>
    <w:rsid w:val="006D1C34"/>
    <w:rsid w:val="006D1CE4"/>
    <w:rsid w:val="006D2478"/>
    <w:rsid w:val="006D2492"/>
    <w:rsid w:val="006D285C"/>
    <w:rsid w:val="006D2A32"/>
    <w:rsid w:val="006D2B8C"/>
    <w:rsid w:val="006D2C63"/>
    <w:rsid w:val="006D2DA7"/>
    <w:rsid w:val="006D2DC2"/>
    <w:rsid w:val="006D2FB8"/>
    <w:rsid w:val="006D362A"/>
    <w:rsid w:val="006D407C"/>
    <w:rsid w:val="006D420F"/>
    <w:rsid w:val="006D4243"/>
    <w:rsid w:val="006D4668"/>
    <w:rsid w:val="006D489B"/>
    <w:rsid w:val="006D4A40"/>
    <w:rsid w:val="006D4C12"/>
    <w:rsid w:val="006D4D77"/>
    <w:rsid w:val="006D609A"/>
    <w:rsid w:val="006D611F"/>
    <w:rsid w:val="006D62B3"/>
    <w:rsid w:val="006D661C"/>
    <w:rsid w:val="006D6734"/>
    <w:rsid w:val="006D6B92"/>
    <w:rsid w:val="006D6BE7"/>
    <w:rsid w:val="006D6C6B"/>
    <w:rsid w:val="006D6D0C"/>
    <w:rsid w:val="006D7C9C"/>
    <w:rsid w:val="006D7EB9"/>
    <w:rsid w:val="006E0332"/>
    <w:rsid w:val="006E119A"/>
    <w:rsid w:val="006E155B"/>
    <w:rsid w:val="006E18BA"/>
    <w:rsid w:val="006E1922"/>
    <w:rsid w:val="006E1B05"/>
    <w:rsid w:val="006E22ED"/>
    <w:rsid w:val="006E2315"/>
    <w:rsid w:val="006E2661"/>
    <w:rsid w:val="006E37BF"/>
    <w:rsid w:val="006E393F"/>
    <w:rsid w:val="006E456D"/>
    <w:rsid w:val="006E4829"/>
    <w:rsid w:val="006E4845"/>
    <w:rsid w:val="006E48D4"/>
    <w:rsid w:val="006E5176"/>
    <w:rsid w:val="006E5200"/>
    <w:rsid w:val="006E58B5"/>
    <w:rsid w:val="006E59B4"/>
    <w:rsid w:val="006E6215"/>
    <w:rsid w:val="006E6A11"/>
    <w:rsid w:val="006E7522"/>
    <w:rsid w:val="006E797E"/>
    <w:rsid w:val="006F00BF"/>
    <w:rsid w:val="006F08C8"/>
    <w:rsid w:val="006F098E"/>
    <w:rsid w:val="006F0B21"/>
    <w:rsid w:val="006F0FE7"/>
    <w:rsid w:val="006F1C49"/>
    <w:rsid w:val="006F206D"/>
    <w:rsid w:val="006F21A4"/>
    <w:rsid w:val="006F29B5"/>
    <w:rsid w:val="006F2A97"/>
    <w:rsid w:val="006F3C17"/>
    <w:rsid w:val="006F41E6"/>
    <w:rsid w:val="006F42E5"/>
    <w:rsid w:val="006F4EAC"/>
    <w:rsid w:val="006F4F17"/>
    <w:rsid w:val="006F5294"/>
    <w:rsid w:val="006F55F0"/>
    <w:rsid w:val="006F5E51"/>
    <w:rsid w:val="006F63F7"/>
    <w:rsid w:val="006F6752"/>
    <w:rsid w:val="006F6C89"/>
    <w:rsid w:val="006F6CD5"/>
    <w:rsid w:val="006F6DF0"/>
    <w:rsid w:val="006F7199"/>
    <w:rsid w:val="006F7C5A"/>
    <w:rsid w:val="0070030D"/>
    <w:rsid w:val="007004C7"/>
    <w:rsid w:val="007009CA"/>
    <w:rsid w:val="00700BBB"/>
    <w:rsid w:val="00700F10"/>
    <w:rsid w:val="0070226F"/>
    <w:rsid w:val="00702348"/>
    <w:rsid w:val="0070238B"/>
    <w:rsid w:val="00702764"/>
    <w:rsid w:val="007027DF"/>
    <w:rsid w:val="007028F9"/>
    <w:rsid w:val="0070299F"/>
    <w:rsid w:val="00702E91"/>
    <w:rsid w:val="007031FC"/>
    <w:rsid w:val="00703378"/>
    <w:rsid w:val="007035A5"/>
    <w:rsid w:val="007036B1"/>
    <w:rsid w:val="0070386F"/>
    <w:rsid w:val="0070425F"/>
    <w:rsid w:val="00704823"/>
    <w:rsid w:val="00704C50"/>
    <w:rsid w:val="00705206"/>
    <w:rsid w:val="0070526E"/>
    <w:rsid w:val="0070554B"/>
    <w:rsid w:val="00705944"/>
    <w:rsid w:val="007061E9"/>
    <w:rsid w:val="007065DA"/>
    <w:rsid w:val="007067C3"/>
    <w:rsid w:val="00706ABD"/>
    <w:rsid w:val="00706D84"/>
    <w:rsid w:val="00706DC4"/>
    <w:rsid w:val="007074B3"/>
    <w:rsid w:val="007075F7"/>
    <w:rsid w:val="00707C31"/>
    <w:rsid w:val="00707CC0"/>
    <w:rsid w:val="0071053D"/>
    <w:rsid w:val="007109AD"/>
    <w:rsid w:val="00710BBC"/>
    <w:rsid w:val="00711066"/>
    <w:rsid w:val="007110F8"/>
    <w:rsid w:val="007116F9"/>
    <w:rsid w:val="00711833"/>
    <w:rsid w:val="00712417"/>
    <w:rsid w:val="00712643"/>
    <w:rsid w:val="00712F37"/>
    <w:rsid w:val="00713395"/>
    <w:rsid w:val="00713425"/>
    <w:rsid w:val="00713AF2"/>
    <w:rsid w:val="00713DE4"/>
    <w:rsid w:val="00713F6A"/>
    <w:rsid w:val="007142F7"/>
    <w:rsid w:val="00716D50"/>
    <w:rsid w:val="007174E8"/>
    <w:rsid w:val="00717719"/>
    <w:rsid w:val="007177D1"/>
    <w:rsid w:val="00717C21"/>
    <w:rsid w:val="00717C6B"/>
    <w:rsid w:val="00717EC2"/>
    <w:rsid w:val="00720369"/>
    <w:rsid w:val="0072037D"/>
    <w:rsid w:val="007207E9"/>
    <w:rsid w:val="00720872"/>
    <w:rsid w:val="00720E30"/>
    <w:rsid w:val="00720E8B"/>
    <w:rsid w:val="007214F8"/>
    <w:rsid w:val="00721518"/>
    <w:rsid w:val="00721679"/>
    <w:rsid w:val="00721BD4"/>
    <w:rsid w:val="00722273"/>
    <w:rsid w:val="00722AC2"/>
    <w:rsid w:val="00722CE6"/>
    <w:rsid w:val="00722D34"/>
    <w:rsid w:val="00722D70"/>
    <w:rsid w:val="00722DD2"/>
    <w:rsid w:val="00722E79"/>
    <w:rsid w:val="00722E9C"/>
    <w:rsid w:val="00723073"/>
    <w:rsid w:val="00723220"/>
    <w:rsid w:val="007234C4"/>
    <w:rsid w:val="007239F1"/>
    <w:rsid w:val="00724FEF"/>
    <w:rsid w:val="007256C9"/>
    <w:rsid w:val="00725D7A"/>
    <w:rsid w:val="00725E54"/>
    <w:rsid w:val="00726BB7"/>
    <w:rsid w:val="00726E9F"/>
    <w:rsid w:val="00726EA4"/>
    <w:rsid w:val="00727542"/>
    <w:rsid w:val="00727B44"/>
    <w:rsid w:val="00727CC7"/>
    <w:rsid w:val="0073004F"/>
    <w:rsid w:val="007300B4"/>
    <w:rsid w:val="00730BAB"/>
    <w:rsid w:val="007315E9"/>
    <w:rsid w:val="0073232A"/>
    <w:rsid w:val="007323FE"/>
    <w:rsid w:val="00732579"/>
    <w:rsid w:val="00732634"/>
    <w:rsid w:val="00732DD2"/>
    <w:rsid w:val="00732E4C"/>
    <w:rsid w:val="00733615"/>
    <w:rsid w:val="00733A8D"/>
    <w:rsid w:val="0073404D"/>
    <w:rsid w:val="007347E2"/>
    <w:rsid w:val="00734E68"/>
    <w:rsid w:val="00734F7E"/>
    <w:rsid w:val="00735489"/>
    <w:rsid w:val="007355D4"/>
    <w:rsid w:val="0073621C"/>
    <w:rsid w:val="00736695"/>
    <w:rsid w:val="00736A65"/>
    <w:rsid w:val="00736CE6"/>
    <w:rsid w:val="00737080"/>
    <w:rsid w:val="0073730C"/>
    <w:rsid w:val="00737837"/>
    <w:rsid w:val="00737D66"/>
    <w:rsid w:val="00740065"/>
    <w:rsid w:val="007403F0"/>
    <w:rsid w:val="007406E2"/>
    <w:rsid w:val="00740ABC"/>
    <w:rsid w:val="00740ACE"/>
    <w:rsid w:val="00741041"/>
    <w:rsid w:val="00741102"/>
    <w:rsid w:val="0074259E"/>
    <w:rsid w:val="00742D3A"/>
    <w:rsid w:val="00743397"/>
    <w:rsid w:val="00743FF9"/>
    <w:rsid w:val="007443FD"/>
    <w:rsid w:val="00744DA5"/>
    <w:rsid w:val="00745013"/>
    <w:rsid w:val="00745CEA"/>
    <w:rsid w:val="00746031"/>
    <w:rsid w:val="0074612F"/>
    <w:rsid w:val="00746423"/>
    <w:rsid w:val="00746555"/>
    <w:rsid w:val="007467A7"/>
    <w:rsid w:val="00746B8C"/>
    <w:rsid w:val="00747CAF"/>
    <w:rsid w:val="00747F3B"/>
    <w:rsid w:val="007503A3"/>
    <w:rsid w:val="007505CE"/>
    <w:rsid w:val="007506BD"/>
    <w:rsid w:val="007508B2"/>
    <w:rsid w:val="00750BE3"/>
    <w:rsid w:val="00750BEE"/>
    <w:rsid w:val="00751566"/>
    <w:rsid w:val="007518D9"/>
    <w:rsid w:val="00752083"/>
    <w:rsid w:val="00753398"/>
    <w:rsid w:val="0075353E"/>
    <w:rsid w:val="0075371F"/>
    <w:rsid w:val="00753EA7"/>
    <w:rsid w:val="00754526"/>
    <w:rsid w:val="00755AFD"/>
    <w:rsid w:val="00755F91"/>
    <w:rsid w:val="007566DF"/>
    <w:rsid w:val="00756AC7"/>
    <w:rsid w:val="00756B59"/>
    <w:rsid w:val="00756DC6"/>
    <w:rsid w:val="007577B4"/>
    <w:rsid w:val="00761599"/>
    <w:rsid w:val="0076165B"/>
    <w:rsid w:val="00761D98"/>
    <w:rsid w:val="007621D6"/>
    <w:rsid w:val="007623E1"/>
    <w:rsid w:val="007627BC"/>
    <w:rsid w:val="00762DA7"/>
    <w:rsid w:val="00763633"/>
    <w:rsid w:val="00763E89"/>
    <w:rsid w:val="0076476D"/>
    <w:rsid w:val="00764AB6"/>
    <w:rsid w:val="00764AFE"/>
    <w:rsid w:val="00764B6E"/>
    <w:rsid w:val="00764C2D"/>
    <w:rsid w:val="00765940"/>
    <w:rsid w:val="00765CCE"/>
    <w:rsid w:val="00765CDF"/>
    <w:rsid w:val="0076636E"/>
    <w:rsid w:val="00766CF1"/>
    <w:rsid w:val="00767032"/>
    <w:rsid w:val="00767AB2"/>
    <w:rsid w:val="00767D60"/>
    <w:rsid w:val="00767E00"/>
    <w:rsid w:val="00767E95"/>
    <w:rsid w:val="00770D2B"/>
    <w:rsid w:val="00770DD8"/>
    <w:rsid w:val="007712CC"/>
    <w:rsid w:val="0077143E"/>
    <w:rsid w:val="0077174C"/>
    <w:rsid w:val="00771969"/>
    <w:rsid w:val="00771BC8"/>
    <w:rsid w:val="00771FEE"/>
    <w:rsid w:val="0077234D"/>
    <w:rsid w:val="00772AB6"/>
    <w:rsid w:val="00772ACE"/>
    <w:rsid w:val="0077312B"/>
    <w:rsid w:val="007731C5"/>
    <w:rsid w:val="00773399"/>
    <w:rsid w:val="00774142"/>
    <w:rsid w:val="007746ED"/>
    <w:rsid w:val="007749F3"/>
    <w:rsid w:val="00774B9F"/>
    <w:rsid w:val="007750D1"/>
    <w:rsid w:val="007751FE"/>
    <w:rsid w:val="0077537A"/>
    <w:rsid w:val="0077593C"/>
    <w:rsid w:val="00775EBD"/>
    <w:rsid w:val="00775F8A"/>
    <w:rsid w:val="007768ED"/>
    <w:rsid w:val="00776EB4"/>
    <w:rsid w:val="00777A71"/>
    <w:rsid w:val="00777CEC"/>
    <w:rsid w:val="00780232"/>
    <w:rsid w:val="007803FF"/>
    <w:rsid w:val="007804F3"/>
    <w:rsid w:val="007805FC"/>
    <w:rsid w:val="0078082A"/>
    <w:rsid w:val="00780AB8"/>
    <w:rsid w:val="00781055"/>
    <w:rsid w:val="007811C2"/>
    <w:rsid w:val="0078198A"/>
    <w:rsid w:val="007819ED"/>
    <w:rsid w:val="00781BEC"/>
    <w:rsid w:val="00781F37"/>
    <w:rsid w:val="007827F9"/>
    <w:rsid w:val="007829BD"/>
    <w:rsid w:val="00782C91"/>
    <w:rsid w:val="00783827"/>
    <w:rsid w:val="00783D50"/>
    <w:rsid w:val="00784181"/>
    <w:rsid w:val="00784655"/>
    <w:rsid w:val="007846E0"/>
    <w:rsid w:val="00784F41"/>
    <w:rsid w:val="0078500A"/>
    <w:rsid w:val="00785289"/>
    <w:rsid w:val="0078684A"/>
    <w:rsid w:val="00786D14"/>
    <w:rsid w:val="00786DA6"/>
    <w:rsid w:val="00786FBA"/>
    <w:rsid w:val="00787191"/>
    <w:rsid w:val="00790185"/>
    <w:rsid w:val="00790732"/>
    <w:rsid w:val="00790B9D"/>
    <w:rsid w:val="00790C08"/>
    <w:rsid w:val="0079109B"/>
    <w:rsid w:val="007913BA"/>
    <w:rsid w:val="007918C8"/>
    <w:rsid w:val="00791A48"/>
    <w:rsid w:val="00792056"/>
    <w:rsid w:val="007923B5"/>
    <w:rsid w:val="00792867"/>
    <w:rsid w:val="00792ACF"/>
    <w:rsid w:val="0079323A"/>
    <w:rsid w:val="00793305"/>
    <w:rsid w:val="00793392"/>
    <w:rsid w:val="00793562"/>
    <w:rsid w:val="007936CA"/>
    <w:rsid w:val="00793769"/>
    <w:rsid w:val="00793815"/>
    <w:rsid w:val="00793AAA"/>
    <w:rsid w:val="00793DEE"/>
    <w:rsid w:val="007944D0"/>
    <w:rsid w:val="00794D45"/>
    <w:rsid w:val="007953B8"/>
    <w:rsid w:val="00795876"/>
    <w:rsid w:val="0079598B"/>
    <w:rsid w:val="00795C91"/>
    <w:rsid w:val="0079641D"/>
    <w:rsid w:val="0079645B"/>
    <w:rsid w:val="007969DE"/>
    <w:rsid w:val="00796AC7"/>
    <w:rsid w:val="00796D63"/>
    <w:rsid w:val="00797077"/>
    <w:rsid w:val="007973EB"/>
    <w:rsid w:val="00797738"/>
    <w:rsid w:val="00797B07"/>
    <w:rsid w:val="00797C1E"/>
    <w:rsid w:val="00797C39"/>
    <w:rsid w:val="00797D30"/>
    <w:rsid w:val="007A081F"/>
    <w:rsid w:val="007A0870"/>
    <w:rsid w:val="007A0DDE"/>
    <w:rsid w:val="007A0DE1"/>
    <w:rsid w:val="007A11B7"/>
    <w:rsid w:val="007A14F0"/>
    <w:rsid w:val="007A1871"/>
    <w:rsid w:val="007A1920"/>
    <w:rsid w:val="007A1AF6"/>
    <w:rsid w:val="007A2082"/>
    <w:rsid w:val="007A20BB"/>
    <w:rsid w:val="007A214E"/>
    <w:rsid w:val="007A261A"/>
    <w:rsid w:val="007A2F61"/>
    <w:rsid w:val="007A314C"/>
    <w:rsid w:val="007A366D"/>
    <w:rsid w:val="007A4392"/>
    <w:rsid w:val="007A4535"/>
    <w:rsid w:val="007A47FD"/>
    <w:rsid w:val="007A4A62"/>
    <w:rsid w:val="007A5CFF"/>
    <w:rsid w:val="007A5EE2"/>
    <w:rsid w:val="007A6042"/>
    <w:rsid w:val="007A612F"/>
    <w:rsid w:val="007A644D"/>
    <w:rsid w:val="007A6501"/>
    <w:rsid w:val="007A6CC3"/>
    <w:rsid w:val="007A6DBC"/>
    <w:rsid w:val="007A7C02"/>
    <w:rsid w:val="007A7FC3"/>
    <w:rsid w:val="007B0149"/>
    <w:rsid w:val="007B1D9A"/>
    <w:rsid w:val="007B1FDB"/>
    <w:rsid w:val="007B2200"/>
    <w:rsid w:val="007B261B"/>
    <w:rsid w:val="007B2644"/>
    <w:rsid w:val="007B31E8"/>
    <w:rsid w:val="007B35EA"/>
    <w:rsid w:val="007B362C"/>
    <w:rsid w:val="007B3905"/>
    <w:rsid w:val="007B50E3"/>
    <w:rsid w:val="007B5137"/>
    <w:rsid w:val="007B52AA"/>
    <w:rsid w:val="007B5333"/>
    <w:rsid w:val="007B596A"/>
    <w:rsid w:val="007B5DAF"/>
    <w:rsid w:val="007B6378"/>
    <w:rsid w:val="007B65BB"/>
    <w:rsid w:val="007B670C"/>
    <w:rsid w:val="007B6760"/>
    <w:rsid w:val="007B6787"/>
    <w:rsid w:val="007B6C58"/>
    <w:rsid w:val="007B6ED6"/>
    <w:rsid w:val="007B7D51"/>
    <w:rsid w:val="007B7D76"/>
    <w:rsid w:val="007B7DBB"/>
    <w:rsid w:val="007B7FBA"/>
    <w:rsid w:val="007C04A0"/>
    <w:rsid w:val="007C0742"/>
    <w:rsid w:val="007C0B07"/>
    <w:rsid w:val="007C0BEE"/>
    <w:rsid w:val="007C0D39"/>
    <w:rsid w:val="007C112A"/>
    <w:rsid w:val="007C1766"/>
    <w:rsid w:val="007C1BE4"/>
    <w:rsid w:val="007C1BE7"/>
    <w:rsid w:val="007C1FFE"/>
    <w:rsid w:val="007C2167"/>
    <w:rsid w:val="007C235B"/>
    <w:rsid w:val="007C277D"/>
    <w:rsid w:val="007C2A08"/>
    <w:rsid w:val="007C2CC8"/>
    <w:rsid w:val="007C2DFF"/>
    <w:rsid w:val="007C352E"/>
    <w:rsid w:val="007C36CF"/>
    <w:rsid w:val="007C4518"/>
    <w:rsid w:val="007C46E8"/>
    <w:rsid w:val="007C5922"/>
    <w:rsid w:val="007C602A"/>
    <w:rsid w:val="007C6496"/>
    <w:rsid w:val="007C6FB9"/>
    <w:rsid w:val="007C76A7"/>
    <w:rsid w:val="007C7964"/>
    <w:rsid w:val="007C7B50"/>
    <w:rsid w:val="007D11B9"/>
    <w:rsid w:val="007D14FE"/>
    <w:rsid w:val="007D1C87"/>
    <w:rsid w:val="007D2B99"/>
    <w:rsid w:val="007D3011"/>
    <w:rsid w:val="007D3B6F"/>
    <w:rsid w:val="007D3C4E"/>
    <w:rsid w:val="007D44A1"/>
    <w:rsid w:val="007D47C9"/>
    <w:rsid w:val="007D47CB"/>
    <w:rsid w:val="007D4A51"/>
    <w:rsid w:val="007D4DB6"/>
    <w:rsid w:val="007D50A7"/>
    <w:rsid w:val="007D5BAF"/>
    <w:rsid w:val="007D6CAD"/>
    <w:rsid w:val="007D6CC9"/>
    <w:rsid w:val="007D6E2A"/>
    <w:rsid w:val="007D7633"/>
    <w:rsid w:val="007E0091"/>
    <w:rsid w:val="007E071D"/>
    <w:rsid w:val="007E1335"/>
    <w:rsid w:val="007E16CA"/>
    <w:rsid w:val="007E1BA2"/>
    <w:rsid w:val="007E1C67"/>
    <w:rsid w:val="007E209E"/>
    <w:rsid w:val="007E361F"/>
    <w:rsid w:val="007E3BA4"/>
    <w:rsid w:val="007E40B0"/>
    <w:rsid w:val="007E45A3"/>
    <w:rsid w:val="007E462B"/>
    <w:rsid w:val="007E469B"/>
    <w:rsid w:val="007E49BE"/>
    <w:rsid w:val="007E4D0E"/>
    <w:rsid w:val="007E514A"/>
    <w:rsid w:val="007E54CF"/>
    <w:rsid w:val="007E58A3"/>
    <w:rsid w:val="007E59D1"/>
    <w:rsid w:val="007E6676"/>
    <w:rsid w:val="007E6D6C"/>
    <w:rsid w:val="007E712A"/>
    <w:rsid w:val="007E7943"/>
    <w:rsid w:val="007E7988"/>
    <w:rsid w:val="007E7AD0"/>
    <w:rsid w:val="007E7EC9"/>
    <w:rsid w:val="007F0D47"/>
    <w:rsid w:val="007F0D7D"/>
    <w:rsid w:val="007F16CD"/>
    <w:rsid w:val="007F1D9B"/>
    <w:rsid w:val="007F2091"/>
    <w:rsid w:val="007F233A"/>
    <w:rsid w:val="007F2568"/>
    <w:rsid w:val="007F2861"/>
    <w:rsid w:val="007F2B32"/>
    <w:rsid w:val="007F2BE2"/>
    <w:rsid w:val="007F30DA"/>
    <w:rsid w:val="007F3277"/>
    <w:rsid w:val="007F33A9"/>
    <w:rsid w:val="007F3FD3"/>
    <w:rsid w:val="007F4695"/>
    <w:rsid w:val="007F530B"/>
    <w:rsid w:val="007F59B7"/>
    <w:rsid w:val="007F6A55"/>
    <w:rsid w:val="007F6F71"/>
    <w:rsid w:val="007F7C8F"/>
    <w:rsid w:val="007F7D52"/>
    <w:rsid w:val="00800673"/>
    <w:rsid w:val="00800838"/>
    <w:rsid w:val="00800915"/>
    <w:rsid w:val="0080144B"/>
    <w:rsid w:val="00801563"/>
    <w:rsid w:val="00802572"/>
    <w:rsid w:val="00802DF2"/>
    <w:rsid w:val="00803629"/>
    <w:rsid w:val="00803C33"/>
    <w:rsid w:val="00804CA1"/>
    <w:rsid w:val="00804D1C"/>
    <w:rsid w:val="00805913"/>
    <w:rsid w:val="00805968"/>
    <w:rsid w:val="00805EB9"/>
    <w:rsid w:val="008062A6"/>
    <w:rsid w:val="008077E5"/>
    <w:rsid w:val="00807D28"/>
    <w:rsid w:val="0081095E"/>
    <w:rsid w:val="00810AF3"/>
    <w:rsid w:val="00810ED2"/>
    <w:rsid w:val="00811119"/>
    <w:rsid w:val="0081171A"/>
    <w:rsid w:val="008117D4"/>
    <w:rsid w:val="00811E00"/>
    <w:rsid w:val="00812751"/>
    <w:rsid w:val="00812886"/>
    <w:rsid w:val="00812E8E"/>
    <w:rsid w:val="00812E9B"/>
    <w:rsid w:val="0081312B"/>
    <w:rsid w:val="00813257"/>
    <w:rsid w:val="00813DB8"/>
    <w:rsid w:val="00813F0D"/>
    <w:rsid w:val="00814354"/>
    <w:rsid w:val="0081437C"/>
    <w:rsid w:val="00814730"/>
    <w:rsid w:val="008147DE"/>
    <w:rsid w:val="00814CEE"/>
    <w:rsid w:val="008152B4"/>
    <w:rsid w:val="008154E4"/>
    <w:rsid w:val="00815865"/>
    <w:rsid w:val="00816159"/>
    <w:rsid w:val="00816764"/>
    <w:rsid w:val="008168FB"/>
    <w:rsid w:val="00816B47"/>
    <w:rsid w:val="00816B4B"/>
    <w:rsid w:val="008175CE"/>
    <w:rsid w:val="008205BF"/>
    <w:rsid w:val="00820ACA"/>
    <w:rsid w:val="00820B17"/>
    <w:rsid w:val="00821368"/>
    <w:rsid w:val="008214BD"/>
    <w:rsid w:val="00821630"/>
    <w:rsid w:val="008219BA"/>
    <w:rsid w:val="008222BA"/>
    <w:rsid w:val="008222EE"/>
    <w:rsid w:val="008225D4"/>
    <w:rsid w:val="008225F3"/>
    <w:rsid w:val="0082262E"/>
    <w:rsid w:val="00822F0B"/>
    <w:rsid w:val="00823483"/>
    <w:rsid w:val="008236D2"/>
    <w:rsid w:val="0082454E"/>
    <w:rsid w:val="00824782"/>
    <w:rsid w:val="0082479F"/>
    <w:rsid w:val="00824D39"/>
    <w:rsid w:val="00824E43"/>
    <w:rsid w:val="0082568F"/>
    <w:rsid w:val="008256F7"/>
    <w:rsid w:val="008269EE"/>
    <w:rsid w:val="00826AA0"/>
    <w:rsid w:val="00826B52"/>
    <w:rsid w:val="00826F40"/>
    <w:rsid w:val="008270D4"/>
    <w:rsid w:val="008272A7"/>
    <w:rsid w:val="00827342"/>
    <w:rsid w:val="00827E13"/>
    <w:rsid w:val="008303F4"/>
    <w:rsid w:val="00830857"/>
    <w:rsid w:val="008309F4"/>
    <w:rsid w:val="00830FF8"/>
    <w:rsid w:val="008313B2"/>
    <w:rsid w:val="00831CCD"/>
    <w:rsid w:val="00831EDE"/>
    <w:rsid w:val="00832739"/>
    <w:rsid w:val="00832878"/>
    <w:rsid w:val="0083299F"/>
    <w:rsid w:val="00832AA1"/>
    <w:rsid w:val="00832B7C"/>
    <w:rsid w:val="00832D2B"/>
    <w:rsid w:val="0083317C"/>
    <w:rsid w:val="00833D45"/>
    <w:rsid w:val="00833F9D"/>
    <w:rsid w:val="00834084"/>
    <w:rsid w:val="00834278"/>
    <w:rsid w:val="00835BC1"/>
    <w:rsid w:val="00836279"/>
    <w:rsid w:val="00836A3C"/>
    <w:rsid w:val="00837280"/>
    <w:rsid w:val="00837E56"/>
    <w:rsid w:val="00840568"/>
    <w:rsid w:val="00840683"/>
    <w:rsid w:val="00840967"/>
    <w:rsid w:val="00841EF6"/>
    <w:rsid w:val="008423EC"/>
    <w:rsid w:val="0084241F"/>
    <w:rsid w:val="008424E5"/>
    <w:rsid w:val="00842A8F"/>
    <w:rsid w:val="00842DBD"/>
    <w:rsid w:val="008432AB"/>
    <w:rsid w:val="00843948"/>
    <w:rsid w:val="00843B13"/>
    <w:rsid w:val="00843B2C"/>
    <w:rsid w:val="00843D1F"/>
    <w:rsid w:val="00843E09"/>
    <w:rsid w:val="0084402F"/>
    <w:rsid w:val="0084412E"/>
    <w:rsid w:val="00844AD9"/>
    <w:rsid w:val="00844F5E"/>
    <w:rsid w:val="00845A3E"/>
    <w:rsid w:val="00845B09"/>
    <w:rsid w:val="008466EC"/>
    <w:rsid w:val="00846982"/>
    <w:rsid w:val="00846FD3"/>
    <w:rsid w:val="008470AE"/>
    <w:rsid w:val="0084789D"/>
    <w:rsid w:val="00847B02"/>
    <w:rsid w:val="00847BDF"/>
    <w:rsid w:val="008500DC"/>
    <w:rsid w:val="00850188"/>
    <w:rsid w:val="0085081C"/>
    <w:rsid w:val="0085135D"/>
    <w:rsid w:val="00851622"/>
    <w:rsid w:val="00851673"/>
    <w:rsid w:val="00851796"/>
    <w:rsid w:val="008526BF"/>
    <w:rsid w:val="00852ACB"/>
    <w:rsid w:val="00852E15"/>
    <w:rsid w:val="00852F95"/>
    <w:rsid w:val="00852FE2"/>
    <w:rsid w:val="008530C7"/>
    <w:rsid w:val="0085321E"/>
    <w:rsid w:val="008537E5"/>
    <w:rsid w:val="0085394C"/>
    <w:rsid w:val="00853A90"/>
    <w:rsid w:val="00853AE6"/>
    <w:rsid w:val="00853DFA"/>
    <w:rsid w:val="00853F5B"/>
    <w:rsid w:val="00854BB1"/>
    <w:rsid w:val="00854E54"/>
    <w:rsid w:val="0085527C"/>
    <w:rsid w:val="00855878"/>
    <w:rsid w:val="00855BFF"/>
    <w:rsid w:val="00855C0E"/>
    <w:rsid w:val="00855DBD"/>
    <w:rsid w:val="00855E3D"/>
    <w:rsid w:val="008563D8"/>
    <w:rsid w:val="00856835"/>
    <w:rsid w:val="00856A25"/>
    <w:rsid w:val="008572A6"/>
    <w:rsid w:val="00857769"/>
    <w:rsid w:val="00860052"/>
    <w:rsid w:val="0086036E"/>
    <w:rsid w:val="008606A6"/>
    <w:rsid w:val="00860901"/>
    <w:rsid w:val="0086187D"/>
    <w:rsid w:val="00861898"/>
    <w:rsid w:val="00861C4B"/>
    <w:rsid w:val="00862429"/>
    <w:rsid w:val="00862642"/>
    <w:rsid w:val="00862940"/>
    <w:rsid w:val="00862C54"/>
    <w:rsid w:val="00862E96"/>
    <w:rsid w:val="00862F3E"/>
    <w:rsid w:val="00863250"/>
    <w:rsid w:val="00863750"/>
    <w:rsid w:val="00863799"/>
    <w:rsid w:val="0086381C"/>
    <w:rsid w:val="00863C7E"/>
    <w:rsid w:val="00864061"/>
    <w:rsid w:val="00864100"/>
    <w:rsid w:val="008641F9"/>
    <w:rsid w:val="00864595"/>
    <w:rsid w:val="00864B08"/>
    <w:rsid w:val="00864C9A"/>
    <w:rsid w:val="00864CDA"/>
    <w:rsid w:val="00864D02"/>
    <w:rsid w:val="00864DBA"/>
    <w:rsid w:val="00864F07"/>
    <w:rsid w:val="00864FF1"/>
    <w:rsid w:val="008655DB"/>
    <w:rsid w:val="00865CC0"/>
    <w:rsid w:val="00866334"/>
    <w:rsid w:val="008663C4"/>
    <w:rsid w:val="00866A31"/>
    <w:rsid w:val="00867444"/>
    <w:rsid w:val="00867687"/>
    <w:rsid w:val="008676A1"/>
    <w:rsid w:val="008703A9"/>
    <w:rsid w:val="00870918"/>
    <w:rsid w:val="00871416"/>
    <w:rsid w:val="008719AB"/>
    <w:rsid w:val="00871ABB"/>
    <w:rsid w:val="0087209E"/>
    <w:rsid w:val="0087261F"/>
    <w:rsid w:val="0087285C"/>
    <w:rsid w:val="008729EA"/>
    <w:rsid w:val="00872AAD"/>
    <w:rsid w:val="0087360E"/>
    <w:rsid w:val="0087380E"/>
    <w:rsid w:val="00873A0A"/>
    <w:rsid w:val="00873A6E"/>
    <w:rsid w:val="0087469C"/>
    <w:rsid w:val="0087488E"/>
    <w:rsid w:val="0087492C"/>
    <w:rsid w:val="00874A20"/>
    <w:rsid w:val="00874F08"/>
    <w:rsid w:val="00875275"/>
    <w:rsid w:val="00875517"/>
    <w:rsid w:val="00875C3A"/>
    <w:rsid w:val="00876123"/>
    <w:rsid w:val="00876B7D"/>
    <w:rsid w:val="00877017"/>
    <w:rsid w:val="00877449"/>
    <w:rsid w:val="00877492"/>
    <w:rsid w:val="008800AD"/>
    <w:rsid w:val="0088013C"/>
    <w:rsid w:val="008803BC"/>
    <w:rsid w:val="008804AD"/>
    <w:rsid w:val="008810B1"/>
    <w:rsid w:val="0088141B"/>
    <w:rsid w:val="00881FEA"/>
    <w:rsid w:val="00882F87"/>
    <w:rsid w:val="008832E5"/>
    <w:rsid w:val="008834E6"/>
    <w:rsid w:val="00883557"/>
    <w:rsid w:val="0088363A"/>
    <w:rsid w:val="008838C6"/>
    <w:rsid w:val="00883BAE"/>
    <w:rsid w:val="00883C85"/>
    <w:rsid w:val="0088427A"/>
    <w:rsid w:val="008842E0"/>
    <w:rsid w:val="0088433F"/>
    <w:rsid w:val="00884D47"/>
    <w:rsid w:val="00885A27"/>
    <w:rsid w:val="00885ABF"/>
    <w:rsid w:val="008864E4"/>
    <w:rsid w:val="008865F6"/>
    <w:rsid w:val="00886AA2"/>
    <w:rsid w:val="00886C1D"/>
    <w:rsid w:val="00887A9B"/>
    <w:rsid w:val="00887AA5"/>
    <w:rsid w:val="00890125"/>
    <w:rsid w:val="008904C3"/>
    <w:rsid w:val="008907D6"/>
    <w:rsid w:val="00890950"/>
    <w:rsid w:val="0089171E"/>
    <w:rsid w:val="00891A5D"/>
    <w:rsid w:val="00891F85"/>
    <w:rsid w:val="00891FFC"/>
    <w:rsid w:val="0089240E"/>
    <w:rsid w:val="0089265F"/>
    <w:rsid w:val="00893350"/>
    <w:rsid w:val="008939B8"/>
    <w:rsid w:val="008941D6"/>
    <w:rsid w:val="00894253"/>
    <w:rsid w:val="00894588"/>
    <w:rsid w:val="008946DA"/>
    <w:rsid w:val="00894D35"/>
    <w:rsid w:val="00894E84"/>
    <w:rsid w:val="00895181"/>
    <w:rsid w:val="008957D1"/>
    <w:rsid w:val="008958A1"/>
    <w:rsid w:val="00895940"/>
    <w:rsid w:val="00895A62"/>
    <w:rsid w:val="00895E4A"/>
    <w:rsid w:val="0089600D"/>
    <w:rsid w:val="008962AC"/>
    <w:rsid w:val="0089652E"/>
    <w:rsid w:val="008966D8"/>
    <w:rsid w:val="0089673A"/>
    <w:rsid w:val="00896F73"/>
    <w:rsid w:val="00896FB3"/>
    <w:rsid w:val="00897084"/>
    <w:rsid w:val="00897481"/>
    <w:rsid w:val="0089781B"/>
    <w:rsid w:val="008979B0"/>
    <w:rsid w:val="00897D78"/>
    <w:rsid w:val="008A001E"/>
    <w:rsid w:val="008A0CAE"/>
    <w:rsid w:val="008A103C"/>
    <w:rsid w:val="008A1095"/>
    <w:rsid w:val="008A12EE"/>
    <w:rsid w:val="008A14B7"/>
    <w:rsid w:val="008A18B4"/>
    <w:rsid w:val="008A1B4D"/>
    <w:rsid w:val="008A2373"/>
    <w:rsid w:val="008A2889"/>
    <w:rsid w:val="008A322C"/>
    <w:rsid w:val="008A3698"/>
    <w:rsid w:val="008A3ACB"/>
    <w:rsid w:val="008A3B7F"/>
    <w:rsid w:val="008A42C2"/>
    <w:rsid w:val="008A4CBA"/>
    <w:rsid w:val="008A4D2F"/>
    <w:rsid w:val="008A4FED"/>
    <w:rsid w:val="008A5034"/>
    <w:rsid w:val="008A616C"/>
    <w:rsid w:val="008A61E1"/>
    <w:rsid w:val="008A62C2"/>
    <w:rsid w:val="008A6878"/>
    <w:rsid w:val="008A7227"/>
    <w:rsid w:val="008A7462"/>
    <w:rsid w:val="008A76F8"/>
    <w:rsid w:val="008A7ADC"/>
    <w:rsid w:val="008A7E37"/>
    <w:rsid w:val="008B0127"/>
    <w:rsid w:val="008B054E"/>
    <w:rsid w:val="008B071D"/>
    <w:rsid w:val="008B0A36"/>
    <w:rsid w:val="008B0AD6"/>
    <w:rsid w:val="008B1B07"/>
    <w:rsid w:val="008B211B"/>
    <w:rsid w:val="008B25C4"/>
    <w:rsid w:val="008B2648"/>
    <w:rsid w:val="008B2650"/>
    <w:rsid w:val="008B27D7"/>
    <w:rsid w:val="008B2BE8"/>
    <w:rsid w:val="008B3129"/>
    <w:rsid w:val="008B323C"/>
    <w:rsid w:val="008B3D20"/>
    <w:rsid w:val="008B4110"/>
    <w:rsid w:val="008B4540"/>
    <w:rsid w:val="008B4777"/>
    <w:rsid w:val="008B5114"/>
    <w:rsid w:val="008B54C1"/>
    <w:rsid w:val="008B5BBB"/>
    <w:rsid w:val="008B5C47"/>
    <w:rsid w:val="008B5FD0"/>
    <w:rsid w:val="008B60F6"/>
    <w:rsid w:val="008B6600"/>
    <w:rsid w:val="008B70B3"/>
    <w:rsid w:val="008B7A1D"/>
    <w:rsid w:val="008C002F"/>
    <w:rsid w:val="008C014A"/>
    <w:rsid w:val="008C06C6"/>
    <w:rsid w:val="008C08E0"/>
    <w:rsid w:val="008C0946"/>
    <w:rsid w:val="008C0B8E"/>
    <w:rsid w:val="008C0ED8"/>
    <w:rsid w:val="008C1740"/>
    <w:rsid w:val="008C19F4"/>
    <w:rsid w:val="008C3317"/>
    <w:rsid w:val="008C3696"/>
    <w:rsid w:val="008C3EA9"/>
    <w:rsid w:val="008C4081"/>
    <w:rsid w:val="008C46AF"/>
    <w:rsid w:val="008C49DF"/>
    <w:rsid w:val="008C4D65"/>
    <w:rsid w:val="008C56D7"/>
    <w:rsid w:val="008C5F86"/>
    <w:rsid w:val="008C64BA"/>
    <w:rsid w:val="008C659C"/>
    <w:rsid w:val="008C65EB"/>
    <w:rsid w:val="008C696A"/>
    <w:rsid w:val="008C7520"/>
    <w:rsid w:val="008C7747"/>
    <w:rsid w:val="008C7E08"/>
    <w:rsid w:val="008D007B"/>
    <w:rsid w:val="008D0655"/>
    <w:rsid w:val="008D097A"/>
    <w:rsid w:val="008D0A80"/>
    <w:rsid w:val="008D0E0E"/>
    <w:rsid w:val="008D1019"/>
    <w:rsid w:val="008D159D"/>
    <w:rsid w:val="008D15F7"/>
    <w:rsid w:val="008D18D8"/>
    <w:rsid w:val="008D1C89"/>
    <w:rsid w:val="008D22BC"/>
    <w:rsid w:val="008D3D86"/>
    <w:rsid w:val="008D40BA"/>
    <w:rsid w:val="008D4632"/>
    <w:rsid w:val="008D4951"/>
    <w:rsid w:val="008D4C62"/>
    <w:rsid w:val="008D4DA6"/>
    <w:rsid w:val="008D549F"/>
    <w:rsid w:val="008D54C6"/>
    <w:rsid w:val="008D58EF"/>
    <w:rsid w:val="008D596B"/>
    <w:rsid w:val="008D5AD8"/>
    <w:rsid w:val="008D5B13"/>
    <w:rsid w:val="008D5C31"/>
    <w:rsid w:val="008D60F8"/>
    <w:rsid w:val="008D6470"/>
    <w:rsid w:val="008D7018"/>
    <w:rsid w:val="008D7167"/>
    <w:rsid w:val="008D71DC"/>
    <w:rsid w:val="008D793D"/>
    <w:rsid w:val="008D79AA"/>
    <w:rsid w:val="008D7A09"/>
    <w:rsid w:val="008E0421"/>
    <w:rsid w:val="008E08BB"/>
    <w:rsid w:val="008E123E"/>
    <w:rsid w:val="008E14C8"/>
    <w:rsid w:val="008E19D1"/>
    <w:rsid w:val="008E1A51"/>
    <w:rsid w:val="008E2AA7"/>
    <w:rsid w:val="008E364F"/>
    <w:rsid w:val="008E3900"/>
    <w:rsid w:val="008E3B80"/>
    <w:rsid w:val="008E4058"/>
    <w:rsid w:val="008E428B"/>
    <w:rsid w:val="008E4450"/>
    <w:rsid w:val="008E4470"/>
    <w:rsid w:val="008E46A0"/>
    <w:rsid w:val="008E5367"/>
    <w:rsid w:val="008E5E83"/>
    <w:rsid w:val="008E6289"/>
    <w:rsid w:val="008E63D3"/>
    <w:rsid w:val="008E6723"/>
    <w:rsid w:val="008E6AE0"/>
    <w:rsid w:val="008E70C0"/>
    <w:rsid w:val="008E71A5"/>
    <w:rsid w:val="008E762C"/>
    <w:rsid w:val="008E7713"/>
    <w:rsid w:val="008E798C"/>
    <w:rsid w:val="008E7D9E"/>
    <w:rsid w:val="008F04AA"/>
    <w:rsid w:val="008F0BE4"/>
    <w:rsid w:val="008F0CF4"/>
    <w:rsid w:val="008F0EA3"/>
    <w:rsid w:val="008F1270"/>
    <w:rsid w:val="008F134C"/>
    <w:rsid w:val="008F1891"/>
    <w:rsid w:val="008F1ABA"/>
    <w:rsid w:val="008F1C01"/>
    <w:rsid w:val="008F21EC"/>
    <w:rsid w:val="008F22A2"/>
    <w:rsid w:val="008F22BD"/>
    <w:rsid w:val="008F2C2B"/>
    <w:rsid w:val="008F2EBD"/>
    <w:rsid w:val="008F31AF"/>
    <w:rsid w:val="008F3533"/>
    <w:rsid w:val="008F39DF"/>
    <w:rsid w:val="008F41BC"/>
    <w:rsid w:val="008F4454"/>
    <w:rsid w:val="008F47F8"/>
    <w:rsid w:val="008F496C"/>
    <w:rsid w:val="008F4C5B"/>
    <w:rsid w:val="008F5032"/>
    <w:rsid w:val="008F56C7"/>
    <w:rsid w:val="008F5B7C"/>
    <w:rsid w:val="008F5D9B"/>
    <w:rsid w:val="008F63FD"/>
    <w:rsid w:val="008F6E4C"/>
    <w:rsid w:val="008F6E95"/>
    <w:rsid w:val="008F7600"/>
    <w:rsid w:val="008F788B"/>
    <w:rsid w:val="008F791B"/>
    <w:rsid w:val="008F7E3D"/>
    <w:rsid w:val="0090024E"/>
    <w:rsid w:val="009005C5"/>
    <w:rsid w:val="00901528"/>
    <w:rsid w:val="00901F80"/>
    <w:rsid w:val="00902C86"/>
    <w:rsid w:val="0090355A"/>
    <w:rsid w:val="00903A63"/>
    <w:rsid w:val="00903C43"/>
    <w:rsid w:val="00904637"/>
    <w:rsid w:val="00904E0B"/>
    <w:rsid w:val="00904ED7"/>
    <w:rsid w:val="009053B1"/>
    <w:rsid w:val="00905BD2"/>
    <w:rsid w:val="00905C95"/>
    <w:rsid w:val="00905DDF"/>
    <w:rsid w:val="00905E4E"/>
    <w:rsid w:val="00907741"/>
    <w:rsid w:val="0090788A"/>
    <w:rsid w:val="0091027D"/>
    <w:rsid w:val="009104A4"/>
    <w:rsid w:val="009106AE"/>
    <w:rsid w:val="00910AAA"/>
    <w:rsid w:val="0091158F"/>
    <w:rsid w:val="00911627"/>
    <w:rsid w:val="0091180A"/>
    <w:rsid w:val="00912549"/>
    <w:rsid w:val="009126CB"/>
    <w:rsid w:val="009126FA"/>
    <w:rsid w:val="0091296B"/>
    <w:rsid w:val="00912FFC"/>
    <w:rsid w:val="00914718"/>
    <w:rsid w:val="00914720"/>
    <w:rsid w:val="00914AFF"/>
    <w:rsid w:val="00914F15"/>
    <w:rsid w:val="00915871"/>
    <w:rsid w:val="00915A4B"/>
    <w:rsid w:val="00915AFF"/>
    <w:rsid w:val="00915CFC"/>
    <w:rsid w:val="00915E81"/>
    <w:rsid w:val="00916219"/>
    <w:rsid w:val="009164E3"/>
    <w:rsid w:val="00916A3F"/>
    <w:rsid w:val="0091702F"/>
    <w:rsid w:val="009171F2"/>
    <w:rsid w:val="00917369"/>
    <w:rsid w:val="00917630"/>
    <w:rsid w:val="00917B72"/>
    <w:rsid w:val="0092001E"/>
    <w:rsid w:val="009200FF"/>
    <w:rsid w:val="009202A1"/>
    <w:rsid w:val="00920C15"/>
    <w:rsid w:val="0092137A"/>
    <w:rsid w:val="00921DEB"/>
    <w:rsid w:val="00921ECE"/>
    <w:rsid w:val="009224E4"/>
    <w:rsid w:val="009224E6"/>
    <w:rsid w:val="00922950"/>
    <w:rsid w:val="00923206"/>
    <w:rsid w:val="0092358E"/>
    <w:rsid w:val="00923BFF"/>
    <w:rsid w:val="00923C2D"/>
    <w:rsid w:val="00923F3D"/>
    <w:rsid w:val="00924084"/>
    <w:rsid w:val="00924CC8"/>
    <w:rsid w:val="00925EDB"/>
    <w:rsid w:val="00926631"/>
    <w:rsid w:val="00926AF9"/>
    <w:rsid w:val="00926B9D"/>
    <w:rsid w:val="00926D5C"/>
    <w:rsid w:val="0092726A"/>
    <w:rsid w:val="0092738E"/>
    <w:rsid w:val="009274BA"/>
    <w:rsid w:val="009304F8"/>
    <w:rsid w:val="009306B4"/>
    <w:rsid w:val="00930758"/>
    <w:rsid w:val="00930962"/>
    <w:rsid w:val="00931235"/>
    <w:rsid w:val="009312A0"/>
    <w:rsid w:val="009312BE"/>
    <w:rsid w:val="0093163F"/>
    <w:rsid w:val="00931788"/>
    <w:rsid w:val="0093196C"/>
    <w:rsid w:val="0093241C"/>
    <w:rsid w:val="00932AF7"/>
    <w:rsid w:val="0093300D"/>
    <w:rsid w:val="0093342E"/>
    <w:rsid w:val="00933A11"/>
    <w:rsid w:val="00934160"/>
    <w:rsid w:val="009342BC"/>
    <w:rsid w:val="00934BC8"/>
    <w:rsid w:val="00935004"/>
    <w:rsid w:val="009355AB"/>
    <w:rsid w:val="00935D1D"/>
    <w:rsid w:val="00935E30"/>
    <w:rsid w:val="009368B4"/>
    <w:rsid w:val="00937005"/>
    <w:rsid w:val="0093757E"/>
    <w:rsid w:val="00937819"/>
    <w:rsid w:val="00937838"/>
    <w:rsid w:val="00937927"/>
    <w:rsid w:val="00940160"/>
    <w:rsid w:val="0094018F"/>
    <w:rsid w:val="0094033F"/>
    <w:rsid w:val="00940436"/>
    <w:rsid w:val="0094057C"/>
    <w:rsid w:val="0094068D"/>
    <w:rsid w:val="009410E2"/>
    <w:rsid w:val="009413C6"/>
    <w:rsid w:val="00942525"/>
    <w:rsid w:val="00942FFF"/>
    <w:rsid w:val="00943496"/>
    <w:rsid w:val="009434B8"/>
    <w:rsid w:val="009438D9"/>
    <w:rsid w:val="009439B5"/>
    <w:rsid w:val="00943CFE"/>
    <w:rsid w:val="0094424D"/>
    <w:rsid w:val="0094447A"/>
    <w:rsid w:val="00944632"/>
    <w:rsid w:val="00944815"/>
    <w:rsid w:val="0094500C"/>
    <w:rsid w:val="0094529C"/>
    <w:rsid w:val="0094555F"/>
    <w:rsid w:val="00945E9F"/>
    <w:rsid w:val="00945F6B"/>
    <w:rsid w:val="009468BE"/>
    <w:rsid w:val="00946DED"/>
    <w:rsid w:val="00946E8A"/>
    <w:rsid w:val="00947BC9"/>
    <w:rsid w:val="00947D0D"/>
    <w:rsid w:val="00947E52"/>
    <w:rsid w:val="00947E5C"/>
    <w:rsid w:val="00947F7A"/>
    <w:rsid w:val="00950EE0"/>
    <w:rsid w:val="00950F3E"/>
    <w:rsid w:val="00951319"/>
    <w:rsid w:val="009518A9"/>
    <w:rsid w:val="00951C79"/>
    <w:rsid w:val="00951EF6"/>
    <w:rsid w:val="0095218C"/>
    <w:rsid w:val="00952738"/>
    <w:rsid w:val="00952755"/>
    <w:rsid w:val="00952DD3"/>
    <w:rsid w:val="00953002"/>
    <w:rsid w:val="00953077"/>
    <w:rsid w:val="009532E1"/>
    <w:rsid w:val="00953FE8"/>
    <w:rsid w:val="009543C0"/>
    <w:rsid w:val="00954F88"/>
    <w:rsid w:val="00955430"/>
    <w:rsid w:val="00955C1C"/>
    <w:rsid w:val="00956372"/>
    <w:rsid w:val="009569C2"/>
    <w:rsid w:val="00956EF9"/>
    <w:rsid w:val="00957102"/>
    <w:rsid w:val="00957660"/>
    <w:rsid w:val="00957740"/>
    <w:rsid w:val="00957835"/>
    <w:rsid w:val="009578E5"/>
    <w:rsid w:val="009579FF"/>
    <w:rsid w:val="00957DC2"/>
    <w:rsid w:val="00957F9C"/>
    <w:rsid w:val="00957FC1"/>
    <w:rsid w:val="0096055D"/>
    <w:rsid w:val="00960849"/>
    <w:rsid w:val="00960EF9"/>
    <w:rsid w:val="00961072"/>
    <w:rsid w:val="0096113D"/>
    <w:rsid w:val="00961177"/>
    <w:rsid w:val="00961450"/>
    <w:rsid w:val="00961638"/>
    <w:rsid w:val="00961E0D"/>
    <w:rsid w:val="009628F6"/>
    <w:rsid w:val="00962B1D"/>
    <w:rsid w:val="009630E3"/>
    <w:rsid w:val="009632AF"/>
    <w:rsid w:val="009633FA"/>
    <w:rsid w:val="00963786"/>
    <w:rsid w:val="00963919"/>
    <w:rsid w:val="00963ABC"/>
    <w:rsid w:val="00963C7E"/>
    <w:rsid w:val="009641A0"/>
    <w:rsid w:val="009645CC"/>
    <w:rsid w:val="00964C47"/>
    <w:rsid w:val="00965BE1"/>
    <w:rsid w:val="00965D4E"/>
    <w:rsid w:val="0096617D"/>
    <w:rsid w:val="00966C28"/>
    <w:rsid w:val="00967069"/>
    <w:rsid w:val="00967582"/>
    <w:rsid w:val="00967B3A"/>
    <w:rsid w:val="00967CE6"/>
    <w:rsid w:val="00967D50"/>
    <w:rsid w:val="00967E75"/>
    <w:rsid w:val="00970089"/>
    <w:rsid w:val="009705DF"/>
    <w:rsid w:val="0097189E"/>
    <w:rsid w:val="0097278A"/>
    <w:rsid w:val="009727A9"/>
    <w:rsid w:val="00972D29"/>
    <w:rsid w:val="0097321E"/>
    <w:rsid w:val="009732B2"/>
    <w:rsid w:val="00973442"/>
    <w:rsid w:val="009740C0"/>
    <w:rsid w:val="009747D6"/>
    <w:rsid w:val="009748AB"/>
    <w:rsid w:val="00974AD3"/>
    <w:rsid w:val="00974DC7"/>
    <w:rsid w:val="00975003"/>
    <w:rsid w:val="009751E8"/>
    <w:rsid w:val="00975627"/>
    <w:rsid w:val="009758F7"/>
    <w:rsid w:val="009759C9"/>
    <w:rsid w:val="00975E4A"/>
    <w:rsid w:val="009763CC"/>
    <w:rsid w:val="00976AAB"/>
    <w:rsid w:val="00976D6F"/>
    <w:rsid w:val="00976DFE"/>
    <w:rsid w:val="009775E5"/>
    <w:rsid w:val="00977AF7"/>
    <w:rsid w:val="00977B73"/>
    <w:rsid w:val="00977DA9"/>
    <w:rsid w:val="00977DAB"/>
    <w:rsid w:val="009802C5"/>
    <w:rsid w:val="009804FE"/>
    <w:rsid w:val="00980AB3"/>
    <w:rsid w:val="00980E45"/>
    <w:rsid w:val="00980FEA"/>
    <w:rsid w:val="009814D3"/>
    <w:rsid w:val="00981583"/>
    <w:rsid w:val="00981759"/>
    <w:rsid w:val="00981974"/>
    <w:rsid w:val="0098199D"/>
    <w:rsid w:val="00981A61"/>
    <w:rsid w:val="00981C09"/>
    <w:rsid w:val="009831B0"/>
    <w:rsid w:val="00983452"/>
    <w:rsid w:val="00983755"/>
    <w:rsid w:val="009838A7"/>
    <w:rsid w:val="00983C5E"/>
    <w:rsid w:val="00983F42"/>
    <w:rsid w:val="009840B9"/>
    <w:rsid w:val="0098425D"/>
    <w:rsid w:val="009848B1"/>
    <w:rsid w:val="00984A9C"/>
    <w:rsid w:val="00984C23"/>
    <w:rsid w:val="00984D60"/>
    <w:rsid w:val="00984D75"/>
    <w:rsid w:val="009851B7"/>
    <w:rsid w:val="00985531"/>
    <w:rsid w:val="00985533"/>
    <w:rsid w:val="00985C19"/>
    <w:rsid w:val="00985C42"/>
    <w:rsid w:val="00985E7A"/>
    <w:rsid w:val="00985FE7"/>
    <w:rsid w:val="009862FB"/>
    <w:rsid w:val="00986DFA"/>
    <w:rsid w:val="0098726A"/>
    <w:rsid w:val="00987424"/>
    <w:rsid w:val="0098766C"/>
    <w:rsid w:val="009876FB"/>
    <w:rsid w:val="00990567"/>
    <w:rsid w:val="00990650"/>
    <w:rsid w:val="0099072E"/>
    <w:rsid w:val="00991303"/>
    <w:rsid w:val="00991369"/>
    <w:rsid w:val="009918E8"/>
    <w:rsid w:val="009919F4"/>
    <w:rsid w:val="00992396"/>
    <w:rsid w:val="009926D7"/>
    <w:rsid w:val="00992912"/>
    <w:rsid w:val="00992AA8"/>
    <w:rsid w:val="00992F5A"/>
    <w:rsid w:val="009936F6"/>
    <w:rsid w:val="00993BCE"/>
    <w:rsid w:val="00994088"/>
    <w:rsid w:val="009941D9"/>
    <w:rsid w:val="00994C9C"/>
    <w:rsid w:val="00995478"/>
    <w:rsid w:val="009954F3"/>
    <w:rsid w:val="0099614C"/>
    <w:rsid w:val="009967EB"/>
    <w:rsid w:val="00996E1C"/>
    <w:rsid w:val="00996EA3"/>
    <w:rsid w:val="00996F64"/>
    <w:rsid w:val="00997A29"/>
    <w:rsid w:val="009A0907"/>
    <w:rsid w:val="009A0AFE"/>
    <w:rsid w:val="009A0F5D"/>
    <w:rsid w:val="009A17B6"/>
    <w:rsid w:val="009A1F60"/>
    <w:rsid w:val="009A210A"/>
    <w:rsid w:val="009A246C"/>
    <w:rsid w:val="009A3207"/>
    <w:rsid w:val="009A37FB"/>
    <w:rsid w:val="009A38DB"/>
    <w:rsid w:val="009A4138"/>
    <w:rsid w:val="009A42BD"/>
    <w:rsid w:val="009A4796"/>
    <w:rsid w:val="009A4A4B"/>
    <w:rsid w:val="009A50C2"/>
    <w:rsid w:val="009A543D"/>
    <w:rsid w:val="009A5792"/>
    <w:rsid w:val="009A5DE2"/>
    <w:rsid w:val="009A639C"/>
    <w:rsid w:val="009A66D3"/>
    <w:rsid w:val="009A6A18"/>
    <w:rsid w:val="009A6A36"/>
    <w:rsid w:val="009A6FA8"/>
    <w:rsid w:val="009A76F8"/>
    <w:rsid w:val="009A7C25"/>
    <w:rsid w:val="009A7D19"/>
    <w:rsid w:val="009B02AC"/>
    <w:rsid w:val="009B06FB"/>
    <w:rsid w:val="009B0BF8"/>
    <w:rsid w:val="009B11B0"/>
    <w:rsid w:val="009B1483"/>
    <w:rsid w:val="009B14B7"/>
    <w:rsid w:val="009B19A5"/>
    <w:rsid w:val="009B242E"/>
    <w:rsid w:val="009B2D7C"/>
    <w:rsid w:val="009B3092"/>
    <w:rsid w:val="009B3395"/>
    <w:rsid w:val="009B33B2"/>
    <w:rsid w:val="009B3452"/>
    <w:rsid w:val="009B3870"/>
    <w:rsid w:val="009B4231"/>
    <w:rsid w:val="009B42C3"/>
    <w:rsid w:val="009B44FE"/>
    <w:rsid w:val="009B4C8C"/>
    <w:rsid w:val="009B4DEC"/>
    <w:rsid w:val="009B5928"/>
    <w:rsid w:val="009B5A80"/>
    <w:rsid w:val="009B758A"/>
    <w:rsid w:val="009B75AF"/>
    <w:rsid w:val="009B770F"/>
    <w:rsid w:val="009B7876"/>
    <w:rsid w:val="009B7B0E"/>
    <w:rsid w:val="009B7C05"/>
    <w:rsid w:val="009C04A6"/>
    <w:rsid w:val="009C04F6"/>
    <w:rsid w:val="009C0989"/>
    <w:rsid w:val="009C0C22"/>
    <w:rsid w:val="009C14BE"/>
    <w:rsid w:val="009C15AE"/>
    <w:rsid w:val="009C1DA5"/>
    <w:rsid w:val="009C1E13"/>
    <w:rsid w:val="009C2184"/>
    <w:rsid w:val="009C2458"/>
    <w:rsid w:val="009C2877"/>
    <w:rsid w:val="009C2A05"/>
    <w:rsid w:val="009C2A6A"/>
    <w:rsid w:val="009C30D3"/>
    <w:rsid w:val="009C3387"/>
    <w:rsid w:val="009C33AA"/>
    <w:rsid w:val="009C3559"/>
    <w:rsid w:val="009C3A93"/>
    <w:rsid w:val="009C3EDF"/>
    <w:rsid w:val="009C473B"/>
    <w:rsid w:val="009C4C9A"/>
    <w:rsid w:val="009C5C52"/>
    <w:rsid w:val="009C5FBC"/>
    <w:rsid w:val="009C6166"/>
    <w:rsid w:val="009C6729"/>
    <w:rsid w:val="009C6F6C"/>
    <w:rsid w:val="009C70B4"/>
    <w:rsid w:val="009C749A"/>
    <w:rsid w:val="009C76AB"/>
    <w:rsid w:val="009C7700"/>
    <w:rsid w:val="009C7749"/>
    <w:rsid w:val="009C775E"/>
    <w:rsid w:val="009D0037"/>
    <w:rsid w:val="009D0885"/>
    <w:rsid w:val="009D08C5"/>
    <w:rsid w:val="009D1156"/>
    <w:rsid w:val="009D1E08"/>
    <w:rsid w:val="009D1F0E"/>
    <w:rsid w:val="009D2676"/>
    <w:rsid w:val="009D2F27"/>
    <w:rsid w:val="009D4404"/>
    <w:rsid w:val="009D4C15"/>
    <w:rsid w:val="009D4CC8"/>
    <w:rsid w:val="009D50A0"/>
    <w:rsid w:val="009D5C2B"/>
    <w:rsid w:val="009D5CBF"/>
    <w:rsid w:val="009D5DF4"/>
    <w:rsid w:val="009D6B6C"/>
    <w:rsid w:val="009D72CA"/>
    <w:rsid w:val="009D7C64"/>
    <w:rsid w:val="009D7CD9"/>
    <w:rsid w:val="009D7DB6"/>
    <w:rsid w:val="009E0B42"/>
    <w:rsid w:val="009E0ECD"/>
    <w:rsid w:val="009E13B1"/>
    <w:rsid w:val="009E143E"/>
    <w:rsid w:val="009E1A1C"/>
    <w:rsid w:val="009E25B5"/>
    <w:rsid w:val="009E31AA"/>
    <w:rsid w:val="009E338A"/>
    <w:rsid w:val="009E38A6"/>
    <w:rsid w:val="009E3D52"/>
    <w:rsid w:val="009E4483"/>
    <w:rsid w:val="009E49BB"/>
    <w:rsid w:val="009E64AE"/>
    <w:rsid w:val="009E6BF7"/>
    <w:rsid w:val="009E7092"/>
    <w:rsid w:val="009E718A"/>
    <w:rsid w:val="009E78FA"/>
    <w:rsid w:val="009E7A90"/>
    <w:rsid w:val="009E7EA0"/>
    <w:rsid w:val="009F0546"/>
    <w:rsid w:val="009F0846"/>
    <w:rsid w:val="009F0FA3"/>
    <w:rsid w:val="009F112F"/>
    <w:rsid w:val="009F146D"/>
    <w:rsid w:val="009F1740"/>
    <w:rsid w:val="009F2342"/>
    <w:rsid w:val="009F266E"/>
    <w:rsid w:val="009F303B"/>
    <w:rsid w:val="009F3639"/>
    <w:rsid w:val="009F3F1A"/>
    <w:rsid w:val="009F46B5"/>
    <w:rsid w:val="009F4826"/>
    <w:rsid w:val="009F4910"/>
    <w:rsid w:val="009F4B11"/>
    <w:rsid w:val="009F4FBC"/>
    <w:rsid w:val="009F5636"/>
    <w:rsid w:val="009F582A"/>
    <w:rsid w:val="009F699A"/>
    <w:rsid w:val="009F6EB3"/>
    <w:rsid w:val="009F70C5"/>
    <w:rsid w:val="009F72FE"/>
    <w:rsid w:val="009F7B6A"/>
    <w:rsid w:val="009F7D9A"/>
    <w:rsid w:val="009F7DB5"/>
    <w:rsid w:val="00A004F3"/>
    <w:rsid w:val="00A00F0E"/>
    <w:rsid w:val="00A016F4"/>
    <w:rsid w:val="00A0189B"/>
    <w:rsid w:val="00A024FB"/>
    <w:rsid w:val="00A0273F"/>
    <w:rsid w:val="00A027E4"/>
    <w:rsid w:val="00A034AE"/>
    <w:rsid w:val="00A0373A"/>
    <w:rsid w:val="00A03C62"/>
    <w:rsid w:val="00A03F01"/>
    <w:rsid w:val="00A03FDF"/>
    <w:rsid w:val="00A040E9"/>
    <w:rsid w:val="00A04513"/>
    <w:rsid w:val="00A0469A"/>
    <w:rsid w:val="00A047DD"/>
    <w:rsid w:val="00A04B7B"/>
    <w:rsid w:val="00A04F0F"/>
    <w:rsid w:val="00A055A0"/>
    <w:rsid w:val="00A05C99"/>
    <w:rsid w:val="00A06260"/>
    <w:rsid w:val="00A072C3"/>
    <w:rsid w:val="00A07750"/>
    <w:rsid w:val="00A07969"/>
    <w:rsid w:val="00A079B5"/>
    <w:rsid w:val="00A07B83"/>
    <w:rsid w:val="00A07BC7"/>
    <w:rsid w:val="00A10105"/>
    <w:rsid w:val="00A1037B"/>
    <w:rsid w:val="00A10619"/>
    <w:rsid w:val="00A10836"/>
    <w:rsid w:val="00A10943"/>
    <w:rsid w:val="00A11869"/>
    <w:rsid w:val="00A11D96"/>
    <w:rsid w:val="00A12235"/>
    <w:rsid w:val="00A12845"/>
    <w:rsid w:val="00A12A59"/>
    <w:rsid w:val="00A13419"/>
    <w:rsid w:val="00A1351A"/>
    <w:rsid w:val="00A13932"/>
    <w:rsid w:val="00A13976"/>
    <w:rsid w:val="00A13A5F"/>
    <w:rsid w:val="00A13D8C"/>
    <w:rsid w:val="00A14946"/>
    <w:rsid w:val="00A14A5D"/>
    <w:rsid w:val="00A14F5D"/>
    <w:rsid w:val="00A15216"/>
    <w:rsid w:val="00A1554F"/>
    <w:rsid w:val="00A156CD"/>
    <w:rsid w:val="00A1591D"/>
    <w:rsid w:val="00A15ABC"/>
    <w:rsid w:val="00A15FEF"/>
    <w:rsid w:val="00A16076"/>
    <w:rsid w:val="00A162E7"/>
    <w:rsid w:val="00A16811"/>
    <w:rsid w:val="00A16A5C"/>
    <w:rsid w:val="00A16F09"/>
    <w:rsid w:val="00A17191"/>
    <w:rsid w:val="00A17765"/>
    <w:rsid w:val="00A17BC2"/>
    <w:rsid w:val="00A17D21"/>
    <w:rsid w:val="00A2098D"/>
    <w:rsid w:val="00A20BCF"/>
    <w:rsid w:val="00A20E8E"/>
    <w:rsid w:val="00A21777"/>
    <w:rsid w:val="00A21BF6"/>
    <w:rsid w:val="00A22415"/>
    <w:rsid w:val="00A232BD"/>
    <w:rsid w:val="00A23B1C"/>
    <w:rsid w:val="00A24228"/>
    <w:rsid w:val="00A24253"/>
    <w:rsid w:val="00A249BA"/>
    <w:rsid w:val="00A24D5A"/>
    <w:rsid w:val="00A254D9"/>
    <w:rsid w:val="00A25533"/>
    <w:rsid w:val="00A25601"/>
    <w:rsid w:val="00A25E8D"/>
    <w:rsid w:val="00A26269"/>
    <w:rsid w:val="00A2710A"/>
    <w:rsid w:val="00A309BC"/>
    <w:rsid w:val="00A30D9A"/>
    <w:rsid w:val="00A30EC6"/>
    <w:rsid w:val="00A3106C"/>
    <w:rsid w:val="00A311B3"/>
    <w:rsid w:val="00A3128E"/>
    <w:rsid w:val="00A3197F"/>
    <w:rsid w:val="00A32396"/>
    <w:rsid w:val="00A32887"/>
    <w:rsid w:val="00A32D9D"/>
    <w:rsid w:val="00A33171"/>
    <w:rsid w:val="00A33349"/>
    <w:rsid w:val="00A3362E"/>
    <w:rsid w:val="00A33D24"/>
    <w:rsid w:val="00A33D6D"/>
    <w:rsid w:val="00A34532"/>
    <w:rsid w:val="00A35201"/>
    <w:rsid w:val="00A35739"/>
    <w:rsid w:val="00A357C1"/>
    <w:rsid w:val="00A360C3"/>
    <w:rsid w:val="00A36D7D"/>
    <w:rsid w:val="00A36DC0"/>
    <w:rsid w:val="00A371A6"/>
    <w:rsid w:val="00A40625"/>
    <w:rsid w:val="00A40B76"/>
    <w:rsid w:val="00A40B92"/>
    <w:rsid w:val="00A40F43"/>
    <w:rsid w:val="00A412AF"/>
    <w:rsid w:val="00A412C0"/>
    <w:rsid w:val="00A41B62"/>
    <w:rsid w:val="00A41EB0"/>
    <w:rsid w:val="00A4254A"/>
    <w:rsid w:val="00A42B5F"/>
    <w:rsid w:val="00A42B7A"/>
    <w:rsid w:val="00A42EEA"/>
    <w:rsid w:val="00A42EFB"/>
    <w:rsid w:val="00A43F6F"/>
    <w:rsid w:val="00A44254"/>
    <w:rsid w:val="00A449BC"/>
    <w:rsid w:val="00A44DF8"/>
    <w:rsid w:val="00A452EA"/>
    <w:rsid w:val="00A4549E"/>
    <w:rsid w:val="00A458A9"/>
    <w:rsid w:val="00A45AD8"/>
    <w:rsid w:val="00A47249"/>
    <w:rsid w:val="00A474A9"/>
    <w:rsid w:val="00A475D4"/>
    <w:rsid w:val="00A47669"/>
    <w:rsid w:val="00A47CBA"/>
    <w:rsid w:val="00A50188"/>
    <w:rsid w:val="00A50D53"/>
    <w:rsid w:val="00A51C22"/>
    <w:rsid w:val="00A51CCB"/>
    <w:rsid w:val="00A51FD1"/>
    <w:rsid w:val="00A52027"/>
    <w:rsid w:val="00A52115"/>
    <w:rsid w:val="00A521A9"/>
    <w:rsid w:val="00A5228B"/>
    <w:rsid w:val="00A5273B"/>
    <w:rsid w:val="00A528D7"/>
    <w:rsid w:val="00A53002"/>
    <w:rsid w:val="00A542FB"/>
    <w:rsid w:val="00A5432F"/>
    <w:rsid w:val="00A546A5"/>
    <w:rsid w:val="00A546F0"/>
    <w:rsid w:val="00A547B8"/>
    <w:rsid w:val="00A5527B"/>
    <w:rsid w:val="00A552D3"/>
    <w:rsid w:val="00A5573A"/>
    <w:rsid w:val="00A55908"/>
    <w:rsid w:val="00A559F5"/>
    <w:rsid w:val="00A56304"/>
    <w:rsid w:val="00A56438"/>
    <w:rsid w:val="00A564BE"/>
    <w:rsid w:val="00A56B49"/>
    <w:rsid w:val="00A56D06"/>
    <w:rsid w:val="00A56E38"/>
    <w:rsid w:val="00A56EF8"/>
    <w:rsid w:val="00A571F2"/>
    <w:rsid w:val="00A57FD6"/>
    <w:rsid w:val="00A60F4C"/>
    <w:rsid w:val="00A61256"/>
    <w:rsid w:val="00A613AA"/>
    <w:rsid w:val="00A61612"/>
    <w:rsid w:val="00A6169A"/>
    <w:rsid w:val="00A61816"/>
    <w:rsid w:val="00A61938"/>
    <w:rsid w:val="00A623E3"/>
    <w:rsid w:val="00A62754"/>
    <w:rsid w:val="00A63254"/>
    <w:rsid w:val="00A63B2C"/>
    <w:rsid w:val="00A63BAE"/>
    <w:rsid w:val="00A64349"/>
    <w:rsid w:val="00A643B0"/>
    <w:rsid w:val="00A64527"/>
    <w:rsid w:val="00A64550"/>
    <w:rsid w:val="00A648DC"/>
    <w:rsid w:val="00A64E77"/>
    <w:rsid w:val="00A65251"/>
    <w:rsid w:val="00A65DA0"/>
    <w:rsid w:val="00A65F69"/>
    <w:rsid w:val="00A6644C"/>
    <w:rsid w:val="00A70013"/>
    <w:rsid w:val="00A7040A"/>
    <w:rsid w:val="00A70813"/>
    <w:rsid w:val="00A708C0"/>
    <w:rsid w:val="00A70DBA"/>
    <w:rsid w:val="00A70E43"/>
    <w:rsid w:val="00A70F01"/>
    <w:rsid w:val="00A71A32"/>
    <w:rsid w:val="00A71DC2"/>
    <w:rsid w:val="00A71F34"/>
    <w:rsid w:val="00A72435"/>
    <w:rsid w:val="00A72712"/>
    <w:rsid w:val="00A72D89"/>
    <w:rsid w:val="00A72F36"/>
    <w:rsid w:val="00A73097"/>
    <w:rsid w:val="00A73176"/>
    <w:rsid w:val="00A73EF7"/>
    <w:rsid w:val="00A74180"/>
    <w:rsid w:val="00A7430D"/>
    <w:rsid w:val="00A745E8"/>
    <w:rsid w:val="00A759C1"/>
    <w:rsid w:val="00A7606C"/>
    <w:rsid w:val="00A76194"/>
    <w:rsid w:val="00A761D8"/>
    <w:rsid w:val="00A76274"/>
    <w:rsid w:val="00A763B8"/>
    <w:rsid w:val="00A7679E"/>
    <w:rsid w:val="00A776A4"/>
    <w:rsid w:val="00A77798"/>
    <w:rsid w:val="00A8082A"/>
    <w:rsid w:val="00A80E3D"/>
    <w:rsid w:val="00A81818"/>
    <w:rsid w:val="00A81A78"/>
    <w:rsid w:val="00A81C25"/>
    <w:rsid w:val="00A8233F"/>
    <w:rsid w:val="00A824AE"/>
    <w:rsid w:val="00A826B7"/>
    <w:rsid w:val="00A83222"/>
    <w:rsid w:val="00A83A1F"/>
    <w:rsid w:val="00A841F3"/>
    <w:rsid w:val="00A84ACC"/>
    <w:rsid w:val="00A84BF8"/>
    <w:rsid w:val="00A8502D"/>
    <w:rsid w:val="00A85A66"/>
    <w:rsid w:val="00A85B16"/>
    <w:rsid w:val="00A85E38"/>
    <w:rsid w:val="00A86394"/>
    <w:rsid w:val="00A8640D"/>
    <w:rsid w:val="00A864AB"/>
    <w:rsid w:val="00A867CE"/>
    <w:rsid w:val="00A868F9"/>
    <w:rsid w:val="00A86B13"/>
    <w:rsid w:val="00A86FD3"/>
    <w:rsid w:val="00A872C0"/>
    <w:rsid w:val="00A8736F"/>
    <w:rsid w:val="00A879BF"/>
    <w:rsid w:val="00A879DD"/>
    <w:rsid w:val="00A87E5C"/>
    <w:rsid w:val="00A9016A"/>
    <w:rsid w:val="00A9090F"/>
    <w:rsid w:val="00A90AC8"/>
    <w:rsid w:val="00A90B3C"/>
    <w:rsid w:val="00A9133D"/>
    <w:rsid w:val="00A914CB"/>
    <w:rsid w:val="00A91722"/>
    <w:rsid w:val="00A91FD4"/>
    <w:rsid w:val="00A9241C"/>
    <w:rsid w:val="00A92D03"/>
    <w:rsid w:val="00A92D20"/>
    <w:rsid w:val="00A93104"/>
    <w:rsid w:val="00A931E2"/>
    <w:rsid w:val="00A931F6"/>
    <w:rsid w:val="00A93480"/>
    <w:rsid w:val="00A93704"/>
    <w:rsid w:val="00A93BF8"/>
    <w:rsid w:val="00A94215"/>
    <w:rsid w:val="00A94457"/>
    <w:rsid w:val="00A947D6"/>
    <w:rsid w:val="00A951B0"/>
    <w:rsid w:val="00A95736"/>
    <w:rsid w:val="00A9587C"/>
    <w:rsid w:val="00A9591C"/>
    <w:rsid w:val="00A95A8E"/>
    <w:rsid w:val="00A95AA6"/>
    <w:rsid w:val="00A95C1A"/>
    <w:rsid w:val="00A9607E"/>
    <w:rsid w:val="00A962C7"/>
    <w:rsid w:val="00A964D4"/>
    <w:rsid w:val="00A96AA5"/>
    <w:rsid w:val="00A97768"/>
    <w:rsid w:val="00A977B3"/>
    <w:rsid w:val="00A97911"/>
    <w:rsid w:val="00A97A63"/>
    <w:rsid w:val="00A97A71"/>
    <w:rsid w:val="00A97AC5"/>
    <w:rsid w:val="00AA0208"/>
    <w:rsid w:val="00AA3205"/>
    <w:rsid w:val="00AA3313"/>
    <w:rsid w:val="00AA3623"/>
    <w:rsid w:val="00AA39D6"/>
    <w:rsid w:val="00AA412A"/>
    <w:rsid w:val="00AA49DE"/>
    <w:rsid w:val="00AA5517"/>
    <w:rsid w:val="00AA6557"/>
    <w:rsid w:val="00AA69E1"/>
    <w:rsid w:val="00AA71BF"/>
    <w:rsid w:val="00AA74B2"/>
    <w:rsid w:val="00AA7FF8"/>
    <w:rsid w:val="00AB0542"/>
    <w:rsid w:val="00AB07E7"/>
    <w:rsid w:val="00AB08B8"/>
    <w:rsid w:val="00AB0FBC"/>
    <w:rsid w:val="00AB0FD0"/>
    <w:rsid w:val="00AB10FE"/>
    <w:rsid w:val="00AB1881"/>
    <w:rsid w:val="00AB1CA4"/>
    <w:rsid w:val="00AB1E4C"/>
    <w:rsid w:val="00AB21EF"/>
    <w:rsid w:val="00AB2372"/>
    <w:rsid w:val="00AB29E3"/>
    <w:rsid w:val="00AB2FF1"/>
    <w:rsid w:val="00AB30B7"/>
    <w:rsid w:val="00AB31E5"/>
    <w:rsid w:val="00AB3710"/>
    <w:rsid w:val="00AB3729"/>
    <w:rsid w:val="00AB3A11"/>
    <w:rsid w:val="00AB3B75"/>
    <w:rsid w:val="00AB3B93"/>
    <w:rsid w:val="00AB4312"/>
    <w:rsid w:val="00AB471E"/>
    <w:rsid w:val="00AB478C"/>
    <w:rsid w:val="00AB63B8"/>
    <w:rsid w:val="00AB6945"/>
    <w:rsid w:val="00AB772C"/>
    <w:rsid w:val="00AB77D9"/>
    <w:rsid w:val="00AB7ADF"/>
    <w:rsid w:val="00AB7D73"/>
    <w:rsid w:val="00AB7FD7"/>
    <w:rsid w:val="00AC00F9"/>
    <w:rsid w:val="00AC048D"/>
    <w:rsid w:val="00AC0840"/>
    <w:rsid w:val="00AC0C84"/>
    <w:rsid w:val="00AC11B1"/>
    <w:rsid w:val="00AC183D"/>
    <w:rsid w:val="00AC1E2A"/>
    <w:rsid w:val="00AC2080"/>
    <w:rsid w:val="00AC28AA"/>
    <w:rsid w:val="00AC2A89"/>
    <w:rsid w:val="00AC2E59"/>
    <w:rsid w:val="00AC2F07"/>
    <w:rsid w:val="00AC30BC"/>
    <w:rsid w:val="00AC32B8"/>
    <w:rsid w:val="00AC33DB"/>
    <w:rsid w:val="00AC343A"/>
    <w:rsid w:val="00AC45ED"/>
    <w:rsid w:val="00AC4C56"/>
    <w:rsid w:val="00AC5BAD"/>
    <w:rsid w:val="00AC6074"/>
    <w:rsid w:val="00AC6CA0"/>
    <w:rsid w:val="00AC6F0D"/>
    <w:rsid w:val="00AC6FE4"/>
    <w:rsid w:val="00AC721D"/>
    <w:rsid w:val="00AC7AFF"/>
    <w:rsid w:val="00AD00C2"/>
    <w:rsid w:val="00AD0205"/>
    <w:rsid w:val="00AD06CB"/>
    <w:rsid w:val="00AD0F4E"/>
    <w:rsid w:val="00AD11D8"/>
    <w:rsid w:val="00AD136E"/>
    <w:rsid w:val="00AD1572"/>
    <w:rsid w:val="00AD15B2"/>
    <w:rsid w:val="00AD3478"/>
    <w:rsid w:val="00AD35B0"/>
    <w:rsid w:val="00AD483C"/>
    <w:rsid w:val="00AD52B2"/>
    <w:rsid w:val="00AD54D4"/>
    <w:rsid w:val="00AD6308"/>
    <w:rsid w:val="00AD6406"/>
    <w:rsid w:val="00AD74F9"/>
    <w:rsid w:val="00AD7EA4"/>
    <w:rsid w:val="00AE01A3"/>
    <w:rsid w:val="00AE08D3"/>
    <w:rsid w:val="00AE0944"/>
    <w:rsid w:val="00AE0A56"/>
    <w:rsid w:val="00AE0A94"/>
    <w:rsid w:val="00AE0DA9"/>
    <w:rsid w:val="00AE0EDE"/>
    <w:rsid w:val="00AE1444"/>
    <w:rsid w:val="00AE1608"/>
    <w:rsid w:val="00AE160C"/>
    <w:rsid w:val="00AE1CC2"/>
    <w:rsid w:val="00AE24E2"/>
    <w:rsid w:val="00AE2821"/>
    <w:rsid w:val="00AE308B"/>
    <w:rsid w:val="00AE33A7"/>
    <w:rsid w:val="00AE348B"/>
    <w:rsid w:val="00AE37A0"/>
    <w:rsid w:val="00AE3844"/>
    <w:rsid w:val="00AE3E72"/>
    <w:rsid w:val="00AE4556"/>
    <w:rsid w:val="00AE481E"/>
    <w:rsid w:val="00AE498F"/>
    <w:rsid w:val="00AE5260"/>
    <w:rsid w:val="00AE54D7"/>
    <w:rsid w:val="00AE58C5"/>
    <w:rsid w:val="00AE5FA2"/>
    <w:rsid w:val="00AE620F"/>
    <w:rsid w:val="00AE65BB"/>
    <w:rsid w:val="00AE7240"/>
    <w:rsid w:val="00AE7484"/>
    <w:rsid w:val="00AF0423"/>
    <w:rsid w:val="00AF0DF0"/>
    <w:rsid w:val="00AF1124"/>
    <w:rsid w:val="00AF142C"/>
    <w:rsid w:val="00AF1579"/>
    <w:rsid w:val="00AF1603"/>
    <w:rsid w:val="00AF16AC"/>
    <w:rsid w:val="00AF1924"/>
    <w:rsid w:val="00AF194C"/>
    <w:rsid w:val="00AF19E2"/>
    <w:rsid w:val="00AF1D78"/>
    <w:rsid w:val="00AF2315"/>
    <w:rsid w:val="00AF2565"/>
    <w:rsid w:val="00AF2DA8"/>
    <w:rsid w:val="00AF310F"/>
    <w:rsid w:val="00AF34D9"/>
    <w:rsid w:val="00AF3578"/>
    <w:rsid w:val="00AF3922"/>
    <w:rsid w:val="00AF3AC7"/>
    <w:rsid w:val="00AF3C8B"/>
    <w:rsid w:val="00AF4358"/>
    <w:rsid w:val="00AF4A4A"/>
    <w:rsid w:val="00AF50C9"/>
    <w:rsid w:val="00AF58E6"/>
    <w:rsid w:val="00AF5AC3"/>
    <w:rsid w:val="00AF5B9F"/>
    <w:rsid w:val="00AF5F39"/>
    <w:rsid w:val="00AF6359"/>
    <w:rsid w:val="00AF63A2"/>
    <w:rsid w:val="00AF65E2"/>
    <w:rsid w:val="00AF66C4"/>
    <w:rsid w:val="00AF67CC"/>
    <w:rsid w:val="00AF6D6C"/>
    <w:rsid w:val="00AF71FA"/>
    <w:rsid w:val="00AF7733"/>
    <w:rsid w:val="00AF7BDB"/>
    <w:rsid w:val="00AF7E1C"/>
    <w:rsid w:val="00B000EE"/>
    <w:rsid w:val="00B008DC"/>
    <w:rsid w:val="00B00BF1"/>
    <w:rsid w:val="00B011F3"/>
    <w:rsid w:val="00B01277"/>
    <w:rsid w:val="00B016A1"/>
    <w:rsid w:val="00B01816"/>
    <w:rsid w:val="00B01E37"/>
    <w:rsid w:val="00B01E91"/>
    <w:rsid w:val="00B024EE"/>
    <w:rsid w:val="00B02572"/>
    <w:rsid w:val="00B0302A"/>
    <w:rsid w:val="00B03598"/>
    <w:rsid w:val="00B03C16"/>
    <w:rsid w:val="00B041FA"/>
    <w:rsid w:val="00B04ACF"/>
    <w:rsid w:val="00B04DF5"/>
    <w:rsid w:val="00B04E1F"/>
    <w:rsid w:val="00B05638"/>
    <w:rsid w:val="00B0569E"/>
    <w:rsid w:val="00B05A41"/>
    <w:rsid w:val="00B05B25"/>
    <w:rsid w:val="00B061B1"/>
    <w:rsid w:val="00B0630A"/>
    <w:rsid w:val="00B0662A"/>
    <w:rsid w:val="00B0691F"/>
    <w:rsid w:val="00B06990"/>
    <w:rsid w:val="00B06DE7"/>
    <w:rsid w:val="00B06E6A"/>
    <w:rsid w:val="00B0708C"/>
    <w:rsid w:val="00B0708D"/>
    <w:rsid w:val="00B0714F"/>
    <w:rsid w:val="00B0749C"/>
    <w:rsid w:val="00B07D99"/>
    <w:rsid w:val="00B07ED7"/>
    <w:rsid w:val="00B100C8"/>
    <w:rsid w:val="00B103F2"/>
    <w:rsid w:val="00B10473"/>
    <w:rsid w:val="00B11196"/>
    <w:rsid w:val="00B11448"/>
    <w:rsid w:val="00B115CE"/>
    <w:rsid w:val="00B116A6"/>
    <w:rsid w:val="00B1215A"/>
    <w:rsid w:val="00B12A02"/>
    <w:rsid w:val="00B12A74"/>
    <w:rsid w:val="00B12BA7"/>
    <w:rsid w:val="00B147B0"/>
    <w:rsid w:val="00B14EDC"/>
    <w:rsid w:val="00B15052"/>
    <w:rsid w:val="00B155B0"/>
    <w:rsid w:val="00B158B2"/>
    <w:rsid w:val="00B159E6"/>
    <w:rsid w:val="00B15CBB"/>
    <w:rsid w:val="00B15F5B"/>
    <w:rsid w:val="00B15FDC"/>
    <w:rsid w:val="00B161CD"/>
    <w:rsid w:val="00B16282"/>
    <w:rsid w:val="00B165C4"/>
    <w:rsid w:val="00B165EE"/>
    <w:rsid w:val="00B16657"/>
    <w:rsid w:val="00B16732"/>
    <w:rsid w:val="00B1741A"/>
    <w:rsid w:val="00B17558"/>
    <w:rsid w:val="00B1777C"/>
    <w:rsid w:val="00B17969"/>
    <w:rsid w:val="00B17E0A"/>
    <w:rsid w:val="00B2023F"/>
    <w:rsid w:val="00B204EA"/>
    <w:rsid w:val="00B208C9"/>
    <w:rsid w:val="00B20E31"/>
    <w:rsid w:val="00B211AE"/>
    <w:rsid w:val="00B211F9"/>
    <w:rsid w:val="00B212FC"/>
    <w:rsid w:val="00B22289"/>
    <w:rsid w:val="00B226EF"/>
    <w:rsid w:val="00B229CC"/>
    <w:rsid w:val="00B22A28"/>
    <w:rsid w:val="00B22A4E"/>
    <w:rsid w:val="00B22DF6"/>
    <w:rsid w:val="00B22E0C"/>
    <w:rsid w:val="00B2306A"/>
    <w:rsid w:val="00B231FE"/>
    <w:rsid w:val="00B23288"/>
    <w:rsid w:val="00B23506"/>
    <w:rsid w:val="00B23C86"/>
    <w:rsid w:val="00B2449B"/>
    <w:rsid w:val="00B246F1"/>
    <w:rsid w:val="00B24829"/>
    <w:rsid w:val="00B248C5"/>
    <w:rsid w:val="00B255C2"/>
    <w:rsid w:val="00B25934"/>
    <w:rsid w:val="00B25E71"/>
    <w:rsid w:val="00B25ED9"/>
    <w:rsid w:val="00B26175"/>
    <w:rsid w:val="00B26477"/>
    <w:rsid w:val="00B27702"/>
    <w:rsid w:val="00B27C40"/>
    <w:rsid w:val="00B302A0"/>
    <w:rsid w:val="00B3058D"/>
    <w:rsid w:val="00B308D2"/>
    <w:rsid w:val="00B308D3"/>
    <w:rsid w:val="00B310B0"/>
    <w:rsid w:val="00B31570"/>
    <w:rsid w:val="00B315B1"/>
    <w:rsid w:val="00B3176F"/>
    <w:rsid w:val="00B3216C"/>
    <w:rsid w:val="00B32586"/>
    <w:rsid w:val="00B32DA2"/>
    <w:rsid w:val="00B32E80"/>
    <w:rsid w:val="00B33145"/>
    <w:rsid w:val="00B333EF"/>
    <w:rsid w:val="00B33B2F"/>
    <w:rsid w:val="00B34145"/>
    <w:rsid w:val="00B34FB4"/>
    <w:rsid w:val="00B34FD6"/>
    <w:rsid w:val="00B35005"/>
    <w:rsid w:val="00B3501C"/>
    <w:rsid w:val="00B35D70"/>
    <w:rsid w:val="00B36377"/>
    <w:rsid w:val="00B364F6"/>
    <w:rsid w:val="00B36D9B"/>
    <w:rsid w:val="00B373B7"/>
    <w:rsid w:val="00B373F3"/>
    <w:rsid w:val="00B375C8"/>
    <w:rsid w:val="00B376DF"/>
    <w:rsid w:val="00B37B2E"/>
    <w:rsid w:val="00B37B8D"/>
    <w:rsid w:val="00B37CBE"/>
    <w:rsid w:val="00B37F26"/>
    <w:rsid w:val="00B405D2"/>
    <w:rsid w:val="00B40D84"/>
    <w:rsid w:val="00B41130"/>
    <w:rsid w:val="00B41441"/>
    <w:rsid w:val="00B4151C"/>
    <w:rsid w:val="00B41B9A"/>
    <w:rsid w:val="00B41D03"/>
    <w:rsid w:val="00B42092"/>
    <w:rsid w:val="00B4250C"/>
    <w:rsid w:val="00B427B2"/>
    <w:rsid w:val="00B43A7D"/>
    <w:rsid w:val="00B441BD"/>
    <w:rsid w:val="00B441C5"/>
    <w:rsid w:val="00B44586"/>
    <w:rsid w:val="00B449AD"/>
    <w:rsid w:val="00B45CDD"/>
    <w:rsid w:val="00B45FB7"/>
    <w:rsid w:val="00B467BC"/>
    <w:rsid w:val="00B46948"/>
    <w:rsid w:val="00B51442"/>
    <w:rsid w:val="00B515EB"/>
    <w:rsid w:val="00B519A9"/>
    <w:rsid w:val="00B51DDC"/>
    <w:rsid w:val="00B52875"/>
    <w:rsid w:val="00B52B1D"/>
    <w:rsid w:val="00B53142"/>
    <w:rsid w:val="00B5322E"/>
    <w:rsid w:val="00B53533"/>
    <w:rsid w:val="00B53B52"/>
    <w:rsid w:val="00B53E65"/>
    <w:rsid w:val="00B53ED4"/>
    <w:rsid w:val="00B5434C"/>
    <w:rsid w:val="00B54458"/>
    <w:rsid w:val="00B54615"/>
    <w:rsid w:val="00B55F4F"/>
    <w:rsid w:val="00B5737A"/>
    <w:rsid w:val="00B573A9"/>
    <w:rsid w:val="00B60730"/>
    <w:rsid w:val="00B6073D"/>
    <w:rsid w:val="00B61290"/>
    <w:rsid w:val="00B61407"/>
    <w:rsid w:val="00B6172E"/>
    <w:rsid w:val="00B6174A"/>
    <w:rsid w:val="00B61DEA"/>
    <w:rsid w:val="00B61E49"/>
    <w:rsid w:val="00B61FDB"/>
    <w:rsid w:val="00B62BBB"/>
    <w:rsid w:val="00B62BCC"/>
    <w:rsid w:val="00B62F58"/>
    <w:rsid w:val="00B6315E"/>
    <w:rsid w:val="00B634DD"/>
    <w:rsid w:val="00B63583"/>
    <w:rsid w:val="00B636FD"/>
    <w:rsid w:val="00B63BE6"/>
    <w:rsid w:val="00B64373"/>
    <w:rsid w:val="00B64384"/>
    <w:rsid w:val="00B64CD6"/>
    <w:rsid w:val="00B64DFA"/>
    <w:rsid w:val="00B6513B"/>
    <w:rsid w:val="00B653AB"/>
    <w:rsid w:val="00B65B64"/>
    <w:rsid w:val="00B67786"/>
    <w:rsid w:val="00B6778B"/>
    <w:rsid w:val="00B67A62"/>
    <w:rsid w:val="00B67DC8"/>
    <w:rsid w:val="00B67DFA"/>
    <w:rsid w:val="00B702E5"/>
    <w:rsid w:val="00B7117A"/>
    <w:rsid w:val="00B720AF"/>
    <w:rsid w:val="00B72556"/>
    <w:rsid w:val="00B72760"/>
    <w:rsid w:val="00B728E2"/>
    <w:rsid w:val="00B72955"/>
    <w:rsid w:val="00B734DD"/>
    <w:rsid w:val="00B73BC9"/>
    <w:rsid w:val="00B74199"/>
    <w:rsid w:val="00B74623"/>
    <w:rsid w:val="00B7463F"/>
    <w:rsid w:val="00B74E03"/>
    <w:rsid w:val="00B75043"/>
    <w:rsid w:val="00B754D3"/>
    <w:rsid w:val="00B75893"/>
    <w:rsid w:val="00B7590F"/>
    <w:rsid w:val="00B75C98"/>
    <w:rsid w:val="00B75D1F"/>
    <w:rsid w:val="00B76B28"/>
    <w:rsid w:val="00B76E45"/>
    <w:rsid w:val="00B77172"/>
    <w:rsid w:val="00B772AF"/>
    <w:rsid w:val="00B775E5"/>
    <w:rsid w:val="00B778A7"/>
    <w:rsid w:val="00B77B19"/>
    <w:rsid w:val="00B77F57"/>
    <w:rsid w:val="00B80213"/>
    <w:rsid w:val="00B8066B"/>
    <w:rsid w:val="00B81175"/>
    <w:rsid w:val="00B814EC"/>
    <w:rsid w:val="00B81E8F"/>
    <w:rsid w:val="00B82535"/>
    <w:rsid w:val="00B82742"/>
    <w:rsid w:val="00B82B5E"/>
    <w:rsid w:val="00B82BE0"/>
    <w:rsid w:val="00B834DF"/>
    <w:rsid w:val="00B8391A"/>
    <w:rsid w:val="00B83D23"/>
    <w:rsid w:val="00B83FFE"/>
    <w:rsid w:val="00B84259"/>
    <w:rsid w:val="00B8494C"/>
    <w:rsid w:val="00B8494F"/>
    <w:rsid w:val="00B852DA"/>
    <w:rsid w:val="00B858CC"/>
    <w:rsid w:val="00B85A55"/>
    <w:rsid w:val="00B85DA4"/>
    <w:rsid w:val="00B85DC4"/>
    <w:rsid w:val="00B86D61"/>
    <w:rsid w:val="00B86F0D"/>
    <w:rsid w:val="00B870AA"/>
    <w:rsid w:val="00B87B02"/>
    <w:rsid w:val="00B87D68"/>
    <w:rsid w:val="00B90348"/>
    <w:rsid w:val="00B90752"/>
    <w:rsid w:val="00B907CC"/>
    <w:rsid w:val="00B90CA1"/>
    <w:rsid w:val="00B91619"/>
    <w:rsid w:val="00B91C03"/>
    <w:rsid w:val="00B91E4D"/>
    <w:rsid w:val="00B92510"/>
    <w:rsid w:val="00B925C8"/>
    <w:rsid w:val="00B928C3"/>
    <w:rsid w:val="00B92960"/>
    <w:rsid w:val="00B936F9"/>
    <w:rsid w:val="00B93EAB"/>
    <w:rsid w:val="00B949F2"/>
    <w:rsid w:val="00B94B1A"/>
    <w:rsid w:val="00B94CE7"/>
    <w:rsid w:val="00B94FB7"/>
    <w:rsid w:val="00B950EC"/>
    <w:rsid w:val="00B9556E"/>
    <w:rsid w:val="00B9578A"/>
    <w:rsid w:val="00B95D7C"/>
    <w:rsid w:val="00B9638D"/>
    <w:rsid w:val="00B963C5"/>
    <w:rsid w:val="00B968D0"/>
    <w:rsid w:val="00B969ED"/>
    <w:rsid w:val="00B96A91"/>
    <w:rsid w:val="00B96DC9"/>
    <w:rsid w:val="00B97314"/>
    <w:rsid w:val="00B975C9"/>
    <w:rsid w:val="00B97E3E"/>
    <w:rsid w:val="00BA027F"/>
    <w:rsid w:val="00BA0519"/>
    <w:rsid w:val="00BA091F"/>
    <w:rsid w:val="00BA0CC2"/>
    <w:rsid w:val="00BA0D50"/>
    <w:rsid w:val="00BA0FE1"/>
    <w:rsid w:val="00BA1814"/>
    <w:rsid w:val="00BA1D17"/>
    <w:rsid w:val="00BA20D3"/>
    <w:rsid w:val="00BA23D9"/>
    <w:rsid w:val="00BA2709"/>
    <w:rsid w:val="00BA2B25"/>
    <w:rsid w:val="00BA3834"/>
    <w:rsid w:val="00BA4097"/>
    <w:rsid w:val="00BA4402"/>
    <w:rsid w:val="00BA4480"/>
    <w:rsid w:val="00BA46FA"/>
    <w:rsid w:val="00BA5281"/>
    <w:rsid w:val="00BA5943"/>
    <w:rsid w:val="00BA5DA2"/>
    <w:rsid w:val="00BA609A"/>
    <w:rsid w:val="00BA6603"/>
    <w:rsid w:val="00BA6A96"/>
    <w:rsid w:val="00BA6C75"/>
    <w:rsid w:val="00BA7368"/>
    <w:rsid w:val="00BA7686"/>
    <w:rsid w:val="00BA7B3E"/>
    <w:rsid w:val="00BB0614"/>
    <w:rsid w:val="00BB0BE7"/>
    <w:rsid w:val="00BB11CB"/>
    <w:rsid w:val="00BB1FFF"/>
    <w:rsid w:val="00BB2289"/>
    <w:rsid w:val="00BB234C"/>
    <w:rsid w:val="00BB2758"/>
    <w:rsid w:val="00BB2FDB"/>
    <w:rsid w:val="00BB3A7D"/>
    <w:rsid w:val="00BB4764"/>
    <w:rsid w:val="00BB4F7B"/>
    <w:rsid w:val="00BB5097"/>
    <w:rsid w:val="00BB5320"/>
    <w:rsid w:val="00BB53E1"/>
    <w:rsid w:val="00BB54A1"/>
    <w:rsid w:val="00BB5DD7"/>
    <w:rsid w:val="00BB5EAB"/>
    <w:rsid w:val="00BB6BAB"/>
    <w:rsid w:val="00BB6C71"/>
    <w:rsid w:val="00BB6E31"/>
    <w:rsid w:val="00BB6E41"/>
    <w:rsid w:val="00BB6FF6"/>
    <w:rsid w:val="00BB751E"/>
    <w:rsid w:val="00BB7864"/>
    <w:rsid w:val="00BB7C01"/>
    <w:rsid w:val="00BB7D6F"/>
    <w:rsid w:val="00BC003B"/>
    <w:rsid w:val="00BC088C"/>
    <w:rsid w:val="00BC1096"/>
    <w:rsid w:val="00BC1395"/>
    <w:rsid w:val="00BC16AE"/>
    <w:rsid w:val="00BC1965"/>
    <w:rsid w:val="00BC1F08"/>
    <w:rsid w:val="00BC2C8F"/>
    <w:rsid w:val="00BC4B22"/>
    <w:rsid w:val="00BC4BEF"/>
    <w:rsid w:val="00BC4E2D"/>
    <w:rsid w:val="00BC4FFC"/>
    <w:rsid w:val="00BC509E"/>
    <w:rsid w:val="00BC56EF"/>
    <w:rsid w:val="00BC64FC"/>
    <w:rsid w:val="00BC6ACC"/>
    <w:rsid w:val="00BC6FC8"/>
    <w:rsid w:val="00BC741B"/>
    <w:rsid w:val="00BD0574"/>
    <w:rsid w:val="00BD072F"/>
    <w:rsid w:val="00BD0909"/>
    <w:rsid w:val="00BD1116"/>
    <w:rsid w:val="00BD1507"/>
    <w:rsid w:val="00BD1ADD"/>
    <w:rsid w:val="00BD1B35"/>
    <w:rsid w:val="00BD1BAA"/>
    <w:rsid w:val="00BD1BF0"/>
    <w:rsid w:val="00BD1C4E"/>
    <w:rsid w:val="00BD23B4"/>
    <w:rsid w:val="00BD2B0B"/>
    <w:rsid w:val="00BD2DBF"/>
    <w:rsid w:val="00BD34C1"/>
    <w:rsid w:val="00BD4A0E"/>
    <w:rsid w:val="00BD4DC8"/>
    <w:rsid w:val="00BD5363"/>
    <w:rsid w:val="00BD5689"/>
    <w:rsid w:val="00BD5C93"/>
    <w:rsid w:val="00BD615C"/>
    <w:rsid w:val="00BD623A"/>
    <w:rsid w:val="00BD643E"/>
    <w:rsid w:val="00BD6B52"/>
    <w:rsid w:val="00BD6DC9"/>
    <w:rsid w:val="00BD6E0A"/>
    <w:rsid w:val="00BD6E4B"/>
    <w:rsid w:val="00BD7653"/>
    <w:rsid w:val="00BE0649"/>
    <w:rsid w:val="00BE0FCE"/>
    <w:rsid w:val="00BE13F0"/>
    <w:rsid w:val="00BE1728"/>
    <w:rsid w:val="00BE19CA"/>
    <w:rsid w:val="00BE1AA1"/>
    <w:rsid w:val="00BE1C73"/>
    <w:rsid w:val="00BE23B1"/>
    <w:rsid w:val="00BE2A16"/>
    <w:rsid w:val="00BE30B3"/>
    <w:rsid w:val="00BE3296"/>
    <w:rsid w:val="00BE3550"/>
    <w:rsid w:val="00BE3670"/>
    <w:rsid w:val="00BE3674"/>
    <w:rsid w:val="00BE37C3"/>
    <w:rsid w:val="00BE3E97"/>
    <w:rsid w:val="00BE5AEF"/>
    <w:rsid w:val="00BE5B9C"/>
    <w:rsid w:val="00BE65BB"/>
    <w:rsid w:val="00BE6653"/>
    <w:rsid w:val="00BE6B42"/>
    <w:rsid w:val="00BE709E"/>
    <w:rsid w:val="00BE7645"/>
    <w:rsid w:val="00BE79E8"/>
    <w:rsid w:val="00BE7CDF"/>
    <w:rsid w:val="00BE7D1F"/>
    <w:rsid w:val="00BE7DD1"/>
    <w:rsid w:val="00BF017E"/>
    <w:rsid w:val="00BF019C"/>
    <w:rsid w:val="00BF040C"/>
    <w:rsid w:val="00BF058B"/>
    <w:rsid w:val="00BF0A30"/>
    <w:rsid w:val="00BF17DF"/>
    <w:rsid w:val="00BF1D9C"/>
    <w:rsid w:val="00BF2447"/>
    <w:rsid w:val="00BF2809"/>
    <w:rsid w:val="00BF36E6"/>
    <w:rsid w:val="00BF3982"/>
    <w:rsid w:val="00BF41D6"/>
    <w:rsid w:val="00BF45AD"/>
    <w:rsid w:val="00BF463D"/>
    <w:rsid w:val="00BF4915"/>
    <w:rsid w:val="00BF5374"/>
    <w:rsid w:val="00BF54B2"/>
    <w:rsid w:val="00BF54BD"/>
    <w:rsid w:val="00BF6085"/>
    <w:rsid w:val="00BF608C"/>
    <w:rsid w:val="00BF633C"/>
    <w:rsid w:val="00BF64BB"/>
    <w:rsid w:val="00BF6983"/>
    <w:rsid w:val="00BF763D"/>
    <w:rsid w:val="00BF79EE"/>
    <w:rsid w:val="00BF7A6A"/>
    <w:rsid w:val="00BF7EAF"/>
    <w:rsid w:val="00BF7F19"/>
    <w:rsid w:val="00C001E8"/>
    <w:rsid w:val="00C002A8"/>
    <w:rsid w:val="00C00736"/>
    <w:rsid w:val="00C00C5A"/>
    <w:rsid w:val="00C00FE8"/>
    <w:rsid w:val="00C015D7"/>
    <w:rsid w:val="00C0162A"/>
    <w:rsid w:val="00C018D2"/>
    <w:rsid w:val="00C01E1C"/>
    <w:rsid w:val="00C01E2B"/>
    <w:rsid w:val="00C020DF"/>
    <w:rsid w:val="00C02C13"/>
    <w:rsid w:val="00C03308"/>
    <w:rsid w:val="00C0386E"/>
    <w:rsid w:val="00C03870"/>
    <w:rsid w:val="00C0396D"/>
    <w:rsid w:val="00C040A1"/>
    <w:rsid w:val="00C0536B"/>
    <w:rsid w:val="00C06498"/>
    <w:rsid w:val="00C066AD"/>
    <w:rsid w:val="00C067FD"/>
    <w:rsid w:val="00C07182"/>
    <w:rsid w:val="00C074A5"/>
    <w:rsid w:val="00C0753F"/>
    <w:rsid w:val="00C075E4"/>
    <w:rsid w:val="00C0766F"/>
    <w:rsid w:val="00C1034C"/>
    <w:rsid w:val="00C1039A"/>
    <w:rsid w:val="00C107A4"/>
    <w:rsid w:val="00C1145C"/>
    <w:rsid w:val="00C11ADD"/>
    <w:rsid w:val="00C11F1F"/>
    <w:rsid w:val="00C12053"/>
    <w:rsid w:val="00C1220E"/>
    <w:rsid w:val="00C12373"/>
    <w:rsid w:val="00C125EC"/>
    <w:rsid w:val="00C129F3"/>
    <w:rsid w:val="00C12FE4"/>
    <w:rsid w:val="00C1357D"/>
    <w:rsid w:val="00C13B80"/>
    <w:rsid w:val="00C14165"/>
    <w:rsid w:val="00C14296"/>
    <w:rsid w:val="00C14A1E"/>
    <w:rsid w:val="00C14B55"/>
    <w:rsid w:val="00C158FB"/>
    <w:rsid w:val="00C15D55"/>
    <w:rsid w:val="00C15FAE"/>
    <w:rsid w:val="00C16487"/>
    <w:rsid w:val="00C16597"/>
    <w:rsid w:val="00C16AA5"/>
    <w:rsid w:val="00C16EBC"/>
    <w:rsid w:val="00C1733A"/>
    <w:rsid w:val="00C17F7D"/>
    <w:rsid w:val="00C201BA"/>
    <w:rsid w:val="00C20AD8"/>
    <w:rsid w:val="00C20D31"/>
    <w:rsid w:val="00C211B0"/>
    <w:rsid w:val="00C21CCE"/>
    <w:rsid w:val="00C21CED"/>
    <w:rsid w:val="00C21D82"/>
    <w:rsid w:val="00C21DDB"/>
    <w:rsid w:val="00C21E8B"/>
    <w:rsid w:val="00C222BB"/>
    <w:rsid w:val="00C22578"/>
    <w:rsid w:val="00C22C93"/>
    <w:rsid w:val="00C230D0"/>
    <w:rsid w:val="00C235EF"/>
    <w:rsid w:val="00C2377B"/>
    <w:rsid w:val="00C23ECE"/>
    <w:rsid w:val="00C240DF"/>
    <w:rsid w:val="00C24823"/>
    <w:rsid w:val="00C24D6C"/>
    <w:rsid w:val="00C25196"/>
    <w:rsid w:val="00C252BE"/>
    <w:rsid w:val="00C255E1"/>
    <w:rsid w:val="00C259C3"/>
    <w:rsid w:val="00C26AF6"/>
    <w:rsid w:val="00C26D8E"/>
    <w:rsid w:val="00C2712A"/>
    <w:rsid w:val="00C274A4"/>
    <w:rsid w:val="00C27854"/>
    <w:rsid w:val="00C27BC6"/>
    <w:rsid w:val="00C3010F"/>
    <w:rsid w:val="00C3039F"/>
    <w:rsid w:val="00C304DF"/>
    <w:rsid w:val="00C3199F"/>
    <w:rsid w:val="00C31C84"/>
    <w:rsid w:val="00C32A24"/>
    <w:rsid w:val="00C32A51"/>
    <w:rsid w:val="00C32BEA"/>
    <w:rsid w:val="00C3313C"/>
    <w:rsid w:val="00C33599"/>
    <w:rsid w:val="00C33CB5"/>
    <w:rsid w:val="00C33D1D"/>
    <w:rsid w:val="00C33E58"/>
    <w:rsid w:val="00C34100"/>
    <w:rsid w:val="00C34320"/>
    <w:rsid w:val="00C35224"/>
    <w:rsid w:val="00C356F9"/>
    <w:rsid w:val="00C35BC0"/>
    <w:rsid w:val="00C35CCC"/>
    <w:rsid w:val="00C35D54"/>
    <w:rsid w:val="00C36571"/>
    <w:rsid w:val="00C365A0"/>
    <w:rsid w:val="00C36726"/>
    <w:rsid w:val="00C36865"/>
    <w:rsid w:val="00C36B2F"/>
    <w:rsid w:val="00C37017"/>
    <w:rsid w:val="00C37442"/>
    <w:rsid w:val="00C37DBF"/>
    <w:rsid w:val="00C40050"/>
    <w:rsid w:val="00C4019B"/>
    <w:rsid w:val="00C40539"/>
    <w:rsid w:val="00C4061A"/>
    <w:rsid w:val="00C40BCA"/>
    <w:rsid w:val="00C40BF1"/>
    <w:rsid w:val="00C40C47"/>
    <w:rsid w:val="00C411A1"/>
    <w:rsid w:val="00C41966"/>
    <w:rsid w:val="00C41D1C"/>
    <w:rsid w:val="00C41ECC"/>
    <w:rsid w:val="00C423BC"/>
    <w:rsid w:val="00C426D3"/>
    <w:rsid w:val="00C427AD"/>
    <w:rsid w:val="00C42B28"/>
    <w:rsid w:val="00C42E83"/>
    <w:rsid w:val="00C42FCD"/>
    <w:rsid w:val="00C4381D"/>
    <w:rsid w:val="00C4455C"/>
    <w:rsid w:val="00C4493E"/>
    <w:rsid w:val="00C44EE9"/>
    <w:rsid w:val="00C452BC"/>
    <w:rsid w:val="00C4539F"/>
    <w:rsid w:val="00C45695"/>
    <w:rsid w:val="00C45DA3"/>
    <w:rsid w:val="00C461FE"/>
    <w:rsid w:val="00C46398"/>
    <w:rsid w:val="00C4659B"/>
    <w:rsid w:val="00C46C28"/>
    <w:rsid w:val="00C46D4B"/>
    <w:rsid w:val="00C46E15"/>
    <w:rsid w:val="00C46F0E"/>
    <w:rsid w:val="00C47886"/>
    <w:rsid w:val="00C47D7F"/>
    <w:rsid w:val="00C50C90"/>
    <w:rsid w:val="00C50E76"/>
    <w:rsid w:val="00C5243E"/>
    <w:rsid w:val="00C528CA"/>
    <w:rsid w:val="00C52E9C"/>
    <w:rsid w:val="00C53F1B"/>
    <w:rsid w:val="00C540BE"/>
    <w:rsid w:val="00C543CB"/>
    <w:rsid w:val="00C5458E"/>
    <w:rsid w:val="00C54769"/>
    <w:rsid w:val="00C55636"/>
    <w:rsid w:val="00C55921"/>
    <w:rsid w:val="00C56C16"/>
    <w:rsid w:val="00C56CE5"/>
    <w:rsid w:val="00C5713C"/>
    <w:rsid w:val="00C573B7"/>
    <w:rsid w:val="00C575AE"/>
    <w:rsid w:val="00C575B4"/>
    <w:rsid w:val="00C57B30"/>
    <w:rsid w:val="00C6048A"/>
    <w:rsid w:val="00C605EE"/>
    <w:rsid w:val="00C609E8"/>
    <w:rsid w:val="00C61004"/>
    <w:rsid w:val="00C6173C"/>
    <w:rsid w:val="00C61C34"/>
    <w:rsid w:val="00C6205D"/>
    <w:rsid w:val="00C62254"/>
    <w:rsid w:val="00C62644"/>
    <w:rsid w:val="00C627D4"/>
    <w:rsid w:val="00C62B09"/>
    <w:rsid w:val="00C63D4B"/>
    <w:rsid w:val="00C64CB6"/>
    <w:rsid w:val="00C64CCB"/>
    <w:rsid w:val="00C665F7"/>
    <w:rsid w:val="00C66D36"/>
    <w:rsid w:val="00C670FA"/>
    <w:rsid w:val="00C67BD0"/>
    <w:rsid w:val="00C67CCD"/>
    <w:rsid w:val="00C67F90"/>
    <w:rsid w:val="00C7034E"/>
    <w:rsid w:val="00C7041D"/>
    <w:rsid w:val="00C704B1"/>
    <w:rsid w:val="00C706D5"/>
    <w:rsid w:val="00C70E96"/>
    <w:rsid w:val="00C70F6E"/>
    <w:rsid w:val="00C70F96"/>
    <w:rsid w:val="00C71327"/>
    <w:rsid w:val="00C715DF"/>
    <w:rsid w:val="00C72066"/>
    <w:rsid w:val="00C72246"/>
    <w:rsid w:val="00C72455"/>
    <w:rsid w:val="00C729DC"/>
    <w:rsid w:val="00C73087"/>
    <w:rsid w:val="00C733D6"/>
    <w:rsid w:val="00C7347C"/>
    <w:rsid w:val="00C73AF1"/>
    <w:rsid w:val="00C73ECF"/>
    <w:rsid w:val="00C73FA0"/>
    <w:rsid w:val="00C74181"/>
    <w:rsid w:val="00C7428B"/>
    <w:rsid w:val="00C744B4"/>
    <w:rsid w:val="00C74CDB"/>
    <w:rsid w:val="00C74D46"/>
    <w:rsid w:val="00C751D8"/>
    <w:rsid w:val="00C7553D"/>
    <w:rsid w:val="00C75A90"/>
    <w:rsid w:val="00C764E5"/>
    <w:rsid w:val="00C77052"/>
    <w:rsid w:val="00C773AC"/>
    <w:rsid w:val="00C77F4A"/>
    <w:rsid w:val="00C804CE"/>
    <w:rsid w:val="00C80A9A"/>
    <w:rsid w:val="00C815D2"/>
    <w:rsid w:val="00C816FD"/>
    <w:rsid w:val="00C81944"/>
    <w:rsid w:val="00C81D72"/>
    <w:rsid w:val="00C81DF9"/>
    <w:rsid w:val="00C824FA"/>
    <w:rsid w:val="00C82BD2"/>
    <w:rsid w:val="00C841B7"/>
    <w:rsid w:val="00C843B5"/>
    <w:rsid w:val="00C84774"/>
    <w:rsid w:val="00C84A1D"/>
    <w:rsid w:val="00C84D2D"/>
    <w:rsid w:val="00C850AA"/>
    <w:rsid w:val="00C8540E"/>
    <w:rsid w:val="00C86257"/>
    <w:rsid w:val="00C86755"/>
    <w:rsid w:val="00C86E63"/>
    <w:rsid w:val="00C87052"/>
    <w:rsid w:val="00C878AA"/>
    <w:rsid w:val="00C87DCA"/>
    <w:rsid w:val="00C900A2"/>
    <w:rsid w:val="00C9016B"/>
    <w:rsid w:val="00C908A1"/>
    <w:rsid w:val="00C9143A"/>
    <w:rsid w:val="00C91EF1"/>
    <w:rsid w:val="00C9348A"/>
    <w:rsid w:val="00C93904"/>
    <w:rsid w:val="00C943C4"/>
    <w:rsid w:val="00C947D8"/>
    <w:rsid w:val="00C94847"/>
    <w:rsid w:val="00C94B61"/>
    <w:rsid w:val="00C94B86"/>
    <w:rsid w:val="00C95293"/>
    <w:rsid w:val="00C95925"/>
    <w:rsid w:val="00C95A48"/>
    <w:rsid w:val="00C95F63"/>
    <w:rsid w:val="00C970A6"/>
    <w:rsid w:val="00C97815"/>
    <w:rsid w:val="00C978CC"/>
    <w:rsid w:val="00C97A0E"/>
    <w:rsid w:val="00C97E3A"/>
    <w:rsid w:val="00CA02C6"/>
    <w:rsid w:val="00CA06C7"/>
    <w:rsid w:val="00CA0D26"/>
    <w:rsid w:val="00CA0F12"/>
    <w:rsid w:val="00CA1DD0"/>
    <w:rsid w:val="00CA242D"/>
    <w:rsid w:val="00CA27CD"/>
    <w:rsid w:val="00CA301B"/>
    <w:rsid w:val="00CA335E"/>
    <w:rsid w:val="00CA34EA"/>
    <w:rsid w:val="00CA3CB9"/>
    <w:rsid w:val="00CA3D96"/>
    <w:rsid w:val="00CA401C"/>
    <w:rsid w:val="00CA479C"/>
    <w:rsid w:val="00CA4C48"/>
    <w:rsid w:val="00CA5988"/>
    <w:rsid w:val="00CA5AC0"/>
    <w:rsid w:val="00CA5FAA"/>
    <w:rsid w:val="00CA6146"/>
    <w:rsid w:val="00CA653A"/>
    <w:rsid w:val="00CA69AE"/>
    <w:rsid w:val="00CA6AD1"/>
    <w:rsid w:val="00CA6E4F"/>
    <w:rsid w:val="00CA7647"/>
    <w:rsid w:val="00CA787D"/>
    <w:rsid w:val="00CA78B1"/>
    <w:rsid w:val="00CA79DB"/>
    <w:rsid w:val="00CA7B33"/>
    <w:rsid w:val="00CB0C62"/>
    <w:rsid w:val="00CB151F"/>
    <w:rsid w:val="00CB16AA"/>
    <w:rsid w:val="00CB1A63"/>
    <w:rsid w:val="00CB1A6D"/>
    <w:rsid w:val="00CB1D19"/>
    <w:rsid w:val="00CB1F3A"/>
    <w:rsid w:val="00CB1FAC"/>
    <w:rsid w:val="00CB2818"/>
    <w:rsid w:val="00CB308B"/>
    <w:rsid w:val="00CB3410"/>
    <w:rsid w:val="00CB350C"/>
    <w:rsid w:val="00CB3CA1"/>
    <w:rsid w:val="00CB4292"/>
    <w:rsid w:val="00CB4652"/>
    <w:rsid w:val="00CB49C3"/>
    <w:rsid w:val="00CB4C6A"/>
    <w:rsid w:val="00CB4E61"/>
    <w:rsid w:val="00CB4FDB"/>
    <w:rsid w:val="00CB500E"/>
    <w:rsid w:val="00CB50A7"/>
    <w:rsid w:val="00CB514A"/>
    <w:rsid w:val="00CB531F"/>
    <w:rsid w:val="00CB541D"/>
    <w:rsid w:val="00CB5423"/>
    <w:rsid w:val="00CB59F8"/>
    <w:rsid w:val="00CB5B3E"/>
    <w:rsid w:val="00CB5C5B"/>
    <w:rsid w:val="00CB5D02"/>
    <w:rsid w:val="00CB6E4A"/>
    <w:rsid w:val="00CB6EE2"/>
    <w:rsid w:val="00CB7CDE"/>
    <w:rsid w:val="00CC0438"/>
    <w:rsid w:val="00CC09E0"/>
    <w:rsid w:val="00CC0F9D"/>
    <w:rsid w:val="00CC0FB6"/>
    <w:rsid w:val="00CC0FFA"/>
    <w:rsid w:val="00CC1564"/>
    <w:rsid w:val="00CC178A"/>
    <w:rsid w:val="00CC1C9B"/>
    <w:rsid w:val="00CC2315"/>
    <w:rsid w:val="00CC287F"/>
    <w:rsid w:val="00CC2F13"/>
    <w:rsid w:val="00CC2FC1"/>
    <w:rsid w:val="00CC330B"/>
    <w:rsid w:val="00CC3444"/>
    <w:rsid w:val="00CC3543"/>
    <w:rsid w:val="00CC4181"/>
    <w:rsid w:val="00CC4201"/>
    <w:rsid w:val="00CC47AF"/>
    <w:rsid w:val="00CC49AA"/>
    <w:rsid w:val="00CC4E81"/>
    <w:rsid w:val="00CC5352"/>
    <w:rsid w:val="00CC54BB"/>
    <w:rsid w:val="00CC5CD1"/>
    <w:rsid w:val="00CC63A4"/>
    <w:rsid w:val="00CC69F8"/>
    <w:rsid w:val="00CC7368"/>
    <w:rsid w:val="00CC7B6E"/>
    <w:rsid w:val="00CC7BC9"/>
    <w:rsid w:val="00CC7F82"/>
    <w:rsid w:val="00CD00A4"/>
    <w:rsid w:val="00CD0B64"/>
    <w:rsid w:val="00CD0BF9"/>
    <w:rsid w:val="00CD0D45"/>
    <w:rsid w:val="00CD0EA2"/>
    <w:rsid w:val="00CD149B"/>
    <w:rsid w:val="00CD1B2D"/>
    <w:rsid w:val="00CD1E1D"/>
    <w:rsid w:val="00CD1EC8"/>
    <w:rsid w:val="00CD211E"/>
    <w:rsid w:val="00CD27A4"/>
    <w:rsid w:val="00CD3917"/>
    <w:rsid w:val="00CD3A56"/>
    <w:rsid w:val="00CD3BE4"/>
    <w:rsid w:val="00CD4098"/>
    <w:rsid w:val="00CD4358"/>
    <w:rsid w:val="00CD4715"/>
    <w:rsid w:val="00CD4DCA"/>
    <w:rsid w:val="00CD5097"/>
    <w:rsid w:val="00CD5348"/>
    <w:rsid w:val="00CD553A"/>
    <w:rsid w:val="00CD580D"/>
    <w:rsid w:val="00CD5A9E"/>
    <w:rsid w:val="00CD5C01"/>
    <w:rsid w:val="00CD5C7D"/>
    <w:rsid w:val="00CD5DF0"/>
    <w:rsid w:val="00CD5F40"/>
    <w:rsid w:val="00CD6D3B"/>
    <w:rsid w:val="00CD7473"/>
    <w:rsid w:val="00CD78B3"/>
    <w:rsid w:val="00CD7CBB"/>
    <w:rsid w:val="00CD7FA5"/>
    <w:rsid w:val="00CE05C3"/>
    <w:rsid w:val="00CE06A3"/>
    <w:rsid w:val="00CE075B"/>
    <w:rsid w:val="00CE0B2C"/>
    <w:rsid w:val="00CE0C4B"/>
    <w:rsid w:val="00CE0E03"/>
    <w:rsid w:val="00CE1250"/>
    <w:rsid w:val="00CE1367"/>
    <w:rsid w:val="00CE1D3E"/>
    <w:rsid w:val="00CE1D84"/>
    <w:rsid w:val="00CE2392"/>
    <w:rsid w:val="00CE23F2"/>
    <w:rsid w:val="00CE2772"/>
    <w:rsid w:val="00CE28AD"/>
    <w:rsid w:val="00CE2DBB"/>
    <w:rsid w:val="00CE2E80"/>
    <w:rsid w:val="00CE362C"/>
    <w:rsid w:val="00CE3845"/>
    <w:rsid w:val="00CE3B4F"/>
    <w:rsid w:val="00CE4086"/>
    <w:rsid w:val="00CE4370"/>
    <w:rsid w:val="00CE47DB"/>
    <w:rsid w:val="00CE4CAD"/>
    <w:rsid w:val="00CE4F6B"/>
    <w:rsid w:val="00CE6625"/>
    <w:rsid w:val="00CE6895"/>
    <w:rsid w:val="00CE696A"/>
    <w:rsid w:val="00CE72A5"/>
    <w:rsid w:val="00CF036E"/>
    <w:rsid w:val="00CF0ACD"/>
    <w:rsid w:val="00CF197A"/>
    <w:rsid w:val="00CF1B15"/>
    <w:rsid w:val="00CF2B73"/>
    <w:rsid w:val="00CF3145"/>
    <w:rsid w:val="00CF34E4"/>
    <w:rsid w:val="00CF3743"/>
    <w:rsid w:val="00CF411C"/>
    <w:rsid w:val="00CF44E9"/>
    <w:rsid w:val="00CF4693"/>
    <w:rsid w:val="00CF49E4"/>
    <w:rsid w:val="00CF5080"/>
    <w:rsid w:val="00CF5170"/>
    <w:rsid w:val="00CF5AB1"/>
    <w:rsid w:val="00CF5F71"/>
    <w:rsid w:val="00CF64EB"/>
    <w:rsid w:val="00CF6D8B"/>
    <w:rsid w:val="00CF6E5B"/>
    <w:rsid w:val="00CF6EC9"/>
    <w:rsid w:val="00CF769E"/>
    <w:rsid w:val="00CF7BBE"/>
    <w:rsid w:val="00CF7F34"/>
    <w:rsid w:val="00D00B84"/>
    <w:rsid w:val="00D00FE1"/>
    <w:rsid w:val="00D0107D"/>
    <w:rsid w:val="00D01D51"/>
    <w:rsid w:val="00D0210A"/>
    <w:rsid w:val="00D02233"/>
    <w:rsid w:val="00D02901"/>
    <w:rsid w:val="00D02A55"/>
    <w:rsid w:val="00D02E3B"/>
    <w:rsid w:val="00D03201"/>
    <w:rsid w:val="00D03B93"/>
    <w:rsid w:val="00D04DA4"/>
    <w:rsid w:val="00D04EFB"/>
    <w:rsid w:val="00D05050"/>
    <w:rsid w:val="00D0539C"/>
    <w:rsid w:val="00D05459"/>
    <w:rsid w:val="00D05580"/>
    <w:rsid w:val="00D0588D"/>
    <w:rsid w:val="00D05A77"/>
    <w:rsid w:val="00D05AAE"/>
    <w:rsid w:val="00D06376"/>
    <w:rsid w:val="00D06FD8"/>
    <w:rsid w:val="00D07212"/>
    <w:rsid w:val="00D073C4"/>
    <w:rsid w:val="00D0792E"/>
    <w:rsid w:val="00D103B7"/>
    <w:rsid w:val="00D1058E"/>
    <w:rsid w:val="00D1066F"/>
    <w:rsid w:val="00D108F6"/>
    <w:rsid w:val="00D113A6"/>
    <w:rsid w:val="00D11F12"/>
    <w:rsid w:val="00D1206A"/>
    <w:rsid w:val="00D121AE"/>
    <w:rsid w:val="00D125B7"/>
    <w:rsid w:val="00D12C7A"/>
    <w:rsid w:val="00D12EEE"/>
    <w:rsid w:val="00D13180"/>
    <w:rsid w:val="00D13230"/>
    <w:rsid w:val="00D13609"/>
    <w:rsid w:val="00D13678"/>
    <w:rsid w:val="00D13BE4"/>
    <w:rsid w:val="00D1441B"/>
    <w:rsid w:val="00D14606"/>
    <w:rsid w:val="00D14AC3"/>
    <w:rsid w:val="00D15399"/>
    <w:rsid w:val="00D159F5"/>
    <w:rsid w:val="00D15B49"/>
    <w:rsid w:val="00D16237"/>
    <w:rsid w:val="00D16A2C"/>
    <w:rsid w:val="00D16C7F"/>
    <w:rsid w:val="00D16CFB"/>
    <w:rsid w:val="00D16FCD"/>
    <w:rsid w:val="00D17C52"/>
    <w:rsid w:val="00D17E14"/>
    <w:rsid w:val="00D201C9"/>
    <w:rsid w:val="00D20589"/>
    <w:rsid w:val="00D206CC"/>
    <w:rsid w:val="00D21449"/>
    <w:rsid w:val="00D22085"/>
    <w:rsid w:val="00D226CF"/>
    <w:rsid w:val="00D228B5"/>
    <w:rsid w:val="00D229E3"/>
    <w:rsid w:val="00D22BD0"/>
    <w:rsid w:val="00D22D2A"/>
    <w:rsid w:val="00D22FC0"/>
    <w:rsid w:val="00D2356D"/>
    <w:rsid w:val="00D23D30"/>
    <w:rsid w:val="00D24699"/>
    <w:rsid w:val="00D249CF"/>
    <w:rsid w:val="00D2605E"/>
    <w:rsid w:val="00D26341"/>
    <w:rsid w:val="00D2637E"/>
    <w:rsid w:val="00D269EC"/>
    <w:rsid w:val="00D26D29"/>
    <w:rsid w:val="00D272D4"/>
    <w:rsid w:val="00D274A8"/>
    <w:rsid w:val="00D27ADE"/>
    <w:rsid w:val="00D27BBE"/>
    <w:rsid w:val="00D27F91"/>
    <w:rsid w:val="00D31996"/>
    <w:rsid w:val="00D31B45"/>
    <w:rsid w:val="00D321AE"/>
    <w:rsid w:val="00D3233A"/>
    <w:rsid w:val="00D3267B"/>
    <w:rsid w:val="00D32880"/>
    <w:rsid w:val="00D33161"/>
    <w:rsid w:val="00D33492"/>
    <w:rsid w:val="00D335B2"/>
    <w:rsid w:val="00D3376C"/>
    <w:rsid w:val="00D3389F"/>
    <w:rsid w:val="00D34038"/>
    <w:rsid w:val="00D34469"/>
    <w:rsid w:val="00D34A93"/>
    <w:rsid w:val="00D34DB0"/>
    <w:rsid w:val="00D355EE"/>
    <w:rsid w:val="00D35B0D"/>
    <w:rsid w:val="00D36094"/>
    <w:rsid w:val="00D361A6"/>
    <w:rsid w:val="00D36655"/>
    <w:rsid w:val="00D36CE7"/>
    <w:rsid w:val="00D372CE"/>
    <w:rsid w:val="00D37531"/>
    <w:rsid w:val="00D37BA9"/>
    <w:rsid w:val="00D4003D"/>
    <w:rsid w:val="00D403BC"/>
    <w:rsid w:val="00D412C7"/>
    <w:rsid w:val="00D41D67"/>
    <w:rsid w:val="00D4210C"/>
    <w:rsid w:val="00D421F5"/>
    <w:rsid w:val="00D425E8"/>
    <w:rsid w:val="00D427DC"/>
    <w:rsid w:val="00D42B95"/>
    <w:rsid w:val="00D42D2C"/>
    <w:rsid w:val="00D42EE8"/>
    <w:rsid w:val="00D430A5"/>
    <w:rsid w:val="00D432B2"/>
    <w:rsid w:val="00D43313"/>
    <w:rsid w:val="00D43427"/>
    <w:rsid w:val="00D435AE"/>
    <w:rsid w:val="00D43680"/>
    <w:rsid w:val="00D43E0B"/>
    <w:rsid w:val="00D43EE8"/>
    <w:rsid w:val="00D44385"/>
    <w:rsid w:val="00D449AD"/>
    <w:rsid w:val="00D452DB"/>
    <w:rsid w:val="00D45AFE"/>
    <w:rsid w:val="00D465B3"/>
    <w:rsid w:val="00D4666A"/>
    <w:rsid w:val="00D46AF3"/>
    <w:rsid w:val="00D46BE8"/>
    <w:rsid w:val="00D46C2B"/>
    <w:rsid w:val="00D470D7"/>
    <w:rsid w:val="00D471BA"/>
    <w:rsid w:val="00D475D1"/>
    <w:rsid w:val="00D47C2C"/>
    <w:rsid w:val="00D47CF6"/>
    <w:rsid w:val="00D47E35"/>
    <w:rsid w:val="00D5011D"/>
    <w:rsid w:val="00D509EC"/>
    <w:rsid w:val="00D50A79"/>
    <w:rsid w:val="00D51528"/>
    <w:rsid w:val="00D51647"/>
    <w:rsid w:val="00D517F7"/>
    <w:rsid w:val="00D52349"/>
    <w:rsid w:val="00D525CF"/>
    <w:rsid w:val="00D5260B"/>
    <w:rsid w:val="00D52C81"/>
    <w:rsid w:val="00D52D21"/>
    <w:rsid w:val="00D52D77"/>
    <w:rsid w:val="00D53075"/>
    <w:rsid w:val="00D53761"/>
    <w:rsid w:val="00D53B0A"/>
    <w:rsid w:val="00D54C0D"/>
    <w:rsid w:val="00D54CCD"/>
    <w:rsid w:val="00D54D26"/>
    <w:rsid w:val="00D56532"/>
    <w:rsid w:val="00D5743E"/>
    <w:rsid w:val="00D57D44"/>
    <w:rsid w:val="00D57F2A"/>
    <w:rsid w:val="00D60117"/>
    <w:rsid w:val="00D607E1"/>
    <w:rsid w:val="00D608C2"/>
    <w:rsid w:val="00D60954"/>
    <w:rsid w:val="00D60D8F"/>
    <w:rsid w:val="00D6187D"/>
    <w:rsid w:val="00D61EC6"/>
    <w:rsid w:val="00D61F2B"/>
    <w:rsid w:val="00D6206E"/>
    <w:rsid w:val="00D621D2"/>
    <w:rsid w:val="00D627F9"/>
    <w:rsid w:val="00D62B78"/>
    <w:rsid w:val="00D62C6D"/>
    <w:rsid w:val="00D63418"/>
    <w:rsid w:val="00D639AD"/>
    <w:rsid w:val="00D63A63"/>
    <w:rsid w:val="00D63D7C"/>
    <w:rsid w:val="00D64418"/>
    <w:rsid w:val="00D64C8B"/>
    <w:rsid w:val="00D65100"/>
    <w:rsid w:val="00D656B5"/>
    <w:rsid w:val="00D65D93"/>
    <w:rsid w:val="00D65F59"/>
    <w:rsid w:val="00D665E9"/>
    <w:rsid w:val="00D6692A"/>
    <w:rsid w:val="00D66BA4"/>
    <w:rsid w:val="00D66E59"/>
    <w:rsid w:val="00D671A9"/>
    <w:rsid w:val="00D672AF"/>
    <w:rsid w:val="00D672ED"/>
    <w:rsid w:val="00D67542"/>
    <w:rsid w:val="00D67AAC"/>
    <w:rsid w:val="00D67E6E"/>
    <w:rsid w:val="00D67F9F"/>
    <w:rsid w:val="00D70136"/>
    <w:rsid w:val="00D70E0F"/>
    <w:rsid w:val="00D70EB1"/>
    <w:rsid w:val="00D714A8"/>
    <w:rsid w:val="00D718EC"/>
    <w:rsid w:val="00D71F13"/>
    <w:rsid w:val="00D7276D"/>
    <w:rsid w:val="00D73030"/>
    <w:rsid w:val="00D73321"/>
    <w:rsid w:val="00D73C0F"/>
    <w:rsid w:val="00D74C32"/>
    <w:rsid w:val="00D75172"/>
    <w:rsid w:val="00D7576A"/>
    <w:rsid w:val="00D757B3"/>
    <w:rsid w:val="00D76278"/>
    <w:rsid w:val="00D7639F"/>
    <w:rsid w:val="00D76456"/>
    <w:rsid w:val="00D767FA"/>
    <w:rsid w:val="00D76FD5"/>
    <w:rsid w:val="00D772B4"/>
    <w:rsid w:val="00D77DE4"/>
    <w:rsid w:val="00D801E8"/>
    <w:rsid w:val="00D802EB"/>
    <w:rsid w:val="00D80454"/>
    <w:rsid w:val="00D819DF"/>
    <w:rsid w:val="00D81E90"/>
    <w:rsid w:val="00D82658"/>
    <w:rsid w:val="00D82832"/>
    <w:rsid w:val="00D828D7"/>
    <w:rsid w:val="00D82DD5"/>
    <w:rsid w:val="00D8300F"/>
    <w:rsid w:val="00D8334A"/>
    <w:rsid w:val="00D83565"/>
    <w:rsid w:val="00D83AAA"/>
    <w:rsid w:val="00D84C58"/>
    <w:rsid w:val="00D84EEB"/>
    <w:rsid w:val="00D8564A"/>
    <w:rsid w:val="00D857C4"/>
    <w:rsid w:val="00D859A4"/>
    <w:rsid w:val="00D87717"/>
    <w:rsid w:val="00D8787B"/>
    <w:rsid w:val="00D87957"/>
    <w:rsid w:val="00D87DC9"/>
    <w:rsid w:val="00D87F02"/>
    <w:rsid w:val="00D90112"/>
    <w:rsid w:val="00D9036C"/>
    <w:rsid w:val="00D905A7"/>
    <w:rsid w:val="00D90E4E"/>
    <w:rsid w:val="00D92764"/>
    <w:rsid w:val="00D931D4"/>
    <w:rsid w:val="00D937F7"/>
    <w:rsid w:val="00D938FC"/>
    <w:rsid w:val="00D945A7"/>
    <w:rsid w:val="00D94679"/>
    <w:rsid w:val="00D95087"/>
    <w:rsid w:val="00D950DC"/>
    <w:rsid w:val="00D95954"/>
    <w:rsid w:val="00D95B38"/>
    <w:rsid w:val="00D95D20"/>
    <w:rsid w:val="00D9653F"/>
    <w:rsid w:val="00D96AA3"/>
    <w:rsid w:val="00D96AD3"/>
    <w:rsid w:val="00D96BA8"/>
    <w:rsid w:val="00D96BB0"/>
    <w:rsid w:val="00D9713F"/>
    <w:rsid w:val="00D9751A"/>
    <w:rsid w:val="00D97655"/>
    <w:rsid w:val="00D978E2"/>
    <w:rsid w:val="00D97C76"/>
    <w:rsid w:val="00DA0944"/>
    <w:rsid w:val="00DA0A8C"/>
    <w:rsid w:val="00DA17B7"/>
    <w:rsid w:val="00DA181A"/>
    <w:rsid w:val="00DA1DF9"/>
    <w:rsid w:val="00DA2330"/>
    <w:rsid w:val="00DA238E"/>
    <w:rsid w:val="00DA2440"/>
    <w:rsid w:val="00DA31A6"/>
    <w:rsid w:val="00DA3683"/>
    <w:rsid w:val="00DA3DA5"/>
    <w:rsid w:val="00DA4373"/>
    <w:rsid w:val="00DA4915"/>
    <w:rsid w:val="00DA4A9E"/>
    <w:rsid w:val="00DA5033"/>
    <w:rsid w:val="00DA5221"/>
    <w:rsid w:val="00DA5A66"/>
    <w:rsid w:val="00DA5E16"/>
    <w:rsid w:val="00DA64B9"/>
    <w:rsid w:val="00DA6BB0"/>
    <w:rsid w:val="00DA6D03"/>
    <w:rsid w:val="00DA7130"/>
    <w:rsid w:val="00DA749F"/>
    <w:rsid w:val="00DA74FA"/>
    <w:rsid w:val="00DB00A1"/>
    <w:rsid w:val="00DB058B"/>
    <w:rsid w:val="00DB0A78"/>
    <w:rsid w:val="00DB12D1"/>
    <w:rsid w:val="00DB16A7"/>
    <w:rsid w:val="00DB19E4"/>
    <w:rsid w:val="00DB21CF"/>
    <w:rsid w:val="00DB23E5"/>
    <w:rsid w:val="00DB2E96"/>
    <w:rsid w:val="00DB377C"/>
    <w:rsid w:val="00DB3A43"/>
    <w:rsid w:val="00DB3FB4"/>
    <w:rsid w:val="00DB423C"/>
    <w:rsid w:val="00DB4965"/>
    <w:rsid w:val="00DB507A"/>
    <w:rsid w:val="00DB5463"/>
    <w:rsid w:val="00DB55A0"/>
    <w:rsid w:val="00DB5699"/>
    <w:rsid w:val="00DB5B19"/>
    <w:rsid w:val="00DB66C0"/>
    <w:rsid w:val="00DB6A0C"/>
    <w:rsid w:val="00DB6B66"/>
    <w:rsid w:val="00DB7C83"/>
    <w:rsid w:val="00DB7F0E"/>
    <w:rsid w:val="00DC0186"/>
    <w:rsid w:val="00DC0615"/>
    <w:rsid w:val="00DC079D"/>
    <w:rsid w:val="00DC084B"/>
    <w:rsid w:val="00DC11D3"/>
    <w:rsid w:val="00DC164F"/>
    <w:rsid w:val="00DC204A"/>
    <w:rsid w:val="00DC21C7"/>
    <w:rsid w:val="00DC23A7"/>
    <w:rsid w:val="00DC248B"/>
    <w:rsid w:val="00DC25B8"/>
    <w:rsid w:val="00DC2792"/>
    <w:rsid w:val="00DC382F"/>
    <w:rsid w:val="00DC3910"/>
    <w:rsid w:val="00DC3A40"/>
    <w:rsid w:val="00DC3D84"/>
    <w:rsid w:val="00DC4821"/>
    <w:rsid w:val="00DC4BE1"/>
    <w:rsid w:val="00DC4CED"/>
    <w:rsid w:val="00DC547B"/>
    <w:rsid w:val="00DC5834"/>
    <w:rsid w:val="00DC5C4B"/>
    <w:rsid w:val="00DC626E"/>
    <w:rsid w:val="00DC6381"/>
    <w:rsid w:val="00DC63F8"/>
    <w:rsid w:val="00DC67C8"/>
    <w:rsid w:val="00DC6B43"/>
    <w:rsid w:val="00DC76D5"/>
    <w:rsid w:val="00DC7DAD"/>
    <w:rsid w:val="00DD011F"/>
    <w:rsid w:val="00DD0BF8"/>
    <w:rsid w:val="00DD0ED2"/>
    <w:rsid w:val="00DD13B5"/>
    <w:rsid w:val="00DD140B"/>
    <w:rsid w:val="00DD167E"/>
    <w:rsid w:val="00DD1883"/>
    <w:rsid w:val="00DD19B9"/>
    <w:rsid w:val="00DD1E12"/>
    <w:rsid w:val="00DD2209"/>
    <w:rsid w:val="00DD25CB"/>
    <w:rsid w:val="00DD2B06"/>
    <w:rsid w:val="00DD306D"/>
    <w:rsid w:val="00DD31BA"/>
    <w:rsid w:val="00DD3339"/>
    <w:rsid w:val="00DD33D9"/>
    <w:rsid w:val="00DD3440"/>
    <w:rsid w:val="00DD3602"/>
    <w:rsid w:val="00DD3B46"/>
    <w:rsid w:val="00DD3C50"/>
    <w:rsid w:val="00DD3CFA"/>
    <w:rsid w:val="00DD3FD0"/>
    <w:rsid w:val="00DD4298"/>
    <w:rsid w:val="00DD43DC"/>
    <w:rsid w:val="00DD451E"/>
    <w:rsid w:val="00DD524D"/>
    <w:rsid w:val="00DD5535"/>
    <w:rsid w:val="00DD569C"/>
    <w:rsid w:val="00DD5990"/>
    <w:rsid w:val="00DD6415"/>
    <w:rsid w:val="00DD6742"/>
    <w:rsid w:val="00DD6DBC"/>
    <w:rsid w:val="00DD6E23"/>
    <w:rsid w:val="00DD6E52"/>
    <w:rsid w:val="00DD7515"/>
    <w:rsid w:val="00DE0639"/>
    <w:rsid w:val="00DE07FA"/>
    <w:rsid w:val="00DE09B1"/>
    <w:rsid w:val="00DE0CA1"/>
    <w:rsid w:val="00DE0D78"/>
    <w:rsid w:val="00DE0DE0"/>
    <w:rsid w:val="00DE0F1C"/>
    <w:rsid w:val="00DE12A6"/>
    <w:rsid w:val="00DE14CD"/>
    <w:rsid w:val="00DE14D7"/>
    <w:rsid w:val="00DE1BFE"/>
    <w:rsid w:val="00DE1D2A"/>
    <w:rsid w:val="00DE2FA4"/>
    <w:rsid w:val="00DE3518"/>
    <w:rsid w:val="00DE3A4D"/>
    <w:rsid w:val="00DE3EBE"/>
    <w:rsid w:val="00DE3F49"/>
    <w:rsid w:val="00DE4358"/>
    <w:rsid w:val="00DE46E4"/>
    <w:rsid w:val="00DE4AED"/>
    <w:rsid w:val="00DE4D44"/>
    <w:rsid w:val="00DE4F8D"/>
    <w:rsid w:val="00DE4FFA"/>
    <w:rsid w:val="00DE5ED0"/>
    <w:rsid w:val="00DE708D"/>
    <w:rsid w:val="00DE7838"/>
    <w:rsid w:val="00DF044E"/>
    <w:rsid w:val="00DF06BD"/>
    <w:rsid w:val="00DF06D5"/>
    <w:rsid w:val="00DF07FA"/>
    <w:rsid w:val="00DF1816"/>
    <w:rsid w:val="00DF2568"/>
    <w:rsid w:val="00DF261B"/>
    <w:rsid w:val="00DF2645"/>
    <w:rsid w:val="00DF27E6"/>
    <w:rsid w:val="00DF3162"/>
    <w:rsid w:val="00DF3365"/>
    <w:rsid w:val="00DF382F"/>
    <w:rsid w:val="00DF4876"/>
    <w:rsid w:val="00DF4CF1"/>
    <w:rsid w:val="00DF5354"/>
    <w:rsid w:val="00DF5858"/>
    <w:rsid w:val="00DF5D6F"/>
    <w:rsid w:val="00DF6018"/>
    <w:rsid w:val="00DF64CA"/>
    <w:rsid w:val="00DF687C"/>
    <w:rsid w:val="00DF68FD"/>
    <w:rsid w:val="00DF69BB"/>
    <w:rsid w:val="00DF72C9"/>
    <w:rsid w:val="00DF78E8"/>
    <w:rsid w:val="00E00279"/>
    <w:rsid w:val="00E002F4"/>
    <w:rsid w:val="00E00DD6"/>
    <w:rsid w:val="00E00FD6"/>
    <w:rsid w:val="00E0126E"/>
    <w:rsid w:val="00E0134A"/>
    <w:rsid w:val="00E0221E"/>
    <w:rsid w:val="00E02820"/>
    <w:rsid w:val="00E028B0"/>
    <w:rsid w:val="00E02DE0"/>
    <w:rsid w:val="00E03011"/>
    <w:rsid w:val="00E03762"/>
    <w:rsid w:val="00E03CF2"/>
    <w:rsid w:val="00E044F0"/>
    <w:rsid w:val="00E04628"/>
    <w:rsid w:val="00E04CA8"/>
    <w:rsid w:val="00E0544B"/>
    <w:rsid w:val="00E05764"/>
    <w:rsid w:val="00E05D01"/>
    <w:rsid w:val="00E061DB"/>
    <w:rsid w:val="00E0679C"/>
    <w:rsid w:val="00E069EB"/>
    <w:rsid w:val="00E06C0D"/>
    <w:rsid w:val="00E06F2A"/>
    <w:rsid w:val="00E06F37"/>
    <w:rsid w:val="00E06F9F"/>
    <w:rsid w:val="00E07185"/>
    <w:rsid w:val="00E074EF"/>
    <w:rsid w:val="00E0755D"/>
    <w:rsid w:val="00E07859"/>
    <w:rsid w:val="00E10CCB"/>
    <w:rsid w:val="00E10E38"/>
    <w:rsid w:val="00E119FA"/>
    <w:rsid w:val="00E12044"/>
    <w:rsid w:val="00E12348"/>
    <w:rsid w:val="00E1285E"/>
    <w:rsid w:val="00E12D3F"/>
    <w:rsid w:val="00E1324F"/>
    <w:rsid w:val="00E13FEB"/>
    <w:rsid w:val="00E158FC"/>
    <w:rsid w:val="00E15C95"/>
    <w:rsid w:val="00E1638B"/>
    <w:rsid w:val="00E166CD"/>
    <w:rsid w:val="00E16783"/>
    <w:rsid w:val="00E1687E"/>
    <w:rsid w:val="00E16DA1"/>
    <w:rsid w:val="00E16DC3"/>
    <w:rsid w:val="00E16E34"/>
    <w:rsid w:val="00E16F00"/>
    <w:rsid w:val="00E17863"/>
    <w:rsid w:val="00E1789E"/>
    <w:rsid w:val="00E17DA7"/>
    <w:rsid w:val="00E17E28"/>
    <w:rsid w:val="00E17F5D"/>
    <w:rsid w:val="00E203F3"/>
    <w:rsid w:val="00E2050E"/>
    <w:rsid w:val="00E2073B"/>
    <w:rsid w:val="00E20A7B"/>
    <w:rsid w:val="00E20D1E"/>
    <w:rsid w:val="00E214E5"/>
    <w:rsid w:val="00E2247A"/>
    <w:rsid w:val="00E224D3"/>
    <w:rsid w:val="00E2273D"/>
    <w:rsid w:val="00E22A94"/>
    <w:rsid w:val="00E234DC"/>
    <w:rsid w:val="00E23579"/>
    <w:rsid w:val="00E237A0"/>
    <w:rsid w:val="00E23C96"/>
    <w:rsid w:val="00E23E48"/>
    <w:rsid w:val="00E24574"/>
    <w:rsid w:val="00E24653"/>
    <w:rsid w:val="00E25223"/>
    <w:rsid w:val="00E253C6"/>
    <w:rsid w:val="00E258A6"/>
    <w:rsid w:val="00E25D5F"/>
    <w:rsid w:val="00E25E95"/>
    <w:rsid w:val="00E25E96"/>
    <w:rsid w:val="00E261C8"/>
    <w:rsid w:val="00E2650E"/>
    <w:rsid w:val="00E27066"/>
    <w:rsid w:val="00E27215"/>
    <w:rsid w:val="00E2733C"/>
    <w:rsid w:val="00E27B45"/>
    <w:rsid w:val="00E27BEC"/>
    <w:rsid w:val="00E3022E"/>
    <w:rsid w:val="00E30981"/>
    <w:rsid w:val="00E30BD5"/>
    <w:rsid w:val="00E30D64"/>
    <w:rsid w:val="00E31114"/>
    <w:rsid w:val="00E31732"/>
    <w:rsid w:val="00E318DE"/>
    <w:rsid w:val="00E31D2A"/>
    <w:rsid w:val="00E32505"/>
    <w:rsid w:val="00E3254A"/>
    <w:rsid w:val="00E331CC"/>
    <w:rsid w:val="00E333F3"/>
    <w:rsid w:val="00E335F5"/>
    <w:rsid w:val="00E34375"/>
    <w:rsid w:val="00E346D8"/>
    <w:rsid w:val="00E34A70"/>
    <w:rsid w:val="00E34C0C"/>
    <w:rsid w:val="00E34C9F"/>
    <w:rsid w:val="00E34E1A"/>
    <w:rsid w:val="00E35103"/>
    <w:rsid w:val="00E35198"/>
    <w:rsid w:val="00E353C5"/>
    <w:rsid w:val="00E35A44"/>
    <w:rsid w:val="00E35D62"/>
    <w:rsid w:val="00E36289"/>
    <w:rsid w:val="00E36754"/>
    <w:rsid w:val="00E36ACF"/>
    <w:rsid w:val="00E36B39"/>
    <w:rsid w:val="00E36C7A"/>
    <w:rsid w:val="00E378D0"/>
    <w:rsid w:val="00E37D89"/>
    <w:rsid w:val="00E37E2E"/>
    <w:rsid w:val="00E4091C"/>
    <w:rsid w:val="00E41311"/>
    <w:rsid w:val="00E416A3"/>
    <w:rsid w:val="00E41D8A"/>
    <w:rsid w:val="00E41DF4"/>
    <w:rsid w:val="00E42038"/>
    <w:rsid w:val="00E426AA"/>
    <w:rsid w:val="00E429D9"/>
    <w:rsid w:val="00E42C0D"/>
    <w:rsid w:val="00E43674"/>
    <w:rsid w:val="00E437BB"/>
    <w:rsid w:val="00E447BA"/>
    <w:rsid w:val="00E453F5"/>
    <w:rsid w:val="00E46686"/>
    <w:rsid w:val="00E46A32"/>
    <w:rsid w:val="00E46A99"/>
    <w:rsid w:val="00E46BCA"/>
    <w:rsid w:val="00E472B0"/>
    <w:rsid w:val="00E474FD"/>
    <w:rsid w:val="00E47593"/>
    <w:rsid w:val="00E47778"/>
    <w:rsid w:val="00E477DC"/>
    <w:rsid w:val="00E50FDC"/>
    <w:rsid w:val="00E5155E"/>
    <w:rsid w:val="00E5185C"/>
    <w:rsid w:val="00E522A4"/>
    <w:rsid w:val="00E5291F"/>
    <w:rsid w:val="00E52B59"/>
    <w:rsid w:val="00E52E19"/>
    <w:rsid w:val="00E53439"/>
    <w:rsid w:val="00E53BF6"/>
    <w:rsid w:val="00E53C11"/>
    <w:rsid w:val="00E53D9D"/>
    <w:rsid w:val="00E543C2"/>
    <w:rsid w:val="00E54A2C"/>
    <w:rsid w:val="00E54B6F"/>
    <w:rsid w:val="00E55012"/>
    <w:rsid w:val="00E5504B"/>
    <w:rsid w:val="00E55532"/>
    <w:rsid w:val="00E55BAB"/>
    <w:rsid w:val="00E56018"/>
    <w:rsid w:val="00E561A5"/>
    <w:rsid w:val="00E562CA"/>
    <w:rsid w:val="00E563D5"/>
    <w:rsid w:val="00E569B6"/>
    <w:rsid w:val="00E5729A"/>
    <w:rsid w:val="00E57C48"/>
    <w:rsid w:val="00E6006F"/>
    <w:rsid w:val="00E6007E"/>
    <w:rsid w:val="00E601B5"/>
    <w:rsid w:val="00E60447"/>
    <w:rsid w:val="00E60C36"/>
    <w:rsid w:val="00E61D54"/>
    <w:rsid w:val="00E61F52"/>
    <w:rsid w:val="00E623C4"/>
    <w:rsid w:val="00E62560"/>
    <w:rsid w:val="00E6370E"/>
    <w:rsid w:val="00E64380"/>
    <w:rsid w:val="00E64C9D"/>
    <w:rsid w:val="00E652FD"/>
    <w:rsid w:val="00E6558F"/>
    <w:rsid w:val="00E65B5A"/>
    <w:rsid w:val="00E65C3C"/>
    <w:rsid w:val="00E65D5F"/>
    <w:rsid w:val="00E66652"/>
    <w:rsid w:val="00E6665C"/>
    <w:rsid w:val="00E66AC2"/>
    <w:rsid w:val="00E66F49"/>
    <w:rsid w:val="00E67B4A"/>
    <w:rsid w:val="00E704D7"/>
    <w:rsid w:val="00E70581"/>
    <w:rsid w:val="00E70602"/>
    <w:rsid w:val="00E7079E"/>
    <w:rsid w:val="00E7102E"/>
    <w:rsid w:val="00E7106C"/>
    <w:rsid w:val="00E712DD"/>
    <w:rsid w:val="00E7149A"/>
    <w:rsid w:val="00E72B0C"/>
    <w:rsid w:val="00E72FD5"/>
    <w:rsid w:val="00E736AF"/>
    <w:rsid w:val="00E73994"/>
    <w:rsid w:val="00E73F2E"/>
    <w:rsid w:val="00E73F40"/>
    <w:rsid w:val="00E74962"/>
    <w:rsid w:val="00E74EB0"/>
    <w:rsid w:val="00E7502C"/>
    <w:rsid w:val="00E750BB"/>
    <w:rsid w:val="00E75437"/>
    <w:rsid w:val="00E75692"/>
    <w:rsid w:val="00E7642A"/>
    <w:rsid w:val="00E76761"/>
    <w:rsid w:val="00E76C93"/>
    <w:rsid w:val="00E7703E"/>
    <w:rsid w:val="00E77048"/>
    <w:rsid w:val="00E772A3"/>
    <w:rsid w:val="00E77A6C"/>
    <w:rsid w:val="00E80C17"/>
    <w:rsid w:val="00E80F95"/>
    <w:rsid w:val="00E8149B"/>
    <w:rsid w:val="00E81F28"/>
    <w:rsid w:val="00E83CDC"/>
    <w:rsid w:val="00E83FB7"/>
    <w:rsid w:val="00E8431E"/>
    <w:rsid w:val="00E844DB"/>
    <w:rsid w:val="00E84664"/>
    <w:rsid w:val="00E84B52"/>
    <w:rsid w:val="00E84D1B"/>
    <w:rsid w:val="00E84F56"/>
    <w:rsid w:val="00E851DE"/>
    <w:rsid w:val="00E85A61"/>
    <w:rsid w:val="00E85AD4"/>
    <w:rsid w:val="00E85C25"/>
    <w:rsid w:val="00E85EF4"/>
    <w:rsid w:val="00E875EF"/>
    <w:rsid w:val="00E90051"/>
    <w:rsid w:val="00E900A1"/>
    <w:rsid w:val="00E9021B"/>
    <w:rsid w:val="00E90DD4"/>
    <w:rsid w:val="00E90F1E"/>
    <w:rsid w:val="00E915B9"/>
    <w:rsid w:val="00E916CA"/>
    <w:rsid w:val="00E91B23"/>
    <w:rsid w:val="00E92341"/>
    <w:rsid w:val="00E926E1"/>
    <w:rsid w:val="00E92EBF"/>
    <w:rsid w:val="00E93391"/>
    <w:rsid w:val="00E935F8"/>
    <w:rsid w:val="00E9383A"/>
    <w:rsid w:val="00E93C29"/>
    <w:rsid w:val="00E940FE"/>
    <w:rsid w:val="00E942A8"/>
    <w:rsid w:val="00E94332"/>
    <w:rsid w:val="00E94BD6"/>
    <w:rsid w:val="00E95CC9"/>
    <w:rsid w:val="00E962BD"/>
    <w:rsid w:val="00E96A79"/>
    <w:rsid w:val="00E96FEA"/>
    <w:rsid w:val="00E973D1"/>
    <w:rsid w:val="00E974E9"/>
    <w:rsid w:val="00E97CF9"/>
    <w:rsid w:val="00E97E0D"/>
    <w:rsid w:val="00EA0CCA"/>
    <w:rsid w:val="00EA108B"/>
    <w:rsid w:val="00EA2117"/>
    <w:rsid w:val="00EA230A"/>
    <w:rsid w:val="00EA2652"/>
    <w:rsid w:val="00EA26B1"/>
    <w:rsid w:val="00EA2926"/>
    <w:rsid w:val="00EA394F"/>
    <w:rsid w:val="00EA3CBD"/>
    <w:rsid w:val="00EA426A"/>
    <w:rsid w:val="00EA4D35"/>
    <w:rsid w:val="00EA4EA8"/>
    <w:rsid w:val="00EA50EC"/>
    <w:rsid w:val="00EA545D"/>
    <w:rsid w:val="00EA5A55"/>
    <w:rsid w:val="00EA5D71"/>
    <w:rsid w:val="00EA5DF2"/>
    <w:rsid w:val="00EA5F2C"/>
    <w:rsid w:val="00EA6674"/>
    <w:rsid w:val="00EA68FB"/>
    <w:rsid w:val="00EB0451"/>
    <w:rsid w:val="00EB06A0"/>
    <w:rsid w:val="00EB0C01"/>
    <w:rsid w:val="00EB1662"/>
    <w:rsid w:val="00EB189A"/>
    <w:rsid w:val="00EB23ED"/>
    <w:rsid w:val="00EB265C"/>
    <w:rsid w:val="00EB29D1"/>
    <w:rsid w:val="00EB2C64"/>
    <w:rsid w:val="00EB49E8"/>
    <w:rsid w:val="00EB4DBA"/>
    <w:rsid w:val="00EB5110"/>
    <w:rsid w:val="00EB5461"/>
    <w:rsid w:val="00EB55E2"/>
    <w:rsid w:val="00EB55F2"/>
    <w:rsid w:val="00EB578B"/>
    <w:rsid w:val="00EB6003"/>
    <w:rsid w:val="00EB63B8"/>
    <w:rsid w:val="00EB6833"/>
    <w:rsid w:val="00EB6A33"/>
    <w:rsid w:val="00EB6C54"/>
    <w:rsid w:val="00EB6DC7"/>
    <w:rsid w:val="00EB7B6F"/>
    <w:rsid w:val="00EC04F7"/>
    <w:rsid w:val="00EC09A8"/>
    <w:rsid w:val="00EC1C06"/>
    <w:rsid w:val="00EC1CA8"/>
    <w:rsid w:val="00EC28F6"/>
    <w:rsid w:val="00EC2A7B"/>
    <w:rsid w:val="00EC2E6E"/>
    <w:rsid w:val="00EC2FC7"/>
    <w:rsid w:val="00EC31ED"/>
    <w:rsid w:val="00EC37EB"/>
    <w:rsid w:val="00EC3A31"/>
    <w:rsid w:val="00EC3C3F"/>
    <w:rsid w:val="00EC3EC9"/>
    <w:rsid w:val="00EC451F"/>
    <w:rsid w:val="00EC45FE"/>
    <w:rsid w:val="00EC4897"/>
    <w:rsid w:val="00EC4E5A"/>
    <w:rsid w:val="00EC5235"/>
    <w:rsid w:val="00EC58EA"/>
    <w:rsid w:val="00EC590E"/>
    <w:rsid w:val="00EC59F6"/>
    <w:rsid w:val="00EC5CF2"/>
    <w:rsid w:val="00EC5D15"/>
    <w:rsid w:val="00EC60D7"/>
    <w:rsid w:val="00EC65D8"/>
    <w:rsid w:val="00EC6906"/>
    <w:rsid w:val="00EC694D"/>
    <w:rsid w:val="00EC73FC"/>
    <w:rsid w:val="00EC7AB2"/>
    <w:rsid w:val="00EC7AE7"/>
    <w:rsid w:val="00EC7F79"/>
    <w:rsid w:val="00ED00CF"/>
    <w:rsid w:val="00ED01D9"/>
    <w:rsid w:val="00ED0350"/>
    <w:rsid w:val="00ED0411"/>
    <w:rsid w:val="00ED0E33"/>
    <w:rsid w:val="00ED11ED"/>
    <w:rsid w:val="00ED138A"/>
    <w:rsid w:val="00ED1B2A"/>
    <w:rsid w:val="00ED1E68"/>
    <w:rsid w:val="00ED21CE"/>
    <w:rsid w:val="00ED260D"/>
    <w:rsid w:val="00ED2853"/>
    <w:rsid w:val="00ED3660"/>
    <w:rsid w:val="00ED37F7"/>
    <w:rsid w:val="00ED40BB"/>
    <w:rsid w:val="00ED4431"/>
    <w:rsid w:val="00ED4810"/>
    <w:rsid w:val="00ED49C2"/>
    <w:rsid w:val="00ED4C7F"/>
    <w:rsid w:val="00ED5156"/>
    <w:rsid w:val="00ED528C"/>
    <w:rsid w:val="00ED5C3B"/>
    <w:rsid w:val="00ED5D02"/>
    <w:rsid w:val="00ED5F5E"/>
    <w:rsid w:val="00ED6351"/>
    <w:rsid w:val="00ED6836"/>
    <w:rsid w:val="00ED695F"/>
    <w:rsid w:val="00ED69F6"/>
    <w:rsid w:val="00ED7021"/>
    <w:rsid w:val="00ED71B0"/>
    <w:rsid w:val="00ED7DB4"/>
    <w:rsid w:val="00EE0508"/>
    <w:rsid w:val="00EE0760"/>
    <w:rsid w:val="00EE0AE5"/>
    <w:rsid w:val="00EE16FC"/>
    <w:rsid w:val="00EE18B9"/>
    <w:rsid w:val="00EE1D7B"/>
    <w:rsid w:val="00EE31E1"/>
    <w:rsid w:val="00EE3C16"/>
    <w:rsid w:val="00EE4567"/>
    <w:rsid w:val="00EE465C"/>
    <w:rsid w:val="00EE474D"/>
    <w:rsid w:val="00EE4A31"/>
    <w:rsid w:val="00EE57F4"/>
    <w:rsid w:val="00EE5AD9"/>
    <w:rsid w:val="00EE5C35"/>
    <w:rsid w:val="00EE65D4"/>
    <w:rsid w:val="00EE6CAB"/>
    <w:rsid w:val="00EE71FB"/>
    <w:rsid w:val="00EE7239"/>
    <w:rsid w:val="00EE72A7"/>
    <w:rsid w:val="00EE74F5"/>
    <w:rsid w:val="00EE7654"/>
    <w:rsid w:val="00EE78A9"/>
    <w:rsid w:val="00EE7D74"/>
    <w:rsid w:val="00EE7F3F"/>
    <w:rsid w:val="00EF007E"/>
    <w:rsid w:val="00EF01F1"/>
    <w:rsid w:val="00EF03FA"/>
    <w:rsid w:val="00EF07B1"/>
    <w:rsid w:val="00EF1605"/>
    <w:rsid w:val="00EF1ECC"/>
    <w:rsid w:val="00EF2008"/>
    <w:rsid w:val="00EF3506"/>
    <w:rsid w:val="00EF3F32"/>
    <w:rsid w:val="00EF4165"/>
    <w:rsid w:val="00EF4197"/>
    <w:rsid w:val="00EF442B"/>
    <w:rsid w:val="00EF589B"/>
    <w:rsid w:val="00EF65FC"/>
    <w:rsid w:val="00EF6B0C"/>
    <w:rsid w:val="00EF6DA4"/>
    <w:rsid w:val="00EF737F"/>
    <w:rsid w:val="00EF74C7"/>
    <w:rsid w:val="00EF7695"/>
    <w:rsid w:val="00EF76B2"/>
    <w:rsid w:val="00EF76C0"/>
    <w:rsid w:val="00EF7824"/>
    <w:rsid w:val="00EF7A19"/>
    <w:rsid w:val="00EF7A73"/>
    <w:rsid w:val="00F000DB"/>
    <w:rsid w:val="00F0081B"/>
    <w:rsid w:val="00F01101"/>
    <w:rsid w:val="00F01BEC"/>
    <w:rsid w:val="00F01C40"/>
    <w:rsid w:val="00F02058"/>
    <w:rsid w:val="00F023A2"/>
    <w:rsid w:val="00F0291D"/>
    <w:rsid w:val="00F02C8C"/>
    <w:rsid w:val="00F02E65"/>
    <w:rsid w:val="00F032AD"/>
    <w:rsid w:val="00F03480"/>
    <w:rsid w:val="00F03C34"/>
    <w:rsid w:val="00F03E64"/>
    <w:rsid w:val="00F04036"/>
    <w:rsid w:val="00F041FB"/>
    <w:rsid w:val="00F043A0"/>
    <w:rsid w:val="00F04FE4"/>
    <w:rsid w:val="00F0513A"/>
    <w:rsid w:val="00F057C5"/>
    <w:rsid w:val="00F063CD"/>
    <w:rsid w:val="00F06627"/>
    <w:rsid w:val="00F0698A"/>
    <w:rsid w:val="00F0711A"/>
    <w:rsid w:val="00F0726C"/>
    <w:rsid w:val="00F077B8"/>
    <w:rsid w:val="00F1019C"/>
    <w:rsid w:val="00F102E5"/>
    <w:rsid w:val="00F103ED"/>
    <w:rsid w:val="00F104AD"/>
    <w:rsid w:val="00F106A9"/>
    <w:rsid w:val="00F1085F"/>
    <w:rsid w:val="00F108F2"/>
    <w:rsid w:val="00F1110D"/>
    <w:rsid w:val="00F111D2"/>
    <w:rsid w:val="00F116E1"/>
    <w:rsid w:val="00F11919"/>
    <w:rsid w:val="00F1246E"/>
    <w:rsid w:val="00F1314C"/>
    <w:rsid w:val="00F13292"/>
    <w:rsid w:val="00F1345B"/>
    <w:rsid w:val="00F13EA4"/>
    <w:rsid w:val="00F141A9"/>
    <w:rsid w:val="00F145B9"/>
    <w:rsid w:val="00F14A92"/>
    <w:rsid w:val="00F14AA1"/>
    <w:rsid w:val="00F14FF0"/>
    <w:rsid w:val="00F1567B"/>
    <w:rsid w:val="00F15B0D"/>
    <w:rsid w:val="00F16333"/>
    <w:rsid w:val="00F1673F"/>
    <w:rsid w:val="00F16C6C"/>
    <w:rsid w:val="00F17180"/>
    <w:rsid w:val="00F17185"/>
    <w:rsid w:val="00F17934"/>
    <w:rsid w:val="00F179A8"/>
    <w:rsid w:val="00F17FC3"/>
    <w:rsid w:val="00F203E8"/>
    <w:rsid w:val="00F20CB0"/>
    <w:rsid w:val="00F212DA"/>
    <w:rsid w:val="00F218CD"/>
    <w:rsid w:val="00F21C5E"/>
    <w:rsid w:val="00F21D3C"/>
    <w:rsid w:val="00F222DA"/>
    <w:rsid w:val="00F22309"/>
    <w:rsid w:val="00F22D4F"/>
    <w:rsid w:val="00F23171"/>
    <w:rsid w:val="00F2342A"/>
    <w:rsid w:val="00F24A3B"/>
    <w:rsid w:val="00F24B48"/>
    <w:rsid w:val="00F24B5E"/>
    <w:rsid w:val="00F251A9"/>
    <w:rsid w:val="00F255B5"/>
    <w:rsid w:val="00F25789"/>
    <w:rsid w:val="00F2586A"/>
    <w:rsid w:val="00F25D4E"/>
    <w:rsid w:val="00F2630A"/>
    <w:rsid w:val="00F26387"/>
    <w:rsid w:val="00F266A3"/>
    <w:rsid w:val="00F26BB9"/>
    <w:rsid w:val="00F26C25"/>
    <w:rsid w:val="00F26ECD"/>
    <w:rsid w:val="00F26F89"/>
    <w:rsid w:val="00F27509"/>
    <w:rsid w:val="00F27A66"/>
    <w:rsid w:val="00F27AEB"/>
    <w:rsid w:val="00F300CE"/>
    <w:rsid w:val="00F30157"/>
    <w:rsid w:val="00F3062F"/>
    <w:rsid w:val="00F30696"/>
    <w:rsid w:val="00F314C8"/>
    <w:rsid w:val="00F31600"/>
    <w:rsid w:val="00F31EF9"/>
    <w:rsid w:val="00F325BB"/>
    <w:rsid w:val="00F3296F"/>
    <w:rsid w:val="00F3298B"/>
    <w:rsid w:val="00F3331C"/>
    <w:rsid w:val="00F333CD"/>
    <w:rsid w:val="00F337E6"/>
    <w:rsid w:val="00F338A4"/>
    <w:rsid w:val="00F339DB"/>
    <w:rsid w:val="00F347BD"/>
    <w:rsid w:val="00F34843"/>
    <w:rsid w:val="00F349F8"/>
    <w:rsid w:val="00F34A6F"/>
    <w:rsid w:val="00F34F1F"/>
    <w:rsid w:val="00F34FF4"/>
    <w:rsid w:val="00F35156"/>
    <w:rsid w:val="00F358A0"/>
    <w:rsid w:val="00F3596F"/>
    <w:rsid w:val="00F35BDB"/>
    <w:rsid w:val="00F35C39"/>
    <w:rsid w:val="00F36376"/>
    <w:rsid w:val="00F36410"/>
    <w:rsid w:val="00F364C7"/>
    <w:rsid w:val="00F3698A"/>
    <w:rsid w:val="00F36AAA"/>
    <w:rsid w:val="00F36CC0"/>
    <w:rsid w:val="00F36E94"/>
    <w:rsid w:val="00F372CF"/>
    <w:rsid w:val="00F379D6"/>
    <w:rsid w:val="00F37D3E"/>
    <w:rsid w:val="00F40413"/>
    <w:rsid w:val="00F406C1"/>
    <w:rsid w:val="00F40E7A"/>
    <w:rsid w:val="00F41567"/>
    <w:rsid w:val="00F41B32"/>
    <w:rsid w:val="00F41FBC"/>
    <w:rsid w:val="00F41FD6"/>
    <w:rsid w:val="00F4299C"/>
    <w:rsid w:val="00F43940"/>
    <w:rsid w:val="00F4460D"/>
    <w:rsid w:val="00F44777"/>
    <w:rsid w:val="00F44CDF"/>
    <w:rsid w:val="00F45183"/>
    <w:rsid w:val="00F453FB"/>
    <w:rsid w:val="00F458A9"/>
    <w:rsid w:val="00F45DF5"/>
    <w:rsid w:val="00F467FD"/>
    <w:rsid w:val="00F46BBD"/>
    <w:rsid w:val="00F47AA2"/>
    <w:rsid w:val="00F500AB"/>
    <w:rsid w:val="00F50805"/>
    <w:rsid w:val="00F50A53"/>
    <w:rsid w:val="00F5154D"/>
    <w:rsid w:val="00F51CAD"/>
    <w:rsid w:val="00F5203C"/>
    <w:rsid w:val="00F523A6"/>
    <w:rsid w:val="00F524DA"/>
    <w:rsid w:val="00F52C34"/>
    <w:rsid w:val="00F52D65"/>
    <w:rsid w:val="00F53F9D"/>
    <w:rsid w:val="00F54324"/>
    <w:rsid w:val="00F54378"/>
    <w:rsid w:val="00F545E9"/>
    <w:rsid w:val="00F54B87"/>
    <w:rsid w:val="00F54CB7"/>
    <w:rsid w:val="00F5567F"/>
    <w:rsid w:val="00F56AE0"/>
    <w:rsid w:val="00F56F0A"/>
    <w:rsid w:val="00F57781"/>
    <w:rsid w:val="00F5793A"/>
    <w:rsid w:val="00F60074"/>
    <w:rsid w:val="00F6011B"/>
    <w:rsid w:val="00F609D9"/>
    <w:rsid w:val="00F60BD8"/>
    <w:rsid w:val="00F61048"/>
    <w:rsid w:val="00F6133F"/>
    <w:rsid w:val="00F61CC0"/>
    <w:rsid w:val="00F61D5B"/>
    <w:rsid w:val="00F61E4C"/>
    <w:rsid w:val="00F61ED3"/>
    <w:rsid w:val="00F62E5E"/>
    <w:rsid w:val="00F6387C"/>
    <w:rsid w:val="00F63C6F"/>
    <w:rsid w:val="00F63E3C"/>
    <w:rsid w:val="00F64213"/>
    <w:rsid w:val="00F64B85"/>
    <w:rsid w:val="00F64DE8"/>
    <w:rsid w:val="00F64FF8"/>
    <w:rsid w:val="00F6517C"/>
    <w:rsid w:val="00F658E3"/>
    <w:rsid w:val="00F65AC5"/>
    <w:rsid w:val="00F65C3D"/>
    <w:rsid w:val="00F662E4"/>
    <w:rsid w:val="00F663C6"/>
    <w:rsid w:val="00F66460"/>
    <w:rsid w:val="00F66516"/>
    <w:rsid w:val="00F6652E"/>
    <w:rsid w:val="00F667D7"/>
    <w:rsid w:val="00F66B12"/>
    <w:rsid w:val="00F67AA8"/>
    <w:rsid w:val="00F70440"/>
    <w:rsid w:val="00F70B89"/>
    <w:rsid w:val="00F715A9"/>
    <w:rsid w:val="00F715BA"/>
    <w:rsid w:val="00F71960"/>
    <w:rsid w:val="00F71BB0"/>
    <w:rsid w:val="00F72E81"/>
    <w:rsid w:val="00F72F3D"/>
    <w:rsid w:val="00F72F5A"/>
    <w:rsid w:val="00F733E2"/>
    <w:rsid w:val="00F73976"/>
    <w:rsid w:val="00F73DC9"/>
    <w:rsid w:val="00F73E17"/>
    <w:rsid w:val="00F74620"/>
    <w:rsid w:val="00F749B1"/>
    <w:rsid w:val="00F74A87"/>
    <w:rsid w:val="00F74AEF"/>
    <w:rsid w:val="00F754AF"/>
    <w:rsid w:val="00F76869"/>
    <w:rsid w:val="00F76922"/>
    <w:rsid w:val="00F76F72"/>
    <w:rsid w:val="00F76FF6"/>
    <w:rsid w:val="00F778EF"/>
    <w:rsid w:val="00F77919"/>
    <w:rsid w:val="00F77A11"/>
    <w:rsid w:val="00F77C97"/>
    <w:rsid w:val="00F80688"/>
    <w:rsid w:val="00F806A5"/>
    <w:rsid w:val="00F80779"/>
    <w:rsid w:val="00F80A27"/>
    <w:rsid w:val="00F80AA4"/>
    <w:rsid w:val="00F81158"/>
    <w:rsid w:val="00F8144C"/>
    <w:rsid w:val="00F816EE"/>
    <w:rsid w:val="00F8186C"/>
    <w:rsid w:val="00F82182"/>
    <w:rsid w:val="00F82EA7"/>
    <w:rsid w:val="00F83300"/>
    <w:rsid w:val="00F83E05"/>
    <w:rsid w:val="00F83F22"/>
    <w:rsid w:val="00F83F64"/>
    <w:rsid w:val="00F85613"/>
    <w:rsid w:val="00F86B24"/>
    <w:rsid w:val="00F86D09"/>
    <w:rsid w:val="00F87908"/>
    <w:rsid w:val="00F87A77"/>
    <w:rsid w:val="00F87B5A"/>
    <w:rsid w:val="00F87CDB"/>
    <w:rsid w:val="00F90220"/>
    <w:rsid w:val="00F90A06"/>
    <w:rsid w:val="00F90B86"/>
    <w:rsid w:val="00F91355"/>
    <w:rsid w:val="00F9137F"/>
    <w:rsid w:val="00F91497"/>
    <w:rsid w:val="00F91646"/>
    <w:rsid w:val="00F91957"/>
    <w:rsid w:val="00F91BE9"/>
    <w:rsid w:val="00F91F8C"/>
    <w:rsid w:val="00F926CB"/>
    <w:rsid w:val="00F93F6D"/>
    <w:rsid w:val="00F94141"/>
    <w:rsid w:val="00F946EE"/>
    <w:rsid w:val="00F9477C"/>
    <w:rsid w:val="00F94A08"/>
    <w:rsid w:val="00F94AF6"/>
    <w:rsid w:val="00F94B08"/>
    <w:rsid w:val="00F95CED"/>
    <w:rsid w:val="00F95DE0"/>
    <w:rsid w:val="00F95F61"/>
    <w:rsid w:val="00F9665C"/>
    <w:rsid w:val="00F968E6"/>
    <w:rsid w:val="00F96F8A"/>
    <w:rsid w:val="00F9712F"/>
    <w:rsid w:val="00F9738D"/>
    <w:rsid w:val="00F9788C"/>
    <w:rsid w:val="00FA0619"/>
    <w:rsid w:val="00FA08AA"/>
    <w:rsid w:val="00FA0D68"/>
    <w:rsid w:val="00FA1249"/>
    <w:rsid w:val="00FA1278"/>
    <w:rsid w:val="00FA139E"/>
    <w:rsid w:val="00FA153D"/>
    <w:rsid w:val="00FA17D3"/>
    <w:rsid w:val="00FA2BB5"/>
    <w:rsid w:val="00FA2E2B"/>
    <w:rsid w:val="00FA2F29"/>
    <w:rsid w:val="00FA5763"/>
    <w:rsid w:val="00FA5EE0"/>
    <w:rsid w:val="00FA5FB7"/>
    <w:rsid w:val="00FA6470"/>
    <w:rsid w:val="00FA6621"/>
    <w:rsid w:val="00FA6810"/>
    <w:rsid w:val="00FA68D9"/>
    <w:rsid w:val="00FA69BB"/>
    <w:rsid w:val="00FA77A5"/>
    <w:rsid w:val="00FA78D3"/>
    <w:rsid w:val="00FA7B22"/>
    <w:rsid w:val="00FB0454"/>
    <w:rsid w:val="00FB0D98"/>
    <w:rsid w:val="00FB159B"/>
    <w:rsid w:val="00FB1F35"/>
    <w:rsid w:val="00FB262B"/>
    <w:rsid w:val="00FB2C9C"/>
    <w:rsid w:val="00FB30DD"/>
    <w:rsid w:val="00FB3949"/>
    <w:rsid w:val="00FB3A62"/>
    <w:rsid w:val="00FB3AA0"/>
    <w:rsid w:val="00FB3E89"/>
    <w:rsid w:val="00FB40B5"/>
    <w:rsid w:val="00FB4313"/>
    <w:rsid w:val="00FB433D"/>
    <w:rsid w:val="00FB450A"/>
    <w:rsid w:val="00FB4782"/>
    <w:rsid w:val="00FB5125"/>
    <w:rsid w:val="00FB51B3"/>
    <w:rsid w:val="00FB5318"/>
    <w:rsid w:val="00FB5383"/>
    <w:rsid w:val="00FB5BC4"/>
    <w:rsid w:val="00FB5D71"/>
    <w:rsid w:val="00FB6337"/>
    <w:rsid w:val="00FB652F"/>
    <w:rsid w:val="00FB66F6"/>
    <w:rsid w:val="00FB6841"/>
    <w:rsid w:val="00FB6870"/>
    <w:rsid w:val="00FB6EE8"/>
    <w:rsid w:val="00FB70BA"/>
    <w:rsid w:val="00FB75BA"/>
    <w:rsid w:val="00FC00BF"/>
    <w:rsid w:val="00FC0295"/>
    <w:rsid w:val="00FC0CC3"/>
    <w:rsid w:val="00FC10AD"/>
    <w:rsid w:val="00FC1183"/>
    <w:rsid w:val="00FC11FF"/>
    <w:rsid w:val="00FC164D"/>
    <w:rsid w:val="00FC16D7"/>
    <w:rsid w:val="00FC1881"/>
    <w:rsid w:val="00FC18BC"/>
    <w:rsid w:val="00FC1C21"/>
    <w:rsid w:val="00FC1F84"/>
    <w:rsid w:val="00FC2853"/>
    <w:rsid w:val="00FC2902"/>
    <w:rsid w:val="00FC2A65"/>
    <w:rsid w:val="00FC2E19"/>
    <w:rsid w:val="00FC2E66"/>
    <w:rsid w:val="00FC3195"/>
    <w:rsid w:val="00FC33C0"/>
    <w:rsid w:val="00FC3924"/>
    <w:rsid w:val="00FC3EEF"/>
    <w:rsid w:val="00FC4592"/>
    <w:rsid w:val="00FC4C6D"/>
    <w:rsid w:val="00FC4F83"/>
    <w:rsid w:val="00FC6384"/>
    <w:rsid w:val="00FC6BA8"/>
    <w:rsid w:val="00FC6E5F"/>
    <w:rsid w:val="00FC70D4"/>
    <w:rsid w:val="00FC7188"/>
    <w:rsid w:val="00FC7478"/>
    <w:rsid w:val="00FC7981"/>
    <w:rsid w:val="00FC7AD8"/>
    <w:rsid w:val="00FC7B02"/>
    <w:rsid w:val="00FD0300"/>
    <w:rsid w:val="00FD09D6"/>
    <w:rsid w:val="00FD1024"/>
    <w:rsid w:val="00FD160D"/>
    <w:rsid w:val="00FD1D57"/>
    <w:rsid w:val="00FD2004"/>
    <w:rsid w:val="00FD2301"/>
    <w:rsid w:val="00FD2538"/>
    <w:rsid w:val="00FD26F1"/>
    <w:rsid w:val="00FD2D86"/>
    <w:rsid w:val="00FD2E21"/>
    <w:rsid w:val="00FD2E86"/>
    <w:rsid w:val="00FD3C4D"/>
    <w:rsid w:val="00FD3DCB"/>
    <w:rsid w:val="00FD405A"/>
    <w:rsid w:val="00FD499F"/>
    <w:rsid w:val="00FD4F52"/>
    <w:rsid w:val="00FD5385"/>
    <w:rsid w:val="00FD5633"/>
    <w:rsid w:val="00FD58B9"/>
    <w:rsid w:val="00FD5B7D"/>
    <w:rsid w:val="00FD5E1D"/>
    <w:rsid w:val="00FD6132"/>
    <w:rsid w:val="00FD69F5"/>
    <w:rsid w:val="00FD7105"/>
    <w:rsid w:val="00FD72AC"/>
    <w:rsid w:val="00FD74CA"/>
    <w:rsid w:val="00FE00C2"/>
    <w:rsid w:val="00FE07EA"/>
    <w:rsid w:val="00FE0E29"/>
    <w:rsid w:val="00FE1076"/>
    <w:rsid w:val="00FE162A"/>
    <w:rsid w:val="00FE2D93"/>
    <w:rsid w:val="00FE319F"/>
    <w:rsid w:val="00FE323D"/>
    <w:rsid w:val="00FE3ABE"/>
    <w:rsid w:val="00FE3CD4"/>
    <w:rsid w:val="00FE4906"/>
    <w:rsid w:val="00FE4A66"/>
    <w:rsid w:val="00FE4C48"/>
    <w:rsid w:val="00FE5274"/>
    <w:rsid w:val="00FE54E5"/>
    <w:rsid w:val="00FE55D4"/>
    <w:rsid w:val="00FE5B74"/>
    <w:rsid w:val="00FE5C70"/>
    <w:rsid w:val="00FE5F20"/>
    <w:rsid w:val="00FE65D5"/>
    <w:rsid w:val="00FE6DEC"/>
    <w:rsid w:val="00FE7083"/>
    <w:rsid w:val="00FE723A"/>
    <w:rsid w:val="00FE7590"/>
    <w:rsid w:val="00FE7677"/>
    <w:rsid w:val="00FE7811"/>
    <w:rsid w:val="00FE79BC"/>
    <w:rsid w:val="00FE7A03"/>
    <w:rsid w:val="00FF0F88"/>
    <w:rsid w:val="00FF1197"/>
    <w:rsid w:val="00FF18EC"/>
    <w:rsid w:val="00FF19BC"/>
    <w:rsid w:val="00FF1A58"/>
    <w:rsid w:val="00FF1B82"/>
    <w:rsid w:val="00FF2055"/>
    <w:rsid w:val="00FF26FC"/>
    <w:rsid w:val="00FF32D2"/>
    <w:rsid w:val="00FF42E1"/>
    <w:rsid w:val="00FF52FA"/>
    <w:rsid w:val="00FF700D"/>
    <w:rsid w:val="00FF714B"/>
    <w:rsid w:val="00FF76CA"/>
    <w:rsid w:val="00FF7739"/>
    <w:rsid w:val="00FF7B15"/>
    <w:rsid w:val="00FF7BB6"/>
    <w:rsid w:val="00FF7F6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53601"/>
    <o:shapelayout v:ext="edit">
      <o:idmap v:ext="edit" data="1"/>
    </o:shapelayout>
  </w:shapeDefaults>
  <w:decimalSymbol w:val=","/>
  <w:listSeparator w:val=";"/>
  <w14:docId w14:val="733BFED0"/>
  <w15:docId w15:val="{7681C55B-CD9F-415E-B037-68AE93845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DD4298"/>
    <w:pPr>
      <w:spacing w:after="160"/>
      <w:jc w:val="both"/>
    </w:pPr>
    <w:rPr>
      <w:rFonts w:ascii="Arial Narrow" w:hAnsi="Arial Narrow"/>
      <w:sz w:val="22"/>
      <w:szCs w:val="22"/>
      <w:lang w:eastAsia="en-US"/>
    </w:rPr>
  </w:style>
  <w:style w:type="paragraph" w:styleId="Nadpis1">
    <w:name w:val="heading 1"/>
    <w:basedOn w:val="Normlny"/>
    <w:next w:val="Normlny"/>
    <w:link w:val="Nadpis1Char"/>
    <w:uiPriority w:val="9"/>
    <w:qFormat/>
    <w:rsid w:val="0040200F"/>
    <w:pPr>
      <w:keepNext/>
      <w:keepLines/>
      <w:numPr>
        <w:numId w:val="3"/>
      </w:numPr>
      <w:tabs>
        <w:tab w:val="left" w:pos="284"/>
      </w:tabs>
      <w:spacing w:before="240" w:after="240" w:line="276" w:lineRule="auto"/>
      <w:outlineLvl w:val="0"/>
    </w:pPr>
    <w:rPr>
      <w:rFonts w:eastAsia="Times New Roman"/>
      <w:color w:val="2E74B5"/>
      <w:sz w:val="32"/>
      <w:szCs w:val="32"/>
    </w:rPr>
  </w:style>
  <w:style w:type="paragraph" w:styleId="Nadpis2">
    <w:name w:val="heading 2"/>
    <w:basedOn w:val="Normlny"/>
    <w:next w:val="Normlny"/>
    <w:link w:val="Nadpis2Char"/>
    <w:uiPriority w:val="9"/>
    <w:unhideWhenUsed/>
    <w:qFormat/>
    <w:rsid w:val="000A3579"/>
    <w:pPr>
      <w:keepNext/>
      <w:keepLines/>
      <w:numPr>
        <w:ilvl w:val="1"/>
        <w:numId w:val="3"/>
      </w:numPr>
      <w:spacing w:before="40" w:after="240" w:line="276" w:lineRule="auto"/>
      <w:outlineLvl w:val="1"/>
    </w:pPr>
    <w:rPr>
      <w:rFonts w:eastAsia="Times New Roman"/>
      <w:color w:val="2E74B5"/>
      <w:sz w:val="26"/>
      <w:szCs w:val="26"/>
    </w:rPr>
  </w:style>
  <w:style w:type="paragraph" w:styleId="Nadpis3">
    <w:name w:val="heading 3"/>
    <w:basedOn w:val="Normlny"/>
    <w:next w:val="Normlny"/>
    <w:link w:val="Nadpis3Char"/>
    <w:uiPriority w:val="9"/>
    <w:unhideWhenUsed/>
    <w:qFormat/>
    <w:rsid w:val="00967D50"/>
    <w:pPr>
      <w:spacing w:after="0"/>
      <w:outlineLvl w:val="2"/>
    </w:pPr>
    <w:rPr>
      <w:i/>
    </w:rPr>
  </w:style>
  <w:style w:type="paragraph" w:styleId="Nadpis4">
    <w:name w:val="heading 4"/>
    <w:basedOn w:val="Normlny"/>
    <w:next w:val="Normlny"/>
    <w:link w:val="Nadpis4Char"/>
    <w:uiPriority w:val="9"/>
    <w:semiHidden/>
    <w:unhideWhenUsed/>
    <w:qFormat/>
    <w:rsid w:val="00630471"/>
    <w:pPr>
      <w:keepNext/>
      <w:keepLines/>
      <w:spacing w:before="40" w:after="0"/>
      <w:outlineLvl w:val="3"/>
    </w:pPr>
    <w:rPr>
      <w:rFonts w:ascii="Calibri Light" w:eastAsia="Times New Roman" w:hAnsi="Calibri Light"/>
      <w:i/>
      <w:iCs/>
      <w:color w:val="2E74B5"/>
    </w:rPr>
  </w:style>
  <w:style w:type="paragraph" w:styleId="Nadpis5">
    <w:name w:val="heading 5"/>
    <w:basedOn w:val="Normlny"/>
    <w:next w:val="Normlny"/>
    <w:link w:val="Nadpis5Char"/>
    <w:uiPriority w:val="9"/>
    <w:semiHidden/>
    <w:unhideWhenUsed/>
    <w:qFormat/>
    <w:rsid w:val="0055711F"/>
    <w:pPr>
      <w:overflowPunct w:val="0"/>
      <w:autoSpaceDE w:val="0"/>
      <w:autoSpaceDN w:val="0"/>
      <w:adjustRightInd w:val="0"/>
      <w:spacing w:before="240" w:after="60"/>
      <w:jc w:val="left"/>
      <w:textAlignment w:val="baseline"/>
      <w:outlineLvl w:val="4"/>
    </w:pPr>
    <w:rPr>
      <w:rFonts w:ascii="Calibri" w:eastAsia="Times New Roman" w:hAnsi="Calibri"/>
      <w:b/>
      <w:bCs/>
      <w:i/>
      <w:iCs/>
      <w:sz w:val="26"/>
      <w:szCs w:val="26"/>
      <w:lang w:eastAsia="cs-CZ"/>
    </w:rPr>
  </w:style>
  <w:style w:type="paragraph" w:styleId="Nadpis6">
    <w:name w:val="heading 6"/>
    <w:basedOn w:val="Normlny"/>
    <w:next w:val="Normlny"/>
    <w:link w:val="Nadpis6Char"/>
    <w:rsid w:val="00386F6D"/>
    <w:pPr>
      <w:keepNext/>
      <w:keepLines/>
      <w:spacing w:before="200" w:after="40"/>
      <w:outlineLvl w:val="5"/>
    </w:pPr>
    <w:rPr>
      <w:rFonts w:eastAsia="Arial Narrow" w:cs="Arial Narrow"/>
      <w:b/>
      <w:sz w:val="20"/>
      <w:szCs w:val="20"/>
      <w:lang w:eastAsia="sk-SK"/>
    </w:rPr>
  </w:style>
  <w:style w:type="paragraph" w:styleId="Nadpis7">
    <w:name w:val="heading 7"/>
    <w:basedOn w:val="Normlny"/>
    <w:next w:val="Normlny"/>
    <w:link w:val="Nadpis7Char"/>
    <w:uiPriority w:val="9"/>
    <w:semiHidden/>
    <w:unhideWhenUsed/>
    <w:qFormat/>
    <w:rsid w:val="008E7D9E"/>
    <w:pPr>
      <w:keepNext/>
      <w:keepLines/>
      <w:spacing w:before="40" w:after="0" w:line="259" w:lineRule="auto"/>
      <w:jc w:val="left"/>
      <w:outlineLvl w:val="6"/>
    </w:pPr>
    <w:rPr>
      <w:rFonts w:asciiTheme="majorHAnsi" w:eastAsiaTheme="majorEastAsia" w:hAnsiTheme="majorHAnsi" w:cstheme="majorBidi"/>
      <w:i/>
      <w:iCs/>
      <w:color w:val="1F4D78" w:themeColor="accent1" w:themeShade="7F"/>
      <w:lang w:eastAsia="sk-SK"/>
    </w:rPr>
  </w:style>
  <w:style w:type="paragraph" w:styleId="Nadpis8">
    <w:name w:val="heading 8"/>
    <w:basedOn w:val="Normlny"/>
    <w:next w:val="Normlny"/>
    <w:link w:val="Nadpis8Char"/>
    <w:uiPriority w:val="9"/>
    <w:semiHidden/>
    <w:unhideWhenUsed/>
    <w:qFormat/>
    <w:rsid w:val="008E7D9E"/>
    <w:pPr>
      <w:keepNext/>
      <w:keepLines/>
      <w:spacing w:before="40" w:after="0" w:line="259" w:lineRule="auto"/>
      <w:jc w:val="left"/>
      <w:outlineLvl w:val="7"/>
    </w:pPr>
    <w:rPr>
      <w:rFonts w:asciiTheme="majorHAnsi" w:eastAsiaTheme="majorEastAsia" w:hAnsiTheme="majorHAnsi" w:cstheme="majorBidi"/>
      <w:color w:val="272727" w:themeColor="text1" w:themeTint="D8"/>
      <w:sz w:val="21"/>
      <w:szCs w:val="21"/>
      <w:lang w:eastAsia="sk-SK"/>
    </w:rPr>
  </w:style>
  <w:style w:type="paragraph" w:styleId="Nadpis9">
    <w:name w:val="heading 9"/>
    <w:basedOn w:val="Normlny"/>
    <w:next w:val="Normlny"/>
    <w:link w:val="Nadpis9Char"/>
    <w:uiPriority w:val="9"/>
    <w:semiHidden/>
    <w:unhideWhenUsed/>
    <w:qFormat/>
    <w:rsid w:val="008E7D9E"/>
    <w:pPr>
      <w:keepNext/>
      <w:keepLines/>
      <w:spacing w:before="40" w:after="0" w:line="259" w:lineRule="auto"/>
      <w:jc w:val="left"/>
      <w:outlineLvl w:val="8"/>
    </w:pPr>
    <w:rPr>
      <w:rFonts w:asciiTheme="majorHAnsi" w:eastAsiaTheme="majorEastAsia" w:hAnsiTheme="majorHAnsi" w:cstheme="majorBidi"/>
      <w:i/>
      <w:iCs/>
      <w:color w:val="272727" w:themeColor="text1" w:themeTint="D8"/>
      <w:sz w:val="21"/>
      <w:szCs w:val="21"/>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40200F"/>
    <w:rPr>
      <w:rFonts w:ascii="Arial Narrow" w:eastAsia="Times New Roman" w:hAnsi="Arial Narrow"/>
      <w:color w:val="2E74B5"/>
      <w:sz w:val="32"/>
      <w:szCs w:val="32"/>
      <w:lang w:eastAsia="en-US"/>
    </w:rPr>
  </w:style>
  <w:style w:type="character" w:customStyle="1" w:styleId="Nadpis2Char">
    <w:name w:val="Nadpis 2 Char"/>
    <w:link w:val="Nadpis2"/>
    <w:uiPriority w:val="9"/>
    <w:rsid w:val="000A3579"/>
    <w:rPr>
      <w:rFonts w:ascii="Arial Narrow" w:eastAsia="Times New Roman" w:hAnsi="Arial Narrow"/>
      <w:color w:val="2E74B5"/>
      <w:sz w:val="26"/>
      <w:szCs w:val="26"/>
      <w:lang w:eastAsia="en-US"/>
    </w:rPr>
  </w:style>
  <w:style w:type="paragraph" w:styleId="Odsekzoznamu">
    <w:name w:val="List Paragraph"/>
    <w:aliases w:val="Forth level,body,Odsek zoznamu2"/>
    <w:basedOn w:val="Normlny"/>
    <w:link w:val="OdsekzoznamuChar"/>
    <w:uiPriority w:val="34"/>
    <w:qFormat/>
    <w:rsid w:val="0040200F"/>
    <w:pPr>
      <w:ind w:left="720"/>
      <w:contextualSpacing/>
    </w:pPr>
  </w:style>
  <w:style w:type="character" w:styleId="Odkaznakomentr">
    <w:name w:val="annotation reference"/>
    <w:uiPriority w:val="99"/>
    <w:unhideWhenUsed/>
    <w:qFormat/>
    <w:rsid w:val="0040200F"/>
    <w:rPr>
      <w:sz w:val="16"/>
      <w:szCs w:val="16"/>
    </w:rPr>
  </w:style>
  <w:style w:type="paragraph" w:styleId="Textkomentra">
    <w:name w:val="annotation text"/>
    <w:aliases w:val="Char Char Char"/>
    <w:basedOn w:val="Normlny"/>
    <w:link w:val="TextkomentraChar"/>
    <w:uiPriority w:val="99"/>
    <w:unhideWhenUsed/>
    <w:qFormat/>
    <w:rsid w:val="0040200F"/>
    <w:rPr>
      <w:sz w:val="20"/>
      <w:szCs w:val="20"/>
    </w:rPr>
  </w:style>
  <w:style w:type="character" w:customStyle="1" w:styleId="TextkomentraChar">
    <w:name w:val="Text komentára Char"/>
    <w:aliases w:val="Char Char Char Char"/>
    <w:link w:val="Textkomentra"/>
    <w:uiPriority w:val="99"/>
    <w:qFormat/>
    <w:rsid w:val="0040200F"/>
    <w:rPr>
      <w:sz w:val="20"/>
      <w:szCs w:val="20"/>
    </w:rPr>
  </w:style>
  <w:style w:type="paragraph" w:styleId="Predmetkomentra">
    <w:name w:val="annotation subject"/>
    <w:basedOn w:val="Textkomentra"/>
    <w:next w:val="Textkomentra"/>
    <w:link w:val="PredmetkomentraChar"/>
    <w:uiPriority w:val="99"/>
    <w:semiHidden/>
    <w:unhideWhenUsed/>
    <w:qFormat/>
    <w:rsid w:val="0040200F"/>
    <w:rPr>
      <w:b/>
      <w:bCs/>
    </w:rPr>
  </w:style>
  <w:style w:type="character" w:customStyle="1" w:styleId="PredmetkomentraChar">
    <w:name w:val="Predmet komentára Char"/>
    <w:link w:val="Predmetkomentra"/>
    <w:uiPriority w:val="99"/>
    <w:semiHidden/>
    <w:qFormat/>
    <w:rsid w:val="0040200F"/>
    <w:rPr>
      <w:b/>
      <w:bCs/>
      <w:sz w:val="20"/>
      <w:szCs w:val="20"/>
    </w:rPr>
  </w:style>
  <w:style w:type="paragraph" w:styleId="Textbubliny">
    <w:name w:val="Balloon Text"/>
    <w:basedOn w:val="Normlny"/>
    <w:link w:val="TextbublinyChar"/>
    <w:uiPriority w:val="99"/>
    <w:semiHidden/>
    <w:unhideWhenUsed/>
    <w:rsid w:val="0040200F"/>
    <w:pPr>
      <w:spacing w:after="0"/>
    </w:pPr>
    <w:rPr>
      <w:rFonts w:ascii="Segoe UI" w:hAnsi="Segoe UI" w:cs="Segoe UI"/>
      <w:sz w:val="18"/>
      <w:szCs w:val="18"/>
    </w:rPr>
  </w:style>
  <w:style w:type="character" w:customStyle="1" w:styleId="TextbublinyChar">
    <w:name w:val="Text bubliny Char"/>
    <w:link w:val="Textbubliny"/>
    <w:uiPriority w:val="99"/>
    <w:semiHidden/>
    <w:rsid w:val="0040200F"/>
    <w:rPr>
      <w:rFonts w:ascii="Segoe UI" w:hAnsi="Segoe UI" w:cs="Segoe UI"/>
      <w:sz w:val="18"/>
      <w:szCs w:val="18"/>
    </w:rPr>
  </w:style>
  <w:style w:type="paragraph" w:styleId="Hlavika">
    <w:name w:val="header"/>
    <w:basedOn w:val="Normlny"/>
    <w:link w:val="HlavikaChar"/>
    <w:uiPriority w:val="99"/>
    <w:unhideWhenUsed/>
    <w:rsid w:val="0040200F"/>
    <w:pPr>
      <w:tabs>
        <w:tab w:val="center" w:pos="4536"/>
        <w:tab w:val="right" w:pos="9072"/>
      </w:tabs>
      <w:spacing w:after="0"/>
    </w:pPr>
  </w:style>
  <w:style w:type="character" w:customStyle="1" w:styleId="HlavikaChar">
    <w:name w:val="Hlavička Char"/>
    <w:basedOn w:val="Predvolenpsmoodseku"/>
    <w:link w:val="Hlavika"/>
    <w:uiPriority w:val="99"/>
    <w:rsid w:val="0040200F"/>
  </w:style>
  <w:style w:type="paragraph" w:styleId="Pta">
    <w:name w:val="footer"/>
    <w:basedOn w:val="Normlny"/>
    <w:link w:val="PtaChar"/>
    <w:uiPriority w:val="99"/>
    <w:unhideWhenUsed/>
    <w:rsid w:val="0040200F"/>
    <w:pPr>
      <w:tabs>
        <w:tab w:val="center" w:pos="4536"/>
        <w:tab w:val="right" w:pos="9072"/>
      </w:tabs>
      <w:spacing w:after="0"/>
    </w:pPr>
  </w:style>
  <w:style w:type="character" w:customStyle="1" w:styleId="PtaChar">
    <w:name w:val="Päta Char"/>
    <w:basedOn w:val="Predvolenpsmoodseku"/>
    <w:link w:val="Pta"/>
    <w:uiPriority w:val="99"/>
    <w:rsid w:val="0040200F"/>
  </w:style>
  <w:style w:type="paragraph" w:styleId="Textpoznmkypodiarou">
    <w:name w:val="footnote text"/>
    <w:aliases w:val="Text poznámky pod čiarou 007,Schriftart: 9 pt,Schriftart: 10 pt,Schriftart: 8 pt,_Poznámka pod čiarou,Footnote Text Char2,Footnote Text Char1 Char,Footnote Text Char2 Char Char,Footnote Text Char1 Char Char Char Char Char Char,f"/>
    <w:basedOn w:val="Normlny"/>
    <w:link w:val="TextpoznmkypodiarouChar"/>
    <w:uiPriority w:val="99"/>
    <w:unhideWhenUsed/>
    <w:qFormat/>
    <w:rsid w:val="0040200F"/>
    <w:pPr>
      <w:spacing w:after="0"/>
    </w:pPr>
    <w:rPr>
      <w:sz w:val="20"/>
      <w:szCs w:val="20"/>
    </w:rPr>
  </w:style>
  <w:style w:type="character" w:customStyle="1" w:styleId="TextpoznmkypodiarouChar">
    <w:name w:val="Text poznámky pod čiarou Char"/>
    <w:aliases w:val="Text poznámky pod čiarou 007 Char,Schriftart: 9 pt Char,Schriftart: 10 pt Char,Schriftart: 8 pt Char,_Poznámka pod čiarou Char,Footnote Text Char2 Char,Footnote Text Char1 Char Char,Footnote Text Char2 Char Char Char,f Char"/>
    <w:link w:val="Textpoznmkypodiarou"/>
    <w:uiPriority w:val="99"/>
    <w:rsid w:val="0040200F"/>
    <w:rPr>
      <w:sz w:val="20"/>
      <w:szCs w:val="20"/>
    </w:rPr>
  </w:style>
  <w:style w:type="character" w:styleId="Odkaznapoznmkupodiarou">
    <w:name w:val="footnote reference"/>
    <w:aliases w:val="16 Point,Superscript 6 Point,Footnote Reference Number,Footnote Reference_LVL6,Footnote Reference_LVL61,Footnote Reference_LVL62,Footnote Reference_LVL63,Footnote Reference_LVL64,Footnote call,BVI fnr,SUPERS,Footnote symbol"/>
    <w:link w:val="Char2"/>
    <w:uiPriority w:val="99"/>
    <w:unhideWhenUsed/>
    <w:qFormat/>
    <w:rsid w:val="0040200F"/>
    <w:rPr>
      <w:vertAlign w:val="superscript"/>
    </w:rPr>
  </w:style>
  <w:style w:type="paragraph" w:styleId="Normlnywebov">
    <w:name w:val="Normal (Web)"/>
    <w:basedOn w:val="Normlny"/>
    <w:uiPriority w:val="99"/>
    <w:unhideWhenUsed/>
    <w:rsid w:val="0040200F"/>
    <w:pPr>
      <w:spacing w:before="100" w:beforeAutospacing="1" w:after="100" w:afterAutospacing="1"/>
    </w:pPr>
    <w:rPr>
      <w:rFonts w:ascii="Times New Roman" w:eastAsia="Times New Roman" w:hAnsi="Times New Roman"/>
      <w:sz w:val="24"/>
      <w:szCs w:val="24"/>
      <w:lang w:eastAsia="sk-SK"/>
    </w:rPr>
  </w:style>
  <w:style w:type="paragraph" w:customStyle="1" w:styleId="xmsonormal">
    <w:name w:val="x_msonormal"/>
    <w:basedOn w:val="Normlny"/>
    <w:rsid w:val="0040200F"/>
    <w:pPr>
      <w:spacing w:before="100" w:beforeAutospacing="1" w:after="100" w:afterAutospacing="1"/>
    </w:pPr>
    <w:rPr>
      <w:rFonts w:ascii="Times New Roman" w:eastAsia="Times New Roman" w:hAnsi="Times New Roman"/>
      <w:sz w:val="24"/>
      <w:szCs w:val="24"/>
      <w:lang w:eastAsia="sk-SK"/>
    </w:rPr>
  </w:style>
  <w:style w:type="character" w:styleId="Siln">
    <w:name w:val="Strong"/>
    <w:uiPriority w:val="22"/>
    <w:qFormat/>
    <w:rsid w:val="0040200F"/>
    <w:rPr>
      <w:b/>
      <w:bCs/>
    </w:rPr>
  </w:style>
  <w:style w:type="character" w:customStyle="1" w:styleId="Ukotveniepoznmkypodiarou">
    <w:name w:val="Ukotvenie poznámky pod čiarou"/>
    <w:rsid w:val="0040200F"/>
    <w:rPr>
      <w:vertAlign w:val="superscript"/>
    </w:rPr>
  </w:style>
  <w:style w:type="paragraph" w:styleId="Bezriadkovania">
    <w:name w:val="No Spacing"/>
    <w:link w:val="BezriadkovaniaChar"/>
    <w:uiPriority w:val="1"/>
    <w:qFormat/>
    <w:rsid w:val="0040200F"/>
    <w:rPr>
      <w:rFonts w:eastAsia="Times New Roman"/>
      <w:sz w:val="22"/>
      <w:szCs w:val="22"/>
    </w:rPr>
  </w:style>
  <w:style w:type="character" w:customStyle="1" w:styleId="BezriadkovaniaChar">
    <w:name w:val="Bez riadkovania Char"/>
    <w:link w:val="Bezriadkovania"/>
    <w:uiPriority w:val="1"/>
    <w:rsid w:val="0040200F"/>
    <w:rPr>
      <w:rFonts w:eastAsia="Times New Roman"/>
      <w:lang w:eastAsia="sk-SK"/>
    </w:rPr>
  </w:style>
  <w:style w:type="character" w:styleId="Hypertextovprepojenie">
    <w:name w:val="Hyperlink"/>
    <w:uiPriority w:val="99"/>
    <w:unhideWhenUsed/>
    <w:rsid w:val="0040200F"/>
    <w:rPr>
      <w:color w:val="0563C1"/>
      <w:u w:val="single"/>
    </w:rPr>
  </w:style>
  <w:style w:type="paragraph" w:styleId="Popis">
    <w:name w:val="caption"/>
    <w:basedOn w:val="Normlny"/>
    <w:next w:val="Normlny"/>
    <w:uiPriority w:val="35"/>
    <w:unhideWhenUsed/>
    <w:qFormat/>
    <w:rsid w:val="00F91355"/>
    <w:pPr>
      <w:spacing w:after="0"/>
    </w:pPr>
    <w:rPr>
      <w:b/>
      <w:sz w:val="20"/>
    </w:rPr>
  </w:style>
  <w:style w:type="character" w:customStyle="1" w:styleId="Bodytext295pt">
    <w:name w:val="Body text (2) + 9.5 pt"/>
    <w:aliases w:val="Bold"/>
    <w:qFormat/>
    <w:rsid w:val="0040200F"/>
    <w:rPr>
      <w:rFonts w:ascii="Arial Narrow" w:eastAsia="Arial" w:hAnsi="Arial Narrow" w:cs="Arial"/>
      <w:color w:val="000000"/>
      <w:sz w:val="20"/>
      <w:szCs w:val="19"/>
      <w:lang w:val="fr-FR" w:eastAsia="fr-FR" w:bidi="fr-FR"/>
    </w:rPr>
  </w:style>
  <w:style w:type="character" w:styleId="slostrany">
    <w:name w:val="page number"/>
    <w:basedOn w:val="Predvolenpsmoodseku"/>
    <w:rsid w:val="0040200F"/>
  </w:style>
  <w:style w:type="character" w:customStyle="1" w:styleId="spanr">
    <w:name w:val="span_r"/>
    <w:basedOn w:val="Predvolenpsmoodseku"/>
    <w:rsid w:val="0040200F"/>
  </w:style>
  <w:style w:type="table" w:styleId="Mriekatabuky">
    <w:name w:val="Table Grid"/>
    <w:basedOn w:val="Normlnatabuka"/>
    <w:uiPriority w:val="59"/>
    <w:rsid w:val="00402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zia">
    <w:name w:val="Revision"/>
    <w:hidden/>
    <w:uiPriority w:val="99"/>
    <w:semiHidden/>
    <w:rsid w:val="0040200F"/>
    <w:rPr>
      <w:sz w:val="22"/>
      <w:szCs w:val="22"/>
      <w:lang w:eastAsia="en-US"/>
    </w:rPr>
  </w:style>
  <w:style w:type="character" w:styleId="PouitHypertextovPrepojenie">
    <w:name w:val="FollowedHyperlink"/>
    <w:uiPriority w:val="99"/>
    <w:semiHidden/>
    <w:unhideWhenUsed/>
    <w:rsid w:val="0040200F"/>
    <w:rPr>
      <w:color w:val="954F72"/>
      <w:u w:val="single"/>
    </w:rPr>
  </w:style>
  <w:style w:type="table" w:customStyle="1" w:styleId="Obyajntabuka11">
    <w:name w:val="Obyčajná tabuľka 11"/>
    <w:basedOn w:val="Normlnatabuka"/>
    <w:uiPriority w:val="41"/>
    <w:rsid w:val="0040200F"/>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riekatabukysvetl1">
    <w:name w:val="Mriežka tabuľky – svetlá1"/>
    <w:basedOn w:val="Normlnatabuka"/>
    <w:uiPriority w:val="40"/>
    <w:rsid w:val="0040200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Obyajntabuka21">
    <w:name w:val="Obyčajná tabuľka 21"/>
    <w:basedOn w:val="Normlnatabuka"/>
    <w:uiPriority w:val="42"/>
    <w:rsid w:val="0040200F"/>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Obyajntabuka31">
    <w:name w:val="Obyčajná tabuľka 31"/>
    <w:basedOn w:val="Normlnatabuka"/>
    <w:uiPriority w:val="43"/>
    <w:rsid w:val="0040200F"/>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Obyajntabuka41">
    <w:name w:val="Obyčajná tabuľka 41"/>
    <w:basedOn w:val="Normlnatabuka"/>
    <w:uiPriority w:val="44"/>
    <w:rsid w:val="0040200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byajntabuka51">
    <w:name w:val="Obyčajná tabuľka 51"/>
    <w:basedOn w:val="Normlnatabuka"/>
    <w:uiPriority w:val="45"/>
    <w:rsid w:val="0040200F"/>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Predvolenpsmoodseku"/>
    <w:rsid w:val="0040200F"/>
  </w:style>
  <w:style w:type="table" w:customStyle="1" w:styleId="Mriekatabuky1">
    <w:name w:val="Mriežka tabuľky1"/>
    <w:basedOn w:val="Normlnatabuka"/>
    <w:next w:val="Mriekatabuky"/>
    <w:uiPriority w:val="39"/>
    <w:rsid w:val="00402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
    <w:name w:val="Bez zoznamu1"/>
    <w:next w:val="Bezzoznamu"/>
    <w:uiPriority w:val="99"/>
    <w:semiHidden/>
    <w:unhideWhenUsed/>
    <w:rsid w:val="0040200F"/>
  </w:style>
  <w:style w:type="table" w:customStyle="1" w:styleId="Mriekatabuky2">
    <w:name w:val="Mriežka tabuľky2"/>
    <w:basedOn w:val="Normlnatabuka"/>
    <w:next w:val="Mriekatabuky"/>
    <w:uiPriority w:val="39"/>
    <w:rsid w:val="00402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byajntabuka111">
    <w:name w:val="Obyčajná tabuľka 111"/>
    <w:basedOn w:val="Normlnatabuka"/>
    <w:uiPriority w:val="41"/>
    <w:rsid w:val="0040200F"/>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riekatabukysvetl11">
    <w:name w:val="Mriežka tabuľky – svetlá11"/>
    <w:basedOn w:val="Normlnatabuka"/>
    <w:uiPriority w:val="40"/>
    <w:rsid w:val="0040200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Obyajntabuka211">
    <w:name w:val="Obyčajná tabuľka 211"/>
    <w:basedOn w:val="Normlnatabuka"/>
    <w:uiPriority w:val="42"/>
    <w:rsid w:val="0040200F"/>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Obyajntabuka311">
    <w:name w:val="Obyčajná tabuľka 311"/>
    <w:basedOn w:val="Normlnatabuka"/>
    <w:uiPriority w:val="43"/>
    <w:rsid w:val="0040200F"/>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Obyajntabuka411">
    <w:name w:val="Obyčajná tabuľka 411"/>
    <w:basedOn w:val="Normlnatabuka"/>
    <w:uiPriority w:val="44"/>
    <w:rsid w:val="0040200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byajntabuka511">
    <w:name w:val="Obyčajná tabuľka 511"/>
    <w:basedOn w:val="Normlnatabuka"/>
    <w:uiPriority w:val="45"/>
    <w:rsid w:val="0040200F"/>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Internetovodkaz">
    <w:name w:val="Internetový odkaz"/>
    <w:uiPriority w:val="99"/>
    <w:unhideWhenUsed/>
    <w:rsid w:val="0040200F"/>
    <w:rPr>
      <w:color w:val="0563C1"/>
      <w:u w:val="single"/>
    </w:rPr>
  </w:style>
  <w:style w:type="paragraph" w:customStyle="1" w:styleId="Obsahrmca">
    <w:name w:val="Obsah rámca"/>
    <w:basedOn w:val="Normlny"/>
    <w:qFormat/>
    <w:rsid w:val="0040200F"/>
  </w:style>
  <w:style w:type="paragraph" w:styleId="Hlavikaobsahu">
    <w:name w:val="TOC Heading"/>
    <w:basedOn w:val="Nadpis1"/>
    <w:next w:val="Normlny"/>
    <w:uiPriority w:val="39"/>
    <w:unhideWhenUsed/>
    <w:qFormat/>
    <w:rsid w:val="0040200F"/>
    <w:pPr>
      <w:numPr>
        <w:numId w:val="0"/>
      </w:numPr>
      <w:tabs>
        <w:tab w:val="clear" w:pos="284"/>
      </w:tabs>
      <w:spacing w:after="0" w:line="259" w:lineRule="auto"/>
      <w:outlineLvl w:val="9"/>
    </w:pPr>
    <w:rPr>
      <w:rFonts w:ascii="Calibri Light" w:hAnsi="Calibri Light"/>
      <w:lang w:eastAsia="sk-SK"/>
    </w:rPr>
  </w:style>
  <w:style w:type="paragraph" w:styleId="Obsah2">
    <w:name w:val="toc 2"/>
    <w:basedOn w:val="Normlny"/>
    <w:next w:val="Normlny"/>
    <w:autoRedefine/>
    <w:uiPriority w:val="39"/>
    <w:unhideWhenUsed/>
    <w:rsid w:val="00E5504B"/>
    <w:pPr>
      <w:tabs>
        <w:tab w:val="left" w:pos="880"/>
        <w:tab w:val="right" w:leader="dot" w:pos="9062"/>
      </w:tabs>
      <w:spacing w:after="100"/>
      <w:ind w:left="220"/>
    </w:pPr>
  </w:style>
  <w:style w:type="paragraph" w:styleId="Obsah1">
    <w:name w:val="toc 1"/>
    <w:basedOn w:val="Normlny"/>
    <w:next w:val="Normlny"/>
    <w:autoRedefine/>
    <w:uiPriority w:val="39"/>
    <w:unhideWhenUsed/>
    <w:rsid w:val="00087755"/>
    <w:pPr>
      <w:tabs>
        <w:tab w:val="left" w:pos="440"/>
        <w:tab w:val="right" w:leader="dot" w:pos="9072"/>
      </w:tabs>
      <w:spacing w:after="0" w:line="360" w:lineRule="auto"/>
    </w:pPr>
  </w:style>
  <w:style w:type="paragraph" w:styleId="Zoznamobrzkov">
    <w:name w:val="table of figures"/>
    <w:basedOn w:val="Normlny"/>
    <w:next w:val="Normlny"/>
    <w:uiPriority w:val="99"/>
    <w:unhideWhenUsed/>
    <w:rsid w:val="0040200F"/>
    <w:pPr>
      <w:spacing w:after="0"/>
    </w:pPr>
  </w:style>
  <w:style w:type="paragraph" w:styleId="Obsah3">
    <w:name w:val="toc 3"/>
    <w:basedOn w:val="Normlny"/>
    <w:next w:val="Normlny"/>
    <w:autoRedefine/>
    <w:uiPriority w:val="39"/>
    <w:unhideWhenUsed/>
    <w:rsid w:val="0040200F"/>
    <w:pPr>
      <w:spacing w:after="100"/>
      <w:ind w:left="440"/>
    </w:pPr>
    <w:rPr>
      <w:rFonts w:eastAsia="Times New Roman"/>
      <w:lang w:eastAsia="sk-SK"/>
    </w:rPr>
  </w:style>
  <w:style w:type="paragraph" w:styleId="Textvysvetlivky">
    <w:name w:val="endnote text"/>
    <w:basedOn w:val="Normlny"/>
    <w:link w:val="TextvysvetlivkyChar"/>
    <w:uiPriority w:val="99"/>
    <w:semiHidden/>
    <w:unhideWhenUsed/>
    <w:rsid w:val="000937C2"/>
    <w:pPr>
      <w:spacing w:after="0"/>
    </w:pPr>
    <w:rPr>
      <w:sz w:val="20"/>
      <w:szCs w:val="20"/>
    </w:rPr>
  </w:style>
  <w:style w:type="character" w:customStyle="1" w:styleId="TextvysvetlivkyChar">
    <w:name w:val="Text vysvetlivky Char"/>
    <w:link w:val="Textvysvetlivky"/>
    <w:uiPriority w:val="99"/>
    <w:semiHidden/>
    <w:rsid w:val="000937C2"/>
    <w:rPr>
      <w:sz w:val="20"/>
      <w:szCs w:val="20"/>
    </w:rPr>
  </w:style>
  <w:style w:type="character" w:styleId="Odkaznavysvetlivku">
    <w:name w:val="endnote reference"/>
    <w:uiPriority w:val="99"/>
    <w:semiHidden/>
    <w:unhideWhenUsed/>
    <w:rsid w:val="000937C2"/>
    <w:rPr>
      <w:vertAlign w:val="superscript"/>
    </w:rPr>
  </w:style>
  <w:style w:type="character" w:customStyle="1" w:styleId="Nadpis3Char">
    <w:name w:val="Nadpis 3 Char"/>
    <w:link w:val="Nadpis3"/>
    <w:uiPriority w:val="9"/>
    <w:rsid w:val="00967D50"/>
    <w:rPr>
      <w:rFonts w:ascii="Arial Narrow" w:hAnsi="Arial Narrow"/>
      <w:i/>
    </w:rPr>
  </w:style>
  <w:style w:type="character" w:styleId="Zstupntext">
    <w:name w:val="Placeholder Text"/>
    <w:uiPriority w:val="99"/>
    <w:semiHidden/>
    <w:rsid w:val="00372E2A"/>
    <w:rPr>
      <w:rFonts w:ascii="Times New Roman" w:hAnsi="Times New Roman" w:cs="Times New Roman"/>
      <w:color w:val="000000"/>
    </w:rPr>
  </w:style>
  <w:style w:type="paragraph" w:styleId="Citcia">
    <w:name w:val="Quote"/>
    <w:basedOn w:val="Odsekzoznamu"/>
    <w:next w:val="Normlny"/>
    <w:link w:val="CitciaChar"/>
    <w:uiPriority w:val="29"/>
    <w:qFormat/>
    <w:rsid w:val="00CE6625"/>
    <w:pPr>
      <w:numPr>
        <w:numId w:val="1"/>
      </w:numPr>
      <w:spacing w:after="200" w:line="276" w:lineRule="auto"/>
    </w:pPr>
  </w:style>
  <w:style w:type="character" w:customStyle="1" w:styleId="CitciaChar">
    <w:name w:val="Citácia Char"/>
    <w:link w:val="Citcia"/>
    <w:uiPriority w:val="29"/>
    <w:rsid w:val="00CE6625"/>
    <w:rPr>
      <w:rFonts w:ascii="Arial Narrow" w:hAnsi="Arial Narrow"/>
      <w:sz w:val="22"/>
      <w:szCs w:val="22"/>
      <w:lang w:eastAsia="en-US"/>
    </w:rPr>
  </w:style>
  <w:style w:type="paragraph" w:customStyle="1" w:styleId="Default">
    <w:name w:val="Default"/>
    <w:rsid w:val="00FC1C21"/>
    <w:pPr>
      <w:autoSpaceDE w:val="0"/>
      <w:autoSpaceDN w:val="0"/>
      <w:adjustRightInd w:val="0"/>
    </w:pPr>
    <w:rPr>
      <w:rFonts w:cs="Calibri"/>
      <w:color w:val="000000"/>
      <w:sz w:val="24"/>
      <w:szCs w:val="24"/>
      <w:lang w:eastAsia="en-US"/>
    </w:rPr>
  </w:style>
  <w:style w:type="character" w:customStyle="1" w:styleId="Nevyrieenzmienka1">
    <w:name w:val="Nevyriešená zmienka1"/>
    <w:uiPriority w:val="99"/>
    <w:semiHidden/>
    <w:unhideWhenUsed/>
    <w:rsid w:val="007D3B6F"/>
    <w:rPr>
      <w:color w:val="605E5C"/>
      <w:shd w:val="clear" w:color="auto" w:fill="E1DFDD"/>
    </w:rPr>
  </w:style>
  <w:style w:type="character" w:customStyle="1" w:styleId="Nevyrieenzmienka12">
    <w:name w:val="Nevyriešená zmienka12"/>
    <w:uiPriority w:val="99"/>
    <w:semiHidden/>
    <w:unhideWhenUsed/>
    <w:rsid w:val="0056332D"/>
    <w:rPr>
      <w:color w:val="605E5C"/>
      <w:shd w:val="clear" w:color="auto" w:fill="E1DFDD"/>
    </w:rPr>
  </w:style>
  <w:style w:type="character" w:customStyle="1" w:styleId="Nevyrieenzmienka2">
    <w:name w:val="Nevyriešená zmienka2"/>
    <w:uiPriority w:val="99"/>
    <w:semiHidden/>
    <w:unhideWhenUsed/>
    <w:rsid w:val="0056332D"/>
    <w:rPr>
      <w:color w:val="605E5C"/>
      <w:shd w:val="clear" w:color="auto" w:fill="E1DFDD"/>
    </w:rPr>
  </w:style>
  <w:style w:type="character" w:customStyle="1" w:styleId="Nevyrieenzmienka3">
    <w:name w:val="Nevyriešená zmienka3"/>
    <w:uiPriority w:val="99"/>
    <w:semiHidden/>
    <w:unhideWhenUsed/>
    <w:rsid w:val="0056332D"/>
    <w:rPr>
      <w:color w:val="605E5C"/>
      <w:shd w:val="clear" w:color="auto" w:fill="E1DFDD"/>
    </w:rPr>
  </w:style>
  <w:style w:type="character" w:customStyle="1" w:styleId="Nevyrieenzmienka4">
    <w:name w:val="Nevyriešená zmienka4"/>
    <w:uiPriority w:val="99"/>
    <w:semiHidden/>
    <w:unhideWhenUsed/>
    <w:rsid w:val="0056332D"/>
    <w:rPr>
      <w:color w:val="605E5C"/>
      <w:shd w:val="clear" w:color="auto" w:fill="E1DFDD"/>
    </w:rPr>
  </w:style>
  <w:style w:type="character" w:customStyle="1" w:styleId="h1a2">
    <w:name w:val="h1a2"/>
    <w:rsid w:val="0087469C"/>
    <w:rPr>
      <w:vanish w:val="0"/>
      <w:webHidden w:val="0"/>
      <w:sz w:val="24"/>
      <w:szCs w:val="24"/>
      <w:specVanish w:val="0"/>
    </w:rPr>
  </w:style>
  <w:style w:type="character" w:customStyle="1" w:styleId="OdsekzoznamuChar">
    <w:name w:val="Odsek zoznamu Char"/>
    <w:aliases w:val="Forth level Char,body Char,Odsek zoznamu2 Char"/>
    <w:link w:val="Odsekzoznamu"/>
    <w:uiPriority w:val="34"/>
    <w:rsid w:val="007923B5"/>
    <w:rPr>
      <w:rFonts w:ascii="Arial Narrow" w:hAnsi="Arial Narrow"/>
    </w:rPr>
  </w:style>
  <w:style w:type="paragraph" w:customStyle="1" w:styleId="footnotedescription">
    <w:name w:val="footnote description"/>
    <w:next w:val="Normlny"/>
    <w:link w:val="footnotedescriptionChar"/>
    <w:hidden/>
    <w:rsid w:val="00A92D03"/>
    <w:pPr>
      <w:spacing w:line="259" w:lineRule="auto"/>
    </w:pPr>
    <w:rPr>
      <w:rFonts w:cs="Calibri"/>
      <w:color w:val="000000"/>
      <w:sz w:val="16"/>
      <w:szCs w:val="22"/>
    </w:rPr>
  </w:style>
  <w:style w:type="character" w:customStyle="1" w:styleId="footnotedescriptionChar">
    <w:name w:val="footnote description Char"/>
    <w:link w:val="footnotedescription"/>
    <w:rsid w:val="00A92D03"/>
    <w:rPr>
      <w:rFonts w:ascii="Calibri" w:eastAsia="Calibri" w:hAnsi="Calibri" w:cs="Calibri"/>
      <w:color w:val="000000"/>
      <w:sz w:val="16"/>
      <w:lang w:eastAsia="sk-SK"/>
    </w:rPr>
  </w:style>
  <w:style w:type="character" w:customStyle="1" w:styleId="footnotemark">
    <w:name w:val="footnote mark"/>
    <w:hidden/>
    <w:rsid w:val="00A92D03"/>
    <w:rPr>
      <w:rFonts w:ascii="Calibri" w:eastAsia="Calibri" w:hAnsi="Calibri" w:cs="Calibri"/>
      <w:color w:val="000000"/>
      <w:sz w:val="16"/>
      <w:vertAlign w:val="superscript"/>
    </w:rPr>
  </w:style>
  <w:style w:type="table" w:customStyle="1" w:styleId="TableGrid">
    <w:name w:val="TableGrid"/>
    <w:rsid w:val="00A92D03"/>
    <w:rPr>
      <w:rFonts w:eastAsia="Times New Roman"/>
      <w:sz w:val="22"/>
      <w:szCs w:val="22"/>
    </w:rPr>
    <w:tblPr>
      <w:tblCellMar>
        <w:top w:w="0" w:type="dxa"/>
        <w:left w:w="0" w:type="dxa"/>
        <w:bottom w:w="0" w:type="dxa"/>
        <w:right w:w="0" w:type="dxa"/>
      </w:tblCellMar>
    </w:tblPr>
  </w:style>
  <w:style w:type="table" w:customStyle="1" w:styleId="Tabukasozoznamom1svetl1">
    <w:name w:val="Tabuľka so zoznamom 1 – svetlá1"/>
    <w:basedOn w:val="Normlnatabuka"/>
    <w:uiPriority w:val="46"/>
    <w:rsid w:val="005827EE"/>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Svetlzoznamzvraznenie11">
    <w:name w:val="Svetlý zoznam – zvýraznenie 11"/>
    <w:basedOn w:val="Normlnatabuka"/>
    <w:next w:val="Svetlzoznamzvraznenie1"/>
    <w:uiPriority w:val="61"/>
    <w:rsid w:val="005827E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vetlzoznamzvraznenie1">
    <w:name w:val="Light List Accent 1"/>
    <w:basedOn w:val="Normlnatabuka"/>
    <w:uiPriority w:val="61"/>
    <w:unhideWhenUsed/>
    <w:rsid w:val="005827EE"/>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Nadpis4Char">
    <w:name w:val="Nadpis 4 Char"/>
    <w:link w:val="Nadpis4"/>
    <w:uiPriority w:val="9"/>
    <w:semiHidden/>
    <w:rsid w:val="00630471"/>
    <w:rPr>
      <w:rFonts w:ascii="Calibri Light" w:eastAsia="Times New Roman" w:hAnsi="Calibri Light" w:cs="Times New Roman"/>
      <w:i/>
      <w:iCs/>
      <w:color w:val="2E74B5"/>
    </w:rPr>
  </w:style>
  <w:style w:type="table" w:customStyle="1" w:styleId="Tabukasmriekou41">
    <w:name w:val="Tabuľka s mriežkou 41"/>
    <w:basedOn w:val="Normlnatabuka"/>
    <w:uiPriority w:val="49"/>
    <w:rsid w:val="00630471"/>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UnresolvedMention1">
    <w:name w:val="Unresolved Mention1"/>
    <w:uiPriority w:val="99"/>
    <w:semiHidden/>
    <w:unhideWhenUsed/>
    <w:rsid w:val="00D26D29"/>
    <w:rPr>
      <w:color w:val="605E5C"/>
      <w:shd w:val="clear" w:color="auto" w:fill="E1DFDD"/>
    </w:rPr>
  </w:style>
  <w:style w:type="character" w:customStyle="1" w:styleId="Nevyrieenzmienka5">
    <w:name w:val="Nevyriešená zmienka5"/>
    <w:uiPriority w:val="99"/>
    <w:semiHidden/>
    <w:unhideWhenUsed/>
    <w:rsid w:val="00613DC9"/>
    <w:rPr>
      <w:color w:val="605E5C"/>
      <w:shd w:val="clear" w:color="auto" w:fill="E1DFDD"/>
    </w:rPr>
  </w:style>
  <w:style w:type="character" w:customStyle="1" w:styleId="popisChar">
    <w:name w:val="popis Char"/>
    <w:link w:val="popis0"/>
    <w:locked/>
    <w:rsid w:val="00613DC9"/>
    <w:rPr>
      <w:rFonts w:ascii="Arial Narrow" w:hAnsi="Arial Narrow"/>
      <w:b/>
      <w:noProof/>
      <w:sz w:val="24"/>
    </w:rPr>
  </w:style>
  <w:style w:type="paragraph" w:customStyle="1" w:styleId="popis0">
    <w:name w:val="popis"/>
    <w:basedOn w:val="Obsah1"/>
    <w:link w:val="popisChar"/>
    <w:qFormat/>
    <w:rsid w:val="00613DC9"/>
    <w:pPr>
      <w:tabs>
        <w:tab w:val="clear" w:pos="9072"/>
        <w:tab w:val="right" w:leader="dot" w:pos="9062"/>
      </w:tabs>
      <w:spacing w:line="256" w:lineRule="auto"/>
      <w:jc w:val="left"/>
    </w:pPr>
    <w:rPr>
      <w:b/>
      <w:noProof/>
      <w:sz w:val="24"/>
    </w:rPr>
  </w:style>
  <w:style w:type="character" w:customStyle="1" w:styleId="tabulkaChar">
    <w:name w:val="tabulka Char"/>
    <w:link w:val="tabulka"/>
    <w:locked/>
    <w:rsid w:val="00A232BD"/>
    <w:rPr>
      <w:rFonts w:ascii="Arial Narrow" w:hAnsi="Arial Narrow"/>
      <w:b/>
    </w:rPr>
  </w:style>
  <w:style w:type="paragraph" w:customStyle="1" w:styleId="tabulka">
    <w:name w:val="tabulka"/>
    <w:basedOn w:val="Normlny"/>
    <w:link w:val="tabulkaChar"/>
    <w:autoRedefine/>
    <w:qFormat/>
    <w:rsid w:val="00A232BD"/>
    <w:pPr>
      <w:pBdr>
        <w:bottom w:val="single" w:sz="4" w:space="1" w:color="auto"/>
      </w:pBdr>
      <w:spacing w:after="0"/>
    </w:pPr>
    <w:rPr>
      <w:b/>
      <w:sz w:val="20"/>
      <w:szCs w:val="20"/>
      <w:lang w:eastAsia="sk-SK"/>
    </w:rPr>
  </w:style>
  <w:style w:type="paragraph" w:styleId="Obsah4">
    <w:name w:val="toc 4"/>
    <w:basedOn w:val="Normlny"/>
    <w:next w:val="Normlny"/>
    <w:autoRedefine/>
    <w:uiPriority w:val="39"/>
    <w:unhideWhenUsed/>
    <w:rsid w:val="00AF1924"/>
    <w:pPr>
      <w:spacing w:after="100" w:line="259" w:lineRule="auto"/>
      <w:ind w:left="660"/>
      <w:jc w:val="left"/>
    </w:pPr>
    <w:rPr>
      <w:rFonts w:ascii="Calibri" w:eastAsia="Times New Roman" w:hAnsi="Calibri"/>
      <w:lang w:eastAsia="sk-SK"/>
    </w:rPr>
  </w:style>
  <w:style w:type="paragraph" w:styleId="Obsah5">
    <w:name w:val="toc 5"/>
    <w:basedOn w:val="Normlny"/>
    <w:next w:val="Normlny"/>
    <w:autoRedefine/>
    <w:uiPriority w:val="39"/>
    <w:unhideWhenUsed/>
    <w:rsid w:val="00AF1924"/>
    <w:pPr>
      <w:spacing w:after="100" w:line="259" w:lineRule="auto"/>
      <w:ind w:left="880"/>
      <w:jc w:val="left"/>
    </w:pPr>
    <w:rPr>
      <w:rFonts w:ascii="Calibri" w:eastAsia="Times New Roman" w:hAnsi="Calibri"/>
      <w:lang w:eastAsia="sk-SK"/>
    </w:rPr>
  </w:style>
  <w:style w:type="paragraph" w:styleId="Obsah6">
    <w:name w:val="toc 6"/>
    <w:basedOn w:val="Normlny"/>
    <w:next w:val="Normlny"/>
    <w:autoRedefine/>
    <w:uiPriority w:val="39"/>
    <w:unhideWhenUsed/>
    <w:rsid w:val="00AF1924"/>
    <w:pPr>
      <w:spacing w:after="100" w:line="259" w:lineRule="auto"/>
      <w:ind w:left="1100"/>
      <w:jc w:val="left"/>
    </w:pPr>
    <w:rPr>
      <w:rFonts w:ascii="Calibri" w:eastAsia="Times New Roman" w:hAnsi="Calibri"/>
      <w:lang w:eastAsia="sk-SK"/>
    </w:rPr>
  </w:style>
  <w:style w:type="paragraph" w:styleId="Obsah7">
    <w:name w:val="toc 7"/>
    <w:basedOn w:val="Normlny"/>
    <w:next w:val="Normlny"/>
    <w:autoRedefine/>
    <w:uiPriority w:val="39"/>
    <w:unhideWhenUsed/>
    <w:rsid w:val="00AF1924"/>
    <w:pPr>
      <w:spacing w:after="100" w:line="259" w:lineRule="auto"/>
      <w:ind w:left="1320"/>
      <w:jc w:val="left"/>
    </w:pPr>
    <w:rPr>
      <w:rFonts w:ascii="Calibri" w:eastAsia="Times New Roman" w:hAnsi="Calibri"/>
      <w:lang w:eastAsia="sk-SK"/>
    </w:rPr>
  </w:style>
  <w:style w:type="paragraph" w:styleId="Obsah8">
    <w:name w:val="toc 8"/>
    <w:basedOn w:val="Normlny"/>
    <w:next w:val="Normlny"/>
    <w:autoRedefine/>
    <w:uiPriority w:val="39"/>
    <w:unhideWhenUsed/>
    <w:rsid w:val="00AF1924"/>
    <w:pPr>
      <w:spacing w:after="100" w:line="259" w:lineRule="auto"/>
      <w:ind w:left="1540"/>
      <w:jc w:val="left"/>
    </w:pPr>
    <w:rPr>
      <w:rFonts w:ascii="Calibri" w:eastAsia="Times New Roman" w:hAnsi="Calibri"/>
      <w:lang w:eastAsia="sk-SK"/>
    </w:rPr>
  </w:style>
  <w:style w:type="paragraph" w:styleId="Obsah9">
    <w:name w:val="toc 9"/>
    <w:basedOn w:val="Normlny"/>
    <w:next w:val="Normlny"/>
    <w:autoRedefine/>
    <w:uiPriority w:val="39"/>
    <w:unhideWhenUsed/>
    <w:rsid w:val="00AF1924"/>
    <w:pPr>
      <w:spacing w:after="100" w:line="259" w:lineRule="auto"/>
      <w:ind w:left="1760"/>
      <w:jc w:val="left"/>
    </w:pPr>
    <w:rPr>
      <w:rFonts w:ascii="Calibri" w:eastAsia="Times New Roman" w:hAnsi="Calibri"/>
      <w:lang w:eastAsia="sk-SK"/>
    </w:rPr>
  </w:style>
  <w:style w:type="paragraph" w:customStyle="1" w:styleId="box">
    <w:name w:val="box"/>
    <w:basedOn w:val="Normlny"/>
    <w:link w:val="boxChar"/>
    <w:qFormat/>
    <w:rsid w:val="00AF1924"/>
    <w:pPr>
      <w:spacing w:after="0"/>
    </w:pPr>
    <w:rPr>
      <w:b/>
      <w:sz w:val="20"/>
    </w:rPr>
  </w:style>
  <w:style w:type="character" w:customStyle="1" w:styleId="boxChar">
    <w:name w:val="box Char"/>
    <w:link w:val="box"/>
    <w:rsid w:val="00AF1924"/>
    <w:rPr>
      <w:rFonts w:ascii="Arial Narrow" w:hAnsi="Arial Narrow"/>
      <w:b/>
      <w:sz w:val="20"/>
    </w:rPr>
  </w:style>
  <w:style w:type="character" w:styleId="CitciaHTML">
    <w:name w:val="HTML Cite"/>
    <w:uiPriority w:val="99"/>
    <w:semiHidden/>
    <w:unhideWhenUsed/>
    <w:rsid w:val="001E737D"/>
    <w:rPr>
      <w:i/>
      <w:iCs/>
    </w:rPr>
  </w:style>
  <w:style w:type="paragraph" w:customStyle="1" w:styleId="Char2">
    <w:name w:val="Char2"/>
    <w:basedOn w:val="Normlny"/>
    <w:link w:val="Odkaznapoznmkupodiarou"/>
    <w:uiPriority w:val="99"/>
    <w:rsid w:val="001E737D"/>
    <w:pPr>
      <w:spacing w:after="0" w:line="240" w:lineRule="exact"/>
      <w:jc w:val="left"/>
    </w:pPr>
    <w:rPr>
      <w:rFonts w:ascii="Calibri" w:hAnsi="Calibri"/>
      <w:vertAlign w:val="superscript"/>
    </w:rPr>
  </w:style>
  <w:style w:type="character" w:customStyle="1" w:styleId="Nevyrieenzmienka11">
    <w:name w:val="Nevyriešená zmienka11"/>
    <w:uiPriority w:val="99"/>
    <w:semiHidden/>
    <w:unhideWhenUsed/>
    <w:rsid w:val="0057305D"/>
    <w:rPr>
      <w:color w:val="605E5C"/>
      <w:shd w:val="clear" w:color="auto" w:fill="E1DFDD"/>
    </w:rPr>
  </w:style>
  <w:style w:type="paragraph" w:styleId="Obyajntext">
    <w:name w:val="Plain Text"/>
    <w:basedOn w:val="Normlny"/>
    <w:link w:val="ObyajntextChar"/>
    <w:uiPriority w:val="99"/>
    <w:unhideWhenUsed/>
    <w:rsid w:val="0057305D"/>
    <w:pPr>
      <w:spacing w:after="0"/>
      <w:jc w:val="left"/>
    </w:pPr>
    <w:rPr>
      <w:rFonts w:ascii="Calibri" w:hAnsi="Calibri"/>
      <w:szCs w:val="21"/>
    </w:rPr>
  </w:style>
  <w:style w:type="character" w:customStyle="1" w:styleId="ObyajntextChar">
    <w:name w:val="Obyčajný text Char"/>
    <w:link w:val="Obyajntext"/>
    <w:uiPriority w:val="99"/>
    <w:rsid w:val="0057305D"/>
    <w:rPr>
      <w:rFonts w:ascii="Calibri" w:hAnsi="Calibri"/>
      <w:szCs w:val="21"/>
    </w:rPr>
  </w:style>
  <w:style w:type="character" w:customStyle="1" w:styleId="Highlight2">
    <w:name w:val="Highlight2"/>
    <w:uiPriority w:val="1"/>
    <w:qFormat/>
    <w:rsid w:val="0057305D"/>
    <w:rPr>
      <w:bdr w:val="none" w:sz="0" w:space="0" w:color="auto"/>
      <w:shd w:val="clear" w:color="auto" w:fill="FFFF00"/>
      <w:lang w:val="en-US"/>
    </w:rPr>
  </w:style>
  <w:style w:type="character" w:customStyle="1" w:styleId="awspan1">
    <w:name w:val="awspan1"/>
    <w:rsid w:val="0057305D"/>
    <w:rPr>
      <w:color w:val="000000"/>
      <w:sz w:val="24"/>
      <w:szCs w:val="24"/>
    </w:rPr>
  </w:style>
  <w:style w:type="table" w:customStyle="1" w:styleId="Mriekatabuky3">
    <w:name w:val="Mriežka tabuľky3"/>
    <w:basedOn w:val="Normlnatabuka"/>
    <w:next w:val="Mriekatabuky"/>
    <w:uiPriority w:val="59"/>
    <w:rsid w:val="005730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5Char">
    <w:name w:val="Nadpis 5 Char"/>
    <w:link w:val="Nadpis5"/>
    <w:uiPriority w:val="9"/>
    <w:semiHidden/>
    <w:rsid w:val="0055711F"/>
    <w:rPr>
      <w:rFonts w:ascii="Calibri" w:eastAsia="Times New Roman" w:hAnsi="Calibri" w:cs="Times New Roman"/>
      <w:b/>
      <w:bCs/>
      <w:i/>
      <w:iCs/>
      <w:sz w:val="26"/>
      <w:szCs w:val="26"/>
      <w:lang w:eastAsia="cs-CZ"/>
    </w:rPr>
  </w:style>
  <w:style w:type="character" w:styleId="Zvraznenie">
    <w:name w:val="Emphasis"/>
    <w:uiPriority w:val="20"/>
    <w:qFormat/>
    <w:rsid w:val="0055711F"/>
    <w:rPr>
      <w:i/>
      <w:iCs/>
    </w:rPr>
  </w:style>
  <w:style w:type="table" w:styleId="Obyajntabuka1">
    <w:name w:val="Plain Table 1"/>
    <w:basedOn w:val="Normlnatabuka"/>
    <w:uiPriority w:val="41"/>
    <w:rsid w:val="00286C1F"/>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Mriekatabukysvetl">
    <w:name w:val="Grid Table Light"/>
    <w:basedOn w:val="Normlnatabuka"/>
    <w:uiPriority w:val="40"/>
    <w:rsid w:val="00286C1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Obyajntabuka2">
    <w:name w:val="Plain Table 2"/>
    <w:basedOn w:val="Normlnatabuka"/>
    <w:uiPriority w:val="42"/>
    <w:rsid w:val="00286C1F"/>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Obyajntabuka3">
    <w:name w:val="Plain Table 3"/>
    <w:basedOn w:val="Normlnatabuka"/>
    <w:uiPriority w:val="43"/>
    <w:rsid w:val="00286C1F"/>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Obyajntabuka4">
    <w:name w:val="Plain Table 4"/>
    <w:basedOn w:val="Normlnatabuka"/>
    <w:uiPriority w:val="44"/>
    <w:rsid w:val="00286C1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Obyajntabuka5">
    <w:name w:val="Plain Table 5"/>
    <w:basedOn w:val="Normlnatabuka"/>
    <w:uiPriority w:val="45"/>
    <w:rsid w:val="00286C1F"/>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Bezzoznamu2">
    <w:name w:val="Bez zoznamu2"/>
    <w:next w:val="Bezzoznamu"/>
    <w:uiPriority w:val="99"/>
    <w:semiHidden/>
    <w:unhideWhenUsed/>
    <w:rsid w:val="004012DF"/>
  </w:style>
  <w:style w:type="table" w:customStyle="1" w:styleId="Mriekatabuky4">
    <w:name w:val="Mriežka tabuľky4"/>
    <w:basedOn w:val="Normlnatabuka"/>
    <w:next w:val="Mriekatabuky"/>
    <w:uiPriority w:val="59"/>
    <w:rsid w:val="00401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byajntabuka12">
    <w:name w:val="Obyčajná tabuľka 12"/>
    <w:basedOn w:val="Normlnatabuka"/>
    <w:next w:val="Obyajntabuka1"/>
    <w:uiPriority w:val="41"/>
    <w:rsid w:val="004012DF"/>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riekatabukysvetl2">
    <w:name w:val="Mriežka tabuľky – svetlá2"/>
    <w:basedOn w:val="Normlnatabuka"/>
    <w:next w:val="Mriekatabukysvetl"/>
    <w:uiPriority w:val="40"/>
    <w:rsid w:val="004012D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Obyajntabuka22">
    <w:name w:val="Obyčajná tabuľka 22"/>
    <w:basedOn w:val="Normlnatabuka"/>
    <w:next w:val="Obyajntabuka2"/>
    <w:uiPriority w:val="42"/>
    <w:rsid w:val="004012DF"/>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Obyajntabuka32">
    <w:name w:val="Obyčajná tabuľka 32"/>
    <w:basedOn w:val="Normlnatabuka"/>
    <w:next w:val="Obyajntabuka3"/>
    <w:uiPriority w:val="43"/>
    <w:rsid w:val="004012DF"/>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Obyajntabuka42">
    <w:name w:val="Obyčajná tabuľka 42"/>
    <w:basedOn w:val="Normlnatabuka"/>
    <w:next w:val="Obyajntabuka4"/>
    <w:uiPriority w:val="44"/>
    <w:rsid w:val="004012D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byajntabuka52">
    <w:name w:val="Obyčajná tabuľka 52"/>
    <w:basedOn w:val="Normlnatabuka"/>
    <w:next w:val="Obyajntabuka5"/>
    <w:uiPriority w:val="45"/>
    <w:rsid w:val="004012DF"/>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riekatabuky11">
    <w:name w:val="Mriežka tabuľky11"/>
    <w:basedOn w:val="Normlnatabuka"/>
    <w:next w:val="Mriekatabuky"/>
    <w:uiPriority w:val="39"/>
    <w:rsid w:val="00401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
    <w:name w:val="Bez zoznamu11"/>
    <w:next w:val="Bezzoznamu"/>
    <w:uiPriority w:val="99"/>
    <w:semiHidden/>
    <w:unhideWhenUsed/>
    <w:rsid w:val="004012DF"/>
  </w:style>
  <w:style w:type="table" w:customStyle="1" w:styleId="Mriekatabuky21">
    <w:name w:val="Mriežka tabuľky21"/>
    <w:basedOn w:val="Normlnatabuka"/>
    <w:next w:val="Mriekatabuky"/>
    <w:uiPriority w:val="39"/>
    <w:rsid w:val="00401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byajntabuka112">
    <w:name w:val="Obyčajná tabuľka 112"/>
    <w:basedOn w:val="Normlnatabuka"/>
    <w:uiPriority w:val="41"/>
    <w:rsid w:val="004012DF"/>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riekatabukysvetl12">
    <w:name w:val="Mriežka tabuľky – svetlá12"/>
    <w:basedOn w:val="Normlnatabuka"/>
    <w:uiPriority w:val="40"/>
    <w:rsid w:val="004012D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Obyajntabuka212">
    <w:name w:val="Obyčajná tabuľka 212"/>
    <w:basedOn w:val="Normlnatabuka"/>
    <w:uiPriority w:val="42"/>
    <w:rsid w:val="004012DF"/>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Obyajntabuka312">
    <w:name w:val="Obyčajná tabuľka 312"/>
    <w:basedOn w:val="Normlnatabuka"/>
    <w:uiPriority w:val="43"/>
    <w:rsid w:val="004012DF"/>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Obyajntabuka412">
    <w:name w:val="Obyčajná tabuľka 412"/>
    <w:basedOn w:val="Normlnatabuka"/>
    <w:uiPriority w:val="44"/>
    <w:rsid w:val="004012D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byajntabuka512">
    <w:name w:val="Obyčajná tabuľka 512"/>
    <w:basedOn w:val="Normlnatabuka"/>
    <w:uiPriority w:val="45"/>
    <w:rsid w:val="004012DF"/>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
    <w:name w:val="TableGrid1"/>
    <w:rsid w:val="004012DF"/>
    <w:rPr>
      <w:rFonts w:eastAsia="Times New Roman"/>
      <w:sz w:val="22"/>
      <w:szCs w:val="22"/>
    </w:rPr>
    <w:tblPr>
      <w:tblCellMar>
        <w:top w:w="0" w:type="dxa"/>
        <w:left w:w="0" w:type="dxa"/>
        <w:bottom w:w="0" w:type="dxa"/>
        <w:right w:w="0" w:type="dxa"/>
      </w:tblCellMar>
    </w:tblPr>
  </w:style>
  <w:style w:type="table" w:customStyle="1" w:styleId="Tabukasozoznamom1svetl11">
    <w:name w:val="Tabuľka so zoznamom 1 – svetlá11"/>
    <w:basedOn w:val="Normlnatabuka"/>
    <w:uiPriority w:val="46"/>
    <w:rsid w:val="004012DF"/>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Svetlzoznamzvraznenie111">
    <w:name w:val="Svetlý zoznam – zvýraznenie 111"/>
    <w:basedOn w:val="Normlnatabuka"/>
    <w:next w:val="Svetlzoznamzvraznenie1"/>
    <w:uiPriority w:val="61"/>
    <w:rsid w:val="004012D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vetlzoznamzvraznenie12">
    <w:name w:val="Svetlý zoznam – zvýraznenie 12"/>
    <w:basedOn w:val="Normlnatabuka"/>
    <w:next w:val="Svetlzoznamzvraznenie1"/>
    <w:uiPriority w:val="61"/>
    <w:unhideWhenUsed/>
    <w:rsid w:val="004012DF"/>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ukasmriekou411">
    <w:name w:val="Tabuľka s mriežkou 411"/>
    <w:basedOn w:val="Normlnatabuka"/>
    <w:uiPriority w:val="49"/>
    <w:rsid w:val="004012DF"/>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riekatabuky31">
    <w:name w:val="Mriežka tabuľky31"/>
    <w:basedOn w:val="Normlnatabuka"/>
    <w:next w:val="Mriekatabuky"/>
    <w:uiPriority w:val="59"/>
    <w:rsid w:val="00401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
    <w:name w:val="Bez zoznamu3"/>
    <w:next w:val="Bezzoznamu"/>
    <w:uiPriority w:val="99"/>
    <w:semiHidden/>
    <w:unhideWhenUsed/>
    <w:rsid w:val="004D30E9"/>
  </w:style>
  <w:style w:type="table" w:customStyle="1" w:styleId="Mriekatabuky5">
    <w:name w:val="Mriežka tabuľky5"/>
    <w:basedOn w:val="Normlnatabuka"/>
    <w:next w:val="Mriekatabuky"/>
    <w:uiPriority w:val="59"/>
    <w:rsid w:val="004D3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byajntabuka13">
    <w:name w:val="Obyčajná tabuľka 13"/>
    <w:basedOn w:val="Normlnatabuka"/>
    <w:next w:val="Obyajntabuka1"/>
    <w:uiPriority w:val="41"/>
    <w:rsid w:val="004D30E9"/>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riekatabukysvetl3">
    <w:name w:val="Mriežka tabuľky – svetlá3"/>
    <w:basedOn w:val="Normlnatabuka"/>
    <w:next w:val="Mriekatabukysvetl"/>
    <w:uiPriority w:val="40"/>
    <w:rsid w:val="004D30E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Obyajntabuka23">
    <w:name w:val="Obyčajná tabuľka 23"/>
    <w:basedOn w:val="Normlnatabuka"/>
    <w:next w:val="Obyajntabuka2"/>
    <w:uiPriority w:val="42"/>
    <w:rsid w:val="004D30E9"/>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Obyajntabuka33">
    <w:name w:val="Obyčajná tabuľka 33"/>
    <w:basedOn w:val="Normlnatabuka"/>
    <w:next w:val="Obyajntabuka3"/>
    <w:uiPriority w:val="43"/>
    <w:rsid w:val="004D30E9"/>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Obyajntabuka43">
    <w:name w:val="Obyčajná tabuľka 43"/>
    <w:basedOn w:val="Normlnatabuka"/>
    <w:next w:val="Obyajntabuka4"/>
    <w:uiPriority w:val="44"/>
    <w:rsid w:val="004D30E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byajntabuka53">
    <w:name w:val="Obyčajná tabuľka 53"/>
    <w:basedOn w:val="Normlnatabuka"/>
    <w:next w:val="Obyajntabuka5"/>
    <w:uiPriority w:val="45"/>
    <w:rsid w:val="004D30E9"/>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riekatabuky12">
    <w:name w:val="Mriežka tabuľky12"/>
    <w:basedOn w:val="Normlnatabuka"/>
    <w:next w:val="Mriekatabuky"/>
    <w:uiPriority w:val="39"/>
    <w:rsid w:val="004D3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2">
    <w:name w:val="Bez zoznamu12"/>
    <w:next w:val="Bezzoznamu"/>
    <w:uiPriority w:val="99"/>
    <w:semiHidden/>
    <w:unhideWhenUsed/>
    <w:rsid w:val="004D30E9"/>
  </w:style>
  <w:style w:type="table" w:customStyle="1" w:styleId="Mriekatabuky22">
    <w:name w:val="Mriežka tabuľky22"/>
    <w:basedOn w:val="Normlnatabuka"/>
    <w:next w:val="Mriekatabuky"/>
    <w:uiPriority w:val="39"/>
    <w:rsid w:val="004D3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byajntabuka113">
    <w:name w:val="Obyčajná tabuľka 113"/>
    <w:basedOn w:val="Normlnatabuka"/>
    <w:uiPriority w:val="41"/>
    <w:rsid w:val="004D30E9"/>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riekatabukysvetl13">
    <w:name w:val="Mriežka tabuľky – svetlá13"/>
    <w:basedOn w:val="Normlnatabuka"/>
    <w:uiPriority w:val="40"/>
    <w:rsid w:val="004D30E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Obyajntabuka213">
    <w:name w:val="Obyčajná tabuľka 213"/>
    <w:basedOn w:val="Normlnatabuka"/>
    <w:uiPriority w:val="42"/>
    <w:rsid w:val="004D30E9"/>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Obyajntabuka313">
    <w:name w:val="Obyčajná tabuľka 313"/>
    <w:basedOn w:val="Normlnatabuka"/>
    <w:uiPriority w:val="43"/>
    <w:rsid w:val="004D30E9"/>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Obyajntabuka413">
    <w:name w:val="Obyčajná tabuľka 413"/>
    <w:basedOn w:val="Normlnatabuka"/>
    <w:uiPriority w:val="44"/>
    <w:rsid w:val="004D30E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byajntabuka513">
    <w:name w:val="Obyčajná tabuľka 513"/>
    <w:basedOn w:val="Normlnatabuka"/>
    <w:uiPriority w:val="45"/>
    <w:rsid w:val="004D30E9"/>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2">
    <w:name w:val="TableGrid2"/>
    <w:rsid w:val="004D30E9"/>
    <w:rPr>
      <w:rFonts w:eastAsia="Times New Roman"/>
      <w:sz w:val="22"/>
      <w:szCs w:val="22"/>
    </w:rPr>
    <w:tblPr>
      <w:tblCellMar>
        <w:top w:w="0" w:type="dxa"/>
        <w:left w:w="0" w:type="dxa"/>
        <w:bottom w:w="0" w:type="dxa"/>
        <w:right w:w="0" w:type="dxa"/>
      </w:tblCellMar>
    </w:tblPr>
  </w:style>
  <w:style w:type="table" w:customStyle="1" w:styleId="Tabukasozoznamom1svetl12">
    <w:name w:val="Tabuľka so zoznamom 1 – svetlá12"/>
    <w:basedOn w:val="Normlnatabuka"/>
    <w:uiPriority w:val="46"/>
    <w:rsid w:val="004D30E9"/>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Svetlzoznamzvraznenie112">
    <w:name w:val="Svetlý zoznam – zvýraznenie 112"/>
    <w:basedOn w:val="Normlnatabuka"/>
    <w:next w:val="Svetlzoznamzvraznenie1"/>
    <w:uiPriority w:val="61"/>
    <w:rsid w:val="004D30E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vetlzoznamzvraznenie13">
    <w:name w:val="Svetlý zoznam – zvýraznenie 13"/>
    <w:basedOn w:val="Normlnatabuka"/>
    <w:next w:val="Svetlzoznamzvraznenie1"/>
    <w:uiPriority w:val="61"/>
    <w:unhideWhenUsed/>
    <w:rsid w:val="004D30E9"/>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ukasmriekou412">
    <w:name w:val="Tabuľka s mriežkou 412"/>
    <w:basedOn w:val="Normlnatabuka"/>
    <w:uiPriority w:val="49"/>
    <w:rsid w:val="004D30E9"/>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Mriekatabuky32">
    <w:name w:val="Mriežka tabuľky32"/>
    <w:basedOn w:val="Normlnatabuka"/>
    <w:next w:val="Mriekatabuky"/>
    <w:uiPriority w:val="59"/>
    <w:rsid w:val="004D3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1">
    <w:name w:val="f1"/>
    <w:basedOn w:val="Normlny"/>
    <w:uiPriority w:val="99"/>
    <w:rsid w:val="004D30E9"/>
    <w:pPr>
      <w:spacing w:after="0"/>
    </w:pPr>
    <w:rPr>
      <w:sz w:val="20"/>
      <w:szCs w:val="20"/>
    </w:rPr>
  </w:style>
  <w:style w:type="paragraph" w:customStyle="1" w:styleId="msonormal0">
    <w:name w:val="msonormal"/>
    <w:basedOn w:val="Normlny"/>
    <w:rsid w:val="008B70B3"/>
    <w:pPr>
      <w:spacing w:before="100" w:beforeAutospacing="1" w:after="100" w:afterAutospacing="1"/>
      <w:jc w:val="left"/>
    </w:pPr>
    <w:rPr>
      <w:rFonts w:ascii="Times New Roman" w:eastAsia="Times New Roman" w:hAnsi="Times New Roman"/>
      <w:sz w:val="24"/>
      <w:szCs w:val="24"/>
      <w:lang w:eastAsia="sk-SK"/>
    </w:rPr>
  </w:style>
  <w:style w:type="paragraph" w:customStyle="1" w:styleId="xl65">
    <w:name w:val="xl65"/>
    <w:basedOn w:val="Normlny"/>
    <w:rsid w:val="008B70B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sk-SK"/>
    </w:rPr>
  </w:style>
  <w:style w:type="paragraph" w:customStyle="1" w:styleId="xl66">
    <w:name w:val="xl66"/>
    <w:basedOn w:val="Normlny"/>
    <w:rsid w:val="008B70B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sk-SK"/>
    </w:rPr>
  </w:style>
  <w:style w:type="paragraph" w:customStyle="1" w:styleId="xl67">
    <w:name w:val="xl67"/>
    <w:basedOn w:val="Normlny"/>
    <w:rsid w:val="008B70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8"/>
      <w:szCs w:val="18"/>
      <w:lang w:eastAsia="sk-SK"/>
    </w:rPr>
  </w:style>
  <w:style w:type="paragraph" w:customStyle="1" w:styleId="xl68">
    <w:name w:val="xl68"/>
    <w:basedOn w:val="Normlny"/>
    <w:rsid w:val="008B70B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left"/>
    </w:pPr>
    <w:rPr>
      <w:rFonts w:ascii="Times New Roman" w:eastAsia="Times New Roman" w:hAnsi="Times New Roman"/>
      <w:b/>
      <w:bCs/>
      <w:sz w:val="18"/>
      <w:szCs w:val="18"/>
      <w:lang w:eastAsia="sk-SK"/>
    </w:rPr>
  </w:style>
  <w:style w:type="paragraph" w:customStyle="1" w:styleId="xl69">
    <w:name w:val="xl69"/>
    <w:basedOn w:val="Normlny"/>
    <w:rsid w:val="008B70B3"/>
    <w:pPr>
      <w:pBdr>
        <w:left w:val="single" w:sz="4" w:space="0" w:color="auto"/>
        <w:bottom w:val="single" w:sz="4" w:space="0" w:color="auto"/>
        <w:right w:val="single" w:sz="4" w:space="0" w:color="auto"/>
      </w:pBdr>
      <w:shd w:val="clear" w:color="000000" w:fill="EEECE1"/>
      <w:spacing w:before="100" w:beforeAutospacing="1" w:after="100" w:afterAutospacing="1"/>
      <w:jc w:val="left"/>
    </w:pPr>
    <w:rPr>
      <w:rFonts w:ascii="Times New Roman" w:eastAsia="Times New Roman" w:hAnsi="Times New Roman"/>
      <w:b/>
      <w:bCs/>
      <w:sz w:val="18"/>
      <w:szCs w:val="18"/>
      <w:lang w:eastAsia="sk-SK"/>
    </w:rPr>
  </w:style>
  <w:style w:type="paragraph" w:customStyle="1" w:styleId="xl70">
    <w:name w:val="xl70"/>
    <w:basedOn w:val="Normlny"/>
    <w:rsid w:val="008B70B3"/>
    <w:pPr>
      <w:pBdr>
        <w:top w:val="single" w:sz="8" w:space="0" w:color="auto"/>
        <w:bottom w:val="single" w:sz="8" w:space="0" w:color="auto"/>
        <w:right w:val="single" w:sz="8" w:space="0" w:color="auto"/>
      </w:pBdr>
      <w:shd w:val="clear" w:color="000000" w:fill="EEECE1"/>
      <w:spacing w:before="100" w:beforeAutospacing="1" w:after="100" w:afterAutospacing="1"/>
      <w:jc w:val="left"/>
    </w:pPr>
    <w:rPr>
      <w:rFonts w:ascii="Times New Roman" w:eastAsia="Times New Roman" w:hAnsi="Times New Roman"/>
      <w:sz w:val="24"/>
      <w:szCs w:val="24"/>
      <w:lang w:eastAsia="sk-SK"/>
    </w:rPr>
  </w:style>
  <w:style w:type="paragraph" w:customStyle="1" w:styleId="xl71">
    <w:name w:val="xl71"/>
    <w:basedOn w:val="Normlny"/>
    <w:rsid w:val="008B70B3"/>
    <w:pPr>
      <w:pBdr>
        <w:top w:val="single" w:sz="8" w:space="0" w:color="auto"/>
        <w:left w:val="single" w:sz="8" w:space="0" w:color="auto"/>
        <w:bottom w:val="single" w:sz="8" w:space="0" w:color="auto"/>
      </w:pBdr>
      <w:shd w:val="clear" w:color="000000" w:fill="EEECE1"/>
      <w:spacing w:before="100" w:beforeAutospacing="1" w:after="100" w:afterAutospacing="1"/>
      <w:jc w:val="left"/>
    </w:pPr>
    <w:rPr>
      <w:rFonts w:ascii="Times New Roman" w:eastAsia="Times New Roman" w:hAnsi="Times New Roman"/>
      <w:sz w:val="18"/>
      <w:szCs w:val="18"/>
      <w:lang w:eastAsia="sk-SK"/>
    </w:rPr>
  </w:style>
  <w:style w:type="paragraph" w:customStyle="1" w:styleId="xl72">
    <w:name w:val="xl72"/>
    <w:basedOn w:val="Normlny"/>
    <w:rsid w:val="008B70B3"/>
    <w:pPr>
      <w:spacing w:before="100" w:beforeAutospacing="1" w:after="100" w:afterAutospacing="1"/>
      <w:jc w:val="left"/>
    </w:pPr>
    <w:rPr>
      <w:rFonts w:ascii="Times New Roman" w:eastAsia="Times New Roman" w:hAnsi="Times New Roman"/>
      <w:color w:val="FF0000"/>
      <w:sz w:val="24"/>
      <w:szCs w:val="24"/>
      <w:lang w:eastAsia="sk-SK"/>
    </w:rPr>
  </w:style>
  <w:style w:type="paragraph" w:customStyle="1" w:styleId="xl73">
    <w:name w:val="xl73"/>
    <w:basedOn w:val="Normlny"/>
    <w:rsid w:val="008B70B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sk-SK"/>
    </w:rPr>
  </w:style>
  <w:style w:type="paragraph" w:customStyle="1" w:styleId="xl74">
    <w:name w:val="xl74"/>
    <w:basedOn w:val="Normlny"/>
    <w:rsid w:val="008B70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8"/>
      <w:szCs w:val="18"/>
      <w:lang w:eastAsia="sk-SK"/>
    </w:rPr>
  </w:style>
  <w:style w:type="paragraph" w:customStyle="1" w:styleId="xl75">
    <w:name w:val="xl75"/>
    <w:basedOn w:val="Normlny"/>
    <w:rsid w:val="008B70B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sk-SK"/>
    </w:rPr>
  </w:style>
  <w:style w:type="paragraph" w:customStyle="1" w:styleId="xl76">
    <w:name w:val="xl76"/>
    <w:basedOn w:val="Normlny"/>
    <w:rsid w:val="008B70B3"/>
    <w:pPr>
      <w:spacing w:before="100" w:beforeAutospacing="1" w:after="100" w:afterAutospacing="1"/>
      <w:jc w:val="left"/>
    </w:pPr>
    <w:rPr>
      <w:rFonts w:ascii="Times New Roman" w:eastAsia="Times New Roman" w:hAnsi="Times New Roman"/>
      <w:sz w:val="24"/>
      <w:szCs w:val="24"/>
      <w:lang w:eastAsia="sk-SK"/>
    </w:rPr>
  </w:style>
  <w:style w:type="paragraph" w:customStyle="1" w:styleId="xl77">
    <w:name w:val="xl77"/>
    <w:basedOn w:val="Normlny"/>
    <w:rsid w:val="008B70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olor w:val="FF0000"/>
      <w:sz w:val="18"/>
      <w:szCs w:val="18"/>
      <w:lang w:eastAsia="sk-SK"/>
    </w:rPr>
  </w:style>
  <w:style w:type="paragraph" w:customStyle="1" w:styleId="xl78">
    <w:name w:val="xl78"/>
    <w:basedOn w:val="Normlny"/>
    <w:rsid w:val="008B70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olor w:val="FF0000"/>
      <w:sz w:val="18"/>
      <w:szCs w:val="18"/>
      <w:lang w:eastAsia="sk-SK"/>
    </w:rPr>
  </w:style>
  <w:style w:type="paragraph" w:customStyle="1" w:styleId="xl79">
    <w:name w:val="xl79"/>
    <w:basedOn w:val="Normlny"/>
    <w:rsid w:val="008B70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olor w:val="FF0000"/>
      <w:sz w:val="18"/>
      <w:szCs w:val="18"/>
      <w:lang w:eastAsia="sk-SK"/>
    </w:rPr>
  </w:style>
  <w:style w:type="paragraph" w:customStyle="1" w:styleId="xl80">
    <w:name w:val="xl80"/>
    <w:basedOn w:val="Normlny"/>
    <w:rsid w:val="008B70B3"/>
    <w:pPr>
      <w:pBdr>
        <w:top w:val="single" w:sz="8" w:space="0" w:color="auto"/>
        <w:left w:val="single" w:sz="8" w:space="0" w:color="auto"/>
        <w:bottom w:val="single" w:sz="8" w:space="0" w:color="auto"/>
      </w:pBdr>
      <w:shd w:val="clear" w:color="000000" w:fill="EEECE1"/>
      <w:spacing w:before="100" w:beforeAutospacing="1" w:after="100" w:afterAutospacing="1"/>
      <w:jc w:val="center"/>
    </w:pPr>
    <w:rPr>
      <w:rFonts w:ascii="Arial" w:eastAsia="Times New Roman" w:hAnsi="Arial" w:cs="Arial"/>
      <w:b/>
      <w:bCs/>
      <w:sz w:val="16"/>
      <w:szCs w:val="16"/>
      <w:lang w:eastAsia="sk-SK"/>
    </w:rPr>
  </w:style>
  <w:style w:type="paragraph" w:customStyle="1" w:styleId="xl81">
    <w:name w:val="xl81"/>
    <w:basedOn w:val="Normlny"/>
    <w:rsid w:val="008B70B3"/>
    <w:pPr>
      <w:pBdr>
        <w:top w:val="single" w:sz="8" w:space="0" w:color="auto"/>
        <w:bottom w:val="single" w:sz="8" w:space="0" w:color="auto"/>
      </w:pBdr>
      <w:shd w:val="clear" w:color="000000" w:fill="EEECE1"/>
      <w:spacing w:before="100" w:beforeAutospacing="1" w:after="100" w:afterAutospacing="1"/>
      <w:jc w:val="center"/>
    </w:pPr>
    <w:rPr>
      <w:rFonts w:ascii="Arial" w:eastAsia="Times New Roman" w:hAnsi="Arial" w:cs="Arial"/>
      <w:b/>
      <w:bCs/>
      <w:sz w:val="16"/>
      <w:szCs w:val="16"/>
      <w:lang w:eastAsia="sk-SK"/>
    </w:rPr>
  </w:style>
  <w:style w:type="paragraph" w:customStyle="1" w:styleId="xl82">
    <w:name w:val="xl82"/>
    <w:basedOn w:val="Normlny"/>
    <w:rsid w:val="008B70B3"/>
    <w:pPr>
      <w:pBdr>
        <w:top w:val="single" w:sz="8" w:space="0" w:color="auto"/>
        <w:bottom w:val="single" w:sz="8" w:space="0" w:color="auto"/>
        <w:right w:val="single" w:sz="8" w:space="0" w:color="auto"/>
      </w:pBdr>
      <w:shd w:val="clear" w:color="000000" w:fill="EEECE1"/>
      <w:spacing w:before="100" w:beforeAutospacing="1" w:after="100" w:afterAutospacing="1"/>
      <w:jc w:val="center"/>
    </w:pPr>
    <w:rPr>
      <w:rFonts w:ascii="Arial" w:eastAsia="Times New Roman" w:hAnsi="Arial" w:cs="Arial"/>
      <w:b/>
      <w:bCs/>
      <w:sz w:val="16"/>
      <w:szCs w:val="16"/>
      <w:lang w:eastAsia="sk-SK"/>
    </w:rPr>
  </w:style>
  <w:style w:type="character" w:customStyle="1" w:styleId="st">
    <w:name w:val="st"/>
    <w:basedOn w:val="Predvolenpsmoodseku"/>
    <w:rsid w:val="002F53D5"/>
  </w:style>
  <w:style w:type="character" w:customStyle="1" w:styleId="UnresolvedMention2">
    <w:name w:val="Unresolved Mention2"/>
    <w:uiPriority w:val="99"/>
    <w:semiHidden/>
    <w:unhideWhenUsed/>
    <w:rsid w:val="008C3317"/>
    <w:rPr>
      <w:color w:val="605E5C"/>
      <w:shd w:val="clear" w:color="auto" w:fill="E1DFDD"/>
    </w:rPr>
  </w:style>
  <w:style w:type="character" w:customStyle="1" w:styleId="UnresolvedMention">
    <w:name w:val="Unresolved Mention"/>
    <w:uiPriority w:val="99"/>
    <w:semiHidden/>
    <w:unhideWhenUsed/>
    <w:rsid w:val="00155A18"/>
    <w:rPr>
      <w:color w:val="605E5C"/>
      <w:shd w:val="clear" w:color="auto" w:fill="E1DFDD"/>
    </w:rPr>
  </w:style>
  <w:style w:type="character" w:customStyle="1" w:styleId="08AnotaciaTextChar">
    <w:name w:val="08_AnotaciaText Char"/>
    <w:link w:val="08AnotaciaText"/>
    <w:locked/>
    <w:rsid w:val="00155A18"/>
    <w:rPr>
      <w:rFonts w:ascii="Arial" w:hAnsi="Arial" w:cs="Arial"/>
      <w:color w:val="000000"/>
      <w:sz w:val="18"/>
    </w:rPr>
  </w:style>
  <w:style w:type="paragraph" w:customStyle="1" w:styleId="08AnotaciaText">
    <w:name w:val="08_AnotaciaText"/>
    <w:link w:val="08AnotaciaTextChar"/>
    <w:qFormat/>
    <w:rsid w:val="00155A18"/>
    <w:pPr>
      <w:ind w:firstLine="284"/>
      <w:jc w:val="both"/>
    </w:pPr>
    <w:rPr>
      <w:rFonts w:ascii="Arial" w:hAnsi="Arial" w:cs="Arial"/>
      <w:color w:val="000000"/>
      <w:sz w:val="18"/>
      <w:szCs w:val="22"/>
      <w:lang w:eastAsia="en-US"/>
    </w:rPr>
  </w:style>
  <w:style w:type="numbering" w:customStyle="1" w:styleId="Bezzoznamu111">
    <w:name w:val="Bez zoznamu111"/>
    <w:next w:val="Bezzoznamu"/>
    <w:uiPriority w:val="99"/>
    <w:semiHidden/>
    <w:unhideWhenUsed/>
    <w:rsid w:val="006600DB"/>
  </w:style>
  <w:style w:type="character" w:customStyle="1" w:styleId="highlight1">
    <w:name w:val="highlight1"/>
    <w:rsid w:val="00AB6945"/>
    <w:rPr>
      <w:b/>
      <w:bCs/>
      <w:color w:val="FFFFFF"/>
      <w:sz w:val="18"/>
      <w:szCs w:val="18"/>
      <w:shd w:val="clear" w:color="auto" w:fill="CE131B"/>
    </w:rPr>
  </w:style>
  <w:style w:type="character" w:customStyle="1" w:styleId="post-link">
    <w:name w:val="post-link"/>
    <w:rsid w:val="00AB6945"/>
  </w:style>
  <w:style w:type="character" w:customStyle="1" w:styleId="Nadpis6Char">
    <w:name w:val="Nadpis 6 Char"/>
    <w:basedOn w:val="Predvolenpsmoodseku"/>
    <w:link w:val="Nadpis6"/>
    <w:rsid w:val="00386F6D"/>
    <w:rPr>
      <w:rFonts w:ascii="Arial Narrow" w:eastAsia="Arial Narrow" w:hAnsi="Arial Narrow" w:cs="Arial Narrow"/>
      <w:b/>
    </w:rPr>
  </w:style>
  <w:style w:type="table" w:customStyle="1" w:styleId="TableNormal">
    <w:name w:val="Table Normal"/>
    <w:qFormat/>
    <w:rsid w:val="00386F6D"/>
    <w:pPr>
      <w:spacing w:after="160"/>
      <w:jc w:val="both"/>
    </w:pPr>
    <w:rPr>
      <w:rFonts w:ascii="Arial Narrow" w:eastAsia="Arial Narrow" w:hAnsi="Arial Narrow" w:cs="Arial Narrow"/>
      <w:sz w:val="22"/>
      <w:szCs w:val="22"/>
    </w:rPr>
    <w:tblPr>
      <w:tblCellMar>
        <w:top w:w="0" w:type="dxa"/>
        <w:left w:w="0" w:type="dxa"/>
        <w:bottom w:w="0" w:type="dxa"/>
        <w:right w:w="0" w:type="dxa"/>
      </w:tblCellMar>
    </w:tblPr>
  </w:style>
  <w:style w:type="paragraph" w:styleId="Nzov">
    <w:name w:val="Title"/>
    <w:basedOn w:val="Normlny"/>
    <w:next w:val="Normlny"/>
    <w:link w:val="NzovChar"/>
    <w:rsid w:val="00386F6D"/>
    <w:pPr>
      <w:keepNext/>
      <w:keepLines/>
      <w:spacing w:before="480" w:after="120"/>
    </w:pPr>
    <w:rPr>
      <w:rFonts w:eastAsia="Arial Narrow" w:cs="Arial Narrow"/>
      <w:b/>
      <w:sz w:val="72"/>
      <w:szCs w:val="72"/>
      <w:lang w:eastAsia="sk-SK"/>
    </w:rPr>
  </w:style>
  <w:style w:type="character" w:customStyle="1" w:styleId="NzovChar">
    <w:name w:val="Názov Char"/>
    <w:basedOn w:val="Predvolenpsmoodseku"/>
    <w:link w:val="Nzov"/>
    <w:rsid w:val="00386F6D"/>
    <w:rPr>
      <w:rFonts w:ascii="Arial Narrow" w:eastAsia="Arial Narrow" w:hAnsi="Arial Narrow" w:cs="Arial Narrow"/>
      <w:b/>
      <w:sz w:val="72"/>
      <w:szCs w:val="72"/>
    </w:rPr>
  </w:style>
  <w:style w:type="paragraph" w:styleId="Podtitul">
    <w:name w:val="Subtitle"/>
    <w:basedOn w:val="Normlny"/>
    <w:next w:val="Normlny"/>
    <w:link w:val="PodtitulChar"/>
    <w:rsid w:val="00386F6D"/>
    <w:pPr>
      <w:keepNext/>
      <w:keepLines/>
      <w:pBdr>
        <w:top w:val="nil"/>
        <w:left w:val="nil"/>
        <w:bottom w:val="nil"/>
        <w:right w:val="nil"/>
        <w:between w:val="nil"/>
      </w:pBdr>
      <w:spacing w:before="360" w:after="80"/>
    </w:pPr>
    <w:rPr>
      <w:rFonts w:ascii="Georgia" w:eastAsia="Georgia" w:hAnsi="Georgia" w:cs="Georgia"/>
      <w:i/>
      <w:color w:val="666666"/>
      <w:sz w:val="48"/>
      <w:szCs w:val="48"/>
      <w:lang w:eastAsia="sk-SK"/>
    </w:rPr>
  </w:style>
  <w:style w:type="character" w:customStyle="1" w:styleId="PodtitulChar">
    <w:name w:val="Podtitul Char"/>
    <w:basedOn w:val="Predvolenpsmoodseku"/>
    <w:link w:val="Podtitul"/>
    <w:rsid w:val="00386F6D"/>
    <w:rPr>
      <w:rFonts w:ascii="Georgia" w:eastAsia="Georgia" w:hAnsi="Georgia" w:cs="Georgia"/>
      <w:i/>
      <w:color w:val="666666"/>
      <w:sz w:val="48"/>
      <w:szCs w:val="48"/>
    </w:rPr>
  </w:style>
  <w:style w:type="character" w:customStyle="1" w:styleId="PredmetkomentraChar1">
    <w:name w:val="Predmet komentára Char1"/>
    <w:basedOn w:val="TextkomentraChar1"/>
    <w:uiPriority w:val="99"/>
    <w:semiHidden/>
    <w:rsid w:val="00386F6D"/>
    <w:rPr>
      <w:b/>
      <w:bCs/>
      <w:sz w:val="20"/>
      <w:szCs w:val="20"/>
    </w:rPr>
  </w:style>
  <w:style w:type="character" w:customStyle="1" w:styleId="TextkomentraChar1">
    <w:name w:val="Text komentára Char1"/>
    <w:uiPriority w:val="99"/>
    <w:semiHidden/>
    <w:rsid w:val="00386F6D"/>
    <w:rPr>
      <w:sz w:val="20"/>
      <w:szCs w:val="20"/>
    </w:rPr>
  </w:style>
  <w:style w:type="paragraph" w:customStyle="1" w:styleId="TableParagraph">
    <w:name w:val="Table Paragraph"/>
    <w:basedOn w:val="Normlny"/>
    <w:uiPriority w:val="1"/>
    <w:qFormat/>
    <w:rsid w:val="00E66F49"/>
    <w:pPr>
      <w:widowControl w:val="0"/>
      <w:autoSpaceDE w:val="0"/>
      <w:autoSpaceDN w:val="0"/>
      <w:spacing w:after="0"/>
      <w:jc w:val="left"/>
    </w:pPr>
    <w:rPr>
      <w:rFonts w:eastAsia="Arial Narrow" w:cs="Arial Narrow"/>
      <w:lang w:eastAsia="sk-SK" w:bidi="sk-SK"/>
    </w:rPr>
  </w:style>
  <w:style w:type="paragraph" w:styleId="Zkladntext">
    <w:name w:val="Body Text"/>
    <w:basedOn w:val="Normlny"/>
    <w:link w:val="ZkladntextChar"/>
    <w:uiPriority w:val="1"/>
    <w:qFormat/>
    <w:rsid w:val="00E66F49"/>
    <w:pPr>
      <w:widowControl w:val="0"/>
      <w:autoSpaceDE w:val="0"/>
      <w:autoSpaceDN w:val="0"/>
      <w:spacing w:after="0"/>
      <w:jc w:val="left"/>
    </w:pPr>
    <w:rPr>
      <w:rFonts w:eastAsia="Arial Narrow" w:cs="Arial Narrow"/>
      <w:lang w:eastAsia="sk-SK" w:bidi="sk-SK"/>
    </w:rPr>
  </w:style>
  <w:style w:type="character" w:customStyle="1" w:styleId="ZkladntextChar">
    <w:name w:val="Základný text Char"/>
    <w:basedOn w:val="Predvolenpsmoodseku"/>
    <w:link w:val="Zkladntext"/>
    <w:uiPriority w:val="1"/>
    <w:rsid w:val="00E66F49"/>
    <w:rPr>
      <w:rFonts w:ascii="Arial Narrow" w:eastAsia="Arial Narrow" w:hAnsi="Arial Narrow" w:cs="Arial Narrow"/>
      <w:sz w:val="22"/>
      <w:szCs w:val="22"/>
      <w:lang w:bidi="sk-SK"/>
    </w:rPr>
  </w:style>
  <w:style w:type="character" w:customStyle="1" w:styleId="Nadpis7Char">
    <w:name w:val="Nadpis 7 Char"/>
    <w:basedOn w:val="Predvolenpsmoodseku"/>
    <w:link w:val="Nadpis7"/>
    <w:uiPriority w:val="9"/>
    <w:semiHidden/>
    <w:rsid w:val="008E7D9E"/>
    <w:rPr>
      <w:rFonts w:asciiTheme="majorHAnsi" w:eastAsiaTheme="majorEastAsia" w:hAnsiTheme="majorHAnsi" w:cstheme="majorBidi"/>
      <w:i/>
      <w:iCs/>
      <w:color w:val="1F4D78" w:themeColor="accent1" w:themeShade="7F"/>
      <w:sz w:val="22"/>
      <w:szCs w:val="22"/>
    </w:rPr>
  </w:style>
  <w:style w:type="character" w:customStyle="1" w:styleId="Nadpis8Char">
    <w:name w:val="Nadpis 8 Char"/>
    <w:basedOn w:val="Predvolenpsmoodseku"/>
    <w:link w:val="Nadpis8"/>
    <w:uiPriority w:val="9"/>
    <w:semiHidden/>
    <w:rsid w:val="008E7D9E"/>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uiPriority w:val="9"/>
    <w:semiHidden/>
    <w:rsid w:val="008E7D9E"/>
    <w:rPr>
      <w:rFonts w:asciiTheme="majorHAnsi" w:eastAsiaTheme="majorEastAsia" w:hAnsiTheme="majorHAnsi" w:cstheme="majorBidi"/>
      <w:i/>
      <w:iCs/>
      <w:color w:val="272727" w:themeColor="text1" w:themeTint="D8"/>
      <w:sz w:val="21"/>
      <w:szCs w:val="21"/>
    </w:rPr>
  </w:style>
  <w:style w:type="character" w:customStyle="1" w:styleId="awspan">
    <w:name w:val="awspan"/>
    <w:basedOn w:val="Predvolenpsmoodseku"/>
    <w:rsid w:val="008A4FED"/>
  </w:style>
  <w:style w:type="paragraph" w:customStyle="1" w:styleId="xl63">
    <w:name w:val="xl63"/>
    <w:basedOn w:val="Normlny"/>
    <w:rsid w:val="00DE1D2A"/>
    <w:pPr>
      <w:spacing w:before="100" w:beforeAutospacing="1" w:after="100" w:afterAutospacing="1"/>
      <w:jc w:val="left"/>
      <w:textAlignment w:val="center"/>
    </w:pPr>
    <w:rPr>
      <w:rFonts w:ascii="Times New Roman" w:eastAsia="Times New Roman" w:hAnsi="Times New Roman"/>
      <w:color w:val="000000"/>
      <w:sz w:val="24"/>
      <w:szCs w:val="24"/>
      <w:lang w:eastAsia="sk-SK"/>
    </w:rPr>
  </w:style>
  <w:style w:type="paragraph" w:customStyle="1" w:styleId="xl64">
    <w:name w:val="xl64"/>
    <w:basedOn w:val="Normlny"/>
    <w:rsid w:val="00DE1D2A"/>
    <w:pPr>
      <w:spacing w:before="100" w:beforeAutospacing="1" w:after="100" w:afterAutospacing="1"/>
      <w:jc w:val="left"/>
      <w:textAlignment w:val="center"/>
    </w:pPr>
    <w:rPr>
      <w:rFonts w:ascii="Times New Roman" w:eastAsia="Times New Roman" w:hAnsi="Times New Roman"/>
      <w:color w:val="000000"/>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21989">
      <w:bodyDiv w:val="1"/>
      <w:marLeft w:val="0"/>
      <w:marRight w:val="0"/>
      <w:marTop w:val="0"/>
      <w:marBottom w:val="0"/>
      <w:divBdr>
        <w:top w:val="none" w:sz="0" w:space="0" w:color="auto"/>
        <w:left w:val="none" w:sz="0" w:space="0" w:color="auto"/>
        <w:bottom w:val="none" w:sz="0" w:space="0" w:color="auto"/>
        <w:right w:val="none" w:sz="0" w:space="0" w:color="auto"/>
      </w:divBdr>
    </w:div>
    <w:div w:id="115490364">
      <w:bodyDiv w:val="1"/>
      <w:marLeft w:val="0"/>
      <w:marRight w:val="0"/>
      <w:marTop w:val="0"/>
      <w:marBottom w:val="0"/>
      <w:divBdr>
        <w:top w:val="none" w:sz="0" w:space="0" w:color="auto"/>
        <w:left w:val="none" w:sz="0" w:space="0" w:color="auto"/>
        <w:bottom w:val="none" w:sz="0" w:space="0" w:color="auto"/>
        <w:right w:val="none" w:sz="0" w:space="0" w:color="auto"/>
      </w:divBdr>
    </w:div>
    <w:div w:id="116725535">
      <w:bodyDiv w:val="1"/>
      <w:marLeft w:val="0"/>
      <w:marRight w:val="0"/>
      <w:marTop w:val="0"/>
      <w:marBottom w:val="0"/>
      <w:divBdr>
        <w:top w:val="none" w:sz="0" w:space="0" w:color="auto"/>
        <w:left w:val="none" w:sz="0" w:space="0" w:color="auto"/>
        <w:bottom w:val="none" w:sz="0" w:space="0" w:color="auto"/>
        <w:right w:val="none" w:sz="0" w:space="0" w:color="auto"/>
      </w:divBdr>
    </w:div>
    <w:div w:id="116946745">
      <w:bodyDiv w:val="1"/>
      <w:marLeft w:val="0"/>
      <w:marRight w:val="0"/>
      <w:marTop w:val="0"/>
      <w:marBottom w:val="0"/>
      <w:divBdr>
        <w:top w:val="none" w:sz="0" w:space="0" w:color="auto"/>
        <w:left w:val="none" w:sz="0" w:space="0" w:color="auto"/>
        <w:bottom w:val="none" w:sz="0" w:space="0" w:color="auto"/>
        <w:right w:val="none" w:sz="0" w:space="0" w:color="auto"/>
      </w:divBdr>
    </w:div>
    <w:div w:id="133066518">
      <w:bodyDiv w:val="1"/>
      <w:marLeft w:val="0"/>
      <w:marRight w:val="0"/>
      <w:marTop w:val="0"/>
      <w:marBottom w:val="0"/>
      <w:divBdr>
        <w:top w:val="none" w:sz="0" w:space="0" w:color="auto"/>
        <w:left w:val="none" w:sz="0" w:space="0" w:color="auto"/>
        <w:bottom w:val="none" w:sz="0" w:space="0" w:color="auto"/>
        <w:right w:val="none" w:sz="0" w:space="0" w:color="auto"/>
      </w:divBdr>
    </w:div>
    <w:div w:id="144321945">
      <w:bodyDiv w:val="1"/>
      <w:marLeft w:val="0"/>
      <w:marRight w:val="0"/>
      <w:marTop w:val="0"/>
      <w:marBottom w:val="0"/>
      <w:divBdr>
        <w:top w:val="none" w:sz="0" w:space="0" w:color="auto"/>
        <w:left w:val="none" w:sz="0" w:space="0" w:color="auto"/>
        <w:bottom w:val="none" w:sz="0" w:space="0" w:color="auto"/>
        <w:right w:val="none" w:sz="0" w:space="0" w:color="auto"/>
      </w:divBdr>
    </w:div>
    <w:div w:id="148787896">
      <w:bodyDiv w:val="1"/>
      <w:marLeft w:val="0"/>
      <w:marRight w:val="0"/>
      <w:marTop w:val="0"/>
      <w:marBottom w:val="0"/>
      <w:divBdr>
        <w:top w:val="none" w:sz="0" w:space="0" w:color="auto"/>
        <w:left w:val="none" w:sz="0" w:space="0" w:color="auto"/>
        <w:bottom w:val="none" w:sz="0" w:space="0" w:color="auto"/>
        <w:right w:val="none" w:sz="0" w:space="0" w:color="auto"/>
      </w:divBdr>
    </w:div>
    <w:div w:id="152841950">
      <w:bodyDiv w:val="1"/>
      <w:marLeft w:val="0"/>
      <w:marRight w:val="0"/>
      <w:marTop w:val="0"/>
      <w:marBottom w:val="0"/>
      <w:divBdr>
        <w:top w:val="none" w:sz="0" w:space="0" w:color="auto"/>
        <w:left w:val="none" w:sz="0" w:space="0" w:color="auto"/>
        <w:bottom w:val="none" w:sz="0" w:space="0" w:color="auto"/>
        <w:right w:val="none" w:sz="0" w:space="0" w:color="auto"/>
      </w:divBdr>
    </w:div>
    <w:div w:id="173375362">
      <w:bodyDiv w:val="1"/>
      <w:marLeft w:val="0"/>
      <w:marRight w:val="0"/>
      <w:marTop w:val="0"/>
      <w:marBottom w:val="0"/>
      <w:divBdr>
        <w:top w:val="none" w:sz="0" w:space="0" w:color="auto"/>
        <w:left w:val="none" w:sz="0" w:space="0" w:color="auto"/>
        <w:bottom w:val="none" w:sz="0" w:space="0" w:color="auto"/>
        <w:right w:val="none" w:sz="0" w:space="0" w:color="auto"/>
      </w:divBdr>
    </w:div>
    <w:div w:id="207686903">
      <w:bodyDiv w:val="1"/>
      <w:marLeft w:val="0"/>
      <w:marRight w:val="0"/>
      <w:marTop w:val="0"/>
      <w:marBottom w:val="0"/>
      <w:divBdr>
        <w:top w:val="none" w:sz="0" w:space="0" w:color="auto"/>
        <w:left w:val="none" w:sz="0" w:space="0" w:color="auto"/>
        <w:bottom w:val="none" w:sz="0" w:space="0" w:color="auto"/>
        <w:right w:val="none" w:sz="0" w:space="0" w:color="auto"/>
      </w:divBdr>
    </w:div>
    <w:div w:id="245654730">
      <w:bodyDiv w:val="1"/>
      <w:marLeft w:val="0"/>
      <w:marRight w:val="0"/>
      <w:marTop w:val="0"/>
      <w:marBottom w:val="0"/>
      <w:divBdr>
        <w:top w:val="none" w:sz="0" w:space="0" w:color="auto"/>
        <w:left w:val="none" w:sz="0" w:space="0" w:color="auto"/>
        <w:bottom w:val="none" w:sz="0" w:space="0" w:color="auto"/>
        <w:right w:val="none" w:sz="0" w:space="0" w:color="auto"/>
      </w:divBdr>
    </w:div>
    <w:div w:id="272178932">
      <w:bodyDiv w:val="1"/>
      <w:marLeft w:val="0"/>
      <w:marRight w:val="0"/>
      <w:marTop w:val="0"/>
      <w:marBottom w:val="0"/>
      <w:divBdr>
        <w:top w:val="none" w:sz="0" w:space="0" w:color="auto"/>
        <w:left w:val="none" w:sz="0" w:space="0" w:color="auto"/>
        <w:bottom w:val="none" w:sz="0" w:space="0" w:color="auto"/>
        <w:right w:val="none" w:sz="0" w:space="0" w:color="auto"/>
      </w:divBdr>
    </w:div>
    <w:div w:id="279648254">
      <w:bodyDiv w:val="1"/>
      <w:marLeft w:val="0"/>
      <w:marRight w:val="0"/>
      <w:marTop w:val="0"/>
      <w:marBottom w:val="0"/>
      <w:divBdr>
        <w:top w:val="none" w:sz="0" w:space="0" w:color="auto"/>
        <w:left w:val="none" w:sz="0" w:space="0" w:color="auto"/>
        <w:bottom w:val="none" w:sz="0" w:space="0" w:color="auto"/>
        <w:right w:val="none" w:sz="0" w:space="0" w:color="auto"/>
      </w:divBdr>
    </w:div>
    <w:div w:id="283972061">
      <w:bodyDiv w:val="1"/>
      <w:marLeft w:val="0"/>
      <w:marRight w:val="0"/>
      <w:marTop w:val="0"/>
      <w:marBottom w:val="0"/>
      <w:divBdr>
        <w:top w:val="none" w:sz="0" w:space="0" w:color="auto"/>
        <w:left w:val="none" w:sz="0" w:space="0" w:color="auto"/>
        <w:bottom w:val="none" w:sz="0" w:space="0" w:color="auto"/>
        <w:right w:val="none" w:sz="0" w:space="0" w:color="auto"/>
      </w:divBdr>
    </w:div>
    <w:div w:id="307903330">
      <w:bodyDiv w:val="1"/>
      <w:marLeft w:val="0"/>
      <w:marRight w:val="0"/>
      <w:marTop w:val="0"/>
      <w:marBottom w:val="0"/>
      <w:divBdr>
        <w:top w:val="none" w:sz="0" w:space="0" w:color="auto"/>
        <w:left w:val="none" w:sz="0" w:space="0" w:color="auto"/>
        <w:bottom w:val="none" w:sz="0" w:space="0" w:color="auto"/>
        <w:right w:val="none" w:sz="0" w:space="0" w:color="auto"/>
      </w:divBdr>
    </w:div>
    <w:div w:id="331183852">
      <w:bodyDiv w:val="1"/>
      <w:marLeft w:val="0"/>
      <w:marRight w:val="0"/>
      <w:marTop w:val="0"/>
      <w:marBottom w:val="0"/>
      <w:divBdr>
        <w:top w:val="none" w:sz="0" w:space="0" w:color="auto"/>
        <w:left w:val="none" w:sz="0" w:space="0" w:color="auto"/>
        <w:bottom w:val="none" w:sz="0" w:space="0" w:color="auto"/>
        <w:right w:val="none" w:sz="0" w:space="0" w:color="auto"/>
      </w:divBdr>
    </w:div>
    <w:div w:id="342435384">
      <w:bodyDiv w:val="1"/>
      <w:marLeft w:val="0"/>
      <w:marRight w:val="0"/>
      <w:marTop w:val="0"/>
      <w:marBottom w:val="0"/>
      <w:divBdr>
        <w:top w:val="none" w:sz="0" w:space="0" w:color="auto"/>
        <w:left w:val="none" w:sz="0" w:space="0" w:color="auto"/>
        <w:bottom w:val="none" w:sz="0" w:space="0" w:color="auto"/>
        <w:right w:val="none" w:sz="0" w:space="0" w:color="auto"/>
      </w:divBdr>
    </w:div>
    <w:div w:id="343242674">
      <w:bodyDiv w:val="1"/>
      <w:marLeft w:val="0"/>
      <w:marRight w:val="0"/>
      <w:marTop w:val="0"/>
      <w:marBottom w:val="0"/>
      <w:divBdr>
        <w:top w:val="none" w:sz="0" w:space="0" w:color="auto"/>
        <w:left w:val="none" w:sz="0" w:space="0" w:color="auto"/>
        <w:bottom w:val="none" w:sz="0" w:space="0" w:color="auto"/>
        <w:right w:val="none" w:sz="0" w:space="0" w:color="auto"/>
      </w:divBdr>
    </w:div>
    <w:div w:id="357587574">
      <w:bodyDiv w:val="1"/>
      <w:marLeft w:val="0"/>
      <w:marRight w:val="0"/>
      <w:marTop w:val="0"/>
      <w:marBottom w:val="0"/>
      <w:divBdr>
        <w:top w:val="none" w:sz="0" w:space="0" w:color="auto"/>
        <w:left w:val="none" w:sz="0" w:space="0" w:color="auto"/>
        <w:bottom w:val="none" w:sz="0" w:space="0" w:color="auto"/>
        <w:right w:val="none" w:sz="0" w:space="0" w:color="auto"/>
      </w:divBdr>
    </w:div>
    <w:div w:id="358547959">
      <w:bodyDiv w:val="1"/>
      <w:marLeft w:val="0"/>
      <w:marRight w:val="0"/>
      <w:marTop w:val="0"/>
      <w:marBottom w:val="0"/>
      <w:divBdr>
        <w:top w:val="none" w:sz="0" w:space="0" w:color="auto"/>
        <w:left w:val="none" w:sz="0" w:space="0" w:color="auto"/>
        <w:bottom w:val="none" w:sz="0" w:space="0" w:color="auto"/>
        <w:right w:val="none" w:sz="0" w:space="0" w:color="auto"/>
      </w:divBdr>
    </w:div>
    <w:div w:id="368266748">
      <w:bodyDiv w:val="1"/>
      <w:marLeft w:val="0"/>
      <w:marRight w:val="0"/>
      <w:marTop w:val="0"/>
      <w:marBottom w:val="0"/>
      <w:divBdr>
        <w:top w:val="none" w:sz="0" w:space="0" w:color="auto"/>
        <w:left w:val="none" w:sz="0" w:space="0" w:color="auto"/>
        <w:bottom w:val="none" w:sz="0" w:space="0" w:color="auto"/>
        <w:right w:val="none" w:sz="0" w:space="0" w:color="auto"/>
      </w:divBdr>
    </w:div>
    <w:div w:id="391664297">
      <w:bodyDiv w:val="1"/>
      <w:marLeft w:val="0"/>
      <w:marRight w:val="0"/>
      <w:marTop w:val="0"/>
      <w:marBottom w:val="0"/>
      <w:divBdr>
        <w:top w:val="none" w:sz="0" w:space="0" w:color="auto"/>
        <w:left w:val="none" w:sz="0" w:space="0" w:color="auto"/>
        <w:bottom w:val="none" w:sz="0" w:space="0" w:color="auto"/>
        <w:right w:val="none" w:sz="0" w:space="0" w:color="auto"/>
      </w:divBdr>
    </w:div>
    <w:div w:id="407386423">
      <w:bodyDiv w:val="1"/>
      <w:marLeft w:val="0"/>
      <w:marRight w:val="0"/>
      <w:marTop w:val="0"/>
      <w:marBottom w:val="0"/>
      <w:divBdr>
        <w:top w:val="none" w:sz="0" w:space="0" w:color="auto"/>
        <w:left w:val="none" w:sz="0" w:space="0" w:color="auto"/>
        <w:bottom w:val="none" w:sz="0" w:space="0" w:color="auto"/>
        <w:right w:val="none" w:sz="0" w:space="0" w:color="auto"/>
      </w:divBdr>
    </w:div>
    <w:div w:id="429545160">
      <w:bodyDiv w:val="1"/>
      <w:marLeft w:val="0"/>
      <w:marRight w:val="0"/>
      <w:marTop w:val="0"/>
      <w:marBottom w:val="0"/>
      <w:divBdr>
        <w:top w:val="none" w:sz="0" w:space="0" w:color="auto"/>
        <w:left w:val="none" w:sz="0" w:space="0" w:color="auto"/>
        <w:bottom w:val="none" w:sz="0" w:space="0" w:color="auto"/>
        <w:right w:val="none" w:sz="0" w:space="0" w:color="auto"/>
      </w:divBdr>
    </w:div>
    <w:div w:id="432750826">
      <w:bodyDiv w:val="1"/>
      <w:marLeft w:val="0"/>
      <w:marRight w:val="0"/>
      <w:marTop w:val="0"/>
      <w:marBottom w:val="0"/>
      <w:divBdr>
        <w:top w:val="none" w:sz="0" w:space="0" w:color="auto"/>
        <w:left w:val="none" w:sz="0" w:space="0" w:color="auto"/>
        <w:bottom w:val="none" w:sz="0" w:space="0" w:color="auto"/>
        <w:right w:val="none" w:sz="0" w:space="0" w:color="auto"/>
      </w:divBdr>
    </w:div>
    <w:div w:id="446856619">
      <w:bodyDiv w:val="1"/>
      <w:marLeft w:val="0"/>
      <w:marRight w:val="0"/>
      <w:marTop w:val="0"/>
      <w:marBottom w:val="0"/>
      <w:divBdr>
        <w:top w:val="none" w:sz="0" w:space="0" w:color="auto"/>
        <w:left w:val="none" w:sz="0" w:space="0" w:color="auto"/>
        <w:bottom w:val="none" w:sz="0" w:space="0" w:color="auto"/>
        <w:right w:val="none" w:sz="0" w:space="0" w:color="auto"/>
      </w:divBdr>
    </w:div>
    <w:div w:id="453985944">
      <w:bodyDiv w:val="1"/>
      <w:marLeft w:val="0"/>
      <w:marRight w:val="0"/>
      <w:marTop w:val="0"/>
      <w:marBottom w:val="0"/>
      <w:divBdr>
        <w:top w:val="none" w:sz="0" w:space="0" w:color="auto"/>
        <w:left w:val="none" w:sz="0" w:space="0" w:color="auto"/>
        <w:bottom w:val="none" w:sz="0" w:space="0" w:color="auto"/>
        <w:right w:val="none" w:sz="0" w:space="0" w:color="auto"/>
      </w:divBdr>
    </w:div>
    <w:div w:id="480773472">
      <w:bodyDiv w:val="1"/>
      <w:marLeft w:val="0"/>
      <w:marRight w:val="0"/>
      <w:marTop w:val="0"/>
      <w:marBottom w:val="0"/>
      <w:divBdr>
        <w:top w:val="none" w:sz="0" w:space="0" w:color="auto"/>
        <w:left w:val="none" w:sz="0" w:space="0" w:color="auto"/>
        <w:bottom w:val="none" w:sz="0" w:space="0" w:color="auto"/>
        <w:right w:val="none" w:sz="0" w:space="0" w:color="auto"/>
      </w:divBdr>
    </w:div>
    <w:div w:id="495613704">
      <w:bodyDiv w:val="1"/>
      <w:marLeft w:val="0"/>
      <w:marRight w:val="0"/>
      <w:marTop w:val="0"/>
      <w:marBottom w:val="0"/>
      <w:divBdr>
        <w:top w:val="none" w:sz="0" w:space="0" w:color="auto"/>
        <w:left w:val="none" w:sz="0" w:space="0" w:color="auto"/>
        <w:bottom w:val="none" w:sz="0" w:space="0" w:color="auto"/>
        <w:right w:val="none" w:sz="0" w:space="0" w:color="auto"/>
      </w:divBdr>
    </w:div>
    <w:div w:id="501744421">
      <w:bodyDiv w:val="1"/>
      <w:marLeft w:val="0"/>
      <w:marRight w:val="0"/>
      <w:marTop w:val="0"/>
      <w:marBottom w:val="0"/>
      <w:divBdr>
        <w:top w:val="none" w:sz="0" w:space="0" w:color="auto"/>
        <w:left w:val="none" w:sz="0" w:space="0" w:color="auto"/>
        <w:bottom w:val="none" w:sz="0" w:space="0" w:color="auto"/>
        <w:right w:val="none" w:sz="0" w:space="0" w:color="auto"/>
      </w:divBdr>
    </w:div>
    <w:div w:id="504327538">
      <w:bodyDiv w:val="1"/>
      <w:marLeft w:val="0"/>
      <w:marRight w:val="0"/>
      <w:marTop w:val="0"/>
      <w:marBottom w:val="0"/>
      <w:divBdr>
        <w:top w:val="none" w:sz="0" w:space="0" w:color="auto"/>
        <w:left w:val="none" w:sz="0" w:space="0" w:color="auto"/>
        <w:bottom w:val="none" w:sz="0" w:space="0" w:color="auto"/>
        <w:right w:val="none" w:sz="0" w:space="0" w:color="auto"/>
      </w:divBdr>
    </w:div>
    <w:div w:id="509293127">
      <w:bodyDiv w:val="1"/>
      <w:marLeft w:val="0"/>
      <w:marRight w:val="0"/>
      <w:marTop w:val="0"/>
      <w:marBottom w:val="0"/>
      <w:divBdr>
        <w:top w:val="none" w:sz="0" w:space="0" w:color="auto"/>
        <w:left w:val="none" w:sz="0" w:space="0" w:color="auto"/>
        <w:bottom w:val="none" w:sz="0" w:space="0" w:color="auto"/>
        <w:right w:val="none" w:sz="0" w:space="0" w:color="auto"/>
      </w:divBdr>
      <w:divsChild>
        <w:div w:id="1258977222">
          <w:marLeft w:val="0"/>
          <w:marRight w:val="0"/>
          <w:marTop w:val="0"/>
          <w:marBottom w:val="0"/>
          <w:divBdr>
            <w:top w:val="none" w:sz="0" w:space="0" w:color="auto"/>
            <w:left w:val="none" w:sz="0" w:space="0" w:color="auto"/>
            <w:bottom w:val="none" w:sz="0" w:space="0" w:color="auto"/>
            <w:right w:val="none" w:sz="0" w:space="0" w:color="auto"/>
          </w:divBdr>
          <w:divsChild>
            <w:div w:id="2016682989">
              <w:marLeft w:val="0"/>
              <w:marRight w:val="0"/>
              <w:marTop w:val="0"/>
              <w:marBottom w:val="0"/>
              <w:divBdr>
                <w:top w:val="none" w:sz="0" w:space="0" w:color="auto"/>
                <w:left w:val="none" w:sz="0" w:space="0" w:color="auto"/>
                <w:bottom w:val="none" w:sz="0" w:space="0" w:color="auto"/>
                <w:right w:val="none" w:sz="0" w:space="0" w:color="auto"/>
              </w:divBdr>
              <w:divsChild>
                <w:div w:id="650256860">
                  <w:marLeft w:val="0"/>
                  <w:marRight w:val="0"/>
                  <w:marTop w:val="0"/>
                  <w:marBottom w:val="0"/>
                  <w:divBdr>
                    <w:top w:val="none" w:sz="0" w:space="0" w:color="auto"/>
                    <w:left w:val="none" w:sz="0" w:space="0" w:color="auto"/>
                    <w:bottom w:val="none" w:sz="0" w:space="0" w:color="auto"/>
                    <w:right w:val="none" w:sz="0" w:space="0" w:color="auto"/>
                  </w:divBdr>
                  <w:divsChild>
                    <w:div w:id="1379932376">
                      <w:marLeft w:val="-225"/>
                      <w:marRight w:val="-225"/>
                      <w:marTop w:val="0"/>
                      <w:marBottom w:val="0"/>
                      <w:divBdr>
                        <w:top w:val="none" w:sz="0" w:space="0" w:color="auto"/>
                        <w:left w:val="none" w:sz="0" w:space="0" w:color="auto"/>
                        <w:bottom w:val="none" w:sz="0" w:space="0" w:color="auto"/>
                        <w:right w:val="none" w:sz="0" w:space="0" w:color="auto"/>
                      </w:divBdr>
                      <w:divsChild>
                        <w:div w:id="1003237221">
                          <w:marLeft w:val="0"/>
                          <w:marRight w:val="0"/>
                          <w:marTop w:val="0"/>
                          <w:marBottom w:val="0"/>
                          <w:divBdr>
                            <w:top w:val="none" w:sz="0" w:space="0" w:color="auto"/>
                            <w:left w:val="none" w:sz="0" w:space="0" w:color="auto"/>
                            <w:bottom w:val="none" w:sz="0" w:space="0" w:color="auto"/>
                            <w:right w:val="none" w:sz="0" w:space="0" w:color="auto"/>
                          </w:divBdr>
                          <w:divsChild>
                            <w:div w:id="652023264">
                              <w:marLeft w:val="0"/>
                              <w:marRight w:val="0"/>
                              <w:marTop w:val="0"/>
                              <w:marBottom w:val="0"/>
                              <w:divBdr>
                                <w:top w:val="none" w:sz="0" w:space="0" w:color="auto"/>
                                <w:left w:val="none" w:sz="0" w:space="0" w:color="auto"/>
                                <w:bottom w:val="none" w:sz="0" w:space="0" w:color="auto"/>
                                <w:right w:val="none" w:sz="0" w:space="0" w:color="auto"/>
                              </w:divBdr>
                              <w:divsChild>
                                <w:div w:id="132526278">
                                  <w:marLeft w:val="0"/>
                                  <w:marRight w:val="0"/>
                                  <w:marTop w:val="0"/>
                                  <w:marBottom w:val="0"/>
                                  <w:divBdr>
                                    <w:top w:val="none" w:sz="0" w:space="0" w:color="auto"/>
                                    <w:left w:val="none" w:sz="0" w:space="0" w:color="auto"/>
                                    <w:bottom w:val="none" w:sz="0" w:space="0" w:color="auto"/>
                                    <w:right w:val="none" w:sz="0" w:space="0" w:color="auto"/>
                                  </w:divBdr>
                                  <w:divsChild>
                                    <w:div w:id="433595344">
                                      <w:marLeft w:val="0"/>
                                      <w:marRight w:val="0"/>
                                      <w:marTop w:val="0"/>
                                      <w:marBottom w:val="0"/>
                                      <w:divBdr>
                                        <w:top w:val="none" w:sz="0" w:space="0" w:color="auto"/>
                                        <w:left w:val="none" w:sz="0" w:space="0" w:color="auto"/>
                                        <w:bottom w:val="none" w:sz="0" w:space="0" w:color="auto"/>
                                        <w:right w:val="none" w:sz="0" w:space="0" w:color="auto"/>
                                      </w:divBdr>
                                      <w:divsChild>
                                        <w:div w:id="719017457">
                                          <w:marLeft w:val="0"/>
                                          <w:marRight w:val="0"/>
                                          <w:marTop w:val="0"/>
                                          <w:marBottom w:val="0"/>
                                          <w:divBdr>
                                            <w:top w:val="none" w:sz="0" w:space="0" w:color="auto"/>
                                            <w:left w:val="none" w:sz="0" w:space="0" w:color="auto"/>
                                            <w:bottom w:val="none" w:sz="0" w:space="0" w:color="auto"/>
                                            <w:right w:val="none" w:sz="0" w:space="0" w:color="auto"/>
                                          </w:divBdr>
                                          <w:divsChild>
                                            <w:div w:id="285283387">
                                              <w:marLeft w:val="0"/>
                                              <w:marRight w:val="0"/>
                                              <w:marTop w:val="0"/>
                                              <w:marBottom w:val="0"/>
                                              <w:divBdr>
                                                <w:top w:val="none" w:sz="0" w:space="0" w:color="auto"/>
                                                <w:left w:val="none" w:sz="0" w:space="0" w:color="auto"/>
                                                <w:bottom w:val="none" w:sz="0" w:space="0" w:color="auto"/>
                                                <w:right w:val="none" w:sz="0" w:space="0" w:color="auto"/>
                                              </w:divBdr>
                                              <w:divsChild>
                                                <w:div w:id="98334475">
                                                  <w:marLeft w:val="0"/>
                                                  <w:marRight w:val="0"/>
                                                  <w:marTop w:val="0"/>
                                                  <w:marBottom w:val="0"/>
                                                  <w:divBdr>
                                                    <w:top w:val="none" w:sz="0" w:space="0" w:color="auto"/>
                                                    <w:left w:val="none" w:sz="0" w:space="0" w:color="auto"/>
                                                    <w:bottom w:val="none" w:sz="0" w:space="0" w:color="auto"/>
                                                    <w:right w:val="none" w:sz="0" w:space="0" w:color="auto"/>
                                                  </w:divBdr>
                                                  <w:divsChild>
                                                    <w:div w:id="1947344501">
                                                      <w:marLeft w:val="0"/>
                                                      <w:marRight w:val="0"/>
                                                      <w:marTop w:val="0"/>
                                                      <w:marBottom w:val="0"/>
                                                      <w:divBdr>
                                                        <w:top w:val="none" w:sz="0" w:space="0" w:color="auto"/>
                                                        <w:left w:val="none" w:sz="0" w:space="0" w:color="auto"/>
                                                        <w:bottom w:val="none" w:sz="0" w:space="0" w:color="auto"/>
                                                        <w:right w:val="none" w:sz="0" w:space="0" w:color="auto"/>
                                                      </w:divBdr>
                                                      <w:divsChild>
                                                        <w:div w:id="806312425">
                                                          <w:marLeft w:val="0"/>
                                                          <w:marRight w:val="0"/>
                                                          <w:marTop w:val="0"/>
                                                          <w:marBottom w:val="0"/>
                                                          <w:divBdr>
                                                            <w:top w:val="none" w:sz="0" w:space="0" w:color="auto"/>
                                                            <w:left w:val="none" w:sz="0" w:space="0" w:color="auto"/>
                                                            <w:bottom w:val="none" w:sz="0" w:space="0" w:color="auto"/>
                                                            <w:right w:val="none" w:sz="0" w:space="0" w:color="auto"/>
                                                          </w:divBdr>
                                                          <w:divsChild>
                                                            <w:div w:id="139468670">
                                                              <w:marLeft w:val="0"/>
                                                              <w:marRight w:val="0"/>
                                                              <w:marTop w:val="0"/>
                                                              <w:marBottom w:val="0"/>
                                                              <w:divBdr>
                                                                <w:top w:val="none" w:sz="0" w:space="0" w:color="auto"/>
                                                                <w:left w:val="none" w:sz="0" w:space="0" w:color="auto"/>
                                                                <w:bottom w:val="none" w:sz="0" w:space="0" w:color="auto"/>
                                                                <w:right w:val="none" w:sz="0" w:space="0" w:color="auto"/>
                                                              </w:divBdr>
                                                              <w:divsChild>
                                                                <w:div w:id="1532768396">
                                                                  <w:marLeft w:val="0"/>
                                                                  <w:marRight w:val="0"/>
                                                                  <w:marTop w:val="0"/>
                                                                  <w:marBottom w:val="0"/>
                                                                  <w:divBdr>
                                                                    <w:top w:val="none" w:sz="0" w:space="0" w:color="auto"/>
                                                                    <w:left w:val="none" w:sz="0" w:space="0" w:color="auto"/>
                                                                    <w:bottom w:val="none" w:sz="0" w:space="0" w:color="auto"/>
                                                                    <w:right w:val="none" w:sz="0" w:space="0" w:color="auto"/>
                                                                  </w:divBdr>
                                                                  <w:divsChild>
                                                                    <w:div w:id="91441580">
                                                                      <w:marLeft w:val="0"/>
                                                                      <w:marRight w:val="0"/>
                                                                      <w:marTop w:val="0"/>
                                                                      <w:marBottom w:val="0"/>
                                                                      <w:divBdr>
                                                                        <w:top w:val="none" w:sz="0" w:space="0" w:color="auto"/>
                                                                        <w:left w:val="none" w:sz="0" w:space="0" w:color="auto"/>
                                                                        <w:bottom w:val="none" w:sz="0" w:space="0" w:color="auto"/>
                                                                        <w:right w:val="none" w:sz="0" w:space="0" w:color="auto"/>
                                                                      </w:divBdr>
                                                                      <w:divsChild>
                                                                        <w:div w:id="1724257195">
                                                                          <w:marLeft w:val="0"/>
                                                                          <w:marRight w:val="0"/>
                                                                          <w:marTop w:val="0"/>
                                                                          <w:marBottom w:val="0"/>
                                                                          <w:divBdr>
                                                                            <w:top w:val="none" w:sz="0" w:space="0" w:color="auto"/>
                                                                            <w:left w:val="single" w:sz="6" w:space="0" w:color="EAEAEA"/>
                                                                            <w:bottom w:val="single" w:sz="6" w:space="0" w:color="EAEAEA"/>
                                                                            <w:right w:val="single" w:sz="6" w:space="0" w:color="EAEAEA"/>
                                                                          </w:divBdr>
                                                                          <w:divsChild>
                                                                            <w:div w:id="70733555">
                                                                              <w:marLeft w:val="0"/>
                                                                              <w:marRight w:val="0"/>
                                                                              <w:marTop w:val="0"/>
                                                                              <w:marBottom w:val="0"/>
                                                                              <w:divBdr>
                                                                                <w:top w:val="none" w:sz="0" w:space="0" w:color="auto"/>
                                                                                <w:left w:val="none" w:sz="0" w:space="0" w:color="auto"/>
                                                                                <w:bottom w:val="none" w:sz="0" w:space="0" w:color="auto"/>
                                                                                <w:right w:val="none" w:sz="0" w:space="0" w:color="auto"/>
                                                                              </w:divBdr>
                                                                              <w:divsChild>
                                                                                <w:div w:id="120582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7792207">
      <w:bodyDiv w:val="1"/>
      <w:marLeft w:val="0"/>
      <w:marRight w:val="0"/>
      <w:marTop w:val="0"/>
      <w:marBottom w:val="0"/>
      <w:divBdr>
        <w:top w:val="none" w:sz="0" w:space="0" w:color="auto"/>
        <w:left w:val="none" w:sz="0" w:space="0" w:color="auto"/>
        <w:bottom w:val="none" w:sz="0" w:space="0" w:color="auto"/>
        <w:right w:val="none" w:sz="0" w:space="0" w:color="auto"/>
      </w:divBdr>
    </w:div>
    <w:div w:id="533690800">
      <w:bodyDiv w:val="1"/>
      <w:marLeft w:val="0"/>
      <w:marRight w:val="0"/>
      <w:marTop w:val="0"/>
      <w:marBottom w:val="0"/>
      <w:divBdr>
        <w:top w:val="none" w:sz="0" w:space="0" w:color="auto"/>
        <w:left w:val="none" w:sz="0" w:space="0" w:color="auto"/>
        <w:bottom w:val="none" w:sz="0" w:space="0" w:color="auto"/>
        <w:right w:val="none" w:sz="0" w:space="0" w:color="auto"/>
      </w:divBdr>
    </w:div>
    <w:div w:id="534272945">
      <w:bodyDiv w:val="1"/>
      <w:marLeft w:val="0"/>
      <w:marRight w:val="0"/>
      <w:marTop w:val="0"/>
      <w:marBottom w:val="0"/>
      <w:divBdr>
        <w:top w:val="none" w:sz="0" w:space="0" w:color="auto"/>
        <w:left w:val="none" w:sz="0" w:space="0" w:color="auto"/>
        <w:bottom w:val="none" w:sz="0" w:space="0" w:color="auto"/>
        <w:right w:val="none" w:sz="0" w:space="0" w:color="auto"/>
      </w:divBdr>
    </w:div>
    <w:div w:id="538981383">
      <w:bodyDiv w:val="1"/>
      <w:marLeft w:val="0"/>
      <w:marRight w:val="0"/>
      <w:marTop w:val="0"/>
      <w:marBottom w:val="0"/>
      <w:divBdr>
        <w:top w:val="none" w:sz="0" w:space="0" w:color="auto"/>
        <w:left w:val="none" w:sz="0" w:space="0" w:color="auto"/>
        <w:bottom w:val="none" w:sz="0" w:space="0" w:color="auto"/>
        <w:right w:val="none" w:sz="0" w:space="0" w:color="auto"/>
      </w:divBdr>
    </w:div>
    <w:div w:id="550774555">
      <w:bodyDiv w:val="1"/>
      <w:marLeft w:val="0"/>
      <w:marRight w:val="0"/>
      <w:marTop w:val="0"/>
      <w:marBottom w:val="0"/>
      <w:divBdr>
        <w:top w:val="none" w:sz="0" w:space="0" w:color="auto"/>
        <w:left w:val="none" w:sz="0" w:space="0" w:color="auto"/>
        <w:bottom w:val="none" w:sz="0" w:space="0" w:color="auto"/>
        <w:right w:val="none" w:sz="0" w:space="0" w:color="auto"/>
      </w:divBdr>
    </w:div>
    <w:div w:id="590696976">
      <w:bodyDiv w:val="1"/>
      <w:marLeft w:val="0"/>
      <w:marRight w:val="0"/>
      <w:marTop w:val="0"/>
      <w:marBottom w:val="0"/>
      <w:divBdr>
        <w:top w:val="none" w:sz="0" w:space="0" w:color="auto"/>
        <w:left w:val="none" w:sz="0" w:space="0" w:color="auto"/>
        <w:bottom w:val="none" w:sz="0" w:space="0" w:color="auto"/>
        <w:right w:val="none" w:sz="0" w:space="0" w:color="auto"/>
      </w:divBdr>
    </w:div>
    <w:div w:id="592517069">
      <w:bodyDiv w:val="1"/>
      <w:marLeft w:val="0"/>
      <w:marRight w:val="0"/>
      <w:marTop w:val="0"/>
      <w:marBottom w:val="0"/>
      <w:divBdr>
        <w:top w:val="none" w:sz="0" w:space="0" w:color="auto"/>
        <w:left w:val="none" w:sz="0" w:space="0" w:color="auto"/>
        <w:bottom w:val="none" w:sz="0" w:space="0" w:color="auto"/>
        <w:right w:val="none" w:sz="0" w:space="0" w:color="auto"/>
      </w:divBdr>
    </w:div>
    <w:div w:id="617641772">
      <w:bodyDiv w:val="1"/>
      <w:marLeft w:val="0"/>
      <w:marRight w:val="0"/>
      <w:marTop w:val="0"/>
      <w:marBottom w:val="0"/>
      <w:divBdr>
        <w:top w:val="none" w:sz="0" w:space="0" w:color="auto"/>
        <w:left w:val="none" w:sz="0" w:space="0" w:color="auto"/>
        <w:bottom w:val="none" w:sz="0" w:space="0" w:color="auto"/>
        <w:right w:val="none" w:sz="0" w:space="0" w:color="auto"/>
      </w:divBdr>
    </w:div>
    <w:div w:id="666860555">
      <w:bodyDiv w:val="1"/>
      <w:marLeft w:val="0"/>
      <w:marRight w:val="0"/>
      <w:marTop w:val="0"/>
      <w:marBottom w:val="0"/>
      <w:divBdr>
        <w:top w:val="none" w:sz="0" w:space="0" w:color="auto"/>
        <w:left w:val="none" w:sz="0" w:space="0" w:color="auto"/>
        <w:bottom w:val="none" w:sz="0" w:space="0" w:color="auto"/>
        <w:right w:val="none" w:sz="0" w:space="0" w:color="auto"/>
      </w:divBdr>
    </w:div>
    <w:div w:id="677465931">
      <w:bodyDiv w:val="1"/>
      <w:marLeft w:val="0"/>
      <w:marRight w:val="0"/>
      <w:marTop w:val="0"/>
      <w:marBottom w:val="0"/>
      <w:divBdr>
        <w:top w:val="none" w:sz="0" w:space="0" w:color="auto"/>
        <w:left w:val="none" w:sz="0" w:space="0" w:color="auto"/>
        <w:bottom w:val="none" w:sz="0" w:space="0" w:color="auto"/>
        <w:right w:val="none" w:sz="0" w:space="0" w:color="auto"/>
      </w:divBdr>
    </w:div>
    <w:div w:id="678390503">
      <w:bodyDiv w:val="1"/>
      <w:marLeft w:val="0"/>
      <w:marRight w:val="0"/>
      <w:marTop w:val="0"/>
      <w:marBottom w:val="0"/>
      <w:divBdr>
        <w:top w:val="none" w:sz="0" w:space="0" w:color="auto"/>
        <w:left w:val="none" w:sz="0" w:space="0" w:color="auto"/>
        <w:bottom w:val="none" w:sz="0" w:space="0" w:color="auto"/>
        <w:right w:val="none" w:sz="0" w:space="0" w:color="auto"/>
      </w:divBdr>
    </w:div>
    <w:div w:id="681470041">
      <w:bodyDiv w:val="1"/>
      <w:marLeft w:val="0"/>
      <w:marRight w:val="0"/>
      <w:marTop w:val="0"/>
      <w:marBottom w:val="0"/>
      <w:divBdr>
        <w:top w:val="none" w:sz="0" w:space="0" w:color="auto"/>
        <w:left w:val="none" w:sz="0" w:space="0" w:color="auto"/>
        <w:bottom w:val="none" w:sz="0" w:space="0" w:color="auto"/>
        <w:right w:val="none" w:sz="0" w:space="0" w:color="auto"/>
      </w:divBdr>
    </w:div>
    <w:div w:id="702487713">
      <w:bodyDiv w:val="1"/>
      <w:marLeft w:val="0"/>
      <w:marRight w:val="0"/>
      <w:marTop w:val="0"/>
      <w:marBottom w:val="0"/>
      <w:divBdr>
        <w:top w:val="none" w:sz="0" w:space="0" w:color="auto"/>
        <w:left w:val="none" w:sz="0" w:space="0" w:color="auto"/>
        <w:bottom w:val="none" w:sz="0" w:space="0" w:color="auto"/>
        <w:right w:val="none" w:sz="0" w:space="0" w:color="auto"/>
      </w:divBdr>
    </w:div>
    <w:div w:id="707533650">
      <w:bodyDiv w:val="1"/>
      <w:marLeft w:val="0"/>
      <w:marRight w:val="0"/>
      <w:marTop w:val="0"/>
      <w:marBottom w:val="0"/>
      <w:divBdr>
        <w:top w:val="none" w:sz="0" w:space="0" w:color="auto"/>
        <w:left w:val="none" w:sz="0" w:space="0" w:color="auto"/>
        <w:bottom w:val="none" w:sz="0" w:space="0" w:color="auto"/>
        <w:right w:val="none" w:sz="0" w:space="0" w:color="auto"/>
      </w:divBdr>
    </w:div>
    <w:div w:id="708259275">
      <w:bodyDiv w:val="1"/>
      <w:marLeft w:val="0"/>
      <w:marRight w:val="0"/>
      <w:marTop w:val="0"/>
      <w:marBottom w:val="0"/>
      <w:divBdr>
        <w:top w:val="none" w:sz="0" w:space="0" w:color="auto"/>
        <w:left w:val="none" w:sz="0" w:space="0" w:color="auto"/>
        <w:bottom w:val="none" w:sz="0" w:space="0" w:color="auto"/>
        <w:right w:val="none" w:sz="0" w:space="0" w:color="auto"/>
      </w:divBdr>
    </w:div>
    <w:div w:id="713819179">
      <w:bodyDiv w:val="1"/>
      <w:marLeft w:val="0"/>
      <w:marRight w:val="0"/>
      <w:marTop w:val="0"/>
      <w:marBottom w:val="0"/>
      <w:divBdr>
        <w:top w:val="none" w:sz="0" w:space="0" w:color="auto"/>
        <w:left w:val="none" w:sz="0" w:space="0" w:color="auto"/>
        <w:bottom w:val="none" w:sz="0" w:space="0" w:color="auto"/>
        <w:right w:val="none" w:sz="0" w:space="0" w:color="auto"/>
      </w:divBdr>
    </w:div>
    <w:div w:id="716129798">
      <w:bodyDiv w:val="1"/>
      <w:marLeft w:val="0"/>
      <w:marRight w:val="0"/>
      <w:marTop w:val="0"/>
      <w:marBottom w:val="0"/>
      <w:divBdr>
        <w:top w:val="none" w:sz="0" w:space="0" w:color="auto"/>
        <w:left w:val="none" w:sz="0" w:space="0" w:color="auto"/>
        <w:bottom w:val="none" w:sz="0" w:space="0" w:color="auto"/>
        <w:right w:val="none" w:sz="0" w:space="0" w:color="auto"/>
      </w:divBdr>
    </w:div>
    <w:div w:id="747457590">
      <w:bodyDiv w:val="1"/>
      <w:marLeft w:val="0"/>
      <w:marRight w:val="0"/>
      <w:marTop w:val="0"/>
      <w:marBottom w:val="0"/>
      <w:divBdr>
        <w:top w:val="none" w:sz="0" w:space="0" w:color="auto"/>
        <w:left w:val="none" w:sz="0" w:space="0" w:color="auto"/>
        <w:bottom w:val="none" w:sz="0" w:space="0" w:color="auto"/>
        <w:right w:val="none" w:sz="0" w:space="0" w:color="auto"/>
      </w:divBdr>
    </w:div>
    <w:div w:id="805125252">
      <w:bodyDiv w:val="1"/>
      <w:marLeft w:val="0"/>
      <w:marRight w:val="0"/>
      <w:marTop w:val="0"/>
      <w:marBottom w:val="0"/>
      <w:divBdr>
        <w:top w:val="none" w:sz="0" w:space="0" w:color="auto"/>
        <w:left w:val="none" w:sz="0" w:space="0" w:color="auto"/>
        <w:bottom w:val="none" w:sz="0" w:space="0" w:color="auto"/>
        <w:right w:val="none" w:sz="0" w:space="0" w:color="auto"/>
      </w:divBdr>
    </w:div>
    <w:div w:id="824781141">
      <w:bodyDiv w:val="1"/>
      <w:marLeft w:val="0"/>
      <w:marRight w:val="0"/>
      <w:marTop w:val="0"/>
      <w:marBottom w:val="0"/>
      <w:divBdr>
        <w:top w:val="none" w:sz="0" w:space="0" w:color="auto"/>
        <w:left w:val="none" w:sz="0" w:space="0" w:color="auto"/>
        <w:bottom w:val="none" w:sz="0" w:space="0" w:color="auto"/>
        <w:right w:val="none" w:sz="0" w:space="0" w:color="auto"/>
      </w:divBdr>
    </w:div>
    <w:div w:id="833489495">
      <w:bodyDiv w:val="1"/>
      <w:marLeft w:val="0"/>
      <w:marRight w:val="0"/>
      <w:marTop w:val="0"/>
      <w:marBottom w:val="0"/>
      <w:divBdr>
        <w:top w:val="none" w:sz="0" w:space="0" w:color="auto"/>
        <w:left w:val="none" w:sz="0" w:space="0" w:color="auto"/>
        <w:bottom w:val="none" w:sz="0" w:space="0" w:color="auto"/>
        <w:right w:val="none" w:sz="0" w:space="0" w:color="auto"/>
      </w:divBdr>
    </w:div>
    <w:div w:id="844436717">
      <w:bodyDiv w:val="1"/>
      <w:marLeft w:val="0"/>
      <w:marRight w:val="0"/>
      <w:marTop w:val="0"/>
      <w:marBottom w:val="0"/>
      <w:divBdr>
        <w:top w:val="none" w:sz="0" w:space="0" w:color="auto"/>
        <w:left w:val="none" w:sz="0" w:space="0" w:color="auto"/>
        <w:bottom w:val="none" w:sz="0" w:space="0" w:color="auto"/>
        <w:right w:val="none" w:sz="0" w:space="0" w:color="auto"/>
      </w:divBdr>
    </w:div>
    <w:div w:id="869756651">
      <w:bodyDiv w:val="1"/>
      <w:marLeft w:val="0"/>
      <w:marRight w:val="0"/>
      <w:marTop w:val="0"/>
      <w:marBottom w:val="0"/>
      <w:divBdr>
        <w:top w:val="none" w:sz="0" w:space="0" w:color="auto"/>
        <w:left w:val="none" w:sz="0" w:space="0" w:color="auto"/>
        <w:bottom w:val="none" w:sz="0" w:space="0" w:color="auto"/>
        <w:right w:val="none" w:sz="0" w:space="0" w:color="auto"/>
      </w:divBdr>
    </w:div>
    <w:div w:id="874073850">
      <w:bodyDiv w:val="1"/>
      <w:marLeft w:val="0"/>
      <w:marRight w:val="0"/>
      <w:marTop w:val="0"/>
      <w:marBottom w:val="0"/>
      <w:divBdr>
        <w:top w:val="none" w:sz="0" w:space="0" w:color="auto"/>
        <w:left w:val="none" w:sz="0" w:space="0" w:color="auto"/>
        <w:bottom w:val="none" w:sz="0" w:space="0" w:color="auto"/>
        <w:right w:val="none" w:sz="0" w:space="0" w:color="auto"/>
      </w:divBdr>
    </w:div>
    <w:div w:id="888613639">
      <w:bodyDiv w:val="1"/>
      <w:marLeft w:val="0"/>
      <w:marRight w:val="0"/>
      <w:marTop w:val="0"/>
      <w:marBottom w:val="0"/>
      <w:divBdr>
        <w:top w:val="none" w:sz="0" w:space="0" w:color="auto"/>
        <w:left w:val="none" w:sz="0" w:space="0" w:color="auto"/>
        <w:bottom w:val="none" w:sz="0" w:space="0" w:color="auto"/>
        <w:right w:val="none" w:sz="0" w:space="0" w:color="auto"/>
      </w:divBdr>
    </w:div>
    <w:div w:id="902567929">
      <w:bodyDiv w:val="1"/>
      <w:marLeft w:val="0"/>
      <w:marRight w:val="0"/>
      <w:marTop w:val="0"/>
      <w:marBottom w:val="0"/>
      <w:divBdr>
        <w:top w:val="none" w:sz="0" w:space="0" w:color="auto"/>
        <w:left w:val="none" w:sz="0" w:space="0" w:color="auto"/>
        <w:bottom w:val="none" w:sz="0" w:space="0" w:color="auto"/>
        <w:right w:val="none" w:sz="0" w:space="0" w:color="auto"/>
      </w:divBdr>
    </w:div>
    <w:div w:id="909344608">
      <w:bodyDiv w:val="1"/>
      <w:marLeft w:val="0"/>
      <w:marRight w:val="0"/>
      <w:marTop w:val="0"/>
      <w:marBottom w:val="0"/>
      <w:divBdr>
        <w:top w:val="none" w:sz="0" w:space="0" w:color="auto"/>
        <w:left w:val="none" w:sz="0" w:space="0" w:color="auto"/>
        <w:bottom w:val="none" w:sz="0" w:space="0" w:color="auto"/>
        <w:right w:val="none" w:sz="0" w:space="0" w:color="auto"/>
      </w:divBdr>
    </w:div>
    <w:div w:id="990520646">
      <w:bodyDiv w:val="1"/>
      <w:marLeft w:val="0"/>
      <w:marRight w:val="0"/>
      <w:marTop w:val="0"/>
      <w:marBottom w:val="0"/>
      <w:divBdr>
        <w:top w:val="none" w:sz="0" w:space="0" w:color="auto"/>
        <w:left w:val="none" w:sz="0" w:space="0" w:color="auto"/>
        <w:bottom w:val="none" w:sz="0" w:space="0" w:color="auto"/>
        <w:right w:val="none" w:sz="0" w:space="0" w:color="auto"/>
      </w:divBdr>
    </w:div>
    <w:div w:id="993409486">
      <w:bodyDiv w:val="1"/>
      <w:marLeft w:val="0"/>
      <w:marRight w:val="0"/>
      <w:marTop w:val="0"/>
      <w:marBottom w:val="0"/>
      <w:divBdr>
        <w:top w:val="none" w:sz="0" w:space="0" w:color="auto"/>
        <w:left w:val="none" w:sz="0" w:space="0" w:color="auto"/>
        <w:bottom w:val="none" w:sz="0" w:space="0" w:color="auto"/>
        <w:right w:val="none" w:sz="0" w:space="0" w:color="auto"/>
      </w:divBdr>
    </w:div>
    <w:div w:id="1030570340">
      <w:bodyDiv w:val="1"/>
      <w:marLeft w:val="0"/>
      <w:marRight w:val="0"/>
      <w:marTop w:val="0"/>
      <w:marBottom w:val="0"/>
      <w:divBdr>
        <w:top w:val="none" w:sz="0" w:space="0" w:color="auto"/>
        <w:left w:val="none" w:sz="0" w:space="0" w:color="auto"/>
        <w:bottom w:val="none" w:sz="0" w:space="0" w:color="auto"/>
        <w:right w:val="none" w:sz="0" w:space="0" w:color="auto"/>
      </w:divBdr>
    </w:div>
    <w:div w:id="1043167249">
      <w:bodyDiv w:val="1"/>
      <w:marLeft w:val="0"/>
      <w:marRight w:val="0"/>
      <w:marTop w:val="0"/>
      <w:marBottom w:val="0"/>
      <w:divBdr>
        <w:top w:val="none" w:sz="0" w:space="0" w:color="auto"/>
        <w:left w:val="none" w:sz="0" w:space="0" w:color="auto"/>
        <w:bottom w:val="none" w:sz="0" w:space="0" w:color="auto"/>
        <w:right w:val="none" w:sz="0" w:space="0" w:color="auto"/>
      </w:divBdr>
    </w:div>
    <w:div w:id="1064067764">
      <w:bodyDiv w:val="1"/>
      <w:marLeft w:val="0"/>
      <w:marRight w:val="0"/>
      <w:marTop w:val="0"/>
      <w:marBottom w:val="0"/>
      <w:divBdr>
        <w:top w:val="none" w:sz="0" w:space="0" w:color="auto"/>
        <w:left w:val="none" w:sz="0" w:space="0" w:color="auto"/>
        <w:bottom w:val="none" w:sz="0" w:space="0" w:color="auto"/>
        <w:right w:val="none" w:sz="0" w:space="0" w:color="auto"/>
      </w:divBdr>
      <w:divsChild>
        <w:div w:id="1323003356">
          <w:marLeft w:val="0"/>
          <w:marRight w:val="0"/>
          <w:marTop w:val="0"/>
          <w:marBottom w:val="0"/>
          <w:divBdr>
            <w:top w:val="none" w:sz="0" w:space="0" w:color="auto"/>
            <w:left w:val="none" w:sz="0" w:space="0" w:color="auto"/>
            <w:bottom w:val="none" w:sz="0" w:space="0" w:color="auto"/>
            <w:right w:val="none" w:sz="0" w:space="0" w:color="auto"/>
          </w:divBdr>
          <w:divsChild>
            <w:div w:id="208736300">
              <w:marLeft w:val="0"/>
              <w:marRight w:val="0"/>
              <w:marTop w:val="0"/>
              <w:marBottom w:val="0"/>
              <w:divBdr>
                <w:top w:val="none" w:sz="0" w:space="0" w:color="auto"/>
                <w:left w:val="none" w:sz="0" w:space="0" w:color="auto"/>
                <w:bottom w:val="none" w:sz="0" w:space="0" w:color="auto"/>
                <w:right w:val="none" w:sz="0" w:space="0" w:color="auto"/>
              </w:divBdr>
            </w:div>
            <w:div w:id="1451313486">
              <w:marLeft w:val="0"/>
              <w:marRight w:val="0"/>
              <w:marTop w:val="0"/>
              <w:marBottom w:val="0"/>
              <w:divBdr>
                <w:top w:val="none" w:sz="0" w:space="0" w:color="auto"/>
                <w:left w:val="none" w:sz="0" w:space="0" w:color="auto"/>
                <w:bottom w:val="none" w:sz="0" w:space="0" w:color="auto"/>
                <w:right w:val="none" w:sz="0" w:space="0" w:color="auto"/>
              </w:divBdr>
            </w:div>
            <w:div w:id="192533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696123">
      <w:bodyDiv w:val="1"/>
      <w:marLeft w:val="0"/>
      <w:marRight w:val="0"/>
      <w:marTop w:val="0"/>
      <w:marBottom w:val="0"/>
      <w:divBdr>
        <w:top w:val="none" w:sz="0" w:space="0" w:color="auto"/>
        <w:left w:val="none" w:sz="0" w:space="0" w:color="auto"/>
        <w:bottom w:val="none" w:sz="0" w:space="0" w:color="auto"/>
        <w:right w:val="none" w:sz="0" w:space="0" w:color="auto"/>
      </w:divBdr>
    </w:div>
    <w:div w:id="1069765617">
      <w:bodyDiv w:val="1"/>
      <w:marLeft w:val="0"/>
      <w:marRight w:val="0"/>
      <w:marTop w:val="0"/>
      <w:marBottom w:val="0"/>
      <w:divBdr>
        <w:top w:val="none" w:sz="0" w:space="0" w:color="auto"/>
        <w:left w:val="none" w:sz="0" w:space="0" w:color="auto"/>
        <w:bottom w:val="none" w:sz="0" w:space="0" w:color="auto"/>
        <w:right w:val="none" w:sz="0" w:space="0" w:color="auto"/>
      </w:divBdr>
    </w:div>
    <w:div w:id="1087533878">
      <w:bodyDiv w:val="1"/>
      <w:marLeft w:val="0"/>
      <w:marRight w:val="0"/>
      <w:marTop w:val="0"/>
      <w:marBottom w:val="0"/>
      <w:divBdr>
        <w:top w:val="none" w:sz="0" w:space="0" w:color="auto"/>
        <w:left w:val="none" w:sz="0" w:space="0" w:color="auto"/>
        <w:bottom w:val="none" w:sz="0" w:space="0" w:color="auto"/>
        <w:right w:val="none" w:sz="0" w:space="0" w:color="auto"/>
      </w:divBdr>
    </w:div>
    <w:div w:id="1103501543">
      <w:bodyDiv w:val="1"/>
      <w:marLeft w:val="0"/>
      <w:marRight w:val="0"/>
      <w:marTop w:val="0"/>
      <w:marBottom w:val="0"/>
      <w:divBdr>
        <w:top w:val="none" w:sz="0" w:space="0" w:color="auto"/>
        <w:left w:val="none" w:sz="0" w:space="0" w:color="auto"/>
        <w:bottom w:val="none" w:sz="0" w:space="0" w:color="auto"/>
        <w:right w:val="none" w:sz="0" w:space="0" w:color="auto"/>
      </w:divBdr>
    </w:div>
    <w:div w:id="1122185201">
      <w:bodyDiv w:val="1"/>
      <w:marLeft w:val="0"/>
      <w:marRight w:val="0"/>
      <w:marTop w:val="0"/>
      <w:marBottom w:val="0"/>
      <w:divBdr>
        <w:top w:val="none" w:sz="0" w:space="0" w:color="auto"/>
        <w:left w:val="none" w:sz="0" w:space="0" w:color="auto"/>
        <w:bottom w:val="none" w:sz="0" w:space="0" w:color="auto"/>
        <w:right w:val="none" w:sz="0" w:space="0" w:color="auto"/>
      </w:divBdr>
    </w:div>
    <w:div w:id="1124692150">
      <w:bodyDiv w:val="1"/>
      <w:marLeft w:val="0"/>
      <w:marRight w:val="0"/>
      <w:marTop w:val="0"/>
      <w:marBottom w:val="0"/>
      <w:divBdr>
        <w:top w:val="none" w:sz="0" w:space="0" w:color="auto"/>
        <w:left w:val="none" w:sz="0" w:space="0" w:color="auto"/>
        <w:bottom w:val="none" w:sz="0" w:space="0" w:color="auto"/>
        <w:right w:val="none" w:sz="0" w:space="0" w:color="auto"/>
      </w:divBdr>
    </w:div>
    <w:div w:id="1129589463">
      <w:bodyDiv w:val="1"/>
      <w:marLeft w:val="0"/>
      <w:marRight w:val="0"/>
      <w:marTop w:val="0"/>
      <w:marBottom w:val="0"/>
      <w:divBdr>
        <w:top w:val="none" w:sz="0" w:space="0" w:color="auto"/>
        <w:left w:val="none" w:sz="0" w:space="0" w:color="auto"/>
        <w:bottom w:val="none" w:sz="0" w:space="0" w:color="auto"/>
        <w:right w:val="none" w:sz="0" w:space="0" w:color="auto"/>
      </w:divBdr>
    </w:div>
    <w:div w:id="1173254795">
      <w:bodyDiv w:val="1"/>
      <w:marLeft w:val="0"/>
      <w:marRight w:val="0"/>
      <w:marTop w:val="0"/>
      <w:marBottom w:val="0"/>
      <w:divBdr>
        <w:top w:val="none" w:sz="0" w:space="0" w:color="auto"/>
        <w:left w:val="none" w:sz="0" w:space="0" w:color="auto"/>
        <w:bottom w:val="none" w:sz="0" w:space="0" w:color="auto"/>
        <w:right w:val="none" w:sz="0" w:space="0" w:color="auto"/>
      </w:divBdr>
    </w:div>
    <w:div w:id="1232152265">
      <w:bodyDiv w:val="1"/>
      <w:marLeft w:val="0"/>
      <w:marRight w:val="0"/>
      <w:marTop w:val="0"/>
      <w:marBottom w:val="0"/>
      <w:divBdr>
        <w:top w:val="none" w:sz="0" w:space="0" w:color="auto"/>
        <w:left w:val="none" w:sz="0" w:space="0" w:color="auto"/>
        <w:bottom w:val="none" w:sz="0" w:space="0" w:color="auto"/>
        <w:right w:val="none" w:sz="0" w:space="0" w:color="auto"/>
      </w:divBdr>
    </w:div>
    <w:div w:id="1240480345">
      <w:bodyDiv w:val="1"/>
      <w:marLeft w:val="0"/>
      <w:marRight w:val="0"/>
      <w:marTop w:val="0"/>
      <w:marBottom w:val="0"/>
      <w:divBdr>
        <w:top w:val="none" w:sz="0" w:space="0" w:color="auto"/>
        <w:left w:val="none" w:sz="0" w:space="0" w:color="auto"/>
        <w:bottom w:val="none" w:sz="0" w:space="0" w:color="auto"/>
        <w:right w:val="none" w:sz="0" w:space="0" w:color="auto"/>
      </w:divBdr>
    </w:div>
    <w:div w:id="1264611865">
      <w:bodyDiv w:val="1"/>
      <w:marLeft w:val="0"/>
      <w:marRight w:val="0"/>
      <w:marTop w:val="0"/>
      <w:marBottom w:val="0"/>
      <w:divBdr>
        <w:top w:val="none" w:sz="0" w:space="0" w:color="auto"/>
        <w:left w:val="none" w:sz="0" w:space="0" w:color="auto"/>
        <w:bottom w:val="none" w:sz="0" w:space="0" w:color="auto"/>
        <w:right w:val="none" w:sz="0" w:space="0" w:color="auto"/>
      </w:divBdr>
    </w:div>
    <w:div w:id="1270160263">
      <w:bodyDiv w:val="1"/>
      <w:marLeft w:val="0"/>
      <w:marRight w:val="0"/>
      <w:marTop w:val="0"/>
      <w:marBottom w:val="0"/>
      <w:divBdr>
        <w:top w:val="none" w:sz="0" w:space="0" w:color="auto"/>
        <w:left w:val="none" w:sz="0" w:space="0" w:color="auto"/>
        <w:bottom w:val="none" w:sz="0" w:space="0" w:color="auto"/>
        <w:right w:val="none" w:sz="0" w:space="0" w:color="auto"/>
      </w:divBdr>
    </w:div>
    <w:div w:id="1322542513">
      <w:bodyDiv w:val="1"/>
      <w:marLeft w:val="0"/>
      <w:marRight w:val="0"/>
      <w:marTop w:val="0"/>
      <w:marBottom w:val="0"/>
      <w:divBdr>
        <w:top w:val="none" w:sz="0" w:space="0" w:color="auto"/>
        <w:left w:val="none" w:sz="0" w:space="0" w:color="auto"/>
        <w:bottom w:val="none" w:sz="0" w:space="0" w:color="auto"/>
        <w:right w:val="none" w:sz="0" w:space="0" w:color="auto"/>
      </w:divBdr>
    </w:div>
    <w:div w:id="1324822194">
      <w:bodyDiv w:val="1"/>
      <w:marLeft w:val="0"/>
      <w:marRight w:val="0"/>
      <w:marTop w:val="0"/>
      <w:marBottom w:val="0"/>
      <w:divBdr>
        <w:top w:val="none" w:sz="0" w:space="0" w:color="auto"/>
        <w:left w:val="none" w:sz="0" w:space="0" w:color="auto"/>
        <w:bottom w:val="none" w:sz="0" w:space="0" w:color="auto"/>
        <w:right w:val="none" w:sz="0" w:space="0" w:color="auto"/>
      </w:divBdr>
    </w:div>
    <w:div w:id="1458984033">
      <w:bodyDiv w:val="1"/>
      <w:marLeft w:val="0"/>
      <w:marRight w:val="0"/>
      <w:marTop w:val="0"/>
      <w:marBottom w:val="0"/>
      <w:divBdr>
        <w:top w:val="none" w:sz="0" w:space="0" w:color="auto"/>
        <w:left w:val="none" w:sz="0" w:space="0" w:color="auto"/>
        <w:bottom w:val="none" w:sz="0" w:space="0" w:color="auto"/>
        <w:right w:val="none" w:sz="0" w:space="0" w:color="auto"/>
      </w:divBdr>
    </w:div>
    <w:div w:id="1463187859">
      <w:bodyDiv w:val="1"/>
      <w:marLeft w:val="0"/>
      <w:marRight w:val="0"/>
      <w:marTop w:val="0"/>
      <w:marBottom w:val="0"/>
      <w:divBdr>
        <w:top w:val="none" w:sz="0" w:space="0" w:color="auto"/>
        <w:left w:val="none" w:sz="0" w:space="0" w:color="auto"/>
        <w:bottom w:val="none" w:sz="0" w:space="0" w:color="auto"/>
        <w:right w:val="none" w:sz="0" w:space="0" w:color="auto"/>
      </w:divBdr>
    </w:div>
    <w:div w:id="1496915668">
      <w:bodyDiv w:val="1"/>
      <w:marLeft w:val="0"/>
      <w:marRight w:val="0"/>
      <w:marTop w:val="0"/>
      <w:marBottom w:val="0"/>
      <w:divBdr>
        <w:top w:val="none" w:sz="0" w:space="0" w:color="auto"/>
        <w:left w:val="none" w:sz="0" w:space="0" w:color="auto"/>
        <w:bottom w:val="none" w:sz="0" w:space="0" w:color="auto"/>
        <w:right w:val="none" w:sz="0" w:space="0" w:color="auto"/>
      </w:divBdr>
    </w:div>
    <w:div w:id="1498034190">
      <w:bodyDiv w:val="1"/>
      <w:marLeft w:val="0"/>
      <w:marRight w:val="0"/>
      <w:marTop w:val="0"/>
      <w:marBottom w:val="0"/>
      <w:divBdr>
        <w:top w:val="none" w:sz="0" w:space="0" w:color="auto"/>
        <w:left w:val="none" w:sz="0" w:space="0" w:color="auto"/>
        <w:bottom w:val="none" w:sz="0" w:space="0" w:color="auto"/>
        <w:right w:val="none" w:sz="0" w:space="0" w:color="auto"/>
      </w:divBdr>
    </w:div>
    <w:div w:id="1511721583">
      <w:bodyDiv w:val="1"/>
      <w:marLeft w:val="0"/>
      <w:marRight w:val="0"/>
      <w:marTop w:val="0"/>
      <w:marBottom w:val="0"/>
      <w:divBdr>
        <w:top w:val="none" w:sz="0" w:space="0" w:color="auto"/>
        <w:left w:val="none" w:sz="0" w:space="0" w:color="auto"/>
        <w:bottom w:val="none" w:sz="0" w:space="0" w:color="auto"/>
        <w:right w:val="none" w:sz="0" w:space="0" w:color="auto"/>
      </w:divBdr>
      <w:divsChild>
        <w:div w:id="1090472804">
          <w:marLeft w:val="0"/>
          <w:marRight w:val="0"/>
          <w:marTop w:val="0"/>
          <w:marBottom w:val="0"/>
          <w:divBdr>
            <w:top w:val="none" w:sz="0" w:space="0" w:color="auto"/>
            <w:left w:val="none" w:sz="0" w:space="0" w:color="auto"/>
            <w:bottom w:val="none" w:sz="0" w:space="0" w:color="auto"/>
            <w:right w:val="none" w:sz="0" w:space="0" w:color="auto"/>
          </w:divBdr>
          <w:divsChild>
            <w:div w:id="1251424335">
              <w:marLeft w:val="0"/>
              <w:marRight w:val="0"/>
              <w:marTop w:val="0"/>
              <w:marBottom w:val="0"/>
              <w:divBdr>
                <w:top w:val="none" w:sz="0" w:space="0" w:color="auto"/>
                <w:left w:val="none" w:sz="0" w:space="0" w:color="auto"/>
                <w:bottom w:val="none" w:sz="0" w:space="0" w:color="auto"/>
                <w:right w:val="none" w:sz="0" w:space="0" w:color="auto"/>
              </w:divBdr>
              <w:divsChild>
                <w:div w:id="939029340">
                  <w:marLeft w:val="0"/>
                  <w:marRight w:val="0"/>
                  <w:marTop w:val="0"/>
                  <w:marBottom w:val="0"/>
                  <w:divBdr>
                    <w:top w:val="none" w:sz="0" w:space="0" w:color="auto"/>
                    <w:left w:val="none" w:sz="0" w:space="0" w:color="auto"/>
                    <w:bottom w:val="none" w:sz="0" w:space="0" w:color="auto"/>
                    <w:right w:val="none" w:sz="0" w:space="0" w:color="auto"/>
                  </w:divBdr>
                  <w:divsChild>
                    <w:div w:id="581305753">
                      <w:marLeft w:val="-225"/>
                      <w:marRight w:val="-225"/>
                      <w:marTop w:val="0"/>
                      <w:marBottom w:val="0"/>
                      <w:divBdr>
                        <w:top w:val="none" w:sz="0" w:space="0" w:color="auto"/>
                        <w:left w:val="none" w:sz="0" w:space="0" w:color="auto"/>
                        <w:bottom w:val="none" w:sz="0" w:space="0" w:color="auto"/>
                        <w:right w:val="none" w:sz="0" w:space="0" w:color="auto"/>
                      </w:divBdr>
                      <w:divsChild>
                        <w:div w:id="766390987">
                          <w:marLeft w:val="0"/>
                          <w:marRight w:val="0"/>
                          <w:marTop w:val="0"/>
                          <w:marBottom w:val="0"/>
                          <w:divBdr>
                            <w:top w:val="none" w:sz="0" w:space="0" w:color="auto"/>
                            <w:left w:val="none" w:sz="0" w:space="0" w:color="auto"/>
                            <w:bottom w:val="none" w:sz="0" w:space="0" w:color="auto"/>
                            <w:right w:val="none" w:sz="0" w:space="0" w:color="auto"/>
                          </w:divBdr>
                          <w:divsChild>
                            <w:div w:id="634289849">
                              <w:marLeft w:val="0"/>
                              <w:marRight w:val="0"/>
                              <w:marTop w:val="0"/>
                              <w:marBottom w:val="0"/>
                              <w:divBdr>
                                <w:top w:val="none" w:sz="0" w:space="0" w:color="auto"/>
                                <w:left w:val="none" w:sz="0" w:space="0" w:color="auto"/>
                                <w:bottom w:val="none" w:sz="0" w:space="0" w:color="auto"/>
                                <w:right w:val="none" w:sz="0" w:space="0" w:color="auto"/>
                              </w:divBdr>
                              <w:divsChild>
                                <w:div w:id="143858374">
                                  <w:marLeft w:val="0"/>
                                  <w:marRight w:val="0"/>
                                  <w:marTop w:val="0"/>
                                  <w:marBottom w:val="0"/>
                                  <w:divBdr>
                                    <w:top w:val="none" w:sz="0" w:space="0" w:color="auto"/>
                                    <w:left w:val="none" w:sz="0" w:space="0" w:color="auto"/>
                                    <w:bottom w:val="none" w:sz="0" w:space="0" w:color="auto"/>
                                    <w:right w:val="none" w:sz="0" w:space="0" w:color="auto"/>
                                  </w:divBdr>
                                  <w:divsChild>
                                    <w:div w:id="1893301877">
                                      <w:marLeft w:val="0"/>
                                      <w:marRight w:val="0"/>
                                      <w:marTop w:val="0"/>
                                      <w:marBottom w:val="0"/>
                                      <w:divBdr>
                                        <w:top w:val="none" w:sz="0" w:space="0" w:color="auto"/>
                                        <w:left w:val="none" w:sz="0" w:space="0" w:color="auto"/>
                                        <w:bottom w:val="none" w:sz="0" w:space="0" w:color="auto"/>
                                        <w:right w:val="none" w:sz="0" w:space="0" w:color="auto"/>
                                      </w:divBdr>
                                      <w:divsChild>
                                        <w:div w:id="122700507">
                                          <w:marLeft w:val="0"/>
                                          <w:marRight w:val="0"/>
                                          <w:marTop w:val="0"/>
                                          <w:marBottom w:val="0"/>
                                          <w:divBdr>
                                            <w:top w:val="none" w:sz="0" w:space="0" w:color="auto"/>
                                            <w:left w:val="none" w:sz="0" w:space="0" w:color="auto"/>
                                            <w:bottom w:val="none" w:sz="0" w:space="0" w:color="auto"/>
                                            <w:right w:val="none" w:sz="0" w:space="0" w:color="auto"/>
                                          </w:divBdr>
                                          <w:divsChild>
                                            <w:div w:id="846021583">
                                              <w:marLeft w:val="0"/>
                                              <w:marRight w:val="0"/>
                                              <w:marTop w:val="0"/>
                                              <w:marBottom w:val="0"/>
                                              <w:divBdr>
                                                <w:top w:val="none" w:sz="0" w:space="0" w:color="auto"/>
                                                <w:left w:val="none" w:sz="0" w:space="0" w:color="auto"/>
                                                <w:bottom w:val="none" w:sz="0" w:space="0" w:color="auto"/>
                                                <w:right w:val="none" w:sz="0" w:space="0" w:color="auto"/>
                                              </w:divBdr>
                                              <w:divsChild>
                                                <w:div w:id="1001078029">
                                                  <w:marLeft w:val="0"/>
                                                  <w:marRight w:val="0"/>
                                                  <w:marTop w:val="0"/>
                                                  <w:marBottom w:val="0"/>
                                                  <w:divBdr>
                                                    <w:top w:val="none" w:sz="0" w:space="0" w:color="auto"/>
                                                    <w:left w:val="none" w:sz="0" w:space="0" w:color="auto"/>
                                                    <w:bottom w:val="none" w:sz="0" w:space="0" w:color="auto"/>
                                                    <w:right w:val="none" w:sz="0" w:space="0" w:color="auto"/>
                                                  </w:divBdr>
                                                  <w:divsChild>
                                                    <w:div w:id="2008510313">
                                                      <w:marLeft w:val="0"/>
                                                      <w:marRight w:val="0"/>
                                                      <w:marTop w:val="0"/>
                                                      <w:marBottom w:val="0"/>
                                                      <w:divBdr>
                                                        <w:top w:val="none" w:sz="0" w:space="0" w:color="auto"/>
                                                        <w:left w:val="none" w:sz="0" w:space="0" w:color="auto"/>
                                                        <w:bottom w:val="none" w:sz="0" w:space="0" w:color="auto"/>
                                                        <w:right w:val="none" w:sz="0" w:space="0" w:color="auto"/>
                                                      </w:divBdr>
                                                      <w:divsChild>
                                                        <w:div w:id="470950127">
                                                          <w:marLeft w:val="0"/>
                                                          <w:marRight w:val="0"/>
                                                          <w:marTop w:val="0"/>
                                                          <w:marBottom w:val="0"/>
                                                          <w:divBdr>
                                                            <w:top w:val="none" w:sz="0" w:space="0" w:color="auto"/>
                                                            <w:left w:val="none" w:sz="0" w:space="0" w:color="auto"/>
                                                            <w:bottom w:val="none" w:sz="0" w:space="0" w:color="auto"/>
                                                            <w:right w:val="none" w:sz="0" w:space="0" w:color="auto"/>
                                                          </w:divBdr>
                                                          <w:divsChild>
                                                            <w:div w:id="795296119">
                                                              <w:marLeft w:val="0"/>
                                                              <w:marRight w:val="0"/>
                                                              <w:marTop w:val="0"/>
                                                              <w:marBottom w:val="0"/>
                                                              <w:divBdr>
                                                                <w:top w:val="none" w:sz="0" w:space="0" w:color="auto"/>
                                                                <w:left w:val="none" w:sz="0" w:space="0" w:color="auto"/>
                                                                <w:bottom w:val="none" w:sz="0" w:space="0" w:color="auto"/>
                                                                <w:right w:val="none" w:sz="0" w:space="0" w:color="auto"/>
                                                              </w:divBdr>
                                                              <w:divsChild>
                                                                <w:div w:id="984166538">
                                                                  <w:marLeft w:val="0"/>
                                                                  <w:marRight w:val="0"/>
                                                                  <w:marTop w:val="0"/>
                                                                  <w:marBottom w:val="0"/>
                                                                  <w:divBdr>
                                                                    <w:top w:val="none" w:sz="0" w:space="0" w:color="auto"/>
                                                                    <w:left w:val="none" w:sz="0" w:space="0" w:color="auto"/>
                                                                    <w:bottom w:val="none" w:sz="0" w:space="0" w:color="auto"/>
                                                                    <w:right w:val="none" w:sz="0" w:space="0" w:color="auto"/>
                                                                  </w:divBdr>
                                                                  <w:divsChild>
                                                                    <w:div w:id="233439894">
                                                                      <w:marLeft w:val="0"/>
                                                                      <w:marRight w:val="0"/>
                                                                      <w:marTop w:val="0"/>
                                                                      <w:marBottom w:val="0"/>
                                                                      <w:divBdr>
                                                                        <w:top w:val="none" w:sz="0" w:space="0" w:color="auto"/>
                                                                        <w:left w:val="none" w:sz="0" w:space="0" w:color="auto"/>
                                                                        <w:bottom w:val="none" w:sz="0" w:space="0" w:color="auto"/>
                                                                        <w:right w:val="none" w:sz="0" w:space="0" w:color="auto"/>
                                                                      </w:divBdr>
                                                                      <w:divsChild>
                                                                        <w:div w:id="1501580944">
                                                                          <w:marLeft w:val="0"/>
                                                                          <w:marRight w:val="0"/>
                                                                          <w:marTop w:val="0"/>
                                                                          <w:marBottom w:val="0"/>
                                                                          <w:divBdr>
                                                                            <w:top w:val="none" w:sz="0" w:space="0" w:color="auto"/>
                                                                            <w:left w:val="single" w:sz="6" w:space="0" w:color="EAEAEA"/>
                                                                            <w:bottom w:val="single" w:sz="6" w:space="0" w:color="EAEAEA"/>
                                                                            <w:right w:val="single" w:sz="6" w:space="0" w:color="EAEAEA"/>
                                                                          </w:divBdr>
                                                                          <w:divsChild>
                                                                            <w:div w:id="1520464613">
                                                                              <w:marLeft w:val="0"/>
                                                                              <w:marRight w:val="0"/>
                                                                              <w:marTop w:val="0"/>
                                                                              <w:marBottom w:val="0"/>
                                                                              <w:divBdr>
                                                                                <w:top w:val="none" w:sz="0" w:space="0" w:color="auto"/>
                                                                                <w:left w:val="none" w:sz="0" w:space="0" w:color="auto"/>
                                                                                <w:bottom w:val="none" w:sz="0" w:space="0" w:color="auto"/>
                                                                                <w:right w:val="none" w:sz="0" w:space="0" w:color="auto"/>
                                                                              </w:divBdr>
                                                                              <w:divsChild>
                                                                                <w:div w:id="77902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4095680">
      <w:bodyDiv w:val="1"/>
      <w:marLeft w:val="0"/>
      <w:marRight w:val="0"/>
      <w:marTop w:val="0"/>
      <w:marBottom w:val="0"/>
      <w:divBdr>
        <w:top w:val="none" w:sz="0" w:space="0" w:color="auto"/>
        <w:left w:val="none" w:sz="0" w:space="0" w:color="auto"/>
        <w:bottom w:val="none" w:sz="0" w:space="0" w:color="auto"/>
        <w:right w:val="none" w:sz="0" w:space="0" w:color="auto"/>
      </w:divBdr>
    </w:div>
    <w:div w:id="1614554970">
      <w:bodyDiv w:val="1"/>
      <w:marLeft w:val="0"/>
      <w:marRight w:val="0"/>
      <w:marTop w:val="0"/>
      <w:marBottom w:val="0"/>
      <w:divBdr>
        <w:top w:val="none" w:sz="0" w:space="0" w:color="auto"/>
        <w:left w:val="none" w:sz="0" w:space="0" w:color="auto"/>
        <w:bottom w:val="none" w:sz="0" w:space="0" w:color="auto"/>
        <w:right w:val="none" w:sz="0" w:space="0" w:color="auto"/>
      </w:divBdr>
    </w:div>
    <w:div w:id="1725333163">
      <w:bodyDiv w:val="1"/>
      <w:marLeft w:val="0"/>
      <w:marRight w:val="0"/>
      <w:marTop w:val="0"/>
      <w:marBottom w:val="0"/>
      <w:divBdr>
        <w:top w:val="none" w:sz="0" w:space="0" w:color="auto"/>
        <w:left w:val="none" w:sz="0" w:space="0" w:color="auto"/>
        <w:bottom w:val="none" w:sz="0" w:space="0" w:color="auto"/>
        <w:right w:val="none" w:sz="0" w:space="0" w:color="auto"/>
      </w:divBdr>
    </w:div>
    <w:div w:id="1734431538">
      <w:bodyDiv w:val="1"/>
      <w:marLeft w:val="0"/>
      <w:marRight w:val="0"/>
      <w:marTop w:val="0"/>
      <w:marBottom w:val="0"/>
      <w:divBdr>
        <w:top w:val="none" w:sz="0" w:space="0" w:color="auto"/>
        <w:left w:val="none" w:sz="0" w:space="0" w:color="auto"/>
        <w:bottom w:val="none" w:sz="0" w:space="0" w:color="auto"/>
        <w:right w:val="none" w:sz="0" w:space="0" w:color="auto"/>
      </w:divBdr>
    </w:div>
    <w:div w:id="1740861447">
      <w:bodyDiv w:val="1"/>
      <w:marLeft w:val="0"/>
      <w:marRight w:val="0"/>
      <w:marTop w:val="0"/>
      <w:marBottom w:val="0"/>
      <w:divBdr>
        <w:top w:val="none" w:sz="0" w:space="0" w:color="auto"/>
        <w:left w:val="none" w:sz="0" w:space="0" w:color="auto"/>
        <w:bottom w:val="none" w:sz="0" w:space="0" w:color="auto"/>
        <w:right w:val="none" w:sz="0" w:space="0" w:color="auto"/>
      </w:divBdr>
    </w:div>
    <w:div w:id="1768229977">
      <w:bodyDiv w:val="1"/>
      <w:marLeft w:val="0"/>
      <w:marRight w:val="0"/>
      <w:marTop w:val="0"/>
      <w:marBottom w:val="0"/>
      <w:divBdr>
        <w:top w:val="none" w:sz="0" w:space="0" w:color="auto"/>
        <w:left w:val="none" w:sz="0" w:space="0" w:color="auto"/>
        <w:bottom w:val="none" w:sz="0" w:space="0" w:color="auto"/>
        <w:right w:val="none" w:sz="0" w:space="0" w:color="auto"/>
      </w:divBdr>
    </w:div>
    <w:div w:id="1770274176">
      <w:bodyDiv w:val="1"/>
      <w:marLeft w:val="0"/>
      <w:marRight w:val="0"/>
      <w:marTop w:val="0"/>
      <w:marBottom w:val="0"/>
      <w:divBdr>
        <w:top w:val="none" w:sz="0" w:space="0" w:color="auto"/>
        <w:left w:val="none" w:sz="0" w:space="0" w:color="auto"/>
        <w:bottom w:val="none" w:sz="0" w:space="0" w:color="auto"/>
        <w:right w:val="none" w:sz="0" w:space="0" w:color="auto"/>
      </w:divBdr>
    </w:div>
    <w:div w:id="1772581356">
      <w:bodyDiv w:val="1"/>
      <w:marLeft w:val="0"/>
      <w:marRight w:val="0"/>
      <w:marTop w:val="0"/>
      <w:marBottom w:val="0"/>
      <w:divBdr>
        <w:top w:val="none" w:sz="0" w:space="0" w:color="auto"/>
        <w:left w:val="none" w:sz="0" w:space="0" w:color="auto"/>
        <w:bottom w:val="none" w:sz="0" w:space="0" w:color="auto"/>
        <w:right w:val="none" w:sz="0" w:space="0" w:color="auto"/>
      </w:divBdr>
    </w:div>
    <w:div w:id="1774588697">
      <w:bodyDiv w:val="1"/>
      <w:marLeft w:val="0"/>
      <w:marRight w:val="0"/>
      <w:marTop w:val="0"/>
      <w:marBottom w:val="0"/>
      <w:divBdr>
        <w:top w:val="none" w:sz="0" w:space="0" w:color="auto"/>
        <w:left w:val="none" w:sz="0" w:space="0" w:color="auto"/>
        <w:bottom w:val="none" w:sz="0" w:space="0" w:color="auto"/>
        <w:right w:val="none" w:sz="0" w:space="0" w:color="auto"/>
      </w:divBdr>
    </w:div>
    <w:div w:id="1785659591">
      <w:bodyDiv w:val="1"/>
      <w:marLeft w:val="0"/>
      <w:marRight w:val="0"/>
      <w:marTop w:val="0"/>
      <w:marBottom w:val="0"/>
      <w:divBdr>
        <w:top w:val="none" w:sz="0" w:space="0" w:color="auto"/>
        <w:left w:val="none" w:sz="0" w:space="0" w:color="auto"/>
        <w:bottom w:val="none" w:sz="0" w:space="0" w:color="auto"/>
        <w:right w:val="none" w:sz="0" w:space="0" w:color="auto"/>
      </w:divBdr>
    </w:div>
    <w:div w:id="1826239318">
      <w:bodyDiv w:val="1"/>
      <w:marLeft w:val="0"/>
      <w:marRight w:val="0"/>
      <w:marTop w:val="0"/>
      <w:marBottom w:val="0"/>
      <w:divBdr>
        <w:top w:val="none" w:sz="0" w:space="0" w:color="auto"/>
        <w:left w:val="none" w:sz="0" w:space="0" w:color="auto"/>
        <w:bottom w:val="none" w:sz="0" w:space="0" w:color="auto"/>
        <w:right w:val="none" w:sz="0" w:space="0" w:color="auto"/>
      </w:divBdr>
    </w:div>
    <w:div w:id="1872065716">
      <w:bodyDiv w:val="1"/>
      <w:marLeft w:val="0"/>
      <w:marRight w:val="0"/>
      <w:marTop w:val="0"/>
      <w:marBottom w:val="0"/>
      <w:divBdr>
        <w:top w:val="none" w:sz="0" w:space="0" w:color="auto"/>
        <w:left w:val="none" w:sz="0" w:space="0" w:color="auto"/>
        <w:bottom w:val="none" w:sz="0" w:space="0" w:color="auto"/>
        <w:right w:val="none" w:sz="0" w:space="0" w:color="auto"/>
      </w:divBdr>
    </w:div>
    <w:div w:id="1904442440">
      <w:bodyDiv w:val="1"/>
      <w:marLeft w:val="0"/>
      <w:marRight w:val="0"/>
      <w:marTop w:val="0"/>
      <w:marBottom w:val="0"/>
      <w:divBdr>
        <w:top w:val="none" w:sz="0" w:space="0" w:color="auto"/>
        <w:left w:val="none" w:sz="0" w:space="0" w:color="auto"/>
        <w:bottom w:val="none" w:sz="0" w:space="0" w:color="auto"/>
        <w:right w:val="none" w:sz="0" w:space="0" w:color="auto"/>
      </w:divBdr>
    </w:div>
    <w:div w:id="1908569070">
      <w:bodyDiv w:val="1"/>
      <w:marLeft w:val="0"/>
      <w:marRight w:val="0"/>
      <w:marTop w:val="0"/>
      <w:marBottom w:val="0"/>
      <w:divBdr>
        <w:top w:val="none" w:sz="0" w:space="0" w:color="auto"/>
        <w:left w:val="none" w:sz="0" w:space="0" w:color="auto"/>
        <w:bottom w:val="none" w:sz="0" w:space="0" w:color="auto"/>
        <w:right w:val="none" w:sz="0" w:space="0" w:color="auto"/>
      </w:divBdr>
    </w:div>
    <w:div w:id="1954362849">
      <w:bodyDiv w:val="1"/>
      <w:marLeft w:val="0"/>
      <w:marRight w:val="0"/>
      <w:marTop w:val="0"/>
      <w:marBottom w:val="0"/>
      <w:divBdr>
        <w:top w:val="none" w:sz="0" w:space="0" w:color="auto"/>
        <w:left w:val="none" w:sz="0" w:space="0" w:color="auto"/>
        <w:bottom w:val="none" w:sz="0" w:space="0" w:color="auto"/>
        <w:right w:val="none" w:sz="0" w:space="0" w:color="auto"/>
      </w:divBdr>
    </w:div>
    <w:div w:id="1968199808">
      <w:bodyDiv w:val="1"/>
      <w:marLeft w:val="0"/>
      <w:marRight w:val="0"/>
      <w:marTop w:val="0"/>
      <w:marBottom w:val="0"/>
      <w:divBdr>
        <w:top w:val="none" w:sz="0" w:space="0" w:color="auto"/>
        <w:left w:val="none" w:sz="0" w:space="0" w:color="auto"/>
        <w:bottom w:val="none" w:sz="0" w:space="0" w:color="auto"/>
        <w:right w:val="none" w:sz="0" w:space="0" w:color="auto"/>
      </w:divBdr>
    </w:div>
    <w:div w:id="1989632350">
      <w:bodyDiv w:val="1"/>
      <w:marLeft w:val="0"/>
      <w:marRight w:val="0"/>
      <w:marTop w:val="0"/>
      <w:marBottom w:val="0"/>
      <w:divBdr>
        <w:top w:val="none" w:sz="0" w:space="0" w:color="auto"/>
        <w:left w:val="none" w:sz="0" w:space="0" w:color="auto"/>
        <w:bottom w:val="none" w:sz="0" w:space="0" w:color="auto"/>
        <w:right w:val="none" w:sz="0" w:space="0" w:color="auto"/>
      </w:divBdr>
    </w:div>
    <w:div w:id="1990667081">
      <w:bodyDiv w:val="1"/>
      <w:marLeft w:val="0"/>
      <w:marRight w:val="0"/>
      <w:marTop w:val="0"/>
      <w:marBottom w:val="0"/>
      <w:divBdr>
        <w:top w:val="none" w:sz="0" w:space="0" w:color="auto"/>
        <w:left w:val="none" w:sz="0" w:space="0" w:color="auto"/>
        <w:bottom w:val="none" w:sz="0" w:space="0" w:color="auto"/>
        <w:right w:val="none" w:sz="0" w:space="0" w:color="auto"/>
      </w:divBdr>
    </w:div>
    <w:div w:id="2001035176">
      <w:bodyDiv w:val="1"/>
      <w:marLeft w:val="0"/>
      <w:marRight w:val="0"/>
      <w:marTop w:val="0"/>
      <w:marBottom w:val="0"/>
      <w:divBdr>
        <w:top w:val="none" w:sz="0" w:space="0" w:color="auto"/>
        <w:left w:val="none" w:sz="0" w:space="0" w:color="auto"/>
        <w:bottom w:val="none" w:sz="0" w:space="0" w:color="auto"/>
        <w:right w:val="none" w:sz="0" w:space="0" w:color="auto"/>
      </w:divBdr>
    </w:div>
    <w:div w:id="2015373155">
      <w:bodyDiv w:val="1"/>
      <w:marLeft w:val="0"/>
      <w:marRight w:val="0"/>
      <w:marTop w:val="0"/>
      <w:marBottom w:val="0"/>
      <w:divBdr>
        <w:top w:val="none" w:sz="0" w:space="0" w:color="auto"/>
        <w:left w:val="none" w:sz="0" w:space="0" w:color="auto"/>
        <w:bottom w:val="none" w:sz="0" w:space="0" w:color="auto"/>
        <w:right w:val="none" w:sz="0" w:space="0" w:color="auto"/>
      </w:divBdr>
    </w:div>
    <w:div w:id="2015958740">
      <w:bodyDiv w:val="1"/>
      <w:marLeft w:val="0"/>
      <w:marRight w:val="0"/>
      <w:marTop w:val="0"/>
      <w:marBottom w:val="0"/>
      <w:divBdr>
        <w:top w:val="none" w:sz="0" w:space="0" w:color="auto"/>
        <w:left w:val="none" w:sz="0" w:space="0" w:color="auto"/>
        <w:bottom w:val="none" w:sz="0" w:space="0" w:color="auto"/>
        <w:right w:val="none" w:sz="0" w:space="0" w:color="auto"/>
      </w:divBdr>
    </w:div>
    <w:div w:id="2045862393">
      <w:bodyDiv w:val="1"/>
      <w:marLeft w:val="0"/>
      <w:marRight w:val="0"/>
      <w:marTop w:val="0"/>
      <w:marBottom w:val="0"/>
      <w:divBdr>
        <w:top w:val="none" w:sz="0" w:space="0" w:color="auto"/>
        <w:left w:val="none" w:sz="0" w:space="0" w:color="auto"/>
        <w:bottom w:val="none" w:sz="0" w:space="0" w:color="auto"/>
        <w:right w:val="none" w:sz="0" w:space="0" w:color="auto"/>
      </w:divBdr>
    </w:div>
    <w:div w:id="2057313206">
      <w:bodyDiv w:val="1"/>
      <w:marLeft w:val="0"/>
      <w:marRight w:val="0"/>
      <w:marTop w:val="0"/>
      <w:marBottom w:val="0"/>
      <w:divBdr>
        <w:top w:val="none" w:sz="0" w:space="0" w:color="auto"/>
        <w:left w:val="none" w:sz="0" w:space="0" w:color="auto"/>
        <w:bottom w:val="none" w:sz="0" w:space="0" w:color="auto"/>
        <w:right w:val="none" w:sz="0" w:space="0" w:color="auto"/>
      </w:divBdr>
    </w:div>
    <w:div w:id="2059862787">
      <w:bodyDiv w:val="1"/>
      <w:marLeft w:val="0"/>
      <w:marRight w:val="0"/>
      <w:marTop w:val="0"/>
      <w:marBottom w:val="0"/>
      <w:divBdr>
        <w:top w:val="none" w:sz="0" w:space="0" w:color="auto"/>
        <w:left w:val="none" w:sz="0" w:space="0" w:color="auto"/>
        <w:bottom w:val="none" w:sz="0" w:space="0" w:color="auto"/>
        <w:right w:val="none" w:sz="0" w:space="0" w:color="auto"/>
      </w:divBdr>
    </w:div>
    <w:div w:id="2072313858">
      <w:bodyDiv w:val="1"/>
      <w:marLeft w:val="0"/>
      <w:marRight w:val="0"/>
      <w:marTop w:val="0"/>
      <w:marBottom w:val="0"/>
      <w:divBdr>
        <w:top w:val="none" w:sz="0" w:space="0" w:color="auto"/>
        <w:left w:val="none" w:sz="0" w:space="0" w:color="auto"/>
        <w:bottom w:val="none" w:sz="0" w:space="0" w:color="auto"/>
        <w:right w:val="none" w:sz="0" w:space="0" w:color="auto"/>
      </w:divBdr>
    </w:div>
    <w:div w:id="2083407084">
      <w:bodyDiv w:val="1"/>
      <w:marLeft w:val="0"/>
      <w:marRight w:val="0"/>
      <w:marTop w:val="0"/>
      <w:marBottom w:val="0"/>
      <w:divBdr>
        <w:top w:val="none" w:sz="0" w:space="0" w:color="auto"/>
        <w:left w:val="none" w:sz="0" w:space="0" w:color="auto"/>
        <w:bottom w:val="none" w:sz="0" w:space="0" w:color="auto"/>
        <w:right w:val="none" w:sz="0" w:space="0" w:color="auto"/>
      </w:divBdr>
    </w:div>
    <w:div w:id="2089230603">
      <w:bodyDiv w:val="1"/>
      <w:marLeft w:val="0"/>
      <w:marRight w:val="0"/>
      <w:marTop w:val="0"/>
      <w:marBottom w:val="0"/>
      <w:divBdr>
        <w:top w:val="none" w:sz="0" w:space="0" w:color="auto"/>
        <w:left w:val="none" w:sz="0" w:space="0" w:color="auto"/>
        <w:bottom w:val="none" w:sz="0" w:space="0" w:color="auto"/>
        <w:right w:val="none" w:sz="0" w:space="0" w:color="auto"/>
      </w:divBdr>
    </w:div>
    <w:div w:id="2094616932">
      <w:bodyDiv w:val="1"/>
      <w:marLeft w:val="0"/>
      <w:marRight w:val="0"/>
      <w:marTop w:val="0"/>
      <w:marBottom w:val="0"/>
      <w:divBdr>
        <w:top w:val="none" w:sz="0" w:space="0" w:color="auto"/>
        <w:left w:val="none" w:sz="0" w:space="0" w:color="auto"/>
        <w:bottom w:val="none" w:sz="0" w:space="0" w:color="auto"/>
        <w:right w:val="none" w:sz="0" w:space="0" w:color="auto"/>
      </w:divBdr>
    </w:div>
    <w:div w:id="2114744105">
      <w:bodyDiv w:val="1"/>
      <w:marLeft w:val="0"/>
      <w:marRight w:val="0"/>
      <w:marTop w:val="0"/>
      <w:marBottom w:val="0"/>
      <w:divBdr>
        <w:top w:val="none" w:sz="0" w:space="0" w:color="auto"/>
        <w:left w:val="none" w:sz="0" w:space="0" w:color="auto"/>
        <w:bottom w:val="none" w:sz="0" w:space="0" w:color="auto"/>
        <w:right w:val="none" w:sz="0" w:space="0" w:color="auto"/>
      </w:divBdr>
    </w:div>
    <w:div w:id="2120445605">
      <w:bodyDiv w:val="1"/>
      <w:marLeft w:val="0"/>
      <w:marRight w:val="0"/>
      <w:marTop w:val="0"/>
      <w:marBottom w:val="0"/>
      <w:divBdr>
        <w:top w:val="none" w:sz="0" w:space="0" w:color="auto"/>
        <w:left w:val="none" w:sz="0" w:space="0" w:color="auto"/>
        <w:bottom w:val="none" w:sz="0" w:space="0" w:color="auto"/>
        <w:right w:val="none" w:sz="0" w:space="0" w:color="auto"/>
      </w:divBdr>
    </w:div>
    <w:div w:id="2131700227">
      <w:bodyDiv w:val="1"/>
      <w:marLeft w:val="0"/>
      <w:marRight w:val="0"/>
      <w:marTop w:val="0"/>
      <w:marBottom w:val="0"/>
      <w:divBdr>
        <w:top w:val="none" w:sz="0" w:space="0" w:color="auto"/>
        <w:left w:val="none" w:sz="0" w:space="0" w:color="auto"/>
        <w:bottom w:val="none" w:sz="0" w:space="0" w:color="auto"/>
        <w:right w:val="none" w:sz="0" w:space="0" w:color="auto"/>
      </w:divBdr>
    </w:div>
    <w:div w:id="2142769622">
      <w:bodyDiv w:val="1"/>
      <w:marLeft w:val="0"/>
      <w:marRight w:val="0"/>
      <w:marTop w:val="0"/>
      <w:marBottom w:val="0"/>
      <w:divBdr>
        <w:top w:val="none" w:sz="0" w:space="0" w:color="auto"/>
        <w:left w:val="none" w:sz="0" w:space="0" w:color="auto"/>
        <w:bottom w:val="none" w:sz="0" w:space="0" w:color="auto"/>
        <w:right w:val="none" w:sz="0" w:space="0" w:color="auto"/>
      </w:divBdr>
    </w:div>
    <w:div w:id="214692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chart" Target="charts/chart9.xml"/><Relationship Id="rId39" Type="http://schemas.openxmlformats.org/officeDocument/2006/relationships/hyperlink" Target="https://www.mfsr.sk/sk/financie/hodnota-za-peniaze/hodnotenie-investicnych-projektov/hodnotenie-investicnych-projektov.html" TargetMode="External"/><Relationship Id="rId21" Type="http://schemas.openxmlformats.org/officeDocument/2006/relationships/chart" Target="charts/chart4.xml"/><Relationship Id="rId34" Type="http://schemas.openxmlformats.org/officeDocument/2006/relationships/hyperlink" Target="https://www.mfsr.sk/sk/financie/hodnota-za-peniaze/hodnotenie-investicnych-projektov/hodnotenie-investicnych-projektov.html" TargetMode="External"/><Relationship Id="rId42" Type="http://schemas.openxmlformats.org/officeDocument/2006/relationships/hyperlink" Target="https://www.mfsr.sk/sk/financie/hodnota-za-peniaze/hodnotenie-investicnych-projektov/hodnotenie-investicnych-projektov.html" TargetMode="External"/><Relationship Id="rId47" Type="http://schemas.openxmlformats.org/officeDocument/2006/relationships/chart" Target="charts/chart13.xml"/><Relationship Id="rId50" Type="http://schemas.openxmlformats.org/officeDocument/2006/relationships/chart" Target="charts/chart16.xml"/><Relationship Id="rId55" Type="http://schemas.openxmlformats.org/officeDocument/2006/relationships/chart" Target="charts/chart18.xml"/><Relationship Id="rId63" Type="http://schemas.openxmlformats.org/officeDocument/2006/relationships/image" Target="media/image14.png"/><Relationship Id="rId68" Type="http://schemas.openxmlformats.org/officeDocument/2006/relationships/chart" Target="charts/chart25.xml"/><Relationship Id="rId7" Type="http://schemas.openxmlformats.org/officeDocument/2006/relationships/settings" Target="settings.xml"/><Relationship Id="rId71" Type="http://schemas.openxmlformats.org/officeDocument/2006/relationships/chart" Target="charts/chart28.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hyperlink" Target="http://www.opii.gov.sk" TargetMode="External"/><Relationship Id="rId11" Type="http://schemas.openxmlformats.org/officeDocument/2006/relationships/image" Target="media/image1.png"/><Relationship Id="rId24" Type="http://schemas.openxmlformats.org/officeDocument/2006/relationships/chart" Target="charts/chart7.xml"/><Relationship Id="rId32" Type="http://schemas.openxmlformats.org/officeDocument/2006/relationships/hyperlink" Target="https://www.mfsr.sk/sk/financie/hodnota-za-peniaze/hodnotenie-investicnych-projektov/hodnotenie-investicnych-projektov.html" TargetMode="External"/><Relationship Id="rId37" Type="http://schemas.openxmlformats.org/officeDocument/2006/relationships/hyperlink" Target="https://www.mfsr.sk/sk/financie/hodnota-za-peniaze/hodnotenie-investicnych-projektov/hodnotenie-investicnych-projektov.html" TargetMode="External"/><Relationship Id="rId40" Type="http://schemas.openxmlformats.org/officeDocument/2006/relationships/hyperlink" Target="https://www.mfsr.sk/sk/financie/hodnota-za-peniaze/hodnotenie-investicnych-projektov/hodnotenie-investicnych-projektov.html" TargetMode="External"/><Relationship Id="rId45" Type="http://schemas.openxmlformats.org/officeDocument/2006/relationships/chart" Target="charts/chart12.xml"/><Relationship Id="rId53" Type="http://schemas.openxmlformats.org/officeDocument/2006/relationships/chart" Target="charts/chart17.xml"/><Relationship Id="rId58" Type="http://schemas.openxmlformats.org/officeDocument/2006/relationships/chart" Target="charts/chart20.xml"/><Relationship Id="rId66" Type="http://schemas.openxmlformats.org/officeDocument/2006/relationships/hyperlink" Target="http://www.mpsr.sk/ovn/opendata/ovn2018.csv" TargetMode="Externa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chart" Target="charts/chart6.xml"/><Relationship Id="rId28" Type="http://schemas.openxmlformats.org/officeDocument/2006/relationships/image" Target="media/image7.jpeg"/><Relationship Id="rId36" Type="http://schemas.openxmlformats.org/officeDocument/2006/relationships/hyperlink" Target="https://www.mfsr.sk/sk/financie/hodnota-za-peniaze/hodnotenie-investicnych-projektov/hodnotenie-investicnych-projektov.html" TargetMode="External"/><Relationship Id="rId49" Type="http://schemas.openxmlformats.org/officeDocument/2006/relationships/chart" Target="charts/chart15.xml"/><Relationship Id="rId57" Type="http://schemas.openxmlformats.org/officeDocument/2006/relationships/chart" Target="charts/chart19.xml"/><Relationship Id="rId61" Type="http://schemas.openxmlformats.org/officeDocument/2006/relationships/chart" Target="charts/chart23.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ww.mfsr.sk/sk/financie/hodnota-za-peniaze/hodnotenie-investicnych-projektov/hodnotenie-investicnych-projektov.html" TargetMode="External"/><Relationship Id="rId44" Type="http://schemas.openxmlformats.org/officeDocument/2006/relationships/hyperlink" Target="https://www.mfsr.sk/sk/financie/hodnota-za-peniaze/hodnotenie-investicnych-projektov/hodnotenie-investicnych-projektov.html" TargetMode="External"/><Relationship Id="rId52" Type="http://schemas.openxmlformats.org/officeDocument/2006/relationships/image" Target="media/image10.jpg"/><Relationship Id="rId60" Type="http://schemas.openxmlformats.org/officeDocument/2006/relationships/chart" Target="charts/chart22.xml"/><Relationship Id="rId65" Type="http://schemas.openxmlformats.org/officeDocument/2006/relationships/image" Target="media/image16.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1.xml"/><Relationship Id="rId35" Type="http://schemas.openxmlformats.org/officeDocument/2006/relationships/hyperlink" Target="https://www.mfsr.sk/sk/financie/hodnota-za-peniaze/hodnotenie-investicnych-projektov/hodnotenie-investicnych-projektov.html" TargetMode="External"/><Relationship Id="rId43" Type="http://schemas.openxmlformats.org/officeDocument/2006/relationships/hyperlink" Target="https://www.mfsr.sk/sk/financie/hodnota-za-peniaze/hodnotenie-investicnych-projektov/hodnotenie-investicnych-projektov.html" TargetMode="External"/><Relationship Id="rId48" Type="http://schemas.openxmlformats.org/officeDocument/2006/relationships/chart" Target="charts/chart14.xml"/><Relationship Id="rId56" Type="http://schemas.openxmlformats.org/officeDocument/2006/relationships/image" Target="media/image12.png"/><Relationship Id="rId64" Type="http://schemas.openxmlformats.org/officeDocument/2006/relationships/image" Target="media/image15.png"/><Relationship Id="rId69" Type="http://schemas.openxmlformats.org/officeDocument/2006/relationships/chart" Target="charts/chart26.xml"/><Relationship Id="rId8" Type="http://schemas.openxmlformats.org/officeDocument/2006/relationships/webSettings" Target="webSettings.xml"/><Relationship Id="rId51" Type="http://schemas.openxmlformats.org/officeDocument/2006/relationships/image" Target="media/image9.png"/><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chart" Target="charts/chart8.xml"/><Relationship Id="rId33" Type="http://schemas.openxmlformats.org/officeDocument/2006/relationships/hyperlink" Target="https://www.mfsr.sk/sk/financie/hodnota-za-peniaze/hodnotenie-investicnych-projektov/hodnotenie-investicnych-projektov.html" TargetMode="External"/><Relationship Id="rId38" Type="http://schemas.openxmlformats.org/officeDocument/2006/relationships/hyperlink" Target="https://www.mfsr.sk/sk/financie/hodnota-za-peniaze/hodnotenie-investicnych-projektov/hodnotenie-investicnych-projektov.html" TargetMode="External"/><Relationship Id="rId46" Type="http://schemas.openxmlformats.org/officeDocument/2006/relationships/image" Target="media/image8.png"/><Relationship Id="rId59" Type="http://schemas.openxmlformats.org/officeDocument/2006/relationships/chart" Target="charts/chart21.xml"/><Relationship Id="rId67" Type="http://schemas.openxmlformats.org/officeDocument/2006/relationships/chart" Target="charts/chart24.xml"/><Relationship Id="rId20" Type="http://schemas.openxmlformats.org/officeDocument/2006/relationships/chart" Target="charts/chart3.xml"/><Relationship Id="rId41" Type="http://schemas.openxmlformats.org/officeDocument/2006/relationships/hyperlink" Target="https://www.mfsr.sk/sk/financie/hodnota-za-peniaze/hodnotenie-investicnych-projektov/hodnotenie-investicnych-projektov.html" TargetMode="External"/><Relationship Id="rId54" Type="http://schemas.openxmlformats.org/officeDocument/2006/relationships/image" Target="media/image11.png"/><Relationship Id="rId62" Type="http://schemas.openxmlformats.org/officeDocument/2006/relationships/image" Target="media/image13.png"/><Relationship Id="rId70" Type="http://schemas.openxmlformats.org/officeDocument/2006/relationships/chart" Target="charts/chart27.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17" Type="http://schemas.openxmlformats.org/officeDocument/2006/relationships/hyperlink" Target="https://www.slov-lex.sk/pravne-predpisy/SK/ZZ/2018/388/20190101.html" TargetMode="External"/><Relationship Id="rId299" Type="http://schemas.openxmlformats.org/officeDocument/2006/relationships/hyperlink" Target="https://www.slov-lex.sk/pravne-predpisy/SK/ZZ/1991/330/" TargetMode="External"/><Relationship Id="rId303" Type="http://schemas.openxmlformats.org/officeDocument/2006/relationships/hyperlink" Target="https://www.apa.sk/poistenie-urody" TargetMode="External"/><Relationship Id="rId21" Type="http://schemas.openxmlformats.org/officeDocument/2006/relationships/hyperlink" Target="https://www.slov-lex.sk/legislativne-procesy/SK/LP/2019/564" TargetMode="External"/><Relationship Id="rId42" Type="http://schemas.openxmlformats.org/officeDocument/2006/relationships/hyperlink" Target="https://www.mfsr.sk/files/archiv/91/prioritizacia_metodika_20191218.pdf" TargetMode="External"/><Relationship Id="rId63" Type="http://schemas.openxmlformats.org/officeDocument/2006/relationships/hyperlink" Target="https://www.mfsr.sk/files/archiv/48/PrezentaciaZSR_20191016.pdf" TargetMode="External"/><Relationship Id="rId84" Type="http://schemas.openxmlformats.org/officeDocument/2006/relationships/hyperlink" Target="https://metais.vicepremier.gov.sk/reportdetail/KS_KEP" TargetMode="External"/><Relationship Id="rId138" Type="http://schemas.openxmlformats.org/officeDocument/2006/relationships/hyperlink" Target="https://www.minedu.sk/vyzvy-na-vyber-odbornych-hodnotitelov/" TargetMode="External"/><Relationship Id="rId159" Type="http://schemas.openxmlformats.org/officeDocument/2006/relationships/hyperlink" Target="https://www.minedu.sk/uplatnenie-absolventov/" TargetMode="External"/><Relationship Id="rId324" Type="http://schemas.openxmlformats.org/officeDocument/2006/relationships/hyperlink" Target="https://rokovania.gov.sk/download.dat?id=8D4F07371A704D6198C2403259DF3F06-273DFE0271AC921375E5D36F122B604B" TargetMode="External"/><Relationship Id="rId170" Type="http://schemas.openxmlformats.org/officeDocument/2006/relationships/hyperlink" Target="https://www.slov-lex.sk/pravne-predpisy/SK/ZZ/2002/543/" TargetMode="External"/><Relationship Id="rId191" Type="http://schemas.openxmlformats.org/officeDocument/2006/relationships/hyperlink" Target="http://www.envirofond.sk/_img/Ziadosti/2019/Vyzvy/VyzvaB_1_2020.pdf" TargetMode="External"/><Relationship Id="rId205" Type="http://schemas.openxmlformats.org/officeDocument/2006/relationships/hyperlink" Target="https://www.enviroportal.sk/uploads/files/EZ/2019/EZexportABCStav11mar2019.xls" TargetMode="External"/><Relationship Id="rId226" Type="http://schemas.openxmlformats.org/officeDocument/2006/relationships/hyperlink" Target="https://www.crz.gov.sk/index.php?ID=4120976&amp;l=sk" TargetMode="External"/><Relationship Id="rId247" Type="http://schemas.openxmlformats.org/officeDocument/2006/relationships/hyperlink" Target="https://www.upsvr.gov.sk/europsky-socialny-fond/narodne-projekty-v-programovom-obdobi-2014-2020/narodny-projekt-podpora-individualizovaneho-poradenstva-pre-dlhodobo-nezamestnanych-uchadzacov-o-zamestnanie.html?page_id=752666" TargetMode="External"/><Relationship Id="rId107" Type="http://schemas.openxmlformats.org/officeDocument/2006/relationships/hyperlink" Target="https://www.minedu.sk/aktualne-informacie/" TargetMode="External"/><Relationship Id="rId268" Type="http://schemas.openxmlformats.org/officeDocument/2006/relationships/hyperlink" Target="https://www.slov-lex.sk/legislativne-procesy/SK/LP/2020/35" TargetMode="External"/><Relationship Id="rId289" Type="http://schemas.openxmlformats.org/officeDocument/2006/relationships/hyperlink" Target="https://www.fi-compass.eu/fisiyc" TargetMode="External"/><Relationship Id="rId11" Type="http://schemas.openxmlformats.org/officeDocument/2006/relationships/hyperlink" Target="https://www.slov-lex.sk/pravne-predpisy/SK/ZZ/2018/93/20180401" TargetMode="External"/><Relationship Id="rId32" Type="http://schemas.openxmlformats.org/officeDocument/2006/relationships/hyperlink" Target="https://www.opii.gov.sk/download/f/pcba/feasibilitystudy_1_0.rar" TargetMode="External"/><Relationship Id="rId53" Type="http://schemas.openxmlformats.org/officeDocument/2006/relationships/hyperlink" Target="https://www.ndsas.sk/spolocnost/vykony-udrzby" TargetMode="External"/><Relationship Id="rId74" Type="http://schemas.openxmlformats.org/officeDocument/2006/relationships/hyperlink" Target="https://metais.vicepremier.gov.sk/studia/list" TargetMode="External"/><Relationship Id="rId128" Type="http://schemas.openxmlformats.org/officeDocument/2006/relationships/hyperlink" Target="https://www.minedu.sk/zoznamy-poskytovatelov-vzdelavania-pedagogickych-zamestnancov-a-odbornych-zamestnancov/" TargetMode="External"/><Relationship Id="rId149" Type="http://schemas.openxmlformats.org/officeDocument/2006/relationships/hyperlink" Target="https://www.crz.gov.sk/index.php?ID=4262669&amp;l=sk" TargetMode="External"/><Relationship Id="rId314" Type="http://schemas.openxmlformats.org/officeDocument/2006/relationships/hyperlink" Target="https://metais.vicepremier.gov.sk/studia/detail/5cdd7f08-598c-3e4f-1d95-cb775b934825?tab=basicForm" TargetMode="External"/><Relationship Id="rId335" Type="http://schemas.openxmlformats.org/officeDocument/2006/relationships/hyperlink" Target="https://pozfond.sk/najom/mlady-polnohospodar/" TargetMode="External"/><Relationship Id="rId5" Type="http://schemas.openxmlformats.org/officeDocument/2006/relationships/hyperlink" Target="https://www.thelancet.com/action/showPdf?pii=S0140-6736%2816%2900215-4" TargetMode="External"/><Relationship Id="rId95" Type="http://schemas.openxmlformats.org/officeDocument/2006/relationships/hyperlink" Target="http://www.informatizacia.sk/ext_dok-prilohy-vyzvy_opii_2018_7_2/27096c." TargetMode="External"/><Relationship Id="rId160" Type="http://schemas.openxmlformats.org/officeDocument/2006/relationships/hyperlink" Target="https://www.minedu.sk/data/att/15814.xlsx" TargetMode="External"/><Relationship Id="rId181" Type="http://schemas.openxmlformats.org/officeDocument/2006/relationships/hyperlink" Target="http://www.op-kzp.sk/obsah-dokumenty/dokument-op-kzp-verzia-9-0/" TargetMode="External"/><Relationship Id="rId216" Type="http://schemas.openxmlformats.org/officeDocument/2006/relationships/hyperlink" Target="http://www.minzp.sk/files/iep/cba_metodika.pdf" TargetMode="External"/><Relationship Id="rId237" Type="http://schemas.openxmlformats.org/officeDocument/2006/relationships/hyperlink" Target="https://www.mfsr.sk/sk/medzinarodne-vztahy/europske-zalezitosti/srsp-structural-reform-support-programme/srsp-structural-reform-support-programme.html" TargetMode="External"/><Relationship Id="rId258" Type="http://schemas.openxmlformats.org/officeDocument/2006/relationships/hyperlink" Target="http://www.msci.com" TargetMode="External"/><Relationship Id="rId279" Type="http://schemas.openxmlformats.org/officeDocument/2006/relationships/hyperlink" Target="https://eur-lex.europa.eu/legal-content/SK/TXT/PDF/?uri=CELEX:32014D0573&amp;from=EN" TargetMode="External"/><Relationship Id="rId22" Type="http://schemas.openxmlformats.org/officeDocument/2006/relationships/hyperlink" Target="https://rokovania.gov.sk/RVL/Resolution/17962" TargetMode="External"/><Relationship Id="rId43" Type="http://schemas.openxmlformats.org/officeDocument/2006/relationships/hyperlink" Target="https://www.ssc.sk/files/documents/technicke-predpisy/tp/tp_052.pdf" TargetMode="External"/><Relationship Id="rId64" Type="http://schemas.openxmlformats.org/officeDocument/2006/relationships/hyperlink" Target="https://www.crz.gov.sk/index.php?ID=3582940&amp;l=sk%20a%20dodatok%20https://www.crz.gov.sk/index.php?ID=3583755&amp;l=sk" TargetMode="External"/><Relationship Id="rId118" Type="http://schemas.openxmlformats.org/officeDocument/2006/relationships/hyperlink" Target="https://www.minedu.sk/zoznamy-poskytovatelov-vzdelavania-pedagogickych-zamestnancov-a-odbornych-zamestnancov/%20" TargetMode="External"/><Relationship Id="rId139" Type="http://schemas.openxmlformats.org/officeDocument/2006/relationships/hyperlink" Target="https://www.nrsr.sk/web/Default.aspx?sid=zakony/zakon&amp;MasterID=7220" TargetMode="External"/><Relationship Id="rId290" Type="http://schemas.openxmlformats.org/officeDocument/2006/relationships/hyperlink" Target="https://www.slov-lex.sk/legislativne-procesy/-/SK/dokumenty/LP-2019-372" TargetMode="External"/><Relationship Id="rId304" Type="http://schemas.openxmlformats.org/officeDocument/2006/relationships/hyperlink" Target="https://www.mpsr.sk/schema-statnej-pomoci-na-platby-poistneho-v-polnohospodarskej-prvovyrobe-v-zneni-dodatku-c-1/161---14215/" TargetMode="External"/><Relationship Id="rId325" Type="http://schemas.openxmlformats.org/officeDocument/2006/relationships/hyperlink" Target="https://www.mpsr.sk/zelena-sprava-2019/122---14968/" TargetMode="External"/><Relationship Id="rId85" Type="http://schemas.openxmlformats.org/officeDocument/2006/relationships/hyperlink" Target="https://www.opis.gov.sk/data/files/4757_upvs-ii.pdf" TargetMode="External"/><Relationship Id="rId150" Type="http://schemas.openxmlformats.org/officeDocument/2006/relationships/hyperlink" Target="https://www.slov-lex.sk/pravne-predpisy/SK/ZZ/2019/95/" TargetMode="External"/><Relationship Id="rId171" Type="http://schemas.openxmlformats.org/officeDocument/2006/relationships/hyperlink" Target="https://www.op-kzp.sk/obsah-vyzvy/55-vyzva-zamerana-na-opkzp-po1-sc141-55/" TargetMode="External"/><Relationship Id="rId192" Type="http://schemas.openxmlformats.org/officeDocument/2006/relationships/hyperlink" Target="https://rokovania.gov.sk/RVL/Material/24267/1" TargetMode="External"/><Relationship Id="rId206" Type="http://schemas.openxmlformats.org/officeDocument/2006/relationships/hyperlink" Target="https://www.crz.gov.sk/index.php?ID=3982362&amp;l=sk" TargetMode="External"/><Relationship Id="rId227" Type="http://schemas.openxmlformats.org/officeDocument/2006/relationships/hyperlink" Target="https://www.slov-lex.sk/pravne-predpisy/SK/ZZ/2019/234/vyhlasene_znenie.html" TargetMode="External"/><Relationship Id="rId248" Type="http://schemas.openxmlformats.org/officeDocument/2006/relationships/hyperlink" Target="https://www.upsvr.gov.sk/europsky-socialny-fond/narodne-projekty-v-programovom-obdobi-2014-2020/narodny-projekt-cesta-na-trh-prace.html?page_id=696506" TargetMode="External"/><Relationship Id="rId269" Type="http://schemas.openxmlformats.org/officeDocument/2006/relationships/hyperlink" Target="https://www.slov-lex.sk/legislativne-procesy/SK/LP/2020/36" TargetMode="External"/><Relationship Id="rId12" Type="http://schemas.openxmlformats.org/officeDocument/2006/relationships/hyperlink" Target="https://www.vszp.sk/files/transparentne/ekonomicke/ozdravny_plan_sec_final_web.pdf" TargetMode="External"/><Relationship Id="rId33" Type="http://schemas.openxmlformats.org/officeDocument/2006/relationships/hyperlink" Target="https://www.opii.gov.sk/download/f/pcba/prirucka_cba2018.rar" TargetMode="External"/><Relationship Id="rId108" Type="http://schemas.openxmlformats.org/officeDocument/2006/relationships/hyperlink" Target="https://www.minedu.sk/21395-sk/revizia-vydavkov-na-vzdelavanie-2017/" TargetMode="External"/><Relationship Id="rId129" Type="http://schemas.openxmlformats.org/officeDocument/2006/relationships/hyperlink" Target="https://www.partnerskadohoda.gov.sk/data/files/3265_oplz_2019_10_14_zamer-np-teachers.zip" TargetMode="External"/><Relationship Id="rId280" Type="http://schemas.openxmlformats.org/officeDocument/2006/relationships/hyperlink" Target="https://www.crz.gov.sk/index.php?ID=3237901&amp;l=sk" TargetMode="External"/><Relationship Id="rId315" Type="http://schemas.openxmlformats.org/officeDocument/2006/relationships/hyperlink" Target="https://metais.vicepremier.gov.sk/studia/detail/5cdd7f08-598c-3e4f-1d95-cb775b934825?tab=documents" TargetMode="External"/><Relationship Id="rId336" Type="http://schemas.openxmlformats.org/officeDocument/2006/relationships/hyperlink" Target="https://www.crz.gov.sk/index.php?ID=2171273&amp;art_zs2=&amp;art_predmet=&amp;art_ico=&amp;art_suma_zmluva_od=&amp;art_suma_zmluva_do=&amp;art_datum_zverejnene_od=&amp;art_datum_zverejnene_do=&amp;art_rezort=0&amp;art_zs1=slovensk%C3%BD+pozemkov%C3%BD+fond&amp;nazov=&amp;art_ico1=&amp;odoslat=Vyh%C4%BEada%C5%A5" TargetMode="External"/><Relationship Id="rId54" Type="http://schemas.openxmlformats.org/officeDocument/2006/relationships/hyperlink" Target="https://ezakazky.sk/index.cfm?Module=Item&amp;Page=ItemDetailUvo&amp;TenderID=29855" TargetMode="External"/><Relationship Id="rId75" Type="http://schemas.openxmlformats.org/officeDocument/2006/relationships/hyperlink" Target="http://www.informatizacia.sk/aktuality-zverejnujeme-dopytove-vyzvy-pre-data--sluzby-a-cloud_v1/27106c" TargetMode="External"/><Relationship Id="rId96" Type="http://schemas.openxmlformats.org/officeDocument/2006/relationships/hyperlink" Target="https://rokovania.gov.sk/RVL/Resolution/17768" TargetMode="External"/><Relationship Id="rId140" Type="http://schemas.openxmlformats.org/officeDocument/2006/relationships/hyperlink" Target="https://www.slov-lex.sk/pravne-predpisy/SK/ZZ/2019/360/" TargetMode="External"/><Relationship Id="rId161" Type="http://schemas.openxmlformats.org/officeDocument/2006/relationships/hyperlink" Target="https://www.cvtisr.sk/cvti-sr-vedecka-kniznica/informacie-o-skolstve/skolstvo/vysoke-skoly/uplatnenie-absolventov-vysokych-skol-na-trhu-prace.html?page_id=28928" TargetMode="External"/><Relationship Id="rId182" Type="http://schemas.openxmlformats.org/officeDocument/2006/relationships/hyperlink" Target="https://www.op-kzp.sk/obsah-vyzvy/55-vyzva-zamerana-na-opkzp-po1-sc141-55/" TargetMode="External"/><Relationship Id="rId217" Type="http://schemas.openxmlformats.org/officeDocument/2006/relationships/hyperlink" Target="https://www.minzp.sk/files/iep/nakladove_benchmarky_20190131.pdf" TargetMode="External"/><Relationship Id="rId6" Type="http://schemas.openxmlformats.org/officeDocument/2006/relationships/hyperlink" Target="https://www1.health.gov.au/internet/main/publishing.nsf/Content/1598E371849EEA83CA2582B000062D9C/$File/Nudge%20vs%20Superbugs%20-%20A%20behavioural%20economics%20trial%20to%20reduce%20the%20overprescribing%20of%20antibiotics%20June%202018.pdf" TargetMode="External"/><Relationship Id="rId238" Type="http://schemas.openxmlformats.org/officeDocument/2006/relationships/hyperlink" Target="https://www.upsvr.gov.sk/zariadenia-socialnopravnej-ochrany-deti-a-socialnej-kurately/detske-domovy.html?page_id=123892" TargetMode="External"/><Relationship Id="rId259" Type="http://schemas.openxmlformats.org/officeDocument/2006/relationships/hyperlink" Target="https://www.employment.gov.sk/files/slovensky/socialne-poistenie-dochodkovy-system/dochodkovy-system/analyzy/analyza-opatreni-podporujucich-efektivnejsie-rozlozenie-uspor-medzi-triedami-aktiv-ii-iii-pilieri-dochodkoveho-sporenia.pdf" TargetMode="External"/><Relationship Id="rId23" Type="http://schemas.openxmlformats.org/officeDocument/2006/relationships/hyperlink" Target="https://www.itms2014.sk/projekt?id=af7afcf0-9a43-4b89-bd54-6e76af5d5ff3" TargetMode="External"/><Relationship Id="rId119" Type="http://schemas.openxmlformats.org/officeDocument/2006/relationships/hyperlink" Target="https://www.slov-lex.sk/pravne-predpisy/SK/ZZ/2019/470/20200101.html" TargetMode="External"/><Relationship Id="rId270" Type="http://schemas.openxmlformats.org/officeDocument/2006/relationships/hyperlink" Target="https://www.slov-lex.sk/legislativne-procesy/SK/LP/2020/37" TargetMode="External"/><Relationship Id="rId291" Type="http://schemas.openxmlformats.org/officeDocument/2006/relationships/hyperlink" Target="https://rokovania.gov.sk/RVL/Resolution/18080/1" TargetMode="External"/><Relationship Id="rId305" Type="http://schemas.openxmlformats.org/officeDocument/2006/relationships/hyperlink" Target="https://www.fi-compass.eu/fisiyc" TargetMode="External"/><Relationship Id="rId326" Type="http://schemas.openxmlformats.org/officeDocument/2006/relationships/hyperlink" Target="http://www.radela.sk/Statistiky.html" TargetMode="External"/><Relationship Id="rId44" Type="http://schemas.openxmlformats.org/officeDocument/2006/relationships/hyperlink" Target="https://www.crz.gov.sk/index.php?ID=4236845&amp;l=sk" TargetMode="External"/><Relationship Id="rId65" Type="http://schemas.openxmlformats.org/officeDocument/2006/relationships/hyperlink" Target="https://www.mdcr.cz/getattachment/Dokumenty/Verejna-doprava/Zverejneni-smluv-na-vlaky-dalkove-dopravy-v-obdobi/Linka-Ex2-Praha-Vsetin-Slovensko-a-R18-Praha/Anonymizovana_Smlouva-o-verejnych-sluzbach-na-linkach-Ex2-R18.pdf.aspx" TargetMode="External"/><Relationship Id="rId86" Type="http://schemas.openxmlformats.org/officeDocument/2006/relationships/hyperlink" Target="https://idsk-elements.herokuapp.com/" TargetMode="External"/><Relationship Id="rId130" Type="http://schemas.openxmlformats.org/officeDocument/2006/relationships/hyperlink" Target="https://www.minedu.sk/14022020-vyzvanie-oplz-po12020np111-01-pre-narodny-projekt-s-nazvom-profesijny-rozvoj-ucitelov-teachers/" TargetMode="External"/><Relationship Id="rId151" Type="http://schemas.openxmlformats.org/officeDocument/2006/relationships/hyperlink" Target="https://drive.google.com/file/d/15pFGMX80gV_5AUZM-FIu0Z7TaQxJdVRx/view" TargetMode="External"/><Relationship Id="rId172" Type="http://schemas.openxmlformats.org/officeDocument/2006/relationships/hyperlink" Target="https://rokovania.gov.sk/RVL/Material/24267/1" TargetMode="External"/><Relationship Id="rId193" Type="http://schemas.openxmlformats.org/officeDocument/2006/relationships/hyperlink" Target="http://www.envirofond.sk/_img/Ziadosti/2019/Vyzvy/VyzvaB_1_2020.pdf" TargetMode="External"/><Relationship Id="rId207" Type="http://schemas.openxmlformats.org/officeDocument/2006/relationships/hyperlink" Target="https://www.crp.gov.sk/data/att/80772.pdf" TargetMode="External"/><Relationship Id="rId228" Type="http://schemas.openxmlformats.org/officeDocument/2006/relationships/hyperlink" Target="https://www.slov-lex.sk/pravne-predpisy/SK/ZZ/2019/280/20210101.html" TargetMode="External"/><Relationship Id="rId249" Type="http://schemas.openxmlformats.org/officeDocument/2006/relationships/hyperlink" Target="https://www.employment.gov.sk/sk/ministerstvo/vyskum-oblasti-prace-socialnych-veci-institut-socialnej-politiky/kto-chce-zat-musi-siat.html" TargetMode="External"/><Relationship Id="rId13" Type="http://schemas.openxmlformats.org/officeDocument/2006/relationships/hyperlink" Target="https://www.slov-lex.sk/pravne-predpisy/SK/ZZ/2004/581/20200101" TargetMode="External"/><Relationship Id="rId109" Type="http://schemas.openxmlformats.org/officeDocument/2006/relationships/hyperlink" Target="https://www.slov-lex.sk/pravne-predpisy/SK/ZZ/2019/138/20190901" TargetMode="External"/><Relationship Id="rId260" Type="http://schemas.openxmlformats.org/officeDocument/2006/relationships/hyperlink" Target="https://eur-lex.europa.eu/legal-content/SK/TXT/?qid=1564388248041&amp;uri=CELEX:32019R1238" TargetMode="External"/><Relationship Id="rId281" Type="http://schemas.openxmlformats.org/officeDocument/2006/relationships/hyperlink" Target="https://www.mpsvr.sk/files/slovensky/ministerstvo/rozpocet-ministerstva/investicny-plan-mpsvr-sr-2019-22-k-31-12-2019.pdf" TargetMode="External"/><Relationship Id="rId316" Type="http://schemas.openxmlformats.org/officeDocument/2006/relationships/hyperlink" Target="https://metais.vicepremier.gov.sk/studia/detail/c83f0c63-ce3f-0dda-1fc6-5acba7216a7f?tab=documents" TargetMode="External"/><Relationship Id="rId337" Type="http://schemas.openxmlformats.org/officeDocument/2006/relationships/hyperlink" Target="https://pozfond.sk/najom/mlady-polnohospodar/" TargetMode="External"/><Relationship Id="rId34" Type="http://schemas.openxmlformats.org/officeDocument/2006/relationships/hyperlink" Target="https://www.opii.gov.sk/download/f/pcba/feasibilitystudy_1_0.rar" TargetMode="External"/><Relationship Id="rId55" Type="http://schemas.openxmlformats.org/officeDocument/2006/relationships/hyperlink" Target="http://www.rokovania.sk/Rokovanie.aspx/BodRokovaniaDetail?idMaterial=26598" TargetMode="External"/><Relationship Id="rId76" Type="http://schemas.openxmlformats.org/officeDocument/2006/relationships/hyperlink" Target="http://www.informatizacia.sk/ext_dok-hk_dop_migracia_isv/26929c" TargetMode="External"/><Relationship Id="rId97" Type="http://schemas.openxmlformats.org/officeDocument/2006/relationships/hyperlink" Target="https://rokovania.gov.sk/RVL/Resolution/17768" TargetMode="External"/><Relationship Id="rId120" Type="http://schemas.openxmlformats.org/officeDocument/2006/relationships/hyperlink" Target="https://www.slov-lex.sk/pravne-predpisy/SK/ZZ/2001/311/20200101.html" TargetMode="External"/><Relationship Id="rId141" Type="http://schemas.openxmlformats.org/officeDocument/2006/relationships/hyperlink" Target="https://www.slov-lex.sk/pravne-predpisy/SK/ZZ/2018/269/" TargetMode="External"/><Relationship Id="rId7" Type="http://schemas.openxmlformats.org/officeDocument/2006/relationships/hyperlink" Target="https://www.slov-lex.sk/pravne-predpisy/SK/ZZ/2011/363/20200101" TargetMode="External"/><Relationship Id="rId162" Type="http://schemas.openxmlformats.org/officeDocument/2006/relationships/hyperlink" Target="https://www.crz.gov.sk/index.php?ID=2541298&amp;l=sk" TargetMode="External"/><Relationship Id="rId183" Type="http://schemas.openxmlformats.org/officeDocument/2006/relationships/hyperlink" Target="https://rokovania.gov.sk/RVL/Material/23422/1" TargetMode="External"/><Relationship Id="rId218" Type="http://schemas.openxmlformats.org/officeDocument/2006/relationships/hyperlink" Target="http://envirofond.sk/_img/Ziadosti/2019/Dotacie/Roz%C5%A1%C3%ADrenie_%C5%A0pecifik%C3%A1cia_%C4%8Dinnos%C5%A5_dot%C3%A1cie_J1_2019.pdf" TargetMode="External"/><Relationship Id="rId239" Type="http://schemas.openxmlformats.org/officeDocument/2006/relationships/hyperlink" Target="https://www.itms2014.sk/vyzva?id=5fd272eb-2a33-4365-9644-cbd621988d5f" TargetMode="External"/><Relationship Id="rId250" Type="http://schemas.openxmlformats.org/officeDocument/2006/relationships/hyperlink" Target="https://www.slov-lex.sk/pravne-predpisy/SK/ZZ/2004/5/20200404" TargetMode="External"/><Relationship Id="rId271" Type="http://schemas.openxmlformats.org/officeDocument/2006/relationships/hyperlink" Target="https://www.anafin.sk/33/stvrty-dochodkovy-pilier-a-sporenie-bez-nutnosti-platit-dane-uniqueidmRRWSbk196Fv3xOw8VyVmKhpEinowZl0ovJjqRtTyOVXsM13NTYMBg/" TargetMode="External"/><Relationship Id="rId292" Type="http://schemas.openxmlformats.org/officeDocument/2006/relationships/hyperlink" Target="https://rokovania.gov.sk/RVL/Material/24368/1" TargetMode="External"/><Relationship Id="rId306" Type="http://schemas.openxmlformats.org/officeDocument/2006/relationships/hyperlink" Target="http://www.forestportal.sk/lesne-hospodarstvo/hospodarska-uprava-lesov/program-starostlivosti-o-lesy/Stranky/default.aspx" TargetMode="External"/><Relationship Id="rId24" Type="http://schemas.openxmlformats.org/officeDocument/2006/relationships/hyperlink" Target="https://josephine.proebiz.com/sk/tender/6004/summary" TargetMode="External"/><Relationship Id="rId45" Type="http://schemas.openxmlformats.org/officeDocument/2006/relationships/hyperlink" Target="https://www.crz.gov.sk/index.php?ID=4306579&amp;l=sk" TargetMode="External"/><Relationship Id="rId66" Type="http://schemas.openxmlformats.org/officeDocument/2006/relationships/hyperlink" Target="https://www.mindop.sk/ministerstvo-1/doprava-3/dopravne-modelovanie/metodika-dopravneho-modelovania-a-dopravnych-prognoz/metodicka-prirucka-k-zostave-dopravnych-modelov-a-dopravnych-prognoz" TargetMode="External"/><Relationship Id="rId87" Type="http://schemas.openxmlformats.org/officeDocument/2006/relationships/hyperlink" Target="http://www.informatizacia.sk/ext_dok-schvalene-projekty-po-1-a-3_k-23122015/22580c" TargetMode="External"/><Relationship Id="rId110" Type="http://schemas.openxmlformats.org/officeDocument/2006/relationships/hyperlink" Target="https://www.slov-lex.sk/pravne-predpisy/SK/ZZ/2003/553/20190901.html" TargetMode="External"/><Relationship Id="rId131" Type="http://schemas.openxmlformats.org/officeDocument/2006/relationships/hyperlink" Target="https://www.slov-lex.sk/pravne-predpisy/SK/ZZ/2018/401/vyhlasene_znenie.html" TargetMode="External"/><Relationship Id="rId327" Type="http://schemas.openxmlformats.org/officeDocument/2006/relationships/hyperlink" Target="http://www.registeruz.sk/cruz-public/domain/accountingentity/simplesearch" TargetMode="External"/><Relationship Id="rId152" Type="http://schemas.openxmlformats.org/officeDocument/2006/relationships/hyperlink" Target="https://rokovania.gov.sk/RVL/Resolution/7731" TargetMode="External"/><Relationship Id="rId173" Type="http://schemas.openxmlformats.org/officeDocument/2006/relationships/hyperlink" Target="http://www.envirofond.sk/_img/Ziadosti/2019/Vyzvy/VyzvaB_1_2020.pdf" TargetMode="External"/><Relationship Id="rId194" Type="http://schemas.openxmlformats.org/officeDocument/2006/relationships/hyperlink" Target="http://www.envirofond.sk/_img/Ziadosti/2020/UVERY/IV.Rozsirenie_Specifikacie_EF_2020.pdf" TargetMode="External"/><Relationship Id="rId208" Type="http://schemas.openxmlformats.org/officeDocument/2006/relationships/hyperlink" Target="https://www.crz.gov.sk/index.php?ID=4085833&amp;l=sk" TargetMode="External"/><Relationship Id="rId229" Type="http://schemas.openxmlformats.org/officeDocument/2006/relationships/hyperlink" Target="https://www.slov-lex.sk/pravne-predpisy/SK/ZZ/2019/312/" TargetMode="External"/><Relationship Id="rId240" Type="http://schemas.openxmlformats.org/officeDocument/2006/relationships/hyperlink" Target="https://www.crp.gov.sk/index.php?cms_location=kazde-dieta-sa-pocita" TargetMode="External"/><Relationship Id="rId261" Type="http://schemas.openxmlformats.org/officeDocument/2006/relationships/hyperlink" Target="https://www.mfsr.sk/sk/financie/institut-financnej-politiky/strategicke-materialy/narodny-program-reforiem/narodny-program-reforiem.html" TargetMode="External"/><Relationship Id="rId14" Type="http://schemas.openxmlformats.org/officeDocument/2006/relationships/hyperlink" Target="https://www.nku.gov.sk/aktuality/-/asset_publisher/9A3u/content/kontrolori-upozornuju-na-rizika-v-statnom-rozpocte-rezervy-su-v-oblasti-zdravotnictva-ci-dopravy?fbclid=IwAR3_b9B4-bgXRmkgOxWu8eOLz8DjJko9ZJ-4FQXr6AWiHbJbuT6PEI0Cx_g" TargetMode="External"/><Relationship Id="rId35" Type="http://schemas.openxmlformats.org/officeDocument/2006/relationships/hyperlink" Target="https://www.mfsr.sk/files/archiv/37/KVC_UHP_hodnotenie_20190812_2.pdf%20N&#225;klady%20v%20hodnote%2029,8" TargetMode="External"/><Relationship Id="rId56" Type="http://schemas.openxmlformats.org/officeDocument/2006/relationships/hyperlink" Target="https://ted.europa.eu/udl?uri=TED:NOTICE:137797-2019:TEXT:SK:HTML" TargetMode="External"/><Relationship Id="rId77" Type="http://schemas.openxmlformats.org/officeDocument/2006/relationships/hyperlink" Target="https://www.vicepremier.gov.sk/wp-content/uploads/2019/11/katalog-sluzieb-1.12_FINAL_vr.pdf" TargetMode="External"/><Relationship Id="rId100" Type="http://schemas.openxmlformats.org/officeDocument/2006/relationships/hyperlink" Target="https://www.minedu.sk/data/att/15376.pdf" TargetMode="External"/><Relationship Id="rId282" Type="http://schemas.openxmlformats.org/officeDocument/2006/relationships/hyperlink" Target="https://www.mfsr.sk/sk/financie/hodnota-za-peniaze/hodnotenie-investicnych-projektov/hodnotenie-investicnych-projektov.html" TargetMode="External"/><Relationship Id="rId317" Type="http://schemas.openxmlformats.org/officeDocument/2006/relationships/hyperlink" Target="https://metais.vicepremier.gov.sk/studia/detail/c83f0c63-ce3f-0dda-1fc6-5acba7216a7f?tab=documents" TargetMode="External"/><Relationship Id="rId338" Type="http://schemas.openxmlformats.org/officeDocument/2006/relationships/hyperlink" Target="https://data.gov.sk/dataset/zoznam-ukoncenych-projektov-jednoduchych-pozemkovych-uprav/resource/d21585a2-45aa-4aff-b98b-6e7436f32cd7" TargetMode="External"/><Relationship Id="rId8" Type="http://schemas.openxmlformats.org/officeDocument/2006/relationships/hyperlink" Target="http://www.ineko.sk/clanky/slabe-vyuzivanie-generik-a-biosimilarov-nas-stoji-takmer-80-milionov-eur-rocne" TargetMode="External"/><Relationship Id="rId98" Type="http://schemas.openxmlformats.org/officeDocument/2006/relationships/hyperlink" Target="https://www.slov-lex.sk/pravne-predpisy/SK/ZZ/2019/138/20190901" TargetMode="External"/><Relationship Id="rId121" Type="http://schemas.openxmlformats.org/officeDocument/2006/relationships/hyperlink" Target="https://www.minedu.sk/2672019-vyzva-na-prepojenie-vysokoskolskeho-vzdelavania-s-potrebami-praxe-skvalitnenie-pripravy-buducich-pedagogickych-a-odbornych-zamestnancov-oplz-po12019dop131-01/" TargetMode="External"/><Relationship Id="rId142" Type="http://schemas.openxmlformats.org/officeDocument/2006/relationships/hyperlink" Target="https://saavs.sk/list-rektorom-oznamenie-o-prevzati-agendy-akreditacnej-komisie/" TargetMode="External"/><Relationship Id="rId163" Type="http://schemas.openxmlformats.org/officeDocument/2006/relationships/hyperlink" Target="https://www.employment.gov.sk/sk/informacie-media/aktuality/kde-koncia-absolventi-skol.html" TargetMode="External"/><Relationship Id="rId184" Type="http://schemas.openxmlformats.org/officeDocument/2006/relationships/hyperlink" Target="https://rokovania.gov.sk/RVL/Material/24029/1" TargetMode="External"/><Relationship Id="rId219" Type="http://schemas.openxmlformats.org/officeDocument/2006/relationships/hyperlink" Target="https://www.crz.gov.sk/index.php?ID=4021417&amp;l=sk" TargetMode="External"/><Relationship Id="rId3" Type="http://schemas.openxmlformats.org/officeDocument/2006/relationships/hyperlink" Target="https://www.health.gov.sk/?oddlzovane-zz" TargetMode="External"/><Relationship Id="rId214" Type="http://schemas.openxmlformats.org/officeDocument/2006/relationships/hyperlink" Target="https://www.uvo.gov.sk/vyhladavanie-zakaziek/detail/dokumenty/419086" TargetMode="External"/><Relationship Id="rId230" Type="http://schemas.openxmlformats.org/officeDocument/2006/relationships/hyperlink" Target="https://www.komisarprezdravotnepostihnutych.sk/Media/Vyjadrenie-k-novele-zakona-rodicovskeho-prispevku" TargetMode="External"/><Relationship Id="rId235" Type="http://schemas.openxmlformats.org/officeDocument/2006/relationships/hyperlink" Target="https://www.slov-lex.sk/pravne-predpisy/SK/ZZ/2018/61/20190101.html" TargetMode="External"/><Relationship Id="rId251" Type="http://schemas.openxmlformats.org/officeDocument/2006/relationships/hyperlink" Target="https://www.employment.gov.sk/sk/ministerstvo/vyskum-oblasti-prace-socialnych-veci-institut-socialnej-politiky/analyticke-komentare/docasna-praca-ako-sanca-znevyhodnenych.html" TargetMode="External"/><Relationship Id="rId256" Type="http://schemas.openxmlformats.org/officeDocument/2006/relationships/hyperlink" Target="https://www.nrsr.sk/web/Default.aspx?sid=zakony/zakon&amp;ZakZborID=13&amp;CisObdobia=7&amp;CPT=1719" TargetMode="External"/><Relationship Id="rId277" Type="http://schemas.openxmlformats.org/officeDocument/2006/relationships/hyperlink" Target="https://www.nrsr.sk/web/Default.aspx?sid=zakony/zakon&amp;ZakZborID=13&amp;CisObdobia=7&amp;CPT=1694" TargetMode="External"/><Relationship Id="rId298" Type="http://schemas.openxmlformats.org/officeDocument/2006/relationships/hyperlink" Target="https://data.gov.sk/dataset/zoznam-rozpracovanych-projektov-jednoduchych-pozemkovych-uprav" TargetMode="External"/><Relationship Id="rId25" Type="http://schemas.openxmlformats.org/officeDocument/2006/relationships/hyperlink" Target="http://www.udzs-sk.sk/documents/14214/119627/Metodika_konvergencie_zakladnej_sadzby.pdf/a7263f0d-8d6d-493d-836b-1b20716199cd" TargetMode="External"/><Relationship Id="rId46" Type="http://schemas.openxmlformats.org/officeDocument/2006/relationships/hyperlink" Target="https://www.opii.gov.sk/opiiapp.php/Projekty/" TargetMode="External"/><Relationship Id="rId67" Type="http://schemas.openxmlformats.org/officeDocument/2006/relationships/hyperlink" Target="https://metais.vicepremier.gov.sk/studia/list" TargetMode="External"/><Relationship Id="rId116" Type="http://schemas.openxmlformats.org/officeDocument/2006/relationships/hyperlink" Target="https://www.slov-lex.sk/pravne-predpisy/SK/ZZ/2018/318/" TargetMode="External"/><Relationship Id="rId137" Type="http://schemas.openxmlformats.org/officeDocument/2006/relationships/hyperlink" Target="https://www.minedu.sk/27122018-vyzva-na-predkladanie-ziadosti-o-nenavratny-financny-prispevok-na-podporu-prepojenia-vysokoskolskeho-vzdelavania-s-potrebami-praxe-vysoka-skola-pre-prax-oplz-po12018dop131-02/" TargetMode="External"/><Relationship Id="rId158" Type="http://schemas.openxmlformats.org/officeDocument/2006/relationships/hyperlink" Target="https://www.crz.gov.sk/index.php?ID=4163023&amp;l=sk" TargetMode="External"/><Relationship Id="rId272" Type="http://schemas.openxmlformats.org/officeDocument/2006/relationships/hyperlink" Target="https://www.eiopa.europa.eu/sites/default/files/publications/consultations/consultation_paper_on_pepp.pdf" TargetMode="External"/><Relationship Id="rId293" Type="http://schemas.openxmlformats.org/officeDocument/2006/relationships/hyperlink" Target="https://www.slov-lex.sk/pravne-predpisy/SK/ZZ/1991/330/" TargetMode="External"/><Relationship Id="rId302" Type="http://schemas.openxmlformats.org/officeDocument/2006/relationships/hyperlink" Target="https://www.epi.sk/zz/2018-172" TargetMode="External"/><Relationship Id="rId307" Type="http://schemas.openxmlformats.org/officeDocument/2006/relationships/hyperlink" Target="https://data.gov.sk/dataset/lesne-porasty-opis/resource/5e8f92ab-850f-45a0-9b64-ce3b09fe24ee" TargetMode="External"/><Relationship Id="rId323" Type="http://schemas.openxmlformats.org/officeDocument/2006/relationships/hyperlink" Target="https://program.statneit.sk/plan/rozpo%C4%8Det-a-md-rate" TargetMode="External"/><Relationship Id="rId328" Type="http://schemas.openxmlformats.org/officeDocument/2006/relationships/hyperlink" Target="http://www.radela.sk/Statistiky.html" TargetMode="External"/><Relationship Id="rId20" Type="http://schemas.openxmlformats.org/officeDocument/2006/relationships/hyperlink" Target="https://www.slov-lex.sk/legislativne-procesy/SK/LP/2019/453" TargetMode="External"/><Relationship Id="rId41" Type="http://schemas.openxmlformats.org/officeDocument/2006/relationships/hyperlink" Target="https://www.slov-lex.sk/legislativne-procesy/SK/LP/2019/246" TargetMode="External"/><Relationship Id="rId62" Type="http://schemas.openxmlformats.org/officeDocument/2006/relationships/hyperlink" Target="https://www.finance.gov.sk/files/archiv/85/ZSR_sumarprojektu_20190628.pdf" TargetMode="External"/><Relationship Id="rId83" Type="http://schemas.openxmlformats.org/officeDocument/2006/relationships/hyperlink" Target="https://www.minv.sk/swift_data/source/policia/jm_ode/zep/all/eID_statistika_01_2020.pdf" TargetMode="External"/><Relationship Id="rId88" Type="http://schemas.openxmlformats.org/officeDocument/2006/relationships/hyperlink" Target="https://www.infineon.com/dgdl/Infineon-The+World+is+going+mad+for+mobile-WP-v03_17-EN.pdf?fileId=5546d4625a888733015aae0b7dec4c56" TargetMode="External"/><Relationship Id="rId111" Type="http://schemas.openxmlformats.org/officeDocument/2006/relationships/hyperlink" Target="https://www.minedu.sk/data/att/15260.pdf" TargetMode="External"/><Relationship Id="rId132" Type="http://schemas.openxmlformats.org/officeDocument/2006/relationships/hyperlink" Target="http://www.statpedu.sk/sk/svp/inovovany-statny-vzdelavaci-program/inovovany-svp-gymnazia-so-stvorrocnym-patrocnym-vzdelavacim-programom/" TargetMode="External"/><Relationship Id="rId153" Type="http://schemas.openxmlformats.org/officeDocument/2006/relationships/hyperlink" Target="https://www.minedu.sk/kontrakty-uzatvorene-na-rok-2019/" TargetMode="External"/><Relationship Id="rId174" Type="http://schemas.openxmlformats.org/officeDocument/2006/relationships/hyperlink" Target="http://www.registeruz.sk/cruz-public/domain/accountingentity/show/371372" TargetMode="External"/><Relationship Id="rId179" Type="http://schemas.openxmlformats.org/officeDocument/2006/relationships/hyperlink" Target="https://www.slov-lex.sk/pravne-predpisy/SK/ZZ/2019/362/20191201.html" TargetMode="External"/><Relationship Id="rId195" Type="http://schemas.openxmlformats.org/officeDocument/2006/relationships/hyperlink" Target="https://rokovania.gov.sk/RVL/Material/23943/1" TargetMode="External"/><Relationship Id="rId209" Type="http://schemas.openxmlformats.org/officeDocument/2006/relationships/hyperlink" Target="https://www.crz.gov.sk/index.php?ID=4145733&amp;l=sk" TargetMode="External"/><Relationship Id="rId190" Type="http://schemas.openxmlformats.org/officeDocument/2006/relationships/hyperlink" Target="https://rokovania.gov.sk/RVL/Material/24267/1" TargetMode="External"/><Relationship Id="rId204" Type="http://schemas.openxmlformats.org/officeDocument/2006/relationships/hyperlink" Target="https://www.minzp.sk/files/o-nas/mzp-sr/rozpoctova-kapitola-mzp-sr/investicny-plan-kapitoly-mzp-sr-roky-2019-2021_aktualizacia-k-30.09.2019.zip" TargetMode="External"/><Relationship Id="rId220" Type="http://schemas.openxmlformats.org/officeDocument/2006/relationships/hyperlink" Target="http://www.shmu.sk/File/HIPS_povodnove_spr/Povodnova_sprava_2018x.pdf" TargetMode="External"/><Relationship Id="rId225" Type="http://schemas.openxmlformats.org/officeDocument/2006/relationships/hyperlink" Target="https://www.slov-lex.sk/pravne-predpisy/SK/ZZ/2019/312/" TargetMode="External"/><Relationship Id="rId241" Type="http://schemas.openxmlformats.org/officeDocument/2006/relationships/hyperlink" Target="https://www.crz.gov.sk/index.php?ID=4120976&amp;l=sk." TargetMode="External"/><Relationship Id="rId246" Type="http://schemas.openxmlformats.org/officeDocument/2006/relationships/hyperlink" Target="https://www.slov-lex.sk/pravne-predpisy/SK/ZZ/2013/417/20190401.html" TargetMode="External"/><Relationship Id="rId267" Type="http://schemas.openxmlformats.org/officeDocument/2006/relationships/hyperlink" Target="https://www.slov-lex.sk/legislativne-procesy/SK/PI/2019/121" TargetMode="External"/><Relationship Id="rId288" Type="http://schemas.openxmlformats.org/officeDocument/2006/relationships/hyperlink" Target="https://www.mfsr.sk/sk/financie/verejne-financie/rozpocet-verejnej-spravy/" TargetMode="External"/><Relationship Id="rId15" Type="http://schemas.openxmlformats.org/officeDocument/2006/relationships/hyperlink" Target="https://www.health.gov.sk/Clanok?Prikaz-6-2018" TargetMode="External"/><Relationship Id="rId36" Type="http://schemas.openxmlformats.org/officeDocument/2006/relationships/hyperlink" Target="https://www.opii.gov.sk/metodicke-dokumenty/prirucka-cba" TargetMode="External"/><Relationship Id="rId57" Type="http://schemas.openxmlformats.org/officeDocument/2006/relationships/hyperlink" Target="https://www.slov-lex.sk/pravne-predpisy/SK/ZZ/2004/523/" TargetMode="External"/><Relationship Id="rId106" Type="http://schemas.openxmlformats.org/officeDocument/2006/relationships/hyperlink" Target="https://www.skolskyportal.sk/reformy-skolstva/ministerka-lubyova-bude-zatvarat-zakladne-skoly" TargetMode="External"/><Relationship Id="rId127" Type="http://schemas.openxmlformats.org/officeDocument/2006/relationships/hyperlink" Target="https://www.slov-lex.sk/pravne-predpisy/SK/ZZ/2019/138/20191015" TargetMode="External"/><Relationship Id="rId262" Type="http://schemas.openxmlformats.org/officeDocument/2006/relationships/hyperlink" Target="https://www.slov-lex.sk/pravne-predpisy/SK/ZZ/2004/43/20200406" TargetMode="External"/><Relationship Id="rId283" Type="http://schemas.openxmlformats.org/officeDocument/2006/relationships/hyperlink" Target="https://www.mpsvr.sk/files/slovensky/ministerstvo/rozpocet-ministerstva/investicny-plan-mpsvr-sr-2019-22-k-31-12-2019.pdf" TargetMode="External"/><Relationship Id="rId313" Type="http://schemas.openxmlformats.org/officeDocument/2006/relationships/hyperlink" Target="https://www.mpsr.sk/aktualne/konto-pre-zelenu-naftu-si-vytvorilo-cez-2-000-ziadatelov/14591/" TargetMode="External"/><Relationship Id="rId318" Type="http://schemas.openxmlformats.org/officeDocument/2006/relationships/hyperlink" Target="https://metais.vicepremier.gov.sk/detail/Projekt/549291dc-0751-46ca-824b-b566eb2a0bab/cimaster?tab=basicForm" TargetMode="External"/><Relationship Id="rId339" Type="http://schemas.openxmlformats.org/officeDocument/2006/relationships/hyperlink" Target="https://data.gov.sk/dataset/zoznam-ukoncenych-projektov-pozemkovych-uprav-komplexnych" TargetMode="External"/><Relationship Id="rId10" Type="http://schemas.openxmlformats.org/officeDocument/2006/relationships/hyperlink" Target="https://www.slov-lex.sk/pravne-predpisy/SK/ZZ/2011/363/20200101" TargetMode="External"/><Relationship Id="rId31" Type="http://schemas.openxmlformats.org/officeDocument/2006/relationships/hyperlink" Target="https://www.mfsr.sk/files/archiv/48/PrezentaciaZSR_20191016.pdf" TargetMode="External"/><Relationship Id="rId52" Type="http://schemas.openxmlformats.org/officeDocument/2006/relationships/hyperlink" Target="https://www.ssc.sk/sk/cinnosti/udrzba-a-opravy.ssc" TargetMode="External"/><Relationship Id="rId73" Type="http://schemas.openxmlformats.org/officeDocument/2006/relationships/hyperlink" Target="https://www.mfsr.sk/sk/financie/hodnota-za-peniaze/hodnotenie-investicnych-projektov/hodnotenie-investicnych-projektov.html" TargetMode="External"/><Relationship Id="rId78" Type="http://schemas.openxmlformats.org/officeDocument/2006/relationships/hyperlink" Target="https://www.vicepremier.gov.sk/wp-content/uploads/2020/02/katalog-sluzieb-1.13.pdf" TargetMode="External"/><Relationship Id="rId94" Type="http://schemas.openxmlformats.org/officeDocument/2006/relationships/hyperlink" Target="https://www.vicepremier.gov.sk/wp-content/uploads/2018/10/Detailny_akcny_plan_schvaleny-1.pdf" TargetMode="External"/><Relationship Id="rId99" Type="http://schemas.openxmlformats.org/officeDocument/2006/relationships/hyperlink" Target="https://www.slov-lex.sk/pravne-predpisy/SK/ZZ/2019/224/20190901.html" TargetMode="External"/><Relationship Id="rId101" Type="http://schemas.openxmlformats.org/officeDocument/2006/relationships/hyperlink" Target="https://www.minedu.sk/zoznamy-poskytovatelov-vzdelavania-pedagogickych-zamestnancov-a-odbornych-zamestnancov/" TargetMode="External"/><Relationship Id="rId122" Type="http://schemas.openxmlformats.org/officeDocument/2006/relationships/hyperlink" Target="https://www.mfsr.sk/sk/financie/institut-financnej-politiky/strategicke-materialy/narodny-program-reforiem/narodny-program-reforiem.html" TargetMode="External"/><Relationship Id="rId143" Type="http://schemas.openxmlformats.org/officeDocument/2006/relationships/hyperlink" Target="https://temp.saavs.sk/wp-content/uploads/2020/01/standardy-na-pripomienkovanie-verejnostou-30102019-final_5db9835f73e46.pdf" TargetMode="External"/><Relationship Id="rId148" Type="http://schemas.openxmlformats.org/officeDocument/2006/relationships/hyperlink" Target="https://www.mfsr.sk/sk/financie/hodnota-za-peniaze/hodnotenie-investicnych-projektov/hodnotenie-investicnych-projektov.html" TargetMode="External"/><Relationship Id="rId164" Type="http://schemas.openxmlformats.org/officeDocument/2006/relationships/hyperlink" Target="https://uplatnenie.sk/o-projekte/" TargetMode="External"/><Relationship Id="rId169" Type="http://schemas.openxmlformats.org/officeDocument/2006/relationships/hyperlink" Target="http://www.registeruz.sk/cruz-public/domain/accountingentity/show/371372" TargetMode="External"/><Relationship Id="rId185" Type="http://schemas.openxmlformats.org/officeDocument/2006/relationships/hyperlink" Target="https://ec.europa.eu/competition/state_aid/cases1/20205/281626_2128087_141_2.pdf" TargetMode="External"/><Relationship Id="rId334" Type="http://schemas.openxmlformats.org/officeDocument/2006/relationships/hyperlink" Target="http://www.podnemapy.sk/portal/verejnost/bpej/bpej.aspx" TargetMode="External"/><Relationship Id="rId4" Type="http://schemas.openxmlformats.org/officeDocument/2006/relationships/hyperlink" Target="https://izp.sk/wp-content/uploads/2019/09/Anal%C3%BDza-spotreby-liekov-Eylea-a-Lucentis-v2.pdf" TargetMode="External"/><Relationship Id="rId9" Type="http://schemas.openxmlformats.org/officeDocument/2006/relationships/hyperlink" Target="https://www.slov-lex.sk/pravne-predpisy/SK/ZZ/2019/383/20200101" TargetMode="External"/><Relationship Id="rId180" Type="http://schemas.openxmlformats.org/officeDocument/2006/relationships/hyperlink" Target="https://www.slov-lex.sk/legislativne-procesy/SK/LP/2019/890" TargetMode="External"/><Relationship Id="rId210" Type="http://schemas.openxmlformats.org/officeDocument/2006/relationships/hyperlink" Target="https://www.crz.gov.sk/index.php?ID=4221577&amp;l=sk" TargetMode="External"/><Relationship Id="rId215" Type="http://schemas.openxmlformats.org/officeDocument/2006/relationships/hyperlink" Target="http://www.dibavod.cz/data/metodika_riziko_skody_2008.pdf" TargetMode="External"/><Relationship Id="rId236" Type="http://schemas.openxmlformats.org/officeDocument/2006/relationships/hyperlink" Target="https://www.slov-lex.sk/pravne-predpisy/SK/ZZ/2018/103/20200101" TargetMode="External"/><Relationship Id="rId257" Type="http://schemas.openxmlformats.org/officeDocument/2006/relationships/hyperlink" Target="https://www.nrsr.sk/web/Default.aspx?sid=zakony/zakon&amp;MasterID=6832" TargetMode="External"/><Relationship Id="rId278" Type="http://schemas.openxmlformats.org/officeDocument/2006/relationships/hyperlink" Target="https://www.slov-lex.sk/pravne-predpisy/SK/ZZ/2019/467/vyhlasene_znenie.html" TargetMode="External"/><Relationship Id="rId26" Type="http://schemas.openxmlformats.org/officeDocument/2006/relationships/hyperlink" Target="https://www.epi.sk/zzcr/2010-362" TargetMode="External"/><Relationship Id="rId231" Type="http://schemas.openxmlformats.org/officeDocument/2006/relationships/hyperlink" Target="https://www.employment.gov.sk/files/legislativa/dokumenty-zoznamy-pod/strategia-deinstitucionalizacie-systemu-socialnych-sluzieb-nahradnej-starostlivosti-1.pdf" TargetMode="External"/><Relationship Id="rId252" Type="http://schemas.openxmlformats.org/officeDocument/2006/relationships/hyperlink" Target="https://www.slov-lex.sk/pravne-predpisy/SK/ZZ/2018/317/vyhlasene_znenie.html" TargetMode="External"/><Relationship Id="rId273" Type="http://schemas.openxmlformats.org/officeDocument/2006/relationships/hyperlink" Target="https://www.slov-lex.sk/pravne-predpisy/SK/ZZ/2019/280/vyhlasene_znenie.html" TargetMode="External"/><Relationship Id="rId294" Type="http://schemas.openxmlformats.org/officeDocument/2006/relationships/hyperlink" Target="https://www.nrsr.sk/web/?sid=zakony/prehlad/vratene" TargetMode="External"/><Relationship Id="rId308" Type="http://schemas.openxmlformats.org/officeDocument/2006/relationships/hyperlink" Target="https://data.gov.sk/dataset/lesne-porasty-opis/resource/9025ea45-e31a-4256-bbdf-60c174eb0156" TargetMode="External"/><Relationship Id="rId329" Type="http://schemas.openxmlformats.org/officeDocument/2006/relationships/hyperlink" Target="https://www.apa.sk/index.php?navID=629" TargetMode="External"/><Relationship Id="rId47" Type="http://schemas.openxmlformats.org/officeDocument/2006/relationships/hyperlink" Target="https://www.opii.gov.sk/download/b/zoznam_narodnych_projektov_opii_5_9_rozsireny.pdf" TargetMode="External"/><Relationship Id="rId68" Type="http://schemas.openxmlformats.org/officeDocument/2006/relationships/hyperlink" Target="https://www.minv.sk/swift_data/source/policia/jm_ode/zep/all/eID_statistika_01_2020.pdf" TargetMode="External"/><Relationship Id="rId89" Type="http://schemas.openxmlformats.org/officeDocument/2006/relationships/hyperlink" Target="https://rokovania.gov.sk/RVL/Resolution/17768" TargetMode="External"/><Relationship Id="rId112" Type="http://schemas.openxmlformats.org/officeDocument/2006/relationships/hyperlink" Target="https://www.slov-lex.sk/pravne-predpisy/SK/ZZ/2019/224/20190901.html" TargetMode="External"/><Relationship Id="rId133" Type="http://schemas.openxmlformats.org/officeDocument/2006/relationships/hyperlink" Target="http://www.minedu.sk/data/att/14159.pdf" TargetMode="External"/><Relationship Id="rId154" Type="http://schemas.openxmlformats.org/officeDocument/2006/relationships/hyperlink" Target="https://www.minedu.sk/ministerstvo-skolstva-ukoncilo-posobenie-narodneho-ustavu-celozivotneho-vzdelavania/" TargetMode="External"/><Relationship Id="rId175" Type="http://schemas.openxmlformats.org/officeDocument/2006/relationships/hyperlink" Target="https://www.slov-lex.sk/pravne-predpisy/SK/ZZ/2018/329/20190101" TargetMode="External"/><Relationship Id="rId196" Type="http://schemas.openxmlformats.org/officeDocument/2006/relationships/hyperlink" Target="https://rokovania.gov.sk/RVL/Material/23944/1" TargetMode="External"/><Relationship Id="rId200" Type="http://schemas.openxmlformats.org/officeDocument/2006/relationships/hyperlink" Target="https://www.slov-lex.sk/legislativne-procesy/SK/LP/2020/25" TargetMode="External"/><Relationship Id="rId16" Type="http://schemas.openxmlformats.org/officeDocument/2006/relationships/hyperlink" Target="https://www.slov-lex.sk/pravne-predpisy/SK/ZZ/2004/578/" TargetMode="External"/><Relationship Id="rId221" Type="http://schemas.openxmlformats.org/officeDocument/2006/relationships/hyperlink" Target="https://www.minzp.sk/iep/publikacie/komentare/ku-korenom.html" TargetMode="External"/><Relationship Id="rId242" Type="http://schemas.openxmlformats.org/officeDocument/2006/relationships/hyperlink" Target="https://www.crz.gov.sk/index.php?ID=4304303&amp;l=sk" TargetMode="External"/><Relationship Id="rId263" Type="http://schemas.openxmlformats.org/officeDocument/2006/relationships/hyperlink" Target="https://www.slov-lex.sk/pravne-predpisy/SK/ZZ/2004/650/20200406" TargetMode="External"/><Relationship Id="rId284" Type="http://schemas.openxmlformats.org/officeDocument/2006/relationships/hyperlink" Target="https://rokovania.gov.sk/RVL/Material/24141/1" TargetMode="External"/><Relationship Id="rId319" Type="http://schemas.openxmlformats.org/officeDocument/2006/relationships/hyperlink" Target="https://metais.vicepremier.gov.sk/studia/detail/844cab95-f737-de08-2715-3ed90e4fdb64?tab=documents" TargetMode="External"/><Relationship Id="rId37" Type="http://schemas.openxmlformats.org/officeDocument/2006/relationships/hyperlink" Target="https://www.uvo.gov.sk/vyhladavanie-zakaziek/detail/420058" TargetMode="External"/><Relationship Id="rId58" Type="http://schemas.openxmlformats.org/officeDocument/2006/relationships/hyperlink" Target="https://www.finance.gov.sk/files/archiv/82/I-75Galanta-NoveZamky.pdf" TargetMode="External"/><Relationship Id="rId79" Type="http://schemas.openxmlformats.org/officeDocument/2006/relationships/hyperlink" Target="https://www.uvo.gov.sk/vyhladavanie-zakaziek/detail/415748" TargetMode="External"/><Relationship Id="rId102" Type="http://schemas.openxmlformats.org/officeDocument/2006/relationships/hyperlink" Target="https://www.minedu.sk/2672019-vyzva-na-prepojenie-vysokoskolskeho-vzdelavania-s-potrebami-praxe-skvalitnenie-pripravy-buducich-pedagogickych-a-odbornych-zamestnancov-oplz-po12019dop131-01/" TargetMode="External"/><Relationship Id="rId123" Type="http://schemas.openxmlformats.org/officeDocument/2006/relationships/hyperlink" Target="https://www.nucem.sk/sk/projekty-a-linky/kriterialne-testy" TargetMode="External"/><Relationship Id="rId144" Type="http://schemas.openxmlformats.org/officeDocument/2006/relationships/hyperlink" Target="https://www.slov-lex.sk/pravne-predpisy/SK/ZZ/2018/270/" TargetMode="External"/><Relationship Id="rId330" Type="http://schemas.openxmlformats.org/officeDocument/2006/relationships/hyperlink" Target="https://data.gov.sk/dataset/bonitovane-podnoekologicke-jednotky-bpej" TargetMode="External"/><Relationship Id="rId90" Type="http://schemas.openxmlformats.org/officeDocument/2006/relationships/hyperlink" Target="http://www.informatizacia.sk/ext_dok-koncepcia_riadenia_inormatizacie_schvalena/26031c" TargetMode="External"/><Relationship Id="rId165" Type="http://schemas.openxmlformats.org/officeDocument/2006/relationships/hyperlink" Target="https://uplatnenie.sk/porovnanie/" TargetMode="External"/><Relationship Id="rId186" Type="http://schemas.openxmlformats.org/officeDocument/2006/relationships/hyperlink" Target="https://ec.europa.eu/transparency/regdoc/rep/1/2020/SK/COM-2020-22-F1-SK-MAIN-PART-1.PDF" TargetMode="External"/><Relationship Id="rId211" Type="http://schemas.openxmlformats.org/officeDocument/2006/relationships/hyperlink" Target="https://www.crz.gov.sk/index.php?ID=4096833&amp;l=sk" TargetMode="External"/><Relationship Id="rId232" Type="http://schemas.openxmlformats.org/officeDocument/2006/relationships/hyperlink" Target="https://www.slov-lex.sk/pravne-predpisy/SK/ZZ/2018/61/20190101.html" TargetMode="External"/><Relationship Id="rId253" Type="http://schemas.openxmlformats.org/officeDocument/2006/relationships/hyperlink" Target="https://www.nrsr.sk/web/Default.aspx?sid=zakony/zakon&amp;ZakZborID=13&amp;CisObdobia=7&amp;CPT=1719" TargetMode="External"/><Relationship Id="rId274" Type="http://schemas.openxmlformats.org/officeDocument/2006/relationships/hyperlink" Target="https://www.slov-lex.sk/pravne-predpisy/SK/ZZ/2019/280/20210101.html" TargetMode="External"/><Relationship Id="rId295" Type="http://schemas.openxmlformats.org/officeDocument/2006/relationships/hyperlink" Target="https://www.nrsr.sk/web/Default.aspx?sid=zakony/zakon&amp;MasterID=7683" TargetMode="External"/><Relationship Id="rId309" Type="http://schemas.openxmlformats.org/officeDocument/2006/relationships/hyperlink" Target="https://data.gov.sk/dataset/lesne-porasty-plan/resource/4185c2da-c274-4389-832e-bafe5267c449" TargetMode="External"/><Relationship Id="rId27" Type="http://schemas.openxmlformats.org/officeDocument/2006/relationships/hyperlink" Target="https://www.mfsr.sk/files/archiv/91/prioritizacia_metodika_20191218.pdf" TargetMode="External"/><Relationship Id="rId48" Type="http://schemas.openxmlformats.org/officeDocument/2006/relationships/hyperlink" Target="https://www.crz.gov.sk/index.php?ID=3941461&amp;l=sk" TargetMode="External"/><Relationship Id="rId69" Type="http://schemas.openxmlformats.org/officeDocument/2006/relationships/hyperlink" Target="http://www.informatizacia.sk/ext_dok-nkivs-sr_2016/23668c" TargetMode="External"/><Relationship Id="rId113" Type="http://schemas.openxmlformats.org/officeDocument/2006/relationships/hyperlink" Target="https://www.nrsr.sk/web/Default.aspx?sid=zakony/zakon&amp;MasterID=7324" TargetMode="External"/><Relationship Id="rId134" Type="http://schemas.openxmlformats.org/officeDocument/2006/relationships/hyperlink" Target="https://www.minedu.sk/data/att/15779.docx" TargetMode="External"/><Relationship Id="rId320" Type="http://schemas.openxmlformats.org/officeDocument/2006/relationships/hyperlink" Target="https://metais.vicepremier.gov.sk/studia/detail/ff58dbaf-2e94-9fe3-c735-d1409b5e6be9?tab=basicForm" TargetMode="External"/><Relationship Id="rId80" Type="http://schemas.openxmlformats.org/officeDocument/2006/relationships/hyperlink" Target="https://www.mfsr.sk/sk/financie/hodnota-za-peniaze/hodnotenie-investicnych-projektov/hodnotenie-investicnych-projektov.html" TargetMode="External"/><Relationship Id="rId155" Type="http://schemas.openxmlformats.org/officeDocument/2006/relationships/hyperlink" Target="http://www.registeruz.sk/cruz-public/domain/accountingentity/show/6743" TargetMode="External"/><Relationship Id="rId176" Type="http://schemas.openxmlformats.org/officeDocument/2006/relationships/hyperlink" Target="https://www.slov-lex.sk/pravne-predpisy/SK/ZZ/2018/330/20190101" TargetMode="External"/><Relationship Id="rId197" Type="http://schemas.openxmlformats.org/officeDocument/2006/relationships/hyperlink" Target="https://rokovania.gov.sk/download.dat?id=0B9B481B9C574F5B8D7B3321E36E2122-DF1BBB012AAFFC9C8EAC187E87C54373" TargetMode="External"/><Relationship Id="rId201" Type="http://schemas.openxmlformats.org/officeDocument/2006/relationships/hyperlink" Target="https://www.slov-lex.sk/legislativne-procesy/SK/LP/2020/28" TargetMode="External"/><Relationship Id="rId222" Type="http://schemas.openxmlformats.org/officeDocument/2006/relationships/hyperlink" Target="https://www.slov-lex.sk/pravne-predpisy/SK/ZZ/2018/317/" TargetMode="External"/><Relationship Id="rId243" Type="http://schemas.openxmlformats.org/officeDocument/2006/relationships/hyperlink" Target="https://lnk.sk/npF9" TargetMode="External"/><Relationship Id="rId264" Type="http://schemas.openxmlformats.org/officeDocument/2006/relationships/hyperlink" Target="https://www.slov-lex.sk/pravne-predpisy/SK/ZZ/2019/234/vyhlasene_znenie.html" TargetMode="External"/><Relationship Id="rId285" Type="http://schemas.openxmlformats.org/officeDocument/2006/relationships/hyperlink" Target="https://rokovania.gov.sk/RVL/Resolution/18080/1" TargetMode="External"/><Relationship Id="rId17" Type="http://schemas.openxmlformats.org/officeDocument/2006/relationships/hyperlink" Target="https://www.slov-lex.sk/pravne-predpisy/SK/ZZ/2018/351/" TargetMode="External"/><Relationship Id="rId38" Type="http://schemas.openxmlformats.org/officeDocument/2006/relationships/hyperlink" Target="https://www.uvo.gov.sk/vyhladavanie-zakaziek/detail/dokumenty/419128" TargetMode="External"/><Relationship Id="rId59" Type="http://schemas.openxmlformats.org/officeDocument/2006/relationships/hyperlink" Target="https://www.finance.gov.sk/files/archiv/52/stanovisko_I68_vfm_20190606.pdf" TargetMode="External"/><Relationship Id="rId103" Type="http://schemas.openxmlformats.org/officeDocument/2006/relationships/hyperlink" Target="https://www.slov-lex.sk/pravne-predpisy/SK/ZZ/2018/269/" TargetMode="External"/><Relationship Id="rId124" Type="http://schemas.openxmlformats.org/officeDocument/2006/relationships/hyperlink" Target="https://www.nucem.sk/dl/4570/Vyhodnotenie_E-NT%20E%C4%8C%20MS%202019_final%202.pdf" TargetMode="External"/><Relationship Id="rId310" Type="http://schemas.openxmlformats.org/officeDocument/2006/relationships/hyperlink" Target="https://data.gov.sk/dataset/lesne-porasty-plan/resource/cee86470-29f8-4ca4-ab2e-4878c3125012" TargetMode="External"/><Relationship Id="rId70" Type="http://schemas.openxmlformats.org/officeDocument/2006/relationships/hyperlink" Target="https://idsk-elements.herokuapp.com/" TargetMode="External"/><Relationship Id="rId91" Type="http://schemas.openxmlformats.org/officeDocument/2006/relationships/hyperlink" Target="https://rokovania.gov.sk/RVL/Material/23683/1" TargetMode="External"/><Relationship Id="rId145" Type="http://schemas.openxmlformats.org/officeDocument/2006/relationships/hyperlink" Target="https://www.minedu.sk/rozpis-dotacii-zo-statneho-rozpoctu-verejnym-vysokym-skolam-na-rok-2020/" TargetMode="External"/><Relationship Id="rId166" Type="http://schemas.openxmlformats.org/officeDocument/2006/relationships/hyperlink" Target="https://www.slov-lex.sk/pravne-predpisy/SK/ZZ/2018/329/20190101" TargetMode="External"/><Relationship Id="rId187" Type="http://schemas.openxmlformats.org/officeDocument/2006/relationships/hyperlink" Target="http://www.registeruz.sk/cruz-public/domain/accountingentity/show/371372" TargetMode="External"/><Relationship Id="rId331" Type="http://schemas.openxmlformats.org/officeDocument/2006/relationships/hyperlink" Target="https://data.gov.sk/dataset/bonitovane-podnoekologicke-jednotky-bpej/resource/f13346fb-1bc9-4dd3-9fa6-e63ca0659e3a/preview" TargetMode="External"/><Relationship Id="rId1" Type="http://schemas.openxmlformats.org/officeDocument/2006/relationships/hyperlink" Target="https://www.slov-lex.sk/pravne-predpisy/SK/ZZ/2011/363/20200101" TargetMode="External"/><Relationship Id="rId212" Type="http://schemas.openxmlformats.org/officeDocument/2006/relationships/hyperlink" Target="https://www.crz.gov.sk/index.php?ID=4090395&amp;l=sk" TargetMode="External"/><Relationship Id="rId233" Type="http://schemas.openxmlformats.org/officeDocument/2006/relationships/hyperlink" Target="https://www.upsvr.gov.sk/europsky-socialny-fond/narodne-projekty-v-programovom-obdobi-2014-2020/narodny-projekt-podpora-deinstitucionalizacie-nahradnej-starostlivosti-v-zariadeniach.html?page_id=817410" TargetMode="External"/><Relationship Id="rId254" Type="http://schemas.openxmlformats.org/officeDocument/2006/relationships/hyperlink" Target="https://www.slov-lex.sk/pravne-predpisy/SK/ZZ/2019/466/" TargetMode="External"/><Relationship Id="rId28" Type="http://schemas.openxmlformats.org/officeDocument/2006/relationships/hyperlink" Target="https://www.crz.gov.sk/index.php?ID=3941461&amp;l=sk" TargetMode="External"/><Relationship Id="rId49" Type="http://schemas.openxmlformats.org/officeDocument/2006/relationships/hyperlink" Target="https://www.uvo.gov.sk/vyhladavanie-zakaziek/detail/oznamenia/420733" TargetMode="External"/><Relationship Id="rId114" Type="http://schemas.openxmlformats.org/officeDocument/2006/relationships/hyperlink" Target="https://www.slov-lex.sk/pravne-predpisy/SK/ZZ/2019/269/vyhlasene_znenie.html" TargetMode="External"/><Relationship Id="rId275" Type="http://schemas.openxmlformats.org/officeDocument/2006/relationships/hyperlink" Target="http://www.rokovania.sk/File.aspx/ViewDocumentHtml/Uznesenie-17661?prefixFile=u_" TargetMode="External"/><Relationship Id="rId296" Type="http://schemas.openxmlformats.org/officeDocument/2006/relationships/hyperlink" Target="http://www.minv.sk/?projekty-pozemkovych-uprav-2" TargetMode="External"/><Relationship Id="rId300" Type="http://schemas.openxmlformats.org/officeDocument/2006/relationships/hyperlink" Target="https://data.gov.sk/dataset/obvykla-vyska-najomneho" TargetMode="External"/><Relationship Id="rId60" Type="http://schemas.openxmlformats.org/officeDocument/2006/relationships/hyperlink" Target="https://www.crz.gov.sk/index.php?ID=3148181&amp;l=sk" TargetMode="External"/><Relationship Id="rId81" Type="http://schemas.openxmlformats.org/officeDocument/2006/relationships/hyperlink" Target="https://www.uvo.gov.sk/vyhladavanie-zakaziek/detail/415748" TargetMode="External"/><Relationship Id="rId135" Type="http://schemas.openxmlformats.org/officeDocument/2006/relationships/hyperlink" Target="https://dennikn.sk/1725678/90-archeologov-co-sme-mezopotamia-zamestnavatelia-pred-volbami-hovoria-ako-si-predstavuju-skoly/" TargetMode="External"/><Relationship Id="rId156" Type="http://schemas.openxmlformats.org/officeDocument/2006/relationships/hyperlink" Target="http://www.rozpocet.sk/web/ro/2019_20_125.pdf" TargetMode="External"/><Relationship Id="rId177" Type="http://schemas.openxmlformats.org/officeDocument/2006/relationships/hyperlink" Target="https://rokovania.gov.sk/RVL/Material/23540/2" TargetMode="External"/><Relationship Id="rId198" Type="http://schemas.openxmlformats.org/officeDocument/2006/relationships/hyperlink" Target="https://rokovania.gov.sk/RVL/Material/24116/1" TargetMode="External"/><Relationship Id="rId321" Type="http://schemas.openxmlformats.org/officeDocument/2006/relationships/hyperlink" Target="https://metais.vicepremier.gov.sk/studia/detail/ff58dbaf-2e94-9fe3-c735-d1409b5e6be9?tab=documents" TargetMode="External"/><Relationship Id="rId202" Type="http://schemas.openxmlformats.org/officeDocument/2006/relationships/hyperlink" Target="http://europa.eu/rapid/press-release_MEMO-19-462_sk.htm?fbclid=IwAR1U26f3aXYvgPEYdsNXbiBcpcK-0wLrPNxV6u1lR1VCWY8c7qPRNLQ5Elc" TargetMode="External"/><Relationship Id="rId223" Type="http://schemas.openxmlformats.org/officeDocument/2006/relationships/hyperlink" Target="https://www.nrsr.sk/web/Default.aspx?sid=zakony/zakon&amp;ZakZborID=13&amp;CisObdobia=7&amp;CPT=1719" TargetMode="External"/><Relationship Id="rId244" Type="http://schemas.openxmlformats.org/officeDocument/2006/relationships/hyperlink" Target="https://www.slov-lex.sk/pravne-predpisy/SK/ZZ/2019/10/" TargetMode="External"/><Relationship Id="rId18" Type="http://schemas.openxmlformats.org/officeDocument/2006/relationships/hyperlink" Target="https://www.euripid.eu/aboutus" TargetMode="External"/><Relationship Id="rId39" Type="http://schemas.openxmlformats.org/officeDocument/2006/relationships/hyperlink" Target="https://www.slov-lex.sk/legislativne-procesy/-/SK/LP/2019/384" TargetMode="External"/><Relationship Id="rId265" Type="http://schemas.openxmlformats.org/officeDocument/2006/relationships/hyperlink" Target="https://www.slov-lex.sk/legislativne-procesy/SK/PI/2019/120" TargetMode="External"/><Relationship Id="rId286" Type="http://schemas.openxmlformats.org/officeDocument/2006/relationships/hyperlink" Target="https://rokovania.gov.sk/RVL/Material/24368/1" TargetMode="External"/><Relationship Id="rId50" Type="http://schemas.openxmlformats.org/officeDocument/2006/relationships/hyperlink" Target="https://www.uvo.gov.sk/vyhladavanie-dokumentov/document/3060211/content/993607/download" TargetMode="External"/><Relationship Id="rId104" Type="http://schemas.openxmlformats.org/officeDocument/2006/relationships/hyperlink" Target="https://www.slov-lex.sk/pravne-predpisy/SK/ZZ/2018/270/" TargetMode="External"/><Relationship Id="rId125" Type="http://schemas.openxmlformats.org/officeDocument/2006/relationships/hyperlink" Target="https://www.minedu.sk/zoznamy-poskytovatelov-vzdelavania-pedagogickych-zamestnancov-a-odbornych-zamestnancov/" TargetMode="External"/><Relationship Id="rId146" Type="http://schemas.openxmlformats.org/officeDocument/2006/relationships/hyperlink" Target="https://www.minedu.sk/investicny-plan-projektov-msvvas-sr-na-obdobie-2020-2022/" TargetMode="External"/><Relationship Id="rId167" Type="http://schemas.openxmlformats.org/officeDocument/2006/relationships/hyperlink" Target="https://www.slov-lex.sk/pravne-predpisy/SK/ZZ/2018/330/20190101" TargetMode="External"/><Relationship Id="rId188" Type="http://schemas.openxmlformats.org/officeDocument/2006/relationships/hyperlink" Target="https://www.slov-lex.sk/pravne-predpisy/SK/ZZ/2002/442/" TargetMode="External"/><Relationship Id="rId311" Type="http://schemas.openxmlformats.org/officeDocument/2006/relationships/hyperlink" Target="https://data.gov.sk/dataset/lesne-porasty-plan/resource/3751a783-cf8a-4eb4-8949-5509c1efa650" TargetMode="External"/><Relationship Id="rId332" Type="http://schemas.openxmlformats.org/officeDocument/2006/relationships/hyperlink" Target="https://data.gov.sk/dataset/potencialna-vodna-erozia/resource/f4c44d58-ef4d-467d-8919-90eb5e486e3e/preview" TargetMode="External"/><Relationship Id="rId71" Type="http://schemas.openxmlformats.org/officeDocument/2006/relationships/hyperlink" Target="https://www.mfsr.sk/sk/financie/hodnota-za-peniaze/hodnotenie-investicnych-projektov/hodnotenie-investicnych-projektov.html" TargetMode="External"/><Relationship Id="rId92" Type="http://schemas.openxmlformats.org/officeDocument/2006/relationships/hyperlink" Target="http://www.informatizacia.sk/ext_dok-metodicky-pokyn-po7-opii_fa_cba_tco_10082018/27237c." TargetMode="External"/><Relationship Id="rId213" Type="http://schemas.openxmlformats.org/officeDocument/2006/relationships/hyperlink" Target="http://www.minzp.sk/oblasti/voda/ochrana-pred-povodnami/manazment-povodnovych-rizik/predbezne-hodnotenie-povodnoveho-rizika-2018.html" TargetMode="External"/><Relationship Id="rId234" Type="http://schemas.openxmlformats.org/officeDocument/2006/relationships/hyperlink" Target="https://www.upsvr.gov.sk/europsky-socialny-fond/narodne-projekty-v-programovom-obdobi-2014-2020/narodny-projekt-podpora-deinstitucionalizacie-nahradnej-starostlivosti-iii.html?page_id=891952" TargetMode="External"/><Relationship Id="rId2" Type="http://schemas.openxmlformats.org/officeDocument/2006/relationships/hyperlink" Target="https://www.slov-lex.sk/pravne-predpisy/SK/ZZ/2011/362/20200406" TargetMode="External"/><Relationship Id="rId29" Type="http://schemas.openxmlformats.org/officeDocument/2006/relationships/hyperlink" Target="https://vlada.gov.sk/tlacove-spravy/doprava-do-ciest-prvej-triedy-ma-ist-najblizsie-styri-roky-navyse-200-mil-eur/" TargetMode="External"/><Relationship Id="rId255" Type="http://schemas.openxmlformats.org/officeDocument/2006/relationships/hyperlink" Target="https://www.nrsr.sk/web/Dynamic/DocumentPreview.aspx?DocID=474511" TargetMode="External"/><Relationship Id="rId276" Type="http://schemas.openxmlformats.org/officeDocument/2006/relationships/hyperlink" Target="https://www.nrsr.sk/web/Default.aspx?sid=zakony/cpt&amp;ZakZborID=13&amp;CisObdobia=7&amp;ID=1613" TargetMode="External"/><Relationship Id="rId297" Type="http://schemas.openxmlformats.org/officeDocument/2006/relationships/hyperlink" Target="http://www.minv.sk/?ppu-osuske" TargetMode="External"/><Relationship Id="rId40" Type="http://schemas.openxmlformats.org/officeDocument/2006/relationships/hyperlink" Target="https://www.slov-lex.sk/legislativne-procesy/SK/LP/2019/247" TargetMode="External"/><Relationship Id="rId115" Type="http://schemas.openxmlformats.org/officeDocument/2006/relationships/hyperlink" Target="https://www.slov-lex.sk/pravne-predpisy/SK/ZZ/2019/338/vyhlasene_znenie.html" TargetMode="External"/><Relationship Id="rId136" Type="http://schemas.openxmlformats.org/officeDocument/2006/relationships/hyperlink" Target="http://www.minedu.sk/data/files/7820_kriteria-pobsp_schvalene.pdf" TargetMode="External"/><Relationship Id="rId157" Type="http://schemas.openxmlformats.org/officeDocument/2006/relationships/hyperlink" Target="http://www.orsr.sk/vypis.asp?ID=508261&amp;SID=2&amp;P=0" TargetMode="External"/><Relationship Id="rId178" Type="http://schemas.openxmlformats.org/officeDocument/2006/relationships/hyperlink" Target="https://www.minzp.sk/files/iep/spravodlive-odpady.pdf" TargetMode="External"/><Relationship Id="rId301" Type="http://schemas.openxmlformats.org/officeDocument/2006/relationships/hyperlink" Target="https://www.mpsr.sk/ovn2018" TargetMode="External"/><Relationship Id="rId322" Type="http://schemas.openxmlformats.org/officeDocument/2006/relationships/hyperlink" Target="https://metais.vicepremier.gov.sk/studia/list?fullText=ppa" TargetMode="External"/><Relationship Id="rId61" Type="http://schemas.openxmlformats.org/officeDocument/2006/relationships/hyperlink" Target="https://www.mfsr.sk/sk/financie/hodnota-za-peniaze/hodnotenie-investicnych-projektov/hodnotenie-investicnych-projektov.html" TargetMode="External"/><Relationship Id="rId82" Type="http://schemas.openxmlformats.org/officeDocument/2006/relationships/hyperlink" Target="https://www.slov-lex.sk/pravne-predpisy/SK/ZZ/2013/305/20160501.html" TargetMode="External"/><Relationship Id="rId199" Type="http://schemas.openxmlformats.org/officeDocument/2006/relationships/hyperlink" Target="https://rokovania.gov.sk/RVL/Material/24115/1" TargetMode="External"/><Relationship Id="rId203" Type="http://schemas.openxmlformats.org/officeDocument/2006/relationships/hyperlink" Target="https://eur-lex.europa.eu/legal-content/SK/TXT/?uri=CELEX:31992L0043" TargetMode="External"/><Relationship Id="rId19" Type="http://schemas.openxmlformats.org/officeDocument/2006/relationships/hyperlink" Target="https://www.slov-lex.sk/legislativne-procesy/SK/LP/2019/287" TargetMode="External"/><Relationship Id="rId224" Type="http://schemas.openxmlformats.org/officeDocument/2006/relationships/hyperlink" Target="https://www.nrsr.sk/web/Default.aspx?sid=zakony/zakon&amp;MasterID=6832" TargetMode="External"/><Relationship Id="rId245" Type="http://schemas.openxmlformats.org/officeDocument/2006/relationships/hyperlink" Target="https://www.slov-lex.sk/pravne-predpisy/SK/ZZ/2017/81/" TargetMode="External"/><Relationship Id="rId266" Type="http://schemas.openxmlformats.org/officeDocument/2006/relationships/hyperlink" Target="https://www.slov-lex.sk/legislativne-procesy/SK/PI/2019/122" TargetMode="External"/><Relationship Id="rId287" Type="http://schemas.openxmlformats.org/officeDocument/2006/relationships/hyperlink" Target="https://www.apa.sk/vyzvy/vyzva-na-predkladanie-ziadosti-o-poskytnutie-dotacie-na-platby-poistneho/9162" TargetMode="External"/><Relationship Id="rId30" Type="http://schemas.openxmlformats.org/officeDocument/2006/relationships/hyperlink" Target="https://www.uvo.gov.sk/vyhladavanie-dokumentov/document/3060211/content/993607/download" TargetMode="External"/><Relationship Id="rId105" Type="http://schemas.openxmlformats.org/officeDocument/2006/relationships/hyperlink" Target="http://www.registeruz.sk/cruz-public/domain/accountingentity/show/6743" TargetMode="External"/><Relationship Id="rId126" Type="http://schemas.openxmlformats.org/officeDocument/2006/relationships/hyperlink" Target="https://www.slov-lex.sk/pravne-predpisy/SK/ZZ/2009/317/20180101.html" TargetMode="External"/><Relationship Id="rId147" Type="http://schemas.openxmlformats.org/officeDocument/2006/relationships/hyperlink" Target="https://www.mfsr.sk/sk/financie/hodnota-za-peniaze/hodnotenie-investicnych-projektov/hodnotenie-investicnych-projektov.html" TargetMode="External"/><Relationship Id="rId168" Type="http://schemas.openxmlformats.org/officeDocument/2006/relationships/hyperlink" Target="https://www.slov-lex.sk/legislativne-procesy/SK/LP/2019/468" TargetMode="External"/><Relationship Id="rId312" Type="http://schemas.openxmlformats.org/officeDocument/2006/relationships/hyperlink" Target="https://data.gov.sk/dataset/lesne-porasty-opis/resource/e0bb0cf0-dc8e-4b37-8ee1-59bf565c83ac" TargetMode="External"/><Relationship Id="rId333" Type="http://schemas.openxmlformats.org/officeDocument/2006/relationships/hyperlink" Target="https://portal.vupop.sk/portal/apps/webappviewer/index.html?id=d89cff7c70424117ae01ddba7499d3ad" TargetMode="External"/><Relationship Id="rId51" Type="http://schemas.openxmlformats.org/officeDocument/2006/relationships/hyperlink" Target="https://www.uvo.gov.sk/vestnik/oznamenie/detail/421031?page=1&amp;limit=20&amp;sort=datumZverejnenia&amp;sort-dir=DESC&amp;ext=0&amp;cisloOznamenia=&amp;text=&amp;year=0&amp;dzOd=&amp;dzDo=&amp;cvestnik=&amp;doznamenia=-1&amp;dzakazky=-1&amp;dpostupu=-1&amp;mdodania=&amp;kcpv=&amp;opb=&amp;szfeu=&amp;flimit=-1&amp;nobstaravatel=&amp;nzakazky=" TargetMode="External"/><Relationship Id="rId72" Type="http://schemas.openxmlformats.org/officeDocument/2006/relationships/hyperlink" Target="https://metais.vicepremier.gov.sk/studia/list" TargetMode="External"/><Relationship Id="rId93" Type="http://schemas.openxmlformats.org/officeDocument/2006/relationships/hyperlink" Target="http://www.informatizacia.sk/ext_dok-metodika-0ek-final/26404c." TargetMode="External"/><Relationship Id="rId189" Type="http://schemas.openxmlformats.org/officeDocument/2006/relationships/hyperlink" Target="https://www.slov-lex.sk/legislativne-procesy/-/SK/dokumenty/LP-2018-417"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potocnakova\Desktop\ZDRAVO\SIS%202019\Fiskal\Fiskalne%20opatrenia%204Q2019.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potocnakova\Desktop\ZDRAVO\SIS%202019\Nemocnice\UNaFN%202020\N,V,HV,%20Segmenty%201-12-2019_DP_v3.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jerga\AppData\Local\Microsoft\Windows\INetCache\Content.Outlook\TP20QPJ2\Tabu&#318;ky%20a%20grafy%20SIS%202019.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jerga\Desktop\IT\Implementa&#269;n&#233;%20spr&#225;vy\S&#250;hrnn&#225;%20implementa&#269;n&#225;%20spr&#225;va%202019\SIS%202019%20&#250;daj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jerga\Desktop\IT\Implementa&#269;n&#233;%20spr&#225;vy\S&#250;hrnn&#225;%20implementa&#269;n&#225;%20spr&#225;va%202019\Rep_Narasty_vCPU_rocne_2019022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jerga\Desktop\IT\Implementa&#269;n&#233;%20spr&#225;vy\S&#250;hrnn&#225;%20implementa&#269;n&#225;%20spr&#225;va%202019\Rep_Pocet_Migrovanych_ISVS_2019022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jerga\Desktop\IT\Implementa&#269;n&#233;%20spr&#225;vy\S&#250;hrnn&#225;%20implementa&#269;n&#225;%20spr&#225;va%202019\SIS%202019%20&#250;daje.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H_rok_programu_Microsoft_Excel1.xlsx"/></Relationships>
</file>

<file path=word/charts/_rels/chart17.xml.rels><?xml version="1.0" encoding="UTF-8" standalone="yes"?>
<Relationships xmlns="http://schemas.openxmlformats.org/package/2006/relationships"><Relationship Id="rId3" Type="http://schemas.openxmlformats.org/officeDocument/2006/relationships/oleObject" Target="file:///C:\Users\jerga\Desktop\IT\Implementa&#269;n&#233;%20spr&#225;vy\S&#250;hrnn&#225;%20implementa&#269;n&#225;%20spr&#225;va%202019\master%20verzia\grafy%20a%20tabu&#318;ky%20SIS%202019.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jerga\AppData\Local\Microsoft\Windows\INetCache\Content.Outlook\TP20QPJ2\tabu&#318;ky%20a%20grafy%20PIS%202019.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jerga\Desktop\IT\Implementa&#269;n&#233;%20spr&#225;vy\S&#250;hrnn&#225;%20implementa&#269;n&#225;%20spr&#225;va%202019\master%20verzia\grafy%20a%20tabu&#318;ky%20SIS%202019.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otocnakova\Desktop\ZDRAVO\SIS%202019\Fiskal\V&#253;nimky_vsetky%20ZP_2019.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H_rok_programu_Microsoft_Excel2.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H_rok_programu_Microsoft_Excel3.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H_rok_programu_Microsoft_Excel4.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H_rok_programu_Microsoft_Excel5.xlsx"/></Relationships>
</file>

<file path=word/charts/_rels/chart24.xml.rels><?xml version="1.0" encoding="UTF-8" standalone="yes"?>
<Relationships xmlns="http://schemas.openxmlformats.org/package/2006/relationships"><Relationship Id="rId2" Type="http://schemas.openxmlformats.org/officeDocument/2006/relationships/oleObject" Target="file:///C:\Users\stur\Desktop\P&#244;da\Opatrenia\13\13.2.2\PPA_Opt_sl_UHP_RIS_grafy.xlsx" TargetMode="External"/><Relationship Id="rId1" Type="http://schemas.openxmlformats.org/officeDocument/2006/relationships/themeOverride" Target="../theme/themeOverride6.xml"/></Relationships>
</file>

<file path=word/charts/_rels/chart25.xml.rels><?xml version="1.0" encoding="UTF-8" standalone="yes"?>
<Relationships xmlns="http://schemas.openxmlformats.org/package/2006/relationships"><Relationship Id="rId1" Type="http://schemas.openxmlformats.org/officeDocument/2006/relationships/oleObject" Target="file:///C:\Users\stur\Desktop\P&#244;da\Opatrenia\13\13.3.1\V&#253;davky_&#218;RZ+&#352;VPS_2017-2019_vystup.xlsx" TargetMode="External"/></Relationships>
</file>

<file path=word/charts/_rels/chart26.xml.rels><?xml version="1.0" encoding="UTF-8" standalone="yes"?>
<Relationships xmlns="http://schemas.openxmlformats.org/package/2006/relationships"><Relationship Id="rId3" Type="http://schemas.openxmlformats.org/officeDocument/2006/relationships/oleObject" Target="file:///C:\Users\stur\Desktop\P&#244;da\Opatrenia\13\13.3.1\V&#253;davky_&#218;RZ+&#352;VPS_2017-2019_vystup.xlsx" TargetMode="External"/><Relationship Id="rId2" Type="http://schemas.microsoft.com/office/2011/relationships/chartColorStyle" Target="colors24.xml"/><Relationship Id="rId1" Type="http://schemas.microsoft.com/office/2011/relationships/chartStyle" Target="style24.xml"/></Relationships>
</file>

<file path=word/charts/_rels/chart27.xml.rels><?xml version="1.0" encoding="UTF-8" standalone="yes"?>
<Relationships xmlns="http://schemas.openxmlformats.org/package/2006/relationships"><Relationship Id="rId1" Type="http://schemas.openxmlformats.org/officeDocument/2006/relationships/oleObject" Target="file:///C:\Users\stur\Desktop\P&#244;da\Opatrenia\13\13.3.1\V&#253;davky_&#218;RZ+&#352;VPS_2017-2019_vystup.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stur\Desktop\P&#244;da\Opatrenia\13\13.3.1\V&#253;davky_&#218;RZ+&#352;VPS_2017-2019_vystup.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potocnakova\Desktop\ZDRAVO\SIS%202019\Fiskal\Fiskalne%20opatrenia%204Q201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otocnakova\Desktop\ZDRAVO\SIS%202019\Fiskal\Fiskalne%20opatrenia%204Q201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otocnakova\Desktop\ZDRAVO\SIS%202019\Fiskal\Fiskalne%20opatrenia%204Q2019.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otocnakova\Desktop\ZDRAVO\SIS%202019\Nemocnice\UNaFN%202020\N,V,HV,%20Segmenty%201-12-2019_DP_v3.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otocnakova\Desktop\ZDRAVO\SIS%202019\Nemocnice\UNaFN%202020\N,V,HV,%20Segmenty%201-12-2019_DP_v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potocnakova\Desktop\ZDRAVO\SIS%202019\Nemocnice\UNaFN%202020\N,V,HV,%20Segmenty%201-12-2019_DP_v3.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otocnakova\Desktop\ZDRAVO\SIS%202019\Nemocnice\UNaFN%202020\N,V,HV,%20Segmenty%201-12-2019_DP_v3.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'Grafy 1H2019.2018'!$O$29</c:f>
              <c:strCache>
                <c:ptCount val="1"/>
                <c:pt idx="0">
                  <c:v>2016</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'Grafy 1H2019.2018'!$N$30:$N$32</c:f>
              <c:strCache>
                <c:ptCount val="3"/>
                <c:pt idx="0">
                  <c:v>Dôvera</c:v>
                </c:pt>
                <c:pt idx="1">
                  <c:v>Union</c:v>
                </c:pt>
                <c:pt idx="2">
                  <c:v>VšZP</c:v>
                </c:pt>
              </c:strCache>
            </c:strRef>
          </c:cat>
          <c:val>
            <c:numRef>
              <c:f>'Grafy 1H2019.2018'!$O$30:$O$32</c:f>
              <c:numCache>
                <c:formatCode>#,##0</c:formatCode>
                <c:ptCount val="3"/>
                <c:pt idx="0">
                  <c:v>7104.0697218179457</c:v>
                </c:pt>
                <c:pt idx="1">
                  <c:v>3169.657550985914</c:v>
                </c:pt>
                <c:pt idx="2">
                  <c:v>9089.4467925291683</c:v>
                </c:pt>
              </c:numCache>
            </c:numRef>
          </c:val>
          <c:extLst xmlns:c16r2="http://schemas.microsoft.com/office/drawing/2015/06/chart">
            <c:ext xmlns:c16="http://schemas.microsoft.com/office/drawing/2014/chart" uri="{C3380CC4-5D6E-409C-BE32-E72D297353CC}">
              <c16:uniqueId val="{00000000-3277-4B3B-B9F8-896F43B10F69}"/>
            </c:ext>
          </c:extLst>
        </c:ser>
        <c:ser>
          <c:idx val="1"/>
          <c:order val="1"/>
          <c:tx>
            <c:strRef>
              <c:f>'Grafy 1H2019.2018'!$P$29</c:f>
              <c:strCache>
                <c:ptCount val="1"/>
                <c:pt idx="0">
                  <c:v>2017</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'Grafy 1H2019.2018'!$N$30:$N$32</c:f>
              <c:strCache>
                <c:ptCount val="3"/>
                <c:pt idx="0">
                  <c:v>Dôvera</c:v>
                </c:pt>
                <c:pt idx="1">
                  <c:v>Union</c:v>
                </c:pt>
                <c:pt idx="2">
                  <c:v>VšZP</c:v>
                </c:pt>
              </c:strCache>
            </c:strRef>
          </c:cat>
          <c:val>
            <c:numRef>
              <c:f>'Grafy 1H2019.2018'!$P$30:$P$32</c:f>
              <c:numCache>
                <c:formatCode>#,##0</c:formatCode>
                <c:ptCount val="3"/>
                <c:pt idx="0">
                  <c:v>6559.7964249824299</c:v>
                </c:pt>
                <c:pt idx="1">
                  <c:v>2693.4341692692524</c:v>
                </c:pt>
                <c:pt idx="2">
                  <c:v>8865.790001268404</c:v>
                </c:pt>
              </c:numCache>
            </c:numRef>
          </c:val>
          <c:extLst xmlns:c16r2="http://schemas.microsoft.com/office/drawing/2015/06/chart">
            <c:ext xmlns:c16="http://schemas.microsoft.com/office/drawing/2014/chart" uri="{C3380CC4-5D6E-409C-BE32-E72D297353CC}">
              <c16:uniqueId val="{00000001-3277-4B3B-B9F8-896F43B10F69}"/>
            </c:ext>
          </c:extLst>
        </c:ser>
        <c:ser>
          <c:idx val="2"/>
          <c:order val="2"/>
          <c:tx>
            <c:strRef>
              <c:f>'Grafy 1H2019.2018'!$Q$29</c:f>
              <c:strCache>
                <c:ptCount val="1"/>
                <c:pt idx="0">
                  <c:v>2018</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'Grafy 1H2019.2018'!$N$30:$N$32</c:f>
              <c:strCache>
                <c:ptCount val="3"/>
                <c:pt idx="0">
                  <c:v>Dôvera</c:v>
                </c:pt>
                <c:pt idx="1">
                  <c:v>Union</c:v>
                </c:pt>
                <c:pt idx="2">
                  <c:v>VšZP</c:v>
                </c:pt>
              </c:strCache>
            </c:strRef>
          </c:cat>
          <c:val>
            <c:numRef>
              <c:f>'Grafy 1H2019.2018'!$Q$30:$Q$32</c:f>
              <c:numCache>
                <c:formatCode>#,##0</c:formatCode>
                <c:ptCount val="3"/>
                <c:pt idx="0">
                  <c:v>5850.4412944076967</c:v>
                </c:pt>
                <c:pt idx="1">
                  <c:v>2396.8677203700872</c:v>
                </c:pt>
                <c:pt idx="2">
                  <c:v>9892.4701231904564</c:v>
                </c:pt>
              </c:numCache>
            </c:numRef>
          </c:val>
          <c:extLst xmlns:c16r2="http://schemas.microsoft.com/office/drawing/2015/06/chart">
            <c:ext xmlns:c16="http://schemas.microsoft.com/office/drawing/2014/chart" uri="{C3380CC4-5D6E-409C-BE32-E72D297353CC}">
              <c16:uniqueId val="{00000002-3277-4B3B-B9F8-896F43B10F69}"/>
            </c:ext>
          </c:extLst>
        </c:ser>
        <c:ser>
          <c:idx val="3"/>
          <c:order val="3"/>
          <c:tx>
            <c:strRef>
              <c:f>'Grafy 1H2019.2018'!$R$29</c:f>
              <c:strCache>
                <c:ptCount val="1"/>
                <c:pt idx="0">
                  <c:v>2019</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'Grafy 1H2019.2018'!$N$30:$N$32</c:f>
              <c:strCache>
                <c:ptCount val="3"/>
                <c:pt idx="0">
                  <c:v>Dôvera</c:v>
                </c:pt>
                <c:pt idx="1">
                  <c:v>Union</c:v>
                </c:pt>
                <c:pt idx="2">
                  <c:v>VšZP</c:v>
                </c:pt>
              </c:strCache>
            </c:strRef>
          </c:cat>
          <c:val>
            <c:numRef>
              <c:f>'Grafy 1H2019.2018'!$R$30:$R$32</c:f>
              <c:numCache>
                <c:formatCode>#,##0</c:formatCode>
                <c:ptCount val="3"/>
                <c:pt idx="0">
                  <c:v>5088.7504083777758</c:v>
                </c:pt>
                <c:pt idx="1">
                  <c:v>1545.5351130794941</c:v>
                </c:pt>
                <c:pt idx="2">
                  <c:v>10611.705154109628</c:v>
                </c:pt>
              </c:numCache>
            </c:numRef>
          </c:val>
          <c:extLst xmlns:c16r2="http://schemas.microsoft.com/office/drawing/2015/06/chart">
            <c:ext xmlns:c16="http://schemas.microsoft.com/office/drawing/2014/chart" uri="{C3380CC4-5D6E-409C-BE32-E72D297353CC}">
              <c16:uniqueId val="{00000003-3277-4B3B-B9F8-896F43B10F69}"/>
            </c:ext>
          </c:extLst>
        </c:ser>
        <c:dLbls>
          <c:dLblPos val="outEnd"/>
          <c:showLegendKey val="0"/>
          <c:showVal val="1"/>
          <c:showCatName val="0"/>
          <c:showSerName val="0"/>
          <c:showPercent val="0"/>
          <c:showBubbleSize val="0"/>
        </c:dLbls>
        <c:gapWidth val="219"/>
        <c:overlap val="-27"/>
        <c:axId val="226715944"/>
        <c:axId val="226714768"/>
      </c:barChart>
      <c:catAx>
        <c:axId val="226715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26714768"/>
        <c:crosses val="autoZero"/>
        <c:auto val="1"/>
        <c:lblAlgn val="ctr"/>
        <c:lblOffset val="100"/>
        <c:noMultiLvlLbl val="0"/>
      </c:catAx>
      <c:valAx>
        <c:axId val="226714768"/>
        <c:scaling>
          <c:orientation val="minMax"/>
          <c:max val="11000"/>
          <c:min val="0"/>
        </c:scaling>
        <c:delete val="0"/>
        <c:axPos val="l"/>
        <c:majorGridlines>
          <c:spPr>
            <a:ln w="9525" cap="flat" cmpd="sng" algn="ctr">
              <a:solidFill>
                <a:schemeClr val="tx1">
                  <a:lumMod val="15000"/>
                  <a:lumOff val="85000"/>
                </a:schemeClr>
              </a:solidFill>
              <a:round/>
            </a:ln>
            <a:effectLst/>
          </c:spPr>
        </c:majorGridlines>
        <c:numFmt formatCode="#,##0\ &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26715944"/>
        <c:crosses val="autoZero"/>
        <c:crossBetween val="between"/>
        <c:majorUnit val="2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900">
          <a:latin typeface="Arial Narrow" panose="020B0606020202030204" pitchFamily="34" charset="0"/>
        </a:defRPr>
      </a:pPr>
      <a:endParaRPr lang="sk-SK"/>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Lieky</c:v>
          </c:tx>
          <c:spPr>
            <a:solidFill>
              <a:srgbClr val="00B0F0"/>
            </a:solidFill>
            <a:ln>
              <a:noFill/>
            </a:ln>
            <a:effectLst/>
          </c:spPr>
          <c:invertIfNegative val="0"/>
          <c:dLbls>
            <c:dLbl>
              <c:idx val="0"/>
              <c:layout>
                <c:manualLayout>
                  <c:x val="4.1118421052631582E-2"/>
                  <c:y val="5.563282336578581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3CB-410D-96F5-0F020627603B}"/>
                </c:ext>
                <c:ext xmlns:c15="http://schemas.microsoft.com/office/drawing/2012/chart" uri="{CE6537A1-D6FC-4f65-9D91-7224C49458BB}"/>
              </c:extLst>
            </c:dLbl>
            <c:dLbl>
              <c:idx val="3"/>
              <c:layout>
                <c:manualLayout>
                  <c:x val="2.0408163265306121E-2"/>
                  <c:y val="3.8676745767758834E-2"/>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3CB-410D-96F5-0F020627603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'Lieky, šzm'!$H$16:$H$28</c:f>
              <c:strCache>
                <c:ptCount val="13"/>
                <c:pt idx="0">
                  <c:v>DF KE </c:v>
                </c:pt>
                <c:pt idx="1">
                  <c:v>DF BB</c:v>
                </c:pt>
                <c:pt idx="2">
                  <c:v>FN NR</c:v>
                </c:pt>
                <c:pt idx="3">
                  <c:v>FN TN</c:v>
                </c:pt>
                <c:pt idx="4">
                  <c:v>FN TT</c:v>
                </c:pt>
                <c:pt idx="5">
                  <c:v>FN BB</c:v>
                </c:pt>
                <c:pt idx="6">
                  <c:v>FN NZ</c:v>
                </c:pt>
                <c:pt idx="7">
                  <c:v>FN PO</c:v>
                </c:pt>
                <c:pt idx="8">
                  <c:v>FN ZA</c:v>
                </c:pt>
                <c:pt idx="9">
                  <c:v>NÚDCH BA</c:v>
                </c:pt>
                <c:pt idx="10">
                  <c:v>UN BA</c:v>
                </c:pt>
                <c:pt idx="11">
                  <c:v>UN KE</c:v>
                </c:pt>
                <c:pt idx="12">
                  <c:v>UN MT</c:v>
                </c:pt>
              </c:strCache>
            </c:strRef>
          </c:cat>
          <c:val>
            <c:numRef>
              <c:f>'Lieky, šzm'!$L$16:$L$28</c:f>
              <c:numCache>
                <c:formatCode>0%</c:formatCode>
                <c:ptCount val="13"/>
                <c:pt idx="0">
                  <c:v>1.9106374802609309</c:v>
                </c:pt>
                <c:pt idx="1">
                  <c:v>1.4918923480811501</c:v>
                </c:pt>
                <c:pt idx="2">
                  <c:v>0.16880924323179491</c:v>
                </c:pt>
                <c:pt idx="3" formatCode="0.00%">
                  <c:v>-7.2009975635335954E-2</c:v>
                </c:pt>
                <c:pt idx="4">
                  <c:v>0.12661603528754362</c:v>
                </c:pt>
                <c:pt idx="5">
                  <c:v>0.11541144576719287</c:v>
                </c:pt>
                <c:pt idx="6">
                  <c:v>0.28068862908184378</c:v>
                </c:pt>
                <c:pt idx="7">
                  <c:v>0.1550776832484777</c:v>
                </c:pt>
                <c:pt idx="8">
                  <c:v>7.623381059679879E-2</c:v>
                </c:pt>
                <c:pt idx="9">
                  <c:v>0.25464266256465296</c:v>
                </c:pt>
                <c:pt idx="10">
                  <c:v>3.962225290823862E-2</c:v>
                </c:pt>
                <c:pt idx="11">
                  <c:v>0.44709189471972288</c:v>
                </c:pt>
                <c:pt idx="12">
                  <c:v>0.22261734352268614</c:v>
                </c:pt>
              </c:numCache>
            </c:numRef>
          </c:val>
          <c:extLst xmlns:c16r2="http://schemas.microsoft.com/office/drawing/2015/06/chart">
            <c:ext xmlns:c16="http://schemas.microsoft.com/office/drawing/2014/chart" uri="{C3380CC4-5D6E-409C-BE32-E72D297353CC}">
              <c16:uniqueId val="{00000001-53CB-410D-96F5-0F020627603B}"/>
            </c:ext>
          </c:extLst>
        </c:ser>
        <c:ser>
          <c:idx val="1"/>
          <c:order val="1"/>
          <c:tx>
            <c:v>ŠZM</c:v>
          </c:tx>
          <c:spPr>
            <a:solidFill>
              <a:srgbClr val="002060"/>
            </a:solidFill>
            <a:ln>
              <a:noFill/>
            </a:ln>
            <a:effectLst/>
          </c:spPr>
          <c:invertIfNegative val="0"/>
          <c:dLbls>
            <c:dLbl>
              <c:idx val="2"/>
              <c:layout>
                <c:manualLayout>
                  <c:x val="1.3605442176870706E-2"/>
                  <c:y val="-7.878436419230248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3CB-410D-96F5-0F020627603B}"/>
                </c:ext>
                <c:ext xmlns:c15="http://schemas.microsoft.com/office/drawing/2012/chart" uri="{CE6537A1-D6FC-4f65-9D91-7224C49458BB}"/>
              </c:extLst>
            </c:dLbl>
            <c:dLbl>
              <c:idx val="4"/>
              <c:layout>
                <c:manualLayout>
                  <c:x val="9.0702947845804991E-3"/>
                  <c:y val="1.28921357971637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3CB-410D-96F5-0F020627603B}"/>
                </c:ext>
                <c:ext xmlns:c15="http://schemas.microsoft.com/office/drawing/2012/chart" uri="{CE6537A1-D6FC-4f65-9D91-7224C49458BB}"/>
              </c:extLst>
            </c:dLbl>
            <c:dLbl>
              <c:idx val="5"/>
              <c:layout>
                <c:manualLayout>
                  <c:x val="4.5351473922902496E-3"/>
                  <c:y val="1.718951439621822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3CB-410D-96F5-0F020627603B}"/>
                </c:ext>
                <c:ext xmlns:c15="http://schemas.microsoft.com/office/drawing/2012/chart" uri="{CE6537A1-D6FC-4f65-9D91-7224C49458BB}"/>
              </c:extLst>
            </c:dLbl>
            <c:dLbl>
              <c:idx val="7"/>
              <c:layout>
                <c:manualLayout>
                  <c:x val="6.8027210884352906E-3"/>
                  <c:y val="8.59475719810907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3CB-410D-96F5-0F020627603B}"/>
                </c:ext>
                <c:ext xmlns:c15="http://schemas.microsoft.com/office/drawing/2012/chart" uri="{CE6537A1-D6FC-4f65-9D91-7224C49458BB}"/>
              </c:extLst>
            </c:dLbl>
            <c:dLbl>
              <c:idx val="8"/>
              <c:layout>
                <c:manualLayout>
                  <c:x val="6.8027210884352906E-3"/>
                  <c:y val="4.297378599054576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3CB-410D-96F5-0F020627603B}"/>
                </c:ext>
                <c:ext xmlns:c15="http://schemas.microsoft.com/office/drawing/2012/chart" uri="{CE6537A1-D6FC-4f65-9D91-7224C49458BB}"/>
              </c:extLst>
            </c:dLbl>
            <c:dLbl>
              <c:idx val="9"/>
              <c:layout>
                <c:manualLayout>
                  <c:x val="1.1337868480725457E-2"/>
                  <c:y val="1.718951439621822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3CB-410D-96F5-0F020627603B}"/>
                </c:ext>
                <c:ext xmlns:c15="http://schemas.microsoft.com/office/drawing/2012/chart" uri="{CE6537A1-D6FC-4f65-9D91-7224C49458BB}"/>
              </c:extLst>
            </c:dLbl>
            <c:dLbl>
              <c:idx val="10"/>
              <c:layout>
                <c:manualLayout>
                  <c:x val="9.0702947845804991E-3"/>
                  <c:y val="-7.878436419230248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3CB-410D-96F5-0F020627603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'Lieky, šzm'!$H$16:$H$28</c:f>
              <c:strCache>
                <c:ptCount val="13"/>
                <c:pt idx="0">
                  <c:v>DF KE </c:v>
                </c:pt>
                <c:pt idx="1">
                  <c:v>DF BB</c:v>
                </c:pt>
                <c:pt idx="2">
                  <c:v>FN NR</c:v>
                </c:pt>
                <c:pt idx="3">
                  <c:v>FN TN</c:v>
                </c:pt>
                <c:pt idx="4">
                  <c:v>FN TT</c:v>
                </c:pt>
                <c:pt idx="5">
                  <c:v>FN BB</c:v>
                </c:pt>
                <c:pt idx="6">
                  <c:v>FN NZ</c:v>
                </c:pt>
                <c:pt idx="7">
                  <c:v>FN PO</c:v>
                </c:pt>
                <c:pt idx="8">
                  <c:v>FN ZA</c:v>
                </c:pt>
                <c:pt idx="9">
                  <c:v>NÚDCH BA</c:v>
                </c:pt>
                <c:pt idx="10">
                  <c:v>UN BA</c:v>
                </c:pt>
                <c:pt idx="11">
                  <c:v>UN KE</c:v>
                </c:pt>
                <c:pt idx="12">
                  <c:v>UN MT</c:v>
                </c:pt>
              </c:strCache>
            </c:strRef>
          </c:cat>
          <c:val>
            <c:numRef>
              <c:f>'Lieky, šzm'!$R$16:$R$28</c:f>
              <c:numCache>
                <c:formatCode>0%</c:formatCode>
                <c:ptCount val="13"/>
                <c:pt idx="0">
                  <c:v>0.15863109285050214</c:v>
                </c:pt>
                <c:pt idx="1">
                  <c:v>0.15462214069042202</c:v>
                </c:pt>
                <c:pt idx="2">
                  <c:v>0.12551937830263693</c:v>
                </c:pt>
                <c:pt idx="3">
                  <c:v>0.53230699301699747</c:v>
                </c:pt>
                <c:pt idx="4">
                  <c:v>0.11286793798460026</c:v>
                </c:pt>
                <c:pt idx="5">
                  <c:v>6.2743138231219353E-2</c:v>
                </c:pt>
                <c:pt idx="6">
                  <c:v>5.659654113934165E-2</c:v>
                </c:pt>
                <c:pt idx="7">
                  <c:v>0.11366214923502471</c:v>
                </c:pt>
                <c:pt idx="8">
                  <c:v>4.1634626483362469E-2</c:v>
                </c:pt>
                <c:pt idx="9">
                  <c:v>0.25324416410454753</c:v>
                </c:pt>
                <c:pt idx="10">
                  <c:v>5.5405845425194E-2</c:v>
                </c:pt>
                <c:pt idx="11">
                  <c:v>4.4492003266433988E-2</c:v>
                </c:pt>
                <c:pt idx="12">
                  <c:v>4.8806051086184743E-2</c:v>
                </c:pt>
              </c:numCache>
            </c:numRef>
          </c:val>
          <c:extLst xmlns:c16r2="http://schemas.microsoft.com/office/drawing/2015/06/chart">
            <c:ext xmlns:c16="http://schemas.microsoft.com/office/drawing/2014/chart" uri="{C3380CC4-5D6E-409C-BE32-E72D297353CC}">
              <c16:uniqueId val="{00000002-53CB-410D-96F5-0F020627603B}"/>
            </c:ext>
          </c:extLst>
        </c:ser>
        <c:dLbls>
          <c:dLblPos val="outEnd"/>
          <c:showLegendKey val="0"/>
          <c:showVal val="1"/>
          <c:showCatName val="0"/>
          <c:showSerName val="0"/>
          <c:showPercent val="0"/>
          <c:showBubbleSize val="0"/>
        </c:dLbls>
        <c:gapWidth val="219"/>
        <c:overlap val="-27"/>
        <c:axId val="535042704"/>
        <c:axId val="535043488"/>
      </c:barChart>
      <c:catAx>
        <c:axId val="53504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35043488"/>
        <c:crossesAt val="0"/>
        <c:auto val="1"/>
        <c:lblAlgn val="ctr"/>
        <c:lblOffset val="300"/>
        <c:noMultiLvlLbl val="0"/>
      </c:catAx>
      <c:valAx>
        <c:axId val="535043488"/>
        <c:scaling>
          <c:orientation val="minMax"/>
          <c:max val="1.92"/>
          <c:min val="-0.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35042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783423979219098E-2"/>
          <c:y val="2.5526602989059351E-2"/>
          <c:w val="0.89486105473929156"/>
          <c:h val="0.86836745406824145"/>
        </c:manualLayout>
      </c:layout>
      <c:barChart>
        <c:barDir val="col"/>
        <c:grouping val="clustered"/>
        <c:varyColors val="0"/>
        <c:ser>
          <c:idx val="1"/>
          <c:order val="0"/>
          <c:tx>
            <c:v>Havarijný stav</c:v>
          </c:tx>
          <c:spPr>
            <a:solidFill>
              <a:srgbClr val="00B0F0"/>
            </a:solidFill>
            <a:ln>
              <a:solidFill>
                <a:srgbClr val="00B0F0"/>
              </a:solid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numRef>
              <c:f>'Opatrenie 9a'!$A$6:$A$25</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'Opatrenie 9a'!$F$6:$F$25</c:f>
              <c:numCache>
                <c:formatCode>0.0</c:formatCode>
                <c:ptCount val="20"/>
                <c:pt idx="0">
                  <c:v>1.6</c:v>
                </c:pt>
                <c:pt idx="1">
                  <c:v>1</c:v>
                </c:pt>
                <c:pt idx="2">
                  <c:v>1.6</c:v>
                </c:pt>
                <c:pt idx="3">
                  <c:v>1.5</c:v>
                </c:pt>
                <c:pt idx="4">
                  <c:v>1.1000000000000001</c:v>
                </c:pt>
                <c:pt idx="5">
                  <c:v>3.7</c:v>
                </c:pt>
                <c:pt idx="6">
                  <c:v>5.3</c:v>
                </c:pt>
                <c:pt idx="7">
                  <c:v>5.2</c:v>
                </c:pt>
                <c:pt idx="8">
                  <c:v>4.2</c:v>
                </c:pt>
                <c:pt idx="9">
                  <c:v>5.6</c:v>
                </c:pt>
                <c:pt idx="10">
                  <c:v>5.8</c:v>
                </c:pt>
                <c:pt idx="11">
                  <c:v>5.6</c:v>
                </c:pt>
                <c:pt idx="12">
                  <c:v>6.2</c:v>
                </c:pt>
                <c:pt idx="13">
                  <c:v>8.1999999999999993</c:v>
                </c:pt>
                <c:pt idx="14">
                  <c:v>5.5</c:v>
                </c:pt>
                <c:pt idx="15">
                  <c:v>8.9</c:v>
                </c:pt>
                <c:pt idx="16">
                  <c:v>7.41</c:v>
                </c:pt>
                <c:pt idx="17">
                  <c:v>7</c:v>
                </c:pt>
                <c:pt idx="18">
                  <c:v>8.11</c:v>
                </c:pt>
                <c:pt idx="19">
                  <c:v>7.9</c:v>
                </c:pt>
              </c:numCache>
            </c:numRef>
          </c:val>
          <c:extLst xmlns:c16r2="http://schemas.microsoft.com/office/drawing/2015/06/chart">
            <c:ext xmlns:c16="http://schemas.microsoft.com/office/drawing/2014/chart" uri="{C3380CC4-5D6E-409C-BE32-E72D297353CC}">
              <c16:uniqueId val="{00000000-94D3-46D0-B6CD-BFB6A44E461A}"/>
            </c:ext>
          </c:extLst>
        </c:ser>
        <c:dLbls>
          <c:showLegendKey val="0"/>
          <c:showVal val="0"/>
          <c:showCatName val="0"/>
          <c:showSerName val="0"/>
          <c:showPercent val="0"/>
          <c:showBubbleSize val="0"/>
        </c:dLbls>
        <c:gapWidth val="150"/>
        <c:axId val="535044272"/>
        <c:axId val="535045056"/>
      </c:barChart>
      <c:catAx>
        <c:axId val="535044272"/>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535045056"/>
        <c:crosses val="autoZero"/>
        <c:auto val="1"/>
        <c:lblAlgn val="ctr"/>
        <c:lblOffset val="100"/>
        <c:noMultiLvlLbl val="0"/>
      </c:catAx>
      <c:valAx>
        <c:axId val="535045056"/>
        <c:scaling>
          <c:orientation val="minMax"/>
        </c:scaling>
        <c:delete val="0"/>
        <c:axPos val="l"/>
        <c:majorGridlines>
          <c:spPr>
            <a:ln w="6350" cap="flat" cmpd="sng" algn="ctr">
              <a:solidFill>
                <a:schemeClr val="tx1">
                  <a:tint val="75000"/>
                </a:schemeClr>
              </a:solidFill>
              <a:prstDash val="sysDot"/>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Arial Narrow" panose="020B0606020202030204" pitchFamily="34" charset="0"/>
                    <a:ea typeface="+mn-ea"/>
                    <a:cs typeface="+mn-cs"/>
                  </a:defRPr>
                </a:pPr>
                <a:r>
                  <a:rPr lang="sk-SK"/>
                  <a:t>Stav ciest (%)</a:t>
                </a:r>
              </a:p>
            </c:rich>
          </c:tx>
          <c:overlay val="0"/>
          <c:spPr>
            <a:noFill/>
            <a:ln w="25400">
              <a:noFill/>
            </a:ln>
            <a:effectLst/>
          </c:spPr>
          <c:txPr>
            <a:bodyPr rot="-5400000" spcFirstLastPara="1" vertOverflow="ellipsis" vert="horz" wrap="square" anchor="ctr" anchorCtr="1"/>
            <a:lstStyle/>
            <a:p>
              <a:pPr>
                <a:defRPr sz="1000" b="1" i="0" u="none" strike="noStrike" kern="1200" baseline="0">
                  <a:solidFill>
                    <a:schemeClr val="tx1"/>
                  </a:solidFill>
                  <a:latin typeface="Arial Narrow" panose="020B0606020202030204" pitchFamily="34" charset="0"/>
                  <a:ea typeface="+mn-ea"/>
                  <a:cs typeface="+mn-cs"/>
                </a:defRPr>
              </a:pPr>
              <a:endParaRPr lang="sk-SK"/>
            </a:p>
          </c:txPr>
        </c:title>
        <c:numFmt formatCode="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crossAx val="535044272"/>
        <c:crossesAt val="1"/>
        <c:crossBetween val="between"/>
        <c:majorUnit val="2"/>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sz="1000">
          <a:latin typeface="Arial Narrow" panose="020B0606020202030204" pitchFamily="34" charset="0"/>
        </a:defRPr>
      </a:pPr>
      <a:endParaRPr lang="sk-SK"/>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'IT výdavky'!$A$28</c:f>
              <c:strCache>
                <c:ptCount val="1"/>
                <c:pt idx="0">
                  <c:v>Bežné výdavky</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'IT výdavky'!$B$27:$J$27</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'IT výdavky'!$B$28:$J$28</c:f>
              <c:numCache>
                <c:formatCode>#,##0</c:formatCode>
                <c:ptCount val="9"/>
                <c:pt idx="0">
                  <c:v>173783166.6199998</c:v>
                </c:pt>
                <c:pt idx="1">
                  <c:v>211371016.78000036</c:v>
                </c:pt>
                <c:pt idx="2">
                  <c:v>178592731.85000062</c:v>
                </c:pt>
                <c:pt idx="3">
                  <c:v>232406217.59999943</c:v>
                </c:pt>
                <c:pt idx="4">
                  <c:v>215135086.04999965</c:v>
                </c:pt>
                <c:pt idx="5">
                  <c:v>213269850.77999997</c:v>
                </c:pt>
                <c:pt idx="6">
                  <c:v>310301914.44999903</c:v>
                </c:pt>
                <c:pt idx="7">
                  <c:v>332818952.94539839</c:v>
                </c:pt>
                <c:pt idx="8">
                  <c:v>351427023.7495867</c:v>
                </c:pt>
              </c:numCache>
            </c:numRef>
          </c:val>
          <c:extLst xmlns:c16r2="http://schemas.microsoft.com/office/drawing/2015/06/chart">
            <c:ext xmlns:c16="http://schemas.microsoft.com/office/drawing/2014/chart" uri="{C3380CC4-5D6E-409C-BE32-E72D297353CC}">
              <c16:uniqueId val="{00000000-5A22-4976-8922-33CEB84A4317}"/>
            </c:ext>
          </c:extLst>
        </c:ser>
        <c:ser>
          <c:idx val="1"/>
          <c:order val="1"/>
          <c:tx>
            <c:strRef>
              <c:f>'IT výdavky'!$A$29</c:f>
              <c:strCache>
                <c:ptCount val="1"/>
                <c:pt idx="0">
                  <c:v>Kapitálové výdavky</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'IT výdavky'!$B$27:$J$27</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'IT výdavky'!$B$29:$J$29</c:f>
              <c:numCache>
                <c:formatCode>#,##0</c:formatCode>
                <c:ptCount val="9"/>
                <c:pt idx="0">
                  <c:v>228593682.41000009</c:v>
                </c:pt>
                <c:pt idx="1">
                  <c:v>256986193.67000014</c:v>
                </c:pt>
                <c:pt idx="2">
                  <c:v>303007949.09000009</c:v>
                </c:pt>
                <c:pt idx="3">
                  <c:v>292012919.94000041</c:v>
                </c:pt>
                <c:pt idx="4">
                  <c:v>562157796.77999961</c:v>
                </c:pt>
                <c:pt idx="5">
                  <c:v>243532868.62999991</c:v>
                </c:pt>
                <c:pt idx="6">
                  <c:v>132475569.27000004</c:v>
                </c:pt>
                <c:pt idx="7">
                  <c:v>192791990.18054074</c:v>
                </c:pt>
                <c:pt idx="8">
                  <c:v>175257550.70859909</c:v>
                </c:pt>
              </c:numCache>
            </c:numRef>
          </c:val>
          <c:extLst xmlns:c16r2="http://schemas.microsoft.com/office/drawing/2015/06/chart">
            <c:ext xmlns:c16="http://schemas.microsoft.com/office/drawing/2014/chart" uri="{C3380CC4-5D6E-409C-BE32-E72D297353CC}">
              <c16:uniqueId val="{00000001-5A22-4976-8922-33CEB84A4317}"/>
            </c:ext>
          </c:extLst>
        </c:ser>
        <c:dLbls>
          <c:showLegendKey val="0"/>
          <c:showVal val="0"/>
          <c:showCatName val="0"/>
          <c:showSerName val="0"/>
          <c:showPercent val="0"/>
          <c:showBubbleSize val="0"/>
        </c:dLbls>
        <c:gapWidth val="150"/>
        <c:overlap val="100"/>
        <c:axId val="535045448"/>
        <c:axId val="535046232"/>
      </c:barChart>
      <c:scatterChart>
        <c:scatterStyle val="lineMarker"/>
        <c:varyColors val="0"/>
        <c:ser>
          <c:idx val="2"/>
          <c:order val="2"/>
          <c:spPr>
            <a:ln w="25400"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yVal>
            <c:numRef>
              <c:f>'IT výdavky'!$B$30:$J$30</c:f>
              <c:numCache>
                <c:formatCode>#,##0</c:formatCode>
                <c:ptCount val="9"/>
                <c:pt idx="0">
                  <c:v>402376849.02999985</c:v>
                </c:pt>
                <c:pt idx="1">
                  <c:v>468357210.45000052</c:v>
                </c:pt>
                <c:pt idx="2">
                  <c:v>481600680.94000071</c:v>
                </c:pt>
                <c:pt idx="3">
                  <c:v>524419137.53999984</c:v>
                </c:pt>
                <c:pt idx="4">
                  <c:v>777292882.82999921</c:v>
                </c:pt>
                <c:pt idx="5">
                  <c:v>456802719.40999985</c:v>
                </c:pt>
                <c:pt idx="6">
                  <c:v>442777483.71999907</c:v>
                </c:pt>
                <c:pt idx="7">
                  <c:v>525610943.12593913</c:v>
                </c:pt>
                <c:pt idx="8">
                  <c:v>526684574.45818579</c:v>
                </c:pt>
              </c:numCache>
            </c:numRef>
          </c:yVal>
          <c:smooth val="0"/>
          <c:extLst xmlns:c16r2="http://schemas.microsoft.com/office/drawing/2015/06/chart">
            <c:ext xmlns:c16="http://schemas.microsoft.com/office/drawing/2014/chart" uri="{C3380CC4-5D6E-409C-BE32-E72D297353CC}">
              <c16:uniqueId val="{00000002-5A22-4976-8922-33CEB84A4317}"/>
            </c:ext>
          </c:extLst>
        </c:ser>
        <c:dLbls>
          <c:showLegendKey val="0"/>
          <c:showVal val="0"/>
          <c:showCatName val="0"/>
          <c:showSerName val="0"/>
          <c:showPercent val="0"/>
          <c:showBubbleSize val="0"/>
        </c:dLbls>
        <c:axId val="535045448"/>
        <c:axId val="535046232"/>
      </c:scatterChart>
      <c:catAx>
        <c:axId val="535045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35046232"/>
        <c:crosses val="autoZero"/>
        <c:auto val="1"/>
        <c:lblAlgn val="ctr"/>
        <c:lblOffset val="100"/>
        <c:noMultiLvlLbl val="0"/>
      </c:catAx>
      <c:valAx>
        <c:axId val="53504623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35045448"/>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dispUnitsLbl>
        </c:dispUnits>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počet vCPU</c:v>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'Nárasty vCPU po rokoch'!$B$2:$I$2</c:f>
              <c:strCache>
                <c:ptCount val="8"/>
                <c:pt idx="0">
                  <c:v>2016</c:v>
                </c:pt>
                <c:pt idx="1">
                  <c:v>2017</c:v>
                </c:pt>
                <c:pt idx="2">
                  <c:v>2018</c:v>
                </c:pt>
                <c:pt idx="3">
                  <c:v>2019</c:v>
                </c:pt>
                <c:pt idx="4">
                  <c:v>2020</c:v>
                </c:pt>
                <c:pt idx="5">
                  <c:v>2021</c:v>
                </c:pt>
                <c:pt idx="6">
                  <c:v>2022</c:v>
                </c:pt>
                <c:pt idx="7">
                  <c:v>2023</c:v>
                </c:pt>
              </c:strCache>
            </c:strRef>
          </c:cat>
          <c:val>
            <c:numRef>
              <c:f>'Nárasty vCPU po rokoch'!$B$132:$I$132</c:f>
              <c:numCache>
                <c:formatCode>0</c:formatCode>
                <c:ptCount val="8"/>
                <c:pt idx="0">
                  <c:v>34</c:v>
                </c:pt>
                <c:pt idx="1">
                  <c:v>460</c:v>
                </c:pt>
                <c:pt idx="2">
                  <c:v>1561</c:v>
                </c:pt>
                <c:pt idx="3">
                  <c:v>2587</c:v>
                </c:pt>
                <c:pt idx="4">
                  <c:v>2872</c:v>
                </c:pt>
                <c:pt idx="5">
                  <c:v>2943</c:v>
                </c:pt>
                <c:pt idx="6">
                  <c:v>2393</c:v>
                </c:pt>
                <c:pt idx="7">
                  <c:v>441</c:v>
                </c:pt>
              </c:numCache>
            </c:numRef>
          </c:val>
          <c:extLst xmlns:c16r2="http://schemas.microsoft.com/office/drawing/2015/06/chart">
            <c:ext xmlns:c16="http://schemas.microsoft.com/office/drawing/2014/chart" uri="{C3380CC4-5D6E-409C-BE32-E72D297353CC}">
              <c16:uniqueId val="{00000000-49D4-45B6-89E7-96B2645D5BB1}"/>
            </c:ext>
          </c:extLst>
        </c:ser>
        <c:dLbls>
          <c:showLegendKey val="0"/>
          <c:showVal val="0"/>
          <c:showCatName val="0"/>
          <c:showSerName val="0"/>
          <c:showPercent val="0"/>
          <c:showBubbleSize val="0"/>
        </c:dLbls>
        <c:gapWidth val="219"/>
        <c:overlap val="-27"/>
        <c:axId val="535046624"/>
        <c:axId val="535047800"/>
      </c:barChart>
      <c:catAx>
        <c:axId val="53504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35047800"/>
        <c:crosses val="autoZero"/>
        <c:auto val="1"/>
        <c:lblAlgn val="ctr"/>
        <c:lblOffset val="100"/>
        <c:noMultiLvlLbl val="0"/>
      </c:catAx>
      <c:valAx>
        <c:axId val="535047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sk-SK" sz="900"/>
                  <a:t>Plánovaná migrácia (vCPU)</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3504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Plánovaná migrácia (ISVS)</c:v>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'Počet celkom-Počet migrovanych'!$C$2:$J$2</c:f>
              <c:strCache>
                <c:ptCount val="8"/>
                <c:pt idx="0">
                  <c:v>2016</c:v>
                </c:pt>
                <c:pt idx="1">
                  <c:v>2017</c:v>
                </c:pt>
                <c:pt idx="2">
                  <c:v>2018</c:v>
                </c:pt>
                <c:pt idx="3">
                  <c:v>2019</c:v>
                </c:pt>
                <c:pt idx="4">
                  <c:v>2020</c:v>
                </c:pt>
                <c:pt idx="5">
                  <c:v>2021</c:v>
                </c:pt>
                <c:pt idx="6">
                  <c:v>2022</c:v>
                </c:pt>
                <c:pt idx="7">
                  <c:v>2023</c:v>
                </c:pt>
              </c:strCache>
            </c:strRef>
          </c:cat>
          <c:val>
            <c:numRef>
              <c:f>'Počet celkom-Počet migrovanych'!$C$132:$J$132</c:f>
              <c:numCache>
                <c:formatCode>0</c:formatCode>
                <c:ptCount val="8"/>
                <c:pt idx="0">
                  <c:v>7</c:v>
                </c:pt>
                <c:pt idx="1">
                  <c:v>21</c:v>
                </c:pt>
                <c:pt idx="2">
                  <c:v>76</c:v>
                </c:pt>
                <c:pt idx="3">
                  <c:v>151</c:v>
                </c:pt>
                <c:pt idx="4">
                  <c:v>140</c:v>
                </c:pt>
                <c:pt idx="5">
                  <c:v>154</c:v>
                </c:pt>
                <c:pt idx="6">
                  <c:v>51</c:v>
                </c:pt>
                <c:pt idx="7">
                  <c:v>89</c:v>
                </c:pt>
              </c:numCache>
            </c:numRef>
          </c:val>
          <c:extLst xmlns:c16r2="http://schemas.microsoft.com/office/drawing/2015/06/chart">
            <c:ext xmlns:c16="http://schemas.microsoft.com/office/drawing/2014/chart" uri="{C3380CC4-5D6E-409C-BE32-E72D297353CC}">
              <c16:uniqueId val="{00000000-752B-43CD-8CDF-B122568C6EFA}"/>
            </c:ext>
          </c:extLst>
        </c:ser>
        <c:dLbls>
          <c:showLegendKey val="0"/>
          <c:showVal val="0"/>
          <c:showCatName val="0"/>
          <c:showSerName val="0"/>
          <c:showPercent val="0"/>
          <c:showBubbleSize val="0"/>
        </c:dLbls>
        <c:gapWidth val="219"/>
        <c:axId val="535048192"/>
        <c:axId val="535048976"/>
      </c:barChart>
      <c:scatterChart>
        <c:scatterStyle val="lineMarker"/>
        <c:varyColors val="0"/>
        <c:ser>
          <c:idx val="1"/>
          <c:order val="1"/>
          <c:tx>
            <c:v>Podiel zmigrovaných ISVS (%)</c:v>
          </c:tx>
          <c:spPr>
            <a:ln w="25400" cap="rnd">
              <a:noFill/>
              <a:round/>
            </a:ln>
            <a:effectLst/>
          </c:spPr>
          <c:marker>
            <c:symbol val="diamond"/>
            <c:size val="7"/>
            <c:spPr>
              <a:solidFill>
                <a:schemeClr val="tx1"/>
              </a:solidFill>
              <a:ln w="9525">
                <a:solidFill>
                  <a:schemeClr val="tx1"/>
                </a:solidFill>
              </a:ln>
              <a:effectLst/>
            </c:spPr>
          </c:marker>
          <c:dLbls>
            <c:dLbl>
              <c:idx val="0"/>
              <c:layout>
                <c:manualLayout>
                  <c:x val="-2.7210884353741537E-2"/>
                  <c:y val="-9.4379004105785278E-17"/>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52B-43CD-8CDF-B122568C6EFA}"/>
                </c:ext>
                <c:ext xmlns:c15="http://schemas.microsoft.com/office/drawing/2012/chart" uri="{CE6537A1-D6FC-4f65-9D91-7224C49458BB}"/>
              </c:extLst>
            </c:dLbl>
            <c:dLbl>
              <c:idx val="1"/>
              <c:layout>
                <c:manualLayout>
                  <c:x val="-1.3605442176870748E-2"/>
                  <c:y val="-9.4379004105785278E-17"/>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52B-43CD-8CDF-B122568C6EFA}"/>
                </c:ext>
                <c:ext xmlns:c15="http://schemas.microsoft.com/office/drawing/2012/chart" uri="{CE6537A1-D6FC-4f65-9D91-7224C49458BB}"/>
              </c:extLst>
            </c:dLbl>
            <c:dLbl>
              <c:idx val="2"/>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52B-43CD-8CDF-B122568C6EFA}"/>
                </c:ext>
                <c:ext xmlns:c15="http://schemas.microsoft.com/office/drawing/2012/chart" uri="{CE6537A1-D6FC-4f65-9D91-7224C49458BB}"/>
              </c:extLst>
            </c:dLbl>
            <c:numFmt formatCode="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yVal>
            <c:numRef>
              <c:f>'Počet celkom-Počet migrovanych'!$C$138:$J$138</c:f>
              <c:numCache>
                <c:formatCode>0.0%</c:formatCode>
                <c:ptCount val="8"/>
                <c:pt idx="0">
                  <c:v>4.2553191489361703E-3</c:v>
                </c:pt>
                <c:pt idx="1">
                  <c:v>1.7021276595744681E-2</c:v>
                </c:pt>
                <c:pt idx="2">
                  <c:v>6.3221884498480249E-2</c:v>
                </c:pt>
                <c:pt idx="3">
                  <c:v>0.15501519756838905</c:v>
                </c:pt>
                <c:pt idx="4">
                  <c:v>0.24012158054711247</c:v>
                </c:pt>
                <c:pt idx="5">
                  <c:v>0.33373860182370818</c:v>
                </c:pt>
                <c:pt idx="6">
                  <c:v>0.36474164133738601</c:v>
                </c:pt>
                <c:pt idx="7">
                  <c:v>0.4188449848024316</c:v>
                </c:pt>
              </c:numCache>
            </c:numRef>
          </c:yVal>
          <c:smooth val="0"/>
          <c:extLst xmlns:c16r2="http://schemas.microsoft.com/office/drawing/2015/06/chart">
            <c:ext xmlns:c16="http://schemas.microsoft.com/office/drawing/2014/chart" uri="{C3380CC4-5D6E-409C-BE32-E72D297353CC}">
              <c16:uniqueId val="{00000003-752B-43CD-8CDF-B122568C6EFA}"/>
            </c:ext>
          </c:extLst>
        </c:ser>
        <c:dLbls>
          <c:showLegendKey val="0"/>
          <c:showVal val="0"/>
          <c:showCatName val="0"/>
          <c:showSerName val="0"/>
          <c:showPercent val="0"/>
          <c:showBubbleSize val="0"/>
        </c:dLbls>
        <c:axId val="535049368"/>
        <c:axId val="535048584"/>
      </c:scatterChart>
      <c:catAx>
        <c:axId val="53504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35048976"/>
        <c:crosses val="autoZero"/>
        <c:auto val="1"/>
        <c:lblAlgn val="ctr"/>
        <c:lblOffset val="100"/>
        <c:noMultiLvlLbl val="0"/>
      </c:catAx>
      <c:valAx>
        <c:axId val="535048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sk-SK" sz="900"/>
                  <a:t>Počet zmigrovaných ISVS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35048192"/>
        <c:crosses val="autoZero"/>
        <c:crossBetween val="between"/>
      </c:valAx>
      <c:valAx>
        <c:axId val="535048584"/>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sk-SK" sz="900"/>
                  <a:t>Podiel zmigrovaných ISVS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35049368"/>
        <c:crosses val="max"/>
        <c:crossBetween val="midCat"/>
      </c:valAx>
      <c:valAx>
        <c:axId val="535049368"/>
        <c:scaling>
          <c:orientation val="minMax"/>
        </c:scaling>
        <c:delete val="1"/>
        <c:axPos val="b"/>
        <c:majorTickMark val="out"/>
        <c:minorTickMark val="none"/>
        <c:tickLblPos val="nextTo"/>
        <c:crossAx val="5350485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Narrow" panose="020B0606020202030204" pitchFamily="34" charset="0"/>
        </a:defRPr>
      </a:pPr>
      <a:endParaRPr lang="sk-SK"/>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'BOK a eID'!$J$1</c:f>
              <c:strCache>
                <c:ptCount val="1"/>
                <c:pt idx="0">
                  <c:v>eID</c:v>
                </c:pt>
              </c:strCache>
            </c:strRef>
          </c:tx>
          <c:spPr>
            <a:ln w="28575" cap="rnd">
              <a:solidFill>
                <a:srgbClr val="002060"/>
              </a:solidFill>
              <a:round/>
            </a:ln>
            <a:effectLst/>
          </c:spPr>
          <c:marker>
            <c:symbol val="none"/>
          </c:marker>
          <c:cat>
            <c:strRef>
              <c:f>'BOK a eID'!$H$2:$H$25</c:f>
              <c:strCache>
                <c:ptCount val="24"/>
                <c:pt idx="0">
                  <c:v>január 2018</c:v>
                </c:pt>
                <c:pt idx="5">
                  <c:v>jún 2018</c:v>
                </c:pt>
                <c:pt idx="11">
                  <c:v>december 2018</c:v>
                </c:pt>
                <c:pt idx="17">
                  <c:v>jún 2019</c:v>
                </c:pt>
                <c:pt idx="23">
                  <c:v>december 2019</c:v>
                </c:pt>
              </c:strCache>
            </c:strRef>
          </c:cat>
          <c:val>
            <c:numRef>
              <c:f>'BOK a eID'!$J$2:$J$25</c:f>
              <c:numCache>
                <c:formatCode>#,##0</c:formatCode>
                <c:ptCount val="24"/>
                <c:pt idx="0">
                  <c:v>49022</c:v>
                </c:pt>
                <c:pt idx="1">
                  <c:v>98040</c:v>
                </c:pt>
                <c:pt idx="2">
                  <c:v>154399</c:v>
                </c:pt>
                <c:pt idx="3">
                  <c:v>202905</c:v>
                </c:pt>
                <c:pt idx="4">
                  <c:v>250160</c:v>
                </c:pt>
                <c:pt idx="5">
                  <c:v>301767</c:v>
                </c:pt>
                <c:pt idx="6">
                  <c:v>357713</c:v>
                </c:pt>
                <c:pt idx="7">
                  <c:v>414839</c:v>
                </c:pt>
                <c:pt idx="8">
                  <c:v>457538</c:v>
                </c:pt>
                <c:pt idx="9">
                  <c:v>512074</c:v>
                </c:pt>
                <c:pt idx="10">
                  <c:v>566212</c:v>
                </c:pt>
                <c:pt idx="11">
                  <c:v>600587</c:v>
                </c:pt>
                <c:pt idx="12">
                  <c:v>647968</c:v>
                </c:pt>
                <c:pt idx="13">
                  <c:v>691208</c:v>
                </c:pt>
                <c:pt idx="14">
                  <c:v>748252</c:v>
                </c:pt>
                <c:pt idx="15">
                  <c:v>786442</c:v>
                </c:pt>
                <c:pt idx="16">
                  <c:v>839015</c:v>
                </c:pt>
                <c:pt idx="17">
                  <c:v>876159</c:v>
                </c:pt>
                <c:pt idx="18">
                  <c:v>929938</c:v>
                </c:pt>
                <c:pt idx="19">
                  <c:v>977242</c:v>
                </c:pt>
                <c:pt idx="20">
                  <c:v>1014321</c:v>
                </c:pt>
                <c:pt idx="21">
                  <c:v>1063661</c:v>
                </c:pt>
                <c:pt idx="22">
                  <c:v>1107846</c:v>
                </c:pt>
                <c:pt idx="23">
                  <c:v>1138947</c:v>
                </c:pt>
              </c:numCache>
            </c:numRef>
          </c:val>
          <c:smooth val="1"/>
          <c:extLst xmlns:c16r2="http://schemas.microsoft.com/office/drawing/2015/06/chart">
            <c:ext xmlns:c16="http://schemas.microsoft.com/office/drawing/2014/chart" uri="{C3380CC4-5D6E-409C-BE32-E72D297353CC}">
              <c16:uniqueId val="{00000000-D709-44D0-A6E0-97D725D79CBE}"/>
            </c:ext>
          </c:extLst>
        </c:ser>
        <c:ser>
          <c:idx val="1"/>
          <c:order val="1"/>
          <c:tx>
            <c:v>BOK</c:v>
          </c:tx>
          <c:spPr>
            <a:ln w="28575" cap="rnd">
              <a:solidFill>
                <a:srgbClr val="00B0F0"/>
              </a:solidFill>
              <a:round/>
            </a:ln>
            <a:effectLst/>
          </c:spPr>
          <c:marker>
            <c:symbol val="none"/>
          </c:marker>
          <c:cat>
            <c:strRef>
              <c:f>'BOK a eID'!$H$2:$H$25</c:f>
              <c:strCache>
                <c:ptCount val="24"/>
                <c:pt idx="0">
                  <c:v>január 2018</c:v>
                </c:pt>
                <c:pt idx="5">
                  <c:v>jún 2018</c:v>
                </c:pt>
                <c:pt idx="11">
                  <c:v>december 2018</c:v>
                </c:pt>
                <c:pt idx="17">
                  <c:v>jún 2019</c:v>
                </c:pt>
                <c:pt idx="23">
                  <c:v>december 2019</c:v>
                </c:pt>
              </c:strCache>
            </c:strRef>
          </c:cat>
          <c:val>
            <c:numRef>
              <c:f>'BOK a eID'!$K$2:$K$25</c:f>
              <c:numCache>
                <c:formatCode>#,##0</c:formatCode>
                <c:ptCount val="24"/>
                <c:pt idx="0">
                  <c:v>41788</c:v>
                </c:pt>
                <c:pt idx="1">
                  <c:v>81758</c:v>
                </c:pt>
                <c:pt idx="2">
                  <c:v>131467</c:v>
                </c:pt>
                <c:pt idx="3">
                  <c:v>172822</c:v>
                </c:pt>
                <c:pt idx="4">
                  <c:v>210062</c:v>
                </c:pt>
                <c:pt idx="5">
                  <c:v>253877</c:v>
                </c:pt>
                <c:pt idx="6">
                  <c:v>301265</c:v>
                </c:pt>
                <c:pt idx="7">
                  <c:v>345621</c:v>
                </c:pt>
                <c:pt idx="8">
                  <c:v>375738</c:v>
                </c:pt>
                <c:pt idx="9">
                  <c:v>421070</c:v>
                </c:pt>
                <c:pt idx="10">
                  <c:v>462741</c:v>
                </c:pt>
                <c:pt idx="11">
                  <c:v>490173</c:v>
                </c:pt>
                <c:pt idx="12">
                  <c:v>533387</c:v>
                </c:pt>
                <c:pt idx="13">
                  <c:v>565579</c:v>
                </c:pt>
                <c:pt idx="14">
                  <c:v>610968</c:v>
                </c:pt>
                <c:pt idx="15">
                  <c:v>639020</c:v>
                </c:pt>
                <c:pt idx="16">
                  <c:v>687079</c:v>
                </c:pt>
                <c:pt idx="17">
                  <c:v>706960</c:v>
                </c:pt>
                <c:pt idx="18">
                  <c:v>752321</c:v>
                </c:pt>
                <c:pt idx="19">
                  <c:v>786421</c:v>
                </c:pt>
                <c:pt idx="20">
                  <c:v>811720</c:v>
                </c:pt>
                <c:pt idx="21">
                  <c:v>844793</c:v>
                </c:pt>
                <c:pt idx="22">
                  <c:v>877470</c:v>
                </c:pt>
                <c:pt idx="23">
                  <c:v>901144</c:v>
                </c:pt>
              </c:numCache>
            </c:numRef>
          </c:val>
          <c:smooth val="1"/>
          <c:extLst xmlns:c16r2="http://schemas.microsoft.com/office/drawing/2015/06/chart">
            <c:ext xmlns:c16="http://schemas.microsoft.com/office/drawing/2014/chart" uri="{C3380CC4-5D6E-409C-BE32-E72D297353CC}">
              <c16:uniqueId val="{00000001-D709-44D0-A6E0-97D725D79CBE}"/>
            </c:ext>
          </c:extLst>
        </c:ser>
        <c:ser>
          <c:idx val="2"/>
          <c:order val="2"/>
          <c:tx>
            <c:strRef>
              <c:f>'BOK a eID'!$L$1</c:f>
              <c:strCache>
                <c:ptCount val="1"/>
                <c:pt idx="0">
                  <c:v>KEP</c:v>
                </c:pt>
              </c:strCache>
            </c:strRef>
          </c:tx>
          <c:spPr>
            <a:ln w="28575" cap="rnd">
              <a:solidFill>
                <a:schemeClr val="accent3"/>
              </a:solidFill>
              <a:round/>
            </a:ln>
            <a:effectLst/>
          </c:spPr>
          <c:marker>
            <c:symbol val="none"/>
          </c:marker>
          <c:cat>
            <c:strRef>
              <c:f>'BOK a eID'!$H$2:$H$25</c:f>
              <c:strCache>
                <c:ptCount val="24"/>
                <c:pt idx="0">
                  <c:v>január 2018</c:v>
                </c:pt>
                <c:pt idx="5">
                  <c:v>jún 2018</c:v>
                </c:pt>
                <c:pt idx="11">
                  <c:v>december 2018</c:v>
                </c:pt>
                <c:pt idx="17">
                  <c:v>jún 2019</c:v>
                </c:pt>
                <c:pt idx="23">
                  <c:v>december 2019</c:v>
                </c:pt>
              </c:strCache>
            </c:strRef>
          </c:cat>
          <c:val>
            <c:numRef>
              <c:f>'BOK a eID'!$L$2:$L$25</c:f>
              <c:numCache>
                <c:formatCode>#,##0</c:formatCode>
                <c:ptCount val="24"/>
                <c:pt idx="0">
                  <c:v>19507</c:v>
                </c:pt>
                <c:pt idx="1">
                  <c:v>31961</c:v>
                </c:pt>
                <c:pt idx="2">
                  <c:v>48138</c:v>
                </c:pt>
                <c:pt idx="3">
                  <c:v>59011</c:v>
                </c:pt>
                <c:pt idx="4">
                  <c:v>68788</c:v>
                </c:pt>
                <c:pt idx="5">
                  <c:v>82428</c:v>
                </c:pt>
                <c:pt idx="6">
                  <c:v>91922</c:v>
                </c:pt>
                <c:pt idx="7">
                  <c:v>99972</c:v>
                </c:pt>
                <c:pt idx="8">
                  <c:v>106718</c:v>
                </c:pt>
                <c:pt idx="9">
                  <c:v>121280</c:v>
                </c:pt>
                <c:pt idx="10">
                  <c:v>132984</c:v>
                </c:pt>
                <c:pt idx="11">
                  <c:v>144048</c:v>
                </c:pt>
                <c:pt idx="12">
                  <c:v>161493</c:v>
                </c:pt>
                <c:pt idx="13">
                  <c:v>178061</c:v>
                </c:pt>
                <c:pt idx="14">
                  <c:v>201303</c:v>
                </c:pt>
                <c:pt idx="15">
                  <c:v>212079</c:v>
                </c:pt>
                <c:pt idx="16">
                  <c:v>222279</c:v>
                </c:pt>
                <c:pt idx="17">
                  <c:v>230258</c:v>
                </c:pt>
                <c:pt idx="18">
                  <c:v>237876</c:v>
                </c:pt>
                <c:pt idx="19">
                  <c:v>245162</c:v>
                </c:pt>
                <c:pt idx="20">
                  <c:v>252374</c:v>
                </c:pt>
                <c:pt idx="21">
                  <c:v>260637</c:v>
                </c:pt>
                <c:pt idx="22">
                  <c:v>269058</c:v>
                </c:pt>
                <c:pt idx="23">
                  <c:v>279931</c:v>
                </c:pt>
              </c:numCache>
            </c:numRef>
          </c:val>
          <c:smooth val="1"/>
          <c:extLst xmlns:c16r2="http://schemas.microsoft.com/office/drawing/2015/06/chart">
            <c:ext xmlns:c16="http://schemas.microsoft.com/office/drawing/2014/chart" uri="{C3380CC4-5D6E-409C-BE32-E72D297353CC}">
              <c16:uniqueId val="{00000002-D709-44D0-A6E0-97D725D79CBE}"/>
            </c:ext>
          </c:extLst>
        </c:ser>
        <c:dLbls>
          <c:showLegendKey val="0"/>
          <c:showVal val="0"/>
          <c:showCatName val="0"/>
          <c:showSerName val="0"/>
          <c:showPercent val="0"/>
          <c:showBubbleSize val="0"/>
        </c:dLbls>
        <c:smooth val="0"/>
        <c:axId val="535052504"/>
        <c:axId val="535052896"/>
      </c:lineChart>
      <c:catAx>
        <c:axId val="535052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35052896"/>
        <c:crosses val="autoZero"/>
        <c:auto val="1"/>
        <c:lblAlgn val="ctr"/>
        <c:lblOffset val="100"/>
        <c:noMultiLvlLbl val="0"/>
      </c:catAx>
      <c:valAx>
        <c:axId val="5350528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35052504"/>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'TAB_DK (2)'!$B$2</c:f>
              <c:strCache>
                <c:ptCount val="1"/>
                <c:pt idx="0">
                  <c:v>Celková suma</c:v>
                </c:pt>
              </c:strCache>
            </c:strRef>
          </c:tx>
          <c:spPr>
            <a:solidFill>
              <a:srgbClr val="00B0F0"/>
            </a:solidFill>
            <a:ln>
              <a:noFill/>
            </a:ln>
            <a:effectLst/>
          </c:spPr>
          <c:invertIfNegative val="0"/>
          <c:dLbls>
            <c:dLbl>
              <c:idx val="0"/>
              <c:layout>
                <c:manualLayout>
                  <c:x val="-1.9022111409629872E-17"/>
                  <c:y val="-1.05833333333333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A65-472F-ABB8-4C34B06D5D6A}"/>
                </c:ext>
                <c:ext xmlns:c15="http://schemas.microsoft.com/office/drawing/2012/chart" uri="{CE6537A1-D6FC-4f65-9D91-7224C49458BB}"/>
              </c:extLst>
            </c:dLbl>
            <c:dLbl>
              <c:idx val="1"/>
              <c:layout>
                <c:manualLayout>
                  <c:x val="0"/>
                  <c:y val="-7.055555555555555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A65-472F-ABB8-4C34B06D5D6A}"/>
                </c:ext>
                <c:ext xmlns:c15="http://schemas.microsoft.com/office/drawing/2012/chart" uri="{CE6537A1-D6FC-4f65-9D91-7224C49458BB}"/>
              </c:extLst>
            </c:dLbl>
            <c:dLbl>
              <c:idx val="2"/>
              <c:layout>
                <c:manualLayout>
                  <c:x val="-3.8044222819259745E-17"/>
                  <c:y val="-1.05833333333333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A65-472F-ABB8-4C34B06D5D6A}"/>
                </c:ext>
                <c:ext xmlns:c15="http://schemas.microsoft.com/office/drawing/2012/chart" uri="{CE6537A1-D6FC-4f65-9D91-7224C49458BB}"/>
              </c:extLst>
            </c:dLbl>
            <c:dLbl>
              <c:idx val="3"/>
              <c:tx>
                <c:rich>
                  <a:bodyPr/>
                  <a:lstStyle/>
                  <a:p>
                    <a:r>
                      <a:rPr lang="en-US"/>
                      <a:t>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725-46BC-B8D2-597A81DA8EA0}"/>
                </c:ext>
                <c:ext xmlns:c15="http://schemas.microsoft.com/office/drawing/2012/chart" uri="{CE6537A1-D6FC-4f65-9D91-7224C49458BB}"/>
              </c:extLst>
            </c:dLbl>
            <c:dLbl>
              <c:idx val="4"/>
              <c:layout>
                <c:manualLayout>
                  <c:x val="0"/>
                  <c:y val="-7.055555555555620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A65-472F-ABB8-4C34B06D5D6A}"/>
                </c:ext>
                <c:ext xmlns:c15="http://schemas.microsoft.com/office/drawing/2012/chart" uri="{CE6537A1-D6FC-4f65-9D91-7224C49458BB}"/>
              </c:extLst>
            </c:dLbl>
            <c:dLbl>
              <c:idx val="5"/>
              <c:layout>
                <c:manualLayout>
                  <c:x val="0"/>
                  <c:y val="-1.05833333333333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A65-472F-ABB8-4C34B06D5D6A}"/>
                </c:ext>
                <c:ext xmlns:c15="http://schemas.microsoft.com/office/drawing/2012/chart" uri="{CE6537A1-D6FC-4f65-9D91-7224C49458BB}"/>
              </c:extLst>
            </c:dLbl>
            <c:dLbl>
              <c:idx val="6"/>
              <c:layout>
                <c:manualLayout>
                  <c:x val="2.080083203328057E-3"/>
                  <c:y val="-1.80145974903821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A65-472F-ABB8-4C34B06D5D6A}"/>
                </c:ext>
                <c:ext xmlns:c15="http://schemas.microsoft.com/office/drawing/2012/chart" uri="{CE6537A1-D6FC-4f65-9D91-7224C49458BB}"/>
              </c:extLst>
            </c:dLbl>
            <c:dLbl>
              <c:idx val="7"/>
              <c:layout>
                <c:manualLayout>
                  <c:x val="-1.5217689127703898E-16"/>
                  <c:y val="-7.055555555555620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A65-472F-ABB8-4C34B06D5D6A}"/>
                </c:ext>
                <c:ext xmlns:c15="http://schemas.microsoft.com/office/drawing/2012/chart" uri="{CE6537A1-D6FC-4f65-9D91-7224C49458BB}"/>
              </c:extLst>
            </c:dLbl>
            <c:spPr>
              <a:noFill/>
              <a:ln>
                <a:noFill/>
              </a:ln>
              <a:effectLst/>
            </c:spPr>
            <c:txPr>
              <a:bodyPr rot="0" spcFirstLastPara="1" vertOverflow="overflow" horzOverflow="overflow" vert="horz" wrap="square" lIns="38100" tIns="19050" rIns="38100" bIns="18000" anchor="ctr" anchorCtr="1">
                <a:spAutoFit/>
              </a:bodyPr>
              <a:lstStyle/>
              <a:p>
                <a:pPr>
                  <a:defRPr sz="10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'TAB_DK (2)'!$A$3:$A$11</c:f>
              <c:strCache>
                <c:ptCount val="9"/>
                <c:pt idx="0">
                  <c:v>Školské bazény</c:v>
                </c:pt>
                <c:pt idx="1">
                  <c:v>Maturity a záverečné skúšky</c:v>
                </c:pt>
                <c:pt idx="2">
                  <c:v>Rekreačné poukazy</c:v>
                </c:pt>
                <c:pt idx="3">
                  <c:v>Dejepisná súťaž CHEB</c:v>
                </c:pt>
                <c:pt idx="4">
                  <c:v>Dofinancovanie asistentov</c:v>
                </c:pt>
                <c:pt idx="5">
                  <c:v>Platy začínajúcich učiteľov od 1.9.</c:v>
                </c:pt>
                <c:pt idx="6">
                  <c:v>DKO - osobné náklady</c:v>
                </c:pt>
                <c:pt idx="7">
                  <c:v>DKO - prevádzka</c:v>
                </c:pt>
                <c:pt idx="8">
                  <c:v>DKO - transfery</c:v>
                </c:pt>
              </c:strCache>
            </c:strRef>
          </c:cat>
          <c:val>
            <c:numRef>
              <c:f>'TAB_DK (2)'!$B$3:$B$11</c:f>
              <c:numCache>
                <c:formatCode>#,##0</c:formatCode>
                <c:ptCount val="9"/>
                <c:pt idx="0">
                  <c:v>1189.6099999999999</c:v>
                </c:pt>
                <c:pt idx="1">
                  <c:v>1493.4962700000001</c:v>
                </c:pt>
                <c:pt idx="2">
                  <c:v>2795.4380000000001</c:v>
                </c:pt>
                <c:pt idx="3">
                  <c:v>200</c:v>
                </c:pt>
                <c:pt idx="4">
                  <c:v>1442.9659999999999</c:v>
                </c:pt>
                <c:pt idx="5">
                  <c:v>7731.7330000000002</c:v>
                </c:pt>
                <c:pt idx="6">
                  <c:v>14636.897999999999</c:v>
                </c:pt>
                <c:pt idx="7">
                  <c:v>1217.6969999999999</c:v>
                </c:pt>
                <c:pt idx="8">
                  <c:v>297.28899999999999</c:v>
                </c:pt>
              </c:numCache>
            </c:numRef>
          </c:val>
          <c:extLst xmlns:c16r2="http://schemas.microsoft.com/office/drawing/2015/06/chart">
            <c:ext xmlns:c16="http://schemas.microsoft.com/office/drawing/2014/chart" uri="{C3380CC4-5D6E-409C-BE32-E72D297353CC}">
              <c16:uniqueId val="{00000007-BA65-472F-ABB8-4C34B06D5D6A}"/>
            </c:ext>
          </c:extLst>
        </c:ser>
        <c:dLbls>
          <c:showLegendKey val="0"/>
          <c:showVal val="1"/>
          <c:showCatName val="0"/>
          <c:showSerName val="0"/>
          <c:showPercent val="0"/>
          <c:showBubbleSize val="0"/>
        </c:dLbls>
        <c:gapWidth val="219"/>
        <c:axId val="535047016"/>
        <c:axId val="535053288"/>
      </c:barChart>
      <c:scatterChart>
        <c:scatterStyle val="lineMarker"/>
        <c:varyColors val="0"/>
        <c:ser>
          <c:idx val="1"/>
          <c:order val="1"/>
          <c:tx>
            <c:strRef>
              <c:f>'TAB_DK (2)'!$C$2</c:f>
              <c:strCache>
                <c:ptCount val="1"/>
                <c:pt idx="0">
                  <c:v>Podiel z ročných výdavkov na DK (%)</c:v>
                </c:pt>
              </c:strCache>
            </c:strRef>
          </c:tx>
          <c:spPr>
            <a:ln w="25400" cap="rnd">
              <a:noFill/>
              <a:round/>
            </a:ln>
            <a:effectLst/>
          </c:spPr>
          <c:marker>
            <c:symbol val="diamond"/>
            <c:size val="7"/>
            <c:spPr>
              <a:solidFill>
                <a:schemeClr val="tx1"/>
              </a:solidFill>
              <a:ln w="9525">
                <a:solidFill>
                  <a:schemeClr val="tx1"/>
                </a:solidFill>
              </a:ln>
              <a:effectLst/>
            </c:spPr>
          </c:marker>
          <c:dLbls>
            <c:delete val="1"/>
          </c:dLbls>
          <c:xVal>
            <c:strRef>
              <c:f>'TAB_DK (2)'!$A$3:$A$11</c:f>
              <c:strCache>
                <c:ptCount val="9"/>
                <c:pt idx="0">
                  <c:v>Školské bazény</c:v>
                </c:pt>
                <c:pt idx="1">
                  <c:v>Maturity a záverečné skúšky</c:v>
                </c:pt>
                <c:pt idx="2">
                  <c:v>Rekreačné poukazy</c:v>
                </c:pt>
                <c:pt idx="3">
                  <c:v>Dejepisná súťaž CHEB</c:v>
                </c:pt>
                <c:pt idx="4">
                  <c:v>Dofinancovanie asistentov</c:v>
                </c:pt>
                <c:pt idx="5">
                  <c:v>Platy začínajúcich učiteľov od 1.9.</c:v>
                </c:pt>
                <c:pt idx="6">
                  <c:v>DKO - osobné náklady</c:v>
                </c:pt>
                <c:pt idx="7">
                  <c:v>DKO - prevádzka</c:v>
                </c:pt>
                <c:pt idx="8">
                  <c:v>DKO - transfery</c:v>
                </c:pt>
              </c:strCache>
            </c:strRef>
          </c:xVal>
          <c:yVal>
            <c:numRef>
              <c:f>'TAB_DK (2)'!$C$3:$C$11</c:f>
              <c:numCache>
                <c:formatCode>0%</c:formatCode>
                <c:ptCount val="9"/>
                <c:pt idx="0">
                  <c:v>3.8607246501662897E-2</c:v>
                </c:pt>
                <c:pt idx="1">
                  <c:v>4.846948045595114E-2</c:v>
                </c:pt>
                <c:pt idx="2">
                  <c:v>9.0722307265503344E-2</c:v>
                </c:pt>
                <c:pt idx="3">
                  <c:v>2.5962960299031018E-4</c:v>
                </c:pt>
                <c:pt idx="4">
                  <c:v>4.6829586213564492E-2</c:v>
                </c:pt>
                <c:pt idx="5">
                  <c:v>0.25092334615213496</c:v>
                </c:pt>
                <c:pt idx="6">
                  <c:v>0.47502150209370814</c:v>
                </c:pt>
                <c:pt idx="7">
                  <c:v>3.9518773584061466E-2</c:v>
                </c:pt>
                <c:pt idx="8">
                  <c:v>9.6481281304232908E-3</c:v>
                </c:pt>
              </c:numCache>
            </c:numRef>
          </c:yVal>
          <c:smooth val="0"/>
          <c:extLst xmlns:c16r2="http://schemas.microsoft.com/office/drawing/2015/06/chart">
            <c:ext xmlns:c16="http://schemas.microsoft.com/office/drawing/2014/chart" uri="{C3380CC4-5D6E-409C-BE32-E72D297353CC}">
              <c16:uniqueId val="{00000008-BA65-472F-ABB8-4C34B06D5D6A}"/>
            </c:ext>
          </c:extLst>
        </c:ser>
        <c:dLbls>
          <c:showLegendKey val="0"/>
          <c:showVal val="1"/>
          <c:showCatName val="0"/>
          <c:showSerName val="0"/>
          <c:showPercent val="0"/>
          <c:showBubbleSize val="0"/>
        </c:dLbls>
        <c:axId val="535053680"/>
        <c:axId val="535050936"/>
      </c:scatterChart>
      <c:catAx>
        <c:axId val="5350470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35053288"/>
        <c:crosses val="autoZero"/>
        <c:auto val="1"/>
        <c:lblAlgn val="ctr"/>
        <c:lblOffset val="100"/>
        <c:noMultiLvlLbl val="0"/>
      </c:catAx>
      <c:valAx>
        <c:axId val="535053288"/>
        <c:scaling>
          <c:orientation val="minMax"/>
          <c:max val="16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35047016"/>
        <c:crosses val="autoZero"/>
        <c:crossBetween val="between"/>
        <c:majorUnit val="2000"/>
        <c:minorUnit val="400"/>
      </c:valAx>
      <c:valAx>
        <c:axId val="535050936"/>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35053680"/>
        <c:crosses val="max"/>
        <c:crossBetween val="midCat"/>
      </c:valAx>
      <c:valAx>
        <c:axId val="535053680"/>
        <c:scaling>
          <c:orientation val="minMax"/>
        </c:scaling>
        <c:delete val="1"/>
        <c:axPos val="b"/>
        <c:majorTickMark val="out"/>
        <c:minorTickMark val="none"/>
        <c:tickLblPos val="nextTo"/>
        <c:crossAx val="535050936"/>
        <c:crosses val="autoZero"/>
        <c:crossBetween val="midCat"/>
      </c:valAx>
      <c:spPr>
        <a:noFill/>
        <a:ln>
          <a:noFill/>
        </a:ln>
        <a:effectLst/>
      </c:spPr>
    </c:plotArea>
    <c:legend>
      <c:legendPos val="b"/>
      <c:layout>
        <c:manualLayout>
          <c:xMode val="edge"/>
          <c:yMode val="edge"/>
          <c:x val="0.23970604575163396"/>
          <c:y val="0.92869749999999995"/>
          <c:w val="0.52058790849673198"/>
          <c:h val="6.071916666666666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1200">
          <a:latin typeface="Arial Narrow" panose="020B0606020202030204" pitchFamily="34" charset="0"/>
        </a:defRPr>
      </a:pPr>
      <a:endParaRPr lang="sk-SK"/>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66107652615505"/>
          <c:y val="7.8703703703703706E-2"/>
          <c:w val="0.77871014004780359"/>
          <c:h val="0.66459025955088946"/>
        </c:manualLayout>
      </c:layout>
      <c:barChart>
        <c:barDir val="col"/>
        <c:grouping val="clustered"/>
        <c:varyColors val="0"/>
        <c:ser>
          <c:idx val="0"/>
          <c:order val="0"/>
          <c:tx>
            <c:strRef>
              <c:f>'opatrenie 6'!$A$3</c:f>
              <c:strCache>
                <c:ptCount val="1"/>
                <c:pt idx="0">
                  <c:v>Objem vyrobenej svorkovej elektriny v Novákoch (ľavá os)</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'opatrenie 6'!$B$2:$H$2</c:f>
              <c:numCache>
                <c:formatCode>General</c:formatCode>
                <c:ptCount val="7"/>
                <c:pt idx="0">
                  <c:v>2013</c:v>
                </c:pt>
                <c:pt idx="1">
                  <c:v>2014</c:v>
                </c:pt>
                <c:pt idx="2">
                  <c:v>2015</c:v>
                </c:pt>
                <c:pt idx="3">
                  <c:v>2016</c:v>
                </c:pt>
                <c:pt idx="4">
                  <c:v>2017</c:v>
                </c:pt>
                <c:pt idx="5">
                  <c:v>2018</c:v>
                </c:pt>
                <c:pt idx="6">
                  <c:v>2019</c:v>
                </c:pt>
              </c:numCache>
            </c:numRef>
          </c:cat>
          <c:val>
            <c:numRef>
              <c:f>'opatrenie 6'!$B$3:$H$3</c:f>
              <c:numCache>
                <c:formatCode>#,##0</c:formatCode>
                <c:ptCount val="7"/>
                <c:pt idx="0">
                  <c:v>1801</c:v>
                </c:pt>
                <c:pt idx="1">
                  <c:v>1742</c:v>
                </c:pt>
                <c:pt idx="2">
                  <c:v>1659</c:v>
                </c:pt>
                <c:pt idx="3">
                  <c:v>1545</c:v>
                </c:pt>
                <c:pt idx="4">
                  <c:v>1484</c:v>
                </c:pt>
                <c:pt idx="5">
                  <c:v>1271</c:v>
                </c:pt>
                <c:pt idx="6">
                  <c:v>1167</c:v>
                </c:pt>
              </c:numCache>
            </c:numRef>
          </c:val>
          <c:extLst xmlns:c16r2="http://schemas.microsoft.com/office/drawing/2015/06/chart">
            <c:ext xmlns:c16="http://schemas.microsoft.com/office/drawing/2014/chart" uri="{C3380CC4-5D6E-409C-BE32-E72D297353CC}">
              <c16:uniqueId val="{00000000-05F4-47DC-A612-9EB902A12035}"/>
            </c:ext>
          </c:extLst>
        </c:ser>
        <c:dLbls>
          <c:showLegendKey val="0"/>
          <c:showVal val="0"/>
          <c:showCatName val="0"/>
          <c:showSerName val="0"/>
          <c:showPercent val="0"/>
          <c:showBubbleSize val="0"/>
        </c:dLbls>
        <c:gapWidth val="150"/>
        <c:axId val="535054464"/>
        <c:axId val="535055248"/>
      </c:barChart>
      <c:lineChart>
        <c:grouping val="standard"/>
        <c:varyColors val="0"/>
        <c:ser>
          <c:idx val="1"/>
          <c:order val="1"/>
          <c:tx>
            <c:strRef>
              <c:f>'opatrenie 6'!$A$4</c:f>
              <c:strCache>
                <c:ptCount val="1"/>
                <c:pt idx="0">
                  <c:v>Objem vyrobenej svorkovej elektriny v SR (pravá os)</c:v>
                </c:pt>
              </c:strCache>
            </c:strRef>
          </c:tx>
          <c:spPr>
            <a:ln w="28575" cap="rnd">
              <a:solidFill>
                <a:schemeClr val="tx1"/>
              </a:solidFill>
              <a:round/>
            </a:ln>
            <a:effectLst/>
          </c:spPr>
          <c:marker>
            <c:symbol val="none"/>
          </c:marker>
          <c:dPt>
            <c:idx val="1"/>
            <c:marker>
              <c:symbol val="none"/>
            </c:marker>
            <c:bubble3D val="0"/>
            <c:spPr>
              <a:ln w="28575" cap="rnd">
                <a:solidFill>
                  <a:schemeClr val="tx1"/>
                </a:solidFill>
                <a:round/>
              </a:ln>
              <a:effectLst/>
            </c:spPr>
            <c:extLst xmlns:c16r2="http://schemas.microsoft.com/office/drawing/2015/06/chart">
              <c:ext xmlns:c16="http://schemas.microsoft.com/office/drawing/2014/chart" uri="{C3380CC4-5D6E-409C-BE32-E72D297353CC}">
                <c16:uniqueId val="{00000002-05F4-47DC-A612-9EB902A12035}"/>
              </c:ext>
            </c:extLst>
          </c:dPt>
          <c:dPt>
            <c:idx val="2"/>
            <c:marker>
              <c:symbol val="none"/>
            </c:marker>
            <c:bubble3D val="0"/>
            <c:spPr>
              <a:ln w="28575" cap="rnd">
                <a:solidFill>
                  <a:schemeClr val="tx1"/>
                </a:solidFill>
                <a:round/>
              </a:ln>
              <a:effectLst/>
            </c:spPr>
            <c:extLst xmlns:c16r2="http://schemas.microsoft.com/office/drawing/2015/06/chart">
              <c:ext xmlns:c16="http://schemas.microsoft.com/office/drawing/2014/chart" uri="{C3380CC4-5D6E-409C-BE32-E72D297353CC}">
                <c16:uniqueId val="{00000004-05F4-47DC-A612-9EB902A12035}"/>
              </c:ext>
            </c:extLst>
          </c:dPt>
          <c:dPt>
            <c:idx val="3"/>
            <c:marker>
              <c:symbol val="none"/>
            </c:marker>
            <c:bubble3D val="0"/>
            <c:spPr>
              <a:ln w="28575" cap="rnd">
                <a:solidFill>
                  <a:schemeClr val="tx1"/>
                </a:solidFill>
                <a:round/>
              </a:ln>
              <a:effectLst/>
            </c:spPr>
            <c:extLst xmlns:c16r2="http://schemas.microsoft.com/office/drawing/2015/06/chart">
              <c:ext xmlns:c16="http://schemas.microsoft.com/office/drawing/2014/chart" uri="{C3380CC4-5D6E-409C-BE32-E72D297353CC}">
                <c16:uniqueId val="{00000006-05F4-47DC-A612-9EB902A12035}"/>
              </c:ext>
            </c:extLst>
          </c:dPt>
          <c:dPt>
            <c:idx val="4"/>
            <c:marker>
              <c:symbol val="none"/>
            </c:marker>
            <c:bubble3D val="0"/>
            <c:spPr>
              <a:ln w="28575" cap="rnd">
                <a:solidFill>
                  <a:schemeClr val="tx1"/>
                </a:solidFill>
                <a:round/>
              </a:ln>
              <a:effectLst/>
            </c:spPr>
            <c:extLst xmlns:c16r2="http://schemas.microsoft.com/office/drawing/2015/06/chart">
              <c:ext xmlns:c16="http://schemas.microsoft.com/office/drawing/2014/chart" uri="{C3380CC4-5D6E-409C-BE32-E72D297353CC}">
                <c16:uniqueId val="{00000008-05F4-47DC-A612-9EB902A12035}"/>
              </c:ext>
            </c:extLst>
          </c:dPt>
          <c:dPt>
            <c:idx val="5"/>
            <c:marker>
              <c:symbol val="none"/>
            </c:marker>
            <c:bubble3D val="0"/>
            <c:spPr>
              <a:ln w="28575" cap="rnd">
                <a:solidFill>
                  <a:schemeClr val="tx1"/>
                </a:solidFill>
                <a:round/>
              </a:ln>
              <a:effectLst/>
            </c:spPr>
            <c:extLst xmlns:c16r2="http://schemas.microsoft.com/office/drawing/2015/06/chart">
              <c:ext xmlns:c16="http://schemas.microsoft.com/office/drawing/2014/chart" uri="{C3380CC4-5D6E-409C-BE32-E72D297353CC}">
                <c16:uniqueId val="{0000000A-05F4-47DC-A612-9EB902A12035}"/>
              </c:ext>
            </c:extLst>
          </c:dPt>
          <c:dLbls>
            <c:dLbl>
              <c:idx val="0"/>
              <c:layout>
                <c:manualLayout>
                  <c:x val="-4.648317147378047E-2"/>
                  <c:y val="8.85935769656699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5F4-47DC-A612-9EB902A12035}"/>
                </c:ext>
                <c:ext xmlns:c15="http://schemas.microsoft.com/office/drawing/2012/chart" uri="{CE6537A1-D6FC-4f65-9D91-7224C49458BB}"/>
              </c:extLst>
            </c:dLbl>
            <c:dLbl>
              <c:idx val="1"/>
              <c:layout>
                <c:manualLayout>
                  <c:x val="-3.6697240637195087E-2"/>
                  <c:y val="-6.64451827242525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5F4-47DC-A612-9EB902A12035}"/>
                </c:ext>
                <c:ext xmlns:c15="http://schemas.microsoft.com/office/drawing/2012/chart" uri="{CE6537A1-D6FC-4f65-9D91-7224C49458BB}"/>
              </c:extLst>
            </c:dLbl>
            <c:dLbl>
              <c:idx val="2"/>
              <c:layout>
                <c:manualLayout>
                  <c:x val="-4.6483171473780449E-2"/>
                  <c:y val="-6.64451827242525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5F4-47DC-A612-9EB902A12035}"/>
                </c:ext>
                <c:ext xmlns:c15="http://schemas.microsoft.com/office/drawing/2012/chart" uri="{CE6537A1-D6FC-4f65-9D91-7224C49458BB}"/>
              </c:extLst>
            </c:dLbl>
            <c:dLbl>
              <c:idx val="3"/>
              <c:layout>
                <c:manualLayout>
                  <c:x val="-4.403668876463411E-2"/>
                  <c:y val="5.31561461794019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5F4-47DC-A612-9EB902A12035}"/>
                </c:ext>
                <c:ext xmlns:c15="http://schemas.microsoft.com/office/drawing/2012/chart" uri="{CE6537A1-D6FC-4f65-9D91-7224C49458BB}"/>
              </c:extLst>
            </c:dLbl>
            <c:dLbl>
              <c:idx val="4"/>
              <c:layout>
                <c:manualLayout>
                  <c:x val="-4.8929654182926878E-2"/>
                  <c:y val="7.97342192691029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5F4-47DC-A612-9EB902A12035}"/>
                </c:ext>
                <c:ext xmlns:c15="http://schemas.microsoft.com/office/drawing/2012/chart" uri="{CE6537A1-D6FC-4f65-9D91-7224C49458BB}"/>
              </c:extLst>
            </c:dLbl>
            <c:dLbl>
              <c:idx val="5"/>
              <c:layout>
                <c:manualLayout>
                  <c:x val="-4.6483171473780539E-2"/>
                  <c:y val="3.98671096345514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5F4-47DC-A612-9EB902A12035}"/>
                </c:ext>
                <c:ext xmlns:c15="http://schemas.microsoft.com/office/drawing/2012/chart" uri="{CE6537A1-D6FC-4f65-9D91-7224C49458BB}"/>
              </c:extLst>
            </c:dLbl>
            <c:dLbl>
              <c:idx val="6"/>
              <c:layout>
                <c:manualLayout>
                  <c:x val="-3.6014398953710995E-2"/>
                  <c:y val="-3.79746709277149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5F4-47DC-A612-9EB902A1203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'opatrenie 6'!$B$2:$H$2</c:f>
              <c:numCache>
                <c:formatCode>General</c:formatCode>
                <c:ptCount val="7"/>
                <c:pt idx="0">
                  <c:v>2013</c:v>
                </c:pt>
                <c:pt idx="1">
                  <c:v>2014</c:v>
                </c:pt>
                <c:pt idx="2">
                  <c:v>2015</c:v>
                </c:pt>
                <c:pt idx="3">
                  <c:v>2016</c:v>
                </c:pt>
                <c:pt idx="4">
                  <c:v>2017</c:v>
                </c:pt>
                <c:pt idx="5">
                  <c:v>2018</c:v>
                </c:pt>
                <c:pt idx="6">
                  <c:v>2019</c:v>
                </c:pt>
              </c:numCache>
            </c:numRef>
          </c:cat>
          <c:val>
            <c:numRef>
              <c:f>'opatrenie 6'!$B$4:$H$4</c:f>
              <c:numCache>
                <c:formatCode>#,##0</c:formatCode>
                <c:ptCount val="7"/>
                <c:pt idx="0">
                  <c:v>28590</c:v>
                </c:pt>
                <c:pt idx="1">
                  <c:v>27254</c:v>
                </c:pt>
                <c:pt idx="2">
                  <c:v>27191</c:v>
                </c:pt>
                <c:pt idx="3">
                  <c:v>27451</c:v>
                </c:pt>
                <c:pt idx="4">
                  <c:v>28027</c:v>
                </c:pt>
                <c:pt idx="5">
                  <c:v>27113</c:v>
                </c:pt>
                <c:pt idx="6">
                  <c:v>28536</c:v>
                </c:pt>
              </c:numCache>
            </c:numRef>
          </c:val>
          <c:smooth val="0"/>
          <c:extLst xmlns:c16r2="http://schemas.microsoft.com/office/drawing/2015/06/chart">
            <c:ext xmlns:c16="http://schemas.microsoft.com/office/drawing/2014/chart" uri="{C3380CC4-5D6E-409C-BE32-E72D297353CC}">
              <c16:uniqueId val="{0000000D-05F4-47DC-A612-9EB902A12035}"/>
            </c:ext>
          </c:extLst>
        </c:ser>
        <c:dLbls>
          <c:showLegendKey val="0"/>
          <c:showVal val="0"/>
          <c:showCatName val="0"/>
          <c:showSerName val="0"/>
          <c:showPercent val="0"/>
          <c:showBubbleSize val="0"/>
        </c:dLbls>
        <c:marker val="1"/>
        <c:smooth val="0"/>
        <c:axId val="535055640"/>
        <c:axId val="535054856"/>
      </c:lineChart>
      <c:catAx>
        <c:axId val="53505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35055248"/>
        <c:crosses val="autoZero"/>
        <c:auto val="1"/>
        <c:lblAlgn val="ctr"/>
        <c:lblOffset val="100"/>
        <c:noMultiLvlLbl val="0"/>
      </c:catAx>
      <c:valAx>
        <c:axId val="535055248"/>
        <c:scaling>
          <c:orientation val="minMax"/>
        </c:scaling>
        <c:delete val="0"/>
        <c:axPos val="l"/>
        <c:majorGridlines>
          <c:spPr>
            <a:ln w="9525" cap="flat" cmpd="sng" algn="ctr">
              <a:solidFill>
                <a:schemeClr val="tx1">
                  <a:lumMod val="15000"/>
                  <a:lumOff val="85000"/>
                </a:schemeClr>
              </a:solidFill>
              <a:prstDash val="sysDot"/>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sk-SK" sz="900"/>
                  <a:t>GWh</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35054464"/>
        <c:crosses val="autoZero"/>
        <c:crossBetween val="between"/>
      </c:valAx>
      <c:valAx>
        <c:axId val="535054856"/>
        <c:scaling>
          <c:orientation val="minMax"/>
          <c:min val="2500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sk-SK" sz="900"/>
                  <a:t>GWh</a:t>
                </a:r>
              </a:p>
            </c:rich>
          </c:tx>
          <c:layout>
            <c:manualLayout>
              <c:xMode val="edge"/>
              <c:yMode val="edge"/>
              <c:x val="0.95448482660601963"/>
              <c:y val="0.3386175565263644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35055640"/>
        <c:crosses val="max"/>
        <c:crossBetween val="between"/>
      </c:valAx>
      <c:catAx>
        <c:axId val="535055640"/>
        <c:scaling>
          <c:orientation val="minMax"/>
        </c:scaling>
        <c:delete val="1"/>
        <c:axPos val="b"/>
        <c:numFmt formatCode="General" sourceLinked="1"/>
        <c:majorTickMark val="out"/>
        <c:minorTickMark val="none"/>
        <c:tickLblPos val="nextTo"/>
        <c:crossAx val="535054856"/>
        <c:crossesAt val="15000"/>
        <c:auto val="1"/>
        <c:lblAlgn val="ctr"/>
        <c:lblOffset val="100"/>
        <c:noMultiLvlLbl val="0"/>
      </c:catAx>
      <c:spPr>
        <a:noFill/>
        <a:ln>
          <a:noFill/>
        </a:ln>
        <a:effectLst/>
      </c:spPr>
    </c:plotArea>
    <c:legend>
      <c:legendPos val="r"/>
      <c:layout>
        <c:manualLayout>
          <c:xMode val="edge"/>
          <c:yMode val="edge"/>
          <c:x val="0"/>
          <c:y val="0.83680891829997062"/>
          <c:w val="0.99801950482419421"/>
          <c:h val="0.136508144287802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0163429571303585"/>
          <c:y val="4.9382716049382713E-2"/>
          <c:w val="0.8678101487314086"/>
          <c:h val="0.83381956043373362"/>
        </c:manualLayout>
      </c:layout>
      <c:barChart>
        <c:barDir val="col"/>
        <c:grouping val="clustered"/>
        <c:varyColors val="0"/>
        <c:ser>
          <c:idx val="0"/>
          <c:order val="0"/>
          <c:tx>
            <c:strRef>
              <c:f>'Opatrenie 8'!$B$2</c:f>
              <c:strCache>
                <c:ptCount val="1"/>
                <c:pt idx="0">
                  <c:v>Napojenie obyvateľstva na verejnú kanalizáciu [%]</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'Opatrenie 8'!$A$3:$A$19</c:f>
              <c:numCache>
                <c:formatCode>0</c:formatCode>
                <c:ptCount val="17"/>
                <c:pt idx="0">
                  <c:v>2000</c:v>
                </c:pt>
                <c:pt idx="1">
                  <c:v>2001</c:v>
                </c:pt>
                <c:pt idx="2">
                  <c:v>2003</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'Opatrenie 8'!$B$3:$B$19</c:f>
              <c:numCache>
                <c:formatCode>0.0</c:formatCode>
                <c:ptCount val="17"/>
                <c:pt idx="0">
                  <c:v>54.7</c:v>
                </c:pt>
                <c:pt idx="1">
                  <c:v>55.2</c:v>
                </c:pt>
                <c:pt idx="2">
                  <c:v>55.4</c:v>
                </c:pt>
                <c:pt idx="3">
                  <c:v>56.7</c:v>
                </c:pt>
                <c:pt idx="4">
                  <c:v>57</c:v>
                </c:pt>
                <c:pt idx="5">
                  <c:v>58.2</c:v>
                </c:pt>
                <c:pt idx="6">
                  <c:v>59.1</c:v>
                </c:pt>
                <c:pt idx="7">
                  <c:v>59.4</c:v>
                </c:pt>
                <c:pt idx="8">
                  <c:v>60.4</c:v>
                </c:pt>
                <c:pt idx="9">
                  <c:v>61.58</c:v>
                </c:pt>
                <c:pt idx="10">
                  <c:v>62.4</c:v>
                </c:pt>
                <c:pt idx="11">
                  <c:v>63.4</c:v>
                </c:pt>
                <c:pt idx="12">
                  <c:v>64.7</c:v>
                </c:pt>
                <c:pt idx="13">
                  <c:v>65.2</c:v>
                </c:pt>
                <c:pt idx="14">
                  <c:v>66.400000000000006</c:v>
                </c:pt>
                <c:pt idx="15">
                  <c:v>67.599999999999994</c:v>
                </c:pt>
                <c:pt idx="16">
                  <c:v>68.400000000000006</c:v>
                </c:pt>
              </c:numCache>
            </c:numRef>
          </c:val>
          <c:extLst xmlns:c16r2="http://schemas.microsoft.com/office/drawing/2015/06/chart">
            <c:ext xmlns:c16="http://schemas.microsoft.com/office/drawing/2014/chart" uri="{C3380CC4-5D6E-409C-BE32-E72D297353CC}">
              <c16:uniqueId val="{00000000-B7E9-474F-9C9C-66BC20AEAB4C}"/>
            </c:ext>
          </c:extLst>
        </c:ser>
        <c:dLbls>
          <c:showLegendKey val="0"/>
          <c:showVal val="0"/>
          <c:showCatName val="0"/>
          <c:showSerName val="0"/>
          <c:showPercent val="0"/>
          <c:showBubbleSize val="0"/>
        </c:dLbls>
        <c:gapWidth val="219"/>
        <c:overlap val="-27"/>
        <c:axId val="504691624"/>
        <c:axId val="504692016"/>
      </c:barChart>
      <c:catAx>
        <c:axId val="504691624"/>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504692016"/>
        <c:crossesAt val="0"/>
        <c:auto val="1"/>
        <c:lblAlgn val="ctr"/>
        <c:lblOffset val="100"/>
        <c:noMultiLvlLbl val="0"/>
      </c:catAx>
      <c:valAx>
        <c:axId val="504692016"/>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US">
                    <a:solidFill>
                      <a:sysClr val="windowText" lastClr="000000"/>
                    </a:solidFill>
                  </a:rPr>
                  <a:t>%</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0" baseline="0">
                <a:solidFill>
                  <a:sysClr val="windowText" lastClr="000000"/>
                </a:solidFill>
                <a:latin typeface="Arial Narrow" panose="020B0606020202030204" pitchFamily="34" charset="0"/>
                <a:ea typeface="+mn-ea"/>
                <a:cs typeface="+mn-cs"/>
              </a:defRPr>
            </a:pPr>
            <a:endParaRPr lang="sk-SK"/>
          </a:p>
        </c:txPr>
        <c:crossAx val="504691624"/>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Narrow" panose="020B0606020202030204" pitchFamily="34" charset="0"/>
        </a:defRPr>
      </a:pPr>
      <a:endParaRPr lang="sk-SK"/>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22003499562555"/>
          <c:y val="5.0925925925925923E-2"/>
          <c:w val="0.77337948381452326"/>
          <c:h val="0.6093036803001507"/>
        </c:manualLayout>
      </c:layout>
      <c:barChart>
        <c:barDir val="col"/>
        <c:grouping val="clustered"/>
        <c:varyColors val="0"/>
        <c:ser>
          <c:idx val="0"/>
          <c:order val="0"/>
          <c:tx>
            <c:strRef>
              <c:f>'Opatrenie 11a'!$D$1</c:f>
              <c:strCache>
                <c:ptCount val="1"/>
                <c:pt idx="0">
                  <c:v>Priemerný výnos (€)</c:v>
                </c:pt>
              </c:strCache>
            </c:strRef>
          </c:tx>
          <c:spPr>
            <a:solidFill>
              <a:srgbClr val="00B0F0"/>
            </a:solidFill>
            <a:ln>
              <a:noFill/>
            </a:ln>
            <a:effectLst/>
          </c:spPr>
          <c:invertIfNegative val="0"/>
          <c:cat>
            <c:strRef>
              <c:f>'Opatrenie 11a'!$B$2:$B$228</c:f>
              <c:strCache>
                <c:ptCount val="36"/>
                <c:pt idx="0">
                  <c:v>Január 17</c:v>
                </c:pt>
                <c:pt idx="1">
                  <c:v>Február 17</c:v>
                </c:pt>
                <c:pt idx="2">
                  <c:v>Marec 17</c:v>
                </c:pt>
                <c:pt idx="3">
                  <c:v>Apríl 17</c:v>
                </c:pt>
                <c:pt idx="4">
                  <c:v>Máj 17</c:v>
                </c:pt>
                <c:pt idx="5">
                  <c:v>Jún 17</c:v>
                </c:pt>
                <c:pt idx="6">
                  <c:v>Júl 17</c:v>
                </c:pt>
                <c:pt idx="7">
                  <c:v>August 17</c:v>
                </c:pt>
                <c:pt idx="8">
                  <c:v>September 17</c:v>
                </c:pt>
                <c:pt idx="9">
                  <c:v>Október 17</c:v>
                </c:pt>
                <c:pt idx="10">
                  <c:v>November 17</c:v>
                </c:pt>
                <c:pt idx="11">
                  <c:v>December 17</c:v>
                </c:pt>
                <c:pt idx="12">
                  <c:v>Január 18</c:v>
                </c:pt>
                <c:pt idx="13">
                  <c:v>Február 18</c:v>
                </c:pt>
                <c:pt idx="14">
                  <c:v>Marec 18</c:v>
                </c:pt>
                <c:pt idx="15">
                  <c:v>Apríl 18</c:v>
                </c:pt>
                <c:pt idx="16">
                  <c:v>Máj 18</c:v>
                </c:pt>
                <c:pt idx="17">
                  <c:v>Jún 18</c:v>
                </c:pt>
                <c:pt idx="18">
                  <c:v>Júl 18</c:v>
                </c:pt>
                <c:pt idx="19">
                  <c:v>August 18</c:v>
                </c:pt>
                <c:pt idx="20">
                  <c:v>September 18</c:v>
                </c:pt>
                <c:pt idx="21">
                  <c:v>Október 18</c:v>
                </c:pt>
                <c:pt idx="22">
                  <c:v>November 18</c:v>
                </c:pt>
                <c:pt idx="23">
                  <c:v>December 18</c:v>
                </c:pt>
                <c:pt idx="24">
                  <c:v>Január 19</c:v>
                </c:pt>
                <c:pt idx="25">
                  <c:v>Február 19</c:v>
                </c:pt>
                <c:pt idx="26">
                  <c:v>Marec 19</c:v>
                </c:pt>
                <c:pt idx="27">
                  <c:v>Apríl 19</c:v>
                </c:pt>
                <c:pt idx="28">
                  <c:v>Máj 19</c:v>
                </c:pt>
                <c:pt idx="29">
                  <c:v>Jún 19</c:v>
                </c:pt>
                <c:pt idx="30">
                  <c:v>Júl 19</c:v>
                </c:pt>
                <c:pt idx="31">
                  <c:v>August 19</c:v>
                </c:pt>
                <c:pt idx="32">
                  <c:v>September 19</c:v>
                </c:pt>
                <c:pt idx="33">
                  <c:v>Október 19</c:v>
                </c:pt>
                <c:pt idx="34">
                  <c:v>November 19</c:v>
                </c:pt>
                <c:pt idx="35">
                  <c:v>December 19</c:v>
                </c:pt>
              </c:strCache>
            </c:strRef>
          </c:cat>
          <c:val>
            <c:numRef>
              <c:f>'Opatrenie 11a'!$D$2:$D$228</c:f>
              <c:numCache>
                <c:formatCode>#,##0</c:formatCode>
                <c:ptCount val="36"/>
                <c:pt idx="0">
                  <c:v>587859.09090909094</c:v>
                </c:pt>
                <c:pt idx="1">
                  <c:v>588129.16666666663</c:v>
                </c:pt>
                <c:pt idx="2">
                  <c:v>584111.5384615385</c:v>
                </c:pt>
                <c:pt idx="3">
                  <c:v>547609.09090909094</c:v>
                </c:pt>
                <c:pt idx="4">
                  <c:v>527013.63636363635</c:v>
                </c:pt>
                <c:pt idx="5">
                  <c:v>569981.81818181823</c:v>
                </c:pt>
                <c:pt idx="6">
                  <c:v>603661.5384615385</c:v>
                </c:pt>
                <c:pt idx="7">
                  <c:v>324443.75</c:v>
                </c:pt>
                <c:pt idx="8">
                  <c:v>774971.25</c:v>
                </c:pt>
                <c:pt idx="9">
                  <c:v>772088.4615384615</c:v>
                </c:pt>
                <c:pt idx="10">
                  <c:v>809780.71428571432</c:v>
                </c:pt>
                <c:pt idx="11">
                  <c:v>770676.66666666663</c:v>
                </c:pt>
                <c:pt idx="12">
                  <c:v>932444.09090909094</c:v>
                </c:pt>
                <c:pt idx="13">
                  <c:v>1040573.75</c:v>
                </c:pt>
                <c:pt idx="14">
                  <c:v>1256140.4166666667</c:v>
                </c:pt>
                <c:pt idx="15">
                  <c:v>1593814.5833333333</c:v>
                </c:pt>
                <c:pt idx="16">
                  <c:v>1497923.5</c:v>
                </c:pt>
                <c:pt idx="17">
                  <c:v>1692662.9166666667</c:v>
                </c:pt>
                <c:pt idx="18">
                  <c:v>1694495</c:v>
                </c:pt>
                <c:pt idx="19">
                  <c:v>1023412.5</c:v>
                </c:pt>
                <c:pt idx="20">
                  <c:v>2227142.9166666665</c:v>
                </c:pt>
                <c:pt idx="21">
                  <c:v>2172975.7142857141</c:v>
                </c:pt>
                <c:pt idx="22">
                  <c:v>1946077.5</c:v>
                </c:pt>
                <c:pt idx="23">
                  <c:v>2228222.8571428573</c:v>
                </c:pt>
                <c:pt idx="24">
                  <c:v>1562188.8461538462</c:v>
                </c:pt>
                <c:pt idx="25">
                  <c:v>1542581.25</c:v>
                </c:pt>
                <c:pt idx="26">
                  <c:v>1481525.7692307692</c:v>
                </c:pt>
                <c:pt idx="27">
                  <c:v>1855988.076923077</c:v>
                </c:pt>
                <c:pt idx="28">
                  <c:v>1706541.8181818181</c:v>
                </c:pt>
                <c:pt idx="29">
                  <c:v>1882416.5</c:v>
                </c:pt>
                <c:pt idx="30">
                  <c:v>1694495</c:v>
                </c:pt>
                <c:pt idx="31">
                  <c:v>1023412.5</c:v>
                </c:pt>
                <c:pt idx="32">
                  <c:v>2227142.9166666665</c:v>
                </c:pt>
                <c:pt idx="33">
                  <c:v>2172975.7142857141</c:v>
                </c:pt>
                <c:pt idx="34">
                  <c:v>1670288.4615384615</c:v>
                </c:pt>
                <c:pt idx="35">
                  <c:v>1815375</c:v>
                </c:pt>
              </c:numCache>
            </c:numRef>
          </c:val>
          <c:extLst xmlns:c16r2="http://schemas.microsoft.com/office/drawing/2015/06/chart">
            <c:ext xmlns:c16="http://schemas.microsoft.com/office/drawing/2014/chart" uri="{C3380CC4-5D6E-409C-BE32-E72D297353CC}">
              <c16:uniqueId val="{00000000-E362-4E98-A55D-12BD59A75DBE}"/>
            </c:ext>
          </c:extLst>
        </c:ser>
        <c:dLbls>
          <c:showLegendKey val="0"/>
          <c:showVal val="0"/>
          <c:showCatName val="0"/>
          <c:showSerName val="0"/>
          <c:showPercent val="0"/>
          <c:showBubbleSize val="0"/>
        </c:dLbls>
        <c:gapWidth val="219"/>
        <c:axId val="504692800"/>
        <c:axId val="504693584"/>
      </c:barChart>
      <c:lineChart>
        <c:grouping val="standard"/>
        <c:varyColors val="0"/>
        <c:ser>
          <c:idx val="1"/>
          <c:order val="1"/>
          <c:tx>
            <c:strRef>
              <c:f>'Opatrenie 11a'!$F$1</c:f>
              <c:strCache>
                <c:ptCount val="1"/>
                <c:pt idx="0">
                  <c:v>Priemerná cena (€/tCO2)</c:v>
                </c:pt>
              </c:strCache>
            </c:strRef>
          </c:tx>
          <c:spPr>
            <a:ln w="28575" cap="rnd">
              <a:solidFill>
                <a:schemeClr val="tx1"/>
              </a:solidFill>
              <a:round/>
            </a:ln>
            <a:effectLst/>
          </c:spPr>
          <c:marker>
            <c:symbol val="none"/>
          </c:marker>
          <c:cat>
            <c:strRef>
              <c:f>'Opatrenie 11a'!$B$2:$B$228</c:f>
              <c:strCache>
                <c:ptCount val="36"/>
                <c:pt idx="0">
                  <c:v>Január 17</c:v>
                </c:pt>
                <c:pt idx="1">
                  <c:v>Február 17</c:v>
                </c:pt>
                <c:pt idx="2">
                  <c:v>Marec 17</c:v>
                </c:pt>
                <c:pt idx="3">
                  <c:v>Apríl 17</c:v>
                </c:pt>
                <c:pt idx="4">
                  <c:v>Máj 17</c:v>
                </c:pt>
                <c:pt idx="5">
                  <c:v>Jún 17</c:v>
                </c:pt>
                <c:pt idx="6">
                  <c:v>Júl 17</c:v>
                </c:pt>
                <c:pt idx="7">
                  <c:v>August 17</c:v>
                </c:pt>
                <c:pt idx="8">
                  <c:v>September 17</c:v>
                </c:pt>
                <c:pt idx="9">
                  <c:v>Október 17</c:v>
                </c:pt>
                <c:pt idx="10">
                  <c:v>November 17</c:v>
                </c:pt>
                <c:pt idx="11">
                  <c:v>December 17</c:v>
                </c:pt>
                <c:pt idx="12">
                  <c:v>Január 18</c:v>
                </c:pt>
                <c:pt idx="13">
                  <c:v>Február 18</c:v>
                </c:pt>
                <c:pt idx="14">
                  <c:v>Marec 18</c:v>
                </c:pt>
                <c:pt idx="15">
                  <c:v>Apríl 18</c:v>
                </c:pt>
                <c:pt idx="16">
                  <c:v>Máj 18</c:v>
                </c:pt>
                <c:pt idx="17">
                  <c:v>Jún 18</c:v>
                </c:pt>
                <c:pt idx="18">
                  <c:v>Júl 18</c:v>
                </c:pt>
                <c:pt idx="19">
                  <c:v>August 18</c:v>
                </c:pt>
                <c:pt idx="20">
                  <c:v>September 18</c:v>
                </c:pt>
                <c:pt idx="21">
                  <c:v>Október 18</c:v>
                </c:pt>
                <c:pt idx="22">
                  <c:v>November 18</c:v>
                </c:pt>
                <c:pt idx="23">
                  <c:v>December 18</c:v>
                </c:pt>
                <c:pt idx="24">
                  <c:v>Január 19</c:v>
                </c:pt>
                <c:pt idx="25">
                  <c:v>Február 19</c:v>
                </c:pt>
                <c:pt idx="26">
                  <c:v>Marec 19</c:v>
                </c:pt>
                <c:pt idx="27">
                  <c:v>Apríl 19</c:v>
                </c:pt>
                <c:pt idx="28">
                  <c:v>Máj 19</c:v>
                </c:pt>
                <c:pt idx="29">
                  <c:v>Jún 19</c:v>
                </c:pt>
                <c:pt idx="30">
                  <c:v>Júl 19</c:v>
                </c:pt>
                <c:pt idx="31">
                  <c:v>August 19</c:v>
                </c:pt>
                <c:pt idx="32">
                  <c:v>September 19</c:v>
                </c:pt>
                <c:pt idx="33">
                  <c:v>Október 19</c:v>
                </c:pt>
                <c:pt idx="34">
                  <c:v>November 19</c:v>
                </c:pt>
                <c:pt idx="35">
                  <c:v>December 19</c:v>
                </c:pt>
              </c:strCache>
            </c:strRef>
          </c:cat>
          <c:val>
            <c:numRef>
              <c:f>'Opatrenie 11a'!$F$2:$F$228</c:f>
              <c:numCache>
                <c:formatCode>0.00</c:formatCode>
                <c:ptCount val="36"/>
                <c:pt idx="0">
                  <c:v>5.1118181818181823</c:v>
                </c:pt>
                <c:pt idx="1">
                  <c:v>5.1141666666666667</c:v>
                </c:pt>
                <c:pt idx="2">
                  <c:v>5.0792307692307697</c:v>
                </c:pt>
                <c:pt idx="3">
                  <c:v>4.7618181818181817</c:v>
                </c:pt>
                <c:pt idx="4">
                  <c:v>4.582727272727273</c:v>
                </c:pt>
                <c:pt idx="5" formatCode="#,##0.00">
                  <c:v>4.9563636363636361</c:v>
                </c:pt>
                <c:pt idx="6" formatCode="#,##0.00">
                  <c:v>5.2492307692307696</c:v>
                </c:pt>
                <c:pt idx="7" formatCode="#,##0.00">
                  <c:v>5.6424999999999992</c:v>
                </c:pt>
                <c:pt idx="8" formatCode="#,##0.00">
                  <c:v>6.708333333333333</c:v>
                </c:pt>
                <c:pt idx="9" formatCode="#,##0.00">
                  <c:v>7.2661538461538457</c:v>
                </c:pt>
                <c:pt idx="10" formatCode="#,##0.00">
                  <c:v>7.5535714285714288</c:v>
                </c:pt>
                <c:pt idx="11" formatCode="#,##0.00">
                  <c:v>7.2966666666666669</c:v>
                </c:pt>
                <c:pt idx="12" formatCode="#,##0.00">
                  <c:v>8.3627272727272715</c:v>
                </c:pt>
                <c:pt idx="13" formatCode="#,##0.00">
                  <c:v>9.3325000000000014</c:v>
                </c:pt>
                <c:pt idx="14" formatCode="#,##0.00">
                  <c:v>11.265833333333333</c:v>
                </c:pt>
                <c:pt idx="15" formatCode="#,##0.00">
                  <c:v>13.219166666666668</c:v>
                </c:pt>
                <c:pt idx="16" formatCode="#,##0.00">
                  <c:v>14.972999999999999</c:v>
                </c:pt>
                <c:pt idx="17" formatCode="#,##0.00">
                  <c:v>15.180833333333332</c:v>
                </c:pt>
                <c:pt idx="18" formatCode="#,##0.00">
                  <c:v>16.240666666666666</c:v>
                </c:pt>
                <c:pt idx="19" formatCode="#,##0.00">
                  <c:v>18.607500000000002</c:v>
                </c:pt>
                <c:pt idx="20" formatCode="#,##0.00">
                  <c:v>21.909166666666668</c:v>
                </c:pt>
                <c:pt idx="21" formatCode="#,##0.00">
                  <c:v>19.488571428571426</c:v>
                </c:pt>
                <c:pt idx="22" formatCode="#,##0.00">
                  <c:v>18.863571428571429</c:v>
                </c:pt>
                <c:pt idx="23" formatCode="#,##0.00">
                  <c:v>20.748571428571427</c:v>
                </c:pt>
                <c:pt idx="24" formatCode="#,##0.00">
                  <c:v>22.973076923076921</c:v>
                </c:pt>
                <c:pt idx="25" formatCode="#,##0.00">
                  <c:v>20.987500000000001</c:v>
                </c:pt>
                <c:pt idx="26" formatCode="#,##0.00">
                  <c:v>21.813076923076924</c:v>
                </c:pt>
                <c:pt idx="27" formatCode="#,##0.00">
                  <c:v>25.251538461538466</c:v>
                </c:pt>
                <c:pt idx="28" formatCode="#,##0.00">
                  <c:v>25.578181818181818</c:v>
                </c:pt>
                <c:pt idx="29" formatCode="#,##0.00">
                  <c:v>24.928999999999998</c:v>
                </c:pt>
                <c:pt idx="30" formatCode="#,##0.00">
                  <c:v>16.240666666666666</c:v>
                </c:pt>
                <c:pt idx="31" formatCode="#,##0.00">
                  <c:v>18.607500000000002</c:v>
                </c:pt>
                <c:pt idx="32" formatCode="#,##0.00">
                  <c:v>21.909166666666668</c:v>
                </c:pt>
                <c:pt idx="33" formatCode="#,##0.00">
                  <c:v>19.488571428571426</c:v>
                </c:pt>
                <c:pt idx="34" formatCode="#,##0.00">
                  <c:v>24.60923076923077</c:v>
                </c:pt>
                <c:pt idx="35" formatCode="#,##0.00">
                  <c:v>24.534285714285716</c:v>
                </c:pt>
              </c:numCache>
            </c:numRef>
          </c:val>
          <c:smooth val="0"/>
          <c:extLst xmlns:c16r2="http://schemas.microsoft.com/office/drawing/2015/06/chart">
            <c:ext xmlns:c16="http://schemas.microsoft.com/office/drawing/2014/chart" uri="{C3380CC4-5D6E-409C-BE32-E72D297353CC}">
              <c16:uniqueId val="{00000001-E362-4E98-A55D-12BD59A75DBE}"/>
            </c:ext>
          </c:extLst>
        </c:ser>
        <c:dLbls>
          <c:showLegendKey val="0"/>
          <c:showVal val="0"/>
          <c:showCatName val="0"/>
          <c:showSerName val="0"/>
          <c:showPercent val="0"/>
          <c:showBubbleSize val="0"/>
        </c:dLbls>
        <c:marker val="1"/>
        <c:smooth val="0"/>
        <c:axId val="504693976"/>
        <c:axId val="504693192"/>
      </c:lineChart>
      <c:catAx>
        <c:axId val="50469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04693584"/>
        <c:crosses val="autoZero"/>
        <c:auto val="1"/>
        <c:lblAlgn val="ctr"/>
        <c:lblOffset val="100"/>
        <c:noMultiLvlLbl val="0"/>
      </c:catAx>
      <c:valAx>
        <c:axId val="504693584"/>
        <c:scaling>
          <c:orientation val="minMax"/>
        </c:scaling>
        <c:delete val="0"/>
        <c:axPos val="l"/>
        <c:majorGridlines>
          <c:spPr>
            <a:ln w="9525" cap="flat" cmpd="sng" algn="ctr">
              <a:solidFill>
                <a:schemeClr val="tx1">
                  <a:lumMod val="15000"/>
                  <a:lumOff val="85000"/>
                </a:schemeClr>
              </a:solidFill>
              <a:prstDash val="sysDot"/>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04692800"/>
        <c:crosses val="autoZero"/>
        <c:crossBetween val="between"/>
      </c:valAx>
      <c:valAx>
        <c:axId val="504693192"/>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04693976"/>
        <c:crosses val="max"/>
        <c:crossBetween val="between"/>
      </c:valAx>
      <c:catAx>
        <c:axId val="504693976"/>
        <c:scaling>
          <c:orientation val="minMax"/>
        </c:scaling>
        <c:delete val="1"/>
        <c:axPos val="b"/>
        <c:numFmt formatCode="General" sourceLinked="1"/>
        <c:majorTickMark val="out"/>
        <c:minorTickMark val="none"/>
        <c:tickLblPos val="nextTo"/>
        <c:crossAx val="504693192"/>
        <c:crosses val="autoZero"/>
        <c:auto val="1"/>
        <c:lblAlgn val="ctr"/>
        <c:lblOffset val="100"/>
        <c:noMultiLvlLbl val="0"/>
      </c:catAx>
      <c:spPr>
        <a:noFill/>
        <a:ln>
          <a:noFill/>
        </a:ln>
        <a:effectLst/>
      </c:spPr>
    </c:plotArea>
    <c:legend>
      <c:legendPos val="r"/>
      <c:layout>
        <c:manualLayout>
          <c:xMode val="edge"/>
          <c:yMode val="edge"/>
          <c:x val="8.4972222222222227E-2"/>
          <c:y val="0.90586659426192417"/>
          <c:w val="0.88169444444444434"/>
          <c:h val="7.83708932935106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'Výnimky Všetky ZP'!$M$9</c:f>
              <c:strCache>
                <c:ptCount val="1"/>
                <c:pt idx="0">
                  <c:v>Dôvera</c:v>
                </c:pt>
              </c:strCache>
            </c:strRef>
          </c:tx>
          <c:spPr>
            <a:ln w="28575" cap="rnd">
              <a:solidFill>
                <a:srgbClr val="00B0F0"/>
              </a:solidFill>
              <a:round/>
            </a:ln>
            <a:effectLst/>
          </c:spPr>
          <c:marker>
            <c:symbol val="none"/>
          </c:marker>
          <c:cat>
            <c:numRef>
              <c:f>'Výnimky Všetky ZP'!$N$8:$S$8</c:f>
              <c:numCache>
                <c:formatCode>General</c:formatCode>
                <c:ptCount val="6"/>
                <c:pt idx="0">
                  <c:v>2014</c:v>
                </c:pt>
                <c:pt idx="1">
                  <c:v>2015</c:v>
                </c:pt>
                <c:pt idx="2">
                  <c:v>2016</c:v>
                </c:pt>
                <c:pt idx="3">
                  <c:v>2017</c:v>
                </c:pt>
                <c:pt idx="4">
                  <c:v>2018</c:v>
                </c:pt>
                <c:pt idx="5">
                  <c:v>2019</c:v>
                </c:pt>
              </c:numCache>
            </c:numRef>
          </c:cat>
          <c:val>
            <c:numRef>
              <c:f>'Výnimky Všetky ZP'!$N$9:$S$9</c:f>
              <c:numCache>
                <c:formatCode>0</c:formatCode>
                <c:ptCount val="6"/>
                <c:pt idx="0">
                  <c:v>117.63669579026603</c:v>
                </c:pt>
                <c:pt idx="1">
                  <c:v>104.28781582805136</c:v>
                </c:pt>
                <c:pt idx="2">
                  <c:v>117.66281502471284</c:v>
                </c:pt>
                <c:pt idx="3">
                  <c:v>120.54215517612998</c:v>
                </c:pt>
                <c:pt idx="4">
                  <c:v>119.96799868038148</c:v>
                </c:pt>
                <c:pt idx="5">
                  <c:v>114.11261312577102</c:v>
                </c:pt>
              </c:numCache>
            </c:numRef>
          </c:val>
          <c:smooth val="0"/>
          <c:extLst xmlns:c16r2="http://schemas.microsoft.com/office/drawing/2015/06/chart">
            <c:ext xmlns:c16="http://schemas.microsoft.com/office/drawing/2014/chart" uri="{C3380CC4-5D6E-409C-BE32-E72D297353CC}">
              <c16:uniqueId val="{00000000-F939-4840-8572-0476C45D80DA}"/>
            </c:ext>
          </c:extLst>
        </c:ser>
        <c:ser>
          <c:idx val="1"/>
          <c:order val="1"/>
          <c:tx>
            <c:strRef>
              <c:f>'Výnimky Všetky ZP'!$M$10</c:f>
              <c:strCache>
                <c:ptCount val="1"/>
                <c:pt idx="0">
                  <c:v>Union</c:v>
                </c:pt>
              </c:strCache>
            </c:strRef>
          </c:tx>
          <c:spPr>
            <a:ln w="28575" cap="rnd">
              <a:solidFill>
                <a:schemeClr val="accent3"/>
              </a:solidFill>
              <a:round/>
            </a:ln>
            <a:effectLst/>
          </c:spPr>
          <c:marker>
            <c:symbol val="none"/>
          </c:marker>
          <c:cat>
            <c:numRef>
              <c:f>'Výnimky Všetky ZP'!$N$8:$S$8</c:f>
              <c:numCache>
                <c:formatCode>General</c:formatCode>
                <c:ptCount val="6"/>
                <c:pt idx="0">
                  <c:v>2014</c:v>
                </c:pt>
                <c:pt idx="1">
                  <c:v>2015</c:v>
                </c:pt>
                <c:pt idx="2">
                  <c:v>2016</c:v>
                </c:pt>
                <c:pt idx="3">
                  <c:v>2017</c:v>
                </c:pt>
                <c:pt idx="4">
                  <c:v>2018</c:v>
                </c:pt>
                <c:pt idx="5">
                  <c:v>2019</c:v>
                </c:pt>
              </c:numCache>
            </c:numRef>
          </c:cat>
          <c:val>
            <c:numRef>
              <c:f>'Výnimky Všetky ZP'!$N$10:$S$10</c:f>
              <c:numCache>
                <c:formatCode>0</c:formatCode>
                <c:ptCount val="6"/>
                <c:pt idx="0">
                  <c:v>120.81555682617875</c:v>
                </c:pt>
                <c:pt idx="1">
                  <c:v>114.04528572977662</c:v>
                </c:pt>
                <c:pt idx="2">
                  <c:v>104.90405611456555</c:v>
                </c:pt>
                <c:pt idx="3">
                  <c:v>98.807367149758448</c:v>
                </c:pt>
                <c:pt idx="4">
                  <c:v>113.19321703642333</c:v>
                </c:pt>
                <c:pt idx="5">
                  <c:v>115.81091232351861</c:v>
                </c:pt>
              </c:numCache>
            </c:numRef>
          </c:val>
          <c:smooth val="0"/>
          <c:extLst xmlns:c16r2="http://schemas.microsoft.com/office/drawing/2015/06/chart">
            <c:ext xmlns:c16="http://schemas.microsoft.com/office/drawing/2014/chart" uri="{C3380CC4-5D6E-409C-BE32-E72D297353CC}">
              <c16:uniqueId val="{00000001-F939-4840-8572-0476C45D80DA}"/>
            </c:ext>
          </c:extLst>
        </c:ser>
        <c:ser>
          <c:idx val="2"/>
          <c:order val="2"/>
          <c:tx>
            <c:strRef>
              <c:f>'Výnimky Všetky ZP'!$M$11</c:f>
              <c:strCache>
                <c:ptCount val="1"/>
                <c:pt idx="0">
                  <c:v>VšZP</c:v>
                </c:pt>
              </c:strCache>
            </c:strRef>
          </c:tx>
          <c:spPr>
            <a:ln w="28575" cap="rnd">
              <a:solidFill>
                <a:srgbClr val="002060"/>
              </a:solidFill>
              <a:round/>
            </a:ln>
            <a:effectLst/>
          </c:spPr>
          <c:marker>
            <c:symbol val="none"/>
          </c:marker>
          <c:cat>
            <c:numRef>
              <c:f>'Výnimky Všetky ZP'!$N$8:$S$8</c:f>
              <c:numCache>
                <c:formatCode>General</c:formatCode>
                <c:ptCount val="6"/>
                <c:pt idx="0">
                  <c:v>2014</c:v>
                </c:pt>
                <c:pt idx="1">
                  <c:v>2015</c:v>
                </c:pt>
                <c:pt idx="2">
                  <c:v>2016</c:v>
                </c:pt>
                <c:pt idx="3">
                  <c:v>2017</c:v>
                </c:pt>
                <c:pt idx="4">
                  <c:v>2018</c:v>
                </c:pt>
                <c:pt idx="5">
                  <c:v>2019</c:v>
                </c:pt>
              </c:numCache>
            </c:numRef>
          </c:cat>
          <c:val>
            <c:numRef>
              <c:f>'Výnimky Všetky ZP'!$N$11:$S$11</c:f>
              <c:numCache>
                <c:formatCode>0</c:formatCode>
                <c:ptCount val="6"/>
                <c:pt idx="0">
                  <c:v>124.54618658327604</c:v>
                </c:pt>
                <c:pt idx="1">
                  <c:v>127.75335754958863</c:v>
                </c:pt>
                <c:pt idx="2">
                  <c:v>125.36245743770711</c:v>
                </c:pt>
                <c:pt idx="3">
                  <c:v>121.25440064191059</c:v>
                </c:pt>
                <c:pt idx="4">
                  <c:v>123.236625918458</c:v>
                </c:pt>
                <c:pt idx="5">
                  <c:v>130.26201214365602</c:v>
                </c:pt>
              </c:numCache>
            </c:numRef>
          </c:val>
          <c:smooth val="0"/>
          <c:extLst xmlns:c16r2="http://schemas.microsoft.com/office/drawing/2015/06/chart">
            <c:ext xmlns:c16="http://schemas.microsoft.com/office/drawing/2014/chart" uri="{C3380CC4-5D6E-409C-BE32-E72D297353CC}">
              <c16:uniqueId val="{00000002-F939-4840-8572-0476C45D80DA}"/>
            </c:ext>
          </c:extLst>
        </c:ser>
        <c:dLbls>
          <c:showLegendKey val="0"/>
          <c:showVal val="0"/>
          <c:showCatName val="0"/>
          <c:showSerName val="0"/>
          <c:showPercent val="0"/>
          <c:showBubbleSize val="0"/>
        </c:dLbls>
        <c:smooth val="0"/>
        <c:axId val="226714376"/>
        <c:axId val="226713592"/>
      </c:lineChart>
      <c:catAx>
        <c:axId val="226714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26713592"/>
        <c:crosses val="autoZero"/>
        <c:auto val="1"/>
        <c:lblAlgn val="ctr"/>
        <c:lblOffset val="100"/>
        <c:noMultiLvlLbl val="0"/>
      </c:catAx>
      <c:valAx>
        <c:axId val="226713592"/>
        <c:scaling>
          <c:orientation val="minMax"/>
          <c:max val="135"/>
          <c:min val="95"/>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sk-SK"/>
                  <a:t>Počet schválených žiadostí na 100 pacientov</a:t>
                </a:r>
              </a:p>
            </c:rich>
          </c:tx>
          <c:layout>
            <c:manualLayout>
              <c:xMode val="edge"/>
              <c:yMode val="edge"/>
              <c:x val="3.0289121262074184E-2"/>
              <c:y val="0.26015738842959191"/>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26714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'TAB_porad4 (2)'!$B$2</c:f>
              <c:strCache>
                <c:ptCount val="1"/>
                <c:pt idx="0">
                  <c:v>Vstup</c:v>
                </c:pt>
              </c:strCache>
            </c:strRef>
          </c:tx>
          <c:spPr>
            <a:solidFill>
              <a:schemeClr val="bg1">
                <a:lumMod val="65000"/>
              </a:schemeClr>
            </a:solidFill>
            <a:ln>
              <a:noFill/>
            </a:ln>
            <a:effectLst/>
          </c:spPr>
          <c:invertIfNegative val="0"/>
          <c:cat>
            <c:strRef>
              <c:f>'TAB_porad4 (2)'!$A$3:$A$18</c:f>
              <c:strCache>
                <c:ptCount val="5"/>
                <c:pt idx="0">
                  <c:v>(D.1) Dokáže efektívne absolvovať pracovný pohovor </c:v>
                </c:pt>
                <c:pt idx="1">
                  <c:v>(D.4) Kontaktoval/a osobne za posledný mesiac zamestnávateľov v regióne (vrátane podporovaného zamestnávania) </c:v>
                </c:pt>
                <c:pt idx="2">
                  <c:v>(B.2) Dokáže pripraviť relevantné písomnosti pre hľadanie zamestnania (motivačný list, životopis) </c:v>
                </c:pt>
                <c:pt idx="3">
                  <c:v>(C.1) Vie, čo musí urobiť pre to, aby sa zamestnal/a (akčný plán) </c:v>
                </c:pt>
                <c:pt idx="4">
                  <c:v>(B.1) Dokáže popísať vlastné silné stránky </c:v>
                </c:pt>
              </c:strCache>
            </c:strRef>
          </c:cat>
          <c:val>
            <c:numRef>
              <c:f>'TAB_porad4 (2)'!$B$3:$B$18</c:f>
              <c:numCache>
                <c:formatCode>0.00%</c:formatCode>
                <c:ptCount val="5"/>
                <c:pt idx="0">
                  <c:v>0.28749999999999998</c:v>
                </c:pt>
                <c:pt idx="1">
                  <c:v>0.30730000000000002</c:v>
                </c:pt>
                <c:pt idx="2">
                  <c:v>0.28639999999999999</c:v>
                </c:pt>
                <c:pt idx="3">
                  <c:v>0.21579999999999999</c:v>
                </c:pt>
                <c:pt idx="4">
                  <c:v>0.34420000000000001</c:v>
                </c:pt>
              </c:numCache>
            </c:numRef>
          </c:val>
          <c:extLst xmlns:c16r2="http://schemas.microsoft.com/office/drawing/2015/06/chart">
            <c:ext xmlns:c16="http://schemas.microsoft.com/office/drawing/2014/chart" uri="{C3380CC4-5D6E-409C-BE32-E72D297353CC}">
              <c16:uniqueId val="{00000000-3C61-4F80-B589-99F45A4E34DE}"/>
            </c:ext>
          </c:extLst>
        </c:ser>
        <c:ser>
          <c:idx val="1"/>
          <c:order val="1"/>
          <c:tx>
            <c:strRef>
              <c:f>'TAB_porad4 (2)'!$C$2</c:f>
              <c:strCache>
                <c:ptCount val="1"/>
                <c:pt idx="0">
                  <c:v>Výstup </c:v>
                </c:pt>
              </c:strCache>
            </c:strRef>
          </c:tx>
          <c:spPr>
            <a:solidFill>
              <a:srgbClr val="00B0F0"/>
            </a:solidFill>
            <a:ln>
              <a:noFill/>
            </a:ln>
            <a:effectLst/>
          </c:spPr>
          <c:invertIfNegative val="0"/>
          <c:cat>
            <c:strRef>
              <c:f>'TAB_porad4 (2)'!$A$3:$A$18</c:f>
              <c:strCache>
                <c:ptCount val="5"/>
                <c:pt idx="0">
                  <c:v>(D.1) Dokáže efektívne absolvovať pracovný pohovor </c:v>
                </c:pt>
                <c:pt idx="1">
                  <c:v>(D.4) Kontaktoval/a osobne za posledný mesiac zamestnávateľov v regióne (vrátane podporovaného zamestnávania) </c:v>
                </c:pt>
                <c:pt idx="2">
                  <c:v>(B.2) Dokáže pripraviť relevantné písomnosti pre hľadanie zamestnania (motivačný list, životopis) </c:v>
                </c:pt>
                <c:pt idx="3">
                  <c:v>(C.1) Vie, čo musí urobiť pre to, aby sa zamestnal/a (akčný plán) </c:v>
                </c:pt>
                <c:pt idx="4">
                  <c:v>(B.1) Dokáže popísať vlastné silné stránky </c:v>
                </c:pt>
              </c:strCache>
            </c:strRef>
          </c:cat>
          <c:val>
            <c:numRef>
              <c:f>'TAB_porad4 (2)'!$C$3:$C$18</c:f>
              <c:numCache>
                <c:formatCode>0.00%</c:formatCode>
                <c:ptCount val="5"/>
                <c:pt idx="0">
                  <c:v>0.64200000000000002</c:v>
                </c:pt>
                <c:pt idx="1">
                  <c:v>0.76449999999999996</c:v>
                </c:pt>
                <c:pt idx="2">
                  <c:v>0.77100000000000002</c:v>
                </c:pt>
                <c:pt idx="3">
                  <c:v>0.74070000000000003</c:v>
                </c:pt>
                <c:pt idx="4">
                  <c:v>0.8982</c:v>
                </c:pt>
              </c:numCache>
            </c:numRef>
          </c:val>
          <c:extLst xmlns:c16r2="http://schemas.microsoft.com/office/drawing/2015/06/chart">
            <c:ext xmlns:c16="http://schemas.microsoft.com/office/drawing/2014/chart" uri="{C3380CC4-5D6E-409C-BE32-E72D297353CC}">
              <c16:uniqueId val="{00000001-3C61-4F80-B589-99F45A4E34DE}"/>
            </c:ext>
          </c:extLst>
        </c:ser>
        <c:ser>
          <c:idx val="2"/>
          <c:order val="2"/>
          <c:tx>
            <c:strRef>
              <c:f>'TAB_porad4 (2)'!$D$2</c:f>
              <c:strCache>
                <c:ptCount val="1"/>
                <c:pt idx="0">
                  <c:v>Dosiahnutý pokrok </c:v>
                </c:pt>
              </c:strCache>
            </c:strRef>
          </c:tx>
          <c:spPr>
            <a:solidFill>
              <a:srgbClr val="002060"/>
            </a:solidFill>
            <a:ln>
              <a:noFill/>
            </a:ln>
            <a:effectLst/>
          </c:spPr>
          <c:invertIfNegative val="0"/>
          <c:cat>
            <c:strRef>
              <c:f>'TAB_porad4 (2)'!$A$3:$A$18</c:f>
              <c:strCache>
                <c:ptCount val="5"/>
                <c:pt idx="0">
                  <c:v>(D.1) Dokáže efektívne absolvovať pracovný pohovor </c:v>
                </c:pt>
                <c:pt idx="1">
                  <c:v>(D.4) Kontaktoval/a osobne za posledný mesiac zamestnávateľov v regióne (vrátane podporovaného zamestnávania) </c:v>
                </c:pt>
                <c:pt idx="2">
                  <c:v>(B.2) Dokáže pripraviť relevantné písomnosti pre hľadanie zamestnania (motivačný list, životopis) </c:v>
                </c:pt>
                <c:pt idx="3">
                  <c:v>(C.1) Vie, čo musí urobiť pre to, aby sa zamestnal/a (akčný plán) </c:v>
                </c:pt>
                <c:pt idx="4">
                  <c:v>(B.1) Dokáže popísať vlastné silné stránky </c:v>
                </c:pt>
              </c:strCache>
            </c:strRef>
          </c:cat>
          <c:val>
            <c:numRef>
              <c:f>'TAB_porad4 (2)'!$D$3:$D$18</c:f>
              <c:numCache>
                <c:formatCode>0.00%</c:formatCode>
                <c:ptCount val="5"/>
                <c:pt idx="0">
                  <c:v>0.35460000000000003</c:v>
                </c:pt>
                <c:pt idx="1">
                  <c:v>0.4572</c:v>
                </c:pt>
                <c:pt idx="2">
                  <c:v>0.48449999999999999</c:v>
                </c:pt>
                <c:pt idx="3">
                  <c:v>0.52490000000000003</c:v>
                </c:pt>
                <c:pt idx="4">
                  <c:v>0.55400000000000005</c:v>
                </c:pt>
              </c:numCache>
            </c:numRef>
          </c:val>
          <c:extLst xmlns:c16r2="http://schemas.microsoft.com/office/drawing/2015/06/chart">
            <c:ext xmlns:c16="http://schemas.microsoft.com/office/drawing/2014/chart" uri="{C3380CC4-5D6E-409C-BE32-E72D297353CC}">
              <c16:uniqueId val="{00000002-3C61-4F80-B589-99F45A4E34DE}"/>
            </c:ext>
          </c:extLst>
        </c:ser>
        <c:dLbls>
          <c:showLegendKey val="0"/>
          <c:showVal val="0"/>
          <c:showCatName val="0"/>
          <c:showSerName val="0"/>
          <c:showPercent val="0"/>
          <c:showBubbleSize val="0"/>
        </c:dLbls>
        <c:gapWidth val="182"/>
        <c:axId val="504695152"/>
        <c:axId val="504695936"/>
      </c:barChart>
      <c:catAx>
        <c:axId val="504695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504695936"/>
        <c:crosses val="autoZero"/>
        <c:auto val="1"/>
        <c:lblAlgn val="ctr"/>
        <c:lblOffset val="100"/>
        <c:noMultiLvlLbl val="0"/>
      </c:catAx>
      <c:valAx>
        <c:axId val="5046959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50469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TAB1_GRAF2!$A$15</c:f>
              <c:strCache>
                <c:ptCount val="1"/>
                <c:pt idx="0">
                  <c:v>AXA DDS</c:v>
                </c:pt>
              </c:strCache>
            </c:strRef>
          </c:tx>
          <c:spPr>
            <a:solidFill>
              <a:srgbClr val="00B0F0"/>
            </a:solidFill>
            <a:ln>
              <a:noFill/>
            </a:ln>
            <a:effectLst/>
          </c:spPr>
          <c:invertIfNegative val="0"/>
          <c:cat>
            <c:strRef>
              <c:f>TAB1_GRAF2!$B$14:$N$14</c:f>
              <c:strCache>
                <c:ptCount val="12"/>
                <c:pt idx="0">
                  <c:v>01/2019</c:v>
                </c:pt>
                <c:pt idx="1">
                  <c:v>02/2019</c:v>
                </c:pt>
                <c:pt idx="2">
                  <c:v>03/2019</c:v>
                </c:pt>
                <c:pt idx="3">
                  <c:v>04/2019</c:v>
                </c:pt>
                <c:pt idx="4">
                  <c:v>05/2019</c:v>
                </c:pt>
                <c:pt idx="5">
                  <c:v>06/2019</c:v>
                </c:pt>
                <c:pt idx="6">
                  <c:v>07/2029</c:v>
                </c:pt>
                <c:pt idx="7">
                  <c:v>08/2019</c:v>
                </c:pt>
                <c:pt idx="8">
                  <c:v>09/2019</c:v>
                </c:pt>
                <c:pt idx="9">
                  <c:v>10/2019</c:v>
                </c:pt>
                <c:pt idx="10">
                  <c:v>11/2019</c:v>
                </c:pt>
                <c:pt idx="11">
                  <c:v>12/2019</c:v>
                </c:pt>
              </c:strCache>
            </c:strRef>
          </c:cat>
          <c:val>
            <c:numRef>
              <c:f>TAB1_GRAF2!$B$15:$N$15</c:f>
              <c:numCache>
                <c:formatCode>0.0%</c:formatCode>
                <c:ptCount val="12"/>
                <c:pt idx="1">
                  <c:v>1.1855229555356895E-3</c:v>
                </c:pt>
                <c:pt idx="2">
                  <c:v>3.0353854899919548E-3</c:v>
                </c:pt>
                <c:pt idx="3">
                  <c:v>5.7686058623472236E-3</c:v>
                </c:pt>
                <c:pt idx="4">
                  <c:v>8.5722416429531087E-3</c:v>
                </c:pt>
                <c:pt idx="5">
                  <c:v>1.1191877570159738E-2</c:v>
                </c:pt>
                <c:pt idx="6">
                  <c:v>1.4406632861591735E-2</c:v>
                </c:pt>
                <c:pt idx="7">
                  <c:v>1.6467649465363252E-2</c:v>
                </c:pt>
                <c:pt idx="8">
                  <c:v>1.9048909358525545E-2</c:v>
                </c:pt>
                <c:pt idx="9">
                  <c:v>2.1452530535644273E-2</c:v>
                </c:pt>
                <c:pt idx="10">
                  <c:v>2.4485737294693027E-2</c:v>
                </c:pt>
                <c:pt idx="11">
                  <c:v>2.7722721598357508E-2</c:v>
                </c:pt>
              </c:numCache>
            </c:numRef>
          </c:val>
          <c:extLst xmlns:c16r2="http://schemas.microsoft.com/office/drawing/2015/06/chart">
            <c:ext xmlns:c16="http://schemas.microsoft.com/office/drawing/2014/chart" uri="{C3380CC4-5D6E-409C-BE32-E72D297353CC}">
              <c16:uniqueId val="{00000000-F6D5-4BF0-962B-BE78A6DF24D2}"/>
            </c:ext>
          </c:extLst>
        </c:ser>
        <c:ser>
          <c:idx val="1"/>
          <c:order val="1"/>
          <c:tx>
            <c:strRef>
              <c:f>TAB1_GRAF2!$A$16</c:f>
              <c:strCache>
                <c:ptCount val="1"/>
                <c:pt idx="0">
                  <c:v>NN Tatry Sympatia </c:v>
                </c:pt>
              </c:strCache>
            </c:strRef>
          </c:tx>
          <c:spPr>
            <a:solidFill>
              <a:schemeClr val="bg1">
                <a:lumMod val="65000"/>
              </a:schemeClr>
            </a:solidFill>
            <a:ln>
              <a:noFill/>
            </a:ln>
            <a:effectLst/>
          </c:spPr>
          <c:invertIfNegative val="0"/>
          <c:cat>
            <c:strRef>
              <c:f>TAB1_GRAF2!$B$14:$N$14</c:f>
              <c:strCache>
                <c:ptCount val="12"/>
                <c:pt idx="0">
                  <c:v>01/2019</c:v>
                </c:pt>
                <c:pt idx="1">
                  <c:v>02/2019</c:v>
                </c:pt>
                <c:pt idx="2">
                  <c:v>03/2019</c:v>
                </c:pt>
                <c:pt idx="3">
                  <c:v>04/2019</c:v>
                </c:pt>
                <c:pt idx="4">
                  <c:v>05/2019</c:v>
                </c:pt>
                <c:pt idx="5">
                  <c:v>06/2019</c:v>
                </c:pt>
                <c:pt idx="6">
                  <c:v>07/2029</c:v>
                </c:pt>
                <c:pt idx="7">
                  <c:v>08/2019</c:v>
                </c:pt>
                <c:pt idx="8">
                  <c:v>09/2019</c:v>
                </c:pt>
                <c:pt idx="9">
                  <c:v>10/2019</c:v>
                </c:pt>
                <c:pt idx="10">
                  <c:v>11/2019</c:v>
                </c:pt>
                <c:pt idx="11">
                  <c:v>12/2019</c:v>
                </c:pt>
              </c:strCache>
            </c:strRef>
          </c:cat>
          <c:val>
            <c:numRef>
              <c:f>TAB1_GRAF2!$B$16:$N$16</c:f>
              <c:numCache>
                <c:formatCode>0.0%</c:formatCode>
                <c:ptCount val="12"/>
                <c:pt idx="0">
                  <c:v>4.2979296642007671E-3</c:v>
                </c:pt>
                <c:pt idx="1">
                  <c:v>5.5018527827943343E-3</c:v>
                </c:pt>
                <c:pt idx="2">
                  <c:v>6.3063426806579982E-3</c:v>
                </c:pt>
                <c:pt idx="3">
                  <c:v>7.1593695718391972E-3</c:v>
                </c:pt>
                <c:pt idx="4">
                  <c:v>7.5141330509693755E-3</c:v>
                </c:pt>
                <c:pt idx="5">
                  <c:v>8.4051184396222011E-3</c:v>
                </c:pt>
                <c:pt idx="6">
                  <c:v>9.0516426399303105E-3</c:v>
                </c:pt>
                <c:pt idx="7">
                  <c:v>9.4215350991401509E-3</c:v>
                </c:pt>
                <c:pt idx="8">
                  <c:v>1.0135341115220575E-2</c:v>
                </c:pt>
                <c:pt idx="9">
                  <c:v>1.0757083746089224E-2</c:v>
                </c:pt>
                <c:pt idx="10">
                  <c:v>1.1859953490541629E-2</c:v>
                </c:pt>
                <c:pt idx="11">
                  <c:v>1.2994330804353494E-2</c:v>
                </c:pt>
              </c:numCache>
            </c:numRef>
          </c:val>
          <c:extLst xmlns:c16r2="http://schemas.microsoft.com/office/drawing/2015/06/chart">
            <c:ext xmlns:c16="http://schemas.microsoft.com/office/drawing/2014/chart" uri="{C3380CC4-5D6E-409C-BE32-E72D297353CC}">
              <c16:uniqueId val="{00000001-F6D5-4BF0-962B-BE78A6DF24D2}"/>
            </c:ext>
          </c:extLst>
        </c:ser>
        <c:dLbls>
          <c:showLegendKey val="0"/>
          <c:showVal val="0"/>
          <c:showCatName val="0"/>
          <c:showSerName val="0"/>
          <c:showPercent val="0"/>
          <c:showBubbleSize val="0"/>
        </c:dLbls>
        <c:gapWidth val="219"/>
        <c:overlap val="-27"/>
        <c:axId val="504696328"/>
        <c:axId val="504697112"/>
      </c:barChart>
      <c:catAx>
        <c:axId val="504696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04697112"/>
        <c:crosses val="autoZero"/>
        <c:auto val="1"/>
        <c:lblAlgn val="ctr"/>
        <c:lblOffset val="100"/>
        <c:noMultiLvlLbl val="0"/>
      </c:catAx>
      <c:valAx>
        <c:axId val="5046971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04696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TAB_DOCH1!$J$2</c:f>
              <c:strCache>
                <c:ptCount val="1"/>
                <c:pt idx="0">
                  <c:v>Počet sporiteľov (v tis.)</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TAB_DOCH1!$H$3:$I$16</c:f>
              <c:strCache>
                <c:ptCount val="14"/>
                <c:pt idx="0">
                  <c:v>2006</c:v>
                </c:pt>
                <c:pt idx="1">
                  <c:v>2007</c:v>
                </c:pt>
                <c:pt idx="2">
                  <c:v>2008</c:v>
                </c:pt>
                <c:pt idx="3">
                  <c:v>2009</c:v>
                </c:pt>
                <c:pt idx="4">
                  <c:v>2020</c:v>
                </c:pt>
                <c:pt idx="5">
                  <c:v>2011</c:v>
                </c:pt>
                <c:pt idx="6">
                  <c:v>2012</c:v>
                </c:pt>
                <c:pt idx="7">
                  <c:v>2013</c:v>
                </c:pt>
                <c:pt idx="8">
                  <c:v>2014</c:v>
                </c:pt>
                <c:pt idx="9">
                  <c:v>2015</c:v>
                </c:pt>
                <c:pt idx="10">
                  <c:v>2016</c:v>
                </c:pt>
                <c:pt idx="11">
                  <c:v>2017</c:v>
                </c:pt>
                <c:pt idx="12">
                  <c:v>2018</c:v>
                </c:pt>
                <c:pt idx="13">
                  <c:v>2019</c:v>
                </c:pt>
              </c:strCache>
            </c:strRef>
          </c:cat>
          <c:val>
            <c:numRef>
              <c:f>TAB_DOCH1!$J$3:$J$16</c:f>
              <c:numCache>
                <c:formatCode>#,##0</c:formatCode>
                <c:ptCount val="14"/>
                <c:pt idx="0">
                  <c:v>1537.7929999999999</c:v>
                </c:pt>
                <c:pt idx="1">
                  <c:v>1563.0440000000001</c:v>
                </c:pt>
                <c:pt idx="2">
                  <c:v>1484.394</c:v>
                </c:pt>
                <c:pt idx="3">
                  <c:v>1434.87</c:v>
                </c:pt>
                <c:pt idx="4">
                  <c:v>1442.058</c:v>
                </c:pt>
                <c:pt idx="5">
                  <c:v>1450.7049999999999</c:v>
                </c:pt>
                <c:pt idx="6">
                  <c:v>1462.5160000000001</c:v>
                </c:pt>
                <c:pt idx="7">
                  <c:v>1449.06</c:v>
                </c:pt>
                <c:pt idx="8">
                  <c:v>1464.8330000000001</c:v>
                </c:pt>
                <c:pt idx="9">
                  <c:v>1342.6369999999999</c:v>
                </c:pt>
                <c:pt idx="10">
                  <c:v>1375.77</c:v>
                </c:pt>
                <c:pt idx="11">
                  <c:v>1425.8430000000001</c:v>
                </c:pt>
                <c:pt idx="12">
                  <c:v>1487.519</c:v>
                </c:pt>
                <c:pt idx="13">
                  <c:v>1564.152</c:v>
                </c:pt>
              </c:numCache>
            </c:numRef>
          </c:val>
          <c:extLst xmlns:c16r2="http://schemas.microsoft.com/office/drawing/2015/06/chart">
            <c:ext xmlns:c16="http://schemas.microsoft.com/office/drawing/2014/chart" uri="{C3380CC4-5D6E-409C-BE32-E72D297353CC}">
              <c16:uniqueId val="{00000000-1E1F-4A36-A741-83B113AD8932}"/>
            </c:ext>
          </c:extLst>
        </c:ser>
        <c:dLbls>
          <c:showLegendKey val="0"/>
          <c:showVal val="1"/>
          <c:showCatName val="0"/>
          <c:showSerName val="0"/>
          <c:showPercent val="0"/>
          <c:showBubbleSize val="0"/>
        </c:dLbls>
        <c:gapWidth val="219"/>
        <c:overlap val="-27"/>
        <c:axId val="504696720"/>
        <c:axId val="504697896"/>
      </c:barChart>
      <c:scatterChart>
        <c:scatterStyle val="lineMarker"/>
        <c:varyColors val="0"/>
        <c:ser>
          <c:idx val="1"/>
          <c:order val="1"/>
          <c:tx>
            <c:strRef>
              <c:f>TAB_DOCH1!$K$2</c:f>
              <c:strCache>
                <c:ptCount val="1"/>
                <c:pt idx="0">
                  <c:v>Podiel prestupujúcich (%)</c:v>
                </c:pt>
              </c:strCache>
            </c:strRef>
          </c:tx>
          <c:spPr>
            <a:ln w="25400" cap="rnd">
              <a:noFill/>
              <a:round/>
            </a:ln>
            <a:effectLst/>
          </c:spPr>
          <c:marker>
            <c:symbol val="diamond"/>
            <c:size val="7"/>
            <c:spPr>
              <a:solidFill>
                <a:schemeClr val="tx1"/>
              </a:solidFill>
              <a:ln w="952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yVal>
            <c:numRef>
              <c:f>TAB_DOCH1!$K$3:$K$16</c:f>
              <c:numCache>
                <c:formatCode>0.0%</c:formatCode>
                <c:ptCount val="14"/>
                <c:pt idx="0">
                  <c:v>9.5000000000000001E-2</c:v>
                </c:pt>
                <c:pt idx="1">
                  <c:v>1E-3</c:v>
                </c:pt>
                <c:pt idx="2">
                  <c:v>4.0000000000000002E-4</c:v>
                </c:pt>
                <c:pt idx="3">
                  <c:v>5.3E-3</c:v>
                </c:pt>
                <c:pt idx="4">
                  <c:v>4.0000000000000001E-3</c:v>
                </c:pt>
                <c:pt idx="5">
                  <c:v>4.4000000000000003E-3</c:v>
                </c:pt>
                <c:pt idx="6">
                  <c:v>0.01</c:v>
                </c:pt>
                <c:pt idx="7">
                  <c:v>1.04E-2</c:v>
                </c:pt>
                <c:pt idx="8">
                  <c:v>8.8999999999999999E-3</c:v>
                </c:pt>
                <c:pt idx="9">
                  <c:v>1.83E-2</c:v>
                </c:pt>
                <c:pt idx="10">
                  <c:v>1.3899999999999999E-2</c:v>
                </c:pt>
                <c:pt idx="11">
                  <c:v>1.7500000000000002E-2</c:v>
                </c:pt>
                <c:pt idx="12">
                  <c:v>1.8700000000000001E-2</c:v>
                </c:pt>
                <c:pt idx="13">
                  <c:v>2.1999999999999999E-2</c:v>
                </c:pt>
              </c:numCache>
            </c:numRef>
          </c:yVal>
          <c:smooth val="0"/>
          <c:extLst xmlns:c16r2="http://schemas.microsoft.com/office/drawing/2015/06/chart">
            <c:ext xmlns:c16="http://schemas.microsoft.com/office/drawing/2014/chart" uri="{C3380CC4-5D6E-409C-BE32-E72D297353CC}">
              <c16:uniqueId val="{00000001-1E1F-4A36-A741-83B113AD8932}"/>
            </c:ext>
          </c:extLst>
        </c:ser>
        <c:dLbls>
          <c:showLegendKey val="0"/>
          <c:showVal val="1"/>
          <c:showCatName val="0"/>
          <c:showSerName val="0"/>
          <c:showPercent val="0"/>
          <c:showBubbleSize val="0"/>
        </c:dLbls>
        <c:axId val="504698288"/>
        <c:axId val="504697504"/>
      </c:scatterChart>
      <c:catAx>
        <c:axId val="50469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04697896"/>
        <c:crosses val="autoZero"/>
        <c:auto val="1"/>
        <c:lblAlgn val="ctr"/>
        <c:lblOffset val="100"/>
        <c:noMultiLvlLbl val="0"/>
      </c:catAx>
      <c:valAx>
        <c:axId val="50469789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04696720"/>
        <c:crosses val="autoZero"/>
        <c:crossBetween val="between"/>
        <c:majorUnit val="400"/>
      </c:valAx>
      <c:valAx>
        <c:axId val="50469750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04698288"/>
        <c:crosses val="max"/>
        <c:crossBetween val="midCat"/>
      </c:valAx>
      <c:valAx>
        <c:axId val="504698288"/>
        <c:scaling>
          <c:orientation val="minMax"/>
        </c:scaling>
        <c:delete val="1"/>
        <c:axPos val="b"/>
        <c:majorTickMark val="out"/>
        <c:minorTickMark val="none"/>
        <c:tickLblPos val="nextTo"/>
        <c:crossAx val="5046975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TAB_DOCH2!$J$2</c:f>
              <c:strCache>
                <c:ptCount val="1"/>
                <c:pt idx="0">
                  <c:v>Počet sporiteľov (v tis.)</c:v>
                </c:pt>
              </c:strCache>
            </c:strRef>
          </c:tx>
          <c:spPr>
            <a:solidFill>
              <a:srgbClr val="00B0F0"/>
            </a:solidFill>
            <a:ln>
              <a:noFill/>
            </a:ln>
            <a:effectLst/>
          </c:spPr>
          <c:invertIfNegative val="0"/>
          <c:dLbls>
            <c:dLbl>
              <c:idx val="9"/>
              <c:layout>
                <c:manualLayout>
                  <c:x val="0"/>
                  <c:y val="3.7182852143477821E-4"/>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E2F-4C7C-8E4F-9BC85E528D0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TAB_DOCH2!$I$3:$I$12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TAB_DOCH2!$J$3:$J$12</c:f>
              <c:numCache>
                <c:formatCode>#,##0</c:formatCode>
                <c:ptCount val="10"/>
                <c:pt idx="0">
                  <c:v>716.07600000000002</c:v>
                </c:pt>
                <c:pt idx="1">
                  <c:v>698.33199999999999</c:v>
                </c:pt>
                <c:pt idx="2">
                  <c:v>683.45399999999995</c:v>
                </c:pt>
                <c:pt idx="3">
                  <c:v>681.31600000000003</c:v>
                </c:pt>
                <c:pt idx="4">
                  <c:v>679.56500000000005</c:v>
                </c:pt>
                <c:pt idx="5">
                  <c:v>700.93299999999999</c:v>
                </c:pt>
                <c:pt idx="6">
                  <c:v>725.05200000000002</c:v>
                </c:pt>
                <c:pt idx="7">
                  <c:v>757.34100000000001</c:v>
                </c:pt>
                <c:pt idx="8">
                  <c:v>803.2</c:v>
                </c:pt>
                <c:pt idx="9">
                  <c:v>833.596</c:v>
                </c:pt>
              </c:numCache>
            </c:numRef>
          </c:val>
          <c:extLst xmlns:c16r2="http://schemas.microsoft.com/office/drawing/2015/06/chart">
            <c:ext xmlns:c16="http://schemas.microsoft.com/office/drawing/2014/chart" uri="{C3380CC4-5D6E-409C-BE32-E72D297353CC}">
              <c16:uniqueId val="{00000001-1E2F-4C7C-8E4F-9BC85E528D01}"/>
            </c:ext>
          </c:extLst>
        </c:ser>
        <c:dLbls>
          <c:showLegendKey val="0"/>
          <c:showVal val="0"/>
          <c:showCatName val="0"/>
          <c:showSerName val="0"/>
          <c:showPercent val="0"/>
          <c:showBubbleSize val="0"/>
        </c:dLbls>
        <c:gapWidth val="219"/>
        <c:overlap val="-27"/>
        <c:axId val="504699072"/>
        <c:axId val="504699856"/>
      </c:barChart>
      <c:scatterChart>
        <c:scatterStyle val="lineMarker"/>
        <c:varyColors val="0"/>
        <c:ser>
          <c:idx val="1"/>
          <c:order val="1"/>
          <c:tx>
            <c:strRef>
              <c:f>TAB_DOCH2!$K$2</c:f>
              <c:strCache>
                <c:ptCount val="1"/>
                <c:pt idx="0">
                  <c:v>Podiel prestupujúcich (%)</c:v>
                </c:pt>
              </c:strCache>
            </c:strRef>
          </c:tx>
          <c:spPr>
            <a:ln w="25400" cap="rnd">
              <a:noFill/>
              <a:round/>
            </a:ln>
            <a:effectLst/>
          </c:spPr>
          <c:marker>
            <c:symbol val="diamond"/>
            <c:size val="7"/>
            <c:spPr>
              <a:solidFill>
                <a:schemeClr val="tx1"/>
              </a:solidFill>
              <a:ln w="952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yVal>
            <c:numRef>
              <c:f>TAB_DOCH2!$K$3:$K$12</c:f>
              <c:numCache>
                <c:formatCode>0.0%</c:formatCode>
                <c:ptCount val="10"/>
                <c:pt idx="0">
                  <c:v>1.4E-3</c:v>
                </c:pt>
                <c:pt idx="1">
                  <c:v>1E-3</c:v>
                </c:pt>
                <c:pt idx="2">
                  <c:v>1.6000000000000001E-3</c:v>
                </c:pt>
                <c:pt idx="3">
                  <c:v>2E-3</c:v>
                </c:pt>
                <c:pt idx="4">
                  <c:v>1.4E-3</c:v>
                </c:pt>
                <c:pt idx="5">
                  <c:v>1.5E-3</c:v>
                </c:pt>
                <c:pt idx="6">
                  <c:v>1.2999999999999999E-3</c:v>
                </c:pt>
                <c:pt idx="7">
                  <c:v>1.9E-3</c:v>
                </c:pt>
                <c:pt idx="8">
                  <c:v>2.5999999999999999E-3</c:v>
                </c:pt>
                <c:pt idx="9">
                  <c:v>3.8E-3</c:v>
                </c:pt>
              </c:numCache>
            </c:numRef>
          </c:yVal>
          <c:smooth val="0"/>
          <c:extLst xmlns:c16r2="http://schemas.microsoft.com/office/drawing/2015/06/chart">
            <c:ext xmlns:c16="http://schemas.microsoft.com/office/drawing/2014/chart" uri="{C3380CC4-5D6E-409C-BE32-E72D297353CC}">
              <c16:uniqueId val="{00000002-1E2F-4C7C-8E4F-9BC85E528D01}"/>
            </c:ext>
          </c:extLst>
        </c:ser>
        <c:dLbls>
          <c:showLegendKey val="0"/>
          <c:showVal val="0"/>
          <c:showCatName val="0"/>
          <c:showSerName val="0"/>
          <c:showPercent val="0"/>
          <c:showBubbleSize val="0"/>
        </c:dLbls>
        <c:axId val="504700248"/>
        <c:axId val="504699464"/>
      </c:scatterChart>
      <c:catAx>
        <c:axId val="50469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04699856"/>
        <c:crosses val="autoZero"/>
        <c:auto val="1"/>
        <c:lblAlgn val="ctr"/>
        <c:lblOffset val="100"/>
        <c:noMultiLvlLbl val="0"/>
      </c:catAx>
      <c:valAx>
        <c:axId val="504699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04699072"/>
        <c:crosses val="autoZero"/>
        <c:crossBetween val="between"/>
      </c:valAx>
      <c:valAx>
        <c:axId val="50469946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04700248"/>
        <c:crosses val="max"/>
        <c:crossBetween val="midCat"/>
        <c:majorUnit val="1.0000000000000002E-3"/>
      </c:valAx>
      <c:valAx>
        <c:axId val="504700248"/>
        <c:scaling>
          <c:orientation val="minMax"/>
        </c:scaling>
        <c:delete val="1"/>
        <c:axPos val="b"/>
        <c:majorTickMark val="out"/>
        <c:minorTickMark val="none"/>
        <c:tickLblPos val="nextTo"/>
        <c:crossAx val="5046994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22737414162812E-2"/>
          <c:y val="4.8676609471011739E-2"/>
          <c:w val="0.90911701638177334"/>
          <c:h val="0.72426340938151967"/>
        </c:manualLayout>
      </c:layout>
      <c:barChart>
        <c:barDir val="bar"/>
        <c:grouping val="stacked"/>
        <c:varyColors val="0"/>
        <c:ser>
          <c:idx val="0"/>
          <c:order val="0"/>
          <c:tx>
            <c:strRef>
              <c:f>'PPA Grafy 2019'!$A$24</c:f>
              <c:strCache>
                <c:ptCount val="1"/>
                <c:pt idx="0">
                  <c:v>637004 Všeobecné služby</c:v>
                </c:pt>
              </c:strCache>
            </c:strRef>
          </c:tx>
          <c:spPr>
            <a:solidFill>
              <a:srgbClr val="5B9BD5">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'PPA Grafy 2019'!$B$23:$G$23</c:f>
              <c:numCache>
                <c:formatCode>General</c:formatCode>
                <c:ptCount val="4"/>
                <c:pt idx="0">
                  <c:v>2019</c:v>
                </c:pt>
                <c:pt idx="1">
                  <c:v>2018</c:v>
                </c:pt>
                <c:pt idx="2">
                  <c:v>2017</c:v>
                </c:pt>
                <c:pt idx="3">
                  <c:v>2016</c:v>
                </c:pt>
              </c:numCache>
            </c:numRef>
          </c:cat>
          <c:val>
            <c:numRef>
              <c:f>'PPA Grafy 2019'!$B$24:$G$24</c:f>
              <c:numCache>
                <c:formatCode>0.00</c:formatCode>
                <c:ptCount val="4"/>
                <c:pt idx="0">
                  <c:v>0.72959510156250063</c:v>
                </c:pt>
                <c:pt idx="1">
                  <c:v>0.58028399999999902</c:v>
                </c:pt>
                <c:pt idx="2">
                  <c:v>0.63939022000000079</c:v>
                </c:pt>
                <c:pt idx="3">
                  <c:v>0.51667772000000001</c:v>
                </c:pt>
              </c:numCache>
            </c:numRef>
          </c:val>
          <c:extLst xmlns:c16r2="http://schemas.microsoft.com/office/drawing/2015/06/chart">
            <c:ext xmlns:c16="http://schemas.microsoft.com/office/drawing/2014/chart" uri="{C3380CC4-5D6E-409C-BE32-E72D297353CC}">
              <c16:uniqueId val="{00000000-BFE8-49E6-B29D-0D0436A5B635}"/>
            </c:ext>
          </c:extLst>
        </c:ser>
        <c:ser>
          <c:idx val="1"/>
          <c:order val="1"/>
          <c:tx>
            <c:strRef>
              <c:f>'PPA Grafy 2019'!$A$25</c:f>
              <c:strCache>
                <c:ptCount val="1"/>
                <c:pt idx="0">
                  <c:v>637005 Špeciálne služby</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'PPA Grafy 2019'!$B$23:$G$23</c:f>
              <c:numCache>
                <c:formatCode>General</c:formatCode>
                <c:ptCount val="4"/>
                <c:pt idx="0">
                  <c:v>2019</c:v>
                </c:pt>
                <c:pt idx="1">
                  <c:v>2018</c:v>
                </c:pt>
                <c:pt idx="2">
                  <c:v>2017</c:v>
                </c:pt>
                <c:pt idx="3">
                  <c:v>2016</c:v>
                </c:pt>
              </c:numCache>
            </c:numRef>
          </c:cat>
          <c:val>
            <c:numRef>
              <c:f>'PPA Grafy 2019'!$B$25:$G$25</c:f>
              <c:numCache>
                <c:formatCode>0.00</c:formatCode>
                <c:ptCount val="4"/>
                <c:pt idx="0">
                  <c:v>0.95696099999999951</c:v>
                </c:pt>
                <c:pt idx="1">
                  <c:v>0.39875900000000031</c:v>
                </c:pt>
                <c:pt idx="2">
                  <c:v>0.94726575999999996</c:v>
                </c:pt>
                <c:pt idx="3">
                  <c:v>1.1131170600000013</c:v>
                </c:pt>
              </c:numCache>
            </c:numRef>
          </c:val>
          <c:extLst xmlns:c16r2="http://schemas.microsoft.com/office/drawing/2015/06/chart">
            <c:ext xmlns:c16="http://schemas.microsoft.com/office/drawing/2014/chart" uri="{C3380CC4-5D6E-409C-BE32-E72D297353CC}">
              <c16:uniqueId val="{00000001-BFE8-49E6-B29D-0D0436A5B635}"/>
            </c:ext>
          </c:extLst>
        </c:ser>
        <c:ser>
          <c:idx val="2"/>
          <c:order val="2"/>
          <c:tx>
            <c:strRef>
              <c:f>'PPA Grafy 2019'!$A$26</c:f>
              <c:strCache>
                <c:ptCount val="1"/>
                <c:pt idx="0">
                  <c:v>637040 Služby v oblasti informačno-komunikačných technológií</c:v>
                </c:pt>
              </c:strCache>
            </c:strRef>
          </c:tx>
          <c:spPr>
            <a:solidFill>
              <a:srgbClr val="0070C0"/>
            </a:solidFill>
            <a:ln>
              <a:noFill/>
            </a:ln>
            <a:effectLst/>
          </c:spPr>
          <c:invertIfNegative val="0"/>
          <c:dLbls>
            <c:dLbl>
              <c:idx val="3"/>
              <c:delete val="1"/>
              <c:extLst xmlns:c16r2="http://schemas.microsoft.com/office/drawing/2015/06/chart">
                <c:ext xmlns:c16="http://schemas.microsoft.com/office/drawing/2014/chart" uri="{C3380CC4-5D6E-409C-BE32-E72D297353CC}">
                  <c16:uniqueId val="{00000005-BFE8-49E6-B29D-0D0436A5B63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'PPA Grafy 2019'!$B$23:$G$23</c:f>
              <c:numCache>
                <c:formatCode>General</c:formatCode>
                <c:ptCount val="4"/>
                <c:pt idx="0">
                  <c:v>2019</c:v>
                </c:pt>
                <c:pt idx="1">
                  <c:v>2018</c:v>
                </c:pt>
                <c:pt idx="2">
                  <c:v>2017</c:v>
                </c:pt>
                <c:pt idx="3">
                  <c:v>2016</c:v>
                </c:pt>
              </c:numCache>
            </c:numRef>
          </c:cat>
          <c:val>
            <c:numRef>
              <c:f>'PPA Grafy 2019'!$B$26:$G$26</c:f>
              <c:numCache>
                <c:formatCode>0.00</c:formatCode>
                <c:ptCount val="4"/>
                <c:pt idx="0">
                  <c:v>5.1499726015625003</c:v>
                </c:pt>
                <c:pt idx="1">
                  <c:v>5.8220486953124997</c:v>
                </c:pt>
                <c:pt idx="2">
                  <c:v>3.6679521699999995</c:v>
                </c:pt>
                <c:pt idx="3">
                  <c:v>0</c:v>
                </c:pt>
              </c:numCache>
            </c:numRef>
          </c:val>
          <c:extLst xmlns:c16r2="http://schemas.microsoft.com/office/drawing/2015/06/chart">
            <c:ext xmlns:c16="http://schemas.microsoft.com/office/drawing/2014/chart" uri="{C3380CC4-5D6E-409C-BE32-E72D297353CC}">
              <c16:uniqueId val="{00000002-BFE8-49E6-B29D-0D0436A5B635}"/>
            </c:ext>
          </c:extLst>
        </c:ser>
        <c:ser>
          <c:idx val="3"/>
          <c:order val="3"/>
          <c:tx>
            <c:strRef>
              <c:f>'PPA Grafy 2019'!$A$27</c:f>
              <c:strCache>
                <c:ptCount val="1"/>
                <c:pt idx="0">
                  <c:v>Ostatné služby</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'PPA Grafy 2019'!$B$23:$G$23</c:f>
              <c:numCache>
                <c:formatCode>General</c:formatCode>
                <c:ptCount val="4"/>
                <c:pt idx="0">
                  <c:v>2019</c:v>
                </c:pt>
                <c:pt idx="1">
                  <c:v>2018</c:v>
                </c:pt>
                <c:pt idx="2">
                  <c:v>2017</c:v>
                </c:pt>
                <c:pt idx="3">
                  <c:v>2016</c:v>
                </c:pt>
              </c:numCache>
            </c:numRef>
          </c:cat>
          <c:val>
            <c:numRef>
              <c:f>'PPA Grafy 2019'!$B$27:$G$27</c:f>
              <c:numCache>
                <c:formatCode>0.00</c:formatCode>
                <c:ptCount val="4"/>
                <c:pt idx="0">
                  <c:v>2.1142835413532257</c:v>
                </c:pt>
                <c:pt idx="1">
                  <c:v>0.75829940218472625</c:v>
                </c:pt>
                <c:pt idx="2">
                  <c:v>0.70604911000000126</c:v>
                </c:pt>
                <c:pt idx="3">
                  <c:v>1.0060071700000015</c:v>
                </c:pt>
              </c:numCache>
            </c:numRef>
          </c:val>
          <c:extLst xmlns:c16r2="http://schemas.microsoft.com/office/drawing/2015/06/chart">
            <c:ext xmlns:c16="http://schemas.microsoft.com/office/drawing/2014/chart" uri="{C3380CC4-5D6E-409C-BE32-E72D297353CC}">
              <c16:uniqueId val="{00000003-BFE8-49E6-B29D-0D0436A5B635}"/>
            </c:ext>
          </c:extLst>
        </c:ser>
        <c:ser>
          <c:idx val="4"/>
          <c:order val="4"/>
          <c:tx>
            <c:strRef>
              <c:f>'PPA Grafy 2019'!$A$28</c:f>
              <c:strCache>
                <c:ptCount val="1"/>
                <c:pt idx="0">
                  <c:v>Celkom</c:v>
                </c:pt>
              </c:strCache>
            </c:strRef>
          </c:tx>
          <c:spPr>
            <a:noFill/>
            <a:ln>
              <a:noFill/>
            </a:ln>
            <a:effectLst/>
          </c:spPr>
          <c:invertIfNegative val="0"/>
          <c:dLbls>
            <c:dLbl>
              <c:idx val="1"/>
              <c:layout>
                <c:manualLayout>
                  <c:x val="-0.2058630598407834"/>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6CA-4182-9BB8-8677BDE5FDEC}"/>
                </c:ext>
                <c:ext xmlns:c15="http://schemas.microsoft.com/office/drawing/2012/chart" uri="{CE6537A1-D6FC-4f65-9D91-7224C49458BB}"/>
              </c:extLst>
            </c:dLbl>
            <c:dLbl>
              <c:idx val="3"/>
              <c:layout>
                <c:manualLayout>
                  <c:x val="-0.10182777869414607"/>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6CA-4182-9BB8-8677BDE5FDE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'PPA Grafy 2019'!$B$23:$G$23</c:f>
              <c:numCache>
                <c:formatCode>General</c:formatCode>
                <c:ptCount val="4"/>
                <c:pt idx="0">
                  <c:v>2019</c:v>
                </c:pt>
                <c:pt idx="1">
                  <c:v>2018</c:v>
                </c:pt>
                <c:pt idx="2">
                  <c:v>2017</c:v>
                </c:pt>
                <c:pt idx="3">
                  <c:v>2016</c:v>
                </c:pt>
              </c:numCache>
            </c:numRef>
          </c:cat>
          <c:val>
            <c:numRef>
              <c:f>'PPA Grafy 2019'!$B$28:$G$28</c:f>
              <c:numCache>
                <c:formatCode>0.00</c:formatCode>
                <c:ptCount val="4"/>
                <c:pt idx="0">
                  <c:v>8.9508122444782359</c:v>
                </c:pt>
                <c:pt idx="1">
                  <c:v>7.5593910974972305</c:v>
                </c:pt>
                <c:pt idx="2">
                  <c:v>5.9606572599999943</c:v>
                </c:pt>
                <c:pt idx="3">
                  <c:v>2.6358019500000003</c:v>
                </c:pt>
              </c:numCache>
            </c:numRef>
          </c:val>
          <c:extLst xmlns:c16r2="http://schemas.microsoft.com/office/drawing/2015/06/chart">
            <c:ext xmlns:c16="http://schemas.microsoft.com/office/drawing/2014/chart" uri="{C3380CC4-5D6E-409C-BE32-E72D297353CC}">
              <c16:uniqueId val="{00000004-BFE8-49E6-B29D-0D0436A5B635}"/>
            </c:ext>
          </c:extLst>
        </c:ser>
        <c:dLbls>
          <c:showLegendKey val="0"/>
          <c:showVal val="0"/>
          <c:showCatName val="0"/>
          <c:showSerName val="0"/>
          <c:showPercent val="0"/>
          <c:showBubbleSize val="0"/>
        </c:dLbls>
        <c:gapWidth val="150"/>
        <c:overlap val="100"/>
        <c:axId val="504694760"/>
        <c:axId val="504701816"/>
      </c:barChart>
      <c:catAx>
        <c:axId val="504694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04701816"/>
        <c:crosses val="autoZero"/>
        <c:auto val="1"/>
        <c:lblAlgn val="ctr"/>
        <c:lblOffset val="100"/>
        <c:noMultiLvlLbl val="0"/>
      </c:catAx>
      <c:valAx>
        <c:axId val="504701816"/>
        <c:scaling>
          <c:orientation val="minMax"/>
          <c:max val="1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504694760"/>
        <c:crosses val="autoZero"/>
        <c:crossBetween val="between"/>
      </c:valAx>
      <c:spPr>
        <a:noFill/>
        <a:ln>
          <a:noFill/>
        </a:ln>
        <a:effectLst/>
      </c:spPr>
    </c:plotArea>
    <c:legend>
      <c:legendPos val="b"/>
      <c:legendEntry>
        <c:idx val="4"/>
        <c:delete val="1"/>
      </c:legendEntry>
      <c:layout>
        <c:manualLayout>
          <c:xMode val="edge"/>
          <c:yMode val="edge"/>
          <c:x val="1.8369983244927918E-2"/>
          <c:y val="0.87947130387203232"/>
          <c:w val="0.98163001675507278"/>
          <c:h val="0.118430326502346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732087227414336E-2"/>
          <c:y val="3.0381487368008119E-2"/>
          <c:w val="0.84921237970253616"/>
          <c:h val="0.79606991834354113"/>
        </c:manualLayout>
      </c:layout>
      <c:barChart>
        <c:barDir val="bar"/>
        <c:grouping val="clustered"/>
        <c:varyColors val="0"/>
        <c:ser>
          <c:idx val="0"/>
          <c:order val="0"/>
          <c:tx>
            <c:strRef>
              <c:f>výstup!$B$3</c:f>
              <c:strCache>
                <c:ptCount val="1"/>
                <c:pt idx="0">
                  <c:v>ÚRZ</c:v>
                </c:pt>
              </c:strCache>
            </c:strRef>
          </c:tx>
          <c:spPr>
            <a:solidFill>
              <a:srgbClr val="00B0F0"/>
            </a:solidFill>
            <a:ln>
              <a:noFill/>
            </a:ln>
            <a:effectLst/>
          </c:spPr>
          <c:invertIfNegative val="0"/>
          <c:dLbls>
            <c:dLbl>
              <c:idx val="2"/>
              <c:layout>
                <c:manualLayout>
                  <c:x val="1.11669458403126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909-4D79-A6BE-584E3D27529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výstup!$C$2:$E$2</c:f>
              <c:numCache>
                <c:formatCode>General</c:formatCode>
                <c:ptCount val="3"/>
                <c:pt idx="0">
                  <c:v>2019</c:v>
                </c:pt>
                <c:pt idx="1">
                  <c:v>2018</c:v>
                </c:pt>
                <c:pt idx="2">
                  <c:v>2017</c:v>
                </c:pt>
              </c:numCache>
            </c:numRef>
          </c:cat>
          <c:val>
            <c:numRef>
              <c:f>výstup!$C$3:$E$3</c:f>
              <c:numCache>
                <c:formatCode>#\ ##0.00\ \ </c:formatCode>
                <c:ptCount val="3"/>
                <c:pt idx="0">
                  <c:v>41108950.297773011</c:v>
                </c:pt>
                <c:pt idx="1">
                  <c:v>35922102.178438641</c:v>
                </c:pt>
                <c:pt idx="2">
                  <c:v>33637738.710000008</c:v>
                </c:pt>
              </c:numCache>
            </c:numRef>
          </c:val>
          <c:extLst xmlns:c16r2="http://schemas.microsoft.com/office/drawing/2015/06/chart">
            <c:ext xmlns:c16="http://schemas.microsoft.com/office/drawing/2014/chart" uri="{C3380CC4-5D6E-409C-BE32-E72D297353CC}">
              <c16:uniqueId val="{00000000-B83F-4742-AE32-A0DC6A1E90AE}"/>
            </c:ext>
          </c:extLst>
        </c:ser>
        <c:ser>
          <c:idx val="1"/>
          <c:order val="1"/>
          <c:tx>
            <c:strRef>
              <c:f>výstup!$B$4</c:f>
              <c:strCache>
                <c:ptCount val="1"/>
                <c:pt idx="0">
                  <c:v>ŠVPS</c:v>
                </c:pt>
              </c:strCache>
            </c:strRef>
          </c:tx>
          <c:spPr>
            <a:solidFill>
              <a:srgbClr val="002060"/>
            </a:solidFill>
            <a:ln>
              <a:noFill/>
            </a:ln>
            <a:effectLst/>
          </c:spPr>
          <c:invertIfNegative val="0"/>
          <c:dLbls>
            <c:dLbl>
              <c:idx val="0"/>
              <c:layout>
                <c:manualLayout>
                  <c:x val="1.116694584031252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909-4D79-A6BE-584E3D27529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výstup!$C$2:$E$2</c:f>
              <c:numCache>
                <c:formatCode>General</c:formatCode>
                <c:ptCount val="3"/>
                <c:pt idx="0">
                  <c:v>2019</c:v>
                </c:pt>
                <c:pt idx="1">
                  <c:v>2018</c:v>
                </c:pt>
                <c:pt idx="2">
                  <c:v>2017</c:v>
                </c:pt>
              </c:numCache>
            </c:numRef>
          </c:cat>
          <c:val>
            <c:numRef>
              <c:f>výstup!$C$4:$E$4</c:f>
              <c:numCache>
                <c:formatCode>#\ ##0.00\ \ </c:formatCode>
                <c:ptCount val="3"/>
                <c:pt idx="0">
                  <c:v>33632103.927628517</c:v>
                </c:pt>
                <c:pt idx="1">
                  <c:v>25283277.430081367</c:v>
                </c:pt>
                <c:pt idx="2">
                  <c:v>25468621.079999987</c:v>
                </c:pt>
              </c:numCache>
            </c:numRef>
          </c:val>
          <c:extLst xmlns:c16r2="http://schemas.microsoft.com/office/drawing/2015/06/chart">
            <c:ext xmlns:c16="http://schemas.microsoft.com/office/drawing/2014/chart" uri="{C3380CC4-5D6E-409C-BE32-E72D297353CC}">
              <c16:uniqueId val="{00000001-B83F-4742-AE32-A0DC6A1E90AE}"/>
            </c:ext>
          </c:extLst>
        </c:ser>
        <c:dLbls>
          <c:showLegendKey val="0"/>
          <c:showVal val="0"/>
          <c:showCatName val="0"/>
          <c:showSerName val="0"/>
          <c:showPercent val="0"/>
          <c:showBubbleSize val="0"/>
        </c:dLbls>
        <c:gapWidth val="205"/>
        <c:overlap val="-75"/>
        <c:axId val="504702208"/>
        <c:axId val="504702992"/>
      </c:barChart>
      <c:catAx>
        <c:axId val="504702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04702992"/>
        <c:crossesAt val="0"/>
        <c:auto val="1"/>
        <c:lblAlgn val="ctr"/>
        <c:lblOffset val="100"/>
        <c:noMultiLvlLbl val="0"/>
      </c:catAx>
      <c:valAx>
        <c:axId val="504702992"/>
        <c:scaling>
          <c:orientation val="minMax"/>
          <c:max val="45000000"/>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04702208"/>
        <c:crosses val="autoZero"/>
        <c:crossBetween val="between"/>
        <c:majorUnit val="5000000"/>
        <c:dispUnits>
          <c:builtInUnit val="millions"/>
        </c:dispUnits>
      </c:valAx>
      <c:spPr>
        <a:noFill/>
        <a:ln>
          <a:noFill/>
        </a:ln>
        <a:effectLst/>
      </c:spPr>
    </c:plotArea>
    <c:legend>
      <c:legendPos val="b"/>
      <c:layout>
        <c:manualLayout>
          <c:xMode val="edge"/>
          <c:yMode val="edge"/>
          <c:x val="0.17772987751531075"/>
          <c:y val="0.92505978419364243"/>
          <c:w val="0.60565135608049137"/>
          <c:h val="7.49402158063575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a:noFill/>
    </a:ln>
    <a:effectLst>
      <a:softEdge rad="0"/>
    </a:effectLst>
  </c:spPr>
  <c:txPr>
    <a:bodyPr/>
    <a:lstStyle/>
    <a:p>
      <a:pPr>
        <a:defRPr>
          <a:latin typeface="Arial Narrow" panose="020B0606020202030204" pitchFamily="34" charset="0"/>
        </a:defRPr>
      </a:pPr>
      <a:endParaRPr lang="sk-SK"/>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732064741907268E-2"/>
          <c:y val="5.0925925925925923E-2"/>
          <c:w val="0.84921237970253716"/>
          <c:h val="0.79606991834354035"/>
        </c:manualLayout>
      </c:layout>
      <c:barChart>
        <c:barDir val="bar"/>
        <c:grouping val="clustered"/>
        <c:varyColors val="0"/>
        <c:ser>
          <c:idx val="0"/>
          <c:order val="0"/>
          <c:tx>
            <c:strRef>
              <c:f>výstup!$B$3</c:f>
              <c:strCache>
                <c:ptCount val="1"/>
                <c:pt idx="0">
                  <c:v>ÚRZ</c:v>
                </c:pt>
              </c:strCache>
            </c:strRef>
          </c:tx>
          <c:spPr>
            <a:solidFill>
              <a:srgbClr val="00B0F0"/>
            </a:solidFill>
            <a:ln>
              <a:noFill/>
            </a:ln>
            <a:effectLst/>
          </c:spPr>
          <c:invertIfNegative val="0"/>
          <c:dLbls>
            <c:dLbl>
              <c:idx val="2"/>
              <c:layout>
                <c:manualLayout>
                  <c:x val="1.116694584031267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909-4D79-A6BE-584E3D27529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výstup!$C$2:$E$2</c:f>
              <c:numCache>
                <c:formatCode>General</c:formatCode>
                <c:ptCount val="3"/>
                <c:pt idx="0">
                  <c:v>2019</c:v>
                </c:pt>
                <c:pt idx="1">
                  <c:v>2018</c:v>
                </c:pt>
                <c:pt idx="2">
                  <c:v>2017</c:v>
                </c:pt>
              </c:numCache>
            </c:numRef>
          </c:cat>
          <c:val>
            <c:numRef>
              <c:f>výstup!$C$3:$E$3</c:f>
              <c:numCache>
                <c:formatCode>#\ ##0.00\ \ </c:formatCode>
                <c:ptCount val="3"/>
                <c:pt idx="0">
                  <c:v>41108950.297773004</c:v>
                </c:pt>
                <c:pt idx="1">
                  <c:v>35922102.178438582</c:v>
                </c:pt>
                <c:pt idx="2">
                  <c:v>33637738.710000008</c:v>
                </c:pt>
              </c:numCache>
            </c:numRef>
          </c:val>
          <c:extLst xmlns:c16r2="http://schemas.microsoft.com/office/drawing/2015/06/chart">
            <c:ext xmlns:c16="http://schemas.microsoft.com/office/drawing/2014/chart" uri="{C3380CC4-5D6E-409C-BE32-E72D297353CC}">
              <c16:uniqueId val="{00000000-B83F-4742-AE32-A0DC6A1E90AE}"/>
            </c:ext>
          </c:extLst>
        </c:ser>
        <c:ser>
          <c:idx val="1"/>
          <c:order val="1"/>
          <c:tx>
            <c:strRef>
              <c:f>výstup!$B$4</c:f>
              <c:strCache>
                <c:ptCount val="1"/>
                <c:pt idx="0">
                  <c:v>ŠVPS</c:v>
                </c:pt>
              </c:strCache>
            </c:strRef>
          </c:tx>
          <c:spPr>
            <a:solidFill>
              <a:srgbClr val="00B050"/>
            </a:solidFill>
            <a:ln>
              <a:noFill/>
            </a:ln>
            <a:effectLst/>
          </c:spPr>
          <c:invertIfNegative val="0"/>
          <c:dLbls>
            <c:dLbl>
              <c:idx val="0"/>
              <c:layout>
                <c:manualLayout>
                  <c:x val="1.11669458403125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909-4D79-A6BE-584E3D27529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výstup!$C$2:$E$2</c:f>
              <c:numCache>
                <c:formatCode>General</c:formatCode>
                <c:ptCount val="3"/>
                <c:pt idx="0">
                  <c:v>2019</c:v>
                </c:pt>
                <c:pt idx="1">
                  <c:v>2018</c:v>
                </c:pt>
                <c:pt idx="2">
                  <c:v>2017</c:v>
                </c:pt>
              </c:numCache>
            </c:numRef>
          </c:cat>
          <c:val>
            <c:numRef>
              <c:f>výstup!$C$4:$E$4</c:f>
              <c:numCache>
                <c:formatCode>#\ ##0.00\ \ </c:formatCode>
                <c:ptCount val="3"/>
                <c:pt idx="0">
                  <c:v>33632103.927628517</c:v>
                </c:pt>
                <c:pt idx="1">
                  <c:v>25283277.430081367</c:v>
                </c:pt>
                <c:pt idx="2">
                  <c:v>25468621.079999987</c:v>
                </c:pt>
              </c:numCache>
            </c:numRef>
          </c:val>
          <c:extLst xmlns:c16r2="http://schemas.microsoft.com/office/drawing/2015/06/chart">
            <c:ext xmlns:c16="http://schemas.microsoft.com/office/drawing/2014/chart" uri="{C3380CC4-5D6E-409C-BE32-E72D297353CC}">
              <c16:uniqueId val="{00000001-B83F-4742-AE32-A0DC6A1E90AE}"/>
            </c:ext>
          </c:extLst>
        </c:ser>
        <c:dLbls>
          <c:showLegendKey val="0"/>
          <c:showVal val="0"/>
          <c:showCatName val="0"/>
          <c:showSerName val="0"/>
          <c:showPercent val="0"/>
          <c:showBubbleSize val="0"/>
        </c:dLbls>
        <c:gapWidth val="205"/>
        <c:overlap val="-75"/>
        <c:axId val="504703384"/>
        <c:axId val="504704168"/>
      </c:barChart>
      <c:catAx>
        <c:axId val="504703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04704168"/>
        <c:crossesAt val="0"/>
        <c:auto val="1"/>
        <c:lblAlgn val="ctr"/>
        <c:lblOffset val="100"/>
        <c:noMultiLvlLbl val="0"/>
      </c:catAx>
      <c:valAx>
        <c:axId val="504704168"/>
        <c:scaling>
          <c:orientation val="minMax"/>
          <c:max val="45000000"/>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04703384"/>
        <c:crosses val="autoZero"/>
        <c:crossBetween val="between"/>
        <c:majorUnit val="5000000"/>
        <c:dispUnits>
          <c:builtInUnit val="millions"/>
        </c:dispUnits>
      </c:valAx>
      <c:spPr>
        <a:noFill/>
        <a:ln>
          <a:noFill/>
        </a:ln>
        <a:effectLst/>
      </c:spPr>
    </c:plotArea>
    <c:legend>
      <c:legendPos val="b"/>
      <c:layout>
        <c:manualLayout>
          <c:xMode val="edge"/>
          <c:yMode val="edge"/>
          <c:x val="0.17772987751531058"/>
          <c:y val="0.92505978419364243"/>
          <c:w val="0.60565135608048992"/>
          <c:h val="7.49402158063575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732064741907255E-2"/>
          <c:y val="5.0925925925925923E-2"/>
          <c:w val="0.84921237970253638"/>
          <c:h val="0.79606991834354091"/>
        </c:manualLayout>
      </c:layout>
      <c:barChart>
        <c:barDir val="bar"/>
        <c:grouping val="clustered"/>
        <c:varyColors val="0"/>
        <c:ser>
          <c:idx val="0"/>
          <c:order val="0"/>
          <c:tx>
            <c:strRef>
              <c:f>výstup!$B$3</c:f>
              <c:strCache>
                <c:ptCount val="1"/>
                <c:pt idx="0">
                  <c:v>ÚRZ</c:v>
                </c:pt>
              </c:strCache>
            </c:strRef>
          </c:tx>
          <c:spPr>
            <a:solidFill>
              <a:srgbClr val="00B0F0"/>
            </a:solidFill>
            <a:ln>
              <a:noFill/>
            </a:ln>
            <a:effectLst/>
          </c:spPr>
          <c:invertIfNegative val="0"/>
          <c:dLbls>
            <c:dLbl>
              <c:idx val="2"/>
              <c:layout>
                <c:manualLayout>
                  <c:x val="1.116694584031268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909-4D79-A6BE-584E3D27529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výstup!$C$2:$E$2</c:f>
              <c:numCache>
                <c:formatCode>General</c:formatCode>
                <c:ptCount val="3"/>
                <c:pt idx="0">
                  <c:v>2019</c:v>
                </c:pt>
                <c:pt idx="1">
                  <c:v>2018</c:v>
                </c:pt>
                <c:pt idx="2">
                  <c:v>2017</c:v>
                </c:pt>
              </c:numCache>
            </c:numRef>
          </c:cat>
          <c:val>
            <c:numRef>
              <c:f>výstup!$C$3:$E$3</c:f>
              <c:numCache>
                <c:formatCode>#\ ##0.00\ \ </c:formatCode>
                <c:ptCount val="3"/>
                <c:pt idx="0">
                  <c:v>41108950.297773011</c:v>
                </c:pt>
                <c:pt idx="1">
                  <c:v>35922102.178438619</c:v>
                </c:pt>
                <c:pt idx="2">
                  <c:v>33637738.710000008</c:v>
                </c:pt>
              </c:numCache>
            </c:numRef>
          </c:val>
          <c:extLst xmlns:c16r2="http://schemas.microsoft.com/office/drawing/2015/06/chart">
            <c:ext xmlns:c16="http://schemas.microsoft.com/office/drawing/2014/chart" uri="{C3380CC4-5D6E-409C-BE32-E72D297353CC}">
              <c16:uniqueId val="{00000000-B83F-4742-AE32-A0DC6A1E90AE}"/>
            </c:ext>
          </c:extLst>
        </c:ser>
        <c:ser>
          <c:idx val="1"/>
          <c:order val="1"/>
          <c:tx>
            <c:strRef>
              <c:f>výstup!$B$4</c:f>
              <c:strCache>
                <c:ptCount val="1"/>
                <c:pt idx="0">
                  <c:v>ŠVPS</c:v>
                </c:pt>
              </c:strCache>
            </c:strRef>
          </c:tx>
          <c:spPr>
            <a:solidFill>
              <a:srgbClr val="00B050"/>
            </a:solidFill>
            <a:ln>
              <a:noFill/>
            </a:ln>
            <a:effectLst/>
          </c:spPr>
          <c:invertIfNegative val="0"/>
          <c:dLbls>
            <c:dLbl>
              <c:idx val="0"/>
              <c:layout>
                <c:manualLayout>
                  <c:x val="1.116694584031252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909-4D79-A6BE-584E3D27529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výstup!$C$2:$E$2</c:f>
              <c:numCache>
                <c:formatCode>General</c:formatCode>
                <c:ptCount val="3"/>
                <c:pt idx="0">
                  <c:v>2019</c:v>
                </c:pt>
                <c:pt idx="1">
                  <c:v>2018</c:v>
                </c:pt>
                <c:pt idx="2">
                  <c:v>2017</c:v>
                </c:pt>
              </c:numCache>
            </c:numRef>
          </c:cat>
          <c:val>
            <c:numRef>
              <c:f>výstup!$C$4:$E$4</c:f>
              <c:numCache>
                <c:formatCode>#\ ##0.00\ \ </c:formatCode>
                <c:ptCount val="3"/>
                <c:pt idx="0">
                  <c:v>33632103.927628517</c:v>
                </c:pt>
                <c:pt idx="1">
                  <c:v>25283277.430081367</c:v>
                </c:pt>
                <c:pt idx="2">
                  <c:v>25468621.079999987</c:v>
                </c:pt>
              </c:numCache>
            </c:numRef>
          </c:val>
          <c:extLst xmlns:c16r2="http://schemas.microsoft.com/office/drawing/2015/06/chart">
            <c:ext xmlns:c16="http://schemas.microsoft.com/office/drawing/2014/chart" uri="{C3380CC4-5D6E-409C-BE32-E72D297353CC}">
              <c16:uniqueId val="{00000001-B83F-4742-AE32-A0DC6A1E90AE}"/>
            </c:ext>
          </c:extLst>
        </c:ser>
        <c:dLbls>
          <c:showLegendKey val="0"/>
          <c:showVal val="0"/>
          <c:showCatName val="0"/>
          <c:showSerName val="0"/>
          <c:showPercent val="0"/>
          <c:showBubbleSize val="0"/>
        </c:dLbls>
        <c:gapWidth val="205"/>
        <c:overlap val="-75"/>
        <c:axId val="504704560"/>
        <c:axId val="504705344"/>
      </c:barChart>
      <c:catAx>
        <c:axId val="50470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04705344"/>
        <c:crossesAt val="0"/>
        <c:auto val="1"/>
        <c:lblAlgn val="ctr"/>
        <c:lblOffset val="100"/>
        <c:noMultiLvlLbl val="0"/>
      </c:catAx>
      <c:valAx>
        <c:axId val="504705344"/>
        <c:scaling>
          <c:orientation val="minMax"/>
          <c:max val="45000000"/>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04704560"/>
        <c:crosses val="autoZero"/>
        <c:crossBetween val="between"/>
        <c:majorUnit val="5000000"/>
        <c:dispUnits>
          <c:builtInUnit val="millions"/>
        </c:dispUnits>
      </c:valAx>
      <c:spPr>
        <a:noFill/>
        <a:ln>
          <a:noFill/>
        </a:ln>
        <a:effectLst/>
      </c:spPr>
    </c:plotArea>
    <c:legend>
      <c:legendPos val="b"/>
      <c:layout>
        <c:manualLayout>
          <c:xMode val="edge"/>
          <c:yMode val="edge"/>
          <c:x val="0.17772987751531069"/>
          <c:y val="0.92505978419364243"/>
          <c:w val="0.60565135608049092"/>
          <c:h val="7.49402158063575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732064741907255E-2"/>
          <c:y val="5.0925925925925923E-2"/>
          <c:w val="0.84921237970253682"/>
          <c:h val="0.79606991834354068"/>
        </c:manualLayout>
      </c:layout>
      <c:barChart>
        <c:barDir val="bar"/>
        <c:grouping val="clustered"/>
        <c:varyColors val="0"/>
        <c:ser>
          <c:idx val="0"/>
          <c:order val="0"/>
          <c:tx>
            <c:strRef>
              <c:f>výstup!$B$3</c:f>
              <c:strCache>
                <c:ptCount val="1"/>
                <c:pt idx="0">
                  <c:v>ÚRZ</c:v>
                </c:pt>
              </c:strCache>
            </c:strRef>
          </c:tx>
          <c:spPr>
            <a:solidFill>
              <a:srgbClr val="00B0F0"/>
            </a:solidFill>
            <a:ln>
              <a:noFill/>
            </a:ln>
            <a:effectLst/>
          </c:spPr>
          <c:invertIfNegative val="0"/>
          <c:dLbls>
            <c:dLbl>
              <c:idx val="2"/>
              <c:layout>
                <c:manualLayout>
                  <c:x val="1.116694584031268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909-4D79-A6BE-584E3D27529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výstup!$C$2:$E$2</c:f>
              <c:numCache>
                <c:formatCode>General</c:formatCode>
                <c:ptCount val="3"/>
                <c:pt idx="0">
                  <c:v>2019</c:v>
                </c:pt>
                <c:pt idx="1">
                  <c:v>2018</c:v>
                </c:pt>
                <c:pt idx="2">
                  <c:v>2017</c:v>
                </c:pt>
              </c:numCache>
            </c:numRef>
          </c:cat>
          <c:val>
            <c:numRef>
              <c:f>výstup!$C$3:$E$3</c:f>
              <c:numCache>
                <c:formatCode>#\ ##0.00\ \ </c:formatCode>
                <c:ptCount val="3"/>
                <c:pt idx="0">
                  <c:v>41108950.297773011</c:v>
                </c:pt>
                <c:pt idx="1">
                  <c:v>35922102.178438596</c:v>
                </c:pt>
                <c:pt idx="2">
                  <c:v>33637738.710000008</c:v>
                </c:pt>
              </c:numCache>
            </c:numRef>
          </c:val>
          <c:extLst xmlns:c16r2="http://schemas.microsoft.com/office/drawing/2015/06/chart">
            <c:ext xmlns:c16="http://schemas.microsoft.com/office/drawing/2014/chart" uri="{C3380CC4-5D6E-409C-BE32-E72D297353CC}">
              <c16:uniqueId val="{00000000-B83F-4742-AE32-A0DC6A1E90AE}"/>
            </c:ext>
          </c:extLst>
        </c:ser>
        <c:ser>
          <c:idx val="1"/>
          <c:order val="1"/>
          <c:tx>
            <c:strRef>
              <c:f>výstup!$B$4</c:f>
              <c:strCache>
                <c:ptCount val="1"/>
                <c:pt idx="0">
                  <c:v>ŠVPS</c:v>
                </c:pt>
              </c:strCache>
            </c:strRef>
          </c:tx>
          <c:spPr>
            <a:solidFill>
              <a:srgbClr val="00B050"/>
            </a:solidFill>
            <a:ln>
              <a:noFill/>
            </a:ln>
            <a:effectLst/>
          </c:spPr>
          <c:invertIfNegative val="0"/>
          <c:dLbls>
            <c:dLbl>
              <c:idx val="0"/>
              <c:layout>
                <c:manualLayout>
                  <c:x val="1.116694584031251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909-4D79-A6BE-584E3D27529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výstup!$C$2:$E$2</c:f>
              <c:numCache>
                <c:formatCode>General</c:formatCode>
                <c:ptCount val="3"/>
                <c:pt idx="0">
                  <c:v>2019</c:v>
                </c:pt>
                <c:pt idx="1">
                  <c:v>2018</c:v>
                </c:pt>
                <c:pt idx="2">
                  <c:v>2017</c:v>
                </c:pt>
              </c:numCache>
            </c:numRef>
          </c:cat>
          <c:val>
            <c:numRef>
              <c:f>výstup!$C$4:$E$4</c:f>
              <c:numCache>
                <c:formatCode>#\ ##0.00\ \ </c:formatCode>
                <c:ptCount val="3"/>
                <c:pt idx="0">
                  <c:v>33632103.927628517</c:v>
                </c:pt>
                <c:pt idx="1">
                  <c:v>25283277.430081367</c:v>
                </c:pt>
                <c:pt idx="2">
                  <c:v>25468621.079999987</c:v>
                </c:pt>
              </c:numCache>
            </c:numRef>
          </c:val>
          <c:extLst xmlns:c16r2="http://schemas.microsoft.com/office/drawing/2015/06/chart">
            <c:ext xmlns:c16="http://schemas.microsoft.com/office/drawing/2014/chart" uri="{C3380CC4-5D6E-409C-BE32-E72D297353CC}">
              <c16:uniqueId val="{00000001-B83F-4742-AE32-A0DC6A1E90AE}"/>
            </c:ext>
          </c:extLst>
        </c:ser>
        <c:dLbls>
          <c:showLegendKey val="0"/>
          <c:showVal val="0"/>
          <c:showCatName val="0"/>
          <c:showSerName val="0"/>
          <c:showPercent val="0"/>
          <c:showBubbleSize val="0"/>
        </c:dLbls>
        <c:gapWidth val="205"/>
        <c:overlap val="-75"/>
        <c:axId val="504705736"/>
        <c:axId val="504706520"/>
      </c:barChart>
      <c:catAx>
        <c:axId val="504705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04706520"/>
        <c:crossesAt val="0"/>
        <c:auto val="1"/>
        <c:lblAlgn val="ctr"/>
        <c:lblOffset val="100"/>
        <c:noMultiLvlLbl val="0"/>
      </c:catAx>
      <c:valAx>
        <c:axId val="504706520"/>
        <c:scaling>
          <c:orientation val="minMax"/>
          <c:max val="45000000"/>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04705736"/>
        <c:crosses val="autoZero"/>
        <c:crossBetween val="between"/>
        <c:majorUnit val="5000000"/>
        <c:dispUnits>
          <c:builtInUnit val="million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Tabulky!$N$68</c:f>
              <c:strCache>
                <c:ptCount val="1"/>
                <c:pt idx="0">
                  <c:v>   VšZP</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Tabulky!$O$67:$P$67</c:f>
              <c:strCache>
                <c:ptCount val="2"/>
                <c:pt idx="0">
                  <c:v>CT</c:v>
                </c:pt>
                <c:pt idx="1">
                  <c:v>MR</c:v>
                </c:pt>
              </c:strCache>
            </c:strRef>
          </c:cat>
          <c:val>
            <c:numRef>
              <c:f>Tabulky!$O$68:$P$68</c:f>
              <c:numCache>
                <c:formatCode>0%</c:formatCode>
                <c:ptCount val="2"/>
                <c:pt idx="0" formatCode="0.0%">
                  <c:v>-2.4732316855887504E-2</c:v>
                </c:pt>
                <c:pt idx="1">
                  <c:v>-1.5514470087431675E-2</c:v>
                </c:pt>
              </c:numCache>
            </c:numRef>
          </c:val>
          <c:extLst xmlns:c16r2="http://schemas.microsoft.com/office/drawing/2015/06/chart">
            <c:ext xmlns:c16="http://schemas.microsoft.com/office/drawing/2014/chart" uri="{C3380CC4-5D6E-409C-BE32-E72D297353CC}">
              <c16:uniqueId val="{00000000-FCD5-49B0-A782-87B4D92E052A}"/>
            </c:ext>
          </c:extLst>
        </c:ser>
        <c:ser>
          <c:idx val="1"/>
          <c:order val="1"/>
          <c:tx>
            <c:strRef>
              <c:f>Tabulky!$N$69</c:f>
              <c:strCache>
                <c:ptCount val="1"/>
                <c:pt idx="0">
                  <c:v>   Dôvera</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Tabulky!$O$67:$P$67</c:f>
              <c:strCache>
                <c:ptCount val="2"/>
                <c:pt idx="0">
                  <c:v>CT</c:v>
                </c:pt>
                <c:pt idx="1">
                  <c:v>MR</c:v>
                </c:pt>
              </c:strCache>
            </c:strRef>
          </c:cat>
          <c:val>
            <c:numRef>
              <c:f>Tabulky!$O$69:$P$69</c:f>
              <c:numCache>
                <c:formatCode>0%</c:formatCode>
                <c:ptCount val="2"/>
                <c:pt idx="0" formatCode="0.0%">
                  <c:v>5.8398493286976771E-2</c:v>
                </c:pt>
                <c:pt idx="1">
                  <c:v>2.3677495617765221E-2</c:v>
                </c:pt>
              </c:numCache>
            </c:numRef>
          </c:val>
          <c:extLst xmlns:c16r2="http://schemas.microsoft.com/office/drawing/2015/06/chart">
            <c:ext xmlns:c16="http://schemas.microsoft.com/office/drawing/2014/chart" uri="{C3380CC4-5D6E-409C-BE32-E72D297353CC}">
              <c16:uniqueId val="{00000001-FCD5-49B0-A782-87B4D92E052A}"/>
            </c:ext>
          </c:extLst>
        </c:ser>
        <c:ser>
          <c:idx val="2"/>
          <c:order val="2"/>
          <c:tx>
            <c:strRef>
              <c:f>Tabulky!$N$70</c:f>
              <c:strCache>
                <c:ptCount val="1"/>
                <c:pt idx="0">
                  <c:v>   Union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Tabulky!$O$67:$P$67</c:f>
              <c:strCache>
                <c:ptCount val="2"/>
                <c:pt idx="0">
                  <c:v>CT</c:v>
                </c:pt>
                <c:pt idx="1">
                  <c:v>MR</c:v>
                </c:pt>
              </c:strCache>
            </c:strRef>
          </c:cat>
          <c:val>
            <c:numRef>
              <c:f>Tabulky!$O$70:$P$70</c:f>
              <c:numCache>
                <c:formatCode>0%</c:formatCode>
                <c:ptCount val="2"/>
                <c:pt idx="0" formatCode="0.0%">
                  <c:v>5.915857088377563E-2</c:v>
                </c:pt>
                <c:pt idx="1">
                  <c:v>2.0071263162218189E-2</c:v>
                </c:pt>
              </c:numCache>
            </c:numRef>
          </c:val>
          <c:extLst xmlns:c16r2="http://schemas.microsoft.com/office/drawing/2015/06/chart">
            <c:ext xmlns:c16="http://schemas.microsoft.com/office/drawing/2014/chart" uri="{C3380CC4-5D6E-409C-BE32-E72D297353CC}">
              <c16:uniqueId val="{00000002-FCD5-49B0-A782-87B4D92E052A}"/>
            </c:ext>
          </c:extLst>
        </c:ser>
        <c:dLbls>
          <c:dLblPos val="inEnd"/>
          <c:showLegendKey val="0"/>
          <c:showVal val="1"/>
          <c:showCatName val="0"/>
          <c:showSerName val="0"/>
          <c:showPercent val="0"/>
          <c:showBubbleSize val="0"/>
        </c:dLbls>
        <c:gapWidth val="219"/>
        <c:overlap val="-27"/>
        <c:axId val="226713200"/>
        <c:axId val="226712416"/>
      </c:barChart>
      <c:catAx>
        <c:axId val="2267132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26712416"/>
        <c:crosses val="autoZero"/>
        <c:auto val="1"/>
        <c:lblAlgn val="ctr"/>
        <c:lblOffset val="100"/>
        <c:noMultiLvlLbl val="0"/>
      </c:catAx>
      <c:valAx>
        <c:axId val="226712416"/>
        <c:scaling>
          <c:orientation val="minMax"/>
          <c:max val="8.0000000000000016E-2"/>
          <c:min val="-3.0000000000000006E-2"/>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26713200"/>
        <c:crosses val="autoZero"/>
        <c:crossBetween val="between"/>
        <c:majorUnit val="3.0000000000000006E-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Tabulky!$N$68</c:f>
              <c:strCache>
                <c:ptCount val="1"/>
                <c:pt idx="0">
                  <c:v>   VšZP</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Tabulky!$R$67:$S$67</c:f>
              <c:strCache>
                <c:ptCount val="2"/>
                <c:pt idx="0">
                  <c:v>CT výkony</c:v>
                </c:pt>
                <c:pt idx="1">
                  <c:v>MR výkony</c:v>
                </c:pt>
              </c:strCache>
            </c:strRef>
          </c:cat>
          <c:val>
            <c:numRef>
              <c:f>Tabulky!$R$68:$S$68</c:f>
              <c:numCache>
                <c:formatCode>0.00%</c:formatCode>
                <c:ptCount val="2"/>
                <c:pt idx="0" formatCode="0.0%">
                  <c:v>3.2338525019449893E-2</c:v>
                </c:pt>
                <c:pt idx="1">
                  <c:v>8.8262227076585376E-5</c:v>
                </c:pt>
              </c:numCache>
            </c:numRef>
          </c:val>
          <c:extLst xmlns:c16r2="http://schemas.microsoft.com/office/drawing/2015/06/chart">
            <c:ext xmlns:c16="http://schemas.microsoft.com/office/drawing/2014/chart" uri="{C3380CC4-5D6E-409C-BE32-E72D297353CC}">
              <c16:uniqueId val="{00000000-F206-47AC-87F5-BFC56A483FE7}"/>
            </c:ext>
          </c:extLst>
        </c:ser>
        <c:ser>
          <c:idx val="1"/>
          <c:order val="1"/>
          <c:tx>
            <c:strRef>
              <c:f>Tabulky!$N$69</c:f>
              <c:strCache>
                <c:ptCount val="1"/>
                <c:pt idx="0">
                  <c:v>   Dôvera</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Tabulky!$R$67:$S$67</c:f>
              <c:strCache>
                <c:ptCount val="2"/>
                <c:pt idx="0">
                  <c:v>CT výkony</c:v>
                </c:pt>
                <c:pt idx="1">
                  <c:v>MR výkony</c:v>
                </c:pt>
              </c:strCache>
            </c:strRef>
          </c:cat>
          <c:val>
            <c:numRef>
              <c:f>Tabulky!$R$69:$S$69</c:f>
              <c:numCache>
                <c:formatCode>0.0%</c:formatCode>
                <c:ptCount val="2"/>
                <c:pt idx="0">
                  <c:v>5.8968654403877441E-2</c:v>
                </c:pt>
                <c:pt idx="1">
                  <c:v>6.0915750527420487E-2</c:v>
                </c:pt>
              </c:numCache>
            </c:numRef>
          </c:val>
          <c:extLst xmlns:c16r2="http://schemas.microsoft.com/office/drawing/2015/06/chart">
            <c:ext xmlns:c16="http://schemas.microsoft.com/office/drawing/2014/chart" uri="{C3380CC4-5D6E-409C-BE32-E72D297353CC}">
              <c16:uniqueId val="{00000001-F206-47AC-87F5-BFC56A483FE7}"/>
            </c:ext>
          </c:extLst>
        </c:ser>
        <c:ser>
          <c:idx val="2"/>
          <c:order val="2"/>
          <c:tx>
            <c:strRef>
              <c:f>Tabulky!$N$70</c:f>
              <c:strCache>
                <c:ptCount val="1"/>
                <c:pt idx="0">
                  <c:v>   Union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Tabulky!$R$67:$S$67</c:f>
              <c:strCache>
                <c:ptCount val="2"/>
                <c:pt idx="0">
                  <c:v>CT výkony</c:v>
                </c:pt>
                <c:pt idx="1">
                  <c:v>MR výkony</c:v>
                </c:pt>
              </c:strCache>
            </c:strRef>
          </c:cat>
          <c:val>
            <c:numRef>
              <c:f>Tabulky!$R$70:$S$70</c:f>
              <c:numCache>
                <c:formatCode>0.0%</c:formatCode>
                <c:ptCount val="2"/>
                <c:pt idx="0">
                  <c:v>0.10304786131524413</c:v>
                </c:pt>
                <c:pt idx="1">
                  <c:v>7.9895804984254193E-2</c:v>
                </c:pt>
              </c:numCache>
            </c:numRef>
          </c:val>
          <c:extLst xmlns:c16r2="http://schemas.microsoft.com/office/drawing/2015/06/chart">
            <c:ext xmlns:c16="http://schemas.microsoft.com/office/drawing/2014/chart" uri="{C3380CC4-5D6E-409C-BE32-E72D297353CC}">
              <c16:uniqueId val="{00000002-F206-47AC-87F5-BFC56A483FE7}"/>
            </c:ext>
          </c:extLst>
        </c:ser>
        <c:dLbls>
          <c:dLblPos val="inEnd"/>
          <c:showLegendKey val="0"/>
          <c:showVal val="1"/>
          <c:showCatName val="0"/>
          <c:showSerName val="0"/>
          <c:showPercent val="0"/>
          <c:showBubbleSize val="0"/>
        </c:dLbls>
        <c:gapWidth val="219"/>
        <c:overlap val="-27"/>
        <c:axId val="226712024"/>
        <c:axId val="226711240"/>
      </c:barChart>
      <c:catAx>
        <c:axId val="2267120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26711240"/>
        <c:crosses val="autoZero"/>
        <c:auto val="1"/>
        <c:lblAlgn val="ctr"/>
        <c:lblOffset val="100"/>
        <c:noMultiLvlLbl val="0"/>
      </c:catAx>
      <c:valAx>
        <c:axId val="226711240"/>
        <c:scaling>
          <c:orientation val="minMax"/>
          <c:max val="0.11000000000000001"/>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2267120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'Grafy 1H2019.2018'!$B$159</c:f>
              <c:strCache>
                <c:ptCount val="1"/>
                <c:pt idx="0">
                  <c:v>Dôvera</c:v>
                </c:pt>
              </c:strCache>
            </c:strRef>
          </c:tx>
          <c:spPr>
            <a:solidFill>
              <a:srgbClr val="00B0F0"/>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'Grafy 1H2019.2018'!$C$158:$F$158</c:f>
              <c:numCache>
                <c:formatCode>General</c:formatCode>
                <c:ptCount val="4"/>
                <c:pt idx="0">
                  <c:v>2016</c:v>
                </c:pt>
                <c:pt idx="1">
                  <c:v>2017</c:v>
                </c:pt>
                <c:pt idx="2">
                  <c:v>2018</c:v>
                </c:pt>
                <c:pt idx="3">
                  <c:v>2019</c:v>
                </c:pt>
              </c:numCache>
            </c:numRef>
          </c:cat>
          <c:val>
            <c:numRef>
              <c:f>'Grafy 1H2019.2018'!$C$159:$F$159</c:f>
              <c:numCache>
                <c:formatCode>#,##0</c:formatCode>
                <c:ptCount val="4"/>
                <c:pt idx="0" formatCode="General">
                  <c:v>56077874</c:v>
                </c:pt>
                <c:pt idx="1">
                  <c:v>55752345</c:v>
                </c:pt>
                <c:pt idx="2">
                  <c:v>57201576</c:v>
                </c:pt>
                <c:pt idx="3">
                  <c:v>60443627</c:v>
                </c:pt>
              </c:numCache>
            </c:numRef>
          </c:val>
          <c:extLst xmlns:c16r2="http://schemas.microsoft.com/office/drawing/2015/06/chart">
            <c:ext xmlns:c16="http://schemas.microsoft.com/office/drawing/2014/chart" uri="{C3380CC4-5D6E-409C-BE32-E72D297353CC}">
              <c16:uniqueId val="{00000000-41FD-4631-8EB5-72D7614A1886}"/>
            </c:ext>
          </c:extLst>
        </c:ser>
        <c:ser>
          <c:idx val="1"/>
          <c:order val="1"/>
          <c:tx>
            <c:strRef>
              <c:f>'Grafy 1H2019.2018'!$B$160</c:f>
              <c:strCache>
                <c:ptCount val="1"/>
                <c:pt idx="0">
                  <c:v>Union</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'Grafy 1H2019.2018'!$C$158:$F$158</c:f>
              <c:numCache>
                <c:formatCode>General</c:formatCode>
                <c:ptCount val="4"/>
                <c:pt idx="0">
                  <c:v>2016</c:v>
                </c:pt>
                <c:pt idx="1">
                  <c:v>2017</c:v>
                </c:pt>
                <c:pt idx="2">
                  <c:v>2018</c:v>
                </c:pt>
                <c:pt idx="3">
                  <c:v>2019</c:v>
                </c:pt>
              </c:numCache>
            </c:numRef>
          </c:cat>
          <c:val>
            <c:numRef>
              <c:f>'Grafy 1H2019.2018'!$C$160:$F$160</c:f>
              <c:numCache>
                <c:formatCode>#,##0</c:formatCode>
                <c:ptCount val="4"/>
                <c:pt idx="0" formatCode="General">
                  <c:v>19046149.940000005</c:v>
                </c:pt>
                <c:pt idx="1">
                  <c:v>18447341.490000002</c:v>
                </c:pt>
                <c:pt idx="2">
                  <c:v>18146411.149999999</c:v>
                </c:pt>
                <c:pt idx="3">
                  <c:v>20345779.420000002</c:v>
                </c:pt>
              </c:numCache>
            </c:numRef>
          </c:val>
          <c:extLst xmlns:c16r2="http://schemas.microsoft.com/office/drawing/2015/06/chart">
            <c:ext xmlns:c16="http://schemas.microsoft.com/office/drawing/2014/chart" uri="{C3380CC4-5D6E-409C-BE32-E72D297353CC}">
              <c16:uniqueId val="{00000001-41FD-4631-8EB5-72D7614A1886}"/>
            </c:ext>
          </c:extLst>
        </c:ser>
        <c:ser>
          <c:idx val="2"/>
          <c:order val="2"/>
          <c:tx>
            <c:strRef>
              <c:f>'Grafy 1H2019.2018'!$B$161</c:f>
              <c:strCache>
                <c:ptCount val="1"/>
                <c:pt idx="0">
                  <c:v>VšZP</c:v>
                </c:pt>
              </c:strCache>
            </c:strRef>
          </c:tx>
          <c:spPr>
            <a:solidFill>
              <a:srgbClr val="002060"/>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'Grafy 1H2019.2018'!$C$158:$F$158</c:f>
              <c:numCache>
                <c:formatCode>General</c:formatCode>
                <c:ptCount val="4"/>
                <c:pt idx="0">
                  <c:v>2016</c:v>
                </c:pt>
                <c:pt idx="1">
                  <c:v>2017</c:v>
                </c:pt>
                <c:pt idx="2">
                  <c:v>2018</c:v>
                </c:pt>
                <c:pt idx="3">
                  <c:v>2019</c:v>
                </c:pt>
              </c:numCache>
            </c:numRef>
          </c:cat>
          <c:val>
            <c:numRef>
              <c:f>'Grafy 1H2019.2018'!$C$161:$F$161</c:f>
              <c:numCache>
                <c:formatCode>#,##0</c:formatCode>
                <c:ptCount val="4"/>
                <c:pt idx="0" formatCode="General">
                  <c:v>180403008.76999998</c:v>
                </c:pt>
                <c:pt idx="1">
                  <c:v>179367163.72</c:v>
                </c:pt>
                <c:pt idx="2">
                  <c:v>186664517.47999999</c:v>
                </c:pt>
                <c:pt idx="3">
                  <c:v>189710305.62</c:v>
                </c:pt>
              </c:numCache>
            </c:numRef>
          </c:val>
          <c:extLst xmlns:c16r2="http://schemas.microsoft.com/office/drawing/2015/06/chart">
            <c:ext xmlns:c16="http://schemas.microsoft.com/office/drawing/2014/chart" uri="{C3380CC4-5D6E-409C-BE32-E72D297353CC}">
              <c16:uniqueId val="{00000002-41FD-4631-8EB5-72D7614A1886}"/>
            </c:ext>
          </c:extLst>
        </c:ser>
        <c:dLbls>
          <c:dLblPos val="ctr"/>
          <c:showLegendKey val="0"/>
          <c:showVal val="1"/>
          <c:showCatName val="0"/>
          <c:showSerName val="0"/>
          <c:showPercent val="0"/>
          <c:showBubbleSize val="0"/>
        </c:dLbls>
        <c:gapWidth val="150"/>
        <c:overlap val="100"/>
        <c:axId val="720621896"/>
        <c:axId val="720638752"/>
      </c:barChart>
      <c:catAx>
        <c:axId val="720621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720638752"/>
        <c:crosses val="autoZero"/>
        <c:auto val="1"/>
        <c:lblAlgn val="ctr"/>
        <c:lblOffset val="100"/>
        <c:noMultiLvlLbl val="0"/>
      </c:catAx>
      <c:valAx>
        <c:axId val="720638752"/>
        <c:scaling>
          <c:orientation val="minMax"/>
          <c:max val="2800000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720621896"/>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'VH, Ebitda'!$D$8</c:f>
              <c:strCache>
                <c:ptCount val="1"/>
                <c:pt idx="0">
                  <c:v>VH bez oddlženia</c:v>
                </c:pt>
              </c:strCache>
            </c:strRef>
          </c:tx>
          <c:spPr>
            <a:solidFill>
              <a:srgbClr val="00B0F0"/>
            </a:solidFill>
            <a:ln>
              <a:noFill/>
            </a:ln>
            <a:effectLst/>
          </c:spPr>
          <c:invertIfNegative val="0"/>
          <c:dLbls>
            <c:dLbl>
              <c:idx val="0"/>
              <c:layout>
                <c:manualLayout>
                  <c:x val="3.3333333333333312E-2"/>
                  <c:y val="8.0886153598616339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FDC-4919-A223-075949F9469A}"/>
                </c:ext>
                <c:ext xmlns:c15="http://schemas.microsoft.com/office/drawing/2012/chart" uri="{CE6537A1-D6FC-4f65-9D91-7224C49458BB}">
                  <c15:layout>
                    <c:manualLayout>
                      <c:w val="5.071111111111111E-2"/>
                      <c:h val="6.6667001873807918E-2"/>
                    </c:manualLayout>
                  </c15:layout>
                </c:ext>
              </c:extLst>
            </c:dLbl>
            <c:dLbl>
              <c:idx val="5"/>
              <c:layout>
                <c:manualLayout>
                  <c:x val="6.5467307584915228E-3"/>
                  <c:y val="-1.2294920614431392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FDC-4919-A223-075949F9469A}"/>
                </c:ext>
                <c:ext xmlns:c15="http://schemas.microsoft.com/office/drawing/2012/chart" uri="{CE6537A1-D6FC-4f65-9D91-7224C49458BB}">
                  <c15:layout>
                    <c:manualLayout>
                      <c:w val="3.5482815057283137E-2"/>
                      <c:h val="5.8709177746224334E-2"/>
                    </c:manualLayout>
                  </c15:layout>
                </c:ext>
              </c:extLst>
            </c:dLbl>
            <c:dLbl>
              <c:idx val="6"/>
              <c:layout>
                <c:manualLayout>
                  <c:x val="-2.1822149481723948E-3"/>
                  <c:y val="-8.196721311475333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0A4-485E-8CC2-7AD19022E06C}"/>
                </c:ext>
                <c:ext xmlns:c15="http://schemas.microsoft.com/office/drawing/2012/chart" uri="{CE6537A1-D6FC-4f65-9D91-7224C49458BB}"/>
              </c:extLst>
            </c:dLbl>
            <c:dLbl>
              <c:idx val="7"/>
              <c:layout>
                <c:manualLayout>
                  <c:x val="-2.1822149481723948E-3"/>
                  <c:y val="-1.229475926164967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0A4-485E-8CC2-7AD19022E06C}"/>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'VH, Ebitda'!$A$9:$A$21</c:f>
              <c:strCache>
                <c:ptCount val="13"/>
                <c:pt idx="0">
                  <c:v>UN
BA</c:v>
                </c:pt>
                <c:pt idx="1">
                  <c:v>NÚDCH BA</c:v>
                </c:pt>
                <c:pt idx="2">
                  <c:v>FN
BB</c:v>
                </c:pt>
                <c:pt idx="3">
                  <c:v>FN
TT</c:v>
                </c:pt>
                <c:pt idx="4">
                  <c:v>FN
TN</c:v>
                </c:pt>
                <c:pt idx="5">
                  <c:v>FN
NR</c:v>
                </c:pt>
                <c:pt idx="6">
                  <c:v>DF
KE </c:v>
                </c:pt>
                <c:pt idx="7">
                  <c:v>DF
BB</c:v>
                </c:pt>
                <c:pt idx="8">
                  <c:v>UN
MT</c:v>
                </c:pt>
                <c:pt idx="9">
                  <c:v>UN
KE</c:v>
                </c:pt>
                <c:pt idx="10">
                  <c:v>FN
NZ</c:v>
                </c:pt>
                <c:pt idx="11">
                  <c:v>FN
ZA</c:v>
                </c:pt>
                <c:pt idx="12">
                  <c:v>FN
PO</c:v>
                </c:pt>
              </c:strCache>
            </c:strRef>
          </c:cat>
          <c:val>
            <c:numRef>
              <c:f>'VH, Ebitda'!$D$9:$D$21</c:f>
              <c:numCache>
                <c:formatCode>#,##0</c:formatCode>
                <c:ptCount val="13"/>
                <c:pt idx="0">
                  <c:v>-58323608.73999998</c:v>
                </c:pt>
                <c:pt idx="1">
                  <c:v>-7864127.7299999893</c:v>
                </c:pt>
                <c:pt idx="2">
                  <c:v>-10320598.669999987</c:v>
                </c:pt>
                <c:pt idx="3">
                  <c:v>-5868567.8940593451</c:v>
                </c:pt>
                <c:pt idx="4">
                  <c:v>-6479310.1099999994</c:v>
                </c:pt>
                <c:pt idx="5">
                  <c:v>333290.86000000685</c:v>
                </c:pt>
                <c:pt idx="6">
                  <c:v>-609577</c:v>
                </c:pt>
                <c:pt idx="7">
                  <c:v>-646953.73000000231</c:v>
                </c:pt>
                <c:pt idx="8">
                  <c:v>-21971414.449999988</c:v>
                </c:pt>
                <c:pt idx="9">
                  <c:v>-25377802.890000045</c:v>
                </c:pt>
                <c:pt idx="10">
                  <c:v>-6359006.3499999866</c:v>
                </c:pt>
                <c:pt idx="11">
                  <c:v>-9471805.0100000203</c:v>
                </c:pt>
                <c:pt idx="12">
                  <c:v>-24923156</c:v>
                </c:pt>
              </c:numCache>
            </c:numRef>
          </c:val>
          <c:extLst xmlns:c16r2="http://schemas.microsoft.com/office/drawing/2015/06/chart">
            <c:ext xmlns:c16="http://schemas.microsoft.com/office/drawing/2014/chart" uri="{C3380CC4-5D6E-409C-BE32-E72D297353CC}">
              <c16:uniqueId val="{00000002-6FDC-4919-A223-075949F9469A}"/>
            </c:ext>
          </c:extLst>
        </c:ser>
        <c:ser>
          <c:idx val="1"/>
          <c:order val="1"/>
          <c:tx>
            <c:strRef>
              <c:f>'VH, Ebitda'!$E$8</c:f>
              <c:strCache>
                <c:ptCount val="1"/>
                <c:pt idx="0">
                  <c:v>VH s oddlžením</c:v>
                </c:pt>
              </c:strCache>
            </c:strRef>
          </c:tx>
          <c:spPr>
            <a:solidFill>
              <a:srgbClr val="002060"/>
            </a:solidFill>
            <a:ln>
              <a:noFill/>
            </a:ln>
            <a:effectLst/>
          </c:spPr>
          <c:invertIfNegative val="0"/>
          <c:dLbls>
            <c:dLbl>
              <c:idx val="0"/>
              <c:layout>
                <c:manualLayout>
                  <c:x val="2.888888888888887E-2"/>
                  <c:y val="6.385696040868454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FDC-4919-A223-075949F9469A}"/>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4-6FDC-4919-A223-075949F9469A}"/>
                </c:ext>
                <c:ext xmlns:c15="http://schemas.microsoft.com/office/drawing/2012/chart" uri="{CE6537A1-D6FC-4f65-9D91-7224C49458BB}"/>
              </c:extLst>
            </c:dLbl>
            <c:dLbl>
              <c:idx val="6"/>
              <c:layout>
                <c:manualLayout>
                  <c:x val="4.3644298963447896E-3"/>
                  <c:y val="-1.229508196721311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0A4-485E-8CC2-7AD19022E06C}"/>
                </c:ext>
                <c:ext xmlns:c15="http://schemas.microsoft.com/office/drawing/2012/chart" uri="{CE6537A1-D6FC-4f65-9D91-7224C49458BB}"/>
              </c:extLst>
            </c:dLbl>
            <c:dLbl>
              <c:idx val="7"/>
              <c:layout>
                <c:manualLayout>
                  <c:x val="0"/>
                  <c:y val="-1.229508196721311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0A4-485E-8CC2-7AD19022E06C}"/>
                </c:ext>
                <c:ext xmlns:c15="http://schemas.microsoft.com/office/drawing/2012/chart" uri="{CE6537A1-D6FC-4f65-9D91-7224C49458BB}"/>
              </c:extLst>
            </c:dLbl>
            <c:dLbl>
              <c:idx val="8"/>
              <c:tx>
                <c:rich>
                  <a:bodyPr/>
                  <a:lstStyle/>
                  <a:p>
                    <a:fld id="{0A3CA585-8913-428A-BA89-21A37DF6AC67}" type="VALUE">
                      <a:rPr lang="en-US"/>
                      <a:pPr/>
                      <a:t>[HODNOTA]</a:t>
                    </a:fld>
                    <a:r>
                      <a:rPr lang="en-US"/>
                      <a:t>2</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FDC-4919-A223-075949F9469A}"/>
                </c:ext>
                <c:ext xmlns:c15="http://schemas.microsoft.com/office/drawing/2012/chart" uri="{CE6537A1-D6FC-4f65-9D91-7224C49458BB}">
                  <c15:dlblFieldTable/>
                  <c15:showDataLabelsRange val="0"/>
                </c:ext>
              </c:extLst>
            </c:dLbl>
            <c:dLbl>
              <c:idx val="9"/>
              <c:layout>
                <c:manualLayout>
                  <c:x val="8.7288597926895792E-3"/>
                  <c:y val="-1.229475926164967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0A4-485E-8CC2-7AD19022E06C}"/>
                </c:ext>
                <c:ext xmlns:c15="http://schemas.microsoft.com/office/drawing/2012/chart" uri="{CE6537A1-D6FC-4f65-9D91-7224C49458BB}"/>
              </c:extLst>
            </c:dLbl>
            <c:dLbl>
              <c:idx val="10"/>
              <c:layout>
                <c:manualLayout>
                  <c:x val="6.5466448445171853E-3"/>
                  <c:y val="4.09868336130122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FDC-4919-A223-075949F9469A}"/>
                </c:ext>
                <c:ext xmlns:c15="http://schemas.microsoft.com/office/drawing/2012/chart" uri="{CE6537A1-D6FC-4f65-9D91-7224C49458BB}"/>
              </c:extLst>
            </c:dLbl>
            <c:dLbl>
              <c:idx val="11"/>
              <c:layout>
                <c:manualLayout>
                  <c:x val="6.5466448445171853E-3"/>
                  <c:y val="2.049180327868852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FDC-4919-A223-075949F9469A}"/>
                </c:ext>
                <c:ext xmlns:c15="http://schemas.microsoft.com/office/drawing/2012/chart" uri="{CE6537A1-D6FC-4f65-9D91-7224C49458BB}"/>
              </c:extLst>
            </c:dLbl>
            <c:dLbl>
              <c:idx val="12"/>
              <c:layout>
                <c:manualLayout>
                  <c:x val="1.5275504637206606E-2"/>
                  <c:y val="4.098683361301149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FDC-4919-A223-075949F9469A}"/>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'VH, Ebitda'!$A$9:$A$21</c:f>
              <c:strCache>
                <c:ptCount val="13"/>
                <c:pt idx="0">
                  <c:v>UN
BA</c:v>
                </c:pt>
                <c:pt idx="1">
                  <c:v>NÚDCH BA</c:v>
                </c:pt>
                <c:pt idx="2">
                  <c:v>FN
BB</c:v>
                </c:pt>
                <c:pt idx="3">
                  <c:v>FN
TT</c:v>
                </c:pt>
                <c:pt idx="4">
                  <c:v>FN
TN</c:v>
                </c:pt>
                <c:pt idx="5">
                  <c:v>FN
NR</c:v>
                </c:pt>
                <c:pt idx="6">
                  <c:v>DF
KE </c:v>
                </c:pt>
                <c:pt idx="7">
                  <c:v>DF
BB</c:v>
                </c:pt>
                <c:pt idx="8">
                  <c:v>UN
MT</c:v>
                </c:pt>
                <c:pt idx="9">
                  <c:v>UN
KE</c:v>
                </c:pt>
                <c:pt idx="10">
                  <c:v>FN
NZ</c:v>
                </c:pt>
                <c:pt idx="11">
                  <c:v>FN
ZA</c:v>
                </c:pt>
                <c:pt idx="12">
                  <c:v>FN
PO</c:v>
                </c:pt>
              </c:strCache>
            </c:strRef>
          </c:cat>
          <c:val>
            <c:numRef>
              <c:f>'VH, Ebitda'!$E$9:$E$21</c:f>
              <c:numCache>
                <c:formatCode>#,##0</c:formatCode>
                <c:ptCount val="13"/>
                <c:pt idx="0">
                  <c:v>78480174.979999959</c:v>
                </c:pt>
                <c:pt idx="1">
                  <c:v>16391649.270000011</c:v>
                </c:pt>
                <c:pt idx="2">
                  <c:v>12926397.769999981</c:v>
                </c:pt>
                <c:pt idx="3">
                  <c:v>6413690.8959406465</c:v>
                </c:pt>
                <c:pt idx="4">
                  <c:v>1854433.6700000018</c:v>
                </c:pt>
                <c:pt idx="6">
                  <c:v>140279.46</c:v>
                </c:pt>
                <c:pt idx="7">
                  <c:v>54476.479999996722</c:v>
                </c:pt>
                <c:pt idx="8">
                  <c:v>17506.600000008941</c:v>
                </c:pt>
                <c:pt idx="9">
                  <c:v>-341663.31000006199</c:v>
                </c:pt>
                <c:pt idx="10">
                  <c:v>-1598511.1499999762</c:v>
                </c:pt>
                <c:pt idx="11">
                  <c:v>-6854253.380000025</c:v>
                </c:pt>
                <c:pt idx="12">
                  <c:v>-12218020</c:v>
                </c:pt>
              </c:numCache>
            </c:numRef>
          </c:val>
          <c:extLst xmlns:c16r2="http://schemas.microsoft.com/office/drawing/2015/06/chart">
            <c:ext xmlns:c16="http://schemas.microsoft.com/office/drawing/2014/chart" uri="{C3380CC4-5D6E-409C-BE32-E72D297353CC}">
              <c16:uniqueId val="{00000005-6FDC-4919-A223-075949F9469A}"/>
            </c:ext>
          </c:extLst>
        </c:ser>
        <c:dLbls>
          <c:dLblPos val="outEnd"/>
          <c:showLegendKey val="0"/>
          <c:showVal val="1"/>
          <c:showCatName val="0"/>
          <c:showSerName val="0"/>
          <c:showPercent val="0"/>
          <c:showBubbleSize val="0"/>
        </c:dLbls>
        <c:gapWidth val="219"/>
        <c:overlap val="-27"/>
        <c:axId val="506935296"/>
        <c:axId val="702422408"/>
      </c:barChart>
      <c:catAx>
        <c:axId val="5069352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702422408"/>
        <c:crosses val="autoZero"/>
        <c:auto val="1"/>
        <c:lblAlgn val="ctr"/>
        <c:lblOffset val="100"/>
        <c:noMultiLvlLbl val="0"/>
      </c:catAx>
      <c:valAx>
        <c:axId val="702422408"/>
        <c:scaling>
          <c:orientation val="minMax"/>
          <c:max val="80000000"/>
          <c:min val="-6000000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06935296"/>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'výnosy zo ZP'!$C$41</c:f>
              <c:strCache>
                <c:ptCount val="1"/>
                <c:pt idx="0">
                  <c:v>Lieky </c:v>
                </c:pt>
              </c:strCache>
            </c:strRef>
          </c:tx>
          <c:spPr>
            <a:solidFill>
              <a:srgbClr val="002060"/>
            </a:solidFill>
            <a:ln>
              <a:noFill/>
            </a:ln>
            <a:effectLst/>
          </c:spPr>
          <c:invertIfNegative val="0"/>
          <c:cat>
            <c:numRef>
              <c:f>'výnosy zo ZP'!$D$40:$G$40</c:f>
              <c:numCache>
                <c:formatCode>General</c:formatCode>
                <c:ptCount val="4"/>
                <c:pt idx="0">
                  <c:v>2016</c:v>
                </c:pt>
                <c:pt idx="1">
                  <c:v>2017</c:v>
                </c:pt>
                <c:pt idx="2">
                  <c:v>2018</c:v>
                </c:pt>
                <c:pt idx="3">
                  <c:v>2019</c:v>
                </c:pt>
              </c:numCache>
            </c:numRef>
          </c:cat>
          <c:val>
            <c:numRef>
              <c:f>'výnosy zo ZP'!$D$41:$G$41</c:f>
              <c:numCache>
                <c:formatCode>#\ ##0.0\ \ </c:formatCode>
                <c:ptCount val="4"/>
                <c:pt idx="0">
                  <c:v>93956099.269999996</c:v>
                </c:pt>
                <c:pt idx="1">
                  <c:v>88832640.86999999</c:v>
                </c:pt>
                <c:pt idx="2">
                  <c:v>108565054.77000001</c:v>
                </c:pt>
                <c:pt idx="3">
                  <c:v>130932398.32000001</c:v>
                </c:pt>
              </c:numCache>
            </c:numRef>
          </c:val>
          <c:extLst xmlns:c16r2="http://schemas.microsoft.com/office/drawing/2015/06/chart">
            <c:ext xmlns:c16="http://schemas.microsoft.com/office/drawing/2014/chart" uri="{C3380CC4-5D6E-409C-BE32-E72D297353CC}">
              <c16:uniqueId val="{00000000-4FBD-4F7E-82B3-19EBEA40F882}"/>
            </c:ext>
          </c:extLst>
        </c:ser>
        <c:ser>
          <c:idx val="1"/>
          <c:order val="1"/>
          <c:tx>
            <c:strRef>
              <c:f>'výnosy zo ZP'!$C$42</c:f>
              <c:strCache>
                <c:ptCount val="1"/>
                <c:pt idx="0">
                  <c:v>Krv a krvné výrobky </c:v>
                </c:pt>
              </c:strCache>
            </c:strRef>
          </c:tx>
          <c:spPr>
            <a:solidFill>
              <a:schemeClr val="bg1">
                <a:lumMod val="50000"/>
              </a:schemeClr>
            </a:solidFill>
            <a:ln>
              <a:noFill/>
            </a:ln>
            <a:effectLst/>
          </c:spPr>
          <c:invertIfNegative val="0"/>
          <c:cat>
            <c:numRef>
              <c:f>'výnosy zo ZP'!$D$40:$G$40</c:f>
              <c:numCache>
                <c:formatCode>General</c:formatCode>
                <c:ptCount val="4"/>
                <c:pt idx="0">
                  <c:v>2016</c:v>
                </c:pt>
                <c:pt idx="1">
                  <c:v>2017</c:v>
                </c:pt>
                <c:pt idx="2">
                  <c:v>2018</c:v>
                </c:pt>
                <c:pt idx="3">
                  <c:v>2019</c:v>
                </c:pt>
              </c:numCache>
            </c:numRef>
          </c:cat>
          <c:val>
            <c:numRef>
              <c:f>'výnosy zo ZP'!$D$42:$G$42</c:f>
              <c:numCache>
                <c:formatCode>#\ ##0.0\ \ </c:formatCode>
                <c:ptCount val="4"/>
                <c:pt idx="0">
                  <c:v>15447130.190000001</c:v>
                </c:pt>
                <c:pt idx="1">
                  <c:v>14580210.080000002</c:v>
                </c:pt>
                <c:pt idx="2">
                  <c:v>14580019.060000002</c:v>
                </c:pt>
                <c:pt idx="3">
                  <c:v>16251878.050000001</c:v>
                </c:pt>
              </c:numCache>
            </c:numRef>
          </c:val>
          <c:extLst xmlns:c16r2="http://schemas.microsoft.com/office/drawing/2015/06/chart">
            <c:ext xmlns:c16="http://schemas.microsoft.com/office/drawing/2014/chart" uri="{C3380CC4-5D6E-409C-BE32-E72D297353CC}">
              <c16:uniqueId val="{00000001-4FBD-4F7E-82B3-19EBEA40F882}"/>
            </c:ext>
          </c:extLst>
        </c:ser>
        <c:ser>
          <c:idx val="2"/>
          <c:order val="2"/>
          <c:tx>
            <c:strRef>
              <c:f>'výnosy zo ZP'!$C$43</c:f>
              <c:strCache>
                <c:ptCount val="1"/>
                <c:pt idx="0">
                  <c:v>Zdravotnícky materiál </c:v>
                </c:pt>
              </c:strCache>
            </c:strRef>
          </c:tx>
          <c:spPr>
            <a:solidFill>
              <a:srgbClr val="00B0F0"/>
            </a:solidFill>
            <a:ln>
              <a:noFill/>
            </a:ln>
            <a:effectLst/>
          </c:spPr>
          <c:invertIfNegative val="0"/>
          <c:cat>
            <c:numRef>
              <c:f>'výnosy zo ZP'!$D$40:$G$40</c:f>
              <c:numCache>
                <c:formatCode>General</c:formatCode>
                <c:ptCount val="4"/>
                <c:pt idx="0">
                  <c:v>2016</c:v>
                </c:pt>
                <c:pt idx="1">
                  <c:v>2017</c:v>
                </c:pt>
                <c:pt idx="2">
                  <c:v>2018</c:v>
                </c:pt>
                <c:pt idx="3">
                  <c:v>2019</c:v>
                </c:pt>
              </c:numCache>
            </c:numRef>
          </c:cat>
          <c:val>
            <c:numRef>
              <c:f>'výnosy zo ZP'!$D$43:$G$43</c:f>
              <c:numCache>
                <c:formatCode>#\ ##0.0\ \ </c:formatCode>
                <c:ptCount val="4"/>
                <c:pt idx="0">
                  <c:v>129784018.69999999</c:v>
                </c:pt>
                <c:pt idx="1">
                  <c:v>125389075.10000001</c:v>
                </c:pt>
                <c:pt idx="2">
                  <c:v>133152553.12</c:v>
                </c:pt>
                <c:pt idx="3">
                  <c:v>145262364.17000002</c:v>
                </c:pt>
              </c:numCache>
            </c:numRef>
          </c:val>
          <c:extLst xmlns:c16r2="http://schemas.microsoft.com/office/drawing/2015/06/chart">
            <c:ext xmlns:c16="http://schemas.microsoft.com/office/drawing/2014/chart" uri="{C3380CC4-5D6E-409C-BE32-E72D297353CC}">
              <c16:uniqueId val="{00000002-4FBD-4F7E-82B3-19EBEA40F882}"/>
            </c:ext>
          </c:extLst>
        </c:ser>
        <c:ser>
          <c:idx val="3"/>
          <c:order val="3"/>
          <c:tx>
            <c:strRef>
              <c:f>'výnosy zo ZP'!$C$44</c:f>
              <c:strCache>
                <c:ptCount val="1"/>
                <c:pt idx="0">
                  <c:v>Osobné náklady</c:v>
                </c:pt>
              </c:strCache>
            </c:strRef>
          </c:tx>
          <c:spPr>
            <a:solidFill>
              <a:schemeClr val="bg1">
                <a:lumMod val="85000"/>
              </a:schemeClr>
            </a:solidFill>
            <a:ln>
              <a:noFill/>
            </a:ln>
            <a:effectLst/>
          </c:spPr>
          <c:invertIfNegative val="0"/>
          <c:dLbls>
            <c:dLbl>
              <c:idx val="0"/>
              <c:layout>
                <c:manualLayout>
                  <c:x val="2.4207465154246096E-17"/>
                  <c:y val="-0.2619372723396754"/>
                </c:manualLayout>
              </c:layout>
              <c:tx>
                <c:rich>
                  <a:bodyPr/>
                  <a:lstStyle/>
                  <a:p>
                    <a:fld id="{2203846F-8D78-451E-BA45-BE4E1F979066}" type="CELLRANGE">
                      <a:rPr lang="en-US"/>
                      <a:pPr/>
                      <a:t>[CELLRANGE]</a:t>
                    </a:fld>
                    <a:endParaRPr lang="sk-SK"/>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4FBD-4F7E-82B3-19EBEA40F882}"/>
                </c:ext>
                <c:ext xmlns:c15="http://schemas.microsoft.com/office/drawing/2012/chart" uri="{CE6537A1-D6FC-4f65-9D91-7224C49458BB}">
                  <c15:dlblFieldTable/>
                  <c15:showDataLabelsRange val="1"/>
                </c:ext>
              </c:extLst>
            </c:dLbl>
            <c:dLbl>
              <c:idx val="1"/>
              <c:layout>
                <c:manualLayout>
                  <c:x val="-9.6829860616984385E-17"/>
                  <c:y val="-0.26603004221998283"/>
                </c:manualLayout>
              </c:layout>
              <c:tx>
                <c:rich>
                  <a:bodyPr/>
                  <a:lstStyle/>
                  <a:p>
                    <a:fld id="{B7882DEB-23BD-4966-9F2C-E0686D163F93}" type="CELLRANGE">
                      <a:rPr lang="en-US"/>
                      <a:pPr/>
                      <a:t>[CELLRANGE]</a:t>
                    </a:fld>
                    <a:endParaRPr lang="sk-SK"/>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4FBD-4F7E-82B3-19EBEA40F882}"/>
                </c:ext>
                <c:ext xmlns:c15="http://schemas.microsoft.com/office/drawing/2012/chart" uri="{CE6537A1-D6FC-4f65-9D91-7224C49458BB}">
                  <c15:dlblFieldTable/>
                  <c15:showDataLabelsRange val="1"/>
                </c:ext>
              </c:extLst>
            </c:dLbl>
            <c:dLbl>
              <c:idx val="2"/>
              <c:layout>
                <c:manualLayout>
                  <c:x val="-2.4081364829396327E-3"/>
                  <c:y val="-0.2595961536734932"/>
                </c:manualLayout>
              </c:layout>
              <c:tx>
                <c:rich>
                  <a:bodyPr/>
                  <a:lstStyle/>
                  <a:p>
                    <a:fld id="{E2285A83-8C6F-4732-96EC-335221A06EF2}" type="CELLRANGE">
                      <a:rPr lang="en-US"/>
                      <a:pPr/>
                      <a:t>[CELLRANGE]</a:t>
                    </a:fld>
                    <a:endParaRPr lang="sk-SK"/>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4FBD-4F7E-82B3-19EBEA40F882}"/>
                </c:ext>
                <c:ext xmlns:c15="http://schemas.microsoft.com/office/drawing/2012/chart" uri="{CE6537A1-D6FC-4f65-9D91-7224C49458BB}">
                  <c15:dlblFieldTable/>
                  <c15:showDataLabelsRange val="1"/>
                </c:ext>
              </c:extLst>
            </c:dLbl>
            <c:dLbl>
              <c:idx val="3"/>
              <c:layout>
                <c:manualLayout>
                  <c:x val="-9.6829860616984385E-17"/>
                  <c:y val="-0.24965898649072843"/>
                </c:manualLayout>
              </c:layout>
              <c:tx>
                <c:rich>
                  <a:bodyPr/>
                  <a:lstStyle/>
                  <a:p>
                    <a:fld id="{A7ADB811-F116-491C-B835-B927B091BD4E}" type="CELLRANGE">
                      <a:rPr lang="en-US"/>
                      <a:pPr/>
                      <a:t>[CELLRANGE]</a:t>
                    </a:fld>
                    <a:endParaRPr lang="sk-SK"/>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6-4FBD-4F7E-82B3-19EBEA40F882}"/>
                </c:ext>
                <c:ext xmlns:c15="http://schemas.microsoft.com/office/drawing/2012/chart" uri="{CE6537A1-D6FC-4f65-9D91-7224C49458BB}">
                  <c15:dlblFieldTable/>
                  <c15:showDataLabelsRange val="1"/>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ctr"/>
            <c:showLegendKey val="0"/>
            <c:showVal val="0"/>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0"/>
              </c:ext>
            </c:extLst>
          </c:dLbls>
          <c:cat>
            <c:numRef>
              <c:f>'výnosy zo ZP'!$D$40:$G$40</c:f>
              <c:numCache>
                <c:formatCode>General</c:formatCode>
                <c:ptCount val="4"/>
                <c:pt idx="0">
                  <c:v>2016</c:v>
                </c:pt>
                <c:pt idx="1">
                  <c:v>2017</c:v>
                </c:pt>
                <c:pt idx="2">
                  <c:v>2018</c:v>
                </c:pt>
                <c:pt idx="3">
                  <c:v>2019</c:v>
                </c:pt>
              </c:numCache>
            </c:numRef>
          </c:cat>
          <c:val>
            <c:numRef>
              <c:f>'výnosy zo ZP'!$D$44:$G$44</c:f>
              <c:numCache>
                <c:formatCode>#\ ##0.0\ \ </c:formatCode>
                <c:ptCount val="4"/>
                <c:pt idx="0">
                  <c:v>490077779.18000001</c:v>
                </c:pt>
                <c:pt idx="1">
                  <c:v>513458351.35047513</c:v>
                </c:pt>
                <c:pt idx="2">
                  <c:v>549420798.0038507</c:v>
                </c:pt>
                <c:pt idx="3">
                  <c:v>624838708.63</c:v>
                </c:pt>
              </c:numCache>
            </c:numRef>
          </c:val>
          <c:extLst xmlns:c16r2="http://schemas.microsoft.com/office/drawing/2015/06/chart">
            <c:ext xmlns:c16="http://schemas.microsoft.com/office/drawing/2014/chart" uri="{C3380CC4-5D6E-409C-BE32-E72D297353CC}">
              <c16:uniqueId val="{00000007-4FBD-4F7E-82B3-19EBEA40F882}"/>
            </c:ext>
            <c:ext xmlns:c15="http://schemas.microsoft.com/office/drawing/2012/chart" uri="{02D57815-91ED-43cb-92C2-25804820EDAC}">
              <c15:datalabelsRange>
                <c15:f>'výnosy zo ZP'!$D$45:$G$45</c15:f>
                <c15:dlblRangeCache>
                  <c:ptCount val="4"/>
                  <c:pt idx="0">
                    <c:v>729</c:v>
                  </c:pt>
                  <c:pt idx="1">
                    <c:v>742</c:v>
                  </c:pt>
                  <c:pt idx="2">
                    <c:v>806</c:v>
                  </c:pt>
                  <c:pt idx="3">
                    <c:v>917</c:v>
                  </c:pt>
                </c15:dlblRangeCache>
              </c15:datalabelsRange>
            </c:ext>
          </c:extLst>
        </c:ser>
        <c:dLbls>
          <c:showLegendKey val="0"/>
          <c:showVal val="0"/>
          <c:showCatName val="0"/>
          <c:showSerName val="0"/>
          <c:showPercent val="0"/>
          <c:showBubbleSize val="0"/>
        </c:dLbls>
        <c:gapWidth val="150"/>
        <c:overlap val="100"/>
        <c:axId val="669341264"/>
        <c:axId val="679229368"/>
      </c:barChart>
      <c:lineChart>
        <c:grouping val="standard"/>
        <c:varyColors val="0"/>
        <c:ser>
          <c:idx val="4"/>
          <c:order val="4"/>
          <c:tx>
            <c:strRef>
              <c:f>'výnosy zo ZP'!$C$46</c:f>
              <c:strCache>
                <c:ptCount val="1"/>
                <c:pt idx="0">
                  <c:v>Výnosy zo ZP</c:v>
                </c:pt>
              </c:strCache>
            </c:strRef>
          </c:tx>
          <c:spPr>
            <a:ln w="28575" cap="rnd">
              <a:solidFill>
                <a:schemeClr val="tx1"/>
              </a:solidFill>
              <a:round/>
            </a:ln>
            <a:effectLst/>
          </c:spPr>
          <c:marker>
            <c:symbol val="triangle"/>
            <c:size val="8"/>
            <c:spPr>
              <a:solidFill>
                <a:schemeClr val="tx1"/>
              </a:solidFill>
              <a:ln w="9525">
                <a:solidFill>
                  <a:schemeClr val="tx1"/>
                </a:solidFill>
              </a:ln>
              <a:effectLst/>
            </c:spPr>
          </c:marker>
          <c:dLbls>
            <c:dLbl>
              <c:idx val="0"/>
              <c:layout>
                <c:manualLayout>
                  <c:x val="4.7535207972773094E-2"/>
                  <c:y val="5.32060084439965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FBD-4F7E-82B3-19EBEA40F882}"/>
                </c:ext>
                <c:ext xmlns:c15="http://schemas.microsoft.com/office/drawing/2012/chart" uri="{CE6537A1-D6FC-4f65-9D91-7224C49458BB}"/>
              </c:extLst>
            </c:dLbl>
            <c:dLbl>
              <c:idx val="1"/>
              <c:layout>
                <c:manualLayout>
                  <c:x val="3.961267331064415E-2"/>
                  <c:y val="7.2483206154794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FBD-4F7E-82B3-19EBEA40F882}"/>
                </c:ext>
                <c:ext xmlns:c15="http://schemas.microsoft.com/office/drawing/2012/chart" uri="{CE6537A1-D6FC-4f65-9D91-7224C49458BB}"/>
              </c:extLst>
            </c:dLbl>
            <c:dLbl>
              <c:idx val="2"/>
              <c:layout>
                <c:manualLayout>
                  <c:x val="3.6971828423268065E-2"/>
                  <c:y val="2.81879135046422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FBD-4F7E-82B3-19EBEA40F882}"/>
                </c:ext>
                <c:ext xmlns:c15="http://schemas.microsoft.com/office/drawing/2012/chart" uri="{CE6537A1-D6FC-4f65-9D91-7224C49458BB}"/>
              </c:extLst>
            </c:dLbl>
            <c:dLbl>
              <c:idx val="3"/>
              <c:layout>
                <c:manualLayout>
                  <c:x val="4.7535207972773094E-2"/>
                  <c:y val="7.651005094117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FBD-4F7E-82B3-19EBEA40F882}"/>
                </c:ex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'výnosy zo ZP'!$D$40:$G$40</c:f>
              <c:numCache>
                <c:formatCode>General</c:formatCode>
                <c:ptCount val="4"/>
                <c:pt idx="0">
                  <c:v>2016</c:v>
                </c:pt>
                <c:pt idx="1">
                  <c:v>2017</c:v>
                </c:pt>
                <c:pt idx="2">
                  <c:v>2018</c:v>
                </c:pt>
                <c:pt idx="3">
                  <c:v>2019</c:v>
                </c:pt>
              </c:numCache>
            </c:numRef>
          </c:cat>
          <c:val>
            <c:numRef>
              <c:f>'výnosy zo ZP'!$D$46:$G$46</c:f>
              <c:numCache>
                <c:formatCode>#\ ##0.0\ \ </c:formatCode>
                <c:ptCount val="4"/>
                <c:pt idx="0">
                  <c:v>708213304.64999998</c:v>
                </c:pt>
                <c:pt idx="1">
                  <c:v>721479795.71999991</c:v>
                </c:pt>
                <c:pt idx="2">
                  <c:v>761420890.00999999</c:v>
                </c:pt>
                <c:pt idx="3">
                  <c:v>859882002.82000017</c:v>
                </c:pt>
              </c:numCache>
            </c:numRef>
          </c:val>
          <c:smooth val="0"/>
          <c:extLst xmlns:c16r2="http://schemas.microsoft.com/office/drawing/2015/06/chart">
            <c:ext xmlns:c16="http://schemas.microsoft.com/office/drawing/2014/chart" uri="{C3380CC4-5D6E-409C-BE32-E72D297353CC}">
              <c16:uniqueId val="{0000000C-4FBD-4F7E-82B3-19EBEA40F882}"/>
            </c:ext>
          </c:extLst>
        </c:ser>
        <c:dLbls>
          <c:showLegendKey val="0"/>
          <c:showVal val="0"/>
          <c:showCatName val="0"/>
          <c:showSerName val="0"/>
          <c:showPercent val="0"/>
          <c:showBubbleSize val="0"/>
        </c:dLbls>
        <c:marker val="1"/>
        <c:smooth val="0"/>
        <c:axId val="669341264"/>
        <c:axId val="679229368"/>
      </c:lineChart>
      <c:catAx>
        <c:axId val="66934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679229368"/>
        <c:crosses val="autoZero"/>
        <c:auto val="1"/>
        <c:lblAlgn val="ctr"/>
        <c:lblOffset val="100"/>
        <c:noMultiLvlLbl val="0"/>
      </c:catAx>
      <c:valAx>
        <c:axId val="679229368"/>
        <c:scaling>
          <c:orientation val="minMax"/>
          <c:max val="90000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669341264"/>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'prevádzkové nákl.'!$AC$27</c:f>
              <c:strCache>
                <c:ptCount val="1"/>
                <c:pt idx="0">
                  <c:v>Energie</c:v>
                </c:pt>
              </c:strCache>
            </c:strRef>
          </c:tx>
          <c:spPr>
            <a:solidFill>
              <a:srgbClr val="002060"/>
            </a:solidFill>
            <a:ln>
              <a:noFill/>
            </a:ln>
            <a:effectLst/>
          </c:spPr>
          <c:invertIfNegative val="0"/>
          <c:cat>
            <c:multiLvlStrRef>
              <c:f>'prevádzkové nákl.'!$AA$28:$AB$53</c:f>
              <c:multiLvlStrCache>
                <c:ptCount val="26"/>
                <c:lvl>
                  <c:pt idx="0">
                    <c:v>18</c:v>
                  </c:pt>
                  <c:pt idx="1">
                    <c:v>19</c:v>
                  </c:pt>
                  <c:pt idx="2">
                    <c:v>18</c:v>
                  </c:pt>
                  <c:pt idx="3">
                    <c:v>19</c:v>
                  </c:pt>
                  <c:pt idx="4">
                    <c:v>18</c:v>
                  </c:pt>
                  <c:pt idx="5">
                    <c:v>19</c:v>
                  </c:pt>
                  <c:pt idx="6">
                    <c:v>18</c:v>
                  </c:pt>
                  <c:pt idx="7">
                    <c:v>19</c:v>
                  </c:pt>
                  <c:pt idx="8">
                    <c:v>18</c:v>
                  </c:pt>
                  <c:pt idx="9">
                    <c:v>19</c:v>
                  </c:pt>
                  <c:pt idx="10">
                    <c:v>18</c:v>
                  </c:pt>
                  <c:pt idx="11">
                    <c:v>19</c:v>
                  </c:pt>
                  <c:pt idx="12">
                    <c:v>18</c:v>
                  </c:pt>
                  <c:pt idx="13">
                    <c:v>19</c:v>
                  </c:pt>
                  <c:pt idx="14">
                    <c:v>18</c:v>
                  </c:pt>
                  <c:pt idx="15">
                    <c:v>19</c:v>
                  </c:pt>
                  <c:pt idx="16">
                    <c:v>18</c:v>
                  </c:pt>
                  <c:pt idx="17">
                    <c:v>19</c:v>
                  </c:pt>
                  <c:pt idx="18">
                    <c:v>18</c:v>
                  </c:pt>
                  <c:pt idx="19">
                    <c:v>19</c:v>
                  </c:pt>
                  <c:pt idx="20">
                    <c:v>18</c:v>
                  </c:pt>
                  <c:pt idx="21">
                    <c:v>19</c:v>
                  </c:pt>
                  <c:pt idx="22">
                    <c:v>18</c:v>
                  </c:pt>
                  <c:pt idx="23">
                    <c:v>19</c:v>
                  </c:pt>
                  <c:pt idx="24">
                    <c:v>18</c:v>
                  </c:pt>
                  <c:pt idx="25">
                    <c:v>19</c:v>
                  </c:pt>
                </c:lvl>
                <c:lvl>
                  <c:pt idx="0">
                    <c:v>UN BA</c:v>
                  </c:pt>
                  <c:pt idx="2">
                    <c:v>UN KE</c:v>
                  </c:pt>
                  <c:pt idx="4">
                    <c:v>UN MT</c:v>
                  </c:pt>
                  <c:pt idx="6">
                    <c:v>NÚDCH BA</c:v>
                  </c:pt>
                  <c:pt idx="8">
                    <c:v>DF KE</c:v>
                  </c:pt>
                  <c:pt idx="10">
                    <c:v>DF BB</c:v>
                  </c:pt>
                  <c:pt idx="12">
                    <c:v>FN BB</c:v>
                  </c:pt>
                  <c:pt idx="14">
                    <c:v>FN TT</c:v>
                  </c:pt>
                  <c:pt idx="16">
                    <c:v>FN TN</c:v>
                  </c:pt>
                  <c:pt idx="18">
                    <c:v>FN PO</c:v>
                  </c:pt>
                  <c:pt idx="20">
                    <c:v>FN ZA</c:v>
                  </c:pt>
                  <c:pt idx="22">
                    <c:v>FN NR</c:v>
                  </c:pt>
                  <c:pt idx="24">
                    <c:v>FN NZ</c:v>
                  </c:pt>
                </c:lvl>
              </c:multiLvlStrCache>
            </c:multiLvlStrRef>
          </c:cat>
          <c:val>
            <c:numRef>
              <c:f>'prevádzkové nákl.'!$AC$28:$AC$53</c:f>
              <c:numCache>
                <c:formatCode>#\ ##0.00\ \ </c:formatCode>
                <c:ptCount val="26"/>
                <c:pt idx="0">
                  <c:v>4680294.91</c:v>
                </c:pt>
                <c:pt idx="1">
                  <c:v>5769034.3799999999</c:v>
                </c:pt>
                <c:pt idx="2">
                  <c:v>4160530.45</c:v>
                </c:pt>
                <c:pt idx="3">
                  <c:v>4660855.6399999997</c:v>
                </c:pt>
                <c:pt idx="4">
                  <c:v>1692110.92</c:v>
                </c:pt>
                <c:pt idx="5">
                  <c:v>1853563.57</c:v>
                </c:pt>
                <c:pt idx="6">
                  <c:v>848125.47</c:v>
                </c:pt>
                <c:pt idx="7">
                  <c:v>1070781.4799999995</c:v>
                </c:pt>
                <c:pt idx="8">
                  <c:v>309789.06</c:v>
                </c:pt>
                <c:pt idx="9">
                  <c:v>309379.13</c:v>
                </c:pt>
                <c:pt idx="10">
                  <c:v>166733.86999999985</c:v>
                </c:pt>
                <c:pt idx="11">
                  <c:v>188011.44000000003</c:v>
                </c:pt>
                <c:pt idx="12">
                  <c:v>2430223.7500000042</c:v>
                </c:pt>
                <c:pt idx="13">
                  <c:v>2899225.46</c:v>
                </c:pt>
                <c:pt idx="14">
                  <c:v>1100353.5099999961</c:v>
                </c:pt>
                <c:pt idx="15">
                  <c:v>1216951.6700000269</c:v>
                </c:pt>
                <c:pt idx="16">
                  <c:v>929093.52</c:v>
                </c:pt>
                <c:pt idx="17">
                  <c:v>1154896.7</c:v>
                </c:pt>
                <c:pt idx="18">
                  <c:v>0</c:v>
                </c:pt>
                <c:pt idx="19">
                  <c:v>0</c:v>
                </c:pt>
                <c:pt idx="20">
                  <c:v>1669057.86</c:v>
                </c:pt>
                <c:pt idx="21">
                  <c:v>1925903.4799999997</c:v>
                </c:pt>
                <c:pt idx="22">
                  <c:v>861789.02999999991</c:v>
                </c:pt>
                <c:pt idx="23">
                  <c:v>1060665.51</c:v>
                </c:pt>
                <c:pt idx="24">
                  <c:v>710760.17999999819</c:v>
                </c:pt>
                <c:pt idx="25">
                  <c:v>768462.13000000117</c:v>
                </c:pt>
              </c:numCache>
            </c:numRef>
          </c:val>
          <c:extLst xmlns:c16r2="http://schemas.microsoft.com/office/drawing/2015/06/chart">
            <c:ext xmlns:c16="http://schemas.microsoft.com/office/drawing/2014/chart" uri="{C3380CC4-5D6E-409C-BE32-E72D297353CC}">
              <c16:uniqueId val="{00000000-432D-4DF6-86AB-171DADE70A4F}"/>
            </c:ext>
          </c:extLst>
        </c:ser>
        <c:ser>
          <c:idx val="1"/>
          <c:order val="1"/>
          <c:tx>
            <c:strRef>
              <c:f>'prevádzkové nákl.'!$AD$27</c:f>
              <c:strCache>
                <c:ptCount val="1"/>
                <c:pt idx="0">
                  <c:v>Opravy a udržovanie</c:v>
                </c:pt>
              </c:strCache>
            </c:strRef>
          </c:tx>
          <c:spPr>
            <a:solidFill>
              <a:schemeClr val="accent3"/>
            </a:solidFill>
            <a:ln>
              <a:noFill/>
            </a:ln>
            <a:effectLst/>
          </c:spPr>
          <c:invertIfNegative val="0"/>
          <c:cat>
            <c:multiLvlStrRef>
              <c:f>'prevádzkové nákl.'!$AA$28:$AB$53</c:f>
              <c:multiLvlStrCache>
                <c:ptCount val="26"/>
                <c:lvl>
                  <c:pt idx="0">
                    <c:v>18</c:v>
                  </c:pt>
                  <c:pt idx="1">
                    <c:v>19</c:v>
                  </c:pt>
                  <c:pt idx="2">
                    <c:v>18</c:v>
                  </c:pt>
                  <c:pt idx="3">
                    <c:v>19</c:v>
                  </c:pt>
                  <c:pt idx="4">
                    <c:v>18</c:v>
                  </c:pt>
                  <c:pt idx="5">
                    <c:v>19</c:v>
                  </c:pt>
                  <c:pt idx="6">
                    <c:v>18</c:v>
                  </c:pt>
                  <c:pt idx="7">
                    <c:v>19</c:v>
                  </c:pt>
                  <c:pt idx="8">
                    <c:v>18</c:v>
                  </c:pt>
                  <c:pt idx="9">
                    <c:v>19</c:v>
                  </c:pt>
                  <c:pt idx="10">
                    <c:v>18</c:v>
                  </c:pt>
                  <c:pt idx="11">
                    <c:v>19</c:v>
                  </c:pt>
                  <c:pt idx="12">
                    <c:v>18</c:v>
                  </c:pt>
                  <c:pt idx="13">
                    <c:v>19</c:v>
                  </c:pt>
                  <c:pt idx="14">
                    <c:v>18</c:v>
                  </c:pt>
                  <c:pt idx="15">
                    <c:v>19</c:v>
                  </c:pt>
                  <c:pt idx="16">
                    <c:v>18</c:v>
                  </c:pt>
                  <c:pt idx="17">
                    <c:v>19</c:v>
                  </c:pt>
                  <c:pt idx="18">
                    <c:v>18</c:v>
                  </c:pt>
                  <c:pt idx="19">
                    <c:v>19</c:v>
                  </c:pt>
                  <c:pt idx="20">
                    <c:v>18</c:v>
                  </c:pt>
                  <c:pt idx="21">
                    <c:v>19</c:v>
                  </c:pt>
                  <c:pt idx="22">
                    <c:v>18</c:v>
                  </c:pt>
                  <c:pt idx="23">
                    <c:v>19</c:v>
                  </c:pt>
                  <c:pt idx="24">
                    <c:v>18</c:v>
                  </c:pt>
                  <c:pt idx="25">
                    <c:v>19</c:v>
                  </c:pt>
                </c:lvl>
                <c:lvl>
                  <c:pt idx="0">
                    <c:v>UN BA</c:v>
                  </c:pt>
                  <c:pt idx="2">
                    <c:v>UN KE</c:v>
                  </c:pt>
                  <c:pt idx="4">
                    <c:v>UN MT</c:v>
                  </c:pt>
                  <c:pt idx="6">
                    <c:v>NÚDCH BA</c:v>
                  </c:pt>
                  <c:pt idx="8">
                    <c:v>DF KE</c:v>
                  </c:pt>
                  <c:pt idx="10">
                    <c:v>DF BB</c:v>
                  </c:pt>
                  <c:pt idx="12">
                    <c:v>FN BB</c:v>
                  </c:pt>
                  <c:pt idx="14">
                    <c:v>FN TT</c:v>
                  </c:pt>
                  <c:pt idx="16">
                    <c:v>FN TN</c:v>
                  </c:pt>
                  <c:pt idx="18">
                    <c:v>FN PO</c:v>
                  </c:pt>
                  <c:pt idx="20">
                    <c:v>FN ZA</c:v>
                  </c:pt>
                  <c:pt idx="22">
                    <c:v>FN NR</c:v>
                  </c:pt>
                  <c:pt idx="24">
                    <c:v>FN NZ</c:v>
                  </c:pt>
                </c:lvl>
              </c:multiLvlStrCache>
            </c:multiLvlStrRef>
          </c:cat>
          <c:val>
            <c:numRef>
              <c:f>'prevádzkové nákl.'!$AD$28:$AD$53</c:f>
              <c:numCache>
                <c:formatCode>#\ ##0.00\ \ </c:formatCode>
                <c:ptCount val="26"/>
                <c:pt idx="0">
                  <c:v>2734877</c:v>
                </c:pt>
                <c:pt idx="1">
                  <c:v>3150059.4600000004</c:v>
                </c:pt>
                <c:pt idx="2">
                  <c:v>1648228.98</c:v>
                </c:pt>
                <c:pt idx="3">
                  <c:v>2073770.94</c:v>
                </c:pt>
                <c:pt idx="4">
                  <c:v>1819637.1099999999</c:v>
                </c:pt>
                <c:pt idx="5">
                  <c:v>1465720.39</c:v>
                </c:pt>
                <c:pt idx="6">
                  <c:v>358450.82000000007</c:v>
                </c:pt>
                <c:pt idx="7">
                  <c:v>609404.81000000017</c:v>
                </c:pt>
                <c:pt idx="8">
                  <c:v>87854.26</c:v>
                </c:pt>
                <c:pt idx="9">
                  <c:v>139581.9</c:v>
                </c:pt>
                <c:pt idx="10">
                  <c:v>122984.05000000002</c:v>
                </c:pt>
                <c:pt idx="11">
                  <c:v>104639.38</c:v>
                </c:pt>
                <c:pt idx="12">
                  <c:v>1540709.6299999985</c:v>
                </c:pt>
                <c:pt idx="13">
                  <c:v>1650453.14</c:v>
                </c:pt>
                <c:pt idx="14">
                  <c:v>435724.64999999991</c:v>
                </c:pt>
                <c:pt idx="15">
                  <c:v>454174.46999999951</c:v>
                </c:pt>
                <c:pt idx="16">
                  <c:v>939757.73</c:v>
                </c:pt>
                <c:pt idx="17">
                  <c:v>1047842.7</c:v>
                </c:pt>
                <c:pt idx="18">
                  <c:v>1630653</c:v>
                </c:pt>
                <c:pt idx="19">
                  <c:v>1560515</c:v>
                </c:pt>
                <c:pt idx="20">
                  <c:v>676298.52</c:v>
                </c:pt>
                <c:pt idx="21">
                  <c:v>761705.75</c:v>
                </c:pt>
                <c:pt idx="22">
                  <c:v>596386.93999999994</c:v>
                </c:pt>
                <c:pt idx="23">
                  <c:v>484774.23000000004</c:v>
                </c:pt>
                <c:pt idx="24">
                  <c:v>525962.88000000024</c:v>
                </c:pt>
                <c:pt idx="25">
                  <c:v>626312.42000000016</c:v>
                </c:pt>
              </c:numCache>
            </c:numRef>
          </c:val>
          <c:extLst xmlns:c16r2="http://schemas.microsoft.com/office/drawing/2015/06/chart">
            <c:ext xmlns:c16="http://schemas.microsoft.com/office/drawing/2014/chart" uri="{C3380CC4-5D6E-409C-BE32-E72D297353CC}">
              <c16:uniqueId val="{00000001-432D-4DF6-86AB-171DADE70A4F}"/>
            </c:ext>
          </c:extLst>
        </c:ser>
        <c:ser>
          <c:idx val="2"/>
          <c:order val="2"/>
          <c:tx>
            <c:strRef>
              <c:f>'prevádzkové nákl.'!$AE$27</c:f>
              <c:strCache>
                <c:ptCount val="1"/>
                <c:pt idx="0">
                  <c:v>Ostatné prevádzkové náklady</c:v>
                </c:pt>
              </c:strCache>
            </c:strRef>
          </c:tx>
          <c:spPr>
            <a:solidFill>
              <a:srgbClr val="00B0F0"/>
            </a:solidFill>
            <a:ln>
              <a:noFill/>
            </a:ln>
            <a:effectLst/>
          </c:spPr>
          <c:invertIfNegative val="0"/>
          <c:cat>
            <c:multiLvlStrRef>
              <c:f>'prevádzkové nákl.'!$AA$28:$AB$53</c:f>
              <c:multiLvlStrCache>
                <c:ptCount val="26"/>
                <c:lvl>
                  <c:pt idx="0">
                    <c:v>18</c:v>
                  </c:pt>
                  <c:pt idx="1">
                    <c:v>19</c:v>
                  </c:pt>
                  <c:pt idx="2">
                    <c:v>18</c:v>
                  </c:pt>
                  <c:pt idx="3">
                    <c:v>19</c:v>
                  </c:pt>
                  <c:pt idx="4">
                    <c:v>18</c:v>
                  </c:pt>
                  <c:pt idx="5">
                    <c:v>19</c:v>
                  </c:pt>
                  <c:pt idx="6">
                    <c:v>18</c:v>
                  </c:pt>
                  <c:pt idx="7">
                    <c:v>19</c:v>
                  </c:pt>
                  <c:pt idx="8">
                    <c:v>18</c:v>
                  </c:pt>
                  <c:pt idx="9">
                    <c:v>19</c:v>
                  </c:pt>
                  <c:pt idx="10">
                    <c:v>18</c:v>
                  </c:pt>
                  <c:pt idx="11">
                    <c:v>19</c:v>
                  </c:pt>
                  <c:pt idx="12">
                    <c:v>18</c:v>
                  </c:pt>
                  <c:pt idx="13">
                    <c:v>19</c:v>
                  </c:pt>
                  <c:pt idx="14">
                    <c:v>18</c:v>
                  </c:pt>
                  <c:pt idx="15">
                    <c:v>19</c:v>
                  </c:pt>
                  <c:pt idx="16">
                    <c:v>18</c:v>
                  </c:pt>
                  <c:pt idx="17">
                    <c:v>19</c:v>
                  </c:pt>
                  <c:pt idx="18">
                    <c:v>18</c:v>
                  </c:pt>
                  <c:pt idx="19">
                    <c:v>19</c:v>
                  </c:pt>
                  <c:pt idx="20">
                    <c:v>18</c:v>
                  </c:pt>
                  <c:pt idx="21">
                    <c:v>19</c:v>
                  </c:pt>
                  <c:pt idx="22">
                    <c:v>18</c:v>
                  </c:pt>
                  <c:pt idx="23">
                    <c:v>19</c:v>
                  </c:pt>
                  <c:pt idx="24">
                    <c:v>18</c:v>
                  </c:pt>
                  <c:pt idx="25">
                    <c:v>19</c:v>
                  </c:pt>
                </c:lvl>
                <c:lvl>
                  <c:pt idx="0">
                    <c:v>UN BA</c:v>
                  </c:pt>
                  <c:pt idx="2">
                    <c:v>UN KE</c:v>
                  </c:pt>
                  <c:pt idx="4">
                    <c:v>UN MT</c:v>
                  </c:pt>
                  <c:pt idx="6">
                    <c:v>NÚDCH BA</c:v>
                  </c:pt>
                  <c:pt idx="8">
                    <c:v>DF KE</c:v>
                  </c:pt>
                  <c:pt idx="10">
                    <c:v>DF BB</c:v>
                  </c:pt>
                  <c:pt idx="12">
                    <c:v>FN BB</c:v>
                  </c:pt>
                  <c:pt idx="14">
                    <c:v>FN TT</c:v>
                  </c:pt>
                  <c:pt idx="16">
                    <c:v>FN TN</c:v>
                  </c:pt>
                  <c:pt idx="18">
                    <c:v>FN PO</c:v>
                  </c:pt>
                  <c:pt idx="20">
                    <c:v>FN ZA</c:v>
                  </c:pt>
                  <c:pt idx="22">
                    <c:v>FN NR</c:v>
                  </c:pt>
                  <c:pt idx="24">
                    <c:v>FN NZ</c:v>
                  </c:pt>
                </c:lvl>
              </c:multiLvlStrCache>
            </c:multiLvlStrRef>
          </c:cat>
          <c:val>
            <c:numRef>
              <c:f>'prevádzkové nákl.'!$AE$28:$AE$53</c:f>
              <c:numCache>
                <c:formatCode>#\ ##0.00\ \ </c:formatCode>
                <c:ptCount val="26"/>
                <c:pt idx="0">
                  <c:v>20297511.01000002</c:v>
                </c:pt>
                <c:pt idx="1">
                  <c:v>33722530.68</c:v>
                </c:pt>
                <c:pt idx="2">
                  <c:v>6458580.6699999999</c:v>
                </c:pt>
                <c:pt idx="3">
                  <c:v>6722141.8100000005</c:v>
                </c:pt>
                <c:pt idx="4">
                  <c:v>4876241.5100000007</c:v>
                </c:pt>
                <c:pt idx="5">
                  <c:v>7270581.6099999985</c:v>
                </c:pt>
                <c:pt idx="6">
                  <c:v>4212836.07</c:v>
                </c:pt>
                <c:pt idx="7">
                  <c:v>7563337.580000001</c:v>
                </c:pt>
                <c:pt idx="8">
                  <c:v>2470663.79</c:v>
                </c:pt>
                <c:pt idx="9">
                  <c:v>2532986.3199999998</c:v>
                </c:pt>
                <c:pt idx="10">
                  <c:v>527339.08999999985</c:v>
                </c:pt>
                <c:pt idx="11">
                  <c:v>657272.17000000016</c:v>
                </c:pt>
                <c:pt idx="12">
                  <c:v>13729034.340000004</c:v>
                </c:pt>
                <c:pt idx="13">
                  <c:v>14611125.650000002</c:v>
                </c:pt>
                <c:pt idx="14">
                  <c:v>5667174.820000004</c:v>
                </c:pt>
                <c:pt idx="15">
                  <c:v>5514794.2340593133</c:v>
                </c:pt>
                <c:pt idx="16">
                  <c:v>5254350.32</c:v>
                </c:pt>
                <c:pt idx="17">
                  <c:v>6973430.7299999995</c:v>
                </c:pt>
                <c:pt idx="18">
                  <c:v>10769184</c:v>
                </c:pt>
                <c:pt idx="19">
                  <c:v>13100706</c:v>
                </c:pt>
                <c:pt idx="20">
                  <c:v>5596555.96</c:v>
                </c:pt>
                <c:pt idx="21">
                  <c:v>6963910.9699999997</c:v>
                </c:pt>
                <c:pt idx="22">
                  <c:v>2957226.0599999996</c:v>
                </c:pt>
                <c:pt idx="23">
                  <c:v>6216490.9300000006</c:v>
                </c:pt>
                <c:pt idx="24">
                  <c:v>4382853.2600000044</c:v>
                </c:pt>
                <c:pt idx="25">
                  <c:v>4529103.3600000003</c:v>
                </c:pt>
              </c:numCache>
            </c:numRef>
          </c:val>
          <c:extLst xmlns:c16r2="http://schemas.microsoft.com/office/drawing/2015/06/chart">
            <c:ext xmlns:c16="http://schemas.microsoft.com/office/drawing/2014/chart" uri="{C3380CC4-5D6E-409C-BE32-E72D297353CC}">
              <c16:uniqueId val="{00000002-432D-4DF6-86AB-171DADE70A4F}"/>
            </c:ext>
          </c:extLst>
        </c:ser>
        <c:dLbls>
          <c:showLegendKey val="0"/>
          <c:showVal val="0"/>
          <c:showCatName val="0"/>
          <c:showSerName val="0"/>
          <c:showPercent val="0"/>
          <c:showBubbleSize val="0"/>
        </c:dLbls>
        <c:gapWidth val="150"/>
        <c:overlap val="100"/>
        <c:axId val="535040352"/>
        <c:axId val="535040744"/>
      </c:barChart>
      <c:catAx>
        <c:axId val="53504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35040744"/>
        <c:crosses val="autoZero"/>
        <c:auto val="1"/>
        <c:lblAlgn val="ctr"/>
        <c:lblOffset val="100"/>
        <c:noMultiLvlLbl val="0"/>
      </c:catAx>
      <c:valAx>
        <c:axId val="535040744"/>
        <c:scaling>
          <c:orientation val="minMax"/>
          <c:max val="44000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35040352"/>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B0F0"/>
            </a:solidFill>
            <a:ln>
              <a:noFill/>
            </a:ln>
            <a:effectLst/>
          </c:spPr>
          <c:invertIfNegative val="0"/>
          <c:dLbls>
            <c:dLbl>
              <c:idx val="5"/>
              <c:layout>
                <c:manualLayout>
                  <c:x val="0"/>
                  <c:y val="-2.46069666779045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46B-447C-A3C6-6D4394915836}"/>
                </c:ext>
                <c:ext xmlns:c15="http://schemas.microsoft.com/office/drawing/2012/chart" uri="{CE6537A1-D6FC-4f65-9D91-7224C49458BB}"/>
              </c:extLst>
            </c:dLbl>
            <c:dLbl>
              <c:idx val="10"/>
              <c:layout>
                <c:manualLayout>
                  <c:x val="0"/>
                  <c:y val="-2.87081277908886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46B-447C-A3C6-6D439491583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'osobne naklady'!$A$9:$A$21</c:f>
              <c:strCache>
                <c:ptCount val="13"/>
                <c:pt idx="0">
                  <c:v>UN
MT</c:v>
                </c:pt>
                <c:pt idx="1">
                  <c:v>UN
KE</c:v>
                </c:pt>
                <c:pt idx="2">
                  <c:v>UN
BA</c:v>
                </c:pt>
                <c:pt idx="3">
                  <c:v>NÚDCH
BA</c:v>
                </c:pt>
                <c:pt idx="4">
                  <c:v>FN
ZA</c:v>
                </c:pt>
                <c:pt idx="5">
                  <c:v>FN
TT</c:v>
                </c:pt>
                <c:pt idx="6">
                  <c:v>FN
TN</c:v>
                </c:pt>
                <c:pt idx="7">
                  <c:v>FN
PO</c:v>
                </c:pt>
                <c:pt idx="8">
                  <c:v>FN
NZ</c:v>
                </c:pt>
                <c:pt idx="9">
                  <c:v>FN
NR</c:v>
                </c:pt>
                <c:pt idx="10">
                  <c:v>FN
BB</c:v>
                </c:pt>
                <c:pt idx="11">
                  <c:v>DF
KE </c:v>
                </c:pt>
                <c:pt idx="12">
                  <c:v>DF
BB</c:v>
                </c:pt>
              </c:strCache>
            </c:strRef>
          </c:cat>
          <c:val>
            <c:numRef>
              <c:f>'osobne naklady'!$F$9:$F$21</c:f>
              <c:numCache>
                <c:formatCode>0%</c:formatCode>
                <c:ptCount val="13"/>
                <c:pt idx="0">
                  <c:v>0.16106110455394354</c:v>
                </c:pt>
                <c:pt idx="1">
                  <c:v>0.10773559536279921</c:v>
                </c:pt>
                <c:pt idx="2">
                  <c:v>0.11714629428588497</c:v>
                </c:pt>
                <c:pt idx="3">
                  <c:v>0.18882779884580952</c:v>
                </c:pt>
                <c:pt idx="4">
                  <c:v>0.14599796236504423</c:v>
                </c:pt>
                <c:pt idx="5">
                  <c:v>0.12994692981356942</c:v>
                </c:pt>
                <c:pt idx="6">
                  <c:v>0.10684221071018767</c:v>
                </c:pt>
                <c:pt idx="7">
                  <c:v>0.1516291189457982</c:v>
                </c:pt>
                <c:pt idx="8">
                  <c:v>0.22706633510801363</c:v>
                </c:pt>
                <c:pt idx="9">
                  <c:v>0.16941084790405567</c:v>
                </c:pt>
                <c:pt idx="10">
                  <c:v>0.1336676778683393</c:v>
                </c:pt>
                <c:pt idx="11">
                  <c:v>8.986862079862197E-2</c:v>
                </c:pt>
                <c:pt idx="12">
                  <c:v>0.10406528674924573</c:v>
                </c:pt>
              </c:numCache>
            </c:numRef>
          </c:val>
          <c:extLst xmlns:c16r2="http://schemas.microsoft.com/office/drawing/2015/06/chart">
            <c:ext xmlns:c16="http://schemas.microsoft.com/office/drawing/2014/chart" uri="{C3380CC4-5D6E-409C-BE32-E72D297353CC}">
              <c16:uniqueId val="{00000002-646B-447C-A3C6-6D4394915836}"/>
            </c:ext>
          </c:extLst>
        </c:ser>
        <c:dLbls>
          <c:showLegendKey val="0"/>
          <c:showVal val="1"/>
          <c:showCatName val="0"/>
          <c:showSerName val="0"/>
          <c:showPercent val="0"/>
          <c:showBubbleSize val="0"/>
        </c:dLbls>
        <c:gapWidth val="219"/>
        <c:axId val="535041528"/>
        <c:axId val="535042312"/>
      </c:barChart>
      <c:lineChart>
        <c:grouping val="standard"/>
        <c:varyColors val="0"/>
        <c:ser>
          <c:idx val="1"/>
          <c:order val="1"/>
          <c:tx>
            <c:v>priemer</c:v>
          </c:tx>
          <c:spPr>
            <a:ln w="28575" cap="rnd">
              <a:solidFill>
                <a:srgbClr val="002060"/>
              </a:solidFill>
              <a:round/>
            </a:ln>
            <a:effectLst/>
          </c:spPr>
          <c:marker>
            <c:symbol val="none"/>
          </c:marker>
          <c:dLbls>
            <c:dLbl>
              <c:idx val="11"/>
              <c:layout>
                <c:manualLayout>
                  <c:x val="-1.6622199864843139E-3"/>
                  <c:y val="-0.2469714044841542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r>
                      <a:rPr lang="en-US" sz="900" b="0" i="0" u="none" strike="noStrike" kern="1200" baseline="0">
                        <a:solidFill>
                          <a:sysClr val="windowText" lastClr="000000">
                            <a:lumMod val="75000"/>
                            <a:lumOff val="25000"/>
                          </a:sysClr>
                        </a:solidFill>
                        <a:latin typeface="Arial Narrow" panose="020B0606020202030204" pitchFamily="34" charset="0"/>
                      </a:rPr>
                      <a:t>priemerný nárast osobných nákladov v UN a FN </a:t>
                    </a:r>
                    <a:fld id="{8EA22741-B99E-403D-9CAF-94688B71D33D}" type="VALUE">
                      <a:rPr lang="en-US" sz="900"/>
                      <a:pPr>
                        <a:defRPr/>
                      </a:pPr>
                      <a:t>[HODNOTA]</a:t>
                    </a:fld>
                    <a:endParaRPr lang="en-US" sz="900" b="0" i="0" u="none" strike="noStrike" kern="1200" baseline="0">
                      <a:solidFill>
                        <a:sysClr val="windowText" lastClr="000000">
                          <a:lumMod val="75000"/>
                          <a:lumOff val="25000"/>
                        </a:sysClr>
                      </a:solidFill>
                      <a:latin typeface="Arial Narrow" panose="020B0606020202030204" pitchFamily="34" charset="0"/>
                    </a:endParaRP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46B-447C-A3C6-6D4394915836}"/>
                </c:ext>
                <c:ext xmlns:c15="http://schemas.microsoft.com/office/drawing/2012/chart" uri="{CE6537A1-D6FC-4f65-9D91-7224C49458BB}">
                  <c15:layout>
                    <c:manualLayout>
                      <c:w val="0.23279801778509029"/>
                      <c:h val="0.1448737340035885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'osobne naklady'!$G$9:$G$21</c:f>
              <c:numCache>
                <c:formatCode>0%</c:formatCode>
                <c:ptCount val="13"/>
                <c:pt idx="0">
                  <c:v>0.14102044487010101</c:v>
                </c:pt>
                <c:pt idx="1">
                  <c:v>0.14102044487010101</c:v>
                </c:pt>
                <c:pt idx="2">
                  <c:v>0.14102044487010101</c:v>
                </c:pt>
                <c:pt idx="3">
                  <c:v>0.14102044487010101</c:v>
                </c:pt>
                <c:pt idx="4">
                  <c:v>0.14102044487010101</c:v>
                </c:pt>
                <c:pt idx="5">
                  <c:v>0.14102044487010101</c:v>
                </c:pt>
                <c:pt idx="6">
                  <c:v>0.14102044487010101</c:v>
                </c:pt>
                <c:pt idx="7">
                  <c:v>0.14102044487010101</c:v>
                </c:pt>
                <c:pt idx="8">
                  <c:v>0.14102044487010101</c:v>
                </c:pt>
                <c:pt idx="9">
                  <c:v>0.14102044487010101</c:v>
                </c:pt>
                <c:pt idx="10">
                  <c:v>0.14102044487010101</c:v>
                </c:pt>
                <c:pt idx="11">
                  <c:v>0.14102044487010101</c:v>
                </c:pt>
                <c:pt idx="12">
                  <c:v>0.14102044487010101</c:v>
                </c:pt>
              </c:numCache>
            </c:numRef>
          </c:val>
          <c:smooth val="0"/>
          <c:extLst xmlns:c16r2="http://schemas.microsoft.com/office/drawing/2015/06/chart">
            <c:ext xmlns:c16="http://schemas.microsoft.com/office/drawing/2014/chart" uri="{C3380CC4-5D6E-409C-BE32-E72D297353CC}">
              <c16:uniqueId val="{00000004-646B-447C-A3C6-6D4394915836}"/>
            </c:ext>
          </c:extLst>
        </c:ser>
        <c:dLbls>
          <c:showLegendKey val="0"/>
          <c:showVal val="1"/>
          <c:showCatName val="0"/>
          <c:showSerName val="0"/>
          <c:showPercent val="0"/>
          <c:showBubbleSize val="0"/>
        </c:dLbls>
        <c:marker val="1"/>
        <c:smooth val="0"/>
        <c:axId val="535041528"/>
        <c:axId val="535042312"/>
      </c:lineChart>
      <c:catAx>
        <c:axId val="535041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35042312"/>
        <c:crosses val="autoZero"/>
        <c:auto val="1"/>
        <c:lblAlgn val="ctr"/>
        <c:lblOffset val="100"/>
        <c:noMultiLvlLbl val="0"/>
      </c:catAx>
      <c:valAx>
        <c:axId val="535042312"/>
        <c:scaling>
          <c:orientation val="minMax"/>
          <c:max val="0.24000000000000002"/>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350415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4">
  <a:schemeClr val="accent1"/>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0.19065</cdr:x>
      <cdr:y>0.03649</cdr:y>
    </cdr:from>
    <cdr:to>
      <cdr:x>0.28369</cdr:x>
      <cdr:y>0.10894</cdr:y>
    </cdr:to>
    <cdr:sp macro="" textlink="">
      <cdr:nvSpPr>
        <cdr:cNvPr id="2" name="Textové pole 1"/>
        <cdr:cNvSpPr txBox="1"/>
      </cdr:nvSpPr>
      <cdr:spPr>
        <a:xfrm xmlns:a="http://schemas.openxmlformats.org/drawingml/2006/main">
          <a:off x="895861" y="101600"/>
          <a:ext cx="437195" cy="201735"/>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spcAft>
              <a:spcPts val="0"/>
            </a:spcAft>
          </a:pPr>
          <a:r>
            <a:rPr lang="sk-SK" sz="900" b="1">
              <a:effectLst/>
              <a:latin typeface="Arial Narrow" panose="020B0606020202030204" pitchFamily="34" charset="0"/>
              <a:ea typeface="Times New Roman" panose="02020603050405020304" pitchFamily="18" charset="0"/>
            </a:rPr>
            <a:t>255,5</a:t>
          </a:r>
        </a:p>
      </cdr:txBody>
    </cdr:sp>
  </cdr:relSizeAnchor>
  <cdr:relSizeAnchor xmlns:cdr="http://schemas.openxmlformats.org/drawingml/2006/chartDrawing">
    <cdr:from>
      <cdr:x>0.6124</cdr:x>
      <cdr:y>0.01071</cdr:y>
    </cdr:from>
    <cdr:to>
      <cdr:x>0.70545</cdr:x>
      <cdr:y>0.08316</cdr:y>
    </cdr:to>
    <cdr:sp macro="" textlink="">
      <cdr:nvSpPr>
        <cdr:cNvPr id="3" name="Textové pole 1"/>
        <cdr:cNvSpPr txBox="1"/>
      </cdr:nvSpPr>
      <cdr:spPr>
        <a:xfrm xmlns:a="http://schemas.openxmlformats.org/drawingml/2006/main">
          <a:off x="2877675" y="29826"/>
          <a:ext cx="437242" cy="201735"/>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spcAft>
              <a:spcPts val="0"/>
            </a:spcAft>
          </a:pPr>
          <a:r>
            <a:rPr lang="sk-SK" sz="900" b="1">
              <a:effectLst/>
              <a:latin typeface="Arial Narrow" panose="020B0606020202030204" pitchFamily="34" charset="0"/>
              <a:ea typeface="Times New Roman" panose="02020603050405020304" pitchFamily="18" charset="0"/>
            </a:rPr>
            <a:t>262</a:t>
          </a:r>
        </a:p>
      </cdr:txBody>
    </cdr:sp>
  </cdr:relSizeAnchor>
  <cdr:relSizeAnchor xmlns:cdr="http://schemas.openxmlformats.org/drawingml/2006/chartDrawing">
    <cdr:from>
      <cdr:x>0.82158</cdr:x>
      <cdr:y>0</cdr:y>
    </cdr:from>
    <cdr:to>
      <cdr:x>0.91463</cdr:x>
      <cdr:y>0.07245</cdr:y>
    </cdr:to>
    <cdr:sp macro="" textlink="">
      <cdr:nvSpPr>
        <cdr:cNvPr id="4" name="Textové pole 1"/>
        <cdr:cNvSpPr txBox="1"/>
      </cdr:nvSpPr>
      <cdr:spPr>
        <a:xfrm xmlns:a="http://schemas.openxmlformats.org/drawingml/2006/main">
          <a:off x="3860603" y="0"/>
          <a:ext cx="437242" cy="201735"/>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spcAft>
              <a:spcPts val="0"/>
            </a:spcAft>
          </a:pPr>
          <a:r>
            <a:rPr lang="sk-SK" sz="900" b="1">
              <a:effectLst/>
              <a:latin typeface="Arial Narrow" panose="020B0606020202030204" pitchFamily="34" charset="0"/>
              <a:ea typeface="Times New Roman" panose="02020603050405020304" pitchFamily="18" charset="0"/>
            </a:rPr>
            <a:t>270,5</a:t>
          </a:r>
        </a:p>
      </cdr:txBody>
    </cdr:sp>
  </cdr:relSizeAnchor>
  <cdr:relSizeAnchor xmlns:cdr="http://schemas.openxmlformats.org/drawingml/2006/chartDrawing">
    <cdr:from>
      <cdr:x>0.4018</cdr:x>
      <cdr:y>0.02433</cdr:y>
    </cdr:from>
    <cdr:to>
      <cdr:x>0.49484</cdr:x>
      <cdr:y>0.09678</cdr:y>
    </cdr:to>
    <cdr:sp macro="" textlink="">
      <cdr:nvSpPr>
        <cdr:cNvPr id="5" name="Textové pole 1"/>
        <cdr:cNvSpPr txBox="1"/>
      </cdr:nvSpPr>
      <cdr:spPr>
        <a:xfrm xmlns:a="http://schemas.openxmlformats.org/drawingml/2006/main">
          <a:off x="1888066" y="67733"/>
          <a:ext cx="437195" cy="201735"/>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spcAft>
              <a:spcPts val="0"/>
            </a:spcAft>
          </a:pPr>
          <a:r>
            <a:rPr lang="sk-SK" sz="900" b="1">
              <a:effectLst/>
              <a:latin typeface="Arial Narrow" panose="020B0606020202030204" pitchFamily="34" charset="0"/>
              <a:ea typeface="Times New Roman" panose="02020603050405020304" pitchFamily="18" charset="0"/>
            </a:rPr>
            <a:t>253,6</a:t>
          </a:r>
        </a:p>
      </cdr:txBody>
    </cdr:sp>
  </cdr:relSizeAnchor>
</c:userShape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ipp def">
    <a:dk1>
      <a:sysClr val="windowText" lastClr="000000"/>
    </a:dk1>
    <a:lt1>
      <a:sysClr val="window" lastClr="FFFFFF"/>
    </a:lt1>
    <a:dk2>
      <a:srgbClr val="44546A"/>
    </a:dk2>
    <a:lt2>
      <a:srgbClr val="E7E6E6"/>
    </a:lt2>
    <a:accent1>
      <a:srgbClr val="B8DB7C"/>
    </a:accent1>
    <a:accent2>
      <a:srgbClr val="957F66"/>
    </a:accent2>
    <a:accent3>
      <a:srgbClr val="605D5C"/>
    </a:accent3>
    <a:accent4>
      <a:srgbClr val="628624"/>
    </a:accent4>
    <a:accent5>
      <a:srgbClr val="BFB2A2"/>
    </a:accent5>
    <a:accent6>
      <a:srgbClr val="957F66"/>
    </a:accent6>
    <a:hlink>
      <a:srgbClr val="0563C1"/>
    </a:hlink>
    <a:folHlink>
      <a:srgbClr val="954F72"/>
    </a:folHlink>
  </a:clrScheme>
  <a:fontScheme name="Vlastné 2">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6F123-E19D-4E04-A5A2-E032F45F42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95E2BF4-B877-469E-9B5C-DD61E9E22940}">
  <ds:schemaRefs>
    <ds:schemaRef ds:uri="http://purl.org/dc/elements/1.1/"/>
    <ds:schemaRef ds:uri="http://schemas.microsoft.com/office/2006/metadata/properties"/>
    <ds:schemaRef ds:uri="http://purl.org/dc/terms/"/>
    <ds:schemaRef ds:uri="http://www.w3.org/XML/1998/namespace"/>
    <ds:schemaRef ds:uri="http://purl.org/dc/dcmitype/"/>
    <ds:schemaRef ds:uri="http://schemas.microsoft.com/office/2006/documentManagement/type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A3F3A6ED-480E-4F3E-B824-1BBF81AFDF20}">
  <ds:schemaRefs>
    <ds:schemaRef ds:uri="http://schemas.microsoft.com/sharepoint/v3/contenttype/forms"/>
  </ds:schemaRefs>
</ds:datastoreItem>
</file>

<file path=customXml/itemProps4.xml><?xml version="1.0" encoding="utf-8"?>
<ds:datastoreItem xmlns:ds="http://schemas.openxmlformats.org/officeDocument/2006/customXml" ds:itemID="{CD625859-A330-430D-9EF1-5FE121538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201</Pages>
  <Words>73704</Words>
  <Characters>420118</Characters>
  <Application>Microsoft Office Word</Application>
  <DocSecurity>0</DocSecurity>
  <Lines>3500</Lines>
  <Paragraphs>985</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492837</CharactersWithSpaces>
  <SharedDoc>false</SharedDoc>
  <HLinks>
    <vt:vector size="1752" baseType="variant">
      <vt:variant>
        <vt:i4>1769531</vt:i4>
      </vt:variant>
      <vt:variant>
        <vt:i4>641</vt:i4>
      </vt:variant>
      <vt:variant>
        <vt:i4>0</vt:i4>
      </vt:variant>
      <vt:variant>
        <vt:i4>5</vt:i4>
      </vt:variant>
      <vt:variant>
        <vt:lpwstr/>
      </vt:variant>
      <vt:variant>
        <vt:lpwstr>_Toc36779865</vt:lpwstr>
      </vt:variant>
      <vt:variant>
        <vt:i4>1703995</vt:i4>
      </vt:variant>
      <vt:variant>
        <vt:i4>635</vt:i4>
      </vt:variant>
      <vt:variant>
        <vt:i4>0</vt:i4>
      </vt:variant>
      <vt:variant>
        <vt:i4>5</vt:i4>
      </vt:variant>
      <vt:variant>
        <vt:lpwstr/>
      </vt:variant>
      <vt:variant>
        <vt:lpwstr>_Toc36779864</vt:lpwstr>
      </vt:variant>
      <vt:variant>
        <vt:i4>1703989</vt:i4>
      </vt:variant>
      <vt:variant>
        <vt:i4>623</vt:i4>
      </vt:variant>
      <vt:variant>
        <vt:i4>0</vt:i4>
      </vt:variant>
      <vt:variant>
        <vt:i4>5</vt:i4>
      </vt:variant>
      <vt:variant>
        <vt:lpwstr/>
      </vt:variant>
      <vt:variant>
        <vt:lpwstr>_Toc36783221</vt:lpwstr>
      </vt:variant>
      <vt:variant>
        <vt:i4>1769525</vt:i4>
      </vt:variant>
      <vt:variant>
        <vt:i4>617</vt:i4>
      </vt:variant>
      <vt:variant>
        <vt:i4>0</vt:i4>
      </vt:variant>
      <vt:variant>
        <vt:i4>5</vt:i4>
      </vt:variant>
      <vt:variant>
        <vt:lpwstr/>
      </vt:variant>
      <vt:variant>
        <vt:lpwstr>_Toc36783220</vt:lpwstr>
      </vt:variant>
      <vt:variant>
        <vt:i4>1179702</vt:i4>
      </vt:variant>
      <vt:variant>
        <vt:i4>611</vt:i4>
      </vt:variant>
      <vt:variant>
        <vt:i4>0</vt:i4>
      </vt:variant>
      <vt:variant>
        <vt:i4>5</vt:i4>
      </vt:variant>
      <vt:variant>
        <vt:lpwstr/>
      </vt:variant>
      <vt:variant>
        <vt:lpwstr>_Toc36783219</vt:lpwstr>
      </vt:variant>
      <vt:variant>
        <vt:i4>1245238</vt:i4>
      </vt:variant>
      <vt:variant>
        <vt:i4>605</vt:i4>
      </vt:variant>
      <vt:variant>
        <vt:i4>0</vt:i4>
      </vt:variant>
      <vt:variant>
        <vt:i4>5</vt:i4>
      </vt:variant>
      <vt:variant>
        <vt:lpwstr/>
      </vt:variant>
      <vt:variant>
        <vt:lpwstr>_Toc36783218</vt:lpwstr>
      </vt:variant>
      <vt:variant>
        <vt:i4>1835062</vt:i4>
      </vt:variant>
      <vt:variant>
        <vt:i4>599</vt:i4>
      </vt:variant>
      <vt:variant>
        <vt:i4>0</vt:i4>
      </vt:variant>
      <vt:variant>
        <vt:i4>5</vt:i4>
      </vt:variant>
      <vt:variant>
        <vt:lpwstr/>
      </vt:variant>
      <vt:variant>
        <vt:lpwstr>_Toc36783217</vt:lpwstr>
      </vt:variant>
      <vt:variant>
        <vt:i4>1900598</vt:i4>
      </vt:variant>
      <vt:variant>
        <vt:i4>593</vt:i4>
      </vt:variant>
      <vt:variant>
        <vt:i4>0</vt:i4>
      </vt:variant>
      <vt:variant>
        <vt:i4>5</vt:i4>
      </vt:variant>
      <vt:variant>
        <vt:lpwstr/>
      </vt:variant>
      <vt:variant>
        <vt:lpwstr>_Toc36783216</vt:lpwstr>
      </vt:variant>
      <vt:variant>
        <vt:i4>1966134</vt:i4>
      </vt:variant>
      <vt:variant>
        <vt:i4>587</vt:i4>
      </vt:variant>
      <vt:variant>
        <vt:i4>0</vt:i4>
      </vt:variant>
      <vt:variant>
        <vt:i4>5</vt:i4>
      </vt:variant>
      <vt:variant>
        <vt:lpwstr/>
      </vt:variant>
      <vt:variant>
        <vt:lpwstr>_Toc36783215</vt:lpwstr>
      </vt:variant>
      <vt:variant>
        <vt:i4>2031670</vt:i4>
      </vt:variant>
      <vt:variant>
        <vt:i4>581</vt:i4>
      </vt:variant>
      <vt:variant>
        <vt:i4>0</vt:i4>
      </vt:variant>
      <vt:variant>
        <vt:i4>5</vt:i4>
      </vt:variant>
      <vt:variant>
        <vt:lpwstr/>
      </vt:variant>
      <vt:variant>
        <vt:lpwstr>_Toc36783214</vt:lpwstr>
      </vt:variant>
      <vt:variant>
        <vt:i4>1572918</vt:i4>
      </vt:variant>
      <vt:variant>
        <vt:i4>575</vt:i4>
      </vt:variant>
      <vt:variant>
        <vt:i4>0</vt:i4>
      </vt:variant>
      <vt:variant>
        <vt:i4>5</vt:i4>
      </vt:variant>
      <vt:variant>
        <vt:lpwstr/>
      </vt:variant>
      <vt:variant>
        <vt:lpwstr>_Toc36783213</vt:lpwstr>
      </vt:variant>
      <vt:variant>
        <vt:i4>1638454</vt:i4>
      </vt:variant>
      <vt:variant>
        <vt:i4>569</vt:i4>
      </vt:variant>
      <vt:variant>
        <vt:i4>0</vt:i4>
      </vt:variant>
      <vt:variant>
        <vt:i4>5</vt:i4>
      </vt:variant>
      <vt:variant>
        <vt:lpwstr/>
      </vt:variant>
      <vt:variant>
        <vt:lpwstr>_Toc36783212</vt:lpwstr>
      </vt:variant>
      <vt:variant>
        <vt:i4>1703990</vt:i4>
      </vt:variant>
      <vt:variant>
        <vt:i4>563</vt:i4>
      </vt:variant>
      <vt:variant>
        <vt:i4>0</vt:i4>
      </vt:variant>
      <vt:variant>
        <vt:i4>5</vt:i4>
      </vt:variant>
      <vt:variant>
        <vt:lpwstr/>
      </vt:variant>
      <vt:variant>
        <vt:lpwstr>_Toc36783211</vt:lpwstr>
      </vt:variant>
      <vt:variant>
        <vt:i4>1769526</vt:i4>
      </vt:variant>
      <vt:variant>
        <vt:i4>557</vt:i4>
      </vt:variant>
      <vt:variant>
        <vt:i4>0</vt:i4>
      </vt:variant>
      <vt:variant>
        <vt:i4>5</vt:i4>
      </vt:variant>
      <vt:variant>
        <vt:lpwstr/>
      </vt:variant>
      <vt:variant>
        <vt:lpwstr>_Toc36783210</vt:lpwstr>
      </vt:variant>
      <vt:variant>
        <vt:i4>1179703</vt:i4>
      </vt:variant>
      <vt:variant>
        <vt:i4>551</vt:i4>
      </vt:variant>
      <vt:variant>
        <vt:i4>0</vt:i4>
      </vt:variant>
      <vt:variant>
        <vt:i4>5</vt:i4>
      </vt:variant>
      <vt:variant>
        <vt:lpwstr/>
      </vt:variant>
      <vt:variant>
        <vt:lpwstr>_Toc36783209</vt:lpwstr>
      </vt:variant>
      <vt:variant>
        <vt:i4>1245239</vt:i4>
      </vt:variant>
      <vt:variant>
        <vt:i4>545</vt:i4>
      </vt:variant>
      <vt:variant>
        <vt:i4>0</vt:i4>
      </vt:variant>
      <vt:variant>
        <vt:i4>5</vt:i4>
      </vt:variant>
      <vt:variant>
        <vt:lpwstr/>
      </vt:variant>
      <vt:variant>
        <vt:lpwstr>_Toc36783208</vt:lpwstr>
      </vt:variant>
      <vt:variant>
        <vt:i4>1835063</vt:i4>
      </vt:variant>
      <vt:variant>
        <vt:i4>539</vt:i4>
      </vt:variant>
      <vt:variant>
        <vt:i4>0</vt:i4>
      </vt:variant>
      <vt:variant>
        <vt:i4>5</vt:i4>
      </vt:variant>
      <vt:variant>
        <vt:lpwstr/>
      </vt:variant>
      <vt:variant>
        <vt:lpwstr>_Toc36783207</vt:lpwstr>
      </vt:variant>
      <vt:variant>
        <vt:i4>1900599</vt:i4>
      </vt:variant>
      <vt:variant>
        <vt:i4>533</vt:i4>
      </vt:variant>
      <vt:variant>
        <vt:i4>0</vt:i4>
      </vt:variant>
      <vt:variant>
        <vt:i4>5</vt:i4>
      </vt:variant>
      <vt:variant>
        <vt:lpwstr/>
      </vt:variant>
      <vt:variant>
        <vt:lpwstr>_Toc36783206</vt:lpwstr>
      </vt:variant>
      <vt:variant>
        <vt:i4>1966135</vt:i4>
      </vt:variant>
      <vt:variant>
        <vt:i4>527</vt:i4>
      </vt:variant>
      <vt:variant>
        <vt:i4>0</vt:i4>
      </vt:variant>
      <vt:variant>
        <vt:i4>5</vt:i4>
      </vt:variant>
      <vt:variant>
        <vt:lpwstr/>
      </vt:variant>
      <vt:variant>
        <vt:lpwstr>_Toc36783205</vt:lpwstr>
      </vt:variant>
      <vt:variant>
        <vt:i4>2031671</vt:i4>
      </vt:variant>
      <vt:variant>
        <vt:i4>521</vt:i4>
      </vt:variant>
      <vt:variant>
        <vt:i4>0</vt:i4>
      </vt:variant>
      <vt:variant>
        <vt:i4>5</vt:i4>
      </vt:variant>
      <vt:variant>
        <vt:lpwstr/>
      </vt:variant>
      <vt:variant>
        <vt:lpwstr>_Toc36783204</vt:lpwstr>
      </vt:variant>
      <vt:variant>
        <vt:i4>1572919</vt:i4>
      </vt:variant>
      <vt:variant>
        <vt:i4>515</vt:i4>
      </vt:variant>
      <vt:variant>
        <vt:i4>0</vt:i4>
      </vt:variant>
      <vt:variant>
        <vt:i4>5</vt:i4>
      </vt:variant>
      <vt:variant>
        <vt:lpwstr/>
      </vt:variant>
      <vt:variant>
        <vt:lpwstr>_Toc36783203</vt:lpwstr>
      </vt:variant>
      <vt:variant>
        <vt:i4>1638455</vt:i4>
      </vt:variant>
      <vt:variant>
        <vt:i4>509</vt:i4>
      </vt:variant>
      <vt:variant>
        <vt:i4>0</vt:i4>
      </vt:variant>
      <vt:variant>
        <vt:i4>5</vt:i4>
      </vt:variant>
      <vt:variant>
        <vt:lpwstr/>
      </vt:variant>
      <vt:variant>
        <vt:lpwstr>_Toc36783202</vt:lpwstr>
      </vt:variant>
      <vt:variant>
        <vt:i4>1703991</vt:i4>
      </vt:variant>
      <vt:variant>
        <vt:i4>503</vt:i4>
      </vt:variant>
      <vt:variant>
        <vt:i4>0</vt:i4>
      </vt:variant>
      <vt:variant>
        <vt:i4>5</vt:i4>
      </vt:variant>
      <vt:variant>
        <vt:lpwstr/>
      </vt:variant>
      <vt:variant>
        <vt:lpwstr>_Toc36783201</vt:lpwstr>
      </vt:variant>
      <vt:variant>
        <vt:i4>1769527</vt:i4>
      </vt:variant>
      <vt:variant>
        <vt:i4>497</vt:i4>
      </vt:variant>
      <vt:variant>
        <vt:i4>0</vt:i4>
      </vt:variant>
      <vt:variant>
        <vt:i4>5</vt:i4>
      </vt:variant>
      <vt:variant>
        <vt:lpwstr/>
      </vt:variant>
      <vt:variant>
        <vt:lpwstr>_Toc36783200</vt:lpwstr>
      </vt:variant>
      <vt:variant>
        <vt:i4>1114174</vt:i4>
      </vt:variant>
      <vt:variant>
        <vt:i4>491</vt:i4>
      </vt:variant>
      <vt:variant>
        <vt:i4>0</vt:i4>
      </vt:variant>
      <vt:variant>
        <vt:i4>5</vt:i4>
      </vt:variant>
      <vt:variant>
        <vt:lpwstr/>
      </vt:variant>
      <vt:variant>
        <vt:lpwstr>_Toc36783199</vt:lpwstr>
      </vt:variant>
      <vt:variant>
        <vt:i4>1048638</vt:i4>
      </vt:variant>
      <vt:variant>
        <vt:i4>485</vt:i4>
      </vt:variant>
      <vt:variant>
        <vt:i4>0</vt:i4>
      </vt:variant>
      <vt:variant>
        <vt:i4>5</vt:i4>
      </vt:variant>
      <vt:variant>
        <vt:lpwstr/>
      </vt:variant>
      <vt:variant>
        <vt:lpwstr>_Toc36783198</vt:lpwstr>
      </vt:variant>
      <vt:variant>
        <vt:i4>2031678</vt:i4>
      </vt:variant>
      <vt:variant>
        <vt:i4>479</vt:i4>
      </vt:variant>
      <vt:variant>
        <vt:i4>0</vt:i4>
      </vt:variant>
      <vt:variant>
        <vt:i4>5</vt:i4>
      </vt:variant>
      <vt:variant>
        <vt:lpwstr/>
      </vt:variant>
      <vt:variant>
        <vt:lpwstr>_Toc36783197</vt:lpwstr>
      </vt:variant>
      <vt:variant>
        <vt:i4>1966142</vt:i4>
      </vt:variant>
      <vt:variant>
        <vt:i4>473</vt:i4>
      </vt:variant>
      <vt:variant>
        <vt:i4>0</vt:i4>
      </vt:variant>
      <vt:variant>
        <vt:i4>5</vt:i4>
      </vt:variant>
      <vt:variant>
        <vt:lpwstr/>
      </vt:variant>
      <vt:variant>
        <vt:lpwstr>_Toc36783196</vt:lpwstr>
      </vt:variant>
      <vt:variant>
        <vt:i4>1900606</vt:i4>
      </vt:variant>
      <vt:variant>
        <vt:i4>467</vt:i4>
      </vt:variant>
      <vt:variant>
        <vt:i4>0</vt:i4>
      </vt:variant>
      <vt:variant>
        <vt:i4>5</vt:i4>
      </vt:variant>
      <vt:variant>
        <vt:lpwstr/>
      </vt:variant>
      <vt:variant>
        <vt:lpwstr>_Toc36783195</vt:lpwstr>
      </vt:variant>
      <vt:variant>
        <vt:i4>1835070</vt:i4>
      </vt:variant>
      <vt:variant>
        <vt:i4>461</vt:i4>
      </vt:variant>
      <vt:variant>
        <vt:i4>0</vt:i4>
      </vt:variant>
      <vt:variant>
        <vt:i4>5</vt:i4>
      </vt:variant>
      <vt:variant>
        <vt:lpwstr/>
      </vt:variant>
      <vt:variant>
        <vt:lpwstr>_Toc36783194</vt:lpwstr>
      </vt:variant>
      <vt:variant>
        <vt:i4>1769534</vt:i4>
      </vt:variant>
      <vt:variant>
        <vt:i4>455</vt:i4>
      </vt:variant>
      <vt:variant>
        <vt:i4>0</vt:i4>
      </vt:variant>
      <vt:variant>
        <vt:i4>5</vt:i4>
      </vt:variant>
      <vt:variant>
        <vt:lpwstr/>
      </vt:variant>
      <vt:variant>
        <vt:lpwstr>_Toc36783193</vt:lpwstr>
      </vt:variant>
      <vt:variant>
        <vt:i4>1703998</vt:i4>
      </vt:variant>
      <vt:variant>
        <vt:i4>449</vt:i4>
      </vt:variant>
      <vt:variant>
        <vt:i4>0</vt:i4>
      </vt:variant>
      <vt:variant>
        <vt:i4>5</vt:i4>
      </vt:variant>
      <vt:variant>
        <vt:lpwstr/>
      </vt:variant>
      <vt:variant>
        <vt:lpwstr>_Toc36783192</vt:lpwstr>
      </vt:variant>
      <vt:variant>
        <vt:i4>1638462</vt:i4>
      </vt:variant>
      <vt:variant>
        <vt:i4>443</vt:i4>
      </vt:variant>
      <vt:variant>
        <vt:i4>0</vt:i4>
      </vt:variant>
      <vt:variant>
        <vt:i4>5</vt:i4>
      </vt:variant>
      <vt:variant>
        <vt:lpwstr/>
      </vt:variant>
      <vt:variant>
        <vt:lpwstr>_Toc36783191</vt:lpwstr>
      </vt:variant>
      <vt:variant>
        <vt:i4>1703996</vt:i4>
      </vt:variant>
      <vt:variant>
        <vt:i4>434</vt:i4>
      </vt:variant>
      <vt:variant>
        <vt:i4>0</vt:i4>
      </vt:variant>
      <vt:variant>
        <vt:i4>5</vt:i4>
      </vt:variant>
      <vt:variant>
        <vt:lpwstr/>
      </vt:variant>
      <vt:variant>
        <vt:lpwstr>_Toc36780182</vt:lpwstr>
      </vt:variant>
      <vt:variant>
        <vt:i4>1638460</vt:i4>
      </vt:variant>
      <vt:variant>
        <vt:i4>428</vt:i4>
      </vt:variant>
      <vt:variant>
        <vt:i4>0</vt:i4>
      </vt:variant>
      <vt:variant>
        <vt:i4>5</vt:i4>
      </vt:variant>
      <vt:variant>
        <vt:lpwstr/>
      </vt:variant>
      <vt:variant>
        <vt:lpwstr>_Toc36780181</vt:lpwstr>
      </vt:variant>
      <vt:variant>
        <vt:i4>1572924</vt:i4>
      </vt:variant>
      <vt:variant>
        <vt:i4>422</vt:i4>
      </vt:variant>
      <vt:variant>
        <vt:i4>0</vt:i4>
      </vt:variant>
      <vt:variant>
        <vt:i4>5</vt:i4>
      </vt:variant>
      <vt:variant>
        <vt:lpwstr/>
      </vt:variant>
      <vt:variant>
        <vt:lpwstr>_Toc36780180</vt:lpwstr>
      </vt:variant>
      <vt:variant>
        <vt:i4>1114163</vt:i4>
      </vt:variant>
      <vt:variant>
        <vt:i4>416</vt:i4>
      </vt:variant>
      <vt:variant>
        <vt:i4>0</vt:i4>
      </vt:variant>
      <vt:variant>
        <vt:i4>5</vt:i4>
      </vt:variant>
      <vt:variant>
        <vt:lpwstr/>
      </vt:variant>
      <vt:variant>
        <vt:lpwstr>_Toc36780179</vt:lpwstr>
      </vt:variant>
      <vt:variant>
        <vt:i4>1048627</vt:i4>
      </vt:variant>
      <vt:variant>
        <vt:i4>410</vt:i4>
      </vt:variant>
      <vt:variant>
        <vt:i4>0</vt:i4>
      </vt:variant>
      <vt:variant>
        <vt:i4>5</vt:i4>
      </vt:variant>
      <vt:variant>
        <vt:lpwstr/>
      </vt:variant>
      <vt:variant>
        <vt:lpwstr>_Toc36780178</vt:lpwstr>
      </vt:variant>
      <vt:variant>
        <vt:i4>2031667</vt:i4>
      </vt:variant>
      <vt:variant>
        <vt:i4>404</vt:i4>
      </vt:variant>
      <vt:variant>
        <vt:i4>0</vt:i4>
      </vt:variant>
      <vt:variant>
        <vt:i4>5</vt:i4>
      </vt:variant>
      <vt:variant>
        <vt:lpwstr/>
      </vt:variant>
      <vt:variant>
        <vt:lpwstr>_Toc36780177</vt:lpwstr>
      </vt:variant>
      <vt:variant>
        <vt:i4>1966131</vt:i4>
      </vt:variant>
      <vt:variant>
        <vt:i4>398</vt:i4>
      </vt:variant>
      <vt:variant>
        <vt:i4>0</vt:i4>
      </vt:variant>
      <vt:variant>
        <vt:i4>5</vt:i4>
      </vt:variant>
      <vt:variant>
        <vt:lpwstr/>
      </vt:variant>
      <vt:variant>
        <vt:lpwstr>_Toc36780176</vt:lpwstr>
      </vt:variant>
      <vt:variant>
        <vt:i4>1900595</vt:i4>
      </vt:variant>
      <vt:variant>
        <vt:i4>392</vt:i4>
      </vt:variant>
      <vt:variant>
        <vt:i4>0</vt:i4>
      </vt:variant>
      <vt:variant>
        <vt:i4>5</vt:i4>
      </vt:variant>
      <vt:variant>
        <vt:lpwstr/>
      </vt:variant>
      <vt:variant>
        <vt:lpwstr>_Toc36780175</vt:lpwstr>
      </vt:variant>
      <vt:variant>
        <vt:i4>1835059</vt:i4>
      </vt:variant>
      <vt:variant>
        <vt:i4>386</vt:i4>
      </vt:variant>
      <vt:variant>
        <vt:i4>0</vt:i4>
      </vt:variant>
      <vt:variant>
        <vt:i4>5</vt:i4>
      </vt:variant>
      <vt:variant>
        <vt:lpwstr/>
      </vt:variant>
      <vt:variant>
        <vt:lpwstr>_Toc36780174</vt:lpwstr>
      </vt:variant>
      <vt:variant>
        <vt:i4>7077923</vt:i4>
      </vt:variant>
      <vt:variant>
        <vt:i4>372</vt:i4>
      </vt:variant>
      <vt:variant>
        <vt:i4>0</vt:i4>
      </vt:variant>
      <vt:variant>
        <vt:i4>5</vt:i4>
      </vt:variant>
      <vt:variant>
        <vt:lpwstr>http://www.mpsr.sk/ovn/opendata/ovn2018.csv</vt:lpwstr>
      </vt:variant>
      <vt:variant>
        <vt:lpwstr/>
      </vt:variant>
      <vt:variant>
        <vt:i4>1179711</vt:i4>
      </vt:variant>
      <vt:variant>
        <vt:i4>254</vt:i4>
      </vt:variant>
      <vt:variant>
        <vt:i4>0</vt:i4>
      </vt:variant>
      <vt:variant>
        <vt:i4>5</vt:i4>
      </vt:variant>
      <vt:variant>
        <vt:lpwstr/>
      </vt:variant>
      <vt:variant>
        <vt:lpwstr>_Toc36778430</vt:lpwstr>
      </vt:variant>
      <vt:variant>
        <vt:i4>1769534</vt:i4>
      </vt:variant>
      <vt:variant>
        <vt:i4>248</vt:i4>
      </vt:variant>
      <vt:variant>
        <vt:i4>0</vt:i4>
      </vt:variant>
      <vt:variant>
        <vt:i4>5</vt:i4>
      </vt:variant>
      <vt:variant>
        <vt:lpwstr/>
      </vt:variant>
      <vt:variant>
        <vt:lpwstr>_Toc36778429</vt:lpwstr>
      </vt:variant>
      <vt:variant>
        <vt:i4>1703998</vt:i4>
      </vt:variant>
      <vt:variant>
        <vt:i4>242</vt:i4>
      </vt:variant>
      <vt:variant>
        <vt:i4>0</vt:i4>
      </vt:variant>
      <vt:variant>
        <vt:i4>5</vt:i4>
      </vt:variant>
      <vt:variant>
        <vt:lpwstr/>
      </vt:variant>
      <vt:variant>
        <vt:lpwstr>_Toc36778428</vt:lpwstr>
      </vt:variant>
      <vt:variant>
        <vt:i4>1376318</vt:i4>
      </vt:variant>
      <vt:variant>
        <vt:i4>236</vt:i4>
      </vt:variant>
      <vt:variant>
        <vt:i4>0</vt:i4>
      </vt:variant>
      <vt:variant>
        <vt:i4>5</vt:i4>
      </vt:variant>
      <vt:variant>
        <vt:lpwstr/>
      </vt:variant>
      <vt:variant>
        <vt:lpwstr>_Toc36778427</vt:lpwstr>
      </vt:variant>
      <vt:variant>
        <vt:i4>1310782</vt:i4>
      </vt:variant>
      <vt:variant>
        <vt:i4>230</vt:i4>
      </vt:variant>
      <vt:variant>
        <vt:i4>0</vt:i4>
      </vt:variant>
      <vt:variant>
        <vt:i4>5</vt:i4>
      </vt:variant>
      <vt:variant>
        <vt:lpwstr/>
      </vt:variant>
      <vt:variant>
        <vt:lpwstr>_Toc36778426</vt:lpwstr>
      </vt:variant>
      <vt:variant>
        <vt:i4>1507390</vt:i4>
      </vt:variant>
      <vt:variant>
        <vt:i4>224</vt:i4>
      </vt:variant>
      <vt:variant>
        <vt:i4>0</vt:i4>
      </vt:variant>
      <vt:variant>
        <vt:i4>5</vt:i4>
      </vt:variant>
      <vt:variant>
        <vt:lpwstr/>
      </vt:variant>
      <vt:variant>
        <vt:lpwstr>_Toc36778425</vt:lpwstr>
      </vt:variant>
      <vt:variant>
        <vt:i4>1441854</vt:i4>
      </vt:variant>
      <vt:variant>
        <vt:i4>218</vt:i4>
      </vt:variant>
      <vt:variant>
        <vt:i4>0</vt:i4>
      </vt:variant>
      <vt:variant>
        <vt:i4>5</vt:i4>
      </vt:variant>
      <vt:variant>
        <vt:lpwstr/>
      </vt:variant>
      <vt:variant>
        <vt:lpwstr>_Toc36778424</vt:lpwstr>
      </vt:variant>
      <vt:variant>
        <vt:i4>1114174</vt:i4>
      </vt:variant>
      <vt:variant>
        <vt:i4>212</vt:i4>
      </vt:variant>
      <vt:variant>
        <vt:i4>0</vt:i4>
      </vt:variant>
      <vt:variant>
        <vt:i4>5</vt:i4>
      </vt:variant>
      <vt:variant>
        <vt:lpwstr/>
      </vt:variant>
      <vt:variant>
        <vt:lpwstr>_Toc36778423</vt:lpwstr>
      </vt:variant>
      <vt:variant>
        <vt:i4>1048638</vt:i4>
      </vt:variant>
      <vt:variant>
        <vt:i4>206</vt:i4>
      </vt:variant>
      <vt:variant>
        <vt:i4>0</vt:i4>
      </vt:variant>
      <vt:variant>
        <vt:i4>5</vt:i4>
      </vt:variant>
      <vt:variant>
        <vt:lpwstr/>
      </vt:variant>
      <vt:variant>
        <vt:lpwstr>_Toc36778422</vt:lpwstr>
      </vt:variant>
      <vt:variant>
        <vt:i4>1245246</vt:i4>
      </vt:variant>
      <vt:variant>
        <vt:i4>200</vt:i4>
      </vt:variant>
      <vt:variant>
        <vt:i4>0</vt:i4>
      </vt:variant>
      <vt:variant>
        <vt:i4>5</vt:i4>
      </vt:variant>
      <vt:variant>
        <vt:lpwstr/>
      </vt:variant>
      <vt:variant>
        <vt:lpwstr>_Toc36778421</vt:lpwstr>
      </vt:variant>
      <vt:variant>
        <vt:i4>1179710</vt:i4>
      </vt:variant>
      <vt:variant>
        <vt:i4>194</vt:i4>
      </vt:variant>
      <vt:variant>
        <vt:i4>0</vt:i4>
      </vt:variant>
      <vt:variant>
        <vt:i4>5</vt:i4>
      </vt:variant>
      <vt:variant>
        <vt:lpwstr/>
      </vt:variant>
      <vt:variant>
        <vt:lpwstr>_Toc36778420</vt:lpwstr>
      </vt:variant>
      <vt:variant>
        <vt:i4>1769533</vt:i4>
      </vt:variant>
      <vt:variant>
        <vt:i4>188</vt:i4>
      </vt:variant>
      <vt:variant>
        <vt:i4>0</vt:i4>
      </vt:variant>
      <vt:variant>
        <vt:i4>5</vt:i4>
      </vt:variant>
      <vt:variant>
        <vt:lpwstr/>
      </vt:variant>
      <vt:variant>
        <vt:lpwstr>_Toc36778419</vt:lpwstr>
      </vt:variant>
      <vt:variant>
        <vt:i4>1703997</vt:i4>
      </vt:variant>
      <vt:variant>
        <vt:i4>182</vt:i4>
      </vt:variant>
      <vt:variant>
        <vt:i4>0</vt:i4>
      </vt:variant>
      <vt:variant>
        <vt:i4>5</vt:i4>
      </vt:variant>
      <vt:variant>
        <vt:lpwstr/>
      </vt:variant>
      <vt:variant>
        <vt:lpwstr>_Toc36778418</vt:lpwstr>
      </vt:variant>
      <vt:variant>
        <vt:i4>1376317</vt:i4>
      </vt:variant>
      <vt:variant>
        <vt:i4>176</vt:i4>
      </vt:variant>
      <vt:variant>
        <vt:i4>0</vt:i4>
      </vt:variant>
      <vt:variant>
        <vt:i4>5</vt:i4>
      </vt:variant>
      <vt:variant>
        <vt:lpwstr/>
      </vt:variant>
      <vt:variant>
        <vt:lpwstr>_Toc36778417</vt:lpwstr>
      </vt:variant>
      <vt:variant>
        <vt:i4>1310781</vt:i4>
      </vt:variant>
      <vt:variant>
        <vt:i4>170</vt:i4>
      </vt:variant>
      <vt:variant>
        <vt:i4>0</vt:i4>
      </vt:variant>
      <vt:variant>
        <vt:i4>5</vt:i4>
      </vt:variant>
      <vt:variant>
        <vt:lpwstr/>
      </vt:variant>
      <vt:variant>
        <vt:lpwstr>_Toc36778416</vt:lpwstr>
      </vt:variant>
      <vt:variant>
        <vt:i4>1507389</vt:i4>
      </vt:variant>
      <vt:variant>
        <vt:i4>164</vt:i4>
      </vt:variant>
      <vt:variant>
        <vt:i4>0</vt:i4>
      </vt:variant>
      <vt:variant>
        <vt:i4>5</vt:i4>
      </vt:variant>
      <vt:variant>
        <vt:lpwstr/>
      </vt:variant>
      <vt:variant>
        <vt:lpwstr>_Toc36778415</vt:lpwstr>
      </vt:variant>
      <vt:variant>
        <vt:i4>1441853</vt:i4>
      </vt:variant>
      <vt:variant>
        <vt:i4>158</vt:i4>
      </vt:variant>
      <vt:variant>
        <vt:i4>0</vt:i4>
      </vt:variant>
      <vt:variant>
        <vt:i4>5</vt:i4>
      </vt:variant>
      <vt:variant>
        <vt:lpwstr/>
      </vt:variant>
      <vt:variant>
        <vt:lpwstr>_Toc36778414</vt:lpwstr>
      </vt:variant>
      <vt:variant>
        <vt:i4>1114173</vt:i4>
      </vt:variant>
      <vt:variant>
        <vt:i4>152</vt:i4>
      </vt:variant>
      <vt:variant>
        <vt:i4>0</vt:i4>
      </vt:variant>
      <vt:variant>
        <vt:i4>5</vt:i4>
      </vt:variant>
      <vt:variant>
        <vt:lpwstr/>
      </vt:variant>
      <vt:variant>
        <vt:lpwstr>_Toc36778413</vt:lpwstr>
      </vt:variant>
      <vt:variant>
        <vt:i4>1048637</vt:i4>
      </vt:variant>
      <vt:variant>
        <vt:i4>146</vt:i4>
      </vt:variant>
      <vt:variant>
        <vt:i4>0</vt:i4>
      </vt:variant>
      <vt:variant>
        <vt:i4>5</vt:i4>
      </vt:variant>
      <vt:variant>
        <vt:lpwstr/>
      </vt:variant>
      <vt:variant>
        <vt:lpwstr>_Toc36778412</vt:lpwstr>
      </vt:variant>
      <vt:variant>
        <vt:i4>1245245</vt:i4>
      </vt:variant>
      <vt:variant>
        <vt:i4>140</vt:i4>
      </vt:variant>
      <vt:variant>
        <vt:i4>0</vt:i4>
      </vt:variant>
      <vt:variant>
        <vt:i4>5</vt:i4>
      </vt:variant>
      <vt:variant>
        <vt:lpwstr/>
      </vt:variant>
      <vt:variant>
        <vt:lpwstr>_Toc36778411</vt:lpwstr>
      </vt:variant>
      <vt:variant>
        <vt:i4>1179709</vt:i4>
      </vt:variant>
      <vt:variant>
        <vt:i4>134</vt:i4>
      </vt:variant>
      <vt:variant>
        <vt:i4>0</vt:i4>
      </vt:variant>
      <vt:variant>
        <vt:i4>5</vt:i4>
      </vt:variant>
      <vt:variant>
        <vt:lpwstr/>
      </vt:variant>
      <vt:variant>
        <vt:lpwstr>_Toc36778410</vt:lpwstr>
      </vt:variant>
      <vt:variant>
        <vt:i4>1769532</vt:i4>
      </vt:variant>
      <vt:variant>
        <vt:i4>128</vt:i4>
      </vt:variant>
      <vt:variant>
        <vt:i4>0</vt:i4>
      </vt:variant>
      <vt:variant>
        <vt:i4>5</vt:i4>
      </vt:variant>
      <vt:variant>
        <vt:lpwstr/>
      </vt:variant>
      <vt:variant>
        <vt:lpwstr>_Toc36778409</vt:lpwstr>
      </vt:variant>
      <vt:variant>
        <vt:i4>1703996</vt:i4>
      </vt:variant>
      <vt:variant>
        <vt:i4>122</vt:i4>
      </vt:variant>
      <vt:variant>
        <vt:i4>0</vt:i4>
      </vt:variant>
      <vt:variant>
        <vt:i4>5</vt:i4>
      </vt:variant>
      <vt:variant>
        <vt:lpwstr/>
      </vt:variant>
      <vt:variant>
        <vt:lpwstr>_Toc36778408</vt:lpwstr>
      </vt:variant>
      <vt:variant>
        <vt:i4>1376316</vt:i4>
      </vt:variant>
      <vt:variant>
        <vt:i4>116</vt:i4>
      </vt:variant>
      <vt:variant>
        <vt:i4>0</vt:i4>
      </vt:variant>
      <vt:variant>
        <vt:i4>5</vt:i4>
      </vt:variant>
      <vt:variant>
        <vt:lpwstr/>
      </vt:variant>
      <vt:variant>
        <vt:lpwstr>_Toc36778407</vt:lpwstr>
      </vt:variant>
      <vt:variant>
        <vt:i4>1310780</vt:i4>
      </vt:variant>
      <vt:variant>
        <vt:i4>110</vt:i4>
      </vt:variant>
      <vt:variant>
        <vt:i4>0</vt:i4>
      </vt:variant>
      <vt:variant>
        <vt:i4>5</vt:i4>
      </vt:variant>
      <vt:variant>
        <vt:lpwstr/>
      </vt:variant>
      <vt:variant>
        <vt:lpwstr>_Toc36778406</vt:lpwstr>
      </vt:variant>
      <vt:variant>
        <vt:i4>1507388</vt:i4>
      </vt:variant>
      <vt:variant>
        <vt:i4>104</vt:i4>
      </vt:variant>
      <vt:variant>
        <vt:i4>0</vt:i4>
      </vt:variant>
      <vt:variant>
        <vt:i4>5</vt:i4>
      </vt:variant>
      <vt:variant>
        <vt:lpwstr/>
      </vt:variant>
      <vt:variant>
        <vt:lpwstr>_Toc36778405</vt:lpwstr>
      </vt:variant>
      <vt:variant>
        <vt:i4>1441852</vt:i4>
      </vt:variant>
      <vt:variant>
        <vt:i4>98</vt:i4>
      </vt:variant>
      <vt:variant>
        <vt:i4>0</vt:i4>
      </vt:variant>
      <vt:variant>
        <vt:i4>5</vt:i4>
      </vt:variant>
      <vt:variant>
        <vt:lpwstr/>
      </vt:variant>
      <vt:variant>
        <vt:lpwstr>_Toc36778404</vt:lpwstr>
      </vt:variant>
      <vt:variant>
        <vt:i4>1114172</vt:i4>
      </vt:variant>
      <vt:variant>
        <vt:i4>92</vt:i4>
      </vt:variant>
      <vt:variant>
        <vt:i4>0</vt:i4>
      </vt:variant>
      <vt:variant>
        <vt:i4>5</vt:i4>
      </vt:variant>
      <vt:variant>
        <vt:lpwstr/>
      </vt:variant>
      <vt:variant>
        <vt:lpwstr>_Toc36778403</vt:lpwstr>
      </vt:variant>
      <vt:variant>
        <vt:i4>1048636</vt:i4>
      </vt:variant>
      <vt:variant>
        <vt:i4>86</vt:i4>
      </vt:variant>
      <vt:variant>
        <vt:i4>0</vt:i4>
      </vt:variant>
      <vt:variant>
        <vt:i4>5</vt:i4>
      </vt:variant>
      <vt:variant>
        <vt:lpwstr/>
      </vt:variant>
      <vt:variant>
        <vt:lpwstr>_Toc36778402</vt:lpwstr>
      </vt:variant>
      <vt:variant>
        <vt:i4>1245244</vt:i4>
      </vt:variant>
      <vt:variant>
        <vt:i4>80</vt:i4>
      </vt:variant>
      <vt:variant>
        <vt:i4>0</vt:i4>
      </vt:variant>
      <vt:variant>
        <vt:i4>5</vt:i4>
      </vt:variant>
      <vt:variant>
        <vt:lpwstr/>
      </vt:variant>
      <vt:variant>
        <vt:lpwstr>_Toc36778401</vt:lpwstr>
      </vt:variant>
      <vt:variant>
        <vt:i4>1179708</vt:i4>
      </vt:variant>
      <vt:variant>
        <vt:i4>74</vt:i4>
      </vt:variant>
      <vt:variant>
        <vt:i4>0</vt:i4>
      </vt:variant>
      <vt:variant>
        <vt:i4>5</vt:i4>
      </vt:variant>
      <vt:variant>
        <vt:lpwstr/>
      </vt:variant>
      <vt:variant>
        <vt:lpwstr>_Toc36778400</vt:lpwstr>
      </vt:variant>
      <vt:variant>
        <vt:i4>1835061</vt:i4>
      </vt:variant>
      <vt:variant>
        <vt:i4>68</vt:i4>
      </vt:variant>
      <vt:variant>
        <vt:i4>0</vt:i4>
      </vt:variant>
      <vt:variant>
        <vt:i4>5</vt:i4>
      </vt:variant>
      <vt:variant>
        <vt:lpwstr/>
      </vt:variant>
      <vt:variant>
        <vt:lpwstr>_Toc36778399</vt:lpwstr>
      </vt:variant>
      <vt:variant>
        <vt:i4>1900597</vt:i4>
      </vt:variant>
      <vt:variant>
        <vt:i4>62</vt:i4>
      </vt:variant>
      <vt:variant>
        <vt:i4>0</vt:i4>
      </vt:variant>
      <vt:variant>
        <vt:i4>5</vt:i4>
      </vt:variant>
      <vt:variant>
        <vt:lpwstr/>
      </vt:variant>
      <vt:variant>
        <vt:lpwstr>_Toc36778398</vt:lpwstr>
      </vt:variant>
      <vt:variant>
        <vt:i4>1179701</vt:i4>
      </vt:variant>
      <vt:variant>
        <vt:i4>56</vt:i4>
      </vt:variant>
      <vt:variant>
        <vt:i4>0</vt:i4>
      </vt:variant>
      <vt:variant>
        <vt:i4>5</vt:i4>
      </vt:variant>
      <vt:variant>
        <vt:lpwstr/>
      </vt:variant>
      <vt:variant>
        <vt:lpwstr>_Toc36778397</vt:lpwstr>
      </vt:variant>
      <vt:variant>
        <vt:i4>1245237</vt:i4>
      </vt:variant>
      <vt:variant>
        <vt:i4>50</vt:i4>
      </vt:variant>
      <vt:variant>
        <vt:i4>0</vt:i4>
      </vt:variant>
      <vt:variant>
        <vt:i4>5</vt:i4>
      </vt:variant>
      <vt:variant>
        <vt:lpwstr/>
      </vt:variant>
      <vt:variant>
        <vt:lpwstr>_Toc36778396</vt:lpwstr>
      </vt:variant>
      <vt:variant>
        <vt:i4>1048629</vt:i4>
      </vt:variant>
      <vt:variant>
        <vt:i4>44</vt:i4>
      </vt:variant>
      <vt:variant>
        <vt:i4>0</vt:i4>
      </vt:variant>
      <vt:variant>
        <vt:i4>5</vt:i4>
      </vt:variant>
      <vt:variant>
        <vt:lpwstr/>
      </vt:variant>
      <vt:variant>
        <vt:lpwstr>_Toc36778395</vt:lpwstr>
      </vt:variant>
      <vt:variant>
        <vt:i4>1114165</vt:i4>
      </vt:variant>
      <vt:variant>
        <vt:i4>38</vt:i4>
      </vt:variant>
      <vt:variant>
        <vt:i4>0</vt:i4>
      </vt:variant>
      <vt:variant>
        <vt:i4>5</vt:i4>
      </vt:variant>
      <vt:variant>
        <vt:lpwstr/>
      </vt:variant>
      <vt:variant>
        <vt:lpwstr>_Toc36778394</vt:lpwstr>
      </vt:variant>
      <vt:variant>
        <vt:i4>1441845</vt:i4>
      </vt:variant>
      <vt:variant>
        <vt:i4>32</vt:i4>
      </vt:variant>
      <vt:variant>
        <vt:i4>0</vt:i4>
      </vt:variant>
      <vt:variant>
        <vt:i4>5</vt:i4>
      </vt:variant>
      <vt:variant>
        <vt:lpwstr/>
      </vt:variant>
      <vt:variant>
        <vt:lpwstr>_Toc36778393</vt:lpwstr>
      </vt:variant>
      <vt:variant>
        <vt:i4>1507381</vt:i4>
      </vt:variant>
      <vt:variant>
        <vt:i4>26</vt:i4>
      </vt:variant>
      <vt:variant>
        <vt:i4>0</vt:i4>
      </vt:variant>
      <vt:variant>
        <vt:i4>5</vt:i4>
      </vt:variant>
      <vt:variant>
        <vt:lpwstr/>
      </vt:variant>
      <vt:variant>
        <vt:lpwstr>_Toc36778392</vt:lpwstr>
      </vt:variant>
      <vt:variant>
        <vt:i4>1310773</vt:i4>
      </vt:variant>
      <vt:variant>
        <vt:i4>20</vt:i4>
      </vt:variant>
      <vt:variant>
        <vt:i4>0</vt:i4>
      </vt:variant>
      <vt:variant>
        <vt:i4>5</vt:i4>
      </vt:variant>
      <vt:variant>
        <vt:lpwstr/>
      </vt:variant>
      <vt:variant>
        <vt:lpwstr>_Toc36778391</vt:lpwstr>
      </vt:variant>
      <vt:variant>
        <vt:i4>1376309</vt:i4>
      </vt:variant>
      <vt:variant>
        <vt:i4>14</vt:i4>
      </vt:variant>
      <vt:variant>
        <vt:i4>0</vt:i4>
      </vt:variant>
      <vt:variant>
        <vt:i4>5</vt:i4>
      </vt:variant>
      <vt:variant>
        <vt:lpwstr/>
      </vt:variant>
      <vt:variant>
        <vt:lpwstr>_Toc36778390</vt:lpwstr>
      </vt:variant>
      <vt:variant>
        <vt:i4>1835060</vt:i4>
      </vt:variant>
      <vt:variant>
        <vt:i4>8</vt:i4>
      </vt:variant>
      <vt:variant>
        <vt:i4>0</vt:i4>
      </vt:variant>
      <vt:variant>
        <vt:i4>5</vt:i4>
      </vt:variant>
      <vt:variant>
        <vt:lpwstr/>
      </vt:variant>
      <vt:variant>
        <vt:lpwstr>_Toc36778389</vt:lpwstr>
      </vt:variant>
      <vt:variant>
        <vt:i4>1900596</vt:i4>
      </vt:variant>
      <vt:variant>
        <vt:i4>2</vt:i4>
      </vt:variant>
      <vt:variant>
        <vt:i4>0</vt:i4>
      </vt:variant>
      <vt:variant>
        <vt:i4>5</vt:i4>
      </vt:variant>
      <vt:variant>
        <vt:lpwstr/>
      </vt:variant>
      <vt:variant>
        <vt:lpwstr>_Toc36778388</vt:lpwstr>
      </vt:variant>
      <vt:variant>
        <vt:i4>5</vt:i4>
      </vt:variant>
      <vt:variant>
        <vt:i4>618</vt:i4>
      </vt:variant>
      <vt:variant>
        <vt:i4>0</vt:i4>
      </vt:variant>
      <vt:variant>
        <vt:i4>5</vt:i4>
      </vt:variant>
      <vt:variant>
        <vt:lpwstr>https://data.gov.sk/dataset/zoznam-ukoncenych-projektov-pozemkovych-uprav-komplexnych</vt:lpwstr>
      </vt:variant>
      <vt:variant>
        <vt:lpwstr/>
      </vt:variant>
      <vt:variant>
        <vt:i4>5701661</vt:i4>
      </vt:variant>
      <vt:variant>
        <vt:i4>615</vt:i4>
      </vt:variant>
      <vt:variant>
        <vt:i4>0</vt:i4>
      </vt:variant>
      <vt:variant>
        <vt:i4>5</vt:i4>
      </vt:variant>
      <vt:variant>
        <vt:lpwstr>https://data.gov.sk/dataset/zoznam-ukoncenych-projektov-jednoduchych-pozemkovych-uprav/resource/d21585a2-45aa-4aff-b98b-6e7436f32cd7</vt:lpwstr>
      </vt:variant>
      <vt:variant>
        <vt:lpwstr/>
      </vt:variant>
      <vt:variant>
        <vt:i4>5570573</vt:i4>
      </vt:variant>
      <vt:variant>
        <vt:i4>612</vt:i4>
      </vt:variant>
      <vt:variant>
        <vt:i4>0</vt:i4>
      </vt:variant>
      <vt:variant>
        <vt:i4>5</vt:i4>
      </vt:variant>
      <vt:variant>
        <vt:lpwstr>https://pozfond.sk/najom/mlady-polnohospodar/</vt:lpwstr>
      </vt:variant>
      <vt:variant>
        <vt:lpwstr/>
      </vt:variant>
      <vt:variant>
        <vt:i4>6160464</vt:i4>
      </vt:variant>
      <vt:variant>
        <vt:i4>609</vt:i4>
      </vt:variant>
      <vt:variant>
        <vt:i4>0</vt:i4>
      </vt:variant>
      <vt:variant>
        <vt:i4>5</vt:i4>
      </vt:variant>
      <vt:variant>
        <vt:lpwstr>https://www.crz.gov.sk/index.php?ID=2171273&amp;art_zs2=&amp;art_predmet=&amp;art_ico=&amp;art_suma_zmluva_od=&amp;art_suma_zmluva_do=&amp;art_datum_zverejnene_od=&amp;art_datum_zverejnene_do=&amp;art_rezort=0&amp;art_zs1=slovensk%C3%BD+pozemkov%C3%BD+fond&amp;nazov=&amp;art_ico1=&amp;odoslat=Vyh%C4%BEada%C5%A5</vt:lpwstr>
      </vt:variant>
      <vt:variant>
        <vt:lpwstr/>
      </vt:variant>
      <vt:variant>
        <vt:i4>5570573</vt:i4>
      </vt:variant>
      <vt:variant>
        <vt:i4>606</vt:i4>
      </vt:variant>
      <vt:variant>
        <vt:i4>0</vt:i4>
      </vt:variant>
      <vt:variant>
        <vt:i4>5</vt:i4>
      </vt:variant>
      <vt:variant>
        <vt:lpwstr>https://pozfond.sk/najom/mlady-polnohospodar/</vt:lpwstr>
      </vt:variant>
      <vt:variant>
        <vt:lpwstr/>
      </vt:variant>
      <vt:variant>
        <vt:i4>4128823</vt:i4>
      </vt:variant>
      <vt:variant>
        <vt:i4>603</vt:i4>
      </vt:variant>
      <vt:variant>
        <vt:i4>0</vt:i4>
      </vt:variant>
      <vt:variant>
        <vt:i4>5</vt:i4>
      </vt:variant>
      <vt:variant>
        <vt:lpwstr>http://www.podnemapy.sk/portal/verejnost/bpej/bpej.aspx</vt:lpwstr>
      </vt:variant>
      <vt:variant>
        <vt:lpwstr/>
      </vt:variant>
      <vt:variant>
        <vt:i4>6291581</vt:i4>
      </vt:variant>
      <vt:variant>
        <vt:i4>600</vt:i4>
      </vt:variant>
      <vt:variant>
        <vt:i4>0</vt:i4>
      </vt:variant>
      <vt:variant>
        <vt:i4>5</vt:i4>
      </vt:variant>
      <vt:variant>
        <vt:lpwstr>https://portal.vupop.sk/portal/apps/webappviewer/index.html?id=d89cff7c70424117ae01ddba7499d3ad</vt:lpwstr>
      </vt:variant>
      <vt:variant>
        <vt:lpwstr/>
      </vt:variant>
      <vt:variant>
        <vt:i4>7471228</vt:i4>
      </vt:variant>
      <vt:variant>
        <vt:i4>597</vt:i4>
      </vt:variant>
      <vt:variant>
        <vt:i4>0</vt:i4>
      </vt:variant>
      <vt:variant>
        <vt:i4>5</vt:i4>
      </vt:variant>
      <vt:variant>
        <vt:lpwstr>https://data.gov.sk/dataset/potencialna-vodna-erozia/resource/f4c44d58-ef4d-467d-8919-90eb5e486e3e/preview</vt:lpwstr>
      </vt:variant>
      <vt:variant>
        <vt:lpwstr/>
      </vt:variant>
      <vt:variant>
        <vt:i4>3604591</vt:i4>
      </vt:variant>
      <vt:variant>
        <vt:i4>594</vt:i4>
      </vt:variant>
      <vt:variant>
        <vt:i4>0</vt:i4>
      </vt:variant>
      <vt:variant>
        <vt:i4>5</vt:i4>
      </vt:variant>
      <vt:variant>
        <vt:lpwstr>https://data.gov.sk/dataset/bonitovane-podnoekologicke-jednotky-bpej/resource/f13346fb-1bc9-4dd3-9fa6-e63ca0659e3a/preview</vt:lpwstr>
      </vt:variant>
      <vt:variant>
        <vt:lpwstr/>
      </vt:variant>
      <vt:variant>
        <vt:i4>5963844</vt:i4>
      </vt:variant>
      <vt:variant>
        <vt:i4>591</vt:i4>
      </vt:variant>
      <vt:variant>
        <vt:i4>0</vt:i4>
      </vt:variant>
      <vt:variant>
        <vt:i4>5</vt:i4>
      </vt:variant>
      <vt:variant>
        <vt:lpwstr>https://data.gov.sk/dataset/bonitovane-podnoekologicke-jednotky-bpej</vt:lpwstr>
      </vt:variant>
      <vt:variant>
        <vt:lpwstr/>
      </vt:variant>
      <vt:variant>
        <vt:i4>8061033</vt:i4>
      </vt:variant>
      <vt:variant>
        <vt:i4>588</vt:i4>
      </vt:variant>
      <vt:variant>
        <vt:i4>0</vt:i4>
      </vt:variant>
      <vt:variant>
        <vt:i4>5</vt:i4>
      </vt:variant>
      <vt:variant>
        <vt:lpwstr>https://www.apa.sk/index.php?navID=629</vt:lpwstr>
      </vt:variant>
      <vt:variant>
        <vt:lpwstr/>
      </vt:variant>
      <vt:variant>
        <vt:i4>2752614</vt:i4>
      </vt:variant>
      <vt:variant>
        <vt:i4>585</vt:i4>
      </vt:variant>
      <vt:variant>
        <vt:i4>0</vt:i4>
      </vt:variant>
      <vt:variant>
        <vt:i4>5</vt:i4>
      </vt:variant>
      <vt:variant>
        <vt:lpwstr>http://www.radela.sk/Statistiky.html</vt:lpwstr>
      </vt:variant>
      <vt:variant>
        <vt:lpwstr>IL</vt:lpwstr>
      </vt:variant>
      <vt:variant>
        <vt:i4>458764</vt:i4>
      </vt:variant>
      <vt:variant>
        <vt:i4>582</vt:i4>
      </vt:variant>
      <vt:variant>
        <vt:i4>0</vt:i4>
      </vt:variant>
      <vt:variant>
        <vt:i4>5</vt:i4>
      </vt:variant>
      <vt:variant>
        <vt:lpwstr>http://www.registeruz.sk/cruz-public/domain/accountingentity/simplesearch</vt:lpwstr>
      </vt:variant>
      <vt:variant>
        <vt:lpwstr/>
      </vt:variant>
      <vt:variant>
        <vt:i4>2752614</vt:i4>
      </vt:variant>
      <vt:variant>
        <vt:i4>579</vt:i4>
      </vt:variant>
      <vt:variant>
        <vt:i4>0</vt:i4>
      </vt:variant>
      <vt:variant>
        <vt:i4>5</vt:i4>
      </vt:variant>
      <vt:variant>
        <vt:lpwstr>http://www.radela.sk/Statistiky.html</vt:lpwstr>
      </vt:variant>
      <vt:variant>
        <vt:lpwstr>IL</vt:lpwstr>
      </vt:variant>
      <vt:variant>
        <vt:i4>3801122</vt:i4>
      </vt:variant>
      <vt:variant>
        <vt:i4>576</vt:i4>
      </vt:variant>
      <vt:variant>
        <vt:i4>0</vt:i4>
      </vt:variant>
      <vt:variant>
        <vt:i4>5</vt:i4>
      </vt:variant>
      <vt:variant>
        <vt:lpwstr>https://www.mpsr.sk/zelena-sprava-2019/122---14968/</vt:lpwstr>
      </vt:variant>
      <vt:variant>
        <vt:lpwstr/>
      </vt:variant>
      <vt:variant>
        <vt:i4>6553864</vt:i4>
      </vt:variant>
      <vt:variant>
        <vt:i4>573</vt:i4>
      </vt:variant>
      <vt:variant>
        <vt:i4>0</vt:i4>
      </vt:variant>
      <vt:variant>
        <vt:i4>5</vt:i4>
      </vt:variant>
      <vt:variant>
        <vt:lpwstr>https://program.statneit.sk/plan/rozpočet-a-md-rate</vt:lpwstr>
      </vt:variant>
      <vt:variant>
        <vt:lpwstr/>
      </vt:variant>
      <vt:variant>
        <vt:i4>7864442</vt:i4>
      </vt:variant>
      <vt:variant>
        <vt:i4>570</vt:i4>
      </vt:variant>
      <vt:variant>
        <vt:i4>0</vt:i4>
      </vt:variant>
      <vt:variant>
        <vt:i4>5</vt:i4>
      </vt:variant>
      <vt:variant>
        <vt:lpwstr>https://metais.vicepremier.gov.sk/studia/list?fullText=ppa</vt:lpwstr>
      </vt:variant>
      <vt:variant>
        <vt:lpwstr/>
      </vt:variant>
      <vt:variant>
        <vt:i4>8323194</vt:i4>
      </vt:variant>
      <vt:variant>
        <vt:i4>567</vt:i4>
      </vt:variant>
      <vt:variant>
        <vt:i4>0</vt:i4>
      </vt:variant>
      <vt:variant>
        <vt:i4>5</vt:i4>
      </vt:variant>
      <vt:variant>
        <vt:lpwstr>https://metais.vicepremier.gov.sk/studia/detail/ff58dbaf-2e94-9fe3-c735-d1409b5e6be9?tab=documents</vt:lpwstr>
      </vt:variant>
      <vt:variant>
        <vt:lpwstr/>
      </vt:variant>
      <vt:variant>
        <vt:i4>7864429</vt:i4>
      </vt:variant>
      <vt:variant>
        <vt:i4>564</vt:i4>
      </vt:variant>
      <vt:variant>
        <vt:i4>0</vt:i4>
      </vt:variant>
      <vt:variant>
        <vt:i4>5</vt:i4>
      </vt:variant>
      <vt:variant>
        <vt:lpwstr>https://metais.vicepremier.gov.sk/studia/detail/ff58dbaf-2e94-9fe3-c735-d1409b5e6be9?tab=basicForm</vt:lpwstr>
      </vt:variant>
      <vt:variant>
        <vt:lpwstr/>
      </vt:variant>
      <vt:variant>
        <vt:i4>7602223</vt:i4>
      </vt:variant>
      <vt:variant>
        <vt:i4>561</vt:i4>
      </vt:variant>
      <vt:variant>
        <vt:i4>0</vt:i4>
      </vt:variant>
      <vt:variant>
        <vt:i4>5</vt:i4>
      </vt:variant>
      <vt:variant>
        <vt:lpwstr>https://metais.vicepremier.gov.sk/studia/detail/844cab95-f737-de08-2715-3ed90e4fdb64?tab=documents</vt:lpwstr>
      </vt:variant>
      <vt:variant>
        <vt:lpwstr/>
      </vt:variant>
      <vt:variant>
        <vt:i4>1245195</vt:i4>
      </vt:variant>
      <vt:variant>
        <vt:i4>558</vt:i4>
      </vt:variant>
      <vt:variant>
        <vt:i4>0</vt:i4>
      </vt:variant>
      <vt:variant>
        <vt:i4>5</vt:i4>
      </vt:variant>
      <vt:variant>
        <vt:lpwstr>https://metais.vicepremier.gov.sk/detail/Projekt/549291dc-0751-46ca-824b-b566eb2a0bab/cimaster?tab=basicForm</vt:lpwstr>
      </vt:variant>
      <vt:variant>
        <vt:lpwstr/>
      </vt:variant>
      <vt:variant>
        <vt:i4>8192121</vt:i4>
      </vt:variant>
      <vt:variant>
        <vt:i4>555</vt:i4>
      </vt:variant>
      <vt:variant>
        <vt:i4>0</vt:i4>
      </vt:variant>
      <vt:variant>
        <vt:i4>5</vt:i4>
      </vt:variant>
      <vt:variant>
        <vt:lpwstr>https://metais.vicepremier.gov.sk/studia/detail/c83f0c63-ce3f-0dda-1fc6-5acba7216a7f?tab=documents</vt:lpwstr>
      </vt:variant>
      <vt:variant>
        <vt:lpwstr/>
      </vt:variant>
      <vt:variant>
        <vt:i4>8192121</vt:i4>
      </vt:variant>
      <vt:variant>
        <vt:i4>552</vt:i4>
      </vt:variant>
      <vt:variant>
        <vt:i4>0</vt:i4>
      </vt:variant>
      <vt:variant>
        <vt:i4>5</vt:i4>
      </vt:variant>
      <vt:variant>
        <vt:lpwstr>https://metais.vicepremier.gov.sk/studia/detail/c83f0c63-ce3f-0dda-1fc6-5acba7216a7f?tab=documents</vt:lpwstr>
      </vt:variant>
      <vt:variant>
        <vt:lpwstr/>
      </vt:variant>
      <vt:variant>
        <vt:i4>2097192</vt:i4>
      </vt:variant>
      <vt:variant>
        <vt:i4>549</vt:i4>
      </vt:variant>
      <vt:variant>
        <vt:i4>0</vt:i4>
      </vt:variant>
      <vt:variant>
        <vt:i4>5</vt:i4>
      </vt:variant>
      <vt:variant>
        <vt:lpwstr>https://metais.vicepremier.gov.sk/studia/detail/5cdd7f08-598c-3e4f-1d95-cb775b934825?tab=documents</vt:lpwstr>
      </vt:variant>
      <vt:variant>
        <vt:lpwstr/>
      </vt:variant>
      <vt:variant>
        <vt:i4>2555967</vt:i4>
      </vt:variant>
      <vt:variant>
        <vt:i4>546</vt:i4>
      </vt:variant>
      <vt:variant>
        <vt:i4>0</vt:i4>
      </vt:variant>
      <vt:variant>
        <vt:i4>5</vt:i4>
      </vt:variant>
      <vt:variant>
        <vt:lpwstr>https://metais.vicepremier.gov.sk/studia/detail/5cdd7f08-598c-3e4f-1d95-cb775b934825?tab=basicForm</vt:lpwstr>
      </vt:variant>
      <vt:variant>
        <vt:lpwstr/>
      </vt:variant>
      <vt:variant>
        <vt:i4>4653059</vt:i4>
      </vt:variant>
      <vt:variant>
        <vt:i4>543</vt:i4>
      </vt:variant>
      <vt:variant>
        <vt:i4>0</vt:i4>
      </vt:variant>
      <vt:variant>
        <vt:i4>5</vt:i4>
      </vt:variant>
      <vt:variant>
        <vt:lpwstr>https://www.mpsr.sk/aktualne/konto-pre-zelenu-naftu-si-vytvorilo-cez-2-000-ziadatelov/14591/</vt:lpwstr>
      </vt:variant>
      <vt:variant>
        <vt:lpwstr/>
      </vt:variant>
      <vt:variant>
        <vt:i4>5439503</vt:i4>
      </vt:variant>
      <vt:variant>
        <vt:i4>540</vt:i4>
      </vt:variant>
      <vt:variant>
        <vt:i4>0</vt:i4>
      </vt:variant>
      <vt:variant>
        <vt:i4>5</vt:i4>
      </vt:variant>
      <vt:variant>
        <vt:lpwstr>https://data.gov.sk/dataset/lesne-porasty-opis/resource/e0bb0cf0-dc8e-4b37-8ee1-59bf565c83ac</vt:lpwstr>
      </vt:variant>
      <vt:variant>
        <vt:lpwstr/>
      </vt:variant>
      <vt:variant>
        <vt:i4>262219</vt:i4>
      </vt:variant>
      <vt:variant>
        <vt:i4>537</vt:i4>
      </vt:variant>
      <vt:variant>
        <vt:i4>0</vt:i4>
      </vt:variant>
      <vt:variant>
        <vt:i4>5</vt:i4>
      </vt:variant>
      <vt:variant>
        <vt:lpwstr>https://data.gov.sk/dataset/lesne-porasty-plan/resource/3751a783-cf8a-4eb4-8949-5509c1efa650</vt:lpwstr>
      </vt:variant>
      <vt:variant>
        <vt:lpwstr/>
      </vt:variant>
      <vt:variant>
        <vt:i4>5701651</vt:i4>
      </vt:variant>
      <vt:variant>
        <vt:i4>534</vt:i4>
      </vt:variant>
      <vt:variant>
        <vt:i4>0</vt:i4>
      </vt:variant>
      <vt:variant>
        <vt:i4>5</vt:i4>
      </vt:variant>
      <vt:variant>
        <vt:lpwstr>https://data.gov.sk/dataset/lesne-porasty-plan/resource/cee86470-29f8-4ca4-ab2e-4878c3125012</vt:lpwstr>
      </vt:variant>
      <vt:variant>
        <vt:lpwstr/>
      </vt:variant>
      <vt:variant>
        <vt:i4>5373973</vt:i4>
      </vt:variant>
      <vt:variant>
        <vt:i4>531</vt:i4>
      </vt:variant>
      <vt:variant>
        <vt:i4>0</vt:i4>
      </vt:variant>
      <vt:variant>
        <vt:i4>5</vt:i4>
      </vt:variant>
      <vt:variant>
        <vt:lpwstr>https://data.gov.sk/dataset/lesne-porasty-plan/resource/4185c2da-c274-4389-832e-bafe5267c449</vt:lpwstr>
      </vt:variant>
      <vt:variant>
        <vt:lpwstr/>
      </vt:variant>
      <vt:variant>
        <vt:i4>720906</vt:i4>
      </vt:variant>
      <vt:variant>
        <vt:i4>528</vt:i4>
      </vt:variant>
      <vt:variant>
        <vt:i4>0</vt:i4>
      </vt:variant>
      <vt:variant>
        <vt:i4>5</vt:i4>
      </vt:variant>
      <vt:variant>
        <vt:lpwstr>https://data.gov.sk/dataset/lesne-porasty-opis/resource/9025ea45-e31a-4256-bbdf-60c174eb0156</vt:lpwstr>
      </vt:variant>
      <vt:variant>
        <vt:lpwstr/>
      </vt:variant>
      <vt:variant>
        <vt:i4>458833</vt:i4>
      </vt:variant>
      <vt:variant>
        <vt:i4>525</vt:i4>
      </vt:variant>
      <vt:variant>
        <vt:i4>0</vt:i4>
      </vt:variant>
      <vt:variant>
        <vt:i4>5</vt:i4>
      </vt:variant>
      <vt:variant>
        <vt:lpwstr>https://data.gov.sk/dataset/lesne-porasty-opis/resource/5e8f92ab-850f-45a0-9b64-ce3b09fe24ee</vt:lpwstr>
      </vt:variant>
      <vt:variant>
        <vt:lpwstr/>
      </vt:variant>
      <vt:variant>
        <vt:i4>1704024</vt:i4>
      </vt:variant>
      <vt:variant>
        <vt:i4>522</vt:i4>
      </vt:variant>
      <vt:variant>
        <vt:i4>0</vt:i4>
      </vt:variant>
      <vt:variant>
        <vt:i4>5</vt:i4>
      </vt:variant>
      <vt:variant>
        <vt:lpwstr>http://www.forestportal.sk/lesne-hospodarstvo/hospodarska-uprava-lesov/program-starostlivosti-o-lesy/Stranky/default.aspx</vt:lpwstr>
      </vt:variant>
      <vt:variant>
        <vt:lpwstr/>
      </vt:variant>
      <vt:variant>
        <vt:i4>1310800</vt:i4>
      </vt:variant>
      <vt:variant>
        <vt:i4>519</vt:i4>
      </vt:variant>
      <vt:variant>
        <vt:i4>0</vt:i4>
      </vt:variant>
      <vt:variant>
        <vt:i4>5</vt:i4>
      </vt:variant>
      <vt:variant>
        <vt:lpwstr>https://www.fi-compass.eu/fisiyc</vt:lpwstr>
      </vt:variant>
      <vt:variant>
        <vt:lpwstr/>
      </vt:variant>
      <vt:variant>
        <vt:i4>4849742</vt:i4>
      </vt:variant>
      <vt:variant>
        <vt:i4>516</vt:i4>
      </vt:variant>
      <vt:variant>
        <vt:i4>0</vt:i4>
      </vt:variant>
      <vt:variant>
        <vt:i4>5</vt:i4>
      </vt:variant>
      <vt:variant>
        <vt:lpwstr>https://www.vlada.gov.sk/data/files/7713.pdf</vt:lpwstr>
      </vt:variant>
      <vt:variant>
        <vt:lpwstr/>
      </vt:variant>
      <vt:variant>
        <vt:i4>4849742</vt:i4>
      </vt:variant>
      <vt:variant>
        <vt:i4>513</vt:i4>
      </vt:variant>
      <vt:variant>
        <vt:i4>0</vt:i4>
      </vt:variant>
      <vt:variant>
        <vt:i4>5</vt:i4>
      </vt:variant>
      <vt:variant>
        <vt:lpwstr>https://www.vlada.gov.sk/data/files/7713.pdf</vt:lpwstr>
      </vt:variant>
      <vt:variant>
        <vt:lpwstr/>
      </vt:variant>
      <vt:variant>
        <vt:i4>1572893</vt:i4>
      </vt:variant>
      <vt:variant>
        <vt:i4>510</vt:i4>
      </vt:variant>
      <vt:variant>
        <vt:i4>0</vt:i4>
      </vt:variant>
      <vt:variant>
        <vt:i4>5</vt:i4>
      </vt:variant>
      <vt:variant>
        <vt:lpwstr>https://www.mpsr.sk/schema-statnej-pomoci-na-platby-poistneho-v-polnohospodarskej-prvovyrobe-v-zneni-dodatku-c-1/161---14215/</vt:lpwstr>
      </vt:variant>
      <vt:variant>
        <vt:lpwstr/>
      </vt:variant>
      <vt:variant>
        <vt:i4>7864375</vt:i4>
      </vt:variant>
      <vt:variant>
        <vt:i4>507</vt:i4>
      </vt:variant>
      <vt:variant>
        <vt:i4>0</vt:i4>
      </vt:variant>
      <vt:variant>
        <vt:i4>5</vt:i4>
      </vt:variant>
      <vt:variant>
        <vt:lpwstr>https://www.apa.sk/poistenie-urody</vt:lpwstr>
      </vt:variant>
      <vt:variant>
        <vt:lpwstr/>
      </vt:variant>
      <vt:variant>
        <vt:i4>1441795</vt:i4>
      </vt:variant>
      <vt:variant>
        <vt:i4>504</vt:i4>
      </vt:variant>
      <vt:variant>
        <vt:i4>0</vt:i4>
      </vt:variant>
      <vt:variant>
        <vt:i4>5</vt:i4>
      </vt:variant>
      <vt:variant>
        <vt:lpwstr>https://www.epi.sk/zz/2018-172</vt:lpwstr>
      </vt:variant>
      <vt:variant>
        <vt:lpwstr>p5</vt:lpwstr>
      </vt:variant>
      <vt:variant>
        <vt:i4>6488106</vt:i4>
      </vt:variant>
      <vt:variant>
        <vt:i4>501</vt:i4>
      </vt:variant>
      <vt:variant>
        <vt:i4>0</vt:i4>
      </vt:variant>
      <vt:variant>
        <vt:i4>5</vt:i4>
      </vt:variant>
      <vt:variant>
        <vt:lpwstr>https://www.mpsr.sk/ovn2018</vt:lpwstr>
      </vt:variant>
      <vt:variant>
        <vt:lpwstr/>
      </vt:variant>
      <vt:variant>
        <vt:i4>8060984</vt:i4>
      </vt:variant>
      <vt:variant>
        <vt:i4>498</vt:i4>
      </vt:variant>
      <vt:variant>
        <vt:i4>0</vt:i4>
      </vt:variant>
      <vt:variant>
        <vt:i4>5</vt:i4>
      </vt:variant>
      <vt:variant>
        <vt:lpwstr>https://data.gov.sk/dataset/obvykla-vyska-najomneho</vt:lpwstr>
      </vt:variant>
      <vt:variant>
        <vt:lpwstr/>
      </vt:variant>
      <vt:variant>
        <vt:i4>7798839</vt:i4>
      </vt:variant>
      <vt:variant>
        <vt:i4>495</vt:i4>
      </vt:variant>
      <vt:variant>
        <vt:i4>0</vt:i4>
      </vt:variant>
      <vt:variant>
        <vt:i4>5</vt:i4>
      </vt:variant>
      <vt:variant>
        <vt:lpwstr>https://www.slov-lex.sk/pravne-predpisy/SK/ZZ/1991/330/</vt:lpwstr>
      </vt:variant>
      <vt:variant>
        <vt:lpwstr/>
      </vt:variant>
      <vt:variant>
        <vt:i4>7405676</vt:i4>
      </vt:variant>
      <vt:variant>
        <vt:i4>492</vt:i4>
      </vt:variant>
      <vt:variant>
        <vt:i4>0</vt:i4>
      </vt:variant>
      <vt:variant>
        <vt:i4>5</vt:i4>
      </vt:variant>
      <vt:variant>
        <vt:lpwstr>https://data.gov.sk/dataset/zoznam-rozpracovanych-projektov-jednoduchych-pozemkovych-uprav</vt:lpwstr>
      </vt:variant>
      <vt:variant>
        <vt:lpwstr/>
      </vt:variant>
      <vt:variant>
        <vt:i4>6946919</vt:i4>
      </vt:variant>
      <vt:variant>
        <vt:i4>489</vt:i4>
      </vt:variant>
      <vt:variant>
        <vt:i4>0</vt:i4>
      </vt:variant>
      <vt:variant>
        <vt:i4>5</vt:i4>
      </vt:variant>
      <vt:variant>
        <vt:lpwstr>http://www.minv.sk/?ppu-osuske</vt:lpwstr>
      </vt:variant>
      <vt:variant>
        <vt:lpwstr/>
      </vt:variant>
      <vt:variant>
        <vt:i4>131157</vt:i4>
      </vt:variant>
      <vt:variant>
        <vt:i4>486</vt:i4>
      </vt:variant>
      <vt:variant>
        <vt:i4>0</vt:i4>
      </vt:variant>
      <vt:variant>
        <vt:i4>5</vt:i4>
      </vt:variant>
      <vt:variant>
        <vt:lpwstr>http://www.minv.sk/?projekty-pozemkovych-uprav-2</vt:lpwstr>
      </vt:variant>
      <vt:variant>
        <vt:lpwstr/>
      </vt:variant>
      <vt:variant>
        <vt:i4>7340133</vt:i4>
      </vt:variant>
      <vt:variant>
        <vt:i4>483</vt:i4>
      </vt:variant>
      <vt:variant>
        <vt:i4>0</vt:i4>
      </vt:variant>
      <vt:variant>
        <vt:i4>5</vt:i4>
      </vt:variant>
      <vt:variant>
        <vt:lpwstr>https://www.nrsr.sk/web/Default.aspx?sid=zakony/zakon&amp;MasterID=7683</vt:lpwstr>
      </vt:variant>
      <vt:variant>
        <vt:lpwstr/>
      </vt:variant>
      <vt:variant>
        <vt:i4>2424958</vt:i4>
      </vt:variant>
      <vt:variant>
        <vt:i4>480</vt:i4>
      </vt:variant>
      <vt:variant>
        <vt:i4>0</vt:i4>
      </vt:variant>
      <vt:variant>
        <vt:i4>5</vt:i4>
      </vt:variant>
      <vt:variant>
        <vt:lpwstr>https://www.nrsr.sk/web/?sid=zakony/prehlad/vratene</vt:lpwstr>
      </vt:variant>
      <vt:variant>
        <vt:lpwstr/>
      </vt:variant>
      <vt:variant>
        <vt:i4>7798839</vt:i4>
      </vt:variant>
      <vt:variant>
        <vt:i4>477</vt:i4>
      </vt:variant>
      <vt:variant>
        <vt:i4>0</vt:i4>
      </vt:variant>
      <vt:variant>
        <vt:i4>5</vt:i4>
      </vt:variant>
      <vt:variant>
        <vt:lpwstr>https://www.slov-lex.sk/pravne-predpisy/SK/ZZ/1991/330/</vt:lpwstr>
      </vt:variant>
      <vt:variant>
        <vt:lpwstr/>
      </vt:variant>
      <vt:variant>
        <vt:i4>720908</vt:i4>
      </vt:variant>
      <vt:variant>
        <vt:i4>474</vt:i4>
      </vt:variant>
      <vt:variant>
        <vt:i4>0</vt:i4>
      </vt:variant>
      <vt:variant>
        <vt:i4>5</vt:i4>
      </vt:variant>
      <vt:variant>
        <vt:lpwstr>https://rokovania.gov.sk/RVL/Material/24368/1</vt:lpwstr>
      </vt:variant>
      <vt:variant>
        <vt:lpwstr/>
      </vt:variant>
      <vt:variant>
        <vt:i4>7667837</vt:i4>
      </vt:variant>
      <vt:variant>
        <vt:i4>471</vt:i4>
      </vt:variant>
      <vt:variant>
        <vt:i4>0</vt:i4>
      </vt:variant>
      <vt:variant>
        <vt:i4>5</vt:i4>
      </vt:variant>
      <vt:variant>
        <vt:lpwstr>https://rokovania.gov.sk/RVL/Resolution/18080/1</vt:lpwstr>
      </vt:variant>
      <vt:variant>
        <vt:lpwstr/>
      </vt:variant>
      <vt:variant>
        <vt:i4>2228325</vt:i4>
      </vt:variant>
      <vt:variant>
        <vt:i4>468</vt:i4>
      </vt:variant>
      <vt:variant>
        <vt:i4>0</vt:i4>
      </vt:variant>
      <vt:variant>
        <vt:i4>5</vt:i4>
      </vt:variant>
      <vt:variant>
        <vt:lpwstr>https://www.slov-lex.sk/legislativne-procesy/-/SK/dokumenty/LP-2019-372</vt:lpwstr>
      </vt:variant>
      <vt:variant>
        <vt:lpwstr/>
      </vt:variant>
      <vt:variant>
        <vt:i4>4849742</vt:i4>
      </vt:variant>
      <vt:variant>
        <vt:i4>465</vt:i4>
      </vt:variant>
      <vt:variant>
        <vt:i4>0</vt:i4>
      </vt:variant>
      <vt:variant>
        <vt:i4>5</vt:i4>
      </vt:variant>
      <vt:variant>
        <vt:lpwstr>https://www.vlada.gov.sk/data/files/7713.pdf</vt:lpwstr>
      </vt:variant>
      <vt:variant>
        <vt:lpwstr/>
      </vt:variant>
      <vt:variant>
        <vt:i4>4849742</vt:i4>
      </vt:variant>
      <vt:variant>
        <vt:i4>462</vt:i4>
      </vt:variant>
      <vt:variant>
        <vt:i4>0</vt:i4>
      </vt:variant>
      <vt:variant>
        <vt:i4>5</vt:i4>
      </vt:variant>
      <vt:variant>
        <vt:lpwstr>https://www.vlada.gov.sk/data/files/7713.pdf</vt:lpwstr>
      </vt:variant>
      <vt:variant>
        <vt:lpwstr/>
      </vt:variant>
      <vt:variant>
        <vt:i4>1310800</vt:i4>
      </vt:variant>
      <vt:variant>
        <vt:i4>459</vt:i4>
      </vt:variant>
      <vt:variant>
        <vt:i4>0</vt:i4>
      </vt:variant>
      <vt:variant>
        <vt:i4>5</vt:i4>
      </vt:variant>
      <vt:variant>
        <vt:lpwstr>https://www.fi-compass.eu/fisiyc</vt:lpwstr>
      </vt:variant>
      <vt:variant>
        <vt:lpwstr/>
      </vt:variant>
      <vt:variant>
        <vt:i4>6291563</vt:i4>
      </vt:variant>
      <vt:variant>
        <vt:i4>456</vt:i4>
      </vt:variant>
      <vt:variant>
        <vt:i4>0</vt:i4>
      </vt:variant>
      <vt:variant>
        <vt:i4>5</vt:i4>
      </vt:variant>
      <vt:variant>
        <vt:lpwstr>https://www.mfsr.sk/files/archiv/79/Hlavnakniha.pdf</vt:lpwstr>
      </vt:variant>
      <vt:variant>
        <vt:lpwstr/>
      </vt:variant>
      <vt:variant>
        <vt:i4>3211364</vt:i4>
      </vt:variant>
      <vt:variant>
        <vt:i4>453</vt:i4>
      </vt:variant>
      <vt:variant>
        <vt:i4>0</vt:i4>
      </vt:variant>
      <vt:variant>
        <vt:i4>5</vt:i4>
      </vt:variant>
      <vt:variant>
        <vt:lpwstr>https://www.apa.sk/vyzvy/vyzva-na-predkladanie-ziadosti-o-poskytnutie-dotacie-na-platby-poistneho/9162</vt:lpwstr>
      </vt:variant>
      <vt:variant>
        <vt:lpwstr/>
      </vt:variant>
      <vt:variant>
        <vt:i4>720908</vt:i4>
      </vt:variant>
      <vt:variant>
        <vt:i4>450</vt:i4>
      </vt:variant>
      <vt:variant>
        <vt:i4>0</vt:i4>
      </vt:variant>
      <vt:variant>
        <vt:i4>5</vt:i4>
      </vt:variant>
      <vt:variant>
        <vt:lpwstr>https://rokovania.gov.sk/RVL/Material/24368/1</vt:lpwstr>
      </vt:variant>
      <vt:variant>
        <vt:lpwstr/>
      </vt:variant>
      <vt:variant>
        <vt:i4>7667837</vt:i4>
      </vt:variant>
      <vt:variant>
        <vt:i4>447</vt:i4>
      </vt:variant>
      <vt:variant>
        <vt:i4>0</vt:i4>
      </vt:variant>
      <vt:variant>
        <vt:i4>5</vt:i4>
      </vt:variant>
      <vt:variant>
        <vt:lpwstr>https://rokovania.gov.sk/RVL/Resolution/18080/1</vt:lpwstr>
      </vt:variant>
      <vt:variant>
        <vt:lpwstr/>
      </vt:variant>
      <vt:variant>
        <vt:i4>589831</vt:i4>
      </vt:variant>
      <vt:variant>
        <vt:i4>444</vt:i4>
      </vt:variant>
      <vt:variant>
        <vt:i4>0</vt:i4>
      </vt:variant>
      <vt:variant>
        <vt:i4>5</vt:i4>
      </vt:variant>
      <vt:variant>
        <vt:lpwstr>https://rokovania.gov.sk/RVL/Material/24141/1</vt:lpwstr>
      </vt:variant>
      <vt:variant>
        <vt:lpwstr/>
      </vt:variant>
      <vt:variant>
        <vt:i4>1179716</vt:i4>
      </vt:variant>
      <vt:variant>
        <vt:i4>441</vt:i4>
      </vt:variant>
      <vt:variant>
        <vt:i4>0</vt:i4>
      </vt:variant>
      <vt:variant>
        <vt:i4>5</vt:i4>
      </vt:variant>
      <vt:variant>
        <vt:lpwstr>https://www.minzp.sk/iep/publikacie/komentare/ku-korenom.html</vt:lpwstr>
      </vt:variant>
      <vt:variant>
        <vt:lpwstr/>
      </vt:variant>
      <vt:variant>
        <vt:i4>2097278</vt:i4>
      </vt:variant>
      <vt:variant>
        <vt:i4>438</vt:i4>
      </vt:variant>
      <vt:variant>
        <vt:i4>0</vt:i4>
      </vt:variant>
      <vt:variant>
        <vt:i4>5</vt:i4>
      </vt:variant>
      <vt:variant>
        <vt:lpwstr>http://www.shmu.sk/File/HIPS_povodnove_spr/Povodnova_sprava_2018x.pdf</vt:lpwstr>
      </vt:variant>
      <vt:variant>
        <vt:lpwstr/>
      </vt:variant>
      <vt:variant>
        <vt:i4>6225944</vt:i4>
      </vt:variant>
      <vt:variant>
        <vt:i4>435</vt:i4>
      </vt:variant>
      <vt:variant>
        <vt:i4>0</vt:i4>
      </vt:variant>
      <vt:variant>
        <vt:i4>5</vt:i4>
      </vt:variant>
      <vt:variant>
        <vt:lpwstr>https://www.crz.gov.sk/index.php?ID=4021417&amp;l=sk</vt:lpwstr>
      </vt:variant>
      <vt:variant>
        <vt:lpwstr/>
      </vt:variant>
      <vt:variant>
        <vt:i4>7209063</vt:i4>
      </vt:variant>
      <vt:variant>
        <vt:i4>432</vt:i4>
      </vt:variant>
      <vt:variant>
        <vt:i4>0</vt:i4>
      </vt:variant>
      <vt:variant>
        <vt:i4>5</vt:i4>
      </vt:variant>
      <vt:variant>
        <vt:lpwstr>http://envirofond.sk/_img/Ziadosti/2019/Dotacie/Roz%C5%A1%C3%ADrenie_%C5%A0pecifik%C3%A1cia_%C4%8Dinnos%C5%A5_dot%C3%A1cie_J1_2019.pdf</vt:lpwstr>
      </vt:variant>
      <vt:variant>
        <vt:lpwstr/>
      </vt:variant>
      <vt:variant>
        <vt:i4>4063340</vt:i4>
      </vt:variant>
      <vt:variant>
        <vt:i4>429</vt:i4>
      </vt:variant>
      <vt:variant>
        <vt:i4>0</vt:i4>
      </vt:variant>
      <vt:variant>
        <vt:i4>5</vt:i4>
      </vt:variant>
      <vt:variant>
        <vt:lpwstr>https://www.minzp.sk/files/iep/nakladove_benchmarky_20190131.pdf</vt:lpwstr>
      </vt:variant>
      <vt:variant>
        <vt:lpwstr/>
      </vt:variant>
      <vt:variant>
        <vt:i4>4456504</vt:i4>
      </vt:variant>
      <vt:variant>
        <vt:i4>426</vt:i4>
      </vt:variant>
      <vt:variant>
        <vt:i4>0</vt:i4>
      </vt:variant>
      <vt:variant>
        <vt:i4>5</vt:i4>
      </vt:variant>
      <vt:variant>
        <vt:lpwstr>http://www.minzp.sk/files/iep/cba_metodika.pdf</vt:lpwstr>
      </vt:variant>
      <vt:variant>
        <vt:lpwstr/>
      </vt:variant>
      <vt:variant>
        <vt:i4>7864394</vt:i4>
      </vt:variant>
      <vt:variant>
        <vt:i4>423</vt:i4>
      </vt:variant>
      <vt:variant>
        <vt:i4>0</vt:i4>
      </vt:variant>
      <vt:variant>
        <vt:i4>5</vt:i4>
      </vt:variant>
      <vt:variant>
        <vt:lpwstr>http://www.dibavod.cz/data/metodika_riziko_skody_2008.pdf</vt:lpwstr>
      </vt:variant>
      <vt:variant>
        <vt:lpwstr/>
      </vt:variant>
      <vt:variant>
        <vt:i4>4587538</vt:i4>
      </vt:variant>
      <vt:variant>
        <vt:i4>420</vt:i4>
      </vt:variant>
      <vt:variant>
        <vt:i4>0</vt:i4>
      </vt:variant>
      <vt:variant>
        <vt:i4>5</vt:i4>
      </vt:variant>
      <vt:variant>
        <vt:lpwstr>https://www.uvo.gov.sk/vyhladavanie-zakaziek/detail/dokumenty/419086</vt:lpwstr>
      </vt:variant>
      <vt:variant>
        <vt:lpwstr/>
      </vt:variant>
      <vt:variant>
        <vt:i4>1835092</vt:i4>
      </vt:variant>
      <vt:variant>
        <vt:i4>417</vt:i4>
      </vt:variant>
      <vt:variant>
        <vt:i4>0</vt:i4>
      </vt:variant>
      <vt:variant>
        <vt:i4>5</vt:i4>
      </vt:variant>
      <vt:variant>
        <vt:lpwstr>http://www.minzp.sk/oblasti/voda/ochrana-pred-povodnami/manazment-povodnovych-rizik/predbezne-hodnotenie-povodnoveho-rizika-2018.html</vt:lpwstr>
      </vt:variant>
      <vt:variant>
        <vt:lpwstr/>
      </vt:variant>
      <vt:variant>
        <vt:i4>5636118</vt:i4>
      </vt:variant>
      <vt:variant>
        <vt:i4>414</vt:i4>
      </vt:variant>
      <vt:variant>
        <vt:i4>0</vt:i4>
      </vt:variant>
      <vt:variant>
        <vt:i4>5</vt:i4>
      </vt:variant>
      <vt:variant>
        <vt:lpwstr>https://www.crz.gov.sk/index.php?ID=4090395&amp;l=sk</vt:lpwstr>
      </vt:variant>
      <vt:variant>
        <vt:lpwstr/>
      </vt:variant>
      <vt:variant>
        <vt:i4>5898267</vt:i4>
      </vt:variant>
      <vt:variant>
        <vt:i4>411</vt:i4>
      </vt:variant>
      <vt:variant>
        <vt:i4>0</vt:i4>
      </vt:variant>
      <vt:variant>
        <vt:i4>5</vt:i4>
      </vt:variant>
      <vt:variant>
        <vt:lpwstr>https://www.crz.gov.sk/index.php?ID=4096833&amp;l=sk</vt:lpwstr>
      </vt:variant>
      <vt:variant>
        <vt:lpwstr/>
      </vt:variant>
      <vt:variant>
        <vt:i4>5963801</vt:i4>
      </vt:variant>
      <vt:variant>
        <vt:i4>408</vt:i4>
      </vt:variant>
      <vt:variant>
        <vt:i4>0</vt:i4>
      </vt:variant>
      <vt:variant>
        <vt:i4>5</vt:i4>
      </vt:variant>
      <vt:variant>
        <vt:lpwstr>https://www.crz.gov.sk/index.php?ID=4221577&amp;l=sk</vt:lpwstr>
      </vt:variant>
      <vt:variant>
        <vt:lpwstr/>
      </vt:variant>
      <vt:variant>
        <vt:i4>5767193</vt:i4>
      </vt:variant>
      <vt:variant>
        <vt:i4>405</vt:i4>
      </vt:variant>
      <vt:variant>
        <vt:i4>0</vt:i4>
      </vt:variant>
      <vt:variant>
        <vt:i4>5</vt:i4>
      </vt:variant>
      <vt:variant>
        <vt:lpwstr>https://www.crz.gov.sk/index.php?ID=4145733&amp;l=sk</vt:lpwstr>
      </vt:variant>
      <vt:variant>
        <vt:lpwstr/>
      </vt:variant>
      <vt:variant>
        <vt:i4>5832730</vt:i4>
      </vt:variant>
      <vt:variant>
        <vt:i4>402</vt:i4>
      </vt:variant>
      <vt:variant>
        <vt:i4>0</vt:i4>
      </vt:variant>
      <vt:variant>
        <vt:i4>5</vt:i4>
      </vt:variant>
      <vt:variant>
        <vt:lpwstr>https://www.crz.gov.sk/index.php?ID=4085833&amp;l=sk</vt:lpwstr>
      </vt:variant>
      <vt:variant>
        <vt:lpwstr/>
      </vt:variant>
      <vt:variant>
        <vt:i4>1507398</vt:i4>
      </vt:variant>
      <vt:variant>
        <vt:i4>399</vt:i4>
      </vt:variant>
      <vt:variant>
        <vt:i4>0</vt:i4>
      </vt:variant>
      <vt:variant>
        <vt:i4>5</vt:i4>
      </vt:variant>
      <vt:variant>
        <vt:lpwstr>https://www.crp.gov.sk/data/att/80772.pdf</vt:lpwstr>
      </vt:variant>
      <vt:variant>
        <vt:lpwstr/>
      </vt:variant>
      <vt:variant>
        <vt:i4>5373975</vt:i4>
      </vt:variant>
      <vt:variant>
        <vt:i4>396</vt:i4>
      </vt:variant>
      <vt:variant>
        <vt:i4>0</vt:i4>
      </vt:variant>
      <vt:variant>
        <vt:i4>5</vt:i4>
      </vt:variant>
      <vt:variant>
        <vt:lpwstr>https://www.crz.gov.sk/index.php?ID=3982362&amp;l=sk</vt:lpwstr>
      </vt:variant>
      <vt:variant>
        <vt:lpwstr/>
      </vt:variant>
      <vt:variant>
        <vt:i4>7274533</vt:i4>
      </vt:variant>
      <vt:variant>
        <vt:i4>393</vt:i4>
      </vt:variant>
      <vt:variant>
        <vt:i4>0</vt:i4>
      </vt:variant>
      <vt:variant>
        <vt:i4>5</vt:i4>
      </vt:variant>
      <vt:variant>
        <vt:lpwstr>https://www.enviroportal.sk/uploads/files/EZ/2019/EZexportABCStav11mar2019.xls</vt:lpwstr>
      </vt:variant>
      <vt:variant>
        <vt:lpwstr/>
      </vt:variant>
      <vt:variant>
        <vt:i4>65648</vt:i4>
      </vt:variant>
      <vt:variant>
        <vt:i4>390</vt:i4>
      </vt:variant>
      <vt:variant>
        <vt:i4>0</vt:i4>
      </vt:variant>
      <vt:variant>
        <vt:i4>5</vt:i4>
      </vt:variant>
      <vt:variant>
        <vt:lpwstr>https://www.minzp.sk/files/o-nas/mzp-sr/rozpoctova-kapitola-mzp-sr/investicny-plan-kapitoly-mzp-sr-roky-2019-2021_aktualizacia-k-30.09.2019.zip</vt:lpwstr>
      </vt:variant>
      <vt:variant>
        <vt:lpwstr/>
      </vt:variant>
      <vt:variant>
        <vt:i4>393304</vt:i4>
      </vt:variant>
      <vt:variant>
        <vt:i4>387</vt:i4>
      </vt:variant>
      <vt:variant>
        <vt:i4>0</vt:i4>
      </vt:variant>
      <vt:variant>
        <vt:i4>5</vt:i4>
      </vt:variant>
      <vt:variant>
        <vt:lpwstr>https://eur-lex.europa.eu/legal-content/SK/TXT/?uri=CELEX:31992L0043</vt:lpwstr>
      </vt:variant>
      <vt:variant>
        <vt:lpwstr/>
      </vt:variant>
      <vt:variant>
        <vt:i4>4390936</vt:i4>
      </vt:variant>
      <vt:variant>
        <vt:i4>384</vt:i4>
      </vt:variant>
      <vt:variant>
        <vt:i4>0</vt:i4>
      </vt:variant>
      <vt:variant>
        <vt:i4>5</vt:i4>
      </vt:variant>
      <vt:variant>
        <vt:lpwstr>http://europa.eu/rapid/press-release_MEMO-19-462_sk.htm?fbclid=IwAR1U26f3aXYvgPEYdsNXbiBcpcK-0wLrPNxV6u1lR1VCWY8c7qPRNLQ5Elc</vt:lpwstr>
      </vt:variant>
      <vt:variant>
        <vt:lpwstr/>
      </vt:variant>
      <vt:variant>
        <vt:i4>2424885</vt:i4>
      </vt:variant>
      <vt:variant>
        <vt:i4>381</vt:i4>
      </vt:variant>
      <vt:variant>
        <vt:i4>0</vt:i4>
      </vt:variant>
      <vt:variant>
        <vt:i4>5</vt:i4>
      </vt:variant>
      <vt:variant>
        <vt:lpwstr>https://www.slov-lex.sk/legislativne-procesy/SK/LP/2020/28</vt:lpwstr>
      </vt:variant>
      <vt:variant>
        <vt:lpwstr/>
      </vt:variant>
      <vt:variant>
        <vt:i4>2621493</vt:i4>
      </vt:variant>
      <vt:variant>
        <vt:i4>378</vt:i4>
      </vt:variant>
      <vt:variant>
        <vt:i4>0</vt:i4>
      </vt:variant>
      <vt:variant>
        <vt:i4>5</vt:i4>
      </vt:variant>
      <vt:variant>
        <vt:lpwstr>https://www.slov-lex.sk/legislativne-procesy/SK/LP/2020/25</vt:lpwstr>
      </vt:variant>
      <vt:variant>
        <vt:lpwstr/>
      </vt:variant>
      <vt:variant>
        <vt:i4>786435</vt:i4>
      </vt:variant>
      <vt:variant>
        <vt:i4>375</vt:i4>
      </vt:variant>
      <vt:variant>
        <vt:i4>0</vt:i4>
      </vt:variant>
      <vt:variant>
        <vt:i4>5</vt:i4>
      </vt:variant>
      <vt:variant>
        <vt:lpwstr>https://rokovania.gov.sk/RVL/Material/24115/1</vt:lpwstr>
      </vt:variant>
      <vt:variant>
        <vt:lpwstr/>
      </vt:variant>
      <vt:variant>
        <vt:i4>786432</vt:i4>
      </vt:variant>
      <vt:variant>
        <vt:i4>372</vt:i4>
      </vt:variant>
      <vt:variant>
        <vt:i4>0</vt:i4>
      </vt:variant>
      <vt:variant>
        <vt:i4>5</vt:i4>
      </vt:variant>
      <vt:variant>
        <vt:lpwstr>https://rokovania.gov.sk/RVL/Material/24116/1</vt:lpwstr>
      </vt:variant>
      <vt:variant>
        <vt:lpwstr/>
      </vt:variant>
      <vt:variant>
        <vt:i4>21823616</vt:i4>
      </vt:variant>
      <vt:variant>
        <vt:i4>369</vt:i4>
      </vt:variant>
      <vt:variant>
        <vt:i4>0</vt:i4>
      </vt:variant>
      <vt:variant>
        <vt:i4>5</vt:i4>
      </vt:variant>
      <vt:variant>
        <vt:lpwstr>C:\Users\mihalikova\Documents\Korektúry_SIS2019_apríl_2020\SIS2019naCitanie\SIS 2019 Životné prostredie pre IEP_MG.docx</vt:lpwstr>
      </vt:variant>
      <vt:variant>
        <vt:lpwstr/>
      </vt:variant>
      <vt:variant>
        <vt:i4>917514</vt:i4>
      </vt:variant>
      <vt:variant>
        <vt:i4>366</vt:i4>
      </vt:variant>
      <vt:variant>
        <vt:i4>0</vt:i4>
      </vt:variant>
      <vt:variant>
        <vt:i4>5</vt:i4>
      </vt:variant>
      <vt:variant>
        <vt:lpwstr>https://rokovania.gov.sk/RVL/Material/23944/1</vt:lpwstr>
      </vt:variant>
      <vt:variant>
        <vt:lpwstr/>
      </vt:variant>
      <vt:variant>
        <vt:i4>917517</vt:i4>
      </vt:variant>
      <vt:variant>
        <vt:i4>363</vt:i4>
      </vt:variant>
      <vt:variant>
        <vt:i4>0</vt:i4>
      </vt:variant>
      <vt:variant>
        <vt:i4>5</vt:i4>
      </vt:variant>
      <vt:variant>
        <vt:lpwstr>https://rokovania.gov.sk/RVL/Material/23943/1</vt:lpwstr>
      </vt:variant>
      <vt:variant>
        <vt:lpwstr/>
      </vt:variant>
      <vt:variant>
        <vt:i4>7929960</vt:i4>
      </vt:variant>
      <vt:variant>
        <vt:i4>360</vt:i4>
      </vt:variant>
      <vt:variant>
        <vt:i4>0</vt:i4>
      </vt:variant>
      <vt:variant>
        <vt:i4>5</vt:i4>
      </vt:variant>
      <vt:variant>
        <vt:lpwstr>http://www.envirofond.sk/_img/Ziadosti/2020/UVERY/IV.Rozsirenie_Specifikacie_EF_2020.pdf</vt:lpwstr>
      </vt:variant>
      <vt:variant>
        <vt:lpwstr/>
      </vt:variant>
      <vt:variant>
        <vt:i4>1507375</vt:i4>
      </vt:variant>
      <vt:variant>
        <vt:i4>357</vt:i4>
      </vt:variant>
      <vt:variant>
        <vt:i4>0</vt:i4>
      </vt:variant>
      <vt:variant>
        <vt:i4>5</vt:i4>
      </vt:variant>
      <vt:variant>
        <vt:lpwstr>http://www.envirofond.sk/_img/Ziadosti/2019/Vyzvy/VyzvaB_1_2020.pdf</vt:lpwstr>
      </vt:variant>
      <vt:variant>
        <vt:lpwstr/>
      </vt:variant>
      <vt:variant>
        <vt:i4>720898</vt:i4>
      </vt:variant>
      <vt:variant>
        <vt:i4>354</vt:i4>
      </vt:variant>
      <vt:variant>
        <vt:i4>0</vt:i4>
      </vt:variant>
      <vt:variant>
        <vt:i4>5</vt:i4>
      </vt:variant>
      <vt:variant>
        <vt:lpwstr>https://rokovania.gov.sk/RVL/Material/24267/1</vt:lpwstr>
      </vt:variant>
      <vt:variant>
        <vt:lpwstr/>
      </vt:variant>
      <vt:variant>
        <vt:i4>1507375</vt:i4>
      </vt:variant>
      <vt:variant>
        <vt:i4>351</vt:i4>
      </vt:variant>
      <vt:variant>
        <vt:i4>0</vt:i4>
      </vt:variant>
      <vt:variant>
        <vt:i4>5</vt:i4>
      </vt:variant>
      <vt:variant>
        <vt:lpwstr>http://www.envirofond.sk/_img/Ziadosti/2019/Vyzvy/VyzvaB_1_2020.pdf</vt:lpwstr>
      </vt:variant>
      <vt:variant>
        <vt:lpwstr/>
      </vt:variant>
      <vt:variant>
        <vt:i4>23265439</vt:i4>
      </vt:variant>
      <vt:variant>
        <vt:i4>348</vt:i4>
      </vt:variant>
      <vt:variant>
        <vt:i4>0</vt:i4>
      </vt:variant>
      <vt:variant>
        <vt:i4>5</vt:i4>
      </vt:variant>
      <vt:variant>
        <vt:lpwstr>C:\Users\mihalikova\Documents\Korektúry_SIS2019_apríl_2020\SIS2019naCitanie\SIS 2019 Životné prostredie pre IEP_IEP_KS.docx</vt:lpwstr>
      </vt:variant>
      <vt:variant>
        <vt:lpwstr/>
      </vt:variant>
      <vt:variant>
        <vt:i4>2359395</vt:i4>
      </vt:variant>
      <vt:variant>
        <vt:i4>345</vt:i4>
      </vt:variant>
      <vt:variant>
        <vt:i4>0</vt:i4>
      </vt:variant>
      <vt:variant>
        <vt:i4>5</vt:i4>
      </vt:variant>
      <vt:variant>
        <vt:lpwstr>https://www.slov-lex.sk/legislativne-procesy/-/SK/dokumenty/LP-2018-417</vt:lpwstr>
      </vt:variant>
      <vt:variant>
        <vt:lpwstr/>
      </vt:variant>
      <vt:variant>
        <vt:i4>7864378</vt:i4>
      </vt:variant>
      <vt:variant>
        <vt:i4>342</vt:i4>
      </vt:variant>
      <vt:variant>
        <vt:i4>0</vt:i4>
      </vt:variant>
      <vt:variant>
        <vt:i4>5</vt:i4>
      </vt:variant>
      <vt:variant>
        <vt:lpwstr>https://www.slov-lex.sk/pravne-predpisy/SK/ZZ/2002/442/</vt:lpwstr>
      </vt:variant>
      <vt:variant>
        <vt:lpwstr/>
      </vt:variant>
      <vt:variant>
        <vt:i4>65613</vt:i4>
      </vt:variant>
      <vt:variant>
        <vt:i4>339</vt:i4>
      </vt:variant>
      <vt:variant>
        <vt:i4>0</vt:i4>
      </vt:variant>
      <vt:variant>
        <vt:i4>5</vt:i4>
      </vt:variant>
      <vt:variant>
        <vt:lpwstr>http://www.registeruz.sk/cruz-public/domain/accountingentity/show/371372</vt:lpwstr>
      </vt:variant>
      <vt:variant>
        <vt:lpwstr/>
      </vt:variant>
      <vt:variant>
        <vt:i4>6225927</vt:i4>
      </vt:variant>
      <vt:variant>
        <vt:i4>336</vt:i4>
      </vt:variant>
      <vt:variant>
        <vt:i4>0</vt:i4>
      </vt:variant>
      <vt:variant>
        <vt:i4>5</vt:i4>
      </vt:variant>
      <vt:variant>
        <vt:lpwstr>https://ec.europa.eu/transparency/regdoc/rep/1/2020/SK/COM-2020-22-F1-SK-MAIN-PART-1.PDF</vt:lpwstr>
      </vt:variant>
      <vt:variant>
        <vt:lpwstr/>
      </vt:variant>
      <vt:variant>
        <vt:i4>4259933</vt:i4>
      </vt:variant>
      <vt:variant>
        <vt:i4>333</vt:i4>
      </vt:variant>
      <vt:variant>
        <vt:i4>0</vt:i4>
      </vt:variant>
      <vt:variant>
        <vt:i4>5</vt:i4>
      </vt:variant>
      <vt:variant>
        <vt:lpwstr>https://ec.europa.eu/competition/state_aid/cases1/20205/281626_2128087_141_2.pdf</vt:lpwstr>
      </vt:variant>
      <vt:variant>
        <vt:lpwstr/>
      </vt:variant>
      <vt:variant>
        <vt:i4>983054</vt:i4>
      </vt:variant>
      <vt:variant>
        <vt:i4>330</vt:i4>
      </vt:variant>
      <vt:variant>
        <vt:i4>0</vt:i4>
      </vt:variant>
      <vt:variant>
        <vt:i4>5</vt:i4>
      </vt:variant>
      <vt:variant>
        <vt:lpwstr>https://rokovania.gov.sk/RVL/Material/24029/1</vt:lpwstr>
      </vt:variant>
      <vt:variant>
        <vt:lpwstr/>
      </vt:variant>
      <vt:variant>
        <vt:i4>524289</vt:i4>
      </vt:variant>
      <vt:variant>
        <vt:i4>327</vt:i4>
      </vt:variant>
      <vt:variant>
        <vt:i4>0</vt:i4>
      </vt:variant>
      <vt:variant>
        <vt:i4>5</vt:i4>
      </vt:variant>
      <vt:variant>
        <vt:lpwstr>https://rokovania.gov.sk/RVL/Material/23422/1</vt:lpwstr>
      </vt:variant>
      <vt:variant>
        <vt:lpwstr/>
      </vt:variant>
      <vt:variant>
        <vt:i4>3276907</vt:i4>
      </vt:variant>
      <vt:variant>
        <vt:i4>324</vt:i4>
      </vt:variant>
      <vt:variant>
        <vt:i4>0</vt:i4>
      </vt:variant>
      <vt:variant>
        <vt:i4>5</vt:i4>
      </vt:variant>
      <vt:variant>
        <vt:lpwstr>https://www.op-kzp.sk/obsah-vyzvy/55-vyzva-zamerana-na-opkzp-po1-sc141-55/</vt:lpwstr>
      </vt:variant>
      <vt:variant>
        <vt:lpwstr/>
      </vt:variant>
      <vt:variant>
        <vt:i4>6225924</vt:i4>
      </vt:variant>
      <vt:variant>
        <vt:i4>321</vt:i4>
      </vt:variant>
      <vt:variant>
        <vt:i4>0</vt:i4>
      </vt:variant>
      <vt:variant>
        <vt:i4>5</vt:i4>
      </vt:variant>
      <vt:variant>
        <vt:lpwstr>http://www.op-kzp.sk/obsah-dokumenty/dokument-op-kzp-verzia-9-0/</vt:lpwstr>
      </vt:variant>
      <vt:variant>
        <vt:lpwstr/>
      </vt:variant>
      <vt:variant>
        <vt:i4>2555958</vt:i4>
      </vt:variant>
      <vt:variant>
        <vt:i4>318</vt:i4>
      </vt:variant>
      <vt:variant>
        <vt:i4>0</vt:i4>
      </vt:variant>
      <vt:variant>
        <vt:i4>5</vt:i4>
      </vt:variant>
      <vt:variant>
        <vt:lpwstr>https://www.slov-lex.sk/legislativne-procesy/SK/LP/2019/890</vt:lpwstr>
      </vt:variant>
      <vt:variant>
        <vt:lpwstr/>
      </vt:variant>
      <vt:variant>
        <vt:i4>1769539</vt:i4>
      </vt:variant>
      <vt:variant>
        <vt:i4>315</vt:i4>
      </vt:variant>
      <vt:variant>
        <vt:i4>0</vt:i4>
      </vt:variant>
      <vt:variant>
        <vt:i4>5</vt:i4>
      </vt:variant>
      <vt:variant>
        <vt:lpwstr>https://www.finance.gov.sk/files/archiv/uhp/3370/76/Revizia_vydavkov_na_zivotne_prostredie.pdf</vt:lpwstr>
      </vt:variant>
      <vt:variant>
        <vt:lpwstr/>
      </vt:variant>
      <vt:variant>
        <vt:i4>4194329</vt:i4>
      </vt:variant>
      <vt:variant>
        <vt:i4>312</vt:i4>
      </vt:variant>
      <vt:variant>
        <vt:i4>0</vt:i4>
      </vt:variant>
      <vt:variant>
        <vt:i4>5</vt:i4>
      </vt:variant>
      <vt:variant>
        <vt:lpwstr>https://www.slov-lex.sk/pravne-predpisy/SK/ZZ/2019/362/20191201.html</vt:lpwstr>
      </vt:variant>
      <vt:variant>
        <vt:lpwstr/>
      </vt:variant>
      <vt:variant>
        <vt:i4>5242947</vt:i4>
      </vt:variant>
      <vt:variant>
        <vt:i4>309</vt:i4>
      </vt:variant>
      <vt:variant>
        <vt:i4>0</vt:i4>
      </vt:variant>
      <vt:variant>
        <vt:i4>5</vt:i4>
      </vt:variant>
      <vt:variant>
        <vt:lpwstr>https://www.minzp.sk/files/iep/spravodlive-odpady.pdf</vt:lpwstr>
      </vt:variant>
      <vt:variant>
        <vt:lpwstr/>
      </vt:variant>
      <vt:variant>
        <vt:i4>917506</vt:i4>
      </vt:variant>
      <vt:variant>
        <vt:i4>306</vt:i4>
      </vt:variant>
      <vt:variant>
        <vt:i4>0</vt:i4>
      </vt:variant>
      <vt:variant>
        <vt:i4>5</vt:i4>
      </vt:variant>
      <vt:variant>
        <vt:lpwstr>https://rokovania.gov.sk/RVL/Material/23540/2</vt:lpwstr>
      </vt:variant>
      <vt:variant>
        <vt:lpwstr/>
      </vt:variant>
      <vt:variant>
        <vt:i4>7602219</vt:i4>
      </vt:variant>
      <vt:variant>
        <vt:i4>303</vt:i4>
      </vt:variant>
      <vt:variant>
        <vt:i4>0</vt:i4>
      </vt:variant>
      <vt:variant>
        <vt:i4>5</vt:i4>
      </vt:variant>
      <vt:variant>
        <vt:lpwstr>https://www.slov-lex.sk/pravne-predpisy/SK/ZZ/2018/330/20190101</vt:lpwstr>
      </vt:variant>
      <vt:variant>
        <vt:lpwstr/>
      </vt:variant>
      <vt:variant>
        <vt:i4>8192042</vt:i4>
      </vt:variant>
      <vt:variant>
        <vt:i4>300</vt:i4>
      </vt:variant>
      <vt:variant>
        <vt:i4>0</vt:i4>
      </vt:variant>
      <vt:variant>
        <vt:i4>5</vt:i4>
      </vt:variant>
      <vt:variant>
        <vt:lpwstr>https://www.slov-lex.sk/pravne-predpisy/SK/ZZ/2018/329/20190101</vt:lpwstr>
      </vt:variant>
      <vt:variant>
        <vt:lpwstr/>
      </vt:variant>
      <vt:variant>
        <vt:i4>65613</vt:i4>
      </vt:variant>
      <vt:variant>
        <vt:i4>297</vt:i4>
      </vt:variant>
      <vt:variant>
        <vt:i4>0</vt:i4>
      </vt:variant>
      <vt:variant>
        <vt:i4>5</vt:i4>
      </vt:variant>
      <vt:variant>
        <vt:lpwstr>http://www.registeruz.sk/cruz-public/domain/accountingentity/show/371372</vt:lpwstr>
      </vt:variant>
      <vt:variant>
        <vt:lpwstr/>
      </vt:variant>
      <vt:variant>
        <vt:i4>1507375</vt:i4>
      </vt:variant>
      <vt:variant>
        <vt:i4>294</vt:i4>
      </vt:variant>
      <vt:variant>
        <vt:i4>0</vt:i4>
      </vt:variant>
      <vt:variant>
        <vt:i4>5</vt:i4>
      </vt:variant>
      <vt:variant>
        <vt:lpwstr>http://www.envirofond.sk/_img/Ziadosti/2019/Vyzvy/VyzvaB_1_2020.pdf</vt:lpwstr>
      </vt:variant>
      <vt:variant>
        <vt:lpwstr/>
      </vt:variant>
      <vt:variant>
        <vt:i4>720898</vt:i4>
      </vt:variant>
      <vt:variant>
        <vt:i4>291</vt:i4>
      </vt:variant>
      <vt:variant>
        <vt:i4>0</vt:i4>
      </vt:variant>
      <vt:variant>
        <vt:i4>5</vt:i4>
      </vt:variant>
      <vt:variant>
        <vt:lpwstr>https://rokovania.gov.sk/RVL/Material/24267/1</vt:lpwstr>
      </vt:variant>
      <vt:variant>
        <vt:lpwstr/>
      </vt:variant>
      <vt:variant>
        <vt:i4>3276907</vt:i4>
      </vt:variant>
      <vt:variant>
        <vt:i4>288</vt:i4>
      </vt:variant>
      <vt:variant>
        <vt:i4>0</vt:i4>
      </vt:variant>
      <vt:variant>
        <vt:i4>5</vt:i4>
      </vt:variant>
      <vt:variant>
        <vt:lpwstr>https://www.op-kzp.sk/obsah-vyzvy/55-vyzva-zamerana-na-opkzp-po1-sc141-55/</vt:lpwstr>
      </vt:variant>
      <vt:variant>
        <vt:lpwstr/>
      </vt:variant>
      <vt:variant>
        <vt:i4>7864378</vt:i4>
      </vt:variant>
      <vt:variant>
        <vt:i4>285</vt:i4>
      </vt:variant>
      <vt:variant>
        <vt:i4>0</vt:i4>
      </vt:variant>
      <vt:variant>
        <vt:i4>5</vt:i4>
      </vt:variant>
      <vt:variant>
        <vt:lpwstr>https://www.slov-lex.sk/pravne-predpisy/SK/ZZ/2002/543/</vt:lpwstr>
      </vt:variant>
      <vt:variant>
        <vt:lpwstr/>
      </vt:variant>
      <vt:variant>
        <vt:i4>65613</vt:i4>
      </vt:variant>
      <vt:variant>
        <vt:i4>282</vt:i4>
      </vt:variant>
      <vt:variant>
        <vt:i4>0</vt:i4>
      </vt:variant>
      <vt:variant>
        <vt:i4>5</vt:i4>
      </vt:variant>
      <vt:variant>
        <vt:lpwstr>http://www.registeruz.sk/cruz-public/domain/accountingentity/show/371372</vt:lpwstr>
      </vt:variant>
      <vt:variant>
        <vt:lpwstr/>
      </vt:variant>
      <vt:variant>
        <vt:i4>2621498</vt:i4>
      </vt:variant>
      <vt:variant>
        <vt:i4>279</vt:i4>
      </vt:variant>
      <vt:variant>
        <vt:i4>0</vt:i4>
      </vt:variant>
      <vt:variant>
        <vt:i4>5</vt:i4>
      </vt:variant>
      <vt:variant>
        <vt:lpwstr>https://www.slov-lex.sk/legislativne-procesy/SK/LP/2019/468</vt:lpwstr>
      </vt:variant>
      <vt:variant>
        <vt:lpwstr/>
      </vt:variant>
      <vt:variant>
        <vt:i4>7602219</vt:i4>
      </vt:variant>
      <vt:variant>
        <vt:i4>276</vt:i4>
      </vt:variant>
      <vt:variant>
        <vt:i4>0</vt:i4>
      </vt:variant>
      <vt:variant>
        <vt:i4>5</vt:i4>
      </vt:variant>
      <vt:variant>
        <vt:lpwstr>https://www.slov-lex.sk/pravne-predpisy/SK/ZZ/2018/330/20190101</vt:lpwstr>
      </vt:variant>
      <vt:variant>
        <vt:lpwstr/>
      </vt:variant>
      <vt:variant>
        <vt:i4>8192042</vt:i4>
      </vt:variant>
      <vt:variant>
        <vt:i4>273</vt:i4>
      </vt:variant>
      <vt:variant>
        <vt:i4>0</vt:i4>
      </vt:variant>
      <vt:variant>
        <vt:i4>5</vt:i4>
      </vt:variant>
      <vt:variant>
        <vt:lpwstr>https://www.slov-lex.sk/pravne-predpisy/SK/ZZ/2018/329/20190101</vt:lpwstr>
      </vt:variant>
      <vt:variant>
        <vt:lpwstr/>
      </vt:variant>
      <vt:variant>
        <vt:i4>6029336</vt:i4>
      </vt:variant>
      <vt:variant>
        <vt:i4>270</vt:i4>
      </vt:variant>
      <vt:variant>
        <vt:i4>0</vt:i4>
      </vt:variant>
      <vt:variant>
        <vt:i4>5</vt:i4>
      </vt:variant>
      <vt:variant>
        <vt:lpwstr>https://uplatnenie.sk/porovnanie/</vt:lpwstr>
      </vt:variant>
      <vt:variant>
        <vt:lpwstr/>
      </vt:variant>
      <vt:variant>
        <vt:i4>131077</vt:i4>
      </vt:variant>
      <vt:variant>
        <vt:i4>267</vt:i4>
      </vt:variant>
      <vt:variant>
        <vt:i4>0</vt:i4>
      </vt:variant>
      <vt:variant>
        <vt:i4>5</vt:i4>
      </vt:variant>
      <vt:variant>
        <vt:lpwstr>https://uplatnenie.sk/o-projekte/</vt:lpwstr>
      </vt:variant>
      <vt:variant>
        <vt:lpwstr/>
      </vt:variant>
      <vt:variant>
        <vt:i4>3211378</vt:i4>
      </vt:variant>
      <vt:variant>
        <vt:i4>264</vt:i4>
      </vt:variant>
      <vt:variant>
        <vt:i4>0</vt:i4>
      </vt:variant>
      <vt:variant>
        <vt:i4>5</vt:i4>
      </vt:variant>
      <vt:variant>
        <vt:lpwstr>https://www.employment.gov.sk/sk/informacie-media/aktuality/kde-koncia-absolventi-skol.html</vt:lpwstr>
      </vt:variant>
      <vt:variant>
        <vt:lpwstr/>
      </vt:variant>
      <vt:variant>
        <vt:i4>5373969</vt:i4>
      </vt:variant>
      <vt:variant>
        <vt:i4>261</vt:i4>
      </vt:variant>
      <vt:variant>
        <vt:i4>0</vt:i4>
      </vt:variant>
      <vt:variant>
        <vt:i4>5</vt:i4>
      </vt:variant>
      <vt:variant>
        <vt:lpwstr>https://www.crz.gov.sk/index.php?ID=2541298&amp;l=sk</vt:lpwstr>
      </vt:variant>
      <vt:variant>
        <vt:lpwstr/>
      </vt:variant>
      <vt:variant>
        <vt:i4>3211362</vt:i4>
      </vt:variant>
      <vt:variant>
        <vt:i4>258</vt:i4>
      </vt:variant>
      <vt:variant>
        <vt:i4>0</vt:i4>
      </vt:variant>
      <vt:variant>
        <vt:i4>5</vt:i4>
      </vt:variant>
      <vt:variant>
        <vt:lpwstr>zdroj:</vt:lpwstr>
      </vt:variant>
      <vt:variant>
        <vt:lpwstr/>
      </vt:variant>
      <vt:variant>
        <vt:i4>6553671</vt:i4>
      </vt:variant>
      <vt:variant>
        <vt:i4>255</vt:i4>
      </vt:variant>
      <vt:variant>
        <vt:i4>0</vt:i4>
      </vt:variant>
      <vt:variant>
        <vt:i4>5</vt:i4>
      </vt:variant>
      <vt:variant>
        <vt:lpwstr>https://www.cvtisr.sk/cvti-sr-vedecka-kniznica/informacie-o-skolstve/skolstvo/vysoke-skoly/uplatnenie-absolventov-vysokych-skol-na-trhu-prace.html?page_id=28928</vt:lpwstr>
      </vt:variant>
      <vt:variant>
        <vt:lpwstr/>
      </vt:variant>
      <vt:variant>
        <vt:i4>84</vt:i4>
      </vt:variant>
      <vt:variant>
        <vt:i4>252</vt:i4>
      </vt:variant>
      <vt:variant>
        <vt:i4>0</vt:i4>
      </vt:variant>
      <vt:variant>
        <vt:i4>5</vt:i4>
      </vt:variant>
      <vt:variant>
        <vt:lpwstr>https://www.minedu.sk/uplatnenie-absolventov/</vt:lpwstr>
      </vt:variant>
      <vt:variant>
        <vt:lpwstr/>
      </vt:variant>
      <vt:variant>
        <vt:i4>6225948</vt:i4>
      </vt:variant>
      <vt:variant>
        <vt:i4>249</vt:i4>
      </vt:variant>
      <vt:variant>
        <vt:i4>0</vt:i4>
      </vt:variant>
      <vt:variant>
        <vt:i4>5</vt:i4>
      </vt:variant>
      <vt:variant>
        <vt:lpwstr>https://www.crz.gov.sk/index.php?ID=4163023&amp;l=sk</vt:lpwstr>
      </vt:variant>
      <vt:variant>
        <vt:lpwstr/>
      </vt:variant>
      <vt:variant>
        <vt:i4>1310792</vt:i4>
      </vt:variant>
      <vt:variant>
        <vt:i4>246</vt:i4>
      </vt:variant>
      <vt:variant>
        <vt:i4>0</vt:i4>
      </vt:variant>
      <vt:variant>
        <vt:i4>5</vt:i4>
      </vt:variant>
      <vt:variant>
        <vt:lpwstr>http://www.orsr.sk/vypis.asp?ID=508261&amp;SID=2&amp;P=0</vt:lpwstr>
      </vt:variant>
      <vt:variant>
        <vt:lpwstr/>
      </vt:variant>
      <vt:variant>
        <vt:i4>3342458</vt:i4>
      </vt:variant>
      <vt:variant>
        <vt:i4>243</vt:i4>
      </vt:variant>
      <vt:variant>
        <vt:i4>0</vt:i4>
      </vt:variant>
      <vt:variant>
        <vt:i4>5</vt:i4>
      </vt:variant>
      <vt:variant>
        <vt:lpwstr>http://www.registeruz.sk/cruz-public/domain/accountingentity/show/6743</vt:lpwstr>
      </vt:variant>
      <vt:variant>
        <vt:lpwstr/>
      </vt:variant>
      <vt:variant>
        <vt:i4>8061036</vt:i4>
      </vt:variant>
      <vt:variant>
        <vt:i4>240</vt:i4>
      </vt:variant>
      <vt:variant>
        <vt:i4>0</vt:i4>
      </vt:variant>
      <vt:variant>
        <vt:i4>5</vt:i4>
      </vt:variant>
      <vt:variant>
        <vt:lpwstr>https://www.minedu.sk/ministerstvo-skolstva-ukoncilo-posobenie-narodneho-ustavu-celozivotneho-vzdelavania/</vt:lpwstr>
      </vt:variant>
      <vt:variant>
        <vt:lpwstr/>
      </vt:variant>
      <vt:variant>
        <vt:i4>2555951</vt:i4>
      </vt:variant>
      <vt:variant>
        <vt:i4>237</vt:i4>
      </vt:variant>
      <vt:variant>
        <vt:i4>0</vt:i4>
      </vt:variant>
      <vt:variant>
        <vt:i4>5</vt:i4>
      </vt:variant>
      <vt:variant>
        <vt:lpwstr>https://www.minedu.sk/kontrakty-uzatvorene-na-rok-2019/</vt:lpwstr>
      </vt:variant>
      <vt:variant>
        <vt:lpwstr/>
      </vt:variant>
      <vt:variant>
        <vt:i4>3211362</vt:i4>
      </vt:variant>
      <vt:variant>
        <vt:i4>234</vt:i4>
      </vt:variant>
      <vt:variant>
        <vt:i4>0</vt:i4>
      </vt:variant>
      <vt:variant>
        <vt:i4>5</vt:i4>
      </vt:variant>
      <vt:variant>
        <vt:lpwstr>zdroj:</vt:lpwstr>
      </vt:variant>
      <vt:variant>
        <vt:lpwstr/>
      </vt:variant>
      <vt:variant>
        <vt:i4>655460</vt:i4>
      </vt:variant>
      <vt:variant>
        <vt:i4>231</vt:i4>
      </vt:variant>
      <vt:variant>
        <vt:i4>0</vt:i4>
      </vt:variant>
      <vt:variant>
        <vt:i4>5</vt:i4>
      </vt:variant>
      <vt:variant>
        <vt:lpwstr>https://drive.google.com/file/d/15pFGMX80gV_5AUZM-FIu0Z7TaQxJdVRx/view</vt:lpwstr>
      </vt:variant>
      <vt:variant>
        <vt:lpwstr/>
      </vt:variant>
      <vt:variant>
        <vt:i4>6488122</vt:i4>
      </vt:variant>
      <vt:variant>
        <vt:i4>228</vt:i4>
      </vt:variant>
      <vt:variant>
        <vt:i4>0</vt:i4>
      </vt:variant>
      <vt:variant>
        <vt:i4>5</vt:i4>
      </vt:variant>
      <vt:variant>
        <vt:lpwstr>https://www.slov-lex.sk/pravne-predpisy/SK/ZZ/2019/95/</vt:lpwstr>
      </vt:variant>
      <vt:variant>
        <vt:lpwstr/>
      </vt:variant>
      <vt:variant>
        <vt:i4>5832720</vt:i4>
      </vt:variant>
      <vt:variant>
        <vt:i4>225</vt:i4>
      </vt:variant>
      <vt:variant>
        <vt:i4>0</vt:i4>
      </vt:variant>
      <vt:variant>
        <vt:i4>5</vt:i4>
      </vt:variant>
      <vt:variant>
        <vt:lpwstr>https://www.crz.gov.sk/index.php?ID=4262669&amp;l=sk</vt:lpwstr>
      </vt:variant>
      <vt:variant>
        <vt:lpwstr/>
      </vt:variant>
      <vt:variant>
        <vt:i4>2293887</vt:i4>
      </vt:variant>
      <vt:variant>
        <vt:i4>222</vt:i4>
      </vt:variant>
      <vt:variant>
        <vt:i4>0</vt:i4>
      </vt:variant>
      <vt:variant>
        <vt:i4>5</vt:i4>
      </vt:variant>
      <vt:variant>
        <vt:lpwstr>https://www.mfsr.sk/files/archiv/uhp/3370/76/03metodikaCBA-v10.pdf</vt:lpwstr>
      </vt:variant>
      <vt:variant>
        <vt:lpwstr/>
      </vt:variant>
      <vt:variant>
        <vt:i4>7274609</vt:i4>
      </vt:variant>
      <vt:variant>
        <vt:i4>219</vt:i4>
      </vt:variant>
      <vt:variant>
        <vt:i4>0</vt:i4>
      </vt:variant>
      <vt:variant>
        <vt:i4>5</vt:i4>
      </vt:variant>
      <vt:variant>
        <vt:lpwstr>https://www.minedu.sk/investicny-plan-projektov-msvvas-sr-na-obdobie-2020-2022/</vt:lpwstr>
      </vt:variant>
      <vt:variant>
        <vt:lpwstr/>
      </vt:variant>
      <vt:variant>
        <vt:i4>8323112</vt:i4>
      </vt:variant>
      <vt:variant>
        <vt:i4>216</vt:i4>
      </vt:variant>
      <vt:variant>
        <vt:i4>0</vt:i4>
      </vt:variant>
      <vt:variant>
        <vt:i4>5</vt:i4>
      </vt:variant>
      <vt:variant>
        <vt:lpwstr>https://www.minedu.sk/rozpis-dotacii-zo-statneho-rozpoctu-verejnym-vysokym-skolam-na-rok-2020/</vt:lpwstr>
      </vt:variant>
      <vt:variant>
        <vt:lpwstr/>
      </vt:variant>
      <vt:variant>
        <vt:i4>7733304</vt:i4>
      </vt:variant>
      <vt:variant>
        <vt:i4>213</vt:i4>
      </vt:variant>
      <vt:variant>
        <vt:i4>0</vt:i4>
      </vt:variant>
      <vt:variant>
        <vt:i4>5</vt:i4>
      </vt:variant>
      <vt:variant>
        <vt:lpwstr>https://www.slov-lex.sk/pravne-predpisy/SK/ZZ/2018/270/</vt:lpwstr>
      </vt:variant>
      <vt:variant>
        <vt:lpwstr/>
      </vt:variant>
      <vt:variant>
        <vt:i4>65609</vt:i4>
      </vt:variant>
      <vt:variant>
        <vt:i4>210</vt:i4>
      </vt:variant>
      <vt:variant>
        <vt:i4>0</vt:i4>
      </vt:variant>
      <vt:variant>
        <vt:i4>5</vt:i4>
      </vt:variant>
      <vt:variant>
        <vt:lpwstr>https://saavs.sk/o-agenture/</vt:lpwstr>
      </vt:variant>
      <vt:variant>
        <vt:lpwstr/>
      </vt:variant>
      <vt:variant>
        <vt:i4>8323129</vt:i4>
      </vt:variant>
      <vt:variant>
        <vt:i4>207</vt:i4>
      </vt:variant>
      <vt:variant>
        <vt:i4>0</vt:i4>
      </vt:variant>
      <vt:variant>
        <vt:i4>5</vt:i4>
      </vt:variant>
      <vt:variant>
        <vt:lpwstr>https://www.slov-lex.sk/pravne-predpisy/SK/ZZ/2018/269/</vt:lpwstr>
      </vt:variant>
      <vt:variant>
        <vt:lpwstr/>
      </vt:variant>
      <vt:variant>
        <vt:i4>7733305</vt:i4>
      </vt:variant>
      <vt:variant>
        <vt:i4>204</vt:i4>
      </vt:variant>
      <vt:variant>
        <vt:i4>0</vt:i4>
      </vt:variant>
      <vt:variant>
        <vt:i4>5</vt:i4>
      </vt:variant>
      <vt:variant>
        <vt:lpwstr>https://www.slov-lex.sk/pravne-predpisy/SK/ZZ/2019/360/</vt:lpwstr>
      </vt:variant>
      <vt:variant>
        <vt:lpwstr/>
      </vt:variant>
      <vt:variant>
        <vt:i4>7995489</vt:i4>
      </vt:variant>
      <vt:variant>
        <vt:i4>201</vt:i4>
      </vt:variant>
      <vt:variant>
        <vt:i4>0</vt:i4>
      </vt:variant>
      <vt:variant>
        <vt:i4>5</vt:i4>
      </vt:variant>
      <vt:variant>
        <vt:lpwstr>https://www.nrsr.sk/web/Default.aspx?sid=zakony/zakon&amp;MasterID=7220</vt:lpwstr>
      </vt:variant>
      <vt:variant>
        <vt:lpwstr/>
      </vt:variant>
      <vt:variant>
        <vt:i4>589909</vt:i4>
      </vt:variant>
      <vt:variant>
        <vt:i4>198</vt:i4>
      </vt:variant>
      <vt:variant>
        <vt:i4>0</vt:i4>
      </vt:variant>
      <vt:variant>
        <vt:i4>5</vt:i4>
      </vt:variant>
      <vt:variant>
        <vt:lpwstr>https://www.minedu.sk/vyzvy-na-vyber-odbornych-hodnotitelov/</vt:lpwstr>
      </vt:variant>
      <vt:variant>
        <vt:lpwstr/>
      </vt:variant>
      <vt:variant>
        <vt:i4>3735612</vt:i4>
      </vt:variant>
      <vt:variant>
        <vt:i4>195</vt:i4>
      </vt:variant>
      <vt:variant>
        <vt:i4>0</vt:i4>
      </vt:variant>
      <vt:variant>
        <vt:i4>5</vt:i4>
      </vt:variant>
      <vt:variant>
        <vt:lpwstr>https://www.minedu.sk/27122018-vyzva-na-predkladanie-ziadosti-o-nenavratny-financny-prispevok-na-podporu-prepojenia-vysokoskolskeho-vzdelavania-s-potrebami-praxe-vysoka-skola-pre-prax-oplz-po12018dop131-02/</vt:lpwstr>
      </vt:variant>
      <vt:variant>
        <vt:lpwstr/>
      </vt:variant>
      <vt:variant>
        <vt:i4>1376264</vt:i4>
      </vt:variant>
      <vt:variant>
        <vt:i4>192</vt:i4>
      </vt:variant>
      <vt:variant>
        <vt:i4>0</vt:i4>
      </vt:variant>
      <vt:variant>
        <vt:i4>5</vt:i4>
      </vt:variant>
      <vt:variant>
        <vt:lpwstr>http://www.statpedu.sk/sk/svp/inovovany-statny-vzdelavaci-program/inovovany-svp-gymnazia-so-stvorrocnym-patrocnym-vzdelavacim-programom/</vt:lpwstr>
      </vt:variant>
      <vt:variant>
        <vt:lpwstr/>
      </vt:variant>
      <vt:variant>
        <vt:i4>5111847</vt:i4>
      </vt:variant>
      <vt:variant>
        <vt:i4>189</vt:i4>
      </vt:variant>
      <vt:variant>
        <vt:i4>0</vt:i4>
      </vt:variant>
      <vt:variant>
        <vt:i4>5</vt:i4>
      </vt:variant>
      <vt:variant>
        <vt:lpwstr>https://www.slov-lex.sk/pravne-predpisy/SK/ZZ/2018/401/vyhlasene_znenie.html</vt:lpwstr>
      </vt:variant>
      <vt:variant>
        <vt:lpwstr/>
      </vt:variant>
      <vt:variant>
        <vt:i4>7864427</vt:i4>
      </vt:variant>
      <vt:variant>
        <vt:i4>186</vt:i4>
      </vt:variant>
      <vt:variant>
        <vt:i4>0</vt:i4>
      </vt:variant>
      <vt:variant>
        <vt:i4>5</vt:i4>
      </vt:variant>
      <vt:variant>
        <vt:lpwstr>https://www.minedu.sk/14022020-vyzvanie-oplz-po12020np111-01-pre-narodny-projekt-s-nazvom-profesijny-rozvoj-ucitelov-teachers/</vt:lpwstr>
      </vt:variant>
      <vt:variant>
        <vt:lpwstr/>
      </vt:variant>
      <vt:variant>
        <vt:i4>65621</vt:i4>
      </vt:variant>
      <vt:variant>
        <vt:i4>183</vt:i4>
      </vt:variant>
      <vt:variant>
        <vt:i4>0</vt:i4>
      </vt:variant>
      <vt:variant>
        <vt:i4>5</vt:i4>
      </vt:variant>
      <vt:variant>
        <vt:lpwstr>https://www.minedu.sk/zoznamy-poskytovatelov-vzdelavania-pedagogickych-zamestnancov-a-odbornych-zamestnancov/</vt:lpwstr>
      </vt:variant>
      <vt:variant>
        <vt:lpwstr/>
      </vt:variant>
      <vt:variant>
        <vt:i4>8323114</vt:i4>
      </vt:variant>
      <vt:variant>
        <vt:i4>180</vt:i4>
      </vt:variant>
      <vt:variant>
        <vt:i4>0</vt:i4>
      </vt:variant>
      <vt:variant>
        <vt:i4>5</vt:i4>
      </vt:variant>
      <vt:variant>
        <vt:lpwstr>https://www.slov-lex.sk/pravne-predpisy/SK/ZZ/2019/138/20191015</vt:lpwstr>
      </vt:variant>
      <vt:variant>
        <vt:lpwstr/>
      </vt:variant>
      <vt:variant>
        <vt:i4>4456477</vt:i4>
      </vt:variant>
      <vt:variant>
        <vt:i4>177</vt:i4>
      </vt:variant>
      <vt:variant>
        <vt:i4>0</vt:i4>
      </vt:variant>
      <vt:variant>
        <vt:i4>5</vt:i4>
      </vt:variant>
      <vt:variant>
        <vt:lpwstr>https://www.slov-lex.sk/pravne-predpisy/SK/ZZ/2009/317/20180101.html</vt:lpwstr>
      </vt:variant>
      <vt:variant>
        <vt:lpwstr/>
      </vt:variant>
      <vt:variant>
        <vt:i4>65621</vt:i4>
      </vt:variant>
      <vt:variant>
        <vt:i4>174</vt:i4>
      </vt:variant>
      <vt:variant>
        <vt:i4>0</vt:i4>
      </vt:variant>
      <vt:variant>
        <vt:i4>5</vt:i4>
      </vt:variant>
      <vt:variant>
        <vt:lpwstr>https://www.minedu.sk/zoznamy-poskytovatelov-vzdelavania-pedagogickych-zamestnancov-a-odbornych-zamestnancov/</vt:lpwstr>
      </vt:variant>
      <vt:variant>
        <vt:lpwstr/>
      </vt:variant>
      <vt:variant>
        <vt:i4>2621555</vt:i4>
      </vt:variant>
      <vt:variant>
        <vt:i4>171</vt:i4>
      </vt:variant>
      <vt:variant>
        <vt:i4>0</vt:i4>
      </vt:variant>
      <vt:variant>
        <vt:i4>5</vt:i4>
      </vt:variant>
      <vt:variant>
        <vt:lpwstr>https://www.nucem.sk/sk/projekty-a-linky/kriterialne-testy</vt:lpwstr>
      </vt:variant>
      <vt:variant>
        <vt:lpwstr/>
      </vt:variant>
      <vt:variant>
        <vt:i4>1638416</vt:i4>
      </vt:variant>
      <vt:variant>
        <vt:i4>168</vt:i4>
      </vt:variant>
      <vt:variant>
        <vt:i4>0</vt:i4>
      </vt:variant>
      <vt:variant>
        <vt:i4>5</vt:i4>
      </vt:variant>
      <vt:variant>
        <vt:lpwstr>https://www.minedu.sk/2672019-vyzva-na-prepojenie-vysokoskolskeho-vzdelavania-s-potrebami-praxe-skvalitnenie-pripravy-buducich-pedagogickych-a-odbornych-zamestnancov-oplz-po12019dop131-01/</vt:lpwstr>
      </vt:variant>
      <vt:variant>
        <vt:lpwstr/>
      </vt:variant>
      <vt:variant>
        <vt:i4>4784149</vt:i4>
      </vt:variant>
      <vt:variant>
        <vt:i4>165</vt:i4>
      </vt:variant>
      <vt:variant>
        <vt:i4>0</vt:i4>
      </vt:variant>
      <vt:variant>
        <vt:i4>5</vt:i4>
      </vt:variant>
      <vt:variant>
        <vt:lpwstr>https://www.slov-lex.sk/pravne-predpisy/SK/ZZ/2001/311/20200101.html</vt:lpwstr>
      </vt:variant>
      <vt:variant>
        <vt:lpwstr/>
      </vt:variant>
      <vt:variant>
        <vt:i4>4653074</vt:i4>
      </vt:variant>
      <vt:variant>
        <vt:i4>162</vt:i4>
      </vt:variant>
      <vt:variant>
        <vt:i4>0</vt:i4>
      </vt:variant>
      <vt:variant>
        <vt:i4>5</vt:i4>
      </vt:variant>
      <vt:variant>
        <vt:lpwstr>https://www.slov-lex.sk/pravne-predpisy/SK/ZZ/2019/470/20200101.html</vt:lpwstr>
      </vt:variant>
      <vt:variant>
        <vt:lpwstr/>
      </vt:variant>
      <vt:variant>
        <vt:i4>65621</vt:i4>
      </vt:variant>
      <vt:variant>
        <vt:i4>159</vt:i4>
      </vt:variant>
      <vt:variant>
        <vt:i4>0</vt:i4>
      </vt:variant>
      <vt:variant>
        <vt:i4>5</vt:i4>
      </vt:variant>
      <vt:variant>
        <vt:lpwstr>https://www.minedu.sk/zoznamy-poskytovatelov-vzdelavania-pedagogickych-zamestnancov-a-odbornych-zamestnancov/</vt:lpwstr>
      </vt:variant>
      <vt:variant>
        <vt:lpwstr/>
      </vt:variant>
      <vt:variant>
        <vt:i4>4849684</vt:i4>
      </vt:variant>
      <vt:variant>
        <vt:i4>156</vt:i4>
      </vt:variant>
      <vt:variant>
        <vt:i4>0</vt:i4>
      </vt:variant>
      <vt:variant>
        <vt:i4>5</vt:i4>
      </vt:variant>
      <vt:variant>
        <vt:lpwstr>https://www.slov-lex.sk/pravne-predpisy/SK/ZZ/2018/388/20190101.html</vt:lpwstr>
      </vt:variant>
      <vt:variant>
        <vt:lpwstr/>
      </vt:variant>
      <vt:variant>
        <vt:i4>8323134</vt:i4>
      </vt:variant>
      <vt:variant>
        <vt:i4>153</vt:i4>
      </vt:variant>
      <vt:variant>
        <vt:i4>0</vt:i4>
      </vt:variant>
      <vt:variant>
        <vt:i4>5</vt:i4>
      </vt:variant>
      <vt:variant>
        <vt:lpwstr>https://www.slov-lex.sk/pravne-predpisy/SK/ZZ/2018/318/</vt:lpwstr>
      </vt:variant>
      <vt:variant>
        <vt:lpwstr/>
      </vt:variant>
      <vt:variant>
        <vt:i4>4259876</vt:i4>
      </vt:variant>
      <vt:variant>
        <vt:i4>150</vt:i4>
      </vt:variant>
      <vt:variant>
        <vt:i4>0</vt:i4>
      </vt:variant>
      <vt:variant>
        <vt:i4>5</vt:i4>
      </vt:variant>
      <vt:variant>
        <vt:lpwstr>https://www.slov-lex.sk/pravne-predpisy/SK/ZZ/2019/338/vyhlasene_znenie.html</vt:lpwstr>
      </vt:variant>
      <vt:variant>
        <vt:lpwstr/>
      </vt:variant>
      <vt:variant>
        <vt:i4>4259873</vt:i4>
      </vt:variant>
      <vt:variant>
        <vt:i4>147</vt:i4>
      </vt:variant>
      <vt:variant>
        <vt:i4>0</vt:i4>
      </vt:variant>
      <vt:variant>
        <vt:i4>5</vt:i4>
      </vt:variant>
      <vt:variant>
        <vt:lpwstr>https://www.slov-lex.sk/pravne-predpisy/SK/ZZ/2019/269/vyhlasene_znenie.html</vt:lpwstr>
      </vt:variant>
      <vt:variant>
        <vt:lpwstr/>
      </vt:variant>
      <vt:variant>
        <vt:i4>7995488</vt:i4>
      </vt:variant>
      <vt:variant>
        <vt:i4>144</vt:i4>
      </vt:variant>
      <vt:variant>
        <vt:i4>0</vt:i4>
      </vt:variant>
      <vt:variant>
        <vt:i4>5</vt:i4>
      </vt:variant>
      <vt:variant>
        <vt:lpwstr>https://www.nrsr.sk/web/Default.aspx?sid=zakony/zakon&amp;MasterID=7324</vt:lpwstr>
      </vt:variant>
      <vt:variant>
        <vt:lpwstr/>
      </vt:variant>
      <vt:variant>
        <vt:i4>4587542</vt:i4>
      </vt:variant>
      <vt:variant>
        <vt:i4>141</vt:i4>
      </vt:variant>
      <vt:variant>
        <vt:i4>0</vt:i4>
      </vt:variant>
      <vt:variant>
        <vt:i4>5</vt:i4>
      </vt:variant>
      <vt:variant>
        <vt:lpwstr>https://www.slov-lex.sk/pravne-predpisy/SK/ZZ/2019/224/20190901.html</vt:lpwstr>
      </vt:variant>
      <vt:variant>
        <vt:lpwstr/>
      </vt:variant>
      <vt:variant>
        <vt:i4>6094927</vt:i4>
      </vt:variant>
      <vt:variant>
        <vt:i4>138</vt:i4>
      </vt:variant>
      <vt:variant>
        <vt:i4>0</vt:i4>
      </vt:variant>
      <vt:variant>
        <vt:i4>5</vt:i4>
      </vt:variant>
      <vt:variant>
        <vt:lpwstr>https://www.minedu.sk/data/att/15260.pdf</vt:lpwstr>
      </vt:variant>
      <vt:variant>
        <vt:lpwstr/>
      </vt:variant>
      <vt:variant>
        <vt:i4>4980752</vt:i4>
      </vt:variant>
      <vt:variant>
        <vt:i4>135</vt:i4>
      </vt:variant>
      <vt:variant>
        <vt:i4>0</vt:i4>
      </vt:variant>
      <vt:variant>
        <vt:i4>5</vt:i4>
      </vt:variant>
      <vt:variant>
        <vt:lpwstr>https://www.slov-lex.sk/pravne-predpisy/SK/ZZ/2003/553/20190901.html</vt:lpwstr>
      </vt:variant>
      <vt:variant>
        <vt:lpwstr/>
      </vt:variant>
      <vt:variant>
        <vt:i4>8323107</vt:i4>
      </vt:variant>
      <vt:variant>
        <vt:i4>132</vt:i4>
      </vt:variant>
      <vt:variant>
        <vt:i4>0</vt:i4>
      </vt:variant>
      <vt:variant>
        <vt:i4>5</vt:i4>
      </vt:variant>
      <vt:variant>
        <vt:lpwstr>https://www.slov-lex.sk/pravne-predpisy/SK/ZZ/2019/138/20190901</vt:lpwstr>
      </vt:variant>
      <vt:variant>
        <vt:lpwstr/>
      </vt:variant>
      <vt:variant>
        <vt:i4>5505112</vt:i4>
      </vt:variant>
      <vt:variant>
        <vt:i4>129</vt:i4>
      </vt:variant>
      <vt:variant>
        <vt:i4>0</vt:i4>
      </vt:variant>
      <vt:variant>
        <vt:i4>5</vt:i4>
      </vt:variant>
      <vt:variant>
        <vt:lpwstr>https://www.minedu.sk/21395-sk/revizia-vydavkov-na-vzdelavanie-2017/</vt:lpwstr>
      </vt:variant>
      <vt:variant>
        <vt:lpwstr/>
      </vt:variant>
      <vt:variant>
        <vt:i4>2097215</vt:i4>
      </vt:variant>
      <vt:variant>
        <vt:i4>126</vt:i4>
      </vt:variant>
      <vt:variant>
        <vt:i4>0</vt:i4>
      </vt:variant>
      <vt:variant>
        <vt:i4>5</vt:i4>
      </vt:variant>
      <vt:variant>
        <vt:lpwstr>https://www.minedu.sk/aktualne-informacie/</vt:lpwstr>
      </vt:variant>
      <vt:variant>
        <vt:lpwstr/>
      </vt:variant>
      <vt:variant>
        <vt:i4>3342458</vt:i4>
      </vt:variant>
      <vt:variant>
        <vt:i4>123</vt:i4>
      </vt:variant>
      <vt:variant>
        <vt:i4>0</vt:i4>
      </vt:variant>
      <vt:variant>
        <vt:i4>5</vt:i4>
      </vt:variant>
      <vt:variant>
        <vt:lpwstr>http://www.registeruz.sk/cruz-public/domain/accountingentity/show/6743</vt:lpwstr>
      </vt:variant>
      <vt:variant>
        <vt:lpwstr/>
      </vt:variant>
      <vt:variant>
        <vt:i4>7733304</vt:i4>
      </vt:variant>
      <vt:variant>
        <vt:i4>117</vt:i4>
      </vt:variant>
      <vt:variant>
        <vt:i4>0</vt:i4>
      </vt:variant>
      <vt:variant>
        <vt:i4>5</vt:i4>
      </vt:variant>
      <vt:variant>
        <vt:lpwstr>https://www.slov-lex.sk/pravne-predpisy/SK/ZZ/2018/270/</vt:lpwstr>
      </vt:variant>
      <vt:variant>
        <vt:lpwstr/>
      </vt:variant>
      <vt:variant>
        <vt:i4>8323129</vt:i4>
      </vt:variant>
      <vt:variant>
        <vt:i4>114</vt:i4>
      </vt:variant>
      <vt:variant>
        <vt:i4>0</vt:i4>
      </vt:variant>
      <vt:variant>
        <vt:i4>5</vt:i4>
      </vt:variant>
      <vt:variant>
        <vt:lpwstr>https://www.slov-lex.sk/pravne-predpisy/SK/ZZ/2018/269/</vt:lpwstr>
      </vt:variant>
      <vt:variant>
        <vt:lpwstr/>
      </vt:variant>
      <vt:variant>
        <vt:i4>1638416</vt:i4>
      </vt:variant>
      <vt:variant>
        <vt:i4>111</vt:i4>
      </vt:variant>
      <vt:variant>
        <vt:i4>0</vt:i4>
      </vt:variant>
      <vt:variant>
        <vt:i4>5</vt:i4>
      </vt:variant>
      <vt:variant>
        <vt:lpwstr>https://www.minedu.sk/2672019-vyzva-na-prepojenie-vysokoskolskeho-vzdelavania-s-potrebami-praxe-skvalitnenie-pripravy-buducich-pedagogickych-a-odbornych-zamestnancov-oplz-po12019dop131-01/</vt:lpwstr>
      </vt:variant>
      <vt:variant>
        <vt:lpwstr/>
      </vt:variant>
      <vt:variant>
        <vt:i4>65621</vt:i4>
      </vt:variant>
      <vt:variant>
        <vt:i4>108</vt:i4>
      </vt:variant>
      <vt:variant>
        <vt:i4>0</vt:i4>
      </vt:variant>
      <vt:variant>
        <vt:i4>5</vt:i4>
      </vt:variant>
      <vt:variant>
        <vt:lpwstr>https://www.minedu.sk/zoznamy-poskytovatelov-vzdelavania-pedagogickych-zamestnancov-a-odbornych-zamestnancov/</vt:lpwstr>
      </vt:variant>
      <vt:variant>
        <vt:lpwstr/>
      </vt:variant>
      <vt:variant>
        <vt:i4>5898318</vt:i4>
      </vt:variant>
      <vt:variant>
        <vt:i4>105</vt:i4>
      </vt:variant>
      <vt:variant>
        <vt:i4>0</vt:i4>
      </vt:variant>
      <vt:variant>
        <vt:i4>5</vt:i4>
      </vt:variant>
      <vt:variant>
        <vt:lpwstr>https://www.minedu.sk/data/att/15376.pdf</vt:lpwstr>
      </vt:variant>
      <vt:variant>
        <vt:lpwstr/>
      </vt:variant>
      <vt:variant>
        <vt:i4>4587542</vt:i4>
      </vt:variant>
      <vt:variant>
        <vt:i4>102</vt:i4>
      </vt:variant>
      <vt:variant>
        <vt:i4>0</vt:i4>
      </vt:variant>
      <vt:variant>
        <vt:i4>5</vt:i4>
      </vt:variant>
      <vt:variant>
        <vt:lpwstr>https://www.slov-lex.sk/pravne-predpisy/SK/ZZ/2019/224/20190901.html</vt:lpwstr>
      </vt:variant>
      <vt:variant>
        <vt:lpwstr/>
      </vt:variant>
      <vt:variant>
        <vt:i4>8323107</vt:i4>
      </vt:variant>
      <vt:variant>
        <vt:i4>99</vt:i4>
      </vt:variant>
      <vt:variant>
        <vt:i4>0</vt:i4>
      </vt:variant>
      <vt:variant>
        <vt:i4>5</vt:i4>
      </vt:variant>
      <vt:variant>
        <vt:lpwstr>https://www.slov-lex.sk/pravne-predpisy/SK/ZZ/2019/138/20190901</vt:lpwstr>
      </vt:variant>
      <vt:variant>
        <vt:lpwstr/>
      </vt:variant>
      <vt:variant>
        <vt:i4>3801209</vt:i4>
      </vt:variant>
      <vt:variant>
        <vt:i4>96</vt:i4>
      </vt:variant>
      <vt:variant>
        <vt:i4>0</vt:i4>
      </vt:variant>
      <vt:variant>
        <vt:i4>5</vt:i4>
      </vt:variant>
      <vt:variant>
        <vt:lpwstr>http://rokovania.sk/File.aspx/Index/Uznesenie-17520</vt:lpwstr>
      </vt:variant>
      <vt:variant>
        <vt:lpwstr/>
      </vt:variant>
      <vt:variant>
        <vt:i4>3801209</vt:i4>
      </vt:variant>
      <vt:variant>
        <vt:i4>93</vt:i4>
      </vt:variant>
      <vt:variant>
        <vt:i4>0</vt:i4>
      </vt:variant>
      <vt:variant>
        <vt:i4>5</vt:i4>
      </vt:variant>
      <vt:variant>
        <vt:lpwstr>http://rokovania.sk/File.aspx/Index/Uznesenie-17520</vt:lpwstr>
      </vt:variant>
      <vt:variant>
        <vt:lpwstr/>
      </vt:variant>
      <vt:variant>
        <vt:i4>1507385</vt:i4>
      </vt:variant>
      <vt:variant>
        <vt:i4>90</vt:i4>
      </vt:variant>
      <vt:variant>
        <vt:i4>0</vt:i4>
      </vt:variant>
      <vt:variant>
        <vt:i4>5</vt:i4>
      </vt:variant>
      <vt:variant>
        <vt:lpwstr>http://www.informatizacia.sk/ext_dok-prilohy-vyzvy_opii_2018_7_2/27096c</vt:lpwstr>
      </vt:variant>
      <vt:variant>
        <vt:lpwstr/>
      </vt:variant>
      <vt:variant>
        <vt:i4>2883674</vt:i4>
      </vt:variant>
      <vt:variant>
        <vt:i4>87</vt:i4>
      </vt:variant>
      <vt:variant>
        <vt:i4>0</vt:i4>
      </vt:variant>
      <vt:variant>
        <vt:i4>5</vt:i4>
      </vt:variant>
      <vt:variant>
        <vt:lpwstr>https://www.vicepremier.gov.sk/wp-content/uploads/2018/10/Detailny_akcny_plan_schvaleny-1.pdf</vt:lpwstr>
      </vt:variant>
      <vt:variant>
        <vt:lpwstr/>
      </vt:variant>
      <vt:variant>
        <vt:i4>3932166</vt:i4>
      </vt:variant>
      <vt:variant>
        <vt:i4>84</vt:i4>
      </vt:variant>
      <vt:variant>
        <vt:i4>0</vt:i4>
      </vt:variant>
      <vt:variant>
        <vt:i4>5</vt:i4>
      </vt:variant>
      <vt:variant>
        <vt:lpwstr>http://www.informatizacia.sk/ext_dok-metodika-0ek-final/26404c</vt:lpwstr>
      </vt:variant>
      <vt:variant>
        <vt:lpwstr/>
      </vt:variant>
      <vt:variant>
        <vt:i4>3342403</vt:i4>
      </vt:variant>
      <vt:variant>
        <vt:i4>81</vt:i4>
      </vt:variant>
      <vt:variant>
        <vt:i4>0</vt:i4>
      </vt:variant>
      <vt:variant>
        <vt:i4>5</vt:i4>
      </vt:variant>
      <vt:variant>
        <vt:lpwstr>http://www.informatizacia.sk/ext_dok-metodicky-pokyn-po7-opii_fa_cba_tco_10082018/27237c</vt:lpwstr>
      </vt:variant>
      <vt:variant>
        <vt:lpwstr/>
      </vt:variant>
      <vt:variant>
        <vt:i4>131074</vt:i4>
      </vt:variant>
      <vt:variant>
        <vt:i4>78</vt:i4>
      </vt:variant>
      <vt:variant>
        <vt:i4>0</vt:i4>
      </vt:variant>
      <vt:variant>
        <vt:i4>5</vt:i4>
      </vt:variant>
      <vt:variant>
        <vt:lpwstr>https://rokovania.gov.sk/RVL/Material/23683/1</vt:lpwstr>
      </vt:variant>
      <vt:variant>
        <vt:lpwstr/>
      </vt:variant>
      <vt:variant>
        <vt:i4>3276911</vt:i4>
      </vt:variant>
      <vt:variant>
        <vt:i4>75</vt:i4>
      </vt:variant>
      <vt:variant>
        <vt:i4>0</vt:i4>
      </vt:variant>
      <vt:variant>
        <vt:i4>5</vt:i4>
      </vt:variant>
      <vt:variant>
        <vt:lpwstr>http://www.informatizacia.sk/ext_dok-koncepcia_riadenia_inormatizacie_schvalena/26031c</vt:lpwstr>
      </vt:variant>
      <vt:variant>
        <vt:lpwstr/>
      </vt:variant>
      <vt:variant>
        <vt:i4>3801209</vt:i4>
      </vt:variant>
      <vt:variant>
        <vt:i4>72</vt:i4>
      </vt:variant>
      <vt:variant>
        <vt:i4>0</vt:i4>
      </vt:variant>
      <vt:variant>
        <vt:i4>5</vt:i4>
      </vt:variant>
      <vt:variant>
        <vt:lpwstr>http://rokovania.sk/File.aspx/Index/Uznesenie-17520</vt:lpwstr>
      </vt:variant>
      <vt:variant>
        <vt:lpwstr/>
      </vt:variant>
      <vt:variant>
        <vt:i4>3407950</vt:i4>
      </vt:variant>
      <vt:variant>
        <vt:i4>69</vt:i4>
      </vt:variant>
      <vt:variant>
        <vt:i4>0</vt:i4>
      </vt:variant>
      <vt:variant>
        <vt:i4>5</vt:i4>
      </vt:variant>
      <vt:variant>
        <vt:lpwstr>https://www.infineon.com/dgdl/Infineon-The+World+is+going+mad+for+mobile-WP-v03_17-EN.pdf?fileId=5546d4625a888733015aae0b7dec4c56</vt:lpwstr>
      </vt:variant>
      <vt:variant>
        <vt:lpwstr/>
      </vt:variant>
      <vt:variant>
        <vt:i4>7667749</vt:i4>
      </vt:variant>
      <vt:variant>
        <vt:i4>66</vt:i4>
      </vt:variant>
      <vt:variant>
        <vt:i4>0</vt:i4>
      </vt:variant>
      <vt:variant>
        <vt:i4>5</vt:i4>
      </vt:variant>
      <vt:variant>
        <vt:lpwstr>http://www.informatizacia.sk/ext_dok-schvalene-projekty-po-1-a-3_k-23122015/22580c</vt:lpwstr>
      </vt:variant>
      <vt:variant>
        <vt:lpwstr/>
      </vt:variant>
      <vt:variant>
        <vt:i4>4194309</vt:i4>
      </vt:variant>
      <vt:variant>
        <vt:i4>63</vt:i4>
      </vt:variant>
      <vt:variant>
        <vt:i4>0</vt:i4>
      </vt:variant>
      <vt:variant>
        <vt:i4>5</vt:i4>
      </vt:variant>
      <vt:variant>
        <vt:lpwstr>https://idsk-elements.herokuapp.com/</vt:lpwstr>
      </vt:variant>
      <vt:variant>
        <vt:lpwstr/>
      </vt:variant>
      <vt:variant>
        <vt:i4>4915306</vt:i4>
      </vt:variant>
      <vt:variant>
        <vt:i4>60</vt:i4>
      </vt:variant>
      <vt:variant>
        <vt:i4>0</vt:i4>
      </vt:variant>
      <vt:variant>
        <vt:i4>5</vt:i4>
      </vt:variant>
      <vt:variant>
        <vt:lpwstr>https://www.opis.gov.sk//data/files/4757_upvs-ii.pdf</vt:lpwstr>
      </vt:variant>
      <vt:variant>
        <vt:lpwstr/>
      </vt:variant>
      <vt:variant>
        <vt:i4>7798866</vt:i4>
      </vt:variant>
      <vt:variant>
        <vt:i4>57</vt:i4>
      </vt:variant>
      <vt:variant>
        <vt:i4>0</vt:i4>
      </vt:variant>
      <vt:variant>
        <vt:i4>5</vt:i4>
      </vt:variant>
      <vt:variant>
        <vt:lpwstr>https://metais.vicepremier.gov.sk/reportdetail/KS_KEP</vt:lpwstr>
      </vt:variant>
      <vt:variant>
        <vt:lpwstr/>
      </vt:variant>
      <vt:variant>
        <vt:i4>7208980</vt:i4>
      </vt:variant>
      <vt:variant>
        <vt:i4>54</vt:i4>
      </vt:variant>
      <vt:variant>
        <vt:i4>0</vt:i4>
      </vt:variant>
      <vt:variant>
        <vt:i4>5</vt:i4>
      </vt:variant>
      <vt:variant>
        <vt:lpwstr>https://www.minv.sk/swift_data/source/policia/jm_ode/zep/all/eID_statistika_01_2020.pdf</vt:lpwstr>
      </vt:variant>
      <vt:variant>
        <vt:lpwstr/>
      </vt:variant>
      <vt:variant>
        <vt:i4>4980759</vt:i4>
      </vt:variant>
      <vt:variant>
        <vt:i4>51</vt:i4>
      </vt:variant>
      <vt:variant>
        <vt:i4>0</vt:i4>
      </vt:variant>
      <vt:variant>
        <vt:i4>5</vt:i4>
      </vt:variant>
      <vt:variant>
        <vt:lpwstr>https://www.slov-lex.sk/pravne-predpisy/SK/ZZ/2013/305/20160501.html</vt:lpwstr>
      </vt:variant>
      <vt:variant>
        <vt:lpwstr/>
      </vt:variant>
      <vt:variant>
        <vt:i4>7012455</vt:i4>
      </vt:variant>
      <vt:variant>
        <vt:i4>48</vt:i4>
      </vt:variant>
      <vt:variant>
        <vt:i4>0</vt:i4>
      </vt:variant>
      <vt:variant>
        <vt:i4>5</vt:i4>
      </vt:variant>
      <vt:variant>
        <vt:lpwstr>https://www.uvo.gov.sk/vyhladavanie-zakaziek/detail/415748</vt:lpwstr>
      </vt:variant>
      <vt:variant>
        <vt:lpwstr/>
      </vt:variant>
      <vt:variant>
        <vt:i4>6226040</vt:i4>
      </vt:variant>
      <vt:variant>
        <vt:i4>45</vt:i4>
      </vt:variant>
      <vt:variant>
        <vt:i4>0</vt:i4>
      </vt:variant>
      <vt:variant>
        <vt:i4>5</vt:i4>
      </vt:variant>
      <vt:variant>
        <vt:lpwstr>https://www.finance.gov.sk/files/archiv/uhp/3370/76/Stanovisko-UHP_Microsoft.pdf</vt:lpwstr>
      </vt:variant>
      <vt:variant>
        <vt:lpwstr/>
      </vt:variant>
      <vt:variant>
        <vt:i4>7012455</vt:i4>
      </vt:variant>
      <vt:variant>
        <vt:i4>42</vt:i4>
      </vt:variant>
      <vt:variant>
        <vt:i4>0</vt:i4>
      </vt:variant>
      <vt:variant>
        <vt:i4>5</vt:i4>
      </vt:variant>
      <vt:variant>
        <vt:lpwstr>https://www.uvo.gov.sk/vyhladavanie-zakaziek/detail/415748</vt:lpwstr>
      </vt:variant>
      <vt:variant>
        <vt:lpwstr/>
      </vt:variant>
      <vt:variant>
        <vt:i4>6684735</vt:i4>
      </vt:variant>
      <vt:variant>
        <vt:i4>39</vt:i4>
      </vt:variant>
      <vt:variant>
        <vt:i4>0</vt:i4>
      </vt:variant>
      <vt:variant>
        <vt:i4>5</vt:i4>
      </vt:variant>
      <vt:variant>
        <vt:lpwstr>https://www.vicepremier.gov.sk/wp-content/uploads/2020/02/katalog-sluzieb-1.13.pdf</vt:lpwstr>
      </vt:variant>
      <vt:variant>
        <vt:lpwstr/>
      </vt:variant>
      <vt:variant>
        <vt:i4>2162815</vt:i4>
      </vt:variant>
      <vt:variant>
        <vt:i4>36</vt:i4>
      </vt:variant>
      <vt:variant>
        <vt:i4>0</vt:i4>
      </vt:variant>
      <vt:variant>
        <vt:i4>5</vt:i4>
      </vt:variant>
      <vt:variant>
        <vt:lpwstr>https://www.vicepremier.gov.sk/wp-content/uploads/2019/11/katalog-sluzieb-1.12_FINAL_vr.pdf</vt:lpwstr>
      </vt:variant>
      <vt:variant>
        <vt:lpwstr/>
      </vt:variant>
      <vt:variant>
        <vt:i4>4063347</vt:i4>
      </vt:variant>
      <vt:variant>
        <vt:i4>33</vt:i4>
      </vt:variant>
      <vt:variant>
        <vt:i4>0</vt:i4>
      </vt:variant>
      <vt:variant>
        <vt:i4>5</vt:i4>
      </vt:variant>
      <vt:variant>
        <vt:lpwstr>http://www.informatizacia.sk/ext_dok-hk_dop_migracia_isv/26929c</vt:lpwstr>
      </vt:variant>
      <vt:variant>
        <vt:lpwstr/>
      </vt:variant>
      <vt:variant>
        <vt:i4>3014671</vt:i4>
      </vt:variant>
      <vt:variant>
        <vt:i4>30</vt:i4>
      </vt:variant>
      <vt:variant>
        <vt:i4>0</vt:i4>
      </vt:variant>
      <vt:variant>
        <vt:i4>5</vt:i4>
      </vt:variant>
      <vt:variant>
        <vt:lpwstr>http://www.informatizacia.sk/aktuality-zverejnujeme-dopytove-vyzvy-pre-data--sluzby-a-cloud_v1/27106c</vt:lpwstr>
      </vt:variant>
      <vt:variant>
        <vt:lpwstr/>
      </vt:variant>
      <vt:variant>
        <vt:i4>6160453</vt:i4>
      </vt:variant>
      <vt:variant>
        <vt:i4>27</vt:i4>
      </vt:variant>
      <vt:variant>
        <vt:i4>0</vt:i4>
      </vt:variant>
      <vt:variant>
        <vt:i4>5</vt:i4>
      </vt:variant>
      <vt:variant>
        <vt:lpwstr>https://metais.vicepremier.gov.sk/studia/list</vt:lpwstr>
      </vt:variant>
      <vt:variant>
        <vt:lpwstr/>
      </vt:variant>
      <vt:variant>
        <vt:i4>6422626</vt:i4>
      </vt:variant>
      <vt:variant>
        <vt:i4>24</vt:i4>
      </vt:variant>
      <vt:variant>
        <vt:i4>0</vt:i4>
      </vt:variant>
      <vt:variant>
        <vt:i4>5</vt:i4>
      </vt:variant>
      <vt:variant>
        <vt:lpwstr>https://www.finance.gov.sk/files/archiv/3/IaaS_Kopc_UHP_hodnotenie_20190611.pdf</vt:lpwstr>
      </vt:variant>
      <vt:variant>
        <vt:lpwstr/>
      </vt:variant>
      <vt:variant>
        <vt:i4>6160453</vt:i4>
      </vt:variant>
      <vt:variant>
        <vt:i4>21</vt:i4>
      </vt:variant>
      <vt:variant>
        <vt:i4>0</vt:i4>
      </vt:variant>
      <vt:variant>
        <vt:i4>5</vt:i4>
      </vt:variant>
      <vt:variant>
        <vt:lpwstr>https://metais.vicepremier.gov.sk/studia/list</vt:lpwstr>
      </vt:variant>
      <vt:variant>
        <vt:lpwstr/>
      </vt:variant>
      <vt:variant>
        <vt:i4>2293887</vt:i4>
      </vt:variant>
      <vt:variant>
        <vt:i4>18</vt:i4>
      </vt:variant>
      <vt:variant>
        <vt:i4>0</vt:i4>
      </vt:variant>
      <vt:variant>
        <vt:i4>5</vt:i4>
      </vt:variant>
      <vt:variant>
        <vt:lpwstr>https://www.mfsr.sk/files/archiv/uhp/3370/76/03metodikaCBA-v10.pdf</vt:lpwstr>
      </vt:variant>
      <vt:variant>
        <vt:lpwstr/>
      </vt:variant>
      <vt:variant>
        <vt:i4>6684722</vt:i4>
      </vt:variant>
      <vt:variant>
        <vt:i4>15</vt:i4>
      </vt:variant>
      <vt:variant>
        <vt:i4>0</vt:i4>
      </vt:variant>
      <vt:variant>
        <vt:i4>5</vt:i4>
      </vt:variant>
      <vt:variant>
        <vt:lpwstr>https://www.mfsr.sk/files/archiv/39/Informatizacia2.0_reviziavydavkov_20200320.pdf</vt:lpwstr>
      </vt:variant>
      <vt:variant>
        <vt:lpwstr/>
      </vt:variant>
      <vt:variant>
        <vt:i4>4194309</vt:i4>
      </vt:variant>
      <vt:variant>
        <vt:i4>12</vt:i4>
      </vt:variant>
      <vt:variant>
        <vt:i4>0</vt:i4>
      </vt:variant>
      <vt:variant>
        <vt:i4>5</vt:i4>
      </vt:variant>
      <vt:variant>
        <vt:lpwstr>https://idsk-elements.herokuapp.com/</vt:lpwstr>
      </vt:variant>
      <vt:variant>
        <vt:lpwstr/>
      </vt:variant>
      <vt:variant>
        <vt:i4>7274594</vt:i4>
      </vt:variant>
      <vt:variant>
        <vt:i4>9</vt:i4>
      </vt:variant>
      <vt:variant>
        <vt:i4>0</vt:i4>
      </vt:variant>
      <vt:variant>
        <vt:i4>5</vt:i4>
      </vt:variant>
      <vt:variant>
        <vt:lpwstr>http://www.informatizacia.sk/ext_dok-nkivs-sr_2016/23668c</vt:lpwstr>
      </vt:variant>
      <vt:variant>
        <vt:lpwstr/>
      </vt:variant>
      <vt:variant>
        <vt:i4>7208980</vt:i4>
      </vt:variant>
      <vt:variant>
        <vt:i4>6</vt:i4>
      </vt:variant>
      <vt:variant>
        <vt:i4>0</vt:i4>
      </vt:variant>
      <vt:variant>
        <vt:i4>5</vt:i4>
      </vt:variant>
      <vt:variant>
        <vt:lpwstr>https://www.minv.sk/swift_data/source/policia/jm_ode/zep/all/eID_statistika_01_2020.pdf</vt:lpwstr>
      </vt:variant>
      <vt:variant>
        <vt:lpwstr/>
      </vt:variant>
      <vt:variant>
        <vt:i4>6160453</vt:i4>
      </vt:variant>
      <vt:variant>
        <vt:i4>3</vt:i4>
      </vt:variant>
      <vt:variant>
        <vt:i4>0</vt:i4>
      </vt:variant>
      <vt:variant>
        <vt:i4>5</vt:i4>
      </vt:variant>
      <vt:variant>
        <vt:lpwstr>https://metais.vicepremier.gov.sk/studia/list</vt:lpwstr>
      </vt:variant>
      <vt:variant>
        <vt:lpwstr/>
      </vt:variant>
      <vt:variant>
        <vt:i4>3342403</vt:i4>
      </vt:variant>
      <vt:variant>
        <vt:i4>0</vt:i4>
      </vt:variant>
      <vt:variant>
        <vt:i4>0</vt:i4>
      </vt:variant>
      <vt:variant>
        <vt:i4>5</vt:i4>
      </vt:variant>
      <vt:variant>
        <vt:lpwstr>http://www.informatizacia.sk/ext_dok-metodicky-pokyn-po7-opii_fa_cba_tco_10082018/27237c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starší template sis 2019 rozpracovaný</dc:subject>
  <dc:creator>Miriama Letovanec</dc:creator>
  <cp:keywords/>
  <dc:description/>
  <cp:lastModifiedBy>Kubala Jozef</cp:lastModifiedBy>
  <cp:revision>4</cp:revision>
  <cp:lastPrinted>2020-04-21T13:14:00Z</cp:lastPrinted>
  <dcterms:created xsi:type="dcterms:W3CDTF">2020-04-23T10:29:00Z</dcterms:created>
  <dcterms:modified xsi:type="dcterms:W3CDTF">2020-05-15T08:56:00Z</dcterms:modified>
</cp:coreProperties>
</file>